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D13E" w14:textId="65E248C7" w:rsidR="00B9598A" w:rsidRPr="00FC784A" w:rsidRDefault="00B9598A" w:rsidP="00B9598A">
      <w:pPr>
        <w:spacing w:after="0" w:line="240" w:lineRule="auto"/>
        <w:ind w:firstLine="426"/>
        <w:jc w:val="right"/>
        <w:rPr>
          <w:rFonts w:ascii="PermianSerifTypeface" w:eastAsia="Times New Roman" w:hAnsi="PermianSerifTypeface" w:cs="Arial"/>
          <w:lang w:val="ro-MD"/>
        </w:rPr>
      </w:pPr>
      <w:bookmarkStart w:id="0" w:name="_Hlk177299143"/>
      <w:r w:rsidRPr="00FC784A">
        <w:rPr>
          <w:rFonts w:ascii="PermianSerifTypeface" w:eastAsia="Times New Roman" w:hAnsi="PermianSerifTypeface" w:cs="Arial"/>
          <w:lang w:val="ro-MD"/>
        </w:rPr>
        <w:t>UE</w:t>
      </w:r>
    </w:p>
    <w:p w14:paraId="5877D7F4" w14:textId="3013350C" w:rsidR="00F95829" w:rsidRPr="000508B6" w:rsidRDefault="00F95829" w:rsidP="00A247F4">
      <w:pPr>
        <w:spacing w:after="0" w:line="240" w:lineRule="auto"/>
        <w:ind w:firstLine="426"/>
        <w:jc w:val="right"/>
        <w:rPr>
          <w:rFonts w:ascii="Times New Roman" w:eastAsia="Times New Roman" w:hAnsi="Times New Roman" w:cs="Times New Roman"/>
          <w:lang w:val="ro-MD"/>
        </w:rPr>
      </w:pPr>
      <w:r w:rsidRPr="000508B6">
        <w:rPr>
          <w:rFonts w:ascii="Times New Roman" w:eastAsia="Times New Roman" w:hAnsi="Times New Roman" w:cs="Times New Roman"/>
          <w:lang w:val="ro-MD"/>
        </w:rPr>
        <w:t>Proiect</w:t>
      </w:r>
    </w:p>
    <w:p w14:paraId="3BB94820" w14:textId="77777777" w:rsidR="0083462B" w:rsidRPr="000508B6" w:rsidRDefault="0083462B" w:rsidP="00395D2A">
      <w:pPr>
        <w:spacing w:after="0" w:line="240" w:lineRule="auto"/>
        <w:ind w:firstLine="426"/>
        <w:jc w:val="right"/>
        <w:rPr>
          <w:rFonts w:ascii="Times New Roman" w:eastAsia="Times New Roman" w:hAnsi="Times New Roman" w:cs="Times New Roman"/>
          <w:lang w:val="ro-MD"/>
        </w:rPr>
      </w:pPr>
    </w:p>
    <w:p w14:paraId="08A48E0F"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PARLAMENTUL REPUBLICII MOLDOVA</w:t>
      </w:r>
    </w:p>
    <w:p w14:paraId="2BEA9B95"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w:t>
      </w:r>
    </w:p>
    <w:p w14:paraId="625F7D91"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L E G E</w:t>
      </w:r>
    </w:p>
    <w:p w14:paraId="046106BC" w14:textId="4772E5F8"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privind activitatea de asigurare </w:t>
      </w:r>
      <w:r w:rsidR="00165F8A" w:rsidRPr="000508B6">
        <w:rPr>
          <w:rFonts w:ascii="Times New Roman" w:eastAsia="Times New Roman" w:hAnsi="Times New Roman" w:cs="Times New Roman"/>
          <w:b/>
          <w:lang w:val="ro-MD"/>
        </w:rPr>
        <w:t xml:space="preserve">și </w:t>
      </w:r>
      <w:r w:rsidRPr="000508B6">
        <w:rPr>
          <w:rFonts w:ascii="Times New Roman" w:eastAsia="Times New Roman" w:hAnsi="Times New Roman" w:cs="Times New Roman"/>
          <w:b/>
          <w:lang w:val="ro-MD"/>
        </w:rPr>
        <w:t>de reasigurare</w:t>
      </w:r>
    </w:p>
    <w:p w14:paraId="194C12B8"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w:t>
      </w:r>
    </w:p>
    <w:p w14:paraId="1676EE12"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w:t>
      </w:r>
    </w:p>
    <w:p w14:paraId="6B97D81E" w14:textId="77777777" w:rsidR="00F95829" w:rsidRPr="000508B6" w:rsidRDefault="00F95829" w:rsidP="008B530F">
      <w:pPr>
        <w:spacing w:after="0" w:line="240" w:lineRule="auto"/>
        <w:ind w:firstLine="426"/>
        <w:jc w:val="center"/>
        <w:rPr>
          <w:rFonts w:ascii="Times New Roman" w:eastAsia="Times New Roman" w:hAnsi="Times New Roman" w:cs="Times New Roman"/>
          <w:lang w:val="ro-MD"/>
        </w:rPr>
      </w:pPr>
      <w:r w:rsidRPr="000508B6">
        <w:rPr>
          <w:rFonts w:ascii="Times New Roman" w:eastAsia="Times New Roman" w:hAnsi="Times New Roman" w:cs="Times New Roman"/>
          <w:lang w:val="ro-MD"/>
        </w:rPr>
        <w:t>* * *</w:t>
      </w:r>
    </w:p>
    <w:p w14:paraId="3B4ADDDA" w14:textId="28643C30" w:rsidR="00F95829" w:rsidRPr="000508B6" w:rsidRDefault="00DC1646"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 </w:t>
      </w:r>
      <w:r w:rsidR="00F95829" w:rsidRPr="000508B6">
        <w:rPr>
          <w:rFonts w:ascii="Times New Roman" w:eastAsia="Times New Roman" w:hAnsi="Times New Roman" w:cs="Times New Roman"/>
          <w:b/>
          <w:lang w:val="ro-MD"/>
        </w:rPr>
        <w:t>C U P R I N S</w:t>
      </w:r>
    </w:p>
    <w:p w14:paraId="422DBDDA" w14:textId="77777777" w:rsidR="00F95829" w:rsidRPr="000508B6" w:rsidRDefault="00F95829" w:rsidP="008B530F">
      <w:pPr>
        <w:spacing w:after="0" w:line="240" w:lineRule="auto"/>
        <w:ind w:firstLine="426"/>
        <w:rPr>
          <w:rFonts w:ascii="Times New Roman" w:eastAsia="Times New Roman" w:hAnsi="Times New Roman" w:cs="Times New Roman"/>
          <w:b/>
          <w:lang w:val="ro-MD"/>
        </w:rPr>
      </w:pPr>
      <w:r w:rsidRPr="000508B6">
        <w:rPr>
          <w:rFonts w:ascii="Times New Roman" w:eastAsia="Times New Roman" w:hAnsi="Times New Roman" w:cs="Times New Roman"/>
          <w:b/>
          <w:lang w:val="ro-MD"/>
        </w:rPr>
        <w:t> </w:t>
      </w:r>
    </w:p>
    <w:p w14:paraId="5F109E0D"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
    <w:p w14:paraId="1B8C4B4A" w14:textId="69389345"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w:t>
      </w:r>
      <w:r w:rsidR="00F95829" w:rsidRPr="000508B6">
        <w:rPr>
          <w:rFonts w:ascii="Times New Roman" w:eastAsia="Times New Roman" w:hAnsi="Times New Roman" w:cs="Times New Roman"/>
          <w:b/>
          <w:lang w:val="ro-MD"/>
        </w:rPr>
        <w:t>I</w:t>
      </w:r>
      <w:r w:rsidR="00190F09" w:rsidRPr="000508B6">
        <w:rPr>
          <w:rFonts w:ascii="Times New Roman" w:eastAsia="Times New Roman" w:hAnsi="Times New Roman" w:cs="Times New Roman"/>
          <w:b/>
          <w:lang w:val="ro-MD"/>
        </w:rPr>
        <w:t xml:space="preserve"> </w:t>
      </w:r>
    </w:p>
    <w:p w14:paraId="7031254E"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DISPOZIŢII GENERALE</w:t>
      </w:r>
    </w:p>
    <w:p w14:paraId="28710FDB" w14:textId="7777777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1. Obiectul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scopul legii</w:t>
      </w:r>
    </w:p>
    <w:p w14:paraId="2B7A05E7" w14:textId="49D4064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2. Domeniul de aplicare</w:t>
      </w:r>
      <w:r w:rsidR="00916B99" w:rsidRPr="000508B6">
        <w:rPr>
          <w:rFonts w:ascii="Times New Roman" w:eastAsia="Times New Roman" w:hAnsi="Times New Roman" w:cs="Times New Roman"/>
          <w:lang w:val="ro-MD"/>
        </w:rPr>
        <w:t xml:space="preserve"> </w:t>
      </w:r>
    </w:p>
    <w:p w14:paraId="03412D56" w14:textId="42AF441C"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E60BE7"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Noţiuni</w:t>
      </w:r>
      <w:proofErr w:type="spellEnd"/>
      <w:r w:rsidRPr="000508B6">
        <w:rPr>
          <w:rFonts w:ascii="Times New Roman" w:eastAsia="Times New Roman" w:hAnsi="Times New Roman" w:cs="Times New Roman"/>
          <w:lang w:val="ro-MD"/>
        </w:rPr>
        <w:t xml:space="preserve"> </w:t>
      </w:r>
    </w:p>
    <w:p w14:paraId="3FA55254" w14:textId="6147F2CA" w:rsidR="00F95829" w:rsidRPr="000508B6" w:rsidRDefault="00F95829" w:rsidP="008B530F">
      <w:pPr>
        <w:spacing w:after="0" w:line="240" w:lineRule="auto"/>
        <w:ind w:firstLine="426"/>
        <w:rPr>
          <w:rFonts w:ascii="Times New Roman" w:eastAsia="Times New Roman" w:hAnsi="Times New Roman" w:cs="Times New Roman"/>
          <w:lang w:val="ro-MD"/>
        </w:rPr>
      </w:pPr>
    </w:p>
    <w:p w14:paraId="0DD019B4" w14:textId="5A3BCB1F" w:rsidR="00F36BFE" w:rsidRPr="000508B6" w:rsidRDefault="00F95829" w:rsidP="008B530F">
      <w:pPr>
        <w:spacing w:after="0" w:line="240" w:lineRule="auto"/>
        <w:ind w:firstLine="426"/>
        <w:jc w:val="center"/>
        <w:rPr>
          <w:rFonts w:ascii="Times New Roman" w:hAnsi="Times New Roman" w:cs="Times New Roman"/>
          <w:lang w:val="ro-MD"/>
        </w:rPr>
      </w:pPr>
      <w:r w:rsidRPr="000508B6">
        <w:rPr>
          <w:rFonts w:ascii="Times New Roman" w:eastAsia="Times New Roman" w:hAnsi="Times New Roman" w:cs="Times New Roman"/>
          <w:lang w:val="ro-MD"/>
        </w:rPr>
        <w:t> </w:t>
      </w:r>
      <w:r w:rsidR="00F36BFE" w:rsidRPr="000508B6">
        <w:rPr>
          <w:rFonts w:ascii="Times New Roman" w:eastAsia="Times New Roman" w:hAnsi="Times New Roman" w:cs="Times New Roman"/>
          <w:b/>
          <w:lang w:val="ro-MD"/>
        </w:rPr>
        <w:t xml:space="preserve">CAPITOLUL </w:t>
      </w:r>
      <w:r w:rsidRPr="000508B6">
        <w:rPr>
          <w:rFonts w:ascii="Times New Roman" w:eastAsia="Times New Roman" w:hAnsi="Times New Roman" w:cs="Times New Roman"/>
          <w:b/>
          <w:lang w:val="ro-MD"/>
        </w:rPr>
        <w:t>II</w:t>
      </w:r>
      <w:r w:rsidR="001175D3" w:rsidRPr="000508B6">
        <w:rPr>
          <w:rFonts w:ascii="Times New Roman" w:eastAsia="Times New Roman" w:hAnsi="Times New Roman" w:cs="Times New Roman"/>
          <w:b/>
          <w:lang w:val="ro-MD"/>
        </w:rPr>
        <w:t xml:space="preserve"> </w:t>
      </w:r>
    </w:p>
    <w:p w14:paraId="0BBC0CA7" w14:textId="394A3A44"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CERINȚE PRIVIND ACCESUL LA ACTIVITATE ȘI DESFĂȘURAREA ACTIVITĂȚILOR DE ASIGURARE SAU DE REASIGURARE</w:t>
      </w:r>
    </w:p>
    <w:p w14:paraId="483E1445"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w:t>
      </w:r>
    </w:p>
    <w:p w14:paraId="109C7E5A" w14:textId="7630BBED"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1</w:t>
      </w:r>
      <w:r w:rsidR="001175D3" w:rsidRPr="000508B6">
        <w:rPr>
          <w:rFonts w:ascii="Times New Roman" w:eastAsia="Times New Roman" w:hAnsi="Times New Roman" w:cs="Times New Roman"/>
          <w:b/>
          <w:lang w:val="ro-MD"/>
        </w:rPr>
        <w:t xml:space="preserve"> </w:t>
      </w:r>
    </w:p>
    <w:p w14:paraId="5EA7E9A8" w14:textId="5ACF5BF8" w:rsidR="00F95829" w:rsidRPr="000508B6" w:rsidRDefault="00F95829" w:rsidP="008B530F">
      <w:pPr>
        <w:spacing w:after="0" w:line="240" w:lineRule="auto"/>
        <w:ind w:firstLine="426"/>
        <w:jc w:val="center"/>
        <w:rPr>
          <w:rFonts w:ascii="Times New Roman" w:eastAsia="Times New Roman" w:hAnsi="Times New Roman" w:cs="Times New Roman"/>
          <w:b/>
          <w:lang w:val="ro-MD"/>
        </w:rPr>
      </w:pPr>
      <w:bookmarkStart w:id="1" w:name="_Hlk221886290"/>
      <w:proofErr w:type="spellStart"/>
      <w:r w:rsidRPr="000508B6">
        <w:rPr>
          <w:rFonts w:ascii="Times New Roman" w:eastAsia="Times New Roman" w:hAnsi="Times New Roman" w:cs="Times New Roman"/>
          <w:b/>
          <w:lang w:val="ro-MD"/>
        </w:rPr>
        <w:t>Licenţierea</w:t>
      </w:r>
      <w:proofErr w:type="spellEnd"/>
      <w:r w:rsidRPr="000508B6">
        <w:rPr>
          <w:rFonts w:ascii="Times New Roman" w:eastAsia="Times New Roman" w:hAnsi="Times New Roman" w:cs="Times New Roman"/>
          <w:b/>
          <w:lang w:val="ro-MD"/>
        </w:rPr>
        <w:t xml:space="preserve"> </w:t>
      </w:r>
      <w:r w:rsidR="008370D1" w:rsidRPr="000508B6">
        <w:rPr>
          <w:rFonts w:ascii="Times New Roman" w:eastAsia="Times New Roman" w:hAnsi="Times New Roman" w:cs="Times New Roman"/>
          <w:b/>
          <w:lang w:val="ro-MD"/>
        </w:rPr>
        <w:t>asigur</w:t>
      </w:r>
      <w:r w:rsidR="00715311" w:rsidRPr="000508B6">
        <w:rPr>
          <w:rFonts w:ascii="Times New Roman" w:eastAsia="Times New Roman" w:hAnsi="Times New Roman" w:cs="Times New Roman"/>
          <w:b/>
          <w:lang w:val="ro-MD"/>
        </w:rPr>
        <w:t>ă</w:t>
      </w:r>
      <w:r w:rsidR="008370D1" w:rsidRPr="000508B6">
        <w:rPr>
          <w:rFonts w:ascii="Times New Roman" w:eastAsia="Times New Roman" w:hAnsi="Times New Roman" w:cs="Times New Roman"/>
          <w:b/>
          <w:lang w:val="ro-MD"/>
        </w:rPr>
        <w:t xml:space="preserve">torului și </w:t>
      </w:r>
      <w:proofErr w:type="spellStart"/>
      <w:r w:rsidR="008370D1" w:rsidRPr="000508B6">
        <w:rPr>
          <w:rFonts w:ascii="Times New Roman" w:eastAsia="Times New Roman" w:hAnsi="Times New Roman" w:cs="Times New Roman"/>
          <w:b/>
          <w:lang w:val="ro-MD"/>
        </w:rPr>
        <w:t>reasigur</w:t>
      </w:r>
      <w:r w:rsidR="00715311" w:rsidRPr="000508B6">
        <w:rPr>
          <w:rFonts w:ascii="Times New Roman" w:eastAsia="Times New Roman" w:hAnsi="Times New Roman" w:cs="Times New Roman"/>
          <w:b/>
          <w:lang w:val="ro-MD"/>
        </w:rPr>
        <w:t>ă</w:t>
      </w:r>
      <w:r w:rsidR="008370D1" w:rsidRPr="000508B6">
        <w:rPr>
          <w:rFonts w:ascii="Times New Roman" w:eastAsia="Times New Roman" w:hAnsi="Times New Roman" w:cs="Times New Roman"/>
          <w:b/>
          <w:lang w:val="ro-MD"/>
        </w:rPr>
        <w:t>torului</w:t>
      </w:r>
      <w:proofErr w:type="spellEnd"/>
    </w:p>
    <w:bookmarkEnd w:id="1"/>
    <w:p w14:paraId="6ABBBD40" w14:textId="13036FF5"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A70554"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Prevederi generale</w:t>
      </w:r>
      <w:r w:rsidR="00A70554" w:rsidRPr="000508B6">
        <w:rPr>
          <w:rFonts w:ascii="Times New Roman" w:eastAsia="Times New Roman" w:hAnsi="Times New Roman" w:cs="Times New Roman"/>
          <w:lang w:val="ro-MD"/>
        </w:rPr>
        <w:t xml:space="preserve"> privind licențierea</w:t>
      </w:r>
    </w:p>
    <w:p w14:paraId="3F583DAE" w14:textId="550955AF"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926A5"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 xml:space="preserve">. </w:t>
      </w:r>
      <w:r w:rsidR="0012668E" w:rsidRPr="000508B6">
        <w:rPr>
          <w:rFonts w:ascii="Times New Roman" w:eastAsia="Times New Roman" w:hAnsi="Times New Roman" w:cs="Times New Roman"/>
          <w:lang w:val="ro-MD"/>
        </w:rPr>
        <w:t>Aprobarea prealabilă de consti</w:t>
      </w:r>
      <w:r w:rsidR="00554298" w:rsidRPr="000508B6">
        <w:rPr>
          <w:rFonts w:ascii="Times New Roman" w:eastAsia="Times New Roman" w:hAnsi="Times New Roman" w:cs="Times New Roman"/>
          <w:lang w:val="ro-MD"/>
        </w:rPr>
        <w:t>t</w:t>
      </w:r>
      <w:r w:rsidR="0012668E" w:rsidRPr="000508B6">
        <w:rPr>
          <w:rFonts w:ascii="Times New Roman" w:eastAsia="Times New Roman" w:hAnsi="Times New Roman" w:cs="Times New Roman"/>
          <w:lang w:val="ro-MD"/>
        </w:rPr>
        <w:t>uire</w:t>
      </w:r>
    </w:p>
    <w:p w14:paraId="4B6E9DD1" w14:textId="2F7EF471" w:rsidR="0036526D" w:rsidRPr="000508B6" w:rsidRDefault="0036526D"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926A5"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 Procedura de acordare a licenței</w:t>
      </w:r>
    </w:p>
    <w:p w14:paraId="24137E00" w14:textId="06EDE5CA"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sidDel="00B20C59">
        <w:rPr>
          <w:rFonts w:ascii="Times New Roman" w:eastAsia="Times New Roman" w:hAnsi="Times New Roman" w:cs="Times New Roman"/>
          <w:lang w:val="ro-MD"/>
        </w:rPr>
        <w:t xml:space="preserve">Articolul </w:t>
      </w:r>
      <w:r w:rsidR="007D263A"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 Planul de afaceri</w:t>
      </w:r>
    </w:p>
    <w:p w14:paraId="0C9078C0" w14:textId="09CED60C"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D263A"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 xml:space="preserve">. Reperfectarea </w:t>
      </w:r>
      <w:proofErr w:type="spellStart"/>
      <w:r w:rsidRPr="000508B6">
        <w:rPr>
          <w:rFonts w:ascii="Times New Roman" w:eastAsia="Times New Roman" w:hAnsi="Times New Roman" w:cs="Times New Roman"/>
          <w:lang w:val="ro-MD"/>
        </w:rPr>
        <w:t>licenţei</w:t>
      </w:r>
      <w:proofErr w:type="spellEnd"/>
    </w:p>
    <w:p w14:paraId="17570A01" w14:textId="2143A322" w:rsidR="00BA7AE1" w:rsidRPr="000508B6" w:rsidRDefault="00BA7AE1"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9. Registrul </w:t>
      </w:r>
      <w:r w:rsidR="00C35E1B" w:rsidRPr="000508B6">
        <w:rPr>
          <w:rFonts w:ascii="Times New Roman" w:eastAsia="Times New Roman" w:hAnsi="Times New Roman" w:cs="Times New Roman"/>
          <w:lang w:val="ro-MD"/>
        </w:rPr>
        <w:t>asigu</w:t>
      </w:r>
      <w:r w:rsidR="00715311" w:rsidRPr="000508B6">
        <w:rPr>
          <w:rFonts w:ascii="Times New Roman" w:eastAsia="Times New Roman" w:hAnsi="Times New Roman" w:cs="Times New Roman"/>
          <w:lang w:val="ro-MD"/>
        </w:rPr>
        <w:t>ră</w:t>
      </w:r>
      <w:r w:rsidR="00C35E1B" w:rsidRPr="000508B6">
        <w:rPr>
          <w:rFonts w:ascii="Times New Roman" w:eastAsia="Times New Roman" w:hAnsi="Times New Roman" w:cs="Times New Roman"/>
          <w:lang w:val="ro-MD"/>
        </w:rPr>
        <w:t xml:space="preserve">torilor și </w:t>
      </w:r>
      <w:proofErr w:type="spellStart"/>
      <w:r w:rsidR="00C35E1B" w:rsidRPr="000508B6">
        <w:rPr>
          <w:rFonts w:ascii="Times New Roman" w:eastAsia="Times New Roman" w:hAnsi="Times New Roman" w:cs="Times New Roman"/>
          <w:lang w:val="ro-MD"/>
        </w:rPr>
        <w:t>reasigur</w:t>
      </w:r>
      <w:r w:rsidR="00715311" w:rsidRPr="000508B6">
        <w:rPr>
          <w:rFonts w:ascii="Times New Roman" w:eastAsia="Times New Roman" w:hAnsi="Times New Roman" w:cs="Times New Roman"/>
          <w:lang w:val="ro-MD"/>
        </w:rPr>
        <w:t>ă</w:t>
      </w:r>
      <w:r w:rsidR="00C35E1B" w:rsidRPr="000508B6">
        <w:rPr>
          <w:rFonts w:ascii="Times New Roman" w:eastAsia="Times New Roman" w:hAnsi="Times New Roman" w:cs="Times New Roman"/>
          <w:lang w:val="ro-MD"/>
        </w:rPr>
        <w:t>torilor</w:t>
      </w:r>
      <w:proofErr w:type="spellEnd"/>
    </w:p>
    <w:p w14:paraId="1D7524DC" w14:textId="2B1D055A"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A7AE1" w:rsidRPr="000508B6">
        <w:rPr>
          <w:rFonts w:ascii="Times New Roman" w:eastAsia="Times New Roman" w:hAnsi="Times New Roman" w:cs="Times New Roman"/>
          <w:lang w:val="ro-MD"/>
        </w:rPr>
        <w:t>10</w:t>
      </w:r>
      <w:r w:rsidRPr="000508B6">
        <w:rPr>
          <w:rFonts w:ascii="Times New Roman" w:eastAsia="Times New Roman" w:hAnsi="Times New Roman" w:cs="Times New Roman"/>
          <w:lang w:val="ro-MD"/>
        </w:rPr>
        <w:t xml:space="preserve">. </w:t>
      </w:r>
      <w:r w:rsidR="0036526D" w:rsidRPr="000508B6">
        <w:rPr>
          <w:rFonts w:ascii="Times New Roman" w:eastAsia="Times New Roman" w:hAnsi="Times New Roman" w:cs="Times New Roman"/>
          <w:lang w:val="ro-MD"/>
        </w:rPr>
        <w:t>Taxe</w:t>
      </w:r>
    </w:p>
    <w:p w14:paraId="45A6C017" w14:textId="456CC573" w:rsidR="0036526D" w:rsidRPr="000508B6" w:rsidRDefault="0036526D" w:rsidP="008B530F">
      <w:pPr>
        <w:spacing w:after="0" w:line="240" w:lineRule="auto"/>
        <w:ind w:firstLine="426"/>
        <w:jc w:val="both"/>
        <w:rPr>
          <w:rFonts w:ascii="Times New Roman" w:eastAsia="Times New Roman" w:hAnsi="Times New Roman" w:cs="Times New Roman"/>
          <w:lang w:val="ro-MD"/>
        </w:rPr>
      </w:pPr>
    </w:p>
    <w:p w14:paraId="43B21FBA" w14:textId="6D98E809" w:rsidR="00F95829" w:rsidRPr="000508B6" w:rsidRDefault="00F95829" w:rsidP="008B530F">
      <w:pPr>
        <w:spacing w:after="0" w:line="240" w:lineRule="auto"/>
        <w:ind w:firstLine="426"/>
        <w:jc w:val="center"/>
        <w:rPr>
          <w:rFonts w:ascii="Times New Roman" w:eastAsia="Times New Roman" w:hAnsi="Times New Roman" w:cs="Times New Roman"/>
          <w:b/>
          <w:vertAlign w:val="superscript"/>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2 </w:t>
      </w:r>
    </w:p>
    <w:p w14:paraId="2377F931" w14:textId="37ECBE03" w:rsidR="00F95829" w:rsidRPr="000508B6" w:rsidRDefault="00F95829" w:rsidP="008B530F">
      <w:pPr>
        <w:spacing w:after="0" w:line="240" w:lineRule="auto"/>
        <w:ind w:firstLine="426"/>
        <w:jc w:val="center"/>
        <w:rPr>
          <w:rFonts w:ascii="Times New Roman" w:eastAsia="Times New Roman" w:hAnsi="Times New Roman" w:cs="Times New Roman"/>
          <w:b/>
          <w:lang w:val="ro-MD"/>
        </w:rPr>
      </w:pPr>
      <w:bookmarkStart w:id="2" w:name="_Hlk221886326"/>
      <w:r w:rsidRPr="000508B6">
        <w:rPr>
          <w:rFonts w:ascii="Times New Roman" w:eastAsia="Times New Roman" w:hAnsi="Times New Roman" w:cs="Times New Roman"/>
          <w:b/>
          <w:lang w:val="ro-MD"/>
        </w:rPr>
        <w:t>Participații</w:t>
      </w:r>
      <w:r w:rsidR="00775374" w:rsidRPr="000508B6">
        <w:rPr>
          <w:rFonts w:ascii="Times New Roman" w:eastAsia="Times New Roman" w:hAnsi="Times New Roman" w:cs="Times New Roman"/>
          <w:b/>
          <w:lang w:val="ro-MD"/>
        </w:rPr>
        <w:t>le</w:t>
      </w:r>
      <w:r w:rsidRPr="000508B6">
        <w:rPr>
          <w:rFonts w:ascii="Times New Roman" w:eastAsia="Times New Roman" w:hAnsi="Times New Roman" w:cs="Times New Roman"/>
          <w:b/>
          <w:lang w:val="ro-MD"/>
        </w:rPr>
        <w:t xml:space="preserve"> calificate</w:t>
      </w:r>
    </w:p>
    <w:bookmarkEnd w:id="2"/>
    <w:p w14:paraId="4C9F7F60" w14:textId="4FCB8DA8" w:rsidR="00F95829" w:rsidRPr="000508B6" w:rsidRDefault="00F95829" w:rsidP="007C59F4">
      <w:pPr>
        <w:tabs>
          <w:tab w:val="left" w:pos="851"/>
        </w:tabs>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F06A2B" w:rsidRPr="000508B6">
        <w:rPr>
          <w:rFonts w:ascii="Times New Roman" w:eastAsia="Times New Roman" w:hAnsi="Times New Roman" w:cs="Times New Roman"/>
          <w:lang w:val="ro-MD"/>
        </w:rPr>
        <w:t>11</w:t>
      </w:r>
      <w:r w:rsidRPr="000508B6">
        <w:rPr>
          <w:rFonts w:ascii="Times New Roman" w:eastAsia="Times New Roman" w:hAnsi="Times New Roman" w:cs="Times New Roman"/>
          <w:lang w:val="ro-MD"/>
        </w:rPr>
        <w:t xml:space="preserve">. </w:t>
      </w:r>
      <w:r w:rsidR="007C59F4"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cționarii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36526D" w:rsidRPr="000508B6">
        <w:rPr>
          <w:rFonts w:ascii="Times New Roman" w:eastAsia="Times New Roman" w:hAnsi="Times New Roman" w:cs="Times New Roman"/>
          <w:lang w:val="ro-MD"/>
        </w:rPr>
        <w:t xml:space="preserve"> </w:t>
      </w:r>
    </w:p>
    <w:p w14:paraId="1DE67705" w14:textId="6E23E8A4"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F06A2B" w:rsidRPr="000508B6">
        <w:rPr>
          <w:rFonts w:ascii="Times New Roman" w:eastAsia="Times New Roman" w:hAnsi="Times New Roman" w:cs="Times New Roman"/>
          <w:lang w:val="ro-MD"/>
        </w:rPr>
        <w:t>12</w:t>
      </w:r>
      <w:r w:rsidRPr="000508B6">
        <w:rPr>
          <w:rFonts w:ascii="Times New Roman" w:eastAsia="Times New Roman" w:hAnsi="Times New Roman" w:cs="Times New Roman"/>
          <w:lang w:val="ro-MD"/>
        </w:rPr>
        <w:t xml:space="preserve">. </w:t>
      </w:r>
      <w:proofErr w:type="spellStart"/>
      <w:r w:rsidR="0036526D" w:rsidRPr="000508B6">
        <w:rPr>
          <w:rFonts w:ascii="Times New Roman" w:eastAsia="Times New Roman" w:hAnsi="Times New Roman" w:cs="Times New Roman"/>
          <w:lang w:val="ro-MD"/>
        </w:rPr>
        <w:t>Achiziţiile</w:t>
      </w:r>
      <w:proofErr w:type="spellEnd"/>
      <w:r w:rsidR="0036526D" w:rsidRPr="000508B6">
        <w:rPr>
          <w:rFonts w:ascii="Times New Roman" w:eastAsia="Times New Roman" w:hAnsi="Times New Roman" w:cs="Times New Roman"/>
          <w:lang w:val="ro-MD"/>
        </w:rPr>
        <w:t xml:space="preserve">. Termenul de evaluare a </w:t>
      </w:r>
      <w:r w:rsidR="00947203" w:rsidRPr="000508B6">
        <w:rPr>
          <w:rFonts w:ascii="Times New Roman" w:eastAsia="Times New Roman" w:hAnsi="Times New Roman" w:cs="Times New Roman"/>
          <w:lang w:val="ro-MD"/>
        </w:rPr>
        <w:t xml:space="preserve">achiziției </w:t>
      </w:r>
    </w:p>
    <w:p w14:paraId="313A1209" w14:textId="352001DA" w:rsidR="0036526D"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F06A2B" w:rsidRPr="000508B6">
        <w:rPr>
          <w:rFonts w:ascii="Times New Roman" w:eastAsia="Times New Roman" w:hAnsi="Times New Roman" w:cs="Times New Roman"/>
          <w:lang w:val="ro-MD"/>
        </w:rPr>
        <w:t>13</w:t>
      </w:r>
      <w:r w:rsidRPr="000508B6">
        <w:rPr>
          <w:rFonts w:ascii="Times New Roman" w:eastAsia="Times New Roman" w:hAnsi="Times New Roman" w:cs="Times New Roman"/>
          <w:lang w:val="ro-MD"/>
        </w:rPr>
        <w:t xml:space="preserve">. Evaluarea </w:t>
      </w:r>
      <w:r w:rsidR="00A70A9B" w:rsidRPr="000508B6">
        <w:rPr>
          <w:rFonts w:ascii="Times New Roman" w:eastAsia="Times New Roman" w:hAnsi="Times New Roman" w:cs="Times New Roman"/>
          <w:lang w:val="ro-MD"/>
        </w:rPr>
        <w:t>poten</w:t>
      </w:r>
      <w:r w:rsidR="00776975" w:rsidRPr="000508B6">
        <w:rPr>
          <w:rFonts w:ascii="Times New Roman" w:eastAsia="Times New Roman" w:hAnsi="Times New Roman" w:cs="Times New Roman"/>
          <w:lang w:val="ro-MD"/>
        </w:rPr>
        <w:t>ț</w:t>
      </w:r>
      <w:r w:rsidR="00A70A9B" w:rsidRPr="000508B6">
        <w:rPr>
          <w:rFonts w:ascii="Times New Roman" w:eastAsia="Times New Roman" w:hAnsi="Times New Roman" w:cs="Times New Roman"/>
          <w:lang w:val="ro-MD"/>
        </w:rPr>
        <w:t xml:space="preserve">ialului </w:t>
      </w:r>
      <w:r w:rsidRPr="000508B6">
        <w:rPr>
          <w:rFonts w:ascii="Times New Roman" w:eastAsia="Times New Roman" w:hAnsi="Times New Roman" w:cs="Times New Roman"/>
          <w:lang w:val="ro-MD"/>
        </w:rPr>
        <w:t>achizitor</w:t>
      </w:r>
      <w:r w:rsidR="004F1EAC" w:rsidRPr="000508B6">
        <w:rPr>
          <w:rFonts w:ascii="Times New Roman" w:eastAsia="Times New Roman" w:hAnsi="Times New Roman" w:cs="Times New Roman"/>
          <w:lang w:val="ro-MD"/>
        </w:rPr>
        <w:t>/dobânditor</w:t>
      </w:r>
      <w:r w:rsidRPr="000508B6">
        <w:rPr>
          <w:rFonts w:ascii="Times New Roman" w:eastAsia="Times New Roman" w:hAnsi="Times New Roman" w:cs="Times New Roman"/>
          <w:lang w:val="ro-MD"/>
        </w:rPr>
        <w:t xml:space="preserve"> </w:t>
      </w:r>
    </w:p>
    <w:p w14:paraId="4FF7EAB5" w14:textId="47CF8B13" w:rsidR="00F06A2B"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F06A2B" w:rsidRPr="000508B6">
        <w:rPr>
          <w:rFonts w:ascii="Times New Roman" w:eastAsia="Times New Roman" w:hAnsi="Times New Roman" w:cs="Times New Roman"/>
          <w:lang w:val="ro-MD"/>
        </w:rPr>
        <w:t xml:space="preserve">14. </w:t>
      </w:r>
      <w:r w:rsidR="002840EA" w:rsidRPr="000508B6">
        <w:rPr>
          <w:rFonts w:ascii="Times New Roman" w:eastAsia="Times New Roman" w:hAnsi="Times New Roman" w:cs="Times New Roman"/>
          <w:lang w:val="ro-MD"/>
        </w:rPr>
        <w:t xml:space="preserve">Exceptarea de la </w:t>
      </w:r>
      <w:proofErr w:type="spellStart"/>
      <w:r w:rsidR="002840EA" w:rsidRPr="000508B6">
        <w:rPr>
          <w:rFonts w:ascii="Times New Roman" w:eastAsia="Times New Roman" w:hAnsi="Times New Roman" w:cs="Times New Roman"/>
          <w:lang w:val="ro-MD"/>
        </w:rPr>
        <w:t>obligaţia</w:t>
      </w:r>
      <w:proofErr w:type="spellEnd"/>
      <w:r w:rsidR="002840EA" w:rsidRPr="000508B6">
        <w:rPr>
          <w:rFonts w:ascii="Times New Roman" w:eastAsia="Times New Roman" w:hAnsi="Times New Roman" w:cs="Times New Roman"/>
          <w:lang w:val="ro-MD"/>
        </w:rPr>
        <w:t xml:space="preserve"> de solicitare în prealabil a aprobării</w:t>
      </w:r>
    </w:p>
    <w:p w14:paraId="28D3EDBA" w14:textId="39C5EE66" w:rsidR="00237B65" w:rsidRPr="000508B6" w:rsidRDefault="00237B65"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15.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transmise de către </w:t>
      </w:r>
      <w:r w:rsidR="002525CE" w:rsidRPr="000508B6">
        <w:rPr>
          <w:rFonts w:ascii="Times New Roman" w:eastAsia="Times New Roman" w:hAnsi="Times New Roman" w:cs="Times New Roman"/>
          <w:lang w:val="ro-MD"/>
        </w:rPr>
        <w:t xml:space="preserve">asigurător sau </w:t>
      </w:r>
      <w:proofErr w:type="spellStart"/>
      <w:r w:rsidR="002525CE" w:rsidRPr="000508B6">
        <w:rPr>
          <w:rFonts w:ascii="Times New Roman" w:eastAsia="Times New Roman" w:hAnsi="Times New Roman" w:cs="Times New Roman"/>
          <w:lang w:val="ro-MD"/>
        </w:rPr>
        <w:t>reasigurător</w:t>
      </w:r>
      <w:proofErr w:type="spellEnd"/>
    </w:p>
    <w:p w14:paraId="5873728D" w14:textId="2FFE276E"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hAnsi="Times New Roman" w:cs="Times New Roman"/>
          <w:lang w:val="ro-MD"/>
        </w:rPr>
        <w:t xml:space="preserve">Articolul </w:t>
      </w:r>
      <w:r w:rsidR="00237B65" w:rsidRPr="000508B6">
        <w:rPr>
          <w:rFonts w:ascii="Times New Roman" w:hAnsi="Times New Roman" w:cs="Times New Roman"/>
          <w:lang w:val="ro-MD"/>
        </w:rPr>
        <w:t>16</w:t>
      </w:r>
      <w:r w:rsidRPr="000508B6">
        <w:rPr>
          <w:rFonts w:ascii="Times New Roman" w:hAnsi="Times New Roman" w:cs="Times New Roman"/>
          <w:lang w:val="ro-MD"/>
        </w:rPr>
        <w:t>.</w:t>
      </w:r>
      <w:r w:rsidRPr="000508B6">
        <w:rPr>
          <w:rFonts w:ascii="Times New Roman" w:hAnsi="Times New Roman" w:cs="Times New Roman"/>
          <w:b/>
          <w:lang w:val="ro-MD"/>
        </w:rPr>
        <w:t xml:space="preserve"> </w:t>
      </w:r>
      <w:r w:rsidR="002840EA" w:rsidRPr="000508B6">
        <w:rPr>
          <w:rFonts w:ascii="Times New Roman" w:hAnsi="Times New Roman" w:cs="Times New Roman"/>
          <w:lang w:val="ro-MD"/>
        </w:rPr>
        <w:t>Nerespectarea cerințelor privind achizițiile sau calitatea de acționar</w:t>
      </w:r>
    </w:p>
    <w:p w14:paraId="5FFE813C" w14:textId="30A1E06A" w:rsidR="00F95829" w:rsidRPr="000508B6" w:rsidRDefault="0036526D"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237B65" w:rsidRPr="000508B6">
        <w:rPr>
          <w:rFonts w:ascii="Times New Roman" w:eastAsia="Times New Roman" w:hAnsi="Times New Roman" w:cs="Times New Roman"/>
          <w:lang w:val="ro-MD"/>
        </w:rPr>
        <w:t>17</w:t>
      </w:r>
      <w:r w:rsidR="000158D5"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2840EA" w:rsidRPr="000508B6">
        <w:rPr>
          <w:rFonts w:ascii="Times New Roman" w:eastAsia="Times New Roman" w:hAnsi="Times New Roman" w:cs="Times New Roman"/>
          <w:lang w:val="ro-MD"/>
        </w:rPr>
        <w:t xml:space="preserve">Procedura de anulare, emitere, vânzare, </w:t>
      </w:r>
      <w:proofErr w:type="spellStart"/>
      <w:r w:rsidR="002840EA" w:rsidRPr="000508B6">
        <w:rPr>
          <w:rFonts w:ascii="Times New Roman" w:eastAsia="Times New Roman" w:hAnsi="Times New Roman" w:cs="Times New Roman"/>
          <w:lang w:val="ro-MD"/>
        </w:rPr>
        <w:t>achiziţionare</w:t>
      </w:r>
      <w:proofErr w:type="spellEnd"/>
      <w:r w:rsidR="002840EA" w:rsidRPr="000508B6">
        <w:rPr>
          <w:rFonts w:ascii="Times New Roman" w:eastAsia="Times New Roman" w:hAnsi="Times New Roman" w:cs="Times New Roman"/>
          <w:lang w:val="ro-MD"/>
        </w:rPr>
        <w:t xml:space="preserve"> </w:t>
      </w:r>
      <w:proofErr w:type="spellStart"/>
      <w:r w:rsidR="002840EA" w:rsidRPr="000508B6">
        <w:rPr>
          <w:rFonts w:ascii="Times New Roman" w:eastAsia="Times New Roman" w:hAnsi="Times New Roman" w:cs="Times New Roman"/>
          <w:lang w:val="ro-MD"/>
        </w:rPr>
        <w:t>şi</w:t>
      </w:r>
      <w:proofErr w:type="spellEnd"/>
      <w:r w:rsidR="002840EA" w:rsidRPr="000508B6">
        <w:rPr>
          <w:rFonts w:ascii="Times New Roman" w:eastAsia="Times New Roman" w:hAnsi="Times New Roman" w:cs="Times New Roman"/>
          <w:lang w:val="ro-MD"/>
        </w:rPr>
        <w:t xml:space="preserve"> convertire a cotelor de participare </w:t>
      </w:r>
      <w:proofErr w:type="spellStart"/>
      <w:r w:rsidR="002840EA" w:rsidRPr="000508B6">
        <w:rPr>
          <w:rFonts w:ascii="Times New Roman" w:eastAsia="Times New Roman" w:hAnsi="Times New Roman" w:cs="Times New Roman"/>
          <w:lang w:val="ro-MD"/>
        </w:rPr>
        <w:t>deţinute</w:t>
      </w:r>
      <w:proofErr w:type="spellEnd"/>
      <w:r w:rsidR="002840EA" w:rsidRPr="000508B6">
        <w:rPr>
          <w:rFonts w:ascii="Times New Roman" w:eastAsia="Times New Roman" w:hAnsi="Times New Roman" w:cs="Times New Roman"/>
          <w:lang w:val="ro-MD"/>
        </w:rPr>
        <w:t xml:space="preserve"> cu nerespectarea </w:t>
      </w:r>
      <w:proofErr w:type="spellStart"/>
      <w:r w:rsidR="002840EA" w:rsidRPr="000508B6">
        <w:rPr>
          <w:rFonts w:ascii="Times New Roman" w:eastAsia="Times New Roman" w:hAnsi="Times New Roman" w:cs="Times New Roman"/>
          <w:lang w:val="ro-MD"/>
        </w:rPr>
        <w:t>cerinţelor</w:t>
      </w:r>
      <w:proofErr w:type="spellEnd"/>
      <w:r w:rsidR="002840EA" w:rsidRPr="000508B6">
        <w:rPr>
          <w:rFonts w:ascii="Times New Roman" w:eastAsia="Times New Roman" w:hAnsi="Times New Roman" w:cs="Times New Roman"/>
          <w:lang w:val="ro-MD"/>
        </w:rPr>
        <w:t xml:space="preserve"> privind calitatea </w:t>
      </w:r>
      <w:proofErr w:type="spellStart"/>
      <w:r w:rsidR="002840EA" w:rsidRPr="000508B6">
        <w:rPr>
          <w:rFonts w:ascii="Times New Roman" w:eastAsia="Times New Roman" w:hAnsi="Times New Roman" w:cs="Times New Roman"/>
          <w:lang w:val="ro-MD"/>
        </w:rPr>
        <w:t>acţionariatului</w:t>
      </w:r>
      <w:proofErr w:type="spellEnd"/>
    </w:p>
    <w:p w14:paraId="338A3D54"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
    <w:p w14:paraId="595F8127" w14:textId="7B278ACA" w:rsidR="00F95829" w:rsidRPr="000508B6" w:rsidRDefault="00F95829" w:rsidP="008B530F">
      <w:pPr>
        <w:spacing w:after="0" w:line="240" w:lineRule="auto"/>
        <w:ind w:firstLine="426"/>
        <w:jc w:val="center"/>
        <w:rPr>
          <w:rFonts w:ascii="Times New Roman" w:eastAsia="Times New Roman" w:hAnsi="Times New Roman" w:cs="Times New Roman"/>
          <w:b/>
          <w:vertAlign w:val="superscript"/>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3 </w:t>
      </w:r>
    </w:p>
    <w:p w14:paraId="7BEE6AD5" w14:textId="77777777" w:rsidR="00B4539D" w:rsidRPr="000508B6" w:rsidRDefault="00B4539D" w:rsidP="00B4539D">
      <w:pPr>
        <w:spacing w:after="0" w:line="240" w:lineRule="auto"/>
        <w:ind w:firstLine="426"/>
        <w:jc w:val="center"/>
        <w:rPr>
          <w:rFonts w:ascii="Times New Roman" w:eastAsia="Times New Roman" w:hAnsi="Times New Roman" w:cs="Times New Roman"/>
          <w:b/>
          <w:lang w:val="ro-MD"/>
        </w:rPr>
      </w:pPr>
      <w:bookmarkStart w:id="3" w:name="_Hlk221886353"/>
      <w:r w:rsidRPr="000508B6">
        <w:rPr>
          <w:rFonts w:ascii="Times New Roman" w:eastAsia="Times New Roman" w:hAnsi="Times New Roman" w:cs="Times New Roman"/>
          <w:b/>
          <w:lang w:val="ro-MD"/>
        </w:rPr>
        <w:t>Supravegherea sistemului de guvernanță</w:t>
      </w:r>
    </w:p>
    <w:bookmarkEnd w:id="3"/>
    <w:p w14:paraId="2810FF2D" w14:textId="253E2ACF" w:rsidR="0036526D"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5105" w:rsidRPr="000508B6">
        <w:rPr>
          <w:rFonts w:ascii="Times New Roman" w:eastAsia="Times New Roman" w:hAnsi="Times New Roman" w:cs="Times New Roman"/>
          <w:lang w:val="ro-MD"/>
        </w:rPr>
        <w:t>18</w:t>
      </w:r>
      <w:r w:rsidRPr="000508B6">
        <w:rPr>
          <w:rFonts w:ascii="Times New Roman" w:eastAsia="Times New Roman" w:hAnsi="Times New Roman" w:cs="Times New Roman"/>
          <w:lang w:val="ro-MD"/>
        </w:rPr>
        <w:t xml:space="preserve">. </w:t>
      </w:r>
      <w:r w:rsidR="0036526D" w:rsidRPr="000508B6">
        <w:rPr>
          <w:rFonts w:ascii="Times New Roman" w:eastAsia="Times New Roman" w:hAnsi="Times New Roman" w:cs="Times New Roman"/>
          <w:lang w:val="ro-MD"/>
        </w:rPr>
        <w:t xml:space="preserve">Organizarea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0158D5" w:rsidRPr="000508B6">
        <w:rPr>
          <w:rFonts w:ascii="Times New Roman" w:eastAsia="Times New Roman" w:hAnsi="Times New Roman" w:cs="Times New Roman"/>
          <w:lang w:val="ro-MD"/>
        </w:rPr>
        <w:t xml:space="preserve"> </w:t>
      </w:r>
    </w:p>
    <w:p w14:paraId="0A122064" w14:textId="48D71463" w:rsidR="00F95829" w:rsidRPr="000508B6" w:rsidRDefault="00F95829" w:rsidP="00F36BFE">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5105" w:rsidRPr="000508B6">
        <w:rPr>
          <w:rFonts w:ascii="Times New Roman" w:eastAsia="Times New Roman" w:hAnsi="Times New Roman" w:cs="Times New Roman"/>
          <w:lang w:val="ro-MD"/>
        </w:rPr>
        <w:t>19</w:t>
      </w:r>
      <w:r w:rsidRPr="000508B6">
        <w:rPr>
          <w:rFonts w:ascii="Times New Roman" w:eastAsia="Times New Roman" w:hAnsi="Times New Roman" w:cs="Times New Roman"/>
          <w:lang w:val="ro-MD"/>
        </w:rPr>
        <w:t xml:space="preserve">. Sistemul de </w:t>
      </w:r>
      <w:proofErr w:type="spellStart"/>
      <w:r w:rsidRPr="000508B6">
        <w:rPr>
          <w:rFonts w:ascii="Times New Roman" w:eastAsia="Times New Roman" w:hAnsi="Times New Roman" w:cs="Times New Roman"/>
          <w:lang w:val="ro-MD"/>
        </w:rPr>
        <w:t>guvernanţă</w:t>
      </w:r>
      <w:proofErr w:type="spellEnd"/>
    </w:p>
    <w:p w14:paraId="7DD4ACF2" w14:textId="628E1118" w:rsidR="00911496" w:rsidRPr="000508B6" w:rsidRDefault="00911496" w:rsidP="000158D5">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20. </w:t>
      </w:r>
      <w:proofErr w:type="spellStart"/>
      <w:r w:rsidRPr="000508B6">
        <w:rPr>
          <w:rFonts w:ascii="Times New Roman" w:eastAsia="Times New Roman" w:hAnsi="Times New Roman" w:cs="Times New Roman"/>
          <w:lang w:val="ro-MD"/>
        </w:rPr>
        <w:t>Cerinţele</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competenţă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onorabilitate</w:t>
      </w:r>
      <w:r w:rsidRPr="000508B6" w:rsidDel="000301B2">
        <w:rPr>
          <w:rFonts w:ascii="Times New Roman" w:eastAsia="Times New Roman" w:hAnsi="Times New Roman" w:cs="Times New Roman"/>
          <w:lang w:val="ro-MD"/>
        </w:rPr>
        <w:t xml:space="preserve"> </w:t>
      </w:r>
    </w:p>
    <w:p w14:paraId="77DB803D" w14:textId="0C80FFCC"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5105" w:rsidRPr="000508B6">
        <w:rPr>
          <w:rFonts w:ascii="Times New Roman" w:eastAsia="Times New Roman" w:hAnsi="Times New Roman" w:cs="Times New Roman"/>
          <w:lang w:val="ro-MD"/>
        </w:rPr>
        <w:t>2</w:t>
      </w:r>
      <w:r w:rsidR="000158D5"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xml:space="preserve">. Organele de conducere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
    <w:p w14:paraId="79AF539D" w14:textId="1A6D12A5" w:rsidR="000301B2" w:rsidRPr="000508B6" w:rsidRDefault="000301B2"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2</w:t>
      </w:r>
      <w:r w:rsidR="00792328"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Consiliul </w:t>
      </w:r>
      <w:r w:rsidR="00EC11AD" w:rsidRPr="000508B6">
        <w:rPr>
          <w:rFonts w:ascii="Times New Roman" w:eastAsia="Times New Roman" w:hAnsi="Times New Roman" w:cs="Times New Roman"/>
          <w:lang w:val="ro-MD"/>
        </w:rPr>
        <w:t xml:space="preserve">asigurătorului sau </w:t>
      </w:r>
      <w:proofErr w:type="spellStart"/>
      <w:r w:rsidR="00EC11AD" w:rsidRPr="000508B6">
        <w:rPr>
          <w:rFonts w:ascii="Times New Roman" w:eastAsia="Times New Roman" w:hAnsi="Times New Roman" w:cs="Times New Roman"/>
          <w:lang w:val="ro-MD"/>
        </w:rPr>
        <w:t>reasigurătorului</w:t>
      </w:r>
      <w:proofErr w:type="spellEnd"/>
      <w:r w:rsidR="00EC11AD"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lui</w:t>
      </w:r>
    </w:p>
    <w:p w14:paraId="1CF2318F" w14:textId="11043FB3" w:rsidR="000301B2" w:rsidRPr="000508B6" w:rsidRDefault="000301B2"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2</w:t>
      </w:r>
      <w:r w:rsidR="00792328"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Organul executiv al </w:t>
      </w:r>
      <w:r w:rsidR="00EC11AD" w:rsidRPr="000508B6">
        <w:rPr>
          <w:rFonts w:ascii="Times New Roman" w:eastAsia="Times New Roman" w:hAnsi="Times New Roman" w:cs="Times New Roman"/>
          <w:lang w:val="ro-MD"/>
        </w:rPr>
        <w:t xml:space="preserve">asigurătorului sau </w:t>
      </w:r>
      <w:proofErr w:type="spellStart"/>
      <w:r w:rsidR="00EC11AD" w:rsidRPr="000508B6">
        <w:rPr>
          <w:rFonts w:ascii="Times New Roman" w:eastAsia="Times New Roman" w:hAnsi="Times New Roman" w:cs="Times New Roman"/>
          <w:lang w:val="ro-MD"/>
        </w:rPr>
        <w:t>reasigurătorului</w:t>
      </w:r>
      <w:proofErr w:type="spellEnd"/>
    </w:p>
    <w:p w14:paraId="387A15BE" w14:textId="3682C39F" w:rsidR="00857A1F" w:rsidRPr="000508B6" w:rsidRDefault="00857A1F"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92328" w:rsidRPr="000508B6">
        <w:rPr>
          <w:rFonts w:ascii="Times New Roman" w:eastAsia="Times New Roman" w:hAnsi="Times New Roman" w:cs="Times New Roman"/>
          <w:lang w:val="ro-MD"/>
        </w:rPr>
        <w:t>24</w:t>
      </w:r>
      <w:r w:rsidRPr="000508B6">
        <w:rPr>
          <w:rFonts w:ascii="Times New Roman" w:eastAsia="Times New Roman" w:hAnsi="Times New Roman" w:cs="Times New Roman"/>
          <w:lang w:val="ro-MD"/>
        </w:rPr>
        <w:t xml:space="preserve">. Comitetele specializate ale consiliului </w:t>
      </w:r>
      <w:r w:rsidR="00EC11AD" w:rsidRPr="000508B6">
        <w:rPr>
          <w:rFonts w:ascii="Times New Roman" w:eastAsia="Times New Roman" w:hAnsi="Times New Roman" w:cs="Times New Roman"/>
          <w:lang w:val="ro-MD"/>
        </w:rPr>
        <w:t xml:space="preserve">asigurătorului sau </w:t>
      </w:r>
      <w:proofErr w:type="spellStart"/>
      <w:r w:rsidR="00EC11AD" w:rsidRPr="000508B6">
        <w:rPr>
          <w:rFonts w:ascii="Times New Roman" w:eastAsia="Times New Roman" w:hAnsi="Times New Roman" w:cs="Times New Roman"/>
          <w:lang w:val="ro-MD"/>
        </w:rPr>
        <w:t>reasigurătorului</w:t>
      </w:r>
      <w:proofErr w:type="spellEnd"/>
    </w:p>
    <w:p w14:paraId="34B3206C" w14:textId="25858B5E"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301B2" w:rsidRPr="000508B6">
        <w:rPr>
          <w:rFonts w:ascii="Times New Roman" w:eastAsia="Times New Roman" w:hAnsi="Times New Roman" w:cs="Times New Roman"/>
          <w:lang w:val="ro-MD"/>
        </w:rPr>
        <w:t>25</w:t>
      </w:r>
      <w:r w:rsidRPr="000508B6">
        <w:rPr>
          <w:rFonts w:ascii="Times New Roman" w:eastAsia="Times New Roman" w:hAnsi="Times New Roman" w:cs="Times New Roman"/>
          <w:lang w:val="ro-MD"/>
        </w:rPr>
        <w:t>. Managementul riscurilor</w:t>
      </w:r>
    </w:p>
    <w:p w14:paraId="4D540D00" w14:textId="0F406C25" w:rsidR="00592A3B" w:rsidRPr="000508B6" w:rsidRDefault="00592A3B"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301B2" w:rsidRPr="000508B6">
        <w:rPr>
          <w:rFonts w:ascii="Times New Roman" w:eastAsia="Times New Roman" w:hAnsi="Times New Roman" w:cs="Times New Roman"/>
          <w:lang w:val="ro-MD"/>
        </w:rPr>
        <w:t>26</w:t>
      </w:r>
      <w:r w:rsidRPr="000508B6">
        <w:rPr>
          <w:rFonts w:ascii="Times New Roman" w:eastAsia="Times New Roman" w:hAnsi="Times New Roman" w:cs="Times New Roman"/>
          <w:lang w:val="ro-MD"/>
        </w:rPr>
        <w:t>. Managementul riscului de lichiditate</w:t>
      </w:r>
    </w:p>
    <w:p w14:paraId="56EFAF11" w14:textId="4C4E4773" w:rsidR="00F95829" w:rsidRPr="000508B6" w:rsidRDefault="00F95829" w:rsidP="008B530F">
      <w:pPr>
        <w:spacing w:after="0" w:line="240" w:lineRule="auto"/>
        <w:ind w:firstLine="426"/>
        <w:jc w:val="both"/>
        <w:rPr>
          <w:rFonts w:ascii="Times New Roman" w:eastAsia="Times New Roman" w:hAnsi="Times New Roman" w:cs="Times New Roman"/>
          <w:lang w:val="ro-MD"/>
        </w:rPr>
      </w:pPr>
      <w:bookmarkStart w:id="4" w:name="_Hlk206661381"/>
      <w:r w:rsidRPr="000508B6">
        <w:rPr>
          <w:rFonts w:ascii="Times New Roman" w:eastAsia="Times New Roman" w:hAnsi="Times New Roman" w:cs="Times New Roman"/>
          <w:lang w:val="ro-MD"/>
        </w:rPr>
        <w:t xml:space="preserve">Articolul </w:t>
      </w:r>
      <w:r w:rsidR="000301B2" w:rsidRPr="000508B6">
        <w:rPr>
          <w:rFonts w:ascii="Times New Roman" w:eastAsia="Times New Roman" w:hAnsi="Times New Roman" w:cs="Times New Roman"/>
          <w:lang w:val="ro-MD"/>
        </w:rPr>
        <w:t>27</w:t>
      </w:r>
      <w:r w:rsidRPr="000508B6">
        <w:rPr>
          <w:rFonts w:ascii="Times New Roman" w:eastAsia="Times New Roman" w:hAnsi="Times New Roman" w:cs="Times New Roman"/>
          <w:lang w:val="ro-MD"/>
        </w:rPr>
        <w:t xml:space="preserve">. </w:t>
      </w:r>
      <w:r w:rsidR="00F75A3E" w:rsidRPr="000508B6">
        <w:rPr>
          <w:rFonts w:ascii="Times New Roman" w:eastAsia="Times New Roman" w:hAnsi="Times New Roman" w:cs="Times New Roman"/>
          <w:lang w:val="ro-MD"/>
        </w:rPr>
        <w:t xml:space="preserve">Autoevaluarea  riscurilor </w:t>
      </w:r>
      <w:proofErr w:type="spellStart"/>
      <w:r w:rsidR="00F75A3E" w:rsidRPr="000508B6">
        <w:rPr>
          <w:rFonts w:ascii="Times New Roman" w:eastAsia="Times New Roman" w:hAnsi="Times New Roman" w:cs="Times New Roman"/>
          <w:lang w:val="ro-MD"/>
        </w:rPr>
        <w:t>şi</w:t>
      </w:r>
      <w:proofErr w:type="spellEnd"/>
      <w:r w:rsidR="00F75A3E" w:rsidRPr="000508B6">
        <w:rPr>
          <w:rFonts w:ascii="Times New Roman" w:eastAsia="Times New Roman" w:hAnsi="Times New Roman" w:cs="Times New Roman"/>
          <w:lang w:val="ro-MD"/>
        </w:rPr>
        <w:t xml:space="preserve"> a </w:t>
      </w:r>
      <w:proofErr w:type="spellStart"/>
      <w:r w:rsidR="00F75A3E" w:rsidRPr="000508B6">
        <w:rPr>
          <w:rFonts w:ascii="Times New Roman" w:eastAsia="Times New Roman" w:hAnsi="Times New Roman" w:cs="Times New Roman"/>
          <w:lang w:val="ro-MD"/>
        </w:rPr>
        <w:t>solvabilităţii</w:t>
      </w:r>
      <w:proofErr w:type="spellEnd"/>
    </w:p>
    <w:bookmarkEnd w:id="4"/>
    <w:p w14:paraId="441C053A" w14:textId="03A7E916"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301B2" w:rsidRPr="000508B6">
        <w:rPr>
          <w:rFonts w:ascii="Times New Roman" w:eastAsia="Times New Roman" w:hAnsi="Times New Roman" w:cs="Times New Roman"/>
          <w:lang w:val="ro-MD"/>
        </w:rPr>
        <w:t>28</w:t>
      </w:r>
      <w:r w:rsidRPr="000508B6">
        <w:rPr>
          <w:rFonts w:ascii="Times New Roman" w:eastAsia="Times New Roman" w:hAnsi="Times New Roman" w:cs="Times New Roman"/>
          <w:lang w:val="ro-MD"/>
        </w:rPr>
        <w:t>. Sistemul de control intern</w:t>
      </w:r>
    </w:p>
    <w:p w14:paraId="02016B0D" w14:textId="5BA5B015"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Articolul </w:t>
      </w:r>
      <w:r w:rsidR="000301B2" w:rsidRPr="000508B6">
        <w:rPr>
          <w:rFonts w:ascii="Times New Roman" w:eastAsia="Times New Roman" w:hAnsi="Times New Roman" w:cs="Times New Roman"/>
          <w:lang w:val="ro-MD"/>
        </w:rPr>
        <w:t>29</w:t>
      </w:r>
      <w:r w:rsidRPr="000508B6">
        <w:rPr>
          <w:rFonts w:ascii="Times New Roman" w:eastAsia="Times New Roman" w:hAnsi="Times New Roman" w:cs="Times New Roman"/>
          <w:lang w:val="ro-MD"/>
        </w:rPr>
        <w:t>. Auditul intern</w:t>
      </w:r>
    </w:p>
    <w:p w14:paraId="0B747132" w14:textId="7E60ED3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301B2" w:rsidRPr="000508B6">
        <w:rPr>
          <w:rFonts w:ascii="Times New Roman" w:eastAsia="Times New Roman" w:hAnsi="Times New Roman" w:cs="Times New Roman"/>
          <w:lang w:val="ro-MD"/>
        </w:rPr>
        <w:t>30</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Funcţia</w:t>
      </w:r>
      <w:proofErr w:type="spellEnd"/>
      <w:r w:rsidRPr="000508B6">
        <w:rPr>
          <w:rFonts w:ascii="Times New Roman" w:eastAsia="Times New Roman" w:hAnsi="Times New Roman" w:cs="Times New Roman"/>
          <w:lang w:val="ro-MD"/>
        </w:rPr>
        <w:t xml:space="preserve"> actuarială</w:t>
      </w:r>
    </w:p>
    <w:p w14:paraId="0D2749BC" w14:textId="67796425"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301B2" w:rsidRPr="000508B6">
        <w:rPr>
          <w:rFonts w:ascii="Times New Roman" w:eastAsia="Times New Roman" w:hAnsi="Times New Roman" w:cs="Times New Roman"/>
          <w:lang w:val="ro-MD"/>
        </w:rPr>
        <w:t>31</w:t>
      </w:r>
      <w:r w:rsidRPr="000508B6">
        <w:rPr>
          <w:rFonts w:ascii="Times New Roman" w:eastAsia="Times New Roman" w:hAnsi="Times New Roman" w:cs="Times New Roman"/>
          <w:lang w:val="ro-MD"/>
        </w:rPr>
        <w:t>. Externalizarea</w:t>
      </w:r>
    </w:p>
    <w:p w14:paraId="10BC7154" w14:textId="77777777" w:rsidR="000158D5" w:rsidRPr="000508B6" w:rsidRDefault="000158D5" w:rsidP="008B530F">
      <w:pPr>
        <w:spacing w:after="0" w:line="240" w:lineRule="auto"/>
        <w:ind w:firstLine="426"/>
        <w:rPr>
          <w:rFonts w:ascii="Times New Roman" w:eastAsia="Times New Roman" w:hAnsi="Times New Roman" w:cs="Times New Roman"/>
          <w:lang w:val="ro-MD"/>
        </w:rPr>
      </w:pPr>
    </w:p>
    <w:p w14:paraId="0F1F0996" w14:textId="6E8942C1"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Secțiunea a </w:t>
      </w:r>
      <w:r w:rsidR="00690825" w:rsidRPr="000508B6">
        <w:rPr>
          <w:rFonts w:ascii="Times New Roman" w:eastAsia="Times New Roman" w:hAnsi="Times New Roman" w:cs="Times New Roman"/>
          <w:b/>
          <w:lang w:val="ro-MD"/>
        </w:rPr>
        <w:t>4</w:t>
      </w:r>
      <w:r w:rsidRPr="000508B6">
        <w:rPr>
          <w:rFonts w:ascii="Times New Roman" w:eastAsia="Times New Roman" w:hAnsi="Times New Roman" w:cs="Times New Roman"/>
          <w:b/>
          <w:lang w:val="ro-MD"/>
        </w:rPr>
        <w:t>-a</w:t>
      </w:r>
    </w:p>
    <w:p w14:paraId="34BF7B10" w14:textId="2BFF1838" w:rsidR="00F95829" w:rsidRPr="000508B6" w:rsidRDefault="00690825" w:rsidP="008B530F">
      <w:pPr>
        <w:spacing w:after="0" w:line="240" w:lineRule="auto"/>
        <w:ind w:firstLine="426"/>
        <w:jc w:val="center"/>
        <w:rPr>
          <w:rFonts w:ascii="Times New Roman" w:hAnsi="Times New Roman" w:cs="Times New Roman"/>
          <w:b/>
          <w:lang w:val="ro-MD"/>
        </w:rPr>
      </w:pPr>
      <w:bookmarkStart w:id="5" w:name="_Hlk221886373"/>
      <w:r w:rsidRPr="000508B6">
        <w:rPr>
          <w:rFonts w:ascii="Times New Roman" w:hAnsi="Times New Roman" w:cs="Times New Roman"/>
          <w:b/>
          <w:lang w:val="ro-MD"/>
        </w:rPr>
        <w:t>Publicarea informațiilor</w:t>
      </w:r>
    </w:p>
    <w:bookmarkEnd w:id="5"/>
    <w:p w14:paraId="30E0D7CD" w14:textId="33271829" w:rsidR="00F95829" w:rsidRPr="000508B6" w:rsidRDefault="00F95829" w:rsidP="004A0A5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A7F28" w:rsidRPr="000508B6">
        <w:rPr>
          <w:rFonts w:ascii="Times New Roman" w:eastAsia="Times New Roman" w:hAnsi="Times New Roman" w:cs="Times New Roman"/>
          <w:lang w:val="ro-MD"/>
        </w:rPr>
        <w:t>32</w:t>
      </w:r>
      <w:r w:rsidRPr="000508B6">
        <w:rPr>
          <w:rFonts w:ascii="Times New Roman" w:eastAsia="Times New Roman" w:hAnsi="Times New Roman" w:cs="Times New Roman"/>
          <w:lang w:val="ro-MD"/>
        </w:rPr>
        <w:t xml:space="preserve">. </w:t>
      </w:r>
      <w:r w:rsidR="00690825" w:rsidRPr="000508B6">
        <w:rPr>
          <w:rFonts w:ascii="Times New Roman" w:eastAsia="Times New Roman" w:hAnsi="Times New Roman" w:cs="Times New Roman"/>
          <w:lang w:val="ro-MD"/>
        </w:rPr>
        <w:t xml:space="preserve">Raportul privind </w:t>
      </w:r>
      <w:r w:rsidR="000774BA" w:rsidRPr="000508B6">
        <w:rPr>
          <w:rFonts w:ascii="Times New Roman" w:eastAsia="Times New Roman" w:hAnsi="Times New Roman" w:cs="Times New Roman"/>
          <w:lang w:val="ro-MD"/>
        </w:rPr>
        <w:t xml:space="preserve">solvabilitatea și </w:t>
      </w:r>
      <w:r w:rsidR="00690825" w:rsidRPr="000508B6">
        <w:rPr>
          <w:rFonts w:ascii="Times New Roman" w:eastAsia="Times New Roman" w:hAnsi="Times New Roman" w:cs="Times New Roman"/>
          <w:lang w:val="ro-MD"/>
        </w:rPr>
        <w:t>situația financiară</w:t>
      </w:r>
      <w:r w:rsidR="00F75A3E" w:rsidRPr="000508B6">
        <w:rPr>
          <w:rFonts w:ascii="Times New Roman" w:eastAsia="Times New Roman" w:hAnsi="Times New Roman" w:cs="Times New Roman"/>
          <w:lang w:val="ro-MD"/>
        </w:rPr>
        <w:t>: conținut</w:t>
      </w:r>
      <w:r w:rsidR="00690825" w:rsidRPr="000508B6">
        <w:rPr>
          <w:rFonts w:ascii="Times New Roman" w:eastAsia="Times New Roman" w:hAnsi="Times New Roman" w:cs="Times New Roman"/>
          <w:lang w:val="ro-MD"/>
        </w:rPr>
        <w:t xml:space="preserve">  </w:t>
      </w:r>
    </w:p>
    <w:p w14:paraId="4B3E5D1E" w14:textId="63A146E2" w:rsidR="00655800" w:rsidRPr="000508B6" w:rsidRDefault="00655800" w:rsidP="004A0A5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A7F28" w:rsidRPr="000508B6">
        <w:rPr>
          <w:rFonts w:ascii="Times New Roman" w:eastAsia="Times New Roman" w:hAnsi="Times New Roman" w:cs="Times New Roman"/>
          <w:lang w:val="ro-MD"/>
        </w:rPr>
        <w:t>33</w:t>
      </w:r>
      <w:r w:rsidR="00E83606"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Raportul privind solvabilitatea și situația financiară: cerințe de audit</w:t>
      </w:r>
      <w:r w:rsidR="00E83606" w:rsidRPr="000508B6">
        <w:rPr>
          <w:rFonts w:ascii="Times New Roman" w:eastAsia="Times New Roman" w:hAnsi="Times New Roman" w:cs="Times New Roman"/>
          <w:lang w:val="ro-MD"/>
        </w:rPr>
        <w:t xml:space="preserve"> </w:t>
      </w:r>
    </w:p>
    <w:p w14:paraId="3CC395C9" w14:textId="0B437FB6" w:rsidR="00F95829" w:rsidRPr="000508B6" w:rsidRDefault="00F95829" w:rsidP="004A0A5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A7F28" w:rsidRPr="000508B6">
        <w:rPr>
          <w:rFonts w:ascii="Times New Roman" w:eastAsia="Times New Roman" w:hAnsi="Times New Roman" w:cs="Times New Roman"/>
          <w:lang w:val="ro-MD"/>
        </w:rPr>
        <w:t>34</w:t>
      </w:r>
      <w:r w:rsidRPr="000508B6">
        <w:rPr>
          <w:rFonts w:ascii="Times New Roman" w:eastAsia="Times New Roman" w:hAnsi="Times New Roman" w:cs="Times New Roman"/>
          <w:lang w:val="ro-MD"/>
        </w:rPr>
        <w:t xml:space="preserve">. </w:t>
      </w:r>
      <w:r w:rsidR="00F75A3E" w:rsidRPr="000508B6">
        <w:rPr>
          <w:rFonts w:ascii="Times New Roman" w:eastAsia="Times New Roman" w:hAnsi="Times New Roman" w:cs="Times New Roman"/>
          <w:lang w:val="ro-MD"/>
        </w:rPr>
        <w:t xml:space="preserve">Raportul privind solvabilitatea și situația financiară. </w:t>
      </w:r>
      <w:r w:rsidRPr="000508B6">
        <w:rPr>
          <w:rFonts w:ascii="Times New Roman" w:eastAsia="Times New Roman" w:hAnsi="Times New Roman" w:cs="Times New Roman"/>
          <w:lang w:val="ro-MD"/>
        </w:rPr>
        <w:t>Principiile aplicabile</w:t>
      </w:r>
      <w:r w:rsidR="00690825" w:rsidRPr="000508B6">
        <w:rPr>
          <w:rFonts w:ascii="Times New Roman" w:eastAsia="Times New Roman" w:hAnsi="Times New Roman" w:cs="Times New Roman"/>
          <w:lang w:val="ro-MD"/>
        </w:rPr>
        <w:t xml:space="preserve"> publicării informațiilor</w:t>
      </w:r>
    </w:p>
    <w:p w14:paraId="36561058" w14:textId="28AB44CB" w:rsidR="00F95829" w:rsidRPr="000508B6" w:rsidRDefault="00F95829" w:rsidP="004A0A5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Articolul</w:t>
      </w:r>
      <w:r w:rsidR="00AF5305" w:rsidRPr="000508B6">
        <w:rPr>
          <w:rFonts w:ascii="Times New Roman" w:eastAsia="Times New Roman" w:hAnsi="Times New Roman" w:cs="Times New Roman"/>
          <w:lang w:val="ro-MD"/>
        </w:rPr>
        <w:t xml:space="preserve"> </w:t>
      </w:r>
      <w:r w:rsidR="000A7F28" w:rsidRPr="000508B6">
        <w:rPr>
          <w:rFonts w:ascii="Times New Roman" w:eastAsia="Times New Roman" w:hAnsi="Times New Roman" w:cs="Times New Roman"/>
          <w:lang w:val="ro-MD"/>
        </w:rPr>
        <w:t>35</w:t>
      </w:r>
      <w:r w:rsidRPr="000508B6">
        <w:rPr>
          <w:rFonts w:ascii="Times New Roman" w:eastAsia="Times New Roman" w:hAnsi="Times New Roman" w:cs="Times New Roman"/>
          <w:lang w:val="ro-MD"/>
        </w:rPr>
        <w:t xml:space="preserve">. </w:t>
      </w:r>
      <w:r w:rsidR="007B7B05" w:rsidRPr="000508B6">
        <w:rPr>
          <w:rFonts w:ascii="Times New Roman" w:eastAsia="Times New Roman" w:hAnsi="Times New Roman" w:cs="Times New Roman"/>
          <w:lang w:val="ro-MD"/>
        </w:rPr>
        <w:t>Raportul privind solvabilitatea și situația financiară: actualizări și i</w:t>
      </w:r>
      <w:r w:rsidRPr="000508B6">
        <w:rPr>
          <w:rFonts w:ascii="Times New Roman" w:eastAsia="Times New Roman" w:hAnsi="Times New Roman" w:cs="Times New Roman"/>
          <w:lang w:val="ro-MD"/>
        </w:rPr>
        <w:t xml:space="preserve">nformații suplimentare </w:t>
      </w:r>
    </w:p>
    <w:p w14:paraId="1EBDCF05" w14:textId="206FF932" w:rsidR="00F95829" w:rsidRPr="000508B6" w:rsidRDefault="00F95829" w:rsidP="004A0A5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A7F28" w:rsidRPr="000508B6">
        <w:rPr>
          <w:rFonts w:ascii="Times New Roman" w:eastAsia="Times New Roman" w:hAnsi="Times New Roman" w:cs="Times New Roman"/>
          <w:lang w:val="ro-MD"/>
        </w:rPr>
        <w:t>36</w:t>
      </w:r>
      <w:r w:rsidRPr="000508B6">
        <w:rPr>
          <w:rFonts w:ascii="Times New Roman" w:eastAsia="Times New Roman" w:hAnsi="Times New Roman" w:cs="Times New Roman"/>
          <w:lang w:val="ro-MD"/>
        </w:rPr>
        <w:t>. Strategia și aprobarea</w:t>
      </w:r>
      <w:r w:rsidR="00844A4C" w:rsidRPr="000508B6">
        <w:rPr>
          <w:rFonts w:ascii="Times New Roman" w:eastAsia="Times New Roman" w:hAnsi="Times New Roman" w:cs="Times New Roman"/>
          <w:lang w:val="ro-MD"/>
        </w:rPr>
        <w:t xml:space="preserve"> publicării informațiilor</w:t>
      </w:r>
    </w:p>
    <w:p w14:paraId="4841136F" w14:textId="77777777" w:rsidR="00B20067" w:rsidRPr="000508B6" w:rsidRDefault="00B20067" w:rsidP="003D2DA9">
      <w:pPr>
        <w:spacing w:after="0" w:line="240" w:lineRule="auto"/>
        <w:ind w:firstLine="426"/>
        <w:jc w:val="center"/>
        <w:rPr>
          <w:rFonts w:ascii="Times New Roman" w:eastAsia="Times New Roman" w:hAnsi="Times New Roman" w:cs="Times New Roman"/>
          <w:b/>
          <w:lang w:val="ro-MD"/>
        </w:rPr>
      </w:pPr>
    </w:p>
    <w:p w14:paraId="1415E666" w14:textId="1D7954DE" w:rsidR="003D2DA9" w:rsidRPr="000508B6" w:rsidRDefault="003D2DA9" w:rsidP="003D2DA9">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Secțiunea a 5-a </w:t>
      </w:r>
    </w:p>
    <w:p w14:paraId="27349E77" w14:textId="77777777" w:rsidR="003D2DA9" w:rsidRPr="000508B6" w:rsidRDefault="003D2DA9" w:rsidP="003D2DA9">
      <w:pPr>
        <w:spacing w:after="0" w:line="240" w:lineRule="auto"/>
        <w:ind w:firstLine="426"/>
        <w:jc w:val="center"/>
        <w:rPr>
          <w:rFonts w:ascii="Times New Roman" w:eastAsia="Times New Roman" w:hAnsi="Times New Roman" w:cs="Times New Roman"/>
          <w:b/>
          <w:lang w:val="ro-MD"/>
        </w:rPr>
      </w:pPr>
      <w:bookmarkStart w:id="6" w:name="_Hlk221886445"/>
      <w:r w:rsidRPr="000508B6">
        <w:rPr>
          <w:rFonts w:ascii="Times New Roman" w:eastAsia="Times New Roman" w:hAnsi="Times New Roman" w:cs="Times New Roman"/>
          <w:b/>
          <w:lang w:val="ro-MD"/>
        </w:rPr>
        <w:t>Auditul</w:t>
      </w:r>
    </w:p>
    <w:bookmarkEnd w:id="6"/>
    <w:p w14:paraId="28AFF2AE" w14:textId="58071653" w:rsidR="003D2DA9" w:rsidRPr="000508B6" w:rsidRDefault="003D2DA9" w:rsidP="007E535A">
      <w:pPr>
        <w:spacing w:after="0" w:line="240" w:lineRule="auto"/>
        <w:ind w:left="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37</w:t>
      </w:r>
      <w:r w:rsidRPr="000508B6">
        <w:rPr>
          <w:rFonts w:ascii="Times New Roman" w:eastAsia="Times New Roman" w:hAnsi="Times New Roman" w:cs="Times New Roman"/>
          <w:lang w:val="ro-MD"/>
        </w:rPr>
        <w:t>. Auditul situațiilor financiare</w:t>
      </w:r>
      <w:r w:rsidR="00DF13E1" w:rsidRPr="000508B6">
        <w:rPr>
          <w:rFonts w:ascii="Times New Roman" w:eastAsia="Times New Roman" w:hAnsi="Times New Roman" w:cs="Times New Roman"/>
          <w:lang w:val="ro-MD"/>
        </w:rPr>
        <w:t xml:space="preserve"> și auditul în alte scopur</w:t>
      </w:r>
      <w:r w:rsidR="00C90362" w:rsidRPr="000508B6">
        <w:rPr>
          <w:rFonts w:ascii="Times New Roman" w:eastAsia="Times New Roman" w:hAnsi="Times New Roman" w:cs="Times New Roman"/>
          <w:lang w:val="ro-MD"/>
        </w:rPr>
        <w:t>i</w:t>
      </w:r>
    </w:p>
    <w:p w14:paraId="00FDC093" w14:textId="3B445607" w:rsidR="003D2DA9" w:rsidRPr="000508B6" w:rsidRDefault="003D2DA9" w:rsidP="007E535A">
      <w:pPr>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38</w:t>
      </w:r>
      <w:r w:rsidRPr="000508B6">
        <w:rPr>
          <w:rFonts w:ascii="Times New Roman" w:eastAsia="Times New Roman" w:hAnsi="Times New Roman" w:cs="Times New Roman"/>
          <w:lang w:val="ro-MD"/>
        </w:rPr>
        <w:t xml:space="preserve">. </w:t>
      </w:r>
      <w:proofErr w:type="spellStart"/>
      <w:r w:rsidR="00DF13E1" w:rsidRPr="000508B6">
        <w:rPr>
          <w:rFonts w:ascii="Times New Roman" w:eastAsia="Times New Roman" w:hAnsi="Times New Roman" w:cs="Times New Roman"/>
          <w:lang w:val="ro-MD"/>
        </w:rPr>
        <w:t>Obligaţiile</w:t>
      </w:r>
      <w:proofErr w:type="spellEnd"/>
      <w:r w:rsidR="00DF13E1" w:rsidRPr="000508B6">
        <w:rPr>
          <w:rFonts w:ascii="Times New Roman" w:eastAsia="Times New Roman" w:hAnsi="Times New Roman" w:cs="Times New Roman"/>
          <w:lang w:val="ro-MD"/>
        </w:rPr>
        <w:t xml:space="preserve"> </w:t>
      </w:r>
      <w:proofErr w:type="spellStart"/>
      <w:r w:rsidR="00DF13E1" w:rsidRPr="000508B6">
        <w:rPr>
          <w:rFonts w:ascii="Times New Roman" w:eastAsia="Times New Roman" w:hAnsi="Times New Roman" w:cs="Times New Roman"/>
          <w:lang w:val="ro-MD"/>
        </w:rPr>
        <w:t>entităţii</w:t>
      </w:r>
      <w:proofErr w:type="spellEnd"/>
      <w:r w:rsidR="00DF13E1" w:rsidRPr="000508B6">
        <w:rPr>
          <w:rFonts w:ascii="Times New Roman" w:eastAsia="Times New Roman" w:hAnsi="Times New Roman" w:cs="Times New Roman"/>
          <w:lang w:val="ro-MD"/>
        </w:rPr>
        <w:t xml:space="preserve"> de audit </w:t>
      </w:r>
      <w:r w:rsidR="00BF3DD7" w:rsidRPr="000508B6">
        <w:rPr>
          <w:rFonts w:ascii="Times New Roman" w:eastAsia="Times New Roman" w:hAnsi="Times New Roman" w:cs="Times New Roman"/>
          <w:lang w:val="ro-MD"/>
        </w:rPr>
        <w:t>față de</w:t>
      </w:r>
      <w:r w:rsidR="00DF13E1" w:rsidRPr="000508B6">
        <w:rPr>
          <w:rFonts w:ascii="Times New Roman" w:eastAsia="Times New Roman" w:hAnsi="Times New Roman" w:cs="Times New Roman"/>
          <w:lang w:val="ro-MD"/>
        </w:rPr>
        <w:t xml:space="preserve"> Banca </w:t>
      </w:r>
      <w:proofErr w:type="spellStart"/>
      <w:r w:rsidR="00DF13E1" w:rsidRPr="000508B6">
        <w:rPr>
          <w:rFonts w:ascii="Times New Roman" w:eastAsia="Times New Roman" w:hAnsi="Times New Roman" w:cs="Times New Roman"/>
          <w:lang w:val="ro-MD"/>
        </w:rPr>
        <w:t>Naţională</w:t>
      </w:r>
      <w:proofErr w:type="spellEnd"/>
      <w:r w:rsidR="00DF13E1" w:rsidRPr="000508B6">
        <w:rPr>
          <w:rFonts w:ascii="Times New Roman" w:eastAsia="Times New Roman" w:hAnsi="Times New Roman" w:cs="Times New Roman"/>
          <w:lang w:val="ro-MD"/>
        </w:rPr>
        <w:t xml:space="preserve"> a Moldovei</w:t>
      </w:r>
    </w:p>
    <w:p w14:paraId="23EAA6DD" w14:textId="77777777" w:rsidR="00BF3DD7" w:rsidRPr="000508B6" w:rsidRDefault="00BF3DD7" w:rsidP="00F1086A">
      <w:pPr>
        <w:spacing w:after="0" w:line="240" w:lineRule="auto"/>
        <w:ind w:firstLine="426"/>
        <w:jc w:val="center"/>
        <w:rPr>
          <w:rFonts w:ascii="Times New Roman" w:eastAsia="Times New Roman" w:hAnsi="Times New Roman" w:cs="Times New Roman"/>
          <w:b/>
          <w:lang w:val="ro-MD"/>
        </w:rPr>
      </w:pPr>
    </w:p>
    <w:p w14:paraId="7FB37E9E" w14:textId="47343C9F" w:rsidR="00F57C5F" w:rsidRPr="000508B6" w:rsidRDefault="00690825" w:rsidP="00F1086A">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w:t>
      </w:r>
      <w:r w:rsidR="00F57C5F" w:rsidRPr="000508B6">
        <w:rPr>
          <w:rFonts w:ascii="Times New Roman" w:eastAsia="Times New Roman" w:hAnsi="Times New Roman" w:cs="Times New Roman"/>
          <w:b/>
          <w:lang w:val="ro-MD"/>
        </w:rPr>
        <w:t xml:space="preserve"> a </w:t>
      </w:r>
      <w:r w:rsidR="004559D9" w:rsidRPr="000508B6">
        <w:rPr>
          <w:rFonts w:ascii="Times New Roman" w:eastAsia="Times New Roman" w:hAnsi="Times New Roman" w:cs="Times New Roman"/>
          <w:b/>
          <w:lang w:val="ro-MD"/>
        </w:rPr>
        <w:t>6</w:t>
      </w:r>
      <w:r w:rsidR="00F57C5F" w:rsidRPr="000508B6">
        <w:rPr>
          <w:rFonts w:ascii="Times New Roman" w:eastAsia="Times New Roman" w:hAnsi="Times New Roman" w:cs="Times New Roman"/>
          <w:b/>
          <w:lang w:val="ro-MD"/>
        </w:rPr>
        <w:t xml:space="preserve">-a </w:t>
      </w:r>
    </w:p>
    <w:p w14:paraId="12C7BDD1" w14:textId="63CEFE7E" w:rsidR="00F57C5F" w:rsidRPr="000508B6" w:rsidRDefault="00F57C5F" w:rsidP="00F1086A">
      <w:pPr>
        <w:spacing w:after="0" w:line="240" w:lineRule="auto"/>
        <w:ind w:firstLine="426"/>
        <w:jc w:val="center"/>
        <w:rPr>
          <w:rFonts w:ascii="Times New Roman" w:eastAsia="Times New Roman" w:hAnsi="Times New Roman" w:cs="Times New Roman"/>
          <w:b/>
          <w:lang w:val="ro-MD"/>
        </w:rPr>
      </w:pPr>
      <w:bookmarkStart w:id="7" w:name="_Hlk221886471"/>
      <w:proofErr w:type="spellStart"/>
      <w:r w:rsidRPr="000508B6">
        <w:rPr>
          <w:rFonts w:ascii="Times New Roman" w:eastAsia="Times New Roman" w:hAnsi="Times New Roman" w:cs="Times New Roman"/>
          <w:b/>
          <w:lang w:val="ro-MD"/>
        </w:rPr>
        <w:t>Desfăşurarea</w:t>
      </w:r>
      <w:proofErr w:type="spellEnd"/>
      <w:r w:rsidRPr="000508B6">
        <w:rPr>
          <w:rFonts w:ascii="Times New Roman" w:eastAsia="Times New Roman" w:hAnsi="Times New Roman" w:cs="Times New Roman"/>
          <w:b/>
          <w:lang w:val="ro-MD"/>
        </w:rPr>
        <w:t xml:space="preserve"> simultană a </w:t>
      </w:r>
      <w:proofErr w:type="spellStart"/>
      <w:r w:rsidRPr="000508B6">
        <w:rPr>
          <w:rFonts w:ascii="Times New Roman" w:eastAsia="Times New Roman" w:hAnsi="Times New Roman" w:cs="Times New Roman"/>
          <w:b/>
          <w:lang w:val="ro-MD"/>
        </w:rPr>
        <w:t>activităţii</w:t>
      </w:r>
      <w:proofErr w:type="spellEnd"/>
      <w:r w:rsidRPr="000508B6">
        <w:rPr>
          <w:rFonts w:ascii="Times New Roman" w:eastAsia="Times New Roman" w:hAnsi="Times New Roman" w:cs="Times New Roman"/>
          <w:b/>
          <w:lang w:val="ro-MD"/>
        </w:rPr>
        <w:t xml:space="preserve"> de </w:t>
      </w:r>
      <w:r w:rsidR="009871D3" w:rsidRPr="000508B6">
        <w:rPr>
          <w:rFonts w:ascii="Times New Roman" w:eastAsia="Times New Roman" w:hAnsi="Times New Roman" w:cs="Times New Roman"/>
          <w:b/>
          <w:lang w:val="ro-MD"/>
        </w:rPr>
        <w:t xml:space="preserve">asigurare </w:t>
      </w:r>
      <w:r w:rsidR="00E83606" w:rsidRPr="000508B6">
        <w:rPr>
          <w:rFonts w:ascii="Times New Roman" w:eastAsia="Times New Roman" w:hAnsi="Times New Roman" w:cs="Times New Roman"/>
          <w:b/>
          <w:lang w:val="ro-MD"/>
        </w:rPr>
        <w:t xml:space="preserve">generală </w:t>
      </w:r>
      <w:proofErr w:type="spellStart"/>
      <w:r w:rsidRPr="000508B6">
        <w:rPr>
          <w:rFonts w:ascii="Times New Roman" w:eastAsia="Times New Roman" w:hAnsi="Times New Roman" w:cs="Times New Roman"/>
          <w:b/>
          <w:lang w:val="ro-MD"/>
        </w:rPr>
        <w:t>şi</w:t>
      </w:r>
      <w:proofErr w:type="spellEnd"/>
      <w:r w:rsidRPr="000508B6">
        <w:rPr>
          <w:rFonts w:ascii="Times New Roman" w:eastAsia="Times New Roman" w:hAnsi="Times New Roman" w:cs="Times New Roman"/>
          <w:b/>
          <w:lang w:val="ro-MD"/>
        </w:rPr>
        <w:t xml:space="preserve"> de </w:t>
      </w:r>
      <w:r w:rsidR="009871D3" w:rsidRPr="000508B6">
        <w:rPr>
          <w:rFonts w:ascii="Times New Roman" w:eastAsia="Times New Roman" w:hAnsi="Times New Roman" w:cs="Times New Roman"/>
          <w:b/>
          <w:lang w:val="ro-MD"/>
        </w:rPr>
        <w:t xml:space="preserve">asigurare </w:t>
      </w:r>
      <w:r w:rsidRPr="000508B6">
        <w:rPr>
          <w:rFonts w:ascii="Times New Roman" w:eastAsia="Times New Roman" w:hAnsi="Times New Roman" w:cs="Times New Roman"/>
          <w:b/>
          <w:lang w:val="ro-MD"/>
        </w:rPr>
        <w:t xml:space="preserve">de </w:t>
      </w:r>
      <w:proofErr w:type="spellStart"/>
      <w:r w:rsidRPr="000508B6">
        <w:rPr>
          <w:rFonts w:ascii="Times New Roman" w:eastAsia="Times New Roman" w:hAnsi="Times New Roman" w:cs="Times New Roman"/>
          <w:b/>
          <w:lang w:val="ro-MD"/>
        </w:rPr>
        <w:t>viaţă</w:t>
      </w:r>
      <w:proofErr w:type="spellEnd"/>
    </w:p>
    <w:bookmarkEnd w:id="7"/>
    <w:p w14:paraId="2787D326" w14:textId="7B05FEE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39</w:t>
      </w:r>
      <w:r w:rsidRPr="000508B6">
        <w:rPr>
          <w:rFonts w:ascii="Times New Roman" w:eastAsia="Times New Roman" w:hAnsi="Times New Roman" w:cs="Times New Roman"/>
          <w:lang w:val="ro-MD"/>
        </w:rPr>
        <w:t>. Administrarea separată a activităților</w:t>
      </w:r>
    </w:p>
    <w:p w14:paraId="20BC1786" w14:textId="3010DA62"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40</w:t>
      </w:r>
      <w:r w:rsidR="004559D9"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Prevederi specifice a administrării separate a activităților</w:t>
      </w:r>
    </w:p>
    <w:p w14:paraId="0B07A2A7" w14:textId="5EBAB970" w:rsidR="00F95829" w:rsidRPr="000508B6" w:rsidRDefault="00F95829" w:rsidP="00F36BFE">
      <w:pPr>
        <w:spacing w:after="0" w:line="240" w:lineRule="auto"/>
        <w:ind w:firstLine="426"/>
        <w:rPr>
          <w:rFonts w:ascii="Times New Roman" w:eastAsia="Times New Roman" w:hAnsi="Times New Roman" w:cs="Times New Roman"/>
          <w:b/>
          <w:lang w:val="ro-MD"/>
        </w:rPr>
      </w:pPr>
    </w:p>
    <w:p w14:paraId="3EF79126" w14:textId="723A27FA"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w:t>
      </w:r>
      <w:r w:rsidR="006E2C9D" w:rsidRPr="000508B6">
        <w:rPr>
          <w:rFonts w:ascii="Times New Roman" w:eastAsia="Times New Roman" w:hAnsi="Times New Roman" w:cs="Times New Roman"/>
          <w:b/>
          <w:lang w:val="ro-MD"/>
        </w:rPr>
        <w:t>II</w:t>
      </w:r>
      <w:r w:rsidR="00E65605" w:rsidRPr="000508B6">
        <w:rPr>
          <w:rFonts w:ascii="Times New Roman" w:eastAsia="Times New Roman" w:hAnsi="Times New Roman" w:cs="Times New Roman"/>
          <w:b/>
          <w:lang w:val="ro-MD"/>
        </w:rPr>
        <w:t>I</w:t>
      </w:r>
    </w:p>
    <w:p w14:paraId="3A882649" w14:textId="30BFFA85"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SOLVABILITATEA</w:t>
      </w:r>
    </w:p>
    <w:p w14:paraId="1431A34D"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
    <w:p w14:paraId="4F528036" w14:textId="1EA2A714"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1</w:t>
      </w:r>
      <w:r w:rsidR="00F12B98" w:rsidRPr="000508B6">
        <w:rPr>
          <w:rFonts w:ascii="Times New Roman" w:eastAsia="Times New Roman" w:hAnsi="Times New Roman" w:cs="Times New Roman"/>
          <w:b/>
          <w:lang w:val="ro-MD"/>
        </w:rPr>
        <w:t xml:space="preserve"> </w:t>
      </w:r>
    </w:p>
    <w:p w14:paraId="2B0D7D26" w14:textId="533382FB" w:rsidR="00F95829" w:rsidRPr="000508B6" w:rsidRDefault="00F95829" w:rsidP="00F36BFE">
      <w:pPr>
        <w:spacing w:after="0" w:line="240" w:lineRule="auto"/>
        <w:ind w:firstLine="426"/>
        <w:jc w:val="center"/>
        <w:rPr>
          <w:rFonts w:ascii="Times New Roman" w:eastAsia="Times New Roman" w:hAnsi="Times New Roman" w:cs="Times New Roman"/>
          <w:lang w:val="ro-MD"/>
        </w:rPr>
      </w:pPr>
      <w:bookmarkStart w:id="8" w:name="_Hlk221887445"/>
      <w:r w:rsidRPr="000508B6">
        <w:rPr>
          <w:rFonts w:ascii="Times New Roman" w:eastAsia="Times New Roman" w:hAnsi="Times New Roman" w:cs="Times New Roman"/>
          <w:b/>
          <w:lang w:val="ro-MD"/>
        </w:rPr>
        <w:t xml:space="preserve">Evaluarea activelor și </w:t>
      </w:r>
      <w:r w:rsidR="005B43DB" w:rsidRPr="000508B6">
        <w:rPr>
          <w:rFonts w:ascii="Times New Roman" w:eastAsia="Times New Roman" w:hAnsi="Times New Roman" w:cs="Times New Roman"/>
          <w:b/>
          <w:lang w:val="ro-MD"/>
        </w:rPr>
        <w:t>a obligațiilor</w:t>
      </w:r>
    </w:p>
    <w:bookmarkEnd w:id="8"/>
    <w:p w14:paraId="3F86D300" w14:textId="11969BD3"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41</w:t>
      </w:r>
      <w:r w:rsidRPr="000508B6">
        <w:rPr>
          <w:rFonts w:ascii="Times New Roman" w:eastAsia="Times New Roman" w:hAnsi="Times New Roman" w:cs="Times New Roman"/>
          <w:lang w:val="ro-MD"/>
        </w:rPr>
        <w:t xml:space="preserve">. Evaluarea activelor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w:t>
      </w:r>
      <w:r w:rsidR="005B43DB" w:rsidRPr="000508B6">
        <w:rPr>
          <w:rFonts w:ascii="Times New Roman" w:eastAsia="Times New Roman" w:hAnsi="Times New Roman" w:cs="Times New Roman"/>
          <w:lang w:val="ro-MD"/>
        </w:rPr>
        <w:t>obligațiilor</w:t>
      </w:r>
    </w:p>
    <w:p w14:paraId="750B0F92" w14:textId="77777777" w:rsidR="00D740FD" w:rsidRPr="000508B6" w:rsidRDefault="00D740FD" w:rsidP="00D740FD">
      <w:pPr>
        <w:spacing w:after="0" w:line="240" w:lineRule="auto"/>
        <w:ind w:firstLine="426"/>
        <w:jc w:val="center"/>
        <w:rPr>
          <w:rFonts w:ascii="Times New Roman" w:eastAsia="Times New Roman" w:hAnsi="Times New Roman" w:cs="Times New Roman"/>
          <w:b/>
          <w:bCs/>
          <w:lang w:val="ro-MD"/>
        </w:rPr>
      </w:pPr>
    </w:p>
    <w:p w14:paraId="1C50C5BC" w14:textId="053EC691" w:rsidR="00D740FD" w:rsidRPr="000508B6" w:rsidRDefault="00D740FD" w:rsidP="00D740FD">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Secțiunea 2</w:t>
      </w:r>
      <w:r w:rsidR="00F12B98" w:rsidRPr="000508B6">
        <w:rPr>
          <w:rFonts w:ascii="Times New Roman" w:eastAsia="Times New Roman" w:hAnsi="Times New Roman" w:cs="Times New Roman"/>
          <w:b/>
          <w:bCs/>
          <w:lang w:val="ro-MD"/>
        </w:rPr>
        <w:t xml:space="preserve"> </w:t>
      </w:r>
    </w:p>
    <w:p w14:paraId="495D4AF2" w14:textId="0FD2B77D" w:rsidR="00D740FD" w:rsidRPr="000508B6" w:rsidRDefault="00D740FD" w:rsidP="00D740FD">
      <w:pPr>
        <w:spacing w:after="0" w:line="240" w:lineRule="auto"/>
        <w:ind w:firstLine="426"/>
        <w:jc w:val="center"/>
        <w:rPr>
          <w:rFonts w:ascii="Times New Roman" w:eastAsia="Times New Roman" w:hAnsi="Times New Roman" w:cs="Times New Roman"/>
          <w:b/>
          <w:bCs/>
          <w:lang w:val="ro-MD"/>
        </w:rPr>
      </w:pPr>
      <w:bookmarkStart w:id="9" w:name="_Hlk221887458"/>
      <w:r w:rsidRPr="000508B6">
        <w:rPr>
          <w:rFonts w:ascii="Times New Roman" w:eastAsia="Times New Roman" w:hAnsi="Times New Roman" w:cs="Times New Roman"/>
          <w:b/>
          <w:bCs/>
          <w:lang w:val="ro-MD"/>
        </w:rPr>
        <w:t>Norme privind rezervele tehnice</w:t>
      </w:r>
    </w:p>
    <w:bookmarkEnd w:id="9"/>
    <w:p w14:paraId="325989AF" w14:textId="04676634"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42</w:t>
      </w:r>
      <w:r w:rsidRPr="000508B6">
        <w:rPr>
          <w:rFonts w:ascii="Times New Roman" w:eastAsia="Times New Roman" w:hAnsi="Times New Roman" w:cs="Times New Roman"/>
          <w:lang w:val="ro-MD"/>
        </w:rPr>
        <w:t xml:space="preserve">. </w:t>
      </w:r>
      <w:r w:rsidR="00BF3DD7" w:rsidRPr="000508B6">
        <w:rPr>
          <w:rFonts w:ascii="Times New Roman" w:eastAsia="Times New Roman" w:hAnsi="Times New Roman" w:cs="Times New Roman"/>
          <w:lang w:val="ro-MD"/>
        </w:rPr>
        <w:t>Prevederi generale privind r</w:t>
      </w:r>
      <w:r w:rsidRPr="000508B6">
        <w:rPr>
          <w:rFonts w:ascii="Times New Roman" w:eastAsia="Times New Roman" w:hAnsi="Times New Roman" w:cs="Times New Roman"/>
          <w:lang w:val="ro-MD"/>
        </w:rPr>
        <w:t>ezervele tehnice</w:t>
      </w:r>
    </w:p>
    <w:p w14:paraId="3003BA85" w14:textId="33CC97BD"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43</w:t>
      </w:r>
      <w:r w:rsidRPr="000508B6">
        <w:rPr>
          <w:rFonts w:ascii="Times New Roman" w:eastAsia="Times New Roman" w:hAnsi="Times New Roman" w:cs="Times New Roman"/>
          <w:lang w:val="ro-MD"/>
        </w:rPr>
        <w:t>. Calcularea rezervelor tehnice</w:t>
      </w:r>
    </w:p>
    <w:p w14:paraId="1A173FC9" w14:textId="67B2143D" w:rsidR="00F95829" w:rsidRPr="000508B6" w:rsidRDefault="00F95829" w:rsidP="009325FF">
      <w:pPr>
        <w:tabs>
          <w:tab w:val="left" w:pos="993"/>
        </w:tabs>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44</w:t>
      </w:r>
      <w:r w:rsidRPr="000508B6">
        <w:rPr>
          <w:rFonts w:ascii="Times New Roman" w:eastAsia="Times New Roman" w:hAnsi="Times New Roman" w:cs="Times New Roman"/>
          <w:lang w:val="ro-MD"/>
        </w:rPr>
        <w:t xml:space="preserve">. </w:t>
      </w:r>
      <w:r w:rsidR="00655800" w:rsidRPr="000508B6">
        <w:rPr>
          <w:rFonts w:ascii="Times New Roman" w:eastAsia="Times New Roman" w:hAnsi="Times New Roman" w:cs="Times New Roman"/>
          <w:lang w:val="ro-MD"/>
        </w:rPr>
        <w:t>Extrapolarea structurii relevante a ratei dobânzi</w:t>
      </w:r>
      <w:r w:rsidR="00492544" w:rsidRPr="000508B6">
        <w:rPr>
          <w:rFonts w:ascii="Times New Roman" w:eastAsia="Times New Roman" w:hAnsi="Times New Roman" w:cs="Times New Roman"/>
          <w:lang w:val="ro-MD"/>
        </w:rPr>
        <w:t>i</w:t>
      </w:r>
      <w:r w:rsidR="00655800" w:rsidRPr="000508B6">
        <w:rPr>
          <w:rFonts w:ascii="Times New Roman" w:eastAsia="Times New Roman" w:hAnsi="Times New Roman" w:cs="Times New Roman"/>
          <w:lang w:val="ro-MD"/>
        </w:rPr>
        <w:t xml:space="preserve"> fără risc</w:t>
      </w:r>
      <w:r w:rsidR="00E83606" w:rsidRPr="000508B6">
        <w:rPr>
          <w:rFonts w:ascii="Times New Roman" w:eastAsia="Times New Roman" w:hAnsi="Times New Roman" w:cs="Times New Roman"/>
          <w:lang w:val="ro-MD"/>
        </w:rPr>
        <w:t xml:space="preserve"> </w:t>
      </w:r>
    </w:p>
    <w:p w14:paraId="1223B31E" w14:textId="0CAC27A8" w:rsidR="00655800" w:rsidRPr="000508B6" w:rsidRDefault="00655800"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 xml:space="preserve">45. </w:t>
      </w:r>
      <w:r w:rsidRPr="000508B6">
        <w:rPr>
          <w:rFonts w:ascii="Times New Roman" w:eastAsia="Times New Roman" w:hAnsi="Times New Roman" w:cs="Times New Roman"/>
          <w:lang w:val="ro-MD"/>
        </w:rPr>
        <w:t xml:space="preserve">Prima de echilibrare </w:t>
      </w:r>
    </w:p>
    <w:p w14:paraId="077A45DB" w14:textId="4B87EC73" w:rsidR="00655800" w:rsidRPr="000508B6" w:rsidRDefault="00655800"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46.</w:t>
      </w:r>
      <w:r w:rsidR="00E8360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Calculul primei de echilibrare</w:t>
      </w:r>
      <w:r w:rsidR="00E83606" w:rsidRPr="000508B6">
        <w:rPr>
          <w:rFonts w:ascii="Times New Roman" w:eastAsia="Times New Roman" w:hAnsi="Times New Roman" w:cs="Times New Roman"/>
          <w:lang w:val="ro-MD"/>
        </w:rPr>
        <w:t xml:space="preserve"> </w:t>
      </w:r>
    </w:p>
    <w:p w14:paraId="1CAC3C5E" w14:textId="08E8FD64" w:rsidR="00655800" w:rsidRPr="000508B6" w:rsidRDefault="00655800"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47.</w:t>
      </w:r>
      <w:r w:rsidR="00E8360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Prima de volatilitate </w:t>
      </w:r>
    </w:p>
    <w:p w14:paraId="08F6AFBB" w14:textId="5E40983E"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48.</w:t>
      </w:r>
      <w:r w:rsidRPr="000508B6">
        <w:rPr>
          <w:rFonts w:ascii="Times New Roman" w:eastAsia="Times New Roman" w:hAnsi="Times New Roman" w:cs="Times New Roman"/>
          <w:lang w:val="ro-MD"/>
        </w:rPr>
        <w:t xml:space="preserve"> Alte elemente pentru calcularea rezervelor tehnice </w:t>
      </w:r>
    </w:p>
    <w:p w14:paraId="7AC044C3" w14:textId="415862F1"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49</w:t>
      </w:r>
      <w:r w:rsidRPr="000508B6">
        <w:rPr>
          <w:rFonts w:ascii="Times New Roman" w:eastAsia="Times New Roman" w:hAnsi="Times New Roman" w:cs="Times New Roman"/>
          <w:lang w:val="ro-MD"/>
        </w:rPr>
        <w:t>. Segmentarea</w:t>
      </w:r>
      <w:r w:rsidR="003C4CE5" w:rsidRPr="000508B6">
        <w:rPr>
          <w:rFonts w:ascii="Times New Roman" w:eastAsia="Times New Roman" w:hAnsi="Times New Roman" w:cs="Times New Roman"/>
          <w:lang w:val="ro-MD"/>
        </w:rPr>
        <w:t xml:space="preserve"> obligațiilor de asigurare</w:t>
      </w:r>
      <w:r w:rsidR="00FE4FB6" w:rsidRPr="000508B6">
        <w:rPr>
          <w:rFonts w:ascii="Times New Roman" w:eastAsia="Times New Roman" w:hAnsi="Times New Roman" w:cs="Times New Roman"/>
          <w:lang w:val="ro-MD"/>
        </w:rPr>
        <w:t xml:space="preserve"> și </w:t>
      </w:r>
      <w:r w:rsidR="003F3612" w:rsidRPr="000508B6">
        <w:rPr>
          <w:rFonts w:ascii="Times New Roman" w:eastAsia="Times New Roman" w:hAnsi="Times New Roman" w:cs="Times New Roman"/>
          <w:lang w:val="ro-MD"/>
        </w:rPr>
        <w:t xml:space="preserve">de </w:t>
      </w:r>
      <w:r w:rsidR="00FE4FB6" w:rsidRPr="000508B6">
        <w:rPr>
          <w:rFonts w:ascii="Times New Roman" w:eastAsia="Times New Roman" w:hAnsi="Times New Roman" w:cs="Times New Roman"/>
          <w:lang w:val="ro-MD"/>
        </w:rPr>
        <w:t>reasigurare</w:t>
      </w:r>
    </w:p>
    <w:p w14:paraId="3D1AF702" w14:textId="58A03D17" w:rsidR="00F95829" w:rsidRPr="000508B6" w:rsidRDefault="00F95829" w:rsidP="00D740FD">
      <w:pPr>
        <w:tabs>
          <w:tab w:val="left" w:pos="1418"/>
        </w:tabs>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50</w:t>
      </w:r>
      <w:r w:rsidRPr="000508B6">
        <w:rPr>
          <w:rFonts w:ascii="Times New Roman" w:eastAsia="Times New Roman" w:hAnsi="Times New Roman" w:cs="Times New Roman"/>
          <w:lang w:val="ro-MD"/>
        </w:rPr>
        <w:t xml:space="preserve">. </w:t>
      </w:r>
      <w:r w:rsidR="00610CAA" w:rsidRPr="000508B6">
        <w:rPr>
          <w:rFonts w:ascii="Times New Roman" w:eastAsia="Times New Roman" w:hAnsi="Times New Roman" w:cs="Times New Roman"/>
          <w:lang w:val="ro-MD"/>
        </w:rPr>
        <w:t xml:space="preserve">Sume recuperabile din contracte de reasigurare și de la vehicule investiționale </w:t>
      </w:r>
    </w:p>
    <w:p w14:paraId="4E82DF78" w14:textId="16546E01"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51</w:t>
      </w:r>
      <w:r w:rsidRPr="000508B6">
        <w:rPr>
          <w:rFonts w:ascii="Times New Roman" w:eastAsia="Times New Roman" w:hAnsi="Times New Roman" w:cs="Times New Roman"/>
          <w:lang w:val="ro-MD"/>
        </w:rPr>
        <w:t xml:space="preserve">. </w:t>
      </w:r>
      <w:r w:rsidR="00610CAA" w:rsidRPr="000508B6">
        <w:rPr>
          <w:rFonts w:ascii="Times New Roman" w:eastAsia="Times New Roman" w:hAnsi="Times New Roman" w:cs="Times New Roman"/>
          <w:lang w:val="ro-MD"/>
        </w:rPr>
        <w:t xml:space="preserve">Calitatea datelor </w:t>
      </w:r>
      <w:proofErr w:type="spellStart"/>
      <w:r w:rsidR="00610CAA" w:rsidRPr="000508B6">
        <w:rPr>
          <w:rFonts w:ascii="Times New Roman" w:eastAsia="Times New Roman" w:hAnsi="Times New Roman" w:cs="Times New Roman"/>
          <w:lang w:val="ro-MD"/>
        </w:rPr>
        <w:t>şi</w:t>
      </w:r>
      <w:proofErr w:type="spellEnd"/>
      <w:r w:rsidR="00610CAA" w:rsidRPr="000508B6">
        <w:rPr>
          <w:rFonts w:ascii="Times New Roman" w:eastAsia="Times New Roman" w:hAnsi="Times New Roman" w:cs="Times New Roman"/>
          <w:lang w:val="ro-MD"/>
        </w:rPr>
        <w:t xml:space="preserve"> aproximărilor aplicate.</w:t>
      </w:r>
    </w:p>
    <w:p w14:paraId="0DC3CCF9" w14:textId="400CDD4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52</w:t>
      </w:r>
      <w:r w:rsidRPr="000508B6">
        <w:rPr>
          <w:rFonts w:ascii="Times New Roman" w:eastAsia="Times New Roman" w:hAnsi="Times New Roman" w:cs="Times New Roman"/>
          <w:lang w:val="ro-MD"/>
        </w:rPr>
        <w:t>. Rezultatele obținute și experiența anterioară</w:t>
      </w:r>
    </w:p>
    <w:p w14:paraId="2B9B1FC9" w14:textId="4890C5A1"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53</w:t>
      </w:r>
      <w:r w:rsidRPr="000508B6">
        <w:rPr>
          <w:rFonts w:ascii="Times New Roman" w:eastAsia="Times New Roman" w:hAnsi="Times New Roman" w:cs="Times New Roman"/>
          <w:lang w:val="ro-MD"/>
        </w:rPr>
        <w:t xml:space="preserve">. Adecvarea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majorarea rezervelor tehnice</w:t>
      </w:r>
    </w:p>
    <w:p w14:paraId="791F25C0"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3AF83EBF" w14:textId="5186F7E5"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Secțiunea a - </w:t>
      </w:r>
      <w:r w:rsidR="00D740FD" w:rsidRPr="000508B6">
        <w:rPr>
          <w:rFonts w:ascii="Times New Roman" w:eastAsia="Times New Roman" w:hAnsi="Times New Roman" w:cs="Times New Roman"/>
          <w:b/>
          <w:lang w:val="ro-MD"/>
        </w:rPr>
        <w:t xml:space="preserve">3 </w:t>
      </w:r>
      <w:r w:rsidRPr="000508B6">
        <w:rPr>
          <w:rFonts w:ascii="Times New Roman" w:eastAsia="Times New Roman" w:hAnsi="Times New Roman" w:cs="Times New Roman"/>
          <w:b/>
          <w:lang w:val="ro-MD"/>
        </w:rPr>
        <w:t>a</w:t>
      </w:r>
      <w:r w:rsidR="001175D3" w:rsidRPr="000508B6">
        <w:rPr>
          <w:rFonts w:ascii="Times New Roman" w:eastAsia="Times New Roman" w:hAnsi="Times New Roman" w:cs="Times New Roman"/>
          <w:b/>
          <w:lang w:val="ro-MD"/>
        </w:rPr>
        <w:t xml:space="preserve"> </w:t>
      </w:r>
    </w:p>
    <w:p w14:paraId="608BF2F0" w14:textId="77777777" w:rsidR="00F95829" w:rsidRPr="000508B6" w:rsidRDefault="00F95829" w:rsidP="008B530F">
      <w:pPr>
        <w:spacing w:after="0" w:line="240" w:lineRule="auto"/>
        <w:ind w:firstLine="426"/>
        <w:jc w:val="center"/>
        <w:rPr>
          <w:rFonts w:ascii="Times New Roman" w:hAnsi="Times New Roman" w:cs="Times New Roman"/>
          <w:b/>
          <w:lang w:val="ro-MD"/>
        </w:rPr>
      </w:pPr>
      <w:bookmarkStart w:id="10" w:name="_Hlk221887474"/>
      <w:r w:rsidRPr="000508B6">
        <w:rPr>
          <w:rFonts w:ascii="Times New Roman" w:hAnsi="Times New Roman" w:cs="Times New Roman"/>
          <w:b/>
          <w:lang w:val="ro-MD"/>
        </w:rPr>
        <w:t xml:space="preserve">Fonduri proprii </w:t>
      </w:r>
    </w:p>
    <w:bookmarkEnd w:id="10"/>
    <w:p w14:paraId="73F3BAF3" w14:textId="3DC6DB29"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D740FD" w:rsidRPr="000508B6">
        <w:rPr>
          <w:rFonts w:ascii="Times New Roman" w:hAnsi="Times New Roman" w:cs="Times New Roman"/>
          <w:b/>
          <w:lang w:val="ro-MD"/>
        </w:rPr>
        <w:t>3</w:t>
      </w:r>
      <w:r w:rsidRPr="000508B6">
        <w:rPr>
          <w:rFonts w:ascii="Times New Roman" w:hAnsi="Times New Roman" w:cs="Times New Roman"/>
          <w:b/>
          <w:lang w:val="ro-MD"/>
        </w:rPr>
        <w:t xml:space="preserve">.1 </w:t>
      </w:r>
    </w:p>
    <w:p w14:paraId="6857ED58"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hAnsi="Times New Roman" w:cs="Times New Roman"/>
          <w:b/>
          <w:lang w:val="ro-MD"/>
        </w:rPr>
        <w:t>Determinarea fondurilor proprii</w:t>
      </w:r>
    </w:p>
    <w:p w14:paraId="1039268F" w14:textId="74FA821C"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54</w:t>
      </w:r>
      <w:r w:rsidRPr="000508B6">
        <w:rPr>
          <w:rFonts w:ascii="Times New Roman" w:eastAsia="Times New Roman" w:hAnsi="Times New Roman" w:cs="Times New Roman"/>
          <w:lang w:val="ro-MD"/>
        </w:rPr>
        <w:t>. Prevederi generale</w:t>
      </w:r>
    </w:p>
    <w:p w14:paraId="7B88EA67" w14:textId="495E5718"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55</w:t>
      </w:r>
      <w:r w:rsidRPr="000508B6">
        <w:rPr>
          <w:rFonts w:ascii="Times New Roman" w:eastAsia="Times New Roman" w:hAnsi="Times New Roman" w:cs="Times New Roman"/>
          <w:lang w:val="ro-MD"/>
        </w:rPr>
        <w:t>. Fondurile proprii de bază</w:t>
      </w:r>
    </w:p>
    <w:p w14:paraId="4E9562EF" w14:textId="4340155A"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56</w:t>
      </w:r>
      <w:r w:rsidRPr="000508B6">
        <w:rPr>
          <w:rFonts w:ascii="Times New Roman" w:eastAsia="Times New Roman" w:hAnsi="Times New Roman" w:cs="Times New Roman"/>
          <w:lang w:val="ro-MD"/>
        </w:rPr>
        <w:t>. Fondurile proprii auxiliare</w:t>
      </w:r>
    </w:p>
    <w:p w14:paraId="54014BDB" w14:textId="0C7FEB2D"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57</w:t>
      </w:r>
      <w:r w:rsidRPr="000508B6">
        <w:rPr>
          <w:rFonts w:ascii="Times New Roman" w:eastAsia="Times New Roman" w:hAnsi="Times New Roman" w:cs="Times New Roman"/>
          <w:lang w:val="ro-MD"/>
        </w:rPr>
        <w:t>. Aprobarea fondurilor proprii auxiliare</w:t>
      </w:r>
    </w:p>
    <w:p w14:paraId="50C7F303" w14:textId="226DC9C8"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58</w:t>
      </w:r>
      <w:r w:rsidRPr="000508B6">
        <w:rPr>
          <w:rFonts w:ascii="Times New Roman" w:eastAsia="Times New Roman" w:hAnsi="Times New Roman" w:cs="Times New Roman"/>
          <w:lang w:val="ro-MD"/>
        </w:rPr>
        <w:t>. Fondurile surplus</w:t>
      </w:r>
    </w:p>
    <w:p w14:paraId="21C2ADDB"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44947663" w14:textId="10D27F0D"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D740FD" w:rsidRPr="000508B6">
        <w:rPr>
          <w:rFonts w:ascii="Times New Roman" w:hAnsi="Times New Roman" w:cs="Times New Roman"/>
          <w:b/>
          <w:lang w:val="ro-MD"/>
        </w:rPr>
        <w:t>3</w:t>
      </w:r>
      <w:r w:rsidRPr="000508B6">
        <w:rPr>
          <w:rFonts w:ascii="Times New Roman" w:hAnsi="Times New Roman" w:cs="Times New Roman"/>
          <w:b/>
          <w:lang w:val="ro-MD"/>
        </w:rPr>
        <w:t>.2</w:t>
      </w:r>
    </w:p>
    <w:p w14:paraId="0E8E86EA"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lastRenderedPageBreak/>
        <w:t>Clasificarea fondurilor proprii</w:t>
      </w:r>
    </w:p>
    <w:p w14:paraId="0CDA7569" w14:textId="77777777" w:rsidR="00F95829" w:rsidRPr="000508B6" w:rsidRDefault="00F95829" w:rsidP="008B530F">
      <w:pPr>
        <w:spacing w:after="0" w:line="240" w:lineRule="auto"/>
        <w:ind w:firstLine="426"/>
        <w:jc w:val="both"/>
        <w:rPr>
          <w:rFonts w:ascii="Times New Roman" w:eastAsia="Times New Roman" w:hAnsi="Times New Roman" w:cs="Times New Roman"/>
          <w:b/>
          <w:lang w:val="ro-MD"/>
        </w:rPr>
      </w:pPr>
    </w:p>
    <w:p w14:paraId="33D6EBAD" w14:textId="68E2CC7B"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59</w:t>
      </w:r>
      <w:r w:rsidRPr="000508B6">
        <w:rPr>
          <w:rFonts w:ascii="Times New Roman" w:eastAsia="Times New Roman" w:hAnsi="Times New Roman" w:cs="Times New Roman"/>
          <w:lang w:val="ro-MD"/>
        </w:rPr>
        <w:t xml:space="preserve">. </w:t>
      </w:r>
      <w:r w:rsidR="004D4558" w:rsidRPr="000508B6">
        <w:rPr>
          <w:rFonts w:ascii="Times New Roman" w:eastAsia="Times New Roman" w:hAnsi="Times New Roman" w:cs="Times New Roman"/>
          <w:lang w:val="ro-MD"/>
        </w:rPr>
        <w:t>Caracteristici și particularități utilizate pentru clasificarea fondurilor proprii pe ranguri</w:t>
      </w:r>
    </w:p>
    <w:p w14:paraId="571C1DF8" w14:textId="5FCB67D1"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60</w:t>
      </w:r>
      <w:r w:rsidRPr="000508B6">
        <w:rPr>
          <w:rFonts w:ascii="Times New Roman" w:eastAsia="Times New Roman" w:hAnsi="Times New Roman" w:cs="Times New Roman"/>
          <w:lang w:val="ro-MD"/>
        </w:rPr>
        <w:t>. Criteriile principale de clasificare pe ranguri</w:t>
      </w:r>
    </w:p>
    <w:p w14:paraId="6CB68FED" w14:textId="195AB4AA"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61</w:t>
      </w:r>
      <w:r w:rsidRPr="000508B6">
        <w:rPr>
          <w:rFonts w:ascii="Times New Roman" w:eastAsia="Times New Roman" w:hAnsi="Times New Roman" w:cs="Times New Roman"/>
          <w:lang w:val="ro-MD"/>
        </w:rPr>
        <w:t>. Clasificarea pe ranguri</w:t>
      </w:r>
    </w:p>
    <w:p w14:paraId="32BC7953" w14:textId="47D19B46" w:rsidR="00F95829" w:rsidRPr="000508B6" w:rsidRDefault="00F95829" w:rsidP="008B530F">
      <w:pPr>
        <w:tabs>
          <w:tab w:val="left" w:pos="1560"/>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62</w:t>
      </w:r>
      <w:r w:rsidRPr="000508B6">
        <w:rPr>
          <w:rFonts w:ascii="Times New Roman" w:eastAsia="Times New Roman" w:hAnsi="Times New Roman" w:cs="Times New Roman"/>
          <w:lang w:val="ro-MD"/>
        </w:rPr>
        <w:t>. Clasificarea elementelor fondurilor proprii specifice asigurărilor</w:t>
      </w:r>
    </w:p>
    <w:p w14:paraId="0387334E"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p>
    <w:p w14:paraId="74C7FC1E" w14:textId="7660D050"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D740FD" w:rsidRPr="000508B6">
        <w:rPr>
          <w:rFonts w:ascii="Times New Roman" w:hAnsi="Times New Roman" w:cs="Times New Roman"/>
          <w:b/>
          <w:lang w:val="ro-MD"/>
        </w:rPr>
        <w:t>3</w:t>
      </w:r>
      <w:r w:rsidRPr="000508B6">
        <w:rPr>
          <w:rFonts w:ascii="Times New Roman" w:hAnsi="Times New Roman" w:cs="Times New Roman"/>
          <w:b/>
          <w:lang w:val="ro-MD"/>
        </w:rPr>
        <w:t>.3</w:t>
      </w:r>
    </w:p>
    <w:p w14:paraId="3720015C"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Eligibilitatea fondurilor proprii</w:t>
      </w:r>
    </w:p>
    <w:p w14:paraId="741BFA27" w14:textId="77777777" w:rsidR="00625238" w:rsidRPr="000508B6" w:rsidRDefault="00625238" w:rsidP="008B530F">
      <w:pPr>
        <w:spacing w:after="0" w:line="240" w:lineRule="auto"/>
        <w:ind w:firstLine="426"/>
        <w:jc w:val="both"/>
        <w:rPr>
          <w:rFonts w:ascii="Times New Roman" w:eastAsia="Times New Roman" w:hAnsi="Times New Roman" w:cs="Times New Roman"/>
          <w:lang w:val="ro-MD"/>
        </w:rPr>
      </w:pPr>
    </w:p>
    <w:p w14:paraId="61E10701" w14:textId="5C98A1EA"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63</w:t>
      </w:r>
      <w:r w:rsidRPr="000508B6">
        <w:rPr>
          <w:rFonts w:ascii="Times New Roman" w:eastAsia="Times New Roman" w:hAnsi="Times New Roman" w:cs="Times New Roman"/>
          <w:lang w:val="ro-MD"/>
        </w:rPr>
        <w:t xml:space="preserve">. </w:t>
      </w:r>
      <w:r w:rsidR="00EB7A78" w:rsidRPr="000508B6">
        <w:rPr>
          <w:rFonts w:ascii="Times New Roman" w:eastAsia="Times New Roman" w:hAnsi="Times New Roman" w:cs="Times New Roman"/>
          <w:lang w:val="ro-MD"/>
        </w:rPr>
        <w:t>Eligibilitate și limite aplicabile rangurilor 1, 2 și 3</w:t>
      </w:r>
    </w:p>
    <w:p w14:paraId="10D69060" w14:textId="7777777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w:t>
      </w:r>
    </w:p>
    <w:p w14:paraId="126D72A4" w14:textId="009C4441"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w:t>
      </w:r>
      <w:r w:rsidR="00B52D19" w:rsidRPr="000508B6">
        <w:rPr>
          <w:rFonts w:ascii="Times New Roman" w:eastAsia="Times New Roman" w:hAnsi="Times New Roman" w:cs="Times New Roman"/>
          <w:b/>
          <w:lang w:val="ro-MD"/>
        </w:rPr>
        <w:t>4</w:t>
      </w:r>
      <w:r w:rsidRPr="000508B6">
        <w:rPr>
          <w:rFonts w:ascii="Times New Roman" w:eastAsia="Times New Roman" w:hAnsi="Times New Roman" w:cs="Times New Roman"/>
          <w:b/>
          <w:lang w:val="ro-MD"/>
        </w:rPr>
        <w:t>-a</w:t>
      </w:r>
      <w:r w:rsidR="001175D3" w:rsidRPr="000508B6">
        <w:rPr>
          <w:rFonts w:ascii="Times New Roman" w:eastAsia="Times New Roman" w:hAnsi="Times New Roman" w:cs="Times New Roman"/>
          <w:b/>
          <w:lang w:val="ro-MD"/>
        </w:rPr>
        <w:t xml:space="preserve"> </w:t>
      </w:r>
    </w:p>
    <w:p w14:paraId="0BD3C729" w14:textId="3BC4067D" w:rsidR="00F95829" w:rsidRPr="000508B6" w:rsidRDefault="00F95829" w:rsidP="008B530F">
      <w:pPr>
        <w:spacing w:after="0" w:line="240" w:lineRule="auto"/>
        <w:ind w:firstLine="426"/>
        <w:jc w:val="center"/>
        <w:rPr>
          <w:rFonts w:ascii="Times New Roman" w:hAnsi="Times New Roman" w:cs="Times New Roman"/>
          <w:b/>
          <w:lang w:val="ro-MD"/>
        </w:rPr>
      </w:pPr>
      <w:bookmarkStart w:id="11" w:name="_Hlk221887490"/>
      <w:proofErr w:type="spellStart"/>
      <w:r w:rsidRPr="000508B6">
        <w:rPr>
          <w:rFonts w:ascii="Times New Roman" w:hAnsi="Times New Roman" w:cs="Times New Roman"/>
          <w:b/>
          <w:lang w:val="ro-MD"/>
        </w:rPr>
        <w:t>Cerinţa</w:t>
      </w:r>
      <w:proofErr w:type="spellEnd"/>
      <w:r w:rsidRPr="000508B6">
        <w:rPr>
          <w:rFonts w:ascii="Times New Roman" w:hAnsi="Times New Roman" w:cs="Times New Roman"/>
          <w:b/>
          <w:lang w:val="ro-MD"/>
        </w:rPr>
        <w:t xml:space="preserve"> de capital de solvabilitate</w:t>
      </w:r>
      <w:r w:rsidR="004302EF" w:rsidRPr="000508B6">
        <w:rPr>
          <w:rFonts w:ascii="Times New Roman" w:hAnsi="Times New Roman" w:cs="Times New Roman"/>
          <w:b/>
          <w:lang w:val="ro-MD"/>
        </w:rPr>
        <w:t xml:space="preserve"> </w:t>
      </w:r>
      <w:r w:rsidR="00F2595E" w:rsidRPr="000508B6">
        <w:rPr>
          <w:rFonts w:ascii="Times New Roman" w:hAnsi="Times New Roman" w:cs="Times New Roman"/>
          <w:b/>
          <w:lang w:val="ro-MD"/>
        </w:rPr>
        <w:t>(SCR)</w:t>
      </w:r>
      <w:r w:rsidRPr="000508B6">
        <w:rPr>
          <w:rFonts w:ascii="Times New Roman" w:hAnsi="Times New Roman" w:cs="Times New Roman"/>
          <w:b/>
          <w:lang w:val="ro-MD"/>
        </w:rPr>
        <w:t xml:space="preserve"> </w:t>
      </w:r>
    </w:p>
    <w:bookmarkEnd w:id="11"/>
    <w:p w14:paraId="568C319B" w14:textId="448B789B"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B52D19" w:rsidRPr="000508B6">
        <w:rPr>
          <w:rFonts w:ascii="Times New Roman" w:hAnsi="Times New Roman" w:cs="Times New Roman"/>
          <w:b/>
          <w:lang w:val="ro-MD"/>
        </w:rPr>
        <w:t>4</w:t>
      </w:r>
      <w:r w:rsidRPr="000508B6">
        <w:rPr>
          <w:rFonts w:ascii="Times New Roman" w:hAnsi="Times New Roman" w:cs="Times New Roman"/>
          <w:b/>
          <w:lang w:val="ro-MD"/>
        </w:rPr>
        <w:t xml:space="preserve">.1 </w:t>
      </w:r>
    </w:p>
    <w:p w14:paraId="5B57EC9C" w14:textId="77777777" w:rsidR="00F95829" w:rsidRPr="000508B6" w:rsidRDefault="00F95829" w:rsidP="008B530F">
      <w:pPr>
        <w:spacing w:after="0" w:line="240" w:lineRule="auto"/>
        <w:ind w:firstLine="426"/>
        <w:jc w:val="center"/>
        <w:rPr>
          <w:rFonts w:ascii="Times New Roman" w:hAnsi="Times New Roman" w:cs="Times New Roman"/>
          <w:b/>
          <w:lang w:val="ro-MD"/>
        </w:rPr>
      </w:pPr>
      <w:proofErr w:type="spellStart"/>
      <w:r w:rsidRPr="000508B6">
        <w:rPr>
          <w:rFonts w:ascii="Times New Roman" w:hAnsi="Times New Roman" w:cs="Times New Roman"/>
          <w:b/>
          <w:lang w:val="ro-MD"/>
        </w:rPr>
        <w:t>Dispoziţii</w:t>
      </w:r>
      <w:proofErr w:type="spellEnd"/>
      <w:r w:rsidRPr="000508B6">
        <w:rPr>
          <w:rFonts w:ascii="Times New Roman" w:hAnsi="Times New Roman" w:cs="Times New Roman"/>
          <w:b/>
          <w:lang w:val="ro-MD"/>
        </w:rPr>
        <w:t xml:space="preserve"> generale </w:t>
      </w:r>
    </w:p>
    <w:p w14:paraId="2BED491C" w14:textId="77777777" w:rsidR="00625238" w:rsidRPr="000508B6" w:rsidRDefault="00625238" w:rsidP="008B530F">
      <w:pPr>
        <w:spacing w:after="0" w:line="240" w:lineRule="auto"/>
        <w:ind w:firstLine="426"/>
        <w:rPr>
          <w:rFonts w:ascii="Times New Roman" w:eastAsia="Times New Roman" w:hAnsi="Times New Roman" w:cs="Times New Roman"/>
          <w:lang w:val="ro-MD"/>
        </w:rPr>
      </w:pPr>
    </w:p>
    <w:p w14:paraId="571D0CB0" w14:textId="3549EE04"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64</w:t>
      </w:r>
      <w:r w:rsidRPr="000508B6">
        <w:rPr>
          <w:rFonts w:ascii="Times New Roman" w:eastAsia="Times New Roman" w:hAnsi="Times New Roman" w:cs="Times New Roman"/>
          <w:lang w:val="ro-MD"/>
        </w:rPr>
        <w:t xml:space="preserve">. Calcularea SCR </w:t>
      </w:r>
    </w:p>
    <w:p w14:paraId="107CAAFC" w14:textId="3521ECF2"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664BA5" w:rsidRPr="000508B6">
        <w:rPr>
          <w:rFonts w:ascii="Times New Roman" w:eastAsia="Times New Roman" w:hAnsi="Times New Roman" w:cs="Times New Roman"/>
          <w:lang w:val="ro-MD"/>
        </w:rPr>
        <w:t>65</w:t>
      </w:r>
      <w:r w:rsidRPr="000508B6">
        <w:rPr>
          <w:rFonts w:ascii="Times New Roman" w:eastAsia="Times New Roman" w:hAnsi="Times New Roman" w:cs="Times New Roman"/>
          <w:lang w:val="ro-MD"/>
        </w:rPr>
        <w:t xml:space="preserve">. </w:t>
      </w:r>
      <w:r w:rsidR="00FA30D2" w:rsidRPr="000508B6">
        <w:rPr>
          <w:rFonts w:ascii="Times New Roman" w:eastAsia="Times New Roman" w:hAnsi="Times New Roman" w:cs="Times New Roman"/>
          <w:lang w:val="ro-MD"/>
        </w:rPr>
        <w:t>Frecvența calculării</w:t>
      </w:r>
      <w:r w:rsidR="00493DB5" w:rsidRPr="000508B6">
        <w:rPr>
          <w:rFonts w:ascii="Times New Roman" w:eastAsia="Times New Roman" w:hAnsi="Times New Roman" w:cs="Times New Roman"/>
          <w:lang w:val="ro-MD"/>
        </w:rPr>
        <w:t xml:space="preserve"> SCR</w:t>
      </w:r>
    </w:p>
    <w:p w14:paraId="66DC6322" w14:textId="77777777" w:rsidR="00F95829" w:rsidRPr="000508B6" w:rsidRDefault="00F95829" w:rsidP="008B530F">
      <w:pPr>
        <w:spacing w:after="0" w:line="240" w:lineRule="auto"/>
        <w:ind w:firstLine="426"/>
        <w:jc w:val="center"/>
        <w:rPr>
          <w:rFonts w:ascii="Times New Roman" w:hAnsi="Times New Roman" w:cs="Times New Roman"/>
          <w:b/>
          <w:lang w:val="ro-MD"/>
        </w:rPr>
      </w:pPr>
    </w:p>
    <w:p w14:paraId="4C8A202D" w14:textId="54AF5F00"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B52D19" w:rsidRPr="000508B6">
        <w:rPr>
          <w:rFonts w:ascii="Times New Roman" w:hAnsi="Times New Roman" w:cs="Times New Roman"/>
          <w:b/>
          <w:lang w:val="ro-MD"/>
        </w:rPr>
        <w:t>4</w:t>
      </w:r>
      <w:r w:rsidRPr="000508B6">
        <w:rPr>
          <w:rFonts w:ascii="Times New Roman" w:hAnsi="Times New Roman" w:cs="Times New Roman"/>
          <w:b/>
          <w:lang w:val="ro-MD"/>
        </w:rPr>
        <w:t xml:space="preserve">.2 </w:t>
      </w:r>
    </w:p>
    <w:p w14:paraId="6A0149DE"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Calcularea SCR cu formula standard</w:t>
      </w:r>
    </w:p>
    <w:p w14:paraId="3FED0B7F" w14:textId="77777777" w:rsidR="00625238" w:rsidRPr="000508B6" w:rsidRDefault="00625238" w:rsidP="008B530F">
      <w:pPr>
        <w:spacing w:after="0" w:line="240" w:lineRule="auto"/>
        <w:ind w:firstLine="426"/>
        <w:jc w:val="both"/>
        <w:rPr>
          <w:rFonts w:ascii="Times New Roman" w:hAnsi="Times New Roman" w:cs="Times New Roman"/>
          <w:lang w:val="ro-MD"/>
        </w:rPr>
      </w:pPr>
    </w:p>
    <w:p w14:paraId="4E7BBC96" w14:textId="6C181B8A"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664BA5" w:rsidRPr="000508B6">
        <w:rPr>
          <w:rFonts w:ascii="Times New Roman" w:hAnsi="Times New Roman" w:cs="Times New Roman"/>
          <w:lang w:val="ro-MD"/>
        </w:rPr>
        <w:t>66</w:t>
      </w:r>
      <w:r w:rsidRPr="000508B6">
        <w:rPr>
          <w:rFonts w:ascii="Times New Roman" w:hAnsi="Times New Roman" w:cs="Times New Roman"/>
          <w:lang w:val="ro-MD"/>
        </w:rPr>
        <w:t xml:space="preserve">. Structura </w:t>
      </w:r>
      <w:r w:rsidR="0024334D" w:rsidRPr="000508B6">
        <w:rPr>
          <w:rFonts w:ascii="Times New Roman" w:hAnsi="Times New Roman" w:cs="Times New Roman"/>
          <w:lang w:val="ro-MD"/>
        </w:rPr>
        <w:t>formulei</w:t>
      </w:r>
      <w:r w:rsidRPr="000508B6">
        <w:rPr>
          <w:rFonts w:ascii="Times New Roman" w:hAnsi="Times New Roman" w:cs="Times New Roman"/>
          <w:lang w:val="ro-MD"/>
        </w:rPr>
        <w:t xml:space="preserve"> standard</w:t>
      </w:r>
    </w:p>
    <w:p w14:paraId="7BFEB8C1" w14:textId="19567F04"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664BA5" w:rsidRPr="000508B6">
        <w:rPr>
          <w:rFonts w:ascii="Times New Roman" w:hAnsi="Times New Roman" w:cs="Times New Roman"/>
          <w:lang w:val="ro-MD"/>
        </w:rPr>
        <w:t>67</w:t>
      </w:r>
      <w:r w:rsidRPr="000508B6">
        <w:rPr>
          <w:rFonts w:ascii="Times New Roman" w:hAnsi="Times New Roman" w:cs="Times New Roman"/>
          <w:lang w:val="ro-MD"/>
        </w:rPr>
        <w:t>. Structura SCR de bază</w:t>
      </w:r>
    </w:p>
    <w:p w14:paraId="7602C463" w14:textId="26538BCE"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664BA5" w:rsidRPr="000508B6">
        <w:rPr>
          <w:rFonts w:ascii="Times New Roman" w:hAnsi="Times New Roman" w:cs="Times New Roman"/>
          <w:lang w:val="ro-MD"/>
        </w:rPr>
        <w:t>68</w:t>
      </w:r>
      <w:r w:rsidRPr="000508B6">
        <w:rPr>
          <w:rFonts w:ascii="Times New Roman" w:hAnsi="Times New Roman" w:cs="Times New Roman"/>
          <w:lang w:val="ro-MD"/>
        </w:rPr>
        <w:t>. Calcularea SCR de bază</w:t>
      </w:r>
    </w:p>
    <w:p w14:paraId="75C5D177" w14:textId="3CC2607E" w:rsidR="007B3893" w:rsidRPr="000508B6" w:rsidRDefault="007B3893"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664BA5" w:rsidRPr="000508B6">
        <w:rPr>
          <w:rFonts w:ascii="Times New Roman" w:hAnsi="Times New Roman" w:cs="Times New Roman"/>
          <w:lang w:val="ro-MD"/>
        </w:rPr>
        <w:t>69.</w:t>
      </w:r>
      <w:r w:rsidR="00060F45" w:rsidRPr="000508B6">
        <w:rPr>
          <w:rFonts w:ascii="Times New Roman" w:hAnsi="Times New Roman" w:cs="Times New Roman"/>
          <w:lang w:val="ro-MD"/>
        </w:rPr>
        <w:t xml:space="preserve"> </w:t>
      </w:r>
      <w:r w:rsidRPr="000508B6">
        <w:rPr>
          <w:rFonts w:ascii="Times New Roman" w:hAnsi="Times New Roman" w:cs="Times New Roman"/>
          <w:lang w:val="ro-MD"/>
        </w:rPr>
        <w:t>Investiții pe termen lung</w:t>
      </w:r>
      <w:r w:rsidR="000364C7" w:rsidRPr="000508B6">
        <w:rPr>
          <w:rFonts w:ascii="Times New Roman" w:hAnsi="Times New Roman" w:cs="Times New Roman"/>
          <w:lang w:val="ro-MD"/>
        </w:rPr>
        <w:t xml:space="preserve"> în acțiuni</w:t>
      </w:r>
    </w:p>
    <w:p w14:paraId="633508F7" w14:textId="6DDE0411"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Articolul</w:t>
      </w:r>
      <w:r w:rsidR="00B56196" w:rsidRPr="000508B6">
        <w:rPr>
          <w:rFonts w:ascii="Times New Roman" w:hAnsi="Times New Roman" w:cs="Times New Roman"/>
          <w:lang w:val="ro-MD"/>
        </w:rPr>
        <w:t xml:space="preserve"> </w:t>
      </w:r>
      <w:r w:rsidR="00664BA5" w:rsidRPr="000508B6">
        <w:rPr>
          <w:rFonts w:ascii="Times New Roman" w:hAnsi="Times New Roman" w:cs="Times New Roman"/>
          <w:lang w:val="ro-MD"/>
        </w:rPr>
        <w:t>70</w:t>
      </w:r>
      <w:r w:rsidRPr="000508B6">
        <w:rPr>
          <w:rFonts w:ascii="Times New Roman" w:hAnsi="Times New Roman" w:cs="Times New Roman"/>
          <w:lang w:val="ro-MD"/>
        </w:rPr>
        <w:t xml:space="preserve">. Calcularea </w:t>
      </w:r>
      <w:proofErr w:type="spellStart"/>
      <w:r w:rsidRPr="000508B6">
        <w:rPr>
          <w:rFonts w:ascii="Times New Roman" w:hAnsi="Times New Roman" w:cs="Times New Roman"/>
          <w:lang w:val="ro-MD"/>
        </w:rPr>
        <w:t>submodulului</w:t>
      </w:r>
      <w:proofErr w:type="spellEnd"/>
      <w:r w:rsidRPr="000508B6">
        <w:rPr>
          <w:rFonts w:ascii="Times New Roman" w:hAnsi="Times New Roman" w:cs="Times New Roman"/>
          <w:lang w:val="ro-MD"/>
        </w:rPr>
        <w:t xml:space="preserve"> risc de devalorizare </w:t>
      </w:r>
      <w:proofErr w:type="spellStart"/>
      <w:r w:rsidRPr="000508B6">
        <w:rPr>
          <w:rFonts w:ascii="Times New Roman" w:hAnsi="Times New Roman" w:cs="Times New Roman"/>
          <w:lang w:val="ro-MD"/>
        </w:rPr>
        <w:t>acţiuni</w:t>
      </w:r>
      <w:proofErr w:type="spellEnd"/>
      <w:r w:rsidRPr="000508B6">
        <w:rPr>
          <w:rFonts w:ascii="Times New Roman" w:hAnsi="Times New Roman" w:cs="Times New Roman"/>
          <w:lang w:val="ro-MD"/>
        </w:rPr>
        <w:t>: mecanismul de ajustare simetrică</w:t>
      </w:r>
    </w:p>
    <w:p w14:paraId="04A5E771" w14:textId="794EE6C0"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664BA5" w:rsidRPr="000508B6">
        <w:rPr>
          <w:rFonts w:ascii="Times New Roman" w:hAnsi="Times New Roman" w:cs="Times New Roman"/>
          <w:lang w:val="ro-MD"/>
        </w:rPr>
        <w:t>71</w:t>
      </w:r>
      <w:r w:rsidRPr="000508B6">
        <w:rPr>
          <w:rFonts w:ascii="Times New Roman" w:hAnsi="Times New Roman" w:cs="Times New Roman"/>
          <w:lang w:val="ro-MD"/>
        </w:rPr>
        <w:t>. SCR pentru riscul operațional</w:t>
      </w:r>
    </w:p>
    <w:p w14:paraId="6BAC8941" w14:textId="62F74736"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Articolul</w:t>
      </w:r>
      <w:r w:rsidR="00B56196" w:rsidRPr="000508B6">
        <w:rPr>
          <w:rFonts w:ascii="Times New Roman" w:hAnsi="Times New Roman" w:cs="Times New Roman"/>
          <w:lang w:val="ro-MD"/>
        </w:rPr>
        <w:t xml:space="preserve"> </w:t>
      </w:r>
      <w:r w:rsidR="00664BA5" w:rsidRPr="000508B6">
        <w:rPr>
          <w:rFonts w:ascii="Times New Roman" w:hAnsi="Times New Roman" w:cs="Times New Roman"/>
          <w:lang w:val="ro-MD"/>
        </w:rPr>
        <w:t>72</w:t>
      </w:r>
      <w:r w:rsidRPr="000508B6">
        <w:rPr>
          <w:rFonts w:ascii="Times New Roman" w:hAnsi="Times New Roman" w:cs="Times New Roman"/>
          <w:lang w:val="ro-MD"/>
        </w:rPr>
        <w:t>. Ajustarea în funcție de capacitatea rezervelor tehnice și a impozitelor amânate de a acoperi pierderile</w:t>
      </w:r>
    </w:p>
    <w:p w14:paraId="551A6D16" w14:textId="4373DF5F"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73</w:t>
      </w:r>
      <w:r w:rsidRPr="000508B6">
        <w:rPr>
          <w:rFonts w:ascii="Times New Roman" w:hAnsi="Times New Roman" w:cs="Times New Roman"/>
          <w:lang w:val="ro-MD"/>
        </w:rPr>
        <w:t>. Simplificările formulei standard</w:t>
      </w:r>
    </w:p>
    <w:p w14:paraId="71D7C32D" w14:textId="2CDD58A0"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74</w:t>
      </w:r>
      <w:r w:rsidRPr="000508B6">
        <w:rPr>
          <w:rFonts w:ascii="Times New Roman" w:hAnsi="Times New Roman" w:cs="Times New Roman"/>
          <w:lang w:val="ro-MD"/>
        </w:rPr>
        <w:t xml:space="preserve">. </w:t>
      </w:r>
      <w:r w:rsidR="00EB6DCC" w:rsidRPr="000508B6">
        <w:rPr>
          <w:rFonts w:ascii="Times New Roman" w:hAnsi="Times New Roman" w:cs="Times New Roman"/>
          <w:lang w:val="ro-MD"/>
        </w:rPr>
        <w:t>Abateri semnificative de la ipotezele care stau la baza formulei standard de calcul</w:t>
      </w:r>
    </w:p>
    <w:p w14:paraId="7D677B8C"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1EBD4639" w14:textId="77777777" w:rsidR="00F2432E" w:rsidRPr="000508B6" w:rsidRDefault="00F2432E" w:rsidP="008B530F">
      <w:pPr>
        <w:spacing w:after="0" w:line="240" w:lineRule="auto"/>
        <w:ind w:firstLine="426"/>
        <w:jc w:val="both"/>
        <w:rPr>
          <w:rFonts w:ascii="Times New Roman" w:hAnsi="Times New Roman" w:cs="Times New Roman"/>
          <w:lang w:val="ro-MD"/>
        </w:rPr>
      </w:pPr>
    </w:p>
    <w:p w14:paraId="21538999" w14:textId="22254C2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B52D19" w:rsidRPr="000508B6">
        <w:rPr>
          <w:rFonts w:ascii="Times New Roman" w:hAnsi="Times New Roman" w:cs="Times New Roman"/>
          <w:b/>
          <w:lang w:val="ro-MD"/>
        </w:rPr>
        <w:t>4</w:t>
      </w:r>
      <w:r w:rsidRPr="000508B6">
        <w:rPr>
          <w:rFonts w:ascii="Times New Roman" w:hAnsi="Times New Roman" w:cs="Times New Roman"/>
          <w:b/>
          <w:lang w:val="ro-MD"/>
        </w:rPr>
        <w:t xml:space="preserve">.3 </w:t>
      </w:r>
    </w:p>
    <w:p w14:paraId="1CD278DE"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hAnsi="Times New Roman" w:cs="Times New Roman"/>
          <w:b/>
          <w:lang w:val="ro-MD"/>
        </w:rPr>
        <w:t xml:space="preserve">Calcularea SCR cu model intern integral </w:t>
      </w:r>
      <w:proofErr w:type="spellStart"/>
      <w:r w:rsidRPr="000508B6">
        <w:rPr>
          <w:rFonts w:ascii="Times New Roman" w:hAnsi="Times New Roman" w:cs="Times New Roman"/>
          <w:b/>
          <w:lang w:val="ro-MD"/>
        </w:rPr>
        <w:t>şi</w:t>
      </w:r>
      <w:proofErr w:type="spellEnd"/>
      <w:r w:rsidRPr="000508B6">
        <w:rPr>
          <w:rFonts w:ascii="Times New Roman" w:hAnsi="Times New Roman" w:cs="Times New Roman"/>
          <w:b/>
          <w:lang w:val="ro-MD"/>
        </w:rPr>
        <w:t xml:space="preserve"> model intern </w:t>
      </w:r>
      <w:proofErr w:type="spellStart"/>
      <w:r w:rsidRPr="000508B6">
        <w:rPr>
          <w:rFonts w:ascii="Times New Roman" w:hAnsi="Times New Roman" w:cs="Times New Roman"/>
          <w:b/>
          <w:lang w:val="ro-MD"/>
        </w:rPr>
        <w:t>parţial</w:t>
      </w:r>
      <w:proofErr w:type="spellEnd"/>
    </w:p>
    <w:p w14:paraId="26455A4B" w14:textId="77777777" w:rsidR="00625238" w:rsidRPr="000508B6" w:rsidRDefault="00625238" w:rsidP="008B530F">
      <w:pPr>
        <w:spacing w:after="0" w:line="240" w:lineRule="auto"/>
        <w:ind w:firstLine="426"/>
        <w:jc w:val="both"/>
        <w:rPr>
          <w:rFonts w:ascii="Times New Roman" w:hAnsi="Times New Roman" w:cs="Times New Roman"/>
          <w:lang w:val="ro-MD"/>
        </w:rPr>
      </w:pPr>
    </w:p>
    <w:p w14:paraId="51739EA9" w14:textId="5E4DA6C9"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75</w:t>
      </w:r>
      <w:r w:rsidRPr="000508B6">
        <w:rPr>
          <w:rFonts w:ascii="Times New Roman" w:hAnsi="Times New Roman" w:cs="Times New Roman"/>
          <w:lang w:val="ro-MD"/>
        </w:rPr>
        <w:t>. Prevederi generale referitoare la procesul de aprobare</w:t>
      </w:r>
    </w:p>
    <w:p w14:paraId="5B9A9435" w14:textId="6404505F"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76</w:t>
      </w:r>
      <w:r w:rsidRPr="000508B6">
        <w:rPr>
          <w:rFonts w:ascii="Times New Roman" w:hAnsi="Times New Roman" w:cs="Times New Roman"/>
          <w:lang w:val="ro-MD"/>
        </w:rPr>
        <w:t>. Prevederi specifice referitoare la procesul de aprobare a modelului intern parțial</w:t>
      </w:r>
    </w:p>
    <w:p w14:paraId="543494C9" w14:textId="148C472C"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77</w:t>
      </w:r>
      <w:r w:rsidRPr="000508B6">
        <w:rPr>
          <w:rFonts w:ascii="Times New Roman" w:hAnsi="Times New Roman" w:cs="Times New Roman"/>
          <w:lang w:val="ro-MD"/>
        </w:rPr>
        <w:t xml:space="preserve">. Politica privind modificarea modelului intern </w:t>
      </w:r>
    </w:p>
    <w:p w14:paraId="003CD391" w14:textId="3E6834A7"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78</w:t>
      </w:r>
      <w:r w:rsidRPr="000508B6">
        <w:rPr>
          <w:rFonts w:ascii="Times New Roman" w:hAnsi="Times New Roman" w:cs="Times New Roman"/>
          <w:lang w:val="ro-MD"/>
        </w:rPr>
        <w:t xml:space="preserve">. </w:t>
      </w:r>
      <w:r w:rsidR="00DE29F6" w:rsidRPr="000508B6">
        <w:rPr>
          <w:rFonts w:ascii="Times New Roman" w:hAnsi="Times New Roman" w:cs="Times New Roman"/>
          <w:lang w:val="ro-MD"/>
        </w:rPr>
        <w:t xml:space="preserve">Revenirea la </w:t>
      </w:r>
      <w:r w:rsidRPr="000508B6">
        <w:rPr>
          <w:rFonts w:ascii="Times New Roman" w:hAnsi="Times New Roman" w:cs="Times New Roman"/>
          <w:lang w:val="ro-MD"/>
        </w:rPr>
        <w:t>formul</w:t>
      </w:r>
      <w:r w:rsidR="00DE29F6" w:rsidRPr="000508B6">
        <w:rPr>
          <w:rFonts w:ascii="Times New Roman" w:hAnsi="Times New Roman" w:cs="Times New Roman"/>
          <w:lang w:val="ro-MD"/>
        </w:rPr>
        <w:t>a</w:t>
      </w:r>
      <w:r w:rsidRPr="000508B6">
        <w:rPr>
          <w:rFonts w:ascii="Times New Roman" w:hAnsi="Times New Roman" w:cs="Times New Roman"/>
          <w:lang w:val="ro-MD"/>
        </w:rPr>
        <w:t xml:space="preserve"> standard</w:t>
      </w:r>
    </w:p>
    <w:p w14:paraId="388D0E69" w14:textId="2DE51425"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79</w:t>
      </w:r>
      <w:r w:rsidRPr="000508B6">
        <w:rPr>
          <w:rFonts w:ascii="Times New Roman" w:hAnsi="Times New Roman" w:cs="Times New Roman"/>
          <w:lang w:val="ro-MD"/>
        </w:rPr>
        <w:t xml:space="preserve">. </w:t>
      </w:r>
      <w:r w:rsidR="00FF3E9F" w:rsidRPr="000508B6">
        <w:rPr>
          <w:rFonts w:ascii="Times New Roman" w:hAnsi="Times New Roman" w:cs="Times New Roman"/>
          <w:lang w:val="ro-MD"/>
        </w:rPr>
        <w:t>Neconformitatea</w:t>
      </w:r>
      <w:r w:rsidRPr="000508B6">
        <w:rPr>
          <w:rFonts w:ascii="Times New Roman" w:hAnsi="Times New Roman" w:cs="Times New Roman"/>
          <w:lang w:val="ro-MD"/>
        </w:rPr>
        <w:t xml:space="preserve"> modelul</w:t>
      </w:r>
      <w:r w:rsidR="00FF3E9F" w:rsidRPr="000508B6">
        <w:rPr>
          <w:rFonts w:ascii="Times New Roman" w:hAnsi="Times New Roman" w:cs="Times New Roman"/>
          <w:lang w:val="ro-MD"/>
        </w:rPr>
        <w:t>ui</w:t>
      </w:r>
      <w:r w:rsidRPr="000508B6">
        <w:rPr>
          <w:rFonts w:ascii="Times New Roman" w:hAnsi="Times New Roman" w:cs="Times New Roman"/>
          <w:lang w:val="ro-MD"/>
        </w:rPr>
        <w:t xml:space="preserve"> intern </w:t>
      </w:r>
    </w:p>
    <w:p w14:paraId="166E967C" w14:textId="077A40ED"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80</w:t>
      </w:r>
      <w:r w:rsidRPr="000508B6">
        <w:rPr>
          <w:rFonts w:ascii="Times New Roman" w:hAnsi="Times New Roman" w:cs="Times New Roman"/>
          <w:lang w:val="ro-MD"/>
        </w:rPr>
        <w:t xml:space="preserve">. </w:t>
      </w:r>
      <w:r w:rsidR="00010910" w:rsidRPr="000508B6">
        <w:rPr>
          <w:rFonts w:ascii="Times New Roman" w:hAnsi="Times New Roman" w:cs="Times New Roman"/>
          <w:lang w:val="ro-MD"/>
        </w:rPr>
        <w:t>Abateri semnificative de la ipotezele care stau la baza formulei standard de calcul</w:t>
      </w:r>
    </w:p>
    <w:p w14:paraId="2B8FC7B9" w14:textId="439FF443"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81</w:t>
      </w:r>
      <w:r w:rsidRPr="000508B6">
        <w:rPr>
          <w:rFonts w:ascii="Times New Roman" w:hAnsi="Times New Roman" w:cs="Times New Roman"/>
          <w:lang w:val="ro-MD"/>
        </w:rPr>
        <w:t xml:space="preserve">. </w:t>
      </w:r>
      <w:r w:rsidR="002F7907" w:rsidRPr="000508B6">
        <w:rPr>
          <w:rFonts w:ascii="Times New Roman" w:hAnsi="Times New Roman" w:cs="Times New Roman"/>
          <w:lang w:val="ro-MD"/>
        </w:rPr>
        <w:t>Demonstrarea utilizării modelului</w:t>
      </w:r>
    </w:p>
    <w:p w14:paraId="45EDD248" w14:textId="18F1F521"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82</w:t>
      </w:r>
      <w:r w:rsidRPr="000508B6">
        <w:rPr>
          <w:rFonts w:ascii="Times New Roman" w:hAnsi="Times New Roman" w:cs="Times New Roman"/>
          <w:lang w:val="ro-MD"/>
        </w:rPr>
        <w:t>. Atribuirea profiturilor și a pierderilor</w:t>
      </w:r>
    </w:p>
    <w:p w14:paraId="4FA8F856" w14:textId="1555BE4B"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83</w:t>
      </w:r>
      <w:r w:rsidRPr="000508B6">
        <w:rPr>
          <w:rFonts w:ascii="Times New Roman" w:hAnsi="Times New Roman" w:cs="Times New Roman"/>
          <w:lang w:val="ro-MD"/>
        </w:rPr>
        <w:t>. Datele și modelele externe</w:t>
      </w:r>
    </w:p>
    <w:p w14:paraId="204BCF77"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1762C201" w14:textId="0BE73B6E"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B52D19" w:rsidRPr="000508B6">
        <w:rPr>
          <w:rFonts w:ascii="Times New Roman" w:hAnsi="Times New Roman" w:cs="Times New Roman"/>
          <w:b/>
          <w:lang w:val="ro-MD"/>
        </w:rPr>
        <w:t>4</w:t>
      </w:r>
      <w:r w:rsidRPr="000508B6">
        <w:rPr>
          <w:rFonts w:ascii="Times New Roman" w:hAnsi="Times New Roman" w:cs="Times New Roman"/>
          <w:b/>
          <w:lang w:val="ro-MD"/>
        </w:rPr>
        <w:t xml:space="preserve">.4 </w:t>
      </w:r>
    </w:p>
    <w:p w14:paraId="42B95590"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hAnsi="Times New Roman" w:cs="Times New Roman"/>
          <w:b/>
          <w:lang w:val="ro-MD"/>
        </w:rPr>
        <w:t>Standardele de calitate aplicabile modelului intern</w:t>
      </w:r>
    </w:p>
    <w:p w14:paraId="5B144DCD" w14:textId="15720BC8"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84</w:t>
      </w:r>
      <w:r w:rsidRPr="000508B6">
        <w:rPr>
          <w:rFonts w:ascii="Times New Roman" w:hAnsi="Times New Roman" w:cs="Times New Roman"/>
          <w:lang w:val="ro-MD"/>
        </w:rPr>
        <w:t>. Datele statistice</w:t>
      </w:r>
    </w:p>
    <w:p w14:paraId="34F99F2B" w14:textId="533AA48A"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85</w:t>
      </w:r>
      <w:r w:rsidRPr="000508B6">
        <w:rPr>
          <w:rFonts w:ascii="Times New Roman" w:hAnsi="Times New Roman" w:cs="Times New Roman"/>
          <w:lang w:val="ro-MD"/>
        </w:rPr>
        <w:t>. Calibrare</w:t>
      </w:r>
      <w:r w:rsidR="002C2F26" w:rsidRPr="000508B6">
        <w:rPr>
          <w:rFonts w:ascii="Times New Roman" w:hAnsi="Times New Roman" w:cs="Times New Roman"/>
          <w:lang w:val="ro-MD"/>
        </w:rPr>
        <w:t>a</w:t>
      </w:r>
    </w:p>
    <w:p w14:paraId="675C0B76" w14:textId="0BC71468"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86</w:t>
      </w:r>
      <w:r w:rsidRPr="000508B6">
        <w:rPr>
          <w:rFonts w:ascii="Times New Roman" w:hAnsi="Times New Roman" w:cs="Times New Roman"/>
          <w:lang w:val="ro-MD"/>
        </w:rPr>
        <w:t xml:space="preserve">. </w:t>
      </w:r>
      <w:r w:rsidR="00EE4758" w:rsidRPr="000508B6">
        <w:rPr>
          <w:rFonts w:ascii="Times New Roman" w:hAnsi="Times New Roman" w:cs="Times New Roman"/>
          <w:lang w:val="ro-MD"/>
        </w:rPr>
        <w:t>Standarde de v</w:t>
      </w:r>
      <w:r w:rsidRPr="000508B6">
        <w:rPr>
          <w:rFonts w:ascii="Times New Roman" w:hAnsi="Times New Roman" w:cs="Times New Roman"/>
          <w:lang w:val="ro-MD"/>
        </w:rPr>
        <w:t>alidare</w:t>
      </w:r>
    </w:p>
    <w:p w14:paraId="51309BB6" w14:textId="6F669E30"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6087D" w:rsidRPr="000508B6">
        <w:rPr>
          <w:rFonts w:ascii="Times New Roman" w:hAnsi="Times New Roman" w:cs="Times New Roman"/>
          <w:lang w:val="ro-MD"/>
        </w:rPr>
        <w:t>87</w:t>
      </w:r>
      <w:r w:rsidRPr="000508B6">
        <w:rPr>
          <w:rFonts w:ascii="Times New Roman" w:hAnsi="Times New Roman" w:cs="Times New Roman"/>
          <w:lang w:val="ro-MD"/>
        </w:rPr>
        <w:t>. Documentarea</w:t>
      </w:r>
      <w:r w:rsidR="00A179DF" w:rsidRPr="000508B6">
        <w:rPr>
          <w:rFonts w:ascii="Times New Roman" w:hAnsi="Times New Roman" w:cs="Times New Roman"/>
          <w:lang w:val="ro-MD"/>
        </w:rPr>
        <w:t xml:space="preserve"> aferentă modelului intern</w:t>
      </w:r>
    </w:p>
    <w:p w14:paraId="359B2BCC" w14:textId="77777777" w:rsidR="00F95829" w:rsidRPr="000508B6" w:rsidRDefault="00F95829" w:rsidP="008B530F">
      <w:pPr>
        <w:spacing w:after="0" w:line="240" w:lineRule="auto"/>
        <w:ind w:firstLine="426"/>
        <w:jc w:val="center"/>
        <w:rPr>
          <w:rFonts w:ascii="Times New Roman" w:eastAsia="Times New Roman" w:hAnsi="Times New Roman" w:cs="Times New Roman"/>
          <w:lang w:val="ro-MD"/>
        </w:rPr>
      </w:pPr>
    </w:p>
    <w:p w14:paraId="1CEBF047" w14:textId="6D65C9C5"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w:t>
      </w:r>
      <w:r w:rsidR="00B52D19" w:rsidRPr="000508B6">
        <w:rPr>
          <w:rFonts w:ascii="Times New Roman" w:eastAsia="Times New Roman" w:hAnsi="Times New Roman" w:cs="Times New Roman"/>
          <w:b/>
          <w:lang w:val="ro-MD"/>
        </w:rPr>
        <w:t>5</w:t>
      </w:r>
      <w:r w:rsidRPr="000508B6">
        <w:rPr>
          <w:rFonts w:ascii="Times New Roman" w:eastAsia="Times New Roman" w:hAnsi="Times New Roman" w:cs="Times New Roman"/>
          <w:b/>
          <w:lang w:val="ro-MD"/>
        </w:rPr>
        <w:t>-a</w:t>
      </w:r>
      <w:r w:rsidR="001175D3" w:rsidRPr="000508B6">
        <w:rPr>
          <w:rFonts w:ascii="Times New Roman" w:eastAsia="Times New Roman" w:hAnsi="Times New Roman" w:cs="Times New Roman"/>
          <w:b/>
          <w:lang w:val="ro-MD"/>
        </w:rPr>
        <w:t xml:space="preserve"> </w:t>
      </w:r>
    </w:p>
    <w:p w14:paraId="226D8BFE"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bookmarkStart w:id="12" w:name="_Hlk221887507"/>
      <w:proofErr w:type="spellStart"/>
      <w:r w:rsidRPr="000508B6">
        <w:rPr>
          <w:rFonts w:ascii="Times New Roman" w:eastAsia="Times New Roman" w:hAnsi="Times New Roman" w:cs="Times New Roman"/>
          <w:b/>
          <w:lang w:val="ro-MD"/>
        </w:rPr>
        <w:t>Cerinţa</w:t>
      </w:r>
      <w:proofErr w:type="spellEnd"/>
      <w:r w:rsidRPr="000508B6">
        <w:rPr>
          <w:rFonts w:ascii="Times New Roman" w:eastAsia="Times New Roman" w:hAnsi="Times New Roman" w:cs="Times New Roman"/>
          <w:b/>
          <w:lang w:val="ro-MD"/>
        </w:rPr>
        <w:t xml:space="preserve"> de capital minim (MCR)</w:t>
      </w:r>
    </w:p>
    <w:bookmarkEnd w:id="12"/>
    <w:p w14:paraId="5FA04B97" w14:textId="0C0AAAFD"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Articolul </w:t>
      </w:r>
      <w:r w:rsidR="0096087D" w:rsidRPr="000508B6">
        <w:rPr>
          <w:rFonts w:ascii="Times New Roman" w:eastAsia="Times New Roman" w:hAnsi="Times New Roman" w:cs="Times New Roman"/>
          <w:lang w:val="ro-MD"/>
        </w:rPr>
        <w:t>88</w:t>
      </w:r>
      <w:r w:rsidRPr="000508B6">
        <w:rPr>
          <w:rFonts w:ascii="Times New Roman" w:eastAsia="Times New Roman" w:hAnsi="Times New Roman" w:cs="Times New Roman"/>
          <w:lang w:val="ro-MD"/>
        </w:rPr>
        <w:t xml:space="preserve">. Calcularea </w:t>
      </w:r>
      <w:r w:rsidR="00A64D15" w:rsidRPr="000508B6">
        <w:rPr>
          <w:rFonts w:ascii="Times New Roman" w:eastAsia="Times New Roman" w:hAnsi="Times New Roman" w:cs="Times New Roman"/>
          <w:lang w:val="ro-MD"/>
        </w:rPr>
        <w:t>MCR</w:t>
      </w:r>
    </w:p>
    <w:p w14:paraId="2380C22A" w14:textId="104E5BB8"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96087D" w:rsidRPr="000508B6">
        <w:rPr>
          <w:rFonts w:ascii="Times New Roman" w:eastAsia="Times New Roman" w:hAnsi="Times New Roman" w:cs="Times New Roman"/>
          <w:lang w:val="ro-MD"/>
        </w:rPr>
        <w:t>89</w:t>
      </w:r>
      <w:r w:rsidRPr="000508B6">
        <w:rPr>
          <w:rFonts w:ascii="Times New Roman" w:eastAsia="Times New Roman" w:hAnsi="Times New Roman" w:cs="Times New Roman"/>
          <w:lang w:val="ro-MD"/>
        </w:rPr>
        <w:t xml:space="preserve">. Informațiile transmise Băncii </w:t>
      </w:r>
      <w:r w:rsidR="00D65175" w:rsidRPr="000508B6">
        <w:rPr>
          <w:rFonts w:ascii="Times New Roman" w:eastAsia="Times New Roman" w:hAnsi="Times New Roman" w:cs="Times New Roman"/>
          <w:lang w:val="ro-MD"/>
        </w:rPr>
        <w:t>Naționale</w:t>
      </w:r>
      <w:r w:rsidRPr="000508B6">
        <w:rPr>
          <w:rFonts w:ascii="Times New Roman" w:eastAsia="Times New Roman" w:hAnsi="Times New Roman" w:cs="Times New Roman"/>
          <w:lang w:val="ro-MD"/>
        </w:rPr>
        <w:t xml:space="preserve"> a Moldovei</w:t>
      </w:r>
    </w:p>
    <w:p w14:paraId="1DA584B9" w14:textId="7777777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w:t>
      </w:r>
    </w:p>
    <w:p w14:paraId="71E18146" w14:textId="1186F313"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w:t>
      </w:r>
      <w:r w:rsidR="00B52D19" w:rsidRPr="000508B6">
        <w:rPr>
          <w:rFonts w:ascii="Times New Roman" w:eastAsia="Times New Roman" w:hAnsi="Times New Roman" w:cs="Times New Roman"/>
          <w:b/>
          <w:lang w:val="ro-MD"/>
        </w:rPr>
        <w:t>6</w:t>
      </w:r>
      <w:r w:rsidRPr="000508B6">
        <w:rPr>
          <w:rFonts w:ascii="Times New Roman" w:eastAsia="Times New Roman" w:hAnsi="Times New Roman" w:cs="Times New Roman"/>
          <w:b/>
          <w:lang w:val="ro-MD"/>
        </w:rPr>
        <w:t>-a</w:t>
      </w:r>
      <w:r w:rsidR="001175D3" w:rsidRPr="000508B6">
        <w:rPr>
          <w:rFonts w:ascii="Times New Roman" w:eastAsia="Times New Roman" w:hAnsi="Times New Roman" w:cs="Times New Roman"/>
          <w:b/>
          <w:lang w:val="ro-MD"/>
        </w:rPr>
        <w:t xml:space="preserve"> </w:t>
      </w:r>
    </w:p>
    <w:p w14:paraId="732952FD"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bookmarkStart w:id="13" w:name="_Hlk221887518"/>
      <w:proofErr w:type="spellStart"/>
      <w:r w:rsidRPr="000508B6">
        <w:rPr>
          <w:rFonts w:ascii="Times New Roman" w:eastAsia="Times New Roman" w:hAnsi="Times New Roman" w:cs="Times New Roman"/>
          <w:b/>
          <w:lang w:val="ro-MD"/>
        </w:rPr>
        <w:t>Investiţiile</w:t>
      </w:r>
      <w:proofErr w:type="spellEnd"/>
    </w:p>
    <w:bookmarkEnd w:id="13"/>
    <w:p w14:paraId="136197CB" w14:textId="292150FA"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96087D" w:rsidRPr="000508B6">
        <w:rPr>
          <w:rFonts w:ascii="Times New Roman" w:eastAsia="Times New Roman" w:hAnsi="Times New Roman" w:cs="Times New Roman"/>
          <w:lang w:val="ro-MD"/>
        </w:rPr>
        <w:t>90</w:t>
      </w:r>
      <w:r w:rsidRPr="000508B6">
        <w:rPr>
          <w:rFonts w:ascii="Times New Roman" w:eastAsia="Times New Roman" w:hAnsi="Times New Roman" w:cs="Times New Roman"/>
          <w:lang w:val="ro-MD"/>
        </w:rPr>
        <w:t xml:space="preserve">. </w:t>
      </w:r>
      <w:r w:rsidR="00B666FB" w:rsidRPr="000508B6">
        <w:rPr>
          <w:rFonts w:ascii="Times New Roman" w:eastAsia="Times New Roman" w:hAnsi="Times New Roman" w:cs="Times New Roman"/>
          <w:lang w:val="ro-MD"/>
        </w:rPr>
        <w:t xml:space="preserve">Principiul </w:t>
      </w:r>
      <w:r w:rsidR="00162CEB" w:rsidRPr="000508B6">
        <w:rPr>
          <w:rFonts w:ascii="Times New Roman" w:eastAsia="Times New Roman" w:hAnsi="Times New Roman" w:cs="Times New Roman"/>
          <w:lang w:val="ro-MD"/>
        </w:rPr>
        <w:t>„</w:t>
      </w:r>
      <w:r w:rsidR="00B666FB" w:rsidRPr="000508B6">
        <w:rPr>
          <w:rFonts w:ascii="Times New Roman" w:eastAsia="Times New Roman" w:hAnsi="Times New Roman" w:cs="Times New Roman"/>
          <w:lang w:val="ro-MD"/>
        </w:rPr>
        <w:t>persoan</w:t>
      </w:r>
      <w:r w:rsidR="00162CEB" w:rsidRPr="000508B6">
        <w:rPr>
          <w:rFonts w:ascii="Times New Roman" w:eastAsia="Times New Roman" w:hAnsi="Times New Roman" w:cs="Times New Roman"/>
          <w:lang w:val="ro-MD"/>
        </w:rPr>
        <w:t>ei</w:t>
      </w:r>
      <w:r w:rsidR="00B666FB" w:rsidRPr="000508B6">
        <w:rPr>
          <w:rFonts w:ascii="Times New Roman" w:eastAsia="Times New Roman" w:hAnsi="Times New Roman" w:cs="Times New Roman"/>
          <w:lang w:val="ro-MD"/>
        </w:rPr>
        <w:t xml:space="preserve"> prudent</w:t>
      </w:r>
      <w:r w:rsidR="00162CEB" w:rsidRPr="000508B6">
        <w:rPr>
          <w:rFonts w:ascii="Times New Roman" w:eastAsia="Times New Roman" w:hAnsi="Times New Roman" w:cs="Times New Roman"/>
          <w:lang w:val="ro-MD"/>
        </w:rPr>
        <w:t>e”</w:t>
      </w:r>
    </w:p>
    <w:p w14:paraId="2208FF2B" w14:textId="589640B1" w:rsidR="00F95829" w:rsidRPr="000508B6" w:rsidRDefault="00F95829" w:rsidP="008B530F">
      <w:pPr>
        <w:spacing w:after="0" w:line="240" w:lineRule="auto"/>
        <w:ind w:firstLine="426"/>
        <w:rPr>
          <w:rFonts w:ascii="Times New Roman" w:eastAsia="Times New Roman" w:hAnsi="Times New Roman" w:cs="Times New Roman"/>
          <w:lang w:val="ro-MD"/>
        </w:rPr>
      </w:pPr>
    </w:p>
    <w:p w14:paraId="03B0B691" w14:textId="639E2D96"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w:t>
      </w:r>
      <w:r w:rsidR="00091E31" w:rsidRPr="000508B6">
        <w:rPr>
          <w:rFonts w:ascii="Times New Roman" w:eastAsia="Times New Roman" w:hAnsi="Times New Roman" w:cs="Times New Roman"/>
          <w:b/>
          <w:lang w:val="ro-MD"/>
        </w:rPr>
        <w:t>I</w:t>
      </w:r>
      <w:r w:rsidRPr="000508B6">
        <w:rPr>
          <w:rFonts w:ascii="Times New Roman" w:eastAsia="Times New Roman" w:hAnsi="Times New Roman" w:cs="Times New Roman"/>
          <w:b/>
          <w:lang w:val="ro-MD"/>
        </w:rPr>
        <w:t>V</w:t>
      </w:r>
    </w:p>
    <w:p w14:paraId="2D589A8A" w14:textId="6A4BB1F4"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DREPTUL DE STABILIRE ȘI LIBERTATEA DE A PRESTA SERVICII</w:t>
      </w:r>
    </w:p>
    <w:p w14:paraId="3B2D6D03"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
    <w:p w14:paraId="58BBCD80"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1</w:t>
      </w:r>
    </w:p>
    <w:p w14:paraId="37C7974B"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Dreptul de stabilire</w:t>
      </w:r>
    </w:p>
    <w:p w14:paraId="7F03F262" w14:textId="44C28014"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91</w:t>
      </w:r>
      <w:r w:rsidRPr="000508B6">
        <w:rPr>
          <w:rFonts w:ascii="Times New Roman" w:eastAsia="Times New Roman" w:hAnsi="Times New Roman" w:cs="Times New Roman"/>
          <w:lang w:val="ro-MD"/>
        </w:rPr>
        <w:t xml:space="preserve">. Constituirea sucursalei </w:t>
      </w:r>
    </w:p>
    <w:p w14:paraId="3F2B85DC"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03BB2696"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2-a</w:t>
      </w:r>
    </w:p>
    <w:p w14:paraId="3DC3FDEB"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Libertatea de a presta servicii</w:t>
      </w:r>
    </w:p>
    <w:p w14:paraId="22F0E768" w14:textId="7B0D66C9"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A92C2A" w:rsidRPr="000508B6">
        <w:rPr>
          <w:rFonts w:ascii="Times New Roman" w:eastAsia="Times New Roman" w:hAnsi="Times New Roman" w:cs="Times New Roman"/>
          <w:lang w:val="ro-MD"/>
        </w:rPr>
        <w:t>92</w:t>
      </w:r>
      <w:r w:rsidRPr="000508B6">
        <w:rPr>
          <w:rFonts w:ascii="Times New Roman" w:eastAsia="Times New Roman" w:hAnsi="Times New Roman" w:cs="Times New Roman"/>
          <w:lang w:val="ro-MD"/>
        </w:rPr>
        <w:t xml:space="preserve">. </w:t>
      </w:r>
      <w:r w:rsidR="00A533F1" w:rsidRPr="000508B6">
        <w:rPr>
          <w:rFonts w:ascii="Times New Roman" w:eastAsia="Times New Roman" w:hAnsi="Times New Roman" w:cs="Times New Roman"/>
          <w:lang w:val="ro-MD"/>
        </w:rPr>
        <w:t>Notificarea prealabilă a statului membru de origine</w:t>
      </w:r>
    </w:p>
    <w:p w14:paraId="22D244C9" w14:textId="77777777" w:rsidR="00DA714D" w:rsidRPr="000508B6" w:rsidRDefault="00DA714D" w:rsidP="00DA714D">
      <w:pPr>
        <w:spacing w:after="0" w:line="240" w:lineRule="auto"/>
        <w:ind w:firstLine="426"/>
        <w:jc w:val="center"/>
        <w:rPr>
          <w:rFonts w:ascii="Times New Roman" w:eastAsia="Times New Roman" w:hAnsi="Times New Roman" w:cs="Times New Roman"/>
          <w:lang w:val="ro-MD"/>
        </w:rPr>
      </w:pPr>
    </w:p>
    <w:p w14:paraId="426BF222" w14:textId="0BCF17D7" w:rsidR="00DA714D" w:rsidRPr="000508B6" w:rsidRDefault="00DA714D" w:rsidP="00DA714D">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Secțiunea a 3-a</w:t>
      </w:r>
    </w:p>
    <w:p w14:paraId="00FD91F9" w14:textId="77777777" w:rsidR="00A92C2A" w:rsidRPr="000508B6" w:rsidRDefault="00A92C2A" w:rsidP="00A92C2A">
      <w:pPr>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Asigurători din alte state membre care desfășoară activitate în Republica Moldova</w:t>
      </w:r>
    </w:p>
    <w:p w14:paraId="0EEA3BC1" w14:textId="722C7DF5"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A92C2A" w:rsidRPr="000508B6">
        <w:rPr>
          <w:rFonts w:ascii="Times New Roman" w:eastAsia="Times New Roman" w:hAnsi="Times New Roman" w:cs="Times New Roman"/>
          <w:lang w:val="ro-MD"/>
        </w:rPr>
        <w:t>93</w:t>
      </w:r>
      <w:r w:rsidRPr="000508B6">
        <w:rPr>
          <w:rFonts w:ascii="Times New Roman" w:eastAsia="Times New Roman" w:hAnsi="Times New Roman" w:cs="Times New Roman"/>
          <w:lang w:val="ro-MD"/>
        </w:rPr>
        <w:t xml:space="preserve">. </w:t>
      </w:r>
      <w:r w:rsidR="00A92C2A" w:rsidRPr="000508B6">
        <w:rPr>
          <w:rFonts w:ascii="Times New Roman" w:eastAsia="Times New Roman" w:hAnsi="Times New Roman" w:cs="Times New Roman"/>
          <w:lang w:val="ro-MD"/>
        </w:rPr>
        <w:t>Dreptul de stabilire</w:t>
      </w:r>
    </w:p>
    <w:p w14:paraId="061A0F22" w14:textId="1B25355C" w:rsidR="00A92C2A" w:rsidRPr="000508B6" w:rsidRDefault="00A92C2A"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94. Libertatea de a presta servicii</w:t>
      </w:r>
    </w:p>
    <w:p w14:paraId="4B030CB7"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4F0BABC3" w14:textId="30A81E24"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w:t>
      </w:r>
      <w:r w:rsidR="00F95829" w:rsidRPr="000508B6">
        <w:rPr>
          <w:rFonts w:ascii="Times New Roman" w:eastAsia="Times New Roman" w:hAnsi="Times New Roman" w:cs="Times New Roman"/>
          <w:b/>
          <w:lang w:val="ro-MD"/>
        </w:rPr>
        <w:t>V</w:t>
      </w:r>
      <w:r w:rsidR="001175D3" w:rsidRPr="000508B6">
        <w:rPr>
          <w:rFonts w:ascii="Times New Roman" w:eastAsia="Times New Roman" w:hAnsi="Times New Roman" w:cs="Times New Roman"/>
          <w:b/>
          <w:lang w:val="ro-MD"/>
        </w:rPr>
        <w:t xml:space="preserve"> </w:t>
      </w:r>
    </w:p>
    <w:p w14:paraId="0DC9252B" w14:textId="4BC32924"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SUCURSAL</w:t>
      </w:r>
      <w:r w:rsidR="00DB0441" w:rsidRPr="000508B6">
        <w:rPr>
          <w:rFonts w:ascii="Times New Roman" w:eastAsia="Times New Roman" w:hAnsi="Times New Roman" w:cs="Times New Roman"/>
          <w:b/>
          <w:lang w:val="ro-MD"/>
        </w:rPr>
        <w:t>A</w:t>
      </w:r>
      <w:r w:rsidRPr="000508B6">
        <w:rPr>
          <w:rFonts w:ascii="Times New Roman" w:eastAsia="Times New Roman" w:hAnsi="Times New Roman" w:cs="Times New Roman"/>
          <w:b/>
          <w:lang w:val="ro-MD"/>
        </w:rPr>
        <w:t xml:space="preserve"> </w:t>
      </w:r>
      <w:r w:rsidR="004125E8" w:rsidRPr="000508B6">
        <w:rPr>
          <w:rFonts w:ascii="Times New Roman" w:eastAsia="Times New Roman" w:hAnsi="Times New Roman" w:cs="Times New Roman"/>
          <w:b/>
          <w:lang w:val="ro-MD"/>
        </w:rPr>
        <w:t>ASIGURĂTORULUI</w:t>
      </w:r>
      <w:r w:rsidR="00FF14DE" w:rsidRPr="000508B6" w:rsidDel="001A1B79">
        <w:rPr>
          <w:rFonts w:ascii="Times New Roman" w:eastAsia="Times New Roman" w:hAnsi="Times New Roman" w:cs="Times New Roman"/>
          <w:b/>
          <w:lang w:val="ro-MD"/>
        </w:rPr>
        <w:t xml:space="preserve"> </w:t>
      </w:r>
      <w:r w:rsidRPr="000508B6">
        <w:rPr>
          <w:rFonts w:ascii="Times New Roman" w:eastAsia="Times New Roman" w:hAnsi="Times New Roman" w:cs="Times New Roman"/>
          <w:b/>
          <w:lang w:val="ro-MD"/>
        </w:rPr>
        <w:t>DIN STAT TERȚ</w:t>
      </w:r>
      <w:r w:rsidR="00D30FA5" w:rsidRPr="000508B6">
        <w:rPr>
          <w:rFonts w:ascii="Times New Roman" w:eastAsia="Times New Roman" w:hAnsi="Times New Roman" w:cs="Times New Roman"/>
          <w:b/>
          <w:lang w:val="ro-MD"/>
        </w:rPr>
        <w:t>I</w:t>
      </w:r>
    </w:p>
    <w:p w14:paraId="78A3A77A" w14:textId="77777777" w:rsidR="00F95829" w:rsidRPr="000508B6" w:rsidRDefault="00F95829" w:rsidP="008B530F">
      <w:pPr>
        <w:spacing w:after="0" w:line="240" w:lineRule="auto"/>
        <w:ind w:firstLine="426"/>
        <w:jc w:val="center"/>
        <w:rPr>
          <w:rFonts w:ascii="Times New Roman" w:eastAsia="Times New Roman" w:hAnsi="Times New Roman" w:cs="Times New Roman"/>
          <w:lang w:val="ro-MD"/>
        </w:rPr>
      </w:pPr>
    </w:p>
    <w:p w14:paraId="395CF0C0" w14:textId="45F85D9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95</w:t>
      </w:r>
      <w:r w:rsidRPr="000508B6">
        <w:rPr>
          <w:rFonts w:ascii="Times New Roman" w:eastAsia="Times New Roman" w:hAnsi="Times New Roman" w:cs="Times New Roman"/>
          <w:lang w:val="ro-MD"/>
        </w:rPr>
        <w:t xml:space="preserve">. </w:t>
      </w:r>
      <w:r w:rsidR="007D2226" w:rsidRPr="000508B6">
        <w:rPr>
          <w:rFonts w:ascii="Times New Roman" w:eastAsia="Times New Roman" w:hAnsi="Times New Roman" w:cs="Times New Roman"/>
          <w:lang w:val="ro-MD"/>
        </w:rPr>
        <w:t xml:space="preserve">Condițiile </w:t>
      </w:r>
      <w:r w:rsidRPr="000508B6">
        <w:rPr>
          <w:rFonts w:ascii="Times New Roman" w:eastAsia="Times New Roman" w:hAnsi="Times New Roman" w:cs="Times New Roman"/>
          <w:lang w:val="ro-MD"/>
        </w:rPr>
        <w:t>de licențiere a sucursale</w:t>
      </w:r>
      <w:r w:rsidR="000C68BD"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Pr="000508B6" w:rsidDel="001A1B79">
        <w:rPr>
          <w:rFonts w:ascii="Times New Roman" w:eastAsia="Times New Roman" w:hAnsi="Times New Roman" w:cs="Times New Roman"/>
          <w:lang w:val="ro-MD"/>
        </w:rPr>
        <w:t xml:space="preserve"> </w:t>
      </w:r>
      <w:r w:rsidR="00D60E11" w:rsidRPr="000508B6">
        <w:rPr>
          <w:rFonts w:ascii="Times New Roman" w:eastAsia="Times New Roman" w:hAnsi="Times New Roman" w:cs="Times New Roman"/>
          <w:lang w:val="ro-MD"/>
        </w:rPr>
        <w:t>din</w:t>
      </w:r>
      <w:r w:rsidR="000C68BD" w:rsidRPr="000508B6">
        <w:rPr>
          <w:rFonts w:ascii="Times New Roman" w:eastAsia="Times New Roman" w:hAnsi="Times New Roman" w:cs="Times New Roman"/>
          <w:lang w:val="ro-MD"/>
        </w:rPr>
        <w:t>tr-un</w:t>
      </w:r>
      <w:r w:rsidR="00D60E11" w:rsidRPr="000508B6">
        <w:rPr>
          <w:rFonts w:ascii="Times New Roman" w:eastAsia="Times New Roman" w:hAnsi="Times New Roman" w:cs="Times New Roman"/>
          <w:lang w:val="ro-MD"/>
        </w:rPr>
        <w:t xml:space="preserve"> stat</w:t>
      </w:r>
      <w:r w:rsidR="00A0775A" w:rsidRPr="000508B6">
        <w:rPr>
          <w:rFonts w:ascii="Times New Roman" w:eastAsia="Times New Roman" w:hAnsi="Times New Roman" w:cs="Times New Roman"/>
          <w:lang w:val="ro-MD"/>
        </w:rPr>
        <w:t xml:space="preserve"> </w:t>
      </w:r>
      <w:r w:rsidR="00D60E11" w:rsidRPr="000508B6">
        <w:rPr>
          <w:rFonts w:ascii="Times New Roman" w:eastAsia="Times New Roman" w:hAnsi="Times New Roman" w:cs="Times New Roman"/>
          <w:lang w:val="ro-MD"/>
        </w:rPr>
        <w:t>terț</w:t>
      </w:r>
    </w:p>
    <w:p w14:paraId="3D8CD249" w14:textId="620BDE5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96</w:t>
      </w:r>
      <w:r w:rsidRPr="000508B6">
        <w:rPr>
          <w:rFonts w:ascii="Times New Roman" w:eastAsia="Times New Roman" w:hAnsi="Times New Roman" w:cs="Times New Roman"/>
          <w:lang w:val="ro-MD"/>
        </w:rPr>
        <w:t>. Planul de afaceri al sucursalei</w:t>
      </w:r>
    </w:p>
    <w:p w14:paraId="0E97A968" w14:textId="771450DA" w:rsidR="005E04C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5E04C9" w:rsidRPr="000508B6">
        <w:rPr>
          <w:rFonts w:ascii="Times New Roman" w:eastAsia="Times New Roman" w:hAnsi="Times New Roman" w:cs="Times New Roman"/>
          <w:lang w:val="ro-MD"/>
        </w:rPr>
        <w:t>97. Notificarea și informarea</w:t>
      </w:r>
    </w:p>
    <w:p w14:paraId="5E6C20DF" w14:textId="63211171"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9</w:t>
      </w:r>
      <w:r w:rsidR="005E04C9"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 Transferul de portofoliu</w:t>
      </w:r>
      <w:r w:rsidR="00947C5C" w:rsidRPr="000508B6">
        <w:rPr>
          <w:rFonts w:ascii="Times New Roman" w:eastAsia="Times New Roman" w:hAnsi="Times New Roman" w:cs="Times New Roman"/>
          <w:lang w:val="ro-MD"/>
        </w:rPr>
        <w:t xml:space="preserve"> al sucursalei din stat terț</w:t>
      </w:r>
    </w:p>
    <w:p w14:paraId="7535E97E" w14:textId="4C89EE4D"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9</w:t>
      </w:r>
      <w:r w:rsidR="005E04C9" w:rsidRPr="000508B6">
        <w:rPr>
          <w:rFonts w:ascii="Times New Roman" w:eastAsia="Times New Roman" w:hAnsi="Times New Roman" w:cs="Times New Roman"/>
          <w:lang w:val="ro-MD"/>
        </w:rPr>
        <w:t>9</w:t>
      </w:r>
      <w:r w:rsidRPr="000508B6">
        <w:rPr>
          <w:rFonts w:ascii="Times New Roman" w:eastAsia="Times New Roman" w:hAnsi="Times New Roman" w:cs="Times New Roman"/>
          <w:lang w:val="ro-MD"/>
        </w:rPr>
        <w:t>. Rezerve tehnice și cerința de capital</w:t>
      </w:r>
      <w:r w:rsidR="002F4904" w:rsidRPr="000508B6">
        <w:rPr>
          <w:rFonts w:ascii="Times New Roman" w:eastAsia="Times New Roman" w:hAnsi="Times New Roman" w:cs="Times New Roman"/>
          <w:lang w:val="ro-MD"/>
        </w:rPr>
        <w:t xml:space="preserve"> </w:t>
      </w:r>
    </w:p>
    <w:p w14:paraId="304B88DA" w14:textId="6287E44D"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5E04C9" w:rsidRPr="000508B6">
        <w:rPr>
          <w:rFonts w:ascii="Times New Roman" w:eastAsia="Times New Roman" w:hAnsi="Times New Roman" w:cs="Times New Roman"/>
          <w:lang w:val="ro-MD"/>
        </w:rPr>
        <w:t>100</w:t>
      </w:r>
      <w:r w:rsidRPr="000508B6">
        <w:rPr>
          <w:rFonts w:ascii="Times New Roman" w:eastAsia="Times New Roman" w:hAnsi="Times New Roman" w:cs="Times New Roman"/>
          <w:lang w:val="ro-MD"/>
        </w:rPr>
        <w:t xml:space="preserve">. Avantajele </w:t>
      </w:r>
      <w:r w:rsidR="00C325EA" w:rsidRPr="000508B6">
        <w:rPr>
          <w:rFonts w:ascii="Times New Roman" w:eastAsia="Times New Roman" w:hAnsi="Times New Roman" w:cs="Times New Roman"/>
          <w:lang w:val="ro-MD"/>
        </w:rPr>
        <w:t xml:space="preserve">licențierii </w:t>
      </w:r>
      <w:r w:rsidR="008E78FE" w:rsidRPr="000508B6">
        <w:rPr>
          <w:rFonts w:ascii="Times New Roman" w:eastAsia="Times New Roman" w:hAnsi="Times New Roman" w:cs="Times New Roman"/>
          <w:lang w:val="ro-MD"/>
        </w:rPr>
        <w:t xml:space="preserve">în </w:t>
      </w:r>
      <w:r w:rsidRPr="000508B6">
        <w:rPr>
          <w:rFonts w:ascii="Times New Roman" w:eastAsia="Times New Roman" w:hAnsi="Times New Roman" w:cs="Times New Roman"/>
          <w:lang w:val="ro-MD"/>
        </w:rPr>
        <w:t>mai multe state membre</w:t>
      </w:r>
    </w:p>
    <w:p w14:paraId="5CCDD342" w14:textId="048FB6C9"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10</w:t>
      </w:r>
      <w:r w:rsidR="005E04C9"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xml:space="preserve">. </w:t>
      </w:r>
      <w:r w:rsidR="008314B6" w:rsidRPr="000508B6">
        <w:rPr>
          <w:rFonts w:ascii="Times New Roman" w:eastAsia="Times New Roman" w:hAnsi="Times New Roman" w:cs="Times New Roman"/>
          <w:lang w:val="ro-MD"/>
        </w:rPr>
        <w:t xml:space="preserve">Informații contabile, prudențiale și statistice și sucursale în </w:t>
      </w:r>
      <w:r w:rsidRPr="000508B6" w:rsidDel="008314B6">
        <w:rPr>
          <w:rFonts w:ascii="Times New Roman" w:eastAsia="Times New Roman" w:hAnsi="Times New Roman" w:cs="Times New Roman"/>
          <w:lang w:val="ro-MD"/>
        </w:rPr>
        <w:t>dificultate</w:t>
      </w:r>
    </w:p>
    <w:p w14:paraId="63411F06" w14:textId="7F95FA92"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102</w:t>
      </w:r>
      <w:r w:rsidRPr="000508B6">
        <w:rPr>
          <w:rFonts w:ascii="Times New Roman" w:eastAsia="Times New Roman" w:hAnsi="Times New Roman" w:cs="Times New Roman"/>
          <w:lang w:val="ro-MD"/>
        </w:rPr>
        <w:t>. Separarea activității</w:t>
      </w:r>
    </w:p>
    <w:p w14:paraId="54500B1C" w14:textId="0A45CCEF"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103</w:t>
      </w:r>
      <w:r w:rsidRPr="000508B6">
        <w:rPr>
          <w:rFonts w:ascii="Times New Roman" w:eastAsia="Times New Roman" w:hAnsi="Times New Roman" w:cs="Times New Roman"/>
          <w:lang w:val="ro-MD"/>
        </w:rPr>
        <w:t>. Retragerea licenței sucursalei</w:t>
      </w:r>
      <w:r w:rsidR="0037230A" w:rsidRPr="000508B6">
        <w:rPr>
          <w:rFonts w:ascii="Times New Roman" w:eastAsia="Times New Roman" w:hAnsi="Times New Roman" w:cs="Times New Roman"/>
          <w:lang w:val="ro-MD"/>
        </w:rPr>
        <w:t xml:space="preserve"> licențiate în mai multe state membre</w:t>
      </w:r>
    </w:p>
    <w:p w14:paraId="1DC71A86" w14:textId="77777777" w:rsidR="00F95829" w:rsidRPr="000508B6" w:rsidRDefault="00F95829" w:rsidP="008B530F">
      <w:pPr>
        <w:spacing w:after="0" w:line="240" w:lineRule="auto"/>
        <w:ind w:firstLine="426"/>
        <w:jc w:val="center"/>
        <w:rPr>
          <w:rFonts w:ascii="Times New Roman" w:eastAsia="Times New Roman" w:hAnsi="Times New Roman" w:cs="Times New Roman"/>
          <w:lang w:val="ro-MD"/>
        </w:rPr>
      </w:pPr>
    </w:p>
    <w:p w14:paraId="7A5148FD" w14:textId="064DE177"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w:t>
      </w:r>
      <w:bookmarkStart w:id="14" w:name="_Hlk221887895"/>
      <w:r w:rsidR="00F95829" w:rsidRPr="000508B6">
        <w:rPr>
          <w:rFonts w:ascii="Times New Roman" w:eastAsia="Times New Roman" w:hAnsi="Times New Roman" w:cs="Times New Roman"/>
          <w:b/>
          <w:lang w:val="ro-MD"/>
        </w:rPr>
        <w:t>VI</w:t>
      </w:r>
      <w:bookmarkEnd w:id="14"/>
      <w:r w:rsidR="00F12B98" w:rsidRPr="000508B6">
        <w:rPr>
          <w:rFonts w:ascii="Times New Roman" w:eastAsia="Times New Roman" w:hAnsi="Times New Roman" w:cs="Times New Roman"/>
          <w:b/>
          <w:lang w:val="ro-MD"/>
        </w:rPr>
        <w:t xml:space="preserve"> </w:t>
      </w:r>
    </w:p>
    <w:p w14:paraId="1B6A0899" w14:textId="065A7149"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CONDIŢIILE APLICABILE CONTRACTELOR DE ASIGURARE ŞI/SAU DE REASIGURARE</w:t>
      </w:r>
    </w:p>
    <w:p w14:paraId="4DD8A4A2" w14:textId="609D7940"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1</w:t>
      </w:r>
    </w:p>
    <w:p w14:paraId="0B30A688"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Dispoziții generale</w:t>
      </w:r>
    </w:p>
    <w:p w14:paraId="6471746A" w14:textId="3DBC667A"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104</w:t>
      </w:r>
      <w:r w:rsidRPr="000508B6">
        <w:rPr>
          <w:rFonts w:ascii="Times New Roman" w:eastAsia="Times New Roman" w:hAnsi="Times New Roman" w:cs="Times New Roman"/>
          <w:lang w:val="ro-MD"/>
        </w:rPr>
        <w:t xml:space="preserve">. </w:t>
      </w:r>
      <w:r w:rsidR="000D62DA" w:rsidRPr="000508B6">
        <w:rPr>
          <w:rFonts w:ascii="Times New Roman" w:eastAsia="Times New Roman" w:hAnsi="Times New Roman" w:cs="Times New Roman"/>
          <w:lang w:val="ro-MD"/>
        </w:rPr>
        <w:t xml:space="preserve">Legea aplicabilă și </w:t>
      </w:r>
      <w:proofErr w:type="spellStart"/>
      <w:r w:rsidR="000D62DA"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ondiţiile</w:t>
      </w:r>
      <w:proofErr w:type="spellEnd"/>
      <w:r w:rsidRPr="000508B6">
        <w:rPr>
          <w:rFonts w:ascii="Times New Roman" w:eastAsia="Times New Roman" w:hAnsi="Times New Roman" w:cs="Times New Roman"/>
          <w:lang w:val="ro-MD"/>
        </w:rPr>
        <w:t xml:space="preserve"> de asigurare directă </w:t>
      </w:r>
    </w:p>
    <w:p w14:paraId="43694AEA" w14:textId="7EF114B3" w:rsidR="00737466"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105</w:t>
      </w:r>
      <w:r w:rsidRPr="000508B6">
        <w:rPr>
          <w:rFonts w:ascii="Times New Roman" w:eastAsia="Times New Roman" w:hAnsi="Times New Roman" w:cs="Times New Roman"/>
          <w:lang w:val="ro-MD"/>
        </w:rPr>
        <w:t xml:space="preserve">. </w:t>
      </w:r>
      <w:r w:rsidR="00737466" w:rsidRPr="000508B6">
        <w:rPr>
          <w:rFonts w:ascii="Times New Roman" w:eastAsia="Times New Roman" w:hAnsi="Times New Roman" w:cs="Times New Roman"/>
          <w:lang w:val="ro-MD"/>
        </w:rPr>
        <w:t>Condițiile de asigurare și tarifele pentru asigurările de viață</w:t>
      </w:r>
    </w:p>
    <w:p w14:paraId="6F8BEB82" w14:textId="324298DE" w:rsidR="00F95829" w:rsidRPr="000508B6" w:rsidRDefault="00737466"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106. </w:t>
      </w:r>
      <w:r w:rsidR="00F95829" w:rsidRPr="000508B6">
        <w:rPr>
          <w:rFonts w:ascii="Times New Roman" w:eastAsia="Times New Roman" w:hAnsi="Times New Roman" w:cs="Times New Roman"/>
          <w:lang w:val="ro-MD"/>
        </w:rPr>
        <w:t xml:space="preserve">Informarea </w:t>
      </w:r>
      <w:proofErr w:type="spellStart"/>
      <w:r w:rsidR="009477A6" w:rsidRPr="000508B6">
        <w:rPr>
          <w:rFonts w:ascii="Times New Roman" w:eastAsia="Times New Roman" w:hAnsi="Times New Roman" w:cs="Times New Roman"/>
          <w:lang w:val="ro-MD"/>
        </w:rPr>
        <w:t>asiguraţilor</w:t>
      </w:r>
      <w:proofErr w:type="spellEnd"/>
      <w:r w:rsidR="009477A6" w:rsidRPr="000508B6">
        <w:rPr>
          <w:rFonts w:ascii="Times New Roman" w:eastAsia="Times New Roman" w:hAnsi="Times New Roman" w:cs="Times New Roman"/>
          <w:lang w:val="ro-MD"/>
        </w:rPr>
        <w:t xml:space="preserve"> </w:t>
      </w:r>
    </w:p>
    <w:p w14:paraId="65D6D4BB" w14:textId="4B4A2CBA"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37466" w:rsidRPr="000508B6">
        <w:rPr>
          <w:rFonts w:ascii="Times New Roman" w:eastAsia="Times New Roman" w:hAnsi="Times New Roman" w:cs="Times New Roman"/>
          <w:lang w:val="ro-MD"/>
        </w:rPr>
        <w:t>107</w:t>
      </w:r>
      <w:r w:rsidRPr="000508B6">
        <w:rPr>
          <w:rFonts w:ascii="Times New Roman" w:eastAsia="Times New Roman" w:hAnsi="Times New Roman" w:cs="Times New Roman"/>
          <w:lang w:val="ro-MD"/>
        </w:rPr>
        <w:t xml:space="preserve">. </w:t>
      </w:r>
      <w:r w:rsidR="00604355" w:rsidRPr="000508B6">
        <w:rPr>
          <w:rFonts w:ascii="Times New Roman" w:eastAsia="Times New Roman" w:hAnsi="Times New Roman" w:cs="Times New Roman"/>
          <w:lang w:val="ro-MD"/>
        </w:rPr>
        <w:t>Termenul de</w:t>
      </w:r>
      <w:r w:rsidR="004A0A5F" w:rsidRPr="000508B6">
        <w:rPr>
          <w:rFonts w:ascii="Times New Roman" w:eastAsia="Times New Roman" w:hAnsi="Times New Roman" w:cs="Times New Roman"/>
          <w:lang w:val="ro-MD"/>
        </w:rPr>
        <w:t xml:space="preserve"> </w:t>
      </w:r>
      <w:r w:rsidR="00874C1A" w:rsidRPr="000508B6">
        <w:rPr>
          <w:rFonts w:ascii="Times New Roman" w:eastAsia="Times New Roman" w:hAnsi="Times New Roman" w:cs="Times New Roman"/>
          <w:lang w:val="ro-MD"/>
        </w:rPr>
        <w:t xml:space="preserve">revocare </w:t>
      </w:r>
      <w:r w:rsidR="000D62DA" w:rsidRPr="000508B6">
        <w:rPr>
          <w:rFonts w:ascii="Times New Roman" w:eastAsia="Times New Roman" w:hAnsi="Times New Roman" w:cs="Times New Roman"/>
          <w:lang w:val="ro-MD"/>
        </w:rPr>
        <w:t>a contractul</w:t>
      </w:r>
      <w:r w:rsidR="00874C1A" w:rsidRPr="000508B6">
        <w:rPr>
          <w:rFonts w:ascii="Times New Roman" w:eastAsia="Times New Roman" w:hAnsi="Times New Roman" w:cs="Times New Roman"/>
          <w:lang w:val="ro-MD"/>
        </w:rPr>
        <w:t>ui</w:t>
      </w:r>
      <w:r w:rsidR="000D62DA" w:rsidRPr="000508B6">
        <w:rPr>
          <w:rFonts w:ascii="Times New Roman" w:eastAsia="Times New Roman" w:hAnsi="Times New Roman" w:cs="Times New Roman"/>
          <w:lang w:val="ro-MD"/>
        </w:rPr>
        <w:t xml:space="preserve"> de </w:t>
      </w:r>
      <w:r w:rsidR="009871D3" w:rsidRPr="000508B6">
        <w:rPr>
          <w:rFonts w:ascii="Times New Roman" w:eastAsia="Times New Roman" w:hAnsi="Times New Roman" w:cs="Times New Roman"/>
          <w:lang w:val="ro-MD"/>
        </w:rPr>
        <w:t>asigurare</w:t>
      </w:r>
      <w:r w:rsidR="000D62DA" w:rsidRPr="000508B6">
        <w:rPr>
          <w:rFonts w:ascii="Times New Roman" w:eastAsia="Times New Roman" w:hAnsi="Times New Roman" w:cs="Times New Roman"/>
          <w:lang w:val="ro-MD"/>
        </w:rPr>
        <w:t xml:space="preserve"> de viață</w:t>
      </w:r>
      <w:r w:rsidRPr="000508B6">
        <w:rPr>
          <w:rFonts w:ascii="Times New Roman" w:eastAsia="Times New Roman" w:hAnsi="Times New Roman" w:cs="Times New Roman"/>
          <w:lang w:val="ro-MD"/>
        </w:rPr>
        <w:t xml:space="preserve"> </w:t>
      </w:r>
    </w:p>
    <w:p w14:paraId="7DAC0988"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524E0A61" w14:textId="77777777" w:rsidR="00F95829" w:rsidRPr="000508B6" w:rsidRDefault="00F95829" w:rsidP="001E0938">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2-a</w:t>
      </w:r>
    </w:p>
    <w:p w14:paraId="16F10468" w14:textId="399022E1"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Dispoziţii</w:t>
      </w:r>
      <w:proofErr w:type="spellEnd"/>
      <w:r w:rsidRPr="000508B6">
        <w:rPr>
          <w:rFonts w:ascii="Times New Roman" w:eastAsia="Times New Roman" w:hAnsi="Times New Roman" w:cs="Times New Roman"/>
          <w:b/>
          <w:lang w:val="ro-MD"/>
        </w:rPr>
        <w:t xml:space="preserve"> specifice </w:t>
      </w:r>
      <w:r w:rsidR="009871D3" w:rsidRPr="000508B6">
        <w:rPr>
          <w:rFonts w:ascii="Times New Roman" w:eastAsia="Times New Roman" w:hAnsi="Times New Roman" w:cs="Times New Roman"/>
          <w:b/>
          <w:lang w:val="ro-MD"/>
        </w:rPr>
        <w:t>activității de asigurare</w:t>
      </w:r>
      <w:r w:rsidRPr="000508B6">
        <w:rPr>
          <w:rFonts w:ascii="Times New Roman" w:eastAsia="Times New Roman" w:hAnsi="Times New Roman" w:cs="Times New Roman"/>
          <w:b/>
          <w:lang w:val="ro-MD"/>
        </w:rPr>
        <w:t xml:space="preserve"> generale</w:t>
      </w:r>
      <w:r w:rsidR="009509F4" w:rsidRPr="000508B6">
        <w:rPr>
          <w:rFonts w:ascii="Times New Roman" w:eastAsia="Times New Roman" w:hAnsi="Times New Roman" w:cs="Times New Roman"/>
          <w:b/>
          <w:lang w:val="ro-MD"/>
        </w:rPr>
        <w:t>,</w:t>
      </w:r>
      <w:r w:rsidRPr="000508B6">
        <w:rPr>
          <w:rFonts w:ascii="Times New Roman" w:eastAsia="Times New Roman" w:hAnsi="Times New Roman" w:cs="Times New Roman"/>
          <w:b/>
          <w:lang w:val="ro-MD"/>
        </w:rPr>
        <w:t xml:space="preserve"> de </w:t>
      </w:r>
      <w:proofErr w:type="spellStart"/>
      <w:r w:rsidRPr="000508B6">
        <w:rPr>
          <w:rFonts w:ascii="Times New Roman" w:eastAsia="Times New Roman" w:hAnsi="Times New Roman" w:cs="Times New Roman"/>
          <w:b/>
          <w:lang w:val="ro-MD"/>
        </w:rPr>
        <w:t>viaţă</w:t>
      </w:r>
      <w:proofErr w:type="spellEnd"/>
      <w:r w:rsidR="009509F4" w:rsidRPr="000508B6">
        <w:rPr>
          <w:rFonts w:ascii="Times New Roman" w:eastAsia="Times New Roman" w:hAnsi="Times New Roman" w:cs="Times New Roman"/>
          <w:b/>
          <w:lang w:val="ro-MD"/>
        </w:rPr>
        <w:t xml:space="preserve"> și reasigurării</w:t>
      </w:r>
    </w:p>
    <w:p w14:paraId="3742C31A" w14:textId="77A2B34F"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37466" w:rsidRPr="000508B6">
        <w:rPr>
          <w:rFonts w:ascii="Times New Roman" w:eastAsia="Times New Roman" w:hAnsi="Times New Roman" w:cs="Times New Roman"/>
          <w:lang w:val="ro-MD"/>
        </w:rPr>
        <w:t>108</w:t>
      </w:r>
      <w:r w:rsidRPr="000508B6">
        <w:rPr>
          <w:rFonts w:ascii="Times New Roman" w:eastAsia="Times New Roman" w:hAnsi="Times New Roman" w:cs="Times New Roman"/>
          <w:lang w:val="ro-MD"/>
        </w:rPr>
        <w:t xml:space="preserve">. </w:t>
      </w:r>
      <w:r w:rsidR="00A4279C" w:rsidRPr="000508B6">
        <w:rPr>
          <w:rFonts w:ascii="Times New Roman" w:eastAsia="Times New Roman" w:hAnsi="Times New Roman" w:cs="Times New Roman"/>
          <w:lang w:val="ro-MD"/>
        </w:rPr>
        <w:t>Asigurarea</w:t>
      </w:r>
      <w:r w:rsidR="000D62DA" w:rsidRPr="000508B6">
        <w:rPr>
          <w:rFonts w:ascii="Times New Roman" w:eastAsia="Times New Roman" w:hAnsi="Times New Roman" w:cs="Times New Roman"/>
          <w:lang w:val="ro-MD"/>
        </w:rPr>
        <w:t xml:space="preserve"> general</w:t>
      </w:r>
      <w:r w:rsidR="00A4279C" w:rsidRPr="000508B6">
        <w:rPr>
          <w:rFonts w:ascii="Times New Roman" w:eastAsia="Times New Roman" w:hAnsi="Times New Roman" w:cs="Times New Roman"/>
          <w:lang w:val="ro-MD"/>
        </w:rPr>
        <w:t>ă</w:t>
      </w:r>
    </w:p>
    <w:p w14:paraId="17439490" w14:textId="37C5D27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37466" w:rsidRPr="000508B6">
        <w:rPr>
          <w:rFonts w:ascii="Times New Roman" w:eastAsia="Times New Roman" w:hAnsi="Times New Roman" w:cs="Times New Roman"/>
          <w:lang w:val="ro-MD"/>
        </w:rPr>
        <w:t>109</w:t>
      </w:r>
      <w:r w:rsidRPr="000508B6">
        <w:rPr>
          <w:rFonts w:ascii="Times New Roman" w:eastAsia="Times New Roman" w:hAnsi="Times New Roman" w:cs="Times New Roman"/>
          <w:lang w:val="ro-MD"/>
        </w:rPr>
        <w:t>. Coasigurarea</w:t>
      </w:r>
      <w:r w:rsidR="000D62DA" w:rsidRPr="000508B6">
        <w:rPr>
          <w:rFonts w:ascii="Times New Roman" w:eastAsia="Times New Roman" w:hAnsi="Times New Roman" w:cs="Times New Roman"/>
          <w:lang w:val="ro-MD"/>
        </w:rPr>
        <w:t xml:space="preserve"> comunitară</w:t>
      </w:r>
    </w:p>
    <w:p w14:paraId="16A7232B" w14:textId="3B26EC8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37466" w:rsidRPr="000508B6">
        <w:rPr>
          <w:rFonts w:ascii="Times New Roman" w:eastAsia="Times New Roman" w:hAnsi="Times New Roman" w:cs="Times New Roman"/>
          <w:lang w:val="ro-MD"/>
        </w:rPr>
        <w:t>110</w:t>
      </w:r>
      <w:r w:rsidRPr="000508B6">
        <w:rPr>
          <w:rFonts w:ascii="Times New Roman" w:eastAsia="Times New Roman" w:hAnsi="Times New Roman" w:cs="Times New Roman"/>
          <w:lang w:val="ro-MD"/>
        </w:rPr>
        <w:t xml:space="preserve">. </w:t>
      </w:r>
      <w:r w:rsidR="000D62DA" w:rsidRPr="000508B6">
        <w:rPr>
          <w:rFonts w:ascii="Times New Roman" w:eastAsia="Times New Roman" w:hAnsi="Times New Roman" w:cs="Times New Roman"/>
          <w:lang w:val="ro-MD"/>
        </w:rPr>
        <w:t>Activități similar</w:t>
      </w:r>
      <w:r w:rsidR="0034446D" w:rsidRPr="000508B6">
        <w:rPr>
          <w:rFonts w:ascii="Times New Roman" w:eastAsia="Times New Roman" w:hAnsi="Times New Roman" w:cs="Times New Roman"/>
          <w:lang w:val="ro-MD"/>
        </w:rPr>
        <w:t>e</w:t>
      </w:r>
      <w:r w:rsidR="000D62DA"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asistenţ</w:t>
      </w:r>
      <w:r w:rsidR="006120D5" w:rsidRPr="000508B6">
        <w:rPr>
          <w:rFonts w:ascii="Times New Roman" w:eastAsia="Times New Roman" w:hAnsi="Times New Roman" w:cs="Times New Roman"/>
          <w:lang w:val="ro-MD"/>
        </w:rPr>
        <w:t>ei</w:t>
      </w:r>
      <w:proofErr w:type="spellEnd"/>
      <w:r w:rsidR="006120D5" w:rsidRPr="000508B6">
        <w:rPr>
          <w:rFonts w:ascii="Times New Roman" w:eastAsia="Times New Roman" w:hAnsi="Times New Roman" w:cs="Times New Roman"/>
          <w:lang w:val="ro-MD"/>
        </w:rPr>
        <w:t xml:space="preserve"> turistice</w:t>
      </w:r>
    </w:p>
    <w:p w14:paraId="24FCEDB5" w14:textId="5F4CC8B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37466" w:rsidRPr="000508B6">
        <w:rPr>
          <w:rFonts w:ascii="Times New Roman" w:eastAsia="Times New Roman" w:hAnsi="Times New Roman" w:cs="Times New Roman"/>
          <w:lang w:val="ro-MD"/>
        </w:rPr>
        <w:t>111</w:t>
      </w:r>
      <w:r w:rsidRPr="000508B6">
        <w:rPr>
          <w:rFonts w:ascii="Times New Roman" w:eastAsia="Times New Roman" w:hAnsi="Times New Roman" w:cs="Times New Roman"/>
          <w:lang w:val="ro-MD"/>
        </w:rPr>
        <w:t xml:space="preserve">. </w:t>
      </w:r>
      <w:bookmarkStart w:id="15" w:name="_Hlk184393715"/>
      <w:r w:rsidR="00FE6E01" w:rsidRPr="000508B6">
        <w:rPr>
          <w:rFonts w:ascii="Times New Roman" w:eastAsia="Times New Roman" w:hAnsi="Times New Roman" w:cs="Times New Roman"/>
          <w:lang w:val="ro-MD"/>
        </w:rPr>
        <w:t>Asigurări</w:t>
      </w:r>
      <w:r w:rsidRPr="000508B6">
        <w:rPr>
          <w:rFonts w:ascii="Times New Roman" w:eastAsia="Times New Roman" w:hAnsi="Times New Roman" w:cs="Times New Roman"/>
          <w:lang w:val="ro-MD"/>
        </w:rPr>
        <w:t xml:space="preserve"> </w:t>
      </w:r>
      <w:bookmarkEnd w:id="15"/>
      <w:r w:rsidRPr="000508B6">
        <w:rPr>
          <w:rFonts w:ascii="Times New Roman" w:eastAsia="Times New Roman" w:hAnsi="Times New Roman" w:cs="Times New Roman"/>
          <w:lang w:val="ro-MD"/>
        </w:rPr>
        <w:t>de protecție juridică</w:t>
      </w:r>
    </w:p>
    <w:p w14:paraId="7D2605CE" w14:textId="783D4BA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112</w:t>
      </w:r>
      <w:r w:rsidRPr="000508B6">
        <w:rPr>
          <w:rFonts w:ascii="Times New Roman" w:eastAsia="Times New Roman" w:hAnsi="Times New Roman" w:cs="Times New Roman"/>
          <w:lang w:val="ro-MD"/>
        </w:rPr>
        <w:t xml:space="preserve">. </w:t>
      </w:r>
      <w:r w:rsidR="00FE6E01" w:rsidRPr="000508B6">
        <w:rPr>
          <w:rFonts w:ascii="Times New Roman" w:eastAsia="Times New Roman" w:hAnsi="Times New Roman" w:cs="Times New Roman"/>
          <w:lang w:val="ro-MD"/>
        </w:rPr>
        <w:t xml:space="preserve">Asigurări </w:t>
      </w:r>
      <w:r w:rsidRPr="000508B6">
        <w:rPr>
          <w:rFonts w:ascii="Times New Roman" w:eastAsia="Times New Roman" w:hAnsi="Times New Roman" w:cs="Times New Roman"/>
          <w:lang w:val="ro-MD"/>
        </w:rPr>
        <w:t>de accidente de muncă</w:t>
      </w:r>
    </w:p>
    <w:p w14:paraId="36B9AFBD" w14:textId="6B0375D1"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113</w:t>
      </w:r>
      <w:r w:rsidRPr="000508B6">
        <w:rPr>
          <w:rFonts w:ascii="Times New Roman" w:eastAsia="Times New Roman" w:hAnsi="Times New Roman" w:cs="Times New Roman"/>
          <w:lang w:val="ro-MD"/>
        </w:rPr>
        <w:t xml:space="preserve">. </w:t>
      </w:r>
      <w:r w:rsidR="009871D3" w:rsidRPr="000508B6">
        <w:rPr>
          <w:rFonts w:ascii="Times New Roman" w:eastAsia="Times New Roman" w:hAnsi="Times New Roman" w:cs="Times New Roman"/>
          <w:lang w:val="ro-MD"/>
        </w:rPr>
        <w:t>Asigur</w:t>
      </w:r>
      <w:r w:rsidR="005A6396" w:rsidRPr="000508B6">
        <w:rPr>
          <w:rFonts w:ascii="Times New Roman" w:eastAsia="Times New Roman" w:hAnsi="Times New Roman" w:cs="Times New Roman"/>
          <w:lang w:val="ro-MD"/>
        </w:rPr>
        <w:t>ări</w:t>
      </w:r>
      <w:r w:rsidRPr="000508B6">
        <w:rPr>
          <w:rFonts w:ascii="Times New Roman" w:eastAsia="Times New Roman" w:hAnsi="Times New Roman" w:cs="Times New Roman"/>
          <w:lang w:val="ro-MD"/>
        </w:rPr>
        <w:t xml:space="preserve"> de viață</w:t>
      </w:r>
    </w:p>
    <w:p w14:paraId="62C9FF96" w14:textId="3A784CB9"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114</w:t>
      </w:r>
      <w:r w:rsidRPr="000508B6">
        <w:rPr>
          <w:rFonts w:ascii="Times New Roman" w:eastAsia="Times New Roman" w:hAnsi="Times New Roman" w:cs="Times New Roman"/>
          <w:lang w:val="ro-MD"/>
        </w:rPr>
        <w:t>. Activitatea de reasigurare </w:t>
      </w:r>
    </w:p>
    <w:p w14:paraId="7A5F1201" w14:textId="34243AF6"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091E31" w:rsidRPr="000508B6">
        <w:rPr>
          <w:rFonts w:ascii="Times New Roman" w:eastAsia="Times New Roman" w:hAnsi="Times New Roman" w:cs="Times New Roman"/>
          <w:lang w:val="ro-MD"/>
        </w:rPr>
        <w:t>115</w:t>
      </w:r>
      <w:r w:rsidRPr="000508B6">
        <w:rPr>
          <w:rFonts w:ascii="Times New Roman" w:eastAsia="Times New Roman" w:hAnsi="Times New Roman" w:cs="Times New Roman"/>
          <w:lang w:val="ro-MD"/>
        </w:rPr>
        <w:t>. Vehiculele investiționale</w:t>
      </w:r>
    </w:p>
    <w:p w14:paraId="2C429B83" w14:textId="7777777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w:t>
      </w:r>
    </w:p>
    <w:p w14:paraId="1254C0D7" w14:textId="056B448A"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w:t>
      </w:r>
      <w:r w:rsidR="00F95829" w:rsidRPr="000508B6">
        <w:rPr>
          <w:rFonts w:ascii="Times New Roman" w:eastAsia="Times New Roman" w:hAnsi="Times New Roman" w:cs="Times New Roman"/>
          <w:b/>
          <w:lang w:val="ro-MD"/>
        </w:rPr>
        <w:t xml:space="preserve"> </w:t>
      </w:r>
      <w:r w:rsidR="00240B50" w:rsidRPr="000508B6">
        <w:rPr>
          <w:rFonts w:ascii="Times New Roman" w:eastAsia="Times New Roman" w:hAnsi="Times New Roman" w:cs="Times New Roman"/>
          <w:b/>
          <w:lang w:val="ro-MD"/>
        </w:rPr>
        <w:t>VII</w:t>
      </w:r>
    </w:p>
    <w:p w14:paraId="5876C02F" w14:textId="32D7EFBD"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GRUPURI</w:t>
      </w:r>
    </w:p>
    <w:p w14:paraId="5EB7C13C" w14:textId="33A80A40"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1</w:t>
      </w:r>
      <w:r w:rsidR="00F12B98" w:rsidRPr="000508B6">
        <w:rPr>
          <w:rFonts w:ascii="Times New Roman" w:eastAsia="Times New Roman" w:hAnsi="Times New Roman" w:cs="Times New Roman"/>
          <w:b/>
          <w:lang w:val="ro-MD"/>
        </w:rPr>
        <w:t xml:space="preserve"> </w:t>
      </w:r>
    </w:p>
    <w:p w14:paraId="4A7D05CB"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Domeniul de aplicare</w:t>
      </w:r>
    </w:p>
    <w:p w14:paraId="39542546" w14:textId="7F310F5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E03F8" w:rsidRPr="000508B6">
        <w:rPr>
          <w:rFonts w:ascii="Times New Roman" w:eastAsia="Times New Roman" w:hAnsi="Times New Roman" w:cs="Times New Roman"/>
          <w:lang w:val="ro-MD"/>
        </w:rPr>
        <w:t>116</w:t>
      </w:r>
      <w:r w:rsidRPr="000508B6">
        <w:rPr>
          <w:rFonts w:ascii="Times New Roman" w:eastAsia="Times New Roman" w:hAnsi="Times New Roman" w:cs="Times New Roman"/>
          <w:lang w:val="ro-MD"/>
        </w:rPr>
        <w:t>. Cazurile de aplicare a supravegherii la nivel de grup</w:t>
      </w:r>
    </w:p>
    <w:p w14:paraId="3B832440" w14:textId="32339649" w:rsidR="0034079D"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117. Utilizarea măsurilor de proporționalitate la nivel de grup</w:t>
      </w:r>
    </w:p>
    <w:p w14:paraId="29028C05" w14:textId="5E17304F" w:rsidR="0034079D" w:rsidRPr="000508B6" w:rsidRDefault="0034079D" w:rsidP="0034079D">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118. Dificultăți privind supravegherea la nivel de grup</w:t>
      </w:r>
    </w:p>
    <w:p w14:paraId="6C26B0D0" w14:textId="440CADB8"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E03F8" w:rsidRPr="000508B6">
        <w:rPr>
          <w:rFonts w:ascii="Times New Roman" w:eastAsia="Times New Roman" w:hAnsi="Times New Roman" w:cs="Times New Roman"/>
          <w:lang w:val="ro-MD"/>
        </w:rPr>
        <w:t>11</w:t>
      </w:r>
      <w:r w:rsidR="0034079D" w:rsidRPr="000508B6">
        <w:rPr>
          <w:rFonts w:ascii="Times New Roman" w:eastAsia="Times New Roman" w:hAnsi="Times New Roman" w:cs="Times New Roman"/>
          <w:lang w:val="ro-MD"/>
        </w:rPr>
        <w:t>9</w:t>
      </w:r>
      <w:r w:rsidRPr="000508B6">
        <w:rPr>
          <w:rFonts w:ascii="Times New Roman" w:eastAsia="Times New Roman" w:hAnsi="Times New Roman" w:cs="Times New Roman"/>
          <w:lang w:val="ro-MD"/>
        </w:rPr>
        <w:t xml:space="preserve">. </w:t>
      </w:r>
      <w:r w:rsidR="0034446D" w:rsidRPr="000508B6">
        <w:rPr>
          <w:rFonts w:ascii="Times New Roman" w:eastAsia="Times New Roman" w:hAnsi="Times New Roman" w:cs="Times New Roman"/>
          <w:lang w:val="ro-MD"/>
        </w:rPr>
        <w:t>Societatea</w:t>
      </w:r>
      <w:r w:rsidRPr="000508B6">
        <w:rPr>
          <w:rFonts w:ascii="Times New Roman" w:eastAsia="Times New Roman" w:hAnsi="Times New Roman" w:cs="Times New Roman"/>
          <w:lang w:val="ro-MD"/>
        </w:rPr>
        <w:t>-mamă de cel mai înalt rang</w:t>
      </w:r>
    </w:p>
    <w:p w14:paraId="235A1938" w14:textId="4684AB5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E03F8" w:rsidRPr="000508B6">
        <w:rPr>
          <w:rFonts w:ascii="Times New Roman" w:eastAsia="Times New Roman" w:hAnsi="Times New Roman" w:cs="Times New Roman"/>
          <w:lang w:val="ro-MD"/>
        </w:rPr>
        <w:t>1</w:t>
      </w:r>
      <w:r w:rsidR="0034079D" w:rsidRPr="000508B6">
        <w:rPr>
          <w:rFonts w:ascii="Times New Roman" w:eastAsia="Times New Roman" w:hAnsi="Times New Roman" w:cs="Times New Roman"/>
          <w:lang w:val="ro-MD"/>
        </w:rPr>
        <w:t>20</w:t>
      </w:r>
      <w:r w:rsidRPr="000508B6">
        <w:rPr>
          <w:rFonts w:ascii="Times New Roman" w:eastAsia="Times New Roman" w:hAnsi="Times New Roman" w:cs="Times New Roman"/>
          <w:lang w:val="ro-MD"/>
        </w:rPr>
        <w:t>. Societatea–mamă de cel mai înalt rang la nivel național</w:t>
      </w:r>
    </w:p>
    <w:p w14:paraId="52864459" w14:textId="3593F65B"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E03F8" w:rsidRPr="000508B6">
        <w:rPr>
          <w:rFonts w:ascii="Times New Roman" w:eastAsia="Times New Roman" w:hAnsi="Times New Roman" w:cs="Times New Roman"/>
          <w:lang w:val="ro-MD"/>
        </w:rPr>
        <w:t>1</w:t>
      </w:r>
      <w:r w:rsidR="0034079D" w:rsidRPr="000508B6">
        <w:rPr>
          <w:rFonts w:ascii="Times New Roman" w:eastAsia="Times New Roman" w:hAnsi="Times New Roman" w:cs="Times New Roman"/>
          <w:lang w:val="ro-MD"/>
        </w:rPr>
        <w:t>21</w:t>
      </w:r>
      <w:r w:rsidRPr="000508B6">
        <w:rPr>
          <w:rFonts w:ascii="Times New Roman" w:eastAsia="Times New Roman" w:hAnsi="Times New Roman" w:cs="Times New Roman"/>
          <w:lang w:val="ro-MD"/>
        </w:rPr>
        <w:t>. Supravegherea la nivel de subgrup</w:t>
      </w:r>
    </w:p>
    <w:p w14:paraId="03F8DD5B"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7D50A96C" w14:textId="07605400"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2-a</w:t>
      </w:r>
      <w:r w:rsidR="00F12B98" w:rsidRPr="000508B6">
        <w:rPr>
          <w:rFonts w:ascii="Times New Roman" w:eastAsia="Times New Roman" w:hAnsi="Times New Roman" w:cs="Times New Roman"/>
          <w:b/>
          <w:lang w:val="ro-MD"/>
        </w:rPr>
        <w:t xml:space="preserve"> </w:t>
      </w:r>
    </w:p>
    <w:p w14:paraId="1A808B5F"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Solvabilitatea la nivel de grup</w:t>
      </w:r>
    </w:p>
    <w:p w14:paraId="506F8E28"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Subsecțiunea 2.1</w:t>
      </w:r>
    </w:p>
    <w:p w14:paraId="62AD7BC8"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Fondurile proprii și calcularea solvabilității la nivel de grup</w:t>
      </w:r>
    </w:p>
    <w:p w14:paraId="34728D09" w14:textId="085EDFFF"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Prevederi generale</w:t>
      </w:r>
    </w:p>
    <w:p w14:paraId="299962E5" w14:textId="3AC3F26F"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Frecvența calculării</w:t>
      </w:r>
    </w:p>
    <w:p w14:paraId="7C73AFBF" w14:textId="0A385A07"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Alegerea metodei de calcul</w:t>
      </w:r>
    </w:p>
    <w:p w14:paraId="7D2A3A4E" w14:textId="2EE27FE2"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 Includerea cotei proporționale</w:t>
      </w:r>
    </w:p>
    <w:p w14:paraId="580BAF5B" w14:textId="4250C390"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 Dubla utilizare a fondurilor proprii</w:t>
      </w:r>
    </w:p>
    <w:p w14:paraId="53531AFC" w14:textId="2F6B4993"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 xml:space="preserve">. </w:t>
      </w:r>
      <w:r w:rsidR="00402978" w:rsidRPr="000508B6">
        <w:rPr>
          <w:rFonts w:ascii="Times New Roman" w:eastAsia="Times New Roman" w:hAnsi="Times New Roman" w:cs="Times New Roman"/>
          <w:lang w:val="ro-MD"/>
        </w:rPr>
        <w:t>Capitalul</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intragrup</w:t>
      </w:r>
      <w:proofErr w:type="spellEnd"/>
    </w:p>
    <w:p w14:paraId="363F2916" w14:textId="22420411"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 Evaluarea</w:t>
      </w:r>
      <w:r w:rsidR="00764198" w:rsidRPr="000508B6">
        <w:rPr>
          <w:rFonts w:ascii="Times New Roman" w:eastAsia="Times New Roman" w:hAnsi="Times New Roman" w:cs="Times New Roman"/>
          <w:lang w:val="ro-MD"/>
        </w:rPr>
        <w:t xml:space="preserve"> activelor și </w:t>
      </w:r>
      <w:r w:rsidR="00FA320A" w:rsidRPr="000508B6">
        <w:rPr>
          <w:rFonts w:ascii="Times New Roman" w:eastAsia="Times New Roman" w:hAnsi="Times New Roman" w:cs="Times New Roman"/>
          <w:lang w:val="ro-MD"/>
        </w:rPr>
        <w:t xml:space="preserve">obligațiilor </w:t>
      </w:r>
      <w:r w:rsidR="00764198" w:rsidRPr="000508B6">
        <w:rPr>
          <w:rFonts w:ascii="Times New Roman" w:eastAsia="Times New Roman" w:hAnsi="Times New Roman" w:cs="Times New Roman"/>
          <w:lang w:val="ro-MD"/>
        </w:rPr>
        <w:t>la nivel de grup</w:t>
      </w:r>
    </w:p>
    <w:p w14:paraId="30180E47" w14:textId="6D77DCA1" w:rsidR="00F95829" w:rsidRPr="000508B6" w:rsidRDefault="00F95829" w:rsidP="00F5219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7C58FD" w:rsidRPr="000508B6">
        <w:rPr>
          <w:rFonts w:ascii="Times New Roman" w:eastAsia="Times New Roman" w:hAnsi="Times New Roman" w:cs="Times New Roman"/>
          <w:lang w:val="ro-MD"/>
        </w:rPr>
        <w:t>12</w:t>
      </w:r>
      <w:r w:rsidR="0034079D" w:rsidRPr="000508B6">
        <w:rPr>
          <w:rFonts w:ascii="Times New Roman" w:eastAsia="Times New Roman" w:hAnsi="Times New Roman" w:cs="Times New Roman"/>
          <w:lang w:val="ro-MD"/>
        </w:rPr>
        <w:t>9</w:t>
      </w:r>
      <w:r w:rsidRPr="000508B6">
        <w:rPr>
          <w:rFonts w:ascii="Times New Roman" w:eastAsia="Times New Roman" w:hAnsi="Times New Roman" w:cs="Times New Roman"/>
          <w:lang w:val="ro-MD"/>
        </w:rPr>
        <w:t xml:space="preserve">. </w:t>
      </w:r>
      <w:r w:rsidR="00FE257A" w:rsidRPr="000508B6">
        <w:rPr>
          <w:rFonts w:ascii="Times New Roman" w:eastAsia="Times New Roman" w:hAnsi="Times New Roman" w:cs="Times New Roman"/>
          <w:lang w:val="ro-MD"/>
        </w:rPr>
        <w:t>Metoda de calcul pentru asigurătorii</w:t>
      </w:r>
      <w:r w:rsidR="003037D9" w:rsidRPr="000508B6">
        <w:rPr>
          <w:rFonts w:ascii="Times New Roman" w:eastAsia="Times New Roman" w:hAnsi="Times New Roman" w:cs="Times New Roman"/>
          <w:lang w:val="ro-MD"/>
        </w:rPr>
        <w:t xml:space="preserve"> sau </w:t>
      </w:r>
      <w:proofErr w:type="spellStart"/>
      <w:r w:rsidR="003037D9" w:rsidRPr="000508B6">
        <w:rPr>
          <w:rFonts w:ascii="Times New Roman" w:eastAsia="Times New Roman" w:hAnsi="Times New Roman" w:cs="Times New Roman"/>
          <w:lang w:val="ro-MD"/>
        </w:rPr>
        <w:t>reasigurătorii</w:t>
      </w:r>
      <w:proofErr w:type="spellEnd"/>
      <w:r w:rsidRPr="000508B6">
        <w:rPr>
          <w:rFonts w:ascii="Times New Roman" w:eastAsia="Times New Roman" w:hAnsi="Times New Roman" w:cs="Times New Roman"/>
          <w:lang w:val="ro-MD"/>
        </w:rPr>
        <w:t xml:space="preserve"> </w:t>
      </w:r>
      <w:r w:rsidR="003037D9" w:rsidRPr="000508B6">
        <w:rPr>
          <w:rFonts w:ascii="Times New Roman" w:eastAsia="Times New Roman" w:hAnsi="Times New Roman" w:cs="Times New Roman"/>
          <w:lang w:val="ro-MD"/>
        </w:rPr>
        <w:t>afiliați</w:t>
      </w:r>
    </w:p>
    <w:p w14:paraId="25E8991B" w14:textId="1EC5D329"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130</w:t>
      </w:r>
      <w:r w:rsidRPr="000508B6">
        <w:rPr>
          <w:rFonts w:ascii="Times New Roman" w:eastAsia="Times New Roman" w:hAnsi="Times New Roman" w:cs="Times New Roman"/>
          <w:lang w:val="ro-MD"/>
        </w:rPr>
        <w:t>.</w:t>
      </w:r>
      <w:r w:rsidR="00DE1E2C" w:rsidRPr="000508B6">
        <w:rPr>
          <w:rFonts w:ascii="Times New Roman" w:hAnsi="Times New Roman" w:cs="Times New Roman"/>
          <w:lang w:val="ro-MD"/>
        </w:rPr>
        <w:t xml:space="preserve"> </w:t>
      </w:r>
      <w:r w:rsidR="00DE1E2C" w:rsidRPr="000508B6">
        <w:rPr>
          <w:rFonts w:ascii="Times New Roman" w:eastAsia="Times New Roman" w:hAnsi="Times New Roman" w:cs="Times New Roman"/>
          <w:lang w:val="ro-MD"/>
        </w:rPr>
        <w:t xml:space="preserve">Metoda de calcul pentru holdingurile </w:t>
      </w:r>
      <w:r w:rsidR="00F52194" w:rsidRPr="000508B6">
        <w:rPr>
          <w:rFonts w:ascii="Times New Roman" w:eastAsia="Times New Roman" w:hAnsi="Times New Roman" w:cs="Times New Roman"/>
          <w:lang w:val="ro-MD"/>
        </w:rPr>
        <w:t>de asigurare</w:t>
      </w:r>
      <w:r w:rsidRPr="000508B6">
        <w:rPr>
          <w:rFonts w:ascii="Times New Roman" w:eastAsia="Times New Roman" w:hAnsi="Times New Roman" w:cs="Times New Roman"/>
          <w:lang w:val="ro-MD"/>
        </w:rPr>
        <w:t xml:space="preserve"> intermediare</w:t>
      </w:r>
    </w:p>
    <w:p w14:paraId="67465615" w14:textId="61A13FB9"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131</w:t>
      </w:r>
      <w:r w:rsidRPr="000508B6">
        <w:rPr>
          <w:rFonts w:ascii="Times New Roman" w:eastAsia="Times New Roman" w:hAnsi="Times New Roman" w:cs="Times New Roman"/>
          <w:lang w:val="ro-MD"/>
        </w:rPr>
        <w:t xml:space="preserve">. </w:t>
      </w:r>
      <w:r w:rsidR="00C53BF6" w:rsidRPr="000508B6">
        <w:rPr>
          <w:rFonts w:ascii="Times New Roman" w:eastAsia="Times New Roman" w:hAnsi="Times New Roman" w:cs="Times New Roman"/>
          <w:lang w:val="ro-MD"/>
        </w:rPr>
        <w:t xml:space="preserve">Metoda de calcul </w:t>
      </w:r>
      <w:r w:rsidR="003037D9" w:rsidRPr="000508B6">
        <w:rPr>
          <w:rFonts w:ascii="Times New Roman" w:eastAsia="Times New Roman" w:hAnsi="Times New Roman" w:cs="Times New Roman"/>
          <w:lang w:val="ro-MD"/>
        </w:rPr>
        <w:t xml:space="preserve">asigurătorii sau </w:t>
      </w:r>
      <w:proofErr w:type="spellStart"/>
      <w:r w:rsidR="003037D9" w:rsidRPr="000508B6">
        <w:rPr>
          <w:rFonts w:ascii="Times New Roman" w:eastAsia="Times New Roman" w:hAnsi="Times New Roman" w:cs="Times New Roman"/>
          <w:lang w:val="ro-MD"/>
        </w:rPr>
        <w:t>reasigurătorii</w:t>
      </w:r>
      <w:proofErr w:type="spellEnd"/>
      <w:r w:rsidR="003037D9" w:rsidRPr="000508B6">
        <w:rPr>
          <w:rFonts w:ascii="Times New Roman" w:eastAsia="Times New Roman" w:hAnsi="Times New Roman" w:cs="Times New Roman"/>
          <w:lang w:val="ro-MD"/>
        </w:rPr>
        <w:t xml:space="preserve"> afiliați</w:t>
      </w:r>
      <w:r w:rsidR="00C53BF6" w:rsidRPr="000508B6">
        <w:rPr>
          <w:rFonts w:ascii="Times New Roman" w:eastAsia="Times New Roman" w:hAnsi="Times New Roman" w:cs="Times New Roman"/>
          <w:lang w:val="ro-MD"/>
        </w:rPr>
        <w:t xml:space="preserve"> din state</w:t>
      </w:r>
      <w:r w:rsidR="00350912" w:rsidRPr="000508B6">
        <w:rPr>
          <w:rFonts w:ascii="Times New Roman" w:eastAsia="Times New Roman" w:hAnsi="Times New Roman" w:cs="Times New Roman"/>
          <w:lang w:val="ro-MD"/>
        </w:rPr>
        <w:t>le</w:t>
      </w:r>
      <w:r w:rsidR="00C53BF6" w:rsidRPr="000508B6">
        <w:rPr>
          <w:rFonts w:ascii="Times New Roman" w:eastAsia="Times New Roman" w:hAnsi="Times New Roman" w:cs="Times New Roman"/>
          <w:lang w:val="ro-MD"/>
        </w:rPr>
        <w:t xml:space="preserve"> terțe  </w:t>
      </w:r>
    </w:p>
    <w:p w14:paraId="10614317" w14:textId="64AFF59B" w:rsidR="00F95829" w:rsidRPr="000508B6" w:rsidRDefault="00F95829" w:rsidP="00F52194">
      <w:pPr>
        <w:spacing w:after="0" w:line="240" w:lineRule="auto"/>
        <w:ind w:firstLine="426"/>
        <w:jc w:val="both"/>
        <w:rPr>
          <w:rFonts w:ascii="Times New Roman" w:eastAsia="Times New Roman" w:hAnsi="Times New Roman" w:cs="Times New Roman"/>
          <w:lang w:val="ro-MD"/>
        </w:rPr>
      </w:pPr>
      <w:bookmarkStart w:id="16" w:name="_Hlk187996133"/>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132</w:t>
      </w:r>
      <w:r w:rsidRPr="000508B6">
        <w:rPr>
          <w:rFonts w:ascii="Times New Roman" w:eastAsia="Times New Roman" w:hAnsi="Times New Roman" w:cs="Times New Roman"/>
          <w:lang w:val="ro-MD"/>
        </w:rPr>
        <w:t xml:space="preserve">. </w:t>
      </w:r>
      <w:r w:rsidR="00E60DA3" w:rsidRPr="000508B6">
        <w:rPr>
          <w:rFonts w:ascii="Times New Roman" w:eastAsia="Times New Roman" w:hAnsi="Times New Roman" w:cs="Times New Roman"/>
          <w:lang w:val="ro-MD"/>
        </w:rPr>
        <w:t>Tratamentul anumitor entități afiliate din alte sectoare financiare</w:t>
      </w:r>
    </w:p>
    <w:bookmarkEnd w:id="16"/>
    <w:p w14:paraId="7E578C90" w14:textId="35873BD4" w:rsidR="0079035E" w:rsidRPr="000508B6" w:rsidRDefault="00F95829" w:rsidP="0079035E">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133</w:t>
      </w:r>
      <w:r w:rsidRPr="000508B6">
        <w:rPr>
          <w:rFonts w:ascii="Times New Roman" w:eastAsia="Times New Roman" w:hAnsi="Times New Roman" w:cs="Times New Roman"/>
          <w:lang w:val="ro-MD"/>
        </w:rPr>
        <w:t xml:space="preserve">. </w:t>
      </w:r>
      <w:r w:rsidR="004065B5" w:rsidRPr="000508B6">
        <w:rPr>
          <w:rFonts w:ascii="Times New Roman" w:eastAsia="Times New Roman" w:hAnsi="Times New Roman" w:cs="Times New Roman"/>
          <w:lang w:val="ro-MD"/>
        </w:rPr>
        <w:t xml:space="preserve">Lipsa </w:t>
      </w:r>
      <w:r w:rsidRPr="000508B6">
        <w:rPr>
          <w:rFonts w:ascii="Times New Roman" w:eastAsia="Times New Roman" w:hAnsi="Times New Roman" w:cs="Times New Roman"/>
          <w:lang w:val="ro-MD"/>
        </w:rPr>
        <w:t>informațiilor</w:t>
      </w:r>
      <w:r w:rsidR="009C501D" w:rsidRPr="000508B6">
        <w:rPr>
          <w:rFonts w:ascii="Times New Roman" w:eastAsia="Times New Roman" w:hAnsi="Times New Roman" w:cs="Times New Roman"/>
          <w:lang w:val="ro-MD"/>
        </w:rPr>
        <w:t xml:space="preserve"> </w:t>
      </w:r>
    </w:p>
    <w:p w14:paraId="60D647D2" w14:textId="21F3D4BB" w:rsidR="0079035E" w:rsidRPr="000508B6" w:rsidRDefault="0079035E" w:rsidP="0079035E">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134</w:t>
      </w:r>
      <w:r w:rsidRPr="000508B6">
        <w:rPr>
          <w:rFonts w:ascii="Times New Roman" w:eastAsia="Times New Roman" w:hAnsi="Times New Roman" w:cs="Times New Roman"/>
          <w:lang w:val="ro-MD"/>
        </w:rPr>
        <w:t xml:space="preserve">. </w:t>
      </w:r>
      <w:r w:rsidR="00A86062" w:rsidRPr="000508B6">
        <w:rPr>
          <w:rFonts w:ascii="Times New Roman" w:eastAsia="Times New Roman" w:hAnsi="Times New Roman" w:cs="Times New Roman"/>
          <w:lang w:val="ro-MD"/>
        </w:rPr>
        <w:t xml:space="preserve">Metoda de calcul numărul 1: metoda bazată pe consolidarea contabilă  </w:t>
      </w:r>
    </w:p>
    <w:p w14:paraId="7FB86DE4" w14:textId="7037A64D"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135</w:t>
      </w:r>
      <w:r w:rsidRPr="000508B6">
        <w:rPr>
          <w:rFonts w:ascii="Times New Roman" w:eastAsia="Times New Roman" w:hAnsi="Times New Roman" w:cs="Times New Roman"/>
          <w:lang w:val="ro-MD"/>
        </w:rPr>
        <w:t xml:space="preserve">. </w:t>
      </w:r>
      <w:r w:rsidR="00A86062" w:rsidRPr="000508B6">
        <w:rPr>
          <w:rFonts w:ascii="Times New Roman" w:eastAsia="Times New Roman" w:hAnsi="Times New Roman" w:cs="Times New Roman"/>
          <w:lang w:val="ro-MD"/>
        </w:rPr>
        <w:t>Calcule simplificate</w:t>
      </w:r>
      <w:r w:rsidR="00A86062" w:rsidRPr="000508B6" w:rsidDel="00A86062">
        <w:rPr>
          <w:rFonts w:ascii="Times New Roman" w:eastAsia="Times New Roman" w:hAnsi="Times New Roman" w:cs="Times New Roman"/>
          <w:lang w:val="ro-MD"/>
        </w:rPr>
        <w:t xml:space="preserve"> </w:t>
      </w:r>
    </w:p>
    <w:p w14:paraId="615CAE26" w14:textId="16B93579"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34079D" w:rsidRPr="000508B6">
        <w:rPr>
          <w:rFonts w:ascii="Times New Roman" w:eastAsia="Times New Roman" w:hAnsi="Times New Roman" w:cs="Times New Roman"/>
          <w:lang w:val="ro-MD"/>
        </w:rPr>
        <w:t>136</w:t>
      </w:r>
      <w:r w:rsidRPr="000508B6">
        <w:rPr>
          <w:rFonts w:ascii="Times New Roman" w:eastAsia="Times New Roman" w:hAnsi="Times New Roman" w:cs="Times New Roman"/>
          <w:lang w:val="ro-MD"/>
        </w:rPr>
        <w:t>. Metoda de calcul numărul 2</w:t>
      </w:r>
      <w:r w:rsidR="006E0261" w:rsidRPr="000508B6">
        <w:rPr>
          <w:rFonts w:ascii="Times New Roman" w:eastAsia="Times New Roman" w:hAnsi="Times New Roman" w:cs="Times New Roman"/>
          <w:lang w:val="ro-MD"/>
        </w:rPr>
        <w:t>: metoda deducerii și agregării</w:t>
      </w:r>
    </w:p>
    <w:p w14:paraId="10559D08" w14:textId="37895E78" w:rsidR="006E2CBB" w:rsidRPr="000508B6" w:rsidRDefault="006E2CBB"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A86062" w:rsidRPr="000508B6">
        <w:rPr>
          <w:rFonts w:ascii="Times New Roman" w:eastAsia="Times New Roman" w:hAnsi="Times New Roman" w:cs="Times New Roman"/>
          <w:lang w:val="ro-MD"/>
        </w:rPr>
        <w:t>137</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Combinarea metodelor </w:t>
      </w:r>
      <w:r w:rsidR="007708BE" w:rsidRPr="000508B6">
        <w:rPr>
          <w:rFonts w:ascii="Times New Roman" w:eastAsia="Times New Roman" w:hAnsi="Times New Roman" w:cs="Times New Roman"/>
          <w:lang w:val="ro-MD"/>
        </w:rPr>
        <w:t xml:space="preserve">de calcul </w:t>
      </w:r>
      <w:r w:rsidR="0079035E" w:rsidRPr="000508B6">
        <w:rPr>
          <w:rFonts w:ascii="Times New Roman" w:eastAsia="Times New Roman" w:hAnsi="Times New Roman" w:cs="Times New Roman"/>
          <w:lang w:val="ro-MD"/>
        </w:rPr>
        <w:t>nr.</w:t>
      </w:r>
      <w:r w:rsidRPr="000508B6">
        <w:rPr>
          <w:rFonts w:ascii="Times New Roman" w:eastAsia="Times New Roman" w:hAnsi="Times New Roman" w:cs="Times New Roman"/>
          <w:lang w:val="ro-MD"/>
        </w:rPr>
        <w:t xml:space="preserve">1 și </w:t>
      </w:r>
      <w:r w:rsidR="0079035E" w:rsidRPr="000508B6">
        <w:rPr>
          <w:rFonts w:ascii="Times New Roman" w:eastAsia="Times New Roman" w:hAnsi="Times New Roman" w:cs="Times New Roman"/>
          <w:lang w:val="ro-MD"/>
        </w:rPr>
        <w:t>nr.</w:t>
      </w:r>
      <w:r w:rsidRPr="000508B6">
        <w:rPr>
          <w:rFonts w:ascii="Times New Roman" w:eastAsia="Times New Roman" w:hAnsi="Times New Roman" w:cs="Times New Roman"/>
          <w:lang w:val="ro-MD"/>
        </w:rPr>
        <w:t>2</w:t>
      </w:r>
      <w:r w:rsidR="005C05A4" w:rsidRPr="000508B6">
        <w:rPr>
          <w:rFonts w:ascii="Times New Roman" w:eastAsia="Times New Roman" w:hAnsi="Times New Roman" w:cs="Times New Roman"/>
          <w:lang w:val="ro-MD"/>
        </w:rPr>
        <w:t xml:space="preserve"> </w:t>
      </w:r>
    </w:p>
    <w:p w14:paraId="4E1A28D6" w14:textId="72CEED73" w:rsidR="00A86062"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A86062" w:rsidRPr="000508B6">
        <w:rPr>
          <w:rFonts w:ascii="Times New Roman" w:eastAsia="Times New Roman" w:hAnsi="Times New Roman" w:cs="Times New Roman"/>
          <w:lang w:val="ro-MD"/>
        </w:rPr>
        <w:t>138</w:t>
      </w:r>
      <w:r w:rsidRPr="000508B6">
        <w:rPr>
          <w:rFonts w:ascii="Times New Roman" w:eastAsia="Times New Roman" w:hAnsi="Times New Roman" w:cs="Times New Roman"/>
          <w:lang w:val="ro-MD"/>
        </w:rPr>
        <w:t>.</w:t>
      </w:r>
      <w:r w:rsidR="00A86062" w:rsidRPr="000508B6">
        <w:rPr>
          <w:rFonts w:ascii="Times New Roman" w:eastAsia="Times New Roman" w:hAnsi="Times New Roman" w:cs="Times New Roman"/>
          <w:lang w:val="ro-MD"/>
        </w:rPr>
        <w:t xml:space="preserve"> Modelul intern de grup</w:t>
      </w:r>
    </w:p>
    <w:p w14:paraId="660E76F3" w14:textId="4524007B" w:rsidR="00F95829" w:rsidRPr="000508B6" w:rsidRDefault="00A86062"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139.</w:t>
      </w:r>
      <w:r w:rsidR="00F95829" w:rsidRPr="000508B6">
        <w:rPr>
          <w:rFonts w:ascii="Times New Roman" w:eastAsia="Times New Roman" w:hAnsi="Times New Roman" w:cs="Times New Roman"/>
          <w:lang w:val="ro-MD"/>
        </w:rPr>
        <w:t xml:space="preserve"> Majorarea de capital de solvabilitate la nivel de grup</w:t>
      </w:r>
    </w:p>
    <w:p w14:paraId="3981DA05" w14:textId="6C36E5DB" w:rsidR="0095267B" w:rsidRPr="000508B6" w:rsidRDefault="0095267B" w:rsidP="00F8321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140</w:t>
      </w:r>
      <w:r w:rsidRPr="000508B6">
        <w:rPr>
          <w:rFonts w:ascii="Times New Roman" w:eastAsia="Times New Roman" w:hAnsi="Times New Roman" w:cs="Times New Roman"/>
          <w:lang w:val="ro-MD"/>
        </w:rPr>
        <w:t xml:space="preserve">. Solvabilitatea la nivel de grup a unui holding de asigurare sau a unui holding financiar mixt   </w:t>
      </w:r>
    </w:p>
    <w:p w14:paraId="53F63E70"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28C639B0"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Subsecțiunea 2.2</w:t>
      </w:r>
    </w:p>
    <w:p w14:paraId="579FD719" w14:textId="01D98E55" w:rsidR="00F95829" w:rsidRPr="000508B6" w:rsidRDefault="0065376D"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Supravegherea solvabilității </w:t>
      </w:r>
      <w:r w:rsidR="00F95829" w:rsidRPr="000508B6">
        <w:rPr>
          <w:rFonts w:ascii="Times New Roman" w:eastAsia="Times New Roman" w:hAnsi="Times New Roman" w:cs="Times New Roman"/>
          <w:b/>
          <w:lang w:val="ro-MD"/>
        </w:rPr>
        <w:t>la nivel de grup pentru grupurile cu managementul riscului centralizat</w:t>
      </w:r>
    </w:p>
    <w:p w14:paraId="2A0BC2D5" w14:textId="32753B06"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141</w:t>
      </w:r>
      <w:r w:rsidRPr="000508B6">
        <w:rPr>
          <w:rFonts w:ascii="Times New Roman" w:eastAsia="Times New Roman" w:hAnsi="Times New Roman" w:cs="Times New Roman"/>
          <w:lang w:val="ro-MD"/>
        </w:rPr>
        <w:t>. Condiții</w:t>
      </w:r>
      <w:r w:rsidR="0065376D" w:rsidRPr="000508B6">
        <w:rPr>
          <w:rFonts w:ascii="Times New Roman" w:eastAsia="Times New Roman" w:hAnsi="Times New Roman" w:cs="Times New Roman"/>
          <w:lang w:val="ro-MD"/>
        </w:rPr>
        <w:t xml:space="preserve">le filialelor </w:t>
      </w:r>
      <w:r w:rsidR="003037D9" w:rsidRPr="000508B6">
        <w:rPr>
          <w:rFonts w:ascii="Times New Roman" w:eastAsia="Times New Roman" w:hAnsi="Times New Roman" w:cs="Times New Roman"/>
          <w:lang w:val="ro-MD"/>
        </w:rPr>
        <w:t xml:space="preserve">unui asigurător sau </w:t>
      </w:r>
      <w:proofErr w:type="spellStart"/>
      <w:r w:rsidR="003037D9" w:rsidRPr="000508B6">
        <w:rPr>
          <w:rFonts w:ascii="Times New Roman" w:eastAsia="Times New Roman" w:hAnsi="Times New Roman" w:cs="Times New Roman"/>
          <w:lang w:val="ro-MD"/>
        </w:rPr>
        <w:t>reasigurător</w:t>
      </w:r>
      <w:proofErr w:type="spellEnd"/>
    </w:p>
    <w:p w14:paraId="203E3CAC" w14:textId="56661145"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142</w:t>
      </w:r>
      <w:r w:rsidRPr="000508B6">
        <w:rPr>
          <w:rFonts w:ascii="Times New Roman" w:eastAsia="Times New Roman" w:hAnsi="Times New Roman" w:cs="Times New Roman"/>
          <w:lang w:val="ro-MD"/>
        </w:rPr>
        <w:t xml:space="preserve">. </w:t>
      </w:r>
      <w:r w:rsidR="00D7546B" w:rsidRPr="000508B6">
        <w:rPr>
          <w:rFonts w:ascii="Times New Roman" w:eastAsia="Times New Roman" w:hAnsi="Times New Roman" w:cs="Times New Roman"/>
          <w:lang w:val="ro-MD"/>
        </w:rPr>
        <w:t xml:space="preserve">Determinarea SCR </w:t>
      </w:r>
      <w:proofErr w:type="spellStart"/>
      <w:r w:rsidR="00D7546B" w:rsidRPr="000508B6">
        <w:rPr>
          <w:rFonts w:ascii="Times New Roman" w:eastAsia="Times New Roman" w:hAnsi="Times New Roman" w:cs="Times New Roman"/>
          <w:lang w:val="ro-MD"/>
        </w:rPr>
        <w:t>şi</w:t>
      </w:r>
      <w:proofErr w:type="spellEnd"/>
      <w:r w:rsidR="00D7546B" w:rsidRPr="000508B6">
        <w:rPr>
          <w:rFonts w:ascii="Times New Roman" w:eastAsia="Times New Roman" w:hAnsi="Times New Roman" w:cs="Times New Roman"/>
          <w:lang w:val="ro-MD"/>
        </w:rPr>
        <w:t xml:space="preserve"> MCR a filialelor </w:t>
      </w:r>
      <w:r w:rsidR="003037D9" w:rsidRPr="000508B6">
        <w:rPr>
          <w:rFonts w:ascii="Times New Roman" w:eastAsia="Times New Roman" w:hAnsi="Times New Roman" w:cs="Times New Roman"/>
          <w:lang w:val="ro-MD"/>
        </w:rPr>
        <w:t xml:space="preserve">unui asigurător sau </w:t>
      </w:r>
      <w:proofErr w:type="spellStart"/>
      <w:r w:rsidR="003037D9" w:rsidRPr="000508B6">
        <w:rPr>
          <w:rFonts w:ascii="Times New Roman" w:eastAsia="Times New Roman" w:hAnsi="Times New Roman" w:cs="Times New Roman"/>
          <w:lang w:val="ro-MD"/>
        </w:rPr>
        <w:t>reasigurător</w:t>
      </w:r>
      <w:proofErr w:type="spellEnd"/>
    </w:p>
    <w:p w14:paraId="0EAA5D6A" w14:textId="5FD3ABC3"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143</w:t>
      </w:r>
      <w:r w:rsidRPr="000508B6">
        <w:rPr>
          <w:rFonts w:ascii="Times New Roman" w:eastAsia="Times New Roman" w:hAnsi="Times New Roman" w:cs="Times New Roman"/>
          <w:lang w:val="ro-MD"/>
        </w:rPr>
        <w:t>. Filialele unui holding de asigurare sau ale unui holding financiar mixt</w:t>
      </w:r>
    </w:p>
    <w:p w14:paraId="38CE7790"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63CD90CC" w14:textId="2BBF4900"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3-a</w:t>
      </w:r>
      <w:r w:rsidR="001175D3" w:rsidRPr="000508B6">
        <w:rPr>
          <w:rFonts w:ascii="Times New Roman" w:eastAsia="Times New Roman" w:hAnsi="Times New Roman" w:cs="Times New Roman"/>
          <w:b/>
          <w:lang w:val="ro-MD"/>
        </w:rPr>
        <w:t xml:space="preserve"> </w:t>
      </w:r>
    </w:p>
    <w:p w14:paraId="6038D8DE" w14:textId="31E45B6F" w:rsidR="00F95829" w:rsidRPr="000508B6" w:rsidRDefault="00F95829" w:rsidP="008B530F">
      <w:pPr>
        <w:spacing w:after="0" w:line="240" w:lineRule="auto"/>
        <w:ind w:firstLine="426"/>
        <w:jc w:val="center"/>
        <w:rPr>
          <w:rFonts w:ascii="Times New Roman" w:eastAsia="Times New Roman" w:hAnsi="Times New Roman" w:cs="Times New Roman"/>
          <w:b/>
          <w:lang w:val="ro-MD"/>
        </w:rPr>
      </w:pPr>
      <w:bookmarkStart w:id="17" w:name="_Hlk209620359"/>
      <w:r w:rsidRPr="000508B6">
        <w:rPr>
          <w:rFonts w:ascii="Times New Roman" w:eastAsia="Times New Roman" w:hAnsi="Times New Roman" w:cs="Times New Roman"/>
          <w:b/>
          <w:lang w:val="ro-MD"/>
        </w:rPr>
        <w:t xml:space="preserve">Supravegherea </w:t>
      </w:r>
      <w:bookmarkEnd w:id="17"/>
      <w:r w:rsidRPr="000508B6">
        <w:rPr>
          <w:rFonts w:ascii="Times New Roman" w:eastAsia="Times New Roman" w:hAnsi="Times New Roman" w:cs="Times New Roman"/>
          <w:b/>
          <w:lang w:val="ro-MD"/>
        </w:rPr>
        <w:t xml:space="preserve">concentrării riscurilor la nivel de grup, a tranzacțiilor </w:t>
      </w:r>
      <w:proofErr w:type="spellStart"/>
      <w:r w:rsidRPr="000508B6">
        <w:rPr>
          <w:rFonts w:ascii="Times New Roman" w:eastAsia="Times New Roman" w:hAnsi="Times New Roman" w:cs="Times New Roman"/>
          <w:b/>
          <w:lang w:val="ro-MD"/>
        </w:rPr>
        <w:t>intragrup</w:t>
      </w:r>
      <w:proofErr w:type="spellEnd"/>
      <w:r w:rsidRPr="000508B6">
        <w:rPr>
          <w:rFonts w:ascii="Times New Roman" w:eastAsia="Times New Roman" w:hAnsi="Times New Roman" w:cs="Times New Roman"/>
          <w:b/>
          <w:lang w:val="ro-MD"/>
        </w:rPr>
        <w:t xml:space="preserve"> și a sistemului de guvernanță</w:t>
      </w:r>
      <w:r w:rsidR="00480AB8" w:rsidRPr="000508B6">
        <w:rPr>
          <w:rFonts w:ascii="Times New Roman" w:eastAsia="Times New Roman" w:hAnsi="Times New Roman" w:cs="Times New Roman"/>
          <w:b/>
          <w:lang w:val="ro-MD"/>
        </w:rPr>
        <w:t xml:space="preserve">. Norme </w:t>
      </w:r>
      <w:proofErr w:type="spellStart"/>
      <w:r w:rsidR="00480AB8" w:rsidRPr="000508B6">
        <w:rPr>
          <w:rFonts w:ascii="Times New Roman" w:eastAsia="Times New Roman" w:hAnsi="Times New Roman" w:cs="Times New Roman"/>
          <w:b/>
          <w:lang w:val="ro-MD"/>
        </w:rPr>
        <w:t>macroprudențiale</w:t>
      </w:r>
      <w:proofErr w:type="spellEnd"/>
      <w:r w:rsidR="00480AB8" w:rsidRPr="000508B6">
        <w:rPr>
          <w:rFonts w:ascii="Times New Roman" w:eastAsia="Times New Roman" w:hAnsi="Times New Roman" w:cs="Times New Roman"/>
          <w:b/>
          <w:lang w:val="ro-MD"/>
        </w:rPr>
        <w:t xml:space="preserve"> la nivel de grup</w:t>
      </w:r>
    </w:p>
    <w:p w14:paraId="7FE4B907" w14:textId="0B6B511B"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144</w:t>
      </w:r>
      <w:r w:rsidRPr="000508B6">
        <w:rPr>
          <w:rFonts w:ascii="Times New Roman" w:eastAsia="Times New Roman" w:hAnsi="Times New Roman" w:cs="Times New Roman"/>
          <w:lang w:val="ro-MD"/>
        </w:rPr>
        <w:t>. Supravegherea concentrării riscurilor</w:t>
      </w:r>
    </w:p>
    <w:p w14:paraId="049B2F77" w14:textId="2F13264B"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145</w:t>
      </w:r>
      <w:r w:rsidRPr="000508B6">
        <w:rPr>
          <w:rFonts w:ascii="Times New Roman" w:eastAsia="Times New Roman" w:hAnsi="Times New Roman" w:cs="Times New Roman"/>
          <w:lang w:val="ro-MD"/>
        </w:rPr>
        <w:t xml:space="preserve">. Supravegherea tranzacțiilor </w:t>
      </w:r>
      <w:proofErr w:type="spellStart"/>
      <w:r w:rsidRPr="000508B6">
        <w:rPr>
          <w:rFonts w:ascii="Times New Roman" w:eastAsia="Times New Roman" w:hAnsi="Times New Roman" w:cs="Times New Roman"/>
          <w:lang w:val="ro-MD"/>
        </w:rPr>
        <w:t>intragrup</w:t>
      </w:r>
      <w:proofErr w:type="spellEnd"/>
    </w:p>
    <w:p w14:paraId="5078ADB0" w14:textId="0CB0C88A"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146</w:t>
      </w:r>
      <w:r w:rsidRPr="000508B6">
        <w:rPr>
          <w:rFonts w:ascii="Times New Roman" w:eastAsia="Times New Roman" w:hAnsi="Times New Roman" w:cs="Times New Roman"/>
          <w:lang w:val="ro-MD"/>
        </w:rPr>
        <w:t>. Supravegherea sistemului de guvernanță</w:t>
      </w:r>
    </w:p>
    <w:p w14:paraId="00837D4D" w14:textId="2B598D3C" w:rsidR="00480AB8" w:rsidRPr="000508B6" w:rsidRDefault="00480AB8"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BF3007" w:rsidRPr="000508B6">
        <w:rPr>
          <w:rFonts w:ascii="Times New Roman" w:eastAsia="Times New Roman" w:hAnsi="Times New Roman" w:cs="Times New Roman"/>
          <w:lang w:val="ro-MD"/>
        </w:rPr>
        <w:t>147.</w:t>
      </w:r>
      <w:r w:rsidRPr="000508B6">
        <w:rPr>
          <w:rFonts w:ascii="Times New Roman" w:eastAsia="Times New Roman" w:hAnsi="Times New Roman" w:cs="Times New Roman"/>
          <w:lang w:val="ro-MD"/>
        </w:rPr>
        <w:t xml:space="preserve"> </w:t>
      </w:r>
      <w:r w:rsidR="00971E13" w:rsidRPr="000508B6">
        <w:rPr>
          <w:rFonts w:ascii="Times New Roman" w:eastAsia="Times New Roman" w:hAnsi="Times New Roman" w:cs="Times New Roman"/>
          <w:lang w:val="ro-MD"/>
        </w:rPr>
        <w:t xml:space="preserve">Norme </w:t>
      </w:r>
      <w:proofErr w:type="spellStart"/>
      <w:r w:rsidR="00971E13" w:rsidRPr="000508B6">
        <w:rPr>
          <w:rFonts w:ascii="Times New Roman" w:eastAsia="Times New Roman" w:hAnsi="Times New Roman" w:cs="Times New Roman"/>
          <w:lang w:val="ro-MD"/>
        </w:rPr>
        <w:t>macroprudențiale</w:t>
      </w:r>
      <w:proofErr w:type="spellEnd"/>
      <w:r w:rsidR="00971E13" w:rsidRPr="000508B6">
        <w:rPr>
          <w:rFonts w:ascii="Times New Roman" w:eastAsia="Times New Roman" w:hAnsi="Times New Roman" w:cs="Times New Roman"/>
          <w:lang w:val="ro-MD"/>
        </w:rPr>
        <w:t xml:space="preserve"> la nivel de grup. </w:t>
      </w:r>
      <w:r w:rsidRPr="000508B6">
        <w:rPr>
          <w:rFonts w:ascii="Times New Roman" w:eastAsia="Times New Roman" w:hAnsi="Times New Roman" w:cs="Times New Roman"/>
          <w:lang w:val="ro-MD"/>
        </w:rPr>
        <w:t>Managementul riscului de lichiditate la nivel de grup</w:t>
      </w:r>
    </w:p>
    <w:p w14:paraId="40AC2163"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2689B4C0" w14:textId="78CBAC3F"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4-a</w:t>
      </w:r>
      <w:r w:rsidR="001175D3" w:rsidRPr="000508B6">
        <w:rPr>
          <w:rFonts w:ascii="Times New Roman" w:eastAsia="Times New Roman" w:hAnsi="Times New Roman" w:cs="Times New Roman"/>
          <w:b/>
          <w:lang w:val="ro-MD"/>
        </w:rPr>
        <w:t xml:space="preserve"> </w:t>
      </w:r>
    </w:p>
    <w:p w14:paraId="0BE7DECE" w14:textId="31FE2343"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Raportul public</w:t>
      </w:r>
      <w:r w:rsidR="001E724D" w:rsidRPr="000508B6">
        <w:rPr>
          <w:rFonts w:ascii="Times New Roman" w:hAnsi="Times New Roman" w:cs="Times New Roman"/>
          <w:lang w:val="ro-MD"/>
        </w:rPr>
        <w:t xml:space="preserve"> </w:t>
      </w:r>
      <w:r w:rsidR="001E724D" w:rsidRPr="000508B6">
        <w:rPr>
          <w:rFonts w:ascii="Times New Roman" w:eastAsia="Times New Roman" w:hAnsi="Times New Roman" w:cs="Times New Roman"/>
          <w:b/>
          <w:lang w:val="ro-MD"/>
        </w:rPr>
        <w:t xml:space="preserve">privind solvabilitatea </w:t>
      </w:r>
      <w:proofErr w:type="spellStart"/>
      <w:r w:rsidR="001E724D" w:rsidRPr="000508B6">
        <w:rPr>
          <w:rFonts w:ascii="Times New Roman" w:eastAsia="Times New Roman" w:hAnsi="Times New Roman" w:cs="Times New Roman"/>
          <w:b/>
          <w:lang w:val="ro-MD"/>
        </w:rPr>
        <w:t>şi</w:t>
      </w:r>
      <w:proofErr w:type="spellEnd"/>
      <w:r w:rsidR="001E724D" w:rsidRPr="000508B6">
        <w:rPr>
          <w:rFonts w:ascii="Times New Roman" w:eastAsia="Times New Roman" w:hAnsi="Times New Roman" w:cs="Times New Roman"/>
          <w:b/>
          <w:lang w:val="ro-MD"/>
        </w:rPr>
        <w:t xml:space="preserve"> </w:t>
      </w:r>
      <w:proofErr w:type="spellStart"/>
      <w:r w:rsidR="001E724D" w:rsidRPr="000508B6">
        <w:rPr>
          <w:rFonts w:ascii="Times New Roman" w:eastAsia="Times New Roman" w:hAnsi="Times New Roman" w:cs="Times New Roman"/>
          <w:b/>
          <w:lang w:val="ro-MD"/>
        </w:rPr>
        <w:t>situaţia</w:t>
      </w:r>
      <w:proofErr w:type="spellEnd"/>
      <w:r w:rsidR="001E724D" w:rsidRPr="000508B6">
        <w:rPr>
          <w:rFonts w:ascii="Times New Roman" w:eastAsia="Times New Roman" w:hAnsi="Times New Roman" w:cs="Times New Roman"/>
          <w:b/>
          <w:lang w:val="ro-MD"/>
        </w:rPr>
        <w:t xml:space="preserve"> financiară la nivel de grup</w:t>
      </w:r>
    </w:p>
    <w:p w14:paraId="595B2906" w14:textId="094AA813"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6C6E" w:rsidRPr="000508B6">
        <w:rPr>
          <w:rFonts w:ascii="Times New Roman" w:eastAsia="Times New Roman" w:hAnsi="Times New Roman" w:cs="Times New Roman"/>
          <w:lang w:val="ro-MD"/>
        </w:rPr>
        <w:t>148</w:t>
      </w:r>
      <w:r w:rsidRPr="000508B6">
        <w:rPr>
          <w:rFonts w:ascii="Times New Roman" w:eastAsia="Times New Roman" w:hAnsi="Times New Roman" w:cs="Times New Roman"/>
          <w:lang w:val="ro-MD"/>
        </w:rPr>
        <w:t>. Solvabilitatea la nivel de grup</w:t>
      </w:r>
    </w:p>
    <w:p w14:paraId="1941C11F" w14:textId="101E9F05"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6C6E" w:rsidRPr="000508B6">
        <w:rPr>
          <w:rFonts w:ascii="Times New Roman" w:eastAsia="Times New Roman" w:hAnsi="Times New Roman" w:cs="Times New Roman"/>
          <w:lang w:val="ro-MD"/>
        </w:rPr>
        <w:t>149</w:t>
      </w:r>
      <w:r w:rsidRPr="000508B6">
        <w:rPr>
          <w:rFonts w:ascii="Times New Roman" w:eastAsia="Times New Roman" w:hAnsi="Times New Roman" w:cs="Times New Roman"/>
          <w:lang w:val="ro-MD"/>
        </w:rPr>
        <w:t>. Structura grupului</w:t>
      </w:r>
    </w:p>
    <w:p w14:paraId="3F9CD3D5" w14:textId="55D06682" w:rsidR="008F075F" w:rsidRPr="000508B6" w:rsidRDefault="008F075F"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Articolul </w:t>
      </w:r>
      <w:r w:rsidR="00426C6E" w:rsidRPr="000508B6">
        <w:rPr>
          <w:rFonts w:ascii="Times New Roman" w:eastAsia="Times New Roman" w:hAnsi="Times New Roman" w:cs="Times New Roman"/>
          <w:lang w:val="ro-MD"/>
        </w:rPr>
        <w:t>150.</w:t>
      </w:r>
      <w:r w:rsidRPr="000508B6">
        <w:rPr>
          <w:rFonts w:ascii="Times New Roman" w:eastAsia="Times New Roman" w:hAnsi="Times New Roman" w:cs="Times New Roman"/>
          <w:lang w:val="ro-MD"/>
        </w:rPr>
        <w:t xml:space="preserve"> Raportul periodic de supraveghere la nivel de grup</w:t>
      </w:r>
    </w:p>
    <w:p w14:paraId="2924D608" w14:textId="18D6064B" w:rsidR="008F075F" w:rsidRPr="000508B6" w:rsidRDefault="008F075F"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6C6E" w:rsidRPr="000508B6">
        <w:rPr>
          <w:rFonts w:ascii="Times New Roman" w:eastAsia="Times New Roman" w:hAnsi="Times New Roman" w:cs="Times New Roman"/>
          <w:lang w:val="ro-MD"/>
        </w:rPr>
        <w:t>151.</w:t>
      </w:r>
      <w:r w:rsidRPr="000508B6">
        <w:rPr>
          <w:rFonts w:ascii="Times New Roman" w:eastAsia="Times New Roman" w:hAnsi="Times New Roman" w:cs="Times New Roman"/>
          <w:lang w:val="ro-MD"/>
        </w:rPr>
        <w:t xml:space="preserve"> </w:t>
      </w:r>
      <w:r w:rsidR="005C05A4"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Raportul privind solvabilitatea și situația financiară: cerința de audit   </w:t>
      </w:r>
    </w:p>
    <w:p w14:paraId="0A9A71FF" w14:textId="77777777" w:rsidR="00F95829" w:rsidRPr="000508B6" w:rsidRDefault="00F95829" w:rsidP="008B530F">
      <w:pPr>
        <w:spacing w:after="0" w:line="240" w:lineRule="auto"/>
        <w:ind w:firstLine="426"/>
        <w:rPr>
          <w:rFonts w:ascii="Times New Roman" w:eastAsia="Times New Roman" w:hAnsi="Times New Roman" w:cs="Times New Roman"/>
          <w:lang w:val="ro-MD"/>
        </w:rPr>
      </w:pPr>
    </w:p>
    <w:p w14:paraId="6213EBCC" w14:textId="73F9CF4E"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5-a</w:t>
      </w:r>
      <w:r w:rsidR="001175D3" w:rsidRPr="000508B6">
        <w:rPr>
          <w:rFonts w:ascii="Times New Roman" w:eastAsia="Times New Roman" w:hAnsi="Times New Roman" w:cs="Times New Roman"/>
          <w:b/>
          <w:lang w:val="ro-MD"/>
        </w:rPr>
        <w:t xml:space="preserve"> </w:t>
      </w:r>
    </w:p>
    <w:p w14:paraId="3149D8BD" w14:textId="77777777" w:rsidR="00F95829" w:rsidRPr="000508B6" w:rsidRDefault="00F95829" w:rsidP="008B530F">
      <w:pPr>
        <w:spacing w:after="0" w:line="240" w:lineRule="auto"/>
        <w:ind w:firstLine="426"/>
        <w:jc w:val="center"/>
        <w:rPr>
          <w:rFonts w:ascii="Times New Roman" w:hAnsi="Times New Roman" w:cs="Times New Roman"/>
          <w:b/>
          <w:lang w:val="ro-MD"/>
        </w:rPr>
      </w:pPr>
      <w:proofErr w:type="spellStart"/>
      <w:r w:rsidRPr="000508B6">
        <w:rPr>
          <w:rFonts w:ascii="Times New Roman" w:hAnsi="Times New Roman" w:cs="Times New Roman"/>
          <w:b/>
          <w:lang w:val="ro-MD"/>
        </w:rPr>
        <w:t>Societăţile</w:t>
      </w:r>
      <w:proofErr w:type="spellEnd"/>
      <w:r w:rsidRPr="000508B6">
        <w:rPr>
          <w:rFonts w:ascii="Times New Roman" w:hAnsi="Times New Roman" w:cs="Times New Roman"/>
          <w:b/>
          <w:lang w:val="ro-MD"/>
        </w:rPr>
        <w:t xml:space="preserve">-mamă cu sediul central în state </w:t>
      </w:r>
      <w:proofErr w:type="spellStart"/>
      <w:r w:rsidRPr="000508B6">
        <w:rPr>
          <w:rFonts w:ascii="Times New Roman" w:hAnsi="Times New Roman" w:cs="Times New Roman"/>
          <w:b/>
          <w:lang w:val="ro-MD"/>
        </w:rPr>
        <w:t>terţe</w:t>
      </w:r>
      <w:proofErr w:type="spellEnd"/>
    </w:p>
    <w:p w14:paraId="790C8626" w14:textId="65BC23D1" w:rsidR="00F95829" w:rsidRPr="000508B6" w:rsidRDefault="00F95829" w:rsidP="008B530F">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152</w:t>
      </w:r>
      <w:r w:rsidRPr="000508B6">
        <w:rPr>
          <w:rFonts w:ascii="Times New Roman" w:eastAsia="Times New Roman" w:hAnsi="Times New Roman" w:cs="Times New Roman"/>
          <w:lang w:val="ro-MD"/>
        </w:rPr>
        <w:t>. Lipsa echivalenței regimului de supraveghere</w:t>
      </w:r>
    </w:p>
    <w:p w14:paraId="7083688C"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p>
    <w:p w14:paraId="6C48CC7A" w14:textId="2AB5F30A"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 xml:space="preserve">CAPITOLUL </w:t>
      </w:r>
      <w:r w:rsidR="004209AB" w:rsidRPr="000508B6">
        <w:rPr>
          <w:rFonts w:ascii="Times New Roman" w:eastAsia="Times New Roman" w:hAnsi="Times New Roman" w:cs="Times New Roman"/>
          <w:b/>
          <w:bCs/>
          <w:lang w:val="ro-MD"/>
        </w:rPr>
        <w:t>VIII</w:t>
      </w:r>
      <w:r w:rsidRPr="000508B6">
        <w:rPr>
          <w:rFonts w:ascii="Times New Roman" w:eastAsia="Times New Roman" w:hAnsi="Times New Roman" w:cs="Times New Roman"/>
          <w:b/>
          <w:bCs/>
          <w:lang w:val="ro-MD"/>
        </w:rPr>
        <w:t xml:space="preserve"> </w:t>
      </w:r>
    </w:p>
    <w:p w14:paraId="3FD94F65" w14:textId="6FECFBEC" w:rsidR="007825D3" w:rsidRPr="000508B6" w:rsidRDefault="002E428F" w:rsidP="00B83ADC">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ASIGURĂTORII ȘI REASIGURĂTORII AFLAȚI</w:t>
      </w:r>
      <w:r w:rsidR="007825D3" w:rsidRPr="000508B6">
        <w:rPr>
          <w:rFonts w:ascii="Times New Roman" w:eastAsia="Times New Roman" w:hAnsi="Times New Roman" w:cs="Times New Roman"/>
          <w:b/>
          <w:bCs/>
          <w:lang w:val="ro-MD"/>
        </w:rPr>
        <w:t xml:space="preserve"> ÎN DIFICULTATE</w:t>
      </w:r>
      <w:r w:rsidR="00934BAF" w:rsidRPr="000508B6">
        <w:rPr>
          <w:rFonts w:ascii="Times New Roman" w:eastAsia="Times New Roman" w:hAnsi="Times New Roman" w:cs="Times New Roman"/>
          <w:b/>
          <w:bCs/>
          <w:lang w:val="ro-MD"/>
        </w:rPr>
        <w:t xml:space="preserve">. FUZIUNEA ȘI </w:t>
      </w:r>
      <w:r w:rsidR="008440C9" w:rsidRPr="000508B6">
        <w:rPr>
          <w:rFonts w:ascii="Times New Roman" w:eastAsia="Times New Roman" w:hAnsi="Times New Roman" w:cs="Times New Roman"/>
          <w:b/>
          <w:bCs/>
          <w:lang w:val="ro-MD"/>
        </w:rPr>
        <w:t>DEZMEMBRAREA</w:t>
      </w:r>
      <w:r w:rsidRPr="000508B6">
        <w:rPr>
          <w:rFonts w:ascii="Times New Roman" w:eastAsia="Times New Roman" w:hAnsi="Times New Roman" w:cs="Times New Roman"/>
          <w:b/>
          <w:bCs/>
          <w:lang w:val="ro-MD"/>
        </w:rPr>
        <w:t>.</w:t>
      </w:r>
      <w:r w:rsidR="00934BAF" w:rsidRPr="000508B6">
        <w:rPr>
          <w:rFonts w:ascii="Times New Roman" w:eastAsia="Times New Roman" w:hAnsi="Times New Roman" w:cs="Times New Roman"/>
          <w:b/>
          <w:bCs/>
          <w:lang w:val="ro-MD"/>
        </w:rPr>
        <w:t xml:space="preserve"> LICHIDAREA</w:t>
      </w:r>
      <w:r w:rsidR="005F0408" w:rsidRPr="000508B6">
        <w:rPr>
          <w:rFonts w:ascii="Times New Roman" w:eastAsia="Times New Roman" w:hAnsi="Times New Roman" w:cs="Times New Roman"/>
          <w:b/>
          <w:bCs/>
          <w:lang w:val="ro-MD"/>
        </w:rPr>
        <w:t xml:space="preserve"> </w:t>
      </w:r>
      <w:r w:rsidR="004125E8" w:rsidRPr="000508B6">
        <w:rPr>
          <w:rFonts w:ascii="Times New Roman" w:eastAsia="Times New Roman" w:hAnsi="Times New Roman" w:cs="Times New Roman"/>
          <w:b/>
          <w:bCs/>
          <w:lang w:val="ro-MD"/>
        </w:rPr>
        <w:t xml:space="preserve">ASIGURĂTORULUI </w:t>
      </w:r>
    </w:p>
    <w:p w14:paraId="0EC79EE6" w14:textId="77777777" w:rsidR="007825D3" w:rsidRPr="000508B6" w:rsidRDefault="007825D3" w:rsidP="007825D3">
      <w:pPr>
        <w:spacing w:after="0" w:line="240" w:lineRule="auto"/>
        <w:ind w:firstLine="426"/>
        <w:jc w:val="both"/>
        <w:rPr>
          <w:rFonts w:ascii="Times New Roman" w:eastAsia="Times New Roman" w:hAnsi="Times New Roman" w:cs="Times New Roman"/>
          <w:b/>
          <w:bCs/>
          <w:lang w:val="ro-MD"/>
        </w:rPr>
      </w:pPr>
    </w:p>
    <w:p w14:paraId="1B27A2CA" w14:textId="77777777"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proofErr w:type="spellStart"/>
      <w:r w:rsidRPr="000508B6">
        <w:rPr>
          <w:rFonts w:ascii="Times New Roman" w:eastAsia="Times New Roman" w:hAnsi="Times New Roman" w:cs="Times New Roman"/>
          <w:b/>
          <w:bCs/>
          <w:lang w:val="ro-MD"/>
        </w:rPr>
        <w:t>Secţiunea</w:t>
      </w:r>
      <w:proofErr w:type="spellEnd"/>
      <w:r w:rsidRPr="000508B6">
        <w:rPr>
          <w:rFonts w:ascii="Times New Roman" w:eastAsia="Times New Roman" w:hAnsi="Times New Roman" w:cs="Times New Roman"/>
          <w:b/>
          <w:bCs/>
          <w:lang w:val="ro-MD"/>
        </w:rPr>
        <w:t xml:space="preserve"> 1</w:t>
      </w:r>
    </w:p>
    <w:p w14:paraId="5A9CF2ED" w14:textId="77777777"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Dispoziții generale</w:t>
      </w:r>
    </w:p>
    <w:p w14:paraId="52205C3E" w14:textId="181C0347"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153</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Domeniul de aplicare și noțiuni</w:t>
      </w:r>
    </w:p>
    <w:p w14:paraId="3E7F90D0" w14:textId="4204A67F"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154</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bookmarkStart w:id="18" w:name="_Hlk221887995"/>
      <w:r w:rsidRPr="000508B6">
        <w:rPr>
          <w:rFonts w:ascii="Times New Roman" w:eastAsia="Times New Roman" w:hAnsi="Times New Roman" w:cs="Times New Roman"/>
          <w:lang w:val="ro-MD"/>
        </w:rPr>
        <w:t xml:space="preserve">Identificarea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notificarea deteriorării </w:t>
      </w:r>
      <w:proofErr w:type="spellStart"/>
      <w:r w:rsidRPr="000508B6">
        <w:rPr>
          <w:rFonts w:ascii="Times New Roman" w:eastAsia="Times New Roman" w:hAnsi="Times New Roman" w:cs="Times New Roman"/>
          <w:lang w:val="ro-MD"/>
        </w:rPr>
        <w:t>situaţiei</w:t>
      </w:r>
      <w:proofErr w:type="spellEnd"/>
      <w:r w:rsidRPr="000508B6">
        <w:rPr>
          <w:rFonts w:ascii="Times New Roman" w:eastAsia="Times New Roman" w:hAnsi="Times New Roman" w:cs="Times New Roman"/>
          <w:lang w:val="ro-MD"/>
        </w:rPr>
        <w:t xml:space="preserve"> financiare</w:t>
      </w:r>
    </w:p>
    <w:bookmarkEnd w:id="18"/>
    <w:p w14:paraId="3EE350AE" w14:textId="51DF7EC8"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155</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Deteriorarea solvabilității </w:t>
      </w:r>
    </w:p>
    <w:p w14:paraId="319B0A3D" w14:textId="20290880"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156</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bookmarkStart w:id="19" w:name="_Hlk221888010"/>
      <w:r w:rsidRPr="000508B6">
        <w:rPr>
          <w:rFonts w:ascii="Times New Roman" w:eastAsia="Times New Roman" w:hAnsi="Times New Roman" w:cs="Times New Roman"/>
          <w:lang w:val="ro-MD"/>
        </w:rPr>
        <w:t>Nerespectarea SCR</w:t>
      </w:r>
    </w:p>
    <w:p w14:paraId="23E496A3" w14:textId="35C1FCAE"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157</w:t>
      </w:r>
      <w:r w:rsidR="005C05A4" w:rsidRPr="000508B6">
        <w:rPr>
          <w:rFonts w:ascii="Times New Roman" w:eastAsia="Times New Roman" w:hAnsi="Times New Roman" w:cs="Times New Roman"/>
          <w:lang w:val="ro-MD"/>
        </w:rPr>
        <w:t>.</w:t>
      </w:r>
      <w:r w:rsidR="004209A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 Nerespectarea MCR</w:t>
      </w:r>
    </w:p>
    <w:p w14:paraId="1373A1D7" w14:textId="2FDE37D8"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158</w:t>
      </w:r>
      <w:r w:rsidR="00612A67"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Competențe de supraveghere în cazul deteriorării condițiilor financiare</w:t>
      </w:r>
    </w:p>
    <w:p w14:paraId="5614788A" w14:textId="5C354307"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159</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Planul de redresare și planul de finanțare</w:t>
      </w:r>
    </w:p>
    <w:bookmarkEnd w:id="19"/>
    <w:p w14:paraId="6A613241" w14:textId="77777777" w:rsidR="007825D3" w:rsidRPr="000508B6" w:rsidRDefault="007825D3" w:rsidP="007825D3">
      <w:pPr>
        <w:spacing w:after="0" w:line="240" w:lineRule="auto"/>
        <w:ind w:firstLine="426"/>
        <w:jc w:val="both"/>
        <w:rPr>
          <w:rFonts w:ascii="Times New Roman" w:eastAsia="Times New Roman" w:hAnsi="Times New Roman" w:cs="Times New Roman"/>
          <w:lang w:val="ro-MD"/>
        </w:rPr>
      </w:pPr>
    </w:p>
    <w:p w14:paraId="2DD1C593" w14:textId="025949AD"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Secțiunea – 2</w:t>
      </w:r>
      <w:r w:rsidR="005C05A4" w:rsidRPr="000508B6">
        <w:rPr>
          <w:rFonts w:ascii="Times New Roman" w:eastAsia="Times New Roman" w:hAnsi="Times New Roman" w:cs="Times New Roman"/>
          <w:b/>
          <w:bCs/>
          <w:lang w:val="ro-MD"/>
        </w:rPr>
        <w:t>-</w:t>
      </w:r>
      <w:r w:rsidRPr="000508B6">
        <w:rPr>
          <w:rFonts w:ascii="Times New Roman" w:eastAsia="Times New Roman" w:hAnsi="Times New Roman" w:cs="Times New Roman"/>
          <w:b/>
          <w:bCs/>
          <w:lang w:val="ro-MD"/>
        </w:rPr>
        <w:t>a</w:t>
      </w:r>
    </w:p>
    <w:p w14:paraId="639569B3" w14:textId="0D8D5BEA"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 xml:space="preserve">Măsuri de </w:t>
      </w:r>
      <w:r w:rsidR="00D071B5" w:rsidRPr="000508B6">
        <w:rPr>
          <w:rFonts w:ascii="Times New Roman" w:eastAsia="Times New Roman" w:hAnsi="Times New Roman" w:cs="Times New Roman"/>
          <w:b/>
          <w:bCs/>
          <w:lang w:val="ro-MD"/>
        </w:rPr>
        <w:t>reorganizare</w:t>
      </w:r>
    </w:p>
    <w:p w14:paraId="7604D4EF" w14:textId="77777777" w:rsidR="007825D3" w:rsidRPr="000508B6" w:rsidRDefault="007825D3" w:rsidP="007825D3">
      <w:pPr>
        <w:spacing w:after="0" w:line="240" w:lineRule="auto"/>
        <w:ind w:firstLine="426"/>
        <w:jc w:val="both"/>
        <w:rPr>
          <w:rFonts w:ascii="Times New Roman" w:eastAsia="Times New Roman" w:hAnsi="Times New Roman" w:cs="Times New Roman"/>
          <w:lang w:val="ro-MD"/>
        </w:rPr>
      </w:pPr>
    </w:p>
    <w:p w14:paraId="3269DE05" w14:textId="7A663183"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160</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Adoptarea măsurilor de </w:t>
      </w:r>
      <w:r w:rsidR="00D071B5" w:rsidRPr="000508B6">
        <w:rPr>
          <w:rFonts w:ascii="Times New Roman" w:eastAsia="Times New Roman" w:hAnsi="Times New Roman" w:cs="Times New Roman"/>
          <w:lang w:val="ro-MD"/>
        </w:rPr>
        <w:t xml:space="preserve">reorganizare </w:t>
      </w:r>
    </w:p>
    <w:p w14:paraId="51707D1F" w14:textId="5C518085"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161</w:t>
      </w:r>
      <w:r w:rsidR="005C05A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Publicarea deciziilor privind măsurile de </w:t>
      </w:r>
      <w:r w:rsidR="00D071B5" w:rsidRPr="000508B6">
        <w:rPr>
          <w:rFonts w:ascii="Times New Roman" w:eastAsia="Times New Roman" w:hAnsi="Times New Roman" w:cs="Times New Roman"/>
          <w:lang w:val="ro-MD"/>
        </w:rPr>
        <w:t>reorganizare</w:t>
      </w:r>
      <w:r w:rsidR="00E2485F" w:rsidRPr="000508B6">
        <w:rPr>
          <w:rFonts w:ascii="Times New Roman" w:eastAsia="Times New Roman" w:hAnsi="Times New Roman" w:cs="Times New Roman"/>
          <w:lang w:val="ro-MD"/>
        </w:rPr>
        <w:t xml:space="preserve">. Informarea creditorilor cunoscuți  </w:t>
      </w:r>
    </w:p>
    <w:p w14:paraId="637CDEF5" w14:textId="046CD252"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16</w:t>
      </w:r>
      <w:r w:rsidR="00423603"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Efectele </w:t>
      </w:r>
      <w:r w:rsidR="00A26454" w:rsidRPr="000508B6">
        <w:rPr>
          <w:rFonts w:ascii="Times New Roman" w:eastAsia="Times New Roman" w:hAnsi="Times New Roman" w:cs="Times New Roman"/>
          <w:lang w:val="ro-MD"/>
        </w:rPr>
        <w:t>asupra unor contracte sau drepturi. Acte prejudiciabile</w:t>
      </w:r>
    </w:p>
    <w:p w14:paraId="6BF7DBB1" w14:textId="5A049466" w:rsidR="00423603" w:rsidRPr="000508B6" w:rsidRDefault="00423603" w:rsidP="008B1683">
      <w:pPr>
        <w:spacing w:after="0" w:line="240" w:lineRule="auto"/>
        <w:ind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163. Efectele procedurii</w:t>
      </w:r>
      <w:r w:rsidR="00A26454" w:rsidRPr="000508B6">
        <w:rPr>
          <w:rFonts w:ascii="Times New Roman" w:eastAsia="Times New Roman" w:hAnsi="Times New Roman" w:cs="Times New Roman"/>
          <w:lang w:val="ro-MD"/>
        </w:rPr>
        <w:t xml:space="preserve">: rezerva de proprietate, compensarea, piețele reglementate </w:t>
      </w:r>
    </w:p>
    <w:p w14:paraId="16D4A9B4" w14:textId="77777777" w:rsidR="00423603" w:rsidRPr="000508B6" w:rsidRDefault="00423603" w:rsidP="007825D3">
      <w:pPr>
        <w:spacing w:after="0" w:line="240" w:lineRule="auto"/>
        <w:ind w:firstLine="426"/>
        <w:jc w:val="both"/>
        <w:rPr>
          <w:rFonts w:ascii="Times New Roman" w:eastAsia="Times New Roman" w:hAnsi="Times New Roman" w:cs="Times New Roman"/>
          <w:lang w:val="ro-MD"/>
        </w:rPr>
      </w:pPr>
    </w:p>
    <w:p w14:paraId="5001DB5F" w14:textId="77777777"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proofErr w:type="spellStart"/>
      <w:r w:rsidRPr="000508B6">
        <w:rPr>
          <w:rFonts w:ascii="Times New Roman" w:eastAsia="Times New Roman" w:hAnsi="Times New Roman" w:cs="Times New Roman"/>
          <w:b/>
          <w:bCs/>
          <w:lang w:val="ro-MD"/>
        </w:rPr>
        <w:t>Secţiunea</w:t>
      </w:r>
      <w:proofErr w:type="spellEnd"/>
      <w:r w:rsidRPr="000508B6">
        <w:rPr>
          <w:rFonts w:ascii="Times New Roman" w:eastAsia="Times New Roman" w:hAnsi="Times New Roman" w:cs="Times New Roman"/>
          <w:b/>
          <w:bCs/>
          <w:lang w:val="ro-MD"/>
        </w:rPr>
        <w:t xml:space="preserve"> a 3-a</w:t>
      </w:r>
    </w:p>
    <w:p w14:paraId="72499EE7" w14:textId="755DC31D"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 xml:space="preserve">Retragerea licenței </w:t>
      </w:r>
      <w:bookmarkStart w:id="20" w:name="_Hlk221633563"/>
      <w:r w:rsidR="004125E8" w:rsidRPr="000508B6">
        <w:rPr>
          <w:rFonts w:ascii="Times New Roman" w:eastAsia="Times New Roman" w:hAnsi="Times New Roman" w:cs="Times New Roman"/>
          <w:b/>
          <w:bCs/>
          <w:lang w:val="ro-MD"/>
        </w:rPr>
        <w:t xml:space="preserve">asigurătorului sau </w:t>
      </w:r>
      <w:proofErr w:type="spellStart"/>
      <w:r w:rsidR="004125E8" w:rsidRPr="000508B6">
        <w:rPr>
          <w:rFonts w:ascii="Times New Roman" w:eastAsia="Times New Roman" w:hAnsi="Times New Roman" w:cs="Times New Roman"/>
          <w:b/>
          <w:bCs/>
          <w:lang w:val="ro-MD"/>
        </w:rPr>
        <w:t>reasigurătorului</w:t>
      </w:r>
      <w:proofErr w:type="spellEnd"/>
    </w:p>
    <w:bookmarkEnd w:id="20"/>
    <w:p w14:paraId="0D620A7E" w14:textId="291322ED"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164</w:t>
      </w:r>
      <w:r w:rsidRPr="000508B6">
        <w:rPr>
          <w:rFonts w:ascii="Times New Roman" w:eastAsia="Times New Roman" w:hAnsi="Times New Roman" w:cs="Times New Roman"/>
          <w:lang w:val="ro-MD"/>
        </w:rPr>
        <w:t xml:space="preserve">. Retragerea licenței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p>
    <w:p w14:paraId="05393FF2" w14:textId="708D8CD4"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4209AB" w:rsidRPr="000508B6">
        <w:rPr>
          <w:rFonts w:ascii="Times New Roman" w:eastAsia="Times New Roman" w:hAnsi="Times New Roman" w:cs="Times New Roman"/>
          <w:lang w:val="ro-MD"/>
        </w:rPr>
        <w:t>165</w:t>
      </w:r>
      <w:r w:rsidRPr="000508B6">
        <w:rPr>
          <w:rFonts w:ascii="Times New Roman" w:eastAsia="Times New Roman" w:hAnsi="Times New Roman" w:cs="Times New Roman"/>
          <w:lang w:val="ro-MD"/>
        </w:rPr>
        <w:t>. Administratorul interimar</w:t>
      </w:r>
    </w:p>
    <w:p w14:paraId="15883057" w14:textId="77777777" w:rsidR="00A82370" w:rsidRPr="000508B6" w:rsidRDefault="00A82370" w:rsidP="007825D3">
      <w:pPr>
        <w:spacing w:after="0" w:line="240" w:lineRule="auto"/>
        <w:ind w:firstLine="426"/>
        <w:jc w:val="both"/>
        <w:rPr>
          <w:rFonts w:ascii="Times New Roman" w:eastAsia="Times New Roman" w:hAnsi="Times New Roman" w:cs="Times New Roman"/>
          <w:lang w:val="ro-MD"/>
        </w:rPr>
      </w:pPr>
    </w:p>
    <w:p w14:paraId="1E332971" w14:textId="66683442" w:rsidR="007825D3" w:rsidRPr="000508B6" w:rsidRDefault="007825D3" w:rsidP="00B83ADC">
      <w:pPr>
        <w:spacing w:after="0" w:line="240" w:lineRule="auto"/>
        <w:ind w:firstLine="426"/>
        <w:jc w:val="center"/>
        <w:rPr>
          <w:rFonts w:ascii="Times New Roman" w:eastAsia="Times New Roman" w:hAnsi="Times New Roman" w:cs="Times New Roman"/>
          <w:b/>
          <w:bCs/>
          <w:lang w:val="ro-MD"/>
        </w:rPr>
      </w:pPr>
      <w:proofErr w:type="spellStart"/>
      <w:r w:rsidRPr="000508B6">
        <w:rPr>
          <w:rFonts w:ascii="Times New Roman" w:eastAsia="Times New Roman" w:hAnsi="Times New Roman" w:cs="Times New Roman"/>
          <w:b/>
          <w:bCs/>
          <w:lang w:val="ro-MD"/>
        </w:rPr>
        <w:t>Secţiunea</w:t>
      </w:r>
      <w:proofErr w:type="spellEnd"/>
      <w:r w:rsidRPr="000508B6">
        <w:rPr>
          <w:rFonts w:ascii="Times New Roman" w:eastAsia="Times New Roman" w:hAnsi="Times New Roman" w:cs="Times New Roman"/>
          <w:b/>
          <w:bCs/>
          <w:lang w:val="ro-MD"/>
        </w:rPr>
        <w:t xml:space="preserve"> a </w:t>
      </w:r>
      <w:r w:rsidR="001C2A8D" w:rsidRPr="000508B6">
        <w:rPr>
          <w:rFonts w:ascii="Times New Roman" w:eastAsia="Times New Roman" w:hAnsi="Times New Roman" w:cs="Times New Roman"/>
          <w:b/>
          <w:bCs/>
          <w:lang w:val="ro-MD"/>
        </w:rPr>
        <w:t>4</w:t>
      </w:r>
      <w:r w:rsidRPr="000508B6">
        <w:rPr>
          <w:rFonts w:ascii="Times New Roman" w:eastAsia="Times New Roman" w:hAnsi="Times New Roman" w:cs="Times New Roman"/>
          <w:b/>
          <w:bCs/>
          <w:lang w:val="ro-MD"/>
        </w:rPr>
        <w:t>-a</w:t>
      </w:r>
    </w:p>
    <w:p w14:paraId="2BC9A760" w14:textId="182964D2" w:rsidR="007825D3" w:rsidRPr="000508B6" w:rsidRDefault="00EE43EB" w:rsidP="00B83ADC">
      <w:pPr>
        <w:spacing w:after="0" w:line="240" w:lineRule="auto"/>
        <w:ind w:firstLine="426"/>
        <w:jc w:val="center"/>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 xml:space="preserve">Fuziunea și </w:t>
      </w:r>
      <w:r w:rsidR="008440C9" w:rsidRPr="000508B6">
        <w:rPr>
          <w:rFonts w:ascii="Times New Roman" w:eastAsia="Times New Roman" w:hAnsi="Times New Roman" w:cs="Times New Roman"/>
          <w:b/>
          <w:bCs/>
          <w:lang w:val="ro-MD"/>
        </w:rPr>
        <w:t xml:space="preserve">dezmembrarea </w:t>
      </w:r>
    </w:p>
    <w:p w14:paraId="7226CF23" w14:textId="77777777" w:rsidR="007825D3" w:rsidRPr="000508B6" w:rsidRDefault="007825D3" w:rsidP="00DB1129">
      <w:pPr>
        <w:spacing w:after="0" w:line="240" w:lineRule="auto"/>
        <w:jc w:val="both"/>
        <w:rPr>
          <w:rFonts w:ascii="Times New Roman" w:eastAsia="Times New Roman" w:hAnsi="Times New Roman" w:cs="Times New Roman"/>
          <w:b/>
          <w:bCs/>
          <w:lang w:val="ro-MD"/>
        </w:rPr>
      </w:pPr>
    </w:p>
    <w:p w14:paraId="55E55392" w14:textId="070D8816"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5C0A56" w:rsidRPr="000508B6">
        <w:rPr>
          <w:rFonts w:ascii="Times New Roman" w:eastAsia="Times New Roman" w:hAnsi="Times New Roman" w:cs="Times New Roman"/>
          <w:lang w:val="ro-MD"/>
        </w:rPr>
        <w:t>166</w:t>
      </w:r>
      <w:r w:rsidR="004209AB" w:rsidRPr="000508B6">
        <w:rPr>
          <w:rFonts w:ascii="Times New Roman" w:eastAsia="Times New Roman" w:hAnsi="Times New Roman" w:cs="Times New Roman"/>
          <w:lang w:val="ro-MD"/>
        </w:rPr>
        <w:t xml:space="preserve">. </w:t>
      </w:r>
      <w:r w:rsidR="00853F42" w:rsidRPr="000508B6">
        <w:rPr>
          <w:rFonts w:ascii="Times New Roman" w:eastAsia="Times New Roman" w:hAnsi="Times New Roman" w:cs="Times New Roman"/>
          <w:lang w:val="ro-MD"/>
        </w:rPr>
        <w:t xml:space="preserve">Fuziunea și </w:t>
      </w:r>
      <w:r w:rsidR="008440C9" w:rsidRPr="000508B6">
        <w:rPr>
          <w:rFonts w:ascii="Times New Roman" w:eastAsia="Times New Roman" w:hAnsi="Times New Roman" w:cs="Times New Roman"/>
          <w:lang w:val="ro-MD"/>
        </w:rPr>
        <w:t>dezmembrarea</w:t>
      </w:r>
      <w:r w:rsidR="008661BD" w:rsidRPr="000508B6">
        <w:rPr>
          <w:rFonts w:ascii="Times New Roman" w:eastAsia="Times New Roman" w:hAnsi="Times New Roman" w:cs="Times New Roman"/>
          <w:lang w:val="ro-MD"/>
        </w:rPr>
        <w:t xml:space="preserve"> </w:t>
      </w:r>
      <w:r w:rsidR="00853F42" w:rsidRPr="000508B6">
        <w:rPr>
          <w:rFonts w:ascii="Times New Roman" w:eastAsia="Times New Roman" w:hAnsi="Times New Roman" w:cs="Times New Roman"/>
          <w:lang w:val="ro-MD"/>
        </w:rPr>
        <w:t xml:space="preserve">asigurătorului sau </w:t>
      </w:r>
      <w:proofErr w:type="spellStart"/>
      <w:r w:rsidR="00853F42" w:rsidRPr="000508B6">
        <w:rPr>
          <w:rFonts w:ascii="Times New Roman" w:eastAsia="Times New Roman" w:hAnsi="Times New Roman" w:cs="Times New Roman"/>
          <w:lang w:val="ro-MD"/>
        </w:rPr>
        <w:t>reasigurătorului</w:t>
      </w:r>
      <w:proofErr w:type="spellEnd"/>
    </w:p>
    <w:p w14:paraId="03F9EDBB" w14:textId="77777777" w:rsidR="00C106A5" w:rsidRPr="000508B6" w:rsidRDefault="00C106A5" w:rsidP="00C106A5">
      <w:pPr>
        <w:spacing w:after="0" w:line="240" w:lineRule="auto"/>
        <w:ind w:firstLine="426"/>
        <w:jc w:val="center"/>
        <w:rPr>
          <w:rFonts w:ascii="Times New Roman" w:eastAsia="Times New Roman" w:hAnsi="Times New Roman" w:cs="Times New Roman"/>
          <w:lang w:val="ro-MD"/>
        </w:rPr>
      </w:pPr>
    </w:p>
    <w:p w14:paraId="53680ECF" w14:textId="2F68ACD0" w:rsidR="00C106A5" w:rsidRPr="000508B6" w:rsidRDefault="00C106A5" w:rsidP="00C106A5">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5-a</w:t>
      </w:r>
    </w:p>
    <w:p w14:paraId="6F5E3FDD" w14:textId="7D36AFF3" w:rsidR="00C106A5" w:rsidRPr="000508B6" w:rsidRDefault="00C106A5" w:rsidP="00C106A5">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Dizolvarea și lichidarea </w:t>
      </w:r>
      <w:r w:rsidR="001A1B79" w:rsidRPr="000508B6">
        <w:rPr>
          <w:rFonts w:ascii="Times New Roman" w:eastAsia="Times New Roman" w:hAnsi="Times New Roman" w:cs="Times New Roman"/>
          <w:b/>
          <w:bCs/>
          <w:lang w:val="ro-MD"/>
        </w:rPr>
        <w:t xml:space="preserve">asigurătorului </w:t>
      </w:r>
    </w:p>
    <w:p w14:paraId="59C3EA92" w14:textId="4A729720"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5C0A56" w:rsidRPr="000508B6">
        <w:rPr>
          <w:rFonts w:ascii="Times New Roman" w:eastAsia="Times New Roman" w:hAnsi="Times New Roman" w:cs="Times New Roman"/>
          <w:lang w:val="ro-MD"/>
        </w:rPr>
        <w:t>167</w:t>
      </w:r>
      <w:r w:rsidR="004209A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Procedura de dizolvare</w:t>
      </w:r>
    </w:p>
    <w:p w14:paraId="4C0AB768" w14:textId="4342E061" w:rsidR="007825D3" w:rsidRPr="000508B6" w:rsidRDefault="007825D3" w:rsidP="007825D3">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5C0A56" w:rsidRPr="000508B6">
        <w:rPr>
          <w:rFonts w:ascii="Times New Roman" w:eastAsia="Times New Roman" w:hAnsi="Times New Roman" w:cs="Times New Roman"/>
          <w:lang w:val="ro-MD"/>
        </w:rPr>
        <w:t>168</w:t>
      </w:r>
      <w:r w:rsidR="004209A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Registrul special al activelor</w:t>
      </w:r>
    </w:p>
    <w:p w14:paraId="67D15828" w14:textId="77777777" w:rsidR="00497EC0" w:rsidRPr="000508B6" w:rsidRDefault="00497EC0" w:rsidP="00140797">
      <w:pPr>
        <w:spacing w:after="0" w:line="240" w:lineRule="auto"/>
        <w:ind w:firstLine="426"/>
        <w:jc w:val="center"/>
        <w:rPr>
          <w:rFonts w:ascii="Times New Roman" w:eastAsia="Times New Roman" w:hAnsi="Times New Roman" w:cs="Times New Roman"/>
          <w:lang w:val="ro-MD"/>
        </w:rPr>
      </w:pPr>
    </w:p>
    <w:p w14:paraId="4E9F014F" w14:textId="22AADBA3" w:rsidR="00140797" w:rsidRPr="000508B6" w:rsidRDefault="00F36BFE" w:rsidP="00140797">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w:t>
      </w:r>
      <w:r w:rsidR="00ED038F" w:rsidRPr="000508B6">
        <w:rPr>
          <w:rFonts w:ascii="Times New Roman" w:eastAsia="Times New Roman" w:hAnsi="Times New Roman" w:cs="Times New Roman"/>
          <w:b/>
          <w:lang w:val="ro-MD"/>
        </w:rPr>
        <w:t>I</w:t>
      </w:r>
      <w:r w:rsidRPr="000508B6">
        <w:rPr>
          <w:rFonts w:ascii="Times New Roman" w:eastAsia="Times New Roman" w:hAnsi="Times New Roman" w:cs="Times New Roman"/>
          <w:b/>
          <w:lang w:val="ro-MD"/>
        </w:rPr>
        <w:t xml:space="preserve">X </w:t>
      </w:r>
    </w:p>
    <w:p w14:paraId="0EAFD564" w14:textId="26F2BB51" w:rsidR="00140797" w:rsidRPr="000508B6" w:rsidRDefault="00F36BFE"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DISPOZIŢII PRIVIND PROCESUL DE SUPRAVEGHERE, COMPETENŢELE ŞI ATRIBUŢIILE BĂNCII NAȚIONALE A MOLDOVEI</w:t>
      </w:r>
    </w:p>
    <w:p w14:paraId="0A9A1202" w14:textId="77777777" w:rsidR="00140797" w:rsidRPr="000508B6" w:rsidRDefault="00140797" w:rsidP="00140797">
      <w:pPr>
        <w:spacing w:after="0" w:line="240" w:lineRule="auto"/>
        <w:ind w:firstLine="426"/>
        <w:jc w:val="center"/>
        <w:rPr>
          <w:rFonts w:ascii="Times New Roman" w:hAnsi="Times New Roman" w:cs="Times New Roman"/>
          <w:b/>
          <w:lang w:val="ro-MD"/>
        </w:rPr>
      </w:pPr>
    </w:p>
    <w:p w14:paraId="53B17E70" w14:textId="7C04C5B3" w:rsidR="00140797" w:rsidRPr="000508B6" w:rsidRDefault="00140797"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Secțiunea 1</w:t>
      </w:r>
      <w:r w:rsidR="001175D3" w:rsidRPr="000508B6">
        <w:rPr>
          <w:rFonts w:ascii="Times New Roman" w:hAnsi="Times New Roman" w:cs="Times New Roman"/>
          <w:b/>
          <w:lang w:val="ro-MD"/>
        </w:rPr>
        <w:t xml:space="preserve"> </w:t>
      </w:r>
    </w:p>
    <w:p w14:paraId="5B4C72DE" w14:textId="77777777" w:rsidR="00140797" w:rsidRPr="000508B6" w:rsidRDefault="00140797"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Principii generale privind procesul de supraveghere</w:t>
      </w:r>
    </w:p>
    <w:p w14:paraId="1EDF82DF" w14:textId="0079A696"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169</w:t>
      </w:r>
      <w:r w:rsidRPr="000508B6">
        <w:rPr>
          <w:rFonts w:ascii="Times New Roman" w:hAnsi="Times New Roman" w:cs="Times New Roman"/>
          <w:lang w:val="ro-MD"/>
        </w:rPr>
        <w:t>. Prevederi generale</w:t>
      </w:r>
    </w:p>
    <w:p w14:paraId="59484F82" w14:textId="02C53961" w:rsidR="000A6415" w:rsidRPr="000508B6" w:rsidRDefault="000A6415"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170</w:t>
      </w:r>
      <w:r w:rsidR="004209AB" w:rsidRPr="000508B6">
        <w:rPr>
          <w:rFonts w:ascii="Times New Roman" w:hAnsi="Times New Roman" w:cs="Times New Roman"/>
          <w:lang w:val="ro-MD"/>
        </w:rPr>
        <w:t>.</w:t>
      </w:r>
      <w:r w:rsidRPr="000508B6">
        <w:rPr>
          <w:rFonts w:ascii="Times New Roman" w:hAnsi="Times New Roman" w:cs="Times New Roman"/>
          <w:lang w:val="ro-MD"/>
        </w:rPr>
        <w:t xml:space="preserve"> </w:t>
      </w:r>
      <w:bookmarkStart w:id="21" w:name="_Hlk221888129"/>
      <w:r w:rsidRPr="000508B6">
        <w:rPr>
          <w:rFonts w:ascii="Times New Roman" w:hAnsi="Times New Roman" w:cs="Times New Roman"/>
          <w:lang w:val="ro-MD"/>
        </w:rPr>
        <w:t xml:space="preserve">Criterii pentru identificarea </w:t>
      </w:r>
      <w:r w:rsidR="00B01027" w:rsidRPr="000508B6">
        <w:rPr>
          <w:rFonts w:ascii="Times New Roman" w:hAnsi="Times New Roman" w:cs="Times New Roman"/>
          <w:lang w:val="ro-MD"/>
        </w:rPr>
        <w:t>asigur</w:t>
      </w:r>
      <w:r w:rsidR="002E428F" w:rsidRPr="000508B6">
        <w:rPr>
          <w:rFonts w:ascii="Times New Roman" w:hAnsi="Times New Roman" w:cs="Times New Roman"/>
          <w:lang w:val="ro-MD"/>
        </w:rPr>
        <w:t>ă</w:t>
      </w:r>
      <w:r w:rsidR="00B01027" w:rsidRPr="000508B6">
        <w:rPr>
          <w:rFonts w:ascii="Times New Roman" w:hAnsi="Times New Roman" w:cs="Times New Roman"/>
          <w:lang w:val="ro-MD"/>
        </w:rPr>
        <w:t xml:space="preserve">torilor și </w:t>
      </w:r>
      <w:proofErr w:type="spellStart"/>
      <w:r w:rsidR="00B01027" w:rsidRPr="000508B6">
        <w:rPr>
          <w:rFonts w:ascii="Times New Roman" w:hAnsi="Times New Roman" w:cs="Times New Roman"/>
          <w:lang w:val="ro-MD"/>
        </w:rPr>
        <w:t>reasigur</w:t>
      </w:r>
      <w:r w:rsidR="002E428F" w:rsidRPr="000508B6">
        <w:rPr>
          <w:rFonts w:ascii="Times New Roman" w:hAnsi="Times New Roman" w:cs="Times New Roman"/>
          <w:lang w:val="ro-MD"/>
        </w:rPr>
        <w:t>ă</w:t>
      </w:r>
      <w:r w:rsidR="00B01027" w:rsidRPr="000508B6">
        <w:rPr>
          <w:rFonts w:ascii="Times New Roman" w:hAnsi="Times New Roman" w:cs="Times New Roman"/>
          <w:lang w:val="ro-MD"/>
        </w:rPr>
        <w:t>torilor</w:t>
      </w:r>
      <w:proofErr w:type="spellEnd"/>
      <w:r w:rsidR="00B01027" w:rsidRPr="000508B6">
        <w:rPr>
          <w:rFonts w:ascii="Times New Roman" w:hAnsi="Times New Roman" w:cs="Times New Roman"/>
          <w:lang w:val="ro-MD"/>
        </w:rPr>
        <w:t xml:space="preserve"> </w:t>
      </w:r>
      <w:r w:rsidRPr="000508B6">
        <w:rPr>
          <w:rFonts w:ascii="Times New Roman" w:hAnsi="Times New Roman" w:cs="Times New Roman"/>
          <w:lang w:val="ro-MD"/>
        </w:rPr>
        <w:t>mici și cu un grad redus de complexitate</w:t>
      </w:r>
      <w:bookmarkEnd w:id="21"/>
    </w:p>
    <w:p w14:paraId="02CBB6E2" w14:textId="44F395EA" w:rsidR="000A6415" w:rsidRPr="000508B6" w:rsidRDefault="000A6415"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171</w:t>
      </w:r>
      <w:r w:rsidR="004209AB" w:rsidRPr="000508B6">
        <w:rPr>
          <w:rFonts w:ascii="Times New Roman" w:hAnsi="Times New Roman" w:cs="Times New Roman"/>
          <w:lang w:val="ro-MD"/>
        </w:rPr>
        <w:t>.</w:t>
      </w:r>
      <w:r w:rsidRPr="000508B6">
        <w:rPr>
          <w:rFonts w:ascii="Times New Roman" w:hAnsi="Times New Roman" w:cs="Times New Roman"/>
          <w:lang w:val="ro-MD"/>
        </w:rPr>
        <w:t xml:space="preserve"> </w:t>
      </w:r>
      <w:r w:rsidR="00B01027" w:rsidRPr="000508B6">
        <w:rPr>
          <w:rFonts w:ascii="Times New Roman" w:hAnsi="Times New Roman" w:cs="Times New Roman"/>
          <w:lang w:val="ro-MD"/>
        </w:rPr>
        <w:t>Procesul de încadrare asigur</w:t>
      </w:r>
      <w:r w:rsidR="002E428F" w:rsidRPr="000508B6">
        <w:rPr>
          <w:rFonts w:ascii="Times New Roman" w:hAnsi="Times New Roman" w:cs="Times New Roman"/>
          <w:lang w:val="ro-MD"/>
        </w:rPr>
        <w:t>ă</w:t>
      </w:r>
      <w:r w:rsidR="00B01027" w:rsidRPr="000508B6">
        <w:rPr>
          <w:rFonts w:ascii="Times New Roman" w:hAnsi="Times New Roman" w:cs="Times New Roman"/>
          <w:lang w:val="ro-MD"/>
        </w:rPr>
        <w:t xml:space="preserve">torilor și </w:t>
      </w:r>
      <w:proofErr w:type="spellStart"/>
      <w:r w:rsidR="00B01027" w:rsidRPr="000508B6">
        <w:rPr>
          <w:rFonts w:ascii="Times New Roman" w:hAnsi="Times New Roman" w:cs="Times New Roman"/>
          <w:lang w:val="ro-MD"/>
        </w:rPr>
        <w:t>reasigur</w:t>
      </w:r>
      <w:r w:rsidR="002E428F" w:rsidRPr="000508B6">
        <w:rPr>
          <w:rFonts w:ascii="Times New Roman" w:hAnsi="Times New Roman" w:cs="Times New Roman"/>
          <w:lang w:val="ro-MD"/>
        </w:rPr>
        <w:t>ă</w:t>
      </w:r>
      <w:r w:rsidR="00B01027" w:rsidRPr="000508B6">
        <w:rPr>
          <w:rFonts w:ascii="Times New Roman" w:hAnsi="Times New Roman" w:cs="Times New Roman"/>
          <w:lang w:val="ro-MD"/>
        </w:rPr>
        <w:t>torilor</w:t>
      </w:r>
      <w:proofErr w:type="spellEnd"/>
      <w:r w:rsidR="00B01027" w:rsidRPr="000508B6">
        <w:rPr>
          <w:rFonts w:ascii="Times New Roman" w:hAnsi="Times New Roman" w:cs="Times New Roman"/>
          <w:lang w:val="ro-MD"/>
        </w:rPr>
        <w:t xml:space="preserve"> care îndeplinesc criteriile pentru identificarea asigurător</w:t>
      </w:r>
      <w:r w:rsidR="00B118F7" w:rsidRPr="000508B6">
        <w:rPr>
          <w:rFonts w:ascii="Times New Roman" w:hAnsi="Times New Roman" w:cs="Times New Roman"/>
          <w:lang w:val="ro-MD"/>
        </w:rPr>
        <w:t xml:space="preserve"> </w:t>
      </w:r>
      <w:r w:rsidR="00B01027" w:rsidRPr="000508B6">
        <w:rPr>
          <w:rFonts w:ascii="Times New Roman" w:hAnsi="Times New Roman" w:cs="Times New Roman"/>
          <w:lang w:val="ro-MD"/>
        </w:rPr>
        <w:t xml:space="preserve">și </w:t>
      </w:r>
      <w:proofErr w:type="spellStart"/>
      <w:r w:rsidR="00B01027" w:rsidRPr="000508B6">
        <w:rPr>
          <w:rFonts w:ascii="Times New Roman" w:hAnsi="Times New Roman" w:cs="Times New Roman"/>
          <w:lang w:val="ro-MD"/>
        </w:rPr>
        <w:t>reasigurător</w:t>
      </w:r>
      <w:proofErr w:type="spellEnd"/>
      <w:r w:rsidR="00B01027" w:rsidRPr="000508B6">
        <w:rPr>
          <w:rFonts w:ascii="Times New Roman" w:hAnsi="Times New Roman" w:cs="Times New Roman"/>
          <w:lang w:val="ro-MD"/>
        </w:rPr>
        <w:t xml:space="preserve"> ca mic și cu un grad redus de complexitate </w:t>
      </w:r>
    </w:p>
    <w:p w14:paraId="368C41C2" w14:textId="5C6CE024" w:rsidR="000A6415" w:rsidRPr="000508B6" w:rsidRDefault="000A6415"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Articolul </w:t>
      </w:r>
      <w:r w:rsidR="00937EDE" w:rsidRPr="000508B6">
        <w:rPr>
          <w:rFonts w:ascii="Times New Roman" w:hAnsi="Times New Roman" w:cs="Times New Roman"/>
          <w:lang w:val="ro-MD"/>
        </w:rPr>
        <w:t>172</w:t>
      </w:r>
      <w:r w:rsidR="004209AB" w:rsidRPr="000508B6">
        <w:rPr>
          <w:rFonts w:ascii="Times New Roman" w:hAnsi="Times New Roman" w:cs="Times New Roman"/>
          <w:lang w:val="ro-MD"/>
        </w:rPr>
        <w:t>.</w:t>
      </w:r>
      <w:r w:rsidR="00AE3CB4" w:rsidRPr="000508B6">
        <w:rPr>
          <w:rFonts w:ascii="Times New Roman" w:hAnsi="Times New Roman" w:cs="Times New Roman"/>
          <w:lang w:val="ro-MD"/>
        </w:rPr>
        <w:t xml:space="preserve"> </w:t>
      </w:r>
      <w:r w:rsidR="00CA7B2E" w:rsidRPr="000508B6">
        <w:rPr>
          <w:rFonts w:ascii="Times New Roman" w:hAnsi="Times New Roman" w:cs="Times New Roman"/>
          <w:lang w:val="ro-MD"/>
        </w:rPr>
        <w:t>Aplicarea măsurilor de proporționalitate de către asigur</w:t>
      </w:r>
      <w:r w:rsidR="002E428F" w:rsidRPr="000508B6">
        <w:rPr>
          <w:rFonts w:ascii="Times New Roman" w:hAnsi="Times New Roman" w:cs="Times New Roman"/>
          <w:lang w:val="ro-MD"/>
        </w:rPr>
        <w:t>ă</w:t>
      </w:r>
      <w:r w:rsidR="00CA7B2E" w:rsidRPr="000508B6">
        <w:rPr>
          <w:rFonts w:ascii="Times New Roman" w:hAnsi="Times New Roman" w:cs="Times New Roman"/>
          <w:lang w:val="ro-MD"/>
        </w:rPr>
        <w:t xml:space="preserve">torii și </w:t>
      </w:r>
      <w:proofErr w:type="spellStart"/>
      <w:r w:rsidR="00CA7B2E" w:rsidRPr="000508B6">
        <w:rPr>
          <w:rFonts w:ascii="Times New Roman" w:hAnsi="Times New Roman" w:cs="Times New Roman"/>
          <w:lang w:val="ro-MD"/>
        </w:rPr>
        <w:t>reasigur</w:t>
      </w:r>
      <w:r w:rsidR="002E428F" w:rsidRPr="000508B6">
        <w:rPr>
          <w:rFonts w:ascii="Times New Roman" w:hAnsi="Times New Roman" w:cs="Times New Roman"/>
          <w:lang w:val="ro-MD"/>
        </w:rPr>
        <w:t>ă</w:t>
      </w:r>
      <w:r w:rsidR="00CA7B2E" w:rsidRPr="000508B6">
        <w:rPr>
          <w:rFonts w:ascii="Times New Roman" w:hAnsi="Times New Roman" w:cs="Times New Roman"/>
          <w:lang w:val="ro-MD"/>
        </w:rPr>
        <w:t>torii</w:t>
      </w:r>
      <w:proofErr w:type="spellEnd"/>
      <w:r w:rsidR="00CA7B2E" w:rsidRPr="000508B6">
        <w:rPr>
          <w:rFonts w:ascii="Times New Roman" w:hAnsi="Times New Roman" w:cs="Times New Roman"/>
          <w:lang w:val="ro-MD"/>
        </w:rPr>
        <w:t xml:space="preserve"> încadrați în categoria asigur</w:t>
      </w:r>
      <w:r w:rsidR="002E428F" w:rsidRPr="000508B6">
        <w:rPr>
          <w:rFonts w:ascii="Times New Roman" w:hAnsi="Times New Roman" w:cs="Times New Roman"/>
          <w:lang w:val="ro-MD"/>
        </w:rPr>
        <w:t>ă</w:t>
      </w:r>
      <w:r w:rsidR="00CA7B2E" w:rsidRPr="000508B6">
        <w:rPr>
          <w:rFonts w:ascii="Times New Roman" w:hAnsi="Times New Roman" w:cs="Times New Roman"/>
          <w:lang w:val="ro-MD"/>
        </w:rPr>
        <w:t xml:space="preserve">tor și </w:t>
      </w:r>
      <w:proofErr w:type="spellStart"/>
      <w:r w:rsidR="00CA7B2E" w:rsidRPr="000508B6">
        <w:rPr>
          <w:rFonts w:ascii="Times New Roman" w:hAnsi="Times New Roman" w:cs="Times New Roman"/>
          <w:lang w:val="ro-MD"/>
        </w:rPr>
        <w:t>reasigur</w:t>
      </w:r>
      <w:r w:rsidR="002E428F" w:rsidRPr="000508B6">
        <w:rPr>
          <w:rFonts w:ascii="Times New Roman" w:hAnsi="Times New Roman" w:cs="Times New Roman"/>
          <w:lang w:val="ro-MD"/>
        </w:rPr>
        <w:t>ă</w:t>
      </w:r>
      <w:r w:rsidR="00CA7B2E" w:rsidRPr="000508B6">
        <w:rPr>
          <w:rFonts w:ascii="Times New Roman" w:hAnsi="Times New Roman" w:cs="Times New Roman"/>
          <w:lang w:val="ro-MD"/>
        </w:rPr>
        <w:t>tor</w:t>
      </w:r>
      <w:proofErr w:type="spellEnd"/>
      <w:r w:rsidR="00CA7B2E" w:rsidRPr="000508B6">
        <w:rPr>
          <w:rFonts w:ascii="Times New Roman" w:hAnsi="Times New Roman" w:cs="Times New Roman"/>
          <w:lang w:val="ro-MD"/>
        </w:rPr>
        <w:t xml:space="preserve"> mic</w:t>
      </w:r>
      <w:r w:rsidRPr="000508B6">
        <w:rPr>
          <w:rFonts w:ascii="Times New Roman" w:hAnsi="Times New Roman" w:cs="Times New Roman"/>
          <w:lang w:val="ro-MD"/>
        </w:rPr>
        <w:t xml:space="preserve"> și cu un grad redus de complexitate</w:t>
      </w:r>
    </w:p>
    <w:p w14:paraId="10F5C9A3" w14:textId="45F028DD" w:rsidR="000A6415" w:rsidRPr="000508B6" w:rsidRDefault="000A6415"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173</w:t>
      </w:r>
      <w:r w:rsidR="004209AB" w:rsidRPr="000508B6">
        <w:rPr>
          <w:rFonts w:ascii="Times New Roman" w:hAnsi="Times New Roman" w:cs="Times New Roman"/>
          <w:lang w:val="ro-MD"/>
        </w:rPr>
        <w:t>.</w:t>
      </w:r>
      <w:r w:rsidRPr="000508B6">
        <w:rPr>
          <w:rFonts w:ascii="Times New Roman" w:hAnsi="Times New Roman" w:cs="Times New Roman"/>
          <w:lang w:val="ro-MD"/>
        </w:rPr>
        <w:t xml:space="preserve"> </w:t>
      </w:r>
      <w:r w:rsidR="006E791A" w:rsidRPr="000508B6">
        <w:rPr>
          <w:rFonts w:ascii="Times New Roman" w:hAnsi="Times New Roman" w:cs="Times New Roman"/>
          <w:lang w:val="ro-MD"/>
        </w:rPr>
        <w:t xml:space="preserve">Aplicarea măsurilor de proporționalitate de către asigurătorii și </w:t>
      </w:r>
      <w:proofErr w:type="spellStart"/>
      <w:r w:rsidR="006E791A" w:rsidRPr="000508B6">
        <w:rPr>
          <w:rFonts w:ascii="Times New Roman" w:hAnsi="Times New Roman" w:cs="Times New Roman"/>
          <w:lang w:val="ro-MD"/>
        </w:rPr>
        <w:t>reasigurătorii</w:t>
      </w:r>
      <w:proofErr w:type="spellEnd"/>
      <w:r w:rsidR="006E791A" w:rsidRPr="000508B6">
        <w:rPr>
          <w:rFonts w:ascii="Times New Roman" w:hAnsi="Times New Roman" w:cs="Times New Roman"/>
          <w:lang w:val="ro-MD"/>
        </w:rPr>
        <w:t xml:space="preserve"> care nu sunt  încadrați în categoria asigurător și </w:t>
      </w:r>
      <w:proofErr w:type="spellStart"/>
      <w:r w:rsidR="006E791A" w:rsidRPr="000508B6">
        <w:rPr>
          <w:rFonts w:ascii="Times New Roman" w:hAnsi="Times New Roman" w:cs="Times New Roman"/>
          <w:lang w:val="ro-MD"/>
        </w:rPr>
        <w:t>reasigurător</w:t>
      </w:r>
      <w:proofErr w:type="spellEnd"/>
      <w:r w:rsidR="006E791A" w:rsidRPr="000508B6">
        <w:rPr>
          <w:rFonts w:ascii="Times New Roman" w:hAnsi="Times New Roman" w:cs="Times New Roman"/>
          <w:lang w:val="ro-MD"/>
        </w:rPr>
        <w:t xml:space="preserve"> mic și cu un grad redus de complexitate</w:t>
      </w:r>
    </w:p>
    <w:p w14:paraId="1610AE66" w14:textId="128B9CEE" w:rsidR="00D479A1" w:rsidRPr="000508B6" w:rsidRDefault="00D479A1"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174</w:t>
      </w:r>
      <w:r w:rsidR="004209AB" w:rsidRPr="000508B6">
        <w:rPr>
          <w:rFonts w:ascii="Times New Roman" w:hAnsi="Times New Roman" w:cs="Times New Roman"/>
          <w:lang w:val="ro-MD"/>
        </w:rPr>
        <w:t>.</w:t>
      </w:r>
      <w:r w:rsidRPr="000508B6">
        <w:rPr>
          <w:rFonts w:ascii="Times New Roman" w:hAnsi="Times New Roman" w:cs="Times New Roman"/>
          <w:lang w:val="ro-MD"/>
        </w:rPr>
        <w:t xml:space="preserve"> Monitorizarea aplicării măsurilor de proporționalitate</w:t>
      </w:r>
    </w:p>
    <w:p w14:paraId="7FAC5EC7" w14:textId="3718C2C0"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175</w:t>
      </w:r>
      <w:r w:rsidR="004209AB" w:rsidRPr="000508B6">
        <w:rPr>
          <w:rFonts w:ascii="Times New Roman" w:hAnsi="Times New Roman" w:cs="Times New Roman"/>
          <w:lang w:val="ro-MD"/>
        </w:rPr>
        <w:t>.</w:t>
      </w:r>
      <w:r w:rsidRPr="000508B6">
        <w:rPr>
          <w:rFonts w:ascii="Times New Roman" w:hAnsi="Times New Roman" w:cs="Times New Roman"/>
          <w:lang w:val="ro-MD"/>
        </w:rPr>
        <w:t xml:space="preserve"> Sfera de acoperire a supravegherii</w:t>
      </w:r>
    </w:p>
    <w:p w14:paraId="12BCFA39" w14:textId="02521133"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176</w:t>
      </w:r>
      <w:r w:rsidRPr="000508B6">
        <w:rPr>
          <w:rFonts w:ascii="Times New Roman" w:hAnsi="Times New Roman" w:cs="Times New Roman"/>
          <w:lang w:val="ro-MD"/>
        </w:rPr>
        <w:t>. Atribuțiile și competențele Băncii Naționale a Moldovei</w:t>
      </w:r>
    </w:p>
    <w:p w14:paraId="59C3AED0" w14:textId="46C13A3D"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177</w:t>
      </w:r>
      <w:r w:rsidRPr="000508B6">
        <w:rPr>
          <w:rFonts w:ascii="Times New Roman" w:hAnsi="Times New Roman" w:cs="Times New Roman"/>
          <w:lang w:val="ro-MD"/>
        </w:rPr>
        <w:t>. Supravegherea sucursalelor stabilite într-un alt stat membru</w:t>
      </w:r>
    </w:p>
    <w:p w14:paraId="3343C6E8" w14:textId="507481C8" w:rsidR="00746C76" w:rsidRPr="000508B6" w:rsidRDefault="00746C76" w:rsidP="00746C76">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178</w:t>
      </w:r>
      <w:r w:rsidRPr="000508B6">
        <w:rPr>
          <w:rFonts w:ascii="Times New Roman" w:hAnsi="Times New Roman" w:cs="Times New Roman"/>
          <w:lang w:val="ro-MD"/>
        </w:rPr>
        <w:t xml:space="preserve">. </w:t>
      </w:r>
      <w:r w:rsidR="00ED76CA" w:rsidRPr="000508B6">
        <w:rPr>
          <w:rFonts w:ascii="Times New Roman" w:hAnsi="Times New Roman" w:cs="Times New Roman"/>
          <w:lang w:val="ro-MD"/>
        </w:rPr>
        <w:t>P</w:t>
      </w:r>
      <w:r w:rsidRPr="000508B6">
        <w:rPr>
          <w:rFonts w:ascii="Times New Roman" w:hAnsi="Times New Roman" w:cs="Times New Roman"/>
          <w:lang w:val="ro-MD"/>
        </w:rPr>
        <w:t>rocesul de supraveghere</w:t>
      </w:r>
    </w:p>
    <w:p w14:paraId="2F958432" w14:textId="7E99E8D4" w:rsidR="00ED76CA" w:rsidRPr="000508B6" w:rsidRDefault="00ED76CA" w:rsidP="00ED76CA">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179</w:t>
      </w:r>
      <w:r w:rsidRPr="000508B6">
        <w:rPr>
          <w:rFonts w:ascii="Times New Roman" w:hAnsi="Times New Roman" w:cs="Times New Roman"/>
          <w:lang w:val="ro-MD"/>
        </w:rPr>
        <w:t xml:space="preserve">. </w:t>
      </w:r>
      <w:bookmarkStart w:id="22" w:name="_Hlk221888184"/>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transmise Băncii Naționale a Moldovei în cadrul procesului de supraveghere </w:t>
      </w:r>
    </w:p>
    <w:bookmarkEnd w:id="22"/>
    <w:p w14:paraId="0E5D89DD" w14:textId="7B6E318E" w:rsidR="00C01DCD" w:rsidRPr="000508B6" w:rsidRDefault="005F5A5B" w:rsidP="00ED76CA">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180</w:t>
      </w:r>
      <w:r w:rsidR="004209AB" w:rsidRPr="000508B6">
        <w:rPr>
          <w:rFonts w:ascii="Times New Roman" w:hAnsi="Times New Roman" w:cs="Times New Roman"/>
          <w:lang w:val="ro-MD"/>
        </w:rPr>
        <w:t>.</w:t>
      </w:r>
      <w:r w:rsidRPr="000508B6">
        <w:rPr>
          <w:rFonts w:ascii="Times New Roman" w:hAnsi="Times New Roman" w:cs="Times New Roman"/>
          <w:lang w:val="ro-MD"/>
        </w:rPr>
        <w:t xml:space="preserve"> Exceptări și limitări acordate de Banca Națională a Mol</w:t>
      </w:r>
      <w:r w:rsidR="00E120A8" w:rsidRPr="000508B6">
        <w:rPr>
          <w:rFonts w:ascii="Times New Roman" w:hAnsi="Times New Roman" w:cs="Times New Roman"/>
          <w:lang w:val="ro-MD"/>
        </w:rPr>
        <w:t>d</w:t>
      </w:r>
      <w:r w:rsidRPr="000508B6">
        <w:rPr>
          <w:rFonts w:ascii="Times New Roman" w:hAnsi="Times New Roman" w:cs="Times New Roman"/>
          <w:lang w:val="ro-MD"/>
        </w:rPr>
        <w:t>ovei în ceea ce privește raportarea periodică cantitativă de supraveghere</w:t>
      </w:r>
    </w:p>
    <w:p w14:paraId="77800BC6" w14:textId="06E7CDDA" w:rsidR="00592A3B" w:rsidRPr="000508B6" w:rsidRDefault="00592A3B" w:rsidP="00ED76CA">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181</w:t>
      </w:r>
      <w:r w:rsidRPr="000508B6">
        <w:rPr>
          <w:rFonts w:ascii="Times New Roman" w:hAnsi="Times New Roman" w:cs="Times New Roman"/>
          <w:lang w:val="ro-MD"/>
        </w:rPr>
        <w:t xml:space="preserve">. </w:t>
      </w:r>
      <w:bookmarkStart w:id="23" w:name="_Hlk221888199"/>
      <w:r w:rsidRPr="000508B6">
        <w:rPr>
          <w:rFonts w:ascii="Times New Roman" w:hAnsi="Times New Roman" w:cs="Times New Roman"/>
          <w:lang w:val="ro-MD"/>
        </w:rPr>
        <w:t>Competențele de supraveghere pentru a remedia vulnerabilitățile de lichiditate în circumstanțe excepționale</w:t>
      </w:r>
    </w:p>
    <w:p w14:paraId="5AE28D28" w14:textId="284AC99D" w:rsidR="00592A3B" w:rsidRPr="000508B6" w:rsidRDefault="00592A3B" w:rsidP="00ED76CA">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182</w:t>
      </w:r>
      <w:r w:rsidRPr="000508B6">
        <w:rPr>
          <w:rFonts w:ascii="Times New Roman" w:hAnsi="Times New Roman" w:cs="Times New Roman"/>
          <w:lang w:val="ro-MD"/>
        </w:rPr>
        <w:t xml:space="preserve">. Măsuri de supraveghere pentru menținerea poziției financiare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pe durata șocurilor excepționale la nivel de sector</w:t>
      </w:r>
    </w:p>
    <w:p w14:paraId="4A327F62" w14:textId="257A3AF7" w:rsidR="00746C76" w:rsidRPr="000508B6" w:rsidRDefault="00746C76" w:rsidP="00746C76">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w:t>
      </w:r>
      <w:r w:rsidR="00757637" w:rsidRPr="000508B6">
        <w:rPr>
          <w:rFonts w:ascii="Times New Roman" w:hAnsi="Times New Roman" w:cs="Times New Roman"/>
          <w:lang w:val="ro-MD"/>
        </w:rPr>
        <w:t>3</w:t>
      </w:r>
      <w:r w:rsidRPr="000508B6">
        <w:rPr>
          <w:rFonts w:ascii="Times New Roman" w:hAnsi="Times New Roman" w:cs="Times New Roman"/>
          <w:lang w:val="ro-MD"/>
        </w:rPr>
        <w:t>. Majorarea de capital de solvabilitate</w:t>
      </w:r>
    </w:p>
    <w:p w14:paraId="2DD8C05C" w14:textId="617FB152" w:rsidR="00746C76" w:rsidRPr="000508B6" w:rsidRDefault="00746C76"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184</w:t>
      </w:r>
      <w:r w:rsidRPr="000508B6">
        <w:rPr>
          <w:rFonts w:ascii="Times New Roman" w:hAnsi="Times New Roman" w:cs="Times New Roman"/>
          <w:lang w:val="ro-MD"/>
        </w:rPr>
        <w:t xml:space="preserve">. Transferul </w:t>
      </w:r>
      <w:r w:rsidR="00631B2F" w:rsidRPr="000508B6">
        <w:rPr>
          <w:rFonts w:ascii="Times New Roman" w:hAnsi="Times New Roman" w:cs="Times New Roman"/>
          <w:lang w:val="ro-MD"/>
        </w:rPr>
        <w:t xml:space="preserve">de </w:t>
      </w:r>
      <w:r w:rsidRPr="000508B6">
        <w:rPr>
          <w:rFonts w:ascii="Times New Roman" w:hAnsi="Times New Roman" w:cs="Times New Roman"/>
          <w:lang w:val="ro-MD"/>
        </w:rPr>
        <w:t>portofoliu</w:t>
      </w:r>
      <w:bookmarkEnd w:id="23"/>
    </w:p>
    <w:p w14:paraId="4B080104" w14:textId="315FD49D" w:rsidR="00140797" w:rsidRPr="000508B6" w:rsidRDefault="00140797" w:rsidP="005C3A8F">
      <w:pPr>
        <w:spacing w:before="240"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Secțiunea  </w:t>
      </w:r>
      <w:r w:rsidR="00234916" w:rsidRPr="000508B6">
        <w:rPr>
          <w:rFonts w:ascii="Times New Roman" w:hAnsi="Times New Roman" w:cs="Times New Roman"/>
          <w:b/>
          <w:lang w:val="ro-MD"/>
        </w:rPr>
        <w:t xml:space="preserve">a </w:t>
      </w:r>
      <w:r w:rsidRPr="000508B6">
        <w:rPr>
          <w:rFonts w:ascii="Times New Roman" w:hAnsi="Times New Roman" w:cs="Times New Roman"/>
          <w:b/>
          <w:lang w:val="ro-MD"/>
        </w:rPr>
        <w:t>2</w:t>
      </w:r>
      <w:r w:rsidR="00234916" w:rsidRPr="000508B6">
        <w:rPr>
          <w:rFonts w:ascii="Times New Roman" w:hAnsi="Times New Roman" w:cs="Times New Roman"/>
          <w:b/>
          <w:lang w:val="ro-MD"/>
        </w:rPr>
        <w:t>-a</w:t>
      </w:r>
      <w:r w:rsidR="00F12B98" w:rsidRPr="000508B6">
        <w:rPr>
          <w:rFonts w:ascii="Times New Roman" w:hAnsi="Times New Roman" w:cs="Times New Roman"/>
          <w:b/>
          <w:lang w:val="ro-MD"/>
        </w:rPr>
        <w:t xml:space="preserve"> </w:t>
      </w:r>
    </w:p>
    <w:p w14:paraId="0D1BCBF3" w14:textId="77777777" w:rsidR="00140797" w:rsidRPr="000508B6" w:rsidRDefault="00140797"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Cooperarea cu EIOPA, Comisia Europeană și alte autorități</w:t>
      </w:r>
    </w:p>
    <w:p w14:paraId="7E6BE66A" w14:textId="464AFC02"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185</w:t>
      </w:r>
      <w:r w:rsidRPr="000508B6">
        <w:rPr>
          <w:rFonts w:ascii="Times New Roman" w:hAnsi="Times New Roman" w:cs="Times New Roman"/>
          <w:lang w:val="ro-MD"/>
        </w:rPr>
        <w:t>. Prevederi generale</w:t>
      </w:r>
    </w:p>
    <w:p w14:paraId="0C73791B" w14:textId="6F4940CA"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186</w:t>
      </w:r>
      <w:r w:rsidRPr="000508B6">
        <w:rPr>
          <w:rFonts w:ascii="Times New Roman" w:hAnsi="Times New Roman" w:cs="Times New Roman"/>
          <w:lang w:val="ro-MD"/>
        </w:rPr>
        <w:t>. Cooperarea cu EIOPA</w:t>
      </w:r>
    </w:p>
    <w:p w14:paraId="44F9B961" w14:textId="60F16013"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187</w:t>
      </w:r>
      <w:r w:rsidRPr="000508B6">
        <w:rPr>
          <w:rFonts w:ascii="Times New Roman" w:hAnsi="Times New Roman" w:cs="Times New Roman"/>
          <w:lang w:val="ro-MD"/>
        </w:rPr>
        <w:t>. Cooperarea cu alte autorități, organisme și persoane</w:t>
      </w:r>
    </w:p>
    <w:p w14:paraId="3B499D66" w14:textId="48DEA60D" w:rsidR="00140797" w:rsidRPr="000508B6" w:rsidRDefault="00140797" w:rsidP="00140797">
      <w:pPr>
        <w:tabs>
          <w:tab w:val="left" w:pos="2127"/>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188</w:t>
      </w:r>
      <w:r w:rsidRPr="000508B6">
        <w:rPr>
          <w:rFonts w:ascii="Times New Roman" w:hAnsi="Times New Roman" w:cs="Times New Roman"/>
          <w:lang w:val="ro-MD"/>
        </w:rPr>
        <w:t>. Competențele Băncii Naționale a Moldovei în calitate de supraveghetor din stat</w:t>
      </w:r>
      <w:r w:rsidR="00A3589A" w:rsidRPr="000508B6">
        <w:rPr>
          <w:rFonts w:ascii="Times New Roman" w:hAnsi="Times New Roman" w:cs="Times New Roman"/>
          <w:lang w:val="ro-MD"/>
        </w:rPr>
        <w:t>ul</w:t>
      </w:r>
      <w:r w:rsidRPr="000508B6">
        <w:rPr>
          <w:rFonts w:ascii="Times New Roman" w:hAnsi="Times New Roman" w:cs="Times New Roman"/>
          <w:lang w:val="ro-MD"/>
        </w:rPr>
        <w:t xml:space="preserve"> membru de origine</w:t>
      </w:r>
    </w:p>
    <w:p w14:paraId="12281FC2" w14:textId="1A465DE6" w:rsidR="00140797" w:rsidRPr="000508B6" w:rsidRDefault="00140797" w:rsidP="00140797">
      <w:pPr>
        <w:tabs>
          <w:tab w:val="left" w:pos="2127"/>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189</w:t>
      </w:r>
      <w:r w:rsidRPr="000508B6">
        <w:rPr>
          <w:rFonts w:ascii="Times New Roman" w:hAnsi="Times New Roman" w:cs="Times New Roman"/>
          <w:lang w:val="ro-MD"/>
        </w:rPr>
        <w:t>. Competențele Băncii Naționale a Moldovei în calitate de supraveghetor din stat</w:t>
      </w:r>
      <w:r w:rsidR="00A3589A" w:rsidRPr="000508B6">
        <w:rPr>
          <w:rFonts w:ascii="Times New Roman" w:hAnsi="Times New Roman" w:cs="Times New Roman"/>
          <w:lang w:val="ro-MD"/>
        </w:rPr>
        <w:t>ul</w:t>
      </w:r>
      <w:r w:rsidRPr="000508B6">
        <w:rPr>
          <w:rFonts w:ascii="Times New Roman" w:hAnsi="Times New Roman" w:cs="Times New Roman"/>
          <w:lang w:val="ro-MD"/>
        </w:rPr>
        <w:t xml:space="preserve"> membru gazdă</w:t>
      </w:r>
    </w:p>
    <w:p w14:paraId="74D2D494" w14:textId="77777777" w:rsidR="00E362F2" w:rsidRPr="000508B6" w:rsidRDefault="00E362F2" w:rsidP="00CA06C2">
      <w:pPr>
        <w:tabs>
          <w:tab w:val="left" w:pos="2127"/>
        </w:tabs>
        <w:spacing w:after="0" w:line="240" w:lineRule="auto"/>
        <w:ind w:firstLine="426"/>
        <w:jc w:val="center"/>
        <w:rPr>
          <w:rFonts w:ascii="Times New Roman" w:hAnsi="Times New Roman" w:cs="Times New Roman"/>
          <w:b/>
          <w:bCs/>
          <w:lang w:val="ro-MD"/>
        </w:rPr>
      </w:pPr>
    </w:p>
    <w:p w14:paraId="19A3E0C1" w14:textId="446C4973" w:rsidR="00CA06C2" w:rsidRPr="000508B6" w:rsidRDefault="00CA06C2" w:rsidP="00CA06C2">
      <w:pPr>
        <w:tabs>
          <w:tab w:val="left" w:pos="2127"/>
        </w:tabs>
        <w:spacing w:after="0" w:line="240" w:lineRule="auto"/>
        <w:ind w:firstLine="426"/>
        <w:jc w:val="center"/>
        <w:rPr>
          <w:rFonts w:ascii="Times New Roman" w:hAnsi="Times New Roman" w:cs="Times New Roman"/>
          <w:b/>
          <w:bCs/>
          <w:lang w:val="ro-MD"/>
        </w:rPr>
      </w:pPr>
      <w:r w:rsidRPr="000508B6">
        <w:rPr>
          <w:rFonts w:ascii="Times New Roman" w:hAnsi="Times New Roman" w:cs="Times New Roman"/>
          <w:b/>
          <w:bCs/>
          <w:lang w:val="ro-MD"/>
        </w:rPr>
        <w:t xml:space="preserve">Secțiunea  a 3-a </w:t>
      </w:r>
    </w:p>
    <w:p w14:paraId="76B846E0" w14:textId="57A033FA" w:rsidR="00CA06C2" w:rsidRPr="000508B6" w:rsidRDefault="00CA06C2" w:rsidP="00CA06C2">
      <w:pPr>
        <w:tabs>
          <w:tab w:val="left" w:pos="2127"/>
        </w:tabs>
        <w:spacing w:after="0" w:line="240" w:lineRule="auto"/>
        <w:ind w:firstLine="426"/>
        <w:jc w:val="center"/>
        <w:rPr>
          <w:rFonts w:ascii="Times New Roman" w:hAnsi="Times New Roman" w:cs="Times New Roman"/>
          <w:b/>
          <w:bCs/>
          <w:lang w:val="ro-MD"/>
        </w:rPr>
      </w:pPr>
      <w:r w:rsidRPr="000508B6">
        <w:rPr>
          <w:rFonts w:ascii="Times New Roman" w:hAnsi="Times New Roman" w:cs="Times New Roman"/>
          <w:b/>
          <w:bCs/>
          <w:lang w:val="ro-MD"/>
        </w:rPr>
        <w:t>Cooperarea și supravegherea în comun în cazul activității transfrontaliere semnificative</w:t>
      </w:r>
    </w:p>
    <w:p w14:paraId="66AA6139" w14:textId="77777777" w:rsidR="00CA06C2" w:rsidRPr="000508B6" w:rsidRDefault="00CA06C2" w:rsidP="00140797">
      <w:pPr>
        <w:tabs>
          <w:tab w:val="left" w:pos="2127"/>
        </w:tabs>
        <w:spacing w:after="0" w:line="240" w:lineRule="auto"/>
        <w:ind w:firstLine="426"/>
        <w:jc w:val="both"/>
        <w:rPr>
          <w:rFonts w:ascii="Times New Roman" w:hAnsi="Times New Roman" w:cs="Times New Roman"/>
          <w:lang w:val="ro-MD"/>
        </w:rPr>
      </w:pPr>
    </w:p>
    <w:p w14:paraId="7590AFC8" w14:textId="7AA48E01" w:rsidR="008F68BF" w:rsidRPr="000508B6" w:rsidRDefault="008F68BF" w:rsidP="001F629F">
      <w:pPr>
        <w:tabs>
          <w:tab w:val="left" w:pos="2127"/>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190</w:t>
      </w:r>
      <w:r w:rsidR="00FB738D" w:rsidRPr="000508B6">
        <w:rPr>
          <w:rFonts w:ascii="Times New Roman" w:hAnsi="Times New Roman" w:cs="Times New Roman"/>
          <w:lang w:val="ro-MD"/>
        </w:rPr>
        <w:t>.</w:t>
      </w:r>
      <w:r w:rsidRPr="000508B6">
        <w:rPr>
          <w:rFonts w:ascii="Times New Roman" w:hAnsi="Times New Roman" w:cs="Times New Roman"/>
          <w:lang w:val="ro-MD"/>
        </w:rPr>
        <w:t xml:space="preserve"> </w:t>
      </w:r>
      <w:r w:rsidR="00CA06C2" w:rsidRPr="000508B6">
        <w:rPr>
          <w:rFonts w:ascii="Times New Roman" w:hAnsi="Times New Roman" w:cs="Times New Roman"/>
          <w:lang w:val="ro-MD"/>
        </w:rPr>
        <w:t xml:space="preserve">Competențele Băncii Naționale a Moldovei în calitate de supraveghetor din statul membru de origine </w:t>
      </w:r>
    </w:p>
    <w:p w14:paraId="6955BEF6" w14:textId="5CA6276C" w:rsidR="00CA06C2" w:rsidRPr="000508B6" w:rsidRDefault="00CA06C2" w:rsidP="008B1683">
      <w:pPr>
        <w:tabs>
          <w:tab w:val="left" w:pos="2127"/>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937EDE" w:rsidRPr="000508B6">
        <w:rPr>
          <w:rFonts w:ascii="Times New Roman" w:hAnsi="Times New Roman" w:cs="Times New Roman"/>
          <w:lang w:val="ro-MD"/>
        </w:rPr>
        <w:t>191</w:t>
      </w:r>
      <w:r w:rsidRPr="000508B6">
        <w:rPr>
          <w:rFonts w:ascii="Times New Roman" w:hAnsi="Times New Roman" w:cs="Times New Roman"/>
          <w:lang w:val="ro-MD"/>
        </w:rPr>
        <w:t xml:space="preserve">. Competențele Băncii Naționale a Moldovei în calitate de supraveghetor din statul membru gazdă </w:t>
      </w:r>
    </w:p>
    <w:p w14:paraId="285716D1" w14:textId="77777777" w:rsidR="00140797" w:rsidRPr="000508B6" w:rsidRDefault="00140797" w:rsidP="001F629F">
      <w:pPr>
        <w:spacing w:after="0" w:line="240" w:lineRule="auto"/>
        <w:ind w:firstLine="426"/>
        <w:jc w:val="both"/>
        <w:rPr>
          <w:rFonts w:ascii="Times New Roman" w:hAnsi="Times New Roman" w:cs="Times New Roman"/>
          <w:lang w:val="ro-MD"/>
        </w:rPr>
      </w:pPr>
    </w:p>
    <w:p w14:paraId="30131263" w14:textId="0FDDBCC5" w:rsidR="00140797" w:rsidRPr="000508B6" w:rsidRDefault="00140797"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Secțiunea  </w:t>
      </w:r>
      <w:r w:rsidR="008F3D39" w:rsidRPr="000508B6">
        <w:rPr>
          <w:rFonts w:ascii="Times New Roman" w:hAnsi="Times New Roman" w:cs="Times New Roman"/>
          <w:b/>
          <w:lang w:val="ro-MD"/>
        </w:rPr>
        <w:t xml:space="preserve">a </w:t>
      </w:r>
      <w:r w:rsidR="00CA06C2" w:rsidRPr="000508B6">
        <w:rPr>
          <w:rFonts w:ascii="Times New Roman" w:hAnsi="Times New Roman" w:cs="Times New Roman"/>
          <w:b/>
          <w:lang w:val="ro-MD"/>
        </w:rPr>
        <w:t xml:space="preserve">4 </w:t>
      </w:r>
      <w:r w:rsidR="008F3D39" w:rsidRPr="000508B6">
        <w:rPr>
          <w:rFonts w:ascii="Times New Roman" w:hAnsi="Times New Roman" w:cs="Times New Roman"/>
          <w:b/>
          <w:lang w:val="ro-MD"/>
        </w:rPr>
        <w:t>-a</w:t>
      </w:r>
    </w:p>
    <w:p w14:paraId="66B53E39" w14:textId="76A4D28C" w:rsidR="00140797" w:rsidRPr="000508B6" w:rsidRDefault="00140797"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Participarea Băncii Naționale a Moldovei la </w:t>
      </w:r>
      <w:r w:rsidR="002A78C9" w:rsidRPr="000508B6">
        <w:rPr>
          <w:rFonts w:ascii="Times New Roman" w:hAnsi="Times New Roman" w:cs="Times New Roman"/>
          <w:b/>
          <w:lang w:val="ro-MD"/>
        </w:rPr>
        <w:t xml:space="preserve">colegiul </w:t>
      </w:r>
      <w:r w:rsidRPr="000508B6">
        <w:rPr>
          <w:rFonts w:ascii="Times New Roman" w:hAnsi="Times New Roman" w:cs="Times New Roman"/>
          <w:b/>
          <w:lang w:val="ro-MD"/>
        </w:rPr>
        <w:t>supraveghetorilor</w:t>
      </w:r>
    </w:p>
    <w:p w14:paraId="5220FDE0" w14:textId="77777777" w:rsidR="00140797" w:rsidRPr="000508B6" w:rsidRDefault="00140797" w:rsidP="00140797">
      <w:pPr>
        <w:spacing w:after="0" w:line="240" w:lineRule="auto"/>
        <w:ind w:firstLine="426"/>
        <w:jc w:val="center"/>
        <w:rPr>
          <w:rFonts w:ascii="Times New Roman" w:hAnsi="Times New Roman" w:cs="Times New Roman"/>
          <w:lang w:val="ro-MD"/>
        </w:rPr>
      </w:pPr>
    </w:p>
    <w:p w14:paraId="56B86D2A" w14:textId="31FA8155"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216D5A" w:rsidRPr="000508B6">
        <w:rPr>
          <w:rFonts w:ascii="Times New Roman" w:hAnsi="Times New Roman" w:cs="Times New Roman"/>
          <w:lang w:val="ro-MD"/>
        </w:rPr>
        <w:t>192</w:t>
      </w:r>
      <w:r w:rsidRPr="000508B6">
        <w:rPr>
          <w:rFonts w:ascii="Times New Roman" w:hAnsi="Times New Roman" w:cs="Times New Roman"/>
          <w:lang w:val="ro-MD"/>
        </w:rPr>
        <w:t>.  Prevederi generale</w:t>
      </w:r>
    </w:p>
    <w:p w14:paraId="7C40C895" w14:textId="2AB02D88"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216D5A" w:rsidRPr="000508B6">
        <w:rPr>
          <w:rFonts w:ascii="Times New Roman" w:hAnsi="Times New Roman" w:cs="Times New Roman"/>
          <w:lang w:val="ro-MD"/>
        </w:rPr>
        <w:t>193</w:t>
      </w:r>
      <w:r w:rsidRPr="000508B6">
        <w:rPr>
          <w:rFonts w:ascii="Times New Roman" w:hAnsi="Times New Roman" w:cs="Times New Roman"/>
          <w:lang w:val="ro-MD"/>
        </w:rPr>
        <w:t>. Atribuțiile și competențele Băncii Naționale a Moldovei în calitate de supraveghetor coordonator</w:t>
      </w:r>
    </w:p>
    <w:p w14:paraId="5C5C04A6" w14:textId="091BB8BE"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216D5A" w:rsidRPr="000508B6">
        <w:rPr>
          <w:rFonts w:ascii="Times New Roman" w:hAnsi="Times New Roman" w:cs="Times New Roman"/>
          <w:lang w:val="ro-MD"/>
        </w:rPr>
        <w:t>194</w:t>
      </w:r>
      <w:r w:rsidRPr="000508B6">
        <w:rPr>
          <w:rFonts w:ascii="Times New Roman" w:hAnsi="Times New Roman" w:cs="Times New Roman"/>
          <w:lang w:val="ro-MD"/>
        </w:rPr>
        <w:t>. Atribuțiile și competențele Băncii Naționale a Moldovei în calitate de membru al colegiului supraveghetorilor</w:t>
      </w:r>
    </w:p>
    <w:p w14:paraId="512B2C58" w14:textId="794FCA27"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216D5A" w:rsidRPr="000508B6">
        <w:rPr>
          <w:rFonts w:ascii="Times New Roman" w:hAnsi="Times New Roman" w:cs="Times New Roman"/>
          <w:lang w:val="ro-MD"/>
        </w:rPr>
        <w:t>195</w:t>
      </w:r>
      <w:r w:rsidRPr="000508B6">
        <w:rPr>
          <w:rFonts w:ascii="Times New Roman" w:hAnsi="Times New Roman" w:cs="Times New Roman"/>
          <w:lang w:val="ro-MD"/>
        </w:rPr>
        <w:t>.  Cooperarea și schimbul de informații</w:t>
      </w:r>
    </w:p>
    <w:p w14:paraId="00511639" w14:textId="77777777" w:rsidR="00140797" w:rsidRPr="000508B6" w:rsidRDefault="00140797" w:rsidP="00140797">
      <w:pPr>
        <w:spacing w:after="0" w:line="240" w:lineRule="auto"/>
        <w:ind w:firstLine="426"/>
        <w:jc w:val="both"/>
        <w:rPr>
          <w:rFonts w:ascii="Times New Roman" w:hAnsi="Times New Roman" w:cs="Times New Roman"/>
          <w:lang w:val="ro-MD"/>
        </w:rPr>
      </w:pPr>
    </w:p>
    <w:p w14:paraId="41CE2B8D" w14:textId="49A32CFF" w:rsidR="00140797" w:rsidRPr="000508B6" w:rsidRDefault="00140797"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Secțiunea </w:t>
      </w:r>
      <w:r w:rsidR="008F3D39" w:rsidRPr="000508B6">
        <w:rPr>
          <w:rFonts w:ascii="Times New Roman" w:hAnsi="Times New Roman" w:cs="Times New Roman"/>
          <w:b/>
          <w:lang w:val="ro-MD"/>
        </w:rPr>
        <w:t>a</w:t>
      </w:r>
      <w:r w:rsidRPr="000508B6">
        <w:rPr>
          <w:rFonts w:ascii="Times New Roman" w:hAnsi="Times New Roman" w:cs="Times New Roman"/>
          <w:b/>
          <w:lang w:val="ro-MD"/>
        </w:rPr>
        <w:t xml:space="preserve"> </w:t>
      </w:r>
      <w:r w:rsidR="00CA06C2" w:rsidRPr="000508B6">
        <w:rPr>
          <w:rFonts w:ascii="Times New Roman" w:hAnsi="Times New Roman" w:cs="Times New Roman"/>
          <w:b/>
          <w:lang w:val="ro-MD"/>
        </w:rPr>
        <w:t>5</w:t>
      </w:r>
      <w:r w:rsidR="008F3D39" w:rsidRPr="000508B6">
        <w:rPr>
          <w:rFonts w:ascii="Times New Roman" w:hAnsi="Times New Roman" w:cs="Times New Roman"/>
          <w:b/>
          <w:lang w:val="ro-MD"/>
        </w:rPr>
        <w:t>-a</w:t>
      </w:r>
    </w:p>
    <w:p w14:paraId="1D698576" w14:textId="77932847" w:rsidR="00140797" w:rsidRPr="000508B6" w:rsidRDefault="00140797" w:rsidP="0014079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Secretul profesional</w:t>
      </w:r>
      <w:r w:rsidR="001175D3" w:rsidRPr="000508B6">
        <w:rPr>
          <w:rFonts w:ascii="Times New Roman" w:hAnsi="Times New Roman" w:cs="Times New Roman"/>
          <w:b/>
          <w:lang w:val="ro-MD"/>
        </w:rPr>
        <w:t xml:space="preserve"> </w:t>
      </w:r>
    </w:p>
    <w:p w14:paraId="7431BB6F" w14:textId="68792437" w:rsidR="00140797" w:rsidRPr="000508B6" w:rsidRDefault="00140797" w:rsidP="0014079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216D5A" w:rsidRPr="000508B6">
        <w:rPr>
          <w:rFonts w:ascii="Times New Roman" w:hAnsi="Times New Roman" w:cs="Times New Roman"/>
          <w:lang w:val="ro-MD"/>
        </w:rPr>
        <w:t>196</w:t>
      </w:r>
      <w:r w:rsidRPr="000508B6">
        <w:rPr>
          <w:rFonts w:ascii="Times New Roman" w:hAnsi="Times New Roman" w:cs="Times New Roman"/>
          <w:lang w:val="ro-MD"/>
        </w:rPr>
        <w:t>.  Secretul profesional</w:t>
      </w:r>
    </w:p>
    <w:p w14:paraId="0248BB3D" w14:textId="77777777" w:rsidR="00DE324A" w:rsidRPr="000508B6" w:rsidRDefault="00DE324A" w:rsidP="00E74647">
      <w:pPr>
        <w:spacing w:after="0" w:line="240" w:lineRule="auto"/>
        <w:ind w:firstLine="426"/>
        <w:jc w:val="center"/>
        <w:rPr>
          <w:rFonts w:ascii="Times New Roman" w:hAnsi="Times New Roman" w:cs="Times New Roman"/>
          <w:b/>
          <w:lang w:val="ro-MD"/>
        </w:rPr>
      </w:pPr>
    </w:p>
    <w:p w14:paraId="17C82D08" w14:textId="12642673" w:rsidR="00E74647" w:rsidRPr="000508B6" w:rsidRDefault="00E74647" w:rsidP="00E7464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Secțiunea  </w:t>
      </w:r>
      <w:r w:rsidR="008F3D39" w:rsidRPr="000508B6">
        <w:rPr>
          <w:rFonts w:ascii="Times New Roman" w:hAnsi="Times New Roman" w:cs="Times New Roman"/>
          <w:b/>
          <w:lang w:val="ro-MD"/>
        </w:rPr>
        <w:t xml:space="preserve">a 6-a </w:t>
      </w:r>
    </w:p>
    <w:p w14:paraId="75744200" w14:textId="5BA467D7" w:rsidR="00E74647" w:rsidRPr="000508B6" w:rsidRDefault="00E74647" w:rsidP="00E74647">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Moneda</w:t>
      </w:r>
    </w:p>
    <w:p w14:paraId="72A20AC2" w14:textId="66A320F1" w:rsidR="00E74647" w:rsidRPr="000508B6" w:rsidRDefault="00E74647" w:rsidP="00E7464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Articolul </w:t>
      </w:r>
      <w:r w:rsidR="00216D5A" w:rsidRPr="000508B6">
        <w:rPr>
          <w:rFonts w:ascii="Times New Roman" w:hAnsi="Times New Roman" w:cs="Times New Roman"/>
          <w:lang w:val="ro-MD"/>
        </w:rPr>
        <w:t>197</w:t>
      </w:r>
      <w:r w:rsidRPr="000508B6">
        <w:rPr>
          <w:rFonts w:ascii="Times New Roman" w:hAnsi="Times New Roman" w:cs="Times New Roman"/>
          <w:lang w:val="ro-MD"/>
        </w:rPr>
        <w:t>.  Moneda</w:t>
      </w:r>
    </w:p>
    <w:p w14:paraId="7C4EAFBA" w14:textId="59C3DD97"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X</w:t>
      </w:r>
    </w:p>
    <w:p w14:paraId="71B86FEC" w14:textId="7CC08158" w:rsidR="00F95829" w:rsidRPr="000508B6" w:rsidRDefault="00F36BFE"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RĂSPUNDERE ȘI SANCȚIUNI</w:t>
      </w:r>
    </w:p>
    <w:p w14:paraId="12708DBA" w14:textId="77777777" w:rsidR="006E7579" w:rsidRPr="000508B6" w:rsidRDefault="006E7579" w:rsidP="00503E87">
      <w:pPr>
        <w:spacing w:after="0" w:line="240" w:lineRule="auto"/>
        <w:ind w:firstLine="425"/>
        <w:rPr>
          <w:rFonts w:ascii="Times New Roman" w:eastAsia="Times New Roman" w:hAnsi="Times New Roman" w:cs="Times New Roman"/>
          <w:lang w:val="ro-MD"/>
        </w:rPr>
      </w:pPr>
    </w:p>
    <w:p w14:paraId="4BAAAC97" w14:textId="27A4085C" w:rsidR="00F95829" w:rsidRPr="000508B6" w:rsidRDefault="00F95829" w:rsidP="00503E87">
      <w:pPr>
        <w:spacing w:after="0" w:line="240" w:lineRule="auto"/>
        <w:ind w:firstLine="425"/>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216D5A" w:rsidRPr="000508B6">
        <w:rPr>
          <w:rFonts w:ascii="Times New Roman" w:eastAsia="Times New Roman" w:hAnsi="Times New Roman" w:cs="Times New Roman"/>
          <w:lang w:val="ro-MD"/>
        </w:rPr>
        <w:t>198</w:t>
      </w:r>
      <w:r w:rsidRPr="000508B6">
        <w:rPr>
          <w:rFonts w:ascii="Times New Roman" w:eastAsia="Times New Roman" w:hAnsi="Times New Roman" w:cs="Times New Roman"/>
          <w:lang w:val="ro-MD"/>
        </w:rPr>
        <w:t xml:space="preserve">. </w:t>
      </w:r>
      <w:r w:rsidR="00104BA0" w:rsidRPr="000508B6">
        <w:rPr>
          <w:rFonts w:ascii="Times New Roman" w:eastAsia="Times New Roman" w:hAnsi="Times New Roman" w:cs="Times New Roman"/>
          <w:lang w:val="ro-MD"/>
        </w:rPr>
        <w:t>Încălcări</w:t>
      </w:r>
      <w:r w:rsidR="004B01A0"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sancţiuni</w:t>
      </w:r>
      <w:proofErr w:type="spellEnd"/>
      <w:r w:rsidR="001175D3" w:rsidRPr="000508B6">
        <w:rPr>
          <w:rFonts w:ascii="Times New Roman" w:eastAsia="Times New Roman" w:hAnsi="Times New Roman" w:cs="Times New Roman"/>
          <w:lang w:val="ro-MD"/>
        </w:rPr>
        <w:t xml:space="preserve"> </w:t>
      </w:r>
    </w:p>
    <w:p w14:paraId="359C9609" w14:textId="77777777" w:rsidR="00994018" w:rsidRPr="000508B6" w:rsidRDefault="00994018" w:rsidP="002C6D85">
      <w:pPr>
        <w:spacing w:after="0" w:line="240" w:lineRule="auto"/>
        <w:ind w:firstLine="426"/>
        <w:jc w:val="center"/>
        <w:rPr>
          <w:rFonts w:ascii="Times New Roman" w:eastAsia="Times New Roman" w:hAnsi="Times New Roman" w:cs="Times New Roman"/>
          <w:b/>
          <w:lang w:val="ro-MD"/>
        </w:rPr>
      </w:pPr>
    </w:p>
    <w:p w14:paraId="45950366" w14:textId="074FED79" w:rsidR="008F3349" w:rsidRPr="000508B6" w:rsidRDefault="00F36BFE" w:rsidP="006E7579">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XI </w:t>
      </w:r>
    </w:p>
    <w:p w14:paraId="4A9DB3C8" w14:textId="6968467C" w:rsidR="002C6D85" w:rsidRPr="000508B6" w:rsidRDefault="00F36BFE" w:rsidP="006E7579">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DISPOZIŢII </w:t>
      </w:r>
      <w:r w:rsidR="004839C0">
        <w:rPr>
          <w:rFonts w:ascii="Times New Roman" w:eastAsia="Times New Roman" w:hAnsi="Times New Roman" w:cs="Times New Roman"/>
          <w:b/>
          <w:lang w:val="ro-MD"/>
        </w:rPr>
        <w:t xml:space="preserve">FINALE ȘI </w:t>
      </w:r>
      <w:r w:rsidR="00691DB8" w:rsidRPr="000508B6">
        <w:rPr>
          <w:rFonts w:ascii="Times New Roman" w:eastAsia="Times New Roman" w:hAnsi="Times New Roman" w:cs="Times New Roman"/>
          <w:b/>
          <w:lang w:val="ro-MD"/>
        </w:rPr>
        <w:t xml:space="preserve">TRANZITORII </w:t>
      </w:r>
    </w:p>
    <w:p w14:paraId="15711870" w14:textId="77777777" w:rsidR="002C6D85" w:rsidRPr="000508B6" w:rsidRDefault="002C6D85" w:rsidP="006E7579">
      <w:pPr>
        <w:spacing w:after="0" w:line="240" w:lineRule="auto"/>
        <w:rPr>
          <w:rFonts w:ascii="Times New Roman" w:eastAsia="Times New Roman" w:hAnsi="Times New Roman" w:cs="Times New Roman"/>
          <w:lang w:val="ro-MD"/>
        </w:rPr>
      </w:pPr>
    </w:p>
    <w:p w14:paraId="66DE7364" w14:textId="77777777" w:rsidR="00EB4844" w:rsidRDefault="002C6D85" w:rsidP="00EB4844">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216D5A" w:rsidRPr="000508B6">
        <w:rPr>
          <w:rFonts w:ascii="Times New Roman" w:eastAsia="Times New Roman" w:hAnsi="Times New Roman" w:cs="Times New Roman"/>
          <w:lang w:val="ro-MD"/>
        </w:rPr>
        <w:t>199</w:t>
      </w:r>
      <w:r w:rsidRPr="000508B6">
        <w:rPr>
          <w:rFonts w:ascii="Times New Roman" w:eastAsia="Times New Roman" w:hAnsi="Times New Roman" w:cs="Times New Roman"/>
          <w:lang w:val="ro-MD"/>
        </w:rPr>
        <w:t xml:space="preserve">. </w:t>
      </w:r>
      <w:r w:rsidR="00FF0B6B" w:rsidRPr="000508B6">
        <w:rPr>
          <w:rFonts w:ascii="Times New Roman" w:eastAsia="Times New Roman" w:hAnsi="Times New Roman" w:cs="Times New Roman"/>
          <w:lang w:val="ro-MD"/>
        </w:rPr>
        <w:t xml:space="preserve">Dispoziții </w:t>
      </w:r>
      <w:r w:rsidR="004839C0">
        <w:rPr>
          <w:rFonts w:ascii="Times New Roman" w:eastAsia="Times New Roman" w:hAnsi="Times New Roman" w:cs="Times New Roman"/>
          <w:lang w:val="ro-MD"/>
        </w:rPr>
        <w:t>finale</w:t>
      </w:r>
    </w:p>
    <w:p w14:paraId="2DA0448D" w14:textId="7A45E7E7" w:rsidR="00691DB8" w:rsidRPr="000508B6" w:rsidRDefault="00590336" w:rsidP="00EB4844">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Articolul </w:t>
      </w:r>
      <w:r w:rsidR="00216D5A" w:rsidRPr="000508B6">
        <w:rPr>
          <w:rFonts w:ascii="Times New Roman" w:eastAsia="Times New Roman" w:hAnsi="Times New Roman" w:cs="Times New Roman"/>
          <w:lang w:val="ro-MD"/>
        </w:rPr>
        <w:t>200</w:t>
      </w:r>
      <w:r w:rsidRPr="000508B6">
        <w:rPr>
          <w:rFonts w:ascii="Times New Roman" w:eastAsia="Times New Roman" w:hAnsi="Times New Roman" w:cs="Times New Roman"/>
          <w:lang w:val="ro-MD"/>
        </w:rPr>
        <w:t xml:space="preserve">. </w:t>
      </w:r>
      <w:r w:rsidR="004839C0">
        <w:rPr>
          <w:rFonts w:ascii="Times New Roman" w:eastAsia="Times New Roman" w:hAnsi="Times New Roman" w:cs="Times New Roman"/>
          <w:lang w:val="ro-MD"/>
        </w:rPr>
        <w:t xml:space="preserve">Dispoziții tranzitorii </w:t>
      </w:r>
    </w:p>
    <w:p w14:paraId="4A990869" w14:textId="6B5A766D" w:rsidR="00590336" w:rsidRPr="000508B6" w:rsidRDefault="00691DB8" w:rsidP="00991255">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Articolul 201.</w:t>
      </w:r>
      <w:r w:rsidR="00991255">
        <w:rPr>
          <w:rFonts w:ascii="Times New Roman" w:eastAsia="Times New Roman" w:hAnsi="Times New Roman" w:cs="Times New Roman"/>
          <w:lang w:val="ro-MD"/>
        </w:rPr>
        <w:t xml:space="preserve"> </w:t>
      </w:r>
      <w:r w:rsidR="004839C0" w:rsidRPr="000508B6">
        <w:rPr>
          <w:rFonts w:ascii="Times New Roman" w:eastAsia="Times New Roman" w:hAnsi="Times New Roman" w:cs="Times New Roman"/>
          <w:lang w:val="ro-MD"/>
        </w:rPr>
        <w:t>Planul pentru respectarea SCR prin utilizarea măsurilor tranzitorii</w:t>
      </w:r>
    </w:p>
    <w:p w14:paraId="3A3BC5A4" w14:textId="6CD28D9A" w:rsidR="00573EEE" w:rsidRPr="000508B6" w:rsidRDefault="00573EEE" w:rsidP="00573EEE">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00E81DE7" w:rsidRPr="000508B6">
        <w:rPr>
          <w:rFonts w:ascii="Times New Roman" w:eastAsia="Times New Roman" w:hAnsi="Times New Roman" w:cs="Times New Roman"/>
          <w:lang w:val="ro-MD"/>
        </w:rPr>
        <w:t>nexa</w:t>
      </w:r>
      <w:r w:rsidR="009802DF" w:rsidRPr="000508B6">
        <w:rPr>
          <w:rFonts w:ascii="Times New Roman" w:eastAsia="Times New Roman" w:hAnsi="Times New Roman" w:cs="Times New Roman"/>
          <w:lang w:val="ro-MD"/>
        </w:rPr>
        <w:t xml:space="preserve"> </w:t>
      </w:r>
      <w:r w:rsidR="00E81DE7" w:rsidRPr="000508B6">
        <w:rPr>
          <w:rFonts w:ascii="Times New Roman" w:eastAsia="Times New Roman" w:hAnsi="Times New Roman" w:cs="Times New Roman"/>
          <w:lang w:val="ro-MD"/>
        </w:rPr>
        <w:t>n</w:t>
      </w:r>
      <w:r w:rsidRPr="000508B6">
        <w:rPr>
          <w:rFonts w:ascii="Times New Roman" w:eastAsia="Times New Roman" w:hAnsi="Times New Roman" w:cs="Times New Roman"/>
          <w:lang w:val="ro-MD"/>
        </w:rPr>
        <w:t>r. 1</w:t>
      </w:r>
      <w:r w:rsidR="00FB738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Clasele de asigurare</w:t>
      </w:r>
      <w:r w:rsidR="00EA3009" w:rsidRPr="000508B6">
        <w:rPr>
          <w:rFonts w:ascii="Times New Roman" w:eastAsia="Times New Roman" w:hAnsi="Times New Roman" w:cs="Times New Roman"/>
          <w:lang w:val="ro-MD"/>
        </w:rPr>
        <w:t xml:space="preserve"> generală</w:t>
      </w:r>
    </w:p>
    <w:p w14:paraId="3C407C1E" w14:textId="414DA6EE" w:rsidR="00EA3009" w:rsidRPr="000508B6" w:rsidRDefault="00573EEE" w:rsidP="00573EEE">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00E81DE7" w:rsidRPr="000508B6">
        <w:rPr>
          <w:rFonts w:ascii="Times New Roman" w:eastAsia="Times New Roman" w:hAnsi="Times New Roman" w:cs="Times New Roman"/>
          <w:lang w:val="ro-MD"/>
        </w:rPr>
        <w:t>nexa</w:t>
      </w:r>
      <w:r w:rsidR="009802DF" w:rsidRPr="000508B6">
        <w:rPr>
          <w:rFonts w:ascii="Times New Roman" w:eastAsia="Times New Roman" w:hAnsi="Times New Roman" w:cs="Times New Roman"/>
          <w:lang w:val="ro-MD"/>
        </w:rPr>
        <w:t xml:space="preserve"> </w:t>
      </w:r>
      <w:r w:rsidR="00E81DE7" w:rsidRPr="000508B6">
        <w:rPr>
          <w:rFonts w:ascii="Times New Roman" w:eastAsia="Times New Roman" w:hAnsi="Times New Roman" w:cs="Times New Roman"/>
          <w:lang w:val="ro-MD"/>
        </w:rPr>
        <w:t>n</w:t>
      </w:r>
      <w:r w:rsidRPr="000508B6">
        <w:rPr>
          <w:rFonts w:ascii="Times New Roman" w:eastAsia="Times New Roman" w:hAnsi="Times New Roman" w:cs="Times New Roman"/>
          <w:lang w:val="ro-MD"/>
        </w:rPr>
        <w:t>r. 2</w:t>
      </w:r>
      <w:r w:rsidR="00FB738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EA3009" w:rsidRPr="000508B6">
        <w:rPr>
          <w:rFonts w:ascii="Times New Roman" w:eastAsia="Times New Roman" w:hAnsi="Times New Roman" w:cs="Times New Roman"/>
          <w:lang w:val="ro-MD"/>
        </w:rPr>
        <w:t>Clasele de asigurare de viață</w:t>
      </w:r>
    </w:p>
    <w:p w14:paraId="3B3B2795" w14:textId="7C8F79B0" w:rsidR="0029017B" w:rsidRPr="000508B6" w:rsidRDefault="00EA3009" w:rsidP="00573EEE">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004012A7" w:rsidRPr="000508B6">
        <w:rPr>
          <w:rFonts w:ascii="Times New Roman" w:eastAsia="Times New Roman" w:hAnsi="Times New Roman" w:cs="Times New Roman"/>
          <w:lang w:val="ro-MD"/>
        </w:rPr>
        <w:t>nexa</w:t>
      </w:r>
      <w:r w:rsidRPr="000508B6">
        <w:rPr>
          <w:rFonts w:ascii="Times New Roman" w:eastAsia="Times New Roman" w:hAnsi="Times New Roman" w:cs="Times New Roman"/>
          <w:lang w:val="ro-MD"/>
        </w:rPr>
        <w:t xml:space="preserve"> </w:t>
      </w:r>
      <w:r w:rsidR="004012A7" w:rsidRPr="000508B6">
        <w:rPr>
          <w:rFonts w:ascii="Times New Roman" w:eastAsia="Times New Roman" w:hAnsi="Times New Roman" w:cs="Times New Roman"/>
          <w:lang w:val="ro-MD"/>
        </w:rPr>
        <w:t>n</w:t>
      </w:r>
      <w:r w:rsidRPr="000508B6">
        <w:rPr>
          <w:rFonts w:ascii="Times New Roman" w:eastAsia="Times New Roman" w:hAnsi="Times New Roman" w:cs="Times New Roman"/>
          <w:lang w:val="ro-MD"/>
        </w:rPr>
        <w:t>r. 3</w:t>
      </w:r>
      <w:r w:rsidR="00FB738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573EEE" w:rsidRPr="000508B6">
        <w:rPr>
          <w:rFonts w:ascii="Times New Roman" w:eastAsia="Times New Roman" w:hAnsi="Times New Roman" w:cs="Times New Roman"/>
          <w:lang w:val="ro-MD"/>
        </w:rPr>
        <w:t>Formula standard pentru calcularea SCR</w:t>
      </w:r>
    </w:p>
    <w:bookmarkEnd w:id="0"/>
    <w:p w14:paraId="6E21C5CD" w14:textId="03C82D1C" w:rsidR="00691DB8" w:rsidRPr="000508B6" w:rsidRDefault="00691DB8" w:rsidP="00691DB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Anexa nr. 4</w:t>
      </w:r>
      <w:r w:rsidR="00FB738D"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Calcularea primei de volatilitate</w:t>
      </w:r>
    </w:p>
    <w:p w14:paraId="203EB0E1" w14:textId="3A53A063" w:rsidR="002D0A73" w:rsidRPr="000508B6" w:rsidRDefault="00691DB8"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Anexa nr. 5</w:t>
      </w:r>
      <w:r w:rsidR="00FB738D"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Calcularea </w:t>
      </w:r>
      <w:proofErr w:type="spellStart"/>
      <w:r w:rsidRPr="000508B6">
        <w:rPr>
          <w:rFonts w:ascii="Times New Roman" w:eastAsia="Times New Roman" w:hAnsi="Times New Roman" w:cs="Times New Roman"/>
          <w:bCs/>
          <w:lang w:val="ro-MD"/>
        </w:rPr>
        <w:t>macroprimei</w:t>
      </w:r>
      <w:proofErr w:type="spellEnd"/>
      <w:r w:rsidRPr="000508B6">
        <w:rPr>
          <w:rFonts w:ascii="Times New Roman" w:eastAsia="Times New Roman" w:hAnsi="Times New Roman" w:cs="Times New Roman"/>
          <w:bCs/>
          <w:lang w:val="ro-MD"/>
        </w:rPr>
        <w:t xml:space="preserve"> de volatilitate</w:t>
      </w:r>
    </w:p>
    <w:p w14:paraId="3C40E937" w14:textId="77777777" w:rsidR="002D0A73" w:rsidRPr="000508B6" w:rsidRDefault="002D0A73" w:rsidP="008B530F">
      <w:pPr>
        <w:spacing w:after="0" w:line="240" w:lineRule="auto"/>
        <w:ind w:firstLine="426"/>
        <w:jc w:val="both"/>
        <w:rPr>
          <w:rFonts w:ascii="Times New Roman" w:eastAsia="Times New Roman" w:hAnsi="Times New Roman" w:cs="Times New Roman"/>
          <w:b/>
          <w:lang w:val="ro-MD"/>
        </w:rPr>
      </w:pPr>
    </w:p>
    <w:p w14:paraId="11959095" w14:textId="77777777" w:rsidR="002D0A73" w:rsidRPr="000508B6" w:rsidRDefault="002D0A73" w:rsidP="008B530F">
      <w:pPr>
        <w:spacing w:after="0" w:line="240" w:lineRule="auto"/>
        <w:ind w:firstLine="426"/>
        <w:jc w:val="both"/>
        <w:rPr>
          <w:rFonts w:ascii="Times New Roman" w:eastAsia="Times New Roman" w:hAnsi="Times New Roman" w:cs="Times New Roman"/>
          <w:b/>
          <w:lang w:val="ro-MD"/>
        </w:rPr>
      </w:pPr>
    </w:p>
    <w:p w14:paraId="0DEA4A96" w14:textId="599B0F89" w:rsidR="00F95829" w:rsidRPr="000508B6" w:rsidRDefault="00F95829" w:rsidP="008B530F">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Parlamentul adoptă prezenta lege organică.</w:t>
      </w:r>
    </w:p>
    <w:p w14:paraId="4318B92B" w14:textId="77777777" w:rsidR="00DA0067" w:rsidRPr="000508B6" w:rsidRDefault="00DA0067" w:rsidP="0018328B">
      <w:pPr>
        <w:spacing w:after="0" w:line="240" w:lineRule="auto"/>
        <w:ind w:firstLine="426"/>
        <w:jc w:val="both"/>
        <w:rPr>
          <w:rFonts w:ascii="Times New Roman" w:eastAsia="Times New Roman" w:hAnsi="Times New Roman" w:cs="Times New Roman"/>
          <w:lang w:val="ro-MD"/>
        </w:rPr>
      </w:pPr>
    </w:p>
    <w:p w14:paraId="63B4F960" w14:textId="77777777" w:rsidR="001E031C" w:rsidRPr="000508B6" w:rsidRDefault="001E031C" w:rsidP="0018328B">
      <w:pPr>
        <w:spacing w:after="0" w:line="240" w:lineRule="auto"/>
        <w:ind w:firstLine="426"/>
        <w:jc w:val="both"/>
        <w:rPr>
          <w:rFonts w:ascii="Times New Roman" w:eastAsia="Times New Roman" w:hAnsi="Times New Roman" w:cs="Times New Roman"/>
          <w:lang w:val="ro-MD"/>
        </w:rPr>
      </w:pPr>
    </w:p>
    <w:p w14:paraId="1E80B7E7" w14:textId="4C0DA8FC" w:rsidR="003C5E33" w:rsidRPr="000508B6" w:rsidRDefault="00F95829" w:rsidP="0018328B">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Prezenta lege transpune prevederile</w:t>
      </w:r>
      <w:r w:rsidR="003C5E33" w:rsidRPr="000508B6">
        <w:rPr>
          <w:rFonts w:ascii="Times New Roman" w:eastAsia="Times New Roman" w:hAnsi="Times New Roman" w:cs="Times New Roman"/>
          <w:lang w:val="ro-MD"/>
        </w:rPr>
        <w:t>:</w:t>
      </w:r>
    </w:p>
    <w:p w14:paraId="6F23D5C6" w14:textId="21331525" w:rsidR="00E60BE7" w:rsidRPr="000508B6" w:rsidRDefault="003C5E33" w:rsidP="0018328B">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Directivei 2009/138/CE a Parlamentului European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Consiliului din 25 noiembrie 2009 privind accesul la activitate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desfăşurarea</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activităţii</w:t>
      </w:r>
      <w:proofErr w:type="spellEnd"/>
      <w:r w:rsidR="00F95829" w:rsidRPr="000508B6">
        <w:rPr>
          <w:rFonts w:ascii="Times New Roman" w:eastAsia="Times New Roman" w:hAnsi="Times New Roman" w:cs="Times New Roman"/>
          <w:lang w:val="ro-MD"/>
        </w:rPr>
        <w:t xml:space="preserve"> de asigurare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de reasigurare (Solvabilitate II), publicată în Jurnalul Oficial al Uniunii Europene L 335 din 17 decembrie 2009, </w:t>
      </w:r>
      <w:r w:rsidR="00724E92" w:rsidRPr="000508B6">
        <w:rPr>
          <w:rFonts w:ascii="Times New Roman" w:eastAsia="Times New Roman" w:hAnsi="Times New Roman" w:cs="Times New Roman"/>
          <w:lang w:val="ro-MD"/>
        </w:rPr>
        <w:t>(</w:t>
      </w:r>
      <w:r w:rsidR="0079224B" w:rsidRPr="000508B6">
        <w:rPr>
          <w:rFonts w:ascii="Times New Roman" w:eastAsia="Times New Roman" w:hAnsi="Times New Roman" w:cs="Times New Roman"/>
          <w:lang w:val="ro-MD"/>
        </w:rPr>
        <w:t>CELEX:02009L0138</w:t>
      </w:r>
      <w:r w:rsidR="00724E92"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astfel cum a fost modificată ultima dată </w:t>
      </w:r>
      <w:r w:rsidR="007E5FD0" w:rsidRPr="000508B6">
        <w:rPr>
          <w:rFonts w:ascii="Times New Roman" w:eastAsia="Times New Roman" w:hAnsi="Times New Roman" w:cs="Times New Roman"/>
          <w:lang w:val="ro-MD"/>
        </w:rPr>
        <w:t xml:space="preserve"> prin</w:t>
      </w:r>
      <w:r w:rsidR="00BA1A92" w:rsidRPr="000508B6">
        <w:rPr>
          <w:rFonts w:ascii="Times New Roman" w:eastAsia="Times New Roman" w:hAnsi="Times New Roman" w:cs="Times New Roman"/>
          <w:lang w:val="ro-MD"/>
        </w:rPr>
        <w:t xml:space="preserve"> Directiva (UE) 2025/2 a Parlamentului European și a Consiliului din 27 noiembrie 2024 de modificare a Directivei 2009/138/CE în ceea ce privește proporționalitatea, calitatea supravegherii, raportarea, măsurile referitoare la garanțiile pe termen lung, instrumentele </w:t>
      </w:r>
      <w:proofErr w:type="spellStart"/>
      <w:r w:rsidR="00BA1A92" w:rsidRPr="000508B6">
        <w:rPr>
          <w:rFonts w:ascii="Times New Roman" w:eastAsia="Times New Roman" w:hAnsi="Times New Roman" w:cs="Times New Roman"/>
          <w:lang w:val="ro-MD"/>
        </w:rPr>
        <w:t>macroprudențiale</w:t>
      </w:r>
      <w:proofErr w:type="spellEnd"/>
      <w:r w:rsidR="00BA1A92" w:rsidRPr="000508B6">
        <w:rPr>
          <w:rFonts w:ascii="Times New Roman" w:eastAsia="Times New Roman" w:hAnsi="Times New Roman" w:cs="Times New Roman"/>
          <w:lang w:val="ro-MD"/>
        </w:rPr>
        <w:t xml:space="preserve">, riscurile legate de durabilitate, supravegherea la nivel de grup și supravegherea transfrontalieră și de modificare a Directivelor 2002/87/CE și 2013/34/UE,   publicată în Jurnalul Oficial al Uniunii Europene </w:t>
      </w:r>
      <w:r w:rsidR="00502154" w:rsidRPr="000508B6">
        <w:rPr>
          <w:rFonts w:ascii="Times New Roman" w:eastAsia="Times New Roman" w:hAnsi="Times New Roman" w:cs="Times New Roman"/>
          <w:lang w:val="ro-MD"/>
        </w:rPr>
        <w:t>Seria</w:t>
      </w:r>
      <w:r w:rsidR="00BA1A92" w:rsidRPr="000508B6">
        <w:rPr>
          <w:rFonts w:ascii="Times New Roman" w:eastAsia="Times New Roman" w:hAnsi="Times New Roman" w:cs="Times New Roman"/>
          <w:lang w:val="ro-MD"/>
        </w:rPr>
        <w:t xml:space="preserve"> </w:t>
      </w:r>
      <w:r w:rsidR="007E5FD0" w:rsidRPr="000508B6">
        <w:rPr>
          <w:rFonts w:ascii="Times New Roman" w:eastAsia="Times New Roman" w:hAnsi="Times New Roman" w:cs="Times New Roman"/>
          <w:lang w:val="ro-MD"/>
        </w:rPr>
        <w:t xml:space="preserve">L </w:t>
      </w:r>
      <w:r w:rsidR="00502154" w:rsidRPr="000508B6">
        <w:rPr>
          <w:rFonts w:ascii="Times New Roman" w:eastAsia="Times New Roman" w:hAnsi="Times New Roman" w:cs="Times New Roman"/>
          <w:lang w:val="ro-MD"/>
        </w:rPr>
        <w:t>din 08</w:t>
      </w:r>
      <w:r w:rsidR="000B797D" w:rsidRPr="000508B6">
        <w:rPr>
          <w:rFonts w:ascii="Times New Roman" w:eastAsia="Times New Roman" w:hAnsi="Times New Roman" w:cs="Times New Roman"/>
          <w:lang w:val="ro-MD"/>
        </w:rPr>
        <w:t xml:space="preserve"> ianuarie </w:t>
      </w:r>
      <w:r w:rsidR="00502154" w:rsidRPr="000508B6">
        <w:rPr>
          <w:rFonts w:ascii="Times New Roman" w:eastAsia="Times New Roman" w:hAnsi="Times New Roman" w:cs="Times New Roman"/>
          <w:lang w:val="ro-MD"/>
        </w:rPr>
        <w:t>2025</w:t>
      </w:r>
      <w:r w:rsidR="00BA1A92" w:rsidRPr="000508B6">
        <w:rPr>
          <w:rFonts w:ascii="Times New Roman" w:eastAsia="Times New Roman" w:hAnsi="Times New Roman" w:cs="Times New Roman"/>
          <w:lang w:val="ro-MD"/>
        </w:rPr>
        <w:t xml:space="preserve"> (</w:t>
      </w:r>
      <w:r w:rsidR="007E5FD0" w:rsidRPr="000508B6">
        <w:rPr>
          <w:rFonts w:ascii="Times New Roman" w:eastAsia="Times New Roman" w:hAnsi="Times New Roman" w:cs="Times New Roman"/>
          <w:lang w:val="ro-MD"/>
        </w:rPr>
        <w:t>CELEX:32025L0002</w:t>
      </w:r>
      <w:r w:rsidR="00BA1A92"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w:t>
      </w:r>
    </w:p>
    <w:p w14:paraId="39C8CA37" w14:textId="77777777" w:rsidR="0018328B" w:rsidRPr="000508B6" w:rsidRDefault="0018328B" w:rsidP="008B530F">
      <w:pPr>
        <w:spacing w:after="0" w:line="240" w:lineRule="auto"/>
        <w:ind w:firstLine="426"/>
        <w:jc w:val="both"/>
        <w:rPr>
          <w:rFonts w:ascii="Times New Roman" w:eastAsia="Times New Roman" w:hAnsi="Times New Roman" w:cs="Times New Roman"/>
          <w:lang w:val="ro-MD"/>
        </w:rPr>
      </w:pPr>
    </w:p>
    <w:p w14:paraId="38355AE5"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I</w:t>
      </w:r>
    </w:p>
    <w:p w14:paraId="71ECD1F0"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DISPOZIŢII GENERALE</w:t>
      </w:r>
    </w:p>
    <w:p w14:paraId="783FC87C"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 1.</w:t>
      </w:r>
      <w:r w:rsidRPr="000508B6">
        <w:rPr>
          <w:rFonts w:ascii="Times New Roman" w:eastAsia="Times New Roman" w:hAnsi="Times New Roman" w:cs="Times New Roman"/>
          <w:lang w:val="ro-MD"/>
        </w:rPr>
        <w:t xml:space="preserve"> Obiectul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scopul legii</w:t>
      </w:r>
    </w:p>
    <w:p w14:paraId="41FB2E7D" w14:textId="5A261E99" w:rsidR="00F95829" w:rsidRPr="000508B6" w:rsidRDefault="00F95829" w:rsidP="00CF5AFA">
      <w:pPr>
        <w:pStyle w:val="Listparagraf"/>
        <w:numPr>
          <w:ilvl w:val="0"/>
          <w:numId w:val="37"/>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Prezenta lege reglementează: </w:t>
      </w:r>
    </w:p>
    <w:p w14:paraId="5C334B8C" w14:textId="0A480CCE" w:rsidR="00F95829" w:rsidRPr="000508B6" w:rsidRDefault="006D3630" w:rsidP="008B29E3">
      <w:pPr>
        <w:pStyle w:val="Listparagraf"/>
        <w:numPr>
          <w:ilvl w:val="0"/>
          <w:numId w:val="3"/>
        </w:numPr>
        <w:tabs>
          <w:tab w:val="left" w:pos="567"/>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cerințe privind accesul la activitate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desfăşurarea</w:t>
      </w:r>
      <w:proofErr w:type="spellEnd"/>
      <w:r w:rsidR="00F95829" w:rsidRPr="000508B6">
        <w:rPr>
          <w:rFonts w:ascii="Times New Roman" w:eastAsia="Times New Roman" w:hAnsi="Times New Roman" w:cs="Times New Roman"/>
          <w:lang w:val="ro-MD"/>
        </w:rPr>
        <w:t xml:space="preserve"> </w:t>
      </w:r>
      <w:proofErr w:type="spellStart"/>
      <w:r w:rsidR="00F95829" w:rsidRPr="000508B6" w:rsidDel="006D3630">
        <w:rPr>
          <w:rFonts w:ascii="Times New Roman" w:eastAsia="Times New Roman" w:hAnsi="Times New Roman" w:cs="Times New Roman"/>
          <w:lang w:val="ro-MD"/>
        </w:rPr>
        <w:t>activităţii</w:t>
      </w:r>
      <w:proofErr w:type="spellEnd"/>
      <w:r w:rsidR="00F95829" w:rsidRPr="000508B6" w:rsidDel="006D3630">
        <w:rPr>
          <w:rFonts w:ascii="Times New Roman" w:eastAsia="Times New Roman" w:hAnsi="Times New Roman" w:cs="Times New Roman"/>
          <w:lang w:val="ro-MD"/>
        </w:rPr>
        <w:t xml:space="preserve"> </w:t>
      </w:r>
      <w:r w:rsidR="00D54C0A" w:rsidRPr="000508B6">
        <w:rPr>
          <w:rFonts w:ascii="Times New Roman" w:eastAsia="Times New Roman" w:hAnsi="Times New Roman" w:cs="Times New Roman"/>
          <w:lang w:val="ro-MD"/>
        </w:rPr>
        <w:t>asigurătorului</w:t>
      </w:r>
      <w:r w:rsidR="00627082" w:rsidRPr="000508B6">
        <w:rPr>
          <w:rFonts w:ascii="Times New Roman" w:eastAsia="Times New Roman" w:hAnsi="Times New Roman" w:cs="Times New Roman"/>
          <w:lang w:val="ro-MD"/>
        </w:rPr>
        <w:t xml:space="preserve"> sau </w:t>
      </w:r>
      <w:r w:rsidR="00D54C0A" w:rsidRPr="000508B6">
        <w:rPr>
          <w:rFonts w:ascii="Times New Roman" w:eastAsia="Times New Roman" w:hAnsi="Times New Roman" w:cs="Times New Roman"/>
          <w:lang w:val="ro-MD"/>
        </w:rPr>
        <w:t xml:space="preserve"> </w:t>
      </w:r>
      <w:proofErr w:type="spellStart"/>
      <w:r w:rsidR="00D54C0A" w:rsidRPr="000508B6">
        <w:rPr>
          <w:rFonts w:ascii="Times New Roman" w:eastAsia="Times New Roman" w:hAnsi="Times New Roman" w:cs="Times New Roman"/>
          <w:lang w:val="ro-MD"/>
        </w:rPr>
        <w:t>reasigurătorului</w:t>
      </w:r>
      <w:proofErr w:type="spellEnd"/>
      <w:r w:rsidR="009374D5"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cu sediu</w:t>
      </w:r>
      <w:r w:rsidR="009602DD" w:rsidRPr="000508B6">
        <w:rPr>
          <w:rFonts w:ascii="Times New Roman" w:eastAsia="Times New Roman" w:hAnsi="Times New Roman" w:cs="Times New Roman"/>
          <w:lang w:val="ro-MD"/>
        </w:rPr>
        <w:t>l</w:t>
      </w:r>
      <w:r w:rsidR="00F95829" w:rsidRPr="000508B6">
        <w:rPr>
          <w:rFonts w:ascii="Times New Roman" w:eastAsia="Times New Roman" w:hAnsi="Times New Roman" w:cs="Times New Roman"/>
          <w:lang w:val="ro-MD"/>
        </w:rPr>
        <w:t xml:space="preserve"> pe teritoriul Republicii Moldova;</w:t>
      </w:r>
      <w:r w:rsidR="00C859C5" w:rsidRPr="000508B6">
        <w:rPr>
          <w:rFonts w:ascii="Times New Roman" w:hAnsi="Times New Roman" w:cs="Times New Roman"/>
          <w:lang w:val="ro-MD"/>
        </w:rPr>
        <w:t xml:space="preserve"> </w:t>
      </w:r>
    </w:p>
    <w:p w14:paraId="36E62768" w14:textId="7BE90C38" w:rsidR="00F95829" w:rsidRPr="000508B6" w:rsidRDefault="00F95829" w:rsidP="008B29E3">
      <w:pPr>
        <w:pStyle w:val="Listparagraf"/>
        <w:numPr>
          <w:ilvl w:val="0"/>
          <w:numId w:val="3"/>
        </w:numPr>
        <w:tabs>
          <w:tab w:val="left" w:pos="567"/>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supravegherea desfășurării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w:t>
      </w:r>
      <w:r w:rsidR="00D54C0A" w:rsidRPr="000508B6">
        <w:rPr>
          <w:rFonts w:ascii="Times New Roman" w:eastAsia="Times New Roman" w:hAnsi="Times New Roman" w:cs="Times New Roman"/>
          <w:lang w:val="ro-MD"/>
        </w:rPr>
        <w:t>asigurătorului</w:t>
      </w:r>
      <w:r w:rsidR="00627082" w:rsidRPr="000508B6">
        <w:rPr>
          <w:rFonts w:ascii="Times New Roman" w:eastAsia="Times New Roman" w:hAnsi="Times New Roman" w:cs="Times New Roman"/>
          <w:lang w:val="ro-MD"/>
        </w:rPr>
        <w:t xml:space="preserve"> sau </w:t>
      </w:r>
      <w:proofErr w:type="spellStart"/>
      <w:r w:rsidR="00627082" w:rsidRPr="000508B6">
        <w:rPr>
          <w:rFonts w:ascii="Times New Roman" w:eastAsia="Times New Roman" w:hAnsi="Times New Roman" w:cs="Times New Roman"/>
          <w:lang w:val="ro-MD"/>
        </w:rPr>
        <w:t>reasigurător</w:t>
      </w:r>
      <w:r w:rsidR="00D54C0A" w:rsidRPr="000508B6">
        <w:rPr>
          <w:rFonts w:ascii="Times New Roman" w:eastAsia="Times New Roman" w:hAnsi="Times New Roman" w:cs="Times New Roman"/>
          <w:lang w:val="ro-MD"/>
        </w:rPr>
        <w:t>ului</w:t>
      </w:r>
      <w:proofErr w:type="spellEnd"/>
      <w:r w:rsidR="0062708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prevăzu</w:t>
      </w:r>
      <w:r w:rsidR="00330BCC"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 xml:space="preserve"> la lit. a)</w:t>
      </w:r>
      <w:r w:rsidR="00E07C1B"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368289B0" w14:textId="0F9A7054" w:rsidR="00F95829" w:rsidRPr="000508B6" w:rsidRDefault="00F95829" w:rsidP="008B29E3">
      <w:pPr>
        <w:pStyle w:val="Listparagraf"/>
        <w:numPr>
          <w:ilvl w:val="0"/>
          <w:numId w:val="3"/>
        </w:numPr>
        <w:tabs>
          <w:tab w:val="left" w:pos="567"/>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licențierea, funcționarea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supravegherea pe teritoriul Republicii Moldova a sucursale</w:t>
      </w:r>
      <w:r w:rsidR="000C68BD"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009374D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din</w:t>
      </w:r>
      <w:r w:rsidR="000C68BD" w:rsidRPr="000508B6">
        <w:rPr>
          <w:rFonts w:ascii="Times New Roman" w:eastAsia="Times New Roman" w:hAnsi="Times New Roman" w:cs="Times New Roman"/>
          <w:lang w:val="ro-MD"/>
        </w:rPr>
        <w:t>tr-un</w:t>
      </w:r>
      <w:r w:rsidRPr="000508B6">
        <w:rPr>
          <w:rFonts w:ascii="Times New Roman" w:eastAsia="Times New Roman" w:hAnsi="Times New Roman" w:cs="Times New Roman"/>
          <w:lang w:val="ro-MD"/>
        </w:rPr>
        <w:t xml:space="preserve"> stat </w:t>
      </w:r>
      <w:proofErr w:type="spellStart"/>
      <w:r w:rsidRPr="000508B6">
        <w:rPr>
          <w:rFonts w:ascii="Times New Roman" w:eastAsia="Times New Roman" w:hAnsi="Times New Roman" w:cs="Times New Roman"/>
          <w:lang w:val="ro-MD"/>
        </w:rPr>
        <w:t>terţ</w:t>
      </w:r>
      <w:proofErr w:type="spellEnd"/>
      <w:r w:rsidRPr="000508B6">
        <w:rPr>
          <w:rFonts w:ascii="Times New Roman" w:eastAsia="Times New Roman" w:hAnsi="Times New Roman" w:cs="Times New Roman"/>
          <w:lang w:val="ro-MD"/>
        </w:rPr>
        <w:t>;</w:t>
      </w:r>
    </w:p>
    <w:p w14:paraId="15D208E4" w14:textId="61357F96" w:rsidR="000B7EC1" w:rsidRPr="000508B6" w:rsidRDefault="00E07C1B" w:rsidP="008B29E3">
      <w:pPr>
        <w:pStyle w:val="Listparagraf"/>
        <w:numPr>
          <w:ilvl w:val="0"/>
          <w:numId w:val="3"/>
        </w:numPr>
        <w:tabs>
          <w:tab w:val="left" w:pos="567"/>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dreptul de stabilire și libertatea de a presta servicii</w:t>
      </w:r>
      <w:r w:rsidR="005113E0" w:rsidRPr="000508B6">
        <w:rPr>
          <w:rFonts w:ascii="Times New Roman" w:eastAsia="Times New Roman" w:hAnsi="Times New Roman" w:cs="Times New Roman"/>
          <w:lang w:val="ro-MD"/>
        </w:rPr>
        <w:t>;</w:t>
      </w:r>
    </w:p>
    <w:p w14:paraId="0818A833" w14:textId="5182E917" w:rsidR="00567C20" w:rsidRPr="000508B6" w:rsidRDefault="00567C20" w:rsidP="00682B26">
      <w:pPr>
        <w:pStyle w:val="Listparagraf"/>
        <w:numPr>
          <w:ilvl w:val="0"/>
          <w:numId w:val="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regimul juridic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9374D5" w:rsidRPr="000508B6">
        <w:rPr>
          <w:rFonts w:ascii="Times New Roman" w:eastAsia="Times New Roman" w:hAnsi="Times New Roman" w:cs="Times New Roman"/>
          <w:lang w:val="ro-MD"/>
        </w:rPr>
        <w:t xml:space="preserve"> căr</w:t>
      </w:r>
      <w:r w:rsidR="008467ED" w:rsidRPr="000508B6">
        <w:rPr>
          <w:rFonts w:ascii="Times New Roman" w:eastAsia="Times New Roman" w:hAnsi="Times New Roman" w:cs="Times New Roman"/>
          <w:lang w:val="ro-MD"/>
        </w:rPr>
        <w:t>u</w:t>
      </w:r>
      <w:r w:rsidR="009374D5" w:rsidRPr="000508B6">
        <w:rPr>
          <w:rFonts w:ascii="Times New Roman" w:eastAsia="Times New Roman" w:hAnsi="Times New Roman" w:cs="Times New Roman"/>
          <w:lang w:val="ro-MD"/>
        </w:rPr>
        <w:t xml:space="preserve">ia îi </w:t>
      </w:r>
      <w:r w:rsidRPr="000508B6" w:rsidDel="009374D5">
        <w:rPr>
          <w:rFonts w:ascii="Times New Roman" w:eastAsia="Times New Roman" w:hAnsi="Times New Roman" w:cs="Times New Roman"/>
          <w:lang w:val="ro-MD"/>
        </w:rPr>
        <w:t>este</w:t>
      </w:r>
      <w:r w:rsidRPr="000508B6">
        <w:rPr>
          <w:rFonts w:ascii="Times New Roman" w:eastAsia="Times New Roman" w:hAnsi="Times New Roman" w:cs="Times New Roman"/>
          <w:lang w:val="ro-MD"/>
        </w:rPr>
        <w:t xml:space="preserve"> retrasă licența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supravegherea </w:t>
      </w:r>
      <w:r w:rsidR="00C9567E" w:rsidRPr="000508B6">
        <w:rPr>
          <w:rFonts w:ascii="Times New Roman" w:eastAsia="Times New Roman" w:hAnsi="Times New Roman" w:cs="Times New Roman"/>
          <w:lang w:val="ro-MD"/>
        </w:rPr>
        <w:t xml:space="preserve">exercitată </w:t>
      </w:r>
      <w:r w:rsidR="00D149B2" w:rsidRPr="000508B6">
        <w:rPr>
          <w:rFonts w:ascii="Times New Roman" w:eastAsia="Times New Roman" w:hAnsi="Times New Roman" w:cs="Times New Roman"/>
          <w:lang w:val="ro-MD"/>
        </w:rPr>
        <w:t>asupra acest</w:t>
      </w:r>
      <w:r w:rsidR="008467ED" w:rsidRPr="000508B6">
        <w:rPr>
          <w:rFonts w:ascii="Times New Roman" w:eastAsia="Times New Roman" w:hAnsi="Times New Roman" w:cs="Times New Roman"/>
          <w:lang w:val="ro-MD"/>
        </w:rPr>
        <w:t>u</w:t>
      </w:r>
      <w:r w:rsidR="00D149B2" w:rsidRPr="000508B6">
        <w:rPr>
          <w:rFonts w:ascii="Times New Roman" w:eastAsia="Times New Roman" w:hAnsi="Times New Roman" w:cs="Times New Roman"/>
          <w:lang w:val="ro-MD"/>
        </w:rPr>
        <w:t xml:space="preserve">ia </w:t>
      </w:r>
      <w:r w:rsidRPr="000508B6">
        <w:rPr>
          <w:rFonts w:ascii="Times New Roman" w:eastAsia="Times New Roman" w:hAnsi="Times New Roman" w:cs="Times New Roman"/>
          <w:lang w:val="ro-MD"/>
        </w:rPr>
        <w:t xml:space="preserve">de Banca </w:t>
      </w:r>
      <w:r w:rsidR="00624275" w:rsidRPr="000508B6">
        <w:rPr>
          <w:rFonts w:ascii="Times New Roman" w:eastAsia="Times New Roman" w:hAnsi="Times New Roman" w:cs="Times New Roman"/>
          <w:lang w:val="ro-MD"/>
        </w:rPr>
        <w:t>N</w:t>
      </w:r>
      <w:r w:rsidRPr="000508B6">
        <w:rPr>
          <w:rFonts w:ascii="Times New Roman" w:eastAsia="Times New Roman" w:hAnsi="Times New Roman" w:cs="Times New Roman"/>
          <w:lang w:val="ro-MD"/>
        </w:rPr>
        <w:t xml:space="preserve">ațională a Moldovei;  </w:t>
      </w:r>
    </w:p>
    <w:p w14:paraId="7095BC81" w14:textId="4262AFBF" w:rsidR="000419B2" w:rsidRPr="000508B6" w:rsidRDefault="009E67B6" w:rsidP="004302EF">
      <w:pPr>
        <w:pStyle w:val="Listparagraf"/>
        <w:numPr>
          <w:ilvl w:val="0"/>
          <w:numId w:val="3"/>
        </w:numPr>
        <w:tabs>
          <w:tab w:val="left" w:pos="567"/>
          <w:tab w:val="left" w:pos="709"/>
          <w:tab w:val="left" w:pos="851"/>
        </w:tabs>
        <w:spacing w:after="0" w:line="240" w:lineRule="auto"/>
        <w:ind w:left="0" w:firstLine="426"/>
        <w:jc w:val="both"/>
        <w:rPr>
          <w:rFonts w:ascii="Times New Roman" w:eastAsia="Times New Roman" w:hAnsi="Times New Roman" w:cs="Times New Roman"/>
          <w:i/>
          <w:lang w:val="ro-MD"/>
        </w:rPr>
      </w:pPr>
      <w:proofErr w:type="spellStart"/>
      <w:r w:rsidRPr="000508B6">
        <w:rPr>
          <w:rFonts w:ascii="Times New Roman" w:eastAsia="Times New Roman" w:hAnsi="Times New Roman" w:cs="Times New Roman"/>
          <w:lang w:val="ro-MD"/>
        </w:rPr>
        <w:t>dispoziţii</w:t>
      </w:r>
      <w:proofErr w:type="spellEnd"/>
      <w:r w:rsidRPr="000508B6">
        <w:rPr>
          <w:rFonts w:ascii="Times New Roman" w:eastAsia="Times New Roman" w:hAnsi="Times New Roman" w:cs="Times New Roman"/>
          <w:lang w:val="ro-MD"/>
        </w:rPr>
        <w:t xml:space="preserve"> privind aplicarea măsurilor de </w:t>
      </w:r>
      <w:r w:rsidR="00FD710A" w:rsidRPr="000508B6">
        <w:rPr>
          <w:rFonts w:ascii="Times New Roman" w:eastAsia="Times New Roman" w:hAnsi="Times New Roman" w:cs="Times New Roman"/>
          <w:lang w:val="ro-MD"/>
        </w:rPr>
        <w:t>reorganizare</w:t>
      </w:r>
      <w:r w:rsidR="00627082" w:rsidRPr="000508B6">
        <w:rPr>
          <w:rFonts w:ascii="Times New Roman" w:eastAsia="Times New Roman" w:hAnsi="Times New Roman" w:cs="Times New Roman"/>
          <w:lang w:val="ro-MD"/>
        </w:rPr>
        <w:t xml:space="preserve"> </w:t>
      </w:r>
      <w:r w:rsidR="00FF2570" w:rsidRPr="000508B6">
        <w:rPr>
          <w:rFonts w:ascii="Times New Roman" w:eastAsia="Times New Roman" w:hAnsi="Times New Roman" w:cs="Times New Roman"/>
          <w:lang w:val="ro-MD"/>
        </w:rPr>
        <w:t>a</w:t>
      </w:r>
      <w:r w:rsidR="00627082" w:rsidRPr="000508B6">
        <w:rPr>
          <w:rFonts w:ascii="Times New Roman" w:eastAsia="Times New Roman" w:hAnsi="Times New Roman" w:cs="Times New Roman"/>
          <w:lang w:val="ro-MD"/>
        </w:rPr>
        <w:t xml:space="preserve"> a</w:t>
      </w:r>
      <w:r w:rsidR="004125E8" w:rsidRPr="000508B6">
        <w:rPr>
          <w:rFonts w:ascii="Times New Roman" w:eastAsia="Times New Roman" w:hAnsi="Times New Roman" w:cs="Times New Roman"/>
          <w:lang w:val="ro-MD"/>
        </w:rPr>
        <w:t>sigurătorului</w:t>
      </w:r>
      <w:r w:rsidR="000419B2" w:rsidRPr="000508B6">
        <w:rPr>
          <w:rFonts w:ascii="Times New Roman" w:eastAsia="Times New Roman" w:hAnsi="Times New Roman" w:cs="Times New Roman"/>
          <w:lang w:val="ro-MD"/>
        </w:rPr>
        <w:t>;</w:t>
      </w:r>
      <w:r w:rsidR="00C859C5" w:rsidRPr="000508B6">
        <w:rPr>
          <w:rFonts w:ascii="Times New Roman" w:hAnsi="Times New Roman" w:cs="Times New Roman"/>
          <w:lang w:val="ro-MD"/>
        </w:rPr>
        <w:t xml:space="preserve"> </w:t>
      </w:r>
    </w:p>
    <w:p w14:paraId="502A1284" w14:textId="1C7BE63F" w:rsidR="00627082" w:rsidRPr="000508B6" w:rsidRDefault="00641616" w:rsidP="004302EF">
      <w:pPr>
        <w:pStyle w:val="Listparagraf"/>
        <w:numPr>
          <w:ilvl w:val="0"/>
          <w:numId w:val="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fuziunea și </w:t>
      </w:r>
      <w:r w:rsidR="008440C9" w:rsidRPr="000508B6">
        <w:rPr>
          <w:rFonts w:ascii="Times New Roman" w:eastAsia="Times New Roman" w:hAnsi="Times New Roman" w:cs="Times New Roman"/>
          <w:lang w:val="ro-MD"/>
        </w:rPr>
        <w:t xml:space="preserve">dezmembrarea </w:t>
      </w:r>
      <w:r w:rsidR="00627082" w:rsidRPr="000508B6">
        <w:rPr>
          <w:rFonts w:ascii="Times New Roman" w:eastAsia="Times New Roman" w:hAnsi="Times New Roman" w:cs="Times New Roman"/>
          <w:lang w:val="ro-MD"/>
        </w:rPr>
        <w:t>asigurător</w:t>
      </w:r>
      <w:r w:rsidR="00D54C0A" w:rsidRPr="000508B6">
        <w:rPr>
          <w:rFonts w:ascii="Times New Roman" w:eastAsia="Times New Roman" w:hAnsi="Times New Roman" w:cs="Times New Roman"/>
          <w:lang w:val="ro-MD"/>
        </w:rPr>
        <w:t>ului</w:t>
      </w:r>
      <w:r w:rsidR="00627082" w:rsidRPr="000508B6">
        <w:rPr>
          <w:rFonts w:ascii="Times New Roman" w:eastAsia="Times New Roman" w:hAnsi="Times New Roman" w:cs="Times New Roman"/>
          <w:lang w:val="ro-MD"/>
        </w:rPr>
        <w:t xml:space="preserve"> sau </w:t>
      </w:r>
      <w:proofErr w:type="spellStart"/>
      <w:r w:rsidR="00627082" w:rsidRPr="000508B6">
        <w:rPr>
          <w:rFonts w:ascii="Times New Roman" w:eastAsia="Times New Roman" w:hAnsi="Times New Roman" w:cs="Times New Roman"/>
          <w:lang w:val="ro-MD"/>
        </w:rPr>
        <w:t>reasigurător</w:t>
      </w:r>
      <w:r w:rsidR="00D54C0A" w:rsidRPr="000508B6">
        <w:rPr>
          <w:rFonts w:ascii="Times New Roman" w:eastAsia="Times New Roman" w:hAnsi="Times New Roman" w:cs="Times New Roman"/>
          <w:lang w:val="ro-MD"/>
        </w:rPr>
        <w:t>ului</w:t>
      </w:r>
      <w:proofErr w:type="spellEnd"/>
      <w:r w:rsidR="00627082" w:rsidRPr="000508B6">
        <w:rPr>
          <w:rFonts w:ascii="Times New Roman" w:eastAsia="Times New Roman" w:hAnsi="Times New Roman" w:cs="Times New Roman"/>
          <w:lang w:val="ro-MD"/>
        </w:rPr>
        <w:t>;</w:t>
      </w:r>
    </w:p>
    <w:p w14:paraId="21D5ED1A" w14:textId="21039246" w:rsidR="00567C20" w:rsidRPr="000508B6" w:rsidRDefault="00567C20" w:rsidP="004302EF">
      <w:pPr>
        <w:pStyle w:val="Listparagraf"/>
        <w:numPr>
          <w:ilvl w:val="0"/>
          <w:numId w:val="3"/>
        </w:numPr>
        <w:tabs>
          <w:tab w:val="left" w:pos="567"/>
          <w:tab w:val="left" w:pos="709"/>
          <w:tab w:val="left" w:pos="851"/>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dizolvarea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lichidarea</w:t>
      </w:r>
      <w:r w:rsidR="00DA0569" w:rsidRPr="000508B6">
        <w:rPr>
          <w:rFonts w:ascii="Times New Roman" w:eastAsia="Times New Roman" w:hAnsi="Times New Roman" w:cs="Times New Roman"/>
          <w:lang w:val="ro-MD"/>
        </w:rPr>
        <w:t xml:space="preserve"> </w:t>
      </w:r>
      <w:r w:rsidR="00627082" w:rsidRPr="000508B6">
        <w:rPr>
          <w:rFonts w:ascii="Times New Roman" w:eastAsia="Times New Roman" w:hAnsi="Times New Roman" w:cs="Times New Roman"/>
          <w:lang w:val="ro-MD"/>
        </w:rPr>
        <w:t>asigurătorilor</w:t>
      </w:r>
      <w:r w:rsidR="00FB480B" w:rsidRPr="000508B6">
        <w:rPr>
          <w:rFonts w:ascii="Times New Roman" w:eastAsia="Times New Roman" w:hAnsi="Times New Roman" w:cs="Times New Roman"/>
          <w:lang w:val="ro-MD"/>
        </w:rPr>
        <w:t>;</w:t>
      </w:r>
      <w:r w:rsidR="00C859C5" w:rsidRPr="000508B6">
        <w:rPr>
          <w:rFonts w:ascii="Times New Roman" w:hAnsi="Times New Roman" w:cs="Times New Roman"/>
          <w:lang w:val="ro-MD"/>
        </w:rPr>
        <w:t xml:space="preserve"> </w:t>
      </w:r>
    </w:p>
    <w:p w14:paraId="2BFEDB6D" w14:textId="0C192544" w:rsidR="00F95829" w:rsidRPr="000508B6" w:rsidRDefault="00F95829" w:rsidP="004302EF">
      <w:pPr>
        <w:pStyle w:val="Listparagraf"/>
        <w:numPr>
          <w:ilvl w:val="0"/>
          <w:numId w:val="3"/>
        </w:numPr>
        <w:tabs>
          <w:tab w:val="left" w:pos="567"/>
          <w:tab w:val="left" w:pos="709"/>
          <w:tab w:val="left" w:pos="851"/>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supravegherea </w:t>
      </w:r>
      <w:r w:rsidR="00902485" w:rsidRPr="000508B6">
        <w:rPr>
          <w:rFonts w:ascii="Times New Roman" w:eastAsia="Times New Roman" w:hAnsi="Times New Roman" w:cs="Times New Roman"/>
          <w:lang w:val="ro-MD"/>
        </w:rPr>
        <w:t xml:space="preserve">la nivel de </w:t>
      </w:r>
      <w:r w:rsidRPr="000508B6">
        <w:rPr>
          <w:rFonts w:ascii="Times New Roman" w:eastAsia="Times New Roman" w:hAnsi="Times New Roman" w:cs="Times New Roman"/>
          <w:lang w:val="ro-MD"/>
        </w:rPr>
        <w:t>grup;</w:t>
      </w:r>
      <w:r w:rsidR="00C859C5" w:rsidRPr="000508B6">
        <w:rPr>
          <w:rFonts w:ascii="Times New Roman" w:hAnsi="Times New Roman" w:cs="Times New Roman"/>
          <w:lang w:val="ro-MD"/>
        </w:rPr>
        <w:t xml:space="preserve"> </w:t>
      </w:r>
    </w:p>
    <w:p w14:paraId="4A9CCD6C" w14:textId="0190CF1C" w:rsidR="00F95829" w:rsidRPr="000508B6" w:rsidRDefault="00627082" w:rsidP="008B29E3">
      <w:pPr>
        <w:pStyle w:val="Listparagraf"/>
        <w:numPr>
          <w:ilvl w:val="0"/>
          <w:numId w:val="3"/>
        </w:numPr>
        <w:tabs>
          <w:tab w:val="left" w:pos="567"/>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atribuțiile Băncii Naționale a Moldovei în calitate de autoritate competentă </w:t>
      </w:r>
      <w:r w:rsidR="008467ED" w:rsidRPr="000508B6">
        <w:rPr>
          <w:rFonts w:ascii="Times New Roman" w:eastAsia="Times New Roman" w:hAnsi="Times New Roman" w:cs="Times New Roman"/>
          <w:lang w:val="ro-MD"/>
        </w:rPr>
        <w:t xml:space="preserve">pentru </w:t>
      </w:r>
      <w:r w:rsidR="00F95829" w:rsidRPr="000508B6">
        <w:rPr>
          <w:rFonts w:ascii="Times New Roman" w:eastAsia="Times New Roman" w:hAnsi="Times New Roman" w:cs="Times New Roman"/>
          <w:lang w:val="ro-MD"/>
        </w:rPr>
        <w:t xml:space="preserve">reglementarea, licențierea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supravegherea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F95829" w:rsidRPr="000508B6">
        <w:rPr>
          <w:rFonts w:ascii="Times New Roman" w:eastAsia="Times New Roman" w:hAnsi="Times New Roman" w:cs="Times New Roman"/>
          <w:lang w:val="ro-MD"/>
        </w:rPr>
        <w:t>;</w:t>
      </w:r>
    </w:p>
    <w:p w14:paraId="7C818EBC" w14:textId="118AD945" w:rsidR="00F95829" w:rsidRPr="000508B6" w:rsidRDefault="009466DD" w:rsidP="008B29E3">
      <w:pPr>
        <w:pStyle w:val="Listparagraf"/>
        <w:numPr>
          <w:ilvl w:val="0"/>
          <w:numId w:val="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relațiile</w:t>
      </w:r>
      <w:r w:rsidR="00A908B7"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Băncii Naționale a Moldovei cu supraveghetorii din state</w:t>
      </w:r>
      <w:r w:rsidR="00891EDB" w:rsidRPr="000508B6">
        <w:rPr>
          <w:rFonts w:ascii="Times New Roman" w:eastAsia="Times New Roman" w:hAnsi="Times New Roman" w:cs="Times New Roman"/>
          <w:lang w:val="ro-MD"/>
        </w:rPr>
        <w:t>le</w:t>
      </w:r>
      <w:r w:rsidR="00F95829" w:rsidRPr="000508B6">
        <w:rPr>
          <w:rFonts w:ascii="Times New Roman" w:eastAsia="Times New Roman" w:hAnsi="Times New Roman" w:cs="Times New Roman"/>
          <w:lang w:val="ro-MD"/>
        </w:rPr>
        <w:t xml:space="preserve"> membre sau din state</w:t>
      </w:r>
      <w:r w:rsidR="00891EDB" w:rsidRPr="000508B6">
        <w:rPr>
          <w:rFonts w:ascii="Times New Roman" w:eastAsia="Times New Roman" w:hAnsi="Times New Roman" w:cs="Times New Roman"/>
          <w:lang w:val="ro-MD"/>
        </w:rPr>
        <w:t>le</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terţe</w:t>
      </w:r>
      <w:proofErr w:type="spellEnd"/>
      <w:r w:rsidR="00F95829" w:rsidRPr="000508B6">
        <w:rPr>
          <w:rFonts w:ascii="Times New Roman" w:eastAsia="Times New Roman" w:hAnsi="Times New Roman" w:cs="Times New Roman"/>
          <w:lang w:val="ro-MD"/>
        </w:rPr>
        <w:t xml:space="preserve">, cu Autoritatea Europeană pentru Asigurări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Pensii </w:t>
      </w:r>
      <w:r w:rsidR="003A169F" w:rsidRPr="000508B6">
        <w:rPr>
          <w:rFonts w:ascii="Times New Roman" w:eastAsia="Times New Roman" w:hAnsi="Times New Roman" w:cs="Times New Roman"/>
          <w:lang w:val="ro-MD"/>
        </w:rPr>
        <w:t>Ocupaționale</w:t>
      </w:r>
      <w:r w:rsidR="00F95829" w:rsidRPr="000508B6">
        <w:rPr>
          <w:rFonts w:ascii="Times New Roman" w:eastAsia="Times New Roman" w:hAnsi="Times New Roman" w:cs="Times New Roman"/>
          <w:lang w:val="ro-MD"/>
        </w:rPr>
        <w:t xml:space="preserve">, denumită în continuare EIOPA, în conformitate cu Regulamentul (UE) nr. 1094/2010 al Parlamentului European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al Consiliului din 24 noiembrie 2010 de instituire a </w:t>
      </w:r>
      <w:proofErr w:type="spellStart"/>
      <w:r w:rsidR="00F95829" w:rsidRPr="000508B6">
        <w:rPr>
          <w:rFonts w:ascii="Times New Roman" w:eastAsia="Times New Roman" w:hAnsi="Times New Roman" w:cs="Times New Roman"/>
          <w:lang w:val="ro-MD"/>
        </w:rPr>
        <w:t>Autorităţii</w:t>
      </w:r>
      <w:proofErr w:type="spellEnd"/>
      <w:r w:rsidR="00F95829" w:rsidRPr="000508B6">
        <w:rPr>
          <w:rFonts w:ascii="Times New Roman" w:eastAsia="Times New Roman" w:hAnsi="Times New Roman" w:cs="Times New Roman"/>
          <w:lang w:val="ro-MD"/>
        </w:rPr>
        <w:t xml:space="preserve"> europene de supraveghere (Autoritatea europeană de asigurări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pensii </w:t>
      </w:r>
      <w:proofErr w:type="spellStart"/>
      <w:r w:rsidR="00F95829" w:rsidRPr="000508B6">
        <w:rPr>
          <w:rFonts w:ascii="Times New Roman" w:eastAsia="Times New Roman" w:hAnsi="Times New Roman" w:cs="Times New Roman"/>
          <w:lang w:val="ro-MD"/>
        </w:rPr>
        <w:t>ocupaţionale</w:t>
      </w:r>
      <w:proofErr w:type="spellEnd"/>
      <w:r w:rsidR="00F95829" w:rsidRPr="000508B6">
        <w:rPr>
          <w:rFonts w:ascii="Times New Roman" w:eastAsia="Times New Roman" w:hAnsi="Times New Roman" w:cs="Times New Roman"/>
          <w:lang w:val="ro-MD"/>
        </w:rPr>
        <w:t xml:space="preserve">), de modificare a Deciziei nr. 716/2009/CE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de abrogare a Deciziei 2009/79/CE a Comisiei, cu Comisia Europeană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cu alte </w:t>
      </w:r>
      <w:proofErr w:type="spellStart"/>
      <w:r w:rsidR="00F95829" w:rsidRPr="000508B6">
        <w:rPr>
          <w:rFonts w:ascii="Times New Roman" w:eastAsia="Times New Roman" w:hAnsi="Times New Roman" w:cs="Times New Roman"/>
          <w:lang w:val="ro-MD"/>
        </w:rPr>
        <w:t>autorităţi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instituţii</w:t>
      </w:r>
      <w:proofErr w:type="spellEnd"/>
      <w:r w:rsidR="00F95829" w:rsidRPr="000508B6">
        <w:rPr>
          <w:rFonts w:ascii="Times New Roman" w:eastAsia="Times New Roman" w:hAnsi="Times New Roman" w:cs="Times New Roman"/>
          <w:lang w:val="ro-MD"/>
        </w:rPr>
        <w:t xml:space="preserve"> sau organisme. </w:t>
      </w:r>
    </w:p>
    <w:p w14:paraId="114DAEB9" w14:textId="41973FC8" w:rsidR="00F95829" w:rsidRPr="000508B6" w:rsidRDefault="00F95829" w:rsidP="00CF5AFA">
      <w:pPr>
        <w:pStyle w:val="Listparagraf"/>
        <w:numPr>
          <w:ilvl w:val="0"/>
          <w:numId w:val="37"/>
        </w:numPr>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Dispoziţiile</w:t>
      </w:r>
      <w:proofErr w:type="spellEnd"/>
      <w:r w:rsidRPr="000508B6">
        <w:rPr>
          <w:rFonts w:ascii="Times New Roman" w:eastAsia="Times New Roman" w:hAnsi="Times New Roman" w:cs="Times New Roman"/>
          <w:lang w:val="ro-MD"/>
        </w:rPr>
        <w:t xml:space="preserve"> prezentei legi nu se extind asupra asigurărilor sociale de stat</w:t>
      </w:r>
      <w:r w:rsidR="004455FB" w:rsidRPr="000508B6">
        <w:rPr>
          <w:rFonts w:ascii="Times New Roman" w:eastAsia="Times New Roman" w:hAnsi="Times New Roman" w:cs="Times New Roman"/>
          <w:lang w:val="ro-MD"/>
        </w:rPr>
        <w:t xml:space="preserve"> și</w:t>
      </w:r>
      <w:r w:rsidRPr="000508B6">
        <w:rPr>
          <w:rFonts w:ascii="Times New Roman" w:eastAsia="Times New Roman" w:hAnsi="Times New Roman" w:cs="Times New Roman"/>
          <w:lang w:val="ro-MD"/>
        </w:rPr>
        <w:t xml:space="preserve"> asigurărilor obligatorii de </w:t>
      </w:r>
      <w:proofErr w:type="spellStart"/>
      <w:r w:rsidRPr="000508B6">
        <w:rPr>
          <w:rFonts w:ascii="Times New Roman" w:eastAsia="Times New Roman" w:hAnsi="Times New Roman" w:cs="Times New Roman"/>
          <w:lang w:val="ro-MD"/>
        </w:rPr>
        <w:t>asistenţă</w:t>
      </w:r>
      <w:proofErr w:type="spellEnd"/>
      <w:r w:rsidRPr="000508B6">
        <w:rPr>
          <w:rFonts w:ascii="Times New Roman" w:eastAsia="Times New Roman" w:hAnsi="Times New Roman" w:cs="Times New Roman"/>
          <w:lang w:val="ro-MD"/>
        </w:rPr>
        <w:t xml:space="preserve"> medicală.</w:t>
      </w:r>
      <w:r w:rsidR="004F25CC" w:rsidRPr="000508B6" w:rsidDel="00FC44DD">
        <w:rPr>
          <w:rFonts w:ascii="Times New Roman" w:eastAsia="Times New Roman" w:hAnsi="Times New Roman" w:cs="Times New Roman"/>
          <w:lang w:val="ro-MD"/>
        </w:rPr>
        <w:t xml:space="preserve"> </w:t>
      </w:r>
    </w:p>
    <w:p w14:paraId="6C349C63" w14:textId="10638DBC" w:rsidR="00F95829" w:rsidRPr="000508B6" w:rsidRDefault="00F95829" w:rsidP="00CF5AFA">
      <w:pPr>
        <w:pStyle w:val="Listparagraf"/>
        <w:numPr>
          <w:ilvl w:val="0"/>
          <w:numId w:val="37"/>
        </w:numPr>
        <w:tabs>
          <w:tab w:val="left" w:pos="851"/>
        </w:tabs>
        <w:spacing w:after="0" w:line="240" w:lineRule="auto"/>
        <w:ind w:left="0" w:firstLine="426"/>
        <w:jc w:val="both"/>
        <w:rPr>
          <w:rFonts w:ascii="Times New Roman" w:eastAsia="Times New Roman" w:hAnsi="Times New Roman" w:cs="Times New Roman"/>
          <w:lang w:val="ro-MD"/>
        </w:rPr>
      </w:pPr>
      <w:r w:rsidRPr="000508B6" w:rsidDel="009C5497">
        <w:rPr>
          <w:rFonts w:ascii="Times New Roman" w:eastAsia="Times New Roman" w:hAnsi="Times New Roman" w:cs="Times New Roman"/>
          <w:lang w:val="ro-MD"/>
        </w:rPr>
        <w:lastRenderedPageBreak/>
        <w:t>Scopul prezentei legi constă în</w:t>
      </w:r>
      <w:r w:rsidR="009C5497" w:rsidRPr="000508B6">
        <w:rPr>
          <w:rFonts w:ascii="Times New Roman" w:eastAsia="Times New Roman" w:hAnsi="Times New Roman" w:cs="Times New Roman"/>
          <w:lang w:val="ro-MD"/>
        </w:rPr>
        <w:t xml:space="preserve"> </w:t>
      </w:r>
      <w:r w:rsidR="005336AD">
        <w:rPr>
          <w:rFonts w:ascii="Times New Roman" w:eastAsia="Times New Roman" w:hAnsi="Times New Roman" w:cs="Times New Roman"/>
          <w:lang w:val="ro-MD"/>
        </w:rPr>
        <w:t>reglementarea activității de asigurare și de reasigurare în vederea menținerii stabilității financiare a acestora</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Pr="000508B6" w:rsidDel="009C5497">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protejării drepturilor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intereselor</w:t>
      </w:r>
      <w:r w:rsidRPr="000508B6" w:rsidDel="009C5497">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asiguraţilor</w:t>
      </w:r>
      <w:proofErr w:type="spellEnd"/>
      <w:r w:rsidR="006D0A7A" w:rsidRPr="000508B6">
        <w:rPr>
          <w:rFonts w:ascii="Times New Roman" w:eastAsia="Times New Roman" w:hAnsi="Times New Roman" w:cs="Times New Roman"/>
          <w:lang w:val="ro-MD"/>
        </w:rPr>
        <w:t xml:space="preserve"> </w:t>
      </w:r>
      <w:r w:rsidR="0085248C" w:rsidRPr="000508B6">
        <w:rPr>
          <w:rFonts w:ascii="Times New Roman" w:eastAsia="Times New Roman" w:hAnsi="Times New Roman" w:cs="Times New Roman"/>
          <w:lang w:val="ro-MD"/>
        </w:rPr>
        <w:t xml:space="preserve">și </w:t>
      </w:r>
      <w:r w:rsidRPr="000508B6">
        <w:rPr>
          <w:rFonts w:ascii="Times New Roman" w:eastAsia="Times New Roman" w:hAnsi="Times New Roman" w:cs="Times New Roman"/>
          <w:lang w:val="ro-MD"/>
        </w:rPr>
        <w:t xml:space="preserve">beneficiarilor asigurării </w:t>
      </w:r>
      <w:r w:rsidRPr="000508B6" w:rsidDel="009C5497">
        <w:rPr>
          <w:rFonts w:ascii="Times New Roman" w:eastAsia="Times New Roman" w:hAnsi="Times New Roman" w:cs="Times New Roman"/>
          <w:lang w:val="ro-MD"/>
        </w:rPr>
        <w:t>ale altor persoane.</w:t>
      </w:r>
    </w:p>
    <w:p w14:paraId="1574F1D5" w14:textId="6924068B" w:rsidR="00FE78D6" w:rsidRPr="000508B6" w:rsidRDefault="00FE78D6" w:rsidP="00CF5AFA">
      <w:pPr>
        <w:pStyle w:val="Listparagraf"/>
        <w:numPr>
          <w:ilvl w:val="0"/>
          <w:numId w:val="37"/>
        </w:numPr>
        <w:tabs>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lang w:val="ro-MD"/>
        </w:rPr>
        <w:t>În tot cuprinsul prezentei legi, prin noțiun</w:t>
      </w:r>
      <w:r w:rsidR="00D54C0A" w:rsidRPr="000508B6">
        <w:rPr>
          <w:rFonts w:ascii="Times New Roman" w:eastAsia="Times New Roman" w:hAnsi="Times New Roman" w:cs="Times New Roman"/>
          <w:lang w:val="ro-MD"/>
        </w:rPr>
        <w:t>ea</w:t>
      </w:r>
      <w:r w:rsidRPr="000508B6">
        <w:rPr>
          <w:rFonts w:ascii="Times New Roman" w:eastAsia="Times New Roman" w:hAnsi="Times New Roman" w:cs="Times New Roman"/>
          <w:lang w:val="ro-MD"/>
        </w:rPr>
        <w:t xml:space="preserve"> de asigurător, respectiv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se înțeleg</w:t>
      </w:r>
      <w:r w:rsidR="00D54C0A"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și asigurător</w:t>
      </w:r>
      <w:r w:rsidR="00D54C0A" w:rsidRPr="000508B6">
        <w:rPr>
          <w:rFonts w:ascii="Times New Roman" w:eastAsia="Times New Roman" w:hAnsi="Times New Roman" w:cs="Times New Roman"/>
          <w:lang w:val="ro-MD"/>
        </w:rPr>
        <w:t>ul</w:t>
      </w:r>
      <w:r w:rsidRPr="000508B6">
        <w:rPr>
          <w:rFonts w:ascii="Times New Roman" w:eastAsia="Times New Roman" w:hAnsi="Times New Roman" w:cs="Times New Roman"/>
          <w:lang w:val="ro-MD"/>
        </w:rPr>
        <w:t xml:space="preserve"> captiv, resp</w:t>
      </w:r>
      <w:r w:rsidR="00C37449"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ctiv </w:t>
      </w:r>
      <w:proofErr w:type="spellStart"/>
      <w:r w:rsidRPr="000508B6">
        <w:rPr>
          <w:rFonts w:ascii="Times New Roman" w:eastAsia="Times New Roman" w:hAnsi="Times New Roman" w:cs="Times New Roman"/>
          <w:lang w:val="ro-MD"/>
        </w:rPr>
        <w:t>reasigurător</w:t>
      </w:r>
      <w:r w:rsidR="00D54C0A" w:rsidRPr="000508B6">
        <w:rPr>
          <w:rFonts w:ascii="Times New Roman" w:eastAsia="Times New Roman" w:hAnsi="Times New Roman" w:cs="Times New Roman"/>
          <w:lang w:val="ro-MD"/>
        </w:rPr>
        <w:t>ul</w:t>
      </w:r>
      <w:proofErr w:type="spellEnd"/>
      <w:r w:rsidRPr="000508B6">
        <w:rPr>
          <w:rFonts w:ascii="Times New Roman" w:eastAsia="Times New Roman" w:hAnsi="Times New Roman" w:cs="Times New Roman"/>
          <w:lang w:val="ro-MD"/>
        </w:rPr>
        <w:t xml:space="preserve"> captiv, în cazul în care nu se specifică faptul că prevederile se referă doar la asigurător</w:t>
      </w:r>
      <w:r w:rsidR="00D54C0A" w:rsidRPr="000508B6">
        <w:rPr>
          <w:rFonts w:ascii="Times New Roman" w:eastAsia="Times New Roman" w:hAnsi="Times New Roman" w:cs="Times New Roman"/>
          <w:lang w:val="ro-MD"/>
        </w:rPr>
        <w:t>ul</w:t>
      </w:r>
      <w:r w:rsidRPr="000508B6">
        <w:rPr>
          <w:rFonts w:ascii="Times New Roman" w:eastAsia="Times New Roman" w:hAnsi="Times New Roman" w:cs="Times New Roman"/>
          <w:lang w:val="ro-MD"/>
        </w:rPr>
        <w:t xml:space="preserve"> captiv sau la </w:t>
      </w:r>
      <w:proofErr w:type="spellStart"/>
      <w:r w:rsidRPr="000508B6">
        <w:rPr>
          <w:rFonts w:ascii="Times New Roman" w:eastAsia="Times New Roman" w:hAnsi="Times New Roman" w:cs="Times New Roman"/>
          <w:lang w:val="ro-MD"/>
        </w:rPr>
        <w:t>reasigurător</w:t>
      </w:r>
      <w:r w:rsidR="00D54C0A" w:rsidRPr="000508B6">
        <w:rPr>
          <w:rFonts w:ascii="Times New Roman" w:eastAsia="Times New Roman" w:hAnsi="Times New Roman" w:cs="Times New Roman"/>
          <w:lang w:val="ro-MD"/>
        </w:rPr>
        <w:t>ul</w:t>
      </w:r>
      <w:proofErr w:type="spellEnd"/>
      <w:r w:rsidRPr="000508B6">
        <w:rPr>
          <w:rFonts w:ascii="Times New Roman" w:eastAsia="Times New Roman" w:hAnsi="Times New Roman" w:cs="Times New Roman"/>
          <w:lang w:val="ro-MD"/>
        </w:rPr>
        <w:t xml:space="preserve"> captiv.</w:t>
      </w:r>
      <w:r w:rsidR="0007414E" w:rsidRPr="000508B6">
        <w:rPr>
          <w:rFonts w:ascii="Times New Roman" w:eastAsia="Times New Roman" w:hAnsi="Times New Roman" w:cs="Times New Roman"/>
          <w:lang w:val="ro-MD"/>
        </w:rPr>
        <w:t xml:space="preserve"> </w:t>
      </w:r>
    </w:p>
    <w:p w14:paraId="3960701C"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p>
    <w:p w14:paraId="43B9BC9C" w14:textId="35AAFC19"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bookmarkStart w:id="24" w:name="_Hlk215682134"/>
      <w:r w:rsidRPr="000508B6">
        <w:rPr>
          <w:rFonts w:ascii="Times New Roman" w:eastAsia="Times New Roman" w:hAnsi="Times New Roman" w:cs="Times New Roman"/>
          <w:b/>
          <w:lang w:val="ro-MD"/>
        </w:rPr>
        <w:t>Articolul 2.</w:t>
      </w:r>
      <w:r w:rsidRPr="000508B6">
        <w:rPr>
          <w:rFonts w:ascii="Times New Roman" w:eastAsia="Times New Roman" w:hAnsi="Times New Roman" w:cs="Times New Roman"/>
          <w:lang w:val="ro-MD"/>
        </w:rPr>
        <w:t xml:space="preserve"> Domeniul de aplicare</w:t>
      </w:r>
      <w:r w:rsidR="000D397E" w:rsidRPr="000508B6">
        <w:rPr>
          <w:rFonts w:ascii="Times New Roman" w:eastAsia="Times New Roman" w:hAnsi="Times New Roman" w:cs="Times New Roman"/>
          <w:lang w:val="ro-MD"/>
        </w:rPr>
        <w:t xml:space="preserve"> </w:t>
      </w:r>
    </w:p>
    <w:p w14:paraId="47858FBA" w14:textId="73201D84" w:rsidR="00F95829" w:rsidRPr="000508B6" w:rsidRDefault="00F95829" w:rsidP="00CF5AFA">
      <w:pPr>
        <w:pStyle w:val="Listparagraf"/>
        <w:numPr>
          <w:ilvl w:val="0"/>
          <w:numId w:val="38"/>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Dispoziţiile</w:t>
      </w:r>
      <w:proofErr w:type="spellEnd"/>
      <w:r w:rsidRPr="000508B6">
        <w:rPr>
          <w:rFonts w:ascii="Times New Roman" w:eastAsia="Times New Roman" w:hAnsi="Times New Roman" w:cs="Times New Roman"/>
          <w:lang w:val="ro-MD"/>
        </w:rPr>
        <w:t xml:space="preserve"> prezentei </w:t>
      </w:r>
      <w:r w:rsidR="0038025F" w:rsidRPr="000508B6">
        <w:rPr>
          <w:rFonts w:ascii="Times New Roman" w:eastAsia="Times New Roman" w:hAnsi="Times New Roman" w:cs="Times New Roman"/>
          <w:lang w:val="ro-MD"/>
        </w:rPr>
        <w:t>legi</w:t>
      </w:r>
      <w:r w:rsidR="0054602F" w:rsidRPr="000508B6">
        <w:rPr>
          <w:rFonts w:ascii="Times New Roman" w:eastAsia="Times New Roman" w:hAnsi="Times New Roman" w:cs="Times New Roman"/>
          <w:lang w:val="ro-MD"/>
        </w:rPr>
        <w:t xml:space="preserve"> se aplică:</w:t>
      </w:r>
      <w:r w:rsidR="0029017B" w:rsidRPr="000508B6">
        <w:rPr>
          <w:rFonts w:ascii="Times New Roman" w:eastAsia="Times New Roman" w:hAnsi="Times New Roman" w:cs="Times New Roman"/>
          <w:i/>
          <w:lang w:val="ro-MD"/>
        </w:rPr>
        <w:t xml:space="preserve"> </w:t>
      </w:r>
    </w:p>
    <w:p w14:paraId="69E7B15A" w14:textId="60239BCE" w:rsidR="00F95829" w:rsidRPr="000508B6" w:rsidRDefault="00BF728E" w:rsidP="004302EF">
      <w:pPr>
        <w:pStyle w:val="Listparagraf"/>
        <w:numPr>
          <w:ilvl w:val="0"/>
          <w:numId w:val="4"/>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care solicită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pentru </w:t>
      </w:r>
      <w:proofErr w:type="spellStart"/>
      <w:r w:rsidRPr="000508B6">
        <w:rPr>
          <w:rFonts w:ascii="Times New Roman" w:eastAsia="Times New Roman" w:hAnsi="Times New Roman" w:cs="Times New Roman"/>
          <w:lang w:val="ro-MD"/>
        </w:rPr>
        <w:t>desfăşurarea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asigurare sau de reasigurare în conformitate cu prezenta lege</w:t>
      </w:r>
      <w:r w:rsidR="00F95829" w:rsidRPr="000508B6">
        <w:rPr>
          <w:rFonts w:ascii="Times New Roman" w:eastAsia="Times New Roman" w:hAnsi="Times New Roman" w:cs="Times New Roman"/>
          <w:lang w:val="ro-MD"/>
        </w:rPr>
        <w:t>;</w:t>
      </w:r>
    </w:p>
    <w:p w14:paraId="148A93CC" w14:textId="4F529FF7" w:rsidR="00CA4250" w:rsidRPr="000508B6" w:rsidRDefault="001A1B79" w:rsidP="004302EF">
      <w:pPr>
        <w:pStyle w:val="Listparagraf"/>
        <w:numPr>
          <w:ilvl w:val="0"/>
          <w:numId w:val="4"/>
        </w:numPr>
        <w:tabs>
          <w:tab w:val="left" w:pos="709"/>
        </w:tabs>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r w:rsidR="004E501E" w:rsidRPr="000508B6">
        <w:rPr>
          <w:rFonts w:ascii="Times New Roman" w:eastAsia="Times New Roman" w:hAnsi="Times New Roman" w:cs="Times New Roman"/>
          <w:lang w:val="ro-MD"/>
        </w:rPr>
        <w:t xml:space="preserve">care </w:t>
      </w:r>
      <w:proofErr w:type="spellStart"/>
      <w:r w:rsidR="004E501E" w:rsidRPr="000508B6">
        <w:rPr>
          <w:rFonts w:ascii="Times New Roman" w:eastAsia="Times New Roman" w:hAnsi="Times New Roman" w:cs="Times New Roman"/>
          <w:lang w:val="ro-MD"/>
        </w:rPr>
        <w:t>deţin</w:t>
      </w:r>
      <w:r w:rsidRPr="000508B6">
        <w:rPr>
          <w:rFonts w:ascii="Times New Roman" w:eastAsia="Times New Roman" w:hAnsi="Times New Roman" w:cs="Times New Roman"/>
          <w:lang w:val="ro-MD"/>
        </w:rPr>
        <w:t>e</w:t>
      </w:r>
      <w:proofErr w:type="spellEnd"/>
      <w:r w:rsidR="004E501E" w:rsidRPr="000508B6">
        <w:rPr>
          <w:rFonts w:ascii="Times New Roman" w:eastAsia="Times New Roman" w:hAnsi="Times New Roman" w:cs="Times New Roman"/>
          <w:lang w:val="ro-MD"/>
        </w:rPr>
        <w:t xml:space="preserve"> </w:t>
      </w:r>
      <w:proofErr w:type="spellStart"/>
      <w:r w:rsidR="004E501E" w:rsidRPr="000508B6">
        <w:rPr>
          <w:rFonts w:ascii="Times New Roman" w:eastAsia="Times New Roman" w:hAnsi="Times New Roman" w:cs="Times New Roman"/>
          <w:lang w:val="ro-MD"/>
        </w:rPr>
        <w:t>licenţă</w:t>
      </w:r>
      <w:proofErr w:type="spellEnd"/>
      <w:r w:rsidR="004E501E" w:rsidRPr="000508B6">
        <w:rPr>
          <w:rFonts w:ascii="Times New Roman" w:eastAsia="Times New Roman" w:hAnsi="Times New Roman" w:cs="Times New Roman"/>
          <w:lang w:val="ro-MD"/>
        </w:rPr>
        <w:t xml:space="preserve"> </w:t>
      </w:r>
      <w:bookmarkStart w:id="25" w:name="_Hlk211409690"/>
      <w:r w:rsidR="004E501E" w:rsidRPr="000508B6">
        <w:rPr>
          <w:rFonts w:ascii="Times New Roman" w:eastAsia="Times New Roman" w:hAnsi="Times New Roman" w:cs="Times New Roman"/>
          <w:lang w:val="ro-MD"/>
        </w:rPr>
        <w:t xml:space="preserve">pentru </w:t>
      </w:r>
      <w:proofErr w:type="spellStart"/>
      <w:r w:rsidR="004E501E" w:rsidRPr="000508B6">
        <w:rPr>
          <w:rFonts w:ascii="Times New Roman" w:eastAsia="Times New Roman" w:hAnsi="Times New Roman" w:cs="Times New Roman"/>
          <w:lang w:val="ro-MD"/>
        </w:rPr>
        <w:t>desfăşurarea</w:t>
      </w:r>
      <w:proofErr w:type="spellEnd"/>
      <w:r w:rsidR="004E501E" w:rsidRPr="000508B6">
        <w:rPr>
          <w:rFonts w:ascii="Times New Roman" w:eastAsia="Times New Roman" w:hAnsi="Times New Roman" w:cs="Times New Roman"/>
          <w:lang w:val="ro-MD"/>
        </w:rPr>
        <w:t xml:space="preserve"> </w:t>
      </w:r>
      <w:proofErr w:type="spellStart"/>
      <w:r w:rsidR="004E501E" w:rsidRPr="000508B6">
        <w:rPr>
          <w:rFonts w:ascii="Times New Roman" w:eastAsia="Times New Roman" w:hAnsi="Times New Roman" w:cs="Times New Roman"/>
          <w:lang w:val="ro-MD"/>
        </w:rPr>
        <w:t>activităţii</w:t>
      </w:r>
      <w:proofErr w:type="spellEnd"/>
      <w:r w:rsidR="004E501E" w:rsidRPr="000508B6">
        <w:rPr>
          <w:rFonts w:ascii="Times New Roman" w:eastAsia="Times New Roman" w:hAnsi="Times New Roman" w:cs="Times New Roman"/>
          <w:lang w:val="ro-MD"/>
        </w:rPr>
        <w:t xml:space="preserve"> de asigurare </w:t>
      </w:r>
      <w:bookmarkEnd w:id="25"/>
      <w:proofErr w:type="spellStart"/>
      <w:r w:rsidR="004E501E" w:rsidRPr="000508B6">
        <w:rPr>
          <w:rFonts w:ascii="Times New Roman" w:eastAsia="Times New Roman" w:hAnsi="Times New Roman" w:cs="Times New Roman"/>
          <w:lang w:val="ro-MD"/>
        </w:rPr>
        <w:t>şi</w:t>
      </w:r>
      <w:proofErr w:type="spellEnd"/>
      <w:r w:rsidR="004E501E" w:rsidRPr="000508B6">
        <w:rPr>
          <w:rFonts w:ascii="Times New Roman" w:eastAsia="Times New Roman" w:hAnsi="Times New Roman" w:cs="Times New Roman"/>
          <w:lang w:val="ro-MD"/>
        </w:rPr>
        <w:t xml:space="preserve"> activează pe teritoriul Republicii Moldova, precum </w:t>
      </w:r>
      <w:proofErr w:type="spellStart"/>
      <w:r w:rsidR="004E501E" w:rsidRPr="000508B6">
        <w:rPr>
          <w:rFonts w:ascii="Times New Roman" w:eastAsia="Times New Roman" w:hAnsi="Times New Roman" w:cs="Times New Roman"/>
          <w:lang w:val="ro-MD"/>
        </w:rPr>
        <w:t>şi</w:t>
      </w:r>
      <w:proofErr w:type="spellEnd"/>
      <w:r w:rsidR="004E501E" w:rsidRPr="000508B6">
        <w:rPr>
          <w:rFonts w:ascii="Times New Roman" w:eastAsia="Times New Roman" w:hAnsi="Times New Roman" w:cs="Times New Roman"/>
          <w:lang w:val="ro-MD"/>
        </w:rPr>
        <w:t xml:space="preserve"> sucursalelor acestora </w:t>
      </w:r>
      <w:r w:rsidR="00E123D6" w:rsidRPr="000508B6">
        <w:rPr>
          <w:rFonts w:ascii="Times New Roman" w:eastAsia="Times New Roman" w:hAnsi="Times New Roman" w:cs="Times New Roman"/>
          <w:lang w:val="ro-MD"/>
        </w:rPr>
        <w:t xml:space="preserve">în </w:t>
      </w:r>
      <w:r w:rsidR="004E501E" w:rsidRPr="000508B6">
        <w:rPr>
          <w:rFonts w:ascii="Times New Roman" w:eastAsia="Times New Roman" w:hAnsi="Times New Roman" w:cs="Times New Roman"/>
          <w:lang w:val="ro-MD"/>
        </w:rPr>
        <w:t xml:space="preserve">statele </w:t>
      </w:r>
      <w:proofErr w:type="spellStart"/>
      <w:r w:rsidR="004E501E" w:rsidRPr="000508B6">
        <w:rPr>
          <w:rFonts w:ascii="Times New Roman" w:eastAsia="Times New Roman" w:hAnsi="Times New Roman" w:cs="Times New Roman"/>
          <w:lang w:val="ro-MD"/>
        </w:rPr>
        <w:t>terţe</w:t>
      </w:r>
      <w:proofErr w:type="spellEnd"/>
      <w:r w:rsidR="004E501E" w:rsidRPr="000508B6">
        <w:rPr>
          <w:rFonts w:ascii="Times New Roman" w:eastAsia="Times New Roman" w:hAnsi="Times New Roman" w:cs="Times New Roman"/>
          <w:lang w:val="ro-MD"/>
        </w:rPr>
        <w:t>;</w:t>
      </w:r>
      <w:r w:rsidR="00614CEB" w:rsidRPr="000508B6">
        <w:rPr>
          <w:rFonts w:ascii="Times New Roman" w:eastAsia="Times New Roman" w:hAnsi="Times New Roman" w:cs="Times New Roman"/>
          <w:lang w:val="ro-MD"/>
        </w:rPr>
        <w:t xml:space="preserve"> </w:t>
      </w:r>
    </w:p>
    <w:p w14:paraId="13C2EA48" w14:textId="4F46C333" w:rsidR="00CA4250" w:rsidRPr="000508B6" w:rsidRDefault="004E501E" w:rsidP="004302EF">
      <w:pPr>
        <w:pStyle w:val="Listparagraf"/>
        <w:numPr>
          <w:ilvl w:val="0"/>
          <w:numId w:val="4"/>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sucursalelor </w:t>
      </w:r>
      <w:r w:rsidR="001A1B79" w:rsidRPr="000508B6">
        <w:rPr>
          <w:rFonts w:ascii="Times New Roman" w:eastAsia="Times New Roman" w:hAnsi="Times New Roman" w:cs="Times New Roman"/>
          <w:lang w:val="ro-MD"/>
        </w:rPr>
        <w:t xml:space="preserve">asigurătorului </w:t>
      </w:r>
      <w:r w:rsidRPr="000508B6">
        <w:rPr>
          <w:rFonts w:ascii="Times New Roman" w:eastAsia="Times New Roman" w:hAnsi="Times New Roman" w:cs="Times New Roman"/>
          <w:lang w:val="ro-MD"/>
        </w:rPr>
        <w:t xml:space="preserve">din statele </w:t>
      </w:r>
      <w:proofErr w:type="spellStart"/>
      <w:r w:rsidRPr="000508B6">
        <w:rPr>
          <w:rFonts w:ascii="Times New Roman" w:eastAsia="Times New Roman" w:hAnsi="Times New Roman" w:cs="Times New Roman"/>
          <w:lang w:val="ro-MD"/>
        </w:rPr>
        <w:t>terţe</w:t>
      </w:r>
      <w:proofErr w:type="spellEnd"/>
      <w:r w:rsidRPr="000508B6">
        <w:rPr>
          <w:rFonts w:ascii="Times New Roman" w:eastAsia="Times New Roman" w:hAnsi="Times New Roman" w:cs="Times New Roman"/>
          <w:lang w:val="ro-MD"/>
        </w:rPr>
        <w:t xml:space="preserve"> în ceea ce </w:t>
      </w:r>
      <w:proofErr w:type="spellStart"/>
      <w:r w:rsidRPr="000508B6">
        <w:rPr>
          <w:rFonts w:ascii="Times New Roman" w:eastAsia="Times New Roman" w:hAnsi="Times New Roman" w:cs="Times New Roman"/>
          <w:lang w:val="ro-MD"/>
        </w:rPr>
        <w:t>priveşte</w:t>
      </w:r>
      <w:proofErr w:type="spellEnd"/>
      <w:r w:rsidRPr="000508B6">
        <w:rPr>
          <w:rFonts w:ascii="Times New Roman" w:eastAsia="Times New Roman" w:hAnsi="Times New Roman" w:cs="Times New Roman"/>
          <w:lang w:val="ro-MD"/>
        </w:rPr>
        <w:t xml:space="preserve"> activitatea acestora </w:t>
      </w:r>
      <w:proofErr w:type="spellStart"/>
      <w:r w:rsidRPr="000508B6">
        <w:rPr>
          <w:rFonts w:ascii="Times New Roman" w:eastAsia="Times New Roman" w:hAnsi="Times New Roman" w:cs="Times New Roman"/>
          <w:lang w:val="ro-MD"/>
        </w:rPr>
        <w:t>desfăşurată</w:t>
      </w:r>
      <w:proofErr w:type="spellEnd"/>
      <w:r w:rsidRPr="000508B6">
        <w:rPr>
          <w:rFonts w:ascii="Times New Roman" w:eastAsia="Times New Roman" w:hAnsi="Times New Roman" w:cs="Times New Roman"/>
          <w:lang w:val="ro-MD"/>
        </w:rPr>
        <w:t xml:space="preserve"> în Republica Moldova;</w:t>
      </w:r>
      <w:r w:rsidR="000F10C5" w:rsidRPr="000508B6">
        <w:rPr>
          <w:rFonts w:ascii="Times New Roman" w:eastAsia="Times New Roman" w:hAnsi="Times New Roman" w:cs="Times New Roman"/>
          <w:lang w:val="ro-MD"/>
        </w:rPr>
        <w:t xml:space="preserve"> </w:t>
      </w:r>
    </w:p>
    <w:bookmarkEnd w:id="24"/>
    <w:p w14:paraId="1C8A2265" w14:textId="48619F49" w:rsidR="007679CC" w:rsidRPr="000508B6" w:rsidRDefault="008A4E6D" w:rsidP="00CF5AFA">
      <w:pPr>
        <w:pStyle w:val="Listparagraf"/>
        <w:numPr>
          <w:ilvl w:val="0"/>
          <w:numId w:val="38"/>
        </w:numPr>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w:t>
      </w:r>
      <w:r w:rsidR="00A4279C" w:rsidRPr="000508B6">
        <w:rPr>
          <w:rFonts w:ascii="Times New Roman" w:hAnsi="Times New Roman" w:cs="Times New Roman"/>
          <w:lang w:val="ro-MD"/>
        </w:rPr>
        <w:t>asigurarea</w:t>
      </w:r>
      <w:r w:rsidRPr="000508B6">
        <w:rPr>
          <w:rFonts w:ascii="Times New Roman" w:hAnsi="Times New Roman" w:cs="Times New Roman"/>
          <w:lang w:val="ro-MD"/>
        </w:rPr>
        <w:t xml:space="preserve"> general</w:t>
      </w:r>
      <w:r w:rsidR="00A4279C" w:rsidRPr="000508B6">
        <w:rPr>
          <w:rFonts w:ascii="Times New Roman" w:hAnsi="Times New Roman" w:cs="Times New Roman"/>
          <w:lang w:val="ro-MD"/>
        </w:rPr>
        <w:t>ă</w:t>
      </w:r>
      <w:r w:rsidRPr="000508B6">
        <w:rPr>
          <w:rFonts w:ascii="Times New Roman" w:hAnsi="Times New Roman" w:cs="Times New Roman"/>
          <w:lang w:val="ro-MD"/>
        </w:rPr>
        <w:t xml:space="preserve">, prevederile prezentei </w:t>
      </w:r>
      <w:r w:rsidR="003B7FFB" w:rsidRPr="000508B6">
        <w:rPr>
          <w:rFonts w:ascii="Times New Roman" w:hAnsi="Times New Roman" w:cs="Times New Roman"/>
          <w:lang w:val="ro-MD"/>
        </w:rPr>
        <w:t>legi</w:t>
      </w:r>
      <w:r w:rsidRPr="000508B6">
        <w:rPr>
          <w:rFonts w:ascii="Times New Roman" w:hAnsi="Times New Roman" w:cs="Times New Roman"/>
          <w:lang w:val="ro-MD"/>
        </w:rPr>
        <w:t xml:space="preserve"> se aplică </w:t>
      </w:r>
      <w:r w:rsidR="00C325A1" w:rsidRPr="000508B6">
        <w:rPr>
          <w:rFonts w:ascii="Times New Roman" w:hAnsi="Times New Roman" w:cs="Times New Roman"/>
          <w:lang w:val="ro-MD"/>
        </w:rPr>
        <w:t xml:space="preserve">activităților de asigurare generale enumerate </w:t>
      </w:r>
      <w:r w:rsidRPr="000508B6">
        <w:rPr>
          <w:rFonts w:ascii="Times New Roman" w:hAnsi="Times New Roman" w:cs="Times New Roman"/>
          <w:lang w:val="ro-MD"/>
        </w:rPr>
        <w:t xml:space="preserve"> în </w:t>
      </w:r>
      <w:r w:rsidR="004012A7" w:rsidRPr="000508B6">
        <w:rPr>
          <w:rFonts w:ascii="Times New Roman" w:hAnsi="Times New Roman" w:cs="Times New Roman"/>
          <w:lang w:val="ro-MD"/>
        </w:rPr>
        <w:t xml:space="preserve">Anexa </w:t>
      </w:r>
      <w:r w:rsidRPr="000508B6">
        <w:rPr>
          <w:rFonts w:ascii="Times New Roman" w:hAnsi="Times New Roman" w:cs="Times New Roman"/>
          <w:lang w:val="ro-MD"/>
        </w:rPr>
        <w:t xml:space="preserve">nr. 1 </w:t>
      </w:r>
      <w:proofErr w:type="spellStart"/>
      <w:r w:rsidRPr="000508B6">
        <w:rPr>
          <w:rFonts w:ascii="Times New Roman" w:hAnsi="Times New Roman" w:cs="Times New Roman"/>
          <w:lang w:val="ro-MD"/>
        </w:rPr>
        <w:t>secţiun</w:t>
      </w:r>
      <w:r w:rsidR="002A1AB3" w:rsidRPr="000508B6">
        <w:rPr>
          <w:rFonts w:ascii="Times New Roman" w:hAnsi="Times New Roman" w:cs="Times New Roman"/>
          <w:lang w:val="ro-MD"/>
        </w:rPr>
        <w:t>ea</w:t>
      </w:r>
      <w:proofErr w:type="spellEnd"/>
      <w:r w:rsidRPr="000508B6">
        <w:rPr>
          <w:rFonts w:ascii="Times New Roman" w:hAnsi="Times New Roman" w:cs="Times New Roman"/>
          <w:lang w:val="ro-MD"/>
        </w:rPr>
        <w:t xml:space="preserve"> A. </w:t>
      </w:r>
    </w:p>
    <w:p w14:paraId="3B816E8B" w14:textId="128E043A" w:rsidR="008A4E6D" w:rsidRPr="000508B6" w:rsidRDefault="007679CC" w:rsidP="00CF5AFA">
      <w:pPr>
        <w:pStyle w:val="Listparagraf"/>
        <w:numPr>
          <w:ilvl w:val="0"/>
          <w:numId w:val="38"/>
        </w:numPr>
        <w:ind w:left="0" w:firstLine="426"/>
        <w:jc w:val="both"/>
        <w:rPr>
          <w:rFonts w:ascii="Times New Roman" w:hAnsi="Times New Roman" w:cs="Times New Roman"/>
          <w:i/>
          <w:lang w:val="ro-MD"/>
        </w:rPr>
      </w:pPr>
      <w:r w:rsidRPr="000508B6">
        <w:rPr>
          <w:rFonts w:ascii="Times New Roman" w:hAnsi="Times New Roman" w:cs="Times New Roman"/>
          <w:lang w:val="ro-MD"/>
        </w:rPr>
        <w:t xml:space="preserve">În sensul alin. (1) lit. b) asigurarea generală include activitatea care reprezintă asistență furnizată persoanelor aflate în dificultate în cursul deplasărilor, absențelor de la domiciliu sau de la locul de reședință obișnuită ale acestora. </w:t>
      </w:r>
      <w:r w:rsidR="00BB7D3B" w:rsidRPr="000508B6">
        <w:rPr>
          <w:rFonts w:ascii="Times New Roman" w:hAnsi="Times New Roman" w:cs="Times New Roman"/>
          <w:lang w:val="ro-MD"/>
        </w:rPr>
        <w:t>Aceast</w:t>
      </w:r>
      <w:r w:rsidR="00C606B6" w:rsidRPr="000508B6">
        <w:rPr>
          <w:rFonts w:ascii="Times New Roman" w:hAnsi="Times New Roman" w:cs="Times New Roman"/>
          <w:lang w:val="ro-MD"/>
        </w:rPr>
        <w:t>ă</w:t>
      </w:r>
      <w:r w:rsidR="00BB7D3B" w:rsidRPr="000508B6">
        <w:rPr>
          <w:rFonts w:ascii="Times New Roman" w:hAnsi="Times New Roman" w:cs="Times New Roman"/>
          <w:lang w:val="ro-MD"/>
        </w:rPr>
        <w:t xml:space="preserve"> activitate constă în asistarea imediată a beneficiarului unui contract de </w:t>
      </w:r>
      <w:proofErr w:type="spellStart"/>
      <w:r w:rsidR="00BB7D3B" w:rsidRPr="000508B6">
        <w:rPr>
          <w:rFonts w:ascii="Times New Roman" w:hAnsi="Times New Roman" w:cs="Times New Roman"/>
          <w:lang w:val="ro-MD"/>
        </w:rPr>
        <w:t>asistenţă</w:t>
      </w:r>
      <w:proofErr w:type="spellEnd"/>
      <w:r w:rsidR="00BB7D3B" w:rsidRPr="000508B6">
        <w:rPr>
          <w:rFonts w:ascii="Times New Roman" w:hAnsi="Times New Roman" w:cs="Times New Roman"/>
          <w:lang w:val="ro-MD"/>
        </w:rPr>
        <w:t xml:space="preserve"> aflat în dificultate ca urmare a unui eveniment neprevăzut, în cazurile </w:t>
      </w:r>
      <w:proofErr w:type="spellStart"/>
      <w:r w:rsidR="00BB7D3B" w:rsidRPr="000508B6">
        <w:rPr>
          <w:rFonts w:ascii="Times New Roman" w:hAnsi="Times New Roman" w:cs="Times New Roman"/>
          <w:lang w:val="ro-MD"/>
        </w:rPr>
        <w:t>şi</w:t>
      </w:r>
      <w:proofErr w:type="spellEnd"/>
      <w:r w:rsidR="00BB7D3B" w:rsidRPr="000508B6">
        <w:rPr>
          <w:rFonts w:ascii="Times New Roman" w:hAnsi="Times New Roman" w:cs="Times New Roman"/>
          <w:lang w:val="ro-MD"/>
        </w:rPr>
        <w:t xml:space="preserve"> </w:t>
      </w:r>
      <w:proofErr w:type="spellStart"/>
      <w:r w:rsidR="00BB7D3B" w:rsidRPr="000508B6">
        <w:rPr>
          <w:rFonts w:ascii="Times New Roman" w:hAnsi="Times New Roman" w:cs="Times New Roman"/>
          <w:lang w:val="ro-MD"/>
        </w:rPr>
        <w:t>condiţiile</w:t>
      </w:r>
      <w:proofErr w:type="spellEnd"/>
      <w:r w:rsidR="00BB7D3B" w:rsidRPr="000508B6">
        <w:rPr>
          <w:rFonts w:ascii="Times New Roman" w:hAnsi="Times New Roman" w:cs="Times New Roman"/>
          <w:lang w:val="ro-MD"/>
        </w:rPr>
        <w:t xml:space="preserve"> </w:t>
      </w:r>
      <w:proofErr w:type="spellStart"/>
      <w:r w:rsidR="00BB7D3B" w:rsidRPr="000508B6">
        <w:rPr>
          <w:rFonts w:ascii="Times New Roman" w:hAnsi="Times New Roman" w:cs="Times New Roman"/>
          <w:lang w:val="ro-MD"/>
        </w:rPr>
        <w:t>menţionate</w:t>
      </w:r>
      <w:proofErr w:type="spellEnd"/>
      <w:r w:rsidR="00BB7D3B" w:rsidRPr="000508B6">
        <w:rPr>
          <w:rFonts w:ascii="Times New Roman" w:hAnsi="Times New Roman" w:cs="Times New Roman"/>
          <w:lang w:val="ro-MD"/>
        </w:rPr>
        <w:t xml:space="preserve"> în contract. Asistarea respectivă constă fie în plata unei </w:t>
      </w:r>
      <w:proofErr w:type="spellStart"/>
      <w:r w:rsidR="00BB7D3B" w:rsidRPr="000508B6">
        <w:rPr>
          <w:rFonts w:ascii="Times New Roman" w:hAnsi="Times New Roman" w:cs="Times New Roman"/>
          <w:lang w:val="ro-MD"/>
        </w:rPr>
        <w:t>indemnizaţii</w:t>
      </w:r>
      <w:proofErr w:type="spellEnd"/>
      <w:r w:rsidR="00BB7D3B" w:rsidRPr="000508B6">
        <w:rPr>
          <w:rFonts w:ascii="Times New Roman" w:hAnsi="Times New Roman" w:cs="Times New Roman"/>
          <w:lang w:val="ro-MD"/>
        </w:rPr>
        <w:t xml:space="preserve">, fie în prestarea unor servicii în natură care pot fi furnizate prin personalul </w:t>
      </w:r>
      <w:proofErr w:type="spellStart"/>
      <w:r w:rsidR="00BB7D3B" w:rsidRPr="000508B6">
        <w:rPr>
          <w:rFonts w:ascii="Times New Roman" w:hAnsi="Times New Roman" w:cs="Times New Roman"/>
          <w:lang w:val="ro-MD"/>
        </w:rPr>
        <w:t>şi</w:t>
      </w:r>
      <w:proofErr w:type="spellEnd"/>
      <w:r w:rsidR="00BB7D3B" w:rsidRPr="000508B6">
        <w:rPr>
          <w:rFonts w:ascii="Times New Roman" w:hAnsi="Times New Roman" w:cs="Times New Roman"/>
          <w:lang w:val="ro-MD"/>
        </w:rPr>
        <w:t xml:space="preserve"> cu echipamentul prestatorului, fără a include servicii de verificare </w:t>
      </w:r>
      <w:proofErr w:type="spellStart"/>
      <w:r w:rsidR="00BB7D3B" w:rsidRPr="000508B6">
        <w:rPr>
          <w:rFonts w:ascii="Times New Roman" w:hAnsi="Times New Roman" w:cs="Times New Roman"/>
          <w:lang w:val="ro-MD"/>
        </w:rPr>
        <w:t>şi</w:t>
      </w:r>
      <w:proofErr w:type="spellEnd"/>
      <w:r w:rsidR="00BB7D3B" w:rsidRPr="000508B6">
        <w:rPr>
          <w:rFonts w:ascii="Times New Roman" w:hAnsi="Times New Roman" w:cs="Times New Roman"/>
          <w:lang w:val="ro-MD"/>
        </w:rPr>
        <w:t xml:space="preserve"> reparare, de </w:t>
      </w:r>
      <w:proofErr w:type="spellStart"/>
      <w:r w:rsidR="00BB7D3B" w:rsidRPr="000508B6">
        <w:rPr>
          <w:rFonts w:ascii="Times New Roman" w:hAnsi="Times New Roman" w:cs="Times New Roman"/>
          <w:lang w:val="ro-MD"/>
        </w:rPr>
        <w:t>mentenanţă</w:t>
      </w:r>
      <w:proofErr w:type="spellEnd"/>
      <w:r w:rsidR="00BB7D3B" w:rsidRPr="000508B6">
        <w:rPr>
          <w:rFonts w:ascii="Times New Roman" w:hAnsi="Times New Roman" w:cs="Times New Roman"/>
          <w:lang w:val="ro-MD"/>
        </w:rPr>
        <w:t xml:space="preserve">, </w:t>
      </w:r>
      <w:proofErr w:type="spellStart"/>
      <w:r w:rsidR="00BB7D3B" w:rsidRPr="000508B6">
        <w:rPr>
          <w:rFonts w:ascii="Times New Roman" w:hAnsi="Times New Roman" w:cs="Times New Roman"/>
          <w:lang w:val="ro-MD"/>
        </w:rPr>
        <w:t>postvânzare</w:t>
      </w:r>
      <w:proofErr w:type="spellEnd"/>
      <w:r w:rsidR="00BB7D3B" w:rsidRPr="000508B6">
        <w:rPr>
          <w:rFonts w:ascii="Times New Roman" w:hAnsi="Times New Roman" w:cs="Times New Roman"/>
          <w:lang w:val="ro-MD"/>
        </w:rPr>
        <w:t xml:space="preserve"> ori simpla </w:t>
      </w:r>
      <w:proofErr w:type="spellStart"/>
      <w:r w:rsidR="00BB7D3B" w:rsidRPr="000508B6">
        <w:rPr>
          <w:rFonts w:ascii="Times New Roman" w:hAnsi="Times New Roman" w:cs="Times New Roman"/>
          <w:lang w:val="ro-MD"/>
        </w:rPr>
        <w:t>indicaţie</w:t>
      </w:r>
      <w:proofErr w:type="spellEnd"/>
      <w:r w:rsidR="00BB7D3B" w:rsidRPr="000508B6">
        <w:rPr>
          <w:rFonts w:ascii="Times New Roman" w:hAnsi="Times New Roman" w:cs="Times New Roman"/>
          <w:lang w:val="ro-MD"/>
        </w:rPr>
        <w:t xml:space="preserve"> sau prevedere a unui ajutor în calitate de intermediar.</w:t>
      </w:r>
    </w:p>
    <w:p w14:paraId="4C3F59DE" w14:textId="11A5A1C3" w:rsidR="00F95829" w:rsidRPr="000508B6" w:rsidRDefault="00F95829" w:rsidP="00CF5AFA">
      <w:pPr>
        <w:pStyle w:val="Listparagraf"/>
        <w:numPr>
          <w:ilvl w:val="0"/>
          <w:numId w:val="38"/>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w:t>
      </w:r>
      <w:r w:rsidR="009871D3" w:rsidRPr="000508B6">
        <w:rPr>
          <w:rFonts w:ascii="Times New Roman" w:hAnsi="Times New Roman" w:cs="Times New Roman"/>
          <w:lang w:val="ro-MD"/>
        </w:rPr>
        <w:t>asigurarea</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prevederile prezentei </w:t>
      </w:r>
      <w:r w:rsidR="003B7FFB" w:rsidRPr="000508B6">
        <w:rPr>
          <w:rFonts w:ascii="Times New Roman" w:hAnsi="Times New Roman" w:cs="Times New Roman"/>
          <w:lang w:val="ro-MD"/>
        </w:rPr>
        <w:t>legi</w:t>
      </w:r>
      <w:r w:rsidRPr="000508B6">
        <w:rPr>
          <w:rFonts w:ascii="Times New Roman" w:hAnsi="Times New Roman" w:cs="Times New Roman"/>
          <w:lang w:val="ro-MD"/>
        </w:rPr>
        <w:t xml:space="preserve"> se aplică:</w:t>
      </w:r>
      <w:r w:rsidR="009656E6" w:rsidRPr="000508B6">
        <w:rPr>
          <w:rFonts w:ascii="Times New Roman" w:hAnsi="Times New Roman" w:cs="Times New Roman"/>
          <w:lang w:val="ro-MD"/>
        </w:rPr>
        <w:t xml:space="preserve"> </w:t>
      </w:r>
    </w:p>
    <w:p w14:paraId="35678180" w14:textId="527B99EC" w:rsidR="00F95829" w:rsidRPr="000508B6" w:rsidRDefault="00F95829" w:rsidP="00CF5AFA">
      <w:pPr>
        <w:pStyle w:val="Listparagraf"/>
        <w:numPr>
          <w:ilvl w:val="0"/>
          <w:numId w:val="39"/>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următoarelor </w:t>
      </w:r>
      <w:proofErr w:type="spellStart"/>
      <w:r w:rsidRPr="000508B6">
        <w:rPr>
          <w:rFonts w:ascii="Times New Roman" w:hAnsi="Times New Roman" w:cs="Times New Roman"/>
          <w:lang w:val="ro-MD"/>
        </w:rPr>
        <w:t>activităţi</w:t>
      </w:r>
      <w:proofErr w:type="spellEnd"/>
      <w:r w:rsidR="0036305C" w:rsidRPr="000508B6">
        <w:rPr>
          <w:rFonts w:ascii="Times New Roman" w:hAnsi="Times New Roman" w:cs="Times New Roman"/>
          <w:lang w:val="ro-MD"/>
        </w:rPr>
        <w:t xml:space="preserve"> de asigurare de viață</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 xml:space="preserve"> pe bază contractuală:   </w:t>
      </w:r>
    </w:p>
    <w:p w14:paraId="5EDFDBE6" w14:textId="33214E5B" w:rsidR="00F95829" w:rsidRPr="000508B6" w:rsidRDefault="00BC7830" w:rsidP="00CF5AFA">
      <w:pPr>
        <w:pStyle w:val="Listparagraf"/>
        <w:numPr>
          <w:ilvl w:val="0"/>
          <w:numId w:val="40"/>
        </w:numPr>
        <w:tabs>
          <w:tab w:val="left" w:pos="284"/>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asigurarea de viață, care include asigurarea de supraviețuire, asigurarea de deces, asigurarea mixtă, asigurarea de viață cu restituirea primelor, asigurarea de căsătorie, asigurarea de naștere</w:t>
      </w:r>
      <w:r w:rsidR="00F95829" w:rsidRPr="000508B6">
        <w:rPr>
          <w:rFonts w:ascii="Times New Roman" w:hAnsi="Times New Roman" w:cs="Times New Roman"/>
          <w:lang w:val="ro-MD"/>
        </w:rPr>
        <w:t xml:space="preserve">;   </w:t>
      </w:r>
    </w:p>
    <w:p w14:paraId="4D03DC92" w14:textId="77777777" w:rsidR="00F95829" w:rsidRPr="000508B6" w:rsidRDefault="00F95829" w:rsidP="00CF5AFA">
      <w:pPr>
        <w:pStyle w:val="Listparagraf"/>
        <w:numPr>
          <w:ilvl w:val="0"/>
          <w:numId w:val="40"/>
        </w:numPr>
        <w:tabs>
          <w:tab w:val="left" w:pos="284"/>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anuităţi</w:t>
      </w:r>
      <w:proofErr w:type="spellEnd"/>
      <w:r w:rsidRPr="000508B6">
        <w:rPr>
          <w:rFonts w:ascii="Times New Roman" w:hAnsi="Times New Roman" w:cs="Times New Roman"/>
          <w:lang w:val="ro-MD"/>
        </w:rPr>
        <w:t xml:space="preserve">;   </w:t>
      </w:r>
    </w:p>
    <w:p w14:paraId="2831BAF6" w14:textId="15EDF66A" w:rsidR="00F95829" w:rsidRPr="000508B6" w:rsidRDefault="0083651D" w:rsidP="00CF5AFA">
      <w:pPr>
        <w:pStyle w:val="Listparagraf"/>
        <w:numPr>
          <w:ilvl w:val="0"/>
          <w:numId w:val="40"/>
        </w:numPr>
        <w:tabs>
          <w:tab w:val="left" w:pos="284"/>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C87555" w:rsidRPr="000508B6">
        <w:rPr>
          <w:rFonts w:ascii="Times New Roman" w:hAnsi="Times New Roman" w:cs="Times New Roman"/>
          <w:lang w:val="ro-MD"/>
        </w:rPr>
        <w:t xml:space="preserve">asigurarea suplimentară subscrisă pe lângă asigurarea de viață, în special asigurarea </w:t>
      </w:r>
      <w:r w:rsidR="0066705C" w:rsidRPr="000508B6">
        <w:rPr>
          <w:rFonts w:ascii="Times New Roman" w:hAnsi="Times New Roman" w:cs="Times New Roman"/>
          <w:lang w:val="ro-MD"/>
        </w:rPr>
        <w:t>de</w:t>
      </w:r>
      <w:r w:rsidR="00C87555" w:rsidRPr="000508B6">
        <w:rPr>
          <w:rFonts w:ascii="Times New Roman" w:hAnsi="Times New Roman" w:cs="Times New Roman"/>
          <w:lang w:val="ro-MD"/>
        </w:rPr>
        <w:t xml:space="preserve"> vătămări corporale, inclusiv a incapacității de muncă, asigurarea </w:t>
      </w:r>
      <w:r w:rsidR="000C08DF" w:rsidRPr="000508B6">
        <w:rPr>
          <w:rFonts w:ascii="Times New Roman" w:hAnsi="Times New Roman" w:cs="Times New Roman"/>
          <w:lang w:val="ro-MD"/>
        </w:rPr>
        <w:t xml:space="preserve">de </w:t>
      </w:r>
      <w:r w:rsidR="00C87555" w:rsidRPr="000508B6">
        <w:rPr>
          <w:rFonts w:ascii="Times New Roman" w:hAnsi="Times New Roman" w:cs="Times New Roman"/>
          <w:lang w:val="ro-MD"/>
        </w:rPr>
        <w:t>deces</w:t>
      </w:r>
      <w:r w:rsidR="009F7FD4" w:rsidRPr="000508B6">
        <w:rPr>
          <w:rFonts w:ascii="Times New Roman" w:hAnsi="Times New Roman" w:cs="Times New Roman"/>
          <w:lang w:val="ro-MD"/>
        </w:rPr>
        <w:t>,</w:t>
      </w:r>
      <w:r w:rsidR="00C87555" w:rsidRPr="000508B6">
        <w:rPr>
          <w:rFonts w:ascii="Times New Roman" w:hAnsi="Times New Roman" w:cs="Times New Roman"/>
          <w:lang w:val="ro-MD"/>
        </w:rPr>
        <w:t xml:space="preserve"> rezultat în urma unui accident și asigurarea de invaliditate </w:t>
      </w:r>
      <w:r w:rsidR="000C08DF" w:rsidRPr="000508B6">
        <w:rPr>
          <w:rFonts w:ascii="Times New Roman" w:hAnsi="Times New Roman" w:cs="Times New Roman"/>
          <w:lang w:val="ro-MD"/>
        </w:rPr>
        <w:t>cauza</w:t>
      </w:r>
      <w:r w:rsidR="00156BD8" w:rsidRPr="000508B6">
        <w:rPr>
          <w:rFonts w:ascii="Times New Roman" w:hAnsi="Times New Roman" w:cs="Times New Roman"/>
          <w:lang w:val="ro-MD"/>
        </w:rPr>
        <w:t xml:space="preserve">tă </w:t>
      </w:r>
      <w:r w:rsidR="00C87555" w:rsidRPr="000508B6">
        <w:rPr>
          <w:rFonts w:ascii="Times New Roman" w:hAnsi="Times New Roman" w:cs="Times New Roman"/>
          <w:lang w:val="ro-MD"/>
        </w:rPr>
        <w:t>de accident sau de boală</w:t>
      </w:r>
      <w:r w:rsidR="00F95829" w:rsidRPr="000508B6">
        <w:rPr>
          <w:rFonts w:ascii="Times New Roman" w:hAnsi="Times New Roman" w:cs="Times New Roman"/>
          <w:lang w:val="ro-MD"/>
        </w:rPr>
        <w:t xml:space="preserve">;   </w:t>
      </w:r>
    </w:p>
    <w:p w14:paraId="16DE34C1" w14:textId="77777777" w:rsidR="00F95829" w:rsidRPr="000508B6" w:rsidRDefault="00F95829" w:rsidP="004302EF">
      <w:pPr>
        <w:pStyle w:val="Listparagraf"/>
        <w:numPr>
          <w:ilvl w:val="0"/>
          <w:numId w:val="3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următoarelor </w:t>
      </w:r>
      <w:proofErr w:type="spellStart"/>
      <w:r w:rsidRPr="000508B6">
        <w:rPr>
          <w:rFonts w:ascii="Times New Roman" w:hAnsi="Times New Roman" w:cs="Times New Roman"/>
          <w:lang w:val="ro-MD"/>
        </w:rPr>
        <w:t>operaţiuni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 xml:space="preserve"> pe bază contractuală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supravegheate de Banca Națională Moldovei:   </w:t>
      </w:r>
    </w:p>
    <w:p w14:paraId="659A8B3B" w14:textId="1515C91C" w:rsidR="00F95829" w:rsidRPr="000508B6" w:rsidRDefault="00F95829" w:rsidP="004302EF">
      <w:pPr>
        <w:pStyle w:val="Listparagraf"/>
        <w:numPr>
          <w:ilvl w:val="0"/>
          <w:numId w:val="41"/>
        </w:numPr>
        <w:tabs>
          <w:tab w:val="left" w:pos="284"/>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asocieri ale unor persoane cu scopul de a-</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capitaliza </w:t>
      </w:r>
      <w:proofErr w:type="spellStart"/>
      <w:r w:rsidRPr="000508B6">
        <w:rPr>
          <w:rFonts w:ascii="Times New Roman" w:hAnsi="Times New Roman" w:cs="Times New Roman"/>
          <w:lang w:val="ro-MD"/>
        </w:rPr>
        <w:t>contribuţiile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a distribui ulterior activele astfel acumulate </w:t>
      </w:r>
      <w:proofErr w:type="spellStart"/>
      <w:r w:rsidRPr="000508B6">
        <w:rPr>
          <w:rFonts w:ascii="Times New Roman" w:hAnsi="Times New Roman" w:cs="Times New Roman"/>
          <w:lang w:val="ro-MD"/>
        </w:rPr>
        <w:t>urmaşilor</w:t>
      </w:r>
      <w:proofErr w:type="spellEnd"/>
      <w:r w:rsidRPr="000508B6">
        <w:rPr>
          <w:rFonts w:ascii="Times New Roman" w:hAnsi="Times New Roman" w:cs="Times New Roman"/>
          <w:lang w:val="ro-MD"/>
        </w:rPr>
        <w:t xml:space="preserve"> sau beneficiarilor </w:t>
      </w:r>
      <w:r w:rsidR="00F25BAD" w:rsidRPr="000508B6">
        <w:rPr>
          <w:rFonts w:ascii="Times New Roman" w:hAnsi="Times New Roman" w:cs="Times New Roman"/>
          <w:lang w:val="ro-MD"/>
        </w:rPr>
        <w:t xml:space="preserve">asigurării </w:t>
      </w:r>
      <w:r w:rsidRPr="000508B6">
        <w:rPr>
          <w:rFonts w:ascii="Times New Roman" w:hAnsi="Times New Roman" w:cs="Times New Roman"/>
          <w:lang w:val="ro-MD"/>
        </w:rPr>
        <w:t xml:space="preserve">unei persoane decedate, asocieri cunoscute sub numele de tontine; </w:t>
      </w:r>
    </w:p>
    <w:p w14:paraId="74DC3C55" w14:textId="7C6E7472" w:rsidR="00F95829" w:rsidRPr="000508B6" w:rsidRDefault="00C1326F" w:rsidP="00CF5AFA">
      <w:pPr>
        <w:pStyle w:val="Listparagraf"/>
        <w:numPr>
          <w:ilvl w:val="0"/>
          <w:numId w:val="41"/>
        </w:numPr>
        <w:tabs>
          <w:tab w:val="left" w:pos="284"/>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operațiuni de </w:t>
      </w:r>
      <w:r w:rsidR="00F95829" w:rsidRPr="000508B6">
        <w:rPr>
          <w:rFonts w:ascii="Times New Roman" w:hAnsi="Times New Roman" w:cs="Times New Roman"/>
          <w:lang w:val="ro-MD"/>
        </w:rPr>
        <w:t xml:space="preserve">capitalizări bazate pe calcule actuariale prin care, în schimbul unei </w:t>
      </w:r>
      <w:proofErr w:type="spellStart"/>
      <w:r w:rsidR="00F95829" w:rsidRPr="000508B6">
        <w:rPr>
          <w:rFonts w:ascii="Times New Roman" w:hAnsi="Times New Roman" w:cs="Times New Roman"/>
          <w:lang w:val="ro-MD"/>
        </w:rPr>
        <w:t>plăţi</w:t>
      </w:r>
      <w:proofErr w:type="spellEnd"/>
      <w:r w:rsidR="00F95829" w:rsidRPr="000508B6">
        <w:rPr>
          <w:rFonts w:ascii="Times New Roman" w:hAnsi="Times New Roman" w:cs="Times New Roman"/>
          <w:lang w:val="ro-MD"/>
        </w:rPr>
        <w:t xml:space="preserve"> unice sau periodice stabilite în avans, se </w:t>
      </w:r>
      <w:r w:rsidRPr="000508B6">
        <w:rPr>
          <w:rFonts w:ascii="Times New Roman" w:hAnsi="Times New Roman" w:cs="Times New Roman"/>
          <w:lang w:val="ro-MD"/>
        </w:rPr>
        <w:t xml:space="preserve">încheie </w:t>
      </w:r>
      <w:r w:rsidR="00F95829" w:rsidRPr="000508B6">
        <w:rPr>
          <w:rFonts w:ascii="Times New Roman" w:hAnsi="Times New Roman" w:cs="Times New Roman"/>
          <w:lang w:val="ro-MD"/>
        </w:rPr>
        <w:t xml:space="preserve"> angajamente cu durată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valoare specifice;   </w:t>
      </w:r>
    </w:p>
    <w:p w14:paraId="40038A48" w14:textId="398D3CEB" w:rsidR="00F95829" w:rsidRPr="000508B6" w:rsidRDefault="00F95829" w:rsidP="00CF5AFA">
      <w:pPr>
        <w:pStyle w:val="Listparagraf"/>
        <w:numPr>
          <w:ilvl w:val="0"/>
          <w:numId w:val="41"/>
        </w:numPr>
        <w:tabs>
          <w:tab w:val="left" w:pos="284"/>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administrarea fondurilor colective de pensii, inclusiv administrarea </w:t>
      </w:r>
      <w:proofErr w:type="spellStart"/>
      <w:r w:rsidRPr="000508B6">
        <w:rPr>
          <w:rFonts w:ascii="Times New Roman" w:hAnsi="Times New Roman" w:cs="Times New Roman"/>
          <w:lang w:val="ro-MD"/>
        </w:rPr>
        <w:t>investiţiilor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00C1326F" w:rsidRPr="000508B6">
        <w:rPr>
          <w:rFonts w:ascii="Times New Roman" w:hAnsi="Times New Roman" w:cs="Times New Roman"/>
          <w:lang w:val="ro-MD"/>
        </w:rPr>
        <w:t>, în special</w:t>
      </w:r>
      <w:r w:rsidRPr="000508B6">
        <w:rPr>
          <w:rFonts w:ascii="Times New Roman" w:hAnsi="Times New Roman" w:cs="Times New Roman"/>
          <w:lang w:val="ro-MD"/>
        </w:rPr>
        <w:t xml:space="preserve"> a activelor</w:t>
      </w:r>
      <w:r w:rsidR="006F744B" w:rsidRPr="000508B6">
        <w:rPr>
          <w:rFonts w:ascii="Times New Roman" w:hAnsi="Times New Roman" w:cs="Times New Roman"/>
          <w:lang w:val="ro-MD"/>
        </w:rPr>
        <w:t>,</w:t>
      </w:r>
      <w:r w:rsidRPr="000508B6">
        <w:rPr>
          <w:rFonts w:ascii="Times New Roman" w:hAnsi="Times New Roman" w:cs="Times New Roman"/>
          <w:lang w:val="ro-MD"/>
        </w:rPr>
        <w:t xml:space="preserve"> care reprezintă rezervele organismelor care efectuează </w:t>
      </w:r>
      <w:proofErr w:type="spellStart"/>
      <w:r w:rsidRPr="000508B6">
        <w:rPr>
          <w:rFonts w:ascii="Times New Roman" w:hAnsi="Times New Roman" w:cs="Times New Roman"/>
          <w:lang w:val="ro-MD"/>
        </w:rPr>
        <w:t>plăţi</w:t>
      </w:r>
      <w:proofErr w:type="spellEnd"/>
      <w:r w:rsidRPr="000508B6">
        <w:rPr>
          <w:rFonts w:ascii="Times New Roman" w:hAnsi="Times New Roman" w:cs="Times New Roman"/>
          <w:lang w:val="ro-MD"/>
        </w:rPr>
        <w:t xml:space="preserve"> în caz de deces sau </w:t>
      </w:r>
      <w:proofErr w:type="spellStart"/>
      <w:r w:rsidRPr="000508B6">
        <w:rPr>
          <w:rFonts w:ascii="Times New Roman" w:hAnsi="Times New Roman" w:cs="Times New Roman"/>
          <w:lang w:val="ro-MD"/>
        </w:rPr>
        <w:t>supravieţuire</w:t>
      </w:r>
      <w:proofErr w:type="spellEnd"/>
      <w:r w:rsidRPr="000508B6">
        <w:rPr>
          <w:rFonts w:ascii="Times New Roman" w:hAnsi="Times New Roman" w:cs="Times New Roman"/>
          <w:lang w:val="ro-MD"/>
        </w:rPr>
        <w:t xml:space="preserve"> </w:t>
      </w:r>
      <w:r w:rsidR="004D4039" w:rsidRPr="000508B6">
        <w:rPr>
          <w:rFonts w:ascii="Times New Roman" w:hAnsi="Times New Roman" w:cs="Times New Roman"/>
          <w:lang w:val="ro-MD"/>
        </w:rPr>
        <w:t xml:space="preserve">ori în caz </w:t>
      </w:r>
      <w:r w:rsidRPr="000508B6">
        <w:rPr>
          <w:rFonts w:ascii="Times New Roman" w:hAnsi="Times New Roman" w:cs="Times New Roman"/>
          <w:lang w:val="ro-MD"/>
        </w:rPr>
        <w:t xml:space="preserve">de întrerupere sau </w:t>
      </w:r>
      <w:r w:rsidR="00C1326F" w:rsidRPr="000508B6">
        <w:rPr>
          <w:rFonts w:ascii="Times New Roman" w:hAnsi="Times New Roman" w:cs="Times New Roman"/>
          <w:lang w:val="ro-MD"/>
        </w:rPr>
        <w:t>reducer</w:t>
      </w:r>
      <w:r w:rsidR="004D4039" w:rsidRPr="000508B6">
        <w:rPr>
          <w:rFonts w:ascii="Times New Roman" w:hAnsi="Times New Roman" w:cs="Times New Roman"/>
          <w:lang w:val="ro-MD"/>
        </w:rPr>
        <w:t>e a</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w:t>
      </w:r>
    </w:p>
    <w:p w14:paraId="62DCBA4E" w14:textId="4534DF1C" w:rsidR="00F95829" w:rsidRPr="000508B6" w:rsidRDefault="00F95829" w:rsidP="00CF5AFA">
      <w:pPr>
        <w:pStyle w:val="Listparagraf"/>
        <w:numPr>
          <w:ilvl w:val="0"/>
          <w:numId w:val="41"/>
        </w:numPr>
        <w:tabs>
          <w:tab w:val="left" w:pos="851"/>
        </w:tabs>
        <w:spacing w:after="0"/>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operaţiunile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pct. (iii) în cazul în care sunt </w:t>
      </w:r>
      <w:proofErr w:type="spellStart"/>
      <w:r w:rsidRPr="000508B6">
        <w:rPr>
          <w:rFonts w:ascii="Times New Roman" w:hAnsi="Times New Roman" w:cs="Times New Roman"/>
          <w:lang w:val="ro-MD"/>
        </w:rPr>
        <w:t>însoţite</w:t>
      </w:r>
      <w:proofErr w:type="spellEnd"/>
      <w:r w:rsidRPr="000508B6">
        <w:rPr>
          <w:rFonts w:ascii="Times New Roman" w:hAnsi="Times New Roman" w:cs="Times New Roman"/>
          <w:lang w:val="ro-MD"/>
        </w:rPr>
        <w:t xml:space="preserve"> de asigurări care acoperă fie conservarea capitalului, fie plata unei dobânzi minime;   </w:t>
      </w:r>
    </w:p>
    <w:p w14:paraId="48E42D7C" w14:textId="43DCDD3E" w:rsidR="00F95829" w:rsidRPr="000508B6" w:rsidRDefault="00F95829" w:rsidP="00CF5AFA">
      <w:pPr>
        <w:pStyle w:val="Listparagraf"/>
        <w:numPr>
          <w:ilvl w:val="0"/>
          <w:numId w:val="39"/>
        </w:numPr>
        <w:tabs>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operaţiunilor</w:t>
      </w:r>
      <w:proofErr w:type="spellEnd"/>
      <w:r w:rsidRPr="000508B6">
        <w:rPr>
          <w:rFonts w:ascii="Times New Roman" w:hAnsi="Times New Roman" w:cs="Times New Roman"/>
          <w:lang w:val="ro-MD"/>
        </w:rPr>
        <w:t xml:space="preserve"> legate de durata </w:t>
      </w:r>
      <w:proofErr w:type="spellStart"/>
      <w:r w:rsidRPr="000508B6">
        <w:rPr>
          <w:rFonts w:ascii="Times New Roman" w:hAnsi="Times New Roman" w:cs="Times New Roman"/>
          <w:lang w:val="ro-MD"/>
        </w:rPr>
        <w:t>vieţii</w:t>
      </w:r>
      <w:proofErr w:type="spellEnd"/>
      <w:r w:rsidRPr="000508B6">
        <w:rPr>
          <w:rFonts w:ascii="Times New Roman" w:hAnsi="Times New Roman" w:cs="Times New Roman"/>
          <w:lang w:val="ro-MD"/>
        </w:rPr>
        <w:t xml:space="preserve"> umane definite sau prevăzute de </w:t>
      </w:r>
      <w:proofErr w:type="spellStart"/>
      <w:r w:rsidRPr="000508B6">
        <w:rPr>
          <w:rFonts w:ascii="Times New Roman" w:hAnsi="Times New Roman" w:cs="Times New Roman"/>
          <w:lang w:val="ro-MD"/>
        </w:rPr>
        <w:t>legislaţia</w:t>
      </w:r>
      <w:proofErr w:type="spellEnd"/>
      <w:r w:rsidRPr="000508B6">
        <w:rPr>
          <w:rFonts w:ascii="Times New Roman" w:hAnsi="Times New Roman" w:cs="Times New Roman"/>
          <w:lang w:val="ro-MD"/>
        </w:rPr>
        <w:t xml:space="preserve"> asigurărilor sociale, dacă sunt efectuate sau administrate de </w:t>
      </w:r>
      <w:r w:rsidR="00DC3385" w:rsidRPr="000508B6">
        <w:rPr>
          <w:rFonts w:ascii="Times New Roman" w:hAnsi="Times New Roman" w:cs="Times New Roman"/>
          <w:lang w:val="ro-MD"/>
        </w:rPr>
        <w:t>asigurător</w:t>
      </w:r>
      <w:r w:rsidR="006F1F98" w:rsidRPr="000508B6">
        <w:rPr>
          <w:rFonts w:ascii="Times New Roman" w:hAnsi="Times New Roman" w:cs="Times New Roman"/>
          <w:lang w:val="ro-MD"/>
        </w:rPr>
        <w:t xml:space="preserve"> </w:t>
      </w:r>
      <w:r w:rsidRPr="000508B6">
        <w:rPr>
          <w:rFonts w:ascii="Times New Roman" w:hAnsi="Times New Roman" w:cs="Times New Roman"/>
          <w:lang w:val="ro-MD"/>
        </w:rPr>
        <w:t>pe propriul lor risc.</w:t>
      </w:r>
    </w:p>
    <w:p w14:paraId="4517760D" w14:textId="6BC0DBF5" w:rsidR="00F95829" w:rsidRPr="000508B6" w:rsidRDefault="003B1079" w:rsidP="00CF5AFA">
      <w:pPr>
        <w:pStyle w:val="Listparagraf"/>
        <w:numPr>
          <w:ilvl w:val="0"/>
          <w:numId w:val="38"/>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ceea ce privește asigurarea generală, prevederile prezentei legi nu se aplică următoarelor operațiuni:</w:t>
      </w:r>
    </w:p>
    <w:p w14:paraId="3018BC52" w14:textId="77777777" w:rsidR="00F95829" w:rsidRPr="000508B6" w:rsidRDefault="00F95829" w:rsidP="008B29E3">
      <w:pPr>
        <w:numPr>
          <w:ilvl w:val="0"/>
          <w:numId w:val="7"/>
        </w:numPr>
        <w:tabs>
          <w:tab w:val="left" w:pos="284"/>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operaţiunilor</w:t>
      </w:r>
      <w:proofErr w:type="spellEnd"/>
      <w:r w:rsidRPr="000508B6">
        <w:rPr>
          <w:rFonts w:ascii="Times New Roman" w:hAnsi="Times New Roman" w:cs="Times New Roman"/>
          <w:lang w:val="ro-MD"/>
        </w:rPr>
        <w:t xml:space="preserve"> de capitalizare;   </w:t>
      </w:r>
    </w:p>
    <w:p w14:paraId="3FFD6956" w14:textId="6BCBD8FC" w:rsidR="00F95829" w:rsidRPr="000508B6" w:rsidRDefault="00F95829" w:rsidP="008B29E3">
      <w:pPr>
        <w:numPr>
          <w:ilvl w:val="0"/>
          <w:numId w:val="7"/>
        </w:numPr>
        <w:tabs>
          <w:tab w:val="left" w:pos="284"/>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operaţiunilor</w:t>
      </w:r>
      <w:proofErr w:type="spellEnd"/>
      <w:r w:rsidRPr="000508B6">
        <w:rPr>
          <w:rFonts w:ascii="Times New Roman" w:hAnsi="Times New Roman" w:cs="Times New Roman"/>
          <w:lang w:val="ro-MD"/>
        </w:rPr>
        <w:t xml:space="preserve"> </w:t>
      </w:r>
      <w:r w:rsidR="00695237" w:rsidRPr="000508B6">
        <w:rPr>
          <w:rFonts w:ascii="Times New Roman" w:hAnsi="Times New Roman" w:cs="Times New Roman"/>
          <w:lang w:val="ro-MD"/>
        </w:rPr>
        <w:t>asociațiilor de economii și împrumut</w:t>
      </w:r>
      <w:r w:rsidRPr="000508B6">
        <w:rPr>
          <w:rFonts w:ascii="Times New Roman" w:hAnsi="Times New Roman" w:cs="Times New Roman"/>
          <w:lang w:val="ro-MD"/>
        </w:rPr>
        <w:t xml:space="preserve">, ale căror beneficii variază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resursele disponibile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pentru care se </w:t>
      </w:r>
      <w:proofErr w:type="spellStart"/>
      <w:r w:rsidRPr="000508B6">
        <w:rPr>
          <w:rFonts w:ascii="Times New Roman" w:hAnsi="Times New Roman" w:cs="Times New Roman"/>
          <w:lang w:val="ro-MD"/>
        </w:rPr>
        <w:t>stabileşte</w:t>
      </w:r>
      <w:proofErr w:type="spellEnd"/>
      <w:r w:rsidRPr="000508B6">
        <w:rPr>
          <w:rFonts w:ascii="Times New Roman" w:hAnsi="Times New Roman" w:cs="Times New Roman"/>
          <w:lang w:val="ro-MD"/>
        </w:rPr>
        <w:t xml:space="preserve"> o </w:t>
      </w:r>
      <w:proofErr w:type="spellStart"/>
      <w:r w:rsidRPr="000508B6">
        <w:rPr>
          <w:rFonts w:ascii="Times New Roman" w:hAnsi="Times New Roman" w:cs="Times New Roman"/>
          <w:lang w:val="ro-MD"/>
        </w:rPr>
        <w:t>contribuţie</w:t>
      </w:r>
      <w:proofErr w:type="spellEnd"/>
      <w:r w:rsidRPr="000508B6">
        <w:rPr>
          <w:rFonts w:ascii="Times New Roman" w:hAnsi="Times New Roman" w:cs="Times New Roman"/>
          <w:lang w:val="ro-MD"/>
        </w:rPr>
        <w:t xml:space="preserve"> </w:t>
      </w:r>
      <w:r w:rsidR="00695237" w:rsidRPr="000508B6">
        <w:rPr>
          <w:rFonts w:ascii="Times New Roman" w:hAnsi="Times New Roman" w:cs="Times New Roman"/>
          <w:lang w:val="ro-MD"/>
        </w:rPr>
        <w:t xml:space="preserve">financiară </w:t>
      </w:r>
      <w:r w:rsidRPr="000508B6">
        <w:rPr>
          <w:rFonts w:ascii="Times New Roman" w:hAnsi="Times New Roman" w:cs="Times New Roman"/>
          <w:lang w:val="ro-MD"/>
        </w:rPr>
        <w:t xml:space="preserve">a membrilor;   </w:t>
      </w:r>
    </w:p>
    <w:p w14:paraId="77BED005" w14:textId="77777777" w:rsidR="00F95829" w:rsidRPr="000508B6" w:rsidRDefault="00F95829" w:rsidP="008B29E3">
      <w:pPr>
        <w:numPr>
          <w:ilvl w:val="0"/>
          <w:numId w:val="7"/>
        </w:numPr>
        <w:tabs>
          <w:tab w:val="left" w:pos="284"/>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operaţiunilor</w:t>
      </w:r>
      <w:proofErr w:type="spellEnd"/>
      <w:r w:rsidRPr="000508B6">
        <w:rPr>
          <w:rFonts w:ascii="Times New Roman" w:hAnsi="Times New Roman" w:cs="Times New Roman"/>
          <w:lang w:val="ro-MD"/>
        </w:rPr>
        <w:t xml:space="preserve"> efectuate de </w:t>
      </w:r>
      <w:proofErr w:type="spellStart"/>
      <w:r w:rsidRPr="000508B6">
        <w:rPr>
          <w:rFonts w:ascii="Times New Roman" w:hAnsi="Times New Roman" w:cs="Times New Roman"/>
          <w:lang w:val="ro-MD"/>
        </w:rPr>
        <w:t>organizaţii</w:t>
      </w:r>
      <w:proofErr w:type="spellEnd"/>
      <w:r w:rsidRPr="000508B6">
        <w:rPr>
          <w:rFonts w:ascii="Times New Roman" w:hAnsi="Times New Roman" w:cs="Times New Roman"/>
          <w:lang w:val="ro-MD"/>
        </w:rPr>
        <w:t xml:space="preserve"> fără personalitate juridică cu scopul de asigurare reciprocă a membrilor săi, care nu presupun plata unor prime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nu necesită constituirea unor rezerve tehnice;   </w:t>
      </w:r>
    </w:p>
    <w:p w14:paraId="6E3F5077" w14:textId="6BC328EE" w:rsidR="00F95829" w:rsidRPr="000508B6" w:rsidRDefault="000566E1" w:rsidP="008B29E3">
      <w:pPr>
        <w:numPr>
          <w:ilvl w:val="0"/>
          <w:numId w:val="7"/>
        </w:numPr>
        <w:tabs>
          <w:tab w:val="left" w:pos="42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operațiunilor de </w:t>
      </w:r>
      <w:r w:rsidR="00F95829" w:rsidRPr="000508B6">
        <w:rPr>
          <w:rFonts w:ascii="Times New Roman" w:hAnsi="Times New Roman" w:cs="Times New Roman"/>
          <w:lang w:val="ro-MD"/>
        </w:rPr>
        <w:t xml:space="preserve">asigurări de credite de export în numele statului sau garantate ori subscrise de către acesta.  </w:t>
      </w:r>
    </w:p>
    <w:p w14:paraId="0DFEE0CA" w14:textId="5E622050" w:rsidR="00F95829" w:rsidRPr="000508B6" w:rsidRDefault="00F95829" w:rsidP="00CF5AFA">
      <w:pPr>
        <w:pStyle w:val="Listparagraf"/>
        <w:numPr>
          <w:ilvl w:val="0"/>
          <w:numId w:val="38"/>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lastRenderedPageBreak/>
        <w:t>Dispoziţiile</w:t>
      </w:r>
      <w:proofErr w:type="spellEnd"/>
      <w:r w:rsidRPr="000508B6">
        <w:rPr>
          <w:rFonts w:ascii="Times New Roman" w:eastAsia="Times New Roman" w:hAnsi="Times New Roman" w:cs="Times New Roman"/>
          <w:lang w:val="ro-MD"/>
        </w:rPr>
        <w:t xml:space="preserve"> prezentei </w:t>
      </w:r>
      <w:r w:rsidR="00B3148D" w:rsidRPr="000508B6">
        <w:rPr>
          <w:rFonts w:ascii="Times New Roman" w:eastAsia="Times New Roman" w:hAnsi="Times New Roman" w:cs="Times New Roman"/>
          <w:lang w:val="ro-MD"/>
        </w:rPr>
        <w:t xml:space="preserve">legi </w:t>
      </w:r>
      <w:r w:rsidRPr="000508B6">
        <w:rPr>
          <w:rFonts w:ascii="Times New Roman" w:eastAsia="Times New Roman" w:hAnsi="Times New Roman" w:cs="Times New Roman"/>
          <w:lang w:val="ro-MD"/>
        </w:rPr>
        <w:t xml:space="preserve">nu se aplică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asistenţă</w:t>
      </w:r>
      <w:proofErr w:type="spellEnd"/>
      <w:r w:rsidRPr="000508B6">
        <w:rPr>
          <w:rFonts w:ascii="Times New Roman" w:eastAsia="Times New Roman" w:hAnsi="Times New Roman" w:cs="Times New Roman"/>
          <w:lang w:val="ro-MD"/>
        </w:rPr>
        <w:t xml:space="preserve"> care </w:t>
      </w:r>
      <w:proofErr w:type="spellStart"/>
      <w:r w:rsidRPr="000508B6">
        <w:rPr>
          <w:rFonts w:ascii="Times New Roman" w:eastAsia="Times New Roman" w:hAnsi="Times New Roman" w:cs="Times New Roman"/>
          <w:lang w:val="ro-MD"/>
        </w:rPr>
        <w:t>îndeplineşte</w:t>
      </w:r>
      <w:proofErr w:type="spellEnd"/>
      <w:r w:rsidRPr="000508B6">
        <w:rPr>
          <w:rFonts w:ascii="Times New Roman" w:eastAsia="Times New Roman" w:hAnsi="Times New Roman" w:cs="Times New Roman"/>
          <w:lang w:val="ro-MD"/>
        </w:rPr>
        <w:t xml:space="preserve"> cumulativ următoarele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w:t>
      </w:r>
    </w:p>
    <w:p w14:paraId="06026D18" w14:textId="37240DBF" w:rsidR="00F95829" w:rsidRPr="000508B6" w:rsidRDefault="00F95829" w:rsidP="00CF5AFA">
      <w:pPr>
        <w:pStyle w:val="Listparagraf"/>
        <w:numPr>
          <w:ilvl w:val="0"/>
          <w:numId w:val="42"/>
        </w:numPr>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este acordată în caz de accident sau </w:t>
      </w:r>
      <w:proofErr w:type="spellStart"/>
      <w:r w:rsidRPr="000508B6">
        <w:rPr>
          <w:rFonts w:ascii="Times New Roman" w:hAnsi="Times New Roman" w:cs="Times New Roman"/>
          <w:lang w:val="ro-MD"/>
        </w:rPr>
        <w:t>defecţiune</w:t>
      </w:r>
      <w:proofErr w:type="spellEnd"/>
      <w:r w:rsidRPr="000508B6">
        <w:rPr>
          <w:rFonts w:ascii="Times New Roman" w:hAnsi="Times New Roman" w:cs="Times New Roman"/>
          <w:lang w:val="ro-MD"/>
        </w:rPr>
        <w:t xml:space="preserve"> a vehiculelor </w:t>
      </w:r>
      <w:r w:rsidR="00151323" w:rsidRPr="000508B6">
        <w:rPr>
          <w:rFonts w:ascii="Times New Roman" w:hAnsi="Times New Roman" w:cs="Times New Roman"/>
          <w:lang w:val="ro-MD"/>
        </w:rPr>
        <w:t xml:space="preserve">rutiere </w:t>
      </w:r>
      <w:r w:rsidRPr="000508B6">
        <w:rPr>
          <w:rFonts w:ascii="Times New Roman" w:hAnsi="Times New Roman" w:cs="Times New Roman"/>
          <w:lang w:val="ro-MD"/>
        </w:rPr>
        <w:t xml:space="preserve">atunci când acestea survin pe teritoriul </w:t>
      </w:r>
      <w:r w:rsidR="00843DA3" w:rsidRPr="000508B6">
        <w:rPr>
          <w:rFonts w:ascii="Times New Roman" w:hAnsi="Times New Roman" w:cs="Times New Roman"/>
          <w:lang w:val="ro-MD"/>
        </w:rPr>
        <w:t xml:space="preserve">Republicii Moldova sau pe teritoriul </w:t>
      </w:r>
      <w:r w:rsidRPr="000508B6">
        <w:rPr>
          <w:rFonts w:ascii="Times New Roman" w:hAnsi="Times New Roman" w:cs="Times New Roman"/>
          <w:lang w:val="ro-MD"/>
        </w:rPr>
        <w:t>statului membru al prestatorului de servicii</w:t>
      </w:r>
      <w:r w:rsidR="003566E7" w:rsidRPr="000508B6">
        <w:rPr>
          <w:rFonts w:ascii="Times New Roman" w:hAnsi="Times New Roman" w:cs="Times New Roman"/>
          <w:lang w:val="ro-MD"/>
        </w:rPr>
        <w:t xml:space="preserve"> sau </w:t>
      </w:r>
      <w:r w:rsidR="003E0B5E" w:rsidRPr="000508B6">
        <w:rPr>
          <w:rFonts w:ascii="Times New Roman" w:hAnsi="Times New Roman" w:cs="Times New Roman"/>
          <w:lang w:val="ro-MD"/>
        </w:rPr>
        <w:t xml:space="preserve">al </w:t>
      </w:r>
      <w:r w:rsidR="00D7706F" w:rsidRPr="000508B6">
        <w:rPr>
          <w:rFonts w:ascii="Times New Roman" w:hAnsi="Times New Roman" w:cs="Times New Roman"/>
          <w:lang w:val="ro-MD"/>
        </w:rPr>
        <w:t>statelor</w:t>
      </w:r>
      <w:r w:rsidR="003E0B5E" w:rsidRPr="000508B6">
        <w:rPr>
          <w:rFonts w:ascii="Times New Roman" w:hAnsi="Times New Roman" w:cs="Times New Roman"/>
          <w:lang w:val="ro-MD"/>
        </w:rPr>
        <w:t xml:space="preserve"> </w:t>
      </w:r>
      <w:r w:rsidR="00D3162F" w:rsidRPr="000508B6">
        <w:rPr>
          <w:rFonts w:ascii="Times New Roman" w:hAnsi="Times New Roman" w:cs="Times New Roman"/>
          <w:lang w:val="ro-MD"/>
        </w:rPr>
        <w:t>î</w:t>
      </w:r>
      <w:r w:rsidR="00983810" w:rsidRPr="000508B6">
        <w:rPr>
          <w:rFonts w:ascii="Times New Roman" w:hAnsi="Times New Roman" w:cs="Times New Roman"/>
          <w:lang w:val="ro-MD"/>
        </w:rPr>
        <w:t>nvecinate</w:t>
      </w:r>
      <w:r w:rsidRPr="000508B6">
        <w:rPr>
          <w:rFonts w:ascii="Times New Roman" w:hAnsi="Times New Roman" w:cs="Times New Roman"/>
          <w:lang w:val="ro-MD"/>
        </w:rPr>
        <w:t xml:space="preserve">; </w:t>
      </w:r>
    </w:p>
    <w:p w14:paraId="261FDEAD" w14:textId="77777777" w:rsidR="00F95829" w:rsidRPr="000508B6" w:rsidRDefault="00F95829" w:rsidP="00CF5AFA">
      <w:pPr>
        <w:pStyle w:val="Listparagraf"/>
        <w:numPr>
          <w:ilvl w:val="0"/>
          <w:numId w:val="4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răspunderea pentru </w:t>
      </w:r>
      <w:proofErr w:type="spellStart"/>
      <w:r w:rsidRPr="000508B6">
        <w:rPr>
          <w:rFonts w:ascii="Times New Roman" w:hAnsi="Times New Roman" w:cs="Times New Roman"/>
          <w:lang w:val="ro-MD"/>
        </w:rPr>
        <w:t>asistenţă</w:t>
      </w:r>
      <w:proofErr w:type="spellEnd"/>
      <w:r w:rsidRPr="000508B6">
        <w:rPr>
          <w:rFonts w:ascii="Times New Roman" w:hAnsi="Times New Roman" w:cs="Times New Roman"/>
          <w:lang w:val="ro-MD"/>
        </w:rPr>
        <w:t xml:space="preserve"> este limitată la următoarele </w:t>
      </w:r>
      <w:proofErr w:type="spellStart"/>
      <w:r w:rsidRPr="000508B6">
        <w:rPr>
          <w:rFonts w:ascii="Times New Roman" w:hAnsi="Times New Roman" w:cs="Times New Roman"/>
          <w:lang w:val="ro-MD"/>
        </w:rPr>
        <w:t>operaţiuni</w:t>
      </w:r>
      <w:proofErr w:type="spellEnd"/>
      <w:r w:rsidRPr="000508B6">
        <w:rPr>
          <w:rFonts w:ascii="Times New Roman" w:hAnsi="Times New Roman" w:cs="Times New Roman"/>
          <w:lang w:val="ro-MD"/>
        </w:rPr>
        <w:t xml:space="preserve">:   </w:t>
      </w:r>
    </w:p>
    <w:p w14:paraId="2FAE6C17" w14:textId="7656FA3C" w:rsidR="00F95829" w:rsidRPr="000508B6" w:rsidRDefault="00DA7139" w:rsidP="006214A6">
      <w:pPr>
        <w:pStyle w:val="Listparagraf"/>
        <w:numPr>
          <w:ilvl w:val="0"/>
          <w:numId w:val="43"/>
        </w:numPr>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depanarea la </w:t>
      </w:r>
      <w:proofErr w:type="spellStart"/>
      <w:r w:rsidR="00F95829" w:rsidRPr="000508B6">
        <w:rPr>
          <w:rFonts w:ascii="Times New Roman" w:hAnsi="Times New Roman" w:cs="Times New Roman"/>
          <w:lang w:val="ro-MD"/>
        </w:rPr>
        <w:t>faţa</w:t>
      </w:r>
      <w:proofErr w:type="spellEnd"/>
      <w:r w:rsidR="00F95829" w:rsidRPr="000508B6">
        <w:rPr>
          <w:rFonts w:ascii="Times New Roman" w:hAnsi="Times New Roman" w:cs="Times New Roman"/>
          <w:lang w:val="ro-MD"/>
        </w:rPr>
        <w:t xml:space="preserve"> locului, pentru care prestatorul de servicii utili</w:t>
      </w:r>
      <w:r w:rsidR="00CA4EAC" w:rsidRPr="000508B6">
        <w:rPr>
          <w:rFonts w:ascii="Times New Roman" w:hAnsi="Times New Roman" w:cs="Times New Roman"/>
          <w:lang w:val="ro-MD"/>
        </w:rPr>
        <w:t>z</w:t>
      </w:r>
      <w:r w:rsidR="00F95829" w:rsidRPr="000508B6">
        <w:rPr>
          <w:rFonts w:ascii="Times New Roman" w:hAnsi="Times New Roman" w:cs="Times New Roman"/>
          <w:lang w:val="ro-MD"/>
        </w:rPr>
        <w:t xml:space="preserve">ează, în majoritatea cazurilor, personalul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echipamentul propriu;   </w:t>
      </w:r>
    </w:p>
    <w:p w14:paraId="51756EA5" w14:textId="4AC63970" w:rsidR="00F95829" w:rsidRPr="000508B6" w:rsidRDefault="00DA7139" w:rsidP="006214A6">
      <w:pPr>
        <w:pStyle w:val="Listparagraf"/>
        <w:numPr>
          <w:ilvl w:val="0"/>
          <w:numId w:val="43"/>
        </w:numPr>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transportarea vehiculului până la unitatea cea mai apropiată sau adecvată în vederea reparării acestuia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însoţirea</w:t>
      </w:r>
      <w:proofErr w:type="spellEnd"/>
      <w:r w:rsidR="00F95829" w:rsidRPr="000508B6">
        <w:rPr>
          <w:rFonts w:ascii="Times New Roman" w:hAnsi="Times New Roman" w:cs="Times New Roman"/>
          <w:lang w:val="ro-MD"/>
        </w:rPr>
        <w:t xml:space="preserve">, dacă este cazul, prin </w:t>
      </w:r>
      <w:proofErr w:type="spellStart"/>
      <w:r w:rsidR="00F95829" w:rsidRPr="000508B6">
        <w:rPr>
          <w:rFonts w:ascii="Times New Roman" w:hAnsi="Times New Roman" w:cs="Times New Roman"/>
          <w:lang w:val="ro-MD"/>
        </w:rPr>
        <w:t>acelaşi</w:t>
      </w:r>
      <w:proofErr w:type="spellEnd"/>
      <w:r w:rsidR="00F95829" w:rsidRPr="000508B6">
        <w:rPr>
          <w:rFonts w:ascii="Times New Roman" w:hAnsi="Times New Roman" w:cs="Times New Roman"/>
          <w:lang w:val="ro-MD"/>
        </w:rPr>
        <w:t xml:space="preserve"> mijloc de </w:t>
      </w:r>
      <w:proofErr w:type="spellStart"/>
      <w:r w:rsidR="00F95829" w:rsidRPr="000508B6">
        <w:rPr>
          <w:rFonts w:ascii="Times New Roman" w:hAnsi="Times New Roman" w:cs="Times New Roman"/>
          <w:lang w:val="ro-MD"/>
        </w:rPr>
        <w:t>asistenţă</w:t>
      </w:r>
      <w:proofErr w:type="spellEnd"/>
      <w:r w:rsidR="00F95829" w:rsidRPr="000508B6">
        <w:rPr>
          <w:rFonts w:ascii="Times New Roman" w:hAnsi="Times New Roman" w:cs="Times New Roman"/>
          <w:lang w:val="ro-MD"/>
        </w:rPr>
        <w:t xml:space="preserve">, a </w:t>
      </w:r>
      <w:proofErr w:type="spellStart"/>
      <w:r w:rsidR="00F95829" w:rsidRPr="000508B6">
        <w:rPr>
          <w:rFonts w:ascii="Times New Roman" w:hAnsi="Times New Roman" w:cs="Times New Roman"/>
          <w:lang w:val="ro-MD"/>
        </w:rPr>
        <w:t>şoferului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 pasagerilor până la locul cel mai apropiat de unde </w:t>
      </w:r>
      <w:proofErr w:type="spellStart"/>
      <w:r w:rsidR="00F95829" w:rsidRPr="000508B6">
        <w:rPr>
          <w:rFonts w:ascii="Times New Roman" w:hAnsi="Times New Roman" w:cs="Times New Roman"/>
          <w:lang w:val="ro-MD"/>
        </w:rPr>
        <w:t>aceştia</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îşi</w:t>
      </w:r>
      <w:proofErr w:type="spellEnd"/>
      <w:r w:rsidR="00F95829" w:rsidRPr="000508B6">
        <w:rPr>
          <w:rFonts w:ascii="Times New Roman" w:hAnsi="Times New Roman" w:cs="Times New Roman"/>
          <w:lang w:val="ro-MD"/>
        </w:rPr>
        <w:t xml:space="preserve"> pot continua călătoria cu alte mijloace de transport;   </w:t>
      </w:r>
    </w:p>
    <w:p w14:paraId="212283F0" w14:textId="6150A0A1" w:rsidR="00F95829" w:rsidRPr="000508B6" w:rsidRDefault="00DA7139" w:rsidP="006214A6">
      <w:pPr>
        <w:pStyle w:val="Listparagraf"/>
        <w:numPr>
          <w:ilvl w:val="0"/>
          <w:numId w:val="43"/>
        </w:numPr>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transportarea vehiculului, a </w:t>
      </w:r>
      <w:proofErr w:type="spellStart"/>
      <w:r w:rsidR="00F95829" w:rsidRPr="000508B6">
        <w:rPr>
          <w:rFonts w:ascii="Times New Roman" w:hAnsi="Times New Roman" w:cs="Times New Roman"/>
          <w:lang w:val="ro-MD"/>
        </w:rPr>
        <w:t>şoferului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 pasagerilor până la punctul de plecare, la domiciliul lor sau până la </w:t>
      </w:r>
      <w:proofErr w:type="spellStart"/>
      <w:r w:rsidR="00F95829" w:rsidRPr="000508B6">
        <w:rPr>
          <w:rFonts w:ascii="Times New Roman" w:hAnsi="Times New Roman" w:cs="Times New Roman"/>
          <w:lang w:val="ro-MD"/>
        </w:rPr>
        <w:t>destinaţia</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iniţială</w:t>
      </w:r>
      <w:proofErr w:type="spellEnd"/>
      <w:r w:rsidR="00F95829" w:rsidRPr="000508B6">
        <w:rPr>
          <w:rFonts w:ascii="Times New Roman" w:hAnsi="Times New Roman" w:cs="Times New Roman"/>
          <w:lang w:val="ro-MD"/>
        </w:rPr>
        <w:t xml:space="preserve">;   </w:t>
      </w:r>
    </w:p>
    <w:p w14:paraId="442C596A" w14:textId="0BF2AEC5" w:rsidR="00F95829" w:rsidRPr="000508B6" w:rsidRDefault="00F95829" w:rsidP="00CF5AFA">
      <w:pPr>
        <w:pStyle w:val="Listparagraf"/>
        <w:numPr>
          <w:ilvl w:val="0"/>
          <w:numId w:val="42"/>
        </w:numPr>
        <w:spacing w:after="0" w:line="240" w:lineRule="auto"/>
        <w:ind w:left="0" w:firstLine="425"/>
        <w:jc w:val="both"/>
        <w:rPr>
          <w:rFonts w:ascii="Times New Roman" w:hAnsi="Times New Roman" w:cs="Times New Roman"/>
          <w:lang w:val="ro-MD"/>
        </w:rPr>
      </w:pP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nu este acordată de </w:t>
      </w:r>
      <w:r w:rsidR="007E0DE5" w:rsidRPr="000508B6">
        <w:rPr>
          <w:rFonts w:ascii="Times New Roman" w:hAnsi="Times New Roman" w:cs="Times New Roman"/>
          <w:lang w:val="ro-MD"/>
        </w:rPr>
        <w:t xml:space="preserve">un  asigurător </w:t>
      </w:r>
      <w:r w:rsidRPr="000508B6">
        <w:rPr>
          <w:rFonts w:ascii="Times New Roman" w:hAnsi="Times New Roman" w:cs="Times New Roman"/>
          <w:lang w:val="ro-MD"/>
        </w:rPr>
        <w:t xml:space="preserve">aflat sub </w:t>
      </w:r>
      <w:proofErr w:type="spellStart"/>
      <w:r w:rsidRPr="000508B6">
        <w:rPr>
          <w:rFonts w:ascii="Times New Roman" w:hAnsi="Times New Roman" w:cs="Times New Roman"/>
          <w:lang w:val="ro-MD"/>
        </w:rPr>
        <w:t>incidenţa</w:t>
      </w:r>
      <w:proofErr w:type="spellEnd"/>
      <w:r w:rsidRPr="000508B6">
        <w:rPr>
          <w:rFonts w:ascii="Times New Roman" w:hAnsi="Times New Roman" w:cs="Times New Roman"/>
          <w:lang w:val="ro-MD"/>
        </w:rPr>
        <w:t xml:space="preserve"> prevederilor prezentei </w:t>
      </w:r>
      <w:r w:rsidR="00B3148D" w:rsidRPr="000508B6">
        <w:rPr>
          <w:rFonts w:ascii="Times New Roman" w:hAnsi="Times New Roman" w:cs="Times New Roman"/>
          <w:lang w:val="ro-MD"/>
        </w:rPr>
        <w:t>legi</w:t>
      </w:r>
      <w:r w:rsidRPr="000508B6">
        <w:rPr>
          <w:rFonts w:ascii="Times New Roman" w:hAnsi="Times New Roman" w:cs="Times New Roman"/>
          <w:lang w:val="ro-MD"/>
        </w:rPr>
        <w:t xml:space="preserve">.  </w:t>
      </w:r>
    </w:p>
    <w:p w14:paraId="746F1F6E" w14:textId="5965ABF8" w:rsidR="00F95829" w:rsidRPr="000508B6" w:rsidRDefault="00F95829" w:rsidP="00CF5AFA">
      <w:pPr>
        <w:pStyle w:val="Listparagraf"/>
        <w:numPr>
          <w:ilvl w:val="0"/>
          <w:numId w:val="38"/>
        </w:numPr>
        <w:tabs>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În cazurile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w:t>
      </w:r>
      <w:r w:rsidR="00BB7D3B" w:rsidRPr="000508B6">
        <w:rPr>
          <w:rFonts w:ascii="Times New Roman" w:hAnsi="Times New Roman" w:cs="Times New Roman"/>
          <w:lang w:val="ro-MD"/>
        </w:rPr>
        <w:t>6</w:t>
      </w:r>
      <w:r w:rsidRPr="000508B6">
        <w:rPr>
          <w:rFonts w:ascii="Times New Roman" w:hAnsi="Times New Roman" w:cs="Times New Roman"/>
          <w:lang w:val="ro-MD"/>
        </w:rPr>
        <w:t xml:space="preserve">) lit. b) pct. (i)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(ii), </w:t>
      </w:r>
      <w:proofErr w:type="spellStart"/>
      <w:r w:rsidRPr="000508B6">
        <w:rPr>
          <w:rFonts w:ascii="Times New Roman" w:hAnsi="Times New Roman" w:cs="Times New Roman"/>
          <w:lang w:val="ro-MD"/>
        </w:rPr>
        <w:t>condiţia</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w:t>
      </w:r>
      <w:r w:rsidR="00BB7D3B" w:rsidRPr="000508B6">
        <w:rPr>
          <w:rFonts w:ascii="Times New Roman" w:hAnsi="Times New Roman" w:cs="Times New Roman"/>
          <w:lang w:val="ro-MD"/>
        </w:rPr>
        <w:t>6</w:t>
      </w:r>
      <w:r w:rsidRPr="000508B6">
        <w:rPr>
          <w:rFonts w:ascii="Times New Roman" w:hAnsi="Times New Roman" w:cs="Times New Roman"/>
          <w:lang w:val="ro-MD"/>
        </w:rPr>
        <w:t xml:space="preserve">) lit. a) nu se aplică </w:t>
      </w:r>
      <w:r w:rsidR="00637DB3" w:rsidRPr="000508B6">
        <w:rPr>
          <w:rFonts w:ascii="Times New Roman" w:hAnsi="Times New Roman" w:cs="Times New Roman"/>
          <w:lang w:val="ro-MD"/>
        </w:rPr>
        <w:t>dacă</w:t>
      </w:r>
      <w:r w:rsidR="00751AF3" w:rsidRPr="000508B6">
        <w:rPr>
          <w:rFonts w:ascii="Times New Roman" w:hAnsi="Times New Roman" w:cs="Times New Roman"/>
          <w:lang w:val="ro-MD"/>
        </w:rPr>
        <w:t xml:space="preserve"> beneficiarul </w:t>
      </w:r>
      <w:r w:rsidR="0085248C" w:rsidRPr="000508B6">
        <w:rPr>
          <w:rFonts w:ascii="Times New Roman" w:hAnsi="Times New Roman" w:cs="Times New Roman"/>
          <w:lang w:val="ro-MD"/>
        </w:rPr>
        <w:t xml:space="preserve">asigurării </w:t>
      </w:r>
      <w:r w:rsidR="00751AF3" w:rsidRPr="000508B6">
        <w:rPr>
          <w:rFonts w:ascii="Times New Roman" w:hAnsi="Times New Roman" w:cs="Times New Roman"/>
          <w:lang w:val="ro-MD"/>
        </w:rPr>
        <w:t>este un membru al organismului care furnizează garanția</w:t>
      </w:r>
      <w:r w:rsidR="005D0039" w:rsidRPr="000508B6">
        <w:rPr>
          <w:rFonts w:ascii="Times New Roman" w:hAnsi="Times New Roman" w:cs="Times New Roman"/>
          <w:lang w:val="ro-MD"/>
        </w:rPr>
        <w:t>,</w:t>
      </w:r>
      <w:r w:rsidR="00751AF3" w:rsidRPr="000508B6">
        <w:rPr>
          <w:rFonts w:ascii="Times New Roman" w:hAnsi="Times New Roman" w:cs="Times New Roman"/>
          <w:lang w:val="ro-MD"/>
        </w:rPr>
        <w:t xml:space="preserve"> iar depanarea sau transportarea vehiculului se efectuează pe baza simplei prezentări a carnetului de membru, fără plata vreunei prime suplimentare, de către un organism similar din țara în cauză pe baza unui acord de reciprocitate. </w:t>
      </w:r>
      <w:r w:rsidRPr="000508B6">
        <w:rPr>
          <w:rFonts w:ascii="Times New Roman" w:hAnsi="Times New Roman" w:cs="Times New Roman"/>
          <w:lang w:val="ro-MD"/>
        </w:rPr>
        <w:t xml:space="preserve"> </w:t>
      </w:r>
    </w:p>
    <w:p w14:paraId="4E21E2F5" w14:textId="10D42087" w:rsidR="00F95829" w:rsidRPr="000508B6" w:rsidRDefault="00F95829" w:rsidP="00CF5AFA">
      <w:pPr>
        <w:pStyle w:val="Listparagraf"/>
        <w:numPr>
          <w:ilvl w:val="0"/>
          <w:numId w:val="38"/>
        </w:numPr>
        <w:tabs>
          <w:tab w:val="left" w:pos="851"/>
        </w:tabs>
        <w:spacing w:after="0" w:line="240" w:lineRule="auto"/>
        <w:ind w:left="0" w:firstLine="425"/>
        <w:jc w:val="both"/>
        <w:rPr>
          <w:rFonts w:ascii="Times New Roman" w:eastAsia="Times New Roman" w:hAnsi="Times New Roman" w:cs="Times New Roman"/>
          <w:lang w:val="ro-MD"/>
        </w:rPr>
      </w:pP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prezentei </w:t>
      </w:r>
      <w:r w:rsidR="00B3148D" w:rsidRPr="000508B6">
        <w:rPr>
          <w:rFonts w:ascii="Times New Roman" w:hAnsi="Times New Roman" w:cs="Times New Roman"/>
          <w:lang w:val="ro-MD"/>
        </w:rPr>
        <w:t xml:space="preserve">legi </w:t>
      </w:r>
      <w:r w:rsidRPr="000508B6">
        <w:rPr>
          <w:rFonts w:ascii="Times New Roman" w:hAnsi="Times New Roman" w:cs="Times New Roman"/>
          <w:lang w:val="ro-MD"/>
        </w:rPr>
        <w:t xml:space="preserve">nu se aplică în cazul </w:t>
      </w:r>
      <w:r w:rsidR="00F924DF" w:rsidRPr="000508B6">
        <w:rPr>
          <w:rFonts w:ascii="Times New Roman" w:hAnsi="Times New Roman" w:cs="Times New Roman"/>
          <w:lang w:val="ro-MD"/>
        </w:rPr>
        <w:t>asigurării</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w:t>
      </w:r>
      <w:r w:rsidR="007319A8" w:rsidRPr="000508B6">
        <w:rPr>
          <w:rFonts w:ascii="Times New Roman" w:hAnsi="Times New Roman" w:cs="Times New Roman"/>
          <w:lang w:val="ro-MD"/>
        </w:rPr>
        <w:t xml:space="preserve"> </w:t>
      </w:r>
    </w:p>
    <w:p w14:paraId="050CA980" w14:textId="4D4E5299" w:rsidR="00F95829" w:rsidRPr="000508B6" w:rsidRDefault="00F95829" w:rsidP="004302EF">
      <w:pPr>
        <w:pStyle w:val="Listparagraf"/>
        <w:numPr>
          <w:ilvl w:val="0"/>
          <w:numId w:val="44"/>
        </w:numPr>
        <w:tabs>
          <w:tab w:val="left" w:pos="709"/>
          <w:tab w:val="left" w:pos="851"/>
        </w:tabs>
        <w:spacing w:after="0" w:line="240" w:lineRule="auto"/>
        <w:ind w:left="0" w:firstLine="425"/>
        <w:jc w:val="both"/>
        <w:rPr>
          <w:rFonts w:ascii="Times New Roman" w:hAnsi="Times New Roman" w:cs="Times New Roman"/>
          <w:lang w:val="ro-MD"/>
        </w:rPr>
      </w:pPr>
      <w:proofErr w:type="spellStart"/>
      <w:r w:rsidRPr="000508B6">
        <w:rPr>
          <w:rFonts w:ascii="Times New Roman" w:hAnsi="Times New Roman" w:cs="Times New Roman"/>
          <w:lang w:val="ro-MD"/>
        </w:rPr>
        <w:t>operaţiunilor</w:t>
      </w:r>
      <w:proofErr w:type="spellEnd"/>
      <w:r w:rsidRPr="000508B6">
        <w:rPr>
          <w:rFonts w:ascii="Times New Roman" w:hAnsi="Times New Roman" w:cs="Times New Roman"/>
          <w:lang w:val="ro-MD"/>
        </w:rPr>
        <w:t xml:space="preserve"> </w:t>
      </w:r>
      <w:r w:rsidR="00C160F8" w:rsidRPr="000508B6">
        <w:rPr>
          <w:rFonts w:ascii="Times New Roman" w:hAnsi="Times New Roman" w:cs="Times New Roman"/>
          <w:lang w:val="ro-MD"/>
        </w:rPr>
        <w:t xml:space="preserve">asociațiilor de economii și împrumut </w:t>
      </w:r>
      <w:r w:rsidRPr="000508B6">
        <w:rPr>
          <w:rFonts w:ascii="Times New Roman" w:hAnsi="Times New Roman" w:cs="Times New Roman"/>
          <w:lang w:val="ro-MD"/>
        </w:rPr>
        <w:t xml:space="preserve">ale căror beneficii </w:t>
      </w:r>
      <w:r w:rsidR="00692390" w:rsidRPr="000508B6">
        <w:rPr>
          <w:rFonts w:ascii="Times New Roman" w:hAnsi="Times New Roman" w:cs="Times New Roman"/>
          <w:lang w:val="ro-MD"/>
        </w:rPr>
        <w:t xml:space="preserve">variază </w:t>
      </w: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resursele disponibile </w:t>
      </w:r>
      <w:proofErr w:type="spellStart"/>
      <w:r w:rsidRPr="000508B6">
        <w:rPr>
          <w:rFonts w:ascii="Times New Roman" w:hAnsi="Times New Roman" w:cs="Times New Roman"/>
          <w:lang w:val="ro-MD"/>
        </w:rPr>
        <w:t>şi</w:t>
      </w:r>
      <w:proofErr w:type="spellEnd"/>
      <w:r w:rsidR="006002F0" w:rsidRPr="000508B6">
        <w:rPr>
          <w:rFonts w:ascii="Times New Roman" w:hAnsi="Times New Roman" w:cs="Times New Roman"/>
          <w:lang w:val="ro-MD"/>
        </w:rPr>
        <w:t xml:space="preserve"> necesită o contribuție fixă din partea fiecărui membru</w:t>
      </w:r>
      <w:r w:rsidRPr="000508B6">
        <w:rPr>
          <w:rFonts w:ascii="Times New Roman" w:hAnsi="Times New Roman" w:cs="Times New Roman"/>
          <w:lang w:val="ro-MD"/>
        </w:rPr>
        <w:t xml:space="preserve">;   </w:t>
      </w:r>
    </w:p>
    <w:p w14:paraId="51CF3478" w14:textId="38E8365F" w:rsidR="00F95829" w:rsidRPr="000508B6" w:rsidRDefault="00F95829" w:rsidP="004302EF">
      <w:pPr>
        <w:pStyle w:val="Listparagraf"/>
        <w:numPr>
          <w:ilvl w:val="0"/>
          <w:numId w:val="44"/>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operaţiunilor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organizaţii</w:t>
      </w:r>
      <w:proofErr w:type="spellEnd"/>
      <w:r w:rsidRPr="000508B6">
        <w:rPr>
          <w:rFonts w:ascii="Times New Roman" w:hAnsi="Times New Roman" w:cs="Times New Roman"/>
          <w:lang w:val="ro-MD"/>
        </w:rPr>
        <w:t xml:space="preserve">, altele decât </w:t>
      </w:r>
      <w:r w:rsidR="00C5163B" w:rsidRPr="000508B6">
        <w:rPr>
          <w:rFonts w:ascii="Times New Roman" w:hAnsi="Times New Roman" w:cs="Times New Roman"/>
          <w:lang w:val="ro-MD"/>
        </w:rPr>
        <w:t xml:space="preserve">asigurătorii sau </w:t>
      </w:r>
      <w:proofErr w:type="spellStart"/>
      <w:r w:rsidR="00C5163B" w:rsidRPr="000508B6">
        <w:rPr>
          <w:rFonts w:ascii="Times New Roman" w:hAnsi="Times New Roman" w:cs="Times New Roman"/>
          <w:lang w:val="ro-MD"/>
        </w:rPr>
        <w:t>reasigurătorii</w:t>
      </w:r>
      <w:proofErr w:type="spellEnd"/>
      <w:r w:rsidR="00C5163B" w:rsidRPr="000508B6">
        <w:rPr>
          <w:rFonts w:ascii="Times New Roman" w:hAnsi="Times New Roman" w:cs="Times New Roman"/>
          <w:lang w:val="ro-MD"/>
        </w:rPr>
        <w:t xml:space="preserve"> </w:t>
      </w:r>
      <w:proofErr w:type="spellStart"/>
      <w:r w:rsidR="00C5163B" w:rsidRPr="000508B6">
        <w:rPr>
          <w:rFonts w:ascii="Times New Roman" w:hAnsi="Times New Roman" w:cs="Times New Roman"/>
          <w:lang w:val="ro-MD"/>
        </w:rPr>
        <w:t>menţionați</w:t>
      </w:r>
      <w:proofErr w:type="spellEnd"/>
      <w:r w:rsidR="00C5163B" w:rsidRPr="000508B6">
        <w:rPr>
          <w:rFonts w:ascii="Times New Roman" w:hAnsi="Times New Roman" w:cs="Times New Roman"/>
          <w:lang w:val="ro-MD"/>
        </w:rPr>
        <w:t xml:space="preserve"> </w:t>
      </w:r>
      <w:r w:rsidRPr="000508B6">
        <w:rPr>
          <w:rFonts w:ascii="Times New Roman" w:hAnsi="Times New Roman" w:cs="Times New Roman"/>
          <w:lang w:val="ro-MD"/>
        </w:rPr>
        <w:t>la alin. (1)-(7),</w:t>
      </w:r>
      <w:r w:rsidRPr="000508B6">
        <w:rPr>
          <w:rFonts w:ascii="Times New Roman" w:eastAsia="Times New Roman" w:hAnsi="Times New Roman" w:cs="Times New Roman"/>
          <w:lang w:val="ro-MD"/>
        </w:rPr>
        <w:t xml:space="preserve"> </w:t>
      </w:r>
      <w:r w:rsidRPr="000508B6">
        <w:rPr>
          <w:rFonts w:ascii="Times New Roman" w:hAnsi="Times New Roman" w:cs="Times New Roman"/>
          <w:lang w:val="ro-MD"/>
        </w:rPr>
        <w:t xml:space="preserve">care, prin prisma </w:t>
      </w:r>
      <w:proofErr w:type="spellStart"/>
      <w:r w:rsidRPr="000508B6">
        <w:rPr>
          <w:rFonts w:ascii="Times New Roman" w:hAnsi="Times New Roman" w:cs="Times New Roman"/>
          <w:lang w:val="ro-MD"/>
        </w:rPr>
        <w:t>activităţilor</w:t>
      </w:r>
      <w:proofErr w:type="spellEnd"/>
      <w:r w:rsidRPr="000508B6">
        <w:rPr>
          <w:rFonts w:ascii="Times New Roman" w:hAnsi="Times New Roman" w:cs="Times New Roman"/>
          <w:lang w:val="ro-MD"/>
        </w:rPr>
        <w:t xml:space="preserve"> specifice, constituie anumite fonduri pentru persoanele angajate sau liber-profesioniste care </w:t>
      </w:r>
      <w:proofErr w:type="spellStart"/>
      <w:r w:rsidRPr="000508B6">
        <w:rPr>
          <w:rFonts w:ascii="Times New Roman" w:hAnsi="Times New Roman" w:cs="Times New Roman"/>
          <w:lang w:val="ro-MD"/>
        </w:rPr>
        <w:t>aparţin</w:t>
      </w:r>
      <w:proofErr w:type="spellEnd"/>
      <w:r w:rsidRPr="000508B6">
        <w:rPr>
          <w:rFonts w:ascii="Times New Roman" w:hAnsi="Times New Roman" w:cs="Times New Roman"/>
          <w:lang w:val="ro-MD"/>
        </w:rPr>
        <w:t xml:space="preserve"> unei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unui grup de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ori unui sector profesional sau interprofesional, în caz de deces sau </w:t>
      </w:r>
      <w:proofErr w:type="spellStart"/>
      <w:r w:rsidRPr="000508B6">
        <w:rPr>
          <w:rFonts w:ascii="Times New Roman" w:hAnsi="Times New Roman" w:cs="Times New Roman"/>
          <w:lang w:val="ro-MD"/>
        </w:rPr>
        <w:t>supravieţuire</w:t>
      </w:r>
      <w:proofErr w:type="spellEnd"/>
      <w:r w:rsidRPr="000508B6">
        <w:rPr>
          <w:rFonts w:ascii="Times New Roman" w:hAnsi="Times New Roman" w:cs="Times New Roman"/>
          <w:lang w:val="ro-MD"/>
        </w:rPr>
        <w:t xml:space="preserve"> ori</w:t>
      </w:r>
      <w:r w:rsidR="00425F56" w:rsidRPr="000508B6">
        <w:rPr>
          <w:rFonts w:ascii="Times New Roman" w:hAnsi="Times New Roman" w:cs="Times New Roman"/>
          <w:lang w:val="ro-MD"/>
        </w:rPr>
        <w:t xml:space="preserve"> la întreruperea sau reducerea activității</w:t>
      </w:r>
      <w:r w:rsidRPr="000508B6">
        <w:rPr>
          <w:rFonts w:ascii="Times New Roman" w:hAnsi="Times New Roman" w:cs="Times New Roman"/>
          <w:lang w:val="ro-MD"/>
        </w:rPr>
        <w:t xml:space="preserve">, indiferent dacă angajamentele care rezultă în urma acestor </w:t>
      </w:r>
      <w:proofErr w:type="spellStart"/>
      <w:r w:rsidRPr="000508B6">
        <w:rPr>
          <w:rFonts w:ascii="Times New Roman" w:hAnsi="Times New Roman" w:cs="Times New Roman"/>
          <w:lang w:val="ro-MD"/>
        </w:rPr>
        <w:t>operaţiuni</w:t>
      </w:r>
      <w:proofErr w:type="spellEnd"/>
      <w:r w:rsidRPr="000508B6">
        <w:rPr>
          <w:rFonts w:ascii="Times New Roman" w:hAnsi="Times New Roman" w:cs="Times New Roman"/>
          <w:lang w:val="ro-MD"/>
        </w:rPr>
        <w:t xml:space="preserve"> sunt integral acoperite, în mod continuu, de rezerve matematice.   </w:t>
      </w:r>
    </w:p>
    <w:p w14:paraId="151CB670" w14:textId="698C9E37" w:rsidR="00F95829" w:rsidRPr="000508B6" w:rsidRDefault="00F95829" w:rsidP="00CF5AFA">
      <w:pPr>
        <w:pStyle w:val="Listparagraf"/>
        <w:numPr>
          <w:ilvl w:val="0"/>
          <w:numId w:val="38"/>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Dispoziţiile</w:t>
      </w:r>
      <w:proofErr w:type="spellEnd"/>
      <w:r w:rsidRPr="000508B6">
        <w:rPr>
          <w:rFonts w:ascii="Times New Roman" w:eastAsia="Times New Roman" w:hAnsi="Times New Roman" w:cs="Times New Roman"/>
          <w:lang w:val="ro-MD"/>
        </w:rPr>
        <w:t xml:space="preserve"> prezentei </w:t>
      </w:r>
      <w:r w:rsidR="002749B5" w:rsidRPr="000508B6">
        <w:rPr>
          <w:rFonts w:ascii="Times New Roman" w:eastAsia="Times New Roman" w:hAnsi="Times New Roman" w:cs="Times New Roman"/>
          <w:lang w:val="ro-MD"/>
        </w:rPr>
        <w:t xml:space="preserve">legi </w:t>
      </w:r>
      <w:r w:rsidRPr="000508B6">
        <w:rPr>
          <w:rFonts w:ascii="Times New Roman" w:eastAsia="Times New Roman" w:hAnsi="Times New Roman" w:cs="Times New Roman"/>
          <w:lang w:val="ro-MD"/>
        </w:rPr>
        <w:t xml:space="preserve">nu se aplică </w:t>
      </w:r>
      <w:r w:rsidR="00F07F8E" w:rsidRPr="000508B6">
        <w:rPr>
          <w:rFonts w:ascii="Times New Roman" w:eastAsia="Times New Roman" w:hAnsi="Times New Roman" w:cs="Times New Roman"/>
          <w:lang w:val="ro-MD"/>
        </w:rPr>
        <w:t xml:space="preserve">entităților </w:t>
      </w:r>
      <w:r w:rsidRPr="000508B6">
        <w:rPr>
          <w:rFonts w:ascii="Times New Roman" w:eastAsia="Times New Roman" w:hAnsi="Times New Roman" w:cs="Times New Roman"/>
          <w:lang w:val="ro-MD"/>
        </w:rPr>
        <w:t xml:space="preserve">care </w:t>
      </w:r>
      <w:r w:rsidR="000F3D44" w:rsidRPr="000508B6">
        <w:rPr>
          <w:rFonts w:ascii="Times New Roman" w:eastAsia="Times New Roman" w:hAnsi="Times New Roman" w:cs="Times New Roman"/>
          <w:lang w:val="ro-MD"/>
        </w:rPr>
        <w:t xml:space="preserve">garantează </w:t>
      </w:r>
      <w:r w:rsidRPr="000508B6">
        <w:rPr>
          <w:rFonts w:ascii="Times New Roman" w:eastAsia="Times New Roman" w:hAnsi="Times New Roman" w:cs="Times New Roman"/>
          <w:lang w:val="ro-MD"/>
        </w:rPr>
        <w:t xml:space="preserve">beneficii exclusiv în caz de deces, care nu </w:t>
      </w:r>
      <w:proofErr w:type="spellStart"/>
      <w:r w:rsidRPr="000508B6">
        <w:rPr>
          <w:rFonts w:ascii="Times New Roman" w:eastAsia="Times New Roman" w:hAnsi="Times New Roman" w:cs="Times New Roman"/>
          <w:lang w:val="ro-MD"/>
        </w:rPr>
        <w:t>depăşesc</w:t>
      </w:r>
      <w:proofErr w:type="spellEnd"/>
      <w:r w:rsidRPr="000508B6">
        <w:rPr>
          <w:rFonts w:ascii="Times New Roman" w:eastAsia="Times New Roman" w:hAnsi="Times New Roman" w:cs="Times New Roman"/>
          <w:lang w:val="ro-MD"/>
        </w:rPr>
        <w:t xml:space="preserve"> costurile medii </w:t>
      </w:r>
      <w:r w:rsidR="000F3D44" w:rsidRPr="000508B6">
        <w:rPr>
          <w:rFonts w:ascii="Times New Roman" w:eastAsia="Times New Roman" w:hAnsi="Times New Roman" w:cs="Times New Roman"/>
          <w:lang w:val="ro-MD"/>
        </w:rPr>
        <w:t>a</w:t>
      </w:r>
      <w:r w:rsidR="005F2717" w:rsidRPr="000508B6">
        <w:rPr>
          <w:rFonts w:ascii="Times New Roman" w:eastAsia="Times New Roman" w:hAnsi="Times New Roman" w:cs="Times New Roman"/>
          <w:lang w:val="ro-MD"/>
        </w:rPr>
        <w:t>le</w:t>
      </w:r>
      <w:r w:rsidR="000F3D44" w:rsidRPr="000508B6">
        <w:rPr>
          <w:rFonts w:ascii="Times New Roman" w:eastAsia="Times New Roman" w:hAnsi="Times New Roman" w:cs="Times New Roman"/>
          <w:lang w:val="ro-MD"/>
        </w:rPr>
        <w:t xml:space="preserve"> serviciilor funerare </w:t>
      </w:r>
      <w:r w:rsidRPr="000508B6">
        <w:rPr>
          <w:rFonts w:ascii="Times New Roman" w:eastAsia="Times New Roman" w:hAnsi="Times New Roman" w:cs="Times New Roman"/>
          <w:lang w:val="ro-MD"/>
        </w:rPr>
        <w:t xml:space="preserve">pentru un singur deces sau </w:t>
      </w:r>
      <w:r w:rsidR="00E035FC" w:rsidRPr="000508B6">
        <w:rPr>
          <w:rFonts w:ascii="Times New Roman" w:eastAsia="Times New Roman" w:hAnsi="Times New Roman" w:cs="Times New Roman"/>
          <w:lang w:val="ro-MD"/>
        </w:rPr>
        <w:t xml:space="preserve">care </w:t>
      </w:r>
      <w:r w:rsidRPr="000508B6">
        <w:rPr>
          <w:rFonts w:ascii="Times New Roman" w:eastAsia="Times New Roman" w:hAnsi="Times New Roman" w:cs="Times New Roman"/>
          <w:lang w:val="ro-MD"/>
        </w:rPr>
        <w:t xml:space="preserve">sunt furnizate în natură. </w:t>
      </w:r>
    </w:p>
    <w:p w14:paraId="098FAE2C" w14:textId="3E9671B5" w:rsidR="00F95829" w:rsidRPr="000508B6" w:rsidRDefault="00F95829" w:rsidP="00CF5AFA">
      <w:pPr>
        <w:pStyle w:val="Listparagraf"/>
        <w:numPr>
          <w:ilvl w:val="0"/>
          <w:numId w:val="38"/>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procesele de </w:t>
      </w:r>
      <w:proofErr w:type="spellStart"/>
      <w:r w:rsidRPr="000508B6">
        <w:rPr>
          <w:rFonts w:ascii="Times New Roman" w:eastAsia="Times New Roman" w:hAnsi="Times New Roman" w:cs="Times New Roman"/>
          <w:lang w:val="ro-MD"/>
        </w:rPr>
        <w:t>licenţiere</w:t>
      </w:r>
      <w:proofErr w:type="spellEnd"/>
      <w:r w:rsidRPr="000508B6">
        <w:rPr>
          <w:rFonts w:ascii="Times New Roman" w:eastAsia="Times New Roman" w:hAnsi="Times New Roman" w:cs="Times New Roman"/>
          <w:lang w:val="ro-MD"/>
        </w:rPr>
        <w:t xml:space="preserve">, notificare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aprobare prevăzute de prezenta lege, prevederile Legii nr.</w:t>
      </w:r>
      <w:r w:rsidR="004302E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160/2011 privind reglementarea prin autorizare 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întreprinzător nu se aplică.</w:t>
      </w:r>
      <w:r w:rsidR="00676DFF" w:rsidRPr="000508B6">
        <w:rPr>
          <w:rFonts w:ascii="Times New Roman" w:eastAsia="Times New Roman" w:hAnsi="Times New Roman" w:cs="Times New Roman"/>
          <w:lang w:val="ro-MD"/>
        </w:rPr>
        <w:t xml:space="preserve"> </w:t>
      </w:r>
    </w:p>
    <w:p w14:paraId="21B84DE9" w14:textId="5AEC86F5" w:rsidR="00F95829" w:rsidRPr="000508B6" w:rsidRDefault="00F95829" w:rsidP="00CF5AFA">
      <w:pPr>
        <w:pStyle w:val="Listparagraf"/>
        <w:numPr>
          <w:ilvl w:val="0"/>
          <w:numId w:val="38"/>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vederea stabilirii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achitării de către </w:t>
      </w:r>
      <w:r w:rsidR="00954BD8" w:rsidRPr="000508B6">
        <w:rPr>
          <w:rFonts w:ascii="Times New Roman" w:eastAsia="Times New Roman" w:hAnsi="Times New Roman" w:cs="Times New Roman"/>
          <w:lang w:val="ro-MD"/>
        </w:rPr>
        <w:t xml:space="preserve">asigurător sau </w:t>
      </w:r>
      <w:proofErr w:type="spellStart"/>
      <w:r w:rsidR="00954BD8"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a despăgubirilor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a </w:t>
      </w:r>
      <w:proofErr w:type="spellStart"/>
      <w:r w:rsidRPr="000508B6">
        <w:rPr>
          <w:rFonts w:ascii="Times New Roman" w:eastAsia="Times New Roman" w:hAnsi="Times New Roman" w:cs="Times New Roman"/>
          <w:lang w:val="ro-MD"/>
        </w:rPr>
        <w:t>indemnizaţiilor</w:t>
      </w:r>
      <w:proofErr w:type="spellEnd"/>
      <w:r w:rsidRPr="000508B6">
        <w:rPr>
          <w:rFonts w:ascii="Times New Roman" w:eastAsia="Times New Roman" w:hAnsi="Times New Roman" w:cs="Times New Roman"/>
          <w:lang w:val="ro-MD"/>
        </w:rPr>
        <w:t xml:space="preserve"> de asigurare, </w:t>
      </w:r>
      <w:r w:rsidR="00F25BF0" w:rsidRPr="000508B6">
        <w:rPr>
          <w:rFonts w:ascii="Times New Roman" w:eastAsia="Times New Roman" w:hAnsi="Times New Roman" w:cs="Times New Roman"/>
          <w:lang w:val="ro-MD"/>
        </w:rPr>
        <w:t>o</w:t>
      </w:r>
      <w:r w:rsidRPr="000508B6">
        <w:rPr>
          <w:rFonts w:ascii="Times New Roman" w:eastAsia="Times New Roman" w:hAnsi="Times New Roman" w:cs="Times New Roman"/>
          <w:lang w:val="ro-MD"/>
        </w:rPr>
        <w:t xml:space="preserve">rganele de </w:t>
      </w:r>
      <w:proofErr w:type="spellStart"/>
      <w:r w:rsidRPr="000508B6">
        <w:rPr>
          <w:rFonts w:ascii="Times New Roman" w:eastAsia="Times New Roman" w:hAnsi="Times New Roman" w:cs="Times New Roman"/>
          <w:lang w:val="ro-MD"/>
        </w:rPr>
        <w:t>poliţie</w:t>
      </w:r>
      <w:proofErr w:type="spellEnd"/>
      <w:r w:rsidRPr="000508B6">
        <w:rPr>
          <w:rFonts w:ascii="Times New Roman" w:eastAsia="Times New Roman" w:hAnsi="Times New Roman" w:cs="Times New Roman"/>
          <w:lang w:val="ro-MD"/>
        </w:rPr>
        <w:t xml:space="preserve">, procuratura, </w:t>
      </w:r>
      <w:proofErr w:type="spellStart"/>
      <w:r w:rsidRPr="000508B6">
        <w:rPr>
          <w:rFonts w:ascii="Times New Roman" w:eastAsia="Times New Roman" w:hAnsi="Times New Roman" w:cs="Times New Roman"/>
          <w:lang w:val="ro-MD"/>
        </w:rPr>
        <w:t>instanţele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judecătoreşti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unităţile</w:t>
      </w:r>
      <w:proofErr w:type="spellEnd"/>
      <w:r w:rsidRPr="000508B6">
        <w:rPr>
          <w:rFonts w:ascii="Times New Roman" w:eastAsia="Times New Roman" w:hAnsi="Times New Roman" w:cs="Times New Roman"/>
          <w:lang w:val="ro-MD"/>
        </w:rPr>
        <w:t xml:space="preserve"> de pompieri, </w:t>
      </w:r>
      <w:proofErr w:type="spellStart"/>
      <w:r w:rsidRPr="000508B6">
        <w:rPr>
          <w:rFonts w:ascii="Times New Roman" w:eastAsia="Times New Roman" w:hAnsi="Times New Roman" w:cs="Times New Roman"/>
          <w:lang w:val="ro-MD"/>
        </w:rPr>
        <w:t>instituţiile</w:t>
      </w:r>
      <w:proofErr w:type="spellEnd"/>
      <w:r w:rsidRPr="000508B6">
        <w:rPr>
          <w:rFonts w:ascii="Times New Roman" w:eastAsia="Times New Roman" w:hAnsi="Times New Roman" w:cs="Times New Roman"/>
          <w:lang w:val="ro-MD"/>
        </w:rPr>
        <w:t xml:space="preserve"> medicale publice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private, alte </w:t>
      </w:r>
      <w:proofErr w:type="spellStart"/>
      <w:r w:rsidRPr="000508B6">
        <w:rPr>
          <w:rFonts w:ascii="Times New Roman" w:eastAsia="Times New Roman" w:hAnsi="Times New Roman" w:cs="Times New Roman"/>
          <w:lang w:val="ro-MD"/>
        </w:rPr>
        <w:t>autorităţi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instituţii</w:t>
      </w:r>
      <w:proofErr w:type="spellEnd"/>
      <w:r w:rsidRPr="000508B6">
        <w:rPr>
          <w:rFonts w:ascii="Times New Roman" w:eastAsia="Times New Roman" w:hAnsi="Times New Roman" w:cs="Times New Roman"/>
          <w:lang w:val="ro-MD"/>
        </w:rPr>
        <w:t xml:space="preserve"> publice,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persoanele juridice de drept public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privat care au </w:t>
      </w:r>
      <w:proofErr w:type="spellStart"/>
      <w:r w:rsidRPr="000508B6">
        <w:rPr>
          <w:rFonts w:ascii="Times New Roman" w:eastAsia="Times New Roman" w:hAnsi="Times New Roman" w:cs="Times New Roman"/>
          <w:lang w:val="ro-MD"/>
        </w:rPr>
        <w:t>competenţe</w:t>
      </w:r>
      <w:proofErr w:type="spellEnd"/>
      <w:r w:rsidRPr="000508B6">
        <w:rPr>
          <w:rFonts w:ascii="Times New Roman" w:eastAsia="Times New Roman" w:hAnsi="Times New Roman" w:cs="Times New Roman"/>
          <w:lang w:val="ro-MD"/>
        </w:rPr>
        <w:t xml:space="preserve"> să cerceteze accidente de vehicule sau alte evenimente ori care </w:t>
      </w:r>
      <w:proofErr w:type="spellStart"/>
      <w:r w:rsidRPr="000508B6">
        <w:rPr>
          <w:rFonts w:ascii="Times New Roman" w:eastAsia="Times New Roman" w:hAnsi="Times New Roman" w:cs="Times New Roman"/>
          <w:lang w:val="ro-MD"/>
        </w:rPr>
        <w:t>deţin</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date ce pot asista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în activitatea de asigurare sau de reasigurare, după caz, vor prezenta, în termen de 15 zile lucrătoare, la cererea </w:t>
      </w:r>
      <w:r w:rsidR="00F31BBB" w:rsidRPr="000508B6">
        <w:rPr>
          <w:rFonts w:ascii="Times New Roman" w:eastAsia="Times New Roman" w:hAnsi="Times New Roman" w:cs="Times New Roman"/>
          <w:lang w:val="ro-MD"/>
        </w:rPr>
        <w:t>acestora</w:t>
      </w:r>
      <w:r w:rsidRPr="000508B6">
        <w:rPr>
          <w:rFonts w:ascii="Times New Roman" w:eastAsia="Times New Roman" w:hAnsi="Times New Roman" w:cs="Times New Roman"/>
          <w:lang w:val="ro-MD"/>
        </w:rPr>
        <w:t xml:space="preserve">, documente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cu privire la cauzele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circumstanţele</w:t>
      </w:r>
      <w:proofErr w:type="spellEnd"/>
      <w:r w:rsidRPr="000508B6">
        <w:rPr>
          <w:rFonts w:ascii="Times New Roman" w:eastAsia="Times New Roman" w:hAnsi="Times New Roman" w:cs="Times New Roman"/>
          <w:lang w:val="ro-MD"/>
        </w:rPr>
        <w:t xml:space="preserve"> producerii riscurilor asigurate, la</w:t>
      </w:r>
      <w:r w:rsidR="00A328B8" w:rsidRPr="000508B6">
        <w:rPr>
          <w:rFonts w:ascii="Times New Roman" w:eastAsia="Times New Roman" w:hAnsi="Times New Roman" w:cs="Times New Roman"/>
          <w:lang w:val="ro-MD"/>
        </w:rPr>
        <w:t xml:space="preserve"> daunele</w:t>
      </w:r>
      <w:r w:rsidRPr="000508B6">
        <w:rPr>
          <w:rFonts w:ascii="Times New Roman" w:eastAsia="Times New Roman" w:hAnsi="Times New Roman" w:cs="Times New Roman"/>
          <w:lang w:val="ro-MD"/>
        </w:rPr>
        <w:t xml:space="preserve"> provocate</w:t>
      </w:r>
      <w:r w:rsidR="00170B5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154B4EBF" w14:textId="77777777" w:rsidR="00FA5A5C" w:rsidRPr="000508B6" w:rsidRDefault="00FA5A5C" w:rsidP="008B530F">
      <w:pPr>
        <w:spacing w:after="0" w:line="240" w:lineRule="auto"/>
        <w:ind w:firstLine="426"/>
        <w:jc w:val="both"/>
        <w:rPr>
          <w:rFonts w:ascii="Times New Roman" w:eastAsia="Times New Roman" w:hAnsi="Times New Roman" w:cs="Times New Roman"/>
          <w:b/>
          <w:lang w:val="ro-MD"/>
        </w:rPr>
      </w:pPr>
    </w:p>
    <w:p w14:paraId="36919F97" w14:textId="2EE1885C" w:rsidR="00F95829" w:rsidRPr="000508B6" w:rsidRDefault="00F95829" w:rsidP="008B530F">
      <w:pPr>
        <w:spacing w:after="0" w:line="240" w:lineRule="auto"/>
        <w:ind w:firstLine="426"/>
        <w:jc w:val="both"/>
        <w:rPr>
          <w:rFonts w:ascii="Times New Roman" w:eastAsia="Times New Roman" w:hAnsi="Times New Roman" w:cs="Times New Roman"/>
          <w:lang w:val="ro-MD"/>
        </w:rPr>
      </w:pPr>
      <w:bookmarkStart w:id="26" w:name="_Hlk183510213"/>
      <w:r w:rsidRPr="000508B6">
        <w:rPr>
          <w:rFonts w:ascii="Times New Roman" w:eastAsia="Times New Roman" w:hAnsi="Times New Roman" w:cs="Times New Roman"/>
          <w:b/>
          <w:lang w:val="ro-MD"/>
        </w:rPr>
        <w:t xml:space="preserve">Articolul </w:t>
      </w:r>
      <w:r w:rsidR="00BF1C19" w:rsidRPr="000508B6">
        <w:rPr>
          <w:rFonts w:ascii="Times New Roman" w:eastAsia="Times New Roman" w:hAnsi="Times New Roman" w:cs="Times New Roman"/>
          <w:b/>
          <w:lang w:val="ro-MD"/>
        </w:rPr>
        <w:t>3</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Noţiuni</w:t>
      </w:r>
      <w:proofErr w:type="spellEnd"/>
      <w:r w:rsidRPr="000508B6">
        <w:rPr>
          <w:rFonts w:ascii="Times New Roman" w:eastAsia="Times New Roman" w:hAnsi="Times New Roman" w:cs="Times New Roman"/>
          <w:lang w:val="ro-MD"/>
        </w:rPr>
        <w:t xml:space="preserve"> </w:t>
      </w:r>
    </w:p>
    <w:p w14:paraId="0BA42353" w14:textId="1C462271" w:rsidR="00F95829" w:rsidRPr="000508B6" w:rsidRDefault="00F95829" w:rsidP="008B530F">
      <w:pPr>
        <w:spacing w:after="0" w:line="240" w:lineRule="auto"/>
        <w:ind w:firstLine="426"/>
        <w:jc w:val="both"/>
        <w:rPr>
          <w:rFonts w:ascii="Times New Roman" w:eastAsia="Times New Roman" w:hAnsi="Times New Roman" w:cs="Times New Roman"/>
          <w:lang w:val="ro-MD"/>
        </w:rPr>
      </w:pPr>
      <w:bookmarkStart w:id="27" w:name="_Hlk198108244"/>
      <w:r w:rsidRPr="000508B6">
        <w:rPr>
          <w:rFonts w:ascii="Times New Roman" w:eastAsia="Times New Roman" w:hAnsi="Times New Roman" w:cs="Times New Roman"/>
          <w:lang w:val="ro-MD"/>
        </w:rPr>
        <w:t xml:space="preserve">În sensul prezentei legi, următoarele </w:t>
      </w:r>
      <w:proofErr w:type="spellStart"/>
      <w:r w:rsidRPr="000508B6">
        <w:rPr>
          <w:rFonts w:ascii="Times New Roman" w:eastAsia="Times New Roman" w:hAnsi="Times New Roman" w:cs="Times New Roman"/>
          <w:lang w:val="ro-MD"/>
        </w:rPr>
        <w:t>noţiuni</w:t>
      </w:r>
      <w:proofErr w:type="spellEnd"/>
      <w:r w:rsidRPr="000508B6">
        <w:rPr>
          <w:rFonts w:ascii="Times New Roman" w:eastAsia="Times New Roman" w:hAnsi="Times New Roman" w:cs="Times New Roman"/>
          <w:lang w:val="ro-MD"/>
        </w:rPr>
        <w:t xml:space="preserve"> semnifică</w:t>
      </w:r>
      <w:bookmarkEnd w:id="26"/>
      <w:r w:rsidRPr="000508B6">
        <w:rPr>
          <w:rFonts w:ascii="Times New Roman" w:eastAsia="Times New Roman" w:hAnsi="Times New Roman" w:cs="Times New Roman"/>
          <w:lang w:val="ro-MD"/>
        </w:rPr>
        <w:t>:</w:t>
      </w:r>
    </w:p>
    <w:bookmarkEnd w:id="27"/>
    <w:p w14:paraId="095D38B5" w14:textId="2831A4F3" w:rsidR="00F95829" w:rsidRPr="000508B6" w:rsidRDefault="00F95829" w:rsidP="00AA3154">
      <w:pPr>
        <w:pStyle w:val="Listparagraf"/>
        <w:numPr>
          <w:ilvl w:val="0"/>
          <w:numId w:val="313"/>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activitate de asigurare</w:t>
      </w:r>
      <w:r w:rsidRPr="000508B6">
        <w:rPr>
          <w:rFonts w:ascii="Times New Roman" w:eastAsia="Times New Roman" w:hAnsi="Times New Roman" w:cs="Times New Roman"/>
          <w:lang w:val="ro-MD"/>
        </w:rPr>
        <w:t xml:space="preserve"> – </w:t>
      </w:r>
      <w:r w:rsidR="0054145D" w:rsidRPr="000508B6">
        <w:rPr>
          <w:rFonts w:ascii="Times New Roman" w:eastAsia="Times New Roman" w:hAnsi="Times New Roman" w:cs="Times New Roman"/>
          <w:lang w:val="ro-MD"/>
        </w:rPr>
        <w:t xml:space="preserve">activitatea exercitată în sau din Republica Moldova, care </w:t>
      </w:r>
      <w:r w:rsidR="00CF657C" w:rsidRPr="000508B6">
        <w:rPr>
          <w:rFonts w:ascii="Times New Roman" w:eastAsia="Times New Roman" w:hAnsi="Times New Roman" w:cs="Times New Roman"/>
          <w:lang w:val="ro-MD"/>
        </w:rPr>
        <w:t>constă</w:t>
      </w:r>
      <w:r w:rsidR="0054145D" w:rsidRPr="000508B6">
        <w:rPr>
          <w:rFonts w:ascii="Times New Roman" w:eastAsia="Times New Roman" w:hAnsi="Times New Roman" w:cs="Times New Roman"/>
          <w:lang w:val="ro-MD"/>
        </w:rPr>
        <w:t xml:space="preserve">, în principal, </w:t>
      </w:r>
      <w:r w:rsidR="00070E65" w:rsidRPr="000508B6">
        <w:rPr>
          <w:rFonts w:ascii="Times New Roman" w:eastAsia="Times New Roman" w:hAnsi="Times New Roman" w:cs="Times New Roman"/>
          <w:lang w:val="ro-MD"/>
        </w:rPr>
        <w:t xml:space="preserve">în </w:t>
      </w:r>
      <w:r w:rsidR="000A218F" w:rsidRPr="000508B6">
        <w:rPr>
          <w:rFonts w:ascii="Times New Roman" w:eastAsia="Times New Roman" w:hAnsi="Times New Roman" w:cs="Times New Roman"/>
          <w:lang w:val="ro-MD"/>
        </w:rPr>
        <w:t xml:space="preserve">crearea de produse, </w:t>
      </w:r>
      <w:r w:rsidR="0054145D" w:rsidRPr="000508B6">
        <w:rPr>
          <w:rFonts w:ascii="Times New Roman" w:eastAsia="Times New Roman" w:hAnsi="Times New Roman" w:cs="Times New Roman"/>
          <w:lang w:val="ro-MD"/>
        </w:rPr>
        <w:t xml:space="preserve">oferirea, </w:t>
      </w:r>
      <w:proofErr w:type="spellStart"/>
      <w:r w:rsidR="0054145D" w:rsidRPr="000508B6">
        <w:rPr>
          <w:rFonts w:ascii="Times New Roman" w:eastAsia="Times New Roman" w:hAnsi="Times New Roman" w:cs="Times New Roman"/>
          <w:lang w:val="ro-MD"/>
        </w:rPr>
        <w:t>distribuţia</w:t>
      </w:r>
      <w:proofErr w:type="spellEnd"/>
      <w:r w:rsidR="0054145D" w:rsidRPr="000508B6">
        <w:rPr>
          <w:rFonts w:ascii="Times New Roman" w:eastAsia="Times New Roman" w:hAnsi="Times New Roman" w:cs="Times New Roman"/>
          <w:lang w:val="ro-MD"/>
        </w:rPr>
        <w:t xml:space="preserve">, negocierea, încheierea de contracte de asigurare </w:t>
      </w:r>
      <w:proofErr w:type="spellStart"/>
      <w:r w:rsidR="0054145D" w:rsidRPr="000508B6">
        <w:rPr>
          <w:rFonts w:ascii="Times New Roman" w:eastAsia="Times New Roman" w:hAnsi="Times New Roman" w:cs="Times New Roman"/>
          <w:lang w:val="ro-MD"/>
        </w:rPr>
        <w:t>şi</w:t>
      </w:r>
      <w:proofErr w:type="spellEnd"/>
      <w:r w:rsidR="0054145D" w:rsidRPr="000508B6">
        <w:rPr>
          <w:rFonts w:ascii="Times New Roman" w:eastAsia="Times New Roman" w:hAnsi="Times New Roman" w:cs="Times New Roman"/>
          <w:lang w:val="ro-MD"/>
        </w:rPr>
        <w:t xml:space="preserve"> reasigurare, încasarea de prime, lichidarea de daune, activitatea de regres </w:t>
      </w:r>
      <w:proofErr w:type="spellStart"/>
      <w:r w:rsidR="0054145D" w:rsidRPr="000508B6">
        <w:rPr>
          <w:rFonts w:ascii="Times New Roman" w:eastAsia="Times New Roman" w:hAnsi="Times New Roman" w:cs="Times New Roman"/>
          <w:lang w:val="ro-MD"/>
        </w:rPr>
        <w:t>şi</w:t>
      </w:r>
      <w:proofErr w:type="spellEnd"/>
      <w:r w:rsidR="0054145D" w:rsidRPr="000508B6">
        <w:rPr>
          <w:rFonts w:ascii="Times New Roman" w:eastAsia="Times New Roman" w:hAnsi="Times New Roman" w:cs="Times New Roman"/>
          <w:lang w:val="ro-MD"/>
        </w:rPr>
        <w:t xml:space="preserve"> de recuperare</w:t>
      </w:r>
      <w:r w:rsidR="006F057E" w:rsidRPr="000508B6">
        <w:rPr>
          <w:rFonts w:ascii="Times New Roman" w:eastAsia="Times New Roman" w:hAnsi="Times New Roman" w:cs="Times New Roman"/>
          <w:lang w:val="ro-MD"/>
        </w:rPr>
        <w:t xml:space="preserve"> a creanțelor</w:t>
      </w:r>
      <w:r w:rsidR="0054145D" w:rsidRPr="000508B6">
        <w:rPr>
          <w:rFonts w:ascii="Times New Roman" w:eastAsia="Times New Roman" w:hAnsi="Times New Roman" w:cs="Times New Roman"/>
          <w:lang w:val="ro-MD"/>
        </w:rPr>
        <w:t xml:space="preserve">, precum </w:t>
      </w:r>
      <w:proofErr w:type="spellStart"/>
      <w:r w:rsidR="0054145D" w:rsidRPr="000508B6">
        <w:rPr>
          <w:rFonts w:ascii="Times New Roman" w:eastAsia="Times New Roman" w:hAnsi="Times New Roman" w:cs="Times New Roman"/>
          <w:lang w:val="ro-MD"/>
        </w:rPr>
        <w:t>şi</w:t>
      </w:r>
      <w:proofErr w:type="spellEnd"/>
      <w:r w:rsidR="0054145D" w:rsidRPr="000508B6">
        <w:rPr>
          <w:rFonts w:ascii="Times New Roman" w:eastAsia="Times New Roman" w:hAnsi="Times New Roman" w:cs="Times New Roman"/>
          <w:lang w:val="ro-MD"/>
        </w:rPr>
        <w:t xml:space="preserve"> investirea sau fructificarea fondurilor proprii </w:t>
      </w:r>
      <w:proofErr w:type="spellStart"/>
      <w:r w:rsidR="0054145D" w:rsidRPr="000508B6">
        <w:rPr>
          <w:rFonts w:ascii="Times New Roman" w:eastAsia="Times New Roman" w:hAnsi="Times New Roman" w:cs="Times New Roman"/>
          <w:lang w:val="ro-MD"/>
        </w:rPr>
        <w:t>şi</w:t>
      </w:r>
      <w:proofErr w:type="spellEnd"/>
      <w:r w:rsidR="0054145D" w:rsidRPr="000508B6">
        <w:rPr>
          <w:rFonts w:ascii="Times New Roman" w:eastAsia="Times New Roman" w:hAnsi="Times New Roman" w:cs="Times New Roman"/>
          <w:lang w:val="ro-MD"/>
        </w:rPr>
        <w:t xml:space="preserve"> </w:t>
      </w:r>
      <w:r w:rsidR="006F057E" w:rsidRPr="000508B6">
        <w:rPr>
          <w:rFonts w:ascii="Times New Roman" w:eastAsia="Times New Roman" w:hAnsi="Times New Roman" w:cs="Times New Roman"/>
          <w:lang w:val="ro-MD"/>
        </w:rPr>
        <w:t xml:space="preserve">a celor </w:t>
      </w:r>
      <w:r w:rsidR="0054145D" w:rsidRPr="000508B6">
        <w:rPr>
          <w:rFonts w:ascii="Times New Roman" w:eastAsia="Times New Roman" w:hAnsi="Times New Roman" w:cs="Times New Roman"/>
          <w:lang w:val="ro-MD"/>
        </w:rPr>
        <w:t xml:space="preserve">atrase prin activitatea </w:t>
      </w:r>
      <w:proofErr w:type="spellStart"/>
      <w:r w:rsidR="0054145D" w:rsidRPr="000508B6">
        <w:rPr>
          <w:rFonts w:ascii="Times New Roman" w:eastAsia="Times New Roman" w:hAnsi="Times New Roman" w:cs="Times New Roman"/>
          <w:lang w:val="ro-MD"/>
        </w:rPr>
        <w:t>desfăşurată</w:t>
      </w:r>
      <w:proofErr w:type="spellEnd"/>
      <w:r w:rsidRPr="000508B6">
        <w:rPr>
          <w:rFonts w:ascii="Times New Roman" w:eastAsia="Times New Roman" w:hAnsi="Times New Roman" w:cs="Times New Roman"/>
          <w:lang w:val="ro-MD"/>
        </w:rPr>
        <w:t>;</w:t>
      </w:r>
    </w:p>
    <w:p w14:paraId="0B05025D" w14:textId="526F7D81" w:rsidR="00544383" w:rsidRPr="000508B6" w:rsidRDefault="00F95829" w:rsidP="00AA3154">
      <w:pPr>
        <w:pStyle w:val="Listparagraf"/>
        <w:numPr>
          <w:ilvl w:val="0"/>
          <w:numId w:val="313"/>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activitate de reasigurare</w:t>
      </w:r>
      <w:r w:rsidRPr="000508B6">
        <w:rPr>
          <w:rFonts w:ascii="Times New Roman" w:eastAsia="Times New Roman" w:hAnsi="Times New Roman" w:cs="Times New Roman"/>
          <w:lang w:val="ro-MD"/>
        </w:rPr>
        <w:t xml:space="preserve"> – activitate</w:t>
      </w:r>
      <w:r w:rsidR="00371C0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care constă în</w:t>
      </w:r>
      <w:r w:rsidR="00544383" w:rsidRPr="000508B6">
        <w:rPr>
          <w:rFonts w:ascii="Times New Roman" w:eastAsia="Times New Roman" w:hAnsi="Times New Roman" w:cs="Times New Roman"/>
          <w:lang w:val="ro-MD"/>
        </w:rPr>
        <w:t>:</w:t>
      </w:r>
    </w:p>
    <w:p w14:paraId="0003E717" w14:textId="55403108" w:rsidR="00544383" w:rsidRPr="000508B6" w:rsidRDefault="00F95829" w:rsidP="00CF5AFA">
      <w:pPr>
        <w:pStyle w:val="Listparagraf"/>
        <w:numPr>
          <w:ilvl w:val="1"/>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preluarea riscurilor cedate de </w:t>
      </w:r>
      <w:r w:rsidR="001444C3" w:rsidRPr="000508B6">
        <w:rPr>
          <w:rFonts w:ascii="Times New Roman" w:eastAsia="Times New Roman" w:hAnsi="Times New Roman" w:cs="Times New Roman"/>
          <w:lang w:val="ro-MD"/>
        </w:rPr>
        <w:t xml:space="preserve">un </w:t>
      </w:r>
      <w:r w:rsidR="00B36665" w:rsidRPr="000508B6">
        <w:rPr>
          <w:rFonts w:ascii="Times New Roman" w:eastAsia="Times New Roman" w:hAnsi="Times New Roman" w:cs="Times New Roman"/>
          <w:lang w:val="ro-MD"/>
        </w:rPr>
        <w:t xml:space="preserve">asigurător </w:t>
      </w:r>
      <w:r w:rsidR="001444C3" w:rsidRPr="000508B6">
        <w:rPr>
          <w:rFonts w:ascii="Times New Roman" w:eastAsia="Times New Roman" w:hAnsi="Times New Roman" w:cs="Times New Roman"/>
          <w:lang w:val="ro-MD"/>
        </w:rPr>
        <w:t xml:space="preserve">sau </w:t>
      </w:r>
      <w:proofErr w:type="spellStart"/>
      <w:r w:rsidR="00B36665" w:rsidRPr="000508B6">
        <w:rPr>
          <w:rFonts w:ascii="Times New Roman" w:eastAsia="Times New Roman" w:hAnsi="Times New Roman" w:cs="Times New Roman"/>
          <w:lang w:val="ro-MD"/>
        </w:rPr>
        <w:t>reasigurător</w:t>
      </w:r>
      <w:proofErr w:type="spellEnd"/>
      <w:r w:rsidR="00B3666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statele membre sau din statele </w:t>
      </w:r>
      <w:proofErr w:type="spellStart"/>
      <w:r w:rsidRPr="000508B6">
        <w:rPr>
          <w:rFonts w:ascii="Times New Roman" w:eastAsia="Times New Roman" w:hAnsi="Times New Roman" w:cs="Times New Roman"/>
          <w:lang w:val="ro-MD"/>
        </w:rPr>
        <w:t>terţe</w:t>
      </w:r>
      <w:proofErr w:type="spellEnd"/>
      <w:r w:rsidR="00544383" w:rsidRPr="000508B6">
        <w:rPr>
          <w:rFonts w:ascii="Times New Roman" w:eastAsia="Times New Roman" w:hAnsi="Times New Roman" w:cs="Times New Roman"/>
          <w:lang w:val="ro-MD"/>
        </w:rPr>
        <w:t>;</w:t>
      </w:r>
    </w:p>
    <w:p w14:paraId="6C9E233C" w14:textId="64C1E1D2" w:rsidR="00DC6F3E" w:rsidRPr="000508B6" w:rsidRDefault="00F95829" w:rsidP="00AF5305">
      <w:pPr>
        <w:pStyle w:val="Listparagraf"/>
        <w:numPr>
          <w:ilvl w:val="1"/>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acoperire</w:t>
      </w:r>
      <w:r w:rsidR="002A2003"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 de către un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a unei </w:t>
      </w:r>
      <w:proofErr w:type="spellStart"/>
      <w:r w:rsidRPr="000508B6">
        <w:rPr>
          <w:rFonts w:ascii="Times New Roman" w:eastAsia="Times New Roman" w:hAnsi="Times New Roman" w:cs="Times New Roman"/>
          <w:lang w:val="ro-MD"/>
        </w:rPr>
        <w:t>instituţii</w:t>
      </w:r>
      <w:proofErr w:type="spellEnd"/>
      <w:r w:rsidRPr="000508B6">
        <w:rPr>
          <w:rFonts w:ascii="Times New Roman" w:eastAsia="Times New Roman" w:hAnsi="Times New Roman" w:cs="Times New Roman"/>
          <w:lang w:val="ro-MD"/>
        </w:rPr>
        <w:t xml:space="preserve"> care intră în domeniul de aplicare</w:t>
      </w:r>
      <w:r w:rsidR="002B528E" w:rsidRPr="000508B6">
        <w:rPr>
          <w:rFonts w:ascii="Times New Roman" w:eastAsia="Times New Roman" w:hAnsi="Times New Roman" w:cs="Times New Roman"/>
          <w:lang w:val="ro-MD"/>
        </w:rPr>
        <w:t xml:space="preserve"> a Legii nr.198/2020</w:t>
      </w:r>
      <w:r w:rsidR="00CB1081" w:rsidRPr="000508B6">
        <w:rPr>
          <w:rFonts w:ascii="Times New Roman" w:eastAsia="Times New Roman" w:hAnsi="Times New Roman" w:cs="Times New Roman"/>
          <w:lang w:val="ro-MD"/>
        </w:rPr>
        <w:t xml:space="preserve"> privind fondurile de pensii facultative</w:t>
      </w:r>
      <w:r w:rsidR="00427294" w:rsidRPr="000508B6">
        <w:rPr>
          <w:rFonts w:ascii="Times New Roman" w:eastAsia="Times New Roman" w:hAnsi="Times New Roman" w:cs="Times New Roman"/>
          <w:lang w:val="ro-MD"/>
        </w:rPr>
        <w:t xml:space="preserve"> (în continuare </w:t>
      </w:r>
      <w:r w:rsidR="003A2F09" w:rsidRPr="000508B6">
        <w:rPr>
          <w:rFonts w:ascii="Times New Roman" w:eastAsia="Times New Roman" w:hAnsi="Times New Roman" w:cs="Times New Roman"/>
          <w:lang w:val="ro-MD"/>
        </w:rPr>
        <w:t>–</w:t>
      </w:r>
      <w:r w:rsidR="004302EF" w:rsidRPr="000508B6">
        <w:rPr>
          <w:rFonts w:ascii="Times New Roman" w:eastAsia="Times New Roman" w:hAnsi="Times New Roman" w:cs="Times New Roman"/>
          <w:lang w:val="ro-MD"/>
        </w:rPr>
        <w:t xml:space="preserve"> </w:t>
      </w:r>
      <w:r w:rsidR="00427294" w:rsidRPr="000508B6">
        <w:rPr>
          <w:rFonts w:ascii="Times New Roman" w:eastAsia="Times New Roman" w:hAnsi="Times New Roman" w:cs="Times New Roman"/>
          <w:lang w:val="ro-MD"/>
        </w:rPr>
        <w:t>Legea nr.198/2020)</w:t>
      </w:r>
      <w:r w:rsidRPr="000508B6">
        <w:rPr>
          <w:rFonts w:ascii="Times New Roman" w:eastAsia="Times New Roman" w:hAnsi="Times New Roman" w:cs="Times New Roman"/>
          <w:lang w:val="ro-MD"/>
        </w:rPr>
        <w:t>;</w:t>
      </w:r>
    </w:p>
    <w:p w14:paraId="02A62CB0" w14:textId="00AEE216" w:rsidR="00F95829" w:rsidRPr="000508B6" w:rsidRDefault="00F95829" w:rsidP="00CF5AFA">
      <w:pPr>
        <w:pStyle w:val="Listparagraf"/>
        <w:numPr>
          <w:ilvl w:val="0"/>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asigurat</w:t>
      </w:r>
      <w:r w:rsidRPr="000508B6">
        <w:rPr>
          <w:rFonts w:ascii="Times New Roman" w:eastAsia="Times New Roman" w:hAnsi="Times New Roman" w:cs="Times New Roman"/>
          <w:lang w:val="ro-MD"/>
        </w:rPr>
        <w:t xml:space="preserve"> – persoană</w:t>
      </w:r>
      <w:r w:rsidR="007C3291" w:rsidRPr="000508B6">
        <w:rPr>
          <w:rFonts w:ascii="Times New Roman" w:eastAsia="Times New Roman" w:hAnsi="Times New Roman" w:cs="Times New Roman"/>
          <w:lang w:val="ro-MD"/>
        </w:rPr>
        <w:t xml:space="preserve"> fizică</w:t>
      </w:r>
      <w:r w:rsidR="00D6236B" w:rsidRPr="000508B6">
        <w:rPr>
          <w:rFonts w:ascii="Times New Roman" w:eastAsia="Times New Roman" w:hAnsi="Times New Roman" w:cs="Times New Roman"/>
          <w:lang w:val="ro-MD"/>
        </w:rPr>
        <w:t xml:space="preserve"> sau</w:t>
      </w:r>
      <w:r w:rsidR="007C3291" w:rsidRPr="000508B6">
        <w:rPr>
          <w:rFonts w:ascii="Times New Roman" w:eastAsia="Times New Roman" w:hAnsi="Times New Roman" w:cs="Times New Roman"/>
          <w:lang w:val="ro-MD"/>
        </w:rPr>
        <w:t xml:space="preserve"> persoană juridică </w:t>
      </w:r>
      <w:r w:rsidRPr="000508B6">
        <w:rPr>
          <w:rFonts w:ascii="Times New Roman" w:eastAsia="Times New Roman" w:hAnsi="Times New Roman" w:cs="Times New Roman"/>
          <w:lang w:val="ro-MD"/>
        </w:rPr>
        <w:t xml:space="preserve">care are încheiat sau pentru care s-a încheiat un contract de asigurare cu </w:t>
      </w:r>
      <w:r w:rsidR="00DC3385" w:rsidRPr="000508B6">
        <w:rPr>
          <w:rFonts w:ascii="Times New Roman" w:eastAsia="Times New Roman" w:hAnsi="Times New Roman" w:cs="Times New Roman"/>
          <w:lang w:val="ro-MD"/>
        </w:rPr>
        <w:t>asigurătorul</w:t>
      </w:r>
      <w:r w:rsidRPr="000508B6">
        <w:rPr>
          <w:rFonts w:ascii="Times New Roman" w:eastAsia="Times New Roman" w:hAnsi="Times New Roman" w:cs="Times New Roman"/>
          <w:lang w:val="ro-MD"/>
        </w:rPr>
        <w:t>;</w:t>
      </w:r>
    </w:p>
    <w:p w14:paraId="3C0D0466" w14:textId="11169395" w:rsidR="00F95829" w:rsidRPr="000508B6" w:rsidRDefault="00F95829" w:rsidP="00CF5AFA">
      <w:pPr>
        <w:pStyle w:val="Listparagraf"/>
        <w:numPr>
          <w:ilvl w:val="0"/>
          <w:numId w:val="31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i/>
          <w:lang w:val="ro-MD"/>
        </w:rPr>
        <w:t>asigurător</w:t>
      </w:r>
      <w:r w:rsidRPr="000508B6">
        <w:rPr>
          <w:rFonts w:ascii="Times New Roman" w:hAnsi="Times New Roman" w:cs="Times New Roman"/>
          <w:lang w:val="ro-MD"/>
        </w:rPr>
        <w:t xml:space="preserve"> </w:t>
      </w:r>
      <w:r w:rsidR="00B3158C" w:rsidRPr="000508B6">
        <w:rPr>
          <w:rFonts w:ascii="Times New Roman" w:hAnsi="Times New Roman" w:cs="Times New Roman"/>
          <w:lang w:val="ro-MD"/>
        </w:rPr>
        <w:t>–</w:t>
      </w:r>
      <w:r w:rsidRPr="000508B6">
        <w:rPr>
          <w:rFonts w:ascii="Times New Roman" w:hAnsi="Times New Roman" w:cs="Times New Roman"/>
          <w:lang w:val="ro-MD"/>
        </w:rPr>
        <w:t xml:space="preserve"> </w:t>
      </w:r>
      <w:r w:rsidR="008301EE" w:rsidRPr="000508B6">
        <w:rPr>
          <w:rFonts w:ascii="Times New Roman" w:hAnsi="Times New Roman" w:cs="Times New Roman"/>
          <w:lang w:val="ro-MD"/>
        </w:rPr>
        <w:t>entitate</w:t>
      </w:r>
      <w:r w:rsidR="00B3158C" w:rsidRPr="000508B6">
        <w:rPr>
          <w:rFonts w:ascii="Times New Roman" w:hAnsi="Times New Roman" w:cs="Times New Roman"/>
          <w:lang w:val="ro-MD"/>
        </w:rPr>
        <w:t xml:space="preserve"> care a primit licență în conformitate cu </w:t>
      </w:r>
      <w:proofErr w:type="spellStart"/>
      <w:r w:rsidR="00B3158C" w:rsidRPr="000508B6">
        <w:rPr>
          <w:rFonts w:ascii="Times New Roman" w:hAnsi="Times New Roman" w:cs="Times New Roman"/>
          <w:lang w:val="ro-MD"/>
        </w:rPr>
        <w:t>dispoziţiile</w:t>
      </w:r>
      <w:proofErr w:type="spellEnd"/>
      <w:r w:rsidR="00B3158C" w:rsidRPr="000508B6">
        <w:rPr>
          <w:rFonts w:ascii="Times New Roman" w:hAnsi="Times New Roman" w:cs="Times New Roman"/>
          <w:lang w:val="ro-MD"/>
        </w:rPr>
        <w:t xml:space="preserve"> prezentei legi pentru a desfășura activitate de asigurare </w:t>
      </w:r>
      <w:r w:rsidRPr="000508B6">
        <w:rPr>
          <w:rFonts w:ascii="Times New Roman" w:hAnsi="Times New Roman" w:cs="Times New Roman"/>
          <w:lang w:val="ro-MD"/>
        </w:rPr>
        <w:t xml:space="preserve"> </w:t>
      </w:r>
      <w:r w:rsidR="00D81DAE" w:rsidRPr="000508B6">
        <w:rPr>
          <w:rFonts w:ascii="Times New Roman" w:hAnsi="Times New Roman" w:cs="Times New Roman"/>
          <w:lang w:val="ro-MD"/>
        </w:rPr>
        <w:t xml:space="preserve">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sau de </w:t>
      </w:r>
      <w:r w:rsidR="00F924DF"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F924DF" w:rsidRPr="000508B6">
        <w:rPr>
          <w:rFonts w:ascii="Times New Roman" w:hAnsi="Times New Roman" w:cs="Times New Roman"/>
          <w:lang w:val="ro-MD"/>
        </w:rPr>
        <w:t>ă</w:t>
      </w:r>
      <w:r w:rsidRPr="000508B6">
        <w:rPr>
          <w:rFonts w:ascii="Times New Roman" w:hAnsi="Times New Roman" w:cs="Times New Roman"/>
          <w:lang w:val="ro-MD"/>
        </w:rPr>
        <w:t xml:space="preserve">; </w:t>
      </w:r>
    </w:p>
    <w:p w14:paraId="5A6E9A31" w14:textId="17E7D297" w:rsidR="00F95829" w:rsidRPr="000508B6" w:rsidRDefault="00F95829" w:rsidP="00CF5AFA">
      <w:pPr>
        <w:pStyle w:val="Listparagraf"/>
        <w:numPr>
          <w:ilvl w:val="0"/>
          <w:numId w:val="31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i/>
          <w:lang w:val="ro-MD"/>
        </w:rPr>
        <w:lastRenderedPageBreak/>
        <w:t>asigurător compozit</w:t>
      </w:r>
      <w:r w:rsidRPr="000508B6">
        <w:rPr>
          <w:rFonts w:ascii="Times New Roman" w:hAnsi="Times New Roman" w:cs="Times New Roman"/>
          <w:lang w:val="ro-MD"/>
        </w:rPr>
        <w:t xml:space="preserve"> - asigurător care la data intrării în vigoare a prezentei legi,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licență </w:t>
      </w:r>
      <w:r w:rsidR="00DD6F6F" w:rsidRPr="000508B6">
        <w:rPr>
          <w:rFonts w:ascii="Times New Roman" w:hAnsi="Times New Roman" w:cs="Times New Roman"/>
          <w:lang w:val="ro-MD"/>
        </w:rPr>
        <w:t>pentru desfășurarea</w:t>
      </w:r>
      <w:r w:rsidRPr="000508B6">
        <w:rPr>
          <w:rFonts w:ascii="Times New Roman" w:hAnsi="Times New Roman" w:cs="Times New Roman"/>
          <w:lang w:val="ro-MD"/>
        </w:rPr>
        <w:t xml:space="preserve"> simultan</w:t>
      </w:r>
      <w:r w:rsidR="00DD6F6F" w:rsidRPr="000508B6">
        <w:rPr>
          <w:rFonts w:ascii="Times New Roman" w:hAnsi="Times New Roman" w:cs="Times New Roman"/>
          <w:lang w:val="ro-MD"/>
        </w:rPr>
        <w:t>ă a activității</w:t>
      </w:r>
      <w:r w:rsidRPr="000508B6">
        <w:rPr>
          <w:rFonts w:ascii="Times New Roman" w:hAnsi="Times New Roman" w:cs="Times New Roman"/>
          <w:lang w:val="ro-MD"/>
        </w:rPr>
        <w:t xml:space="preserve"> </w:t>
      </w:r>
      <w:r w:rsidR="007331B9" w:rsidRPr="000508B6">
        <w:rPr>
          <w:rFonts w:ascii="Times New Roman" w:hAnsi="Times New Roman" w:cs="Times New Roman"/>
          <w:lang w:val="ro-MD"/>
        </w:rPr>
        <w:t xml:space="preserve">de </w:t>
      </w:r>
      <w:r w:rsidR="00F924DF"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F924DF" w:rsidRPr="000508B6">
        <w:rPr>
          <w:rFonts w:ascii="Times New Roman" w:hAnsi="Times New Roman" w:cs="Times New Roman"/>
          <w:lang w:val="ro-MD"/>
        </w:rPr>
        <w:t>ă</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
    <w:p w14:paraId="601E322D" w14:textId="7DF47E15" w:rsidR="00F95829" w:rsidRPr="000508B6" w:rsidRDefault="00F95829" w:rsidP="00CF5AFA">
      <w:pPr>
        <w:pStyle w:val="Listparagraf"/>
        <w:numPr>
          <w:ilvl w:val="0"/>
          <w:numId w:val="31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i/>
          <w:lang w:val="ro-MD"/>
        </w:rPr>
        <w:t>asigurător captiv</w:t>
      </w:r>
      <w:r w:rsidRPr="000508B6">
        <w:rPr>
          <w:rFonts w:ascii="Times New Roman" w:hAnsi="Times New Roman" w:cs="Times New Roman"/>
          <w:lang w:val="ro-MD"/>
        </w:rPr>
        <w:t xml:space="preserve"> - asigurător </w:t>
      </w:r>
      <w:proofErr w:type="spellStart"/>
      <w:r w:rsidRPr="000508B6">
        <w:rPr>
          <w:rFonts w:ascii="Times New Roman" w:hAnsi="Times New Roman" w:cs="Times New Roman"/>
          <w:lang w:val="ro-MD"/>
        </w:rPr>
        <w:t>deţinut</w:t>
      </w:r>
      <w:proofErr w:type="spellEnd"/>
      <w:r w:rsidRPr="000508B6">
        <w:rPr>
          <w:rFonts w:ascii="Times New Roman" w:hAnsi="Times New Roman" w:cs="Times New Roman"/>
          <w:lang w:val="ro-MD"/>
        </w:rPr>
        <w:t xml:space="preserve"> fie de o </w:t>
      </w:r>
      <w:r w:rsidR="002F124E" w:rsidRPr="000508B6">
        <w:rPr>
          <w:rFonts w:ascii="Times New Roman" w:hAnsi="Times New Roman" w:cs="Times New Roman"/>
          <w:lang w:val="ro-MD"/>
        </w:rPr>
        <w:t>entitate din sectorul financiar</w:t>
      </w:r>
      <w:r w:rsidRPr="000508B6">
        <w:rPr>
          <w:rFonts w:ascii="Times New Roman" w:hAnsi="Times New Roman" w:cs="Times New Roman"/>
          <w:lang w:val="ro-MD"/>
        </w:rPr>
        <w:t xml:space="preserve">, alta decât un asigurător, un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sau un grup de </w:t>
      </w:r>
      <w:r w:rsidR="00D81DAE" w:rsidRPr="000508B6">
        <w:rPr>
          <w:rFonts w:ascii="Times New Roman" w:hAnsi="Times New Roman" w:cs="Times New Roman"/>
          <w:lang w:val="ro-MD"/>
        </w:rPr>
        <w:t xml:space="preserve">asigurători sau </w:t>
      </w:r>
      <w:proofErr w:type="spellStart"/>
      <w:r w:rsidR="00D81DAE" w:rsidRPr="000508B6">
        <w:rPr>
          <w:rFonts w:ascii="Times New Roman" w:hAnsi="Times New Roman" w:cs="Times New Roman"/>
          <w:lang w:val="ro-MD"/>
        </w:rPr>
        <w:t>reasigurători</w:t>
      </w:r>
      <w:proofErr w:type="spellEnd"/>
      <w:r w:rsidR="00D81DAE" w:rsidRPr="000508B6">
        <w:rPr>
          <w:rFonts w:ascii="Times New Roman" w:hAnsi="Times New Roman" w:cs="Times New Roman"/>
          <w:lang w:val="ro-MD"/>
        </w:rPr>
        <w:t xml:space="preserve"> </w:t>
      </w:r>
      <w:r w:rsidRPr="000508B6">
        <w:rPr>
          <w:rFonts w:ascii="Times New Roman" w:hAnsi="Times New Roman" w:cs="Times New Roman"/>
          <w:lang w:val="ro-MD"/>
        </w:rPr>
        <w:t xml:space="preserve">definit la noțiunea grup, fie de o </w:t>
      </w:r>
      <w:r w:rsidR="00BA2694"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nefinanciară, al cărui obiect de activitate este asigurarea în mod exclusiv a riscurilor </w:t>
      </w:r>
      <w:proofErr w:type="spellStart"/>
      <w:r w:rsidRPr="000508B6">
        <w:rPr>
          <w:rFonts w:ascii="Times New Roman" w:hAnsi="Times New Roman" w:cs="Times New Roman"/>
          <w:lang w:val="ro-MD"/>
        </w:rPr>
        <w:t>entităţii</w:t>
      </w:r>
      <w:proofErr w:type="spellEnd"/>
      <w:r w:rsidRPr="000508B6">
        <w:rPr>
          <w:rFonts w:ascii="Times New Roman" w:hAnsi="Times New Roman" w:cs="Times New Roman"/>
          <w:lang w:val="ro-MD"/>
        </w:rPr>
        <w:t xml:space="preserve"> de care </w:t>
      </w:r>
      <w:proofErr w:type="spellStart"/>
      <w:r w:rsidRPr="000508B6">
        <w:rPr>
          <w:rFonts w:ascii="Times New Roman" w:hAnsi="Times New Roman" w:cs="Times New Roman"/>
          <w:lang w:val="ro-MD"/>
        </w:rPr>
        <w:t>aparţine</w:t>
      </w:r>
      <w:proofErr w:type="spellEnd"/>
      <w:r w:rsidRPr="000508B6">
        <w:rPr>
          <w:rFonts w:ascii="Times New Roman" w:hAnsi="Times New Roman" w:cs="Times New Roman"/>
          <w:lang w:val="ro-MD"/>
        </w:rPr>
        <w:t xml:space="preserve"> sau ale uneia ori mai multor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ale grupului din care face parte; </w:t>
      </w:r>
    </w:p>
    <w:p w14:paraId="0177C32A" w14:textId="2712E7C9" w:rsidR="00F95829" w:rsidRPr="000508B6" w:rsidRDefault="00F95829" w:rsidP="00CF5AFA">
      <w:pPr>
        <w:pStyle w:val="Listparagraf"/>
        <w:numPr>
          <w:ilvl w:val="0"/>
          <w:numId w:val="313"/>
        </w:numPr>
        <w:spacing w:after="0" w:line="240" w:lineRule="auto"/>
        <w:ind w:left="0" w:firstLine="426"/>
        <w:jc w:val="both"/>
        <w:rPr>
          <w:rFonts w:ascii="Times New Roman" w:eastAsia="Times New Roman" w:hAnsi="Times New Roman" w:cs="Times New Roman"/>
          <w:i/>
          <w:lang w:val="ro-MD"/>
        </w:rPr>
      </w:pPr>
      <w:r w:rsidRPr="000508B6">
        <w:rPr>
          <w:rFonts w:ascii="Times New Roman" w:hAnsi="Times New Roman" w:cs="Times New Roman"/>
          <w:i/>
          <w:lang w:val="ro-MD"/>
        </w:rPr>
        <w:t>asigurător mixt</w:t>
      </w:r>
      <w:r w:rsidRPr="000508B6">
        <w:rPr>
          <w:rFonts w:ascii="Times New Roman" w:hAnsi="Times New Roman" w:cs="Times New Roman"/>
          <w:lang w:val="ro-MD"/>
        </w:rPr>
        <w:t xml:space="preserve"> - asigurător care </w:t>
      </w:r>
      <w:r w:rsidR="00DD6F6F" w:rsidRPr="000508B6">
        <w:rPr>
          <w:rFonts w:ascii="Times New Roman" w:hAnsi="Times New Roman" w:cs="Times New Roman"/>
          <w:lang w:val="ro-MD"/>
        </w:rPr>
        <w:t>desfășoară</w:t>
      </w:r>
      <w:r w:rsidRPr="000508B6">
        <w:rPr>
          <w:rFonts w:ascii="Times New Roman" w:hAnsi="Times New Roman" w:cs="Times New Roman"/>
          <w:lang w:val="ro-MD"/>
        </w:rPr>
        <w:t xml:space="preserve"> simultan </w:t>
      </w:r>
      <w:r w:rsidR="00DD6F6F" w:rsidRPr="000508B6">
        <w:rPr>
          <w:rFonts w:ascii="Times New Roman" w:hAnsi="Times New Roman" w:cs="Times New Roman"/>
          <w:lang w:val="ro-MD"/>
        </w:rPr>
        <w:t xml:space="preserve">activitate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DD6F6F" w:rsidRPr="000508B6">
        <w:rPr>
          <w:rFonts w:ascii="Times New Roman" w:hAnsi="Times New Roman" w:cs="Times New Roman"/>
          <w:lang w:val="ro-MD"/>
        </w:rPr>
        <w:t>reasigurare</w:t>
      </w:r>
      <w:r w:rsidRPr="000508B6">
        <w:rPr>
          <w:rFonts w:ascii="Times New Roman" w:hAnsi="Times New Roman" w:cs="Times New Roman"/>
          <w:lang w:val="ro-MD"/>
        </w:rPr>
        <w:t xml:space="preserve">, licențiat să </w:t>
      </w:r>
      <w:proofErr w:type="spellStart"/>
      <w:r w:rsidRPr="000508B6">
        <w:rPr>
          <w:rFonts w:ascii="Times New Roman" w:hAnsi="Times New Roman" w:cs="Times New Roman"/>
          <w:lang w:val="ro-MD"/>
        </w:rPr>
        <w:t>funcţioneze</w:t>
      </w:r>
      <w:proofErr w:type="spellEnd"/>
      <w:r w:rsidRPr="000508B6">
        <w:rPr>
          <w:rFonts w:ascii="Times New Roman" w:hAnsi="Times New Roman" w:cs="Times New Roman"/>
          <w:lang w:val="ro-MD"/>
        </w:rPr>
        <w:t xml:space="preserve"> în conformitate cu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prezentei legi;</w:t>
      </w:r>
    </w:p>
    <w:p w14:paraId="0E061C33" w14:textId="73D3E8E9" w:rsidR="00C33B75" w:rsidRPr="000508B6" w:rsidRDefault="00B36665" w:rsidP="00AB6F5E">
      <w:pPr>
        <w:pStyle w:val="Listparagraf"/>
        <w:numPr>
          <w:ilvl w:val="0"/>
          <w:numId w:val="313"/>
        </w:numPr>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asigurător </w:t>
      </w:r>
      <w:r w:rsidR="00C33B75" w:rsidRPr="000508B6">
        <w:rPr>
          <w:rFonts w:ascii="Times New Roman" w:eastAsia="Times New Roman" w:hAnsi="Times New Roman" w:cs="Times New Roman"/>
          <w:i/>
          <w:lang w:val="ro-MD"/>
        </w:rPr>
        <w:t xml:space="preserve">din stat </w:t>
      </w:r>
      <w:proofErr w:type="spellStart"/>
      <w:r w:rsidR="00C33B75" w:rsidRPr="000508B6">
        <w:rPr>
          <w:rFonts w:ascii="Times New Roman" w:eastAsia="Times New Roman" w:hAnsi="Times New Roman" w:cs="Times New Roman"/>
          <w:i/>
          <w:lang w:val="ro-MD"/>
        </w:rPr>
        <w:t>terţ</w:t>
      </w:r>
      <w:proofErr w:type="spellEnd"/>
      <w:r w:rsidR="00C33B75" w:rsidRPr="000508B6">
        <w:rPr>
          <w:rFonts w:ascii="Times New Roman" w:eastAsia="Times New Roman" w:hAnsi="Times New Roman" w:cs="Times New Roman"/>
          <w:lang w:val="ro-MD"/>
        </w:rPr>
        <w:t xml:space="preserve"> - asigurător care dacă ar avea sediul central în Republica Moldova, ar avea nevoie de o licență emisă în </w:t>
      </w:r>
      <w:proofErr w:type="spellStart"/>
      <w:r w:rsidR="00C33B75" w:rsidRPr="000508B6">
        <w:rPr>
          <w:rFonts w:ascii="Times New Roman" w:eastAsia="Times New Roman" w:hAnsi="Times New Roman" w:cs="Times New Roman"/>
          <w:lang w:val="ro-MD"/>
        </w:rPr>
        <w:t>condiţiile</w:t>
      </w:r>
      <w:proofErr w:type="spellEnd"/>
      <w:r w:rsidR="00C33B75" w:rsidRPr="000508B6">
        <w:rPr>
          <w:rFonts w:ascii="Times New Roman" w:eastAsia="Times New Roman" w:hAnsi="Times New Roman" w:cs="Times New Roman"/>
          <w:lang w:val="ro-MD"/>
        </w:rPr>
        <w:t xml:space="preserve"> prevăzute la </w:t>
      </w:r>
      <w:r w:rsidR="00367127" w:rsidRPr="000508B6">
        <w:rPr>
          <w:rFonts w:ascii="Times New Roman" w:eastAsia="Times New Roman" w:hAnsi="Times New Roman" w:cs="Times New Roman"/>
          <w:iCs/>
          <w:lang w:val="ro-MD"/>
        </w:rPr>
        <w:t>art.</w:t>
      </w:r>
      <w:r w:rsidR="008F514F" w:rsidRPr="000508B6">
        <w:rPr>
          <w:rFonts w:ascii="Times New Roman" w:eastAsia="Times New Roman" w:hAnsi="Times New Roman" w:cs="Times New Roman"/>
          <w:iCs/>
          <w:lang w:val="ro-MD"/>
        </w:rPr>
        <w:t xml:space="preserve"> </w:t>
      </w:r>
      <w:r w:rsidR="00367127" w:rsidRPr="000508B6">
        <w:rPr>
          <w:rFonts w:ascii="Times New Roman" w:eastAsia="Times New Roman" w:hAnsi="Times New Roman" w:cs="Times New Roman"/>
          <w:iCs/>
          <w:lang w:val="ro-MD"/>
        </w:rPr>
        <w:t>4-10</w:t>
      </w:r>
      <w:r w:rsidR="00776975" w:rsidRPr="000508B6">
        <w:rPr>
          <w:rFonts w:ascii="Times New Roman" w:eastAsia="Times New Roman" w:hAnsi="Times New Roman" w:cs="Times New Roman"/>
          <w:lang w:val="ro-MD"/>
        </w:rPr>
        <w:t>;</w:t>
      </w:r>
    </w:p>
    <w:p w14:paraId="2090D1C3" w14:textId="297C1915" w:rsidR="00D94899" w:rsidRPr="000508B6" w:rsidRDefault="00D074A0" w:rsidP="00AB6F5E">
      <w:pPr>
        <w:pStyle w:val="Listparagraf"/>
        <w:numPr>
          <w:ilvl w:val="0"/>
          <w:numId w:val="313"/>
        </w:numPr>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AD27FF" w:rsidRPr="000508B6">
        <w:rPr>
          <w:rFonts w:ascii="Times New Roman" w:eastAsia="Times New Roman" w:hAnsi="Times New Roman" w:cs="Times New Roman"/>
          <w:i/>
          <w:lang w:val="ro-MD"/>
        </w:rPr>
        <w:t xml:space="preserve">asigurător sau </w:t>
      </w:r>
      <w:proofErr w:type="spellStart"/>
      <w:r w:rsidR="00AD27FF" w:rsidRPr="000508B6">
        <w:rPr>
          <w:rFonts w:ascii="Times New Roman" w:eastAsia="Times New Roman" w:hAnsi="Times New Roman" w:cs="Times New Roman"/>
          <w:i/>
          <w:lang w:val="ro-MD"/>
        </w:rPr>
        <w:t>reasigurător</w:t>
      </w:r>
      <w:proofErr w:type="spellEnd"/>
      <w:r w:rsidR="00AD27FF" w:rsidRPr="000508B6">
        <w:rPr>
          <w:rFonts w:ascii="Times New Roman" w:eastAsia="Times New Roman" w:hAnsi="Times New Roman" w:cs="Times New Roman"/>
          <w:i/>
          <w:lang w:val="ro-MD"/>
        </w:rPr>
        <w:t xml:space="preserve"> mic și cu un grad redus de complexitate</w:t>
      </w:r>
      <w:r w:rsidR="00AD27FF" w:rsidRPr="000508B6">
        <w:rPr>
          <w:rFonts w:ascii="Times New Roman" w:eastAsia="Times New Roman" w:hAnsi="Times New Roman" w:cs="Times New Roman"/>
          <w:iCs/>
          <w:lang w:val="ro-MD"/>
        </w:rPr>
        <w:t xml:space="preserve"> - </w:t>
      </w:r>
      <w:r w:rsidR="00B36665" w:rsidRPr="000508B6">
        <w:rPr>
          <w:rFonts w:ascii="Times New Roman" w:eastAsia="Times New Roman" w:hAnsi="Times New Roman" w:cs="Times New Roman"/>
          <w:iCs/>
          <w:lang w:val="ro-MD"/>
        </w:rPr>
        <w:t xml:space="preserve">asigurător </w:t>
      </w:r>
      <w:r w:rsidR="00AD27FF" w:rsidRPr="000508B6">
        <w:rPr>
          <w:rFonts w:ascii="Times New Roman" w:eastAsia="Times New Roman" w:hAnsi="Times New Roman" w:cs="Times New Roman"/>
          <w:iCs/>
          <w:lang w:val="ro-MD"/>
        </w:rPr>
        <w:t xml:space="preserve">sau </w:t>
      </w:r>
      <w:proofErr w:type="spellStart"/>
      <w:r w:rsidR="00B36665" w:rsidRPr="000508B6">
        <w:rPr>
          <w:rFonts w:ascii="Times New Roman" w:eastAsia="Times New Roman" w:hAnsi="Times New Roman" w:cs="Times New Roman"/>
          <w:iCs/>
          <w:lang w:val="ro-MD"/>
        </w:rPr>
        <w:t>reasigurător</w:t>
      </w:r>
      <w:proofErr w:type="spellEnd"/>
      <w:r w:rsidR="00AD27FF" w:rsidRPr="000508B6">
        <w:rPr>
          <w:rFonts w:ascii="Times New Roman" w:eastAsia="Times New Roman" w:hAnsi="Times New Roman" w:cs="Times New Roman"/>
          <w:iCs/>
          <w:lang w:val="ro-MD"/>
        </w:rPr>
        <w:t xml:space="preserve">, inclusiv un asigurător sau un </w:t>
      </w:r>
      <w:proofErr w:type="spellStart"/>
      <w:r w:rsidR="00AD27FF" w:rsidRPr="000508B6">
        <w:rPr>
          <w:rFonts w:ascii="Times New Roman" w:eastAsia="Times New Roman" w:hAnsi="Times New Roman" w:cs="Times New Roman"/>
          <w:iCs/>
          <w:lang w:val="ro-MD"/>
        </w:rPr>
        <w:t>reasigurător</w:t>
      </w:r>
      <w:proofErr w:type="spellEnd"/>
      <w:r w:rsidR="00AD27FF" w:rsidRPr="000508B6">
        <w:rPr>
          <w:rFonts w:ascii="Times New Roman" w:eastAsia="Times New Roman" w:hAnsi="Times New Roman" w:cs="Times New Roman"/>
          <w:iCs/>
          <w:lang w:val="ro-MD"/>
        </w:rPr>
        <w:t xml:space="preserve"> captiv, care îndeplinesc </w:t>
      </w:r>
      <w:r w:rsidR="00F140F5" w:rsidRPr="000508B6">
        <w:rPr>
          <w:rFonts w:ascii="Times New Roman" w:eastAsia="Times New Roman" w:hAnsi="Times New Roman" w:cs="Times New Roman"/>
          <w:iCs/>
          <w:lang w:val="ro-MD"/>
        </w:rPr>
        <w:t xml:space="preserve">criteriile pentru identificare </w:t>
      </w:r>
      <w:r w:rsidR="00AD27FF" w:rsidRPr="000508B6">
        <w:rPr>
          <w:rFonts w:ascii="Times New Roman" w:eastAsia="Times New Roman" w:hAnsi="Times New Roman" w:cs="Times New Roman"/>
          <w:iCs/>
          <w:lang w:val="ro-MD"/>
        </w:rPr>
        <w:t xml:space="preserve">prevăzute la art. 170 și </w:t>
      </w:r>
      <w:r w:rsidR="00F140F5" w:rsidRPr="000508B6">
        <w:rPr>
          <w:rFonts w:ascii="Times New Roman" w:eastAsia="Times New Roman" w:hAnsi="Times New Roman" w:cs="Times New Roman"/>
          <w:iCs/>
          <w:lang w:val="ro-MD"/>
        </w:rPr>
        <w:t>de încadrare</w:t>
      </w:r>
      <w:r w:rsidR="00AD27FF" w:rsidRPr="000508B6">
        <w:rPr>
          <w:rFonts w:ascii="Times New Roman" w:eastAsia="Times New Roman" w:hAnsi="Times New Roman" w:cs="Times New Roman"/>
          <w:iCs/>
          <w:lang w:val="ro-MD"/>
        </w:rPr>
        <w:t xml:space="preserve"> în conformitate cu art. 171;</w:t>
      </w:r>
    </w:p>
    <w:p w14:paraId="335B7F65" w14:textId="09B1B2CB" w:rsidR="00F02408" w:rsidRPr="000508B6" w:rsidRDefault="00A1417D" w:rsidP="00CF5AFA">
      <w:pPr>
        <w:pStyle w:val="Listparagraf"/>
        <w:numPr>
          <w:ilvl w:val="0"/>
          <w:numId w:val="313"/>
        </w:numPr>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i/>
          <w:lang w:val="ro-MD"/>
        </w:rPr>
        <w:t xml:space="preserve"> </w:t>
      </w:r>
      <w:r w:rsidR="00F02408" w:rsidRPr="000508B6">
        <w:rPr>
          <w:rFonts w:ascii="Times New Roman" w:eastAsia="Times New Roman" w:hAnsi="Times New Roman" w:cs="Times New Roman"/>
          <w:i/>
          <w:lang w:val="ro-MD"/>
        </w:rPr>
        <w:t xml:space="preserve">autoritate de supraveghere </w:t>
      </w:r>
      <w:r w:rsidR="00F02408" w:rsidRPr="000508B6">
        <w:rPr>
          <w:rFonts w:ascii="Times New Roman" w:eastAsia="Times New Roman" w:hAnsi="Times New Roman" w:cs="Times New Roman"/>
          <w:lang w:val="ro-MD"/>
        </w:rPr>
        <w:t>– Banca Națională a Moldovei</w:t>
      </w:r>
      <w:r w:rsidR="00F02408" w:rsidRPr="000508B6">
        <w:rPr>
          <w:rFonts w:ascii="Times New Roman" w:eastAsia="Times New Roman" w:hAnsi="Times New Roman" w:cs="Times New Roman"/>
          <w:i/>
          <w:lang w:val="ro-MD"/>
        </w:rPr>
        <w:t>;</w:t>
      </w:r>
      <w:r w:rsidR="002C43B6" w:rsidRPr="000508B6">
        <w:rPr>
          <w:rFonts w:ascii="Times New Roman" w:hAnsi="Times New Roman" w:cs="Times New Roman"/>
          <w:lang w:val="ro-MD"/>
        </w:rPr>
        <w:t xml:space="preserve"> </w:t>
      </w:r>
    </w:p>
    <w:p w14:paraId="2F86FB09" w14:textId="54E0856E" w:rsidR="00AA3154" w:rsidRPr="000508B6" w:rsidRDefault="007430DD" w:rsidP="00AA3154">
      <w:pPr>
        <w:pStyle w:val="Listparagraf"/>
        <w:numPr>
          <w:ilvl w:val="0"/>
          <w:numId w:val="313"/>
        </w:numPr>
        <w:spacing w:after="0" w:line="240" w:lineRule="auto"/>
        <w:ind w:left="0" w:firstLine="426"/>
        <w:jc w:val="both"/>
        <w:rPr>
          <w:rFonts w:ascii="Times New Roman" w:eastAsia="Times New Roman" w:hAnsi="Times New Roman" w:cs="Times New Roman"/>
          <w:iCs/>
          <w:lang w:val="ro-MD"/>
        </w:rPr>
      </w:pPr>
      <w:r w:rsidRPr="000508B6">
        <w:rPr>
          <w:rFonts w:ascii="Times New Roman" w:eastAsia="Times New Roman" w:hAnsi="Times New Roman" w:cs="Times New Roman"/>
          <w:iCs/>
          <w:lang w:val="ro-MD"/>
        </w:rPr>
        <w:t xml:space="preserve"> </w:t>
      </w:r>
      <w:r w:rsidR="00AA3154" w:rsidRPr="000508B6">
        <w:rPr>
          <w:rFonts w:ascii="Times New Roman" w:eastAsia="Times New Roman" w:hAnsi="Times New Roman" w:cs="Times New Roman"/>
          <w:i/>
          <w:lang w:val="ro-MD"/>
        </w:rPr>
        <w:t>auditor</w:t>
      </w:r>
      <w:r w:rsidR="00AA3154" w:rsidRPr="000508B6">
        <w:rPr>
          <w:rFonts w:ascii="Times New Roman" w:eastAsia="Times New Roman" w:hAnsi="Times New Roman" w:cs="Times New Roman"/>
          <w:iCs/>
          <w:lang w:val="ro-MD"/>
        </w:rPr>
        <w:t xml:space="preserve"> – persoană</w:t>
      </w:r>
      <w:r w:rsidR="00AA3154" w:rsidRPr="000508B6">
        <w:rPr>
          <w:rFonts w:ascii="Times New Roman" w:hAnsi="Times New Roman" w:cs="Times New Roman"/>
          <w:lang w:val="ro-MD"/>
        </w:rPr>
        <w:t xml:space="preserve"> </w:t>
      </w:r>
      <w:r w:rsidR="00AA3154" w:rsidRPr="000508B6">
        <w:rPr>
          <w:rFonts w:ascii="Times New Roman" w:eastAsia="Times New Roman" w:hAnsi="Times New Roman" w:cs="Times New Roman"/>
          <w:iCs/>
          <w:lang w:val="ro-MD"/>
        </w:rPr>
        <w:t xml:space="preserve">astfel cum este definită în Legea nr. 271/2017 privind auditul </w:t>
      </w:r>
      <w:r w:rsidR="008B67ED" w:rsidRPr="000508B6">
        <w:rPr>
          <w:rFonts w:ascii="Times New Roman" w:eastAsia="Times New Roman" w:hAnsi="Times New Roman" w:cs="Times New Roman"/>
          <w:iCs/>
          <w:lang w:val="ro-MD"/>
        </w:rPr>
        <w:t>situațiilor</w:t>
      </w:r>
      <w:r w:rsidR="00AA3154" w:rsidRPr="000508B6">
        <w:rPr>
          <w:rFonts w:ascii="Times New Roman" w:eastAsia="Times New Roman" w:hAnsi="Times New Roman" w:cs="Times New Roman"/>
          <w:iCs/>
          <w:lang w:val="ro-MD"/>
        </w:rPr>
        <w:t xml:space="preserve"> financiare</w:t>
      </w:r>
      <w:r w:rsidR="002B7867" w:rsidRPr="000508B6">
        <w:rPr>
          <w:rFonts w:ascii="Times New Roman" w:eastAsia="Times New Roman" w:hAnsi="Times New Roman" w:cs="Times New Roman"/>
          <w:iCs/>
          <w:lang w:val="ro-MD"/>
        </w:rPr>
        <w:t xml:space="preserve"> (în continuare </w:t>
      </w:r>
      <w:r w:rsidR="003A2F09" w:rsidRPr="000508B6">
        <w:rPr>
          <w:rFonts w:ascii="Times New Roman" w:eastAsia="Times New Roman" w:hAnsi="Times New Roman" w:cs="Times New Roman"/>
          <w:iCs/>
          <w:lang w:val="ro-MD"/>
        </w:rPr>
        <w:t>–</w:t>
      </w:r>
      <w:r w:rsidR="004302EF" w:rsidRPr="000508B6">
        <w:rPr>
          <w:rFonts w:ascii="Times New Roman" w:eastAsia="Times New Roman" w:hAnsi="Times New Roman" w:cs="Times New Roman"/>
          <w:iCs/>
          <w:lang w:val="ro-MD"/>
        </w:rPr>
        <w:t xml:space="preserve"> </w:t>
      </w:r>
      <w:r w:rsidR="002B7867" w:rsidRPr="000508B6">
        <w:rPr>
          <w:rFonts w:ascii="Times New Roman" w:eastAsia="Times New Roman" w:hAnsi="Times New Roman" w:cs="Times New Roman"/>
          <w:iCs/>
          <w:lang w:val="ro-MD"/>
        </w:rPr>
        <w:t>Legea nr.271/2017)</w:t>
      </w:r>
      <w:r w:rsidR="008B67ED" w:rsidRPr="000508B6">
        <w:rPr>
          <w:rFonts w:ascii="Times New Roman" w:eastAsia="Times New Roman" w:hAnsi="Times New Roman" w:cs="Times New Roman"/>
          <w:iCs/>
          <w:lang w:val="ro-MD"/>
        </w:rPr>
        <w:t>;</w:t>
      </w:r>
    </w:p>
    <w:p w14:paraId="529CD524" w14:textId="78DBBADE" w:rsidR="00F95829" w:rsidRPr="000508B6" w:rsidRDefault="00F95829" w:rsidP="009C5CCF">
      <w:pPr>
        <w:pStyle w:val="Listparagraf"/>
        <w:numPr>
          <w:ilvl w:val="0"/>
          <w:numId w:val="31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beneficiar al asigurării</w:t>
      </w:r>
      <w:r w:rsidRPr="000508B6">
        <w:rPr>
          <w:rFonts w:ascii="Times New Roman" w:eastAsia="Times New Roman" w:hAnsi="Times New Roman" w:cs="Times New Roman"/>
          <w:lang w:val="ro-MD"/>
        </w:rPr>
        <w:t xml:space="preserve"> – persoană fizică sau juridică asigurată sau desemnată de </w:t>
      </w:r>
      <w:r w:rsidR="003A24E1" w:rsidRPr="000508B6">
        <w:rPr>
          <w:rFonts w:ascii="Times New Roman" w:eastAsia="Times New Roman" w:hAnsi="Times New Roman" w:cs="Times New Roman"/>
          <w:lang w:val="ro-MD"/>
        </w:rPr>
        <w:t>asigurat</w:t>
      </w:r>
      <w:r w:rsidRPr="000508B6">
        <w:rPr>
          <w:rFonts w:ascii="Times New Roman" w:eastAsia="Times New Roman" w:hAnsi="Times New Roman" w:cs="Times New Roman"/>
          <w:lang w:val="ro-MD"/>
        </w:rPr>
        <w:t xml:space="preserve">, care </w:t>
      </w:r>
      <w:proofErr w:type="spellStart"/>
      <w:r w:rsidRPr="000508B6">
        <w:rPr>
          <w:rFonts w:ascii="Times New Roman" w:eastAsia="Times New Roman" w:hAnsi="Times New Roman" w:cs="Times New Roman"/>
          <w:lang w:val="ro-MD"/>
        </w:rPr>
        <w:t>primeşte</w:t>
      </w:r>
      <w:proofErr w:type="spellEnd"/>
      <w:r w:rsidRPr="000508B6">
        <w:rPr>
          <w:rFonts w:ascii="Times New Roman" w:eastAsia="Times New Roman" w:hAnsi="Times New Roman" w:cs="Times New Roman"/>
          <w:lang w:val="ro-MD"/>
        </w:rPr>
        <w:t xml:space="preserve"> despăgubirea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indemnizaţia</w:t>
      </w:r>
      <w:proofErr w:type="spellEnd"/>
      <w:r w:rsidRPr="000508B6">
        <w:rPr>
          <w:rFonts w:ascii="Times New Roman" w:eastAsia="Times New Roman" w:hAnsi="Times New Roman" w:cs="Times New Roman"/>
          <w:lang w:val="ro-MD"/>
        </w:rPr>
        <w:t xml:space="preserve"> ori beneficiile prevăzute în contractul de asigurare;</w:t>
      </w:r>
    </w:p>
    <w:p w14:paraId="65A9A4A3" w14:textId="1F87953F" w:rsidR="00F95829" w:rsidRPr="000508B6" w:rsidRDefault="00A1417D" w:rsidP="009C5CCF">
      <w:pPr>
        <w:pStyle w:val="Listparagraf"/>
        <w:numPr>
          <w:ilvl w:val="0"/>
          <w:numId w:val="31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beneficiar efectiv</w:t>
      </w:r>
      <w:r w:rsidR="00F95829" w:rsidRPr="000508B6">
        <w:rPr>
          <w:rFonts w:ascii="Times New Roman" w:eastAsia="Times New Roman" w:hAnsi="Times New Roman" w:cs="Times New Roman"/>
          <w:lang w:val="ro-MD"/>
        </w:rPr>
        <w:t xml:space="preserve"> – </w:t>
      </w:r>
      <w:r w:rsidR="00A07F33" w:rsidRPr="000508B6">
        <w:rPr>
          <w:rFonts w:ascii="Times New Roman" w:eastAsia="Times New Roman" w:hAnsi="Times New Roman" w:cs="Times New Roman"/>
          <w:lang w:val="ro-MD"/>
        </w:rPr>
        <w:t xml:space="preserve">persoană fizică care deține sau controlează, în ultimă instanță, direct sau indirect, achizitorul potențial ori deținătorul direct sau indirect al unei dețineri în capitalul social al </w:t>
      </w:r>
      <w:r w:rsidR="00C5163B" w:rsidRPr="000508B6">
        <w:rPr>
          <w:rFonts w:ascii="Times New Roman" w:eastAsia="Times New Roman" w:hAnsi="Times New Roman" w:cs="Times New Roman"/>
          <w:lang w:val="ro-MD"/>
        </w:rPr>
        <w:t xml:space="preserve">asigurătorului sau </w:t>
      </w:r>
      <w:proofErr w:type="spellStart"/>
      <w:r w:rsidR="00C5163B" w:rsidRPr="000508B6">
        <w:rPr>
          <w:rFonts w:ascii="Times New Roman" w:eastAsia="Times New Roman" w:hAnsi="Times New Roman" w:cs="Times New Roman"/>
          <w:lang w:val="ro-MD"/>
        </w:rPr>
        <w:t>reasigurătorului</w:t>
      </w:r>
      <w:proofErr w:type="spellEnd"/>
      <w:r w:rsidR="00A07F33" w:rsidRPr="000508B6">
        <w:rPr>
          <w:rFonts w:ascii="Times New Roman" w:eastAsia="Times New Roman" w:hAnsi="Times New Roman" w:cs="Times New Roman"/>
          <w:lang w:val="ro-MD"/>
        </w:rPr>
        <w:t xml:space="preserve"> sau din drepturile de </w:t>
      </w:r>
      <w:r w:rsidR="00390564" w:rsidRPr="000508B6">
        <w:rPr>
          <w:rFonts w:ascii="Times New Roman" w:eastAsia="Times New Roman" w:hAnsi="Times New Roman" w:cs="Times New Roman"/>
          <w:lang w:val="ro-MD"/>
        </w:rPr>
        <w:t>vot</w:t>
      </w:r>
      <w:r w:rsidR="00A07F33"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w:t>
      </w:r>
    </w:p>
    <w:p w14:paraId="1023EC51" w14:textId="50FFA2DA" w:rsidR="00DF0349" w:rsidRPr="000508B6" w:rsidRDefault="00A1417D" w:rsidP="009C5CCF">
      <w:pPr>
        <w:pStyle w:val="Listparagraf"/>
        <w:numPr>
          <w:ilvl w:val="0"/>
          <w:numId w:val="31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i/>
          <w:lang w:val="ro-MD"/>
        </w:rPr>
        <w:t xml:space="preserve"> </w:t>
      </w:r>
      <w:r w:rsidR="00DF0349" w:rsidRPr="000508B6">
        <w:rPr>
          <w:rFonts w:ascii="Times New Roman" w:hAnsi="Times New Roman" w:cs="Times New Roman"/>
          <w:i/>
          <w:lang w:val="ro-MD"/>
        </w:rPr>
        <w:t xml:space="preserve">birou </w:t>
      </w:r>
      <w:proofErr w:type="spellStart"/>
      <w:r w:rsidR="00DF0349" w:rsidRPr="000508B6">
        <w:rPr>
          <w:rFonts w:ascii="Times New Roman" w:hAnsi="Times New Roman" w:cs="Times New Roman"/>
          <w:i/>
          <w:lang w:val="ro-MD"/>
        </w:rPr>
        <w:t>naţional</w:t>
      </w:r>
      <w:proofErr w:type="spellEnd"/>
      <w:r w:rsidR="00DF0349" w:rsidRPr="000508B6">
        <w:rPr>
          <w:rFonts w:ascii="Times New Roman" w:hAnsi="Times New Roman" w:cs="Times New Roman"/>
          <w:i/>
          <w:lang w:val="ro-MD"/>
        </w:rPr>
        <w:t xml:space="preserve"> </w:t>
      </w:r>
      <w:r w:rsidR="00DF0349" w:rsidRPr="000508B6">
        <w:rPr>
          <w:rFonts w:ascii="Times New Roman" w:hAnsi="Times New Roman" w:cs="Times New Roman"/>
          <w:lang w:val="ro-MD"/>
        </w:rPr>
        <w:t xml:space="preserve">- </w:t>
      </w:r>
      <w:r w:rsidR="00EB47E9" w:rsidRPr="000508B6">
        <w:rPr>
          <w:rFonts w:ascii="Times New Roman" w:hAnsi="Times New Roman" w:cs="Times New Roman"/>
          <w:lang w:val="ro-MD"/>
        </w:rPr>
        <w:t>birou național al asigurătorilor</w:t>
      </w:r>
      <w:r w:rsidR="00DF0349" w:rsidRPr="000508B6">
        <w:rPr>
          <w:rFonts w:ascii="Times New Roman" w:hAnsi="Times New Roman" w:cs="Times New Roman"/>
          <w:lang w:val="ro-MD"/>
        </w:rPr>
        <w:t xml:space="preserve"> definit </w:t>
      </w:r>
      <w:r w:rsidR="00CC3291" w:rsidRPr="000508B6">
        <w:rPr>
          <w:rFonts w:ascii="Times New Roman" w:hAnsi="Times New Roman" w:cs="Times New Roman"/>
          <w:lang w:val="ro-MD"/>
        </w:rPr>
        <w:t xml:space="preserve">în sensul </w:t>
      </w:r>
      <w:r w:rsidR="00294EEA" w:rsidRPr="000508B6">
        <w:rPr>
          <w:rFonts w:ascii="Times New Roman" w:hAnsi="Times New Roman" w:cs="Times New Roman"/>
          <w:lang w:val="ro-MD"/>
        </w:rPr>
        <w:t>legislației</w:t>
      </w:r>
      <w:r w:rsidR="00CC3291" w:rsidRPr="000508B6">
        <w:rPr>
          <w:rFonts w:ascii="Times New Roman" w:hAnsi="Times New Roman" w:cs="Times New Roman"/>
          <w:lang w:val="ro-MD"/>
        </w:rPr>
        <w:t xml:space="preserve"> privind </w:t>
      </w:r>
      <w:r w:rsidR="00CA0A11" w:rsidRPr="000508B6">
        <w:rPr>
          <w:rFonts w:ascii="Times New Roman" w:hAnsi="Times New Roman" w:cs="Times New Roman"/>
          <w:lang w:val="ro-MD"/>
        </w:rPr>
        <w:t xml:space="preserve">asigurarea obligatorie de răspundere civilă </w:t>
      </w:r>
      <w:bookmarkStart w:id="28" w:name="_Hlk211949977"/>
      <w:r w:rsidR="00CA0A11" w:rsidRPr="000508B6">
        <w:rPr>
          <w:rFonts w:ascii="Times New Roman" w:hAnsi="Times New Roman" w:cs="Times New Roman"/>
          <w:lang w:val="ro-MD"/>
        </w:rPr>
        <w:t>auto pentru prejudicii produse terților prin accidente de vehicule</w:t>
      </w:r>
      <w:bookmarkEnd w:id="28"/>
      <w:r w:rsidR="00CC3291" w:rsidRPr="000508B6">
        <w:rPr>
          <w:rFonts w:ascii="Times New Roman" w:hAnsi="Times New Roman" w:cs="Times New Roman"/>
          <w:lang w:val="ro-MD"/>
        </w:rPr>
        <w:t>, denumit în Republica Moldova - Biroul Național al Asigurătorilor de Autovehicule (în continuare - BNAA)</w:t>
      </w:r>
      <w:r w:rsidR="00DF0349" w:rsidRPr="000508B6">
        <w:rPr>
          <w:rFonts w:ascii="Times New Roman" w:hAnsi="Times New Roman" w:cs="Times New Roman"/>
          <w:lang w:val="ro-MD"/>
        </w:rPr>
        <w:t>;</w:t>
      </w:r>
    </w:p>
    <w:p w14:paraId="0CD3E9CF" w14:textId="09D0BA68" w:rsidR="00002BDC" w:rsidRPr="000508B6" w:rsidRDefault="00A1417D" w:rsidP="00CB2F63">
      <w:pPr>
        <w:pStyle w:val="Listparagraf"/>
        <w:numPr>
          <w:ilvl w:val="0"/>
          <w:numId w:val="31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002BDC" w:rsidRPr="000508B6">
        <w:rPr>
          <w:rFonts w:ascii="Times New Roman" w:eastAsia="Times New Roman" w:hAnsi="Times New Roman" w:cs="Times New Roman"/>
          <w:i/>
          <w:lang w:val="ro-MD"/>
        </w:rPr>
        <w:t>colegiul supraveghetorilor</w:t>
      </w:r>
      <w:r w:rsidR="00002BDC" w:rsidRPr="000508B6">
        <w:rPr>
          <w:rFonts w:ascii="Times New Roman" w:eastAsia="Times New Roman" w:hAnsi="Times New Roman" w:cs="Times New Roman"/>
          <w:lang w:val="ro-MD"/>
        </w:rPr>
        <w:t xml:space="preserve"> - structură permanentă, dar flexibilă, pentru cooperare, coordonare </w:t>
      </w:r>
      <w:proofErr w:type="spellStart"/>
      <w:r w:rsidR="00002BDC" w:rsidRPr="000508B6">
        <w:rPr>
          <w:rFonts w:ascii="Times New Roman" w:eastAsia="Times New Roman" w:hAnsi="Times New Roman" w:cs="Times New Roman"/>
          <w:lang w:val="ro-MD"/>
        </w:rPr>
        <w:t>şi</w:t>
      </w:r>
      <w:proofErr w:type="spellEnd"/>
      <w:r w:rsidR="00002BDC" w:rsidRPr="000508B6">
        <w:rPr>
          <w:rFonts w:ascii="Times New Roman" w:eastAsia="Times New Roman" w:hAnsi="Times New Roman" w:cs="Times New Roman"/>
          <w:lang w:val="ro-MD"/>
        </w:rPr>
        <w:t xml:space="preserve"> facilitare a procesului decizional legat de supravegherea unui grup, alcătuită din supraveghetorul coordonator, supraveghetorii tuturor filialelor cu sediul central în statele membre, reprezentantul EIOPA </w:t>
      </w:r>
      <w:proofErr w:type="spellStart"/>
      <w:r w:rsidR="00002BDC" w:rsidRPr="000508B6">
        <w:rPr>
          <w:rFonts w:ascii="Times New Roman" w:eastAsia="Times New Roman" w:hAnsi="Times New Roman" w:cs="Times New Roman"/>
          <w:lang w:val="ro-MD"/>
        </w:rPr>
        <w:t>şi</w:t>
      </w:r>
      <w:proofErr w:type="spellEnd"/>
      <w:r w:rsidR="00002BDC" w:rsidRPr="000508B6">
        <w:rPr>
          <w:rFonts w:ascii="Times New Roman" w:eastAsia="Times New Roman" w:hAnsi="Times New Roman" w:cs="Times New Roman"/>
          <w:lang w:val="ro-MD"/>
        </w:rPr>
        <w:t xml:space="preserve">, dacă este cazul, supraveghetorii din statele membre în care activează sucursale </w:t>
      </w:r>
      <w:r w:rsidR="00031CDF" w:rsidRPr="000508B6">
        <w:rPr>
          <w:rFonts w:ascii="Times New Roman" w:eastAsia="Times New Roman" w:hAnsi="Times New Roman" w:cs="Times New Roman"/>
          <w:lang w:val="ro-MD"/>
        </w:rPr>
        <w:t xml:space="preserve">semnificative </w:t>
      </w:r>
      <w:proofErr w:type="spellStart"/>
      <w:r w:rsidR="00002BDC" w:rsidRPr="000508B6">
        <w:rPr>
          <w:rFonts w:ascii="Times New Roman" w:eastAsia="Times New Roman" w:hAnsi="Times New Roman" w:cs="Times New Roman"/>
          <w:lang w:val="ro-MD"/>
        </w:rPr>
        <w:t>şi</w:t>
      </w:r>
      <w:proofErr w:type="spellEnd"/>
      <w:r w:rsidR="00002BDC" w:rsidRPr="000508B6">
        <w:rPr>
          <w:rFonts w:ascii="Times New Roman" w:eastAsia="Times New Roman" w:hAnsi="Times New Roman" w:cs="Times New Roman"/>
          <w:lang w:val="ro-MD"/>
        </w:rPr>
        <w:t xml:space="preserve"> </w:t>
      </w:r>
      <w:proofErr w:type="spellStart"/>
      <w:r w:rsidR="00002BDC" w:rsidRPr="000508B6">
        <w:rPr>
          <w:rFonts w:ascii="Times New Roman" w:eastAsia="Times New Roman" w:hAnsi="Times New Roman" w:cs="Times New Roman"/>
          <w:lang w:val="ro-MD"/>
        </w:rPr>
        <w:t>entităţi</w:t>
      </w:r>
      <w:r w:rsidR="00031CDF" w:rsidRPr="000508B6">
        <w:rPr>
          <w:rFonts w:ascii="Times New Roman" w:eastAsia="Times New Roman" w:hAnsi="Times New Roman" w:cs="Times New Roman"/>
          <w:lang w:val="ro-MD"/>
        </w:rPr>
        <w:t>le</w:t>
      </w:r>
      <w:proofErr w:type="spellEnd"/>
      <w:r w:rsidR="00002BDC" w:rsidRPr="000508B6">
        <w:rPr>
          <w:rFonts w:ascii="Times New Roman" w:eastAsia="Times New Roman" w:hAnsi="Times New Roman" w:cs="Times New Roman"/>
          <w:lang w:val="ro-MD"/>
        </w:rPr>
        <w:t xml:space="preserve"> afiliate;</w:t>
      </w:r>
    </w:p>
    <w:p w14:paraId="7B9C6ADF" w14:textId="7674AF9E" w:rsidR="00F95829" w:rsidRPr="000508B6" w:rsidRDefault="008F514F" w:rsidP="00CF5AFA">
      <w:pPr>
        <w:pStyle w:val="Listparagraf"/>
        <w:numPr>
          <w:ilvl w:val="0"/>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control</w:t>
      </w:r>
      <w:r w:rsidR="00F95829" w:rsidRPr="000508B6">
        <w:rPr>
          <w:rFonts w:ascii="Times New Roman" w:eastAsia="Times New Roman" w:hAnsi="Times New Roman" w:cs="Times New Roman"/>
          <w:lang w:val="ro-MD"/>
        </w:rPr>
        <w:t xml:space="preserve"> –</w:t>
      </w:r>
      <w:r w:rsidR="00BE5475" w:rsidRPr="000508B6">
        <w:rPr>
          <w:rFonts w:ascii="Times New Roman" w:eastAsia="Times New Roman" w:hAnsi="Times New Roman" w:cs="Times New Roman"/>
          <w:lang w:val="ro-MD"/>
        </w:rPr>
        <w:t xml:space="preserve"> </w:t>
      </w:r>
      <w:proofErr w:type="spellStart"/>
      <w:r w:rsidR="006875EF" w:rsidRPr="000508B6">
        <w:rPr>
          <w:rFonts w:ascii="Times New Roman" w:eastAsia="Times New Roman" w:hAnsi="Times New Roman" w:cs="Times New Roman"/>
          <w:lang w:val="ro-MD"/>
        </w:rPr>
        <w:t>relaţie</w:t>
      </w:r>
      <w:proofErr w:type="spellEnd"/>
      <w:r w:rsidR="006875EF" w:rsidRPr="000508B6">
        <w:rPr>
          <w:rFonts w:ascii="Times New Roman" w:eastAsia="Times New Roman" w:hAnsi="Times New Roman" w:cs="Times New Roman"/>
          <w:lang w:val="ro-MD"/>
        </w:rPr>
        <w:t xml:space="preserve"> dintre o societate-mamă </w:t>
      </w:r>
      <w:proofErr w:type="spellStart"/>
      <w:r w:rsidR="006875EF" w:rsidRPr="000508B6">
        <w:rPr>
          <w:rFonts w:ascii="Times New Roman" w:eastAsia="Times New Roman" w:hAnsi="Times New Roman" w:cs="Times New Roman"/>
          <w:lang w:val="ro-MD"/>
        </w:rPr>
        <w:t>şi</w:t>
      </w:r>
      <w:proofErr w:type="spellEnd"/>
      <w:r w:rsidR="006875EF" w:rsidRPr="000508B6">
        <w:rPr>
          <w:rFonts w:ascii="Times New Roman" w:eastAsia="Times New Roman" w:hAnsi="Times New Roman" w:cs="Times New Roman"/>
          <w:lang w:val="ro-MD"/>
        </w:rPr>
        <w:t xml:space="preserve"> o filială</w:t>
      </w:r>
      <w:r w:rsidR="00ED4318" w:rsidRPr="000508B6">
        <w:rPr>
          <w:rFonts w:ascii="Times New Roman" w:eastAsia="Times New Roman" w:hAnsi="Times New Roman" w:cs="Times New Roman"/>
          <w:lang w:val="ro-MD"/>
        </w:rPr>
        <w:t>,</w:t>
      </w:r>
      <w:r w:rsidR="006875EF" w:rsidRPr="000508B6">
        <w:rPr>
          <w:rFonts w:ascii="Times New Roman" w:hAnsi="Times New Roman" w:cs="Times New Roman"/>
          <w:lang w:val="ro-MD"/>
        </w:rPr>
        <w:t xml:space="preserve"> </w:t>
      </w:r>
      <w:r w:rsidR="006875EF" w:rsidRPr="000508B6">
        <w:rPr>
          <w:rFonts w:ascii="Times New Roman" w:eastAsia="Times New Roman" w:hAnsi="Times New Roman" w:cs="Times New Roman"/>
          <w:lang w:val="ro-MD"/>
        </w:rPr>
        <w:t xml:space="preserve">conform noțiunilor din prezentul articol sau o </w:t>
      </w:r>
      <w:proofErr w:type="spellStart"/>
      <w:r w:rsidR="006875EF" w:rsidRPr="000508B6">
        <w:rPr>
          <w:rFonts w:ascii="Times New Roman" w:eastAsia="Times New Roman" w:hAnsi="Times New Roman" w:cs="Times New Roman"/>
          <w:lang w:val="ro-MD"/>
        </w:rPr>
        <w:t>relaţie</w:t>
      </w:r>
      <w:proofErr w:type="spellEnd"/>
      <w:r w:rsidR="006875EF" w:rsidRPr="000508B6">
        <w:rPr>
          <w:rFonts w:ascii="Times New Roman" w:eastAsia="Times New Roman" w:hAnsi="Times New Roman" w:cs="Times New Roman"/>
          <w:lang w:val="ro-MD"/>
        </w:rPr>
        <w:t xml:space="preserve"> de </w:t>
      </w:r>
      <w:proofErr w:type="spellStart"/>
      <w:r w:rsidR="006875EF" w:rsidRPr="000508B6">
        <w:rPr>
          <w:rFonts w:ascii="Times New Roman" w:eastAsia="Times New Roman" w:hAnsi="Times New Roman" w:cs="Times New Roman"/>
          <w:lang w:val="ro-MD"/>
        </w:rPr>
        <w:t>aceeaşi</w:t>
      </w:r>
      <w:proofErr w:type="spellEnd"/>
      <w:r w:rsidR="006875EF" w:rsidRPr="000508B6">
        <w:rPr>
          <w:rFonts w:ascii="Times New Roman" w:eastAsia="Times New Roman" w:hAnsi="Times New Roman" w:cs="Times New Roman"/>
          <w:lang w:val="ro-MD"/>
        </w:rPr>
        <w:t xml:space="preserve"> natură dintre orice persoană </w:t>
      </w:r>
      <w:proofErr w:type="spellStart"/>
      <w:r w:rsidR="006875EF" w:rsidRPr="000508B6">
        <w:rPr>
          <w:rFonts w:ascii="Times New Roman" w:eastAsia="Times New Roman" w:hAnsi="Times New Roman" w:cs="Times New Roman"/>
          <w:lang w:val="ro-MD"/>
        </w:rPr>
        <w:t>şi</w:t>
      </w:r>
      <w:proofErr w:type="spellEnd"/>
      <w:r w:rsidR="006875EF" w:rsidRPr="000508B6">
        <w:rPr>
          <w:rFonts w:ascii="Times New Roman" w:eastAsia="Times New Roman" w:hAnsi="Times New Roman" w:cs="Times New Roman"/>
          <w:lang w:val="ro-MD"/>
        </w:rPr>
        <w:t xml:space="preserve"> un asigurător sau </w:t>
      </w:r>
      <w:proofErr w:type="spellStart"/>
      <w:r w:rsidR="006875EF" w:rsidRPr="000508B6">
        <w:rPr>
          <w:rFonts w:ascii="Times New Roman" w:eastAsia="Times New Roman" w:hAnsi="Times New Roman" w:cs="Times New Roman"/>
          <w:lang w:val="ro-MD"/>
        </w:rPr>
        <w:t>reasigurător</w:t>
      </w:r>
      <w:proofErr w:type="spellEnd"/>
      <w:r w:rsidR="006875EF" w:rsidRPr="000508B6">
        <w:rPr>
          <w:rFonts w:ascii="Times New Roman" w:eastAsia="Times New Roman" w:hAnsi="Times New Roman" w:cs="Times New Roman"/>
          <w:lang w:val="ro-MD"/>
        </w:rPr>
        <w:t xml:space="preserve"> de jure sau de facto;</w:t>
      </w:r>
    </w:p>
    <w:p w14:paraId="3ABCEC9E" w14:textId="2540F67D" w:rsidR="00F95829" w:rsidRPr="000508B6" w:rsidDel="00730F2A" w:rsidRDefault="00A1417D" w:rsidP="00CF5AFA">
      <w:pPr>
        <w:pStyle w:val="Listparagraf"/>
        <w:numPr>
          <w:ilvl w:val="0"/>
          <w:numId w:val="313"/>
        </w:numPr>
        <w:spacing w:after="0" w:line="240" w:lineRule="auto"/>
        <w:ind w:left="0" w:firstLine="426"/>
        <w:jc w:val="both"/>
        <w:rPr>
          <w:rFonts w:ascii="Times New Roman" w:eastAsia="Times New Roman" w:hAnsi="Times New Roman" w:cs="Times New Roman"/>
          <w:lang w:val="ro-MD"/>
        </w:rPr>
      </w:pPr>
      <w:r w:rsidRPr="000508B6" w:rsidDel="00730F2A">
        <w:rPr>
          <w:rFonts w:ascii="Times New Roman" w:eastAsia="Times New Roman" w:hAnsi="Times New Roman" w:cs="Times New Roman"/>
          <w:i/>
          <w:lang w:val="ro-MD"/>
        </w:rPr>
        <w:t xml:space="preserve"> </w:t>
      </w:r>
      <w:proofErr w:type="spellStart"/>
      <w:r w:rsidR="00F95829" w:rsidRPr="000508B6" w:rsidDel="00730F2A">
        <w:rPr>
          <w:rFonts w:ascii="Times New Roman" w:eastAsia="Times New Roman" w:hAnsi="Times New Roman" w:cs="Times New Roman"/>
          <w:i/>
          <w:lang w:val="ro-MD"/>
        </w:rPr>
        <w:t>contraparte</w:t>
      </w:r>
      <w:proofErr w:type="spellEnd"/>
      <w:r w:rsidR="00F95829" w:rsidRPr="000508B6" w:rsidDel="00730F2A">
        <w:rPr>
          <w:rFonts w:ascii="Times New Roman" w:eastAsia="Times New Roman" w:hAnsi="Times New Roman" w:cs="Times New Roman"/>
          <w:i/>
          <w:lang w:val="ro-MD"/>
        </w:rPr>
        <w:t xml:space="preserve"> centrală calificată</w:t>
      </w:r>
      <w:r w:rsidR="00F95829" w:rsidRPr="000508B6" w:rsidDel="00730F2A">
        <w:rPr>
          <w:rFonts w:ascii="Times New Roman" w:eastAsia="Times New Roman" w:hAnsi="Times New Roman" w:cs="Times New Roman"/>
          <w:lang w:val="ro-MD"/>
        </w:rPr>
        <w:t xml:space="preserve"> -</w:t>
      </w:r>
      <w:r w:rsidR="00C13B8F" w:rsidRPr="000508B6" w:rsidDel="00730F2A">
        <w:rPr>
          <w:rFonts w:ascii="Times New Roman" w:eastAsia="Times New Roman" w:hAnsi="Times New Roman" w:cs="Times New Roman"/>
          <w:lang w:val="ro-MD"/>
        </w:rPr>
        <w:t xml:space="preserve"> persoană juridică care se interpune între </w:t>
      </w:r>
      <w:proofErr w:type="spellStart"/>
      <w:r w:rsidR="00C13B8F" w:rsidRPr="000508B6" w:rsidDel="00730F2A">
        <w:rPr>
          <w:rFonts w:ascii="Times New Roman" w:eastAsia="Times New Roman" w:hAnsi="Times New Roman" w:cs="Times New Roman"/>
          <w:lang w:val="ro-MD"/>
        </w:rPr>
        <w:t>contrapărțile</w:t>
      </w:r>
      <w:proofErr w:type="spellEnd"/>
      <w:r w:rsidR="00C13B8F" w:rsidRPr="000508B6" w:rsidDel="00730F2A">
        <w:rPr>
          <w:rFonts w:ascii="Times New Roman" w:eastAsia="Times New Roman" w:hAnsi="Times New Roman" w:cs="Times New Roman"/>
          <w:lang w:val="ro-MD"/>
        </w:rPr>
        <w:t xml:space="preserve"> la contractele tranzacționate pe una sau mai multe piețe financiare, devenind astfel cumpărător pentru fiecare vânzător și vânzător pentru fiecare cumpărător</w:t>
      </w:r>
      <w:r w:rsidR="00F95829" w:rsidRPr="000508B6" w:rsidDel="00730F2A">
        <w:rPr>
          <w:rFonts w:ascii="Times New Roman" w:eastAsia="Times New Roman" w:hAnsi="Times New Roman" w:cs="Times New Roman"/>
          <w:lang w:val="ro-MD"/>
        </w:rPr>
        <w:t>;</w:t>
      </w:r>
    </w:p>
    <w:p w14:paraId="5CE7B77A" w14:textId="33E386BD" w:rsidR="00CF4D6A" w:rsidRPr="00EB4844" w:rsidDel="00730F2A" w:rsidRDefault="009C5CCF" w:rsidP="00776975">
      <w:pPr>
        <w:pStyle w:val="Listparagraf"/>
        <w:numPr>
          <w:ilvl w:val="0"/>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 xml:space="preserve"> </w:t>
      </w:r>
      <w:proofErr w:type="spellStart"/>
      <w:r w:rsidR="003B5AA0" w:rsidRPr="000508B6">
        <w:rPr>
          <w:rFonts w:ascii="Times New Roman" w:eastAsia="Times New Roman" w:hAnsi="Times New Roman" w:cs="Times New Roman"/>
          <w:i/>
          <w:iCs/>
          <w:lang w:val="ro-MD"/>
        </w:rPr>
        <w:t>c</w:t>
      </w:r>
      <w:r w:rsidR="00CF4D6A" w:rsidRPr="000508B6">
        <w:rPr>
          <w:rFonts w:ascii="Times New Roman" w:eastAsia="Times New Roman" w:hAnsi="Times New Roman" w:cs="Times New Roman"/>
          <w:i/>
          <w:iCs/>
          <w:lang w:val="ro-MD"/>
        </w:rPr>
        <w:t>riptoactiv</w:t>
      </w:r>
      <w:proofErr w:type="spellEnd"/>
      <w:r w:rsidRPr="000508B6">
        <w:rPr>
          <w:rFonts w:ascii="Times New Roman" w:eastAsia="Times New Roman" w:hAnsi="Times New Roman" w:cs="Times New Roman"/>
          <w:i/>
          <w:iCs/>
          <w:lang w:val="ro-MD"/>
        </w:rPr>
        <w:t xml:space="preserve"> </w:t>
      </w:r>
      <w:r w:rsidR="00CF4D6A" w:rsidRPr="000508B6">
        <w:rPr>
          <w:rFonts w:ascii="Times New Roman" w:eastAsia="Times New Roman" w:hAnsi="Times New Roman" w:cs="Times New Roman"/>
          <w:lang w:val="ro-MD"/>
        </w:rPr>
        <w:t xml:space="preserve">-  un </w:t>
      </w:r>
      <w:proofErr w:type="spellStart"/>
      <w:r w:rsidR="00CF4D6A" w:rsidRPr="000508B6">
        <w:rPr>
          <w:rFonts w:ascii="Times New Roman" w:eastAsia="Times New Roman" w:hAnsi="Times New Roman" w:cs="Times New Roman"/>
          <w:lang w:val="ro-MD"/>
        </w:rPr>
        <w:t>criptoactiv</w:t>
      </w:r>
      <w:proofErr w:type="spellEnd"/>
      <w:r w:rsidR="00CF4D6A" w:rsidRPr="000508B6">
        <w:rPr>
          <w:rFonts w:ascii="Times New Roman" w:eastAsia="Times New Roman" w:hAnsi="Times New Roman" w:cs="Times New Roman"/>
          <w:lang w:val="ro-MD"/>
        </w:rPr>
        <w:t xml:space="preserve"> în sensul definiției </w:t>
      </w:r>
      <w:r w:rsidRPr="000508B6">
        <w:rPr>
          <w:rFonts w:ascii="Times New Roman" w:eastAsia="Times New Roman" w:hAnsi="Times New Roman" w:cs="Times New Roman"/>
          <w:lang w:val="ro-MD"/>
        </w:rPr>
        <w:t>prevăzute de</w:t>
      </w:r>
      <w:r w:rsidR="00776975" w:rsidRPr="000508B6">
        <w:rPr>
          <w:rFonts w:ascii="Times New Roman" w:eastAsia="Times New Roman" w:hAnsi="Times New Roman" w:cs="Times New Roman"/>
          <w:lang w:val="ro-MD"/>
        </w:rPr>
        <w:t xml:space="preserve"> legislația</w:t>
      </w:r>
      <w:r w:rsidR="00CF4D6A" w:rsidRPr="00EB4844">
        <w:rPr>
          <w:rFonts w:ascii="Times New Roman" w:eastAsia="Times New Roman" w:hAnsi="Times New Roman" w:cs="Times New Roman"/>
          <w:lang w:val="ro-MD"/>
        </w:rPr>
        <w:t xml:space="preserve"> cu privire la piețele </w:t>
      </w:r>
      <w:proofErr w:type="spellStart"/>
      <w:r w:rsidR="00CF4D6A" w:rsidRPr="00EB4844">
        <w:rPr>
          <w:rFonts w:ascii="Times New Roman" w:eastAsia="Times New Roman" w:hAnsi="Times New Roman" w:cs="Times New Roman"/>
          <w:lang w:val="ro-MD"/>
        </w:rPr>
        <w:t>criptoactivelor</w:t>
      </w:r>
      <w:proofErr w:type="spellEnd"/>
      <w:r w:rsidR="00D03A0D" w:rsidRPr="00EB4844">
        <w:rPr>
          <w:rFonts w:ascii="Times New Roman" w:eastAsia="Times New Roman" w:hAnsi="Times New Roman" w:cs="Times New Roman"/>
          <w:lang w:val="ro-MD"/>
        </w:rPr>
        <w:t>;</w:t>
      </w:r>
    </w:p>
    <w:p w14:paraId="7CCE29C2" w14:textId="59CAC8AF" w:rsidR="00F95829" w:rsidRPr="000508B6" w:rsidRDefault="00A1417D" w:rsidP="00CF5AFA">
      <w:pPr>
        <w:pStyle w:val="Listparagraf"/>
        <w:numPr>
          <w:ilvl w:val="0"/>
          <w:numId w:val="313"/>
        </w:numPr>
        <w:spacing w:after="0" w:line="240" w:lineRule="auto"/>
        <w:ind w:left="0" w:firstLine="426"/>
        <w:jc w:val="both"/>
        <w:rPr>
          <w:rFonts w:ascii="Times New Roman" w:eastAsia="Times New Roman" w:hAnsi="Times New Roman" w:cs="Times New Roman"/>
          <w:lang w:val="ro-MD"/>
        </w:rPr>
      </w:pPr>
      <w:r w:rsidRPr="000508B6" w:rsidDel="00730F2A">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 xml:space="preserve">despăgubire </w:t>
      </w:r>
      <w:proofErr w:type="spellStart"/>
      <w:r w:rsidR="00B51D11" w:rsidRPr="000508B6">
        <w:rPr>
          <w:rFonts w:ascii="Times New Roman" w:eastAsia="Times New Roman" w:hAnsi="Times New Roman" w:cs="Times New Roman"/>
          <w:i/>
          <w:lang w:val="ro-MD"/>
        </w:rPr>
        <w:t>şi</w:t>
      </w:r>
      <w:proofErr w:type="spellEnd"/>
      <w:r w:rsidR="00B51D11" w:rsidRPr="000508B6">
        <w:rPr>
          <w:rFonts w:ascii="Times New Roman" w:eastAsia="Times New Roman" w:hAnsi="Times New Roman" w:cs="Times New Roman"/>
          <w:i/>
          <w:lang w:val="ro-MD"/>
        </w:rPr>
        <w:t xml:space="preserve">/sau </w:t>
      </w:r>
      <w:proofErr w:type="spellStart"/>
      <w:r w:rsidR="00667A94" w:rsidRPr="000508B6">
        <w:rPr>
          <w:rFonts w:ascii="Times New Roman" w:eastAsia="Times New Roman" w:hAnsi="Times New Roman" w:cs="Times New Roman"/>
          <w:i/>
          <w:lang w:val="ro-MD"/>
        </w:rPr>
        <w:t>indemnizaţie</w:t>
      </w:r>
      <w:proofErr w:type="spellEnd"/>
      <w:r w:rsidR="00667A94"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de asigurare</w:t>
      </w:r>
      <w:r w:rsidR="00F95829" w:rsidRPr="000508B6">
        <w:rPr>
          <w:rFonts w:ascii="Times New Roman" w:eastAsia="Times New Roman" w:hAnsi="Times New Roman" w:cs="Times New Roman"/>
          <w:lang w:val="ro-MD"/>
        </w:rPr>
        <w:t xml:space="preserve"> – sumă datorată sau plătită de către </w:t>
      </w:r>
      <w:r w:rsidR="00E94EC1" w:rsidRPr="000508B6">
        <w:rPr>
          <w:rFonts w:ascii="Times New Roman" w:eastAsia="Times New Roman" w:hAnsi="Times New Roman" w:cs="Times New Roman"/>
          <w:lang w:val="ro-MD"/>
        </w:rPr>
        <w:t>asigurător</w:t>
      </w:r>
      <w:r w:rsidR="00F95829" w:rsidRPr="000508B6">
        <w:rPr>
          <w:rFonts w:ascii="Times New Roman" w:eastAsia="Times New Roman" w:hAnsi="Times New Roman" w:cs="Times New Roman"/>
          <w:lang w:val="ro-MD"/>
        </w:rPr>
        <w:t xml:space="preserve"> asiguratului</w:t>
      </w:r>
      <w:r w:rsidR="00B52FF1" w:rsidRPr="000508B6">
        <w:rPr>
          <w:rFonts w:ascii="Times New Roman" w:eastAsia="Times New Roman" w:hAnsi="Times New Roman" w:cs="Times New Roman"/>
          <w:lang w:val="ro-MD"/>
        </w:rPr>
        <w:t>,</w:t>
      </w:r>
      <w:r w:rsidR="000854AB"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beneficiarului asigurării </w:t>
      </w:r>
      <w:r w:rsidR="00B52FF1" w:rsidRPr="000508B6">
        <w:rPr>
          <w:rFonts w:ascii="Times New Roman" w:eastAsia="Times New Roman" w:hAnsi="Times New Roman" w:cs="Times New Roman"/>
          <w:lang w:val="ro-MD"/>
        </w:rPr>
        <w:t>sau unui terț păgubit</w:t>
      </w:r>
      <w:r w:rsidR="00F95829" w:rsidRPr="000508B6">
        <w:rPr>
          <w:rFonts w:ascii="Times New Roman" w:eastAsia="Times New Roman" w:hAnsi="Times New Roman" w:cs="Times New Roman"/>
          <w:lang w:val="ro-MD"/>
        </w:rPr>
        <w:t xml:space="preserve"> în vederea compensării </w:t>
      </w:r>
      <w:r w:rsidR="00576926" w:rsidRPr="000508B6">
        <w:rPr>
          <w:rFonts w:ascii="Times New Roman" w:eastAsia="Times New Roman" w:hAnsi="Times New Roman" w:cs="Times New Roman"/>
          <w:lang w:val="ro-MD"/>
        </w:rPr>
        <w:t>daunei</w:t>
      </w:r>
      <w:r w:rsidR="00B51D11" w:rsidRPr="000508B6">
        <w:rPr>
          <w:rFonts w:ascii="Times New Roman" w:eastAsia="Times New Roman" w:hAnsi="Times New Roman" w:cs="Times New Roman"/>
          <w:lang w:val="ro-MD"/>
        </w:rPr>
        <w:t xml:space="preserve">/prejudiciului </w:t>
      </w:r>
      <w:r w:rsidR="00F95829" w:rsidRPr="000508B6">
        <w:rPr>
          <w:rFonts w:ascii="Times New Roman" w:eastAsia="Times New Roman" w:hAnsi="Times New Roman" w:cs="Times New Roman"/>
          <w:lang w:val="ro-MD"/>
        </w:rPr>
        <w:t>produse de cazul asigurat, în limitele prevăzute de contractul de asigurare;</w:t>
      </w:r>
    </w:p>
    <w:p w14:paraId="6CAF144E" w14:textId="5AF54E6C" w:rsidR="00D64347" w:rsidRPr="000508B6" w:rsidRDefault="00D64347" w:rsidP="00CB2F63">
      <w:pPr>
        <w:pStyle w:val="Listparagraf"/>
        <w:numPr>
          <w:ilvl w:val="0"/>
          <w:numId w:val="313"/>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deținător/dobânditor indirect</w:t>
      </w:r>
      <w:r w:rsidRPr="000508B6">
        <w:rPr>
          <w:rFonts w:ascii="Times New Roman" w:eastAsia="Times New Roman" w:hAnsi="Times New Roman" w:cs="Times New Roman"/>
          <w:lang w:val="ro-MD"/>
        </w:rPr>
        <w:t xml:space="preserve"> – persoana, inclusiv beneficiarul efectiv, care deține/dobândește o </w:t>
      </w:r>
      <w:r w:rsidR="00564885" w:rsidRPr="000508B6">
        <w:rPr>
          <w:rFonts w:ascii="Times New Roman" w:eastAsia="Times New Roman" w:hAnsi="Times New Roman" w:cs="Times New Roman"/>
          <w:lang w:val="ro-MD"/>
        </w:rPr>
        <w:t xml:space="preserve">deținere </w:t>
      </w:r>
      <w:r w:rsidRPr="000508B6">
        <w:rPr>
          <w:rFonts w:ascii="Times New Roman" w:eastAsia="Times New Roman" w:hAnsi="Times New Roman" w:cs="Times New Roman"/>
          <w:lang w:val="ro-MD"/>
        </w:rPr>
        <w:t xml:space="preserve">în capitalul social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prin intermediul unei alte persoane asupra căreia aceasta exercită controlul;</w:t>
      </w:r>
    </w:p>
    <w:p w14:paraId="4BE74725" w14:textId="52CFE769" w:rsidR="00D64347" w:rsidRPr="000508B6" w:rsidRDefault="00D64347" w:rsidP="00CF5AFA">
      <w:pPr>
        <w:pStyle w:val="Listparagraf"/>
        <w:numPr>
          <w:ilvl w:val="0"/>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dobânditor</w:t>
      </w:r>
      <w:r w:rsidRPr="000508B6">
        <w:rPr>
          <w:rFonts w:ascii="Times New Roman" w:eastAsia="Times New Roman" w:hAnsi="Times New Roman" w:cs="Times New Roman"/>
          <w:lang w:val="ro-MD"/>
        </w:rPr>
        <w:t xml:space="preserve"> – orice persoană fizică sau juridică</w:t>
      </w:r>
      <w:r w:rsidR="009C5CCF"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ori grup de astfel de persoane care acționează concertat, care intenționează:</w:t>
      </w:r>
    </w:p>
    <w:p w14:paraId="7F8EEBC0" w14:textId="6D133620" w:rsidR="00D64347" w:rsidRPr="000508B6" w:rsidRDefault="00D64347" w:rsidP="00CF5AFA">
      <w:pPr>
        <w:pStyle w:val="Listparagraf"/>
        <w:numPr>
          <w:ilvl w:val="1"/>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să dobândească, individual sau concertat, prin orice modalitate, o participație inferioară celei calificate într-</w:t>
      </w:r>
      <w:r w:rsidR="007D6232" w:rsidRPr="000508B6">
        <w:rPr>
          <w:rFonts w:ascii="Times New Roman" w:eastAsia="Times New Roman" w:hAnsi="Times New Roman" w:cs="Times New Roman"/>
          <w:lang w:val="ro-MD"/>
        </w:rPr>
        <w:t>un</w:t>
      </w:r>
      <w:r w:rsidRPr="000508B6" w:rsidDel="007D6232">
        <w:rPr>
          <w:rFonts w:ascii="Times New Roman" w:eastAsia="Times New Roman" w:hAnsi="Times New Roman" w:cs="Times New Roman"/>
          <w:lang w:val="ro-MD"/>
        </w:rPr>
        <w:t xml:space="preserve"> </w:t>
      </w:r>
      <w:r w:rsidR="007D6232" w:rsidRPr="000508B6">
        <w:rPr>
          <w:rFonts w:ascii="Times New Roman" w:eastAsia="Times New Roman" w:hAnsi="Times New Roman" w:cs="Times New Roman"/>
          <w:lang w:val="ro-MD"/>
        </w:rPr>
        <w:t xml:space="preserve">asigurător sau </w:t>
      </w:r>
      <w:proofErr w:type="spellStart"/>
      <w:r w:rsidR="007D6232"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asupra căreia au devenit incidente prevederile art. </w:t>
      </w:r>
      <w:r w:rsidR="00907C75" w:rsidRPr="000508B6">
        <w:rPr>
          <w:rFonts w:ascii="Times New Roman" w:eastAsia="Times New Roman" w:hAnsi="Times New Roman" w:cs="Times New Roman"/>
          <w:lang w:val="ro-MD"/>
        </w:rPr>
        <w:t xml:space="preserve">12 </w:t>
      </w:r>
      <w:r w:rsidRPr="000508B6">
        <w:rPr>
          <w:rFonts w:ascii="Times New Roman" w:eastAsia="Times New Roman" w:hAnsi="Times New Roman" w:cs="Times New Roman"/>
          <w:lang w:val="ro-MD"/>
        </w:rPr>
        <w:t>alin. (</w:t>
      </w:r>
      <w:r w:rsidR="008F514F" w:rsidRPr="000508B6">
        <w:rPr>
          <w:rFonts w:ascii="Times New Roman" w:eastAsia="Times New Roman" w:hAnsi="Times New Roman" w:cs="Times New Roman"/>
          <w:lang w:val="ro-MD"/>
        </w:rPr>
        <w:t>1</w:t>
      </w:r>
      <w:r w:rsidR="00BF669F"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sau art. </w:t>
      </w:r>
      <w:r w:rsidR="000F464D" w:rsidRPr="000508B6">
        <w:rPr>
          <w:rFonts w:ascii="Times New Roman" w:eastAsia="Times New Roman" w:hAnsi="Times New Roman" w:cs="Times New Roman"/>
          <w:lang w:val="ro-MD"/>
        </w:rPr>
        <w:t>16</w:t>
      </w:r>
      <w:r w:rsidRPr="000508B6">
        <w:rPr>
          <w:rFonts w:ascii="Times New Roman" w:eastAsia="Times New Roman" w:hAnsi="Times New Roman" w:cs="Times New Roman"/>
          <w:lang w:val="ro-MD"/>
        </w:rPr>
        <w:t xml:space="preserve"> alin. (</w:t>
      </w:r>
      <w:r w:rsidR="00907C75"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w:t>
      </w:r>
    </w:p>
    <w:p w14:paraId="0F62E6A6" w14:textId="085DDE57" w:rsidR="00D64347" w:rsidRPr="000508B6" w:rsidRDefault="00D64347" w:rsidP="009E195A">
      <w:pPr>
        <w:pStyle w:val="Listparagraf"/>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009C5CC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să primească ca aport la capitalul social al unei societăți comerciale acțiuni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care reprezintă o participație inferioară celei calificate</w:t>
      </w:r>
      <w:r w:rsidR="004B5F6E" w:rsidRPr="000508B6">
        <w:rPr>
          <w:rFonts w:ascii="Times New Roman" w:eastAsia="Times New Roman" w:hAnsi="Times New Roman" w:cs="Times New Roman"/>
          <w:lang w:val="ro-MD"/>
        </w:rPr>
        <w:t>;</w:t>
      </w:r>
    </w:p>
    <w:p w14:paraId="5567C363" w14:textId="633068B9" w:rsidR="00213079" w:rsidRPr="000508B6" w:rsidRDefault="00213079" w:rsidP="00635F9B">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efecte ale diversificării</w:t>
      </w:r>
      <w:r w:rsidRPr="000508B6">
        <w:rPr>
          <w:rFonts w:ascii="Times New Roman" w:eastAsia="Times New Roman" w:hAnsi="Times New Roman" w:cs="Times New Roman"/>
          <w:lang w:val="ro-MD"/>
        </w:rPr>
        <w:t xml:space="preserve"> - diminuare a expunerii la risc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sau a grupului, în cazul unei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diversificate, prin compensarea unui efect nefavorabil al unui risc de către efectul mai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nefavorabil al altui risc,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în care riscurile nu sunt integral corelate;</w:t>
      </w:r>
    </w:p>
    <w:p w14:paraId="37269397" w14:textId="14766058" w:rsidR="00136A35" w:rsidRPr="000508B6" w:rsidRDefault="00136A35" w:rsidP="00635F9B">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entitate afiliată</w:t>
      </w:r>
      <w:r w:rsidR="006E3BFA" w:rsidRPr="000508B6">
        <w:rPr>
          <w:rFonts w:ascii="Times New Roman" w:eastAsia="Times New Roman" w:hAnsi="Times New Roman" w:cs="Times New Roman"/>
          <w:i/>
          <w:lang w:val="ro-MD"/>
        </w:rPr>
        <w:t>-</w:t>
      </w:r>
      <w:r w:rsidR="006E3BFA" w:rsidRPr="000508B6">
        <w:rPr>
          <w:rFonts w:ascii="Times New Roman" w:hAnsi="Times New Roman" w:cs="Times New Roman"/>
          <w:lang w:val="ro-MD"/>
        </w:rPr>
        <w:t xml:space="preserve"> </w:t>
      </w:r>
      <w:r w:rsidR="00E70C04" w:rsidRPr="000508B6">
        <w:rPr>
          <w:rFonts w:ascii="Times New Roman" w:eastAsia="Times New Roman" w:hAnsi="Times New Roman" w:cs="Times New Roman"/>
          <w:iCs/>
          <w:lang w:val="ro-MD"/>
        </w:rPr>
        <w:t xml:space="preserve">filială sau  altă entitate legată de o altă entitate printr-o relație </w:t>
      </w:r>
      <w:r w:rsidR="008E594F" w:rsidRPr="000508B6">
        <w:rPr>
          <w:rFonts w:ascii="Times New Roman" w:eastAsia="Times New Roman" w:hAnsi="Times New Roman" w:cs="Times New Roman"/>
          <w:iCs/>
          <w:lang w:val="ro-MD"/>
        </w:rPr>
        <w:t xml:space="preserve">în sensul art. 3 din </w:t>
      </w:r>
      <w:r w:rsidR="00E70C04" w:rsidRPr="000508B6">
        <w:rPr>
          <w:rFonts w:ascii="Times New Roman" w:eastAsia="Times New Roman" w:hAnsi="Times New Roman" w:cs="Times New Roman"/>
          <w:iCs/>
          <w:lang w:val="ro-MD"/>
        </w:rPr>
        <w:t xml:space="preserve">Legea </w:t>
      </w:r>
      <w:r w:rsidR="00736611" w:rsidRPr="000508B6">
        <w:rPr>
          <w:rFonts w:ascii="Times New Roman" w:eastAsia="Times New Roman" w:hAnsi="Times New Roman" w:cs="Times New Roman"/>
          <w:iCs/>
          <w:lang w:val="ro-MD"/>
        </w:rPr>
        <w:t xml:space="preserve">contabilității și raportării financiare </w:t>
      </w:r>
      <w:r w:rsidR="00E70C04" w:rsidRPr="000508B6">
        <w:rPr>
          <w:rFonts w:ascii="Times New Roman" w:eastAsia="Times New Roman" w:hAnsi="Times New Roman" w:cs="Times New Roman"/>
          <w:iCs/>
          <w:lang w:val="ro-MD"/>
        </w:rPr>
        <w:t>nr.</w:t>
      </w:r>
      <w:r w:rsidR="003A2F09" w:rsidRPr="000508B6">
        <w:rPr>
          <w:rFonts w:ascii="Times New Roman" w:eastAsia="Times New Roman" w:hAnsi="Times New Roman" w:cs="Times New Roman"/>
          <w:iCs/>
          <w:lang w:val="ro-MD"/>
        </w:rPr>
        <w:t xml:space="preserve"> </w:t>
      </w:r>
      <w:r w:rsidR="00E70C04" w:rsidRPr="000508B6">
        <w:rPr>
          <w:rFonts w:ascii="Times New Roman" w:eastAsia="Times New Roman" w:hAnsi="Times New Roman" w:cs="Times New Roman"/>
          <w:iCs/>
          <w:lang w:val="ro-MD"/>
        </w:rPr>
        <w:t>287/2017</w:t>
      </w:r>
      <w:r w:rsidR="00736611" w:rsidRPr="000508B6">
        <w:rPr>
          <w:rFonts w:ascii="Times New Roman" w:eastAsia="Times New Roman" w:hAnsi="Times New Roman" w:cs="Times New Roman"/>
          <w:iCs/>
          <w:lang w:val="ro-MD"/>
        </w:rPr>
        <w:t xml:space="preserve"> (în continuare – Legea nr. 287/2017)</w:t>
      </w:r>
      <w:r w:rsidR="00E70C04" w:rsidRPr="000508B6">
        <w:rPr>
          <w:rFonts w:ascii="Times New Roman" w:eastAsia="Times New Roman" w:hAnsi="Times New Roman" w:cs="Times New Roman"/>
          <w:iCs/>
          <w:lang w:val="ro-MD"/>
        </w:rPr>
        <w:t>;</w:t>
      </w:r>
    </w:p>
    <w:p w14:paraId="0C24F8CE" w14:textId="60AFA218" w:rsidR="00F95829" w:rsidRPr="000508B6" w:rsidRDefault="00F95829" w:rsidP="006214A6">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entitate reglementată</w:t>
      </w:r>
      <w:r w:rsidRPr="000508B6">
        <w:rPr>
          <w:rFonts w:ascii="Times New Roman" w:eastAsia="Times New Roman" w:hAnsi="Times New Roman" w:cs="Times New Roman"/>
          <w:lang w:val="ro-MD"/>
        </w:rPr>
        <w:t xml:space="preserve"> </w:t>
      </w:r>
      <w:r w:rsidR="00DC6F3E"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entitate reglementată în sensul Legii nr.</w:t>
      </w:r>
      <w:r w:rsidR="00DC6F3E"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250/2017 cu privire la supravegherea suplimentară a băncilor, asigurătorilor/</w:t>
      </w:r>
      <w:proofErr w:type="spellStart"/>
      <w:r w:rsidRPr="000508B6">
        <w:rPr>
          <w:rFonts w:ascii="Times New Roman" w:eastAsia="Times New Roman" w:hAnsi="Times New Roman" w:cs="Times New Roman"/>
          <w:lang w:val="ro-MD"/>
        </w:rPr>
        <w:t>reasigurătorilor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societăţilor</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investiţii</w:t>
      </w:r>
      <w:proofErr w:type="spellEnd"/>
      <w:r w:rsidRPr="000508B6">
        <w:rPr>
          <w:rFonts w:ascii="Times New Roman" w:eastAsia="Times New Roman" w:hAnsi="Times New Roman" w:cs="Times New Roman"/>
          <w:lang w:val="ro-MD"/>
        </w:rPr>
        <w:t xml:space="preserve"> care </w:t>
      </w:r>
      <w:proofErr w:type="spellStart"/>
      <w:r w:rsidRPr="000508B6">
        <w:rPr>
          <w:rFonts w:ascii="Times New Roman" w:eastAsia="Times New Roman" w:hAnsi="Times New Roman" w:cs="Times New Roman"/>
          <w:lang w:val="ro-MD"/>
        </w:rPr>
        <w:lastRenderedPageBreak/>
        <w:t>aparţin</w:t>
      </w:r>
      <w:proofErr w:type="spellEnd"/>
      <w:r w:rsidRPr="000508B6">
        <w:rPr>
          <w:rFonts w:ascii="Times New Roman" w:eastAsia="Times New Roman" w:hAnsi="Times New Roman" w:cs="Times New Roman"/>
          <w:lang w:val="ro-MD"/>
        </w:rPr>
        <w:t xml:space="preserve"> unui conglomerat financiar</w:t>
      </w:r>
      <w:r w:rsidR="00DC6F3E" w:rsidRPr="000508B6">
        <w:rPr>
          <w:rFonts w:ascii="Times New Roman" w:eastAsia="Times New Roman" w:hAnsi="Times New Roman" w:cs="Times New Roman"/>
          <w:lang w:val="ro-MD"/>
        </w:rPr>
        <w:t xml:space="preserve"> </w:t>
      </w:r>
      <w:r w:rsidR="00427294" w:rsidRPr="000508B6">
        <w:rPr>
          <w:rFonts w:ascii="Times New Roman" w:eastAsia="Times New Roman" w:hAnsi="Times New Roman" w:cs="Times New Roman"/>
          <w:lang w:val="ro-MD"/>
        </w:rPr>
        <w:t xml:space="preserve">(în continuare </w:t>
      </w:r>
      <w:r w:rsidR="004302EF" w:rsidRPr="000508B6">
        <w:rPr>
          <w:rFonts w:ascii="Times New Roman" w:eastAsia="Times New Roman" w:hAnsi="Times New Roman" w:cs="Times New Roman"/>
          <w:lang w:val="ro-MD"/>
        </w:rPr>
        <w:t xml:space="preserve">– </w:t>
      </w:r>
      <w:r w:rsidR="00427294" w:rsidRPr="000508B6">
        <w:rPr>
          <w:rFonts w:ascii="Times New Roman" w:eastAsia="Times New Roman" w:hAnsi="Times New Roman" w:cs="Times New Roman"/>
          <w:lang w:val="ro-MD"/>
        </w:rPr>
        <w:t xml:space="preserve">Legea </w:t>
      </w:r>
      <w:r w:rsidR="002B7867" w:rsidRPr="000508B6">
        <w:rPr>
          <w:rFonts w:ascii="Times New Roman" w:eastAsia="Times New Roman" w:hAnsi="Times New Roman" w:cs="Times New Roman"/>
          <w:lang w:val="ro-MD"/>
        </w:rPr>
        <w:t xml:space="preserve">nr. </w:t>
      </w:r>
      <w:r w:rsidR="00427294" w:rsidRPr="000508B6">
        <w:rPr>
          <w:rFonts w:ascii="Times New Roman" w:eastAsia="Times New Roman" w:hAnsi="Times New Roman" w:cs="Times New Roman"/>
          <w:lang w:val="ro-MD"/>
        </w:rPr>
        <w:t xml:space="preserve">250/2017) </w:t>
      </w:r>
      <w:r w:rsidR="00A21C53" w:rsidRPr="000508B6">
        <w:rPr>
          <w:rFonts w:ascii="Times New Roman" w:eastAsia="Times New Roman" w:hAnsi="Times New Roman" w:cs="Times New Roman"/>
          <w:lang w:val="ro-MD"/>
        </w:rPr>
        <w:t xml:space="preserve">sau un fond de pensii ocupaționale în sensul </w:t>
      </w:r>
      <w:r w:rsidR="00A05AED" w:rsidRPr="000508B6">
        <w:rPr>
          <w:rFonts w:ascii="Times New Roman" w:eastAsia="Times New Roman" w:hAnsi="Times New Roman" w:cs="Times New Roman"/>
          <w:lang w:val="ro-MD"/>
        </w:rPr>
        <w:t xml:space="preserve"> </w:t>
      </w:r>
      <w:r w:rsidR="00DC6F3E" w:rsidRPr="000508B6">
        <w:rPr>
          <w:rFonts w:ascii="Times New Roman" w:eastAsia="Times New Roman" w:hAnsi="Times New Roman" w:cs="Times New Roman"/>
          <w:lang w:val="ro-MD"/>
        </w:rPr>
        <w:t>Legii nr. 198/ 2020</w:t>
      </w:r>
      <w:r w:rsidR="00776975" w:rsidRPr="000508B6">
        <w:rPr>
          <w:rFonts w:ascii="Times New Roman" w:eastAsia="Times New Roman" w:hAnsi="Times New Roman" w:cs="Times New Roman"/>
          <w:lang w:val="ro-MD"/>
        </w:rPr>
        <w:t>;</w:t>
      </w:r>
    </w:p>
    <w:p w14:paraId="09C01716" w14:textId="24D60B23" w:rsidR="006A5CD7" w:rsidRPr="000508B6" w:rsidRDefault="00A1417D" w:rsidP="006214A6">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6A5CD7" w:rsidRPr="000508B6">
        <w:rPr>
          <w:rFonts w:ascii="Times New Roman" w:eastAsia="Times New Roman" w:hAnsi="Times New Roman" w:cs="Times New Roman"/>
          <w:i/>
          <w:lang w:val="ro-MD"/>
        </w:rPr>
        <w:t>entitate din sectorul financiar</w:t>
      </w:r>
      <w:r w:rsidR="006A5CD7" w:rsidRPr="000508B6">
        <w:rPr>
          <w:rFonts w:ascii="Times New Roman" w:eastAsia="Times New Roman" w:hAnsi="Times New Roman" w:cs="Times New Roman"/>
          <w:lang w:val="ro-MD"/>
        </w:rPr>
        <w:t xml:space="preserve"> - entitate definită conform Legii nr. 202/2017 privind activitatea </w:t>
      </w:r>
      <w:r w:rsidR="00AB6F5E" w:rsidRPr="000508B6">
        <w:rPr>
          <w:rFonts w:ascii="Times New Roman" w:eastAsia="Times New Roman" w:hAnsi="Times New Roman" w:cs="Times New Roman"/>
          <w:lang w:val="ro-MD"/>
        </w:rPr>
        <w:t xml:space="preserve">instituțiilor de credit </w:t>
      </w:r>
      <w:r w:rsidR="002B7867" w:rsidRPr="000508B6">
        <w:rPr>
          <w:rFonts w:ascii="Times New Roman" w:eastAsia="Times New Roman" w:hAnsi="Times New Roman" w:cs="Times New Roman"/>
          <w:lang w:val="ro-MD"/>
        </w:rPr>
        <w:t xml:space="preserve">(în continuare </w:t>
      </w:r>
      <w:r w:rsidR="004302EF" w:rsidRPr="000508B6">
        <w:rPr>
          <w:rFonts w:ascii="Times New Roman" w:eastAsia="Times New Roman" w:hAnsi="Times New Roman" w:cs="Times New Roman"/>
          <w:lang w:val="ro-MD"/>
        </w:rPr>
        <w:t xml:space="preserve">– </w:t>
      </w:r>
      <w:r w:rsidR="002B7867" w:rsidRPr="000508B6">
        <w:rPr>
          <w:rFonts w:ascii="Times New Roman" w:eastAsia="Times New Roman" w:hAnsi="Times New Roman" w:cs="Times New Roman"/>
          <w:lang w:val="ro-MD"/>
        </w:rPr>
        <w:t>Legea nr.</w:t>
      </w:r>
      <w:r w:rsidR="00F205DD" w:rsidRPr="000508B6">
        <w:rPr>
          <w:rFonts w:ascii="Times New Roman" w:eastAsia="Times New Roman" w:hAnsi="Times New Roman" w:cs="Times New Roman"/>
          <w:lang w:val="ro-MD"/>
        </w:rPr>
        <w:t xml:space="preserve"> </w:t>
      </w:r>
      <w:r w:rsidR="002B7867" w:rsidRPr="000508B6">
        <w:rPr>
          <w:rFonts w:ascii="Times New Roman" w:eastAsia="Times New Roman" w:hAnsi="Times New Roman" w:cs="Times New Roman"/>
          <w:lang w:val="ro-MD"/>
        </w:rPr>
        <w:t>202/2017)</w:t>
      </w:r>
      <w:r w:rsidR="006A5CD7" w:rsidRPr="000508B6">
        <w:rPr>
          <w:rFonts w:ascii="Times New Roman" w:eastAsia="Times New Roman" w:hAnsi="Times New Roman" w:cs="Times New Roman"/>
          <w:lang w:val="ro-MD"/>
        </w:rPr>
        <w:t>;</w:t>
      </w:r>
    </w:p>
    <w:p w14:paraId="11C5E095" w14:textId="7FEE2F0C" w:rsidR="00BF5BF1" w:rsidRPr="000508B6" w:rsidRDefault="00BF5BF1" w:rsidP="006214A6">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entitate de audit</w:t>
      </w:r>
      <w:r w:rsidRPr="000508B6">
        <w:rPr>
          <w:rFonts w:ascii="Times New Roman" w:eastAsia="Times New Roman" w:hAnsi="Times New Roman" w:cs="Times New Roman"/>
          <w:lang w:val="ro-MD"/>
        </w:rPr>
        <w:t xml:space="preserve"> – entitate astfel cum este definită în Legea </w:t>
      </w:r>
      <w:r w:rsidR="00F205DD" w:rsidRPr="000508B6">
        <w:rPr>
          <w:rFonts w:ascii="Times New Roman" w:eastAsia="Times New Roman" w:hAnsi="Times New Roman" w:cs="Times New Roman"/>
          <w:lang w:val="ro-MD"/>
        </w:rPr>
        <w:t xml:space="preserve">nr. </w:t>
      </w:r>
      <w:r w:rsidRPr="000508B6">
        <w:rPr>
          <w:rFonts w:ascii="Times New Roman" w:eastAsia="Times New Roman" w:hAnsi="Times New Roman" w:cs="Times New Roman"/>
          <w:lang w:val="ro-MD"/>
        </w:rPr>
        <w:t>271/2017;</w:t>
      </w:r>
    </w:p>
    <w:p w14:paraId="0169BE19" w14:textId="4CEA58C5" w:rsidR="00F95829" w:rsidRPr="000508B6" w:rsidRDefault="009C5CCF" w:rsidP="00F4237E">
      <w:pPr>
        <w:pStyle w:val="Listparagraf"/>
        <w:numPr>
          <w:ilvl w:val="0"/>
          <w:numId w:val="313"/>
        </w:numPr>
        <w:tabs>
          <w:tab w:val="left" w:pos="709"/>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 xml:space="preserve">externalizare </w:t>
      </w:r>
      <w:r w:rsidR="00F95829" w:rsidRPr="000508B6">
        <w:rPr>
          <w:rFonts w:ascii="Times New Roman" w:eastAsia="Times New Roman" w:hAnsi="Times New Roman" w:cs="Times New Roman"/>
          <w:lang w:val="ro-MD"/>
        </w:rPr>
        <w:t xml:space="preserve">– acord în orice formă între </w:t>
      </w:r>
      <w:r w:rsidR="00545899" w:rsidRPr="000508B6">
        <w:rPr>
          <w:rFonts w:ascii="Times New Roman" w:eastAsia="Times New Roman" w:hAnsi="Times New Roman" w:cs="Times New Roman"/>
          <w:lang w:val="ro-MD"/>
        </w:rPr>
        <w:t xml:space="preserve">un </w:t>
      </w:r>
      <w:r w:rsidR="00B36665" w:rsidRPr="000508B6">
        <w:rPr>
          <w:rFonts w:ascii="Times New Roman" w:eastAsia="Times New Roman" w:hAnsi="Times New Roman" w:cs="Times New Roman"/>
          <w:lang w:val="ro-MD"/>
        </w:rPr>
        <w:t xml:space="preserve">asigurător </w:t>
      </w:r>
      <w:r w:rsidR="00545899" w:rsidRPr="000508B6">
        <w:rPr>
          <w:rFonts w:ascii="Times New Roman" w:eastAsia="Times New Roman" w:hAnsi="Times New Roman" w:cs="Times New Roman"/>
          <w:lang w:val="ro-MD"/>
        </w:rPr>
        <w:t>sau</w:t>
      </w:r>
      <w:r w:rsidR="00F95829" w:rsidRPr="000508B6" w:rsidDel="00B36665">
        <w:rPr>
          <w:rFonts w:ascii="Times New Roman" w:eastAsia="Times New Roman" w:hAnsi="Times New Roman" w:cs="Times New Roman"/>
          <w:lang w:val="ro-MD"/>
        </w:rPr>
        <w:t xml:space="preserve"> </w:t>
      </w:r>
      <w:proofErr w:type="spellStart"/>
      <w:r w:rsidR="00B36665" w:rsidRPr="000508B6">
        <w:rPr>
          <w:rFonts w:ascii="Times New Roman" w:eastAsia="Times New Roman" w:hAnsi="Times New Roman" w:cs="Times New Roman"/>
          <w:lang w:val="ro-MD"/>
        </w:rPr>
        <w:t>reasigurător</w:t>
      </w:r>
      <w:proofErr w:type="spellEnd"/>
      <w:r w:rsidR="00B36665"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și un furnizor de servicii, indiferent dacă este o entitate supravegheată sau nu, prin care furnizorul respectiv de servicii efectuează un proces, un serviciu sau o activitate, fie direct, fie prin subcontractare, care altfel ar fi fost realizat(ă) de însăși </w:t>
      </w:r>
      <w:r w:rsidR="00B36665" w:rsidRPr="000508B6">
        <w:rPr>
          <w:rFonts w:ascii="Times New Roman" w:eastAsia="Times New Roman" w:hAnsi="Times New Roman" w:cs="Times New Roman"/>
          <w:lang w:val="ro-MD"/>
        </w:rPr>
        <w:t xml:space="preserve">asigurător </w:t>
      </w:r>
      <w:r w:rsidR="00545899" w:rsidRPr="000508B6">
        <w:rPr>
          <w:rFonts w:ascii="Times New Roman" w:eastAsia="Times New Roman" w:hAnsi="Times New Roman" w:cs="Times New Roman"/>
          <w:lang w:val="ro-MD"/>
        </w:rPr>
        <w:t xml:space="preserve">sau </w:t>
      </w:r>
      <w:proofErr w:type="spellStart"/>
      <w:r w:rsidR="00B36665" w:rsidRPr="000508B6">
        <w:rPr>
          <w:rFonts w:ascii="Times New Roman" w:eastAsia="Times New Roman" w:hAnsi="Times New Roman" w:cs="Times New Roman"/>
          <w:lang w:val="ro-MD"/>
        </w:rPr>
        <w:t>reasigurător</w:t>
      </w:r>
      <w:proofErr w:type="spellEnd"/>
      <w:r w:rsidR="00776975" w:rsidRPr="000508B6">
        <w:rPr>
          <w:rFonts w:ascii="Times New Roman" w:eastAsia="Times New Roman" w:hAnsi="Times New Roman" w:cs="Times New Roman"/>
          <w:lang w:val="ro-MD"/>
        </w:rPr>
        <w:t>;</w:t>
      </w:r>
    </w:p>
    <w:p w14:paraId="35E88520" w14:textId="255B5E9E" w:rsidR="00DC6F3E" w:rsidRPr="000508B6" w:rsidRDefault="00DC6F3E" w:rsidP="00CB2F63">
      <w:pPr>
        <w:pStyle w:val="Listparagraf"/>
        <w:numPr>
          <w:ilvl w:val="0"/>
          <w:numId w:val="313"/>
        </w:numPr>
        <w:tabs>
          <w:tab w:val="left" w:pos="709"/>
          <w:tab w:val="left" w:pos="851"/>
          <w:tab w:val="left" w:pos="993"/>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factori de </w:t>
      </w:r>
      <w:r w:rsidR="00DA0877" w:rsidRPr="000508B6">
        <w:rPr>
          <w:rFonts w:ascii="Times New Roman" w:eastAsia="Times New Roman" w:hAnsi="Times New Roman" w:cs="Times New Roman"/>
          <w:i/>
          <w:lang w:val="ro-MD"/>
        </w:rPr>
        <w:t>durabilitate</w:t>
      </w:r>
      <w:r w:rsidRPr="000508B6">
        <w:rPr>
          <w:rFonts w:ascii="Times New Roman" w:eastAsia="Times New Roman" w:hAnsi="Times New Roman" w:cs="Times New Roman"/>
          <w:i/>
          <w:lang w:val="ro-MD"/>
        </w:rPr>
        <w:t xml:space="preserve"> - </w:t>
      </w:r>
      <w:bookmarkStart w:id="29" w:name="_Hlk203631489"/>
      <w:r w:rsidRPr="000508B6">
        <w:rPr>
          <w:rFonts w:ascii="Times New Roman" w:eastAsia="Times New Roman" w:hAnsi="Times New Roman" w:cs="Times New Roman"/>
          <w:iCs/>
          <w:lang w:val="ro-MD"/>
        </w:rPr>
        <w:t xml:space="preserve">factori astfel cum sunt definiți </w:t>
      </w:r>
      <w:r w:rsidR="00E434E1" w:rsidRPr="000508B6">
        <w:rPr>
          <w:rFonts w:ascii="Times New Roman" w:eastAsia="Times New Roman" w:hAnsi="Times New Roman" w:cs="Times New Roman"/>
          <w:iCs/>
          <w:lang w:val="ro-MD"/>
        </w:rPr>
        <w:t xml:space="preserve">în </w:t>
      </w:r>
      <w:r w:rsidR="004F481E">
        <w:rPr>
          <w:rFonts w:ascii="Times New Roman" w:eastAsia="Times New Roman" w:hAnsi="Times New Roman" w:cs="Times New Roman"/>
          <w:iCs/>
          <w:lang w:val="ro-MD"/>
        </w:rPr>
        <w:t xml:space="preserve">actele </w:t>
      </w:r>
      <w:r w:rsidR="00E434E1" w:rsidRPr="000508B6">
        <w:rPr>
          <w:rFonts w:ascii="Times New Roman" w:eastAsia="Times New Roman" w:hAnsi="Times New Roman" w:cs="Times New Roman"/>
          <w:iCs/>
          <w:lang w:val="ro-MD"/>
        </w:rPr>
        <w:t>normativ</w:t>
      </w:r>
      <w:r w:rsidR="004F481E">
        <w:rPr>
          <w:rFonts w:ascii="Times New Roman" w:eastAsia="Times New Roman" w:hAnsi="Times New Roman" w:cs="Times New Roman"/>
          <w:iCs/>
          <w:lang w:val="ro-MD"/>
        </w:rPr>
        <w:t>e ale Comisiei Naționale a Pieței Financiare</w:t>
      </w:r>
      <w:r w:rsidR="00E434E1" w:rsidRPr="000508B6">
        <w:rPr>
          <w:rFonts w:ascii="Times New Roman" w:eastAsia="Times New Roman" w:hAnsi="Times New Roman" w:cs="Times New Roman"/>
          <w:iCs/>
          <w:lang w:val="ro-MD"/>
        </w:rPr>
        <w:t xml:space="preserve"> aferent</w:t>
      </w:r>
      <w:r w:rsidR="004F481E">
        <w:rPr>
          <w:rFonts w:ascii="Times New Roman" w:eastAsia="Times New Roman" w:hAnsi="Times New Roman" w:cs="Times New Roman"/>
          <w:iCs/>
          <w:lang w:val="ro-MD"/>
        </w:rPr>
        <w:t>e</w:t>
      </w:r>
      <w:r w:rsidR="00E434E1" w:rsidRPr="000508B6">
        <w:rPr>
          <w:rFonts w:ascii="Times New Roman" w:eastAsia="Times New Roman" w:hAnsi="Times New Roman" w:cs="Times New Roman"/>
          <w:iCs/>
          <w:lang w:val="ro-MD"/>
        </w:rPr>
        <w:t xml:space="preserve"> transparenței privind durabilitatea în sectorul serviciilor financiare</w:t>
      </w:r>
      <w:r w:rsidR="00776975" w:rsidRPr="000508B6">
        <w:rPr>
          <w:rFonts w:ascii="Times New Roman" w:eastAsia="Times New Roman" w:hAnsi="Times New Roman" w:cs="Times New Roman"/>
          <w:iCs/>
          <w:lang w:val="ro-MD"/>
        </w:rPr>
        <w:t>;</w:t>
      </w:r>
      <w:bookmarkEnd w:id="29"/>
    </w:p>
    <w:p w14:paraId="53B15BFB" w14:textId="6A820B7C" w:rsidR="006740FB" w:rsidRPr="000508B6" w:rsidRDefault="00F95829" w:rsidP="00635F9B">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filială - </w:t>
      </w:r>
      <w:r w:rsidR="00321C02" w:rsidRPr="000508B6">
        <w:rPr>
          <w:rFonts w:ascii="Times New Roman" w:eastAsia="Times New Roman" w:hAnsi="Times New Roman" w:cs="Times New Roman"/>
          <w:lang w:val="ro-MD"/>
        </w:rPr>
        <w:t xml:space="preserve">persoană juridică aflată în relație cu o societate </w:t>
      </w:r>
      <w:r w:rsidR="003A2F09" w:rsidRPr="000508B6">
        <w:rPr>
          <w:rFonts w:ascii="Times New Roman" w:eastAsia="Times New Roman" w:hAnsi="Times New Roman" w:cs="Times New Roman"/>
          <w:lang w:val="ro-MD"/>
        </w:rPr>
        <w:t>–</w:t>
      </w:r>
      <w:r w:rsidR="00321C02" w:rsidRPr="000508B6">
        <w:rPr>
          <w:rFonts w:ascii="Times New Roman" w:eastAsia="Times New Roman" w:hAnsi="Times New Roman" w:cs="Times New Roman"/>
          <w:lang w:val="ro-MD"/>
        </w:rPr>
        <w:t xml:space="preserve"> mamă, în una dintre situațiile prevăzute la noțiunea „societate-mamă”</w:t>
      </w:r>
      <w:r w:rsidR="00B05529" w:rsidRPr="000508B6">
        <w:rPr>
          <w:rFonts w:ascii="Times New Roman" w:eastAsia="Times New Roman" w:hAnsi="Times New Roman" w:cs="Times New Roman"/>
          <w:lang w:val="ro-MD"/>
        </w:rPr>
        <w:t>, inclusiv filialele acesteia sau o entitate pe care Banca Națională</w:t>
      </w:r>
      <w:r w:rsidR="009C571A" w:rsidRPr="000508B6">
        <w:rPr>
          <w:rFonts w:ascii="Times New Roman" w:eastAsia="Times New Roman" w:hAnsi="Times New Roman" w:cs="Times New Roman"/>
          <w:lang w:val="ro-MD"/>
        </w:rPr>
        <w:t xml:space="preserve"> a Moldovei</w:t>
      </w:r>
      <w:r w:rsidR="00B05529" w:rsidRPr="000508B6">
        <w:rPr>
          <w:rFonts w:ascii="Times New Roman" w:eastAsia="Times New Roman" w:hAnsi="Times New Roman" w:cs="Times New Roman"/>
          <w:lang w:val="ro-MD"/>
        </w:rPr>
        <w:t xml:space="preserve"> o consideră filială în conformitate cu art.</w:t>
      </w:r>
      <w:r w:rsidR="004302EF" w:rsidRPr="000508B6">
        <w:rPr>
          <w:rFonts w:ascii="Times New Roman" w:eastAsia="Times New Roman" w:hAnsi="Times New Roman" w:cs="Times New Roman"/>
          <w:lang w:val="ro-MD"/>
        </w:rPr>
        <w:t xml:space="preserve"> </w:t>
      </w:r>
      <w:r w:rsidR="00B05529" w:rsidRPr="000508B6">
        <w:rPr>
          <w:rFonts w:ascii="Times New Roman" w:eastAsia="Times New Roman" w:hAnsi="Times New Roman" w:cs="Times New Roman"/>
          <w:lang w:val="ro-MD"/>
        </w:rPr>
        <w:t>116 alin. (4) lit. c) sau art.</w:t>
      </w:r>
      <w:r w:rsidR="004302EF" w:rsidRPr="000508B6">
        <w:rPr>
          <w:rFonts w:ascii="Times New Roman" w:eastAsia="Times New Roman" w:hAnsi="Times New Roman" w:cs="Times New Roman"/>
          <w:lang w:val="ro-MD"/>
        </w:rPr>
        <w:t xml:space="preserve"> </w:t>
      </w:r>
      <w:r w:rsidR="00B05529" w:rsidRPr="000508B6">
        <w:rPr>
          <w:rFonts w:ascii="Times New Roman" w:eastAsia="Times New Roman" w:hAnsi="Times New Roman" w:cs="Times New Roman"/>
          <w:lang w:val="ro-MD"/>
        </w:rPr>
        <w:t>116 alin. (21) sau (22-25)</w:t>
      </w:r>
      <w:r w:rsidR="00095670" w:rsidRPr="000508B6">
        <w:rPr>
          <w:rFonts w:ascii="Times New Roman" w:eastAsia="Times New Roman" w:hAnsi="Times New Roman" w:cs="Times New Roman"/>
          <w:lang w:val="ro-MD"/>
        </w:rPr>
        <w:t>;</w:t>
      </w:r>
      <w:r w:rsidR="0050613A" w:rsidRPr="000508B6" w:rsidDel="00321C02">
        <w:rPr>
          <w:rFonts w:ascii="Times New Roman" w:eastAsia="Times New Roman" w:hAnsi="Times New Roman" w:cs="Times New Roman"/>
          <w:lang w:val="ro-MD"/>
        </w:rPr>
        <w:t xml:space="preserve"> </w:t>
      </w:r>
    </w:p>
    <w:p w14:paraId="26592FD0" w14:textId="4263ECE9" w:rsidR="000E57A5" w:rsidRPr="000508B6" w:rsidRDefault="00FE29E7"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fond de</w:t>
      </w:r>
      <w:r w:rsidR="00726583" w:rsidRPr="000508B6">
        <w:rPr>
          <w:rFonts w:ascii="Times New Roman" w:eastAsia="Times New Roman" w:hAnsi="Times New Roman" w:cs="Times New Roman"/>
          <w:i/>
          <w:iCs/>
          <w:lang w:val="ro-MD"/>
        </w:rPr>
        <w:t xml:space="preserve"> garantare</w:t>
      </w:r>
      <w:r w:rsidR="00726583" w:rsidRPr="000508B6">
        <w:rPr>
          <w:rFonts w:ascii="Times New Roman" w:eastAsia="Times New Roman" w:hAnsi="Times New Roman" w:cs="Times New Roman"/>
          <w:lang w:val="ro-MD"/>
        </w:rPr>
        <w:t xml:space="preserve"> – </w:t>
      </w:r>
      <w:r w:rsidRPr="000508B6" w:rsidDel="00F13D61">
        <w:rPr>
          <w:rFonts w:ascii="Times New Roman" w:eastAsia="Times New Roman" w:hAnsi="Times New Roman" w:cs="Times New Roman"/>
          <w:lang w:val="ro-MD"/>
        </w:rPr>
        <w:t>organism</w:t>
      </w:r>
      <w:r w:rsidRPr="000508B6">
        <w:rPr>
          <w:rFonts w:ascii="Times New Roman" w:eastAsia="Times New Roman" w:hAnsi="Times New Roman" w:cs="Times New Roman"/>
          <w:lang w:val="ro-MD"/>
        </w:rPr>
        <w:t xml:space="preserve"> responsabil cu despăgubirea</w:t>
      </w:r>
      <w:r w:rsidR="00846931" w:rsidRPr="000508B6">
        <w:rPr>
          <w:rFonts w:ascii="Times New Roman" w:eastAsia="Times New Roman" w:hAnsi="Times New Roman" w:cs="Times New Roman"/>
          <w:lang w:val="ro-MD"/>
        </w:rPr>
        <w:t xml:space="preserve"> creditorilor de asigurări </w:t>
      </w:r>
      <w:r w:rsidR="00A6048C" w:rsidRPr="000508B6">
        <w:rPr>
          <w:rFonts w:ascii="Times New Roman" w:eastAsia="Times New Roman" w:hAnsi="Times New Roman" w:cs="Times New Roman"/>
          <w:lang w:val="ro-MD"/>
        </w:rPr>
        <w:t>în cazul</w:t>
      </w:r>
      <w:r w:rsidR="00846931" w:rsidRPr="000508B6">
        <w:rPr>
          <w:rFonts w:ascii="Times New Roman" w:eastAsia="Times New Roman" w:hAnsi="Times New Roman" w:cs="Times New Roman"/>
          <w:lang w:val="ro-MD"/>
        </w:rPr>
        <w:t xml:space="preserve"> insolvabilității sau lichidării bazate sa</w:t>
      </w:r>
      <w:r w:rsidR="00910332" w:rsidRPr="000508B6">
        <w:rPr>
          <w:rFonts w:ascii="Times New Roman" w:eastAsia="Times New Roman" w:hAnsi="Times New Roman" w:cs="Times New Roman"/>
          <w:lang w:val="ro-MD"/>
        </w:rPr>
        <w:t>u</w:t>
      </w:r>
      <w:r w:rsidR="00846931" w:rsidRPr="000508B6">
        <w:rPr>
          <w:rFonts w:ascii="Times New Roman" w:eastAsia="Times New Roman" w:hAnsi="Times New Roman" w:cs="Times New Roman"/>
          <w:lang w:val="ro-MD"/>
        </w:rPr>
        <w:t xml:space="preserve"> nu pe insolvabilitate</w:t>
      </w:r>
      <w:r w:rsidR="00910332" w:rsidRPr="000508B6">
        <w:rPr>
          <w:rFonts w:ascii="Times New Roman" w:eastAsia="Times New Roman" w:hAnsi="Times New Roman" w:cs="Times New Roman"/>
          <w:lang w:val="ro-MD"/>
        </w:rPr>
        <w:t xml:space="preserv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846931" w:rsidRPr="000508B6">
        <w:rPr>
          <w:rFonts w:ascii="Times New Roman" w:eastAsia="Times New Roman" w:hAnsi="Times New Roman" w:cs="Times New Roman"/>
          <w:lang w:val="ro-MD"/>
        </w:rPr>
        <w:t xml:space="preserve">, în condițiile </w:t>
      </w:r>
      <w:r w:rsidR="00257A9B" w:rsidRPr="000508B6">
        <w:rPr>
          <w:rFonts w:ascii="Times New Roman" w:eastAsia="Times New Roman" w:hAnsi="Times New Roman" w:cs="Times New Roman"/>
          <w:lang w:val="ro-MD"/>
        </w:rPr>
        <w:t>legislației</w:t>
      </w:r>
      <w:r w:rsidR="004D1B82" w:rsidRPr="000508B6">
        <w:rPr>
          <w:rFonts w:ascii="Times New Roman" w:eastAsia="Times New Roman" w:hAnsi="Times New Roman" w:cs="Times New Roman"/>
          <w:lang w:val="ro-MD"/>
        </w:rPr>
        <w:t xml:space="preserve">, denumit Fondul de </w:t>
      </w:r>
      <w:r w:rsidR="00D406F1" w:rsidRPr="000508B6">
        <w:rPr>
          <w:rFonts w:ascii="Times New Roman" w:eastAsia="Times New Roman" w:hAnsi="Times New Roman" w:cs="Times New Roman"/>
          <w:lang w:val="ro-MD"/>
        </w:rPr>
        <w:t xml:space="preserve">Garantare </w:t>
      </w:r>
      <w:r w:rsidR="004D1B82" w:rsidRPr="000508B6">
        <w:rPr>
          <w:rFonts w:ascii="Times New Roman" w:eastAsia="Times New Roman" w:hAnsi="Times New Roman" w:cs="Times New Roman"/>
          <w:lang w:val="ro-MD"/>
        </w:rPr>
        <w:t xml:space="preserve">în </w:t>
      </w:r>
      <w:r w:rsidR="00D406F1" w:rsidRPr="000508B6">
        <w:rPr>
          <w:rFonts w:ascii="Times New Roman" w:eastAsia="Times New Roman" w:hAnsi="Times New Roman" w:cs="Times New Roman"/>
          <w:lang w:val="ro-MD"/>
        </w:rPr>
        <w:t>Asigurări</w:t>
      </w:r>
      <w:r w:rsidR="00846931" w:rsidRPr="000508B6">
        <w:rPr>
          <w:rFonts w:ascii="Times New Roman" w:eastAsia="Times New Roman" w:hAnsi="Times New Roman" w:cs="Times New Roman"/>
          <w:lang w:val="ro-MD"/>
        </w:rPr>
        <w:t>;</w:t>
      </w:r>
    </w:p>
    <w:p w14:paraId="168E7895" w14:textId="6E1D34F6" w:rsidR="00726583" w:rsidRPr="000508B6" w:rsidRDefault="00206F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 xml:space="preserve">fond </w:t>
      </w:r>
      <w:r w:rsidR="000E57A5" w:rsidRPr="000508B6">
        <w:rPr>
          <w:rFonts w:ascii="Times New Roman" w:eastAsia="Times New Roman" w:hAnsi="Times New Roman" w:cs="Times New Roman"/>
          <w:i/>
          <w:iCs/>
          <w:lang w:val="ro-MD"/>
        </w:rPr>
        <w:t>de compensare și protecție</w:t>
      </w:r>
      <w:r w:rsidR="000E57A5" w:rsidRPr="000508B6">
        <w:rPr>
          <w:rFonts w:ascii="Times New Roman" w:eastAsia="Times New Roman" w:hAnsi="Times New Roman" w:cs="Times New Roman"/>
          <w:lang w:val="ro-MD"/>
        </w:rPr>
        <w:t xml:space="preserve"> - </w:t>
      </w:r>
      <w:r w:rsidR="003A65A8" w:rsidRPr="000508B6">
        <w:rPr>
          <w:rFonts w:ascii="Times New Roman" w:eastAsia="Times New Roman" w:hAnsi="Times New Roman" w:cs="Times New Roman"/>
          <w:lang w:val="ro-MD"/>
        </w:rPr>
        <w:t>fond cu destinație specială</w:t>
      </w:r>
      <w:r w:rsidR="00294EEA" w:rsidRPr="000508B6">
        <w:rPr>
          <w:rFonts w:ascii="Times New Roman" w:eastAsia="Times New Roman" w:hAnsi="Times New Roman" w:cs="Times New Roman"/>
          <w:lang w:val="ro-MD"/>
        </w:rPr>
        <w:t xml:space="preserve"> </w:t>
      </w:r>
      <w:r w:rsidR="00A6048C" w:rsidRPr="000508B6">
        <w:rPr>
          <w:rFonts w:ascii="Times New Roman" w:eastAsia="Times New Roman" w:hAnsi="Times New Roman" w:cs="Times New Roman"/>
          <w:lang w:val="ro-MD"/>
        </w:rPr>
        <w:t xml:space="preserve">responsabil </w:t>
      </w:r>
      <w:r w:rsidR="002D56A9" w:rsidRPr="000508B6">
        <w:rPr>
          <w:rFonts w:ascii="Times New Roman" w:eastAsia="Times New Roman" w:hAnsi="Times New Roman" w:cs="Times New Roman"/>
          <w:lang w:val="ro-MD"/>
        </w:rPr>
        <w:t>astfel cum este definit</w:t>
      </w:r>
      <w:r w:rsidR="000E57A5" w:rsidRPr="000508B6">
        <w:rPr>
          <w:rFonts w:ascii="Times New Roman" w:eastAsia="Times New Roman" w:hAnsi="Times New Roman" w:cs="Times New Roman"/>
          <w:lang w:val="ro-MD"/>
        </w:rPr>
        <w:t xml:space="preserve"> conform legislației cu privire la asigurarea obligatorie de răspundere civilă </w:t>
      </w:r>
      <w:r w:rsidR="00B113B6" w:rsidRPr="000508B6">
        <w:rPr>
          <w:rFonts w:ascii="Times New Roman" w:eastAsia="Times New Roman" w:hAnsi="Times New Roman" w:cs="Times New Roman"/>
          <w:lang w:val="ro-MD"/>
        </w:rPr>
        <w:t xml:space="preserve">auto </w:t>
      </w:r>
      <w:r w:rsidR="000E57A5" w:rsidRPr="000508B6">
        <w:rPr>
          <w:rFonts w:ascii="Times New Roman" w:eastAsia="Times New Roman" w:hAnsi="Times New Roman" w:cs="Times New Roman"/>
          <w:lang w:val="ro-MD"/>
        </w:rPr>
        <w:t xml:space="preserve">pentru </w:t>
      </w:r>
      <w:r w:rsidR="00B113B6" w:rsidRPr="000508B6">
        <w:rPr>
          <w:rFonts w:ascii="Times New Roman" w:eastAsia="Times New Roman" w:hAnsi="Times New Roman" w:cs="Times New Roman"/>
          <w:lang w:val="ro-MD"/>
        </w:rPr>
        <w:t xml:space="preserve">prejudicii </w:t>
      </w:r>
      <w:r w:rsidR="000E57A5" w:rsidRPr="000508B6">
        <w:rPr>
          <w:rFonts w:ascii="Times New Roman" w:eastAsia="Times New Roman" w:hAnsi="Times New Roman" w:cs="Times New Roman"/>
          <w:lang w:val="ro-MD"/>
        </w:rPr>
        <w:t xml:space="preserve">produse </w:t>
      </w:r>
      <w:r w:rsidR="00B113B6" w:rsidRPr="000508B6">
        <w:rPr>
          <w:rFonts w:ascii="Times New Roman" w:eastAsia="Times New Roman" w:hAnsi="Times New Roman" w:cs="Times New Roman"/>
          <w:lang w:val="ro-MD"/>
        </w:rPr>
        <w:t xml:space="preserve">terților prin accidente </w:t>
      </w:r>
      <w:r w:rsidR="000E57A5" w:rsidRPr="000508B6">
        <w:rPr>
          <w:rFonts w:ascii="Times New Roman" w:eastAsia="Times New Roman" w:hAnsi="Times New Roman" w:cs="Times New Roman"/>
          <w:lang w:val="ro-MD"/>
        </w:rPr>
        <w:t>de vehicule</w:t>
      </w:r>
      <w:r w:rsidR="00776975" w:rsidRPr="000508B6">
        <w:rPr>
          <w:rFonts w:ascii="Times New Roman" w:eastAsia="Times New Roman" w:hAnsi="Times New Roman" w:cs="Times New Roman"/>
          <w:lang w:val="ro-MD"/>
        </w:rPr>
        <w:t>;</w:t>
      </w:r>
    </w:p>
    <w:p w14:paraId="42C8D5C3" w14:textId="6359C415" w:rsidR="006740FB" w:rsidRPr="000508B6" w:rsidRDefault="006740FB"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funcţie</w:t>
      </w:r>
      <w:proofErr w:type="spellEnd"/>
      <w:r w:rsidRPr="000508B6">
        <w:rPr>
          <w:rFonts w:ascii="Times New Roman" w:eastAsia="Times New Roman" w:hAnsi="Times New Roman" w:cs="Times New Roman"/>
          <w:lang w:val="ro-MD"/>
        </w:rPr>
        <w:t xml:space="preserve"> –  în cadrul unui sistem de guvernanță înseamnă capacitatea internă de a efectua sarcini concrete</w:t>
      </w:r>
      <w:r w:rsidR="00AA23E2"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5F442D28" w14:textId="54DA35C2" w:rsidR="00EC0E37" w:rsidRPr="000508B6" w:rsidRDefault="00EC0E37"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funcţii</w:t>
      </w:r>
      <w:proofErr w:type="spellEnd"/>
      <w:r w:rsidRPr="000508B6">
        <w:rPr>
          <w:rFonts w:ascii="Times New Roman" w:eastAsia="Times New Roman" w:hAnsi="Times New Roman" w:cs="Times New Roman"/>
          <w:i/>
          <w:lang w:val="ro-MD"/>
        </w:rPr>
        <w:t xml:space="preserve"> critice</w:t>
      </w:r>
      <w:r w:rsidRPr="000508B6">
        <w:rPr>
          <w:rFonts w:ascii="Times New Roman" w:eastAsia="Times New Roman" w:hAnsi="Times New Roman" w:cs="Times New Roman"/>
          <w:lang w:val="ro-MD"/>
        </w:rPr>
        <w:t xml:space="preserve"> - </w:t>
      </w:r>
      <w:proofErr w:type="spellStart"/>
      <w:r w:rsidRPr="000508B6">
        <w:rPr>
          <w:rFonts w:ascii="Times New Roman" w:eastAsia="Times New Roman" w:hAnsi="Times New Roman" w:cs="Times New Roman"/>
          <w:lang w:val="ro-MD"/>
        </w:rPr>
        <w:t>funcţii</w:t>
      </w:r>
      <w:proofErr w:type="spellEnd"/>
      <w:r w:rsidRPr="000508B6">
        <w:rPr>
          <w:rFonts w:ascii="Times New Roman" w:eastAsia="Times New Roman" w:hAnsi="Times New Roman" w:cs="Times New Roman"/>
          <w:lang w:val="ro-MD"/>
        </w:rPr>
        <w:t xml:space="preserve"> identificate de </w:t>
      </w:r>
      <w:r w:rsidR="000E12EB" w:rsidRPr="000508B6">
        <w:rPr>
          <w:rFonts w:ascii="Times New Roman" w:eastAsia="Times New Roman" w:hAnsi="Times New Roman" w:cs="Times New Roman"/>
          <w:lang w:val="ro-MD"/>
        </w:rPr>
        <w:t xml:space="preserve">asigurător sau </w:t>
      </w:r>
      <w:proofErr w:type="spellStart"/>
      <w:r w:rsidR="000E12EB" w:rsidRPr="000508B6">
        <w:rPr>
          <w:rFonts w:ascii="Times New Roman" w:eastAsia="Times New Roman" w:hAnsi="Times New Roman" w:cs="Times New Roman"/>
          <w:lang w:val="ro-MD"/>
        </w:rPr>
        <w:t>reasigurăto</w:t>
      </w:r>
      <w:r w:rsidR="005D3015" w:rsidRPr="000508B6">
        <w:rPr>
          <w:rFonts w:ascii="Times New Roman" w:eastAsia="Times New Roman" w:hAnsi="Times New Roman" w:cs="Times New Roman"/>
          <w:lang w:val="ro-MD"/>
        </w:rPr>
        <w:t>r</w:t>
      </w:r>
      <w:proofErr w:type="spellEnd"/>
      <w:r w:rsidR="000E12E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pe baza politicilor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procedurilor adoptate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ţinând</w:t>
      </w:r>
      <w:proofErr w:type="spellEnd"/>
      <w:r w:rsidRPr="000508B6">
        <w:rPr>
          <w:rFonts w:ascii="Times New Roman" w:eastAsia="Times New Roman" w:hAnsi="Times New Roman" w:cs="Times New Roman"/>
          <w:lang w:val="ro-MD"/>
        </w:rPr>
        <w:t xml:space="preserve"> cont de natura, amploarea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complexitatea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structura organizatorică;</w:t>
      </w:r>
    </w:p>
    <w:p w14:paraId="55C23A70" w14:textId="2A2B6B38" w:rsidR="00576926" w:rsidRPr="000508B6" w:rsidRDefault="00576926"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granularitate</w:t>
      </w:r>
      <w:r w:rsidRPr="000508B6">
        <w:rPr>
          <w:rFonts w:ascii="Times New Roman" w:eastAsia="Times New Roman" w:hAnsi="Times New Roman" w:cs="Times New Roman"/>
          <w:lang w:val="ro-MD"/>
        </w:rPr>
        <w:t xml:space="preserve"> - gradul de detaliere care caracterizează un set de date;</w:t>
      </w:r>
    </w:p>
    <w:p w14:paraId="73884741" w14:textId="3C3CC117"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grup</w:t>
      </w:r>
      <w:r w:rsidRPr="000508B6">
        <w:rPr>
          <w:rFonts w:ascii="Times New Roman" w:eastAsia="Times New Roman" w:hAnsi="Times New Roman" w:cs="Times New Roman"/>
          <w:lang w:val="ro-MD"/>
        </w:rPr>
        <w:t xml:space="preserve"> – asociere de </w:t>
      </w:r>
      <w:proofErr w:type="spellStart"/>
      <w:r w:rsidRPr="000508B6">
        <w:rPr>
          <w:rFonts w:ascii="Times New Roman" w:eastAsia="Times New Roman" w:hAnsi="Times New Roman" w:cs="Times New Roman"/>
          <w:lang w:val="ro-MD"/>
        </w:rPr>
        <w:t>entităţi</w:t>
      </w:r>
      <w:proofErr w:type="spellEnd"/>
      <w:r w:rsidRPr="000508B6">
        <w:rPr>
          <w:rFonts w:ascii="Times New Roman" w:eastAsia="Times New Roman" w:hAnsi="Times New Roman" w:cs="Times New Roman"/>
          <w:lang w:val="ro-MD"/>
        </w:rPr>
        <w:t xml:space="preserve"> care</w:t>
      </w:r>
      <w:r w:rsidR="004F0C45" w:rsidRPr="000508B6">
        <w:rPr>
          <w:rFonts w:ascii="Times New Roman" w:eastAsia="Times New Roman" w:hAnsi="Times New Roman" w:cs="Times New Roman"/>
          <w:lang w:val="ro-MD"/>
        </w:rPr>
        <w:t>:</w:t>
      </w:r>
      <w:r w:rsidR="00B14FFD" w:rsidRPr="000508B6">
        <w:rPr>
          <w:rFonts w:ascii="Times New Roman" w:eastAsia="Times New Roman" w:hAnsi="Times New Roman" w:cs="Times New Roman"/>
          <w:lang w:val="ro-MD"/>
        </w:rPr>
        <w:t xml:space="preserve"> </w:t>
      </w:r>
    </w:p>
    <w:p w14:paraId="4E227CFA" w14:textId="07992960" w:rsidR="00DE51BB" w:rsidRPr="000508B6" w:rsidRDefault="00DE51BB" w:rsidP="00CB2F63">
      <w:pPr>
        <w:pStyle w:val="Listparagraf"/>
        <w:numPr>
          <w:ilvl w:val="2"/>
          <w:numId w:val="313"/>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este formată dintr-o societate participativă, filialele acesteia </w:t>
      </w:r>
      <w:r w:rsidR="00087211" w:rsidRPr="000508B6">
        <w:rPr>
          <w:rFonts w:ascii="Times New Roman" w:eastAsia="Times New Roman" w:hAnsi="Times New Roman" w:cs="Times New Roman"/>
          <w:lang w:val="ro-MD"/>
        </w:rPr>
        <w:t xml:space="preserve">din entitățile </w:t>
      </w:r>
      <w:r w:rsidRPr="000508B6">
        <w:rPr>
          <w:rFonts w:ascii="Times New Roman" w:eastAsia="Times New Roman" w:hAnsi="Times New Roman" w:cs="Times New Roman"/>
          <w:lang w:val="ro-MD"/>
        </w:rPr>
        <w:t xml:space="preserve">în care </w:t>
      </w:r>
      <w:r w:rsidR="00087211" w:rsidRPr="000508B6">
        <w:rPr>
          <w:rFonts w:ascii="Times New Roman" w:eastAsia="Times New Roman" w:hAnsi="Times New Roman" w:cs="Times New Roman"/>
          <w:lang w:val="ro-MD"/>
        </w:rPr>
        <w:t xml:space="preserve">respectiva societate participativă </w:t>
      </w:r>
      <w:r w:rsidRPr="000508B6">
        <w:rPr>
          <w:rFonts w:ascii="Times New Roman" w:eastAsia="Times New Roman" w:hAnsi="Times New Roman" w:cs="Times New Roman"/>
          <w:lang w:val="ro-MD"/>
        </w:rPr>
        <w:t xml:space="preserve"> sau filialele acesteia dețin o participație și din societ</w:t>
      </w:r>
      <w:r w:rsidR="00087211" w:rsidRPr="000508B6">
        <w:rPr>
          <w:rFonts w:ascii="Times New Roman" w:eastAsia="Times New Roman" w:hAnsi="Times New Roman" w:cs="Times New Roman"/>
          <w:lang w:val="ro-MD"/>
        </w:rPr>
        <w:t xml:space="preserve">ățile </w:t>
      </w:r>
      <w:r w:rsidRPr="000508B6">
        <w:rPr>
          <w:rFonts w:ascii="Times New Roman" w:eastAsia="Times New Roman" w:hAnsi="Times New Roman" w:cs="Times New Roman"/>
          <w:lang w:val="ro-MD"/>
        </w:rPr>
        <w:t xml:space="preserve"> administrat</w:t>
      </w:r>
      <w:r w:rsidR="00087211"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de societatea participativă sau filialele acesteia împreună cu una sau mai multe </w:t>
      </w:r>
      <w:r w:rsidR="00D25D65" w:rsidRPr="000508B6">
        <w:rPr>
          <w:rFonts w:ascii="Times New Roman" w:eastAsia="Times New Roman" w:hAnsi="Times New Roman" w:cs="Times New Roman"/>
          <w:lang w:val="ro-MD"/>
        </w:rPr>
        <w:t xml:space="preserve">entități </w:t>
      </w:r>
      <w:r w:rsidRPr="000508B6">
        <w:rPr>
          <w:rFonts w:ascii="Times New Roman" w:eastAsia="Times New Roman" w:hAnsi="Times New Roman" w:cs="Times New Roman"/>
          <w:lang w:val="ro-MD"/>
        </w:rPr>
        <w:t xml:space="preserve">care nu fac parte din grup, precum și din </w:t>
      </w:r>
      <w:r w:rsidR="00087211" w:rsidRPr="000508B6">
        <w:rPr>
          <w:rFonts w:ascii="Times New Roman" w:eastAsia="Times New Roman" w:hAnsi="Times New Roman" w:cs="Times New Roman"/>
          <w:lang w:val="ro-MD"/>
        </w:rPr>
        <w:t xml:space="preserve">entitățile legate între ele printr-o relație </w:t>
      </w:r>
      <w:r w:rsidRPr="000508B6">
        <w:rPr>
          <w:rFonts w:ascii="Times New Roman" w:eastAsia="Times New Roman" w:hAnsi="Times New Roman" w:cs="Times New Roman"/>
          <w:lang w:val="ro-MD"/>
        </w:rPr>
        <w:t>prevăzut</w:t>
      </w:r>
      <w:r w:rsidR="00087211"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în art. 3 din Legea </w:t>
      </w:r>
      <w:r w:rsidR="004F0C45" w:rsidRPr="000508B6">
        <w:rPr>
          <w:rFonts w:ascii="Times New Roman" w:eastAsia="Times New Roman" w:hAnsi="Times New Roman" w:cs="Times New Roman"/>
          <w:lang w:val="ro-MD"/>
        </w:rPr>
        <w:t>nr. 287/2017</w:t>
      </w:r>
      <w:r w:rsidR="0095180A" w:rsidRPr="000508B6">
        <w:rPr>
          <w:rFonts w:ascii="Times New Roman" w:eastAsia="Times New Roman" w:hAnsi="Times New Roman" w:cs="Times New Roman"/>
          <w:lang w:val="ro-MD"/>
        </w:rPr>
        <w:t xml:space="preserve"> și entitățile lor afiliate</w:t>
      </w:r>
      <w:r w:rsidRPr="000508B6">
        <w:rPr>
          <w:rFonts w:ascii="Times New Roman" w:eastAsia="Times New Roman" w:hAnsi="Times New Roman" w:cs="Times New Roman"/>
          <w:lang w:val="ro-MD"/>
        </w:rPr>
        <w:t>;</w:t>
      </w:r>
    </w:p>
    <w:p w14:paraId="452D753B" w14:textId="049C5BE9" w:rsidR="004C3F56" w:rsidRPr="000508B6" w:rsidRDefault="00F95829" w:rsidP="00CB2F63">
      <w:pPr>
        <w:pStyle w:val="Listparagraf"/>
        <w:numPr>
          <w:ilvl w:val="2"/>
          <w:numId w:val="313"/>
        </w:numPr>
        <w:tabs>
          <w:tab w:val="left" w:pos="709"/>
          <w:tab w:val="left" w:pos="851"/>
          <w:tab w:val="left" w:pos="1134"/>
          <w:tab w:val="left" w:pos="1276"/>
          <w:tab w:val="left" w:pos="170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se bazează pe </w:t>
      </w:r>
      <w:r w:rsidR="004C3F56" w:rsidRPr="000508B6">
        <w:rPr>
          <w:rFonts w:ascii="Times New Roman" w:eastAsia="Times New Roman" w:hAnsi="Times New Roman" w:cs="Times New Roman"/>
          <w:lang w:val="ro-MD"/>
        </w:rPr>
        <w:t xml:space="preserve">stabilirea contractuală sau de altă natură, a unor relații financiare puternice și durabile între </w:t>
      </w:r>
      <w:r w:rsidR="00E16FC4" w:rsidRPr="000508B6">
        <w:rPr>
          <w:rFonts w:ascii="Times New Roman" w:eastAsia="Times New Roman" w:hAnsi="Times New Roman" w:cs="Times New Roman"/>
          <w:lang w:val="ro-MD"/>
        </w:rPr>
        <w:t>entitățile</w:t>
      </w:r>
      <w:r w:rsidR="004C3F56" w:rsidRPr="000508B6">
        <w:rPr>
          <w:rFonts w:ascii="Times New Roman" w:eastAsia="Times New Roman" w:hAnsi="Times New Roman" w:cs="Times New Roman"/>
          <w:lang w:val="ro-MD"/>
        </w:rPr>
        <w:t xml:space="preserve"> respective și care poate cuprinde </w:t>
      </w:r>
      <w:r w:rsidR="00734E77" w:rsidRPr="000508B6">
        <w:rPr>
          <w:rFonts w:ascii="Times New Roman" w:eastAsia="Times New Roman" w:hAnsi="Times New Roman" w:cs="Times New Roman"/>
          <w:lang w:val="ro-MD"/>
        </w:rPr>
        <w:t xml:space="preserve">societăți </w:t>
      </w:r>
      <w:r w:rsidR="004C3F56" w:rsidRPr="000508B6">
        <w:rPr>
          <w:rFonts w:ascii="Times New Roman" w:eastAsia="Times New Roman" w:hAnsi="Times New Roman" w:cs="Times New Roman"/>
          <w:lang w:val="ro-MD"/>
        </w:rPr>
        <w:t>mutuale, cu condiția ca:</w:t>
      </w:r>
    </w:p>
    <w:p w14:paraId="4FCDAA78" w14:textId="2AFCAC8D" w:rsidR="004C3F56" w:rsidRPr="000508B6" w:rsidRDefault="004C3F56" w:rsidP="00CB2F63">
      <w:pPr>
        <w:pStyle w:val="Listparagraf"/>
        <w:numPr>
          <w:ilvl w:val="4"/>
          <w:numId w:val="31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una dintre aceste </w:t>
      </w:r>
      <w:r w:rsidR="00BD3FDC" w:rsidRPr="000508B6">
        <w:rPr>
          <w:rFonts w:ascii="Times New Roman" w:eastAsia="Times New Roman" w:hAnsi="Times New Roman" w:cs="Times New Roman"/>
          <w:lang w:val="ro-MD"/>
        </w:rPr>
        <w:t>entități</w:t>
      </w:r>
      <w:r w:rsidRPr="000508B6">
        <w:rPr>
          <w:rFonts w:ascii="Times New Roman" w:eastAsia="Times New Roman" w:hAnsi="Times New Roman" w:cs="Times New Roman"/>
          <w:lang w:val="ro-MD"/>
        </w:rPr>
        <w:t xml:space="preserve"> să desfășoare efectiv, printr-o coordonare centralizată, o influență dominantă asupra deciziilor, inclusiv asupra deciziilor financiare, ale celorlalte </w:t>
      </w:r>
      <w:r w:rsidR="00BD3FDC" w:rsidRPr="000508B6">
        <w:rPr>
          <w:rFonts w:ascii="Times New Roman" w:eastAsia="Times New Roman" w:hAnsi="Times New Roman" w:cs="Times New Roman"/>
          <w:lang w:val="ro-MD"/>
        </w:rPr>
        <w:t>entități</w:t>
      </w:r>
      <w:r w:rsidRPr="000508B6">
        <w:rPr>
          <w:rFonts w:ascii="Times New Roman" w:eastAsia="Times New Roman" w:hAnsi="Times New Roman" w:cs="Times New Roman"/>
          <w:lang w:val="ro-MD"/>
        </w:rPr>
        <w:t xml:space="preserve"> care fac parte din grup; și</w:t>
      </w:r>
    </w:p>
    <w:p w14:paraId="0C64F5C0" w14:textId="5CCC6086" w:rsidR="004C3F56" w:rsidRPr="000508B6" w:rsidRDefault="004C3F56" w:rsidP="00BD3FDC">
      <w:pPr>
        <w:pStyle w:val="Listparagraf"/>
        <w:numPr>
          <w:ilvl w:val="4"/>
          <w:numId w:val="313"/>
        </w:numPr>
        <w:tabs>
          <w:tab w:val="left" w:pos="567"/>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stabilirea și dizolvarea acestor relații, în sensul </w:t>
      </w:r>
      <w:r w:rsidR="002D4E2E" w:rsidRPr="000508B6">
        <w:rPr>
          <w:rFonts w:ascii="Times New Roman" w:eastAsia="Times New Roman" w:hAnsi="Times New Roman" w:cs="Times New Roman"/>
          <w:lang w:val="ro-MD"/>
        </w:rPr>
        <w:t>art. 116-152</w:t>
      </w:r>
      <w:r w:rsidRPr="000508B6">
        <w:rPr>
          <w:rFonts w:ascii="Times New Roman" w:eastAsia="Times New Roman" w:hAnsi="Times New Roman" w:cs="Times New Roman"/>
          <w:lang w:val="ro-MD"/>
        </w:rPr>
        <w:t xml:space="preserve">, </w:t>
      </w:r>
      <w:r w:rsidR="00BD3FDC" w:rsidRPr="000508B6">
        <w:rPr>
          <w:rFonts w:ascii="Times New Roman" w:eastAsia="Times New Roman" w:hAnsi="Times New Roman" w:cs="Times New Roman"/>
          <w:lang w:val="ro-MD"/>
        </w:rPr>
        <w:t>se aprobă de către Banca Națională a Moldovei</w:t>
      </w:r>
      <w:r w:rsidRPr="000508B6">
        <w:rPr>
          <w:rFonts w:ascii="Times New Roman" w:eastAsia="Times New Roman" w:hAnsi="Times New Roman" w:cs="Times New Roman"/>
          <w:lang w:val="ro-MD"/>
        </w:rPr>
        <w:t>;</w:t>
      </w:r>
    </w:p>
    <w:p w14:paraId="1D759B9C" w14:textId="11D4286C" w:rsidR="00BD3FDC" w:rsidRPr="000508B6" w:rsidRDefault="004C3F56" w:rsidP="00BD3FDC">
      <w:pPr>
        <w:pStyle w:val="Listparagraf"/>
        <w:numPr>
          <w:ilvl w:val="4"/>
          <w:numId w:val="313"/>
        </w:numPr>
        <w:tabs>
          <w:tab w:val="left" w:pos="567"/>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și în care </w:t>
      </w:r>
      <w:r w:rsidR="00BD3FDC" w:rsidRPr="000508B6">
        <w:rPr>
          <w:rFonts w:ascii="Times New Roman" w:eastAsia="Times New Roman" w:hAnsi="Times New Roman" w:cs="Times New Roman"/>
          <w:lang w:val="ro-MD"/>
        </w:rPr>
        <w:t>entitatea</w:t>
      </w:r>
      <w:r w:rsidRPr="000508B6">
        <w:rPr>
          <w:rFonts w:ascii="Times New Roman" w:eastAsia="Times New Roman" w:hAnsi="Times New Roman" w:cs="Times New Roman"/>
          <w:lang w:val="ro-MD"/>
        </w:rPr>
        <w:t xml:space="preserve"> care asigură coordonarea centralizată este considerată </w:t>
      </w:r>
      <w:r w:rsidR="00BD3FDC" w:rsidRPr="000508B6">
        <w:rPr>
          <w:rFonts w:ascii="Times New Roman" w:eastAsia="Times New Roman" w:hAnsi="Times New Roman" w:cs="Times New Roman"/>
          <w:lang w:val="ro-MD"/>
        </w:rPr>
        <w:t>societate</w:t>
      </w:r>
      <w:r w:rsidRPr="000508B6">
        <w:rPr>
          <w:rFonts w:ascii="Times New Roman" w:eastAsia="Times New Roman" w:hAnsi="Times New Roman" w:cs="Times New Roman"/>
          <w:lang w:val="ro-MD"/>
        </w:rPr>
        <w:t xml:space="preserve">-mamă, iar celelalte </w:t>
      </w:r>
      <w:r w:rsidR="00BD3FDC" w:rsidRPr="000508B6">
        <w:rPr>
          <w:rFonts w:ascii="Times New Roman" w:eastAsia="Times New Roman" w:hAnsi="Times New Roman" w:cs="Times New Roman"/>
          <w:lang w:val="ro-MD"/>
        </w:rPr>
        <w:t>entități</w:t>
      </w:r>
      <w:r w:rsidRPr="000508B6">
        <w:rPr>
          <w:rFonts w:ascii="Times New Roman" w:eastAsia="Times New Roman" w:hAnsi="Times New Roman" w:cs="Times New Roman"/>
          <w:lang w:val="ro-MD"/>
        </w:rPr>
        <w:t xml:space="preserve"> sunt considerate filiale;</w:t>
      </w:r>
    </w:p>
    <w:p w14:paraId="42EA4294" w14:textId="0721FAC5" w:rsidR="00BD3FDC" w:rsidRPr="000508B6" w:rsidRDefault="004C3F56" w:rsidP="00087211">
      <w:pPr>
        <w:pStyle w:val="Listparagraf"/>
        <w:numPr>
          <w:ilvl w:val="2"/>
          <w:numId w:val="313"/>
        </w:numPr>
        <w:tabs>
          <w:tab w:val="left" w:pos="567"/>
          <w:tab w:val="left" w:pos="993"/>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sau</w:t>
      </w:r>
      <w:r w:rsidR="00BD3FDC" w:rsidRPr="000508B6">
        <w:rPr>
          <w:rFonts w:ascii="Times New Roman" w:eastAsia="Times New Roman" w:hAnsi="Times New Roman" w:cs="Times New Roman"/>
          <w:lang w:val="ro-MD"/>
        </w:rPr>
        <w:t xml:space="preserve"> este într-o combinație a lit. a) și b);</w:t>
      </w:r>
    </w:p>
    <w:p w14:paraId="245FC840" w14:textId="0EF72F05" w:rsidR="00E41E4C" w:rsidRPr="000508B6" w:rsidRDefault="00E41E4C" w:rsidP="00CB2F63">
      <w:pPr>
        <w:pStyle w:val="Listparagraf"/>
        <w:numPr>
          <w:ilvl w:val="0"/>
          <w:numId w:val="313"/>
        </w:numPr>
        <w:tabs>
          <w:tab w:val="left" w:pos="709"/>
          <w:tab w:val="left" w:pos="851"/>
          <w:tab w:val="left" w:pos="1134"/>
        </w:tabs>
        <w:ind w:left="0" w:firstLine="426"/>
        <w:jc w:val="both"/>
        <w:rPr>
          <w:rFonts w:ascii="Times New Roman" w:eastAsia="Times New Roman" w:hAnsi="Times New Roman" w:cs="Times New Roman"/>
          <w:iCs/>
          <w:lang w:val="ro-MD"/>
        </w:rPr>
      </w:pPr>
      <w:r w:rsidRPr="000508B6">
        <w:rPr>
          <w:rFonts w:ascii="Times New Roman" w:eastAsia="Times New Roman" w:hAnsi="Times New Roman" w:cs="Times New Roman"/>
          <w:i/>
          <w:lang w:val="ro-MD"/>
        </w:rPr>
        <w:t xml:space="preserve">grup mic și cu un grad redus de complexitate - </w:t>
      </w:r>
      <w:r w:rsidRPr="000508B6">
        <w:rPr>
          <w:rFonts w:ascii="Times New Roman" w:eastAsia="Times New Roman" w:hAnsi="Times New Roman" w:cs="Times New Roman"/>
          <w:iCs/>
          <w:lang w:val="ro-MD"/>
        </w:rPr>
        <w:t xml:space="preserve">grup care îndeplinește condițiile prevăzute la art. 117 și este </w:t>
      </w:r>
      <w:r w:rsidR="00270C88" w:rsidRPr="000508B6">
        <w:rPr>
          <w:rFonts w:ascii="Times New Roman" w:eastAsia="Times New Roman" w:hAnsi="Times New Roman" w:cs="Times New Roman"/>
          <w:iCs/>
          <w:lang w:val="ro-MD"/>
        </w:rPr>
        <w:t xml:space="preserve">încadrat </w:t>
      </w:r>
      <w:r w:rsidRPr="000508B6">
        <w:rPr>
          <w:rFonts w:ascii="Times New Roman" w:eastAsia="Times New Roman" w:hAnsi="Times New Roman" w:cs="Times New Roman"/>
          <w:iCs/>
          <w:lang w:val="ro-MD"/>
        </w:rPr>
        <w:t xml:space="preserve">de </w:t>
      </w:r>
      <w:r w:rsidR="00B77E5E" w:rsidRPr="000508B6">
        <w:rPr>
          <w:rFonts w:ascii="Times New Roman" w:eastAsia="Times New Roman" w:hAnsi="Times New Roman" w:cs="Times New Roman"/>
          <w:iCs/>
          <w:lang w:val="ro-MD"/>
        </w:rPr>
        <w:t xml:space="preserve">către </w:t>
      </w:r>
      <w:r w:rsidRPr="000508B6">
        <w:rPr>
          <w:rFonts w:ascii="Times New Roman" w:eastAsia="Times New Roman" w:hAnsi="Times New Roman" w:cs="Times New Roman"/>
          <w:iCs/>
          <w:lang w:val="ro-MD"/>
        </w:rPr>
        <w:t>Banca Națională a Moldovei în temeiul alin. (3) de la articolul respectiv;</w:t>
      </w:r>
    </w:p>
    <w:p w14:paraId="28CEC90B" w14:textId="2B87BB21" w:rsidR="0051101C" w:rsidRPr="000508B6" w:rsidRDefault="00495773" w:rsidP="00991D99">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holding de asigurare</w:t>
      </w:r>
      <w:r w:rsidRPr="000508B6">
        <w:rPr>
          <w:rFonts w:ascii="Times New Roman" w:eastAsia="Times New Roman" w:hAnsi="Times New Roman" w:cs="Times New Roman"/>
          <w:lang w:val="ro-MD"/>
        </w:rPr>
        <w:t xml:space="preserve"> – </w:t>
      </w:r>
      <w:r w:rsidR="00A679EA" w:rsidRPr="000508B6">
        <w:rPr>
          <w:rFonts w:ascii="Times New Roman" w:eastAsia="Times New Roman" w:hAnsi="Times New Roman" w:cs="Times New Roman"/>
          <w:lang w:val="ro-MD"/>
        </w:rPr>
        <w:t xml:space="preserve">entitatea </w:t>
      </w:r>
      <w:r w:rsidR="0051101C" w:rsidRPr="000508B6">
        <w:rPr>
          <w:rFonts w:ascii="Times New Roman" w:eastAsia="Times New Roman" w:hAnsi="Times New Roman" w:cs="Times New Roman"/>
          <w:lang w:val="ro-MD"/>
        </w:rPr>
        <w:t>care îndeplinește următoare</w:t>
      </w:r>
      <w:r w:rsidR="00801515" w:rsidRPr="000508B6">
        <w:rPr>
          <w:rFonts w:ascii="Times New Roman" w:eastAsia="Times New Roman" w:hAnsi="Times New Roman" w:cs="Times New Roman"/>
          <w:lang w:val="ro-MD"/>
        </w:rPr>
        <w:t>le</w:t>
      </w:r>
      <w:r w:rsidR="00ED38E6" w:rsidRPr="000508B6">
        <w:rPr>
          <w:rFonts w:ascii="Times New Roman" w:eastAsia="Times New Roman" w:hAnsi="Times New Roman" w:cs="Times New Roman"/>
          <w:lang w:val="ro-MD"/>
        </w:rPr>
        <w:t xml:space="preserve"> </w:t>
      </w:r>
      <w:r w:rsidR="00801515" w:rsidRPr="000508B6">
        <w:rPr>
          <w:rFonts w:ascii="Times New Roman" w:eastAsia="Times New Roman" w:hAnsi="Times New Roman" w:cs="Times New Roman"/>
          <w:lang w:val="ro-MD"/>
        </w:rPr>
        <w:t>condiții</w:t>
      </w:r>
      <w:r w:rsidR="0051101C" w:rsidRPr="000508B6">
        <w:rPr>
          <w:rFonts w:ascii="Times New Roman" w:eastAsia="Times New Roman" w:hAnsi="Times New Roman" w:cs="Times New Roman"/>
          <w:lang w:val="ro-MD"/>
        </w:rPr>
        <w:t>:</w:t>
      </w:r>
    </w:p>
    <w:p w14:paraId="20037E3E" w14:textId="22B70414" w:rsidR="0051101C" w:rsidRPr="000508B6" w:rsidRDefault="0051101C" w:rsidP="00991D99">
      <w:pPr>
        <w:pStyle w:val="Listparagraf"/>
        <w:numPr>
          <w:ilvl w:val="3"/>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este o </w:t>
      </w:r>
      <w:r w:rsidR="00ED38E6" w:rsidRPr="000508B6">
        <w:rPr>
          <w:rFonts w:ascii="Times New Roman" w:eastAsia="Times New Roman" w:hAnsi="Times New Roman" w:cs="Times New Roman"/>
          <w:lang w:val="ro-MD"/>
        </w:rPr>
        <w:t>societate</w:t>
      </w:r>
      <w:r w:rsidRPr="000508B6">
        <w:rPr>
          <w:rFonts w:ascii="Times New Roman" w:eastAsia="Times New Roman" w:hAnsi="Times New Roman" w:cs="Times New Roman"/>
          <w:lang w:val="ro-MD"/>
        </w:rPr>
        <w:t>-mamă</w:t>
      </w:r>
      <w:r w:rsidR="00ED38E6" w:rsidRPr="000508B6">
        <w:rPr>
          <w:rFonts w:ascii="Times New Roman" w:eastAsia="Times New Roman" w:hAnsi="Times New Roman" w:cs="Times New Roman"/>
          <w:lang w:val="ro-MD"/>
        </w:rPr>
        <w:t xml:space="preserve"> în sensul art. </w:t>
      </w:r>
      <w:r w:rsidR="00136EE8" w:rsidRPr="000508B6">
        <w:rPr>
          <w:rFonts w:ascii="Times New Roman" w:eastAsia="Times New Roman" w:hAnsi="Times New Roman" w:cs="Times New Roman"/>
          <w:lang w:val="ro-MD"/>
        </w:rPr>
        <w:t>116</w:t>
      </w:r>
      <w:r w:rsidRPr="000508B6">
        <w:rPr>
          <w:rFonts w:ascii="Times New Roman" w:eastAsia="Times New Roman" w:hAnsi="Times New Roman" w:cs="Times New Roman"/>
          <w:lang w:val="ro-MD"/>
        </w:rPr>
        <w:t>;</w:t>
      </w:r>
    </w:p>
    <w:p w14:paraId="410EE2CC" w14:textId="2F0349B8" w:rsidR="0051101C" w:rsidRPr="000508B6" w:rsidRDefault="0051101C" w:rsidP="00CF5AFA">
      <w:pPr>
        <w:pStyle w:val="Listparagraf"/>
        <w:numPr>
          <w:ilvl w:val="3"/>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nu este o </w:t>
      </w:r>
      <w:r w:rsidR="006A004C" w:rsidRPr="000508B6">
        <w:rPr>
          <w:rFonts w:ascii="Times New Roman" w:eastAsia="Times New Roman" w:hAnsi="Times New Roman" w:cs="Times New Roman"/>
          <w:lang w:val="ro-MD"/>
        </w:rPr>
        <w:t>instituție de credit</w:t>
      </w:r>
      <w:r w:rsidRPr="000508B6">
        <w:rPr>
          <w:rFonts w:ascii="Times New Roman" w:eastAsia="Times New Roman" w:hAnsi="Times New Roman" w:cs="Times New Roman"/>
          <w:lang w:val="ro-MD"/>
        </w:rPr>
        <w:t xml:space="preserve">, </w:t>
      </w:r>
      <w:r w:rsidR="0019179D" w:rsidRPr="000508B6">
        <w:rPr>
          <w:rFonts w:ascii="Times New Roman" w:eastAsia="Times New Roman" w:hAnsi="Times New Roman" w:cs="Times New Roman"/>
          <w:lang w:val="ro-MD"/>
        </w:rPr>
        <w:t>un asigurător</w:t>
      </w:r>
      <w:r w:rsidRPr="000508B6">
        <w:rPr>
          <w:rFonts w:ascii="Times New Roman" w:eastAsia="Times New Roman" w:hAnsi="Times New Roman" w:cs="Times New Roman"/>
          <w:lang w:val="ro-MD"/>
        </w:rPr>
        <w:t xml:space="preserve">, </w:t>
      </w:r>
      <w:r w:rsidR="0019179D" w:rsidRPr="000508B6">
        <w:rPr>
          <w:rFonts w:ascii="Times New Roman" w:eastAsia="Times New Roman" w:hAnsi="Times New Roman" w:cs="Times New Roman"/>
          <w:lang w:val="ro-MD"/>
        </w:rPr>
        <w:t xml:space="preserve">un </w:t>
      </w:r>
      <w:proofErr w:type="spellStart"/>
      <w:r w:rsidR="0019179D"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o societate de investiții sau  un fond de pensii </w:t>
      </w:r>
      <w:r w:rsidR="00E16FC4" w:rsidRPr="000508B6">
        <w:rPr>
          <w:rFonts w:ascii="Times New Roman" w:eastAsia="Times New Roman" w:hAnsi="Times New Roman" w:cs="Times New Roman"/>
          <w:lang w:val="ro-MD"/>
        </w:rPr>
        <w:t>ocupațional</w:t>
      </w:r>
      <w:r w:rsidR="006A6516"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w:t>
      </w:r>
    </w:p>
    <w:p w14:paraId="731F7084" w14:textId="7CC1F3EE" w:rsidR="0051101C" w:rsidRPr="000508B6" w:rsidRDefault="0051101C" w:rsidP="00CF5AFA">
      <w:pPr>
        <w:pStyle w:val="Listparagraf"/>
        <w:numPr>
          <w:ilvl w:val="3"/>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nu este o </w:t>
      </w:r>
      <w:r w:rsidRPr="000508B6" w:rsidDel="00796058">
        <w:rPr>
          <w:rFonts w:ascii="Times New Roman" w:eastAsia="Times New Roman" w:hAnsi="Times New Roman" w:cs="Times New Roman"/>
          <w:lang w:val="ro-MD"/>
        </w:rPr>
        <w:t xml:space="preserve">societate </w:t>
      </w:r>
      <w:r w:rsidRPr="000508B6">
        <w:rPr>
          <w:rFonts w:ascii="Times New Roman" w:eastAsia="Times New Roman" w:hAnsi="Times New Roman" w:cs="Times New Roman"/>
          <w:lang w:val="ro-MD"/>
        </w:rPr>
        <w:t>financiar</w:t>
      </w:r>
      <w:r w:rsidR="00796058"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holding mixtă sau o </w:t>
      </w:r>
      <w:r w:rsidRPr="000508B6" w:rsidDel="00796058">
        <w:rPr>
          <w:rFonts w:ascii="Times New Roman" w:eastAsia="Times New Roman" w:hAnsi="Times New Roman" w:cs="Times New Roman"/>
          <w:lang w:val="ro-MD"/>
        </w:rPr>
        <w:t xml:space="preserve">societate </w:t>
      </w:r>
      <w:r w:rsidR="00796058" w:rsidRPr="000508B6">
        <w:rPr>
          <w:rFonts w:ascii="Times New Roman" w:eastAsia="Times New Roman" w:hAnsi="Times New Roman" w:cs="Times New Roman"/>
          <w:lang w:val="ro-MD"/>
        </w:rPr>
        <w:t xml:space="preserve">financiară </w:t>
      </w:r>
      <w:r w:rsidRPr="000508B6">
        <w:rPr>
          <w:rFonts w:ascii="Times New Roman" w:eastAsia="Times New Roman" w:hAnsi="Times New Roman" w:cs="Times New Roman"/>
          <w:lang w:val="ro-MD"/>
        </w:rPr>
        <w:t xml:space="preserve">holding </w:t>
      </w:r>
      <w:r w:rsidR="00796058" w:rsidRPr="000508B6">
        <w:rPr>
          <w:rFonts w:ascii="Times New Roman" w:eastAsia="Times New Roman" w:hAnsi="Times New Roman" w:cs="Times New Roman"/>
          <w:lang w:val="ro-MD"/>
        </w:rPr>
        <w:t xml:space="preserve">astfel cum este definit la </w:t>
      </w:r>
      <w:r w:rsidRPr="000508B6">
        <w:rPr>
          <w:rFonts w:ascii="Times New Roman" w:eastAsia="Times New Roman" w:hAnsi="Times New Roman" w:cs="Times New Roman"/>
          <w:lang w:val="ro-MD"/>
        </w:rPr>
        <w:t xml:space="preserve">art. 3 din Legea nr. 202/2017; </w:t>
      </w:r>
    </w:p>
    <w:p w14:paraId="182C71F0" w14:textId="70F0F3F4" w:rsidR="0051101C" w:rsidRPr="000508B6" w:rsidRDefault="0051101C" w:rsidP="00CF5AFA">
      <w:pPr>
        <w:pStyle w:val="Listparagraf"/>
        <w:numPr>
          <w:ilvl w:val="3"/>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cel puțin o filială a </w:t>
      </w:r>
      <w:r w:rsidR="00A679EA" w:rsidRPr="000508B6">
        <w:rPr>
          <w:rFonts w:ascii="Times New Roman" w:eastAsia="Times New Roman" w:hAnsi="Times New Roman" w:cs="Times New Roman"/>
          <w:lang w:val="ro-MD"/>
        </w:rPr>
        <w:t xml:space="preserve">entității </w:t>
      </w:r>
      <w:r w:rsidRPr="000508B6">
        <w:rPr>
          <w:rFonts w:ascii="Times New Roman" w:eastAsia="Times New Roman" w:hAnsi="Times New Roman" w:cs="Times New Roman"/>
          <w:lang w:val="ro-MD"/>
        </w:rPr>
        <w:t xml:space="preserve">respective este </w:t>
      </w:r>
      <w:r w:rsidR="00177C4A" w:rsidRPr="000508B6">
        <w:rPr>
          <w:rFonts w:ascii="Times New Roman" w:eastAsia="Times New Roman" w:hAnsi="Times New Roman" w:cs="Times New Roman"/>
          <w:lang w:val="ro-MD"/>
        </w:rPr>
        <w:t xml:space="preserve">un </w:t>
      </w:r>
      <w:r w:rsidR="00B36665" w:rsidRPr="000508B6">
        <w:rPr>
          <w:rFonts w:ascii="Times New Roman" w:eastAsia="Times New Roman" w:hAnsi="Times New Roman" w:cs="Times New Roman"/>
          <w:lang w:val="ro-MD"/>
        </w:rPr>
        <w:t xml:space="preserve">asigurător </w:t>
      </w:r>
      <w:r w:rsidR="00177C4A" w:rsidRPr="000508B6">
        <w:rPr>
          <w:rFonts w:ascii="Times New Roman" w:eastAsia="Times New Roman" w:hAnsi="Times New Roman" w:cs="Times New Roman"/>
          <w:lang w:val="ro-MD"/>
        </w:rPr>
        <w:t xml:space="preserve">sau </w:t>
      </w:r>
      <w:proofErr w:type="spellStart"/>
      <w:r w:rsidR="00B36665" w:rsidRPr="000508B6">
        <w:rPr>
          <w:rFonts w:ascii="Times New Roman" w:eastAsia="Times New Roman" w:hAnsi="Times New Roman" w:cs="Times New Roman"/>
          <w:lang w:val="ro-MD"/>
        </w:rPr>
        <w:t>reasigurător</w:t>
      </w:r>
      <w:proofErr w:type="spellEnd"/>
      <w:r w:rsidR="00776975" w:rsidRPr="000508B6">
        <w:rPr>
          <w:rFonts w:ascii="Times New Roman" w:eastAsia="Times New Roman" w:hAnsi="Times New Roman" w:cs="Times New Roman"/>
          <w:lang w:val="ro-MD"/>
        </w:rPr>
        <w:t>;</w:t>
      </w:r>
    </w:p>
    <w:p w14:paraId="7C1BD2EF" w14:textId="49F83092" w:rsidR="0051101C" w:rsidRPr="000508B6" w:rsidRDefault="00ED38E6" w:rsidP="00CF5AFA">
      <w:pPr>
        <w:pStyle w:val="Listparagraf"/>
        <w:numPr>
          <w:ilvl w:val="3"/>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 derogare de la</w:t>
      </w:r>
      <w:r w:rsidR="0051101C" w:rsidRPr="000508B6">
        <w:rPr>
          <w:rFonts w:ascii="Times New Roman" w:eastAsia="Times New Roman" w:hAnsi="Times New Roman" w:cs="Times New Roman"/>
          <w:lang w:val="ro-MD"/>
        </w:rPr>
        <w:t xml:space="preserve"> obiectul de activitate declarat al acesteia, activitatea principală a </w:t>
      </w:r>
      <w:r w:rsidR="0001482B" w:rsidRPr="000508B6">
        <w:rPr>
          <w:rFonts w:ascii="Times New Roman" w:eastAsia="Times New Roman" w:hAnsi="Times New Roman" w:cs="Times New Roman"/>
          <w:lang w:val="ro-MD"/>
        </w:rPr>
        <w:t xml:space="preserve">entității </w:t>
      </w:r>
      <w:r w:rsidR="0051101C" w:rsidRPr="000508B6">
        <w:rPr>
          <w:rFonts w:ascii="Times New Roman" w:eastAsia="Times New Roman" w:hAnsi="Times New Roman" w:cs="Times New Roman"/>
          <w:lang w:val="ro-MD"/>
        </w:rPr>
        <w:t>este oricare dintre următoarele:</w:t>
      </w:r>
    </w:p>
    <w:p w14:paraId="5278175B" w14:textId="5005C0F2" w:rsidR="0051101C" w:rsidRPr="000508B6" w:rsidRDefault="00B85A85" w:rsidP="0005767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(i)</w:t>
      </w:r>
      <w:r w:rsidR="004E32D1" w:rsidRPr="000508B6">
        <w:rPr>
          <w:rFonts w:ascii="Times New Roman" w:eastAsia="Times New Roman" w:hAnsi="Times New Roman" w:cs="Times New Roman"/>
          <w:lang w:val="ro-MD"/>
        </w:rPr>
        <w:t xml:space="preserve"> </w:t>
      </w:r>
      <w:r w:rsidR="0051101C" w:rsidRPr="000508B6">
        <w:rPr>
          <w:rFonts w:ascii="Times New Roman" w:eastAsia="Times New Roman" w:hAnsi="Times New Roman" w:cs="Times New Roman"/>
          <w:lang w:val="ro-MD"/>
        </w:rPr>
        <w:t>achiziționarea și deținerea de participații în</w:t>
      </w:r>
      <w:r w:rsidR="005B6BB7" w:rsidRPr="000508B6">
        <w:rPr>
          <w:rFonts w:ascii="Times New Roman" w:eastAsia="Times New Roman" w:hAnsi="Times New Roman" w:cs="Times New Roman"/>
          <w:lang w:val="ro-MD"/>
        </w:rPr>
        <w:t>tr-</w:t>
      </w:r>
      <w:r w:rsidR="002B5B25" w:rsidRPr="000508B6">
        <w:rPr>
          <w:rFonts w:ascii="Times New Roman" w:eastAsia="Times New Roman" w:hAnsi="Times New Roman" w:cs="Times New Roman"/>
          <w:lang w:val="ro-MD"/>
        </w:rPr>
        <w:t xml:space="preserve">un asigurător sau </w:t>
      </w:r>
      <w:proofErr w:type="spellStart"/>
      <w:r w:rsidR="002B5B25" w:rsidRPr="000508B6">
        <w:rPr>
          <w:rFonts w:ascii="Times New Roman" w:eastAsia="Times New Roman" w:hAnsi="Times New Roman" w:cs="Times New Roman"/>
          <w:lang w:val="ro-MD"/>
        </w:rPr>
        <w:t>reasigurător</w:t>
      </w:r>
      <w:proofErr w:type="spellEnd"/>
      <w:r w:rsidR="0051101C" w:rsidRPr="000508B6">
        <w:rPr>
          <w:rFonts w:ascii="Times New Roman" w:eastAsia="Times New Roman" w:hAnsi="Times New Roman" w:cs="Times New Roman"/>
          <w:lang w:val="ro-MD"/>
        </w:rPr>
        <w:t>;</w:t>
      </w:r>
    </w:p>
    <w:p w14:paraId="6424D3B3" w14:textId="3BF955A1" w:rsidR="0051101C" w:rsidRPr="000508B6" w:rsidRDefault="00B85A85" w:rsidP="0005767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(i</w:t>
      </w:r>
      <w:r w:rsidR="00B60B67"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w:t>
      </w:r>
      <w:r w:rsidR="004E32D1" w:rsidRPr="000508B6">
        <w:rPr>
          <w:rFonts w:ascii="Times New Roman" w:eastAsia="Times New Roman" w:hAnsi="Times New Roman" w:cs="Times New Roman"/>
          <w:lang w:val="ro-MD"/>
        </w:rPr>
        <w:t xml:space="preserve"> </w:t>
      </w:r>
      <w:r w:rsidR="0051101C" w:rsidRPr="000508B6">
        <w:rPr>
          <w:rFonts w:ascii="Times New Roman" w:eastAsia="Times New Roman" w:hAnsi="Times New Roman" w:cs="Times New Roman"/>
          <w:lang w:val="ro-MD"/>
        </w:rPr>
        <w:t xml:space="preserve">furnizarea de servicii auxiliare activității principale a </w:t>
      </w:r>
      <w:r w:rsidR="00177C4A" w:rsidRPr="000508B6">
        <w:rPr>
          <w:rFonts w:ascii="Times New Roman" w:eastAsia="Times New Roman" w:hAnsi="Times New Roman" w:cs="Times New Roman"/>
          <w:lang w:val="ro-MD"/>
        </w:rPr>
        <w:t>filialelor de asigurare sau reasigurare</w:t>
      </w:r>
      <w:r w:rsidR="0051101C" w:rsidRPr="000508B6">
        <w:rPr>
          <w:rFonts w:ascii="Times New Roman" w:eastAsia="Times New Roman" w:hAnsi="Times New Roman" w:cs="Times New Roman"/>
          <w:lang w:val="ro-MD"/>
        </w:rPr>
        <w:t>;</w:t>
      </w:r>
    </w:p>
    <w:p w14:paraId="73DA6B77" w14:textId="77C0003E" w:rsidR="0051101C" w:rsidRPr="000508B6" w:rsidRDefault="00B85A85" w:rsidP="0005767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(iii)</w:t>
      </w:r>
      <w:r w:rsidR="004E32D1" w:rsidRPr="000508B6">
        <w:rPr>
          <w:rFonts w:ascii="Times New Roman" w:eastAsia="Times New Roman" w:hAnsi="Times New Roman" w:cs="Times New Roman"/>
          <w:lang w:val="ro-MD"/>
        </w:rPr>
        <w:t xml:space="preserve"> </w:t>
      </w:r>
      <w:r w:rsidR="0051101C" w:rsidRPr="000508B6">
        <w:rPr>
          <w:rFonts w:ascii="Times New Roman" w:eastAsia="Times New Roman" w:hAnsi="Times New Roman" w:cs="Times New Roman"/>
          <w:lang w:val="ro-MD"/>
        </w:rPr>
        <w:t xml:space="preserve">desfășurarea </w:t>
      </w:r>
      <w:r w:rsidR="00177C4A" w:rsidRPr="000508B6">
        <w:rPr>
          <w:rFonts w:ascii="Times New Roman" w:eastAsia="Times New Roman" w:hAnsi="Times New Roman" w:cs="Times New Roman"/>
          <w:lang w:val="ro-MD"/>
        </w:rPr>
        <w:t xml:space="preserve">cel puțin a </w:t>
      </w:r>
      <w:r w:rsidR="0051101C" w:rsidRPr="000508B6">
        <w:rPr>
          <w:rFonts w:ascii="Times New Roman" w:eastAsia="Times New Roman" w:hAnsi="Times New Roman" w:cs="Times New Roman"/>
          <w:lang w:val="ro-MD"/>
        </w:rPr>
        <w:t xml:space="preserve">uneia </w:t>
      </w:r>
      <w:r w:rsidR="00043755" w:rsidRPr="000508B6">
        <w:rPr>
          <w:rFonts w:ascii="Times New Roman" w:eastAsia="Times New Roman" w:hAnsi="Times New Roman" w:cs="Times New Roman"/>
          <w:lang w:val="ro-MD"/>
        </w:rPr>
        <w:t xml:space="preserve">dintre </w:t>
      </w:r>
      <w:r w:rsidR="0051101C" w:rsidRPr="000508B6">
        <w:rPr>
          <w:rFonts w:ascii="Times New Roman" w:eastAsia="Times New Roman" w:hAnsi="Times New Roman" w:cs="Times New Roman"/>
          <w:lang w:val="ro-MD"/>
        </w:rPr>
        <w:t xml:space="preserve">activitățile prevăzute în </w:t>
      </w:r>
      <w:r w:rsidR="00ED38E6" w:rsidRPr="000508B6">
        <w:rPr>
          <w:rFonts w:ascii="Times New Roman" w:eastAsia="Times New Roman" w:hAnsi="Times New Roman" w:cs="Times New Roman"/>
          <w:lang w:val="ro-MD"/>
        </w:rPr>
        <w:t>L</w:t>
      </w:r>
      <w:r w:rsidR="0051101C" w:rsidRPr="000508B6">
        <w:rPr>
          <w:rFonts w:ascii="Times New Roman" w:eastAsia="Times New Roman" w:hAnsi="Times New Roman" w:cs="Times New Roman"/>
          <w:lang w:val="ro-MD"/>
        </w:rPr>
        <w:t xml:space="preserve">egea nr. 202/2017 </w:t>
      </w:r>
      <w:r w:rsidR="00A456FC" w:rsidRPr="000508B6">
        <w:rPr>
          <w:rFonts w:ascii="Times New Roman" w:eastAsia="Times New Roman" w:hAnsi="Times New Roman" w:cs="Times New Roman"/>
          <w:lang w:val="ro-MD"/>
        </w:rPr>
        <w:t>și</w:t>
      </w:r>
      <w:r w:rsidR="0051101C" w:rsidRPr="000508B6">
        <w:rPr>
          <w:rFonts w:ascii="Times New Roman" w:eastAsia="Times New Roman" w:hAnsi="Times New Roman" w:cs="Times New Roman"/>
          <w:lang w:val="ro-MD"/>
        </w:rPr>
        <w:t xml:space="preserve"> Legea nr. 171/</w:t>
      </w:r>
      <w:r w:rsidR="00BE2EE4" w:rsidRPr="000508B6">
        <w:rPr>
          <w:rFonts w:ascii="Times New Roman" w:eastAsia="Times New Roman" w:hAnsi="Times New Roman" w:cs="Times New Roman"/>
          <w:lang w:val="ro-MD"/>
        </w:rPr>
        <w:t>2012</w:t>
      </w:r>
      <w:r w:rsidR="00D134B6" w:rsidRPr="000508B6">
        <w:rPr>
          <w:rFonts w:ascii="Times New Roman" w:eastAsia="Times New Roman" w:hAnsi="Times New Roman" w:cs="Times New Roman"/>
          <w:lang w:val="ro-MD"/>
        </w:rPr>
        <w:t xml:space="preserve"> privind piața de capital (în continuare – Legea nr. 171/20102)</w:t>
      </w:r>
      <w:r w:rsidR="0051101C" w:rsidRPr="000508B6">
        <w:rPr>
          <w:rFonts w:ascii="Times New Roman" w:eastAsia="Times New Roman" w:hAnsi="Times New Roman" w:cs="Times New Roman"/>
          <w:lang w:val="ro-MD"/>
        </w:rPr>
        <w:t>;</w:t>
      </w:r>
    </w:p>
    <w:p w14:paraId="1D59B496" w14:textId="38FB35D3" w:rsidR="0051101C" w:rsidRPr="000508B6" w:rsidRDefault="0051101C" w:rsidP="00682B26">
      <w:pPr>
        <w:pStyle w:val="Listparagraf"/>
        <w:numPr>
          <w:ilvl w:val="3"/>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peste 50 % din cel puțin unul dintre următorii indicatori sunt asociați, în mod constant, cu filiale care sunt </w:t>
      </w:r>
      <w:r w:rsidR="002B5B25" w:rsidRPr="000508B6">
        <w:rPr>
          <w:rFonts w:ascii="Times New Roman" w:eastAsia="Times New Roman" w:hAnsi="Times New Roman" w:cs="Times New Roman"/>
          <w:lang w:val="ro-MD"/>
        </w:rPr>
        <w:t xml:space="preserve">asigurători sau </w:t>
      </w:r>
      <w:proofErr w:type="spellStart"/>
      <w:r w:rsidR="002B5B25" w:rsidRPr="000508B6">
        <w:rPr>
          <w:rFonts w:ascii="Times New Roman" w:eastAsia="Times New Roman" w:hAnsi="Times New Roman" w:cs="Times New Roman"/>
          <w:lang w:val="ro-MD"/>
        </w:rPr>
        <w:t>reasigurători</w:t>
      </w:r>
      <w:proofErr w:type="spellEnd"/>
      <w:r w:rsidRPr="000508B6">
        <w:rPr>
          <w:rFonts w:ascii="Times New Roman" w:eastAsia="Times New Roman" w:hAnsi="Times New Roman" w:cs="Times New Roman"/>
          <w:lang w:val="ro-MD"/>
        </w:rPr>
        <w:t xml:space="preserve">, </w:t>
      </w:r>
      <w:r w:rsidR="00C5163B" w:rsidRPr="000508B6">
        <w:rPr>
          <w:rFonts w:ascii="Times New Roman" w:eastAsia="Times New Roman" w:hAnsi="Times New Roman" w:cs="Times New Roman"/>
          <w:lang w:val="ro-MD"/>
        </w:rPr>
        <w:t xml:space="preserve">asigurători </w:t>
      </w:r>
      <w:r w:rsidRPr="000508B6">
        <w:rPr>
          <w:rFonts w:ascii="Times New Roman" w:eastAsia="Times New Roman" w:hAnsi="Times New Roman" w:cs="Times New Roman"/>
          <w:lang w:val="ro-MD"/>
        </w:rPr>
        <w:t xml:space="preserve">din </w:t>
      </w:r>
      <w:r w:rsidR="00D7706F" w:rsidRPr="000508B6">
        <w:rPr>
          <w:rFonts w:ascii="Times New Roman" w:eastAsia="Times New Roman" w:hAnsi="Times New Roman" w:cs="Times New Roman"/>
          <w:lang w:val="ro-MD"/>
        </w:rPr>
        <w:t xml:space="preserve">state </w:t>
      </w:r>
      <w:r w:rsidRPr="000508B6">
        <w:rPr>
          <w:rFonts w:ascii="Times New Roman" w:eastAsia="Times New Roman" w:hAnsi="Times New Roman" w:cs="Times New Roman"/>
          <w:lang w:val="ro-MD"/>
        </w:rPr>
        <w:t xml:space="preserve">terțe, holdinguri de asigurare sau holdinguri financiare mixte, holdinguri de </w:t>
      </w:r>
      <w:r w:rsidR="002B5B25" w:rsidRPr="000508B6">
        <w:rPr>
          <w:rFonts w:ascii="Times New Roman" w:eastAsia="Times New Roman" w:hAnsi="Times New Roman" w:cs="Times New Roman"/>
          <w:lang w:val="ro-MD"/>
        </w:rPr>
        <w:t xml:space="preserve">asigurători sau </w:t>
      </w:r>
      <w:proofErr w:type="spellStart"/>
      <w:r w:rsidR="002B5B25" w:rsidRPr="000508B6">
        <w:rPr>
          <w:rFonts w:ascii="Times New Roman" w:eastAsia="Times New Roman" w:hAnsi="Times New Roman" w:cs="Times New Roman"/>
          <w:lang w:val="ro-MD"/>
        </w:rPr>
        <w:t>reasigurători</w:t>
      </w:r>
      <w:proofErr w:type="spellEnd"/>
      <w:r w:rsidR="002B5B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w:t>
      </w:r>
      <w:r w:rsidR="00D7706F" w:rsidRPr="000508B6">
        <w:rPr>
          <w:rFonts w:ascii="Times New Roman" w:eastAsia="Times New Roman" w:hAnsi="Times New Roman" w:cs="Times New Roman"/>
          <w:lang w:val="ro-MD"/>
        </w:rPr>
        <w:t xml:space="preserve">state </w:t>
      </w:r>
      <w:r w:rsidRPr="000508B6">
        <w:rPr>
          <w:rFonts w:ascii="Times New Roman" w:eastAsia="Times New Roman" w:hAnsi="Times New Roman" w:cs="Times New Roman"/>
          <w:lang w:val="ro-MD"/>
        </w:rPr>
        <w:t>terțe ori entități care furnizează servicii auxiliare activității principale a</w:t>
      </w:r>
      <w:r w:rsidR="00160F6D" w:rsidRPr="000508B6">
        <w:rPr>
          <w:rFonts w:ascii="Times New Roman" w:eastAsia="Times New Roman" w:hAnsi="Times New Roman" w:cs="Times New Roman"/>
          <w:lang w:val="ro-MD"/>
        </w:rPr>
        <w:t>le</w:t>
      </w:r>
      <w:r w:rsidRPr="000508B6">
        <w:rPr>
          <w:rFonts w:ascii="Times New Roman" w:eastAsia="Times New Roman" w:hAnsi="Times New Roman" w:cs="Times New Roman"/>
          <w:lang w:val="ro-MD"/>
        </w:rPr>
        <w:t xml:space="preserve"> uneia sau mai multor </w:t>
      </w:r>
      <w:r w:rsidR="00177C4A" w:rsidRPr="000508B6">
        <w:rPr>
          <w:rFonts w:ascii="Times New Roman" w:eastAsia="Times New Roman" w:hAnsi="Times New Roman" w:cs="Times New Roman"/>
          <w:lang w:val="ro-MD"/>
        </w:rPr>
        <w:t xml:space="preserve">asigurători sau </w:t>
      </w:r>
      <w:proofErr w:type="spellStart"/>
      <w:r w:rsidR="00B36665" w:rsidRPr="000508B6">
        <w:rPr>
          <w:rFonts w:ascii="Times New Roman" w:eastAsia="Times New Roman" w:hAnsi="Times New Roman" w:cs="Times New Roman"/>
          <w:lang w:val="ro-MD"/>
        </w:rPr>
        <w:t>reasigurători</w:t>
      </w:r>
      <w:proofErr w:type="spellEnd"/>
      <w:r w:rsidR="00B3666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din grup, precum și cu activități</w:t>
      </w:r>
      <w:r w:rsidR="00160F6D" w:rsidRPr="000508B6">
        <w:rPr>
          <w:rFonts w:ascii="Times New Roman" w:eastAsia="Times New Roman" w:hAnsi="Times New Roman" w:cs="Times New Roman"/>
          <w:lang w:val="ro-MD"/>
        </w:rPr>
        <w:t>le</w:t>
      </w:r>
      <w:r w:rsidRPr="000508B6">
        <w:rPr>
          <w:rFonts w:ascii="Times New Roman" w:eastAsia="Times New Roman" w:hAnsi="Times New Roman" w:cs="Times New Roman"/>
          <w:lang w:val="ro-MD"/>
        </w:rPr>
        <w:t xml:space="preserve"> desfășurate de </w:t>
      </w:r>
      <w:r w:rsidR="00177C4A" w:rsidRPr="000508B6">
        <w:rPr>
          <w:rFonts w:ascii="Times New Roman" w:eastAsia="Times New Roman" w:hAnsi="Times New Roman" w:cs="Times New Roman"/>
          <w:lang w:val="ro-MD"/>
        </w:rPr>
        <w:t>entitate</w:t>
      </w:r>
      <w:r w:rsidRPr="000508B6">
        <w:rPr>
          <w:rFonts w:ascii="Times New Roman" w:eastAsia="Times New Roman" w:hAnsi="Times New Roman" w:cs="Times New Roman"/>
          <w:lang w:val="ro-MD"/>
        </w:rPr>
        <w:t xml:space="preserve"> însăși care nu sunt legate de achiziționarea sau deținerea de participații în filiale care sunt </w:t>
      </w:r>
      <w:r w:rsidR="00B36665" w:rsidRPr="000508B6">
        <w:rPr>
          <w:rFonts w:ascii="Times New Roman" w:eastAsia="Times New Roman" w:hAnsi="Times New Roman" w:cs="Times New Roman"/>
          <w:lang w:val="ro-MD"/>
        </w:rPr>
        <w:t xml:space="preserve">asigurători </w:t>
      </w:r>
      <w:r w:rsidR="00177C4A" w:rsidRPr="000508B6">
        <w:rPr>
          <w:rFonts w:ascii="Times New Roman" w:eastAsia="Times New Roman" w:hAnsi="Times New Roman" w:cs="Times New Roman"/>
          <w:lang w:val="ro-MD"/>
        </w:rPr>
        <w:t xml:space="preserve">sau </w:t>
      </w:r>
      <w:proofErr w:type="spellStart"/>
      <w:r w:rsidR="00B36665" w:rsidRPr="000508B6">
        <w:rPr>
          <w:rFonts w:ascii="Times New Roman" w:eastAsia="Times New Roman" w:hAnsi="Times New Roman" w:cs="Times New Roman"/>
          <w:lang w:val="ro-MD"/>
        </w:rPr>
        <w:t>reasigurători</w:t>
      </w:r>
      <w:proofErr w:type="spellEnd"/>
      <w:r w:rsidR="00B3666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w:t>
      </w:r>
      <w:r w:rsidR="00D7706F" w:rsidRPr="000508B6">
        <w:rPr>
          <w:rFonts w:ascii="Times New Roman" w:eastAsia="Times New Roman" w:hAnsi="Times New Roman" w:cs="Times New Roman"/>
          <w:lang w:val="ro-MD"/>
        </w:rPr>
        <w:t xml:space="preserve">state </w:t>
      </w:r>
      <w:r w:rsidRPr="000508B6">
        <w:rPr>
          <w:rFonts w:ascii="Times New Roman" w:eastAsia="Times New Roman" w:hAnsi="Times New Roman" w:cs="Times New Roman"/>
          <w:lang w:val="ro-MD"/>
        </w:rPr>
        <w:t xml:space="preserve">terțe, atunci când aceste activități sunt de aceeași natură ca cele desfășurate de </w:t>
      </w:r>
      <w:r w:rsidR="00B36665" w:rsidRPr="000508B6">
        <w:rPr>
          <w:rFonts w:ascii="Times New Roman" w:eastAsia="Times New Roman" w:hAnsi="Times New Roman" w:cs="Times New Roman"/>
          <w:lang w:val="ro-MD"/>
        </w:rPr>
        <w:t>asigurători</w:t>
      </w:r>
      <w:r w:rsidR="00177C4A" w:rsidRPr="000508B6">
        <w:rPr>
          <w:rFonts w:ascii="Times New Roman" w:eastAsia="Times New Roman" w:hAnsi="Times New Roman" w:cs="Times New Roman"/>
          <w:lang w:val="ro-MD"/>
        </w:rPr>
        <w:t xml:space="preserve"> sau </w:t>
      </w:r>
      <w:proofErr w:type="spellStart"/>
      <w:r w:rsidR="00177C4A" w:rsidRPr="000508B6">
        <w:rPr>
          <w:rFonts w:ascii="Times New Roman" w:eastAsia="Times New Roman" w:hAnsi="Times New Roman" w:cs="Times New Roman"/>
          <w:lang w:val="ro-MD"/>
        </w:rPr>
        <w:t>r</w:t>
      </w:r>
      <w:r w:rsidR="00B36665" w:rsidRPr="000508B6">
        <w:rPr>
          <w:rFonts w:ascii="Times New Roman" w:eastAsia="Times New Roman" w:hAnsi="Times New Roman" w:cs="Times New Roman"/>
          <w:lang w:val="ro-MD"/>
        </w:rPr>
        <w:t>reasigurători</w:t>
      </w:r>
      <w:proofErr w:type="spellEnd"/>
      <w:r w:rsidR="00177C4A" w:rsidRPr="000508B6">
        <w:rPr>
          <w:rFonts w:ascii="Times New Roman" w:eastAsia="Times New Roman" w:hAnsi="Times New Roman" w:cs="Times New Roman"/>
          <w:lang w:val="ro-MD"/>
        </w:rPr>
        <w:t xml:space="preserve">: </w:t>
      </w:r>
    </w:p>
    <w:p w14:paraId="157197D1" w14:textId="0674AF78" w:rsidR="0051101C" w:rsidRPr="000508B6" w:rsidRDefault="0051101C" w:rsidP="00CF5AFA">
      <w:pPr>
        <w:pStyle w:val="Listparagraf"/>
        <w:numPr>
          <w:ilvl w:val="0"/>
          <w:numId w:val="346"/>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capitalurile proprii ale </w:t>
      </w:r>
      <w:r w:rsidR="001C4FA9" w:rsidRPr="000508B6">
        <w:rPr>
          <w:rFonts w:ascii="Times New Roman" w:eastAsia="Times New Roman" w:hAnsi="Times New Roman" w:cs="Times New Roman"/>
          <w:lang w:val="ro-MD"/>
        </w:rPr>
        <w:t>entității</w:t>
      </w:r>
      <w:r w:rsidRPr="000508B6">
        <w:rPr>
          <w:rFonts w:ascii="Times New Roman" w:eastAsia="Times New Roman" w:hAnsi="Times New Roman" w:cs="Times New Roman"/>
          <w:lang w:val="ro-MD"/>
        </w:rPr>
        <w:t xml:space="preserve"> pe baza poziției sale consolidate;</w:t>
      </w:r>
    </w:p>
    <w:p w14:paraId="41D9DEAE" w14:textId="450AE2A3" w:rsidR="0051101C" w:rsidRPr="000508B6" w:rsidRDefault="0051101C" w:rsidP="00CF5AFA">
      <w:pPr>
        <w:pStyle w:val="Listparagraf"/>
        <w:numPr>
          <w:ilvl w:val="0"/>
          <w:numId w:val="346"/>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activele </w:t>
      </w:r>
      <w:r w:rsidR="00177C4A" w:rsidRPr="000508B6">
        <w:rPr>
          <w:rFonts w:ascii="Times New Roman" w:eastAsia="Times New Roman" w:hAnsi="Times New Roman" w:cs="Times New Roman"/>
          <w:lang w:val="ro-MD"/>
        </w:rPr>
        <w:t>entității</w:t>
      </w:r>
      <w:r w:rsidRPr="000508B6">
        <w:rPr>
          <w:rFonts w:ascii="Times New Roman" w:eastAsia="Times New Roman" w:hAnsi="Times New Roman" w:cs="Times New Roman"/>
          <w:lang w:val="ro-MD"/>
        </w:rPr>
        <w:t xml:space="preserve"> pe baza poziției sale consolidate;</w:t>
      </w:r>
    </w:p>
    <w:p w14:paraId="5E408410" w14:textId="5EFEAB6F" w:rsidR="0051101C" w:rsidRPr="000508B6" w:rsidRDefault="0051101C" w:rsidP="00CF5AFA">
      <w:pPr>
        <w:pStyle w:val="Listparagraf"/>
        <w:numPr>
          <w:ilvl w:val="0"/>
          <w:numId w:val="346"/>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veniturile </w:t>
      </w:r>
      <w:r w:rsidR="00177C4A" w:rsidRPr="000508B6">
        <w:rPr>
          <w:rFonts w:ascii="Times New Roman" w:eastAsia="Times New Roman" w:hAnsi="Times New Roman" w:cs="Times New Roman"/>
          <w:lang w:val="ro-MD"/>
        </w:rPr>
        <w:t>entității</w:t>
      </w:r>
      <w:r w:rsidRPr="000508B6">
        <w:rPr>
          <w:rFonts w:ascii="Times New Roman" w:eastAsia="Times New Roman" w:hAnsi="Times New Roman" w:cs="Times New Roman"/>
          <w:lang w:val="ro-MD"/>
        </w:rPr>
        <w:t xml:space="preserve"> pe baza poziției sale consolidate;</w:t>
      </w:r>
    </w:p>
    <w:p w14:paraId="6C174542" w14:textId="070DAD49" w:rsidR="0051101C" w:rsidRPr="000508B6" w:rsidRDefault="0051101C" w:rsidP="00CF5AFA">
      <w:pPr>
        <w:pStyle w:val="Listparagraf"/>
        <w:numPr>
          <w:ilvl w:val="0"/>
          <w:numId w:val="346"/>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personalul </w:t>
      </w:r>
      <w:r w:rsidR="00177C4A" w:rsidRPr="000508B6">
        <w:rPr>
          <w:rFonts w:ascii="Times New Roman" w:eastAsia="Times New Roman" w:hAnsi="Times New Roman" w:cs="Times New Roman"/>
          <w:lang w:val="ro-MD"/>
        </w:rPr>
        <w:t>entității</w:t>
      </w:r>
      <w:r w:rsidRPr="000508B6">
        <w:rPr>
          <w:rFonts w:ascii="Times New Roman" w:eastAsia="Times New Roman" w:hAnsi="Times New Roman" w:cs="Times New Roman"/>
          <w:lang w:val="ro-MD"/>
        </w:rPr>
        <w:t xml:space="preserve"> pe baza poziției sale consolidate;</w:t>
      </w:r>
    </w:p>
    <w:p w14:paraId="0B3EE800" w14:textId="4260357B" w:rsidR="00495773" w:rsidRPr="000508B6" w:rsidRDefault="0051101C" w:rsidP="00CF5AFA">
      <w:pPr>
        <w:pStyle w:val="Listparagraf"/>
        <w:numPr>
          <w:ilvl w:val="0"/>
          <w:numId w:val="346"/>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orice alt indicator considerat a fi relevant de către </w:t>
      </w:r>
      <w:r w:rsidR="00ED38E6" w:rsidRPr="000508B6">
        <w:rPr>
          <w:rFonts w:ascii="Times New Roman" w:eastAsia="Times New Roman" w:hAnsi="Times New Roman" w:cs="Times New Roman"/>
          <w:lang w:val="ro-MD"/>
        </w:rPr>
        <w:t>Banca Națională a Moldovei</w:t>
      </w:r>
      <w:r w:rsidRPr="000508B6">
        <w:rPr>
          <w:rFonts w:ascii="Times New Roman" w:eastAsia="Times New Roman" w:hAnsi="Times New Roman" w:cs="Times New Roman"/>
          <w:lang w:val="ro-MD"/>
        </w:rPr>
        <w:t>;</w:t>
      </w:r>
    </w:p>
    <w:p w14:paraId="7158DCAB" w14:textId="0A9518C4" w:rsidR="001F2786" w:rsidRPr="000508B6" w:rsidRDefault="001F2786" w:rsidP="00D6236B">
      <w:pPr>
        <w:pStyle w:val="Listparagraf"/>
        <w:numPr>
          <w:ilvl w:val="0"/>
          <w:numId w:val="31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holding de </w:t>
      </w:r>
      <w:r w:rsidR="002B5B25" w:rsidRPr="000508B6">
        <w:rPr>
          <w:rFonts w:ascii="Times New Roman" w:eastAsia="Times New Roman" w:hAnsi="Times New Roman" w:cs="Times New Roman"/>
          <w:i/>
          <w:lang w:val="ro-MD"/>
        </w:rPr>
        <w:t xml:space="preserve">asigurători sau de </w:t>
      </w:r>
      <w:proofErr w:type="spellStart"/>
      <w:r w:rsidR="002B5B25" w:rsidRPr="000508B6">
        <w:rPr>
          <w:rFonts w:ascii="Times New Roman" w:eastAsia="Times New Roman" w:hAnsi="Times New Roman" w:cs="Times New Roman"/>
          <w:i/>
          <w:lang w:val="ro-MD"/>
        </w:rPr>
        <w:t>reasigurători</w:t>
      </w:r>
      <w:proofErr w:type="spellEnd"/>
      <w:r w:rsidR="002B5B25" w:rsidRPr="000508B6">
        <w:rPr>
          <w:rFonts w:ascii="Times New Roman" w:eastAsia="Times New Roman" w:hAnsi="Times New Roman" w:cs="Times New Roman"/>
          <w:i/>
          <w:lang w:val="ro-MD"/>
        </w:rPr>
        <w:t xml:space="preserve"> </w:t>
      </w:r>
      <w:r w:rsidRPr="000508B6">
        <w:rPr>
          <w:rFonts w:ascii="Times New Roman" w:eastAsia="Times New Roman" w:hAnsi="Times New Roman" w:cs="Times New Roman"/>
          <w:i/>
          <w:lang w:val="ro-MD"/>
        </w:rPr>
        <w:t xml:space="preserve">din </w:t>
      </w:r>
      <w:r w:rsidR="00D7706F" w:rsidRPr="000508B6">
        <w:rPr>
          <w:rFonts w:ascii="Times New Roman" w:eastAsia="Times New Roman" w:hAnsi="Times New Roman" w:cs="Times New Roman"/>
          <w:i/>
          <w:lang w:val="ro-MD"/>
        </w:rPr>
        <w:t xml:space="preserve">state </w:t>
      </w:r>
      <w:r w:rsidRPr="000508B6">
        <w:rPr>
          <w:rFonts w:ascii="Times New Roman" w:eastAsia="Times New Roman" w:hAnsi="Times New Roman" w:cs="Times New Roman"/>
          <w:i/>
          <w:lang w:val="ro-MD"/>
        </w:rPr>
        <w:t>terțe</w:t>
      </w:r>
      <w:r w:rsidRPr="000508B6">
        <w:rPr>
          <w:rFonts w:ascii="Times New Roman" w:eastAsia="Times New Roman" w:hAnsi="Times New Roman" w:cs="Times New Roman"/>
          <w:lang w:val="ro-MD"/>
        </w:rPr>
        <w:t xml:space="preserve"> - societate-mamă, alta decât un holding de asigurare sau un holding financiar mixt în înțelesul Legii nr. 250/2017, a cărei </w:t>
      </w:r>
      <w:r w:rsidR="00AA4B70" w:rsidRPr="000508B6">
        <w:rPr>
          <w:rFonts w:ascii="Times New Roman" w:eastAsia="Times New Roman" w:hAnsi="Times New Roman" w:cs="Times New Roman"/>
          <w:lang w:val="ro-MD"/>
        </w:rPr>
        <w:t>activitate</w:t>
      </w:r>
      <w:r w:rsidRPr="000508B6">
        <w:rPr>
          <w:rFonts w:ascii="Times New Roman" w:eastAsia="Times New Roman" w:hAnsi="Times New Roman" w:cs="Times New Roman"/>
          <w:lang w:val="ro-MD"/>
        </w:rPr>
        <w:t xml:space="preserve"> principală constă în dobândirea și deținerea unor participații în filiale care sunt, exclusiv sau majoritar, </w:t>
      </w:r>
      <w:r w:rsidR="00C5163B" w:rsidRPr="000508B6">
        <w:rPr>
          <w:rFonts w:ascii="Times New Roman" w:eastAsia="Times New Roman" w:hAnsi="Times New Roman" w:cs="Times New Roman"/>
          <w:lang w:val="ro-MD"/>
        </w:rPr>
        <w:t xml:space="preserve">asigurători </w:t>
      </w:r>
      <w:r w:rsidRPr="000508B6">
        <w:rPr>
          <w:rFonts w:ascii="Times New Roman" w:eastAsia="Times New Roman" w:hAnsi="Times New Roman" w:cs="Times New Roman"/>
          <w:lang w:val="ro-MD"/>
        </w:rPr>
        <w:t xml:space="preserve">din </w:t>
      </w:r>
      <w:r w:rsidR="00D7706F" w:rsidRPr="000508B6">
        <w:rPr>
          <w:rFonts w:ascii="Times New Roman" w:eastAsia="Times New Roman" w:hAnsi="Times New Roman" w:cs="Times New Roman"/>
          <w:lang w:val="ro-MD"/>
        </w:rPr>
        <w:t xml:space="preserve">state </w:t>
      </w:r>
      <w:r w:rsidRPr="000508B6">
        <w:rPr>
          <w:rFonts w:ascii="Times New Roman" w:eastAsia="Times New Roman" w:hAnsi="Times New Roman" w:cs="Times New Roman"/>
          <w:lang w:val="ro-MD"/>
        </w:rPr>
        <w:t>terțe</w:t>
      </w:r>
      <w:r w:rsidR="00B2179A" w:rsidRPr="000508B6">
        <w:rPr>
          <w:rFonts w:ascii="Times New Roman" w:eastAsia="Times New Roman" w:hAnsi="Times New Roman" w:cs="Times New Roman"/>
          <w:lang w:val="ro-MD"/>
        </w:rPr>
        <w:t>;</w:t>
      </w:r>
    </w:p>
    <w:p w14:paraId="43ED580D" w14:textId="372A67BD" w:rsidR="00F95829" w:rsidRPr="000508B6" w:rsidRDefault="00F95829" w:rsidP="00D6236B">
      <w:pPr>
        <w:pStyle w:val="Listparagraf"/>
        <w:numPr>
          <w:ilvl w:val="0"/>
          <w:numId w:val="313"/>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holding financiar mixt</w:t>
      </w:r>
      <w:r w:rsidRPr="000508B6">
        <w:rPr>
          <w:rFonts w:ascii="Times New Roman" w:eastAsia="Times New Roman" w:hAnsi="Times New Roman" w:cs="Times New Roman"/>
          <w:lang w:val="ro-MD"/>
        </w:rPr>
        <w:t xml:space="preserve">  –</w:t>
      </w:r>
      <w:r w:rsidR="001C4FA9" w:rsidRPr="000508B6">
        <w:rPr>
          <w:rFonts w:ascii="Times New Roman" w:eastAsia="Times New Roman" w:hAnsi="Times New Roman" w:cs="Times New Roman"/>
          <w:lang w:val="ro-MD"/>
        </w:rPr>
        <w:t>entitate</w:t>
      </w:r>
      <w:r w:rsidR="003D23C8" w:rsidRPr="000508B6">
        <w:rPr>
          <w:rFonts w:ascii="Times New Roman" w:hAnsi="Times New Roman" w:cs="Times New Roman"/>
          <w:lang w:val="ro-MD"/>
        </w:rPr>
        <w:t xml:space="preserve"> </w:t>
      </w:r>
      <w:r w:rsidR="003D23C8" w:rsidRPr="000508B6">
        <w:rPr>
          <w:rFonts w:ascii="Times New Roman" w:eastAsia="Times New Roman" w:hAnsi="Times New Roman" w:cs="Times New Roman"/>
          <w:lang w:val="ro-MD"/>
        </w:rPr>
        <w:t>astfel cum este definită la  art. 3 din Legea nr. 202/2017;</w:t>
      </w:r>
    </w:p>
    <w:p w14:paraId="0357B2E2" w14:textId="3B705B87" w:rsidR="00F95829" w:rsidRPr="000508B6" w:rsidRDefault="00F95829" w:rsidP="00D6236B">
      <w:pPr>
        <w:pStyle w:val="Listparagraf"/>
        <w:numPr>
          <w:ilvl w:val="0"/>
          <w:numId w:val="313"/>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holding mixt de asigurare</w:t>
      </w:r>
      <w:r w:rsidRPr="000508B6">
        <w:rPr>
          <w:rFonts w:ascii="Times New Roman" w:eastAsia="Times New Roman" w:hAnsi="Times New Roman" w:cs="Times New Roman"/>
          <w:lang w:val="ro-MD"/>
        </w:rPr>
        <w:t xml:space="preserve"> –</w:t>
      </w:r>
      <w:r w:rsidR="00ED38E6" w:rsidRPr="000508B6">
        <w:rPr>
          <w:rFonts w:ascii="Times New Roman" w:eastAsia="Times New Roman" w:hAnsi="Times New Roman" w:cs="Times New Roman"/>
          <w:lang w:val="ro-MD"/>
        </w:rPr>
        <w:t>societate</w:t>
      </w:r>
      <w:r w:rsidR="00C5163B"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mamă, alta decât </w:t>
      </w:r>
      <w:r w:rsidR="002B5B25" w:rsidRPr="000508B6">
        <w:rPr>
          <w:rFonts w:ascii="Times New Roman" w:eastAsia="Times New Roman" w:hAnsi="Times New Roman" w:cs="Times New Roman"/>
          <w:lang w:val="ro-MD"/>
        </w:rPr>
        <w:t xml:space="preserve">un asigurător sau </w:t>
      </w:r>
      <w:proofErr w:type="spellStart"/>
      <w:r w:rsidR="002B5B25"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decât </w:t>
      </w:r>
      <w:r w:rsidR="00AA4B70" w:rsidRPr="000508B6">
        <w:rPr>
          <w:rFonts w:ascii="Times New Roman" w:eastAsia="Times New Roman" w:hAnsi="Times New Roman" w:cs="Times New Roman"/>
          <w:lang w:val="ro-MD"/>
        </w:rPr>
        <w:t xml:space="preserve">un </w:t>
      </w:r>
      <w:r w:rsidR="00B36665" w:rsidRPr="000508B6">
        <w:rPr>
          <w:rFonts w:ascii="Times New Roman" w:eastAsia="Times New Roman" w:hAnsi="Times New Roman" w:cs="Times New Roman"/>
          <w:lang w:val="ro-MD"/>
        </w:rPr>
        <w:t xml:space="preserve">asigurător </w:t>
      </w:r>
      <w:r w:rsidR="00AA4B70" w:rsidRPr="000508B6">
        <w:rPr>
          <w:rFonts w:ascii="Times New Roman" w:eastAsia="Times New Roman" w:hAnsi="Times New Roman" w:cs="Times New Roman"/>
          <w:lang w:val="ro-MD"/>
        </w:rPr>
        <w:t xml:space="preserve">sau </w:t>
      </w:r>
      <w:proofErr w:type="spellStart"/>
      <w:r w:rsidR="00B36665" w:rsidRPr="000508B6">
        <w:rPr>
          <w:rFonts w:ascii="Times New Roman" w:eastAsia="Times New Roman" w:hAnsi="Times New Roman" w:cs="Times New Roman"/>
          <w:lang w:val="ro-MD"/>
        </w:rPr>
        <w:t>reasigurător</w:t>
      </w:r>
      <w:proofErr w:type="spellEnd"/>
      <w:r w:rsidR="00B3666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dintr-</w:t>
      </w:r>
      <w:r w:rsidR="0098452B" w:rsidRPr="000508B6">
        <w:rPr>
          <w:rFonts w:ascii="Times New Roman" w:eastAsia="Times New Roman" w:hAnsi="Times New Roman" w:cs="Times New Roman"/>
          <w:lang w:val="ro-MD"/>
        </w:rPr>
        <w:t>un stat</w:t>
      </w:r>
      <w:r w:rsidRPr="000508B6">
        <w:rPr>
          <w:rFonts w:ascii="Times New Roman" w:eastAsia="Times New Roman" w:hAnsi="Times New Roman" w:cs="Times New Roman"/>
          <w:lang w:val="ro-MD"/>
        </w:rPr>
        <w:t xml:space="preserve"> terț, decât un holding de asigurare sau un holding financiar mixt, care numără printre filialele sale cel puțin </w:t>
      </w:r>
      <w:r w:rsidR="00AA4B70" w:rsidRPr="000508B6">
        <w:rPr>
          <w:rFonts w:ascii="Times New Roman" w:eastAsia="Times New Roman" w:hAnsi="Times New Roman" w:cs="Times New Roman"/>
          <w:lang w:val="ro-MD"/>
        </w:rPr>
        <w:t xml:space="preserve">un </w:t>
      </w:r>
      <w:r w:rsidR="00B36665" w:rsidRPr="000508B6">
        <w:rPr>
          <w:rFonts w:ascii="Times New Roman" w:eastAsia="Times New Roman" w:hAnsi="Times New Roman" w:cs="Times New Roman"/>
          <w:lang w:val="ro-MD"/>
        </w:rPr>
        <w:t xml:space="preserve">asigurător </w:t>
      </w:r>
      <w:r w:rsidR="00AA4B70" w:rsidRPr="000508B6">
        <w:rPr>
          <w:rFonts w:ascii="Times New Roman" w:eastAsia="Times New Roman" w:hAnsi="Times New Roman" w:cs="Times New Roman"/>
          <w:lang w:val="ro-MD"/>
        </w:rPr>
        <w:t xml:space="preserve">sau </w:t>
      </w:r>
      <w:proofErr w:type="spellStart"/>
      <w:r w:rsidR="00B36665"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w:t>
      </w:r>
    </w:p>
    <w:p w14:paraId="24B20106" w14:textId="77777777" w:rsidR="00C061F8" w:rsidRPr="000508B6" w:rsidRDefault="00C061F8" w:rsidP="00CB2F63">
      <w:pPr>
        <w:pStyle w:val="Listparagraf"/>
        <w:numPr>
          <w:ilvl w:val="0"/>
          <w:numId w:val="313"/>
        </w:numPr>
        <w:tabs>
          <w:tab w:val="left" w:pos="426"/>
          <w:tab w:val="left" w:pos="709"/>
          <w:tab w:val="left" w:pos="1134"/>
          <w:tab w:val="left" w:pos="1276"/>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i/>
          <w:lang w:val="ro-MD"/>
        </w:rPr>
        <w:t xml:space="preserve">instituție de evaluare externă a creditului (ECAI – </w:t>
      </w:r>
      <w:proofErr w:type="spellStart"/>
      <w:r w:rsidRPr="000508B6">
        <w:rPr>
          <w:rFonts w:ascii="Times New Roman" w:eastAsia="Times New Roman" w:hAnsi="Times New Roman" w:cs="Times New Roman"/>
          <w:i/>
          <w:lang w:val="ro-MD"/>
        </w:rPr>
        <w:t>external</w:t>
      </w:r>
      <w:proofErr w:type="spellEnd"/>
      <w:r w:rsidRPr="000508B6">
        <w:rPr>
          <w:rFonts w:ascii="Times New Roman" w:eastAsia="Times New Roman" w:hAnsi="Times New Roman" w:cs="Times New Roman"/>
          <w:i/>
          <w:lang w:val="ro-MD"/>
        </w:rPr>
        <w:t xml:space="preserve"> credit </w:t>
      </w:r>
      <w:proofErr w:type="spellStart"/>
      <w:r w:rsidRPr="000508B6">
        <w:rPr>
          <w:rFonts w:ascii="Times New Roman" w:eastAsia="Times New Roman" w:hAnsi="Times New Roman" w:cs="Times New Roman"/>
          <w:i/>
          <w:lang w:val="ro-MD"/>
        </w:rPr>
        <w:t>assessment</w:t>
      </w:r>
      <w:proofErr w:type="spellEnd"/>
      <w:r w:rsidRPr="000508B6">
        <w:rPr>
          <w:rFonts w:ascii="Times New Roman" w:eastAsia="Times New Roman" w:hAnsi="Times New Roman" w:cs="Times New Roman"/>
          <w:i/>
          <w:lang w:val="ro-MD"/>
        </w:rPr>
        <w:t xml:space="preserve"> </w:t>
      </w:r>
      <w:proofErr w:type="spellStart"/>
      <w:r w:rsidRPr="000508B6">
        <w:rPr>
          <w:rFonts w:ascii="Times New Roman" w:eastAsia="Times New Roman" w:hAnsi="Times New Roman" w:cs="Times New Roman"/>
          <w:i/>
          <w:lang w:val="ro-MD"/>
        </w:rPr>
        <w:t>institution</w:t>
      </w:r>
      <w:proofErr w:type="spellEnd"/>
      <w:r w:rsidRPr="000508B6">
        <w:rPr>
          <w:rFonts w:ascii="Times New Roman" w:eastAsia="Times New Roman" w:hAnsi="Times New Roman" w:cs="Times New Roman"/>
          <w:i/>
          <w:lang w:val="ro-MD"/>
        </w:rPr>
        <w:t>):</w:t>
      </w:r>
    </w:p>
    <w:p w14:paraId="5BDE08A3" w14:textId="633A9FD9" w:rsidR="00C061F8" w:rsidRPr="000508B6" w:rsidRDefault="00C061F8" w:rsidP="00306006">
      <w:pPr>
        <w:pStyle w:val="Listparagraf"/>
        <w:numPr>
          <w:ilvl w:val="1"/>
          <w:numId w:val="313"/>
        </w:numPr>
        <w:tabs>
          <w:tab w:val="left" w:pos="426"/>
          <w:tab w:val="left" w:pos="568"/>
          <w:tab w:val="left" w:pos="851"/>
        </w:tabs>
        <w:spacing w:after="0" w:line="240" w:lineRule="auto"/>
        <w:ind w:left="0"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persoană juridică a cărei activitate include acordarea, cu titlu profesional, de evaluări (ratinguri) de credit (</w:t>
      </w:r>
      <w:proofErr w:type="spellStart"/>
      <w:r w:rsidRPr="000508B6">
        <w:rPr>
          <w:rFonts w:ascii="Times New Roman" w:eastAsia="Times New Roman" w:hAnsi="Times New Roman" w:cs="Times New Roman"/>
          <w:lang w:val="ro-MD"/>
        </w:rPr>
        <w:t>agenţia</w:t>
      </w:r>
      <w:proofErr w:type="spellEnd"/>
      <w:r w:rsidRPr="000508B6">
        <w:rPr>
          <w:rFonts w:ascii="Times New Roman" w:eastAsia="Times New Roman" w:hAnsi="Times New Roman" w:cs="Times New Roman"/>
          <w:lang w:val="ro-MD"/>
        </w:rPr>
        <w:t xml:space="preserve"> de rating de credit) care este înregistrată sau certificată conform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naţionale</w:t>
      </w:r>
      <w:proofErr w:type="spellEnd"/>
      <w:r w:rsidRPr="000508B6">
        <w:rPr>
          <w:rFonts w:ascii="Times New Roman" w:eastAsia="Times New Roman" w:hAnsi="Times New Roman" w:cs="Times New Roman"/>
          <w:lang w:val="ro-MD"/>
        </w:rPr>
        <w:t xml:space="preserve"> a statului străin respectiv sau</w:t>
      </w:r>
    </w:p>
    <w:p w14:paraId="17E7F461" w14:textId="315F5127" w:rsidR="00C061F8" w:rsidRPr="000508B6" w:rsidRDefault="00C061F8" w:rsidP="00306006">
      <w:pPr>
        <w:pStyle w:val="Listparagraf"/>
        <w:numPr>
          <w:ilvl w:val="1"/>
          <w:numId w:val="313"/>
        </w:numPr>
        <w:tabs>
          <w:tab w:val="left" w:pos="426"/>
          <w:tab w:val="left" w:pos="568"/>
          <w:tab w:val="left" w:pos="851"/>
        </w:tabs>
        <w:spacing w:after="0" w:line="240" w:lineRule="auto"/>
        <w:ind w:left="0"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bancă centrală din statul străin care, în temeiul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naţionale</w:t>
      </w:r>
      <w:proofErr w:type="spellEnd"/>
      <w:r w:rsidRPr="000508B6">
        <w:rPr>
          <w:rFonts w:ascii="Times New Roman" w:eastAsia="Times New Roman" w:hAnsi="Times New Roman" w:cs="Times New Roman"/>
          <w:lang w:val="ro-MD"/>
        </w:rPr>
        <w:t xml:space="preserve"> a statului respectiv, acordă ratinguri de credit</w:t>
      </w:r>
      <w:r w:rsidR="002D49FB" w:rsidRPr="000508B6">
        <w:rPr>
          <w:rFonts w:ascii="Times New Roman" w:eastAsia="Times New Roman" w:hAnsi="Times New Roman" w:cs="Times New Roman"/>
          <w:lang w:val="ro-MD"/>
        </w:rPr>
        <w:t>;</w:t>
      </w:r>
    </w:p>
    <w:p w14:paraId="6DB7C64A" w14:textId="7A4BBA88" w:rsidR="00CB3DE5" w:rsidRPr="000508B6" w:rsidDel="00011F5F" w:rsidRDefault="00C03CC5" w:rsidP="00D6236B">
      <w:pPr>
        <w:pStyle w:val="Listparagraf"/>
        <w:numPr>
          <w:ilvl w:val="0"/>
          <w:numId w:val="313"/>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CB3DE5" w:rsidRPr="000508B6">
        <w:rPr>
          <w:rFonts w:ascii="Times New Roman" w:eastAsia="Times New Roman" w:hAnsi="Times New Roman" w:cs="Times New Roman"/>
          <w:i/>
          <w:lang w:val="ro-MD"/>
        </w:rPr>
        <w:t xml:space="preserve">legături strânse - </w:t>
      </w:r>
      <w:proofErr w:type="spellStart"/>
      <w:r w:rsidR="00CB3DE5" w:rsidRPr="000508B6">
        <w:rPr>
          <w:rFonts w:ascii="Times New Roman" w:eastAsia="Times New Roman" w:hAnsi="Times New Roman" w:cs="Times New Roman"/>
          <w:lang w:val="ro-MD"/>
        </w:rPr>
        <w:t>situaţia</w:t>
      </w:r>
      <w:proofErr w:type="spellEnd"/>
      <w:r w:rsidR="00CB3DE5" w:rsidRPr="000508B6">
        <w:rPr>
          <w:rFonts w:ascii="Times New Roman" w:eastAsia="Times New Roman" w:hAnsi="Times New Roman" w:cs="Times New Roman"/>
          <w:lang w:val="ro-MD"/>
        </w:rPr>
        <w:t xml:space="preserve"> în care două sau mai multe persoane, fizice sau juridice, au legături sub formă de </w:t>
      </w:r>
      <w:proofErr w:type="spellStart"/>
      <w:r w:rsidR="00CB3DE5" w:rsidRPr="000508B6">
        <w:rPr>
          <w:rFonts w:ascii="Times New Roman" w:eastAsia="Times New Roman" w:hAnsi="Times New Roman" w:cs="Times New Roman"/>
          <w:lang w:val="ro-MD"/>
        </w:rPr>
        <w:t>participaţie</w:t>
      </w:r>
      <w:proofErr w:type="spellEnd"/>
      <w:r w:rsidR="00CB3DE5" w:rsidRPr="000508B6">
        <w:rPr>
          <w:rFonts w:ascii="Times New Roman" w:eastAsia="Times New Roman" w:hAnsi="Times New Roman" w:cs="Times New Roman"/>
          <w:lang w:val="ro-MD"/>
        </w:rPr>
        <w:t xml:space="preserve"> sau control ori </w:t>
      </w:r>
      <w:proofErr w:type="spellStart"/>
      <w:r w:rsidR="00CB3DE5" w:rsidRPr="000508B6">
        <w:rPr>
          <w:rFonts w:ascii="Times New Roman" w:eastAsia="Times New Roman" w:hAnsi="Times New Roman" w:cs="Times New Roman"/>
          <w:lang w:val="ro-MD"/>
        </w:rPr>
        <w:t>situaţia</w:t>
      </w:r>
      <w:proofErr w:type="spellEnd"/>
      <w:r w:rsidR="00CB3DE5" w:rsidRPr="000508B6">
        <w:rPr>
          <w:rFonts w:ascii="Times New Roman" w:eastAsia="Times New Roman" w:hAnsi="Times New Roman" w:cs="Times New Roman"/>
          <w:lang w:val="ro-MD"/>
        </w:rPr>
        <w:t xml:space="preserve"> în care două sau mai multe persoane fizice sau juridice sunt legate permanent printr-o </w:t>
      </w:r>
      <w:proofErr w:type="spellStart"/>
      <w:r w:rsidR="00CB3DE5" w:rsidRPr="000508B6">
        <w:rPr>
          <w:rFonts w:ascii="Times New Roman" w:eastAsia="Times New Roman" w:hAnsi="Times New Roman" w:cs="Times New Roman"/>
          <w:lang w:val="ro-MD"/>
        </w:rPr>
        <w:t>relaţie</w:t>
      </w:r>
      <w:proofErr w:type="spellEnd"/>
      <w:r w:rsidR="00CB3DE5" w:rsidRPr="000508B6">
        <w:rPr>
          <w:rFonts w:ascii="Times New Roman" w:eastAsia="Times New Roman" w:hAnsi="Times New Roman" w:cs="Times New Roman"/>
          <w:lang w:val="ro-MD"/>
        </w:rPr>
        <w:t xml:space="preserve"> de control de una </w:t>
      </w:r>
      <w:proofErr w:type="spellStart"/>
      <w:r w:rsidR="00CB3DE5" w:rsidRPr="000508B6">
        <w:rPr>
          <w:rFonts w:ascii="Times New Roman" w:eastAsia="Times New Roman" w:hAnsi="Times New Roman" w:cs="Times New Roman"/>
          <w:lang w:val="ro-MD"/>
        </w:rPr>
        <w:t>şi</w:t>
      </w:r>
      <w:proofErr w:type="spellEnd"/>
      <w:r w:rsidR="00CB3DE5" w:rsidRPr="000508B6">
        <w:rPr>
          <w:rFonts w:ascii="Times New Roman" w:eastAsia="Times New Roman" w:hAnsi="Times New Roman" w:cs="Times New Roman"/>
          <w:lang w:val="ro-MD"/>
        </w:rPr>
        <w:t xml:space="preserve"> </w:t>
      </w:r>
      <w:proofErr w:type="spellStart"/>
      <w:r w:rsidR="00CB3DE5" w:rsidRPr="000508B6">
        <w:rPr>
          <w:rFonts w:ascii="Times New Roman" w:eastAsia="Times New Roman" w:hAnsi="Times New Roman" w:cs="Times New Roman"/>
          <w:lang w:val="ro-MD"/>
        </w:rPr>
        <w:t>aceeaşi</w:t>
      </w:r>
      <w:proofErr w:type="spellEnd"/>
      <w:r w:rsidR="00CB3DE5" w:rsidRPr="000508B6">
        <w:rPr>
          <w:rFonts w:ascii="Times New Roman" w:eastAsia="Times New Roman" w:hAnsi="Times New Roman" w:cs="Times New Roman"/>
          <w:lang w:val="ro-MD"/>
        </w:rPr>
        <w:t xml:space="preserve"> persoană;</w:t>
      </w:r>
    </w:p>
    <w:p w14:paraId="7520611C" w14:textId="44744113" w:rsidR="002657D5" w:rsidRPr="000508B6" w:rsidRDefault="002657D5" w:rsidP="00CB2F63">
      <w:pPr>
        <w:pStyle w:val="Listparagraf"/>
        <w:numPr>
          <w:ilvl w:val="0"/>
          <w:numId w:val="313"/>
        </w:numPr>
        <w:tabs>
          <w:tab w:val="left" w:pos="709"/>
          <w:tab w:val="left" w:pos="851"/>
          <w:tab w:val="left" w:pos="1134"/>
          <w:tab w:val="left" w:pos="1276"/>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mandatar</w:t>
      </w:r>
      <w:r w:rsidR="006F70F5" w:rsidRPr="000508B6">
        <w:rPr>
          <w:rFonts w:ascii="Times New Roman" w:eastAsia="Times New Roman" w:hAnsi="Times New Roman" w:cs="Times New Roman"/>
          <w:i/>
          <w:lang w:val="ro-MD"/>
        </w:rPr>
        <w:t xml:space="preserve"> general</w:t>
      </w:r>
      <w:r w:rsidRPr="000508B6">
        <w:rPr>
          <w:rFonts w:ascii="Times New Roman" w:eastAsia="Times New Roman" w:hAnsi="Times New Roman" w:cs="Times New Roman"/>
          <w:i/>
          <w:lang w:val="ro-MD"/>
        </w:rPr>
        <w:t xml:space="preserve"> </w:t>
      </w:r>
      <w:r w:rsidRPr="000508B6">
        <w:rPr>
          <w:rFonts w:ascii="Times New Roman" w:eastAsia="Times New Roman" w:hAnsi="Times New Roman" w:cs="Times New Roman"/>
          <w:lang w:val="ro-MD"/>
        </w:rPr>
        <w:t xml:space="preserve">- persoana </w:t>
      </w:r>
      <w:r w:rsidR="00B14C1B" w:rsidRPr="000508B6">
        <w:rPr>
          <w:rFonts w:ascii="Times New Roman" w:eastAsia="Times New Roman" w:hAnsi="Times New Roman" w:cs="Times New Roman"/>
          <w:lang w:val="ro-MD"/>
        </w:rPr>
        <w:t xml:space="preserve">pe care </w:t>
      </w:r>
      <w:r w:rsidR="007D6232" w:rsidRPr="000508B6">
        <w:rPr>
          <w:rFonts w:ascii="Times New Roman" w:eastAsia="Times New Roman" w:hAnsi="Times New Roman" w:cs="Times New Roman"/>
          <w:lang w:val="ro-MD"/>
        </w:rPr>
        <w:t xml:space="preserve">un asigurător sau </w:t>
      </w:r>
      <w:proofErr w:type="spellStart"/>
      <w:r w:rsidR="007D6232" w:rsidRPr="000508B6">
        <w:rPr>
          <w:rFonts w:ascii="Times New Roman" w:eastAsia="Times New Roman" w:hAnsi="Times New Roman" w:cs="Times New Roman"/>
          <w:lang w:val="ro-MD"/>
        </w:rPr>
        <w:t>reasigurător</w:t>
      </w:r>
      <w:proofErr w:type="spellEnd"/>
      <w:r w:rsidR="00B14C1B" w:rsidRPr="000508B6">
        <w:rPr>
          <w:rFonts w:ascii="Times New Roman" w:eastAsia="Times New Roman" w:hAnsi="Times New Roman" w:cs="Times New Roman"/>
          <w:lang w:val="ro-MD"/>
        </w:rPr>
        <w:t xml:space="preserve"> care își stabilește o sucursală într-un stat membru</w:t>
      </w:r>
      <w:r w:rsidR="009C24C8" w:rsidRPr="000508B6">
        <w:rPr>
          <w:rFonts w:ascii="Times New Roman" w:eastAsia="Times New Roman" w:hAnsi="Times New Roman" w:cs="Times New Roman"/>
          <w:lang w:val="ro-MD"/>
        </w:rPr>
        <w:t xml:space="preserve"> </w:t>
      </w:r>
      <w:r w:rsidR="009C24C8" w:rsidRPr="000508B6" w:rsidDel="007463B5">
        <w:rPr>
          <w:rFonts w:ascii="Times New Roman" w:eastAsia="Times New Roman" w:hAnsi="Times New Roman" w:cs="Times New Roman"/>
          <w:lang w:val="ro-MD"/>
        </w:rPr>
        <w:t xml:space="preserve">sau </w:t>
      </w:r>
      <w:r w:rsidR="006665D6" w:rsidRPr="000508B6" w:rsidDel="007463B5">
        <w:rPr>
          <w:rFonts w:ascii="Times New Roman" w:eastAsia="Times New Roman" w:hAnsi="Times New Roman" w:cs="Times New Roman"/>
          <w:lang w:val="ro-MD"/>
        </w:rPr>
        <w:t>într-un</w:t>
      </w:r>
      <w:r w:rsidR="009C24C8" w:rsidRPr="000508B6" w:rsidDel="007463B5">
        <w:rPr>
          <w:rFonts w:ascii="Times New Roman" w:eastAsia="Times New Roman" w:hAnsi="Times New Roman" w:cs="Times New Roman"/>
          <w:lang w:val="ro-MD"/>
        </w:rPr>
        <w:t xml:space="preserve"> stat terț</w:t>
      </w:r>
      <w:r w:rsidR="00B14C1B" w:rsidRPr="000508B6" w:rsidDel="007463B5">
        <w:rPr>
          <w:rFonts w:ascii="Times New Roman" w:eastAsia="Times New Roman" w:hAnsi="Times New Roman" w:cs="Times New Roman"/>
          <w:lang w:val="ro-MD"/>
        </w:rPr>
        <w:t xml:space="preserve"> </w:t>
      </w:r>
      <w:r w:rsidR="00B14C1B" w:rsidRPr="000508B6">
        <w:rPr>
          <w:rFonts w:ascii="Times New Roman" w:eastAsia="Times New Roman" w:hAnsi="Times New Roman" w:cs="Times New Roman"/>
          <w:lang w:val="ro-MD"/>
        </w:rPr>
        <w:t xml:space="preserve">o împuternicește cu dreptul </w:t>
      </w:r>
      <w:r w:rsidR="002D49FB" w:rsidRPr="000508B6">
        <w:rPr>
          <w:rFonts w:ascii="Times New Roman" w:eastAsia="Times New Roman" w:hAnsi="Times New Roman" w:cs="Times New Roman"/>
          <w:lang w:val="ro-MD"/>
        </w:rPr>
        <w:t xml:space="preserve">de a </w:t>
      </w:r>
      <w:r w:rsidR="00B14C1B" w:rsidRPr="000508B6">
        <w:rPr>
          <w:rFonts w:ascii="Times New Roman" w:eastAsia="Times New Roman" w:hAnsi="Times New Roman" w:cs="Times New Roman"/>
          <w:lang w:val="ro-MD"/>
        </w:rPr>
        <w:t xml:space="preserve">reprezenta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B14C1B" w:rsidRPr="000508B6">
        <w:rPr>
          <w:rFonts w:ascii="Times New Roman" w:eastAsia="Times New Roman" w:hAnsi="Times New Roman" w:cs="Times New Roman"/>
          <w:lang w:val="ro-MD"/>
        </w:rPr>
        <w:t xml:space="preserve"> în </w:t>
      </w:r>
      <w:proofErr w:type="spellStart"/>
      <w:r w:rsidR="00B14C1B" w:rsidRPr="000508B6">
        <w:rPr>
          <w:rFonts w:ascii="Times New Roman" w:eastAsia="Times New Roman" w:hAnsi="Times New Roman" w:cs="Times New Roman"/>
          <w:lang w:val="ro-MD"/>
        </w:rPr>
        <w:t>relaţiile</w:t>
      </w:r>
      <w:proofErr w:type="spellEnd"/>
      <w:r w:rsidR="00B14C1B" w:rsidRPr="000508B6">
        <w:rPr>
          <w:rFonts w:ascii="Times New Roman" w:eastAsia="Times New Roman" w:hAnsi="Times New Roman" w:cs="Times New Roman"/>
          <w:lang w:val="ro-MD"/>
        </w:rPr>
        <w:t xml:space="preserve"> cu </w:t>
      </w:r>
      <w:r w:rsidR="00117F1F" w:rsidRPr="000508B6">
        <w:rPr>
          <w:rFonts w:ascii="Times New Roman" w:eastAsia="Times New Roman" w:hAnsi="Times New Roman" w:cs="Times New Roman"/>
          <w:lang w:val="ro-MD"/>
        </w:rPr>
        <w:t>terții</w:t>
      </w:r>
      <w:r w:rsidR="00B14C1B" w:rsidRPr="000508B6">
        <w:rPr>
          <w:rFonts w:ascii="Times New Roman" w:eastAsia="Times New Roman" w:hAnsi="Times New Roman" w:cs="Times New Roman"/>
          <w:lang w:val="ro-MD"/>
        </w:rPr>
        <w:t xml:space="preserve">, cu </w:t>
      </w:r>
      <w:proofErr w:type="spellStart"/>
      <w:r w:rsidR="00B14C1B" w:rsidRPr="000508B6">
        <w:rPr>
          <w:rFonts w:ascii="Times New Roman" w:eastAsia="Times New Roman" w:hAnsi="Times New Roman" w:cs="Times New Roman"/>
          <w:lang w:val="ro-MD"/>
        </w:rPr>
        <w:t>autorităţile</w:t>
      </w:r>
      <w:proofErr w:type="spellEnd"/>
      <w:r w:rsidR="00B14C1B" w:rsidRPr="000508B6">
        <w:rPr>
          <w:rFonts w:ascii="Times New Roman" w:eastAsia="Times New Roman" w:hAnsi="Times New Roman" w:cs="Times New Roman"/>
          <w:lang w:val="ro-MD"/>
        </w:rPr>
        <w:t xml:space="preserve"> competente </w:t>
      </w:r>
      <w:proofErr w:type="spellStart"/>
      <w:r w:rsidR="00B14C1B" w:rsidRPr="000508B6">
        <w:rPr>
          <w:rFonts w:ascii="Times New Roman" w:eastAsia="Times New Roman" w:hAnsi="Times New Roman" w:cs="Times New Roman"/>
          <w:lang w:val="ro-MD"/>
        </w:rPr>
        <w:t>şi</w:t>
      </w:r>
      <w:proofErr w:type="spellEnd"/>
      <w:r w:rsidR="00B14C1B" w:rsidRPr="000508B6">
        <w:rPr>
          <w:rFonts w:ascii="Times New Roman" w:eastAsia="Times New Roman" w:hAnsi="Times New Roman" w:cs="Times New Roman"/>
          <w:lang w:val="ro-MD"/>
        </w:rPr>
        <w:t xml:space="preserve"> cu alte </w:t>
      </w:r>
      <w:proofErr w:type="spellStart"/>
      <w:r w:rsidR="00B14C1B" w:rsidRPr="000508B6">
        <w:rPr>
          <w:rFonts w:ascii="Times New Roman" w:eastAsia="Times New Roman" w:hAnsi="Times New Roman" w:cs="Times New Roman"/>
          <w:lang w:val="ro-MD"/>
        </w:rPr>
        <w:t>instituţii</w:t>
      </w:r>
      <w:proofErr w:type="spellEnd"/>
      <w:r w:rsidRPr="000508B6">
        <w:rPr>
          <w:rFonts w:ascii="Times New Roman" w:eastAsia="Times New Roman" w:hAnsi="Times New Roman" w:cs="Times New Roman"/>
          <w:lang w:val="ro-MD"/>
        </w:rPr>
        <w:t>;</w:t>
      </w:r>
      <w:r w:rsidR="006F70F5" w:rsidRPr="000508B6">
        <w:rPr>
          <w:rFonts w:ascii="Times New Roman" w:eastAsia="Times New Roman" w:hAnsi="Times New Roman" w:cs="Times New Roman"/>
          <w:lang w:val="ro-MD"/>
        </w:rPr>
        <w:t xml:space="preserve"> </w:t>
      </w:r>
    </w:p>
    <w:p w14:paraId="0CA63787" w14:textId="655840BA" w:rsidR="00DC6F3E" w:rsidRPr="000508B6" w:rsidRDefault="00C03CC5"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DC6F3E" w:rsidRPr="000508B6">
        <w:rPr>
          <w:rFonts w:ascii="Times New Roman" w:eastAsia="Times New Roman" w:hAnsi="Times New Roman" w:cs="Times New Roman"/>
          <w:i/>
          <w:lang w:val="ro-MD"/>
        </w:rPr>
        <w:t xml:space="preserve">măsură </w:t>
      </w:r>
      <w:r w:rsidR="008D02CB" w:rsidRPr="000508B6">
        <w:rPr>
          <w:rFonts w:ascii="Times New Roman" w:eastAsia="Times New Roman" w:hAnsi="Times New Roman" w:cs="Times New Roman"/>
          <w:i/>
          <w:lang w:val="ro-MD"/>
        </w:rPr>
        <w:t>de</w:t>
      </w:r>
      <w:r w:rsidR="00DC6F3E" w:rsidRPr="000508B6" w:rsidDel="008D02CB">
        <w:rPr>
          <w:rFonts w:ascii="Times New Roman" w:eastAsia="Times New Roman" w:hAnsi="Times New Roman" w:cs="Times New Roman"/>
          <w:i/>
          <w:lang w:val="ro-MD"/>
        </w:rPr>
        <w:t xml:space="preserve"> </w:t>
      </w:r>
      <w:r w:rsidR="008D02CB" w:rsidRPr="000508B6">
        <w:rPr>
          <w:rFonts w:ascii="Times New Roman" w:eastAsia="Times New Roman" w:hAnsi="Times New Roman" w:cs="Times New Roman"/>
          <w:i/>
          <w:lang w:val="ro-MD"/>
        </w:rPr>
        <w:t>proporționalitate</w:t>
      </w:r>
      <w:r w:rsidR="00DC6F3E" w:rsidRPr="000508B6">
        <w:rPr>
          <w:rFonts w:ascii="Times New Roman" w:eastAsia="Times New Roman" w:hAnsi="Times New Roman" w:cs="Times New Roman"/>
          <w:lang w:val="ro-MD"/>
        </w:rPr>
        <w:t xml:space="preserve"> -</w:t>
      </w:r>
      <w:r w:rsidR="0046141F" w:rsidRPr="000508B6">
        <w:rPr>
          <w:rFonts w:ascii="Times New Roman" w:eastAsia="Times New Roman" w:hAnsi="Times New Roman" w:cs="Times New Roman"/>
          <w:lang w:val="ro-MD"/>
        </w:rPr>
        <w:t xml:space="preserve"> </w:t>
      </w:r>
      <w:r w:rsidR="00CB2126" w:rsidRPr="000508B6">
        <w:rPr>
          <w:rFonts w:ascii="Times New Roman" w:eastAsia="Times New Roman" w:hAnsi="Times New Roman" w:cs="Times New Roman"/>
          <w:lang w:val="ro-MD"/>
        </w:rPr>
        <w:t xml:space="preserve">oricare dintre măsurile prevăzute de </w:t>
      </w:r>
      <w:r w:rsidR="00733899" w:rsidRPr="000508B6">
        <w:rPr>
          <w:rFonts w:ascii="Times New Roman" w:eastAsia="Times New Roman" w:hAnsi="Times New Roman" w:cs="Times New Roman"/>
          <w:lang w:val="ro-MD"/>
        </w:rPr>
        <w:t xml:space="preserve"> </w:t>
      </w:r>
      <w:r w:rsidR="00CB2126" w:rsidRPr="000508B6">
        <w:rPr>
          <w:rFonts w:ascii="Times New Roman" w:eastAsia="Times New Roman" w:hAnsi="Times New Roman" w:cs="Times New Roman"/>
          <w:lang w:val="ro-MD"/>
        </w:rPr>
        <w:t>art. 19, art. 20 alin. (4) și (5), art. 26 alin. (6), art. 27 alin. (2) lit.</w:t>
      </w:r>
      <w:r w:rsidR="00733899" w:rsidRPr="000508B6">
        <w:rPr>
          <w:rFonts w:ascii="Times New Roman" w:eastAsia="Times New Roman" w:hAnsi="Times New Roman" w:cs="Times New Roman"/>
          <w:lang w:val="ro-MD"/>
        </w:rPr>
        <w:t xml:space="preserve"> </w:t>
      </w:r>
      <w:r w:rsidR="00CB2126" w:rsidRPr="000508B6">
        <w:rPr>
          <w:rFonts w:ascii="Times New Roman" w:eastAsia="Times New Roman" w:hAnsi="Times New Roman" w:cs="Times New Roman"/>
          <w:lang w:val="ro-MD"/>
        </w:rPr>
        <w:t>d), (6), (20), (21), art. 32 alin. (14), art. 33 alin. (1), art. 43 alin. (12)</w:t>
      </w:r>
      <w:r w:rsidR="00733899" w:rsidRPr="000508B6">
        <w:rPr>
          <w:rFonts w:ascii="Times New Roman" w:eastAsia="Times New Roman" w:hAnsi="Times New Roman" w:cs="Times New Roman"/>
          <w:lang w:val="ro-MD"/>
        </w:rPr>
        <w:t>,</w:t>
      </w:r>
      <w:r w:rsidR="00CB2126" w:rsidRPr="000508B6">
        <w:rPr>
          <w:rFonts w:ascii="Times New Roman" w:eastAsia="Times New Roman" w:hAnsi="Times New Roman" w:cs="Times New Roman"/>
          <w:lang w:val="ro-MD"/>
        </w:rPr>
        <w:t xml:space="preserve"> sau în cadrul normativ aplicabilă în mod explicit și asigurătorilor sau </w:t>
      </w:r>
      <w:proofErr w:type="spellStart"/>
      <w:r w:rsidR="00CB2126" w:rsidRPr="000508B6">
        <w:rPr>
          <w:rFonts w:ascii="Times New Roman" w:eastAsia="Times New Roman" w:hAnsi="Times New Roman" w:cs="Times New Roman"/>
          <w:lang w:val="ro-MD"/>
        </w:rPr>
        <w:t>reasigurătorilor</w:t>
      </w:r>
      <w:proofErr w:type="spellEnd"/>
      <w:r w:rsidR="00CB2126" w:rsidRPr="000508B6">
        <w:rPr>
          <w:rFonts w:ascii="Times New Roman" w:eastAsia="Times New Roman" w:hAnsi="Times New Roman" w:cs="Times New Roman"/>
          <w:lang w:val="ro-MD"/>
        </w:rPr>
        <w:t xml:space="preserve"> mici și cu un grad redus de complexitate</w:t>
      </w:r>
      <w:r w:rsidR="00733899" w:rsidRPr="000508B6">
        <w:rPr>
          <w:rFonts w:ascii="Times New Roman" w:eastAsia="Times New Roman" w:hAnsi="Times New Roman" w:cs="Times New Roman"/>
          <w:lang w:val="ro-MD"/>
        </w:rPr>
        <w:t>,</w:t>
      </w:r>
      <w:r w:rsidR="00CB2126" w:rsidRPr="000508B6">
        <w:rPr>
          <w:rFonts w:ascii="Times New Roman" w:eastAsia="Times New Roman" w:hAnsi="Times New Roman" w:cs="Times New Roman"/>
          <w:lang w:val="ro-MD"/>
        </w:rPr>
        <w:t xml:space="preserve"> în conformitate cu art. 172</w:t>
      </w:r>
      <w:r w:rsidR="0046141F" w:rsidRPr="000508B6">
        <w:rPr>
          <w:rFonts w:ascii="Times New Roman" w:eastAsia="Times New Roman" w:hAnsi="Times New Roman" w:cs="Times New Roman"/>
          <w:lang w:val="ro-MD"/>
        </w:rPr>
        <w:t>;</w:t>
      </w:r>
    </w:p>
    <w:p w14:paraId="68CB2D2D" w14:textId="77777777"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măsurare a riscului</w:t>
      </w:r>
      <w:r w:rsidRPr="000508B6">
        <w:rPr>
          <w:rFonts w:ascii="Times New Roman" w:eastAsia="Times New Roman" w:hAnsi="Times New Roman" w:cs="Times New Roman"/>
          <w:lang w:val="ro-MD"/>
        </w:rPr>
        <w:t xml:space="preserve"> – </w:t>
      </w:r>
      <w:proofErr w:type="spellStart"/>
      <w:r w:rsidRPr="000508B6">
        <w:rPr>
          <w:rFonts w:ascii="Times New Roman" w:eastAsia="Times New Roman" w:hAnsi="Times New Roman" w:cs="Times New Roman"/>
          <w:lang w:val="ro-MD"/>
        </w:rPr>
        <w:t>funcţie</w:t>
      </w:r>
      <w:proofErr w:type="spellEnd"/>
      <w:r w:rsidRPr="000508B6">
        <w:rPr>
          <w:rFonts w:ascii="Times New Roman" w:eastAsia="Times New Roman" w:hAnsi="Times New Roman" w:cs="Times New Roman"/>
          <w:lang w:val="ro-MD"/>
        </w:rPr>
        <w:t xml:space="preserve"> matematică ce atribuie o valoare monetară unei prognoze date a </w:t>
      </w:r>
      <w:proofErr w:type="spellStart"/>
      <w:r w:rsidRPr="000508B6">
        <w:rPr>
          <w:rFonts w:ascii="Times New Roman" w:eastAsia="Times New Roman" w:hAnsi="Times New Roman" w:cs="Times New Roman"/>
          <w:lang w:val="ro-MD"/>
        </w:rPr>
        <w:t>distribuţiei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probabilităţilor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creşte</w:t>
      </w:r>
      <w:proofErr w:type="spellEnd"/>
      <w:r w:rsidRPr="000508B6">
        <w:rPr>
          <w:rFonts w:ascii="Times New Roman" w:eastAsia="Times New Roman" w:hAnsi="Times New Roman" w:cs="Times New Roman"/>
          <w:lang w:val="ro-MD"/>
        </w:rPr>
        <w:t xml:space="preserve"> uniform odată cu nivelul expunerii la risc care stă la baza acelei prognoze a </w:t>
      </w:r>
      <w:proofErr w:type="spellStart"/>
      <w:r w:rsidRPr="000508B6">
        <w:rPr>
          <w:rFonts w:ascii="Times New Roman" w:eastAsia="Times New Roman" w:hAnsi="Times New Roman" w:cs="Times New Roman"/>
          <w:lang w:val="ro-MD"/>
        </w:rPr>
        <w:t>distribuţiei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probabilităţilor</w:t>
      </w:r>
      <w:proofErr w:type="spellEnd"/>
      <w:r w:rsidRPr="000508B6">
        <w:rPr>
          <w:rFonts w:ascii="Times New Roman" w:eastAsia="Times New Roman" w:hAnsi="Times New Roman" w:cs="Times New Roman"/>
          <w:lang w:val="ro-MD"/>
        </w:rPr>
        <w:t>;</w:t>
      </w:r>
    </w:p>
    <w:p w14:paraId="55910065" w14:textId="52667DB4"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metoda </w:t>
      </w:r>
      <w:r w:rsidR="00230ADD" w:rsidRPr="000508B6">
        <w:rPr>
          <w:rFonts w:ascii="Times New Roman" w:eastAsia="Times New Roman" w:hAnsi="Times New Roman" w:cs="Times New Roman"/>
          <w:i/>
          <w:lang w:val="ro-MD"/>
        </w:rPr>
        <w:t xml:space="preserve">de calcul </w:t>
      </w:r>
      <w:r w:rsidRPr="000508B6">
        <w:rPr>
          <w:rFonts w:ascii="Times New Roman" w:eastAsia="Times New Roman" w:hAnsi="Times New Roman" w:cs="Times New Roman"/>
          <w:i/>
          <w:lang w:val="ro-MD"/>
        </w:rPr>
        <w:t>nr. 1</w:t>
      </w:r>
      <w:r w:rsidRPr="000508B6">
        <w:rPr>
          <w:rFonts w:ascii="Times New Roman" w:eastAsia="Times New Roman" w:hAnsi="Times New Roman" w:cs="Times New Roman"/>
          <w:lang w:val="ro-MD"/>
        </w:rPr>
        <w:t xml:space="preserve"> - metoda consolidării contabile prin care se calculează solvabilitatea la nivel de grup, considerată metoda implicită;</w:t>
      </w:r>
    </w:p>
    <w:p w14:paraId="35B45043" w14:textId="0015ECFB" w:rsidR="00835320"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metoda </w:t>
      </w:r>
      <w:r w:rsidR="00230ADD" w:rsidRPr="000508B6">
        <w:rPr>
          <w:rFonts w:ascii="Times New Roman" w:eastAsia="Times New Roman" w:hAnsi="Times New Roman" w:cs="Times New Roman"/>
          <w:i/>
          <w:lang w:val="ro-MD"/>
        </w:rPr>
        <w:t xml:space="preserve">de calcul </w:t>
      </w:r>
      <w:r w:rsidRPr="000508B6">
        <w:rPr>
          <w:rFonts w:ascii="Times New Roman" w:eastAsia="Times New Roman" w:hAnsi="Times New Roman" w:cs="Times New Roman"/>
          <w:i/>
          <w:lang w:val="ro-MD"/>
        </w:rPr>
        <w:t>nr. 2</w:t>
      </w:r>
      <w:r w:rsidRPr="000508B6">
        <w:rPr>
          <w:rFonts w:ascii="Times New Roman" w:eastAsia="Times New Roman" w:hAnsi="Times New Roman" w:cs="Times New Roman"/>
          <w:lang w:val="ro-MD"/>
        </w:rPr>
        <w:t xml:space="preserve"> - metoda deducerii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agregării prin care se calculează solvabilitatea la nivel de grup, considerată metoda alternativă;</w:t>
      </w:r>
    </w:p>
    <w:p w14:paraId="5B58535D" w14:textId="0B7EB4D7" w:rsidR="00F95829" w:rsidRPr="000508B6" w:rsidRDefault="00417956"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proofErr w:type="spellStart"/>
      <w:r w:rsidR="00F95829" w:rsidRPr="000508B6">
        <w:rPr>
          <w:rFonts w:ascii="Times New Roman" w:eastAsia="Times New Roman" w:hAnsi="Times New Roman" w:cs="Times New Roman"/>
          <w:i/>
          <w:lang w:val="ro-MD"/>
        </w:rPr>
        <w:t>participaţie</w:t>
      </w:r>
      <w:proofErr w:type="spellEnd"/>
      <w:r w:rsidR="00F95829" w:rsidRPr="000508B6">
        <w:rPr>
          <w:rFonts w:ascii="Times New Roman" w:eastAsia="Times New Roman" w:hAnsi="Times New Roman" w:cs="Times New Roman"/>
          <w:lang w:val="ro-MD"/>
        </w:rPr>
        <w:t xml:space="preserve"> – </w:t>
      </w:r>
      <w:proofErr w:type="spellStart"/>
      <w:r w:rsidR="00F95829" w:rsidRPr="000508B6">
        <w:rPr>
          <w:rFonts w:ascii="Times New Roman" w:eastAsia="Times New Roman" w:hAnsi="Times New Roman" w:cs="Times New Roman"/>
          <w:lang w:val="ro-MD"/>
        </w:rPr>
        <w:t>deţinere</w:t>
      </w:r>
      <w:proofErr w:type="spellEnd"/>
      <w:r w:rsidR="00F95829" w:rsidRPr="000508B6">
        <w:rPr>
          <w:rFonts w:ascii="Times New Roman" w:eastAsia="Times New Roman" w:hAnsi="Times New Roman" w:cs="Times New Roman"/>
          <w:lang w:val="ro-MD"/>
        </w:rPr>
        <w:t>, direct</w:t>
      </w:r>
      <w:r w:rsidR="00FA7B48"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sau prin control, a cel </w:t>
      </w:r>
      <w:proofErr w:type="spellStart"/>
      <w:r w:rsidR="00F95829" w:rsidRPr="000508B6">
        <w:rPr>
          <w:rFonts w:ascii="Times New Roman" w:eastAsia="Times New Roman" w:hAnsi="Times New Roman" w:cs="Times New Roman"/>
          <w:lang w:val="ro-MD"/>
        </w:rPr>
        <w:t>puţin</w:t>
      </w:r>
      <w:proofErr w:type="spellEnd"/>
      <w:r w:rsidR="00F95829" w:rsidRPr="000508B6">
        <w:rPr>
          <w:rFonts w:ascii="Times New Roman" w:eastAsia="Times New Roman" w:hAnsi="Times New Roman" w:cs="Times New Roman"/>
          <w:lang w:val="ro-MD"/>
        </w:rPr>
        <w:t xml:space="preserve"> 20% din drepturile de vot sau din capitalul social al </w:t>
      </w:r>
      <w:r w:rsidR="009F0059" w:rsidRPr="000508B6">
        <w:rPr>
          <w:rFonts w:ascii="Times New Roman" w:eastAsia="Times New Roman" w:hAnsi="Times New Roman" w:cs="Times New Roman"/>
          <w:lang w:val="ro-MD"/>
        </w:rPr>
        <w:t xml:space="preserve">unei </w:t>
      </w:r>
      <w:r w:rsidR="00161B52" w:rsidRPr="000508B6">
        <w:rPr>
          <w:rFonts w:ascii="Times New Roman" w:eastAsia="Times New Roman" w:hAnsi="Times New Roman" w:cs="Times New Roman"/>
          <w:lang w:val="ro-MD"/>
        </w:rPr>
        <w:t>entități</w:t>
      </w:r>
      <w:r w:rsidR="00F95829" w:rsidRPr="000508B6">
        <w:rPr>
          <w:rFonts w:ascii="Times New Roman" w:eastAsia="Times New Roman" w:hAnsi="Times New Roman" w:cs="Times New Roman"/>
          <w:lang w:val="ro-MD"/>
        </w:rPr>
        <w:t>;</w:t>
      </w:r>
    </w:p>
    <w:p w14:paraId="66830AB2" w14:textId="300C61AB"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participaţie</w:t>
      </w:r>
      <w:proofErr w:type="spellEnd"/>
      <w:r w:rsidRPr="000508B6">
        <w:rPr>
          <w:rFonts w:ascii="Times New Roman" w:eastAsia="Times New Roman" w:hAnsi="Times New Roman" w:cs="Times New Roman"/>
          <w:i/>
          <w:lang w:val="ro-MD"/>
        </w:rPr>
        <w:t xml:space="preserve"> calificată</w:t>
      </w:r>
      <w:r w:rsidRPr="000508B6">
        <w:rPr>
          <w:rFonts w:ascii="Times New Roman" w:eastAsia="Times New Roman" w:hAnsi="Times New Roman" w:cs="Times New Roman"/>
          <w:lang w:val="ro-MD"/>
        </w:rPr>
        <w:t xml:space="preserve"> – </w:t>
      </w:r>
      <w:r w:rsidR="009F4B88" w:rsidRPr="000508B6">
        <w:rPr>
          <w:rFonts w:ascii="Times New Roman" w:eastAsia="Times New Roman" w:hAnsi="Times New Roman" w:cs="Times New Roman"/>
          <w:lang w:val="ro-MD"/>
        </w:rPr>
        <w:t>deținerea directă sau indirectă  într-</w:t>
      </w:r>
      <w:r w:rsidR="00C5163B" w:rsidRPr="000508B6">
        <w:rPr>
          <w:rFonts w:ascii="Times New Roman" w:eastAsia="Times New Roman" w:hAnsi="Times New Roman" w:cs="Times New Roman"/>
          <w:lang w:val="ro-MD"/>
        </w:rPr>
        <w:t>un</w:t>
      </w:r>
      <w:r w:rsidR="009F4B88" w:rsidRPr="000508B6">
        <w:rPr>
          <w:rFonts w:ascii="Times New Roman" w:eastAsia="Times New Roman" w:hAnsi="Times New Roman" w:cs="Times New Roman"/>
          <w:lang w:val="ro-MD"/>
        </w:rPr>
        <w:t xml:space="preserve"> </w:t>
      </w:r>
      <w:r w:rsidR="00C5163B" w:rsidRPr="000508B6">
        <w:rPr>
          <w:rFonts w:ascii="Times New Roman" w:eastAsia="Times New Roman" w:hAnsi="Times New Roman" w:cs="Times New Roman"/>
          <w:lang w:val="ro-MD"/>
        </w:rPr>
        <w:t xml:space="preserve">asigurător sau </w:t>
      </w:r>
      <w:proofErr w:type="spellStart"/>
      <w:r w:rsidR="00C5163B" w:rsidRPr="000508B6">
        <w:rPr>
          <w:rFonts w:ascii="Times New Roman" w:eastAsia="Times New Roman" w:hAnsi="Times New Roman" w:cs="Times New Roman"/>
          <w:lang w:val="ro-MD"/>
        </w:rPr>
        <w:t>reasigurător</w:t>
      </w:r>
      <w:proofErr w:type="spellEnd"/>
      <w:r w:rsidR="009F4B88" w:rsidRPr="000508B6">
        <w:rPr>
          <w:rFonts w:ascii="Times New Roman" w:eastAsia="Times New Roman" w:hAnsi="Times New Roman" w:cs="Times New Roman"/>
          <w:lang w:val="ro-MD"/>
        </w:rPr>
        <w:t xml:space="preserve">, care reprezintă cel puțin 10 % din capitalul social sau din drepturile de vot ori  care face posibilă exercitarea unei influențe asupra administrării </w:t>
      </w:r>
      <w:r w:rsidR="00C5163B" w:rsidRPr="000508B6">
        <w:rPr>
          <w:rFonts w:ascii="Times New Roman" w:eastAsia="Times New Roman" w:hAnsi="Times New Roman" w:cs="Times New Roman"/>
          <w:lang w:val="ro-MD"/>
        </w:rPr>
        <w:t xml:space="preserve">asigurătorului sau </w:t>
      </w:r>
      <w:proofErr w:type="spellStart"/>
      <w:r w:rsidR="00C5163B" w:rsidRPr="000508B6">
        <w:rPr>
          <w:rFonts w:ascii="Times New Roman" w:eastAsia="Times New Roman" w:hAnsi="Times New Roman" w:cs="Times New Roman"/>
          <w:lang w:val="ro-MD"/>
        </w:rPr>
        <w:t>reasigurătorului</w:t>
      </w:r>
      <w:proofErr w:type="spellEnd"/>
      <w:r w:rsidR="009F4B88" w:rsidRPr="000508B6">
        <w:rPr>
          <w:rFonts w:ascii="Times New Roman" w:eastAsia="Times New Roman" w:hAnsi="Times New Roman" w:cs="Times New Roman"/>
          <w:lang w:val="ro-MD"/>
        </w:rPr>
        <w:t xml:space="preserve"> la luarea deciziilor în adunarea generală sau în organul de conducere, reprezentând mai puțin de 10% din capitalul social ori din drepturile de vot;</w:t>
      </w:r>
    </w:p>
    <w:p w14:paraId="59B95E0C" w14:textId="423036F6" w:rsidR="00CD6334" w:rsidRPr="000508B6" w:rsidRDefault="00CD6334"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persoană</w:t>
      </w:r>
      <w:r w:rsidRPr="000508B6">
        <w:rPr>
          <w:rFonts w:ascii="Times New Roman" w:eastAsia="Times New Roman" w:hAnsi="Times New Roman" w:cs="Times New Roman"/>
          <w:lang w:val="ro-MD"/>
        </w:rPr>
        <w:t xml:space="preserve"> - semnifică persoana fizică sau juridică, grupare de persoane fizice și/sau juridice, înregistrate ca atare sau nu</w:t>
      </w:r>
      <w:r w:rsidR="002D49FB" w:rsidRPr="000508B6">
        <w:rPr>
          <w:rFonts w:ascii="Times New Roman" w:eastAsia="Times New Roman" w:hAnsi="Times New Roman" w:cs="Times New Roman"/>
          <w:lang w:val="ro-MD"/>
        </w:rPr>
        <w:t>;</w:t>
      </w:r>
    </w:p>
    <w:p w14:paraId="4302F83C" w14:textId="6C98B11B" w:rsidR="008233DC" w:rsidRPr="000508B6" w:rsidRDefault="00E449A7"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persoane care </w:t>
      </w:r>
      <w:proofErr w:type="spellStart"/>
      <w:r w:rsidRPr="000508B6">
        <w:rPr>
          <w:rFonts w:ascii="Times New Roman" w:eastAsia="Times New Roman" w:hAnsi="Times New Roman" w:cs="Times New Roman"/>
          <w:i/>
          <w:lang w:val="ro-MD"/>
        </w:rPr>
        <w:t>acţionează</w:t>
      </w:r>
      <w:proofErr w:type="spellEnd"/>
      <w:r w:rsidRPr="000508B6">
        <w:rPr>
          <w:rFonts w:ascii="Times New Roman" w:eastAsia="Times New Roman" w:hAnsi="Times New Roman" w:cs="Times New Roman"/>
          <w:i/>
          <w:lang w:val="ro-MD"/>
        </w:rPr>
        <w:t xml:space="preserve"> </w:t>
      </w:r>
      <w:r w:rsidR="00085844" w:rsidRPr="000508B6">
        <w:rPr>
          <w:rFonts w:ascii="Times New Roman" w:eastAsia="Times New Roman" w:hAnsi="Times New Roman" w:cs="Times New Roman"/>
          <w:i/>
          <w:lang w:val="ro-MD"/>
        </w:rPr>
        <w:t xml:space="preserve">în mod </w:t>
      </w:r>
      <w:r w:rsidRPr="000508B6">
        <w:rPr>
          <w:rFonts w:ascii="Times New Roman" w:eastAsia="Times New Roman" w:hAnsi="Times New Roman" w:cs="Times New Roman"/>
          <w:i/>
          <w:lang w:val="ro-MD"/>
        </w:rPr>
        <w:t>concertat</w:t>
      </w:r>
      <w:r w:rsidRPr="000508B6">
        <w:rPr>
          <w:rFonts w:ascii="Times New Roman" w:eastAsia="Times New Roman" w:hAnsi="Times New Roman" w:cs="Times New Roman"/>
          <w:lang w:val="ro-MD"/>
        </w:rPr>
        <w:t xml:space="preserve"> –</w:t>
      </w:r>
      <w:r w:rsidR="00CA6CC4" w:rsidRPr="000508B6">
        <w:rPr>
          <w:rFonts w:ascii="Times New Roman" w:eastAsia="Times New Roman" w:hAnsi="Times New Roman" w:cs="Times New Roman"/>
          <w:lang w:val="ro-MD"/>
        </w:rPr>
        <w:t xml:space="preserve"> </w:t>
      </w:r>
      <w:r w:rsidR="008233DC" w:rsidRPr="000508B6">
        <w:rPr>
          <w:rFonts w:ascii="Times New Roman" w:eastAsia="Times New Roman" w:hAnsi="Times New Roman" w:cs="Times New Roman"/>
          <w:lang w:val="ro-MD"/>
        </w:rPr>
        <w:t xml:space="preserve">persoanele aflate în </w:t>
      </w:r>
      <w:proofErr w:type="spellStart"/>
      <w:r w:rsidR="008233DC" w:rsidRPr="000508B6">
        <w:rPr>
          <w:rFonts w:ascii="Times New Roman" w:eastAsia="Times New Roman" w:hAnsi="Times New Roman" w:cs="Times New Roman"/>
          <w:lang w:val="ro-MD"/>
        </w:rPr>
        <w:t>situaţia</w:t>
      </w:r>
      <w:proofErr w:type="spellEnd"/>
      <w:r w:rsidR="008233DC" w:rsidRPr="000508B6">
        <w:rPr>
          <w:rFonts w:ascii="Times New Roman" w:eastAsia="Times New Roman" w:hAnsi="Times New Roman" w:cs="Times New Roman"/>
          <w:lang w:val="ro-MD"/>
        </w:rPr>
        <w:t xml:space="preserve"> în care fiecare dintre ele decide să-</w:t>
      </w:r>
      <w:proofErr w:type="spellStart"/>
      <w:r w:rsidR="008233DC" w:rsidRPr="000508B6">
        <w:rPr>
          <w:rFonts w:ascii="Times New Roman" w:eastAsia="Times New Roman" w:hAnsi="Times New Roman" w:cs="Times New Roman"/>
          <w:lang w:val="ro-MD"/>
        </w:rPr>
        <w:t>şi</w:t>
      </w:r>
      <w:proofErr w:type="spellEnd"/>
      <w:r w:rsidR="008233DC" w:rsidRPr="000508B6">
        <w:rPr>
          <w:rFonts w:ascii="Times New Roman" w:eastAsia="Times New Roman" w:hAnsi="Times New Roman" w:cs="Times New Roman"/>
          <w:lang w:val="ro-MD"/>
        </w:rPr>
        <w:t xml:space="preserve"> exercite drepturile legate de </w:t>
      </w:r>
      <w:r w:rsidR="00794982" w:rsidRPr="000508B6">
        <w:rPr>
          <w:rFonts w:ascii="Times New Roman" w:eastAsia="Times New Roman" w:hAnsi="Times New Roman" w:cs="Times New Roman"/>
          <w:lang w:val="ro-MD"/>
        </w:rPr>
        <w:t>o deținere dobândită</w:t>
      </w:r>
      <w:r w:rsidR="008233DC" w:rsidRPr="000508B6">
        <w:rPr>
          <w:rFonts w:ascii="Times New Roman" w:eastAsia="Times New Roman" w:hAnsi="Times New Roman" w:cs="Times New Roman"/>
          <w:lang w:val="ro-MD"/>
        </w:rPr>
        <w:t xml:space="preserve"> sau pe care urmează să o dobândească, </w:t>
      </w:r>
      <w:r w:rsidR="008233DC" w:rsidRPr="000508B6">
        <w:rPr>
          <w:rFonts w:ascii="Times New Roman" w:eastAsia="Times New Roman" w:hAnsi="Times New Roman" w:cs="Times New Roman"/>
          <w:lang w:val="ro-MD"/>
        </w:rPr>
        <w:lastRenderedPageBreak/>
        <w:t xml:space="preserve">în conformitate cu un acord, implicit sau explicit, încheiat între acestea. Până la proba contrară, următoarele persoane se prezumă că </w:t>
      </w:r>
      <w:proofErr w:type="spellStart"/>
      <w:r w:rsidR="008233DC" w:rsidRPr="000508B6">
        <w:rPr>
          <w:rFonts w:ascii="Times New Roman" w:eastAsia="Times New Roman" w:hAnsi="Times New Roman" w:cs="Times New Roman"/>
          <w:lang w:val="ro-MD"/>
        </w:rPr>
        <w:t>acţionează</w:t>
      </w:r>
      <w:proofErr w:type="spellEnd"/>
      <w:r w:rsidR="008233DC" w:rsidRPr="000508B6">
        <w:rPr>
          <w:rFonts w:ascii="Times New Roman" w:eastAsia="Times New Roman" w:hAnsi="Times New Roman" w:cs="Times New Roman"/>
          <w:lang w:val="ro-MD"/>
        </w:rPr>
        <w:t xml:space="preserve"> concertat:</w:t>
      </w:r>
    </w:p>
    <w:p w14:paraId="63F9FDF2" w14:textId="171108A6"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au </w:t>
      </w:r>
      <w:proofErr w:type="spellStart"/>
      <w:r w:rsidRPr="000508B6">
        <w:rPr>
          <w:rFonts w:ascii="Times New Roman" w:eastAsia="Times New Roman" w:hAnsi="Times New Roman" w:cs="Times New Roman"/>
          <w:lang w:val="ro-MD"/>
        </w:rPr>
        <w:t>achiziţionat</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acţiuni</w:t>
      </w:r>
      <w:proofErr w:type="spellEnd"/>
      <w:r w:rsidRPr="000508B6">
        <w:rPr>
          <w:rFonts w:ascii="Times New Roman" w:eastAsia="Times New Roman" w:hAnsi="Times New Roman" w:cs="Times New Roman"/>
          <w:lang w:val="ro-MD"/>
        </w:rPr>
        <w:t xml:space="preserv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în </w:t>
      </w:r>
      <w:proofErr w:type="spellStart"/>
      <w:r w:rsidRPr="000508B6">
        <w:rPr>
          <w:rFonts w:ascii="Times New Roman" w:eastAsia="Times New Roman" w:hAnsi="Times New Roman" w:cs="Times New Roman"/>
          <w:lang w:val="ro-MD"/>
        </w:rPr>
        <w:t>circumstanţe</w:t>
      </w:r>
      <w:proofErr w:type="spellEnd"/>
      <w:r w:rsidRPr="000508B6">
        <w:rPr>
          <w:rFonts w:ascii="Times New Roman" w:eastAsia="Times New Roman" w:hAnsi="Times New Roman" w:cs="Times New Roman"/>
          <w:lang w:val="ro-MD"/>
        </w:rPr>
        <w:t xml:space="preserve"> care denotă </w:t>
      </w:r>
      <w:proofErr w:type="spellStart"/>
      <w:r w:rsidRPr="000508B6">
        <w:rPr>
          <w:rFonts w:ascii="Times New Roman" w:eastAsia="Times New Roman" w:hAnsi="Times New Roman" w:cs="Times New Roman"/>
          <w:lang w:val="ro-MD"/>
        </w:rPr>
        <w:t>achiziţia</w:t>
      </w:r>
      <w:proofErr w:type="spellEnd"/>
      <w:r w:rsidRPr="000508B6">
        <w:rPr>
          <w:rFonts w:ascii="Times New Roman" w:eastAsia="Times New Roman" w:hAnsi="Times New Roman" w:cs="Times New Roman"/>
          <w:lang w:val="ro-MD"/>
        </w:rPr>
        <w:t xml:space="preserve"> coordonată sau </w:t>
      </w:r>
      <w:proofErr w:type="spellStart"/>
      <w:r w:rsidRPr="000508B6">
        <w:rPr>
          <w:rFonts w:ascii="Times New Roman" w:eastAsia="Times New Roman" w:hAnsi="Times New Roman" w:cs="Times New Roman"/>
          <w:lang w:val="ro-MD"/>
        </w:rPr>
        <w:t>intenţia</w:t>
      </w:r>
      <w:proofErr w:type="spellEnd"/>
      <w:r w:rsidRPr="000508B6">
        <w:rPr>
          <w:rFonts w:ascii="Times New Roman" w:eastAsia="Times New Roman" w:hAnsi="Times New Roman" w:cs="Times New Roman"/>
          <w:lang w:val="ro-MD"/>
        </w:rPr>
        <w:t xml:space="preserve"> comună a acestor persoane de a </w:t>
      </w:r>
      <w:proofErr w:type="spellStart"/>
      <w:r w:rsidRPr="000508B6">
        <w:rPr>
          <w:rFonts w:ascii="Times New Roman" w:eastAsia="Times New Roman" w:hAnsi="Times New Roman" w:cs="Times New Roman"/>
          <w:lang w:val="ro-MD"/>
        </w:rPr>
        <w:t>achiziţiona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acţiunile</w:t>
      </w:r>
      <w:proofErr w:type="spellEnd"/>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08901930" w14:textId="70262B61"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persoanele implicate:</w:t>
      </w:r>
    </w:p>
    <w:p w14:paraId="1B230BF9" w14:textId="48AD9C64" w:rsidR="008233DC" w:rsidRPr="000508B6" w:rsidRDefault="00706A7D" w:rsidP="00CF5AFA">
      <w:pPr>
        <w:pStyle w:val="Listparagraf"/>
        <w:numPr>
          <w:ilvl w:val="0"/>
          <w:numId w:val="360"/>
        </w:numPr>
        <w:spacing w:after="0" w:line="240" w:lineRule="auto"/>
        <w:ind w:left="0" w:firstLine="709"/>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8233DC" w:rsidRPr="000508B6">
        <w:rPr>
          <w:rFonts w:ascii="Times New Roman" w:eastAsia="Times New Roman" w:hAnsi="Times New Roman" w:cs="Times New Roman"/>
          <w:lang w:val="ro-MD"/>
        </w:rPr>
        <w:t>persoanele care controlează sau sunt controlate de către altă persoană sau care se găsesc sub un control comun;</w:t>
      </w:r>
    </w:p>
    <w:p w14:paraId="2A8F1884" w14:textId="2026F952" w:rsidR="008233DC" w:rsidRPr="000508B6" w:rsidRDefault="00706A7D" w:rsidP="00CF5AFA">
      <w:pPr>
        <w:pStyle w:val="Listparagraf"/>
        <w:numPr>
          <w:ilvl w:val="0"/>
          <w:numId w:val="360"/>
        </w:numPr>
        <w:spacing w:after="0" w:line="240" w:lineRule="auto"/>
        <w:ind w:left="0" w:firstLine="709"/>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8233DC" w:rsidRPr="000508B6">
        <w:rPr>
          <w:rFonts w:ascii="Times New Roman" w:eastAsia="Times New Roman" w:hAnsi="Times New Roman" w:cs="Times New Roman"/>
          <w:lang w:val="ro-MD"/>
        </w:rPr>
        <w:t xml:space="preserve">persoanele care sunt parte, directă sau indirectă, la acorduri, în vederea </w:t>
      </w:r>
      <w:proofErr w:type="spellStart"/>
      <w:r w:rsidR="008233DC" w:rsidRPr="000508B6">
        <w:rPr>
          <w:rFonts w:ascii="Times New Roman" w:eastAsia="Times New Roman" w:hAnsi="Times New Roman" w:cs="Times New Roman"/>
          <w:lang w:val="ro-MD"/>
        </w:rPr>
        <w:t>obţinerii</w:t>
      </w:r>
      <w:proofErr w:type="spellEnd"/>
      <w:r w:rsidR="008233DC" w:rsidRPr="000508B6">
        <w:rPr>
          <w:rFonts w:ascii="Times New Roman" w:eastAsia="Times New Roman" w:hAnsi="Times New Roman" w:cs="Times New Roman"/>
          <w:lang w:val="ro-MD"/>
        </w:rPr>
        <w:t xml:space="preserve"> sau exercitării în comun a drepturilor de vot, dacă </w:t>
      </w:r>
      <w:proofErr w:type="spellStart"/>
      <w:r w:rsidR="008233DC" w:rsidRPr="000508B6">
        <w:rPr>
          <w:rFonts w:ascii="Times New Roman" w:eastAsia="Times New Roman" w:hAnsi="Times New Roman" w:cs="Times New Roman"/>
          <w:lang w:val="ro-MD"/>
        </w:rPr>
        <w:t>acţiunile</w:t>
      </w:r>
      <w:proofErr w:type="spellEnd"/>
      <w:r w:rsidR="008233DC" w:rsidRPr="000508B6">
        <w:rPr>
          <w:rFonts w:ascii="Times New Roman" w:eastAsia="Times New Roman" w:hAnsi="Times New Roman" w:cs="Times New Roman"/>
          <w:lang w:val="ro-MD"/>
        </w:rPr>
        <w:t xml:space="preserve"> care sunt obiect al acordului pot conferi o </w:t>
      </w:r>
      <w:proofErr w:type="spellStart"/>
      <w:r w:rsidR="008233DC" w:rsidRPr="000508B6">
        <w:rPr>
          <w:rFonts w:ascii="Times New Roman" w:eastAsia="Times New Roman" w:hAnsi="Times New Roman" w:cs="Times New Roman"/>
          <w:lang w:val="ro-MD"/>
        </w:rPr>
        <w:t>poziţie</w:t>
      </w:r>
      <w:proofErr w:type="spellEnd"/>
      <w:r w:rsidR="008233DC" w:rsidRPr="000508B6">
        <w:rPr>
          <w:rFonts w:ascii="Times New Roman" w:eastAsia="Times New Roman" w:hAnsi="Times New Roman" w:cs="Times New Roman"/>
          <w:lang w:val="ro-MD"/>
        </w:rPr>
        <w:t xml:space="preserve"> de control;</w:t>
      </w:r>
    </w:p>
    <w:p w14:paraId="4EAC3740" w14:textId="687EC03F" w:rsidR="008233DC" w:rsidRPr="000508B6" w:rsidRDefault="00706A7D" w:rsidP="00CF5AFA">
      <w:pPr>
        <w:pStyle w:val="Listparagraf"/>
        <w:numPr>
          <w:ilvl w:val="0"/>
          <w:numId w:val="360"/>
        </w:numPr>
        <w:spacing w:after="0" w:line="240" w:lineRule="auto"/>
        <w:ind w:left="0" w:firstLine="709"/>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8233DC" w:rsidRPr="000508B6">
        <w:rPr>
          <w:rFonts w:ascii="Times New Roman" w:eastAsia="Times New Roman" w:hAnsi="Times New Roman" w:cs="Times New Roman"/>
          <w:lang w:val="ro-MD"/>
        </w:rPr>
        <w:t xml:space="preserve">persoanele fizice din cadrul persoanei juridice, care au </w:t>
      </w:r>
      <w:proofErr w:type="spellStart"/>
      <w:r w:rsidR="008233DC" w:rsidRPr="000508B6">
        <w:rPr>
          <w:rFonts w:ascii="Times New Roman" w:eastAsia="Times New Roman" w:hAnsi="Times New Roman" w:cs="Times New Roman"/>
          <w:lang w:val="ro-MD"/>
        </w:rPr>
        <w:t>atribuţii</w:t>
      </w:r>
      <w:proofErr w:type="spellEnd"/>
      <w:r w:rsidR="008233DC" w:rsidRPr="000508B6">
        <w:rPr>
          <w:rFonts w:ascii="Times New Roman" w:eastAsia="Times New Roman" w:hAnsi="Times New Roman" w:cs="Times New Roman"/>
          <w:lang w:val="ro-MD"/>
        </w:rPr>
        <w:t xml:space="preserve"> de conducere sau control;</w:t>
      </w:r>
    </w:p>
    <w:p w14:paraId="3FD06E0A" w14:textId="7F82353A" w:rsidR="008233DC" w:rsidRPr="000508B6" w:rsidRDefault="00706A7D" w:rsidP="00CF5AFA">
      <w:pPr>
        <w:pStyle w:val="Listparagraf"/>
        <w:numPr>
          <w:ilvl w:val="0"/>
          <w:numId w:val="360"/>
        </w:numPr>
        <w:spacing w:after="0" w:line="240" w:lineRule="auto"/>
        <w:ind w:left="0" w:firstLine="709"/>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8233DC" w:rsidRPr="000508B6">
        <w:rPr>
          <w:rFonts w:ascii="Times New Roman" w:eastAsia="Times New Roman" w:hAnsi="Times New Roman" w:cs="Times New Roman"/>
          <w:lang w:val="ro-MD"/>
        </w:rPr>
        <w:t>persoanele care pot numi majoritatea membrilor organelor de conducere în cadrul unei persoane;</w:t>
      </w:r>
    </w:p>
    <w:p w14:paraId="3A1A3CAA" w14:textId="4434FEAC" w:rsidR="008233DC" w:rsidRPr="000508B6" w:rsidRDefault="00706A7D" w:rsidP="00CF5AFA">
      <w:pPr>
        <w:pStyle w:val="Listparagraf"/>
        <w:numPr>
          <w:ilvl w:val="0"/>
          <w:numId w:val="360"/>
        </w:numPr>
        <w:spacing w:after="0" w:line="240" w:lineRule="auto"/>
        <w:ind w:left="0" w:firstLine="709"/>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8233DC" w:rsidRPr="000508B6">
        <w:rPr>
          <w:rFonts w:ascii="Times New Roman" w:eastAsia="Times New Roman" w:hAnsi="Times New Roman" w:cs="Times New Roman"/>
          <w:lang w:val="ro-MD"/>
        </w:rPr>
        <w:t xml:space="preserve">orice persoană care, conform </w:t>
      </w:r>
      <w:proofErr w:type="spellStart"/>
      <w:r w:rsidR="008233DC" w:rsidRPr="000508B6">
        <w:rPr>
          <w:rFonts w:ascii="Times New Roman" w:eastAsia="Times New Roman" w:hAnsi="Times New Roman" w:cs="Times New Roman"/>
          <w:lang w:val="ro-MD"/>
        </w:rPr>
        <w:t>legislaţiei</w:t>
      </w:r>
      <w:proofErr w:type="spellEnd"/>
      <w:r w:rsidR="008233DC" w:rsidRPr="000508B6">
        <w:rPr>
          <w:rFonts w:ascii="Times New Roman" w:eastAsia="Times New Roman" w:hAnsi="Times New Roman" w:cs="Times New Roman"/>
          <w:lang w:val="ro-MD"/>
        </w:rPr>
        <w:t xml:space="preserve"> civile, este legată de persoana fizică, </w:t>
      </w:r>
      <w:proofErr w:type="spellStart"/>
      <w:r w:rsidR="008233DC" w:rsidRPr="000508B6">
        <w:rPr>
          <w:rFonts w:ascii="Times New Roman" w:eastAsia="Times New Roman" w:hAnsi="Times New Roman" w:cs="Times New Roman"/>
          <w:lang w:val="ro-MD"/>
        </w:rPr>
        <w:t>menţionată</w:t>
      </w:r>
      <w:proofErr w:type="spellEnd"/>
      <w:r w:rsidR="008233DC" w:rsidRPr="000508B6">
        <w:rPr>
          <w:rFonts w:ascii="Times New Roman" w:eastAsia="Times New Roman" w:hAnsi="Times New Roman" w:cs="Times New Roman"/>
          <w:lang w:val="ro-MD"/>
        </w:rPr>
        <w:t xml:space="preserve"> mai sus, printr-un raport de rudenie de gradul întâi </w:t>
      </w:r>
      <w:proofErr w:type="spellStart"/>
      <w:r w:rsidR="008233DC" w:rsidRPr="000508B6">
        <w:rPr>
          <w:rFonts w:ascii="Times New Roman" w:eastAsia="Times New Roman" w:hAnsi="Times New Roman" w:cs="Times New Roman"/>
          <w:lang w:val="ro-MD"/>
        </w:rPr>
        <w:t>şi</w:t>
      </w:r>
      <w:proofErr w:type="spellEnd"/>
      <w:r w:rsidR="008233DC" w:rsidRPr="000508B6">
        <w:rPr>
          <w:rFonts w:ascii="Times New Roman" w:eastAsia="Times New Roman" w:hAnsi="Times New Roman" w:cs="Times New Roman"/>
          <w:lang w:val="ro-MD"/>
        </w:rPr>
        <w:t xml:space="preserve"> doi, </w:t>
      </w:r>
      <w:proofErr w:type="spellStart"/>
      <w:r w:rsidR="008233DC" w:rsidRPr="000508B6">
        <w:rPr>
          <w:rFonts w:ascii="Times New Roman" w:eastAsia="Times New Roman" w:hAnsi="Times New Roman" w:cs="Times New Roman"/>
          <w:lang w:val="ro-MD"/>
        </w:rPr>
        <w:t>soţii</w:t>
      </w:r>
      <w:proofErr w:type="spellEnd"/>
      <w:r w:rsidR="008233DC" w:rsidRPr="000508B6">
        <w:rPr>
          <w:rFonts w:ascii="Times New Roman" w:eastAsia="Times New Roman" w:hAnsi="Times New Roman" w:cs="Times New Roman"/>
          <w:lang w:val="ro-MD"/>
        </w:rPr>
        <w:t xml:space="preserve"> persoanei </w:t>
      </w:r>
      <w:proofErr w:type="spellStart"/>
      <w:r w:rsidR="008233DC" w:rsidRPr="000508B6">
        <w:rPr>
          <w:rFonts w:ascii="Times New Roman" w:eastAsia="Times New Roman" w:hAnsi="Times New Roman" w:cs="Times New Roman"/>
          <w:lang w:val="ro-MD"/>
        </w:rPr>
        <w:t>şi</w:t>
      </w:r>
      <w:proofErr w:type="spellEnd"/>
      <w:r w:rsidR="008233DC" w:rsidRPr="000508B6">
        <w:rPr>
          <w:rFonts w:ascii="Times New Roman" w:eastAsia="Times New Roman" w:hAnsi="Times New Roman" w:cs="Times New Roman"/>
          <w:lang w:val="ro-MD"/>
        </w:rPr>
        <w:t xml:space="preserve"> </w:t>
      </w:r>
      <w:r w:rsidR="002F1EE7" w:rsidRPr="000508B6">
        <w:rPr>
          <w:rFonts w:ascii="Times New Roman" w:eastAsia="Times New Roman" w:hAnsi="Times New Roman" w:cs="Times New Roman"/>
          <w:lang w:val="ro-MD"/>
        </w:rPr>
        <w:t xml:space="preserve">ai </w:t>
      </w:r>
      <w:r w:rsidR="008233DC" w:rsidRPr="000508B6">
        <w:rPr>
          <w:rFonts w:ascii="Times New Roman" w:eastAsia="Times New Roman" w:hAnsi="Times New Roman" w:cs="Times New Roman"/>
          <w:lang w:val="ro-MD"/>
        </w:rPr>
        <w:t xml:space="preserve">rudelor persoanei, afinii persoanei </w:t>
      </w:r>
      <w:proofErr w:type="spellStart"/>
      <w:r w:rsidR="008233DC" w:rsidRPr="000508B6">
        <w:rPr>
          <w:rFonts w:ascii="Times New Roman" w:eastAsia="Times New Roman" w:hAnsi="Times New Roman" w:cs="Times New Roman"/>
          <w:lang w:val="ro-MD"/>
        </w:rPr>
        <w:t>şi</w:t>
      </w:r>
      <w:proofErr w:type="spellEnd"/>
      <w:r w:rsidR="008233DC" w:rsidRPr="000508B6">
        <w:rPr>
          <w:rFonts w:ascii="Times New Roman" w:eastAsia="Times New Roman" w:hAnsi="Times New Roman" w:cs="Times New Roman"/>
          <w:lang w:val="ro-MD"/>
        </w:rPr>
        <w:t xml:space="preserve"> </w:t>
      </w:r>
      <w:proofErr w:type="spellStart"/>
      <w:r w:rsidR="008233DC" w:rsidRPr="000508B6">
        <w:rPr>
          <w:rFonts w:ascii="Times New Roman" w:eastAsia="Times New Roman" w:hAnsi="Times New Roman" w:cs="Times New Roman"/>
          <w:lang w:val="ro-MD"/>
        </w:rPr>
        <w:t>soţii</w:t>
      </w:r>
      <w:proofErr w:type="spellEnd"/>
      <w:r w:rsidR="008233DC" w:rsidRPr="000508B6">
        <w:rPr>
          <w:rFonts w:ascii="Times New Roman" w:eastAsia="Times New Roman" w:hAnsi="Times New Roman" w:cs="Times New Roman"/>
          <w:lang w:val="ro-MD"/>
        </w:rPr>
        <w:t xml:space="preserve"> afinelor, precum </w:t>
      </w:r>
      <w:proofErr w:type="spellStart"/>
      <w:r w:rsidR="008233DC" w:rsidRPr="000508B6">
        <w:rPr>
          <w:rFonts w:ascii="Times New Roman" w:eastAsia="Times New Roman" w:hAnsi="Times New Roman" w:cs="Times New Roman"/>
          <w:lang w:val="ro-MD"/>
        </w:rPr>
        <w:t>şi</w:t>
      </w:r>
      <w:proofErr w:type="spellEnd"/>
      <w:r w:rsidR="008233DC" w:rsidRPr="000508B6">
        <w:rPr>
          <w:rFonts w:ascii="Times New Roman" w:eastAsia="Times New Roman" w:hAnsi="Times New Roman" w:cs="Times New Roman"/>
          <w:lang w:val="ro-MD"/>
        </w:rPr>
        <w:t xml:space="preserve"> </w:t>
      </w:r>
      <w:r w:rsidR="0054730A" w:rsidRPr="000508B6">
        <w:rPr>
          <w:rFonts w:ascii="Times New Roman" w:eastAsia="Times New Roman" w:hAnsi="Times New Roman" w:cs="Times New Roman"/>
          <w:lang w:val="ro-MD"/>
        </w:rPr>
        <w:t xml:space="preserve">asigurătorul sau </w:t>
      </w:r>
      <w:proofErr w:type="spellStart"/>
      <w:r w:rsidR="0054730A" w:rsidRPr="000508B6">
        <w:rPr>
          <w:rFonts w:ascii="Times New Roman" w:eastAsia="Times New Roman" w:hAnsi="Times New Roman" w:cs="Times New Roman"/>
          <w:lang w:val="ro-MD"/>
        </w:rPr>
        <w:t>reasigurătorul</w:t>
      </w:r>
      <w:proofErr w:type="spellEnd"/>
      <w:r w:rsidR="008233DC" w:rsidRPr="000508B6">
        <w:rPr>
          <w:rFonts w:ascii="Times New Roman" w:eastAsia="Times New Roman" w:hAnsi="Times New Roman" w:cs="Times New Roman"/>
          <w:lang w:val="ro-MD"/>
        </w:rPr>
        <w:t xml:space="preserve"> aflate sub controlul acestora;</w:t>
      </w:r>
    </w:p>
    <w:p w14:paraId="1B962718" w14:textId="2A78778A"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societatea-mamă împreună cu </w:t>
      </w:r>
      <w:r w:rsidR="00564885" w:rsidRPr="000508B6">
        <w:rPr>
          <w:rFonts w:ascii="Times New Roman" w:eastAsia="Times New Roman" w:hAnsi="Times New Roman" w:cs="Times New Roman"/>
          <w:lang w:val="ro-MD"/>
        </w:rPr>
        <w:t xml:space="preserve">filialele </w:t>
      </w:r>
      <w:r w:rsidRPr="000508B6">
        <w:rPr>
          <w:rFonts w:ascii="Times New Roman" w:eastAsia="Times New Roman" w:hAnsi="Times New Roman" w:cs="Times New Roman"/>
          <w:lang w:val="ro-MD"/>
        </w:rPr>
        <w:t xml:space="preserve">sale,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oricare dintre </w:t>
      </w:r>
      <w:r w:rsidR="00564885" w:rsidRPr="000508B6">
        <w:rPr>
          <w:rFonts w:ascii="Times New Roman" w:eastAsia="Times New Roman" w:hAnsi="Times New Roman" w:cs="Times New Roman"/>
          <w:lang w:val="ro-MD"/>
        </w:rPr>
        <w:t xml:space="preserve">filialele </w:t>
      </w:r>
      <w:proofErr w:type="spellStart"/>
      <w:r w:rsidRPr="000508B6">
        <w:rPr>
          <w:rFonts w:ascii="Times New Roman" w:eastAsia="Times New Roman" w:hAnsi="Times New Roman" w:cs="Times New Roman"/>
          <w:lang w:val="ro-MD"/>
        </w:rPr>
        <w:t>aceleiaşi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societăţi</w:t>
      </w:r>
      <w:proofErr w:type="spellEnd"/>
      <w:r w:rsidRPr="000508B6">
        <w:rPr>
          <w:rFonts w:ascii="Times New Roman" w:eastAsia="Times New Roman" w:hAnsi="Times New Roman" w:cs="Times New Roman"/>
          <w:lang w:val="ro-MD"/>
        </w:rPr>
        <w:t>-mamă între ele;</w:t>
      </w:r>
    </w:p>
    <w:p w14:paraId="6A667552" w14:textId="6CAED0E4"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 persoană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membrii organului de conducere al acesteia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 persoanele implicate,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aceste persoane între ele;</w:t>
      </w:r>
    </w:p>
    <w:p w14:paraId="77AFAE11" w14:textId="0BBA0175"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o persoană cu fondurile ei de pensii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 persoana care administrează aceste fonduri;</w:t>
      </w:r>
    </w:p>
    <w:p w14:paraId="29B5B5DE" w14:textId="79D6A531"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în derularea unor </w:t>
      </w:r>
      <w:proofErr w:type="spellStart"/>
      <w:r w:rsidRPr="000508B6">
        <w:rPr>
          <w:rFonts w:ascii="Times New Roman" w:eastAsia="Times New Roman" w:hAnsi="Times New Roman" w:cs="Times New Roman"/>
          <w:lang w:val="ro-MD"/>
        </w:rPr>
        <w:t>operaţiuni</w:t>
      </w:r>
      <w:proofErr w:type="spellEnd"/>
      <w:r w:rsidRPr="000508B6">
        <w:rPr>
          <w:rFonts w:ascii="Times New Roman" w:eastAsia="Times New Roman" w:hAnsi="Times New Roman" w:cs="Times New Roman"/>
          <w:lang w:val="ro-MD"/>
        </w:rPr>
        <w:t xml:space="preserve"> economice, utilizează resurse financiare, având </w:t>
      </w:r>
      <w:proofErr w:type="spellStart"/>
      <w:r w:rsidRPr="000508B6">
        <w:rPr>
          <w:rFonts w:ascii="Times New Roman" w:eastAsia="Times New Roman" w:hAnsi="Times New Roman" w:cs="Times New Roman"/>
          <w:lang w:val="ro-MD"/>
        </w:rPr>
        <w:t>aceeaşi</w:t>
      </w:r>
      <w:proofErr w:type="spellEnd"/>
      <w:r w:rsidRPr="000508B6">
        <w:rPr>
          <w:rFonts w:ascii="Times New Roman" w:eastAsia="Times New Roman" w:hAnsi="Times New Roman" w:cs="Times New Roman"/>
          <w:lang w:val="ro-MD"/>
        </w:rPr>
        <w:t xml:space="preserve"> sursă sau provenind de la </w:t>
      </w:r>
      <w:proofErr w:type="spellStart"/>
      <w:r w:rsidRPr="000508B6">
        <w:rPr>
          <w:rFonts w:ascii="Times New Roman" w:eastAsia="Times New Roman" w:hAnsi="Times New Roman" w:cs="Times New Roman"/>
          <w:lang w:val="ro-MD"/>
        </w:rPr>
        <w:t>entităţi</w:t>
      </w:r>
      <w:proofErr w:type="spellEnd"/>
      <w:r w:rsidRPr="000508B6">
        <w:rPr>
          <w:rFonts w:ascii="Times New Roman" w:eastAsia="Times New Roman" w:hAnsi="Times New Roman" w:cs="Times New Roman"/>
          <w:lang w:val="ro-MD"/>
        </w:rPr>
        <w:t xml:space="preserve"> diferite care sunt persoane implicate;</w:t>
      </w:r>
    </w:p>
    <w:p w14:paraId="3B0ECA82" w14:textId="3A8C31C7"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în derularea unor </w:t>
      </w:r>
      <w:proofErr w:type="spellStart"/>
      <w:r w:rsidRPr="000508B6">
        <w:rPr>
          <w:rFonts w:ascii="Times New Roman" w:eastAsia="Times New Roman" w:hAnsi="Times New Roman" w:cs="Times New Roman"/>
          <w:lang w:val="ro-MD"/>
        </w:rPr>
        <w:t>operaţiuni</w:t>
      </w:r>
      <w:proofErr w:type="spellEnd"/>
      <w:r w:rsidRPr="000508B6">
        <w:rPr>
          <w:rFonts w:ascii="Times New Roman" w:eastAsia="Times New Roman" w:hAnsi="Times New Roman" w:cs="Times New Roman"/>
          <w:lang w:val="ro-MD"/>
        </w:rPr>
        <w:t xml:space="preserve"> economice, </w:t>
      </w:r>
      <w:proofErr w:type="spellStart"/>
      <w:r w:rsidRPr="000508B6">
        <w:rPr>
          <w:rFonts w:ascii="Times New Roman" w:eastAsia="Times New Roman" w:hAnsi="Times New Roman" w:cs="Times New Roman"/>
          <w:lang w:val="ro-MD"/>
        </w:rPr>
        <w:t>direcţionează</w:t>
      </w:r>
      <w:proofErr w:type="spellEnd"/>
      <w:r w:rsidRPr="000508B6">
        <w:rPr>
          <w:rFonts w:ascii="Times New Roman" w:eastAsia="Times New Roman" w:hAnsi="Times New Roman" w:cs="Times New Roman"/>
          <w:lang w:val="ro-MD"/>
        </w:rPr>
        <w:t xml:space="preserve"> beneficiile astfel </w:t>
      </w:r>
      <w:proofErr w:type="spellStart"/>
      <w:r w:rsidRPr="000508B6">
        <w:rPr>
          <w:rFonts w:ascii="Times New Roman" w:eastAsia="Times New Roman" w:hAnsi="Times New Roman" w:cs="Times New Roman"/>
          <w:lang w:val="ro-MD"/>
        </w:rPr>
        <w:t>obţinute</w:t>
      </w:r>
      <w:proofErr w:type="spellEnd"/>
      <w:r w:rsidRPr="000508B6">
        <w:rPr>
          <w:rFonts w:ascii="Times New Roman" w:eastAsia="Times New Roman" w:hAnsi="Times New Roman" w:cs="Times New Roman"/>
          <w:lang w:val="ro-MD"/>
        </w:rPr>
        <w:t xml:space="preserve"> către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destinatar sau către destinatari care sunt persoane implicate;</w:t>
      </w:r>
    </w:p>
    <w:p w14:paraId="417BB44B" w14:textId="2F5E6534"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juridice ale căror structuri de proprietate sau al căror organ de conducere are preponderent </w:t>
      </w:r>
      <w:proofErr w:type="spellStart"/>
      <w:r w:rsidRPr="000508B6">
        <w:rPr>
          <w:rFonts w:ascii="Times New Roman" w:eastAsia="Times New Roman" w:hAnsi="Times New Roman" w:cs="Times New Roman"/>
          <w:lang w:val="ro-MD"/>
        </w:rPr>
        <w:t>aceeaşi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componenţă</w:t>
      </w:r>
      <w:proofErr w:type="spellEnd"/>
      <w:r w:rsidRPr="000508B6">
        <w:rPr>
          <w:rFonts w:ascii="Times New Roman" w:eastAsia="Times New Roman" w:hAnsi="Times New Roman" w:cs="Times New Roman"/>
          <w:lang w:val="ro-MD"/>
        </w:rPr>
        <w:t>;</w:t>
      </w:r>
    </w:p>
    <w:p w14:paraId="41C07DA2" w14:textId="7ADD0416"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au adoptat sau adoptă o </w:t>
      </w:r>
      <w:r w:rsidR="00564885" w:rsidRPr="000508B6">
        <w:rPr>
          <w:rFonts w:ascii="Times New Roman" w:eastAsia="Times New Roman" w:hAnsi="Times New Roman" w:cs="Times New Roman"/>
          <w:lang w:val="ro-MD"/>
        </w:rPr>
        <w:t xml:space="preserve">politică </w:t>
      </w:r>
      <w:proofErr w:type="spellStart"/>
      <w:r w:rsidRPr="000508B6">
        <w:rPr>
          <w:rFonts w:ascii="Times New Roman" w:eastAsia="Times New Roman" w:hAnsi="Times New Roman" w:cs="Times New Roman"/>
          <w:lang w:val="ro-MD"/>
        </w:rPr>
        <w:t>investiţională</w:t>
      </w:r>
      <w:proofErr w:type="spellEnd"/>
      <w:r w:rsidRPr="000508B6">
        <w:rPr>
          <w:rFonts w:ascii="Times New Roman" w:eastAsia="Times New Roman" w:hAnsi="Times New Roman" w:cs="Times New Roman"/>
          <w:lang w:val="ro-MD"/>
        </w:rPr>
        <w:t xml:space="preserve"> similară, prin </w:t>
      </w:r>
      <w:proofErr w:type="spellStart"/>
      <w:r w:rsidRPr="000508B6">
        <w:rPr>
          <w:rFonts w:ascii="Times New Roman" w:eastAsia="Times New Roman" w:hAnsi="Times New Roman" w:cs="Times New Roman"/>
          <w:lang w:val="ro-MD"/>
        </w:rPr>
        <w:t>achiziţia</w:t>
      </w:r>
      <w:proofErr w:type="spellEnd"/>
      <w:r w:rsidRPr="000508B6">
        <w:rPr>
          <w:rFonts w:ascii="Times New Roman" w:eastAsia="Times New Roman" w:hAnsi="Times New Roman" w:cs="Times New Roman"/>
          <w:lang w:val="ro-MD"/>
        </w:rPr>
        <w:t xml:space="preserve"> de instrumente financiare emise de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emitent sau de persoane implicate cu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emitent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prin înstrăinarea de instrumente financiare emise de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emitent sau de persoane implicate cu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emitent;</w:t>
      </w:r>
    </w:p>
    <w:p w14:paraId="10A08845" w14:textId="2F7EEFC9"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al căror </w:t>
      </w:r>
      <w:proofErr w:type="spellStart"/>
      <w:r w:rsidRPr="000508B6">
        <w:rPr>
          <w:rFonts w:ascii="Times New Roman" w:eastAsia="Times New Roman" w:hAnsi="Times New Roman" w:cs="Times New Roman"/>
          <w:lang w:val="ro-MD"/>
        </w:rPr>
        <w:t>exerciţiu</w:t>
      </w:r>
      <w:proofErr w:type="spellEnd"/>
      <w:r w:rsidRPr="000508B6">
        <w:rPr>
          <w:rFonts w:ascii="Times New Roman" w:eastAsia="Times New Roman" w:hAnsi="Times New Roman" w:cs="Times New Roman"/>
          <w:lang w:val="ro-MD"/>
        </w:rPr>
        <w:t xml:space="preserve"> identic al drepturilor conferite de valorile mobiliare emise de </w:t>
      </w:r>
      <w:r w:rsidR="0054730A" w:rsidRPr="000508B6">
        <w:rPr>
          <w:rFonts w:ascii="Times New Roman" w:eastAsia="Times New Roman" w:hAnsi="Times New Roman" w:cs="Times New Roman"/>
          <w:lang w:val="ro-MD"/>
        </w:rPr>
        <w:t xml:space="preserve">asigurător sau </w:t>
      </w:r>
      <w:proofErr w:type="spellStart"/>
      <w:r w:rsidR="0054730A" w:rsidRPr="000508B6">
        <w:rPr>
          <w:rFonts w:ascii="Times New Roman" w:eastAsia="Times New Roman" w:hAnsi="Times New Roman" w:cs="Times New Roman"/>
          <w:lang w:val="ro-MD"/>
        </w:rPr>
        <w:t>reasigurător</w:t>
      </w:r>
      <w:proofErr w:type="spellEnd"/>
      <w:r w:rsidRPr="000508B6" w:rsidDel="00801515">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denotă o politică comună de durată cu referire la </w:t>
      </w:r>
      <w:r w:rsidR="002F1EE7" w:rsidRPr="000508B6">
        <w:rPr>
          <w:rFonts w:ascii="Times New Roman" w:eastAsia="Times New Roman" w:hAnsi="Times New Roman" w:cs="Times New Roman"/>
          <w:lang w:val="ro-MD"/>
        </w:rPr>
        <w:t xml:space="preserve">acest </w:t>
      </w:r>
      <w:r w:rsidR="0054730A" w:rsidRPr="000508B6">
        <w:rPr>
          <w:rFonts w:ascii="Times New Roman" w:eastAsia="Times New Roman" w:hAnsi="Times New Roman" w:cs="Times New Roman"/>
          <w:lang w:val="ro-MD"/>
        </w:rPr>
        <w:t xml:space="preserve">asigurător sau </w:t>
      </w:r>
      <w:proofErr w:type="spellStart"/>
      <w:r w:rsidR="0054730A"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w:t>
      </w:r>
    </w:p>
    <w:p w14:paraId="79987F6D" w14:textId="1362D355"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pentru derularea unor </w:t>
      </w:r>
      <w:proofErr w:type="spellStart"/>
      <w:r w:rsidRPr="000508B6">
        <w:rPr>
          <w:rFonts w:ascii="Times New Roman" w:eastAsia="Times New Roman" w:hAnsi="Times New Roman" w:cs="Times New Roman"/>
          <w:lang w:val="ro-MD"/>
        </w:rPr>
        <w:t>operaţiuni</w:t>
      </w:r>
      <w:proofErr w:type="spellEnd"/>
      <w:r w:rsidRPr="000508B6">
        <w:rPr>
          <w:rFonts w:ascii="Times New Roman" w:eastAsia="Times New Roman" w:hAnsi="Times New Roman" w:cs="Times New Roman"/>
          <w:lang w:val="ro-MD"/>
        </w:rPr>
        <w:t xml:space="preserve"> economice, de reprezentare a intereselor sau de exercitare a drepturilor de vot conferite de instrumentele financiare </w:t>
      </w:r>
      <w:proofErr w:type="spellStart"/>
      <w:r w:rsidRPr="000508B6">
        <w:rPr>
          <w:rFonts w:ascii="Times New Roman" w:eastAsia="Times New Roman" w:hAnsi="Times New Roman" w:cs="Times New Roman"/>
          <w:lang w:val="ro-MD"/>
        </w:rPr>
        <w:t>deţinute</w:t>
      </w:r>
      <w:proofErr w:type="spellEnd"/>
      <w:r w:rsidRPr="000508B6">
        <w:rPr>
          <w:rFonts w:ascii="Times New Roman" w:eastAsia="Times New Roman" w:hAnsi="Times New Roman" w:cs="Times New Roman"/>
          <w:lang w:val="ro-MD"/>
        </w:rPr>
        <w:t xml:space="preserve">, au desemnat sau desemnează ca mandatar (mandatari) </w:t>
      </w:r>
      <w:proofErr w:type="spellStart"/>
      <w:r w:rsidRPr="000508B6">
        <w:rPr>
          <w:rFonts w:ascii="Times New Roman" w:eastAsia="Times New Roman" w:hAnsi="Times New Roman" w:cs="Times New Roman"/>
          <w:lang w:val="ro-MD"/>
        </w:rPr>
        <w:t>aceeaşi</w:t>
      </w:r>
      <w:proofErr w:type="spellEnd"/>
      <w:r w:rsidRPr="000508B6">
        <w:rPr>
          <w:rFonts w:ascii="Times New Roman" w:eastAsia="Times New Roman" w:hAnsi="Times New Roman" w:cs="Times New Roman"/>
          <w:lang w:val="ro-MD"/>
        </w:rPr>
        <w:t xml:space="preserve"> persoană (persoane) care este (sunt) persoană (e) implicată (e);</w:t>
      </w:r>
    </w:p>
    <w:p w14:paraId="6A5D79EC" w14:textId="598CC75E"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s-au asociat în orice formă juridică recunoscută de lege, iar scopul sau obiectivul asocierii sunt </w:t>
      </w:r>
      <w:proofErr w:type="spellStart"/>
      <w:r w:rsidRPr="000508B6">
        <w:rPr>
          <w:rFonts w:ascii="Times New Roman" w:eastAsia="Times New Roman" w:hAnsi="Times New Roman" w:cs="Times New Roman"/>
          <w:lang w:val="ro-MD"/>
        </w:rPr>
        <w:t>operaţiunile</w:t>
      </w:r>
      <w:proofErr w:type="spellEnd"/>
      <w:r w:rsidRPr="000508B6">
        <w:rPr>
          <w:rFonts w:ascii="Times New Roman" w:eastAsia="Times New Roman" w:hAnsi="Times New Roman" w:cs="Times New Roman"/>
          <w:lang w:val="ro-MD"/>
        </w:rPr>
        <w:t xml:space="preserve"> aflate în legătură cu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w:t>
      </w:r>
    </w:p>
    <w:p w14:paraId="1F1B405B" w14:textId="55A18C5E"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au </w:t>
      </w:r>
      <w:proofErr w:type="spellStart"/>
      <w:r w:rsidRPr="000508B6">
        <w:rPr>
          <w:rFonts w:ascii="Times New Roman" w:eastAsia="Times New Roman" w:hAnsi="Times New Roman" w:cs="Times New Roman"/>
          <w:lang w:val="ro-MD"/>
        </w:rPr>
        <w:t>deţinut</w:t>
      </w:r>
      <w:proofErr w:type="spellEnd"/>
      <w:r w:rsidRPr="000508B6">
        <w:rPr>
          <w:rFonts w:ascii="Times New Roman" w:eastAsia="Times New Roman" w:hAnsi="Times New Roman" w:cs="Times New Roman"/>
          <w:lang w:val="ro-MD"/>
        </w:rPr>
        <w:t xml:space="preserve"> sau </w:t>
      </w:r>
      <w:proofErr w:type="spellStart"/>
      <w:r w:rsidRPr="000508B6">
        <w:rPr>
          <w:rFonts w:ascii="Times New Roman" w:eastAsia="Times New Roman" w:hAnsi="Times New Roman" w:cs="Times New Roman"/>
          <w:lang w:val="ro-MD"/>
        </w:rPr>
        <w:t>deţin</w:t>
      </w:r>
      <w:proofErr w:type="spellEnd"/>
      <w:r w:rsidRPr="000508B6">
        <w:rPr>
          <w:rFonts w:ascii="Times New Roman" w:eastAsia="Times New Roman" w:hAnsi="Times New Roman" w:cs="Times New Roman"/>
          <w:lang w:val="ro-MD"/>
        </w:rPr>
        <w:t xml:space="preserve"> în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timp </w:t>
      </w:r>
      <w:proofErr w:type="spellStart"/>
      <w:r w:rsidRPr="000508B6">
        <w:rPr>
          <w:rFonts w:ascii="Times New Roman" w:eastAsia="Times New Roman" w:hAnsi="Times New Roman" w:cs="Times New Roman"/>
          <w:lang w:val="ro-MD"/>
        </w:rPr>
        <w:t>deţineri</w:t>
      </w:r>
      <w:proofErr w:type="spellEnd"/>
      <w:r w:rsidRPr="000508B6">
        <w:rPr>
          <w:rFonts w:ascii="Times New Roman" w:eastAsia="Times New Roman" w:hAnsi="Times New Roman" w:cs="Times New Roman"/>
          <w:lang w:val="ro-MD"/>
        </w:rPr>
        <w:t xml:space="preserve"> la una sau la mai multe persoane juridice, exercitând controlul asupra acestora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desfăşurând</w:t>
      </w:r>
      <w:proofErr w:type="spellEnd"/>
      <w:r w:rsidRPr="000508B6">
        <w:rPr>
          <w:rFonts w:ascii="Times New Roman" w:eastAsia="Times New Roman" w:hAnsi="Times New Roman" w:cs="Times New Roman"/>
          <w:lang w:val="ro-MD"/>
        </w:rPr>
        <w:t xml:space="preserve"> o politică comună;</w:t>
      </w:r>
    </w:p>
    <w:p w14:paraId="7380B2EE" w14:textId="3192D37B" w:rsidR="008233DC"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au derulat sau derulează </w:t>
      </w:r>
      <w:proofErr w:type="spellStart"/>
      <w:r w:rsidRPr="000508B6">
        <w:rPr>
          <w:rFonts w:ascii="Times New Roman" w:eastAsia="Times New Roman" w:hAnsi="Times New Roman" w:cs="Times New Roman"/>
          <w:lang w:val="ro-MD"/>
        </w:rPr>
        <w:t>operaţiuni</w:t>
      </w:r>
      <w:proofErr w:type="spellEnd"/>
      <w:r w:rsidRPr="000508B6">
        <w:rPr>
          <w:rFonts w:ascii="Times New Roman" w:eastAsia="Times New Roman" w:hAnsi="Times New Roman" w:cs="Times New Roman"/>
          <w:lang w:val="ro-MD"/>
        </w:rPr>
        <w:t xml:space="preserve"> economice împreună;</w:t>
      </w:r>
    </w:p>
    <w:p w14:paraId="58B653E8" w14:textId="68C7EDA6" w:rsidR="00E449A7" w:rsidRPr="000508B6" w:rsidRDefault="008233DC" w:rsidP="00CF5AFA">
      <w:pPr>
        <w:pStyle w:val="Listparagraf"/>
        <w:numPr>
          <w:ilvl w:val="2"/>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alte persoane determinate de Banca Națională a Moldovei, conform criteriilor stabilite în actele</w:t>
      </w:r>
      <w:r w:rsidR="00432735" w:rsidRPr="000508B6">
        <w:rPr>
          <w:rFonts w:ascii="Times New Roman" w:eastAsia="Times New Roman" w:hAnsi="Times New Roman" w:cs="Times New Roman"/>
          <w:lang w:val="ro-MD"/>
        </w:rPr>
        <w:t xml:space="preserve"> sale</w:t>
      </w:r>
      <w:r w:rsidRPr="000508B6">
        <w:rPr>
          <w:rFonts w:ascii="Times New Roman" w:eastAsia="Times New Roman" w:hAnsi="Times New Roman" w:cs="Times New Roman"/>
          <w:lang w:val="ro-MD"/>
        </w:rPr>
        <w:t xml:space="preserve"> normative</w:t>
      </w:r>
      <w:r w:rsidR="00E449A7" w:rsidRPr="000508B6">
        <w:rPr>
          <w:rFonts w:ascii="Times New Roman" w:eastAsia="Times New Roman" w:hAnsi="Times New Roman" w:cs="Times New Roman"/>
          <w:lang w:val="ro-MD"/>
        </w:rPr>
        <w:t>;</w:t>
      </w:r>
    </w:p>
    <w:p w14:paraId="0E19232B" w14:textId="4FE6CD3E" w:rsidR="00830321" w:rsidRPr="000508B6" w:rsidRDefault="00830321"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persoane care conduc efectiv </w:t>
      </w:r>
      <w:r w:rsidR="004125E8" w:rsidRPr="000508B6">
        <w:rPr>
          <w:rFonts w:ascii="Times New Roman" w:eastAsia="Times New Roman" w:hAnsi="Times New Roman" w:cs="Times New Roman"/>
          <w:i/>
          <w:lang w:val="ro-MD"/>
        </w:rPr>
        <w:t xml:space="preserve">asigurătorul sau </w:t>
      </w:r>
      <w:proofErr w:type="spellStart"/>
      <w:r w:rsidR="004125E8" w:rsidRPr="000508B6">
        <w:rPr>
          <w:rFonts w:ascii="Times New Roman" w:eastAsia="Times New Roman" w:hAnsi="Times New Roman" w:cs="Times New Roman"/>
          <w:i/>
          <w:lang w:val="ro-MD"/>
        </w:rPr>
        <w:t>reasigurătorul</w:t>
      </w:r>
      <w:proofErr w:type="spellEnd"/>
      <w:r w:rsidRPr="000508B6">
        <w:rPr>
          <w:rFonts w:ascii="Times New Roman" w:eastAsia="Times New Roman" w:hAnsi="Times New Roman" w:cs="Times New Roman"/>
          <w:lang w:val="ro-MD"/>
        </w:rPr>
        <w:t xml:space="preserve"> - </w:t>
      </w:r>
      <w:r w:rsidR="00FE2EF3" w:rsidRPr="000508B6">
        <w:rPr>
          <w:rFonts w:ascii="Times New Roman" w:eastAsia="Times New Roman" w:hAnsi="Times New Roman" w:cs="Times New Roman"/>
          <w:lang w:val="ro-MD"/>
        </w:rPr>
        <w:t xml:space="preserve">membrii </w:t>
      </w:r>
      <w:r w:rsidR="00C24C28" w:rsidRPr="000508B6">
        <w:rPr>
          <w:rFonts w:ascii="Times New Roman" w:eastAsia="Times New Roman" w:hAnsi="Times New Roman" w:cs="Times New Roman"/>
          <w:lang w:val="ro-MD"/>
        </w:rPr>
        <w:t xml:space="preserve">organelor de </w:t>
      </w:r>
      <w:r w:rsidR="00FE2EF3" w:rsidRPr="000508B6">
        <w:rPr>
          <w:rFonts w:ascii="Times New Roman" w:eastAsia="Times New Roman" w:hAnsi="Times New Roman" w:cs="Times New Roman"/>
          <w:lang w:val="ro-MD"/>
        </w:rPr>
        <w:t>conducer</w:t>
      </w:r>
      <w:r w:rsidR="00C24C28" w:rsidRPr="000508B6">
        <w:rPr>
          <w:rFonts w:ascii="Times New Roman" w:eastAsia="Times New Roman" w:hAnsi="Times New Roman" w:cs="Times New Roman"/>
          <w:lang w:val="ro-MD"/>
        </w:rPr>
        <w:t>e</w:t>
      </w:r>
      <w:r w:rsidR="00FE2EF3" w:rsidRPr="000508B6">
        <w:rPr>
          <w:rFonts w:ascii="Times New Roman" w:eastAsia="Times New Roman" w:hAnsi="Times New Roman" w:cs="Times New Roman"/>
          <w:lang w:val="ro-MD"/>
        </w:rPr>
        <w:t xml:space="preserve"> </w:t>
      </w:r>
      <w:proofErr w:type="spellStart"/>
      <w:r w:rsidR="00FE2EF3" w:rsidRPr="000508B6">
        <w:rPr>
          <w:rFonts w:ascii="Times New Roman" w:eastAsia="Times New Roman" w:hAnsi="Times New Roman" w:cs="Times New Roman"/>
          <w:lang w:val="ro-MD"/>
        </w:rPr>
        <w:t>şi</w:t>
      </w:r>
      <w:proofErr w:type="spellEnd"/>
      <w:r w:rsidR="00FE2EF3" w:rsidRPr="000508B6">
        <w:rPr>
          <w:rFonts w:ascii="Times New Roman" w:eastAsia="Times New Roman" w:hAnsi="Times New Roman" w:cs="Times New Roman"/>
          <w:lang w:val="ro-MD"/>
        </w:rPr>
        <w:t xml:space="preserve"> persoanele care au impact semnificativ asupra procesului decizional </w:t>
      </w:r>
      <w:proofErr w:type="spellStart"/>
      <w:r w:rsidR="00FE2EF3" w:rsidRPr="000508B6">
        <w:rPr>
          <w:rFonts w:ascii="Times New Roman" w:eastAsia="Times New Roman" w:hAnsi="Times New Roman" w:cs="Times New Roman"/>
          <w:lang w:val="ro-MD"/>
        </w:rPr>
        <w:t>şi</w:t>
      </w:r>
      <w:proofErr w:type="spellEnd"/>
      <w:r w:rsidR="00FE2EF3" w:rsidRPr="000508B6">
        <w:rPr>
          <w:rFonts w:ascii="Times New Roman" w:eastAsia="Times New Roman" w:hAnsi="Times New Roman" w:cs="Times New Roman"/>
          <w:lang w:val="ro-MD"/>
        </w:rPr>
        <w:t xml:space="preserve"> sunt responsabili pentru implementarea strategiilor </w:t>
      </w:r>
      <w:proofErr w:type="spellStart"/>
      <w:r w:rsidR="00FE2EF3" w:rsidRPr="000508B6">
        <w:rPr>
          <w:rFonts w:ascii="Times New Roman" w:eastAsia="Times New Roman" w:hAnsi="Times New Roman" w:cs="Times New Roman"/>
          <w:lang w:val="ro-MD"/>
        </w:rPr>
        <w:t>şi</w:t>
      </w:r>
      <w:proofErr w:type="spellEnd"/>
      <w:r w:rsidR="00FE2EF3" w:rsidRPr="000508B6">
        <w:rPr>
          <w:rFonts w:ascii="Times New Roman" w:eastAsia="Times New Roman" w:hAnsi="Times New Roman" w:cs="Times New Roman"/>
          <w:lang w:val="ro-MD"/>
        </w:rPr>
        <w:t xml:space="preserve"> a politicilor adoptate</w:t>
      </w:r>
      <w:r w:rsidR="00FE2EF3" w:rsidRPr="000508B6" w:rsidDel="002553FF">
        <w:rPr>
          <w:rFonts w:ascii="Times New Roman" w:eastAsia="Times New Roman" w:hAnsi="Times New Roman" w:cs="Times New Roman"/>
          <w:lang w:val="ro-MD"/>
        </w:rPr>
        <w:t>;</w:t>
      </w:r>
    </w:p>
    <w:p w14:paraId="7566D400" w14:textId="7E1C6D6D" w:rsidR="00F95829" w:rsidRPr="000508B6" w:rsidRDefault="00F95829"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piaţă</w:t>
      </w:r>
      <w:proofErr w:type="spellEnd"/>
      <w:r w:rsidRPr="000508B6">
        <w:rPr>
          <w:rFonts w:ascii="Times New Roman" w:eastAsia="Times New Roman" w:hAnsi="Times New Roman" w:cs="Times New Roman"/>
          <w:i/>
          <w:lang w:val="ro-MD"/>
        </w:rPr>
        <w:t xml:space="preserve"> reglementată</w:t>
      </w:r>
      <w:r w:rsidRPr="000508B6">
        <w:rPr>
          <w:rFonts w:ascii="Times New Roman" w:eastAsia="Times New Roman" w:hAnsi="Times New Roman" w:cs="Times New Roman"/>
          <w:lang w:val="ro-MD"/>
        </w:rPr>
        <w:t xml:space="preserve"> –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 xml:space="preserve"> reglementată în sensul Legii nr.</w:t>
      </w:r>
      <w:r w:rsidR="007B31A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171/2012 ;</w:t>
      </w:r>
    </w:p>
    <w:p w14:paraId="2CFB8493" w14:textId="77777777" w:rsidR="00213079" w:rsidRPr="000508B6" w:rsidRDefault="00213079"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prognoza </w:t>
      </w:r>
      <w:proofErr w:type="spellStart"/>
      <w:r w:rsidRPr="000508B6">
        <w:rPr>
          <w:rFonts w:ascii="Times New Roman" w:eastAsia="Times New Roman" w:hAnsi="Times New Roman" w:cs="Times New Roman"/>
          <w:i/>
          <w:lang w:val="ro-MD"/>
        </w:rPr>
        <w:t>distribuţiei</w:t>
      </w:r>
      <w:proofErr w:type="spellEnd"/>
      <w:r w:rsidRPr="000508B6">
        <w:rPr>
          <w:rFonts w:ascii="Times New Roman" w:eastAsia="Times New Roman" w:hAnsi="Times New Roman" w:cs="Times New Roman"/>
          <w:i/>
          <w:lang w:val="ro-MD"/>
        </w:rPr>
        <w:t xml:space="preserve"> </w:t>
      </w:r>
      <w:proofErr w:type="spellStart"/>
      <w:r w:rsidRPr="000508B6">
        <w:rPr>
          <w:rFonts w:ascii="Times New Roman" w:eastAsia="Times New Roman" w:hAnsi="Times New Roman" w:cs="Times New Roman"/>
          <w:i/>
          <w:lang w:val="ro-MD"/>
        </w:rPr>
        <w:t>probabilităţilor</w:t>
      </w:r>
      <w:proofErr w:type="spellEnd"/>
      <w:r w:rsidRPr="000508B6">
        <w:rPr>
          <w:rFonts w:ascii="Times New Roman" w:eastAsia="Times New Roman" w:hAnsi="Times New Roman" w:cs="Times New Roman"/>
          <w:lang w:val="ro-MD"/>
        </w:rPr>
        <w:t xml:space="preserve"> - </w:t>
      </w:r>
      <w:proofErr w:type="spellStart"/>
      <w:r w:rsidRPr="000508B6">
        <w:rPr>
          <w:rFonts w:ascii="Times New Roman" w:eastAsia="Times New Roman" w:hAnsi="Times New Roman" w:cs="Times New Roman"/>
          <w:lang w:val="ro-MD"/>
        </w:rPr>
        <w:t>funcţie</w:t>
      </w:r>
      <w:proofErr w:type="spellEnd"/>
      <w:r w:rsidRPr="000508B6">
        <w:rPr>
          <w:rFonts w:ascii="Times New Roman" w:eastAsia="Times New Roman" w:hAnsi="Times New Roman" w:cs="Times New Roman"/>
          <w:lang w:val="ro-MD"/>
        </w:rPr>
        <w:t xml:space="preserve"> matematică ce atribuie o probabilitate de realizare unei </w:t>
      </w:r>
      <w:proofErr w:type="spellStart"/>
      <w:r w:rsidRPr="000508B6">
        <w:rPr>
          <w:rFonts w:ascii="Times New Roman" w:eastAsia="Times New Roman" w:hAnsi="Times New Roman" w:cs="Times New Roman"/>
          <w:lang w:val="ro-MD"/>
        </w:rPr>
        <w:t>mulţimi</w:t>
      </w:r>
      <w:proofErr w:type="spellEnd"/>
      <w:r w:rsidRPr="000508B6">
        <w:rPr>
          <w:rFonts w:ascii="Times New Roman" w:eastAsia="Times New Roman" w:hAnsi="Times New Roman" w:cs="Times New Roman"/>
          <w:lang w:val="ro-MD"/>
        </w:rPr>
        <w:t xml:space="preserve"> integrale de evenimente viitoare care se exclud reciproc;</w:t>
      </w:r>
    </w:p>
    <w:p w14:paraId="20BFC50B" w14:textId="6623D778" w:rsidR="00F95829" w:rsidRPr="000508B6" w:rsidRDefault="00F95829"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proces de supraveghere</w:t>
      </w:r>
      <w:r w:rsidRPr="000508B6">
        <w:rPr>
          <w:rFonts w:ascii="Times New Roman" w:eastAsia="Times New Roman" w:hAnsi="Times New Roman" w:cs="Times New Roman"/>
          <w:lang w:val="ro-MD"/>
        </w:rPr>
        <w:t xml:space="preserve"> – proces continuu, flexibil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iterativ, în care supravegherea prospectivă (detaliată)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se bazează pe riscuri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pe următoarele principii:</w:t>
      </w:r>
    </w:p>
    <w:p w14:paraId="77F6EF0A" w14:textId="3AB0C4D2" w:rsidR="00F95829" w:rsidRPr="000508B6" w:rsidRDefault="00455D3D" w:rsidP="00EA03CB">
      <w:pPr>
        <w:pStyle w:val="Listparagraf"/>
        <w:numPr>
          <w:ilvl w:val="2"/>
          <w:numId w:val="313"/>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p</w:t>
      </w:r>
      <w:r w:rsidR="00F95829" w:rsidRPr="000508B6">
        <w:rPr>
          <w:rFonts w:ascii="Times New Roman" w:eastAsia="Times New Roman" w:hAnsi="Times New Roman" w:cs="Times New Roman"/>
          <w:lang w:val="ro-MD"/>
        </w:rPr>
        <w:t>roporţionalit</w:t>
      </w:r>
      <w:r w:rsidRPr="000508B6">
        <w:rPr>
          <w:rFonts w:ascii="Times New Roman" w:eastAsia="Times New Roman" w:hAnsi="Times New Roman" w:cs="Times New Roman"/>
          <w:lang w:val="ro-MD"/>
        </w:rPr>
        <w:t>ății</w:t>
      </w:r>
      <w:proofErr w:type="spellEnd"/>
      <w:r w:rsidR="00F95829" w:rsidRPr="000508B6">
        <w:rPr>
          <w:rFonts w:ascii="Times New Roman" w:eastAsia="Times New Roman" w:hAnsi="Times New Roman" w:cs="Times New Roman"/>
          <w:lang w:val="ro-MD"/>
        </w:rPr>
        <w:t>;</w:t>
      </w:r>
    </w:p>
    <w:p w14:paraId="573D4DBD" w14:textId="7F4BC525" w:rsidR="00F95829" w:rsidRPr="000508B6" w:rsidRDefault="00F95829" w:rsidP="00EA03CB">
      <w:pPr>
        <w:pStyle w:val="Listparagraf"/>
        <w:numPr>
          <w:ilvl w:val="2"/>
          <w:numId w:val="313"/>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raţionament</w:t>
      </w:r>
      <w:r w:rsidR="00455D3D" w:rsidRPr="000508B6">
        <w:rPr>
          <w:rFonts w:ascii="Times New Roman" w:eastAsia="Times New Roman" w:hAnsi="Times New Roman" w:cs="Times New Roman"/>
          <w:lang w:val="ro-MD"/>
        </w:rPr>
        <w:t>ului</w:t>
      </w:r>
      <w:proofErr w:type="spellEnd"/>
      <w:r w:rsidRPr="000508B6">
        <w:rPr>
          <w:rFonts w:ascii="Times New Roman" w:eastAsia="Times New Roman" w:hAnsi="Times New Roman" w:cs="Times New Roman"/>
          <w:lang w:val="ro-MD"/>
        </w:rPr>
        <w:t xml:space="preserve"> calificat;</w:t>
      </w:r>
    </w:p>
    <w:p w14:paraId="65DC3648" w14:textId="6D60CB60" w:rsidR="00F95829" w:rsidRPr="000508B6" w:rsidRDefault="00F95829" w:rsidP="00EA03CB">
      <w:pPr>
        <w:pStyle w:val="Listparagraf"/>
        <w:numPr>
          <w:ilvl w:val="2"/>
          <w:numId w:val="313"/>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document</w:t>
      </w:r>
      <w:r w:rsidR="00455D3D" w:rsidRPr="000508B6">
        <w:rPr>
          <w:rFonts w:ascii="Times New Roman" w:eastAsia="Times New Roman" w:hAnsi="Times New Roman" w:cs="Times New Roman"/>
          <w:lang w:val="ro-MD"/>
        </w:rPr>
        <w:t>ării</w:t>
      </w:r>
      <w:r w:rsidR="002D49FB" w:rsidRPr="000508B6">
        <w:rPr>
          <w:rFonts w:ascii="Times New Roman" w:eastAsia="Times New Roman" w:hAnsi="Times New Roman" w:cs="Times New Roman"/>
          <w:lang w:val="ro-MD"/>
        </w:rPr>
        <w:t>;</w:t>
      </w:r>
    </w:p>
    <w:p w14:paraId="5BE495C0" w14:textId="4AE912A9" w:rsidR="000C7914" w:rsidRPr="000508B6" w:rsidRDefault="00CB7007"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potenţial</w:t>
      </w:r>
      <w:proofErr w:type="spellEnd"/>
      <w:r w:rsidRPr="000508B6">
        <w:rPr>
          <w:rFonts w:ascii="Times New Roman" w:eastAsia="Times New Roman" w:hAnsi="Times New Roman" w:cs="Times New Roman"/>
          <w:i/>
          <w:lang w:val="ro-MD"/>
        </w:rPr>
        <w:t xml:space="preserve"> achizitor</w:t>
      </w:r>
      <w:r w:rsidRPr="000508B6">
        <w:rPr>
          <w:rFonts w:ascii="Times New Roman" w:eastAsia="Times New Roman" w:hAnsi="Times New Roman" w:cs="Times New Roman"/>
          <w:lang w:val="ro-MD"/>
        </w:rPr>
        <w:t xml:space="preserve"> – orice persoană fizică sau juridică</w:t>
      </w:r>
      <w:r w:rsidR="005E1698"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ori grup de astfel de persoane c</w:t>
      </w:r>
      <w:r w:rsidR="005E1698" w:rsidRPr="000508B6">
        <w:rPr>
          <w:rFonts w:ascii="Times New Roman" w:eastAsia="Times New Roman" w:hAnsi="Times New Roman" w:cs="Times New Roman"/>
          <w:lang w:val="ro-MD"/>
        </w:rPr>
        <w:t>ar</w:t>
      </w:r>
      <w:r w:rsidRPr="000508B6">
        <w:rPr>
          <w:rFonts w:ascii="Times New Roman" w:eastAsia="Times New Roman" w:hAnsi="Times New Roman" w:cs="Times New Roman"/>
          <w:lang w:val="ro-MD"/>
        </w:rPr>
        <w:t xml:space="preserve">e </w:t>
      </w:r>
      <w:proofErr w:type="spellStart"/>
      <w:r w:rsidRPr="000508B6">
        <w:rPr>
          <w:rFonts w:ascii="Times New Roman" w:eastAsia="Times New Roman" w:hAnsi="Times New Roman" w:cs="Times New Roman"/>
          <w:lang w:val="ro-MD"/>
        </w:rPr>
        <w:t>acţionează</w:t>
      </w:r>
      <w:proofErr w:type="spellEnd"/>
      <w:r w:rsidRPr="000508B6">
        <w:rPr>
          <w:rFonts w:ascii="Times New Roman" w:eastAsia="Times New Roman" w:hAnsi="Times New Roman" w:cs="Times New Roman"/>
          <w:lang w:val="ro-MD"/>
        </w:rPr>
        <w:t xml:space="preserve"> concertat, care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dobândească, prin orice modalitate, direct sau indirect, inclusiv </w:t>
      </w:r>
      <w:r w:rsidRPr="000508B6">
        <w:rPr>
          <w:rFonts w:ascii="Times New Roman" w:eastAsia="Times New Roman" w:hAnsi="Times New Roman" w:cs="Times New Roman"/>
          <w:lang w:val="ro-MD"/>
        </w:rPr>
        <w:lastRenderedPageBreak/>
        <w:t xml:space="preserve">în calitate de beneficiar efectiv, </w:t>
      </w:r>
      <w:proofErr w:type="spellStart"/>
      <w:r w:rsidRPr="000508B6">
        <w:rPr>
          <w:rFonts w:ascii="Times New Roman" w:eastAsia="Times New Roman" w:hAnsi="Times New Roman" w:cs="Times New Roman"/>
          <w:lang w:val="ro-MD"/>
        </w:rPr>
        <w:t>acţiuni</w:t>
      </w:r>
      <w:proofErr w:type="spellEnd"/>
      <w:r w:rsidRPr="000508B6">
        <w:rPr>
          <w:rFonts w:ascii="Times New Roman" w:eastAsia="Times New Roman" w:hAnsi="Times New Roman" w:cs="Times New Roman"/>
          <w:lang w:val="ro-MD"/>
        </w:rPr>
        <w:t xml:space="preserve"> în capitalul unui asigurător sau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în legătură cu o </w:t>
      </w:r>
      <w:proofErr w:type="spellStart"/>
      <w:r w:rsidRPr="000508B6">
        <w:rPr>
          <w:rFonts w:ascii="Times New Roman" w:eastAsia="Times New Roman" w:hAnsi="Times New Roman" w:cs="Times New Roman"/>
          <w:lang w:val="ro-MD"/>
        </w:rPr>
        <w:t>achiziţie</w:t>
      </w:r>
      <w:proofErr w:type="spellEnd"/>
      <w:r w:rsidRPr="000508B6">
        <w:rPr>
          <w:rFonts w:ascii="Times New Roman" w:eastAsia="Times New Roman" w:hAnsi="Times New Roman" w:cs="Times New Roman"/>
          <w:lang w:val="ro-MD"/>
        </w:rPr>
        <w:t xml:space="preserve"> propusă</w:t>
      </w:r>
      <w:r w:rsidRPr="000508B6">
        <w:rPr>
          <w:rFonts w:ascii="Times New Roman" w:eastAsia="Times New Roman" w:hAnsi="Times New Roman" w:cs="Times New Roman"/>
          <w:i/>
          <w:lang w:val="ro-MD"/>
        </w:rPr>
        <w:t>;</w:t>
      </w:r>
    </w:p>
    <w:p w14:paraId="12CC5C06" w14:textId="749FA9CC" w:rsidR="00E449A7" w:rsidRPr="000508B6" w:rsidRDefault="00701C81"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proiect de achiziție – </w:t>
      </w:r>
      <w:r w:rsidRPr="000508B6">
        <w:rPr>
          <w:rFonts w:ascii="Times New Roman" w:eastAsia="Times New Roman" w:hAnsi="Times New Roman" w:cs="Times New Roman"/>
          <w:lang w:val="ro-MD"/>
        </w:rPr>
        <w:t xml:space="preserve">decizie luată de un </w:t>
      </w:r>
      <w:proofErr w:type="spellStart"/>
      <w:r w:rsidRPr="000508B6">
        <w:rPr>
          <w:rFonts w:ascii="Times New Roman" w:eastAsia="Times New Roman" w:hAnsi="Times New Roman" w:cs="Times New Roman"/>
          <w:lang w:val="ro-MD"/>
        </w:rPr>
        <w:t>potenţial</w:t>
      </w:r>
      <w:proofErr w:type="spellEnd"/>
      <w:r w:rsidRPr="000508B6">
        <w:rPr>
          <w:rFonts w:ascii="Times New Roman" w:eastAsia="Times New Roman" w:hAnsi="Times New Roman" w:cs="Times New Roman"/>
          <w:lang w:val="ro-MD"/>
        </w:rPr>
        <w:t xml:space="preserve"> achizitor cu scopul de a dobândi, prin orice modalitate, direct sau indirect, inclusiv în calitate de beneficiar efectiv, o </w:t>
      </w:r>
      <w:proofErr w:type="spellStart"/>
      <w:r w:rsidRPr="000508B6">
        <w:rPr>
          <w:rFonts w:ascii="Times New Roman" w:eastAsia="Times New Roman" w:hAnsi="Times New Roman" w:cs="Times New Roman"/>
          <w:lang w:val="ro-MD"/>
        </w:rPr>
        <w:t>participaţie</w:t>
      </w:r>
      <w:proofErr w:type="spellEnd"/>
      <w:r w:rsidRPr="000508B6">
        <w:rPr>
          <w:rFonts w:ascii="Times New Roman" w:eastAsia="Times New Roman" w:hAnsi="Times New Roman" w:cs="Times New Roman"/>
          <w:lang w:val="ro-MD"/>
        </w:rPr>
        <w:t xml:space="preserve"> calificată într-un asigurător sau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ori de a-</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majora </w:t>
      </w:r>
      <w:proofErr w:type="spellStart"/>
      <w:r w:rsidRPr="000508B6">
        <w:rPr>
          <w:rFonts w:ascii="Times New Roman" w:eastAsia="Times New Roman" w:hAnsi="Times New Roman" w:cs="Times New Roman"/>
          <w:lang w:val="ro-MD"/>
        </w:rPr>
        <w:t>participaţia</w:t>
      </w:r>
      <w:proofErr w:type="spellEnd"/>
      <w:r w:rsidRPr="000508B6">
        <w:rPr>
          <w:rFonts w:ascii="Times New Roman" w:eastAsia="Times New Roman" w:hAnsi="Times New Roman" w:cs="Times New Roman"/>
          <w:lang w:val="ro-MD"/>
        </w:rPr>
        <w:t xml:space="preserve"> calificată, astfel încât </w:t>
      </w:r>
      <w:proofErr w:type="spellStart"/>
      <w:r w:rsidRPr="000508B6">
        <w:rPr>
          <w:rFonts w:ascii="Times New Roman" w:eastAsia="Times New Roman" w:hAnsi="Times New Roman" w:cs="Times New Roman"/>
          <w:lang w:val="ro-MD"/>
        </w:rPr>
        <w:t>proporţia</w:t>
      </w:r>
      <w:proofErr w:type="spellEnd"/>
      <w:r w:rsidRPr="000508B6">
        <w:rPr>
          <w:rFonts w:ascii="Times New Roman" w:eastAsia="Times New Roman" w:hAnsi="Times New Roman" w:cs="Times New Roman"/>
          <w:lang w:val="ro-MD"/>
        </w:rPr>
        <w:t xml:space="preserve"> drepturilor sale de vot sau a </w:t>
      </w:r>
      <w:proofErr w:type="spellStart"/>
      <w:r w:rsidRPr="000508B6">
        <w:rPr>
          <w:rFonts w:ascii="Times New Roman" w:eastAsia="Times New Roman" w:hAnsi="Times New Roman" w:cs="Times New Roman"/>
          <w:lang w:val="ro-MD"/>
        </w:rPr>
        <w:t>deţinerii</w:t>
      </w:r>
      <w:proofErr w:type="spellEnd"/>
      <w:r w:rsidRPr="000508B6">
        <w:rPr>
          <w:rFonts w:ascii="Times New Roman" w:eastAsia="Times New Roman" w:hAnsi="Times New Roman" w:cs="Times New Roman"/>
          <w:lang w:val="ro-MD"/>
        </w:rPr>
        <w:t xml:space="preserve"> în capitalul social să atingă ori să </w:t>
      </w:r>
      <w:proofErr w:type="spellStart"/>
      <w:r w:rsidRPr="000508B6">
        <w:rPr>
          <w:rFonts w:ascii="Times New Roman" w:eastAsia="Times New Roman" w:hAnsi="Times New Roman" w:cs="Times New Roman"/>
          <w:lang w:val="ro-MD"/>
        </w:rPr>
        <w:t>depăşească</w:t>
      </w:r>
      <w:proofErr w:type="spellEnd"/>
      <w:r w:rsidRPr="000508B6">
        <w:rPr>
          <w:rFonts w:ascii="Times New Roman" w:eastAsia="Times New Roman" w:hAnsi="Times New Roman" w:cs="Times New Roman"/>
          <w:lang w:val="ro-MD"/>
        </w:rPr>
        <w:t xml:space="preserve"> nivelul de 10%, 20%, 33% sau 50% ori astfel încât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să devină o filială a sa</w:t>
      </w:r>
      <w:r w:rsidR="00E449A7" w:rsidRPr="000508B6" w:rsidDel="00392EBB">
        <w:rPr>
          <w:rFonts w:ascii="Times New Roman" w:eastAsia="Times New Roman" w:hAnsi="Times New Roman" w:cs="Times New Roman"/>
          <w:lang w:val="ro-MD"/>
        </w:rPr>
        <w:t>;</w:t>
      </w:r>
    </w:p>
    <w:p w14:paraId="783EBE78" w14:textId="3E7B2FDC" w:rsidR="000A4C03" w:rsidRPr="000508B6" w:rsidRDefault="00F95829"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principiul </w:t>
      </w:r>
      <w:proofErr w:type="spellStart"/>
      <w:r w:rsidRPr="000508B6">
        <w:rPr>
          <w:rFonts w:ascii="Times New Roman" w:eastAsia="Times New Roman" w:hAnsi="Times New Roman" w:cs="Times New Roman"/>
          <w:i/>
          <w:lang w:val="ro-MD"/>
        </w:rPr>
        <w:t>proporţionalităţii</w:t>
      </w:r>
      <w:proofErr w:type="spellEnd"/>
      <w:r w:rsidRPr="000508B6">
        <w:rPr>
          <w:rFonts w:ascii="Times New Roman" w:eastAsia="Times New Roman" w:hAnsi="Times New Roman" w:cs="Times New Roman"/>
          <w:lang w:val="ro-MD"/>
        </w:rPr>
        <w:t xml:space="preserve"> - principiu care are în vedere natura, amploarea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complexitatea riscurilor inerente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desfăşurate</w:t>
      </w:r>
      <w:proofErr w:type="spellEnd"/>
      <w:r w:rsidRPr="000508B6">
        <w:rPr>
          <w:rFonts w:ascii="Times New Roman" w:eastAsia="Times New Roman" w:hAnsi="Times New Roman" w:cs="Times New Roman"/>
          <w:lang w:val="ro-MD"/>
        </w:rPr>
        <w:t xml:space="preserve"> de </w:t>
      </w:r>
      <w:r w:rsidR="006F1A0C" w:rsidRPr="000508B6">
        <w:rPr>
          <w:rFonts w:ascii="Times New Roman" w:eastAsia="Times New Roman" w:hAnsi="Times New Roman" w:cs="Times New Roman"/>
          <w:lang w:val="ro-MD"/>
        </w:rPr>
        <w:t xml:space="preserve">asigurător sau </w:t>
      </w:r>
      <w:proofErr w:type="spellStart"/>
      <w:r w:rsidR="006F1A0C"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w:t>
      </w:r>
    </w:p>
    <w:p w14:paraId="394C6206" w14:textId="16E7D867" w:rsidR="000A4C03" w:rsidRPr="000508B6" w:rsidRDefault="00F95829"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principiul documentării</w:t>
      </w:r>
      <w:r w:rsidRPr="000508B6">
        <w:rPr>
          <w:rFonts w:ascii="Times New Roman" w:eastAsia="Times New Roman" w:hAnsi="Times New Roman" w:cs="Times New Roman"/>
          <w:lang w:val="ro-MD"/>
        </w:rPr>
        <w:t xml:space="preserve"> - principiu conform căruia procesele </w:t>
      </w:r>
      <w:proofErr w:type="spellStart"/>
      <w:r w:rsidRPr="000508B6">
        <w:rPr>
          <w:rFonts w:ascii="Times New Roman" w:eastAsia="Times New Roman" w:hAnsi="Times New Roman" w:cs="Times New Roman"/>
          <w:lang w:val="ro-MD"/>
        </w:rPr>
        <w:t>desfăşurate</w:t>
      </w:r>
      <w:proofErr w:type="spellEnd"/>
      <w:r w:rsidRPr="000508B6">
        <w:rPr>
          <w:rFonts w:ascii="Times New Roman" w:eastAsia="Times New Roman" w:hAnsi="Times New Roman" w:cs="Times New Roman"/>
          <w:lang w:val="ro-MD"/>
        </w:rPr>
        <w:t xml:space="preserve"> de </w:t>
      </w:r>
      <w:r w:rsidR="006F1A0C" w:rsidRPr="000508B6">
        <w:rPr>
          <w:rFonts w:ascii="Times New Roman" w:eastAsia="Times New Roman" w:hAnsi="Times New Roman" w:cs="Times New Roman"/>
          <w:lang w:val="ro-MD"/>
        </w:rPr>
        <w:t xml:space="preserve">asigurător sau </w:t>
      </w:r>
      <w:proofErr w:type="spellStart"/>
      <w:r w:rsidR="006F1A0C"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inclusiv cel decizional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procesul de supraveghere realizat de </w:t>
      </w:r>
      <w:r w:rsidR="00117399" w:rsidRPr="000508B6">
        <w:rPr>
          <w:rFonts w:ascii="Times New Roman" w:eastAsia="Times New Roman" w:hAnsi="Times New Roman" w:cs="Times New Roman"/>
          <w:lang w:val="ro-MD"/>
        </w:rPr>
        <w:t>Banca Națională a Moldovei</w:t>
      </w:r>
      <w:r w:rsidRPr="000508B6">
        <w:rPr>
          <w:rFonts w:ascii="Times New Roman" w:eastAsia="Times New Roman" w:hAnsi="Times New Roman" w:cs="Times New Roman"/>
          <w:lang w:val="ro-MD"/>
        </w:rPr>
        <w:t xml:space="preserve"> sunt fundamentate prin documente justificative;</w:t>
      </w:r>
    </w:p>
    <w:p w14:paraId="4C1B5434" w14:textId="576593D9" w:rsidR="00F95829" w:rsidRPr="000508B6" w:rsidRDefault="00410632" w:rsidP="0028150C">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 xml:space="preserve">principiul </w:t>
      </w:r>
      <w:proofErr w:type="spellStart"/>
      <w:r w:rsidR="00F95829" w:rsidRPr="000508B6">
        <w:rPr>
          <w:rFonts w:ascii="Times New Roman" w:eastAsia="Times New Roman" w:hAnsi="Times New Roman" w:cs="Times New Roman"/>
          <w:i/>
          <w:lang w:val="ro-MD"/>
        </w:rPr>
        <w:t>raţionamentului</w:t>
      </w:r>
      <w:proofErr w:type="spellEnd"/>
      <w:r w:rsidR="00F95829" w:rsidRPr="000508B6">
        <w:rPr>
          <w:rFonts w:ascii="Times New Roman" w:eastAsia="Times New Roman" w:hAnsi="Times New Roman" w:cs="Times New Roman"/>
          <w:i/>
          <w:lang w:val="ro-MD"/>
        </w:rPr>
        <w:t xml:space="preserve"> calificat</w:t>
      </w:r>
      <w:r w:rsidR="00F95829" w:rsidRPr="000508B6">
        <w:rPr>
          <w:rFonts w:ascii="Times New Roman" w:eastAsia="Times New Roman" w:hAnsi="Times New Roman" w:cs="Times New Roman"/>
          <w:lang w:val="ro-MD"/>
        </w:rPr>
        <w:t xml:space="preserve"> - principiu conform căruia se formează opinii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se adoptă decizii pe baza unor seturi de criterii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w:t>
      </w:r>
      <w:proofErr w:type="spellStart"/>
      <w:r w:rsidR="00F95829" w:rsidRPr="000508B6">
        <w:rPr>
          <w:rFonts w:ascii="Times New Roman" w:eastAsia="Times New Roman" w:hAnsi="Times New Roman" w:cs="Times New Roman"/>
          <w:lang w:val="ro-MD"/>
        </w:rPr>
        <w:t>experienţei</w:t>
      </w:r>
      <w:proofErr w:type="spellEnd"/>
      <w:r w:rsidR="00F95829" w:rsidRPr="000508B6">
        <w:rPr>
          <w:rFonts w:ascii="Times New Roman" w:eastAsia="Times New Roman" w:hAnsi="Times New Roman" w:cs="Times New Roman"/>
          <w:lang w:val="ro-MD"/>
        </w:rPr>
        <w:t xml:space="preserve"> proprii în ceea ce </w:t>
      </w:r>
      <w:proofErr w:type="spellStart"/>
      <w:r w:rsidR="00F95829" w:rsidRPr="000508B6">
        <w:rPr>
          <w:rFonts w:ascii="Times New Roman" w:eastAsia="Times New Roman" w:hAnsi="Times New Roman" w:cs="Times New Roman"/>
          <w:lang w:val="ro-MD"/>
        </w:rPr>
        <w:t>priveşte</w:t>
      </w:r>
      <w:proofErr w:type="spellEnd"/>
      <w:r w:rsidR="00F95829" w:rsidRPr="000508B6">
        <w:rPr>
          <w:rFonts w:ascii="Times New Roman" w:eastAsia="Times New Roman" w:hAnsi="Times New Roman" w:cs="Times New Roman"/>
          <w:lang w:val="ro-MD"/>
        </w:rPr>
        <w:t xml:space="preserve"> activitatea </w:t>
      </w:r>
      <w:r w:rsidR="006F1A0C" w:rsidRPr="000508B6">
        <w:rPr>
          <w:rFonts w:ascii="Times New Roman" w:eastAsia="Times New Roman" w:hAnsi="Times New Roman" w:cs="Times New Roman"/>
          <w:lang w:val="ro-MD"/>
        </w:rPr>
        <w:t xml:space="preserve">asigurătorului sau </w:t>
      </w:r>
      <w:proofErr w:type="spellStart"/>
      <w:r w:rsidR="006F1A0C" w:rsidRPr="000508B6">
        <w:rPr>
          <w:rFonts w:ascii="Times New Roman" w:eastAsia="Times New Roman" w:hAnsi="Times New Roman" w:cs="Times New Roman"/>
          <w:lang w:val="ro-MD"/>
        </w:rPr>
        <w:t>reasigurătorului</w:t>
      </w:r>
      <w:proofErr w:type="spellEnd"/>
      <w:r w:rsidR="00F95829" w:rsidRPr="000508B6">
        <w:rPr>
          <w:rFonts w:ascii="Times New Roman" w:eastAsia="Times New Roman" w:hAnsi="Times New Roman" w:cs="Times New Roman"/>
          <w:lang w:val="ro-MD"/>
        </w:rPr>
        <w:t xml:space="preserve">, cum ar fi politicile aplicate, cultura riscului, </w:t>
      </w:r>
      <w:proofErr w:type="spellStart"/>
      <w:r w:rsidR="00F95829" w:rsidRPr="000508B6">
        <w:rPr>
          <w:rFonts w:ascii="Times New Roman" w:eastAsia="Times New Roman" w:hAnsi="Times New Roman" w:cs="Times New Roman"/>
          <w:lang w:val="ro-MD"/>
        </w:rPr>
        <w:t>prudenţialitatea</w:t>
      </w:r>
      <w:proofErr w:type="spellEnd"/>
      <w:r w:rsidR="00F95829" w:rsidRPr="000508B6">
        <w:rPr>
          <w:rFonts w:ascii="Times New Roman" w:eastAsia="Times New Roman" w:hAnsi="Times New Roman" w:cs="Times New Roman"/>
          <w:lang w:val="ro-MD"/>
        </w:rPr>
        <w:t>;</w:t>
      </w:r>
    </w:p>
    <w:p w14:paraId="4F7A25E2" w14:textId="501B2CBF" w:rsidR="00F95829" w:rsidRPr="000508B6" w:rsidRDefault="00CC76A8" w:rsidP="00CF5AFA">
      <w:pPr>
        <w:pStyle w:val="Listparagraf"/>
        <w:numPr>
          <w:ilvl w:val="0"/>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proofErr w:type="spellStart"/>
      <w:r w:rsidR="00F95829" w:rsidRPr="000508B6">
        <w:rPr>
          <w:rFonts w:ascii="Times New Roman" w:eastAsia="Times New Roman" w:hAnsi="Times New Roman" w:cs="Times New Roman"/>
          <w:i/>
          <w:lang w:val="ro-MD"/>
        </w:rPr>
        <w:t>reasigurător</w:t>
      </w:r>
      <w:proofErr w:type="spellEnd"/>
      <w:r w:rsidR="00F95829" w:rsidRPr="000508B6">
        <w:rPr>
          <w:rFonts w:ascii="Times New Roman" w:eastAsia="Times New Roman" w:hAnsi="Times New Roman" w:cs="Times New Roman"/>
          <w:lang w:val="ro-MD"/>
        </w:rPr>
        <w:t xml:space="preserve"> </w:t>
      </w:r>
      <w:r w:rsidR="00C33B75"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8301EE" w:rsidRPr="000508B6">
        <w:rPr>
          <w:rFonts w:ascii="Times New Roman" w:eastAsia="Times New Roman" w:hAnsi="Times New Roman" w:cs="Times New Roman"/>
          <w:lang w:val="ro-MD"/>
        </w:rPr>
        <w:t>entitate</w:t>
      </w:r>
      <w:r w:rsidR="00B52FF1" w:rsidRPr="000508B6">
        <w:rPr>
          <w:rFonts w:ascii="Times New Roman" w:eastAsia="Times New Roman" w:hAnsi="Times New Roman" w:cs="Times New Roman"/>
          <w:lang w:val="ro-MD"/>
        </w:rPr>
        <w:t xml:space="preserve"> care a primit licență în conformitate cu</w:t>
      </w:r>
      <w:r w:rsidR="00B3158C" w:rsidRPr="000508B6">
        <w:rPr>
          <w:rFonts w:ascii="Times New Roman" w:eastAsia="Times New Roman" w:hAnsi="Times New Roman" w:cs="Times New Roman"/>
          <w:lang w:val="ro-MD"/>
        </w:rPr>
        <w:t xml:space="preserve"> dispozițiile</w:t>
      </w:r>
      <w:r w:rsidR="00B52FF1" w:rsidRPr="000508B6">
        <w:rPr>
          <w:rFonts w:ascii="Times New Roman" w:eastAsia="Times New Roman" w:hAnsi="Times New Roman" w:cs="Times New Roman"/>
          <w:lang w:val="ro-MD"/>
        </w:rPr>
        <w:t xml:space="preserve"> prezent</w:t>
      </w:r>
      <w:r w:rsidR="00B3158C" w:rsidRPr="000508B6">
        <w:rPr>
          <w:rFonts w:ascii="Times New Roman" w:eastAsia="Times New Roman" w:hAnsi="Times New Roman" w:cs="Times New Roman"/>
          <w:lang w:val="ro-MD"/>
        </w:rPr>
        <w:t>ei</w:t>
      </w:r>
      <w:r w:rsidR="00B52FF1" w:rsidRPr="000508B6">
        <w:rPr>
          <w:rFonts w:ascii="Times New Roman" w:eastAsia="Times New Roman" w:hAnsi="Times New Roman" w:cs="Times New Roman"/>
          <w:lang w:val="ro-MD"/>
        </w:rPr>
        <w:t xml:space="preserve"> leg</w:t>
      </w:r>
      <w:r w:rsidR="00B3158C" w:rsidRPr="000508B6">
        <w:rPr>
          <w:rFonts w:ascii="Times New Roman" w:eastAsia="Times New Roman" w:hAnsi="Times New Roman" w:cs="Times New Roman"/>
          <w:lang w:val="ro-MD"/>
        </w:rPr>
        <w:t>i</w:t>
      </w:r>
      <w:r w:rsidR="00B52FF1" w:rsidRPr="000508B6">
        <w:rPr>
          <w:rFonts w:ascii="Times New Roman" w:eastAsia="Times New Roman" w:hAnsi="Times New Roman" w:cs="Times New Roman"/>
          <w:lang w:val="ro-MD"/>
        </w:rPr>
        <w:t xml:space="preserve"> pentru desfășurarea activității de </w:t>
      </w:r>
      <w:r w:rsidR="00A4279C" w:rsidRPr="000508B6">
        <w:rPr>
          <w:rFonts w:ascii="Times New Roman" w:eastAsia="Times New Roman" w:hAnsi="Times New Roman" w:cs="Times New Roman"/>
          <w:lang w:val="ro-MD"/>
        </w:rPr>
        <w:t>reasigurare</w:t>
      </w:r>
      <w:r w:rsidR="00F95829" w:rsidRPr="000508B6">
        <w:rPr>
          <w:rFonts w:ascii="Times New Roman" w:eastAsia="Times New Roman" w:hAnsi="Times New Roman" w:cs="Times New Roman"/>
          <w:lang w:val="ro-MD"/>
        </w:rPr>
        <w:t xml:space="preserve">;  </w:t>
      </w:r>
    </w:p>
    <w:p w14:paraId="1C0C2486" w14:textId="1DFDA9A4" w:rsidR="00F95829" w:rsidRPr="000508B6" w:rsidRDefault="00F95829" w:rsidP="00EA03CB">
      <w:pPr>
        <w:pStyle w:val="Listparagraf"/>
        <w:numPr>
          <w:ilvl w:val="0"/>
          <w:numId w:val="313"/>
        </w:numPr>
        <w:tabs>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reasigurător</w:t>
      </w:r>
      <w:proofErr w:type="spellEnd"/>
      <w:r w:rsidRPr="000508B6">
        <w:rPr>
          <w:rFonts w:ascii="Times New Roman" w:eastAsia="Times New Roman" w:hAnsi="Times New Roman" w:cs="Times New Roman"/>
          <w:i/>
          <w:lang w:val="ro-MD"/>
        </w:rPr>
        <w:t xml:space="preserve"> captiv</w:t>
      </w:r>
      <w:r w:rsidRPr="000508B6">
        <w:rPr>
          <w:rFonts w:ascii="Times New Roman" w:eastAsia="Times New Roman" w:hAnsi="Times New Roman" w:cs="Times New Roman"/>
          <w:lang w:val="ro-MD"/>
        </w:rPr>
        <w:t xml:space="preserve"> -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deţinut</w:t>
      </w:r>
      <w:proofErr w:type="spellEnd"/>
      <w:r w:rsidRPr="000508B6">
        <w:rPr>
          <w:rFonts w:ascii="Times New Roman" w:eastAsia="Times New Roman" w:hAnsi="Times New Roman" w:cs="Times New Roman"/>
          <w:lang w:val="ro-MD"/>
        </w:rPr>
        <w:t xml:space="preserve"> fie de o </w:t>
      </w:r>
      <w:r w:rsidR="002F124E" w:rsidRPr="000508B6" w:rsidDel="00A23F3A">
        <w:rPr>
          <w:rFonts w:ascii="Times New Roman" w:eastAsia="Times New Roman" w:hAnsi="Times New Roman" w:cs="Times New Roman"/>
          <w:lang w:val="ro-MD"/>
        </w:rPr>
        <w:t xml:space="preserve">entitate </w:t>
      </w:r>
      <w:r w:rsidR="00A23F3A" w:rsidRPr="000508B6">
        <w:rPr>
          <w:rFonts w:ascii="Times New Roman" w:eastAsia="Times New Roman" w:hAnsi="Times New Roman" w:cs="Times New Roman"/>
          <w:lang w:val="ro-MD"/>
        </w:rPr>
        <w:t xml:space="preserve"> </w:t>
      </w:r>
      <w:r w:rsidR="002F124E" w:rsidRPr="000508B6">
        <w:rPr>
          <w:rFonts w:ascii="Times New Roman" w:eastAsia="Times New Roman" w:hAnsi="Times New Roman" w:cs="Times New Roman"/>
          <w:lang w:val="ro-MD"/>
        </w:rPr>
        <w:t>din sectorul financiar</w:t>
      </w:r>
      <w:r w:rsidRPr="000508B6">
        <w:rPr>
          <w:rFonts w:ascii="Times New Roman" w:eastAsia="Times New Roman" w:hAnsi="Times New Roman" w:cs="Times New Roman"/>
          <w:lang w:val="ro-MD"/>
        </w:rPr>
        <w:t xml:space="preserve">, alta decât un asigurător, un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sau un grup de </w:t>
      </w:r>
      <w:r w:rsidR="00D81DAE" w:rsidRPr="000508B6">
        <w:rPr>
          <w:rFonts w:ascii="Times New Roman" w:eastAsia="Times New Roman" w:hAnsi="Times New Roman" w:cs="Times New Roman"/>
          <w:lang w:val="ro-MD"/>
        </w:rPr>
        <w:t xml:space="preserve">asigurători sau </w:t>
      </w:r>
      <w:proofErr w:type="spellStart"/>
      <w:r w:rsidR="00D81DAE" w:rsidRPr="000508B6">
        <w:rPr>
          <w:rFonts w:ascii="Times New Roman" w:eastAsia="Times New Roman" w:hAnsi="Times New Roman" w:cs="Times New Roman"/>
          <w:lang w:val="ro-MD"/>
        </w:rPr>
        <w:t>reasigurători</w:t>
      </w:r>
      <w:proofErr w:type="spellEnd"/>
      <w:r w:rsidR="00D81DAE" w:rsidRPr="000508B6">
        <w:rPr>
          <w:rFonts w:ascii="Times New Roman" w:eastAsia="Times New Roman" w:hAnsi="Times New Roman" w:cs="Times New Roman"/>
          <w:lang w:val="ro-MD"/>
        </w:rPr>
        <w:t xml:space="preserve"> </w:t>
      </w:r>
      <w:r w:rsidR="00C33B75" w:rsidRPr="000508B6">
        <w:rPr>
          <w:rFonts w:ascii="Times New Roman" w:eastAsia="Times New Roman" w:hAnsi="Times New Roman" w:cs="Times New Roman"/>
          <w:lang w:val="ro-MD"/>
        </w:rPr>
        <w:t xml:space="preserve">definit </w:t>
      </w:r>
      <w:r w:rsidR="00BA2694" w:rsidRPr="000508B6">
        <w:rPr>
          <w:rFonts w:ascii="Times New Roman" w:eastAsia="Times New Roman" w:hAnsi="Times New Roman" w:cs="Times New Roman"/>
          <w:lang w:val="ro-MD"/>
        </w:rPr>
        <w:t>la noțiunea grup</w:t>
      </w:r>
      <w:r w:rsidRPr="000508B6">
        <w:rPr>
          <w:rFonts w:ascii="Times New Roman" w:eastAsia="Times New Roman" w:hAnsi="Times New Roman" w:cs="Times New Roman"/>
          <w:lang w:val="ro-MD"/>
        </w:rPr>
        <w:t xml:space="preserve">, fie de o </w:t>
      </w:r>
      <w:r w:rsidR="00CA10DE" w:rsidRPr="000508B6">
        <w:rPr>
          <w:rFonts w:ascii="Times New Roman" w:eastAsia="Times New Roman" w:hAnsi="Times New Roman" w:cs="Times New Roman"/>
          <w:lang w:val="ro-MD"/>
        </w:rPr>
        <w:t xml:space="preserve">entitate </w:t>
      </w:r>
      <w:r w:rsidRPr="000508B6">
        <w:rPr>
          <w:rFonts w:ascii="Times New Roman" w:eastAsia="Times New Roman" w:hAnsi="Times New Roman" w:cs="Times New Roman"/>
          <w:lang w:val="ro-MD"/>
        </w:rPr>
        <w:t xml:space="preserve">nefinanciară, al cărui obiect de activitate este reasigurarea care acoperă exclusiv riscurile </w:t>
      </w:r>
      <w:proofErr w:type="spellStart"/>
      <w:r w:rsidRPr="000508B6">
        <w:rPr>
          <w:rFonts w:ascii="Times New Roman" w:eastAsia="Times New Roman" w:hAnsi="Times New Roman" w:cs="Times New Roman"/>
          <w:lang w:val="ro-MD"/>
        </w:rPr>
        <w:t>entităţii</w:t>
      </w:r>
      <w:proofErr w:type="spellEnd"/>
      <w:r w:rsidRPr="000508B6">
        <w:rPr>
          <w:rFonts w:ascii="Times New Roman" w:eastAsia="Times New Roman" w:hAnsi="Times New Roman" w:cs="Times New Roman"/>
          <w:lang w:val="ro-MD"/>
        </w:rPr>
        <w:t xml:space="preserve"> </w:t>
      </w:r>
      <w:r w:rsidR="00C33B75" w:rsidRPr="000508B6">
        <w:rPr>
          <w:rFonts w:ascii="Times New Roman" w:eastAsia="Times New Roman" w:hAnsi="Times New Roman" w:cs="Times New Roman"/>
          <w:lang w:val="ro-MD"/>
        </w:rPr>
        <w:t>sau entităților</w:t>
      </w:r>
      <w:r w:rsidRPr="000508B6">
        <w:rPr>
          <w:rFonts w:ascii="Times New Roman" w:eastAsia="Times New Roman" w:hAnsi="Times New Roman" w:cs="Times New Roman"/>
          <w:lang w:val="ro-MD"/>
        </w:rPr>
        <w:t xml:space="preserve"> de care </w:t>
      </w:r>
      <w:proofErr w:type="spellStart"/>
      <w:r w:rsidRPr="000508B6">
        <w:rPr>
          <w:rFonts w:ascii="Times New Roman" w:eastAsia="Times New Roman" w:hAnsi="Times New Roman" w:cs="Times New Roman"/>
          <w:lang w:val="ro-MD"/>
        </w:rPr>
        <w:t>aparţine</w:t>
      </w:r>
      <w:proofErr w:type="spellEnd"/>
      <w:r w:rsidRPr="000508B6">
        <w:rPr>
          <w:rFonts w:ascii="Times New Roman" w:eastAsia="Times New Roman" w:hAnsi="Times New Roman" w:cs="Times New Roman"/>
          <w:lang w:val="ro-MD"/>
        </w:rPr>
        <w:t xml:space="preserve"> sau </w:t>
      </w:r>
      <w:r w:rsidR="00C33B75" w:rsidRPr="000508B6">
        <w:rPr>
          <w:rFonts w:ascii="Times New Roman" w:eastAsia="Times New Roman" w:hAnsi="Times New Roman" w:cs="Times New Roman"/>
          <w:lang w:val="ro-MD"/>
        </w:rPr>
        <w:t xml:space="preserve">riscurile </w:t>
      </w:r>
      <w:proofErr w:type="spellStart"/>
      <w:r w:rsidRPr="000508B6">
        <w:rPr>
          <w:rFonts w:ascii="Times New Roman" w:eastAsia="Times New Roman" w:hAnsi="Times New Roman" w:cs="Times New Roman"/>
          <w:lang w:val="ro-MD"/>
        </w:rPr>
        <w:t>entităţilor</w:t>
      </w:r>
      <w:proofErr w:type="spellEnd"/>
      <w:r w:rsidRPr="000508B6">
        <w:rPr>
          <w:rFonts w:ascii="Times New Roman" w:eastAsia="Times New Roman" w:hAnsi="Times New Roman" w:cs="Times New Roman"/>
          <w:lang w:val="ro-MD"/>
        </w:rPr>
        <w:t xml:space="preserve"> grupului din care face parte;</w:t>
      </w:r>
    </w:p>
    <w:p w14:paraId="25A17D9E" w14:textId="555C668A" w:rsidR="00C33B75" w:rsidRPr="000508B6" w:rsidRDefault="00B36665" w:rsidP="00EA03CB">
      <w:pPr>
        <w:pStyle w:val="Listparagraf"/>
        <w:numPr>
          <w:ilvl w:val="0"/>
          <w:numId w:val="313"/>
        </w:numPr>
        <w:tabs>
          <w:tab w:val="left" w:pos="284"/>
          <w:tab w:val="left" w:pos="567"/>
          <w:tab w:val="left" w:pos="709"/>
          <w:tab w:val="left" w:pos="851"/>
          <w:tab w:val="left" w:pos="993"/>
        </w:tabs>
        <w:spacing w:after="0" w:line="240" w:lineRule="auto"/>
        <w:ind w:left="0" w:firstLine="426"/>
        <w:jc w:val="both"/>
        <w:rPr>
          <w:rFonts w:ascii="Times New Roman" w:eastAsia="Times New Roman" w:hAnsi="Times New Roman" w:cs="Times New Roman"/>
          <w:iCs/>
          <w:lang w:val="ro-MD"/>
        </w:rPr>
      </w:pPr>
      <w:proofErr w:type="spellStart"/>
      <w:r w:rsidRPr="000508B6">
        <w:rPr>
          <w:rFonts w:ascii="Times New Roman" w:eastAsia="Times New Roman" w:hAnsi="Times New Roman" w:cs="Times New Roman"/>
          <w:i/>
          <w:lang w:val="ro-MD"/>
        </w:rPr>
        <w:t>reasigurător</w:t>
      </w:r>
      <w:proofErr w:type="spellEnd"/>
      <w:r w:rsidRPr="000508B6">
        <w:rPr>
          <w:rFonts w:ascii="Times New Roman" w:eastAsia="Times New Roman" w:hAnsi="Times New Roman" w:cs="Times New Roman"/>
          <w:i/>
          <w:lang w:val="ro-MD"/>
        </w:rPr>
        <w:t xml:space="preserve"> </w:t>
      </w:r>
      <w:r w:rsidR="00C33B75" w:rsidRPr="000508B6">
        <w:rPr>
          <w:rFonts w:ascii="Times New Roman" w:eastAsia="Times New Roman" w:hAnsi="Times New Roman" w:cs="Times New Roman"/>
          <w:i/>
          <w:lang w:val="ro-MD"/>
        </w:rPr>
        <w:t>din stat terț</w:t>
      </w:r>
      <w:r w:rsidR="00C33B75" w:rsidRPr="000508B6">
        <w:rPr>
          <w:rFonts w:ascii="Times New Roman" w:eastAsia="Times New Roman" w:hAnsi="Times New Roman" w:cs="Times New Roman"/>
          <w:lang w:val="ro-MD"/>
        </w:rPr>
        <w:t xml:space="preserve"> -</w:t>
      </w:r>
      <w:r w:rsidR="00C33B75" w:rsidRPr="000508B6">
        <w:rPr>
          <w:rFonts w:ascii="Times New Roman" w:eastAsia="Times New Roman" w:hAnsi="Times New Roman" w:cs="Times New Roman"/>
          <w:iCs/>
          <w:lang w:val="ro-MD"/>
        </w:rPr>
        <w:t xml:space="preserve"> </w:t>
      </w:r>
      <w:proofErr w:type="spellStart"/>
      <w:r w:rsidR="00C33B75" w:rsidRPr="000508B6">
        <w:rPr>
          <w:rFonts w:ascii="Times New Roman" w:eastAsia="Times New Roman" w:hAnsi="Times New Roman" w:cs="Times New Roman"/>
          <w:iCs/>
          <w:lang w:val="ro-MD"/>
        </w:rPr>
        <w:t>reasigurător</w:t>
      </w:r>
      <w:proofErr w:type="spellEnd"/>
      <w:r w:rsidR="00C33B75" w:rsidRPr="000508B6">
        <w:rPr>
          <w:rFonts w:ascii="Times New Roman" w:eastAsia="Times New Roman" w:hAnsi="Times New Roman" w:cs="Times New Roman"/>
          <w:iCs/>
          <w:lang w:val="ro-MD"/>
        </w:rPr>
        <w:t xml:space="preserve"> care, dacă ar avea sediul central în Republica Moldova, ar avea nevoie de o licență emisă în </w:t>
      </w:r>
      <w:proofErr w:type="spellStart"/>
      <w:r w:rsidR="00C33B75" w:rsidRPr="000508B6">
        <w:rPr>
          <w:rFonts w:ascii="Times New Roman" w:eastAsia="Times New Roman" w:hAnsi="Times New Roman" w:cs="Times New Roman"/>
          <w:iCs/>
          <w:lang w:val="ro-MD"/>
        </w:rPr>
        <w:t>condiţiile</w:t>
      </w:r>
      <w:proofErr w:type="spellEnd"/>
      <w:r w:rsidR="00C33B75" w:rsidRPr="000508B6">
        <w:rPr>
          <w:rFonts w:ascii="Times New Roman" w:eastAsia="Times New Roman" w:hAnsi="Times New Roman" w:cs="Times New Roman"/>
          <w:iCs/>
          <w:lang w:val="ro-MD"/>
        </w:rPr>
        <w:t xml:space="preserve"> prevăzute la </w:t>
      </w:r>
      <w:r w:rsidR="00367127" w:rsidRPr="000508B6">
        <w:rPr>
          <w:rFonts w:ascii="Times New Roman" w:eastAsia="Times New Roman" w:hAnsi="Times New Roman" w:cs="Times New Roman"/>
          <w:iCs/>
          <w:lang w:val="ro-MD"/>
        </w:rPr>
        <w:t>art. 4-10</w:t>
      </w:r>
      <w:r w:rsidR="002D49FB" w:rsidRPr="000508B6">
        <w:rPr>
          <w:rFonts w:ascii="Times New Roman" w:eastAsia="Times New Roman" w:hAnsi="Times New Roman" w:cs="Times New Roman"/>
          <w:iCs/>
          <w:lang w:val="ro-MD"/>
        </w:rPr>
        <w:t>;</w:t>
      </w:r>
    </w:p>
    <w:p w14:paraId="18E1DEDB" w14:textId="134D1661"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reprezentant de despăgubiri – </w:t>
      </w:r>
      <w:r w:rsidR="00C5757C" w:rsidRPr="000508B6">
        <w:rPr>
          <w:rFonts w:ascii="Times New Roman" w:eastAsia="Times New Roman" w:hAnsi="Times New Roman" w:cs="Times New Roman"/>
          <w:lang w:val="ro-MD"/>
        </w:rPr>
        <w:t xml:space="preserve">persoana </w:t>
      </w:r>
      <w:r w:rsidR="007A7540" w:rsidRPr="000508B6">
        <w:rPr>
          <w:rFonts w:ascii="Times New Roman" w:eastAsia="Times New Roman" w:hAnsi="Times New Roman" w:cs="Times New Roman"/>
          <w:lang w:val="ro-MD"/>
        </w:rPr>
        <w:t xml:space="preserve">astfel cum este </w:t>
      </w:r>
      <w:r w:rsidR="00303D40" w:rsidRPr="000508B6">
        <w:rPr>
          <w:rFonts w:ascii="Times New Roman" w:eastAsia="Times New Roman" w:hAnsi="Times New Roman" w:cs="Times New Roman"/>
          <w:lang w:val="ro-MD"/>
        </w:rPr>
        <w:t xml:space="preserve">definită potrivit </w:t>
      </w:r>
      <w:r w:rsidR="00A07173" w:rsidRPr="000508B6">
        <w:rPr>
          <w:rFonts w:ascii="Times New Roman" w:eastAsia="Times New Roman" w:hAnsi="Times New Roman" w:cs="Times New Roman"/>
          <w:lang w:val="ro-MD"/>
        </w:rPr>
        <w:t>legislației</w:t>
      </w:r>
      <w:r w:rsidR="00484837" w:rsidRPr="000508B6">
        <w:rPr>
          <w:rFonts w:ascii="Times New Roman" w:eastAsia="Times New Roman" w:hAnsi="Times New Roman" w:cs="Times New Roman"/>
          <w:lang w:val="ro-MD"/>
        </w:rPr>
        <w:t xml:space="preserve"> </w:t>
      </w:r>
      <w:r w:rsidR="00303D40" w:rsidRPr="000508B6">
        <w:rPr>
          <w:rFonts w:ascii="Times New Roman" w:eastAsia="Times New Roman" w:hAnsi="Times New Roman" w:cs="Times New Roman"/>
          <w:lang w:val="ro-MD"/>
        </w:rPr>
        <w:t>privind asigurarea obligatorie de răspundere civilă auto pentru prejudicii produse terților prin accidente de vehicule</w:t>
      </w:r>
      <w:r w:rsidRPr="000508B6">
        <w:rPr>
          <w:rFonts w:ascii="Times New Roman" w:eastAsia="Times New Roman" w:hAnsi="Times New Roman" w:cs="Times New Roman"/>
          <w:lang w:val="ro-MD"/>
        </w:rPr>
        <w:t>;</w:t>
      </w:r>
    </w:p>
    <w:p w14:paraId="2A72D458" w14:textId="53FC7AE8" w:rsidR="00F95829" w:rsidRPr="000508B6" w:rsidRDefault="00410632"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risc de concentrare</w:t>
      </w:r>
      <w:r w:rsidR="00F95829" w:rsidRPr="000508B6">
        <w:rPr>
          <w:rFonts w:ascii="Times New Roman" w:eastAsia="Times New Roman" w:hAnsi="Times New Roman" w:cs="Times New Roman"/>
          <w:lang w:val="ro-MD"/>
        </w:rPr>
        <w:t xml:space="preserve"> – toate expunerile la risc care prezintă un </w:t>
      </w:r>
      <w:proofErr w:type="spellStart"/>
      <w:r w:rsidR="00F95829" w:rsidRPr="000508B6">
        <w:rPr>
          <w:rFonts w:ascii="Times New Roman" w:eastAsia="Times New Roman" w:hAnsi="Times New Roman" w:cs="Times New Roman"/>
          <w:lang w:val="ro-MD"/>
        </w:rPr>
        <w:t>potenţial</w:t>
      </w:r>
      <w:proofErr w:type="spellEnd"/>
      <w:r w:rsidR="00F95829" w:rsidRPr="000508B6">
        <w:rPr>
          <w:rFonts w:ascii="Times New Roman" w:eastAsia="Times New Roman" w:hAnsi="Times New Roman" w:cs="Times New Roman"/>
          <w:lang w:val="ro-MD"/>
        </w:rPr>
        <w:t xml:space="preserve"> de pierdere suficient de mare pentru a pune în pericol solvabilitatea sau </w:t>
      </w:r>
      <w:proofErr w:type="spellStart"/>
      <w:r w:rsidR="00F95829" w:rsidRPr="000508B6">
        <w:rPr>
          <w:rFonts w:ascii="Times New Roman" w:eastAsia="Times New Roman" w:hAnsi="Times New Roman" w:cs="Times New Roman"/>
          <w:lang w:val="ro-MD"/>
        </w:rPr>
        <w:t>poziţia</w:t>
      </w:r>
      <w:proofErr w:type="spellEnd"/>
      <w:r w:rsidR="00F95829" w:rsidRPr="000508B6">
        <w:rPr>
          <w:rFonts w:ascii="Times New Roman" w:eastAsia="Times New Roman" w:hAnsi="Times New Roman" w:cs="Times New Roman"/>
          <w:lang w:val="ro-MD"/>
        </w:rPr>
        <w:t xml:space="preserve"> financiară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F95829" w:rsidRPr="000508B6">
        <w:rPr>
          <w:rFonts w:ascii="Times New Roman" w:eastAsia="Times New Roman" w:hAnsi="Times New Roman" w:cs="Times New Roman"/>
          <w:lang w:val="ro-MD"/>
        </w:rPr>
        <w:t>;</w:t>
      </w:r>
    </w:p>
    <w:p w14:paraId="12490FAF" w14:textId="180409E6"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risc decizional</w:t>
      </w:r>
      <w:r w:rsidRPr="000508B6">
        <w:rPr>
          <w:rFonts w:ascii="Times New Roman" w:eastAsia="Times New Roman" w:hAnsi="Times New Roman" w:cs="Times New Roman"/>
          <w:lang w:val="ro-MD"/>
        </w:rPr>
        <w:t xml:space="preserve"> - risc de înregistrare a unor pierderi sau de modificare nefavorabilă a </w:t>
      </w:r>
      <w:proofErr w:type="spellStart"/>
      <w:r w:rsidRPr="000508B6">
        <w:rPr>
          <w:rFonts w:ascii="Times New Roman" w:eastAsia="Times New Roman" w:hAnsi="Times New Roman" w:cs="Times New Roman"/>
          <w:lang w:val="ro-MD"/>
        </w:rPr>
        <w:t>situaţiei</w:t>
      </w:r>
      <w:proofErr w:type="spellEnd"/>
      <w:r w:rsidRPr="000508B6">
        <w:rPr>
          <w:rFonts w:ascii="Times New Roman" w:eastAsia="Times New Roman" w:hAnsi="Times New Roman" w:cs="Times New Roman"/>
          <w:lang w:val="ro-MD"/>
        </w:rPr>
        <w:t xml:space="preserve"> financiare din cauza deciziilor strategice adoptate de </w:t>
      </w:r>
      <w:r w:rsidR="00CD3E87" w:rsidRPr="000508B6">
        <w:rPr>
          <w:rFonts w:ascii="Times New Roman" w:eastAsia="Times New Roman" w:hAnsi="Times New Roman" w:cs="Times New Roman"/>
          <w:lang w:val="ro-MD"/>
        </w:rPr>
        <w:t xml:space="preserve">organul de </w:t>
      </w:r>
      <w:r w:rsidRPr="000508B6">
        <w:rPr>
          <w:rFonts w:ascii="Times New Roman" w:eastAsia="Times New Roman" w:hAnsi="Times New Roman" w:cs="Times New Roman"/>
          <w:lang w:val="ro-MD"/>
        </w:rPr>
        <w:t>conducere</w:t>
      </w:r>
      <w:r w:rsidR="00CD3E87" w:rsidRPr="000508B6">
        <w:rPr>
          <w:rFonts w:ascii="Times New Roman" w:eastAsia="Times New Roman" w:hAnsi="Times New Roman" w:cs="Times New Roman"/>
          <w:lang w:val="ro-MD"/>
        </w:rPr>
        <w:t xml:space="preserv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17EB6CA4" w14:textId="09F2429B" w:rsidR="00F95829" w:rsidRPr="000508B6" w:rsidRDefault="00410632"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risc de credit</w:t>
      </w:r>
      <w:r w:rsidR="00F95829" w:rsidRPr="000508B6">
        <w:rPr>
          <w:rFonts w:ascii="Times New Roman" w:eastAsia="Times New Roman" w:hAnsi="Times New Roman" w:cs="Times New Roman"/>
          <w:lang w:val="ro-MD"/>
        </w:rPr>
        <w:t xml:space="preserve"> – riscul de modificare nefavorabilă a </w:t>
      </w:r>
      <w:proofErr w:type="spellStart"/>
      <w:r w:rsidR="00F95829" w:rsidRPr="000508B6">
        <w:rPr>
          <w:rFonts w:ascii="Times New Roman" w:eastAsia="Times New Roman" w:hAnsi="Times New Roman" w:cs="Times New Roman"/>
          <w:lang w:val="ro-MD"/>
        </w:rPr>
        <w:t>situaţiei</w:t>
      </w:r>
      <w:proofErr w:type="spellEnd"/>
      <w:r w:rsidR="00F95829" w:rsidRPr="000508B6">
        <w:rPr>
          <w:rFonts w:ascii="Times New Roman" w:eastAsia="Times New Roman" w:hAnsi="Times New Roman" w:cs="Times New Roman"/>
          <w:lang w:val="ro-MD"/>
        </w:rPr>
        <w:t xml:space="preserve"> financiare, care rezultă din </w:t>
      </w:r>
      <w:proofErr w:type="spellStart"/>
      <w:r w:rsidR="00F95829" w:rsidRPr="000508B6">
        <w:rPr>
          <w:rFonts w:ascii="Times New Roman" w:eastAsia="Times New Roman" w:hAnsi="Times New Roman" w:cs="Times New Roman"/>
          <w:lang w:val="ro-MD"/>
        </w:rPr>
        <w:t>fluctuaţii</w:t>
      </w:r>
      <w:proofErr w:type="spellEnd"/>
      <w:r w:rsidR="00F95829" w:rsidRPr="000508B6">
        <w:rPr>
          <w:rFonts w:ascii="Times New Roman" w:eastAsia="Times New Roman" w:hAnsi="Times New Roman" w:cs="Times New Roman"/>
          <w:lang w:val="ro-MD"/>
        </w:rPr>
        <w:t xml:space="preserve"> ale </w:t>
      </w:r>
      <w:proofErr w:type="spellStart"/>
      <w:r w:rsidR="00F95829" w:rsidRPr="000508B6">
        <w:rPr>
          <w:rFonts w:ascii="Times New Roman" w:eastAsia="Times New Roman" w:hAnsi="Times New Roman" w:cs="Times New Roman"/>
          <w:lang w:val="ro-MD"/>
        </w:rPr>
        <w:t>bonităţii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emitenţilor</w:t>
      </w:r>
      <w:proofErr w:type="spellEnd"/>
      <w:r w:rsidR="00F95829" w:rsidRPr="000508B6">
        <w:rPr>
          <w:rFonts w:ascii="Times New Roman" w:eastAsia="Times New Roman" w:hAnsi="Times New Roman" w:cs="Times New Roman"/>
          <w:lang w:val="ro-MD"/>
        </w:rPr>
        <w:t xml:space="preserve"> de valori mobiliare, contrapartidelor și oricăror debitori la care </w:t>
      </w:r>
      <w:r w:rsidR="009C04EB" w:rsidRPr="000508B6">
        <w:rPr>
          <w:rFonts w:ascii="Times New Roman" w:eastAsia="Times New Roman" w:hAnsi="Times New Roman" w:cs="Times New Roman"/>
          <w:lang w:val="ro-MD"/>
        </w:rPr>
        <w:t xml:space="preserve">este </w:t>
      </w:r>
      <w:r w:rsidR="00F95829" w:rsidRPr="000508B6">
        <w:rPr>
          <w:rFonts w:ascii="Times New Roman" w:eastAsia="Times New Roman" w:hAnsi="Times New Roman" w:cs="Times New Roman"/>
          <w:lang w:val="ro-MD"/>
        </w:rPr>
        <w:t xml:space="preserve">expus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F95829" w:rsidRPr="000508B6">
        <w:rPr>
          <w:rFonts w:ascii="Times New Roman" w:eastAsia="Times New Roman" w:hAnsi="Times New Roman" w:cs="Times New Roman"/>
          <w:lang w:val="ro-MD"/>
        </w:rPr>
        <w:t xml:space="preserve"> sub forma riscului de contrapartidă, a riscului de dispersie sau a concentrărilor de risc de </w:t>
      </w:r>
      <w:proofErr w:type="spellStart"/>
      <w:r w:rsidR="00F95829" w:rsidRPr="000508B6">
        <w:rPr>
          <w:rFonts w:ascii="Times New Roman" w:eastAsia="Times New Roman" w:hAnsi="Times New Roman" w:cs="Times New Roman"/>
          <w:lang w:val="ro-MD"/>
        </w:rPr>
        <w:t>piaţă</w:t>
      </w:r>
      <w:proofErr w:type="spellEnd"/>
      <w:r w:rsidR="00F95829" w:rsidRPr="000508B6">
        <w:rPr>
          <w:rFonts w:ascii="Times New Roman" w:eastAsia="Times New Roman" w:hAnsi="Times New Roman" w:cs="Times New Roman"/>
          <w:lang w:val="ro-MD"/>
        </w:rPr>
        <w:t>;</w:t>
      </w:r>
    </w:p>
    <w:p w14:paraId="3DB38EAB" w14:textId="77777777"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risc de lichiditate</w:t>
      </w:r>
      <w:r w:rsidRPr="000508B6">
        <w:rPr>
          <w:rFonts w:ascii="Times New Roman" w:eastAsia="Times New Roman" w:hAnsi="Times New Roman" w:cs="Times New Roman"/>
          <w:lang w:val="ro-MD"/>
        </w:rPr>
        <w:t xml:space="preserve"> – risc de nerealizare a </w:t>
      </w:r>
      <w:proofErr w:type="spellStart"/>
      <w:r w:rsidRPr="000508B6">
        <w:rPr>
          <w:rFonts w:ascii="Times New Roman" w:eastAsia="Times New Roman" w:hAnsi="Times New Roman" w:cs="Times New Roman"/>
          <w:lang w:val="ro-MD"/>
        </w:rPr>
        <w:t>investiţiilor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altor active în vederea decontării </w:t>
      </w:r>
      <w:proofErr w:type="spellStart"/>
      <w:r w:rsidRPr="000508B6">
        <w:rPr>
          <w:rFonts w:ascii="Times New Roman" w:eastAsia="Times New Roman" w:hAnsi="Times New Roman" w:cs="Times New Roman"/>
          <w:lang w:val="ro-MD"/>
        </w:rPr>
        <w:t>obligaţiilor</w:t>
      </w:r>
      <w:proofErr w:type="spellEnd"/>
      <w:r w:rsidRPr="000508B6">
        <w:rPr>
          <w:rFonts w:ascii="Times New Roman" w:eastAsia="Times New Roman" w:hAnsi="Times New Roman" w:cs="Times New Roman"/>
          <w:lang w:val="ro-MD"/>
        </w:rPr>
        <w:t xml:space="preserve"> financiare la </w:t>
      </w:r>
      <w:proofErr w:type="spellStart"/>
      <w:r w:rsidRPr="000508B6">
        <w:rPr>
          <w:rFonts w:ascii="Times New Roman" w:eastAsia="Times New Roman" w:hAnsi="Times New Roman" w:cs="Times New Roman"/>
          <w:lang w:val="ro-MD"/>
        </w:rPr>
        <w:t>scadenţă</w:t>
      </w:r>
      <w:proofErr w:type="spellEnd"/>
      <w:r w:rsidRPr="000508B6">
        <w:rPr>
          <w:rFonts w:ascii="Times New Roman" w:eastAsia="Times New Roman" w:hAnsi="Times New Roman" w:cs="Times New Roman"/>
          <w:lang w:val="ro-MD"/>
        </w:rPr>
        <w:t>;</w:t>
      </w:r>
    </w:p>
    <w:p w14:paraId="2C750DB7" w14:textId="2518D692"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risc </w:t>
      </w:r>
      <w:proofErr w:type="spellStart"/>
      <w:r w:rsidRPr="000508B6">
        <w:rPr>
          <w:rFonts w:ascii="Times New Roman" w:eastAsia="Times New Roman" w:hAnsi="Times New Roman" w:cs="Times New Roman"/>
          <w:i/>
          <w:lang w:val="ro-MD"/>
        </w:rPr>
        <w:t>operaţional</w:t>
      </w:r>
      <w:proofErr w:type="spellEnd"/>
      <w:r w:rsidRPr="000508B6">
        <w:rPr>
          <w:rFonts w:ascii="Times New Roman" w:eastAsia="Times New Roman" w:hAnsi="Times New Roman" w:cs="Times New Roman"/>
          <w:lang w:val="ro-MD"/>
        </w:rPr>
        <w:t xml:space="preserve"> – risc de pierdere aferent unor procese</w:t>
      </w:r>
      <w:r w:rsidR="00E50F21">
        <w:rPr>
          <w:rFonts w:ascii="Times New Roman" w:eastAsia="Times New Roman" w:hAnsi="Times New Roman" w:cs="Times New Roman"/>
          <w:lang w:val="ro-MD"/>
        </w:rPr>
        <w:t xml:space="preserve"> sau sisteme</w:t>
      </w:r>
      <w:r w:rsidRPr="000508B6">
        <w:rPr>
          <w:rFonts w:ascii="Times New Roman" w:eastAsia="Times New Roman" w:hAnsi="Times New Roman" w:cs="Times New Roman"/>
          <w:lang w:val="ro-MD"/>
        </w:rPr>
        <w:t xml:space="preserve"> interne inadecvate ori </w:t>
      </w:r>
      <w:proofErr w:type="spellStart"/>
      <w:r w:rsidRPr="000508B6">
        <w:rPr>
          <w:rFonts w:ascii="Times New Roman" w:eastAsia="Times New Roman" w:hAnsi="Times New Roman" w:cs="Times New Roman"/>
          <w:lang w:val="ro-MD"/>
        </w:rPr>
        <w:t>disfuncţionale</w:t>
      </w:r>
      <w:proofErr w:type="spellEnd"/>
      <w:r w:rsidRPr="000508B6">
        <w:rPr>
          <w:rFonts w:ascii="Times New Roman" w:eastAsia="Times New Roman" w:hAnsi="Times New Roman" w:cs="Times New Roman"/>
          <w:lang w:val="ro-MD"/>
        </w:rPr>
        <w:t xml:space="preserve"> </w:t>
      </w:r>
      <w:proofErr w:type="spellStart"/>
      <w:r w:rsidR="00E50F21" w:rsidRPr="00E50F21">
        <w:rPr>
          <w:rFonts w:ascii="Times New Roman" w:eastAsia="Times New Roman" w:hAnsi="Times New Roman" w:cs="Times New Roman"/>
          <w:lang w:val="ro-MD"/>
        </w:rPr>
        <w:t>şi</w:t>
      </w:r>
      <w:proofErr w:type="spellEnd"/>
      <w:r w:rsidR="00E50F21" w:rsidRPr="00E50F21">
        <w:rPr>
          <w:rFonts w:ascii="Times New Roman" w:eastAsia="Times New Roman" w:hAnsi="Times New Roman" w:cs="Times New Roman"/>
          <w:lang w:val="ro-MD"/>
        </w:rPr>
        <w:t xml:space="preserve">/sau în urma </w:t>
      </w:r>
      <w:proofErr w:type="spellStart"/>
      <w:r w:rsidR="00E50F21" w:rsidRPr="00E50F21">
        <w:rPr>
          <w:rFonts w:ascii="Times New Roman" w:eastAsia="Times New Roman" w:hAnsi="Times New Roman" w:cs="Times New Roman"/>
          <w:lang w:val="ro-MD"/>
        </w:rPr>
        <w:t>acţiunii</w:t>
      </w:r>
      <w:proofErr w:type="spellEnd"/>
      <w:r w:rsidR="00E50F21" w:rsidRPr="00E50F21">
        <w:rPr>
          <w:rFonts w:ascii="Times New Roman" w:eastAsia="Times New Roman" w:hAnsi="Times New Roman" w:cs="Times New Roman"/>
          <w:lang w:val="ro-MD"/>
        </w:rPr>
        <w:t xml:space="preserve"> unor persoane sau evenimente externe</w:t>
      </w:r>
      <w:r w:rsidRPr="000508B6">
        <w:rPr>
          <w:rFonts w:ascii="Times New Roman" w:eastAsia="Times New Roman" w:hAnsi="Times New Roman" w:cs="Times New Roman"/>
          <w:lang w:val="ro-MD"/>
        </w:rPr>
        <w:t>;</w:t>
      </w:r>
    </w:p>
    <w:p w14:paraId="219BE5EC" w14:textId="2DF1EA09"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risc de </w:t>
      </w:r>
      <w:proofErr w:type="spellStart"/>
      <w:r w:rsidRPr="000508B6">
        <w:rPr>
          <w:rFonts w:ascii="Times New Roman" w:eastAsia="Times New Roman" w:hAnsi="Times New Roman" w:cs="Times New Roman"/>
          <w:i/>
          <w:lang w:val="ro-MD"/>
        </w:rPr>
        <w:t>piaţă</w:t>
      </w:r>
      <w:proofErr w:type="spellEnd"/>
      <w:r w:rsidRPr="000508B6">
        <w:rPr>
          <w:rFonts w:ascii="Times New Roman" w:eastAsia="Times New Roman" w:hAnsi="Times New Roman" w:cs="Times New Roman"/>
          <w:lang w:val="ro-MD"/>
        </w:rPr>
        <w:t xml:space="preserve"> – risc de pierdere sau risc de modificare nefavorabilă a </w:t>
      </w:r>
      <w:proofErr w:type="spellStart"/>
      <w:r w:rsidRPr="000508B6">
        <w:rPr>
          <w:rFonts w:ascii="Times New Roman" w:eastAsia="Times New Roman" w:hAnsi="Times New Roman" w:cs="Times New Roman"/>
          <w:lang w:val="ro-MD"/>
        </w:rPr>
        <w:t>situaţiei</w:t>
      </w:r>
      <w:proofErr w:type="spellEnd"/>
      <w:r w:rsidRPr="000508B6">
        <w:rPr>
          <w:rFonts w:ascii="Times New Roman" w:eastAsia="Times New Roman" w:hAnsi="Times New Roman" w:cs="Times New Roman"/>
          <w:lang w:val="ro-MD"/>
        </w:rPr>
        <w:t xml:space="preserve"> financiare, care rezultă din </w:t>
      </w:r>
      <w:proofErr w:type="spellStart"/>
      <w:r w:rsidRPr="000508B6">
        <w:rPr>
          <w:rFonts w:ascii="Times New Roman" w:eastAsia="Times New Roman" w:hAnsi="Times New Roman" w:cs="Times New Roman"/>
          <w:lang w:val="ro-MD"/>
        </w:rPr>
        <w:t>fluctuaţiile</w:t>
      </w:r>
      <w:proofErr w:type="spellEnd"/>
      <w:r w:rsidRPr="000508B6">
        <w:rPr>
          <w:rFonts w:ascii="Times New Roman" w:eastAsia="Times New Roman" w:hAnsi="Times New Roman" w:cs="Times New Roman"/>
          <w:lang w:val="ro-MD"/>
        </w:rPr>
        <w:t xml:space="preserve"> nivelului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volatilităţii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preţurilor</w:t>
      </w:r>
      <w:proofErr w:type="spellEnd"/>
      <w:r w:rsidRPr="000508B6">
        <w:rPr>
          <w:rFonts w:ascii="Times New Roman" w:eastAsia="Times New Roman" w:hAnsi="Times New Roman" w:cs="Times New Roman"/>
          <w:lang w:val="ro-MD"/>
        </w:rPr>
        <w:t xml:space="preserve"> pe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 xml:space="preserve"> ale activelor, </w:t>
      </w:r>
      <w:r w:rsidR="00FA320A" w:rsidRPr="000508B6">
        <w:rPr>
          <w:rFonts w:ascii="Times New Roman" w:eastAsia="Times New Roman" w:hAnsi="Times New Roman" w:cs="Times New Roman"/>
          <w:lang w:val="ro-MD"/>
        </w:rPr>
        <w:t xml:space="preserve">obligațiilor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instrumentelor financiare;</w:t>
      </w:r>
    </w:p>
    <w:p w14:paraId="74D04A4D" w14:textId="07EA3AD6" w:rsidR="00F95829" w:rsidRPr="000508B6" w:rsidRDefault="00F95829" w:rsidP="00EA03CB">
      <w:pPr>
        <w:pStyle w:val="Listparagraf"/>
        <w:numPr>
          <w:ilvl w:val="0"/>
          <w:numId w:val="31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risc de subscriere</w:t>
      </w:r>
      <w:r w:rsidRPr="000508B6">
        <w:rPr>
          <w:rFonts w:ascii="Times New Roman" w:eastAsia="Times New Roman" w:hAnsi="Times New Roman" w:cs="Times New Roman"/>
          <w:lang w:val="ro-MD"/>
        </w:rPr>
        <w:t xml:space="preserve"> – risc de pierdere sau risc de modificare nefavorabilă a valorii </w:t>
      </w:r>
      <w:proofErr w:type="spellStart"/>
      <w:r w:rsidRPr="000508B6">
        <w:rPr>
          <w:rFonts w:ascii="Times New Roman" w:eastAsia="Times New Roman" w:hAnsi="Times New Roman" w:cs="Times New Roman"/>
          <w:lang w:val="ro-MD"/>
        </w:rPr>
        <w:t>obligaţiilor</w:t>
      </w:r>
      <w:proofErr w:type="spellEnd"/>
      <w:r w:rsidRPr="000508B6">
        <w:rPr>
          <w:rFonts w:ascii="Times New Roman" w:eastAsia="Times New Roman" w:hAnsi="Times New Roman" w:cs="Times New Roman"/>
          <w:lang w:val="ro-MD"/>
        </w:rPr>
        <w:t xml:space="preserve"> de asigurare, determinate de anumite ipoteze inadecvate privind stabilirea </w:t>
      </w:r>
      <w:proofErr w:type="spellStart"/>
      <w:r w:rsidRPr="000508B6">
        <w:rPr>
          <w:rFonts w:ascii="Times New Roman" w:eastAsia="Times New Roman" w:hAnsi="Times New Roman" w:cs="Times New Roman"/>
          <w:lang w:val="ro-MD"/>
        </w:rPr>
        <w:t>preţurilor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constituirea rezervelor de asigurare;</w:t>
      </w:r>
    </w:p>
    <w:p w14:paraId="7FE39E99" w14:textId="2E233952" w:rsidR="009B1AF6" w:rsidRPr="000508B6" w:rsidRDefault="005C72E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color w:val="000000"/>
          <w:lang w:val="ro-MD"/>
        </w:rPr>
      </w:pPr>
      <w:r w:rsidRPr="000508B6">
        <w:rPr>
          <w:rFonts w:ascii="Times New Roman" w:eastAsia="Times New Roman" w:hAnsi="Times New Roman" w:cs="Times New Roman"/>
          <w:i/>
          <w:color w:val="000000"/>
          <w:lang w:val="ro-MD"/>
        </w:rPr>
        <w:t>risc aferent imobilizărilor necorporale</w:t>
      </w:r>
      <w:r w:rsidRPr="000508B6">
        <w:rPr>
          <w:rFonts w:ascii="Times New Roman" w:eastAsia="Times New Roman" w:hAnsi="Times New Roman" w:cs="Times New Roman"/>
          <w:color w:val="000000"/>
          <w:lang w:val="ro-MD"/>
        </w:rPr>
        <w:t xml:space="preserve"> - </w:t>
      </w:r>
      <w:r w:rsidR="009B1AF6" w:rsidRPr="000508B6">
        <w:rPr>
          <w:rFonts w:ascii="Times New Roman" w:eastAsia="Times New Roman" w:hAnsi="Times New Roman" w:cs="Times New Roman"/>
          <w:color w:val="000000"/>
          <w:lang w:val="ro-MD"/>
        </w:rPr>
        <w:t>risc specific care decurg</w:t>
      </w:r>
      <w:r w:rsidR="00215EB1" w:rsidRPr="000508B6">
        <w:rPr>
          <w:rFonts w:ascii="Times New Roman" w:eastAsia="Times New Roman" w:hAnsi="Times New Roman" w:cs="Times New Roman"/>
          <w:color w:val="000000"/>
          <w:lang w:val="ro-MD"/>
        </w:rPr>
        <w:t>e</w:t>
      </w:r>
      <w:r w:rsidR="009B1AF6" w:rsidRPr="000508B6">
        <w:rPr>
          <w:rFonts w:ascii="Times New Roman" w:eastAsia="Times New Roman" w:hAnsi="Times New Roman" w:cs="Times New Roman"/>
          <w:color w:val="000000"/>
          <w:lang w:val="ro-MD"/>
        </w:rPr>
        <w:t xml:space="preserve"> din activele necorporale, așa cum sunt recunoscute și evaluate în scopul solvabilității, care nu sunt incluse în altă parte în </w:t>
      </w:r>
      <w:r w:rsidRPr="000508B6">
        <w:rPr>
          <w:rFonts w:ascii="Times New Roman" w:eastAsia="Times New Roman" w:hAnsi="Times New Roman" w:cs="Times New Roman"/>
          <w:color w:val="000000"/>
          <w:lang w:val="ro-MD"/>
        </w:rPr>
        <w:t>c</w:t>
      </w:r>
      <w:r w:rsidR="009B1AF6" w:rsidRPr="000508B6">
        <w:rPr>
          <w:rFonts w:ascii="Times New Roman" w:eastAsia="Times New Roman" w:hAnsi="Times New Roman" w:cs="Times New Roman"/>
          <w:color w:val="000000"/>
          <w:lang w:val="ro-MD"/>
        </w:rPr>
        <w:t>eri</w:t>
      </w:r>
      <w:r w:rsidRPr="000508B6">
        <w:rPr>
          <w:rFonts w:ascii="Times New Roman" w:eastAsia="Times New Roman" w:hAnsi="Times New Roman" w:cs="Times New Roman"/>
          <w:color w:val="000000"/>
          <w:lang w:val="ro-MD"/>
        </w:rPr>
        <w:t>nța de capital de solvabilitate</w:t>
      </w:r>
      <w:r w:rsidR="00706A7D" w:rsidRPr="000508B6">
        <w:rPr>
          <w:rFonts w:ascii="Times New Roman" w:eastAsia="Times New Roman" w:hAnsi="Times New Roman" w:cs="Times New Roman"/>
          <w:color w:val="000000"/>
          <w:lang w:val="ro-MD"/>
        </w:rPr>
        <w:t xml:space="preserve"> </w:t>
      </w:r>
      <w:r w:rsidR="007C24EA" w:rsidRPr="000508B6">
        <w:rPr>
          <w:rFonts w:ascii="Times New Roman" w:eastAsia="Times New Roman" w:hAnsi="Times New Roman" w:cs="Times New Roman"/>
          <w:color w:val="000000"/>
          <w:lang w:val="ro-MD"/>
        </w:rPr>
        <w:t>(</w:t>
      </w:r>
      <w:r w:rsidR="00706A7D" w:rsidRPr="000508B6">
        <w:rPr>
          <w:rFonts w:ascii="Times New Roman" w:eastAsia="Times New Roman" w:hAnsi="Times New Roman" w:cs="Times New Roman"/>
          <w:color w:val="000000"/>
          <w:lang w:val="ro-MD"/>
        </w:rPr>
        <w:t xml:space="preserve">în continuare – </w:t>
      </w:r>
      <w:r w:rsidR="007C24EA" w:rsidRPr="000508B6">
        <w:rPr>
          <w:rFonts w:ascii="Times New Roman" w:eastAsia="Times New Roman" w:hAnsi="Times New Roman" w:cs="Times New Roman"/>
          <w:color w:val="000000"/>
          <w:lang w:val="ro-MD"/>
        </w:rPr>
        <w:t>SCR)</w:t>
      </w:r>
      <w:r w:rsidRPr="000508B6">
        <w:rPr>
          <w:rFonts w:ascii="Times New Roman" w:eastAsia="Times New Roman" w:hAnsi="Times New Roman" w:cs="Times New Roman"/>
          <w:color w:val="000000"/>
          <w:lang w:val="ro-MD"/>
        </w:rPr>
        <w:t>;</w:t>
      </w:r>
    </w:p>
    <w:p w14:paraId="34405FF9" w14:textId="3C1F3B65" w:rsidR="00DC6F3E" w:rsidRPr="000508B6" w:rsidRDefault="00DC6F3E"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bookmarkStart w:id="30" w:name="_Hlk203631611"/>
      <w:r w:rsidRPr="000508B6">
        <w:rPr>
          <w:rFonts w:ascii="Times New Roman" w:eastAsia="Times New Roman" w:hAnsi="Times New Roman" w:cs="Times New Roman"/>
          <w:i/>
          <w:lang w:val="ro-MD"/>
        </w:rPr>
        <w:t xml:space="preserve">risc </w:t>
      </w:r>
      <w:r w:rsidR="00291ABD" w:rsidRPr="000508B6">
        <w:rPr>
          <w:rFonts w:ascii="Times New Roman" w:eastAsia="Times New Roman" w:hAnsi="Times New Roman" w:cs="Times New Roman"/>
          <w:i/>
          <w:lang w:val="ro-MD"/>
        </w:rPr>
        <w:t xml:space="preserve">legat </w:t>
      </w:r>
      <w:r w:rsidRPr="000508B6">
        <w:rPr>
          <w:rFonts w:ascii="Times New Roman" w:eastAsia="Times New Roman" w:hAnsi="Times New Roman" w:cs="Times New Roman"/>
          <w:i/>
          <w:lang w:val="ro-MD"/>
        </w:rPr>
        <w:t xml:space="preserve">de </w:t>
      </w:r>
      <w:r w:rsidR="00370378" w:rsidRPr="000508B6">
        <w:rPr>
          <w:rFonts w:ascii="Times New Roman" w:eastAsia="Times New Roman" w:hAnsi="Times New Roman" w:cs="Times New Roman"/>
          <w:i/>
          <w:lang w:val="ro-MD"/>
        </w:rPr>
        <w:t>durabilitate</w:t>
      </w:r>
      <w:r w:rsidRPr="000508B6">
        <w:rPr>
          <w:rFonts w:ascii="Times New Roman" w:eastAsia="Times New Roman" w:hAnsi="Times New Roman" w:cs="Times New Roman"/>
          <w:i/>
          <w:lang w:val="ro-MD"/>
        </w:rPr>
        <w:t xml:space="preserve"> - </w:t>
      </w:r>
      <w:r w:rsidR="0037037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eveniment sau </w:t>
      </w:r>
      <w:r w:rsidR="00370378" w:rsidRPr="000508B6">
        <w:rPr>
          <w:rFonts w:ascii="Times New Roman" w:eastAsia="Times New Roman" w:hAnsi="Times New Roman" w:cs="Times New Roman"/>
          <w:lang w:val="ro-MD"/>
        </w:rPr>
        <w:t>o situație</w:t>
      </w:r>
      <w:r w:rsidRPr="000508B6">
        <w:rPr>
          <w:rFonts w:ascii="Times New Roman" w:eastAsia="Times New Roman" w:hAnsi="Times New Roman" w:cs="Times New Roman"/>
          <w:lang w:val="ro-MD"/>
        </w:rPr>
        <w:t xml:space="preserve"> de mediu, </w:t>
      </w:r>
      <w:r w:rsidR="00370378" w:rsidRPr="000508B6">
        <w:rPr>
          <w:rFonts w:ascii="Times New Roman" w:eastAsia="Times New Roman" w:hAnsi="Times New Roman" w:cs="Times New Roman"/>
          <w:lang w:val="ro-MD"/>
        </w:rPr>
        <w:t>socială</w:t>
      </w:r>
      <w:r w:rsidRPr="000508B6">
        <w:rPr>
          <w:rFonts w:ascii="Times New Roman" w:eastAsia="Times New Roman" w:hAnsi="Times New Roman" w:cs="Times New Roman"/>
          <w:lang w:val="ro-MD"/>
        </w:rPr>
        <w:t xml:space="preserve"> sau de guvernanță care, </w:t>
      </w:r>
      <w:r w:rsidR="00370378" w:rsidRPr="000508B6">
        <w:rPr>
          <w:rFonts w:ascii="Times New Roman" w:eastAsia="Times New Roman" w:hAnsi="Times New Roman" w:cs="Times New Roman"/>
          <w:lang w:val="ro-MD"/>
        </w:rPr>
        <w:t>în cazul în care s-ar produce</w:t>
      </w:r>
      <w:r w:rsidRPr="000508B6">
        <w:rPr>
          <w:rFonts w:ascii="Times New Roman" w:eastAsia="Times New Roman" w:hAnsi="Times New Roman" w:cs="Times New Roman"/>
          <w:lang w:val="ro-MD"/>
        </w:rPr>
        <w:t xml:space="preserve">, ar putea </w:t>
      </w:r>
      <w:r w:rsidR="00370378" w:rsidRPr="000508B6">
        <w:rPr>
          <w:rFonts w:ascii="Times New Roman" w:eastAsia="Times New Roman" w:hAnsi="Times New Roman" w:cs="Times New Roman"/>
          <w:lang w:val="ro-MD"/>
        </w:rPr>
        <w:t>avea</w:t>
      </w:r>
      <w:r w:rsidRPr="000508B6">
        <w:rPr>
          <w:rFonts w:ascii="Times New Roman" w:eastAsia="Times New Roman" w:hAnsi="Times New Roman" w:cs="Times New Roman"/>
          <w:lang w:val="ro-MD"/>
        </w:rPr>
        <w:t xml:space="preserve"> un impact negativ </w:t>
      </w:r>
      <w:r w:rsidR="00370378" w:rsidRPr="000508B6">
        <w:rPr>
          <w:rFonts w:ascii="Times New Roman" w:eastAsia="Times New Roman" w:hAnsi="Times New Roman" w:cs="Times New Roman"/>
          <w:lang w:val="ro-MD"/>
        </w:rPr>
        <w:t>efectiv</w:t>
      </w:r>
      <w:r w:rsidRPr="000508B6">
        <w:rPr>
          <w:rFonts w:ascii="Times New Roman" w:eastAsia="Times New Roman" w:hAnsi="Times New Roman" w:cs="Times New Roman"/>
          <w:lang w:val="ro-MD"/>
        </w:rPr>
        <w:t xml:space="preserve"> sau potențial asupra valorii investiției sau asupra valorii </w:t>
      </w:r>
      <w:r w:rsidR="00370378" w:rsidRPr="000508B6">
        <w:rPr>
          <w:rFonts w:ascii="Times New Roman" w:eastAsia="Times New Roman" w:hAnsi="Times New Roman" w:cs="Times New Roman"/>
          <w:lang w:val="ro-MD"/>
        </w:rPr>
        <w:t>obligațiilor</w:t>
      </w:r>
      <w:bookmarkEnd w:id="30"/>
      <w:r w:rsidRPr="000508B6">
        <w:rPr>
          <w:rFonts w:ascii="Times New Roman" w:eastAsia="Times New Roman" w:hAnsi="Times New Roman" w:cs="Times New Roman"/>
          <w:lang w:val="ro-MD"/>
        </w:rPr>
        <w:t>.</w:t>
      </w:r>
    </w:p>
    <w:p w14:paraId="7D090941" w14:textId="162FA06B" w:rsidR="00DE2EF5" w:rsidRPr="000508B6" w:rsidRDefault="00DE2EF5" w:rsidP="00DE2EF5">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risc sistemic</w:t>
      </w:r>
      <w:r w:rsidRPr="000508B6">
        <w:rPr>
          <w:rFonts w:ascii="Times New Roman" w:eastAsia="Times New Roman" w:hAnsi="Times New Roman" w:cs="Times New Roman"/>
          <w:lang w:val="ro-MD"/>
        </w:rPr>
        <w:t xml:space="preserve"> – </w:t>
      </w:r>
      <w:r w:rsidR="00130060" w:rsidRPr="00130060">
        <w:rPr>
          <w:rFonts w:ascii="Times New Roman" w:eastAsia="Times New Roman" w:hAnsi="Times New Roman" w:cs="Times New Roman"/>
          <w:lang w:val="ro-MD"/>
        </w:rPr>
        <w:t xml:space="preserve"> risc de perturbare a sistemului financiar, care poate avea </w:t>
      </w:r>
      <w:proofErr w:type="spellStart"/>
      <w:r w:rsidR="00130060" w:rsidRPr="00130060">
        <w:rPr>
          <w:rFonts w:ascii="Times New Roman" w:eastAsia="Times New Roman" w:hAnsi="Times New Roman" w:cs="Times New Roman"/>
          <w:lang w:val="ro-MD"/>
        </w:rPr>
        <w:t>consecinţe</w:t>
      </w:r>
      <w:proofErr w:type="spellEnd"/>
      <w:r w:rsidR="00130060" w:rsidRPr="00130060">
        <w:rPr>
          <w:rFonts w:ascii="Times New Roman" w:eastAsia="Times New Roman" w:hAnsi="Times New Roman" w:cs="Times New Roman"/>
          <w:lang w:val="ro-MD"/>
        </w:rPr>
        <w:t xml:space="preserve"> negative grave pentru sistemul financiar </w:t>
      </w:r>
      <w:proofErr w:type="spellStart"/>
      <w:r w:rsidR="00130060" w:rsidRPr="00130060">
        <w:rPr>
          <w:rFonts w:ascii="Times New Roman" w:eastAsia="Times New Roman" w:hAnsi="Times New Roman" w:cs="Times New Roman"/>
          <w:lang w:val="ro-MD"/>
        </w:rPr>
        <w:t>şi</w:t>
      </w:r>
      <w:proofErr w:type="spellEnd"/>
      <w:r w:rsidR="00130060" w:rsidRPr="00130060">
        <w:rPr>
          <w:rFonts w:ascii="Times New Roman" w:eastAsia="Times New Roman" w:hAnsi="Times New Roman" w:cs="Times New Roman"/>
          <w:lang w:val="ro-MD"/>
        </w:rPr>
        <w:t xml:space="preserve"> economia reală</w:t>
      </w:r>
      <w:r w:rsidR="002D49FB" w:rsidRPr="000508B6">
        <w:rPr>
          <w:rFonts w:ascii="Times New Roman" w:eastAsia="Times New Roman" w:hAnsi="Times New Roman" w:cs="Times New Roman"/>
          <w:lang w:val="ro-MD"/>
        </w:rPr>
        <w:t>;</w:t>
      </w:r>
    </w:p>
    <w:p w14:paraId="0844795B" w14:textId="3E49E76F"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riscuri majore înseamnă</w:t>
      </w:r>
      <w:r w:rsidRPr="000508B6">
        <w:rPr>
          <w:rFonts w:ascii="Times New Roman" w:eastAsia="Times New Roman" w:hAnsi="Times New Roman" w:cs="Times New Roman"/>
          <w:lang w:val="ro-MD"/>
        </w:rPr>
        <w:t>:</w:t>
      </w:r>
    </w:p>
    <w:p w14:paraId="4839139D" w14:textId="11CABC78" w:rsidR="00F95829" w:rsidRPr="000508B6" w:rsidRDefault="00F95829" w:rsidP="00EA03CB">
      <w:pPr>
        <w:pStyle w:val="Listparagraf"/>
        <w:numPr>
          <w:ilvl w:val="0"/>
          <w:numId w:val="361"/>
        </w:numPr>
        <w:tabs>
          <w:tab w:val="left" w:pos="567"/>
          <w:tab w:val="left" w:pos="709"/>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riscurile clasificate în clasele 4, 5, 6, 7, 11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12 din </w:t>
      </w:r>
      <w:r w:rsidR="004012A7" w:rsidRPr="000508B6">
        <w:rPr>
          <w:rFonts w:ascii="Times New Roman" w:eastAsia="Times New Roman" w:hAnsi="Times New Roman" w:cs="Times New Roman"/>
          <w:lang w:val="ro-MD"/>
        </w:rPr>
        <w:t>A</w:t>
      </w:r>
      <w:r w:rsidR="00913458" w:rsidRPr="000508B6">
        <w:rPr>
          <w:rFonts w:ascii="Times New Roman" w:eastAsia="Times New Roman" w:hAnsi="Times New Roman" w:cs="Times New Roman"/>
          <w:lang w:val="ro-MD"/>
        </w:rPr>
        <w:t xml:space="preserve">nexa nr. 1 </w:t>
      </w:r>
      <w:r w:rsidR="004012A7" w:rsidRPr="000508B6">
        <w:rPr>
          <w:rFonts w:ascii="Times New Roman" w:eastAsia="Times New Roman" w:hAnsi="Times New Roman" w:cs="Times New Roman"/>
          <w:lang w:val="ro-MD"/>
        </w:rPr>
        <w:t>S</w:t>
      </w:r>
      <w:r w:rsidR="00913458" w:rsidRPr="000508B6">
        <w:rPr>
          <w:rFonts w:ascii="Times New Roman" w:eastAsia="Times New Roman" w:hAnsi="Times New Roman" w:cs="Times New Roman"/>
          <w:lang w:val="ro-MD"/>
        </w:rPr>
        <w:t>ecțiunea A</w:t>
      </w:r>
      <w:r w:rsidRPr="000508B6">
        <w:rPr>
          <w:rFonts w:ascii="Times New Roman" w:eastAsia="Times New Roman" w:hAnsi="Times New Roman" w:cs="Times New Roman"/>
          <w:lang w:val="ro-MD"/>
        </w:rPr>
        <w:t>;</w:t>
      </w:r>
    </w:p>
    <w:p w14:paraId="50B24C5F" w14:textId="0D162A6B" w:rsidR="00F95829" w:rsidRPr="000508B6" w:rsidRDefault="00F95829" w:rsidP="00706A7D">
      <w:pPr>
        <w:pStyle w:val="Listparagraf"/>
        <w:numPr>
          <w:ilvl w:val="0"/>
          <w:numId w:val="361"/>
        </w:numPr>
        <w:tabs>
          <w:tab w:val="left" w:pos="709"/>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riscurile clasificate în clasele 14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15 din </w:t>
      </w:r>
      <w:r w:rsidR="004012A7" w:rsidRPr="000508B6">
        <w:rPr>
          <w:rFonts w:ascii="Times New Roman" w:eastAsia="Times New Roman" w:hAnsi="Times New Roman" w:cs="Times New Roman"/>
          <w:lang w:val="ro-MD"/>
        </w:rPr>
        <w:t>A</w:t>
      </w:r>
      <w:r w:rsidR="00913458" w:rsidRPr="000508B6">
        <w:rPr>
          <w:rFonts w:ascii="Times New Roman" w:eastAsia="Times New Roman" w:hAnsi="Times New Roman" w:cs="Times New Roman"/>
          <w:lang w:val="ro-MD"/>
        </w:rPr>
        <w:t xml:space="preserve">nexa nr. 1 </w:t>
      </w:r>
      <w:r w:rsidR="004012A7" w:rsidRPr="000508B6">
        <w:rPr>
          <w:rFonts w:ascii="Times New Roman" w:eastAsia="Times New Roman" w:hAnsi="Times New Roman" w:cs="Times New Roman"/>
          <w:lang w:val="ro-MD"/>
        </w:rPr>
        <w:t>S</w:t>
      </w:r>
      <w:r w:rsidR="00913458" w:rsidRPr="000508B6">
        <w:rPr>
          <w:rFonts w:ascii="Times New Roman" w:eastAsia="Times New Roman" w:hAnsi="Times New Roman" w:cs="Times New Roman"/>
          <w:lang w:val="ro-MD"/>
        </w:rPr>
        <w:t>ecțiunea A</w:t>
      </w:r>
      <w:r w:rsidRPr="000508B6">
        <w:rPr>
          <w:rFonts w:ascii="Times New Roman" w:eastAsia="Times New Roman" w:hAnsi="Times New Roman" w:cs="Times New Roman"/>
          <w:lang w:val="ro-MD"/>
        </w:rPr>
        <w:t xml:space="preserve">, în cazul în care </w:t>
      </w:r>
      <w:r w:rsidR="00735D4E" w:rsidRPr="000508B6">
        <w:rPr>
          <w:rFonts w:ascii="Times New Roman" w:eastAsia="Times New Roman" w:hAnsi="Times New Roman" w:cs="Times New Roman"/>
          <w:lang w:val="ro-MD"/>
        </w:rPr>
        <w:t xml:space="preserve">asiguratul </w:t>
      </w:r>
      <w:proofErr w:type="spellStart"/>
      <w:r w:rsidRPr="000508B6">
        <w:rPr>
          <w:rFonts w:ascii="Times New Roman" w:eastAsia="Times New Roman" w:hAnsi="Times New Roman" w:cs="Times New Roman"/>
          <w:lang w:val="ro-MD"/>
        </w:rPr>
        <w:t>desfăşoară</w:t>
      </w:r>
      <w:proofErr w:type="spellEnd"/>
      <w:r w:rsidRPr="000508B6">
        <w:rPr>
          <w:rFonts w:ascii="Times New Roman" w:eastAsia="Times New Roman" w:hAnsi="Times New Roman" w:cs="Times New Roman"/>
          <w:lang w:val="ro-MD"/>
        </w:rPr>
        <w:t xml:space="preserve"> din punct de vedere profesional o activitate industrială, comercială sau </w:t>
      </w:r>
      <w:r w:rsidR="00362E8F" w:rsidRPr="000508B6">
        <w:rPr>
          <w:rFonts w:ascii="Times New Roman" w:eastAsia="Times New Roman" w:hAnsi="Times New Roman" w:cs="Times New Roman"/>
          <w:lang w:val="ro-MD"/>
        </w:rPr>
        <w:t xml:space="preserve"> </w:t>
      </w:r>
      <w:r w:rsidR="00890C4F" w:rsidRPr="000508B6">
        <w:rPr>
          <w:rFonts w:ascii="Times New Roman" w:eastAsia="Times New Roman" w:hAnsi="Times New Roman" w:cs="Times New Roman"/>
          <w:lang w:val="ro-MD"/>
        </w:rPr>
        <w:t xml:space="preserve">de </w:t>
      </w:r>
      <w:r w:rsidR="00362E8F" w:rsidRPr="000508B6">
        <w:rPr>
          <w:rFonts w:ascii="Times New Roman" w:eastAsia="Times New Roman" w:hAnsi="Times New Roman" w:cs="Times New Roman"/>
          <w:lang w:val="ro-MD"/>
        </w:rPr>
        <w:t>liber profesionist</w:t>
      </w:r>
      <w:r w:rsidRPr="000508B6">
        <w:rPr>
          <w:rFonts w:ascii="Times New Roman" w:eastAsia="Times New Roman" w:hAnsi="Times New Roman" w:cs="Times New Roman"/>
          <w:lang w:val="ro-MD"/>
        </w:rPr>
        <w:t>, iar riscul se referă la această activitate;</w:t>
      </w:r>
    </w:p>
    <w:p w14:paraId="3F35D973" w14:textId="2C47C9C9" w:rsidR="002F3481" w:rsidRPr="000508B6" w:rsidRDefault="00F95829" w:rsidP="00706A7D">
      <w:pPr>
        <w:pStyle w:val="Listparagraf"/>
        <w:numPr>
          <w:ilvl w:val="0"/>
          <w:numId w:val="361"/>
        </w:numPr>
        <w:tabs>
          <w:tab w:val="left" w:pos="709"/>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riscurile clasificate în clasele 3, 8, 9, 10, 13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16 din </w:t>
      </w:r>
      <w:r w:rsidR="004012A7" w:rsidRPr="000508B6">
        <w:rPr>
          <w:rFonts w:ascii="Times New Roman" w:eastAsia="Times New Roman" w:hAnsi="Times New Roman" w:cs="Times New Roman"/>
          <w:lang w:val="ro-MD"/>
        </w:rPr>
        <w:t>A</w:t>
      </w:r>
      <w:r w:rsidR="002D5216" w:rsidRPr="000508B6">
        <w:rPr>
          <w:rFonts w:ascii="Times New Roman" w:eastAsia="Times New Roman" w:hAnsi="Times New Roman" w:cs="Times New Roman"/>
          <w:lang w:val="ro-MD"/>
        </w:rPr>
        <w:t xml:space="preserve">nexa nr. 1 </w:t>
      </w:r>
      <w:r w:rsidR="004012A7" w:rsidRPr="000508B6">
        <w:rPr>
          <w:rFonts w:ascii="Times New Roman" w:eastAsia="Times New Roman" w:hAnsi="Times New Roman" w:cs="Times New Roman"/>
          <w:lang w:val="ro-MD"/>
        </w:rPr>
        <w:t>S</w:t>
      </w:r>
      <w:r w:rsidR="002D5216" w:rsidRPr="000508B6">
        <w:rPr>
          <w:rFonts w:ascii="Times New Roman" w:eastAsia="Times New Roman" w:hAnsi="Times New Roman" w:cs="Times New Roman"/>
          <w:lang w:val="ro-MD"/>
        </w:rPr>
        <w:t>ecțiunea A</w:t>
      </w:r>
      <w:r w:rsidRPr="000508B6">
        <w:rPr>
          <w:rFonts w:ascii="Times New Roman" w:eastAsia="Times New Roman" w:hAnsi="Times New Roman" w:cs="Times New Roman"/>
          <w:lang w:val="ro-MD"/>
        </w:rPr>
        <w:t xml:space="preserve">, în măsura în care </w:t>
      </w:r>
      <w:r w:rsidR="00FD559A" w:rsidRPr="000508B6">
        <w:rPr>
          <w:rFonts w:ascii="Times New Roman" w:eastAsia="Times New Roman" w:hAnsi="Times New Roman" w:cs="Times New Roman"/>
          <w:lang w:val="ro-MD"/>
        </w:rPr>
        <w:t xml:space="preserve">asiguratul </w:t>
      </w:r>
      <w:proofErr w:type="spellStart"/>
      <w:r w:rsidRPr="000508B6">
        <w:rPr>
          <w:rFonts w:ascii="Times New Roman" w:eastAsia="Times New Roman" w:hAnsi="Times New Roman" w:cs="Times New Roman"/>
          <w:lang w:val="ro-MD"/>
        </w:rPr>
        <w:t>depăşeşte</w:t>
      </w:r>
      <w:proofErr w:type="spellEnd"/>
      <w:r w:rsidRPr="000508B6">
        <w:rPr>
          <w:rFonts w:ascii="Times New Roman" w:eastAsia="Times New Roman" w:hAnsi="Times New Roman" w:cs="Times New Roman"/>
          <w:lang w:val="ro-MD"/>
        </w:rPr>
        <w:t xml:space="preserve">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două dintre următoarele limite: un </w:t>
      </w:r>
      <w:proofErr w:type="spellStart"/>
      <w:r w:rsidRPr="000508B6">
        <w:rPr>
          <w:rFonts w:ascii="Times New Roman" w:eastAsia="Times New Roman" w:hAnsi="Times New Roman" w:cs="Times New Roman"/>
          <w:lang w:val="ro-MD"/>
        </w:rPr>
        <w:t>bilanţ</w:t>
      </w:r>
      <w:proofErr w:type="spellEnd"/>
      <w:r w:rsidRPr="000508B6">
        <w:rPr>
          <w:rFonts w:ascii="Times New Roman" w:eastAsia="Times New Roman" w:hAnsi="Times New Roman" w:cs="Times New Roman"/>
          <w:lang w:val="ro-MD"/>
        </w:rPr>
        <w:t xml:space="preserve"> total </w:t>
      </w:r>
      <w:r w:rsidR="00D22D9C" w:rsidRPr="000508B6">
        <w:rPr>
          <w:rFonts w:ascii="Times New Roman" w:eastAsia="Times New Roman" w:hAnsi="Times New Roman" w:cs="Times New Roman"/>
          <w:lang w:val="ro-MD"/>
        </w:rPr>
        <w:t>în suma</w:t>
      </w:r>
      <w:r w:rsidRPr="000508B6">
        <w:rPr>
          <w:rFonts w:ascii="Times New Roman" w:eastAsia="Times New Roman" w:hAnsi="Times New Roman" w:cs="Times New Roman"/>
          <w:lang w:val="ro-MD"/>
        </w:rPr>
        <w:t xml:space="preserve"> echivalentul</w:t>
      </w:r>
      <w:r w:rsidR="00D22D9C" w:rsidRPr="000508B6">
        <w:rPr>
          <w:rFonts w:ascii="Times New Roman" w:eastAsia="Times New Roman" w:hAnsi="Times New Roman" w:cs="Times New Roman"/>
          <w:lang w:val="ro-MD"/>
        </w:rPr>
        <w:t>ui</w:t>
      </w:r>
      <w:r w:rsidRPr="000508B6">
        <w:rPr>
          <w:rFonts w:ascii="Times New Roman" w:eastAsia="Times New Roman" w:hAnsi="Times New Roman" w:cs="Times New Roman"/>
          <w:lang w:val="ro-MD"/>
        </w:rPr>
        <w:t xml:space="preserve"> în lei al 6.</w:t>
      </w:r>
      <w:r w:rsidR="00837756"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00.000 euro, o cifră de afaceri netă </w:t>
      </w:r>
      <w:r w:rsidR="00D22D9C" w:rsidRPr="000508B6">
        <w:rPr>
          <w:rFonts w:ascii="Times New Roman" w:eastAsia="Times New Roman" w:hAnsi="Times New Roman" w:cs="Times New Roman"/>
          <w:lang w:val="ro-MD"/>
        </w:rPr>
        <w:t xml:space="preserve">în suma </w:t>
      </w:r>
      <w:r w:rsidRPr="000508B6">
        <w:rPr>
          <w:rFonts w:ascii="Times New Roman" w:eastAsia="Times New Roman" w:hAnsi="Times New Roman" w:cs="Times New Roman"/>
          <w:lang w:val="ro-MD"/>
        </w:rPr>
        <w:t>echivalentul</w:t>
      </w:r>
      <w:r w:rsidR="00D22D9C" w:rsidRPr="000508B6">
        <w:rPr>
          <w:rFonts w:ascii="Times New Roman" w:eastAsia="Times New Roman" w:hAnsi="Times New Roman" w:cs="Times New Roman"/>
          <w:lang w:val="ro-MD"/>
        </w:rPr>
        <w:t>ui</w:t>
      </w:r>
      <w:r w:rsidRPr="000508B6">
        <w:rPr>
          <w:rFonts w:ascii="Times New Roman" w:eastAsia="Times New Roman" w:hAnsi="Times New Roman" w:cs="Times New Roman"/>
          <w:lang w:val="ro-MD"/>
        </w:rPr>
        <w:t xml:space="preserve"> în lei al 13 600.000 euro, </w:t>
      </w:r>
      <w:proofErr w:type="spellStart"/>
      <w:r w:rsidRPr="000508B6">
        <w:rPr>
          <w:rFonts w:ascii="Times New Roman" w:eastAsia="Times New Roman" w:hAnsi="Times New Roman" w:cs="Times New Roman"/>
          <w:lang w:val="ro-MD"/>
        </w:rPr>
        <w:t>aşa</w:t>
      </w:r>
      <w:proofErr w:type="spellEnd"/>
      <w:r w:rsidRPr="000508B6">
        <w:rPr>
          <w:rFonts w:ascii="Times New Roman" w:eastAsia="Times New Roman" w:hAnsi="Times New Roman" w:cs="Times New Roman"/>
          <w:lang w:val="ro-MD"/>
        </w:rPr>
        <w:t xml:space="preserve"> cum este definită în </w:t>
      </w:r>
      <w:r w:rsidR="00967D04" w:rsidRPr="000508B6">
        <w:rPr>
          <w:rFonts w:ascii="Times New Roman" w:eastAsia="Times New Roman" w:hAnsi="Times New Roman" w:cs="Times New Roman"/>
          <w:lang w:val="ro-MD"/>
        </w:rPr>
        <w:t xml:space="preserve">Legea nr. 287/2017 </w:t>
      </w:r>
      <w:r w:rsidRPr="000508B6">
        <w:rPr>
          <w:rFonts w:ascii="Times New Roman" w:eastAsia="Times New Roman" w:hAnsi="Times New Roman" w:cs="Times New Roman"/>
          <w:lang w:val="ro-MD"/>
        </w:rPr>
        <w:t xml:space="preserve">sau un număr mediu de 250 de </w:t>
      </w:r>
      <w:proofErr w:type="spellStart"/>
      <w:r w:rsidRPr="000508B6">
        <w:rPr>
          <w:rFonts w:ascii="Times New Roman" w:eastAsia="Times New Roman" w:hAnsi="Times New Roman" w:cs="Times New Roman"/>
          <w:lang w:val="ro-MD"/>
        </w:rPr>
        <w:t>angajaţi</w:t>
      </w:r>
      <w:proofErr w:type="spellEnd"/>
      <w:r w:rsidRPr="000508B6">
        <w:rPr>
          <w:rFonts w:ascii="Times New Roman" w:eastAsia="Times New Roman" w:hAnsi="Times New Roman" w:cs="Times New Roman"/>
          <w:lang w:val="ro-MD"/>
        </w:rPr>
        <w:t xml:space="preserve"> în cursul </w:t>
      </w:r>
      <w:proofErr w:type="spellStart"/>
      <w:r w:rsidRPr="000508B6">
        <w:rPr>
          <w:rFonts w:ascii="Times New Roman" w:eastAsia="Times New Roman" w:hAnsi="Times New Roman" w:cs="Times New Roman"/>
          <w:lang w:val="ro-MD"/>
        </w:rPr>
        <w:t>exerciţiului</w:t>
      </w:r>
      <w:proofErr w:type="spellEnd"/>
      <w:r w:rsidRPr="000508B6">
        <w:rPr>
          <w:rFonts w:ascii="Times New Roman" w:eastAsia="Times New Roman" w:hAnsi="Times New Roman" w:cs="Times New Roman"/>
          <w:lang w:val="ro-MD"/>
        </w:rPr>
        <w:t xml:space="preserve"> financiar</w:t>
      </w:r>
      <w:r w:rsidR="00B1112A" w:rsidRPr="000508B6">
        <w:rPr>
          <w:rFonts w:ascii="Times New Roman" w:eastAsia="Times New Roman" w:hAnsi="Times New Roman" w:cs="Times New Roman"/>
          <w:lang w:val="ro-MD"/>
        </w:rPr>
        <w:t>.</w:t>
      </w:r>
    </w:p>
    <w:p w14:paraId="6328A649" w14:textId="729AFF02" w:rsidR="00F95829" w:rsidRPr="000508B6" w:rsidRDefault="00F95829" w:rsidP="002F3481">
      <w:pPr>
        <w:tabs>
          <w:tab w:val="left" w:pos="851"/>
        </w:tabs>
        <w:spacing w:after="0" w:line="240" w:lineRule="auto"/>
        <w:ind w:left="-142"/>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B1112A" w:rsidRPr="000508B6">
        <w:rPr>
          <w:rFonts w:ascii="Times New Roman" w:eastAsia="Times New Roman" w:hAnsi="Times New Roman" w:cs="Times New Roman"/>
          <w:lang w:val="ro-MD"/>
        </w:rPr>
        <w:t>Î</w:t>
      </w:r>
      <w:r w:rsidRPr="000508B6">
        <w:rPr>
          <w:rFonts w:ascii="Times New Roman" w:eastAsia="Times New Roman" w:hAnsi="Times New Roman" w:cs="Times New Roman"/>
          <w:lang w:val="ro-MD"/>
        </w:rPr>
        <w:t xml:space="preserve">n cazul în care asiguratul face parte dintr-un grup care </w:t>
      </w:r>
      <w:proofErr w:type="spellStart"/>
      <w:r w:rsidRPr="000508B6">
        <w:rPr>
          <w:rFonts w:ascii="Times New Roman" w:eastAsia="Times New Roman" w:hAnsi="Times New Roman" w:cs="Times New Roman"/>
          <w:lang w:val="ro-MD"/>
        </w:rPr>
        <w:t>întocmeşte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situaţii</w:t>
      </w:r>
      <w:proofErr w:type="spellEnd"/>
      <w:r w:rsidRPr="000508B6">
        <w:rPr>
          <w:rFonts w:ascii="Times New Roman" w:eastAsia="Times New Roman" w:hAnsi="Times New Roman" w:cs="Times New Roman"/>
          <w:lang w:val="ro-MD"/>
        </w:rPr>
        <w:t xml:space="preserve"> financiare consolidate în conformitate cu </w:t>
      </w:r>
      <w:proofErr w:type="spellStart"/>
      <w:r w:rsidRPr="000508B6">
        <w:rPr>
          <w:rFonts w:ascii="Times New Roman" w:eastAsia="Times New Roman" w:hAnsi="Times New Roman" w:cs="Times New Roman"/>
          <w:lang w:val="ro-MD"/>
        </w:rPr>
        <w:t>legislaţia</w:t>
      </w:r>
      <w:proofErr w:type="spellEnd"/>
      <w:r w:rsidRPr="000508B6">
        <w:rPr>
          <w:rFonts w:ascii="Times New Roman" w:eastAsia="Times New Roman" w:hAnsi="Times New Roman" w:cs="Times New Roman"/>
          <w:lang w:val="ro-MD"/>
        </w:rPr>
        <w:t xml:space="preserve"> aplicabilă, limitele se consideră pe baza </w:t>
      </w:r>
      <w:proofErr w:type="spellStart"/>
      <w:r w:rsidRPr="000508B6">
        <w:rPr>
          <w:rFonts w:ascii="Times New Roman" w:eastAsia="Times New Roman" w:hAnsi="Times New Roman" w:cs="Times New Roman"/>
          <w:lang w:val="ro-MD"/>
        </w:rPr>
        <w:t>situaţiilor</w:t>
      </w:r>
      <w:proofErr w:type="spellEnd"/>
      <w:r w:rsidRPr="000508B6">
        <w:rPr>
          <w:rFonts w:ascii="Times New Roman" w:eastAsia="Times New Roman" w:hAnsi="Times New Roman" w:cs="Times New Roman"/>
          <w:lang w:val="ro-MD"/>
        </w:rPr>
        <w:t xml:space="preserve"> financiare consolidate;</w:t>
      </w:r>
    </w:p>
    <w:p w14:paraId="29802D31" w14:textId="14CA1D7D" w:rsidR="00F95829" w:rsidRPr="000508B6" w:rsidRDefault="00F95829" w:rsidP="00706A7D">
      <w:pPr>
        <w:pStyle w:val="Listparagraf"/>
        <w:numPr>
          <w:ilvl w:val="0"/>
          <w:numId w:val="361"/>
        </w:numPr>
        <w:tabs>
          <w:tab w:val="left" w:pos="709"/>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riscurile clasificate în clasele 3, 8, 9, 10, 13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16 din </w:t>
      </w:r>
      <w:r w:rsidR="004012A7" w:rsidRPr="000508B6">
        <w:rPr>
          <w:rFonts w:ascii="Times New Roman" w:eastAsia="Times New Roman" w:hAnsi="Times New Roman" w:cs="Times New Roman"/>
          <w:lang w:val="ro-MD"/>
        </w:rPr>
        <w:t>A</w:t>
      </w:r>
      <w:r w:rsidR="00864FBA" w:rsidRPr="000508B6">
        <w:rPr>
          <w:rFonts w:ascii="Times New Roman" w:eastAsia="Times New Roman" w:hAnsi="Times New Roman" w:cs="Times New Roman"/>
          <w:lang w:val="ro-MD"/>
        </w:rPr>
        <w:t xml:space="preserve">nexa nr. 1 </w:t>
      </w:r>
      <w:r w:rsidR="004012A7" w:rsidRPr="000508B6">
        <w:rPr>
          <w:rFonts w:ascii="Times New Roman" w:eastAsia="Times New Roman" w:hAnsi="Times New Roman" w:cs="Times New Roman"/>
          <w:lang w:val="ro-MD"/>
        </w:rPr>
        <w:t>S</w:t>
      </w:r>
      <w:r w:rsidR="00864FBA" w:rsidRPr="000508B6">
        <w:rPr>
          <w:rFonts w:ascii="Times New Roman" w:eastAsia="Times New Roman" w:hAnsi="Times New Roman" w:cs="Times New Roman"/>
          <w:lang w:val="ro-MD"/>
        </w:rPr>
        <w:t>ecțiunea A</w:t>
      </w:r>
      <w:r w:rsidRPr="000508B6">
        <w:rPr>
          <w:rFonts w:ascii="Times New Roman" w:eastAsia="Times New Roman" w:hAnsi="Times New Roman" w:cs="Times New Roman"/>
          <w:lang w:val="ro-MD"/>
        </w:rPr>
        <w:t xml:space="preserve">, asigurate de către </w:t>
      </w:r>
      <w:proofErr w:type="spellStart"/>
      <w:r w:rsidRPr="000508B6">
        <w:rPr>
          <w:rFonts w:ascii="Times New Roman" w:eastAsia="Times New Roman" w:hAnsi="Times New Roman" w:cs="Times New Roman"/>
          <w:lang w:val="ro-MD"/>
        </w:rPr>
        <w:t>asociaţiile</w:t>
      </w:r>
      <w:proofErr w:type="spellEnd"/>
      <w:r w:rsidRPr="000508B6">
        <w:rPr>
          <w:rFonts w:ascii="Times New Roman" w:eastAsia="Times New Roman" w:hAnsi="Times New Roman" w:cs="Times New Roman"/>
          <w:lang w:val="ro-MD"/>
        </w:rPr>
        <w:t xml:space="preserve"> profesionale, </w:t>
      </w:r>
      <w:r w:rsidR="00C5163B" w:rsidRPr="000508B6">
        <w:rPr>
          <w:rFonts w:ascii="Times New Roman" w:eastAsia="Times New Roman" w:hAnsi="Times New Roman" w:cs="Times New Roman"/>
          <w:lang w:val="ro-MD"/>
        </w:rPr>
        <w:t xml:space="preserve">asigurătorii </w:t>
      </w:r>
      <w:r w:rsidRPr="000508B6">
        <w:rPr>
          <w:rFonts w:ascii="Times New Roman" w:eastAsia="Times New Roman" w:hAnsi="Times New Roman" w:cs="Times New Roman"/>
          <w:lang w:val="ro-MD"/>
        </w:rPr>
        <w:t xml:space="preserve">cu capital mixt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asociaţiile</w:t>
      </w:r>
      <w:proofErr w:type="spellEnd"/>
      <w:r w:rsidRPr="000508B6">
        <w:rPr>
          <w:rFonts w:ascii="Times New Roman" w:eastAsia="Times New Roman" w:hAnsi="Times New Roman" w:cs="Times New Roman"/>
          <w:lang w:val="ro-MD"/>
        </w:rPr>
        <w:t xml:space="preserve"> temporare;</w:t>
      </w:r>
    </w:p>
    <w:p w14:paraId="2A941800" w14:textId="77777777" w:rsidR="008C66EA" w:rsidRPr="000508B6" w:rsidRDefault="00F95829" w:rsidP="00EA03CB">
      <w:pPr>
        <w:pStyle w:val="Listparagraf"/>
        <w:numPr>
          <w:ilvl w:val="0"/>
          <w:numId w:val="313"/>
        </w:numPr>
        <w:tabs>
          <w:tab w:val="left" w:pos="709"/>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societate-mamă –</w:t>
      </w:r>
      <w:r w:rsidRPr="000508B6">
        <w:rPr>
          <w:rFonts w:ascii="Times New Roman" w:eastAsia="Times New Roman" w:hAnsi="Times New Roman" w:cs="Times New Roman"/>
          <w:lang w:val="ro-MD"/>
        </w:rPr>
        <w:t xml:space="preserve"> </w:t>
      </w:r>
      <w:r w:rsidR="00711813" w:rsidRPr="000508B6">
        <w:rPr>
          <w:rFonts w:ascii="Times New Roman" w:eastAsia="Times New Roman" w:hAnsi="Times New Roman" w:cs="Times New Roman"/>
          <w:lang w:val="ro-MD"/>
        </w:rPr>
        <w:t xml:space="preserve">persoană care se află în oricare dintre următoarele situații: </w:t>
      </w:r>
      <w:r w:rsidR="00711813" w:rsidRPr="000508B6">
        <w:rPr>
          <w:rFonts w:ascii="Times New Roman" w:hAnsi="Times New Roman" w:cs="Times New Roman"/>
          <w:lang w:val="ro-MD"/>
        </w:rPr>
        <w:t xml:space="preserve"> </w:t>
      </w:r>
    </w:p>
    <w:p w14:paraId="310A3D18" w14:textId="0A406904" w:rsidR="00711813" w:rsidRPr="000508B6" w:rsidRDefault="00B54922" w:rsidP="008C66EA">
      <w:pPr>
        <w:pStyle w:val="Listparagraf"/>
        <w:tabs>
          <w:tab w:val="left" w:pos="851"/>
        </w:tabs>
        <w:spacing w:after="0" w:line="240" w:lineRule="auto"/>
        <w:ind w:left="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8C66EA" w:rsidRPr="000508B6">
        <w:rPr>
          <w:rFonts w:ascii="Times New Roman" w:eastAsia="Times New Roman" w:hAnsi="Times New Roman" w:cs="Times New Roman"/>
          <w:lang w:val="ro-MD"/>
        </w:rPr>
        <w:t xml:space="preserve"> </w:t>
      </w:r>
      <w:r w:rsidR="000F7C6C" w:rsidRPr="000508B6" w:rsidDel="00711813">
        <w:rPr>
          <w:rFonts w:ascii="Times New Roman" w:eastAsia="Times New Roman" w:hAnsi="Times New Roman" w:cs="Times New Roman"/>
          <w:lang w:val="ro-MD"/>
        </w:rPr>
        <w:t xml:space="preserve"> a) </w:t>
      </w:r>
      <w:r w:rsidR="00515472" w:rsidRPr="000508B6">
        <w:rPr>
          <w:rFonts w:ascii="Times New Roman" w:eastAsia="Times New Roman" w:hAnsi="Times New Roman" w:cs="Times New Roman"/>
          <w:lang w:val="ro-MD"/>
        </w:rPr>
        <w:t>deține</w:t>
      </w:r>
      <w:r w:rsidR="00711813" w:rsidRPr="000508B6">
        <w:rPr>
          <w:rFonts w:ascii="Times New Roman" w:eastAsia="Times New Roman" w:hAnsi="Times New Roman" w:cs="Times New Roman"/>
          <w:lang w:val="ro-MD"/>
        </w:rPr>
        <w:t xml:space="preserve"> majoritatea drepturilor de vot într-o altă persoană (filială);</w:t>
      </w:r>
    </w:p>
    <w:p w14:paraId="70D6829B" w14:textId="56021CA5" w:rsidR="00711813" w:rsidRPr="000508B6" w:rsidRDefault="00711813" w:rsidP="008C66EA">
      <w:pPr>
        <w:pStyle w:val="Listparagraf"/>
        <w:tabs>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are dreptul de a numi sau de a </w:t>
      </w:r>
      <w:r w:rsidR="00515472" w:rsidRPr="000508B6">
        <w:rPr>
          <w:rFonts w:ascii="Times New Roman" w:eastAsia="Times New Roman" w:hAnsi="Times New Roman" w:cs="Times New Roman"/>
          <w:lang w:val="ro-MD"/>
        </w:rPr>
        <w:t>revoca</w:t>
      </w:r>
      <w:r w:rsidRPr="000508B6">
        <w:rPr>
          <w:rFonts w:ascii="Times New Roman" w:eastAsia="Times New Roman" w:hAnsi="Times New Roman" w:cs="Times New Roman"/>
          <w:lang w:val="ro-MD"/>
        </w:rPr>
        <w:t xml:space="preserve"> majoritatea membrilor organului de conducere al altei persoane (filiale) și este în același timp acționar/asociat sau membru al acelei persoane</w:t>
      </w:r>
      <w:r w:rsidR="008C66EA" w:rsidRPr="000508B6">
        <w:rPr>
          <w:rFonts w:ascii="Times New Roman" w:eastAsia="Times New Roman" w:hAnsi="Times New Roman" w:cs="Times New Roman"/>
          <w:lang w:val="ro-MD"/>
        </w:rPr>
        <w:t>;</w:t>
      </w:r>
    </w:p>
    <w:p w14:paraId="705D59AF" w14:textId="05E02E5E" w:rsidR="00711813" w:rsidRPr="000508B6" w:rsidRDefault="00711813" w:rsidP="008C66EA">
      <w:pPr>
        <w:pStyle w:val="Listparagraf"/>
        <w:tabs>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 are dreptul de a exercita o influență dominantă asupra unei persoane (filiale), fiind sau nefiind acționar/asociat ori membru al acesteia, în virtutea unui contract încheiat cu acea persoană (filială) sau a unor prevederi din actul de constituire al persoanei (filialei), în cazul în care legislația aplicabilă persoanei (filialei) îi permite acesteia să fie supusă unor astfel de contracte sau prevederi;</w:t>
      </w:r>
    </w:p>
    <w:p w14:paraId="484685A3" w14:textId="045F79C9" w:rsidR="00711813" w:rsidRPr="000508B6" w:rsidRDefault="00711813" w:rsidP="008C66EA">
      <w:pPr>
        <w:pStyle w:val="Listparagraf"/>
        <w:tabs>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 este acționar/asociat sau membru al unei persoane (filiale)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majoritatea membrilor organului de conducere al acelei persoane (filiale), aflați în funcție în perioada de gestiune în curs, în perioada de gestiune anterioară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până la data la care sunt întocmite situațiile financiare anuale consolidate, au fost numiți ca urmare a exercitării drepturilor lor de vot; această prevedere nu se aplică în situația în care o altă persoană are față de filială drepturile prevăzute la lit. a), b) sau c);</w:t>
      </w:r>
    </w:p>
    <w:p w14:paraId="548189D1" w14:textId="5DCFB8E2" w:rsidR="00711813" w:rsidRPr="000508B6" w:rsidRDefault="00711813" w:rsidP="008C66EA">
      <w:pPr>
        <w:pStyle w:val="Listparagraf"/>
        <w:tabs>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 este acționar/asociat sau membru al unei persoane (filiale)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controlează singură, în baza unui acord încheiat cu alți acționari/ asociați sau membri ai acelei persoane (filiale), majoritatea drepturilor de vot în acea filială;</w:t>
      </w:r>
    </w:p>
    <w:p w14:paraId="66B71EB3" w14:textId="3D6CEBE6" w:rsidR="00670EE0" w:rsidRPr="000508B6" w:rsidRDefault="00711813" w:rsidP="008C66EA">
      <w:pPr>
        <w:pStyle w:val="Listparagraf"/>
        <w:tabs>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 exercită efectiv influență dominantă asupra altei persoane (filiale) conform criteriilor prevăzute în actele normative ale Băncii Naționale a Moldovei;</w:t>
      </w:r>
    </w:p>
    <w:p w14:paraId="04E89230" w14:textId="19699C2F" w:rsidR="006A45C9" w:rsidRPr="000508B6" w:rsidRDefault="006A45C9" w:rsidP="008C66EA">
      <w:pPr>
        <w:pStyle w:val="Listparagraf"/>
        <w:tabs>
          <w:tab w:val="left" w:pos="851"/>
        </w:tabs>
        <w:spacing w:after="0" w:line="240" w:lineRule="auto"/>
        <w:ind w:left="-142" w:firstLine="568"/>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g)</w:t>
      </w:r>
      <w:r w:rsidRPr="000508B6">
        <w:rPr>
          <w:rFonts w:ascii="Times New Roman" w:hAnsi="Times New Roman" w:cs="Times New Roman"/>
          <w:lang w:val="ro-MD"/>
        </w:rPr>
        <w:t xml:space="preserve"> </w:t>
      </w:r>
      <w:r w:rsidRPr="000508B6">
        <w:rPr>
          <w:rFonts w:ascii="Times New Roman" w:eastAsia="Times New Roman" w:hAnsi="Times New Roman" w:cs="Times New Roman"/>
          <w:lang w:val="ro-MD"/>
        </w:rPr>
        <w:t xml:space="preserve">o societate pe care Banca Națională </w:t>
      </w:r>
      <w:r w:rsidR="004F481E">
        <w:rPr>
          <w:rFonts w:ascii="Times New Roman" w:eastAsia="Times New Roman" w:hAnsi="Times New Roman" w:cs="Times New Roman"/>
          <w:lang w:val="ro-MD"/>
        </w:rPr>
        <w:t xml:space="preserve">a Moldovei </w:t>
      </w:r>
      <w:r w:rsidRPr="000508B6">
        <w:rPr>
          <w:rFonts w:ascii="Times New Roman" w:eastAsia="Times New Roman" w:hAnsi="Times New Roman" w:cs="Times New Roman"/>
          <w:lang w:val="ro-MD"/>
        </w:rPr>
        <w:t>o consideră  societate-mamă în conformitate cu art.</w:t>
      </w:r>
      <w:r w:rsidR="0056472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116 alin. (4) lit. a) sau art.</w:t>
      </w:r>
      <w:r w:rsidR="0056472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116 alin. (21) sau (22)</w:t>
      </w:r>
      <w:r w:rsidR="002D49FB" w:rsidRPr="000508B6">
        <w:rPr>
          <w:rFonts w:ascii="Times New Roman" w:eastAsia="Times New Roman" w:hAnsi="Times New Roman" w:cs="Times New Roman"/>
          <w:lang w:val="ro-MD"/>
        </w:rPr>
        <w:t>;</w:t>
      </w:r>
    </w:p>
    <w:p w14:paraId="3B128582" w14:textId="4BFA6395" w:rsidR="00F95829" w:rsidRPr="000508B6" w:rsidRDefault="00F95829" w:rsidP="00CF5AFA">
      <w:pPr>
        <w:pStyle w:val="Listparagraf"/>
        <w:numPr>
          <w:ilvl w:val="0"/>
          <w:numId w:val="313"/>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societate participativă</w:t>
      </w:r>
      <w:r w:rsidRPr="000508B6">
        <w:rPr>
          <w:rFonts w:ascii="Times New Roman" w:eastAsia="Times New Roman" w:hAnsi="Times New Roman" w:cs="Times New Roman"/>
          <w:lang w:val="ro-MD"/>
        </w:rPr>
        <w:t xml:space="preserve"> - entitate care este </w:t>
      </w:r>
      <w:r w:rsidR="008B4513" w:rsidRPr="000508B6">
        <w:rPr>
          <w:rFonts w:ascii="Times New Roman" w:eastAsia="Times New Roman" w:hAnsi="Times New Roman" w:cs="Times New Roman"/>
          <w:lang w:val="ro-MD"/>
        </w:rPr>
        <w:t xml:space="preserve">fie o </w:t>
      </w:r>
      <w:r w:rsidRPr="000508B6">
        <w:rPr>
          <w:rFonts w:ascii="Times New Roman" w:eastAsia="Times New Roman" w:hAnsi="Times New Roman" w:cs="Times New Roman"/>
          <w:lang w:val="ro-MD"/>
        </w:rPr>
        <w:t xml:space="preserve">societate-mamă </w:t>
      </w:r>
      <w:r w:rsidR="008B4513" w:rsidRPr="000508B6">
        <w:rPr>
          <w:rFonts w:ascii="Times New Roman" w:eastAsia="Times New Roman" w:hAnsi="Times New Roman" w:cs="Times New Roman"/>
          <w:lang w:val="ro-MD"/>
        </w:rPr>
        <w:t xml:space="preserve">fie </w:t>
      </w:r>
      <w:r w:rsidR="00E16FC4" w:rsidRPr="000508B6">
        <w:rPr>
          <w:rFonts w:ascii="Times New Roman" w:eastAsia="Times New Roman" w:hAnsi="Times New Roman" w:cs="Times New Roman"/>
          <w:lang w:val="ro-MD"/>
        </w:rPr>
        <w:t>o</w:t>
      </w:r>
      <w:r w:rsidR="008B4513" w:rsidRPr="000508B6">
        <w:rPr>
          <w:rFonts w:ascii="Times New Roman" w:eastAsia="Times New Roman" w:hAnsi="Times New Roman" w:cs="Times New Roman"/>
          <w:lang w:val="ro-MD"/>
        </w:rPr>
        <w:t xml:space="preserve"> altă entitate </w:t>
      </w:r>
      <w:r w:rsidRPr="000508B6">
        <w:rPr>
          <w:rFonts w:ascii="Times New Roman" w:eastAsia="Times New Roman" w:hAnsi="Times New Roman" w:cs="Times New Roman"/>
          <w:lang w:val="ro-MD"/>
        </w:rPr>
        <w:t xml:space="preserve">care </w:t>
      </w:r>
      <w:proofErr w:type="spellStart"/>
      <w:r w:rsidRPr="000508B6">
        <w:rPr>
          <w:rFonts w:ascii="Times New Roman" w:eastAsia="Times New Roman" w:hAnsi="Times New Roman" w:cs="Times New Roman"/>
          <w:lang w:val="ro-MD"/>
        </w:rPr>
        <w:t>deţine</w:t>
      </w:r>
      <w:proofErr w:type="spellEnd"/>
      <w:r w:rsidRPr="000508B6">
        <w:rPr>
          <w:rFonts w:ascii="Times New Roman" w:eastAsia="Times New Roman" w:hAnsi="Times New Roman" w:cs="Times New Roman"/>
          <w:lang w:val="ro-MD"/>
        </w:rPr>
        <w:t xml:space="preserve"> </w:t>
      </w:r>
      <w:r w:rsidR="008B4513" w:rsidRPr="000508B6">
        <w:rPr>
          <w:rFonts w:ascii="Times New Roman" w:eastAsia="Times New Roman" w:hAnsi="Times New Roman" w:cs="Times New Roman"/>
          <w:lang w:val="ro-MD"/>
        </w:rPr>
        <w:t xml:space="preserve">o </w:t>
      </w:r>
      <w:proofErr w:type="spellStart"/>
      <w:r w:rsidRPr="000508B6">
        <w:rPr>
          <w:rFonts w:ascii="Times New Roman" w:eastAsia="Times New Roman" w:hAnsi="Times New Roman" w:cs="Times New Roman"/>
          <w:lang w:val="ro-MD"/>
        </w:rPr>
        <w:t>participaţi</w:t>
      </w:r>
      <w:r w:rsidR="008B4513" w:rsidRPr="000508B6">
        <w:rPr>
          <w:rFonts w:ascii="Times New Roman" w:eastAsia="Times New Roman" w:hAnsi="Times New Roman" w:cs="Times New Roman"/>
          <w:lang w:val="ro-MD"/>
        </w:rPr>
        <w:t>e</w:t>
      </w:r>
      <w:proofErr w:type="spellEnd"/>
      <w:r w:rsidRPr="000508B6">
        <w:rPr>
          <w:rFonts w:ascii="Times New Roman" w:eastAsia="Times New Roman" w:hAnsi="Times New Roman" w:cs="Times New Roman"/>
          <w:lang w:val="ro-MD"/>
        </w:rPr>
        <w:t xml:space="preserve"> sau </w:t>
      </w:r>
      <w:r w:rsidR="008B4513" w:rsidRPr="000508B6">
        <w:rPr>
          <w:rFonts w:ascii="Times New Roman" w:eastAsia="Times New Roman" w:hAnsi="Times New Roman" w:cs="Times New Roman"/>
          <w:lang w:val="ro-MD"/>
        </w:rPr>
        <w:t>o</w:t>
      </w:r>
      <w:r w:rsidRPr="000508B6">
        <w:rPr>
          <w:rFonts w:ascii="Times New Roman" w:eastAsia="Times New Roman" w:hAnsi="Times New Roman" w:cs="Times New Roman"/>
          <w:lang w:val="ro-MD"/>
        </w:rPr>
        <w:t xml:space="preserve"> altă entitate </w:t>
      </w:r>
      <w:r w:rsidR="00E16FC4" w:rsidRPr="000508B6">
        <w:rPr>
          <w:rFonts w:ascii="Times New Roman" w:eastAsia="Times New Roman" w:hAnsi="Times New Roman" w:cs="Times New Roman"/>
          <w:lang w:val="ro-MD"/>
        </w:rPr>
        <w:t>printr-o relație în sensul art. 3 din Legea nr. 287/2017</w:t>
      </w:r>
      <w:r w:rsidR="00EB3A93" w:rsidRPr="000508B6">
        <w:rPr>
          <w:rFonts w:ascii="Times New Roman" w:eastAsia="Times New Roman" w:hAnsi="Times New Roman" w:cs="Times New Roman"/>
          <w:lang w:val="ro-MD"/>
        </w:rPr>
        <w:t>;</w:t>
      </w:r>
    </w:p>
    <w:p w14:paraId="7E500121" w14:textId="34B51A42" w:rsidR="006E4079" w:rsidRPr="000508B6" w:rsidRDefault="006E4079" w:rsidP="00EA03CB">
      <w:pPr>
        <w:pStyle w:val="Listparagraf"/>
        <w:numPr>
          <w:ilvl w:val="0"/>
          <w:numId w:val="313"/>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societate din alt stat membru</w:t>
      </w:r>
      <w:r w:rsidRPr="000508B6">
        <w:rPr>
          <w:rFonts w:ascii="Times New Roman" w:eastAsia="Times New Roman" w:hAnsi="Times New Roman" w:cs="Times New Roman"/>
          <w:lang w:val="ro-MD"/>
        </w:rPr>
        <w:t xml:space="preserve"> - asigurător sau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cu sediul central în alt stat membru care deține o </w:t>
      </w:r>
      <w:r w:rsidR="006F30DF" w:rsidRPr="000508B6">
        <w:rPr>
          <w:rFonts w:ascii="Times New Roman" w:eastAsia="Times New Roman" w:hAnsi="Times New Roman" w:cs="Times New Roman"/>
          <w:lang w:val="ro-MD"/>
        </w:rPr>
        <w:t>licență</w:t>
      </w:r>
      <w:r w:rsidRPr="000508B6">
        <w:rPr>
          <w:rFonts w:ascii="Times New Roman" w:eastAsia="Times New Roman" w:hAnsi="Times New Roman" w:cs="Times New Roman"/>
          <w:lang w:val="ro-MD"/>
        </w:rPr>
        <w:t xml:space="preserve"> de la un supraveghetor în condiții identice celor prevăzute la </w:t>
      </w:r>
      <w:r w:rsidR="006F30DF" w:rsidRPr="000508B6">
        <w:rPr>
          <w:rFonts w:ascii="Times New Roman" w:eastAsia="Times New Roman" w:hAnsi="Times New Roman" w:cs="Times New Roman"/>
          <w:lang w:val="ro-MD"/>
        </w:rPr>
        <w:t>art. 4-10</w:t>
      </w:r>
      <w:r w:rsidR="00EB3A93" w:rsidRPr="000508B6">
        <w:rPr>
          <w:rFonts w:ascii="Times New Roman" w:eastAsia="Times New Roman" w:hAnsi="Times New Roman" w:cs="Times New Roman"/>
          <w:lang w:val="ro-MD"/>
        </w:rPr>
        <w:t>;</w:t>
      </w:r>
    </w:p>
    <w:p w14:paraId="3F002146" w14:textId="4828B324" w:rsidR="00F95829" w:rsidRPr="000508B6" w:rsidRDefault="00F95829" w:rsidP="00EA03CB">
      <w:pPr>
        <w:pStyle w:val="Listparagraf"/>
        <w:numPr>
          <w:ilvl w:val="0"/>
          <w:numId w:val="313"/>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stat membru</w:t>
      </w:r>
      <w:r w:rsidRPr="000508B6">
        <w:rPr>
          <w:rFonts w:ascii="Times New Roman" w:eastAsia="Times New Roman" w:hAnsi="Times New Roman" w:cs="Times New Roman"/>
          <w:lang w:val="ro-MD"/>
        </w:rPr>
        <w:t xml:space="preserve"> – stat </w:t>
      </w:r>
      <w:r w:rsidR="00041A32" w:rsidRPr="000508B6">
        <w:rPr>
          <w:rFonts w:ascii="Times New Roman" w:eastAsia="Times New Roman" w:hAnsi="Times New Roman" w:cs="Times New Roman"/>
          <w:lang w:val="ro-MD"/>
        </w:rPr>
        <w:t xml:space="preserve">membru </w:t>
      </w:r>
      <w:r w:rsidRPr="000508B6">
        <w:rPr>
          <w:rFonts w:ascii="Times New Roman" w:eastAsia="Times New Roman" w:hAnsi="Times New Roman" w:cs="Times New Roman"/>
          <w:lang w:val="ro-MD"/>
        </w:rPr>
        <w:t>al Uniunii Europene și stat aparținând Spațiului Economic European;</w:t>
      </w:r>
    </w:p>
    <w:p w14:paraId="5296C803" w14:textId="1E886C5E" w:rsidR="00ED0DD8" w:rsidRPr="000508B6" w:rsidRDefault="00AD3CCC" w:rsidP="00EA03CB">
      <w:pPr>
        <w:pStyle w:val="Listparagraf"/>
        <w:numPr>
          <w:ilvl w:val="0"/>
          <w:numId w:val="3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stat membru de origine</w:t>
      </w:r>
      <w:r w:rsidR="00F95829" w:rsidRPr="000508B6">
        <w:rPr>
          <w:rFonts w:ascii="Times New Roman" w:eastAsia="Times New Roman" w:hAnsi="Times New Roman" w:cs="Times New Roman"/>
          <w:lang w:val="ro-MD"/>
        </w:rPr>
        <w:t xml:space="preserve"> – </w:t>
      </w:r>
      <w:r w:rsidR="00636E82" w:rsidRPr="000508B6">
        <w:rPr>
          <w:rFonts w:ascii="Times New Roman" w:eastAsia="Times New Roman" w:hAnsi="Times New Roman" w:cs="Times New Roman"/>
          <w:lang w:val="ro-MD"/>
        </w:rPr>
        <w:t>Republica Moldova</w:t>
      </w:r>
      <w:r w:rsidR="008B0AAE" w:rsidRPr="000508B6">
        <w:rPr>
          <w:rFonts w:ascii="Times New Roman" w:eastAsia="Times New Roman" w:hAnsi="Times New Roman" w:cs="Times New Roman"/>
          <w:lang w:val="ro-MD"/>
        </w:rPr>
        <w:t xml:space="preserve"> sau</w:t>
      </w:r>
      <w:r w:rsidR="00F95829" w:rsidRPr="000508B6">
        <w:rPr>
          <w:rFonts w:ascii="Times New Roman" w:eastAsia="Times New Roman" w:hAnsi="Times New Roman" w:cs="Times New Roman"/>
          <w:lang w:val="ro-MD"/>
        </w:rPr>
        <w:t xml:space="preserve"> statul membru</w:t>
      </w:r>
      <w:r w:rsidR="00ED0DD8" w:rsidRPr="000508B6">
        <w:rPr>
          <w:rFonts w:ascii="Times New Roman" w:eastAsia="Times New Roman" w:hAnsi="Times New Roman" w:cs="Times New Roman"/>
          <w:lang w:val="ro-MD"/>
        </w:rPr>
        <w:t xml:space="preserve"> în care se află sediul central al:</w:t>
      </w:r>
    </w:p>
    <w:p w14:paraId="15914829" w14:textId="04715DAA" w:rsidR="00F95829" w:rsidRPr="000508B6" w:rsidRDefault="0056472A" w:rsidP="00EA03CB">
      <w:pPr>
        <w:pStyle w:val="Listparagraf"/>
        <w:numPr>
          <w:ilvl w:val="0"/>
          <w:numId w:val="31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asigurătorului </w:t>
      </w:r>
      <w:r w:rsidR="00F95829" w:rsidRPr="000508B6">
        <w:rPr>
          <w:rFonts w:ascii="Times New Roman" w:eastAsia="Times New Roman" w:hAnsi="Times New Roman" w:cs="Times New Roman"/>
          <w:lang w:val="ro-MD"/>
        </w:rPr>
        <w:t xml:space="preserve">care acoperă riscul în cazul </w:t>
      </w:r>
      <w:r w:rsidR="00A4279C" w:rsidRPr="000508B6">
        <w:rPr>
          <w:rFonts w:ascii="Times New Roman" w:eastAsia="Times New Roman" w:hAnsi="Times New Roman" w:cs="Times New Roman"/>
          <w:lang w:val="ro-MD"/>
        </w:rPr>
        <w:t>asigurării</w:t>
      </w:r>
      <w:r w:rsidR="00F95829" w:rsidRPr="000508B6">
        <w:rPr>
          <w:rFonts w:ascii="Times New Roman" w:eastAsia="Times New Roman" w:hAnsi="Times New Roman" w:cs="Times New Roman"/>
          <w:lang w:val="ro-MD"/>
        </w:rPr>
        <w:t xml:space="preserve"> generale,</w:t>
      </w:r>
    </w:p>
    <w:p w14:paraId="0189F73C" w14:textId="770113C8" w:rsidR="00F95829" w:rsidRPr="000508B6" w:rsidRDefault="0056472A" w:rsidP="00EA03CB">
      <w:pPr>
        <w:pStyle w:val="Listparagraf"/>
        <w:numPr>
          <w:ilvl w:val="0"/>
          <w:numId w:val="31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asigurătorului </w:t>
      </w:r>
      <w:r w:rsidR="00F95829" w:rsidRPr="000508B6">
        <w:rPr>
          <w:rFonts w:ascii="Times New Roman" w:eastAsia="Times New Roman" w:hAnsi="Times New Roman" w:cs="Times New Roman"/>
          <w:lang w:val="ro-MD"/>
        </w:rPr>
        <w:t xml:space="preserve">care </w:t>
      </w:r>
      <w:proofErr w:type="spellStart"/>
      <w:r w:rsidR="00F95829" w:rsidRPr="000508B6">
        <w:rPr>
          <w:rFonts w:ascii="Times New Roman" w:eastAsia="Times New Roman" w:hAnsi="Times New Roman" w:cs="Times New Roman"/>
          <w:lang w:val="ro-MD"/>
        </w:rPr>
        <w:t>îşi</w:t>
      </w:r>
      <w:proofErr w:type="spellEnd"/>
      <w:r w:rsidR="00F95829" w:rsidRPr="000508B6">
        <w:rPr>
          <w:rFonts w:ascii="Times New Roman" w:eastAsia="Times New Roman" w:hAnsi="Times New Roman" w:cs="Times New Roman"/>
          <w:lang w:val="ro-MD"/>
        </w:rPr>
        <w:t xml:space="preserve"> asumă angajamentul în cazul </w:t>
      </w:r>
      <w:r w:rsidR="00A4279C" w:rsidRPr="000508B6">
        <w:rPr>
          <w:rFonts w:ascii="Times New Roman" w:eastAsia="Times New Roman" w:hAnsi="Times New Roman" w:cs="Times New Roman"/>
          <w:lang w:val="ro-MD"/>
        </w:rPr>
        <w:t>asigurării</w:t>
      </w:r>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viaţă</w:t>
      </w:r>
      <w:proofErr w:type="spellEnd"/>
      <w:r w:rsidR="00F95829" w:rsidRPr="000508B6">
        <w:rPr>
          <w:rFonts w:ascii="Times New Roman" w:eastAsia="Times New Roman" w:hAnsi="Times New Roman" w:cs="Times New Roman"/>
          <w:lang w:val="ro-MD"/>
        </w:rPr>
        <w:t>;</w:t>
      </w:r>
    </w:p>
    <w:p w14:paraId="3FC8AA91" w14:textId="7F60C76E" w:rsidR="00ED0DD8" w:rsidRPr="000508B6" w:rsidRDefault="0056472A" w:rsidP="00EA03CB">
      <w:pPr>
        <w:pStyle w:val="Listparagraf"/>
        <w:numPr>
          <w:ilvl w:val="0"/>
          <w:numId w:val="315"/>
        </w:numPr>
        <w:tabs>
          <w:tab w:val="left" w:pos="709"/>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reasigurătorului</w:t>
      </w:r>
      <w:proofErr w:type="spellEnd"/>
      <w:r w:rsidR="00ED0DD8" w:rsidRPr="000508B6">
        <w:rPr>
          <w:rFonts w:ascii="Times New Roman" w:eastAsia="Times New Roman" w:hAnsi="Times New Roman" w:cs="Times New Roman"/>
          <w:lang w:val="ro-MD"/>
        </w:rPr>
        <w:t>;</w:t>
      </w:r>
    </w:p>
    <w:p w14:paraId="5017C678" w14:textId="7C1D1CF8" w:rsidR="00863CE8" w:rsidRPr="000508B6" w:rsidRDefault="00AC790D" w:rsidP="00EA03CB">
      <w:pPr>
        <w:pStyle w:val="Listparagraf"/>
        <w:numPr>
          <w:ilvl w:val="0"/>
          <w:numId w:val="3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stat membru gazdă</w:t>
      </w:r>
      <w:r w:rsidR="00F95829" w:rsidRPr="000508B6">
        <w:rPr>
          <w:rFonts w:ascii="Times New Roman" w:eastAsia="Times New Roman" w:hAnsi="Times New Roman" w:cs="Times New Roman"/>
          <w:lang w:val="ro-MD"/>
        </w:rPr>
        <w:t xml:space="preserve"> – </w:t>
      </w:r>
      <w:r w:rsidR="00207A82" w:rsidRPr="000508B6">
        <w:rPr>
          <w:rFonts w:ascii="Times New Roman" w:eastAsia="Times New Roman" w:hAnsi="Times New Roman" w:cs="Times New Roman"/>
          <w:lang w:val="ro-MD"/>
        </w:rPr>
        <w:t>Republica Moldova sau</w:t>
      </w:r>
      <w:r w:rsidR="00F95829" w:rsidRPr="000508B6">
        <w:rPr>
          <w:rFonts w:ascii="Times New Roman" w:eastAsia="Times New Roman" w:hAnsi="Times New Roman" w:cs="Times New Roman"/>
          <w:lang w:val="ro-MD"/>
        </w:rPr>
        <w:t xml:space="preserve"> statul membru, altul decât statul membru de origine, în care</w:t>
      </w:r>
      <w:r w:rsidR="00D6236B" w:rsidRPr="000508B6">
        <w:rPr>
          <w:rFonts w:ascii="Times New Roman" w:eastAsia="Times New Roman" w:hAnsi="Times New Roman" w:cs="Times New Roman"/>
          <w:lang w:val="ro-MD"/>
        </w:rPr>
        <w:t xml:space="preserve"> </w:t>
      </w:r>
      <w:r w:rsidR="00C5163B" w:rsidRPr="000508B6">
        <w:rPr>
          <w:rFonts w:ascii="Times New Roman" w:eastAsia="Times New Roman" w:hAnsi="Times New Roman" w:cs="Times New Roman"/>
          <w:lang w:val="ro-MD"/>
        </w:rPr>
        <w:t xml:space="preserve">un asigurător sau </w:t>
      </w:r>
      <w:proofErr w:type="spellStart"/>
      <w:r w:rsidR="00C5163B" w:rsidRPr="000508B6">
        <w:rPr>
          <w:rFonts w:ascii="Times New Roman" w:eastAsia="Times New Roman" w:hAnsi="Times New Roman" w:cs="Times New Roman"/>
          <w:lang w:val="ro-MD"/>
        </w:rPr>
        <w:t>reasigurător</w:t>
      </w:r>
      <w:proofErr w:type="spellEnd"/>
      <w:r w:rsidR="00F95829" w:rsidRPr="000508B6">
        <w:rPr>
          <w:rFonts w:ascii="Times New Roman" w:eastAsia="Times New Roman" w:hAnsi="Times New Roman" w:cs="Times New Roman"/>
          <w:lang w:val="ro-MD"/>
        </w:rPr>
        <w:t xml:space="preserve"> are o sucursală sau în care prestează servicii; </w:t>
      </w:r>
      <w:r w:rsidR="00863CE8" w:rsidRPr="000508B6">
        <w:rPr>
          <w:rFonts w:ascii="Times New Roman" w:eastAsia="Times New Roman" w:hAnsi="Times New Roman" w:cs="Times New Roman"/>
          <w:lang w:val="ro-MD"/>
        </w:rPr>
        <w:t xml:space="preserve">în cazul asigurării generale este statul membru în care este situat riscul, iar în cazul asigurării de </w:t>
      </w:r>
      <w:proofErr w:type="spellStart"/>
      <w:r w:rsidR="00863CE8" w:rsidRPr="000508B6">
        <w:rPr>
          <w:rFonts w:ascii="Times New Roman" w:eastAsia="Times New Roman" w:hAnsi="Times New Roman" w:cs="Times New Roman"/>
          <w:lang w:val="ro-MD"/>
        </w:rPr>
        <w:t>viaţă</w:t>
      </w:r>
      <w:proofErr w:type="spellEnd"/>
      <w:r w:rsidR="00863CE8" w:rsidRPr="000508B6">
        <w:rPr>
          <w:rFonts w:ascii="Times New Roman" w:eastAsia="Times New Roman" w:hAnsi="Times New Roman" w:cs="Times New Roman"/>
          <w:lang w:val="ro-MD"/>
        </w:rPr>
        <w:t xml:space="preserve"> este statul membru al angajamentului, dacă riscul </w:t>
      </w:r>
      <w:proofErr w:type="spellStart"/>
      <w:r w:rsidR="00863CE8" w:rsidRPr="000508B6">
        <w:rPr>
          <w:rFonts w:ascii="Times New Roman" w:eastAsia="Times New Roman" w:hAnsi="Times New Roman" w:cs="Times New Roman"/>
          <w:lang w:val="ro-MD"/>
        </w:rPr>
        <w:t>şi</w:t>
      </w:r>
      <w:proofErr w:type="spellEnd"/>
      <w:r w:rsidR="00863CE8" w:rsidRPr="000508B6">
        <w:rPr>
          <w:rFonts w:ascii="Times New Roman" w:eastAsia="Times New Roman" w:hAnsi="Times New Roman" w:cs="Times New Roman"/>
          <w:lang w:val="ro-MD"/>
        </w:rPr>
        <w:t xml:space="preserve"> angajamentul sunt acoperite de </w:t>
      </w:r>
      <w:r w:rsidR="00C5163B" w:rsidRPr="000508B6">
        <w:rPr>
          <w:rFonts w:ascii="Times New Roman" w:eastAsia="Times New Roman" w:hAnsi="Times New Roman" w:cs="Times New Roman"/>
          <w:lang w:val="ro-MD"/>
        </w:rPr>
        <w:t xml:space="preserve">un asigurător </w:t>
      </w:r>
      <w:r w:rsidR="00863CE8" w:rsidRPr="000508B6">
        <w:rPr>
          <w:rFonts w:ascii="Times New Roman" w:eastAsia="Times New Roman" w:hAnsi="Times New Roman" w:cs="Times New Roman"/>
          <w:lang w:val="ro-MD"/>
        </w:rPr>
        <w:t>sau de o sucursală aflată în alt stat membru;</w:t>
      </w:r>
    </w:p>
    <w:p w14:paraId="591B9CA3" w14:textId="59FA41FA" w:rsidR="00F95829" w:rsidRPr="000508B6" w:rsidRDefault="00F95829" w:rsidP="00EA03CB">
      <w:pPr>
        <w:pStyle w:val="Listparagraf"/>
        <w:numPr>
          <w:ilvl w:val="0"/>
          <w:numId w:val="3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stat membru în care este situat riscul</w:t>
      </w:r>
      <w:r w:rsidRPr="000508B6">
        <w:rPr>
          <w:rFonts w:ascii="Times New Roman" w:eastAsia="Times New Roman" w:hAnsi="Times New Roman" w:cs="Times New Roman"/>
          <w:lang w:val="ro-MD"/>
        </w:rPr>
        <w:t xml:space="preserve"> </w:t>
      </w:r>
      <w:r w:rsidR="00B00769"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B00769" w:rsidRPr="000508B6">
        <w:rPr>
          <w:rFonts w:ascii="Times New Roman" w:eastAsia="Times New Roman" w:hAnsi="Times New Roman" w:cs="Times New Roman"/>
          <w:lang w:val="ro-MD"/>
        </w:rPr>
        <w:t>Republica Moldova sau</w:t>
      </w:r>
      <w:r w:rsidRPr="000508B6">
        <w:rPr>
          <w:rFonts w:ascii="Times New Roman" w:eastAsia="Times New Roman" w:hAnsi="Times New Roman" w:cs="Times New Roman"/>
          <w:lang w:val="ro-MD"/>
        </w:rPr>
        <w:t xml:space="preserve"> statul membru în care</w:t>
      </w:r>
      <w:r w:rsidR="00D85C2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1354F2DF" w14:textId="47A9536D" w:rsidR="00F95829" w:rsidRPr="000508B6" w:rsidRDefault="008B23E6" w:rsidP="00EA5957">
      <w:pPr>
        <w:pStyle w:val="Listparagraf"/>
        <w:numPr>
          <w:ilvl w:val="1"/>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se găsesc bunurile, în cazul în care asigurarea se referă fie la clădiri, fie la clădiri și conținutul lor, în măsura în care acestea se află sub incidența aceleiași polițe de asigurare;</w:t>
      </w:r>
    </w:p>
    <w:p w14:paraId="3CF6021E" w14:textId="77777777" w:rsidR="00F95829" w:rsidRPr="000508B6" w:rsidRDefault="00F95829" w:rsidP="00D6236B">
      <w:pPr>
        <w:pStyle w:val="Listparagraf"/>
        <w:numPr>
          <w:ilvl w:val="1"/>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 fost efectuată înregistrarea sau înmatricularea, în cazul asigurării vehiculelor de toate tipurile;</w:t>
      </w:r>
    </w:p>
    <w:p w14:paraId="44BC2013" w14:textId="77777777" w:rsidR="00F95829" w:rsidRPr="000508B6" w:rsidRDefault="00F95829" w:rsidP="00D6236B">
      <w:pPr>
        <w:pStyle w:val="Listparagraf"/>
        <w:numPr>
          <w:ilvl w:val="1"/>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contractul de asigurare este încheiat pentru o perioadă de maximum 4 luni pentru riscuri legate de călătorii sau </w:t>
      </w:r>
      <w:proofErr w:type="spellStart"/>
      <w:r w:rsidRPr="000508B6">
        <w:rPr>
          <w:rFonts w:ascii="Times New Roman" w:eastAsia="Times New Roman" w:hAnsi="Times New Roman" w:cs="Times New Roman"/>
          <w:lang w:val="ro-MD"/>
        </w:rPr>
        <w:t>vacanţe</w:t>
      </w:r>
      <w:proofErr w:type="spellEnd"/>
      <w:r w:rsidRPr="000508B6">
        <w:rPr>
          <w:rFonts w:ascii="Times New Roman" w:eastAsia="Times New Roman" w:hAnsi="Times New Roman" w:cs="Times New Roman"/>
          <w:lang w:val="ro-MD"/>
        </w:rPr>
        <w:t>, indiferent de clasa de asigurare;</w:t>
      </w:r>
    </w:p>
    <w:p w14:paraId="00275751" w14:textId="307C1225" w:rsidR="00F95829" w:rsidRPr="000508B6" w:rsidRDefault="00F95829" w:rsidP="00CF5AFA">
      <w:pPr>
        <w:pStyle w:val="Listparagraf"/>
        <w:numPr>
          <w:ilvl w:val="1"/>
          <w:numId w:val="31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se află </w:t>
      </w:r>
      <w:proofErr w:type="spellStart"/>
      <w:r w:rsidRPr="000508B6">
        <w:rPr>
          <w:rFonts w:ascii="Times New Roman" w:eastAsia="Times New Roman" w:hAnsi="Times New Roman" w:cs="Times New Roman"/>
          <w:lang w:val="ro-MD"/>
        </w:rPr>
        <w:t>reşedinţa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obişnuită</w:t>
      </w:r>
      <w:proofErr w:type="spellEnd"/>
      <w:r w:rsidRPr="000508B6">
        <w:rPr>
          <w:rFonts w:ascii="Times New Roman" w:eastAsia="Times New Roman" w:hAnsi="Times New Roman" w:cs="Times New Roman"/>
          <w:lang w:val="ro-MD"/>
        </w:rPr>
        <w:t xml:space="preserve"> a </w:t>
      </w:r>
      <w:r w:rsidR="00FD559A" w:rsidRPr="000508B6">
        <w:rPr>
          <w:rFonts w:ascii="Times New Roman" w:eastAsia="Times New Roman" w:hAnsi="Times New Roman" w:cs="Times New Roman"/>
          <w:lang w:val="ro-MD"/>
        </w:rPr>
        <w:t xml:space="preserve">asiguratului </w:t>
      </w:r>
      <w:r w:rsidRPr="000508B6">
        <w:rPr>
          <w:rFonts w:ascii="Times New Roman" w:eastAsia="Times New Roman" w:hAnsi="Times New Roman" w:cs="Times New Roman"/>
          <w:lang w:val="ro-MD"/>
        </w:rPr>
        <w:t xml:space="preserve">persoană fizică sau </w:t>
      </w:r>
      <w:r w:rsidR="00D85C2A" w:rsidRPr="000508B6">
        <w:rPr>
          <w:rFonts w:ascii="Times New Roman" w:eastAsia="Times New Roman" w:hAnsi="Times New Roman" w:cs="Times New Roman"/>
          <w:lang w:val="ro-MD"/>
        </w:rPr>
        <w:t>subdiviziunea</w:t>
      </w:r>
      <w:r w:rsidRPr="000508B6">
        <w:rPr>
          <w:rFonts w:ascii="Times New Roman" w:eastAsia="Times New Roman" w:hAnsi="Times New Roman" w:cs="Times New Roman"/>
          <w:lang w:val="ro-MD"/>
        </w:rPr>
        <w:t xml:space="preserve"> </w:t>
      </w:r>
      <w:r w:rsidR="00FD559A" w:rsidRPr="000508B6">
        <w:rPr>
          <w:rFonts w:ascii="Times New Roman" w:eastAsia="Times New Roman" w:hAnsi="Times New Roman" w:cs="Times New Roman"/>
          <w:lang w:val="ro-MD"/>
        </w:rPr>
        <w:t xml:space="preserve">asiguratului </w:t>
      </w:r>
      <w:r w:rsidRPr="000508B6">
        <w:rPr>
          <w:rFonts w:ascii="Times New Roman" w:eastAsia="Times New Roman" w:hAnsi="Times New Roman" w:cs="Times New Roman"/>
          <w:lang w:val="ro-MD"/>
        </w:rPr>
        <w:t xml:space="preserve">persoană juridică, în alte </w:t>
      </w:r>
      <w:proofErr w:type="spellStart"/>
      <w:r w:rsidRPr="000508B6">
        <w:rPr>
          <w:rFonts w:ascii="Times New Roman" w:eastAsia="Times New Roman" w:hAnsi="Times New Roman" w:cs="Times New Roman"/>
          <w:lang w:val="ro-MD"/>
        </w:rPr>
        <w:t>situaţii</w:t>
      </w:r>
      <w:proofErr w:type="spellEnd"/>
      <w:r w:rsidRPr="000508B6">
        <w:rPr>
          <w:rFonts w:ascii="Times New Roman" w:eastAsia="Times New Roman" w:hAnsi="Times New Roman" w:cs="Times New Roman"/>
          <w:lang w:val="ro-MD"/>
        </w:rPr>
        <w:t xml:space="preserve"> decât cele descrise la lit. a)-c);</w:t>
      </w:r>
    </w:p>
    <w:p w14:paraId="5BAFACE5" w14:textId="3ECFB6D4" w:rsidR="008F0F50" w:rsidRPr="000508B6" w:rsidRDefault="00F95829" w:rsidP="00EA03CB">
      <w:pPr>
        <w:pStyle w:val="Listparagraf"/>
        <w:numPr>
          <w:ilvl w:val="0"/>
          <w:numId w:val="313"/>
        </w:numPr>
        <w:tabs>
          <w:tab w:val="left" w:pos="567"/>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stat membru al angajamentului – </w:t>
      </w:r>
      <w:r w:rsidR="008F0F50" w:rsidRPr="000508B6">
        <w:rPr>
          <w:rFonts w:ascii="Times New Roman" w:eastAsia="Times New Roman" w:hAnsi="Times New Roman" w:cs="Times New Roman"/>
          <w:lang w:val="ro-MD"/>
        </w:rPr>
        <w:t>statul membru în care se află oricare dintre următoarele elemente:</w:t>
      </w:r>
    </w:p>
    <w:p w14:paraId="7D88C752" w14:textId="29A63019" w:rsidR="008F0F50" w:rsidRPr="000508B6" w:rsidRDefault="008F0F50" w:rsidP="00AC790D">
      <w:pPr>
        <w:pStyle w:val="Listparagraf"/>
        <w:numPr>
          <w:ilvl w:val="2"/>
          <w:numId w:val="313"/>
        </w:numPr>
        <w:tabs>
          <w:tab w:val="left" w:pos="709"/>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reședința </w:t>
      </w:r>
      <w:r w:rsidR="00E325BC" w:rsidRPr="000508B6">
        <w:rPr>
          <w:rFonts w:ascii="Times New Roman" w:eastAsia="Times New Roman" w:hAnsi="Times New Roman" w:cs="Times New Roman"/>
          <w:lang w:val="ro-MD"/>
        </w:rPr>
        <w:t>asiguratului</w:t>
      </w:r>
      <w:r w:rsidRPr="000508B6">
        <w:rPr>
          <w:rFonts w:ascii="Times New Roman" w:eastAsia="Times New Roman" w:hAnsi="Times New Roman" w:cs="Times New Roman"/>
          <w:lang w:val="ro-MD"/>
        </w:rPr>
        <w:t>;</w:t>
      </w:r>
    </w:p>
    <w:p w14:paraId="3258D174" w14:textId="1788A764" w:rsidR="00F16AD3" w:rsidRPr="000508B6" w:rsidRDefault="008F0F50" w:rsidP="00EA03CB">
      <w:pPr>
        <w:pStyle w:val="Listparagraf"/>
        <w:numPr>
          <w:ilvl w:val="2"/>
          <w:numId w:val="313"/>
        </w:numPr>
        <w:tabs>
          <w:tab w:val="left" w:pos="709"/>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E325BC" w:rsidRPr="000508B6">
        <w:rPr>
          <w:rFonts w:ascii="Times New Roman" w:eastAsia="Times New Roman" w:hAnsi="Times New Roman" w:cs="Times New Roman"/>
          <w:lang w:val="ro-MD"/>
        </w:rPr>
        <w:t>asiguratul</w:t>
      </w:r>
      <w:r w:rsidRPr="000508B6">
        <w:rPr>
          <w:rFonts w:ascii="Times New Roman" w:eastAsia="Times New Roman" w:hAnsi="Times New Roman" w:cs="Times New Roman"/>
          <w:lang w:val="ro-MD"/>
        </w:rPr>
        <w:t xml:space="preserve"> este o persoană juridică, unitatea </w:t>
      </w:r>
      <w:r w:rsidR="00E325BC" w:rsidRPr="000508B6">
        <w:rPr>
          <w:rFonts w:ascii="Times New Roman" w:eastAsia="Times New Roman" w:hAnsi="Times New Roman" w:cs="Times New Roman"/>
          <w:lang w:val="ro-MD"/>
        </w:rPr>
        <w:t>asiguratului</w:t>
      </w:r>
      <w:r w:rsidRPr="000508B6">
        <w:rPr>
          <w:rFonts w:ascii="Times New Roman" w:eastAsia="Times New Roman" w:hAnsi="Times New Roman" w:cs="Times New Roman"/>
          <w:lang w:val="ro-MD"/>
        </w:rPr>
        <w:t xml:space="preserve"> la care se referă contractul;</w:t>
      </w:r>
    </w:p>
    <w:p w14:paraId="2FF40DBF" w14:textId="52F25047" w:rsidR="00F95829" w:rsidRPr="000508B6" w:rsidRDefault="00AE7CD1"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F95829" w:rsidRPr="000508B6">
        <w:rPr>
          <w:rFonts w:ascii="Times New Roman" w:eastAsia="Times New Roman" w:hAnsi="Times New Roman" w:cs="Times New Roman"/>
          <w:i/>
          <w:lang w:val="ro-MD"/>
        </w:rPr>
        <w:t>sucursală –</w:t>
      </w:r>
      <w:r w:rsidR="00797725" w:rsidRPr="000508B6">
        <w:rPr>
          <w:rFonts w:ascii="Times New Roman" w:eastAsia="Times New Roman" w:hAnsi="Times New Roman" w:cs="Times New Roman"/>
          <w:lang w:val="ro-MD"/>
        </w:rPr>
        <w:t>prezență permanentă</w:t>
      </w:r>
      <w:r w:rsidR="00A55FAA"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a </w:t>
      </w:r>
      <w:r w:rsidR="00180BE3" w:rsidRPr="000508B6">
        <w:rPr>
          <w:rFonts w:ascii="Times New Roman" w:eastAsia="Times New Roman" w:hAnsi="Times New Roman" w:cs="Times New Roman"/>
          <w:lang w:val="ro-MD"/>
        </w:rPr>
        <w:t>unui</w:t>
      </w:r>
      <w:r w:rsidR="00F95829" w:rsidRPr="000508B6" w:rsidDel="00180BE3">
        <w:rPr>
          <w:rFonts w:ascii="Times New Roman" w:eastAsia="Times New Roman" w:hAnsi="Times New Roman" w:cs="Times New Roman"/>
          <w:lang w:val="ro-MD"/>
        </w:rPr>
        <w:t xml:space="preserve"> </w:t>
      </w:r>
      <w:r w:rsidR="00434085" w:rsidRPr="000508B6">
        <w:rPr>
          <w:rFonts w:ascii="Times New Roman" w:eastAsia="Times New Roman" w:hAnsi="Times New Roman" w:cs="Times New Roman"/>
          <w:lang w:val="ro-MD"/>
        </w:rPr>
        <w:t xml:space="preserve">asigurător </w:t>
      </w:r>
      <w:r w:rsidR="00180BE3" w:rsidRPr="000508B6">
        <w:rPr>
          <w:rFonts w:ascii="Times New Roman" w:eastAsia="Times New Roman" w:hAnsi="Times New Roman" w:cs="Times New Roman"/>
          <w:lang w:val="ro-MD"/>
        </w:rPr>
        <w:t>sau</w:t>
      </w:r>
      <w:r w:rsidR="00F95829" w:rsidRPr="000508B6">
        <w:rPr>
          <w:rFonts w:ascii="Times New Roman" w:eastAsia="Times New Roman" w:hAnsi="Times New Roman" w:cs="Times New Roman"/>
          <w:lang w:val="ro-MD"/>
        </w:rPr>
        <w:t xml:space="preserve"> </w:t>
      </w:r>
      <w:proofErr w:type="spellStart"/>
      <w:r w:rsidR="00434085" w:rsidRPr="000508B6">
        <w:rPr>
          <w:rFonts w:ascii="Times New Roman" w:eastAsia="Times New Roman" w:hAnsi="Times New Roman" w:cs="Times New Roman"/>
          <w:lang w:val="ro-MD"/>
        </w:rPr>
        <w:t>reasigurător</w:t>
      </w:r>
      <w:proofErr w:type="spellEnd"/>
      <w:r w:rsidR="00434085"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care se află pe teritoriul unui stat membru</w:t>
      </w:r>
      <w:r w:rsidR="002B12E8"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C942AA" w:rsidRPr="000508B6">
        <w:rPr>
          <w:rFonts w:ascii="Times New Roman" w:eastAsia="Times New Roman" w:hAnsi="Times New Roman" w:cs="Times New Roman"/>
          <w:lang w:val="ro-MD"/>
        </w:rPr>
        <w:t xml:space="preserve">altul </w:t>
      </w:r>
      <w:r w:rsidR="00F95829" w:rsidRPr="000508B6">
        <w:rPr>
          <w:rFonts w:ascii="Times New Roman" w:eastAsia="Times New Roman" w:hAnsi="Times New Roman" w:cs="Times New Roman"/>
          <w:lang w:val="ro-MD"/>
        </w:rPr>
        <w:t>decât statul membru de origine;</w:t>
      </w:r>
    </w:p>
    <w:p w14:paraId="25672778" w14:textId="3116373B" w:rsidR="002C43B6" w:rsidRPr="000508B6" w:rsidRDefault="002C43B6"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i/>
          <w:lang w:val="ro-MD"/>
        </w:rPr>
        <w:t>supraveghetor -</w:t>
      </w:r>
      <w:r w:rsidRPr="000508B6" w:rsidDel="00177DC5">
        <w:rPr>
          <w:rFonts w:ascii="Times New Roman" w:eastAsia="Times New Roman" w:hAnsi="Times New Roman" w:cs="Times New Roman"/>
          <w:i/>
          <w:lang w:val="ro-MD"/>
        </w:rPr>
        <w:t xml:space="preserve"> </w:t>
      </w:r>
      <w:r w:rsidR="00177DC5" w:rsidRPr="000508B6">
        <w:rPr>
          <w:rFonts w:ascii="Times New Roman" w:eastAsia="Times New Roman" w:hAnsi="Times New Roman" w:cs="Times New Roman"/>
          <w:lang w:val="ro-MD"/>
        </w:rPr>
        <w:t xml:space="preserve">autoritate </w:t>
      </w:r>
      <w:r w:rsidRPr="000508B6">
        <w:rPr>
          <w:rFonts w:ascii="Times New Roman" w:eastAsia="Times New Roman" w:hAnsi="Times New Roman" w:cs="Times New Roman"/>
          <w:lang w:val="ro-MD"/>
        </w:rPr>
        <w:t>din</w:t>
      </w:r>
      <w:r w:rsidR="001B210C" w:rsidRPr="000508B6">
        <w:rPr>
          <w:rFonts w:ascii="Times New Roman" w:eastAsia="Times New Roman" w:hAnsi="Times New Roman" w:cs="Times New Roman"/>
          <w:lang w:val="ro-MD"/>
        </w:rPr>
        <w:t>tr-un</w:t>
      </w:r>
      <w:r w:rsidRPr="000508B6">
        <w:rPr>
          <w:rFonts w:ascii="Times New Roman" w:eastAsia="Times New Roman" w:hAnsi="Times New Roman" w:cs="Times New Roman"/>
          <w:lang w:val="ro-MD"/>
        </w:rPr>
        <w:t xml:space="preserve"> stat</w:t>
      </w:r>
      <w:r w:rsidRPr="000508B6" w:rsidDel="00177DC5">
        <w:rPr>
          <w:rFonts w:ascii="Times New Roman" w:eastAsia="Times New Roman" w:hAnsi="Times New Roman" w:cs="Times New Roman"/>
          <w:lang w:val="ro-MD"/>
        </w:rPr>
        <w:t xml:space="preserve"> </w:t>
      </w:r>
      <w:r w:rsidR="00177DC5" w:rsidRPr="000508B6">
        <w:rPr>
          <w:rFonts w:ascii="Times New Roman" w:eastAsia="Times New Roman" w:hAnsi="Times New Roman" w:cs="Times New Roman"/>
          <w:lang w:val="ro-MD"/>
        </w:rPr>
        <w:t xml:space="preserve">membru abilitată </w:t>
      </w:r>
      <w:r w:rsidRPr="000508B6">
        <w:rPr>
          <w:rFonts w:ascii="Times New Roman" w:eastAsia="Times New Roman" w:hAnsi="Times New Roman" w:cs="Times New Roman"/>
          <w:lang w:val="ro-MD"/>
        </w:rPr>
        <w:t xml:space="preserve">prin act cu putere de lege sau norme administrative să supravegheze </w:t>
      </w:r>
      <w:r w:rsidR="00D421AE" w:rsidRPr="000508B6">
        <w:rPr>
          <w:rFonts w:ascii="Times New Roman" w:eastAsia="Times New Roman" w:hAnsi="Times New Roman" w:cs="Times New Roman"/>
          <w:lang w:val="ro-MD"/>
        </w:rPr>
        <w:t xml:space="preserve">asigurătorii și </w:t>
      </w:r>
      <w:proofErr w:type="spellStart"/>
      <w:r w:rsidR="00D421AE" w:rsidRPr="000508B6">
        <w:rPr>
          <w:rFonts w:ascii="Times New Roman" w:eastAsia="Times New Roman" w:hAnsi="Times New Roman" w:cs="Times New Roman"/>
          <w:lang w:val="ro-MD"/>
        </w:rPr>
        <w:t>reasigurătorii</w:t>
      </w:r>
      <w:proofErr w:type="spellEnd"/>
      <w:r w:rsidR="00D421AE"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w:t>
      </w:r>
      <w:r w:rsidR="00177DC5" w:rsidRPr="000508B6">
        <w:rPr>
          <w:rFonts w:ascii="Times New Roman" w:eastAsia="Times New Roman" w:hAnsi="Times New Roman" w:cs="Times New Roman"/>
          <w:lang w:val="ro-MD"/>
        </w:rPr>
        <w:t>statul</w:t>
      </w:r>
      <w:r w:rsidR="003325CD" w:rsidRPr="000508B6">
        <w:rPr>
          <w:rFonts w:ascii="Times New Roman" w:eastAsia="Times New Roman" w:hAnsi="Times New Roman" w:cs="Times New Roman"/>
          <w:lang w:val="ro-MD"/>
        </w:rPr>
        <w:t xml:space="preserve"> membru</w:t>
      </w:r>
      <w:r w:rsidR="00177DC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respectiv</w:t>
      </w:r>
      <w:r w:rsidRPr="000508B6">
        <w:rPr>
          <w:rFonts w:ascii="Times New Roman" w:eastAsia="Times New Roman" w:hAnsi="Times New Roman" w:cs="Times New Roman"/>
          <w:i/>
          <w:lang w:val="ro-MD"/>
        </w:rPr>
        <w:t>;</w:t>
      </w:r>
    </w:p>
    <w:p w14:paraId="4A97143A" w14:textId="6936AF82" w:rsidR="00F95829" w:rsidRPr="000508B6" w:rsidRDefault="00AE7CD1"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 </w:t>
      </w:r>
      <w:r w:rsidR="00830321" w:rsidRPr="000508B6">
        <w:rPr>
          <w:rFonts w:ascii="Times New Roman" w:eastAsia="Times New Roman" w:hAnsi="Times New Roman" w:cs="Times New Roman"/>
          <w:i/>
          <w:lang w:val="ro-MD"/>
        </w:rPr>
        <w:t xml:space="preserve">supraveghetor coordonator </w:t>
      </w:r>
      <w:r w:rsidR="00830321" w:rsidRPr="000508B6">
        <w:rPr>
          <w:rFonts w:ascii="Times New Roman" w:eastAsia="Times New Roman" w:hAnsi="Times New Roman" w:cs="Times New Roman"/>
          <w:lang w:val="ro-MD"/>
        </w:rPr>
        <w:t xml:space="preserve">- autoritatea de supraveghere responsabilă de supravegherea grupului, desemnată în </w:t>
      </w:r>
      <w:proofErr w:type="spellStart"/>
      <w:r w:rsidR="00830321" w:rsidRPr="000508B6">
        <w:rPr>
          <w:rFonts w:ascii="Times New Roman" w:eastAsia="Times New Roman" w:hAnsi="Times New Roman" w:cs="Times New Roman"/>
          <w:lang w:val="ro-MD"/>
        </w:rPr>
        <w:t>condiţiile</w:t>
      </w:r>
      <w:proofErr w:type="spellEnd"/>
      <w:r w:rsidR="00830321" w:rsidRPr="000508B6">
        <w:rPr>
          <w:rFonts w:ascii="Times New Roman" w:eastAsia="Times New Roman" w:hAnsi="Times New Roman" w:cs="Times New Roman"/>
          <w:lang w:val="ro-MD"/>
        </w:rPr>
        <w:t xml:space="preserve"> </w:t>
      </w:r>
      <w:proofErr w:type="spellStart"/>
      <w:r w:rsidR="00830321" w:rsidRPr="000508B6">
        <w:rPr>
          <w:rFonts w:ascii="Times New Roman" w:eastAsia="Times New Roman" w:hAnsi="Times New Roman" w:cs="Times New Roman"/>
          <w:lang w:val="ro-MD"/>
        </w:rPr>
        <w:t>menţionate</w:t>
      </w:r>
      <w:proofErr w:type="spellEnd"/>
      <w:r w:rsidR="00830321" w:rsidRPr="000508B6">
        <w:rPr>
          <w:rFonts w:ascii="Times New Roman" w:eastAsia="Times New Roman" w:hAnsi="Times New Roman" w:cs="Times New Roman"/>
          <w:lang w:val="ro-MD"/>
        </w:rPr>
        <w:t xml:space="preserve"> la art.</w:t>
      </w:r>
      <w:r w:rsidR="0056472A" w:rsidRPr="000508B6">
        <w:rPr>
          <w:rFonts w:ascii="Times New Roman" w:eastAsia="Times New Roman" w:hAnsi="Times New Roman" w:cs="Times New Roman"/>
          <w:lang w:val="ro-MD"/>
        </w:rPr>
        <w:t xml:space="preserve"> </w:t>
      </w:r>
      <w:r w:rsidR="006A6516" w:rsidRPr="000508B6">
        <w:rPr>
          <w:rFonts w:ascii="Times New Roman" w:eastAsia="Times New Roman" w:hAnsi="Times New Roman" w:cs="Times New Roman"/>
          <w:lang w:val="ro-MD"/>
        </w:rPr>
        <w:t>193</w:t>
      </w:r>
      <w:r w:rsidR="00F95829" w:rsidRPr="000508B6">
        <w:rPr>
          <w:rFonts w:ascii="Times New Roman" w:eastAsia="Times New Roman" w:hAnsi="Times New Roman" w:cs="Times New Roman"/>
          <w:lang w:val="ro-MD"/>
        </w:rPr>
        <w:t>;</w:t>
      </w:r>
    </w:p>
    <w:p w14:paraId="7E124D85" w14:textId="156BDDF7" w:rsidR="00177DC5" w:rsidRPr="000508B6" w:rsidRDefault="00177DC5"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supraveghetor din stat terț </w:t>
      </w:r>
      <w:r w:rsidR="003325C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3325CD" w:rsidRPr="000508B6">
        <w:rPr>
          <w:rFonts w:ascii="Times New Roman" w:eastAsia="Times New Roman" w:hAnsi="Times New Roman" w:cs="Times New Roman"/>
          <w:lang w:val="ro-MD"/>
        </w:rPr>
        <w:t>autoritate din stat</w:t>
      </w:r>
      <w:r w:rsidR="001B210C" w:rsidRPr="000508B6">
        <w:rPr>
          <w:rFonts w:ascii="Times New Roman" w:eastAsia="Times New Roman" w:hAnsi="Times New Roman" w:cs="Times New Roman"/>
          <w:lang w:val="ro-MD"/>
        </w:rPr>
        <w:t>ul</w:t>
      </w:r>
      <w:r w:rsidR="003325CD" w:rsidRPr="000508B6">
        <w:rPr>
          <w:rFonts w:ascii="Times New Roman" w:eastAsia="Times New Roman" w:hAnsi="Times New Roman" w:cs="Times New Roman"/>
          <w:lang w:val="ro-MD"/>
        </w:rPr>
        <w:t xml:space="preserve"> terț abilitată prin acte cu putere de lege sau norme administrative să supravegheze asigurătorii din statul terț respectiv;</w:t>
      </w:r>
    </w:p>
    <w:p w14:paraId="2A43796E" w14:textId="5FE63AC8" w:rsidR="00F95829" w:rsidRPr="000508B6" w:rsidRDefault="00F95829"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tehnici de </w:t>
      </w:r>
      <w:r w:rsidR="004456FB" w:rsidRPr="000508B6">
        <w:rPr>
          <w:rFonts w:ascii="Times New Roman" w:eastAsia="Times New Roman" w:hAnsi="Times New Roman" w:cs="Times New Roman"/>
          <w:i/>
          <w:lang w:val="ro-MD"/>
        </w:rPr>
        <w:t xml:space="preserve">minimizare </w:t>
      </w:r>
      <w:r w:rsidRPr="000508B6">
        <w:rPr>
          <w:rFonts w:ascii="Times New Roman" w:eastAsia="Times New Roman" w:hAnsi="Times New Roman" w:cs="Times New Roman"/>
          <w:i/>
          <w:lang w:val="ro-MD"/>
        </w:rPr>
        <w:t>a riscurilor</w:t>
      </w:r>
      <w:r w:rsidRPr="000508B6">
        <w:rPr>
          <w:rFonts w:ascii="Times New Roman" w:eastAsia="Times New Roman" w:hAnsi="Times New Roman" w:cs="Times New Roman"/>
          <w:lang w:val="ro-MD"/>
        </w:rPr>
        <w:t xml:space="preserve"> – tehnici care permit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8D720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să-</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transfere integral sau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riscurile către o </w:t>
      </w:r>
      <w:proofErr w:type="spellStart"/>
      <w:r w:rsidRPr="000508B6">
        <w:rPr>
          <w:rFonts w:ascii="Times New Roman" w:eastAsia="Times New Roman" w:hAnsi="Times New Roman" w:cs="Times New Roman"/>
          <w:lang w:val="ro-MD"/>
        </w:rPr>
        <w:t>terţă</w:t>
      </w:r>
      <w:proofErr w:type="spellEnd"/>
      <w:r w:rsidRPr="000508B6">
        <w:rPr>
          <w:rFonts w:ascii="Times New Roman" w:eastAsia="Times New Roman" w:hAnsi="Times New Roman" w:cs="Times New Roman"/>
          <w:lang w:val="ro-MD"/>
        </w:rPr>
        <w:t xml:space="preserve"> parte;</w:t>
      </w:r>
    </w:p>
    <w:p w14:paraId="1CF7ECD8" w14:textId="45F099BA" w:rsidR="00F95829" w:rsidRPr="000508B6" w:rsidRDefault="00F95829"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tranzacţie</w:t>
      </w:r>
      <w:proofErr w:type="spellEnd"/>
      <w:r w:rsidRPr="000508B6">
        <w:rPr>
          <w:rFonts w:ascii="Times New Roman" w:eastAsia="Times New Roman" w:hAnsi="Times New Roman" w:cs="Times New Roman"/>
          <w:i/>
          <w:lang w:val="ro-MD"/>
        </w:rPr>
        <w:t xml:space="preserve"> </w:t>
      </w:r>
      <w:proofErr w:type="spellStart"/>
      <w:r w:rsidRPr="000508B6">
        <w:rPr>
          <w:rFonts w:ascii="Times New Roman" w:eastAsia="Times New Roman" w:hAnsi="Times New Roman" w:cs="Times New Roman"/>
          <w:i/>
          <w:lang w:val="ro-MD"/>
        </w:rPr>
        <w:t>intragrup</w:t>
      </w:r>
      <w:proofErr w:type="spellEnd"/>
      <w:r w:rsidRPr="000508B6">
        <w:rPr>
          <w:rFonts w:ascii="Times New Roman" w:eastAsia="Times New Roman" w:hAnsi="Times New Roman" w:cs="Times New Roman"/>
          <w:lang w:val="ro-MD"/>
        </w:rPr>
        <w:t xml:space="preserve"> – orice </w:t>
      </w:r>
      <w:proofErr w:type="spellStart"/>
      <w:r w:rsidRPr="000508B6">
        <w:rPr>
          <w:rFonts w:ascii="Times New Roman" w:eastAsia="Times New Roman" w:hAnsi="Times New Roman" w:cs="Times New Roman"/>
          <w:lang w:val="ro-MD"/>
        </w:rPr>
        <w:t>tranzacţie</w:t>
      </w:r>
      <w:proofErr w:type="spellEnd"/>
      <w:r w:rsidRPr="000508B6">
        <w:rPr>
          <w:rFonts w:ascii="Times New Roman" w:eastAsia="Times New Roman" w:hAnsi="Times New Roman" w:cs="Times New Roman"/>
          <w:lang w:val="ro-MD"/>
        </w:rPr>
        <w:t xml:space="preserve"> prin care </w:t>
      </w:r>
      <w:r w:rsidR="001444C3" w:rsidRPr="000508B6">
        <w:rPr>
          <w:rFonts w:ascii="Times New Roman" w:eastAsia="Times New Roman" w:hAnsi="Times New Roman" w:cs="Times New Roman"/>
          <w:lang w:val="ro-MD"/>
        </w:rPr>
        <w:t xml:space="preserve">un </w:t>
      </w:r>
      <w:r w:rsidR="00434085" w:rsidRPr="000508B6">
        <w:rPr>
          <w:rFonts w:ascii="Times New Roman" w:eastAsia="Times New Roman" w:hAnsi="Times New Roman" w:cs="Times New Roman"/>
          <w:lang w:val="ro-MD"/>
        </w:rPr>
        <w:t xml:space="preserve">asigurător </w:t>
      </w:r>
      <w:r w:rsidR="000173EC" w:rsidRPr="000508B6">
        <w:rPr>
          <w:rFonts w:ascii="Times New Roman" w:eastAsia="Times New Roman" w:hAnsi="Times New Roman" w:cs="Times New Roman"/>
          <w:lang w:val="ro-MD"/>
        </w:rPr>
        <w:t xml:space="preserve">sau </w:t>
      </w:r>
      <w:proofErr w:type="spellStart"/>
      <w:r w:rsidR="00434085" w:rsidRPr="000508B6">
        <w:rPr>
          <w:rFonts w:ascii="Times New Roman" w:eastAsia="Times New Roman" w:hAnsi="Times New Roman" w:cs="Times New Roman"/>
          <w:lang w:val="ro-MD"/>
        </w:rPr>
        <w:t>reasigurător</w:t>
      </w:r>
      <w:proofErr w:type="spellEnd"/>
      <w:r w:rsidR="000173EC" w:rsidRPr="000508B6">
        <w:rPr>
          <w:rFonts w:ascii="Times New Roman" w:eastAsia="Times New Roman" w:hAnsi="Times New Roman" w:cs="Times New Roman"/>
          <w:lang w:val="ro-MD"/>
        </w:rPr>
        <w:t xml:space="preserve">, </w:t>
      </w:r>
      <w:r w:rsidR="001444C3" w:rsidRPr="000508B6">
        <w:rPr>
          <w:rFonts w:ascii="Times New Roman" w:eastAsia="Times New Roman" w:hAnsi="Times New Roman" w:cs="Times New Roman"/>
          <w:lang w:val="ro-MD"/>
        </w:rPr>
        <w:t xml:space="preserve">un </w:t>
      </w:r>
      <w:r w:rsidR="00434085" w:rsidRPr="000508B6">
        <w:rPr>
          <w:rFonts w:ascii="Times New Roman" w:eastAsia="Times New Roman" w:hAnsi="Times New Roman" w:cs="Times New Roman"/>
          <w:lang w:val="ro-MD"/>
        </w:rPr>
        <w:t xml:space="preserve">asigurător </w:t>
      </w:r>
      <w:r w:rsidR="001444C3" w:rsidRPr="000508B6">
        <w:rPr>
          <w:rFonts w:ascii="Times New Roman" w:eastAsia="Times New Roman" w:hAnsi="Times New Roman" w:cs="Times New Roman"/>
          <w:lang w:val="ro-MD"/>
        </w:rPr>
        <w:t xml:space="preserve">sau </w:t>
      </w:r>
      <w:proofErr w:type="spellStart"/>
      <w:r w:rsidR="00434085"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w:t>
      </w:r>
      <w:r w:rsidR="00DC6F3E" w:rsidRPr="000508B6">
        <w:rPr>
          <w:rFonts w:ascii="Times New Roman" w:eastAsia="Times New Roman" w:hAnsi="Times New Roman" w:cs="Times New Roman"/>
          <w:lang w:val="ro-MD"/>
        </w:rPr>
        <w:t>dintr-</w:t>
      </w:r>
      <w:r w:rsidR="0098452B" w:rsidRPr="000508B6">
        <w:rPr>
          <w:rFonts w:ascii="Times New Roman" w:eastAsia="Times New Roman" w:hAnsi="Times New Roman" w:cs="Times New Roman"/>
          <w:lang w:val="ro-MD"/>
        </w:rPr>
        <w:t>un</w:t>
      </w:r>
      <w:r w:rsidR="00DC6F3E" w:rsidRPr="000508B6">
        <w:rPr>
          <w:rFonts w:ascii="Times New Roman" w:eastAsia="Times New Roman" w:hAnsi="Times New Roman" w:cs="Times New Roman"/>
          <w:lang w:val="ro-MD"/>
        </w:rPr>
        <w:t xml:space="preserve"> </w:t>
      </w:r>
      <w:r w:rsidR="0098452B" w:rsidRPr="000508B6">
        <w:rPr>
          <w:rFonts w:ascii="Times New Roman" w:eastAsia="Times New Roman" w:hAnsi="Times New Roman" w:cs="Times New Roman"/>
          <w:lang w:val="ro-MD"/>
        </w:rPr>
        <w:t xml:space="preserve">stat </w:t>
      </w:r>
      <w:r w:rsidR="00DC6F3E" w:rsidRPr="000508B6">
        <w:rPr>
          <w:rFonts w:ascii="Times New Roman" w:eastAsia="Times New Roman" w:hAnsi="Times New Roman" w:cs="Times New Roman"/>
          <w:lang w:val="ro-MD"/>
        </w:rPr>
        <w:t>terț</w:t>
      </w:r>
      <w:r w:rsidR="000173EC" w:rsidRPr="000508B6">
        <w:rPr>
          <w:rFonts w:ascii="Times New Roman" w:eastAsia="Times New Roman" w:hAnsi="Times New Roman" w:cs="Times New Roman"/>
          <w:lang w:val="ro-MD"/>
        </w:rPr>
        <w:t>,</w:t>
      </w:r>
      <w:r w:rsidR="00DC6F3E" w:rsidRPr="000508B6">
        <w:rPr>
          <w:rFonts w:ascii="Times New Roman" w:eastAsia="Times New Roman" w:hAnsi="Times New Roman" w:cs="Times New Roman"/>
          <w:lang w:val="ro-MD"/>
        </w:rPr>
        <w:t xml:space="preserve"> un holding de asigurare sau un holding financiar mixt </w:t>
      </w:r>
      <w:r w:rsidRPr="000508B6">
        <w:rPr>
          <w:rFonts w:ascii="Times New Roman" w:eastAsia="Times New Roman" w:hAnsi="Times New Roman" w:cs="Times New Roman"/>
          <w:lang w:val="ro-MD"/>
        </w:rPr>
        <w:t xml:space="preserve">recurge direct sau indirect la </w:t>
      </w:r>
      <w:r w:rsidR="00C5163B" w:rsidRPr="000508B6">
        <w:rPr>
          <w:rFonts w:ascii="Times New Roman" w:eastAsia="Times New Roman" w:hAnsi="Times New Roman" w:cs="Times New Roman"/>
          <w:lang w:val="ro-MD"/>
        </w:rPr>
        <w:t>alți</w:t>
      </w:r>
      <w:r w:rsidRPr="000508B6" w:rsidDel="00C5163B">
        <w:rPr>
          <w:rFonts w:ascii="Times New Roman" w:eastAsia="Times New Roman" w:hAnsi="Times New Roman" w:cs="Times New Roman"/>
          <w:lang w:val="ro-MD"/>
        </w:rPr>
        <w:t xml:space="preserve"> </w:t>
      </w:r>
      <w:r w:rsidR="00C5163B" w:rsidRPr="000508B6">
        <w:rPr>
          <w:rFonts w:ascii="Times New Roman" w:eastAsia="Times New Roman" w:hAnsi="Times New Roman" w:cs="Times New Roman"/>
          <w:lang w:val="ro-MD"/>
        </w:rPr>
        <w:t xml:space="preserve">asigurători sau </w:t>
      </w:r>
      <w:proofErr w:type="spellStart"/>
      <w:r w:rsidR="00C5163B" w:rsidRPr="000508B6">
        <w:rPr>
          <w:rFonts w:ascii="Times New Roman" w:eastAsia="Times New Roman" w:hAnsi="Times New Roman" w:cs="Times New Roman"/>
          <w:lang w:val="ro-MD"/>
        </w:rPr>
        <w:t>reasigurători</w:t>
      </w:r>
      <w:proofErr w:type="spellEnd"/>
      <w:r w:rsidR="00C5163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cadrul </w:t>
      </w:r>
      <w:proofErr w:type="spellStart"/>
      <w:r w:rsidRPr="000508B6">
        <w:rPr>
          <w:rFonts w:ascii="Times New Roman" w:eastAsia="Times New Roman" w:hAnsi="Times New Roman" w:cs="Times New Roman"/>
          <w:lang w:val="ro-MD"/>
        </w:rPr>
        <w:t>aceluiaşi</w:t>
      </w:r>
      <w:proofErr w:type="spellEnd"/>
      <w:r w:rsidRPr="000508B6">
        <w:rPr>
          <w:rFonts w:ascii="Times New Roman" w:eastAsia="Times New Roman" w:hAnsi="Times New Roman" w:cs="Times New Roman"/>
          <w:lang w:val="ro-MD"/>
        </w:rPr>
        <w:t xml:space="preserve"> grup sau la orice persoană fizică sau juridică care are legături strânse cu </w:t>
      </w:r>
      <w:r w:rsidR="00C5163B" w:rsidRPr="000508B6">
        <w:rPr>
          <w:rFonts w:ascii="Times New Roman" w:eastAsia="Times New Roman" w:hAnsi="Times New Roman" w:cs="Times New Roman"/>
          <w:lang w:val="ro-MD"/>
        </w:rPr>
        <w:t xml:space="preserve">asigurătorii sau </w:t>
      </w:r>
      <w:proofErr w:type="spellStart"/>
      <w:r w:rsidR="00C5163B" w:rsidRPr="000508B6">
        <w:rPr>
          <w:rFonts w:ascii="Times New Roman" w:eastAsia="Times New Roman" w:hAnsi="Times New Roman" w:cs="Times New Roman"/>
          <w:lang w:val="ro-MD"/>
        </w:rPr>
        <w:t>reasigurătorii</w:t>
      </w:r>
      <w:proofErr w:type="spellEnd"/>
      <w:r w:rsidR="00C5163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acel grup în vederea îndeplinirii </w:t>
      </w:r>
      <w:proofErr w:type="spellStart"/>
      <w:r w:rsidRPr="000508B6">
        <w:rPr>
          <w:rFonts w:ascii="Times New Roman" w:eastAsia="Times New Roman" w:hAnsi="Times New Roman" w:cs="Times New Roman"/>
          <w:lang w:val="ro-MD"/>
        </w:rPr>
        <w:t>obligaţiilor</w:t>
      </w:r>
      <w:proofErr w:type="spellEnd"/>
      <w:r w:rsidRPr="000508B6">
        <w:rPr>
          <w:rFonts w:ascii="Times New Roman" w:eastAsia="Times New Roman" w:hAnsi="Times New Roman" w:cs="Times New Roman"/>
          <w:lang w:val="ro-MD"/>
        </w:rPr>
        <w:t xml:space="preserve"> sale, indiferent de natura acestora;</w:t>
      </w:r>
    </w:p>
    <w:p w14:paraId="15281300" w14:textId="558C533E" w:rsidR="00F95829" w:rsidRPr="000508B6" w:rsidRDefault="00F95829"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unitate a </w:t>
      </w:r>
      <w:r w:rsidR="007A391D" w:rsidRPr="000508B6">
        <w:rPr>
          <w:rFonts w:ascii="Times New Roman" w:eastAsia="Times New Roman" w:hAnsi="Times New Roman" w:cs="Times New Roman"/>
          <w:i/>
          <w:lang w:val="ro-MD"/>
        </w:rPr>
        <w:t xml:space="preserve">asigurătorului </w:t>
      </w:r>
      <w:r w:rsidR="00180BE3" w:rsidRPr="000508B6">
        <w:rPr>
          <w:rFonts w:ascii="Times New Roman" w:eastAsia="Times New Roman" w:hAnsi="Times New Roman" w:cs="Times New Roman"/>
          <w:i/>
          <w:lang w:val="ro-MD"/>
        </w:rPr>
        <w:t xml:space="preserve">sau </w:t>
      </w:r>
      <w:proofErr w:type="spellStart"/>
      <w:r w:rsidR="007A391D" w:rsidRPr="000508B6">
        <w:rPr>
          <w:rFonts w:ascii="Times New Roman" w:eastAsia="Times New Roman" w:hAnsi="Times New Roman" w:cs="Times New Roman"/>
          <w:i/>
          <w:lang w:val="ro-MD"/>
        </w:rPr>
        <w:t>reasigurătorului</w:t>
      </w:r>
      <w:proofErr w:type="spellEnd"/>
      <w:r w:rsidR="007A391D" w:rsidRPr="000508B6">
        <w:rPr>
          <w:rFonts w:ascii="Times New Roman" w:eastAsia="Times New Roman" w:hAnsi="Times New Roman" w:cs="Times New Roman"/>
          <w:i/>
          <w:lang w:val="ro-MD"/>
        </w:rPr>
        <w:t xml:space="preserve"> </w:t>
      </w:r>
      <w:r w:rsidRPr="000508B6">
        <w:rPr>
          <w:rFonts w:ascii="Times New Roman" w:eastAsia="Times New Roman" w:hAnsi="Times New Roman" w:cs="Times New Roman"/>
          <w:lang w:val="ro-MD"/>
        </w:rPr>
        <w:t>– sediu</w:t>
      </w:r>
      <w:r w:rsidR="007A391D" w:rsidRPr="000508B6">
        <w:rPr>
          <w:rFonts w:ascii="Times New Roman" w:eastAsia="Times New Roman" w:hAnsi="Times New Roman" w:cs="Times New Roman"/>
          <w:lang w:val="ro-MD"/>
        </w:rPr>
        <w:t>l</w:t>
      </w:r>
      <w:r w:rsidRPr="000508B6">
        <w:rPr>
          <w:rFonts w:ascii="Times New Roman" w:eastAsia="Times New Roman" w:hAnsi="Times New Roman" w:cs="Times New Roman"/>
          <w:lang w:val="ro-MD"/>
        </w:rPr>
        <w:t xml:space="preserve"> central sau oricare dintre sucursalele sale;</w:t>
      </w:r>
    </w:p>
    <w:p w14:paraId="3D6DB4B3" w14:textId="439748C6" w:rsidR="00F95829" w:rsidRPr="000508B6" w:rsidRDefault="00F95829" w:rsidP="00EA5957">
      <w:pPr>
        <w:pStyle w:val="Listparagraf"/>
        <w:numPr>
          <w:ilvl w:val="0"/>
          <w:numId w:val="313"/>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 xml:space="preserve">vehicul </w:t>
      </w:r>
      <w:proofErr w:type="spellStart"/>
      <w:r w:rsidRPr="000508B6">
        <w:rPr>
          <w:rFonts w:ascii="Times New Roman" w:eastAsia="Times New Roman" w:hAnsi="Times New Roman" w:cs="Times New Roman"/>
          <w:i/>
          <w:lang w:val="ro-MD"/>
        </w:rPr>
        <w:t>investiţional</w:t>
      </w:r>
      <w:proofErr w:type="spellEnd"/>
      <w:r w:rsidRPr="000508B6">
        <w:rPr>
          <w:rFonts w:ascii="Times New Roman" w:eastAsia="Times New Roman" w:hAnsi="Times New Roman" w:cs="Times New Roman"/>
          <w:lang w:val="ro-MD"/>
        </w:rPr>
        <w:t xml:space="preserve"> - entitate înregistrată sau nu, alta decât </w:t>
      </w:r>
      <w:r w:rsidR="009400FE" w:rsidRPr="000508B6">
        <w:rPr>
          <w:rFonts w:ascii="Times New Roman" w:eastAsia="Times New Roman" w:hAnsi="Times New Roman" w:cs="Times New Roman"/>
          <w:lang w:val="ro-MD"/>
        </w:rPr>
        <w:t xml:space="preserve">un asigurător sau </w:t>
      </w:r>
      <w:proofErr w:type="spellStart"/>
      <w:r w:rsidR="009400FE"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în sensul prezentei legi, care:</w:t>
      </w:r>
    </w:p>
    <w:p w14:paraId="34BA1EBB" w14:textId="77777777" w:rsidR="00F95829" w:rsidRPr="000508B6" w:rsidRDefault="00F95829" w:rsidP="00EA5957">
      <w:pPr>
        <w:pStyle w:val="Listparagraf"/>
        <w:numPr>
          <w:ilvl w:val="1"/>
          <w:numId w:val="59"/>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preia riscurile transferate de un asigurător sau de un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în baza unui contract de reasigurare;</w:t>
      </w:r>
    </w:p>
    <w:p w14:paraId="6339AE65" w14:textId="0861F9F0" w:rsidR="00F95829" w:rsidRPr="000508B6" w:rsidRDefault="00F95829" w:rsidP="00EA5957">
      <w:pPr>
        <w:pStyle w:val="Listparagraf"/>
        <w:numPr>
          <w:ilvl w:val="1"/>
          <w:numId w:val="59"/>
        </w:numPr>
        <w:tabs>
          <w:tab w:val="left" w:pos="851"/>
          <w:tab w:val="left" w:pos="1134"/>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îşi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finanţează</w:t>
      </w:r>
      <w:proofErr w:type="spellEnd"/>
      <w:r w:rsidRPr="000508B6">
        <w:rPr>
          <w:rFonts w:ascii="Times New Roman" w:eastAsia="Times New Roman" w:hAnsi="Times New Roman" w:cs="Times New Roman"/>
          <w:lang w:val="ro-MD"/>
        </w:rPr>
        <w:t xml:space="preserve"> integral expunerea la riscurile preluate, prin emisiunea unor instrumente financiare sau prin alte mecanisme de </w:t>
      </w:r>
      <w:proofErr w:type="spellStart"/>
      <w:r w:rsidRPr="000508B6">
        <w:rPr>
          <w:rFonts w:ascii="Times New Roman" w:eastAsia="Times New Roman" w:hAnsi="Times New Roman" w:cs="Times New Roman"/>
          <w:lang w:val="ro-MD"/>
        </w:rPr>
        <w:t>finanţare</w:t>
      </w:r>
      <w:proofErr w:type="spellEnd"/>
      <w:r w:rsidRPr="000508B6">
        <w:rPr>
          <w:rFonts w:ascii="Times New Roman" w:eastAsia="Times New Roman" w:hAnsi="Times New Roman" w:cs="Times New Roman"/>
          <w:lang w:val="ro-MD"/>
        </w:rPr>
        <w:t xml:space="preserve">, drepturile de rambursare ale </w:t>
      </w:r>
      <w:r w:rsidR="00C20203" w:rsidRPr="000508B6">
        <w:rPr>
          <w:rFonts w:ascii="Times New Roman" w:eastAsia="Times New Roman" w:hAnsi="Times New Roman" w:cs="Times New Roman"/>
          <w:lang w:val="ro-MD"/>
        </w:rPr>
        <w:t xml:space="preserve">societăților de investiții </w:t>
      </w:r>
      <w:r w:rsidRPr="000508B6">
        <w:rPr>
          <w:rFonts w:ascii="Times New Roman" w:eastAsia="Times New Roman" w:hAnsi="Times New Roman" w:cs="Times New Roman"/>
          <w:lang w:val="ro-MD"/>
        </w:rPr>
        <w:t xml:space="preserve">în aceste instrumente sau mecanisme fiind plătite numai după îndeplinirea </w:t>
      </w:r>
      <w:proofErr w:type="spellStart"/>
      <w:r w:rsidRPr="000508B6">
        <w:rPr>
          <w:rFonts w:ascii="Times New Roman" w:eastAsia="Times New Roman" w:hAnsi="Times New Roman" w:cs="Times New Roman"/>
          <w:lang w:val="ro-MD"/>
        </w:rPr>
        <w:t>obligaţiilor</w:t>
      </w:r>
      <w:proofErr w:type="spellEnd"/>
      <w:r w:rsidRPr="000508B6">
        <w:rPr>
          <w:rFonts w:ascii="Times New Roman" w:eastAsia="Times New Roman" w:hAnsi="Times New Roman" w:cs="Times New Roman"/>
          <w:lang w:val="ro-MD"/>
        </w:rPr>
        <w:t xml:space="preserve"> care decurg din contractul de reasigurare.</w:t>
      </w:r>
    </w:p>
    <w:p w14:paraId="31557DD3" w14:textId="77777777" w:rsidR="0015227E" w:rsidRPr="000508B6" w:rsidRDefault="0015227E" w:rsidP="007331B9">
      <w:pPr>
        <w:spacing w:after="0" w:line="240" w:lineRule="auto"/>
        <w:ind w:firstLine="426"/>
        <w:jc w:val="center"/>
        <w:rPr>
          <w:rFonts w:ascii="Times New Roman" w:eastAsia="Times New Roman" w:hAnsi="Times New Roman" w:cs="Times New Roman"/>
          <w:b/>
          <w:lang w:val="ro-MD"/>
        </w:rPr>
      </w:pPr>
    </w:p>
    <w:p w14:paraId="0E00218D" w14:textId="7FB801B2" w:rsidR="00F95829" w:rsidRPr="000508B6" w:rsidRDefault="00F95829" w:rsidP="007331B9">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II</w:t>
      </w:r>
    </w:p>
    <w:p w14:paraId="3613E3AF" w14:textId="74D1142A" w:rsidR="00F95829" w:rsidRPr="000508B6" w:rsidRDefault="00F95829" w:rsidP="007331B9">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CERINȚE PRIVIND ACCESUL LA ACTIVITATE ȘI DESFĂȘURAREA ACTIVITĂȚILOR DE ASIGURARE SAU DE REASIGURARE</w:t>
      </w:r>
    </w:p>
    <w:p w14:paraId="341272A9" w14:textId="5BD62176" w:rsidR="00F95829" w:rsidRPr="000508B6" w:rsidRDefault="00F95829" w:rsidP="007331B9">
      <w:pPr>
        <w:spacing w:after="0" w:line="240" w:lineRule="auto"/>
        <w:ind w:firstLine="426"/>
        <w:jc w:val="center"/>
        <w:rPr>
          <w:rFonts w:ascii="Times New Roman" w:eastAsia="Times New Roman" w:hAnsi="Times New Roman" w:cs="Times New Roman"/>
          <w:b/>
          <w:lang w:val="ro-MD"/>
        </w:rPr>
      </w:pPr>
    </w:p>
    <w:p w14:paraId="42C59F2D" w14:textId="77777777" w:rsidR="00F95829" w:rsidRPr="000508B6" w:rsidRDefault="00F95829" w:rsidP="007331B9">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1</w:t>
      </w:r>
    </w:p>
    <w:p w14:paraId="32785CC3" w14:textId="06EF7AEE" w:rsidR="00F95829" w:rsidRPr="000508B6" w:rsidRDefault="00F95829" w:rsidP="007331B9">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Licenţierea</w:t>
      </w:r>
      <w:proofErr w:type="spellEnd"/>
      <w:r w:rsidRPr="000508B6">
        <w:rPr>
          <w:rFonts w:ascii="Times New Roman" w:eastAsia="Times New Roman" w:hAnsi="Times New Roman" w:cs="Times New Roman"/>
          <w:b/>
          <w:lang w:val="ro-MD"/>
        </w:rPr>
        <w:t xml:space="preserve"> </w:t>
      </w:r>
      <w:r w:rsidR="007A391D" w:rsidRPr="000508B6">
        <w:rPr>
          <w:rFonts w:ascii="Times New Roman" w:eastAsia="Times New Roman" w:hAnsi="Times New Roman" w:cs="Times New Roman"/>
          <w:b/>
          <w:lang w:val="ro-MD"/>
        </w:rPr>
        <w:t xml:space="preserve">asigurătorului </w:t>
      </w:r>
      <w:r w:rsidR="008531DC" w:rsidRPr="000508B6">
        <w:rPr>
          <w:rFonts w:ascii="Times New Roman" w:eastAsia="Times New Roman" w:hAnsi="Times New Roman" w:cs="Times New Roman"/>
          <w:b/>
          <w:lang w:val="ro-MD"/>
        </w:rPr>
        <w:t xml:space="preserve">sau </w:t>
      </w:r>
      <w:proofErr w:type="spellStart"/>
      <w:r w:rsidR="007A391D" w:rsidRPr="000508B6">
        <w:rPr>
          <w:rFonts w:ascii="Times New Roman" w:eastAsia="Times New Roman" w:hAnsi="Times New Roman" w:cs="Times New Roman"/>
          <w:b/>
          <w:lang w:val="ro-MD"/>
        </w:rPr>
        <w:t>reasigurătorului</w:t>
      </w:r>
      <w:proofErr w:type="spellEnd"/>
    </w:p>
    <w:p w14:paraId="4E8B6F65" w14:textId="77777777" w:rsidR="00F95829" w:rsidRPr="000508B6" w:rsidRDefault="00F95829" w:rsidP="007331B9">
      <w:pPr>
        <w:spacing w:after="0" w:line="240" w:lineRule="auto"/>
        <w:ind w:firstLine="426"/>
        <w:jc w:val="center"/>
        <w:rPr>
          <w:rFonts w:ascii="Times New Roman" w:eastAsia="Times New Roman" w:hAnsi="Times New Roman" w:cs="Times New Roman"/>
          <w:b/>
          <w:lang w:val="ro-MD"/>
        </w:rPr>
      </w:pPr>
    </w:p>
    <w:p w14:paraId="563D4544" w14:textId="138121A9"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4</w:t>
      </w:r>
      <w:r w:rsidR="00482BDF" w:rsidRPr="000508B6">
        <w:rPr>
          <w:rFonts w:ascii="Times New Roman" w:eastAsia="Times New Roman" w:hAnsi="Times New Roman" w:cs="Times New Roman"/>
          <w:b/>
          <w:lang w:val="ro-MD"/>
        </w:rPr>
        <w:t>.</w:t>
      </w:r>
      <w:r w:rsidR="00095098"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Prevederi generale</w:t>
      </w:r>
      <w:r w:rsidR="009C2F4D" w:rsidRPr="000508B6">
        <w:rPr>
          <w:rFonts w:ascii="Times New Roman" w:eastAsia="Times New Roman" w:hAnsi="Times New Roman" w:cs="Times New Roman"/>
          <w:lang w:val="ro-MD"/>
        </w:rPr>
        <w:t xml:space="preserve"> privind licențierea</w:t>
      </w:r>
    </w:p>
    <w:p w14:paraId="079717CD" w14:textId="52236A46" w:rsidR="00F95829" w:rsidRPr="000508B6" w:rsidRDefault="00F95829" w:rsidP="00CF5AFA">
      <w:pPr>
        <w:pStyle w:val="Listparagraf"/>
        <w:numPr>
          <w:ilvl w:val="1"/>
          <w:numId w:val="90"/>
        </w:numPr>
        <w:tabs>
          <w:tab w:val="left" w:pos="851"/>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Activitatea de asigurare </w:t>
      </w:r>
      <w:r w:rsidR="000F7FD0" w:rsidRPr="000508B6">
        <w:rPr>
          <w:rFonts w:ascii="Times New Roman" w:eastAsia="Times New Roman" w:hAnsi="Times New Roman" w:cs="Times New Roman"/>
          <w:lang w:val="ro-MD"/>
        </w:rPr>
        <w:t xml:space="preserve">și </w:t>
      </w:r>
      <w:r w:rsidRPr="000508B6">
        <w:rPr>
          <w:rFonts w:ascii="Times New Roman" w:eastAsia="Times New Roman" w:hAnsi="Times New Roman" w:cs="Times New Roman"/>
          <w:lang w:val="ro-MD"/>
        </w:rPr>
        <w:t xml:space="preserve">de reasigurare poate fi </w:t>
      </w:r>
      <w:proofErr w:type="spellStart"/>
      <w:r w:rsidRPr="000508B6">
        <w:rPr>
          <w:rFonts w:ascii="Times New Roman" w:eastAsia="Times New Roman" w:hAnsi="Times New Roman" w:cs="Times New Roman"/>
          <w:lang w:val="ro-MD"/>
        </w:rPr>
        <w:t>desfăşurată</w:t>
      </w:r>
      <w:proofErr w:type="spellEnd"/>
      <w:r w:rsidRPr="000508B6">
        <w:rPr>
          <w:rFonts w:ascii="Times New Roman" w:eastAsia="Times New Roman" w:hAnsi="Times New Roman" w:cs="Times New Roman"/>
          <w:lang w:val="ro-MD"/>
        </w:rPr>
        <w:t xml:space="preserve"> în baza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eliberate de </w:t>
      </w:r>
      <w:r w:rsidRPr="000508B6">
        <w:rPr>
          <w:rFonts w:ascii="Times New Roman" w:hAnsi="Times New Roman" w:cs="Times New Roman"/>
          <w:lang w:val="ro-MD"/>
        </w:rPr>
        <w:t>Banca Națională a Moldovei</w:t>
      </w:r>
      <w:r w:rsidR="009176B2" w:rsidRPr="000508B6">
        <w:rPr>
          <w:rFonts w:ascii="Times New Roman" w:hAnsi="Times New Roman" w:cs="Times New Roman"/>
          <w:lang w:val="ro-MD"/>
        </w:rPr>
        <w:t xml:space="preserve"> în </w:t>
      </w:r>
      <w:r w:rsidR="0076624E" w:rsidRPr="000508B6">
        <w:rPr>
          <w:rFonts w:ascii="Times New Roman" w:hAnsi="Times New Roman" w:cs="Times New Roman"/>
          <w:lang w:val="ro-MD"/>
        </w:rPr>
        <w:t xml:space="preserve">condițiile prezentei legi și în </w:t>
      </w:r>
      <w:r w:rsidR="009176B2" w:rsidRPr="000508B6">
        <w:rPr>
          <w:rFonts w:ascii="Times New Roman" w:hAnsi="Times New Roman" w:cs="Times New Roman"/>
          <w:lang w:val="ro-MD"/>
        </w:rPr>
        <w:t>conformitate cu actele normative</w:t>
      </w:r>
      <w:r w:rsidR="00F520EB" w:rsidRPr="000508B6">
        <w:rPr>
          <w:rFonts w:ascii="Times New Roman" w:hAnsi="Times New Roman" w:cs="Times New Roman"/>
          <w:lang w:val="ro-MD"/>
        </w:rPr>
        <w:t xml:space="preserve"> ale Băncii Naționale a Moldovei</w:t>
      </w:r>
      <w:r w:rsidRPr="000508B6">
        <w:rPr>
          <w:rFonts w:ascii="Times New Roman" w:hAnsi="Times New Roman" w:cs="Times New Roman"/>
          <w:i/>
          <w:lang w:val="ro-MD"/>
        </w:rPr>
        <w:t>.</w:t>
      </w:r>
    </w:p>
    <w:p w14:paraId="1C4EB32E" w14:textId="4B6771D7" w:rsidR="00F95829" w:rsidRPr="000508B6" w:rsidRDefault="00F95829" w:rsidP="00CF5AFA">
      <w:pPr>
        <w:pStyle w:val="Listparagraf"/>
        <w:numPr>
          <w:ilvl w:val="1"/>
          <w:numId w:val="90"/>
        </w:numPr>
        <w:tabs>
          <w:tab w:val="left" w:pos="851"/>
          <w:tab w:val="left" w:pos="993"/>
        </w:tabs>
        <w:spacing w:after="0" w:line="240" w:lineRule="auto"/>
        <w:ind w:left="0" w:firstLine="426"/>
        <w:jc w:val="both"/>
        <w:rPr>
          <w:rFonts w:ascii="Times New Roman" w:eastAsia="Times New Roman" w:hAnsi="Times New Roman" w:cs="Times New Roman"/>
          <w:i/>
          <w:lang w:val="ro-MD"/>
        </w:rPr>
      </w:pP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 xml:space="preserve"> pentru </w:t>
      </w:r>
      <w:proofErr w:type="spellStart"/>
      <w:r w:rsidRPr="000508B6">
        <w:rPr>
          <w:rFonts w:ascii="Times New Roman" w:eastAsia="Times New Roman" w:hAnsi="Times New Roman" w:cs="Times New Roman"/>
          <w:lang w:val="ro-MD"/>
        </w:rPr>
        <w:t>desfăşurarea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asigurare sau de reasigurare se </w:t>
      </w:r>
      <w:proofErr w:type="spellStart"/>
      <w:r w:rsidRPr="000508B6">
        <w:rPr>
          <w:rFonts w:ascii="Times New Roman" w:eastAsia="Times New Roman" w:hAnsi="Times New Roman" w:cs="Times New Roman"/>
          <w:lang w:val="ro-MD"/>
        </w:rPr>
        <w:t>obţine</w:t>
      </w:r>
      <w:proofErr w:type="spellEnd"/>
      <w:r w:rsidRPr="000508B6">
        <w:rPr>
          <w:rFonts w:ascii="Times New Roman" w:eastAsia="Times New Roman" w:hAnsi="Times New Roman" w:cs="Times New Roman"/>
          <w:lang w:val="ro-MD"/>
        </w:rPr>
        <w:t xml:space="preserve"> de către</w:t>
      </w:r>
      <w:r w:rsidRPr="000508B6">
        <w:rPr>
          <w:rFonts w:ascii="Times New Roman" w:eastAsia="Times New Roman" w:hAnsi="Times New Roman" w:cs="Times New Roman"/>
          <w:i/>
          <w:lang w:val="ro-MD"/>
        </w:rPr>
        <w:t xml:space="preserve">: </w:t>
      </w:r>
    </w:p>
    <w:p w14:paraId="123CA7BB" w14:textId="5D68A0CC" w:rsidR="00F95829" w:rsidRPr="000508B6" w:rsidRDefault="00851873" w:rsidP="00CF5AFA">
      <w:pPr>
        <w:pStyle w:val="Listparagraf"/>
        <w:numPr>
          <w:ilvl w:val="2"/>
          <w:numId w:val="91"/>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A5268E" w:rsidRPr="000508B6">
        <w:rPr>
          <w:rFonts w:ascii="Times New Roman" w:eastAsia="Times New Roman" w:hAnsi="Times New Roman" w:cs="Times New Roman"/>
          <w:lang w:val="ro-MD"/>
        </w:rPr>
        <w:t>sau</w:t>
      </w:r>
      <w:r w:rsidR="00A5268E" w:rsidRPr="000508B6" w:rsidDel="00851873">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reasigurătorul</w:t>
      </w:r>
      <w:proofErr w:type="spellEnd"/>
      <w:r w:rsidR="00A5268E"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înregistrat în baza </w:t>
      </w:r>
      <w:r w:rsidR="002B076C" w:rsidRPr="000508B6">
        <w:rPr>
          <w:rFonts w:ascii="Times New Roman" w:eastAsia="Times New Roman" w:hAnsi="Times New Roman" w:cs="Times New Roman"/>
          <w:lang w:val="ro-MD"/>
        </w:rPr>
        <w:t xml:space="preserve">aprobării </w:t>
      </w:r>
      <w:r w:rsidR="00F95829" w:rsidRPr="000508B6">
        <w:rPr>
          <w:rFonts w:ascii="Times New Roman" w:eastAsia="Times New Roman" w:hAnsi="Times New Roman" w:cs="Times New Roman"/>
          <w:lang w:val="ro-MD"/>
        </w:rPr>
        <w:t>prealabil</w:t>
      </w:r>
      <w:r w:rsidR="002B076C"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de constituire </w:t>
      </w:r>
      <w:r w:rsidR="00A5268E" w:rsidRPr="000508B6">
        <w:rPr>
          <w:rFonts w:ascii="Times New Roman" w:eastAsia="Times New Roman" w:hAnsi="Times New Roman" w:cs="Times New Roman"/>
          <w:lang w:val="ro-MD"/>
        </w:rPr>
        <w:t>și de stabilire a sediului central în Republica Moldova, acordate de</w:t>
      </w:r>
      <w:r w:rsidR="00F95829" w:rsidRPr="000508B6">
        <w:rPr>
          <w:rFonts w:ascii="Times New Roman" w:eastAsia="Times New Roman" w:hAnsi="Times New Roman" w:cs="Times New Roman"/>
          <w:lang w:val="ro-MD"/>
        </w:rPr>
        <w:t xml:space="preserve"> </w:t>
      </w:r>
      <w:r w:rsidR="00A5268E" w:rsidRPr="000508B6">
        <w:rPr>
          <w:rFonts w:ascii="Times New Roman" w:eastAsia="Times New Roman" w:hAnsi="Times New Roman" w:cs="Times New Roman"/>
          <w:lang w:val="ro-MD"/>
        </w:rPr>
        <w:t xml:space="preserve">Banca </w:t>
      </w:r>
      <w:r w:rsidR="00F95829" w:rsidRPr="000508B6">
        <w:rPr>
          <w:rFonts w:ascii="Times New Roman" w:eastAsia="Times New Roman" w:hAnsi="Times New Roman" w:cs="Times New Roman"/>
          <w:lang w:val="ro-MD"/>
        </w:rPr>
        <w:t>Național</w:t>
      </w:r>
      <w:r w:rsidR="00A5268E"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a Moldovei în vederea </w:t>
      </w:r>
      <w:proofErr w:type="spellStart"/>
      <w:r w:rsidR="00F95829" w:rsidRPr="000508B6">
        <w:rPr>
          <w:rFonts w:ascii="Times New Roman" w:eastAsia="Times New Roman" w:hAnsi="Times New Roman" w:cs="Times New Roman"/>
          <w:lang w:val="ro-MD"/>
        </w:rPr>
        <w:t>desfăşurării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activităţii</w:t>
      </w:r>
      <w:proofErr w:type="spellEnd"/>
      <w:r w:rsidR="00F95829" w:rsidRPr="000508B6">
        <w:rPr>
          <w:rFonts w:ascii="Times New Roman" w:eastAsia="Times New Roman" w:hAnsi="Times New Roman" w:cs="Times New Roman"/>
          <w:lang w:val="ro-MD"/>
        </w:rPr>
        <w:t xml:space="preserve"> de asigurare sau de reasigurare;</w:t>
      </w:r>
    </w:p>
    <w:p w14:paraId="3BFB775E" w14:textId="15B8203F" w:rsidR="00F95829" w:rsidRPr="000508B6" w:rsidRDefault="00851873" w:rsidP="00CF5AFA">
      <w:pPr>
        <w:pStyle w:val="Listparagraf"/>
        <w:numPr>
          <w:ilvl w:val="2"/>
          <w:numId w:val="91"/>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F95829" w:rsidRPr="000508B6">
        <w:rPr>
          <w:rFonts w:ascii="Times New Roman" w:eastAsia="Times New Roman" w:hAnsi="Times New Roman" w:cs="Times New Roman"/>
          <w:lang w:val="ro-MD"/>
        </w:rPr>
        <w:t xml:space="preserve"> care </w:t>
      </w:r>
      <w:proofErr w:type="spellStart"/>
      <w:r w:rsidR="00F95829" w:rsidRPr="000508B6">
        <w:rPr>
          <w:rFonts w:ascii="Times New Roman" w:eastAsia="Times New Roman" w:hAnsi="Times New Roman" w:cs="Times New Roman"/>
          <w:lang w:val="ro-MD"/>
        </w:rPr>
        <w:t>îşi</w:t>
      </w:r>
      <w:proofErr w:type="spellEnd"/>
      <w:r w:rsidR="00F95829" w:rsidRPr="000508B6">
        <w:rPr>
          <w:rFonts w:ascii="Times New Roman" w:eastAsia="Times New Roman" w:hAnsi="Times New Roman" w:cs="Times New Roman"/>
          <w:lang w:val="ro-MD"/>
        </w:rPr>
        <w:t xml:space="preserve"> extind</w:t>
      </w:r>
      <w:r w:rsidR="00AD15B6"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activitatea </w:t>
      </w:r>
      <w:bookmarkStart w:id="31" w:name="_Hlk191643829"/>
      <w:r w:rsidR="00F95829" w:rsidRPr="000508B6">
        <w:rPr>
          <w:rFonts w:ascii="Times New Roman" w:eastAsia="Times New Roman" w:hAnsi="Times New Roman" w:cs="Times New Roman"/>
          <w:lang w:val="ro-MD"/>
        </w:rPr>
        <w:t xml:space="preserve">la o </w:t>
      </w:r>
      <w:r w:rsidR="000E36A7" w:rsidRPr="000508B6">
        <w:rPr>
          <w:rFonts w:ascii="Times New Roman" w:eastAsia="Times New Roman" w:hAnsi="Times New Roman" w:cs="Times New Roman"/>
          <w:lang w:val="ro-MD"/>
        </w:rPr>
        <w:t>nouă</w:t>
      </w:r>
      <w:r w:rsidR="00F95829" w:rsidRPr="000508B6">
        <w:rPr>
          <w:rFonts w:ascii="Times New Roman" w:eastAsia="Times New Roman" w:hAnsi="Times New Roman" w:cs="Times New Roman"/>
          <w:lang w:val="ro-MD"/>
        </w:rPr>
        <w:t xml:space="preserve"> clasă de </w:t>
      </w:r>
      <w:r w:rsidR="000E36A7" w:rsidRPr="000508B6">
        <w:rPr>
          <w:rFonts w:ascii="Times New Roman" w:eastAsia="Times New Roman" w:hAnsi="Times New Roman" w:cs="Times New Roman"/>
          <w:lang w:val="ro-MD"/>
        </w:rPr>
        <w:t>asigurări sau</w:t>
      </w:r>
      <w:r w:rsidR="00F95829" w:rsidRPr="000508B6">
        <w:rPr>
          <w:rFonts w:ascii="Times New Roman" w:eastAsia="Times New Roman" w:hAnsi="Times New Roman" w:cs="Times New Roman"/>
          <w:lang w:val="ro-MD"/>
        </w:rPr>
        <w:t xml:space="preserve"> la </w:t>
      </w:r>
      <w:r w:rsidR="000E36A7" w:rsidRPr="000508B6">
        <w:rPr>
          <w:rFonts w:ascii="Times New Roman" w:eastAsia="Times New Roman" w:hAnsi="Times New Roman" w:cs="Times New Roman"/>
          <w:lang w:val="ro-MD"/>
        </w:rPr>
        <w:t>alte riscuri dintr-o clasă</w:t>
      </w:r>
      <w:r w:rsidR="00F95829" w:rsidRPr="000508B6">
        <w:rPr>
          <w:rFonts w:ascii="Times New Roman" w:eastAsia="Times New Roman" w:hAnsi="Times New Roman" w:cs="Times New Roman"/>
          <w:lang w:val="ro-MD"/>
        </w:rPr>
        <w:t xml:space="preserve"> pentru care este </w:t>
      </w:r>
      <w:proofErr w:type="spellStart"/>
      <w:r w:rsidR="00F95829" w:rsidRPr="000508B6">
        <w:rPr>
          <w:rFonts w:ascii="Times New Roman" w:eastAsia="Times New Roman" w:hAnsi="Times New Roman" w:cs="Times New Roman"/>
          <w:lang w:val="ro-MD"/>
        </w:rPr>
        <w:t>deţinută</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licenţa</w:t>
      </w:r>
      <w:bookmarkEnd w:id="31"/>
      <w:proofErr w:type="spellEnd"/>
      <w:r w:rsidR="00F95829" w:rsidRPr="000508B6">
        <w:rPr>
          <w:rFonts w:ascii="Times New Roman" w:eastAsia="Times New Roman" w:hAnsi="Times New Roman" w:cs="Times New Roman"/>
          <w:lang w:val="ro-MD"/>
        </w:rPr>
        <w:t xml:space="preserve">. </w:t>
      </w:r>
    </w:p>
    <w:p w14:paraId="25354F1A" w14:textId="66A2C90D" w:rsidR="002B4FCB" w:rsidRPr="000508B6" w:rsidRDefault="002B4FCB" w:rsidP="00CF5AFA">
      <w:pPr>
        <w:pStyle w:val="Listparagraf"/>
        <w:numPr>
          <w:ilvl w:val="1"/>
          <w:numId w:val="90"/>
        </w:numPr>
        <w:tabs>
          <w:tab w:val="left" w:pos="851"/>
          <w:tab w:val="left" w:pos="993"/>
        </w:tabs>
        <w:spacing w:after="0" w:line="240" w:lineRule="auto"/>
        <w:ind w:left="0" w:firstLine="426"/>
        <w:jc w:val="both"/>
        <w:rPr>
          <w:rFonts w:ascii="Times New Roman" w:eastAsia="Times New Roman" w:hAnsi="Times New Roman" w:cs="Times New Roman"/>
          <w:lang w:val="ro-MD"/>
        </w:rPr>
      </w:pPr>
      <w:bookmarkStart w:id="32" w:name="_Hlk184826379"/>
      <w:r w:rsidRPr="000508B6">
        <w:rPr>
          <w:rFonts w:ascii="Times New Roman" w:eastAsia="Times New Roman" w:hAnsi="Times New Roman" w:cs="Times New Roman"/>
          <w:lang w:val="ro-MD"/>
        </w:rPr>
        <w:t xml:space="preserve">Licența pentru </w:t>
      </w:r>
      <w:proofErr w:type="spellStart"/>
      <w:r w:rsidRPr="000508B6">
        <w:rPr>
          <w:rFonts w:ascii="Times New Roman" w:eastAsia="Times New Roman" w:hAnsi="Times New Roman" w:cs="Times New Roman"/>
          <w:lang w:val="ro-MD"/>
        </w:rPr>
        <w:t>desfăşurarea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asigurare</w:t>
      </w:r>
      <w:bookmarkEnd w:id="32"/>
      <w:r w:rsidRPr="000508B6">
        <w:rPr>
          <w:rFonts w:ascii="Times New Roman" w:eastAsia="Times New Roman" w:hAnsi="Times New Roman" w:cs="Times New Roman"/>
          <w:lang w:val="ro-MD"/>
        </w:rPr>
        <w:t xml:space="preserve"> se acordă pentru una dintre următoarele</w:t>
      </w:r>
      <w:r w:rsidR="00A93E2A" w:rsidRPr="000508B6">
        <w:rPr>
          <w:rFonts w:ascii="Times New Roman" w:eastAsia="Times New Roman" w:hAnsi="Times New Roman" w:cs="Times New Roman"/>
          <w:lang w:val="ro-MD"/>
        </w:rPr>
        <w:t xml:space="preserve"> </w:t>
      </w:r>
      <w:r w:rsidR="00287CA8" w:rsidRPr="000508B6">
        <w:rPr>
          <w:rFonts w:ascii="Times New Roman" w:eastAsia="Times New Roman" w:hAnsi="Times New Roman" w:cs="Times New Roman"/>
          <w:lang w:val="ro-MD"/>
        </w:rPr>
        <w:t>activități</w:t>
      </w:r>
      <w:r w:rsidRPr="000508B6">
        <w:rPr>
          <w:rFonts w:ascii="Times New Roman" w:eastAsia="Times New Roman" w:hAnsi="Times New Roman" w:cs="Times New Roman"/>
          <w:lang w:val="ro-MD"/>
        </w:rPr>
        <w:t>:</w:t>
      </w:r>
    </w:p>
    <w:p w14:paraId="6B541EA0" w14:textId="5587A25E" w:rsidR="002B4FCB" w:rsidRPr="000508B6" w:rsidRDefault="002B4FCB" w:rsidP="00784025">
      <w:pPr>
        <w:pStyle w:val="Listparagraf"/>
        <w:tabs>
          <w:tab w:val="left" w:pos="851"/>
          <w:tab w:val="left" w:pos="993"/>
        </w:tabs>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de </w:t>
      </w:r>
      <w:r w:rsidR="00F924D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w:t>
      </w:r>
    </w:p>
    <w:p w14:paraId="15D24C2A" w14:textId="3D659FF7" w:rsidR="002B4FCB" w:rsidRPr="000508B6" w:rsidRDefault="002B4FCB" w:rsidP="00784025">
      <w:pPr>
        <w:pStyle w:val="Listparagraf"/>
        <w:tabs>
          <w:tab w:val="left" w:pos="851"/>
          <w:tab w:val="left" w:pos="993"/>
        </w:tabs>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de </w:t>
      </w:r>
      <w:r w:rsidR="00F924D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general</w:t>
      </w:r>
      <w:r w:rsidR="00F924DF"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w:t>
      </w:r>
      <w:r w:rsidR="00152310" w:rsidRPr="000508B6">
        <w:rPr>
          <w:rFonts w:ascii="Times New Roman" w:eastAsia="Times New Roman" w:hAnsi="Times New Roman" w:cs="Times New Roman"/>
          <w:lang w:val="ro-MD"/>
        </w:rPr>
        <w:t xml:space="preserve"> </w:t>
      </w:r>
    </w:p>
    <w:p w14:paraId="49E0850F" w14:textId="5BD62F72" w:rsidR="002E11F5" w:rsidRPr="000508B6" w:rsidRDefault="002B4FCB" w:rsidP="00CF5AFA">
      <w:pPr>
        <w:pStyle w:val="Listparagraf"/>
        <w:numPr>
          <w:ilvl w:val="1"/>
          <w:numId w:val="90"/>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Licența</w:t>
      </w:r>
      <w:r w:rsidR="002E11F5" w:rsidRPr="000508B6">
        <w:rPr>
          <w:rFonts w:ascii="Times New Roman" w:eastAsia="Times New Roman" w:hAnsi="Times New Roman" w:cs="Times New Roman"/>
          <w:lang w:val="ro-MD"/>
        </w:rPr>
        <w:t xml:space="preserve"> pentru </w:t>
      </w:r>
      <w:proofErr w:type="spellStart"/>
      <w:r w:rsidR="002E11F5" w:rsidRPr="000508B6">
        <w:rPr>
          <w:rFonts w:ascii="Times New Roman" w:eastAsia="Times New Roman" w:hAnsi="Times New Roman" w:cs="Times New Roman"/>
          <w:lang w:val="ro-MD"/>
        </w:rPr>
        <w:t>desfăşurarea</w:t>
      </w:r>
      <w:proofErr w:type="spellEnd"/>
      <w:r w:rsidR="002E11F5" w:rsidRPr="000508B6">
        <w:rPr>
          <w:rFonts w:ascii="Times New Roman" w:eastAsia="Times New Roman" w:hAnsi="Times New Roman" w:cs="Times New Roman"/>
          <w:lang w:val="ro-MD"/>
        </w:rPr>
        <w:t xml:space="preserve"> </w:t>
      </w:r>
      <w:proofErr w:type="spellStart"/>
      <w:r w:rsidR="002E11F5" w:rsidRPr="000508B6">
        <w:rPr>
          <w:rFonts w:ascii="Times New Roman" w:eastAsia="Times New Roman" w:hAnsi="Times New Roman" w:cs="Times New Roman"/>
          <w:lang w:val="ro-MD"/>
        </w:rPr>
        <w:t>activităţii</w:t>
      </w:r>
      <w:proofErr w:type="spellEnd"/>
      <w:r w:rsidR="002E11F5" w:rsidRPr="000508B6">
        <w:rPr>
          <w:rFonts w:ascii="Times New Roman" w:eastAsia="Times New Roman" w:hAnsi="Times New Roman" w:cs="Times New Roman"/>
          <w:lang w:val="ro-MD"/>
        </w:rPr>
        <w:t xml:space="preserve"> de reasigurare se acordă pentru una dintre următoarele activități</w:t>
      </w:r>
      <w:bookmarkStart w:id="33" w:name="_Hlk183011950"/>
      <w:r w:rsidR="002E11F5" w:rsidRPr="000508B6">
        <w:rPr>
          <w:rFonts w:ascii="Times New Roman" w:eastAsia="Times New Roman" w:hAnsi="Times New Roman" w:cs="Times New Roman"/>
          <w:lang w:val="ro-MD"/>
        </w:rPr>
        <w:t>:</w:t>
      </w:r>
      <w:r w:rsidR="000662BA" w:rsidRPr="000508B6">
        <w:rPr>
          <w:rFonts w:ascii="Times New Roman" w:eastAsia="Calibri" w:hAnsi="Times New Roman" w:cs="Times New Roman"/>
          <w:lang w:val="ro-MD"/>
        </w:rPr>
        <w:t xml:space="preserve"> </w:t>
      </w:r>
    </w:p>
    <w:bookmarkEnd w:id="33"/>
    <w:p w14:paraId="455D7FA5" w14:textId="4A0445FB" w:rsidR="002E11F5" w:rsidRPr="000508B6" w:rsidRDefault="002E11F5" w:rsidP="002B4FCB">
      <w:pPr>
        <w:spacing w:after="0" w:line="240" w:lineRule="auto"/>
        <w:ind w:firstLine="426"/>
        <w:jc w:val="both"/>
        <w:rPr>
          <w:rFonts w:ascii="Times New Roman" w:eastAsia="Calibri" w:hAnsi="Times New Roman" w:cs="Times New Roman"/>
          <w:lang w:val="ro-MD"/>
        </w:rPr>
      </w:pPr>
      <w:r w:rsidRPr="000508B6">
        <w:rPr>
          <w:rFonts w:ascii="Times New Roman" w:eastAsia="Calibri" w:hAnsi="Times New Roman" w:cs="Times New Roman"/>
          <w:lang w:val="ro-MD"/>
        </w:rPr>
        <w:t xml:space="preserve">a) de reasigurare </w:t>
      </w:r>
      <w:r w:rsidR="00660E8A">
        <w:rPr>
          <w:rFonts w:ascii="Times New Roman" w:eastAsia="Calibri" w:hAnsi="Times New Roman" w:cs="Times New Roman"/>
          <w:lang w:val="ro-MD"/>
        </w:rPr>
        <w:t>de viață</w:t>
      </w:r>
      <w:r w:rsidRPr="000508B6">
        <w:rPr>
          <w:rFonts w:ascii="Times New Roman" w:eastAsia="Calibri" w:hAnsi="Times New Roman" w:cs="Times New Roman"/>
          <w:lang w:val="ro-MD"/>
        </w:rPr>
        <w:t>;</w:t>
      </w:r>
    </w:p>
    <w:p w14:paraId="2EF6A5B3" w14:textId="4BC0DDE6" w:rsidR="002E11F5" w:rsidRPr="000508B6" w:rsidRDefault="002E11F5" w:rsidP="002B4FCB">
      <w:pPr>
        <w:spacing w:after="0" w:line="240" w:lineRule="auto"/>
        <w:ind w:firstLine="426"/>
        <w:jc w:val="both"/>
        <w:rPr>
          <w:rFonts w:ascii="Times New Roman" w:eastAsia="Calibri" w:hAnsi="Times New Roman" w:cs="Times New Roman"/>
          <w:lang w:val="ro-MD"/>
        </w:rPr>
      </w:pPr>
      <w:r w:rsidRPr="000508B6">
        <w:rPr>
          <w:rFonts w:ascii="Times New Roman" w:eastAsia="Calibri" w:hAnsi="Times New Roman" w:cs="Times New Roman"/>
          <w:lang w:val="ro-MD"/>
        </w:rPr>
        <w:t xml:space="preserve">b) de reasigurare </w:t>
      </w:r>
      <w:r w:rsidR="00660E8A">
        <w:rPr>
          <w:rFonts w:ascii="Times New Roman" w:eastAsia="Calibri" w:hAnsi="Times New Roman" w:cs="Times New Roman"/>
          <w:lang w:val="ro-MD"/>
        </w:rPr>
        <w:t>generală</w:t>
      </w:r>
      <w:r w:rsidRPr="000508B6">
        <w:rPr>
          <w:rFonts w:ascii="Times New Roman" w:eastAsia="Calibri" w:hAnsi="Times New Roman" w:cs="Times New Roman"/>
          <w:lang w:val="ro-MD"/>
        </w:rPr>
        <w:t>;</w:t>
      </w:r>
    </w:p>
    <w:p w14:paraId="473F85D0" w14:textId="7AB49E45" w:rsidR="002E11F5" w:rsidRPr="000508B6" w:rsidRDefault="002E11F5" w:rsidP="002B4FCB">
      <w:pPr>
        <w:spacing w:after="0" w:line="240" w:lineRule="auto"/>
        <w:ind w:firstLine="426"/>
        <w:jc w:val="both"/>
        <w:rPr>
          <w:rFonts w:ascii="Times New Roman" w:eastAsia="Calibri" w:hAnsi="Times New Roman" w:cs="Times New Roman"/>
          <w:lang w:val="ro-MD"/>
        </w:rPr>
      </w:pPr>
      <w:r w:rsidRPr="000508B6">
        <w:rPr>
          <w:rFonts w:ascii="Times New Roman" w:eastAsia="Calibri" w:hAnsi="Times New Roman" w:cs="Times New Roman"/>
          <w:lang w:val="ro-MD"/>
        </w:rPr>
        <w:t xml:space="preserve">c) </w:t>
      </w:r>
      <w:r w:rsidR="00B1575E" w:rsidRPr="000508B6">
        <w:rPr>
          <w:rFonts w:ascii="Times New Roman" w:eastAsia="Calibri" w:hAnsi="Times New Roman" w:cs="Times New Roman"/>
          <w:lang w:val="ro-MD"/>
        </w:rPr>
        <w:t>orice tip de activitate de reasigurare</w:t>
      </w:r>
      <w:r w:rsidRPr="000508B6">
        <w:rPr>
          <w:rFonts w:ascii="Times New Roman" w:eastAsia="Calibri" w:hAnsi="Times New Roman" w:cs="Times New Roman"/>
          <w:lang w:val="ro-MD"/>
        </w:rPr>
        <w:t>.</w:t>
      </w:r>
      <w:r w:rsidR="00152310" w:rsidRPr="000508B6">
        <w:rPr>
          <w:rFonts w:ascii="Times New Roman" w:eastAsia="Calibri" w:hAnsi="Times New Roman" w:cs="Times New Roman"/>
          <w:lang w:val="ro-MD"/>
        </w:rPr>
        <w:t xml:space="preserve"> </w:t>
      </w:r>
    </w:p>
    <w:p w14:paraId="47EF9CC9" w14:textId="34343211" w:rsidR="00907F15" w:rsidRPr="000508B6" w:rsidRDefault="00907F15" w:rsidP="00CF5AFA">
      <w:pPr>
        <w:pStyle w:val="Listparagraf"/>
        <w:numPr>
          <w:ilvl w:val="1"/>
          <w:numId w:val="90"/>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Licenț</w:t>
      </w:r>
      <w:r w:rsidR="002A7501" w:rsidRPr="000508B6">
        <w:rPr>
          <w:rFonts w:ascii="Times New Roman" w:eastAsia="Times New Roman" w:hAnsi="Times New Roman" w:cs="Times New Roman"/>
          <w:lang w:val="ro-MD"/>
        </w:rPr>
        <w:t xml:space="preserve">a </w:t>
      </w:r>
      <w:r w:rsidR="001F0BE2" w:rsidRPr="000508B6">
        <w:rPr>
          <w:rFonts w:ascii="Times New Roman" w:eastAsia="Times New Roman" w:hAnsi="Times New Roman" w:cs="Times New Roman"/>
          <w:lang w:val="ro-MD"/>
        </w:rPr>
        <w:t xml:space="preserve">acordată </w:t>
      </w:r>
      <w:r w:rsidR="00851873" w:rsidRPr="000508B6">
        <w:rPr>
          <w:rFonts w:ascii="Times New Roman" w:eastAsia="Times New Roman" w:hAnsi="Times New Roman" w:cs="Times New Roman"/>
          <w:lang w:val="ro-MD"/>
        </w:rPr>
        <w:t xml:space="preserve">asigurătorului </w:t>
      </w:r>
      <w:r w:rsidR="00295CDB" w:rsidRPr="000508B6">
        <w:rPr>
          <w:rFonts w:ascii="Times New Roman" w:eastAsia="Times New Roman" w:hAnsi="Times New Roman" w:cs="Times New Roman"/>
          <w:lang w:val="ro-MD"/>
        </w:rPr>
        <w:t xml:space="preserve">sau </w:t>
      </w:r>
      <w:proofErr w:type="spellStart"/>
      <w:r w:rsidR="00851873" w:rsidRPr="000508B6">
        <w:rPr>
          <w:rFonts w:ascii="Times New Roman" w:eastAsia="Times New Roman" w:hAnsi="Times New Roman" w:cs="Times New Roman"/>
          <w:lang w:val="ro-MD"/>
        </w:rPr>
        <w:t>reasigurătorului</w:t>
      </w:r>
      <w:proofErr w:type="spellEnd"/>
      <w:r w:rsidR="00851873"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prevăzute la art. </w:t>
      </w:r>
      <w:r w:rsidR="00FC362A" w:rsidRPr="000508B6">
        <w:rPr>
          <w:rFonts w:ascii="Times New Roman" w:eastAsia="Times New Roman" w:hAnsi="Times New Roman" w:cs="Times New Roman"/>
          <w:lang w:val="ro-MD"/>
        </w:rPr>
        <w:t xml:space="preserve">6 </w:t>
      </w:r>
      <w:r w:rsidRPr="000508B6">
        <w:rPr>
          <w:rFonts w:ascii="Times New Roman" w:eastAsia="Times New Roman" w:hAnsi="Times New Roman" w:cs="Times New Roman"/>
          <w:lang w:val="ro-MD"/>
        </w:rPr>
        <w:t xml:space="preserve">este valabilă în </w:t>
      </w:r>
      <w:r w:rsidR="00AF0793" w:rsidRPr="000508B6">
        <w:rPr>
          <w:rFonts w:ascii="Times New Roman" w:eastAsia="Times New Roman" w:hAnsi="Times New Roman" w:cs="Times New Roman"/>
          <w:lang w:val="ro-MD"/>
        </w:rPr>
        <w:t xml:space="preserve">Republica Moldova, precum și </w:t>
      </w:r>
      <w:r w:rsidRPr="000508B6">
        <w:rPr>
          <w:rFonts w:ascii="Times New Roman" w:eastAsia="Times New Roman" w:hAnsi="Times New Roman" w:cs="Times New Roman"/>
          <w:lang w:val="ro-MD"/>
        </w:rPr>
        <w:t xml:space="preserve">toate statele membre pentru </w:t>
      </w:r>
      <w:proofErr w:type="spellStart"/>
      <w:r w:rsidRPr="000508B6">
        <w:rPr>
          <w:rFonts w:ascii="Times New Roman" w:eastAsia="Times New Roman" w:hAnsi="Times New Roman" w:cs="Times New Roman"/>
          <w:lang w:val="ro-MD"/>
        </w:rPr>
        <w:t>desfăşurarea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în baza dreptului de stabilire sau a </w:t>
      </w:r>
      <w:proofErr w:type="spellStart"/>
      <w:r w:rsidRPr="000508B6">
        <w:rPr>
          <w:rFonts w:ascii="Times New Roman" w:eastAsia="Times New Roman" w:hAnsi="Times New Roman" w:cs="Times New Roman"/>
          <w:lang w:val="ro-MD"/>
        </w:rPr>
        <w:t>libertăţii</w:t>
      </w:r>
      <w:proofErr w:type="spellEnd"/>
      <w:r w:rsidRPr="000508B6">
        <w:rPr>
          <w:rFonts w:ascii="Times New Roman" w:eastAsia="Times New Roman" w:hAnsi="Times New Roman" w:cs="Times New Roman"/>
          <w:lang w:val="ro-MD"/>
        </w:rPr>
        <w:t xml:space="preserve"> de a presta servicii</w:t>
      </w:r>
      <w:r w:rsidR="009E01E4" w:rsidRPr="000508B6">
        <w:rPr>
          <w:rFonts w:ascii="Times New Roman" w:eastAsia="Times New Roman" w:hAnsi="Times New Roman" w:cs="Times New Roman"/>
          <w:lang w:val="ro-MD"/>
        </w:rPr>
        <w:t xml:space="preserve">, astfel cum este prevăzut la </w:t>
      </w:r>
      <w:r w:rsidR="006F30DF" w:rsidRPr="000508B6">
        <w:rPr>
          <w:rFonts w:ascii="Times New Roman" w:eastAsia="Times New Roman" w:hAnsi="Times New Roman" w:cs="Times New Roman"/>
          <w:lang w:val="ro-MD"/>
        </w:rPr>
        <w:t>art. 91-94</w:t>
      </w:r>
      <w:r w:rsidRPr="000508B6">
        <w:rPr>
          <w:rFonts w:ascii="Times New Roman" w:eastAsia="Times New Roman" w:hAnsi="Times New Roman" w:cs="Times New Roman"/>
          <w:lang w:val="ro-MD"/>
        </w:rPr>
        <w:t>.</w:t>
      </w:r>
    </w:p>
    <w:p w14:paraId="4993F4F0" w14:textId="4AA77BC4" w:rsidR="00F95829" w:rsidRPr="000508B6" w:rsidRDefault="00F95829" w:rsidP="00CF5AFA">
      <w:pPr>
        <w:pStyle w:val="Listparagraf"/>
        <w:numPr>
          <w:ilvl w:val="1"/>
          <w:numId w:val="90"/>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Clasele de </w:t>
      </w:r>
      <w:r w:rsidR="00A4279C"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sunt stabilite în </w:t>
      </w:r>
      <w:r w:rsidR="002C46E4"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nexa </w:t>
      </w:r>
      <w:r w:rsidR="004012A7" w:rsidRPr="000508B6">
        <w:rPr>
          <w:rFonts w:ascii="Times New Roman" w:eastAsia="Times New Roman" w:hAnsi="Times New Roman" w:cs="Times New Roman"/>
          <w:lang w:val="ro-MD"/>
        </w:rPr>
        <w:t>nr.</w:t>
      </w:r>
      <w:r w:rsidRPr="000508B6">
        <w:rPr>
          <w:rFonts w:ascii="Times New Roman" w:eastAsia="Times New Roman" w:hAnsi="Times New Roman" w:cs="Times New Roman"/>
          <w:lang w:val="ro-MD"/>
        </w:rPr>
        <w:t>1</w:t>
      </w:r>
      <w:r w:rsidR="002A1AB3" w:rsidRPr="000508B6">
        <w:rPr>
          <w:rFonts w:ascii="Times New Roman" w:eastAsia="Times New Roman" w:hAnsi="Times New Roman" w:cs="Times New Roman"/>
          <w:lang w:val="ro-MD"/>
        </w:rPr>
        <w:t xml:space="preserve"> </w:t>
      </w:r>
      <w:r w:rsidR="004012A7" w:rsidRPr="000508B6">
        <w:rPr>
          <w:rFonts w:ascii="Times New Roman" w:eastAsia="Times New Roman" w:hAnsi="Times New Roman" w:cs="Times New Roman"/>
          <w:lang w:val="ro-MD"/>
        </w:rPr>
        <w:t>S</w:t>
      </w:r>
      <w:r w:rsidR="002C46E4" w:rsidRPr="000508B6">
        <w:rPr>
          <w:rFonts w:ascii="Times New Roman" w:eastAsia="Times New Roman" w:hAnsi="Times New Roman" w:cs="Times New Roman"/>
          <w:lang w:val="ro-MD"/>
        </w:rPr>
        <w:t xml:space="preserve">ecțiunea A </w:t>
      </w:r>
      <w:r w:rsidR="002A1AB3" w:rsidRPr="000508B6">
        <w:rPr>
          <w:rFonts w:ascii="Times New Roman" w:eastAsia="Times New Roman" w:hAnsi="Times New Roman" w:cs="Times New Roman"/>
          <w:lang w:val="ro-MD"/>
        </w:rPr>
        <w:t xml:space="preserve">și </w:t>
      </w:r>
      <w:r w:rsidR="002C46E4" w:rsidRPr="000508B6">
        <w:rPr>
          <w:rFonts w:ascii="Times New Roman" w:eastAsia="Times New Roman" w:hAnsi="Times New Roman" w:cs="Times New Roman"/>
          <w:lang w:val="ro-MD"/>
        </w:rPr>
        <w:t>A</w:t>
      </w:r>
      <w:r w:rsidR="002A1AB3" w:rsidRPr="000508B6">
        <w:rPr>
          <w:rFonts w:ascii="Times New Roman" w:eastAsia="Times New Roman" w:hAnsi="Times New Roman" w:cs="Times New Roman"/>
          <w:lang w:val="ro-MD"/>
        </w:rPr>
        <w:t xml:space="preserve">nexa </w:t>
      </w:r>
      <w:r w:rsidR="002C46E4" w:rsidRPr="000508B6">
        <w:rPr>
          <w:rFonts w:ascii="Times New Roman" w:eastAsia="Times New Roman" w:hAnsi="Times New Roman" w:cs="Times New Roman"/>
          <w:lang w:val="ro-MD"/>
        </w:rPr>
        <w:t>nr.</w:t>
      </w:r>
      <w:r w:rsidR="004012A7"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w:t>
      </w:r>
    </w:p>
    <w:p w14:paraId="4535B533" w14:textId="6EC3B152" w:rsidR="00F95829" w:rsidRPr="000508B6" w:rsidRDefault="00F95829" w:rsidP="00CF5AFA">
      <w:pPr>
        <w:pStyle w:val="Listparagraf"/>
        <w:numPr>
          <w:ilvl w:val="1"/>
          <w:numId w:val="90"/>
        </w:numPr>
        <w:tabs>
          <w:tab w:val="left" w:pos="851"/>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 xml:space="preserve"> acoperă întreaga clasă de asigurare</w:t>
      </w:r>
      <w:r w:rsidR="00C208F1" w:rsidRPr="000508B6">
        <w:rPr>
          <w:rFonts w:ascii="Times New Roman" w:eastAsia="Times New Roman" w:hAnsi="Times New Roman" w:cs="Times New Roman"/>
          <w:lang w:val="ro-MD"/>
        </w:rPr>
        <w:t xml:space="preserve"> </w:t>
      </w:r>
      <w:r w:rsidR="00851873" w:rsidRPr="000508B6">
        <w:rPr>
          <w:rFonts w:ascii="Times New Roman" w:eastAsia="Times New Roman" w:hAnsi="Times New Roman" w:cs="Times New Roman"/>
          <w:lang w:val="ro-MD"/>
        </w:rPr>
        <w:t xml:space="preserve">prevăzută </w:t>
      </w:r>
      <w:r w:rsidR="00C208F1" w:rsidRPr="000508B6">
        <w:rPr>
          <w:rFonts w:ascii="Times New Roman" w:eastAsia="Times New Roman" w:hAnsi="Times New Roman" w:cs="Times New Roman"/>
          <w:lang w:val="ro-MD"/>
        </w:rPr>
        <w:t>în Anexa nr. 1 Secțiun</w:t>
      </w:r>
      <w:r w:rsidR="00943BC2" w:rsidRPr="000508B6">
        <w:rPr>
          <w:rFonts w:ascii="Times New Roman" w:eastAsia="Times New Roman" w:hAnsi="Times New Roman" w:cs="Times New Roman"/>
          <w:lang w:val="ro-MD"/>
        </w:rPr>
        <w:t>ile</w:t>
      </w:r>
      <w:r w:rsidR="00C208F1" w:rsidRPr="000508B6">
        <w:rPr>
          <w:rFonts w:ascii="Times New Roman" w:eastAsia="Times New Roman" w:hAnsi="Times New Roman" w:cs="Times New Roman"/>
          <w:lang w:val="ro-MD"/>
        </w:rPr>
        <w:t xml:space="preserve"> A</w:t>
      </w:r>
      <w:r w:rsidR="00943BC2" w:rsidRPr="000508B6">
        <w:rPr>
          <w:rFonts w:ascii="Times New Roman" w:eastAsia="Times New Roman" w:hAnsi="Times New Roman" w:cs="Times New Roman"/>
          <w:lang w:val="ro-MD"/>
        </w:rPr>
        <w:t xml:space="preserve"> și B</w:t>
      </w:r>
      <w:r w:rsidRPr="000508B6">
        <w:rPr>
          <w:rFonts w:ascii="Times New Roman" w:eastAsia="Times New Roman" w:hAnsi="Times New Roman" w:cs="Times New Roman"/>
          <w:lang w:val="ro-MD"/>
        </w:rPr>
        <w:t xml:space="preserve">, cu </w:t>
      </w:r>
      <w:proofErr w:type="spellStart"/>
      <w:r w:rsidRPr="000508B6">
        <w:rPr>
          <w:rFonts w:ascii="Times New Roman" w:eastAsia="Times New Roman" w:hAnsi="Times New Roman" w:cs="Times New Roman"/>
          <w:lang w:val="ro-MD"/>
        </w:rPr>
        <w:t>excepţia</w:t>
      </w:r>
      <w:proofErr w:type="spellEnd"/>
      <w:r w:rsidRPr="000508B6">
        <w:rPr>
          <w:rFonts w:ascii="Times New Roman" w:eastAsia="Times New Roman" w:hAnsi="Times New Roman" w:cs="Times New Roman"/>
          <w:lang w:val="ro-MD"/>
        </w:rPr>
        <w:t xml:space="preserve"> cazului în care </w:t>
      </w:r>
      <w:r w:rsidR="004125E8"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solicitant </w:t>
      </w:r>
      <w:proofErr w:type="spellStart"/>
      <w:r w:rsidRPr="000508B6">
        <w:rPr>
          <w:rFonts w:ascii="Times New Roman" w:eastAsia="Times New Roman" w:hAnsi="Times New Roman" w:cs="Times New Roman"/>
          <w:lang w:val="ro-MD"/>
        </w:rPr>
        <w:t>doreşte</w:t>
      </w:r>
      <w:proofErr w:type="spellEnd"/>
      <w:r w:rsidRPr="000508B6">
        <w:rPr>
          <w:rFonts w:ascii="Times New Roman" w:eastAsia="Times New Roman" w:hAnsi="Times New Roman" w:cs="Times New Roman"/>
          <w:lang w:val="ro-MD"/>
        </w:rPr>
        <w:t xml:space="preserve"> să acopere numai o parte dintre riscurile care </w:t>
      </w:r>
      <w:proofErr w:type="spellStart"/>
      <w:r w:rsidRPr="000508B6">
        <w:rPr>
          <w:rFonts w:ascii="Times New Roman" w:eastAsia="Times New Roman" w:hAnsi="Times New Roman" w:cs="Times New Roman"/>
          <w:lang w:val="ro-MD"/>
        </w:rPr>
        <w:t>aparţin</w:t>
      </w:r>
      <w:proofErr w:type="spellEnd"/>
      <w:r w:rsidRPr="000508B6">
        <w:rPr>
          <w:rFonts w:ascii="Times New Roman" w:eastAsia="Times New Roman" w:hAnsi="Times New Roman" w:cs="Times New Roman"/>
          <w:lang w:val="ro-MD"/>
        </w:rPr>
        <w:t xml:space="preserve"> clasei în cauză. </w:t>
      </w:r>
      <w:r w:rsidR="00292602" w:rsidRPr="000508B6">
        <w:rPr>
          <w:rFonts w:ascii="Times New Roman" w:eastAsia="Times New Roman" w:hAnsi="Times New Roman" w:cs="Times New Roman"/>
          <w:lang w:val="ro-MD"/>
        </w:rPr>
        <w:t>Riscurile cuprinse într-o clasă de asigurare nu pot fi clasificate într-o altă clasă de asigurare, cu excepția cazurilor menționate la alin. (11) și (12).</w:t>
      </w:r>
    </w:p>
    <w:p w14:paraId="387548F5" w14:textId="354AF43B" w:rsidR="00F95829" w:rsidRPr="000508B6" w:rsidRDefault="00F95829" w:rsidP="00CF5AFA">
      <w:pPr>
        <w:pStyle w:val="Listparagraf"/>
        <w:numPr>
          <w:ilvl w:val="1"/>
          <w:numId w:val="90"/>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 derogare de la alin.</w:t>
      </w:r>
      <w:r w:rsidR="003A52E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121214"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w:t>
      </w:r>
      <w:r w:rsidR="00E94EC1" w:rsidRPr="000508B6">
        <w:rPr>
          <w:rFonts w:ascii="Times New Roman" w:eastAsia="Times New Roman" w:hAnsi="Times New Roman" w:cs="Times New Roman"/>
          <w:lang w:val="ro-MD"/>
        </w:rPr>
        <w:t>asigurătorul</w:t>
      </w:r>
      <w:r w:rsidR="00E637A8" w:rsidRPr="000508B6">
        <w:rPr>
          <w:rFonts w:ascii="Times New Roman" w:eastAsia="Times New Roman" w:hAnsi="Times New Roman" w:cs="Times New Roman"/>
          <w:lang w:val="ro-MD"/>
        </w:rPr>
        <w:t xml:space="preserve"> </w:t>
      </w:r>
      <w:r w:rsidR="007B2181" w:rsidRPr="000508B6">
        <w:rPr>
          <w:rFonts w:ascii="Times New Roman" w:eastAsia="Times New Roman" w:hAnsi="Times New Roman" w:cs="Times New Roman"/>
          <w:lang w:val="ro-MD"/>
        </w:rPr>
        <w:t>licenția</w:t>
      </w:r>
      <w:r w:rsidR="00E637A8" w:rsidRPr="000508B6">
        <w:rPr>
          <w:rFonts w:ascii="Times New Roman" w:eastAsia="Times New Roman" w:hAnsi="Times New Roman" w:cs="Times New Roman"/>
          <w:lang w:val="ro-MD"/>
        </w:rPr>
        <w:t>t</w:t>
      </w:r>
      <w:r w:rsidR="007B218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pentru </w:t>
      </w:r>
      <w:r w:rsidR="005570B9" w:rsidRPr="000508B6">
        <w:rPr>
          <w:rFonts w:ascii="Times New Roman" w:eastAsia="Times New Roman" w:hAnsi="Times New Roman" w:cs="Times New Roman"/>
          <w:lang w:val="ro-MD"/>
        </w:rPr>
        <w:t>desfășurarea</w:t>
      </w:r>
      <w:r w:rsidRPr="000508B6">
        <w:rPr>
          <w:rFonts w:ascii="Times New Roman" w:eastAsia="Times New Roman" w:hAnsi="Times New Roman" w:cs="Times New Roman"/>
          <w:lang w:val="ro-MD"/>
        </w:rPr>
        <w:t xml:space="preserve"> </w:t>
      </w:r>
      <w:r w:rsidR="005570B9" w:rsidRPr="000508B6">
        <w:rPr>
          <w:rFonts w:ascii="Times New Roman" w:eastAsia="Times New Roman" w:hAnsi="Times New Roman" w:cs="Times New Roman"/>
          <w:lang w:val="ro-MD"/>
        </w:rPr>
        <w:t>activității de asigurare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po</w:t>
      </w:r>
      <w:r w:rsidR="00E637A8"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t</w:t>
      </w:r>
      <w:r w:rsidR="00E637A8"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solicita extinderea </w:t>
      </w:r>
      <w:r w:rsidR="007B2181" w:rsidRPr="000508B6">
        <w:rPr>
          <w:rFonts w:ascii="Times New Roman" w:eastAsia="Times New Roman" w:hAnsi="Times New Roman" w:cs="Times New Roman"/>
          <w:lang w:val="ro-MD"/>
        </w:rPr>
        <w:t xml:space="preserve">licenței </w:t>
      </w:r>
      <w:r w:rsidR="00764B33" w:rsidRPr="000508B6">
        <w:rPr>
          <w:rFonts w:ascii="Times New Roman" w:eastAsia="Times New Roman" w:hAnsi="Times New Roman" w:cs="Times New Roman"/>
          <w:lang w:val="ro-MD"/>
        </w:rPr>
        <w:t>în ceea ce privește</w:t>
      </w:r>
      <w:r w:rsidRPr="000508B6">
        <w:rPr>
          <w:rFonts w:ascii="Times New Roman" w:eastAsia="Times New Roman" w:hAnsi="Times New Roman" w:cs="Times New Roman"/>
          <w:lang w:val="ro-MD"/>
        </w:rPr>
        <w:t xml:space="preserve"> riscurile din clasele 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2 din </w:t>
      </w:r>
      <w:r w:rsidR="002C46E4"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nexa nr. 1 </w:t>
      </w:r>
      <w:proofErr w:type="spellStart"/>
      <w:r w:rsidR="002A1AB3"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ecţiunea</w:t>
      </w:r>
      <w:proofErr w:type="spellEnd"/>
      <w:r w:rsidRPr="000508B6">
        <w:rPr>
          <w:rFonts w:ascii="Times New Roman" w:eastAsia="Times New Roman" w:hAnsi="Times New Roman" w:cs="Times New Roman"/>
          <w:lang w:val="ro-MD"/>
        </w:rPr>
        <w:t xml:space="preserve"> A, iar </w:t>
      </w:r>
      <w:r w:rsidR="00E94EC1" w:rsidRPr="000508B6">
        <w:rPr>
          <w:rFonts w:ascii="Times New Roman" w:eastAsia="Times New Roman" w:hAnsi="Times New Roman" w:cs="Times New Roman"/>
          <w:lang w:val="ro-MD"/>
        </w:rPr>
        <w:t>asigurătorul</w:t>
      </w:r>
      <w:r w:rsidR="00E637A8" w:rsidRPr="000508B6">
        <w:rPr>
          <w:rFonts w:ascii="Times New Roman" w:eastAsia="Times New Roman" w:hAnsi="Times New Roman" w:cs="Times New Roman"/>
          <w:lang w:val="ro-MD"/>
        </w:rPr>
        <w:t xml:space="preserve"> </w:t>
      </w:r>
      <w:r w:rsidR="00B92928" w:rsidRPr="000508B6">
        <w:rPr>
          <w:rFonts w:ascii="Times New Roman" w:eastAsia="Times New Roman" w:hAnsi="Times New Roman" w:cs="Times New Roman"/>
          <w:lang w:val="ro-MD"/>
        </w:rPr>
        <w:t>licenția</w:t>
      </w:r>
      <w:r w:rsidR="00E637A8" w:rsidRPr="000508B6">
        <w:rPr>
          <w:rFonts w:ascii="Times New Roman" w:eastAsia="Times New Roman" w:hAnsi="Times New Roman" w:cs="Times New Roman"/>
          <w:lang w:val="ro-MD"/>
        </w:rPr>
        <w:t>t</w:t>
      </w:r>
      <w:r w:rsidR="007B218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numai pentru </w:t>
      </w:r>
      <w:r w:rsidR="005570B9" w:rsidRPr="000508B6">
        <w:rPr>
          <w:rFonts w:ascii="Times New Roman" w:eastAsia="Times New Roman" w:hAnsi="Times New Roman" w:cs="Times New Roman"/>
          <w:lang w:val="ro-MD"/>
        </w:rPr>
        <w:t xml:space="preserve">subscrierea riscurilor din </w:t>
      </w:r>
      <w:r w:rsidR="002F4B8F" w:rsidRPr="000508B6">
        <w:rPr>
          <w:rFonts w:ascii="Times New Roman" w:eastAsia="Times New Roman" w:hAnsi="Times New Roman" w:cs="Times New Roman"/>
          <w:lang w:val="ro-MD"/>
        </w:rPr>
        <w:t>clasel</w:t>
      </w:r>
      <w:r w:rsidR="005570B9" w:rsidRPr="000508B6">
        <w:rPr>
          <w:rFonts w:ascii="Times New Roman" w:eastAsia="Times New Roman" w:hAnsi="Times New Roman" w:cs="Times New Roman"/>
          <w:lang w:val="ro-MD"/>
        </w:rPr>
        <w:t>e</w:t>
      </w:r>
      <w:r w:rsidR="002F4B8F" w:rsidRPr="000508B6">
        <w:rPr>
          <w:rFonts w:ascii="Times New Roman" w:eastAsia="Times New Roman" w:hAnsi="Times New Roman" w:cs="Times New Roman"/>
          <w:lang w:val="ro-MD"/>
        </w:rPr>
        <w:t xml:space="preserve"> 1 </w:t>
      </w:r>
      <w:proofErr w:type="spellStart"/>
      <w:r w:rsidR="002F4B8F" w:rsidRPr="000508B6">
        <w:rPr>
          <w:rFonts w:ascii="Times New Roman" w:eastAsia="Times New Roman" w:hAnsi="Times New Roman" w:cs="Times New Roman"/>
          <w:lang w:val="ro-MD"/>
        </w:rPr>
        <w:t>şi</w:t>
      </w:r>
      <w:proofErr w:type="spellEnd"/>
      <w:r w:rsidR="002F4B8F" w:rsidRPr="000508B6">
        <w:rPr>
          <w:rFonts w:ascii="Times New Roman" w:eastAsia="Times New Roman" w:hAnsi="Times New Roman" w:cs="Times New Roman"/>
          <w:lang w:val="ro-MD"/>
        </w:rPr>
        <w:t xml:space="preserve"> 2 din </w:t>
      </w:r>
      <w:r w:rsidR="002C46E4" w:rsidRPr="000508B6">
        <w:rPr>
          <w:rFonts w:ascii="Times New Roman" w:eastAsia="Times New Roman" w:hAnsi="Times New Roman" w:cs="Times New Roman"/>
          <w:lang w:val="ro-MD"/>
        </w:rPr>
        <w:t>A</w:t>
      </w:r>
      <w:r w:rsidR="002F4B8F" w:rsidRPr="000508B6">
        <w:rPr>
          <w:rFonts w:ascii="Times New Roman" w:eastAsia="Times New Roman" w:hAnsi="Times New Roman" w:cs="Times New Roman"/>
          <w:lang w:val="ro-MD"/>
        </w:rPr>
        <w:t xml:space="preserve">nexa nr. 1 </w:t>
      </w:r>
      <w:proofErr w:type="spellStart"/>
      <w:r w:rsidR="002A1AB3" w:rsidRPr="000508B6">
        <w:rPr>
          <w:rFonts w:ascii="Times New Roman" w:eastAsia="Times New Roman" w:hAnsi="Times New Roman" w:cs="Times New Roman"/>
          <w:lang w:val="ro-MD"/>
        </w:rPr>
        <w:t>S</w:t>
      </w:r>
      <w:r w:rsidR="002F4B8F" w:rsidRPr="000508B6">
        <w:rPr>
          <w:rFonts w:ascii="Times New Roman" w:eastAsia="Times New Roman" w:hAnsi="Times New Roman" w:cs="Times New Roman"/>
          <w:lang w:val="ro-MD"/>
        </w:rPr>
        <w:t>ecţiunea</w:t>
      </w:r>
      <w:proofErr w:type="spellEnd"/>
      <w:r w:rsidR="002F4B8F" w:rsidRPr="000508B6">
        <w:rPr>
          <w:rFonts w:ascii="Times New Roman" w:eastAsia="Times New Roman" w:hAnsi="Times New Roman" w:cs="Times New Roman"/>
          <w:lang w:val="ro-MD"/>
        </w:rPr>
        <w:t xml:space="preserve"> A </w:t>
      </w:r>
      <w:r w:rsidRPr="000508B6">
        <w:rPr>
          <w:rFonts w:ascii="Times New Roman" w:eastAsia="Times New Roman" w:hAnsi="Times New Roman" w:cs="Times New Roman"/>
          <w:lang w:val="ro-MD"/>
        </w:rPr>
        <w:t>po</w:t>
      </w:r>
      <w:r w:rsidR="003259EB"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t</w:t>
      </w:r>
      <w:r w:rsidR="003259EB"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solicita extinderea </w:t>
      </w:r>
      <w:r w:rsidR="007B2181" w:rsidRPr="000508B6">
        <w:rPr>
          <w:rFonts w:ascii="Times New Roman" w:eastAsia="Times New Roman" w:hAnsi="Times New Roman" w:cs="Times New Roman"/>
          <w:lang w:val="ro-MD"/>
        </w:rPr>
        <w:t xml:space="preserve">licenței </w:t>
      </w:r>
      <w:r w:rsidRPr="000508B6">
        <w:rPr>
          <w:rFonts w:ascii="Times New Roman" w:eastAsia="Times New Roman" w:hAnsi="Times New Roman" w:cs="Times New Roman"/>
          <w:lang w:val="ro-MD"/>
        </w:rPr>
        <w:t xml:space="preserve">pentru </w:t>
      </w:r>
      <w:r w:rsidR="00C915E7" w:rsidRPr="000508B6">
        <w:rPr>
          <w:rFonts w:ascii="Times New Roman" w:eastAsia="Times New Roman" w:hAnsi="Times New Roman" w:cs="Times New Roman"/>
          <w:lang w:val="ro-MD"/>
        </w:rPr>
        <w:t>desfășurarea</w:t>
      </w:r>
      <w:r w:rsidRPr="000508B6">
        <w:rPr>
          <w:rFonts w:ascii="Times New Roman" w:eastAsia="Times New Roman" w:hAnsi="Times New Roman" w:cs="Times New Roman"/>
          <w:lang w:val="ro-MD"/>
        </w:rPr>
        <w:t xml:space="preserve"> </w:t>
      </w:r>
      <w:r w:rsidR="00C915E7" w:rsidRPr="000508B6">
        <w:rPr>
          <w:rFonts w:ascii="Times New Roman" w:eastAsia="Times New Roman" w:hAnsi="Times New Roman" w:cs="Times New Roman"/>
          <w:lang w:val="ro-MD"/>
        </w:rPr>
        <w:t xml:space="preserve"> activității de asigurare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w:t>
      </w:r>
      <w:r w:rsidR="00152310" w:rsidRPr="000508B6">
        <w:rPr>
          <w:rFonts w:ascii="Times New Roman" w:eastAsia="Times New Roman" w:hAnsi="Times New Roman" w:cs="Times New Roman"/>
          <w:lang w:val="ro-MD"/>
        </w:rPr>
        <w:t xml:space="preserve"> </w:t>
      </w:r>
    </w:p>
    <w:p w14:paraId="404C7F21" w14:textId="2C87B787" w:rsidR="006114F3" w:rsidRPr="000508B6" w:rsidRDefault="00851873" w:rsidP="00FD0FFD">
      <w:pPr>
        <w:pStyle w:val="Listparagraf"/>
        <w:numPr>
          <w:ilvl w:val="1"/>
          <w:numId w:val="9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6114F3" w:rsidRPr="000508B6">
        <w:rPr>
          <w:rFonts w:ascii="Times New Roman" w:eastAsia="Times New Roman" w:hAnsi="Times New Roman" w:cs="Times New Roman"/>
          <w:lang w:val="ro-MD"/>
        </w:rPr>
        <w:t>În cazul asigurări</w:t>
      </w:r>
      <w:r w:rsidR="00F924DF" w:rsidRPr="000508B6">
        <w:rPr>
          <w:rFonts w:ascii="Times New Roman" w:eastAsia="Times New Roman" w:hAnsi="Times New Roman" w:cs="Times New Roman"/>
          <w:lang w:val="ro-MD"/>
        </w:rPr>
        <w:t>i</w:t>
      </w:r>
      <w:r w:rsidR="006114F3" w:rsidRPr="000508B6">
        <w:rPr>
          <w:rFonts w:ascii="Times New Roman" w:eastAsia="Times New Roman" w:hAnsi="Times New Roman" w:cs="Times New Roman"/>
          <w:lang w:val="ro-MD"/>
        </w:rPr>
        <w:t xml:space="preserve"> generale, </w:t>
      </w:r>
      <w:r w:rsidR="002E11F5" w:rsidRPr="000508B6">
        <w:rPr>
          <w:rFonts w:ascii="Times New Roman" w:eastAsia="Times New Roman" w:hAnsi="Times New Roman" w:cs="Times New Roman"/>
          <w:lang w:val="ro-MD"/>
        </w:rPr>
        <w:t>licența</w:t>
      </w:r>
      <w:r w:rsidR="006114F3" w:rsidRPr="000508B6">
        <w:rPr>
          <w:rFonts w:ascii="Times New Roman" w:eastAsia="Times New Roman" w:hAnsi="Times New Roman" w:cs="Times New Roman"/>
          <w:lang w:val="ro-MD"/>
        </w:rPr>
        <w:t xml:space="preserve"> se poate acorda </w:t>
      </w:r>
      <w:proofErr w:type="spellStart"/>
      <w:r w:rsidR="006114F3" w:rsidRPr="000508B6">
        <w:rPr>
          <w:rFonts w:ascii="Times New Roman" w:eastAsia="Times New Roman" w:hAnsi="Times New Roman" w:cs="Times New Roman"/>
          <w:lang w:val="ro-MD"/>
        </w:rPr>
        <w:t>şi</w:t>
      </w:r>
      <w:proofErr w:type="spellEnd"/>
      <w:r w:rsidR="006114F3" w:rsidRPr="000508B6">
        <w:rPr>
          <w:rFonts w:ascii="Times New Roman" w:eastAsia="Times New Roman" w:hAnsi="Times New Roman" w:cs="Times New Roman"/>
          <w:lang w:val="ro-MD"/>
        </w:rPr>
        <w:t xml:space="preserve"> pe grupele de clase </w:t>
      </w:r>
      <w:proofErr w:type="spellStart"/>
      <w:r w:rsidR="006114F3" w:rsidRPr="000508B6">
        <w:rPr>
          <w:rFonts w:ascii="Times New Roman" w:eastAsia="Times New Roman" w:hAnsi="Times New Roman" w:cs="Times New Roman"/>
          <w:lang w:val="ro-MD"/>
        </w:rPr>
        <w:t>menţionate</w:t>
      </w:r>
      <w:proofErr w:type="spellEnd"/>
      <w:r w:rsidR="006114F3" w:rsidRPr="000508B6">
        <w:rPr>
          <w:rFonts w:ascii="Times New Roman" w:eastAsia="Times New Roman" w:hAnsi="Times New Roman" w:cs="Times New Roman"/>
          <w:lang w:val="ro-MD"/>
        </w:rPr>
        <w:t xml:space="preserve"> în </w:t>
      </w:r>
      <w:r w:rsidR="002C46E4" w:rsidRPr="000508B6">
        <w:rPr>
          <w:rFonts w:ascii="Times New Roman" w:eastAsia="Times New Roman" w:hAnsi="Times New Roman" w:cs="Times New Roman"/>
          <w:lang w:val="ro-MD"/>
        </w:rPr>
        <w:t>A</w:t>
      </w:r>
      <w:r w:rsidR="006114F3" w:rsidRPr="000508B6">
        <w:rPr>
          <w:rFonts w:ascii="Times New Roman" w:eastAsia="Times New Roman" w:hAnsi="Times New Roman" w:cs="Times New Roman"/>
          <w:lang w:val="ro-MD"/>
        </w:rPr>
        <w:t xml:space="preserve">nexa nr. 1 </w:t>
      </w:r>
      <w:proofErr w:type="spellStart"/>
      <w:r w:rsidR="002A1AB3" w:rsidRPr="000508B6">
        <w:rPr>
          <w:rFonts w:ascii="Times New Roman" w:eastAsia="Times New Roman" w:hAnsi="Times New Roman" w:cs="Times New Roman"/>
          <w:lang w:val="ro-MD"/>
        </w:rPr>
        <w:t>S</w:t>
      </w:r>
      <w:r w:rsidR="006114F3" w:rsidRPr="000508B6">
        <w:rPr>
          <w:rFonts w:ascii="Times New Roman" w:eastAsia="Times New Roman" w:hAnsi="Times New Roman" w:cs="Times New Roman"/>
          <w:lang w:val="ro-MD"/>
        </w:rPr>
        <w:t>ecţiunea</w:t>
      </w:r>
      <w:proofErr w:type="spellEnd"/>
      <w:r w:rsidR="006114F3" w:rsidRPr="000508B6">
        <w:rPr>
          <w:rFonts w:ascii="Times New Roman" w:eastAsia="Times New Roman" w:hAnsi="Times New Roman" w:cs="Times New Roman"/>
          <w:lang w:val="ro-MD"/>
        </w:rPr>
        <w:t xml:space="preserve"> B, iar dacă </w:t>
      </w:r>
      <w:r w:rsidR="004125E8" w:rsidRPr="000508B6">
        <w:rPr>
          <w:rFonts w:ascii="Times New Roman" w:eastAsia="Times New Roman" w:hAnsi="Times New Roman" w:cs="Times New Roman"/>
          <w:lang w:val="ro-MD"/>
        </w:rPr>
        <w:t>asigurătorul</w:t>
      </w:r>
      <w:r w:rsidR="006114F3" w:rsidRPr="000508B6">
        <w:rPr>
          <w:rFonts w:ascii="Times New Roman" w:eastAsia="Times New Roman" w:hAnsi="Times New Roman" w:cs="Times New Roman"/>
          <w:lang w:val="ro-MD"/>
        </w:rPr>
        <w:t xml:space="preserve"> solicită </w:t>
      </w:r>
      <w:r w:rsidR="002E11F5" w:rsidRPr="000508B6">
        <w:rPr>
          <w:rFonts w:ascii="Times New Roman" w:eastAsia="Times New Roman" w:hAnsi="Times New Roman" w:cs="Times New Roman"/>
          <w:lang w:val="ro-MD"/>
        </w:rPr>
        <w:t>licență</w:t>
      </w:r>
      <w:r w:rsidR="006114F3" w:rsidRPr="000508B6">
        <w:rPr>
          <w:rFonts w:ascii="Times New Roman" w:eastAsia="Times New Roman" w:hAnsi="Times New Roman" w:cs="Times New Roman"/>
          <w:lang w:val="ro-MD"/>
        </w:rPr>
        <w:t xml:space="preserve"> pentru o clasă de </w:t>
      </w:r>
      <w:r w:rsidR="00F924DF" w:rsidRPr="000508B6">
        <w:rPr>
          <w:rFonts w:ascii="Times New Roman" w:eastAsia="Times New Roman" w:hAnsi="Times New Roman" w:cs="Times New Roman"/>
          <w:lang w:val="ro-MD"/>
        </w:rPr>
        <w:t>asigurare</w:t>
      </w:r>
      <w:r w:rsidR="006114F3" w:rsidRPr="000508B6">
        <w:rPr>
          <w:rFonts w:ascii="Times New Roman" w:eastAsia="Times New Roman" w:hAnsi="Times New Roman" w:cs="Times New Roman"/>
          <w:lang w:val="ro-MD"/>
        </w:rPr>
        <w:t xml:space="preserve"> și în planul de afaceri prevăzut la art. </w:t>
      </w:r>
      <w:r w:rsidR="002B4FCB" w:rsidRPr="000508B6">
        <w:rPr>
          <w:rFonts w:ascii="Times New Roman" w:eastAsia="Times New Roman" w:hAnsi="Times New Roman" w:cs="Times New Roman"/>
          <w:lang w:val="ro-MD"/>
        </w:rPr>
        <w:t>7</w:t>
      </w:r>
      <w:r w:rsidR="006114F3" w:rsidRPr="000508B6">
        <w:rPr>
          <w:rFonts w:ascii="Times New Roman" w:eastAsia="Times New Roman" w:hAnsi="Times New Roman" w:cs="Times New Roman"/>
          <w:lang w:val="ro-MD"/>
        </w:rPr>
        <w:t xml:space="preserve"> include doar anumite riscuri din clasa respectivă, </w:t>
      </w:r>
      <w:r w:rsidR="002B4FCB" w:rsidRPr="000508B6">
        <w:rPr>
          <w:rFonts w:ascii="Times New Roman" w:eastAsia="Times New Roman" w:hAnsi="Times New Roman" w:cs="Times New Roman"/>
          <w:lang w:val="ro-MD"/>
        </w:rPr>
        <w:t>Banca Națională a Moldovei</w:t>
      </w:r>
      <w:r w:rsidR="006114F3" w:rsidRPr="000508B6">
        <w:rPr>
          <w:rFonts w:ascii="Times New Roman" w:eastAsia="Times New Roman" w:hAnsi="Times New Roman" w:cs="Times New Roman"/>
          <w:lang w:val="ro-MD"/>
        </w:rPr>
        <w:t xml:space="preserve"> poate acorda </w:t>
      </w:r>
      <w:r w:rsidR="002B4FCB" w:rsidRPr="000508B6">
        <w:rPr>
          <w:rFonts w:ascii="Times New Roman" w:eastAsia="Times New Roman" w:hAnsi="Times New Roman" w:cs="Times New Roman"/>
          <w:lang w:val="ro-MD"/>
        </w:rPr>
        <w:t>licență</w:t>
      </w:r>
      <w:r w:rsidR="006114F3" w:rsidRPr="000508B6">
        <w:rPr>
          <w:rFonts w:ascii="Times New Roman" w:eastAsia="Times New Roman" w:hAnsi="Times New Roman" w:cs="Times New Roman"/>
          <w:lang w:val="ro-MD"/>
        </w:rPr>
        <w:t xml:space="preserve"> doar pentru riscurile respective</w:t>
      </w:r>
      <w:r w:rsidR="009A2957" w:rsidRPr="000508B6">
        <w:rPr>
          <w:rFonts w:ascii="Times New Roman" w:eastAsia="Times New Roman" w:hAnsi="Times New Roman" w:cs="Times New Roman"/>
          <w:lang w:val="ro-MD"/>
        </w:rPr>
        <w:t>.</w:t>
      </w:r>
    </w:p>
    <w:p w14:paraId="78C2DE93" w14:textId="2818457C" w:rsidR="002B4FCB" w:rsidRPr="000508B6" w:rsidRDefault="002B4FCB" w:rsidP="00CF5AFA">
      <w:pPr>
        <w:pStyle w:val="Listparagraf"/>
        <w:numPr>
          <w:ilvl w:val="1"/>
          <w:numId w:val="90"/>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4125E8" w:rsidRPr="000508B6">
        <w:rPr>
          <w:rFonts w:ascii="Times New Roman" w:eastAsia="Times New Roman" w:hAnsi="Times New Roman" w:cs="Times New Roman"/>
          <w:lang w:val="ro-MD"/>
        </w:rPr>
        <w:t>asigurătorul</w:t>
      </w:r>
      <w:r w:rsidRPr="000508B6" w:rsidDel="003259EB">
        <w:rPr>
          <w:rFonts w:ascii="Times New Roman" w:eastAsia="Times New Roman" w:hAnsi="Times New Roman" w:cs="Times New Roman"/>
          <w:lang w:val="ro-MD"/>
        </w:rPr>
        <w:t xml:space="preserve"> </w:t>
      </w:r>
      <w:r w:rsidR="003259EB" w:rsidRPr="000508B6">
        <w:rPr>
          <w:rFonts w:ascii="Times New Roman" w:eastAsia="Times New Roman" w:hAnsi="Times New Roman" w:cs="Times New Roman"/>
          <w:lang w:val="ro-MD"/>
        </w:rPr>
        <w:t xml:space="preserve">este </w:t>
      </w:r>
      <w:r w:rsidRPr="000508B6">
        <w:rPr>
          <w:rFonts w:ascii="Times New Roman" w:eastAsia="Times New Roman" w:hAnsi="Times New Roman" w:cs="Times New Roman"/>
          <w:lang w:val="ro-MD"/>
        </w:rPr>
        <w:t>licenț</w:t>
      </w:r>
      <w:r w:rsidR="003259EB" w:rsidRPr="000508B6">
        <w:rPr>
          <w:rFonts w:ascii="Times New Roman" w:eastAsia="Times New Roman" w:hAnsi="Times New Roman" w:cs="Times New Roman"/>
          <w:lang w:val="ro-MD"/>
        </w:rPr>
        <w:t>iat</w:t>
      </w:r>
      <w:r w:rsidRPr="000508B6">
        <w:rPr>
          <w:rFonts w:ascii="Times New Roman" w:eastAsia="Times New Roman" w:hAnsi="Times New Roman" w:cs="Times New Roman"/>
          <w:lang w:val="ro-MD"/>
        </w:rPr>
        <w:t xml:space="preserve"> pentru clasa 18 prevăzută în </w:t>
      </w:r>
      <w:r w:rsidR="002C46E4"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nexa nr. 1 </w:t>
      </w:r>
      <w:r w:rsidR="002A1AB3"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ecțiunea A, ace</w:t>
      </w:r>
      <w:r w:rsidR="003259EB"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sta po</w:t>
      </w:r>
      <w:r w:rsidR="003259EB"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t</w:t>
      </w:r>
      <w:r w:rsidR="003259EB"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desfăşura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asistenţă</w:t>
      </w:r>
      <w:proofErr w:type="spellEnd"/>
      <w:r w:rsidRPr="000508B6">
        <w:rPr>
          <w:rFonts w:ascii="Times New Roman" w:eastAsia="Times New Roman" w:hAnsi="Times New Roman" w:cs="Times New Roman"/>
          <w:lang w:val="ro-MD"/>
        </w:rPr>
        <w:t xml:space="preserve"> prevăzute la art. </w:t>
      </w:r>
      <w:r w:rsidR="00892AF0" w:rsidRPr="000508B6">
        <w:rPr>
          <w:rFonts w:ascii="Times New Roman" w:eastAsia="Times New Roman" w:hAnsi="Times New Roman" w:cs="Times New Roman"/>
          <w:lang w:val="ro-MD"/>
        </w:rPr>
        <w:t xml:space="preserve">2 </w:t>
      </w:r>
      <w:r w:rsidRPr="000508B6">
        <w:rPr>
          <w:rFonts w:ascii="Times New Roman" w:eastAsia="Times New Roman" w:hAnsi="Times New Roman" w:cs="Times New Roman"/>
          <w:lang w:val="ro-MD"/>
        </w:rPr>
        <w:t>alin. (</w:t>
      </w:r>
      <w:r w:rsidR="00DD6C8F"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 și (</w:t>
      </w:r>
      <w:r w:rsidR="00DD6C8F"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 fără a aduce atingere alin. (</w:t>
      </w:r>
      <w:r w:rsidR="00D36C59" w:rsidRPr="000508B6">
        <w:rPr>
          <w:rFonts w:ascii="Times New Roman" w:eastAsia="Times New Roman" w:hAnsi="Times New Roman" w:cs="Times New Roman"/>
          <w:lang w:val="ro-MD"/>
        </w:rPr>
        <w:t>11</w:t>
      </w:r>
      <w:r w:rsidRPr="000508B6">
        <w:rPr>
          <w:rFonts w:ascii="Times New Roman" w:eastAsia="Times New Roman" w:hAnsi="Times New Roman" w:cs="Times New Roman"/>
          <w:lang w:val="ro-MD"/>
        </w:rPr>
        <w:t>).</w:t>
      </w:r>
    </w:p>
    <w:p w14:paraId="067CBA45" w14:textId="38E485FD" w:rsidR="00F95829" w:rsidRPr="000508B6" w:rsidRDefault="00E94EC1" w:rsidP="00CF5AFA">
      <w:pPr>
        <w:pStyle w:val="Listparagraf"/>
        <w:numPr>
          <w:ilvl w:val="1"/>
          <w:numId w:val="90"/>
        </w:numPr>
        <w:tabs>
          <w:tab w:val="left" w:pos="851"/>
          <w:tab w:val="left" w:pos="993"/>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F95829" w:rsidRPr="000508B6">
        <w:rPr>
          <w:rFonts w:ascii="Times New Roman" w:eastAsia="Times New Roman" w:hAnsi="Times New Roman" w:cs="Times New Roman"/>
          <w:lang w:val="ro-MD"/>
        </w:rPr>
        <w:t xml:space="preserve"> care a </w:t>
      </w:r>
      <w:proofErr w:type="spellStart"/>
      <w:r w:rsidR="00F95829" w:rsidRPr="000508B6">
        <w:rPr>
          <w:rFonts w:ascii="Times New Roman" w:eastAsia="Times New Roman" w:hAnsi="Times New Roman" w:cs="Times New Roman"/>
          <w:lang w:val="ro-MD"/>
        </w:rPr>
        <w:t>obţinut</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licenţă</w:t>
      </w:r>
      <w:proofErr w:type="spellEnd"/>
      <w:r w:rsidR="00F95829" w:rsidRPr="000508B6">
        <w:rPr>
          <w:rFonts w:ascii="Times New Roman" w:eastAsia="Times New Roman" w:hAnsi="Times New Roman" w:cs="Times New Roman"/>
          <w:lang w:val="ro-MD"/>
        </w:rPr>
        <w:t xml:space="preserve"> pentru un risc principal dintr-o clasă de asigurare </w:t>
      </w:r>
      <w:r w:rsidR="00D8398E" w:rsidRPr="000508B6">
        <w:rPr>
          <w:rFonts w:ascii="Times New Roman" w:eastAsia="Times New Roman" w:hAnsi="Times New Roman" w:cs="Times New Roman"/>
          <w:lang w:val="ro-MD"/>
        </w:rPr>
        <w:t xml:space="preserve">prevăzută </w:t>
      </w:r>
      <w:r w:rsidR="00F95829" w:rsidRPr="000508B6">
        <w:rPr>
          <w:rFonts w:ascii="Times New Roman" w:eastAsia="Times New Roman" w:hAnsi="Times New Roman" w:cs="Times New Roman"/>
          <w:lang w:val="ro-MD"/>
        </w:rPr>
        <w:t xml:space="preserve">în </w:t>
      </w:r>
      <w:r w:rsidR="002C46E4"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nexa nr.1 poate</w:t>
      </w:r>
      <w:r w:rsidR="00F95829" w:rsidRPr="000508B6" w:rsidDel="00BD014A">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subscrie, de asemenea, riscurile cuprinse într-o altă clasă de asigurare, fără a fi necesară </w:t>
      </w:r>
      <w:r w:rsidR="00424388" w:rsidRPr="000508B6">
        <w:rPr>
          <w:rFonts w:ascii="Times New Roman" w:eastAsia="Times New Roman" w:hAnsi="Times New Roman" w:cs="Times New Roman"/>
          <w:lang w:val="ro-MD"/>
        </w:rPr>
        <w:t>extinderea licenței</w:t>
      </w:r>
      <w:r w:rsidR="00F95829" w:rsidRPr="000508B6">
        <w:rPr>
          <w:rFonts w:ascii="Times New Roman" w:eastAsia="Times New Roman" w:hAnsi="Times New Roman" w:cs="Times New Roman"/>
          <w:lang w:val="ro-MD"/>
        </w:rPr>
        <w:t xml:space="preserve"> pentru aceste riscuri, cu </w:t>
      </w:r>
      <w:proofErr w:type="spellStart"/>
      <w:r w:rsidR="00F95829" w:rsidRPr="000508B6">
        <w:rPr>
          <w:rFonts w:ascii="Times New Roman" w:eastAsia="Times New Roman" w:hAnsi="Times New Roman" w:cs="Times New Roman"/>
          <w:lang w:val="ro-MD"/>
        </w:rPr>
        <w:t>condiţia</w:t>
      </w:r>
      <w:proofErr w:type="spellEnd"/>
      <w:r w:rsidR="00F95829" w:rsidRPr="000508B6">
        <w:rPr>
          <w:rFonts w:ascii="Times New Roman" w:eastAsia="Times New Roman" w:hAnsi="Times New Roman" w:cs="Times New Roman"/>
          <w:lang w:val="ro-MD"/>
        </w:rPr>
        <w:t xml:space="preserve"> ca riscurile</w:t>
      </w:r>
      <w:r w:rsidR="00757ECF" w:rsidRPr="000508B6">
        <w:rPr>
          <w:rFonts w:ascii="Times New Roman" w:eastAsia="Times New Roman" w:hAnsi="Times New Roman" w:cs="Times New Roman"/>
          <w:lang w:val="ro-MD"/>
        </w:rPr>
        <w:t xml:space="preserve"> să îndeplinească toate condițiile următoare</w:t>
      </w:r>
      <w:r w:rsidR="00F95829" w:rsidRPr="000508B6">
        <w:rPr>
          <w:rFonts w:ascii="Times New Roman" w:eastAsia="Times New Roman" w:hAnsi="Times New Roman" w:cs="Times New Roman"/>
          <w:lang w:val="ro-MD"/>
        </w:rPr>
        <w:t xml:space="preserve">: </w:t>
      </w:r>
    </w:p>
    <w:p w14:paraId="7A02A5AE" w14:textId="69B74598" w:rsidR="00F95829" w:rsidRPr="000508B6" w:rsidRDefault="00757ECF" w:rsidP="00FD0FFD">
      <w:pPr>
        <w:pStyle w:val="Listparagraf"/>
        <w:numPr>
          <w:ilvl w:val="2"/>
          <w:numId w:val="92"/>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sunt</w:t>
      </w:r>
      <w:r w:rsidR="00F95829" w:rsidRPr="000508B6">
        <w:rPr>
          <w:rFonts w:ascii="Times New Roman" w:eastAsia="Times New Roman" w:hAnsi="Times New Roman" w:cs="Times New Roman"/>
          <w:lang w:val="ro-MD"/>
        </w:rPr>
        <w:t xml:space="preserve"> legate de riscul principal;</w:t>
      </w:r>
    </w:p>
    <w:p w14:paraId="529B0264" w14:textId="08CF63B6" w:rsidR="00F95829" w:rsidRPr="000508B6" w:rsidRDefault="002F1E2E" w:rsidP="00FD0FFD">
      <w:pPr>
        <w:pStyle w:val="Listparagraf"/>
        <w:numPr>
          <w:ilvl w:val="2"/>
          <w:numId w:val="92"/>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se referă la </w:t>
      </w:r>
      <w:r w:rsidR="00F95829" w:rsidRPr="000508B6">
        <w:rPr>
          <w:rFonts w:ascii="Times New Roman" w:eastAsia="Times New Roman" w:hAnsi="Times New Roman" w:cs="Times New Roman"/>
          <w:lang w:val="ro-MD"/>
        </w:rPr>
        <w:t xml:space="preserve">obiectul </w:t>
      </w:r>
      <w:r w:rsidRPr="000508B6">
        <w:rPr>
          <w:rFonts w:ascii="Times New Roman" w:eastAsia="Times New Roman" w:hAnsi="Times New Roman" w:cs="Times New Roman"/>
          <w:lang w:val="ro-MD"/>
        </w:rPr>
        <w:t xml:space="preserve">care </w:t>
      </w:r>
      <w:r w:rsidR="00F95829" w:rsidRPr="000508B6">
        <w:rPr>
          <w:rFonts w:ascii="Times New Roman" w:eastAsia="Times New Roman" w:hAnsi="Times New Roman" w:cs="Times New Roman"/>
          <w:lang w:val="ro-MD"/>
        </w:rPr>
        <w:t>este acoperit împotriva riscului principal;</w:t>
      </w:r>
    </w:p>
    <w:p w14:paraId="1FB78BAC" w14:textId="2C941A86" w:rsidR="00F95829" w:rsidRPr="000508B6" w:rsidRDefault="00757ECF" w:rsidP="00FD0FFD">
      <w:pPr>
        <w:pStyle w:val="Listparagraf"/>
        <w:numPr>
          <w:ilvl w:val="2"/>
          <w:numId w:val="92"/>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sunt</w:t>
      </w:r>
      <w:r w:rsidR="00F95829" w:rsidRPr="000508B6">
        <w:rPr>
          <w:rFonts w:ascii="Times New Roman" w:eastAsia="Times New Roman" w:hAnsi="Times New Roman" w:cs="Times New Roman"/>
          <w:lang w:val="ro-MD"/>
        </w:rPr>
        <w:t xml:space="preserve"> acoperite prin contractul care acoperă riscul principal.</w:t>
      </w:r>
    </w:p>
    <w:p w14:paraId="5F761B0D" w14:textId="486A5BB2" w:rsidR="00F95829" w:rsidRPr="000508B6" w:rsidRDefault="00F95829" w:rsidP="00CF5AFA">
      <w:pPr>
        <w:pStyle w:val="Listparagraf"/>
        <w:numPr>
          <w:ilvl w:val="1"/>
          <w:numId w:val="90"/>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 derogare de la alin.</w:t>
      </w:r>
      <w:r w:rsidR="008D3DA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D36C59" w:rsidRPr="000508B6">
        <w:rPr>
          <w:rFonts w:ascii="Times New Roman" w:eastAsia="Times New Roman" w:hAnsi="Times New Roman" w:cs="Times New Roman"/>
          <w:lang w:val="ro-MD"/>
        </w:rPr>
        <w:t>11</w:t>
      </w:r>
      <w:r w:rsidRPr="000508B6">
        <w:rPr>
          <w:rFonts w:ascii="Times New Roman" w:eastAsia="Times New Roman" w:hAnsi="Times New Roman" w:cs="Times New Roman"/>
          <w:lang w:val="ro-MD"/>
        </w:rPr>
        <w:t xml:space="preserve">), riscurile cuprinse în clasele 14, 15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17 enumerate în </w:t>
      </w:r>
      <w:r w:rsidR="00BF11B0" w:rsidRPr="000508B6">
        <w:rPr>
          <w:rFonts w:ascii="Times New Roman" w:eastAsia="Times New Roman" w:hAnsi="Times New Roman" w:cs="Times New Roman"/>
          <w:lang w:val="ro-MD"/>
        </w:rPr>
        <w:t xml:space="preserve">Anexa nr. </w:t>
      </w:r>
      <w:r w:rsidRPr="000508B6">
        <w:rPr>
          <w:rFonts w:ascii="Times New Roman" w:eastAsia="Times New Roman" w:hAnsi="Times New Roman" w:cs="Times New Roman"/>
          <w:lang w:val="ro-MD"/>
        </w:rPr>
        <w:t xml:space="preserve">1 </w:t>
      </w:r>
      <w:r w:rsidR="00BF11B0" w:rsidRPr="000508B6">
        <w:rPr>
          <w:rFonts w:ascii="Times New Roman" w:eastAsia="Times New Roman" w:hAnsi="Times New Roman" w:cs="Times New Roman"/>
          <w:lang w:val="ro-MD"/>
        </w:rPr>
        <w:t xml:space="preserve">Secțiunea A </w:t>
      </w:r>
      <w:r w:rsidRPr="000508B6">
        <w:rPr>
          <w:rFonts w:ascii="Times New Roman" w:eastAsia="Times New Roman" w:hAnsi="Times New Roman" w:cs="Times New Roman"/>
          <w:lang w:val="ro-MD"/>
        </w:rPr>
        <w:t xml:space="preserve">nu pot fi considerate drept riscuri auxiliare pentru alte clase de asigurare. Cu toate acestea, asigurarea de </w:t>
      </w:r>
      <w:proofErr w:type="spellStart"/>
      <w:r w:rsidRPr="000508B6">
        <w:rPr>
          <w:rFonts w:ascii="Times New Roman" w:eastAsia="Times New Roman" w:hAnsi="Times New Roman" w:cs="Times New Roman"/>
          <w:lang w:val="ro-MD"/>
        </w:rPr>
        <w:t>protecţie</w:t>
      </w:r>
      <w:proofErr w:type="spellEnd"/>
      <w:r w:rsidRPr="000508B6">
        <w:rPr>
          <w:rFonts w:ascii="Times New Roman" w:eastAsia="Times New Roman" w:hAnsi="Times New Roman" w:cs="Times New Roman"/>
          <w:lang w:val="ro-MD"/>
        </w:rPr>
        <w:t xml:space="preserve"> juridică prevăzută în clasa a 17-a poate fi considerată drept un risc auxiliar pentru clasa a 18-a dacă sunt întrunite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prevăzute la alin.</w:t>
      </w:r>
      <w:r w:rsidR="008D3DA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D36C59" w:rsidRPr="000508B6">
        <w:rPr>
          <w:rFonts w:ascii="Times New Roman" w:eastAsia="Times New Roman" w:hAnsi="Times New Roman" w:cs="Times New Roman"/>
          <w:lang w:val="ro-MD"/>
        </w:rPr>
        <w:t>10</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oricare dintre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următoare:</w:t>
      </w:r>
    </w:p>
    <w:p w14:paraId="50F8AC32" w14:textId="77777777" w:rsidR="00F95829" w:rsidRPr="000508B6" w:rsidRDefault="00F95829" w:rsidP="00FD0FFD">
      <w:pPr>
        <w:pStyle w:val="Listparagraf"/>
        <w:numPr>
          <w:ilvl w:val="2"/>
          <w:numId w:val="9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riscul principal se referă numai la </w:t>
      </w:r>
      <w:proofErr w:type="spellStart"/>
      <w:r w:rsidRPr="000508B6">
        <w:rPr>
          <w:rFonts w:ascii="Times New Roman" w:eastAsia="Times New Roman" w:hAnsi="Times New Roman" w:cs="Times New Roman"/>
          <w:lang w:val="ro-MD"/>
        </w:rPr>
        <w:t>asistenţa</w:t>
      </w:r>
      <w:proofErr w:type="spellEnd"/>
      <w:r w:rsidRPr="000508B6">
        <w:rPr>
          <w:rFonts w:ascii="Times New Roman" w:eastAsia="Times New Roman" w:hAnsi="Times New Roman" w:cs="Times New Roman"/>
          <w:lang w:val="ro-MD"/>
        </w:rPr>
        <w:t xml:space="preserve"> furnizată persoanelor aflate în dificultate în cursul deplasărilor, </w:t>
      </w:r>
      <w:proofErr w:type="spellStart"/>
      <w:r w:rsidRPr="000508B6">
        <w:rPr>
          <w:rFonts w:ascii="Times New Roman" w:eastAsia="Times New Roman" w:hAnsi="Times New Roman" w:cs="Times New Roman"/>
          <w:lang w:val="ro-MD"/>
        </w:rPr>
        <w:t>absenţelor</w:t>
      </w:r>
      <w:proofErr w:type="spellEnd"/>
      <w:r w:rsidRPr="000508B6">
        <w:rPr>
          <w:rFonts w:ascii="Times New Roman" w:eastAsia="Times New Roman" w:hAnsi="Times New Roman" w:cs="Times New Roman"/>
          <w:lang w:val="ro-MD"/>
        </w:rPr>
        <w:t xml:space="preserve"> de la domiciliu sau de la </w:t>
      </w:r>
      <w:proofErr w:type="spellStart"/>
      <w:r w:rsidRPr="000508B6">
        <w:rPr>
          <w:rFonts w:ascii="Times New Roman" w:eastAsia="Times New Roman" w:hAnsi="Times New Roman" w:cs="Times New Roman"/>
          <w:lang w:val="ro-MD"/>
        </w:rPr>
        <w:t>reşedinţa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obişnuită</w:t>
      </w:r>
      <w:proofErr w:type="spellEnd"/>
      <w:r w:rsidRPr="000508B6">
        <w:rPr>
          <w:rFonts w:ascii="Times New Roman" w:eastAsia="Times New Roman" w:hAnsi="Times New Roman" w:cs="Times New Roman"/>
          <w:lang w:val="ro-MD"/>
        </w:rPr>
        <w:t xml:space="preserve"> ale acestora;</w:t>
      </w:r>
    </w:p>
    <w:p w14:paraId="6EF2D845" w14:textId="77777777" w:rsidR="00F95829" w:rsidRPr="000508B6" w:rsidRDefault="00F95829" w:rsidP="00FD0FFD">
      <w:pPr>
        <w:pStyle w:val="Listparagraf"/>
        <w:numPr>
          <w:ilvl w:val="2"/>
          <w:numId w:val="9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asigurarea se referă la litigii sau riscuri care decurg din sau sunt în legătură cu utilizarea navelor maritime.</w:t>
      </w:r>
    </w:p>
    <w:p w14:paraId="21C6F5F6" w14:textId="1BF1E334" w:rsidR="00F95829" w:rsidRPr="000508B6" w:rsidRDefault="00E94EC1" w:rsidP="00CF5AFA">
      <w:pPr>
        <w:pStyle w:val="Listparagraf"/>
        <w:numPr>
          <w:ilvl w:val="1"/>
          <w:numId w:val="90"/>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desfăşoară</w:t>
      </w:r>
      <w:proofErr w:type="spellEnd"/>
      <w:r w:rsidR="00F95829" w:rsidRPr="000508B6">
        <w:rPr>
          <w:rFonts w:ascii="Times New Roman" w:eastAsia="Times New Roman" w:hAnsi="Times New Roman" w:cs="Times New Roman"/>
          <w:lang w:val="ro-MD"/>
        </w:rPr>
        <w:t xml:space="preserve"> numai activitate de </w:t>
      </w:r>
      <w:r w:rsidR="000165FC" w:rsidRPr="000508B6">
        <w:rPr>
          <w:rFonts w:ascii="Times New Roman" w:eastAsia="Times New Roman" w:hAnsi="Times New Roman" w:cs="Times New Roman"/>
          <w:lang w:val="ro-MD"/>
        </w:rPr>
        <w:t>asigurare</w:t>
      </w:r>
      <w:r w:rsidR="00F95829" w:rsidRPr="000508B6">
        <w:rPr>
          <w:rFonts w:ascii="Times New Roman" w:eastAsia="Times New Roman" w:hAnsi="Times New Roman" w:cs="Times New Roman"/>
          <w:lang w:val="ro-MD"/>
        </w:rPr>
        <w:t xml:space="preserve"> sau </w:t>
      </w:r>
      <w:proofErr w:type="spellStart"/>
      <w:r w:rsidR="00F95829" w:rsidRPr="000508B6">
        <w:rPr>
          <w:rFonts w:ascii="Times New Roman" w:eastAsia="Times New Roman" w:hAnsi="Times New Roman" w:cs="Times New Roman"/>
          <w:lang w:val="ro-MD"/>
        </w:rPr>
        <w:t>operaţiuni</w:t>
      </w:r>
      <w:proofErr w:type="spellEnd"/>
      <w:r w:rsidR="00F95829" w:rsidRPr="000508B6">
        <w:rPr>
          <w:rFonts w:ascii="Times New Roman" w:eastAsia="Times New Roman" w:hAnsi="Times New Roman" w:cs="Times New Roman"/>
          <w:lang w:val="ro-MD"/>
        </w:rPr>
        <w:t xml:space="preserve"> legate direct de aceasta </w:t>
      </w:r>
      <w:r w:rsidR="002326DF" w:rsidRPr="000508B6">
        <w:rPr>
          <w:rFonts w:ascii="Times New Roman" w:eastAsia="Times New Roman" w:hAnsi="Times New Roman" w:cs="Times New Roman"/>
          <w:lang w:val="ro-MD"/>
        </w:rPr>
        <w:t>excluzând orice</w:t>
      </w:r>
      <w:r w:rsidR="00F95829" w:rsidRPr="000508B6">
        <w:rPr>
          <w:rFonts w:ascii="Times New Roman" w:eastAsia="Times New Roman" w:hAnsi="Times New Roman" w:cs="Times New Roman"/>
          <w:lang w:val="ro-MD"/>
        </w:rPr>
        <w:t xml:space="preserve"> altă activitate comercială. </w:t>
      </w:r>
    </w:p>
    <w:p w14:paraId="25617D23" w14:textId="61DEEBE7" w:rsidR="00D86E95" w:rsidRPr="000508B6" w:rsidRDefault="00D255CA" w:rsidP="006214A6">
      <w:pPr>
        <w:pStyle w:val="Listparagraf"/>
        <w:numPr>
          <w:ilvl w:val="1"/>
          <w:numId w:val="90"/>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Reasigurătorul</w:t>
      </w:r>
      <w:proofErr w:type="spellEnd"/>
      <w:r w:rsidR="008F6D4F" w:rsidRPr="000508B6">
        <w:rPr>
          <w:rFonts w:ascii="Times New Roman" w:eastAsia="Times New Roman" w:hAnsi="Times New Roman" w:cs="Times New Roman"/>
          <w:lang w:val="ro-MD"/>
        </w:rPr>
        <w:t xml:space="preserve"> </w:t>
      </w:r>
      <w:proofErr w:type="spellStart"/>
      <w:r w:rsidR="00D86E95" w:rsidRPr="000508B6">
        <w:rPr>
          <w:rFonts w:ascii="Times New Roman" w:eastAsia="Times New Roman" w:hAnsi="Times New Roman" w:cs="Times New Roman"/>
          <w:lang w:val="ro-MD"/>
        </w:rPr>
        <w:t>desfăşoară</w:t>
      </w:r>
      <w:proofErr w:type="spellEnd"/>
      <w:r w:rsidR="00D86E95" w:rsidRPr="000508B6">
        <w:rPr>
          <w:rFonts w:ascii="Times New Roman" w:eastAsia="Times New Roman" w:hAnsi="Times New Roman" w:cs="Times New Roman"/>
          <w:lang w:val="ro-MD"/>
        </w:rPr>
        <w:t xml:space="preserve"> </w:t>
      </w:r>
      <w:r w:rsidR="00153D80" w:rsidRPr="000508B6">
        <w:rPr>
          <w:rFonts w:ascii="Times New Roman" w:eastAsia="Times New Roman" w:hAnsi="Times New Roman" w:cs="Times New Roman"/>
          <w:lang w:val="ro-MD"/>
        </w:rPr>
        <w:t>numai</w:t>
      </w:r>
      <w:r w:rsidR="00D86E95" w:rsidRPr="000508B6">
        <w:rPr>
          <w:rFonts w:ascii="Times New Roman" w:eastAsia="Times New Roman" w:hAnsi="Times New Roman" w:cs="Times New Roman"/>
          <w:lang w:val="ro-MD"/>
        </w:rPr>
        <w:t xml:space="preserve"> activitatea de reasigurare și operațiuni asociate</w:t>
      </w:r>
      <w:r w:rsidR="001534DF" w:rsidRPr="000508B6">
        <w:rPr>
          <w:rFonts w:ascii="Times New Roman" w:eastAsia="Times New Roman" w:hAnsi="Times New Roman" w:cs="Times New Roman"/>
          <w:lang w:val="ro-MD"/>
        </w:rPr>
        <w:t>.</w:t>
      </w:r>
      <w:r w:rsidR="000379DB" w:rsidRPr="000508B6">
        <w:rPr>
          <w:rFonts w:ascii="Times New Roman" w:eastAsia="Times New Roman" w:hAnsi="Times New Roman" w:cs="Times New Roman"/>
          <w:lang w:val="ro-MD"/>
        </w:rPr>
        <w:t xml:space="preserve"> </w:t>
      </w:r>
      <w:r w:rsidR="001534DF" w:rsidRPr="000508B6">
        <w:rPr>
          <w:rFonts w:ascii="Times New Roman" w:eastAsia="Times New Roman" w:hAnsi="Times New Roman" w:cs="Times New Roman"/>
          <w:lang w:val="ro-MD"/>
        </w:rPr>
        <w:t>A</w:t>
      </w:r>
      <w:r w:rsidR="000379DB" w:rsidRPr="000508B6">
        <w:rPr>
          <w:rFonts w:ascii="Times New Roman" w:eastAsia="Times New Roman" w:hAnsi="Times New Roman" w:cs="Times New Roman"/>
          <w:lang w:val="ro-MD"/>
        </w:rPr>
        <w:t>ceastă cerință poate include o funcție de holding și activități legate de</w:t>
      </w:r>
      <w:r w:rsidR="00EE0BE3" w:rsidRPr="000508B6">
        <w:rPr>
          <w:rFonts w:ascii="Times New Roman" w:eastAsia="Times New Roman" w:hAnsi="Times New Roman" w:cs="Times New Roman"/>
          <w:lang w:val="ro-MD"/>
        </w:rPr>
        <w:t xml:space="preserve"> </w:t>
      </w:r>
      <w:r w:rsidR="000379DB" w:rsidRPr="000508B6">
        <w:rPr>
          <w:rFonts w:ascii="Times New Roman" w:eastAsia="Times New Roman" w:hAnsi="Times New Roman" w:cs="Times New Roman"/>
          <w:lang w:val="ro-MD"/>
        </w:rPr>
        <w:t>sectorul financiar, în sensul art</w:t>
      </w:r>
      <w:r w:rsidR="00EE0BE3" w:rsidRPr="000508B6">
        <w:rPr>
          <w:rFonts w:ascii="Times New Roman" w:eastAsia="Times New Roman" w:hAnsi="Times New Roman" w:cs="Times New Roman"/>
          <w:lang w:val="ro-MD"/>
        </w:rPr>
        <w:t>.</w:t>
      </w:r>
      <w:r w:rsidR="000379DB" w:rsidRPr="000508B6">
        <w:rPr>
          <w:rFonts w:ascii="Times New Roman" w:eastAsia="Times New Roman" w:hAnsi="Times New Roman" w:cs="Times New Roman"/>
          <w:lang w:val="ro-MD"/>
        </w:rPr>
        <w:t xml:space="preserve"> </w:t>
      </w:r>
      <w:r w:rsidR="00EE0BE3" w:rsidRPr="000508B6">
        <w:rPr>
          <w:rFonts w:ascii="Times New Roman" w:eastAsia="Times New Roman" w:hAnsi="Times New Roman" w:cs="Times New Roman"/>
          <w:lang w:val="ro-MD"/>
        </w:rPr>
        <w:t>3</w:t>
      </w:r>
      <w:r w:rsidR="000379DB" w:rsidRPr="000508B6">
        <w:rPr>
          <w:rFonts w:ascii="Times New Roman" w:eastAsia="Times New Roman" w:hAnsi="Times New Roman" w:cs="Times New Roman"/>
          <w:lang w:val="ro-MD"/>
        </w:rPr>
        <w:t xml:space="preserve"> din </w:t>
      </w:r>
      <w:r w:rsidR="00EE0BE3" w:rsidRPr="000508B6">
        <w:rPr>
          <w:rFonts w:ascii="Times New Roman" w:eastAsia="Times New Roman" w:hAnsi="Times New Roman" w:cs="Times New Roman"/>
          <w:lang w:val="ro-MD"/>
        </w:rPr>
        <w:t>Legea nr.</w:t>
      </w:r>
      <w:r w:rsidR="000379DB" w:rsidRPr="000508B6">
        <w:rPr>
          <w:rFonts w:ascii="Times New Roman" w:eastAsia="Times New Roman" w:hAnsi="Times New Roman" w:cs="Times New Roman"/>
          <w:lang w:val="ro-MD"/>
        </w:rPr>
        <w:t xml:space="preserve"> </w:t>
      </w:r>
      <w:r w:rsidR="00FD6B0A" w:rsidRPr="000508B6">
        <w:rPr>
          <w:rFonts w:ascii="Times New Roman" w:eastAsia="Times New Roman" w:hAnsi="Times New Roman" w:cs="Times New Roman"/>
          <w:lang w:val="ro-MD"/>
        </w:rPr>
        <w:t>250</w:t>
      </w:r>
      <w:r w:rsidR="000379DB" w:rsidRPr="000508B6">
        <w:rPr>
          <w:rFonts w:ascii="Times New Roman" w:eastAsia="Times New Roman" w:hAnsi="Times New Roman" w:cs="Times New Roman"/>
          <w:lang w:val="ro-MD"/>
        </w:rPr>
        <w:t>/</w:t>
      </w:r>
      <w:r w:rsidR="00EE0BE3" w:rsidRPr="000508B6">
        <w:rPr>
          <w:rFonts w:ascii="Times New Roman" w:eastAsia="Times New Roman" w:hAnsi="Times New Roman" w:cs="Times New Roman"/>
          <w:lang w:val="ro-MD"/>
        </w:rPr>
        <w:t>2017</w:t>
      </w:r>
      <w:r w:rsidR="00D86E95" w:rsidRPr="000508B6">
        <w:rPr>
          <w:rFonts w:ascii="Times New Roman" w:eastAsia="Times New Roman" w:hAnsi="Times New Roman" w:cs="Times New Roman"/>
          <w:lang w:val="ro-MD"/>
        </w:rPr>
        <w:t xml:space="preserve">. </w:t>
      </w:r>
    </w:p>
    <w:p w14:paraId="683D31E8" w14:textId="595D1657" w:rsidR="00F15C58" w:rsidRPr="000508B6" w:rsidRDefault="00F15C58" w:rsidP="006214A6">
      <w:pPr>
        <w:pStyle w:val="Listparagraf"/>
        <w:numPr>
          <w:ilvl w:val="1"/>
          <w:numId w:val="90"/>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care </w:t>
      </w:r>
      <w:proofErr w:type="spellStart"/>
      <w:r w:rsidRPr="000508B6">
        <w:rPr>
          <w:rFonts w:ascii="Times New Roman" w:eastAsia="Times New Roman" w:hAnsi="Times New Roman" w:cs="Times New Roman"/>
          <w:lang w:val="ro-MD"/>
        </w:rPr>
        <w:t>deţine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pentru </w:t>
      </w:r>
      <w:proofErr w:type="spellStart"/>
      <w:r w:rsidRPr="000508B6">
        <w:rPr>
          <w:rFonts w:ascii="Times New Roman" w:eastAsia="Times New Roman" w:hAnsi="Times New Roman" w:cs="Times New Roman"/>
          <w:lang w:val="ro-MD"/>
        </w:rPr>
        <w:t>desfăşurarea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w:t>
      </w:r>
      <w:r w:rsidR="00C07768" w:rsidRPr="000508B6">
        <w:rPr>
          <w:rFonts w:ascii="Times New Roman" w:eastAsia="Times New Roman" w:hAnsi="Times New Roman" w:cs="Times New Roman"/>
          <w:lang w:val="ro-MD"/>
        </w:rPr>
        <w:t>de</w:t>
      </w:r>
      <w:r w:rsidRPr="000508B6">
        <w:rPr>
          <w:rFonts w:ascii="Times New Roman" w:eastAsia="Times New Roman" w:hAnsi="Times New Roman" w:cs="Times New Roman"/>
          <w:lang w:val="ro-MD"/>
        </w:rPr>
        <w:t xml:space="preserve"> asigurări generale sau </w:t>
      </w:r>
      <w:r w:rsidR="00C07768" w:rsidRPr="000508B6">
        <w:rPr>
          <w:rFonts w:ascii="Times New Roman" w:eastAsia="Times New Roman" w:hAnsi="Times New Roman" w:cs="Times New Roman"/>
          <w:lang w:val="ro-MD"/>
        </w:rPr>
        <w:t>de</w:t>
      </w:r>
      <w:r w:rsidRPr="000508B6">
        <w:rPr>
          <w:rFonts w:ascii="Times New Roman" w:eastAsia="Times New Roman" w:hAnsi="Times New Roman" w:cs="Times New Roman"/>
          <w:lang w:val="ro-MD"/>
        </w:rPr>
        <w:t xml:space="preserve"> asigurări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are dreptul, fără a dispune de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pentru </w:t>
      </w:r>
      <w:r w:rsidR="001909B7" w:rsidRPr="000508B6">
        <w:rPr>
          <w:rFonts w:ascii="Times New Roman" w:eastAsia="Times New Roman" w:hAnsi="Times New Roman" w:cs="Times New Roman"/>
          <w:lang w:val="ro-MD"/>
        </w:rPr>
        <w:t xml:space="preserve">activitatea de </w:t>
      </w:r>
      <w:r w:rsidRPr="000508B6">
        <w:rPr>
          <w:rFonts w:ascii="Times New Roman" w:eastAsia="Times New Roman" w:hAnsi="Times New Roman" w:cs="Times New Roman"/>
          <w:lang w:val="ro-MD"/>
        </w:rPr>
        <w:t xml:space="preserve">reasigurare, să </w:t>
      </w:r>
      <w:proofErr w:type="spellStart"/>
      <w:r w:rsidRPr="000508B6">
        <w:rPr>
          <w:rFonts w:ascii="Times New Roman" w:eastAsia="Times New Roman" w:hAnsi="Times New Roman" w:cs="Times New Roman"/>
          <w:lang w:val="ro-MD"/>
        </w:rPr>
        <w:t>desfăşoare</w:t>
      </w:r>
      <w:proofErr w:type="spellEnd"/>
      <w:r w:rsidRPr="000508B6">
        <w:rPr>
          <w:rFonts w:ascii="Times New Roman" w:eastAsia="Times New Roman" w:hAnsi="Times New Roman" w:cs="Times New Roman"/>
          <w:lang w:val="ro-MD"/>
        </w:rPr>
        <w:t xml:space="preserve"> activitate de reasigurare </w:t>
      </w:r>
      <w:proofErr w:type="spellStart"/>
      <w:r w:rsidRPr="000508B6">
        <w:rPr>
          <w:rFonts w:ascii="Times New Roman" w:eastAsia="Times New Roman" w:hAnsi="Times New Roman" w:cs="Times New Roman"/>
          <w:lang w:val="ro-MD"/>
        </w:rPr>
        <w:t>proporţională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activitate de reasigurare </w:t>
      </w:r>
      <w:proofErr w:type="spellStart"/>
      <w:r w:rsidRPr="000508B6">
        <w:rPr>
          <w:rFonts w:ascii="Times New Roman" w:eastAsia="Times New Roman" w:hAnsi="Times New Roman" w:cs="Times New Roman"/>
          <w:lang w:val="ro-MD"/>
        </w:rPr>
        <w:t>neproporţională</w:t>
      </w:r>
      <w:proofErr w:type="spellEnd"/>
      <w:r w:rsidRPr="000508B6">
        <w:rPr>
          <w:rFonts w:ascii="Times New Roman" w:eastAsia="Times New Roman" w:hAnsi="Times New Roman" w:cs="Times New Roman"/>
          <w:lang w:val="ro-MD"/>
        </w:rPr>
        <w:t xml:space="preserve"> numai în limitele claselor de asigurare pentru care a </w:t>
      </w:r>
      <w:proofErr w:type="spellStart"/>
      <w:r w:rsidRPr="000508B6">
        <w:rPr>
          <w:rFonts w:ascii="Times New Roman" w:eastAsia="Times New Roman" w:hAnsi="Times New Roman" w:cs="Times New Roman"/>
          <w:lang w:val="ro-MD"/>
        </w:rPr>
        <w:t>obţinut</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 xml:space="preserve">. </w:t>
      </w:r>
    </w:p>
    <w:p w14:paraId="026780C3" w14:textId="7FB53492" w:rsidR="00613BFF" w:rsidRPr="000508B6" w:rsidRDefault="004125E8" w:rsidP="00CF5AFA">
      <w:pPr>
        <w:pStyle w:val="Listparagraf"/>
        <w:numPr>
          <w:ilvl w:val="1"/>
          <w:numId w:val="90"/>
        </w:numPr>
        <w:tabs>
          <w:tab w:val="left" w:pos="851"/>
          <w:tab w:val="left" w:pos="993"/>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1654A8" w:rsidRPr="000508B6">
        <w:rPr>
          <w:rFonts w:ascii="Times New Roman" w:eastAsia="Times New Roman" w:hAnsi="Times New Roman" w:cs="Times New Roman"/>
          <w:lang w:val="ro-MD"/>
        </w:rPr>
        <w:t xml:space="preserve"> </w:t>
      </w:r>
      <w:proofErr w:type="spellStart"/>
      <w:r w:rsidR="001654A8" w:rsidRPr="000508B6">
        <w:rPr>
          <w:rFonts w:ascii="Times New Roman" w:eastAsia="Times New Roman" w:hAnsi="Times New Roman" w:cs="Times New Roman"/>
          <w:lang w:val="ro-MD"/>
        </w:rPr>
        <w:t>îşi</w:t>
      </w:r>
      <w:proofErr w:type="spellEnd"/>
      <w:r w:rsidR="001654A8" w:rsidRPr="000508B6">
        <w:rPr>
          <w:rFonts w:ascii="Times New Roman" w:eastAsia="Times New Roman" w:hAnsi="Times New Roman" w:cs="Times New Roman"/>
          <w:lang w:val="ro-MD"/>
        </w:rPr>
        <w:t xml:space="preserve"> stabile</w:t>
      </w:r>
      <w:r w:rsidR="00531977" w:rsidRPr="000508B6">
        <w:rPr>
          <w:rFonts w:ascii="Times New Roman" w:eastAsia="Times New Roman" w:hAnsi="Times New Roman" w:cs="Times New Roman"/>
          <w:lang w:val="ro-MD"/>
        </w:rPr>
        <w:t xml:space="preserve">ște </w:t>
      </w:r>
      <w:r w:rsidR="001654A8" w:rsidRPr="000508B6">
        <w:rPr>
          <w:rFonts w:ascii="Times New Roman" w:eastAsia="Times New Roman" w:hAnsi="Times New Roman" w:cs="Times New Roman"/>
          <w:lang w:val="ro-MD"/>
        </w:rPr>
        <w:t xml:space="preserve">sediul social </w:t>
      </w:r>
      <w:proofErr w:type="spellStart"/>
      <w:r w:rsidR="001654A8" w:rsidRPr="000508B6">
        <w:rPr>
          <w:rFonts w:ascii="Times New Roman" w:eastAsia="Times New Roman" w:hAnsi="Times New Roman" w:cs="Times New Roman"/>
          <w:lang w:val="ro-MD"/>
        </w:rPr>
        <w:t>şi</w:t>
      </w:r>
      <w:proofErr w:type="spellEnd"/>
      <w:r w:rsidR="001654A8" w:rsidRPr="000508B6">
        <w:rPr>
          <w:rFonts w:ascii="Times New Roman" w:eastAsia="Times New Roman" w:hAnsi="Times New Roman" w:cs="Times New Roman"/>
          <w:lang w:val="ro-MD"/>
        </w:rPr>
        <w:t xml:space="preserve"> sediul central pe teritoriul Republicii Moldova </w:t>
      </w:r>
      <w:proofErr w:type="spellStart"/>
      <w:r w:rsidR="001654A8" w:rsidRPr="000508B6">
        <w:rPr>
          <w:rFonts w:ascii="Times New Roman" w:eastAsia="Times New Roman" w:hAnsi="Times New Roman" w:cs="Times New Roman"/>
          <w:lang w:val="ro-MD"/>
        </w:rPr>
        <w:t>şi</w:t>
      </w:r>
      <w:proofErr w:type="spellEnd"/>
      <w:r w:rsidR="001654A8" w:rsidRPr="000508B6">
        <w:rPr>
          <w:rFonts w:ascii="Times New Roman" w:eastAsia="Times New Roman" w:hAnsi="Times New Roman" w:cs="Times New Roman"/>
          <w:lang w:val="ro-MD"/>
        </w:rPr>
        <w:t xml:space="preserve"> includ</w:t>
      </w:r>
      <w:r w:rsidR="00531977" w:rsidRPr="000508B6">
        <w:rPr>
          <w:rFonts w:ascii="Times New Roman" w:eastAsia="Times New Roman" w:hAnsi="Times New Roman" w:cs="Times New Roman"/>
          <w:lang w:val="ro-MD"/>
        </w:rPr>
        <w:t>e</w:t>
      </w:r>
      <w:r w:rsidR="001654A8" w:rsidRPr="000508B6">
        <w:rPr>
          <w:rFonts w:ascii="Times New Roman" w:eastAsia="Times New Roman" w:hAnsi="Times New Roman" w:cs="Times New Roman"/>
          <w:lang w:val="ro-MD"/>
        </w:rPr>
        <w:t xml:space="preserve"> în mod obligatoriu în denumire, după caz, sintagma </w:t>
      </w:r>
      <w:r w:rsidR="00836709">
        <w:rPr>
          <w:rFonts w:ascii="Times New Roman" w:eastAsia="Times New Roman" w:hAnsi="Times New Roman" w:cs="Times New Roman"/>
          <w:lang w:val="ro-MD"/>
        </w:rPr>
        <w:t>„</w:t>
      </w:r>
      <w:r w:rsidR="001654A8" w:rsidRPr="000508B6">
        <w:rPr>
          <w:rFonts w:ascii="Times New Roman" w:eastAsia="Times New Roman" w:hAnsi="Times New Roman" w:cs="Times New Roman"/>
          <w:lang w:val="ro-MD"/>
        </w:rPr>
        <w:t>societate de asigurare</w:t>
      </w:r>
      <w:r w:rsidR="00836709">
        <w:rPr>
          <w:rFonts w:ascii="Times New Roman" w:eastAsia="Times New Roman" w:hAnsi="Times New Roman" w:cs="Times New Roman"/>
          <w:lang w:val="ro-RO"/>
        </w:rPr>
        <w:t>”</w:t>
      </w:r>
      <w:r w:rsidR="001654A8" w:rsidRPr="000508B6">
        <w:rPr>
          <w:rFonts w:ascii="Times New Roman" w:eastAsia="Times New Roman" w:hAnsi="Times New Roman" w:cs="Times New Roman"/>
          <w:lang w:val="ro-MD"/>
        </w:rPr>
        <w:t xml:space="preserve"> sau </w:t>
      </w:r>
      <w:r w:rsidR="00F520EB" w:rsidRPr="000508B6">
        <w:rPr>
          <w:rFonts w:ascii="Times New Roman" w:eastAsia="Times New Roman" w:hAnsi="Times New Roman" w:cs="Times New Roman"/>
          <w:lang w:val="ro-MD"/>
        </w:rPr>
        <w:t xml:space="preserve"> </w:t>
      </w:r>
      <w:r w:rsidR="00836709">
        <w:rPr>
          <w:rFonts w:ascii="Times New Roman" w:eastAsia="Times New Roman" w:hAnsi="Times New Roman" w:cs="Times New Roman"/>
          <w:lang w:val="ro-MD"/>
        </w:rPr>
        <w:t>„</w:t>
      </w:r>
      <w:r w:rsidR="00F520EB" w:rsidRPr="000508B6">
        <w:rPr>
          <w:rFonts w:ascii="Times New Roman" w:eastAsia="Times New Roman" w:hAnsi="Times New Roman" w:cs="Times New Roman"/>
          <w:lang w:val="ro-MD"/>
        </w:rPr>
        <w:t xml:space="preserve">societate de </w:t>
      </w:r>
      <w:r w:rsidR="001654A8" w:rsidRPr="000508B6">
        <w:rPr>
          <w:rFonts w:ascii="Times New Roman" w:eastAsia="Times New Roman" w:hAnsi="Times New Roman" w:cs="Times New Roman"/>
          <w:lang w:val="ro-MD"/>
        </w:rPr>
        <w:t>reasigurare</w:t>
      </w:r>
      <w:r w:rsidR="00836709">
        <w:rPr>
          <w:rFonts w:ascii="Times New Roman" w:eastAsia="Times New Roman" w:hAnsi="Times New Roman" w:cs="Times New Roman"/>
          <w:lang w:val="ro-MD"/>
        </w:rPr>
        <w:t>”</w:t>
      </w:r>
      <w:r w:rsidR="008E2B32" w:rsidRPr="000508B6">
        <w:rPr>
          <w:rFonts w:ascii="Times New Roman" w:eastAsia="Times New Roman" w:hAnsi="Times New Roman" w:cs="Times New Roman"/>
          <w:lang w:val="ro-MD"/>
        </w:rPr>
        <w:t>.</w:t>
      </w:r>
      <w:r w:rsidR="001654A8" w:rsidRPr="000508B6">
        <w:rPr>
          <w:rFonts w:ascii="Times New Roman" w:eastAsia="Times New Roman" w:hAnsi="Times New Roman" w:cs="Times New Roman"/>
          <w:i/>
          <w:color w:val="FF0000"/>
          <w:lang w:val="ro-MD"/>
        </w:rPr>
        <w:t xml:space="preserve"> </w:t>
      </w:r>
    </w:p>
    <w:p w14:paraId="75990E29" w14:textId="7AF29BB2" w:rsidR="00B433A7" w:rsidRPr="000508B6" w:rsidRDefault="00B433A7" w:rsidP="00CF5AFA">
      <w:pPr>
        <w:pStyle w:val="Listparagraf"/>
        <w:numPr>
          <w:ilvl w:val="1"/>
          <w:numId w:val="90"/>
        </w:numPr>
        <w:tabs>
          <w:tab w:val="left" w:pos="851"/>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4125E8" w:rsidRPr="000508B6">
        <w:rPr>
          <w:rFonts w:ascii="Times New Roman" w:eastAsia="Times New Roman" w:hAnsi="Times New Roman" w:cs="Times New Roman"/>
          <w:lang w:val="ro-MD"/>
        </w:rPr>
        <w:t>asigurătorul</w:t>
      </w:r>
      <w:r w:rsidR="009A60CC" w:rsidRPr="000508B6">
        <w:rPr>
          <w:rFonts w:ascii="Times New Roman" w:eastAsia="Times New Roman" w:hAnsi="Times New Roman" w:cs="Times New Roman"/>
          <w:lang w:val="ro-MD"/>
        </w:rPr>
        <w:t xml:space="preserve"> </w:t>
      </w:r>
      <w:proofErr w:type="spellStart"/>
      <w:r w:rsidR="009A60CC" w:rsidRPr="000508B6">
        <w:rPr>
          <w:rFonts w:ascii="Times New Roman" w:eastAsia="Times New Roman" w:hAnsi="Times New Roman" w:cs="Times New Roman"/>
          <w:lang w:val="ro-MD"/>
        </w:rPr>
        <w:t>intenţionează</w:t>
      </w:r>
      <w:proofErr w:type="spellEnd"/>
      <w:r w:rsidR="009A60CC" w:rsidRPr="000508B6">
        <w:rPr>
          <w:rFonts w:ascii="Times New Roman" w:eastAsia="Times New Roman" w:hAnsi="Times New Roman" w:cs="Times New Roman"/>
          <w:lang w:val="ro-MD"/>
        </w:rPr>
        <w:t xml:space="preserve"> să</w:t>
      </w:r>
      <w:r w:rsidRPr="000508B6">
        <w:rPr>
          <w:rFonts w:ascii="Times New Roman" w:eastAsia="Times New Roman" w:hAnsi="Times New Roman" w:cs="Times New Roman"/>
          <w:lang w:val="ro-MD"/>
        </w:rPr>
        <w:t>-și desfășoare activitatea</w:t>
      </w:r>
      <w:r w:rsidR="009A60C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într-un stat terț</w:t>
      </w:r>
      <w:r w:rsidR="00026443"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acesta solicită aprobarea</w:t>
      </w:r>
      <w:r w:rsidR="007C34CD" w:rsidRPr="000508B6">
        <w:rPr>
          <w:rFonts w:ascii="Times New Roman" w:eastAsia="Times New Roman" w:hAnsi="Times New Roman" w:cs="Times New Roman"/>
          <w:lang w:val="ro-MD"/>
        </w:rPr>
        <w:t xml:space="preserve"> prealabilă a</w:t>
      </w:r>
      <w:r w:rsidRPr="000508B6">
        <w:rPr>
          <w:rFonts w:ascii="Times New Roman" w:eastAsia="Times New Roman" w:hAnsi="Times New Roman" w:cs="Times New Roman"/>
          <w:lang w:val="ro-MD"/>
        </w:rPr>
        <w:t xml:space="preserve"> Băncii Naționale a Moldovei</w:t>
      </w:r>
      <w:r w:rsidR="009A60CC" w:rsidRPr="000508B6">
        <w:rPr>
          <w:rFonts w:ascii="Times New Roman" w:eastAsia="Times New Roman" w:hAnsi="Times New Roman" w:cs="Times New Roman"/>
          <w:lang w:val="ro-MD"/>
        </w:rPr>
        <w:t xml:space="preserve">. Condițiile </w:t>
      </w:r>
      <w:r w:rsidR="00E86F83" w:rsidRPr="000508B6">
        <w:rPr>
          <w:rFonts w:ascii="Times New Roman" w:eastAsia="Times New Roman" w:hAnsi="Times New Roman" w:cs="Times New Roman"/>
          <w:lang w:val="ro-MD"/>
        </w:rPr>
        <w:t>și procedura</w:t>
      </w:r>
      <w:r w:rsidR="009A60CC" w:rsidRPr="000508B6">
        <w:rPr>
          <w:rFonts w:ascii="Times New Roman" w:eastAsia="Times New Roman" w:hAnsi="Times New Roman" w:cs="Times New Roman"/>
          <w:lang w:val="ro-MD"/>
        </w:rPr>
        <w:t xml:space="preserve"> de aprobare</w:t>
      </w:r>
      <w:r w:rsidR="007C34CD" w:rsidRPr="000508B6">
        <w:rPr>
          <w:rFonts w:ascii="Times New Roman" w:eastAsia="Times New Roman" w:hAnsi="Times New Roman" w:cs="Times New Roman"/>
          <w:lang w:val="ro-MD"/>
        </w:rPr>
        <w:t xml:space="preserve"> prealabilă</w:t>
      </w:r>
      <w:r w:rsidR="009A60C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se stabilesc prin actele normative ale Băncii Naționale a Moldovei.</w:t>
      </w:r>
    </w:p>
    <w:p w14:paraId="11A76B81" w14:textId="7E69D7FB" w:rsidR="0028398D" w:rsidRPr="000508B6" w:rsidRDefault="0051326A" w:rsidP="00CF5AFA">
      <w:pPr>
        <w:pStyle w:val="Listparagraf"/>
        <w:numPr>
          <w:ilvl w:val="1"/>
          <w:numId w:val="90"/>
        </w:numPr>
        <w:tabs>
          <w:tab w:val="left" w:pos="851"/>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Procedura</w:t>
      </w:r>
      <w:r w:rsidR="0028398D" w:rsidRPr="000508B6">
        <w:rPr>
          <w:rFonts w:ascii="Times New Roman" w:eastAsia="Times New Roman" w:hAnsi="Times New Roman" w:cs="Times New Roman"/>
          <w:lang w:val="ro-MD"/>
        </w:rPr>
        <w:t xml:space="preserve"> de licențiere a </w:t>
      </w:r>
      <w:r w:rsidR="009206C6" w:rsidRPr="000508B6">
        <w:rPr>
          <w:rFonts w:ascii="Times New Roman" w:eastAsia="Times New Roman" w:hAnsi="Times New Roman" w:cs="Times New Roman"/>
          <w:lang w:val="ro-MD"/>
        </w:rPr>
        <w:t xml:space="preserve">asigurătorului sau </w:t>
      </w:r>
      <w:proofErr w:type="spellStart"/>
      <w:r w:rsidR="009206C6" w:rsidRPr="000508B6">
        <w:rPr>
          <w:rFonts w:ascii="Times New Roman" w:eastAsia="Times New Roman" w:hAnsi="Times New Roman" w:cs="Times New Roman"/>
          <w:lang w:val="ro-MD"/>
        </w:rPr>
        <w:t>reasigurătorului</w:t>
      </w:r>
      <w:proofErr w:type="spellEnd"/>
      <w:r w:rsidR="0028398D" w:rsidRPr="000508B6">
        <w:rPr>
          <w:rFonts w:ascii="Times New Roman" w:eastAsia="Times New Roman" w:hAnsi="Times New Roman" w:cs="Times New Roman"/>
          <w:lang w:val="ro-MD"/>
        </w:rPr>
        <w:t xml:space="preserve"> cuprinde două etape:</w:t>
      </w:r>
    </w:p>
    <w:p w14:paraId="5ED3E4CA" w14:textId="3AFF98FF" w:rsidR="0028398D" w:rsidRPr="000508B6" w:rsidRDefault="0028398D" w:rsidP="0092203B">
      <w:pPr>
        <w:pStyle w:val="Listparagraf"/>
        <w:numPr>
          <w:ilvl w:val="2"/>
          <w:numId w:val="47"/>
        </w:numPr>
        <w:tabs>
          <w:tab w:val="left" w:pos="709"/>
          <w:tab w:val="left" w:pos="851"/>
          <w:tab w:val="left" w:pos="993"/>
          <w:tab w:val="left" w:pos="1276"/>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aprobarea prealabilă de constituire</w:t>
      </w:r>
      <w:r w:rsidR="00520E9D" w:rsidRPr="000508B6">
        <w:rPr>
          <w:rFonts w:ascii="Times New Roman" w:eastAsia="Times New Roman" w:hAnsi="Times New Roman" w:cs="Times New Roman"/>
          <w:lang w:val="ro-MD"/>
        </w:rPr>
        <w:t>;</w:t>
      </w:r>
    </w:p>
    <w:p w14:paraId="01FD0AAE" w14:textId="523BEE80" w:rsidR="0028398D" w:rsidRPr="000508B6" w:rsidRDefault="0028398D" w:rsidP="00CF5AFA">
      <w:pPr>
        <w:pStyle w:val="Listparagraf"/>
        <w:numPr>
          <w:ilvl w:val="2"/>
          <w:numId w:val="47"/>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acordarea licenței.</w:t>
      </w:r>
    </w:p>
    <w:p w14:paraId="41D8E2C2" w14:textId="029EB79E" w:rsidR="006F35E8" w:rsidRPr="000508B6" w:rsidRDefault="007F5B89" w:rsidP="007F5B89">
      <w:pPr>
        <w:pStyle w:val="Listparagraf"/>
        <w:numPr>
          <w:ilvl w:val="1"/>
          <w:numId w:val="90"/>
        </w:numPr>
        <w:tabs>
          <w:tab w:val="left" w:pos="851"/>
        </w:tabs>
        <w:spacing w:after="0" w:line="240" w:lineRule="auto"/>
        <w:ind w:left="0" w:firstLine="425"/>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Prevederile alin. (1</w:t>
      </w:r>
      <w:r w:rsidR="00F15C58" w:rsidRPr="000508B6">
        <w:rPr>
          <w:rFonts w:ascii="Times New Roman" w:eastAsia="Times New Roman" w:hAnsi="Times New Roman" w:cs="Times New Roman"/>
          <w:bCs/>
          <w:lang w:val="ro-MD"/>
        </w:rPr>
        <w:t>8</w:t>
      </w:r>
      <w:r w:rsidRPr="000508B6">
        <w:rPr>
          <w:rFonts w:ascii="Times New Roman" w:eastAsia="Times New Roman" w:hAnsi="Times New Roman" w:cs="Times New Roman"/>
          <w:bCs/>
          <w:lang w:val="ro-MD"/>
        </w:rPr>
        <w:t xml:space="preserve">) lit. a) nu se aplică </w:t>
      </w:r>
      <w:r w:rsidR="00D255CA" w:rsidRPr="000508B6">
        <w:rPr>
          <w:rFonts w:ascii="Times New Roman" w:eastAsia="Times New Roman" w:hAnsi="Times New Roman" w:cs="Times New Roman"/>
          <w:bCs/>
          <w:lang w:val="ro-MD"/>
        </w:rPr>
        <w:t xml:space="preserve">asigurătorului </w:t>
      </w:r>
      <w:r w:rsidR="002D573E" w:rsidRPr="000508B6">
        <w:rPr>
          <w:rFonts w:ascii="Times New Roman" w:eastAsia="Times New Roman" w:hAnsi="Times New Roman" w:cs="Times New Roman"/>
          <w:bCs/>
          <w:lang w:val="ro-MD"/>
        </w:rPr>
        <w:t>sau</w:t>
      </w:r>
      <w:r w:rsidRPr="000508B6">
        <w:rPr>
          <w:rFonts w:ascii="Times New Roman" w:eastAsia="Times New Roman" w:hAnsi="Times New Roman" w:cs="Times New Roman"/>
          <w:bCs/>
          <w:lang w:val="ro-MD"/>
        </w:rPr>
        <w:t xml:space="preserve"> </w:t>
      </w:r>
      <w:proofErr w:type="spellStart"/>
      <w:r w:rsidR="00D255CA" w:rsidRPr="000508B6">
        <w:rPr>
          <w:rFonts w:ascii="Times New Roman" w:eastAsia="Times New Roman" w:hAnsi="Times New Roman" w:cs="Times New Roman"/>
          <w:bCs/>
          <w:lang w:val="ro-MD"/>
        </w:rPr>
        <w:t>reasigurătorului</w:t>
      </w:r>
      <w:proofErr w:type="spellEnd"/>
      <w:r w:rsidR="00D255CA"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care </w:t>
      </w:r>
      <w:proofErr w:type="spellStart"/>
      <w:r w:rsidRPr="000508B6">
        <w:rPr>
          <w:rFonts w:ascii="Times New Roman" w:eastAsia="Times New Roman" w:hAnsi="Times New Roman" w:cs="Times New Roman"/>
          <w:bCs/>
          <w:lang w:val="ro-MD"/>
        </w:rPr>
        <w:t>îşi</w:t>
      </w:r>
      <w:proofErr w:type="spellEnd"/>
      <w:r w:rsidRPr="000508B6">
        <w:rPr>
          <w:rFonts w:ascii="Times New Roman" w:eastAsia="Times New Roman" w:hAnsi="Times New Roman" w:cs="Times New Roman"/>
          <w:bCs/>
          <w:lang w:val="ro-MD"/>
        </w:rPr>
        <w:t xml:space="preserve"> extind</w:t>
      </w:r>
      <w:r w:rsidR="00AB2A95" w:rsidRPr="000508B6">
        <w:rPr>
          <w:rFonts w:ascii="Times New Roman" w:eastAsia="Times New Roman" w:hAnsi="Times New Roman" w:cs="Times New Roman"/>
          <w:bCs/>
          <w:lang w:val="ro-MD"/>
        </w:rPr>
        <w:t>e</w:t>
      </w:r>
      <w:r w:rsidRPr="000508B6">
        <w:rPr>
          <w:rFonts w:ascii="Times New Roman" w:eastAsia="Times New Roman" w:hAnsi="Times New Roman" w:cs="Times New Roman"/>
          <w:bCs/>
          <w:lang w:val="ro-MD"/>
        </w:rPr>
        <w:t xml:space="preserve"> activitatea la o </w:t>
      </w:r>
      <w:r w:rsidR="000E36A7" w:rsidRPr="000508B6">
        <w:rPr>
          <w:rFonts w:ascii="Times New Roman" w:eastAsia="Times New Roman" w:hAnsi="Times New Roman" w:cs="Times New Roman"/>
          <w:bCs/>
          <w:lang w:val="ro-MD"/>
        </w:rPr>
        <w:t>nouă</w:t>
      </w:r>
      <w:r w:rsidRPr="000508B6">
        <w:rPr>
          <w:rFonts w:ascii="Times New Roman" w:eastAsia="Times New Roman" w:hAnsi="Times New Roman" w:cs="Times New Roman"/>
          <w:bCs/>
          <w:lang w:val="ro-MD"/>
        </w:rPr>
        <w:t xml:space="preserve"> clasă de asigurare sau activitate de reasigurare ori la </w:t>
      </w:r>
      <w:r w:rsidR="000E36A7" w:rsidRPr="000508B6">
        <w:rPr>
          <w:rFonts w:ascii="Times New Roman" w:eastAsia="Times New Roman" w:hAnsi="Times New Roman" w:cs="Times New Roman"/>
          <w:bCs/>
          <w:lang w:val="ro-MD"/>
        </w:rPr>
        <w:t xml:space="preserve">alte riscuri din </w:t>
      </w:r>
      <w:r w:rsidRPr="000508B6">
        <w:rPr>
          <w:rFonts w:ascii="Times New Roman" w:eastAsia="Times New Roman" w:hAnsi="Times New Roman" w:cs="Times New Roman"/>
          <w:bCs/>
          <w:lang w:val="ro-MD"/>
        </w:rPr>
        <w:t xml:space="preserve">clasele sau </w:t>
      </w:r>
      <w:proofErr w:type="spellStart"/>
      <w:r w:rsidRPr="000508B6">
        <w:rPr>
          <w:rFonts w:ascii="Times New Roman" w:eastAsia="Times New Roman" w:hAnsi="Times New Roman" w:cs="Times New Roman"/>
          <w:bCs/>
          <w:lang w:val="ro-MD"/>
        </w:rPr>
        <w:t>activităţile</w:t>
      </w:r>
      <w:proofErr w:type="spellEnd"/>
      <w:r w:rsidRPr="000508B6">
        <w:rPr>
          <w:rFonts w:ascii="Times New Roman" w:eastAsia="Times New Roman" w:hAnsi="Times New Roman" w:cs="Times New Roman"/>
          <w:bCs/>
          <w:lang w:val="ro-MD"/>
        </w:rPr>
        <w:t xml:space="preserve"> de reasigurare pentru care este </w:t>
      </w:r>
      <w:proofErr w:type="spellStart"/>
      <w:r w:rsidRPr="000508B6">
        <w:rPr>
          <w:rFonts w:ascii="Times New Roman" w:eastAsia="Times New Roman" w:hAnsi="Times New Roman" w:cs="Times New Roman"/>
          <w:bCs/>
          <w:lang w:val="ro-MD"/>
        </w:rPr>
        <w:t>deţinută</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licenţa</w:t>
      </w:r>
      <w:proofErr w:type="spellEnd"/>
      <w:r w:rsidRPr="000508B6">
        <w:rPr>
          <w:rFonts w:ascii="Times New Roman" w:eastAsia="Times New Roman" w:hAnsi="Times New Roman" w:cs="Times New Roman"/>
          <w:bCs/>
          <w:lang w:val="ro-MD"/>
        </w:rPr>
        <w:t>.</w:t>
      </w:r>
    </w:p>
    <w:p w14:paraId="003AE811" w14:textId="7BC64151" w:rsidR="002062B3" w:rsidRPr="000508B6" w:rsidRDefault="002062B3" w:rsidP="007F5B89">
      <w:pPr>
        <w:pStyle w:val="Listparagraf"/>
        <w:numPr>
          <w:ilvl w:val="1"/>
          <w:numId w:val="90"/>
        </w:numPr>
        <w:tabs>
          <w:tab w:val="left" w:pos="851"/>
        </w:tabs>
        <w:spacing w:after="0" w:line="240" w:lineRule="auto"/>
        <w:ind w:left="0" w:firstLine="425"/>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Prin </w:t>
      </w:r>
      <w:proofErr w:type="spellStart"/>
      <w:r w:rsidRPr="000508B6">
        <w:rPr>
          <w:rFonts w:ascii="Times New Roman" w:eastAsia="Times New Roman" w:hAnsi="Times New Roman" w:cs="Times New Roman"/>
          <w:bCs/>
          <w:lang w:val="ro-MD"/>
        </w:rPr>
        <w:t>excepţie</w:t>
      </w:r>
      <w:proofErr w:type="spellEnd"/>
      <w:r w:rsidRPr="000508B6">
        <w:rPr>
          <w:rFonts w:ascii="Times New Roman" w:eastAsia="Times New Roman" w:hAnsi="Times New Roman" w:cs="Times New Roman"/>
          <w:bCs/>
          <w:lang w:val="ro-MD"/>
        </w:rPr>
        <w:t xml:space="preserve"> de la prevederile alin. (13), </w:t>
      </w:r>
      <w:r w:rsidR="00D255CA" w:rsidRPr="000508B6">
        <w:rPr>
          <w:rFonts w:ascii="Times New Roman" w:eastAsia="Times New Roman" w:hAnsi="Times New Roman" w:cs="Times New Roman"/>
          <w:bCs/>
          <w:lang w:val="ro-MD"/>
        </w:rPr>
        <w:t xml:space="preserve">asigurătorul </w:t>
      </w:r>
      <w:r w:rsidRPr="000508B6">
        <w:rPr>
          <w:rFonts w:ascii="Times New Roman" w:eastAsia="Times New Roman" w:hAnsi="Times New Roman" w:cs="Times New Roman"/>
          <w:bCs/>
          <w:lang w:val="ro-MD"/>
        </w:rPr>
        <w:t xml:space="preserve">poate solicita, în conformitate cu </w:t>
      </w:r>
      <w:proofErr w:type="spellStart"/>
      <w:r w:rsidRPr="000508B6">
        <w:rPr>
          <w:rFonts w:ascii="Times New Roman" w:eastAsia="Times New Roman" w:hAnsi="Times New Roman" w:cs="Times New Roman"/>
          <w:bCs/>
          <w:lang w:val="ro-MD"/>
        </w:rPr>
        <w:t>legislaţia</w:t>
      </w:r>
      <w:proofErr w:type="spellEnd"/>
      <w:r w:rsidRPr="000508B6">
        <w:rPr>
          <w:rFonts w:ascii="Times New Roman" w:eastAsia="Times New Roman" w:hAnsi="Times New Roman" w:cs="Times New Roman"/>
          <w:bCs/>
          <w:lang w:val="ro-MD"/>
        </w:rPr>
        <w:t xml:space="preserve"> specială,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licență pentru </w:t>
      </w:r>
      <w:proofErr w:type="spellStart"/>
      <w:r w:rsidRPr="000508B6">
        <w:rPr>
          <w:rFonts w:ascii="Times New Roman" w:eastAsia="Times New Roman" w:hAnsi="Times New Roman" w:cs="Times New Roman"/>
          <w:bCs/>
          <w:lang w:val="ro-MD"/>
        </w:rPr>
        <w:t>desfăşurarea</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activităţii</w:t>
      </w:r>
      <w:proofErr w:type="spellEnd"/>
      <w:r w:rsidRPr="000508B6">
        <w:rPr>
          <w:rFonts w:ascii="Times New Roman" w:eastAsia="Times New Roman" w:hAnsi="Times New Roman" w:cs="Times New Roman"/>
          <w:bCs/>
          <w:lang w:val="ro-MD"/>
        </w:rPr>
        <w:t xml:space="preserve"> de administrare a fondurilor </w:t>
      </w:r>
      <w:r w:rsidR="007515AF" w:rsidRPr="000508B6">
        <w:rPr>
          <w:rFonts w:ascii="Times New Roman" w:eastAsia="Times New Roman" w:hAnsi="Times New Roman" w:cs="Times New Roman"/>
          <w:bCs/>
          <w:lang w:val="ro-MD"/>
        </w:rPr>
        <w:t>ocupaționale</w:t>
      </w:r>
      <w:r w:rsidRPr="000508B6">
        <w:rPr>
          <w:rFonts w:ascii="Times New Roman" w:eastAsia="Times New Roman" w:hAnsi="Times New Roman" w:cs="Times New Roman"/>
          <w:bCs/>
          <w:lang w:val="ro-MD"/>
        </w:rPr>
        <w:t>.</w:t>
      </w:r>
    </w:p>
    <w:p w14:paraId="0190310C" w14:textId="77777777" w:rsidR="007F5B89" w:rsidRPr="000508B6" w:rsidRDefault="007F5B89" w:rsidP="004E00B7">
      <w:pPr>
        <w:spacing w:after="0" w:line="240" w:lineRule="auto"/>
        <w:ind w:firstLine="426"/>
        <w:jc w:val="both"/>
        <w:rPr>
          <w:rFonts w:ascii="Times New Roman" w:eastAsia="Times New Roman" w:hAnsi="Times New Roman" w:cs="Times New Roman"/>
          <w:b/>
          <w:lang w:val="ro-MD"/>
        </w:rPr>
      </w:pPr>
    </w:p>
    <w:p w14:paraId="77EA4852" w14:textId="1B8D6899" w:rsidR="00F95829" w:rsidRPr="000508B6" w:rsidRDefault="00F95829" w:rsidP="004E00B7">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5</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822D6D" w:rsidRPr="000508B6">
        <w:rPr>
          <w:rFonts w:ascii="Times New Roman" w:eastAsia="Times New Roman" w:hAnsi="Times New Roman" w:cs="Times New Roman"/>
          <w:lang w:val="ro-MD"/>
        </w:rPr>
        <w:t>Aprobarea prealabilă de consti</w:t>
      </w:r>
      <w:r w:rsidR="00582BB9" w:rsidRPr="000508B6">
        <w:rPr>
          <w:rFonts w:ascii="Times New Roman" w:eastAsia="Times New Roman" w:hAnsi="Times New Roman" w:cs="Times New Roman"/>
          <w:lang w:val="ro-MD"/>
        </w:rPr>
        <w:t>t</w:t>
      </w:r>
      <w:r w:rsidR="00822D6D" w:rsidRPr="000508B6">
        <w:rPr>
          <w:rFonts w:ascii="Times New Roman" w:eastAsia="Times New Roman" w:hAnsi="Times New Roman" w:cs="Times New Roman"/>
          <w:lang w:val="ro-MD"/>
        </w:rPr>
        <w:t>uire</w:t>
      </w:r>
      <w:r w:rsidR="00BB4DC6" w:rsidRPr="000508B6">
        <w:rPr>
          <w:rFonts w:ascii="Times New Roman" w:eastAsia="Times New Roman" w:hAnsi="Times New Roman" w:cs="Times New Roman"/>
          <w:lang w:val="ro-MD"/>
        </w:rPr>
        <w:t xml:space="preserve"> </w:t>
      </w:r>
    </w:p>
    <w:p w14:paraId="6FFBD0AF" w14:textId="5A645FCC" w:rsidR="00FF7D48" w:rsidRPr="000508B6" w:rsidRDefault="004125E8" w:rsidP="00CF5AFA">
      <w:pPr>
        <w:pStyle w:val="Listparagraf"/>
        <w:numPr>
          <w:ilvl w:val="0"/>
          <w:numId w:val="249"/>
        </w:numPr>
        <w:tabs>
          <w:tab w:val="left" w:pos="709"/>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Asigurătorul sau </w:t>
      </w:r>
      <w:proofErr w:type="spellStart"/>
      <w:r w:rsidRPr="000508B6">
        <w:rPr>
          <w:rFonts w:ascii="Times New Roman" w:eastAsia="Times New Roman" w:hAnsi="Times New Roman" w:cs="Times New Roman"/>
          <w:lang w:val="ro-MD"/>
        </w:rPr>
        <w:t>reasigurătorul</w:t>
      </w:r>
      <w:proofErr w:type="spellEnd"/>
      <w:r w:rsidR="002414BC" w:rsidRPr="000508B6">
        <w:rPr>
          <w:rFonts w:ascii="Times New Roman" w:eastAsia="Times New Roman" w:hAnsi="Times New Roman" w:cs="Times New Roman"/>
          <w:lang w:val="ro-MD"/>
        </w:rPr>
        <w:t xml:space="preserve">  nu poate fi </w:t>
      </w:r>
      <w:r w:rsidR="009F555D" w:rsidRPr="000508B6">
        <w:rPr>
          <w:rFonts w:ascii="Times New Roman" w:eastAsia="Times New Roman" w:hAnsi="Times New Roman" w:cs="Times New Roman"/>
          <w:lang w:val="ro-MD"/>
        </w:rPr>
        <w:t xml:space="preserve">supus </w:t>
      </w:r>
      <w:r w:rsidR="002414BC" w:rsidRPr="000508B6">
        <w:rPr>
          <w:rFonts w:ascii="Times New Roman" w:eastAsia="Times New Roman" w:hAnsi="Times New Roman" w:cs="Times New Roman"/>
          <w:lang w:val="ro-MD"/>
        </w:rPr>
        <w:t>înregistră</w:t>
      </w:r>
      <w:r w:rsidR="009F555D" w:rsidRPr="000508B6">
        <w:rPr>
          <w:rFonts w:ascii="Times New Roman" w:eastAsia="Times New Roman" w:hAnsi="Times New Roman" w:cs="Times New Roman"/>
          <w:lang w:val="ro-MD"/>
        </w:rPr>
        <w:t>rii de stat</w:t>
      </w:r>
      <w:r w:rsidR="002414BC" w:rsidRPr="000508B6">
        <w:rPr>
          <w:rFonts w:ascii="Times New Roman" w:eastAsia="Times New Roman" w:hAnsi="Times New Roman" w:cs="Times New Roman"/>
          <w:lang w:val="ro-MD"/>
        </w:rPr>
        <w:t xml:space="preserve"> fără aprobare</w:t>
      </w:r>
      <w:r w:rsidR="009F555D" w:rsidRPr="000508B6">
        <w:rPr>
          <w:rFonts w:ascii="Times New Roman" w:eastAsia="Times New Roman" w:hAnsi="Times New Roman" w:cs="Times New Roman"/>
          <w:lang w:val="ro-MD"/>
        </w:rPr>
        <w:t>a</w:t>
      </w:r>
      <w:r w:rsidR="002414BC" w:rsidRPr="000508B6">
        <w:rPr>
          <w:rFonts w:ascii="Times New Roman" w:eastAsia="Times New Roman" w:hAnsi="Times New Roman" w:cs="Times New Roman"/>
          <w:lang w:val="ro-MD"/>
        </w:rPr>
        <w:t xml:space="preserve"> prealabilă de constituire a Băncii Naționale a Moldovei</w:t>
      </w:r>
      <w:r w:rsidR="00767199" w:rsidRPr="000508B6">
        <w:rPr>
          <w:rFonts w:ascii="Times New Roman" w:eastAsia="Times New Roman" w:hAnsi="Times New Roman" w:cs="Times New Roman"/>
          <w:lang w:val="ro-MD"/>
        </w:rPr>
        <w:t>.</w:t>
      </w:r>
      <w:r w:rsidR="00FF7D48" w:rsidRPr="000508B6">
        <w:rPr>
          <w:rFonts w:ascii="Times New Roman" w:eastAsia="Times New Roman" w:hAnsi="Times New Roman" w:cs="Times New Roman"/>
          <w:lang w:val="ro-MD"/>
        </w:rPr>
        <w:t xml:space="preserve"> Pentru obținerea aprobării prealabile de constituire, </w:t>
      </w:r>
      <w:r w:rsidR="000E2263" w:rsidRPr="000508B6">
        <w:rPr>
          <w:rFonts w:ascii="Times New Roman" w:eastAsia="Times New Roman" w:hAnsi="Times New Roman" w:cs="Times New Roman"/>
          <w:lang w:val="ro-MD"/>
        </w:rPr>
        <w:t xml:space="preserve">la </w:t>
      </w:r>
      <w:r w:rsidR="00FF7D48" w:rsidRPr="000508B6">
        <w:rPr>
          <w:rFonts w:ascii="Times New Roman" w:hAnsi="Times New Roman" w:cs="Times New Roman"/>
          <w:lang w:val="ro-MD"/>
        </w:rPr>
        <w:t xml:space="preserve">Banca Națională a Moldovei </w:t>
      </w:r>
      <w:r w:rsidR="00BF0249" w:rsidRPr="000508B6">
        <w:rPr>
          <w:rFonts w:ascii="Times New Roman" w:hAnsi="Times New Roman" w:cs="Times New Roman"/>
          <w:lang w:val="ro-MD"/>
        </w:rPr>
        <w:t xml:space="preserve">se depune </w:t>
      </w:r>
      <w:r w:rsidR="00FF7D48" w:rsidRPr="000508B6">
        <w:rPr>
          <w:rFonts w:ascii="Times New Roman" w:eastAsia="Times New Roman" w:hAnsi="Times New Roman" w:cs="Times New Roman"/>
          <w:lang w:val="ro-MD"/>
        </w:rPr>
        <w:t xml:space="preserve">o cerere </w:t>
      </w:r>
      <w:proofErr w:type="spellStart"/>
      <w:r w:rsidR="00FF7D48" w:rsidRPr="000508B6">
        <w:rPr>
          <w:rFonts w:ascii="Times New Roman" w:eastAsia="Times New Roman" w:hAnsi="Times New Roman" w:cs="Times New Roman"/>
          <w:lang w:val="ro-MD"/>
        </w:rPr>
        <w:t>însoţită</w:t>
      </w:r>
      <w:proofErr w:type="spellEnd"/>
      <w:r w:rsidR="00FF7D48" w:rsidRPr="000508B6">
        <w:rPr>
          <w:rFonts w:ascii="Times New Roman" w:eastAsia="Times New Roman" w:hAnsi="Times New Roman" w:cs="Times New Roman"/>
          <w:lang w:val="ro-MD"/>
        </w:rPr>
        <w:t xml:space="preserve"> de </w:t>
      </w:r>
      <w:r w:rsidR="00F05ABC" w:rsidRPr="000508B6">
        <w:rPr>
          <w:rFonts w:ascii="Times New Roman" w:eastAsia="Times New Roman" w:hAnsi="Times New Roman" w:cs="Times New Roman"/>
          <w:lang w:val="ro-MD"/>
        </w:rPr>
        <w:t>următoarele</w:t>
      </w:r>
      <w:r w:rsidR="00FF7D48" w:rsidRPr="000508B6">
        <w:rPr>
          <w:rFonts w:ascii="Times New Roman" w:eastAsia="Times New Roman" w:hAnsi="Times New Roman" w:cs="Times New Roman"/>
          <w:lang w:val="ro-MD"/>
        </w:rPr>
        <w:t xml:space="preserve"> documente </w:t>
      </w:r>
      <w:proofErr w:type="spellStart"/>
      <w:r w:rsidR="00FF7D48" w:rsidRPr="000508B6">
        <w:rPr>
          <w:rFonts w:ascii="Times New Roman" w:eastAsia="Times New Roman" w:hAnsi="Times New Roman" w:cs="Times New Roman"/>
          <w:lang w:val="ro-MD"/>
        </w:rPr>
        <w:t>şi</w:t>
      </w:r>
      <w:proofErr w:type="spellEnd"/>
      <w:r w:rsidR="00FF7D48" w:rsidRPr="000508B6">
        <w:rPr>
          <w:rFonts w:ascii="Times New Roman" w:eastAsia="Times New Roman" w:hAnsi="Times New Roman" w:cs="Times New Roman"/>
          <w:lang w:val="ro-MD"/>
        </w:rPr>
        <w:t xml:space="preserve">/sau </w:t>
      </w:r>
      <w:proofErr w:type="spellStart"/>
      <w:r w:rsidR="00FF7D48" w:rsidRPr="000508B6">
        <w:rPr>
          <w:rFonts w:ascii="Times New Roman" w:eastAsia="Times New Roman" w:hAnsi="Times New Roman" w:cs="Times New Roman"/>
          <w:lang w:val="ro-MD"/>
        </w:rPr>
        <w:t>informaţii</w:t>
      </w:r>
      <w:proofErr w:type="spellEnd"/>
      <w:r w:rsidR="00F05ABC" w:rsidRPr="000508B6">
        <w:rPr>
          <w:rFonts w:ascii="Times New Roman" w:eastAsia="Times New Roman" w:hAnsi="Times New Roman" w:cs="Times New Roman"/>
          <w:lang w:val="ro-MD"/>
        </w:rPr>
        <w:t>:</w:t>
      </w:r>
    </w:p>
    <w:p w14:paraId="439A6C0C" w14:textId="39914DA1"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t xml:space="preserve">documentele de constituire ale </w:t>
      </w:r>
      <w:r w:rsidR="004125E8" w:rsidRPr="000508B6">
        <w:rPr>
          <w:rFonts w:ascii="Times New Roman" w:eastAsia="Times New Roman" w:hAnsi="Times New Roman" w:cs="Times New Roman"/>
          <w:lang w:val="ro-MD"/>
        </w:rPr>
        <w:t xml:space="preserve">asigurătorului sau </w:t>
      </w:r>
      <w:r w:rsidR="00B30AAD" w:rsidRPr="000508B6">
        <w:rPr>
          <w:rFonts w:ascii="Times New Roman" w:eastAsia="Times New Roman" w:hAnsi="Times New Roman" w:cs="Times New Roman"/>
          <w:lang w:val="ro-MD"/>
        </w:rPr>
        <w:t xml:space="preserve">a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162FD7C9" w14:textId="03180FA8"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dovada deținerii fondurilor proprii de bază eligibile pentru a acoperi pragul absolut al cerinței de capital minim (</w:t>
      </w:r>
      <w:r w:rsidR="00B30AAD" w:rsidRPr="000508B6">
        <w:rPr>
          <w:rFonts w:ascii="Times New Roman" w:eastAsia="Times New Roman" w:hAnsi="Times New Roman" w:cs="Times New Roman"/>
          <w:lang w:val="ro-MD"/>
        </w:rPr>
        <w:t xml:space="preserve">în continuare – </w:t>
      </w:r>
      <w:r w:rsidRPr="000508B6">
        <w:rPr>
          <w:rFonts w:ascii="Times New Roman" w:eastAsia="Times New Roman" w:hAnsi="Times New Roman" w:cs="Times New Roman"/>
          <w:lang w:val="ro-MD"/>
        </w:rPr>
        <w:t>MCR), prevăzută la art. 88 alin</w:t>
      </w:r>
      <w:r w:rsidR="00F33CD9"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(2) lit. d);</w:t>
      </w:r>
      <w:r w:rsidR="00222672" w:rsidRPr="000508B6">
        <w:rPr>
          <w:rFonts w:ascii="Times New Roman" w:hAnsi="Times New Roman" w:cs="Times New Roman"/>
          <w:lang w:val="ro-MD"/>
        </w:rPr>
        <w:t xml:space="preserve"> </w:t>
      </w:r>
    </w:p>
    <w:p w14:paraId="4476022D" w14:textId="1A869B48"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t xml:space="preserve">dovada </w:t>
      </w:r>
      <w:r w:rsidR="00F8684D" w:rsidRPr="000508B6">
        <w:rPr>
          <w:rFonts w:ascii="Times New Roman" w:eastAsia="Times New Roman" w:hAnsi="Times New Roman" w:cs="Times New Roman"/>
          <w:lang w:val="ro-MD"/>
        </w:rPr>
        <w:t xml:space="preserve">că, din acel moment, se </w:t>
      </w:r>
      <w:r w:rsidR="000563E6" w:rsidRPr="000508B6">
        <w:rPr>
          <w:rFonts w:ascii="Times New Roman" w:eastAsia="Times New Roman" w:hAnsi="Times New Roman" w:cs="Times New Roman"/>
          <w:lang w:val="ro-MD"/>
        </w:rPr>
        <w:t>va afla</w:t>
      </w:r>
      <w:r w:rsidR="00F8684D" w:rsidRPr="000508B6">
        <w:rPr>
          <w:rFonts w:ascii="Times New Roman" w:eastAsia="Times New Roman" w:hAnsi="Times New Roman" w:cs="Times New Roman"/>
          <w:lang w:val="ro-MD"/>
        </w:rPr>
        <w:t xml:space="preserve"> în postura de a </w:t>
      </w:r>
      <w:r w:rsidRPr="000508B6">
        <w:rPr>
          <w:rFonts w:ascii="Times New Roman" w:eastAsia="Times New Roman" w:hAnsi="Times New Roman" w:cs="Times New Roman"/>
          <w:lang w:val="ro-MD"/>
        </w:rPr>
        <w:t>deține fonduri proprii eligibile pentru acoperirea SCR, prevăzută la art. 64 alin. (1);</w:t>
      </w:r>
    </w:p>
    <w:p w14:paraId="7E3E4F1C" w14:textId="21CC65EF"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d)</w:t>
      </w:r>
      <w:r w:rsidRPr="000508B6">
        <w:rPr>
          <w:rFonts w:ascii="Times New Roman" w:eastAsia="Times New Roman" w:hAnsi="Times New Roman" w:cs="Times New Roman"/>
          <w:lang w:val="ro-MD"/>
        </w:rPr>
        <w:tab/>
        <w:t xml:space="preserve">dovada </w:t>
      </w:r>
      <w:r w:rsidR="00F8684D" w:rsidRPr="000508B6">
        <w:rPr>
          <w:rFonts w:ascii="Times New Roman" w:eastAsia="Times New Roman" w:hAnsi="Times New Roman" w:cs="Times New Roman"/>
          <w:lang w:val="ro-MD"/>
        </w:rPr>
        <w:t xml:space="preserve">că, din acel moment, se </w:t>
      </w:r>
      <w:r w:rsidR="000563E6" w:rsidRPr="000508B6">
        <w:rPr>
          <w:rFonts w:ascii="Times New Roman" w:eastAsia="Times New Roman" w:hAnsi="Times New Roman" w:cs="Times New Roman"/>
          <w:lang w:val="ro-MD"/>
        </w:rPr>
        <w:t xml:space="preserve">va </w:t>
      </w:r>
      <w:r w:rsidR="00F8684D" w:rsidRPr="000508B6">
        <w:rPr>
          <w:rFonts w:ascii="Times New Roman" w:eastAsia="Times New Roman" w:hAnsi="Times New Roman" w:cs="Times New Roman"/>
          <w:lang w:val="ro-MD"/>
        </w:rPr>
        <w:t>afl</w:t>
      </w:r>
      <w:r w:rsidR="000563E6" w:rsidRPr="000508B6">
        <w:rPr>
          <w:rFonts w:ascii="Times New Roman" w:eastAsia="Times New Roman" w:hAnsi="Times New Roman" w:cs="Times New Roman"/>
          <w:lang w:val="ro-MD"/>
        </w:rPr>
        <w:t>a</w:t>
      </w:r>
      <w:r w:rsidR="00F8684D" w:rsidRPr="000508B6">
        <w:rPr>
          <w:rFonts w:ascii="Times New Roman" w:eastAsia="Times New Roman" w:hAnsi="Times New Roman" w:cs="Times New Roman"/>
          <w:lang w:val="ro-MD"/>
        </w:rPr>
        <w:t xml:space="preserve"> în postura de a </w:t>
      </w:r>
      <w:r w:rsidRPr="000508B6">
        <w:rPr>
          <w:rFonts w:ascii="Times New Roman" w:eastAsia="Times New Roman" w:hAnsi="Times New Roman" w:cs="Times New Roman"/>
          <w:lang w:val="ro-MD"/>
        </w:rPr>
        <w:t>deține</w:t>
      </w:r>
      <w:r w:rsidR="00EA2BF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fonduril</w:t>
      </w:r>
      <w:r w:rsidR="00F8684D"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proprii eligibile pentru acoperirea MCR, prevăzută la art. 88 alin. (1);</w:t>
      </w:r>
    </w:p>
    <w:p w14:paraId="376DF26A" w14:textId="7CC4EC05"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ab/>
        <w:t xml:space="preserve">dovezi că </w:t>
      </w:r>
      <w:r w:rsidR="00607D41" w:rsidRPr="000508B6">
        <w:rPr>
          <w:rFonts w:ascii="Times New Roman" w:eastAsia="Times New Roman" w:hAnsi="Times New Roman" w:cs="Times New Roman"/>
          <w:lang w:val="ro-MD"/>
        </w:rPr>
        <w:t>este</w:t>
      </w:r>
      <w:r w:rsidRPr="000508B6">
        <w:rPr>
          <w:rFonts w:ascii="Times New Roman" w:eastAsia="Times New Roman" w:hAnsi="Times New Roman" w:cs="Times New Roman"/>
          <w:lang w:val="ro-MD"/>
        </w:rPr>
        <w:t xml:space="preserve"> în măsură să respecte </w:t>
      </w:r>
      <w:r w:rsidR="00856A78" w:rsidRPr="000508B6">
        <w:rPr>
          <w:rFonts w:ascii="Times New Roman" w:eastAsia="Times New Roman" w:hAnsi="Times New Roman" w:cs="Times New Roman"/>
          <w:lang w:val="ro-MD"/>
        </w:rPr>
        <w:t>cerințele față de</w:t>
      </w:r>
      <w:r w:rsidRPr="000508B6">
        <w:rPr>
          <w:rFonts w:ascii="Times New Roman" w:eastAsia="Times New Roman" w:hAnsi="Times New Roman" w:cs="Times New Roman"/>
          <w:lang w:val="ro-MD"/>
        </w:rPr>
        <w:t xml:space="preserve"> sistemul de </w:t>
      </w:r>
      <w:proofErr w:type="spellStart"/>
      <w:r w:rsidRPr="000508B6">
        <w:rPr>
          <w:rFonts w:ascii="Times New Roman" w:eastAsia="Times New Roman" w:hAnsi="Times New Roman" w:cs="Times New Roman"/>
          <w:lang w:val="ro-MD"/>
        </w:rPr>
        <w:t>guvernanţă</w:t>
      </w:r>
      <w:proofErr w:type="spellEnd"/>
      <w:r w:rsidRPr="000508B6">
        <w:rPr>
          <w:rFonts w:ascii="Times New Roman" w:eastAsia="Times New Roman" w:hAnsi="Times New Roman" w:cs="Times New Roman"/>
          <w:lang w:val="ro-MD"/>
        </w:rPr>
        <w:t>, în conformitate cu prevederile art.</w:t>
      </w:r>
      <w:r w:rsidR="00F33CD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19 – 31;</w:t>
      </w:r>
      <w:r w:rsidR="00222672" w:rsidRPr="000508B6">
        <w:rPr>
          <w:rFonts w:ascii="Times New Roman" w:eastAsia="Times New Roman" w:hAnsi="Times New Roman" w:cs="Times New Roman"/>
          <w:lang w:val="ro-MD"/>
        </w:rPr>
        <w:t xml:space="preserve"> </w:t>
      </w:r>
    </w:p>
    <w:p w14:paraId="0FF98F1F" w14:textId="34D949C5"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w:t>
      </w:r>
      <w:r w:rsidRPr="000508B6">
        <w:rPr>
          <w:rFonts w:ascii="Times New Roman" w:eastAsia="Times New Roman" w:hAnsi="Times New Roman" w:cs="Times New Roman"/>
          <w:lang w:val="ro-MD"/>
        </w:rPr>
        <w:tab/>
        <w:t xml:space="preserve">informații </w:t>
      </w:r>
      <w:r w:rsidR="00466941" w:rsidRPr="000508B6">
        <w:rPr>
          <w:rFonts w:ascii="Times New Roman" w:eastAsia="Times New Roman" w:hAnsi="Times New Roman" w:cs="Times New Roman"/>
          <w:lang w:val="ro-MD"/>
        </w:rPr>
        <w:t xml:space="preserve">care demonstrează </w:t>
      </w:r>
      <w:r w:rsidRPr="000508B6">
        <w:rPr>
          <w:rFonts w:ascii="Times New Roman" w:eastAsia="Times New Roman" w:hAnsi="Times New Roman" w:cs="Times New Roman"/>
          <w:lang w:val="ro-MD"/>
        </w:rPr>
        <w:t xml:space="preserve">identitatea </w:t>
      </w:r>
      <w:r w:rsidR="00F520EB" w:rsidRPr="000508B6">
        <w:rPr>
          <w:rFonts w:ascii="Times New Roman" w:eastAsia="Times New Roman" w:hAnsi="Times New Roman" w:cs="Times New Roman"/>
          <w:lang w:val="ro-MD"/>
        </w:rPr>
        <w:t>și corespunderea cerințelor de calitate a</w:t>
      </w:r>
      <w:r w:rsidR="00397D34" w:rsidRPr="000508B6">
        <w:rPr>
          <w:rFonts w:ascii="Times New Roman" w:eastAsia="Times New Roman" w:hAnsi="Times New Roman" w:cs="Times New Roman"/>
          <w:lang w:val="ro-MD"/>
        </w:rPr>
        <w:t xml:space="preserve"> </w:t>
      </w:r>
      <w:r w:rsidR="00F90CDC" w:rsidRPr="000508B6">
        <w:rPr>
          <w:rFonts w:ascii="Times New Roman" w:eastAsia="Times New Roman" w:hAnsi="Times New Roman" w:cs="Times New Roman"/>
          <w:lang w:val="ro-MD"/>
        </w:rPr>
        <w:t>deținătorilor</w:t>
      </w:r>
      <w:r w:rsidR="00234910" w:rsidRPr="000508B6">
        <w:rPr>
          <w:rFonts w:ascii="Times New Roman" w:eastAsia="Times New Roman" w:hAnsi="Times New Roman" w:cs="Times New Roman"/>
          <w:lang w:val="ro-MD"/>
        </w:rPr>
        <w:t xml:space="preserve"> direcți și indirecți,</w:t>
      </w:r>
      <w:r w:rsidR="004F34E0" w:rsidRPr="000508B6">
        <w:rPr>
          <w:rFonts w:ascii="Times New Roman" w:eastAsia="Times New Roman" w:hAnsi="Times New Roman" w:cs="Times New Roman"/>
          <w:lang w:val="ro-MD"/>
        </w:rPr>
        <w:t xml:space="preserve"> beneficiarilor efectivi</w:t>
      </w:r>
      <w:r w:rsidR="00234910" w:rsidRPr="000508B6">
        <w:rPr>
          <w:rFonts w:ascii="Times New Roman" w:eastAsia="Times New Roman" w:hAnsi="Times New Roman" w:cs="Times New Roman"/>
          <w:lang w:val="ro-MD"/>
        </w:rPr>
        <w:t xml:space="preserve"> persoane fizice sau juridice, care dețin o participație calificată în </w:t>
      </w:r>
      <w:r w:rsidR="00C5163B" w:rsidRPr="000508B6">
        <w:rPr>
          <w:rFonts w:ascii="Times New Roman" w:eastAsia="Times New Roman" w:hAnsi="Times New Roman" w:cs="Times New Roman"/>
          <w:lang w:val="ro-MD"/>
        </w:rPr>
        <w:t xml:space="preserve">respectivul asigurător sau </w:t>
      </w:r>
      <w:proofErr w:type="spellStart"/>
      <w:r w:rsidR="00C5163B" w:rsidRPr="000508B6">
        <w:rPr>
          <w:rFonts w:ascii="Times New Roman" w:eastAsia="Times New Roman" w:hAnsi="Times New Roman" w:cs="Times New Roman"/>
          <w:lang w:val="ro-MD"/>
        </w:rPr>
        <w:t>reasigurător</w:t>
      </w:r>
      <w:proofErr w:type="spellEnd"/>
      <w:r w:rsidR="00C5163B" w:rsidRPr="000508B6">
        <w:rPr>
          <w:rFonts w:ascii="Times New Roman" w:eastAsia="Times New Roman" w:hAnsi="Times New Roman" w:cs="Times New Roman"/>
          <w:lang w:val="ro-MD"/>
        </w:rPr>
        <w:t>,</w:t>
      </w:r>
      <w:r w:rsidR="00234910" w:rsidRPr="000508B6">
        <w:rPr>
          <w:rFonts w:ascii="Times New Roman" w:eastAsia="Times New Roman" w:hAnsi="Times New Roman" w:cs="Times New Roman"/>
          <w:lang w:val="ro-MD"/>
        </w:rPr>
        <w:t xml:space="preserve"> precum și comunicarea cuantumului respectivei participații</w:t>
      </w:r>
      <w:r w:rsidRPr="000508B6">
        <w:rPr>
          <w:rFonts w:ascii="Times New Roman" w:eastAsia="Times New Roman" w:hAnsi="Times New Roman" w:cs="Times New Roman"/>
          <w:lang w:val="ro-MD"/>
        </w:rPr>
        <w:t>;</w:t>
      </w:r>
      <w:r w:rsidR="004A1D08" w:rsidRPr="000508B6">
        <w:rPr>
          <w:rFonts w:ascii="Times New Roman" w:eastAsia="Times New Roman" w:hAnsi="Times New Roman" w:cs="Times New Roman"/>
          <w:lang w:val="ro-MD"/>
        </w:rPr>
        <w:t xml:space="preserve"> </w:t>
      </w:r>
    </w:p>
    <w:p w14:paraId="73F45E18" w14:textId="61024FFC"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g)</w:t>
      </w:r>
      <w:r w:rsidRPr="000508B6">
        <w:rPr>
          <w:rFonts w:ascii="Times New Roman" w:eastAsia="Times New Roman" w:hAnsi="Times New Roman" w:cs="Times New Roman"/>
          <w:lang w:val="ro-MD"/>
        </w:rPr>
        <w:tab/>
        <w:t>planul de afaceri pentru următorii 3 ani, în conformitate cu prevederile art. 7;</w:t>
      </w:r>
    </w:p>
    <w:p w14:paraId="00CAA3A7" w14:textId="513D67AA" w:rsidR="00F05ABC" w:rsidRPr="000508B6" w:rsidRDefault="00F05ABC" w:rsidP="00AD7143">
      <w:pPr>
        <w:tabs>
          <w:tab w:val="left" w:pos="709"/>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h)</w:t>
      </w:r>
      <w:r w:rsidRPr="000508B6">
        <w:rPr>
          <w:rFonts w:ascii="Times New Roman" w:eastAsia="Times New Roman" w:hAnsi="Times New Roman" w:cs="Times New Roman"/>
          <w:lang w:val="ro-MD"/>
        </w:rPr>
        <w:tab/>
        <w:t>pentru clasa 10</w:t>
      </w:r>
      <w:r w:rsidR="00AB2A95"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prevăzută în </w:t>
      </w:r>
      <w:r w:rsidR="002C46E4"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nexa nr. 1 </w:t>
      </w:r>
      <w:r w:rsidR="002A1AB3"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 xml:space="preserve">ecțiunea A, </w:t>
      </w:r>
      <w:r w:rsidR="0036579A" w:rsidRPr="000508B6">
        <w:rPr>
          <w:rFonts w:ascii="Times New Roman" w:eastAsia="Times New Roman" w:hAnsi="Times New Roman" w:cs="Times New Roman"/>
          <w:lang w:val="ro-MD"/>
        </w:rPr>
        <w:t>cu excepția</w:t>
      </w:r>
      <w:r w:rsidRPr="000508B6" w:rsidDel="00331FB6">
        <w:rPr>
          <w:rFonts w:ascii="Times New Roman" w:eastAsia="Times New Roman" w:hAnsi="Times New Roman" w:cs="Times New Roman"/>
          <w:lang w:val="ro-MD"/>
        </w:rPr>
        <w:t xml:space="preserve"> </w:t>
      </w:r>
      <w:r w:rsidR="00331FB6" w:rsidRPr="000508B6">
        <w:rPr>
          <w:rFonts w:ascii="Times New Roman" w:eastAsia="Times New Roman" w:hAnsi="Times New Roman" w:cs="Times New Roman"/>
          <w:lang w:val="ro-MD"/>
        </w:rPr>
        <w:t xml:space="preserve">răspunderii </w:t>
      </w:r>
      <w:r w:rsidRPr="000508B6">
        <w:rPr>
          <w:rFonts w:ascii="Times New Roman" w:eastAsia="Times New Roman" w:hAnsi="Times New Roman" w:cs="Times New Roman"/>
          <w:lang w:val="ro-MD"/>
        </w:rPr>
        <w:t xml:space="preserve">transportatorului, numele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adresa reprezentantului de despăgubiri pe care a</w:t>
      </w:r>
      <w:r w:rsidR="00314C0A" w:rsidRPr="000508B6">
        <w:rPr>
          <w:rFonts w:ascii="Times New Roman" w:eastAsia="Times New Roman" w:hAnsi="Times New Roman" w:cs="Times New Roman"/>
          <w:lang w:val="ro-MD"/>
        </w:rPr>
        <w:t>re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obligaţia</w:t>
      </w:r>
      <w:proofErr w:type="spellEnd"/>
      <w:r w:rsidRPr="000508B6">
        <w:rPr>
          <w:rFonts w:ascii="Times New Roman" w:eastAsia="Times New Roman" w:hAnsi="Times New Roman" w:cs="Times New Roman"/>
          <w:lang w:val="ro-MD"/>
        </w:rPr>
        <w:t xml:space="preserve"> de a-l desemna pe teritoriul celorlalte state membre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 altor state </w:t>
      </w:r>
      <w:proofErr w:type="spellStart"/>
      <w:r w:rsidRPr="000508B6">
        <w:rPr>
          <w:rFonts w:ascii="Times New Roman" w:eastAsia="Times New Roman" w:hAnsi="Times New Roman" w:cs="Times New Roman"/>
          <w:lang w:val="ro-MD"/>
        </w:rPr>
        <w:t>faţă</w:t>
      </w:r>
      <w:proofErr w:type="spellEnd"/>
      <w:r w:rsidRPr="000508B6">
        <w:rPr>
          <w:rFonts w:ascii="Times New Roman" w:eastAsia="Times New Roman" w:hAnsi="Times New Roman" w:cs="Times New Roman"/>
          <w:lang w:val="ro-MD"/>
        </w:rPr>
        <w:t xml:space="preserve"> de care Republica Moldova are această </w:t>
      </w:r>
      <w:proofErr w:type="spellStart"/>
      <w:r w:rsidRPr="000508B6">
        <w:rPr>
          <w:rFonts w:ascii="Times New Roman" w:eastAsia="Times New Roman" w:hAnsi="Times New Roman" w:cs="Times New Roman"/>
          <w:lang w:val="ro-MD"/>
        </w:rPr>
        <w:t>obligaţie</w:t>
      </w:r>
      <w:proofErr w:type="spellEnd"/>
      <w:r w:rsidRPr="000508B6">
        <w:rPr>
          <w:rFonts w:ascii="Times New Roman" w:eastAsia="Times New Roman" w:hAnsi="Times New Roman" w:cs="Times New Roman"/>
          <w:lang w:val="ro-MD"/>
        </w:rPr>
        <w:t>;</w:t>
      </w:r>
    </w:p>
    <w:p w14:paraId="78F4E48D" w14:textId="24729C0E" w:rsidR="00F05ABC" w:rsidRDefault="00F05ABC" w:rsidP="00AD7143">
      <w:pPr>
        <w:tabs>
          <w:tab w:val="left" w:pos="709"/>
        </w:tabs>
        <w:spacing w:after="0" w:line="240" w:lineRule="auto"/>
        <w:ind w:firstLine="426"/>
        <w:jc w:val="both"/>
        <w:rPr>
          <w:rFonts w:ascii="Times New Roman" w:hAnsi="Times New Roman" w:cs="Times New Roman"/>
          <w:lang w:val="ro-MD"/>
        </w:rPr>
      </w:pPr>
      <w:r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ab/>
        <w:t>informații privind respingerea sau retragerea unei cereri de licențiere într-un alt stat membru pentru desfășurarea activității de asigurare directă sau de reasigurare sau de a începe activitatea unei alte entități reglementate sau în calitate de distribuitor de asigurări, precum și motivele respingerii sau retragerii.</w:t>
      </w:r>
      <w:r w:rsidR="00C83492" w:rsidRPr="000508B6">
        <w:rPr>
          <w:rFonts w:ascii="Times New Roman" w:hAnsi="Times New Roman" w:cs="Times New Roman"/>
          <w:lang w:val="ro-MD"/>
        </w:rPr>
        <w:t xml:space="preserve"> </w:t>
      </w:r>
    </w:p>
    <w:p w14:paraId="020AF5DF" w14:textId="6B9B0AE2" w:rsidR="00E163A6" w:rsidRPr="000508B6" w:rsidRDefault="00E163A6" w:rsidP="00AD7143">
      <w:pPr>
        <w:tabs>
          <w:tab w:val="left" w:pos="709"/>
        </w:tabs>
        <w:spacing w:after="0" w:line="240" w:lineRule="auto"/>
        <w:ind w:firstLine="426"/>
        <w:jc w:val="both"/>
        <w:rPr>
          <w:rFonts w:ascii="Times New Roman" w:eastAsia="Times New Roman" w:hAnsi="Times New Roman" w:cs="Times New Roman"/>
          <w:i/>
          <w:lang w:val="ro-MD"/>
        </w:rPr>
      </w:pPr>
      <w:r>
        <w:rPr>
          <w:rFonts w:ascii="Times New Roman" w:hAnsi="Times New Roman" w:cs="Times New Roman"/>
          <w:lang w:val="ro-MD"/>
        </w:rPr>
        <w:t>j)</w:t>
      </w:r>
      <w:r w:rsidRPr="00E163A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orice alte documente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prevăzute în actele normative ale Băncii Naționale a Moldovei.</w:t>
      </w:r>
    </w:p>
    <w:p w14:paraId="4EA9A0D2" w14:textId="5E0B0361" w:rsidR="00F05ABC" w:rsidRPr="000508B6" w:rsidRDefault="00F05ABC" w:rsidP="00E163A6">
      <w:pPr>
        <w:pStyle w:val="Listparagraf"/>
        <w:numPr>
          <w:ilvl w:val="0"/>
          <w:numId w:val="249"/>
        </w:numPr>
        <w:tabs>
          <w:tab w:val="left" w:pos="709"/>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b/>
        <w:t xml:space="preserve"> </w:t>
      </w:r>
      <w:r w:rsidR="00E163A6" w:rsidRPr="000508B6">
        <w:rPr>
          <w:rFonts w:ascii="Times New Roman" w:eastAsia="Times New Roman" w:hAnsi="Times New Roman" w:cs="Times New Roman"/>
          <w:lang w:val="ro-MD"/>
        </w:rPr>
        <w:t xml:space="preserve">Asigurătorul sau </w:t>
      </w:r>
      <w:proofErr w:type="spellStart"/>
      <w:r w:rsidR="00E163A6" w:rsidRPr="000508B6">
        <w:rPr>
          <w:rFonts w:ascii="Times New Roman" w:eastAsia="Times New Roman" w:hAnsi="Times New Roman" w:cs="Times New Roman"/>
          <w:lang w:val="ro-MD"/>
        </w:rPr>
        <w:t>reasigurătorul</w:t>
      </w:r>
      <w:proofErr w:type="spellEnd"/>
      <w:r w:rsidR="00E163A6" w:rsidRPr="000508B6">
        <w:rPr>
          <w:rFonts w:ascii="Times New Roman" w:eastAsia="Times New Roman" w:hAnsi="Times New Roman" w:cs="Times New Roman"/>
          <w:lang w:val="ro-MD"/>
        </w:rPr>
        <w:t xml:space="preserve"> se constituie sub  forma juridică </w:t>
      </w:r>
      <w:r w:rsidR="00E163A6" w:rsidRPr="00E163A6">
        <w:rPr>
          <w:rFonts w:ascii="Times New Roman" w:hAnsi="Times New Roman" w:cs="Times New Roman"/>
          <w:lang w:val="pt-BR"/>
        </w:rPr>
        <w:t xml:space="preserve"> </w:t>
      </w:r>
      <w:r w:rsidR="00E163A6" w:rsidRPr="000508B6">
        <w:rPr>
          <w:rFonts w:ascii="Times New Roman" w:eastAsia="Times New Roman" w:hAnsi="Times New Roman" w:cs="Times New Roman"/>
          <w:lang w:val="ro-MD"/>
        </w:rPr>
        <w:t xml:space="preserve">societate pe </w:t>
      </w:r>
      <w:proofErr w:type="spellStart"/>
      <w:r w:rsidR="00E163A6" w:rsidRPr="000508B6">
        <w:rPr>
          <w:rFonts w:ascii="Times New Roman" w:eastAsia="Times New Roman" w:hAnsi="Times New Roman" w:cs="Times New Roman"/>
          <w:lang w:val="ro-MD"/>
        </w:rPr>
        <w:t>acţiuni</w:t>
      </w:r>
      <w:proofErr w:type="spellEnd"/>
      <w:r w:rsidR="00E163A6" w:rsidRPr="000508B6">
        <w:rPr>
          <w:rFonts w:ascii="Times New Roman" w:eastAsia="Times New Roman" w:hAnsi="Times New Roman" w:cs="Times New Roman"/>
          <w:lang w:val="ro-MD"/>
        </w:rPr>
        <w:t>, conform Legii nr. 1134/1997 privind societățile pe acțiuni (în continuare – Legea nr. 1134/1997)</w:t>
      </w:r>
      <w:r w:rsidR="00E163A6">
        <w:rPr>
          <w:rFonts w:ascii="Times New Roman" w:eastAsia="Times New Roman" w:hAnsi="Times New Roman" w:cs="Times New Roman"/>
          <w:lang w:val="ro-MD"/>
        </w:rPr>
        <w:t>.</w:t>
      </w:r>
    </w:p>
    <w:p w14:paraId="0398CC16" w14:textId="24E48188" w:rsidR="00F95829" w:rsidRPr="000508B6" w:rsidRDefault="00F95829" w:rsidP="00CF5AFA">
      <w:pPr>
        <w:pStyle w:val="Listparagraf"/>
        <w:numPr>
          <w:ilvl w:val="0"/>
          <w:numId w:val="249"/>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emite o </w:t>
      </w:r>
      <w:r w:rsidR="0092277D" w:rsidRPr="000508B6">
        <w:rPr>
          <w:rFonts w:ascii="Times New Roman" w:eastAsia="Times New Roman" w:hAnsi="Times New Roman" w:cs="Times New Roman"/>
          <w:lang w:val="ro-MD"/>
        </w:rPr>
        <w:t>decizie</w:t>
      </w:r>
      <w:r w:rsidRPr="000508B6">
        <w:rPr>
          <w:rFonts w:ascii="Times New Roman" w:eastAsia="Times New Roman" w:hAnsi="Times New Roman" w:cs="Times New Roman"/>
          <w:lang w:val="ro-MD"/>
        </w:rPr>
        <w:t xml:space="preserve"> cu privire la acordarea </w:t>
      </w:r>
      <w:r w:rsidR="005355A8" w:rsidRPr="000508B6">
        <w:rPr>
          <w:rFonts w:ascii="Times New Roman" w:eastAsia="Times New Roman" w:hAnsi="Times New Roman" w:cs="Times New Roman"/>
          <w:lang w:val="ro-MD"/>
        </w:rPr>
        <w:t xml:space="preserve">aprobării </w:t>
      </w:r>
      <w:r w:rsidRPr="000508B6">
        <w:rPr>
          <w:rFonts w:ascii="Times New Roman" w:eastAsia="Times New Roman" w:hAnsi="Times New Roman" w:cs="Times New Roman"/>
          <w:lang w:val="ro-MD"/>
        </w:rPr>
        <w:t>prealabil</w:t>
      </w:r>
      <w:r w:rsidR="005355A8"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de constituire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ori respinge cererea în termen de până la 5 luni de la data primirii cererii </w:t>
      </w:r>
      <w:r w:rsidR="00AC5CB2" w:rsidRPr="000508B6">
        <w:rPr>
          <w:rFonts w:ascii="Times New Roman" w:eastAsia="Times New Roman" w:hAnsi="Times New Roman" w:cs="Times New Roman"/>
          <w:lang w:val="ro-MD"/>
        </w:rPr>
        <w:t>potrivit</w:t>
      </w:r>
      <w:r w:rsidRPr="000508B6">
        <w:rPr>
          <w:rFonts w:ascii="Times New Roman" w:eastAsia="Times New Roman" w:hAnsi="Times New Roman" w:cs="Times New Roman"/>
          <w:lang w:val="ro-MD"/>
        </w:rPr>
        <w:t xml:space="preserve"> alin.</w:t>
      </w:r>
      <w:r w:rsidR="00F33CD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822D6D"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w:t>
      </w:r>
    </w:p>
    <w:p w14:paraId="17DA08E3" w14:textId="73C7E226" w:rsidR="00F95829" w:rsidRPr="000508B6" w:rsidRDefault="00F95829" w:rsidP="00CF5AFA">
      <w:pPr>
        <w:pStyle w:val="Listparagraf"/>
        <w:numPr>
          <w:ilvl w:val="0"/>
          <w:numId w:val="249"/>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termen de 15 zile </w:t>
      </w:r>
      <w:r w:rsidR="00345070" w:rsidRPr="000508B6">
        <w:rPr>
          <w:rFonts w:ascii="Times New Roman" w:eastAsia="Times New Roman" w:hAnsi="Times New Roman" w:cs="Times New Roman"/>
          <w:lang w:val="ro-MD"/>
        </w:rPr>
        <w:t xml:space="preserve">lucrătoare </w:t>
      </w:r>
      <w:r w:rsidRPr="000508B6">
        <w:rPr>
          <w:rFonts w:ascii="Times New Roman" w:eastAsia="Times New Roman" w:hAnsi="Times New Roman" w:cs="Times New Roman"/>
          <w:lang w:val="ro-MD"/>
        </w:rPr>
        <w:t xml:space="preserve">de la primirea cererii, Banca Națională a Moldovei comunică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solicitant, după caz, lista documentelor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care nu au fost prezentate conform alin.</w:t>
      </w:r>
      <w:r w:rsidR="00F33CD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 în vederea depunerii acestora.</w:t>
      </w:r>
    </w:p>
    <w:p w14:paraId="2293BC57" w14:textId="2FFF843F" w:rsidR="00F95829" w:rsidRPr="000508B6" w:rsidRDefault="00F95829" w:rsidP="00CF5AFA">
      <w:pPr>
        <w:pStyle w:val="Listparagraf"/>
        <w:numPr>
          <w:ilvl w:val="0"/>
          <w:numId w:val="249"/>
        </w:numPr>
        <w:tabs>
          <w:tab w:val="left" w:pos="709"/>
          <w:tab w:val="left" w:pos="993"/>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Banca Națională a Moldovei poate solicita în scris, pe parcursul termenului prevăzut la alin.</w:t>
      </w:r>
      <w:r w:rsidR="00F33CD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350AA5"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dar nu mai târziu de 3 luni de la </w:t>
      </w:r>
      <w:r w:rsidR="00CA1CF9" w:rsidRPr="000508B6">
        <w:rPr>
          <w:rFonts w:ascii="Times New Roman" w:eastAsia="Times New Roman" w:hAnsi="Times New Roman" w:cs="Times New Roman"/>
          <w:lang w:val="ro-MD"/>
        </w:rPr>
        <w:t xml:space="preserve">recepționarea </w:t>
      </w:r>
      <w:r w:rsidRPr="000508B6">
        <w:rPr>
          <w:rFonts w:ascii="Times New Roman" w:eastAsia="Times New Roman" w:hAnsi="Times New Roman" w:cs="Times New Roman"/>
          <w:lang w:val="ro-MD"/>
        </w:rPr>
        <w:t xml:space="preserve">cererii, orice documente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suplimentare dacă cele prezentate nu sunt suficiente sau relevante pentru realizarea evaluării sau prezintă alte </w:t>
      </w:r>
      <w:proofErr w:type="spellStart"/>
      <w:r w:rsidRPr="000508B6">
        <w:rPr>
          <w:rFonts w:ascii="Times New Roman" w:eastAsia="Times New Roman" w:hAnsi="Times New Roman" w:cs="Times New Roman"/>
          <w:lang w:val="ro-MD"/>
        </w:rPr>
        <w:t>deficienţe</w:t>
      </w:r>
      <w:proofErr w:type="spellEnd"/>
      <w:r w:rsidRPr="000508B6">
        <w:rPr>
          <w:rFonts w:ascii="Times New Roman" w:eastAsia="Times New Roman" w:hAnsi="Times New Roman" w:cs="Times New Roman"/>
          <w:lang w:val="ro-MD"/>
        </w:rPr>
        <w:t>.</w:t>
      </w:r>
    </w:p>
    <w:p w14:paraId="18AD2136" w14:textId="569DD365" w:rsidR="00F95829" w:rsidRPr="000508B6" w:rsidRDefault="004125E8" w:rsidP="00CF5AFA">
      <w:pPr>
        <w:pStyle w:val="Listparagraf"/>
        <w:numPr>
          <w:ilvl w:val="0"/>
          <w:numId w:val="249"/>
        </w:numPr>
        <w:tabs>
          <w:tab w:val="left" w:pos="709"/>
          <w:tab w:val="left" w:pos="993"/>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F95829" w:rsidRPr="000508B6">
        <w:rPr>
          <w:rFonts w:ascii="Times New Roman" w:eastAsia="Times New Roman" w:hAnsi="Times New Roman" w:cs="Times New Roman"/>
          <w:lang w:val="ro-MD"/>
        </w:rPr>
        <w:t xml:space="preserve"> solicitant are la </w:t>
      </w:r>
      <w:proofErr w:type="spellStart"/>
      <w:r w:rsidR="00F95829" w:rsidRPr="000508B6">
        <w:rPr>
          <w:rFonts w:ascii="Times New Roman" w:eastAsia="Times New Roman" w:hAnsi="Times New Roman" w:cs="Times New Roman"/>
          <w:lang w:val="ro-MD"/>
        </w:rPr>
        <w:t>dispoziţie</w:t>
      </w:r>
      <w:proofErr w:type="spellEnd"/>
      <w:r w:rsidR="00F95829" w:rsidRPr="000508B6">
        <w:rPr>
          <w:rFonts w:ascii="Times New Roman" w:eastAsia="Times New Roman" w:hAnsi="Times New Roman" w:cs="Times New Roman"/>
          <w:lang w:val="ro-MD"/>
        </w:rPr>
        <w:t xml:space="preserve"> un termen de 30 de zile de la data comunicării solicitării formulate potrivit alin.</w:t>
      </w:r>
      <w:r w:rsidR="00F33CD9" w:rsidRPr="000508B6">
        <w:rPr>
          <w:rFonts w:ascii="Times New Roman" w:eastAsia="Times New Roman" w:hAnsi="Times New Roman" w:cs="Times New Roman"/>
          <w:lang w:val="ro-MD"/>
        </w:rPr>
        <w:t xml:space="preserve"> </w:t>
      </w:r>
      <w:r w:rsidR="00966E4A" w:rsidRPr="000508B6">
        <w:rPr>
          <w:rFonts w:ascii="Times New Roman" w:eastAsia="Times New Roman" w:hAnsi="Times New Roman" w:cs="Times New Roman"/>
          <w:lang w:val="ro-MD"/>
        </w:rPr>
        <w:t>(</w:t>
      </w:r>
      <w:r w:rsidR="00106987" w:rsidRPr="000508B6">
        <w:rPr>
          <w:rFonts w:ascii="Times New Roman" w:eastAsia="Times New Roman" w:hAnsi="Times New Roman" w:cs="Times New Roman"/>
          <w:lang w:val="ro-MD"/>
        </w:rPr>
        <w:t>4</w:t>
      </w:r>
      <w:r w:rsidR="00966E4A" w:rsidRPr="000508B6">
        <w:rPr>
          <w:rFonts w:ascii="Times New Roman" w:eastAsia="Times New Roman" w:hAnsi="Times New Roman" w:cs="Times New Roman"/>
          <w:lang w:val="ro-MD"/>
        </w:rPr>
        <w:t>) și alin.</w:t>
      </w:r>
      <w:r w:rsidR="00F33CD9"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w:t>
      </w:r>
      <w:r w:rsidR="00106987" w:rsidRPr="000508B6">
        <w:rPr>
          <w:rFonts w:ascii="Times New Roman" w:eastAsia="Times New Roman" w:hAnsi="Times New Roman" w:cs="Times New Roman"/>
          <w:lang w:val="ro-MD"/>
        </w:rPr>
        <w:t>5</w:t>
      </w:r>
      <w:r w:rsidR="00F95829" w:rsidRPr="000508B6">
        <w:rPr>
          <w:rFonts w:ascii="Times New Roman" w:eastAsia="Times New Roman" w:hAnsi="Times New Roman" w:cs="Times New Roman"/>
          <w:lang w:val="ro-MD"/>
        </w:rPr>
        <w:t xml:space="preserve">) pentru prezentarea documentelor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/sau a </w:t>
      </w:r>
      <w:proofErr w:type="spellStart"/>
      <w:r w:rsidR="00F95829" w:rsidRPr="000508B6">
        <w:rPr>
          <w:rFonts w:ascii="Times New Roman" w:eastAsia="Times New Roman" w:hAnsi="Times New Roman" w:cs="Times New Roman"/>
          <w:lang w:val="ro-MD"/>
        </w:rPr>
        <w:t>informaţiilor</w:t>
      </w:r>
      <w:proofErr w:type="spellEnd"/>
      <w:r w:rsidR="00F95829" w:rsidRPr="000508B6">
        <w:rPr>
          <w:rFonts w:ascii="Times New Roman" w:eastAsia="Times New Roman" w:hAnsi="Times New Roman" w:cs="Times New Roman"/>
          <w:lang w:val="ro-MD"/>
        </w:rPr>
        <w:t xml:space="preserve"> cerute, respectiv pentru remedierea </w:t>
      </w:r>
      <w:proofErr w:type="spellStart"/>
      <w:r w:rsidR="00F95829" w:rsidRPr="000508B6">
        <w:rPr>
          <w:rFonts w:ascii="Times New Roman" w:eastAsia="Times New Roman" w:hAnsi="Times New Roman" w:cs="Times New Roman"/>
          <w:lang w:val="ro-MD"/>
        </w:rPr>
        <w:t>deficienţelor</w:t>
      </w:r>
      <w:proofErr w:type="spellEnd"/>
      <w:r w:rsidR="00F95829" w:rsidRPr="000508B6">
        <w:rPr>
          <w:rFonts w:ascii="Times New Roman" w:eastAsia="Times New Roman" w:hAnsi="Times New Roman" w:cs="Times New Roman"/>
          <w:lang w:val="ro-MD"/>
        </w:rPr>
        <w:t xml:space="preserve"> constatate, perioadă pe parcursul căreia termenul de 5 luni prevăzut la alin.</w:t>
      </w:r>
      <w:r w:rsidR="00F33CD9"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w:t>
      </w:r>
      <w:r w:rsidR="00106987" w:rsidRPr="000508B6">
        <w:rPr>
          <w:rFonts w:ascii="Times New Roman" w:eastAsia="Times New Roman" w:hAnsi="Times New Roman" w:cs="Times New Roman"/>
          <w:lang w:val="ro-MD"/>
        </w:rPr>
        <w:t>3</w:t>
      </w:r>
      <w:r w:rsidR="00F95829" w:rsidRPr="000508B6">
        <w:rPr>
          <w:rFonts w:ascii="Times New Roman" w:eastAsia="Times New Roman" w:hAnsi="Times New Roman" w:cs="Times New Roman"/>
          <w:lang w:val="ro-MD"/>
        </w:rPr>
        <w:t xml:space="preserve">) se suspendă. </w:t>
      </w: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F95829" w:rsidRPr="000508B6">
        <w:rPr>
          <w:rFonts w:ascii="Times New Roman" w:eastAsia="Times New Roman" w:hAnsi="Times New Roman" w:cs="Times New Roman"/>
          <w:lang w:val="ro-MD"/>
        </w:rPr>
        <w:t xml:space="preserve"> solicitant poate furniza din proprie </w:t>
      </w:r>
      <w:proofErr w:type="spellStart"/>
      <w:r w:rsidR="00F95829" w:rsidRPr="000508B6">
        <w:rPr>
          <w:rFonts w:ascii="Times New Roman" w:eastAsia="Times New Roman" w:hAnsi="Times New Roman" w:cs="Times New Roman"/>
          <w:lang w:val="ro-MD"/>
        </w:rPr>
        <w:t>iniţiativă</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alte documente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/sau </w:t>
      </w:r>
      <w:proofErr w:type="spellStart"/>
      <w:r w:rsidR="00F95829" w:rsidRPr="000508B6">
        <w:rPr>
          <w:rFonts w:ascii="Times New Roman" w:eastAsia="Times New Roman" w:hAnsi="Times New Roman" w:cs="Times New Roman"/>
          <w:lang w:val="ro-MD"/>
        </w:rPr>
        <w:t>informaţii</w:t>
      </w:r>
      <w:proofErr w:type="spellEnd"/>
      <w:r w:rsidR="00F95829" w:rsidRPr="000508B6">
        <w:rPr>
          <w:rFonts w:ascii="Times New Roman" w:eastAsia="Times New Roman" w:hAnsi="Times New Roman" w:cs="Times New Roman"/>
          <w:lang w:val="ro-MD"/>
        </w:rPr>
        <w:t xml:space="preserve"> pe care le consideră relevante.</w:t>
      </w:r>
    </w:p>
    <w:p w14:paraId="44DFD2A8" w14:textId="21C04A57" w:rsidR="00F95829" w:rsidRPr="000508B6" w:rsidRDefault="00F95829" w:rsidP="00CF5AFA">
      <w:pPr>
        <w:pStyle w:val="Listparagraf"/>
        <w:numPr>
          <w:ilvl w:val="0"/>
          <w:numId w:val="249"/>
        </w:numPr>
        <w:tabs>
          <w:tab w:val="left" w:pos="709"/>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Oricare dintre documentele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prevăzute la alin.</w:t>
      </w:r>
      <w:r w:rsidR="00F33CD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106987"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 xml:space="preserve">) trebuie să fie prezentate cu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30 de zile anterior datei expirării termenului în care Banca Națională a Moldovei trebuie să se </w:t>
      </w:r>
      <w:proofErr w:type="spellStart"/>
      <w:r w:rsidRPr="000508B6">
        <w:rPr>
          <w:rFonts w:ascii="Times New Roman" w:eastAsia="Times New Roman" w:hAnsi="Times New Roman" w:cs="Times New Roman"/>
          <w:lang w:val="ro-MD"/>
        </w:rPr>
        <w:t>pronunţe</w:t>
      </w:r>
      <w:proofErr w:type="spellEnd"/>
      <w:r w:rsidRPr="000508B6">
        <w:rPr>
          <w:rFonts w:ascii="Times New Roman" w:eastAsia="Times New Roman" w:hAnsi="Times New Roman" w:cs="Times New Roman"/>
          <w:lang w:val="ro-MD"/>
        </w:rPr>
        <w:t xml:space="preserve"> asupra cererii </w:t>
      </w:r>
      <w:r w:rsidR="00CA13F0" w:rsidRPr="000508B6">
        <w:rPr>
          <w:rFonts w:ascii="Times New Roman" w:eastAsia="Times New Roman" w:hAnsi="Times New Roman" w:cs="Times New Roman"/>
          <w:lang w:val="ro-MD"/>
        </w:rPr>
        <w:t>depuse</w:t>
      </w:r>
      <w:r w:rsidRPr="000508B6">
        <w:rPr>
          <w:rFonts w:ascii="Times New Roman" w:eastAsia="Times New Roman" w:hAnsi="Times New Roman" w:cs="Times New Roman"/>
          <w:lang w:val="ro-MD"/>
        </w:rPr>
        <w:t>.</w:t>
      </w:r>
    </w:p>
    <w:p w14:paraId="1FDE68F2" w14:textId="00D8A836" w:rsidR="007A73BB" w:rsidRPr="000508B6" w:rsidRDefault="007A73BB" w:rsidP="00CF5AFA">
      <w:pPr>
        <w:pStyle w:val="Listparagraf"/>
        <w:numPr>
          <w:ilvl w:val="0"/>
          <w:numId w:val="249"/>
        </w:numPr>
        <w:tabs>
          <w:tab w:val="left" w:pos="709"/>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La emiterea </w:t>
      </w:r>
      <w:r w:rsidR="00126F5C" w:rsidRPr="000508B6">
        <w:rPr>
          <w:rFonts w:ascii="Times New Roman" w:eastAsia="Times New Roman" w:hAnsi="Times New Roman" w:cs="Times New Roman"/>
          <w:lang w:val="ro-MD"/>
        </w:rPr>
        <w:t>deciziei</w:t>
      </w:r>
      <w:r w:rsidRPr="000508B6">
        <w:rPr>
          <w:rFonts w:ascii="Times New Roman" w:eastAsia="Times New Roman" w:hAnsi="Times New Roman" w:cs="Times New Roman"/>
          <w:lang w:val="ro-MD"/>
        </w:rPr>
        <w:t xml:space="preserve"> cu privire la acordarea aprobării prealabile de constituire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Banca Națională a Moldovei aprobă </w:t>
      </w:r>
      <w:r w:rsidR="005C7AAF" w:rsidRPr="000508B6">
        <w:rPr>
          <w:rFonts w:ascii="Times New Roman" w:eastAsia="Times New Roman" w:hAnsi="Times New Roman" w:cs="Times New Roman"/>
          <w:lang w:val="ro-MD"/>
        </w:rPr>
        <w:t xml:space="preserve">acționarii </w:t>
      </w:r>
      <w:r w:rsidR="00EF3FCD" w:rsidRPr="000508B6">
        <w:rPr>
          <w:rFonts w:ascii="Times New Roman" w:eastAsia="Times New Roman" w:hAnsi="Times New Roman" w:cs="Times New Roman"/>
          <w:lang w:val="ro-MD"/>
        </w:rPr>
        <w:t>ce dețin participații calificate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9176B2" w:rsidRPr="000508B6">
        <w:rPr>
          <w:rFonts w:ascii="Times New Roman" w:eastAsia="Times New Roman" w:hAnsi="Times New Roman" w:cs="Times New Roman"/>
          <w:lang w:val="ro-MD"/>
        </w:rPr>
        <w:t xml:space="preserve">membrii </w:t>
      </w:r>
      <w:r w:rsidRPr="000508B6">
        <w:rPr>
          <w:rFonts w:ascii="Times New Roman" w:eastAsia="Times New Roman" w:hAnsi="Times New Roman" w:cs="Times New Roman"/>
          <w:lang w:val="ro-MD"/>
        </w:rPr>
        <w:t>organel</w:t>
      </w:r>
      <w:r w:rsidR="009176B2" w:rsidRPr="000508B6">
        <w:rPr>
          <w:rFonts w:ascii="Times New Roman" w:eastAsia="Times New Roman" w:hAnsi="Times New Roman" w:cs="Times New Roman"/>
          <w:lang w:val="ro-MD"/>
        </w:rPr>
        <w:t>or</w:t>
      </w:r>
      <w:r w:rsidRPr="000508B6">
        <w:rPr>
          <w:rFonts w:ascii="Times New Roman" w:eastAsia="Times New Roman" w:hAnsi="Times New Roman" w:cs="Times New Roman"/>
          <w:lang w:val="ro-MD"/>
        </w:rPr>
        <w:t xml:space="preserve"> de conducere</w:t>
      </w:r>
      <w:r w:rsidR="00234910" w:rsidRPr="000508B6">
        <w:rPr>
          <w:rFonts w:ascii="Times New Roman" w:eastAsia="Times New Roman" w:hAnsi="Times New Roman" w:cs="Times New Roman"/>
          <w:lang w:val="ro-MD"/>
        </w:rPr>
        <w:t xml:space="preserve"> în conformitate cu prevederile prezentei legi și a actelor normative ale Băncii Naționale a Moldovei</w:t>
      </w:r>
      <w:r w:rsidRPr="000508B6">
        <w:rPr>
          <w:rFonts w:ascii="Times New Roman" w:eastAsia="Times New Roman" w:hAnsi="Times New Roman" w:cs="Times New Roman"/>
          <w:lang w:val="ro-MD"/>
        </w:rPr>
        <w:t xml:space="preserve">. </w:t>
      </w:r>
      <w:r w:rsidR="00126F5C" w:rsidRPr="000508B6">
        <w:rPr>
          <w:rFonts w:ascii="Times New Roman" w:eastAsia="Times New Roman" w:hAnsi="Times New Roman" w:cs="Times New Roman"/>
          <w:lang w:val="ro-MD"/>
        </w:rPr>
        <w:t>Decizia</w:t>
      </w:r>
      <w:r w:rsidRPr="000508B6">
        <w:rPr>
          <w:rFonts w:ascii="Times New Roman" w:eastAsia="Times New Roman" w:hAnsi="Times New Roman" w:cs="Times New Roman"/>
          <w:lang w:val="ro-MD"/>
        </w:rPr>
        <w:t xml:space="preserve"> cu privire la acordarea aprobării prealabile de constituire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nu garantează </w:t>
      </w:r>
      <w:proofErr w:type="spellStart"/>
      <w:r w:rsidRPr="000508B6">
        <w:rPr>
          <w:rFonts w:ascii="Times New Roman" w:eastAsia="Times New Roman" w:hAnsi="Times New Roman" w:cs="Times New Roman"/>
          <w:lang w:val="ro-MD"/>
        </w:rPr>
        <w:t>obţinerea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w:t>
      </w:r>
    </w:p>
    <w:p w14:paraId="1AA47DF2" w14:textId="77777777" w:rsidR="00F95829" w:rsidRPr="000508B6" w:rsidRDefault="00F95829" w:rsidP="00CF5AFA">
      <w:pPr>
        <w:pStyle w:val="Listparagraf"/>
        <w:numPr>
          <w:ilvl w:val="0"/>
          <w:numId w:val="249"/>
        </w:numPr>
        <w:tabs>
          <w:tab w:val="left" w:pos="709"/>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respinge cererea privind acordarea </w:t>
      </w:r>
      <w:r w:rsidR="005355A8" w:rsidRPr="000508B6">
        <w:rPr>
          <w:rFonts w:ascii="Times New Roman" w:eastAsia="Times New Roman" w:hAnsi="Times New Roman" w:cs="Times New Roman"/>
          <w:lang w:val="ro-MD"/>
        </w:rPr>
        <w:t xml:space="preserve">aprobării </w:t>
      </w:r>
      <w:r w:rsidRPr="000508B6">
        <w:rPr>
          <w:rFonts w:ascii="Times New Roman" w:eastAsia="Times New Roman" w:hAnsi="Times New Roman" w:cs="Times New Roman"/>
          <w:lang w:val="ro-MD"/>
        </w:rPr>
        <w:t>prealabil</w:t>
      </w:r>
      <w:r w:rsidR="005355A8"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de constituire dacă:</w:t>
      </w:r>
    </w:p>
    <w:p w14:paraId="5FAF10A8" w14:textId="19D2F89B" w:rsidR="00F95829" w:rsidRPr="000508B6" w:rsidRDefault="00B74AC5"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00F95829" w:rsidRPr="000508B6">
        <w:rPr>
          <w:rFonts w:ascii="Times New Roman" w:eastAsia="Times New Roman" w:hAnsi="Times New Roman" w:cs="Times New Roman"/>
          <w:lang w:val="ro-MD"/>
        </w:rPr>
        <w:t>ocumentele</w:t>
      </w:r>
      <w:r w:rsidR="001148D5" w:rsidRPr="000508B6">
        <w:rPr>
          <w:rFonts w:ascii="Times New Roman" w:eastAsia="Times New Roman" w:hAnsi="Times New Roman" w:cs="Times New Roman"/>
          <w:lang w:val="ro-MD"/>
        </w:rPr>
        <w:t xml:space="preserve"> și/sau informațiile</w:t>
      </w:r>
      <w:r w:rsidR="00F95829" w:rsidRPr="000508B6">
        <w:rPr>
          <w:rFonts w:ascii="Times New Roman" w:eastAsia="Times New Roman" w:hAnsi="Times New Roman" w:cs="Times New Roman"/>
          <w:lang w:val="ro-MD"/>
        </w:rPr>
        <w:t xml:space="preserve"> prezentate </w:t>
      </w:r>
      <w:r w:rsidR="001148D5" w:rsidRPr="000508B6">
        <w:rPr>
          <w:rFonts w:ascii="Times New Roman" w:eastAsia="Times New Roman" w:hAnsi="Times New Roman" w:cs="Times New Roman"/>
          <w:lang w:val="ro-MD"/>
        </w:rPr>
        <w:t>conform alin. (</w:t>
      </w:r>
      <w:r w:rsidR="00F05ABC" w:rsidRPr="000508B6">
        <w:rPr>
          <w:rFonts w:ascii="Times New Roman" w:eastAsia="Times New Roman" w:hAnsi="Times New Roman" w:cs="Times New Roman"/>
          <w:lang w:val="ro-MD"/>
        </w:rPr>
        <w:t>1</w:t>
      </w:r>
      <w:r w:rsidR="001148D5"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nu sunt întocmite în conformitate cu </w:t>
      </w:r>
      <w:proofErr w:type="spellStart"/>
      <w:r w:rsidR="00F95829" w:rsidRPr="000508B6">
        <w:rPr>
          <w:rFonts w:ascii="Times New Roman" w:eastAsia="Times New Roman" w:hAnsi="Times New Roman" w:cs="Times New Roman"/>
          <w:lang w:val="ro-MD"/>
        </w:rPr>
        <w:t>dispoziţiile</w:t>
      </w:r>
      <w:proofErr w:type="spellEnd"/>
      <w:r w:rsidR="00F95829" w:rsidRPr="000508B6">
        <w:rPr>
          <w:rFonts w:ascii="Times New Roman" w:eastAsia="Times New Roman" w:hAnsi="Times New Roman" w:cs="Times New Roman"/>
          <w:lang w:val="ro-MD"/>
        </w:rPr>
        <w:t xml:space="preserve"> legale ori sunt incomplete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/sau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furnizate sunt neveridice sau insuficiente pentru evaluarea respectării </w:t>
      </w:r>
      <w:proofErr w:type="spellStart"/>
      <w:r w:rsidR="00F95829" w:rsidRPr="000508B6">
        <w:rPr>
          <w:rFonts w:ascii="Times New Roman" w:eastAsia="Times New Roman" w:hAnsi="Times New Roman" w:cs="Times New Roman"/>
          <w:lang w:val="ro-MD"/>
        </w:rPr>
        <w:t>condiţiilor</w:t>
      </w:r>
      <w:proofErr w:type="spellEnd"/>
      <w:r w:rsidR="00F95829" w:rsidRPr="000508B6">
        <w:rPr>
          <w:rFonts w:ascii="Times New Roman" w:eastAsia="Times New Roman" w:hAnsi="Times New Roman" w:cs="Times New Roman"/>
          <w:lang w:val="ro-MD"/>
        </w:rPr>
        <w:t xml:space="preserve">/cerințelor prevăzute pentru acordarea </w:t>
      </w:r>
      <w:r w:rsidR="00C14188" w:rsidRPr="000508B6">
        <w:rPr>
          <w:rFonts w:ascii="Times New Roman" w:eastAsia="Times New Roman" w:hAnsi="Times New Roman" w:cs="Times New Roman"/>
          <w:lang w:val="ro-MD"/>
        </w:rPr>
        <w:t xml:space="preserve">aprobării </w:t>
      </w:r>
      <w:r w:rsidR="00F95829" w:rsidRPr="000508B6">
        <w:rPr>
          <w:rFonts w:ascii="Times New Roman" w:eastAsia="Times New Roman" w:hAnsi="Times New Roman" w:cs="Times New Roman"/>
          <w:lang w:val="ro-MD"/>
        </w:rPr>
        <w:t>prealabil</w:t>
      </w:r>
      <w:r w:rsidR="00C14188"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de constituire;</w:t>
      </w:r>
      <w:r w:rsidR="004A1D08" w:rsidRPr="000508B6">
        <w:rPr>
          <w:rFonts w:ascii="Times New Roman" w:hAnsi="Times New Roman" w:cs="Times New Roman"/>
          <w:lang w:val="ro-MD"/>
        </w:rPr>
        <w:t xml:space="preserve"> </w:t>
      </w:r>
    </w:p>
    <w:p w14:paraId="5A1EF152" w14:textId="5F95EF70" w:rsidR="00F95829" w:rsidRPr="000508B6" w:rsidRDefault="00B74AC5"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m</w:t>
      </w:r>
      <w:r w:rsidR="0083080D" w:rsidRPr="000508B6">
        <w:rPr>
          <w:rFonts w:ascii="Times New Roman" w:eastAsia="Times New Roman" w:hAnsi="Times New Roman" w:cs="Times New Roman"/>
          <w:lang w:val="ro-MD"/>
        </w:rPr>
        <w:t xml:space="preserve">ijloacele bănești destinate constituirii fondurilor proprii </w:t>
      </w:r>
      <w:r w:rsidR="00F95829" w:rsidRPr="000508B6">
        <w:rPr>
          <w:rFonts w:ascii="Times New Roman" w:eastAsia="Times New Roman" w:hAnsi="Times New Roman" w:cs="Times New Roman"/>
          <w:lang w:val="ro-MD"/>
        </w:rPr>
        <w:t xml:space="preserve">provin din fonduri ce prezintă suspiciuni rezonabile raportate de organele competente </w:t>
      </w:r>
      <w:r w:rsidR="00F95829" w:rsidRPr="000508B6">
        <w:rPr>
          <w:rFonts w:ascii="Times New Roman" w:hAnsi="Times New Roman" w:cs="Times New Roman"/>
          <w:lang w:val="ro-MD"/>
        </w:rPr>
        <w:t xml:space="preserve">sau există suspiciuni rezonabile că este sau a fost </w:t>
      </w:r>
      <w:r w:rsidR="0083080D" w:rsidRPr="000508B6">
        <w:rPr>
          <w:rFonts w:ascii="Times New Roman" w:hAnsi="Times New Roman" w:cs="Times New Roman"/>
          <w:lang w:val="ro-MD"/>
        </w:rPr>
        <w:t>săvârșită</w:t>
      </w:r>
      <w:r w:rsidR="00F95829" w:rsidRPr="000508B6">
        <w:rPr>
          <w:rFonts w:ascii="Times New Roman" w:hAnsi="Times New Roman" w:cs="Times New Roman"/>
          <w:lang w:val="ro-MD"/>
        </w:rPr>
        <w:t xml:space="preserve"> o </w:t>
      </w:r>
      <w:proofErr w:type="spellStart"/>
      <w:r w:rsidR="00F95829" w:rsidRPr="000508B6">
        <w:rPr>
          <w:rFonts w:ascii="Times New Roman" w:hAnsi="Times New Roman" w:cs="Times New Roman"/>
          <w:lang w:val="ro-MD"/>
        </w:rPr>
        <w:t>infracţiune</w:t>
      </w:r>
      <w:proofErr w:type="spellEnd"/>
      <w:r w:rsidR="00F95829" w:rsidRPr="000508B6">
        <w:rPr>
          <w:rFonts w:ascii="Times New Roman" w:hAnsi="Times New Roman" w:cs="Times New Roman"/>
          <w:lang w:val="ro-MD"/>
        </w:rPr>
        <w:t xml:space="preserve"> ori o tentativă a </w:t>
      </w:r>
      <w:proofErr w:type="spellStart"/>
      <w:r w:rsidR="00F95829" w:rsidRPr="000508B6">
        <w:rPr>
          <w:rFonts w:ascii="Times New Roman" w:hAnsi="Times New Roman" w:cs="Times New Roman"/>
          <w:lang w:val="ro-MD"/>
        </w:rPr>
        <w:t>infracţiunii</w:t>
      </w:r>
      <w:proofErr w:type="spellEnd"/>
      <w:r w:rsidR="00F95829" w:rsidRPr="000508B6">
        <w:rPr>
          <w:rFonts w:ascii="Times New Roman" w:hAnsi="Times New Roman" w:cs="Times New Roman"/>
          <w:lang w:val="ro-MD"/>
        </w:rPr>
        <w:t xml:space="preserve"> de spălare a banilor sau de </w:t>
      </w:r>
      <w:proofErr w:type="spellStart"/>
      <w:r w:rsidR="00F95829" w:rsidRPr="000508B6">
        <w:rPr>
          <w:rFonts w:ascii="Times New Roman" w:hAnsi="Times New Roman" w:cs="Times New Roman"/>
          <w:lang w:val="ro-MD"/>
        </w:rPr>
        <w:t>finanţare</w:t>
      </w:r>
      <w:proofErr w:type="spellEnd"/>
      <w:r w:rsidR="00F95829" w:rsidRPr="000508B6">
        <w:rPr>
          <w:rFonts w:ascii="Times New Roman" w:hAnsi="Times New Roman" w:cs="Times New Roman"/>
          <w:lang w:val="ro-MD"/>
        </w:rPr>
        <w:t xml:space="preserve"> a actelor de </w:t>
      </w:r>
      <w:r w:rsidR="00F95829" w:rsidRPr="000508B6">
        <w:rPr>
          <w:rFonts w:ascii="Times New Roman" w:hAnsi="Times New Roman" w:cs="Times New Roman"/>
          <w:lang w:val="ro-MD"/>
        </w:rPr>
        <w:lastRenderedPageBreak/>
        <w:t xml:space="preserve">terorism, în sensul prevederilor </w:t>
      </w:r>
      <w:proofErr w:type="spellStart"/>
      <w:r w:rsidR="00F95829" w:rsidRPr="000508B6">
        <w:rPr>
          <w:rFonts w:ascii="Times New Roman" w:hAnsi="Times New Roman" w:cs="Times New Roman"/>
          <w:lang w:val="ro-MD"/>
        </w:rPr>
        <w:t>legislaţiei</w:t>
      </w:r>
      <w:proofErr w:type="spellEnd"/>
      <w:r w:rsidR="00F95829" w:rsidRPr="000508B6">
        <w:rPr>
          <w:rFonts w:ascii="Times New Roman" w:hAnsi="Times New Roman" w:cs="Times New Roman"/>
          <w:lang w:val="ro-MD"/>
        </w:rPr>
        <w:t xml:space="preserve"> în domeniu, sau că, prin </w:t>
      </w:r>
      <w:proofErr w:type="spellStart"/>
      <w:r w:rsidR="00F95829" w:rsidRPr="000508B6">
        <w:rPr>
          <w:rFonts w:ascii="Times New Roman" w:hAnsi="Times New Roman" w:cs="Times New Roman"/>
          <w:lang w:val="ro-MD"/>
        </w:rPr>
        <w:t>achiziţia</w:t>
      </w:r>
      <w:proofErr w:type="spellEnd"/>
      <w:r w:rsidR="00F95829" w:rsidRPr="000508B6">
        <w:rPr>
          <w:rFonts w:ascii="Times New Roman" w:hAnsi="Times New Roman" w:cs="Times New Roman"/>
          <w:lang w:val="ro-MD"/>
        </w:rPr>
        <w:t xml:space="preserve"> propusă, un asemenea risc ar putea </w:t>
      </w:r>
      <w:proofErr w:type="spellStart"/>
      <w:r w:rsidR="00F95829" w:rsidRPr="000508B6">
        <w:rPr>
          <w:rFonts w:ascii="Times New Roman" w:hAnsi="Times New Roman" w:cs="Times New Roman"/>
          <w:lang w:val="ro-MD"/>
        </w:rPr>
        <w:t>creşte</w:t>
      </w:r>
      <w:proofErr w:type="spellEnd"/>
      <w:r w:rsidR="00F95829" w:rsidRPr="000508B6">
        <w:rPr>
          <w:rFonts w:ascii="Times New Roman" w:eastAsia="Times New Roman" w:hAnsi="Times New Roman" w:cs="Times New Roman"/>
          <w:lang w:val="ro-MD"/>
        </w:rPr>
        <w:t>;</w:t>
      </w:r>
    </w:p>
    <w:p w14:paraId="5632ED4D" w14:textId="08AA5C46" w:rsidR="000E1A33" w:rsidRPr="000508B6" w:rsidRDefault="001148D5"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Calibri" w:hAnsi="Times New Roman" w:cs="Times New Roman"/>
          <w:noProof/>
          <w:lang w:val="ro-MD"/>
        </w:rPr>
        <w:t>din documentele şi/sau informaţiile transmise conform alin. (</w:t>
      </w:r>
      <w:r w:rsidR="00F05ABC" w:rsidRPr="000508B6">
        <w:rPr>
          <w:rFonts w:ascii="Times New Roman" w:eastAsia="Calibri" w:hAnsi="Times New Roman" w:cs="Times New Roman"/>
          <w:noProof/>
          <w:lang w:val="ro-MD"/>
        </w:rPr>
        <w:t>1</w:t>
      </w:r>
      <w:r w:rsidRPr="000508B6">
        <w:rPr>
          <w:rFonts w:ascii="Times New Roman" w:eastAsia="Calibri" w:hAnsi="Times New Roman" w:cs="Times New Roman"/>
          <w:noProof/>
          <w:lang w:val="ro-MD"/>
        </w:rPr>
        <w:t xml:space="preserve">) </w:t>
      </w:r>
      <w:r w:rsidR="0083080D" w:rsidRPr="000508B6">
        <w:rPr>
          <w:rFonts w:ascii="Times New Roman" w:eastAsia="Calibri" w:hAnsi="Times New Roman" w:cs="Times New Roman"/>
          <w:noProof/>
          <w:lang w:val="ro-MD"/>
        </w:rPr>
        <w:t xml:space="preserve">nu </w:t>
      </w:r>
      <w:r w:rsidRPr="000508B6">
        <w:rPr>
          <w:rFonts w:ascii="Times New Roman" w:eastAsia="Calibri" w:hAnsi="Times New Roman" w:cs="Times New Roman"/>
          <w:noProof/>
          <w:lang w:val="ro-MD"/>
        </w:rPr>
        <w:t xml:space="preserve">rezultă că este garantată o administrare corectă şi prudentă a </w:t>
      </w:r>
      <w:r w:rsidR="004125E8" w:rsidRPr="000508B6">
        <w:rPr>
          <w:rFonts w:ascii="Times New Roman" w:eastAsia="Calibri" w:hAnsi="Times New Roman" w:cs="Times New Roman"/>
          <w:noProof/>
          <w:lang w:val="ro-MD"/>
        </w:rPr>
        <w:t>asigurătorului sau reasigurătorului</w:t>
      </w:r>
      <w:r w:rsidRPr="000508B6">
        <w:rPr>
          <w:rFonts w:ascii="Times New Roman" w:eastAsia="Calibri" w:hAnsi="Times New Roman" w:cs="Times New Roman"/>
          <w:noProof/>
          <w:lang w:val="ro-MD"/>
        </w:rPr>
        <w:t xml:space="preserve"> ca urmare a calității acţionarilor</w:t>
      </w:r>
      <w:bookmarkStart w:id="34" w:name="_Hlk220505626"/>
      <w:r w:rsidR="00D22C80" w:rsidRPr="000508B6">
        <w:rPr>
          <w:rFonts w:ascii="Times New Roman" w:eastAsia="Calibri" w:hAnsi="Times New Roman" w:cs="Times New Roman"/>
          <w:noProof/>
          <w:lang w:val="ro-MD"/>
        </w:rPr>
        <w:t>;</w:t>
      </w:r>
      <w:r w:rsidR="006B76A3" w:rsidRPr="000508B6">
        <w:rPr>
          <w:rFonts w:ascii="Times New Roman" w:eastAsia="Calibri" w:hAnsi="Times New Roman" w:cs="Times New Roman"/>
          <w:noProof/>
          <w:lang w:val="ro-MD"/>
        </w:rPr>
        <w:t xml:space="preserve"> </w:t>
      </w:r>
      <w:bookmarkEnd w:id="34"/>
    </w:p>
    <w:p w14:paraId="7507866F" w14:textId="50BBBE68" w:rsidR="00BD0551" w:rsidRPr="000508B6" w:rsidRDefault="00033FEA"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Calibri" w:hAnsi="Times New Roman" w:cs="Times New Roman"/>
          <w:noProof/>
          <w:lang w:val="ro-MD"/>
        </w:rPr>
        <w:t xml:space="preserve"> acţionarii şi deţinătorii indirecţi ai acţiunilor asigurătorului sau reasigurătorului solicitant, inclusiv a beneficiarului efectiv al participațiilor calificate nu corespund cerinţelor prevăzute de prezenta lege şi de actele normative ale Băncii Naționale a Moldovei</w:t>
      </w:r>
      <w:r w:rsidR="00D22C80" w:rsidRPr="000508B6">
        <w:rPr>
          <w:rFonts w:ascii="Times New Roman" w:eastAsia="Times New Roman" w:hAnsi="Times New Roman" w:cs="Times New Roman"/>
          <w:lang w:val="ro-MD"/>
        </w:rPr>
        <w:t>;</w:t>
      </w:r>
    </w:p>
    <w:p w14:paraId="692E871B" w14:textId="0EACBFAB" w:rsidR="00E1105F" w:rsidRPr="000508B6" w:rsidRDefault="00E1105F"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w:t>
      </w:r>
      <w:r w:rsidR="0083080D" w:rsidRPr="000508B6">
        <w:rPr>
          <w:rFonts w:ascii="Times New Roman" w:eastAsia="Times New Roman" w:hAnsi="Times New Roman" w:cs="Times New Roman"/>
          <w:lang w:val="ro-MD"/>
        </w:rPr>
        <w:t>urmează să conducă</w:t>
      </w:r>
      <w:r w:rsidRPr="000508B6">
        <w:rPr>
          <w:rFonts w:ascii="Times New Roman" w:eastAsia="Times New Roman" w:hAnsi="Times New Roman" w:cs="Times New Roman"/>
          <w:lang w:val="ro-MD"/>
        </w:rPr>
        <w:t xml:space="preserve"> efectiv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nu corespund cerințelor prezentei legi și a actelor normative emise de Banca Națională a Moldovei</w:t>
      </w:r>
      <w:r w:rsidR="002239A1" w:rsidRPr="000508B6">
        <w:rPr>
          <w:rFonts w:ascii="Times New Roman" w:eastAsia="Times New Roman" w:hAnsi="Times New Roman" w:cs="Times New Roman"/>
          <w:lang w:val="ro-MD"/>
        </w:rPr>
        <w:t>;</w:t>
      </w:r>
    </w:p>
    <w:p w14:paraId="455F5D4A" w14:textId="611560C4" w:rsidR="00584DF0" w:rsidRPr="000508B6" w:rsidRDefault="00584DF0"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din evaluarea </w:t>
      </w:r>
      <w:r w:rsidR="00267832" w:rsidRPr="000508B6">
        <w:rPr>
          <w:rFonts w:ascii="Times New Roman" w:eastAsia="Times New Roman" w:hAnsi="Times New Roman" w:cs="Times New Roman"/>
          <w:lang w:val="ro-MD"/>
        </w:rPr>
        <w:t>planului de afaceri</w:t>
      </w:r>
      <w:r w:rsidRPr="000508B6">
        <w:rPr>
          <w:rFonts w:ascii="Times New Roman" w:eastAsia="Times New Roman" w:hAnsi="Times New Roman" w:cs="Times New Roman"/>
          <w:lang w:val="ro-MD"/>
        </w:rPr>
        <w:t xml:space="preserve"> prezentat </w:t>
      </w:r>
      <w:r w:rsidR="0083080D" w:rsidRPr="000508B6">
        <w:rPr>
          <w:rFonts w:ascii="Times New Roman" w:eastAsia="Times New Roman" w:hAnsi="Times New Roman" w:cs="Times New Roman"/>
          <w:lang w:val="ro-MD"/>
        </w:rPr>
        <w:t xml:space="preserve">nu </w:t>
      </w:r>
      <w:r w:rsidRPr="000508B6">
        <w:rPr>
          <w:rFonts w:ascii="Times New Roman" w:eastAsia="Times New Roman" w:hAnsi="Times New Roman" w:cs="Times New Roman"/>
          <w:lang w:val="ro-MD"/>
        </w:rPr>
        <w:t xml:space="preserve">rezultă că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170C0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poate asigura realizarea obiectivelor propuse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respectării </w:t>
      </w:r>
      <w:proofErr w:type="spellStart"/>
      <w:r w:rsidRPr="000508B6">
        <w:rPr>
          <w:rFonts w:ascii="Times New Roman" w:eastAsia="Times New Roman" w:hAnsi="Times New Roman" w:cs="Times New Roman"/>
          <w:lang w:val="ro-MD"/>
        </w:rPr>
        <w:t>cerinţelor</w:t>
      </w:r>
      <w:proofErr w:type="spellEnd"/>
      <w:r w:rsidRPr="000508B6">
        <w:rPr>
          <w:rFonts w:ascii="Times New Roman" w:eastAsia="Times New Roman" w:hAnsi="Times New Roman" w:cs="Times New Roman"/>
          <w:lang w:val="ro-MD"/>
        </w:rPr>
        <w:t xml:space="preserve"> cuprinse în prezenta lege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 actele normative emise în aplicarea acesteia;</w:t>
      </w:r>
    </w:p>
    <w:p w14:paraId="09A8194E" w14:textId="316EFC06" w:rsidR="000563E6" w:rsidRPr="000508B6" w:rsidRDefault="00180103"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b/>
        <w:t xml:space="preserve">nu constată că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va dispune de un sistem de guvernanță eficace, care să asigure o administrare solidă și prudentă a activității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respectiv, sau acesta nu permite realizarea eficientă a supravegherii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de către Banca </w:t>
      </w:r>
      <w:proofErr w:type="spellStart"/>
      <w:r w:rsidRPr="000508B6">
        <w:rPr>
          <w:rFonts w:ascii="Times New Roman" w:eastAsia="Times New Roman" w:hAnsi="Times New Roman" w:cs="Times New Roman"/>
          <w:lang w:val="ro-MD"/>
        </w:rPr>
        <w:t>Naţională</w:t>
      </w:r>
      <w:proofErr w:type="spellEnd"/>
      <w:r w:rsidRPr="000508B6">
        <w:rPr>
          <w:rFonts w:ascii="Times New Roman" w:eastAsia="Times New Roman" w:hAnsi="Times New Roman" w:cs="Times New Roman"/>
          <w:lang w:val="ro-MD"/>
        </w:rPr>
        <w:t xml:space="preserve"> a Moldovei</w:t>
      </w:r>
      <w:r w:rsidR="000563E6" w:rsidRPr="000508B6">
        <w:rPr>
          <w:rFonts w:ascii="Times New Roman" w:eastAsia="Times New Roman" w:hAnsi="Times New Roman" w:cs="Times New Roman"/>
          <w:lang w:val="ro-MD"/>
        </w:rPr>
        <w:t>;</w:t>
      </w:r>
    </w:p>
    <w:p w14:paraId="29CEDF80" w14:textId="302C364D" w:rsidR="006E12B2" w:rsidRPr="000508B6" w:rsidRDefault="006E12B2"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există legături strânse între </w:t>
      </w:r>
      <w:r w:rsidR="00AB04D2" w:rsidRPr="000508B6">
        <w:rPr>
          <w:rFonts w:ascii="Times New Roman" w:eastAsia="Times New Roman" w:hAnsi="Times New Roman" w:cs="Times New Roman"/>
          <w:lang w:val="ro-MD"/>
        </w:rPr>
        <w:t xml:space="preserve">asigurător sau </w:t>
      </w:r>
      <w:proofErr w:type="spellStart"/>
      <w:r w:rsidR="00AB04D2"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alte persoane fizice sau juridice care împiedică exercitarea eficientă a </w:t>
      </w:r>
      <w:proofErr w:type="spellStart"/>
      <w:r w:rsidRPr="000508B6">
        <w:rPr>
          <w:rFonts w:ascii="Times New Roman" w:eastAsia="Times New Roman" w:hAnsi="Times New Roman" w:cs="Times New Roman"/>
          <w:lang w:val="ro-MD"/>
        </w:rPr>
        <w:t>atribuţiei</w:t>
      </w:r>
      <w:proofErr w:type="spellEnd"/>
      <w:r w:rsidRPr="000508B6">
        <w:rPr>
          <w:rFonts w:ascii="Times New Roman" w:eastAsia="Times New Roman" w:hAnsi="Times New Roman" w:cs="Times New Roman"/>
          <w:lang w:val="ro-MD"/>
        </w:rPr>
        <w:t xml:space="preserve"> de supraveghere a Băncii Naționale a Moldovei; </w:t>
      </w:r>
    </w:p>
    <w:p w14:paraId="2A9B3185" w14:textId="2DAB788E" w:rsidR="006E12B2" w:rsidRPr="000508B6" w:rsidRDefault="006E12B2"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există acte cu putere de lege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/sau administrative</w:t>
      </w:r>
      <w:r w:rsidR="008A299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sau </w:t>
      </w:r>
      <w:proofErr w:type="spellStart"/>
      <w:r w:rsidRPr="000508B6">
        <w:rPr>
          <w:rFonts w:ascii="Times New Roman" w:eastAsia="Times New Roman" w:hAnsi="Times New Roman" w:cs="Times New Roman"/>
          <w:lang w:val="ro-MD"/>
        </w:rPr>
        <w:t>dificultăţi</w:t>
      </w:r>
      <w:proofErr w:type="spellEnd"/>
      <w:r w:rsidRPr="000508B6">
        <w:rPr>
          <w:rFonts w:ascii="Times New Roman" w:eastAsia="Times New Roman" w:hAnsi="Times New Roman" w:cs="Times New Roman"/>
          <w:lang w:val="ro-MD"/>
        </w:rPr>
        <w:t xml:space="preserve"> în aplicarea acestora</w:t>
      </w:r>
      <w:r w:rsidR="008A299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dintr-un stat </w:t>
      </w:r>
      <w:proofErr w:type="spellStart"/>
      <w:r w:rsidRPr="000508B6">
        <w:rPr>
          <w:rFonts w:ascii="Times New Roman" w:eastAsia="Times New Roman" w:hAnsi="Times New Roman" w:cs="Times New Roman"/>
          <w:lang w:val="ro-MD"/>
        </w:rPr>
        <w:t>terţ</w:t>
      </w:r>
      <w:proofErr w:type="spellEnd"/>
      <w:r w:rsidRPr="000508B6">
        <w:rPr>
          <w:rFonts w:ascii="Times New Roman" w:eastAsia="Times New Roman" w:hAnsi="Times New Roman" w:cs="Times New Roman"/>
          <w:lang w:val="ro-MD"/>
        </w:rPr>
        <w:t xml:space="preserve"> de care </w:t>
      </w:r>
      <w:proofErr w:type="spellStart"/>
      <w:r w:rsidRPr="000508B6">
        <w:rPr>
          <w:rFonts w:ascii="Times New Roman" w:eastAsia="Times New Roman" w:hAnsi="Times New Roman" w:cs="Times New Roman"/>
          <w:lang w:val="ro-MD"/>
        </w:rPr>
        <w:t>aparţin</w:t>
      </w:r>
      <w:proofErr w:type="spellEnd"/>
      <w:r w:rsidRPr="000508B6">
        <w:rPr>
          <w:rFonts w:ascii="Times New Roman" w:eastAsia="Times New Roman" w:hAnsi="Times New Roman" w:cs="Times New Roman"/>
          <w:lang w:val="ro-MD"/>
        </w:rPr>
        <w:t xml:space="preserve"> persoanele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lit. </w:t>
      </w:r>
      <w:r w:rsidR="001C7225" w:rsidRPr="000508B6">
        <w:rPr>
          <w:rFonts w:ascii="Times New Roman" w:eastAsia="Times New Roman" w:hAnsi="Times New Roman" w:cs="Times New Roman"/>
          <w:lang w:val="ro-MD"/>
        </w:rPr>
        <w:t>h</w:t>
      </w:r>
      <w:r w:rsidRPr="000508B6">
        <w:rPr>
          <w:rFonts w:ascii="Times New Roman" w:eastAsia="Times New Roman" w:hAnsi="Times New Roman" w:cs="Times New Roman"/>
          <w:lang w:val="ro-MD"/>
        </w:rPr>
        <w:t xml:space="preserve">) cu care </w:t>
      </w:r>
      <w:r w:rsidR="007417B5"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are legături strânse, care sunt de natură să împiedice exercitarea eficientă </w:t>
      </w:r>
      <w:r w:rsidR="008A299A" w:rsidRPr="000508B6">
        <w:rPr>
          <w:rFonts w:ascii="Times New Roman" w:eastAsia="Times New Roman" w:hAnsi="Times New Roman" w:cs="Times New Roman"/>
          <w:lang w:val="ro-MD"/>
        </w:rPr>
        <w:t xml:space="preserve">de către Banca Națională a Moldovei </w:t>
      </w:r>
      <w:r w:rsidRPr="000508B6">
        <w:rPr>
          <w:rFonts w:ascii="Times New Roman" w:eastAsia="Times New Roman" w:hAnsi="Times New Roman" w:cs="Times New Roman"/>
          <w:lang w:val="ro-MD"/>
        </w:rPr>
        <w:t xml:space="preserve">a </w:t>
      </w:r>
      <w:proofErr w:type="spellStart"/>
      <w:r w:rsidRPr="000508B6">
        <w:rPr>
          <w:rFonts w:ascii="Times New Roman" w:eastAsia="Times New Roman" w:hAnsi="Times New Roman" w:cs="Times New Roman"/>
          <w:lang w:val="ro-MD"/>
        </w:rPr>
        <w:t>atribuţiei</w:t>
      </w:r>
      <w:proofErr w:type="spellEnd"/>
      <w:r w:rsidRPr="000508B6">
        <w:rPr>
          <w:rFonts w:ascii="Times New Roman" w:eastAsia="Times New Roman" w:hAnsi="Times New Roman" w:cs="Times New Roman"/>
          <w:lang w:val="ro-MD"/>
        </w:rPr>
        <w:t xml:space="preserve"> sale de supraveghetor;</w:t>
      </w:r>
    </w:p>
    <w:p w14:paraId="60434532" w14:textId="73E1B037" w:rsidR="0057355A" w:rsidRPr="000508B6" w:rsidRDefault="0057355A" w:rsidP="00CF5AFA">
      <w:pPr>
        <w:pStyle w:val="Listparagraf"/>
        <w:numPr>
          <w:ilvl w:val="2"/>
          <w:numId w:val="9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nu </w:t>
      </w:r>
      <w:r w:rsidR="008A299A" w:rsidRPr="000508B6">
        <w:rPr>
          <w:rFonts w:ascii="Times New Roman" w:eastAsia="Times New Roman" w:hAnsi="Times New Roman" w:cs="Times New Roman"/>
          <w:lang w:val="ro-MD"/>
        </w:rPr>
        <w:t>sunt</w:t>
      </w:r>
      <w:r w:rsidRPr="000508B6">
        <w:rPr>
          <w:rFonts w:ascii="Times New Roman" w:eastAsia="Times New Roman" w:hAnsi="Times New Roman" w:cs="Times New Roman"/>
          <w:lang w:val="ro-MD"/>
        </w:rPr>
        <w:t xml:space="preserve"> respectate alte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prevăzute de prezenta lege.</w:t>
      </w:r>
    </w:p>
    <w:p w14:paraId="74293A32" w14:textId="25A5C292" w:rsidR="00584DF0" w:rsidRPr="000508B6" w:rsidRDefault="007B36EC" w:rsidP="007B36EC">
      <w:pPr>
        <w:pStyle w:val="Listparagraf"/>
        <w:numPr>
          <w:ilvl w:val="0"/>
          <w:numId w:val="249"/>
        </w:numPr>
        <w:tabs>
          <w:tab w:val="left" w:pos="709"/>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În cazul </w:t>
      </w:r>
      <w:r w:rsidR="008B46DD" w:rsidRPr="000508B6">
        <w:rPr>
          <w:rFonts w:ascii="Times New Roman" w:eastAsia="Times New Roman" w:hAnsi="Times New Roman" w:cs="Times New Roman"/>
          <w:lang w:val="ro-MD"/>
        </w:rPr>
        <w:t>constituirii</w:t>
      </w:r>
      <w:r w:rsidRPr="000508B6">
        <w:rPr>
          <w:rFonts w:ascii="Times New Roman" w:eastAsia="Times New Roman" w:hAnsi="Times New Roman" w:cs="Times New Roman"/>
          <w:lang w:val="ro-MD"/>
        </w:rPr>
        <w:t xml:space="preserve"> unui asigurător sau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de drept public, </w:t>
      </w:r>
      <w:r w:rsidR="008B46DD" w:rsidRPr="000508B6">
        <w:rPr>
          <w:rFonts w:ascii="Times New Roman" w:eastAsia="Times New Roman" w:hAnsi="Times New Roman" w:cs="Times New Roman"/>
          <w:lang w:val="ro-MD"/>
        </w:rPr>
        <w:t xml:space="preserve">acesta </w:t>
      </w:r>
      <w:r w:rsidRPr="000508B6">
        <w:rPr>
          <w:rFonts w:ascii="Times New Roman" w:eastAsia="Times New Roman" w:hAnsi="Times New Roman" w:cs="Times New Roman"/>
          <w:lang w:val="ro-MD"/>
        </w:rPr>
        <w:t xml:space="preserve">funcționează în condițiile prezentei legi. </w:t>
      </w:r>
    </w:p>
    <w:p w14:paraId="21ACC9AE" w14:textId="7CC9C00B" w:rsidR="00462398" w:rsidRPr="000508B6" w:rsidRDefault="00462398" w:rsidP="007B36EC">
      <w:pPr>
        <w:pStyle w:val="Listparagraf"/>
        <w:numPr>
          <w:ilvl w:val="0"/>
          <w:numId w:val="249"/>
        </w:numPr>
        <w:tabs>
          <w:tab w:val="left" w:pos="709"/>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Statutul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trebuie să specifice denumirea, sediul, obiectul activității, atribuțiile organ</w:t>
      </w:r>
      <w:r w:rsidR="005D24F0">
        <w:rPr>
          <w:rFonts w:ascii="Times New Roman" w:eastAsia="Times New Roman" w:hAnsi="Times New Roman" w:cs="Times New Roman"/>
          <w:lang w:val="ro-MD"/>
        </w:rPr>
        <w:t>elor</w:t>
      </w:r>
      <w:r w:rsidRPr="000508B6">
        <w:rPr>
          <w:rFonts w:ascii="Times New Roman" w:eastAsia="Times New Roman" w:hAnsi="Times New Roman" w:cs="Times New Roman"/>
          <w:lang w:val="ro-MD"/>
        </w:rPr>
        <w:t xml:space="preserve"> de conducere, cuantumul capitalului social, tipul, numărul, valoarea nominală a acțiunilor și drepturile de vot legate de ele, obligativitatea deținătorilor direcți, indirecți și a beneficiarilor efectivi de a prezenta informația solicitată de către asigurător s</w:t>
      </w:r>
      <w:r w:rsidR="00692D5A"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pentru asigurarea conformării acesteia prevederilor prezentei legi. </w:t>
      </w:r>
    </w:p>
    <w:p w14:paraId="68C0F80A" w14:textId="77777777" w:rsidR="007B36EC" w:rsidRPr="000508B6" w:rsidRDefault="007B36EC" w:rsidP="006F35E8">
      <w:pPr>
        <w:pStyle w:val="Listparagraf"/>
        <w:ind w:left="284"/>
        <w:rPr>
          <w:rFonts w:ascii="Times New Roman" w:eastAsia="Times New Roman" w:hAnsi="Times New Roman" w:cs="Times New Roman"/>
          <w:b/>
          <w:lang w:val="ro-MD"/>
        </w:rPr>
      </w:pPr>
    </w:p>
    <w:p w14:paraId="2F26AA51" w14:textId="7A9804DA" w:rsidR="006F35E8" w:rsidRPr="000508B6" w:rsidRDefault="006F35E8" w:rsidP="006F35E8">
      <w:pPr>
        <w:pStyle w:val="Listparagraf"/>
        <w:ind w:left="284"/>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6</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Procedura de acordare a licenței</w:t>
      </w:r>
      <w:r w:rsidR="00107E63" w:rsidRPr="000508B6">
        <w:rPr>
          <w:rFonts w:ascii="Times New Roman" w:eastAsia="Times New Roman" w:hAnsi="Times New Roman" w:cs="Times New Roman"/>
          <w:lang w:val="ro-MD"/>
        </w:rPr>
        <w:t xml:space="preserve"> </w:t>
      </w:r>
    </w:p>
    <w:p w14:paraId="0AA360F8" w14:textId="6742FBAC" w:rsidR="004C0DA2" w:rsidRPr="000508B6" w:rsidRDefault="004C0DA2" w:rsidP="005635C3">
      <w:pPr>
        <w:pStyle w:val="Listparagraf"/>
        <w:numPr>
          <w:ilvl w:val="0"/>
          <w:numId w:val="246"/>
        </w:numPr>
        <w:tabs>
          <w:tab w:val="left" w:pos="426"/>
          <w:tab w:val="left" w:pos="709"/>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termen de până la 5 luni de la data comunicării </w:t>
      </w:r>
      <w:r w:rsidR="00126F5C" w:rsidRPr="000508B6">
        <w:rPr>
          <w:rFonts w:ascii="Times New Roman" w:eastAsia="Times New Roman" w:hAnsi="Times New Roman" w:cs="Times New Roman"/>
          <w:lang w:val="ro-MD"/>
        </w:rPr>
        <w:t>deciziei</w:t>
      </w:r>
      <w:r w:rsidRPr="000508B6">
        <w:rPr>
          <w:rFonts w:ascii="Times New Roman" w:eastAsia="Times New Roman" w:hAnsi="Times New Roman" w:cs="Times New Roman"/>
          <w:lang w:val="ro-MD"/>
        </w:rPr>
        <w:t xml:space="preserve"> privind aprobarea prealabilă,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solicitant depune o cerere de </w:t>
      </w:r>
      <w:r w:rsidR="00984F76" w:rsidRPr="000508B6">
        <w:rPr>
          <w:rFonts w:ascii="Times New Roman" w:eastAsia="Times New Roman" w:hAnsi="Times New Roman" w:cs="Times New Roman"/>
          <w:lang w:val="ro-MD"/>
        </w:rPr>
        <w:t>acordare</w:t>
      </w:r>
      <w:r w:rsidRPr="000508B6">
        <w:rPr>
          <w:rFonts w:ascii="Times New Roman" w:eastAsia="Times New Roman" w:hAnsi="Times New Roman" w:cs="Times New Roman"/>
          <w:lang w:val="ro-MD"/>
        </w:rPr>
        <w:t xml:space="preserve"> a licenței </w:t>
      </w:r>
      <w:r w:rsidR="00BF340E" w:rsidRPr="000508B6">
        <w:rPr>
          <w:rFonts w:ascii="Times New Roman" w:eastAsia="Times New Roman" w:hAnsi="Times New Roman" w:cs="Times New Roman"/>
          <w:lang w:val="ro-MD"/>
        </w:rPr>
        <w:t>potrivit actelor normative ale Băncii Naționale a Moldovei</w:t>
      </w:r>
      <w:r w:rsidR="008A299A" w:rsidRPr="000508B6">
        <w:rPr>
          <w:rFonts w:ascii="Times New Roman" w:eastAsia="Times New Roman" w:hAnsi="Times New Roman" w:cs="Times New Roman"/>
          <w:lang w:val="ro-MD"/>
        </w:rPr>
        <w:t xml:space="preserve">. </w:t>
      </w:r>
    </w:p>
    <w:p w14:paraId="73242CC0" w14:textId="271E2763" w:rsidR="00F95829" w:rsidRPr="000508B6" w:rsidRDefault="00F95829" w:rsidP="005635C3">
      <w:pPr>
        <w:pStyle w:val="Listparagraf"/>
        <w:numPr>
          <w:ilvl w:val="0"/>
          <w:numId w:val="246"/>
        </w:numPr>
        <w:tabs>
          <w:tab w:val="left" w:pos="284"/>
          <w:tab w:val="left" w:pos="426"/>
          <w:tab w:val="left" w:pos="709"/>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Dacă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solicitant nu prezintă documentele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respective în termenul prevăzut la alin.</w:t>
      </w:r>
      <w:r w:rsidR="005C4B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6F35E8"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xml:space="preserve">), </w:t>
      </w:r>
      <w:r w:rsidR="00126F5C" w:rsidRPr="000508B6">
        <w:rPr>
          <w:rFonts w:ascii="Times New Roman" w:eastAsia="Times New Roman" w:hAnsi="Times New Roman" w:cs="Times New Roman"/>
          <w:lang w:val="ro-MD"/>
        </w:rPr>
        <w:t>decizia</w:t>
      </w:r>
      <w:r w:rsidRPr="000508B6">
        <w:rPr>
          <w:rFonts w:ascii="Times New Roman" w:eastAsia="Times New Roman" w:hAnsi="Times New Roman" w:cs="Times New Roman"/>
          <w:lang w:val="ro-MD"/>
        </w:rPr>
        <w:t xml:space="preserve"> cu privire la acordarea </w:t>
      </w:r>
      <w:r w:rsidR="005355A8" w:rsidRPr="000508B6">
        <w:rPr>
          <w:rFonts w:ascii="Times New Roman" w:eastAsia="Times New Roman" w:hAnsi="Times New Roman" w:cs="Times New Roman"/>
          <w:lang w:val="ro-MD"/>
        </w:rPr>
        <w:t xml:space="preserve">aprobării </w:t>
      </w:r>
      <w:r w:rsidRPr="000508B6">
        <w:rPr>
          <w:rFonts w:ascii="Times New Roman" w:eastAsia="Times New Roman" w:hAnsi="Times New Roman" w:cs="Times New Roman"/>
          <w:lang w:val="ro-MD"/>
        </w:rPr>
        <w:t>prealabil</w:t>
      </w:r>
      <w:r w:rsidR="005355A8"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de constituire își pierde valabilitate</w:t>
      </w:r>
      <w:r w:rsidR="004E17AB"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solicitant poate solicita </w:t>
      </w:r>
      <w:r w:rsidR="005355A8" w:rsidRPr="000508B6">
        <w:rPr>
          <w:rFonts w:ascii="Times New Roman" w:eastAsia="Times New Roman" w:hAnsi="Times New Roman" w:cs="Times New Roman"/>
          <w:lang w:val="ro-MD"/>
        </w:rPr>
        <w:t xml:space="preserve">o </w:t>
      </w:r>
      <w:r w:rsidRPr="000508B6">
        <w:rPr>
          <w:rFonts w:ascii="Times New Roman" w:eastAsia="Times New Roman" w:hAnsi="Times New Roman" w:cs="Times New Roman"/>
          <w:lang w:val="ro-MD"/>
        </w:rPr>
        <w:t>nou</w:t>
      </w:r>
      <w:r w:rsidR="005355A8"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w:t>
      </w:r>
      <w:r w:rsidR="005355A8" w:rsidRPr="000508B6">
        <w:rPr>
          <w:rFonts w:ascii="Times New Roman" w:eastAsia="Times New Roman" w:hAnsi="Times New Roman" w:cs="Times New Roman"/>
          <w:lang w:val="ro-MD"/>
        </w:rPr>
        <w:t xml:space="preserve">aprobare </w:t>
      </w:r>
      <w:r w:rsidRPr="000508B6">
        <w:rPr>
          <w:rFonts w:ascii="Times New Roman" w:eastAsia="Times New Roman" w:hAnsi="Times New Roman" w:cs="Times New Roman"/>
          <w:lang w:val="ro-MD"/>
        </w:rPr>
        <w:t>prealabil</w:t>
      </w:r>
      <w:r w:rsidR="005355A8"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de constituire cu toate </w:t>
      </w:r>
      <w:r w:rsidR="004E7959" w:rsidRPr="000508B6">
        <w:rPr>
          <w:rFonts w:ascii="Times New Roman" w:eastAsia="Times New Roman" w:hAnsi="Times New Roman" w:cs="Times New Roman"/>
          <w:lang w:val="ro-MD"/>
        </w:rPr>
        <w:t xml:space="preserve">aprobările </w:t>
      </w:r>
      <w:r w:rsidRPr="000508B6">
        <w:rPr>
          <w:rFonts w:ascii="Times New Roman" w:eastAsia="Times New Roman" w:hAnsi="Times New Roman" w:cs="Times New Roman"/>
          <w:lang w:val="ro-MD"/>
        </w:rPr>
        <w:t xml:space="preserve">conexe prevăzute la </w:t>
      </w:r>
      <w:r w:rsidR="00830934" w:rsidRPr="000508B6">
        <w:rPr>
          <w:rFonts w:ascii="Times New Roman" w:eastAsia="Times New Roman" w:hAnsi="Times New Roman" w:cs="Times New Roman"/>
          <w:lang w:val="ro-MD"/>
        </w:rPr>
        <w:t>art</w:t>
      </w:r>
      <w:r w:rsidR="00790883" w:rsidRPr="000508B6">
        <w:rPr>
          <w:rFonts w:ascii="Times New Roman" w:eastAsia="Times New Roman" w:hAnsi="Times New Roman" w:cs="Times New Roman"/>
          <w:lang w:val="ro-MD"/>
        </w:rPr>
        <w:t>.</w:t>
      </w:r>
      <w:r w:rsidR="00830934" w:rsidRPr="000508B6">
        <w:rPr>
          <w:rFonts w:ascii="Times New Roman" w:eastAsia="Times New Roman" w:hAnsi="Times New Roman" w:cs="Times New Roman"/>
          <w:lang w:val="ro-MD"/>
        </w:rPr>
        <w:t xml:space="preserve"> </w:t>
      </w:r>
      <w:r w:rsidR="00790883"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w:t>
      </w:r>
    </w:p>
    <w:p w14:paraId="4DD5BB35" w14:textId="00F77FD4" w:rsidR="00F95829" w:rsidRPr="000508B6" w:rsidRDefault="00F95829" w:rsidP="005635C3">
      <w:pPr>
        <w:pStyle w:val="Listparagraf"/>
        <w:numPr>
          <w:ilvl w:val="0"/>
          <w:numId w:val="246"/>
        </w:numPr>
        <w:tabs>
          <w:tab w:val="left" w:pos="426"/>
          <w:tab w:val="left" w:pos="709"/>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decide cu privire la acordarea </w:t>
      </w:r>
      <w:proofErr w:type="spellStart"/>
      <w:r w:rsidR="00287CA8" w:rsidRPr="000508B6">
        <w:rPr>
          <w:rFonts w:ascii="Times New Roman" w:eastAsia="Times New Roman" w:hAnsi="Times New Roman" w:cs="Times New Roman"/>
          <w:lang w:val="ro-MD"/>
        </w:rPr>
        <w:t>licenţei</w:t>
      </w:r>
      <w:proofErr w:type="spellEnd"/>
      <w:r w:rsidR="00287CA8"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în termen de cel mult 2 luni de la data </w:t>
      </w:r>
      <w:r w:rsidR="00CA1CF9" w:rsidRPr="000508B6">
        <w:rPr>
          <w:rFonts w:ascii="Times New Roman" w:eastAsia="Times New Roman" w:hAnsi="Times New Roman" w:cs="Times New Roman"/>
          <w:lang w:val="ro-MD"/>
        </w:rPr>
        <w:t xml:space="preserve">recepționării </w:t>
      </w:r>
      <w:r w:rsidRPr="000508B6">
        <w:rPr>
          <w:rFonts w:ascii="Times New Roman" w:eastAsia="Times New Roman" w:hAnsi="Times New Roman" w:cs="Times New Roman"/>
          <w:lang w:val="ro-MD"/>
        </w:rPr>
        <w:t xml:space="preserve">documentelor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aferente cererii de </w:t>
      </w:r>
      <w:proofErr w:type="spellStart"/>
      <w:r w:rsidRPr="000508B6">
        <w:rPr>
          <w:rFonts w:ascii="Times New Roman" w:eastAsia="Times New Roman" w:hAnsi="Times New Roman" w:cs="Times New Roman"/>
          <w:lang w:val="ro-MD"/>
        </w:rPr>
        <w:t>licenţiere</w:t>
      </w:r>
      <w:proofErr w:type="spellEnd"/>
      <w:r w:rsidRPr="000508B6">
        <w:rPr>
          <w:rFonts w:ascii="Times New Roman" w:eastAsia="Times New Roman" w:hAnsi="Times New Roman" w:cs="Times New Roman"/>
          <w:lang w:val="ro-MD"/>
        </w:rPr>
        <w:t>.</w:t>
      </w:r>
    </w:p>
    <w:p w14:paraId="1B7BCB07" w14:textId="5CF05C82" w:rsidR="00F95829" w:rsidRPr="000508B6" w:rsidRDefault="00F95829" w:rsidP="005635C3">
      <w:pPr>
        <w:pStyle w:val="Listparagraf"/>
        <w:numPr>
          <w:ilvl w:val="0"/>
          <w:numId w:val="246"/>
        </w:numPr>
        <w:shd w:val="clear" w:color="auto" w:fill="FFFFFF" w:themeFill="background1"/>
        <w:tabs>
          <w:tab w:val="left" w:pos="426"/>
          <w:tab w:val="left" w:pos="709"/>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în termen de o lună de la data </w:t>
      </w:r>
      <w:r w:rsidR="00CA1CF9" w:rsidRPr="000508B6">
        <w:rPr>
          <w:rFonts w:ascii="Times New Roman" w:eastAsia="Times New Roman" w:hAnsi="Times New Roman" w:cs="Times New Roman"/>
          <w:lang w:val="ro-MD"/>
        </w:rPr>
        <w:t xml:space="preserve">recepționării </w:t>
      </w:r>
      <w:r w:rsidRPr="000508B6">
        <w:rPr>
          <w:rFonts w:ascii="Times New Roman" w:eastAsia="Times New Roman" w:hAnsi="Times New Roman" w:cs="Times New Roman"/>
          <w:lang w:val="ro-MD"/>
        </w:rPr>
        <w:t xml:space="preserve">documentelor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conform alin.</w:t>
      </w:r>
      <w:r w:rsidR="005C4B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2E28CF"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xml:space="preserve">), poate solicita în scris orice documente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suplimentare necesare pentru evaluare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după caz, remedierea </w:t>
      </w:r>
      <w:proofErr w:type="spellStart"/>
      <w:r w:rsidRPr="000508B6">
        <w:rPr>
          <w:rFonts w:ascii="Times New Roman" w:eastAsia="Times New Roman" w:hAnsi="Times New Roman" w:cs="Times New Roman"/>
          <w:lang w:val="ro-MD"/>
        </w:rPr>
        <w:t>deficienţelor</w:t>
      </w:r>
      <w:proofErr w:type="spellEnd"/>
      <w:r w:rsidRPr="000508B6">
        <w:rPr>
          <w:rFonts w:ascii="Times New Roman" w:eastAsia="Times New Roman" w:hAnsi="Times New Roman" w:cs="Times New Roman"/>
          <w:lang w:val="ro-MD"/>
        </w:rPr>
        <w:t xml:space="preserve"> constatate, iar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solicitant are la </w:t>
      </w:r>
      <w:proofErr w:type="spellStart"/>
      <w:r w:rsidRPr="000508B6">
        <w:rPr>
          <w:rFonts w:ascii="Times New Roman" w:eastAsia="Times New Roman" w:hAnsi="Times New Roman" w:cs="Times New Roman"/>
          <w:lang w:val="ro-MD"/>
        </w:rPr>
        <w:t>dispoziţie</w:t>
      </w:r>
      <w:proofErr w:type="spellEnd"/>
      <w:r w:rsidRPr="000508B6">
        <w:rPr>
          <w:rFonts w:ascii="Times New Roman" w:eastAsia="Times New Roman" w:hAnsi="Times New Roman" w:cs="Times New Roman"/>
          <w:lang w:val="ro-MD"/>
        </w:rPr>
        <w:t xml:space="preserve"> un termen de o lună de la data comunicării solicitării pentru prezentarea acestora, perioadă pe parcursul căreia termenul de 2 luni prevăzut la alin.</w:t>
      </w:r>
      <w:r w:rsidR="005C4B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AE7511"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se suspendă.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solicitant poate furniza din proprie </w:t>
      </w:r>
      <w:proofErr w:type="spellStart"/>
      <w:r w:rsidRPr="000508B6">
        <w:rPr>
          <w:rFonts w:ascii="Times New Roman" w:eastAsia="Times New Roman" w:hAnsi="Times New Roman" w:cs="Times New Roman"/>
          <w:lang w:val="ro-MD"/>
        </w:rPr>
        <w:t>iniţiativă</w:t>
      </w:r>
      <w:proofErr w:type="spellEnd"/>
      <w:r w:rsidRPr="000508B6">
        <w:rPr>
          <w:rFonts w:ascii="Times New Roman" w:eastAsia="Times New Roman" w:hAnsi="Times New Roman" w:cs="Times New Roman"/>
          <w:lang w:val="ro-MD"/>
        </w:rPr>
        <w:t xml:space="preserve"> </w:t>
      </w:r>
      <w:r w:rsidR="00D22648" w:rsidRPr="000508B6">
        <w:rPr>
          <w:rFonts w:ascii="Times New Roman" w:eastAsia="Times New Roman" w:hAnsi="Times New Roman" w:cs="Times New Roman"/>
          <w:lang w:val="ro-MD"/>
        </w:rPr>
        <w:t xml:space="preserve">orice </w:t>
      </w:r>
      <w:r w:rsidRPr="000508B6">
        <w:rPr>
          <w:rFonts w:ascii="Times New Roman" w:eastAsia="Times New Roman" w:hAnsi="Times New Roman" w:cs="Times New Roman"/>
          <w:lang w:val="ro-MD"/>
        </w:rPr>
        <w:t xml:space="preserve">alte documente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pe care le consideră relevante, dar acestea trebuie să fie prezentate cel târziu cu 30 de zile calendaristice anterior datei expirării termenului prevăzut la </w:t>
      </w:r>
      <w:r w:rsidR="00C844C0" w:rsidRPr="000508B6">
        <w:rPr>
          <w:rFonts w:ascii="Times New Roman" w:eastAsia="Times New Roman" w:hAnsi="Times New Roman" w:cs="Times New Roman"/>
          <w:lang w:val="ro-MD"/>
        </w:rPr>
        <w:t>alin. (1)</w:t>
      </w:r>
      <w:r w:rsidRPr="000508B6">
        <w:rPr>
          <w:rFonts w:ascii="Times New Roman" w:eastAsia="Times New Roman" w:hAnsi="Times New Roman" w:cs="Times New Roman"/>
          <w:lang w:val="ro-MD"/>
        </w:rPr>
        <w:t>.</w:t>
      </w:r>
      <w:r w:rsidR="00227C31" w:rsidRPr="000508B6">
        <w:rPr>
          <w:rFonts w:ascii="Times New Roman" w:eastAsia="Times New Roman" w:hAnsi="Times New Roman" w:cs="Times New Roman"/>
          <w:lang w:val="ro-MD"/>
        </w:rPr>
        <w:t xml:space="preserve"> </w:t>
      </w:r>
    </w:p>
    <w:p w14:paraId="07168D8E" w14:textId="2F32C660" w:rsidR="009752D2" w:rsidRPr="000508B6" w:rsidRDefault="009752D2" w:rsidP="005635C3">
      <w:pPr>
        <w:pStyle w:val="Listparagraf"/>
        <w:numPr>
          <w:ilvl w:val="0"/>
          <w:numId w:val="246"/>
        </w:numPr>
        <w:tabs>
          <w:tab w:val="left" w:pos="426"/>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Documentele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prezentate cu </w:t>
      </w:r>
      <w:proofErr w:type="spellStart"/>
      <w:r w:rsidRPr="000508B6">
        <w:rPr>
          <w:rFonts w:ascii="Times New Roman" w:eastAsia="Times New Roman" w:hAnsi="Times New Roman" w:cs="Times New Roman"/>
          <w:lang w:val="ro-MD"/>
        </w:rPr>
        <w:t>depăşirea</w:t>
      </w:r>
      <w:proofErr w:type="spellEnd"/>
      <w:r w:rsidRPr="000508B6">
        <w:rPr>
          <w:rFonts w:ascii="Times New Roman" w:eastAsia="Times New Roman" w:hAnsi="Times New Roman" w:cs="Times New Roman"/>
          <w:lang w:val="ro-MD"/>
        </w:rPr>
        <w:t xml:space="preserve"> termenelor prevăzute pentru depunerea acestora nu sunt luate în considerare la evaluarea cererii de </w:t>
      </w:r>
      <w:proofErr w:type="spellStart"/>
      <w:r w:rsidRPr="000508B6">
        <w:rPr>
          <w:rFonts w:ascii="Times New Roman" w:eastAsia="Times New Roman" w:hAnsi="Times New Roman" w:cs="Times New Roman"/>
          <w:lang w:val="ro-MD"/>
        </w:rPr>
        <w:t>licenţiere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sidDel="00D22648">
        <w:rPr>
          <w:rFonts w:ascii="Times New Roman" w:eastAsia="Times New Roman" w:hAnsi="Times New Roman" w:cs="Times New Roman"/>
          <w:lang w:val="ro-MD"/>
        </w:rPr>
        <w:t xml:space="preserve"> </w:t>
      </w:r>
      <w:r w:rsidR="00D22648" w:rsidRPr="000508B6">
        <w:rPr>
          <w:rFonts w:ascii="Times New Roman" w:eastAsia="Times New Roman" w:hAnsi="Times New Roman" w:cs="Times New Roman"/>
          <w:lang w:val="ro-MD"/>
        </w:rPr>
        <w:t xml:space="preserve">se </w:t>
      </w:r>
      <w:r w:rsidRPr="000508B6">
        <w:rPr>
          <w:rFonts w:ascii="Times New Roman" w:eastAsia="Times New Roman" w:hAnsi="Times New Roman" w:cs="Times New Roman"/>
          <w:lang w:val="ro-MD"/>
        </w:rPr>
        <w:t xml:space="preserve">restituie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solicitant.</w:t>
      </w:r>
    </w:p>
    <w:p w14:paraId="13A2C1E0" w14:textId="401B0D07" w:rsidR="000F7C9B" w:rsidRPr="000508B6" w:rsidRDefault="000F7C9B" w:rsidP="005635C3">
      <w:pPr>
        <w:pStyle w:val="Listparagraf"/>
        <w:numPr>
          <w:ilvl w:val="0"/>
          <w:numId w:val="246"/>
        </w:numPr>
        <w:tabs>
          <w:tab w:val="left" w:pos="426"/>
          <w:tab w:val="left" w:pos="709"/>
        </w:tabs>
        <w:spacing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acordă licență numai dacă urmare a evaluării efectuate constată că </w:t>
      </w:r>
      <w:r w:rsidR="00BF0249" w:rsidRPr="000508B6">
        <w:rPr>
          <w:rFonts w:ascii="Times New Roman" w:eastAsia="Times New Roman" w:hAnsi="Times New Roman" w:cs="Times New Roman"/>
          <w:lang w:val="ro-MD"/>
        </w:rPr>
        <w:t xml:space="preserve">asigurătorul sau </w:t>
      </w:r>
      <w:proofErr w:type="spellStart"/>
      <w:r w:rsidR="00BF0249" w:rsidRPr="000508B6">
        <w:rPr>
          <w:rFonts w:ascii="Times New Roman" w:eastAsia="Times New Roman" w:hAnsi="Times New Roman" w:cs="Times New Roman"/>
          <w:lang w:val="ro-MD"/>
        </w:rPr>
        <w:t>reasigurătorul</w:t>
      </w:r>
      <w:proofErr w:type="spellEnd"/>
      <w:r w:rsidR="00BF0249" w:rsidRPr="000508B6">
        <w:rPr>
          <w:rFonts w:ascii="Times New Roman" w:eastAsia="Times New Roman" w:hAnsi="Times New Roman" w:cs="Times New Roman"/>
          <w:lang w:val="ro-MD"/>
        </w:rPr>
        <w:t xml:space="preserve"> solicitant </w:t>
      </w:r>
      <w:r w:rsidRPr="000508B6">
        <w:rPr>
          <w:rFonts w:ascii="Times New Roman" w:eastAsia="Times New Roman" w:hAnsi="Times New Roman" w:cs="Times New Roman"/>
          <w:lang w:val="ro-MD"/>
        </w:rPr>
        <w:t xml:space="preserve">poate asigura desfășurarea unei activități în condiții de siguranță </w:t>
      </w:r>
      <w:r w:rsidRPr="000508B6">
        <w:rPr>
          <w:rFonts w:ascii="Times New Roman" w:eastAsia="Times New Roman" w:hAnsi="Times New Roman" w:cs="Times New Roman"/>
          <w:lang w:val="ro-MD"/>
        </w:rPr>
        <w:lastRenderedPageBreak/>
        <w:t>și poate respecta cerințele unei administrări prudente și corecte, care să asigure protejarea intereselor, asiguraților</w:t>
      </w:r>
      <w:r w:rsidR="000854AB" w:rsidRPr="000508B6">
        <w:rPr>
          <w:rFonts w:ascii="Times New Roman" w:eastAsia="Times New Roman" w:hAnsi="Times New Roman" w:cs="Times New Roman"/>
          <w:lang w:val="ro-MD"/>
        </w:rPr>
        <w:t xml:space="preserve"> și</w:t>
      </w:r>
      <w:r w:rsidRPr="000508B6">
        <w:rPr>
          <w:rFonts w:ascii="Times New Roman" w:eastAsia="Times New Roman" w:hAnsi="Times New Roman" w:cs="Times New Roman"/>
          <w:lang w:val="ro-MD"/>
        </w:rPr>
        <w:t xml:space="preserve"> beneficiarilor asigură</w:t>
      </w:r>
      <w:r w:rsidR="00D22648" w:rsidRPr="000508B6">
        <w:rPr>
          <w:rFonts w:ascii="Times New Roman" w:eastAsia="Times New Roman" w:hAnsi="Times New Roman" w:cs="Times New Roman"/>
          <w:lang w:val="ro-MD"/>
        </w:rPr>
        <w:t>rii</w:t>
      </w:r>
      <w:r w:rsidRPr="000508B6" w:rsidDel="000854AB">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precum și buna funcționare a pieței de asigurări.</w:t>
      </w:r>
    </w:p>
    <w:p w14:paraId="2F68434A" w14:textId="73B8CA97" w:rsidR="00F95829" w:rsidRPr="000508B6" w:rsidRDefault="00F95829" w:rsidP="005635C3">
      <w:pPr>
        <w:pStyle w:val="Listparagraf"/>
        <w:numPr>
          <w:ilvl w:val="0"/>
          <w:numId w:val="246"/>
        </w:numPr>
        <w:tabs>
          <w:tab w:val="left" w:pos="426"/>
          <w:tab w:val="left" w:pos="709"/>
          <w:tab w:val="left" w:pos="851"/>
        </w:tabs>
        <w:spacing w:after="0" w:line="240" w:lineRule="auto"/>
        <w:ind w:left="0" w:firstLine="284"/>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 xml:space="preserve"> se eliberează pe un formular cu regim special în care se indică denumirea, forma juridică de organizare, adresa juridică a titularului de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numărul de identificare de stat, </w:t>
      </w:r>
      <w:r w:rsidR="006A6B40" w:rsidRPr="000508B6">
        <w:rPr>
          <w:rFonts w:ascii="Times New Roman" w:eastAsia="Times New Roman" w:hAnsi="Times New Roman" w:cs="Times New Roman"/>
          <w:lang w:val="ro-MD"/>
        </w:rPr>
        <w:t>activitatea</w:t>
      </w:r>
      <w:r w:rsidRPr="000508B6">
        <w:rPr>
          <w:rFonts w:ascii="Times New Roman" w:eastAsia="Times New Roman" w:hAnsi="Times New Roman" w:cs="Times New Roman"/>
          <w:lang w:val="ro-MD"/>
        </w:rPr>
        <w:t xml:space="preserve"> de </w:t>
      </w:r>
      <w:r w:rsidR="00A4279C"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sau de reasigurare pentru a cărei </w:t>
      </w:r>
      <w:proofErr w:type="spellStart"/>
      <w:r w:rsidRPr="000508B6">
        <w:rPr>
          <w:rFonts w:ascii="Times New Roman" w:eastAsia="Times New Roman" w:hAnsi="Times New Roman" w:cs="Times New Roman"/>
          <w:lang w:val="ro-MD"/>
        </w:rPr>
        <w:t>desfăşurare</w:t>
      </w:r>
      <w:proofErr w:type="spellEnd"/>
      <w:r w:rsidRPr="000508B6">
        <w:rPr>
          <w:rFonts w:ascii="Times New Roman" w:eastAsia="Times New Roman" w:hAnsi="Times New Roman" w:cs="Times New Roman"/>
          <w:lang w:val="ro-MD"/>
        </w:rPr>
        <w:t xml:space="preserve"> se eliberează </w:t>
      </w: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 xml:space="preserve">. Anexa la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este parte componentă a acesteia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conţine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w:t>
      </w:r>
      <w:r w:rsidR="00D6236B" w:rsidRPr="000508B6">
        <w:rPr>
          <w:rFonts w:ascii="Times New Roman" w:eastAsia="Times New Roman" w:hAnsi="Times New Roman" w:cs="Times New Roman"/>
          <w:lang w:val="ro-MD"/>
        </w:rPr>
        <w:t>i</w:t>
      </w:r>
      <w:proofErr w:type="spellEnd"/>
      <w:r w:rsidRPr="000508B6">
        <w:rPr>
          <w:rFonts w:ascii="Times New Roman" w:eastAsia="Times New Roman" w:hAnsi="Times New Roman" w:cs="Times New Roman"/>
          <w:lang w:val="ro-MD"/>
        </w:rPr>
        <w:t xml:space="preserve"> privind titularul de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de</w:t>
      </w:r>
      <w:r w:rsidR="0076434C" w:rsidRPr="000508B6">
        <w:rPr>
          <w:rFonts w:ascii="Times New Roman" w:eastAsia="Times New Roman" w:hAnsi="Times New Roman" w:cs="Times New Roman"/>
          <w:lang w:val="ro-MD"/>
        </w:rPr>
        <w:t xml:space="preserve"> desfășurare a activității</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licenţi</w:t>
      </w:r>
      <w:r w:rsidR="0076434C" w:rsidRPr="000508B6">
        <w:rPr>
          <w:rFonts w:ascii="Times New Roman" w:eastAsia="Times New Roman" w:hAnsi="Times New Roman" w:cs="Times New Roman"/>
          <w:lang w:val="ro-MD"/>
        </w:rPr>
        <w:t>ate</w:t>
      </w:r>
      <w:proofErr w:type="spellEnd"/>
      <w:r w:rsidRPr="000508B6">
        <w:rPr>
          <w:rFonts w:ascii="Times New Roman" w:eastAsia="Times New Roman" w:hAnsi="Times New Roman" w:cs="Times New Roman"/>
          <w:lang w:val="ro-MD"/>
        </w:rPr>
        <w:t xml:space="preserv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clasele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riscurile de asigurare sau </w:t>
      </w: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de reasigurare.</w:t>
      </w:r>
    </w:p>
    <w:p w14:paraId="4137E5A1" w14:textId="5057D0D3" w:rsidR="00F95829" w:rsidRPr="000508B6" w:rsidRDefault="009752D2" w:rsidP="0092203B">
      <w:pPr>
        <w:pStyle w:val="Listparagraf"/>
        <w:numPr>
          <w:ilvl w:val="0"/>
          <w:numId w:val="246"/>
        </w:numPr>
        <w:tabs>
          <w:tab w:val="left" w:pos="709"/>
          <w:tab w:val="left" w:pos="851"/>
        </w:tabs>
        <w:spacing w:after="0" w:line="240" w:lineRule="auto"/>
        <w:ind w:left="0" w:firstLine="284"/>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L</w:t>
      </w:r>
      <w:r w:rsidR="00F95829" w:rsidRPr="000508B6">
        <w:rPr>
          <w:rFonts w:ascii="Times New Roman" w:eastAsia="Times New Roman" w:hAnsi="Times New Roman" w:cs="Times New Roman"/>
          <w:lang w:val="ro-MD"/>
        </w:rPr>
        <w:t>icenţa</w:t>
      </w:r>
      <w:proofErr w:type="spellEnd"/>
      <w:r w:rsidR="00F95829" w:rsidRPr="000508B6">
        <w:rPr>
          <w:rFonts w:ascii="Times New Roman" w:eastAsia="Times New Roman" w:hAnsi="Times New Roman" w:cs="Times New Roman"/>
          <w:lang w:val="ro-MD"/>
        </w:rPr>
        <w:t xml:space="preserve"> se acordă pe un termen nelimitat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nu este transmisibilă.</w:t>
      </w:r>
    </w:p>
    <w:p w14:paraId="65211447" w14:textId="53008FD2" w:rsidR="003A0A2C" w:rsidRPr="000508B6" w:rsidRDefault="003A0A2C" w:rsidP="00CF5AFA">
      <w:pPr>
        <w:pStyle w:val="Listparagraf"/>
        <w:numPr>
          <w:ilvl w:val="0"/>
          <w:numId w:val="246"/>
        </w:numPr>
        <w:tabs>
          <w:tab w:val="left" w:pos="709"/>
          <w:tab w:val="left" w:pos="993"/>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solicitării licenței pentru clasa 18 prevăzută în </w:t>
      </w:r>
      <w:r w:rsidR="002C46E4"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nexa nr. 1 </w:t>
      </w:r>
      <w:proofErr w:type="spellStart"/>
      <w:r w:rsidR="002A1AB3"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ecţiunea</w:t>
      </w:r>
      <w:proofErr w:type="spellEnd"/>
      <w:r w:rsidRPr="000508B6">
        <w:rPr>
          <w:rFonts w:ascii="Times New Roman" w:eastAsia="Times New Roman" w:hAnsi="Times New Roman" w:cs="Times New Roman"/>
          <w:lang w:val="ro-MD"/>
        </w:rPr>
        <w:t xml:space="preserve"> A, Banca Națională a Moldovei poate verifica</w:t>
      </w:r>
      <w:r w:rsidR="000F2E78" w:rsidRPr="000508B6">
        <w:rPr>
          <w:rFonts w:ascii="Times New Roman" w:eastAsia="Times New Roman" w:hAnsi="Times New Roman" w:cs="Times New Roman"/>
          <w:lang w:val="ro-MD"/>
        </w:rPr>
        <w:t xml:space="preserve"> suplimentar</w:t>
      </w:r>
      <w:r w:rsidRPr="000508B6">
        <w:rPr>
          <w:rFonts w:ascii="Times New Roman" w:eastAsia="Times New Roman" w:hAnsi="Times New Roman" w:cs="Times New Roman"/>
          <w:lang w:val="ro-MD"/>
        </w:rPr>
        <w:t xml:space="preserve">, pe bază de documente, următoarele: </w:t>
      </w:r>
    </w:p>
    <w:p w14:paraId="4113D257" w14:textId="68CFA97F" w:rsidR="003A0A2C" w:rsidRPr="000508B6" w:rsidRDefault="008A299A" w:rsidP="00CF5AFA">
      <w:pPr>
        <w:pStyle w:val="Listparagraf"/>
        <w:numPr>
          <w:ilvl w:val="0"/>
          <w:numId w:val="250"/>
        </w:numPr>
        <w:tabs>
          <w:tab w:val="left" w:pos="567"/>
          <w:tab w:val="left" w:pos="709"/>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dacă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dispune de </w:t>
      </w:r>
      <w:r w:rsidR="003A0A2C" w:rsidRPr="000508B6">
        <w:rPr>
          <w:rFonts w:ascii="Times New Roman" w:eastAsia="Times New Roman" w:hAnsi="Times New Roman" w:cs="Times New Roman"/>
          <w:lang w:val="ro-MD"/>
        </w:rPr>
        <w:t>personalul calificat necesar;</w:t>
      </w:r>
    </w:p>
    <w:p w14:paraId="748125C6" w14:textId="366A27F9" w:rsidR="003A0A2C" w:rsidRPr="000508B6" w:rsidRDefault="003A0A2C" w:rsidP="00CF5AFA">
      <w:pPr>
        <w:pStyle w:val="Listparagraf"/>
        <w:numPr>
          <w:ilvl w:val="0"/>
          <w:numId w:val="250"/>
        </w:numPr>
        <w:tabs>
          <w:tab w:val="left" w:pos="567"/>
          <w:tab w:val="left" w:pos="709"/>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dotarea cu echipament adecvat.</w:t>
      </w:r>
    </w:p>
    <w:p w14:paraId="7AF7D0CB" w14:textId="440D750A" w:rsidR="00307FFE" w:rsidRPr="000508B6" w:rsidRDefault="00307FFE" w:rsidP="00CF5AFA">
      <w:pPr>
        <w:pStyle w:val="Listparagraf"/>
        <w:numPr>
          <w:ilvl w:val="0"/>
          <w:numId w:val="246"/>
        </w:numPr>
        <w:tabs>
          <w:tab w:val="left" w:pos="709"/>
          <w:tab w:val="left" w:pos="993"/>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nu acordă licență </w:t>
      </w:r>
      <w:r w:rsidR="00531977" w:rsidRPr="000508B6">
        <w:rPr>
          <w:rFonts w:ascii="Times New Roman" w:eastAsia="Times New Roman" w:hAnsi="Times New Roman" w:cs="Times New Roman"/>
          <w:lang w:val="ro-MD"/>
        </w:rPr>
        <w:t xml:space="preserve">pentru </w:t>
      </w:r>
      <w:r w:rsidRPr="000508B6">
        <w:rPr>
          <w:rFonts w:ascii="Times New Roman" w:eastAsia="Times New Roman" w:hAnsi="Times New Roman" w:cs="Times New Roman"/>
          <w:lang w:val="ro-MD"/>
        </w:rPr>
        <w:t xml:space="preserve">desfășurarea activităților în cazul în care: </w:t>
      </w:r>
    </w:p>
    <w:p w14:paraId="1AC43525" w14:textId="59C3575D" w:rsidR="00307FFE" w:rsidRPr="000508B6" w:rsidRDefault="00307FFE" w:rsidP="00CF5AFA">
      <w:pPr>
        <w:pStyle w:val="Listparagraf"/>
        <w:numPr>
          <w:ilvl w:val="0"/>
          <w:numId w:val="253"/>
        </w:numPr>
        <w:tabs>
          <w:tab w:val="left" w:pos="567"/>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documentele prezentate nu sunt întocmite în conformitate cu </w:t>
      </w:r>
      <w:proofErr w:type="spellStart"/>
      <w:r w:rsidRPr="000508B6">
        <w:rPr>
          <w:rFonts w:ascii="Times New Roman" w:eastAsia="Times New Roman" w:hAnsi="Times New Roman" w:cs="Times New Roman"/>
          <w:lang w:val="ro-MD"/>
        </w:rPr>
        <w:t>dispoziţiile</w:t>
      </w:r>
      <w:proofErr w:type="spellEnd"/>
      <w:r w:rsidRPr="000508B6">
        <w:rPr>
          <w:rFonts w:ascii="Times New Roman" w:eastAsia="Times New Roman" w:hAnsi="Times New Roman" w:cs="Times New Roman"/>
          <w:lang w:val="ro-MD"/>
        </w:rPr>
        <w:t xml:space="preserve"> legale ori sunt incomplete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furnizate sunt neveridice sau insuficiente pentru evaluarea respectării </w:t>
      </w:r>
      <w:proofErr w:type="spellStart"/>
      <w:r w:rsidRPr="000508B6">
        <w:rPr>
          <w:rFonts w:ascii="Times New Roman" w:eastAsia="Times New Roman" w:hAnsi="Times New Roman" w:cs="Times New Roman"/>
          <w:lang w:val="ro-MD"/>
        </w:rPr>
        <w:t>condiţiilor</w:t>
      </w:r>
      <w:proofErr w:type="spellEnd"/>
      <w:r w:rsidRPr="000508B6">
        <w:rPr>
          <w:rFonts w:ascii="Times New Roman" w:eastAsia="Times New Roman" w:hAnsi="Times New Roman" w:cs="Times New Roman"/>
          <w:lang w:val="ro-MD"/>
        </w:rPr>
        <w:t>/cerințelor prevăzute pentru acordarea licenței;</w:t>
      </w:r>
      <w:r w:rsidR="00CF04EA" w:rsidRPr="000508B6">
        <w:rPr>
          <w:rFonts w:ascii="Times New Roman" w:eastAsia="Times New Roman" w:hAnsi="Times New Roman" w:cs="Times New Roman"/>
          <w:lang w:val="ro-MD"/>
        </w:rPr>
        <w:t xml:space="preserve"> </w:t>
      </w:r>
    </w:p>
    <w:p w14:paraId="74379A37" w14:textId="31C54633" w:rsidR="00307FFE" w:rsidRPr="000508B6" w:rsidRDefault="00307FFE" w:rsidP="00CF5AFA">
      <w:pPr>
        <w:pStyle w:val="Listparagraf"/>
        <w:numPr>
          <w:ilvl w:val="0"/>
          <w:numId w:val="253"/>
        </w:numPr>
        <w:tabs>
          <w:tab w:val="left" w:pos="567"/>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înainte de </w:t>
      </w:r>
      <w:proofErr w:type="spellStart"/>
      <w:r w:rsidRPr="000508B6">
        <w:rPr>
          <w:rFonts w:ascii="Times New Roman" w:eastAsia="Times New Roman" w:hAnsi="Times New Roman" w:cs="Times New Roman"/>
          <w:lang w:val="ro-MD"/>
        </w:rPr>
        <w:t>obţinerea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fondatorii au făcut comunicări publice cu privire la </w:t>
      </w:r>
      <w:proofErr w:type="spellStart"/>
      <w:r w:rsidRPr="000508B6">
        <w:rPr>
          <w:rFonts w:ascii="Times New Roman" w:eastAsia="Times New Roman" w:hAnsi="Times New Roman" w:cs="Times New Roman"/>
          <w:lang w:val="ro-MD"/>
        </w:rPr>
        <w:t>funcţionarea</w:t>
      </w:r>
      <w:proofErr w:type="spellEnd"/>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BF0249" w:rsidRPr="000508B6">
        <w:rPr>
          <w:rFonts w:ascii="Times New Roman" w:eastAsia="Times New Roman" w:hAnsi="Times New Roman" w:cs="Times New Roman"/>
          <w:lang w:val="ro-MD"/>
        </w:rPr>
        <w:t xml:space="preserve"> solicitant</w:t>
      </w:r>
      <w:r w:rsidRPr="000508B6">
        <w:rPr>
          <w:rFonts w:ascii="Times New Roman" w:eastAsia="Times New Roman" w:hAnsi="Times New Roman" w:cs="Times New Roman"/>
          <w:lang w:val="ro-MD"/>
        </w:rPr>
        <w:t>;</w:t>
      </w:r>
      <w:r w:rsidR="001D627D" w:rsidRPr="000508B6">
        <w:rPr>
          <w:rFonts w:ascii="Times New Roman" w:eastAsia="Times New Roman" w:hAnsi="Times New Roman" w:cs="Times New Roman"/>
          <w:lang w:val="ro-MD"/>
        </w:rPr>
        <w:t xml:space="preserve"> </w:t>
      </w:r>
    </w:p>
    <w:p w14:paraId="7D9E2C2E" w14:textId="58255BEB" w:rsidR="00535FC1" w:rsidRPr="000508B6" w:rsidRDefault="00535FC1" w:rsidP="00CF5AFA">
      <w:pPr>
        <w:pStyle w:val="Listparagraf"/>
        <w:numPr>
          <w:ilvl w:val="0"/>
          <w:numId w:val="253"/>
        </w:numPr>
        <w:tabs>
          <w:tab w:val="left" w:pos="567"/>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constată neîndeplinirea condițiilor pentru desfășurarea activității de asigurare sau de reasigurare.</w:t>
      </w:r>
    </w:p>
    <w:p w14:paraId="1E5BA3A7" w14:textId="5F466866" w:rsidR="00307FFE" w:rsidRPr="000508B6" w:rsidRDefault="00696BBD" w:rsidP="00CF5AFA">
      <w:pPr>
        <w:pStyle w:val="Listparagraf"/>
        <w:numPr>
          <w:ilvl w:val="0"/>
          <w:numId w:val="246"/>
        </w:numPr>
        <w:tabs>
          <w:tab w:val="left" w:pos="851"/>
          <w:tab w:val="left" w:pos="993"/>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00307FFE" w:rsidRPr="000508B6">
        <w:rPr>
          <w:rFonts w:ascii="Times New Roman" w:eastAsia="Times New Roman" w:hAnsi="Times New Roman" w:cs="Times New Roman"/>
          <w:lang w:val="ro-MD"/>
        </w:rPr>
        <w:t>ecizi</w:t>
      </w:r>
      <w:r w:rsidRPr="000508B6">
        <w:rPr>
          <w:rFonts w:ascii="Times New Roman" w:eastAsia="Times New Roman" w:hAnsi="Times New Roman" w:cs="Times New Roman"/>
          <w:lang w:val="ro-MD"/>
        </w:rPr>
        <w:t>a</w:t>
      </w:r>
      <w:r w:rsidR="00307FFE" w:rsidRPr="000508B6">
        <w:rPr>
          <w:rFonts w:ascii="Times New Roman" w:eastAsia="Times New Roman" w:hAnsi="Times New Roman" w:cs="Times New Roman"/>
          <w:lang w:val="ro-MD"/>
        </w:rPr>
        <w:t xml:space="preserve"> de refuz</w:t>
      </w:r>
      <w:r w:rsidRPr="000508B6">
        <w:rPr>
          <w:rFonts w:ascii="Times New Roman" w:eastAsia="Times New Roman" w:hAnsi="Times New Roman" w:cs="Times New Roman"/>
          <w:lang w:val="ro-MD"/>
        </w:rPr>
        <w:t xml:space="preserve"> a Băncii Naționale a Moldovei</w:t>
      </w:r>
      <w:r w:rsidR="00307FFE" w:rsidRPr="000508B6">
        <w:rPr>
          <w:rFonts w:ascii="Times New Roman" w:eastAsia="Times New Roman" w:hAnsi="Times New Roman" w:cs="Times New Roman"/>
          <w:lang w:val="ro-MD"/>
        </w:rPr>
        <w:t xml:space="preserve"> pentru acordarea </w:t>
      </w:r>
      <w:proofErr w:type="spellStart"/>
      <w:r w:rsidR="00307FFE" w:rsidRPr="000508B6">
        <w:rPr>
          <w:rFonts w:ascii="Times New Roman" w:eastAsia="Times New Roman" w:hAnsi="Times New Roman" w:cs="Times New Roman"/>
          <w:lang w:val="ro-MD"/>
        </w:rPr>
        <w:t>licenţei</w:t>
      </w:r>
      <w:proofErr w:type="spellEnd"/>
      <w:r w:rsidR="00307FFE" w:rsidRPr="000508B6">
        <w:rPr>
          <w:rFonts w:ascii="Times New Roman" w:eastAsia="Times New Roman" w:hAnsi="Times New Roman" w:cs="Times New Roman"/>
          <w:lang w:val="ro-MD"/>
        </w:rPr>
        <w:t xml:space="preserve"> </w:t>
      </w:r>
      <w:r w:rsidR="003533EB" w:rsidRPr="000508B6">
        <w:rPr>
          <w:rFonts w:ascii="Times New Roman" w:eastAsia="Times New Roman" w:hAnsi="Times New Roman" w:cs="Times New Roman"/>
          <w:lang w:val="ro-MD"/>
        </w:rPr>
        <w:t>este</w:t>
      </w:r>
      <w:r w:rsidR="00307FFE" w:rsidRPr="000508B6">
        <w:rPr>
          <w:rFonts w:ascii="Times New Roman" w:eastAsia="Times New Roman" w:hAnsi="Times New Roman" w:cs="Times New Roman"/>
          <w:lang w:val="ro-MD"/>
        </w:rPr>
        <w:t xml:space="preserve"> motivată în mod corespunzător </w:t>
      </w:r>
      <w:proofErr w:type="spellStart"/>
      <w:r w:rsidR="00307FFE" w:rsidRPr="000508B6">
        <w:rPr>
          <w:rFonts w:ascii="Times New Roman" w:eastAsia="Times New Roman" w:hAnsi="Times New Roman" w:cs="Times New Roman"/>
          <w:lang w:val="ro-MD"/>
        </w:rPr>
        <w:t>şi</w:t>
      </w:r>
      <w:proofErr w:type="spellEnd"/>
      <w:r w:rsidR="00307FFE" w:rsidRPr="000508B6">
        <w:rPr>
          <w:rFonts w:ascii="Times New Roman" w:eastAsia="Times New Roman" w:hAnsi="Times New Roman" w:cs="Times New Roman"/>
          <w:lang w:val="ro-MD"/>
        </w:rPr>
        <w:t xml:space="preserve"> </w:t>
      </w:r>
      <w:r w:rsidR="000F2E78" w:rsidRPr="000508B6">
        <w:rPr>
          <w:rFonts w:ascii="Times New Roman" w:eastAsia="Times New Roman" w:hAnsi="Times New Roman" w:cs="Times New Roman"/>
          <w:lang w:val="ro-MD"/>
        </w:rPr>
        <w:t>notificată</w:t>
      </w:r>
      <w:r w:rsidR="00307FFE"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BF0249" w:rsidRPr="000508B6">
        <w:rPr>
          <w:rFonts w:ascii="Times New Roman" w:eastAsia="Times New Roman" w:hAnsi="Times New Roman" w:cs="Times New Roman"/>
          <w:lang w:val="ro-MD"/>
        </w:rPr>
        <w:t xml:space="preserve"> solicitant</w:t>
      </w:r>
      <w:r w:rsidR="00307FFE" w:rsidRPr="000508B6">
        <w:rPr>
          <w:rFonts w:ascii="Times New Roman" w:eastAsia="Times New Roman" w:hAnsi="Times New Roman" w:cs="Times New Roman"/>
          <w:lang w:val="ro-MD"/>
        </w:rPr>
        <w:t xml:space="preserve">. </w:t>
      </w:r>
    </w:p>
    <w:p w14:paraId="3CA1F57D" w14:textId="34CACE4D" w:rsidR="00307FFE" w:rsidRPr="000508B6" w:rsidRDefault="00307FFE" w:rsidP="00CF5AFA">
      <w:pPr>
        <w:pStyle w:val="Listparagraf"/>
        <w:numPr>
          <w:ilvl w:val="0"/>
          <w:numId w:val="246"/>
        </w:numPr>
        <w:tabs>
          <w:tab w:val="left" w:pos="851"/>
          <w:tab w:val="left" w:pos="993"/>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Banca Națională a Moldovei respinge cererea de acordare a licenței sau dacă în termen de 6 luni de la data recepționării cererii nu comunică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solicitant nicio decizie cu privire la cerere, </w:t>
      </w:r>
      <w:r w:rsidR="00327746" w:rsidRPr="000508B6">
        <w:rPr>
          <w:rFonts w:ascii="Times New Roman" w:eastAsia="Times New Roman" w:hAnsi="Times New Roman" w:cs="Times New Roman"/>
          <w:lang w:val="ro-MD"/>
        </w:rPr>
        <w:t>sau în termen de 8 luni în cazul prevăzut la alin. (</w:t>
      </w:r>
      <w:r w:rsidR="00BF0249" w:rsidRPr="000508B6">
        <w:rPr>
          <w:rFonts w:ascii="Times New Roman" w:eastAsia="Times New Roman" w:hAnsi="Times New Roman" w:cs="Times New Roman"/>
          <w:lang w:val="ro-MD"/>
        </w:rPr>
        <w:t>2</w:t>
      </w:r>
      <w:r w:rsidR="00327746" w:rsidRPr="000508B6">
        <w:rPr>
          <w:rFonts w:ascii="Times New Roman" w:eastAsia="Times New Roman" w:hAnsi="Times New Roman" w:cs="Times New Roman"/>
          <w:lang w:val="ro-MD"/>
        </w:rPr>
        <w:t>5)</w:t>
      </w:r>
      <w:r w:rsidR="00836709">
        <w:rPr>
          <w:rFonts w:ascii="Times New Roman" w:eastAsia="Times New Roman" w:hAnsi="Times New Roman" w:cs="Times New Roman"/>
          <w:lang w:val="ro-MD"/>
        </w:rPr>
        <w:t>,</w:t>
      </w:r>
      <w:r w:rsidRPr="000508B6" w:rsidDel="000F2E78">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BF0249" w:rsidRPr="000508B6">
        <w:rPr>
          <w:rFonts w:ascii="Times New Roman" w:eastAsia="Times New Roman" w:hAnsi="Times New Roman" w:cs="Times New Roman"/>
          <w:lang w:val="ro-MD"/>
        </w:rPr>
        <w:t xml:space="preserve">solicitant </w:t>
      </w:r>
      <w:r w:rsidRPr="000508B6">
        <w:rPr>
          <w:rFonts w:ascii="Times New Roman" w:eastAsia="Times New Roman" w:hAnsi="Times New Roman" w:cs="Times New Roman"/>
          <w:lang w:val="ro-MD"/>
        </w:rPr>
        <w:t>are dreptul de a sesiza</w:t>
      </w:r>
      <w:r w:rsidR="006745A6" w:rsidRPr="000508B6">
        <w:rPr>
          <w:rFonts w:ascii="Times New Roman" w:eastAsia="Times New Roman" w:hAnsi="Times New Roman" w:cs="Times New Roman"/>
          <w:lang w:val="ro-MD"/>
        </w:rPr>
        <w:t xml:space="preserve"> </w:t>
      </w:r>
      <w:proofErr w:type="spellStart"/>
      <w:r w:rsidR="00FF1D64" w:rsidRPr="000508B6">
        <w:rPr>
          <w:rFonts w:ascii="Times New Roman" w:eastAsia="Times New Roman" w:hAnsi="Times New Roman" w:cs="Times New Roman"/>
          <w:lang w:val="ro-MD"/>
        </w:rPr>
        <w:t>instanţele</w:t>
      </w:r>
      <w:proofErr w:type="spellEnd"/>
      <w:r w:rsidR="00FF1D64"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de judecată </w:t>
      </w:r>
      <w:r w:rsidR="00FF1D64" w:rsidRPr="000508B6">
        <w:rPr>
          <w:rFonts w:ascii="Times New Roman" w:eastAsia="Times New Roman" w:hAnsi="Times New Roman" w:cs="Times New Roman"/>
          <w:lang w:val="ro-MD"/>
        </w:rPr>
        <w:t>competente</w:t>
      </w:r>
      <w:r w:rsidR="00484F78"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5EB2B5A5" w14:textId="12293881" w:rsidR="00A37D5B" w:rsidRPr="000508B6" w:rsidRDefault="00A37D5B" w:rsidP="00CF5AFA">
      <w:pPr>
        <w:numPr>
          <w:ilvl w:val="0"/>
          <w:numId w:val="246"/>
        </w:numPr>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 </w:t>
      </w:r>
      <w:r w:rsidR="00E94EC1" w:rsidRPr="000508B6">
        <w:rPr>
          <w:rFonts w:ascii="Times New Roman" w:eastAsia="Times New Roman" w:hAnsi="Times New Roman" w:cs="Times New Roman"/>
          <w:bCs/>
          <w:lang w:val="ro-MD"/>
        </w:rPr>
        <w:t>Asigurătorul</w:t>
      </w:r>
      <w:r w:rsidRPr="000508B6">
        <w:rPr>
          <w:rFonts w:ascii="Times New Roman" w:eastAsia="Times New Roman" w:hAnsi="Times New Roman" w:cs="Times New Roman"/>
          <w:bCs/>
          <w:lang w:val="ro-MD"/>
        </w:rPr>
        <w:t xml:space="preserve"> care solicită extinderea licenței la </w:t>
      </w:r>
      <w:r w:rsidRPr="000508B6">
        <w:rPr>
          <w:rFonts w:ascii="Times New Roman" w:eastAsia="Times New Roman" w:hAnsi="Times New Roman" w:cs="Times New Roman"/>
          <w:lang w:val="ro-MD"/>
        </w:rPr>
        <w:t xml:space="preserve">o nouă clasă de </w:t>
      </w:r>
      <w:r w:rsidR="000E36A7" w:rsidRPr="000508B6">
        <w:rPr>
          <w:rFonts w:ascii="Times New Roman" w:eastAsia="Times New Roman" w:hAnsi="Times New Roman" w:cs="Times New Roman"/>
          <w:lang w:val="ro-MD"/>
        </w:rPr>
        <w:t>asigurări</w:t>
      </w:r>
      <w:r w:rsidRPr="000508B6">
        <w:rPr>
          <w:rFonts w:ascii="Times New Roman" w:eastAsia="Times New Roman" w:hAnsi="Times New Roman" w:cs="Times New Roman"/>
          <w:lang w:val="ro-MD"/>
        </w:rPr>
        <w:t xml:space="preserve"> sau la alte riscuri dintr-o clasă </w:t>
      </w:r>
      <w:r w:rsidR="000E36A7" w:rsidRPr="000508B6">
        <w:rPr>
          <w:rFonts w:ascii="Times New Roman" w:eastAsia="Times New Roman" w:hAnsi="Times New Roman" w:cs="Times New Roman"/>
          <w:lang w:val="ro-MD"/>
        </w:rPr>
        <w:t xml:space="preserve">pentru care este </w:t>
      </w:r>
      <w:proofErr w:type="spellStart"/>
      <w:r w:rsidR="000E36A7" w:rsidRPr="000508B6">
        <w:rPr>
          <w:rFonts w:ascii="Times New Roman" w:eastAsia="Times New Roman" w:hAnsi="Times New Roman" w:cs="Times New Roman"/>
          <w:lang w:val="ro-MD"/>
        </w:rPr>
        <w:t>deţinută</w:t>
      </w:r>
      <w:proofErr w:type="spellEnd"/>
      <w:r w:rsidR="000E36A7" w:rsidRPr="000508B6">
        <w:rPr>
          <w:rFonts w:ascii="Times New Roman" w:eastAsia="Times New Roman" w:hAnsi="Times New Roman" w:cs="Times New Roman"/>
          <w:lang w:val="ro-MD"/>
        </w:rPr>
        <w:t xml:space="preserve"> </w:t>
      </w:r>
      <w:proofErr w:type="spellStart"/>
      <w:r w:rsidR="000E36A7"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bCs/>
          <w:lang w:val="ro-MD"/>
        </w:rPr>
        <w:t xml:space="preserve">, anexat la cerere prezintă: </w:t>
      </w:r>
    </w:p>
    <w:p w14:paraId="08EF5502" w14:textId="77777777" w:rsidR="00A37D5B" w:rsidRPr="000508B6" w:rsidRDefault="00A37D5B" w:rsidP="0092203B">
      <w:pPr>
        <w:numPr>
          <w:ilvl w:val="0"/>
          <w:numId w:val="252"/>
        </w:numPr>
        <w:tabs>
          <w:tab w:val="left" w:pos="142"/>
          <w:tab w:val="left" w:pos="284"/>
          <w:tab w:val="left" w:pos="426"/>
          <w:tab w:val="left" w:pos="709"/>
          <w:tab w:val="left" w:pos="851"/>
          <w:tab w:val="left" w:pos="993"/>
          <w:tab w:val="left" w:pos="1276"/>
        </w:tabs>
        <w:spacing w:after="0" w:line="240" w:lineRule="auto"/>
        <w:ind w:left="-142"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planul de afaceri, în conformitate cu art. 7;   </w:t>
      </w:r>
    </w:p>
    <w:p w14:paraId="18682BB2" w14:textId="77777777" w:rsidR="00206FB3" w:rsidRPr="000508B6" w:rsidRDefault="00A37D5B" w:rsidP="0092203B">
      <w:pPr>
        <w:numPr>
          <w:ilvl w:val="0"/>
          <w:numId w:val="252"/>
        </w:numPr>
        <w:tabs>
          <w:tab w:val="left" w:pos="567"/>
          <w:tab w:val="left" w:pos="709"/>
        </w:tabs>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dovada că </w:t>
      </w:r>
      <w:proofErr w:type="spellStart"/>
      <w:r w:rsidRPr="000508B6">
        <w:rPr>
          <w:rFonts w:ascii="Times New Roman" w:eastAsia="Times New Roman" w:hAnsi="Times New Roman" w:cs="Times New Roman"/>
          <w:bCs/>
          <w:lang w:val="ro-MD"/>
        </w:rPr>
        <w:t>deţin</w:t>
      </w:r>
      <w:r w:rsidR="003C3D72" w:rsidRPr="000508B6">
        <w:rPr>
          <w:rFonts w:ascii="Times New Roman" w:eastAsia="Times New Roman" w:hAnsi="Times New Roman" w:cs="Times New Roman"/>
          <w:bCs/>
          <w:lang w:val="ro-MD"/>
        </w:rPr>
        <w:t>e</w:t>
      </w:r>
      <w:proofErr w:type="spellEnd"/>
      <w:r w:rsidRPr="000508B6">
        <w:rPr>
          <w:rFonts w:ascii="Times New Roman" w:eastAsia="Times New Roman" w:hAnsi="Times New Roman" w:cs="Times New Roman"/>
          <w:bCs/>
          <w:lang w:val="ro-MD"/>
        </w:rPr>
        <w:t xml:space="preserve"> fonduri proprii eligibile pentru a acoperi SCR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MCR</w:t>
      </w:r>
      <w:r w:rsidR="00206FB3" w:rsidRPr="000508B6">
        <w:rPr>
          <w:rFonts w:ascii="Times New Roman" w:eastAsia="Times New Roman" w:hAnsi="Times New Roman" w:cs="Times New Roman"/>
          <w:bCs/>
          <w:lang w:val="ro-MD"/>
        </w:rPr>
        <w:t>;</w:t>
      </w:r>
    </w:p>
    <w:p w14:paraId="609CEDF0" w14:textId="7B892A36" w:rsidR="00A37D5B" w:rsidRPr="000508B6" w:rsidRDefault="00206FB3" w:rsidP="0092203B">
      <w:pPr>
        <w:numPr>
          <w:ilvl w:val="0"/>
          <w:numId w:val="252"/>
        </w:numPr>
        <w:tabs>
          <w:tab w:val="left" w:pos="567"/>
          <w:tab w:val="left" w:pos="709"/>
        </w:tabs>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alte documente prevăzute de actele normative ale Băncii Naționale a Moldovei.</w:t>
      </w:r>
      <w:r w:rsidR="00A37D5B" w:rsidRPr="000508B6">
        <w:rPr>
          <w:rFonts w:ascii="Times New Roman" w:eastAsia="Times New Roman" w:hAnsi="Times New Roman" w:cs="Times New Roman"/>
          <w:bCs/>
          <w:lang w:val="ro-MD"/>
        </w:rPr>
        <w:t xml:space="preserve">   </w:t>
      </w:r>
    </w:p>
    <w:p w14:paraId="26F55013" w14:textId="049FFA80" w:rsidR="00085524" w:rsidRPr="000508B6" w:rsidRDefault="00085524" w:rsidP="00CF5AFA">
      <w:pPr>
        <w:numPr>
          <w:ilvl w:val="0"/>
          <w:numId w:val="246"/>
        </w:numPr>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Fără a aduce atingere alin. (</w:t>
      </w:r>
      <w:r w:rsidR="009902D0" w:rsidRPr="000508B6">
        <w:rPr>
          <w:rFonts w:ascii="Times New Roman" w:eastAsia="Times New Roman" w:hAnsi="Times New Roman" w:cs="Times New Roman"/>
          <w:bCs/>
          <w:lang w:val="ro-MD"/>
        </w:rPr>
        <w:t>13</w:t>
      </w:r>
      <w:r w:rsidRPr="000508B6">
        <w:rPr>
          <w:rFonts w:ascii="Times New Roman" w:eastAsia="Times New Roman" w:hAnsi="Times New Roman" w:cs="Times New Roman"/>
          <w:bCs/>
          <w:lang w:val="ro-MD"/>
        </w:rPr>
        <w:t xml:space="preserve">), </w:t>
      </w:r>
      <w:r w:rsidR="00E94EC1" w:rsidRPr="000508B6">
        <w:rPr>
          <w:rFonts w:ascii="Times New Roman" w:eastAsia="Times New Roman" w:hAnsi="Times New Roman" w:cs="Times New Roman"/>
          <w:bCs/>
          <w:lang w:val="ro-MD"/>
        </w:rPr>
        <w:t>asigurătorul</w:t>
      </w:r>
      <w:r w:rsidRPr="000508B6">
        <w:rPr>
          <w:rFonts w:ascii="Times New Roman" w:eastAsia="Times New Roman" w:hAnsi="Times New Roman" w:cs="Times New Roman"/>
          <w:bCs/>
          <w:lang w:val="ro-MD"/>
        </w:rPr>
        <w:t xml:space="preserve"> care desfășoară </w:t>
      </w:r>
      <w:r w:rsidR="000165FC" w:rsidRPr="000508B6">
        <w:rPr>
          <w:rFonts w:ascii="Times New Roman" w:eastAsia="Times New Roman" w:hAnsi="Times New Roman" w:cs="Times New Roman"/>
          <w:bCs/>
          <w:lang w:val="ro-MD"/>
        </w:rPr>
        <w:t>activitate</w:t>
      </w:r>
      <w:r w:rsidRPr="000508B6">
        <w:rPr>
          <w:rFonts w:ascii="Times New Roman" w:eastAsia="Times New Roman" w:hAnsi="Times New Roman" w:cs="Times New Roman"/>
          <w:bCs/>
          <w:lang w:val="ro-MD"/>
        </w:rPr>
        <w:t xml:space="preserve"> de asigurare de viață și care solicită eliberarea licenței în vederea extinderii activității sale </w:t>
      </w:r>
      <w:r w:rsidR="003C3D72" w:rsidRPr="000508B6">
        <w:rPr>
          <w:rFonts w:ascii="Times New Roman" w:eastAsia="Times New Roman" w:hAnsi="Times New Roman" w:cs="Times New Roman"/>
          <w:bCs/>
          <w:lang w:val="ro-MD"/>
        </w:rPr>
        <w:t xml:space="preserve">cu </w:t>
      </w:r>
      <w:r w:rsidRPr="000508B6">
        <w:rPr>
          <w:rFonts w:ascii="Times New Roman" w:eastAsia="Times New Roman" w:hAnsi="Times New Roman" w:cs="Times New Roman"/>
          <w:bCs/>
          <w:lang w:val="ro-MD"/>
        </w:rPr>
        <w:t xml:space="preserve">riscurile incluse în clasa 1 sau 2 din </w:t>
      </w:r>
      <w:r w:rsidR="002C46E4" w:rsidRPr="000508B6">
        <w:rPr>
          <w:rFonts w:ascii="Times New Roman" w:eastAsia="Times New Roman" w:hAnsi="Times New Roman" w:cs="Times New Roman"/>
          <w:bCs/>
          <w:lang w:val="ro-MD"/>
        </w:rPr>
        <w:t>A</w:t>
      </w:r>
      <w:r w:rsidRPr="000508B6">
        <w:rPr>
          <w:rFonts w:ascii="Times New Roman" w:eastAsia="Times New Roman" w:hAnsi="Times New Roman" w:cs="Times New Roman"/>
          <w:bCs/>
          <w:lang w:val="ro-MD"/>
        </w:rPr>
        <w:t xml:space="preserve">nexa </w:t>
      </w:r>
      <w:r w:rsidR="002C46E4" w:rsidRPr="000508B6">
        <w:rPr>
          <w:rFonts w:ascii="Times New Roman" w:eastAsia="Times New Roman" w:hAnsi="Times New Roman" w:cs="Times New Roman"/>
          <w:bCs/>
          <w:lang w:val="ro-MD"/>
        </w:rPr>
        <w:t>nr.1</w:t>
      </w:r>
      <w:r w:rsidRPr="000508B6">
        <w:rPr>
          <w:rFonts w:ascii="Times New Roman" w:eastAsia="Times New Roman" w:hAnsi="Times New Roman" w:cs="Times New Roman"/>
          <w:bCs/>
          <w:lang w:val="ro-MD"/>
        </w:rPr>
        <w:t xml:space="preserve"> </w:t>
      </w:r>
      <w:r w:rsidR="00DB072F" w:rsidRPr="000508B6">
        <w:rPr>
          <w:rFonts w:ascii="Times New Roman" w:eastAsia="Times New Roman" w:hAnsi="Times New Roman" w:cs="Times New Roman"/>
          <w:bCs/>
          <w:lang w:val="ro-MD"/>
        </w:rPr>
        <w:t xml:space="preserve">Secțiunea </w:t>
      </w:r>
      <w:r w:rsidRPr="000508B6">
        <w:rPr>
          <w:rFonts w:ascii="Times New Roman" w:eastAsia="Times New Roman" w:hAnsi="Times New Roman" w:cs="Times New Roman"/>
          <w:bCs/>
          <w:lang w:val="ro-MD"/>
        </w:rPr>
        <w:t xml:space="preserve">A, în conformitate cu </w:t>
      </w:r>
      <w:r w:rsidR="004A71F1" w:rsidRPr="000508B6">
        <w:rPr>
          <w:rFonts w:ascii="Times New Roman" w:eastAsia="Times New Roman" w:hAnsi="Times New Roman" w:cs="Times New Roman"/>
          <w:bCs/>
          <w:lang w:val="ro-MD"/>
        </w:rPr>
        <w:t xml:space="preserve">art. </w:t>
      </w:r>
      <w:r w:rsidRPr="000508B6">
        <w:rPr>
          <w:rFonts w:ascii="Times New Roman" w:eastAsia="Times New Roman" w:hAnsi="Times New Roman" w:cs="Times New Roman"/>
          <w:bCs/>
          <w:lang w:val="ro-MD"/>
        </w:rPr>
        <w:t xml:space="preserve">37-38, demonstrează că: </w:t>
      </w:r>
    </w:p>
    <w:p w14:paraId="2C0DA3DF" w14:textId="1EC8A30D" w:rsidR="00085524" w:rsidRPr="000508B6" w:rsidRDefault="00085524" w:rsidP="0092203B">
      <w:pPr>
        <w:pStyle w:val="Listparagraf"/>
        <w:numPr>
          <w:ilvl w:val="0"/>
          <w:numId w:val="286"/>
        </w:numPr>
        <w:tabs>
          <w:tab w:val="left" w:pos="284"/>
          <w:tab w:val="left" w:pos="426"/>
          <w:tab w:val="left" w:pos="709"/>
          <w:tab w:val="left" w:pos="851"/>
          <w:tab w:val="left" w:pos="993"/>
        </w:tabs>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deține fondurile proprii eligibile de bază pentru a acoperi pragul absolut al MCR pentru </w:t>
      </w:r>
      <w:r w:rsidR="00E94EC1" w:rsidRPr="000508B6">
        <w:rPr>
          <w:rFonts w:ascii="Times New Roman" w:eastAsia="Times New Roman" w:hAnsi="Times New Roman" w:cs="Times New Roman"/>
          <w:bCs/>
          <w:lang w:val="ro-MD"/>
        </w:rPr>
        <w:t>asigurătorul care desfășoară activitate de asigurare</w:t>
      </w:r>
      <w:r w:rsidRPr="000508B6">
        <w:rPr>
          <w:rFonts w:ascii="Times New Roman" w:eastAsia="Times New Roman" w:hAnsi="Times New Roman" w:cs="Times New Roman"/>
          <w:bCs/>
          <w:lang w:val="ro-MD"/>
        </w:rPr>
        <w:t xml:space="preserve"> de viață și pragul absolut al MCR pentru </w:t>
      </w:r>
      <w:r w:rsidR="00C5163B" w:rsidRPr="000508B6">
        <w:rPr>
          <w:rFonts w:ascii="Times New Roman" w:eastAsia="Times New Roman" w:hAnsi="Times New Roman" w:cs="Times New Roman"/>
          <w:bCs/>
          <w:lang w:val="ro-MD"/>
        </w:rPr>
        <w:t>asigurător</w:t>
      </w:r>
      <w:r w:rsidR="00991D70" w:rsidRPr="000508B6">
        <w:rPr>
          <w:rFonts w:ascii="Times New Roman" w:eastAsia="Times New Roman" w:hAnsi="Times New Roman" w:cs="Times New Roman"/>
          <w:bCs/>
          <w:lang w:val="ro-MD"/>
        </w:rPr>
        <w:t>ul</w:t>
      </w:r>
      <w:r w:rsidR="00C5163B" w:rsidRPr="000508B6">
        <w:rPr>
          <w:rFonts w:ascii="Times New Roman" w:eastAsia="Times New Roman" w:hAnsi="Times New Roman" w:cs="Times New Roman"/>
          <w:bCs/>
          <w:lang w:val="ro-MD"/>
        </w:rPr>
        <w:t xml:space="preserve"> </w:t>
      </w:r>
      <w:r w:rsidR="00BA23CA" w:rsidRPr="000508B6">
        <w:rPr>
          <w:rFonts w:ascii="Times New Roman" w:eastAsia="Times New Roman" w:hAnsi="Times New Roman" w:cs="Times New Roman"/>
          <w:bCs/>
          <w:lang w:val="ro-MD"/>
        </w:rPr>
        <w:t xml:space="preserve">care desfășoară activitate </w:t>
      </w:r>
      <w:r w:rsidRPr="000508B6">
        <w:rPr>
          <w:rFonts w:ascii="Times New Roman" w:eastAsia="Times New Roman" w:hAnsi="Times New Roman" w:cs="Times New Roman"/>
          <w:bCs/>
          <w:lang w:val="ro-MD"/>
        </w:rPr>
        <w:t>de asigurare generală, prevăzute la art.</w:t>
      </w:r>
      <w:r w:rsidR="00BF6B23" w:rsidRPr="000508B6">
        <w:rPr>
          <w:rFonts w:ascii="Times New Roman" w:eastAsia="Times New Roman" w:hAnsi="Times New Roman" w:cs="Times New Roman"/>
          <w:bCs/>
          <w:lang w:val="ro-MD"/>
        </w:rPr>
        <w:t xml:space="preserve"> 88</w:t>
      </w:r>
      <w:r w:rsidRPr="000508B6">
        <w:rPr>
          <w:rFonts w:ascii="Times New Roman" w:eastAsia="Times New Roman" w:hAnsi="Times New Roman" w:cs="Times New Roman"/>
          <w:bCs/>
          <w:lang w:val="ro-MD"/>
        </w:rPr>
        <w:t xml:space="preserve"> alin. (</w:t>
      </w:r>
      <w:r w:rsidR="002C35B5"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 lit. d);</w:t>
      </w:r>
    </w:p>
    <w:p w14:paraId="225479FB" w14:textId="032B7E22" w:rsidR="00085524" w:rsidRPr="000508B6" w:rsidRDefault="00085524" w:rsidP="00CF5AFA">
      <w:pPr>
        <w:pStyle w:val="Listparagraf"/>
        <w:numPr>
          <w:ilvl w:val="0"/>
          <w:numId w:val="286"/>
        </w:numPr>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se angajează să acopere din acel moment obligațiile financiare minime prevăzute la art</w:t>
      </w:r>
      <w:r w:rsidR="00911CFE"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w:t>
      </w:r>
      <w:r w:rsidR="00540150" w:rsidRPr="000508B6">
        <w:rPr>
          <w:rFonts w:ascii="Times New Roman" w:eastAsia="Times New Roman" w:hAnsi="Times New Roman" w:cs="Times New Roman"/>
          <w:bCs/>
          <w:lang w:val="ro-MD"/>
        </w:rPr>
        <w:t>39</w:t>
      </w:r>
      <w:r w:rsidRPr="000508B6">
        <w:rPr>
          <w:rFonts w:ascii="Times New Roman" w:eastAsia="Times New Roman" w:hAnsi="Times New Roman" w:cs="Times New Roman"/>
          <w:bCs/>
          <w:lang w:val="ro-MD"/>
        </w:rPr>
        <w:t xml:space="preserve"> alin</w:t>
      </w:r>
      <w:r w:rsidR="00911CFE"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(3).  </w:t>
      </w:r>
    </w:p>
    <w:p w14:paraId="1DD84F1A" w14:textId="3E84ADB8" w:rsidR="00085524" w:rsidRPr="000508B6" w:rsidRDefault="00085524" w:rsidP="00CF5AFA">
      <w:pPr>
        <w:numPr>
          <w:ilvl w:val="0"/>
          <w:numId w:val="246"/>
        </w:numPr>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Fără a aduce atingere alin. (</w:t>
      </w:r>
      <w:r w:rsidR="009902D0" w:rsidRPr="000508B6">
        <w:rPr>
          <w:rFonts w:ascii="Times New Roman" w:eastAsia="Times New Roman" w:hAnsi="Times New Roman" w:cs="Times New Roman"/>
          <w:bCs/>
          <w:lang w:val="ro-MD"/>
        </w:rPr>
        <w:t>13</w:t>
      </w:r>
      <w:r w:rsidRPr="000508B6">
        <w:rPr>
          <w:rFonts w:ascii="Times New Roman" w:eastAsia="Times New Roman" w:hAnsi="Times New Roman" w:cs="Times New Roman"/>
          <w:bCs/>
          <w:lang w:val="ro-MD"/>
        </w:rPr>
        <w:t xml:space="preserve">), </w:t>
      </w:r>
      <w:r w:rsidR="00E15F96" w:rsidRPr="000508B6">
        <w:rPr>
          <w:rFonts w:ascii="Times New Roman" w:eastAsia="Times New Roman" w:hAnsi="Times New Roman" w:cs="Times New Roman"/>
          <w:bCs/>
          <w:lang w:val="ro-MD"/>
        </w:rPr>
        <w:t>asigurător</w:t>
      </w:r>
      <w:r w:rsidR="00A66BAA" w:rsidRPr="000508B6">
        <w:rPr>
          <w:rFonts w:ascii="Times New Roman" w:eastAsia="Times New Roman" w:hAnsi="Times New Roman" w:cs="Times New Roman"/>
          <w:bCs/>
          <w:lang w:val="ro-MD"/>
        </w:rPr>
        <w:t>ul</w:t>
      </w:r>
      <w:r w:rsidRPr="000508B6">
        <w:rPr>
          <w:rFonts w:ascii="Times New Roman" w:eastAsia="Times New Roman" w:hAnsi="Times New Roman" w:cs="Times New Roman"/>
          <w:bCs/>
          <w:lang w:val="ro-MD"/>
        </w:rPr>
        <w:t xml:space="preserve"> care desfășoară activități de asigurare generală pentru riscurile incluse în clasa 1 sau 2 din </w:t>
      </w:r>
      <w:r w:rsidR="002C46E4" w:rsidRPr="000508B6">
        <w:rPr>
          <w:rFonts w:ascii="Times New Roman" w:eastAsia="Times New Roman" w:hAnsi="Times New Roman" w:cs="Times New Roman"/>
          <w:bCs/>
          <w:lang w:val="ro-MD"/>
        </w:rPr>
        <w:t>Anexa nr.1</w:t>
      </w:r>
      <w:r w:rsidRPr="000508B6">
        <w:rPr>
          <w:rFonts w:ascii="Times New Roman" w:eastAsia="Times New Roman" w:hAnsi="Times New Roman" w:cs="Times New Roman"/>
          <w:bCs/>
          <w:lang w:val="ro-MD"/>
        </w:rPr>
        <w:t xml:space="preserve"> </w:t>
      </w:r>
      <w:r w:rsidR="00DB072F" w:rsidRPr="000508B6">
        <w:rPr>
          <w:rFonts w:ascii="Times New Roman" w:eastAsia="Times New Roman" w:hAnsi="Times New Roman" w:cs="Times New Roman"/>
          <w:bCs/>
          <w:lang w:val="ro-MD"/>
        </w:rPr>
        <w:t xml:space="preserve">Secțiunea </w:t>
      </w:r>
      <w:r w:rsidRPr="000508B6">
        <w:rPr>
          <w:rFonts w:ascii="Times New Roman" w:eastAsia="Times New Roman" w:hAnsi="Times New Roman" w:cs="Times New Roman"/>
          <w:bCs/>
          <w:lang w:val="ro-MD"/>
        </w:rPr>
        <w:t xml:space="preserve">A și care solicită licență în vederea extinderii activității sale la riscurile de asigurare de viață, în conformitate cu art. </w:t>
      </w:r>
      <w:r w:rsidR="00B77550" w:rsidRPr="000508B6">
        <w:rPr>
          <w:rFonts w:ascii="Times New Roman" w:eastAsia="Times New Roman" w:hAnsi="Times New Roman" w:cs="Times New Roman"/>
          <w:bCs/>
          <w:lang w:val="ro-MD"/>
        </w:rPr>
        <w:t>39</w:t>
      </w:r>
      <w:r w:rsidRPr="000508B6">
        <w:rPr>
          <w:rFonts w:ascii="Times New Roman" w:eastAsia="Times New Roman" w:hAnsi="Times New Roman" w:cs="Times New Roman"/>
          <w:bCs/>
          <w:lang w:val="ro-MD"/>
        </w:rPr>
        <w:t xml:space="preserve">, demonstrează că: </w:t>
      </w:r>
    </w:p>
    <w:p w14:paraId="0E5F65C6" w14:textId="2CFBED09" w:rsidR="00085524" w:rsidRPr="000508B6" w:rsidRDefault="00085524" w:rsidP="00CF5AFA">
      <w:pPr>
        <w:pStyle w:val="Listparagraf"/>
        <w:numPr>
          <w:ilvl w:val="0"/>
          <w:numId w:val="287"/>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deține fondurile proprii eligibile de bază pentru a acoperi pragul absolut al </w:t>
      </w:r>
      <w:r w:rsidR="00540150" w:rsidRPr="000508B6">
        <w:rPr>
          <w:rFonts w:ascii="Times New Roman" w:eastAsia="Times New Roman" w:hAnsi="Times New Roman" w:cs="Times New Roman"/>
          <w:bCs/>
          <w:lang w:val="ro-MD"/>
        </w:rPr>
        <w:t xml:space="preserve">MCR </w:t>
      </w:r>
      <w:r w:rsidRPr="000508B6">
        <w:rPr>
          <w:rFonts w:ascii="Times New Roman" w:eastAsia="Times New Roman" w:hAnsi="Times New Roman" w:cs="Times New Roman"/>
          <w:bCs/>
          <w:lang w:val="ro-MD"/>
        </w:rPr>
        <w:t xml:space="preserve">pentru </w:t>
      </w:r>
      <w:r w:rsidR="00A37F02" w:rsidRPr="000508B6">
        <w:rPr>
          <w:rFonts w:ascii="Times New Roman" w:eastAsia="Times New Roman" w:hAnsi="Times New Roman" w:cs="Times New Roman"/>
          <w:bCs/>
          <w:lang w:val="ro-MD"/>
        </w:rPr>
        <w:t>asigurătorul care desfășoară activitate</w:t>
      </w:r>
      <w:r w:rsidRPr="000508B6">
        <w:rPr>
          <w:rFonts w:ascii="Times New Roman" w:eastAsia="Times New Roman" w:hAnsi="Times New Roman" w:cs="Times New Roman"/>
          <w:bCs/>
          <w:lang w:val="ro-MD"/>
        </w:rPr>
        <w:t xml:space="preserve"> de viață și pragul absolut al </w:t>
      </w:r>
      <w:r w:rsidR="00911CFE" w:rsidRPr="000508B6">
        <w:rPr>
          <w:rFonts w:ascii="Times New Roman" w:eastAsia="Times New Roman" w:hAnsi="Times New Roman" w:cs="Times New Roman"/>
          <w:bCs/>
          <w:lang w:val="ro-MD"/>
        </w:rPr>
        <w:t>MCR</w:t>
      </w:r>
      <w:r w:rsidRPr="000508B6">
        <w:rPr>
          <w:rFonts w:ascii="Times New Roman" w:eastAsia="Times New Roman" w:hAnsi="Times New Roman" w:cs="Times New Roman"/>
          <w:bCs/>
          <w:lang w:val="ro-MD"/>
        </w:rPr>
        <w:t xml:space="preserve"> pentru </w:t>
      </w:r>
      <w:r w:rsidR="0017250B" w:rsidRPr="000508B6">
        <w:rPr>
          <w:rFonts w:ascii="Times New Roman" w:eastAsia="Times New Roman" w:hAnsi="Times New Roman" w:cs="Times New Roman"/>
          <w:bCs/>
          <w:lang w:val="ro-MD"/>
        </w:rPr>
        <w:t>asigurătorul</w:t>
      </w:r>
      <w:r w:rsidR="00C5163B" w:rsidRPr="000508B6">
        <w:rPr>
          <w:rFonts w:ascii="Times New Roman" w:eastAsia="Times New Roman" w:hAnsi="Times New Roman" w:cs="Times New Roman"/>
          <w:bCs/>
          <w:lang w:val="ro-MD"/>
        </w:rPr>
        <w:t xml:space="preserve"> </w:t>
      </w:r>
      <w:r w:rsidR="00BA23CA" w:rsidRPr="000508B6">
        <w:rPr>
          <w:rFonts w:ascii="Times New Roman" w:eastAsia="Times New Roman" w:hAnsi="Times New Roman" w:cs="Times New Roman"/>
          <w:bCs/>
          <w:lang w:val="ro-MD"/>
        </w:rPr>
        <w:t xml:space="preserve">care desfășoară activitate </w:t>
      </w:r>
      <w:r w:rsidRPr="000508B6">
        <w:rPr>
          <w:rFonts w:ascii="Times New Roman" w:eastAsia="Times New Roman" w:hAnsi="Times New Roman" w:cs="Times New Roman"/>
          <w:bCs/>
          <w:lang w:val="ro-MD"/>
        </w:rPr>
        <w:t xml:space="preserve">de asigurare generală, prevăzute la art. </w:t>
      </w:r>
      <w:r w:rsidR="0021663B" w:rsidRPr="000508B6">
        <w:rPr>
          <w:rFonts w:ascii="Times New Roman" w:eastAsia="Times New Roman" w:hAnsi="Times New Roman" w:cs="Times New Roman"/>
          <w:bCs/>
          <w:lang w:val="ro-MD"/>
        </w:rPr>
        <w:t xml:space="preserve">88 </w:t>
      </w:r>
      <w:r w:rsidRPr="000508B6">
        <w:rPr>
          <w:rFonts w:ascii="Times New Roman" w:eastAsia="Times New Roman" w:hAnsi="Times New Roman" w:cs="Times New Roman"/>
          <w:bCs/>
          <w:lang w:val="ro-MD"/>
        </w:rPr>
        <w:t>alin.  (</w:t>
      </w:r>
      <w:r w:rsidR="002C35B5"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 lit. d);</w:t>
      </w:r>
    </w:p>
    <w:p w14:paraId="7CD021C9" w14:textId="348FB67F" w:rsidR="00085524" w:rsidRPr="000508B6" w:rsidRDefault="00085524" w:rsidP="00CF5AFA">
      <w:pPr>
        <w:pStyle w:val="Listparagraf"/>
        <w:numPr>
          <w:ilvl w:val="0"/>
          <w:numId w:val="287"/>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se angajează să acopere din acel moment obligațiile financiare minime prevăzute la art. </w:t>
      </w:r>
      <w:r w:rsidR="00234910" w:rsidRPr="000508B6">
        <w:rPr>
          <w:rFonts w:ascii="Times New Roman" w:eastAsia="Times New Roman" w:hAnsi="Times New Roman" w:cs="Times New Roman"/>
          <w:bCs/>
          <w:lang w:val="ro-MD"/>
        </w:rPr>
        <w:t>39</w:t>
      </w:r>
      <w:r w:rsidR="0021663B"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alin. (3).</w:t>
      </w:r>
    </w:p>
    <w:p w14:paraId="588B2A33" w14:textId="7BFA411A" w:rsidR="009F35FC" w:rsidRPr="000508B6" w:rsidRDefault="00540150" w:rsidP="00CF5AFA">
      <w:pPr>
        <w:numPr>
          <w:ilvl w:val="0"/>
          <w:numId w:val="246"/>
        </w:numPr>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lang w:val="ro-MD"/>
        </w:rPr>
        <w:t xml:space="preserve">Banca Națională a Moldovei decide cu privire la acordarea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în termen de cel mult 2 luni de la data recepționării documentelor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aferente cererii de extindere a </w:t>
      </w:r>
      <w:proofErr w:type="spellStart"/>
      <w:r w:rsidRPr="000508B6">
        <w:rPr>
          <w:rFonts w:ascii="Times New Roman" w:eastAsia="Times New Roman" w:hAnsi="Times New Roman" w:cs="Times New Roman"/>
          <w:lang w:val="ro-MD"/>
        </w:rPr>
        <w:t>licenţei</w:t>
      </w:r>
      <w:proofErr w:type="spellEnd"/>
      <w:r w:rsidR="00A37D5B" w:rsidRPr="000508B6">
        <w:rPr>
          <w:rFonts w:ascii="Times New Roman" w:eastAsia="Times New Roman" w:hAnsi="Times New Roman" w:cs="Times New Roman"/>
          <w:bCs/>
          <w:lang w:val="ro-MD"/>
        </w:rPr>
        <w:t>.</w:t>
      </w:r>
    </w:p>
    <w:p w14:paraId="7F610393" w14:textId="74589CEC" w:rsidR="00A37D5B" w:rsidRPr="000508B6" w:rsidRDefault="00380E7B" w:rsidP="00CF5AFA">
      <w:pPr>
        <w:numPr>
          <w:ilvl w:val="0"/>
          <w:numId w:val="246"/>
        </w:numPr>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Banca Națională a Moldovei respinge cererea privind extinderea licenței </w:t>
      </w:r>
      <w:r w:rsidR="009F35FC" w:rsidRPr="000508B6">
        <w:rPr>
          <w:rFonts w:ascii="Times New Roman" w:eastAsia="Times New Roman" w:hAnsi="Times New Roman" w:cs="Times New Roman"/>
          <w:bCs/>
          <w:lang w:val="ro-MD"/>
        </w:rPr>
        <w:t xml:space="preserve">în temeiurile prevăzute în alin. (10), precum și </w:t>
      </w:r>
      <w:r w:rsidRPr="000508B6">
        <w:rPr>
          <w:rFonts w:ascii="Times New Roman" w:eastAsia="Times New Roman" w:hAnsi="Times New Roman" w:cs="Times New Roman"/>
          <w:bCs/>
          <w:lang w:val="ro-MD"/>
        </w:rPr>
        <w:t xml:space="preserve">în cazul în care constată că activitatea propusă a fi </w:t>
      </w:r>
      <w:proofErr w:type="spellStart"/>
      <w:r w:rsidRPr="000508B6">
        <w:rPr>
          <w:rFonts w:ascii="Times New Roman" w:eastAsia="Times New Roman" w:hAnsi="Times New Roman" w:cs="Times New Roman"/>
          <w:bCs/>
          <w:lang w:val="ro-MD"/>
        </w:rPr>
        <w:t>desfăşurată</w:t>
      </w:r>
      <w:proofErr w:type="spellEnd"/>
      <w:r w:rsidRPr="000508B6">
        <w:rPr>
          <w:rFonts w:ascii="Times New Roman" w:eastAsia="Times New Roman" w:hAnsi="Times New Roman" w:cs="Times New Roman"/>
          <w:bCs/>
          <w:lang w:val="ro-MD"/>
        </w:rPr>
        <w:t xml:space="preserve"> ar putea avea un impact negativ asupra </w:t>
      </w:r>
      <w:proofErr w:type="spellStart"/>
      <w:r w:rsidRPr="000508B6">
        <w:rPr>
          <w:rFonts w:ascii="Times New Roman" w:eastAsia="Times New Roman" w:hAnsi="Times New Roman" w:cs="Times New Roman"/>
          <w:bCs/>
          <w:lang w:val="ro-MD"/>
        </w:rPr>
        <w:t>capacităţii</w:t>
      </w:r>
      <w:proofErr w:type="spellEnd"/>
      <w:r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de a respecta </w:t>
      </w:r>
      <w:proofErr w:type="spellStart"/>
      <w:r w:rsidRPr="000508B6">
        <w:rPr>
          <w:rFonts w:ascii="Times New Roman" w:eastAsia="Times New Roman" w:hAnsi="Times New Roman" w:cs="Times New Roman"/>
          <w:bCs/>
          <w:lang w:val="ro-MD"/>
        </w:rPr>
        <w:t>cerinţele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prudenţiale</w:t>
      </w:r>
      <w:proofErr w:type="spellEnd"/>
      <w:r w:rsidRPr="000508B6">
        <w:rPr>
          <w:rFonts w:ascii="Times New Roman" w:eastAsia="Times New Roman" w:hAnsi="Times New Roman" w:cs="Times New Roman"/>
          <w:bCs/>
          <w:lang w:val="ro-MD"/>
        </w:rPr>
        <w:t xml:space="preserve"> conform prevederilor prezentei legi.</w:t>
      </w:r>
    </w:p>
    <w:p w14:paraId="2D818B01" w14:textId="220AC615" w:rsidR="00F64765" w:rsidRPr="000508B6" w:rsidRDefault="004125E8" w:rsidP="00CF5AFA">
      <w:pPr>
        <w:pStyle w:val="Listparagraf"/>
        <w:numPr>
          <w:ilvl w:val="0"/>
          <w:numId w:val="246"/>
        </w:numPr>
        <w:tabs>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00F64765" w:rsidRPr="000508B6">
        <w:rPr>
          <w:rFonts w:ascii="Times New Roman" w:eastAsia="Times New Roman" w:hAnsi="Times New Roman" w:cs="Times New Roman"/>
          <w:bCs/>
          <w:lang w:val="ro-MD"/>
        </w:rPr>
        <w:t xml:space="preserve"> transmite Băncii Naționale a Moldovei</w:t>
      </w:r>
      <w:r w:rsidR="00B340C9" w:rsidRPr="000508B6">
        <w:rPr>
          <w:rFonts w:ascii="Times New Roman" w:eastAsia="Times New Roman" w:hAnsi="Times New Roman" w:cs="Times New Roman"/>
          <w:bCs/>
          <w:lang w:val="ro-MD"/>
        </w:rPr>
        <w:t>, cât de curând posibil,</w:t>
      </w:r>
      <w:r w:rsidR="00F64765" w:rsidRPr="000508B6">
        <w:rPr>
          <w:rFonts w:ascii="Times New Roman" w:eastAsia="Times New Roman" w:hAnsi="Times New Roman" w:cs="Times New Roman"/>
          <w:bCs/>
          <w:lang w:val="ro-MD"/>
        </w:rPr>
        <w:t xml:space="preserve"> modificările apărute în documentele pe baza cărora a fost acordată licența</w:t>
      </w:r>
      <w:r w:rsidR="00CB5C5E" w:rsidRPr="000508B6">
        <w:rPr>
          <w:rFonts w:ascii="Times New Roman" w:eastAsia="Times New Roman" w:hAnsi="Times New Roman" w:cs="Times New Roman"/>
          <w:bCs/>
          <w:lang w:val="ro-MD"/>
        </w:rPr>
        <w:t>, inclusiv în situațiile menționate la art. 5 alin. (</w:t>
      </w:r>
      <w:r w:rsidR="00730F2A" w:rsidRPr="000508B6">
        <w:rPr>
          <w:rFonts w:ascii="Times New Roman" w:eastAsia="Times New Roman" w:hAnsi="Times New Roman" w:cs="Times New Roman"/>
          <w:bCs/>
          <w:lang w:val="ro-MD"/>
        </w:rPr>
        <w:t>9</w:t>
      </w:r>
      <w:r w:rsidR="00CB5C5E" w:rsidRPr="000508B6">
        <w:rPr>
          <w:rFonts w:ascii="Times New Roman" w:eastAsia="Times New Roman" w:hAnsi="Times New Roman" w:cs="Times New Roman"/>
          <w:bCs/>
          <w:lang w:val="ro-MD"/>
        </w:rPr>
        <w:t>) lit.</w:t>
      </w:r>
      <w:r w:rsidR="00FA4A4C" w:rsidRPr="000508B6">
        <w:rPr>
          <w:rFonts w:ascii="Times New Roman" w:eastAsia="Times New Roman" w:hAnsi="Times New Roman" w:cs="Times New Roman"/>
          <w:bCs/>
          <w:lang w:val="ro-MD"/>
        </w:rPr>
        <w:t xml:space="preserve"> </w:t>
      </w:r>
      <w:r w:rsidR="0017250B" w:rsidRPr="000508B6">
        <w:rPr>
          <w:rFonts w:ascii="Times New Roman" w:eastAsia="Times New Roman" w:hAnsi="Times New Roman" w:cs="Times New Roman"/>
          <w:bCs/>
          <w:lang w:val="ro-MD"/>
        </w:rPr>
        <w:t>h</w:t>
      </w:r>
      <w:r w:rsidR="00CB5C5E" w:rsidRPr="000508B6">
        <w:rPr>
          <w:rFonts w:ascii="Times New Roman" w:eastAsia="Times New Roman" w:hAnsi="Times New Roman" w:cs="Times New Roman"/>
          <w:bCs/>
          <w:lang w:val="ro-MD"/>
        </w:rPr>
        <w:t>).</w:t>
      </w:r>
      <w:r w:rsidR="00CC6399" w:rsidRPr="000508B6">
        <w:rPr>
          <w:rFonts w:ascii="Times New Roman" w:eastAsia="Times New Roman" w:hAnsi="Times New Roman" w:cs="Times New Roman"/>
          <w:bCs/>
          <w:lang w:val="ro-MD"/>
        </w:rPr>
        <w:t xml:space="preserve"> </w:t>
      </w:r>
    </w:p>
    <w:p w14:paraId="741F1FD1" w14:textId="140849FD" w:rsidR="00D11F83" w:rsidRPr="000508B6" w:rsidRDefault="004125E8" w:rsidP="00CF5AFA">
      <w:pPr>
        <w:pStyle w:val="Listparagraf"/>
        <w:numPr>
          <w:ilvl w:val="0"/>
          <w:numId w:val="246"/>
        </w:numPr>
        <w:tabs>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Asigurătorul sau </w:t>
      </w:r>
      <w:proofErr w:type="spellStart"/>
      <w:r w:rsidRPr="000508B6">
        <w:rPr>
          <w:rFonts w:ascii="Times New Roman" w:eastAsia="Times New Roman" w:hAnsi="Times New Roman" w:cs="Times New Roman"/>
          <w:lang w:val="ro-MD"/>
        </w:rPr>
        <w:t>reasigurătorul</w:t>
      </w:r>
      <w:proofErr w:type="spellEnd"/>
      <w:r w:rsidR="00D11F83" w:rsidRPr="000508B6">
        <w:rPr>
          <w:rFonts w:ascii="Times New Roman" w:eastAsia="Times New Roman" w:hAnsi="Times New Roman" w:cs="Times New Roman"/>
          <w:lang w:val="ro-MD"/>
        </w:rPr>
        <w:t xml:space="preserve"> ori sucursala acest</w:t>
      </w:r>
      <w:r w:rsidR="00BB5305" w:rsidRPr="000508B6">
        <w:rPr>
          <w:rFonts w:ascii="Times New Roman" w:eastAsia="Times New Roman" w:hAnsi="Times New Roman" w:cs="Times New Roman"/>
          <w:lang w:val="ro-MD"/>
        </w:rPr>
        <w:t>uia</w:t>
      </w:r>
      <w:r w:rsidR="00D11F83" w:rsidRPr="000508B6">
        <w:rPr>
          <w:rFonts w:ascii="Times New Roman" w:eastAsia="Times New Roman" w:hAnsi="Times New Roman" w:cs="Times New Roman"/>
          <w:lang w:val="ro-MD"/>
        </w:rPr>
        <w:t xml:space="preserve"> poate avea subdiviziuni structurale situate în afara sediului său, care desfășoară activități determinate de către </w:t>
      </w:r>
      <w:r w:rsidR="00156E11" w:rsidRPr="000508B6">
        <w:rPr>
          <w:rFonts w:ascii="Times New Roman" w:eastAsia="Times New Roman" w:hAnsi="Times New Roman" w:cs="Times New Roman"/>
          <w:lang w:val="ro-MD"/>
        </w:rPr>
        <w:t xml:space="preserve">asigurător sau </w:t>
      </w:r>
      <w:proofErr w:type="spellStart"/>
      <w:r w:rsidR="00156E11" w:rsidRPr="000508B6">
        <w:rPr>
          <w:rFonts w:ascii="Times New Roman" w:eastAsia="Times New Roman" w:hAnsi="Times New Roman" w:cs="Times New Roman"/>
          <w:lang w:val="ro-MD"/>
        </w:rPr>
        <w:t>reasigurător</w:t>
      </w:r>
      <w:proofErr w:type="spellEnd"/>
      <w:r w:rsidR="00156E11" w:rsidRPr="000508B6">
        <w:rPr>
          <w:rFonts w:ascii="Times New Roman" w:eastAsia="Times New Roman" w:hAnsi="Times New Roman" w:cs="Times New Roman"/>
          <w:lang w:val="ro-MD"/>
        </w:rPr>
        <w:t xml:space="preserve"> </w:t>
      </w:r>
      <w:r w:rsidR="00D11F83" w:rsidRPr="000508B6">
        <w:rPr>
          <w:rFonts w:ascii="Times New Roman" w:eastAsia="Times New Roman" w:hAnsi="Times New Roman" w:cs="Times New Roman"/>
          <w:lang w:val="ro-MD"/>
        </w:rPr>
        <w:t xml:space="preserve">în conformitate cu licența deținută de către acesta. Cerințele </w:t>
      </w:r>
      <w:r w:rsidR="008B46DD" w:rsidRPr="000508B6">
        <w:rPr>
          <w:rFonts w:ascii="Times New Roman" w:eastAsia="Times New Roman" w:hAnsi="Times New Roman" w:cs="Times New Roman"/>
          <w:lang w:val="ro-MD"/>
        </w:rPr>
        <w:t xml:space="preserve">față de subdiviziune structurală se stabilesc în actele normative ale Băncii Naționale a Moldovei. </w:t>
      </w:r>
      <w:r w:rsidR="00D11F83" w:rsidRPr="000508B6">
        <w:rPr>
          <w:rFonts w:ascii="Times New Roman" w:eastAsia="Times New Roman" w:hAnsi="Times New Roman" w:cs="Times New Roman"/>
          <w:lang w:val="ro-MD"/>
        </w:rPr>
        <w:t xml:space="preserve">Cerințele de constituire </w:t>
      </w:r>
      <w:r w:rsidR="00426A39" w:rsidRPr="000508B6">
        <w:rPr>
          <w:rFonts w:ascii="Times New Roman" w:eastAsia="Times New Roman" w:hAnsi="Times New Roman" w:cs="Times New Roman"/>
          <w:lang w:val="ro-MD"/>
        </w:rPr>
        <w:t xml:space="preserve">de către </w:t>
      </w:r>
      <w:r w:rsidR="00156E11" w:rsidRPr="000508B6">
        <w:rPr>
          <w:rFonts w:ascii="Times New Roman" w:eastAsia="Times New Roman" w:hAnsi="Times New Roman" w:cs="Times New Roman"/>
          <w:lang w:val="ro-MD"/>
        </w:rPr>
        <w:t xml:space="preserve">asigurător </w:t>
      </w:r>
      <w:r w:rsidR="008B46DD" w:rsidRPr="000508B6">
        <w:rPr>
          <w:rFonts w:ascii="Times New Roman" w:eastAsia="Times New Roman" w:hAnsi="Times New Roman" w:cs="Times New Roman"/>
          <w:lang w:val="ro-MD"/>
        </w:rPr>
        <w:t>din Republica Moldova</w:t>
      </w:r>
      <w:r w:rsidR="00156E11" w:rsidRPr="000508B6">
        <w:rPr>
          <w:rFonts w:ascii="Times New Roman" w:eastAsia="Times New Roman" w:hAnsi="Times New Roman" w:cs="Times New Roman"/>
          <w:lang w:val="ro-MD"/>
        </w:rPr>
        <w:t xml:space="preserve"> </w:t>
      </w:r>
      <w:r w:rsidR="00D11F83" w:rsidRPr="000508B6">
        <w:rPr>
          <w:rFonts w:ascii="Times New Roman" w:eastAsia="Times New Roman" w:hAnsi="Times New Roman" w:cs="Times New Roman"/>
          <w:lang w:val="ro-MD"/>
        </w:rPr>
        <w:t>a</w:t>
      </w:r>
      <w:r w:rsidR="00426A39" w:rsidRPr="000508B6">
        <w:rPr>
          <w:rFonts w:ascii="Times New Roman" w:eastAsia="Times New Roman" w:hAnsi="Times New Roman" w:cs="Times New Roman"/>
          <w:lang w:val="ro-MD"/>
        </w:rPr>
        <w:t xml:space="preserve"> unei sucursale în</w:t>
      </w:r>
      <w:r w:rsidR="00775325" w:rsidRPr="000508B6">
        <w:rPr>
          <w:rFonts w:ascii="Times New Roman" w:eastAsia="Times New Roman" w:hAnsi="Times New Roman" w:cs="Times New Roman"/>
          <w:lang w:val="ro-MD"/>
        </w:rPr>
        <w:t>tr-un</w:t>
      </w:r>
      <w:r w:rsidR="00426A39" w:rsidRPr="000508B6">
        <w:rPr>
          <w:rFonts w:ascii="Times New Roman" w:eastAsia="Times New Roman" w:hAnsi="Times New Roman" w:cs="Times New Roman"/>
          <w:lang w:val="ro-MD"/>
        </w:rPr>
        <w:t xml:space="preserve"> stat terț, </w:t>
      </w:r>
      <w:r w:rsidR="00D11F83" w:rsidRPr="000508B6">
        <w:rPr>
          <w:rFonts w:ascii="Times New Roman" w:eastAsia="Times New Roman" w:hAnsi="Times New Roman" w:cs="Times New Roman"/>
          <w:lang w:val="ro-MD"/>
        </w:rPr>
        <w:t>se stabilesc prin actele normative ale Băncii Naționale a Moldovei.</w:t>
      </w:r>
    </w:p>
    <w:p w14:paraId="31E3E27E" w14:textId="4D46D5D6" w:rsidR="00D11F83" w:rsidRPr="000508B6" w:rsidRDefault="00D11F83" w:rsidP="00CF5AFA">
      <w:pPr>
        <w:pStyle w:val="Listparagraf"/>
        <w:numPr>
          <w:ilvl w:val="0"/>
          <w:numId w:val="246"/>
        </w:numPr>
        <w:tabs>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Cerințele privind eliberarea duplicatelor și copiilor autorizate de pe licență se stabilesc prin actele normative ale Băncii Naționale a Moldovei.</w:t>
      </w:r>
    </w:p>
    <w:p w14:paraId="46082610" w14:textId="57176E13" w:rsidR="00D447B4" w:rsidRPr="000508B6" w:rsidRDefault="00D447B4" w:rsidP="0092203B">
      <w:pPr>
        <w:tabs>
          <w:tab w:val="left" w:pos="426"/>
          <w:tab w:val="left" w:pos="851"/>
        </w:tabs>
        <w:spacing w:after="0" w:line="240" w:lineRule="auto"/>
        <w:ind w:firstLine="426"/>
        <w:jc w:val="both"/>
        <w:rPr>
          <w:rFonts w:ascii="Times New Roman" w:eastAsia="Times New Roman" w:hAnsi="Times New Roman" w:cs="Times New Roman"/>
          <w:lang w:val="ro-MD"/>
        </w:rPr>
      </w:pPr>
      <w:bookmarkStart w:id="35" w:name="_Hlk180052380"/>
      <w:r w:rsidRPr="000508B6">
        <w:rPr>
          <w:rFonts w:ascii="Times New Roman" w:eastAsia="Times New Roman" w:hAnsi="Times New Roman" w:cs="Times New Roman"/>
          <w:lang w:val="ro-MD"/>
        </w:rPr>
        <w:t>(</w:t>
      </w:r>
      <w:r w:rsidR="00004664" w:rsidRPr="000508B6">
        <w:rPr>
          <w:rFonts w:ascii="Times New Roman" w:eastAsia="Times New Roman" w:hAnsi="Times New Roman" w:cs="Times New Roman"/>
          <w:bCs/>
          <w:lang w:val="ro-MD"/>
        </w:rPr>
        <w:t>21</w:t>
      </w:r>
      <w:r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ab/>
        <w:t xml:space="preserve">Banca Națională a Moldovei consultă supraveghetorii din statele membre înainte de a acorda licență </w:t>
      </w:r>
      <w:r w:rsidR="00156E11" w:rsidRPr="000508B6">
        <w:rPr>
          <w:rFonts w:ascii="Times New Roman" w:eastAsia="Times New Roman" w:hAnsi="Times New Roman" w:cs="Times New Roman"/>
          <w:lang w:val="ro-MD"/>
        </w:rPr>
        <w:t>unui</w:t>
      </w:r>
      <w:r w:rsidRPr="000508B6" w:rsidDel="00156E11">
        <w:rPr>
          <w:rFonts w:ascii="Times New Roman" w:eastAsia="Times New Roman" w:hAnsi="Times New Roman" w:cs="Times New Roman"/>
          <w:lang w:val="ro-MD"/>
        </w:rPr>
        <w:t xml:space="preserve"> </w:t>
      </w:r>
      <w:r w:rsidR="00156E11" w:rsidRPr="000508B6">
        <w:rPr>
          <w:rFonts w:ascii="Times New Roman" w:eastAsia="Times New Roman" w:hAnsi="Times New Roman" w:cs="Times New Roman"/>
          <w:lang w:val="ro-MD"/>
        </w:rPr>
        <w:t xml:space="preserve">asigurător sau </w:t>
      </w:r>
      <w:proofErr w:type="spellStart"/>
      <w:r w:rsidR="00156E11" w:rsidRPr="000508B6">
        <w:rPr>
          <w:rFonts w:ascii="Times New Roman" w:eastAsia="Times New Roman" w:hAnsi="Times New Roman" w:cs="Times New Roman"/>
          <w:lang w:val="ro-MD"/>
        </w:rPr>
        <w:t>reasigurător</w:t>
      </w:r>
      <w:proofErr w:type="spellEnd"/>
      <w:r w:rsidR="00156E1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care este:</w:t>
      </w:r>
    </w:p>
    <w:p w14:paraId="41A91FA2" w14:textId="6EC08F89" w:rsidR="00D447B4" w:rsidRPr="000508B6" w:rsidRDefault="00D447B4" w:rsidP="00D447B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t xml:space="preserve">filiala </w:t>
      </w:r>
      <w:r w:rsidRPr="000508B6">
        <w:rPr>
          <w:rFonts w:ascii="Times New Roman" w:eastAsia="Times New Roman" w:hAnsi="Times New Roman" w:cs="Times New Roman"/>
          <w:bCs/>
          <w:lang w:val="ro-MD"/>
        </w:rPr>
        <w:t>un</w:t>
      </w:r>
      <w:r w:rsidR="00BF0249"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i </w:t>
      </w:r>
      <w:r w:rsidR="00BF0249" w:rsidRPr="000508B6">
        <w:rPr>
          <w:rFonts w:ascii="Times New Roman" w:eastAsia="Times New Roman" w:hAnsi="Times New Roman" w:cs="Times New Roman"/>
          <w:bCs/>
          <w:lang w:val="ro-MD"/>
        </w:rPr>
        <w:t xml:space="preserve">asigurător sau </w:t>
      </w:r>
      <w:proofErr w:type="spellStart"/>
      <w:r w:rsidR="00BF0249"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bCs/>
          <w:lang w:val="ro-MD"/>
        </w:rPr>
        <w:t>licentiat</w:t>
      </w:r>
      <w:proofErr w:type="spellEnd"/>
      <w:r w:rsidRPr="000508B6">
        <w:rPr>
          <w:rFonts w:ascii="Times New Roman" w:eastAsia="Times New Roman" w:hAnsi="Times New Roman" w:cs="Times New Roman"/>
          <w:lang w:val="ro-MD"/>
        </w:rPr>
        <w:t xml:space="preserve"> în statul membru respectiv; </w:t>
      </w:r>
    </w:p>
    <w:p w14:paraId="102F724E" w14:textId="0371BEE9" w:rsidR="00D447B4" w:rsidRPr="000508B6" w:rsidRDefault="00D447B4" w:rsidP="00D447B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filiala unei </w:t>
      </w:r>
      <w:proofErr w:type="spellStart"/>
      <w:r w:rsidRPr="000508B6">
        <w:rPr>
          <w:rFonts w:ascii="Times New Roman" w:eastAsia="Times New Roman" w:hAnsi="Times New Roman" w:cs="Times New Roman"/>
          <w:lang w:val="ro-MD"/>
        </w:rPr>
        <w:t>societăţi</w:t>
      </w:r>
      <w:proofErr w:type="spellEnd"/>
      <w:r w:rsidRPr="000508B6">
        <w:rPr>
          <w:rFonts w:ascii="Times New Roman" w:eastAsia="Times New Roman" w:hAnsi="Times New Roman" w:cs="Times New Roman"/>
          <w:lang w:val="ro-MD"/>
        </w:rPr>
        <w:t xml:space="preserve">-mamă a </w:t>
      </w:r>
      <w:r w:rsidRPr="000508B6">
        <w:rPr>
          <w:rFonts w:ascii="Times New Roman" w:eastAsia="Times New Roman" w:hAnsi="Times New Roman" w:cs="Times New Roman"/>
          <w:bCs/>
          <w:lang w:val="ro-MD"/>
        </w:rPr>
        <w:t>un</w:t>
      </w:r>
      <w:r w:rsidR="00BF0249"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i </w:t>
      </w:r>
      <w:r w:rsidR="00BF0249" w:rsidRPr="000508B6">
        <w:rPr>
          <w:rFonts w:ascii="Times New Roman" w:eastAsia="Times New Roman" w:hAnsi="Times New Roman" w:cs="Times New Roman"/>
          <w:bCs/>
          <w:lang w:val="ro-MD"/>
        </w:rPr>
        <w:t xml:space="preserve">asigurător sau </w:t>
      </w:r>
      <w:proofErr w:type="spellStart"/>
      <w:r w:rsidR="00BF0249"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lang w:val="ro-MD"/>
        </w:rPr>
        <w:t xml:space="preserve"> din statul membru respectiv; </w:t>
      </w:r>
    </w:p>
    <w:p w14:paraId="0740D5C2" w14:textId="0DFE6FA6" w:rsidR="00D447B4" w:rsidRPr="000508B6" w:rsidRDefault="00D447B4" w:rsidP="00D447B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r>
      <w:r w:rsidR="00156E11" w:rsidRPr="000508B6">
        <w:rPr>
          <w:rFonts w:ascii="Times New Roman" w:eastAsia="Times New Roman" w:hAnsi="Times New Roman" w:cs="Times New Roman"/>
          <w:lang w:val="ro-MD"/>
        </w:rPr>
        <w:t xml:space="preserve">un asigurător sau </w:t>
      </w:r>
      <w:proofErr w:type="spellStart"/>
      <w:r w:rsidR="00156E11"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controlat de </w:t>
      </w:r>
      <w:proofErr w:type="spellStart"/>
      <w:r w:rsidRPr="000508B6">
        <w:rPr>
          <w:rFonts w:ascii="Times New Roman" w:eastAsia="Times New Roman" w:hAnsi="Times New Roman" w:cs="Times New Roman"/>
          <w:lang w:val="ro-MD"/>
        </w:rPr>
        <w:t>aceeaşi</w:t>
      </w:r>
      <w:proofErr w:type="spellEnd"/>
      <w:r w:rsidRPr="000508B6">
        <w:rPr>
          <w:rFonts w:ascii="Times New Roman" w:eastAsia="Times New Roman" w:hAnsi="Times New Roman" w:cs="Times New Roman"/>
          <w:lang w:val="ro-MD"/>
        </w:rPr>
        <w:t xml:space="preserve"> persoană fizică sau juridică ce controlează </w:t>
      </w:r>
      <w:r w:rsidR="00BF0249" w:rsidRPr="000508B6">
        <w:rPr>
          <w:rFonts w:ascii="Times New Roman" w:eastAsia="Times New Roman" w:hAnsi="Times New Roman" w:cs="Times New Roman"/>
          <w:bCs/>
          <w:lang w:val="ro-MD"/>
        </w:rPr>
        <w:t>un</w:t>
      </w:r>
      <w:r w:rsidRPr="000508B6">
        <w:rPr>
          <w:rFonts w:ascii="Times New Roman" w:eastAsia="Times New Roman" w:hAnsi="Times New Roman" w:cs="Times New Roman"/>
          <w:bCs/>
          <w:lang w:val="ro-MD"/>
        </w:rPr>
        <w:t xml:space="preserve"> </w:t>
      </w:r>
      <w:r w:rsidR="00BF0249" w:rsidRPr="000508B6">
        <w:rPr>
          <w:rFonts w:ascii="Times New Roman" w:eastAsia="Times New Roman" w:hAnsi="Times New Roman" w:cs="Times New Roman"/>
          <w:bCs/>
          <w:lang w:val="ro-MD"/>
        </w:rPr>
        <w:t xml:space="preserve">asigurător sau </w:t>
      </w:r>
      <w:proofErr w:type="spellStart"/>
      <w:r w:rsidR="00BF0249"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lang w:val="ro-MD"/>
        </w:rPr>
        <w:t xml:space="preserve"> </w:t>
      </w:r>
      <w:r w:rsidR="00BF0249" w:rsidRPr="000508B6">
        <w:rPr>
          <w:rFonts w:ascii="Times New Roman" w:eastAsia="Times New Roman" w:hAnsi="Times New Roman" w:cs="Times New Roman"/>
          <w:bCs/>
          <w:lang w:val="ro-MD"/>
        </w:rPr>
        <w:t xml:space="preserve">licențiat </w:t>
      </w:r>
      <w:r w:rsidRPr="000508B6">
        <w:rPr>
          <w:rFonts w:ascii="Times New Roman" w:eastAsia="Times New Roman" w:hAnsi="Times New Roman" w:cs="Times New Roman"/>
          <w:lang w:val="ro-MD"/>
        </w:rPr>
        <w:t xml:space="preserve">în statul membru respectiv. </w:t>
      </w:r>
    </w:p>
    <w:p w14:paraId="5D552886" w14:textId="7FA74A72" w:rsidR="00D447B4" w:rsidRPr="000508B6" w:rsidRDefault="00D447B4" w:rsidP="00073AE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(2</w:t>
      </w:r>
      <w:r w:rsidR="00004664"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ab/>
        <w:t xml:space="preserve">Banca Națională a Moldovei consultă </w:t>
      </w:r>
      <w:proofErr w:type="spellStart"/>
      <w:r w:rsidRPr="000508B6">
        <w:rPr>
          <w:rFonts w:ascii="Times New Roman" w:eastAsia="Times New Roman" w:hAnsi="Times New Roman" w:cs="Times New Roman"/>
          <w:lang w:val="ro-MD"/>
        </w:rPr>
        <w:t>autorităţile</w:t>
      </w:r>
      <w:proofErr w:type="spellEnd"/>
      <w:r w:rsidRPr="000508B6">
        <w:rPr>
          <w:rFonts w:ascii="Times New Roman" w:eastAsia="Times New Roman" w:hAnsi="Times New Roman" w:cs="Times New Roman"/>
          <w:lang w:val="ro-MD"/>
        </w:rPr>
        <w:t xml:space="preserve"> competente din statele membre, responsabile pentru supravegherea </w:t>
      </w:r>
      <w:r w:rsidR="00A66BAA" w:rsidRPr="000508B6">
        <w:rPr>
          <w:rFonts w:ascii="Times New Roman" w:eastAsia="Times New Roman" w:hAnsi="Times New Roman" w:cs="Times New Roman"/>
          <w:bCs/>
          <w:lang w:val="ro-MD"/>
        </w:rPr>
        <w:t>instituțiilor de credit</w:t>
      </w:r>
      <w:r w:rsidRPr="000508B6">
        <w:rPr>
          <w:rFonts w:ascii="Times New Roman" w:eastAsia="Times New Roman" w:hAnsi="Times New Roman" w:cs="Times New Roman"/>
          <w:lang w:val="ro-MD"/>
        </w:rPr>
        <w:t xml:space="preserve"> sau a societăților de investiții, înainte de a acorda licență </w:t>
      </w:r>
      <w:r w:rsidRPr="000508B6">
        <w:rPr>
          <w:rFonts w:ascii="Times New Roman" w:eastAsia="Times New Roman" w:hAnsi="Times New Roman" w:cs="Times New Roman"/>
          <w:bCs/>
          <w:lang w:val="ro-MD"/>
        </w:rPr>
        <w:t>un</w:t>
      </w:r>
      <w:r w:rsidR="00BF0249"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i </w:t>
      </w:r>
      <w:r w:rsidR="00BF0249" w:rsidRPr="000508B6">
        <w:rPr>
          <w:rFonts w:ascii="Times New Roman" w:eastAsia="Times New Roman" w:hAnsi="Times New Roman" w:cs="Times New Roman"/>
          <w:bCs/>
          <w:lang w:val="ro-MD"/>
        </w:rPr>
        <w:t xml:space="preserve">asigurător sau </w:t>
      </w:r>
      <w:proofErr w:type="spellStart"/>
      <w:r w:rsidR="00BF0249"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lang w:val="ro-MD"/>
        </w:rPr>
        <w:t xml:space="preserve"> care este: </w:t>
      </w:r>
    </w:p>
    <w:p w14:paraId="27008D99" w14:textId="1C646277" w:rsidR="00D447B4" w:rsidRPr="000508B6" w:rsidRDefault="00D447B4" w:rsidP="00D447B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t xml:space="preserve">filiala </w:t>
      </w:r>
      <w:r w:rsidR="008078EE" w:rsidRPr="000508B6">
        <w:rPr>
          <w:rFonts w:ascii="Times New Roman" w:eastAsia="Times New Roman" w:hAnsi="Times New Roman" w:cs="Times New Roman"/>
          <w:bCs/>
          <w:lang w:val="ro-MD"/>
        </w:rPr>
        <w:t>unei instituții de credit</w:t>
      </w:r>
      <w:r w:rsidRPr="000508B6">
        <w:rPr>
          <w:rFonts w:ascii="Times New Roman" w:eastAsia="Times New Roman" w:hAnsi="Times New Roman" w:cs="Times New Roman"/>
          <w:lang w:val="ro-MD"/>
        </w:rPr>
        <w:t xml:space="preserve"> sau a unei societăți de </w:t>
      </w:r>
      <w:proofErr w:type="spellStart"/>
      <w:r w:rsidRPr="000508B6">
        <w:rPr>
          <w:rFonts w:ascii="Times New Roman" w:eastAsia="Times New Roman" w:hAnsi="Times New Roman" w:cs="Times New Roman"/>
          <w:lang w:val="ro-MD"/>
        </w:rPr>
        <w:t>investiţii</w:t>
      </w:r>
      <w:proofErr w:type="spellEnd"/>
      <w:r w:rsidRPr="000508B6">
        <w:rPr>
          <w:rFonts w:ascii="Times New Roman" w:eastAsia="Times New Roman" w:hAnsi="Times New Roman" w:cs="Times New Roman"/>
          <w:lang w:val="ro-MD"/>
        </w:rPr>
        <w:t xml:space="preserve"> </w:t>
      </w:r>
      <w:r w:rsidR="00BF0249" w:rsidRPr="000508B6">
        <w:rPr>
          <w:rFonts w:ascii="Times New Roman" w:eastAsia="Times New Roman" w:hAnsi="Times New Roman" w:cs="Times New Roman"/>
          <w:bCs/>
          <w:lang w:val="ro-MD"/>
        </w:rPr>
        <w:t>licențiate</w:t>
      </w:r>
      <w:r w:rsidRPr="000508B6">
        <w:rPr>
          <w:rFonts w:ascii="Times New Roman" w:eastAsia="Times New Roman" w:hAnsi="Times New Roman" w:cs="Times New Roman"/>
          <w:lang w:val="ro-MD"/>
        </w:rPr>
        <w:t xml:space="preserve"> în statul membru respectiv; </w:t>
      </w:r>
    </w:p>
    <w:p w14:paraId="5B44F628" w14:textId="47C61215" w:rsidR="00D447B4" w:rsidRPr="000508B6" w:rsidRDefault="00D447B4" w:rsidP="00D447B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filiala unei </w:t>
      </w:r>
      <w:proofErr w:type="spellStart"/>
      <w:r w:rsidRPr="000508B6">
        <w:rPr>
          <w:rFonts w:ascii="Times New Roman" w:eastAsia="Times New Roman" w:hAnsi="Times New Roman" w:cs="Times New Roman"/>
          <w:lang w:val="ro-MD"/>
        </w:rPr>
        <w:t>societăţi</w:t>
      </w:r>
      <w:proofErr w:type="spellEnd"/>
      <w:r w:rsidRPr="000508B6">
        <w:rPr>
          <w:rFonts w:ascii="Times New Roman" w:eastAsia="Times New Roman" w:hAnsi="Times New Roman" w:cs="Times New Roman"/>
          <w:lang w:val="ro-MD"/>
        </w:rPr>
        <w:t xml:space="preserve">-mamă a unei </w:t>
      </w:r>
      <w:r w:rsidR="00565968" w:rsidRPr="000508B6">
        <w:rPr>
          <w:rFonts w:ascii="Times New Roman" w:eastAsia="Times New Roman" w:hAnsi="Times New Roman" w:cs="Times New Roman"/>
          <w:bCs/>
          <w:lang w:val="ro-MD"/>
        </w:rPr>
        <w:t>instituții de credit</w:t>
      </w:r>
      <w:r w:rsidRPr="000508B6">
        <w:rPr>
          <w:rFonts w:ascii="Times New Roman" w:eastAsia="Times New Roman" w:hAnsi="Times New Roman" w:cs="Times New Roman"/>
          <w:lang w:val="ro-MD"/>
        </w:rPr>
        <w:t xml:space="preserve"> sau </w:t>
      </w:r>
      <w:r w:rsidR="00073AEF" w:rsidRPr="000508B6">
        <w:rPr>
          <w:rFonts w:ascii="Times New Roman" w:eastAsia="Times New Roman" w:hAnsi="Times New Roman" w:cs="Times New Roman"/>
          <w:lang w:val="ro-MD"/>
        </w:rPr>
        <w:t xml:space="preserve">a unei </w:t>
      </w:r>
      <w:r w:rsidRPr="000508B6">
        <w:rPr>
          <w:rFonts w:ascii="Times New Roman" w:eastAsia="Times New Roman" w:hAnsi="Times New Roman" w:cs="Times New Roman"/>
          <w:lang w:val="ro-MD"/>
        </w:rPr>
        <w:t xml:space="preserve">societăți de </w:t>
      </w:r>
      <w:proofErr w:type="spellStart"/>
      <w:r w:rsidRPr="000508B6">
        <w:rPr>
          <w:rFonts w:ascii="Times New Roman" w:eastAsia="Times New Roman" w:hAnsi="Times New Roman" w:cs="Times New Roman"/>
          <w:lang w:val="ro-MD"/>
        </w:rPr>
        <w:t>investiţii</w:t>
      </w:r>
      <w:proofErr w:type="spellEnd"/>
      <w:r w:rsidR="00073AEF"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BF0249" w:rsidRPr="000508B6">
        <w:rPr>
          <w:rFonts w:ascii="Times New Roman" w:eastAsia="Times New Roman" w:hAnsi="Times New Roman" w:cs="Times New Roman"/>
          <w:bCs/>
          <w:lang w:val="ro-MD"/>
        </w:rPr>
        <w:t>licențiate</w:t>
      </w:r>
      <w:r w:rsidRPr="000508B6">
        <w:rPr>
          <w:rFonts w:ascii="Times New Roman" w:eastAsia="Times New Roman" w:hAnsi="Times New Roman" w:cs="Times New Roman"/>
          <w:lang w:val="ro-MD"/>
        </w:rPr>
        <w:t xml:space="preserve"> în statul membru respectiv;</w:t>
      </w:r>
    </w:p>
    <w:p w14:paraId="7FA4329F" w14:textId="0E73E87F" w:rsidR="00D447B4" w:rsidRPr="000508B6" w:rsidRDefault="00D447B4" w:rsidP="00D447B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r>
      <w:r w:rsidR="00156E11" w:rsidRPr="000508B6">
        <w:rPr>
          <w:rFonts w:ascii="Times New Roman" w:eastAsia="Times New Roman" w:hAnsi="Times New Roman" w:cs="Times New Roman"/>
          <w:lang w:val="ro-MD"/>
        </w:rPr>
        <w:t xml:space="preserve">un asigurător sau </w:t>
      </w:r>
      <w:proofErr w:type="spellStart"/>
      <w:r w:rsidR="00156E11"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controlat de </w:t>
      </w:r>
      <w:proofErr w:type="spellStart"/>
      <w:r w:rsidRPr="000508B6">
        <w:rPr>
          <w:rFonts w:ascii="Times New Roman" w:eastAsia="Times New Roman" w:hAnsi="Times New Roman" w:cs="Times New Roman"/>
          <w:lang w:val="ro-MD"/>
        </w:rPr>
        <w:t>aceeaşi</w:t>
      </w:r>
      <w:proofErr w:type="spellEnd"/>
      <w:r w:rsidRPr="000508B6">
        <w:rPr>
          <w:rFonts w:ascii="Times New Roman" w:eastAsia="Times New Roman" w:hAnsi="Times New Roman" w:cs="Times New Roman"/>
          <w:lang w:val="ro-MD"/>
        </w:rPr>
        <w:t xml:space="preserve"> persoană fizică sau juridică ce controlează o </w:t>
      </w:r>
      <w:r w:rsidR="00565968" w:rsidRPr="000508B6">
        <w:rPr>
          <w:rFonts w:ascii="Times New Roman" w:eastAsia="Times New Roman" w:hAnsi="Times New Roman" w:cs="Times New Roman"/>
          <w:bCs/>
          <w:lang w:val="ro-MD"/>
        </w:rPr>
        <w:t>instituție de credit</w:t>
      </w:r>
      <w:r w:rsidRPr="000508B6">
        <w:rPr>
          <w:rFonts w:ascii="Times New Roman" w:eastAsia="Times New Roman" w:hAnsi="Times New Roman" w:cs="Times New Roman"/>
          <w:lang w:val="ro-MD"/>
        </w:rPr>
        <w:t xml:space="preserve"> sau o societate de </w:t>
      </w:r>
      <w:proofErr w:type="spellStart"/>
      <w:r w:rsidRPr="000508B6">
        <w:rPr>
          <w:rFonts w:ascii="Times New Roman" w:eastAsia="Times New Roman" w:hAnsi="Times New Roman" w:cs="Times New Roman"/>
          <w:lang w:val="ro-MD"/>
        </w:rPr>
        <w:t>investiţii</w:t>
      </w:r>
      <w:proofErr w:type="spellEnd"/>
      <w:r w:rsidRPr="000508B6">
        <w:rPr>
          <w:rFonts w:ascii="Times New Roman" w:eastAsia="Times New Roman" w:hAnsi="Times New Roman" w:cs="Times New Roman"/>
          <w:lang w:val="ro-MD"/>
        </w:rPr>
        <w:t xml:space="preserve"> autorizată în statul membru respectiv. </w:t>
      </w:r>
    </w:p>
    <w:p w14:paraId="5936F2A6" w14:textId="6B7C34A9" w:rsidR="00D447B4" w:rsidRPr="000508B6" w:rsidRDefault="00D447B4" w:rsidP="0092203B">
      <w:pPr>
        <w:tabs>
          <w:tab w:val="left" w:pos="709"/>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004664"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ab/>
        <w:t xml:space="preserve">Banca Națională a Moldovei consultă </w:t>
      </w:r>
      <w:proofErr w:type="spellStart"/>
      <w:r w:rsidRPr="000508B6">
        <w:rPr>
          <w:rFonts w:ascii="Times New Roman" w:eastAsia="Times New Roman" w:hAnsi="Times New Roman" w:cs="Times New Roman"/>
          <w:lang w:val="ro-MD"/>
        </w:rPr>
        <w:t>autorităţile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w:t>
      </w:r>
      <w:r w:rsidR="00116736"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116736"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2) în vederea evaluării: </w:t>
      </w:r>
    </w:p>
    <w:p w14:paraId="2C07B1EF" w14:textId="654B9842" w:rsidR="00D447B4" w:rsidRPr="000508B6" w:rsidRDefault="00D447B4" w:rsidP="00D447B4">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r>
      <w:proofErr w:type="spellStart"/>
      <w:r w:rsidRPr="000508B6">
        <w:rPr>
          <w:rFonts w:ascii="Times New Roman" w:eastAsia="Times New Roman" w:hAnsi="Times New Roman" w:cs="Times New Roman"/>
          <w:lang w:val="ro-MD"/>
        </w:rPr>
        <w:t>calităţii</w:t>
      </w:r>
      <w:proofErr w:type="spellEnd"/>
      <w:r w:rsidRPr="000508B6">
        <w:rPr>
          <w:rFonts w:ascii="Times New Roman" w:eastAsia="Times New Roman" w:hAnsi="Times New Roman" w:cs="Times New Roman"/>
          <w:lang w:val="ro-MD"/>
        </w:rPr>
        <w:t xml:space="preserve"> potențialilor achizitori și acționari ai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lang w:val="ro-MD"/>
        </w:rPr>
        <w:t xml:space="preserve">; </w:t>
      </w:r>
    </w:p>
    <w:p w14:paraId="3E41D951" w14:textId="09F4F0A1" w:rsidR="00D447B4" w:rsidRPr="000508B6" w:rsidRDefault="00D447B4" w:rsidP="00700EDF">
      <w:pPr>
        <w:tabs>
          <w:tab w:val="left" w:pos="709"/>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r>
      <w:r w:rsidR="00492B35" w:rsidRPr="000508B6">
        <w:rPr>
          <w:rFonts w:ascii="Times New Roman" w:eastAsia="Times New Roman" w:hAnsi="Times New Roman" w:cs="Times New Roman"/>
          <w:lang w:val="ro-MD"/>
        </w:rPr>
        <w:t xml:space="preserve">corespunderii </w:t>
      </w:r>
      <w:r w:rsidRPr="000508B6">
        <w:rPr>
          <w:rFonts w:ascii="Times New Roman" w:eastAsia="Times New Roman" w:hAnsi="Times New Roman" w:cs="Times New Roman"/>
          <w:lang w:val="ro-MD"/>
        </w:rPr>
        <w:t>cerințe</w:t>
      </w:r>
      <w:r w:rsidR="00492B35" w:rsidRPr="000508B6">
        <w:rPr>
          <w:rFonts w:ascii="Times New Roman" w:eastAsia="Times New Roman" w:hAnsi="Times New Roman" w:cs="Times New Roman"/>
          <w:lang w:val="ro-MD"/>
        </w:rPr>
        <w:t>lor</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competenţă</w:t>
      </w:r>
      <w:proofErr w:type="spellEnd"/>
      <w:r w:rsidRPr="000508B6">
        <w:rPr>
          <w:rFonts w:ascii="Times New Roman" w:eastAsia="Times New Roman" w:hAnsi="Times New Roman" w:cs="Times New Roman"/>
          <w:lang w:val="ro-MD"/>
        </w:rPr>
        <w:t xml:space="preserve"> și onorabilitate a persoanelor care conduc efectiv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00073AE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lang w:val="ro-MD"/>
        </w:rPr>
        <w:t xml:space="preserve">sau a persoanelor care dețin </w:t>
      </w:r>
      <w:proofErr w:type="spellStart"/>
      <w:r w:rsidRPr="000508B6">
        <w:rPr>
          <w:rFonts w:ascii="Times New Roman" w:eastAsia="Times New Roman" w:hAnsi="Times New Roman" w:cs="Times New Roman"/>
          <w:lang w:val="ro-MD"/>
        </w:rPr>
        <w:t>funcţii</w:t>
      </w:r>
      <w:proofErr w:type="spellEnd"/>
      <w:r w:rsidRPr="000508B6">
        <w:rPr>
          <w:rFonts w:ascii="Times New Roman" w:eastAsia="Times New Roman" w:hAnsi="Times New Roman" w:cs="Times New Roman"/>
          <w:lang w:val="ro-MD"/>
        </w:rPr>
        <w:t>-cheie</w:t>
      </w:r>
      <w:r w:rsidR="00492B35" w:rsidRPr="000508B6">
        <w:rPr>
          <w:rFonts w:ascii="Times New Roman" w:eastAsia="Times New Roman" w:hAnsi="Times New Roman" w:cs="Times New Roman"/>
          <w:lang w:val="ro-MD"/>
        </w:rPr>
        <w:t>, care au activat în cadrul altor entități supravegheate</w:t>
      </w:r>
      <w:r w:rsidR="00156E11" w:rsidRPr="000508B6">
        <w:rPr>
          <w:rFonts w:ascii="Times New Roman" w:eastAsia="Times New Roman" w:hAnsi="Times New Roman" w:cs="Times New Roman"/>
          <w:lang w:val="ro-MD"/>
        </w:rPr>
        <w:t xml:space="preserve"> </w:t>
      </w:r>
      <w:r w:rsidR="0065573B" w:rsidRPr="000508B6">
        <w:rPr>
          <w:rFonts w:ascii="Times New Roman" w:eastAsia="Times New Roman" w:hAnsi="Times New Roman" w:cs="Times New Roman"/>
          <w:lang w:val="ro-MD"/>
        </w:rPr>
        <w:t xml:space="preserve">din statele membre </w:t>
      </w:r>
      <w:r w:rsidRPr="000508B6">
        <w:rPr>
          <w:rFonts w:ascii="Times New Roman" w:eastAsia="Times New Roman" w:hAnsi="Times New Roman" w:cs="Times New Roman"/>
          <w:lang w:val="ro-MD"/>
        </w:rPr>
        <w:t xml:space="preserve">care </w:t>
      </w:r>
      <w:proofErr w:type="spellStart"/>
      <w:r w:rsidRPr="000508B6">
        <w:rPr>
          <w:rFonts w:ascii="Times New Roman" w:eastAsia="Times New Roman" w:hAnsi="Times New Roman" w:cs="Times New Roman"/>
          <w:lang w:val="ro-MD"/>
        </w:rPr>
        <w:t>aparţin</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aceluiaşi</w:t>
      </w:r>
      <w:proofErr w:type="spellEnd"/>
      <w:r w:rsidRPr="000508B6">
        <w:rPr>
          <w:rFonts w:ascii="Times New Roman" w:eastAsia="Times New Roman" w:hAnsi="Times New Roman" w:cs="Times New Roman"/>
          <w:lang w:val="ro-MD"/>
        </w:rPr>
        <w:t xml:space="preserve"> grup</w:t>
      </w:r>
      <w:r w:rsidR="00073AEF" w:rsidRPr="000508B6">
        <w:rPr>
          <w:rFonts w:ascii="Times New Roman" w:eastAsia="Times New Roman" w:hAnsi="Times New Roman" w:cs="Times New Roman"/>
          <w:lang w:val="ro-MD"/>
        </w:rPr>
        <w:t>.</w:t>
      </w:r>
    </w:p>
    <w:p w14:paraId="7F3ADACE" w14:textId="02843289" w:rsidR="00D447B4" w:rsidRPr="000508B6" w:rsidRDefault="00D447B4" w:rsidP="00073AE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004664"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ab/>
        <w:t xml:space="preserve">Banca Națională a Moldovei transmite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privind calitatea acționarilor și cerințele de competență și onorabilitate pentru toate persoanele care conduc efectiv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00700ED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lang w:val="ro-MD"/>
        </w:rPr>
        <w:t xml:space="preserve">sau care dețin alte funcții-cheie în măsura în care acestea prezintă interes pentru supraveghetorii sau </w:t>
      </w:r>
      <w:proofErr w:type="spellStart"/>
      <w:r w:rsidRPr="000508B6">
        <w:rPr>
          <w:rFonts w:ascii="Times New Roman" w:eastAsia="Times New Roman" w:hAnsi="Times New Roman" w:cs="Times New Roman"/>
          <w:lang w:val="ro-MD"/>
        </w:rPr>
        <w:t>autorităţile</w:t>
      </w:r>
      <w:proofErr w:type="spellEnd"/>
      <w:r w:rsidRPr="000508B6">
        <w:rPr>
          <w:rFonts w:ascii="Times New Roman" w:eastAsia="Times New Roman" w:hAnsi="Times New Roman" w:cs="Times New Roman"/>
          <w:lang w:val="ro-MD"/>
        </w:rPr>
        <w:t xml:space="preserve"> competente din statele membre, în vederea acordării unei licențe sau a monitorizării respectării în </w:t>
      </w:r>
      <w:proofErr w:type="spellStart"/>
      <w:r w:rsidRPr="000508B6">
        <w:rPr>
          <w:rFonts w:ascii="Times New Roman" w:eastAsia="Times New Roman" w:hAnsi="Times New Roman" w:cs="Times New Roman"/>
          <w:lang w:val="ro-MD"/>
        </w:rPr>
        <w:t>permanenţă</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condiţiilor</w:t>
      </w:r>
      <w:proofErr w:type="spellEnd"/>
      <w:r w:rsidRPr="000508B6">
        <w:rPr>
          <w:rFonts w:ascii="Times New Roman" w:eastAsia="Times New Roman" w:hAnsi="Times New Roman" w:cs="Times New Roman"/>
          <w:lang w:val="ro-MD"/>
        </w:rPr>
        <w:t xml:space="preserve"> de licențiere</w:t>
      </w:r>
      <w:r w:rsidRPr="000508B6">
        <w:rPr>
          <w:rFonts w:ascii="Times New Roman" w:eastAsia="Times New Roman" w:hAnsi="Times New Roman" w:cs="Times New Roman"/>
          <w:bCs/>
          <w:lang w:val="ro-MD"/>
        </w:rPr>
        <w:t>.</w:t>
      </w:r>
      <w:r w:rsidRPr="000508B6">
        <w:rPr>
          <w:rFonts w:ascii="Times New Roman" w:eastAsia="Times New Roman" w:hAnsi="Times New Roman" w:cs="Times New Roman"/>
          <w:lang w:val="ro-MD"/>
        </w:rPr>
        <w:t xml:space="preserve"> </w:t>
      </w:r>
    </w:p>
    <w:p w14:paraId="1A933236" w14:textId="5E7FAB15" w:rsidR="00696BBD" w:rsidRPr="000508B6" w:rsidRDefault="00D447B4" w:rsidP="0092203B">
      <w:pPr>
        <w:tabs>
          <w:tab w:val="left" w:pos="567"/>
          <w:tab w:val="left" w:pos="709"/>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004664"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ab/>
      </w:r>
      <w:r w:rsidR="00696BBD" w:rsidRPr="000508B6">
        <w:rPr>
          <w:rFonts w:ascii="Times New Roman" w:eastAsia="Times New Roman" w:hAnsi="Times New Roman" w:cs="Times New Roman"/>
          <w:bCs/>
          <w:lang w:val="ro-MD"/>
        </w:rPr>
        <w:t>În cazul în care Banca Națională a Moldovei, alături de alți supraveghetori din statele membre, este consultată de un supraveghetor din alt stat membru în procesul de licențiere</w:t>
      </w:r>
      <w:r w:rsidR="001E32F3" w:rsidRPr="000508B6">
        <w:rPr>
          <w:rFonts w:ascii="Times New Roman" w:eastAsia="Times New Roman" w:hAnsi="Times New Roman" w:cs="Times New Roman"/>
          <w:bCs/>
          <w:lang w:val="ro-MD"/>
        </w:rPr>
        <w:t xml:space="preserve"> a</w:t>
      </w:r>
      <w:r w:rsidR="00696BBD" w:rsidRPr="000508B6">
        <w:rPr>
          <w:rFonts w:ascii="Times New Roman" w:eastAsia="Times New Roman" w:hAnsi="Times New Roman" w:cs="Times New Roman"/>
          <w:bCs/>
          <w:lang w:val="ro-MD"/>
        </w:rPr>
        <w:t xml:space="preserve"> unui asigurător sau </w:t>
      </w:r>
      <w:proofErr w:type="spellStart"/>
      <w:r w:rsidR="00696BBD" w:rsidRPr="000508B6">
        <w:rPr>
          <w:rFonts w:ascii="Times New Roman" w:eastAsia="Times New Roman" w:hAnsi="Times New Roman" w:cs="Times New Roman"/>
          <w:bCs/>
          <w:lang w:val="ro-MD"/>
        </w:rPr>
        <w:t>reasigurător</w:t>
      </w:r>
      <w:proofErr w:type="spellEnd"/>
      <w:r w:rsidR="00696BBD" w:rsidRPr="000508B6">
        <w:rPr>
          <w:rFonts w:ascii="Times New Roman" w:eastAsia="Times New Roman" w:hAnsi="Times New Roman" w:cs="Times New Roman"/>
          <w:bCs/>
          <w:lang w:val="ro-MD"/>
        </w:rPr>
        <w:t xml:space="preserve"> care devine filială a unui asigurător sau </w:t>
      </w:r>
      <w:proofErr w:type="spellStart"/>
      <w:r w:rsidR="00696BBD" w:rsidRPr="000508B6">
        <w:rPr>
          <w:rFonts w:ascii="Times New Roman" w:eastAsia="Times New Roman" w:hAnsi="Times New Roman" w:cs="Times New Roman"/>
          <w:bCs/>
          <w:lang w:val="ro-MD"/>
        </w:rPr>
        <w:t>reasigurător</w:t>
      </w:r>
      <w:proofErr w:type="spellEnd"/>
      <w:r w:rsidR="00696BBD" w:rsidRPr="000508B6">
        <w:rPr>
          <w:rFonts w:ascii="Times New Roman" w:eastAsia="Times New Roman" w:hAnsi="Times New Roman" w:cs="Times New Roman"/>
          <w:bCs/>
          <w:lang w:val="ro-MD"/>
        </w:rPr>
        <w:t xml:space="preserve"> supravegheat de Banca Națională a Moldovei, aceasta poate solicita supraveghetorului respectiv în termen de o lună de la data primirii cererii de consultare, să efectueze o evaluare în comun a solicitării de </w:t>
      </w:r>
      <w:r w:rsidR="00917997" w:rsidRPr="000508B6">
        <w:rPr>
          <w:rFonts w:ascii="Times New Roman" w:eastAsia="Times New Roman" w:hAnsi="Times New Roman" w:cs="Times New Roman"/>
          <w:bCs/>
          <w:lang w:val="ro-MD"/>
        </w:rPr>
        <w:t>licențiere</w:t>
      </w:r>
      <w:r w:rsidR="00696BBD" w:rsidRPr="000508B6">
        <w:rPr>
          <w:rFonts w:ascii="Times New Roman" w:eastAsia="Times New Roman" w:hAnsi="Times New Roman" w:cs="Times New Roman"/>
          <w:bCs/>
          <w:lang w:val="ro-MD"/>
        </w:rPr>
        <w:t>.</w:t>
      </w:r>
      <w:r w:rsidR="00696BBD" w:rsidRPr="000508B6">
        <w:rPr>
          <w:rFonts w:ascii="Times New Roman" w:eastAsia="Times New Roman" w:hAnsi="Times New Roman" w:cs="Times New Roman"/>
          <w:lang w:val="ro-MD"/>
        </w:rPr>
        <w:t xml:space="preserve"> </w:t>
      </w:r>
    </w:p>
    <w:p w14:paraId="28A17AEB" w14:textId="36D827D5" w:rsidR="00696BBD" w:rsidRPr="000508B6" w:rsidRDefault="00696BBD" w:rsidP="00696BBD">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(26) În cazul în care Banca Națională a Moldovei evaluează în comun cu alți supraveghetori din statele membre o solicitare de acordare a unei licențe, aceasta ține seama de concluziile evaluării respective atunci când ia decizia finală</w:t>
      </w:r>
      <w:r w:rsidR="00561A57" w:rsidRPr="000508B6">
        <w:rPr>
          <w:rFonts w:ascii="Times New Roman" w:eastAsia="Times New Roman" w:hAnsi="Times New Roman" w:cs="Times New Roman"/>
          <w:bCs/>
          <w:lang w:val="ro-MD"/>
        </w:rPr>
        <w:t>.</w:t>
      </w:r>
    </w:p>
    <w:p w14:paraId="54EA8AAB" w14:textId="77777777" w:rsidR="00D447B4" w:rsidRPr="000508B6" w:rsidRDefault="00D447B4" w:rsidP="0092203B">
      <w:pPr>
        <w:spacing w:after="0" w:line="240" w:lineRule="auto"/>
        <w:jc w:val="both"/>
        <w:rPr>
          <w:rFonts w:ascii="Times New Roman" w:eastAsia="Times New Roman" w:hAnsi="Times New Roman" w:cs="Times New Roman"/>
          <w:b/>
          <w:lang w:val="ro-MD"/>
        </w:rPr>
      </w:pPr>
    </w:p>
    <w:p w14:paraId="121CDB39" w14:textId="745AA7F6"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7</w:t>
      </w:r>
      <w:bookmarkEnd w:id="35"/>
      <w:r w:rsidR="008040BD"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Planul de afaceri</w:t>
      </w:r>
    </w:p>
    <w:p w14:paraId="7812E070" w14:textId="1AD415C3" w:rsidR="00F95829" w:rsidRPr="000508B6" w:rsidRDefault="00607D41" w:rsidP="0092203B">
      <w:pPr>
        <w:pStyle w:val="Listparagraf"/>
        <w:numPr>
          <w:ilvl w:val="0"/>
          <w:numId w:val="40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00F95829" w:rsidRPr="000508B6">
        <w:rPr>
          <w:rFonts w:ascii="Times New Roman" w:eastAsia="Times New Roman" w:hAnsi="Times New Roman" w:cs="Times New Roman"/>
          <w:lang w:val="ro-MD"/>
        </w:rPr>
        <w:t>erere</w:t>
      </w:r>
      <w:r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licenţiere</w:t>
      </w:r>
      <w:proofErr w:type="spellEnd"/>
      <w:r w:rsidR="00F9582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este</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însoţită</w:t>
      </w:r>
      <w:proofErr w:type="spellEnd"/>
      <w:r w:rsidR="00F95829" w:rsidRPr="000508B6">
        <w:rPr>
          <w:rFonts w:ascii="Times New Roman" w:eastAsia="Times New Roman" w:hAnsi="Times New Roman" w:cs="Times New Roman"/>
          <w:lang w:val="ro-MD"/>
        </w:rPr>
        <w:t xml:space="preserve"> de un plan de afaceri, care să cuprindă cel </w:t>
      </w:r>
      <w:proofErr w:type="spellStart"/>
      <w:r w:rsidR="00F95829" w:rsidRPr="000508B6">
        <w:rPr>
          <w:rFonts w:ascii="Times New Roman" w:eastAsia="Times New Roman" w:hAnsi="Times New Roman" w:cs="Times New Roman"/>
          <w:lang w:val="ro-MD"/>
        </w:rPr>
        <w:t>puţin</w:t>
      </w:r>
      <w:proofErr w:type="spellEnd"/>
      <w:r w:rsidR="00F95829" w:rsidRPr="000508B6">
        <w:rPr>
          <w:rFonts w:ascii="Times New Roman" w:eastAsia="Times New Roman" w:hAnsi="Times New Roman" w:cs="Times New Roman"/>
          <w:lang w:val="ro-MD"/>
        </w:rPr>
        <w:t xml:space="preserve"> următoarele:</w:t>
      </w:r>
    </w:p>
    <w:p w14:paraId="07391483" w14:textId="12214324" w:rsidR="00F95829" w:rsidRPr="000508B6" w:rsidRDefault="00F95829" w:rsidP="00CF5AFA">
      <w:pPr>
        <w:pStyle w:val="Listparagraf"/>
        <w:numPr>
          <w:ilvl w:val="0"/>
          <w:numId w:val="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natura riscurilor sau angajamentelor pe care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își propune să le acopere;</w:t>
      </w:r>
    </w:p>
    <w:p w14:paraId="00345981" w14:textId="19D80045" w:rsidR="00F95829" w:rsidRPr="000508B6" w:rsidRDefault="00F95829" w:rsidP="00CF5AFA">
      <w:pPr>
        <w:pStyle w:val="Listparagraf"/>
        <w:numPr>
          <w:ilvl w:val="0"/>
          <w:numId w:val="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principiile sale directoare în materie de reasigurare și retrocesiune;</w:t>
      </w:r>
    </w:p>
    <w:p w14:paraId="573B9C62" w14:textId="6D68F67B" w:rsidR="00EA1848" w:rsidRPr="000508B6" w:rsidRDefault="00EA1848" w:rsidP="00CF5AFA">
      <w:pPr>
        <w:pStyle w:val="Listparagraf"/>
        <w:numPr>
          <w:ilvl w:val="0"/>
          <w:numId w:val="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tipul de contracte de reasigurare pe care </w:t>
      </w:r>
      <w:proofErr w:type="spellStart"/>
      <w:r w:rsidR="00E94EC1"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își propune să le încheie cu </w:t>
      </w:r>
      <w:r w:rsidR="00156E11" w:rsidRPr="000508B6">
        <w:rPr>
          <w:rFonts w:ascii="Times New Roman" w:eastAsia="Times New Roman" w:hAnsi="Times New Roman" w:cs="Times New Roman"/>
          <w:lang w:val="ro-MD"/>
        </w:rPr>
        <w:t xml:space="preserve">asigurătorii sau </w:t>
      </w:r>
      <w:proofErr w:type="spellStart"/>
      <w:r w:rsidR="00156E11" w:rsidRPr="000508B6">
        <w:rPr>
          <w:rFonts w:ascii="Times New Roman" w:eastAsia="Times New Roman" w:hAnsi="Times New Roman" w:cs="Times New Roman"/>
          <w:lang w:val="ro-MD"/>
        </w:rPr>
        <w:t>reasigurătorii</w:t>
      </w:r>
      <w:proofErr w:type="spellEnd"/>
      <w:r w:rsidR="00156E11" w:rsidRPr="000508B6">
        <w:rPr>
          <w:rFonts w:ascii="Times New Roman" w:eastAsia="Times New Roman" w:hAnsi="Times New Roman" w:cs="Times New Roman"/>
          <w:lang w:val="ro-MD"/>
        </w:rPr>
        <w:t xml:space="preserve"> săi</w:t>
      </w:r>
      <w:r w:rsidRPr="000508B6">
        <w:rPr>
          <w:rFonts w:ascii="Times New Roman" w:eastAsia="Times New Roman" w:hAnsi="Times New Roman" w:cs="Times New Roman"/>
          <w:lang w:val="ro-MD"/>
        </w:rPr>
        <w:t xml:space="preserve"> ceden</w:t>
      </w:r>
      <w:r w:rsidR="00156E11" w:rsidRPr="000508B6">
        <w:rPr>
          <w:rFonts w:ascii="Times New Roman" w:eastAsia="Times New Roman" w:hAnsi="Times New Roman" w:cs="Times New Roman"/>
          <w:lang w:val="ro-MD"/>
        </w:rPr>
        <w:t>ți</w:t>
      </w:r>
      <w:r w:rsidRPr="000508B6">
        <w:rPr>
          <w:rFonts w:ascii="Times New Roman" w:eastAsia="Times New Roman" w:hAnsi="Times New Roman" w:cs="Times New Roman"/>
          <w:lang w:val="ro-MD"/>
        </w:rPr>
        <w:t>;</w:t>
      </w:r>
    </w:p>
    <w:p w14:paraId="735A5ACA" w14:textId="526CB228" w:rsidR="00F95829" w:rsidRPr="000508B6" w:rsidRDefault="00F95829" w:rsidP="00CF5AFA">
      <w:pPr>
        <w:pStyle w:val="Listparagraf"/>
        <w:numPr>
          <w:ilvl w:val="0"/>
          <w:numId w:val="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elemente ale fondurilor proprii de bază care </w:t>
      </w:r>
      <w:r w:rsidR="001E1AE9" w:rsidRPr="000508B6">
        <w:rPr>
          <w:rFonts w:ascii="Times New Roman" w:eastAsia="Times New Roman" w:hAnsi="Times New Roman" w:cs="Times New Roman"/>
          <w:lang w:val="ro-MD"/>
        </w:rPr>
        <w:t xml:space="preserve">acoperă </w:t>
      </w:r>
      <w:r w:rsidRPr="000508B6">
        <w:rPr>
          <w:rFonts w:ascii="Times New Roman" w:eastAsia="Times New Roman" w:hAnsi="Times New Roman" w:cs="Times New Roman"/>
          <w:lang w:val="ro-MD"/>
        </w:rPr>
        <w:t>pragul absolut al</w:t>
      </w:r>
      <w:r w:rsidR="0040410C" w:rsidRPr="000508B6">
        <w:rPr>
          <w:rFonts w:ascii="Times New Roman" w:eastAsia="Times New Roman" w:hAnsi="Times New Roman" w:cs="Times New Roman"/>
          <w:lang w:val="ro-MD"/>
        </w:rPr>
        <w:t xml:space="preserve"> </w:t>
      </w:r>
      <w:r w:rsidR="001E1AE9" w:rsidRPr="000508B6">
        <w:rPr>
          <w:rFonts w:ascii="Times New Roman" w:eastAsia="Times New Roman" w:hAnsi="Times New Roman" w:cs="Times New Roman"/>
          <w:lang w:val="ro-MD"/>
        </w:rPr>
        <w:t>MCR</w:t>
      </w:r>
      <w:r w:rsidRPr="000508B6">
        <w:rPr>
          <w:rFonts w:ascii="Times New Roman" w:eastAsia="Times New Roman" w:hAnsi="Times New Roman" w:cs="Times New Roman"/>
          <w:lang w:val="ro-MD"/>
        </w:rPr>
        <w:t>;</w:t>
      </w:r>
    </w:p>
    <w:p w14:paraId="6C59E8AC" w14:textId="6F5AA3AF" w:rsidR="00F95829" w:rsidRPr="000508B6" w:rsidRDefault="00F95829" w:rsidP="00CF5AFA">
      <w:pPr>
        <w:pStyle w:val="Listparagraf"/>
        <w:numPr>
          <w:ilvl w:val="0"/>
          <w:numId w:val="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estimări privind cheltuielile de </w:t>
      </w:r>
      <w:r w:rsidR="00A8129D" w:rsidRPr="000508B6">
        <w:rPr>
          <w:rFonts w:ascii="Times New Roman" w:eastAsia="Times New Roman" w:hAnsi="Times New Roman" w:cs="Times New Roman"/>
          <w:lang w:val="ro-MD"/>
        </w:rPr>
        <w:t xml:space="preserve">organizare </w:t>
      </w:r>
      <w:r w:rsidRPr="000508B6">
        <w:rPr>
          <w:rFonts w:ascii="Times New Roman" w:eastAsia="Times New Roman" w:hAnsi="Times New Roman" w:cs="Times New Roman"/>
          <w:lang w:val="ro-MD"/>
        </w:rPr>
        <w:t xml:space="preserve">a serviciilor administrative și a </w:t>
      </w:r>
      <w:r w:rsidR="00BB201A" w:rsidRPr="000508B6">
        <w:rPr>
          <w:rFonts w:ascii="Times New Roman" w:eastAsia="Times New Roman" w:hAnsi="Times New Roman" w:cs="Times New Roman"/>
          <w:lang w:val="ro-MD"/>
        </w:rPr>
        <w:t>rețelei de distribuție</w:t>
      </w:r>
      <w:r w:rsidR="00556A8F" w:rsidRPr="000508B6">
        <w:rPr>
          <w:rFonts w:ascii="Times New Roman" w:eastAsia="Times New Roman" w:hAnsi="Times New Roman" w:cs="Times New Roman"/>
          <w:lang w:val="ro-MD"/>
        </w:rPr>
        <w:t xml:space="preserve">. Mijloacele </w:t>
      </w:r>
      <w:r w:rsidRPr="000508B6">
        <w:rPr>
          <w:rFonts w:ascii="Times New Roman" w:eastAsia="Times New Roman" w:hAnsi="Times New Roman" w:cs="Times New Roman"/>
          <w:lang w:val="ro-MD"/>
        </w:rPr>
        <w:t xml:space="preserve">financiare pentru acoperirea acestor cheltuieli și, în cazul în care riscurile acoperite fac parte din clasa 18 din </w:t>
      </w:r>
      <w:r w:rsidR="002C46E4" w:rsidRPr="000508B6">
        <w:rPr>
          <w:rFonts w:ascii="Times New Roman" w:eastAsia="Times New Roman" w:hAnsi="Times New Roman" w:cs="Times New Roman"/>
          <w:lang w:val="ro-MD"/>
        </w:rPr>
        <w:t xml:space="preserve">Anexa </w:t>
      </w:r>
      <w:r w:rsidR="0025327A" w:rsidRPr="000508B6">
        <w:rPr>
          <w:rFonts w:ascii="Times New Roman" w:eastAsia="Times New Roman" w:hAnsi="Times New Roman" w:cs="Times New Roman"/>
          <w:lang w:val="ro-MD"/>
        </w:rPr>
        <w:t xml:space="preserve">nr. 1 </w:t>
      </w:r>
      <w:r w:rsidR="002A1AB3" w:rsidRPr="000508B6">
        <w:rPr>
          <w:rFonts w:ascii="Times New Roman" w:eastAsia="Times New Roman" w:hAnsi="Times New Roman" w:cs="Times New Roman"/>
          <w:lang w:val="ro-MD"/>
        </w:rPr>
        <w:t>S</w:t>
      </w:r>
      <w:r w:rsidR="0025327A" w:rsidRPr="000508B6">
        <w:rPr>
          <w:rFonts w:ascii="Times New Roman" w:eastAsia="Times New Roman" w:hAnsi="Times New Roman" w:cs="Times New Roman"/>
          <w:lang w:val="ro-MD"/>
        </w:rPr>
        <w:t>ecțiunea A</w:t>
      </w:r>
      <w:r w:rsidRPr="000508B6">
        <w:rPr>
          <w:rFonts w:ascii="Times New Roman" w:eastAsia="Times New Roman" w:hAnsi="Times New Roman" w:cs="Times New Roman"/>
          <w:lang w:val="ro-MD"/>
        </w:rPr>
        <w:t xml:space="preserve">, mijloacele de care dispune </w:t>
      </w:r>
      <w:r w:rsidR="00E94EC1" w:rsidRPr="000508B6">
        <w:rPr>
          <w:rFonts w:ascii="Times New Roman" w:eastAsia="Times New Roman" w:hAnsi="Times New Roman" w:cs="Times New Roman"/>
          <w:lang w:val="ro-MD"/>
        </w:rPr>
        <w:t>asigurătorul</w:t>
      </w:r>
      <w:r w:rsidRPr="000508B6">
        <w:rPr>
          <w:rFonts w:ascii="Times New Roman" w:eastAsia="Times New Roman" w:hAnsi="Times New Roman" w:cs="Times New Roman"/>
          <w:lang w:val="ro-MD"/>
        </w:rPr>
        <w:t xml:space="preserve"> pentru furnizarea </w:t>
      </w:r>
      <w:proofErr w:type="spellStart"/>
      <w:r w:rsidRPr="000508B6">
        <w:rPr>
          <w:rFonts w:ascii="Times New Roman" w:eastAsia="Times New Roman" w:hAnsi="Times New Roman" w:cs="Times New Roman"/>
          <w:lang w:val="ro-MD"/>
        </w:rPr>
        <w:t>asistenţei</w:t>
      </w:r>
      <w:proofErr w:type="spellEnd"/>
      <w:r w:rsidRPr="000508B6">
        <w:rPr>
          <w:rFonts w:ascii="Times New Roman" w:eastAsia="Times New Roman" w:hAnsi="Times New Roman" w:cs="Times New Roman"/>
          <w:lang w:val="ro-MD"/>
        </w:rPr>
        <w:t xml:space="preserve"> promise;</w:t>
      </w:r>
    </w:p>
    <w:p w14:paraId="1AED5602" w14:textId="06D8540E" w:rsidR="00957552" w:rsidRPr="000508B6" w:rsidRDefault="00957552" w:rsidP="00CF5AFA">
      <w:pPr>
        <w:pStyle w:val="Listparagraf"/>
        <w:numPr>
          <w:ilvl w:val="0"/>
          <w:numId w:val="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statele membre, </w:t>
      </w:r>
      <w:r w:rsidR="00D7706F" w:rsidRPr="000508B6">
        <w:rPr>
          <w:rFonts w:ascii="Times New Roman" w:eastAsia="Times New Roman" w:hAnsi="Times New Roman" w:cs="Times New Roman"/>
          <w:lang w:val="ro-MD"/>
        </w:rPr>
        <w:t xml:space="preserve">statele </w:t>
      </w:r>
      <w:r w:rsidRPr="000508B6">
        <w:rPr>
          <w:rFonts w:ascii="Times New Roman" w:eastAsia="Times New Roman" w:hAnsi="Times New Roman" w:cs="Times New Roman"/>
          <w:lang w:val="ro-MD"/>
        </w:rPr>
        <w:t xml:space="preserve">terțe și, în cazul în care </w:t>
      </w:r>
      <w:r w:rsidR="001739A6" w:rsidRPr="000508B6">
        <w:rPr>
          <w:rFonts w:ascii="Times New Roman" w:eastAsia="Times New Roman" w:hAnsi="Times New Roman" w:cs="Times New Roman"/>
          <w:lang w:val="ro-MD"/>
        </w:rPr>
        <w:t>licențele pentru</w:t>
      </w:r>
      <w:r w:rsidR="00B017FD" w:rsidRPr="000508B6">
        <w:rPr>
          <w:rFonts w:ascii="Times New Roman" w:eastAsia="Times New Roman" w:hAnsi="Times New Roman" w:cs="Times New Roman"/>
          <w:lang w:val="ro-MD"/>
        </w:rPr>
        <w:t xml:space="preserve"> activitatea</w:t>
      </w:r>
      <w:r w:rsidRPr="000508B6">
        <w:rPr>
          <w:rFonts w:ascii="Times New Roman" w:eastAsia="Times New Roman" w:hAnsi="Times New Roman" w:cs="Times New Roman"/>
          <w:lang w:val="ro-MD"/>
        </w:rPr>
        <w:t xml:space="preserve"> de asigurare sau de reasigurare </w:t>
      </w:r>
      <w:r w:rsidR="00B017FD" w:rsidRPr="000508B6">
        <w:rPr>
          <w:rFonts w:ascii="Times New Roman" w:eastAsia="Times New Roman" w:hAnsi="Times New Roman" w:cs="Times New Roman"/>
          <w:lang w:val="ro-MD"/>
        </w:rPr>
        <w:t xml:space="preserve">și de exercitare a unei astfel de activități </w:t>
      </w:r>
      <w:r w:rsidRPr="000508B6">
        <w:rPr>
          <w:rFonts w:ascii="Times New Roman" w:eastAsia="Times New Roman" w:hAnsi="Times New Roman" w:cs="Times New Roman"/>
          <w:lang w:val="ro-MD"/>
        </w:rPr>
        <w:t xml:space="preserve">se acordă la nivelul </w:t>
      </w:r>
      <w:r w:rsidR="00B017FD" w:rsidRPr="000508B6">
        <w:rPr>
          <w:rFonts w:ascii="Times New Roman" w:eastAsia="Times New Roman" w:hAnsi="Times New Roman" w:cs="Times New Roman"/>
          <w:lang w:val="ro-MD"/>
        </w:rPr>
        <w:t>unor zone</w:t>
      </w:r>
      <w:r w:rsidRPr="000508B6">
        <w:rPr>
          <w:rFonts w:ascii="Times New Roman" w:eastAsia="Times New Roman" w:hAnsi="Times New Roman" w:cs="Times New Roman"/>
          <w:lang w:val="ro-MD"/>
        </w:rPr>
        <w:t xml:space="preserve"> geografice din </w:t>
      </w:r>
      <w:r w:rsidR="00B017FD" w:rsidRPr="000508B6">
        <w:rPr>
          <w:rFonts w:ascii="Times New Roman" w:eastAsia="Times New Roman" w:hAnsi="Times New Roman" w:cs="Times New Roman"/>
          <w:lang w:val="ro-MD"/>
        </w:rPr>
        <w:t xml:space="preserve">cadrul </w:t>
      </w:r>
      <w:r w:rsidR="00D7706F" w:rsidRPr="000508B6">
        <w:rPr>
          <w:rFonts w:ascii="Times New Roman" w:eastAsia="Times New Roman" w:hAnsi="Times New Roman" w:cs="Times New Roman"/>
          <w:lang w:val="ro-MD"/>
        </w:rPr>
        <w:lastRenderedPageBreak/>
        <w:t xml:space="preserve">statelor </w:t>
      </w:r>
      <w:r w:rsidRPr="000508B6">
        <w:rPr>
          <w:rFonts w:ascii="Times New Roman" w:eastAsia="Times New Roman" w:hAnsi="Times New Roman" w:cs="Times New Roman"/>
          <w:lang w:val="ro-MD"/>
        </w:rPr>
        <w:t xml:space="preserve">terțe, zonele geografice relevante ale </w:t>
      </w:r>
      <w:r w:rsidR="00D7706F" w:rsidRPr="000508B6">
        <w:rPr>
          <w:rFonts w:ascii="Times New Roman" w:eastAsia="Times New Roman" w:hAnsi="Times New Roman" w:cs="Times New Roman"/>
          <w:lang w:val="ro-MD"/>
        </w:rPr>
        <w:t xml:space="preserve">statelor </w:t>
      </w:r>
      <w:r w:rsidRPr="000508B6">
        <w:rPr>
          <w:rFonts w:ascii="Times New Roman" w:eastAsia="Times New Roman" w:hAnsi="Times New Roman" w:cs="Times New Roman"/>
          <w:lang w:val="ro-MD"/>
        </w:rPr>
        <w:t>terțe</w:t>
      </w:r>
      <w:r w:rsidR="00B017FD" w:rsidRPr="000508B6">
        <w:rPr>
          <w:rFonts w:ascii="Times New Roman" w:eastAsia="Times New Roman" w:hAnsi="Times New Roman" w:cs="Times New Roman"/>
          <w:lang w:val="ro-MD"/>
        </w:rPr>
        <w:t xml:space="preserve"> respective</w:t>
      </w:r>
      <w:r w:rsidRPr="000508B6">
        <w:rPr>
          <w:rFonts w:ascii="Times New Roman" w:eastAsia="Times New Roman" w:hAnsi="Times New Roman" w:cs="Times New Roman"/>
          <w:lang w:val="ro-MD"/>
        </w:rPr>
        <w:t xml:space="preserve"> în care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intenționează să </w:t>
      </w:r>
      <w:r w:rsidR="00B017FD" w:rsidRPr="000508B6">
        <w:rPr>
          <w:rFonts w:ascii="Times New Roman" w:eastAsia="Times New Roman" w:hAnsi="Times New Roman" w:cs="Times New Roman"/>
          <w:lang w:val="ro-MD"/>
        </w:rPr>
        <w:t>își desfășoare activitatea</w:t>
      </w:r>
      <w:r w:rsidRPr="000508B6">
        <w:rPr>
          <w:rFonts w:ascii="Times New Roman" w:eastAsia="Times New Roman" w:hAnsi="Times New Roman" w:cs="Times New Roman"/>
          <w:lang w:val="ro-MD"/>
        </w:rPr>
        <w:t>;</w:t>
      </w:r>
    </w:p>
    <w:p w14:paraId="50400F49" w14:textId="0350AE56" w:rsidR="00F95829" w:rsidRPr="000508B6" w:rsidRDefault="006909B7" w:rsidP="00B83E3C">
      <w:pPr>
        <w:pStyle w:val="Listparagraf"/>
        <w:numPr>
          <w:ilvl w:val="0"/>
          <w:numId w:val="40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 lângă elementele stabilite la alin</w:t>
      </w:r>
      <w:r w:rsidR="00C24468"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(1), pentru primele trei exerciții financiare planul</w:t>
      </w:r>
      <w:r w:rsidR="00EE19EB" w:rsidRPr="000508B6">
        <w:rPr>
          <w:rFonts w:ascii="Times New Roman" w:eastAsia="Times New Roman" w:hAnsi="Times New Roman" w:cs="Times New Roman"/>
          <w:lang w:val="ro-MD"/>
        </w:rPr>
        <w:t xml:space="preserve"> de afaceri</w:t>
      </w:r>
      <w:r w:rsidRPr="000508B6">
        <w:rPr>
          <w:rFonts w:ascii="Times New Roman" w:eastAsia="Times New Roman" w:hAnsi="Times New Roman" w:cs="Times New Roman"/>
          <w:lang w:val="ro-MD"/>
        </w:rPr>
        <w:t xml:space="preserve"> conține următoarele</w:t>
      </w:r>
      <w:r w:rsidR="00F95829" w:rsidRPr="000508B6">
        <w:rPr>
          <w:rFonts w:ascii="Times New Roman" w:eastAsia="Times New Roman" w:hAnsi="Times New Roman" w:cs="Times New Roman"/>
          <w:lang w:val="ro-MD"/>
        </w:rPr>
        <w:t>:</w:t>
      </w:r>
    </w:p>
    <w:p w14:paraId="449746A6" w14:textId="01AFBCE9" w:rsidR="00F95829" w:rsidRPr="000508B6" w:rsidRDefault="00F95829" w:rsidP="00CF5AFA">
      <w:pPr>
        <w:pStyle w:val="Listparagraf"/>
        <w:numPr>
          <w:ilvl w:val="0"/>
          <w:numId w:val="404"/>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un </w:t>
      </w:r>
      <w:proofErr w:type="spellStart"/>
      <w:r w:rsidRPr="000508B6">
        <w:rPr>
          <w:rFonts w:ascii="Times New Roman" w:eastAsia="Times New Roman" w:hAnsi="Times New Roman" w:cs="Times New Roman"/>
          <w:lang w:val="ro-MD"/>
        </w:rPr>
        <w:t>bilanţ</w:t>
      </w:r>
      <w:proofErr w:type="spellEnd"/>
      <w:r w:rsidRPr="000508B6">
        <w:rPr>
          <w:rFonts w:ascii="Times New Roman" w:eastAsia="Times New Roman" w:hAnsi="Times New Roman" w:cs="Times New Roman"/>
          <w:lang w:val="ro-MD"/>
        </w:rPr>
        <w:t xml:space="preserve"> previzional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valorile estimate ale SCR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MCR;</w:t>
      </w:r>
    </w:p>
    <w:p w14:paraId="7A7E340E" w14:textId="5684D0FE" w:rsidR="00F95829" w:rsidRPr="000508B6" w:rsidRDefault="00F95829" w:rsidP="00CF5AFA">
      <w:pPr>
        <w:pStyle w:val="Listparagraf"/>
        <w:numPr>
          <w:ilvl w:val="0"/>
          <w:numId w:val="404"/>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metodele </w:t>
      </w:r>
      <w:r w:rsidR="00E17978" w:rsidRPr="000508B6">
        <w:rPr>
          <w:rFonts w:ascii="Times New Roman" w:eastAsia="Times New Roman" w:hAnsi="Times New Roman" w:cs="Times New Roman"/>
          <w:lang w:val="ro-MD"/>
        </w:rPr>
        <w:t xml:space="preserve">de calcul </w:t>
      </w:r>
      <w:r w:rsidRPr="000508B6">
        <w:rPr>
          <w:rFonts w:ascii="Times New Roman" w:eastAsia="Times New Roman" w:hAnsi="Times New Roman" w:cs="Times New Roman"/>
          <w:lang w:val="ro-MD"/>
        </w:rPr>
        <w:t xml:space="preserve">utilizate pentru calcularea valorilor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w:t>
      </w:r>
      <w:proofErr w:type="spellStart"/>
      <w:r w:rsidR="00946818" w:rsidRPr="000508B6">
        <w:rPr>
          <w:rFonts w:ascii="Times New Roman" w:eastAsia="Times New Roman" w:hAnsi="Times New Roman" w:cs="Times New Roman"/>
          <w:lang w:val="ro-MD"/>
        </w:rPr>
        <w:t>lit.</w:t>
      </w:r>
      <w:r w:rsidR="003F153A" w:rsidRPr="000508B6">
        <w:rPr>
          <w:rFonts w:ascii="Times New Roman" w:eastAsia="Times New Roman" w:hAnsi="Times New Roman" w:cs="Times New Roman"/>
          <w:lang w:val="ro-MD"/>
        </w:rPr>
        <w:t>a</w:t>
      </w:r>
      <w:proofErr w:type="spellEnd"/>
      <w:r w:rsidR="003F153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w:t>
      </w:r>
    </w:p>
    <w:p w14:paraId="569FF08D" w14:textId="133228F4" w:rsidR="00F95829" w:rsidRPr="000508B6" w:rsidRDefault="00F95829" w:rsidP="00CF5AFA">
      <w:pPr>
        <w:pStyle w:val="Listparagraf"/>
        <w:numPr>
          <w:ilvl w:val="0"/>
          <w:numId w:val="404"/>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estimări ale resurselor financiare care urmează </w:t>
      </w:r>
      <w:r w:rsidR="00D31D92" w:rsidRPr="000508B6">
        <w:rPr>
          <w:rFonts w:ascii="Times New Roman" w:eastAsia="Times New Roman" w:hAnsi="Times New Roman" w:cs="Times New Roman"/>
          <w:lang w:val="ro-MD"/>
        </w:rPr>
        <w:t>să</w:t>
      </w:r>
      <w:r w:rsidRPr="000508B6">
        <w:rPr>
          <w:rFonts w:ascii="Times New Roman" w:eastAsia="Times New Roman" w:hAnsi="Times New Roman" w:cs="Times New Roman"/>
          <w:lang w:val="ro-MD"/>
        </w:rPr>
        <w:t xml:space="preserve"> acoper</w:t>
      </w:r>
      <w:r w:rsidR="00D31D92"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rezervele tehnice, SCR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MCR;</w:t>
      </w:r>
    </w:p>
    <w:p w14:paraId="50DC279D" w14:textId="19965B14" w:rsidR="00F95829" w:rsidRPr="000508B6" w:rsidRDefault="00F95829" w:rsidP="00CF5AFA">
      <w:pPr>
        <w:pStyle w:val="Listparagraf"/>
        <w:numPr>
          <w:ilvl w:val="0"/>
          <w:numId w:val="404"/>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pentru activitatea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reasigurare generală: </w:t>
      </w:r>
    </w:p>
    <w:p w14:paraId="28E89C6F" w14:textId="7496E5C4" w:rsidR="00F95829" w:rsidRPr="000508B6" w:rsidRDefault="001F5672" w:rsidP="008C1990">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 </w:t>
      </w:r>
      <w:r w:rsidR="00F95829" w:rsidRPr="000508B6">
        <w:rPr>
          <w:rFonts w:ascii="Times New Roman" w:eastAsia="Times New Roman" w:hAnsi="Times New Roman" w:cs="Times New Roman"/>
          <w:lang w:val="ro-MD"/>
        </w:rPr>
        <w:t xml:space="preserve">estimări ale altor cheltuieli decât cele </w:t>
      </w:r>
      <w:proofErr w:type="spellStart"/>
      <w:r w:rsidR="00F95829" w:rsidRPr="000508B6">
        <w:rPr>
          <w:rFonts w:ascii="Times New Roman" w:eastAsia="Times New Roman" w:hAnsi="Times New Roman" w:cs="Times New Roman"/>
          <w:lang w:val="ro-MD"/>
        </w:rPr>
        <w:t>menţionate</w:t>
      </w:r>
      <w:proofErr w:type="spellEnd"/>
      <w:r w:rsidR="00F95829" w:rsidRPr="000508B6">
        <w:rPr>
          <w:rFonts w:ascii="Times New Roman" w:eastAsia="Times New Roman" w:hAnsi="Times New Roman" w:cs="Times New Roman"/>
          <w:lang w:val="ro-MD"/>
        </w:rPr>
        <w:t xml:space="preserve"> la </w:t>
      </w:r>
      <w:r w:rsidRPr="000508B6">
        <w:rPr>
          <w:rFonts w:ascii="Times New Roman" w:eastAsia="Times New Roman" w:hAnsi="Times New Roman" w:cs="Times New Roman"/>
          <w:lang w:val="ro-MD"/>
        </w:rPr>
        <w:t xml:space="preserve">alin. (1) </w:t>
      </w:r>
      <w:r w:rsidR="00F95829" w:rsidRPr="000508B6">
        <w:rPr>
          <w:rFonts w:ascii="Times New Roman" w:eastAsia="Times New Roman" w:hAnsi="Times New Roman" w:cs="Times New Roman"/>
          <w:lang w:val="ro-MD"/>
        </w:rPr>
        <w:t xml:space="preserve">lit. e), în special ale cheltuielilor generale curente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ale comisioanelor;</w:t>
      </w:r>
    </w:p>
    <w:p w14:paraId="7EC62576" w14:textId="2A05E25C" w:rsidR="00F95829" w:rsidRPr="000508B6" w:rsidRDefault="001F5672" w:rsidP="008C1990">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(ii) </w:t>
      </w:r>
      <w:r w:rsidR="00F95829" w:rsidRPr="000508B6">
        <w:rPr>
          <w:rFonts w:ascii="Times New Roman" w:eastAsia="Times New Roman" w:hAnsi="Times New Roman" w:cs="Times New Roman"/>
          <w:lang w:val="ro-MD"/>
        </w:rPr>
        <w:t xml:space="preserve">estimări ale volumului de prime sau </w:t>
      </w:r>
      <w:proofErr w:type="spellStart"/>
      <w:r w:rsidR="00F95829" w:rsidRPr="000508B6">
        <w:rPr>
          <w:rFonts w:ascii="Times New Roman" w:eastAsia="Times New Roman" w:hAnsi="Times New Roman" w:cs="Times New Roman"/>
          <w:lang w:val="ro-MD"/>
        </w:rPr>
        <w:t>cotizaţii</w:t>
      </w:r>
      <w:proofErr w:type="spellEnd"/>
      <w:r w:rsidR="00F95829" w:rsidRPr="000508B6">
        <w:rPr>
          <w:rFonts w:ascii="Times New Roman" w:eastAsia="Times New Roman" w:hAnsi="Times New Roman" w:cs="Times New Roman"/>
          <w:lang w:val="ro-MD"/>
        </w:rPr>
        <w:t>, după caz</w:t>
      </w:r>
      <w:r w:rsidR="001E1AE9"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ale volumului daunelor;</w:t>
      </w:r>
    </w:p>
    <w:p w14:paraId="728033EF" w14:textId="7ACC5F88" w:rsidR="00F95829" w:rsidRPr="000508B6" w:rsidRDefault="00F95829" w:rsidP="00CF5AFA">
      <w:pPr>
        <w:pStyle w:val="Listparagraf"/>
        <w:numPr>
          <w:ilvl w:val="0"/>
          <w:numId w:val="404"/>
        </w:numPr>
        <w:spacing w:after="0" w:line="240" w:lineRule="auto"/>
        <w:ind w:left="0" w:firstLine="426"/>
        <w:jc w:val="both"/>
        <w:rPr>
          <w:rFonts w:ascii="Times New Roman" w:eastAsia="Times New Roman" w:hAnsi="Times New Roman" w:cs="Times New Roman"/>
          <w:b/>
          <w:lang w:val="ro-MD"/>
        </w:rPr>
      </w:pPr>
      <w:r w:rsidRPr="000508B6">
        <w:rPr>
          <w:rFonts w:ascii="Times New Roman" w:eastAsia="Times New Roman" w:hAnsi="Times New Roman" w:cs="Times New Roman"/>
          <w:lang w:val="ro-MD"/>
        </w:rPr>
        <w:t xml:space="preserve">pentru activitatea de asigurare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estimări detaliate ale veniturilor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cheltuielilor legate de activitatea directă, acceptările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cedările în reasigurare.</w:t>
      </w:r>
      <w:r w:rsidR="00420BA4" w:rsidRPr="000508B6">
        <w:rPr>
          <w:rFonts w:ascii="Times New Roman" w:hAnsi="Times New Roman" w:cs="Times New Roman"/>
          <w:lang w:val="ro-MD"/>
        </w:rPr>
        <w:t xml:space="preserve"> </w:t>
      </w:r>
    </w:p>
    <w:p w14:paraId="6BB0E283" w14:textId="77777777" w:rsidR="00556A8F"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w:t>
      </w:r>
    </w:p>
    <w:p w14:paraId="5DF414C8" w14:textId="08E68F08"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8</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Reperfectarea </w:t>
      </w:r>
      <w:proofErr w:type="spellStart"/>
      <w:r w:rsidRPr="000508B6">
        <w:rPr>
          <w:rFonts w:ascii="Times New Roman" w:eastAsia="Times New Roman" w:hAnsi="Times New Roman" w:cs="Times New Roman"/>
          <w:lang w:val="ro-MD"/>
        </w:rPr>
        <w:t>licenţei</w:t>
      </w:r>
      <w:proofErr w:type="spellEnd"/>
    </w:p>
    <w:p w14:paraId="77CE35E3" w14:textId="4F431450" w:rsidR="00F95829" w:rsidRPr="000508B6" w:rsidRDefault="00F95829" w:rsidP="00CF5AFA">
      <w:pPr>
        <w:pStyle w:val="Listparagraf"/>
        <w:numPr>
          <w:ilvl w:val="1"/>
          <w:numId w:val="96"/>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Temeiurile pentru reperfectarea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w:t>
      </w:r>
      <w:r w:rsidR="0034124A" w:rsidRPr="000508B6">
        <w:rPr>
          <w:rFonts w:ascii="Times New Roman" w:eastAsia="Times New Roman" w:hAnsi="Times New Roman" w:cs="Times New Roman"/>
          <w:lang w:val="ro-MD"/>
        </w:rPr>
        <w:t>constituie</w:t>
      </w:r>
      <w:r w:rsidRPr="000508B6">
        <w:rPr>
          <w:rFonts w:ascii="Times New Roman" w:eastAsia="Times New Roman" w:hAnsi="Times New Roman" w:cs="Times New Roman"/>
          <w:lang w:val="ro-MD"/>
        </w:rPr>
        <w:t>:</w:t>
      </w:r>
    </w:p>
    <w:p w14:paraId="3CF6419F" w14:textId="2842C79C" w:rsidR="00F95829" w:rsidRPr="000508B6" w:rsidRDefault="00F95829" w:rsidP="00CF5AFA">
      <w:pPr>
        <w:pStyle w:val="Listparagraf"/>
        <w:numPr>
          <w:ilvl w:val="2"/>
          <w:numId w:val="96"/>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schimbarea denumirii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4E4049DA" w14:textId="24F06631" w:rsidR="00F95829" w:rsidRPr="000508B6" w:rsidRDefault="00F95829" w:rsidP="00CF5AFA">
      <w:pPr>
        <w:pStyle w:val="Listparagraf"/>
        <w:numPr>
          <w:ilvl w:val="2"/>
          <w:numId w:val="96"/>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modificarea sediului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135E08EA" w14:textId="06033170" w:rsidR="00F95829" w:rsidRPr="000508B6" w:rsidRDefault="00F95829" w:rsidP="00CF5AFA">
      <w:pPr>
        <w:pStyle w:val="Listparagraf"/>
        <w:numPr>
          <w:ilvl w:val="1"/>
          <w:numId w:val="96"/>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La </w:t>
      </w:r>
      <w:proofErr w:type="spellStart"/>
      <w:r w:rsidRPr="000508B6">
        <w:rPr>
          <w:rFonts w:ascii="Times New Roman" w:eastAsia="Times New Roman" w:hAnsi="Times New Roman" w:cs="Times New Roman"/>
          <w:lang w:val="ro-MD"/>
        </w:rPr>
        <w:t>apariţia</w:t>
      </w:r>
      <w:proofErr w:type="spellEnd"/>
      <w:r w:rsidRPr="000508B6">
        <w:rPr>
          <w:rFonts w:ascii="Times New Roman" w:eastAsia="Times New Roman" w:hAnsi="Times New Roman" w:cs="Times New Roman"/>
          <w:lang w:val="ro-MD"/>
        </w:rPr>
        <w:t xml:space="preserve"> temeiurilor pentru reperfectarea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bookmarkStart w:id="36" w:name="_Hlk191647324"/>
      <w:r w:rsidRPr="000508B6">
        <w:rPr>
          <w:rFonts w:ascii="Times New Roman" w:eastAsia="Times New Roman" w:hAnsi="Times New Roman" w:cs="Times New Roman"/>
          <w:lang w:val="ro-MD"/>
        </w:rPr>
        <w:t xml:space="preserve">este obligat, în termen de 10 zile lucrătoare de la data înregistrării de stat a modificărilor operate, să depună la Banca Națională a Moldovei o cerere de reperfectare 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cu documentele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w:t>
      </w:r>
      <w:bookmarkEnd w:id="36"/>
      <w:r w:rsidRPr="000508B6">
        <w:rPr>
          <w:rFonts w:ascii="Times New Roman" w:eastAsia="Times New Roman" w:hAnsi="Times New Roman" w:cs="Times New Roman"/>
          <w:lang w:val="ro-MD"/>
        </w:rPr>
        <w:t xml:space="preserve">aferente conform actelor normative ale Băncii Naționale a Moldovei. </w:t>
      </w:r>
    </w:p>
    <w:p w14:paraId="1111C50A" w14:textId="12D99080" w:rsidR="00F51CBF" w:rsidRPr="000508B6" w:rsidRDefault="00F95829" w:rsidP="00CF5AFA">
      <w:pPr>
        <w:pStyle w:val="Listparagraf"/>
        <w:numPr>
          <w:ilvl w:val="1"/>
          <w:numId w:val="96"/>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Modificările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completările efectuate la reperfectarea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se introduc în Registrul </w:t>
      </w:r>
      <w:r w:rsidR="00306A66" w:rsidRPr="000508B6">
        <w:rPr>
          <w:rFonts w:ascii="Times New Roman" w:eastAsia="Times New Roman" w:hAnsi="Times New Roman" w:cs="Times New Roman"/>
          <w:lang w:val="ro-MD"/>
        </w:rPr>
        <w:t xml:space="preserve">asigurătorilor </w:t>
      </w:r>
      <w:r w:rsidR="00C35E1B" w:rsidRPr="000508B6">
        <w:rPr>
          <w:rFonts w:ascii="Times New Roman" w:eastAsia="Times New Roman" w:hAnsi="Times New Roman" w:cs="Times New Roman"/>
          <w:lang w:val="ro-MD"/>
        </w:rPr>
        <w:t xml:space="preserve">și </w:t>
      </w:r>
      <w:proofErr w:type="spellStart"/>
      <w:r w:rsidR="00306A66" w:rsidRPr="000508B6">
        <w:rPr>
          <w:rFonts w:ascii="Times New Roman" w:eastAsia="Times New Roman" w:hAnsi="Times New Roman" w:cs="Times New Roman"/>
          <w:lang w:val="ro-MD"/>
        </w:rPr>
        <w:t>reasigurătorilor</w:t>
      </w:r>
      <w:proofErr w:type="spellEnd"/>
      <w:r w:rsidR="00F51CBF" w:rsidRPr="000508B6">
        <w:rPr>
          <w:rFonts w:ascii="Times New Roman" w:eastAsia="Times New Roman" w:hAnsi="Times New Roman" w:cs="Times New Roman"/>
          <w:lang w:val="ro-MD"/>
        </w:rPr>
        <w:t xml:space="preserve">. </w:t>
      </w:r>
    </w:p>
    <w:p w14:paraId="02623A8B" w14:textId="77777777" w:rsidR="00BA1CBB" w:rsidRPr="000508B6" w:rsidRDefault="00BA1CBB" w:rsidP="00BA1CBB">
      <w:pPr>
        <w:pStyle w:val="Listparagraf"/>
        <w:tabs>
          <w:tab w:val="left" w:pos="993"/>
        </w:tabs>
        <w:spacing w:after="0" w:line="240" w:lineRule="auto"/>
        <w:ind w:left="426"/>
        <w:jc w:val="both"/>
        <w:rPr>
          <w:rFonts w:ascii="Times New Roman" w:eastAsia="Times New Roman" w:hAnsi="Times New Roman" w:cs="Times New Roman"/>
          <w:lang w:val="ro-MD"/>
        </w:rPr>
      </w:pPr>
    </w:p>
    <w:p w14:paraId="4B59F77E" w14:textId="21C126FB" w:rsidR="00613BFF" w:rsidRPr="000508B6" w:rsidRDefault="00613BFF" w:rsidP="00613BFF">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Articolul 9. </w:t>
      </w:r>
      <w:r w:rsidRPr="000508B6">
        <w:rPr>
          <w:rFonts w:ascii="Times New Roman" w:eastAsia="Times New Roman" w:hAnsi="Times New Roman" w:cs="Times New Roman"/>
          <w:lang w:val="ro-MD"/>
        </w:rPr>
        <w:t xml:space="preserve">Registrul </w:t>
      </w:r>
      <w:r w:rsidR="002B5B25" w:rsidRPr="000508B6">
        <w:rPr>
          <w:rFonts w:ascii="Times New Roman" w:eastAsia="Times New Roman" w:hAnsi="Times New Roman" w:cs="Times New Roman"/>
          <w:lang w:val="ro-MD"/>
        </w:rPr>
        <w:t xml:space="preserve">asigurătorilor </w:t>
      </w:r>
      <w:r w:rsidR="00CF461F" w:rsidRPr="000508B6">
        <w:rPr>
          <w:rFonts w:ascii="Times New Roman" w:eastAsia="Times New Roman" w:hAnsi="Times New Roman" w:cs="Times New Roman"/>
          <w:lang w:val="ro-MD"/>
        </w:rPr>
        <w:t>și</w:t>
      </w:r>
      <w:r w:rsidR="002B5B25" w:rsidRPr="000508B6">
        <w:rPr>
          <w:rFonts w:ascii="Times New Roman" w:eastAsia="Times New Roman" w:hAnsi="Times New Roman" w:cs="Times New Roman"/>
          <w:lang w:val="ro-MD"/>
        </w:rPr>
        <w:t xml:space="preserve"> </w:t>
      </w:r>
      <w:proofErr w:type="spellStart"/>
      <w:r w:rsidR="002B5B25" w:rsidRPr="000508B6">
        <w:rPr>
          <w:rFonts w:ascii="Times New Roman" w:eastAsia="Times New Roman" w:hAnsi="Times New Roman" w:cs="Times New Roman"/>
          <w:lang w:val="ro-MD"/>
        </w:rPr>
        <w:t>reasigurătorilor</w:t>
      </w:r>
      <w:proofErr w:type="spellEnd"/>
    </w:p>
    <w:p w14:paraId="0809A69E" w14:textId="4FF92D7D" w:rsidR="00613BFF" w:rsidRPr="000508B6" w:rsidRDefault="00613BFF" w:rsidP="00685AE6">
      <w:pPr>
        <w:pStyle w:val="Listparagraf"/>
        <w:numPr>
          <w:ilvl w:val="0"/>
          <w:numId w:val="265"/>
        </w:numPr>
        <w:tabs>
          <w:tab w:val="left" w:pos="709"/>
          <w:tab w:val="left" w:pos="993"/>
        </w:tabs>
        <w:spacing w:after="0" w:line="240" w:lineRule="auto"/>
        <w:ind w:left="0" w:firstLine="426"/>
        <w:jc w:val="both"/>
        <w:rPr>
          <w:rFonts w:ascii="Times New Roman" w:eastAsia="Times New Roman" w:hAnsi="Times New Roman" w:cs="Times New Roman"/>
          <w:lang w:val="ro-MD"/>
        </w:rPr>
      </w:pPr>
      <w:bookmarkStart w:id="37" w:name="_Hlk204939520"/>
      <w:r w:rsidRPr="000508B6">
        <w:rPr>
          <w:rFonts w:ascii="Times New Roman" w:eastAsia="Times New Roman" w:hAnsi="Times New Roman" w:cs="Times New Roman"/>
          <w:lang w:val="ro-MD"/>
        </w:rPr>
        <w:t xml:space="preserve">Banca Națională a Moldovei ține Registrul </w:t>
      </w:r>
      <w:r w:rsidR="002B5B25" w:rsidRPr="000508B6">
        <w:rPr>
          <w:rFonts w:ascii="Times New Roman" w:eastAsia="Times New Roman" w:hAnsi="Times New Roman" w:cs="Times New Roman"/>
          <w:lang w:val="ro-MD"/>
        </w:rPr>
        <w:t>asigurătorilor</w:t>
      </w:r>
      <w:r w:rsidR="004C7BE0" w:rsidRPr="000508B6" w:rsidDel="002B5B25">
        <w:rPr>
          <w:rFonts w:ascii="Times New Roman" w:eastAsia="Times New Roman" w:hAnsi="Times New Roman" w:cs="Times New Roman"/>
          <w:lang w:val="ro-MD"/>
        </w:rPr>
        <w:t xml:space="preserve"> </w:t>
      </w:r>
      <w:r w:rsidR="00312672" w:rsidRPr="000508B6" w:rsidDel="002B5B25">
        <w:rPr>
          <w:rFonts w:ascii="Times New Roman" w:eastAsia="Times New Roman" w:hAnsi="Times New Roman" w:cs="Times New Roman"/>
          <w:lang w:val="ro-MD"/>
        </w:rPr>
        <w:t>și</w:t>
      </w:r>
      <w:r w:rsidR="004C7BE0" w:rsidRPr="000508B6" w:rsidDel="002B5B25">
        <w:rPr>
          <w:rFonts w:ascii="Times New Roman" w:eastAsia="Times New Roman" w:hAnsi="Times New Roman" w:cs="Times New Roman"/>
          <w:lang w:val="ro-MD"/>
        </w:rPr>
        <w:t xml:space="preserve"> </w:t>
      </w:r>
      <w:proofErr w:type="spellStart"/>
      <w:r w:rsidR="002B5B25" w:rsidRPr="000508B6">
        <w:rPr>
          <w:rFonts w:ascii="Times New Roman" w:eastAsia="Times New Roman" w:hAnsi="Times New Roman" w:cs="Times New Roman"/>
          <w:lang w:val="ro-MD"/>
        </w:rPr>
        <w:t>reasigurătorilor</w:t>
      </w:r>
      <w:proofErr w:type="spellEnd"/>
      <w:r w:rsidR="00626672"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care </w:t>
      </w:r>
      <w:bookmarkEnd w:id="37"/>
      <w:r w:rsidR="008B46DD" w:rsidRPr="000508B6">
        <w:rPr>
          <w:rFonts w:ascii="Times New Roman" w:eastAsia="Times New Roman" w:hAnsi="Times New Roman" w:cs="Times New Roman"/>
          <w:lang w:val="ro-MD"/>
        </w:rPr>
        <w:t>se publică pe pagina web oficială a Băncii Națională a Moldovei</w:t>
      </w:r>
      <w:r w:rsidRPr="000508B6">
        <w:rPr>
          <w:rFonts w:ascii="Times New Roman" w:eastAsia="Times New Roman" w:hAnsi="Times New Roman" w:cs="Times New Roman"/>
          <w:lang w:val="ro-MD"/>
        </w:rPr>
        <w:t>.</w:t>
      </w:r>
    </w:p>
    <w:p w14:paraId="2ECCC2BC" w14:textId="4E896A25" w:rsidR="00F95829" w:rsidRPr="000508B6" w:rsidRDefault="008B46DD" w:rsidP="0092203B">
      <w:pPr>
        <w:pStyle w:val="Listparagraf"/>
        <w:numPr>
          <w:ilvl w:val="0"/>
          <w:numId w:val="265"/>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Cerințele față </w:t>
      </w:r>
      <w:r w:rsidR="00E73EB6">
        <w:rPr>
          <w:rFonts w:ascii="Times New Roman" w:eastAsia="Times New Roman" w:hAnsi="Times New Roman" w:cs="Times New Roman"/>
          <w:lang w:val="ro-MD"/>
        </w:rPr>
        <w:t xml:space="preserve">de </w:t>
      </w:r>
      <w:r w:rsidRPr="000508B6">
        <w:rPr>
          <w:rFonts w:ascii="Times New Roman" w:eastAsia="Times New Roman" w:hAnsi="Times New Roman" w:cs="Times New Roman"/>
          <w:lang w:val="ro-MD"/>
        </w:rPr>
        <w:t>f</w:t>
      </w:r>
      <w:r w:rsidR="00613BFF" w:rsidRPr="000508B6">
        <w:rPr>
          <w:rFonts w:ascii="Times New Roman" w:eastAsia="Times New Roman" w:hAnsi="Times New Roman" w:cs="Times New Roman"/>
          <w:lang w:val="ro-MD"/>
        </w:rPr>
        <w:t xml:space="preserve">orma, modalitatea de ținere </w:t>
      </w:r>
      <w:r w:rsidRPr="000508B6">
        <w:rPr>
          <w:rFonts w:ascii="Times New Roman" w:eastAsia="Times New Roman" w:hAnsi="Times New Roman" w:cs="Times New Roman"/>
          <w:lang w:val="ro-MD"/>
        </w:rPr>
        <w:t xml:space="preserve">a </w:t>
      </w:r>
      <w:r w:rsidR="00613BFF" w:rsidRPr="000508B6">
        <w:rPr>
          <w:rFonts w:ascii="Times New Roman" w:eastAsia="Times New Roman" w:hAnsi="Times New Roman" w:cs="Times New Roman"/>
          <w:lang w:val="ro-MD"/>
        </w:rPr>
        <w:t xml:space="preserve">Registrului </w:t>
      </w:r>
      <w:r w:rsidR="00685AE6" w:rsidRPr="000508B6">
        <w:rPr>
          <w:rFonts w:ascii="Times New Roman" w:eastAsia="Times New Roman" w:hAnsi="Times New Roman" w:cs="Times New Roman"/>
          <w:lang w:val="ro-MD"/>
        </w:rPr>
        <w:t xml:space="preserve">asigurătorilor </w:t>
      </w:r>
      <w:r w:rsidR="00CF461F" w:rsidRPr="000508B6">
        <w:rPr>
          <w:rFonts w:ascii="Times New Roman" w:eastAsia="Times New Roman" w:hAnsi="Times New Roman" w:cs="Times New Roman"/>
          <w:lang w:val="ro-MD"/>
        </w:rPr>
        <w:t xml:space="preserve">și </w:t>
      </w:r>
      <w:proofErr w:type="spellStart"/>
      <w:r w:rsidR="00685AE6" w:rsidRPr="000508B6">
        <w:rPr>
          <w:rFonts w:ascii="Times New Roman" w:eastAsia="Times New Roman" w:hAnsi="Times New Roman" w:cs="Times New Roman"/>
          <w:lang w:val="ro-MD"/>
        </w:rPr>
        <w:t>reasigurătorilor</w:t>
      </w:r>
      <w:proofErr w:type="spellEnd"/>
      <w:r w:rsidRPr="000508B6">
        <w:rPr>
          <w:rFonts w:ascii="Times New Roman" w:eastAsia="Times New Roman" w:hAnsi="Times New Roman" w:cs="Times New Roman"/>
          <w:lang w:val="ro-MD"/>
        </w:rPr>
        <w:t>, precum și informația ce se conține în acesta</w:t>
      </w:r>
      <w:r w:rsidR="00613BFF" w:rsidRPr="000508B6">
        <w:rPr>
          <w:rFonts w:ascii="Times New Roman" w:eastAsia="Times New Roman" w:hAnsi="Times New Roman" w:cs="Times New Roman"/>
          <w:lang w:val="ro-MD"/>
        </w:rPr>
        <w:t xml:space="preserve"> se stabilesc prin </w:t>
      </w:r>
      <w:r w:rsidR="00432735" w:rsidRPr="000508B6">
        <w:rPr>
          <w:rFonts w:ascii="Times New Roman" w:eastAsia="Times New Roman" w:hAnsi="Times New Roman" w:cs="Times New Roman"/>
          <w:lang w:val="ro-MD"/>
        </w:rPr>
        <w:t>actele normative</w:t>
      </w:r>
      <w:r w:rsidR="00613BFF" w:rsidRPr="000508B6">
        <w:rPr>
          <w:rFonts w:ascii="Times New Roman" w:eastAsia="Times New Roman" w:hAnsi="Times New Roman" w:cs="Times New Roman"/>
          <w:lang w:val="ro-MD"/>
        </w:rPr>
        <w:t xml:space="preserve"> al</w:t>
      </w:r>
      <w:r w:rsidR="007A3304" w:rsidRPr="000508B6">
        <w:rPr>
          <w:rFonts w:ascii="Times New Roman" w:eastAsia="Times New Roman" w:hAnsi="Times New Roman" w:cs="Times New Roman"/>
          <w:lang w:val="ro-MD"/>
        </w:rPr>
        <w:t>e</w:t>
      </w:r>
      <w:r w:rsidR="00613BFF" w:rsidRPr="000508B6">
        <w:rPr>
          <w:rFonts w:ascii="Times New Roman" w:eastAsia="Times New Roman" w:hAnsi="Times New Roman" w:cs="Times New Roman"/>
          <w:lang w:val="ro-MD"/>
        </w:rPr>
        <w:t xml:space="preserve"> Băncii Naționale a Moldovei.</w:t>
      </w:r>
    </w:p>
    <w:p w14:paraId="5AA5BE75" w14:textId="3AAB2FAC" w:rsidR="00F508AD" w:rsidRPr="000508B6" w:rsidRDefault="00F508AD" w:rsidP="0035206D">
      <w:pPr>
        <w:tabs>
          <w:tab w:val="left" w:pos="993"/>
        </w:tabs>
        <w:spacing w:after="0" w:line="240" w:lineRule="auto"/>
        <w:ind w:firstLine="426"/>
        <w:jc w:val="both"/>
        <w:rPr>
          <w:rFonts w:ascii="Times New Roman" w:eastAsia="Times New Roman" w:hAnsi="Times New Roman" w:cs="Times New Roman"/>
          <w:lang w:val="ro-MD"/>
        </w:rPr>
      </w:pPr>
    </w:p>
    <w:p w14:paraId="0532E86D" w14:textId="5F12CAFE" w:rsidR="00C46449" w:rsidRPr="000508B6" w:rsidRDefault="00C46449" w:rsidP="00C46449">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10</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bCs/>
          <w:lang w:val="ro-MD"/>
        </w:rPr>
        <w:t>Taxe</w:t>
      </w:r>
      <w:r w:rsidRPr="000508B6">
        <w:rPr>
          <w:rFonts w:ascii="Times New Roman" w:eastAsia="Times New Roman" w:hAnsi="Times New Roman" w:cs="Times New Roman"/>
          <w:b/>
          <w:lang w:val="ro-MD"/>
        </w:rPr>
        <w:t xml:space="preserve"> </w:t>
      </w:r>
    </w:p>
    <w:p w14:paraId="034C78F2" w14:textId="4B6E2C9F" w:rsidR="00C46449" w:rsidRPr="000508B6" w:rsidRDefault="00C46449" w:rsidP="00CF5AFA">
      <w:pPr>
        <w:pStyle w:val="Listparagraf"/>
        <w:numPr>
          <w:ilvl w:val="0"/>
          <w:numId w:val="247"/>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Taxa de eliberare 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pentru activitatea de asigurare sau de reasigurare </w:t>
      </w:r>
      <w:r w:rsidR="001457DF" w:rsidRPr="000508B6">
        <w:rPr>
          <w:rFonts w:ascii="Times New Roman" w:eastAsia="Times New Roman" w:hAnsi="Times New Roman" w:cs="Times New Roman"/>
          <w:lang w:val="ro-MD"/>
        </w:rPr>
        <w:t>constituie</w:t>
      </w:r>
      <w:r w:rsidRPr="000508B6">
        <w:rPr>
          <w:rFonts w:ascii="Times New Roman" w:eastAsia="Times New Roman" w:hAnsi="Times New Roman" w:cs="Times New Roman"/>
          <w:lang w:val="ro-MD"/>
        </w:rPr>
        <w:t xml:space="preserve"> 50000 de lei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se varsă la bugetul de stat. </w:t>
      </w:r>
    </w:p>
    <w:p w14:paraId="6432F015" w14:textId="740CDF8D" w:rsidR="00D01972" w:rsidRPr="000508B6" w:rsidRDefault="00D01972" w:rsidP="00CF5AFA">
      <w:pPr>
        <w:pStyle w:val="Listparagraf"/>
        <w:numPr>
          <w:ilvl w:val="0"/>
          <w:numId w:val="247"/>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Taxa pentru extinderea </w:t>
      </w:r>
      <w:r w:rsidR="00B242AC" w:rsidRPr="000508B6">
        <w:rPr>
          <w:rFonts w:ascii="Times New Roman" w:eastAsia="Times New Roman" w:hAnsi="Times New Roman" w:cs="Times New Roman"/>
          <w:lang w:val="ro-MD"/>
        </w:rPr>
        <w:t>sau excluderea</w:t>
      </w:r>
      <w:r w:rsidRPr="000508B6">
        <w:rPr>
          <w:rFonts w:ascii="Times New Roman" w:eastAsia="Times New Roman" w:hAnsi="Times New Roman" w:cs="Times New Roman"/>
          <w:lang w:val="ro-MD"/>
        </w:rPr>
        <w:t xml:space="preserve"> activității  la</w:t>
      </w:r>
      <w:r w:rsidRPr="000508B6">
        <w:rPr>
          <w:rFonts w:ascii="Times New Roman" w:eastAsia="Times New Roman" w:hAnsi="Times New Roman" w:cs="Times New Roman"/>
          <w:sz w:val="20"/>
          <w:szCs w:val="20"/>
          <w:lang w:val="ro-MD"/>
        </w:rPr>
        <w:t xml:space="preserve"> </w:t>
      </w:r>
      <w:r w:rsidRPr="000508B6">
        <w:rPr>
          <w:rFonts w:ascii="Times New Roman" w:eastAsia="Times New Roman" w:hAnsi="Times New Roman" w:cs="Times New Roman"/>
          <w:lang w:val="ro-MD"/>
        </w:rPr>
        <w:t xml:space="preserve">o </w:t>
      </w:r>
      <w:r w:rsidR="000E36A7" w:rsidRPr="000508B6">
        <w:rPr>
          <w:rFonts w:ascii="Times New Roman" w:eastAsia="Times New Roman" w:hAnsi="Times New Roman" w:cs="Times New Roman"/>
          <w:lang w:val="ro-MD"/>
        </w:rPr>
        <w:t>nouă</w:t>
      </w:r>
      <w:r w:rsidRPr="000508B6">
        <w:rPr>
          <w:rFonts w:ascii="Times New Roman" w:eastAsia="Times New Roman" w:hAnsi="Times New Roman" w:cs="Times New Roman"/>
          <w:lang w:val="ro-MD"/>
        </w:rPr>
        <w:t xml:space="preserve"> clasă de </w:t>
      </w:r>
      <w:r w:rsidR="000E36A7" w:rsidRPr="000508B6">
        <w:rPr>
          <w:rFonts w:ascii="Times New Roman" w:eastAsia="Times New Roman" w:hAnsi="Times New Roman" w:cs="Times New Roman"/>
          <w:lang w:val="ro-MD"/>
        </w:rPr>
        <w:t>asigurări sau</w:t>
      </w:r>
      <w:r w:rsidRPr="000508B6">
        <w:rPr>
          <w:rFonts w:ascii="Times New Roman" w:eastAsia="Times New Roman" w:hAnsi="Times New Roman" w:cs="Times New Roman"/>
          <w:lang w:val="ro-MD"/>
        </w:rPr>
        <w:t xml:space="preserve"> la </w:t>
      </w:r>
      <w:r w:rsidR="000E36A7" w:rsidRPr="000508B6">
        <w:rPr>
          <w:rFonts w:ascii="Times New Roman" w:eastAsia="Times New Roman" w:hAnsi="Times New Roman" w:cs="Times New Roman"/>
          <w:lang w:val="ro-MD"/>
        </w:rPr>
        <w:t>alte riscuri</w:t>
      </w:r>
      <w:r w:rsidR="000E36A7" w:rsidRPr="000508B6">
        <w:rPr>
          <w:rFonts w:ascii="Times New Roman" w:eastAsia="Times New Roman" w:hAnsi="Times New Roman" w:cs="Times New Roman"/>
          <w:sz w:val="20"/>
          <w:szCs w:val="20"/>
          <w:lang w:val="ro-MD"/>
        </w:rPr>
        <w:t xml:space="preserve"> </w:t>
      </w:r>
      <w:r w:rsidR="000E36A7" w:rsidRPr="000508B6">
        <w:rPr>
          <w:rFonts w:ascii="Times New Roman" w:eastAsia="Times New Roman" w:hAnsi="Times New Roman" w:cs="Times New Roman"/>
          <w:lang w:val="ro-MD"/>
        </w:rPr>
        <w:t>dintr-o clasă</w:t>
      </w:r>
      <w:r w:rsidRPr="000508B6">
        <w:rPr>
          <w:rFonts w:ascii="Times New Roman" w:eastAsia="Times New Roman" w:hAnsi="Times New Roman" w:cs="Times New Roman"/>
          <w:lang w:val="ro-MD"/>
        </w:rPr>
        <w:t xml:space="preserve"> pentru care este </w:t>
      </w:r>
      <w:proofErr w:type="spellStart"/>
      <w:r w:rsidRPr="000508B6">
        <w:rPr>
          <w:rFonts w:ascii="Times New Roman" w:eastAsia="Times New Roman" w:hAnsi="Times New Roman" w:cs="Times New Roman"/>
          <w:lang w:val="ro-MD"/>
        </w:rPr>
        <w:t>deţinută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 xml:space="preserve"> constituie 10% din taxa pentru eliberarea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se varsă la bugetul de stat.</w:t>
      </w:r>
    </w:p>
    <w:p w14:paraId="14E017D7" w14:textId="60FB789F" w:rsidR="009B1D57" w:rsidRPr="000508B6" w:rsidRDefault="00C46449" w:rsidP="00CF5AFA">
      <w:pPr>
        <w:pStyle w:val="Listparagraf"/>
        <w:numPr>
          <w:ilvl w:val="0"/>
          <w:numId w:val="247"/>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Taxa pentru reperfectarea licenței, pentru eliberarea copiei autorizate sau a du</w:t>
      </w:r>
      <w:r w:rsidR="006F06EF" w:rsidRPr="000508B6">
        <w:rPr>
          <w:rFonts w:ascii="Times New Roman" w:eastAsia="Times New Roman" w:hAnsi="Times New Roman" w:cs="Times New Roman"/>
          <w:lang w:val="ro-MD"/>
        </w:rPr>
        <w:t>p</w:t>
      </w:r>
      <w:r w:rsidRPr="000508B6">
        <w:rPr>
          <w:rFonts w:ascii="Times New Roman" w:eastAsia="Times New Roman" w:hAnsi="Times New Roman" w:cs="Times New Roman"/>
          <w:lang w:val="ro-MD"/>
        </w:rPr>
        <w:t xml:space="preserve">licatului licenței constituie </w:t>
      </w:r>
      <w:r w:rsidR="00DA2935" w:rsidRPr="000508B6">
        <w:rPr>
          <w:rFonts w:ascii="Times New Roman" w:eastAsia="Times New Roman" w:hAnsi="Times New Roman" w:cs="Times New Roman"/>
          <w:lang w:val="ro-MD"/>
        </w:rPr>
        <w:t>500 lei</w:t>
      </w:r>
      <w:r w:rsidRPr="000508B6">
        <w:rPr>
          <w:rFonts w:ascii="Times New Roman" w:eastAsia="Times New Roman" w:hAnsi="Times New Roman" w:cs="Times New Roman"/>
          <w:lang w:val="ro-MD"/>
        </w:rPr>
        <w:t xml:space="preserve">  și se varsă </w:t>
      </w:r>
      <w:r w:rsidR="00A71540" w:rsidRPr="000508B6">
        <w:rPr>
          <w:rFonts w:ascii="Times New Roman" w:eastAsia="Times New Roman" w:hAnsi="Times New Roman" w:cs="Times New Roman"/>
          <w:lang w:val="ro-MD"/>
        </w:rPr>
        <w:t xml:space="preserve">la </w:t>
      </w:r>
      <w:r w:rsidRPr="000508B6">
        <w:rPr>
          <w:rFonts w:ascii="Times New Roman" w:eastAsia="Times New Roman" w:hAnsi="Times New Roman" w:cs="Times New Roman"/>
          <w:lang w:val="ro-MD"/>
        </w:rPr>
        <w:t>bugetul de stat.</w:t>
      </w:r>
    </w:p>
    <w:p w14:paraId="6AEFD737" w14:textId="383669DA" w:rsidR="002026FB" w:rsidRPr="000508B6" w:rsidRDefault="002026FB" w:rsidP="00CF5AFA">
      <w:pPr>
        <w:pStyle w:val="Listparagraf"/>
        <w:numPr>
          <w:ilvl w:val="0"/>
          <w:numId w:val="247"/>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alin. (1)-(3) se aplică în mod corespunzător pentru sucursalele asigurătorilor din state terțe. </w:t>
      </w:r>
    </w:p>
    <w:p w14:paraId="7FE2403F" w14:textId="77777777" w:rsidR="00F95829" w:rsidRPr="000508B6" w:rsidRDefault="00F95829" w:rsidP="00B52704">
      <w:pPr>
        <w:tabs>
          <w:tab w:val="left" w:pos="851"/>
        </w:tabs>
        <w:spacing w:after="0" w:line="240" w:lineRule="auto"/>
        <w:ind w:firstLine="426"/>
        <w:jc w:val="both"/>
        <w:rPr>
          <w:rFonts w:ascii="Times New Roman" w:eastAsia="Times New Roman" w:hAnsi="Times New Roman" w:cs="Times New Roman"/>
          <w:lang w:val="ro-MD"/>
        </w:rPr>
      </w:pPr>
    </w:p>
    <w:p w14:paraId="25C7B1D7" w14:textId="77777777" w:rsidR="00F95829" w:rsidRPr="000508B6" w:rsidDel="005B48C7"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sidDel="005B48C7">
        <w:rPr>
          <w:rFonts w:ascii="Times New Roman" w:eastAsia="Times New Roman" w:hAnsi="Times New Roman" w:cs="Times New Roman"/>
          <w:b/>
          <w:lang w:val="ro-MD"/>
        </w:rPr>
        <w:t>Secţiunea</w:t>
      </w:r>
      <w:proofErr w:type="spellEnd"/>
      <w:r w:rsidRPr="000508B6" w:rsidDel="005B48C7">
        <w:rPr>
          <w:rFonts w:ascii="Times New Roman" w:eastAsia="Times New Roman" w:hAnsi="Times New Roman" w:cs="Times New Roman"/>
          <w:b/>
          <w:lang w:val="ro-MD"/>
        </w:rPr>
        <w:t xml:space="preserve"> a 2-a</w:t>
      </w:r>
    </w:p>
    <w:p w14:paraId="78FE4FCE"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Participațiile calificate</w:t>
      </w:r>
    </w:p>
    <w:p w14:paraId="4F4895B6" w14:textId="4252935A"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11</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CB3DE5" w:rsidRPr="000508B6">
        <w:rPr>
          <w:rFonts w:ascii="Times New Roman" w:eastAsia="Times New Roman" w:hAnsi="Times New Roman" w:cs="Times New Roman"/>
          <w:lang w:val="ro-MD"/>
        </w:rPr>
        <w:t>Acționarii</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C437CD" w:rsidRPr="000508B6">
        <w:rPr>
          <w:rFonts w:ascii="Times New Roman" w:eastAsia="Times New Roman" w:hAnsi="Times New Roman" w:cs="Times New Roman"/>
          <w:lang w:val="ro-MD"/>
        </w:rPr>
        <w:t xml:space="preserve"> </w:t>
      </w:r>
    </w:p>
    <w:p w14:paraId="2EA434F8" w14:textId="18534FA1" w:rsidR="00F95829" w:rsidRPr="000508B6" w:rsidRDefault="00F95829" w:rsidP="00CF5AFA">
      <w:pPr>
        <w:pStyle w:val="Listparagraf"/>
        <w:numPr>
          <w:ilvl w:val="1"/>
          <w:numId w:val="99"/>
        </w:numPr>
        <w:tabs>
          <w:tab w:val="left" w:pos="28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Pot fi </w:t>
      </w:r>
      <w:proofErr w:type="spellStart"/>
      <w:r w:rsidRPr="000508B6">
        <w:rPr>
          <w:rFonts w:ascii="Times New Roman" w:eastAsia="Times New Roman" w:hAnsi="Times New Roman" w:cs="Times New Roman"/>
          <w:lang w:val="ro-MD"/>
        </w:rPr>
        <w:t>acţionari</w:t>
      </w:r>
      <w:proofErr w:type="spellEnd"/>
      <w:r w:rsidRPr="000508B6">
        <w:rPr>
          <w:rFonts w:ascii="Times New Roman" w:eastAsia="Times New Roman" w:hAnsi="Times New Roman" w:cs="Times New Roman"/>
          <w:lang w:val="ro-MD"/>
        </w:rPr>
        <w:t xml:space="preserve"> ai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8676B4"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persoane</w:t>
      </w:r>
      <w:r w:rsidR="004619A8" w:rsidRPr="000508B6">
        <w:rPr>
          <w:rFonts w:ascii="Times New Roman" w:eastAsia="Times New Roman" w:hAnsi="Times New Roman" w:cs="Times New Roman"/>
          <w:lang w:val="ro-MD"/>
        </w:rPr>
        <w:t>le</w:t>
      </w:r>
      <w:r w:rsidRPr="000508B6">
        <w:rPr>
          <w:rFonts w:ascii="Times New Roman" w:eastAsia="Times New Roman" w:hAnsi="Times New Roman" w:cs="Times New Roman"/>
          <w:lang w:val="ro-MD"/>
        </w:rPr>
        <w:t xml:space="preserve"> fizice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juridice, rezidente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nerezidente ale Republicii Moldova,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prezentei legi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w:t>
      </w:r>
      <w:r w:rsidR="00E82145" w:rsidRPr="000508B6">
        <w:rPr>
          <w:rFonts w:ascii="Times New Roman" w:eastAsia="Times New Roman" w:hAnsi="Times New Roman" w:cs="Times New Roman"/>
          <w:lang w:val="ro-MD"/>
        </w:rPr>
        <w:t>actel</w:t>
      </w:r>
      <w:r w:rsidR="002D5DDC" w:rsidRPr="000508B6">
        <w:rPr>
          <w:rFonts w:ascii="Times New Roman" w:eastAsia="Times New Roman" w:hAnsi="Times New Roman" w:cs="Times New Roman"/>
          <w:lang w:val="ro-MD"/>
        </w:rPr>
        <w:t>or</w:t>
      </w:r>
      <w:r w:rsidR="00E82145" w:rsidRPr="000508B6">
        <w:rPr>
          <w:rFonts w:ascii="Times New Roman" w:eastAsia="Times New Roman" w:hAnsi="Times New Roman" w:cs="Times New Roman"/>
          <w:lang w:val="ro-MD"/>
        </w:rPr>
        <w:t xml:space="preserve"> normative ale Băncii Naționale a Moldovei</w:t>
      </w:r>
      <w:r w:rsidRPr="000508B6">
        <w:rPr>
          <w:rFonts w:ascii="Times New Roman" w:eastAsia="Times New Roman" w:hAnsi="Times New Roman" w:cs="Times New Roman"/>
          <w:lang w:val="ro-MD"/>
        </w:rPr>
        <w:t>.</w:t>
      </w:r>
    </w:p>
    <w:p w14:paraId="6C90DD5E" w14:textId="5B5273FC" w:rsidR="00F95829" w:rsidRPr="000508B6" w:rsidRDefault="00F95829" w:rsidP="00CF5AFA">
      <w:pPr>
        <w:pStyle w:val="Listparagraf"/>
        <w:numPr>
          <w:ilvl w:val="1"/>
          <w:numId w:val="99"/>
        </w:numPr>
        <w:tabs>
          <w:tab w:val="left" w:pos="28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Nu pot fi </w:t>
      </w:r>
      <w:proofErr w:type="spellStart"/>
      <w:r w:rsidRPr="000508B6">
        <w:rPr>
          <w:rFonts w:ascii="Times New Roman" w:eastAsia="Times New Roman" w:hAnsi="Times New Roman" w:cs="Times New Roman"/>
          <w:lang w:val="ro-MD"/>
        </w:rPr>
        <w:t>acţionari</w:t>
      </w:r>
      <w:proofErr w:type="spellEnd"/>
      <w:r w:rsidRPr="000508B6">
        <w:rPr>
          <w:rFonts w:ascii="Times New Roman" w:eastAsia="Times New Roman" w:hAnsi="Times New Roman" w:cs="Times New Roman"/>
          <w:lang w:val="ro-MD"/>
        </w:rPr>
        <w:t xml:space="preserve"> ai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persoanele juridice declarate anterior insolvabile sau aflate în proces de </w:t>
      </w:r>
      <w:r w:rsidR="00641616" w:rsidRPr="000508B6">
        <w:rPr>
          <w:rFonts w:ascii="Times New Roman" w:eastAsia="Times New Roman" w:hAnsi="Times New Roman" w:cs="Times New Roman"/>
          <w:lang w:val="ro-MD"/>
        </w:rPr>
        <w:t xml:space="preserve">fuziune sau </w:t>
      </w:r>
      <w:r w:rsidR="008440C9" w:rsidRPr="000508B6">
        <w:rPr>
          <w:rFonts w:ascii="Times New Roman" w:eastAsia="Times New Roman" w:hAnsi="Times New Roman" w:cs="Times New Roman"/>
          <w:lang w:val="ro-MD"/>
        </w:rPr>
        <w:t>dezmembrare</w:t>
      </w:r>
      <w:r w:rsidRPr="000508B6">
        <w:rPr>
          <w:rFonts w:ascii="Times New Roman" w:eastAsia="Times New Roman" w:hAnsi="Times New Roman" w:cs="Times New Roman"/>
          <w:lang w:val="ro-MD"/>
        </w:rPr>
        <w:t xml:space="preserve">, de insolvabilitate sau de lichidare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persoanele cărora li s-a impus </w:t>
      </w:r>
      <w:proofErr w:type="spellStart"/>
      <w:r w:rsidRPr="000508B6">
        <w:rPr>
          <w:rFonts w:ascii="Times New Roman" w:eastAsia="Times New Roman" w:hAnsi="Times New Roman" w:cs="Times New Roman"/>
          <w:lang w:val="ro-MD"/>
        </w:rPr>
        <w:t>restricţia</w:t>
      </w:r>
      <w:proofErr w:type="spellEnd"/>
      <w:r w:rsidRPr="000508B6">
        <w:rPr>
          <w:rFonts w:ascii="Times New Roman" w:eastAsia="Times New Roman" w:hAnsi="Times New Roman" w:cs="Times New Roman"/>
          <w:lang w:val="ro-MD"/>
        </w:rPr>
        <w:t xml:space="preserve"> legală de a constitui o societate comercială</w:t>
      </w:r>
    </w:p>
    <w:p w14:paraId="014DC23B" w14:textId="744B0E07" w:rsidR="00864F19" w:rsidRPr="000508B6" w:rsidRDefault="00685AE6" w:rsidP="00685AE6">
      <w:pPr>
        <w:pStyle w:val="Listparagraf"/>
        <w:numPr>
          <w:ilvl w:val="1"/>
          <w:numId w:val="99"/>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864F19" w:rsidRPr="000508B6">
        <w:rPr>
          <w:rFonts w:ascii="Times New Roman" w:eastAsia="Times New Roman" w:hAnsi="Times New Roman" w:cs="Times New Roman"/>
          <w:lang w:val="ro-MD"/>
        </w:rPr>
        <w:t xml:space="preserve">Lista </w:t>
      </w:r>
      <w:proofErr w:type="spellStart"/>
      <w:r w:rsidR="00864F19" w:rsidRPr="000508B6">
        <w:rPr>
          <w:rFonts w:ascii="Times New Roman" w:eastAsia="Times New Roman" w:hAnsi="Times New Roman" w:cs="Times New Roman"/>
          <w:lang w:val="ro-MD"/>
        </w:rPr>
        <w:t>jurisdicţiilor</w:t>
      </w:r>
      <w:proofErr w:type="spellEnd"/>
      <w:r w:rsidR="00864F19" w:rsidRPr="000508B6">
        <w:rPr>
          <w:rFonts w:ascii="Times New Roman" w:eastAsia="Times New Roman" w:hAnsi="Times New Roman" w:cs="Times New Roman"/>
          <w:lang w:val="ro-MD"/>
        </w:rPr>
        <w:t xml:space="preserve"> ce nu implementează standarde </w:t>
      </w:r>
      <w:proofErr w:type="spellStart"/>
      <w:r w:rsidR="00864F19" w:rsidRPr="000508B6">
        <w:rPr>
          <w:rFonts w:ascii="Times New Roman" w:eastAsia="Times New Roman" w:hAnsi="Times New Roman" w:cs="Times New Roman"/>
          <w:lang w:val="ro-MD"/>
        </w:rPr>
        <w:t>internaţionale</w:t>
      </w:r>
      <w:proofErr w:type="spellEnd"/>
      <w:r w:rsidR="00864F19" w:rsidRPr="000508B6">
        <w:rPr>
          <w:rFonts w:ascii="Times New Roman" w:eastAsia="Times New Roman" w:hAnsi="Times New Roman" w:cs="Times New Roman"/>
          <w:lang w:val="ro-MD"/>
        </w:rPr>
        <w:t xml:space="preserve"> de </w:t>
      </w:r>
      <w:proofErr w:type="spellStart"/>
      <w:r w:rsidR="00864F19" w:rsidRPr="000508B6">
        <w:rPr>
          <w:rFonts w:ascii="Times New Roman" w:eastAsia="Times New Roman" w:hAnsi="Times New Roman" w:cs="Times New Roman"/>
          <w:lang w:val="ro-MD"/>
        </w:rPr>
        <w:t>transparenţă</w:t>
      </w:r>
      <w:proofErr w:type="spellEnd"/>
      <w:r w:rsidR="00864F19" w:rsidRPr="000508B6">
        <w:rPr>
          <w:rFonts w:ascii="Times New Roman" w:eastAsia="Times New Roman" w:hAnsi="Times New Roman" w:cs="Times New Roman"/>
          <w:lang w:val="ro-MD"/>
        </w:rPr>
        <w:t xml:space="preserve"> este stabilită prin actele normative ale </w:t>
      </w:r>
      <w:bookmarkStart w:id="38" w:name="_Hlk179291279"/>
      <w:r w:rsidR="00864F19" w:rsidRPr="000508B6">
        <w:rPr>
          <w:rFonts w:ascii="Times New Roman" w:eastAsia="Times New Roman" w:hAnsi="Times New Roman" w:cs="Times New Roman"/>
          <w:lang w:val="ro-MD"/>
        </w:rPr>
        <w:t>Băncii Naționale a Moldovei</w:t>
      </w:r>
      <w:bookmarkEnd w:id="38"/>
      <w:r w:rsidR="001D5503" w:rsidRPr="000508B6">
        <w:rPr>
          <w:rFonts w:ascii="Times New Roman" w:eastAsia="Times New Roman" w:hAnsi="Times New Roman" w:cs="Times New Roman"/>
          <w:lang w:val="ro-MD"/>
        </w:rPr>
        <w:t>.</w:t>
      </w:r>
    </w:p>
    <w:p w14:paraId="040E02FC" w14:textId="6D3C5FA1" w:rsidR="00363781" w:rsidRPr="000508B6" w:rsidRDefault="00685AE6" w:rsidP="00685AE6">
      <w:pPr>
        <w:pStyle w:val="Listparagraf"/>
        <w:numPr>
          <w:ilvl w:val="1"/>
          <w:numId w:val="99"/>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363781" w:rsidRPr="000508B6">
        <w:rPr>
          <w:rFonts w:ascii="Times New Roman" w:eastAsia="Times New Roman" w:hAnsi="Times New Roman" w:cs="Times New Roman"/>
          <w:lang w:val="ro-MD"/>
        </w:rPr>
        <w:t xml:space="preserve">Persoana rezidentă în </w:t>
      </w:r>
      <w:proofErr w:type="spellStart"/>
      <w:r w:rsidR="00363781" w:rsidRPr="000508B6">
        <w:rPr>
          <w:rFonts w:ascii="Times New Roman" w:eastAsia="Times New Roman" w:hAnsi="Times New Roman" w:cs="Times New Roman"/>
          <w:lang w:val="ro-MD"/>
        </w:rPr>
        <w:t>jurisdicţia</w:t>
      </w:r>
      <w:proofErr w:type="spellEnd"/>
      <w:r w:rsidR="00363781" w:rsidRPr="000508B6">
        <w:rPr>
          <w:rFonts w:ascii="Times New Roman" w:eastAsia="Times New Roman" w:hAnsi="Times New Roman" w:cs="Times New Roman"/>
          <w:lang w:val="ro-MD"/>
        </w:rPr>
        <w:t xml:space="preserve"> ce nu implementează standardele </w:t>
      </w:r>
      <w:proofErr w:type="spellStart"/>
      <w:r w:rsidR="00363781" w:rsidRPr="000508B6">
        <w:rPr>
          <w:rFonts w:ascii="Times New Roman" w:eastAsia="Times New Roman" w:hAnsi="Times New Roman" w:cs="Times New Roman"/>
          <w:lang w:val="ro-MD"/>
        </w:rPr>
        <w:t>internaţionale</w:t>
      </w:r>
      <w:proofErr w:type="spellEnd"/>
      <w:r w:rsidR="00363781" w:rsidRPr="000508B6">
        <w:rPr>
          <w:rFonts w:ascii="Times New Roman" w:eastAsia="Times New Roman" w:hAnsi="Times New Roman" w:cs="Times New Roman"/>
          <w:lang w:val="ro-MD"/>
        </w:rPr>
        <w:t xml:space="preserve"> de </w:t>
      </w:r>
      <w:proofErr w:type="spellStart"/>
      <w:r w:rsidR="00363781" w:rsidRPr="000508B6">
        <w:rPr>
          <w:rFonts w:ascii="Times New Roman" w:eastAsia="Times New Roman" w:hAnsi="Times New Roman" w:cs="Times New Roman"/>
          <w:lang w:val="ro-MD"/>
        </w:rPr>
        <w:t>transparenţă</w:t>
      </w:r>
      <w:proofErr w:type="spellEnd"/>
      <w:r w:rsidR="00363781" w:rsidRPr="000508B6">
        <w:rPr>
          <w:rFonts w:ascii="Times New Roman" w:eastAsia="Times New Roman" w:hAnsi="Times New Roman" w:cs="Times New Roman"/>
          <w:lang w:val="ro-MD"/>
        </w:rPr>
        <w:t xml:space="preserve">, care posedă, direct sau indirect, o </w:t>
      </w:r>
      <w:r w:rsidR="0005392A" w:rsidRPr="000508B6">
        <w:rPr>
          <w:rFonts w:ascii="Times New Roman" w:eastAsia="Times New Roman" w:hAnsi="Times New Roman" w:cs="Times New Roman"/>
          <w:lang w:val="ro-MD"/>
        </w:rPr>
        <w:t xml:space="preserve">deținere </w:t>
      </w:r>
      <w:r w:rsidR="00363781" w:rsidRPr="000508B6">
        <w:rPr>
          <w:rFonts w:ascii="Times New Roman" w:eastAsia="Times New Roman" w:hAnsi="Times New Roman" w:cs="Times New Roman"/>
          <w:lang w:val="ro-MD"/>
        </w:rPr>
        <w:t>într-</w:t>
      </w:r>
      <w:r w:rsidR="00156E11" w:rsidRPr="000508B6">
        <w:rPr>
          <w:rFonts w:ascii="Times New Roman" w:eastAsia="Times New Roman" w:hAnsi="Times New Roman" w:cs="Times New Roman"/>
          <w:lang w:val="ro-MD"/>
        </w:rPr>
        <w:t xml:space="preserve">un asigurător sau </w:t>
      </w:r>
      <w:proofErr w:type="spellStart"/>
      <w:r w:rsidR="00156E11" w:rsidRPr="000508B6">
        <w:rPr>
          <w:rFonts w:ascii="Times New Roman" w:eastAsia="Times New Roman" w:hAnsi="Times New Roman" w:cs="Times New Roman"/>
          <w:lang w:val="ro-MD"/>
        </w:rPr>
        <w:t>reasigurător</w:t>
      </w:r>
      <w:proofErr w:type="spellEnd"/>
      <w:r w:rsidR="00363781" w:rsidRPr="000508B6">
        <w:rPr>
          <w:rFonts w:ascii="Times New Roman" w:eastAsia="Times New Roman" w:hAnsi="Times New Roman" w:cs="Times New Roman"/>
          <w:lang w:val="ro-MD"/>
        </w:rPr>
        <w:t xml:space="preserve"> va înstrăina această </w:t>
      </w:r>
      <w:r w:rsidR="00054CA7" w:rsidRPr="000508B6">
        <w:rPr>
          <w:rFonts w:ascii="Times New Roman" w:eastAsia="Times New Roman" w:hAnsi="Times New Roman" w:cs="Times New Roman"/>
          <w:lang w:val="ro-MD"/>
        </w:rPr>
        <w:t xml:space="preserve">deținere </w:t>
      </w:r>
      <w:r w:rsidR="00363781" w:rsidRPr="000508B6">
        <w:rPr>
          <w:rFonts w:ascii="Times New Roman" w:eastAsia="Times New Roman" w:hAnsi="Times New Roman" w:cs="Times New Roman"/>
          <w:lang w:val="ro-MD"/>
        </w:rPr>
        <w:t xml:space="preserve">în decurs de 3 luni de la data la care această </w:t>
      </w:r>
      <w:proofErr w:type="spellStart"/>
      <w:r w:rsidR="00363781" w:rsidRPr="000508B6">
        <w:rPr>
          <w:rFonts w:ascii="Times New Roman" w:eastAsia="Times New Roman" w:hAnsi="Times New Roman" w:cs="Times New Roman"/>
          <w:lang w:val="ro-MD"/>
        </w:rPr>
        <w:t>jurisdicţie</w:t>
      </w:r>
      <w:proofErr w:type="spellEnd"/>
      <w:r w:rsidR="00363781" w:rsidRPr="000508B6">
        <w:rPr>
          <w:rFonts w:ascii="Times New Roman" w:eastAsia="Times New Roman" w:hAnsi="Times New Roman" w:cs="Times New Roman"/>
          <w:lang w:val="ro-MD"/>
        </w:rPr>
        <w:t xml:space="preserve"> a fost calificată, conform actelor normative ale </w:t>
      </w:r>
      <w:r w:rsidR="002C393A" w:rsidRPr="000508B6">
        <w:rPr>
          <w:rFonts w:ascii="Times New Roman" w:eastAsia="Times New Roman" w:hAnsi="Times New Roman" w:cs="Times New Roman"/>
          <w:lang w:val="ro-MD"/>
        </w:rPr>
        <w:lastRenderedPageBreak/>
        <w:t>Băncii Naționale a Moldovei</w:t>
      </w:r>
      <w:r w:rsidR="00363781" w:rsidRPr="000508B6">
        <w:rPr>
          <w:rFonts w:ascii="Times New Roman" w:eastAsia="Times New Roman" w:hAnsi="Times New Roman" w:cs="Times New Roman"/>
          <w:lang w:val="ro-MD"/>
        </w:rPr>
        <w:t xml:space="preserve">, ca </w:t>
      </w:r>
      <w:proofErr w:type="spellStart"/>
      <w:r w:rsidR="00363781" w:rsidRPr="000508B6">
        <w:rPr>
          <w:rFonts w:ascii="Times New Roman" w:eastAsia="Times New Roman" w:hAnsi="Times New Roman" w:cs="Times New Roman"/>
          <w:lang w:val="ro-MD"/>
        </w:rPr>
        <w:t>jurisdicţie</w:t>
      </w:r>
      <w:proofErr w:type="spellEnd"/>
      <w:r w:rsidR="00363781" w:rsidRPr="000508B6">
        <w:rPr>
          <w:rFonts w:ascii="Times New Roman" w:eastAsia="Times New Roman" w:hAnsi="Times New Roman" w:cs="Times New Roman"/>
          <w:lang w:val="ro-MD"/>
        </w:rPr>
        <w:t xml:space="preserve"> ce nu implementează standardele </w:t>
      </w:r>
      <w:proofErr w:type="spellStart"/>
      <w:r w:rsidR="00363781" w:rsidRPr="000508B6">
        <w:rPr>
          <w:rFonts w:ascii="Times New Roman" w:eastAsia="Times New Roman" w:hAnsi="Times New Roman" w:cs="Times New Roman"/>
          <w:lang w:val="ro-MD"/>
        </w:rPr>
        <w:t>internaţionale</w:t>
      </w:r>
      <w:proofErr w:type="spellEnd"/>
      <w:r w:rsidR="00363781" w:rsidRPr="000508B6">
        <w:rPr>
          <w:rFonts w:ascii="Times New Roman" w:eastAsia="Times New Roman" w:hAnsi="Times New Roman" w:cs="Times New Roman"/>
          <w:lang w:val="ro-MD"/>
        </w:rPr>
        <w:t xml:space="preserve"> de </w:t>
      </w:r>
      <w:proofErr w:type="spellStart"/>
      <w:r w:rsidR="00363781" w:rsidRPr="000508B6">
        <w:rPr>
          <w:rFonts w:ascii="Times New Roman" w:eastAsia="Times New Roman" w:hAnsi="Times New Roman" w:cs="Times New Roman"/>
          <w:lang w:val="ro-MD"/>
        </w:rPr>
        <w:t>transparenţă</w:t>
      </w:r>
      <w:proofErr w:type="spellEnd"/>
      <w:r w:rsidR="00363781" w:rsidRPr="000508B6">
        <w:rPr>
          <w:rFonts w:ascii="Times New Roman" w:eastAsia="Times New Roman" w:hAnsi="Times New Roman" w:cs="Times New Roman"/>
          <w:lang w:val="ro-MD"/>
        </w:rPr>
        <w:t>.</w:t>
      </w:r>
    </w:p>
    <w:p w14:paraId="074F52DA" w14:textId="68FC8C06" w:rsidR="002C393A" w:rsidRPr="000508B6" w:rsidRDefault="00685AE6" w:rsidP="009818CB">
      <w:pPr>
        <w:pStyle w:val="Listparagraf"/>
        <w:numPr>
          <w:ilvl w:val="1"/>
          <w:numId w:val="99"/>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2C393A" w:rsidRPr="000508B6">
        <w:rPr>
          <w:rFonts w:ascii="Times New Roman" w:eastAsia="Times New Roman" w:hAnsi="Times New Roman" w:cs="Times New Roman"/>
          <w:lang w:val="ro-MD"/>
        </w:rPr>
        <w:t>În cazul prevăzut la alin. (</w:t>
      </w:r>
      <w:r w:rsidR="00976A82" w:rsidRPr="000508B6">
        <w:rPr>
          <w:rFonts w:ascii="Times New Roman" w:eastAsia="Times New Roman" w:hAnsi="Times New Roman" w:cs="Times New Roman"/>
          <w:lang w:val="ro-MD"/>
        </w:rPr>
        <w:t>4</w:t>
      </w:r>
      <w:r w:rsidR="002C393A" w:rsidRPr="000508B6">
        <w:rPr>
          <w:rFonts w:ascii="Times New Roman" w:eastAsia="Times New Roman" w:hAnsi="Times New Roman" w:cs="Times New Roman"/>
          <w:lang w:val="ro-MD"/>
        </w:rPr>
        <w:t xml:space="preserve">) devin incidente prevederile art. </w:t>
      </w:r>
      <w:r w:rsidR="00072CC0" w:rsidRPr="000508B6">
        <w:rPr>
          <w:rFonts w:ascii="Times New Roman" w:eastAsia="Times New Roman" w:hAnsi="Times New Roman" w:cs="Times New Roman"/>
          <w:lang w:val="ro-MD"/>
        </w:rPr>
        <w:t>12 alin. (11)- (13)</w:t>
      </w:r>
      <w:r w:rsidR="002C393A" w:rsidRPr="000508B6">
        <w:rPr>
          <w:rFonts w:ascii="Times New Roman" w:eastAsia="Times New Roman" w:hAnsi="Times New Roman" w:cs="Times New Roman"/>
          <w:lang w:val="ro-MD"/>
        </w:rPr>
        <w:t>.</w:t>
      </w:r>
      <w:r w:rsidR="00DF5722" w:rsidRPr="000508B6">
        <w:rPr>
          <w:rFonts w:ascii="Times New Roman" w:eastAsia="Times New Roman" w:hAnsi="Times New Roman" w:cs="Times New Roman"/>
          <w:lang w:val="ro-MD"/>
        </w:rPr>
        <w:t xml:space="preserve"> </w:t>
      </w:r>
    </w:p>
    <w:p w14:paraId="7ED36E6B" w14:textId="77777777" w:rsidR="00AD2F64" w:rsidRPr="000508B6" w:rsidRDefault="00AD2F64" w:rsidP="007675E0">
      <w:pPr>
        <w:pStyle w:val="Listparagraf"/>
        <w:tabs>
          <w:tab w:val="left" w:pos="284"/>
          <w:tab w:val="left" w:pos="993"/>
        </w:tabs>
        <w:spacing w:after="0" w:line="240" w:lineRule="auto"/>
        <w:ind w:left="426"/>
        <w:jc w:val="both"/>
        <w:rPr>
          <w:rFonts w:ascii="Times New Roman" w:eastAsia="Times New Roman" w:hAnsi="Times New Roman" w:cs="Times New Roman"/>
          <w:lang w:val="ro-MD"/>
        </w:rPr>
      </w:pPr>
    </w:p>
    <w:p w14:paraId="4041A7A9" w14:textId="7A1FC09B" w:rsidR="00F95829" w:rsidRPr="000508B6" w:rsidRDefault="00F95829" w:rsidP="00696423">
      <w:pPr>
        <w:tabs>
          <w:tab w:val="left" w:pos="284"/>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12</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Achiziţiile</w:t>
      </w:r>
      <w:proofErr w:type="spellEnd"/>
      <w:r w:rsidR="0089721E" w:rsidRPr="000508B6">
        <w:rPr>
          <w:rFonts w:ascii="Times New Roman" w:eastAsia="Times New Roman" w:hAnsi="Times New Roman" w:cs="Times New Roman"/>
          <w:lang w:val="ro-MD"/>
        </w:rPr>
        <w:t>. Termenul de evaluare</w:t>
      </w:r>
      <w:r w:rsidR="00032667" w:rsidRPr="000508B6">
        <w:rPr>
          <w:rFonts w:ascii="Times New Roman" w:eastAsia="Times New Roman" w:hAnsi="Times New Roman" w:cs="Times New Roman"/>
          <w:lang w:val="ro-MD"/>
        </w:rPr>
        <w:t xml:space="preserve"> </w:t>
      </w:r>
      <w:r w:rsidR="0089721E" w:rsidRPr="000508B6">
        <w:rPr>
          <w:rFonts w:ascii="Times New Roman" w:eastAsia="Times New Roman" w:hAnsi="Times New Roman" w:cs="Times New Roman"/>
          <w:lang w:val="ro-MD"/>
        </w:rPr>
        <w:t>a achiziție</w:t>
      </w:r>
      <w:r w:rsidR="00947203" w:rsidRPr="000508B6">
        <w:rPr>
          <w:rFonts w:ascii="Times New Roman" w:eastAsia="Times New Roman" w:hAnsi="Times New Roman" w:cs="Times New Roman"/>
          <w:lang w:val="ro-MD"/>
        </w:rPr>
        <w:t>i</w:t>
      </w:r>
      <w:r w:rsidR="009152DA" w:rsidRPr="000508B6">
        <w:rPr>
          <w:rFonts w:ascii="Times New Roman" w:hAnsi="Times New Roman" w:cs="Times New Roman"/>
          <w:lang w:val="ro-MD"/>
        </w:rPr>
        <w:t xml:space="preserve"> </w:t>
      </w:r>
    </w:p>
    <w:p w14:paraId="3EF83D7F" w14:textId="406AC47B" w:rsidR="00B17125" w:rsidRPr="000508B6" w:rsidRDefault="00B17125" w:rsidP="007C19E0">
      <w:pPr>
        <w:pStyle w:val="Listparagraf"/>
        <w:numPr>
          <w:ilvl w:val="0"/>
          <w:numId w:val="248"/>
        </w:numPr>
        <w:tabs>
          <w:tab w:val="left" w:pos="284"/>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Orice persoană este obligată, până la achiziționarea/dobândirea acțiunilor unui asigurător</w:t>
      </w:r>
      <w:r w:rsidR="008C75D2" w:rsidRPr="000508B6">
        <w:rPr>
          <w:rFonts w:ascii="Times New Roman" w:eastAsia="Times New Roman" w:hAnsi="Times New Roman" w:cs="Times New Roman"/>
          <w:color w:val="000000" w:themeColor="text1"/>
          <w:lang w:val="ro-MD"/>
        </w:rPr>
        <w:t xml:space="preserve"> sau </w:t>
      </w:r>
      <w:proofErr w:type="spellStart"/>
      <w:r w:rsidR="008C75D2" w:rsidRPr="000508B6">
        <w:rPr>
          <w:rFonts w:ascii="Times New Roman" w:eastAsia="Times New Roman" w:hAnsi="Times New Roman" w:cs="Times New Roman"/>
          <w:color w:val="000000" w:themeColor="text1"/>
          <w:lang w:val="ro-MD"/>
        </w:rPr>
        <w:t>reasigurător</w:t>
      </w:r>
      <w:proofErr w:type="spellEnd"/>
      <w:r w:rsidRPr="000508B6">
        <w:rPr>
          <w:rFonts w:ascii="Times New Roman" w:eastAsia="Times New Roman" w:hAnsi="Times New Roman" w:cs="Times New Roman"/>
          <w:color w:val="000000" w:themeColor="text1"/>
          <w:lang w:val="ro-MD"/>
        </w:rPr>
        <w:t>, să obțină de la Banca Națională a Moldovei aprobarea prealabilă, în condițiile prezent</w:t>
      </w:r>
      <w:r w:rsidR="00103DC2" w:rsidRPr="000508B6">
        <w:rPr>
          <w:rFonts w:ascii="Times New Roman" w:eastAsia="Times New Roman" w:hAnsi="Times New Roman" w:cs="Times New Roman"/>
          <w:color w:val="000000" w:themeColor="text1"/>
          <w:lang w:val="ro-MD"/>
        </w:rPr>
        <w:t>ului articol, art. 13, art. 185 alin. (10)-(13)</w:t>
      </w:r>
      <w:r w:rsidRPr="000508B6">
        <w:rPr>
          <w:rFonts w:ascii="Times New Roman" w:eastAsia="Times New Roman" w:hAnsi="Times New Roman" w:cs="Times New Roman"/>
          <w:color w:val="000000" w:themeColor="text1"/>
          <w:lang w:val="ro-MD"/>
        </w:rPr>
        <w:t>, în următoarele situații:</w:t>
      </w:r>
    </w:p>
    <w:p w14:paraId="545C0189" w14:textId="04E85D02" w:rsidR="00B17125" w:rsidRPr="000508B6" w:rsidRDefault="00B17125" w:rsidP="007C19E0">
      <w:pPr>
        <w:pStyle w:val="Listparagraf"/>
        <w:tabs>
          <w:tab w:val="left" w:pos="28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color w:val="000000" w:themeColor="text1"/>
          <w:lang w:val="ro-MD"/>
        </w:rPr>
        <w:t>a) persoana, în calitate de potențial achizitor, intenționează să achiziționeze, prin orice modalitate, direct sau indirect, inclusiv în calitate de beneficiar efectiv, o participație calificată într-</w:t>
      </w:r>
      <w:r w:rsidR="00103DC2" w:rsidRPr="000508B6">
        <w:rPr>
          <w:rFonts w:ascii="Times New Roman" w:eastAsia="Times New Roman" w:hAnsi="Times New Roman" w:cs="Times New Roman"/>
          <w:color w:val="000000" w:themeColor="text1"/>
          <w:lang w:val="ro-MD"/>
        </w:rPr>
        <w:t>un</w:t>
      </w:r>
      <w:r w:rsidRPr="000508B6">
        <w:rPr>
          <w:rFonts w:ascii="Times New Roman" w:eastAsia="Times New Roman" w:hAnsi="Times New Roman" w:cs="Times New Roman"/>
          <w:color w:val="000000" w:themeColor="text1"/>
          <w:lang w:val="ro-MD"/>
        </w:rPr>
        <w:t xml:space="preserve"> </w:t>
      </w:r>
      <w:r w:rsidR="00103DC2" w:rsidRPr="000508B6">
        <w:rPr>
          <w:rFonts w:ascii="Times New Roman" w:eastAsia="Times New Roman" w:hAnsi="Times New Roman" w:cs="Times New Roman"/>
          <w:color w:val="000000" w:themeColor="text1"/>
          <w:lang w:val="ro-MD"/>
        </w:rPr>
        <w:t xml:space="preserve">asigurător sau </w:t>
      </w:r>
      <w:proofErr w:type="spellStart"/>
      <w:r w:rsidR="00103DC2" w:rsidRPr="000508B6">
        <w:rPr>
          <w:rFonts w:ascii="Times New Roman" w:eastAsia="Times New Roman" w:hAnsi="Times New Roman" w:cs="Times New Roman"/>
          <w:color w:val="000000" w:themeColor="text1"/>
          <w:lang w:val="ro-MD"/>
        </w:rPr>
        <w:t>reasigurător</w:t>
      </w:r>
      <w:proofErr w:type="spellEnd"/>
      <w:r w:rsidRPr="000508B6">
        <w:rPr>
          <w:rFonts w:ascii="Times New Roman" w:eastAsia="Times New Roman" w:hAnsi="Times New Roman" w:cs="Times New Roman"/>
          <w:color w:val="000000" w:themeColor="text1"/>
          <w:lang w:val="ro-MD"/>
        </w:rPr>
        <w:t xml:space="preserve"> ori să </w:t>
      </w:r>
      <w:proofErr w:type="spellStart"/>
      <w:r w:rsidRPr="000508B6">
        <w:rPr>
          <w:rFonts w:ascii="Times New Roman" w:eastAsia="Times New Roman" w:hAnsi="Times New Roman" w:cs="Times New Roman"/>
          <w:color w:val="000000" w:themeColor="text1"/>
          <w:lang w:val="ro-MD"/>
        </w:rPr>
        <w:t>îşi</w:t>
      </w:r>
      <w:proofErr w:type="spellEnd"/>
      <w:r w:rsidRPr="000508B6">
        <w:rPr>
          <w:rFonts w:ascii="Times New Roman" w:eastAsia="Times New Roman" w:hAnsi="Times New Roman" w:cs="Times New Roman"/>
          <w:color w:val="000000" w:themeColor="text1"/>
          <w:lang w:val="ro-MD"/>
        </w:rPr>
        <w:t xml:space="preserve"> majoreze, direct sau indirect, inclusiv în calitate de beneficiar efectiv, participația calificată astfel încât proporția drepturilor sale de vot sau a participației să atingă sau să depășească nivelul de </w:t>
      </w:r>
      <w:r w:rsidRPr="000508B6">
        <w:rPr>
          <w:rFonts w:ascii="Times New Roman" w:eastAsia="Times New Roman" w:hAnsi="Times New Roman" w:cs="Times New Roman"/>
          <w:lang w:val="ro-MD"/>
        </w:rPr>
        <w:t xml:space="preserve">20%, 33% sau 50% ori astfel încât  </w:t>
      </w:r>
      <w:r w:rsidR="00103DC2" w:rsidRPr="000508B6">
        <w:rPr>
          <w:rFonts w:ascii="Times New Roman" w:eastAsia="Times New Roman" w:hAnsi="Times New Roman" w:cs="Times New Roman"/>
          <w:lang w:val="ro-MD"/>
        </w:rPr>
        <w:t xml:space="preserve">asigurătorul sau </w:t>
      </w:r>
      <w:proofErr w:type="spellStart"/>
      <w:r w:rsidR="00103DC2"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să devină o filială a sa.</w:t>
      </w:r>
      <w:r w:rsidR="00103DC2" w:rsidRPr="000508B6">
        <w:rPr>
          <w:rFonts w:ascii="Times New Roman" w:eastAsia="Times New Roman" w:hAnsi="Times New Roman" w:cs="Times New Roman"/>
          <w:lang w:val="ro-MD"/>
        </w:rPr>
        <w:t xml:space="preserve"> </w:t>
      </w:r>
    </w:p>
    <w:p w14:paraId="68B3BAC9" w14:textId="2AD5B5C8" w:rsidR="00B17125" w:rsidRPr="000508B6" w:rsidRDefault="00B17125" w:rsidP="007C19E0">
      <w:pPr>
        <w:pStyle w:val="Listparagraf"/>
        <w:tabs>
          <w:tab w:val="left" w:pos="284"/>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b) persoana, în calitate de dobânditor, intenționează să dobândească, individual sau concertat, prin orice modalitate, o deținere într-</w:t>
      </w:r>
      <w:r w:rsidR="00103DC2" w:rsidRPr="000508B6">
        <w:rPr>
          <w:rFonts w:ascii="Times New Roman" w:eastAsia="Times New Roman" w:hAnsi="Times New Roman" w:cs="Times New Roman"/>
          <w:color w:val="000000" w:themeColor="text1"/>
          <w:lang w:val="ro-MD"/>
        </w:rPr>
        <w:t>un</w:t>
      </w:r>
      <w:r w:rsidRPr="000508B6">
        <w:rPr>
          <w:rFonts w:ascii="Times New Roman" w:eastAsia="Times New Roman" w:hAnsi="Times New Roman" w:cs="Times New Roman"/>
          <w:color w:val="000000" w:themeColor="text1"/>
          <w:lang w:val="ro-MD"/>
        </w:rPr>
        <w:t xml:space="preserve"> </w:t>
      </w:r>
      <w:r w:rsidR="00103DC2" w:rsidRPr="000508B6">
        <w:rPr>
          <w:rFonts w:ascii="Times New Roman" w:eastAsia="Times New Roman" w:hAnsi="Times New Roman" w:cs="Times New Roman"/>
          <w:color w:val="000000" w:themeColor="text1"/>
          <w:lang w:val="ro-MD"/>
        </w:rPr>
        <w:t xml:space="preserve">asigurător sau </w:t>
      </w:r>
      <w:proofErr w:type="spellStart"/>
      <w:r w:rsidR="00103DC2" w:rsidRPr="000508B6">
        <w:rPr>
          <w:rFonts w:ascii="Times New Roman" w:eastAsia="Times New Roman" w:hAnsi="Times New Roman" w:cs="Times New Roman"/>
          <w:color w:val="000000" w:themeColor="text1"/>
          <w:lang w:val="ro-MD"/>
        </w:rPr>
        <w:t>reasigurător</w:t>
      </w:r>
      <w:proofErr w:type="spellEnd"/>
      <w:r w:rsidRPr="000508B6">
        <w:rPr>
          <w:rFonts w:ascii="Times New Roman" w:eastAsia="Times New Roman" w:hAnsi="Times New Roman" w:cs="Times New Roman"/>
          <w:color w:val="000000" w:themeColor="text1"/>
          <w:lang w:val="ro-MD"/>
        </w:rPr>
        <w:t xml:space="preserve"> asupra căreia au devenit incidente prevederile </w:t>
      </w:r>
      <w:r w:rsidR="00103DC2" w:rsidRPr="000508B6">
        <w:rPr>
          <w:rFonts w:ascii="Times New Roman" w:eastAsia="Times New Roman" w:hAnsi="Times New Roman" w:cs="Times New Roman"/>
          <w:color w:val="000000" w:themeColor="text1"/>
          <w:lang w:val="ro-MD"/>
        </w:rPr>
        <w:t xml:space="preserve">art. 16 alin. (1) </w:t>
      </w:r>
      <w:r w:rsidR="00445A38" w:rsidRPr="000508B6">
        <w:rPr>
          <w:rFonts w:ascii="Times New Roman" w:eastAsia="Times New Roman" w:hAnsi="Times New Roman" w:cs="Times New Roman"/>
          <w:color w:val="000000" w:themeColor="text1"/>
          <w:lang w:val="ro-MD"/>
        </w:rPr>
        <w:t>-</w:t>
      </w:r>
      <w:r w:rsidR="00103DC2" w:rsidRPr="000508B6">
        <w:rPr>
          <w:rFonts w:ascii="Times New Roman" w:eastAsia="Times New Roman" w:hAnsi="Times New Roman" w:cs="Times New Roman"/>
          <w:color w:val="000000" w:themeColor="text1"/>
          <w:lang w:val="ro-MD"/>
        </w:rPr>
        <w:t xml:space="preserve"> (</w:t>
      </w:r>
      <w:r w:rsidR="00445A38" w:rsidRPr="000508B6">
        <w:rPr>
          <w:rFonts w:ascii="Times New Roman" w:eastAsia="Times New Roman" w:hAnsi="Times New Roman" w:cs="Times New Roman"/>
          <w:color w:val="000000" w:themeColor="text1"/>
          <w:lang w:val="ro-MD"/>
        </w:rPr>
        <w:t>3</w:t>
      </w:r>
      <w:r w:rsidR="00103DC2" w:rsidRPr="000508B6">
        <w:rPr>
          <w:rFonts w:ascii="Times New Roman" w:eastAsia="Times New Roman" w:hAnsi="Times New Roman" w:cs="Times New Roman"/>
          <w:color w:val="000000" w:themeColor="text1"/>
          <w:lang w:val="ro-MD"/>
        </w:rPr>
        <w:t>)</w:t>
      </w:r>
      <w:r w:rsidRPr="000508B6">
        <w:rPr>
          <w:rFonts w:ascii="Times New Roman" w:eastAsia="Times New Roman" w:hAnsi="Times New Roman" w:cs="Times New Roman"/>
          <w:color w:val="000000" w:themeColor="text1"/>
          <w:lang w:val="ro-MD"/>
        </w:rPr>
        <w:t>;</w:t>
      </w:r>
    </w:p>
    <w:p w14:paraId="5130CA0F" w14:textId="02CF9A50" w:rsidR="008524BE" w:rsidRPr="000508B6" w:rsidRDefault="00B17125" w:rsidP="007C19E0">
      <w:pPr>
        <w:pStyle w:val="Listparagraf"/>
        <w:tabs>
          <w:tab w:val="left" w:pos="284"/>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c) o persoană juridică intenționează să primească ca aport la capitalul său social acțiuni ale </w:t>
      </w:r>
      <w:r w:rsidR="00103DC2" w:rsidRPr="000508B6">
        <w:rPr>
          <w:rFonts w:ascii="Times New Roman" w:eastAsia="Times New Roman" w:hAnsi="Times New Roman" w:cs="Times New Roman"/>
          <w:color w:val="000000" w:themeColor="text1"/>
          <w:lang w:val="ro-MD"/>
        </w:rPr>
        <w:t xml:space="preserve">unui asigurător sau </w:t>
      </w:r>
      <w:proofErr w:type="spellStart"/>
      <w:r w:rsidR="00103DC2" w:rsidRPr="000508B6">
        <w:rPr>
          <w:rFonts w:ascii="Times New Roman" w:eastAsia="Times New Roman" w:hAnsi="Times New Roman" w:cs="Times New Roman"/>
          <w:color w:val="000000" w:themeColor="text1"/>
          <w:lang w:val="ro-MD"/>
        </w:rPr>
        <w:t>reasigurător</w:t>
      </w:r>
      <w:proofErr w:type="spellEnd"/>
      <w:r w:rsidRPr="000508B6">
        <w:rPr>
          <w:rFonts w:ascii="Times New Roman" w:eastAsia="Times New Roman" w:hAnsi="Times New Roman" w:cs="Times New Roman"/>
          <w:color w:val="000000" w:themeColor="text1"/>
          <w:lang w:val="ro-MD"/>
        </w:rPr>
        <w:t>.</w:t>
      </w:r>
    </w:p>
    <w:p w14:paraId="3C048A2C" w14:textId="4C9348FC" w:rsidR="00A12CE1" w:rsidRPr="000508B6" w:rsidRDefault="001E2F68" w:rsidP="0092203B">
      <w:pPr>
        <w:pStyle w:val="Listparagraf"/>
        <w:numPr>
          <w:ilvl w:val="0"/>
          <w:numId w:val="248"/>
        </w:numPr>
        <w:tabs>
          <w:tab w:val="left" w:pos="284"/>
          <w:tab w:val="left" w:pos="567"/>
          <w:tab w:val="left" w:pos="709"/>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Orice persoană fizică sau juridică care a decis să înstrăineze, direct ori indirect, inclusiv în calitate de beneficiar efectiv, o participație calificată într-un asigurător sau </w:t>
      </w:r>
      <w:proofErr w:type="spellStart"/>
      <w:r w:rsidRPr="000508B6">
        <w:rPr>
          <w:rFonts w:ascii="Times New Roman" w:eastAsia="Times New Roman" w:hAnsi="Times New Roman" w:cs="Times New Roman"/>
          <w:color w:val="000000" w:themeColor="text1"/>
          <w:lang w:val="ro-MD"/>
        </w:rPr>
        <w:t>reasigurător</w:t>
      </w:r>
      <w:proofErr w:type="spellEnd"/>
      <w:r w:rsidRPr="000508B6">
        <w:rPr>
          <w:rFonts w:ascii="Times New Roman" w:eastAsia="Times New Roman" w:hAnsi="Times New Roman" w:cs="Times New Roman"/>
          <w:color w:val="000000" w:themeColor="text1"/>
          <w:lang w:val="ro-MD"/>
        </w:rPr>
        <w:t xml:space="preserve"> sau să </w:t>
      </w:r>
      <w:proofErr w:type="spellStart"/>
      <w:r w:rsidRPr="000508B6">
        <w:rPr>
          <w:rFonts w:ascii="Times New Roman" w:eastAsia="Times New Roman" w:hAnsi="Times New Roman" w:cs="Times New Roman"/>
          <w:color w:val="000000" w:themeColor="text1"/>
          <w:lang w:val="ro-MD"/>
        </w:rPr>
        <w:t>îşi</w:t>
      </w:r>
      <w:proofErr w:type="spellEnd"/>
      <w:r w:rsidRPr="000508B6">
        <w:rPr>
          <w:rFonts w:ascii="Times New Roman" w:eastAsia="Times New Roman" w:hAnsi="Times New Roman" w:cs="Times New Roman"/>
          <w:color w:val="000000" w:themeColor="text1"/>
          <w:lang w:val="ro-MD"/>
        </w:rPr>
        <w:t xml:space="preserve"> reducă participația calificată astfel încât </w:t>
      </w:r>
      <w:proofErr w:type="spellStart"/>
      <w:r w:rsidRPr="000508B6">
        <w:rPr>
          <w:rFonts w:ascii="Times New Roman" w:eastAsia="Times New Roman" w:hAnsi="Times New Roman" w:cs="Times New Roman"/>
          <w:color w:val="000000" w:themeColor="text1"/>
          <w:lang w:val="ro-MD"/>
        </w:rPr>
        <w:t>proporţia</w:t>
      </w:r>
      <w:proofErr w:type="spellEnd"/>
      <w:r w:rsidRPr="000508B6">
        <w:rPr>
          <w:rFonts w:ascii="Times New Roman" w:eastAsia="Times New Roman" w:hAnsi="Times New Roman" w:cs="Times New Roman"/>
          <w:color w:val="000000" w:themeColor="text1"/>
          <w:lang w:val="ro-MD"/>
        </w:rPr>
        <w:t xml:space="preserve"> drepturilor sale de vot ori a </w:t>
      </w:r>
      <w:proofErr w:type="spellStart"/>
      <w:r w:rsidRPr="000508B6">
        <w:rPr>
          <w:rFonts w:ascii="Times New Roman" w:eastAsia="Times New Roman" w:hAnsi="Times New Roman" w:cs="Times New Roman"/>
          <w:color w:val="000000" w:themeColor="text1"/>
          <w:lang w:val="ro-MD"/>
        </w:rPr>
        <w:t>deţinerii</w:t>
      </w:r>
      <w:proofErr w:type="spellEnd"/>
      <w:r w:rsidRPr="000508B6">
        <w:rPr>
          <w:rFonts w:ascii="Times New Roman" w:eastAsia="Times New Roman" w:hAnsi="Times New Roman" w:cs="Times New Roman"/>
          <w:color w:val="000000" w:themeColor="text1"/>
          <w:lang w:val="ro-MD"/>
        </w:rPr>
        <w:t xml:space="preserve"> în capitalul social să se situeze sub nivelurile de 10%, 20%, 33% sau 50% sau astfel încât asigurătorul sau </w:t>
      </w:r>
      <w:proofErr w:type="spellStart"/>
      <w:r w:rsidRPr="000508B6">
        <w:rPr>
          <w:rFonts w:ascii="Times New Roman" w:eastAsia="Times New Roman" w:hAnsi="Times New Roman" w:cs="Times New Roman"/>
          <w:color w:val="000000" w:themeColor="text1"/>
          <w:lang w:val="ro-MD"/>
        </w:rPr>
        <w:t>reasigurătorul</w:t>
      </w:r>
      <w:proofErr w:type="spellEnd"/>
      <w:r w:rsidRPr="000508B6">
        <w:rPr>
          <w:rFonts w:ascii="Times New Roman" w:eastAsia="Times New Roman" w:hAnsi="Times New Roman" w:cs="Times New Roman"/>
          <w:color w:val="000000" w:themeColor="text1"/>
          <w:lang w:val="ro-MD"/>
        </w:rPr>
        <w:t xml:space="preserve"> în cauză să înceteze să mai fie o filială a persoanei respective trebuie să notifice în prealabil, în scris, Banca Națională a Moldovei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asigurătorul sau </w:t>
      </w:r>
      <w:proofErr w:type="spellStart"/>
      <w:r w:rsidRPr="000508B6">
        <w:rPr>
          <w:rFonts w:ascii="Times New Roman" w:eastAsia="Times New Roman" w:hAnsi="Times New Roman" w:cs="Times New Roman"/>
          <w:color w:val="000000" w:themeColor="text1"/>
          <w:lang w:val="ro-MD"/>
        </w:rPr>
        <w:t>reasigurătorul</w:t>
      </w:r>
      <w:proofErr w:type="spellEnd"/>
      <w:r w:rsidRPr="000508B6">
        <w:rPr>
          <w:rFonts w:ascii="Times New Roman" w:eastAsia="Times New Roman" w:hAnsi="Times New Roman" w:cs="Times New Roman"/>
          <w:color w:val="000000" w:themeColor="text1"/>
          <w:lang w:val="ro-MD"/>
        </w:rPr>
        <w:t xml:space="preserve"> în legătură cu această decizie, conform actelor normative emise în acest sens. </w:t>
      </w:r>
    </w:p>
    <w:p w14:paraId="53AEF5B9" w14:textId="12AC833F" w:rsidR="0089721E" w:rsidRPr="000508B6" w:rsidRDefault="0089721E" w:rsidP="00CF5AFA">
      <w:pPr>
        <w:pStyle w:val="Listparagraf"/>
        <w:numPr>
          <w:ilvl w:val="0"/>
          <w:numId w:val="248"/>
        </w:numPr>
        <w:tabs>
          <w:tab w:val="left" w:pos="284"/>
          <w:tab w:val="left" w:pos="709"/>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Banca Națională a Moldovei transmite </w:t>
      </w:r>
      <w:proofErr w:type="spellStart"/>
      <w:r w:rsidRPr="000508B6">
        <w:rPr>
          <w:rFonts w:ascii="Times New Roman" w:eastAsia="Times New Roman" w:hAnsi="Times New Roman" w:cs="Times New Roman"/>
          <w:color w:val="000000" w:themeColor="text1"/>
          <w:lang w:val="ro-MD"/>
        </w:rPr>
        <w:t>potenţialului</w:t>
      </w:r>
      <w:proofErr w:type="spellEnd"/>
      <w:r w:rsidRPr="000508B6">
        <w:rPr>
          <w:rFonts w:ascii="Times New Roman" w:eastAsia="Times New Roman" w:hAnsi="Times New Roman" w:cs="Times New Roman"/>
          <w:color w:val="000000" w:themeColor="text1"/>
          <w:lang w:val="ro-MD"/>
        </w:rPr>
        <w:t xml:space="preserve"> achizitor, </w:t>
      </w:r>
      <w:r w:rsidR="00304BAE" w:rsidRPr="000508B6">
        <w:rPr>
          <w:rFonts w:ascii="Times New Roman" w:eastAsia="Times New Roman" w:hAnsi="Times New Roman" w:cs="Times New Roman"/>
          <w:color w:val="000000" w:themeColor="text1"/>
          <w:lang w:val="ro-MD"/>
        </w:rPr>
        <w:t xml:space="preserve">imediat și, în orice caz, </w:t>
      </w:r>
      <w:r w:rsidRPr="000508B6">
        <w:rPr>
          <w:rFonts w:ascii="Times New Roman" w:eastAsia="Times New Roman" w:hAnsi="Times New Roman" w:cs="Times New Roman"/>
          <w:color w:val="000000" w:themeColor="text1"/>
          <w:lang w:val="ro-MD"/>
        </w:rPr>
        <w:t xml:space="preserve">în termen de două zile lucrătoare, o confirmare </w:t>
      </w:r>
      <w:r w:rsidR="00304BAE" w:rsidRPr="000508B6">
        <w:rPr>
          <w:rFonts w:ascii="Times New Roman" w:eastAsia="Times New Roman" w:hAnsi="Times New Roman" w:cs="Times New Roman"/>
          <w:color w:val="000000" w:themeColor="text1"/>
          <w:lang w:val="ro-MD"/>
        </w:rPr>
        <w:t xml:space="preserve">scrisă </w:t>
      </w:r>
      <w:r w:rsidRPr="000508B6">
        <w:rPr>
          <w:rFonts w:ascii="Times New Roman" w:eastAsia="Times New Roman" w:hAnsi="Times New Roman" w:cs="Times New Roman"/>
          <w:color w:val="000000" w:themeColor="text1"/>
          <w:lang w:val="ro-MD"/>
        </w:rPr>
        <w:t xml:space="preserve">de </w:t>
      </w:r>
      <w:r w:rsidR="00CA1CF9" w:rsidRPr="000508B6">
        <w:rPr>
          <w:rFonts w:ascii="Times New Roman" w:eastAsia="Times New Roman" w:hAnsi="Times New Roman" w:cs="Times New Roman"/>
          <w:color w:val="000000" w:themeColor="text1"/>
          <w:lang w:val="ro-MD"/>
        </w:rPr>
        <w:t xml:space="preserve">recepționare </w:t>
      </w:r>
      <w:r w:rsidRPr="000508B6">
        <w:rPr>
          <w:rFonts w:ascii="Times New Roman" w:eastAsia="Times New Roman" w:hAnsi="Times New Roman" w:cs="Times New Roman"/>
          <w:color w:val="000000" w:themeColor="text1"/>
          <w:lang w:val="ro-MD"/>
        </w:rPr>
        <w:t xml:space="preserve">a </w:t>
      </w:r>
      <w:r w:rsidR="00AE23F2" w:rsidRPr="000508B6">
        <w:rPr>
          <w:rFonts w:ascii="Times New Roman" w:eastAsia="Times New Roman" w:hAnsi="Times New Roman" w:cs="Times New Roman"/>
          <w:color w:val="000000" w:themeColor="text1"/>
          <w:lang w:val="ro-MD"/>
        </w:rPr>
        <w:t xml:space="preserve">cererii de aprobare a </w:t>
      </w:r>
      <w:r w:rsidRPr="000508B6">
        <w:rPr>
          <w:rFonts w:ascii="Times New Roman" w:eastAsia="Times New Roman" w:hAnsi="Times New Roman" w:cs="Times New Roman"/>
          <w:color w:val="000000" w:themeColor="text1"/>
          <w:lang w:val="ro-MD"/>
        </w:rPr>
        <w:t xml:space="preserve">proiectului de </w:t>
      </w:r>
      <w:proofErr w:type="spellStart"/>
      <w:r w:rsidRPr="000508B6">
        <w:rPr>
          <w:rFonts w:ascii="Times New Roman" w:eastAsia="Times New Roman" w:hAnsi="Times New Roman" w:cs="Times New Roman"/>
          <w:color w:val="000000" w:themeColor="text1"/>
          <w:lang w:val="ro-MD"/>
        </w:rPr>
        <w:t>achiziţie</w:t>
      </w:r>
      <w:proofErr w:type="spellEnd"/>
      <w:r w:rsidRPr="000508B6">
        <w:rPr>
          <w:rFonts w:ascii="Times New Roman" w:eastAsia="Times New Roman" w:hAnsi="Times New Roman" w:cs="Times New Roman"/>
          <w:color w:val="000000" w:themeColor="text1"/>
          <w:lang w:val="ro-MD"/>
        </w:rPr>
        <w:t xml:space="preserve"> </w:t>
      </w:r>
      <w:r w:rsidR="00304BAE" w:rsidRPr="000508B6">
        <w:rPr>
          <w:rFonts w:ascii="Times New Roman" w:eastAsia="Times New Roman" w:hAnsi="Times New Roman" w:cs="Times New Roman"/>
          <w:color w:val="000000" w:themeColor="text1"/>
          <w:lang w:val="ro-MD"/>
        </w:rPr>
        <w:t xml:space="preserve">sau </w:t>
      </w:r>
      <w:r w:rsidRPr="000508B6">
        <w:rPr>
          <w:rFonts w:ascii="Times New Roman" w:eastAsia="Times New Roman" w:hAnsi="Times New Roman" w:cs="Times New Roman"/>
          <w:color w:val="000000" w:themeColor="text1"/>
          <w:lang w:val="ro-MD"/>
        </w:rPr>
        <w:t xml:space="preserve">a </w:t>
      </w:r>
      <w:proofErr w:type="spellStart"/>
      <w:r w:rsidRPr="000508B6">
        <w:rPr>
          <w:rFonts w:ascii="Times New Roman" w:eastAsia="Times New Roman" w:hAnsi="Times New Roman" w:cs="Times New Roman"/>
          <w:color w:val="000000" w:themeColor="text1"/>
          <w:lang w:val="ro-MD"/>
        </w:rPr>
        <w:t>informaţiilor</w:t>
      </w:r>
      <w:proofErr w:type="spellEnd"/>
      <w:r w:rsidRPr="000508B6">
        <w:rPr>
          <w:rFonts w:ascii="Times New Roman" w:eastAsia="Times New Roman" w:hAnsi="Times New Roman" w:cs="Times New Roman"/>
          <w:color w:val="000000" w:themeColor="text1"/>
          <w:lang w:val="ro-MD"/>
        </w:rPr>
        <w:t xml:space="preserve"> </w:t>
      </w:r>
      <w:r w:rsidR="00304BAE" w:rsidRPr="000508B6">
        <w:rPr>
          <w:rFonts w:ascii="Times New Roman" w:eastAsia="Times New Roman" w:hAnsi="Times New Roman" w:cs="Times New Roman"/>
          <w:color w:val="000000" w:themeColor="text1"/>
          <w:lang w:val="ro-MD"/>
        </w:rPr>
        <w:t xml:space="preserve">suplimentare </w:t>
      </w:r>
      <w:proofErr w:type="spellStart"/>
      <w:r w:rsidRPr="000508B6">
        <w:rPr>
          <w:rFonts w:ascii="Times New Roman" w:eastAsia="Times New Roman" w:hAnsi="Times New Roman" w:cs="Times New Roman"/>
          <w:color w:val="000000" w:themeColor="text1"/>
          <w:lang w:val="ro-MD"/>
        </w:rPr>
        <w:t>menţionate</w:t>
      </w:r>
      <w:proofErr w:type="spellEnd"/>
      <w:r w:rsidRPr="000508B6">
        <w:rPr>
          <w:rFonts w:ascii="Times New Roman" w:eastAsia="Times New Roman" w:hAnsi="Times New Roman" w:cs="Times New Roman"/>
          <w:color w:val="000000" w:themeColor="text1"/>
          <w:lang w:val="ro-MD"/>
        </w:rPr>
        <w:t xml:space="preserve"> la alin. (</w:t>
      </w:r>
      <w:r w:rsidR="007442E9" w:rsidRPr="000508B6">
        <w:rPr>
          <w:rFonts w:ascii="Times New Roman" w:eastAsia="Times New Roman" w:hAnsi="Times New Roman" w:cs="Times New Roman"/>
          <w:color w:val="000000" w:themeColor="text1"/>
          <w:lang w:val="ro-MD"/>
        </w:rPr>
        <w:t>5</w:t>
      </w:r>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w:t>
      </w:r>
      <w:r w:rsidR="007442E9" w:rsidRPr="000508B6">
        <w:rPr>
          <w:rFonts w:ascii="Times New Roman" w:eastAsia="Times New Roman" w:hAnsi="Times New Roman" w:cs="Times New Roman"/>
          <w:color w:val="000000" w:themeColor="text1"/>
          <w:lang w:val="ro-MD"/>
        </w:rPr>
        <w:t>6</w:t>
      </w:r>
      <w:r w:rsidRPr="000508B6">
        <w:rPr>
          <w:rFonts w:ascii="Times New Roman" w:eastAsia="Times New Roman" w:hAnsi="Times New Roman" w:cs="Times New Roman"/>
          <w:color w:val="000000" w:themeColor="text1"/>
          <w:lang w:val="ro-MD"/>
        </w:rPr>
        <w:t xml:space="preserve">). </w:t>
      </w:r>
    </w:p>
    <w:p w14:paraId="4E5741D7" w14:textId="1B5467D0" w:rsidR="00E27EB3" w:rsidRPr="000508B6" w:rsidRDefault="003456AE" w:rsidP="00BF669F">
      <w:pPr>
        <w:pStyle w:val="Listparagraf"/>
        <w:numPr>
          <w:ilvl w:val="0"/>
          <w:numId w:val="248"/>
        </w:numPr>
        <w:tabs>
          <w:tab w:val="left" w:pos="284"/>
          <w:tab w:val="left" w:pos="709"/>
        </w:tabs>
        <w:spacing w:before="240"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Banca </w:t>
      </w:r>
      <w:proofErr w:type="spellStart"/>
      <w:r w:rsidRPr="000508B6">
        <w:rPr>
          <w:rFonts w:ascii="Times New Roman" w:eastAsia="Times New Roman" w:hAnsi="Times New Roman" w:cs="Times New Roman"/>
          <w:color w:val="000000" w:themeColor="text1"/>
          <w:lang w:val="ro-MD"/>
        </w:rPr>
        <w:t>Naţională</w:t>
      </w:r>
      <w:proofErr w:type="spellEnd"/>
      <w:r w:rsidRPr="000508B6">
        <w:rPr>
          <w:rFonts w:ascii="Times New Roman" w:eastAsia="Times New Roman" w:hAnsi="Times New Roman" w:cs="Times New Roman"/>
          <w:color w:val="000000" w:themeColor="text1"/>
          <w:lang w:val="ro-MD"/>
        </w:rPr>
        <w:t xml:space="preserve"> a Moldovei realizează evaluarea prevăzută la art.</w:t>
      </w:r>
      <w:r w:rsidR="009B6605"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13 alin.</w:t>
      </w:r>
      <w:r w:rsidR="009818CB"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(1)</w:t>
      </w:r>
      <w:r w:rsidRPr="000508B6" w:rsidDel="00757907">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 xml:space="preserve">în termen de cel mult 60 de zile lucrătoare de la data confirmării scrise a primirii solicitării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a tuturor documentelor care trebuie transmise acesteia, conform actelor normative ale Băncii </w:t>
      </w:r>
      <w:proofErr w:type="spellStart"/>
      <w:r w:rsidRPr="000508B6">
        <w:rPr>
          <w:rFonts w:ascii="Times New Roman" w:eastAsia="Times New Roman" w:hAnsi="Times New Roman" w:cs="Times New Roman"/>
          <w:color w:val="000000" w:themeColor="text1"/>
          <w:lang w:val="ro-MD"/>
        </w:rPr>
        <w:t>Naţionale</w:t>
      </w:r>
      <w:proofErr w:type="spellEnd"/>
      <w:r w:rsidRPr="000508B6">
        <w:rPr>
          <w:rFonts w:ascii="Times New Roman" w:eastAsia="Times New Roman" w:hAnsi="Times New Roman" w:cs="Times New Roman"/>
          <w:color w:val="000000" w:themeColor="text1"/>
          <w:lang w:val="ro-MD"/>
        </w:rPr>
        <w:t xml:space="preserve"> a Moldovei la care se face referire la art.</w:t>
      </w:r>
      <w:r w:rsidR="009B6605"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13 alin.</w:t>
      </w:r>
      <w:r w:rsidR="009818CB"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 xml:space="preserve">(4). Dacă solicitarea nu este </w:t>
      </w:r>
      <w:proofErr w:type="spellStart"/>
      <w:r w:rsidRPr="000508B6">
        <w:rPr>
          <w:rFonts w:ascii="Times New Roman" w:eastAsia="Times New Roman" w:hAnsi="Times New Roman" w:cs="Times New Roman"/>
          <w:color w:val="000000" w:themeColor="text1"/>
          <w:lang w:val="ro-MD"/>
        </w:rPr>
        <w:t>însoţită</w:t>
      </w:r>
      <w:proofErr w:type="spellEnd"/>
      <w:r w:rsidRPr="000508B6">
        <w:rPr>
          <w:rFonts w:ascii="Times New Roman" w:eastAsia="Times New Roman" w:hAnsi="Times New Roman" w:cs="Times New Roman"/>
          <w:color w:val="000000" w:themeColor="text1"/>
          <w:lang w:val="ro-MD"/>
        </w:rPr>
        <w:t xml:space="preserve"> de toate documentele necesare, termenul de evaluare începe să curgă de la data confirmării de către Banca </w:t>
      </w:r>
      <w:proofErr w:type="spellStart"/>
      <w:r w:rsidRPr="000508B6">
        <w:rPr>
          <w:rFonts w:ascii="Times New Roman" w:eastAsia="Times New Roman" w:hAnsi="Times New Roman" w:cs="Times New Roman"/>
          <w:color w:val="000000" w:themeColor="text1"/>
          <w:lang w:val="ro-MD"/>
        </w:rPr>
        <w:t>Naţională</w:t>
      </w:r>
      <w:proofErr w:type="spellEnd"/>
      <w:r w:rsidRPr="000508B6">
        <w:rPr>
          <w:rFonts w:ascii="Times New Roman" w:eastAsia="Times New Roman" w:hAnsi="Times New Roman" w:cs="Times New Roman"/>
          <w:color w:val="000000" w:themeColor="text1"/>
          <w:lang w:val="ro-MD"/>
        </w:rPr>
        <w:t xml:space="preserve"> a Moldovei a primirii tuturor documentelor respective. În momentul transmiterii confirmării de primire, Banca </w:t>
      </w:r>
      <w:proofErr w:type="spellStart"/>
      <w:r w:rsidRPr="000508B6">
        <w:rPr>
          <w:rFonts w:ascii="Times New Roman" w:eastAsia="Times New Roman" w:hAnsi="Times New Roman" w:cs="Times New Roman"/>
          <w:color w:val="000000" w:themeColor="text1"/>
          <w:lang w:val="ro-MD"/>
        </w:rPr>
        <w:t>Naţională</w:t>
      </w:r>
      <w:proofErr w:type="spellEnd"/>
      <w:r w:rsidRPr="000508B6">
        <w:rPr>
          <w:rFonts w:ascii="Times New Roman" w:eastAsia="Times New Roman" w:hAnsi="Times New Roman" w:cs="Times New Roman"/>
          <w:color w:val="000000" w:themeColor="text1"/>
          <w:lang w:val="ro-MD"/>
        </w:rPr>
        <w:t xml:space="preserve"> a Moldovei notifică </w:t>
      </w:r>
      <w:proofErr w:type="spellStart"/>
      <w:r w:rsidRPr="000508B6">
        <w:rPr>
          <w:rFonts w:ascii="Times New Roman" w:eastAsia="Times New Roman" w:hAnsi="Times New Roman" w:cs="Times New Roman"/>
          <w:color w:val="000000" w:themeColor="text1"/>
          <w:lang w:val="ro-MD"/>
        </w:rPr>
        <w:t>potenţialului</w:t>
      </w:r>
      <w:proofErr w:type="spellEnd"/>
      <w:r w:rsidRPr="000508B6">
        <w:rPr>
          <w:rFonts w:ascii="Times New Roman" w:eastAsia="Times New Roman" w:hAnsi="Times New Roman" w:cs="Times New Roman"/>
          <w:color w:val="000000" w:themeColor="text1"/>
          <w:lang w:val="ro-MD"/>
        </w:rPr>
        <w:t xml:space="preserve"> achizitor data de expirare a termenului de evaluare. Banca </w:t>
      </w:r>
      <w:proofErr w:type="spellStart"/>
      <w:r w:rsidRPr="000508B6">
        <w:rPr>
          <w:rFonts w:ascii="Times New Roman" w:eastAsia="Times New Roman" w:hAnsi="Times New Roman" w:cs="Times New Roman"/>
          <w:color w:val="000000" w:themeColor="text1"/>
          <w:lang w:val="ro-MD"/>
        </w:rPr>
        <w:t>Naţională</w:t>
      </w:r>
      <w:proofErr w:type="spellEnd"/>
      <w:r w:rsidRPr="000508B6">
        <w:rPr>
          <w:rFonts w:ascii="Times New Roman" w:eastAsia="Times New Roman" w:hAnsi="Times New Roman" w:cs="Times New Roman"/>
          <w:color w:val="000000" w:themeColor="text1"/>
          <w:lang w:val="ro-MD"/>
        </w:rPr>
        <w:t xml:space="preserve"> a Moldovei poate refuza eliberarea aprobării prealabile </w:t>
      </w:r>
      <w:r w:rsidR="00A01615" w:rsidRPr="000508B6">
        <w:rPr>
          <w:rFonts w:ascii="Times New Roman" w:eastAsia="Times New Roman" w:hAnsi="Times New Roman" w:cs="Times New Roman"/>
          <w:color w:val="000000" w:themeColor="text1"/>
          <w:lang w:val="ro-MD"/>
        </w:rPr>
        <w:t>până</w:t>
      </w:r>
      <w:r w:rsidRPr="000508B6">
        <w:rPr>
          <w:rFonts w:ascii="Times New Roman" w:eastAsia="Times New Roman" w:hAnsi="Times New Roman" w:cs="Times New Roman"/>
          <w:color w:val="000000" w:themeColor="text1"/>
          <w:lang w:val="ro-MD"/>
        </w:rPr>
        <w:t xml:space="preserve"> la începerea evaluării dacă dispune de documente</w:t>
      </w:r>
      <w:r w:rsidR="008914CC" w:rsidRPr="000508B6">
        <w:rPr>
          <w:rFonts w:ascii="Times New Roman" w:eastAsia="Times New Roman" w:hAnsi="Times New Roman" w:cs="Times New Roman"/>
          <w:color w:val="000000" w:themeColor="text1"/>
          <w:lang w:val="ro-MD"/>
        </w:rPr>
        <w:t xml:space="preserve"> sau </w:t>
      </w:r>
      <w:proofErr w:type="spellStart"/>
      <w:r w:rsidRPr="000508B6">
        <w:rPr>
          <w:rFonts w:ascii="Times New Roman" w:eastAsia="Times New Roman" w:hAnsi="Times New Roman" w:cs="Times New Roman"/>
          <w:color w:val="000000" w:themeColor="text1"/>
          <w:lang w:val="ro-MD"/>
        </w:rPr>
        <w:t>informaţii</w:t>
      </w:r>
      <w:proofErr w:type="spellEnd"/>
      <w:r w:rsidRPr="000508B6">
        <w:rPr>
          <w:rFonts w:ascii="Times New Roman" w:eastAsia="Times New Roman" w:hAnsi="Times New Roman" w:cs="Times New Roman"/>
          <w:color w:val="000000" w:themeColor="text1"/>
          <w:lang w:val="ro-MD"/>
        </w:rPr>
        <w:t xml:space="preserve"> ce atestă necorespunderea </w:t>
      </w:r>
      <w:proofErr w:type="spellStart"/>
      <w:r w:rsidRPr="000508B6">
        <w:rPr>
          <w:rFonts w:ascii="Times New Roman" w:eastAsia="Times New Roman" w:hAnsi="Times New Roman" w:cs="Times New Roman"/>
          <w:color w:val="000000" w:themeColor="text1"/>
          <w:lang w:val="ro-MD"/>
        </w:rPr>
        <w:t>potenţialului</w:t>
      </w:r>
      <w:proofErr w:type="spellEnd"/>
      <w:r w:rsidRPr="000508B6">
        <w:rPr>
          <w:rFonts w:ascii="Times New Roman" w:eastAsia="Times New Roman" w:hAnsi="Times New Roman" w:cs="Times New Roman"/>
          <w:color w:val="000000" w:themeColor="text1"/>
          <w:lang w:val="ro-MD"/>
        </w:rPr>
        <w:t xml:space="preserve"> achizitor cel </w:t>
      </w:r>
      <w:proofErr w:type="spellStart"/>
      <w:r w:rsidRPr="000508B6">
        <w:rPr>
          <w:rFonts w:ascii="Times New Roman" w:eastAsia="Times New Roman" w:hAnsi="Times New Roman" w:cs="Times New Roman"/>
          <w:color w:val="000000" w:themeColor="text1"/>
          <w:lang w:val="ro-MD"/>
        </w:rPr>
        <w:t>puţin</w:t>
      </w:r>
      <w:proofErr w:type="spellEnd"/>
      <w:r w:rsidRPr="000508B6">
        <w:rPr>
          <w:rFonts w:ascii="Times New Roman" w:eastAsia="Times New Roman" w:hAnsi="Times New Roman" w:cs="Times New Roman"/>
          <w:color w:val="000000" w:themeColor="text1"/>
          <w:lang w:val="ro-MD"/>
        </w:rPr>
        <w:t xml:space="preserve"> unuia din criteriile stabilite la art.</w:t>
      </w:r>
      <w:r w:rsidR="009B6605"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13.</w:t>
      </w:r>
    </w:p>
    <w:p w14:paraId="7A15A07B" w14:textId="5F842110" w:rsidR="0089721E" w:rsidRPr="000508B6" w:rsidRDefault="0089721E" w:rsidP="00CF5AFA">
      <w:pPr>
        <w:pStyle w:val="Listparagraf"/>
        <w:numPr>
          <w:ilvl w:val="0"/>
          <w:numId w:val="248"/>
        </w:numPr>
        <w:tabs>
          <w:tab w:val="left" w:pos="284"/>
          <w:tab w:val="left" w:pos="567"/>
          <w:tab w:val="left" w:pos="851"/>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În </w:t>
      </w:r>
      <w:r w:rsidR="008914CC" w:rsidRPr="000508B6">
        <w:rPr>
          <w:rFonts w:ascii="Times New Roman" w:eastAsia="Times New Roman" w:hAnsi="Times New Roman" w:cs="Times New Roman"/>
          <w:color w:val="000000" w:themeColor="text1"/>
          <w:lang w:val="ro-MD"/>
        </w:rPr>
        <w:t>de</w:t>
      </w:r>
      <w:r w:rsidRPr="000508B6">
        <w:rPr>
          <w:rFonts w:ascii="Times New Roman" w:eastAsia="Times New Roman" w:hAnsi="Times New Roman" w:cs="Times New Roman"/>
          <w:color w:val="000000" w:themeColor="text1"/>
          <w:lang w:val="ro-MD"/>
        </w:rPr>
        <w:t xml:space="preserve">cursul termenului de evaluare, dar nu mai târziu de a 50-a zi lucrătoare, Banca Națională a Moldovei poate solicita </w:t>
      </w:r>
      <w:r w:rsidR="00EA3732" w:rsidRPr="000508B6">
        <w:rPr>
          <w:rFonts w:ascii="Times New Roman" w:eastAsia="Times New Roman" w:hAnsi="Times New Roman" w:cs="Times New Roman"/>
          <w:color w:val="000000" w:themeColor="text1"/>
          <w:lang w:val="ro-MD"/>
        </w:rPr>
        <w:t xml:space="preserve">în scris </w:t>
      </w:r>
      <w:proofErr w:type="spellStart"/>
      <w:r w:rsidRPr="000508B6">
        <w:rPr>
          <w:rFonts w:ascii="Times New Roman" w:eastAsia="Times New Roman" w:hAnsi="Times New Roman" w:cs="Times New Roman"/>
          <w:color w:val="000000" w:themeColor="text1"/>
          <w:lang w:val="ro-MD"/>
        </w:rPr>
        <w:t>potenţialului</w:t>
      </w:r>
      <w:proofErr w:type="spellEnd"/>
      <w:r w:rsidRPr="000508B6">
        <w:rPr>
          <w:rFonts w:ascii="Times New Roman" w:eastAsia="Times New Roman" w:hAnsi="Times New Roman" w:cs="Times New Roman"/>
          <w:color w:val="000000" w:themeColor="text1"/>
          <w:lang w:val="ro-MD"/>
        </w:rPr>
        <w:t xml:space="preserve"> achizitor să transmită, în cel mult 20 de zile lucrătoare, documente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informaţii</w:t>
      </w:r>
      <w:proofErr w:type="spellEnd"/>
      <w:r w:rsidRPr="000508B6">
        <w:rPr>
          <w:rFonts w:ascii="Times New Roman" w:eastAsia="Times New Roman" w:hAnsi="Times New Roman" w:cs="Times New Roman"/>
          <w:color w:val="000000" w:themeColor="text1"/>
          <w:lang w:val="ro-MD"/>
        </w:rPr>
        <w:t xml:space="preserve"> suplimentare necesare finalizării evaluării proiectului de </w:t>
      </w:r>
      <w:proofErr w:type="spellStart"/>
      <w:r w:rsidRPr="000508B6">
        <w:rPr>
          <w:rFonts w:ascii="Times New Roman" w:eastAsia="Times New Roman" w:hAnsi="Times New Roman" w:cs="Times New Roman"/>
          <w:color w:val="000000" w:themeColor="text1"/>
          <w:lang w:val="ro-MD"/>
        </w:rPr>
        <w:t>achiziţie</w:t>
      </w:r>
      <w:proofErr w:type="spellEnd"/>
      <w:r w:rsidRPr="000508B6">
        <w:rPr>
          <w:rFonts w:ascii="Times New Roman" w:eastAsia="Times New Roman" w:hAnsi="Times New Roman" w:cs="Times New Roman"/>
          <w:color w:val="000000" w:themeColor="text1"/>
          <w:lang w:val="ro-MD"/>
        </w:rPr>
        <w:t>.</w:t>
      </w:r>
    </w:p>
    <w:p w14:paraId="2ABA8C91" w14:textId="73FF5911" w:rsidR="0089721E" w:rsidRPr="000508B6" w:rsidRDefault="0089721E" w:rsidP="00CF5AFA">
      <w:pPr>
        <w:pStyle w:val="Listparagraf"/>
        <w:numPr>
          <w:ilvl w:val="0"/>
          <w:numId w:val="248"/>
        </w:numPr>
        <w:tabs>
          <w:tab w:val="left" w:pos="284"/>
          <w:tab w:val="left" w:pos="567"/>
          <w:tab w:val="left" w:pos="851"/>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Termenul de evaluare se întrerupe între data solicitării în scris a </w:t>
      </w:r>
      <w:proofErr w:type="spellStart"/>
      <w:r w:rsidRPr="000508B6">
        <w:rPr>
          <w:rFonts w:ascii="Times New Roman" w:eastAsia="Times New Roman" w:hAnsi="Times New Roman" w:cs="Times New Roman"/>
          <w:color w:val="000000" w:themeColor="text1"/>
          <w:lang w:val="ro-MD"/>
        </w:rPr>
        <w:t>informaţiilor</w:t>
      </w:r>
      <w:proofErr w:type="spellEnd"/>
      <w:r w:rsidRPr="000508B6">
        <w:rPr>
          <w:rFonts w:ascii="Times New Roman" w:eastAsia="Times New Roman" w:hAnsi="Times New Roman" w:cs="Times New Roman"/>
          <w:color w:val="000000" w:themeColor="text1"/>
          <w:lang w:val="ro-MD"/>
        </w:rPr>
        <w:t xml:space="preserve"> suplimentare </w:t>
      </w:r>
      <w:proofErr w:type="spellStart"/>
      <w:r w:rsidRPr="000508B6">
        <w:rPr>
          <w:rFonts w:ascii="Times New Roman" w:eastAsia="Times New Roman" w:hAnsi="Times New Roman" w:cs="Times New Roman"/>
          <w:color w:val="000000" w:themeColor="text1"/>
          <w:lang w:val="ro-MD"/>
        </w:rPr>
        <w:t>menţionate</w:t>
      </w:r>
      <w:proofErr w:type="spellEnd"/>
      <w:r w:rsidRPr="000508B6">
        <w:rPr>
          <w:rFonts w:ascii="Times New Roman" w:eastAsia="Times New Roman" w:hAnsi="Times New Roman" w:cs="Times New Roman"/>
          <w:color w:val="000000" w:themeColor="text1"/>
          <w:lang w:val="ro-MD"/>
        </w:rPr>
        <w:t xml:space="preserve"> la alin. (</w:t>
      </w:r>
      <w:r w:rsidR="000561C6" w:rsidRPr="000508B6">
        <w:rPr>
          <w:rFonts w:ascii="Times New Roman" w:eastAsia="Times New Roman" w:hAnsi="Times New Roman" w:cs="Times New Roman"/>
          <w:color w:val="000000" w:themeColor="text1"/>
          <w:lang w:val="ro-MD"/>
        </w:rPr>
        <w:t>5</w:t>
      </w:r>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data primirii acestora</w:t>
      </w:r>
      <w:r w:rsidR="00606179" w:rsidRPr="000508B6">
        <w:rPr>
          <w:rFonts w:ascii="Times New Roman" w:eastAsia="Times New Roman" w:hAnsi="Times New Roman" w:cs="Times New Roman"/>
          <w:color w:val="000000" w:themeColor="text1"/>
          <w:lang w:val="ro-MD"/>
        </w:rPr>
        <w:t>.</w:t>
      </w:r>
      <w:r w:rsidRPr="000508B6">
        <w:rPr>
          <w:rFonts w:ascii="Times New Roman" w:eastAsia="Times New Roman" w:hAnsi="Times New Roman" w:cs="Times New Roman"/>
          <w:color w:val="000000" w:themeColor="text1"/>
          <w:lang w:val="ro-MD"/>
        </w:rPr>
        <w:t xml:space="preserve"> </w:t>
      </w:r>
      <w:r w:rsidR="00606179" w:rsidRPr="000508B6">
        <w:rPr>
          <w:rFonts w:ascii="Times New Roman" w:eastAsia="Times New Roman" w:hAnsi="Times New Roman" w:cs="Times New Roman"/>
          <w:color w:val="000000" w:themeColor="text1"/>
          <w:lang w:val="ro-MD"/>
        </w:rPr>
        <w:t>Î</w:t>
      </w:r>
      <w:r w:rsidRPr="000508B6">
        <w:rPr>
          <w:rFonts w:ascii="Times New Roman" w:eastAsia="Times New Roman" w:hAnsi="Times New Roman" w:cs="Times New Roman"/>
          <w:color w:val="000000" w:themeColor="text1"/>
          <w:lang w:val="ro-MD"/>
        </w:rPr>
        <w:t xml:space="preserve">n cazul unor solicitări ulterioare, termenul de evaluare nu se mai întrerupe. </w:t>
      </w:r>
    </w:p>
    <w:p w14:paraId="51AF5025" w14:textId="49C5590D" w:rsidR="0089721E" w:rsidRPr="000508B6" w:rsidRDefault="0089721E" w:rsidP="00CF5AFA">
      <w:pPr>
        <w:pStyle w:val="Listparagraf"/>
        <w:numPr>
          <w:ilvl w:val="0"/>
          <w:numId w:val="248"/>
        </w:numPr>
        <w:tabs>
          <w:tab w:val="left" w:pos="284"/>
          <w:tab w:val="left" w:pos="567"/>
          <w:tab w:val="left" w:pos="851"/>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Perioada de întrerupere a termenului de evaluare poate fi prelungită până la maximum 30 de zile lucrătoare, în cazul în care </w:t>
      </w:r>
      <w:proofErr w:type="spellStart"/>
      <w:r w:rsidRPr="000508B6">
        <w:rPr>
          <w:rFonts w:ascii="Times New Roman" w:eastAsia="Times New Roman" w:hAnsi="Times New Roman" w:cs="Times New Roman"/>
          <w:color w:val="000000" w:themeColor="text1"/>
          <w:lang w:val="ro-MD"/>
        </w:rPr>
        <w:t>potenţialul</w:t>
      </w:r>
      <w:proofErr w:type="spellEnd"/>
      <w:r w:rsidRPr="000508B6">
        <w:rPr>
          <w:rFonts w:ascii="Times New Roman" w:eastAsia="Times New Roman" w:hAnsi="Times New Roman" w:cs="Times New Roman"/>
          <w:color w:val="000000" w:themeColor="text1"/>
          <w:lang w:val="ro-MD"/>
        </w:rPr>
        <w:t xml:space="preserve"> achizitor este stabilit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reglementat într-un stat </w:t>
      </w:r>
      <w:proofErr w:type="spellStart"/>
      <w:r w:rsidRPr="000508B6">
        <w:rPr>
          <w:rFonts w:ascii="Times New Roman" w:eastAsia="Times New Roman" w:hAnsi="Times New Roman" w:cs="Times New Roman"/>
          <w:color w:val="000000" w:themeColor="text1"/>
          <w:lang w:val="ro-MD"/>
        </w:rPr>
        <w:t>terţ</w:t>
      </w:r>
      <w:proofErr w:type="spellEnd"/>
      <w:r w:rsidRPr="000508B6">
        <w:rPr>
          <w:rFonts w:ascii="Times New Roman" w:eastAsia="Times New Roman" w:hAnsi="Times New Roman" w:cs="Times New Roman"/>
          <w:color w:val="000000" w:themeColor="text1"/>
          <w:lang w:val="ro-MD"/>
        </w:rPr>
        <w:t xml:space="preserve"> sau acesta nu este supravegheat de o autoritate competentă din domeniul financiar </w:t>
      </w:r>
      <w:r w:rsidR="00BF686E" w:rsidRPr="000508B6">
        <w:rPr>
          <w:rFonts w:ascii="Times New Roman" w:eastAsia="Times New Roman" w:hAnsi="Times New Roman" w:cs="Times New Roman"/>
          <w:color w:val="000000" w:themeColor="text1"/>
          <w:lang w:val="ro-MD"/>
        </w:rPr>
        <w:t xml:space="preserve">din Republica Moldova sau </w:t>
      </w:r>
      <w:r w:rsidRPr="000508B6">
        <w:rPr>
          <w:rFonts w:ascii="Times New Roman" w:eastAsia="Times New Roman" w:hAnsi="Times New Roman" w:cs="Times New Roman"/>
          <w:color w:val="000000" w:themeColor="text1"/>
          <w:lang w:val="ro-MD"/>
        </w:rPr>
        <w:t xml:space="preserve">dintr-un stat membru. </w:t>
      </w:r>
    </w:p>
    <w:p w14:paraId="4DA2817E" w14:textId="231EBF91" w:rsidR="0089721E" w:rsidRPr="000508B6" w:rsidRDefault="000312B2" w:rsidP="00CF5AFA">
      <w:pPr>
        <w:pStyle w:val="Listparagraf"/>
        <w:numPr>
          <w:ilvl w:val="0"/>
          <w:numId w:val="248"/>
        </w:numPr>
        <w:tabs>
          <w:tab w:val="left" w:pos="284"/>
          <w:tab w:val="left" w:pos="567"/>
          <w:tab w:val="left" w:pos="851"/>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pt-BR"/>
        </w:rPr>
        <w:t xml:space="preserve">Decizia de aprobare a proiectului de achiziţie emisă de Banca Națională a Moldovei poate menţiona un termen de finalizare a </w:t>
      </w:r>
      <w:r w:rsidR="00E66C39">
        <w:rPr>
          <w:rFonts w:ascii="Times New Roman" w:eastAsia="Times New Roman" w:hAnsi="Times New Roman" w:cs="Times New Roman"/>
          <w:color w:val="000000" w:themeColor="text1"/>
          <w:lang w:val="pt-BR"/>
        </w:rPr>
        <w:t>achizi</w:t>
      </w:r>
      <w:proofErr w:type="spellStart"/>
      <w:r w:rsidR="00E66C39">
        <w:rPr>
          <w:rFonts w:ascii="Times New Roman" w:eastAsia="Times New Roman" w:hAnsi="Times New Roman" w:cs="Times New Roman"/>
          <w:color w:val="000000" w:themeColor="text1"/>
          <w:lang w:val="ro-MD"/>
        </w:rPr>
        <w:t>ției</w:t>
      </w:r>
      <w:proofErr w:type="spellEnd"/>
      <w:r w:rsidRPr="000508B6">
        <w:rPr>
          <w:rFonts w:ascii="Times New Roman" w:eastAsia="Times New Roman" w:hAnsi="Times New Roman" w:cs="Times New Roman"/>
          <w:color w:val="000000" w:themeColor="text1"/>
          <w:lang w:val="pt-BR"/>
        </w:rPr>
        <w:t>, care poate fi prelungit de Banca Națională a Moldovei atunci când este necesar.</w:t>
      </w:r>
    </w:p>
    <w:p w14:paraId="6E4EA7BF" w14:textId="4A048372" w:rsidR="0089721E" w:rsidRPr="000508B6" w:rsidRDefault="0089721E" w:rsidP="00CF5AFA">
      <w:pPr>
        <w:pStyle w:val="Listparagraf"/>
        <w:numPr>
          <w:ilvl w:val="0"/>
          <w:numId w:val="248"/>
        </w:numPr>
        <w:tabs>
          <w:tab w:val="left" w:pos="284"/>
          <w:tab w:val="left" w:pos="567"/>
          <w:tab w:val="left" w:pos="851"/>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În cazul în care, în urma evaluării, Banca Națională a Moldovei </w:t>
      </w:r>
      <w:r w:rsidR="004540D4" w:rsidRPr="000508B6">
        <w:rPr>
          <w:rFonts w:ascii="Times New Roman" w:eastAsia="Times New Roman" w:hAnsi="Times New Roman" w:cs="Times New Roman"/>
          <w:color w:val="000000" w:themeColor="text1"/>
          <w:lang w:val="ro-MD"/>
        </w:rPr>
        <w:t>refuză</w:t>
      </w:r>
      <w:r w:rsidRPr="000508B6">
        <w:rPr>
          <w:rFonts w:ascii="Times New Roman" w:eastAsia="Times New Roman" w:hAnsi="Times New Roman" w:cs="Times New Roman"/>
          <w:color w:val="000000" w:themeColor="text1"/>
          <w:lang w:val="ro-MD"/>
        </w:rPr>
        <w:t xml:space="preserve"> aprob</w:t>
      </w:r>
      <w:r w:rsidR="004540D4" w:rsidRPr="000508B6">
        <w:rPr>
          <w:rFonts w:ascii="Times New Roman" w:eastAsia="Times New Roman" w:hAnsi="Times New Roman" w:cs="Times New Roman"/>
          <w:color w:val="000000" w:themeColor="text1"/>
          <w:lang w:val="ro-MD"/>
        </w:rPr>
        <w:t>area</w:t>
      </w:r>
      <w:r w:rsidRPr="000508B6">
        <w:rPr>
          <w:rFonts w:ascii="Times New Roman" w:eastAsia="Times New Roman" w:hAnsi="Times New Roman" w:cs="Times New Roman"/>
          <w:color w:val="000000" w:themeColor="text1"/>
          <w:lang w:val="ro-MD"/>
        </w:rPr>
        <w:t xml:space="preserve"> proiectul</w:t>
      </w:r>
      <w:r w:rsidR="00734D3F" w:rsidRPr="000508B6">
        <w:rPr>
          <w:rFonts w:ascii="Times New Roman" w:eastAsia="Times New Roman" w:hAnsi="Times New Roman" w:cs="Times New Roman"/>
          <w:color w:val="000000" w:themeColor="text1"/>
          <w:lang w:val="ro-MD"/>
        </w:rPr>
        <w:t>ui</w:t>
      </w:r>
      <w:r w:rsidRPr="000508B6">
        <w:rPr>
          <w:rFonts w:ascii="Times New Roman" w:eastAsia="Times New Roman" w:hAnsi="Times New Roman" w:cs="Times New Roman"/>
          <w:color w:val="000000" w:themeColor="text1"/>
          <w:lang w:val="ro-MD"/>
        </w:rPr>
        <w:t xml:space="preserve"> de </w:t>
      </w:r>
      <w:proofErr w:type="spellStart"/>
      <w:r w:rsidRPr="000508B6">
        <w:rPr>
          <w:rFonts w:ascii="Times New Roman" w:eastAsia="Times New Roman" w:hAnsi="Times New Roman" w:cs="Times New Roman"/>
          <w:color w:val="000000" w:themeColor="text1"/>
          <w:lang w:val="ro-MD"/>
        </w:rPr>
        <w:t>achiziţie</w:t>
      </w:r>
      <w:proofErr w:type="spellEnd"/>
      <w:r w:rsidRPr="000508B6">
        <w:rPr>
          <w:rFonts w:ascii="Times New Roman" w:eastAsia="Times New Roman" w:hAnsi="Times New Roman" w:cs="Times New Roman"/>
          <w:color w:val="000000" w:themeColor="text1"/>
          <w:lang w:val="ro-MD"/>
        </w:rPr>
        <w:t xml:space="preserve">, aceasta comunică în scris </w:t>
      </w:r>
      <w:proofErr w:type="spellStart"/>
      <w:r w:rsidRPr="000508B6">
        <w:rPr>
          <w:rFonts w:ascii="Times New Roman" w:eastAsia="Times New Roman" w:hAnsi="Times New Roman" w:cs="Times New Roman"/>
          <w:color w:val="000000" w:themeColor="text1"/>
          <w:lang w:val="ro-MD"/>
        </w:rPr>
        <w:t>potenţialului</w:t>
      </w:r>
      <w:proofErr w:type="spellEnd"/>
      <w:r w:rsidRPr="000508B6">
        <w:rPr>
          <w:rFonts w:ascii="Times New Roman" w:eastAsia="Times New Roman" w:hAnsi="Times New Roman" w:cs="Times New Roman"/>
          <w:color w:val="000000" w:themeColor="text1"/>
          <w:lang w:val="ro-MD"/>
        </w:rPr>
        <w:t xml:space="preserve"> achizitor decizia motivată, în termen de două zile lucrătoare de la adoptarea acesteia</w:t>
      </w:r>
      <w:r w:rsidR="00EA3732" w:rsidRPr="000508B6">
        <w:rPr>
          <w:rFonts w:ascii="Times New Roman" w:eastAsia="Times New Roman" w:hAnsi="Times New Roman" w:cs="Times New Roman"/>
          <w:color w:val="000000" w:themeColor="text1"/>
          <w:lang w:val="ro-MD"/>
        </w:rPr>
        <w:t>, dar fără a depăși termenul de evaluare</w:t>
      </w:r>
      <w:r w:rsidR="00056F02">
        <w:rPr>
          <w:rFonts w:ascii="Times New Roman" w:eastAsia="Times New Roman" w:hAnsi="Times New Roman" w:cs="Times New Roman"/>
          <w:color w:val="000000" w:themeColor="text1"/>
          <w:lang w:val="ro-MD"/>
        </w:rPr>
        <w:t>, cu publicarea după caz a deciziei respective</w:t>
      </w:r>
    </w:p>
    <w:p w14:paraId="2860E535" w14:textId="41AE7C32" w:rsidR="00CD6334" w:rsidRPr="000508B6" w:rsidRDefault="0089721E" w:rsidP="00BF669F">
      <w:pPr>
        <w:pStyle w:val="Listparagraf"/>
        <w:numPr>
          <w:ilvl w:val="0"/>
          <w:numId w:val="248"/>
        </w:numPr>
        <w:tabs>
          <w:tab w:val="left" w:pos="284"/>
          <w:tab w:val="left" w:pos="567"/>
          <w:tab w:val="left" w:pos="709"/>
        </w:tabs>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Proiectul de </w:t>
      </w:r>
      <w:proofErr w:type="spellStart"/>
      <w:r w:rsidRPr="000508B6">
        <w:rPr>
          <w:rFonts w:ascii="Times New Roman" w:eastAsia="Times New Roman" w:hAnsi="Times New Roman" w:cs="Times New Roman"/>
          <w:color w:val="000000" w:themeColor="text1"/>
          <w:lang w:val="ro-MD"/>
        </w:rPr>
        <w:t>achiziţie</w:t>
      </w:r>
      <w:proofErr w:type="spellEnd"/>
      <w:r w:rsidRPr="000508B6">
        <w:rPr>
          <w:rFonts w:ascii="Times New Roman" w:eastAsia="Times New Roman" w:hAnsi="Times New Roman" w:cs="Times New Roman"/>
          <w:color w:val="000000" w:themeColor="text1"/>
          <w:lang w:val="ro-MD"/>
        </w:rPr>
        <w:t xml:space="preserve"> se consideră aprobat în cazul în care Banca Națională a Moldovei nu comunică </w:t>
      </w:r>
      <w:proofErr w:type="spellStart"/>
      <w:r w:rsidRPr="000508B6">
        <w:rPr>
          <w:rFonts w:ascii="Times New Roman" w:eastAsia="Times New Roman" w:hAnsi="Times New Roman" w:cs="Times New Roman"/>
          <w:color w:val="000000" w:themeColor="text1"/>
          <w:lang w:val="ro-MD"/>
        </w:rPr>
        <w:t>potenţialului</w:t>
      </w:r>
      <w:proofErr w:type="spellEnd"/>
      <w:r w:rsidRPr="000508B6">
        <w:rPr>
          <w:rFonts w:ascii="Times New Roman" w:eastAsia="Times New Roman" w:hAnsi="Times New Roman" w:cs="Times New Roman"/>
          <w:color w:val="000000" w:themeColor="text1"/>
          <w:lang w:val="ro-MD"/>
        </w:rPr>
        <w:t xml:space="preserve"> achizitor, în termenul de evaluare, decizia </w:t>
      </w:r>
      <w:proofErr w:type="spellStart"/>
      <w:r w:rsidRPr="000508B6">
        <w:rPr>
          <w:rFonts w:ascii="Times New Roman" w:eastAsia="Times New Roman" w:hAnsi="Times New Roman" w:cs="Times New Roman"/>
          <w:color w:val="000000" w:themeColor="text1"/>
          <w:lang w:val="ro-MD"/>
        </w:rPr>
        <w:t>menţionată</w:t>
      </w:r>
      <w:proofErr w:type="spellEnd"/>
      <w:r w:rsidRPr="000508B6">
        <w:rPr>
          <w:rFonts w:ascii="Times New Roman" w:eastAsia="Times New Roman" w:hAnsi="Times New Roman" w:cs="Times New Roman"/>
          <w:color w:val="000000" w:themeColor="text1"/>
          <w:lang w:val="ro-MD"/>
        </w:rPr>
        <w:t xml:space="preserve"> la alin. (</w:t>
      </w:r>
      <w:r w:rsidR="00A7303B" w:rsidRPr="000508B6">
        <w:rPr>
          <w:rFonts w:ascii="Times New Roman" w:eastAsia="Times New Roman" w:hAnsi="Times New Roman" w:cs="Times New Roman"/>
          <w:color w:val="000000" w:themeColor="text1"/>
          <w:lang w:val="ro-MD"/>
        </w:rPr>
        <w:t>9</w:t>
      </w:r>
      <w:r w:rsidRPr="000508B6">
        <w:rPr>
          <w:rFonts w:ascii="Times New Roman" w:eastAsia="Times New Roman" w:hAnsi="Times New Roman" w:cs="Times New Roman"/>
          <w:color w:val="000000" w:themeColor="text1"/>
          <w:lang w:val="ro-MD"/>
        </w:rPr>
        <w:t xml:space="preserve">). </w:t>
      </w:r>
    </w:p>
    <w:p w14:paraId="3D85D94B" w14:textId="6E307217" w:rsidR="00757907" w:rsidRPr="000508B6" w:rsidRDefault="00757907" w:rsidP="00BF669F">
      <w:pPr>
        <w:pStyle w:val="Listparagraf"/>
        <w:numPr>
          <w:ilvl w:val="0"/>
          <w:numId w:val="248"/>
        </w:numPr>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Prevederile alin. (3)-(10) se aplică în mod corespunzător asupra persoanelor prevăzute în alin. (1) lit. b) și lit.</w:t>
      </w:r>
      <w:r w:rsidR="009B660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c).</w:t>
      </w:r>
    </w:p>
    <w:p w14:paraId="77DA8B41" w14:textId="2ADEB256" w:rsidR="001775AF" w:rsidRPr="000508B6" w:rsidRDefault="001775AF" w:rsidP="009818CB">
      <w:pPr>
        <w:pStyle w:val="Listparagraf"/>
        <w:numPr>
          <w:ilvl w:val="0"/>
          <w:numId w:val="248"/>
        </w:numPr>
        <w:tabs>
          <w:tab w:val="left" w:pos="567"/>
          <w:tab w:val="left" w:pos="709"/>
          <w:tab w:val="left" w:pos="851"/>
        </w:tabs>
        <w:spacing w:after="0" w:line="240" w:lineRule="auto"/>
        <w:ind w:left="0" w:firstLine="284"/>
        <w:jc w:val="both"/>
        <w:rPr>
          <w:rFonts w:ascii="Times New Roman" w:eastAsia="Times New Roman" w:hAnsi="Times New Roman" w:cs="Times New Roman"/>
          <w:i/>
          <w:lang w:val="ro-MD"/>
        </w:rPr>
      </w:pPr>
      <w:proofErr w:type="spellStart"/>
      <w:r w:rsidRPr="000508B6">
        <w:rPr>
          <w:rFonts w:ascii="Times New Roman" w:eastAsia="Times New Roman" w:hAnsi="Times New Roman" w:cs="Times New Roman"/>
          <w:lang w:val="ro-MD"/>
        </w:rPr>
        <w:t>Exerciţiul</w:t>
      </w:r>
      <w:proofErr w:type="spellEnd"/>
      <w:r w:rsidRPr="000508B6">
        <w:rPr>
          <w:rFonts w:ascii="Times New Roman" w:eastAsia="Times New Roman" w:hAnsi="Times New Roman" w:cs="Times New Roman"/>
          <w:lang w:val="ro-MD"/>
        </w:rPr>
        <w:t xml:space="preserve"> dreptului de vot, al dreptului de convocare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desfăşurare</w:t>
      </w:r>
      <w:proofErr w:type="spellEnd"/>
      <w:r w:rsidRPr="000508B6">
        <w:rPr>
          <w:rFonts w:ascii="Times New Roman" w:eastAsia="Times New Roman" w:hAnsi="Times New Roman" w:cs="Times New Roman"/>
          <w:lang w:val="ro-MD"/>
        </w:rPr>
        <w:t xml:space="preserve"> a adunării generale a </w:t>
      </w:r>
      <w:proofErr w:type="spellStart"/>
      <w:r w:rsidRPr="000508B6">
        <w:rPr>
          <w:rFonts w:ascii="Times New Roman" w:eastAsia="Times New Roman" w:hAnsi="Times New Roman" w:cs="Times New Roman"/>
          <w:lang w:val="ro-MD"/>
        </w:rPr>
        <w:t>acţionarilor</w:t>
      </w:r>
      <w:proofErr w:type="spellEnd"/>
      <w:r w:rsidRPr="000508B6">
        <w:rPr>
          <w:rFonts w:ascii="Times New Roman" w:eastAsia="Times New Roman" w:hAnsi="Times New Roman" w:cs="Times New Roman"/>
          <w:lang w:val="ro-MD"/>
        </w:rPr>
        <w:t xml:space="preserve">, al dreptului de a introduce chestiuni pe ordinea de zi, al dreptului de a propune </w:t>
      </w:r>
      <w:proofErr w:type="spellStart"/>
      <w:r w:rsidRPr="000508B6">
        <w:rPr>
          <w:rFonts w:ascii="Times New Roman" w:eastAsia="Times New Roman" w:hAnsi="Times New Roman" w:cs="Times New Roman"/>
          <w:lang w:val="ro-MD"/>
        </w:rPr>
        <w:t>candidaţi</w:t>
      </w:r>
      <w:proofErr w:type="spellEnd"/>
      <w:r w:rsidRPr="000508B6">
        <w:rPr>
          <w:rFonts w:ascii="Times New Roman" w:eastAsia="Times New Roman" w:hAnsi="Times New Roman" w:cs="Times New Roman"/>
          <w:lang w:val="ro-MD"/>
        </w:rPr>
        <w:t xml:space="preserve"> pentru membrii al consiliului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al organului executiv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 comitetului de audit, al dreptului de a primi dividende este suspendat de drept din data </w:t>
      </w:r>
      <w:r w:rsidR="00F32CCF" w:rsidRPr="000508B6">
        <w:rPr>
          <w:rFonts w:ascii="Times New Roman" w:eastAsia="Times New Roman" w:hAnsi="Times New Roman" w:cs="Times New Roman"/>
          <w:lang w:val="ro-MD"/>
        </w:rPr>
        <w:t>deciziei</w:t>
      </w:r>
      <w:r w:rsidRPr="000508B6">
        <w:rPr>
          <w:rFonts w:ascii="Times New Roman" w:eastAsia="Times New Roman" w:hAnsi="Times New Roman" w:cs="Times New Roman"/>
          <w:lang w:val="ro-MD"/>
        </w:rPr>
        <w:t xml:space="preserve"> Băncii Naționale a Moldovei prin care se constată achiziția/dobândirea sau majorarea realizată cu încălcarea prevederilor alin.</w:t>
      </w:r>
      <w:r w:rsidR="009818C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 Banca Națională a Moldovei notifică potențial</w:t>
      </w:r>
      <w:r w:rsidR="00BE6DD1" w:rsidRPr="000508B6">
        <w:rPr>
          <w:rFonts w:ascii="Times New Roman" w:eastAsia="Times New Roman" w:hAnsi="Times New Roman" w:cs="Times New Roman"/>
          <w:lang w:val="ro-MD"/>
        </w:rPr>
        <w:t>ul</w:t>
      </w:r>
      <w:r w:rsidR="00F32CC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achizitor/dobânditorul și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în termen de 5 zile de la data la care a aflat despre achiziția/dobândirea realizată cu încălcarea prevederilor alin. (1), despre incidența prevederilor vizând suspendarea exercițiului drepturilor indicate în prezentul alineat.</w:t>
      </w:r>
      <w:r w:rsidR="00B12374" w:rsidRPr="000508B6">
        <w:rPr>
          <w:rFonts w:ascii="Times New Roman" w:eastAsia="Times New Roman" w:hAnsi="Times New Roman" w:cs="Times New Roman"/>
          <w:lang w:val="ro-MD"/>
        </w:rPr>
        <w:t xml:space="preserve"> </w:t>
      </w:r>
    </w:p>
    <w:p w14:paraId="4E57CC72" w14:textId="408AFC15" w:rsidR="00B12374" w:rsidRPr="000508B6" w:rsidRDefault="00B12374" w:rsidP="0092203B">
      <w:pPr>
        <w:pStyle w:val="Listparagraf"/>
        <w:numPr>
          <w:ilvl w:val="0"/>
          <w:numId w:val="248"/>
        </w:numPr>
        <w:tabs>
          <w:tab w:val="left" w:pos="567"/>
          <w:tab w:val="left" w:pos="709"/>
          <w:tab w:val="left" w:pos="851"/>
        </w:tabs>
        <w:spacing w:after="0" w:line="240" w:lineRule="auto"/>
        <w:ind w:left="0" w:firstLine="284"/>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Acţiunile</w:t>
      </w:r>
      <w:proofErr w:type="spellEnd"/>
      <w:r w:rsidRPr="000508B6">
        <w:rPr>
          <w:rFonts w:ascii="Times New Roman" w:eastAsia="Times New Roman" w:hAnsi="Times New Roman" w:cs="Times New Roman"/>
          <w:lang w:val="ro-MD"/>
        </w:rPr>
        <w:t xml:space="preserve"> cu drept de vot suspendat nu se exclud din calcul la convocarea adunării generale a acționarilor și la stabilirea cvorumului. Dacă acțiunile cu drept de vot suspendat constituie 50% sau mai mult din acțiunile cu drept de vot ale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prin derogare de la art. 57 alin. (1) din Legea nr. 1134/1997, se consideră că adunarea generală a acționarilor are cvorum dacă la aceasta participă acționari care dețin cel puțin 25% din acțiunile cu drept de vot ale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Acțiunile cu drept de vot suspendat nu participă la adoptarea hotărârilor privind chestiunile incluse pe ordinea de zi a adunării generale a acționarilor.  </w:t>
      </w:r>
    </w:p>
    <w:p w14:paraId="25F61581" w14:textId="471B1D07" w:rsidR="00B12374" w:rsidRPr="000508B6" w:rsidRDefault="00B12374" w:rsidP="008E615E">
      <w:pPr>
        <w:pStyle w:val="Listparagraf"/>
        <w:numPr>
          <w:ilvl w:val="0"/>
          <w:numId w:val="248"/>
        </w:numPr>
        <w:tabs>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Persoanele care au încălcat prevederile alin.</w:t>
      </w:r>
      <w:r w:rsidR="009818C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(1) vor înstrăina, în termen de 3 luni de la data notificării deciziei Băncii Naționale a Moldovei prin care s-a constatat achiziția/dobândirea realizată cu încălcarea prevederilor alin. (1) din prezentul articol </w:t>
      </w:r>
      <w:proofErr w:type="spellStart"/>
      <w:r w:rsidRPr="000508B6">
        <w:rPr>
          <w:rFonts w:ascii="Times New Roman" w:eastAsia="Times New Roman" w:hAnsi="Times New Roman" w:cs="Times New Roman"/>
          <w:lang w:val="ro-MD"/>
        </w:rPr>
        <w:t>acţiunile</w:t>
      </w:r>
      <w:proofErr w:type="spellEnd"/>
      <w:r w:rsidRPr="000508B6">
        <w:rPr>
          <w:rFonts w:ascii="Times New Roman" w:eastAsia="Times New Roman" w:hAnsi="Times New Roman" w:cs="Times New Roman"/>
          <w:lang w:val="ro-MD"/>
        </w:rPr>
        <w:t xml:space="preserve"> aferente deținerii astfel achiziționate/dobândite. Dacă după expirarea termenului acțiunile nu au fost înstrăinate, devin incidente prevederile art. 17.</w:t>
      </w:r>
    </w:p>
    <w:p w14:paraId="0B7EBD04" w14:textId="368C86A5" w:rsidR="00B12374" w:rsidRPr="000508B6" w:rsidRDefault="00B12374" w:rsidP="009818CB">
      <w:pPr>
        <w:pStyle w:val="Listparagraf"/>
        <w:numPr>
          <w:ilvl w:val="0"/>
          <w:numId w:val="248"/>
        </w:numPr>
        <w:tabs>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aplicarea prevederilor alin. (1), se prezumă, până la proba contrară, că mai multe persoane </w:t>
      </w:r>
      <w:proofErr w:type="spellStart"/>
      <w:r w:rsidRPr="000508B6">
        <w:rPr>
          <w:rFonts w:ascii="Times New Roman" w:eastAsia="Times New Roman" w:hAnsi="Times New Roman" w:cs="Times New Roman"/>
          <w:lang w:val="ro-MD"/>
        </w:rPr>
        <w:t>acţionează</w:t>
      </w:r>
      <w:proofErr w:type="spellEnd"/>
      <w:r w:rsidRPr="000508B6">
        <w:rPr>
          <w:rFonts w:ascii="Times New Roman" w:eastAsia="Times New Roman" w:hAnsi="Times New Roman" w:cs="Times New Roman"/>
          <w:lang w:val="ro-MD"/>
        </w:rPr>
        <w:t xml:space="preserve"> concertat în calitate de </w:t>
      </w:r>
      <w:proofErr w:type="spellStart"/>
      <w:r w:rsidRPr="000508B6">
        <w:rPr>
          <w:rFonts w:ascii="Times New Roman" w:eastAsia="Times New Roman" w:hAnsi="Times New Roman" w:cs="Times New Roman"/>
          <w:lang w:val="ro-MD"/>
        </w:rPr>
        <w:t>potenţiali</w:t>
      </w:r>
      <w:proofErr w:type="spellEnd"/>
      <w:r w:rsidRPr="000508B6">
        <w:rPr>
          <w:rFonts w:ascii="Times New Roman" w:eastAsia="Times New Roman" w:hAnsi="Times New Roman" w:cs="Times New Roman"/>
          <w:lang w:val="ro-MD"/>
        </w:rPr>
        <w:t xml:space="preserve"> achizitori conform constatărilor Băncii Naționale a Moldovei.</w:t>
      </w:r>
    </w:p>
    <w:p w14:paraId="71CECCE6" w14:textId="79942EF8" w:rsidR="00B12374" w:rsidRPr="000508B6" w:rsidRDefault="00B12374" w:rsidP="009818CB">
      <w:pPr>
        <w:pStyle w:val="Listparagraf"/>
        <w:numPr>
          <w:ilvl w:val="0"/>
          <w:numId w:val="248"/>
        </w:numPr>
        <w:tabs>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împuternicite conform legii să înregistreze transferul dreptului de proprietate asupra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vor face înregistrările respective numai cu </w:t>
      </w:r>
      <w:proofErr w:type="spellStart"/>
      <w:r w:rsidRPr="000508B6">
        <w:rPr>
          <w:rFonts w:ascii="Times New Roman" w:eastAsia="Times New Roman" w:hAnsi="Times New Roman" w:cs="Times New Roman"/>
          <w:lang w:val="ro-MD"/>
        </w:rPr>
        <w:t>condiţia</w:t>
      </w:r>
      <w:proofErr w:type="spellEnd"/>
      <w:r w:rsidRPr="000508B6">
        <w:rPr>
          <w:rFonts w:ascii="Times New Roman" w:eastAsia="Times New Roman" w:hAnsi="Times New Roman" w:cs="Times New Roman"/>
          <w:lang w:val="ro-MD"/>
        </w:rPr>
        <w:t xml:space="preserve"> prezentării aprobării prealabile al Băncii Naționale a Moldovei, în cazurile prevăzute de prezenta lege. Procedura de înregistrare a transferului dreptului de proprietate asupra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se </w:t>
      </w: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prin actele normative ale Băncii Naționale a Moldovei, în prealabil coordonate cu Comisia </w:t>
      </w:r>
      <w:proofErr w:type="spellStart"/>
      <w:r w:rsidRPr="000508B6">
        <w:rPr>
          <w:rFonts w:ascii="Times New Roman" w:eastAsia="Times New Roman" w:hAnsi="Times New Roman" w:cs="Times New Roman"/>
          <w:lang w:val="ro-MD"/>
        </w:rPr>
        <w:t>Naţională</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Pieţei</w:t>
      </w:r>
      <w:proofErr w:type="spellEnd"/>
      <w:r w:rsidRPr="000508B6">
        <w:rPr>
          <w:rFonts w:ascii="Times New Roman" w:eastAsia="Times New Roman" w:hAnsi="Times New Roman" w:cs="Times New Roman"/>
          <w:lang w:val="ro-MD"/>
        </w:rPr>
        <w:t xml:space="preserve"> Financiare</w:t>
      </w:r>
      <w:r w:rsidR="004627AC" w:rsidRPr="000508B6">
        <w:rPr>
          <w:rFonts w:ascii="Times New Roman" w:eastAsia="Times New Roman" w:hAnsi="Times New Roman" w:cs="Times New Roman"/>
          <w:lang w:val="ro-MD"/>
        </w:rPr>
        <w:t xml:space="preserve"> (</w:t>
      </w:r>
      <w:r w:rsidR="008E615E" w:rsidRPr="000508B6">
        <w:rPr>
          <w:rFonts w:ascii="Times New Roman" w:eastAsia="Times New Roman" w:hAnsi="Times New Roman" w:cs="Times New Roman"/>
          <w:lang w:val="ro-MD"/>
        </w:rPr>
        <w:t xml:space="preserve">în continuare – </w:t>
      </w:r>
      <w:r w:rsidR="004627AC" w:rsidRPr="000508B6">
        <w:rPr>
          <w:rFonts w:ascii="Times New Roman" w:eastAsia="Times New Roman" w:hAnsi="Times New Roman" w:cs="Times New Roman"/>
          <w:lang w:val="ro-MD"/>
        </w:rPr>
        <w:t>CNPF)</w:t>
      </w:r>
      <w:r w:rsidRPr="000508B6">
        <w:rPr>
          <w:rFonts w:ascii="Times New Roman" w:eastAsia="Times New Roman" w:hAnsi="Times New Roman" w:cs="Times New Roman"/>
          <w:lang w:val="ro-MD"/>
        </w:rPr>
        <w:t>.</w:t>
      </w:r>
    </w:p>
    <w:p w14:paraId="72E67002" w14:textId="648818AF" w:rsidR="000C31AD" w:rsidRPr="000508B6" w:rsidRDefault="000C31AD" w:rsidP="008E615E">
      <w:pPr>
        <w:pStyle w:val="Listparagraf"/>
        <w:numPr>
          <w:ilvl w:val="0"/>
          <w:numId w:val="248"/>
        </w:numPr>
        <w:tabs>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aplicarea prezentului articol, modalitatea de determinare a drepturilor de vot se </w:t>
      </w: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prin actele normative ale Băncii Naționale a Moldovei, în prealabil coordonate cu </w:t>
      </w:r>
      <w:r w:rsidR="004627AC" w:rsidRPr="000508B6">
        <w:rPr>
          <w:rFonts w:ascii="Times New Roman" w:eastAsia="Times New Roman" w:hAnsi="Times New Roman" w:cs="Times New Roman"/>
          <w:lang w:val="ro-MD"/>
        </w:rPr>
        <w:t>CNPF</w:t>
      </w:r>
      <w:r w:rsidRPr="000508B6">
        <w:rPr>
          <w:rFonts w:ascii="Times New Roman" w:eastAsia="Times New Roman" w:hAnsi="Times New Roman" w:cs="Times New Roman"/>
          <w:lang w:val="ro-MD"/>
        </w:rPr>
        <w:t>.</w:t>
      </w:r>
    </w:p>
    <w:p w14:paraId="2B7380A9" w14:textId="32C41A44" w:rsidR="000C31AD" w:rsidRPr="000508B6" w:rsidRDefault="000C31AD" w:rsidP="008E615E">
      <w:pPr>
        <w:pStyle w:val="Listparagraf"/>
        <w:numPr>
          <w:ilvl w:val="0"/>
          <w:numId w:val="248"/>
        </w:numPr>
        <w:tabs>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rezidente în </w:t>
      </w:r>
      <w:proofErr w:type="spellStart"/>
      <w:r w:rsidRPr="000508B6">
        <w:rPr>
          <w:rFonts w:ascii="Times New Roman" w:eastAsia="Times New Roman" w:hAnsi="Times New Roman" w:cs="Times New Roman"/>
          <w:lang w:val="ro-MD"/>
        </w:rPr>
        <w:t>jurisdicţiile</w:t>
      </w:r>
      <w:proofErr w:type="spellEnd"/>
      <w:r w:rsidRPr="000508B6">
        <w:rPr>
          <w:rFonts w:ascii="Times New Roman" w:eastAsia="Times New Roman" w:hAnsi="Times New Roman" w:cs="Times New Roman"/>
          <w:lang w:val="ro-MD"/>
        </w:rPr>
        <w:t xml:space="preserve"> ce nu implementează standardele </w:t>
      </w:r>
      <w:proofErr w:type="spellStart"/>
      <w:r w:rsidRPr="000508B6">
        <w:rPr>
          <w:rFonts w:ascii="Times New Roman" w:eastAsia="Times New Roman" w:hAnsi="Times New Roman" w:cs="Times New Roman"/>
          <w:lang w:val="ro-MD"/>
        </w:rPr>
        <w:t>internaţionale</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transparenţă</w:t>
      </w:r>
      <w:proofErr w:type="spellEnd"/>
      <w:r w:rsidRPr="000508B6">
        <w:rPr>
          <w:rFonts w:ascii="Times New Roman" w:eastAsia="Times New Roman" w:hAnsi="Times New Roman" w:cs="Times New Roman"/>
          <w:lang w:val="ro-MD"/>
        </w:rPr>
        <w:t xml:space="preserve"> nu pot </w:t>
      </w:r>
      <w:proofErr w:type="spellStart"/>
      <w:r w:rsidRPr="000508B6">
        <w:rPr>
          <w:rFonts w:ascii="Times New Roman" w:eastAsia="Times New Roman" w:hAnsi="Times New Roman" w:cs="Times New Roman"/>
          <w:lang w:val="ro-MD"/>
        </w:rPr>
        <w:t>achiziţiona</w:t>
      </w:r>
      <w:proofErr w:type="spellEnd"/>
      <w:r w:rsidRPr="000508B6">
        <w:rPr>
          <w:rFonts w:ascii="Times New Roman" w:eastAsia="Times New Roman" w:hAnsi="Times New Roman" w:cs="Times New Roman"/>
          <w:lang w:val="ro-MD"/>
        </w:rPr>
        <w:t xml:space="preserve">/dobândi direct sau indirect </w:t>
      </w:r>
      <w:proofErr w:type="spellStart"/>
      <w:r w:rsidRPr="000508B6">
        <w:rPr>
          <w:rFonts w:ascii="Times New Roman" w:eastAsia="Times New Roman" w:hAnsi="Times New Roman" w:cs="Times New Roman"/>
          <w:lang w:val="ro-MD"/>
        </w:rPr>
        <w:t>deţineri</w:t>
      </w:r>
      <w:proofErr w:type="spellEnd"/>
      <w:r w:rsidRPr="000508B6">
        <w:rPr>
          <w:rFonts w:ascii="Times New Roman" w:eastAsia="Times New Roman" w:hAnsi="Times New Roman" w:cs="Times New Roman"/>
          <w:lang w:val="ro-MD"/>
        </w:rPr>
        <w:t xml:space="preserve"> </w:t>
      </w:r>
      <w:r w:rsidR="00443501">
        <w:rPr>
          <w:rFonts w:ascii="Times New Roman" w:eastAsia="Times New Roman" w:hAnsi="Times New Roman" w:cs="Times New Roman"/>
          <w:lang w:val="ro-MD"/>
        </w:rPr>
        <w:t>în capitalul unui</w:t>
      </w:r>
      <w:r w:rsidRPr="000508B6">
        <w:rPr>
          <w:rFonts w:ascii="Times New Roman" w:eastAsia="Times New Roman" w:hAnsi="Times New Roman" w:cs="Times New Roman"/>
          <w:lang w:val="ro-MD"/>
        </w:rPr>
        <w:t xml:space="preserve"> asigurător sau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Lista </w:t>
      </w:r>
      <w:proofErr w:type="spellStart"/>
      <w:r w:rsidRPr="000508B6">
        <w:rPr>
          <w:rFonts w:ascii="Times New Roman" w:eastAsia="Times New Roman" w:hAnsi="Times New Roman" w:cs="Times New Roman"/>
          <w:lang w:val="ro-MD"/>
        </w:rPr>
        <w:t>jurisdicţiilor</w:t>
      </w:r>
      <w:proofErr w:type="spellEnd"/>
      <w:r w:rsidRPr="000508B6">
        <w:rPr>
          <w:rFonts w:ascii="Times New Roman" w:eastAsia="Times New Roman" w:hAnsi="Times New Roman" w:cs="Times New Roman"/>
          <w:lang w:val="ro-MD"/>
        </w:rPr>
        <w:t xml:space="preserve"> ce nu implementează standardele </w:t>
      </w:r>
      <w:proofErr w:type="spellStart"/>
      <w:r w:rsidRPr="000508B6">
        <w:rPr>
          <w:rFonts w:ascii="Times New Roman" w:eastAsia="Times New Roman" w:hAnsi="Times New Roman" w:cs="Times New Roman"/>
          <w:lang w:val="ro-MD"/>
        </w:rPr>
        <w:t>internaţionale</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transparenţă</w:t>
      </w:r>
      <w:proofErr w:type="spellEnd"/>
      <w:r w:rsidRPr="000508B6">
        <w:rPr>
          <w:rFonts w:ascii="Times New Roman" w:eastAsia="Times New Roman" w:hAnsi="Times New Roman" w:cs="Times New Roman"/>
          <w:lang w:val="ro-MD"/>
        </w:rPr>
        <w:t xml:space="preserve"> este stabilită conform art. 11 alin</w:t>
      </w:r>
      <w:r w:rsidR="008E615E"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976A82"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w:t>
      </w:r>
      <w:r w:rsidR="003A5B78" w:rsidRPr="000508B6">
        <w:rPr>
          <w:rFonts w:ascii="Times New Roman" w:eastAsia="Times New Roman" w:hAnsi="Times New Roman" w:cs="Times New Roman"/>
          <w:lang w:val="ro-MD"/>
        </w:rPr>
        <w:t>.</w:t>
      </w:r>
      <w:r w:rsidR="005D2588" w:rsidRPr="000508B6">
        <w:rPr>
          <w:rFonts w:ascii="Times New Roman" w:eastAsia="Times New Roman" w:hAnsi="Times New Roman" w:cs="Times New Roman"/>
          <w:lang w:val="ro-MD"/>
        </w:rPr>
        <w:t xml:space="preserve">  </w:t>
      </w:r>
    </w:p>
    <w:p w14:paraId="7F59D1B7" w14:textId="1E19AC41" w:rsidR="0032216D" w:rsidRPr="000508B6" w:rsidRDefault="0032216D" w:rsidP="00B21CF0">
      <w:pPr>
        <w:pStyle w:val="Listparagraf"/>
        <w:numPr>
          <w:ilvl w:val="0"/>
          <w:numId w:val="248"/>
        </w:numPr>
        <w:tabs>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companiilor listate pe </w:t>
      </w:r>
      <w:proofErr w:type="spellStart"/>
      <w:r w:rsidRPr="000508B6">
        <w:rPr>
          <w:rFonts w:ascii="Times New Roman" w:eastAsia="Times New Roman" w:hAnsi="Times New Roman" w:cs="Times New Roman"/>
          <w:lang w:val="ro-MD"/>
        </w:rPr>
        <w:t>piaţa</w:t>
      </w:r>
      <w:proofErr w:type="spellEnd"/>
      <w:r w:rsidRPr="000508B6">
        <w:rPr>
          <w:rFonts w:ascii="Times New Roman" w:eastAsia="Times New Roman" w:hAnsi="Times New Roman" w:cs="Times New Roman"/>
          <w:lang w:val="ro-MD"/>
        </w:rPr>
        <w:t xml:space="preserve"> </w:t>
      </w:r>
      <w:r w:rsidR="00443501">
        <w:rPr>
          <w:rFonts w:ascii="Times New Roman" w:eastAsia="Times New Roman" w:hAnsi="Times New Roman" w:cs="Times New Roman"/>
          <w:lang w:val="ro-MD"/>
        </w:rPr>
        <w:t>reglementată</w:t>
      </w:r>
      <w:r w:rsidRPr="000508B6">
        <w:rPr>
          <w:rFonts w:ascii="Times New Roman" w:eastAsia="Times New Roman" w:hAnsi="Times New Roman" w:cs="Times New Roman"/>
          <w:lang w:val="ro-MD"/>
        </w:rPr>
        <w:t xml:space="preserve">, în procesul de evaluare a proiectului de </w:t>
      </w:r>
      <w:proofErr w:type="spellStart"/>
      <w:r w:rsidRPr="000508B6">
        <w:rPr>
          <w:rFonts w:ascii="Times New Roman" w:eastAsia="Times New Roman" w:hAnsi="Times New Roman" w:cs="Times New Roman"/>
          <w:lang w:val="ro-MD"/>
        </w:rPr>
        <w:t>achiziţie</w:t>
      </w:r>
      <w:proofErr w:type="spellEnd"/>
      <w:r w:rsidRPr="000508B6">
        <w:rPr>
          <w:rFonts w:ascii="Times New Roman" w:eastAsia="Times New Roman" w:hAnsi="Times New Roman" w:cs="Times New Roman"/>
          <w:lang w:val="ro-MD"/>
        </w:rPr>
        <w:t xml:space="preserve">, drepturile de vot ale </w:t>
      </w:r>
      <w:proofErr w:type="spellStart"/>
      <w:r w:rsidRPr="000508B6">
        <w:rPr>
          <w:rFonts w:ascii="Times New Roman" w:eastAsia="Times New Roman" w:hAnsi="Times New Roman" w:cs="Times New Roman"/>
          <w:lang w:val="ro-MD"/>
        </w:rPr>
        <w:t>acţionarilor</w:t>
      </w:r>
      <w:proofErr w:type="spellEnd"/>
      <w:r w:rsidRPr="000508B6">
        <w:rPr>
          <w:rFonts w:ascii="Times New Roman" w:eastAsia="Times New Roman" w:hAnsi="Times New Roman" w:cs="Times New Roman"/>
          <w:lang w:val="ro-MD"/>
        </w:rPr>
        <w:t xml:space="preserve"> </w:t>
      </w:r>
      <w:r w:rsidR="004644E8" w:rsidRPr="000508B6">
        <w:rPr>
          <w:rFonts w:ascii="Times New Roman" w:eastAsia="Times New Roman" w:hAnsi="Times New Roman" w:cs="Times New Roman"/>
          <w:lang w:val="ro-MD"/>
        </w:rPr>
        <w:t xml:space="preserve">care depășesc pragurile prevăzute de Legea nr. 171/2012 </w:t>
      </w:r>
      <w:r w:rsidRPr="000508B6">
        <w:rPr>
          <w:rFonts w:ascii="Times New Roman" w:eastAsia="Times New Roman" w:hAnsi="Times New Roman" w:cs="Times New Roman"/>
          <w:lang w:val="ro-MD"/>
        </w:rPr>
        <w:t xml:space="preserve">sunt evaluate în conformitate cu prevederile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w:t>
      </w:r>
      <w:r w:rsidR="00B21CF0" w:rsidRPr="000508B6">
        <w:rPr>
          <w:rFonts w:ascii="Times New Roman" w:eastAsia="Times New Roman" w:hAnsi="Times New Roman" w:cs="Times New Roman"/>
          <w:lang w:val="ro-MD"/>
        </w:rPr>
        <w:t>privind piața de capital</w:t>
      </w:r>
      <w:r w:rsidRPr="000508B6">
        <w:rPr>
          <w:rFonts w:ascii="Times New Roman" w:eastAsia="Times New Roman" w:hAnsi="Times New Roman" w:cs="Times New Roman"/>
          <w:lang w:val="ro-MD"/>
        </w:rPr>
        <w:t xml:space="preserve">. </w:t>
      </w:r>
    </w:p>
    <w:p w14:paraId="455C99F8" w14:textId="0B5791C4" w:rsidR="0032216D" w:rsidRPr="000508B6" w:rsidRDefault="0032216D" w:rsidP="00B21CF0">
      <w:pPr>
        <w:pStyle w:val="Listparagraf"/>
        <w:numPr>
          <w:ilvl w:val="0"/>
          <w:numId w:val="248"/>
        </w:numPr>
        <w:tabs>
          <w:tab w:val="left" w:pos="426"/>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Drepturile de vot sau </w:t>
      </w:r>
      <w:proofErr w:type="spellStart"/>
      <w:r w:rsidRPr="000508B6">
        <w:rPr>
          <w:rFonts w:ascii="Times New Roman" w:eastAsia="Times New Roman" w:hAnsi="Times New Roman" w:cs="Times New Roman"/>
          <w:lang w:val="ro-MD"/>
        </w:rPr>
        <w:t>acţiunile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deţinute</w:t>
      </w:r>
      <w:proofErr w:type="spellEnd"/>
      <w:r w:rsidRPr="000508B6">
        <w:rPr>
          <w:rFonts w:ascii="Times New Roman" w:eastAsia="Times New Roman" w:hAnsi="Times New Roman" w:cs="Times New Roman"/>
          <w:lang w:val="ro-MD"/>
        </w:rPr>
        <w:t xml:space="preserve"> de </w:t>
      </w:r>
      <w:r w:rsidR="00443501">
        <w:rPr>
          <w:rFonts w:ascii="Times New Roman" w:eastAsia="Times New Roman" w:hAnsi="Times New Roman" w:cs="Times New Roman"/>
          <w:lang w:val="ro-MD"/>
        </w:rPr>
        <w:t>firme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investiţii</w:t>
      </w:r>
      <w:proofErr w:type="spellEnd"/>
      <w:r w:rsidRPr="000508B6">
        <w:rPr>
          <w:rFonts w:ascii="Times New Roman" w:eastAsia="Times New Roman" w:hAnsi="Times New Roman" w:cs="Times New Roman"/>
          <w:lang w:val="ro-MD"/>
        </w:rPr>
        <w:t xml:space="preserve"> sau de </w:t>
      </w:r>
      <w:proofErr w:type="spellStart"/>
      <w:r w:rsidRPr="000508B6">
        <w:rPr>
          <w:rFonts w:ascii="Times New Roman" w:eastAsia="Times New Roman" w:hAnsi="Times New Roman" w:cs="Times New Roman"/>
          <w:lang w:val="ro-MD"/>
        </w:rPr>
        <w:t>instituţii</w:t>
      </w:r>
      <w:proofErr w:type="spellEnd"/>
      <w:r w:rsidRPr="000508B6">
        <w:rPr>
          <w:rFonts w:ascii="Times New Roman" w:eastAsia="Times New Roman" w:hAnsi="Times New Roman" w:cs="Times New Roman"/>
          <w:lang w:val="ro-MD"/>
        </w:rPr>
        <w:t xml:space="preserve"> de credit ca urmare a subscrierii de instrumente financiare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a plasării acestora în baza unui angajament ferm prevăzut  în Legea nr. 171/2012 nu sunt luate în considerare dacă sunt îndeplinite următoarele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w:t>
      </w:r>
    </w:p>
    <w:p w14:paraId="0C8BA646" w14:textId="351E4A61" w:rsidR="0032216D" w:rsidRPr="000508B6" w:rsidRDefault="0032216D" w:rsidP="005D2588">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nu sunt exercitate sau utilizate pentru a interveni în administrarea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w:t>
      </w:r>
      <w:r w:rsidR="00744D88" w:rsidRPr="000508B6">
        <w:rPr>
          <w:rFonts w:ascii="Times New Roman" w:eastAsia="Times New Roman" w:hAnsi="Times New Roman" w:cs="Times New Roman"/>
          <w:lang w:val="ro-MD"/>
        </w:rPr>
        <w:t xml:space="preserve">asigurătorului sau </w:t>
      </w:r>
      <w:proofErr w:type="spellStart"/>
      <w:r w:rsidR="00744D8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
    <w:p w14:paraId="4AE38B17" w14:textId="6E1B2154" w:rsidR="0032216D" w:rsidRPr="000508B6" w:rsidRDefault="0032216D" w:rsidP="005D2588">
      <w:pPr>
        <w:pStyle w:val="Listparagraf"/>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sunt cedate în decurs de un an de la data </w:t>
      </w:r>
      <w:proofErr w:type="spellStart"/>
      <w:r w:rsidRPr="000508B6">
        <w:rPr>
          <w:rFonts w:ascii="Times New Roman" w:eastAsia="Times New Roman" w:hAnsi="Times New Roman" w:cs="Times New Roman"/>
          <w:lang w:val="ro-MD"/>
        </w:rPr>
        <w:t>achiziţiei</w:t>
      </w:r>
      <w:proofErr w:type="spellEnd"/>
      <w:r w:rsidRPr="000508B6">
        <w:rPr>
          <w:rFonts w:ascii="Times New Roman" w:eastAsia="Times New Roman" w:hAnsi="Times New Roman" w:cs="Times New Roman"/>
          <w:lang w:val="ro-MD"/>
        </w:rPr>
        <w:t xml:space="preserve">.  </w:t>
      </w:r>
    </w:p>
    <w:p w14:paraId="4BC37E3C" w14:textId="77777777" w:rsidR="00335F8F" w:rsidRPr="000508B6" w:rsidRDefault="00335F8F" w:rsidP="00335F8F">
      <w:pPr>
        <w:pStyle w:val="Listparagraf"/>
        <w:tabs>
          <w:tab w:val="left" w:pos="284"/>
          <w:tab w:val="left" w:pos="567"/>
          <w:tab w:val="left" w:pos="709"/>
        </w:tabs>
        <w:spacing w:after="0" w:line="240" w:lineRule="auto"/>
        <w:ind w:left="284"/>
        <w:jc w:val="both"/>
        <w:rPr>
          <w:rFonts w:ascii="Times New Roman" w:eastAsia="Times New Roman" w:hAnsi="Times New Roman" w:cs="Times New Roman"/>
          <w:color w:val="000000" w:themeColor="text1"/>
          <w:lang w:val="ro-MD"/>
        </w:rPr>
      </w:pPr>
    </w:p>
    <w:p w14:paraId="7A07722C" w14:textId="32D09A5C" w:rsidR="007442E9" w:rsidRPr="000508B6" w:rsidRDefault="007442E9" w:rsidP="007442E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095098" w:rsidRPr="000508B6">
        <w:rPr>
          <w:rFonts w:ascii="Times New Roman" w:eastAsia="Times New Roman" w:hAnsi="Times New Roman" w:cs="Times New Roman"/>
          <w:b/>
          <w:lang w:val="ro-MD"/>
        </w:rPr>
        <w:t>13</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Evaluarea </w:t>
      </w:r>
      <w:proofErr w:type="spellStart"/>
      <w:r w:rsidRPr="000508B6">
        <w:rPr>
          <w:rFonts w:ascii="Times New Roman" w:eastAsia="Times New Roman" w:hAnsi="Times New Roman" w:cs="Times New Roman"/>
          <w:lang w:val="ro-MD"/>
        </w:rPr>
        <w:t>potenţial</w:t>
      </w:r>
      <w:r w:rsidR="002C7D5D" w:rsidRPr="000508B6">
        <w:rPr>
          <w:rFonts w:ascii="Times New Roman" w:eastAsia="Times New Roman" w:hAnsi="Times New Roman" w:cs="Times New Roman"/>
          <w:lang w:val="ro-MD"/>
        </w:rPr>
        <w:t>u</w:t>
      </w:r>
      <w:r w:rsidR="00AB6983" w:rsidRPr="000508B6">
        <w:rPr>
          <w:rFonts w:ascii="Times New Roman" w:eastAsia="Times New Roman" w:hAnsi="Times New Roman" w:cs="Times New Roman"/>
          <w:lang w:val="ro-MD"/>
        </w:rPr>
        <w:t>lu</w:t>
      </w:r>
      <w:r w:rsidR="002C7D5D" w:rsidRPr="000508B6">
        <w:rPr>
          <w:rFonts w:ascii="Times New Roman" w:eastAsia="Times New Roman" w:hAnsi="Times New Roman" w:cs="Times New Roman"/>
          <w:lang w:val="ro-MD"/>
        </w:rPr>
        <w:t>i</w:t>
      </w:r>
      <w:proofErr w:type="spellEnd"/>
      <w:r w:rsidR="002C7D5D" w:rsidRPr="000508B6">
        <w:rPr>
          <w:rFonts w:ascii="Times New Roman" w:eastAsia="Times New Roman" w:hAnsi="Times New Roman" w:cs="Times New Roman"/>
          <w:lang w:val="ro-MD"/>
        </w:rPr>
        <w:t xml:space="preserve"> achizitor</w:t>
      </w:r>
      <w:r w:rsidR="00EC068F" w:rsidRPr="000508B6">
        <w:rPr>
          <w:rFonts w:ascii="Times New Roman" w:eastAsia="Times New Roman" w:hAnsi="Times New Roman" w:cs="Times New Roman"/>
          <w:lang w:val="ro-MD"/>
        </w:rPr>
        <w:t>/dobânditor</w:t>
      </w:r>
    </w:p>
    <w:p w14:paraId="0AB3F0CF" w14:textId="06D91099" w:rsidR="007442E9" w:rsidRPr="000508B6" w:rsidRDefault="007442E9" w:rsidP="00CF5AFA">
      <w:pPr>
        <w:pStyle w:val="Listparagraf"/>
        <w:numPr>
          <w:ilvl w:val="0"/>
          <w:numId w:val="100"/>
        </w:numPr>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Banca Națională a Moldovei evaluează </w:t>
      </w:r>
      <w:r w:rsidR="00171EC3" w:rsidRPr="000508B6">
        <w:rPr>
          <w:rFonts w:ascii="Times New Roman" w:eastAsia="Times New Roman" w:hAnsi="Times New Roman" w:cs="Times New Roman"/>
          <w:lang w:val="ro-MD"/>
        </w:rPr>
        <w:t>caracterul adecvat al potențialului achizitor, precum și soliditatea financiară a proiectului de achiziție</w:t>
      </w:r>
      <w:r w:rsidR="00B22640" w:rsidRPr="000508B6">
        <w:rPr>
          <w:rFonts w:ascii="Times New Roman" w:eastAsia="Times New Roman" w:hAnsi="Times New Roman" w:cs="Times New Roman"/>
          <w:lang w:val="ro-MD"/>
        </w:rPr>
        <w:t>,</w:t>
      </w:r>
      <w:r w:rsidR="006C3309" w:rsidRPr="000508B6">
        <w:rPr>
          <w:rFonts w:ascii="Times New Roman" w:eastAsia="Times New Roman" w:hAnsi="Times New Roman" w:cs="Times New Roman"/>
          <w:lang w:val="ro-MD"/>
        </w:rPr>
        <w:t xml:space="preserve"> </w:t>
      </w:r>
      <w:r w:rsidR="006E3819" w:rsidRPr="000508B6">
        <w:rPr>
          <w:rFonts w:ascii="Times New Roman" w:eastAsia="Times New Roman" w:hAnsi="Times New Roman" w:cs="Times New Roman"/>
          <w:lang w:val="ro-MD"/>
        </w:rPr>
        <w:t xml:space="preserve">pentru a asigura </w:t>
      </w:r>
      <w:r w:rsidRPr="000508B6">
        <w:rPr>
          <w:rFonts w:ascii="Times New Roman" w:eastAsia="Times New Roman" w:hAnsi="Times New Roman" w:cs="Times New Roman"/>
          <w:lang w:val="ro-MD"/>
        </w:rPr>
        <w:t>administr</w:t>
      </w:r>
      <w:r w:rsidR="006E3819" w:rsidRPr="000508B6">
        <w:rPr>
          <w:rFonts w:ascii="Times New Roman" w:eastAsia="Times New Roman" w:hAnsi="Times New Roman" w:cs="Times New Roman"/>
          <w:lang w:val="ro-MD"/>
        </w:rPr>
        <w:t>area</w:t>
      </w:r>
      <w:r w:rsidRPr="000508B6">
        <w:rPr>
          <w:rFonts w:ascii="Times New Roman" w:eastAsia="Times New Roman" w:hAnsi="Times New Roman" w:cs="Times New Roman"/>
          <w:lang w:val="ro-MD"/>
        </w:rPr>
        <w:t xml:space="preserve"> corect</w:t>
      </w:r>
      <w:r w:rsidR="006E3819"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prudent</w:t>
      </w:r>
      <w:r w:rsidR="006E3819"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vizat de </w:t>
      </w:r>
      <w:proofErr w:type="spellStart"/>
      <w:r w:rsidRPr="000508B6">
        <w:rPr>
          <w:rFonts w:ascii="Times New Roman" w:eastAsia="Times New Roman" w:hAnsi="Times New Roman" w:cs="Times New Roman"/>
          <w:lang w:val="ro-MD"/>
        </w:rPr>
        <w:t>achiziţie</w:t>
      </w:r>
      <w:proofErr w:type="spellEnd"/>
      <w:r w:rsidRPr="000508B6">
        <w:rPr>
          <w:rFonts w:ascii="Times New Roman" w:eastAsia="Times New Roman" w:hAnsi="Times New Roman" w:cs="Times New Roman"/>
          <w:lang w:val="ro-MD"/>
        </w:rPr>
        <w:t xml:space="preserve"> </w:t>
      </w:r>
      <w:r w:rsidR="006C3309" w:rsidRPr="000508B6">
        <w:rPr>
          <w:rFonts w:ascii="Times New Roman" w:eastAsia="Times New Roman" w:hAnsi="Times New Roman" w:cs="Times New Roman"/>
          <w:lang w:val="ro-MD"/>
        </w:rPr>
        <w:t xml:space="preserve">și </w:t>
      </w:r>
      <w:r w:rsidR="00521CF5" w:rsidRPr="000508B6">
        <w:rPr>
          <w:rFonts w:ascii="Times New Roman" w:eastAsia="Times New Roman" w:hAnsi="Times New Roman" w:cs="Times New Roman"/>
          <w:lang w:val="ro-MD"/>
        </w:rPr>
        <w:t xml:space="preserve">luând în considerare posibila influență a potențialului achizitor asupra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521CF5" w:rsidRPr="000508B6">
        <w:rPr>
          <w:rFonts w:ascii="Times New Roman" w:eastAsia="Times New Roman" w:hAnsi="Times New Roman" w:cs="Times New Roman"/>
          <w:lang w:val="ro-MD"/>
        </w:rPr>
        <w:t xml:space="preserve"> respectiv, </w:t>
      </w:r>
      <w:r w:rsidRPr="000508B6">
        <w:rPr>
          <w:rFonts w:ascii="Times New Roman" w:eastAsia="Times New Roman" w:hAnsi="Times New Roman" w:cs="Times New Roman"/>
          <w:lang w:val="ro-MD"/>
        </w:rPr>
        <w:t xml:space="preserve">prin examinarea cumulativă a următoarelor criterii: </w:t>
      </w:r>
    </w:p>
    <w:p w14:paraId="3429DB30" w14:textId="2A7ED541" w:rsidR="007442E9" w:rsidRPr="000508B6" w:rsidRDefault="007442E9"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reputaţia</w:t>
      </w:r>
      <w:proofErr w:type="spellEnd"/>
      <w:r w:rsidRPr="000508B6">
        <w:rPr>
          <w:rFonts w:ascii="Times New Roman" w:eastAsia="Times New Roman" w:hAnsi="Times New Roman" w:cs="Times New Roman"/>
          <w:lang w:val="ro-MD"/>
        </w:rPr>
        <w:t xml:space="preserve"> potențialului achizitor; </w:t>
      </w:r>
    </w:p>
    <w:p w14:paraId="44CA9DCC" w14:textId="263056B0" w:rsidR="007442E9" w:rsidRPr="000508B6" w:rsidRDefault="00DF4B1F"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competența și onorabilitatea</w:t>
      </w:r>
      <w:r w:rsidR="007442E9" w:rsidRPr="000508B6">
        <w:rPr>
          <w:rFonts w:ascii="Times New Roman" w:eastAsia="Times New Roman" w:hAnsi="Times New Roman" w:cs="Times New Roman"/>
          <w:lang w:val="ro-MD"/>
        </w:rPr>
        <w:t xml:space="preserve"> oricărei persoane care va activa în calitate de persoană </w:t>
      </w:r>
      <w:r w:rsidR="00FE1F65" w:rsidRPr="000508B6">
        <w:rPr>
          <w:rFonts w:ascii="Times New Roman" w:eastAsia="Times New Roman" w:hAnsi="Times New Roman" w:cs="Times New Roman"/>
          <w:lang w:val="ro-MD"/>
        </w:rPr>
        <w:t xml:space="preserve">care conduce efectiv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7442E9" w:rsidRPr="000508B6">
        <w:rPr>
          <w:rFonts w:ascii="Times New Roman" w:eastAsia="Times New Roman" w:hAnsi="Times New Roman" w:cs="Times New Roman"/>
          <w:lang w:val="ro-MD"/>
        </w:rPr>
        <w:t xml:space="preserve"> după realizarea proiectului de achiziție;</w:t>
      </w:r>
    </w:p>
    <w:p w14:paraId="2C148163" w14:textId="69E06F14" w:rsidR="007442E9" w:rsidRPr="000508B6" w:rsidRDefault="007442E9"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soliditatea financiară a potențialului achizitor, </w:t>
      </w:r>
      <w:r w:rsidRPr="000508B6">
        <w:rPr>
          <w:rFonts w:ascii="Times New Roman" w:hAnsi="Times New Roman" w:cs="Times New Roman"/>
          <w:lang w:val="ro-MD"/>
        </w:rPr>
        <w:t xml:space="preserve">în special în raport cu activitatea </w:t>
      </w:r>
      <w:proofErr w:type="spellStart"/>
      <w:r w:rsidRPr="000508B6">
        <w:rPr>
          <w:rFonts w:ascii="Times New Roman" w:hAnsi="Times New Roman" w:cs="Times New Roman"/>
          <w:lang w:val="ro-MD"/>
        </w:rPr>
        <w:t>desfăşurată</w:t>
      </w:r>
      <w:proofErr w:type="spellEnd"/>
      <w:r w:rsidR="005B7D90" w:rsidRPr="000508B6">
        <w:rPr>
          <w:rFonts w:ascii="Times New Roman" w:hAnsi="Times New Roman" w:cs="Times New Roman"/>
          <w:lang w:val="ro-MD"/>
        </w:rPr>
        <w:t xml:space="preserve"> și prevăzută a se desfășura</w:t>
      </w:r>
      <w:r w:rsidRPr="000508B6">
        <w:rPr>
          <w:rFonts w:ascii="Times New Roman" w:hAnsi="Times New Roman" w:cs="Times New Roman"/>
          <w:lang w:val="ro-MD"/>
        </w:rPr>
        <w:t xml:space="preserve"> de </w:t>
      </w:r>
      <w:r w:rsidR="00156E11" w:rsidRPr="000508B6">
        <w:rPr>
          <w:rFonts w:ascii="Times New Roman" w:hAnsi="Times New Roman" w:cs="Times New Roman"/>
          <w:lang w:val="ro-MD"/>
        </w:rPr>
        <w:t>asigurător</w:t>
      </w:r>
      <w:r w:rsidR="005B7D90" w:rsidRPr="000508B6">
        <w:rPr>
          <w:rFonts w:ascii="Times New Roman" w:hAnsi="Times New Roman" w:cs="Times New Roman"/>
          <w:lang w:val="ro-MD"/>
        </w:rPr>
        <w:t>ul</w:t>
      </w:r>
      <w:r w:rsidR="00156E11" w:rsidRPr="000508B6">
        <w:rPr>
          <w:rFonts w:ascii="Times New Roman" w:hAnsi="Times New Roman" w:cs="Times New Roman"/>
          <w:lang w:val="ro-MD"/>
        </w:rPr>
        <w:t xml:space="preserve"> sau </w:t>
      </w:r>
      <w:proofErr w:type="spellStart"/>
      <w:r w:rsidR="00156E11" w:rsidRPr="000508B6">
        <w:rPr>
          <w:rFonts w:ascii="Times New Roman" w:hAnsi="Times New Roman" w:cs="Times New Roman"/>
          <w:lang w:val="ro-MD"/>
        </w:rPr>
        <w:t>reasigurător</w:t>
      </w:r>
      <w:r w:rsidR="005B7D90" w:rsidRPr="000508B6">
        <w:rPr>
          <w:rFonts w:ascii="Times New Roman" w:hAnsi="Times New Roman" w:cs="Times New Roman"/>
          <w:lang w:val="ro-MD"/>
        </w:rPr>
        <w:t>ul</w:t>
      </w:r>
      <w:proofErr w:type="spellEnd"/>
      <w:r w:rsidR="00156E11" w:rsidRPr="000508B6">
        <w:rPr>
          <w:rFonts w:ascii="Times New Roman" w:hAnsi="Times New Roman" w:cs="Times New Roman"/>
          <w:lang w:val="ro-MD"/>
        </w:rPr>
        <w:t xml:space="preserve"> </w:t>
      </w:r>
      <w:r w:rsidR="005E4460" w:rsidRPr="000508B6">
        <w:rPr>
          <w:rFonts w:ascii="Times New Roman" w:hAnsi="Times New Roman" w:cs="Times New Roman"/>
          <w:lang w:val="ro-MD"/>
        </w:rPr>
        <w:t xml:space="preserve">vizat de </w:t>
      </w:r>
      <w:r w:rsidRPr="000508B6">
        <w:rPr>
          <w:rFonts w:ascii="Times New Roman" w:hAnsi="Times New Roman" w:cs="Times New Roman"/>
          <w:lang w:val="ro-MD"/>
        </w:rPr>
        <w:t xml:space="preserve">proiectul de </w:t>
      </w:r>
      <w:proofErr w:type="spellStart"/>
      <w:r w:rsidRPr="000508B6">
        <w:rPr>
          <w:rFonts w:ascii="Times New Roman" w:hAnsi="Times New Roman" w:cs="Times New Roman"/>
          <w:lang w:val="ro-MD"/>
        </w:rPr>
        <w:t>achiziţie</w:t>
      </w:r>
      <w:proofErr w:type="spellEnd"/>
      <w:r w:rsidRPr="000508B6">
        <w:rPr>
          <w:rFonts w:ascii="Times New Roman" w:eastAsia="Times New Roman" w:hAnsi="Times New Roman" w:cs="Times New Roman"/>
          <w:lang w:val="ro-MD"/>
        </w:rPr>
        <w:t>;</w:t>
      </w:r>
    </w:p>
    <w:p w14:paraId="29B48A7C" w14:textId="714CFB90" w:rsidR="007442E9" w:rsidRPr="000508B6" w:rsidRDefault="007442E9"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capacitatea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de a respecta normele </w:t>
      </w:r>
      <w:proofErr w:type="spellStart"/>
      <w:r w:rsidRPr="000508B6">
        <w:rPr>
          <w:rFonts w:ascii="Times New Roman" w:eastAsia="Times New Roman" w:hAnsi="Times New Roman" w:cs="Times New Roman"/>
          <w:lang w:val="ro-MD"/>
        </w:rPr>
        <w:t>prudenţiale</w:t>
      </w:r>
      <w:proofErr w:type="spellEnd"/>
      <w:r w:rsidRPr="000508B6">
        <w:rPr>
          <w:rFonts w:ascii="Times New Roman" w:eastAsia="Times New Roman" w:hAnsi="Times New Roman" w:cs="Times New Roman"/>
          <w:lang w:val="ro-MD"/>
        </w:rPr>
        <w:t xml:space="preserve">, conform prevederilor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în special a </w:t>
      </w:r>
      <w:proofErr w:type="spellStart"/>
      <w:r w:rsidRPr="000508B6">
        <w:rPr>
          <w:rFonts w:ascii="Times New Roman" w:eastAsia="Times New Roman" w:hAnsi="Times New Roman" w:cs="Times New Roman"/>
          <w:lang w:val="ro-MD"/>
        </w:rPr>
        <w:t>cerinţei</w:t>
      </w:r>
      <w:proofErr w:type="spellEnd"/>
      <w:r w:rsidRPr="000508B6">
        <w:rPr>
          <w:rFonts w:ascii="Times New Roman" w:eastAsia="Times New Roman" w:hAnsi="Times New Roman" w:cs="Times New Roman"/>
          <w:lang w:val="ro-MD"/>
        </w:rPr>
        <w:t xml:space="preserve"> ca grupul financiar din care face parte potențialul achizitor să aibă o structură care să permită exercitarea unei supravegheri eficiente, realizarea schimbului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între </w:t>
      </w:r>
      <w:r w:rsidR="00817F75" w:rsidRPr="000508B6">
        <w:rPr>
          <w:rFonts w:ascii="Times New Roman" w:eastAsia="Times New Roman" w:hAnsi="Times New Roman" w:cs="Times New Roman"/>
          <w:lang w:val="ro-MD"/>
        </w:rPr>
        <w:t>supraveghetori</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determinarea repartizării </w:t>
      </w:r>
      <w:proofErr w:type="spellStart"/>
      <w:r w:rsidRPr="000508B6">
        <w:rPr>
          <w:rFonts w:ascii="Times New Roman" w:eastAsia="Times New Roman" w:hAnsi="Times New Roman" w:cs="Times New Roman"/>
          <w:lang w:val="ro-MD"/>
        </w:rPr>
        <w:t>competenţelor</w:t>
      </w:r>
      <w:proofErr w:type="spellEnd"/>
      <w:r w:rsidRPr="000508B6">
        <w:rPr>
          <w:rFonts w:ascii="Times New Roman" w:eastAsia="Times New Roman" w:hAnsi="Times New Roman" w:cs="Times New Roman"/>
          <w:lang w:val="ro-MD"/>
        </w:rPr>
        <w:t xml:space="preserve"> între ace</w:t>
      </w:r>
      <w:r w:rsidR="00817F75" w:rsidRPr="000508B6">
        <w:rPr>
          <w:rFonts w:ascii="Times New Roman" w:eastAsia="Times New Roman" w:hAnsi="Times New Roman" w:cs="Times New Roman"/>
          <w:lang w:val="ro-MD"/>
        </w:rPr>
        <w:t>știa</w:t>
      </w:r>
      <w:r w:rsidRPr="000508B6">
        <w:rPr>
          <w:rFonts w:ascii="Times New Roman" w:eastAsia="Times New Roman" w:hAnsi="Times New Roman" w:cs="Times New Roman"/>
          <w:lang w:val="ro-MD"/>
        </w:rPr>
        <w:t>;</w:t>
      </w:r>
    </w:p>
    <w:p w14:paraId="0E317085" w14:textId="4A12DAD6" w:rsidR="007442E9" w:rsidRPr="000508B6" w:rsidRDefault="007442E9"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existenţa</w:t>
      </w:r>
      <w:proofErr w:type="spellEnd"/>
      <w:r w:rsidRPr="000508B6">
        <w:rPr>
          <w:rFonts w:ascii="Times New Roman" w:eastAsia="Times New Roman" w:hAnsi="Times New Roman" w:cs="Times New Roman"/>
          <w:lang w:val="ro-MD"/>
        </w:rPr>
        <w:t xml:space="preserve"> unor motive rezonabile de a suspecta că, în </w:t>
      </w:r>
      <w:r w:rsidR="005E4460" w:rsidRPr="000508B6">
        <w:rPr>
          <w:rFonts w:ascii="Times New Roman" w:eastAsia="Times New Roman" w:hAnsi="Times New Roman" w:cs="Times New Roman"/>
          <w:lang w:val="ro-MD"/>
        </w:rPr>
        <w:t xml:space="preserve">legătură cu </w:t>
      </w:r>
      <w:r w:rsidRPr="000508B6">
        <w:rPr>
          <w:rFonts w:ascii="Times New Roman" w:eastAsia="Times New Roman" w:hAnsi="Times New Roman" w:cs="Times New Roman"/>
          <w:lang w:val="ro-MD"/>
        </w:rPr>
        <w:t xml:space="preserve">proiectul de achiziție, a fost </w:t>
      </w:r>
      <w:r w:rsidR="005E4460" w:rsidRPr="000508B6">
        <w:rPr>
          <w:rFonts w:ascii="Times New Roman" w:eastAsia="Times New Roman" w:hAnsi="Times New Roman" w:cs="Times New Roman"/>
          <w:lang w:val="ro-MD"/>
        </w:rPr>
        <w:t xml:space="preserve">sau este </w:t>
      </w:r>
      <w:proofErr w:type="spellStart"/>
      <w:r w:rsidRPr="000508B6">
        <w:rPr>
          <w:rFonts w:ascii="Times New Roman" w:eastAsia="Times New Roman" w:hAnsi="Times New Roman" w:cs="Times New Roman"/>
          <w:lang w:val="ro-MD"/>
        </w:rPr>
        <w:t>săvârşită</w:t>
      </w:r>
      <w:proofErr w:type="spellEnd"/>
      <w:r w:rsidRPr="000508B6">
        <w:rPr>
          <w:rFonts w:ascii="Times New Roman" w:eastAsia="Times New Roman" w:hAnsi="Times New Roman" w:cs="Times New Roman"/>
          <w:lang w:val="ro-MD"/>
        </w:rPr>
        <w:t xml:space="preserve"> o </w:t>
      </w:r>
      <w:proofErr w:type="spellStart"/>
      <w:r w:rsidRPr="000508B6">
        <w:rPr>
          <w:rFonts w:ascii="Times New Roman" w:eastAsia="Times New Roman" w:hAnsi="Times New Roman" w:cs="Times New Roman"/>
          <w:lang w:val="ro-MD"/>
        </w:rPr>
        <w:t>infracţiune</w:t>
      </w:r>
      <w:proofErr w:type="spellEnd"/>
      <w:r w:rsidRPr="000508B6">
        <w:rPr>
          <w:rFonts w:ascii="Times New Roman" w:eastAsia="Times New Roman" w:hAnsi="Times New Roman" w:cs="Times New Roman"/>
          <w:lang w:val="ro-MD"/>
        </w:rPr>
        <w:t xml:space="preserve"> ori o tentativă </w:t>
      </w:r>
      <w:r w:rsidR="00A01615" w:rsidRPr="000508B6">
        <w:rPr>
          <w:rFonts w:ascii="Times New Roman" w:eastAsia="Times New Roman" w:hAnsi="Times New Roman" w:cs="Times New Roman"/>
          <w:lang w:val="ro-MD"/>
        </w:rPr>
        <w:t xml:space="preserve">de săvârșire </w:t>
      </w:r>
      <w:r w:rsidRPr="000508B6">
        <w:rPr>
          <w:rFonts w:ascii="Times New Roman" w:eastAsia="Times New Roman" w:hAnsi="Times New Roman" w:cs="Times New Roman"/>
          <w:lang w:val="ro-MD"/>
        </w:rPr>
        <w:t xml:space="preserve">a unei </w:t>
      </w:r>
      <w:proofErr w:type="spellStart"/>
      <w:r w:rsidRPr="000508B6">
        <w:rPr>
          <w:rFonts w:ascii="Times New Roman" w:eastAsia="Times New Roman" w:hAnsi="Times New Roman" w:cs="Times New Roman"/>
          <w:lang w:val="ro-MD"/>
        </w:rPr>
        <w:t>infracţiuni</w:t>
      </w:r>
      <w:proofErr w:type="spellEnd"/>
      <w:r w:rsidRPr="000508B6">
        <w:rPr>
          <w:rFonts w:ascii="Times New Roman" w:eastAsia="Times New Roman" w:hAnsi="Times New Roman" w:cs="Times New Roman"/>
          <w:lang w:val="ro-MD"/>
        </w:rPr>
        <w:t xml:space="preserve"> de spălare a banilor sau de </w:t>
      </w:r>
      <w:proofErr w:type="spellStart"/>
      <w:r w:rsidRPr="000508B6">
        <w:rPr>
          <w:rFonts w:ascii="Times New Roman" w:eastAsia="Times New Roman" w:hAnsi="Times New Roman" w:cs="Times New Roman"/>
          <w:lang w:val="ro-MD"/>
        </w:rPr>
        <w:t>finanţare</w:t>
      </w:r>
      <w:proofErr w:type="spellEnd"/>
      <w:r w:rsidRPr="000508B6">
        <w:rPr>
          <w:rFonts w:ascii="Times New Roman" w:eastAsia="Times New Roman" w:hAnsi="Times New Roman" w:cs="Times New Roman"/>
          <w:lang w:val="ro-MD"/>
        </w:rPr>
        <w:t xml:space="preserve"> a terorismului, în sensul prevederilor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în domeniu, sau că proiectul de achiziție </w:t>
      </w:r>
      <w:r w:rsidR="005E4460" w:rsidRPr="000508B6">
        <w:rPr>
          <w:rFonts w:ascii="Times New Roman" w:eastAsia="Times New Roman" w:hAnsi="Times New Roman" w:cs="Times New Roman"/>
          <w:lang w:val="ro-MD"/>
        </w:rPr>
        <w:t>ar putea spori</w:t>
      </w:r>
      <w:r w:rsidR="00FA098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un asemenea risc;</w:t>
      </w:r>
      <w:r w:rsidR="005D2588" w:rsidRPr="000508B6">
        <w:rPr>
          <w:rFonts w:ascii="Times New Roman" w:eastAsia="Times New Roman" w:hAnsi="Times New Roman" w:cs="Times New Roman"/>
          <w:lang w:val="ro-MD"/>
        </w:rPr>
        <w:t xml:space="preserve"> </w:t>
      </w:r>
    </w:p>
    <w:p w14:paraId="0E205E81" w14:textId="506215A3" w:rsidR="00D7731C" w:rsidRPr="000508B6" w:rsidRDefault="00C96EC7"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lipsa existenței unei</w:t>
      </w:r>
      <w:r w:rsidR="00D7731C" w:rsidRPr="000508B6">
        <w:rPr>
          <w:rFonts w:ascii="Times New Roman" w:eastAsia="Times New Roman" w:hAnsi="Times New Roman" w:cs="Times New Roman"/>
          <w:lang w:val="ro-MD"/>
        </w:rPr>
        <w:t xml:space="preserve"> stratific</w:t>
      </w:r>
      <w:r w:rsidRPr="000508B6">
        <w:rPr>
          <w:rFonts w:ascii="Times New Roman" w:eastAsia="Times New Roman" w:hAnsi="Times New Roman" w:cs="Times New Roman"/>
          <w:lang w:val="ro-MD"/>
        </w:rPr>
        <w:t>ări</w:t>
      </w:r>
      <w:r w:rsidR="00D7731C" w:rsidRPr="000508B6">
        <w:rPr>
          <w:rFonts w:ascii="Times New Roman" w:eastAsia="Times New Roman" w:hAnsi="Times New Roman" w:cs="Times New Roman"/>
          <w:lang w:val="ro-MD"/>
        </w:rPr>
        <w:t xml:space="preserve"> excesiv</w:t>
      </w:r>
      <w:r w:rsidRPr="000508B6">
        <w:rPr>
          <w:rFonts w:ascii="Times New Roman" w:eastAsia="Times New Roman" w:hAnsi="Times New Roman" w:cs="Times New Roman"/>
          <w:lang w:val="ro-MD"/>
        </w:rPr>
        <w:t>e</w:t>
      </w:r>
      <w:r w:rsidR="00D7731C" w:rsidRPr="000508B6">
        <w:rPr>
          <w:rFonts w:ascii="Times New Roman" w:eastAsia="Times New Roman" w:hAnsi="Times New Roman" w:cs="Times New Roman"/>
          <w:lang w:val="ro-MD"/>
        </w:rPr>
        <w:t xml:space="preserve"> a acționariatului (</w:t>
      </w:r>
      <w:r w:rsidRPr="000508B6">
        <w:rPr>
          <w:rFonts w:ascii="Times New Roman" w:eastAsia="Times New Roman" w:hAnsi="Times New Roman" w:cs="Times New Roman"/>
          <w:lang w:val="ro-MD"/>
        </w:rPr>
        <w:t xml:space="preserve">existența a mai mult de 3 niveluri </w:t>
      </w:r>
      <w:r w:rsidR="00D7731C" w:rsidRPr="000508B6">
        <w:rPr>
          <w:rFonts w:ascii="Times New Roman" w:eastAsia="Times New Roman" w:hAnsi="Times New Roman" w:cs="Times New Roman"/>
          <w:lang w:val="ro-MD"/>
        </w:rPr>
        <w:t>de la potențialul achizitor până la beneficiarul efectiv);</w:t>
      </w:r>
      <w:r w:rsidR="002458E4" w:rsidRPr="000508B6">
        <w:rPr>
          <w:rFonts w:ascii="Times New Roman" w:eastAsia="Times New Roman" w:hAnsi="Times New Roman" w:cs="Times New Roman"/>
          <w:lang w:val="ro-MD"/>
        </w:rPr>
        <w:t xml:space="preserve"> </w:t>
      </w:r>
    </w:p>
    <w:p w14:paraId="19B65E02" w14:textId="34B7EF74" w:rsidR="007442E9" w:rsidRPr="000508B6" w:rsidRDefault="007442E9"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existenţa</w:t>
      </w:r>
      <w:proofErr w:type="spellEnd"/>
      <w:r w:rsidRPr="000508B6">
        <w:rPr>
          <w:rFonts w:ascii="Times New Roman" w:eastAsia="Times New Roman" w:hAnsi="Times New Roman" w:cs="Times New Roman"/>
          <w:lang w:val="ro-MD"/>
        </w:rPr>
        <w:t xml:space="preserve"> unor motive rezonabile de a suspecta că beneficiarul efectiv al proiectului de achiziție este o altă persoană decât cea declarată Băncii Naționale a Moldovei</w:t>
      </w:r>
      <w:r w:rsidR="00993FB0" w:rsidRPr="000508B6">
        <w:rPr>
          <w:rFonts w:ascii="Times New Roman" w:eastAsia="Times New Roman" w:hAnsi="Times New Roman" w:cs="Times New Roman"/>
          <w:lang w:val="ro-MD"/>
        </w:rPr>
        <w:t>;</w:t>
      </w:r>
    </w:p>
    <w:p w14:paraId="458F75BD" w14:textId="0F6A0205" w:rsidR="003F4E82" w:rsidRPr="000508B6" w:rsidRDefault="003F4E82"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să nu fie acționar sau asociat al unui intermediar în asigurări și/sau în reasigurări;</w:t>
      </w:r>
      <w:r w:rsidR="004100F5" w:rsidRPr="000508B6">
        <w:rPr>
          <w:rFonts w:ascii="Times New Roman" w:eastAsia="Times New Roman" w:hAnsi="Times New Roman" w:cs="Times New Roman"/>
          <w:lang w:val="ro-MD"/>
        </w:rPr>
        <w:t xml:space="preserve"> </w:t>
      </w:r>
    </w:p>
    <w:p w14:paraId="2A0C4ABC" w14:textId="38FC0891" w:rsidR="003F4E82" w:rsidRPr="000508B6" w:rsidRDefault="003F4E82" w:rsidP="00CF5AFA">
      <w:pPr>
        <w:pStyle w:val="Listparagraf"/>
        <w:numPr>
          <w:ilvl w:val="2"/>
          <w:numId w:val="101"/>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cazul persoanei fizice, să nu aibă antecedente penale și să dispună de capacitate deplină de exercițiu.</w:t>
      </w:r>
      <w:r w:rsidR="004100F5" w:rsidRPr="000508B6">
        <w:rPr>
          <w:rFonts w:ascii="Times New Roman" w:eastAsia="Times New Roman" w:hAnsi="Times New Roman" w:cs="Times New Roman"/>
          <w:lang w:val="ro-MD"/>
        </w:rPr>
        <w:t xml:space="preserve"> </w:t>
      </w:r>
    </w:p>
    <w:p w14:paraId="54A81070" w14:textId="1CF6E5D8" w:rsidR="007442E9" w:rsidRPr="000508B6" w:rsidRDefault="007442E9" w:rsidP="005D2588">
      <w:pPr>
        <w:pStyle w:val="Listparagraf"/>
        <w:numPr>
          <w:ilvl w:val="0"/>
          <w:numId w:val="10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poate refuza aprobarea numai în cazul în care există motive rezonabile în acest sens, în conformitate cu criteriile prevăzute la alin. (1), sau în cazul în care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furnizate de </w:t>
      </w:r>
      <w:proofErr w:type="spellStart"/>
      <w:r w:rsidRPr="000508B6">
        <w:rPr>
          <w:rFonts w:ascii="Times New Roman" w:eastAsia="Times New Roman" w:hAnsi="Times New Roman" w:cs="Times New Roman"/>
          <w:lang w:val="ro-MD"/>
        </w:rPr>
        <w:t>potenţial</w:t>
      </w:r>
      <w:proofErr w:type="spellEnd"/>
      <w:r w:rsidRPr="000508B6">
        <w:rPr>
          <w:rFonts w:ascii="Times New Roman" w:eastAsia="Times New Roman" w:hAnsi="Times New Roman" w:cs="Times New Roman"/>
          <w:lang w:val="ro-MD"/>
        </w:rPr>
        <w:t xml:space="preserve"> achizitor sunt incomplete</w:t>
      </w:r>
      <w:r w:rsidR="002658A5" w:rsidRPr="000508B6">
        <w:rPr>
          <w:rFonts w:ascii="Times New Roman" w:eastAsia="Times New Roman" w:hAnsi="Times New Roman" w:cs="Times New Roman"/>
          <w:lang w:val="ro-MD"/>
        </w:rPr>
        <w:t xml:space="preserve"> sau eronate</w:t>
      </w:r>
      <w:r w:rsidRPr="000508B6">
        <w:rPr>
          <w:rFonts w:ascii="Times New Roman" w:eastAsia="Times New Roman" w:hAnsi="Times New Roman" w:cs="Times New Roman"/>
          <w:lang w:val="ro-MD"/>
        </w:rPr>
        <w:t>.</w:t>
      </w:r>
    </w:p>
    <w:p w14:paraId="2D889A8A" w14:textId="648D3650" w:rsidR="007442E9" w:rsidRPr="000508B6" w:rsidRDefault="007442E9" w:rsidP="00CF5AFA">
      <w:pPr>
        <w:pStyle w:val="Listparagraf"/>
        <w:numPr>
          <w:ilvl w:val="0"/>
          <w:numId w:val="10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w:t>
      </w:r>
      <w:proofErr w:type="spellStart"/>
      <w:r w:rsidRPr="000508B6">
        <w:rPr>
          <w:rFonts w:ascii="Times New Roman" w:eastAsia="Times New Roman" w:hAnsi="Times New Roman" w:cs="Times New Roman"/>
          <w:lang w:val="ro-MD"/>
        </w:rPr>
        <w:t>Naţională</w:t>
      </w:r>
      <w:proofErr w:type="spellEnd"/>
      <w:r w:rsidRPr="000508B6">
        <w:rPr>
          <w:rFonts w:ascii="Times New Roman" w:eastAsia="Times New Roman" w:hAnsi="Times New Roman" w:cs="Times New Roman"/>
          <w:lang w:val="ro-MD"/>
        </w:rPr>
        <w:t xml:space="preserve"> a Moldovei nu impune nici</w:t>
      </w:r>
      <w:r w:rsidR="0003628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o </w:t>
      </w:r>
      <w:proofErr w:type="spellStart"/>
      <w:r w:rsidRPr="000508B6">
        <w:rPr>
          <w:rFonts w:ascii="Times New Roman" w:eastAsia="Times New Roman" w:hAnsi="Times New Roman" w:cs="Times New Roman"/>
          <w:lang w:val="ro-MD"/>
        </w:rPr>
        <w:t>condiţie</w:t>
      </w:r>
      <w:proofErr w:type="spellEnd"/>
      <w:r w:rsidRPr="000508B6">
        <w:rPr>
          <w:rFonts w:ascii="Times New Roman" w:eastAsia="Times New Roman" w:hAnsi="Times New Roman" w:cs="Times New Roman"/>
          <w:lang w:val="ro-MD"/>
        </w:rPr>
        <w:t xml:space="preserve"> prealabilă privind cota participației care trebuie să fie </w:t>
      </w:r>
      <w:proofErr w:type="spellStart"/>
      <w:r w:rsidRPr="000508B6">
        <w:rPr>
          <w:rFonts w:ascii="Times New Roman" w:eastAsia="Times New Roman" w:hAnsi="Times New Roman" w:cs="Times New Roman"/>
          <w:lang w:val="ro-MD"/>
        </w:rPr>
        <w:t>achiziţionată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nici nu evalu</w:t>
      </w:r>
      <w:r w:rsidR="00CB040D" w:rsidRPr="000508B6">
        <w:rPr>
          <w:rFonts w:ascii="Times New Roman" w:eastAsia="Times New Roman" w:hAnsi="Times New Roman" w:cs="Times New Roman"/>
          <w:lang w:val="ro-MD"/>
        </w:rPr>
        <w:t>ează</w:t>
      </w:r>
      <w:r w:rsidRPr="000508B6">
        <w:rPr>
          <w:rFonts w:ascii="Times New Roman" w:eastAsia="Times New Roman" w:hAnsi="Times New Roman" w:cs="Times New Roman"/>
          <w:lang w:val="ro-MD"/>
        </w:rPr>
        <w:t xml:space="preserve"> proiectul de achiziție din punctul de vedere al </w:t>
      </w:r>
      <w:proofErr w:type="spellStart"/>
      <w:r w:rsidRPr="000508B6">
        <w:rPr>
          <w:rFonts w:ascii="Times New Roman" w:eastAsia="Times New Roman" w:hAnsi="Times New Roman" w:cs="Times New Roman"/>
          <w:lang w:val="ro-MD"/>
        </w:rPr>
        <w:t>necesităţilor</w:t>
      </w:r>
      <w:proofErr w:type="spellEnd"/>
      <w:r w:rsidRPr="000508B6">
        <w:rPr>
          <w:rFonts w:ascii="Times New Roman" w:eastAsia="Times New Roman" w:hAnsi="Times New Roman" w:cs="Times New Roman"/>
          <w:lang w:val="ro-MD"/>
        </w:rPr>
        <w:t xml:space="preserve"> economice ale </w:t>
      </w:r>
      <w:proofErr w:type="spellStart"/>
      <w:r w:rsidRPr="000508B6">
        <w:rPr>
          <w:rFonts w:ascii="Times New Roman" w:eastAsia="Times New Roman" w:hAnsi="Times New Roman" w:cs="Times New Roman"/>
          <w:lang w:val="ro-MD"/>
        </w:rPr>
        <w:t>pieţei</w:t>
      </w:r>
      <w:proofErr w:type="spellEnd"/>
      <w:r w:rsidRPr="000508B6">
        <w:rPr>
          <w:rFonts w:ascii="Times New Roman" w:eastAsia="Times New Roman" w:hAnsi="Times New Roman" w:cs="Times New Roman"/>
          <w:lang w:val="ro-MD"/>
        </w:rPr>
        <w:t xml:space="preserve">. </w:t>
      </w:r>
    </w:p>
    <w:p w14:paraId="585EE393" w14:textId="6B924D2F" w:rsidR="007442E9" w:rsidRPr="000508B6" w:rsidRDefault="008E615E" w:rsidP="003440E3">
      <w:pPr>
        <w:pStyle w:val="Listparagraf"/>
        <w:numPr>
          <w:ilvl w:val="0"/>
          <w:numId w:val="10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E566B1" w:rsidRPr="000508B6">
        <w:rPr>
          <w:rFonts w:ascii="Times New Roman" w:eastAsia="Times New Roman" w:hAnsi="Times New Roman" w:cs="Times New Roman"/>
          <w:lang w:val="ro-MD"/>
        </w:rPr>
        <w:t xml:space="preserve">Criteriile </w:t>
      </w:r>
      <w:proofErr w:type="spellStart"/>
      <w:r w:rsidR="00E566B1" w:rsidRPr="000508B6">
        <w:rPr>
          <w:rFonts w:ascii="Times New Roman" w:eastAsia="Times New Roman" w:hAnsi="Times New Roman" w:cs="Times New Roman"/>
          <w:lang w:val="ro-MD"/>
        </w:rPr>
        <w:t>şi</w:t>
      </w:r>
      <w:proofErr w:type="spellEnd"/>
      <w:r w:rsidR="00E566B1" w:rsidRPr="000508B6">
        <w:rPr>
          <w:rFonts w:ascii="Times New Roman" w:eastAsia="Times New Roman" w:hAnsi="Times New Roman" w:cs="Times New Roman"/>
          <w:lang w:val="ro-MD"/>
        </w:rPr>
        <w:t xml:space="preserve"> </w:t>
      </w:r>
      <w:proofErr w:type="spellStart"/>
      <w:r w:rsidR="00E566B1" w:rsidRPr="000508B6">
        <w:rPr>
          <w:rFonts w:ascii="Times New Roman" w:eastAsia="Times New Roman" w:hAnsi="Times New Roman" w:cs="Times New Roman"/>
          <w:lang w:val="ro-MD"/>
        </w:rPr>
        <w:t>condiţiile</w:t>
      </w:r>
      <w:proofErr w:type="spellEnd"/>
      <w:r w:rsidR="00E566B1" w:rsidRPr="000508B6">
        <w:rPr>
          <w:rFonts w:ascii="Times New Roman" w:eastAsia="Times New Roman" w:hAnsi="Times New Roman" w:cs="Times New Roman"/>
          <w:lang w:val="ro-MD"/>
        </w:rPr>
        <w:t xml:space="preserve"> prevăzute la alin.</w:t>
      </w:r>
      <w:r w:rsidRPr="000508B6">
        <w:rPr>
          <w:rFonts w:ascii="Times New Roman" w:eastAsia="Times New Roman" w:hAnsi="Times New Roman" w:cs="Times New Roman"/>
          <w:lang w:val="ro-MD"/>
        </w:rPr>
        <w:t xml:space="preserve"> </w:t>
      </w:r>
      <w:r w:rsidR="00E566B1" w:rsidRPr="000508B6">
        <w:rPr>
          <w:rFonts w:ascii="Times New Roman" w:eastAsia="Times New Roman" w:hAnsi="Times New Roman" w:cs="Times New Roman"/>
          <w:lang w:val="ro-MD"/>
        </w:rPr>
        <w:t xml:space="preserve">(1), (2) </w:t>
      </w:r>
      <w:proofErr w:type="spellStart"/>
      <w:r w:rsidR="00E566B1" w:rsidRPr="000508B6">
        <w:rPr>
          <w:rFonts w:ascii="Times New Roman" w:eastAsia="Times New Roman" w:hAnsi="Times New Roman" w:cs="Times New Roman"/>
          <w:lang w:val="ro-MD"/>
        </w:rPr>
        <w:t>şi</w:t>
      </w:r>
      <w:proofErr w:type="spellEnd"/>
      <w:r w:rsidR="00E566B1" w:rsidRPr="000508B6">
        <w:rPr>
          <w:rFonts w:ascii="Times New Roman" w:eastAsia="Times New Roman" w:hAnsi="Times New Roman" w:cs="Times New Roman"/>
          <w:lang w:val="ro-MD"/>
        </w:rPr>
        <w:t xml:space="preserve"> (9), elementele care se au în vedere la evaluarea îndeplinirii acestora, lista de </w:t>
      </w:r>
      <w:proofErr w:type="spellStart"/>
      <w:r w:rsidR="00E566B1" w:rsidRPr="000508B6">
        <w:rPr>
          <w:rFonts w:ascii="Times New Roman" w:eastAsia="Times New Roman" w:hAnsi="Times New Roman" w:cs="Times New Roman"/>
          <w:lang w:val="ro-MD"/>
        </w:rPr>
        <w:t>informaţii</w:t>
      </w:r>
      <w:proofErr w:type="spellEnd"/>
      <w:r w:rsidR="00E566B1" w:rsidRPr="000508B6">
        <w:rPr>
          <w:rFonts w:ascii="Times New Roman" w:eastAsia="Times New Roman" w:hAnsi="Times New Roman" w:cs="Times New Roman"/>
          <w:lang w:val="ro-MD"/>
        </w:rPr>
        <w:t xml:space="preserve"> </w:t>
      </w:r>
      <w:proofErr w:type="spellStart"/>
      <w:r w:rsidR="00E566B1" w:rsidRPr="000508B6">
        <w:rPr>
          <w:rFonts w:ascii="Times New Roman" w:eastAsia="Times New Roman" w:hAnsi="Times New Roman" w:cs="Times New Roman"/>
          <w:lang w:val="ro-MD"/>
        </w:rPr>
        <w:t>şi</w:t>
      </w:r>
      <w:proofErr w:type="spellEnd"/>
      <w:r w:rsidR="00E566B1" w:rsidRPr="000508B6">
        <w:rPr>
          <w:rFonts w:ascii="Times New Roman" w:eastAsia="Times New Roman" w:hAnsi="Times New Roman" w:cs="Times New Roman"/>
          <w:lang w:val="ro-MD"/>
        </w:rPr>
        <w:t xml:space="preserve"> documente</w:t>
      </w:r>
      <w:r w:rsidR="002E7C14" w:rsidRPr="000508B6">
        <w:rPr>
          <w:rFonts w:ascii="Times New Roman" w:eastAsia="Times New Roman" w:hAnsi="Times New Roman" w:cs="Times New Roman"/>
          <w:lang w:val="ro-MD"/>
        </w:rPr>
        <w:t>, precum și procedura</w:t>
      </w:r>
      <w:r w:rsidR="00E566B1" w:rsidRPr="000508B6">
        <w:rPr>
          <w:rFonts w:ascii="Times New Roman" w:eastAsia="Times New Roman" w:hAnsi="Times New Roman" w:cs="Times New Roman"/>
          <w:lang w:val="ro-MD"/>
        </w:rPr>
        <w:t xml:space="preserve"> pentru realizarea evaluării se detaliază prin actele normative ale Băncii Naționale a Moldovei</w:t>
      </w:r>
      <w:r w:rsidR="007442E9" w:rsidRPr="000508B6">
        <w:rPr>
          <w:rFonts w:ascii="Times New Roman" w:eastAsia="Times New Roman" w:hAnsi="Times New Roman" w:cs="Times New Roman"/>
          <w:lang w:val="ro-MD"/>
        </w:rPr>
        <w:t>.</w:t>
      </w:r>
      <w:r w:rsidR="00601CDA" w:rsidRPr="000508B6">
        <w:rPr>
          <w:rFonts w:ascii="Times New Roman" w:eastAsia="Times New Roman" w:hAnsi="Times New Roman" w:cs="Times New Roman"/>
          <w:lang w:val="ro-MD"/>
        </w:rPr>
        <w:t xml:space="preserve"> Informațiile și documentele solicitate sunt proporționale și adaptate naturii potențialului achizitor/dobânditor și achiziției propu</w:t>
      </w:r>
      <w:r w:rsidR="00F07761" w:rsidRPr="000508B6">
        <w:rPr>
          <w:rFonts w:ascii="Times New Roman" w:eastAsia="Times New Roman" w:hAnsi="Times New Roman" w:cs="Times New Roman"/>
          <w:lang w:val="ro-MD"/>
        </w:rPr>
        <w:t>s</w:t>
      </w:r>
      <w:r w:rsidR="00601CDA" w:rsidRPr="000508B6">
        <w:rPr>
          <w:rFonts w:ascii="Times New Roman" w:eastAsia="Times New Roman" w:hAnsi="Times New Roman" w:cs="Times New Roman"/>
          <w:lang w:val="ro-MD"/>
        </w:rPr>
        <w:t xml:space="preserve">e/dobândirii. Banca Națională a Moldovei nu solicită informații care nu prezintă relevanță din perspectiva unei evaluări </w:t>
      </w:r>
      <w:r w:rsidR="004100F5" w:rsidRPr="000508B6">
        <w:rPr>
          <w:rFonts w:ascii="Times New Roman" w:eastAsia="Times New Roman" w:hAnsi="Times New Roman" w:cs="Times New Roman"/>
          <w:lang w:val="ro-MD"/>
        </w:rPr>
        <w:t>prudențiale</w:t>
      </w:r>
      <w:r w:rsidR="00313D4B" w:rsidRPr="000508B6">
        <w:rPr>
          <w:rFonts w:ascii="Times New Roman" w:eastAsia="Times New Roman" w:hAnsi="Times New Roman" w:cs="Times New Roman"/>
          <w:lang w:val="ro-MD"/>
        </w:rPr>
        <w:t>.</w:t>
      </w:r>
      <w:r w:rsidR="007442E9" w:rsidRPr="000508B6">
        <w:rPr>
          <w:rFonts w:ascii="Times New Roman" w:eastAsia="Times New Roman" w:hAnsi="Times New Roman" w:cs="Times New Roman"/>
          <w:lang w:val="ro-MD"/>
        </w:rPr>
        <w:t xml:space="preserve"> </w:t>
      </w:r>
    </w:p>
    <w:p w14:paraId="4B4D5BB0" w14:textId="10CC11B7" w:rsidR="007442E9" w:rsidRPr="000508B6" w:rsidRDefault="007442E9" w:rsidP="00CF5AFA">
      <w:pPr>
        <w:pStyle w:val="Listparagraf"/>
        <w:numPr>
          <w:ilvl w:val="0"/>
          <w:numId w:val="100"/>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Fără a aduce atingere prevederilor </w:t>
      </w:r>
      <w:r w:rsidR="003C75F4" w:rsidRPr="000508B6">
        <w:rPr>
          <w:rFonts w:ascii="Times New Roman" w:hAnsi="Times New Roman" w:cs="Times New Roman"/>
          <w:lang w:val="ro-MD"/>
        </w:rPr>
        <w:t>art. 1</w:t>
      </w:r>
      <w:r w:rsidR="008629DF" w:rsidRPr="000508B6">
        <w:rPr>
          <w:rFonts w:ascii="Times New Roman" w:hAnsi="Times New Roman" w:cs="Times New Roman"/>
          <w:lang w:val="ro-MD"/>
        </w:rPr>
        <w:t>2</w:t>
      </w:r>
      <w:r w:rsidRPr="000508B6">
        <w:rPr>
          <w:rFonts w:ascii="Times New Roman" w:hAnsi="Times New Roman" w:cs="Times New Roman"/>
          <w:lang w:val="ro-MD"/>
        </w:rPr>
        <w:t xml:space="preserve"> alin. (3</w:t>
      </w:r>
      <w:r w:rsidR="003009FE" w:rsidRPr="000508B6">
        <w:rPr>
          <w:rFonts w:ascii="Times New Roman" w:hAnsi="Times New Roman" w:cs="Times New Roman"/>
          <w:lang w:val="ro-MD"/>
        </w:rPr>
        <w:t>)</w:t>
      </w:r>
      <w:r w:rsidRPr="000508B6">
        <w:rPr>
          <w:rFonts w:ascii="Times New Roman" w:hAnsi="Times New Roman" w:cs="Times New Roman"/>
          <w:lang w:val="ro-MD"/>
        </w:rPr>
        <w:t xml:space="preserve"> - (6), Banca Națională a Moldovei evaluează în mod nediscriminatoriu proiectele de </w:t>
      </w:r>
      <w:proofErr w:type="spellStart"/>
      <w:r w:rsidRPr="000508B6">
        <w:rPr>
          <w:rFonts w:ascii="Times New Roman" w:hAnsi="Times New Roman" w:cs="Times New Roman"/>
          <w:lang w:val="ro-MD"/>
        </w:rPr>
        <w:t>achiziţie</w:t>
      </w:r>
      <w:proofErr w:type="spellEnd"/>
      <w:r w:rsidRPr="000508B6">
        <w:rPr>
          <w:rFonts w:ascii="Times New Roman" w:hAnsi="Times New Roman" w:cs="Times New Roman"/>
          <w:lang w:val="ro-MD"/>
        </w:rPr>
        <w:t xml:space="preserve"> notificate de mai </w:t>
      </w:r>
      <w:proofErr w:type="spellStart"/>
      <w:r w:rsidRPr="000508B6">
        <w:rPr>
          <w:rFonts w:ascii="Times New Roman" w:hAnsi="Times New Roman" w:cs="Times New Roman"/>
          <w:lang w:val="ro-MD"/>
        </w:rPr>
        <w:t>mulţi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potenţiali</w:t>
      </w:r>
      <w:proofErr w:type="spellEnd"/>
      <w:r w:rsidRPr="000508B6">
        <w:rPr>
          <w:rFonts w:ascii="Times New Roman" w:hAnsi="Times New Roman" w:cs="Times New Roman"/>
          <w:lang w:val="ro-MD"/>
        </w:rPr>
        <w:t xml:space="preserve"> achizitori pentru </w:t>
      </w:r>
      <w:proofErr w:type="spellStart"/>
      <w:r w:rsidR="00D24EFA" w:rsidRPr="000508B6">
        <w:rPr>
          <w:rFonts w:ascii="Times New Roman" w:hAnsi="Times New Roman" w:cs="Times New Roman"/>
          <w:lang w:val="ro-MD"/>
        </w:rPr>
        <w:t>acelaşi</w:t>
      </w:r>
      <w:proofErr w:type="spellEnd"/>
      <w:r w:rsidR="00D24EFA" w:rsidRPr="000508B6">
        <w:rPr>
          <w:rFonts w:ascii="Times New Roman" w:hAnsi="Times New Roman" w:cs="Times New Roman"/>
          <w:lang w:val="ro-MD"/>
        </w:rPr>
        <w:t xml:space="preserve"> asigurător sau </w:t>
      </w:r>
      <w:proofErr w:type="spellStart"/>
      <w:r w:rsidR="00D24EFA" w:rsidRPr="000508B6">
        <w:rPr>
          <w:rFonts w:ascii="Times New Roman" w:hAnsi="Times New Roman" w:cs="Times New Roman"/>
          <w:lang w:val="ro-MD"/>
        </w:rPr>
        <w:t>reasigurător</w:t>
      </w:r>
      <w:proofErr w:type="spellEnd"/>
      <w:r w:rsidRPr="000508B6">
        <w:rPr>
          <w:rFonts w:ascii="Times New Roman" w:hAnsi="Times New Roman" w:cs="Times New Roman"/>
          <w:lang w:val="ro-MD"/>
        </w:rPr>
        <w:t>.</w:t>
      </w:r>
      <w:r w:rsidRPr="000508B6">
        <w:rPr>
          <w:rFonts w:ascii="Times New Roman" w:eastAsia="Times New Roman" w:hAnsi="Times New Roman" w:cs="Times New Roman"/>
          <w:lang w:val="ro-MD"/>
        </w:rPr>
        <w:t xml:space="preserve"> </w:t>
      </w:r>
    </w:p>
    <w:p w14:paraId="2F1DA00B" w14:textId="4FF41D61" w:rsidR="00ED6A34" w:rsidRPr="000508B6" w:rsidRDefault="00ED6A34" w:rsidP="00CF5AFA">
      <w:pPr>
        <w:pStyle w:val="Listparagraf"/>
        <w:numPr>
          <w:ilvl w:val="0"/>
          <w:numId w:val="100"/>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procesul de evaluare a proiectului de </w:t>
      </w:r>
      <w:proofErr w:type="spellStart"/>
      <w:r w:rsidRPr="000508B6">
        <w:rPr>
          <w:rFonts w:ascii="Times New Roman" w:eastAsia="Times New Roman" w:hAnsi="Times New Roman" w:cs="Times New Roman"/>
          <w:lang w:val="ro-MD"/>
        </w:rPr>
        <w:t>achiziţie</w:t>
      </w:r>
      <w:proofErr w:type="spellEnd"/>
      <w:r w:rsidRPr="000508B6">
        <w:rPr>
          <w:rFonts w:ascii="Times New Roman" w:eastAsia="Times New Roman" w:hAnsi="Times New Roman" w:cs="Times New Roman"/>
          <w:lang w:val="ro-MD"/>
        </w:rPr>
        <w:t xml:space="preserve">, în cazul companiilor care prestează servicii ori </w:t>
      </w:r>
      <w:proofErr w:type="spellStart"/>
      <w:r w:rsidRPr="000508B6">
        <w:rPr>
          <w:rFonts w:ascii="Times New Roman" w:eastAsia="Times New Roman" w:hAnsi="Times New Roman" w:cs="Times New Roman"/>
          <w:lang w:val="ro-MD"/>
        </w:rPr>
        <w:t>desfăşoară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pe </w:t>
      </w:r>
      <w:proofErr w:type="spellStart"/>
      <w:r w:rsidRPr="000508B6">
        <w:rPr>
          <w:rFonts w:ascii="Times New Roman" w:eastAsia="Times New Roman" w:hAnsi="Times New Roman" w:cs="Times New Roman"/>
          <w:lang w:val="ro-MD"/>
        </w:rPr>
        <w:t>piaţa</w:t>
      </w:r>
      <w:proofErr w:type="spellEnd"/>
      <w:r w:rsidRPr="000508B6">
        <w:rPr>
          <w:rFonts w:ascii="Times New Roman" w:eastAsia="Times New Roman" w:hAnsi="Times New Roman" w:cs="Times New Roman"/>
          <w:lang w:val="ro-MD"/>
        </w:rPr>
        <w:t xml:space="preserve"> de capital, drepturile de vot ale </w:t>
      </w:r>
      <w:proofErr w:type="spellStart"/>
      <w:r w:rsidRPr="000508B6">
        <w:rPr>
          <w:rFonts w:ascii="Times New Roman" w:eastAsia="Times New Roman" w:hAnsi="Times New Roman" w:cs="Times New Roman"/>
          <w:lang w:val="ro-MD"/>
        </w:rPr>
        <w:t>acţionarilor</w:t>
      </w:r>
      <w:proofErr w:type="spellEnd"/>
      <w:r w:rsidRPr="000508B6">
        <w:rPr>
          <w:rFonts w:ascii="Times New Roman" w:eastAsia="Times New Roman" w:hAnsi="Times New Roman" w:cs="Times New Roman"/>
          <w:lang w:val="ro-MD"/>
        </w:rPr>
        <w:t xml:space="preserve"> sunt evaluate în conformitate cu prevederile </w:t>
      </w:r>
      <w:proofErr w:type="spellStart"/>
      <w:r w:rsidRPr="000508B6">
        <w:rPr>
          <w:rFonts w:ascii="Times New Roman" w:eastAsia="Times New Roman" w:hAnsi="Times New Roman" w:cs="Times New Roman"/>
          <w:lang w:val="ro-MD"/>
        </w:rPr>
        <w:t>legislaţiei</w:t>
      </w:r>
      <w:proofErr w:type="spellEnd"/>
      <w:r w:rsidR="006245D7" w:rsidRPr="000508B6">
        <w:rPr>
          <w:rFonts w:ascii="Times New Roman" w:eastAsia="Times New Roman" w:hAnsi="Times New Roman" w:cs="Times New Roman"/>
          <w:lang w:val="ro-MD"/>
        </w:rPr>
        <w:t xml:space="preserve"> speciale. </w:t>
      </w:r>
      <w:r w:rsidR="00E04843" w:rsidRPr="000508B6">
        <w:rPr>
          <w:rFonts w:ascii="Times New Roman" w:eastAsia="Times New Roman" w:hAnsi="Times New Roman" w:cs="Times New Roman"/>
          <w:lang w:val="ro-MD"/>
        </w:rPr>
        <w:t xml:space="preserve"> </w:t>
      </w:r>
      <w:r w:rsidR="006245D7" w:rsidRPr="000508B6">
        <w:rPr>
          <w:rFonts w:ascii="Times New Roman" w:eastAsia="Times New Roman" w:hAnsi="Times New Roman" w:cs="Times New Roman"/>
          <w:lang w:val="ro-MD"/>
        </w:rPr>
        <w:t>Prevederile art. 12 alin. (20) la calcul</w:t>
      </w:r>
      <w:r w:rsidR="00BE6DD1" w:rsidRPr="000508B6">
        <w:rPr>
          <w:rFonts w:ascii="Times New Roman" w:eastAsia="Times New Roman" w:hAnsi="Times New Roman" w:cs="Times New Roman"/>
          <w:lang w:val="ro-MD"/>
        </w:rPr>
        <w:t>ul</w:t>
      </w:r>
      <w:r w:rsidR="006245D7" w:rsidRPr="000508B6">
        <w:rPr>
          <w:rFonts w:ascii="Times New Roman" w:eastAsia="Times New Roman" w:hAnsi="Times New Roman" w:cs="Times New Roman"/>
          <w:lang w:val="ro-MD"/>
        </w:rPr>
        <w:t xml:space="preserve"> dreptului de vot se aplică în mod corespunzător</w:t>
      </w:r>
      <w:r w:rsidRPr="000508B6">
        <w:rPr>
          <w:rFonts w:ascii="Times New Roman" w:eastAsia="Times New Roman" w:hAnsi="Times New Roman" w:cs="Times New Roman"/>
          <w:lang w:val="ro-MD"/>
        </w:rPr>
        <w:t xml:space="preserve">. </w:t>
      </w:r>
    </w:p>
    <w:p w14:paraId="1DBFF4CF" w14:textId="1503E92C" w:rsidR="004100F5" w:rsidRPr="000508B6" w:rsidRDefault="004100F5" w:rsidP="00CF5AFA">
      <w:pPr>
        <w:pStyle w:val="Listparagraf"/>
        <w:numPr>
          <w:ilvl w:val="0"/>
          <w:numId w:val="100"/>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poate decide să realizeze evaluarea prevăzută la prezentul articol numai cu referire la persoana care urmează să dețină direct o cotă în capitalul social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și la beneficiarul efectiv al acesteia. </w:t>
      </w:r>
    </w:p>
    <w:p w14:paraId="7AA3223D" w14:textId="0AB7B3EF" w:rsidR="007D03B8" w:rsidRPr="000508B6" w:rsidRDefault="007D03B8" w:rsidP="00D134B6">
      <w:pPr>
        <w:pStyle w:val="Listparagraf"/>
        <w:numPr>
          <w:ilvl w:val="0"/>
          <w:numId w:val="100"/>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La examinarea solicitării și a informațiilor pentru dobânditorii unei dețineri inferioare celei calificate în situațiile prevăzute la art. 12 alin. (1) lit. b)</w:t>
      </w:r>
      <w:r w:rsidR="00B54889" w:rsidRPr="000508B6">
        <w:rPr>
          <w:rFonts w:ascii="Times New Roman" w:eastAsia="Times New Roman" w:hAnsi="Times New Roman" w:cs="Times New Roman"/>
          <w:lang w:val="ro-MD"/>
        </w:rPr>
        <w:t xml:space="preserve"> și c</w:t>
      </w:r>
      <w:r w:rsidRPr="000508B6">
        <w:rPr>
          <w:rFonts w:ascii="Times New Roman" w:eastAsia="Times New Roman" w:hAnsi="Times New Roman" w:cs="Times New Roman"/>
          <w:lang w:val="ro-MD"/>
        </w:rPr>
        <w:t xml:space="preserve">) în vederea asigurării unei transparențe în cadrul acestor tranzacții, Banca Națională a Moldovei evaluează adecvarea dobânditorului prin examinarea cumulativă a criteriilor prevăzute la alin. (1) lit. a), e), g) cu aplicarea corespunzătoare a prevederilor alin. (2) și la alin. (5). </w:t>
      </w:r>
    </w:p>
    <w:p w14:paraId="74BE60FC" w14:textId="0C3128B8" w:rsidR="00A43C73" w:rsidRPr="000508B6" w:rsidRDefault="00A43C73" w:rsidP="00CF5AFA">
      <w:pPr>
        <w:pStyle w:val="Listparagraf"/>
        <w:numPr>
          <w:ilvl w:val="0"/>
          <w:numId w:val="100"/>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sensul prezentei secțiuni, sintagmele referitoare la dobândirea, achiziția, obținerea deținerilor/drepturilor de proprietate în capitalul social al </w:t>
      </w:r>
      <w:r w:rsidR="00156E11" w:rsidRPr="000508B6">
        <w:rPr>
          <w:rFonts w:ascii="Times New Roman" w:eastAsia="Times New Roman" w:hAnsi="Times New Roman" w:cs="Times New Roman"/>
          <w:lang w:val="ro-MD"/>
        </w:rPr>
        <w:t>unui</w:t>
      </w:r>
      <w:r w:rsidRPr="000508B6" w:rsidDel="00156E11">
        <w:rPr>
          <w:rFonts w:ascii="Times New Roman" w:eastAsia="Times New Roman" w:hAnsi="Times New Roman" w:cs="Times New Roman"/>
          <w:lang w:val="ro-MD"/>
        </w:rPr>
        <w:t xml:space="preserve"> </w:t>
      </w:r>
      <w:r w:rsidR="00156E11" w:rsidRPr="000508B6">
        <w:rPr>
          <w:rFonts w:ascii="Times New Roman" w:eastAsia="Times New Roman" w:hAnsi="Times New Roman" w:cs="Times New Roman"/>
          <w:lang w:val="ro-MD"/>
        </w:rPr>
        <w:t xml:space="preserve">asigurător sau </w:t>
      </w:r>
      <w:proofErr w:type="spellStart"/>
      <w:r w:rsidR="00156E11" w:rsidRPr="000508B6">
        <w:rPr>
          <w:rFonts w:ascii="Times New Roman" w:eastAsia="Times New Roman" w:hAnsi="Times New Roman" w:cs="Times New Roman"/>
          <w:lang w:val="ro-MD"/>
        </w:rPr>
        <w:t>reasigurător</w:t>
      </w:r>
      <w:proofErr w:type="spellEnd"/>
      <w:r w:rsidR="00156E1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cuprind inclusiv situațiile în care acționarii </w:t>
      </w:r>
      <w:r w:rsidR="00156E11" w:rsidRPr="000508B6">
        <w:rPr>
          <w:rFonts w:ascii="Times New Roman" w:eastAsia="Times New Roman" w:hAnsi="Times New Roman" w:cs="Times New Roman"/>
          <w:lang w:val="ro-MD"/>
        </w:rPr>
        <w:t>unui</w:t>
      </w:r>
      <w:r w:rsidRPr="000508B6" w:rsidDel="00156E11">
        <w:rPr>
          <w:rFonts w:ascii="Times New Roman" w:eastAsia="Times New Roman" w:hAnsi="Times New Roman" w:cs="Times New Roman"/>
          <w:lang w:val="ro-MD"/>
        </w:rPr>
        <w:t xml:space="preserve"> </w:t>
      </w:r>
      <w:r w:rsidR="00156E11" w:rsidRPr="000508B6">
        <w:rPr>
          <w:rFonts w:ascii="Times New Roman" w:eastAsia="Times New Roman" w:hAnsi="Times New Roman" w:cs="Times New Roman"/>
          <w:lang w:val="ro-MD"/>
        </w:rPr>
        <w:t xml:space="preserve">asigurător sau </w:t>
      </w:r>
      <w:proofErr w:type="spellStart"/>
      <w:r w:rsidR="00156E11" w:rsidRPr="000508B6">
        <w:rPr>
          <w:rFonts w:ascii="Times New Roman" w:eastAsia="Times New Roman" w:hAnsi="Times New Roman" w:cs="Times New Roman"/>
          <w:lang w:val="ro-MD"/>
        </w:rPr>
        <w:t>reasigurător</w:t>
      </w:r>
      <w:proofErr w:type="spellEnd"/>
      <w:r w:rsidR="00156E1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își exercită în mod concertat drepturile legate de deținerile/drepturile de proprietate în capitalul social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pe care deja le dețin, constituind astfel o participație calificată în capitalul social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sau o deținere care atinge ori depășește nivelul de 10%, 20%, 3</w:t>
      </w:r>
      <w:r w:rsidR="00FD63E3"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sau 50% din capitalul social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ori astfel încât proporția drepturilor de vot exercitate concertat atinge sau depășește nivelurile de 10%, 20%, 3</w:t>
      </w:r>
      <w:r w:rsidR="00FD63E3"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sau 50% din capitalul social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ori astfel încât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devine o filială a lor.</w:t>
      </w:r>
      <w:r w:rsidR="008B5321" w:rsidRPr="000508B6">
        <w:rPr>
          <w:rFonts w:ascii="Times New Roman" w:eastAsia="Times New Roman" w:hAnsi="Times New Roman" w:cs="Times New Roman"/>
          <w:lang w:val="ro-MD"/>
        </w:rPr>
        <w:t xml:space="preserve"> </w:t>
      </w:r>
    </w:p>
    <w:p w14:paraId="5B3D0DD5" w14:textId="77777777" w:rsidR="00AD2F64" w:rsidRPr="000508B6" w:rsidRDefault="00AD2F64" w:rsidP="00AD2F64">
      <w:pPr>
        <w:pStyle w:val="Listparagraf"/>
        <w:tabs>
          <w:tab w:val="left" w:pos="851"/>
        </w:tabs>
        <w:spacing w:after="0" w:line="240" w:lineRule="auto"/>
        <w:ind w:left="426"/>
        <w:jc w:val="both"/>
        <w:rPr>
          <w:rFonts w:ascii="Times New Roman" w:eastAsia="Times New Roman" w:hAnsi="Times New Roman" w:cs="Times New Roman"/>
          <w:lang w:val="ro-MD"/>
        </w:rPr>
      </w:pPr>
    </w:p>
    <w:p w14:paraId="79E5873B" w14:textId="37BEA82E" w:rsidR="0038683F" w:rsidRPr="000508B6" w:rsidRDefault="0038683F" w:rsidP="0038683F">
      <w:pPr>
        <w:pStyle w:val="Listparagraf"/>
        <w:tabs>
          <w:tab w:val="left" w:pos="851"/>
          <w:tab w:val="left" w:pos="993"/>
        </w:tabs>
        <w:spacing w:after="0" w:line="240" w:lineRule="auto"/>
        <w:ind w:left="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Articolul 14. </w:t>
      </w:r>
      <w:r w:rsidRPr="000508B6">
        <w:rPr>
          <w:rFonts w:ascii="Times New Roman" w:eastAsia="Times New Roman" w:hAnsi="Times New Roman" w:cs="Times New Roman"/>
          <w:lang w:val="ro-MD"/>
        </w:rPr>
        <w:t xml:space="preserve">Exceptarea de la </w:t>
      </w:r>
      <w:proofErr w:type="spellStart"/>
      <w:r w:rsidRPr="000508B6">
        <w:rPr>
          <w:rFonts w:ascii="Times New Roman" w:eastAsia="Times New Roman" w:hAnsi="Times New Roman" w:cs="Times New Roman"/>
          <w:lang w:val="ro-MD"/>
        </w:rPr>
        <w:t>obligaţia</w:t>
      </w:r>
      <w:proofErr w:type="spellEnd"/>
      <w:r w:rsidRPr="000508B6">
        <w:rPr>
          <w:rFonts w:ascii="Times New Roman" w:eastAsia="Times New Roman" w:hAnsi="Times New Roman" w:cs="Times New Roman"/>
          <w:lang w:val="ro-MD"/>
        </w:rPr>
        <w:t xml:space="preserve"> de solicitare în prealabil a aprobării</w:t>
      </w:r>
      <w:r w:rsidRPr="000508B6">
        <w:rPr>
          <w:rFonts w:ascii="Times New Roman" w:eastAsia="Times New Roman" w:hAnsi="Times New Roman" w:cs="Times New Roman"/>
          <w:b/>
          <w:lang w:val="ro-MD"/>
        </w:rPr>
        <w:t xml:space="preserve"> </w:t>
      </w:r>
    </w:p>
    <w:p w14:paraId="7581E5A1" w14:textId="76969353" w:rsidR="0038683F" w:rsidRPr="000508B6" w:rsidRDefault="0038683F" w:rsidP="000043C8">
      <w:pPr>
        <w:pStyle w:val="Listparagraf"/>
        <w:tabs>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(1)</w:t>
      </w:r>
      <w:r w:rsidRPr="000508B6">
        <w:rPr>
          <w:rFonts w:ascii="Times New Roman" w:eastAsia="Times New Roman" w:hAnsi="Times New Roman" w:cs="Times New Roman"/>
          <w:bCs/>
          <w:lang w:val="ro-MD"/>
        </w:rPr>
        <w:tab/>
        <w:t>Prevederile art.</w:t>
      </w:r>
      <w:r w:rsidR="008A49F6" w:rsidRPr="000508B6">
        <w:rPr>
          <w:rFonts w:ascii="Times New Roman" w:hAnsi="Times New Roman" w:cs="Times New Roman"/>
          <w:lang w:val="ro-MD"/>
        </w:rPr>
        <w:t xml:space="preserve"> </w:t>
      </w:r>
      <w:r w:rsidR="008A49F6" w:rsidRPr="000508B6">
        <w:rPr>
          <w:rFonts w:ascii="Times New Roman" w:eastAsia="Times New Roman" w:hAnsi="Times New Roman" w:cs="Times New Roman"/>
          <w:bCs/>
          <w:lang w:val="ro-MD"/>
        </w:rPr>
        <w:t>12 alin. (1) lit. a) și b)</w:t>
      </w:r>
      <w:r w:rsidR="00BE1B28"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nu se aplică în </w:t>
      </w:r>
      <w:proofErr w:type="spellStart"/>
      <w:r w:rsidRPr="000508B6">
        <w:rPr>
          <w:rFonts w:ascii="Times New Roman" w:eastAsia="Times New Roman" w:hAnsi="Times New Roman" w:cs="Times New Roman"/>
          <w:bCs/>
          <w:lang w:val="ro-MD"/>
        </w:rPr>
        <w:t>circumstanţe</w:t>
      </w:r>
      <w:proofErr w:type="spellEnd"/>
      <w:r w:rsidRPr="000508B6">
        <w:rPr>
          <w:rFonts w:ascii="Times New Roman" w:eastAsia="Times New Roman" w:hAnsi="Times New Roman" w:cs="Times New Roman"/>
          <w:bCs/>
          <w:lang w:val="ro-MD"/>
        </w:rPr>
        <w:t xml:space="preserve"> obiective, stabilite prin actele normative ale Băncii </w:t>
      </w:r>
      <w:proofErr w:type="spellStart"/>
      <w:r w:rsidRPr="000508B6">
        <w:rPr>
          <w:rFonts w:ascii="Times New Roman" w:eastAsia="Times New Roman" w:hAnsi="Times New Roman" w:cs="Times New Roman"/>
          <w:bCs/>
          <w:lang w:val="ro-MD"/>
        </w:rPr>
        <w:t>Naţionale</w:t>
      </w:r>
      <w:proofErr w:type="spellEnd"/>
      <w:r w:rsidRPr="000508B6">
        <w:rPr>
          <w:rFonts w:ascii="Times New Roman" w:eastAsia="Times New Roman" w:hAnsi="Times New Roman" w:cs="Times New Roman"/>
          <w:bCs/>
          <w:lang w:val="ro-MD"/>
        </w:rPr>
        <w:t xml:space="preserve"> a Moldovei. În acest caz, </w:t>
      </w:r>
      <w:proofErr w:type="spellStart"/>
      <w:r w:rsidRPr="000508B6">
        <w:rPr>
          <w:rFonts w:ascii="Times New Roman" w:eastAsia="Times New Roman" w:hAnsi="Times New Roman" w:cs="Times New Roman"/>
          <w:bCs/>
          <w:lang w:val="ro-MD"/>
        </w:rPr>
        <w:t>exerciţiul</w:t>
      </w:r>
      <w:proofErr w:type="spellEnd"/>
      <w:r w:rsidRPr="000508B6">
        <w:rPr>
          <w:rFonts w:ascii="Times New Roman" w:eastAsia="Times New Roman" w:hAnsi="Times New Roman" w:cs="Times New Roman"/>
          <w:bCs/>
          <w:lang w:val="ro-MD"/>
        </w:rPr>
        <w:t xml:space="preserve"> dreptului de vot, al dreptului de </w:t>
      </w:r>
      <w:r w:rsidRPr="000508B6">
        <w:rPr>
          <w:rFonts w:ascii="Times New Roman" w:eastAsia="Times New Roman" w:hAnsi="Times New Roman" w:cs="Times New Roman"/>
          <w:bCs/>
          <w:lang w:val="ro-MD"/>
        </w:rPr>
        <w:lastRenderedPageBreak/>
        <w:t xml:space="preserve">convocare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desfăşurare</w:t>
      </w:r>
      <w:proofErr w:type="spellEnd"/>
      <w:r w:rsidRPr="000508B6">
        <w:rPr>
          <w:rFonts w:ascii="Times New Roman" w:eastAsia="Times New Roman" w:hAnsi="Times New Roman" w:cs="Times New Roman"/>
          <w:bCs/>
          <w:lang w:val="ro-MD"/>
        </w:rPr>
        <w:t xml:space="preserve"> a adunării generale a </w:t>
      </w:r>
      <w:proofErr w:type="spellStart"/>
      <w:r w:rsidRPr="000508B6">
        <w:rPr>
          <w:rFonts w:ascii="Times New Roman" w:eastAsia="Times New Roman" w:hAnsi="Times New Roman" w:cs="Times New Roman"/>
          <w:bCs/>
          <w:lang w:val="ro-MD"/>
        </w:rPr>
        <w:t>acţionarilor</w:t>
      </w:r>
      <w:proofErr w:type="spellEnd"/>
      <w:r w:rsidRPr="000508B6">
        <w:rPr>
          <w:rFonts w:ascii="Times New Roman" w:eastAsia="Times New Roman" w:hAnsi="Times New Roman" w:cs="Times New Roman"/>
          <w:bCs/>
          <w:lang w:val="ro-MD"/>
        </w:rPr>
        <w:t xml:space="preserve">, al dreptului de a introduce chestiuni în ordinea de zi, al dreptului de a propune </w:t>
      </w:r>
      <w:proofErr w:type="spellStart"/>
      <w:r w:rsidRPr="000508B6">
        <w:rPr>
          <w:rFonts w:ascii="Times New Roman" w:eastAsia="Times New Roman" w:hAnsi="Times New Roman" w:cs="Times New Roman"/>
          <w:bCs/>
          <w:lang w:val="ro-MD"/>
        </w:rPr>
        <w:t>candidaţi</w:t>
      </w:r>
      <w:proofErr w:type="spellEnd"/>
      <w:r w:rsidRPr="000508B6">
        <w:rPr>
          <w:rFonts w:ascii="Times New Roman" w:eastAsia="Times New Roman" w:hAnsi="Times New Roman" w:cs="Times New Roman"/>
          <w:bCs/>
          <w:lang w:val="ro-MD"/>
        </w:rPr>
        <w:t xml:space="preserve"> pentru membrii </w:t>
      </w:r>
      <w:r w:rsidR="0014791A" w:rsidRPr="000508B6">
        <w:rPr>
          <w:rFonts w:ascii="Times New Roman" w:eastAsia="Times New Roman" w:hAnsi="Times New Roman" w:cs="Times New Roman"/>
          <w:bCs/>
          <w:lang w:val="ro-MD"/>
        </w:rPr>
        <w:t xml:space="preserve">organelor  </w:t>
      </w:r>
      <w:r w:rsidRPr="000508B6">
        <w:rPr>
          <w:rFonts w:ascii="Times New Roman" w:eastAsia="Times New Roman" w:hAnsi="Times New Roman" w:cs="Times New Roman"/>
          <w:bCs/>
          <w:lang w:val="ro-MD"/>
        </w:rPr>
        <w:t xml:space="preserve">de conducere, al dreptului de a primi dividende este suspendat de drept de la data </w:t>
      </w:r>
      <w:proofErr w:type="spellStart"/>
      <w:r w:rsidRPr="000508B6">
        <w:rPr>
          <w:rFonts w:ascii="Times New Roman" w:eastAsia="Times New Roman" w:hAnsi="Times New Roman" w:cs="Times New Roman"/>
          <w:bCs/>
          <w:lang w:val="ro-MD"/>
        </w:rPr>
        <w:t>achiziţiei</w:t>
      </w:r>
      <w:proofErr w:type="spellEnd"/>
      <w:r w:rsidRPr="000508B6">
        <w:rPr>
          <w:rFonts w:ascii="Times New Roman" w:eastAsia="Times New Roman" w:hAnsi="Times New Roman" w:cs="Times New Roman"/>
          <w:bCs/>
          <w:lang w:val="ro-MD"/>
        </w:rPr>
        <w:t xml:space="preserve"> până la data acordării aprobării de către Banca Națională a Moldovei în </w:t>
      </w:r>
      <w:proofErr w:type="spellStart"/>
      <w:r w:rsidRPr="000508B6">
        <w:rPr>
          <w:rFonts w:ascii="Times New Roman" w:eastAsia="Times New Roman" w:hAnsi="Times New Roman" w:cs="Times New Roman"/>
          <w:bCs/>
          <w:lang w:val="ro-MD"/>
        </w:rPr>
        <w:t>condiţiile</w:t>
      </w:r>
      <w:proofErr w:type="spellEnd"/>
      <w:r w:rsidRPr="000508B6">
        <w:rPr>
          <w:rFonts w:ascii="Times New Roman" w:eastAsia="Times New Roman" w:hAnsi="Times New Roman" w:cs="Times New Roman"/>
          <w:bCs/>
          <w:lang w:val="ro-MD"/>
        </w:rPr>
        <w:t xml:space="preserve"> prezentei legi. Banca Națională a Moldovei informează dobânditorul, în termen de 5 zile de la data la care a aflat despre </w:t>
      </w:r>
      <w:r w:rsidR="009558E7" w:rsidRPr="000508B6">
        <w:rPr>
          <w:rFonts w:ascii="Times New Roman" w:eastAsia="Times New Roman" w:hAnsi="Times New Roman" w:cs="Times New Roman"/>
          <w:bCs/>
          <w:lang w:val="ro-MD"/>
        </w:rPr>
        <w:t xml:space="preserve">achiziția </w:t>
      </w:r>
      <w:r w:rsidR="00FC5F1A" w:rsidRPr="000508B6">
        <w:rPr>
          <w:rFonts w:ascii="Times New Roman" w:eastAsia="Times New Roman" w:hAnsi="Times New Roman" w:cs="Times New Roman"/>
          <w:bCs/>
          <w:lang w:val="ro-MD"/>
        </w:rPr>
        <w:t>realizată</w:t>
      </w:r>
      <w:r w:rsidRPr="000508B6">
        <w:rPr>
          <w:rFonts w:ascii="Times New Roman" w:eastAsia="Times New Roman" w:hAnsi="Times New Roman" w:cs="Times New Roman"/>
          <w:bCs/>
          <w:lang w:val="ro-MD"/>
        </w:rPr>
        <w:t xml:space="preserve"> în </w:t>
      </w:r>
      <w:proofErr w:type="spellStart"/>
      <w:r w:rsidRPr="000508B6">
        <w:rPr>
          <w:rFonts w:ascii="Times New Roman" w:eastAsia="Times New Roman" w:hAnsi="Times New Roman" w:cs="Times New Roman"/>
          <w:bCs/>
          <w:lang w:val="ro-MD"/>
        </w:rPr>
        <w:t>condiţiile</w:t>
      </w:r>
      <w:proofErr w:type="spellEnd"/>
      <w:r w:rsidRPr="000508B6">
        <w:rPr>
          <w:rFonts w:ascii="Times New Roman" w:eastAsia="Times New Roman" w:hAnsi="Times New Roman" w:cs="Times New Roman"/>
          <w:bCs/>
          <w:lang w:val="ro-MD"/>
        </w:rPr>
        <w:t xml:space="preserve"> prezentului alineat, despre </w:t>
      </w:r>
      <w:proofErr w:type="spellStart"/>
      <w:r w:rsidRPr="000508B6">
        <w:rPr>
          <w:rFonts w:ascii="Times New Roman" w:eastAsia="Times New Roman" w:hAnsi="Times New Roman" w:cs="Times New Roman"/>
          <w:bCs/>
          <w:lang w:val="ro-MD"/>
        </w:rPr>
        <w:t>incidenţa</w:t>
      </w:r>
      <w:proofErr w:type="spellEnd"/>
      <w:r w:rsidRPr="000508B6">
        <w:rPr>
          <w:rFonts w:ascii="Times New Roman" w:eastAsia="Times New Roman" w:hAnsi="Times New Roman" w:cs="Times New Roman"/>
          <w:bCs/>
          <w:lang w:val="ro-MD"/>
        </w:rPr>
        <w:t xml:space="preserve"> prevederilor ce vizează suspendarea </w:t>
      </w:r>
      <w:proofErr w:type="spellStart"/>
      <w:r w:rsidRPr="000508B6">
        <w:rPr>
          <w:rFonts w:ascii="Times New Roman" w:eastAsia="Times New Roman" w:hAnsi="Times New Roman" w:cs="Times New Roman"/>
          <w:bCs/>
          <w:lang w:val="ro-MD"/>
        </w:rPr>
        <w:t>exerciţiului</w:t>
      </w:r>
      <w:proofErr w:type="spellEnd"/>
      <w:r w:rsidRPr="000508B6">
        <w:rPr>
          <w:rFonts w:ascii="Times New Roman" w:eastAsia="Times New Roman" w:hAnsi="Times New Roman" w:cs="Times New Roman"/>
          <w:bCs/>
          <w:lang w:val="ro-MD"/>
        </w:rPr>
        <w:t xml:space="preserve"> drepturilor </w:t>
      </w:r>
      <w:proofErr w:type="spellStart"/>
      <w:r w:rsidRPr="000508B6">
        <w:rPr>
          <w:rFonts w:ascii="Times New Roman" w:eastAsia="Times New Roman" w:hAnsi="Times New Roman" w:cs="Times New Roman"/>
          <w:bCs/>
          <w:lang w:val="ro-MD"/>
        </w:rPr>
        <w:t>menţionate</w:t>
      </w:r>
      <w:proofErr w:type="spellEnd"/>
      <w:r w:rsidRPr="000508B6">
        <w:rPr>
          <w:rFonts w:ascii="Times New Roman" w:eastAsia="Times New Roman" w:hAnsi="Times New Roman" w:cs="Times New Roman"/>
          <w:bCs/>
          <w:lang w:val="ro-MD"/>
        </w:rPr>
        <w:t>.</w:t>
      </w:r>
    </w:p>
    <w:p w14:paraId="135353CB" w14:textId="7BC82697" w:rsidR="0038683F" w:rsidRPr="000508B6" w:rsidRDefault="0038683F" w:rsidP="000043C8">
      <w:pPr>
        <w:pStyle w:val="Listparagraf"/>
        <w:tabs>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ab/>
        <w:t>În cazul prevăzut la alin.</w:t>
      </w:r>
      <w:r w:rsidR="006444A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(1), </w:t>
      </w:r>
      <w:r w:rsidR="003722D8" w:rsidRPr="000508B6">
        <w:rPr>
          <w:rFonts w:ascii="Times New Roman" w:eastAsia="Times New Roman" w:hAnsi="Times New Roman" w:cs="Times New Roman"/>
          <w:bCs/>
          <w:lang w:val="ro-MD"/>
        </w:rPr>
        <w:t xml:space="preserve">acționarii achizitori </w:t>
      </w:r>
      <w:r w:rsidRPr="000508B6">
        <w:rPr>
          <w:rFonts w:ascii="Times New Roman" w:eastAsia="Times New Roman" w:hAnsi="Times New Roman" w:cs="Times New Roman"/>
          <w:bCs/>
          <w:lang w:val="ro-MD"/>
        </w:rPr>
        <w:t xml:space="preserve">informează Banca Națională a Moldovei despre </w:t>
      </w:r>
      <w:r w:rsidR="009558E7" w:rsidRPr="000508B6">
        <w:rPr>
          <w:rFonts w:ascii="Times New Roman" w:eastAsia="Times New Roman" w:hAnsi="Times New Roman" w:cs="Times New Roman"/>
          <w:bCs/>
          <w:lang w:val="ro-MD"/>
        </w:rPr>
        <w:t xml:space="preserve">achiziția </w:t>
      </w:r>
      <w:r w:rsidR="00FC5F1A" w:rsidRPr="000508B6">
        <w:rPr>
          <w:rFonts w:ascii="Times New Roman" w:eastAsia="Times New Roman" w:hAnsi="Times New Roman" w:cs="Times New Roman"/>
          <w:bCs/>
          <w:lang w:val="ro-MD"/>
        </w:rPr>
        <w:t>realizată</w:t>
      </w:r>
      <w:r w:rsidRPr="000508B6">
        <w:rPr>
          <w:rFonts w:ascii="Times New Roman" w:eastAsia="Times New Roman" w:hAnsi="Times New Roman" w:cs="Times New Roman"/>
          <w:bCs/>
          <w:lang w:val="ro-MD"/>
        </w:rPr>
        <w:t xml:space="preserve"> în termen de 15 zile de la data </w:t>
      </w:r>
      <w:proofErr w:type="spellStart"/>
      <w:r w:rsidRPr="000508B6">
        <w:rPr>
          <w:rFonts w:ascii="Times New Roman" w:eastAsia="Times New Roman" w:hAnsi="Times New Roman" w:cs="Times New Roman"/>
          <w:bCs/>
          <w:lang w:val="ro-MD"/>
        </w:rPr>
        <w:t>achiziţiei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solicită aprobarea Băncii Naționale a Moldovei în termen de 60 de zile de la data </w:t>
      </w:r>
      <w:proofErr w:type="spellStart"/>
      <w:r w:rsidRPr="000508B6">
        <w:rPr>
          <w:rFonts w:ascii="Times New Roman" w:eastAsia="Times New Roman" w:hAnsi="Times New Roman" w:cs="Times New Roman"/>
          <w:bCs/>
          <w:lang w:val="ro-MD"/>
        </w:rPr>
        <w:t>achiziţiei</w:t>
      </w:r>
      <w:proofErr w:type="spellEnd"/>
      <w:r w:rsidRPr="000508B6">
        <w:rPr>
          <w:rFonts w:ascii="Times New Roman" w:eastAsia="Times New Roman" w:hAnsi="Times New Roman" w:cs="Times New Roman"/>
          <w:bCs/>
          <w:lang w:val="ro-MD"/>
        </w:rPr>
        <w:t>.</w:t>
      </w:r>
    </w:p>
    <w:p w14:paraId="7EC2416C" w14:textId="5063956A" w:rsidR="0038683F" w:rsidRPr="000508B6" w:rsidRDefault="0038683F" w:rsidP="000043C8">
      <w:pPr>
        <w:pStyle w:val="Listparagraf"/>
        <w:tabs>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(3)</w:t>
      </w:r>
      <w:r w:rsidRPr="000508B6">
        <w:rPr>
          <w:rFonts w:ascii="Times New Roman" w:eastAsia="Times New Roman" w:hAnsi="Times New Roman" w:cs="Times New Roman"/>
          <w:bCs/>
          <w:lang w:val="ro-MD"/>
        </w:rPr>
        <w:tab/>
        <w:t>La solicitarea aprobării se aplică prevederile art.</w:t>
      </w:r>
      <w:r w:rsidR="006444A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12</w:t>
      </w:r>
      <w:r w:rsidR="008B79F6" w:rsidRPr="000508B6">
        <w:rPr>
          <w:rFonts w:ascii="Times New Roman" w:eastAsia="Times New Roman" w:hAnsi="Times New Roman" w:cs="Times New Roman"/>
          <w:lang w:val="ro-MD"/>
        </w:rPr>
        <w:t xml:space="preserve"> alin. (4)-(7)</w:t>
      </w:r>
      <w:r w:rsidR="008B79F6" w:rsidRPr="000508B6">
        <w:rPr>
          <w:rFonts w:ascii="Times New Roman" w:eastAsia="Times New Roman" w:hAnsi="Times New Roman" w:cs="Times New Roman"/>
          <w:bCs/>
          <w:lang w:val="ro-MD"/>
        </w:rPr>
        <w:t>,</w:t>
      </w:r>
      <w:r w:rsidR="00603157"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13</w:t>
      </w:r>
      <w:r w:rsidR="00603157" w:rsidRPr="000508B6">
        <w:rPr>
          <w:rFonts w:ascii="Times New Roman" w:eastAsia="Times New Roman" w:hAnsi="Times New Roman" w:cs="Times New Roman"/>
          <w:bCs/>
          <w:lang w:val="ro-MD"/>
        </w:rPr>
        <w:t>)</w:t>
      </w:r>
      <w:r w:rsidR="008B79F6" w:rsidRPr="000508B6">
        <w:rPr>
          <w:rFonts w:ascii="Times New Roman" w:eastAsia="Times New Roman" w:hAnsi="Times New Roman" w:cs="Times New Roman"/>
          <w:lang w:val="ro-MD"/>
        </w:rPr>
        <w:t xml:space="preserve"> și art. 185 alin. (10)-(13)</w:t>
      </w:r>
      <w:r w:rsidRPr="000508B6">
        <w:rPr>
          <w:rFonts w:ascii="Times New Roman" w:eastAsia="Times New Roman" w:hAnsi="Times New Roman" w:cs="Times New Roman"/>
          <w:bCs/>
          <w:lang w:val="ro-MD"/>
        </w:rPr>
        <w:t>.</w:t>
      </w:r>
    </w:p>
    <w:p w14:paraId="2A8851CC" w14:textId="2FD2A4F9" w:rsidR="00686FB6" w:rsidRPr="000508B6" w:rsidRDefault="0038683F" w:rsidP="000043C8">
      <w:pPr>
        <w:pStyle w:val="Listparagraf"/>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(4)</w:t>
      </w:r>
      <w:r w:rsidRPr="000508B6">
        <w:rPr>
          <w:rFonts w:ascii="Times New Roman" w:eastAsia="Times New Roman" w:hAnsi="Times New Roman" w:cs="Times New Roman"/>
          <w:bCs/>
          <w:lang w:val="ro-MD"/>
        </w:rPr>
        <w:tab/>
        <w:t>Dacă</w:t>
      </w:r>
      <w:r w:rsidRPr="000508B6" w:rsidDel="003722D8">
        <w:rPr>
          <w:rFonts w:ascii="Times New Roman" w:eastAsia="Times New Roman" w:hAnsi="Times New Roman" w:cs="Times New Roman"/>
          <w:bCs/>
          <w:lang w:val="ro-MD"/>
        </w:rPr>
        <w:t xml:space="preserve"> </w:t>
      </w:r>
      <w:r w:rsidR="003722D8" w:rsidRPr="000508B6">
        <w:rPr>
          <w:rFonts w:ascii="Times New Roman" w:eastAsia="Times New Roman" w:hAnsi="Times New Roman" w:cs="Times New Roman"/>
          <w:bCs/>
          <w:lang w:val="ro-MD"/>
        </w:rPr>
        <w:t>acționarii</w:t>
      </w:r>
      <w:r w:rsidR="003722D8" w:rsidRPr="000508B6" w:rsidDel="00FC5F1A">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nu solicită aprobarea Băncii Naționale a Moldovei în termenul prevăzut la alin.</w:t>
      </w:r>
      <w:r w:rsidR="00603157"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(2) sau dacă, în urma evaluării efectuate, Banca Națională a Moldovei refuză eliberarea aprobării, aceștia vor înstrăina, în termen de 3 luni de la data </w:t>
      </w:r>
      <w:proofErr w:type="spellStart"/>
      <w:r w:rsidRPr="000508B6">
        <w:rPr>
          <w:rFonts w:ascii="Times New Roman" w:eastAsia="Times New Roman" w:hAnsi="Times New Roman" w:cs="Times New Roman"/>
          <w:bCs/>
          <w:lang w:val="ro-MD"/>
        </w:rPr>
        <w:t>achiziţiei</w:t>
      </w:r>
      <w:proofErr w:type="spellEnd"/>
      <w:r w:rsidRPr="000508B6">
        <w:rPr>
          <w:rFonts w:ascii="Times New Roman" w:eastAsia="Times New Roman" w:hAnsi="Times New Roman" w:cs="Times New Roman"/>
          <w:bCs/>
          <w:lang w:val="ro-MD"/>
        </w:rPr>
        <w:t xml:space="preserve"> sau, după caz, de la data la care a fost emis acest refuz,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aferente participației calificate astfel </w:t>
      </w:r>
      <w:proofErr w:type="spellStart"/>
      <w:r w:rsidRPr="000508B6">
        <w:rPr>
          <w:rFonts w:ascii="Times New Roman" w:eastAsia="Times New Roman" w:hAnsi="Times New Roman" w:cs="Times New Roman"/>
          <w:bCs/>
          <w:lang w:val="ro-MD"/>
        </w:rPr>
        <w:t>achiziţionate</w:t>
      </w:r>
      <w:proofErr w:type="spellEnd"/>
      <w:r w:rsidRPr="000508B6">
        <w:rPr>
          <w:rFonts w:ascii="Times New Roman" w:eastAsia="Times New Roman" w:hAnsi="Times New Roman" w:cs="Times New Roman"/>
          <w:bCs/>
          <w:lang w:val="ro-MD"/>
        </w:rPr>
        <w:t xml:space="preserve">. Dacă după expirarea termenului menționat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nu au fost vândute, devin incidente prevederile art. </w:t>
      </w:r>
      <w:r w:rsidR="009F23E7" w:rsidRPr="000508B6">
        <w:rPr>
          <w:rFonts w:ascii="Times New Roman" w:eastAsia="Times New Roman" w:hAnsi="Times New Roman" w:cs="Times New Roman"/>
          <w:bCs/>
          <w:lang w:val="ro-MD"/>
        </w:rPr>
        <w:t>17</w:t>
      </w:r>
      <w:r w:rsidRPr="000508B6">
        <w:rPr>
          <w:rFonts w:ascii="Times New Roman" w:eastAsia="Times New Roman" w:hAnsi="Times New Roman" w:cs="Times New Roman"/>
          <w:bCs/>
          <w:lang w:val="ro-MD"/>
        </w:rPr>
        <w:t>.</w:t>
      </w:r>
    </w:p>
    <w:p w14:paraId="2D4B5B84" w14:textId="77777777" w:rsidR="0038683F" w:rsidRPr="000508B6" w:rsidRDefault="0038683F" w:rsidP="000043C8">
      <w:pPr>
        <w:pStyle w:val="Listparagraf"/>
        <w:tabs>
          <w:tab w:val="left" w:pos="851"/>
          <w:tab w:val="left" w:pos="993"/>
        </w:tabs>
        <w:spacing w:after="0" w:line="240" w:lineRule="auto"/>
        <w:ind w:left="0" w:firstLine="426"/>
        <w:jc w:val="both"/>
        <w:rPr>
          <w:rFonts w:ascii="Times New Roman" w:eastAsia="Times New Roman" w:hAnsi="Times New Roman" w:cs="Times New Roman"/>
          <w:b/>
          <w:lang w:val="ro-MD"/>
        </w:rPr>
      </w:pPr>
    </w:p>
    <w:p w14:paraId="01B73F0F" w14:textId="36896730" w:rsidR="00FF2E4F" w:rsidRPr="000508B6" w:rsidRDefault="004D423F" w:rsidP="004D423F">
      <w:pPr>
        <w:tabs>
          <w:tab w:val="left" w:pos="851"/>
          <w:tab w:val="left" w:pos="993"/>
        </w:tabs>
        <w:spacing w:after="0" w:line="240" w:lineRule="auto"/>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ab/>
      </w:r>
      <w:r w:rsidR="00FF2E4F" w:rsidRPr="000508B6">
        <w:rPr>
          <w:rFonts w:ascii="Times New Roman" w:eastAsia="Times New Roman" w:hAnsi="Times New Roman" w:cs="Times New Roman"/>
          <w:b/>
          <w:lang w:val="ro-MD"/>
        </w:rPr>
        <w:t xml:space="preserve">Articolul 15.  </w:t>
      </w:r>
      <w:proofErr w:type="spellStart"/>
      <w:r w:rsidR="00FF2E4F" w:rsidRPr="000508B6">
        <w:rPr>
          <w:rFonts w:ascii="Times New Roman" w:eastAsia="Times New Roman" w:hAnsi="Times New Roman" w:cs="Times New Roman"/>
          <w:lang w:val="ro-MD"/>
        </w:rPr>
        <w:t>Informaţiile</w:t>
      </w:r>
      <w:proofErr w:type="spellEnd"/>
      <w:r w:rsidR="00FF2E4F" w:rsidRPr="000508B6">
        <w:rPr>
          <w:rFonts w:ascii="Times New Roman" w:eastAsia="Times New Roman" w:hAnsi="Times New Roman" w:cs="Times New Roman"/>
          <w:lang w:val="ro-MD"/>
        </w:rPr>
        <w:t xml:space="preserve"> transmise de către </w:t>
      </w:r>
      <w:r w:rsidR="002525CE" w:rsidRPr="000508B6">
        <w:rPr>
          <w:rFonts w:ascii="Times New Roman" w:eastAsia="Times New Roman" w:hAnsi="Times New Roman" w:cs="Times New Roman"/>
          <w:lang w:val="ro-MD"/>
        </w:rPr>
        <w:t xml:space="preserve">asigurător sau </w:t>
      </w:r>
      <w:proofErr w:type="spellStart"/>
      <w:r w:rsidR="002525CE" w:rsidRPr="000508B6">
        <w:rPr>
          <w:rFonts w:ascii="Times New Roman" w:eastAsia="Times New Roman" w:hAnsi="Times New Roman" w:cs="Times New Roman"/>
          <w:lang w:val="ro-MD"/>
        </w:rPr>
        <w:t>reasigurător</w:t>
      </w:r>
      <w:proofErr w:type="spellEnd"/>
    </w:p>
    <w:p w14:paraId="4D596B1D" w14:textId="617DEEA5" w:rsidR="00296E06" w:rsidRPr="000508B6" w:rsidRDefault="00296E06" w:rsidP="00D34ED4">
      <w:pPr>
        <w:pStyle w:val="Listparagraf"/>
        <w:numPr>
          <w:ilvl w:val="1"/>
          <w:numId w:val="267"/>
        </w:numPr>
        <w:tabs>
          <w:tab w:val="left" w:pos="709"/>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trebuie să identifice și să informeze </w:t>
      </w:r>
      <w:r w:rsidR="0075023E" w:rsidRPr="000508B6">
        <w:rPr>
          <w:rFonts w:ascii="Times New Roman" w:eastAsia="Times New Roman" w:hAnsi="Times New Roman" w:cs="Times New Roman"/>
          <w:bCs/>
          <w:lang w:val="ro-MD"/>
        </w:rPr>
        <w:t>Banca Națională a Moldovei</w:t>
      </w:r>
      <w:r w:rsidRPr="000508B6">
        <w:rPr>
          <w:rFonts w:ascii="Times New Roman" w:eastAsia="Times New Roman" w:hAnsi="Times New Roman" w:cs="Times New Roman"/>
          <w:bCs/>
          <w:lang w:val="ro-MD"/>
        </w:rPr>
        <w:t xml:space="preserve">, de îndată ce ia cunoștință, despre: </w:t>
      </w:r>
    </w:p>
    <w:p w14:paraId="7A6F2706" w14:textId="529C6913" w:rsidR="00296E06" w:rsidRPr="000508B6" w:rsidRDefault="00296E06" w:rsidP="003B22E4">
      <w:pPr>
        <w:pStyle w:val="Listparagraf"/>
        <w:tabs>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 orice achiziție sau înstrăinare, directă sau indirectă, inclusiv de către beneficiarul efectiv, a deținerilor în capitalul ei care depășește nivelurile de 10%, 20%, 33% și 50% sau ca urmare a căreia </w:t>
      </w:r>
      <w:r w:rsidR="00782DE1" w:rsidRPr="000508B6">
        <w:rPr>
          <w:rFonts w:ascii="Times New Roman" w:eastAsia="Times New Roman" w:hAnsi="Times New Roman" w:cs="Times New Roman"/>
          <w:bCs/>
          <w:lang w:val="ro-MD"/>
        </w:rPr>
        <w:t>asigurătorul</w:t>
      </w:r>
      <w:r w:rsidRPr="000508B6">
        <w:rPr>
          <w:rFonts w:ascii="Times New Roman" w:eastAsia="Times New Roman" w:hAnsi="Times New Roman" w:cs="Times New Roman"/>
          <w:bCs/>
          <w:lang w:val="ro-MD"/>
        </w:rPr>
        <w:t xml:space="preserve"> sau </w:t>
      </w:r>
      <w:proofErr w:type="spellStart"/>
      <w:r w:rsidR="00782DE1"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devine filială, respectiv se situează sub nivelurile menționate; </w:t>
      </w:r>
    </w:p>
    <w:p w14:paraId="15391C2D" w14:textId="0426AF9B" w:rsidR="00296E06" w:rsidRPr="000508B6" w:rsidRDefault="00296E06" w:rsidP="003B22E4">
      <w:pPr>
        <w:pStyle w:val="Listparagraf"/>
        <w:tabs>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b) și/sau despre orice </w:t>
      </w:r>
      <w:r w:rsidR="00D34ED4" w:rsidRPr="000508B6">
        <w:rPr>
          <w:rFonts w:ascii="Times New Roman" w:eastAsia="Times New Roman" w:hAnsi="Times New Roman" w:cs="Times New Roman"/>
          <w:bCs/>
          <w:lang w:val="ro-MD"/>
        </w:rPr>
        <w:t>achiziție/</w:t>
      </w:r>
      <w:r w:rsidRPr="000508B6">
        <w:rPr>
          <w:rFonts w:ascii="Times New Roman" w:eastAsia="Times New Roman" w:hAnsi="Times New Roman" w:cs="Times New Roman"/>
          <w:bCs/>
          <w:lang w:val="ro-MD"/>
        </w:rPr>
        <w:t xml:space="preserve">dobândire/ în situațiile prevăzute la art. </w:t>
      </w:r>
      <w:r w:rsidR="00A94B81" w:rsidRPr="000508B6">
        <w:rPr>
          <w:rFonts w:ascii="Times New Roman" w:eastAsia="Times New Roman" w:hAnsi="Times New Roman" w:cs="Times New Roman"/>
          <w:bCs/>
          <w:lang w:val="ro-MD"/>
        </w:rPr>
        <w:t>12</w:t>
      </w:r>
      <w:r w:rsidRPr="000508B6">
        <w:rPr>
          <w:rFonts w:ascii="Times New Roman" w:eastAsia="Times New Roman" w:hAnsi="Times New Roman" w:cs="Times New Roman"/>
          <w:bCs/>
          <w:lang w:val="ro-MD"/>
        </w:rPr>
        <w:t xml:space="preserve"> alin. (1) lit. b) – c); </w:t>
      </w:r>
    </w:p>
    <w:p w14:paraId="6DFAC357" w14:textId="1485124D" w:rsidR="00FF2E4F" w:rsidRPr="000508B6" w:rsidRDefault="00296E06" w:rsidP="003B22E4">
      <w:pPr>
        <w:pStyle w:val="Listparagraf"/>
        <w:tabs>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c) precum și despre orice fapte sau circumstanțe care generează suspiciunea că asemenea </w:t>
      </w:r>
      <w:r w:rsidRPr="000508B6">
        <w:rPr>
          <w:rFonts w:ascii="Times New Roman" w:eastAsia="Times New Roman" w:hAnsi="Times New Roman" w:cs="Times New Roman"/>
          <w:lang w:val="ro-MD"/>
        </w:rPr>
        <w:t>dobândire/achiziție</w:t>
      </w:r>
      <w:r w:rsidRPr="000508B6">
        <w:rPr>
          <w:rFonts w:ascii="Times New Roman" w:eastAsia="Times New Roman" w:hAnsi="Times New Roman" w:cs="Times New Roman"/>
          <w:bCs/>
          <w:lang w:val="ro-MD"/>
        </w:rPr>
        <w:t xml:space="preserve"> sau înstrăinare a avut loc fără respectarea prezentei legi și a actelor normative ale Băncii Naționale a Moldovei.</w:t>
      </w:r>
    </w:p>
    <w:p w14:paraId="4824D6D8" w14:textId="359018F4" w:rsidR="00FF2E4F" w:rsidRPr="000508B6" w:rsidRDefault="004125E8"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00FF2E4F" w:rsidRPr="000508B6">
        <w:rPr>
          <w:rFonts w:ascii="Times New Roman" w:eastAsia="Times New Roman" w:hAnsi="Times New Roman" w:cs="Times New Roman"/>
          <w:bCs/>
          <w:lang w:val="ro-MD"/>
        </w:rPr>
        <w:t xml:space="preserve"> prezintă, cel puțin anual, Băncii Naționale a Moldovei </w:t>
      </w:r>
      <w:proofErr w:type="spellStart"/>
      <w:r w:rsidR="00FF2E4F" w:rsidRPr="000508B6">
        <w:rPr>
          <w:rFonts w:ascii="Times New Roman" w:eastAsia="Times New Roman" w:hAnsi="Times New Roman" w:cs="Times New Roman"/>
          <w:bCs/>
          <w:lang w:val="ro-MD"/>
        </w:rPr>
        <w:t>informaţia</w:t>
      </w:r>
      <w:proofErr w:type="spellEnd"/>
      <w:r w:rsidR="00FF2E4F" w:rsidRPr="000508B6">
        <w:rPr>
          <w:rFonts w:ascii="Times New Roman" w:eastAsia="Times New Roman" w:hAnsi="Times New Roman" w:cs="Times New Roman"/>
          <w:bCs/>
          <w:lang w:val="ro-MD"/>
        </w:rPr>
        <w:t xml:space="preserve"> detaliată despre identitatea acționarilor care dețin participații calificate, numărul </w:t>
      </w:r>
      <w:proofErr w:type="spellStart"/>
      <w:r w:rsidR="00FF2E4F" w:rsidRPr="000508B6">
        <w:rPr>
          <w:rFonts w:ascii="Times New Roman" w:eastAsia="Times New Roman" w:hAnsi="Times New Roman" w:cs="Times New Roman"/>
          <w:bCs/>
          <w:lang w:val="ro-MD"/>
        </w:rPr>
        <w:t>şi</w:t>
      </w:r>
      <w:proofErr w:type="spellEnd"/>
      <w:r w:rsidR="00FF2E4F" w:rsidRPr="000508B6">
        <w:rPr>
          <w:rFonts w:ascii="Times New Roman" w:eastAsia="Times New Roman" w:hAnsi="Times New Roman" w:cs="Times New Roman"/>
          <w:bCs/>
          <w:lang w:val="ro-MD"/>
        </w:rPr>
        <w:t xml:space="preserve"> valoarea totală a </w:t>
      </w:r>
      <w:proofErr w:type="spellStart"/>
      <w:r w:rsidR="00FF2E4F" w:rsidRPr="000508B6">
        <w:rPr>
          <w:rFonts w:ascii="Times New Roman" w:eastAsia="Times New Roman" w:hAnsi="Times New Roman" w:cs="Times New Roman"/>
          <w:bCs/>
          <w:lang w:val="ro-MD"/>
        </w:rPr>
        <w:t>acţiunilor</w:t>
      </w:r>
      <w:proofErr w:type="spellEnd"/>
      <w:r w:rsidR="00FF2E4F" w:rsidRPr="000508B6">
        <w:rPr>
          <w:rFonts w:ascii="Times New Roman" w:eastAsia="Times New Roman" w:hAnsi="Times New Roman" w:cs="Times New Roman"/>
          <w:bCs/>
          <w:lang w:val="ro-MD"/>
        </w:rPr>
        <w:t xml:space="preserve"> </w:t>
      </w:r>
      <w:proofErr w:type="spellStart"/>
      <w:r w:rsidR="00FF2E4F" w:rsidRPr="000508B6">
        <w:rPr>
          <w:rFonts w:ascii="Times New Roman" w:eastAsia="Times New Roman" w:hAnsi="Times New Roman" w:cs="Times New Roman"/>
          <w:bCs/>
          <w:lang w:val="ro-MD"/>
        </w:rPr>
        <w:t>deţinute</w:t>
      </w:r>
      <w:proofErr w:type="spellEnd"/>
      <w:r w:rsidR="00FF2E4F" w:rsidRPr="000508B6">
        <w:rPr>
          <w:rFonts w:ascii="Times New Roman" w:eastAsia="Times New Roman" w:hAnsi="Times New Roman" w:cs="Times New Roman"/>
          <w:bCs/>
          <w:lang w:val="ro-MD"/>
        </w:rPr>
        <w:t xml:space="preserve">, iar pentru acționarii care dețin participații calificate persoane juridice – </w:t>
      </w:r>
      <w:proofErr w:type="spellStart"/>
      <w:r w:rsidR="00FF2E4F" w:rsidRPr="000508B6">
        <w:rPr>
          <w:rFonts w:ascii="Times New Roman" w:eastAsia="Times New Roman" w:hAnsi="Times New Roman" w:cs="Times New Roman"/>
          <w:bCs/>
          <w:lang w:val="ro-MD"/>
        </w:rPr>
        <w:t>şi</w:t>
      </w:r>
      <w:proofErr w:type="spellEnd"/>
      <w:r w:rsidR="00FF2E4F" w:rsidRPr="000508B6">
        <w:rPr>
          <w:rFonts w:ascii="Times New Roman" w:eastAsia="Times New Roman" w:hAnsi="Times New Roman" w:cs="Times New Roman"/>
          <w:bCs/>
          <w:lang w:val="ro-MD"/>
        </w:rPr>
        <w:t xml:space="preserve"> </w:t>
      </w:r>
      <w:proofErr w:type="spellStart"/>
      <w:r w:rsidR="00FF2E4F" w:rsidRPr="000508B6">
        <w:rPr>
          <w:rFonts w:ascii="Times New Roman" w:eastAsia="Times New Roman" w:hAnsi="Times New Roman" w:cs="Times New Roman"/>
          <w:bCs/>
          <w:lang w:val="ro-MD"/>
        </w:rPr>
        <w:t>situaţiile</w:t>
      </w:r>
      <w:proofErr w:type="spellEnd"/>
      <w:r w:rsidR="00FF2E4F" w:rsidRPr="000508B6">
        <w:rPr>
          <w:rFonts w:ascii="Times New Roman" w:eastAsia="Times New Roman" w:hAnsi="Times New Roman" w:cs="Times New Roman"/>
          <w:bCs/>
          <w:lang w:val="ro-MD"/>
        </w:rPr>
        <w:t xml:space="preserve"> financiare cu o notă explicativă, în modul </w:t>
      </w:r>
      <w:proofErr w:type="spellStart"/>
      <w:r w:rsidR="00FF2E4F" w:rsidRPr="000508B6">
        <w:rPr>
          <w:rFonts w:ascii="Times New Roman" w:eastAsia="Times New Roman" w:hAnsi="Times New Roman" w:cs="Times New Roman"/>
          <w:bCs/>
          <w:lang w:val="ro-MD"/>
        </w:rPr>
        <w:t>şi</w:t>
      </w:r>
      <w:proofErr w:type="spellEnd"/>
      <w:r w:rsidR="00FF2E4F" w:rsidRPr="000508B6">
        <w:rPr>
          <w:rFonts w:ascii="Times New Roman" w:eastAsia="Times New Roman" w:hAnsi="Times New Roman" w:cs="Times New Roman"/>
          <w:bCs/>
          <w:lang w:val="ro-MD"/>
        </w:rPr>
        <w:t xml:space="preserve"> în termenele stabilite prin actele normative ale Băncii Naționale a Moldovei.</w:t>
      </w:r>
    </w:p>
    <w:p w14:paraId="63860285" w14:textId="2227E579" w:rsidR="006F68DC" w:rsidRPr="000508B6" w:rsidRDefault="00D068AA"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00955B90" w:rsidRPr="000508B6">
        <w:rPr>
          <w:rFonts w:ascii="Times New Roman" w:eastAsia="Times New Roman" w:hAnsi="Times New Roman" w:cs="Times New Roman"/>
          <w:bCs/>
          <w:lang w:val="ro-MD"/>
        </w:rPr>
        <w:t xml:space="preserve"> este obligat să elaboreze și să dispună de proceduri clare privind cunoașterea deținătorilor direcți și indirecți, inclusiv a beneficiarilor efectivi ai acțiunilor sale și să informeze Banca Națională a Moldovei, la solicitarea acesteia, despre identitatea deținătorilor direcți și indirecți de participații calificate, inclusiv a beneficiarului efectiv, și despre nivelul acestor dețineri, conform informațiilor de care dispune, în modul și condițiile prevăzute de actele normative ale </w:t>
      </w:r>
      <w:r w:rsidR="002840EA" w:rsidRPr="000508B6">
        <w:rPr>
          <w:rFonts w:ascii="Times New Roman" w:eastAsia="Times New Roman" w:hAnsi="Times New Roman" w:cs="Times New Roman"/>
          <w:bCs/>
          <w:lang w:val="ro-MD"/>
        </w:rPr>
        <w:t>Băncii Naționale a Moldovei</w:t>
      </w:r>
      <w:r w:rsidR="00955B90" w:rsidRPr="000508B6">
        <w:rPr>
          <w:rFonts w:ascii="Times New Roman" w:eastAsia="Times New Roman" w:hAnsi="Times New Roman" w:cs="Times New Roman"/>
          <w:bCs/>
          <w:lang w:val="ro-MD"/>
        </w:rPr>
        <w:t>.</w:t>
      </w:r>
      <w:r w:rsidR="009359C5" w:rsidRPr="000508B6">
        <w:rPr>
          <w:rFonts w:ascii="Times New Roman" w:eastAsia="Times New Roman" w:hAnsi="Times New Roman" w:cs="Times New Roman"/>
          <w:bCs/>
          <w:lang w:val="ro-MD"/>
        </w:rPr>
        <w:t xml:space="preserve"> </w:t>
      </w:r>
    </w:p>
    <w:p w14:paraId="407ADC80" w14:textId="5373909C" w:rsidR="00085C59" w:rsidRPr="000508B6" w:rsidRDefault="00955B90"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Orice </w:t>
      </w:r>
      <w:proofErr w:type="spellStart"/>
      <w:r w:rsidRPr="000508B6">
        <w:rPr>
          <w:rFonts w:ascii="Times New Roman" w:eastAsia="Times New Roman" w:hAnsi="Times New Roman" w:cs="Times New Roman"/>
          <w:bCs/>
          <w:lang w:val="ro-MD"/>
        </w:rPr>
        <w:t>deţinător</w:t>
      </w:r>
      <w:proofErr w:type="spellEnd"/>
      <w:r w:rsidRPr="000508B6">
        <w:rPr>
          <w:rFonts w:ascii="Times New Roman" w:eastAsia="Times New Roman" w:hAnsi="Times New Roman" w:cs="Times New Roman"/>
          <w:bCs/>
          <w:lang w:val="ro-MD"/>
        </w:rPr>
        <w:t>, direct sau indirect, inclusiv beneficia</w:t>
      </w:r>
      <w:r w:rsidR="00360395" w:rsidRPr="000508B6">
        <w:rPr>
          <w:rFonts w:ascii="Times New Roman" w:eastAsia="Times New Roman" w:hAnsi="Times New Roman" w:cs="Times New Roman"/>
          <w:bCs/>
          <w:lang w:val="ro-MD"/>
        </w:rPr>
        <w:t>r</w:t>
      </w:r>
      <w:r w:rsidRPr="000508B6">
        <w:rPr>
          <w:rFonts w:ascii="Times New Roman" w:eastAsia="Times New Roman" w:hAnsi="Times New Roman" w:cs="Times New Roman"/>
          <w:bCs/>
          <w:lang w:val="ro-MD"/>
        </w:rPr>
        <w:t xml:space="preserve">ul efectiv, al unei dețineri în capitalul </w:t>
      </w:r>
      <w:r w:rsidR="00027D82" w:rsidRPr="000508B6">
        <w:rPr>
          <w:rFonts w:ascii="Times New Roman" w:eastAsia="Times New Roman" w:hAnsi="Times New Roman" w:cs="Times New Roman"/>
          <w:bCs/>
          <w:lang w:val="ro-MD"/>
        </w:rPr>
        <w:t>unui</w:t>
      </w:r>
      <w:r w:rsidRPr="000508B6" w:rsidDel="00027D82">
        <w:rPr>
          <w:rFonts w:ascii="Times New Roman" w:eastAsia="Times New Roman" w:hAnsi="Times New Roman" w:cs="Times New Roman"/>
          <w:bCs/>
          <w:lang w:val="ro-MD"/>
        </w:rPr>
        <w:t xml:space="preserve"> </w:t>
      </w:r>
      <w:r w:rsidR="00027D82" w:rsidRPr="000508B6">
        <w:rPr>
          <w:rFonts w:ascii="Times New Roman" w:eastAsia="Times New Roman" w:hAnsi="Times New Roman" w:cs="Times New Roman"/>
          <w:bCs/>
          <w:lang w:val="ro-MD"/>
        </w:rPr>
        <w:t xml:space="preserve">asigurător sau </w:t>
      </w:r>
      <w:proofErr w:type="spellStart"/>
      <w:r w:rsidR="00027D82"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 xml:space="preserve"> prezintă </w:t>
      </w:r>
      <w:r w:rsidR="00C15F54" w:rsidRPr="000508B6">
        <w:rPr>
          <w:rFonts w:ascii="Times New Roman" w:eastAsia="Times New Roman" w:hAnsi="Times New Roman" w:cs="Times New Roman"/>
          <w:bCs/>
          <w:lang w:val="ro-MD"/>
        </w:rPr>
        <w:t>Băncii Naționale a Moldovei</w:t>
      </w:r>
      <w:r w:rsidRPr="000508B6">
        <w:rPr>
          <w:rFonts w:ascii="Times New Roman" w:eastAsia="Times New Roman" w:hAnsi="Times New Roman" w:cs="Times New Roman"/>
          <w:bCs/>
          <w:lang w:val="ro-MD"/>
        </w:rPr>
        <w:t>, la cererea acesteia</w:t>
      </w:r>
      <w:r w:rsidR="00085C59" w:rsidRPr="000508B6">
        <w:rPr>
          <w:rFonts w:ascii="Times New Roman" w:eastAsia="Times New Roman" w:hAnsi="Times New Roman" w:cs="Times New Roman"/>
          <w:bCs/>
          <w:lang w:val="ro-MD"/>
        </w:rPr>
        <w:t>:</w:t>
      </w:r>
    </w:p>
    <w:p w14:paraId="0436C184" w14:textId="1F6DD6FD" w:rsidR="00085C59" w:rsidRPr="000508B6" w:rsidRDefault="00085C59" w:rsidP="003B22E4">
      <w:pPr>
        <w:pStyle w:val="Listparagraf"/>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w:t>
      </w:r>
      <w:r w:rsidR="00955B90" w:rsidRPr="000508B6">
        <w:rPr>
          <w:rFonts w:ascii="Times New Roman" w:eastAsia="Times New Roman" w:hAnsi="Times New Roman" w:cs="Times New Roman"/>
          <w:bCs/>
          <w:lang w:val="ro-MD"/>
        </w:rPr>
        <w:t xml:space="preserve"> </w:t>
      </w:r>
      <w:proofErr w:type="spellStart"/>
      <w:r w:rsidR="00955B90" w:rsidRPr="000508B6">
        <w:rPr>
          <w:rFonts w:ascii="Times New Roman" w:eastAsia="Times New Roman" w:hAnsi="Times New Roman" w:cs="Times New Roman"/>
          <w:bCs/>
          <w:lang w:val="ro-MD"/>
        </w:rPr>
        <w:t>informaţiil</w:t>
      </w:r>
      <w:r w:rsidR="00CE1DB3" w:rsidRPr="000508B6">
        <w:rPr>
          <w:rFonts w:ascii="Times New Roman" w:eastAsia="Times New Roman" w:hAnsi="Times New Roman" w:cs="Times New Roman"/>
          <w:bCs/>
          <w:lang w:val="ro-MD"/>
        </w:rPr>
        <w:t>e</w:t>
      </w:r>
      <w:proofErr w:type="spellEnd"/>
      <w:r w:rsidR="00955B90" w:rsidRPr="000508B6">
        <w:rPr>
          <w:rFonts w:ascii="Times New Roman" w:eastAsia="Times New Roman" w:hAnsi="Times New Roman" w:cs="Times New Roman"/>
          <w:bCs/>
          <w:lang w:val="ro-MD"/>
        </w:rPr>
        <w:t xml:space="preserve"> aferent</w:t>
      </w:r>
      <w:r w:rsidR="00CE1DB3" w:rsidRPr="000508B6">
        <w:rPr>
          <w:rFonts w:ascii="Times New Roman" w:eastAsia="Times New Roman" w:hAnsi="Times New Roman" w:cs="Times New Roman"/>
          <w:bCs/>
          <w:lang w:val="ro-MD"/>
        </w:rPr>
        <w:t>e</w:t>
      </w:r>
      <w:r w:rsidR="00955B90" w:rsidRPr="000508B6">
        <w:rPr>
          <w:rFonts w:ascii="Times New Roman" w:eastAsia="Times New Roman" w:hAnsi="Times New Roman" w:cs="Times New Roman"/>
          <w:bCs/>
          <w:lang w:val="ro-MD"/>
        </w:rPr>
        <w:t xml:space="preserve"> </w:t>
      </w:r>
      <w:proofErr w:type="spellStart"/>
      <w:r w:rsidR="00955B90" w:rsidRPr="000508B6">
        <w:rPr>
          <w:rFonts w:ascii="Times New Roman" w:eastAsia="Times New Roman" w:hAnsi="Times New Roman" w:cs="Times New Roman"/>
          <w:bCs/>
          <w:lang w:val="ro-MD"/>
        </w:rPr>
        <w:t>activităţii</w:t>
      </w:r>
      <w:proofErr w:type="spellEnd"/>
      <w:r w:rsidR="00955B90" w:rsidRPr="000508B6">
        <w:rPr>
          <w:rFonts w:ascii="Times New Roman" w:eastAsia="Times New Roman" w:hAnsi="Times New Roman" w:cs="Times New Roman"/>
          <w:bCs/>
          <w:lang w:val="ro-MD"/>
        </w:rPr>
        <w:t xml:space="preserve"> sale, inclusiv </w:t>
      </w:r>
      <w:proofErr w:type="spellStart"/>
      <w:r w:rsidR="00955B90" w:rsidRPr="000508B6">
        <w:rPr>
          <w:rFonts w:ascii="Times New Roman" w:eastAsia="Times New Roman" w:hAnsi="Times New Roman" w:cs="Times New Roman"/>
          <w:bCs/>
          <w:lang w:val="ro-MD"/>
        </w:rPr>
        <w:t>situaţiile</w:t>
      </w:r>
      <w:proofErr w:type="spellEnd"/>
      <w:r w:rsidR="00955B90" w:rsidRPr="000508B6">
        <w:rPr>
          <w:rFonts w:ascii="Times New Roman" w:eastAsia="Times New Roman" w:hAnsi="Times New Roman" w:cs="Times New Roman"/>
          <w:bCs/>
          <w:lang w:val="ro-MD"/>
        </w:rPr>
        <w:t xml:space="preserve"> financiare anuale, </w:t>
      </w:r>
      <w:proofErr w:type="spellStart"/>
      <w:r w:rsidR="00955B90" w:rsidRPr="000508B6">
        <w:rPr>
          <w:rFonts w:ascii="Times New Roman" w:eastAsia="Times New Roman" w:hAnsi="Times New Roman" w:cs="Times New Roman"/>
          <w:bCs/>
          <w:lang w:val="ro-MD"/>
        </w:rPr>
        <w:t>declaraţiile</w:t>
      </w:r>
      <w:proofErr w:type="spellEnd"/>
      <w:r w:rsidR="00955B90" w:rsidRPr="000508B6">
        <w:rPr>
          <w:rFonts w:ascii="Times New Roman" w:eastAsia="Times New Roman" w:hAnsi="Times New Roman" w:cs="Times New Roman"/>
          <w:bCs/>
          <w:lang w:val="ro-MD"/>
        </w:rPr>
        <w:t xml:space="preserve"> de venituri</w:t>
      </w:r>
      <w:r w:rsidRPr="000508B6">
        <w:rPr>
          <w:rFonts w:ascii="Times New Roman" w:eastAsia="Times New Roman" w:hAnsi="Times New Roman" w:cs="Times New Roman"/>
          <w:bCs/>
          <w:lang w:val="ro-MD"/>
        </w:rPr>
        <w:t>;</w:t>
      </w:r>
    </w:p>
    <w:p w14:paraId="3A6ECB92" w14:textId="0C5027B6" w:rsidR="00085C59" w:rsidRPr="000508B6" w:rsidRDefault="00085C59" w:rsidP="003B22E4">
      <w:pPr>
        <w:pStyle w:val="Listparagraf"/>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w:t>
      </w:r>
      <w:r w:rsidR="00955B90" w:rsidRPr="000508B6">
        <w:rPr>
          <w:rFonts w:ascii="Times New Roman" w:eastAsia="Times New Roman" w:hAnsi="Times New Roman" w:cs="Times New Roman"/>
          <w:bCs/>
          <w:lang w:val="ro-MD"/>
        </w:rPr>
        <w:t xml:space="preserve"> altă </w:t>
      </w:r>
      <w:proofErr w:type="spellStart"/>
      <w:r w:rsidR="00955B90" w:rsidRPr="000508B6">
        <w:rPr>
          <w:rFonts w:ascii="Times New Roman" w:eastAsia="Times New Roman" w:hAnsi="Times New Roman" w:cs="Times New Roman"/>
          <w:bCs/>
          <w:lang w:val="ro-MD"/>
        </w:rPr>
        <w:t>informaţie</w:t>
      </w:r>
      <w:proofErr w:type="spellEnd"/>
      <w:r w:rsidR="00955B90" w:rsidRPr="000508B6">
        <w:rPr>
          <w:rFonts w:ascii="Times New Roman" w:eastAsia="Times New Roman" w:hAnsi="Times New Roman" w:cs="Times New Roman"/>
          <w:bCs/>
          <w:lang w:val="ro-MD"/>
        </w:rPr>
        <w:t xml:space="preserve"> necesară efectuării investigațiilor sau verificării corespunderii criteriilor de la art. </w:t>
      </w:r>
      <w:r w:rsidR="00A05D64" w:rsidRPr="000508B6">
        <w:rPr>
          <w:rFonts w:ascii="Times New Roman" w:eastAsia="Times New Roman" w:hAnsi="Times New Roman" w:cs="Times New Roman"/>
          <w:bCs/>
          <w:lang w:val="ro-MD"/>
        </w:rPr>
        <w:t xml:space="preserve">13 </w:t>
      </w:r>
      <w:r w:rsidR="00955B90" w:rsidRPr="000508B6">
        <w:rPr>
          <w:rFonts w:ascii="Times New Roman" w:eastAsia="Times New Roman" w:hAnsi="Times New Roman" w:cs="Times New Roman"/>
          <w:bCs/>
          <w:lang w:val="ro-MD"/>
        </w:rPr>
        <w:t xml:space="preserve">alin. (1), în modul </w:t>
      </w:r>
      <w:proofErr w:type="spellStart"/>
      <w:r w:rsidR="00955B90" w:rsidRPr="000508B6">
        <w:rPr>
          <w:rFonts w:ascii="Times New Roman" w:eastAsia="Times New Roman" w:hAnsi="Times New Roman" w:cs="Times New Roman"/>
          <w:bCs/>
          <w:lang w:val="ro-MD"/>
        </w:rPr>
        <w:t>şi</w:t>
      </w:r>
      <w:proofErr w:type="spellEnd"/>
      <w:r w:rsidR="00955B90" w:rsidRPr="000508B6">
        <w:rPr>
          <w:rFonts w:ascii="Times New Roman" w:eastAsia="Times New Roman" w:hAnsi="Times New Roman" w:cs="Times New Roman"/>
          <w:bCs/>
          <w:lang w:val="ro-MD"/>
        </w:rPr>
        <w:t xml:space="preserve"> în </w:t>
      </w:r>
      <w:proofErr w:type="spellStart"/>
      <w:r w:rsidR="00955B90" w:rsidRPr="000508B6">
        <w:rPr>
          <w:rFonts w:ascii="Times New Roman" w:eastAsia="Times New Roman" w:hAnsi="Times New Roman" w:cs="Times New Roman"/>
          <w:bCs/>
          <w:lang w:val="ro-MD"/>
        </w:rPr>
        <w:t>condiţiile</w:t>
      </w:r>
      <w:proofErr w:type="spellEnd"/>
      <w:r w:rsidR="00955B90" w:rsidRPr="000508B6">
        <w:rPr>
          <w:rFonts w:ascii="Times New Roman" w:eastAsia="Times New Roman" w:hAnsi="Times New Roman" w:cs="Times New Roman"/>
          <w:bCs/>
          <w:lang w:val="ro-MD"/>
        </w:rPr>
        <w:t xml:space="preserve"> prevăzute de actele normative ale </w:t>
      </w:r>
      <w:r w:rsidR="009826C5" w:rsidRPr="000508B6">
        <w:rPr>
          <w:rFonts w:ascii="Times New Roman" w:eastAsia="Times New Roman" w:hAnsi="Times New Roman" w:cs="Times New Roman"/>
          <w:bCs/>
          <w:lang w:val="ro-MD"/>
        </w:rPr>
        <w:t>Băncii Naționale a Moldovei</w:t>
      </w:r>
      <w:r w:rsidR="00955B90" w:rsidRPr="000508B6">
        <w:rPr>
          <w:rFonts w:ascii="Times New Roman" w:eastAsia="Times New Roman" w:hAnsi="Times New Roman" w:cs="Times New Roman"/>
          <w:bCs/>
          <w:lang w:val="ro-MD"/>
        </w:rPr>
        <w:t xml:space="preserve">. </w:t>
      </w:r>
    </w:p>
    <w:p w14:paraId="1189B20D" w14:textId="77777777" w:rsidR="00085C59" w:rsidRPr="000508B6" w:rsidRDefault="00955B90" w:rsidP="00CE1DB3">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Orice deținător direct sau indirect, inclusiv beneficiarul efectiv al unei dețineri în capitalul social al </w:t>
      </w:r>
      <w:r w:rsidR="00027D82" w:rsidRPr="000508B6">
        <w:rPr>
          <w:rFonts w:ascii="Times New Roman" w:eastAsia="Times New Roman" w:hAnsi="Times New Roman" w:cs="Times New Roman"/>
          <w:bCs/>
          <w:lang w:val="ro-MD"/>
        </w:rPr>
        <w:t>unui</w:t>
      </w:r>
      <w:r w:rsidRPr="000508B6" w:rsidDel="00027D82">
        <w:rPr>
          <w:rFonts w:ascii="Times New Roman" w:eastAsia="Times New Roman" w:hAnsi="Times New Roman" w:cs="Times New Roman"/>
          <w:bCs/>
          <w:lang w:val="ro-MD"/>
        </w:rPr>
        <w:t xml:space="preserve"> </w:t>
      </w:r>
      <w:r w:rsidR="00027D82" w:rsidRPr="000508B6">
        <w:rPr>
          <w:rFonts w:ascii="Times New Roman" w:eastAsia="Times New Roman" w:hAnsi="Times New Roman" w:cs="Times New Roman"/>
          <w:bCs/>
          <w:lang w:val="ro-MD"/>
        </w:rPr>
        <w:t xml:space="preserve">asigurător sau </w:t>
      </w:r>
      <w:proofErr w:type="spellStart"/>
      <w:r w:rsidR="00027D82"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 xml:space="preserve"> prezintă </w:t>
      </w:r>
      <w:r w:rsidR="00027D82" w:rsidRPr="000508B6">
        <w:rPr>
          <w:rFonts w:ascii="Times New Roman" w:eastAsia="Times New Roman" w:hAnsi="Times New Roman" w:cs="Times New Roman"/>
          <w:bCs/>
          <w:lang w:val="ro-MD"/>
        </w:rPr>
        <w:t xml:space="preserve">acestui asigurător sau </w:t>
      </w:r>
      <w:proofErr w:type="spellStart"/>
      <w:r w:rsidR="00027D82"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 xml:space="preserve">, la solicitarea </w:t>
      </w:r>
      <w:r w:rsidR="00027D82" w:rsidRPr="000508B6">
        <w:rPr>
          <w:rFonts w:ascii="Times New Roman" w:eastAsia="Times New Roman" w:hAnsi="Times New Roman" w:cs="Times New Roman"/>
          <w:bCs/>
          <w:lang w:val="ro-MD"/>
        </w:rPr>
        <w:t>acestuia</w:t>
      </w:r>
      <w:r w:rsidR="00085C59" w:rsidRPr="000508B6">
        <w:rPr>
          <w:rFonts w:ascii="Times New Roman" w:eastAsia="Times New Roman" w:hAnsi="Times New Roman" w:cs="Times New Roman"/>
          <w:bCs/>
          <w:lang w:val="ro-MD"/>
        </w:rPr>
        <w:t>:</w:t>
      </w:r>
    </w:p>
    <w:p w14:paraId="0AF1DB69" w14:textId="7A1024D1" w:rsidR="00085C59" w:rsidRPr="000508B6" w:rsidRDefault="00085C59" w:rsidP="003B22E4">
      <w:pPr>
        <w:pStyle w:val="Listparagraf"/>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w:t>
      </w:r>
      <w:r w:rsidR="00955B90" w:rsidRPr="000508B6">
        <w:rPr>
          <w:rFonts w:ascii="Times New Roman" w:eastAsia="Times New Roman" w:hAnsi="Times New Roman" w:cs="Times New Roman"/>
          <w:bCs/>
          <w:lang w:val="ro-MD"/>
        </w:rPr>
        <w:t xml:space="preserve"> informația cu privire la identitatea sa și a persoanelor sale afiliate</w:t>
      </w:r>
      <w:r w:rsidRPr="000508B6">
        <w:rPr>
          <w:rFonts w:ascii="Times New Roman" w:eastAsia="Times New Roman" w:hAnsi="Times New Roman" w:cs="Times New Roman"/>
          <w:bCs/>
          <w:lang w:val="ro-MD"/>
        </w:rPr>
        <w:t>;</w:t>
      </w:r>
    </w:p>
    <w:p w14:paraId="2AEF9AFF" w14:textId="58614C80" w:rsidR="00955B90" w:rsidRPr="000508B6" w:rsidRDefault="00085C59" w:rsidP="003B22E4">
      <w:pPr>
        <w:pStyle w:val="Listparagraf"/>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w:t>
      </w:r>
      <w:r w:rsidR="00955B90" w:rsidRPr="000508B6">
        <w:rPr>
          <w:rFonts w:ascii="Times New Roman" w:eastAsia="Times New Roman" w:hAnsi="Times New Roman" w:cs="Times New Roman"/>
          <w:bCs/>
          <w:lang w:val="ro-MD"/>
        </w:rPr>
        <w:t xml:space="preserve">informația cu privire la persoanele cu care acest deținător acționează concertat față de </w:t>
      </w:r>
      <w:r w:rsidR="00027D82" w:rsidRPr="000508B6">
        <w:rPr>
          <w:rFonts w:ascii="Times New Roman" w:eastAsia="Times New Roman" w:hAnsi="Times New Roman" w:cs="Times New Roman"/>
          <w:bCs/>
          <w:lang w:val="ro-MD"/>
        </w:rPr>
        <w:t xml:space="preserve">asigurător sau </w:t>
      </w:r>
      <w:proofErr w:type="spellStart"/>
      <w:r w:rsidR="00027D82" w:rsidRPr="000508B6">
        <w:rPr>
          <w:rFonts w:ascii="Times New Roman" w:eastAsia="Times New Roman" w:hAnsi="Times New Roman" w:cs="Times New Roman"/>
          <w:bCs/>
          <w:lang w:val="ro-MD"/>
        </w:rPr>
        <w:t>reasigurător</w:t>
      </w:r>
      <w:proofErr w:type="spellEnd"/>
      <w:r w:rsidR="00955B90" w:rsidRPr="000508B6">
        <w:rPr>
          <w:rFonts w:ascii="Times New Roman" w:eastAsia="Times New Roman" w:hAnsi="Times New Roman" w:cs="Times New Roman"/>
          <w:bCs/>
          <w:lang w:val="ro-MD"/>
        </w:rPr>
        <w:t>.</w:t>
      </w:r>
    </w:p>
    <w:p w14:paraId="20F26DB2" w14:textId="676446CA" w:rsidR="009826C5" w:rsidRPr="000508B6" w:rsidRDefault="00F16BC7"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Orice deținător, direct sau indirect, inclusiv beneficiar efectiv, este obligat să notifice Banca Națională a Moldovei și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despre efectuarea achiziției/dobândirii pentru care a obținut aprobarea prealabilă în temeiul art. </w:t>
      </w:r>
      <w:r w:rsidR="008B79F6" w:rsidRPr="000508B6">
        <w:rPr>
          <w:rFonts w:ascii="Times New Roman" w:eastAsia="Times New Roman" w:hAnsi="Times New Roman" w:cs="Times New Roman"/>
          <w:bCs/>
          <w:lang w:val="ro-MD"/>
        </w:rPr>
        <w:t xml:space="preserve">12 </w:t>
      </w:r>
      <w:r w:rsidRPr="000508B6">
        <w:rPr>
          <w:rFonts w:ascii="Times New Roman" w:eastAsia="Times New Roman" w:hAnsi="Times New Roman" w:cs="Times New Roman"/>
          <w:bCs/>
          <w:lang w:val="ro-MD"/>
        </w:rPr>
        <w:t>alin. (</w:t>
      </w:r>
      <w:r w:rsidR="008B79F6" w:rsidRPr="000508B6">
        <w:rPr>
          <w:rFonts w:ascii="Times New Roman" w:eastAsia="Times New Roman" w:hAnsi="Times New Roman" w:cs="Times New Roman"/>
          <w:bCs/>
          <w:lang w:val="ro-MD"/>
        </w:rPr>
        <w:t>1</w:t>
      </w:r>
      <w:r w:rsidRPr="000508B6">
        <w:rPr>
          <w:rFonts w:ascii="Times New Roman" w:eastAsia="Times New Roman" w:hAnsi="Times New Roman" w:cs="Times New Roman"/>
          <w:bCs/>
          <w:lang w:val="ro-MD"/>
        </w:rPr>
        <w:t>), în termen de 10 zile de la data efectuării acesteia.</w:t>
      </w:r>
    </w:p>
    <w:p w14:paraId="431BDEF8" w14:textId="77777777" w:rsidR="00A05D64" w:rsidRPr="000508B6" w:rsidRDefault="003919E2"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 xml:space="preserve">Banca </w:t>
      </w:r>
      <w:proofErr w:type="spellStart"/>
      <w:r w:rsidRPr="000508B6">
        <w:rPr>
          <w:rFonts w:ascii="Times New Roman" w:eastAsia="Times New Roman" w:hAnsi="Times New Roman" w:cs="Times New Roman"/>
          <w:bCs/>
          <w:lang w:val="ro-MD"/>
        </w:rPr>
        <w:t>Naţională</w:t>
      </w:r>
      <w:proofErr w:type="spellEnd"/>
      <w:r w:rsidRPr="000508B6">
        <w:rPr>
          <w:rFonts w:ascii="Times New Roman" w:eastAsia="Times New Roman" w:hAnsi="Times New Roman" w:cs="Times New Roman"/>
          <w:bCs/>
          <w:lang w:val="ro-MD"/>
        </w:rPr>
        <w:t xml:space="preserve"> a Moldovei trebuie să fie informată despre orice acord, indiferent de forma în care a fost încheiat, care are drept obiect sau efect:</w:t>
      </w:r>
    </w:p>
    <w:p w14:paraId="68324B2B" w14:textId="77777777" w:rsidR="003B22E4" w:rsidRPr="000508B6" w:rsidRDefault="00A05D64" w:rsidP="003B22E4">
      <w:pPr>
        <w:pStyle w:val="Listparagraf"/>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w:t>
      </w:r>
      <w:r w:rsidR="003919E2" w:rsidRPr="000508B6">
        <w:rPr>
          <w:rFonts w:ascii="Times New Roman" w:eastAsia="Times New Roman" w:hAnsi="Times New Roman" w:cs="Times New Roman"/>
          <w:bCs/>
          <w:lang w:val="ro-MD"/>
        </w:rPr>
        <w:t xml:space="preserve"> exercitarea concertată a dreptului de vot în cadrul adunărilor generale ale </w:t>
      </w:r>
      <w:proofErr w:type="spellStart"/>
      <w:r w:rsidR="003919E2" w:rsidRPr="000508B6">
        <w:rPr>
          <w:rFonts w:ascii="Times New Roman" w:eastAsia="Times New Roman" w:hAnsi="Times New Roman" w:cs="Times New Roman"/>
          <w:bCs/>
          <w:lang w:val="ro-MD"/>
        </w:rPr>
        <w:t>acţionarilor</w:t>
      </w:r>
      <w:proofErr w:type="spellEnd"/>
      <w:r w:rsidR="003919E2"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3919E2" w:rsidRPr="000508B6">
        <w:rPr>
          <w:rFonts w:ascii="Times New Roman" w:eastAsia="Times New Roman" w:hAnsi="Times New Roman" w:cs="Times New Roman"/>
          <w:bCs/>
          <w:lang w:val="ro-MD"/>
        </w:rPr>
        <w:t xml:space="preserve"> sau în cadrul adunărilor generale ale persoanelor care exercită controlul asupra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3919E2" w:rsidRPr="000508B6">
        <w:rPr>
          <w:rFonts w:ascii="Times New Roman" w:eastAsia="Times New Roman" w:hAnsi="Times New Roman" w:cs="Times New Roman"/>
          <w:bCs/>
          <w:lang w:val="ro-MD"/>
        </w:rPr>
        <w:t xml:space="preserve">; </w:t>
      </w:r>
    </w:p>
    <w:p w14:paraId="7C8AA8B6" w14:textId="5F4D1153" w:rsidR="00A05D64" w:rsidRPr="000508B6" w:rsidRDefault="00A05D64" w:rsidP="003B22E4">
      <w:pPr>
        <w:pStyle w:val="Listparagraf"/>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w:t>
      </w:r>
      <w:r w:rsidR="00BA15B0" w:rsidRPr="000508B6">
        <w:rPr>
          <w:rFonts w:ascii="Times New Roman" w:eastAsia="Times New Roman" w:hAnsi="Times New Roman" w:cs="Times New Roman"/>
          <w:bCs/>
          <w:lang w:val="ro-MD"/>
        </w:rPr>
        <w:t xml:space="preserve"> </w:t>
      </w:r>
      <w:r w:rsidR="003919E2" w:rsidRPr="000508B6">
        <w:rPr>
          <w:rFonts w:ascii="Times New Roman" w:eastAsia="Times New Roman" w:hAnsi="Times New Roman" w:cs="Times New Roman"/>
          <w:bCs/>
          <w:lang w:val="ro-MD"/>
        </w:rPr>
        <w:t xml:space="preserve">activitatea concertată în cadrul administrării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3919E2" w:rsidRPr="000508B6">
        <w:rPr>
          <w:rFonts w:ascii="Times New Roman" w:eastAsia="Times New Roman" w:hAnsi="Times New Roman" w:cs="Times New Roman"/>
          <w:bCs/>
          <w:lang w:val="ro-MD"/>
        </w:rPr>
        <w:t xml:space="preserve"> sau a persoanelor care exercită controlul asupra acesteia; </w:t>
      </w:r>
    </w:p>
    <w:p w14:paraId="5310E639" w14:textId="7CA7CEC6" w:rsidR="00A05D64" w:rsidRPr="000508B6" w:rsidRDefault="00A05D64" w:rsidP="003B22E4">
      <w:pPr>
        <w:pStyle w:val="Listparagraf"/>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lastRenderedPageBreak/>
        <w:t xml:space="preserve">c) </w:t>
      </w:r>
      <w:r w:rsidR="003919E2" w:rsidRPr="000508B6">
        <w:rPr>
          <w:rFonts w:ascii="Times New Roman" w:eastAsia="Times New Roman" w:hAnsi="Times New Roman" w:cs="Times New Roman"/>
          <w:bCs/>
          <w:lang w:val="ro-MD"/>
        </w:rPr>
        <w:t xml:space="preserve">exercitarea dreptului de a desemna majoritatea membrilor </w:t>
      </w:r>
      <w:r w:rsidR="0014791A" w:rsidRPr="000508B6">
        <w:rPr>
          <w:rFonts w:ascii="Times New Roman" w:eastAsia="Times New Roman" w:hAnsi="Times New Roman" w:cs="Times New Roman"/>
          <w:bCs/>
          <w:lang w:val="ro-MD"/>
        </w:rPr>
        <w:t xml:space="preserve">organelor </w:t>
      </w:r>
      <w:r w:rsidR="003919E2" w:rsidRPr="000508B6">
        <w:rPr>
          <w:rFonts w:ascii="Times New Roman" w:eastAsia="Times New Roman" w:hAnsi="Times New Roman" w:cs="Times New Roman"/>
          <w:bCs/>
          <w:lang w:val="ro-MD"/>
        </w:rPr>
        <w:t>de conducere al</w:t>
      </w:r>
      <w:r w:rsidR="005D5B96" w:rsidRPr="000508B6">
        <w:rPr>
          <w:rFonts w:ascii="Times New Roman" w:eastAsia="Times New Roman" w:hAnsi="Times New Roman" w:cs="Times New Roman"/>
          <w:bCs/>
          <w:lang w:val="ro-MD"/>
        </w:rPr>
        <w:t>e</w:t>
      </w:r>
      <w:r w:rsidR="003919E2"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3919E2" w:rsidRPr="000508B6">
        <w:rPr>
          <w:rFonts w:ascii="Times New Roman" w:eastAsia="Times New Roman" w:hAnsi="Times New Roman" w:cs="Times New Roman"/>
          <w:bCs/>
          <w:lang w:val="ro-MD"/>
        </w:rPr>
        <w:t xml:space="preserve"> sau al</w:t>
      </w:r>
      <w:r w:rsidR="005D5B96" w:rsidRPr="000508B6">
        <w:rPr>
          <w:rFonts w:ascii="Times New Roman" w:eastAsia="Times New Roman" w:hAnsi="Times New Roman" w:cs="Times New Roman"/>
          <w:bCs/>
          <w:lang w:val="ro-MD"/>
        </w:rPr>
        <w:t>e</w:t>
      </w:r>
      <w:r w:rsidR="003919E2" w:rsidRPr="000508B6">
        <w:rPr>
          <w:rFonts w:ascii="Times New Roman" w:eastAsia="Times New Roman" w:hAnsi="Times New Roman" w:cs="Times New Roman"/>
          <w:bCs/>
          <w:lang w:val="ro-MD"/>
        </w:rPr>
        <w:t xml:space="preserve"> persoanelor care exercită controlul asupra acesteia. </w:t>
      </w:r>
    </w:p>
    <w:p w14:paraId="77802754" w14:textId="62FAFFF7" w:rsidR="003919E2" w:rsidRPr="000508B6" w:rsidRDefault="00A05D64" w:rsidP="00A05D64">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Obligația prevăzută la alin. (</w:t>
      </w:r>
      <w:r w:rsidR="00031FBD" w:rsidRPr="000508B6">
        <w:rPr>
          <w:rFonts w:ascii="Times New Roman" w:eastAsia="Times New Roman" w:hAnsi="Times New Roman" w:cs="Times New Roman"/>
          <w:bCs/>
          <w:lang w:val="ro-MD"/>
        </w:rPr>
        <w:t>7</w:t>
      </w:r>
      <w:r w:rsidRPr="000508B6">
        <w:rPr>
          <w:rFonts w:ascii="Times New Roman" w:eastAsia="Times New Roman" w:hAnsi="Times New Roman" w:cs="Times New Roman"/>
          <w:bCs/>
          <w:lang w:val="ro-MD"/>
        </w:rPr>
        <w:t>)</w:t>
      </w:r>
      <w:r w:rsidR="003919E2" w:rsidRPr="000508B6">
        <w:rPr>
          <w:rFonts w:ascii="Times New Roman" w:eastAsia="Times New Roman" w:hAnsi="Times New Roman" w:cs="Times New Roman"/>
          <w:bCs/>
          <w:lang w:val="ro-MD"/>
        </w:rPr>
        <w:t xml:space="preserve"> revine </w:t>
      </w:r>
      <w:proofErr w:type="spellStart"/>
      <w:r w:rsidR="003919E2" w:rsidRPr="000508B6">
        <w:rPr>
          <w:rFonts w:ascii="Times New Roman" w:eastAsia="Times New Roman" w:hAnsi="Times New Roman" w:cs="Times New Roman"/>
          <w:bCs/>
          <w:lang w:val="ro-MD"/>
        </w:rPr>
        <w:t>participanţilor</w:t>
      </w:r>
      <w:proofErr w:type="spellEnd"/>
      <w:r w:rsidR="003919E2" w:rsidRPr="000508B6">
        <w:rPr>
          <w:rFonts w:ascii="Times New Roman" w:eastAsia="Times New Roman" w:hAnsi="Times New Roman" w:cs="Times New Roman"/>
          <w:bCs/>
          <w:lang w:val="ro-MD"/>
        </w:rPr>
        <w:t xml:space="preserve"> la acord </w:t>
      </w:r>
      <w:proofErr w:type="spellStart"/>
      <w:r w:rsidR="003919E2" w:rsidRPr="000508B6">
        <w:rPr>
          <w:rFonts w:ascii="Times New Roman" w:eastAsia="Times New Roman" w:hAnsi="Times New Roman" w:cs="Times New Roman"/>
          <w:bCs/>
          <w:lang w:val="ro-MD"/>
        </w:rPr>
        <w:t>şi</w:t>
      </w:r>
      <w:proofErr w:type="spellEnd"/>
      <w:r w:rsidR="003919E2" w:rsidRPr="000508B6">
        <w:rPr>
          <w:rFonts w:ascii="Times New Roman" w:eastAsia="Times New Roman" w:hAnsi="Times New Roman" w:cs="Times New Roman"/>
          <w:bCs/>
          <w:lang w:val="ro-MD"/>
        </w:rPr>
        <w:t xml:space="preserve"> </w:t>
      </w:r>
      <w:r w:rsidR="0014791A" w:rsidRPr="000508B6">
        <w:rPr>
          <w:rFonts w:ascii="Times New Roman" w:eastAsia="Times New Roman" w:hAnsi="Times New Roman" w:cs="Times New Roman"/>
          <w:bCs/>
          <w:lang w:val="ro-MD"/>
        </w:rPr>
        <w:t xml:space="preserve">organelor </w:t>
      </w:r>
      <w:r w:rsidR="003919E2" w:rsidRPr="000508B6">
        <w:rPr>
          <w:rFonts w:ascii="Times New Roman" w:eastAsia="Times New Roman" w:hAnsi="Times New Roman" w:cs="Times New Roman"/>
          <w:bCs/>
          <w:lang w:val="ro-MD"/>
        </w:rPr>
        <w:t>de conducere al</w:t>
      </w:r>
      <w:r w:rsidR="005D5B96" w:rsidRPr="000508B6">
        <w:rPr>
          <w:rFonts w:ascii="Times New Roman" w:eastAsia="Times New Roman" w:hAnsi="Times New Roman" w:cs="Times New Roman"/>
          <w:bCs/>
          <w:lang w:val="ro-MD"/>
        </w:rPr>
        <w:t>e</w:t>
      </w:r>
      <w:r w:rsidR="003919E2"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3919E2" w:rsidRPr="000508B6">
        <w:rPr>
          <w:rFonts w:ascii="Times New Roman" w:eastAsia="Times New Roman" w:hAnsi="Times New Roman" w:cs="Times New Roman"/>
          <w:bCs/>
          <w:lang w:val="ro-MD"/>
        </w:rPr>
        <w:t xml:space="preserve"> sau al persoanelor la care acest acord se referă, urmând a fi executată în termen de 5 zile lucrătoare de la semnarea acordului sau, dacă acordul nu este încheiat în formă scrisă, din data la care devin cunoscute </w:t>
      </w:r>
      <w:proofErr w:type="spellStart"/>
      <w:r w:rsidR="003919E2" w:rsidRPr="000508B6">
        <w:rPr>
          <w:rFonts w:ascii="Times New Roman" w:eastAsia="Times New Roman" w:hAnsi="Times New Roman" w:cs="Times New Roman"/>
          <w:bCs/>
          <w:lang w:val="ro-MD"/>
        </w:rPr>
        <w:t>circumstanţele</w:t>
      </w:r>
      <w:proofErr w:type="spellEnd"/>
      <w:r w:rsidR="003919E2" w:rsidRPr="000508B6">
        <w:rPr>
          <w:rFonts w:ascii="Times New Roman" w:eastAsia="Times New Roman" w:hAnsi="Times New Roman" w:cs="Times New Roman"/>
          <w:bCs/>
          <w:lang w:val="ro-MD"/>
        </w:rPr>
        <w:t xml:space="preserve"> care relevă </w:t>
      </w:r>
      <w:proofErr w:type="spellStart"/>
      <w:r w:rsidR="003919E2" w:rsidRPr="000508B6">
        <w:rPr>
          <w:rFonts w:ascii="Times New Roman" w:eastAsia="Times New Roman" w:hAnsi="Times New Roman" w:cs="Times New Roman"/>
          <w:bCs/>
          <w:lang w:val="ro-MD"/>
        </w:rPr>
        <w:t>existenţa</w:t>
      </w:r>
      <w:proofErr w:type="spellEnd"/>
      <w:r w:rsidR="003919E2" w:rsidRPr="000508B6">
        <w:rPr>
          <w:rFonts w:ascii="Times New Roman" w:eastAsia="Times New Roman" w:hAnsi="Times New Roman" w:cs="Times New Roman"/>
          <w:bCs/>
          <w:lang w:val="ro-MD"/>
        </w:rPr>
        <w:t xml:space="preserve"> acestuia. </w:t>
      </w:r>
    </w:p>
    <w:p w14:paraId="7261B287" w14:textId="363F0383" w:rsidR="003919E2" w:rsidRPr="000508B6" w:rsidRDefault="003919E2"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Banca Națională a Moldovei asigură urmărirea respectării în mod permanent a </w:t>
      </w:r>
      <w:proofErr w:type="spellStart"/>
      <w:r w:rsidRPr="000508B6">
        <w:rPr>
          <w:rFonts w:ascii="Times New Roman" w:eastAsia="Times New Roman" w:hAnsi="Times New Roman" w:cs="Times New Roman"/>
          <w:bCs/>
          <w:lang w:val="ro-MD"/>
        </w:rPr>
        <w:t>cerinţelor</w:t>
      </w:r>
      <w:proofErr w:type="spellEnd"/>
      <w:r w:rsidRPr="000508B6">
        <w:rPr>
          <w:rFonts w:ascii="Times New Roman" w:eastAsia="Times New Roman" w:hAnsi="Times New Roman" w:cs="Times New Roman"/>
          <w:bCs/>
          <w:lang w:val="ro-MD"/>
        </w:rPr>
        <w:t xml:space="preserve"> prevăzute la art. 13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poate solicita, în acest sens, de la </w:t>
      </w:r>
      <w:r w:rsidR="006C2D24" w:rsidRPr="000508B6">
        <w:rPr>
          <w:rFonts w:ascii="Times New Roman" w:eastAsia="Times New Roman" w:hAnsi="Times New Roman" w:cs="Times New Roman"/>
          <w:bCs/>
          <w:lang w:val="ro-MD"/>
        </w:rPr>
        <w:t xml:space="preserve">asigurător sau </w:t>
      </w:r>
      <w:proofErr w:type="spellStart"/>
      <w:r w:rsidR="006C2D24" w:rsidRPr="000508B6">
        <w:rPr>
          <w:rFonts w:ascii="Times New Roman" w:eastAsia="Times New Roman" w:hAnsi="Times New Roman" w:cs="Times New Roman"/>
          <w:bCs/>
          <w:lang w:val="ro-MD"/>
        </w:rPr>
        <w:t>reasigurător</w:t>
      </w:r>
      <w:proofErr w:type="spellEnd"/>
      <w:r w:rsidR="006C2D24"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/sau de la orice </w:t>
      </w:r>
      <w:proofErr w:type="spellStart"/>
      <w:r w:rsidRPr="000508B6">
        <w:rPr>
          <w:rFonts w:ascii="Times New Roman" w:eastAsia="Times New Roman" w:hAnsi="Times New Roman" w:cs="Times New Roman"/>
          <w:bCs/>
          <w:lang w:val="ro-MD"/>
        </w:rPr>
        <w:t>deţinător</w:t>
      </w:r>
      <w:proofErr w:type="spellEnd"/>
      <w:r w:rsidRPr="000508B6">
        <w:rPr>
          <w:rFonts w:ascii="Times New Roman" w:eastAsia="Times New Roman" w:hAnsi="Times New Roman" w:cs="Times New Roman"/>
          <w:bCs/>
          <w:lang w:val="ro-MD"/>
        </w:rPr>
        <w:t xml:space="preserve">, direct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/sau indirect, inclusiv beneficiarul efectiv de participație calificată într-</w:t>
      </w:r>
      <w:r w:rsidR="006C2D24" w:rsidRPr="000508B6">
        <w:rPr>
          <w:rFonts w:ascii="Times New Roman" w:eastAsia="Times New Roman" w:hAnsi="Times New Roman" w:cs="Times New Roman"/>
          <w:bCs/>
          <w:lang w:val="ro-MD"/>
        </w:rPr>
        <w:t xml:space="preserve">un asigurător sau </w:t>
      </w:r>
      <w:proofErr w:type="spellStart"/>
      <w:r w:rsidR="006C2D24"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 xml:space="preserve">, orice </w:t>
      </w:r>
      <w:proofErr w:type="spellStart"/>
      <w:r w:rsidRPr="000508B6">
        <w:rPr>
          <w:rFonts w:ascii="Times New Roman" w:eastAsia="Times New Roman" w:hAnsi="Times New Roman" w:cs="Times New Roman"/>
          <w:bCs/>
          <w:lang w:val="ro-MD"/>
        </w:rPr>
        <w:t>informaţii</w:t>
      </w:r>
      <w:proofErr w:type="spellEnd"/>
      <w:r w:rsidRPr="000508B6">
        <w:rPr>
          <w:rFonts w:ascii="Times New Roman" w:eastAsia="Times New Roman" w:hAnsi="Times New Roman" w:cs="Times New Roman"/>
          <w:bCs/>
          <w:lang w:val="ro-MD"/>
        </w:rPr>
        <w:t xml:space="preserve"> pe care le consideră necesare, de asemenea poate aplica </w:t>
      </w:r>
      <w:r w:rsidR="00EA5F32" w:rsidRPr="000508B6">
        <w:rPr>
          <w:rFonts w:ascii="Times New Roman" w:eastAsia="Times New Roman" w:hAnsi="Times New Roman" w:cs="Times New Roman"/>
          <w:bCs/>
          <w:lang w:val="ro-MD"/>
        </w:rPr>
        <w:t xml:space="preserve">asigurătorilor sau </w:t>
      </w:r>
      <w:proofErr w:type="spellStart"/>
      <w:r w:rsidR="00EA5F32" w:rsidRPr="000508B6">
        <w:rPr>
          <w:rFonts w:ascii="Times New Roman" w:eastAsia="Times New Roman" w:hAnsi="Times New Roman" w:cs="Times New Roman"/>
          <w:bCs/>
          <w:lang w:val="ro-MD"/>
        </w:rPr>
        <w:t>reasigurătorilor</w:t>
      </w:r>
      <w:proofErr w:type="spellEnd"/>
      <w:r w:rsidRPr="000508B6">
        <w:rPr>
          <w:rFonts w:ascii="Times New Roman" w:eastAsia="Times New Roman" w:hAnsi="Times New Roman" w:cs="Times New Roman"/>
          <w:bCs/>
          <w:lang w:val="ro-MD"/>
        </w:rPr>
        <w:t xml:space="preserve">, </w:t>
      </w:r>
      <w:r w:rsidR="00E14D1C" w:rsidRPr="000508B6">
        <w:rPr>
          <w:rFonts w:ascii="Times New Roman" w:eastAsia="Times New Roman" w:hAnsi="Times New Roman" w:cs="Times New Roman"/>
          <w:bCs/>
          <w:lang w:val="ro-MD"/>
        </w:rPr>
        <w:t xml:space="preserve">persoanelor ce conduc efectiv </w:t>
      </w:r>
      <w:r w:rsidRPr="000508B6">
        <w:rPr>
          <w:rFonts w:ascii="Times New Roman" w:eastAsia="Times New Roman" w:hAnsi="Times New Roman" w:cs="Times New Roman"/>
          <w:bCs/>
          <w:lang w:val="ro-MD"/>
        </w:rPr>
        <w:t>ace</w:t>
      </w:r>
      <w:r w:rsidR="00E14D1C" w:rsidRPr="000508B6">
        <w:rPr>
          <w:rFonts w:ascii="Times New Roman" w:eastAsia="Times New Roman" w:hAnsi="Times New Roman" w:cs="Times New Roman"/>
          <w:bCs/>
          <w:lang w:val="ro-MD"/>
        </w:rPr>
        <w:t>st</w:t>
      </w:r>
      <w:r w:rsidRPr="000508B6">
        <w:rPr>
          <w:rFonts w:ascii="Times New Roman" w:eastAsia="Times New Roman" w:hAnsi="Times New Roman" w:cs="Times New Roman"/>
          <w:bCs/>
          <w:lang w:val="ro-MD"/>
        </w:rPr>
        <w:t xml:space="preserve"> </w:t>
      </w:r>
      <w:r w:rsidR="006C2D24" w:rsidRPr="000508B6">
        <w:rPr>
          <w:rFonts w:ascii="Times New Roman" w:eastAsia="Times New Roman" w:hAnsi="Times New Roman" w:cs="Times New Roman"/>
          <w:bCs/>
          <w:lang w:val="ro-MD"/>
        </w:rPr>
        <w:t xml:space="preserve">asigurător sau </w:t>
      </w:r>
      <w:proofErr w:type="spellStart"/>
      <w:r w:rsidR="006C2D24" w:rsidRPr="000508B6">
        <w:rPr>
          <w:rFonts w:ascii="Times New Roman" w:eastAsia="Times New Roman" w:hAnsi="Times New Roman" w:cs="Times New Roman"/>
          <w:bCs/>
          <w:lang w:val="ro-MD"/>
        </w:rPr>
        <w:t>reasigurător</w:t>
      </w:r>
      <w:proofErr w:type="spellEnd"/>
      <w:r w:rsidR="006C2D24"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deţinătorul</w:t>
      </w:r>
      <w:proofErr w:type="spellEnd"/>
      <w:r w:rsidRPr="000508B6">
        <w:rPr>
          <w:rFonts w:ascii="Times New Roman" w:eastAsia="Times New Roman" w:hAnsi="Times New Roman" w:cs="Times New Roman"/>
          <w:bCs/>
          <w:lang w:val="ro-MD"/>
        </w:rPr>
        <w:t xml:space="preserve">, direct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indirect, inclusiv beneficiarului efectiv, al unei participații calificate într-</w:t>
      </w:r>
      <w:r w:rsidR="006C2D24" w:rsidRPr="000508B6">
        <w:rPr>
          <w:rFonts w:ascii="Times New Roman" w:eastAsia="Times New Roman" w:hAnsi="Times New Roman" w:cs="Times New Roman"/>
          <w:bCs/>
          <w:lang w:val="ro-MD"/>
        </w:rPr>
        <w:t>un</w:t>
      </w:r>
      <w:r w:rsidRPr="000508B6" w:rsidDel="006C2D24">
        <w:rPr>
          <w:rFonts w:ascii="Times New Roman" w:eastAsia="Times New Roman" w:hAnsi="Times New Roman" w:cs="Times New Roman"/>
          <w:bCs/>
          <w:lang w:val="ro-MD"/>
        </w:rPr>
        <w:t xml:space="preserve"> </w:t>
      </w:r>
      <w:r w:rsidR="006C2D24" w:rsidRPr="000508B6">
        <w:rPr>
          <w:rFonts w:ascii="Times New Roman" w:eastAsia="Times New Roman" w:hAnsi="Times New Roman" w:cs="Times New Roman"/>
          <w:bCs/>
          <w:lang w:val="ro-MD"/>
        </w:rPr>
        <w:t xml:space="preserve">asigurător sau </w:t>
      </w:r>
      <w:proofErr w:type="spellStart"/>
      <w:r w:rsidR="006C2D24"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 xml:space="preserve"> măsuri de supraveghere corespunzătoare, conform prezentei legi.</w:t>
      </w:r>
      <w:r w:rsidR="00290926" w:rsidRPr="000508B6">
        <w:rPr>
          <w:rFonts w:ascii="Times New Roman" w:eastAsia="Times New Roman" w:hAnsi="Times New Roman" w:cs="Times New Roman"/>
          <w:bCs/>
          <w:lang w:val="ro-MD"/>
        </w:rPr>
        <w:t xml:space="preserve"> </w:t>
      </w:r>
    </w:p>
    <w:p w14:paraId="10A80CE0" w14:textId="0356618C" w:rsidR="00531724" w:rsidRPr="000508B6" w:rsidRDefault="00531724"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Informațiile prezentate conform acestui articol pot fi verificate de Banca Națională a Moldovei  în condițiile </w:t>
      </w:r>
      <w:r w:rsidR="006F30DF" w:rsidRPr="000508B6">
        <w:rPr>
          <w:rFonts w:ascii="Times New Roman" w:eastAsia="Times New Roman" w:hAnsi="Times New Roman" w:cs="Times New Roman"/>
          <w:bCs/>
          <w:lang w:val="ro-MD"/>
        </w:rPr>
        <w:t xml:space="preserve">art. </w:t>
      </w:r>
      <w:r w:rsidR="000C7914" w:rsidRPr="000508B6">
        <w:rPr>
          <w:rFonts w:ascii="Times New Roman" w:eastAsia="Times New Roman" w:hAnsi="Times New Roman" w:cs="Times New Roman"/>
          <w:bCs/>
          <w:lang w:val="ro-MD"/>
        </w:rPr>
        <w:t>185 alin. (10)-(13)</w:t>
      </w:r>
      <w:r w:rsidRPr="000508B6">
        <w:rPr>
          <w:rFonts w:ascii="Times New Roman" w:eastAsia="Times New Roman" w:hAnsi="Times New Roman" w:cs="Times New Roman"/>
          <w:bCs/>
          <w:lang w:val="ro-MD"/>
        </w:rPr>
        <w:t>.</w:t>
      </w:r>
    </w:p>
    <w:p w14:paraId="34315261" w14:textId="2304B096" w:rsidR="009F3583" w:rsidRPr="000508B6" w:rsidRDefault="009F3583"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Cu cel puțin 7 zile înainte de ținerea adunării generale a acționarilor,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sau persoanele care convoacă adunarea generală a acționarilor prezintă Băncii Naționale a Moldovei lista acționarilor cu drept de participare la adunarea generală a acționarilor.</w:t>
      </w:r>
    </w:p>
    <w:p w14:paraId="6332329F" w14:textId="3EAD148A" w:rsidR="009F3583" w:rsidRPr="000508B6" w:rsidRDefault="009F3583"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 lista </w:t>
      </w:r>
      <w:proofErr w:type="spellStart"/>
      <w:r w:rsidRPr="000508B6">
        <w:rPr>
          <w:rFonts w:ascii="Times New Roman" w:eastAsia="Times New Roman" w:hAnsi="Times New Roman" w:cs="Times New Roman"/>
          <w:bCs/>
          <w:lang w:val="ro-MD"/>
        </w:rPr>
        <w:t>acţionarilor</w:t>
      </w:r>
      <w:proofErr w:type="spellEnd"/>
      <w:r w:rsidRPr="000508B6">
        <w:rPr>
          <w:rFonts w:ascii="Times New Roman" w:eastAsia="Times New Roman" w:hAnsi="Times New Roman" w:cs="Times New Roman"/>
          <w:bCs/>
          <w:lang w:val="ro-MD"/>
        </w:rPr>
        <w:t xml:space="preserve"> cu drept de participare la adunarea generală a </w:t>
      </w:r>
      <w:proofErr w:type="spellStart"/>
      <w:r w:rsidRPr="000508B6">
        <w:rPr>
          <w:rFonts w:ascii="Times New Roman" w:eastAsia="Times New Roman" w:hAnsi="Times New Roman" w:cs="Times New Roman"/>
          <w:bCs/>
          <w:lang w:val="ro-MD"/>
        </w:rPr>
        <w:t>acţionarilor</w:t>
      </w:r>
      <w:proofErr w:type="spellEnd"/>
      <w:r w:rsidRPr="000508B6">
        <w:rPr>
          <w:rFonts w:ascii="Times New Roman" w:eastAsia="Times New Roman" w:hAnsi="Times New Roman" w:cs="Times New Roman"/>
          <w:bCs/>
          <w:lang w:val="ro-MD"/>
        </w:rPr>
        <w:t xml:space="preserve"> pot fi incluse doar persoanele care </w:t>
      </w:r>
      <w:proofErr w:type="spellStart"/>
      <w:r w:rsidRPr="000508B6">
        <w:rPr>
          <w:rFonts w:ascii="Times New Roman" w:eastAsia="Times New Roman" w:hAnsi="Times New Roman" w:cs="Times New Roman"/>
          <w:bCs/>
          <w:lang w:val="ro-MD"/>
        </w:rPr>
        <w:t>deţineau</w:t>
      </w:r>
      <w:proofErr w:type="spellEnd"/>
      <w:r w:rsidRPr="000508B6">
        <w:rPr>
          <w:rFonts w:ascii="Times New Roman" w:eastAsia="Times New Roman" w:hAnsi="Times New Roman" w:cs="Times New Roman"/>
          <w:bCs/>
          <w:lang w:val="ro-MD"/>
        </w:rPr>
        <w:t xml:space="preserve"> calitate</w:t>
      </w:r>
      <w:r w:rsidR="006B4F69" w:rsidRPr="000508B6">
        <w:rPr>
          <w:rFonts w:ascii="Times New Roman" w:eastAsia="Times New Roman" w:hAnsi="Times New Roman" w:cs="Times New Roman"/>
          <w:bCs/>
          <w:lang w:val="ro-MD"/>
        </w:rPr>
        <w:t>a</w:t>
      </w:r>
      <w:r w:rsidRPr="000508B6">
        <w:rPr>
          <w:rFonts w:ascii="Times New Roman" w:eastAsia="Times New Roman" w:hAnsi="Times New Roman" w:cs="Times New Roman"/>
          <w:bCs/>
          <w:lang w:val="ro-MD"/>
        </w:rPr>
        <w:t xml:space="preserve"> de </w:t>
      </w:r>
      <w:proofErr w:type="spellStart"/>
      <w:r w:rsidRPr="000508B6">
        <w:rPr>
          <w:rFonts w:ascii="Times New Roman" w:eastAsia="Times New Roman" w:hAnsi="Times New Roman" w:cs="Times New Roman"/>
          <w:bCs/>
          <w:lang w:val="ro-MD"/>
        </w:rPr>
        <w:t>acţionar</w:t>
      </w:r>
      <w:proofErr w:type="spellEnd"/>
      <w:r w:rsidRPr="000508B6">
        <w:rPr>
          <w:rFonts w:ascii="Times New Roman" w:eastAsia="Times New Roman" w:hAnsi="Times New Roman" w:cs="Times New Roman"/>
          <w:bCs/>
          <w:lang w:val="ro-MD"/>
        </w:rPr>
        <w:t xml:space="preserve"> la data de </w:t>
      </w:r>
      <w:proofErr w:type="spellStart"/>
      <w:r w:rsidRPr="000508B6">
        <w:rPr>
          <w:rFonts w:ascii="Times New Roman" w:eastAsia="Times New Roman" w:hAnsi="Times New Roman" w:cs="Times New Roman"/>
          <w:bCs/>
          <w:lang w:val="ro-MD"/>
        </w:rPr>
        <w:t>referinţă</w:t>
      </w:r>
      <w:proofErr w:type="spellEnd"/>
      <w:r w:rsidRPr="000508B6">
        <w:rPr>
          <w:rFonts w:ascii="Times New Roman" w:eastAsia="Times New Roman" w:hAnsi="Times New Roman" w:cs="Times New Roman"/>
          <w:bCs/>
          <w:lang w:val="ro-MD"/>
        </w:rPr>
        <w:t>, stabilită conform Legii nr.1134/1997.</w:t>
      </w:r>
    </w:p>
    <w:p w14:paraId="17CCE05F" w14:textId="318AF79B" w:rsidR="009F3583" w:rsidRPr="000508B6" w:rsidRDefault="009F3583"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Depozitarul central unic al valorilor mobiliare este obligat, cu cel puțin 3 zile înainte de la data desfășurării adunării generale a acționarilor, să informeze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și persoanele care convoacă adunarea generală a acționarilor despre orice modificări survenite în lista acționarilor care are loc după data întocmirii listei acționarilor, cu respectarea cerințelor stabilite la alin. (</w:t>
      </w:r>
      <w:r w:rsidR="009E2F53" w:rsidRPr="000508B6">
        <w:rPr>
          <w:rFonts w:ascii="Times New Roman" w:eastAsia="Times New Roman" w:hAnsi="Times New Roman" w:cs="Times New Roman"/>
          <w:bCs/>
          <w:lang w:val="ro-MD"/>
        </w:rPr>
        <w:t>16</w:t>
      </w:r>
      <w:r w:rsidRPr="000508B6">
        <w:rPr>
          <w:rFonts w:ascii="Times New Roman" w:eastAsia="Times New Roman" w:hAnsi="Times New Roman" w:cs="Times New Roman"/>
          <w:bCs/>
          <w:lang w:val="ro-MD"/>
        </w:rPr>
        <w:t>).</w:t>
      </w:r>
    </w:p>
    <w:p w14:paraId="467B3B35" w14:textId="3B49B7D8" w:rsidR="009F3583" w:rsidRPr="000508B6" w:rsidRDefault="009F3583"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Datele obținute conform alin. (</w:t>
      </w:r>
      <w:r w:rsidR="009E2F53" w:rsidRPr="000508B6">
        <w:rPr>
          <w:rFonts w:ascii="Times New Roman" w:eastAsia="Times New Roman" w:hAnsi="Times New Roman" w:cs="Times New Roman"/>
          <w:bCs/>
          <w:lang w:val="ro-MD"/>
        </w:rPr>
        <w:t>12</w:t>
      </w:r>
      <w:r w:rsidRPr="000508B6">
        <w:rPr>
          <w:rFonts w:ascii="Times New Roman" w:eastAsia="Times New Roman" w:hAnsi="Times New Roman" w:cs="Times New Roman"/>
          <w:bCs/>
          <w:lang w:val="ro-MD"/>
        </w:rPr>
        <w:t xml:space="preserve">) se prezintă Băncii Naționale a Moldovei de către </w:t>
      </w:r>
      <w:r w:rsidR="006C2D24" w:rsidRPr="000508B6">
        <w:rPr>
          <w:rFonts w:ascii="Times New Roman" w:eastAsia="Times New Roman" w:hAnsi="Times New Roman" w:cs="Times New Roman"/>
          <w:bCs/>
          <w:lang w:val="ro-MD"/>
        </w:rPr>
        <w:t xml:space="preserve">asigurătorul sau </w:t>
      </w:r>
      <w:proofErr w:type="spellStart"/>
      <w:r w:rsidR="006C2D24" w:rsidRPr="000508B6">
        <w:rPr>
          <w:rFonts w:ascii="Times New Roman" w:eastAsia="Times New Roman" w:hAnsi="Times New Roman" w:cs="Times New Roman"/>
          <w:bCs/>
          <w:lang w:val="ro-MD"/>
        </w:rPr>
        <w:t>reasigurătorul</w:t>
      </w:r>
      <w:proofErr w:type="spellEnd"/>
      <w:r w:rsidR="006C2D24"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sau persoanele care convoacă adunarea generală a acționarilor cu cel puțin 2 zile înainte de data desfășurării acesteia.</w:t>
      </w:r>
    </w:p>
    <w:p w14:paraId="04BE7E93" w14:textId="55B3B978" w:rsidR="009F3583" w:rsidRPr="000508B6" w:rsidRDefault="009F3583"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Banca Națională a Moldovei examinează documentele prezentate conform alin. (</w:t>
      </w:r>
      <w:r w:rsidR="00181C4C" w:rsidRPr="000508B6">
        <w:rPr>
          <w:rFonts w:ascii="Times New Roman" w:eastAsia="Times New Roman" w:hAnsi="Times New Roman" w:cs="Times New Roman"/>
          <w:bCs/>
          <w:lang w:val="ro-MD"/>
        </w:rPr>
        <w:t>10</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r w:rsidR="00181C4C" w:rsidRPr="000508B6">
        <w:rPr>
          <w:rFonts w:ascii="Times New Roman" w:eastAsia="Times New Roman" w:hAnsi="Times New Roman" w:cs="Times New Roman"/>
          <w:bCs/>
          <w:lang w:val="ro-MD"/>
        </w:rPr>
        <w:t>13</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transmite Comisiei de înregistrare a participanților la adunarea generală a acționarilor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precum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sau persoanelor care convoacă adunarea generală a acționarilor, opinia scrisă referitoare la lista acționarilor.</w:t>
      </w:r>
    </w:p>
    <w:p w14:paraId="1B0A6E00" w14:textId="7B7FB11A" w:rsidR="009F3583" w:rsidRPr="000508B6" w:rsidRDefault="009F3583"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Lista acționarilor cu drept de participare la adunarea generală a acționarilor nu este valabilă în absența opiniei scrise a Băncii Naționale a Moldovei cu privire la aceasta.</w:t>
      </w:r>
    </w:p>
    <w:p w14:paraId="040DF4FB" w14:textId="07420A97" w:rsidR="009F3583" w:rsidRPr="000508B6" w:rsidRDefault="009F3583" w:rsidP="00CF5AFA">
      <w:pPr>
        <w:pStyle w:val="Listparagraf"/>
        <w:numPr>
          <w:ilvl w:val="1"/>
          <w:numId w:val="267"/>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Lista acționarilor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cu drept de participare la adunarea generală a acționarilor nu poate fi modificată în interiorul termenului de 3 zile până la data desfășurării adunării generale a acționarilor.</w:t>
      </w:r>
    </w:p>
    <w:p w14:paraId="143CABB6" w14:textId="77777777" w:rsidR="003919E2" w:rsidRPr="000508B6" w:rsidRDefault="003919E2" w:rsidP="001874C2">
      <w:pPr>
        <w:tabs>
          <w:tab w:val="left" w:pos="851"/>
          <w:tab w:val="left" w:pos="993"/>
        </w:tabs>
        <w:spacing w:after="0" w:line="240" w:lineRule="auto"/>
        <w:jc w:val="both"/>
        <w:rPr>
          <w:rFonts w:ascii="Times New Roman" w:eastAsia="Times New Roman" w:hAnsi="Times New Roman" w:cs="Times New Roman"/>
          <w:b/>
          <w:lang w:val="ro-MD"/>
        </w:rPr>
      </w:pPr>
    </w:p>
    <w:p w14:paraId="5C7BBEA4" w14:textId="76576F6B" w:rsidR="005A319A" w:rsidRPr="000508B6" w:rsidRDefault="005A319A" w:rsidP="006405EF">
      <w:pPr>
        <w:pStyle w:val="Listparagraf"/>
        <w:tabs>
          <w:tab w:val="left" w:pos="851"/>
          <w:tab w:val="left" w:pos="993"/>
        </w:tabs>
        <w:spacing w:after="0" w:line="240" w:lineRule="auto"/>
        <w:ind w:left="0" w:firstLine="567"/>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Articolul 1</w:t>
      </w:r>
      <w:r w:rsidR="00FF2E4F" w:rsidRPr="000508B6">
        <w:rPr>
          <w:rFonts w:ascii="Times New Roman" w:eastAsia="Times New Roman" w:hAnsi="Times New Roman" w:cs="Times New Roman"/>
          <w:b/>
          <w:lang w:val="ro-MD"/>
        </w:rPr>
        <w:t>6</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Nerespectarea cerințelor privind achizițiile sau calitatea de acționar</w:t>
      </w:r>
    </w:p>
    <w:p w14:paraId="6EDF95E5" w14:textId="21BAF2D0" w:rsidR="005A319A" w:rsidRPr="000508B6" w:rsidRDefault="005A319A" w:rsidP="00D34ED4">
      <w:pPr>
        <w:pStyle w:val="Listparagraf"/>
        <w:numPr>
          <w:ilvl w:val="0"/>
          <w:numId w:val="363"/>
        </w:numPr>
        <w:tabs>
          <w:tab w:val="left" w:pos="426"/>
          <w:tab w:val="left" w:pos="709"/>
          <w:tab w:val="left" w:pos="851"/>
          <w:tab w:val="left" w:pos="993"/>
        </w:tabs>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lang w:val="ro-MD"/>
        </w:rPr>
        <w:t xml:space="preserve">În cazul în care </w:t>
      </w:r>
      <w:proofErr w:type="spellStart"/>
      <w:r w:rsidR="00840317" w:rsidRPr="000508B6">
        <w:rPr>
          <w:rFonts w:ascii="Times New Roman" w:eastAsia="Times New Roman" w:hAnsi="Times New Roman" w:cs="Times New Roman"/>
          <w:lang w:val="ro-MD"/>
        </w:rPr>
        <w:t>deţinătorul</w:t>
      </w:r>
      <w:proofErr w:type="spellEnd"/>
      <w:r w:rsidR="00840317" w:rsidRPr="000508B6">
        <w:rPr>
          <w:rFonts w:ascii="Times New Roman" w:eastAsia="Times New Roman" w:hAnsi="Times New Roman" w:cs="Times New Roman"/>
          <w:lang w:val="ro-MD"/>
        </w:rPr>
        <w:t xml:space="preserve">, direct sau indirect, </w:t>
      </w:r>
      <w:r w:rsidR="00EF3FCD" w:rsidRPr="000508B6" w:rsidDel="00A86DBD">
        <w:rPr>
          <w:rFonts w:ascii="Times New Roman" w:eastAsia="Times New Roman" w:hAnsi="Times New Roman" w:cs="Times New Roman"/>
          <w:bCs/>
          <w:lang w:val="ro-MD"/>
        </w:rPr>
        <w:t xml:space="preserve"> </w:t>
      </w:r>
      <w:r w:rsidR="00A86DBD" w:rsidRPr="000508B6">
        <w:rPr>
          <w:rFonts w:ascii="Times New Roman" w:eastAsia="Times New Roman" w:hAnsi="Times New Roman" w:cs="Times New Roman"/>
          <w:bCs/>
          <w:lang w:val="ro-MD"/>
        </w:rPr>
        <w:t>al unei participații calificate</w:t>
      </w:r>
      <w:r w:rsidRPr="000508B6">
        <w:rPr>
          <w:rFonts w:ascii="Times New Roman" w:eastAsia="Times New Roman" w:hAnsi="Times New Roman" w:cs="Times New Roman"/>
          <w:bCs/>
          <w:lang w:val="ro-MD"/>
        </w:rPr>
        <w:t xml:space="preserve">, inclusiv beneficiarul efectiv, nu mai îndeplinesc </w:t>
      </w:r>
      <w:proofErr w:type="spellStart"/>
      <w:r w:rsidRPr="000508B6">
        <w:rPr>
          <w:rFonts w:ascii="Times New Roman" w:eastAsia="Times New Roman" w:hAnsi="Times New Roman" w:cs="Times New Roman"/>
          <w:bCs/>
          <w:lang w:val="ro-MD"/>
        </w:rPr>
        <w:t>cerinţele</w:t>
      </w:r>
      <w:proofErr w:type="spellEnd"/>
      <w:r w:rsidRPr="000508B6">
        <w:rPr>
          <w:rFonts w:ascii="Times New Roman" w:eastAsia="Times New Roman" w:hAnsi="Times New Roman" w:cs="Times New Roman"/>
          <w:bCs/>
          <w:lang w:val="ro-MD"/>
        </w:rPr>
        <w:t xml:space="preserve"> prevăzute de prezenta lege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actele normative ale Băncii </w:t>
      </w:r>
      <w:proofErr w:type="spellStart"/>
      <w:r w:rsidRPr="000508B6">
        <w:rPr>
          <w:rFonts w:ascii="Times New Roman" w:eastAsia="Times New Roman" w:hAnsi="Times New Roman" w:cs="Times New Roman"/>
          <w:bCs/>
          <w:lang w:val="ro-MD"/>
        </w:rPr>
        <w:t>Naţionale</w:t>
      </w:r>
      <w:proofErr w:type="spellEnd"/>
      <w:r w:rsidRPr="000508B6">
        <w:rPr>
          <w:rFonts w:ascii="Times New Roman" w:eastAsia="Times New Roman" w:hAnsi="Times New Roman" w:cs="Times New Roman"/>
          <w:bCs/>
          <w:lang w:val="ro-MD"/>
        </w:rPr>
        <w:t xml:space="preserve"> a Moldovei</w:t>
      </w:r>
      <w:r w:rsidR="00A86DBD" w:rsidRPr="000508B6">
        <w:rPr>
          <w:rFonts w:ascii="Times New Roman" w:hAnsi="Times New Roman" w:cs="Times New Roman"/>
          <w:lang w:val="ro-MD"/>
        </w:rPr>
        <w:t xml:space="preserve"> </w:t>
      </w:r>
      <w:r w:rsidR="00A86DBD" w:rsidRPr="000508B6">
        <w:rPr>
          <w:rFonts w:ascii="Times New Roman" w:eastAsia="Times New Roman" w:hAnsi="Times New Roman" w:cs="Times New Roman"/>
          <w:bCs/>
          <w:lang w:val="ro-MD"/>
        </w:rPr>
        <w:t>emise în aplicarea acesteia</w:t>
      </w:r>
      <w:r w:rsidRPr="000508B6">
        <w:rPr>
          <w:rFonts w:ascii="Times New Roman" w:eastAsia="Times New Roman" w:hAnsi="Times New Roman" w:cs="Times New Roman"/>
          <w:bCs/>
          <w:lang w:val="ro-MD"/>
        </w:rPr>
        <w:t xml:space="preserve"> </w:t>
      </w:r>
      <w:r w:rsidR="00A86DBD" w:rsidRPr="000508B6">
        <w:rPr>
          <w:rFonts w:ascii="Times New Roman" w:eastAsia="Times New Roman" w:hAnsi="Times New Roman" w:cs="Times New Roman"/>
          <w:bCs/>
          <w:lang w:val="ro-MD"/>
        </w:rPr>
        <w:t xml:space="preserve">privind calitatea </w:t>
      </w:r>
      <w:proofErr w:type="spellStart"/>
      <w:r w:rsidR="00A86DBD" w:rsidRPr="000508B6">
        <w:rPr>
          <w:rFonts w:ascii="Times New Roman" w:eastAsia="Times New Roman" w:hAnsi="Times New Roman" w:cs="Times New Roman"/>
          <w:bCs/>
          <w:lang w:val="ro-MD"/>
        </w:rPr>
        <w:t>acţionariatului</w:t>
      </w:r>
      <w:proofErr w:type="spellEnd"/>
      <w:r w:rsidR="00A86DBD" w:rsidRPr="000508B6">
        <w:rPr>
          <w:rFonts w:ascii="Times New Roman" w:eastAsia="Times New Roman" w:hAnsi="Times New Roman" w:cs="Times New Roman"/>
          <w:bCs/>
          <w:lang w:val="ro-MD"/>
        </w:rPr>
        <w:t xml:space="preserve"> unui asigurător sau </w:t>
      </w:r>
      <w:proofErr w:type="spellStart"/>
      <w:r w:rsidR="00A86DBD" w:rsidRPr="000508B6">
        <w:rPr>
          <w:rFonts w:ascii="Times New Roman" w:eastAsia="Times New Roman" w:hAnsi="Times New Roman" w:cs="Times New Roman"/>
          <w:bCs/>
          <w:lang w:val="ro-MD"/>
        </w:rPr>
        <w:t>reasigurător</w:t>
      </w:r>
      <w:proofErr w:type="spellEnd"/>
      <w:r w:rsidR="00A86DBD"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sau exercită asupra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o </w:t>
      </w:r>
      <w:proofErr w:type="spellStart"/>
      <w:r w:rsidRPr="000508B6">
        <w:rPr>
          <w:rFonts w:ascii="Times New Roman" w:eastAsia="Times New Roman" w:hAnsi="Times New Roman" w:cs="Times New Roman"/>
          <w:bCs/>
          <w:lang w:val="ro-MD"/>
        </w:rPr>
        <w:t>influenţă</w:t>
      </w:r>
      <w:proofErr w:type="spellEnd"/>
      <w:r w:rsidRPr="000508B6">
        <w:rPr>
          <w:rFonts w:ascii="Times New Roman" w:eastAsia="Times New Roman" w:hAnsi="Times New Roman" w:cs="Times New Roman"/>
          <w:bCs/>
          <w:lang w:val="ro-MD"/>
        </w:rPr>
        <w:t xml:space="preserve"> de natură să pericliteze administrarea prudentă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sănătoasă a </w:t>
      </w:r>
      <w:r w:rsidR="00584801" w:rsidRPr="000508B6">
        <w:rPr>
          <w:rFonts w:ascii="Times New Roman" w:eastAsia="Times New Roman" w:hAnsi="Times New Roman" w:cs="Times New Roman"/>
          <w:bCs/>
          <w:lang w:val="ro-MD"/>
        </w:rPr>
        <w:t>acest</w:t>
      </w:r>
      <w:r w:rsidR="00DE1FAB" w:rsidRPr="000508B6">
        <w:rPr>
          <w:rFonts w:ascii="Times New Roman" w:eastAsia="Times New Roman" w:hAnsi="Times New Roman" w:cs="Times New Roman"/>
          <w:bCs/>
          <w:lang w:val="ro-MD"/>
        </w:rPr>
        <w:t>u</w:t>
      </w:r>
      <w:r w:rsidR="00584801" w:rsidRPr="000508B6">
        <w:rPr>
          <w:rFonts w:ascii="Times New Roman" w:eastAsia="Times New Roman" w:hAnsi="Times New Roman" w:cs="Times New Roman"/>
          <w:bCs/>
          <w:lang w:val="ro-MD"/>
        </w:rPr>
        <w:t>ia</w:t>
      </w:r>
      <w:r w:rsidRPr="000508B6">
        <w:rPr>
          <w:rFonts w:ascii="Times New Roman" w:eastAsia="Times New Roman" w:hAnsi="Times New Roman" w:cs="Times New Roman"/>
          <w:bCs/>
          <w:lang w:val="ro-MD"/>
        </w:rPr>
        <w:t xml:space="preserve">, precum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în cazul în care </w:t>
      </w:r>
      <w:r w:rsidR="007837AF" w:rsidRPr="000508B6">
        <w:rPr>
          <w:rFonts w:ascii="Times New Roman" w:eastAsia="Times New Roman" w:hAnsi="Times New Roman" w:cs="Times New Roman"/>
          <w:bCs/>
          <w:lang w:val="ro-MD"/>
        </w:rPr>
        <w:t>deținătorul direct sau indirect</w:t>
      </w:r>
      <w:r w:rsidRPr="000508B6">
        <w:rPr>
          <w:rFonts w:ascii="Times New Roman" w:eastAsia="Times New Roman" w:hAnsi="Times New Roman" w:cs="Times New Roman"/>
          <w:bCs/>
          <w:lang w:val="ro-MD"/>
        </w:rPr>
        <w:t xml:space="preserve">, inclusiv beneficiarul efectiv al acestuia, nu a furnizat Băncii </w:t>
      </w:r>
      <w:proofErr w:type="spellStart"/>
      <w:r w:rsidRPr="000508B6">
        <w:rPr>
          <w:rFonts w:ascii="Times New Roman" w:eastAsia="Times New Roman" w:hAnsi="Times New Roman" w:cs="Times New Roman"/>
          <w:bCs/>
          <w:lang w:val="ro-MD"/>
        </w:rPr>
        <w:t>Naţionale</w:t>
      </w:r>
      <w:proofErr w:type="spellEnd"/>
      <w:r w:rsidRPr="000508B6">
        <w:rPr>
          <w:rFonts w:ascii="Times New Roman" w:eastAsia="Times New Roman" w:hAnsi="Times New Roman" w:cs="Times New Roman"/>
          <w:bCs/>
          <w:lang w:val="ro-MD"/>
        </w:rPr>
        <w:t xml:space="preserve"> a Moldovei </w:t>
      </w:r>
      <w:proofErr w:type="spellStart"/>
      <w:r w:rsidRPr="000508B6">
        <w:rPr>
          <w:rFonts w:ascii="Times New Roman" w:eastAsia="Times New Roman" w:hAnsi="Times New Roman" w:cs="Times New Roman"/>
          <w:bCs/>
          <w:lang w:val="ro-MD"/>
        </w:rPr>
        <w:t>informaţii</w:t>
      </w:r>
      <w:proofErr w:type="spellEnd"/>
      <w:r w:rsidRPr="000508B6">
        <w:rPr>
          <w:rFonts w:ascii="Times New Roman" w:eastAsia="Times New Roman" w:hAnsi="Times New Roman" w:cs="Times New Roman"/>
          <w:bCs/>
          <w:lang w:val="ro-MD"/>
        </w:rPr>
        <w:t xml:space="preserve"> care relevă cu certitudine identitatea beneficiarului efectiv sau în cazul în care Banca </w:t>
      </w:r>
      <w:proofErr w:type="spellStart"/>
      <w:r w:rsidRPr="000508B6">
        <w:rPr>
          <w:rFonts w:ascii="Times New Roman" w:eastAsia="Times New Roman" w:hAnsi="Times New Roman" w:cs="Times New Roman"/>
          <w:bCs/>
          <w:lang w:val="ro-MD"/>
        </w:rPr>
        <w:t>Naţională</w:t>
      </w:r>
      <w:proofErr w:type="spellEnd"/>
      <w:r w:rsidRPr="000508B6">
        <w:rPr>
          <w:rFonts w:ascii="Times New Roman" w:eastAsia="Times New Roman" w:hAnsi="Times New Roman" w:cs="Times New Roman"/>
          <w:bCs/>
          <w:lang w:val="ro-MD"/>
        </w:rPr>
        <w:t xml:space="preserve"> a Moldovei constată </w:t>
      </w:r>
      <w:proofErr w:type="spellStart"/>
      <w:r w:rsidRPr="000508B6">
        <w:rPr>
          <w:rFonts w:ascii="Times New Roman" w:eastAsia="Times New Roman" w:hAnsi="Times New Roman" w:cs="Times New Roman"/>
          <w:bCs/>
          <w:lang w:val="ro-MD"/>
        </w:rPr>
        <w:t>acţiunea</w:t>
      </w:r>
      <w:proofErr w:type="spellEnd"/>
      <w:r w:rsidRPr="000508B6">
        <w:rPr>
          <w:rFonts w:ascii="Times New Roman" w:eastAsia="Times New Roman" w:hAnsi="Times New Roman" w:cs="Times New Roman"/>
          <w:bCs/>
          <w:lang w:val="ro-MD"/>
        </w:rPr>
        <w:t xml:space="preserve"> concertată a </w:t>
      </w:r>
      <w:r w:rsidR="005C7AAF" w:rsidRPr="000508B6">
        <w:rPr>
          <w:rFonts w:ascii="Times New Roman" w:eastAsia="Times New Roman" w:hAnsi="Times New Roman" w:cs="Times New Roman"/>
          <w:bCs/>
          <w:lang w:val="ro-MD"/>
        </w:rPr>
        <w:t xml:space="preserve">acționarilor </w:t>
      </w:r>
      <w:r w:rsidR="00EF3FCD" w:rsidRPr="000508B6">
        <w:rPr>
          <w:rFonts w:ascii="Times New Roman" w:eastAsia="Times New Roman" w:hAnsi="Times New Roman" w:cs="Times New Roman"/>
          <w:bCs/>
          <w:lang w:val="ro-MD"/>
        </w:rPr>
        <w:t>care dețin participații calificate</w:t>
      </w:r>
      <w:r w:rsidRPr="000508B6">
        <w:rPr>
          <w:rFonts w:ascii="Times New Roman" w:eastAsia="Times New Roman" w:hAnsi="Times New Roman" w:cs="Times New Roman"/>
          <w:bCs/>
          <w:lang w:val="ro-MD"/>
        </w:rPr>
        <w:t xml:space="preserve"> fără aprobarea prealabilă a acesteia, Banca </w:t>
      </w:r>
      <w:proofErr w:type="spellStart"/>
      <w:r w:rsidRPr="000508B6">
        <w:rPr>
          <w:rFonts w:ascii="Times New Roman" w:eastAsia="Times New Roman" w:hAnsi="Times New Roman" w:cs="Times New Roman"/>
          <w:bCs/>
          <w:lang w:val="ro-MD"/>
        </w:rPr>
        <w:t>Naţională</w:t>
      </w:r>
      <w:proofErr w:type="spellEnd"/>
      <w:r w:rsidRPr="000508B6">
        <w:rPr>
          <w:rFonts w:ascii="Times New Roman" w:eastAsia="Times New Roman" w:hAnsi="Times New Roman" w:cs="Times New Roman"/>
          <w:bCs/>
          <w:lang w:val="ro-MD"/>
        </w:rPr>
        <w:t xml:space="preserve"> a Moldovei poate dispune următoarele măsuri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sancţiuni</w:t>
      </w:r>
      <w:proofErr w:type="spellEnd"/>
      <w:r w:rsidRPr="000508B6">
        <w:rPr>
          <w:rFonts w:ascii="Times New Roman" w:eastAsia="Times New Roman" w:hAnsi="Times New Roman" w:cs="Times New Roman"/>
          <w:bCs/>
          <w:lang w:val="ro-MD"/>
        </w:rPr>
        <w:t>, inclusiv în mod cumulativ</w:t>
      </w:r>
      <w:r w:rsidR="00426603" w:rsidRPr="000508B6">
        <w:rPr>
          <w:rFonts w:ascii="Times New Roman" w:eastAsia="Times New Roman" w:hAnsi="Times New Roman" w:cs="Times New Roman"/>
          <w:bCs/>
          <w:lang w:val="ro-MD"/>
        </w:rPr>
        <w:t>:</w:t>
      </w:r>
    </w:p>
    <w:p w14:paraId="4EF79E94" w14:textId="4BD40E06"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să retragă </w:t>
      </w:r>
      <w:r w:rsidR="008475CC" w:rsidRPr="000508B6">
        <w:rPr>
          <w:rFonts w:ascii="Times New Roman" w:eastAsia="Times New Roman" w:hAnsi="Times New Roman" w:cs="Times New Roman"/>
          <w:lang w:val="ro-MD"/>
        </w:rPr>
        <w:t xml:space="preserve">aprobarea </w:t>
      </w:r>
      <w:r w:rsidRPr="000508B6">
        <w:rPr>
          <w:rFonts w:ascii="Times New Roman" w:eastAsia="Times New Roman" w:hAnsi="Times New Roman" w:cs="Times New Roman"/>
          <w:lang w:val="ro-MD"/>
        </w:rPr>
        <w:t>prealabil</w:t>
      </w:r>
      <w:r w:rsidR="008475CC"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acordat</w:t>
      </w:r>
      <w:r w:rsidR="00112FE9"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în temeiul art.12; </w:t>
      </w:r>
    </w:p>
    <w:p w14:paraId="0C8B673D" w14:textId="77777777"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să dispună suspendarea exercitării: </w:t>
      </w:r>
    </w:p>
    <w:p w14:paraId="5B044FF9" w14:textId="77777777"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drepturilor de vot aferente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corespunzătoare; </w:t>
      </w:r>
    </w:p>
    <w:p w14:paraId="4F7CE1DE" w14:textId="77777777"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a dreptului de convocare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desfăşurare</w:t>
      </w:r>
      <w:proofErr w:type="spellEnd"/>
      <w:r w:rsidRPr="000508B6">
        <w:rPr>
          <w:rFonts w:ascii="Times New Roman" w:eastAsia="Times New Roman" w:hAnsi="Times New Roman" w:cs="Times New Roman"/>
          <w:lang w:val="ro-MD"/>
        </w:rPr>
        <w:t xml:space="preserve"> a adunării generale a </w:t>
      </w:r>
      <w:proofErr w:type="spellStart"/>
      <w:r w:rsidRPr="000508B6">
        <w:rPr>
          <w:rFonts w:ascii="Times New Roman" w:eastAsia="Times New Roman" w:hAnsi="Times New Roman" w:cs="Times New Roman"/>
          <w:lang w:val="ro-MD"/>
        </w:rPr>
        <w:t>acţionarilor</w:t>
      </w:r>
      <w:proofErr w:type="spellEnd"/>
      <w:r w:rsidRPr="000508B6">
        <w:rPr>
          <w:rFonts w:ascii="Times New Roman" w:eastAsia="Times New Roman" w:hAnsi="Times New Roman" w:cs="Times New Roman"/>
          <w:lang w:val="ro-MD"/>
        </w:rPr>
        <w:t xml:space="preserve">;  </w:t>
      </w:r>
    </w:p>
    <w:p w14:paraId="04F1D665" w14:textId="77777777"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a dreptului de a introduce chestiuni pe ordinea de zi;</w:t>
      </w:r>
      <w:r w:rsidRPr="000508B6">
        <w:rPr>
          <w:rFonts w:ascii="Times New Roman" w:eastAsia="Times New Roman" w:hAnsi="Times New Roman" w:cs="Times New Roman"/>
          <w:lang w:val="ro-MD"/>
        </w:rPr>
        <w:tab/>
      </w:r>
    </w:p>
    <w:p w14:paraId="4CBAA4E0" w14:textId="3C8D2823" w:rsidR="007837AF" w:rsidRPr="000508B6" w:rsidRDefault="007837AF" w:rsidP="00D34ED4">
      <w:pPr>
        <w:pStyle w:val="Listparagraf"/>
        <w:tabs>
          <w:tab w:val="left" w:pos="567"/>
          <w:tab w:val="left" w:pos="709"/>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a dreptului de a propune </w:t>
      </w:r>
      <w:proofErr w:type="spellStart"/>
      <w:r w:rsidRPr="000508B6">
        <w:rPr>
          <w:rFonts w:ascii="Times New Roman" w:eastAsia="Times New Roman" w:hAnsi="Times New Roman" w:cs="Times New Roman"/>
          <w:lang w:val="ro-MD"/>
        </w:rPr>
        <w:t>candidaţi</w:t>
      </w:r>
      <w:proofErr w:type="spellEnd"/>
      <w:r w:rsidRPr="000508B6">
        <w:rPr>
          <w:rFonts w:ascii="Times New Roman" w:eastAsia="Times New Roman" w:hAnsi="Times New Roman" w:cs="Times New Roman"/>
          <w:lang w:val="ro-MD"/>
        </w:rPr>
        <w:t xml:space="preserve"> pentru </w:t>
      </w:r>
      <w:proofErr w:type="spellStart"/>
      <w:r w:rsidRPr="000508B6">
        <w:rPr>
          <w:rFonts w:ascii="Times New Roman" w:eastAsia="Times New Roman" w:hAnsi="Times New Roman" w:cs="Times New Roman"/>
          <w:lang w:val="ro-MD"/>
        </w:rPr>
        <w:t>funcţia</w:t>
      </w:r>
      <w:proofErr w:type="spellEnd"/>
      <w:r w:rsidRPr="000508B6">
        <w:rPr>
          <w:rFonts w:ascii="Times New Roman" w:eastAsia="Times New Roman" w:hAnsi="Times New Roman" w:cs="Times New Roman"/>
          <w:lang w:val="ro-MD"/>
        </w:rPr>
        <w:t xml:space="preserve"> de membru al consiliului asigurătorului sau </w:t>
      </w:r>
      <w:proofErr w:type="spellStart"/>
      <w:r w:rsidRPr="000508B6">
        <w:rPr>
          <w:rFonts w:ascii="Times New Roman" w:eastAsia="Times New Roman" w:hAnsi="Times New Roman" w:cs="Times New Roman"/>
          <w:lang w:val="ro-MD"/>
        </w:rPr>
        <w:t>reasigurătorului</w:t>
      </w:r>
      <w:proofErr w:type="spellEnd"/>
      <w:r w:rsidR="00E13BF0"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al organului executiv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 comitetului de audit;  </w:t>
      </w:r>
    </w:p>
    <w:p w14:paraId="2F540A74" w14:textId="77777777"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a dreptului de a primi dividende; </w:t>
      </w:r>
    </w:p>
    <w:p w14:paraId="4621DF41" w14:textId="7E9A582A"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c) să dispună înstrăinarea de către persoana al cărei drept de vot a fost suspendat a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deţinute</w:t>
      </w:r>
      <w:proofErr w:type="spellEnd"/>
      <w:r w:rsidRPr="000508B6">
        <w:rPr>
          <w:rFonts w:ascii="Times New Roman" w:eastAsia="Times New Roman" w:hAnsi="Times New Roman" w:cs="Times New Roman"/>
          <w:lang w:val="ro-MD"/>
        </w:rPr>
        <w:t xml:space="preserve">,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alin.</w:t>
      </w:r>
      <w:r w:rsidR="00BA15B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(3)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(4); </w:t>
      </w:r>
    </w:p>
    <w:p w14:paraId="1C7E95A9" w14:textId="20CC6E06" w:rsidR="007837AF" w:rsidRPr="000508B6" w:rsidRDefault="007837AF" w:rsidP="003B22E4">
      <w:pPr>
        <w:pStyle w:val="Listparagraf"/>
        <w:tabs>
          <w:tab w:val="left" w:pos="851"/>
          <w:tab w:val="left" w:pos="993"/>
        </w:tabs>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 să aplice măsuri de reorganizare; </w:t>
      </w:r>
    </w:p>
    <w:p w14:paraId="694A1F5B" w14:textId="6EDCF0E5" w:rsidR="005A319A" w:rsidRPr="000508B6" w:rsidRDefault="007837AF" w:rsidP="003B22E4">
      <w:pPr>
        <w:tabs>
          <w:tab w:val="left" w:pos="851"/>
          <w:tab w:val="left" w:pos="993"/>
        </w:tabs>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e) să aplice </w:t>
      </w:r>
      <w:r w:rsidR="005A319A" w:rsidRPr="000508B6">
        <w:rPr>
          <w:rFonts w:ascii="Times New Roman" w:eastAsia="Times New Roman" w:hAnsi="Times New Roman" w:cs="Times New Roman"/>
          <w:bCs/>
          <w:lang w:val="ro-MD"/>
        </w:rPr>
        <w:t xml:space="preserve">alte măsuri </w:t>
      </w:r>
      <w:proofErr w:type="spellStart"/>
      <w:r w:rsidR="005A319A" w:rsidRPr="000508B6">
        <w:rPr>
          <w:rFonts w:ascii="Times New Roman" w:eastAsia="Times New Roman" w:hAnsi="Times New Roman" w:cs="Times New Roman"/>
          <w:bCs/>
          <w:lang w:val="ro-MD"/>
        </w:rPr>
        <w:t>şi</w:t>
      </w:r>
      <w:proofErr w:type="spellEnd"/>
      <w:r w:rsidR="005A319A" w:rsidRPr="000508B6">
        <w:rPr>
          <w:rFonts w:ascii="Times New Roman" w:eastAsia="Times New Roman" w:hAnsi="Times New Roman" w:cs="Times New Roman"/>
          <w:bCs/>
          <w:lang w:val="ro-MD"/>
        </w:rPr>
        <w:t xml:space="preserve">/sau </w:t>
      </w:r>
      <w:proofErr w:type="spellStart"/>
      <w:r w:rsidR="005A319A" w:rsidRPr="000508B6">
        <w:rPr>
          <w:rFonts w:ascii="Times New Roman" w:eastAsia="Times New Roman" w:hAnsi="Times New Roman" w:cs="Times New Roman"/>
          <w:bCs/>
          <w:lang w:val="ro-MD"/>
        </w:rPr>
        <w:t>sancţiuni</w:t>
      </w:r>
      <w:proofErr w:type="spellEnd"/>
      <w:r w:rsidR="005A319A" w:rsidRPr="000508B6">
        <w:rPr>
          <w:rFonts w:ascii="Times New Roman" w:eastAsia="Times New Roman" w:hAnsi="Times New Roman" w:cs="Times New Roman"/>
          <w:bCs/>
          <w:lang w:val="ro-MD"/>
        </w:rPr>
        <w:t xml:space="preserve"> conform prevederilor </w:t>
      </w:r>
      <w:r w:rsidR="00C0020B" w:rsidRPr="000508B6">
        <w:rPr>
          <w:rFonts w:ascii="Times New Roman" w:eastAsia="Times New Roman" w:hAnsi="Times New Roman" w:cs="Times New Roman"/>
          <w:bCs/>
          <w:lang w:val="ro-MD"/>
        </w:rPr>
        <w:t>prezentei legi</w:t>
      </w:r>
      <w:r w:rsidR="005A319A" w:rsidRPr="000508B6">
        <w:rPr>
          <w:rFonts w:ascii="Times New Roman" w:eastAsia="Times New Roman" w:hAnsi="Times New Roman" w:cs="Times New Roman"/>
          <w:bCs/>
          <w:lang w:val="ro-MD"/>
        </w:rPr>
        <w:t xml:space="preserve"> </w:t>
      </w:r>
      <w:proofErr w:type="spellStart"/>
      <w:r w:rsidR="005A319A" w:rsidRPr="000508B6">
        <w:rPr>
          <w:rFonts w:ascii="Times New Roman" w:eastAsia="Times New Roman" w:hAnsi="Times New Roman" w:cs="Times New Roman"/>
          <w:bCs/>
          <w:lang w:val="ro-MD"/>
        </w:rPr>
        <w:t>şi</w:t>
      </w:r>
      <w:proofErr w:type="spellEnd"/>
      <w:r w:rsidR="005A319A" w:rsidRPr="000508B6">
        <w:rPr>
          <w:rFonts w:ascii="Times New Roman" w:eastAsia="Times New Roman" w:hAnsi="Times New Roman" w:cs="Times New Roman"/>
          <w:bCs/>
          <w:lang w:val="ro-MD"/>
        </w:rPr>
        <w:t xml:space="preserve">/sau </w:t>
      </w:r>
      <w:r w:rsidR="00F17822" w:rsidRPr="000508B6">
        <w:rPr>
          <w:rFonts w:ascii="Times New Roman" w:eastAsia="Times New Roman" w:hAnsi="Times New Roman" w:cs="Times New Roman"/>
          <w:bCs/>
          <w:lang w:val="ro-MD"/>
        </w:rPr>
        <w:t xml:space="preserve">alte </w:t>
      </w:r>
      <w:r w:rsidR="00C0020B" w:rsidRPr="000508B6">
        <w:rPr>
          <w:rFonts w:ascii="Times New Roman" w:eastAsia="Times New Roman" w:hAnsi="Times New Roman" w:cs="Times New Roman"/>
          <w:bCs/>
          <w:lang w:val="ro-MD"/>
        </w:rPr>
        <w:t xml:space="preserve">măsuri </w:t>
      </w:r>
      <w:r w:rsidR="00F17822" w:rsidRPr="000508B6">
        <w:rPr>
          <w:rFonts w:ascii="Times New Roman" w:eastAsia="Times New Roman" w:hAnsi="Times New Roman" w:cs="Times New Roman"/>
          <w:bCs/>
          <w:lang w:val="ro-MD"/>
        </w:rPr>
        <w:t>prevăzute de legislația</w:t>
      </w:r>
      <w:r w:rsidR="005A319A" w:rsidRPr="000508B6">
        <w:rPr>
          <w:rFonts w:ascii="Times New Roman" w:eastAsia="Times New Roman" w:hAnsi="Times New Roman" w:cs="Times New Roman"/>
          <w:bCs/>
          <w:lang w:val="ro-MD"/>
        </w:rPr>
        <w:t xml:space="preserve"> privind redresarea </w:t>
      </w:r>
      <w:proofErr w:type="spellStart"/>
      <w:r w:rsidR="005A319A" w:rsidRPr="000508B6">
        <w:rPr>
          <w:rFonts w:ascii="Times New Roman" w:eastAsia="Times New Roman" w:hAnsi="Times New Roman" w:cs="Times New Roman"/>
          <w:bCs/>
          <w:lang w:val="ro-MD"/>
        </w:rPr>
        <w:t>şi</w:t>
      </w:r>
      <w:proofErr w:type="spellEnd"/>
      <w:r w:rsidR="005A319A" w:rsidRPr="000508B6">
        <w:rPr>
          <w:rFonts w:ascii="Times New Roman" w:eastAsia="Times New Roman" w:hAnsi="Times New Roman" w:cs="Times New Roman"/>
          <w:bCs/>
          <w:lang w:val="ro-MD"/>
        </w:rPr>
        <w:t xml:space="preserve"> </w:t>
      </w:r>
      <w:proofErr w:type="spellStart"/>
      <w:r w:rsidR="005A319A" w:rsidRPr="000508B6">
        <w:rPr>
          <w:rFonts w:ascii="Times New Roman" w:eastAsia="Times New Roman" w:hAnsi="Times New Roman" w:cs="Times New Roman"/>
          <w:bCs/>
          <w:lang w:val="ro-MD"/>
        </w:rPr>
        <w:t>rezoluţia</w:t>
      </w:r>
      <w:proofErr w:type="spellEnd"/>
      <w:r w:rsidR="005A319A" w:rsidRPr="000508B6">
        <w:rPr>
          <w:rFonts w:ascii="Times New Roman" w:eastAsia="Times New Roman" w:hAnsi="Times New Roman" w:cs="Times New Roman"/>
          <w:bCs/>
          <w:lang w:val="ro-MD"/>
        </w:rPr>
        <w:t xml:space="preserve"> </w:t>
      </w:r>
      <w:r w:rsidR="00447A0C" w:rsidRPr="000508B6">
        <w:rPr>
          <w:rFonts w:ascii="Times New Roman" w:eastAsia="Times New Roman" w:hAnsi="Times New Roman" w:cs="Times New Roman"/>
          <w:bCs/>
          <w:lang w:val="ro-MD"/>
        </w:rPr>
        <w:t>în asigurări</w:t>
      </w:r>
      <w:r w:rsidR="005A319A" w:rsidRPr="000508B6">
        <w:rPr>
          <w:rFonts w:ascii="Times New Roman" w:eastAsia="Times New Roman" w:hAnsi="Times New Roman" w:cs="Times New Roman"/>
          <w:bCs/>
          <w:lang w:val="ro-MD"/>
        </w:rPr>
        <w:t>.</w:t>
      </w:r>
      <w:r w:rsidR="00E21634" w:rsidRPr="000508B6">
        <w:rPr>
          <w:rFonts w:ascii="Times New Roman" w:eastAsia="Times New Roman" w:hAnsi="Times New Roman" w:cs="Times New Roman"/>
          <w:bCs/>
          <w:lang w:val="ro-MD"/>
        </w:rPr>
        <w:t xml:space="preserve"> </w:t>
      </w:r>
    </w:p>
    <w:p w14:paraId="0D822EA1" w14:textId="3588B14F" w:rsidR="007837AF" w:rsidRPr="000508B6" w:rsidRDefault="00E21634" w:rsidP="00D34ED4">
      <w:pPr>
        <w:pStyle w:val="Listparagraf"/>
        <w:numPr>
          <w:ilvl w:val="0"/>
          <w:numId w:val="36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Persoanele pentru care s-au dispus măsurile prevăzute la art. 12 alin. (</w:t>
      </w:r>
      <w:r w:rsidR="004E2C18" w:rsidRPr="000508B6">
        <w:rPr>
          <w:rFonts w:ascii="Times New Roman" w:eastAsia="Times New Roman" w:hAnsi="Times New Roman" w:cs="Times New Roman"/>
          <w:lang w:val="ro-MD"/>
        </w:rPr>
        <w:t>1</w:t>
      </w:r>
      <w:r w:rsidR="001B559D"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și la alin. (1) nu mai pot </w:t>
      </w:r>
      <w:proofErr w:type="spellStart"/>
      <w:r w:rsidRPr="000508B6">
        <w:rPr>
          <w:rFonts w:ascii="Times New Roman" w:eastAsia="Times New Roman" w:hAnsi="Times New Roman" w:cs="Times New Roman"/>
          <w:lang w:val="ro-MD"/>
        </w:rPr>
        <w:t>deţine</w:t>
      </w:r>
      <w:proofErr w:type="spellEnd"/>
      <w:r w:rsidRPr="000508B6">
        <w:rPr>
          <w:rFonts w:ascii="Times New Roman" w:eastAsia="Times New Roman" w:hAnsi="Times New Roman" w:cs="Times New Roman"/>
          <w:lang w:val="ro-MD"/>
        </w:rPr>
        <w:t xml:space="preserve">, direct sau indirect, noi </w:t>
      </w:r>
      <w:proofErr w:type="spellStart"/>
      <w:r w:rsidRPr="000508B6">
        <w:rPr>
          <w:rFonts w:ascii="Times New Roman" w:eastAsia="Times New Roman" w:hAnsi="Times New Roman" w:cs="Times New Roman"/>
          <w:lang w:val="ro-MD"/>
        </w:rPr>
        <w:t>acţiuni</w:t>
      </w:r>
      <w:proofErr w:type="spellEnd"/>
      <w:r w:rsidRPr="000508B6">
        <w:rPr>
          <w:rFonts w:ascii="Times New Roman" w:eastAsia="Times New Roman" w:hAnsi="Times New Roman" w:cs="Times New Roman"/>
          <w:lang w:val="ro-MD"/>
        </w:rPr>
        <w:t xml:space="preserve"> în capitalul social al asigurătorului sau al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respectiv în capitalul social al altor asigurători sau </w:t>
      </w:r>
      <w:proofErr w:type="spellStart"/>
      <w:r w:rsidRPr="000508B6">
        <w:rPr>
          <w:rFonts w:ascii="Times New Roman" w:eastAsia="Times New Roman" w:hAnsi="Times New Roman" w:cs="Times New Roman"/>
          <w:lang w:val="ro-MD"/>
        </w:rPr>
        <w:t>reasigurători</w:t>
      </w:r>
      <w:proofErr w:type="spellEnd"/>
      <w:r w:rsidRPr="000508B6">
        <w:rPr>
          <w:rFonts w:ascii="Times New Roman" w:eastAsia="Times New Roman" w:hAnsi="Times New Roman" w:cs="Times New Roman"/>
          <w:lang w:val="ro-MD"/>
        </w:rPr>
        <w:t>.</w:t>
      </w:r>
    </w:p>
    <w:p w14:paraId="2DE19A31" w14:textId="49B40011" w:rsidR="00E21634" w:rsidRPr="000508B6" w:rsidRDefault="00E21634" w:rsidP="00E21634">
      <w:pPr>
        <w:pStyle w:val="Listparagraf"/>
        <w:numPr>
          <w:ilvl w:val="0"/>
          <w:numId w:val="363"/>
        </w:numPr>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termen de 3 luni de la data retragerii aprobării prealabile, deținătorii de participații calificate vizați trebuie să înstrăineze </w:t>
      </w:r>
      <w:proofErr w:type="spellStart"/>
      <w:r w:rsidRPr="000508B6">
        <w:rPr>
          <w:rFonts w:ascii="Times New Roman" w:eastAsia="Times New Roman" w:hAnsi="Times New Roman" w:cs="Times New Roman"/>
          <w:lang w:val="ro-MD"/>
        </w:rPr>
        <w:t>acţiunile</w:t>
      </w:r>
      <w:proofErr w:type="spellEnd"/>
      <w:r w:rsidRPr="000508B6">
        <w:rPr>
          <w:rFonts w:ascii="Times New Roman" w:eastAsia="Times New Roman" w:hAnsi="Times New Roman" w:cs="Times New Roman"/>
          <w:lang w:val="ro-MD"/>
        </w:rPr>
        <w:t xml:space="preserve">. În cazul în care, în cadrul termenului </w:t>
      </w:r>
      <w:proofErr w:type="spellStart"/>
      <w:r w:rsidRPr="000508B6">
        <w:rPr>
          <w:rFonts w:ascii="Times New Roman" w:eastAsia="Times New Roman" w:hAnsi="Times New Roman" w:cs="Times New Roman"/>
          <w:lang w:val="ro-MD"/>
        </w:rPr>
        <w:t>menţionat</w:t>
      </w:r>
      <w:proofErr w:type="spellEnd"/>
      <w:r w:rsidRPr="000508B6">
        <w:rPr>
          <w:rFonts w:ascii="Times New Roman" w:eastAsia="Times New Roman" w:hAnsi="Times New Roman" w:cs="Times New Roman"/>
          <w:lang w:val="ro-MD"/>
        </w:rPr>
        <w:t xml:space="preserve">, Băncii </w:t>
      </w:r>
      <w:proofErr w:type="spellStart"/>
      <w:r w:rsidRPr="000508B6">
        <w:rPr>
          <w:rFonts w:ascii="Times New Roman" w:eastAsia="Times New Roman" w:hAnsi="Times New Roman" w:cs="Times New Roman"/>
          <w:lang w:val="ro-MD"/>
        </w:rPr>
        <w:t>Naţionale</w:t>
      </w:r>
      <w:proofErr w:type="spellEnd"/>
      <w:r w:rsidRPr="000508B6">
        <w:rPr>
          <w:rFonts w:ascii="Times New Roman" w:eastAsia="Times New Roman" w:hAnsi="Times New Roman" w:cs="Times New Roman"/>
          <w:lang w:val="ro-MD"/>
        </w:rPr>
        <w:t xml:space="preserve"> a Moldovei îi este înaintată o solicitare conform art.</w:t>
      </w:r>
      <w:r w:rsidR="00BA15B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13 de către un nou potențial achizitor/dobânditor cu referire la </w:t>
      </w:r>
      <w:proofErr w:type="spellStart"/>
      <w:r w:rsidRPr="000508B6">
        <w:rPr>
          <w:rFonts w:ascii="Times New Roman" w:eastAsia="Times New Roman" w:hAnsi="Times New Roman" w:cs="Times New Roman"/>
          <w:lang w:val="ro-MD"/>
        </w:rPr>
        <w:t>deţinerea</w:t>
      </w:r>
      <w:proofErr w:type="spellEnd"/>
      <w:r w:rsidRPr="000508B6">
        <w:rPr>
          <w:rFonts w:ascii="Times New Roman" w:eastAsia="Times New Roman" w:hAnsi="Times New Roman" w:cs="Times New Roman"/>
          <w:lang w:val="ro-MD"/>
        </w:rPr>
        <w:t xml:space="preserve"> pentru care a fost suspendat dreptul de vot conform alin</w:t>
      </w:r>
      <w:r w:rsidR="00BA15B0"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(1), pe perioada de evaluare prevăzută la art.</w:t>
      </w:r>
      <w:r w:rsidR="00BA15B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12, termenul de 3 luni de înstrăinare a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se suspendă</w:t>
      </w:r>
      <w:r w:rsidR="005D2D68" w:rsidRPr="000508B6">
        <w:rPr>
          <w:rFonts w:ascii="Times New Roman" w:eastAsia="Times New Roman" w:hAnsi="Times New Roman" w:cs="Times New Roman"/>
          <w:lang w:val="ro-MD"/>
        </w:rPr>
        <w:t xml:space="preserve"> pe perioada examinării solicitării</w:t>
      </w:r>
      <w:r w:rsidRPr="000508B6">
        <w:rPr>
          <w:rFonts w:ascii="Times New Roman" w:eastAsia="Times New Roman" w:hAnsi="Times New Roman" w:cs="Times New Roman"/>
          <w:lang w:val="ro-MD"/>
        </w:rPr>
        <w:t xml:space="preserve">. </w:t>
      </w:r>
    </w:p>
    <w:p w14:paraId="781FBB8F" w14:textId="09734A34" w:rsidR="001A68F6" w:rsidRPr="000508B6" w:rsidRDefault="001A68F6" w:rsidP="00CF5AFA">
      <w:pPr>
        <w:pStyle w:val="Listparagraf"/>
        <w:numPr>
          <w:ilvl w:val="0"/>
          <w:numId w:val="363"/>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lang w:val="ro-MD"/>
        </w:rPr>
        <w:t>Dacă, după expirarea termenului prevăzut la alin.</w:t>
      </w:r>
      <w:r w:rsidR="00BA15B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AE5D78" w:rsidRPr="000508B6">
        <w:rPr>
          <w:rFonts w:ascii="Times New Roman" w:eastAsia="Times New Roman" w:hAnsi="Times New Roman" w:cs="Times New Roman"/>
          <w:bCs/>
          <w:lang w:val="ro-MD"/>
        </w:rPr>
        <w:t>3</w:t>
      </w:r>
      <w:r w:rsidRPr="000508B6">
        <w:rPr>
          <w:rFonts w:ascii="Times New Roman" w:eastAsia="Times New Roman" w:hAnsi="Times New Roman" w:cs="Times New Roman"/>
          <w:lang w:val="ro-MD"/>
        </w:rPr>
        <w:t>) sau (</w:t>
      </w:r>
      <w:r w:rsidR="00AE5D78" w:rsidRPr="000508B6">
        <w:rPr>
          <w:rFonts w:ascii="Times New Roman" w:eastAsia="Times New Roman" w:hAnsi="Times New Roman" w:cs="Times New Roman"/>
          <w:bCs/>
          <w:lang w:val="ro-MD"/>
        </w:rPr>
        <w:t>6</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acţiunile</w:t>
      </w:r>
      <w:proofErr w:type="spellEnd"/>
      <w:r w:rsidRPr="000508B6">
        <w:rPr>
          <w:rFonts w:ascii="Times New Roman" w:eastAsia="Times New Roman" w:hAnsi="Times New Roman" w:cs="Times New Roman"/>
          <w:lang w:val="ro-MD"/>
        </w:rPr>
        <w:t xml:space="preserve"> nu au fost înstrăinate, devin incidente prevederile art.</w:t>
      </w:r>
      <w:r w:rsidR="00BA15B0" w:rsidRPr="000508B6">
        <w:rPr>
          <w:rFonts w:ascii="Times New Roman" w:eastAsia="Times New Roman" w:hAnsi="Times New Roman" w:cs="Times New Roman"/>
          <w:lang w:val="ro-MD"/>
        </w:rPr>
        <w:t xml:space="preserve"> </w:t>
      </w:r>
      <w:r w:rsidR="006F68DC" w:rsidRPr="000508B6">
        <w:rPr>
          <w:rFonts w:ascii="Times New Roman" w:eastAsia="Times New Roman" w:hAnsi="Times New Roman" w:cs="Times New Roman"/>
          <w:lang w:val="ro-MD"/>
        </w:rPr>
        <w:t>17</w:t>
      </w:r>
      <w:r w:rsidRPr="000508B6">
        <w:rPr>
          <w:rFonts w:ascii="Times New Roman" w:eastAsia="Times New Roman" w:hAnsi="Times New Roman" w:cs="Times New Roman"/>
          <w:lang w:val="ro-MD"/>
        </w:rPr>
        <w:t>.</w:t>
      </w:r>
      <w:r w:rsidRPr="000508B6">
        <w:rPr>
          <w:rFonts w:ascii="Times New Roman" w:eastAsia="Times New Roman" w:hAnsi="Times New Roman" w:cs="Times New Roman"/>
          <w:bCs/>
          <w:lang w:val="ro-MD"/>
        </w:rPr>
        <w:t xml:space="preserve"> Nulitatea sau altă cauză de nevalabilitate a deciziei organului executiv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privind anularea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care nu au fost înstrăinate în termenul prevăzut la alin.</w:t>
      </w:r>
      <w:r w:rsidR="00BA15B0"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(2)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privind emiterea de noi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în </w:t>
      </w:r>
      <w:proofErr w:type="spellStart"/>
      <w:r w:rsidRPr="000508B6">
        <w:rPr>
          <w:rFonts w:ascii="Times New Roman" w:eastAsia="Times New Roman" w:hAnsi="Times New Roman" w:cs="Times New Roman"/>
          <w:bCs/>
          <w:lang w:val="ro-MD"/>
        </w:rPr>
        <w:t>acelaşi</w:t>
      </w:r>
      <w:proofErr w:type="spellEnd"/>
      <w:r w:rsidRPr="000508B6">
        <w:rPr>
          <w:rFonts w:ascii="Times New Roman" w:eastAsia="Times New Roman" w:hAnsi="Times New Roman" w:cs="Times New Roman"/>
          <w:bCs/>
          <w:lang w:val="ro-MD"/>
        </w:rPr>
        <w:t xml:space="preserve"> număr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de </w:t>
      </w:r>
      <w:proofErr w:type="spellStart"/>
      <w:r w:rsidRPr="000508B6">
        <w:rPr>
          <w:rFonts w:ascii="Times New Roman" w:eastAsia="Times New Roman" w:hAnsi="Times New Roman" w:cs="Times New Roman"/>
          <w:bCs/>
          <w:lang w:val="ro-MD"/>
        </w:rPr>
        <w:t>aceeaşi</w:t>
      </w:r>
      <w:proofErr w:type="spellEnd"/>
      <w:r w:rsidRPr="000508B6">
        <w:rPr>
          <w:rFonts w:ascii="Times New Roman" w:eastAsia="Times New Roman" w:hAnsi="Times New Roman" w:cs="Times New Roman"/>
          <w:bCs/>
          <w:lang w:val="ro-MD"/>
        </w:rPr>
        <w:t xml:space="preserve"> clasă sau a deciziei </w:t>
      </w:r>
      <w:r w:rsidR="00BA15B0" w:rsidRPr="000508B6">
        <w:rPr>
          <w:rFonts w:ascii="Times New Roman" w:eastAsia="Times New Roman" w:hAnsi="Times New Roman" w:cs="Times New Roman"/>
          <w:bCs/>
          <w:lang w:val="ro-MD"/>
        </w:rPr>
        <w:t>CNPF</w:t>
      </w:r>
      <w:r w:rsidRPr="000508B6">
        <w:rPr>
          <w:rFonts w:ascii="Times New Roman" w:eastAsia="Times New Roman" w:hAnsi="Times New Roman" w:cs="Times New Roman"/>
          <w:bCs/>
          <w:lang w:val="ro-MD"/>
        </w:rPr>
        <w:t xml:space="preserve"> de înregistrare a emiterii de noi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prevăzute la art.</w:t>
      </w:r>
      <w:r w:rsidR="00BA15B0" w:rsidRPr="000508B6">
        <w:rPr>
          <w:rFonts w:ascii="Times New Roman" w:eastAsia="Times New Roman" w:hAnsi="Times New Roman" w:cs="Times New Roman"/>
          <w:bCs/>
          <w:lang w:val="ro-MD"/>
        </w:rPr>
        <w:t xml:space="preserve"> </w:t>
      </w:r>
      <w:r w:rsidR="00AE5D78" w:rsidRPr="000508B6">
        <w:rPr>
          <w:rFonts w:ascii="Times New Roman" w:eastAsia="Times New Roman" w:hAnsi="Times New Roman" w:cs="Times New Roman"/>
          <w:bCs/>
          <w:lang w:val="ro-MD"/>
        </w:rPr>
        <w:t xml:space="preserve">17 </w:t>
      </w:r>
      <w:r w:rsidRPr="000508B6">
        <w:rPr>
          <w:rFonts w:ascii="Times New Roman" w:eastAsia="Times New Roman" w:hAnsi="Times New Roman" w:cs="Times New Roman"/>
          <w:bCs/>
          <w:lang w:val="ro-MD"/>
        </w:rPr>
        <w:t xml:space="preserve">nu atrage invaliditatea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nu afectează în alt mod emiterea de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astfel efectuată. Dreptul persoanelor vătămate de a cere emitentului deciziei repararea prejudiciului </w:t>
      </w:r>
      <w:r w:rsidR="00922BD7" w:rsidRPr="000508B6">
        <w:rPr>
          <w:rFonts w:ascii="Times New Roman" w:eastAsia="Times New Roman" w:hAnsi="Times New Roman" w:cs="Times New Roman"/>
          <w:bCs/>
          <w:lang w:val="ro-MD"/>
        </w:rPr>
        <w:t>rămâne</w:t>
      </w:r>
      <w:r w:rsidRPr="000508B6">
        <w:rPr>
          <w:rFonts w:ascii="Times New Roman" w:eastAsia="Times New Roman" w:hAnsi="Times New Roman" w:cs="Times New Roman"/>
          <w:bCs/>
          <w:lang w:val="ro-MD"/>
        </w:rPr>
        <w:t xml:space="preserve"> neafectat.</w:t>
      </w:r>
    </w:p>
    <w:p w14:paraId="55ECF265" w14:textId="5879BD82" w:rsidR="001A68F6" w:rsidRPr="000508B6" w:rsidRDefault="001A68F6" w:rsidP="00CF5AFA">
      <w:pPr>
        <w:pStyle w:val="Listparagraf"/>
        <w:numPr>
          <w:ilvl w:val="0"/>
          <w:numId w:val="363"/>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Fostului</w:t>
      </w:r>
      <w:r w:rsidR="009A44DA" w:rsidRPr="000508B6" w:rsidDel="005C7AAF">
        <w:rPr>
          <w:rFonts w:ascii="Times New Roman" w:eastAsia="Times New Roman" w:hAnsi="Times New Roman" w:cs="Times New Roman"/>
          <w:bCs/>
          <w:lang w:val="ro-MD"/>
        </w:rPr>
        <w:t xml:space="preserve"> </w:t>
      </w:r>
      <w:r w:rsidR="005C7AAF" w:rsidRPr="000508B6">
        <w:rPr>
          <w:rFonts w:ascii="Times New Roman" w:eastAsia="Times New Roman" w:hAnsi="Times New Roman" w:cs="Times New Roman"/>
          <w:bCs/>
          <w:lang w:val="ro-MD"/>
        </w:rPr>
        <w:t xml:space="preserve">acționar </w:t>
      </w:r>
      <w:r w:rsidR="009A44DA" w:rsidRPr="000508B6">
        <w:rPr>
          <w:rFonts w:ascii="Times New Roman" w:eastAsia="Times New Roman" w:hAnsi="Times New Roman" w:cs="Times New Roman"/>
          <w:bCs/>
          <w:lang w:val="ro-MD"/>
        </w:rPr>
        <w:t>al participației calificate</w:t>
      </w:r>
      <w:r w:rsidRPr="000508B6">
        <w:rPr>
          <w:rFonts w:ascii="Times New Roman" w:eastAsia="Times New Roman" w:hAnsi="Times New Roman" w:cs="Times New Roman"/>
          <w:bCs/>
          <w:lang w:val="ro-MD"/>
        </w:rPr>
        <w:t xml:space="preserve"> în capitalul social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ale cărui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au fost anulate potrivit </w:t>
      </w:r>
      <w:proofErr w:type="spellStart"/>
      <w:r w:rsidRPr="000508B6">
        <w:rPr>
          <w:rFonts w:ascii="Times New Roman" w:eastAsia="Times New Roman" w:hAnsi="Times New Roman" w:cs="Times New Roman"/>
          <w:bCs/>
          <w:lang w:val="ro-MD"/>
        </w:rPr>
        <w:t>dispoziţiilor</w:t>
      </w:r>
      <w:proofErr w:type="spellEnd"/>
      <w:r w:rsidRPr="000508B6">
        <w:rPr>
          <w:rFonts w:ascii="Times New Roman" w:eastAsia="Times New Roman" w:hAnsi="Times New Roman" w:cs="Times New Roman"/>
          <w:bCs/>
          <w:lang w:val="ro-MD"/>
        </w:rPr>
        <w:t xml:space="preserve"> alin.</w:t>
      </w:r>
      <w:r w:rsidR="00BA15B0"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w:t>
      </w:r>
      <w:r w:rsidR="00D0290B" w:rsidRPr="000508B6">
        <w:rPr>
          <w:rFonts w:ascii="Times New Roman" w:eastAsia="Times New Roman" w:hAnsi="Times New Roman" w:cs="Times New Roman"/>
          <w:bCs/>
          <w:lang w:val="ro-MD"/>
        </w:rPr>
        <w:t>4</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 cărui </w:t>
      </w:r>
      <w:proofErr w:type="spellStart"/>
      <w:r w:rsidRPr="000508B6">
        <w:rPr>
          <w:rFonts w:ascii="Times New Roman" w:eastAsia="Times New Roman" w:hAnsi="Times New Roman" w:cs="Times New Roman"/>
          <w:bCs/>
          <w:lang w:val="ro-MD"/>
        </w:rPr>
        <w:t>creanţă</w:t>
      </w:r>
      <w:proofErr w:type="spellEnd"/>
      <w:r w:rsidRPr="000508B6">
        <w:rPr>
          <w:rFonts w:ascii="Times New Roman" w:eastAsia="Times New Roman" w:hAnsi="Times New Roman" w:cs="Times New Roman"/>
          <w:bCs/>
          <w:lang w:val="ro-MD"/>
        </w:rPr>
        <w:t xml:space="preserve"> rezultantă din această anulare nu a fost onorată, precum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persoanelor afiliate acestuia, în procesul de </w:t>
      </w:r>
      <w:proofErr w:type="spellStart"/>
      <w:r w:rsidRPr="000508B6">
        <w:rPr>
          <w:rFonts w:ascii="Times New Roman" w:eastAsia="Times New Roman" w:hAnsi="Times New Roman" w:cs="Times New Roman"/>
          <w:bCs/>
          <w:lang w:val="ro-MD"/>
        </w:rPr>
        <w:t>rezoluţie</w:t>
      </w:r>
      <w:proofErr w:type="spellEnd"/>
      <w:r w:rsidRPr="000508B6">
        <w:rPr>
          <w:rFonts w:ascii="Times New Roman" w:eastAsia="Times New Roman" w:hAnsi="Times New Roman" w:cs="Times New Roman"/>
          <w:bCs/>
          <w:lang w:val="ro-MD"/>
        </w:rPr>
        <w:t xml:space="preserve"> </w:t>
      </w:r>
      <w:r w:rsidR="003371B5" w:rsidRPr="000508B6">
        <w:rPr>
          <w:rFonts w:ascii="Times New Roman" w:eastAsia="Times New Roman" w:hAnsi="Times New Roman" w:cs="Times New Roman"/>
          <w:bCs/>
          <w:lang w:val="ro-MD"/>
        </w:rPr>
        <w:t xml:space="preserve">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în procesul de lichidare silită a</w:t>
      </w:r>
      <w:r w:rsidR="003371B5" w:rsidRPr="000508B6">
        <w:rPr>
          <w:rFonts w:ascii="Times New Roman" w:eastAsia="Times New Roman" w:hAnsi="Times New Roman" w:cs="Times New Roman"/>
          <w:bCs/>
          <w:lang w:val="ro-MD"/>
        </w:rPr>
        <w:t>l</w:t>
      </w:r>
      <w:r w:rsidRPr="000508B6">
        <w:rPr>
          <w:rFonts w:ascii="Times New Roman" w:eastAsia="Times New Roman" w:hAnsi="Times New Roman" w:cs="Times New Roman"/>
          <w:bCs/>
          <w:lang w:val="ro-MD"/>
        </w:rPr>
        <w:t xml:space="preserve"> </w:t>
      </w:r>
      <w:r w:rsidR="003371B5" w:rsidRPr="000508B6">
        <w:rPr>
          <w:rFonts w:ascii="Times New Roman" w:eastAsia="Times New Roman" w:hAnsi="Times New Roman" w:cs="Times New Roman"/>
          <w:bCs/>
          <w:lang w:val="ro-MD"/>
        </w:rPr>
        <w:t xml:space="preserve"> </w:t>
      </w:r>
      <w:r w:rsidR="008773CB" w:rsidRPr="000508B6">
        <w:rPr>
          <w:rFonts w:ascii="Times New Roman" w:eastAsia="Times New Roman" w:hAnsi="Times New Roman" w:cs="Times New Roman"/>
          <w:bCs/>
          <w:lang w:val="ro-MD"/>
        </w:rPr>
        <w:t xml:space="preserve">acestuia </w:t>
      </w:r>
      <w:r w:rsidRPr="000508B6">
        <w:rPr>
          <w:rFonts w:ascii="Times New Roman" w:eastAsia="Times New Roman" w:hAnsi="Times New Roman" w:cs="Times New Roman"/>
          <w:bCs/>
          <w:lang w:val="ro-MD"/>
        </w:rPr>
        <w:t xml:space="preserve">li se va aplica tratamentul aplicabil </w:t>
      </w:r>
      <w:proofErr w:type="spellStart"/>
      <w:r w:rsidRPr="000508B6">
        <w:rPr>
          <w:rFonts w:ascii="Times New Roman" w:eastAsia="Times New Roman" w:hAnsi="Times New Roman" w:cs="Times New Roman"/>
          <w:bCs/>
          <w:lang w:val="ro-MD"/>
        </w:rPr>
        <w:t>acţionarilor</w:t>
      </w:r>
      <w:proofErr w:type="spellEnd"/>
      <w:r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persoanelor afiliate acestora.</w:t>
      </w:r>
    </w:p>
    <w:p w14:paraId="1378C5C5" w14:textId="4FA1B42D" w:rsidR="00A5779C" w:rsidRPr="000508B6" w:rsidRDefault="001A68F6" w:rsidP="00CF5AFA">
      <w:pPr>
        <w:pStyle w:val="Listparagraf"/>
        <w:numPr>
          <w:ilvl w:val="0"/>
          <w:numId w:val="363"/>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Banca </w:t>
      </w:r>
      <w:proofErr w:type="spellStart"/>
      <w:r w:rsidRPr="000508B6">
        <w:rPr>
          <w:rFonts w:ascii="Times New Roman" w:eastAsia="Times New Roman" w:hAnsi="Times New Roman" w:cs="Times New Roman"/>
          <w:bCs/>
          <w:lang w:val="ro-MD"/>
        </w:rPr>
        <w:t>Naţională</w:t>
      </w:r>
      <w:proofErr w:type="spellEnd"/>
      <w:r w:rsidRPr="000508B6">
        <w:rPr>
          <w:rFonts w:ascii="Times New Roman" w:eastAsia="Times New Roman" w:hAnsi="Times New Roman" w:cs="Times New Roman"/>
          <w:bCs/>
          <w:lang w:val="ro-MD"/>
        </w:rPr>
        <w:t xml:space="preserve"> a Moldovei poate dispune prelungirea termenului de 3 luni prevăzut la </w:t>
      </w:r>
      <w:r w:rsidR="00AE5D78" w:rsidRPr="000508B6">
        <w:rPr>
          <w:rFonts w:ascii="Times New Roman" w:eastAsia="Times New Roman" w:hAnsi="Times New Roman" w:cs="Times New Roman"/>
          <w:bCs/>
          <w:lang w:val="ro-MD"/>
        </w:rPr>
        <w:t>art. 12 alin. (</w:t>
      </w:r>
      <w:r w:rsidR="00A5779C" w:rsidRPr="000508B6">
        <w:rPr>
          <w:rFonts w:ascii="Times New Roman" w:eastAsia="Times New Roman" w:hAnsi="Times New Roman" w:cs="Times New Roman"/>
          <w:bCs/>
          <w:lang w:val="ro-MD"/>
        </w:rPr>
        <w:t>1</w:t>
      </w:r>
      <w:r w:rsidR="001B559D" w:rsidRPr="000508B6">
        <w:rPr>
          <w:rFonts w:ascii="Times New Roman" w:eastAsia="Times New Roman" w:hAnsi="Times New Roman" w:cs="Times New Roman"/>
          <w:bCs/>
          <w:lang w:val="ro-MD"/>
        </w:rPr>
        <w:t>3</w:t>
      </w:r>
      <w:r w:rsidR="00AE5D78" w:rsidRPr="000508B6">
        <w:rPr>
          <w:rFonts w:ascii="Times New Roman" w:eastAsia="Times New Roman" w:hAnsi="Times New Roman" w:cs="Times New Roman"/>
          <w:bCs/>
          <w:lang w:val="ro-MD"/>
        </w:rPr>
        <w:t>)</w:t>
      </w:r>
      <w:r w:rsidR="00A5779C" w:rsidRPr="000508B6">
        <w:rPr>
          <w:rFonts w:ascii="Times New Roman" w:eastAsia="Times New Roman" w:hAnsi="Times New Roman" w:cs="Times New Roman"/>
          <w:bCs/>
          <w:lang w:val="ro-MD"/>
        </w:rPr>
        <w:t>, art. 14 alin. (4) și (3)</w:t>
      </w:r>
      <w:r w:rsidRPr="000508B6">
        <w:rPr>
          <w:rFonts w:ascii="Times New Roman" w:eastAsia="Times New Roman" w:hAnsi="Times New Roman" w:cs="Times New Roman"/>
          <w:bCs/>
          <w:lang w:val="ro-MD"/>
        </w:rPr>
        <w:t xml:space="preserve"> cu perioade a câte cel mult 3 luni, de cel mult 3 ori, în cazul în care</w:t>
      </w:r>
      <w:r w:rsidR="00A5779C" w:rsidRPr="000508B6">
        <w:rPr>
          <w:rFonts w:ascii="Times New Roman" w:eastAsia="Times New Roman" w:hAnsi="Times New Roman" w:cs="Times New Roman"/>
          <w:bCs/>
          <w:lang w:val="ro-MD"/>
        </w:rPr>
        <w:t>:</w:t>
      </w:r>
    </w:p>
    <w:p w14:paraId="0EC7CC62" w14:textId="77777777" w:rsidR="00A5779C" w:rsidRPr="000508B6" w:rsidRDefault="00A5779C" w:rsidP="00D06BB8">
      <w:pPr>
        <w:tabs>
          <w:tab w:val="left" w:pos="851"/>
          <w:tab w:val="left" w:pos="993"/>
        </w:tabs>
        <w:spacing w:after="0" w:line="240" w:lineRule="auto"/>
        <w:ind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w:t>
      </w:r>
      <w:r w:rsidR="001A68F6" w:rsidRPr="000508B6">
        <w:rPr>
          <w:rFonts w:ascii="Times New Roman" w:eastAsia="Times New Roman" w:hAnsi="Times New Roman" w:cs="Times New Roman"/>
          <w:bCs/>
          <w:lang w:val="ro-MD"/>
        </w:rPr>
        <w:t xml:space="preserve"> prelungirea este necesară în vederea neadmiterii periclitării </w:t>
      </w:r>
      <w:proofErr w:type="spellStart"/>
      <w:r w:rsidR="001A68F6" w:rsidRPr="000508B6">
        <w:rPr>
          <w:rFonts w:ascii="Times New Roman" w:eastAsia="Times New Roman" w:hAnsi="Times New Roman" w:cs="Times New Roman"/>
          <w:bCs/>
          <w:lang w:val="ro-MD"/>
        </w:rPr>
        <w:t>stabilităţii</w:t>
      </w:r>
      <w:proofErr w:type="spellEnd"/>
      <w:r w:rsidR="001A68F6" w:rsidRPr="000508B6">
        <w:rPr>
          <w:rFonts w:ascii="Times New Roman" w:eastAsia="Times New Roman" w:hAnsi="Times New Roman" w:cs="Times New Roman"/>
          <w:bCs/>
          <w:lang w:val="ro-MD"/>
        </w:rPr>
        <w:t xml:space="preserve"> financiare</w:t>
      </w:r>
      <w:r w:rsidRPr="000508B6">
        <w:rPr>
          <w:rFonts w:ascii="Times New Roman" w:eastAsia="Times New Roman" w:hAnsi="Times New Roman" w:cs="Times New Roman"/>
          <w:bCs/>
          <w:lang w:val="ro-MD"/>
        </w:rPr>
        <w:t>;</w:t>
      </w:r>
    </w:p>
    <w:p w14:paraId="1ECC244D" w14:textId="06CB399B" w:rsidR="00A5779C" w:rsidRPr="000508B6" w:rsidRDefault="00A5779C" w:rsidP="00D06BB8">
      <w:pPr>
        <w:tabs>
          <w:tab w:val="left" w:pos="851"/>
          <w:tab w:val="left" w:pos="993"/>
        </w:tabs>
        <w:spacing w:after="0" w:line="240" w:lineRule="auto"/>
        <w:ind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w:t>
      </w:r>
      <w:r w:rsidR="00BA15B0" w:rsidRPr="000508B6">
        <w:rPr>
          <w:rFonts w:ascii="Times New Roman" w:eastAsia="Times New Roman" w:hAnsi="Times New Roman" w:cs="Times New Roman"/>
          <w:bCs/>
          <w:lang w:val="ro-MD"/>
        </w:rPr>
        <w:t xml:space="preserve"> </w:t>
      </w:r>
      <w:r w:rsidR="001A68F6" w:rsidRPr="000508B6">
        <w:rPr>
          <w:rFonts w:ascii="Times New Roman" w:eastAsia="Times New Roman" w:hAnsi="Times New Roman" w:cs="Times New Roman"/>
          <w:lang w:val="ro-MD"/>
        </w:rPr>
        <w:t>există un interes public în a dispune prelungirea</w:t>
      </w:r>
      <w:r w:rsidRPr="000508B6">
        <w:rPr>
          <w:rFonts w:ascii="Times New Roman" w:eastAsia="Times New Roman" w:hAnsi="Times New Roman" w:cs="Times New Roman"/>
          <w:bCs/>
          <w:lang w:val="ro-MD"/>
        </w:rPr>
        <w:t>;</w:t>
      </w:r>
    </w:p>
    <w:p w14:paraId="7E1C0300" w14:textId="315F5715" w:rsidR="001A68F6" w:rsidRPr="000508B6" w:rsidRDefault="00A5779C" w:rsidP="00D06BB8">
      <w:pPr>
        <w:tabs>
          <w:tab w:val="left" w:pos="851"/>
          <w:tab w:val="left" w:pos="993"/>
        </w:tabs>
        <w:spacing w:after="0" w:line="240" w:lineRule="auto"/>
        <w:ind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c)</w:t>
      </w:r>
      <w:r w:rsidR="001A68F6" w:rsidRPr="000508B6">
        <w:rPr>
          <w:rFonts w:ascii="Times New Roman" w:eastAsia="Times New Roman" w:hAnsi="Times New Roman" w:cs="Times New Roman"/>
          <w:bCs/>
          <w:lang w:val="ro-MD"/>
        </w:rPr>
        <w:t xml:space="preserve"> a fost identificat de către</w:t>
      </w:r>
      <w:r w:rsidR="000043C8" w:rsidRPr="000508B6" w:rsidDel="00EA5F32">
        <w:rPr>
          <w:rFonts w:ascii="Times New Roman" w:eastAsia="Times New Roman" w:hAnsi="Times New Roman" w:cs="Times New Roman"/>
          <w:bCs/>
          <w:lang w:val="ro-MD"/>
        </w:rPr>
        <w:t xml:space="preserve"> </w:t>
      </w:r>
      <w:r w:rsidR="00EA5F32" w:rsidRPr="000508B6">
        <w:rPr>
          <w:rFonts w:ascii="Times New Roman" w:eastAsia="Times New Roman" w:hAnsi="Times New Roman" w:cs="Times New Roman"/>
          <w:bCs/>
          <w:lang w:val="ro-MD"/>
        </w:rPr>
        <w:t xml:space="preserve">asigurător sau </w:t>
      </w:r>
      <w:proofErr w:type="spellStart"/>
      <w:r w:rsidR="00EA5F32" w:rsidRPr="000508B6">
        <w:rPr>
          <w:rFonts w:ascii="Times New Roman" w:eastAsia="Times New Roman" w:hAnsi="Times New Roman" w:cs="Times New Roman"/>
          <w:bCs/>
          <w:lang w:val="ro-MD"/>
        </w:rPr>
        <w:t>reasigurător</w:t>
      </w:r>
      <w:proofErr w:type="spellEnd"/>
      <w:r w:rsidR="00EA5F32" w:rsidRPr="000508B6">
        <w:rPr>
          <w:rFonts w:ascii="Times New Roman" w:eastAsia="Times New Roman" w:hAnsi="Times New Roman" w:cs="Times New Roman"/>
          <w:bCs/>
          <w:lang w:val="ro-MD"/>
        </w:rPr>
        <w:t xml:space="preserve"> </w:t>
      </w:r>
      <w:r w:rsidR="001A68F6" w:rsidRPr="000508B6">
        <w:rPr>
          <w:rFonts w:ascii="Times New Roman" w:eastAsia="Times New Roman" w:hAnsi="Times New Roman" w:cs="Times New Roman"/>
          <w:bCs/>
          <w:lang w:val="ro-MD"/>
        </w:rPr>
        <w:t xml:space="preserve">ori Banca </w:t>
      </w:r>
      <w:proofErr w:type="spellStart"/>
      <w:r w:rsidR="001A68F6" w:rsidRPr="000508B6">
        <w:rPr>
          <w:rFonts w:ascii="Times New Roman" w:eastAsia="Times New Roman" w:hAnsi="Times New Roman" w:cs="Times New Roman"/>
          <w:bCs/>
          <w:lang w:val="ro-MD"/>
        </w:rPr>
        <w:t>Naţională</w:t>
      </w:r>
      <w:proofErr w:type="spellEnd"/>
      <w:r w:rsidR="001A68F6" w:rsidRPr="000508B6">
        <w:rPr>
          <w:rFonts w:ascii="Times New Roman" w:eastAsia="Times New Roman" w:hAnsi="Times New Roman" w:cs="Times New Roman"/>
          <w:bCs/>
          <w:lang w:val="ro-MD"/>
        </w:rPr>
        <w:t xml:space="preserve"> a Moldovei, în baza notificării </w:t>
      </w:r>
      <w:proofErr w:type="spellStart"/>
      <w:r w:rsidR="000043C8" w:rsidRPr="000508B6">
        <w:rPr>
          <w:rFonts w:ascii="Times New Roman" w:eastAsia="Times New Roman" w:hAnsi="Times New Roman" w:cs="Times New Roman"/>
          <w:bCs/>
          <w:lang w:val="ro-MD"/>
        </w:rPr>
        <w:t>potenţialului</w:t>
      </w:r>
      <w:proofErr w:type="spellEnd"/>
      <w:r w:rsidR="000043C8" w:rsidRPr="000508B6">
        <w:rPr>
          <w:rFonts w:ascii="Times New Roman" w:eastAsia="Times New Roman" w:hAnsi="Times New Roman" w:cs="Times New Roman"/>
          <w:bCs/>
          <w:lang w:val="ro-MD"/>
        </w:rPr>
        <w:t xml:space="preserve"> </w:t>
      </w:r>
      <w:r w:rsidR="001A68F6" w:rsidRPr="000508B6">
        <w:rPr>
          <w:rFonts w:ascii="Times New Roman" w:eastAsia="Times New Roman" w:hAnsi="Times New Roman" w:cs="Times New Roman"/>
          <w:bCs/>
          <w:lang w:val="ro-MD"/>
        </w:rPr>
        <w:t>achizitor</w:t>
      </w:r>
      <w:r w:rsidRPr="000508B6">
        <w:rPr>
          <w:rFonts w:ascii="Times New Roman" w:eastAsia="Times New Roman" w:hAnsi="Times New Roman" w:cs="Times New Roman"/>
          <w:bCs/>
          <w:lang w:val="ro-MD"/>
        </w:rPr>
        <w:t>/dobânditorului de acțiuni</w:t>
      </w:r>
      <w:r w:rsidR="001A68F6" w:rsidRPr="000508B6">
        <w:rPr>
          <w:rFonts w:ascii="Times New Roman" w:eastAsia="Times New Roman" w:hAnsi="Times New Roman" w:cs="Times New Roman"/>
          <w:bCs/>
          <w:lang w:val="ro-MD"/>
        </w:rPr>
        <w:t xml:space="preserve"> în modul prevăzut de actele normative ale Băncii </w:t>
      </w:r>
      <w:proofErr w:type="spellStart"/>
      <w:r w:rsidR="001A68F6" w:rsidRPr="000508B6">
        <w:rPr>
          <w:rFonts w:ascii="Times New Roman" w:eastAsia="Times New Roman" w:hAnsi="Times New Roman" w:cs="Times New Roman"/>
          <w:bCs/>
          <w:lang w:val="ro-MD"/>
        </w:rPr>
        <w:t>Naţionale</w:t>
      </w:r>
      <w:proofErr w:type="spellEnd"/>
      <w:r w:rsidR="001A68F6" w:rsidRPr="000508B6">
        <w:rPr>
          <w:rFonts w:ascii="Times New Roman" w:eastAsia="Times New Roman" w:hAnsi="Times New Roman" w:cs="Times New Roman"/>
          <w:bCs/>
          <w:lang w:val="ro-MD"/>
        </w:rPr>
        <w:t xml:space="preserve"> a Moldovei, fără efectuarea unei evaluări prealabile de către Banca </w:t>
      </w:r>
      <w:proofErr w:type="spellStart"/>
      <w:r w:rsidR="001A68F6" w:rsidRPr="000508B6">
        <w:rPr>
          <w:rFonts w:ascii="Times New Roman" w:eastAsia="Times New Roman" w:hAnsi="Times New Roman" w:cs="Times New Roman"/>
          <w:bCs/>
          <w:lang w:val="ro-MD"/>
        </w:rPr>
        <w:t>Naţională</w:t>
      </w:r>
      <w:proofErr w:type="spellEnd"/>
      <w:r w:rsidR="001A68F6" w:rsidRPr="000508B6">
        <w:rPr>
          <w:rFonts w:ascii="Times New Roman" w:eastAsia="Times New Roman" w:hAnsi="Times New Roman" w:cs="Times New Roman"/>
          <w:bCs/>
          <w:lang w:val="ro-MD"/>
        </w:rPr>
        <w:t xml:space="preserve"> a Moldovei, un </w:t>
      </w:r>
      <w:proofErr w:type="spellStart"/>
      <w:r w:rsidR="000043C8" w:rsidRPr="000508B6">
        <w:rPr>
          <w:rFonts w:ascii="Times New Roman" w:eastAsia="Times New Roman" w:hAnsi="Times New Roman" w:cs="Times New Roman"/>
          <w:bCs/>
          <w:lang w:val="ro-MD"/>
        </w:rPr>
        <w:t>potenţial</w:t>
      </w:r>
      <w:proofErr w:type="spellEnd"/>
      <w:r w:rsidR="000043C8" w:rsidRPr="000508B6">
        <w:rPr>
          <w:rFonts w:ascii="Times New Roman" w:eastAsia="Times New Roman" w:hAnsi="Times New Roman" w:cs="Times New Roman"/>
          <w:bCs/>
          <w:lang w:val="ro-MD"/>
        </w:rPr>
        <w:t xml:space="preserve"> </w:t>
      </w:r>
      <w:r w:rsidR="001A68F6" w:rsidRPr="000508B6">
        <w:rPr>
          <w:rFonts w:ascii="Times New Roman" w:eastAsia="Times New Roman" w:hAnsi="Times New Roman" w:cs="Times New Roman"/>
          <w:bCs/>
          <w:lang w:val="ro-MD"/>
        </w:rPr>
        <w:t>achizitor</w:t>
      </w:r>
      <w:r w:rsidRPr="000508B6">
        <w:rPr>
          <w:rFonts w:ascii="Times New Roman" w:eastAsia="Times New Roman" w:hAnsi="Times New Roman" w:cs="Times New Roman"/>
          <w:bCs/>
          <w:lang w:val="ro-MD"/>
        </w:rPr>
        <w:t>/dobânditor</w:t>
      </w:r>
      <w:r w:rsidR="001A68F6" w:rsidRPr="000508B6">
        <w:rPr>
          <w:rFonts w:ascii="Times New Roman" w:eastAsia="Times New Roman" w:hAnsi="Times New Roman" w:cs="Times New Roman"/>
          <w:bCs/>
          <w:lang w:val="ro-MD"/>
        </w:rPr>
        <w:t xml:space="preserve">  al </w:t>
      </w:r>
      <w:proofErr w:type="spellStart"/>
      <w:r w:rsidR="001A68F6" w:rsidRPr="000508B6">
        <w:rPr>
          <w:rFonts w:ascii="Times New Roman" w:eastAsia="Times New Roman" w:hAnsi="Times New Roman" w:cs="Times New Roman"/>
          <w:bCs/>
          <w:lang w:val="ro-MD"/>
        </w:rPr>
        <w:t>acţiunilor</w:t>
      </w:r>
      <w:proofErr w:type="spellEnd"/>
      <w:r w:rsidR="001A68F6" w:rsidRPr="000508B6">
        <w:rPr>
          <w:rFonts w:ascii="Times New Roman" w:eastAsia="Times New Roman" w:hAnsi="Times New Roman" w:cs="Times New Roman"/>
          <w:bCs/>
          <w:lang w:val="ro-MD"/>
        </w:rPr>
        <w:t xml:space="preserve"> expuse spre vânzare, al cărui caracter potrivit </w:t>
      </w:r>
      <w:proofErr w:type="spellStart"/>
      <w:r w:rsidR="001A68F6" w:rsidRPr="000508B6">
        <w:rPr>
          <w:rFonts w:ascii="Times New Roman" w:eastAsia="Times New Roman" w:hAnsi="Times New Roman" w:cs="Times New Roman"/>
          <w:bCs/>
          <w:lang w:val="ro-MD"/>
        </w:rPr>
        <w:t>şi</w:t>
      </w:r>
      <w:proofErr w:type="spellEnd"/>
      <w:r w:rsidR="001A68F6" w:rsidRPr="000508B6">
        <w:rPr>
          <w:rFonts w:ascii="Times New Roman" w:eastAsia="Times New Roman" w:hAnsi="Times New Roman" w:cs="Times New Roman"/>
          <w:bCs/>
          <w:lang w:val="ro-MD"/>
        </w:rPr>
        <w:t xml:space="preserve"> adecvat nu comportă suspiciuni întemeiate la data emiterii deciziei de prelungire.</w:t>
      </w:r>
    </w:p>
    <w:p w14:paraId="0CC79D84" w14:textId="3349575B" w:rsidR="003463AB" w:rsidRPr="000508B6" w:rsidRDefault="001A68F6" w:rsidP="00CF5AFA">
      <w:pPr>
        <w:pStyle w:val="Listparagraf"/>
        <w:numPr>
          <w:ilvl w:val="0"/>
          <w:numId w:val="363"/>
        </w:numPr>
        <w:tabs>
          <w:tab w:val="left" w:pos="851"/>
          <w:tab w:val="left" w:pos="993"/>
        </w:tabs>
        <w:spacing w:after="0" w:line="240" w:lineRule="auto"/>
        <w:ind w:left="0" w:firstLine="709"/>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Banca </w:t>
      </w:r>
      <w:proofErr w:type="spellStart"/>
      <w:r w:rsidRPr="000508B6">
        <w:rPr>
          <w:rFonts w:ascii="Times New Roman" w:eastAsia="Times New Roman" w:hAnsi="Times New Roman" w:cs="Times New Roman"/>
          <w:bCs/>
          <w:lang w:val="ro-MD"/>
        </w:rPr>
        <w:t>Naţională</w:t>
      </w:r>
      <w:proofErr w:type="spellEnd"/>
      <w:r w:rsidRPr="000508B6">
        <w:rPr>
          <w:rFonts w:ascii="Times New Roman" w:eastAsia="Times New Roman" w:hAnsi="Times New Roman" w:cs="Times New Roman"/>
          <w:bCs/>
          <w:lang w:val="ro-MD"/>
        </w:rPr>
        <w:t xml:space="preserve"> a Moldovei informează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000043C8"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r w:rsidR="00A5779C" w:rsidRPr="000508B6">
        <w:rPr>
          <w:rFonts w:ascii="Times New Roman" w:eastAsia="Times New Roman" w:hAnsi="Times New Roman" w:cs="Times New Roman"/>
          <w:bCs/>
          <w:lang w:val="ro-MD"/>
        </w:rPr>
        <w:t>deținătorii de</w:t>
      </w:r>
      <w:r w:rsidR="00EF3FCD" w:rsidRPr="000508B6">
        <w:rPr>
          <w:rFonts w:ascii="Times New Roman" w:eastAsia="Times New Roman" w:hAnsi="Times New Roman" w:cs="Times New Roman"/>
          <w:bCs/>
          <w:lang w:val="ro-MD"/>
        </w:rPr>
        <w:t xml:space="preserve"> participații calificate</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vizaţi</w:t>
      </w:r>
      <w:proofErr w:type="spellEnd"/>
      <w:r w:rsidRPr="000508B6">
        <w:rPr>
          <w:rFonts w:ascii="Times New Roman" w:eastAsia="Times New Roman" w:hAnsi="Times New Roman" w:cs="Times New Roman"/>
          <w:bCs/>
          <w:lang w:val="ro-MD"/>
        </w:rPr>
        <w:t xml:space="preserve"> cu privire la prelungirea termenului conform alin.(</w:t>
      </w:r>
      <w:r w:rsidR="00A5779C" w:rsidRPr="000508B6">
        <w:rPr>
          <w:rFonts w:ascii="Times New Roman" w:eastAsia="Times New Roman" w:hAnsi="Times New Roman" w:cs="Times New Roman"/>
          <w:bCs/>
          <w:lang w:val="ro-MD"/>
        </w:rPr>
        <w:t>6</w:t>
      </w:r>
      <w:r w:rsidRPr="000508B6">
        <w:rPr>
          <w:rFonts w:ascii="Times New Roman" w:eastAsia="Times New Roman" w:hAnsi="Times New Roman" w:cs="Times New Roman"/>
          <w:bCs/>
          <w:lang w:val="ro-MD"/>
        </w:rPr>
        <w:t xml:space="preserve">) </w:t>
      </w:r>
      <w:r w:rsidR="0026491D" w:rsidRPr="000508B6">
        <w:rPr>
          <w:rFonts w:ascii="Times New Roman" w:eastAsia="Times New Roman" w:hAnsi="Times New Roman" w:cs="Times New Roman"/>
          <w:bCs/>
          <w:lang w:val="ro-MD"/>
        </w:rPr>
        <w:t>până</w:t>
      </w:r>
      <w:r w:rsidRPr="000508B6">
        <w:rPr>
          <w:rFonts w:ascii="Times New Roman" w:eastAsia="Times New Roman" w:hAnsi="Times New Roman" w:cs="Times New Roman"/>
          <w:bCs/>
          <w:lang w:val="ro-MD"/>
        </w:rPr>
        <w:t xml:space="preserve"> la expirarea termenului precedent stabilit pentru </w:t>
      </w:r>
      <w:r w:rsidR="0026491D" w:rsidRPr="000508B6">
        <w:rPr>
          <w:rFonts w:ascii="Times New Roman" w:eastAsia="Times New Roman" w:hAnsi="Times New Roman" w:cs="Times New Roman"/>
          <w:bCs/>
          <w:lang w:val="ro-MD"/>
        </w:rPr>
        <w:t>vânzarea</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w:t>
      </w:r>
    </w:p>
    <w:p w14:paraId="04F17B09" w14:textId="77777777" w:rsidR="00922BD7" w:rsidRPr="000508B6" w:rsidRDefault="00922BD7" w:rsidP="00F33667">
      <w:pPr>
        <w:tabs>
          <w:tab w:val="left" w:pos="851"/>
          <w:tab w:val="left" w:pos="993"/>
        </w:tabs>
        <w:spacing w:after="0" w:line="240" w:lineRule="auto"/>
        <w:jc w:val="both"/>
        <w:rPr>
          <w:rFonts w:ascii="Times New Roman" w:eastAsia="Times New Roman" w:hAnsi="Times New Roman" w:cs="Times New Roman"/>
          <w:b/>
          <w:lang w:val="ro-MD"/>
        </w:rPr>
      </w:pPr>
    </w:p>
    <w:p w14:paraId="2C6B3E42" w14:textId="2D1283B8" w:rsidR="000043C8" w:rsidRPr="000508B6" w:rsidRDefault="000043C8" w:rsidP="006405EF">
      <w:pPr>
        <w:pStyle w:val="Listparagraf"/>
        <w:tabs>
          <w:tab w:val="left" w:pos="851"/>
          <w:tab w:val="left" w:pos="993"/>
        </w:tabs>
        <w:spacing w:after="0" w:line="240" w:lineRule="auto"/>
        <w:ind w:left="0" w:firstLine="567"/>
        <w:jc w:val="both"/>
        <w:rPr>
          <w:rFonts w:ascii="Times New Roman" w:eastAsia="Times New Roman" w:hAnsi="Times New Roman" w:cs="Times New Roman"/>
          <w:b/>
          <w:lang w:val="ro-MD"/>
        </w:rPr>
      </w:pPr>
      <w:bookmarkStart w:id="39" w:name="_Hlk220071881"/>
      <w:r w:rsidRPr="000508B6">
        <w:rPr>
          <w:rFonts w:ascii="Times New Roman" w:eastAsia="Times New Roman" w:hAnsi="Times New Roman" w:cs="Times New Roman"/>
          <w:b/>
          <w:lang w:val="ro-MD"/>
        </w:rPr>
        <w:t>Articolul 1</w:t>
      </w:r>
      <w:r w:rsidR="00FF2E4F" w:rsidRPr="000508B6">
        <w:rPr>
          <w:rFonts w:ascii="Times New Roman" w:eastAsia="Times New Roman" w:hAnsi="Times New Roman" w:cs="Times New Roman"/>
          <w:b/>
          <w:lang w:val="ro-MD"/>
        </w:rPr>
        <w:t>7</w:t>
      </w:r>
      <w:r w:rsidRPr="000508B6">
        <w:rPr>
          <w:rFonts w:ascii="Times New Roman" w:eastAsia="Times New Roman" w:hAnsi="Times New Roman" w:cs="Times New Roman"/>
          <w:b/>
          <w:lang w:val="ro-MD"/>
        </w:rPr>
        <w:t xml:space="preserve">. </w:t>
      </w:r>
      <w:bookmarkStart w:id="40" w:name="_Hlk207954398"/>
      <w:r w:rsidRPr="000508B6">
        <w:rPr>
          <w:rFonts w:ascii="Times New Roman" w:eastAsia="Times New Roman" w:hAnsi="Times New Roman" w:cs="Times New Roman"/>
          <w:bCs/>
          <w:lang w:val="ro-MD"/>
        </w:rPr>
        <w:t xml:space="preserve">Procedura de anulare, emitere, </w:t>
      </w:r>
      <w:r w:rsidR="0026491D" w:rsidRPr="000508B6">
        <w:rPr>
          <w:rFonts w:ascii="Times New Roman" w:eastAsia="Times New Roman" w:hAnsi="Times New Roman" w:cs="Times New Roman"/>
          <w:bCs/>
          <w:lang w:val="ro-MD"/>
        </w:rPr>
        <w:t>vânzare</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achiziţionare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convertire a cotelor de participare </w:t>
      </w:r>
      <w:proofErr w:type="spellStart"/>
      <w:r w:rsidRPr="000508B6">
        <w:rPr>
          <w:rFonts w:ascii="Times New Roman" w:eastAsia="Times New Roman" w:hAnsi="Times New Roman" w:cs="Times New Roman"/>
          <w:bCs/>
          <w:lang w:val="ro-MD"/>
        </w:rPr>
        <w:t>deţinute</w:t>
      </w:r>
      <w:proofErr w:type="spellEnd"/>
      <w:r w:rsidRPr="000508B6">
        <w:rPr>
          <w:rFonts w:ascii="Times New Roman" w:eastAsia="Times New Roman" w:hAnsi="Times New Roman" w:cs="Times New Roman"/>
          <w:bCs/>
          <w:lang w:val="ro-MD"/>
        </w:rPr>
        <w:t xml:space="preserve"> cu nerespectarea </w:t>
      </w:r>
      <w:proofErr w:type="spellStart"/>
      <w:r w:rsidRPr="000508B6">
        <w:rPr>
          <w:rFonts w:ascii="Times New Roman" w:eastAsia="Times New Roman" w:hAnsi="Times New Roman" w:cs="Times New Roman"/>
          <w:bCs/>
          <w:lang w:val="ro-MD"/>
        </w:rPr>
        <w:t>cerinţelor</w:t>
      </w:r>
      <w:proofErr w:type="spellEnd"/>
      <w:r w:rsidRPr="000508B6">
        <w:rPr>
          <w:rFonts w:ascii="Times New Roman" w:eastAsia="Times New Roman" w:hAnsi="Times New Roman" w:cs="Times New Roman"/>
          <w:bCs/>
          <w:lang w:val="ro-MD"/>
        </w:rPr>
        <w:t xml:space="preserve"> privind calitatea </w:t>
      </w:r>
      <w:proofErr w:type="spellStart"/>
      <w:r w:rsidRPr="000508B6">
        <w:rPr>
          <w:rFonts w:ascii="Times New Roman" w:eastAsia="Times New Roman" w:hAnsi="Times New Roman" w:cs="Times New Roman"/>
          <w:bCs/>
          <w:lang w:val="ro-MD"/>
        </w:rPr>
        <w:t>acţionariatului</w:t>
      </w:r>
      <w:bookmarkEnd w:id="40"/>
      <w:proofErr w:type="spellEnd"/>
      <w:r w:rsidR="00376FDC" w:rsidRPr="000508B6">
        <w:rPr>
          <w:rFonts w:ascii="Times New Roman" w:eastAsia="Times New Roman" w:hAnsi="Times New Roman" w:cs="Times New Roman"/>
          <w:b/>
          <w:lang w:val="ro-MD"/>
        </w:rPr>
        <w:t xml:space="preserve"> </w:t>
      </w:r>
      <w:bookmarkEnd w:id="39"/>
    </w:p>
    <w:p w14:paraId="318D9FDA" w14:textId="57F9CED9" w:rsidR="00C77006" w:rsidRPr="000508B6" w:rsidRDefault="00B240B1"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Procedura de anulare, emitere, </w:t>
      </w:r>
      <w:r w:rsidR="0026491D" w:rsidRPr="000508B6">
        <w:rPr>
          <w:rFonts w:ascii="Times New Roman" w:eastAsia="Times New Roman" w:hAnsi="Times New Roman" w:cs="Times New Roman"/>
          <w:bCs/>
          <w:lang w:val="ro-MD"/>
        </w:rPr>
        <w:t>vânzare</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achiziţionare</w:t>
      </w:r>
      <w:proofErr w:type="spellEnd"/>
      <w:r w:rsidRPr="000508B6">
        <w:rPr>
          <w:rFonts w:ascii="Times New Roman" w:eastAsia="Times New Roman" w:hAnsi="Times New Roman" w:cs="Times New Roman"/>
          <w:bCs/>
          <w:lang w:val="ro-MD"/>
        </w:rPr>
        <w:t xml:space="preserve">, convertire a cotelor de participare </w:t>
      </w:r>
      <w:proofErr w:type="spellStart"/>
      <w:r w:rsidRPr="000508B6">
        <w:rPr>
          <w:rFonts w:ascii="Times New Roman" w:eastAsia="Times New Roman" w:hAnsi="Times New Roman" w:cs="Times New Roman"/>
          <w:bCs/>
          <w:lang w:val="ro-MD"/>
        </w:rPr>
        <w:t>deţinute</w:t>
      </w:r>
      <w:proofErr w:type="spellEnd"/>
      <w:r w:rsidRPr="000508B6">
        <w:rPr>
          <w:rFonts w:ascii="Times New Roman" w:eastAsia="Times New Roman" w:hAnsi="Times New Roman" w:cs="Times New Roman"/>
          <w:bCs/>
          <w:lang w:val="ro-MD"/>
        </w:rPr>
        <w:t xml:space="preserve"> cu nerespectarea </w:t>
      </w:r>
      <w:proofErr w:type="spellStart"/>
      <w:r w:rsidRPr="000508B6">
        <w:rPr>
          <w:rFonts w:ascii="Times New Roman" w:eastAsia="Times New Roman" w:hAnsi="Times New Roman" w:cs="Times New Roman"/>
          <w:bCs/>
          <w:lang w:val="ro-MD"/>
        </w:rPr>
        <w:t>cerinţelor</w:t>
      </w:r>
      <w:proofErr w:type="spellEnd"/>
      <w:r w:rsidRPr="000508B6">
        <w:rPr>
          <w:rFonts w:ascii="Times New Roman" w:eastAsia="Times New Roman" w:hAnsi="Times New Roman" w:cs="Times New Roman"/>
          <w:bCs/>
          <w:lang w:val="ro-MD"/>
        </w:rPr>
        <w:t xml:space="preserve"> privind calitatea </w:t>
      </w:r>
      <w:proofErr w:type="spellStart"/>
      <w:r w:rsidRPr="000508B6">
        <w:rPr>
          <w:rFonts w:ascii="Times New Roman" w:eastAsia="Times New Roman" w:hAnsi="Times New Roman" w:cs="Times New Roman"/>
          <w:bCs/>
          <w:lang w:val="ro-MD"/>
        </w:rPr>
        <w:t>acţionariatului</w:t>
      </w:r>
      <w:proofErr w:type="spellEnd"/>
      <w:r w:rsidRPr="000508B6">
        <w:rPr>
          <w:rFonts w:ascii="Times New Roman" w:eastAsia="Times New Roman" w:hAnsi="Times New Roman" w:cs="Times New Roman"/>
          <w:bCs/>
          <w:lang w:val="ro-MD"/>
        </w:rPr>
        <w:t>, stabilită prin prezentul articol, se aplică prin derogare de la prevederile Legii nr.1134/1997.</w:t>
      </w:r>
    </w:p>
    <w:p w14:paraId="50FA9593" w14:textId="5B261743" w:rsidR="00B240B1" w:rsidRPr="000508B6" w:rsidRDefault="00B240B1"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 cazul în care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nu au fost înstrăinate în termen de 3 luni sau în termenul de prelungire prevăzut la art.</w:t>
      </w:r>
      <w:r w:rsidR="00AE2BD6" w:rsidRPr="000508B6">
        <w:rPr>
          <w:rFonts w:ascii="Times New Roman" w:eastAsia="Times New Roman" w:hAnsi="Times New Roman" w:cs="Times New Roman"/>
          <w:bCs/>
          <w:lang w:val="ro-MD"/>
        </w:rPr>
        <w:t xml:space="preserve"> </w:t>
      </w:r>
      <w:r w:rsidR="006F68DC" w:rsidRPr="000508B6">
        <w:rPr>
          <w:rFonts w:ascii="Times New Roman" w:eastAsia="Times New Roman" w:hAnsi="Times New Roman" w:cs="Times New Roman"/>
          <w:bCs/>
          <w:lang w:val="ro-MD"/>
        </w:rPr>
        <w:t xml:space="preserve">16 </w:t>
      </w:r>
      <w:r w:rsidRPr="000508B6">
        <w:rPr>
          <w:rFonts w:ascii="Times New Roman" w:eastAsia="Times New Roman" w:hAnsi="Times New Roman" w:cs="Times New Roman"/>
          <w:bCs/>
          <w:lang w:val="ro-MD"/>
        </w:rPr>
        <w:t>alin.</w:t>
      </w:r>
      <w:r w:rsidR="00CA4D82"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w:t>
      </w:r>
      <w:r w:rsidR="00622DB5" w:rsidRPr="000508B6">
        <w:rPr>
          <w:rFonts w:ascii="Times New Roman" w:eastAsia="Times New Roman" w:hAnsi="Times New Roman" w:cs="Times New Roman"/>
          <w:bCs/>
          <w:lang w:val="ro-MD"/>
        </w:rPr>
        <w:t>6</w:t>
      </w:r>
      <w:r w:rsidRPr="000508B6">
        <w:rPr>
          <w:rFonts w:ascii="Times New Roman" w:eastAsia="Times New Roman" w:hAnsi="Times New Roman" w:cs="Times New Roman"/>
          <w:bCs/>
          <w:lang w:val="ro-MD"/>
        </w:rPr>
        <w:t xml:space="preserve">), organul executiv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în termen de cel mult 15 zile de la data expirării termenului acordat </w:t>
      </w:r>
      <w:r w:rsidR="00E8698B" w:rsidRPr="000508B6">
        <w:rPr>
          <w:rFonts w:ascii="Times New Roman" w:eastAsia="Times New Roman" w:hAnsi="Times New Roman" w:cs="Times New Roman"/>
          <w:bCs/>
          <w:lang w:val="ro-MD"/>
        </w:rPr>
        <w:t>acționarilor</w:t>
      </w:r>
      <w:r w:rsidRPr="000508B6">
        <w:rPr>
          <w:rFonts w:ascii="Times New Roman" w:eastAsia="Times New Roman" w:hAnsi="Times New Roman" w:cs="Times New Roman"/>
          <w:bCs/>
          <w:lang w:val="ro-MD"/>
        </w:rPr>
        <w:t xml:space="preserve"> pentru </w:t>
      </w:r>
      <w:r w:rsidR="0026491D" w:rsidRPr="000508B6">
        <w:rPr>
          <w:rFonts w:ascii="Times New Roman" w:eastAsia="Times New Roman" w:hAnsi="Times New Roman" w:cs="Times New Roman"/>
          <w:bCs/>
          <w:lang w:val="ro-MD"/>
        </w:rPr>
        <w:t>vânzarea</w:t>
      </w:r>
      <w:r w:rsidRPr="000508B6">
        <w:rPr>
          <w:rFonts w:ascii="Times New Roman" w:eastAsia="Times New Roman" w:hAnsi="Times New Roman" w:cs="Times New Roman"/>
          <w:bCs/>
          <w:lang w:val="ro-MD"/>
        </w:rPr>
        <w:t xml:space="preserve"> acestora, emite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depune la </w:t>
      </w:r>
      <w:r w:rsidR="004627AC" w:rsidRPr="000508B6">
        <w:rPr>
          <w:rFonts w:ascii="Times New Roman" w:eastAsia="Times New Roman" w:hAnsi="Times New Roman" w:cs="Times New Roman"/>
          <w:bCs/>
          <w:lang w:val="ro-MD"/>
        </w:rPr>
        <w:t>CNPF</w:t>
      </w:r>
      <w:r w:rsidRPr="000508B6">
        <w:rPr>
          <w:rFonts w:ascii="Times New Roman" w:eastAsia="Times New Roman" w:hAnsi="Times New Roman" w:cs="Times New Roman"/>
          <w:bCs/>
          <w:lang w:val="ro-MD"/>
        </w:rPr>
        <w:t xml:space="preserve"> decizia privind anularea acestor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emiterea de noi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în </w:t>
      </w:r>
      <w:proofErr w:type="spellStart"/>
      <w:r w:rsidRPr="000508B6">
        <w:rPr>
          <w:rFonts w:ascii="Times New Roman" w:eastAsia="Times New Roman" w:hAnsi="Times New Roman" w:cs="Times New Roman"/>
          <w:bCs/>
          <w:lang w:val="ro-MD"/>
        </w:rPr>
        <w:t>acelaşi</w:t>
      </w:r>
      <w:proofErr w:type="spellEnd"/>
      <w:r w:rsidRPr="000508B6">
        <w:rPr>
          <w:rFonts w:ascii="Times New Roman" w:eastAsia="Times New Roman" w:hAnsi="Times New Roman" w:cs="Times New Roman"/>
          <w:bCs/>
          <w:lang w:val="ro-MD"/>
        </w:rPr>
        <w:t xml:space="preserve"> număr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de </w:t>
      </w:r>
      <w:proofErr w:type="spellStart"/>
      <w:r w:rsidRPr="000508B6">
        <w:rPr>
          <w:rFonts w:ascii="Times New Roman" w:eastAsia="Times New Roman" w:hAnsi="Times New Roman" w:cs="Times New Roman"/>
          <w:bCs/>
          <w:lang w:val="ro-MD"/>
        </w:rPr>
        <w:t>aceeaşi</w:t>
      </w:r>
      <w:proofErr w:type="spellEnd"/>
      <w:r w:rsidRPr="000508B6">
        <w:rPr>
          <w:rFonts w:ascii="Times New Roman" w:eastAsia="Times New Roman" w:hAnsi="Times New Roman" w:cs="Times New Roman"/>
          <w:bCs/>
          <w:lang w:val="ro-MD"/>
        </w:rPr>
        <w:t xml:space="preserve"> clasă.</w:t>
      </w:r>
    </w:p>
    <w:p w14:paraId="3799941C" w14:textId="658C9A6E" w:rsidR="00D52A59" w:rsidRPr="000508B6" w:rsidRDefault="00D52A59"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Decizia organului executiv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61334D"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conţine</w:t>
      </w:r>
      <w:proofErr w:type="spellEnd"/>
      <w:r w:rsidRPr="000508B6">
        <w:rPr>
          <w:rFonts w:ascii="Times New Roman" w:eastAsia="Times New Roman" w:hAnsi="Times New Roman" w:cs="Times New Roman"/>
          <w:bCs/>
          <w:lang w:val="ro-MD"/>
        </w:rPr>
        <w:t xml:space="preserve"> inclusiv </w:t>
      </w:r>
      <w:proofErr w:type="spellStart"/>
      <w:r w:rsidRPr="000508B6">
        <w:rPr>
          <w:rFonts w:ascii="Times New Roman" w:eastAsia="Times New Roman" w:hAnsi="Times New Roman" w:cs="Times New Roman"/>
          <w:bCs/>
          <w:lang w:val="ro-MD"/>
        </w:rPr>
        <w:t>informaţii</w:t>
      </w:r>
      <w:proofErr w:type="spellEnd"/>
      <w:r w:rsidRPr="000508B6">
        <w:rPr>
          <w:rFonts w:ascii="Times New Roman" w:eastAsia="Times New Roman" w:hAnsi="Times New Roman" w:cs="Times New Roman"/>
          <w:bCs/>
          <w:lang w:val="ro-MD"/>
        </w:rPr>
        <w:t xml:space="preserve"> privind valoarea nominală (fixată)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termenul de expunere spre </w:t>
      </w:r>
      <w:r w:rsidR="0026491D" w:rsidRPr="000508B6">
        <w:rPr>
          <w:rFonts w:ascii="Times New Roman" w:eastAsia="Times New Roman" w:hAnsi="Times New Roman" w:cs="Times New Roman"/>
          <w:bCs/>
          <w:lang w:val="ro-MD"/>
        </w:rPr>
        <w:t>vânzare</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condiţiile</w:t>
      </w:r>
      <w:proofErr w:type="spellEnd"/>
      <w:r w:rsidRPr="000508B6">
        <w:rPr>
          <w:rFonts w:ascii="Times New Roman" w:eastAsia="Times New Roman" w:hAnsi="Times New Roman" w:cs="Times New Roman"/>
          <w:bCs/>
          <w:lang w:val="ro-MD"/>
        </w:rPr>
        <w:t xml:space="preserve"> în care va fi stabilit </w:t>
      </w:r>
      <w:proofErr w:type="spellStart"/>
      <w:r w:rsidRPr="000508B6">
        <w:rPr>
          <w:rFonts w:ascii="Times New Roman" w:eastAsia="Times New Roman" w:hAnsi="Times New Roman" w:cs="Times New Roman"/>
          <w:bCs/>
          <w:lang w:val="ro-MD"/>
        </w:rPr>
        <w:t>preţul</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iniţial</w:t>
      </w:r>
      <w:proofErr w:type="spellEnd"/>
      <w:r w:rsidRPr="000508B6">
        <w:rPr>
          <w:rFonts w:ascii="Times New Roman" w:eastAsia="Times New Roman" w:hAnsi="Times New Roman" w:cs="Times New Roman"/>
          <w:bCs/>
          <w:lang w:val="ro-MD"/>
        </w:rPr>
        <w:t xml:space="preserve"> de expunere spre </w:t>
      </w:r>
      <w:r w:rsidR="0026491D" w:rsidRPr="000508B6">
        <w:rPr>
          <w:rFonts w:ascii="Times New Roman" w:eastAsia="Times New Roman" w:hAnsi="Times New Roman" w:cs="Times New Roman"/>
          <w:bCs/>
          <w:lang w:val="ro-MD"/>
        </w:rPr>
        <w:t>vânzare</w:t>
      </w:r>
      <w:r w:rsidRPr="000508B6">
        <w:rPr>
          <w:rFonts w:ascii="Times New Roman" w:eastAsia="Times New Roman" w:hAnsi="Times New Roman" w:cs="Times New Roman"/>
          <w:bCs/>
          <w:lang w:val="ro-MD"/>
        </w:rPr>
        <w:t xml:space="preserve">, </w:t>
      </w:r>
      <w:r w:rsidR="0026491D" w:rsidRPr="000508B6">
        <w:rPr>
          <w:rFonts w:ascii="Times New Roman" w:eastAsia="Times New Roman" w:hAnsi="Times New Roman" w:cs="Times New Roman"/>
          <w:bCs/>
          <w:lang w:val="ro-MD"/>
        </w:rPr>
        <w:t>ținând</w:t>
      </w:r>
      <w:r w:rsidRPr="000508B6">
        <w:rPr>
          <w:rFonts w:ascii="Times New Roman" w:eastAsia="Times New Roman" w:hAnsi="Times New Roman" w:cs="Times New Roman"/>
          <w:bCs/>
          <w:lang w:val="ro-MD"/>
        </w:rPr>
        <w:t xml:space="preserve"> cont de prevederile alin.</w:t>
      </w:r>
      <w:r w:rsidR="00AE2BD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w:t>
      </w:r>
      <w:r w:rsidR="00B87E03" w:rsidRPr="000508B6">
        <w:rPr>
          <w:rFonts w:ascii="Times New Roman" w:eastAsia="Times New Roman" w:hAnsi="Times New Roman" w:cs="Times New Roman"/>
          <w:bCs/>
          <w:lang w:val="ro-MD"/>
        </w:rPr>
        <w:t>10</w:t>
      </w:r>
      <w:r w:rsidRPr="000508B6">
        <w:rPr>
          <w:rFonts w:ascii="Times New Roman" w:eastAsia="Times New Roman" w:hAnsi="Times New Roman" w:cs="Times New Roman"/>
          <w:bCs/>
          <w:lang w:val="ro-MD"/>
        </w:rPr>
        <w:t>).</w:t>
      </w:r>
    </w:p>
    <w:p w14:paraId="19D3C094" w14:textId="1A279E00" w:rsidR="00D52A59" w:rsidRPr="000508B6" w:rsidRDefault="004627AC"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CNPF</w:t>
      </w:r>
      <w:r w:rsidR="00D52A59" w:rsidRPr="000508B6">
        <w:rPr>
          <w:rFonts w:ascii="Times New Roman" w:eastAsia="Times New Roman" w:hAnsi="Times New Roman" w:cs="Times New Roman"/>
          <w:bCs/>
          <w:lang w:val="ro-MD"/>
        </w:rPr>
        <w:t xml:space="preserve"> emite decizia privind înscrierea aferentă radierii </w:t>
      </w:r>
      <w:proofErr w:type="spellStart"/>
      <w:r w:rsidR="00D52A59" w:rsidRPr="000508B6">
        <w:rPr>
          <w:rFonts w:ascii="Times New Roman" w:eastAsia="Times New Roman" w:hAnsi="Times New Roman" w:cs="Times New Roman"/>
          <w:bCs/>
          <w:lang w:val="ro-MD"/>
        </w:rPr>
        <w:t>acţiunilor</w:t>
      </w:r>
      <w:proofErr w:type="spellEnd"/>
      <w:r w:rsidR="00D52A59" w:rsidRPr="000508B6">
        <w:rPr>
          <w:rFonts w:ascii="Times New Roman" w:eastAsia="Times New Roman" w:hAnsi="Times New Roman" w:cs="Times New Roman"/>
          <w:bCs/>
          <w:lang w:val="ro-MD"/>
        </w:rPr>
        <w:t xml:space="preserve"> anulate </w:t>
      </w:r>
      <w:proofErr w:type="spellStart"/>
      <w:r w:rsidR="00D52A59" w:rsidRPr="000508B6">
        <w:rPr>
          <w:rFonts w:ascii="Times New Roman" w:eastAsia="Times New Roman" w:hAnsi="Times New Roman" w:cs="Times New Roman"/>
          <w:bCs/>
          <w:lang w:val="ro-MD"/>
        </w:rPr>
        <w:t>şi</w:t>
      </w:r>
      <w:proofErr w:type="spellEnd"/>
      <w:r w:rsidR="00D52A59" w:rsidRPr="000508B6">
        <w:rPr>
          <w:rFonts w:ascii="Times New Roman" w:eastAsia="Times New Roman" w:hAnsi="Times New Roman" w:cs="Times New Roman"/>
          <w:bCs/>
          <w:lang w:val="ro-MD"/>
        </w:rPr>
        <w:t xml:space="preserve"> decizia privind înregistrarea </w:t>
      </w:r>
      <w:proofErr w:type="spellStart"/>
      <w:r w:rsidR="00D52A59" w:rsidRPr="000508B6">
        <w:rPr>
          <w:rFonts w:ascii="Times New Roman" w:eastAsia="Times New Roman" w:hAnsi="Times New Roman" w:cs="Times New Roman"/>
          <w:bCs/>
          <w:lang w:val="ro-MD"/>
        </w:rPr>
        <w:t>acţiunilor</w:t>
      </w:r>
      <w:proofErr w:type="spellEnd"/>
      <w:r w:rsidR="00D52A59" w:rsidRPr="000508B6">
        <w:rPr>
          <w:rFonts w:ascii="Times New Roman" w:eastAsia="Times New Roman" w:hAnsi="Times New Roman" w:cs="Times New Roman"/>
          <w:bCs/>
          <w:lang w:val="ro-MD"/>
        </w:rPr>
        <w:t xml:space="preserve"> nou-emise în termen de cel mult 15 zile de la data depunerii la </w:t>
      </w:r>
      <w:r w:rsidRPr="000508B6">
        <w:rPr>
          <w:rFonts w:ascii="Times New Roman" w:eastAsia="Times New Roman" w:hAnsi="Times New Roman" w:cs="Times New Roman"/>
          <w:bCs/>
          <w:lang w:val="ro-MD"/>
        </w:rPr>
        <w:t>CNPF</w:t>
      </w:r>
      <w:r w:rsidR="00D52A59" w:rsidRPr="000508B6">
        <w:rPr>
          <w:rFonts w:ascii="Times New Roman" w:eastAsia="Times New Roman" w:hAnsi="Times New Roman" w:cs="Times New Roman"/>
          <w:bCs/>
          <w:lang w:val="ro-MD"/>
        </w:rPr>
        <w:t xml:space="preserve"> a deciziei prevăzute la alin.</w:t>
      </w:r>
      <w:r w:rsidR="00AE2BD6" w:rsidRPr="000508B6">
        <w:rPr>
          <w:rFonts w:ascii="Times New Roman" w:eastAsia="Times New Roman" w:hAnsi="Times New Roman" w:cs="Times New Roman"/>
          <w:bCs/>
          <w:lang w:val="ro-MD"/>
        </w:rPr>
        <w:t xml:space="preserve"> </w:t>
      </w:r>
      <w:r w:rsidR="00D52A59" w:rsidRPr="000508B6">
        <w:rPr>
          <w:rFonts w:ascii="Times New Roman" w:eastAsia="Times New Roman" w:hAnsi="Times New Roman" w:cs="Times New Roman"/>
          <w:bCs/>
          <w:lang w:val="ro-MD"/>
        </w:rPr>
        <w:t xml:space="preserve">(2), </w:t>
      </w:r>
      <w:proofErr w:type="spellStart"/>
      <w:r w:rsidR="00D52A59" w:rsidRPr="000508B6">
        <w:rPr>
          <w:rFonts w:ascii="Times New Roman" w:eastAsia="Times New Roman" w:hAnsi="Times New Roman" w:cs="Times New Roman"/>
          <w:bCs/>
          <w:lang w:val="ro-MD"/>
        </w:rPr>
        <w:t>însoţită</w:t>
      </w:r>
      <w:proofErr w:type="spellEnd"/>
      <w:r w:rsidR="00D52A59" w:rsidRPr="000508B6">
        <w:rPr>
          <w:rFonts w:ascii="Times New Roman" w:eastAsia="Times New Roman" w:hAnsi="Times New Roman" w:cs="Times New Roman"/>
          <w:bCs/>
          <w:lang w:val="ro-MD"/>
        </w:rPr>
        <w:t xml:space="preserve"> de documentele corespunzătoare. Înregistrarea emisiunii de </w:t>
      </w:r>
      <w:proofErr w:type="spellStart"/>
      <w:r w:rsidR="00D52A59" w:rsidRPr="000508B6">
        <w:rPr>
          <w:rFonts w:ascii="Times New Roman" w:eastAsia="Times New Roman" w:hAnsi="Times New Roman" w:cs="Times New Roman"/>
          <w:bCs/>
          <w:lang w:val="ro-MD"/>
        </w:rPr>
        <w:t>acţiuni</w:t>
      </w:r>
      <w:proofErr w:type="spellEnd"/>
      <w:r w:rsidR="00D52A59" w:rsidRPr="000508B6">
        <w:rPr>
          <w:rFonts w:ascii="Times New Roman" w:eastAsia="Times New Roman" w:hAnsi="Times New Roman" w:cs="Times New Roman"/>
          <w:bCs/>
          <w:lang w:val="ro-MD"/>
        </w:rPr>
        <w:t xml:space="preserve"> se face în conformitate cu actele normative ale </w:t>
      </w:r>
      <w:r w:rsidR="00331A22" w:rsidRPr="000508B6">
        <w:rPr>
          <w:rFonts w:ascii="Times New Roman" w:eastAsia="Times New Roman" w:hAnsi="Times New Roman" w:cs="Times New Roman"/>
          <w:bCs/>
          <w:lang w:val="ro-MD"/>
        </w:rPr>
        <w:t>CNPF</w:t>
      </w:r>
      <w:r w:rsidR="00D52A59" w:rsidRPr="000508B6">
        <w:rPr>
          <w:rFonts w:ascii="Times New Roman" w:eastAsia="Times New Roman" w:hAnsi="Times New Roman" w:cs="Times New Roman"/>
          <w:bCs/>
          <w:lang w:val="ro-MD"/>
        </w:rPr>
        <w:t>.</w:t>
      </w:r>
    </w:p>
    <w:p w14:paraId="6B8FAF67" w14:textId="6E704293" w:rsidR="00D52A59" w:rsidRPr="000508B6" w:rsidRDefault="00D52A59"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lastRenderedPageBreak/>
        <w:t xml:space="preserve">În termen de cel mult 3 zile de la data înregistrării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conform alin.</w:t>
      </w:r>
      <w:r w:rsidR="006806F0"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(4), depozitarul central</w:t>
      </w:r>
      <w:r w:rsidR="006806F0" w:rsidRPr="000508B6">
        <w:rPr>
          <w:rFonts w:ascii="Times New Roman" w:eastAsia="Times New Roman" w:hAnsi="Times New Roman" w:cs="Times New Roman"/>
          <w:bCs/>
          <w:lang w:val="ro-MD"/>
        </w:rPr>
        <w:t xml:space="preserve"> </w:t>
      </w:r>
      <w:r w:rsidR="004E2C18" w:rsidRPr="000508B6">
        <w:rPr>
          <w:rFonts w:ascii="Times New Roman" w:eastAsia="Times New Roman" w:hAnsi="Times New Roman" w:cs="Times New Roman"/>
          <w:bCs/>
          <w:lang w:val="ro-MD"/>
        </w:rPr>
        <w:t xml:space="preserve">care </w:t>
      </w:r>
      <w:proofErr w:type="spellStart"/>
      <w:r w:rsidR="004E2C18" w:rsidRPr="000508B6">
        <w:rPr>
          <w:rFonts w:ascii="Times New Roman" w:eastAsia="Times New Roman" w:hAnsi="Times New Roman" w:cs="Times New Roman"/>
          <w:bCs/>
          <w:lang w:val="ro-MD"/>
        </w:rPr>
        <w:t>ţine</w:t>
      </w:r>
      <w:proofErr w:type="spellEnd"/>
      <w:r w:rsidR="004E2C18" w:rsidRPr="000508B6">
        <w:rPr>
          <w:rFonts w:ascii="Times New Roman" w:eastAsia="Times New Roman" w:hAnsi="Times New Roman" w:cs="Times New Roman"/>
          <w:bCs/>
          <w:lang w:val="ro-MD"/>
        </w:rPr>
        <w:t xml:space="preserve"> </w:t>
      </w:r>
      <w:proofErr w:type="spellStart"/>
      <w:r w:rsidR="004E2C18" w:rsidRPr="000508B6">
        <w:rPr>
          <w:rFonts w:ascii="Times New Roman" w:eastAsia="Times New Roman" w:hAnsi="Times New Roman" w:cs="Times New Roman"/>
          <w:bCs/>
          <w:lang w:val="ro-MD"/>
        </w:rPr>
        <w:t>evidenţa</w:t>
      </w:r>
      <w:proofErr w:type="spellEnd"/>
      <w:r w:rsidR="004E2C18" w:rsidRPr="000508B6">
        <w:rPr>
          <w:rFonts w:ascii="Times New Roman" w:eastAsia="Times New Roman" w:hAnsi="Times New Roman" w:cs="Times New Roman"/>
          <w:bCs/>
          <w:lang w:val="ro-MD"/>
        </w:rPr>
        <w:t xml:space="preserve"> </w:t>
      </w:r>
      <w:proofErr w:type="spellStart"/>
      <w:r w:rsidR="004E2C18" w:rsidRPr="000508B6">
        <w:rPr>
          <w:rFonts w:ascii="Times New Roman" w:eastAsia="Times New Roman" w:hAnsi="Times New Roman" w:cs="Times New Roman"/>
          <w:bCs/>
          <w:lang w:val="ro-MD"/>
        </w:rPr>
        <w:t>deţinătorilor</w:t>
      </w:r>
      <w:proofErr w:type="spellEnd"/>
      <w:r w:rsidR="004E2C18" w:rsidRPr="000508B6">
        <w:rPr>
          <w:rFonts w:ascii="Times New Roman" w:eastAsia="Times New Roman" w:hAnsi="Times New Roman" w:cs="Times New Roman"/>
          <w:bCs/>
          <w:lang w:val="ro-MD"/>
        </w:rPr>
        <w:t xml:space="preserve"> de valori mobiliare asupra cărora au devenit incidente prevederile art. 12 alin.</w:t>
      </w:r>
      <w:r w:rsidR="006806F0" w:rsidRPr="000508B6">
        <w:rPr>
          <w:rFonts w:ascii="Times New Roman" w:eastAsia="Times New Roman" w:hAnsi="Times New Roman" w:cs="Times New Roman"/>
          <w:bCs/>
          <w:lang w:val="ro-MD"/>
        </w:rPr>
        <w:t xml:space="preserve"> </w:t>
      </w:r>
      <w:r w:rsidR="004E2C18" w:rsidRPr="000508B6">
        <w:rPr>
          <w:rFonts w:ascii="Times New Roman" w:eastAsia="Times New Roman" w:hAnsi="Times New Roman" w:cs="Times New Roman"/>
          <w:bCs/>
          <w:lang w:val="ro-MD"/>
        </w:rPr>
        <w:t>(1</w:t>
      </w:r>
      <w:r w:rsidR="001B559D" w:rsidRPr="000508B6">
        <w:rPr>
          <w:rFonts w:ascii="Times New Roman" w:eastAsia="Times New Roman" w:hAnsi="Times New Roman" w:cs="Times New Roman"/>
          <w:bCs/>
          <w:lang w:val="ro-MD"/>
        </w:rPr>
        <w:t>2</w:t>
      </w:r>
      <w:r w:rsidR="004E2C18" w:rsidRPr="000508B6">
        <w:rPr>
          <w:rFonts w:ascii="Times New Roman" w:eastAsia="Times New Roman" w:hAnsi="Times New Roman" w:cs="Times New Roman"/>
          <w:bCs/>
          <w:lang w:val="ro-MD"/>
        </w:rPr>
        <w:t xml:space="preserve">), în temeiul deciziei organului executiv al asigurătorului sau </w:t>
      </w:r>
      <w:proofErr w:type="spellStart"/>
      <w:r w:rsidR="004E2C18" w:rsidRPr="000508B6">
        <w:rPr>
          <w:rFonts w:ascii="Times New Roman" w:eastAsia="Times New Roman" w:hAnsi="Times New Roman" w:cs="Times New Roman"/>
          <w:bCs/>
          <w:lang w:val="ro-MD"/>
        </w:rPr>
        <w:t>reasigurătorului</w:t>
      </w:r>
      <w:proofErr w:type="spellEnd"/>
      <w:r w:rsidR="004E2C18" w:rsidRPr="000508B6">
        <w:rPr>
          <w:rFonts w:ascii="Times New Roman" w:eastAsia="Times New Roman" w:hAnsi="Times New Roman" w:cs="Times New Roman"/>
          <w:bCs/>
          <w:lang w:val="ro-MD"/>
        </w:rPr>
        <w:t xml:space="preserve"> </w:t>
      </w:r>
      <w:proofErr w:type="spellStart"/>
      <w:r w:rsidR="004E2C18" w:rsidRPr="000508B6">
        <w:rPr>
          <w:rFonts w:ascii="Times New Roman" w:eastAsia="Times New Roman" w:hAnsi="Times New Roman" w:cs="Times New Roman"/>
          <w:bCs/>
          <w:lang w:val="ro-MD"/>
        </w:rPr>
        <w:t>şi</w:t>
      </w:r>
      <w:proofErr w:type="spellEnd"/>
      <w:r w:rsidR="004E2C18" w:rsidRPr="000508B6">
        <w:rPr>
          <w:rFonts w:ascii="Times New Roman" w:eastAsia="Times New Roman" w:hAnsi="Times New Roman" w:cs="Times New Roman"/>
          <w:bCs/>
          <w:lang w:val="ro-MD"/>
        </w:rPr>
        <w:t xml:space="preserve"> a deciziei </w:t>
      </w:r>
      <w:r w:rsidR="004627AC" w:rsidRPr="000508B6">
        <w:rPr>
          <w:rFonts w:ascii="Times New Roman" w:eastAsia="Times New Roman" w:hAnsi="Times New Roman" w:cs="Times New Roman"/>
          <w:bCs/>
          <w:lang w:val="ro-MD"/>
        </w:rPr>
        <w:t>CNPF</w:t>
      </w:r>
      <w:r w:rsidR="004E2C18"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asigură efectuarea înscrierilor privind anularea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din conturile </w:t>
      </w:r>
      <w:proofErr w:type="spellStart"/>
      <w:r w:rsidR="00162D3E" w:rsidRPr="000508B6">
        <w:rPr>
          <w:rFonts w:ascii="Times New Roman" w:eastAsia="Times New Roman" w:hAnsi="Times New Roman" w:cs="Times New Roman"/>
          <w:bCs/>
          <w:lang w:val="ro-MD"/>
        </w:rPr>
        <w:t>deţinătorilor</w:t>
      </w:r>
      <w:proofErr w:type="spellEnd"/>
      <w:r w:rsidR="00162D3E" w:rsidRPr="000508B6">
        <w:rPr>
          <w:rFonts w:ascii="Times New Roman" w:eastAsia="Times New Roman" w:hAnsi="Times New Roman" w:cs="Times New Roman"/>
          <w:bCs/>
          <w:lang w:val="ro-MD"/>
        </w:rPr>
        <w:t xml:space="preserve"> de valori mobiliare</w:t>
      </w:r>
      <w:r w:rsidR="00E8698B" w:rsidRPr="000508B6" w:rsidDel="00162D3E">
        <w:rPr>
          <w:rFonts w:ascii="Times New Roman" w:eastAsia="Times New Roman" w:hAnsi="Times New Roman" w:cs="Times New Roman"/>
          <w:bCs/>
          <w:lang w:val="ro-MD"/>
        </w:rPr>
        <w:t xml:space="preserve"> </w:t>
      </w:r>
      <w:r w:rsidR="00162D3E" w:rsidRPr="000508B6">
        <w:rPr>
          <w:rFonts w:ascii="Times New Roman" w:eastAsia="Times New Roman" w:hAnsi="Times New Roman" w:cs="Times New Roman"/>
          <w:bCs/>
          <w:lang w:val="ro-MD"/>
        </w:rPr>
        <w:t xml:space="preserve">respective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 înscrierii privind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nou-emise în contul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r w:rsidR="00392623" w:rsidRPr="000508B6">
        <w:rPr>
          <w:rFonts w:ascii="Times New Roman" w:eastAsia="Times New Roman" w:hAnsi="Times New Roman" w:cs="Times New Roman"/>
          <w:bCs/>
          <w:lang w:val="ro-MD"/>
        </w:rPr>
        <w:t xml:space="preserve"> Acțiunile nou-emise rămân înscrise în contul acestuia până la vânzarea și/sau anularea acestora.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00392623" w:rsidRPr="000508B6">
        <w:rPr>
          <w:rFonts w:ascii="Times New Roman" w:eastAsia="Times New Roman" w:hAnsi="Times New Roman" w:cs="Times New Roman"/>
          <w:bCs/>
          <w:lang w:val="ro-MD"/>
        </w:rPr>
        <w:t xml:space="preserve"> nu poate efectua operațiuni prin care ar obține dreptul de proprietate asupra acțiunilor nou-emise și înscrise în contul său, altele decât cele prevăzute de prezentul articol.  </w:t>
      </w:r>
    </w:p>
    <w:p w14:paraId="0248E0C2" w14:textId="500C3FCD" w:rsidR="00D52A59" w:rsidRPr="000508B6" w:rsidRDefault="00D52A59"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nou-emise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înscrise în contul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61334D" w:rsidRPr="000508B6">
        <w:rPr>
          <w:rFonts w:ascii="Times New Roman" w:eastAsia="Times New Roman" w:hAnsi="Times New Roman" w:cs="Times New Roman"/>
          <w:bCs/>
          <w:lang w:val="ro-MD"/>
        </w:rPr>
        <w:t xml:space="preserve"> </w:t>
      </w:r>
      <w:r w:rsidR="0026491D" w:rsidRPr="000508B6">
        <w:rPr>
          <w:rFonts w:ascii="Times New Roman" w:eastAsia="Times New Roman" w:hAnsi="Times New Roman" w:cs="Times New Roman"/>
          <w:bCs/>
          <w:lang w:val="ro-MD"/>
        </w:rPr>
        <w:t>până</w:t>
      </w:r>
      <w:r w:rsidRPr="000508B6">
        <w:rPr>
          <w:rFonts w:ascii="Times New Roman" w:eastAsia="Times New Roman" w:hAnsi="Times New Roman" w:cs="Times New Roman"/>
          <w:bCs/>
          <w:lang w:val="ro-MD"/>
        </w:rPr>
        <w:t xml:space="preserve"> la </w:t>
      </w:r>
      <w:r w:rsidR="0061334D" w:rsidRPr="000508B6">
        <w:rPr>
          <w:rFonts w:ascii="Times New Roman" w:eastAsia="Times New Roman" w:hAnsi="Times New Roman" w:cs="Times New Roman"/>
          <w:bCs/>
          <w:lang w:val="ro-MD"/>
        </w:rPr>
        <w:t>vânzarea</w:t>
      </w:r>
      <w:r w:rsidRPr="000508B6">
        <w:rPr>
          <w:rFonts w:ascii="Times New Roman" w:eastAsia="Times New Roman" w:hAnsi="Times New Roman" w:cs="Times New Roman"/>
          <w:bCs/>
          <w:lang w:val="ro-MD"/>
        </w:rPr>
        <w:t xml:space="preserve"> acestora, conform prezentului articol, </w:t>
      </w:r>
      <w:r w:rsidR="0026491D" w:rsidRPr="000508B6">
        <w:rPr>
          <w:rFonts w:ascii="Times New Roman" w:eastAsia="Times New Roman" w:hAnsi="Times New Roman" w:cs="Times New Roman"/>
          <w:bCs/>
          <w:lang w:val="ro-MD"/>
        </w:rPr>
        <w:t>sunt</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fără drept de vot aflate în </w:t>
      </w:r>
      <w:proofErr w:type="spellStart"/>
      <w:r w:rsidRPr="000508B6">
        <w:rPr>
          <w:rFonts w:ascii="Times New Roman" w:eastAsia="Times New Roman" w:hAnsi="Times New Roman" w:cs="Times New Roman"/>
          <w:bCs/>
          <w:lang w:val="ro-MD"/>
        </w:rPr>
        <w:t>circulaţie</w:t>
      </w:r>
      <w:proofErr w:type="spellEnd"/>
      <w:r w:rsidRPr="000508B6">
        <w:rPr>
          <w:rFonts w:ascii="Times New Roman" w:eastAsia="Times New Roman" w:hAnsi="Times New Roman" w:cs="Times New Roman"/>
          <w:bCs/>
          <w:lang w:val="ro-MD"/>
        </w:rPr>
        <w:t xml:space="preserve">, nu oferă dreptul de primire a dividendelor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 unei </w:t>
      </w:r>
      <w:proofErr w:type="spellStart"/>
      <w:r w:rsidRPr="000508B6">
        <w:rPr>
          <w:rFonts w:ascii="Times New Roman" w:eastAsia="Times New Roman" w:hAnsi="Times New Roman" w:cs="Times New Roman"/>
          <w:bCs/>
          <w:lang w:val="ro-MD"/>
        </w:rPr>
        <w:t>părţi</w:t>
      </w:r>
      <w:proofErr w:type="spellEnd"/>
      <w:r w:rsidRPr="000508B6">
        <w:rPr>
          <w:rFonts w:ascii="Times New Roman" w:eastAsia="Times New Roman" w:hAnsi="Times New Roman" w:cs="Times New Roman"/>
          <w:bCs/>
          <w:lang w:val="ro-MD"/>
        </w:rPr>
        <w:t xml:space="preserve"> din bunurile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în cazul lichidării acesteia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nu pot constitui un aport la capitalul social al unei </w:t>
      </w:r>
      <w:proofErr w:type="spellStart"/>
      <w:r w:rsidRPr="000508B6">
        <w:rPr>
          <w:rFonts w:ascii="Times New Roman" w:eastAsia="Times New Roman" w:hAnsi="Times New Roman" w:cs="Times New Roman"/>
          <w:bCs/>
          <w:lang w:val="ro-MD"/>
        </w:rPr>
        <w:t>societăţi</w:t>
      </w:r>
      <w:proofErr w:type="spellEnd"/>
      <w:r w:rsidRPr="000508B6">
        <w:rPr>
          <w:rFonts w:ascii="Times New Roman" w:eastAsia="Times New Roman" w:hAnsi="Times New Roman" w:cs="Times New Roman"/>
          <w:bCs/>
          <w:lang w:val="ro-MD"/>
        </w:rPr>
        <w:t xml:space="preserve"> comerciale. </w:t>
      </w:r>
      <w:proofErr w:type="spellStart"/>
      <w:r w:rsidRPr="000508B6">
        <w:rPr>
          <w:rFonts w:ascii="Times New Roman" w:eastAsia="Times New Roman" w:hAnsi="Times New Roman" w:cs="Times New Roman"/>
          <w:bCs/>
          <w:lang w:val="ro-MD"/>
        </w:rPr>
        <w:t>Acţionarii</w:t>
      </w:r>
      <w:proofErr w:type="spellEnd"/>
      <w:r w:rsidRPr="000508B6" w:rsidDel="0061334D">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61334D"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nu au dreptul de </w:t>
      </w:r>
      <w:proofErr w:type="spellStart"/>
      <w:r w:rsidRPr="000508B6">
        <w:rPr>
          <w:rFonts w:ascii="Times New Roman" w:eastAsia="Times New Roman" w:hAnsi="Times New Roman" w:cs="Times New Roman"/>
          <w:bCs/>
          <w:lang w:val="ro-MD"/>
        </w:rPr>
        <w:t>preemţiune</w:t>
      </w:r>
      <w:proofErr w:type="spellEnd"/>
      <w:r w:rsidRPr="000508B6">
        <w:rPr>
          <w:rFonts w:ascii="Times New Roman" w:eastAsia="Times New Roman" w:hAnsi="Times New Roman" w:cs="Times New Roman"/>
          <w:bCs/>
          <w:lang w:val="ro-MD"/>
        </w:rPr>
        <w:t xml:space="preserve"> asupra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în </w:t>
      </w:r>
      <w:proofErr w:type="spellStart"/>
      <w:r w:rsidRPr="000508B6">
        <w:rPr>
          <w:rFonts w:ascii="Times New Roman" w:eastAsia="Times New Roman" w:hAnsi="Times New Roman" w:cs="Times New Roman"/>
          <w:bCs/>
          <w:lang w:val="ro-MD"/>
        </w:rPr>
        <w:t>condiţiile</w:t>
      </w:r>
      <w:proofErr w:type="spellEnd"/>
      <w:r w:rsidRPr="000508B6">
        <w:rPr>
          <w:rFonts w:ascii="Times New Roman" w:eastAsia="Times New Roman" w:hAnsi="Times New Roman" w:cs="Times New Roman"/>
          <w:bCs/>
          <w:lang w:val="ro-MD"/>
        </w:rPr>
        <w:t xml:space="preserve"> prezentului articol.</w:t>
      </w:r>
    </w:p>
    <w:p w14:paraId="3C1FF138" w14:textId="5CDFE1CF" w:rsidR="00D52A59" w:rsidRPr="000508B6" w:rsidRDefault="00415F99"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 termen de cel mult 10 zile de la data efectuării înscrierilor conform alin.(5), asigurătorul sau </w:t>
      </w:r>
      <w:proofErr w:type="spellStart"/>
      <w:r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va expune spre vânzare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nou-emise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va dezvălui public, în modul stabilit de Legea nr.171/2012, </w:t>
      </w:r>
      <w:proofErr w:type="spellStart"/>
      <w:r w:rsidRPr="000508B6">
        <w:rPr>
          <w:rFonts w:ascii="Times New Roman" w:eastAsia="Times New Roman" w:hAnsi="Times New Roman" w:cs="Times New Roman"/>
          <w:bCs/>
          <w:lang w:val="ro-MD"/>
        </w:rPr>
        <w:t>informaţia</w:t>
      </w:r>
      <w:proofErr w:type="spellEnd"/>
      <w:r w:rsidRPr="000508B6">
        <w:rPr>
          <w:rFonts w:ascii="Times New Roman" w:eastAsia="Times New Roman" w:hAnsi="Times New Roman" w:cs="Times New Roman"/>
          <w:bCs/>
          <w:lang w:val="ro-MD"/>
        </w:rPr>
        <w:t xml:space="preserve"> privind </w:t>
      </w:r>
      <w:proofErr w:type="spellStart"/>
      <w:r w:rsidRPr="000508B6">
        <w:rPr>
          <w:rFonts w:ascii="Times New Roman" w:eastAsia="Times New Roman" w:hAnsi="Times New Roman" w:cs="Times New Roman"/>
          <w:bCs/>
          <w:lang w:val="ro-MD"/>
        </w:rPr>
        <w:t>situaţia</w:t>
      </w:r>
      <w:proofErr w:type="spellEnd"/>
      <w:r w:rsidRPr="000508B6">
        <w:rPr>
          <w:rFonts w:ascii="Times New Roman" w:eastAsia="Times New Roman" w:hAnsi="Times New Roman" w:cs="Times New Roman"/>
          <w:bCs/>
          <w:lang w:val="ro-MD"/>
        </w:rPr>
        <w:t xml:space="preserve"> financiară a asigurătorului sau </w:t>
      </w:r>
      <w:proofErr w:type="spellStart"/>
      <w:r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pe parcursul ultimilor 3 ani, precum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o descriere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expuse spre vânzare</w:t>
      </w:r>
      <w:r w:rsidR="00D52A59" w:rsidRPr="000508B6">
        <w:rPr>
          <w:rFonts w:ascii="Times New Roman" w:eastAsia="Times New Roman" w:hAnsi="Times New Roman" w:cs="Times New Roman"/>
          <w:bCs/>
          <w:lang w:val="ro-MD"/>
        </w:rPr>
        <w:t>.</w:t>
      </w:r>
    </w:p>
    <w:p w14:paraId="3075D84C" w14:textId="28BA1136" w:rsidR="00D52A59" w:rsidRPr="000508B6" w:rsidRDefault="00D52A59"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Termenul de </w:t>
      </w:r>
      <w:r w:rsidR="00AF3AEB" w:rsidRPr="000508B6">
        <w:rPr>
          <w:rFonts w:ascii="Times New Roman" w:eastAsia="Times New Roman" w:hAnsi="Times New Roman" w:cs="Times New Roman"/>
          <w:bCs/>
          <w:lang w:val="ro-MD"/>
        </w:rPr>
        <w:t>vânzare</w:t>
      </w:r>
      <w:r w:rsidRPr="000508B6">
        <w:rPr>
          <w:rFonts w:ascii="Times New Roman" w:eastAsia="Times New Roman" w:hAnsi="Times New Roman" w:cs="Times New Roman"/>
          <w:bCs/>
          <w:lang w:val="ro-MD"/>
        </w:rPr>
        <w:t xml:space="preserve">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de către </w:t>
      </w:r>
      <w:r w:rsidR="00EA5F32" w:rsidRPr="000508B6">
        <w:rPr>
          <w:rFonts w:ascii="Times New Roman" w:eastAsia="Times New Roman" w:hAnsi="Times New Roman" w:cs="Times New Roman"/>
          <w:bCs/>
          <w:lang w:val="ro-MD"/>
        </w:rPr>
        <w:t xml:space="preserve">asigurător sau </w:t>
      </w:r>
      <w:proofErr w:type="spellStart"/>
      <w:r w:rsidR="00EA5F32" w:rsidRPr="000508B6">
        <w:rPr>
          <w:rFonts w:ascii="Times New Roman" w:eastAsia="Times New Roman" w:hAnsi="Times New Roman" w:cs="Times New Roman"/>
          <w:bCs/>
          <w:lang w:val="ro-MD"/>
        </w:rPr>
        <w:t>reasigurător</w:t>
      </w:r>
      <w:proofErr w:type="spellEnd"/>
      <w:r w:rsidR="00EA5F32"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nu </w:t>
      </w:r>
      <w:proofErr w:type="spellStart"/>
      <w:r w:rsidRPr="000508B6">
        <w:rPr>
          <w:rFonts w:ascii="Times New Roman" w:eastAsia="Times New Roman" w:hAnsi="Times New Roman" w:cs="Times New Roman"/>
          <w:bCs/>
          <w:lang w:val="ro-MD"/>
        </w:rPr>
        <w:t>depăşeşte</w:t>
      </w:r>
      <w:proofErr w:type="spellEnd"/>
      <w:r w:rsidRPr="000508B6">
        <w:rPr>
          <w:rFonts w:ascii="Times New Roman" w:eastAsia="Times New Roman" w:hAnsi="Times New Roman" w:cs="Times New Roman"/>
          <w:bCs/>
          <w:lang w:val="ro-MD"/>
        </w:rPr>
        <w:t xml:space="preserve"> 3 luni de la data expunerii acestora spre </w:t>
      </w:r>
      <w:r w:rsidR="00AF3AEB" w:rsidRPr="000508B6">
        <w:rPr>
          <w:rFonts w:ascii="Times New Roman" w:eastAsia="Times New Roman" w:hAnsi="Times New Roman" w:cs="Times New Roman"/>
          <w:bCs/>
          <w:lang w:val="ro-MD"/>
        </w:rPr>
        <w:t>vânzare</w:t>
      </w:r>
      <w:r w:rsidRPr="000508B6">
        <w:rPr>
          <w:rFonts w:ascii="Times New Roman" w:eastAsia="Times New Roman" w:hAnsi="Times New Roman" w:cs="Times New Roman"/>
          <w:bCs/>
          <w:lang w:val="ro-MD"/>
        </w:rPr>
        <w:t xml:space="preserve">, cu </w:t>
      </w:r>
      <w:proofErr w:type="spellStart"/>
      <w:r w:rsidRPr="000508B6">
        <w:rPr>
          <w:rFonts w:ascii="Times New Roman" w:eastAsia="Times New Roman" w:hAnsi="Times New Roman" w:cs="Times New Roman"/>
          <w:bCs/>
          <w:lang w:val="ro-MD"/>
        </w:rPr>
        <w:t>excepţia</w:t>
      </w:r>
      <w:proofErr w:type="spellEnd"/>
      <w:r w:rsidRPr="000508B6">
        <w:rPr>
          <w:rFonts w:ascii="Times New Roman" w:eastAsia="Times New Roman" w:hAnsi="Times New Roman" w:cs="Times New Roman"/>
          <w:bCs/>
          <w:lang w:val="ro-MD"/>
        </w:rPr>
        <w:t xml:space="preserve"> indicată la alin.</w:t>
      </w:r>
      <w:r w:rsidR="00AE2BD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(9).</w:t>
      </w:r>
    </w:p>
    <w:p w14:paraId="33F7A51D" w14:textId="003DB7B1" w:rsidR="00D52A59" w:rsidRPr="000508B6" w:rsidRDefault="00AB13A7"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La cererea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Banca Națională a Moldovei poate dispune prelungirea termenele de 3 luni, prevăzute la alin. (8) din prezentul articol, cu perioade a câte cel mult 3 luni, de cel mult 6 ori. Cererea de prelungire a termenelor de vânzare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de către </w:t>
      </w:r>
      <w:r w:rsidR="008773CB" w:rsidRPr="000508B6">
        <w:rPr>
          <w:rFonts w:ascii="Times New Roman" w:eastAsia="Times New Roman" w:hAnsi="Times New Roman" w:cs="Times New Roman"/>
          <w:bCs/>
          <w:lang w:val="ro-MD"/>
        </w:rPr>
        <w:t xml:space="preserve">asigurător sau </w:t>
      </w:r>
      <w:proofErr w:type="spellStart"/>
      <w:r w:rsidR="008773CB" w:rsidRPr="000508B6">
        <w:rPr>
          <w:rFonts w:ascii="Times New Roman" w:eastAsia="Times New Roman" w:hAnsi="Times New Roman" w:cs="Times New Roman"/>
          <w:bCs/>
          <w:lang w:val="ro-MD"/>
        </w:rPr>
        <w:t>reasigurător</w:t>
      </w:r>
      <w:proofErr w:type="spellEnd"/>
      <w:r w:rsidR="008773CB"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este înaintată cu 10 zile lucrătoare înainte de expirarea termenului precedent stabilit pentru vânzarea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Prelungirea se dispune în scopul neadmiterii periclitării </w:t>
      </w:r>
      <w:proofErr w:type="spellStart"/>
      <w:r w:rsidRPr="000508B6">
        <w:rPr>
          <w:rFonts w:ascii="Times New Roman" w:eastAsia="Times New Roman" w:hAnsi="Times New Roman" w:cs="Times New Roman"/>
          <w:bCs/>
          <w:lang w:val="ro-MD"/>
        </w:rPr>
        <w:t>stabilităţii</w:t>
      </w:r>
      <w:proofErr w:type="spellEnd"/>
      <w:r w:rsidRPr="000508B6">
        <w:rPr>
          <w:rFonts w:ascii="Times New Roman" w:eastAsia="Times New Roman" w:hAnsi="Times New Roman" w:cs="Times New Roman"/>
          <w:bCs/>
          <w:lang w:val="ro-MD"/>
        </w:rPr>
        <w:t xml:space="preserve"> financiare sau în cazul în care există un interes public în a dispune prelungirea ori în cazul în care a fost identificat, fără efectuarea unei evaluări prealabile de către </w:t>
      </w:r>
      <w:r w:rsidR="00385051" w:rsidRPr="000508B6">
        <w:rPr>
          <w:rFonts w:ascii="Times New Roman" w:eastAsia="Times New Roman" w:hAnsi="Times New Roman" w:cs="Times New Roman"/>
          <w:bCs/>
          <w:lang w:val="ro-MD"/>
        </w:rPr>
        <w:t>Banca Națională a Moldovei</w:t>
      </w:r>
      <w:r w:rsidRPr="000508B6">
        <w:rPr>
          <w:rFonts w:ascii="Times New Roman" w:eastAsia="Times New Roman" w:hAnsi="Times New Roman" w:cs="Times New Roman"/>
          <w:bCs/>
          <w:lang w:val="ro-MD"/>
        </w:rPr>
        <w:t xml:space="preserve">, un </w:t>
      </w:r>
      <w:proofErr w:type="spellStart"/>
      <w:r w:rsidR="00385051" w:rsidRPr="000508B6">
        <w:rPr>
          <w:rFonts w:ascii="Times New Roman" w:eastAsia="Times New Roman" w:hAnsi="Times New Roman" w:cs="Times New Roman"/>
          <w:bCs/>
          <w:lang w:val="ro-MD"/>
        </w:rPr>
        <w:t>potenţial</w:t>
      </w:r>
      <w:proofErr w:type="spellEnd"/>
      <w:r w:rsidR="00385051"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achizitor al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expuse spre vânzare, a cărui calitate este potrivită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adecvată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nu comportă suspiciuni întemeiate la momentul adoptării deciziei de prelungire. </w:t>
      </w:r>
      <w:r w:rsidR="00385051" w:rsidRPr="000508B6">
        <w:rPr>
          <w:rFonts w:ascii="Times New Roman" w:eastAsia="Times New Roman" w:hAnsi="Times New Roman" w:cs="Times New Roman"/>
          <w:bCs/>
          <w:lang w:val="ro-MD"/>
        </w:rPr>
        <w:t>Banca Națională a Moldovei</w:t>
      </w:r>
      <w:r w:rsidRPr="000508B6">
        <w:rPr>
          <w:rFonts w:ascii="Times New Roman" w:eastAsia="Times New Roman" w:hAnsi="Times New Roman" w:cs="Times New Roman"/>
          <w:bCs/>
          <w:lang w:val="ro-MD"/>
        </w:rPr>
        <w:t xml:space="preserve"> va informa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Pr="000508B6" w:rsidDel="001E36F0">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cu privire la prelungirea termenului prevăzut în prezentul alineat până la expirarea termenului precedent stabilit pentru vânzarea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w:t>
      </w:r>
      <w:r w:rsidR="00D52A59" w:rsidRPr="000508B6">
        <w:rPr>
          <w:rFonts w:ascii="Times New Roman" w:eastAsia="Times New Roman" w:hAnsi="Times New Roman" w:cs="Times New Roman"/>
          <w:bCs/>
          <w:lang w:val="ro-MD"/>
        </w:rPr>
        <w:t>.</w:t>
      </w:r>
    </w:p>
    <w:p w14:paraId="7961644C" w14:textId="05ED1B5D" w:rsidR="00980FA3" w:rsidRPr="000508B6" w:rsidRDefault="00980FA3" w:rsidP="00CF5AFA">
      <w:pPr>
        <w:pStyle w:val="Listparagraf"/>
        <w:numPr>
          <w:ilvl w:val="0"/>
          <w:numId w:val="364"/>
        </w:numPr>
        <w:tabs>
          <w:tab w:val="left" w:pos="567"/>
          <w:tab w:val="left" w:pos="993"/>
        </w:tabs>
        <w:spacing w:after="0" w:line="240" w:lineRule="auto"/>
        <w:ind w:left="0" w:firstLine="567"/>
        <w:jc w:val="both"/>
        <w:rPr>
          <w:rFonts w:ascii="Times New Roman" w:eastAsia="Times New Roman" w:hAnsi="Times New Roman" w:cs="Times New Roman"/>
          <w:bCs/>
          <w:lang w:val="ro-MD"/>
        </w:rPr>
      </w:pPr>
      <w:proofErr w:type="spellStart"/>
      <w:r w:rsidRPr="000508B6">
        <w:rPr>
          <w:rFonts w:ascii="Times New Roman" w:eastAsia="Times New Roman" w:hAnsi="Times New Roman" w:cs="Times New Roman"/>
          <w:bCs/>
          <w:lang w:val="ro-MD"/>
        </w:rPr>
        <w:t>Preţul</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iniţial</w:t>
      </w:r>
      <w:proofErr w:type="spellEnd"/>
      <w:r w:rsidRPr="000508B6">
        <w:rPr>
          <w:rFonts w:ascii="Times New Roman" w:eastAsia="Times New Roman" w:hAnsi="Times New Roman" w:cs="Times New Roman"/>
          <w:bCs/>
          <w:lang w:val="ro-MD"/>
        </w:rPr>
        <w:t xml:space="preserve"> de expunere spre vânzare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va fi stabilit în următoarele </w:t>
      </w:r>
      <w:proofErr w:type="spellStart"/>
      <w:r w:rsidRPr="000508B6">
        <w:rPr>
          <w:rFonts w:ascii="Times New Roman" w:eastAsia="Times New Roman" w:hAnsi="Times New Roman" w:cs="Times New Roman"/>
          <w:bCs/>
          <w:lang w:val="ro-MD"/>
        </w:rPr>
        <w:t>condiţii</w:t>
      </w:r>
      <w:proofErr w:type="spellEnd"/>
      <w:r w:rsidRPr="000508B6">
        <w:rPr>
          <w:rFonts w:ascii="Times New Roman" w:eastAsia="Times New Roman" w:hAnsi="Times New Roman" w:cs="Times New Roman"/>
          <w:bCs/>
          <w:lang w:val="ro-MD"/>
        </w:rPr>
        <w:t>:</w:t>
      </w:r>
    </w:p>
    <w:p w14:paraId="2851AF46" w14:textId="028D139C" w:rsidR="00980FA3" w:rsidRPr="000508B6" w:rsidRDefault="00980FA3" w:rsidP="006806F0">
      <w:pPr>
        <w:tabs>
          <w:tab w:val="left" w:pos="851"/>
          <w:tab w:val="left" w:pos="993"/>
        </w:tabs>
        <w:spacing w:after="0" w:line="240" w:lineRule="auto"/>
        <w:ind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în cazul în care cota nu </w:t>
      </w:r>
      <w:proofErr w:type="spellStart"/>
      <w:r w:rsidRPr="000508B6">
        <w:rPr>
          <w:rFonts w:ascii="Times New Roman" w:eastAsia="Times New Roman" w:hAnsi="Times New Roman" w:cs="Times New Roman"/>
          <w:lang w:val="ro-MD"/>
        </w:rPr>
        <w:t>depăşeşte</w:t>
      </w:r>
      <w:proofErr w:type="spellEnd"/>
      <w:r w:rsidRPr="000508B6">
        <w:rPr>
          <w:rFonts w:ascii="Times New Roman" w:eastAsia="Times New Roman" w:hAnsi="Times New Roman" w:cs="Times New Roman"/>
          <w:lang w:val="ro-MD"/>
        </w:rPr>
        <w:t xml:space="preserve"> 10% – conform criteriilor prevăzute la art.</w:t>
      </w:r>
      <w:r w:rsidR="0029709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23 alin.</w:t>
      </w:r>
      <w:r w:rsidR="0029709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(2) din Legea nr.171/2012, cu aplicarea alin.</w:t>
      </w:r>
      <w:r w:rsidR="006806F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(7) din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articol pentru criteriul stabilit la art.</w:t>
      </w:r>
      <w:r w:rsidR="006806F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23 alin.</w:t>
      </w:r>
      <w:r w:rsidR="006806F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(2) lit.</w:t>
      </w:r>
      <w:r w:rsidR="006806F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 din Legea nr.171/2012;</w:t>
      </w:r>
    </w:p>
    <w:p w14:paraId="60BDC70D" w14:textId="77777777" w:rsidR="00980FA3" w:rsidRPr="000508B6" w:rsidRDefault="00980FA3" w:rsidP="0006568A">
      <w:pPr>
        <w:tabs>
          <w:tab w:val="left" w:pos="851"/>
          <w:tab w:val="left" w:pos="993"/>
        </w:tabs>
        <w:spacing w:after="0" w:line="240" w:lineRule="auto"/>
        <w:ind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în cazul în care cota </w:t>
      </w:r>
      <w:proofErr w:type="spellStart"/>
      <w:r w:rsidRPr="000508B6">
        <w:rPr>
          <w:rFonts w:ascii="Times New Roman" w:eastAsia="Times New Roman" w:hAnsi="Times New Roman" w:cs="Times New Roman"/>
          <w:lang w:val="ro-MD"/>
        </w:rPr>
        <w:t>depăşeşte</w:t>
      </w:r>
      <w:proofErr w:type="spellEnd"/>
      <w:r w:rsidRPr="000508B6">
        <w:rPr>
          <w:rFonts w:ascii="Times New Roman" w:eastAsia="Times New Roman" w:hAnsi="Times New Roman" w:cs="Times New Roman"/>
          <w:lang w:val="ro-MD"/>
        </w:rPr>
        <w:t xml:space="preserve"> 10% – conform valorii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rezultată dintr-o expertiză efectuată de către un evaluator independent în conformitate cu standardele </w:t>
      </w:r>
      <w:proofErr w:type="spellStart"/>
      <w:r w:rsidRPr="000508B6">
        <w:rPr>
          <w:rFonts w:ascii="Times New Roman" w:eastAsia="Times New Roman" w:hAnsi="Times New Roman" w:cs="Times New Roman"/>
          <w:lang w:val="ro-MD"/>
        </w:rPr>
        <w:t>internaţionale</w:t>
      </w:r>
      <w:proofErr w:type="spellEnd"/>
      <w:r w:rsidRPr="000508B6">
        <w:rPr>
          <w:rFonts w:ascii="Times New Roman" w:eastAsia="Times New Roman" w:hAnsi="Times New Roman" w:cs="Times New Roman"/>
          <w:lang w:val="ro-MD"/>
        </w:rPr>
        <w:t xml:space="preserve"> de evaluare.</w:t>
      </w:r>
    </w:p>
    <w:p w14:paraId="6B8A2785" w14:textId="52FA2D70" w:rsidR="00980FA3" w:rsidRPr="000508B6" w:rsidRDefault="00980FA3" w:rsidP="00721454">
      <w:pPr>
        <w:tabs>
          <w:tab w:val="left" w:pos="851"/>
          <w:tab w:val="left" w:pos="993"/>
        </w:tabs>
        <w:spacing w:after="0" w:line="240" w:lineRule="auto"/>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Determinarea </w:t>
      </w:r>
      <w:proofErr w:type="spellStart"/>
      <w:r w:rsidRPr="000508B6">
        <w:rPr>
          <w:rFonts w:ascii="Times New Roman" w:eastAsia="Times New Roman" w:hAnsi="Times New Roman" w:cs="Times New Roman"/>
          <w:lang w:val="ro-MD"/>
        </w:rPr>
        <w:t>preţului</w:t>
      </w:r>
      <w:proofErr w:type="spellEnd"/>
      <w:r w:rsidRPr="000508B6">
        <w:rPr>
          <w:rFonts w:ascii="Times New Roman" w:eastAsia="Times New Roman" w:hAnsi="Times New Roman" w:cs="Times New Roman"/>
          <w:lang w:val="ro-MD"/>
        </w:rPr>
        <w:t xml:space="preserve"> conform lit.</w:t>
      </w:r>
      <w:r w:rsidR="006806F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b) se efectuează de către o persoană calificată în domeniul evaluării, înregistrată în registrul persoanelor autorizate, </w:t>
      </w:r>
      <w:proofErr w:type="spellStart"/>
      <w:r w:rsidRPr="000508B6">
        <w:rPr>
          <w:rFonts w:ascii="Times New Roman" w:eastAsia="Times New Roman" w:hAnsi="Times New Roman" w:cs="Times New Roman"/>
          <w:lang w:val="ro-MD"/>
        </w:rPr>
        <w:t>ţinut</w:t>
      </w:r>
      <w:proofErr w:type="spellEnd"/>
      <w:r w:rsidRPr="000508B6">
        <w:rPr>
          <w:rFonts w:ascii="Times New Roman" w:eastAsia="Times New Roman" w:hAnsi="Times New Roman" w:cs="Times New Roman"/>
          <w:lang w:val="ro-MD"/>
        </w:rPr>
        <w:t xml:space="preserve"> de către </w:t>
      </w:r>
      <w:r w:rsidR="004627AC" w:rsidRPr="000508B6">
        <w:rPr>
          <w:rFonts w:ascii="Times New Roman" w:eastAsia="Times New Roman" w:hAnsi="Times New Roman" w:cs="Times New Roman"/>
          <w:lang w:val="ro-MD"/>
        </w:rPr>
        <w:t>CNPF</w:t>
      </w:r>
      <w:r w:rsidRPr="000508B6">
        <w:rPr>
          <w:rFonts w:ascii="Times New Roman" w:eastAsia="Times New Roman" w:hAnsi="Times New Roman" w:cs="Times New Roman"/>
          <w:lang w:val="ro-MD"/>
        </w:rPr>
        <w:t xml:space="preserve"> în modul stabilit de către aceasta.</w:t>
      </w:r>
    </w:p>
    <w:p w14:paraId="3E862AA5" w14:textId="743F72EF" w:rsidR="00D52A59" w:rsidRPr="000508B6" w:rsidRDefault="00980FA3"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Organul executiv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poate să modifice, prin diminuare, </w:t>
      </w:r>
      <w:proofErr w:type="spellStart"/>
      <w:r w:rsidRPr="000508B6">
        <w:rPr>
          <w:rFonts w:ascii="Times New Roman" w:eastAsia="Times New Roman" w:hAnsi="Times New Roman" w:cs="Times New Roman"/>
          <w:bCs/>
          <w:lang w:val="ro-MD"/>
        </w:rPr>
        <w:t>preţul</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expuse spre vânzare în intervale de cel </w:t>
      </w:r>
      <w:proofErr w:type="spellStart"/>
      <w:r w:rsidRPr="000508B6">
        <w:rPr>
          <w:rFonts w:ascii="Times New Roman" w:eastAsia="Times New Roman" w:hAnsi="Times New Roman" w:cs="Times New Roman"/>
          <w:bCs/>
          <w:lang w:val="ro-MD"/>
        </w:rPr>
        <w:t>puţin</w:t>
      </w:r>
      <w:proofErr w:type="spellEnd"/>
      <w:r w:rsidRPr="000508B6">
        <w:rPr>
          <w:rFonts w:ascii="Times New Roman" w:eastAsia="Times New Roman" w:hAnsi="Times New Roman" w:cs="Times New Roman"/>
          <w:bCs/>
          <w:lang w:val="ro-MD"/>
        </w:rPr>
        <w:t xml:space="preserve"> o dată la 3 luni de la data expunerii spre vânzare sau a ultimei modificări a </w:t>
      </w:r>
      <w:proofErr w:type="spellStart"/>
      <w:r w:rsidRPr="000508B6">
        <w:rPr>
          <w:rFonts w:ascii="Times New Roman" w:eastAsia="Times New Roman" w:hAnsi="Times New Roman" w:cs="Times New Roman"/>
          <w:bCs/>
          <w:lang w:val="ro-MD"/>
        </w:rPr>
        <w:t>preţului</w:t>
      </w:r>
      <w:proofErr w:type="spellEnd"/>
      <w:r w:rsidRPr="000508B6">
        <w:rPr>
          <w:rFonts w:ascii="Times New Roman" w:eastAsia="Times New Roman" w:hAnsi="Times New Roman" w:cs="Times New Roman"/>
          <w:bCs/>
          <w:lang w:val="ro-MD"/>
        </w:rPr>
        <w:t xml:space="preserve">. Diminuarea </w:t>
      </w:r>
      <w:proofErr w:type="spellStart"/>
      <w:r w:rsidRPr="000508B6">
        <w:rPr>
          <w:rFonts w:ascii="Times New Roman" w:eastAsia="Times New Roman" w:hAnsi="Times New Roman" w:cs="Times New Roman"/>
          <w:bCs/>
          <w:lang w:val="ro-MD"/>
        </w:rPr>
        <w:t>preţului</w:t>
      </w:r>
      <w:proofErr w:type="spellEnd"/>
      <w:r w:rsidRPr="000508B6">
        <w:rPr>
          <w:rFonts w:ascii="Times New Roman" w:eastAsia="Times New Roman" w:hAnsi="Times New Roman" w:cs="Times New Roman"/>
          <w:bCs/>
          <w:lang w:val="ro-MD"/>
        </w:rPr>
        <w:t xml:space="preserve"> se admite în limitele de până la 30% în ceea ce </w:t>
      </w:r>
      <w:proofErr w:type="spellStart"/>
      <w:r w:rsidRPr="000508B6">
        <w:rPr>
          <w:rFonts w:ascii="Times New Roman" w:eastAsia="Times New Roman" w:hAnsi="Times New Roman" w:cs="Times New Roman"/>
          <w:bCs/>
          <w:lang w:val="ro-MD"/>
        </w:rPr>
        <w:t>priveşte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preţul</w:t>
      </w:r>
      <w:proofErr w:type="spellEnd"/>
      <w:r w:rsidRPr="000508B6">
        <w:rPr>
          <w:rFonts w:ascii="Times New Roman" w:eastAsia="Times New Roman" w:hAnsi="Times New Roman" w:cs="Times New Roman"/>
          <w:bCs/>
          <w:lang w:val="ro-MD"/>
        </w:rPr>
        <w:t xml:space="preserve"> stabilit anterior, cu prezentarea argumentelor respective la adresa </w:t>
      </w:r>
      <w:r w:rsidR="004A0319" w:rsidRPr="000508B6">
        <w:rPr>
          <w:rFonts w:ascii="Times New Roman" w:eastAsia="Times New Roman" w:hAnsi="Times New Roman" w:cs="Times New Roman"/>
          <w:bCs/>
          <w:lang w:val="ro-MD"/>
        </w:rPr>
        <w:t>Băncii Naționale a Moldovei</w:t>
      </w:r>
      <w:r w:rsidRPr="000508B6">
        <w:rPr>
          <w:rFonts w:ascii="Times New Roman" w:eastAsia="Times New Roman" w:hAnsi="Times New Roman" w:cs="Times New Roman"/>
          <w:bCs/>
          <w:lang w:val="ro-MD"/>
        </w:rPr>
        <w:t xml:space="preserve">. În cazul survenirii unor factori care </w:t>
      </w:r>
      <w:proofErr w:type="spellStart"/>
      <w:r w:rsidRPr="000508B6">
        <w:rPr>
          <w:rFonts w:ascii="Times New Roman" w:eastAsia="Times New Roman" w:hAnsi="Times New Roman" w:cs="Times New Roman"/>
          <w:bCs/>
          <w:lang w:val="ro-MD"/>
        </w:rPr>
        <w:t>influenţează</w:t>
      </w:r>
      <w:proofErr w:type="spellEnd"/>
      <w:r w:rsidRPr="000508B6">
        <w:rPr>
          <w:rFonts w:ascii="Times New Roman" w:eastAsia="Times New Roman" w:hAnsi="Times New Roman" w:cs="Times New Roman"/>
          <w:bCs/>
          <w:lang w:val="ro-MD"/>
        </w:rPr>
        <w:t xml:space="preserve"> semnificativ </w:t>
      </w:r>
      <w:proofErr w:type="spellStart"/>
      <w:r w:rsidRPr="000508B6">
        <w:rPr>
          <w:rFonts w:ascii="Times New Roman" w:eastAsia="Times New Roman" w:hAnsi="Times New Roman" w:cs="Times New Roman"/>
          <w:bCs/>
          <w:lang w:val="ro-MD"/>
        </w:rPr>
        <w:t>preţul</w:t>
      </w:r>
      <w:proofErr w:type="spellEnd"/>
      <w:r w:rsidRPr="000508B6">
        <w:rPr>
          <w:rFonts w:ascii="Times New Roman" w:eastAsia="Times New Roman" w:hAnsi="Times New Roman" w:cs="Times New Roman"/>
          <w:bCs/>
          <w:lang w:val="ro-MD"/>
        </w:rPr>
        <w:t xml:space="preserve"> stabilit anterior, pentru fezabilitatea </w:t>
      </w:r>
      <w:proofErr w:type="spellStart"/>
      <w:r w:rsidRPr="000508B6">
        <w:rPr>
          <w:rFonts w:ascii="Times New Roman" w:eastAsia="Times New Roman" w:hAnsi="Times New Roman" w:cs="Times New Roman"/>
          <w:bCs/>
          <w:lang w:val="ro-MD"/>
        </w:rPr>
        <w:t>tranzacţiei</w:t>
      </w:r>
      <w:proofErr w:type="spellEnd"/>
      <w:r w:rsidRPr="000508B6">
        <w:rPr>
          <w:rFonts w:ascii="Times New Roman" w:eastAsia="Times New Roman" w:hAnsi="Times New Roman" w:cs="Times New Roman"/>
          <w:bCs/>
          <w:lang w:val="ro-MD"/>
        </w:rPr>
        <w:t xml:space="preserve">, diminuarea </w:t>
      </w:r>
      <w:proofErr w:type="spellStart"/>
      <w:r w:rsidRPr="000508B6">
        <w:rPr>
          <w:rFonts w:ascii="Times New Roman" w:eastAsia="Times New Roman" w:hAnsi="Times New Roman" w:cs="Times New Roman"/>
          <w:bCs/>
          <w:lang w:val="ro-MD"/>
        </w:rPr>
        <w:t>preţului</w:t>
      </w:r>
      <w:proofErr w:type="spellEnd"/>
      <w:r w:rsidRPr="000508B6">
        <w:rPr>
          <w:rFonts w:ascii="Times New Roman" w:eastAsia="Times New Roman" w:hAnsi="Times New Roman" w:cs="Times New Roman"/>
          <w:bCs/>
          <w:lang w:val="ro-MD"/>
        </w:rPr>
        <w:t xml:space="preserve"> se admite peste limita de 30% până la 50% cu prezentarea argumentelor justificative.</w:t>
      </w:r>
    </w:p>
    <w:p w14:paraId="3C1EBF01" w14:textId="4337D2E8" w:rsidR="00D52A59" w:rsidRPr="000508B6" w:rsidRDefault="00980FA3"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Banca Națională a Moldovei urmează a fi notificată cu privire la orice modificare a </w:t>
      </w:r>
      <w:proofErr w:type="spellStart"/>
      <w:r w:rsidRPr="000508B6">
        <w:rPr>
          <w:rFonts w:ascii="Times New Roman" w:eastAsia="Times New Roman" w:hAnsi="Times New Roman" w:cs="Times New Roman"/>
          <w:bCs/>
          <w:lang w:val="ro-MD"/>
        </w:rPr>
        <w:t>preţului</w:t>
      </w:r>
      <w:proofErr w:type="spellEnd"/>
      <w:r w:rsidRPr="000508B6">
        <w:rPr>
          <w:rFonts w:ascii="Times New Roman" w:eastAsia="Times New Roman" w:hAnsi="Times New Roman" w:cs="Times New Roman"/>
          <w:bCs/>
          <w:lang w:val="ro-MD"/>
        </w:rPr>
        <w:t xml:space="preserve">, în termen de 3 zile, cu dezvăluirea publică a </w:t>
      </w:r>
      <w:proofErr w:type="spellStart"/>
      <w:r w:rsidRPr="000508B6">
        <w:rPr>
          <w:rFonts w:ascii="Times New Roman" w:eastAsia="Times New Roman" w:hAnsi="Times New Roman" w:cs="Times New Roman"/>
          <w:bCs/>
          <w:lang w:val="ro-MD"/>
        </w:rPr>
        <w:t>informaţiei</w:t>
      </w:r>
      <w:proofErr w:type="spellEnd"/>
      <w:r w:rsidRPr="000508B6">
        <w:rPr>
          <w:rFonts w:ascii="Times New Roman" w:eastAsia="Times New Roman" w:hAnsi="Times New Roman" w:cs="Times New Roman"/>
          <w:bCs/>
          <w:lang w:val="ro-MD"/>
        </w:rPr>
        <w:t xml:space="preserve"> respective, în modul stabilit de Legea nr.171/2012</w:t>
      </w:r>
      <w:r w:rsidR="00D52A59" w:rsidRPr="000508B6" w:rsidDel="00980FA3">
        <w:rPr>
          <w:rFonts w:ascii="Times New Roman" w:eastAsia="Times New Roman" w:hAnsi="Times New Roman" w:cs="Times New Roman"/>
          <w:bCs/>
          <w:lang w:val="ro-MD"/>
        </w:rPr>
        <w:t>.</w:t>
      </w:r>
    </w:p>
    <w:p w14:paraId="6C21332C" w14:textId="1C69B50D" w:rsidR="00610442" w:rsidRPr="000508B6" w:rsidRDefault="00610442"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Mijloacele </w:t>
      </w:r>
      <w:proofErr w:type="spellStart"/>
      <w:r w:rsidRPr="000508B6">
        <w:rPr>
          <w:rFonts w:ascii="Times New Roman" w:eastAsia="Times New Roman" w:hAnsi="Times New Roman" w:cs="Times New Roman"/>
          <w:bCs/>
          <w:lang w:val="ro-MD"/>
        </w:rPr>
        <w:t>băneşti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obţinute</w:t>
      </w:r>
      <w:proofErr w:type="spellEnd"/>
      <w:r w:rsidRPr="000508B6">
        <w:rPr>
          <w:rFonts w:ascii="Times New Roman" w:eastAsia="Times New Roman" w:hAnsi="Times New Roman" w:cs="Times New Roman"/>
          <w:bCs/>
          <w:lang w:val="ro-MD"/>
        </w:rPr>
        <w:t xml:space="preserve"> ca rezultat al vânzării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se vor transfera într-un cont bancar provizoriu, deschis de către </w:t>
      </w:r>
      <w:r w:rsidR="00EA5F32" w:rsidRPr="000508B6">
        <w:rPr>
          <w:rFonts w:ascii="Times New Roman" w:eastAsia="Times New Roman" w:hAnsi="Times New Roman" w:cs="Times New Roman"/>
          <w:bCs/>
          <w:lang w:val="ro-MD"/>
        </w:rPr>
        <w:t xml:space="preserve">asigurător sau </w:t>
      </w:r>
      <w:proofErr w:type="spellStart"/>
      <w:r w:rsidR="00EA5F32" w:rsidRPr="000508B6">
        <w:rPr>
          <w:rFonts w:ascii="Times New Roman" w:eastAsia="Times New Roman" w:hAnsi="Times New Roman" w:cs="Times New Roman"/>
          <w:bCs/>
          <w:lang w:val="ro-MD"/>
        </w:rPr>
        <w:t>reasigurător</w:t>
      </w:r>
      <w:proofErr w:type="spellEnd"/>
      <w:r w:rsidR="00EA5F32"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în acest scop.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lang w:val="ro-MD"/>
        </w:rPr>
        <w:t>va înr</w:t>
      </w:r>
      <w:r w:rsidRPr="000508B6">
        <w:rPr>
          <w:rFonts w:ascii="Times New Roman" w:eastAsia="Times New Roman" w:hAnsi="Times New Roman" w:cs="Times New Roman"/>
          <w:bCs/>
          <w:lang w:val="ro-MD"/>
        </w:rPr>
        <w:t xml:space="preserve">egistra mijloacele </w:t>
      </w:r>
      <w:proofErr w:type="spellStart"/>
      <w:r w:rsidRPr="000508B6">
        <w:rPr>
          <w:rFonts w:ascii="Times New Roman" w:eastAsia="Times New Roman" w:hAnsi="Times New Roman" w:cs="Times New Roman"/>
          <w:bCs/>
          <w:lang w:val="ro-MD"/>
        </w:rPr>
        <w:t>băneşti</w:t>
      </w:r>
      <w:proofErr w:type="spellEnd"/>
      <w:r w:rsidRPr="000508B6">
        <w:rPr>
          <w:rFonts w:ascii="Times New Roman" w:eastAsia="Times New Roman" w:hAnsi="Times New Roman" w:cs="Times New Roman"/>
          <w:bCs/>
          <w:lang w:val="ro-MD"/>
        </w:rPr>
        <w:t xml:space="preserve"> respective în conturile ultimilor </w:t>
      </w:r>
      <w:proofErr w:type="spellStart"/>
      <w:r w:rsidRPr="000508B6">
        <w:rPr>
          <w:rFonts w:ascii="Times New Roman" w:eastAsia="Times New Roman" w:hAnsi="Times New Roman" w:cs="Times New Roman"/>
          <w:bCs/>
          <w:lang w:val="ro-MD"/>
        </w:rPr>
        <w:t>deţinători</w:t>
      </w:r>
      <w:proofErr w:type="spellEnd"/>
      <w:r w:rsidRPr="000508B6">
        <w:rPr>
          <w:rFonts w:ascii="Times New Roman" w:eastAsia="Times New Roman" w:hAnsi="Times New Roman" w:cs="Times New Roman"/>
          <w:bCs/>
          <w:lang w:val="ro-MD"/>
        </w:rPr>
        <w:t xml:space="preserve"> de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în baza principiului </w:t>
      </w:r>
      <w:proofErr w:type="spellStart"/>
      <w:r w:rsidRPr="000508B6">
        <w:rPr>
          <w:rFonts w:ascii="Times New Roman" w:eastAsia="Times New Roman" w:hAnsi="Times New Roman" w:cs="Times New Roman"/>
          <w:bCs/>
          <w:lang w:val="ro-MD"/>
        </w:rPr>
        <w:t>proporţionalităţii</w:t>
      </w:r>
      <w:proofErr w:type="spellEnd"/>
      <w:r w:rsidRPr="000508B6">
        <w:rPr>
          <w:rFonts w:ascii="Times New Roman" w:eastAsia="Times New Roman" w:hAnsi="Times New Roman" w:cs="Times New Roman"/>
          <w:bCs/>
          <w:lang w:val="ro-MD"/>
        </w:rPr>
        <w:t xml:space="preserve">, după </w:t>
      </w:r>
      <w:proofErr w:type="spellStart"/>
      <w:r w:rsidRPr="000508B6">
        <w:rPr>
          <w:rFonts w:ascii="Times New Roman" w:eastAsia="Times New Roman" w:hAnsi="Times New Roman" w:cs="Times New Roman"/>
          <w:bCs/>
          <w:lang w:val="ro-MD"/>
        </w:rPr>
        <w:t>reţinerea</w:t>
      </w:r>
      <w:proofErr w:type="spellEnd"/>
      <w:r w:rsidRPr="000508B6">
        <w:rPr>
          <w:rFonts w:ascii="Times New Roman" w:eastAsia="Times New Roman" w:hAnsi="Times New Roman" w:cs="Times New Roman"/>
          <w:bCs/>
          <w:lang w:val="ro-MD"/>
        </w:rPr>
        <w:t xml:space="preserve"> tuturor cheltuielilor (taxe, </w:t>
      </w:r>
      <w:proofErr w:type="spellStart"/>
      <w:r w:rsidRPr="000508B6">
        <w:rPr>
          <w:rFonts w:ascii="Times New Roman" w:eastAsia="Times New Roman" w:hAnsi="Times New Roman" w:cs="Times New Roman"/>
          <w:bCs/>
          <w:lang w:val="ro-MD"/>
        </w:rPr>
        <w:t>plăţi</w:t>
      </w:r>
      <w:proofErr w:type="spellEnd"/>
      <w:r w:rsidRPr="000508B6">
        <w:rPr>
          <w:rFonts w:ascii="Times New Roman" w:eastAsia="Times New Roman" w:hAnsi="Times New Roman" w:cs="Times New Roman"/>
          <w:bCs/>
          <w:lang w:val="ro-MD"/>
        </w:rPr>
        <w:t>, comisioane, amenzi) aferente vânzării</w:t>
      </w:r>
      <w:r w:rsidRPr="000508B6">
        <w:rPr>
          <w:rFonts w:ascii="Times New Roman" w:eastAsia="Times New Roman" w:hAnsi="Times New Roman" w:cs="Times New Roman"/>
          <w:lang w:val="ro-MD"/>
        </w:rPr>
        <w:t>.</w:t>
      </w:r>
    </w:p>
    <w:p w14:paraId="73488D92" w14:textId="76463EB8" w:rsidR="00610442" w:rsidRPr="000508B6" w:rsidRDefault="00610442"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În cazul procurării acțiunilor nou-emise se vor respecta prevederile art. 12 alin. (1) lit. a).</w:t>
      </w:r>
    </w:p>
    <w:p w14:paraId="6B438F34" w14:textId="5CFB2DF6" w:rsidR="00610442" w:rsidRPr="000508B6" w:rsidRDefault="00746754"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Pr>
          <w:rFonts w:ascii="Times New Roman" w:eastAsia="Times New Roman" w:hAnsi="Times New Roman" w:cs="Times New Roman"/>
          <w:bCs/>
          <w:lang w:val="ro-MD"/>
        </w:rPr>
        <w:lastRenderedPageBreak/>
        <w:t>Firmele</w:t>
      </w:r>
      <w:r w:rsidRPr="000508B6">
        <w:rPr>
          <w:rFonts w:ascii="Times New Roman" w:eastAsia="Times New Roman" w:hAnsi="Times New Roman" w:cs="Times New Roman"/>
          <w:bCs/>
          <w:lang w:val="ro-MD"/>
        </w:rPr>
        <w:t xml:space="preserve"> </w:t>
      </w:r>
      <w:r w:rsidR="00610442" w:rsidRPr="000508B6">
        <w:rPr>
          <w:rFonts w:ascii="Times New Roman" w:eastAsia="Times New Roman" w:hAnsi="Times New Roman" w:cs="Times New Roman"/>
          <w:bCs/>
          <w:lang w:val="ro-MD"/>
        </w:rPr>
        <w:t xml:space="preserve">de </w:t>
      </w:r>
      <w:proofErr w:type="spellStart"/>
      <w:r w:rsidR="00610442" w:rsidRPr="000508B6">
        <w:rPr>
          <w:rFonts w:ascii="Times New Roman" w:eastAsia="Times New Roman" w:hAnsi="Times New Roman" w:cs="Times New Roman"/>
          <w:bCs/>
          <w:lang w:val="ro-MD"/>
        </w:rPr>
        <w:t>investiţii</w:t>
      </w:r>
      <w:proofErr w:type="spellEnd"/>
      <w:r w:rsidR="00610442" w:rsidRPr="000508B6">
        <w:rPr>
          <w:rFonts w:ascii="Times New Roman" w:eastAsia="Times New Roman" w:hAnsi="Times New Roman" w:cs="Times New Roman"/>
          <w:bCs/>
          <w:lang w:val="ro-MD"/>
        </w:rPr>
        <w:t xml:space="preserve"> </w:t>
      </w:r>
      <w:r w:rsidR="004604A7" w:rsidRPr="000508B6">
        <w:rPr>
          <w:rFonts w:ascii="Times New Roman" w:eastAsia="Times New Roman" w:hAnsi="Times New Roman" w:cs="Times New Roman"/>
          <w:lang w:val="ro-MD"/>
        </w:rPr>
        <w:t>vor</w:t>
      </w:r>
      <w:r w:rsidR="00610442" w:rsidRPr="000508B6">
        <w:rPr>
          <w:rFonts w:ascii="Times New Roman" w:eastAsia="Times New Roman" w:hAnsi="Times New Roman" w:cs="Times New Roman"/>
          <w:lang w:val="ro-MD"/>
        </w:rPr>
        <w:t xml:space="preserve"> inf</w:t>
      </w:r>
      <w:r w:rsidR="00610442" w:rsidRPr="000508B6">
        <w:rPr>
          <w:rFonts w:ascii="Times New Roman" w:eastAsia="Times New Roman" w:hAnsi="Times New Roman" w:cs="Times New Roman"/>
          <w:bCs/>
          <w:lang w:val="ro-MD"/>
        </w:rPr>
        <w:t xml:space="preserve">orma imediat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00610442" w:rsidRPr="000508B6">
        <w:rPr>
          <w:rFonts w:ascii="Times New Roman" w:eastAsia="Times New Roman" w:hAnsi="Times New Roman" w:cs="Times New Roman"/>
          <w:bCs/>
          <w:lang w:val="ro-MD"/>
        </w:rPr>
        <w:t xml:space="preserve"> despre persoanele care au procurat </w:t>
      </w:r>
      <w:proofErr w:type="spellStart"/>
      <w:r w:rsidR="00610442" w:rsidRPr="000508B6">
        <w:rPr>
          <w:rFonts w:ascii="Times New Roman" w:eastAsia="Times New Roman" w:hAnsi="Times New Roman" w:cs="Times New Roman"/>
          <w:bCs/>
          <w:lang w:val="ro-MD"/>
        </w:rPr>
        <w:t>acţiunile</w:t>
      </w:r>
      <w:proofErr w:type="spellEnd"/>
      <w:r w:rsidR="00610442" w:rsidRPr="000508B6">
        <w:rPr>
          <w:rFonts w:ascii="Times New Roman" w:eastAsia="Times New Roman" w:hAnsi="Times New Roman" w:cs="Times New Roman"/>
          <w:bCs/>
          <w:lang w:val="ro-MD"/>
        </w:rPr>
        <w:t xml:space="preserve"> nou-emise. Lista acestor persoane urmează a fi prezentată de către </w:t>
      </w:r>
      <w:r w:rsidR="00E56858" w:rsidRPr="000508B6">
        <w:rPr>
          <w:rFonts w:ascii="Times New Roman" w:eastAsia="Times New Roman" w:hAnsi="Times New Roman" w:cs="Times New Roman"/>
          <w:bCs/>
          <w:lang w:val="ro-MD"/>
        </w:rPr>
        <w:t xml:space="preserve">asigurător sau </w:t>
      </w:r>
      <w:proofErr w:type="spellStart"/>
      <w:r w:rsidR="00E56858" w:rsidRPr="000508B6">
        <w:rPr>
          <w:rFonts w:ascii="Times New Roman" w:eastAsia="Times New Roman" w:hAnsi="Times New Roman" w:cs="Times New Roman"/>
          <w:bCs/>
          <w:lang w:val="ro-MD"/>
        </w:rPr>
        <w:t>reasigurător</w:t>
      </w:r>
      <w:proofErr w:type="spellEnd"/>
      <w:r w:rsidR="00610442" w:rsidRPr="000508B6">
        <w:rPr>
          <w:rFonts w:ascii="Times New Roman" w:eastAsia="Times New Roman" w:hAnsi="Times New Roman" w:cs="Times New Roman"/>
          <w:bCs/>
          <w:lang w:val="ro-MD"/>
        </w:rPr>
        <w:t xml:space="preserve"> </w:t>
      </w:r>
      <w:r w:rsidR="004A0319" w:rsidRPr="000508B6">
        <w:rPr>
          <w:rFonts w:ascii="Times New Roman" w:eastAsia="Times New Roman" w:hAnsi="Times New Roman" w:cs="Times New Roman"/>
          <w:bCs/>
          <w:lang w:val="ro-MD"/>
        </w:rPr>
        <w:t>Băncii Naționale a Moldovei</w:t>
      </w:r>
      <w:r w:rsidR="00610442" w:rsidRPr="000508B6">
        <w:rPr>
          <w:rFonts w:ascii="Times New Roman" w:eastAsia="Times New Roman" w:hAnsi="Times New Roman" w:cs="Times New Roman"/>
          <w:bCs/>
          <w:lang w:val="ro-MD"/>
        </w:rPr>
        <w:t xml:space="preserve"> în termen de 5 zile de la expirarea termenului prevăzut pentru vânzare.</w:t>
      </w:r>
    </w:p>
    <w:p w14:paraId="1F3D3642" w14:textId="0876A982" w:rsidR="00D52A59" w:rsidRPr="000508B6" w:rsidRDefault="004A0319" w:rsidP="0066270E">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Dacă, în termenul prevăzut în decizia organului executiv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nou-emise nu au fost vândute sau au fost vândute </w:t>
      </w:r>
      <w:proofErr w:type="spellStart"/>
      <w:r w:rsidRPr="000508B6">
        <w:rPr>
          <w:rFonts w:ascii="Times New Roman" w:eastAsia="Times New Roman" w:hAnsi="Times New Roman" w:cs="Times New Roman"/>
          <w:bCs/>
          <w:lang w:val="ro-MD"/>
        </w:rPr>
        <w:t>parţial</w:t>
      </w:r>
      <w:proofErr w:type="spellEnd"/>
      <w:r w:rsidRPr="000508B6">
        <w:rPr>
          <w:rFonts w:ascii="Times New Roman" w:eastAsia="Times New Roman" w:hAnsi="Times New Roman" w:cs="Times New Roman"/>
          <w:bCs/>
          <w:lang w:val="ro-MD"/>
        </w:rPr>
        <w:t xml:space="preserve">, cele care nu au fost vândute urmează a fi </w:t>
      </w:r>
      <w:r w:rsidR="006167A7" w:rsidRPr="000508B6">
        <w:rPr>
          <w:rFonts w:ascii="Times New Roman" w:eastAsia="Times New Roman" w:hAnsi="Times New Roman" w:cs="Times New Roman"/>
          <w:bCs/>
          <w:lang w:val="ro-MD"/>
        </w:rPr>
        <w:t>achiziționate</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anulate, iar organul executiv, prin derogare de la prevederile Legii nr.</w:t>
      </w:r>
      <w:r w:rsidR="00AE2BD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1134/1997, este obligat să ia decizia de reducere a capitalului social. </w:t>
      </w:r>
      <w:proofErr w:type="spellStart"/>
      <w:r w:rsidRPr="000508B6">
        <w:rPr>
          <w:rFonts w:ascii="Times New Roman" w:eastAsia="Times New Roman" w:hAnsi="Times New Roman" w:cs="Times New Roman"/>
          <w:bCs/>
          <w:lang w:val="ro-MD"/>
        </w:rPr>
        <w:t>Preţul</w:t>
      </w:r>
      <w:proofErr w:type="spellEnd"/>
      <w:r w:rsidRPr="000508B6">
        <w:rPr>
          <w:rFonts w:ascii="Times New Roman" w:eastAsia="Times New Roman" w:hAnsi="Times New Roman" w:cs="Times New Roman"/>
          <w:bCs/>
          <w:lang w:val="ro-MD"/>
        </w:rPr>
        <w:t xml:space="preserve"> de </w:t>
      </w:r>
      <w:r w:rsidR="006167A7" w:rsidRPr="000508B6">
        <w:rPr>
          <w:rFonts w:ascii="Times New Roman" w:eastAsia="Times New Roman" w:hAnsi="Times New Roman" w:cs="Times New Roman"/>
          <w:bCs/>
          <w:lang w:val="ro-MD"/>
        </w:rPr>
        <w:t>achiziționare</w:t>
      </w:r>
      <w:r w:rsidRPr="000508B6">
        <w:rPr>
          <w:rFonts w:ascii="Times New Roman" w:eastAsia="Times New Roman" w:hAnsi="Times New Roman" w:cs="Times New Roman"/>
          <w:bCs/>
          <w:lang w:val="ro-MD"/>
        </w:rPr>
        <w:t xml:space="preserve">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nevândute este ultimul </w:t>
      </w:r>
      <w:proofErr w:type="spellStart"/>
      <w:r w:rsidRPr="000508B6">
        <w:rPr>
          <w:rFonts w:ascii="Times New Roman" w:eastAsia="Times New Roman" w:hAnsi="Times New Roman" w:cs="Times New Roman"/>
          <w:bCs/>
          <w:lang w:val="ro-MD"/>
        </w:rPr>
        <w:t>preţ</w:t>
      </w:r>
      <w:proofErr w:type="spellEnd"/>
      <w:r w:rsidRPr="000508B6">
        <w:rPr>
          <w:rFonts w:ascii="Times New Roman" w:eastAsia="Times New Roman" w:hAnsi="Times New Roman" w:cs="Times New Roman"/>
          <w:bCs/>
          <w:lang w:val="ro-MD"/>
        </w:rPr>
        <w:t xml:space="preserve"> de vânzare sau de expunere spre vânzare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nou-emise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expuse spre vânzare conform alin.</w:t>
      </w:r>
      <w:r w:rsidR="00AE2BD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(11).</w:t>
      </w:r>
    </w:p>
    <w:p w14:paraId="0A574471" w14:textId="68BC4973" w:rsidR="00D52A59" w:rsidRPr="000508B6" w:rsidRDefault="00957EA9" w:rsidP="0066270E">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lang w:val="ro-MD"/>
        </w:rPr>
      </w:pPr>
      <w:bookmarkStart w:id="41" w:name="_Hlk220071996"/>
      <w:bookmarkStart w:id="42" w:name="_Hlk220071925"/>
      <w:r w:rsidRPr="000508B6">
        <w:rPr>
          <w:rFonts w:ascii="Times New Roman" w:eastAsia="Times New Roman" w:hAnsi="Times New Roman" w:cs="Times New Roman"/>
          <w:bCs/>
          <w:lang w:val="ro-MD"/>
        </w:rPr>
        <w:t xml:space="preserve">În cazul în care, în rezultatul emiterii deciziei de </w:t>
      </w:r>
      <w:r w:rsidR="006167A7" w:rsidRPr="000508B6">
        <w:rPr>
          <w:rFonts w:ascii="Times New Roman" w:eastAsia="Times New Roman" w:hAnsi="Times New Roman" w:cs="Times New Roman"/>
          <w:bCs/>
          <w:lang w:val="ro-MD"/>
        </w:rPr>
        <w:t>achiziționare</w:t>
      </w:r>
      <w:r w:rsidRPr="000508B6">
        <w:rPr>
          <w:rFonts w:ascii="Times New Roman" w:eastAsia="Times New Roman" w:hAnsi="Times New Roman" w:cs="Times New Roman"/>
          <w:bCs/>
          <w:lang w:val="ro-MD"/>
        </w:rPr>
        <w:t xml:space="preserve"> 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nevândute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de reducere a capitalului social conform alin.</w:t>
      </w:r>
      <w:r w:rsidR="0028606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(16), asigurătorul sau </w:t>
      </w:r>
      <w:proofErr w:type="spellStart"/>
      <w:r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nu respectă SCR sau MCR, față de acest asigurător sau </w:t>
      </w:r>
      <w:proofErr w:type="spellStart"/>
      <w:r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 xml:space="preserve"> se aplică, în mod corespunzător, prevederile art. 156 </w:t>
      </w:r>
      <w:r w:rsidR="00BE1B28" w:rsidRPr="000508B6">
        <w:rPr>
          <w:rFonts w:ascii="Times New Roman" w:eastAsia="Times New Roman" w:hAnsi="Times New Roman" w:cs="Times New Roman"/>
          <w:bCs/>
          <w:lang w:val="ro-MD"/>
        </w:rPr>
        <w:t>sau, după caz,</w:t>
      </w:r>
      <w:r w:rsidRPr="000508B6">
        <w:rPr>
          <w:rFonts w:ascii="Times New Roman" w:eastAsia="Times New Roman" w:hAnsi="Times New Roman" w:cs="Times New Roman"/>
          <w:bCs/>
          <w:lang w:val="ro-MD"/>
        </w:rPr>
        <w:t xml:space="preserve"> art. 157. </w:t>
      </w:r>
      <w:bookmarkEnd w:id="41"/>
      <w:bookmarkEnd w:id="42"/>
    </w:p>
    <w:p w14:paraId="673F9F77" w14:textId="14F22156" w:rsidR="00D52A59" w:rsidRPr="00056F02" w:rsidRDefault="00A606BD" w:rsidP="00A606BD">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 termen de 30 de zile de la data aprobării deciziei organului executiv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privind reducerea capitalului social prin anularea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w:t>
      </w:r>
      <w:r w:rsidR="00654A10" w:rsidRPr="000508B6">
        <w:rPr>
          <w:rFonts w:ascii="Times New Roman" w:eastAsia="Times New Roman" w:hAnsi="Times New Roman" w:cs="Times New Roman"/>
          <w:bCs/>
          <w:lang w:val="ro-MD"/>
        </w:rPr>
        <w:t>achiziționate</w:t>
      </w:r>
      <w:r w:rsidRPr="000508B6">
        <w:rPr>
          <w:rFonts w:ascii="Times New Roman" w:eastAsia="Times New Roman" w:hAnsi="Times New Roman" w:cs="Times New Roman"/>
          <w:bCs/>
          <w:lang w:val="ro-MD"/>
        </w:rPr>
        <w:t xml:space="preserve">, acesta prezintă </w:t>
      </w:r>
      <w:r w:rsidR="001E5BE3" w:rsidRPr="000508B6">
        <w:rPr>
          <w:rFonts w:ascii="Times New Roman" w:eastAsia="Times New Roman" w:hAnsi="Times New Roman" w:cs="Times New Roman"/>
          <w:bCs/>
          <w:lang w:val="ro-MD"/>
        </w:rPr>
        <w:t>CNPF</w:t>
      </w:r>
      <w:r w:rsidRPr="000508B6">
        <w:rPr>
          <w:rFonts w:ascii="Times New Roman" w:eastAsia="Times New Roman" w:hAnsi="Times New Roman" w:cs="Times New Roman"/>
          <w:bCs/>
          <w:lang w:val="ro-MD"/>
        </w:rPr>
        <w:t xml:space="preserve"> documentele stabilite prin actul normativ al acesteia pentru înscrierea modificărilor aferente reducerii capitalului social.</w:t>
      </w:r>
      <w:r w:rsidR="00056F02">
        <w:rPr>
          <w:rFonts w:ascii="Times New Roman" w:eastAsia="Times New Roman" w:hAnsi="Times New Roman" w:cs="Times New Roman"/>
          <w:bCs/>
          <w:lang w:val="ro-MD"/>
        </w:rPr>
        <w:t xml:space="preserve"> </w:t>
      </w:r>
      <w:r w:rsidRPr="00056F02">
        <w:rPr>
          <w:rFonts w:ascii="Times New Roman" w:eastAsia="Times New Roman" w:hAnsi="Times New Roman" w:cs="Times New Roman"/>
          <w:lang w:val="ro-MD"/>
        </w:rPr>
        <w:t xml:space="preserve">Anularea </w:t>
      </w:r>
      <w:proofErr w:type="spellStart"/>
      <w:r w:rsidRPr="00056F02">
        <w:rPr>
          <w:rFonts w:ascii="Times New Roman" w:eastAsia="Times New Roman" w:hAnsi="Times New Roman" w:cs="Times New Roman"/>
          <w:lang w:val="ro-MD"/>
        </w:rPr>
        <w:t>acţiunilor</w:t>
      </w:r>
      <w:proofErr w:type="spellEnd"/>
      <w:r w:rsidRPr="00056F02">
        <w:rPr>
          <w:rFonts w:ascii="Times New Roman" w:eastAsia="Times New Roman" w:hAnsi="Times New Roman" w:cs="Times New Roman"/>
          <w:lang w:val="ro-MD"/>
        </w:rPr>
        <w:t xml:space="preserve"> </w:t>
      </w:r>
      <w:r w:rsidR="00563BB4" w:rsidRPr="00056F02">
        <w:rPr>
          <w:rFonts w:ascii="Times New Roman" w:eastAsia="Times New Roman" w:hAnsi="Times New Roman" w:cs="Times New Roman"/>
          <w:lang w:val="ro-MD"/>
        </w:rPr>
        <w:t xml:space="preserve">achiziționate </w:t>
      </w:r>
      <w:proofErr w:type="spellStart"/>
      <w:r w:rsidRPr="00056F02">
        <w:rPr>
          <w:rFonts w:ascii="Times New Roman" w:eastAsia="Times New Roman" w:hAnsi="Times New Roman" w:cs="Times New Roman"/>
          <w:lang w:val="ro-MD"/>
        </w:rPr>
        <w:t>şi</w:t>
      </w:r>
      <w:proofErr w:type="spellEnd"/>
      <w:r w:rsidRPr="00056F02">
        <w:rPr>
          <w:rFonts w:ascii="Times New Roman" w:eastAsia="Times New Roman" w:hAnsi="Times New Roman" w:cs="Times New Roman"/>
          <w:lang w:val="ro-MD"/>
        </w:rPr>
        <w:t xml:space="preserve"> reducerea capitalului social al </w:t>
      </w:r>
      <w:r w:rsidR="004125E8" w:rsidRPr="00056F02">
        <w:rPr>
          <w:rFonts w:ascii="Times New Roman" w:eastAsia="Times New Roman" w:hAnsi="Times New Roman" w:cs="Times New Roman"/>
          <w:lang w:val="ro-MD"/>
        </w:rPr>
        <w:t xml:space="preserve">asigurătorului sau </w:t>
      </w:r>
      <w:proofErr w:type="spellStart"/>
      <w:r w:rsidR="004125E8" w:rsidRPr="00056F02">
        <w:rPr>
          <w:rFonts w:ascii="Times New Roman" w:eastAsia="Times New Roman" w:hAnsi="Times New Roman" w:cs="Times New Roman"/>
          <w:lang w:val="ro-MD"/>
        </w:rPr>
        <w:t>reasigurătorului</w:t>
      </w:r>
      <w:proofErr w:type="spellEnd"/>
      <w:r w:rsidRPr="00056F02">
        <w:rPr>
          <w:rFonts w:ascii="Times New Roman" w:eastAsia="Times New Roman" w:hAnsi="Times New Roman" w:cs="Times New Roman"/>
          <w:bCs/>
          <w:lang w:val="ro-MD"/>
        </w:rPr>
        <w:t xml:space="preserve"> se efectuează numai după </w:t>
      </w:r>
      <w:proofErr w:type="spellStart"/>
      <w:r w:rsidRPr="00056F02">
        <w:rPr>
          <w:rFonts w:ascii="Times New Roman" w:eastAsia="Times New Roman" w:hAnsi="Times New Roman" w:cs="Times New Roman"/>
          <w:bCs/>
          <w:lang w:val="ro-MD"/>
        </w:rPr>
        <w:t>obţinerea</w:t>
      </w:r>
      <w:proofErr w:type="spellEnd"/>
      <w:r w:rsidRPr="00056F02">
        <w:rPr>
          <w:rFonts w:ascii="Times New Roman" w:eastAsia="Times New Roman" w:hAnsi="Times New Roman" w:cs="Times New Roman"/>
          <w:bCs/>
          <w:lang w:val="ro-MD"/>
        </w:rPr>
        <w:t xml:space="preserve"> permisiunii Băncii Naționale a Moldovei pentru distribuirea capitalului </w:t>
      </w:r>
      <w:proofErr w:type="spellStart"/>
      <w:r w:rsidRPr="00056F02">
        <w:rPr>
          <w:rFonts w:ascii="Times New Roman" w:eastAsia="Times New Roman" w:hAnsi="Times New Roman" w:cs="Times New Roman"/>
          <w:bCs/>
          <w:lang w:val="ro-MD"/>
        </w:rPr>
        <w:t>şi</w:t>
      </w:r>
      <w:proofErr w:type="spellEnd"/>
      <w:r w:rsidRPr="00056F02">
        <w:rPr>
          <w:rFonts w:ascii="Times New Roman" w:eastAsia="Times New Roman" w:hAnsi="Times New Roman" w:cs="Times New Roman"/>
          <w:bCs/>
          <w:lang w:val="ro-MD"/>
        </w:rPr>
        <w:t xml:space="preserve"> a avizului, în cazul </w:t>
      </w:r>
      <w:proofErr w:type="spellStart"/>
      <w:r w:rsidRPr="00056F02">
        <w:rPr>
          <w:rFonts w:ascii="Times New Roman" w:eastAsia="Times New Roman" w:hAnsi="Times New Roman" w:cs="Times New Roman"/>
          <w:bCs/>
          <w:lang w:val="ro-MD"/>
        </w:rPr>
        <w:t>acţionarilor</w:t>
      </w:r>
      <w:proofErr w:type="spellEnd"/>
      <w:r w:rsidRPr="00056F02">
        <w:rPr>
          <w:rFonts w:ascii="Times New Roman" w:eastAsia="Times New Roman" w:hAnsi="Times New Roman" w:cs="Times New Roman"/>
          <w:bCs/>
          <w:lang w:val="ro-MD"/>
        </w:rPr>
        <w:t xml:space="preserve"> care vor </w:t>
      </w:r>
      <w:proofErr w:type="spellStart"/>
      <w:r w:rsidRPr="00056F02">
        <w:rPr>
          <w:rFonts w:ascii="Times New Roman" w:eastAsia="Times New Roman" w:hAnsi="Times New Roman" w:cs="Times New Roman"/>
          <w:bCs/>
          <w:lang w:val="ro-MD"/>
        </w:rPr>
        <w:t>deţine</w:t>
      </w:r>
      <w:proofErr w:type="spellEnd"/>
      <w:r w:rsidRPr="00056F02">
        <w:rPr>
          <w:rFonts w:ascii="Times New Roman" w:eastAsia="Times New Roman" w:hAnsi="Times New Roman" w:cs="Times New Roman"/>
          <w:bCs/>
          <w:lang w:val="ro-MD"/>
        </w:rPr>
        <w:t xml:space="preserve">, ca urmare a distribuirii, </w:t>
      </w:r>
      <w:proofErr w:type="spellStart"/>
      <w:r w:rsidRPr="00056F02">
        <w:rPr>
          <w:rFonts w:ascii="Times New Roman" w:eastAsia="Times New Roman" w:hAnsi="Times New Roman" w:cs="Times New Roman"/>
          <w:bCs/>
          <w:lang w:val="ro-MD"/>
        </w:rPr>
        <w:t>participaţii</w:t>
      </w:r>
      <w:proofErr w:type="spellEnd"/>
      <w:r w:rsidRPr="00056F02">
        <w:rPr>
          <w:rFonts w:ascii="Times New Roman" w:eastAsia="Times New Roman" w:hAnsi="Times New Roman" w:cs="Times New Roman"/>
          <w:bCs/>
          <w:lang w:val="ro-MD"/>
        </w:rPr>
        <w:t xml:space="preserve"> calificate. Înregistrarea reducerii capitalului social are loc în conformitate cu </w:t>
      </w:r>
      <w:r w:rsidR="00B30FD6" w:rsidRPr="00056F02">
        <w:rPr>
          <w:rFonts w:ascii="Times New Roman" w:eastAsia="Times New Roman" w:hAnsi="Times New Roman" w:cs="Times New Roman"/>
          <w:bCs/>
          <w:lang w:val="ro-MD"/>
        </w:rPr>
        <w:t>Legea nr. 1134/1997</w:t>
      </w:r>
      <w:r w:rsidR="00D52A59" w:rsidRPr="00056F02">
        <w:rPr>
          <w:rFonts w:ascii="Times New Roman" w:eastAsia="Times New Roman" w:hAnsi="Times New Roman" w:cs="Times New Roman"/>
          <w:bCs/>
          <w:lang w:val="ro-MD"/>
        </w:rPr>
        <w:t>.</w:t>
      </w:r>
    </w:p>
    <w:p w14:paraId="0ED5748C" w14:textId="064C3A7B" w:rsidR="00D52A59" w:rsidRPr="000508B6" w:rsidRDefault="00C74EED"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În cazul desemnării unui administrator</w:t>
      </w:r>
      <w:r w:rsidRPr="000508B6" w:rsidDel="00840A42">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în vederea administrării măsurilor de reorganizare sau în cadrul măsurilor prevăzute de legislația privind redresarea și rezoluția în asigurări</w:t>
      </w:r>
      <w:r w:rsidR="00B30FD6" w:rsidRPr="000508B6">
        <w:rPr>
          <w:rFonts w:ascii="Times New Roman" w:eastAsia="Times New Roman" w:hAnsi="Times New Roman" w:cs="Times New Roman"/>
          <w:bCs/>
          <w:lang w:val="ro-MD"/>
        </w:rPr>
        <w:t xml:space="preserve">, până la expirarea termenelor de vânzare a </w:t>
      </w:r>
      <w:proofErr w:type="spellStart"/>
      <w:r w:rsidR="00B30FD6" w:rsidRPr="000508B6">
        <w:rPr>
          <w:rFonts w:ascii="Times New Roman" w:eastAsia="Times New Roman" w:hAnsi="Times New Roman" w:cs="Times New Roman"/>
          <w:bCs/>
          <w:lang w:val="ro-MD"/>
        </w:rPr>
        <w:t>acţiunilor</w:t>
      </w:r>
      <w:proofErr w:type="spellEnd"/>
      <w:r w:rsidR="00B30FD6" w:rsidRPr="000508B6">
        <w:rPr>
          <w:rFonts w:ascii="Times New Roman" w:eastAsia="Times New Roman" w:hAnsi="Times New Roman" w:cs="Times New Roman"/>
          <w:bCs/>
          <w:lang w:val="ro-MD"/>
        </w:rPr>
        <w:t xml:space="preserve"> nou-emise, potrivit alin.</w:t>
      </w:r>
      <w:r w:rsidR="001E5BE3" w:rsidRPr="000508B6">
        <w:rPr>
          <w:rFonts w:ascii="Times New Roman" w:eastAsia="Times New Roman" w:hAnsi="Times New Roman" w:cs="Times New Roman"/>
          <w:bCs/>
          <w:lang w:val="ro-MD"/>
        </w:rPr>
        <w:t xml:space="preserve"> </w:t>
      </w:r>
      <w:r w:rsidR="00B30FD6" w:rsidRPr="000508B6">
        <w:rPr>
          <w:rFonts w:ascii="Times New Roman" w:eastAsia="Times New Roman" w:hAnsi="Times New Roman" w:cs="Times New Roman"/>
          <w:bCs/>
          <w:lang w:val="ro-MD"/>
        </w:rPr>
        <w:t xml:space="preserve">(8) </w:t>
      </w:r>
      <w:proofErr w:type="spellStart"/>
      <w:r w:rsidR="00B30FD6" w:rsidRPr="000508B6">
        <w:rPr>
          <w:rFonts w:ascii="Times New Roman" w:eastAsia="Times New Roman" w:hAnsi="Times New Roman" w:cs="Times New Roman"/>
          <w:bCs/>
          <w:lang w:val="ro-MD"/>
        </w:rPr>
        <w:t>şi</w:t>
      </w:r>
      <w:proofErr w:type="spellEnd"/>
      <w:r w:rsidR="00B30FD6" w:rsidRPr="000508B6">
        <w:rPr>
          <w:rFonts w:ascii="Times New Roman" w:eastAsia="Times New Roman" w:hAnsi="Times New Roman" w:cs="Times New Roman"/>
          <w:bCs/>
          <w:lang w:val="ro-MD"/>
        </w:rPr>
        <w:t xml:space="preserve"> (9), prin derogare de la alin.</w:t>
      </w:r>
      <w:r w:rsidR="001E5BE3" w:rsidRPr="000508B6">
        <w:rPr>
          <w:rFonts w:ascii="Times New Roman" w:eastAsia="Times New Roman" w:hAnsi="Times New Roman" w:cs="Times New Roman"/>
          <w:bCs/>
          <w:lang w:val="ro-MD"/>
        </w:rPr>
        <w:t xml:space="preserve"> </w:t>
      </w:r>
      <w:r w:rsidR="00B30FD6" w:rsidRPr="000508B6">
        <w:rPr>
          <w:rFonts w:ascii="Times New Roman" w:eastAsia="Times New Roman" w:hAnsi="Times New Roman" w:cs="Times New Roman"/>
          <w:bCs/>
          <w:lang w:val="ro-MD"/>
        </w:rPr>
        <w:t xml:space="preserve">(11), </w:t>
      </w:r>
      <w:proofErr w:type="spellStart"/>
      <w:r w:rsidR="00B30FD6" w:rsidRPr="000508B6">
        <w:rPr>
          <w:rFonts w:ascii="Times New Roman" w:eastAsia="Times New Roman" w:hAnsi="Times New Roman" w:cs="Times New Roman"/>
          <w:bCs/>
          <w:lang w:val="ro-MD"/>
        </w:rPr>
        <w:t>preţul</w:t>
      </w:r>
      <w:proofErr w:type="spellEnd"/>
      <w:r w:rsidR="00B30FD6" w:rsidRPr="000508B6">
        <w:rPr>
          <w:rFonts w:ascii="Times New Roman" w:eastAsia="Times New Roman" w:hAnsi="Times New Roman" w:cs="Times New Roman"/>
          <w:bCs/>
          <w:lang w:val="ro-MD"/>
        </w:rPr>
        <w:t xml:space="preserve"> de expunere spre vânzare se va stabili în </w:t>
      </w:r>
      <w:proofErr w:type="spellStart"/>
      <w:r w:rsidR="00B30FD6" w:rsidRPr="000508B6">
        <w:rPr>
          <w:rFonts w:ascii="Times New Roman" w:eastAsia="Times New Roman" w:hAnsi="Times New Roman" w:cs="Times New Roman"/>
          <w:bCs/>
          <w:lang w:val="ro-MD"/>
        </w:rPr>
        <w:t>condiţiile</w:t>
      </w:r>
      <w:proofErr w:type="spellEnd"/>
      <w:r w:rsidR="00B30FD6" w:rsidRPr="000508B6">
        <w:rPr>
          <w:rFonts w:ascii="Times New Roman" w:eastAsia="Times New Roman" w:hAnsi="Times New Roman" w:cs="Times New Roman"/>
          <w:bCs/>
          <w:lang w:val="ro-MD"/>
        </w:rPr>
        <w:t xml:space="preserve"> alin.</w:t>
      </w:r>
      <w:r w:rsidR="001E5BE3" w:rsidRPr="000508B6">
        <w:rPr>
          <w:rFonts w:ascii="Times New Roman" w:eastAsia="Times New Roman" w:hAnsi="Times New Roman" w:cs="Times New Roman"/>
          <w:bCs/>
          <w:lang w:val="ro-MD"/>
        </w:rPr>
        <w:t xml:space="preserve"> </w:t>
      </w:r>
      <w:r w:rsidR="00B30FD6" w:rsidRPr="000508B6">
        <w:rPr>
          <w:rFonts w:ascii="Times New Roman" w:eastAsia="Times New Roman" w:hAnsi="Times New Roman" w:cs="Times New Roman"/>
          <w:bCs/>
          <w:lang w:val="ro-MD"/>
        </w:rPr>
        <w:t xml:space="preserve">(10). După stabilirea </w:t>
      </w:r>
      <w:proofErr w:type="spellStart"/>
      <w:r w:rsidR="00B30FD6" w:rsidRPr="000508B6">
        <w:rPr>
          <w:rFonts w:ascii="Times New Roman" w:eastAsia="Times New Roman" w:hAnsi="Times New Roman" w:cs="Times New Roman"/>
          <w:bCs/>
          <w:lang w:val="ro-MD"/>
        </w:rPr>
        <w:t>preţului</w:t>
      </w:r>
      <w:proofErr w:type="spellEnd"/>
      <w:r w:rsidR="00B30FD6" w:rsidRPr="000508B6">
        <w:rPr>
          <w:rFonts w:ascii="Times New Roman" w:eastAsia="Times New Roman" w:hAnsi="Times New Roman" w:cs="Times New Roman"/>
          <w:bCs/>
          <w:lang w:val="ro-MD"/>
        </w:rPr>
        <w:t xml:space="preserve"> de expunere spre vânzare, potrivit prezentului alineat, </w:t>
      </w:r>
      <w:r w:rsidR="00E56858" w:rsidRPr="000508B6">
        <w:rPr>
          <w:rFonts w:ascii="Times New Roman" w:eastAsia="Times New Roman" w:hAnsi="Times New Roman" w:cs="Times New Roman"/>
          <w:bCs/>
          <w:lang w:val="ro-MD"/>
        </w:rPr>
        <w:t>Banca Națională a Moldovei</w:t>
      </w:r>
      <w:r w:rsidR="00B30FD6" w:rsidRPr="000508B6">
        <w:rPr>
          <w:rFonts w:ascii="Times New Roman" w:eastAsia="Times New Roman" w:hAnsi="Times New Roman" w:cs="Times New Roman"/>
          <w:bCs/>
          <w:lang w:val="ro-MD"/>
        </w:rPr>
        <w:t xml:space="preserve"> poate dispune, în </w:t>
      </w:r>
      <w:proofErr w:type="spellStart"/>
      <w:r w:rsidR="00B30FD6" w:rsidRPr="000508B6">
        <w:rPr>
          <w:rFonts w:ascii="Times New Roman" w:eastAsia="Times New Roman" w:hAnsi="Times New Roman" w:cs="Times New Roman"/>
          <w:bCs/>
          <w:lang w:val="ro-MD"/>
        </w:rPr>
        <w:t>condiţiile</w:t>
      </w:r>
      <w:proofErr w:type="spellEnd"/>
      <w:r w:rsidR="00B30FD6" w:rsidRPr="000508B6">
        <w:rPr>
          <w:rFonts w:ascii="Times New Roman" w:eastAsia="Times New Roman" w:hAnsi="Times New Roman" w:cs="Times New Roman"/>
          <w:bCs/>
          <w:lang w:val="ro-MD"/>
        </w:rPr>
        <w:t xml:space="preserve"> alin.</w:t>
      </w:r>
      <w:r w:rsidR="001E5BE3" w:rsidRPr="000508B6">
        <w:rPr>
          <w:rFonts w:ascii="Times New Roman" w:eastAsia="Times New Roman" w:hAnsi="Times New Roman" w:cs="Times New Roman"/>
          <w:bCs/>
          <w:lang w:val="ro-MD"/>
        </w:rPr>
        <w:t xml:space="preserve"> </w:t>
      </w:r>
      <w:r w:rsidR="00B30FD6" w:rsidRPr="000508B6">
        <w:rPr>
          <w:rFonts w:ascii="Times New Roman" w:eastAsia="Times New Roman" w:hAnsi="Times New Roman" w:cs="Times New Roman"/>
          <w:bCs/>
          <w:lang w:val="ro-MD"/>
        </w:rPr>
        <w:t>(</w:t>
      </w:r>
      <w:r w:rsidR="00FF23A9" w:rsidRPr="000508B6">
        <w:rPr>
          <w:rFonts w:ascii="Times New Roman" w:eastAsia="Times New Roman" w:hAnsi="Times New Roman" w:cs="Times New Roman"/>
          <w:bCs/>
          <w:lang w:val="ro-MD"/>
        </w:rPr>
        <w:t>9</w:t>
      </w:r>
      <w:r w:rsidR="00B30FD6" w:rsidRPr="000508B6">
        <w:rPr>
          <w:rFonts w:ascii="Times New Roman" w:eastAsia="Times New Roman" w:hAnsi="Times New Roman" w:cs="Times New Roman"/>
          <w:bCs/>
          <w:lang w:val="ro-MD"/>
        </w:rPr>
        <w:t xml:space="preserve">), prelungirea termenului de expunere la vânzare cu perioade a câte cel mult 3 luni, de cel mult 3 ori, cu posibilitatea modificării </w:t>
      </w:r>
      <w:proofErr w:type="spellStart"/>
      <w:r w:rsidR="00B30FD6" w:rsidRPr="000508B6">
        <w:rPr>
          <w:rFonts w:ascii="Times New Roman" w:eastAsia="Times New Roman" w:hAnsi="Times New Roman" w:cs="Times New Roman"/>
          <w:bCs/>
          <w:lang w:val="ro-MD"/>
        </w:rPr>
        <w:t>preţului</w:t>
      </w:r>
      <w:proofErr w:type="spellEnd"/>
      <w:r w:rsidR="00B30FD6" w:rsidRPr="000508B6">
        <w:rPr>
          <w:rFonts w:ascii="Times New Roman" w:eastAsia="Times New Roman" w:hAnsi="Times New Roman" w:cs="Times New Roman"/>
          <w:bCs/>
          <w:lang w:val="ro-MD"/>
        </w:rPr>
        <w:t xml:space="preserve"> conform alin.</w:t>
      </w:r>
      <w:r w:rsidR="001E5BE3" w:rsidRPr="000508B6">
        <w:rPr>
          <w:rFonts w:ascii="Times New Roman" w:eastAsia="Times New Roman" w:hAnsi="Times New Roman" w:cs="Times New Roman"/>
          <w:bCs/>
          <w:lang w:val="ro-MD"/>
        </w:rPr>
        <w:t xml:space="preserve"> </w:t>
      </w:r>
      <w:r w:rsidR="00B30FD6" w:rsidRPr="000508B6">
        <w:rPr>
          <w:rFonts w:ascii="Times New Roman" w:eastAsia="Times New Roman" w:hAnsi="Times New Roman" w:cs="Times New Roman"/>
          <w:bCs/>
          <w:lang w:val="ro-MD"/>
        </w:rPr>
        <w:t>(11).</w:t>
      </w:r>
    </w:p>
    <w:p w14:paraId="31593A63" w14:textId="5245D851" w:rsidR="00D5558F" w:rsidRPr="000508B6" w:rsidRDefault="00D5558F" w:rsidP="00CF5AFA">
      <w:pPr>
        <w:pStyle w:val="Listparagraf"/>
        <w:numPr>
          <w:ilvl w:val="0"/>
          <w:numId w:val="364"/>
        </w:numPr>
        <w:tabs>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 cazul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a cărei </w:t>
      </w:r>
      <w:proofErr w:type="spellStart"/>
      <w:r w:rsidRPr="000508B6">
        <w:rPr>
          <w:rFonts w:ascii="Times New Roman" w:eastAsia="Times New Roman" w:hAnsi="Times New Roman" w:cs="Times New Roman"/>
          <w:bCs/>
          <w:lang w:val="ro-MD"/>
        </w:rPr>
        <w:t>licenţă</w:t>
      </w:r>
      <w:proofErr w:type="spellEnd"/>
      <w:r w:rsidRPr="000508B6">
        <w:rPr>
          <w:rFonts w:ascii="Times New Roman" w:eastAsia="Times New Roman" w:hAnsi="Times New Roman" w:cs="Times New Roman"/>
          <w:bCs/>
          <w:lang w:val="ro-MD"/>
        </w:rPr>
        <w:t xml:space="preserve"> a fost retrasă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ale cărei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nou-emise nu au fost vândute în </w:t>
      </w:r>
      <w:proofErr w:type="spellStart"/>
      <w:r w:rsidRPr="000508B6">
        <w:rPr>
          <w:rFonts w:ascii="Times New Roman" w:eastAsia="Times New Roman" w:hAnsi="Times New Roman" w:cs="Times New Roman"/>
          <w:bCs/>
          <w:lang w:val="ro-MD"/>
        </w:rPr>
        <w:t>condiţiile</w:t>
      </w:r>
      <w:proofErr w:type="spellEnd"/>
      <w:r w:rsidRPr="000508B6">
        <w:rPr>
          <w:rFonts w:ascii="Times New Roman" w:eastAsia="Times New Roman" w:hAnsi="Times New Roman" w:cs="Times New Roman"/>
          <w:bCs/>
          <w:lang w:val="ro-MD"/>
        </w:rPr>
        <w:t xml:space="preserve"> alin.</w:t>
      </w:r>
      <w:r w:rsidR="001E5BE3"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(8)–(11),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nou-emise care nu au fost vândute reprezintă </w:t>
      </w:r>
      <w:proofErr w:type="spellStart"/>
      <w:r w:rsidRPr="000508B6">
        <w:rPr>
          <w:rFonts w:ascii="Times New Roman" w:eastAsia="Times New Roman" w:hAnsi="Times New Roman" w:cs="Times New Roman"/>
          <w:bCs/>
          <w:lang w:val="ro-MD"/>
        </w:rPr>
        <w:t>acţiuni</w:t>
      </w:r>
      <w:proofErr w:type="spellEnd"/>
      <w:r w:rsidRPr="000508B6">
        <w:rPr>
          <w:rFonts w:ascii="Times New Roman" w:eastAsia="Times New Roman" w:hAnsi="Times New Roman" w:cs="Times New Roman"/>
          <w:bCs/>
          <w:lang w:val="ro-MD"/>
        </w:rPr>
        <w:t xml:space="preserve"> de tezaur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nu pot </w:t>
      </w:r>
      <w:proofErr w:type="spellStart"/>
      <w:r w:rsidRPr="000508B6">
        <w:rPr>
          <w:rFonts w:ascii="Times New Roman" w:eastAsia="Times New Roman" w:hAnsi="Times New Roman" w:cs="Times New Roman"/>
          <w:bCs/>
          <w:lang w:val="ro-MD"/>
        </w:rPr>
        <w:t>depăşi</w:t>
      </w:r>
      <w:proofErr w:type="spellEnd"/>
      <w:r w:rsidRPr="000508B6">
        <w:rPr>
          <w:rFonts w:ascii="Times New Roman" w:eastAsia="Times New Roman" w:hAnsi="Times New Roman" w:cs="Times New Roman"/>
          <w:bCs/>
          <w:lang w:val="ro-MD"/>
        </w:rPr>
        <w:t xml:space="preserve"> 10% din capitalul social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În caz de </w:t>
      </w:r>
      <w:proofErr w:type="spellStart"/>
      <w:r w:rsidRPr="000508B6">
        <w:rPr>
          <w:rFonts w:ascii="Times New Roman" w:eastAsia="Times New Roman" w:hAnsi="Times New Roman" w:cs="Times New Roman"/>
          <w:bCs/>
          <w:lang w:val="ro-MD"/>
        </w:rPr>
        <w:t>depăşire</w:t>
      </w:r>
      <w:proofErr w:type="spellEnd"/>
      <w:r w:rsidRPr="000508B6">
        <w:rPr>
          <w:rFonts w:ascii="Times New Roman" w:eastAsia="Times New Roman" w:hAnsi="Times New Roman" w:cs="Times New Roman"/>
          <w:bCs/>
          <w:lang w:val="ro-MD"/>
        </w:rPr>
        <w:t xml:space="preserve"> a limitei respective, organul executiv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este obligat să anuleze </w:t>
      </w:r>
      <w:proofErr w:type="spellStart"/>
      <w:r w:rsidRPr="000508B6">
        <w:rPr>
          <w:rFonts w:ascii="Times New Roman" w:eastAsia="Times New Roman" w:hAnsi="Times New Roman" w:cs="Times New Roman"/>
          <w:bCs/>
          <w:lang w:val="ro-MD"/>
        </w:rPr>
        <w:t>acţiunile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să reducă capitalul social al acesteia. În termen de 30 de zile de la data aprobării deciziei organului executiv privind reducerea capitalului social, </w:t>
      </w:r>
      <w:r w:rsidR="004125E8" w:rsidRPr="000508B6" w:rsidDel="00E56858">
        <w:rPr>
          <w:rFonts w:ascii="Times New Roman" w:eastAsia="Times New Roman" w:hAnsi="Times New Roman" w:cs="Times New Roman"/>
          <w:bCs/>
          <w:lang w:val="ro-MD"/>
        </w:rPr>
        <w:t>asigurătorul</w:t>
      </w:r>
      <w:r w:rsidR="004125E8" w:rsidRPr="000508B6">
        <w:rPr>
          <w:rFonts w:ascii="Times New Roman" w:eastAsia="Times New Roman" w:hAnsi="Times New Roman" w:cs="Times New Roman"/>
          <w:bCs/>
          <w:lang w:val="ro-MD"/>
        </w:rPr>
        <w:t xml:space="preserve">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prezintă </w:t>
      </w:r>
      <w:r w:rsidR="001E5BE3" w:rsidRPr="000508B6">
        <w:rPr>
          <w:rFonts w:ascii="Times New Roman" w:eastAsia="Times New Roman" w:hAnsi="Times New Roman" w:cs="Times New Roman"/>
          <w:bCs/>
          <w:lang w:val="ro-MD"/>
        </w:rPr>
        <w:t>CNPF</w:t>
      </w:r>
      <w:r w:rsidRPr="000508B6">
        <w:rPr>
          <w:rFonts w:ascii="Times New Roman" w:eastAsia="Times New Roman" w:hAnsi="Times New Roman" w:cs="Times New Roman"/>
          <w:bCs/>
          <w:lang w:val="ro-MD"/>
        </w:rPr>
        <w:t xml:space="preserve"> documentele, stabilite prin actul normativ, pentru înscrierea modificărilor aferente reducerii capitalului social.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consemnează mijloacele </w:t>
      </w:r>
      <w:proofErr w:type="spellStart"/>
      <w:r w:rsidRPr="000508B6">
        <w:rPr>
          <w:rFonts w:ascii="Times New Roman" w:eastAsia="Times New Roman" w:hAnsi="Times New Roman" w:cs="Times New Roman"/>
          <w:bCs/>
          <w:lang w:val="ro-MD"/>
        </w:rPr>
        <w:t>băneşti</w:t>
      </w:r>
      <w:proofErr w:type="spellEnd"/>
      <w:r w:rsidRPr="000508B6">
        <w:rPr>
          <w:rFonts w:ascii="Times New Roman" w:eastAsia="Times New Roman" w:hAnsi="Times New Roman" w:cs="Times New Roman"/>
          <w:bCs/>
          <w:lang w:val="ro-MD"/>
        </w:rPr>
        <w:t xml:space="preserve"> în conturile ultimilor </w:t>
      </w:r>
      <w:proofErr w:type="spellStart"/>
      <w:r w:rsidRPr="000508B6">
        <w:rPr>
          <w:rFonts w:ascii="Times New Roman" w:eastAsia="Times New Roman" w:hAnsi="Times New Roman" w:cs="Times New Roman"/>
          <w:bCs/>
          <w:lang w:val="ro-MD"/>
        </w:rPr>
        <w:t>deţinători</w:t>
      </w:r>
      <w:proofErr w:type="spellEnd"/>
      <w:r w:rsidRPr="000508B6">
        <w:rPr>
          <w:rFonts w:ascii="Times New Roman" w:eastAsia="Times New Roman" w:hAnsi="Times New Roman" w:cs="Times New Roman"/>
          <w:bCs/>
          <w:lang w:val="ro-MD"/>
        </w:rPr>
        <w:t xml:space="preserve"> ai </w:t>
      </w:r>
      <w:proofErr w:type="spellStart"/>
      <w:r w:rsidRPr="000508B6">
        <w:rPr>
          <w:rFonts w:ascii="Times New Roman" w:eastAsia="Times New Roman" w:hAnsi="Times New Roman" w:cs="Times New Roman"/>
          <w:bCs/>
          <w:lang w:val="ro-MD"/>
        </w:rPr>
        <w:t>acţiunilor</w:t>
      </w:r>
      <w:proofErr w:type="spellEnd"/>
      <w:r w:rsidRPr="000508B6">
        <w:rPr>
          <w:rFonts w:ascii="Times New Roman" w:eastAsia="Times New Roman" w:hAnsi="Times New Roman" w:cs="Times New Roman"/>
          <w:bCs/>
          <w:lang w:val="ro-MD"/>
        </w:rPr>
        <w:t xml:space="preserve"> care au încălcat prevederile art. 12 alin.</w:t>
      </w:r>
      <w:r w:rsidR="001E5BE3"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(1), în baza principiului </w:t>
      </w:r>
      <w:proofErr w:type="spellStart"/>
      <w:r w:rsidRPr="000508B6">
        <w:rPr>
          <w:rFonts w:ascii="Times New Roman" w:eastAsia="Times New Roman" w:hAnsi="Times New Roman" w:cs="Times New Roman"/>
          <w:bCs/>
          <w:lang w:val="ro-MD"/>
        </w:rPr>
        <w:t>proporţionalităţii</w:t>
      </w:r>
      <w:proofErr w:type="spellEnd"/>
      <w:r w:rsidRPr="000508B6">
        <w:rPr>
          <w:rFonts w:ascii="Times New Roman" w:eastAsia="Times New Roman" w:hAnsi="Times New Roman" w:cs="Times New Roman"/>
          <w:bCs/>
          <w:lang w:val="ro-MD"/>
        </w:rPr>
        <w:t xml:space="preserve">, în limita maximă a profitului net al perioadei de gestiune, conform ultimului raport financiar, după </w:t>
      </w:r>
      <w:proofErr w:type="spellStart"/>
      <w:r w:rsidRPr="000508B6">
        <w:rPr>
          <w:rFonts w:ascii="Times New Roman" w:eastAsia="Times New Roman" w:hAnsi="Times New Roman" w:cs="Times New Roman"/>
          <w:bCs/>
          <w:lang w:val="ro-MD"/>
        </w:rPr>
        <w:t>reţinerea</w:t>
      </w:r>
      <w:proofErr w:type="spellEnd"/>
      <w:r w:rsidRPr="000508B6">
        <w:rPr>
          <w:rFonts w:ascii="Times New Roman" w:eastAsia="Times New Roman" w:hAnsi="Times New Roman" w:cs="Times New Roman"/>
          <w:bCs/>
          <w:lang w:val="ro-MD"/>
        </w:rPr>
        <w:t xml:space="preserve"> tuturor cheltuielilor (taxe, </w:t>
      </w:r>
      <w:proofErr w:type="spellStart"/>
      <w:r w:rsidRPr="000508B6">
        <w:rPr>
          <w:rFonts w:ascii="Times New Roman" w:eastAsia="Times New Roman" w:hAnsi="Times New Roman" w:cs="Times New Roman"/>
          <w:bCs/>
          <w:lang w:val="ro-MD"/>
        </w:rPr>
        <w:t>plăţi</w:t>
      </w:r>
      <w:proofErr w:type="spellEnd"/>
      <w:r w:rsidRPr="000508B6">
        <w:rPr>
          <w:rFonts w:ascii="Times New Roman" w:eastAsia="Times New Roman" w:hAnsi="Times New Roman" w:cs="Times New Roman"/>
          <w:bCs/>
          <w:lang w:val="ro-MD"/>
        </w:rPr>
        <w:t xml:space="preserve">, comisioane, amenzi) aferente emiterii, vânzării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anulării.</w:t>
      </w:r>
    </w:p>
    <w:p w14:paraId="6E538A53" w14:textId="28FB4687" w:rsidR="007442E9" w:rsidRPr="000508B6" w:rsidRDefault="007442E9" w:rsidP="00666002">
      <w:pPr>
        <w:tabs>
          <w:tab w:val="left" w:pos="851"/>
        </w:tabs>
        <w:spacing w:after="0" w:line="240" w:lineRule="auto"/>
        <w:jc w:val="both"/>
        <w:rPr>
          <w:rFonts w:ascii="Times New Roman" w:hAnsi="Times New Roman" w:cs="Times New Roman"/>
          <w:lang w:val="ro-MD"/>
        </w:rPr>
      </w:pPr>
    </w:p>
    <w:p w14:paraId="44466E9F"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3-a</w:t>
      </w:r>
    </w:p>
    <w:p w14:paraId="5D0EA493" w14:textId="2F75B7E8" w:rsidR="00F95829" w:rsidRPr="000508B6" w:rsidRDefault="00B430A2"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Supravegherea sistemului de guvernanță</w:t>
      </w:r>
    </w:p>
    <w:p w14:paraId="15CC7AF0" w14:textId="459D7C55" w:rsidR="00F95829" w:rsidRPr="000508B6" w:rsidRDefault="00814E44" w:rsidP="00814E44">
      <w:pPr>
        <w:spacing w:after="0" w:line="240" w:lineRule="auto"/>
        <w:ind w:firstLine="426"/>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 18.</w:t>
      </w:r>
      <w:r w:rsidRPr="000508B6">
        <w:rPr>
          <w:rFonts w:ascii="Times New Roman" w:hAnsi="Times New Roman" w:cs="Times New Roman"/>
          <w:lang w:val="ro-MD"/>
        </w:rPr>
        <w:t xml:space="preserve"> Organizarea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AC20EB" w:rsidRPr="000508B6">
        <w:rPr>
          <w:rFonts w:ascii="Times New Roman" w:hAnsi="Times New Roman" w:cs="Times New Roman"/>
          <w:lang w:val="ro-MD"/>
        </w:rPr>
        <w:t xml:space="preserve"> </w:t>
      </w:r>
    </w:p>
    <w:p w14:paraId="7222FA62" w14:textId="4D075AE7" w:rsidR="00D97BC9" w:rsidRPr="000508B6" w:rsidRDefault="00CC460A" w:rsidP="00CF5AFA">
      <w:pPr>
        <w:pStyle w:val="Listparagraf"/>
        <w:numPr>
          <w:ilvl w:val="1"/>
          <w:numId w:val="25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D97BC9" w:rsidRPr="000508B6">
        <w:rPr>
          <w:rFonts w:ascii="Times New Roman" w:hAnsi="Times New Roman" w:cs="Times New Roman"/>
          <w:lang w:val="ro-MD"/>
        </w:rPr>
        <w:t xml:space="preserve">se constituie </w:t>
      </w:r>
      <w:proofErr w:type="spellStart"/>
      <w:r w:rsidR="00D97BC9" w:rsidRPr="000508B6">
        <w:rPr>
          <w:rFonts w:ascii="Times New Roman" w:hAnsi="Times New Roman" w:cs="Times New Roman"/>
          <w:lang w:val="ro-MD"/>
        </w:rPr>
        <w:t>şi</w:t>
      </w:r>
      <w:proofErr w:type="spellEnd"/>
      <w:r w:rsidR="00D97BC9" w:rsidRPr="000508B6">
        <w:rPr>
          <w:rFonts w:ascii="Times New Roman" w:hAnsi="Times New Roman" w:cs="Times New Roman"/>
          <w:lang w:val="ro-MD"/>
        </w:rPr>
        <w:t xml:space="preserve"> </w:t>
      </w:r>
      <w:proofErr w:type="spellStart"/>
      <w:r w:rsidR="00D97BC9" w:rsidRPr="000508B6">
        <w:rPr>
          <w:rFonts w:ascii="Times New Roman" w:hAnsi="Times New Roman" w:cs="Times New Roman"/>
          <w:lang w:val="ro-MD"/>
        </w:rPr>
        <w:t>funcţionează</w:t>
      </w:r>
      <w:proofErr w:type="spellEnd"/>
      <w:r w:rsidR="00D97BC9" w:rsidRPr="000508B6">
        <w:rPr>
          <w:rFonts w:ascii="Times New Roman" w:hAnsi="Times New Roman" w:cs="Times New Roman"/>
          <w:lang w:val="ro-MD"/>
        </w:rPr>
        <w:t xml:space="preserve"> în </w:t>
      </w:r>
      <w:proofErr w:type="spellStart"/>
      <w:r w:rsidR="00D97BC9" w:rsidRPr="000508B6">
        <w:rPr>
          <w:rFonts w:ascii="Times New Roman" w:hAnsi="Times New Roman" w:cs="Times New Roman"/>
          <w:lang w:val="ro-MD"/>
        </w:rPr>
        <w:t>condiţiile</w:t>
      </w:r>
      <w:proofErr w:type="spellEnd"/>
      <w:r w:rsidR="00D97BC9" w:rsidRPr="000508B6">
        <w:rPr>
          <w:rFonts w:ascii="Times New Roman" w:hAnsi="Times New Roman" w:cs="Times New Roman"/>
          <w:lang w:val="ro-MD"/>
        </w:rPr>
        <w:t xml:space="preserve"> prevăzute de </w:t>
      </w:r>
      <w:proofErr w:type="spellStart"/>
      <w:r w:rsidR="00D97BC9" w:rsidRPr="000508B6">
        <w:rPr>
          <w:rFonts w:ascii="Times New Roman" w:hAnsi="Times New Roman" w:cs="Times New Roman"/>
          <w:lang w:val="ro-MD"/>
        </w:rPr>
        <w:t>legislaţia</w:t>
      </w:r>
      <w:proofErr w:type="spellEnd"/>
      <w:r w:rsidR="00D97BC9" w:rsidRPr="000508B6">
        <w:rPr>
          <w:rFonts w:ascii="Times New Roman" w:hAnsi="Times New Roman" w:cs="Times New Roman"/>
          <w:lang w:val="ro-MD"/>
        </w:rPr>
        <w:t xml:space="preserve"> </w:t>
      </w:r>
      <w:r w:rsidR="000139DF" w:rsidRPr="000508B6">
        <w:rPr>
          <w:rFonts w:ascii="Times New Roman" w:hAnsi="Times New Roman" w:cs="Times New Roman"/>
          <w:lang w:val="ro-MD"/>
        </w:rPr>
        <w:t xml:space="preserve">de domeniu </w:t>
      </w:r>
      <w:r w:rsidR="00D97BC9" w:rsidRPr="000508B6">
        <w:rPr>
          <w:rFonts w:ascii="Times New Roman" w:hAnsi="Times New Roman" w:cs="Times New Roman"/>
          <w:lang w:val="ro-MD"/>
        </w:rPr>
        <w:t xml:space="preserve">aplicabilă </w:t>
      </w:r>
      <w:proofErr w:type="spellStart"/>
      <w:r w:rsidR="00D97BC9" w:rsidRPr="000508B6">
        <w:rPr>
          <w:rFonts w:ascii="Times New Roman" w:hAnsi="Times New Roman" w:cs="Times New Roman"/>
          <w:lang w:val="ro-MD"/>
        </w:rPr>
        <w:t>societăţilor</w:t>
      </w:r>
      <w:proofErr w:type="spellEnd"/>
      <w:r w:rsidR="00D97BC9" w:rsidRPr="000508B6">
        <w:rPr>
          <w:rFonts w:ascii="Times New Roman" w:hAnsi="Times New Roman" w:cs="Times New Roman"/>
          <w:lang w:val="ro-MD"/>
        </w:rPr>
        <w:t xml:space="preserve"> pe </w:t>
      </w:r>
      <w:proofErr w:type="spellStart"/>
      <w:r w:rsidR="00D97BC9" w:rsidRPr="000508B6">
        <w:rPr>
          <w:rFonts w:ascii="Times New Roman" w:hAnsi="Times New Roman" w:cs="Times New Roman"/>
          <w:lang w:val="ro-MD"/>
        </w:rPr>
        <w:t>acţiuni</w:t>
      </w:r>
      <w:proofErr w:type="spellEnd"/>
      <w:r w:rsidR="00D97BC9" w:rsidRPr="000508B6">
        <w:rPr>
          <w:rFonts w:ascii="Times New Roman" w:hAnsi="Times New Roman" w:cs="Times New Roman"/>
          <w:lang w:val="ro-MD"/>
        </w:rPr>
        <w:t xml:space="preserve"> </w:t>
      </w:r>
      <w:proofErr w:type="spellStart"/>
      <w:r w:rsidR="00D97BC9" w:rsidRPr="000508B6">
        <w:rPr>
          <w:rFonts w:ascii="Times New Roman" w:hAnsi="Times New Roman" w:cs="Times New Roman"/>
          <w:lang w:val="ro-MD"/>
        </w:rPr>
        <w:t>şi</w:t>
      </w:r>
      <w:proofErr w:type="spellEnd"/>
      <w:r w:rsidR="00D97BC9" w:rsidRPr="000508B6">
        <w:rPr>
          <w:rFonts w:ascii="Times New Roman" w:hAnsi="Times New Roman" w:cs="Times New Roman"/>
          <w:lang w:val="ro-MD"/>
        </w:rPr>
        <w:t xml:space="preserve"> cu respectarea prezentei legi </w:t>
      </w:r>
      <w:proofErr w:type="spellStart"/>
      <w:r w:rsidR="00D97BC9" w:rsidRPr="000508B6">
        <w:rPr>
          <w:rFonts w:ascii="Times New Roman" w:hAnsi="Times New Roman" w:cs="Times New Roman"/>
          <w:lang w:val="ro-MD"/>
        </w:rPr>
        <w:t>şi</w:t>
      </w:r>
      <w:proofErr w:type="spellEnd"/>
      <w:r w:rsidR="00D97BC9" w:rsidRPr="000508B6">
        <w:rPr>
          <w:rFonts w:ascii="Times New Roman" w:hAnsi="Times New Roman" w:cs="Times New Roman"/>
          <w:lang w:val="ro-MD"/>
        </w:rPr>
        <w:t xml:space="preserve"> </w:t>
      </w:r>
      <w:r w:rsidR="000139DF" w:rsidRPr="000508B6">
        <w:rPr>
          <w:rFonts w:ascii="Times New Roman" w:hAnsi="Times New Roman" w:cs="Times New Roman"/>
          <w:lang w:val="ro-MD"/>
        </w:rPr>
        <w:t xml:space="preserve">a </w:t>
      </w:r>
      <w:r w:rsidR="00D97BC9" w:rsidRPr="000508B6">
        <w:rPr>
          <w:rFonts w:ascii="Times New Roman" w:hAnsi="Times New Roman" w:cs="Times New Roman"/>
          <w:lang w:val="ro-MD"/>
        </w:rPr>
        <w:t>actelor normative emise în aplicarea acesteia.</w:t>
      </w:r>
    </w:p>
    <w:p w14:paraId="1E85029D" w14:textId="4F53CC67" w:rsidR="00D97BC9" w:rsidRPr="000508B6" w:rsidRDefault="00D97BC9" w:rsidP="00CF5AFA">
      <w:pPr>
        <w:pStyle w:val="Listparagraf"/>
        <w:numPr>
          <w:ilvl w:val="1"/>
          <w:numId w:val="25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alin.</w:t>
      </w:r>
      <w:r w:rsidR="00AE2BD6" w:rsidRPr="000508B6">
        <w:rPr>
          <w:rFonts w:ascii="Times New Roman" w:hAnsi="Times New Roman" w:cs="Times New Roman"/>
          <w:lang w:val="ro-MD"/>
        </w:rPr>
        <w:t xml:space="preserve"> </w:t>
      </w:r>
      <w:r w:rsidRPr="000508B6">
        <w:rPr>
          <w:rFonts w:ascii="Times New Roman" w:hAnsi="Times New Roman" w:cs="Times New Roman"/>
          <w:lang w:val="ro-MD"/>
        </w:rPr>
        <w:t xml:space="preserve">(1), următoarele prevederi din Legea nr.1134/1997 nu </w:t>
      </w:r>
      <w:r w:rsidR="000139DF" w:rsidRPr="000508B6">
        <w:rPr>
          <w:rFonts w:ascii="Times New Roman" w:hAnsi="Times New Roman" w:cs="Times New Roman"/>
          <w:lang w:val="ro-MD"/>
        </w:rPr>
        <w:t xml:space="preserve">sunt </w:t>
      </w:r>
      <w:r w:rsidRPr="000508B6">
        <w:rPr>
          <w:rFonts w:ascii="Times New Roman" w:hAnsi="Times New Roman" w:cs="Times New Roman"/>
          <w:lang w:val="ro-MD"/>
        </w:rPr>
        <w:t xml:space="preserve">aplicabile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6FC207EA" w14:textId="400CD040"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8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 lit.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(2) cu referire la adunarea generală a </w:t>
      </w:r>
      <w:proofErr w:type="spellStart"/>
      <w:r w:rsidRPr="000508B6">
        <w:rPr>
          <w:rFonts w:ascii="Times New Roman" w:eastAsia="Times New Roman" w:hAnsi="Times New Roman" w:cs="Times New Roman"/>
          <w:lang w:val="ro-MD"/>
        </w:rPr>
        <w:t>acţionarilor</w:t>
      </w:r>
      <w:proofErr w:type="spellEnd"/>
      <w:r w:rsidRPr="000508B6">
        <w:rPr>
          <w:rFonts w:ascii="Times New Roman" w:eastAsia="Times New Roman" w:hAnsi="Times New Roman" w:cs="Times New Roman"/>
          <w:lang w:val="ro-MD"/>
        </w:rPr>
        <w:t>;</w:t>
      </w:r>
    </w:p>
    <w:p w14:paraId="01B695C5" w14:textId="65EBE137"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11 alin.</w:t>
      </w:r>
      <w:r w:rsidR="00177907" w:rsidRPr="000508B6">
        <w:rPr>
          <w:rFonts w:ascii="Times New Roman" w:eastAsia="Times New Roman" w:hAnsi="Times New Roman" w:cs="Times New Roman"/>
          <w:lang w:val="ro-MD"/>
        </w:rPr>
        <w:t xml:space="preserve"> (4), </w:t>
      </w:r>
      <w:r w:rsidRPr="000508B6">
        <w:rPr>
          <w:rFonts w:ascii="Times New Roman" w:eastAsia="Times New Roman" w:hAnsi="Times New Roman" w:cs="Times New Roman"/>
          <w:lang w:val="ro-MD"/>
        </w:rPr>
        <w:t xml:space="preserve">(5)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(6) cu referire la </w:t>
      </w:r>
      <w:r w:rsidR="007F0E97" w:rsidRPr="000508B6">
        <w:rPr>
          <w:rFonts w:ascii="Times New Roman" w:eastAsia="Times New Roman" w:hAnsi="Times New Roman" w:cs="Times New Roman"/>
          <w:lang w:val="ro-MD"/>
        </w:rPr>
        <w:t xml:space="preserve">societatea </w:t>
      </w:r>
      <w:r w:rsidRPr="000508B6">
        <w:rPr>
          <w:rFonts w:ascii="Times New Roman" w:eastAsia="Times New Roman" w:hAnsi="Times New Roman" w:cs="Times New Roman"/>
          <w:lang w:val="ro-MD"/>
        </w:rPr>
        <w:t>dominant</w:t>
      </w:r>
      <w:r w:rsidR="007F0E97"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dependent</w:t>
      </w:r>
      <w:r w:rsidR="007F0E97"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w:t>
      </w:r>
    </w:p>
    <w:p w14:paraId="549C607C" w14:textId="44B9777D"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48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(3) lit.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b)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lit.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f),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(3</w:t>
      </w:r>
      <w:r w:rsidRPr="000508B6">
        <w:rPr>
          <w:rFonts w:ascii="Times New Roman" w:eastAsia="Times New Roman" w:hAnsi="Times New Roman" w:cs="Times New Roman"/>
          <w:vertAlign w:val="superscript"/>
          <w:lang w:val="ro-MD"/>
        </w:rPr>
        <w:t>1</w:t>
      </w:r>
      <w:r w:rsidRPr="000508B6">
        <w:rPr>
          <w:rFonts w:ascii="Times New Roman" w:eastAsia="Times New Roman" w:hAnsi="Times New Roman" w:cs="Times New Roman"/>
          <w:lang w:val="ro-MD"/>
        </w:rPr>
        <w:t>)</w:t>
      </w:r>
      <w:r w:rsidR="00177907"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(4)</w:t>
      </w:r>
      <w:r w:rsidR="00177907" w:rsidRPr="000508B6">
        <w:rPr>
          <w:rFonts w:ascii="Times New Roman" w:eastAsia="Times New Roman" w:hAnsi="Times New Roman" w:cs="Times New Roman"/>
          <w:lang w:val="ro-MD"/>
        </w:rPr>
        <w:t>, (6) și (7</w:t>
      </w:r>
      <w:r w:rsidRPr="000508B6">
        <w:rPr>
          <w:rFonts w:ascii="Times New Roman" w:eastAsia="Times New Roman" w:hAnsi="Times New Roman" w:cs="Times New Roman"/>
          <w:lang w:val="ro-MD"/>
        </w:rPr>
        <w:t xml:space="preserve">) cu referire la </w:t>
      </w:r>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adunării generale a </w:t>
      </w:r>
      <w:proofErr w:type="spellStart"/>
      <w:r w:rsidRPr="000508B6">
        <w:rPr>
          <w:rFonts w:ascii="Times New Roman" w:eastAsia="Times New Roman" w:hAnsi="Times New Roman" w:cs="Times New Roman"/>
          <w:lang w:val="ro-MD"/>
        </w:rPr>
        <w:t>acţionarilor</w:t>
      </w:r>
      <w:proofErr w:type="spellEnd"/>
      <w:r w:rsidRPr="000508B6">
        <w:rPr>
          <w:rFonts w:ascii="Times New Roman" w:eastAsia="Times New Roman" w:hAnsi="Times New Roman" w:cs="Times New Roman"/>
          <w:lang w:val="ro-MD"/>
        </w:rPr>
        <w:t>;</w:t>
      </w:r>
    </w:p>
    <w:p w14:paraId="0E2E5E8D" w14:textId="7F59BD32"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64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(4)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(8) cu referire la </w:t>
      </w:r>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consiliului</w:t>
      </w:r>
      <w:r w:rsidR="00986717"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23EE081D" w14:textId="45C7EDAD"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65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(5) </w:t>
      </w:r>
      <w:r w:rsidR="00D24BFF" w:rsidRPr="000508B6">
        <w:rPr>
          <w:rFonts w:ascii="Times New Roman" w:eastAsia="Times New Roman" w:hAnsi="Times New Roman" w:cs="Times New Roman"/>
          <w:lang w:val="ro-MD"/>
        </w:rPr>
        <w:t xml:space="preserve">și </w:t>
      </w:r>
      <w:r w:rsidR="0090265A" w:rsidRPr="000508B6">
        <w:rPr>
          <w:rFonts w:ascii="Times New Roman" w:eastAsia="Times New Roman" w:hAnsi="Times New Roman" w:cs="Times New Roman"/>
          <w:lang w:val="ro-MD"/>
        </w:rPr>
        <w:t>alin.</w:t>
      </w:r>
      <w:r w:rsidR="00AE2BD6" w:rsidRPr="000508B6">
        <w:rPr>
          <w:rFonts w:ascii="Times New Roman" w:eastAsia="Times New Roman" w:hAnsi="Times New Roman" w:cs="Times New Roman"/>
          <w:lang w:val="ro-MD"/>
        </w:rPr>
        <w:t xml:space="preserve"> </w:t>
      </w:r>
      <w:r w:rsidR="00D24BFF" w:rsidRPr="000508B6">
        <w:rPr>
          <w:rFonts w:ascii="Times New Roman" w:eastAsia="Times New Roman" w:hAnsi="Times New Roman" w:cs="Times New Roman"/>
          <w:lang w:val="ro-MD"/>
        </w:rPr>
        <w:t xml:space="preserve">(11) </w:t>
      </w:r>
      <w:r w:rsidR="0090265A" w:rsidRPr="000508B6">
        <w:rPr>
          <w:rFonts w:ascii="Times New Roman" w:eastAsia="Times New Roman" w:hAnsi="Times New Roman" w:cs="Times New Roman"/>
          <w:lang w:val="ro-MD"/>
        </w:rPr>
        <w:t xml:space="preserve">lit. a) și c) </w:t>
      </w:r>
      <w:r w:rsidRPr="000508B6">
        <w:rPr>
          <w:rFonts w:ascii="Times New Roman" w:eastAsia="Times New Roman" w:hAnsi="Times New Roman" w:cs="Times New Roman"/>
          <w:lang w:val="ro-MD"/>
        </w:rPr>
        <w:t xml:space="preserve">în ceea ce </w:t>
      </w:r>
      <w:proofErr w:type="spellStart"/>
      <w:r w:rsidRPr="000508B6">
        <w:rPr>
          <w:rFonts w:ascii="Times New Roman" w:eastAsia="Times New Roman" w:hAnsi="Times New Roman" w:cs="Times New Roman"/>
          <w:lang w:val="ro-MD"/>
        </w:rPr>
        <w:t>priveşte</w:t>
      </w:r>
      <w:proofErr w:type="spellEnd"/>
      <w:r w:rsidRPr="000508B6">
        <w:rPr>
          <w:rFonts w:ascii="Times New Roman" w:eastAsia="Times New Roman" w:hAnsi="Times New Roman" w:cs="Times New Roman"/>
          <w:lang w:val="ro-MD"/>
        </w:rPr>
        <w:t xml:space="preserve"> numărul de mandate de membru al consiliului</w:t>
      </w:r>
      <w:r w:rsidR="00716743"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D24BFF" w:rsidRPr="000508B6">
        <w:rPr>
          <w:rFonts w:ascii="Times New Roman" w:eastAsia="Times New Roman" w:hAnsi="Times New Roman" w:cs="Times New Roman"/>
          <w:lang w:val="ro-MD"/>
        </w:rPr>
        <w:t xml:space="preserve"> și </w:t>
      </w:r>
      <w:r w:rsidR="00EA717B" w:rsidRPr="000508B6">
        <w:rPr>
          <w:rFonts w:ascii="Times New Roman" w:eastAsia="Times New Roman" w:hAnsi="Times New Roman" w:cs="Times New Roman"/>
          <w:lang w:val="ro-MD"/>
        </w:rPr>
        <w:t xml:space="preserve">în ceea ce privește </w:t>
      </w:r>
      <w:r w:rsidR="00D24BFF" w:rsidRPr="000508B6">
        <w:rPr>
          <w:rFonts w:ascii="Times New Roman" w:eastAsia="Times New Roman" w:hAnsi="Times New Roman" w:cs="Times New Roman"/>
          <w:lang w:val="ro-MD"/>
        </w:rPr>
        <w:t>încetarea împuternicirilor;</w:t>
      </w:r>
    </w:p>
    <w:p w14:paraId="7DB9FF8C" w14:textId="12469FED"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68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(2) lit.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b)</w:t>
      </w:r>
      <w:r w:rsidR="00297A2D" w:rsidRPr="000508B6">
        <w:rPr>
          <w:rFonts w:ascii="Times New Roman" w:eastAsia="Times New Roman" w:hAnsi="Times New Roman" w:cs="Times New Roman"/>
          <w:lang w:val="ro-MD"/>
        </w:rPr>
        <w:t>, alin.</w:t>
      </w:r>
      <w:r w:rsidR="00AE2BD6" w:rsidRPr="000508B6">
        <w:rPr>
          <w:rFonts w:ascii="Times New Roman" w:eastAsia="Times New Roman" w:hAnsi="Times New Roman" w:cs="Times New Roman"/>
          <w:lang w:val="ro-MD"/>
        </w:rPr>
        <w:t xml:space="preserve"> </w:t>
      </w:r>
      <w:r w:rsidR="00297A2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912745" w:rsidRPr="000508B6">
        <w:rPr>
          <w:rFonts w:ascii="Times New Roman" w:eastAsia="Times New Roman" w:hAnsi="Times New Roman" w:cs="Times New Roman"/>
          <w:lang w:val="ro-MD"/>
        </w:rPr>
        <w:t>3</w:t>
      </w:r>
      <w:r w:rsidR="00297A2D" w:rsidRPr="000508B6">
        <w:rPr>
          <w:rFonts w:ascii="Times New Roman" w:eastAsia="Times New Roman" w:hAnsi="Times New Roman" w:cs="Times New Roman"/>
          <w:lang w:val="ro-MD"/>
        </w:rPr>
        <w:t>)</w:t>
      </w:r>
      <w:r w:rsidR="00912745"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alin.</w:t>
      </w:r>
      <w:r w:rsidR="0029709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(5) cu referire la organul executiv;</w:t>
      </w:r>
    </w:p>
    <w:p w14:paraId="638D94D8" w14:textId="2E0B486D"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69 alin.</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(6)–(8) cu referire la </w:t>
      </w:r>
      <w:proofErr w:type="spellStart"/>
      <w:r w:rsidRPr="000508B6">
        <w:rPr>
          <w:rFonts w:ascii="Times New Roman" w:eastAsia="Times New Roman" w:hAnsi="Times New Roman" w:cs="Times New Roman"/>
          <w:lang w:val="ro-MD"/>
        </w:rPr>
        <w:t>organizaţia</w:t>
      </w:r>
      <w:proofErr w:type="spellEnd"/>
      <w:r w:rsidRPr="000508B6">
        <w:rPr>
          <w:rFonts w:ascii="Times New Roman" w:eastAsia="Times New Roman" w:hAnsi="Times New Roman" w:cs="Times New Roman"/>
          <w:lang w:val="ro-MD"/>
        </w:rPr>
        <w:t xml:space="preserve"> gestionară;</w:t>
      </w:r>
    </w:p>
    <w:p w14:paraId="49940D64" w14:textId="70FB6CA8" w:rsidR="00D97BC9" w:rsidRPr="000508B6" w:rsidRDefault="00D97BC9" w:rsidP="00CF5AFA">
      <w:pPr>
        <w:pStyle w:val="Listparagraf"/>
        <w:numPr>
          <w:ilvl w:val="2"/>
          <w:numId w:val="26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art.</w:t>
      </w:r>
      <w:r w:rsidR="00AE2BD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70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71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orice alte prevederi care, direct sau indirect, se referă la comisia de cenzori</w:t>
      </w:r>
      <w:r w:rsidR="006D35EA" w:rsidRPr="000508B6">
        <w:rPr>
          <w:rFonts w:ascii="Times New Roman" w:eastAsia="Times New Roman" w:hAnsi="Times New Roman" w:cs="Times New Roman"/>
          <w:lang w:val="ro-MD"/>
        </w:rPr>
        <w:t>.</w:t>
      </w:r>
    </w:p>
    <w:p w14:paraId="6B849240" w14:textId="452670B9" w:rsidR="00BD3732" w:rsidRPr="000508B6" w:rsidRDefault="00CC460A" w:rsidP="00CF5AFA">
      <w:pPr>
        <w:pStyle w:val="Listparagraf"/>
        <w:numPr>
          <w:ilvl w:val="1"/>
          <w:numId w:val="25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BD3732" w:rsidRPr="000508B6">
        <w:rPr>
          <w:rFonts w:ascii="Times New Roman" w:hAnsi="Times New Roman" w:cs="Times New Roman"/>
          <w:lang w:val="ro-MD"/>
        </w:rPr>
        <w:t>dispun</w:t>
      </w:r>
      <w:r w:rsidR="00747B64" w:rsidRPr="000508B6">
        <w:rPr>
          <w:rFonts w:ascii="Times New Roman" w:hAnsi="Times New Roman" w:cs="Times New Roman"/>
          <w:lang w:val="ro-MD"/>
        </w:rPr>
        <w:t>e</w:t>
      </w:r>
      <w:r w:rsidR="00BD3732" w:rsidRPr="000508B6">
        <w:rPr>
          <w:rFonts w:ascii="Times New Roman" w:hAnsi="Times New Roman" w:cs="Times New Roman"/>
          <w:lang w:val="ro-MD"/>
        </w:rPr>
        <w:t xml:space="preserve"> de </w:t>
      </w:r>
      <w:proofErr w:type="spellStart"/>
      <w:r w:rsidR="00BD3732" w:rsidRPr="000508B6">
        <w:rPr>
          <w:rFonts w:ascii="Times New Roman" w:hAnsi="Times New Roman" w:cs="Times New Roman"/>
          <w:lang w:val="ro-MD"/>
        </w:rPr>
        <w:t>independenţă</w:t>
      </w:r>
      <w:proofErr w:type="spellEnd"/>
      <w:r w:rsidR="00BD3732" w:rsidRPr="000508B6">
        <w:rPr>
          <w:rFonts w:ascii="Times New Roman" w:hAnsi="Times New Roman" w:cs="Times New Roman"/>
          <w:lang w:val="ro-MD"/>
        </w:rPr>
        <w:t xml:space="preserve"> juridică, </w:t>
      </w:r>
      <w:proofErr w:type="spellStart"/>
      <w:r w:rsidR="00BD3732" w:rsidRPr="000508B6">
        <w:rPr>
          <w:rFonts w:ascii="Times New Roman" w:hAnsi="Times New Roman" w:cs="Times New Roman"/>
          <w:lang w:val="ro-MD"/>
        </w:rPr>
        <w:t>operaţională</w:t>
      </w:r>
      <w:proofErr w:type="spellEnd"/>
      <w:r w:rsidR="00BD3732" w:rsidRPr="000508B6">
        <w:rPr>
          <w:rFonts w:ascii="Times New Roman" w:hAnsi="Times New Roman" w:cs="Times New Roman"/>
          <w:lang w:val="ro-MD"/>
        </w:rPr>
        <w:t xml:space="preserve">, financiară </w:t>
      </w:r>
      <w:proofErr w:type="spellStart"/>
      <w:r w:rsidR="00BD3732" w:rsidRPr="000508B6">
        <w:rPr>
          <w:rFonts w:ascii="Times New Roman" w:hAnsi="Times New Roman" w:cs="Times New Roman"/>
          <w:lang w:val="ro-MD"/>
        </w:rPr>
        <w:t>şi</w:t>
      </w:r>
      <w:proofErr w:type="spellEnd"/>
      <w:r w:rsidR="00BD3732" w:rsidRPr="000508B6">
        <w:rPr>
          <w:rFonts w:ascii="Times New Roman" w:hAnsi="Times New Roman" w:cs="Times New Roman"/>
          <w:lang w:val="ro-MD"/>
        </w:rPr>
        <w:t xml:space="preserve"> administrativă </w:t>
      </w:r>
      <w:proofErr w:type="spellStart"/>
      <w:r w:rsidR="00BD3732" w:rsidRPr="000508B6">
        <w:rPr>
          <w:rFonts w:ascii="Times New Roman" w:hAnsi="Times New Roman" w:cs="Times New Roman"/>
          <w:lang w:val="ro-MD"/>
        </w:rPr>
        <w:t>faţă</w:t>
      </w:r>
      <w:proofErr w:type="spellEnd"/>
      <w:r w:rsidR="00BD3732" w:rsidRPr="000508B6">
        <w:rPr>
          <w:rFonts w:ascii="Times New Roman" w:hAnsi="Times New Roman" w:cs="Times New Roman"/>
          <w:lang w:val="ro-MD"/>
        </w:rPr>
        <w:t xml:space="preserve"> de orice persoană, inclusiv </w:t>
      </w:r>
      <w:proofErr w:type="spellStart"/>
      <w:r w:rsidR="00BD3732" w:rsidRPr="000508B6">
        <w:rPr>
          <w:rFonts w:ascii="Times New Roman" w:hAnsi="Times New Roman" w:cs="Times New Roman"/>
          <w:lang w:val="ro-MD"/>
        </w:rPr>
        <w:t>faţă</w:t>
      </w:r>
      <w:proofErr w:type="spellEnd"/>
      <w:r w:rsidR="00BD3732" w:rsidRPr="000508B6">
        <w:rPr>
          <w:rFonts w:ascii="Times New Roman" w:hAnsi="Times New Roman" w:cs="Times New Roman"/>
          <w:lang w:val="ro-MD"/>
        </w:rPr>
        <w:t xml:space="preserve"> de Banca </w:t>
      </w:r>
      <w:proofErr w:type="spellStart"/>
      <w:r w:rsidR="00BD3732" w:rsidRPr="000508B6">
        <w:rPr>
          <w:rFonts w:ascii="Times New Roman" w:hAnsi="Times New Roman" w:cs="Times New Roman"/>
          <w:lang w:val="ro-MD"/>
        </w:rPr>
        <w:t>Naţională</w:t>
      </w:r>
      <w:proofErr w:type="spellEnd"/>
      <w:r w:rsidR="00BD3732" w:rsidRPr="000508B6">
        <w:rPr>
          <w:rFonts w:ascii="Times New Roman" w:hAnsi="Times New Roman" w:cs="Times New Roman"/>
          <w:lang w:val="ro-MD"/>
        </w:rPr>
        <w:t xml:space="preserve"> a Moldovei, Guvern </w:t>
      </w:r>
      <w:proofErr w:type="spellStart"/>
      <w:r w:rsidR="00BD3732" w:rsidRPr="000508B6">
        <w:rPr>
          <w:rFonts w:ascii="Times New Roman" w:hAnsi="Times New Roman" w:cs="Times New Roman"/>
          <w:lang w:val="ro-MD"/>
        </w:rPr>
        <w:t>şi</w:t>
      </w:r>
      <w:proofErr w:type="spellEnd"/>
      <w:r w:rsidR="00BD3732" w:rsidRPr="000508B6">
        <w:rPr>
          <w:rFonts w:ascii="Times New Roman" w:hAnsi="Times New Roman" w:cs="Times New Roman"/>
          <w:lang w:val="ro-MD"/>
        </w:rPr>
        <w:t xml:space="preserve"> de alte </w:t>
      </w:r>
      <w:proofErr w:type="spellStart"/>
      <w:r w:rsidR="00BD3732" w:rsidRPr="000508B6">
        <w:rPr>
          <w:rFonts w:ascii="Times New Roman" w:hAnsi="Times New Roman" w:cs="Times New Roman"/>
          <w:lang w:val="ro-MD"/>
        </w:rPr>
        <w:t>autorităţi</w:t>
      </w:r>
      <w:proofErr w:type="spellEnd"/>
      <w:r w:rsidR="00BD3732" w:rsidRPr="000508B6">
        <w:rPr>
          <w:rFonts w:ascii="Times New Roman" w:hAnsi="Times New Roman" w:cs="Times New Roman"/>
          <w:lang w:val="ro-MD"/>
        </w:rPr>
        <w:t xml:space="preserve"> ale </w:t>
      </w:r>
      <w:proofErr w:type="spellStart"/>
      <w:r w:rsidR="00BD3732" w:rsidRPr="000508B6">
        <w:rPr>
          <w:rFonts w:ascii="Times New Roman" w:hAnsi="Times New Roman" w:cs="Times New Roman"/>
          <w:lang w:val="ro-MD"/>
        </w:rPr>
        <w:t>administraţiei</w:t>
      </w:r>
      <w:proofErr w:type="spellEnd"/>
      <w:r w:rsidR="00BD3732" w:rsidRPr="000508B6">
        <w:rPr>
          <w:rFonts w:ascii="Times New Roman" w:hAnsi="Times New Roman" w:cs="Times New Roman"/>
          <w:lang w:val="ro-MD"/>
        </w:rPr>
        <w:t xml:space="preserve"> publice, dacă </w:t>
      </w:r>
      <w:proofErr w:type="spellStart"/>
      <w:r w:rsidR="00BD3732" w:rsidRPr="000508B6">
        <w:rPr>
          <w:rFonts w:ascii="Times New Roman" w:hAnsi="Times New Roman" w:cs="Times New Roman"/>
          <w:lang w:val="ro-MD"/>
        </w:rPr>
        <w:t>legislaţia</w:t>
      </w:r>
      <w:proofErr w:type="spellEnd"/>
      <w:r w:rsidR="00BD3732" w:rsidRPr="000508B6">
        <w:rPr>
          <w:rFonts w:ascii="Times New Roman" w:hAnsi="Times New Roman" w:cs="Times New Roman"/>
          <w:lang w:val="ro-MD"/>
        </w:rPr>
        <w:t xml:space="preserve"> nu prevede altfel. Nici</w:t>
      </w:r>
      <w:r w:rsidR="007512E2" w:rsidRPr="000508B6">
        <w:rPr>
          <w:rFonts w:ascii="Times New Roman" w:hAnsi="Times New Roman" w:cs="Times New Roman"/>
          <w:lang w:val="ro-MD"/>
        </w:rPr>
        <w:t xml:space="preserve"> </w:t>
      </w:r>
      <w:r w:rsidR="00BD3732" w:rsidRPr="000508B6">
        <w:rPr>
          <w:rFonts w:ascii="Times New Roman" w:hAnsi="Times New Roman" w:cs="Times New Roman"/>
          <w:lang w:val="ro-MD"/>
        </w:rPr>
        <w:t xml:space="preserve">o persoană nu poate îngrădi </w:t>
      </w:r>
      <w:proofErr w:type="spellStart"/>
      <w:r w:rsidR="00BD3732" w:rsidRPr="000508B6">
        <w:rPr>
          <w:rFonts w:ascii="Times New Roman" w:hAnsi="Times New Roman" w:cs="Times New Roman"/>
          <w:lang w:val="ro-MD"/>
        </w:rPr>
        <w:t>independenţa</w:t>
      </w:r>
      <w:proofErr w:type="spellEnd"/>
      <w:r w:rsidR="00BD3732"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BD3732" w:rsidRPr="000508B6">
        <w:rPr>
          <w:rFonts w:ascii="Times New Roman" w:hAnsi="Times New Roman" w:cs="Times New Roman"/>
          <w:lang w:val="ro-MD"/>
        </w:rPr>
        <w:t xml:space="preserve">, nu poate </w:t>
      </w:r>
      <w:r w:rsidR="00D6236B" w:rsidRPr="000508B6">
        <w:rPr>
          <w:rFonts w:ascii="Times New Roman" w:hAnsi="Times New Roman" w:cs="Times New Roman"/>
          <w:lang w:val="ro-MD"/>
        </w:rPr>
        <w:t>influen</w:t>
      </w:r>
      <w:r w:rsidR="00C92E3B" w:rsidRPr="000508B6">
        <w:rPr>
          <w:rFonts w:ascii="Times New Roman" w:hAnsi="Times New Roman" w:cs="Times New Roman"/>
          <w:lang w:val="ro-MD"/>
        </w:rPr>
        <w:t>ț</w:t>
      </w:r>
      <w:r w:rsidR="00D6236B" w:rsidRPr="000508B6">
        <w:rPr>
          <w:rFonts w:ascii="Times New Roman" w:hAnsi="Times New Roman" w:cs="Times New Roman"/>
          <w:lang w:val="ro-MD"/>
        </w:rPr>
        <w:t>a</w:t>
      </w:r>
      <w:r w:rsidR="00BD3732" w:rsidRPr="000508B6">
        <w:rPr>
          <w:rFonts w:ascii="Times New Roman" w:hAnsi="Times New Roman" w:cs="Times New Roman"/>
          <w:lang w:val="ro-MD"/>
        </w:rPr>
        <w:t xml:space="preserve"> organele de conducere în exercitarea </w:t>
      </w:r>
      <w:proofErr w:type="spellStart"/>
      <w:r w:rsidR="00BD3732" w:rsidRPr="000508B6">
        <w:rPr>
          <w:rFonts w:ascii="Times New Roman" w:hAnsi="Times New Roman" w:cs="Times New Roman"/>
          <w:lang w:val="ro-MD"/>
        </w:rPr>
        <w:t>funcţiilor</w:t>
      </w:r>
      <w:proofErr w:type="spellEnd"/>
      <w:r w:rsidR="00BD3732" w:rsidRPr="000508B6">
        <w:rPr>
          <w:rFonts w:ascii="Times New Roman" w:hAnsi="Times New Roman" w:cs="Times New Roman"/>
          <w:lang w:val="ro-MD"/>
        </w:rPr>
        <w:t xml:space="preserve">, nu poate interveni în activitatea </w:t>
      </w:r>
      <w:r w:rsidR="00C013FB" w:rsidRPr="000508B6">
        <w:rPr>
          <w:rFonts w:ascii="Times New Roman" w:hAnsi="Times New Roman" w:cs="Times New Roman"/>
          <w:lang w:val="ro-MD"/>
        </w:rPr>
        <w:t xml:space="preserve">vreunui asigurător sau </w:t>
      </w:r>
      <w:proofErr w:type="spellStart"/>
      <w:r w:rsidR="00C013FB" w:rsidRPr="000508B6">
        <w:rPr>
          <w:rFonts w:ascii="Times New Roman" w:hAnsi="Times New Roman" w:cs="Times New Roman"/>
          <w:lang w:val="ro-MD"/>
        </w:rPr>
        <w:t>reasigurător</w:t>
      </w:r>
      <w:proofErr w:type="spellEnd"/>
      <w:r w:rsidR="00BD3732" w:rsidRPr="000508B6">
        <w:rPr>
          <w:rFonts w:ascii="Times New Roman" w:hAnsi="Times New Roman" w:cs="Times New Roman"/>
          <w:lang w:val="ro-MD"/>
        </w:rPr>
        <w:t xml:space="preserve">, cu </w:t>
      </w:r>
      <w:proofErr w:type="spellStart"/>
      <w:r w:rsidR="00BD3732" w:rsidRPr="000508B6">
        <w:rPr>
          <w:rFonts w:ascii="Times New Roman" w:hAnsi="Times New Roman" w:cs="Times New Roman"/>
          <w:lang w:val="ro-MD"/>
        </w:rPr>
        <w:t>excepţia</w:t>
      </w:r>
      <w:proofErr w:type="spellEnd"/>
      <w:r w:rsidR="00BD3732" w:rsidRPr="000508B6">
        <w:rPr>
          <w:rFonts w:ascii="Times New Roman" w:hAnsi="Times New Roman" w:cs="Times New Roman"/>
          <w:lang w:val="ro-MD"/>
        </w:rPr>
        <w:t xml:space="preserve"> executării unor </w:t>
      </w:r>
      <w:proofErr w:type="spellStart"/>
      <w:r w:rsidR="00BD3732" w:rsidRPr="000508B6">
        <w:rPr>
          <w:rFonts w:ascii="Times New Roman" w:hAnsi="Times New Roman" w:cs="Times New Roman"/>
          <w:lang w:val="ro-MD"/>
        </w:rPr>
        <w:t>obligaţii</w:t>
      </w:r>
      <w:proofErr w:type="spellEnd"/>
      <w:r w:rsidR="00BD3732" w:rsidRPr="000508B6">
        <w:rPr>
          <w:rFonts w:ascii="Times New Roman" w:hAnsi="Times New Roman" w:cs="Times New Roman"/>
          <w:lang w:val="ro-MD"/>
        </w:rPr>
        <w:t xml:space="preserve"> sau împuterniciri specifice prevăzute </w:t>
      </w:r>
      <w:r w:rsidR="000139DF" w:rsidRPr="000508B6">
        <w:rPr>
          <w:rFonts w:ascii="Times New Roman" w:hAnsi="Times New Roman" w:cs="Times New Roman"/>
          <w:lang w:val="ro-MD"/>
        </w:rPr>
        <w:t xml:space="preserve">expres în </w:t>
      </w:r>
      <w:proofErr w:type="spellStart"/>
      <w:r w:rsidR="00BD3732" w:rsidRPr="000508B6">
        <w:rPr>
          <w:rFonts w:ascii="Times New Roman" w:hAnsi="Times New Roman" w:cs="Times New Roman"/>
          <w:lang w:val="ro-MD"/>
        </w:rPr>
        <w:t>legislaţi</w:t>
      </w:r>
      <w:r w:rsidR="00726391" w:rsidRPr="000508B6">
        <w:rPr>
          <w:rFonts w:ascii="Times New Roman" w:hAnsi="Times New Roman" w:cs="Times New Roman"/>
          <w:lang w:val="ro-MD"/>
        </w:rPr>
        <w:t>e</w:t>
      </w:r>
      <w:proofErr w:type="spellEnd"/>
      <w:r w:rsidR="00BD3732" w:rsidRPr="000508B6">
        <w:rPr>
          <w:rFonts w:ascii="Times New Roman" w:hAnsi="Times New Roman" w:cs="Times New Roman"/>
          <w:lang w:val="ro-MD"/>
        </w:rPr>
        <w:t>.</w:t>
      </w:r>
    </w:p>
    <w:p w14:paraId="72EF800D" w14:textId="3BE67C51" w:rsidR="00C37920" w:rsidRPr="000508B6" w:rsidRDefault="00C37920" w:rsidP="005B35BF">
      <w:pPr>
        <w:spacing w:after="0" w:line="240" w:lineRule="auto"/>
        <w:ind w:firstLine="426"/>
        <w:jc w:val="both"/>
        <w:rPr>
          <w:rFonts w:ascii="Times New Roman" w:hAnsi="Times New Roman" w:cs="Times New Roman"/>
          <w:lang w:val="ro-MD"/>
        </w:rPr>
      </w:pPr>
    </w:p>
    <w:p w14:paraId="7F05E558" w14:textId="173F5012" w:rsidR="00F95829" w:rsidRPr="000508B6" w:rsidRDefault="00F95829" w:rsidP="008B530F">
      <w:pPr>
        <w:spacing w:after="0" w:line="240" w:lineRule="auto"/>
        <w:ind w:firstLine="426"/>
        <w:jc w:val="both"/>
        <w:rPr>
          <w:rFonts w:ascii="Times New Roman" w:eastAsia="Times New Roman" w:hAnsi="Times New Roman" w:cs="Times New Roman"/>
          <w:lang w:val="ro-MD"/>
        </w:rPr>
      </w:pPr>
      <w:bookmarkStart w:id="43" w:name="_Hlk212197114"/>
      <w:bookmarkStart w:id="44" w:name="_Hlk221192103"/>
      <w:r w:rsidRPr="000508B6">
        <w:rPr>
          <w:rFonts w:ascii="Times New Roman" w:eastAsia="Times New Roman" w:hAnsi="Times New Roman" w:cs="Times New Roman"/>
          <w:b/>
          <w:lang w:val="ro-MD"/>
        </w:rPr>
        <w:t xml:space="preserve">Articolul </w:t>
      </w:r>
      <w:r w:rsidR="00FC7480" w:rsidRPr="000508B6">
        <w:rPr>
          <w:rFonts w:ascii="Times New Roman" w:eastAsia="Times New Roman" w:hAnsi="Times New Roman" w:cs="Times New Roman"/>
          <w:b/>
          <w:lang w:val="ro-MD"/>
        </w:rPr>
        <w:t>19</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Sistemul de </w:t>
      </w:r>
      <w:proofErr w:type="spellStart"/>
      <w:r w:rsidRPr="000508B6">
        <w:rPr>
          <w:rFonts w:ascii="Times New Roman" w:eastAsia="Times New Roman" w:hAnsi="Times New Roman" w:cs="Times New Roman"/>
          <w:lang w:val="ro-MD"/>
        </w:rPr>
        <w:t>guvernanţă</w:t>
      </w:r>
      <w:proofErr w:type="spellEnd"/>
    </w:p>
    <w:bookmarkEnd w:id="43"/>
    <w:p w14:paraId="203C6E70" w14:textId="0BF05E7D" w:rsidR="00F95829" w:rsidRPr="000508B6" w:rsidRDefault="00251F39" w:rsidP="00CF5AFA">
      <w:pPr>
        <w:pStyle w:val="Listparagraf"/>
        <w:numPr>
          <w:ilvl w:val="1"/>
          <w:numId w:val="102"/>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vederea administrării corecte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prudente 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w:t>
      </w:r>
      <w:r w:rsidR="00CC460A" w:rsidRPr="000508B6">
        <w:rPr>
          <w:rFonts w:ascii="Times New Roman" w:eastAsia="Times New Roman" w:hAnsi="Times New Roman" w:cs="Times New Roman"/>
          <w:lang w:val="ro-MD"/>
        </w:rPr>
        <w:t xml:space="preserve">asigurătorul sau </w:t>
      </w:r>
      <w:proofErr w:type="spellStart"/>
      <w:r w:rsidR="00CC460A" w:rsidRPr="000508B6">
        <w:rPr>
          <w:rFonts w:ascii="Times New Roman" w:eastAsia="Times New Roman" w:hAnsi="Times New Roman" w:cs="Times New Roman"/>
          <w:lang w:val="ro-MD"/>
        </w:rPr>
        <w:t>reasigurătorul</w:t>
      </w:r>
      <w:proofErr w:type="spellEnd"/>
      <w:r w:rsidR="00CC46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instituie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aplică un sistem de </w:t>
      </w:r>
      <w:proofErr w:type="spellStart"/>
      <w:r w:rsidRPr="000508B6">
        <w:rPr>
          <w:rFonts w:ascii="Times New Roman" w:eastAsia="Times New Roman" w:hAnsi="Times New Roman" w:cs="Times New Roman"/>
          <w:lang w:val="ro-MD"/>
        </w:rPr>
        <w:t>guvernanţă</w:t>
      </w:r>
      <w:proofErr w:type="spellEnd"/>
      <w:r w:rsidRPr="000508B6">
        <w:rPr>
          <w:rFonts w:ascii="Times New Roman" w:eastAsia="Times New Roman" w:hAnsi="Times New Roman" w:cs="Times New Roman"/>
          <w:lang w:val="ro-MD"/>
        </w:rPr>
        <w:t xml:space="preserve"> </w:t>
      </w:r>
      <w:r w:rsidR="00BE5EE6" w:rsidRPr="000508B6">
        <w:rPr>
          <w:rFonts w:ascii="Times New Roman" w:eastAsia="Times New Roman" w:hAnsi="Times New Roman" w:cs="Times New Roman"/>
          <w:lang w:val="ro-MD"/>
        </w:rPr>
        <w:t xml:space="preserve">eficace, </w:t>
      </w:r>
      <w:r w:rsidR="001A3BFB" w:rsidRPr="000508B6">
        <w:rPr>
          <w:rFonts w:ascii="Times New Roman" w:eastAsia="Times New Roman" w:hAnsi="Times New Roman" w:cs="Times New Roman"/>
          <w:lang w:val="ro-MD"/>
        </w:rPr>
        <w:t>în conformitate cu</w:t>
      </w:r>
      <w:r w:rsidR="00B22901" w:rsidRPr="000508B6">
        <w:rPr>
          <w:rFonts w:ascii="Times New Roman" w:eastAsia="Times New Roman" w:hAnsi="Times New Roman" w:cs="Times New Roman"/>
          <w:lang w:val="ro-MD"/>
        </w:rPr>
        <w:t xml:space="preserve"> </w:t>
      </w:r>
      <w:r w:rsidR="00520779" w:rsidRPr="000508B6">
        <w:rPr>
          <w:rFonts w:ascii="Times New Roman" w:eastAsia="Times New Roman" w:hAnsi="Times New Roman" w:cs="Times New Roman"/>
          <w:lang w:val="ro-MD"/>
        </w:rPr>
        <w:t xml:space="preserve">cerințele </w:t>
      </w:r>
      <w:r w:rsidR="00AC20EB" w:rsidRPr="000508B6">
        <w:rPr>
          <w:rFonts w:ascii="Times New Roman" w:hAnsi="Times New Roman" w:cs="Times New Roman"/>
          <w:lang w:val="ro-MD"/>
        </w:rPr>
        <w:t>prezent</w:t>
      </w:r>
      <w:r w:rsidR="00520779" w:rsidRPr="000508B6">
        <w:rPr>
          <w:rFonts w:ascii="Times New Roman" w:hAnsi="Times New Roman" w:cs="Times New Roman"/>
          <w:lang w:val="ro-MD"/>
        </w:rPr>
        <w:t>ei</w:t>
      </w:r>
      <w:r w:rsidR="00AC20EB" w:rsidRPr="000508B6">
        <w:rPr>
          <w:rFonts w:ascii="Times New Roman" w:hAnsi="Times New Roman" w:cs="Times New Roman"/>
          <w:lang w:val="ro-MD"/>
        </w:rPr>
        <w:t xml:space="preserve"> </w:t>
      </w:r>
      <w:proofErr w:type="spellStart"/>
      <w:r w:rsidR="00AC20EB" w:rsidRPr="000508B6">
        <w:rPr>
          <w:rFonts w:ascii="Times New Roman" w:hAnsi="Times New Roman" w:cs="Times New Roman"/>
          <w:lang w:val="ro-MD"/>
        </w:rPr>
        <w:t>secţiun</w:t>
      </w:r>
      <w:r w:rsidR="00520779" w:rsidRPr="000508B6">
        <w:rPr>
          <w:rFonts w:ascii="Times New Roman" w:hAnsi="Times New Roman" w:cs="Times New Roman"/>
          <w:lang w:val="ro-MD"/>
        </w:rPr>
        <w:t>i</w:t>
      </w:r>
      <w:proofErr w:type="spellEnd"/>
      <w:r w:rsidR="00AC20EB" w:rsidRPr="000508B6">
        <w:rPr>
          <w:rFonts w:ascii="Times New Roman" w:eastAsia="Times New Roman" w:hAnsi="Times New Roman" w:cs="Times New Roman"/>
          <w:lang w:val="ro-MD"/>
        </w:rPr>
        <w:t xml:space="preserve"> și </w:t>
      </w:r>
      <w:r w:rsidR="00520779" w:rsidRPr="000508B6">
        <w:rPr>
          <w:rFonts w:ascii="Times New Roman" w:eastAsia="Times New Roman" w:hAnsi="Times New Roman" w:cs="Times New Roman"/>
          <w:lang w:val="ro-MD"/>
        </w:rPr>
        <w:t>ale</w:t>
      </w:r>
      <w:r w:rsidR="00AC20EB" w:rsidRPr="000508B6">
        <w:rPr>
          <w:rFonts w:ascii="Times New Roman" w:eastAsia="Times New Roman" w:hAnsi="Times New Roman" w:cs="Times New Roman"/>
          <w:lang w:val="ro-MD"/>
        </w:rPr>
        <w:t xml:space="preserve"> </w:t>
      </w:r>
      <w:r w:rsidR="001A3BFB" w:rsidRPr="000508B6">
        <w:rPr>
          <w:rFonts w:ascii="Times New Roman" w:eastAsia="Times New Roman" w:hAnsi="Times New Roman" w:cs="Times New Roman"/>
          <w:lang w:val="ro-MD"/>
        </w:rPr>
        <w:t>actel</w:t>
      </w:r>
      <w:r w:rsidR="00520779" w:rsidRPr="000508B6">
        <w:rPr>
          <w:rFonts w:ascii="Times New Roman" w:eastAsia="Times New Roman" w:hAnsi="Times New Roman" w:cs="Times New Roman"/>
          <w:lang w:val="ro-MD"/>
        </w:rPr>
        <w:t>or</w:t>
      </w:r>
      <w:r w:rsidR="001A3BFB" w:rsidRPr="000508B6">
        <w:rPr>
          <w:rFonts w:ascii="Times New Roman" w:eastAsia="Times New Roman" w:hAnsi="Times New Roman" w:cs="Times New Roman"/>
          <w:lang w:val="ro-MD"/>
        </w:rPr>
        <w:t xml:space="preserve"> normative ale Băncii Naționale a Moldovei,</w:t>
      </w:r>
      <w:r w:rsidRPr="000508B6">
        <w:rPr>
          <w:rFonts w:ascii="Times New Roman" w:eastAsia="Times New Roman" w:hAnsi="Times New Roman" w:cs="Times New Roman"/>
          <w:lang w:val="ro-MD"/>
        </w:rPr>
        <w:t xml:space="preserve"> astfel încât</w:t>
      </w:r>
      <w:r w:rsidR="000830C3" w:rsidRPr="000508B6">
        <w:rPr>
          <w:rFonts w:ascii="Times New Roman" w:eastAsia="Times New Roman" w:hAnsi="Times New Roman" w:cs="Times New Roman"/>
          <w:lang w:val="ro-MD"/>
        </w:rPr>
        <w:t xml:space="preserve"> acesta</w:t>
      </w:r>
      <w:r w:rsidRPr="000508B6">
        <w:rPr>
          <w:rFonts w:ascii="Times New Roman" w:eastAsia="Times New Roman" w:hAnsi="Times New Roman" w:cs="Times New Roman"/>
          <w:lang w:val="ro-MD"/>
        </w:rPr>
        <w:t>:</w:t>
      </w:r>
    </w:p>
    <w:p w14:paraId="5903E38C" w14:textId="097C7C25" w:rsidR="008E453D" w:rsidRPr="000508B6" w:rsidRDefault="008E453D" w:rsidP="00CF5AFA">
      <w:pPr>
        <w:numPr>
          <w:ilvl w:val="0"/>
          <w:numId w:val="10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să asigure o administrare corectă și prudentă a activității</w:t>
      </w:r>
      <w:r w:rsidR="006A0745" w:rsidRPr="000508B6">
        <w:rPr>
          <w:rFonts w:ascii="Times New Roman" w:hAnsi="Times New Roman" w:cs="Times New Roman"/>
          <w:lang w:val="ro-MD"/>
        </w:rPr>
        <w:t>;</w:t>
      </w:r>
    </w:p>
    <w:p w14:paraId="49656FC4" w14:textId="0088EBC7" w:rsidR="00F95829" w:rsidRPr="000508B6" w:rsidRDefault="00F95829" w:rsidP="00CF5AFA">
      <w:pPr>
        <w:numPr>
          <w:ilvl w:val="0"/>
          <w:numId w:val="10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fie stabilit </w:t>
      </w:r>
      <w:r w:rsidR="00001A47" w:rsidRPr="000508B6">
        <w:rPr>
          <w:rFonts w:ascii="Times New Roman" w:hAnsi="Times New Roman" w:cs="Times New Roman"/>
          <w:lang w:val="ro-MD"/>
        </w:rPr>
        <w:t xml:space="preserve">proporțional cu natura, amploarea și complexitatea operațiunilor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p>
    <w:p w14:paraId="537D8B11" w14:textId="29FB9008" w:rsidR="00F95829" w:rsidRPr="000508B6" w:rsidRDefault="00F95829" w:rsidP="00462541">
      <w:pPr>
        <w:numPr>
          <w:ilvl w:val="0"/>
          <w:numId w:val="10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w:t>
      </w:r>
      <w:r w:rsidR="00177907" w:rsidRPr="000508B6">
        <w:rPr>
          <w:rFonts w:ascii="Times New Roman" w:hAnsi="Times New Roman" w:cs="Times New Roman"/>
          <w:lang w:val="ro-MD"/>
        </w:rPr>
        <w:t xml:space="preserve">includă </w:t>
      </w:r>
      <w:r w:rsidRPr="000508B6">
        <w:rPr>
          <w:rFonts w:ascii="Times New Roman" w:hAnsi="Times New Roman" w:cs="Times New Roman"/>
          <w:lang w:val="ro-MD"/>
        </w:rPr>
        <w:t xml:space="preserve">o structură organizatorică transparentă adecvată, </w:t>
      </w:r>
      <w:r w:rsidR="00177907" w:rsidRPr="000508B6">
        <w:rPr>
          <w:rFonts w:ascii="Times New Roman" w:hAnsi="Times New Roman" w:cs="Times New Roman"/>
          <w:lang w:val="ro-MD"/>
        </w:rPr>
        <w:t>cu o alocare clară și o separare corespunzătoare a responsabilităților</w:t>
      </w:r>
      <w:r w:rsidRPr="000508B6">
        <w:rPr>
          <w:rFonts w:ascii="Times New Roman" w:hAnsi="Times New Roman" w:cs="Times New Roman"/>
          <w:lang w:val="ro-MD"/>
        </w:rPr>
        <w:t xml:space="preserve">;   </w:t>
      </w:r>
    </w:p>
    <w:p w14:paraId="12BE7ED1" w14:textId="229B372F" w:rsidR="00072AED" w:rsidRPr="000508B6" w:rsidRDefault="00177907" w:rsidP="00462541">
      <w:pPr>
        <w:numPr>
          <w:ilvl w:val="0"/>
          <w:numId w:val="10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includă un sistem eficace care să asigure transmiterea </w:t>
      </w:r>
      <w:proofErr w:type="spellStart"/>
      <w:r w:rsidR="00072AED" w:rsidRPr="000508B6">
        <w:rPr>
          <w:rFonts w:ascii="Times New Roman" w:hAnsi="Times New Roman" w:cs="Times New Roman"/>
          <w:lang w:val="ro-MD"/>
        </w:rPr>
        <w:t>informaţiilor</w:t>
      </w:r>
      <w:proofErr w:type="spellEnd"/>
      <w:r w:rsidR="00072AED" w:rsidRPr="000508B6">
        <w:rPr>
          <w:rFonts w:ascii="Times New Roman" w:hAnsi="Times New Roman" w:cs="Times New Roman"/>
          <w:lang w:val="ro-MD"/>
        </w:rPr>
        <w:t xml:space="preserve">;   </w:t>
      </w:r>
    </w:p>
    <w:p w14:paraId="533A7D2E" w14:textId="748D34CE" w:rsidR="00F95829" w:rsidRPr="000508B6" w:rsidRDefault="00F95829" w:rsidP="00462541">
      <w:pPr>
        <w:numPr>
          <w:ilvl w:val="0"/>
          <w:numId w:val="10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să fie supus</w:t>
      </w:r>
      <w:r w:rsidR="00A5100A" w:rsidRPr="000508B6">
        <w:rPr>
          <w:rFonts w:ascii="Times New Roman" w:hAnsi="Times New Roman" w:cs="Times New Roman"/>
          <w:lang w:val="ro-MD"/>
        </w:rPr>
        <w:t xml:space="preserve"> unei revizuiri interne periodice care include o evaluare a caracterului adecvat al componenței, eficacității și guvernanței interne a </w:t>
      </w:r>
      <w:r w:rsidR="0014791A" w:rsidRPr="000508B6">
        <w:rPr>
          <w:rFonts w:ascii="Times New Roman" w:hAnsi="Times New Roman" w:cs="Times New Roman"/>
          <w:lang w:val="ro-MD"/>
        </w:rPr>
        <w:t xml:space="preserve">organelor </w:t>
      </w:r>
      <w:r w:rsidR="00A5100A" w:rsidRPr="000508B6">
        <w:rPr>
          <w:rFonts w:ascii="Times New Roman" w:hAnsi="Times New Roman" w:cs="Times New Roman"/>
          <w:lang w:val="ro-MD"/>
        </w:rPr>
        <w:t xml:space="preserve">de conducere ținând seama de natura, amploarea și complexitatea riscurilor inerente activității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p>
    <w:p w14:paraId="5F64BF12" w14:textId="5971FB9E" w:rsidR="00F95829" w:rsidRPr="000508B6" w:rsidRDefault="00F95829" w:rsidP="00462541">
      <w:pPr>
        <w:numPr>
          <w:ilvl w:val="0"/>
          <w:numId w:val="10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fie bazat pe </w:t>
      </w:r>
      <w:proofErr w:type="spellStart"/>
      <w:r w:rsidRPr="000508B6">
        <w:rPr>
          <w:rFonts w:ascii="Times New Roman" w:hAnsi="Times New Roman" w:cs="Times New Roman"/>
          <w:lang w:val="ro-MD"/>
        </w:rPr>
        <w:t>funcţii</w:t>
      </w:r>
      <w:proofErr w:type="spellEnd"/>
      <w:r w:rsidR="00D341EE" w:rsidRPr="000508B6">
        <w:rPr>
          <w:rFonts w:ascii="Times New Roman" w:hAnsi="Times New Roman" w:cs="Times New Roman"/>
          <w:lang w:val="ro-MD"/>
        </w:rPr>
        <w:t xml:space="preserve"> critice</w:t>
      </w:r>
      <w:r w:rsidR="003037D9" w:rsidRPr="000508B6">
        <w:rPr>
          <w:rFonts w:ascii="Times New Roman" w:hAnsi="Times New Roman" w:cs="Times New Roman"/>
          <w:lang w:val="ro-MD"/>
        </w:rPr>
        <w:t xml:space="preserve">, cel </w:t>
      </w:r>
      <w:proofErr w:type="spellStart"/>
      <w:r w:rsidR="003037D9" w:rsidRPr="000508B6">
        <w:rPr>
          <w:rFonts w:ascii="Times New Roman" w:hAnsi="Times New Roman" w:cs="Times New Roman"/>
          <w:lang w:val="ro-MD"/>
        </w:rPr>
        <w:t>puţin</w:t>
      </w:r>
      <w:proofErr w:type="spellEnd"/>
      <w:r w:rsidR="003037D9" w:rsidRPr="000508B6">
        <w:rPr>
          <w:rFonts w:ascii="Times New Roman" w:hAnsi="Times New Roman" w:cs="Times New Roman"/>
          <w:lang w:val="ro-MD"/>
        </w:rPr>
        <w:t xml:space="preserve"> pe </w:t>
      </w:r>
      <w:proofErr w:type="spellStart"/>
      <w:r w:rsidR="003037D9" w:rsidRPr="000508B6">
        <w:rPr>
          <w:rFonts w:ascii="Times New Roman" w:hAnsi="Times New Roman" w:cs="Times New Roman"/>
          <w:lang w:val="ro-MD"/>
        </w:rPr>
        <w:t>funcţiile</w:t>
      </w:r>
      <w:proofErr w:type="spellEnd"/>
      <w:r w:rsidR="003037D9" w:rsidRPr="000508B6">
        <w:rPr>
          <w:rFonts w:ascii="Times New Roman" w:hAnsi="Times New Roman" w:cs="Times New Roman"/>
          <w:lang w:val="ro-MD"/>
        </w:rPr>
        <w:t xml:space="preserve"> actuarială, de management al riscului, de conformitate </w:t>
      </w:r>
      <w:proofErr w:type="spellStart"/>
      <w:r w:rsidR="003037D9" w:rsidRPr="000508B6">
        <w:rPr>
          <w:rFonts w:ascii="Times New Roman" w:hAnsi="Times New Roman" w:cs="Times New Roman"/>
          <w:lang w:val="ro-MD"/>
        </w:rPr>
        <w:t>şi</w:t>
      </w:r>
      <w:proofErr w:type="spellEnd"/>
      <w:r w:rsidR="003037D9" w:rsidRPr="000508B6">
        <w:rPr>
          <w:rFonts w:ascii="Times New Roman" w:hAnsi="Times New Roman" w:cs="Times New Roman"/>
          <w:lang w:val="ro-MD"/>
        </w:rPr>
        <w:t xml:space="preserve"> de audit intern, considerate </w:t>
      </w:r>
      <w:proofErr w:type="spellStart"/>
      <w:r w:rsidR="003037D9" w:rsidRPr="000508B6">
        <w:rPr>
          <w:rFonts w:ascii="Times New Roman" w:hAnsi="Times New Roman" w:cs="Times New Roman"/>
          <w:lang w:val="ro-MD"/>
        </w:rPr>
        <w:t>funcţii</w:t>
      </w:r>
      <w:proofErr w:type="spellEnd"/>
      <w:r w:rsidR="002F5DE5" w:rsidRPr="000508B6">
        <w:rPr>
          <w:rFonts w:ascii="Times New Roman" w:hAnsi="Times New Roman" w:cs="Times New Roman"/>
          <w:lang w:val="ro-MD"/>
        </w:rPr>
        <w:t>-</w:t>
      </w:r>
      <w:r w:rsidR="003037D9" w:rsidRPr="000508B6">
        <w:rPr>
          <w:rFonts w:ascii="Times New Roman" w:hAnsi="Times New Roman" w:cs="Times New Roman"/>
          <w:lang w:val="ro-MD"/>
        </w:rPr>
        <w:t xml:space="preserve">cheie.  </w:t>
      </w:r>
    </w:p>
    <w:p w14:paraId="1A87E350" w14:textId="757ED57B" w:rsidR="00F95829" w:rsidRPr="000508B6" w:rsidRDefault="00F95829" w:rsidP="00CF5AFA">
      <w:pPr>
        <w:pStyle w:val="Listparagraf"/>
        <w:numPr>
          <w:ilvl w:val="1"/>
          <w:numId w:val="10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CC460A" w:rsidRPr="000508B6">
        <w:rPr>
          <w:rFonts w:ascii="Times New Roman" w:hAnsi="Times New Roman" w:cs="Times New Roman"/>
          <w:lang w:val="ro-MD"/>
        </w:rPr>
        <w:t xml:space="preserve">Asigurătorul sau </w:t>
      </w:r>
      <w:proofErr w:type="spellStart"/>
      <w:r w:rsidR="00CC460A" w:rsidRPr="000508B6">
        <w:rPr>
          <w:rFonts w:ascii="Times New Roman" w:hAnsi="Times New Roman" w:cs="Times New Roman"/>
          <w:lang w:val="ro-MD"/>
        </w:rPr>
        <w:t>reasigurătorul</w:t>
      </w:r>
      <w:proofErr w:type="spellEnd"/>
      <w:r w:rsidR="00CC460A" w:rsidRPr="000508B6">
        <w:rPr>
          <w:rFonts w:ascii="Times New Roman" w:hAnsi="Times New Roman" w:cs="Times New Roman"/>
          <w:lang w:val="ro-MD"/>
        </w:rPr>
        <w:t xml:space="preserve"> </w:t>
      </w:r>
      <w:r w:rsidRPr="000508B6">
        <w:rPr>
          <w:rFonts w:ascii="Times New Roman" w:hAnsi="Times New Roman" w:cs="Times New Roman"/>
          <w:lang w:val="ro-MD"/>
        </w:rPr>
        <w:t xml:space="preserve">elaborează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aplică politici scrise privind:</w:t>
      </w:r>
      <w:r w:rsidRPr="000508B6">
        <w:rPr>
          <w:rFonts w:ascii="Times New Roman" w:eastAsia="Times New Roman" w:hAnsi="Times New Roman" w:cs="Times New Roman"/>
          <w:lang w:val="ro-MD"/>
        </w:rPr>
        <w:t xml:space="preserve"> </w:t>
      </w:r>
    </w:p>
    <w:p w14:paraId="6A28474E" w14:textId="30626B98" w:rsidR="00F95829" w:rsidRPr="000508B6" w:rsidRDefault="00F95829" w:rsidP="00462541">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managementul riscului</w:t>
      </w:r>
      <w:r w:rsidR="008F6C7D" w:rsidRPr="000508B6">
        <w:rPr>
          <w:rFonts w:ascii="Times New Roman" w:hAnsi="Times New Roman" w:cs="Times New Roman"/>
          <w:lang w:val="ro-MD"/>
        </w:rPr>
        <w:t>,</w:t>
      </w:r>
      <w:r w:rsidR="0083307C" w:rsidRPr="000508B6">
        <w:rPr>
          <w:rFonts w:ascii="Times New Roman" w:hAnsi="Times New Roman" w:cs="Times New Roman"/>
          <w:lang w:val="ro-MD"/>
        </w:rPr>
        <w:t xml:space="preserve"> </w:t>
      </w:r>
      <w:bookmarkStart w:id="45" w:name="_Hlk195082292"/>
      <w:r w:rsidR="0083307C" w:rsidRPr="000508B6">
        <w:rPr>
          <w:rFonts w:ascii="Times New Roman" w:hAnsi="Times New Roman" w:cs="Times New Roman"/>
          <w:lang w:val="ro-MD"/>
        </w:rPr>
        <w:t xml:space="preserve">inclusiv pentru criteriile de aplicare </w:t>
      </w:r>
      <w:r w:rsidR="00702715" w:rsidRPr="000508B6">
        <w:rPr>
          <w:rFonts w:ascii="Times New Roman" w:hAnsi="Times New Roman" w:cs="Times New Roman"/>
          <w:lang w:val="ro-MD"/>
        </w:rPr>
        <w:t xml:space="preserve">și ajustare </w:t>
      </w:r>
      <w:r w:rsidR="0083307C" w:rsidRPr="000508B6">
        <w:rPr>
          <w:rFonts w:ascii="Times New Roman" w:hAnsi="Times New Roman" w:cs="Times New Roman"/>
          <w:lang w:val="ro-MD"/>
        </w:rPr>
        <w:t>a primei de volatilitate</w:t>
      </w:r>
      <w:r w:rsidR="008F6C7D" w:rsidRPr="000508B6">
        <w:rPr>
          <w:rFonts w:ascii="Times New Roman" w:hAnsi="Times New Roman" w:cs="Times New Roman"/>
          <w:lang w:val="ro-MD"/>
        </w:rPr>
        <w:t>,</w:t>
      </w:r>
      <w:r w:rsidR="0083307C" w:rsidRPr="000508B6">
        <w:rPr>
          <w:rFonts w:ascii="Times New Roman" w:hAnsi="Times New Roman" w:cs="Times New Roman"/>
          <w:lang w:val="ro-MD"/>
        </w:rPr>
        <w:t xml:space="preserve"> în cazul în care </w:t>
      </w:r>
      <w:r w:rsidR="00156524" w:rsidRPr="000508B6">
        <w:rPr>
          <w:rFonts w:ascii="Times New Roman" w:hAnsi="Times New Roman" w:cs="Times New Roman"/>
          <w:lang w:val="ro-MD"/>
        </w:rPr>
        <w:t>este aprobată de</w:t>
      </w:r>
      <w:r w:rsidR="0083307C" w:rsidRPr="000508B6">
        <w:rPr>
          <w:rFonts w:ascii="Times New Roman" w:hAnsi="Times New Roman" w:cs="Times New Roman"/>
          <w:lang w:val="ro-MD"/>
        </w:rPr>
        <w:t xml:space="preserve"> B</w:t>
      </w:r>
      <w:r w:rsidR="00156524" w:rsidRPr="000508B6">
        <w:rPr>
          <w:rFonts w:ascii="Times New Roman" w:hAnsi="Times New Roman" w:cs="Times New Roman"/>
          <w:lang w:val="ro-MD"/>
        </w:rPr>
        <w:t>anca</w:t>
      </w:r>
      <w:r w:rsidR="0083307C" w:rsidRPr="000508B6">
        <w:rPr>
          <w:rFonts w:ascii="Times New Roman" w:hAnsi="Times New Roman" w:cs="Times New Roman"/>
          <w:lang w:val="ro-MD"/>
        </w:rPr>
        <w:t xml:space="preserve"> Național</w:t>
      </w:r>
      <w:r w:rsidR="00156524" w:rsidRPr="000508B6">
        <w:rPr>
          <w:rFonts w:ascii="Times New Roman" w:hAnsi="Times New Roman" w:cs="Times New Roman"/>
          <w:lang w:val="ro-MD"/>
        </w:rPr>
        <w:t>ă</w:t>
      </w:r>
      <w:r w:rsidR="0083307C" w:rsidRPr="000508B6">
        <w:rPr>
          <w:rFonts w:ascii="Times New Roman" w:hAnsi="Times New Roman" w:cs="Times New Roman"/>
          <w:lang w:val="ro-MD"/>
        </w:rPr>
        <w:t xml:space="preserve"> a Moldovei</w:t>
      </w:r>
      <w:bookmarkEnd w:id="45"/>
      <w:r w:rsidRPr="000508B6">
        <w:rPr>
          <w:rFonts w:ascii="Times New Roman" w:hAnsi="Times New Roman" w:cs="Times New Roman"/>
          <w:lang w:val="ro-MD"/>
        </w:rPr>
        <w:t xml:space="preserve">; </w:t>
      </w:r>
    </w:p>
    <w:p w14:paraId="264473F9" w14:textId="77777777" w:rsidR="00F95829" w:rsidRPr="000508B6" w:rsidRDefault="00F95829" w:rsidP="00462541">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controlul intern;</w:t>
      </w:r>
    </w:p>
    <w:p w14:paraId="2B21DBDE" w14:textId="77777777" w:rsidR="00F95829" w:rsidRPr="000508B6" w:rsidRDefault="00F95829" w:rsidP="00462541">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auditul intern; </w:t>
      </w:r>
    </w:p>
    <w:p w14:paraId="2F468DBA" w14:textId="4AC66263" w:rsidR="00823510" w:rsidRPr="000508B6" w:rsidRDefault="00823510" w:rsidP="00462541">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remunerarea;</w:t>
      </w:r>
      <w:r w:rsidR="00263A74" w:rsidRPr="000508B6">
        <w:rPr>
          <w:rFonts w:ascii="Times New Roman" w:hAnsi="Times New Roman" w:cs="Times New Roman"/>
          <w:lang w:val="ro-MD"/>
        </w:rPr>
        <w:t xml:space="preserve"> </w:t>
      </w:r>
    </w:p>
    <w:p w14:paraId="14CE60E1" w14:textId="14304CBC" w:rsidR="00156524" w:rsidRPr="000508B6" w:rsidRDefault="00156524" w:rsidP="00462541">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promovarea diversității în cadrul organelor de conducere </w:t>
      </w:r>
      <w:r w:rsidR="007F0E97" w:rsidRPr="000508B6">
        <w:rPr>
          <w:rFonts w:ascii="Times New Roman" w:hAnsi="Times New Roman" w:cs="Times New Roman"/>
          <w:lang w:val="ro-MD"/>
        </w:rPr>
        <w:t>care include</w:t>
      </w:r>
      <w:r w:rsidRPr="000508B6">
        <w:rPr>
          <w:rFonts w:ascii="Times New Roman" w:hAnsi="Times New Roman" w:cs="Times New Roman"/>
          <w:lang w:val="ro-MD"/>
        </w:rPr>
        <w:t xml:space="preserve">  obiective cantitative individuale legate de echilibrul de gen;</w:t>
      </w:r>
    </w:p>
    <w:p w14:paraId="6A1C7D0D" w14:textId="597F5EF3" w:rsidR="001148D2" w:rsidRPr="000508B6" w:rsidRDefault="001148D2" w:rsidP="00462541">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eastAsia="Times New Roman" w:hAnsi="Times New Roman" w:cs="Times New Roman"/>
          <w:lang w:val="ro-MD"/>
        </w:rPr>
        <w:t>management</w:t>
      </w:r>
      <w:r w:rsidR="002B1E0A" w:rsidRPr="000508B6">
        <w:rPr>
          <w:rFonts w:ascii="Times New Roman" w:eastAsia="Times New Roman" w:hAnsi="Times New Roman" w:cs="Times New Roman"/>
          <w:lang w:val="ro-MD"/>
        </w:rPr>
        <w:t>ul</w:t>
      </w:r>
      <w:r w:rsidRPr="000508B6">
        <w:rPr>
          <w:rFonts w:ascii="Times New Roman" w:eastAsia="Times New Roman" w:hAnsi="Times New Roman" w:cs="Times New Roman"/>
          <w:lang w:val="ro-MD"/>
        </w:rPr>
        <w:t xml:space="preserve"> investițiilor, inclusiv al investițiilor pe termen lung</w:t>
      </w:r>
      <w:r w:rsidR="00497EC0" w:rsidRPr="000508B6">
        <w:rPr>
          <w:rFonts w:ascii="Times New Roman" w:eastAsia="Times New Roman" w:hAnsi="Times New Roman" w:cs="Times New Roman"/>
          <w:lang w:val="ro-MD"/>
        </w:rPr>
        <w:t>;</w:t>
      </w:r>
    </w:p>
    <w:p w14:paraId="4CFCA745" w14:textId="6F290C6B" w:rsidR="00F95829" w:rsidRPr="000508B6" w:rsidRDefault="00F95829" w:rsidP="00462541">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externalizarea, în cazul în care este relevant; </w:t>
      </w:r>
    </w:p>
    <w:p w14:paraId="13A9D0D2" w14:textId="77777777" w:rsidR="00F95829" w:rsidRPr="000508B6" w:rsidRDefault="00F95829" w:rsidP="00754625">
      <w:pPr>
        <w:pStyle w:val="Listparagraf"/>
        <w:numPr>
          <w:ilvl w:val="2"/>
          <w:numId w:val="10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alte politici scrise privind buna </w:t>
      </w:r>
      <w:proofErr w:type="spellStart"/>
      <w:r w:rsidRPr="000508B6">
        <w:rPr>
          <w:rFonts w:ascii="Times New Roman" w:hAnsi="Times New Roman" w:cs="Times New Roman"/>
          <w:lang w:val="ro-MD"/>
        </w:rPr>
        <w:t>desfăşurare</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w:t>
      </w:r>
    </w:p>
    <w:p w14:paraId="7B1C9013" w14:textId="382E07F1" w:rsidR="00156524" w:rsidRPr="000508B6" w:rsidRDefault="00F95829" w:rsidP="00CF5AFA">
      <w:pPr>
        <w:pStyle w:val="Listparagraf"/>
        <w:numPr>
          <w:ilvl w:val="1"/>
          <w:numId w:val="10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Politicile scrise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(2) sunt revizuite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anual, adaptate în </w:t>
      </w:r>
      <w:proofErr w:type="spellStart"/>
      <w:r w:rsidRPr="000508B6">
        <w:rPr>
          <w:rFonts w:ascii="Times New Roman" w:eastAsia="Times New Roman" w:hAnsi="Times New Roman" w:cs="Times New Roman"/>
          <w:lang w:val="ro-MD"/>
        </w:rPr>
        <w:t>funcţie</w:t>
      </w:r>
      <w:proofErr w:type="spellEnd"/>
      <w:r w:rsidRPr="000508B6">
        <w:rPr>
          <w:rFonts w:ascii="Times New Roman" w:eastAsia="Times New Roman" w:hAnsi="Times New Roman" w:cs="Times New Roman"/>
          <w:lang w:val="ro-MD"/>
        </w:rPr>
        <w:t xml:space="preserve"> de modificările semnificative survenite în sistemul de </w:t>
      </w:r>
      <w:proofErr w:type="spellStart"/>
      <w:r w:rsidRPr="000508B6">
        <w:rPr>
          <w:rFonts w:ascii="Times New Roman" w:eastAsia="Times New Roman" w:hAnsi="Times New Roman" w:cs="Times New Roman"/>
          <w:lang w:val="ro-MD"/>
        </w:rPr>
        <w:t>guvernanţă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sunt </w:t>
      </w:r>
      <w:r w:rsidR="006D35EA" w:rsidRPr="000508B6">
        <w:rPr>
          <w:rFonts w:ascii="Times New Roman" w:eastAsia="Times New Roman" w:hAnsi="Times New Roman" w:cs="Times New Roman"/>
          <w:lang w:val="ro-MD"/>
        </w:rPr>
        <w:t xml:space="preserve">aprobate </w:t>
      </w:r>
      <w:r w:rsidRPr="000508B6">
        <w:rPr>
          <w:rFonts w:ascii="Times New Roman" w:eastAsia="Times New Roman" w:hAnsi="Times New Roman" w:cs="Times New Roman"/>
          <w:lang w:val="ro-MD"/>
        </w:rPr>
        <w:t xml:space="preserve">de către </w:t>
      </w:r>
      <w:r w:rsidR="00746B88" w:rsidRPr="000508B6">
        <w:rPr>
          <w:rFonts w:ascii="Times New Roman" w:eastAsia="Times New Roman" w:hAnsi="Times New Roman" w:cs="Times New Roman"/>
          <w:lang w:val="ro-MD"/>
        </w:rPr>
        <w:t xml:space="preserve">consiliul </w:t>
      </w:r>
      <w:r w:rsidR="00C013FB" w:rsidRPr="000508B6">
        <w:rPr>
          <w:rFonts w:ascii="Times New Roman" w:eastAsia="Times New Roman" w:hAnsi="Times New Roman" w:cs="Times New Roman"/>
          <w:lang w:val="ro-MD"/>
        </w:rPr>
        <w:t xml:space="preserve">asigurătorului sau </w:t>
      </w:r>
      <w:proofErr w:type="spellStart"/>
      <w:r w:rsidR="00C013FB" w:rsidRPr="000508B6">
        <w:rPr>
          <w:rFonts w:ascii="Times New Roman" w:eastAsia="Times New Roman" w:hAnsi="Times New Roman" w:cs="Times New Roman"/>
          <w:lang w:val="ro-MD"/>
        </w:rPr>
        <w:t>reasigurătorului</w:t>
      </w:r>
      <w:proofErr w:type="spellEnd"/>
      <w:r w:rsidR="001148D2" w:rsidRPr="000508B6">
        <w:rPr>
          <w:rFonts w:ascii="Times New Roman" w:eastAsia="Times New Roman" w:hAnsi="Times New Roman" w:cs="Times New Roman"/>
          <w:lang w:val="ro-MD"/>
        </w:rPr>
        <w:t>,</w:t>
      </w:r>
      <w:r w:rsidR="009C25FA" w:rsidRPr="000508B6">
        <w:rPr>
          <w:rFonts w:ascii="Times New Roman" w:eastAsia="Times New Roman" w:hAnsi="Times New Roman" w:cs="Times New Roman"/>
          <w:lang w:val="ro-MD"/>
        </w:rPr>
        <w:t xml:space="preserve"> iar</w:t>
      </w:r>
      <w:r w:rsidR="001148D2" w:rsidRPr="000508B6">
        <w:rPr>
          <w:rFonts w:ascii="Times New Roman" w:eastAsia="Times New Roman" w:hAnsi="Times New Roman" w:cs="Times New Roman"/>
          <w:lang w:val="ro-MD"/>
        </w:rPr>
        <w:t xml:space="preserve"> </w:t>
      </w:r>
      <w:r w:rsidR="009C25FA" w:rsidRPr="000508B6">
        <w:rPr>
          <w:rFonts w:ascii="Times New Roman" w:eastAsia="Times New Roman" w:hAnsi="Times New Roman" w:cs="Times New Roman"/>
          <w:lang w:val="ro-MD"/>
        </w:rPr>
        <w:t xml:space="preserve">pentru </w:t>
      </w:r>
      <w:r w:rsidR="001148D2" w:rsidRPr="000508B6">
        <w:rPr>
          <w:rFonts w:ascii="Times New Roman" w:eastAsia="Times New Roman" w:hAnsi="Times New Roman" w:cs="Times New Roman"/>
          <w:lang w:val="ro-MD"/>
        </w:rPr>
        <w:t>politicile indicate la alin. (2) lit.</w:t>
      </w:r>
      <w:r w:rsidR="001E5BE3" w:rsidRPr="000508B6">
        <w:rPr>
          <w:rFonts w:ascii="Times New Roman" w:eastAsia="Times New Roman" w:hAnsi="Times New Roman" w:cs="Times New Roman"/>
          <w:lang w:val="ro-MD"/>
        </w:rPr>
        <w:t xml:space="preserve"> </w:t>
      </w:r>
      <w:r w:rsidR="001148D2" w:rsidRPr="000508B6">
        <w:rPr>
          <w:rFonts w:ascii="Times New Roman" w:eastAsia="Times New Roman" w:hAnsi="Times New Roman" w:cs="Times New Roman"/>
          <w:lang w:val="ro-MD"/>
        </w:rPr>
        <w:t xml:space="preserve">f) </w:t>
      </w:r>
      <w:r w:rsidR="009C25FA" w:rsidRPr="000508B6">
        <w:rPr>
          <w:rFonts w:ascii="Times New Roman" w:eastAsia="Times New Roman" w:hAnsi="Times New Roman" w:cs="Times New Roman"/>
          <w:lang w:val="ro-MD"/>
        </w:rPr>
        <w:t xml:space="preserve">consiliul se asigură că </w:t>
      </w:r>
      <w:r w:rsidR="001148D2" w:rsidRPr="000508B6">
        <w:rPr>
          <w:rFonts w:ascii="Times New Roman" w:eastAsia="Times New Roman" w:hAnsi="Times New Roman" w:cs="Times New Roman"/>
          <w:lang w:val="ro-MD"/>
        </w:rPr>
        <w:t>sunt revizuite frecvent în raport cu managementul efectiv al portofoliilor</w:t>
      </w:r>
      <w:r w:rsidR="00766636" w:rsidRPr="000508B6">
        <w:rPr>
          <w:rFonts w:ascii="Times New Roman" w:eastAsia="Times New Roman" w:hAnsi="Times New Roman" w:cs="Times New Roman"/>
          <w:lang w:val="ro-MD"/>
        </w:rPr>
        <w:t>.</w:t>
      </w:r>
    </w:p>
    <w:p w14:paraId="74BCB817" w14:textId="58F37C8B" w:rsidR="00F95829" w:rsidRPr="000508B6" w:rsidRDefault="00CC460A" w:rsidP="00CF5AFA">
      <w:pPr>
        <w:pStyle w:val="Listparagraf"/>
        <w:numPr>
          <w:ilvl w:val="1"/>
          <w:numId w:val="102"/>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823510" w:rsidRPr="000508B6">
        <w:rPr>
          <w:rFonts w:ascii="Times New Roman" w:eastAsia="Times New Roman" w:hAnsi="Times New Roman" w:cs="Times New Roman"/>
          <w:lang w:val="ro-MD"/>
        </w:rPr>
        <w:t xml:space="preserve">mic și cu un grad redus de complexitate poate efectua o revizuire cu o frecvență mai redusă, cel puțin o dată la cinci ani, cu excepția cazului în care Banca Națională a Moldovei </w:t>
      </w:r>
      <w:r w:rsidR="00156524" w:rsidRPr="000508B6">
        <w:rPr>
          <w:rFonts w:ascii="Times New Roman" w:eastAsia="Times New Roman" w:hAnsi="Times New Roman" w:cs="Times New Roman"/>
          <w:lang w:val="ro-MD"/>
        </w:rPr>
        <w:t>solicită</w:t>
      </w:r>
      <w:r w:rsidR="00823510" w:rsidRPr="000508B6">
        <w:rPr>
          <w:rFonts w:ascii="Times New Roman" w:eastAsia="Times New Roman" w:hAnsi="Times New Roman" w:cs="Times New Roman"/>
          <w:lang w:val="ro-MD"/>
        </w:rPr>
        <w:t xml:space="preserve">, pe baza circumstanțelor specifice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823510" w:rsidRPr="000508B6">
        <w:rPr>
          <w:rFonts w:ascii="Times New Roman" w:eastAsia="Times New Roman" w:hAnsi="Times New Roman" w:cs="Times New Roman"/>
          <w:lang w:val="ro-MD"/>
        </w:rPr>
        <w:t xml:space="preserve"> respectiv, o revizuire mai frecventă.</w:t>
      </w:r>
      <w:r w:rsidR="00E30D85" w:rsidRPr="000508B6" w:rsidDel="00E30D85">
        <w:rPr>
          <w:rFonts w:ascii="Times New Roman" w:eastAsia="Times New Roman" w:hAnsi="Times New Roman" w:cs="Times New Roman"/>
          <w:lang w:val="ro-MD"/>
        </w:rPr>
        <w:t xml:space="preserve"> </w:t>
      </w:r>
    </w:p>
    <w:p w14:paraId="722897C9" w14:textId="1B35903C" w:rsidR="00330031" w:rsidRPr="000508B6" w:rsidRDefault="00330031" w:rsidP="00330031">
      <w:pPr>
        <w:pStyle w:val="Listparagraf"/>
        <w:numPr>
          <w:ilvl w:val="1"/>
          <w:numId w:val="102"/>
        </w:numPr>
        <w:tabs>
          <w:tab w:val="left" w:pos="709"/>
        </w:tabs>
        <w:spacing w:after="0" w:line="240" w:lineRule="auto"/>
        <w:ind w:left="0" w:firstLine="426"/>
        <w:jc w:val="both"/>
        <w:rPr>
          <w:rFonts w:ascii="Times New Roman" w:eastAsia="Times New Roman" w:hAnsi="Times New Roman" w:cs="Times New Roman"/>
          <w:lang w:val="ro-MD"/>
        </w:rPr>
      </w:pPr>
      <w:bookmarkStart w:id="46" w:name="_Hlk221270398"/>
      <w:bookmarkStart w:id="47" w:name="_Hlk221267499"/>
      <w:r w:rsidRPr="000508B6">
        <w:rPr>
          <w:rFonts w:ascii="Times New Roman" w:eastAsia="Times New Roman" w:hAnsi="Times New Roman" w:cs="Times New Roman"/>
          <w:lang w:val="ro-MD"/>
        </w:rPr>
        <w:t xml:space="preserve">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adoptă măsurile necesare pentru asigurarea </w:t>
      </w:r>
      <w:proofErr w:type="spellStart"/>
      <w:r w:rsidRPr="000508B6">
        <w:rPr>
          <w:rFonts w:ascii="Times New Roman" w:eastAsia="Times New Roman" w:hAnsi="Times New Roman" w:cs="Times New Roman"/>
          <w:lang w:val="ro-MD"/>
        </w:rPr>
        <w:t>continuităţii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și a securității informației în conformitate cu  </w:t>
      </w:r>
      <w:r w:rsidR="00746754">
        <w:rPr>
          <w:rFonts w:ascii="Times New Roman" w:eastAsia="Times New Roman" w:hAnsi="Times New Roman" w:cs="Times New Roman"/>
          <w:lang w:val="ro-MD"/>
        </w:rPr>
        <w:t xml:space="preserve">actele </w:t>
      </w:r>
      <w:r w:rsidRPr="000508B6">
        <w:rPr>
          <w:rFonts w:ascii="Times New Roman" w:eastAsia="Times New Roman" w:hAnsi="Times New Roman" w:cs="Times New Roman"/>
          <w:lang w:val="ro-MD"/>
        </w:rPr>
        <w:t>normativ</w:t>
      </w:r>
      <w:r w:rsidR="00746754">
        <w:rPr>
          <w:rFonts w:ascii="Times New Roman" w:eastAsia="Times New Roman" w:hAnsi="Times New Roman" w:cs="Times New Roman"/>
          <w:lang w:val="ro-MD"/>
        </w:rPr>
        <w:t>e ale Băncii Naționale a Moldovei</w:t>
      </w:r>
      <w:r w:rsidRPr="000508B6">
        <w:rPr>
          <w:rFonts w:ascii="Times New Roman" w:eastAsia="Times New Roman" w:hAnsi="Times New Roman" w:cs="Times New Roman"/>
          <w:lang w:val="ro-MD"/>
        </w:rPr>
        <w:t xml:space="preserve"> privind reziliența operațională digitală a sectorului financiar, inclusiv:</w:t>
      </w:r>
    </w:p>
    <w:p w14:paraId="1A53F940" w14:textId="09DDF485" w:rsidR="00330031" w:rsidRPr="000508B6" w:rsidRDefault="00330031" w:rsidP="00330031">
      <w:pPr>
        <w:pStyle w:val="Listparagraf"/>
        <w:tabs>
          <w:tab w:val="left" w:pos="709"/>
        </w:tabs>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a)elaborează planuri pentru </w:t>
      </w:r>
      <w:proofErr w:type="spellStart"/>
      <w:r w:rsidRPr="000508B6">
        <w:rPr>
          <w:rFonts w:ascii="Times New Roman" w:eastAsia="Times New Roman" w:hAnsi="Times New Roman" w:cs="Times New Roman"/>
          <w:lang w:val="ro-MD"/>
        </w:rPr>
        <w:t>situaţii</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urgenţă</w:t>
      </w:r>
      <w:proofErr w:type="spellEnd"/>
      <w:r w:rsidRPr="000508B6">
        <w:rPr>
          <w:rFonts w:ascii="Times New Roman" w:eastAsia="Times New Roman" w:hAnsi="Times New Roman" w:cs="Times New Roman"/>
          <w:lang w:val="ro-MD"/>
        </w:rPr>
        <w:t>;</w:t>
      </w:r>
    </w:p>
    <w:p w14:paraId="228DD036" w14:textId="3BED01AE" w:rsidR="00330031" w:rsidRPr="000508B6" w:rsidRDefault="00330031" w:rsidP="00330031">
      <w:pPr>
        <w:pStyle w:val="Listparagraf"/>
        <w:tabs>
          <w:tab w:val="left" w:pos="709"/>
        </w:tabs>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b)utilizează sisteme, resurse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proceduri adecvate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proporţionale</w:t>
      </w:r>
      <w:proofErr w:type="spellEnd"/>
      <w:r w:rsidRPr="000508B6">
        <w:rPr>
          <w:rFonts w:ascii="Times New Roman" w:eastAsia="Times New Roman" w:hAnsi="Times New Roman" w:cs="Times New Roman"/>
          <w:lang w:val="ro-MD"/>
        </w:rPr>
        <w:t>;</w:t>
      </w:r>
    </w:p>
    <w:p w14:paraId="182603F2" w14:textId="13CC7325" w:rsidR="00330031" w:rsidRPr="000508B6" w:rsidRDefault="00330031" w:rsidP="00B45E11">
      <w:pPr>
        <w:pStyle w:val="Listparagraf"/>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 </w:t>
      </w:r>
      <w:r w:rsidR="00104365" w:rsidRPr="000508B6">
        <w:rPr>
          <w:rFonts w:ascii="Times New Roman" w:eastAsia="Times New Roman" w:hAnsi="Times New Roman" w:cs="Times New Roman"/>
          <w:lang w:val="ro-MD"/>
        </w:rPr>
        <w:t xml:space="preserve">utilizează proceduri adecvate </w:t>
      </w:r>
      <w:proofErr w:type="spellStart"/>
      <w:r w:rsidR="00104365" w:rsidRPr="000508B6">
        <w:rPr>
          <w:rFonts w:ascii="Times New Roman" w:eastAsia="Times New Roman" w:hAnsi="Times New Roman" w:cs="Times New Roman"/>
          <w:lang w:val="ro-MD"/>
        </w:rPr>
        <w:t>şi</w:t>
      </w:r>
      <w:proofErr w:type="spellEnd"/>
      <w:r w:rsidR="00104365" w:rsidRPr="000508B6">
        <w:rPr>
          <w:rFonts w:ascii="Times New Roman" w:eastAsia="Times New Roman" w:hAnsi="Times New Roman" w:cs="Times New Roman"/>
          <w:lang w:val="ro-MD"/>
        </w:rPr>
        <w:t xml:space="preserve"> </w:t>
      </w:r>
      <w:proofErr w:type="spellStart"/>
      <w:r w:rsidR="00104365" w:rsidRPr="000508B6">
        <w:rPr>
          <w:rFonts w:ascii="Times New Roman" w:eastAsia="Times New Roman" w:hAnsi="Times New Roman" w:cs="Times New Roman"/>
          <w:lang w:val="ro-MD"/>
        </w:rPr>
        <w:t>proporţionale</w:t>
      </w:r>
      <w:proofErr w:type="spellEnd"/>
      <w:r w:rsidR="00F51FCF">
        <w:rPr>
          <w:rFonts w:ascii="Times New Roman" w:eastAsia="Times New Roman" w:hAnsi="Times New Roman" w:cs="Times New Roman"/>
          <w:lang w:val="ro-MD"/>
        </w:rPr>
        <w:t>,</w:t>
      </w:r>
      <w:r w:rsidR="00104365" w:rsidRPr="000508B6">
        <w:rPr>
          <w:rFonts w:ascii="Times New Roman" w:eastAsia="Times New Roman" w:hAnsi="Times New Roman" w:cs="Times New Roman"/>
          <w:lang w:val="ro-MD"/>
        </w:rPr>
        <w:t xml:space="preserve"> instituie și gestionează rețele și sisteme informatice în conformitate cu  </w:t>
      </w:r>
      <w:r w:rsidR="00F51FCF">
        <w:rPr>
          <w:rFonts w:ascii="Times New Roman" w:eastAsia="Times New Roman" w:hAnsi="Times New Roman" w:cs="Times New Roman"/>
          <w:lang w:val="ro-MD"/>
        </w:rPr>
        <w:t xml:space="preserve">actele </w:t>
      </w:r>
      <w:r w:rsidR="00104365" w:rsidRPr="000508B6">
        <w:rPr>
          <w:rFonts w:ascii="Times New Roman" w:eastAsia="Times New Roman" w:hAnsi="Times New Roman" w:cs="Times New Roman"/>
          <w:lang w:val="ro-MD"/>
        </w:rPr>
        <w:t>normativ</w:t>
      </w:r>
      <w:r w:rsidR="00F51FCF">
        <w:rPr>
          <w:rFonts w:ascii="Times New Roman" w:eastAsia="Times New Roman" w:hAnsi="Times New Roman" w:cs="Times New Roman"/>
          <w:lang w:val="ro-MD"/>
        </w:rPr>
        <w:t>e ale Băncii Naționale a Moldovei</w:t>
      </w:r>
      <w:r w:rsidR="00104365" w:rsidRPr="000508B6">
        <w:rPr>
          <w:rFonts w:ascii="Times New Roman" w:eastAsia="Times New Roman" w:hAnsi="Times New Roman" w:cs="Times New Roman"/>
          <w:lang w:val="ro-MD"/>
        </w:rPr>
        <w:t xml:space="preserve"> privind reziliența operațională digitală a sectorului financiar </w:t>
      </w:r>
      <w:r w:rsidR="00445153" w:rsidRPr="000508B6">
        <w:rPr>
          <w:rFonts w:ascii="Times New Roman" w:eastAsia="Times New Roman" w:hAnsi="Times New Roman" w:cs="Times New Roman"/>
          <w:lang w:val="ro-MD"/>
        </w:rPr>
        <w:t>.</w:t>
      </w:r>
      <w:bookmarkEnd w:id="46"/>
    </w:p>
    <w:p w14:paraId="4DE2DB95" w14:textId="0551FFD3" w:rsidR="00B45E11" w:rsidRPr="000508B6" w:rsidRDefault="00B45E11" w:rsidP="00B45E11">
      <w:pPr>
        <w:pStyle w:val="Listparagraf"/>
        <w:numPr>
          <w:ilvl w:val="1"/>
          <w:numId w:val="102"/>
        </w:numPr>
        <w:tabs>
          <w:tab w:val="left" w:pos="709"/>
        </w:tabs>
        <w:spacing w:after="0" w:line="240" w:lineRule="auto"/>
        <w:ind w:left="0" w:firstLine="426"/>
        <w:jc w:val="both"/>
        <w:rPr>
          <w:rFonts w:ascii="Times New Roman" w:eastAsia="Times New Roman" w:hAnsi="Times New Roman" w:cs="Times New Roman"/>
          <w:lang w:val="ro-MD"/>
        </w:rPr>
      </w:pPr>
      <w:bookmarkStart w:id="48" w:name="_Hlk218240124"/>
      <w:bookmarkStart w:id="49" w:name="_Hlk212197075"/>
      <w:bookmarkEnd w:id="47"/>
      <w:r w:rsidRPr="000508B6">
        <w:rPr>
          <w:rFonts w:ascii="Times New Roman" w:eastAsia="Times New Roman" w:hAnsi="Times New Roman" w:cs="Times New Roman"/>
          <w:lang w:val="ro-MD"/>
        </w:rPr>
        <w:t xml:space="preserve"> În sensul alin.(5) lit.</w:t>
      </w:r>
      <w:r w:rsidR="00E748F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îndeplinește următoarele cerințe:</w:t>
      </w:r>
    </w:p>
    <w:p w14:paraId="65115D2D" w14:textId="1962D55A" w:rsidR="00B45E11" w:rsidRPr="000508B6" w:rsidRDefault="00B45E11" w:rsidP="00B45E11">
      <w:pPr>
        <w:pStyle w:val="Listparagraf"/>
        <w:numPr>
          <w:ilvl w:val="2"/>
          <w:numId w:val="96"/>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dispune de personal, de sisteme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servicii eficiente în domeniul tehnologiei </w:t>
      </w:r>
      <w:proofErr w:type="spellStart"/>
      <w:r w:rsidRPr="000508B6">
        <w:rPr>
          <w:rFonts w:ascii="Times New Roman" w:eastAsia="Times New Roman" w:hAnsi="Times New Roman" w:cs="Times New Roman"/>
          <w:lang w:val="ro-MD"/>
        </w:rPr>
        <w:t>informaţiei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comunicaţiilor</w:t>
      </w:r>
      <w:proofErr w:type="spellEnd"/>
      <w:r w:rsidRPr="000508B6">
        <w:rPr>
          <w:rFonts w:ascii="Times New Roman" w:eastAsia="Times New Roman" w:hAnsi="Times New Roman" w:cs="Times New Roman"/>
          <w:lang w:val="ro-MD"/>
        </w:rPr>
        <w:t xml:space="preserve"> (în continuare – TIC) care să asigure </w:t>
      </w:r>
      <w:proofErr w:type="spellStart"/>
      <w:r w:rsidRPr="000508B6">
        <w:rPr>
          <w:rFonts w:ascii="Times New Roman" w:eastAsia="Times New Roman" w:hAnsi="Times New Roman" w:cs="Times New Roman"/>
          <w:lang w:val="ro-MD"/>
        </w:rPr>
        <w:t>desfăşurarea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acestuia </w:t>
      </w:r>
      <w:proofErr w:type="spellStart"/>
      <w:r w:rsidRPr="000508B6">
        <w:rPr>
          <w:rFonts w:ascii="Times New Roman" w:eastAsia="Times New Roman" w:hAnsi="Times New Roman" w:cs="Times New Roman"/>
          <w:lang w:val="ro-MD"/>
        </w:rPr>
        <w:t>proporţional</w:t>
      </w:r>
      <w:proofErr w:type="spellEnd"/>
      <w:r w:rsidRPr="000508B6">
        <w:rPr>
          <w:rFonts w:ascii="Times New Roman" w:eastAsia="Times New Roman" w:hAnsi="Times New Roman" w:cs="Times New Roman"/>
          <w:lang w:val="ro-MD"/>
        </w:rPr>
        <w:t xml:space="preserve"> cu natura, amploarea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complexitatea riscurilor inerente modelului de afaceri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desfăşurate</w:t>
      </w:r>
      <w:proofErr w:type="spellEnd"/>
      <w:r w:rsidRPr="000508B6">
        <w:rPr>
          <w:rFonts w:ascii="Times New Roman" w:eastAsia="Times New Roman" w:hAnsi="Times New Roman" w:cs="Times New Roman"/>
          <w:lang w:val="ro-MD"/>
        </w:rPr>
        <w:t xml:space="preserve">. În acest scop, acesta </w:t>
      </w: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competenţe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responsabilităţi</w:t>
      </w:r>
      <w:proofErr w:type="spellEnd"/>
      <w:r w:rsidRPr="000508B6">
        <w:rPr>
          <w:rFonts w:ascii="Times New Roman" w:eastAsia="Times New Roman" w:hAnsi="Times New Roman" w:cs="Times New Roman"/>
          <w:lang w:val="ro-MD"/>
        </w:rPr>
        <w:t xml:space="preserve">, aprobă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pune în aplicare o strategie privind </w:t>
      </w:r>
      <w:r w:rsidRPr="000508B6">
        <w:rPr>
          <w:rFonts w:ascii="Times New Roman" w:eastAsia="Times New Roman" w:hAnsi="Times New Roman" w:cs="Times New Roman"/>
          <w:lang w:val="ro-MD"/>
        </w:rPr>
        <w:lastRenderedPageBreak/>
        <w:t xml:space="preserve">TIC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securitatea </w:t>
      </w:r>
      <w:proofErr w:type="spellStart"/>
      <w:r w:rsidRPr="000508B6">
        <w:rPr>
          <w:rFonts w:ascii="Times New Roman" w:eastAsia="Times New Roman" w:hAnsi="Times New Roman" w:cs="Times New Roman"/>
          <w:lang w:val="ro-MD"/>
        </w:rPr>
        <w:t>informaţiei</w:t>
      </w:r>
      <w:proofErr w:type="spellEnd"/>
      <w:r w:rsidRPr="000508B6">
        <w:rPr>
          <w:rFonts w:ascii="Times New Roman" w:eastAsia="Times New Roman" w:hAnsi="Times New Roman" w:cs="Times New Roman"/>
          <w:lang w:val="ro-MD"/>
        </w:rPr>
        <w:t xml:space="preserv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planuri de </w:t>
      </w:r>
      <w:proofErr w:type="spellStart"/>
      <w:r w:rsidRPr="000508B6">
        <w:rPr>
          <w:rFonts w:ascii="Times New Roman" w:eastAsia="Times New Roman" w:hAnsi="Times New Roman" w:cs="Times New Roman"/>
          <w:lang w:val="ro-MD"/>
        </w:rPr>
        <w:t>acţiuni</w:t>
      </w:r>
      <w:proofErr w:type="spellEnd"/>
      <w:r w:rsidRPr="000508B6">
        <w:rPr>
          <w:rFonts w:ascii="Times New Roman" w:eastAsia="Times New Roman" w:hAnsi="Times New Roman" w:cs="Times New Roman"/>
          <w:lang w:val="ro-MD"/>
        </w:rPr>
        <w:t xml:space="preserve"> în vederea atingerii obiectivelor strategiei respective;</w:t>
      </w:r>
    </w:p>
    <w:p w14:paraId="3A24CB9E" w14:textId="4263E77C" w:rsidR="00B45E11" w:rsidRPr="000508B6" w:rsidRDefault="00B45E11" w:rsidP="00B45E11">
      <w:pPr>
        <w:pStyle w:val="Listparagraf"/>
        <w:numPr>
          <w:ilvl w:val="2"/>
          <w:numId w:val="96"/>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instituie un </w:t>
      </w:r>
      <w:r w:rsidR="00104365" w:rsidRPr="000508B6">
        <w:rPr>
          <w:rFonts w:ascii="Times New Roman" w:eastAsia="Times New Roman" w:hAnsi="Times New Roman" w:cs="Times New Roman"/>
          <w:lang w:val="ro-MD"/>
        </w:rPr>
        <w:t>sistem de management</w:t>
      </w:r>
      <w:r w:rsidRPr="000508B6">
        <w:rPr>
          <w:rFonts w:ascii="Times New Roman" w:eastAsia="Times New Roman" w:hAnsi="Times New Roman" w:cs="Times New Roman"/>
          <w:lang w:val="ro-MD"/>
        </w:rPr>
        <w:t xml:space="preserve"> a</w:t>
      </w:r>
      <w:r w:rsidR="00104365" w:rsidRPr="000508B6">
        <w:rPr>
          <w:rFonts w:ascii="Times New Roman" w:eastAsia="Times New Roman" w:hAnsi="Times New Roman" w:cs="Times New Roman"/>
          <w:lang w:val="ro-MD"/>
        </w:rPr>
        <w:t>l</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continuităţii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în măsură să asigure capacitatea de </w:t>
      </w:r>
      <w:proofErr w:type="spellStart"/>
      <w:r w:rsidRPr="000508B6">
        <w:rPr>
          <w:rFonts w:ascii="Times New Roman" w:eastAsia="Times New Roman" w:hAnsi="Times New Roman" w:cs="Times New Roman"/>
          <w:lang w:val="ro-MD"/>
        </w:rPr>
        <w:t>funcţionare</w:t>
      </w:r>
      <w:proofErr w:type="spellEnd"/>
      <w:r w:rsidRPr="000508B6">
        <w:rPr>
          <w:rFonts w:ascii="Times New Roman" w:eastAsia="Times New Roman" w:hAnsi="Times New Roman" w:cs="Times New Roman"/>
          <w:lang w:val="ro-MD"/>
        </w:rPr>
        <w:t xml:space="preserve"> în mod continuu, cu asigurarea protejării tuturor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inclusiv în vederea limitării pierderilor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în cazul întreruperii severe 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În acest scop, acesta identifică riscurile aferente </w:t>
      </w:r>
      <w:proofErr w:type="spellStart"/>
      <w:r w:rsidRPr="000508B6">
        <w:rPr>
          <w:rFonts w:ascii="Times New Roman" w:eastAsia="Times New Roman" w:hAnsi="Times New Roman" w:cs="Times New Roman"/>
          <w:lang w:val="ro-MD"/>
        </w:rPr>
        <w:t>continuităţii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la care este expus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aprobă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pune în aplicare planuri de asigurare a </w:t>
      </w:r>
      <w:proofErr w:type="spellStart"/>
      <w:r w:rsidRPr="000508B6">
        <w:rPr>
          <w:rFonts w:ascii="Times New Roman" w:eastAsia="Times New Roman" w:hAnsi="Times New Roman" w:cs="Times New Roman"/>
          <w:lang w:val="ro-MD"/>
        </w:rPr>
        <w:t>continuităţii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w:t>
      </w:r>
    </w:p>
    <w:p w14:paraId="3DC37F3E" w14:textId="4906BA75" w:rsidR="00B45E11" w:rsidRPr="000508B6" w:rsidRDefault="00B45E11" w:rsidP="00B45E11">
      <w:pPr>
        <w:pStyle w:val="Listparagraf"/>
        <w:numPr>
          <w:ilvl w:val="2"/>
          <w:numId w:val="96"/>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dispune de un </w:t>
      </w:r>
      <w:r w:rsidR="00104365" w:rsidRPr="000508B6">
        <w:rPr>
          <w:rFonts w:ascii="Times New Roman" w:eastAsia="Times New Roman" w:hAnsi="Times New Roman" w:cs="Times New Roman"/>
          <w:lang w:val="ro-MD"/>
        </w:rPr>
        <w:t xml:space="preserve">sistem de management al </w:t>
      </w:r>
      <w:r w:rsidRPr="000508B6">
        <w:rPr>
          <w:rFonts w:ascii="Times New Roman" w:eastAsia="Times New Roman" w:hAnsi="Times New Roman" w:cs="Times New Roman"/>
          <w:lang w:val="ro-MD"/>
        </w:rPr>
        <w:t xml:space="preserve">riscurilor aferente TIC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securităţii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informaţiei</w:t>
      </w:r>
      <w:proofErr w:type="spellEnd"/>
      <w:r w:rsidRPr="000508B6">
        <w:rPr>
          <w:rFonts w:ascii="Times New Roman" w:eastAsia="Times New Roman" w:hAnsi="Times New Roman" w:cs="Times New Roman"/>
          <w:lang w:val="ro-MD"/>
        </w:rPr>
        <w:t xml:space="preserve">, care să </w:t>
      </w:r>
      <w:proofErr w:type="spellStart"/>
      <w:r w:rsidRPr="000508B6">
        <w:rPr>
          <w:rFonts w:ascii="Times New Roman" w:eastAsia="Times New Roman" w:hAnsi="Times New Roman" w:cs="Times New Roman"/>
          <w:lang w:val="ro-MD"/>
        </w:rPr>
        <w:t>conţină</w:t>
      </w:r>
      <w:proofErr w:type="spellEnd"/>
      <w:r w:rsidRPr="000508B6">
        <w:rPr>
          <w:rFonts w:ascii="Times New Roman" w:eastAsia="Times New Roman" w:hAnsi="Times New Roman" w:cs="Times New Roman"/>
          <w:lang w:val="ro-MD"/>
        </w:rPr>
        <w:t xml:space="preserve"> procese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proceduri pentru a asigura identificarea, analizarea, evaluarea, diminuarea, monitorizarea, raportarea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menţinerea</w:t>
      </w:r>
      <w:proofErr w:type="spellEnd"/>
      <w:r w:rsidRPr="000508B6">
        <w:rPr>
          <w:rFonts w:ascii="Times New Roman" w:eastAsia="Times New Roman" w:hAnsi="Times New Roman" w:cs="Times New Roman"/>
          <w:lang w:val="ro-MD"/>
        </w:rPr>
        <w:t xml:space="preserve"> riscurilor în limitele </w:t>
      </w:r>
      <w:proofErr w:type="spellStart"/>
      <w:r w:rsidRPr="000508B6">
        <w:rPr>
          <w:rFonts w:ascii="Times New Roman" w:eastAsia="Times New Roman" w:hAnsi="Times New Roman" w:cs="Times New Roman"/>
          <w:lang w:val="ro-MD"/>
        </w:rPr>
        <w:t>toleranţei</w:t>
      </w:r>
      <w:proofErr w:type="spellEnd"/>
      <w:r w:rsidRPr="000508B6">
        <w:rPr>
          <w:rFonts w:ascii="Times New Roman" w:eastAsia="Times New Roman" w:hAnsi="Times New Roman" w:cs="Times New Roman"/>
          <w:lang w:val="ro-MD"/>
        </w:rPr>
        <w:t xml:space="preserve"> la risc;</w:t>
      </w:r>
    </w:p>
    <w:p w14:paraId="2B7CF988" w14:textId="3D2CDF75" w:rsidR="00B45E11" w:rsidRPr="000508B6" w:rsidRDefault="00B45E11" w:rsidP="00B45E11">
      <w:pPr>
        <w:pStyle w:val="Listparagraf"/>
        <w:numPr>
          <w:ilvl w:val="2"/>
          <w:numId w:val="96"/>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dispune de un </w:t>
      </w:r>
      <w:r w:rsidR="00104365" w:rsidRPr="000508B6">
        <w:rPr>
          <w:rFonts w:ascii="Times New Roman" w:eastAsia="Times New Roman" w:hAnsi="Times New Roman" w:cs="Times New Roman"/>
          <w:lang w:val="ro-MD"/>
        </w:rPr>
        <w:t>sistem de management</w:t>
      </w:r>
      <w:r w:rsidRPr="000508B6">
        <w:rPr>
          <w:rFonts w:ascii="Times New Roman" w:eastAsia="Times New Roman" w:hAnsi="Times New Roman" w:cs="Times New Roman"/>
          <w:lang w:val="ro-MD"/>
        </w:rPr>
        <w:t xml:space="preserve"> a</w:t>
      </w:r>
      <w:r w:rsidR="00104365" w:rsidRPr="000508B6">
        <w:rPr>
          <w:rFonts w:ascii="Times New Roman" w:eastAsia="Times New Roman" w:hAnsi="Times New Roman" w:cs="Times New Roman"/>
          <w:lang w:val="ro-MD"/>
        </w:rPr>
        <w:t>l</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securităţii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informaţiei</w:t>
      </w:r>
      <w:proofErr w:type="spellEnd"/>
      <w:r w:rsidRPr="000508B6">
        <w:rPr>
          <w:rFonts w:ascii="Times New Roman" w:eastAsia="Times New Roman" w:hAnsi="Times New Roman" w:cs="Times New Roman"/>
          <w:lang w:val="ro-MD"/>
        </w:rPr>
        <w:t xml:space="preserve"> care să definească principiile, normele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modalităţile</w:t>
      </w:r>
      <w:proofErr w:type="spellEnd"/>
      <w:r w:rsidRPr="000508B6">
        <w:rPr>
          <w:rFonts w:ascii="Times New Roman" w:eastAsia="Times New Roman" w:hAnsi="Times New Roman" w:cs="Times New Roman"/>
          <w:lang w:val="ro-MD"/>
        </w:rPr>
        <w:t xml:space="preserve"> de protejare a </w:t>
      </w:r>
      <w:proofErr w:type="spellStart"/>
      <w:r w:rsidRPr="000508B6">
        <w:rPr>
          <w:rFonts w:ascii="Times New Roman" w:eastAsia="Times New Roman" w:hAnsi="Times New Roman" w:cs="Times New Roman"/>
          <w:lang w:val="ro-MD"/>
        </w:rPr>
        <w:t>confidenţialităţii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integrităţii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disponibilităţii</w:t>
      </w:r>
      <w:proofErr w:type="spellEnd"/>
      <w:r w:rsidRPr="000508B6">
        <w:rPr>
          <w:rFonts w:ascii="Times New Roman" w:eastAsia="Times New Roman" w:hAnsi="Times New Roman" w:cs="Times New Roman"/>
          <w:lang w:val="ro-MD"/>
        </w:rPr>
        <w:t xml:space="preserve"> datelor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acestuia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w:t>
      </w:r>
      <w:proofErr w:type="spellStart"/>
      <w:r w:rsidRPr="000508B6">
        <w:rPr>
          <w:rFonts w:ascii="Times New Roman" w:eastAsia="Times New Roman" w:hAnsi="Times New Roman" w:cs="Times New Roman"/>
          <w:lang w:val="ro-MD"/>
        </w:rPr>
        <w:t>clienţilor</w:t>
      </w:r>
      <w:proofErr w:type="spellEnd"/>
      <w:r w:rsidRPr="000508B6">
        <w:rPr>
          <w:rFonts w:ascii="Times New Roman" w:eastAsia="Times New Roman" w:hAnsi="Times New Roman" w:cs="Times New Roman"/>
          <w:lang w:val="ro-MD"/>
        </w:rPr>
        <w:t xml:space="preserve"> acestuia, instituind, în baza cadrului respectiv, măsuri pentru diminuarea nivelurilor riscurilor aferente TIC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securităţii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informaţiei</w:t>
      </w:r>
      <w:proofErr w:type="spellEnd"/>
      <w:r w:rsidRPr="000508B6">
        <w:rPr>
          <w:rFonts w:ascii="Times New Roman" w:eastAsia="Times New Roman" w:hAnsi="Times New Roman" w:cs="Times New Roman"/>
          <w:lang w:val="ro-MD"/>
        </w:rPr>
        <w:t xml:space="preserve"> la care este expus acesta;</w:t>
      </w:r>
    </w:p>
    <w:p w14:paraId="02BA20CC" w14:textId="18274465" w:rsidR="00B45E11" w:rsidRPr="000508B6" w:rsidRDefault="00B45E11" w:rsidP="00B45E11">
      <w:pPr>
        <w:pStyle w:val="Listparagraf"/>
        <w:numPr>
          <w:ilvl w:val="2"/>
          <w:numId w:val="96"/>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stabilește procese de revizuire a riscurilor, procese de testare a </w:t>
      </w:r>
      <w:proofErr w:type="spellStart"/>
      <w:r w:rsidRPr="000508B6">
        <w:rPr>
          <w:rFonts w:ascii="Times New Roman" w:eastAsia="Times New Roman" w:hAnsi="Times New Roman" w:cs="Times New Roman"/>
          <w:lang w:val="ro-MD"/>
        </w:rPr>
        <w:t>securităţii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continuităţii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care să valideze eficacitatea măsurilor de control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aplicabilitatea planurilor de asigurare a </w:t>
      </w:r>
      <w:proofErr w:type="spellStart"/>
      <w:r w:rsidRPr="000508B6">
        <w:rPr>
          <w:rFonts w:ascii="Times New Roman" w:eastAsia="Times New Roman" w:hAnsi="Times New Roman" w:cs="Times New Roman"/>
          <w:lang w:val="ro-MD"/>
        </w:rPr>
        <w:t>continuităţii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w:t>
      </w:r>
    </w:p>
    <w:p w14:paraId="7B001162" w14:textId="7CF1EE6B" w:rsidR="009C25FA" w:rsidRPr="000508B6" w:rsidRDefault="00CC460A" w:rsidP="00B45E11">
      <w:pPr>
        <w:pStyle w:val="Listparagraf"/>
        <w:numPr>
          <w:ilvl w:val="1"/>
          <w:numId w:val="102"/>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bookmarkEnd w:id="48"/>
      <w:r w:rsidR="00F95829" w:rsidRPr="000508B6">
        <w:rPr>
          <w:rFonts w:ascii="Times New Roman" w:eastAsia="Times New Roman" w:hAnsi="Times New Roman" w:cs="Times New Roman"/>
          <w:lang w:val="ro-MD"/>
        </w:rPr>
        <w:t>transmit</w:t>
      </w:r>
      <w:r w:rsidR="00747B64"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Băncii Naționale a Moldovei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prevăzute la alin.</w:t>
      </w:r>
      <w:r w:rsidR="00462541"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(1)–(</w:t>
      </w:r>
      <w:r w:rsidR="001148D2" w:rsidRPr="000508B6">
        <w:rPr>
          <w:rFonts w:ascii="Times New Roman" w:eastAsia="Times New Roman" w:hAnsi="Times New Roman" w:cs="Times New Roman"/>
          <w:lang w:val="ro-MD"/>
        </w:rPr>
        <w:t>5</w:t>
      </w:r>
      <w:r w:rsidR="00F95829" w:rsidRPr="000508B6">
        <w:rPr>
          <w:rFonts w:ascii="Times New Roman" w:eastAsia="Times New Roman" w:hAnsi="Times New Roman" w:cs="Times New Roman"/>
          <w:lang w:val="ro-MD"/>
        </w:rPr>
        <w:t xml:space="preserve">) până la data de 1 martie a anului în curs, </w:t>
      </w:r>
      <w:r w:rsidR="00F95829" w:rsidRPr="000508B6">
        <w:rPr>
          <w:rFonts w:ascii="Times New Roman" w:hAnsi="Times New Roman" w:cs="Times New Roman"/>
          <w:lang w:val="ro-MD"/>
        </w:rPr>
        <w:t>pentru ca aceasta să poată</w:t>
      </w:r>
      <w:r w:rsidR="009C25FA" w:rsidRPr="000508B6">
        <w:rPr>
          <w:rFonts w:ascii="Times New Roman" w:hAnsi="Times New Roman" w:cs="Times New Roman"/>
          <w:lang w:val="ro-MD"/>
        </w:rPr>
        <w:t>:</w:t>
      </w:r>
    </w:p>
    <w:p w14:paraId="5D674CD2" w14:textId="2952A402" w:rsidR="009C25FA" w:rsidRPr="000508B6" w:rsidRDefault="00F95829" w:rsidP="00754625">
      <w:pPr>
        <w:pStyle w:val="Listparagraf"/>
        <w:numPr>
          <w:ilvl w:val="0"/>
          <w:numId w:val="46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evalua sistemul de </w:t>
      </w:r>
      <w:proofErr w:type="spellStart"/>
      <w:r w:rsidRPr="000508B6">
        <w:rPr>
          <w:rFonts w:ascii="Times New Roman" w:hAnsi="Times New Roman" w:cs="Times New Roman"/>
          <w:lang w:val="ro-MD"/>
        </w:rPr>
        <w:t>guvernanţă</w:t>
      </w:r>
      <w:proofErr w:type="spellEnd"/>
      <w:r w:rsidR="00F71657" w:rsidRPr="000508B6">
        <w:rPr>
          <w:rFonts w:ascii="Times New Roman" w:hAnsi="Times New Roman" w:cs="Times New Roman"/>
          <w:lang w:val="ro-MD"/>
        </w:rPr>
        <w:t>;</w:t>
      </w:r>
      <w:r w:rsidRPr="000508B6">
        <w:rPr>
          <w:rFonts w:ascii="Times New Roman" w:hAnsi="Times New Roman" w:cs="Times New Roman"/>
          <w:lang w:val="ro-MD"/>
        </w:rPr>
        <w:t xml:space="preserve"> </w:t>
      </w:r>
    </w:p>
    <w:p w14:paraId="32949A6B" w14:textId="7343DAFD" w:rsidR="00330031" w:rsidRPr="000508B6" w:rsidRDefault="00330031" w:rsidP="00330031">
      <w:pPr>
        <w:pStyle w:val="Listparagraf"/>
        <w:numPr>
          <w:ilvl w:val="0"/>
          <w:numId w:val="461"/>
        </w:numPr>
        <w:tabs>
          <w:tab w:val="left" w:pos="709"/>
          <w:tab w:val="left" w:pos="851"/>
        </w:tabs>
        <w:spacing w:after="0" w:line="240" w:lineRule="auto"/>
        <w:ind w:left="0" w:firstLine="426"/>
        <w:jc w:val="both"/>
        <w:rPr>
          <w:rFonts w:ascii="Times New Roman" w:eastAsia="Times New Roman" w:hAnsi="Times New Roman" w:cs="Times New Roman"/>
          <w:lang w:val="ro-MD"/>
        </w:rPr>
      </w:pPr>
      <w:bookmarkStart w:id="50" w:name="_Hlk221270544"/>
      <w:bookmarkStart w:id="51" w:name="_Hlk221267558"/>
      <w:r w:rsidRPr="000508B6">
        <w:rPr>
          <w:rFonts w:ascii="Times New Roman" w:eastAsia="Times New Roman" w:hAnsi="Times New Roman" w:cs="Times New Roman"/>
          <w:lang w:val="ro-MD"/>
        </w:rPr>
        <w:t xml:space="preserve">evalua riscurile emergente, identificate de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respectiv, care ar putea afecta soliditatea financiară</w:t>
      </w:r>
      <w:bookmarkEnd w:id="50"/>
      <w:r w:rsidRPr="000508B6">
        <w:rPr>
          <w:rFonts w:ascii="Times New Roman" w:eastAsia="Times New Roman" w:hAnsi="Times New Roman" w:cs="Times New Roman"/>
          <w:lang w:val="ro-MD"/>
        </w:rPr>
        <w:t>;</w:t>
      </w:r>
    </w:p>
    <w:bookmarkEnd w:id="51"/>
    <w:p w14:paraId="6009260F" w14:textId="592F17D7" w:rsidR="009C25FA" w:rsidRPr="000508B6" w:rsidRDefault="00F95829" w:rsidP="00754625">
      <w:pPr>
        <w:pStyle w:val="Listparagraf"/>
        <w:numPr>
          <w:ilvl w:val="0"/>
          <w:numId w:val="46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verifica în ce măsură sunt respectate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în </w:t>
      </w:r>
      <w:r w:rsidR="005A1C0B" w:rsidRPr="000508B6">
        <w:rPr>
          <w:rFonts w:ascii="Times New Roman" w:hAnsi="Times New Roman" w:cs="Times New Roman"/>
          <w:lang w:val="ro-MD"/>
        </w:rPr>
        <w:t>prezenta secțiune</w:t>
      </w:r>
      <w:r w:rsidR="0031164E" w:rsidRPr="000508B6">
        <w:rPr>
          <w:rFonts w:ascii="Times New Roman" w:hAnsi="Times New Roman" w:cs="Times New Roman"/>
          <w:lang w:val="ro-MD"/>
        </w:rPr>
        <w:t>.</w:t>
      </w:r>
    </w:p>
    <w:p w14:paraId="31027817" w14:textId="1F88A063" w:rsidR="00F4338A" w:rsidRPr="000508B6" w:rsidRDefault="00F4338A" w:rsidP="00B45E11">
      <w:pPr>
        <w:pStyle w:val="Listparagraf"/>
        <w:numPr>
          <w:ilvl w:val="1"/>
          <w:numId w:val="102"/>
        </w:numPr>
        <w:tabs>
          <w:tab w:val="left" w:pos="709"/>
        </w:tabs>
        <w:spacing w:after="0" w:line="240" w:lineRule="auto"/>
        <w:ind w:left="0" w:firstLine="426"/>
        <w:jc w:val="both"/>
        <w:rPr>
          <w:rFonts w:ascii="Times New Roman" w:eastAsia="Times New Roman" w:hAnsi="Times New Roman" w:cs="Times New Roman"/>
          <w:lang w:val="ro-MD"/>
        </w:rPr>
      </w:pPr>
      <w:bookmarkStart w:id="52" w:name="_Hlk221278744"/>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nu poate încheia tranzacții cu persoane terțe sau în beneficiul lor care se află în relație de afiliere cu acesta în condiții mai avantajoase decât cele existente în mod general pentru celelalte persoane care nu se află cu aceștia în asemenea relații.</w:t>
      </w:r>
    </w:p>
    <w:p w14:paraId="46C5DAC1" w14:textId="77777777" w:rsidR="00F4338A" w:rsidRPr="000508B6" w:rsidRDefault="00F4338A" w:rsidP="00B45E11">
      <w:pPr>
        <w:pStyle w:val="Listparagraf"/>
        <w:numPr>
          <w:ilvl w:val="1"/>
          <w:numId w:val="102"/>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este obligat să prezinte Băncii </w:t>
      </w:r>
      <w:proofErr w:type="spellStart"/>
      <w:r w:rsidRPr="000508B6">
        <w:rPr>
          <w:rFonts w:ascii="Times New Roman" w:eastAsia="Times New Roman" w:hAnsi="Times New Roman" w:cs="Times New Roman"/>
          <w:lang w:val="ro-MD"/>
        </w:rPr>
        <w:t>Naţionale</w:t>
      </w:r>
      <w:proofErr w:type="spellEnd"/>
      <w:r w:rsidRPr="000508B6">
        <w:rPr>
          <w:rFonts w:ascii="Times New Roman" w:eastAsia="Times New Roman" w:hAnsi="Times New Roman" w:cs="Times New Roman"/>
          <w:lang w:val="ro-MD"/>
        </w:rPr>
        <w:t xml:space="preserve"> a Moldovei, în modul stabilit în actele normative ale acesteia, informații cu privire la persoanele afiliate ale acestuia și tranzacțiile încheiate de asigurător sau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cu acestea.</w:t>
      </w:r>
    </w:p>
    <w:p w14:paraId="2F65F422" w14:textId="77777777" w:rsidR="00F4338A" w:rsidRPr="000508B6" w:rsidRDefault="00F4338A" w:rsidP="00292523">
      <w:pPr>
        <w:pStyle w:val="Listparagraf"/>
        <w:numPr>
          <w:ilvl w:val="1"/>
          <w:numId w:val="102"/>
        </w:numPr>
        <w:tabs>
          <w:tab w:val="left" w:pos="709"/>
          <w:tab w:val="left" w:pos="851"/>
        </w:tabs>
        <w:spacing w:after="0" w:line="240" w:lineRule="auto"/>
        <w:ind w:left="0" w:firstLine="426"/>
        <w:jc w:val="both"/>
        <w:rPr>
          <w:rFonts w:ascii="Times New Roman" w:eastAsia="Times New Roman" w:hAnsi="Times New Roman" w:cs="Times New Roman"/>
          <w:lang w:val="ro-MD"/>
        </w:rPr>
      </w:pPr>
      <w:bookmarkStart w:id="53" w:name="_Hlk221715298"/>
      <w:r w:rsidRPr="000508B6">
        <w:rPr>
          <w:rFonts w:ascii="Times New Roman" w:eastAsia="Times New Roman" w:hAnsi="Times New Roman" w:cs="Times New Roman"/>
          <w:lang w:val="ro-MD"/>
        </w:rPr>
        <w:t xml:space="preserve">Orice </w:t>
      </w:r>
      <w:proofErr w:type="spellStart"/>
      <w:r w:rsidRPr="000508B6">
        <w:rPr>
          <w:rFonts w:ascii="Times New Roman" w:eastAsia="Times New Roman" w:hAnsi="Times New Roman" w:cs="Times New Roman"/>
          <w:lang w:val="ro-MD"/>
        </w:rPr>
        <w:t>tranzacţie</w:t>
      </w:r>
      <w:proofErr w:type="spellEnd"/>
      <w:r w:rsidRPr="000508B6">
        <w:rPr>
          <w:rFonts w:ascii="Times New Roman" w:eastAsia="Times New Roman" w:hAnsi="Times New Roman" w:cs="Times New Roman"/>
          <w:lang w:val="ro-MD"/>
        </w:rPr>
        <w:t xml:space="preserve"> cu o persoană afiliată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trebuie să fie aprobată, înaintea încheierii acesteia, cu votul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al </w:t>
      </w:r>
      <w:proofErr w:type="spellStart"/>
      <w:r w:rsidRPr="000508B6">
        <w:rPr>
          <w:rFonts w:ascii="Times New Roman" w:eastAsia="Times New Roman" w:hAnsi="Times New Roman" w:cs="Times New Roman"/>
          <w:lang w:val="ro-MD"/>
        </w:rPr>
        <w:t>majorităţii</w:t>
      </w:r>
      <w:proofErr w:type="spellEnd"/>
      <w:r w:rsidRPr="000508B6">
        <w:rPr>
          <w:rFonts w:ascii="Times New Roman" w:eastAsia="Times New Roman" w:hAnsi="Times New Roman" w:cs="Times New Roman"/>
          <w:lang w:val="ro-MD"/>
        </w:rPr>
        <w:t xml:space="preserve"> membrilor consiliului, cu </w:t>
      </w:r>
      <w:proofErr w:type="spellStart"/>
      <w:r w:rsidRPr="000508B6">
        <w:rPr>
          <w:rFonts w:ascii="Times New Roman" w:eastAsia="Times New Roman" w:hAnsi="Times New Roman" w:cs="Times New Roman"/>
          <w:lang w:val="ro-MD"/>
        </w:rPr>
        <w:t>excepţia</w:t>
      </w:r>
      <w:proofErr w:type="spellEnd"/>
      <w:r w:rsidRPr="000508B6">
        <w:rPr>
          <w:rFonts w:ascii="Times New Roman" w:eastAsia="Times New Roman" w:hAnsi="Times New Roman" w:cs="Times New Roman"/>
          <w:lang w:val="ro-MD"/>
        </w:rPr>
        <w:t xml:space="preserve"> cazurilor prevăzute în actele normative ale Băncii </w:t>
      </w:r>
      <w:proofErr w:type="spellStart"/>
      <w:r w:rsidRPr="000508B6">
        <w:rPr>
          <w:rFonts w:ascii="Times New Roman" w:eastAsia="Times New Roman" w:hAnsi="Times New Roman" w:cs="Times New Roman"/>
          <w:lang w:val="ro-MD"/>
        </w:rPr>
        <w:t>Naţionale</w:t>
      </w:r>
      <w:proofErr w:type="spellEnd"/>
      <w:r w:rsidRPr="000508B6">
        <w:rPr>
          <w:rFonts w:ascii="Times New Roman" w:eastAsia="Times New Roman" w:hAnsi="Times New Roman" w:cs="Times New Roman"/>
          <w:lang w:val="ro-MD"/>
        </w:rPr>
        <w:t xml:space="preserve"> a Moldovei.</w:t>
      </w:r>
    </w:p>
    <w:p w14:paraId="755383E8" w14:textId="5118BB45" w:rsidR="00F4338A" w:rsidRPr="000508B6" w:rsidRDefault="00F4338A" w:rsidP="00292523">
      <w:pPr>
        <w:pStyle w:val="Listparagraf"/>
        <w:numPr>
          <w:ilvl w:val="1"/>
          <w:numId w:val="10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sensul alin. (</w:t>
      </w:r>
      <w:r w:rsidR="000060B7" w:rsidRPr="000508B6">
        <w:rPr>
          <w:rFonts w:ascii="Times New Roman" w:eastAsia="Times New Roman" w:hAnsi="Times New Roman" w:cs="Times New Roman"/>
          <w:lang w:val="ro-MD"/>
        </w:rPr>
        <w:t>10</w:t>
      </w:r>
      <w:r w:rsidRPr="000508B6">
        <w:rPr>
          <w:rFonts w:ascii="Times New Roman" w:eastAsia="Times New Roman" w:hAnsi="Times New Roman" w:cs="Times New Roman"/>
          <w:lang w:val="ro-MD"/>
        </w:rPr>
        <w:t>)</w:t>
      </w:r>
      <w:r w:rsidR="00DB4F41"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cel puțin următoarele condiții sunt considerate a fi mai avantajoase decât cele prevăzute pentru persoane care nu sunt afiliate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1FF84708" w14:textId="77777777" w:rsidR="00F4338A" w:rsidRPr="000508B6" w:rsidRDefault="00F4338A" w:rsidP="00F4338A">
      <w:pPr>
        <w:pStyle w:val="Listparagraf"/>
        <w:numPr>
          <w:ilvl w:val="3"/>
          <w:numId w:val="96"/>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procurarea unui bun imobil de o calitate mai scăzută sau la un </w:t>
      </w:r>
      <w:proofErr w:type="spellStart"/>
      <w:r w:rsidRPr="000508B6">
        <w:rPr>
          <w:rFonts w:ascii="Times New Roman" w:eastAsia="Times New Roman" w:hAnsi="Times New Roman" w:cs="Times New Roman"/>
          <w:lang w:val="ro-MD"/>
        </w:rPr>
        <w:t>preţ</w:t>
      </w:r>
      <w:proofErr w:type="spellEnd"/>
      <w:r w:rsidRPr="000508B6">
        <w:rPr>
          <w:rFonts w:ascii="Times New Roman" w:eastAsia="Times New Roman" w:hAnsi="Times New Roman" w:cs="Times New Roman"/>
          <w:lang w:val="ro-MD"/>
        </w:rPr>
        <w:t xml:space="preserve"> mai ridicat decât </w:t>
      </w:r>
      <w:proofErr w:type="spellStart"/>
      <w:r w:rsidRPr="000508B6">
        <w:rPr>
          <w:rFonts w:ascii="Times New Roman" w:eastAsia="Times New Roman" w:hAnsi="Times New Roman" w:cs="Times New Roman"/>
          <w:lang w:val="ro-MD"/>
        </w:rPr>
        <w:t>preţul</w:t>
      </w:r>
      <w:proofErr w:type="spellEnd"/>
      <w:r w:rsidRPr="000508B6">
        <w:rPr>
          <w:rFonts w:ascii="Times New Roman" w:eastAsia="Times New Roman" w:hAnsi="Times New Roman" w:cs="Times New Roman"/>
          <w:lang w:val="ro-MD"/>
        </w:rPr>
        <w:t xml:space="preserve"> bunurilor imobile similare pe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w:t>
      </w:r>
    </w:p>
    <w:p w14:paraId="12C9B92D" w14:textId="77777777" w:rsidR="00F4338A" w:rsidRPr="000508B6" w:rsidRDefault="00F4338A" w:rsidP="00F4338A">
      <w:pPr>
        <w:pStyle w:val="Listparagraf"/>
        <w:numPr>
          <w:ilvl w:val="3"/>
          <w:numId w:val="96"/>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efectuarea unor </w:t>
      </w:r>
      <w:proofErr w:type="spellStart"/>
      <w:r w:rsidRPr="000508B6">
        <w:rPr>
          <w:rFonts w:ascii="Times New Roman" w:eastAsia="Times New Roman" w:hAnsi="Times New Roman" w:cs="Times New Roman"/>
          <w:lang w:val="ro-MD"/>
        </w:rPr>
        <w:t>investiţii</w:t>
      </w:r>
      <w:proofErr w:type="spellEnd"/>
      <w:r w:rsidRPr="000508B6">
        <w:rPr>
          <w:rFonts w:ascii="Times New Roman" w:eastAsia="Times New Roman" w:hAnsi="Times New Roman" w:cs="Times New Roman"/>
          <w:lang w:val="ro-MD"/>
        </w:rPr>
        <w:t xml:space="preserve"> în valorile mobiliare ale persoanei afiliate pe care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nu le-ar fi efectuat în cazul altor persoane;</w:t>
      </w:r>
    </w:p>
    <w:p w14:paraId="5FD1C0D2" w14:textId="77777777" w:rsidR="00F4338A" w:rsidRPr="000508B6" w:rsidRDefault="00F4338A" w:rsidP="00F4338A">
      <w:pPr>
        <w:pStyle w:val="Listparagraf"/>
        <w:numPr>
          <w:ilvl w:val="3"/>
          <w:numId w:val="96"/>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achitarea bunurilor sau serviciilor procurate de la o persoană afiliată la un </w:t>
      </w:r>
      <w:proofErr w:type="spellStart"/>
      <w:r w:rsidRPr="000508B6">
        <w:rPr>
          <w:rFonts w:ascii="Times New Roman" w:eastAsia="Times New Roman" w:hAnsi="Times New Roman" w:cs="Times New Roman"/>
          <w:lang w:val="ro-MD"/>
        </w:rPr>
        <w:t>preţ</w:t>
      </w:r>
      <w:proofErr w:type="spellEnd"/>
      <w:r w:rsidRPr="000508B6">
        <w:rPr>
          <w:rFonts w:ascii="Times New Roman" w:eastAsia="Times New Roman" w:hAnsi="Times New Roman" w:cs="Times New Roman"/>
          <w:lang w:val="ro-MD"/>
        </w:rPr>
        <w:t xml:space="preserve"> mai ridicat decât </w:t>
      </w:r>
      <w:proofErr w:type="spellStart"/>
      <w:r w:rsidRPr="000508B6">
        <w:rPr>
          <w:rFonts w:ascii="Times New Roman" w:eastAsia="Times New Roman" w:hAnsi="Times New Roman" w:cs="Times New Roman"/>
          <w:lang w:val="ro-MD"/>
        </w:rPr>
        <w:t>preţul</w:t>
      </w:r>
      <w:proofErr w:type="spellEnd"/>
      <w:r w:rsidRPr="000508B6">
        <w:rPr>
          <w:rFonts w:ascii="Times New Roman" w:eastAsia="Times New Roman" w:hAnsi="Times New Roman" w:cs="Times New Roman"/>
          <w:lang w:val="ro-MD"/>
        </w:rPr>
        <w:t xml:space="preserve"> pentru bunuri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servicii similare pe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 xml:space="preserve"> sau în </w:t>
      </w:r>
      <w:proofErr w:type="spellStart"/>
      <w:r w:rsidRPr="000508B6">
        <w:rPr>
          <w:rFonts w:ascii="Times New Roman" w:eastAsia="Times New Roman" w:hAnsi="Times New Roman" w:cs="Times New Roman"/>
          <w:lang w:val="ro-MD"/>
        </w:rPr>
        <w:t>circumstanţe</w:t>
      </w:r>
      <w:proofErr w:type="spellEnd"/>
      <w:r w:rsidRPr="000508B6">
        <w:rPr>
          <w:rFonts w:ascii="Times New Roman" w:eastAsia="Times New Roman" w:hAnsi="Times New Roman" w:cs="Times New Roman"/>
          <w:lang w:val="ro-MD"/>
        </w:rPr>
        <w:t xml:space="preserve"> în care </w:t>
      </w:r>
      <w:proofErr w:type="spellStart"/>
      <w:r w:rsidRPr="000508B6">
        <w:rPr>
          <w:rFonts w:ascii="Times New Roman" w:eastAsia="Times New Roman" w:hAnsi="Times New Roman" w:cs="Times New Roman"/>
          <w:lang w:val="ro-MD"/>
        </w:rPr>
        <w:t>aceleaşi</w:t>
      </w:r>
      <w:proofErr w:type="spellEnd"/>
      <w:r w:rsidRPr="000508B6">
        <w:rPr>
          <w:rFonts w:ascii="Times New Roman" w:eastAsia="Times New Roman" w:hAnsi="Times New Roman" w:cs="Times New Roman"/>
          <w:lang w:val="ro-MD"/>
        </w:rPr>
        <w:t xml:space="preserve"> bunuri sau servicii nu ar fi fost procurate de la o altă persoană;</w:t>
      </w:r>
    </w:p>
    <w:p w14:paraId="0CDF3174" w14:textId="77777777" w:rsidR="00F4338A" w:rsidRPr="000508B6" w:rsidRDefault="00F4338A" w:rsidP="00F4338A">
      <w:pPr>
        <w:pStyle w:val="Listparagraf"/>
        <w:numPr>
          <w:ilvl w:val="3"/>
          <w:numId w:val="96"/>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vânzarea către o persoană afiliată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a unui activ la un </w:t>
      </w:r>
      <w:proofErr w:type="spellStart"/>
      <w:r w:rsidRPr="000508B6">
        <w:rPr>
          <w:rFonts w:ascii="Times New Roman" w:eastAsia="Times New Roman" w:hAnsi="Times New Roman" w:cs="Times New Roman"/>
          <w:lang w:val="ro-MD"/>
        </w:rPr>
        <w:t>preţ</w:t>
      </w:r>
      <w:proofErr w:type="spellEnd"/>
      <w:r w:rsidRPr="000508B6">
        <w:rPr>
          <w:rFonts w:ascii="Times New Roman" w:eastAsia="Times New Roman" w:hAnsi="Times New Roman" w:cs="Times New Roman"/>
          <w:lang w:val="ro-MD"/>
        </w:rPr>
        <w:t xml:space="preserve"> mai scăzut decât cel care ar fi încasat în cazul vânzării activului către o altă persoană;</w:t>
      </w:r>
    </w:p>
    <w:p w14:paraId="6978D79A" w14:textId="5E98B79D" w:rsidR="00F4338A" w:rsidRPr="000508B6" w:rsidRDefault="00F4338A" w:rsidP="00F4338A">
      <w:pPr>
        <w:pStyle w:val="Listparagraf"/>
        <w:numPr>
          <w:ilvl w:val="3"/>
          <w:numId w:val="96"/>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stabilirea unei prime mai mici sau alte condiții contractuale mai favorabile în cazul încheierii unui contract de asigurare cu persoana afiliată decât dacă același serviciu de asigurare ar fi fost oferit unei alte persoane în condiții generale</w:t>
      </w:r>
      <w:r w:rsidR="00170FDF" w:rsidRPr="000508B6">
        <w:rPr>
          <w:rFonts w:ascii="Times New Roman" w:eastAsia="Times New Roman" w:hAnsi="Times New Roman" w:cs="Times New Roman"/>
          <w:lang w:val="ro-MD"/>
        </w:rPr>
        <w:t>.</w:t>
      </w:r>
    </w:p>
    <w:bookmarkEnd w:id="52"/>
    <w:p w14:paraId="5BF40C14" w14:textId="3D8E4513" w:rsidR="00F4338A" w:rsidRPr="000508B6" w:rsidRDefault="00F4338A" w:rsidP="00AB0F50">
      <w:pPr>
        <w:pStyle w:val="Listparagraf"/>
        <w:numPr>
          <w:ilvl w:val="1"/>
          <w:numId w:val="102"/>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Politic</w:t>
      </w:r>
      <w:r w:rsidR="00F51FCF">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 de remunerare prevăzută la alin.</w:t>
      </w:r>
      <w:r w:rsidR="0046254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(2) lit. d) se aplică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în ansamblul său și conține măsuri specifice care iau în considerare sarcinile și performanțele organului de conducere, ale persoanelor care conduc efectiv </w:t>
      </w:r>
      <w:r w:rsidR="00782DE1" w:rsidRPr="000508B6">
        <w:rPr>
          <w:rFonts w:ascii="Times New Roman" w:eastAsia="Times New Roman" w:hAnsi="Times New Roman" w:cs="Times New Roman"/>
          <w:lang w:val="ro-MD"/>
        </w:rPr>
        <w:t xml:space="preserve">asigurătorul sau </w:t>
      </w:r>
      <w:proofErr w:type="spellStart"/>
      <w:r w:rsidR="00782DE1"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ale persoanelor care dețin funcții-cheie și ale altor categorii de angajați ale căror activități profesionale au un impact semnificativ asupra profilului de risc al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și prevede componente fixe și variabile. </w:t>
      </w:r>
    </w:p>
    <w:p w14:paraId="3C805300" w14:textId="0FFDD217" w:rsidR="00F4338A" w:rsidRPr="000508B6" w:rsidRDefault="00F4338A" w:rsidP="00AB0F50">
      <w:pPr>
        <w:pStyle w:val="Listparagraf"/>
        <w:numPr>
          <w:ilvl w:val="1"/>
          <w:numId w:val="102"/>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asigură existența procedurilor și proceselor eficace pentru prevenirea conflictelor de interese, că sursele potențiale de conflicte de interese sunt identificate și că au fost stabilite proceduri pentru a se garanta faptul că persoanele implicate în aplicarea strategiilor și a politicilor cunosc originea posibilă a conflictelor de interese și modul în care asemenea conflicte trebuie gestionate. </w:t>
      </w:r>
    </w:p>
    <w:p w14:paraId="21FD0AE2" w14:textId="77777777" w:rsidR="00F4338A" w:rsidRPr="000508B6" w:rsidRDefault="00F4338A" w:rsidP="00292523">
      <w:pPr>
        <w:pStyle w:val="Listparagraf"/>
        <w:numPr>
          <w:ilvl w:val="1"/>
          <w:numId w:val="102"/>
        </w:numPr>
        <w:tabs>
          <w:tab w:val="left" w:pos="709"/>
          <w:tab w:val="left" w:pos="993"/>
        </w:tabs>
        <w:spacing w:after="0" w:line="240" w:lineRule="auto"/>
        <w:ind w:left="0" w:firstLine="426"/>
        <w:jc w:val="both"/>
        <w:rPr>
          <w:rFonts w:ascii="Times New Roman" w:eastAsia="Times New Roman" w:hAnsi="Times New Roman" w:cs="Times New Roman"/>
          <w:lang w:val="ro-MD"/>
        </w:rPr>
      </w:pPr>
      <w:bookmarkStart w:id="54" w:name="_Hlk221282026"/>
      <w:r w:rsidRPr="000508B6">
        <w:rPr>
          <w:rFonts w:ascii="Times New Roman" w:eastAsia="Times New Roman" w:hAnsi="Times New Roman" w:cs="Times New Roman"/>
          <w:lang w:val="ro-MD"/>
        </w:rPr>
        <w:lastRenderedPageBreak/>
        <w:t xml:space="preserve">Orice membru al organului de conducere sau persoană care deține funcție-cheie, care este parte într-un contract efectiv sau într-un contract propus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privind interesele materiale, sau care este conducător al unei persoane parte într-un contract material efectiv sau propus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sau care are un interes material </w:t>
      </w:r>
      <w:proofErr w:type="spellStart"/>
      <w:r w:rsidRPr="000508B6">
        <w:rPr>
          <w:rFonts w:ascii="Times New Roman" w:eastAsia="Times New Roman" w:hAnsi="Times New Roman" w:cs="Times New Roman"/>
          <w:lang w:val="ro-MD"/>
        </w:rPr>
        <w:t>faţă</w:t>
      </w:r>
      <w:proofErr w:type="spellEnd"/>
      <w:r w:rsidRPr="000508B6">
        <w:rPr>
          <w:rFonts w:ascii="Times New Roman" w:eastAsia="Times New Roman" w:hAnsi="Times New Roman" w:cs="Times New Roman"/>
          <w:lang w:val="ro-MD"/>
        </w:rPr>
        <w:t xml:space="preserve"> de această persoană, trebuie să dezvăluie în scris 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interesul său material, în momentul în care ia </w:t>
      </w:r>
      <w:proofErr w:type="spellStart"/>
      <w:r w:rsidRPr="000508B6">
        <w:rPr>
          <w:rFonts w:ascii="Times New Roman" w:eastAsia="Times New Roman" w:hAnsi="Times New Roman" w:cs="Times New Roman"/>
          <w:lang w:val="ro-MD"/>
        </w:rPr>
        <w:t>cunoştinţă</w:t>
      </w:r>
      <w:proofErr w:type="spellEnd"/>
      <w:r w:rsidRPr="000508B6">
        <w:rPr>
          <w:rFonts w:ascii="Times New Roman" w:eastAsia="Times New Roman" w:hAnsi="Times New Roman" w:cs="Times New Roman"/>
          <w:lang w:val="ro-MD"/>
        </w:rPr>
        <w:t xml:space="preserve"> sau ar fi trebuit să ia </w:t>
      </w:r>
      <w:proofErr w:type="spellStart"/>
      <w:r w:rsidRPr="000508B6">
        <w:rPr>
          <w:rFonts w:ascii="Times New Roman" w:eastAsia="Times New Roman" w:hAnsi="Times New Roman" w:cs="Times New Roman"/>
          <w:lang w:val="ro-MD"/>
        </w:rPr>
        <w:t>cunoştinţă</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existenţa</w:t>
      </w:r>
      <w:proofErr w:type="spellEnd"/>
      <w:r w:rsidRPr="000508B6">
        <w:rPr>
          <w:rFonts w:ascii="Times New Roman" w:eastAsia="Times New Roman" w:hAnsi="Times New Roman" w:cs="Times New Roman"/>
          <w:lang w:val="ro-MD"/>
        </w:rPr>
        <w:t xml:space="preserve"> unui astfel de contract.</w:t>
      </w:r>
    </w:p>
    <w:p w14:paraId="03973874" w14:textId="77777777" w:rsidR="00F4338A" w:rsidRPr="000508B6" w:rsidRDefault="00F4338A" w:rsidP="00292523">
      <w:pPr>
        <w:pStyle w:val="Listparagraf"/>
        <w:numPr>
          <w:ilvl w:val="1"/>
          <w:numId w:val="10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Orice membru al organului de conducere sau persoană care deține funcție-cheie este obligată să prezinte consiliului,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o dată pe an, o notă scrisă, în care să dezvăluie suficient conflictul de interese. Se consideră dezvăluire suficientă a conflictului de interese indicarea numelui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adresei </w:t>
      </w:r>
      <w:proofErr w:type="spellStart"/>
      <w:r w:rsidRPr="000508B6">
        <w:rPr>
          <w:rFonts w:ascii="Times New Roman" w:eastAsia="Times New Roman" w:hAnsi="Times New Roman" w:cs="Times New Roman"/>
          <w:lang w:val="ro-MD"/>
        </w:rPr>
        <w:t>asociaţilor</w:t>
      </w:r>
      <w:proofErr w:type="spellEnd"/>
      <w:r w:rsidRPr="000508B6">
        <w:rPr>
          <w:rFonts w:ascii="Times New Roman" w:eastAsia="Times New Roman" w:hAnsi="Times New Roman" w:cs="Times New Roman"/>
          <w:lang w:val="ro-MD"/>
        </w:rPr>
        <w:t xml:space="preserve"> persoanelor respective, detaliilor </w:t>
      </w:r>
      <w:proofErr w:type="spellStart"/>
      <w:r w:rsidRPr="000508B6">
        <w:rPr>
          <w:rFonts w:ascii="Times New Roman" w:eastAsia="Times New Roman" w:hAnsi="Times New Roman" w:cs="Times New Roman"/>
          <w:lang w:val="ro-MD"/>
        </w:rPr>
        <w:t>esenţiale</w:t>
      </w:r>
      <w:proofErr w:type="spellEnd"/>
      <w:r w:rsidRPr="000508B6">
        <w:rPr>
          <w:rFonts w:ascii="Times New Roman" w:eastAsia="Times New Roman" w:hAnsi="Times New Roman" w:cs="Times New Roman"/>
          <w:lang w:val="ro-MD"/>
        </w:rPr>
        <w:t xml:space="preserve"> despre </w:t>
      </w: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lor, intereselor de familie care confirmă că aceștia au interese materiale </w:t>
      </w:r>
      <w:bookmarkStart w:id="55" w:name="_Hlk221282377"/>
      <w:r w:rsidRPr="000508B6">
        <w:rPr>
          <w:rFonts w:ascii="Times New Roman" w:eastAsia="Times New Roman" w:hAnsi="Times New Roman" w:cs="Times New Roman"/>
          <w:lang w:val="ro-MD"/>
        </w:rPr>
        <w:t xml:space="preserve">în contractele încheiate </w:t>
      </w:r>
      <w:bookmarkEnd w:id="55"/>
      <w:r w:rsidRPr="000508B6">
        <w:rPr>
          <w:rFonts w:ascii="Times New Roman" w:eastAsia="Times New Roman" w:hAnsi="Times New Roman" w:cs="Times New Roman"/>
          <w:lang w:val="ro-MD"/>
        </w:rPr>
        <w:t xml:space="preserve">cu orice persoană numită în notă. </w:t>
      </w:r>
    </w:p>
    <w:p w14:paraId="5B5D5E08" w14:textId="77777777" w:rsidR="00F4338A" w:rsidRPr="000508B6" w:rsidRDefault="00F4338A" w:rsidP="00292523">
      <w:pPr>
        <w:pStyle w:val="Listparagraf"/>
        <w:numPr>
          <w:ilvl w:val="1"/>
          <w:numId w:val="10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Orice membru al organului de conducere sau persoană care deține funcție-cheie care are interes material într-un contract trebuie să părăsească orice </w:t>
      </w:r>
      <w:proofErr w:type="spellStart"/>
      <w:r w:rsidRPr="000508B6">
        <w:rPr>
          <w:rFonts w:ascii="Times New Roman" w:eastAsia="Times New Roman" w:hAnsi="Times New Roman" w:cs="Times New Roman"/>
          <w:lang w:val="ro-MD"/>
        </w:rPr>
        <w:t>şedinţă</w:t>
      </w:r>
      <w:proofErr w:type="spellEnd"/>
      <w:r w:rsidRPr="000508B6">
        <w:rPr>
          <w:rFonts w:ascii="Times New Roman" w:eastAsia="Times New Roman" w:hAnsi="Times New Roman" w:cs="Times New Roman"/>
          <w:lang w:val="ro-MD"/>
        </w:rPr>
        <w:t xml:space="preserve"> la care este pus în </w:t>
      </w:r>
      <w:proofErr w:type="spellStart"/>
      <w:r w:rsidRPr="000508B6">
        <w:rPr>
          <w:rFonts w:ascii="Times New Roman" w:eastAsia="Times New Roman" w:hAnsi="Times New Roman" w:cs="Times New Roman"/>
          <w:lang w:val="ro-MD"/>
        </w:rPr>
        <w:t>discuţie</w:t>
      </w:r>
      <w:proofErr w:type="spellEnd"/>
      <w:r w:rsidRPr="000508B6">
        <w:rPr>
          <w:rFonts w:ascii="Times New Roman" w:eastAsia="Times New Roman" w:hAnsi="Times New Roman" w:cs="Times New Roman"/>
          <w:lang w:val="ro-MD"/>
        </w:rPr>
        <w:t xml:space="preserve"> acest contract. Totodată, </w:t>
      </w:r>
      <w:proofErr w:type="spellStart"/>
      <w:r w:rsidRPr="000508B6">
        <w:rPr>
          <w:rFonts w:ascii="Times New Roman" w:eastAsia="Times New Roman" w:hAnsi="Times New Roman" w:cs="Times New Roman"/>
          <w:lang w:val="ro-MD"/>
        </w:rPr>
        <w:t>prezenţa</w:t>
      </w:r>
      <w:proofErr w:type="spellEnd"/>
      <w:r w:rsidRPr="000508B6">
        <w:rPr>
          <w:rFonts w:ascii="Times New Roman" w:eastAsia="Times New Roman" w:hAnsi="Times New Roman" w:cs="Times New Roman"/>
          <w:lang w:val="ro-MD"/>
        </w:rPr>
        <w:t xml:space="preserve"> persoanelor respective la </w:t>
      </w:r>
      <w:proofErr w:type="spellStart"/>
      <w:r w:rsidRPr="000508B6">
        <w:rPr>
          <w:rFonts w:ascii="Times New Roman" w:eastAsia="Times New Roman" w:hAnsi="Times New Roman" w:cs="Times New Roman"/>
          <w:lang w:val="ro-MD"/>
        </w:rPr>
        <w:t>şedinţă</w:t>
      </w:r>
      <w:proofErr w:type="spellEnd"/>
      <w:r w:rsidRPr="000508B6">
        <w:rPr>
          <w:rFonts w:ascii="Times New Roman" w:eastAsia="Times New Roman" w:hAnsi="Times New Roman" w:cs="Times New Roman"/>
          <w:lang w:val="ro-MD"/>
        </w:rPr>
        <w:t xml:space="preserve"> se ia în calcul la stabilirea cvorumului, iar la votare se consideră că acestea s-au </w:t>
      </w:r>
      <w:proofErr w:type="spellStart"/>
      <w:r w:rsidRPr="000508B6">
        <w:rPr>
          <w:rFonts w:ascii="Times New Roman" w:eastAsia="Times New Roman" w:hAnsi="Times New Roman" w:cs="Times New Roman"/>
          <w:lang w:val="ro-MD"/>
        </w:rPr>
        <w:t>abţinut</w:t>
      </w:r>
      <w:proofErr w:type="spellEnd"/>
      <w:r w:rsidRPr="000508B6">
        <w:rPr>
          <w:rFonts w:ascii="Times New Roman" w:eastAsia="Times New Roman" w:hAnsi="Times New Roman" w:cs="Times New Roman"/>
          <w:lang w:val="ro-MD"/>
        </w:rPr>
        <w:t xml:space="preserve">. În caz de paritate a voturilor, cel al </w:t>
      </w:r>
      <w:proofErr w:type="spellStart"/>
      <w:r w:rsidRPr="000508B6">
        <w:rPr>
          <w:rFonts w:ascii="Times New Roman" w:eastAsia="Times New Roman" w:hAnsi="Times New Roman" w:cs="Times New Roman"/>
          <w:lang w:val="ro-MD"/>
        </w:rPr>
        <w:t>preşedintelui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şedinţei</w:t>
      </w:r>
      <w:proofErr w:type="spellEnd"/>
      <w:r w:rsidRPr="000508B6">
        <w:rPr>
          <w:rFonts w:ascii="Times New Roman" w:eastAsia="Times New Roman" w:hAnsi="Times New Roman" w:cs="Times New Roman"/>
          <w:lang w:val="ro-MD"/>
        </w:rPr>
        <w:t xml:space="preserve"> se consideră hotărâtor. </w:t>
      </w:r>
    </w:p>
    <w:bookmarkEnd w:id="53"/>
    <w:bookmarkEnd w:id="54"/>
    <w:p w14:paraId="2B5C4478" w14:textId="225D1995" w:rsidR="00FF1C39" w:rsidRPr="000508B6" w:rsidRDefault="00751A8F" w:rsidP="00292523">
      <w:pPr>
        <w:pStyle w:val="Listparagraf"/>
        <w:numPr>
          <w:ilvl w:val="1"/>
          <w:numId w:val="10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Cerințele</w:t>
      </w:r>
      <w:r w:rsidR="000060B7" w:rsidRPr="000508B6">
        <w:rPr>
          <w:rFonts w:ascii="Times New Roman" w:eastAsia="Times New Roman" w:hAnsi="Times New Roman" w:cs="Times New Roman"/>
          <w:lang w:val="ro-MD"/>
        </w:rPr>
        <w:t xml:space="preserve"> specifice, inclusiv privind punerea în aplicare a prevederilor alin.(6)</w:t>
      </w:r>
      <w:r w:rsidRPr="000508B6">
        <w:rPr>
          <w:rFonts w:ascii="Times New Roman" w:eastAsia="Times New Roman" w:hAnsi="Times New Roman" w:cs="Times New Roman"/>
          <w:lang w:val="ro-MD"/>
        </w:rPr>
        <w:t>, p</w:t>
      </w:r>
      <w:r w:rsidR="00FF1C39" w:rsidRPr="000508B6">
        <w:rPr>
          <w:rFonts w:ascii="Times New Roman" w:eastAsia="Times New Roman" w:hAnsi="Times New Roman" w:cs="Times New Roman"/>
          <w:lang w:val="ro-MD"/>
        </w:rPr>
        <w:t>rincipiile, criteriile</w:t>
      </w:r>
      <w:r w:rsidR="00E13D04" w:rsidRPr="000508B6">
        <w:rPr>
          <w:rFonts w:ascii="Times New Roman" w:eastAsia="Times New Roman" w:hAnsi="Times New Roman" w:cs="Times New Roman"/>
          <w:lang w:val="ro-MD"/>
        </w:rPr>
        <w:t>,</w:t>
      </w:r>
      <w:r w:rsidR="00FF1C39" w:rsidRPr="000508B6">
        <w:rPr>
          <w:rFonts w:ascii="Times New Roman" w:eastAsia="Times New Roman" w:hAnsi="Times New Roman" w:cs="Times New Roman"/>
          <w:lang w:val="ro-MD"/>
        </w:rPr>
        <w:t xml:space="preserve"> </w:t>
      </w:r>
      <w:r w:rsidR="00C43414" w:rsidRPr="000508B6">
        <w:rPr>
          <w:rFonts w:ascii="Times New Roman" w:eastAsia="Times New Roman" w:hAnsi="Times New Roman" w:cs="Times New Roman"/>
          <w:lang w:val="ro-MD"/>
        </w:rPr>
        <w:t>politicil</w:t>
      </w:r>
      <w:r w:rsidR="00E13D04" w:rsidRPr="000508B6">
        <w:rPr>
          <w:rFonts w:ascii="Times New Roman" w:eastAsia="Times New Roman" w:hAnsi="Times New Roman" w:cs="Times New Roman"/>
          <w:lang w:val="ro-MD"/>
        </w:rPr>
        <w:t>e</w:t>
      </w:r>
      <w:r w:rsidR="00C43414" w:rsidRPr="000508B6">
        <w:rPr>
          <w:rFonts w:ascii="Times New Roman" w:eastAsia="Times New Roman" w:hAnsi="Times New Roman" w:cs="Times New Roman"/>
          <w:lang w:val="ro-MD"/>
        </w:rPr>
        <w:t xml:space="preserve">, </w:t>
      </w:r>
      <w:r w:rsidR="002C3184" w:rsidRPr="000508B6">
        <w:rPr>
          <w:rFonts w:ascii="Times New Roman" w:eastAsia="Times New Roman" w:hAnsi="Times New Roman" w:cs="Times New Roman"/>
          <w:lang w:val="ro-MD"/>
        </w:rPr>
        <w:t>sistemele, funcțiile, informațiile care trebuie raportate</w:t>
      </w:r>
      <w:r w:rsidR="00FF1C39" w:rsidRPr="000508B6">
        <w:rPr>
          <w:rFonts w:ascii="Times New Roman" w:eastAsia="Times New Roman" w:hAnsi="Times New Roman" w:cs="Times New Roman"/>
          <w:lang w:val="ro-MD"/>
        </w:rPr>
        <w:t xml:space="preserve"> </w:t>
      </w:r>
      <w:proofErr w:type="spellStart"/>
      <w:r w:rsidR="00FF1C39" w:rsidRPr="000508B6">
        <w:rPr>
          <w:rFonts w:ascii="Times New Roman" w:eastAsia="Times New Roman" w:hAnsi="Times New Roman" w:cs="Times New Roman"/>
          <w:lang w:val="ro-MD"/>
        </w:rPr>
        <w:t>şi</w:t>
      </w:r>
      <w:proofErr w:type="spellEnd"/>
      <w:r w:rsidR="00FF1C39" w:rsidRPr="000508B6">
        <w:rPr>
          <w:rFonts w:ascii="Times New Roman" w:eastAsia="Times New Roman" w:hAnsi="Times New Roman" w:cs="Times New Roman"/>
          <w:lang w:val="ro-MD"/>
        </w:rPr>
        <w:t xml:space="preserve"> alte elemente </w:t>
      </w:r>
      <w:r w:rsidR="000060B7" w:rsidRPr="000508B6">
        <w:rPr>
          <w:rFonts w:ascii="Times New Roman" w:eastAsia="Times New Roman" w:hAnsi="Times New Roman" w:cs="Times New Roman"/>
          <w:lang w:val="ro-MD"/>
        </w:rPr>
        <w:t xml:space="preserve">prevăzute </w:t>
      </w:r>
      <w:r w:rsidR="00FF1C39" w:rsidRPr="000508B6">
        <w:rPr>
          <w:rFonts w:ascii="Times New Roman" w:eastAsia="Times New Roman" w:hAnsi="Times New Roman" w:cs="Times New Roman"/>
          <w:lang w:val="ro-MD"/>
        </w:rPr>
        <w:t xml:space="preserve">la prezentul articol se stabilesc prin actele normative </w:t>
      </w:r>
      <w:r w:rsidR="00653789" w:rsidRPr="000508B6">
        <w:rPr>
          <w:rFonts w:ascii="Times New Roman" w:eastAsia="Times New Roman" w:hAnsi="Times New Roman" w:cs="Times New Roman"/>
          <w:lang w:val="ro-MD"/>
        </w:rPr>
        <w:t>ale Băncii Naționale a Moldovei</w:t>
      </w:r>
      <w:r w:rsidR="00FF1C39" w:rsidRPr="000508B6">
        <w:rPr>
          <w:rFonts w:ascii="Times New Roman" w:eastAsia="Times New Roman" w:hAnsi="Times New Roman" w:cs="Times New Roman"/>
          <w:lang w:val="ro-MD"/>
        </w:rPr>
        <w:t>.</w:t>
      </w:r>
    </w:p>
    <w:p w14:paraId="2C828021" w14:textId="19619509" w:rsidR="003B2C9D" w:rsidRPr="000508B6" w:rsidRDefault="003B2C9D" w:rsidP="00EC11AD">
      <w:pPr>
        <w:pStyle w:val="Listparagraf"/>
        <w:tabs>
          <w:tab w:val="left" w:pos="709"/>
        </w:tabs>
        <w:spacing w:after="0" w:line="240" w:lineRule="auto"/>
        <w:ind w:left="426"/>
        <w:jc w:val="both"/>
        <w:rPr>
          <w:rFonts w:ascii="Times New Roman" w:eastAsia="Times New Roman" w:hAnsi="Times New Roman" w:cs="Times New Roman"/>
          <w:lang w:val="ro-MD"/>
        </w:rPr>
      </w:pPr>
      <w:bookmarkStart w:id="56" w:name="_Hlk212714020"/>
      <w:bookmarkEnd w:id="44"/>
    </w:p>
    <w:bookmarkEnd w:id="49"/>
    <w:bookmarkEnd w:id="56"/>
    <w:p w14:paraId="304E7AB6" w14:textId="68F1536D" w:rsidR="00911496" w:rsidRPr="000508B6" w:rsidRDefault="00911496" w:rsidP="00911496">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 20.</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Cerinţele</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competenţă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onorabilitate</w:t>
      </w:r>
    </w:p>
    <w:p w14:paraId="50FA7695" w14:textId="6A66CFD7" w:rsidR="00911496" w:rsidRPr="000508B6" w:rsidRDefault="00CC460A" w:rsidP="00EE70FE">
      <w:pPr>
        <w:pStyle w:val="Listparagraf"/>
        <w:numPr>
          <w:ilvl w:val="0"/>
          <w:numId w:val="291"/>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Asigurătorului sau </w:t>
      </w:r>
      <w:proofErr w:type="spellStart"/>
      <w:r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r w:rsidR="00911496" w:rsidRPr="000508B6">
        <w:rPr>
          <w:rFonts w:ascii="Times New Roman" w:eastAsia="Times New Roman" w:hAnsi="Times New Roman" w:cs="Times New Roman"/>
          <w:lang w:val="ro-MD"/>
        </w:rPr>
        <w:t xml:space="preserve">îi revine </w:t>
      </w:r>
      <w:proofErr w:type="spellStart"/>
      <w:r w:rsidR="00911496" w:rsidRPr="000508B6">
        <w:rPr>
          <w:rFonts w:ascii="Times New Roman" w:eastAsia="Times New Roman" w:hAnsi="Times New Roman" w:cs="Times New Roman"/>
          <w:lang w:val="ro-MD"/>
        </w:rPr>
        <w:t>obligaţia</w:t>
      </w:r>
      <w:proofErr w:type="spellEnd"/>
      <w:r w:rsidR="00911496" w:rsidRPr="000508B6">
        <w:rPr>
          <w:rFonts w:ascii="Times New Roman" w:eastAsia="Times New Roman" w:hAnsi="Times New Roman" w:cs="Times New Roman"/>
          <w:lang w:val="ro-MD"/>
        </w:rPr>
        <w:t xml:space="preserve"> de a se asigura că </w:t>
      </w:r>
      <w:bookmarkStart w:id="57" w:name="_Hlk222085640"/>
      <w:r w:rsidR="00911496" w:rsidRPr="000508B6">
        <w:rPr>
          <w:rFonts w:ascii="Times New Roman" w:eastAsia="Times New Roman" w:hAnsi="Times New Roman" w:cs="Times New Roman"/>
          <w:lang w:val="ro-MD"/>
        </w:rPr>
        <w:t xml:space="preserve">persoanele care conduc efectiv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911496" w:rsidRPr="000508B6">
        <w:rPr>
          <w:rFonts w:ascii="Times New Roman" w:eastAsia="Times New Roman" w:hAnsi="Times New Roman" w:cs="Times New Roman"/>
          <w:lang w:val="ro-MD"/>
        </w:rPr>
        <w:t xml:space="preserve">, cele care </w:t>
      </w:r>
      <w:proofErr w:type="spellStart"/>
      <w:r w:rsidR="00911496" w:rsidRPr="000508B6">
        <w:rPr>
          <w:rFonts w:ascii="Times New Roman" w:eastAsia="Times New Roman" w:hAnsi="Times New Roman" w:cs="Times New Roman"/>
          <w:lang w:val="ro-MD"/>
        </w:rPr>
        <w:t>deţin</w:t>
      </w:r>
      <w:proofErr w:type="spellEnd"/>
      <w:r w:rsidR="00911496" w:rsidRPr="000508B6">
        <w:rPr>
          <w:rFonts w:ascii="Times New Roman" w:eastAsia="Times New Roman" w:hAnsi="Times New Roman" w:cs="Times New Roman"/>
          <w:lang w:val="ro-MD"/>
        </w:rPr>
        <w:t xml:space="preserve"> </w:t>
      </w:r>
      <w:proofErr w:type="spellStart"/>
      <w:r w:rsidR="00911496" w:rsidRPr="000508B6">
        <w:rPr>
          <w:rFonts w:ascii="Times New Roman" w:eastAsia="Times New Roman" w:hAnsi="Times New Roman" w:cs="Times New Roman"/>
          <w:lang w:val="ro-MD"/>
        </w:rPr>
        <w:t>funcţii</w:t>
      </w:r>
      <w:proofErr w:type="spellEnd"/>
      <w:r w:rsidR="00911496" w:rsidRPr="000508B6">
        <w:rPr>
          <w:rFonts w:ascii="Times New Roman" w:eastAsia="Times New Roman" w:hAnsi="Times New Roman" w:cs="Times New Roman"/>
          <w:lang w:val="ro-MD"/>
        </w:rPr>
        <w:t xml:space="preserve">-cheie sau alte </w:t>
      </w:r>
      <w:proofErr w:type="spellStart"/>
      <w:r w:rsidR="00911496" w:rsidRPr="000508B6">
        <w:rPr>
          <w:rFonts w:ascii="Times New Roman" w:eastAsia="Times New Roman" w:hAnsi="Times New Roman" w:cs="Times New Roman"/>
          <w:lang w:val="ro-MD"/>
        </w:rPr>
        <w:t>funcţii</w:t>
      </w:r>
      <w:proofErr w:type="spellEnd"/>
      <w:r w:rsidR="00911496" w:rsidRPr="000508B6">
        <w:rPr>
          <w:rFonts w:ascii="Times New Roman" w:eastAsia="Times New Roman" w:hAnsi="Times New Roman" w:cs="Times New Roman"/>
          <w:lang w:val="ro-MD"/>
        </w:rPr>
        <w:t xml:space="preserve"> critice</w:t>
      </w:r>
      <w:bookmarkEnd w:id="57"/>
      <w:r w:rsidR="00911496" w:rsidRPr="000508B6">
        <w:rPr>
          <w:rFonts w:ascii="Times New Roman" w:eastAsia="Times New Roman" w:hAnsi="Times New Roman" w:cs="Times New Roman"/>
          <w:lang w:val="ro-MD"/>
        </w:rPr>
        <w:t xml:space="preserve"> îndeplinesc în </w:t>
      </w:r>
      <w:proofErr w:type="spellStart"/>
      <w:r w:rsidR="00911496" w:rsidRPr="000508B6">
        <w:rPr>
          <w:rFonts w:ascii="Times New Roman" w:eastAsia="Times New Roman" w:hAnsi="Times New Roman" w:cs="Times New Roman"/>
          <w:lang w:val="ro-MD"/>
        </w:rPr>
        <w:t>permanenţă</w:t>
      </w:r>
      <w:proofErr w:type="spellEnd"/>
      <w:r w:rsidR="00911496" w:rsidRPr="000508B6">
        <w:rPr>
          <w:rFonts w:ascii="Times New Roman" w:eastAsia="Times New Roman" w:hAnsi="Times New Roman" w:cs="Times New Roman"/>
          <w:lang w:val="ro-MD"/>
        </w:rPr>
        <w:t xml:space="preserve"> următoarele </w:t>
      </w:r>
      <w:proofErr w:type="spellStart"/>
      <w:r w:rsidR="00911496" w:rsidRPr="000508B6">
        <w:rPr>
          <w:rFonts w:ascii="Times New Roman" w:eastAsia="Times New Roman" w:hAnsi="Times New Roman" w:cs="Times New Roman"/>
          <w:lang w:val="ro-MD"/>
        </w:rPr>
        <w:t>cerinţe</w:t>
      </w:r>
      <w:proofErr w:type="spellEnd"/>
      <w:r w:rsidR="00911496" w:rsidRPr="000508B6">
        <w:rPr>
          <w:rFonts w:ascii="Times New Roman" w:eastAsia="Times New Roman" w:hAnsi="Times New Roman" w:cs="Times New Roman"/>
          <w:lang w:val="ro-MD"/>
        </w:rPr>
        <w:t>:</w:t>
      </w:r>
    </w:p>
    <w:p w14:paraId="33A40201" w14:textId="616EE5C5" w:rsidR="00911496" w:rsidRPr="000508B6" w:rsidRDefault="006A1811" w:rsidP="00462541">
      <w:pPr>
        <w:pStyle w:val="Listparagraf"/>
        <w:numPr>
          <w:ilvl w:val="2"/>
          <w:numId w:val="34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competență: </w:t>
      </w:r>
      <w:bookmarkStart w:id="58" w:name="_Hlk222677387"/>
      <w:r w:rsidR="00953924" w:rsidRPr="000508B6">
        <w:rPr>
          <w:rFonts w:ascii="Times New Roman" w:eastAsia="Times New Roman" w:hAnsi="Times New Roman" w:cs="Times New Roman"/>
          <w:lang w:val="ro-MD"/>
        </w:rPr>
        <w:t>calificări, cunoștințe</w:t>
      </w:r>
      <w:r w:rsidR="00911496" w:rsidRPr="000508B6">
        <w:rPr>
          <w:rFonts w:ascii="Times New Roman" w:eastAsia="Times New Roman" w:hAnsi="Times New Roman" w:cs="Times New Roman"/>
          <w:lang w:val="ro-MD"/>
        </w:rPr>
        <w:t xml:space="preserve"> și </w:t>
      </w:r>
      <w:r w:rsidR="00953924" w:rsidRPr="000508B6">
        <w:rPr>
          <w:rFonts w:ascii="Times New Roman" w:eastAsia="Times New Roman" w:hAnsi="Times New Roman" w:cs="Times New Roman"/>
          <w:lang w:val="ro-MD"/>
        </w:rPr>
        <w:t>experiență</w:t>
      </w:r>
      <w:r w:rsidR="00911496" w:rsidRPr="000508B6">
        <w:rPr>
          <w:rFonts w:ascii="Times New Roman" w:eastAsia="Times New Roman" w:hAnsi="Times New Roman" w:cs="Times New Roman"/>
          <w:lang w:val="ro-MD"/>
        </w:rPr>
        <w:t xml:space="preserve"> profesională </w:t>
      </w:r>
      <w:bookmarkEnd w:id="58"/>
      <w:r w:rsidR="00911496" w:rsidRPr="000508B6">
        <w:rPr>
          <w:rFonts w:ascii="Times New Roman" w:eastAsia="Times New Roman" w:hAnsi="Times New Roman" w:cs="Times New Roman"/>
          <w:lang w:val="ro-MD"/>
        </w:rPr>
        <w:t>adecvate pentru a permite o administrare corectă și prudentă;</w:t>
      </w:r>
    </w:p>
    <w:p w14:paraId="35EDABF8" w14:textId="7847205A" w:rsidR="00911496" w:rsidRPr="000508B6" w:rsidRDefault="006A1811" w:rsidP="00754625">
      <w:pPr>
        <w:pStyle w:val="Listparagraf"/>
        <w:numPr>
          <w:ilvl w:val="2"/>
          <w:numId w:val="34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onorabilitate: </w:t>
      </w:r>
      <w:r w:rsidR="00911496" w:rsidRPr="000508B6">
        <w:rPr>
          <w:rFonts w:ascii="Times New Roman" w:eastAsia="Times New Roman" w:hAnsi="Times New Roman" w:cs="Times New Roman"/>
          <w:lang w:val="ro-MD"/>
        </w:rPr>
        <w:t xml:space="preserve">bună </w:t>
      </w:r>
      <w:proofErr w:type="spellStart"/>
      <w:r w:rsidR="00911496" w:rsidRPr="000508B6">
        <w:rPr>
          <w:rFonts w:ascii="Times New Roman" w:eastAsia="Times New Roman" w:hAnsi="Times New Roman" w:cs="Times New Roman"/>
          <w:lang w:val="ro-MD"/>
        </w:rPr>
        <w:t>reputaţie</w:t>
      </w:r>
      <w:proofErr w:type="spellEnd"/>
      <w:r w:rsidR="00911496" w:rsidRPr="000508B6">
        <w:rPr>
          <w:rFonts w:ascii="Times New Roman" w:eastAsia="Times New Roman" w:hAnsi="Times New Roman" w:cs="Times New Roman"/>
          <w:lang w:val="ro-MD"/>
        </w:rPr>
        <w:t xml:space="preserve"> </w:t>
      </w:r>
      <w:proofErr w:type="spellStart"/>
      <w:r w:rsidR="00911496" w:rsidRPr="000508B6">
        <w:rPr>
          <w:rFonts w:ascii="Times New Roman" w:eastAsia="Times New Roman" w:hAnsi="Times New Roman" w:cs="Times New Roman"/>
          <w:lang w:val="ro-MD"/>
        </w:rPr>
        <w:t>şi</w:t>
      </w:r>
      <w:proofErr w:type="spellEnd"/>
      <w:r w:rsidR="00911496" w:rsidRPr="000508B6">
        <w:rPr>
          <w:rFonts w:ascii="Times New Roman" w:eastAsia="Times New Roman" w:hAnsi="Times New Roman" w:cs="Times New Roman"/>
          <w:lang w:val="ro-MD"/>
        </w:rPr>
        <w:t xml:space="preserve"> nivel ridicat de integritate. </w:t>
      </w:r>
    </w:p>
    <w:p w14:paraId="37BC3CCE" w14:textId="7E205CC1" w:rsidR="00792328" w:rsidRPr="000508B6" w:rsidRDefault="00792328" w:rsidP="00754625">
      <w:pPr>
        <w:pStyle w:val="Listparagraf"/>
        <w:numPr>
          <w:ilvl w:val="0"/>
          <w:numId w:val="29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Membrii organelor de conducere a</w:t>
      </w:r>
      <w:r w:rsidR="00C013FB"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 xml:space="preserve"> </w:t>
      </w:r>
      <w:r w:rsidR="00CC460A" w:rsidRPr="000508B6">
        <w:rPr>
          <w:rFonts w:ascii="Times New Roman" w:eastAsia="Times New Roman" w:hAnsi="Times New Roman" w:cs="Times New Roman"/>
          <w:lang w:val="ro-MD"/>
        </w:rPr>
        <w:t xml:space="preserve">asigurătorului sau </w:t>
      </w:r>
      <w:proofErr w:type="spellStart"/>
      <w:r w:rsidR="00CC460A" w:rsidRPr="000508B6">
        <w:rPr>
          <w:rFonts w:ascii="Times New Roman" w:eastAsia="Times New Roman" w:hAnsi="Times New Roman" w:cs="Times New Roman"/>
          <w:lang w:val="ro-MD"/>
        </w:rPr>
        <w:t>reasigurătorului</w:t>
      </w:r>
      <w:proofErr w:type="spellEnd"/>
      <w:r w:rsidR="00CC46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au întotdeauna o bună reputație și dețin împreună cunoștințe, </w:t>
      </w:r>
      <w:r w:rsidRPr="000508B6" w:rsidDel="00CD7E50">
        <w:rPr>
          <w:rFonts w:ascii="Times New Roman" w:eastAsia="Times New Roman" w:hAnsi="Times New Roman" w:cs="Times New Roman"/>
          <w:lang w:val="ro-MD"/>
        </w:rPr>
        <w:t xml:space="preserve">aptitudini </w:t>
      </w:r>
      <w:r w:rsidRPr="000508B6">
        <w:rPr>
          <w:rFonts w:ascii="Times New Roman" w:eastAsia="Times New Roman" w:hAnsi="Times New Roman" w:cs="Times New Roman"/>
          <w:lang w:val="ro-MD"/>
        </w:rPr>
        <w:t>și experiență suficiente pentru a-și îndeplini atribuțiile.</w:t>
      </w:r>
    </w:p>
    <w:p w14:paraId="487D8C7A" w14:textId="44A01143" w:rsidR="00911496" w:rsidRPr="000508B6" w:rsidRDefault="00911496" w:rsidP="009B397A">
      <w:pPr>
        <w:pStyle w:val="Listparagraf"/>
        <w:numPr>
          <w:ilvl w:val="0"/>
          <w:numId w:val="291"/>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Membrii organelor de conducere </w:t>
      </w:r>
      <w:r w:rsidR="00C013FB" w:rsidRPr="000508B6">
        <w:rPr>
          <w:rFonts w:ascii="Times New Roman" w:eastAsia="Times New Roman" w:hAnsi="Times New Roman" w:cs="Times New Roman"/>
          <w:lang w:val="ro-MD"/>
        </w:rPr>
        <w:t xml:space="preserve">ai asigurătorului sau </w:t>
      </w:r>
      <w:proofErr w:type="spellStart"/>
      <w:r w:rsidR="00C013FB" w:rsidRPr="000508B6">
        <w:rPr>
          <w:rFonts w:ascii="Times New Roman" w:eastAsia="Times New Roman" w:hAnsi="Times New Roman" w:cs="Times New Roman"/>
          <w:lang w:val="ro-MD"/>
        </w:rPr>
        <w:t>reasigurătorului</w:t>
      </w:r>
      <w:proofErr w:type="spellEnd"/>
      <w:r w:rsidR="00C013F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nu trebuie să fi</w:t>
      </w:r>
      <w:r w:rsidR="00F51FCF">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condamnate pentru infracțiuni grave sau repetate legate de spălarea banilor sau finanțarea terorismului sau alte infracțiuni care ar afecta buna reputație, cel puțin în cei zece ani anteriori anului în care își îndeplinesc sau ar urma să își îndeplinească atribuțiile în cadrul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F81A4C" w:rsidRPr="000508B6">
        <w:rPr>
          <w:rFonts w:ascii="Times New Roman" w:eastAsia="Times New Roman" w:hAnsi="Times New Roman" w:cs="Times New Roman"/>
          <w:lang w:val="ro-MD"/>
        </w:rPr>
        <w:t>.</w:t>
      </w:r>
    </w:p>
    <w:p w14:paraId="1382F82B" w14:textId="3963E90F" w:rsidR="00911496" w:rsidRPr="000508B6" w:rsidRDefault="00CC460A" w:rsidP="009B397A">
      <w:pPr>
        <w:pStyle w:val="Listparagraf"/>
        <w:numPr>
          <w:ilvl w:val="0"/>
          <w:numId w:val="291"/>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911496" w:rsidRPr="000508B6">
        <w:rPr>
          <w:rFonts w:ascii="Times New Roman" w:eastAsia="Times New Roman" w:hAnsi="Times New Roman" w:cs="Times New Roman"/>
          <w:lang w:val="ro-MD"/>
        </w:rPr>
        <w:t xml:space="preserve">desemnează persoane diferite pentru a îndeplini funcțiile-cheie, fiecare dintre </w:t>
      </w:r>
      <w:r w:rsidR="00911496" w:rsidRPr="000508B6" w:rsidDel="004F0DA8">
        <w:rPr>
          <w:rFonts w:ascii="Times New Roman" w:eastAsia="Times New Roman" w:hAnsi="Times New Roman" w:cs="Times New Roman"/>
          <w:lang w:val="ro-MD"/>
        </w:rPr>
        <w:t xml:space="preserve">care </w:t>
      </w:r>
      <w:r w:rsidR="00911496" w:rsidRPr="000508B6">
        <w:rPr>
          <w:rFonts w:ascii="Times New Roman" w:eastAsia="Times New Roman" w:hAnsi="Times New Roman" w:cs="Times New Roman"/>
          <w:lang w:val="ro-MD"/>
        </w:rPr>
        <w:t xml:space="preserve">fiind </w:t>
      </w:r>
      <w:r w:rsidR="00911496" w:rsidRPr="000508B6" w:rsidDel="004F0DA8">
        <w:rPr>
          <w:rFonts w:ascii="Times New Roman" w:eastAsia="Times New Roman" w:hAnsi="Times New Roman" w:cs="Times New Roman"/>
          <w:lang w:val="ro-MD"/>
        </w:rPr>
        <w:t xml:space="preserve">îndeplinite în mod independent </w:t>
      </w:r>
      <w:r w:rsidR="00911496" w:rsidRPr="000508B6">
        <w:rPr>
          <w:rFonts w:ascii="Times New Roman" w:eastAsia="Times New Roman" w:hAnsi="Times New Roman" w:cs="Times New Roman"/>
          <w:lang w:val="ro-MD"/>
        </w:rPr>
        <w:t xml:space="preserve">de </w:t>
      </w:r>
      <w:r w:rsidR="00911496" w:rsidRPr="000508B6" w:rsidDel="004F0DA8">
        <w:rPr>
          <w:rFonts w:ascii="Times New Roman" w:eastAsia="Times New Roman" w:hAnsi="Times New Roman" w:cs="Times New Roman"/>
          <w:lang w:val="ro-MD"/>
        </w:rPr>
        <w:t>celelalte funcții, pentru a evita conflictele de interese</w:t>
      </w:r>
      <w:r w:rsidR="00911496" w:rsidRPr="000508B6">
        <w:rPr>
          <w:rFonts w:ascii="Times New Roman" w:eastAsia="Times New Roman" w:hAnsi="Times New Roman" w:cs="Times New Roman"/>
          <w:lang w:val="ro-MD"/>
        </w:rPr>
        <w:t xml:space="preserve">. </w:t>
      </w:r>
    </w:p>
    <w:p w14:paraId="227746EA" w14:textId="25D5D598" w:rsidR="00911496" w:rsidRPr="000508B6" w:rsidRDefault="00911496" w:rsidP="00911496">
      <w:pPr>
        <w:pStyle w:val="Listparagraf"/>
        <w:numPr>
          <w:ilvl w:val="0"/>
          <w:numId w:val="291"/>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CC460A" w:rsidRPr="000508B6">
        <w:rPr>
          <w:rFonts w:ascii="Times New Roman" w:eastAsia="Times New Roman" w:hAnsi="Times New Roman" w:cs="Times New Roman"/>
          <w:lang w:val="ro-MD"/>
        </w:rPr>
        <w:t xml:space="preserve">asigurătorul sau </w:t>
      </w:r>
      <w:proofErr w:type="spellStart"/>
      <w:r w:rsidR="00CC460A" w:rsidRPr="000508B6">
        <w:rPr>
          <w:rFonts w:ascii="Times New Roman" w:eastAsia="Times New Roman" w:hAnsi="Times New Roman" w:cs="Times New Roman"/>
          <w:lang w:val="ro-MD"/>
        </w:rPr>
        <w:t>reasigurătorul</w:t>
      </w:r>
      <w:proofErr w:type="spellEnd"/>
      <w:r w:rsidR="00CC46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 fost </w:t>
      </w:r>
      <w:r w:rsidR="00B646A1" w:rsidRPr="000508B6">
        <w:rPr>
          <w:rFonts w:ascii="Times New Roman" w:eastAsia="Times New Roman" w:hAnsi="Times New Roman" w:cs="Times New Roman"/>
          <w:lang w:val="ro-MD"/>
        </w:rPr>
        <w:t>încadrat în categoria</w:t>
      </w:r>
      <w:r w:rsidR="007F78F2" w:rsidRPr="000508B6">
        <w:rPr>
          <w:rFonts w:ascii="Times New Roman" w:eastAsia="Times New Roman" w:hAnsi="Times New Roman" w:cs="Times New Roman"/>
          <w:lang w:val="ro-MD"/>
        </w:rPr>
        <w:t xml:space="preserve"> </w:t>
      </w:r>
      <w:r w:rsidR="00B646A1" w:rsidRPr="000508B6">
        <w:rPr>
          <w:rFonts w:ascii="Times New Roman" w:eastAsia="Times New Roman" w:hAnsi="Times New Roman" w:cs="Times New Roman"/>
          <w:lang w:val="ro-MD"/>
        </w:rPr>
        <w:t xml:space="preserve">asigurător sau </w:t>
      </w:r>
      <w:proofErr w:type="spellStart"/>
      <w:r w:rsidR="00B646A1" w:rsidRPr="000508B6">
        <w:rPr>
          <w:rFonts w:ascii="Times New Roman" w:eastAsia="Times New Roman" w:hAnsi="Times New Roman" w:cs="Times New Roman"/>
          <w:lang w:val="ro-MD"/>
        </w:rPr>
        <w:t>reasigurător</w:t>
      </w:r>
      <w:proofErr w:type="spellEnd"/>
      <w:r w:rsidR="007F78F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mic și cu un grad redus de complexitate, persoanele </w:t>
      </w:r>
      <w:r w:rsidR="004478C3" w:rsidRPr="000508B6">
        <w:rPr>
          <w:rFonts w:ascii="Times New Roman" w:eastAsia="Times New Roman" w:hAnsi="Times New Roman" w:cs="Times New Roman"/>
          <w:lang w:val="ro-MD"/>
        </w:rPr>
        <w:t xml:space="preserve">responsabile de </w:t>
      </w:r>
      <w:r w:rsidRPr="000508B6">
        <w:rPr>
          <w:rFonts w:ascii="Times New Roman" w:eastAsia="Times New Roman" w:hAnsi="Times New Roman" w:cs="Times New Roman"/>
          <w:lang w:val="ro-MD"/>
        </w:rPr>
        <w:t>funcț</w:t>
      </w:r>
      <w:r w:rsidR="004478C3" w:rsidRPr="000508B6">
        <w:rPr>
          <w:rFonts w:ascii="Times New Roman" w:eastAsia="Times New Roman" w:hAnsi="Times New Roman" w:cs="Times New Roman"/>
          <w:lang w:val="ro-MD"/>
        </w:rPr>
        <w:t>ia de management al riscului, de conformitate și actuarială pot fi responsabile și de alte funcții critice</w:t>
      </w:r>
      <w:r w:rsidRPr="000508B6">
        <w:rPr>
          <w:rFonts w:ascii="Times New Roman" w:eastAsia="Times New Roman" w:hAnsi="Times New Roman" w:cs="Times New Roman"/>
          <w:lang w:val="ro-MD"/>
        </w:rPr>
        <w:t xml:space="preserve">, cu excepția funcției de audit intern </w:t>
      </w:r>
      <w:r w:rsidR="00F13E45" w:rsidRPr="000508B6">
        <w:rPr>
          <w:rFonts w:ascii="Times New Roman" w:eastAsia="Times New Roman" w:hAnsi="Times New Roman" w:cs="Times New Roman"/>
          <w:lang w:val="ro-MD"/>
        </w:rPr>
        <w:t>sau</w:t>
      </w:r>
      <w:r w:rsidR="0046254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pot fi membri ai organelor de conducere, dacă sunt îndeplinite următoarele condiții:</w:t>
      </w:r>
    </w:p>
    <w:p w14:paraId="54E848D0" w14:textId="77777777" w:rsidR="00911496" w:rsidRPr="000508B6" w:rsidRDefault="00911496" w:rsidP="00911496">
      <w:pPr>
        <w:pStyle w:val="Listparagraf"/>
        <w:numPr>
          <w:ilvl w:val="0"/>
          <w:numId w:val="339"/>
        </w:numPr>
        <w:spacing w:after="0" w:line="240" w:lineRule="auto"/>
        <w:ind w:left="0" w:firstLine="425"/>
        <w:jc w:val="both"/>
        <w:rPr>
          <w:rFonts w:ascii="Times New Roman" w:eastAsia="Times New Roman" w:hAnsi="Times New Roman" w:cs="Times New Roman"/>
          <w:lang w:val="ro-MD"/>
        </w:rPr>
      </w:pPr>
      <w:bookmarkStart w:id="59" w:name="_Hlk221890004"/>
      <w:r w:rsidRPr="000508B6">
        <w:rPr>
          <w:rFonts w:ascii="Times New Roman" w:eastAsia="Times New Roman" w:hAnsi="Times New Roman" w:cs="Times New Roman"/>
          <w:lang w:val="ro-MD"/>
        </w:rPr>
        <w:t>potențialele conflicte de interese sunt gestionate corespunzător;</w:t>
      </w:r>
    </w:p>
    <w:p w14:paraId="6E3E2A2D" w14:textId="564DF3BA" w:rsidR="00911496" w:rsidRPr="000508B6" w:rsidRDefault="00911496" w:rsidP="00911496">
      <w:pPr>
        <w:pStyle w:val="Listparagraf"/>
        <w:numPr>
          <w:ilvl w:val="0"/>
          <w:numId w:val="33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combinarea funcțiilor sau combinarea unei funcții cu statutul de persoană care conduce efectiv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D51ED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nu compromite capacitatea persoanei de a-și îndeplini responsabilitățile</w:t>
      </w:r>
      <w:bookmarkEnd w:id="59"/>
      <w:r w:rsidRPr="000508B6">
        <w:rPr>
          <w:rFonts w:ascii="Times New Roman" w:eastAsia="Times New Roman" w:hAnsi="Times New Roman" w:cs="Times New Roman"/>
          <w:lang w:val="ro-MD"/>
        </w:rPr>
        <w:t>.</w:t>
      </w:r>
    </w:p>
    <w:p w14:paraId="61E4FFA6" w14:textId="74516C99" w:rsidR="00911496" w:rsidRPr="000508B6" w:rsidRDefault="00643600" w:rsidP="00462541">
      <w:pPr>
        <w:pStyle w:val="Listparagraf"/>
        <w:numPr>
          <w:ilvl w:val="0"/>
          <w:numId w:val="29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Fiecare dintre persoanele prevăzute la alin.</w:t>
      </w:r>
      <w:r w:rsidR="0046254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(1) trebuie să fie aprobată </w:t>
      </w:r>
      <w:r w:rsidR="007E0C35" w:rsidRPr="000508B6">
        <w:rPr>
          <w:rFonts w:ascii="Times New Roman" w:eastAsia="Times New Roman" w:hAnsi="Times New Roman" w:cs="Times New Roman"/>
          <w:lang w:val="ro-MD"/>
        </w:rPr>
        <w:t xml:space="preserve">de Banca Națională a Moldovei </w:t>
      </w:r>
      <w:r w:rsidRPr="000508B6">
        <w:rPr>
          <w:rFonts w:ascii="Times New Roman" w:eastAsia="Times New Roman" w:hAnsi="Times New Roman" w:cs="Times New Roman"/>
          <w:lang w:val="ro-MD"/>
        </w:rPr>
        <w:t>înainte de începerea exercitării atribuțiilor</w:t>
      </w:r>
      <w:r w:rsidR="00296870" w:rsidRPr="000508B6">
        <w:rPr>
          <w:rFonts w:ascii="Times New Roman" w:eastAsia="Times New Roman" w:hAnsi="Times New Roman" w:cs="Times New Roman"/>
          <w:lang w:val="ro-MD"/>
        </w:rPr>
        <w:t>, cu ex</w:t>
      </w:r>
      <w:r w:rsidR="0068461E" w:rsidRPr="000508B6">
        <w:rPr>
          <w:rFonts w:ascii="Times New Roman" w:eastAsia="Times New Roman" w:hAnsi="Times New Roman" w:cs="Times New Roman"/>
          <w:lang w:val="ro-MD"/>
        </w:rPr>
        <w:t>c</w:t>
      </w:r>
      <w:r w:rsidR="00296870" w:rsidRPr="000508B6">
        <w:rPr>
          <w:rFonts w:ascii="Times New Roman" w:eastAsia="Times New Roman" w:hAnsi="Times New Roman" w:cs="Times New Roman"/>
          <w:lang w:val="ro-MD"/>
        </w:rPr>
        <w:t xml:space="preserve">epția persoanelor cu funcții critice, </w:t>
      </w:r>
      <w:r w:rsidR="00630862" w:rsidRPr="000508B6">
        <w:rPr>
          <w:rFonts w:ascii="Times New Roman" w:eastAsia="Times New Roman" w:hAnsi="Times New Roman" w:cs="Times New Roman"/>
          <w:lang w:val="ro-MD"/>
        </w:rPr>
        <w:t xml:space="preserve">altele decât </w:t>
      </w:r>
      <w:proofErr w:type="spellStart"/>
      <w:r w:rsidR="00630862" w:rsidRPr="000508B6">
        <w:rPr>
          <w:rFonts w:ascii="Times New Roman" w:eastAsia="Times New Roman" w:hAnsi="Times New Roman" w:cs="Times New Roman"/>
          <w:lang w:val="ro-MD"/>
        </w:rPr>
        <w:t>fucțiile</w:t>
      </w:r>
      <w:proofErr w:type="spellEnd"/>
      <w:r w:rsidR="00630862" w:rsidRPr="000508B6">
        <w:rPr>
          <w:rFonts w:ascii="Times New Roman" w:eastAsia="Times New Roman" w:hAnsi="Times New Roman" w:cs="Times New Roman"/>
          <w:lang w:val="ro-MD"/>
        </w:rPr>
        <w:t xml:space="preserve"> cheie, </w:t>
      </w:r>
      <w:r w:rsidR="00296870" w:rsidRPr="000508B6">
        <w:rPr>
          <w:rFonts w:ascii="Times New Roman" w:eastAsia="Times New Roman" w:hAnsi="Times New Roman" w:cs="Times New Roman"/>
          <w:lang w:val="ro-MD"/>
        </w:rPr>
        <w:t xml:space="preserve">care, după numirea în </w:t>
      </w:r>
      <w:proofErr w:type="spellStart"/>
      <w:r w:rsidR="00296870" w:rsidRPr="000508B6">
        <w:rPr>
          <w:rFonts w:ascii="Times New Roman" w:eastAsia="Times New Roman" w:hAnsi="Times New Roman" w:cs="Times New Roman"/>
          <w:lang w:val="ro-MD"/>
        </w:rPr>
        <w:t>funcţie</w:t>
      </w:r>
      <w:proofErr w:type="spellEnd"/>
      <w:r w:rsidR="00296870" w:rsidRPr="000508B6">
        <w:rPr>
          <w:rFonts w:ascii="Times New Roman" w:eastAsia="Times New Roman" w:hAnsi="Times New Roman" w:cs="Times New Roman"/>
          <w:lang w:val="ro-MD"/>
        </w:rPr>
        <w:t>, trebuie notificate</w:t>
      </w:r>
      <w:r w:rsidR="00911496" w:rsidRPr="000508B6">
        <w:rPr>
          <w:rFonts w:ascii="Times New Roman" w:eastAsia="Times New Roman" w:hAnsi="Times New Roman" w:cs="Times New Roman"/>
          <w:lang w:val="ro-MD"/>
        </w:rPr>
        <w:t xml:space="preserve"> </w:t>
      </w:r>
      <w:r w:rsidR="00296870" w:rsidRPr="000508B6">
        <w:rPr>
          <w:rFonts w:ascii="Times New Roman" w:eastAsia="Times New Roman" w:hAnsi="Times New Roman" w:cs="Times New Roman"/>
          <w:lang w:val="ro-MD"/>
        </w:rPr>
        <w:t xml:space="preserve">Băncii </w:t>
      </w:r>
      <w:proofErr w:type="spellStart"/>
      <w:r w:rsidR="00296870" w:rsidRPr="000508B6">
        <w:rPr>
          <w:rFonts w:ascii="Times New Roman" w:eastAsia="Times New Roman" w:hAnsi="Times New Roman" w:cs="Times New Roman"/>
          <w:lang w:val="ro-MD"/>
        </w:rPr>
        <w:t>Naţionale</w:t>
      </w:r>
      <w:proofErr w:type="spellEnd"/>
      <w:r w:rsidR="00296870" w:rsidRPr="000508B6">
        <w:rPr>
          <w:rFonts w:ascii="Times New Roman" w:eastAsia="Times New Roman" w:hAnsi="Times New Roman" w:cs="Times New Roman"/>
          <w:lang w:val="ro-MD"/>
        </w:rPr>
        <w:t xml:space="preserve"> a Moldovei</w:t>
      </w:r>
      <w:r w:rsidR="0068461E" w:rsidRPr="000508B6">
        <w:rPr>
          <w:rFonts w:ascii="Times New Roman" w:eastAsia="Times New Roman" w:hAnsi="Times New Roman" w:cs="Times New Roman"/>
          <w:lang w:val="ro-MD"/>
        </w:rPr>
        <w:t>,</w:t>
      </w:r>
      <w:r w:rsidR="00296870" w:rsidRPr="000508B6">
        <w:rPr>
          <w:rFonts w:ascii="Times New Roman" w:eastAsia="Times New Roman" w:hAnsi="Times New Roman" w:cs="Times New Roman"/>
          <w:lang w:val="ro-MD"/>
        </w:rPr>
        <w:t xml:space="preserve"> potrivit actelor normative emise în aplicarea prezentei legi. Banca </w:t>
      </w:r>
      <w:proofErr w:type="spellStart"/>
      <w:r w:rsidR="00296870" w:rsidRPr="000508B6">
        <w:rPr>
          <w:rFonts w:ascii="Times New Roman" w:eastAsia="Times New Roman" w:hAnsi="Times New Roman" w:cs="Times New Roman"/>
          <w:lang w:val="ro-MD"/>
        </w:rPr>
        <w:t>Naţională</w:t>
      </w:r>
      <w:proofErr w:type="spellEnd"/>
      <w:r w:rsidR="00296870" w:rsidRPr="000508B6">
        <w:rPr>
          <w:rFonts w:ascii="Times New Roman" w:eastAsia="Times New Roman" w:hAnsi="Times New Roman" w:cs="Times New Roman"/>
          <w:lang w:val="ro-MD"/>
        </w:rPr>
        <w:t xml:space="preserve"> a Moldovei va urmări în </w:t>
      </w:r>
      <w:proofErr w:type="spellStart"/>
      <w:r w:rsidR="00296870" w:rsidRPr="000508B6">
        <w:rPr>
          <w:rFonts w:ascii="Times New Roman" w:eastAsia="Times New Roman" w:hAnsi="Times New Roman" w:cs="Times New Roman"/>
          <w:lang w:val="ro-MD"/>
        </w:rPr>
        <w:t>permanenţă</w:t>
      </w:r>
      <w:proofErr w:type="spellEnd"/>
      <w:r w:rsidR="00296870" w:rsidRPr="000508B6">
        <w:rPr>
          <w:rFonts w:ascii="Times New Roman" w:eastAsia="Times New Roman" w:hAnsi="Times New Roman" w:cs="Times New Roman"/>
          <w:lang w:val="ro-MD"/>
        </w:rPr>
        <w:t xml:space="preserve"> respectarea de către persoanele prevăzute la alin.(1) a </w:t>
      </w:r>
      <w:proofErr w:type="spellStart"/>
      <w:r w:rsidR="00296870" w:rsidRPr="000508B6">
        <w:rPr>
          <w:rFonts w:ascii="Times New Roman" w:eastAsia="Times New Roman" w:hAnsi="Times New Roman" w:cs="Times New Roman"/>
          <w:lang w:val="ro-MD"/>
        </w:rPr>
        <w:t>condiţiilor</w:t>
      </w:r>
      <w:proofErr w:type="spellEnd"/>
      <w:r w:rsidR="00296870" w:rsidRPr="000508B6">
        <w:rPr>
          <w:rFonts w:ascii="Times New Roman" w:eastAsia="Times New Roman" w:hAnsi="Times New Roman" w:cs="Times New Roman"/>
          <w:lang w:val="ro-MD"/>
        </w:rPr>
        <w:t xml:space="preserve"> de aprobare și notificare.</w:t>
      </w:r>
    </w:p>
    <w:p w14:paraId="29307486" w14:textId="229C3AF0" w:rsidR="00911496" w:rsidRPr="000508B6" w:rsidRDefault="00CC460A" w:rsidP="00462541">
      <w:pPr>
        <w:pStyle w:val="Listparagraf"/>
        <w:numPr>
          <w:ilvl w:val="0"/>
          <w:numId w:val="291"/>
        </w:numPr>
        <w:tabs>
          <w:tab w:val="left" w:pos="709"/>
          <w:tab w:val="left" w:pos="993"/>
        </w:tabs>
        <w:spacing w:after="0" w:line="240" w:lineRule="auto"/>
        <w:ind w:left="0" w:firstLine="426"/>
        <w:jc w:val="both"/>
        <w:rPr>
          <w:rFonts w:ascii="Times New Roman" w:eastAsia="Times New Roman" w:hAnsi="Times New Roman" w:cs="Times New Roman"/>
          <w:lang w:val="ro-MD"/>
        </w:rPr>
      </w:pPr>
      <w:bookmarkStart w:id="60" w:name="_Hlk217637799"/>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911496" w:rsidRPr="000508B6">
        <w:rPr>
          <w:rFonts w:ascii="Times New Roman" w:eastAsia="Times New Roman" w:hAnsi="Times New Roman" w:cs="Times New Roman"/>
          <w:lang w:val="ro-MD"/>
        </w:rPr>
        <w:t>notifică Băncii Naționale a Moldovei despre înlocuirea persoanelor prevăzute la alin. (</w:t>
      </w:r>
      <w:r w:rsidR="00852A72" w:rsidRPr="000508B6">
        <w:rPr>
          <w:rFonts w:ascii="Times New Roman" w:eastAsia="Times New Roman" w:hAnsi="Times New Roman" w:cs="Times New Roman"/>
          <w:lang w:val="ro-MD"/>
        </w:rPr>
        <w:t>1</w:t>
      </w:r>
      <w:r w:rsidR="00911496" w:rsidRPr="000508B6">
        <w:rPr>
          <w:rFonts w:ascii="Times New Roman" w:eastAsia="Times New Roman" w:hAnsi="Times New Roman" w:cs="Times New Roman"/>
          <w:lang w:val="ro-MD"/>
        </w:rPr>
        <w:t xml:space="preserve">) </w:t>
      </w:r>
      <w:proofErr w:type="spellStart"/>
      <w:r w:rsidR="00911496" w:rsidRPr="000508B6">
        <w:rPr>
          <w:rFonts w:ascii="Times New Roman" w:eastAsia="Times New Roman" w:hAnsi="Times New Roman" w:cs="Times New Roman"/>
          <w:lang w:val="ro-MD"/>
        </w:rPr>
        <w:t>şi</w:t>
      </w:r>
      <w:proofErr w:type="spellEnd"/>
      <w:r w:rsidR="00911496" w:rsidRPr="000508B6">
        <w:rPr>
          <w:rFonts w:ascii="Times New Roman" w:eastAsia="Times New Roman" w:hAnsi="Times New Roman" w:cs="Times New Roman"/>
          <w:lang w:val="ro-MD"/>
        </w:rPr>
        <w:t xml:space="preserve"> transmite motivele înlocuirii și toate </w:t>
      </w:r>
      <w:proofErr w:type="spellStart"/>
      <w:r w:rsidR="00911496" w:rsidRPr="000508B6">
        <w:rPr>
          <w:rFonts w:ascii="Times New Roman" w:eastAsia="Times New Roman" w:hAnsi="Times New Roman" w:cs="Times New Roman"/>
          <w:lang w:val="ro-MD"/>
        </w:rPr>
        <w:t>informaţiile</w:t>
      </w:r>
      <w:proofErr w:type="spellEnd"/>
      <w:r w:rsidR="00911496" w:rsidRPr="000508B6">
        <w:rPr>
          <w:rFonts w:ascii="Times New Roman" w:eastAsia="Times New Roman" w:hAnsi="Times New Roman" w:cs="Times New Roman"/>
          <w:lang w:val="ro-MD"/>
        </w:rPr>
        <w:t xml:space="preserve"> necesare pentru a se evalua dacă persoanele nou desemnate, îndeplinesc </w:t>
      </w:r>
      <w:proofErr w:type="spellStart"/>
      <w:r w:rsidR="00911496" w:rsidRPr="000508B6">
        <w:rPr>
          <w:rFonts w:ascii="Times New Roman" w:eastAsia="Times New Roman" w:hAnsi="Times New Roman" w:cs="Times New Roman"/>
          <w:lang w:val="ro-MD"/>
        </w:rPr>
        <w:t>cerinţele</w:t>
      </w:r>
      <w:proofErr w:type="spellEnd"/>
      <w:r w:rsidR="00911496" w:rsidRPr="000508B6">
        <w:rPr>
          <w:rFonts w:ascii="Times New Roman" w:eastAsia="Times New Roman" w:hAnsi="Times New Roman" w:cs="Times New Roman"/>
          <w:lang w:val="ro-MD"/>
        </w:rPr>
        <w:t xml:space="preserve"> de </w:t>
      </w:r>
      <w:proofErr w:type="spellStart"/>
      <w:r w:rsidR="00911496" w:rsidRPr="000508B6">
        <w:rPr>
          <w:rFonts w:ascii="Times New Roman" w:eastAsia="Times New Roman" w:hAnsi="Times New Roman" w:cs="Times New Roman"/>
          <w:lang w:val="ro-MD"/>
        </w:rPr>
        <w:t>competenţă</w:t>
      </w:r>
      <w:proofErr w:type="spellEnd"/>
      <w:r w:rsidR="00911496" w:rsidRPr="000508B6">
        <w:rPr>
          <w:rFonts w:ascii="Times New Roman" w:eastAsia="Times New Roman" w:hAnsi="Times New Roman" w:cs="Times New Roman"/>
          <w:lang w:val="ro-MD"/>
        </w:rPr>
        <w:t xml:space="preserve"> </w:t>
      </w:r>
      <w:proofErr w:type="spellStart"/>
      <w:r w:rsidR="00911496" w:rsidRPr="000508B6">
        <w:rPr>
          <w:rFonts w:ascii="Times New Roman" w:eastAsia="Times New Roman" w:hAnsi="Times New Roman" w:cs="Times New Roman"/>
          <w:lang w:val="ro-MD"/>
        </w:rPr>
        <w:t>şi</w:t>
      </w:r>
      <w:proofErr w:type="spellEnd"/>
      <w:r w:rsidR="00911496" w:rsidRPr="000508B6">
        <w:rPr>
          <w:rFonts w:ascii="Times New Roman" w:eastAsia="Times New Roman" w:hAnsi="Times New Roman" w:cs="Times New Roman"/>
          <w:lang w:val="ro-MD"/>
        </w:rPr>
        <w:t xml:space="preserve"> onorabilitate</w:t>
      </w:r>
      <w:r w:rsidR="003352F8" w:rsidRPr="000508B6">
        <w:rPr>
          <w:rFonts w:ascii="Times New Roman" w:eastAsia="Times New Roman" w:hAnsi="Times New Roman" w:cs="Times New Roman"/>
          <w:lang w:val="ro-MD"/>
        </w:rPr>
        <w:t>, în vederea aprobării</w:t>
      </w:r>
      <w:r w:rsidR="00911496" w:rsidRPr="000508B6">
        <w:rPr>
          <w:rFonts w:ascii="Times New Roman" w:eastAsia="Times New Roman" w:hAnsi="Times New Roman" w:cs="Times New Roman"/>
          <w:lang w:val="ro-MD"/>
        </w:rPr>
        <w:t>.</w:t>
      </w:r>
    </w:p>
    <w:p w14:paraId="42F2FDC4" w14:textId="1E92A44B" w:rsidR="00911496" w:rsidRPr="000508B6" w:rsidRDefault="00CC460A" w:rsidP="00462541">
      <w:pPr>
        <w:pStyle w:val="Listparagraf"/>
        <w:numPr>
          <w:ilvl w:val="0"/>
          <w:numId w:val="29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911496" w:rsidRPr="000508B6">
        <w:rPr>
          <w:rFonts w:ascii="Times New Roman" w:eastAsia="Times New Roman" w:hAnsi="Times New Roman" w:cs="Times New Roman"/>
          <w:lang w:val="ro-MD"/>
        </w:rPr>
        <w:t xml:space="preserve">notifică Băncii Naționale a Moldovei în cazul în care înlocuirea uneia dintre persoanele </w:t>
      </w:r>
      <w:r w:rsidR="00AE1671" w:rsidRPr="000508B6">
        <w:rPr>
          <w:rFonts w:ascii="Times New Roman" w:eastAsia="Times New Roman" w:hAnsi="Times New Roman" w:cs="Times New Roman"/>
          <w:lang w:val="ro-MD"/>
        </w:rPr>
        <w:t xml:space="preserve">prevăzute la alin. (1) </w:t>
      </w:r>
      <w:r w:rsidR="00911496" w:rsidRPr="000508B6">
        <w:rPr>
          <w:rFonts w:ascii="Times New Roman" w:eastAsia="Times New Roman" w:hAnsi="Times New Roman" w:cs="Times New Roman"/>
          <w:lang w:val="ro-MD"/>
        </w:rPr>
        <w:t xml:space="preserve">este efectuată deoarece persoana nu mai </w:t>
      </w:r>
      <w:proofErr w:type="spellStart"/>
      <w:r w:rsidR="00911496" w:rsidRPr="000508B6">
        <w:rPr>
          <w:rFonts w:ascii="Times New Roman" w:eastAsia="Times New Roman" w:hAnsi="Times New Roman" w:cs="Times New Roman"/>
          <w:lang w:val="ro-MD"/>
        </w:rPr>
        <w:t>îndeplineşte</w:t>
      </w:r>
      <w:proofErr w:type="spellEnd"/>
      <w:r w:rsidR="00911496" w:rsidRPr="000508B6">
        <w:rPr>
          <w:rFonts w:ascii="Times New Roman" w:eastAsia="Times New Roman" w:hAnsi="Times New Roman" w:cs="Times New Roman"/>
          <w:lang w:val="ro-MD"/>
        </w:rPr>
        <w:t xml:space="preserve"> </w:t>
      </w:r>
      <w:proofErr w:type="spellStart"/>
      <w:r w:rsidR="00911496" w:rsidRPr="000508B6">
        <w:rPr>
          <w:rFonts w:ascii="Times New Roman" w:eastAsia="Times New Roman" w:hAnsi="Times New Roman" w:cs="Times New Roman"/>
          <w:lang w:val="ro-MD"/>
        </w:rPr>
        <w:t>cerinţele</w:t>
      </w:r>
      <w:proofErr w:type="spellEnd"/>
      <w:r w:rsidR="00911496" w:rsidRPr="000508B6">
        <w:rPr>
          <w:rFonts w:ascii="Times New Roman" w:eastAsia="Times New Roman" w:hAnsi="Times New Roman" w:cs="Times New Roman"/>
          <w:lang w:val="ro-MD"/>
        </w:rPr>
        <w:t xml:space="preserve"> prevăzute la alin. (1) sau a fost înlocuită din acest motiv.</w:t>
      </w:r>
      <w:r w:rsidR="00911496" w:rsidRPr="000508B6">
        <w:rPr>
          <w:rFonts w:ascii="Times New Roman" w:hAnsi="Times New Roman" w:cs="Times New Roman"/>
          <w:lang w:val="ro-MD"/>
        </w:rPr>
        <w:t xml:space="preserve"> </w:t>
      </w:r>
    </w:p>
    <w:p w14:paraId="7EFE0DCF" w14:textId="7FFD5D02" w:rsidR="00911496" w:rsidRPr="000508B6" w:rsidRDefault="00911496" w:rsidP="00462541">
      <w:pPr>
        <w:pStyle w:val="Listparagraf"/>
        <w:numPr>
          <w:ilvl w:val="0"/>
          <w:numId w:val="29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persoanele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(1) nu îndeplinesc cerințele prevăzute la alin. (1), Banca Națională a Moldovei solicită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să revoce aceste persoane. </w:t>
      </w:r>
    </w:p>
    <w:bookmarkEnd w:id="60"/>
    <w:p w14:paraId="5C894DE9" w14:textId="53D80346" w:rsidR="00AE1671" w:rsidRPr="000508B6" w:rsidRDefault="00911496" w:rsidP="00911496">
      <w:pPr>
        <w:pStyle w:val="Listparagraf"/>
        <w:numPr>
          <w:ilvl w:val="0"/>
          <w:numId w:val="291"/>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Persoanele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w:t>
      </w:r>
      <w:r w:rsidR="0046254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w:t>
      </w:r>
      <w:r w:rsidR="00852A72"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xml:space="preserve">) </w:t>
      </w:r>
      <w:r w:rsidR="00AE1671" w:rsidRPr="000508B6">
        <w:rPr>
          <w:rFonts w:ascii="Times New Roman" w:eastAsia="Times New Roman" w:hAnsi="Times New Roman" w:cs="Times New Roman"/>
          <w:lang w:val="ro-MD"/>
        </w:rPr>
        <w:t xml:space="preserve">cetățeni ai Republicii Moldova </w:t>
      </w:r>
      <w:r w:rsidRPr="000508B6">
        <w:rPr>
          <w:rFonts w:ascii="Times New Roman" w:eastAsia="Times New Roman" w:hAnsi="Times New Roman" w:cs="Times New Roman"/>
          <w:lang w:val="ro-MD"/>
        </w:rPr>
        <w:t xml:space="preserve">vor face dovada </w:t>
      </w:r>
      <w:bookmarkStart w:id="61" w:name="_Hlk222754724"/>
      <w:r w:rsidRPr="000508B6">
        <w:rPr>
          <w:rFonts w:ascii="Times New Roman" w:eastAsia="Times New Roman" w:hAnsi="Times New Roman" w:cs="Times New Roman"/>
          <w:lang w:val="ro-MD"/>
        </w:rPr>
        <w:t xml:space="preserve">bunei reputații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faptului că nu le este imputabilă insolvabilitatea unor </w:t>
      </w:r>
      <w:proofErr w:type="spellStart"/>
      <w:r w:rsidRPr="000508B6">
        <w:rPr>
          <w:rFonts w:ascii="Times New Roman" w:eastAsia="Times New Roman" w:hAnsi="Times New Roman" w:cs="Times New Roman"/>
          <w:lang w:val="ro-MD"/>
        </w:rPr>
        <w:t>entităţi</w:t>
      </w:r>
      <w:bookmarkEnd w:id="61"/>
      <w:proofErr w:type="spellEnd"/>
      <w:r w:rsidRPr="000508B6">
        <w:rPr>
          <w:rFonts w:ascii="Times New Roman" w:eastAsia="Times New Roman" w:hAnsi="Times New Roman" w:cs="Times New Roman"/>
          <w:lang w:val="ro-MD"/>
        </w:rPr>
        <w:t>, prin prezentarea cazierului judiciar și a certificatului privind lipsa sau existența restanțelor față de bugetul de stat</w:t>
      </w:r>
      <w:r w:rsidR="00AE1671" w:rsidRPr="000508B6">
        <w:rPr>
          <w:rFonts w:ascii="Times New Roman" w:eastAsia="Times New Roman" w:hAnsi="Times New Roman" w:cs="Times New Roman"/>
          <w:lang w:val="ro-MD"/>
        </w:rPr>
        <w:t>.</w:t>
      </w:r>
    </w:p>
    <w:p w14:paraId="62EDE90A" w14:textId="2EAA629B" w:rsidR="006C3365" w:rsidRPr="000508B6" w:rsidRDefault="00AE1671" w:rsidP="00911496">
      <w:pPr>
        <w:pStyle w:val="Listparagraf"/>
        <w:numPr>
          <w:ilvl w:val="0"/>
          <w:numId w:val="291"/>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cazul persoanelor nerezidente</w:t>
      </w:r>
      <w:r w:rsidR="00911496"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dovada menționată la alin. (10)</w:t>
      </w:r>
      <w:r w:rsidR="006C3365" w:rsidRPr="000508B6">
        <w:rPr>
          <w:rFonts w:ascii="Times New Roman" w:eastAsia="Times New Roman" w:hAnsi="Times New Roman" w:cs="Times New Roman"/>
          <w:lang w:val="ro-MD"/>
        </w:rPr>
        <w:t xml:space="preserve"> poate fi unul dinte următoarele documente:</w:t>
      </w:r>
      <w:r w:rsidR="00840DFA" w:rsidRPr="000508B6">
        <w:rPr>
          <w:rFonts w:ascii="Times New Roman" w:eastAsia="Times New Roman" w:hAnsi="Times New Roman" w:cs="Times New Roman"/>
          <w:lang w:val="ro-MD"/>
        </w:rPr>
        <w:t xml:space="preserve">  </w:t>
      </w:r>
    </w:p>
    <w:p w14:paraId="31DE5100" w14:textId="4A306F5C" w:rsidR="006C3365" w:rsidRPr="000508B6" w:rsidRDefault="006C3365" w:rsidP="00462541">
      <w:pPr>
        <w:pStyle w:val="Listparagraf"/>
        <w:numPr>
          <w:ilvl w:val="0"/>
          <w:numId w:val="405"/>
        </w:numPr>
        <w:tabs>
          <w:tab w:val="left" w:pos="709"/>
          <w:tab w:val="left" w:pos="851"/>
        </w:tabs>
        <w:spacing w:after="0" w:line="240" w:lineRule="auto"/>
        <w:ind w:left="0" w:firstLine="426"/>
        <w:jc w:val="both"/>
        <w:rPr>
          <w:rFonts w:ascii="Times New Roman" w:eastAsia="Times New Roman" w:hAnsi="Times New Roman" w:cs="Times New Roman"/>
          <w:lang w:val="ro-MD"/>
        </w:rPr>
      </w:pPr>
      <w:bookmarkStart w:id="62" w:name="_Hlk222752856"/>
      <w:r w:rsidRPr="000508B6">
        <w:rPr>
          <w:rFonts w:ascii="Times New Roman" w:eastAsia="Times New Roman" w:hAnsi="Times New Roman" w:cs="Times New Roman"/>
          <w:lang w:val="ro-MD"/>
        </w:rPr>
        <w:t xml:space="preserve">cazierul judiciar și certificatul privind lipsa sau existența restanțelor față de bugetul de stat, </w:t>
      </w:r>
      <w:bookmarkStart w:id="63" w:name="_Hlk222753977"/>
      <w:r w:rsidRPr="000508B6">
        <w:rPr>
          <w:rFonts w:ascii="Times New Roman" w:eastAsia="Times New Roman" w:hAnsi="Times New Roman" w:cs="Times New Roman"/>
          <w:lang w:val="ro-MD"/>
        </w:rPr>
        <w:t>dacă în statul membru de reședință sau de origine sunt emise documentele respective</w:t>
      </w:r>
      <w:bookmarkEnd w:id="63"/>
      <w:r w:rsidRPr="000508B6">
        <w:rPr>
          <w:rFonts w:ascii="Times New Roman" w:eastAsia="Times New Roman" w:hAnsi="Times New Roman" w:cs="Times New Roman"/>
          <w:lang w:val="ro-MD"/>
        </w:rPr>
        <w:t>;</w:t>
      </w:r>
    </w:p>
    <w:p w14:paraId="481EFE55" w14:textId="4228963A" w:rsidR="006C3365" w:rsidRPr="000508B6" w:rsidRDefault="006C3365" w:rsidP="00462541">
      <w:pPr>
        <w:pStyle w:val="Listparagraf"/>
        <w:numPr>
          <w:ilvl w:val="0"/>
          <w:numId w:val="40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extras din cazierul judiciar;</w:t>
      </w:r>
    </w:p>
    <w:p w14:paraId="50FA04F6" w14:textId="7E888F8F" w:rsidR="006C3365" w:rsidRPr="000508B6" w:rsidRDefault="006C3365" w:rsidP="00462541">
      <w:pPr>
        <w:pStyle w:val="Listparagraf"/>
        <w:numPr>
          <w:ilvl w:val="0"/>
          <w:numId w:val="40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un document echivalent cazierului judiciar, eliberat de o autoritate judiciară sau administrativă </w:t>
      </w:r>
      <w:r w:rsidR="00840DFA" w:rsidRPr="000508B6">
        <w:rPr>
          <w:rFonts w:ascii="Times New Roman" w:eastAsia="Times New Roman" w:hAnsi="Times New Roman" w:cs="Times New Roman"/>
          <w:lang w:val="ro-MD"/>
        </w:rPr>
        <w:t xml:space="preserve">competentă </w:t>
      </w:r>
      <w:r w:rsidRPr="000508B6">
        <w:rPr>
          <w:rFonts w:ascii="Times New Roman" w:eastAsia="Times New Roman" w:hAnsi="Times New Roman" w:cs="Times New Roman"/>
          <w:lang w:val="ro-MD"/>
        </w:rPr>
        <w:t xml:space="preserve">sau, după caz, în fața unui notar, </w:t>
      </w:r>
      <w:r w:rsidR="00840DFA" w:rsidRPr="000508B6">
        <w:rPr>
          <w:rFonts w:ascii="Times New Roman" w:eastAsia="Times New Roman" w:hAnsi="Times New Roman" w:cs="Times New Roman"/>
          <w:lang w:val="ro-MD"/>
        </w:rPr>
        <w:t>a cărei autenticitate este atestată printr-un certificat emis de autoritatea sau notarul în fața căruia este dată declarația</w:t>
      </w:r>
      <w:r w:rsidRPr="000508B6">
        <w:rPr>
          <w:rFonts w:ascii="Times New Roman" w:eastAsia="Times New Roman" w:hAnsi="Times New Roman" w:cs="Times New Roman"/>
          <w:lang w:val="ro-MD"/>
        </w:rPr>
        <w:t>;</w:t>
      </w:r>
    </w:p>
    <w:p w14:paraId="5EC040FE" w14:textId="4C32EEC5" w:rsidR="00911496" w:rsidRPr="000508B6" w:rsidRDefault="00840DFA" w:rsidP="00462541">
      <w:pPr>
        <w:pStyle w:val="Listparagraf"/>
        <w:numPr>
          <w:ilvl w:val="0"/>
          <w:numId w:val="40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declarație</w:t>
      </w:r>
      <w:r w:rsidR="00911496" w:rsidRPr="000508B6">
        <w:rPr>
          <w:rFonts w:ascii="Times New Roman" w:eastAsia="Times New Roman" w:hAnsi="Times New Roman" w:cs="Times New Roman"/>
          <w:lang w:val="ro-MD"/>
        </w:rPr>
        <w:t xml:space="preserve"> sub jurământ sau </w:t>
      </w:r>
      <w:proofErr w:type="spellStart"/>
      <w:r w:rsidR="00911496" w:rsidRPr="000508B6">
        <w:rPr>
          <w:rFonts w:ascii="Times New Roman" w:eastAsia="Times New Roman" w:hAnsi="Times New Roman" w:cs="Times New Roman"/>
          <w:lang w:val="ro-MD"/>
        </w:rPr>
        <w:t>declaraţie</w:t>
      </w:r>
      <w:proofErr w:type="spellEnd"/>
      <w:r w:rsidR="00911496" w:rsidRPr="000508B6">
        <w:rPr>
          <w:rFonts w:ascii="Times New Roman" w:eastAsia="Times New Roman" w:hAnsi="Times New Roman" w:cs="Times New Roman"/>
          <w:lang w:val="ro-MD"/>
        </w:rPr>
        <w:t xml:space="preserve"> solemnă dată în </w:t>
      </w:r>
      <w:proofErr w:type="spellStart"/>
      <w:r w:rsidR="00911496" w:rsidRPr="000508B6">
        <w:rPr>
          <w:rFonts w:ascii="Times New Roman" w:eastAsia="Times New Roman" w:hAnsi="Times New Roman" w:cs="Times New Roman"/>
          <w:lang w:val="ro-MD"/>
        </w:rPr>
        <w:t>faţa</w:t>
      </w:r>
      <w:proofErr w:type="spellEnd"/>
      <w:r w:rsidR="00911496" w:rsidRPr="000508B6">
        <w:rPr>
          <w:rFonts w:ascii="Times New Roman" w:eastAsia="Times New Roman" w:hAnsi="Times New Roman" w:cs="Times New Roman"/>
          <w:lang w:val="ro-MD"/>
        </w:rPr>
        <w:t xml:space="preserve"> unei </w:t>
      </w:r>
      <w:proofErr w:type="spellStart"/>
      <w:r w:rsidR="00911496" w:rsidRPr="000508B6">
        <w:rPr>
          <w:rFonts w:ascii="Times New Roman" w:eastAsia="Times New Roman" w:hAnsi="Times New Roman" w:cs="Times New Roman"/>
          <w:lang w:val="ro-MD"/>
        </w:rPr>
        <w:t>asociaţii</w:t>
      </w:r>
      <w:proofErr w:type="spellEnd"/>
      <w:r w:rsidRPr="000508B6">
        <w:rPr>
          <w:rFonts w:ascii="Times New Roman" w:eastAsia="Times New Roman" w:hAnsi="Times New Roman" w:cs="Times New Roman"/>
          <w:lang w:val="ro-MD"/>
        </w:rPr>
        <w:t xml:space="preserve"> profesionale sau comerciale competente din statul membru de reședință, a cărei autenticitate este atestată printr-un certificat emis de asociația în fața căruia este dată declarația</w:t>
      </w:r>
      <w:r w:rsidR="00911496" w:rsidRPr="000508B6">
        <w:rPr>
          <w:rFonts w:ascii="Times New Roman" w:eastAsia="Times New Roman" w:hAnsi="Times New Roman" w:cs="Times New Roman"/>
          <w:lang w:val="ro-MD"/>
        </w:rPr>
        <w:t xml:space="preserve">. </w:t>
      </w:r>
    </w:p>
    <w:bookmarkEnd w:id="62"/>
    <w:p w14:paraId="108A464A" w14:textId="1EB0EC20" w:rsidR="00911496" w:rsidRPr="000508B6" w:rsidRDefault="003E3DF3" w:rsidP="00754625">
      <w:pPr>
        <w:pStyle w:val="Listparagraf"/>
        <w:numPr>
          <w:ilvl w:val="0"/>
          <w:numId w:val="291"/>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Documentele </w:t>
      </w:r>
      <w:proofErr w:type="spellStart"/>
      <w:r w:rsidR="00911496" w:rsidRPr="000508B6">
        <w:rPr>
          <w:rFonts w:ascii="Times New Roman" w:eastAsia="Times New Roman" w:hAnsi="Times New Roman" w:cs="Times New Roman"/>
          <w:lang w:val="ro-MD"/>
        </w:rPr>
        <w:t>menţionate</w:t>
      </w:r>
      <w:proofErr w:type="spellEnd"/>
      <w:r w:rsidR="00911496" w:rsidRPr="000508B6">
        <w:rPr>
          <w:rFonts w:ascii="Times New Roman" w:eastAsia="Times New Roman" w:hAnsi="Times New Roman" w:cs="Times New Roman"/>
          <w:lang w:val="ro-MD"/>
        </w:rPr>
        <w:t xml:space="preserve"> la alin. (10) și (11)  </w:t>
      </w:r>
      <w:r w:rsidRPr="000508B6">
        <w:rPr>
          <w:rFonts w:ascii="Times New Roman" w:eastAsia="Times New Roman" w:hAnsi="Times New Roman" w:cs="Times New Roman"/>
          <w:lang w:val="ro-MD"/>
        </w:rPr>
        <w:t xml:space="preserve">sunt transmise către Banca Națională a Moldovei în termen de </w:t>
      </w:r>
      <w:r w:rsidR="00B67092" w:rsidRPr="000508B6">
        <w:rPr>
          <w:rFonts w:ascii="Times New Roman" w:eastAsia="Times New Roman" w:hAnsi="Times New Roman" w:cs="Times New Roman"/>
          <w:lang w:val="ro-MD"/>
        </w:rPr>
        <w:t>cel mult</w:t>
      </w:r>
      <w:r w:rsidR="00224578" w:rsidRPr="000508B6">
        <w:rPr>
          <w:rFonts w:ascii="Times New Roman" w:eastAsia="Times New Roman" w:hAnsi="Times New Roman" w:cs="Times New Roman"/>
          <w:lang w:val="ro-MD"/>
        </w:rPr>
        <w:t xml:space="preserve"> </w:t>
      </w:r>
      <w:r w:rsidR="00911496" w:rsidRPr="000508B6">
        <w:rPr>
          <w:rFonts w:ascii="Times New Roman" w:eastAsia="Times New Roman" w:hAnsi="Times New Roman" w:cs="Times New Roman"/>
          <w:lang w:val="ro-MD"/>
        </w:rPr>
        <w:t xml:space="preserve">3 luni de la data emiterii acestora. </w:t>
      </w:r>
    </w:p>
    <w:p w14:paraId="23B73B95" w14:textId="045F48BE" w:rsidR="00911496" w:rsidRPr="000508B6" w:rsidRDefault="00911496" w:rsidP="00754625">
      <w:pPr>
        <w:pStyle w:val="Listparagraf"/>
        <w:numPr>
          <w:ilvl w:val="0"/>
          <w:numId w:val="291"/>
        </w:numPr>
        <w:tabs>
          <w:tab w:val="left" w:pos="709"/>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are </w:t>
      </w:r>
      <w:proofErr w:type="spellStart"/>
      <w:r w:rsidRPr="000508B6">
        <w:rPr>
          <w:rFonts w:ascii="Times New Roman" w:eastAsia="Times New Roman" w:hAnsi="Times New Roman" w:cs="Times New Roman"/>
          <w:lang w:val="ro-MD"/>
        </w:rPr>
        <w:t>competenţa</w:t>
      </w:r>
      <w:proofErr w:type="spellEnd"/>
      <w:r w:rsidRPr="000508B6">
        <w:rPr>
          <w:rFonts w:ascii="Times New Roman" w:eastAsia="Times New Roman" w:hAnsi="Times New Roman" w:cs="Times New Roman"/>
          <w:lang w:val="ro-MD"/>
        </w:rPr>
        <w:t xml:space="preserve"> de a analiza în ce măsură sunt respectate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minime prevăzute de prezenta lege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actele sale normative, de a evalua toate </w:t>
      </w:r>
      <w:proofErr w:type="spellStart"/>
      <w:r w:rsidRPr="000508B6">
        <w:rPr>
          <w:rFonts w:ascii="Times New Roman" w:eastAsia="Times New Roman" w:hAnsi="Times New Roman" w:cs="Times New Roman"/>
          <w:lang w:val="ro-MD"/>
        </w:rPr>
        <w:t>circumstanţele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legate de </w:t>
      </w:r>
      <w:proofErr w:type="spellStart"/>
      <w:r w:rsidRPr="000508B6">
        <w:rPr>
          <w:rFonts w:ascii="Times New Roman" w:eastAsia="Times New Roman" w:hAnsi="Times New Roman" w:cs="Times New Roman"/>
          <w:lang w:val="ro-MD"/>
        </w:rPr>
        <w:t>competenţ</w:t>
      </w:r>
      <w:r w:rsidR="00983FA6" w:rsidRPr="000508B6">
        <w:rPr>
          <w:rFonts w:ascii="Times New Roman" w:eastAsia="Times New Roman" w:hAnsi="Times New Roman" w:cs="Times New Roman"/>
          <w:lang w:val="ro-MD"/>
        </w:rPr>
        <w:t>ă</w:t>
      </w:r>
      <w:proofErr w:type="spellEnd"/>
      <w:r w:rsidRPr="000508B6">
        <w:rPr>
          <w:rFonts w:ascii="Times New Roman" w:eastAsia="Times New Roman" w:hAnsi="Times New Roman" w:cs="Times New Roman"/>
          <w:lang w:val="ro-MD"/>
        </w:rPr>
        <w:t xml:space="preserve"> </w:t>
      </w:r>
      <w:r w:rsidR="00983FA6" w:rsidRPr="000508B6">
        <w:rPr>
          <w:rFonts w:ascii="Times New Roman" w:eastAsia="Times New Roman" w:hAnsi="Times New Roman" w:cs="Times New Roman"/>
          <w:lang w:val="ro-MD"/>
        </w:rPr>
        <w:t xml:space="preserve">și </w:t>
      </w:r>
      <w:r w:rsidRPr="000508B6">
        <w:rPr>
          <w:rFonts w:ascii="Times New Roman" w:eastAsia="Times New Roman" w:hAnsi="Times New Roman" w:cs="Times New Roman"/>
          <w:lang w:val="ro-MD"/>
        </w:rPr>
        <w:t>onorabilitate</w:t>
      </w:r>
      <w:r w:rsidR="00983FA6" w:rsidRPr="000508B6">
        <w:rPr>
          <w:rFonts w:ascii="Times New Roman" w:eastAsia="Times New Roman" w:hAnsi="Times New Roman" w:cs="Times New Roman"/>
          <w:lang w:val="ro-MD"/>
        </w:rPr>
        <w:t xml:space="preserve"> a </w:t>
      </w:r>
      <w:r w:rsidRPr="000508B6">
        <w:rPr>
          <w:rFonts w:ascii="Times New Roman" w:eastAsia="Times New Roman" w:hAnsi="Times New Roman" w:cs="Times New Roman"/>
          <w:lang w:val="ro-MD"/>
        </w:rPr>
        <w:t>persoanelor indicate la alin. (</w:t>
      </w:r>
      <w:r w:rsidR="00852A72"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a decide dacă </w:t>
      </w:r>
      <w:proofErr w:type="spellStart"/>
      <w:r w:rsidRPr="000508B6">
        <w:rPr>
          <w:rFonts w:ascii="Times New Roman" w:eastAsia="Times New Roman" w:hAnsi="Times New Roman" w:cs="Times New Roman"/>
          <w:lang w:val="ro-MD"/>
        </w:rPr>
        <w:t>cerinţele</w:t>
      </w:r>
      <w:proofErr w:type="spellEnd"/>
      <w:r w:rsidRPr="000508B6">
        <w:rPr>
          <w:rFonts w:ascii="Times New Roman" w:eastAsia="Times New Roman" w:hAnsi="Times New Roman" w:cs="Times New Roman"/>
          <w:lang w:val="ro-MD"/>
        </w:rPr>
        <w:t xml:space="preserve"> prevăzute sunt îndeplinite. </w:t>
      </w:r>
    </w:p>
    <w:p w14:paraId="47758D88" w14:textId="46209EC4" w:rsidR="00911496" w:rsidRPr="000508B6" w:rsidRDefault="00911496" w:rsidP="00754625">
      <w:pPr>
        <w:pStyle w:val="Listparagraf"/>
        <w:numPr>
          <w:ilvl w:val="0"/>
          <w:numId w:val="291"/>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Fiecare persoană care conduce efectiv </w:t>
      </w:r>
      <w:r w:rsidR="00CC460A" w:rsidRPr="000508B6">
        <w:rPr>
          <w:rFonts w:ascii="Times New Roman" w:eastAsia="Times New Roman" w:hAnsi="Times New Roman" w:cs="Times New Roman"/>
          <w:lang w:val="ro-MD"/>
        </w:rPr>
        <w:t xml:space="preserve">asigurătorul sau </w:t>
      </w:r>
      <w:proofErr w:type="spellStart"/>
      <w:r w:rsidR="00CC460A" w:rsidRPr="000508B6">
        <w:rPr>
          <w:rFonts w:ascii="Times New Roman" w:eastAsia="Times New Roman" w:hAnsi="Times New Roman" w:cs="Times New Roman"/>
          <w:lang w:val="ro-MD"/>
        </w:rPr>
        <w:t>reasigurătorul</w:t>
      </w:r>
      <w:proofErr w:type="spellEnd"/>
      <w:r w:rsidR="00CC46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trebuie să </w:t>
      </w:r>
      <w:proofErr w:type="spellStart"/>
      <w:r w:rsidRPr="000508B6">
        <w:rPr>
          <w:rFonts w:ascii="Times New Roman" w:eastAsia="Times New Roman" w:hAnsi="Times New Roman" w:cs="Times New Roman"/>
          <w:lang w:val="ro-MD"/>
        </w:rPr>
        <w:t>îşi</w:t>
      </w:r>
      <w:proofErr w:type="spellEnd"/>
      <w:r w:rsidRPr="000508B6">
        <w:rPr>
          <w:rFonts w:ascii="Times New Roman" w:eastAsia="Times New Roman" w:hAnsi="Times New Roman" w:cs="Times New Roman"/>
          <w:lang w:val="ro-MD"/>
        </w:rPr>
        <w:t xml:space="preserve"> exercite </w:t>
      </w:r>
      <w:proofErr w:type="spellStart"/>
      <w:r w:rsidRPr="000508B6">
        <w:rPr>
          <w:rFonts w:ascii="Times New Roman" w:eastAsia="Times New Roman" w:hAnsi="Times New Roman" w:cs="Times New Roman"/>
          <w:lang w:val="ro-MD"/>
        </w:rPr>
        <w:t>responsabilităţile</w:t>
      </w:r>
      <w:proofErr w:type="spellEnd"/>
      <w:r w:rsidRPr="000508B6">
        <w:rPr>
          <w:rFonts w:ascii="Times New Roman" w:eastAsia="Times New Roman" w:hAnsi="Times New Roman" w:cs="Times New Roman"/>
          <w:lang w:val="ro-MD"/>
        </w:rPr>
        <w:t xml:space="preserve"> cu onestitate, integritate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 baza unei gândiri independente pentru a putea evalua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pune în </w:t>
      </w:r>
      <w:proofErr w:type="spellStart"/>
      <w:r w:rsidRPr="000508B6">
        <w:rPr>
          <w:rFonts w:ascii="Times New Roman" w:eastAsia="Times New Roman" w:hAnsi="Times New Roman" w:cs="Times New Roman"/>
          <w:lang w:val="ro-MD"/>
        </w:rPr>
        <w:t>discuţie</w:t>
      </w:r>
      <w:proofErr w:type="spellEnd"/>
      <w:r w:rsidRPr="000508B6">
        <w:rPr>
          <w:rFonts w:ascii="Times New Roman" w:eastAsia="Times New Roman" w:hAnsi="Times New Roman" w:cs="Times New Roman"/>
          <w:lang w:val="ro-MD"/>
        </w:rPr>
        <w:t xml:space="preserve">, în mod eficace, deciziile luate de către organul executiv, atunci când este necesar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pentru a controla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monitoriza, în mod eficace, procesul de luare a respectivelor decizii. </w:t>
      </w:r>
    </w:p>
    <w:p w14:paraId="03C38269" w14:textId="3EC3BBB7" w:rsidR="00911496" w:rsidRPr="000508B6" w:rsidRDefault="00911496" w:rsidP="00911496">
      <w:pPr>
        <w:pStyle w:val="Listparagraf"/>
        <w:numPr>
          <w:ilvl w:val="0"/>
          <w:numId w:val="291"/>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Atribuțiile persoanelor care conduc efectiv </w:t>
      </w:r>
      <w:bookmarkStart w:id="64" w:name="_Hlk214625681"/>
      <w:r w:rsidR="00CC460A" w:rsidRPr="000508B6">
        <w:rPr>
          <w:rFonts w:ascii="Times New Roman" w:eastAsia="Times New Roman" w:hAnsi="Times New Roman" w:cs="Times New Roman"/>
          <w:lang w:val="ro-MD"/>
        </w:rPr>
        <w:t xml:space="preserve">asigurătorul sau </w:t>
      </w:r>
      <w:proofErr w:type="spellStart"/>
      <w:r w:rsidR="00CC460A" w:rsidRPr="000508B6">
        <w:rPr>
          <w:rFonts w:ascii="Times New Roman" w:eastAsia="Times New Roman" w:hAnsi="Times New Roman" w:cs="Times New Roman"/>
          <w:lang w:val="ro-MD"/>
        </w:rPr>
        <w:t>reasigurătorul</w:t>
      </w:r>
      <w:proofErr w:type="spellEnd"/>
      <w:r w:rsidR="00CC460A" w:rsidRPr="000508B6">
        <w:rPr>
          <w:rFonts w:ascii="Times New Roman" w:eastAsia="Times New Roman" w:hAnsi="Times New Roman" w:cs="Times New Roman"/>
          <w:lang w:val="ro-MD"/>
        </w:rPr>
        <w:t xml:space="preserve"> </w:t>
      </w:r>
      <w:bookmarkEnd w:id="64"/>
      <w:r w:rsidRPr="000508B6">
        <w:rPr>
          <w:rFonts w:ascii="Times New Roman" w:eastAsia="Times New Roman" w:hAnsi="Times New Roman" w:cs="Times New Roman"/>
          <w:lang w:val="ro-MD"/>
        </w:rPr>
        <w:t xml:space="preserve">nu pot fi delegate altor persoane. </w:t>
      </w:r>
    </w:p>
    <w:p w14:paraId="7E6EAE1D" w14:textId="001EEFA2" w:rsidR="00911496" w:rsidRPr="000508B6" w:rsidRDefault="00911496" w:rsidP="00911496">
      <w:pPr>
        <w:pStyle w:val="Listparagraf"/>
        <w:numPr>
          <w:ilvl w:val="0"/>
          <w:numId w:val="291"/>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care conduc efectiv </w:t>
      </w:r>
      <w:r w:rsidR="00CC460A" w:rsidRPr="000508B6">
        <w:rPr>
          <w:rFonts w:ascii="Times New Roman" w:eastAsia="Times New Roman" w:hAnsi="Times New Roman" w:cs="Times New Roman"/>
          <w:lang w:val="ro-MD"/>
        </w:rPr>
        <w:t xml:space="preserve">asigurătorul sau </w:t>
      </w:r>
      <w:proofErr w:type="spellStart"/>
      <w:r w:rsidR="00CC460A" w:rsidRPr="000508B6">
        <w:rPr>
          <w:rFonts w:ascii="Times New Roman" w:eastAsia="Times New Roman" w:hAnsi="Times New Roman" w:cs="Times New Roman"/>
          <w:lang w:val="ro-MD"/>
        </w:rPr>
        <w:t>reasigurătorul</w:t>
      </w:r>
      <w:proofErr w:type="spellEnd"/>
      <w:r w:rsidR="00CC46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trebuie să aloce timp suficient pentru îndeplinirea </w:t>
      </w:r>
      <w:proofErr w:type="spellStart"/>
      <w:r w:rsidRPr="000508B6">
        <w:rPr>
          <w:rFonts w:ascii="Times New Roman" w:eastAsia="Times New Roman" w:hAnsi="Times New Roman" w:cs="Times New Roman"/>
          <w:lang w:val="ro-MD"/>
        </w:rPr>
        <w:t>atribuţiilor</w:t>
      </w:r>
      <w:proofErr w:type="spellEnd"/>
      <w:r w:rsidRPr="000508B6">
        <w:rPr>
          <w:rFonts w:ascii="Times New Roman" w:eastAsia="Times New Roman" w:hAnsi="Times New Roman" w:cs="Times New Roman"/>
          <w:lang w:val="ro-MD"/>
        </w:rPr>
        <w:t xml:space="preserve"> ce le revin. Numărul </w:t>
      </w:r>
      <w:proofErr w:type="spellStart"/>
      <w:r w:rsidRPr="000508B6">
        <w:rPr>
          <w:rFonts w:ascii="Times New Roman" w:eastAsia="Times New Roman" w:hAnsi="Times New Roman" w:cs="Times New Roman"/>
          <w:lang w:val="ro-MD"/>
        </w:rPr>
        <w:t>funcţiilor</w:t>
      </w:r>
      <w:proofErr w:type="spellEnd"/>
      <w:r w:rsidRPr="000508B6">
        <w:rPr>
          <w:rFonts w:ascii="Times New Roman" w:eastAsia="Times New Roman" w:hAnsi="Times New Roman" w:cs="Times New Roman"/>
          <w:lang w:val="ro-MD"/>
        </w:rPr>
        <w:t xml:space="preserve"> pe care o persoană le poate </w:t>
      </w:r>
      <w:proofErr w:type="spellStart"/>
      <w:r w:rsidRPr="000508B6">
        <w:rPr>
          <w:rFonts w:ascii="Times New Roman" w:eastAsia="Times New Roman" w:hAnsi="Times New Roman" w:cs="Times New Roman"/>
          <w:lang w:val="ro-MD"/>
        </w:rPr>
        <w:t>deţine</w:t>
      </w:r>
      <w:proofErr w:type="spellEnd"/>
      <w:r w:rsidRPr="000508B6">
        <w:rPr>
          <w:rFonts w:ascii="Times New Roman" w:eastAsia="Times New Roman" w:hAnsi="Times New Roman" w:cs="Times New Roman"/>
          <w:lang w:val="ro-MD"/>
        </w:rPr>
        <w:t xml:space="preserve"> în alte entități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r w:rsidR="00CC460A" w:rsidRPr="000508B6">
        <w:rPr>
          <w:rFonts w:ascii="Times New Roman" w:eastAsia="Times New Roman" w:hAnsi="Times New Roman" w:cs="Times New Roman"/>
          <w:lang w:val="ro-MD"/>
        </w:rPr>
        <w:t xml:space="preserve">asigurători sau </w:t>
      </w:r>
      <w:proofErr w:type="spellStart"/>
      <w:r w:rsidR="00CC460A" w:rsidRPr="000508B6">
        <w:rPr>
          <w:rFonts w:ascii="Times New Roman" w:eastAsia="Times New Roman" w:hAnsi="Times New Roman" w:cs="Times New Roman"/>
          <w:lang w:val="ro-MD"/>
        </w:rPr>
        <w:t>reasigurători</w:t>
      </w:r>
      <w:proofErr w:type="spellEnd"/>
      <w:r w:rsidR="00CC460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timp</w:t>
      </w:r>
      <w:r w:rsidR="00EC11A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se </w:t>
      </w: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în </w:t>
      </w:r>
      <w:proofErr w:type="spellStart"/>
      <w:r w:rsidRPr="000508B6">
        <w:rPr>
          <w:rFonts w:ascii="Times New Roman" w:eastAsia="Times New Roman" w:hAnsi="Times New Roman" w:cs="Times New Roman"/>
          <w:lang w:val="ro-MD"/>
        </w:rPr>
        <w:t>funcţie</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circumstanţele</w:t>
      </w:r>
      <w:proofErr w:type="spellEnd"/>
      <w:r w:rsidRPr="000508B6">
        <w:rPr>
          <w:rFonts w:ascii="Times New Roman" w:eastAsia="Times New Roman" w:hAnsi="Times New Roman" w:cs="Times New Roman"/>
          <w:lang w:val="ro-MD"/>
        </w:rPr>
        <w:t xml:space="preserve"> individuale,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natura, extinderea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complexitatea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
    <w:p w14:paraId="1F70AF9F" w14:textId="3DB327B0" w:rsidR="000150C8" w:rsidRPr="000508B6" w:rsidRDefault="000150C8" w:rsidP="00754625">
      <w:pPr>
        <w:pStyle w:val="Listparagraf"/>
        <w:numPr>
          <w:ilvl w:val="0"/>
          <w:numId w:val="291"/>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sensul prezentului articol, cerințele, criteriile de evaluare, lista documentelor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006D729A"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necesare pentru </w:t>
      </w:r>
      <w:r w:rsidR="00F65892" w:rsidRPr="000508B6">
        <w:rPr>
          <w:rFonts w:ascii="Times New Roman" w:eastAsia="Times New Roman" w:hAnsi="Times New Roman" w:cs="Times New Roman"/>
          <w:lang w:val="ro-MD"/>
        </w:rPr>
        <w:t xml:space="preserve">eliberarea </w:t>
      </w:r>
      <w:r w:rsidRPr="000508B6">
        <w:rPr>
          <w:rFonts w:ascii="Times New Roman" w:eastAsia="Times New Roman" w:hAnsi="Times New Roman" w:cs="Times New Roman"/>
          <w:lang w:val="ro-MD"/>
        </w:rPr>
        <w:t xml:space="preserve">aprobării </w:t>
      </w:r>
      <w:bookmarkStart w:id="65" w:name="_Hlk223419899"/>
      <w:r w:rsidR="006D729A" w:rsidRPr="000508B6">
        <w:rPr>
          <w:rFonts w:ascii="Times New Roman" w:eastAsia="Times New Roman" w:hAnsi="Times New Roman" w:cs="Times New Roman"/>
          <w:lang w:val="ro-MD"/>
        </w:rPr>
        <w:t xml:space="preserve">persoanelor care conduc efectiv asigurătorul sau </w:t>
      </w:r>
      <w:proofErr w:type="spellStart"/>
      <w:r w:rsidR="006D729A" w:rsidRPr="000508B6">
        <w:rPr>
          <w:rFonts w:ascii="Times New Roman" w:eastAsia="Times New Roman" w:hAnsi="Times New Roman" w:cs="Times New Roman"/>
          <w:lang w:val="ro-MD"/>
        </w:rPr>
        <w:t>reasigurătorul</w:t>
      </w:r>
      <w:bookmarkEnd w:id="65"/>
      <w:proofErr w:type="spellEnd"/>
      <w:r w:rsidR="006D729A" w:rsidRPr="000508B6">
        <w:rPr>
          <w:rFonts w:ascii="Times New Roman" w:eastAsia="Times New Roman" w:hAnsi="Times New Roman" w:cs="Times New Roman"/>
          <w:lang w:val="ro-MD"/>
        </w:rPr>
        <w:t>, celor</w:t>
      </w:r>
      <w:r w:rsidR="00AC3B14" w:rsidRPr="000508B6">
        <w:rPr>
          <w:rFonts w:ascii="Times New Roman" w:eastAsia="Times New Roman" w:hAnsi="Times New Roman" w:cs="Times New Roman"/>
          <w:lang w:val="ro-MD"/>
        </w:rPr>
        <w:t xml:space="preserve"> </w:t>
      </w:r>
      <w:r w:rsidR="006D729A" w:rsidRPr="000508B6">
        <w:rPr>
          <w:rFonts w:ascii="Times New Roman" w:eastAsia="Times New Roman" w:hAnsi="Times New Roman" w:cs="Times New Roman"/>
          <w:lang w:val="ro-MD"/>
        </w:rPr>
        <w:t xml:space="preserve">care </w:t>
      </w:r>
      <w:proofErr w:type="spellStart"/>
      <w:r w:rsidR="006D729A" w:rsidRPr="000508B6">
        <w:rPr>
          <w:rFonts w:ascii="Times New Roman" w:eastAsia="Times New Roman" w:hAnsi="Times New Roman" w:cs="Times New Roman"/>
          <w:lang w:val="ro-MD"/>
        </w:rPr>
        <w:t>deţin</w:t>
      </w:r>
      <w:proofErr w:type="spellEnd"/>
      <w:r w:rsidR="006D729A" w:rsidRPr="000508B6">
        <w:rPr>
          <w:rFonts w:ascii="Times New Roman" w:eastAsia="Times New Roman" w:hAnsi="Times New Roman" w:cs="Times New Roman"/>
          <w:lang w:val="ro-MD"/>
        </w:rPr>
        <w:t xml:space="preserve"> </w:t>
      </w:r>
      <w:proofErr w:type="spellStart"/>
      <w:r w:rsidR="006D729A" w:rsidRPr="000508B6">
        <w:rPr>
          <w:rFonts w:ascii="Times New Roman" w:eastAsia="Times New Roman" w:hAnsi="Times New Roman" w:cs="Times New Roman"/>
          <w:lang w:val="ro-MD"/>
        </w:rPr>
        <w:t>funcţii</w:t>
      </w:r>
      <w:proofErr w:type="spellEnd"/>
      <w:r w:rsidR="006D729A" w:rsidRPr="000508B6">
        <w:rPr>
          <w:rFonts w:ascii="Times New Roman" w:eastAsia="Times New Roman" w:hAnsi="Times New Roman" w:cs="Times New Roman"/>
          <w:lang w:val="ro-MD"/>
        </w:rPr>
        <w:t xml:space="preserve">-cheie sau altor </w:t>
      </w:r>
      <w:proofErr w:type="spellStart"/>
      <w:r w:rsidR="006D729A" w:rsidRPr="000508B6">
        <w:rPr>
          <w:rFonts w:ascii="Times New Roman" w:eastAsia="Times New Roman" w:hAnsi="Times New Roman" w:cs="Times New Roman"/>
          <w:lang w:val="ro-MD"/>
        </w:rPr>
        <w:t>funcţii</w:t>
      </w:r>
      <w:proofErr w:type="spellEnd"/>
      <w:r w:rsidR="006D729A" w:rsidRPr="000508B6">
        <w:rPr>
          <w:rFonts w:ascii="Times New Roman" w:eastAsia="Times New Roman" w:hAnsi="Times New Roman" w:cs="Times New Roman"/>
          <w:lang w:val="ro-MD"/>
        </w:rPr>
        <w:t xml:space="preserve"> critice </w:t>
      </w:r>
      <w:r w:rsidRPr="000508B6">
        <w:rPr>
          <w:rFonts w:ascii="Times New Roman" w:eastAsia="Times New Roman" w:hAnsi="Times New Roman" w:cs="Times New Roman"/>
          <w:lang w:val="ro-MD"/>
        </w:rPr>
        <w:t xml:space="preserve">de către Banca Națională a Moldovei se </w:t>
      </w:r>
      <w:r w:rsidR="004C1798" w:rsidRPr="000508B6">
        <w:rPr>
          <w:rFonts w:ascii="Times New Roman" w:eastAsia="Times New Roman" w:hAnsi="Times New Roman" w:cs="Times New Roman"/>
          <w:lang w:val="ro-MD"/>
        </w:rPr>
        <w:t>stabilesc</w:t>
      </w:r>
      <w:r w:rsidRPr="000508B6">
        <w:rPr>
          <w:rFonts w:ascii="Times New Roman" w:eastAsia="Times New Roman" w:hAnsi="Times New Roman" w:cs="Times New Roman"/>
          <w:lang w:val="ro-MD"/>
        </w:rPr>
        <w:t xml:space="preserve"> prin actele normative emise în aplicarea prezentei legi.</w:t>
      </w:r>
    </w:p>
    <w:p w14:paraId="1D534121" w14:textId="4228F594" w:rsidR="00F5782F" w:rsidRPr="000508B6" w:rsidRDefault="00F5782F" w:rsidP="008B530F">
      <w:pPr>
        <w:spacing w:after="0" w:line="240" w:lineRule="auto"/>
        <w:ind w:firstLine="426"/>
        <w:jc w:val="both"/>
        <w:rPr>
          <w:rFonts w:ascii="Times New Roman" w:eastAsia="Times New Roman" w:hAnsi="Times New Roman" w:cs="Times New Roman"/>
          <w:b/>
          <w:lang w:val="ro-MD"/>
        </w:rPr>
      </w:pPr>
    </w:p>
    <w:p w14:paraId="18EB8768" w14:textId="3030094B" w:rsidR="00ED1DF6" w:rsidRPr="000508B6" w:rsidRDefault="00ED1DF6" w:rsidP="00ED1DF6">
      <w:pPr>
        <w:spacing w:after="0" w:line="240" w:lineRule="auto"/>
        <w:ind w:firstLine="426"/>
        <w:jc w:val="both"/>
        <w:rPr>
          <w:rFonts w:ascii="Times New Roman" w:eastAsia="Times New Roman" w:hAnsi="Times New Roman" w:cs="Times New Roman"/>
          <w:b/>
          <w:lang w:val="ro-MD"/>
        </w:rPr>
      </w:pPr>
      <w:bookmarkStart w:id="66" w:name="_Hlk212192237"/>
      <w:r w:rsidRPr="000508B6">
        <w:rPr>
          <w:rFonts w:ascii="Times New Roman" w:eastAsia="Times New Roman" w:hAnsi="Times New Roman" w:cs="Times New Roman"/>
          <w:b/>
          <w:lang w:val="ro-MD"/>
        </w:rPr>
        <w:t xml:space="preserve">Articolul </w:t>
      </w:r>
      <w:r w:rsidR="00792328" w:rsidRPr="000508B6">
        <w:rPr>
          <w:rFonts w:ascii="Times New Roman" w:eastAsia="Times New Roman" w:hAnsi="Times New Roman" w:cs="Times New Roman"/>
          <w:b/>
          <w:lang w:val="ro-MD"/>
        </w:rPr>
        <w:t>21</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bCs/>
          <w:lang w:val="ro-MD"/>
        </w:rPr>
        <w:t xml:space="preserve">Organele de conducere ale </w:t>
      </w:r>
      <w:r w:rsidR="00CC460A" w:rsidRPr="000508B6">
        <w:rPr>
          <w:rFonts w:ascii="Times New Roman" w:eastAsia="Times New Roman" w:hAnsi="Times New Roman" w:cs="Times New Roman"/>
          <w:bCs/>
          <w:lang w:val="ro-MD"/>
        </w:rPr>
        <w:t xml:space="preserve">asigurătorului sau </w:t>
      </w:r>
      <w:proofErr w:type="spellStart"/>
      <w:r w:rsidR="00CC460A" w:rsidRPr="000508B6">
        <w:rPr>
          <w:rFonts w:ascii="Times New Roman" w:eastAsia="Times New Roman" w:hAnsi="Times New Roman" w:cs="Times New Roman"/>
          <w:bCs/>
          <w:lang w:val="ro-MD"/>
        </w:rPr>
        <w:t>reasigurătorului</w:t>
      </w:r>
      <w:proofErr w:type="spellEnd"/>
    </w:p>
    <w:bookmarkEnd w:id="66"/>
    <w:p w14:paraId="2FAF5369" w14:textId="225E92AC" w:rsidR="00ED1DF6" w:rsidRPr="000508B6" w:rsidRDefault="00ED1DF6" w:rsidP="00297095">
      <w:pPr>
        <w:pStyle w:val="Listparagraf"/>
        <w:numPr>
          <w:ilvl w:val="0"/>
          <w:numId w:val="285"/>
        </w:numPr>
        <w:tabs>
          <w:tab w:val="left" w:pos="709"/>
          <w:tab w:val="left" w:pos="851"/>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sensul prezentei legi, organele de conducere ale </w:t>
      </w:r>
      <w:bookmarkStart w:id="67" w:name="_Hlk215642409"/>
      <w:r w:rsidR="00CC460A" w:rsidRPr="000508B6">
        <w:rPr>
          <w:rFonts w:ascii="Times New Roman" w:eastAsia="Times New Roman" w:hAnsi="Times New Roman" w:cs="Times New Roman"/>
          <w:lang w:val="ro-MD"/>
        </w:rPr>
        <w:t xml:space="preserve">asigurătorului sau </w:t>
      </w:r>
      <w:proofErr w:type="spellStart"/>
      <w:r w:rsidR="00CC460A" w:rsidRPr="000508B6">
        <w:rPr>
          <w:rFonts w:ascii="Times New Roman" w:eastAsia="Times New Roman" w:hAnsi="Times New Roman" w:cs="Times New Roman"/>
          <w:lang w:val="ro-MD"/>
        </w:rPr>
        <w:t>reasigurătorului</w:t>
      </w:r>
      <w:proofErr w:type="spellEnd"/>
      <w:r w:rsidR="00CC460A" w:rsidRPr="000508B6">
        <w:rPr>
          <w:rFonts w:ascii="Times New Roman" w:eastAsia="Times New Roman" w:hAnsi="Times New Roman" w:cs="Times New Roman"/>
          <w:lang w:val="ro-MD"/>
        </w:rPr>
        <w:t xml:space="preserve"> </w:t>
      </w:r>
      <w:bookmarkEnd w:id="67"/>
      <w:r w:rsidRPr="000508B6">
        <w:rPr>
          <w:rFonts w:ascii="Times New Roman" w:eastAsia="Times New Roman" w:hAnsi="Times New Roman" w:cs="Times New Roman"/>
          <w:lang w:val="ro-MD"/>
        </w:rPr>
        <w:t xml:space="preserve">sunt reprezentate de consiliu </w:t>
      </w:r>
      <w:r w:rsidR="009F0C40" w:rsidRPr="000508B6">
        <w:rPr>
          <w:rFonts w:ascii="Times New Roman" w:eastAsia="Times New Roman" w:hAnsi="Times New Roman" w:cs="Times New Roman"/>
          <w:lang w:val="ro-MD"/>
        </w:rPr>
        <w:t>și organul executiv</w:t>
      </w:r>
      <w:r w:rsidRPr="000508B6">
        <w:rPr>
          <w:rFonts w:ascii="Times New Roman" w:eastAsia="Times New Roman" w:hAnsi="Times New Roman" w:cs="Times New Roman"/>
          <w:lang w:val="ro-MD"/>
        </w:rPr>
        <w:t xml:space="preserve">, cărora le revine responsabilitatea </w:t>
      </w:r>
      <w:r w:rsidR="005D22CA" w:rsidRPr="000508B6">
        <w:rPr>
          <w:rFonts w:ascii="Times New Roman" w:eastAsia="Times New Roman" w:hAnsi="Times New Roman" w:cs="Times New Roman"/>
          <w:lang w:val="ro-MD"/>
        </w:rPr>
        <w:t xml:space="preserve">finală </w:t>
      </w:r>
      <w:r w:rsidRPr="000508B6">
        <w:rPr>
          <w:rFonts w:ascii="Times New Roman" w:eastAsia="Times New Roman" w:hAnsi="Times New Roman" w:cs="Times New Roman"/>
          <w:lang w:val="ro-MD"/>
        </w:rPr>
        <w:t>privind conformarea</w:t>
      </w:r>
      <w:r w:rsidR="005830F7" w:rsidRPr="000508B6">
        <w:rPr>
          <w:rFonts w:ascii="Times New Roman" w:eastAsia="Times New Roman" w:hAnsi="Times New Roman" w:cs="Times New Roman"/>
          <w:lang w:val="ro-MD"/>
        </w:rPr>
        <w:t xml:space="preserve"> </w:t>
      </w:r>
      <w:r w:rsidR="009F0C40" w:rsidRPr="000508B6">
        <w:rPr>
          <w:rFonts w:ascii="Times New Roman" w:eastAsia="Times New Roman" w:hAnsi="Times New Roman" w:cs="Times New Roman"/>
          <w:lang w:val="ro-MD"/>
        </w:rPr>
        <w:t xml:space="preserve">asigurătorului sau </w:t>
      </w:r>
      <w:proofErr w:type="spellStart"/>
      <w:r w:rsidR="009F0C40" w:rsidRPr="000508B6">
        <w:rPr>
          <w:rFonts w:ascii="Times New Roman" w:eastAsia="Times New Roman" w:hAnsi="Times New Roman" w:cs="Times New Roman"/>
          <w:lang w:val="ro-MD"/>
        </w:rPr>
        <w:t>reasigurătorului</w:t>
      </w:r>
      <w:proofErr w:type="spellEnd"/>
      <w:r w:rsidR="009F0C4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prevederilor prezentei legi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actelor normative emise </w:t>
      </w:r>
      <w:r w:rsidR="0076596C" w:rsidRPr="000508B6">
        <w:rPr>
          <w:rFonts w:ascii="Times New Roman" w:eastAsia="Times New Roman" w:hAnsi="Times New Roman" w:cs="Times New Roman"/>
          <w:lang w:val="ro-MD"/>
        </w:rPr>
        <w:t>de Banca Națională a Moldovei</w:t>
      </w:r>
      <w:r w:rsidRPr="000508B6">
        <w:rPr>
          <w:rFonts w:ascii="Times New Roman" w:eastAsia="Times New Roman" w:hAnsi="Times New Roman" w:cs="Times New Roman"/>
          <w:lang w:val="ro-MD"/>
        </w:rPr>
        <w:t xml:space="preserve">. </w:t>
      </w:r>
    </w:p>
    <w:p w14:paraId="17A1BABC" w14:textId="51D3BF8B" w:rsidR="008A3729" w:rsidRPr="000508B6" w:rsidRDefault="0099733F" w:rsidP="00EE70FE">
      <w:pPr>
        <w:pStyle w:val="Listparagraf"/>
        <w:numPr>
          <w:ilvl w:val="0"/>
          <w:numId w:val="285"/>
        </w:numPr>
        <w:tabs>
          <w:tab w:val="left" w:pos="709"/>
          <w:tab w:val="left" w:pos="851"/>
        </w:tabs>
        <w:spacing w:after="0" w:line="240" w:lineRule="auto"/>
        <w:ind w:left="0" w:firstLine="426"/>
        <w:jc w:val="both"/>
        <w:rPr>
          <w:rFonts w:ascii="Times New Roman" w:eastAsia="Times New Roman" w:hAnsi="Times New Roman" w:cs="Times New Roman"/>
          <w:lang w:val="ro-MD"/>
        </w:rPr>
      </w:pPr>
      <w:bookmarkStart w:id="68" w:name="_Hlk212192210"/>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consiliului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organului executiv</w:t>
      </w:r>
      <w:r w:rsidR="00C013FB" w:rsidRPr="000508B6">
        <w:rPr>
          <w:rFonts w:ascii="Times New Roman" w:hAnsi="Times New Roman" w:cs="Times New Roman"/>
          <w:lang w:val="ro-MD"/>
        </w:rPr>
        <w:t xml:space="preserve"> a</w:t>
      </w:r>
      <w:r w:rsidR="001F4D3A" w:rsidRPr="000508B6">
        <w:rPr>
          <w:rFonts w:ascii="Times New Roman" w:hAnsi="Times New Roman" w:cs="Times New Roman"/>
          <w:lang w:val="ro-MD"/>
        </w:rPr>
        <w:t>le</w:t>
      </w:r>
      <w:r w:rsidR="00C013FB" w:rsidRPr="000508B6">
        <w:rPr>
          <w:rFonts w:ascii="Times New Roman" w:hAnsi="Times New Roman" w:cs="Times New Roman"/>
          <w:lang w:val="ro-MD"/>
        </w:rPr>
        <w:t xml:space="preserve"> </w:t>
      </w:r>
      <w:r w:rsidR="00C013FB" w:rsidRPr="000508B6">
        <w:rPr>
          <w:rFonts w:ascii="Times New Roman" w:eastAsia="Times New Roman" w:hAnsi="Times New Roman" w:cs="Times New Roman"/>
          <w:lang w:val="ro-MD"/>
        </w:rPr>
        <w:t xml:space="preserve">asigurătorului sau </w:t>
      </w:r>
      <w:proofErr w:type="spellStart"/>
      <w:r w:rsidR="00C013FB"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se stabilesc în statutul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reglementările interne ale acest</w:t>
      </w:r>
      <w:r w:rsidR="002B6FF4" w:rsidRPr="000508B6">
        <w:rPr>
          <w:rFonts w:ascii="Times New Roman" w:eastAsia="Times New Roman" w:hAnsi="Times New Roman" w:cs="Times New Roman"/>
          <w:lang w:val="ro-MD"/>
        </w:rPr>
        <w:t>uia</w:t>
      </w:r>
      <w:r w:rsidRPr="000508B6">
        <w:rPr>
          <w:rFonts w:ascii="Times New Roman" w:eastAsia="Times New Roman" w:hAnsi="Times New Roman" w:cs="Times New Roman"/>
          <w:lang w:val="ro-MD"/>
        </w:rPr>
        <w:t xml:space="preserve">, cu respectarea prevederilor prezentei legi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actelor normative </w:t>
      </w:r>
      <w:r w:rsidR="002B6FF4" w:rsidRPr="000508B6">
        <w:rPr>
          <w:rFonts w:ascii="Times New Roman" w:eastAsia="Times New Roman" w:hAnsi="Times New Roman" w:cs="Times New Roman"/>
          <w:lang w:val="ro-MD"/>
        </w:rPr>
        <w:t>ale Bănc</w:t>
      </w:r>
      <w:r w:rsidR="00C928FF" w:rsidRPr="000508B6">
        <w:rPr>
          <w:rFonts w:ascii="Times New Roman" w:eastAsia="Times New Roman" w:hAnsi="Times New Roman" w:cs="Times New Roman"/>
          <w:lang w:val="ro-MD"/>
        </w:rPr>
        <w:t>i</w:t>
      </w:r>
      <w:r w:rsidR="002B6FF4" w:rsidRPr="000508B6">
        <w:rPr>
          <w:rFonts w:ascii="Times New Roman" w:eastAsia="Times New Roman" w:hAnsi="Times New Roman" w:cs="Times New Roman"/>
          <w:lang w:val="ro-MD"/>
        </w:rPr>
        <w:t>i Naționale a Moldovei</w:t>
      </w:r>
      <w:r w:rsidR="006F08F2" w:rsidRPr="000508B6" w:rsidDel="00601BD2">
        <w:rPr>
          <w:rFonts w:ascii="Times New Roman" w:hAnsi="Times New Roman" w:cs="Times New Roman"/>
          <w:lang w:val="ro-MD"/>
        </w:rPr>
        <w:t xml:space="preserve"> </w:t>
      </w:r>
      <w:r w:rsidR="006F08F2" w:rsidRPr="000508B6" w:rsidDel="00601BD2">
        <w:rPr>
          <w:rFonts w:ascii="Times New Roman" w:eastAsia="Times New Roman" w:hAnsi="Times New Roman" w:cs="Times New Roman"/>
          <w:lang w:val="ro-MD"/>
        </w:rPr>
        <w:t>și nu pot fi delegate altor persoane</w:t>
      </w:r>
      <w:r w:rsidRPr="000508B6">
        <w:rPr>
          <w:rFonts w:ascii="Times New Roman" w:eastAsia="Times New Roman" w:hAnsi="Times New Roman" w:cs="Times New Roman"/>
          <w:lang w:val="ro-MD"/>
        </w:rPr>
        <w:t>.</w:t>
      </w:r>
      <w:r w:rsidR="008D5BB8" w:rsidRPr="000508B6">
        <w:rPr>
          <w:rFonts w:ascii="Times New Roman" w:eastAsia="Times New Roman" w:hAnsi="Times New Roman" w:cs="Times New Roman"/>
          <w:lang w:val="ro-MD"/>
        </w:rPr>
        <w:t xml:space="preserve"> </w:t>
      </w:r>
    </w:p>
    <w:bookmarkEnd w:id="68"/>
    <w:p w14:paraId="6CDF270E" w14:textId="77777777" w:rsidR="008A3729" w:rsidRPr="000508B6" w:rsidRDefault="008A3729" w:rsidP="008A3729">
      <w:pPr>
        <w:pStyle w:val="Listparagraf"/>
        <w:tabs>
          <w:tab w:val="left" w:pos="851"/>
        </w:tabs>
        <w:spacing w:after="0" w:line="240" w:lineRule="auto"/>
        <w:ind w:left="425"/>
        <w:jc w:val="both"/>
        <w:rPr>
          <w:rFonts w:ascii="Times New Roman" w:eastAsia="Times New Roman" w:hAnsi="Times New Roman" w:cs="Times New Roman"/>
          <w:lang w:val="ro-MD"/>
        </w:rPr>
      </w:pPr>
    </w:p>
    <w:p w14:paraId="28B95D11" w14:textId="29A1A98F" w:rsidR="008A3729" w:rsidRPr="000508B6" w:rsidRDefault="008A3729" w:rsidP="008A3729">
      <w:pPr>
        <w:pStyle w:val="Listparagraf"/>
        <w:tabs>
          <w:tab w:val="left" w:pos="851"/>
        </w:tabs>
        <w:spacing w:after="0" w:line="240" w:lineRule="auto"/>
        <w:ind w:left="425"/>
        <w:jc w:val="both"/>
        <w:rPr>
          <w:rFonts w:ascii="Times New Roman" w:eastAsia="Times New Roman" w:hAnsi="Times New Roman" w:cs="Times New Roman"/>
          <w:lang w:val="ro-MD"/>
        </w:rPr>
      </w:pPr>
      <w:bookmarkStart w:id="69" w:name="_Hlk212192443"/>
      <w:r w:rsidRPr="000508B6">
        <w:rPr>
          <w:rFonts w:ascii="Times New Roman" w:eastAsia="Times New Roman" w:hAnsi="Times New Roman" w:cs="Times New Roman"/>
          <w:b/>
          <w:bCs/>
          <w:lang w:val="ro-MD"/>
        </w:rPr>
        <w:t>Articolul 2</w:t>
      </w:r>
      <w:r w:rsidR="00792328" w:rsidRPr="000508B6">
        <w:rPr>
          <w:rFonts w:ascii="Times New Roman" w:eastAsia="Times New Roman" w:hAnsi="Times New Roman" w:cs="Times New Roman"/>
          <w:b/>
          <w:bCs/>
          <w:lang w:val="ro-MD"/>
        </w:rPr>
        <w:t>2</w:t>
      </w:r>
      <w:r w:rsidR="000301B2" w:rsidRPr="000508B6">
        <w:rPr>
          <w:rFonts w:ascii="Times New Roman" w:eastAsia="Times New Roman" w:hAnsi="Times New Roman" w:cs="Times New Roman"/>
          <w:b/>
          <w:bCs/>
          <w:lang w:val="ro-MD"/>
        </w:rPr>
        <w:t>.</w:t>
      </w:r>
      <w:r w:rsidRPr="000508B6">
        <w:rPr>
          <w:rFonts w:ascii="Times New Roman" w:eastAsia="Times New Roman" w:hAnsi="Times New Roman" w:cs="Times New Roman"/>
          <w:b/>
          <w:bCs/>
          <w:lang w:val="ro-MD"/>
        </w:rPr>
        <w:t xml:space="preserve"> </w:t>
      </w:r>
      <w:r w:rsidRPr="000508B6">
        <w:rPr>
          <w:rFonts w:ascii="Times New Roman" w:eastAsia="Times New Roman" w:hAnsi="Times New Roman" w:cs="Times New Roman"/>
          <w:lang w:val="ro-MD"/>
        </w:rPr>
        <w:t xml:space="preserve">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lui</w:t>
      </w:r>
    </w:p>
    <w:p w14:paraId="0D3A5F76" w14:textId="5E193204" w:rsidR="00D84582" w:rsidRPr="000508B6" w:rsidRDefault="00D84582" w:rsidP="00297095">
      <w:pPr>
        <w:pStyle w:val="Listparagraf"/>
        <w:numPr>
          <w:ilvl w:val="0"/>
          <w:numId w:val="43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îndeplinește rolul de supraveghere și monitorizare a procesului decizional de conducere și este responsabil de activitatea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per ansamblu și de soliditatea financiară a acest</w:t>
      </w:r>
      <w:r w:rsidR="002B6FF4" w:rsidRPr="000508B6">
        <w:rPr>
          <w:rFonts w:ascii="Times New Roman" w:eastAsia="Times New Roman" w:hAnsi="Times New Roman" w:cs="Times New Roman"/>
          <w:lang w:val="ro-MD"/>
        </w:rPr>
        <w:t>u</w:t>
      </w:r>
      <w:r w:rsidRPr="000508B6">
        <w:rPr>
          <w:rFonts w:ascii="Times New Roman" w:eastAsia="Times New Roman" w:hAnsi="Times New Roman" w:cs="Times New Roman"/>
          <w:lang w:val="ro-MD"/>
        </w:rPr>
        <w:t>ia.</w:t>
      </w:r>
    </w:p>
    <w:p w14:paraId="189CBF96" w14:textId="73D3DCC6" w:rsidR="001B69C1" w:rsidRPr="000508B6" w:rsidRDefault="001B69C1" w:rsidP="00EE70FE">
      <w:pPr>
        <w:pStyle w:val="Listparagraf"/>
        <w:numPr>
          <w:ilvl w:val="0"/>
          <w:numId w:val="43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0019542A" w:rsidRPr="000508B6">
        <w:rPr>
          <w:rFonts w:ascii="Times New Roman" w:eastAsia="Times New Roman" w:hAnsi="Times New Roman" w:cs="Times New Roman"/>
          <w:lang w:val="ro-MD"/>
        </w:rPr>
        <w:t>definește și supraveghează</w:t>
      </w:r>
      <w:r w:rsidRPr="000508B6">
        <w:rPr>
          <w:rFonts w:ascii="Times New Roman" w:eastAsia="Times New Roman" w:hAnsi="Times New Roman" w:cs="Times New Roman"/>
          <w:lang w:val="ro-MD"/>
        </w:rPr>
        <w:t xml:space="preserve"> implementarea unui sistem de guvernanță care să asigure administrarea efectivă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prudentă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inclusiv separarea responsabilităților în cadrul </w:t>
      </w:r>
      <w:r w:rsidR="00D22D7D" w:rsidRPr="000508B6">
        <w:rPr>
          <w:rFonts w:ascii="Times New Roman" w:eastAsia="Times New Roman" w:hAnsi="Times New Roman" w:cs="Times New Roman"/>
          <w:lang w:val="ro-MD"/>
        </w:rPr>
        <w:t>acestuia</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prevenirea conflictelor de interese. </w:t>
      </w:r>
    </w:p>
    <w:p w14:paraId="07E985CE" w14:textId="07A0BA55" w:rsidR="001B69C1" w:rsidRPr="000508B6" w:rsidRDefault="001B69C1" w:rsidP="00EE70FE">
      <w:pPr>
        <w:pStyle w:val="Listparagraf"/>
        <w:numPr>
          <w:ilvl w:val="0"/>
          <w:numId w:val="43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Membrii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contribuie la o guvernanță sănătoasă în cadrul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inclusiv prin comportamentul personal, și, în realizarea atribuțiilor lor, trebuie să țină cont de interesele legale ale </w:t>
      </w:r>
      <w:r w:rsidR="00D22D7D" w:rsidRPr="000508B6">
        <w:rPr>
          <w:rFonts w:ascii="Times New Roman" w:eastAsia="Times New Roman" w:hAnsi="Times New Roman" w:cs="Times New Roman"/>
          <w:lang w:val="ro-MD"/>
        </w:rPr>
        <w:t>acestuia</w:t>
      </w:r>
      <w:r w:rsidRPr="000508B6">
        <w:rPr>
          <w:rFonts w:ascii="Times New Roman" w:eastAsia="Times New Roman" w:hAnsi="Times New Roman" w:cs="Times New Roman"/>
          <w:lang w:val="ro-MD"/>
        </w:rPr>
        <w:t xml:space="preserve"> și de drepturile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interesele </w:t>
      </w:r>
      <w:r w:rsidR="007E46C0" w:rsidRPr="000508B6">
        <w:rPr>
          <w:rFonts w:ascii="Times New Roman" w:eastAsia="Times New Roman" w:hAnsi="Times New Roman" w:cs="Times New Roman"/>
          <w:lang w:val="ro-MD"/>
        </w:rPr>
        <w:t>asiguraților</w:t>
      </w:r>
      <w:r w:rsidRPr="000508B6">
        <w:rPr>
          <w:rFonts w:ascii="Times New Roman" w:eastAsia="Times New Roman" w:hAnsi="Times New Roman" w:cs="Times New Roman"/>
          <w:lang w:val="ro-MD"/>
        </w:rPr>
        <w:t xml:space="preserve"> </w:t>
      </w:r>
      <w:r w:rsidR="007E46C0" w:rsidRPr="000508B6">
        <w:rPr>
          <w:rFonts w:ascii="Times New Roman" w:eastAsia="Times New Roman" w:hAnsi="Times New Roman" w:cs="Times New Roman"/>
          <w:lang w:val="ro-MD"/>
        </w:rPr>
        <w:t>și</w:t>
      </w:r>
      <w:r w:rsidRPr="000508B6">
        <w:rPr>
          <w:rFonts w:ascii="Times New Roman" w:eastAsia="Times New Roman" w:hAnsi="Times New Roman" w:cs="Times New Roman"/>
          <w:lang w:val="ro-MD"/>
        </w:rPr>
        <w:t xml:space="preserve"> beneficiarilor asigurării. </w:t>
      </w:r>
    </w:p>
    <w:p w14:paraId="2CCE3B67" w14:textId="58E8BDE7" w:rsidR="001B69C1" w:rsidRPr="000508B6" w:rsidRDefault="001B69C1" w:rsidP="00EE70FE">
      <w:pPr>
        <w:pStyle w:val="Listparagraf"/>
        <w:numPr>
          <w:ilvl w:val="0"/>
          <w:numId w:val="431"/>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trebuie </w:t>
      </w:r>
      <w:r w:rsidR="00826961" w:rsidRPr="000508B6">
        <w:rPr>
          <w:rFonts w:ascii="Times New Roman" w:eastAsia="Times New Roman" w:hAnsi="Times New Roman" w:cs="Times New Roman"/>
          <w:lang w:val="ro-MD"/>
        </w:rPr>
        <w:t>să</w:t>
      </w:r>
      <w:r w:rsidRPr="000508B6">
        <w:rPr>
          <w:rFonts w:ascii="Times New Roman" w:eastAsia="Times New Roman" w:hAnsi="Times New Roman" w:cs="Times New Roman"/>
          <w:lang w:val="ro-MD"/>
        </w:rPr>
        <w:t xml:space="preserve"> </w:t>
      </w:r>
      <w:r w:rsidR="0019542A" w:rsidRPr="000508B6">
        <w:rPr>
          <w:rFonts w:ascii="Times New Roman" w:eastAsia="Times New Roman" w:hAnsi="Times New Roman" w:cs="Times New Roman"/>
          <w:lang w:val="ro-MD"/>
        </w:rPr>
        <w:t>asigur</w:t>
      </w:r>
      <w:r w:rsidR="002B6FF4"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colaborarea eficientă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cu Banca Națională a Moldovei</w:t>
      </w:r>
      <w:r w:rsidR="0019542A" w:rsidRPr="000508B6">
        <w:rPr>
          <w:rFonts w:ascii="Times New Roman" w:eastAsia="Times New Roman" w:hAnsi="Times New Roman" w:cs="Times New Roman"/>
          <w:lang w:val="ro-MD"/>
        </w:rPr>
        <w:t>.</w:t>
      </w:r>
    </w:p>
    <w:p w14:paraId="449D1B67" w14:textId="65A44238" w:rsidR="005E7283" w:rsidRPr="000508B6" w:rsidRDefault="005E7283" w:rsidP="00EE70FE">
      <w:pPr>
        <w:pStyle w:val="Listparagraf"/>
        <w:numPr>
          <w:ilvl w:val="0"/>
          <w:numId w:val="431"/>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este format dintr-un număr impar de membri persoane fizice, dar nu mai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de trei. </w:t>
      </w:r>
    </w:p>
    <w:p w14:paraId="3968D312" w14:textId="39CC9FCE" w:rsidR="005E7283" w:rsidRPr="000508B6" w:rsidRDefault="005E7283" w:rsidP="00EE70FE">
      <w:pPr>
        <w:pStyle w:val="Listparagraf"/>
        <w:numPr>
          <w:ilvl w:val="0"/>
          <w:numId w:val="431"/>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Membrii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sunt </w:t>
      </w:r>
      <w:proofErr w:type="spellStart"/>
      <w:r w:rsidRPr="000508B6">
        <w:rPr>
          <w:rFonts w:ascii="Times New Roman" w:eastAsia="Times New Roman" w:hAnsi="Times New Roman" w:cs="Times New Roman"/>
          <w:lang w:val="ro-MD"/>
        </w:rPr>
        <w:t>aleşi</w:t>
      </w:r>
      <w:proofErr w:type="spellEnd"/>
      <w:r w:rsidRPr="000508B6">
        <w:rPr>
          <w:rFonts w:ascii="Times New Roman" w:eastAsia="Times New Roman" w:hAnsi="Times New Roman" w:cs="Times New Roman"/>
          <w:lang w:val="ro-MD"/>
        </w:rPr>
        <w:t xml:space="preserve"> de adunarea generală a </w:t>
      </w:r>
      <w:proofErr w:type="spellStart"/>
      <w:r w:rsidRPr="000508B6">
        <w:rPr>
          <w:rFonts w:ascii="Times New Roman" w:eastAsia="Times New Roman" w:hAnsi="Times New Roman" w:cs="Times New Roman"/>
          <w:lang w:val="ro-MD"/>
        </w:rPr>
        <w:t>acţionarilor</w:t>
      </w:r>
      <w:proofErr w:type="spellEnd"/>
      <w:r w:rsidRPr="000508B6">
        <w:rPr>
          <w:rFonts w:ascii="Times New Roman" w:eastAsia="Times New Roman" w:hAnsi="Times New Roman" w:cs="Times New Roman"/>
          <w:lang w:val="ro-MD"/>
        </w:rPr>
        <w:t xml:space="preserve"> pentru un termen de </w:t>
      </w:r>
      <w:proofErr w:type="spellStart"/>
      <w:r w:rsidRPr="000508B6">
        <w:rPr>
          <w:rFonts w:ascii="Times New Roman" w:eastAsia="Times New Roman" w:hAnsi="Times New Roman" w:cs="Times New Roman"/>
          <w:lang w:val="ro-MD"/>
        </w:rPr>
        <w:t>pînă</w:t>
      </w:r>
      <w:proofErr w:type="spellEnd"/>
      <w:r w:rsidRPr="000508B6">
        <w:rPr>
          <w:rFonts w:ascii="Times New Roman" w:eastAsia="Times New Roman" w:hAnsi="Times New Roman" w:cs="Times New Roman"/>
          <w:lang w:val="ro-MD"/>
        </w:rPr>
        <w:t xml:space="preserve"> la 4 ani</w:t>
      </w:r>
      <w:r w:rsidR="002B6FF4" w:rsidRPr="000508B6">
        <w:rPr>
          <w:rFonts w:ascii="Times New Roman" w:eastAsia="Times New Roman" w:hAnsi="Times New Roman" w:cs="Times New Roman"/>
          <w:lang w:val="ro-MD"/>
        </w:rPr>
        <w:t xml:space="preserve"> și</w:t>
      </w:r>
      <w:r w:rsidR="00C013F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pot fi realeși pentru un nou termen.</w:t>
      </w:r>
    </w:p>
    <w:p w14:paraId="0690C7FA" w14:textId="4FD6EA0D" w:rsidR="007F06C8" w:rsidRPr="000508B6" w:rsidRDefault="007F06C8" w:rsidP="00EE70FE">
      <w:pPr>
        <w:pStyle w:val="Listparagraf"/>
        <w:numPr>
          <w:ilvl w:val="0"/>
          <w:numId w:val="431"/>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bookmarkStart w:id="70" w:name="_Hlk221278321"/>
      <w:r w:rsidRPr="000508B6">
        <w:rPr>
          <w:rFonts w:ascii="Times New Roman" w:eastAsia="Times New Roman" w:hAnsi="Times New Roman" w:cs="Times New Roman"/>
          <w:lang w:val="ro-MD"/>
        </w:rPr>
        <w:t xml:space="preserve">Cel puțin 1/3 din membrii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trebuie să fie independenți. Membrul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nu poate cumula calitatea de membru în 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cu cea de salariat al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respectiv sau al </w:t>
      </w:r>
      <w:r w:rsidR="00D17CB5" w:rsidRPr="000508B6">
        <w:rPr>
          <w:rFonts w:ascii="Times New Roman" w:eastAsia="Times New Roman" w:hAnsi="Times New Roman" w:cs="Times New Roman"/>
          <w:lang w:val="ro-MD"/>
        </w:rPr>
        <w:t>altui asigurător</w:t>
      </w:r>
      <w:r w:rsidR="00D22D7D" w:rsidRPr="000508B6">
        <w:rPr>
          <w:rFonts w:ascii="Times New Roman" w:eastAsia="Times New Roman" w:hAnsi="Times New Roman" w:cs="Times New Roman"/>
          <w:lang w:val="ro-MD"/>
        </w:rPr>
        <w:t xml:space="preserve"> sau </w:t>
      </w:r>
      <w:proofErr w:type="spellStart"/>
      <w:r w:rsidR="00D22D7D"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În sensul prezentului articol, a fi independent înseamnă că membrul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nu are nicio relație actuală sau anterioară recentă ori legături de orice natură cu </w:t>
      </w:r>
      <w:r w:rsidR="00D17CB5" w:rsidRPr="000508B6">
        <w:rPr>
          <w:rFonts w:ascii="Times New Roman" w:eastAsia="Times New Roman" w:hAnsi="Times New Roman" w:cs="Times New Roman"/>
          <w:lang w:val="ro-MD"/>
        </w:rPr>
        <w:t xml:space="preserve">asigurătorul sau </w:t>
      </w:r>
      <w:proofErr w:type="spellStart"/>
      <w:r w:rsidR="00D17CB5"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acționarii, deținătorii indirecți sau organul executiv al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care ar putea să influențeze obiectivul și judecata echilibrată ale membrului și să reducă capacitatea acestuia de a lua decizii în mod independent. </w:t>
      </w:r>
    </w:p>
    <w:bookmarkEnd w:id="70"/>
    <w:p w14:paraId="58188251" w14:textId="43A6A7D5" w:rsidR="00ED1DF6" w:rsidRPr="000508B6" w:rsidRDefault="00ED1DF6" w:rsidP="00EE70FE">
      <w:pPr>
        <w:pStyle w:val="Listparagraf"/>
        <w:numPr>
          <w:ilvl w:val="0"/>
          <w:numId w:val="431"/>
        </w:numPr>
        <w:tabs>
          <w:tab w:val="left" w:pos="709"/>
          <w:tab w:val="left" w:pos="851"/>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are următoarele </w:t>
      </w:r>
      <w:proofErr w:type="spellStart"/>
      <w:r w:rsidRPr="000508B6">
        <w:rPr>
          <w:rFonts w:ascii="Times New Roman" w:eastAsia="Times New Roman" w:hAnsi="Times New Roman" w:cs="Times New Roman"/>
          <w:lang w:val="ro-MD"/>
        </w:rPr>
        <w:t>atribuţii</w:t>
      </w:r>
      <w:proofErr w:type="spellEnd"/>
      <w:r w:rsidRPr="000508B6">
        <w:rPr>
          <w:rFonts w:ascii="Times New Roman" w:eastAsia="Times New Roman" w:hAnsi="Times New Roman" w:cs="Times New Roman"/>
          <w:lang w:val="ro-MD"/>
        </w:rPr>
        <w:t xml:space="preserve"> principale:</w:t>
      </w:r>
    </w:p>
    <w:p w14:paraId="6D3BC9E2" w14:textId="6EC5DD36" w:rsidR="00ED1DF6" w:rsidRPr="000508B6" w:rsidRDefault="00ED1DF6" w:rsidP="00EE70FE">
      <w:pPr>
        <w:pStyle w:val="Listparagraf"/>
        <w:numPr>
          <w:ilvl w:val="2"/>
          <w:numId w:val="106"/>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aprobă raportul privind solvabilitatea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situaţia</w:t>
      </w:r>
      <w:proofErr w:type="spellEnd"/>
      <w:r w:rsidRPr="000508B6">
        <w:rPr>
          <w:rFonts w:ascii="Times New Roman" w:eastAsia="Times New Roman" w:hAnsi="Times New Roman" w:cs="Times New Roman"/>
          <w:lang w:val="ro-MD"/>
        </w:rPr>
        <w:t xml:space="preserve"> financiară, publicat în conformitate cu </w:t>
      </w:r>
      <w:r w:rsidR="007F78F2" w:rsidRPr="000508B6">
        <w:rPr>
          <w:rFonts w:ascii="Times New Roman" w:eastAsia="Times New Roman" w:hAnsi="Times New Roman" w:cs="Times New Roman"/>
          <w:lang w:val="ro-MD"/>
        </w:rPr>
        <w:t>art.32-36</w:t>
      </w:r>
      <w:r w:rsidRPr="000508B6">
        <w:rPr>
          <w:rFonts w:ascii="Times New Roman" w:eastAsia="Times New Roman" w:hAnsi="Times New Roman" w:cs="Times New Roman"/>
          <w:lang w:val="ro-MD"/>
        </w:rPr>
        <w:t xml:space="preserve">; </w:t>
      </w:r>
    </w:p>
    <w:p w14:paraId="29BCD7EB" w14:textId="6EFC51DF" w:rsidR="00ED1DF6" w:rsidRPr="000508B6" w:rsidRDefault="00ED1DF6"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acţiunile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măsurile care urmează a fi întreprinse pentru eficientizarea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pe baza constatărilor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recomandărilor </w:t>
      </w:r>
      <w:proofErr w:type="spellStart"/>
      <w:r w:rsidRPr="000508B6">
        <w:rPr>
          <w:rFonts w:ascii="Times New Roman" w:eastAsia="Times New Roman" w:hAnsi="Times New Roman" w:cs="Times New Roman"/>
          <w:lang w:val="ro-MD"/>
        </w:rPr>
        <w:t>funcţiei</w:t>
      </w:r>
      <w:proofErr w:type="spellEnd"/>
      <w:r w:rsidRPr="000508B6">
        <w:rPr>
          <w:rFonts w:ascii="Times New Roman" w:eastAsia="Times New Roman" w:hAnsi="Times New Roman" w:cs="Times New Roman"/>
          <w:lang w:val="ro-MD"/>
        </w:rPr>
        <w:t xml:space="preserve"> de audit intern; </w:t>
      </w:r>
    </w:p>
    <w:p w14:paraId="431B93D5" w14:textId="4248EE70" w:rsidR="00ED1DF6" w:rsidRPr="000508B6" w:rsidRDefault="00054FC6"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aprobă depunerea către Banca </w:t>
      </w:r>
      <w:r w:rsidR="007E46C0" w:rsidRPr="000508B6">
        <w:rPr>
          <w:rFonts w:ascii="Times New Roman" w:eastAsia="Times New Roman" w:hAnsi="Times New Roman" w:cs="Times New Roman"/>
          <w:lang w:val="ro-MD"/>
        </w:rPr>
        <w:t>N</w:t>
      </w:r>
      <w:r w:rsidRPr="000508B6">
        <w:rPr>
          <w:rFonts w:ascii="Times New Roman" w:eastAsia="Times New Roman" w:hAnsi="Times New Roman" w:cs="Times New Roman"/>
          <w:lang w:val="ro-MD"/>
        </w:rPr>
        <w:t xml:space="preserve">ațională a Moldovei a cererii de </w:t>
      </w:r>
      <w:r w:rsidR="00CE343A" w:rsidRPr="000508B6">
        <w:rPr>
          <w:rFonts w:ascii="Times New Roman" w:eastAsia="Times New Roman" w:hAnsi="Times New Roman" w:cs="Times New Roman"/>
          <w:lang w:val="ro-MD"/>
        </w:rPr>
        <w:t>utilizarea</w:t>
      </w:r>
      <w:r w:rsidRPr="000508B6">
        <w:rPr>
          <w:rFonts w:ascii="Times New Roman" w:eastAsia="Times New Roman" w:hAnsi="Times New Roman" w:cs="Times New Roman"/>
          <w:lang w:val="ro-MD"/>
        </w:rPr>
        <w:t xml:space="preserve"> a</w:t>
      </w:r>
      <w:r w:rsidR="00CE343A" w:rsidRPr="000508B6">
        <w:rPr>
          <w:rFonts w:ascii="Times New Roman" w:eastAsia="Times New Roman" w:hAnsi="Times New Roman" w:cs="Times New Roman"/>
          <w:lang w:val="ro-MD"/>
        </w:rPr>
        <w:t xml:space="preserve"> unui model intern, conform prevederilor art. </w:t>
      </w:r>
      <w:r w:rsidR="00541EA8" w:rsidRPr="000508B6">
        <w:rPr>
          <w:rFonts w:ascii="Times New Roman" w:eastAsia="Times New Roman" w:hAnsi="Times New Roman" w:cs="Times New Roman"/>
          <w:lang w:val="ro-MD"/>
        </w:rPr>
        <w:t>75</w:t>
      </w:r>
      <w:r w:rsidR="00427284" w:rsidRPr="000508B6">
        <w:rPr>
          <w:rFonts w:ascii="Times New Roman" w:eastAsia="Times New Roman" w:hAnsi="Times New Roman" w:cs="Times New Roman"/>
          <w:lang w:val="ro-MD"/>
        </w:rPr>
        <w:t>, precum</w:t>
      </w:r>
      <w:r w:rsidR="00ED1DF6" w:rsidRPr="000508B6">
        <w:rPr>
          <w:rFonts w:ascii="Times New Roman" w:eastAsia="Times New Roman" w:hAnsi="Times New Roman" w:cs="Times New Roman"/>
          <w:lang w:val="ro-MD"/>
        </w:rPr>
        <w:t xml:space="preserve"> </w:t>
      </w:r>
      <w:proofErr w:type="spellStart"/>
      <w:r w:rsidR="00ED1DF6" w:rsidRPr="000508B6">
        <w:rPr>
          <w:rFonts w:ascii="Times New Roman" w:eastAsia="Times New Roman" w:hAnsi="Times New Roman" w:cs="Times New Roman"/>
          <w:lang w:val="ro-MD"/>
        </w:rPr>
        <w:t>şi</w:t>
      </w:r>
      <w:proofErr w:type="spellEnd"/>
      <w:r w:rsidR="00ED1DF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depunerea </w:t>
      </w:r>
      <w:r w:rsidR="00E020BE" w:rsidRPr="000508B6">
        <w:rPr>
          <w:rFonts w:ascii="Times New Roman" w:eastAsia="Times New Roman" w:hAnsi="Times New Roman" w:cs="Times New Roman"/>
          <w:lang w:val="ro-MD"/>
        </w:rPr>
        <w:t>cerer</w:t>
      </w:r>
      <w:r w:rsidR="00097457"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lor</w:t>
      </w:r>
      <w:r w:rsidR="00CD49F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ulterioare privind</w:t>
      </w:r>
      <w:r w:rsidR="007E46C0" w:rsidRPr="000508B6">
        <w:rPr>
          <w:rFonts w:ascii="Times New Roman" w:eastAsia="Times New Roman" w:hAnsi="Times New Roman" w:cs="Times New Roman"/>
          <w:lang w:val="ro-MD"/>
        </w:rPr>
        <w:t xml:space="preserve"> </w:t>
      </w:r>
      <w:r w:rsidR="00ED1DF6" w:rsidRPr="000508B6">
        <w:rPr>
          <w:rFonts w:ascii="Times New Roman" w:eastAsia="Times New Roman" w:hAnsi="Times New Roman" w:cs="Times New Roman"/>
          <w:lang w:val="ro-MD"/>
        </w:rPr>
        <w:t>modificări</w:t>
      </w:r>
      <w:r w:rsidRPr="000508B6">
        <w:rPr>
          <w:rFonts w:ascii="Times New Roman" w:eastAsia="Times New Roman" w:hAnsi="Times New Roman" w:cs="Times New Roman"/>
          <w:lang w:val="ro-MD"/>
        </w:rPr>
        <w:t>le</w:t>
      </w:r>
      <w:r w:rsidR="00ED1DF6" w:rsidRPr="000508B6">
        <w:rPr>
          <w:rFonts w:ascii="Times New Roman" w:eastAsia="Times New Roman" w:hAnsi="Times New Roman" w:cs="Times New Roman"/>
          <w:lang w:val="ro-MD"/>
        </w:rPr>
        <w:t xml:space="preserve"> majore ale modelului respectiv; </w:t>
      </w:r>
    </w:p>
    <w:p w14:paraId="3CD8867B" w14:textId="095CC9A6" w:rsidR="00ED1DF6" w:rsidRPr="000508B6" w:rsidRDefault="00ED1DF6"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sidDel="00CE343A">
        <w:rPr>
          <w:rFonts w:ascii="Times New Roman" w:eastAsia="Times New Roman" w:hAnsi="Times New Roman" w:cs="Times New Roman"/>
          <w:lang w:val="ro-MD"/>
        </w:rPr>
        <w:t xml:space="preserve">dispune instituirea unor sisteme care să asigure </w:t>
      </w:r>
      <w:proofErr w:type="spellStart"/>
      <w:r w:rsidRPr="000508B6" w:rsidDel="00CE343A">
        <w:rPr>
          <w:rFonts w:ascii="Times New Roman" w:eastAsia="Times New Roman" w:hAnsi="Times New Roman" w:cs="Times New Roman"/>
          <w:lang w:val="ro-MD"/>
        </w:rPr>
        <w:t>funcţionarea</w:t>
      </w:r>
      <w:proofErr w:type="spellEnd"/>
      <w:r w:rsidRPr="000508B6" w:rsidDel="00CE343A">
        <w:rPr>
          <w:rFonts w:ascii="Times New Roman" w:eastAsia="Times New Roman" w:hAnsi="Times New Roman" w:cs="Times New Roman"/>
          <w:lang w:val="ro-MD"/>
        </w:rPr>
        <w:t xml:space="preserve"> adecvată </w:t>
      </w:r>
      <w:proofErr w:type="spellStart"/>
      <w:r w:rsidRPr="000508B6" w:rsidDel="00CE343A">
        <w:rPr>
          <w:rFonts w:ascii="Times New Roman" w:eastAsia="Times New Roman" w:hAnsi="Times New Roman" w:cs="Times New Roman"/>
          <w:lang w:val="ro-MD"/>
        </w:rPr>
        <w:t>şi</w:t>
      </w:r>
      <w:proofErr w:type="spellEnd"/>
      <w:r w:rsidRPr="000508B6" w:rsidDel="00CE343A">
        <w:rPr>
          <w:rFonts w:ascii="Times New Roman" w:eastAsia="Times New Roman" w:hAnsi="Times New Roman" w:cs="Times New Roman"/>
          <w:lang w:val="ro-MD"/>
        </w:rPr>
        <w:t xml:space="preserve"> continuă a modelului intern</w:t>
      </w:r>
      <w:r w:rsidRPr="000508B6">
        <w:rPr>
          <w:rFonts w:ascii="Times New Roman" w:eastAsia="Times New Roman" w:hAnsi="Times New Roman" w:cs="Times New Roman"/>
          <w:lang w:val="ro-MD"/>
        </w:rPr>
        <w:t xml:space="preserve">; </w:t>
      </w:r>
    </w:p>
    <w:p w14:paraId="22EE6CAF" w14:textId="79CF5031" w:rsidR="00ED1DF6" w:rsidRPr="000508B6" w:rsidRDefault="00ED1DF6" w:rsidP="00297095">
      <w:pPr>
        <w:pStyle w:val="Listparagraf"/>
        <w:numPr>
          <w:ilvl w:val="2"/>
          <w:numId w:val="106"/>
        </w:numPr>
        <w:tabs>
          <w:tab w:val="left" w:pos="709"/>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se asigură că structura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funcţionarea</w:t>
      </w:r>
      <w:proofErr w:type="spellEnd"/>
      <w:r w:rsidRPr="000508B6">
        <w:rPr>
          <w:rFonts w:ascii="Times New Roman" w:eastAsia="Times New Roman" w:hAnsi="Times New Roman" w:cs="Times New Roman"/>
          <w:lang w:val="ro-MD"/>
        </w:rPr>
        <w:t xml:space="preserve"> modelului intern sunt în </w:t>
      </w:r>
      <w:proofErr w:type="spellStart"/>
      <w:r w:rsidRPr="000508B6">
        <w:rPr>
          <w:rFonts w:ascii="Times New Roman" w:eastAsia="Times New Roman" w:hAnsi="Times New Roman" w:cs="Times New Roman"/>
          <w:lang w:val="ro-MD"/>
        </w:rPr>
        <w:t>permanenţă</w:t>
      </w:r>
      <w:proofErr w:type="spellEnd"/>
      <w:r w:rsidRPr="000508B6">
        <w:rPr>
          <w:rFonts w:ascii="Times New Roman" w:eastAsia="Times New Roman" w:hAnsi="Times New Roman" w:cs="Times New Roman"/>
          <w:lang w:val="ro-MD"/>
        </w:rPr>
        <w:t xml:space="preserve"> adecvate, astfel încât să reflecte profilul de risc; </w:t>
      </w:r>
    </w:p>
    <w:p w14:paraId="5316744F" w14:textId="524E9FAF" w:rsidR="00BE5ABC" w:rsidRPr="000508B6" w:rsidRDefault="00BE5ABC" w:rsidP="00297095">
      <w:pPr>
        <w:pStyle w:val="Listparagraf"/>
        <w:numPr>
          <w:ilvl w:val="2"/>
          <w:numId w:val="106"/>
        </w:numPr>
        <w:tabs>
          <w:tab w:val="left" w:pos="709"/>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aprobă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dispune aplicarea în practică a politicilor scrise, strategiilor, codurilor, regulamentelor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altor reglementări interne pentru administrarea activității </w:t>
      </w:r>
      <w:r w:rsidR="009F0C40" w:rsidRPr="000508B6">
        <w:rPr>
          <w:rFonts w:ascii="Times New Roman" w:eastAsia="Times New Roman" w:hAnsi="Times New Roman" w:cs="Times New Roman"/>
          <w:lang w:val="ro-MD"/>
        </w:rPr>
        <w:t xml:space="preserve">asigurătorului sau </w:t>
      </w:r>
      <w:proofErr w:type="spellStart"/>
      <w:r w:rsidR="009F0C40" w:rsidRPr="000508B6">
        <w:rPr>
          <w:rFonts w:ascii="Times New Roman" w:eastAsia="Times New Roman" w:hAnsi="Times New Roman" w:cs="Times New Roman"/>
          <w:lang w:val="ro-MD"/>
        </w:rPr>
        <w:t>reasigurătorului</w:t>
      </w:r>
      <w:proofErr w:type="spellEnd"/>
      <w:r w:rsidR="009F0C40"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riscurilor la care aceasta este expusă</w:t>
      </w:r>
      <w:r w:rsidR="002A2712" w:rsidRPr="000508B6">
        <w:rPr>
          <w:rFonts w:ascii="Times New Roman" w:eastAsia="Times New Roman" w:hAnsi="Times New Roman" w:cs="Times New Roman"/>
          <w:lang w:val="ro-MD"/>
        </w:rPr>
        <w:t>,</w:t>
      </w:r>
      <w:r w:rsidR="002A2712" w:rsidRPr="000508B6">
        <w:rPr>
          <w:rFonts w:ascii="Times New Roman" w:hAnsi="Times New Roman" w:cs="Times New Roman"/>
          <w:lang w:val="ro-MD"/>
        </w:rPr>
        <w:t xml:space="preserve"> </w:t>
      </w:r>
      <w:r w:rsidR="002A2712" w:rsidRPr="000508B6">
        <w:rPr>
          <w:rFonts w:ascii="Times New Roman" w:eastAsia="Times New Roman" w:hAnsi="Times New Roman" w:cs="Times New Roman"/>
          <w:lang w:val="ro-MD"/>
        </w:rPr>
        <w:t>inclusiv a codului de guvernanță corporativă</w:t>
      </w:r>
      <w:r w:rsidRPr="000508B6">
        <w:rPr>
          <w:rFonts w:ascii="Times New Roman" w:eastAsia="Times New Roman" w:hAnsi="Times New Roman" w:cs="Times New Roman"/>
          <w:lang w:val="ro-MD"/>
        </w:rPr>
        <w:t>;</w:t>
      </w:r>
    </w:p>
    <w:p w14:paraId="278AB37F" w14:textId="246F5F6E" w:rsidR="00ED1DF6" w:rsidRPr="000508B6" w:rsidRDefault="00ED1DF6" w:rsidP="00EE70FE">
      <w:pPr>
        <w:pStyle w:val="Listparagraf"/>
        <w:numPr>
          <w:ilvl w:val="2"/>
          <w:numId w:val="106"/>
        </w:numPr>
        <w:tabs>
          <w:tab w:val="left" w:pos="709"/>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selectează, </w:t>
      </w:r>
      <w:proofErr w:type="spellStart"/>
      <w:r w:rsidRPr="000508B6">
        <w:rPr>
          <w:rFonts w:ascii="Times New Roman" w:eastAsia="Times New Roman" w:hAnsi="Times New Roman" w:cs="Times New Roman"/>
          <w:lang w:val="ro-MD"/>
        </w:rPr>
        <w:t>numeşte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revocă membrii organului executiv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acestora, dacă în statut nu este prevăzut altfel și exercită supravegherea efectivă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eficientă a organului executiv;</w:t>
      </w:r>
      <w:r w:rsidR="00F4512E" w:rsidRPr="000508B6">
        <w:rPr>
          <w:rFonts w:ascii="Times New Roman" w:eastAsia="Times New Roman" w:hAnsi="Times New Roman" w:cs="Times New Roman"/>
          <w:lang w:val="ro-MD"/>
        </w:rPr>
        <w:t xml:space="preserve"> </w:t>
      </w:r>
    </w:p>
    <w:p w14:paraId="0F14C9CF" w14:textId="1BCFC9A2" w:rsidR="00ED1DF6" w:rsidRPr="000508B6" w:rsidRDefault="00ED1DF6"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analizează în mod critic, dezbate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discută, într-o manieră constructivă, propunerile, </w:t>
      </w:r>
      <w:proofErr w:type="spellStart"/>
      <w:r w:rsidRPr="000508B6">
        <w:rPr>
          <w:rFonts w:ascii="Times New Roman" w:eastAsia="Times New Roman" w:hAnsi="Times New Roman" w:cs="Times New Roman"/>
          <w:lang w:val="ro-MD"/>
        </w:rPr>
        <w:t>explicaţiile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furnizate de către membrii organului executiv, având posibilitatea de a se opune deciziilor acestora;</w:t>
      </w:r>
    </w:p>
    <w:p w14:paraId="2B8EC64B" w14:textId="1B62CFD9" w:rsidR="00ED1DF6" w:rsidRPr="000508B6" w:rsidRDefault="00ED1DF6"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monitorizează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evaluează periodic eficacitatea normelor sistemului de </w:t>
      </w:r>
      <w:proofErr w:type="spellStart"/>
      <w:r w:rsidRPr="000508B6">
        <w:rPr>
          <w:rFonts w:ascii="Times New Roman" w:eastAsia="Times New Roman" w:hAnsi="Times New Roman" w:cs="Times New Roman"/>
          <w:lang w:val="ro-MD"/>
        </w:rPr>
        <w:t>guvernanţă</w:t>
      </w:r>
      <w:proofErr w:type="spellEnd"/>
      <w:r w:rsidRPr="000508B6">
        <w:rPr>
          <w:rFonts w:ascii="Times New Roman" w:eastAsia="Times New Roman" w:hAnsi="Times New Roman" w:cs="Times New Roman"/>
          <w:lang w:val="ro-MD"/>
        </w:rPr>
        <w:t xml:space="preserve">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adoptă măsurile adecvate pentru remedierea eventualelor </w:t>
      </w:r>
      <w:proofErr w:type="spellStart"/>
      <w:r w:rsidRPr="000508B6">
        <w:rPr>
          <w:rFonts w:ascii="Times New Roman" w:eastAsia="Times New Roman" w:hAnsi="Times New Roman" w:cs="Times New Roman"/>
          <w:lang w:val="ro-MD"/>
        </w:rPr>
        <w:t>deficienţe</w:t>
      </w:r>
      <w:proofErr w:type="spellEnd"/>
      <w:r w:rsidRPr="000508B6">
        <w:rPr>
          <w:rFonts w:ascii="Times New Roman" w:eastAsia="Times New Roman" w:hAnsi="Times New Roman" w:cs="Times New Roman"/>
          <w:lang w:val="ro-MD"/>
        </w:rPr>
        <w:t>;</w:t>
      </w:r>
      <w:r w:rsidR="00F4512E" w:rsidRPr="000508B6">
        <w:rPr>
          <w:rFonts w:ascii="Times New Roman" w:eastAsia="Times New Roman" w:hAnsi="Times New Roman" w:cs="Times New Roman"/>
          <w:lang w:val="ro-MD"/>
        </w:rPr>
        <w:t xml:space="preserve"> </w:t>
      </w:r>
    </w:p>
    <w:p w14:paraId="1F59F8A6" w14:textId="38CC6E3B" w:rsidR="00ED1DF6" w:rsidRPr="000508B6" w:rsidRDefault="00754625" w:rsidP="00754625">
      <w:pPr>
        <w:pStyle w:val="Listparagraf"/>
        <w:numPr>
          <w:ilvl w:val="2"/>
          <w:numId w:val="106"/>
        </w:numPr>
        <w:tabs>
          <w:tab w:val="left" w:pos="709"/>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ED1DF6" w:rsidRPr="000508B6">
        <w:rPr>
          <w:rFonts w:ascii="Times New Roman" w:eastAsia="Times New Roman" w:hAnsi="Times New Roman" w:cs="Times New Roman"/>
          <w:lang w:val="ro-MD"/>
        </w:rPr>
        <w:t xml:space="preserve">decide cu privire la stabilirea unor </w:t>
      </w:r>
      <w:r w:rsidR="002E640A" w:rsidRPr="000508B6">
        <w:rPr>
          <w:rFonts w:ascii="Times New Roman" w:eastAsia="Times New Roman" w:hAnsi="Times New Roman" w:cs="Times New Roman"/>
          <w:lang w:val="ro-MD"/>
        </w:rPr>
        <w:t>sisteme</w:t>
      </w:r>
      <w:r w:rsidR="006E72CD" w:rsidRPr="000508B6">
        <w:rPr>
          <w:rFonts w:ascii="Times New Roman" w:eastAsia="Times New Roman" w:hAnsi="Times New Roman" w:cs="Times New Roman"/>
          <w:lang w:val="ro-MD"/>
        </w:rPr>
        <w:t xml:space="preserve"> </w:t>
      </w:r>
      <w:r w:rsidR="00CE343A" w:rsidRPr="000508B6">
        <w:rPr>
          <w:rFonts w:ascii="Times New Roman" w:eastAsia="Times New Roman" w:hAnsi="Times New Roman" w:cs="Times New Roman"/>
          <w:lang w:val="ro-MD"/>
        </w:rPr>
        <w:t xml:space="preserve">și a unor </w:t>
      </w:r>
      <w:r w:rsidR="00ED1DF6" w:rsidRPr="000508B6">
        <w:rPr>
          <w:rFonts w:ascii="Times New Roman" w:eastAsia="Times New Roman" w:hAnsi="Times New Roman" w:cs="Times New Roman"/>
          <w:lang w:val="ro-MD"/>
        </w:rPr>
        <w:t xml:space="preserve">comitete specializate, inclusiv </w:t>
      </w:r>
      <w:proofErr w:type="spellStart"/>
      <w:r w:rsidR="00ED1DF6" w:rsidRPr="000508B6">
        <w:rPr>
          <w:rFonts w:ascii="Times New Roman" w:eastAsia="Times New Roman" w:hAnsi="Times New Roman" w:cs="Times New Roman"/>
          <w:lang w:val="ro-MD"/>
        </w:rPr>
        <w:t>componenţa</w:t>
      </w:r>
      <w:proofErr w:type="spellEnd"/>
      <w:r w:rsidR="00ED1DF6" w:rsidRPr="000508B6">
        <w:rPr>
          <w:rFonts w:ascii="Times New Roman" w:eastAsia="Times New Roman" w:hAnsi="Times New Roman" w:cs="Times New Roman"/>
          <w:lang w:val="ro-MD"/>
        </w:rPr>
        <w:t xml:space="preserve"> acestora, a căror </w:t>
      </w:r>
      <w:proofErr w:type="spellStart"/>
      <w:r w:rsidR="00ED1DF6" w:rsidRPr="000508B6">
        <w:rPr>
          <w:rFonts w:ascii="Times New Roman" w:eastAsia="Times New Roman" w:hAnsi="Times New Roman" w:cs="Times New Roman"/>
          <w:lang w:val="ro-MD"/>
        </w:rPr>
        <w:t>funcţionare</w:t>
      </w:r>
      <w:proofErr w:type="spellEnd"/>
      <w:r w:rsidR="00ED1DF6" w:rsidRPr="000508B6">
        <w:rPr>
          <w:rFonts w:ascii="Times New Roman" w:eastAsia="Times New Roman" w:hAnsi="Times New Roman" w:cs="Times New Roman"/>
          <w:lang w:val="ro-MD"/>
        </w:rPr>
        <w:t xml:space="preserve"> </w:t>
      </w:r>
      <w:proofErr w:type="spellStart"/>
      <w:r w:rsidR="00ED1DF6" w:rsidRPr="000508B6">
        <w:rPr>
          <w:rFonts w:ascii="Times New Roman" w:eastAsia="Times New Roman" w:hAnsi="Times New Roman" w:cs="Times New Roman"/>
          <w:lang w:val="ro-MD"/>
        </w:rPr>
        <w:t>şi</w:t>
      </w:r>
      <w:proofErr w:type="spellEnd"/>
      <w:r w:rsidR="00ED1DF6" w:rsidRPr="000508B6">
        <w:rPr>
          <w:rFonts w:ascii="Times New Roman" w:eastAsia="Times New Roman" w:hAnsi="Times New Roman" w:cs="Times New Roman"/>
          <w:lang w:val="ro-MD"/>
        </w:rPr>
        <w:t xml:space="preserve"> </w:t>
      </w:r>
      <w:proofErr w:type="spellStart"/>
      <w:r w:rsidR="00ED1DF6" w:rsidRPr="000508B6">
        <w:rPr>
          <w:rFonts w:ascii="Times New Roman" w:eastAsia="Times New Roman" w:hAnsi="Times New Roman" w:cs="Times New Roman"/>
          <w:lang w:val="ro-MD"/>
        </w:rPr>
        <w:t>atribuţii</w:t>
      </w:r>
      <w:proofErr w:type="spellEnd"/>
      <w:r w:rsidR="00ED1DF6" w:rsidRPr="000508B6">
        <w:rPr>
          <w:rFonts w:ascii="Times New Roman" w:eastAsia="Times New Roman" w:hAnsi="Times New Roman" w:cs="Times New Roman"/>
          <w:lang w:val="ro-MD"/>
        </w:rPr>
        <w:t xml:space="preserve"> sunt prevăzute de prezenta lege </w:t>
      </w:r>
      <w:proofErr w:type="spellStart"/>
      <w:r w:rsidR="00ED1DF6" w:rsidRPr="000508B6">
        <w:rPr>
          <w:rFonts w:ascii="Times New Roman" w:eastAsia="Times New Roman" w:hAnsi="Times New Roman" w:cs="Times New Roman"/>
          <w:lang w:val="ro-MD"/>
        </w:rPr>
        <w:t>şi</w:t>
      </w:r>
      <w:proofErr w:type="spellEnd"/>
      <w:r w:rsidR="00ED1DF6" w:rsidRPr="000508B6">
        <w:rPr>
          <w:rFonts w:ascii="Times New Roman" w:eastAsia="Times New Roman" w:hAnsi="Times New Roman" w:cs="Times New Roman"/>
          <w:lang w:val="ro-MD"/>
        </w:rPr>
        <w:t xml:space="preserve"> de actele normative ale Băncii Naționale a Moldovei;</w:t>
      </w:r>
      <w:r w:rsidR="00F4512E" w:rsidRPr="000508B6">
        <w:rPr>
          <w:rFonts w:ascii="Times New Roman" w:eastAsia="Times New Roman" w:hAnsi="Times New Roman" w:cs="Times New Roman"/>
          <w:lang w:val="ro-MD"/>
        </w:rPr>
        <w:t xml:space="preserve"> </w:t>
      </w:r>
    </w:p>
    <w:p w14:paraId="59A4C422" w14:textId="15ADA255" w:rsidR="00ED1DF6" w:rsidRPr="000508B6" w:rsidRDefault="00ED1DF6" w:rsidP="00754625">
      <w:pPr>
        <w:pStyle w:val="Listparagraf"/>
        <w:numPr>
          <w:ilvl w:val="2"/>
          <w:numId w:val="106"/>
        </w:numPr>
        <w:tabs>
          <w:tab w:val="left" w:pos="709"/>
          <w:tab w:val="left" w:pos="851"/>
          <w:tab w:val="left" w:pos="1418"/>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fără a aduce atingere prevederilor art.</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18 alin.</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(2), </w:t>
      </w:r>
      <w:proofErr w:type="spellStart"/>
      <w:r w:rsidRPr="000508B6">
        <w:rPr>
          <w:rFonts w:ascii="Times New Roman" w:eastAsia="Times New Roman" w:hAnsi="Times New Roman" w:cs="Times New Roman"/>
          <w:lang w:val="ro-MD"/>
        </w:rPr>
        <w:t>îndeplineşte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prevăzute de art.</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48 alin.</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(4) din Legea nr.</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1134/1997;</w:t>
      </w:r>
      <w:r w:rsidR="00F4512E" w:rsidRPr="000508B6">
        <w:rPr>
          <w:rFonts w:ascii="Times New Roman" w:eastAsia="Times New Roman" w:hAnsi="Times New Roman" w:cs="Times New Roman"/>
          <w:lang w:val="ro-MD"/>
        </w:rPr>
        <w:t xml:space="preserve"> </w:t>
      </w:r>
    </w:p>
    <w:p w14:paraId="21051F4D" w14:textId="24181924" w:rsidR="00ED1DF6" w:rsidRPr="000508B6" w:rsidRDefault="00754625" w:rsidP="00754625">
      <w:pPr>
        <w:pStyle w:val="Listparagraf"/>
        <w:numPr>
          <w:ilvl w:val="2"/>
          <w:numId w:val="106"/>
        </w:numPr>
        <w:tabs>
          <w:tab w:val="left" w:pos="709"/>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ED1DF6" w:rsidRPr="000508B6">
        <w:rPr>
          <w:rFonts w:ascii="Times New Roman" w:eastAsia="Times New Roman" w:hAnsi="Times New Roman" w:cs="Times New Roman"/>
          <w:lang w:val="ro-MD"/>
        </w:rPr>
        <w:t>aprobă planul de redresare</w:t>
      </w:r>
      <w:r w:rsidR="0090074D" w:rsidRPr="000508B6">
        <w:rPr>
          <w:rFonts w:ascii="Times New Roman" w:eastAsia="Times New Roman" w:hAnsi="Times New Roman" w:cs="Times New Roman"/>
          <w:lang w:val="ro-MD"/>
        </w:rPr>
        <w:t xml:space="preserve"> și </w:t>
      </w:r>
      <w:r w:rsidR="00ED1DF6" w:rsidRPr="000508B6">
        <w:rPr>
          <w:rFonts w:ascii="Times New Roman" w:eastAsia="Times New Roman" w:hAnsi="Times New Roman" w:cs="Times New Roman"/>
          <w:lang w:val="ro-MD"/>
        </w:rPr>
        <w:t xml:space="preserve">planul de </w:t>
      </w:r>
      <w:proofErr w:type="spellStart"/>
      <w:r w:rsidR="00ED1DF6" w:rsidRPr="000508B6">
        <w:rPr>
          <w:rFonts w:ascii="Times New Roman" w:eastAsia="Times New Roman" w:hAnsi="Times New Roman" w:cs="Times New Roman"/>
          <w:lang w:val="ro-MD"/>
        </w:rPr>
        <w:t>finanţare</w:t>
      </w:r>
      <w:proofErr w:type="spellEnd"/>
      <w:r w:rsidR="00ED1DF6" w:rsidRPr="000508B6">
        <w:rPr>
          <w:rFonts w:ascii="Times New Roman" w:eastAsia="Times New Roman" w:hAnsi="Times New Roman" w:cs="Times New Roman"/>
          <w:lang w:val="ro-MD"/>
        </w:rPr>
        <w:t>;</w:t>
      </w:r>
    </w:p>
    <w:p w14:paraId="5FD68FAE" w14:textId="3631A14C" w:rsidR="00D86FB9" w:rsidRPr="000508B6" w:rsidRDefault="00D86FB9"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aprobă </w:t>
      </w:r>
      <w:proofErr w:type="spellStart"/>
      <w:r w:rsidRPr="000508B6">
        <w:rPr>
          <w:rFonts w:ascii="Times New Roman" w:eastAsia="Times New Roman" w:hAnsi="Times New Roman" w:cs="Times New Roman"/>
          <w:lang w:val="ro-MD"/>
        </w:rPr>
        <w:t>situaţiile</w:t>
      </w:r>
      <w:proofErr w:type="spellEnd"/>
      <w:r w:rsidRPr="000508B6">
        <w:rPr>
          <w:rFonts w:ascii="Times New Roman" w:eastAsia="Times New Roman" w:hAnsi="Times New Roman" w:cs="Times New Roman"/>
          <w:lang w:val="ro-MD"/>
        </w:rPr>
        <w:t xml:space="preserve"> financiare anuale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asigură integritatea sistemelor contabile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raportare financiară, inclusiv controalele financiare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operaţionale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conformarea cu </w:t>
      </w:r>
      <w:proofErr w:type="spellStart"/>
      <w:r w:rsidRPr="000508B6">
        <w:rPr>
          <w:rFonts w:ascii="Times New Roman" w:eastAsia="Times New Roman" w:hAnsi="Times New Roman" w:cs="Times New Roman"/>
          <w:lang w:val="ro-MD"/>
        </w:rPr>
        <w:t>legislaţia</w:t>
      </w:r>
      <w:proofErr w:type="spellEnd"/>
      <w:r w:rsidRPr="000508B6">
        <w:rPr>
          <w:rFonts w:ascii="Times New Roman" w:eastAsia="Times New Roman" w:hAnsi="Times New Roman" w:cs="Times New Roman"/>
          <w:lang w:val="ro-MD"/>
        </w:rPr>
        <w:t xml:space="preserve"> şi standardele relevante;</w:t>
      </w:r>
    </w:p>
    <w:p w14:paraId="12D7C953" w14:textId="3181E90E" w:rsidR="00AD71B0" w:rsidRPr="000508B6" w:rsidRDefault="00AD71B0"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raportează, cel puțin o dată pe an, adunării generale a acționarilor cu privire la activitatea de supraveghere desfășurată;</w:t>
      </w:r>
    </w:p>
    <w:p w14:paraId="6DC6E092" w14:textId="75B3F5F5" w:rsidR="00D86FB9" w:rsidRPr="000508B6" w:rsidRDefault="00D86FB9"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supraveghează procesul de publicare </w:t>
      </w:r>
      <w:r w:rsidR="00BE0C17" w:rsidRPr="000508B6">
        <w:rPr>
          <w:rFonts w:ascii="Times New Roman" w:eastAsia="Times New Roman" w:hAnsi="Times New Roman" w:cs="Times New Roman"/>
          <w:lang w:val="ro-MD"/>
        </w:rPr>
        <w:t xml:space="preserve">și de comunicare </w:t>
      </w:r>
      <w:r w:rsidRPr="000508B6">
        <w:rPr>
          <w:rFonts w:ascii="Times New Roman" w:eastAsia="Times New Roman" w:hAnsi="Times New Roman" w:cs="Times New Roman"/>
          <w:lang w:val="ro-MD"/>
        </w:rPr>
        <w:t>a informațiilor;</w:t>
      </w:r>
    </w:p>
    <w:p w14:paraId="0F72D897" w14:textId="16E06E4E" w:rsidR="00ED1DF6" w:rsidRPr="000508B6" w:rsidRDefault="00200B52" w:rsidP="00754625">
      <w:pPr>
        <w:pStyle w:val="Listparagraf"/>
        <w:numPr>
          <w:ilvl w:val="2"/>
          <w:numId w:val="106"/>
        </w:numPr>
        <w:tabs>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îndeplinește</w:t>
      </w:r>
      <w:r w:rsidR="00ED1DF6" w:rsidRPr="000508B6">
        <w:rPr>
          <w:rFonts w:ascii="Times New Roman" w:eastAsia="Times New Roman" w:hAnsi="Times New Roman" w:cs="Times New Roman"/>
          <w:lang w:val="ro-MD"/>
        </w:rPr>
        <w:t xml:space="preserve"> orice alte </w:t>
      </w:r>
      <w:proofErr w:type="spellStart"/>
      <w:r w:rsidR="00ED1DF6" w:rsidRPr="000508B6">
        <w:rPr>
          <w:rFonts w:ascii="Times New Roman" w:eastAsia="Times New Roman" w:hAnsi="Times New Roman" w:cs="Times New Roman"/>
          <w:lang w:val="ro-MD"/>
        </w:rPr>
        <w:t>atribuţii</w:t>
      </w:r>
      <w:proofErr w:type="spellEnd"/>
      <w:r w:rsidR="00182D1F" w:rsidRPr="000508B6">
        <w:rPr>
          <w:rFonts w:ascii="Times New Roman" w:eastAsia="Times New Roman" w:hAnsi="Times New Roman" w:cs="Times New Roman"/>
          <w:lang w:val="ro-MD"/>
        </w:rPr>
        <w:t>,</w:t>
      </w:r>
      <w:r w:rsidR="00ED1DF6" w:rsidRPr="000508B6">
        <w:rPr>
          <w:rFonts w:ascii="Times New Roman" w:eastAsia="Times New Roman" w:hAnsi="Times New Roman" w:cs="Times New Roman"/>
          <w:lang w:val="ro-MD"/>
        </w:rPr>
        <w:t xml:space="preserve"> </w:t>
      </w:r>
      <w:r w:rsidR="00182D1F" w:rsidRPr="000508B6">
        <w:rPr>
          <w:rFonts w:ascii="Times New Roman" w:eastAsia="Times New Roman" w:hAnsi="Times New Roman" w:cs="Times New Roman"/>
          <w:lang w:val="ro-MD"/>
        </w:rPr>
        <w:t>specifice sau alocate consiliului</w:t>
      </w:r>
      <w:r w:rsidR="003368C0" w:rsidRPr="000508B6">
        <w:rPr>
          <w:rFonts w:ascii="Times New Roman" w:eastAsia="Times New Roman" w:hAnsi="Times New Roman" w:cs="Times New Roman"/>
          <w:lang w:val="ro-MD"/>
        </w:rPr>
        <w:t xml:space="preserve">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182D1F" w:rsidRPr="000508B6">
        <w:rPr>
          <w:rFonts w:ascii="Times New Roman" w:eastAsia="Times New Roman" w:hAnsi="Times New Roman" w:cs="Times New Roman"/>
          <w:lang w:val="ro-MD"/>
        </w:rPr>
        <w:t>,</w:t>
      </w:r>
      <w:r w:rsidR="00ED1DF6" w:rsidRPr="000508B6">
        <w:rPr>
          <w:rFonts w:ascii="Times New Roman" w:eastAsia="Times New Roman" w:hAnsi="Times New Roman" w:cs="Times New Roman"/>
          <w:lang w:val="ro-MD"/>
        </w:rPr>
        <w:t xml:space="preserve"> </w:t>
      </w:r>
      <w:r w:rsidR="001F4D3A" w:rsidRPr="000508B6">
        <w:rPr>
          <w:rFonts w:ascii="Times New Roman" w:eastAsia="Times New Roman" w:hAnsi="Times New Roman" w:cs="Times New Roman"/>
          <w:lang w:val="ro-MD"/>
        </w:rPr>
        <w:t>prevăzute</w:t>
      </w:r>
      <w:r w:rsidR="00ED1DF6" w:rsidRPr="000508B6">
        <w:rPr>
          <w:rFonts w:ascii="Times New Roman" w:eastAsia="Times New Roman" w:hAnsi="Times New Roman" w:cs="Times New Roman"/>
          <w:lang w:val="ro-MD"/>
        </w:rPr>
        <w:t xml:space="preserve"> d</w:t>
      </w:r>
      <w:r w:rsidR="001F4D3A" w:rsidRPr="000508B6">
        <w:rPr>
          <w:rFonts w:ascii="Times New Roman" w:eastAsia="Times New Roman" w:hAnsi="Times New Roman" w:cs="Times New Roman"/>
          <w:lang w:val="ro-MD"/>
        </w:rPr>
        <w:t>e</w:t>
      </w:r>
      <w:r w:rsidR="00ED1DF6" w:rsidRPr="000508B6">
        <w:rPr>
          <w:rFonts w:ascii="Times New Roman" w:eastAsia="Times New Roman" w:hAnsi="Times New Roman" w:cs="Times New Roman"/>
          <w:lang w:val="ro-MD"/>
        </w:rPr>
        <w:t xml:space="preserve"> prezenta lege sau </w:t>
      </w:r>
      <w:r w:rsidR="001F4D3A" w:rsidRPr="000508B6">
        <w:rPr>
          <w:rFonts w:ascii="Times New Roman" w:eastAsia="Times New Roman" w:hAnsi="Times New Roman" w:cs="Times New Roman"/>
          <w:lang w:val="ro-MD"/>
        </w:rPr>
        <w:t>de</w:t>
      </w:r>
      <w:r w:rsidR="00ED1DF6" w:rsidRPr="000508B6">
        <w:rPr>
          <w:rFonts w:ascii="Times New Roman" w:eastAsia="Times New Roman" w:hAnsi="Times New Roman" w:cs="Times New Roman"/>
          <w:lang w:val="ro-MD"/>
        </w:rPr>
        <w:t xml:space="preserve"> actele normative </w:t>
      </w:r>
      <w:r w:rsidR="001175EB" w:rsidRPr="000508B6">
        <w:rPr>
          <w:rFonts w:ascii="Times New Roman" w:eastAsia="Times New Roman" w:hAnsi="Times New Roman" w:cs="Times New Roman"/>
          <w:lang w:val="ro-MD"/>
        </w:rPr>
        <w:t>ale Băncii Naționale a Moldovei</w:t>
      </w:r>
      <w:r w:rsidR="00ED1DF6" w:rsidRPr="000508B6">
        <w:rPr>
          <w:rFonts w:ascii="Times New Roman" w:eastAsia="Times New Roman" w:hAnsi="Times New Roman" w:cs="Times New Roman"/>
          <w:lang w:val="ro-MD"/>
        </w:rPr>
        <w:t>.</w:t>
      </w:r>
    </w:p>
    <w:p w14:paraId="0781CF16" w14:textId="68726696" w:rsidR="0099733F" w:rsidRPr="000508B6" w:rsidRDefault="0099733F" w:rsidP="0099733F">
      <w:pPr>
        <w:pStyle w:val="Listparagraf"/>
        <w:numPr>
          <w:ilvl w:val="0"/>
          <w:numId w:val="431"/>
        </w:numPr>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Împuternicirile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încetează din ziua aprobării de către Banca Națională a Moldovei a noilor membri aleși de adunarea generală a acționarilor.</w:t>
      </w:r>
    </w:p>
    <w:p w14:paraId="19F22476" w14:textId="13EFC16D" w:rsidR="0099733F" w:rsidRPr="000508B6" w:rsidRDefault="0099733F" w:rsidP="001175EB">
      <w:pPr>
        <w:pStyle w:val="Listparagraf"/>
        <w:numPr>
          <w:ilvl w:val="0"/>
          <w:numId w:val="431"/>
        </w:numPr>
        <w:tabs>
          <w:tab w:val="left" w:pos="567"/>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Cerințele care asigură independența membrilor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sunt stabilite în actele normative ale Băncii Naționale a Moldovei.</w:t>
      </w:r>
    </w:p>
    <w:p w14:paraId="4025F234" w14:textId="77777777" w:rsidR="000301B2" w:rsidRPr="000508B6" w:rsidRDefault="000301B2" w:rsidP="008A3729">
      <w:pPr>
        <w:pStyle w:val="Listparagraf"/>
        <w:tabs>
          <w:tab w:val="left" w:pos="851"/>
        </w:tabs>
        <w:spacing w:after="0" w:line="240" w:lineRule="auto"/>
        <w:ind w:left="426"/>
        <w:jc w:val="both"/>
        <w:rPr>
          <w:rFonts w:ascii="Times New Roman" w:eastAsia="Times New Roman" w:hAnsi="Times New Roman" w:cs="Times New Roman"/>
          <w:b/>
          <w:bCs/>
          <w:lang w:val="ro-MD"/>
        </w:rPr>
      </w:pPr>
    </w:p>
    <w:p w14:paraId="269E8FC3" w14:textId="6D95579B" w:rsidR="008A3729" w:rsidRPr="000508B6" w:rsidRDefault="00200B52" w:rsidP="008A3729">
      <w:pPr>
        <w:pStyle w:val="Listparagraf"/>
        <w:tabs>
          <w:tab w:val="left" w:pos="851"/>
        </w:tabs>
        <w:spacing w:after="0" w:line="240" w:lineRule="auto"/>
        <w:ind w:left="426"/>
        <w:jc w:val="both"/>
        <w:rPr>
          <w:rFonts w:ascii="Times New Roman" w:eastAsia="Times New Roman" w:hAnsi="Times New Roman" w:cs="Times New Roman"/>
          <w:b/>
          <w:bCs/>
          <w:lang w:val="ro-MD"/>
        </w:rPr>
      </w:pPr>
      <w:r w:rsidRPr="000508B6">
        <w:rPr>
          <w:rFonts w:ascii="Times New Roman" w:eastAsia="Times New Roman" w:hAnsi="Times New Roman" w:cs="Times New Roman"/>
          <w:b/>
          <w:bCs/>
          <w:lang w:val="ro-MD"/>
        </w:rPr>
        <w:t>Articolul 2</w:t>
      </w:r>
      <w:r w:rsidR="00792328" w:rsidRPr="000508B6">
        <w:rPr>
          <w:rFonts w:ascii="Times New Roman" w:eastAsia="Times New Roman" w:hAnsi="Times New Roman" w:cs="Times New Roman"/>
          <w:b/>
          <w:bCs/>
          <w:lang w:val="ro-MD"/>
        </w:rPr>
        <w:t>3</w:t>
      </w:r>
      <w:r w:rsidR="0031270F" w:rsidRPr="000508B6">
        <w:rPr>
          <w:rFonts w:ascii="Times New Roman" w:eastAsia="Times New Roman" w:hAnsi="Times New Roman" w:cs="Times New Roman"/>
          <w:b/>
          <w:bCs/>
          <w:lang w:val="ro-MD"/>
        </w:rPr>
        <w:t>.</w:t>
      </w:r>
      <w:r w:rsidRPr="000508B6">
        <w:rPr>
          <w:rFonts w:ascii="Times New Roman" w:eastAsia="Times New Roman" w:hAnsi="Times New Roman" w:cs="Times New Roman"/>
          <w:b/>
          <w:bCs/>
          <w:lang w:val="ro-MD"/>
        </w:rPr>
        <w:t xml:space="preserve"> </w:t>
      </w:r>
      <w:r w:rsidRPr="000508B6">
        <w:rPr>
          <w:rFonts w:ascii="Times New Roman" w:eastAsia="Times New Roman" w:hAnsi="Times New Roman" w:cs="Times New Roman"/>
          <w:lang w:val="ro-MD"/>
        </w:rPr>
        <w:t xml:space="preserve">Organul executiv al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p>
    <w:p w14:paraId="00070DA6" w14:textId="361792AF" w:rsidR="00E659B1" w:rsidRPr="000508B6" w:rsidRDefault="00ED1DF6" w:rsidP="00297095">
      <w:pPr>
        <w:pStyle w:val="Listparagraf"/>
        <w:numPr>
          <w:ilvl w:val="0"/>
          <w:numId w:val="43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Organul executiv </w:t>
      </w:r>
      <w:r w:rsidR="0048181E" w:rsidRPr="000508B6">
        <w:rPr>
          <w:rFonts w:ascii="Times New Roman" w:eastAsia="Times New Roman" w:hAnsi="Times New Roman" w:cs="Times New Roman"/>
          <w:lang w:val="ro-MD"/>
        </w:rPr>
        <w:t xml:space="preserve">al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este compus cel puțin din doi membri</w:t>
      </w:r>
      <w:r w:rsidR="001175EB" w:rsidRPr="000508B6">
        <w:rPr>
          <w:rFonts w:ascii="Times New Roman" w:eastAsia="Times New Roman" w:hAnsi="Times New Roman" w:cs="Times New Roman"/>
          <w:lang w:val="ro-MD"/>
        </w:rPr>
        <w:t>,</w:t>
      </w:r>
      <w:r w:rsidR="00912745" w:rsidRPr="000508B6">
        <w:rPr>
          <w:rFonts w:ascii="Times New Roman" w:eastAsia="Times New Roman" w:hAnsi="Times New Roman" w:cs="Times New Roman"/>
          <w:lang w:val="ro-MD"/>
        </w:rPr>
        <w:t xml:space="preserve"> persoane fizice</w:t>
      </w:r>
      <w:r w:rsidR="001F4D3A" w:rsidRPr="000508B6">
        <w:rPr>
          <w:rFonts w:ascii="Times New Roman" w:eastAsia="Times New Roman" w:hAnsi="Times New Roman" w:cs="Times New Roman"/>
          <w:lang w:val="ro-MD"/>
        </w:rPr>
        <w:t>,</w:t>
      </w:r>
      <w:r w:rsidR="00BE0C17" w:rsidRPr="000508B6">
        <w:rPr>
          <w:rFonts w:ascii="Times New Roman" w:eastAsia="Times New Roman" w:hAnsi="Times New Roman" w:cs="Times New Roman"/>
          <w:lang w:val="ro-MD"/>
        </w:rPr>
        <w:t xml:space="preserve"> </w:t>
      </w:r>
      <w:r w:rsidR="0062782A" w:rsidRPr="000508B6">
        <w:rPr>
          <w:rFonts w:ascii="Times New Roman" w:eastAsia="Times New Roman" w:hAnsi="Times New Roman" w:cs="Times New Roman"/>
          <w:lang w:val="ro-MD"/>
        </w:rPr>
        <w:t xml:space="preserve">numiți de către consiliul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0062782A" w:rsidRPr="000508B6">
        <w:rPr>
          <w:rFonts w:ascii="Times New Roman" w:eastAsia="Times New Roman" w:hAnsi="Times New Roman" w:cs="Times New Roman"/>
          <w:lang w:val="ro-MD"/>
        </w:rPr>
        <w:t xml:space="preserve">pe un termen stabilit </w:t>
      </w:r>
      <w:r w:rsidR="001F4D3A" w:rsidRPr="000508B6">
        <w:rPr>
          <w:rFonts w:ascii="Times New Roman" w:eastAsia="Times New Roman" w:hAnsi="Times New Roman" w:cs="Times New Roman"/>
          <w:lang w:val="ro-MD"/>
        </w:rPr>
        <w:t>în</w:t>
      </w:r>
      <w:r w:rsidR="0062782A" w:rsidRPr="000508B6">
        <w:rPr>
          <w:rFonts w:ascii="Times New Roman" w:eastAsia="Times New Roman" w:hAnsi="Times New Roman" w:cs="Times New Roman"/>
          <w:lang w:val="ro-MD"/>
        </w:rPr>
        <w:t xml:space="preserve"> statutul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1175EB" w:rsidRPr="000508B6">
        <w:rPr>
          <w:rFonts w:ascii="Times New Roman" w:eastAsia="Times New Roman" w:hAnsi="Times New Roman" w:cs="Times New Roman"/>
          <w:lang w:val="ro-MD"/>
        </w:rPr>
        <w:t>, care</w:t>
      </w:r>
      <w:r w:rsidR="00995B1A" w:rsidRPr="000508B6">
        <w:rPr>
          <w:rFonts w:ascii="Times New Roman" w:eastAsia="Times New Roman" w:hAnsi="Times New Roman" w:cs="Times New Roman"/>
          <w:lang w:val="ro-MD"/>
        </w:rPr>
        <w:t xml:space="preserve"> </w:t>
      </w:r>
      <w:r w:rsidR="0062782A" w:rsidRPr="000508B6">
        <w:rPr>
          <w:rFonts w:ascii="Times New Roman" w:eastAsia="Times New Roman" w:hAnsi="Times New Roman" w:cs="Times New Roman"/>
          <w:lang w:val="ro-MD"/>
        </w:rPr>
        <w:t>pot fi realeși pentru un nou termen</w:t>
      </w:r>
      <w:r w:rsidR="00C928FF" w:rsidRPr="000508B6">
        <w:rPr>
          <w:rFonts w:ascii="Times New Roman" w:eastAsia="Times New Roman" w:hAnsi="Times New Roman" w:cs="Times New Roman"/>
          <w:lang w:val="ro-MD"/>
        </w:rPr>
        <w:t>.</w:t>
      </w:r>
      <w:r w:rsidR="0062782A" w:rsidRPr="000508B6">
        <w:rPr>
          <w:rFonts w:ascii="Times New Roman" w:eastAsia="Times New Roman" w:hAnsi="Times New Roman" w:cs="Times New Roman"/>
          <w:lang w:val="ro-MD"/>
        </w:rPr>
        <w:t xml:space="preserve"> </w:t>
      </w:r>
    </w:p>
    <w:p w14:paraId="21DDAD17" w14:textId="77701CAE" w:rsidR="005E7283" w:rsidRPr="000508B6" w:rsidRDefault="005E7283" w:rsidP="00297095">
      <w:pPr>
        <w:pStyle w:val="Listparagraf"/>
        <w:numPr>
          <w:ilvl w:val="0"/>
          <w:numId w:val="43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Organul executiv </w:t>
      </w:r>
      <w:r w:rsidR="009F0C40" w:rsidRPr="000508B6">
        <w:rPr>
          <w:rFonts w:ascii="Times New Roman" w:eastAsia="Times New Roman" w:hAnsi="Times New Roman" w:cs="Times New Roman"/>
          <w:lang w:val="ro-MD"/>
        </w:rPr>
        <w:t xml:space="preserve">al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exercită funcția de conducere curentă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sub supravegherea directă a consiliului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și gestionează eficient și prudent activitatea în corespundere cu normele sistemului de guvernanță.</w:t>
      </w:r>
    </w:p>
    <w:p w14:paraId="588CE336" w14:textId="23093F1E" w:rsidR="00ED1DF6" w:rsidRPr="000508B6" w:rsidRDefault="00E659B1" w:rsidP="00297095">
      <w:pPr>
        <w:pStyle w:val="Listparagraf"/>
        <w:numPr>
          <w:ilvl w:val="0"/>
          <w:numId w:val="43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Organul executiv al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00ED1DF6" w:rsidRPr="000508B6">
        <w:rPr>
          <w:rFonts w:ascii="Times New Roman" w:eastAsia="Times New Roman" w:hAnsi="Times New Roman" w:cs="Times New Roman"/>
          <w:lang w:val="ro-MD"/>
        </w:rPr>
        <w:t xml:space="preserve">are următoarele </w:t>
      </w:r>
      <w:proofErr w:type="spellStart"/>
      <w:r w:rsidR="00ED1DF6" w:rsidRPr="000508B6">
        <w:rPr>
          <w:rFonts w:ascii="Times New Roman" w:eastAsia="Times New Roman" w:hAnsi="Times New Roman" w:cs="Times New Roman"/>
          <w:lang w:val="ro-MD"/>
        </w:rPr>
        <w:t>atribuţii</w:t>
      </w:r>
      <w:proofErr w:type="spellEnd"/>
      <w:r w:rsidR="00ED1DF6" w:rsidRPr="000508B6">
        <w:rPr>
          <w:rFonts w:ascii="Times New Roman" w:eastAsia="Times New Roman" w:hAnsi="Times New Roman" w:cs="Times New Roman"/>
          <w:lang w:val="ro-MD"/>
        </w:rPr>
        <w:t xml:space="preserve"> principale: </w:t>
      </w:r>
    </w:p>
    <w:p w14:paraId="2FF579EA" w14:textId="07BE4277" w:rsidR="00ED1DF6" w:rsidRPr="000508B6" w:rsidRDefault="00ED1DF6" w:rsidP="00754625">
      <w:pPr>
        <w:pStyle w:val="Listparagraf"/>
        <w:numPr>
          <w:ilvl w:val="2"/>
          <w:numId w:val="107"/>
        </w:numPr>
        <w:tabs>
          <w:tab w:val="left" w:pos="284"/>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implementează obiectivele </w:t>
      </w:r>
      <w:r w:rsidR="00D86FB9" w:rsidRPr="000508B6">
        <w:rPr>
          <w:rFonts w:ascii="Times New Roman" w:eastAsia="Times New Roman" w:hAnsi="Times New Roman" w:cs="Times New Roman"/>
          <w:lang w:val="ro-MD"/>
        </w:rPr>
        <w:t>strategice</w:t>
      </w:r>
      <w:r w:rsidRPr="000508B6">
        <w:rPr>
          <w:rFonts w:ascii="Times New Roman" w:eastAsia="Times New Roman" w:hAnsi="Times New Roman" w:cs="Times New Roman"/>
          <w:lang w:val="ro-MD"/>
        </w:rPr>
        <w:t>,</w:t>
      </w:r>
      <w:r w:rsidRPr="000508B6">
        <w:rPr>
          <w:rFonts w:ascii="Times New Roman" w:hAnsi="Times New Roman" w:cs="Times New Roman"/>
          <w:lang w:val="ro-MD"/>
        </w:rPr>
        <w:t xml:space="preserve"> </w:t>
      </w:r>
      <w:r w:rsidRPr="000508B6">
        <w:rPr>
          <w:rFonts w:ascii="Times New Roman" w:eastAsia="Times New Roman" w:hAnsi="Times New Roman" w:cs="Times New Roman"/>
          <w:lang w:val="ro-MD"/>
        </w:rPr>
        <w:t xml:space="preserve">politica privind managementul riscurilor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D86FB9" w:rsidRPr="000508B6">
        <w:rPr>
          <w:rFonts w:ascii="Times New Roman" w:eastAsia="Times New Roman" w:hAnsi="Times New Roman" w:cs="Times New Roman"/>
          <w:lang w:val="ro-MD"/>
        </w:rPr>
        <w:t xml:space="preserve">normele </w:t>
      </w:r>
      <w:r w:rsidRPr="000508B6">
        <w:rPr>
          <w:rFonts w:ascii="Times New Roman" w:eastAsia="Times New Roman" w:hAnsi="Times New Roman" w:cs="Times New Roman"/>
          <w:lang w:val="ro-MD"/>
        </w:rPr>
        <w:t>sistemul</w:t>
      </w:r>
      <w:r w:rsidR="00D86FB9" w:rsidRPr="000508B6">
        <w:rPr>
          <w:rFonts w:ascii="Times New Roman" w:eastAsia="Times New Roman" w:hAnsi="Times New Roman" w:cs="Times New Roman"/>
          <w:lang w:val="ro-MD"/>
        </w:rPr>
        <w:t>ui</w:t>
      </w:r>
      <w:r w:rsidRPr="000508B6">
        <w:rPr>
          <w:rFonts w:ascii="Times New Roman" w:eastAsia="Times New Roman" w:hAnsi="Times New Roman" w:cs="Times New Roman"/>
          <w:lang w:val="ro-MD"/>
        </w:rPr>
        <w:t xml:space="preserve"> de guvernanță al </w:t>
      </w:r>
      <w:r w:rsidR="009F0C40" w:rsidRPr="000508B6">
        <w:rPr>
          <w:rFonts w:ascii="Times New Roman" w:eastAsia="Times New Roman" w:hAnsi="Times New Roman" w:cs="Times New Roman"/>
          <w:lang w:val="ro-MD"/>
        </w:rPr>
        <w:t xml:space="preserve">asigurătorului sau </w:t>
      </w:r>
      <w:proofErr w:type="spellStart"/>
      <w:r w:rsidR="009F0C40" w:rsidRPr="000508B6">
        <w:rPr>
          <w:rFonts w:ascii="Times New Roman" w:eastAsia="Times New Roman" w:hAnsi="Times New Roman" w:cs="Times New Roman"/>
          <w:lang w:val="ro-MD"/>
        </w:rPr>
        <w:t>reasigurătorului</w:t>
      </w:r>
      <w:proofErr w:type="spellEnd"/>
      <w:r w:rsidRPr="000508B6" w:rsidDel="00176E2F">
        <w:rPr>
          <w:rFonts w:ascii="Times New Roman" w:eastAsia="Times New Roman" w:hAnsi="Times New Roman" w:cs="Times New Roman"/>
          <w:lang w:val="ro-MD"/>
        </w:rPr>
        <w:t xml:space="preserve">, aprobate de consiliul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r w:rsidR="00CF5CA3" w:rsidRPr="000508B6">
        <w:rPr>
          <w:rFonts w:ascii="Times New Roman" w:eastAsia="Times New Roman" w:hAnsi="Times New Roman" w:cs="Times New Roman"/>
          <w:lang w:val="ro-MD"/>
        </w:rPr>
        <w:t xml:space="preserve"> </w:t>
      </w:r>
    </w:p>
    <w:p w14:paraId="7752E40A" w14:textId="4E6E4691" w:rsidR="00ED1DF6" w:rsidRPr="000508B6" w:rsidRDefault="00D84582" w:rsidP="00754625">
      <w:pPr>
        <w:pStyle w:val="Listparagraf"/>
        <w:numPr>
          <w:ilvl w:val="2"/>
          <w:numId w:val="107"/>
        </w:numPr>
        <w:tabs>
          <w:tab w:val="left" w:pos="284"/>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asigură o structură organizatorică adecvată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transparentă pentru </w:t>
      </w:r>
      <w:r w:rsidR="004125E8" w:rsidRPr="000508B6">
        <w:rPr>
          <w:rFonts w:ascii="Times New Roman" w:hAnsi="Times New Roman" w:cs="Times New Roman"/>
          <w:lang w:val="ro-MD"/>
        </w:rPr>
        <w:t xml:space="preserve">asigurător sau </w:t>
      </w:r>
      <w:proofErr w:type="spellStart"/>
      <w:r w:rsidR="004125E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inclusiv separarea </w:t>
      </w:r>
      <w:r w:rsidR="00303E5D" w:rsidRPr="000508B6">
        <w:rPr>
          <w:rFonts w:ascii="Times New Roman" w:hAnsi="Times New Roman" w:cs="Times New Roman"/>
          <w:lang w:val="ro-MD"/>
        </w:rPr>
        <w:t>responsabilităților</w:t>
      </w:r>
      <w:r w:rsidRPr="000508B6">
        <w:rPr>
          <w:rFonts w:ascii="Times New Roman" w:hAnsi="Times New Roman" w:cs="Times New Roman"/>
          <w:lang w:val="ro-MD"/>
        </w:rPr>
        <w:t xml:space="preserve"> în cadrul acesteia</w:t>
      </w:r>
      <w:r w:rsidR="00ED1DF6" w:rsidRPr="000508B6">
        <w:rPr>
          <w:rFonts w:ascii="Times New Roman" w:eastAsia="Times New Roman" w:hAnsi="Times New Roman" w:cs="Times New Roman"/>
          <w:lang w:val="ro-MD"/>
        </w:rPr>
        <w:t>;</w:t>
      </w:r>
      <w:r w:rsidR="009A34C0" w:rsidRPr="000508B6">
        <w:rPr>
          <w:rFonts w:ascii="Times New Roman" w:eastAsia="Times New Roman" w:hAnsi="Times New Roman" w:cs="Times New Roman"/>
          <w:lang w:val="ro-MD"/>
        </w:rPr>
        <w:t xml:space="preserve"> </w:t>
      </w:r>
    </w:p>
    <w:p w14:paraId="42035243" w14:textId="232D8B5B" w:rsidR="00ED1DF6" w:rsidRPr="000508B6" w:rsidRDefault="00ED1DF6" w:rsidP="00754625">
      <w:pPr>
        <w:pStyle w:val="Listparagraf"/>
        <w:numPr>
          <w:ilvl w:val="2"/>
          <w:numId w:val="107"/>
        </w:numPr>
        <w:tabs>
          <w:tab w:val="left" w:pos="851"/>
          <w:tab w:val="left" w:pos="993"/>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realizează monitorizarea adecvată a personalului din subordine;</w:t>
      </w:r>
      <w:r w:rsidR="00CF5CA3" w:rsidRPr="000508B6">
        <w:rPr>
          <w:rFonts w:ascii="Times New Roman" w:eastAsia="Times New Roman" w:hAnsi="Times New Roman" w:cs="Times New Roman"/>
          <w:lang w:val="ro-MD"/>
        </w:rPr>
        <w:t xml:space="preserve"> </w:t>
      </w:r>
      <w:bookmarkStart w:id="71" w:name="_Hlk191386971"/>
    </w:p>
    <w:bookmarkEnd w:id="71"/>
    <w:p w14:paraId="7B167C11" w14:textId="2547EC04" w:rsidR="00ED1DF6" w:rsidRPr="000508B6" w:rsidRDefault="00ED1DF6" w:rsidP="00754625">
      <w:pPr>
        <w:pStyle w:val="Listparagraf"/>
        <w:numPr>
          <w:ilvl w:val="2"/>
          <w:numId w:val="107"/>
        </w:numPr>
        <w:tabs>
          <w:tab w:val="left" w:pos="851"/>
          <w:tab w:val="left" w:pos="993"/>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 repartizarea sarcinilor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responsabilităţilor</w:t>
      </w:r>
      <w:proofErr w:type="spellEnd"/>
      <w:r w:rsidRPr="000508B6">
        <w:rPr>
          <w:rFonts w:ascii="Times New Roman" w:eastAsia="Times New Roman" w:hAnsi="Times New Roman" w:cs="Times New Roman"/>
          <w:lang w:val="ro-MD"/>
        </w:rPr>
        <w:t xml:space="preserve"> ce revin personalului </w:t>
      </w:r>
      <w:r w:rsidR="009F0C40" w:rsidRPr="000508B6">
        <w:rPr>
          <w:rFonts w:ascii="Times New Roman" w:eastAsia="Times New Roman" w:hAnsi="Times New Roman" w:cs="Times New Roman"/>
          <w:lang w:val="ro-MD"/>
        </w:rPr>
        <w:t xml:space="preserve">asigurătorului sau </w:t>
      </w:r>
      <w:proofErr w:type="spellStart"/>
      <w:r w:rsidR="009F0C40" w:rsidRPr="000508B6">
        <w:rPr>
          <w:rFonts w:ascii="Times New Roman" w:eastAsia="Times New Roman" w:hAnsi="Times New Roman" w:cs="Times New Roman"/>
          <w:lang w:val="ro-MD"/>
        </w:rPr>
        <w:t>reasigurătorului</w:t>
      </w:r>
      <w:proofErr w:type="spellEnd"/>
      <w:r w:rsidR="009F0C40"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o structură de </w:t>
      </w:r>
      <w:r w:rsidR="00472F8E" w:rsidRPr="000508B6">
        <w:rPr>
          <w:rFonts w:ascii="Times New Roman" w:eastAsia="Times New Roman" w:hAnsi="Times New Roman" w:cs="Times New Roman"/>
          <w:lang w:val="ro-MD"/>
        </w:rPr>
        <w:t xml:space="preserve">management </w:t>
      </w:r>
      <w:r w:rsidRPr="000508B6">
        <w:rPr>
          <w:rFonts w:ascii="Times New Roman" w:eastAsia="Times New Roman" w:hAnsi="Times New Roman" w:cs="Times New Roman"/>
          <w:lang w:val="ro-MD"/>
        </w:rPr>
        <w:t xml:space="preserve">care promovează în cadrul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o activitate responsabilă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transparentă;</w:t>
      </w:r>
      <w:r w:rsidR="00CF5CA3" w:rsidRPr="000508B6">
        <w:rPr>
          <w:rFonts w:ascii="Times New Roman" w:hAnsi="Times New Roman" w:cs="Times New Roman"/>
          <w:lang w:val="ro-MD"/>
        </w:rPr>
        <w:t xml:space="preserve"> </w:t>
      </w:r>
    </w:p>
    <w:p w14:paraId="6B067325" w14:textId="533613A5" w:rsidR="00ED1DF6" w:rsidRPr="000508B6" w:rsidRDefault="00ED1DF6" w:rsidP="00754625">
      <w:pPr>
        <w:pStyle w:val="Listparagraf"/>
        <w:numPr>
          <w:ilvl w:val="2"/>
          <w:numId w:val="107"/>
        </w:numPr>
        <w:tabs>
          <w:tab w:val="left" w:pos="851"/>
          <w:tab w:val="left" w:pos="993"/>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fără a aduce atingere prevederilor art.</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18 alin.</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(2), </w:t>
      </w:r>
      <w:proofErr w:type="spellStart"/>
      <w:r w:rsidRPr="000508B6">
        <w:rPr>
          <w:rFonts w:ascii="Times New Roman" w:eastAsia="Times New Roman" w:hAnsi="Times New Roman" w:cs="Times New Roman"/>
          <w:lang w:val="ro-MD"/>
        </w:rPr>
        <w:t>îndeplineşte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atribuţiile</w:t>
      </w:r>
      <w:proofErr w:type="spellEnd"/>
      <w:r w:rsidRPr="000508B6">
        <w:rPr>
          <w:rFonts w:ascii="Times New Roman" w:eastAsia="Times New Roman" w:hAnsi="Times New Roman" w:cs="Times New Roman"/>
          <w:lang w:val="ro-MD"/>
        </w:rPr>
        <w:t xml:space="preserve"> prevăzute de art. 68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69 din Legea nr.</w:t>
      </w:r>
      <w:r w:rsidR="007546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1134/1997</w:t>
      </w:r>
      <w:r w:rsidR="00EC3FFE" w:rsidRPr="000508B6">
        <w:rPr>
          <w:rFonts w:ascii="Times New Roman" w:eastAsia="Times New Roman" w:hAnsi="Times New Roman" w:cs="Times New Roman"/>
          <w:lang w:val="ro-MD"/>
        </w:rPr>
        <w:t>;</w:t>
      </w:r>
      <w:r w:rsidR="00754625" w:rsidRPr="000508B6">
        <w:rPr>
          <w:rFonts w:ascii="Times New Roman" w:eastAsia="Times New Roman" w:hAnsi="Times New Roman" w:cs="Times New Roman"/>
          <w:lang w:val="ro-MD"/>
        </w:rPr>
        <w:t xml:space="preserve"> </w:t>
      </w:r>
    </w:p>
    <w:p w14:paraId="1477AD48" w14:textId="5C9C71A3" w:rsidR="00ED1DF6" w:rsidRPr="000508B6" w:rsidRDefault="00ED1DF6" w:rsidP="00754625">
      <w:pPr>
        <w:pStyle w:val="Listparagraf"/>
        <w:numPr>
          <w:ilvl w:val="2"/>
          <w:numId w:val="107"/>
        </w:numPr>
        <w:tabs>
          <w:tab w:val="left" w:pos="851"/>
          <w:tab w:val="left" w:pos="993"/>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ia decizii privind anularea, emiterea, vânzarea, răscumpărarea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convertirea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nou-emise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art.</w:t>
      </w:r>
      <w:r w:rsidR="00754625" w:rsidRPr="000508B6">
        <w:rPr>
          <w:rFonts w:ascii="Times New Roman" w:eastAsia="Times New Roman" w:hAnsi="Times New Roman" w:cs="Times New Roman"/>
          <w:lang w:val="ro-MD"/>
        </w:rPr>
        <w:t xml:space="preserve"> </w:t>
      </w:r>
      <w:r w:rsidR="006F68DC" w:rsidRPr="000508B6">
        <w:rPr>
          <w:rFonts w:ascii="Times New Roman" w:eastAsia="Times New Roman" w:hAnsi="Times New Roman" w:cs="Times New Roman"/>
          <w:lang w:val="ro-MD"/>
        </w:rPr>
        <w:t>17</w:t>
      </w:r>
      <w:r w:rsidRPr="000508B6">
        <w:rPr>
          <w:rFonts w:ascii="Times New Roman" w:eastAsia="Times New Roman" w:hAnsi="Times New Roman" w:cs="Times New Roman"/>
          <w:lang w:val="ro-MD"/>
        </w:rPr>
        <w:t>;</w:t>
      </w:r>
      <w:r w:rsidR="00754625" w:rsidRPr="000508B6">
        <w:rPr>
          <w:rFonts w:ascii="Times New Roman" w:eastAsia="Times New Roman" w:hAnsi="Times New Roman" w:cs="Times New Roman"/>
          <w:lang w:val="ro-MD"/>
        </w:rPr>
        <w:t xml:space="preserve"> </w:t>
      </w:r>
    </w:p>
    <w:p w14:paraId="60C0532E" w14:textId="0900253F" w:rsidR="00D84582" w:rsidRPr="000508B6" w:rsidRDefault="00ED1DF6" w:rsidP="00754625">
      <w:pPr>
        <w:pStyle w:val="Listparagraf"/>
        <w:numPr>
          <w:ilvl w:val="2"/>
          <w:numId w:val="107"/>
        </w:numPr>
        <w:tabs>
          <w:tab w:val="left" w:pos="851"/>
          <w:tab w:val="left" w:pos="993"/>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aprobă reglementările interne privind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de asigurare, </w:t>
      </w:r>
      <w:r w:rsidR="001175EB" w:rsidRPr="000508B6">
        <w:rPr>
          <w:rFonts w:ascii="Times New Roman" w:eastAsia="Times New Roman" w:hAnsi="Times New Roman" w:cs="Times New Roman"/>
          <w:lang w:val="ro-MD"/>
        </w:rPr>
        <w:t>instrumentarea</w:t>
      </w:r>
      <w:r w:rsidRPr="000508B6">
        <w:rPr>
          <w:rFonts w:ascii="Times New Roman" w:eastAsia="Times New Roman" w:hAnsi="Times New Roman" w:cs="Times New Roman"/>
          <w:lang w:val="ro-MD"/>
        </w:rPr>
        <w:t xml:space="preserve"> daunelor, formarea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menţinerea</w:t>
      </w:r>
      <w:proofErr w:type="spellEnd"/>
      <w:r w:rsidRPr="000508B6">
        <w:rPr>
          <w:rFonts w:ascii="Times New Roman" w:eastAsia="Times New Roman" w:hAnsi="Times New Roman" w:cs="Times New Roman"/>
          <w:lang w:val="ro-MD"/>
        </w:rPr>
        <w:t xml:space="preserve"> rezervelor tehnice;</w:t>
      </w:r>
    </w:p>
    <w:p w14:paraId="72694E4D" w14:textId="65A1A8D8" w:rsidR="00ED1DF6" w:rsidRPr="000508B6" w:rsidRDefault="00ED1DF6" w:rsidP="00754625">
      <w:pPr>
        <w:pStyle w:val="Listparagraf"/>
        <w:numPr>
          <w:ilvl w:val="2"/>
          <w:numId w:val="107"/>
        </w:numPr>
        <w:tabs>
          <w:tab w:val="left" w:pos="851"/>
          <w:tab w:val="left" w:pos="993"/>
        </w:tabs>
        <w:spacing w:after="0" w:line="240" w:lineRule="auto"/>
        <w:ind w:left="142"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îndeplineşte</w:t>
      </w:r>
      <w:proofErr w:type="spellEnd"/>
      <w:r w:rsidRPr="000508B6">
        <w:rPr>
          <w:rFonts w:ascii="Times New Roman" w:eastAsia="Times New Roman" w:hAnsi="Times New Roman" w:cs="Times New Roman"/>
          <w:lang w:val="ro-MD"/>
        </w:rPr>
        <w:t xml:space="preserve"> orice alte </w:t>
      </w:r>
      <w:proofErr w:type="spellStart"/>
      <w:r w:rsidRPr="000508B6">
        <w:rPr>
          <w:rFonts w:ascii="Times New Roman" w:eastAsia="Times New Roman" w:hAnsi="Times New Roman" w:cs="Times New Roman"/>
          <w:lang w:val="ro-MD"/>
        </w:rPr>
        <w:t>atribuţii</w:t>
      </w:r>
      <w:proofErr w:type="spellEnd"/>
      <w:r w:rsidR="00F303E2"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F303E2" w:rsidRPr="000508B6">
        <w:rPr>
          <w:rFonts w:ascii="Times New Roman" w:eastAsia="Times New Roman" w:hAnsi="Times New Roman" w:cs="Times New Roman"/>
          <w:lang w:val="ro-MD"/>
        </w:rPr>
        <w:t>specifice sau alocate organului executiv,</w:t>
      </w:r>
      <w:r w:rsidRPr="000508B6">
        <w:rPr>
          <w:rFonts w:ascii="Times New Roman" w:eastAsia="Times New Roman" w:hAnsi="Times New Roman" w:cs="Times New Roman"/>
          <w:lang w:val="ro-MD"/>
        </w:rPr>
        <w:t xml:space="preserve"> ce decurg din prezenta lege sau din actele normative emise în aplicarea acesteia</w:t>
      </w:r>
      <w:r w:rsidR="00754625" w:rsidRPr="000508B6">
        <w:rPr>
          <w:rFonts w:ascii="Times New Roman" w:eastAsia="Times New Roman" w:hAnsi="Times New Roman" w:cs="Times New Roman"/>
          <w:lang w:val="ro-MD"/>
        </w:rPr>
        <w:t xml:space="preserve">; </w:t>
      </w:r>
    </w:p>
    <w:p w14:paraId="2F95C497" w14:textId="7EEB31B0" w:rsidR="00D84582" w:rsidRPr="000508B6" w:rsidRDefault="00D84582" w:rsidP="00297095">
      <w:pPr>
        <w:pStyle w:val="Listparagraf"/>
        <w:numPr>
          <w:ilvl w:val="0"/>
          <w:numId w:val="432"/>
        </w:numPr>
        <w:tabs>
          <w:tab w:val="left" w:pos="284"/>
          <w:tab w:val="left" w:pos="426"/>
          <w:tab w:val="left" w:pos="709"/>
          <w:tab w:val="left" w:pos="851"/>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Organul executiv </w:t>
      </w:r>
      <w:r w:rsidR="00A66ACD" w:rsidRPr="000508B6">
        <w:rPr>
          <w:rFonts w:ascii="Times New Roman" w:eastAsia="Times New Roman" w:hAnsi="Times New Roman" w:cs="Times New Roman"/>
          <w:lang w:val="ro-MD"/>
        </w:rPr>
        <w:t xml:space="preserve">al </w:t>
      </w:r>
      <w:r w:rsidR="00995B1A" w:rsidRPr="000508B6">
        <w:rPr>
          <w:rFonts w:ascii="Times New Roman" w:eastAsia="Times New Roman" w:hAnsi="Times New Roman" w:cs="Times New Roman"/>
          <w:lang w:val="ro-MD"/>
        </w:rPr>
        <w:t xml:space="preserve">asigurătorului sau </w:t>
      </w:r>
      <w:proofErr w:type="spellStart"/>
      <w:r w:rsidR="00995B1A" w:rsidRPr="000508B6">
        <w:rPr>
          <w:rFonts w:ascii="Times New Roman" w:eastAsia="Times New Roman" w:hAnsi="Times New Roman" w:cs="Times New Roman"/>
          <w:lang w:val="ro-MD"/>
        </w:rPr>
        <w:t>reasigurătorului</w:t>
      </w:r>
      <w:proofErr w:type="spellEnd"/>
      <w:r w:rsidR="00995B1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este obligat să informeze regulat consiliul </w:t>
      </w:r>
      <w:r w:rsidR="006651A3" w:rsidRPr="000508B6">
        <w:rPr>
          <w:rFonts w:ascii="Times New Roman" w:eastAsia="Times New Roman" w:hAnsi="Times New Roman" w:cs="Times New Roman"/>
          <w:lang w:val="ro-MD"/>
        </w:rPr>
        <w:t xml:space="preserve">asigurătorului sau </w:t>
      </w:r>
      <w:proofErr w:type="spellStart"/>
      <w:r w:rsidR="006651A3" w:rsidRPr="000508B6">
        <w:rPr>
          <w:rFonts w:ascii="Times New Roman" w:eastAsia="Times New Roman" w:hAnsi="Times New Roman" w:cs="Times New Roman"/>
          <w:lang w:val="ro-MD"/>
        </w:rPr>
        <w:t>reasigurătorului</w:t>
      </w:r>
      <w:proofErr w:type="spellEnd"/>
      <w:r w:rsidR="006651A3"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cel </w:t>
      </w:r>
      <w:r w:rsidR="00303E5D" w:rsidRPr="000508B6">
        <w:rPr>
          <w:rFonts w:ascii="Times New Roman" w:eastAsia="Times New Roman" w:hAnsi="Times New Roman" w:cs="Times New Roman"/>
          <w:lang w:val="ro-MD"/>
        </w:rPr>
        <w:t>puțin</w:t>
      </w:r>
      <w:r w:rsidRPr="000508B6">
        <w:rPr>
          <w:rFonts w:ascii="Times New Roman" w:eastAsia="Times New Roman" w:hAnsi="Times New Roman" w:cs="Times New Roman"/>
          <w:lang w:val="ro-MD"/>
        </w:rPr>
        <w:t xml:space="preserve"> despre:</w:t>
      </w:r>
    </w:p>
    <w:p w14:paraId="1FA39020" w14:textId="500A8223" w:rsidR="00D84582" w:rsidRPr="000508B6" w:rsidRDefault="00303E5D" w:rsidP="00297095">
      <w:pPr>
        <w:pStyle w:val="Listparagraf"/>
        <w:numPr>
          <w:ilvl w:val="2"/>
          <w:numId w:val="406"/>
        </w:numPr>
        <w:tabs>
          <w:tab w:val="left" w:pos="284"/>
          <w:tab w:val="left" w:pos="426"/>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situațiile</w:t>
      </w:r>
      <w:r w:rsidR="00D84582" w:rsidRPr="000508B6">
        <w:rPr>
          <w:rFonts w:ascii="Times New Roman" w:eastAsia="Times New Roman" w:hAnsi="Times New Roman" w:cs="Times New Roman"/>
          <w:lang w:val="ro-MD"/>
        </w:rPr>
        <w:t xml:space="preserve"> care pot </w:t>
      </w:r>
      <w:r w:rsidR="001B69C1" w:rsidRPr="000508B6">
        <w:rPr>
          <w:rFonts w:ascii="Times New Roman" w:eastAsia="Times New Roman" w:hAnsi="Times New Roman" w:cs="Times New Roman"/>
          <w:lang w:val="ro-MD"/>
        </w:rPr>
        <w:t xml:space="preserve">influența </w:t>
      </w:r>
      <w:r w:rsidR="00D84582" w:rsidRPr="000508B6">
        <w:rPr>
          <w:rFonts w:ascii="Times New Roman" w:eastAsia="Times New Roman" w:hAnsi="Times New Roman" w:cs="Times New Roman"/>
          <w:lang w:val="ro-MD"/>
        </w:rPr>
        <w:t xml:space="preserve">strategia </w:t>
      </w:r>
      <w:proofErr w:type="spellStart"/>
      <w:r w:rsidR="00D84582" w:rsidRPr="000508B6">
        <w:rPr>
          <w:rFonts w:ascii="Times New Roman" w:eastAsia="Times New Roman" w:hAnsi="Times New Roman" w:cs="Times New Roman"/>
          <w:lang w:val="ro-MD"/>
        </w:rPr>
        <w:t>şi</w:t>
      </w:r>
      <w:proofErr w:type="spellEnd"/>
      <w:r w:rsidR="00D84582" w:rsidRPr="000508B6">
        <w:rPr>
          <w:rFonts w:ascii="Times New Roman" w:eastAsia="Times New Roman" w:hAnsi="Times New Roman" w:cs="Times New Roman"/>
          <w:lang w:val="ro-MD"/>
        </w:rPr>
        <w:t xml:space="preserve">/sau </w:t>
      </w:r>
      <w:r w:rsidR="001175EB" w:rsidRPr="000508B6">
        <w:rPr>
          <w:rFonts w:ascii="Times New Roman" w:eastAsia="Times New Roman" w:hAnsi="Times New Roman" w:cs="Times New Roman"/>
          <w:lang w:val="ro-MD"/>
        </w:rPr>
        <w:t>sistemul</w:t>
      </w:r>
      <w:r w:rsidR="00D84582" w:rsidRPr="000508B6">
        <w:rPr>
          <w:rFonts w:ascii="Times New Roman" w:eastAsia="Times New Roman" w:hAnsi="Times New Roman" w:cs="Times New Roman"/>
          <w:lang w:val="ro-MD"/>
        </w:rPr>
        <w:t xml:space="preserve"> de </w:t>
      </w:r>
      <w:r w:rsidR="001175EB" w:rsidRPr="000508B6">
        <w:rPr>
          <w:rFonts w:ascii="Times New Roman" w:eastAsia="Times New Roman" w:hAnsi="Times New Roman" w:cs="Times New Roman"/>
          <w:lang w:val="ro-MD"/>
        </w:rPr>
        <w:t>guvernanță a</w:t>
      </w:r>
      <w:r w:rsidR="00D84582"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D84582" w:rsidRPr="000508B6">
        <w:rPr>
          <w:rFonts w:ascii="Times New Roman" w:eastAsia="Times New Roman" w:hAnsi="Times New Roman" w:cs="Times New Roman"/>
          <w:lang w:val="ro-MD"/>
        </w:rPr>
        <w:t>;</w:t>
      </w:r>
    </w:p>
    <w:p w14:paraId="60DCE919" w14:textId="6038944E" w:rsidR="00D84582" w:rsidRPr="000508B6" w:rsidRDefault="004A4F3F" w:rsidP="00297095">
      <w:pPr>
        <w:pStyle w:val="Listparagraf"/>
        <w:numPr>
          <w:ilvl w:val="2"/>
          <w:numId w:val="406"/>
        </w:numPr>
        <w:tabs>
          <w:tab w:val="left" w:pos="284"/>
          <w:tab w:val="left" w:pos="426"/>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performanța</w:t>
      </w:r>
      <w:r w:rsidR="00D84582" w:rsidRPr="000508B6">
        <w:rPr>
          <w:rFonts w:ascii="Times New Roman" w:eastAsia="Times New Roman" w:hAnsi="Times New Roman" w:cs="Times New Roman"/>
          <w:lang w:val="ro-MD"/>
        </w:rPr>
        <w:t xml:space="preserve"> financiară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D84582" w:rsidRPr="000508B6">
        <w:rPr>
          <w:rFonts w:ascii="Times New Roman" w:eastAsia="Times New Roman" w:hAnsi="Times New Roman" w:cs="Times New Roman"/>
          <w:lang w:val="ro-MD"/>
        </w:rPr>
        <w:t>;</w:t>
      </w:r>
    </w:p>
    <w:p w14:paraId="15E75D3E" w14:textId="6ED4439A" w:rsidR="00D84582" w:rsidRPr="000508B6" w:rsidRDefault="00D84582" w:rsidP="00297095">
      <w:pPr>
        <w:pStyle w:val="Listparagraf"/>
        <w:numPr>
          <w:ilvl w:val="2"/>
          <w:numId w:val="406"/>
        </w:numPr>
        <w:tabs>
          <w:tab w:val="left" w:pos="284"/>
          <w:tab w:val="left" w:pos="426"/>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încălcarea unor limite aferente riscurilor sau regulilor de conformare;</w:t>
      </w:r>
    </w:p>
    <w:p w14:paraId="251DC144" w14:textId="03470B97" w:rsidR="00D84582" w:rsidRPr="000508B6" w:rsidRDefault="004A4F3F" w:rsidP="00297095">
      <w:pPr>
        <w:pStyle w:val="Listparagraf"/>
        <w:numPr>
          <w:ilvl w:val="2"/>
          <w:numId w:val="406"/>
        </w:numPr>
        <w:tabs>
          <w:tab w:val="left" w:pos="284"/>
          <w:tab w:val="left" w:pos="426"/>
          <w:tab w:val="left" w:pos="851"/>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deficiențele</w:t>
      </w:r>
      <w:r w:rsidR="00D84582" w:rsidRPr="000508B6">
        <w:rPr>
          <w:rFonts w:ascii="Times New Roman" w:eastAsia="Times New Roman" w:hAnsi="Times New Roman" w:cs="Times New Roman"/>
          <w:lang w:val="ro-MD"/>
        </w:rPr>
        <w:t xml:space="preserve"> sistemului de control intern.</w:t>
      </w:r>
    </w:p>
    <w:p w14:paraId="404194D7" w14:textId="5563636F" w:rsidR="000301B2" w:rsidRPr="000508B6" w:rsidRDefault="0099733F" w:rsidP="00297095">
      <w:pPr>
        <w:pStyle w:val="Listparagraf"/>
        <w:numPr>
          <w:ilvl w:val="0"/>
          <w:numId w:val="432"/>
        </w:numPr>
        <w:tabs>
          <w:tab w:val="left" w:pos="284"/>
          <w:tab w:val="left" w:pos="426"/>
          <w:tab w:val="left" w:pos="709"/>
          <w:tab w:val="left" w:pos="851"/>
        </w:tabs>
        <w:spacing w:after="0" w:line="240" w:lineRule="auto"/>
        <w:ind w:left="0" w:firstLine="284"/>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 exercitarea atribuțiilor conferite, membrii organului executiv </w:t>
      </w:r>
      <w:r w:rsidR="00A66ACD" w:rsidRPr="000508B6">
        <w:rPr>
          <w:rFonts w:ascii="Times New Roman" w:eastAsia="Times New Roman" w:hAnsi="Times New Roman" w:cs="Times New Roman"/>
          <w:bCs/>
          <w:lang w:val="ro-MD"/>
        </w:rPr>
        <w:t xml:space="preserve">al </w:t>
      </w:r>
      <w:r w:rsidR="00995B1A" w:rsidRPr="000508B6">
        <w:rPr>
          <w:rFonts w:ascii="Times New Roman" w:eastAsia="Times New Roman" w:hAnsi="Times New Roman" w:cs="Times New Roman"/>
          <w:bCs/>
          <w:lang w:val="ro-MD"/>
        </w:rPr>
        <w:t xml:space="preserve">asigurătorului sau </w:t>
      </w:r>
      <w:proofErr w:type="spellStart"/>
      <w:r w:rsidR="00995B1A" w:rsidRPr="000508B6">
        <w:rPr>
          <w:rFonts w:ascii="Times New Roman" w:eastAsia="Times New Roman" w:hAnsi="Times New Roman" w:cs="Times New Roman"/>
          <w:bCs/>
          <w:lang w:val="ro-MD"/>
        </w:rPr>
        <w:t>reasigurătorului</w:t>
      </w:r>
      <w:proofErr w:type="spellEnd"/>
      <w:r w:rsidR="00995B1A"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pot </w:t>
      </w:r>
      <w:proofErr w:type="spellStart"/>
      <w:r w:rsidRPr="000508B6">
        <w:rPr>
          <w:rFonts w:ascii="Times New Roman" w:eastAsia="Times New Roman" w:hAnsi="Times New Roman" w:cs="Times New Roman"/>
          <w:bCs/>
          <w:lang w:val="ro-MD"/>
        </w:rPr>
        <w:t>acţiona</w:t>
      </w:r>
      <w:proofErr w:type="spellEnd"/>
      <w:r w:rsidRPr="000508B6">
        <w:rPr>
          <w:rFonts w:ascii="Times New Roman" w:eastAsia="Times New Roman" w:hAnsi="Times New Roman" w:cs="Times New Roman"/>
          <w:bCs/>
          <w:lang w:val="ro-MD"/>
        </w:rPr>
        <w:t xml:space="preserve"> împreună sau separat, astfel cum este prevăzut în reglementările interne ale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25879321" w14:textId="77777777" w:rsidR="0099733F" w:rsidRPr="000508B6" w:rsidRDefault="0099733F" w:rsidP="000301B2">
      <w:pPr>
        <w:spacing w:after="0" w:line="240" w:lineRule="auto"/>
        <w:ind w:firstLine="426"/>
        <w:jc w:val="both"/>
        <w:rPr>
          <w:rFonts w:ascii="Times New Roman" w:eastAsia="Times New Roman" w:hAnsi="Times New Roman" w:cs="Times New Roman"/>
          <w:bCs/>
          <w:lang w:val="ro-MD"/>
        </w:rPr>
      </w:pPr>
    </w:p>
    <w:p w14:paraId="4FEF6292" w14:textId="602E4322" w:rsidR="000301B2" w:rsidRPr="000508B6" w:rsidRDefault="000301B2" w:rsidP="000301B2">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Articolul </w:t>
      </w:r>
      <w:r w:rsidR="00792328" w:rsidRPr="000508B6">
        <w:rPr>
          <w:rFonts w:ascii="Times New Roman" w:eastAsia="Times New Roman" w:hAnsi="Times New Roman" w:cs="Times New Roman"/>
          <w:b/>
          <w:lang w:val="ro-MD"/>
        </w:rPr>
        <w:t>24</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bCs/>
          <w:lang w:val="ro-MD"/>
        </w:rPr>
        <w:t xml:space="preserve">Comitetele specializate ale consiliului </w:t>
      </w:r>
      <w:r w:rsidR="00995B1A" w:rsidRPr="000508B6">
        <w:rPr>
          <w:rFonts w:ascii="Times New Roman" w:eastAsia="Times New Roman" w:hAnsi="Times New Roman" w:cs="Times New Roman"/>
          <w:bCs/>
          <w:lang w:val="ro-MD"/>
        </w:rPr>
        <w:t xml:space="preserve">asigurătorului sau </w:t>
      </w:r>
      <w:proofErr w:type="spellStart"/>
      <w:r w:rsidR="00995B1A" w:rsidRPr="000508B6">
        <w:rPr>
          <w:rFonts w:ascii="Times New Roman" w:eastAsia="Times New Roman" w:hAnsi="Times New Roman" w:cs="Times New Roman"/>
          <w:bCs/>
          <w:lang w:val="ro-MD"/>
        </w:rPr>
        <w:t>reasigurătorului</w:t>
      </w:r>
      <w:proofErr w:type="spellEnd"/>
      <w:r w:rsidR="00995B1A" w:rsidRPr="000508B6">
        <w:rPr>
          <w:rFonts w:ascii="Times New Roman" w:eastAsia="Times New Roman" w:hAnsi="Times New Roman" w:cs="Times New Roman"/>
          <w:bCs/>
          <w:lang w:val="ro-MD"/>
        </w:rPr>
        <w:t xml:space="preserve"> </w:t>
      </w:r>
    </w:p>
    <w:p w14:paraId="2DA5564E" w14:textId="3A6F841F" w:rsidR="000301B2" w:rsidRPr="000508B6" w:rsidRDefault="000301B2" w:rsidP="009F0C40">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(1)</w:t>
      </w:r>
      <w:r w:rsidRPr="000508B6">
        <w:rPr>
          <w:rFonts w:ascii="Times New Roman" w:eastAsia="Times New Roman" w:hAnsi="Times New Roman" w:cs="Times New Roman"/>
          <w:bCs/>
          <w:lang w:val="ro-MD"/>
        </w:rPr>
        <w:tab/>
      </w:r>
      <w:r w:rsidR="00C013FB" w:rsidRPr="000508B6">
        <w:rPr>
          <w:rFonts w:ascii="Times New Roman" w:eastAsia="Times New Roman" w:hAnsi="Times New Roman" w:cs="Times New Roman"/>
          <w:bCs/>
          <w:lang w:val="ro-MD"/>
        </w:rPr>
        <w:t xml:space="preserve">Asigurătorul sau </w:t>
      </w:r>
      <w:proofErr w:type="spellStart"/>
      <w:r w:rsidR="00C013FB" w:rsidRPr="000508B6">
        <w:rPr>
          <w:rFonts w:ascii="Times New Roman" w:eastAsia="Times New Roman" w:hAnsi="Times New Roman" w:cs="Times New Roman"/>
          <w:bCs/>
          <w:lang w:val="ro-MD"/>
        </w:rPr>
        <w:t>reasigurătorul</w:t>
      </w:r>
      <w:proofErr w:type="spellEnd"/>
      <w:r w:rsidR="00C013FB"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trebuie să </w:t>
      </w:r>
      <w:proofErr w:type="spellStart"/>
      <w:r w:rsidRPr="000508B6">
        <w:rPr>
          <w:rFonts w:ascii="Times New Roman" w:eastAsia="Times New Roman" w:hAnsi="Times New Roman" w:cs="Times New Roman"/>
          <w:bCs/>
          <w:lang w:val="ro-MD"/>
        </w:rPr>
        <w:t>înfiinţeze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să dispună de un comitet de audit în conformitate cu actele normative ale Băncii Naționale a Moldovei. Prevederile art.</w:t>
      </w:r>
      <w:r w:rsidR="00754625"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44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45 din Legea nr.</w:t>
      </w:r>
      <w:r w:rsidR="00754625"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271/2017</w:t>
      </w:r>
      <w:r w:rsidR="00A80A75"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nu se aplică </w:t>
      </w:r>
      <w:r w:rsidR="002F5DE5" w:rsidRPr="000508B6">
        <w:rPr>
          <w:rFonts w:ascii="Times New Roman" w:eastAsia="Times New Roman" w:hAnsi="Times New Roman" w:cs="Times New Roman"/>
          <w:bCs/>
          <w:lang w:val="ro-MD"/>
        </w:rPr>
        <w:t xml:space="preserve">asigurătorului sau </w:t>
      </w:r>
      <w:proofErr w:type="spellStart"/>
      <w:r w:rsidR="002F5DE5"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3AECAAF4" w14:textId="5B78657E" w:rsidR="000301B2" w:rsidRPr="000508B6" w:rsidRDefault="000301B2" w:rsidP="009F0C40">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ab/>
        <w:t xml:space="preserve">Comitetul de audit trebuie să fie format exclusiv din membri ai consiliului </w:t>
      </w:r>
      <w:r w:rsidR="00995B1A" w:rsidRPr="000508B6">
        <w:rPr>
          <w:rFonts w:ascii="Times New Roman" w:eastAsia="Times New Roman" w:hAnsi="Times New Roman" w:cs="Times New Roman"/>
          <w:bCs/>
          <w:lang w:val="ro-MD"/>
        </w:rPr>
        <w:t xml:space="preserve">asigurătorului sau </w:t>
      </w:r>
      <w:proofErr w:type="spellStart"/>
      <w:r w:rsidR="00995B1A" w:rsidRPr="000508B6">
        <w:rPr>
          <w:rFonts w:ascii="Times New Roman" w:eastAsia="Times New Roman" w:hAnsi="Times New Roman" w:cs="Times New Roman"/>
          <w:bCs/>
          <w:lang w:val="ro-MD"/>
        </w:rPr>
        <w:t>reasigurătorului</w:t>
      </w:r>
      <w:proofErr w:type="spellEnd"/>
      <w:r w:rsidR="00995B1A"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cel </w:t>
      </w:r>
      <w:proofErr w:type="spellStart"/>
      <w:r w:rsidRPr="000508B6">
        <w:rPr>
          <w:rFonts w:ascii="Times New Roman" w:eastAsia="Times New Roman" w:hAnsi="Times New Roman" w:cs="Times New Roman"/>
          <w:bCs/>
          <w:lang w:val="ro-MD"/>
        </w:rPr>
        <w:t>puţin</w:t>
      </w:r>
      <w:proofErr w:type="spellEnd"/>
      <w:r w:rsidRPr="000508B6">
        <w:rPr>
          <w:rFonts w:ascii="Times New Roman" w:eastAsia="Times New Roman" w:hAnsi="Times New Roman" w:cs="Times New Roman"/>
          <w:bCs/>
          <w:lang w:val="ro-MD"/>
        </w:rPr>
        <w:t xml:space="preserve"> 1/3 din membrii acestora trebuie să fie independenți în sensul art.</w:t>
      </w:r>
      <w:r w:rsidR="00754625" w:rsidRPr="000508B6">
        <w:rPr>
          <w:rFonts w:ascii="Times New Roman" w:eastAsia="Times New Roman" w:hAnsi="Times New Roman" w:cs="Times New Roman"/>
          <w:bCs/>
          <w:lang w:val="ro-MD"/>
        </w:rPr>
        <w:t xml:space="preserve"> </w:t>
      </w:r>
      <w:r w:rsidR="00DB4F41" w:rsidRPr="000508B6">
        <w:rPr>
          <w:rFonts w:ascii="Times New Roman" w:eastAsia="Times New Roman" w:hAnsi="Times New Roman" w:cs="Times New Roman"/>
          <w:bCs/>
          <w:lang w:val="ro-MD"/>
        </w:rPr>
        <w:t>22</w:t>
      </w:r>
      <w:r w:rsidRPr="000508B6">
        <w:rPr>
          <w:rFonts w:ascii="Times New Roman" w:eastAsia="Times New Roman" w:hAnsi="Times New Roman" w:cs="Times New Roman"/>
          <w:bCs/>
          <w:lang w:val="ro-MD"/>
        </w:rPr>
        <w:t xml:space="preserve"> alin.</w:t>
      </w:r>
      <w:r w:rsidR="00754625"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w:t>
      </w:r>
      <w:r w:rsidR="00DB4F41" w:rsidRPr="000508B6">
        <w:rPr>
          <w:rFonts w:ascii="Times New Roman" w:eastAsia="Times New Roman" w:hAnsi="Times New Roman" w:cs="Times New Roman"/>
          <w:bCs/>
          <w:lang w:val="ro-MD"/>
        </w:rPr>
        <w:t>7</w:t>
      </w:r>
      <w:r w:rsidRPr="000508B6">
        <w:rPr>
          <w:rFonts w:ascii="Times New Roman" w:eastAsia="Times New Roman" w:hAnsi="Times New Roman" w:cs="Times New Roman"/>
          <w:bCs/>
          <w:lang w:val="ro-MD"/>
        </w:rPr>
        <w:t xml:space="preserve">). </w:t>
      </w:r>
    </w:p>
    <w:p w14:paraId="24672A75" w14:textId="6B268038" w:rsidR="000301B2" w:rsidRPr="000508B6" w:rsidRDefault="000301B2" w:rsidP="000301B2">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(3)</w:t>
      </w:r>
      <w:r w:rsidRPr="000508B6">
        <w:rPr>
          <w:rFonts w:ascii="Times New Roman" w:eastAsia="Times New Roman" w:hAnsi="Times New Roman" w:cs="Times New Roman"/>
          <w:bCs/>
          <w:lang w:val="ro-MD"/>
        </w:rPr>
        <w:tab/>
      </w:r>
      <w:bookmarkStart w:id="72" w:name="_Hlk221278514"/>
      <w:r w:rsidR="002F5DE5" w:rsidRPr="000508B6">
        <w:rPr>
          <w:rFonts w:ascii="Times New Roman" w:eastAsia="Times New Roman" w:hAnsi="Times New Roman" w:cs="Times New Roman"/>
          <w:bCs/>
          <w:lang w:val="ro-MD"/>
        </w:rPr>
        <w:t xml:space="preserve">Asigurătorul </w:t>
      </w:r>
      <w:r w:rsidR="004125E8" w:rsidRPr="000508B6">
        <w:rPr>
          <w:rFonts w:ascii="Times New Roman" w:eastAsia="Times New Roman" w:hAnsi="Times New Roman" w:cs="Times New Roman"/>
          <w:bCs/>
          <w:lang w:val="ro-MD"/>
        </w:rPr>
        <w:t xml:space="preserve">sau </w:t>
      </w:r>
      <w:proofErr w:type="spellStart"/>
      <w:r w:rsidR="004125E8" w:rsidRPr="000508B6">
        <w:rPr>
          <w:rFonts w:ascii="Times New Roman" w:eastAsia="Times New Roman" w:hAnsi="Times New Roman" w:cs="Times New Roman"/>
          <w:bCs/>
          <w:lang w:val="ro-MD"/>
        </w:rPr>
        <w:t>reasigurătorul</w:t>
      </w:r>
      <w:proofErr w:type="spellEnd"/>
      <w:r w:rsidR="001175EB"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poate crea și alte comitete specializate, </w:t>
      </w:r>
      <w:r w:rsidR="00AF155E" w:rsidRPr="000508B6">
        <w:rPr>
          <w:rFonts w:ascii="Times New Roman" w:eastAsia="Times New Roman" w:hAnsi="Times New Roman" w:cs="Times New Roman"/>
          <w:bCs/>
          <w:lang w:val="ro-MD"/>
        </w:rPr>
        <w:t xml:space="preserve">din proprie inițiativă sau la solicitarea Băncii Naționale a Moldovei, </w:t>
      </w:r>
      <w:r w:rsidRPr="000508B6">
        <w:rPr>
          <w:rFonts w:ascii="Times New Roman" w:eastAsia="Times New Roman" w:hAnsi="Times New Roman" w:cs="Times New Roman"/>
          <w:bCs/>
          <w:lang w:val="ro-MD"/>
        </w:rPr>
        <w:t xml:space="preserve">în funcție de natura, amploarea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complexitatea </w:t>
      </w:r>
      <w:proofErr w:type="spellStart"/>
      <w:r w:rsidRPr="000508B6">
        <w:rPr>
          <w:rFonts w:ascii="Times New Roman" w:eastAsia="Times New Roman" w:hAnsi="Times New Roman" w:cs="Times New Roman"/>
          <w:bCs/>
          <w:lang w:val="ro-MD"/>
        </w:rPr>
        <w:t>activităţilor</w:t>
      </w:r>
      <w:proofErr w:type="spellEnd"/>
      <w:r w:rsidRPr="000508B6">
        <w:rPr>
          <w:rFonts w:ascii="Times New Roman" w:eastAsia="Times New Roman" w:hAnsi="Times New Roman" w:cs="Times New Roman"/>
          <w:bCs/>
          <w:lang w:val="ro-MD"/>
        </w:rPr>
        <w:t xml:space="preserve"> </w:t>
      </w:r>
      <w:bookmarkEnd w:id="72"/>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B26F58" w:rsidRPr="000508B6">
        <w:rPr>
          <w:rFonts w:ascii="Times New Roman" w:hAnsi="Times New Roman" w:cs="Times New Roman"/>
          <w:lang w:val="ro-MD"/>
        </w:rPr>
        <w:t xml:space="preserve"> </w:t>
      </w:r>
      <w:r w:rsidR="00B26F58" w:rsidRPr="000508B6">
        <w:rPr>
          <w:rFonts w:ascii="Times New Roman" w:eastAsia="Times New Roman" w:hAnsi="Times New Roman" w:cs="Times New Roman"/>
          <w:bCs/>
          <w:lang w:val="ro-MD"/>
        </w:rPr>
        <w:t xml:space="preserve">a căror atribuții, responsabilități și criterii de independență sunt stabilite în actele normative ale Băncii </w:t>
      </w:r>
      <w:proofErr w:type="spellStart"/>
      <w:r w:rsidR="00B26F58" w:rsidRPr="000508B6">
        <w:rPr>
          <w:rFonts w:ascii="Times New Roman" w:eastAsia="Times New Roman" w:hAnsi="Times New Roman" w:cs="Times New Roman"/>
          <w:bCs/>
          <w:lang w:val="ro-MD"/>
        </w:rPr>
        <w:t>Naţionale</w:t>
      </w:r>
      <w:proofErr w:type="spellEnd"/>
      <w:r w:rsidR="00B26F58" w:rsidRPr="000508B6">
        <w:rPr>
          <w:rFonts w:ascii="Times New Roman" w:eastAsia="Times New Roman" w:hAnsi="Times New Roman" w:cs="Times New Roman"/>
          <w:bCs/>
          <w:lang w:val="ro-MD"/>
        </w:rPr>
        <w:t xml:space="preserve"> a Moldovei</w:t>
      </w:r>
      <w:r w:rsidRPr="000508B6">
        <w:rPr>
          <w:rFonts w:ascii="Times New Roman" w:eastAsia="Times New Roman" w:hAnsi="Times New Roman" w:cs="Times New Roman"/>
          <w:bCs/>
          <w:lang w:val="ro-MD"/>
        </w:rPr>
        <w:t>.</w:t>
      </w:r>
    </w:p>
    <w:bookmarkEnd w:id="69"/>
    <w:p w14:paraId="50F749C3" w14:textId="77777777" w:rsidR="00200B52" w:rsidRPr="000508B6" w:rsidRDefault="00200B52" w:rsidP="00ED1DF6">
      <w:pPr>
        <w:spacing w:after="0" w:line="240" w:lineRule="auto"/>
        <w:ind w:firstLine="426"/>
        <w:jc w:val="both"/>
        <w:rPr>
          <w:rFonts w:ascii="Times New Roman" w:eastAsia="Times New Roman" w:hAnsi="Times New Roman" w:cs="Times New Roman"/>
          <w:b/>
          <w:lang w:val="ro-MD"/>
        </w:rPr>
      </w:pPr>
    </w:p>
    <w:p w14:paraId="62565BC3" w14:textId="0D379C8A" w:rsidR="00F95829" w:rsidRPr="000508B6" w:rsidRDefault="00F95829" w:rsidP="008B530F">
      <w:pPr>
        <w:spacing w:after="0" w:line="240" w:lineRule="auto"/>
        <w:ind w:firstLine="426"/>
        <w:jc w:val="both"/>
        <w:rPr>
          <w:rFonts w:ascii="Times New Roman" w:eastAsia="Times New Roman" w:hAnsi="Times New Roman" w:cs="Times New Roman"/>
          <w:lang w:val="ro-MD"/>
        </w:rPr>
      </w:pPr>
      <w:bookmarkStart w:id="73" w:name="_Hlk202966877"/>
      <w:r w:rsidRPr="000508B6">
        <w:rPr>
          <w:rFonts w:ascii="Times New Roman" w:eastAsia="Times New Roman" w:hAnsi="Times New Roman" w:cs="Times New Roman"/>
          <w:b/>
          <w:lang w:val="ro-MD"/>
        </w:rPr>
        <w:t>Articolul</w:t>
      </w:r>
      <w:r w:rsidR="00BB4BFE" w:rsidRPr="000508B6">
        <w:rPr>
          <w:rFonts w:ascii="Times New Roman" w:eastAsia="Times New Roman" w:hAnsi="Times New Roman" w:cs="Times New Roman"/>
          <w:b/>
          <w:lang w:val="ro-MD"/>
        </w:rPr>
        <w:t xml:space="preserve"> </w:t>
      </w:r>
      <w:r w:rsidR="00450837" w:rsidRPr="000508B6">
        <w:rPr>
          <w:rFonts w:ascii="Times New Roman" w:eastAsia="Times New Roman" w:hAnsi="Times New Roman" w:cs="Times New Roman"/>
          <w:b/>
          <w:lang w:val="ro-MD"/>
        </w:rPr>
        <w:t>25</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Managementul riscurilor</w:t>
      </w:r>
    </w:p>
    <w:p w14:paraId="260B2F05" w14:textId="69D2668F" w:rsidR="00F95829" w:rsidRPr="000508B6" w:rsidRDefault="009F0C40" w:rsidP="00CF5AFA">
      <w:pPr>
        <w:pStyle w:val="Listparagraf"/>
        <w:numPr>
          <w:ilvl w:val="0"/>
          <w:numId w:val="108"/>
        </w:numPr>
        <w:spacing w:after="0" w:line="240" w:lineRule="auto"/>
        <w:ind w:left="0" w:firstLine="426"/>
        <w:jc w:val="both"/>
        <w:rPr>
          <w:rFonts w:ascii="Times New Roman" w:eastAsia="Times New Roman" w:hAnsi="Times New Roman" w:cs="Times New Roman"/>
          <w:i/>
          <w:lang w:val="ro-MD"/>
        </w:rPr>
      </w:pPr>
      <w:bookmarkStart w:id="74" w:name="_Hlk221284515"/>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instituie un sistem </w:t>
      </w:r>
      <w:proofErr w:type="spellStart"/>
      <w:r w:rsidR="00F95829" w:rsidRPr="000508B6">
        <w:rPr>
          <w:rFonts w:ascii="Times New Roman" w:eastAsia="Times New Roman" w:hAnsi="Times New Roman" w:cs="Times New Roman"/>
          <w:lang w:val="ro-MD"/>
        </w:rPr>
        <w:t>funcţional</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eficient de management al riscului, ca instrument important în procesul decizional, astfel încât</w:t>
      </w:r>
      <w:r w:rsidR="004E6FF7" w:rsidRPr="000508B6">
        <w:rPr>
          <w:rFonts w:ascii="Times New Roman" w:eastAsia="Times New Roman" w:hAnsi="Times New Roman" w:cs="Times New Roman"/>
          <w:lang w:val="ro-MD"/>
        </w:rPr>
        <w:t xml:space="preserve"> acesta</w:t>
      </w:r>
      <w:r w:rsidR="00F95829" w:rsidRPr="000508B6">
        <w:rPr>
          <w:rFonts w:ascii="Times New Roman" w:eastAsia="Times New Roman" w:hAnsi="Times New Roman" w:cs="Times New Roman"/>
          <w:lang w:val="ro-MD"/>
        </w:rPr>
        <w:t xml:space="preserve">: </w:t>
      </w:r>
    </w:p>
    <w:p w14:paraId="16178ADE" w14:textId="228474B8" w:rsidR="00F95829" w:rsidRPr="000508B6" w:rsidRDefault="00F95829" w:rsidP="00C00339">
      <w:pPr>
        <w:pStyle w:val="Listparagraf"/>
        <w:numPr>
          <w:ilvl w:val="0"/>
          <w:numId w:val="288"/>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să </w:t>
      </w:r>
      <w:r w:rsidR="00103539" w:rsidRPr="000508B6">
        <w:rPr>
          <w:rFonts w:ascii="Times New Roman" w:eastAsia="Times New Roman" w:hAnsi="Times New Roman" w:cs="Times New Roman"/>
          <w:lang w:val="ro-MD"/>
        </w:rPr>
        <w:t xml:space="preserve">includă </w:t>
      </w:r>
      <w:r w:rsidRPr="000508B6">
        <w:rPr>
          <w:rFonts w:ascii="Times New Roman" w:eastAsia="Times New Roman" w:hAnsi="Times New Roman" w:cs="Times New Roman"/>
          <w:lang w:val="ro-MD"/>
        </w:rPr>
        <w:t xml:space="preserve">strategii, procese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proceduri de raportare</w:t>
      </w:r>
      <w:r w:rsidR="00886FC7" w:rsidRPr="000508B6">
        <w:rPr>
          <w:rFonts w:ascii="Times New Roman" w:hAnsi="Times New Roman" w:cs="Times New Roman"/>
          <w:lang w:val="ro-MD"/>
        </w:rPr>
        <w:t xml:space="preserve"> </w:t>
      </w:r>
      <w:r w:rsidR="00886FC7" w:rsidRPr="000508B6">
        <w:rPr>
          <w:rFonts w:ascii="Times New Roman" w:eastAsia="Times New Roman" w:hAnsi="Times New Roman" w:cs="Times New Roman"/>
          <w:lang w:val="ro-MD"/>
        </w:rPr>
        <w:t>continuă</w:t>
      </w:r>
      <w:r w:rsidR="00C362DD" w:rsidRPr="000508B6">
        <w:rPr>
          <w:rFonts w:ascii="Times New Roman" w:eastAsia="Times New Roman" w:hAnsi="Times New Roman" w:cs="Times New Roman"/>
          <w:lang w:val="ro-MD"/>
        </w:rPr>
        <w:t xml:space="preserve"> a riscurilor</w:t>
      </w:r>
      <w:r w:rsidR="001902A2" w:rsidRPr="000508B6">
        <w:rPr>
          <w:rFonts w:ascii="Times New Roman" w:eastAsia="Times New Roman" w:hAnsi="Times New Roman" w:cs="Times New Roman"/>
          <w:lang w:val="ro-MD"/>
        </w:rPr>
        <w:t xml:space="preserve"> </w:t>
      </w:r>
      <w:r w:rsidR="00F22FB0" w:rsidRPr="000508B6">
        <w:rPr>
          <w:rFonts w:ascii="Times New Roman" w:eastAsia="Times New Roman" w:hAnsi="Times New Roman" w:cs="Times New Roman"/>
          <w:lang w:val="ro-MD"/>
        </w:rPr>
        <w:t>la care este expus sau la care ar putea fi expus,</w:t>
      </w:r>
      <w:r w:rsidR="00C362DD" w:rsidRPr="000508B6">
        <w:rPr>
          <w:rFonts w:ascii="Times New Roman" w:eastAsia="Times New Roman" w:hAnsi="Times New Roman" w:cs="Times New Roman"/>
          <w:lang w:val="ro-MD"/>
        </w:rPr>
        <w:t xml:space="preserve"> </w:t>
      </w:r>
      <w:r w:rsidR="00886FC7" w:rsidRPr="000508B6">
        <w:rPr>
          <w:rFonts w:ascii="Times New Roman" w:eastAsia="Times New Roman" w:hAnsi="Times New Roman" w:cs="Times New Roman"/>
          <w:lang w:val="ro-MD"/>
        </w:rPr>
        <w:t>atât la nivel individual, cât și la nivel agregat;</w:t>
      </w:r>
      <w:r w:rsidR="00886FC7" w:rsidRPr="000508B6">
        <w:rPr>
          <w:rFonts w:ascii="Times New Roman" w:hAnsi="Times New Roman" w:cs="Times New Roman"/>
          <w:lang w:val="ro-MD"/>
        </w:rPr>
        <w:t xml:space="preserve"> </w:t>
      </w:r>
    </w:p>
    <w:p w14:paraId="20371508" w14:textId="07F67CE5" w:rsidR="00F95829" w:rsidRPr="000508B6" w:rsidRDefault="00F95829" w:rsidP="00C00339">
      <w:pPr>
        <w:pStyle w:val="Listparagraf"/>
        <w:numPr>
          <w:ilvl w:val="0"/>
          <w:numId w:val="288"/>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să faciliteze permanent identificarea, evaluarea, monitorizarea, gestionarea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raportarea riscurilor </w:t>
      </w:r>
      <w:r w:rsidR="00103539" w:rsidRPr="000508B6">
        <w:rPr>
          <w:rFonts w:ascii="Times New Roman" w:eastAsia="Times New Roman" w:hAnsi="Times New Roman" w:cs="Times New Roman"/>
          <w:lang w:val="ro-MD"/>
        </w:rPr>
        <w:t xml:space="preserve">la care </w:t>
      </w:r>
      <w:r w:rsidR="00BC5610" w:rsidRPr="000508B6">
        <w:rPr>
          <w:rFonts w:ascii="Times New Roman" w:eastAsia="Times New Roman" w:hAnsi="Times New Roman" w:cs="Times New Roman"/>
          <w:lang w:val="ro-MD"/>
        </w:rPr>
        <w:t xml:space="preserve">este </w:t>
      </w:r>
      <w:r w:rsidR="00103539" w:rsidRPr="000508B6">
        <w:rPr>
          <w:rFonts w:ascii="Times New Roman" w:eastAsia="Times New Roman" w:hAnsi="Times New Roman" w:cs="Times New Roman"/>
          <w:lang w:val="ro-MD"/>
        </w:rPr>
        <w:t xml:space="preserve">sau ar putea fi </w:t>
      </w:r>
      <w:r w:rsidR="00BC5610" w:rsidRPr="000508B6">
        <w:rPr>
          <w:rFonts w:ascii="Times New Roman" w:eastAsia="Times New Roman" w:hAnsi="Times New Roman" w:cs="Times New Roman"/>
          <w:lang w:val="ro-MD"/>
        </w:rPr>
        <w:t>expus</w:t>
      </w:r>
      <w:r w:rsidR="00103539" w:rsidRPr="000508B6">
        <w:rPr>
          <w:rFonts w:ascii="Times New Roman" w:eastAsia="Times New Roman" w:hAnsi="Times New Roman" w:cs="Times New Roman"/>
          <w:lang w:val="ro-MD"/>
        </w:rPr>
        <w:t>, precum și interdependența dintre aceste</w:t>
      </w:r>
      <w:r w:rsidR="007E46C0"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w:t>
      </w:r>
    </w:p>
    <w:p w14:paraId="7C2E9816" w14:textId="77777777" w:rsidR="00F95829" w:rsidRPr="000508B6" w:rsidRDefault="00F95829" w:rsidP="00C00339">
      <w:pPr>
        <w:pStyle w:val="Listparagraf"/>
        <w:numPr>
          <w:ilvl w:val="0"/>
          <w:numId w:val="288"/>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să fie integrat adecvat în structura organizatorică și în procesele decizionale;</w:t>
      </w:r>
    </w:p>
    <w:p w14:paraId="228D8F70" w14:textId="154A4BB9" w:rsidR="00F95829" w:rsidRPr="000508B6" w:rsidRDefault="00F95829" w:rsidP="00C00339">
      <w:pPr>
        <w:pStyle w:val="Listparagraf"/>
        <w:numPr>
          <w:ilvl w:val="0"/>
          <w:numId w:val="288"/>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să prevadă standarde bine definite pentru persoanele care conduc efectiv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8B6F2A" w:rsidRPr="000508B6">
        <w:rPr>
          <w:rFonts w:ascii="Times New Roman" w:eastAsia="Times New Roman" w:hAnsi="Times New Roman" w:cs="Times New Roman"/>
          <w:lang w:val="ro-MD"/>
        </w:rPr>
        <w:t xml:space="preserve"> și</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deţin</w:t>
      </w:r>
      <w:proofErr w:type="spellEnd"/>
      <w:r w:rsidR="00ED3645" w:rsidRPr="000508B6">
        <w:rPr>
          <w:rFonts w:ascii="Times New Roman" w:eastAsia="Times New Roman" w:hAnsi="Times New Roman" w:cs="Times New Roman"/>
          <w:lang w:val="ro-MD"/>
        </w:rPr>
        <w:t xml:space="preserve"> funcții cheie și alte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funcţii</w:t>
      </w:r>
      <w:proofErr w:type="spellEnd"/>
      <w:r w:rsidRPr="000508B6">
        <w:rPr>
          <w:rFonts w:ascii="Times New Roman" w:eastAsia="Times New Roman" w:hAnsi="Times New Roman" w:cs="Times New Roman"/>
          <w:lang w:val="ro-MD"/>
        </w:rPr>
        <w:t xml:space="preserve"> critice.</w:t>
      </w:r>
    </w:p>
    <w:p w14:paraId="2BC47083" w14:textId="47B57BC7" w:rsidR="00F95829" w:rsidRPr="000508B6" w:rsidRDefault="00F95829" w:rsidP="00CF5AFA">
      <w:pPr>
        <w:pStyle w:val="Listparagraf"/>
        <w:numPr>
          <w:ilvl w:val="0"/>
          <w:numId w:val="108"/>
        </w:numPr>
        <w:spacing w:after="0" w:line="240" w:lineRule="auto"/>
        <w:ind w:left="0" w:firstLine="426"/>
        <w:jc w:val="both"/>
        <w:rPr>
          <w:rFonts w:ascii="Times New Roman" w:eastAsia="Times New Roman" w:hAnsi="Times New Roman" w:cs="Times New Roman"/>
          <w:lang w:val="ro-MD"/>
        </w:rPr>
      </w:pPr>
      <w:bookmarkStart w:id="75" w:name="_Hlk221284654"/>
      <w:bookmarkEnd w:id="74"/>
      <w:r w:rsidRPr="000508B6">
        <w:rPr>
          <w:rFonts w:ascii="Times New Roman" w:eastAsia="Times New Roman" w:hAnsi="Times New Roman" w:cs="Times New Roman"/>
          <w:lang w:val="ro-MD"/>
        </w:rPr>
        <w:t xml:space="preserve">Sistemul de management al riscului </w:t>
      </w:r>
      <w:r w:rsidR="008E28A9" w:rsidRPr="000508B6">
        <w:rPr>
          <w:rFonts w:ascii="Times New Roman" w:eastAsia="Times New Roman" w:hAnsi="Times New Roman" w:cs="Times New Roman"/>
          <w:lang w:val="ro-MD"/>
        </w:rPr>
        <w:t>cuprinde</w:t>
      </w:r>
      <w:r w:rsidRPr="000508B6">
        <w:rPr>
          <w:rFonts w:ascii="Times New Roman" w:eastAsia="Times New Roman" w:hAnsi="Times New Roman" w:cs="Times New Roman"/>
          <w:lang w:val="ro-MD"/>
        </w:rPr>
        <w:t xml:space="preserve"> riscurile care urmează a fi incluse în calcularea SCR, riscurile incluse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sau </w:t>
      </w:r>
      <w:r w:rsidR="00AA7F3F" w:rsidRPr="000508B6">
        <w:rPr>
          <w:rFonts w:ascii="Times New Roman" w:eastAsia="Times New Roman" w:hAnsi="Times New Roman" w:cs="Times New Roman"/>
          <w:lang w:val="ro-MD"/>
        </w:rPr>
        <w:t>care nu sunt incluse</w:t>
      </w:r>
      <w:r w:rsidR="00AA7F3F" w:rsidRPr="000508B6" w:rsidDel="00AA7F3F">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acoperă următoarele </w:t>
      </w:r>
      <w:r w:rsidR="007E46C0" w:rsidRPr="000508B6">
        <w:rPr>
          <w:rFonts w:ascii="Times New Roman" w:eastAsia="Times New Roman" w:hAnsi="Times New Roman" w:cs="Times New Roman"/>
          <w:lang w:val="ro-MD"/>
        </w:rPr>
        <w:t>activități</w:t>
      </w:r>
      <w:r w:rsidRPr="000508B6">
        <w:rPr>
          <w:rFonts w:ascii="Times New Roman" w:eastAsia="Times New Roman" w:hAnsi="Times New Roman" w:cs="Times New Roman"/>
          <w:lang w:val="ro-MD"/>
        </w:rPr>
        <w:t xml:space="preserve">: </w:t>
      </w:r>
    </w:p>
    <w:p w14:paraId="2A1D2D9A" w14:textId="77777777" w:rsidR="00F95829" w:rsidRPr="000508B6" w:rsidRDefault="00F95829" w:rsidP="00C00339">
      <w:pPr>
        <w:pStyle w:val="Listparagraf"/>
        <w:numPr>
          <w:ilvl w:val="2"/>
          <w:numId w:val="108"/>
        </w:numPr>
        <w:tabs>
          <w:tab w:val="left" w:pos="0"/>
          <w:tab w:val="left" w:pos="426"/>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subscrierea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calculul rezervelor tehnice;</w:t>
      </w:r>
    </w:p>
    <w:p w14:paraId="3C6B48E2" w14:textId="6FC68F82" w:rsidR="00F95829" w:rsidRPr="000508B6" w:rsidRDefault="00F95829" w:rsidP="00C00339">
      <w:pPr>
        <w:pStyle w:val="Listparagraf"/>
        <w:numPr>
          <w:ilvl w:val="2"/>
          <w:numId w:val="108"/>
        </w:numPr>
        <w:tabs>
          <w:tab w:val="left" w:pos="0"/>
          <w:tab w:val="left" w:pos="426"/>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managementul</w:t>
      </w:r>
      <w:r w:rsidR="00537B80" w:rsidRPr="000508B6">
        <w:rPr>
          <w:rFonts w:ascii="Times New Roman" w:eastAsia="Times New Roman" w:hAnsi="Times New Roman" w:cs="Times New Roman"/>
          <w:lang w:val="ro-MD"/>
        </w:rPr>
        <w:t xml:space="preserve"> </w:t>
      </w:r>
      <w:r w:rsidR="007E46C0" w:rsidRPr="000508B6">
        <w:rPr>
          <w:rFonts w:ascii="Times New Roman" w:eastAsia="Times New Roman" w:hAnsi="Times New Roman" w:cs="Times New Roman"/>
          <w:lang w:val="ro-MD"/>
        </w:rPr>
        <w:t>active</w:t>
      </w:r>
      <w:r w:rsidR="00BD105F" w:rsidRPr="000508B6">
        <w:rPr>
          <w:rFonts w:ascii="Times New Roman" w:eastAsia="Times New Roman" w:hAnsi="Times New Roman" w:cs="Times New Roman"/>
          <w:lang w:val="ro-MD"/>
        </w:rPr>
        <w:t>lor și</w:t>
      </w:r>
      <w:r w:rsidR="007E46C0" w:rsidRPr="000508B6">
        <w:rPr>
          <w:rFonts w:ascii="Times New Roman" w:eastAsia="Times New Roman" w:hAnsi="Times New Roman" w:cs="Times New Roman"/>
          <w:lang w:val="ro-MD"/>
        </w:rPr>
        <w:t xml:space="preserve"> obligații</w:t>
      </w:r>
      <w:r w:rsidR="00BD105F" w:rsidRPr="000508B6">
        <w:rPr>
          <w:rFonts w:ascii="Times New Roman" w:eastAsia="Times New Roman" w:hAnsi="Times New Roman" w:cs="Times New Roman"/>
          <w:lang w:val="ro-MD"/>
        </w:rPr>
        <w:t>lor</w:t>
      </w:r>
      <w:r w:rsidRPr="000508B6">
        <w:rPr>
          <w:rFonts w:ascii="Times New Roman" w:eastAsia="Times New Roman" w:hAnsi="Times New Roman" w:cs="Times New Roman"/>
          <w:lang w:val="ro-MD"/>
        </w:rPr>
        <w:t>;</w:t>
      </w:r>
    </w:p>
    <w:p w14:paraId="7AD7DB11" w14:textId="77777777" w:rsidR="00F95829" w:rsidRPr="000508B6" w:rsidRDefault="00F95829" w:rsidP="00C00339">
      <w:pPr>
        <w:pStyle w:val="Listparagraf"/>
        <w:numPr>
          <w:ilvl w:val="2"/>
          <w:numId w:val="108"/>
        </w:numPr>
        <w:tabs>
          <w:tab w:val="left" w:pos="0"/>
          <w:tab w:val="left" w:pos="426"/>
          <w:tab w:val="left" w:pos="709"/>
          <w:tab w:val="left" w:pos="851"/>
        </w:tabs>
        <w:spacing w:after="0" w:line="240" w:lineRule="auto"/>
        <w:ind w:left="0" w:firstLine="426"/>
        <w:jc w:val="both"/>
        <w:rPr>
          <w:rFonts w:ascii="Times New Roman" w:eastAsia="Times New Roman" w:hAnsi="Times New Roman" w:cs="Times New Roman"/>
          <w:lang w:val="ro-MD"/>
        </w:rPr>
      </w:pPr>
      <w:bookmarkStart w:id="76" w:name="_Hlk195772392"/>
      <w:r w:rsidRPr="000508B6">
        <w:rPr>
          <w:rFonts w:ascii="Times New Roman" w:eastAsia="Times New Roman" w:hAnsi="Times New Roman" w:cs="Times New Roman"/>
          <w:lang w:val="ro-MD"/>
        </w:rPr>
        <w:t xml:space="preserve">strategia </w:t>
      </w:r>
      <w:proofErr w:type="spellStart"/>
      <w:r w:rsidRPr="000508B6">
        <w:rPr>
          <w:rFonts w:ascii="Times New Roman" w:eastAsia="Times New Roman" w:hAnsi="Times New Roman" w:cs="Times New Roman"/>
          <w:lang w:val="ro-MD"/>
        </w:rPr>
        <w:t>investiţională</w:t>
      </w:r>
      <w:proofErr w:type="spellEnd"/>
      <w:r w:rsidRPr="000508B6">
        <w:rPr>
          <w:rFonts w:ascii="Times New Roman" w:eastAsia="Times New Roman" w:hAnsi="Times New Roman" w:cs="Times New Roman"/>
          <w:lang w:val="ro-MD"/>
        </w:rPr>
        <w:t xml:space="preserve">, în special în ceea ce </w:t>
      </w:r>
      <w:proofErr w:type="spellStart"/>
      <w:r w:rsidRPr="000508B6">
        <w:rPr>
          <w:rFonts w:ascii="Times New Roman" w:eastAsia="Times New Roman" w:hAnsi="Times New Roman" w:cs="Times New Roman"/>
          <w:lang w:val="ro-MD"/>
        </w:rPr>
        <w:t>priveşte</w:t>
      </w:r>
      <w:proofErr w:type="spellEnd"/>
      <w:r w:rsidRPr="000508B6">
        <w:rPr>
          <w:rFonts w:ascii="Times New Roman" w:eastAsia="Times New Roman" w:hAnsi="Times New Roman" w:cs="Times New Roman"/>
          <w:lang w:val="ro-MD"/>
        </w:rPr>
        <w:t xml:space="preserve"> instrumentele derivate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angajamentele similare</w:t>
      </w:r>
      <w:bookmarkEnd w:id="76"/>
      <w:r w:rsidRPr="000508B6">
        <w:rPr>
          <w:rFonts w:ascii="Times New Roman" w:eastAsia="Times New Roman" w:hAnsi="Times New Roman" w:cs="Times New Roman"/>
          <w:lang w:val="ro-MD"/>
        </w:rPr>
        <w:t>;</w:t>
      </w:r>
    </w:p>
    <w:p w14:paraId="45FC1AA1" w14:textId="3B7CB239" w:rsidR="00F95829" w:rsidRPr="000508B6" w:rsidRDefault="00F95829" w:rsidP="00C00339">
      <w:pPr>
        <w:pStyle w:val="Listparagraf"/>
        <w:numPr>
          <w:ilvl w:val="2"/>
          <w:numId w:val="108"/>
        </w:numPr>
        <w:tabs>
          <w:tab w:val="left" w:pos="0"/>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managementul riscului de lichiditate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concentrare;</w:t>
      </w:r>
    </w:p>
    <w:p w14:paraId="73966B47" w14:textId="54E17D6C" w:rsidR="00F95829" w:rsidRPr="000508B6" w:rsidRDefault="00F95829" w:rsidP="00C00339">
      <w:pPr>
        <w:pStyle w:val="Listparagraf"/>
        <w:numPr>
          <w:ilvl w:val="2"/>
          <w:numId w:val="108"/>
        </w:numPr>
        <w:tabs>
          <w:tab w:val="left" w:pos="0"/>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managementul riscului </w:t>
      </w:r>
      <w:proofErr w:type="spellStart"/>
      <w:r w:rsidRPr="000508B6">
        <w:rPr>
          <w:rFonts w:ascii="Times New Roman" w:eastAsia="Times New Roman" w:hAnsi="Times New Roman" w:cs="Times New Roman"/>
          <w:lang w:val="ro-MD"/>
        </w:rPr>
        <w:t>operaţional</w:t>
      </w:r>
      <w:proofErr w:type="spellEnd"/>
      <w:r w:rsidR="00785482" w:rsidRPr="000508B6">
        <w:rPr>
          <w:rFonts w:ascii="Times New Roman" w:eastAsia="Times New Roman" w:hAnsi="Times New Roman" w:cs="Times New Roman"/>
          <w:lang w:val="ro-MD"/>
        </w:rPr>
        <w:t>,</w:t>
      </w:r>
      <w:r w:rsidR="00785482" w:rsidRPr="000508B6">
        <w:rPr>
          <w:rFonts w:ascii="Times New Roman" w:hAnsi="Times New Roman" w:cs="Times New Roman"/>
          <w:lang w:val="ro-MD"/>
        </w:rPr>
        <w:t xml:space="preserve"> </w:t>
      </w:r>
      <w:bookmarkStart w:id="77" w:name="_Hlk191891806"/>
      <w:r w:rsidR="00785482" w:rsidRPr="000508B6">
        <w:rPr>
          <w:rFonts w:ascii="Times New Roman" w:eastAsia="Times New Roman" w:hAnsi="Times New Roman" w:cs="Times New Roman"/>
          <w:lang w:val="ro-MD"/>
        </w:rPr>
        <w:t>inclusiv securitatea cibernetică, astfel cum este definită în</w:t>
      </w:r>
      <w:r w:rsidR="007821E9" w:rsidRPr="000508B6">
        <w:rPr>
          <w:rFonts w:ascii="Times New Roman" w:eastAsia="Times New Roman" w:hAnsi="Times New Roman" w:cs="Times New Roman"/>
          <w:lang w:val="ro-MD"/>
        </w:rPr>
        <w:t xml:space="preserve"> </w:t>
      </w:r>
      <w:bookmarkEnd w:id="77"/>
      <w:r w:rsidR="00A725DD" w:rsidRPr="000508B6">
        <w:rPr>
          <w:rFonts w:ascii="Times New Roman" w:eastAsia="Times New Roman" w:hAnsi="Times New Roman" w:cs="Times New Roman"/>
          <w:lang w:val="ro-MD"/>
        </w:rPr>
        <w:t xml:space="preserve"> </w:t>
      </w:r>
      <w:r w:rsidR="00F51FCF">
        <w:rPr>
          <w:rFonts w:ascii="Times New Roman" w:eastAsia="Times New Roman" w:hAnsi="Times New Roman" w:cs="Times New Roman"/>
          <w:lang w:val="ro-MD"/>
        </w:rPr>
        <w:t xml:space="preserve">actele </w:t>
      </w:r>
      <w:r w:rsidR="00A725DD" w:rsidRPr="000508B6">
        <w:rPr>
          <w:rFonts w:ascii="Times New Roman" w:eastAsia="Times New Roman" w:hAnsi="Times New Roman" w:cs="Times New Roman"/>
          <w:lang w:val="ro-MD"/>
        </w:rPr>
        <w:t>normativ</w:t>
      </w:r>
      <w:r w:rsidR="00F51FCF">
        <w:rPr>
          <w:rFonts w:ascii="Times New Roman" w:eastAsia="Times New Roman" w:hAnsi="Times New Roman" w:cs="Times New Roman"/>
          <w:lang w:val="ro-MD"/>
        </w:rPr>
        <w:t>e ale Guvernului</w:t>
      </w:r>
      <w:r w:rsidR="00A9730D" w:rsidRPr="000508B6">
        <w:rPr>
          <w:rFonts w:ascii="Times New Roman" w:eastAsia="Times New Roman" w:hAnsi="Times New Roman" w:cs="Times New Roman"/>
          <w:lang w:val="ro-MD"/>
        </w:rPr>
        <w:t xml:space="preserve"> cu privire la aprobarea sistemului național de certificare a securității cibernetice</w:t>
      </w:r>
      <w:r w:rsidRPr="000508B6">
        <w:rPr>
          <w:rFonts w:ascii="Times New Roman" w:eastAsia="Times New Roman" w:hAnsi="Times New Roman" w:cs="Times New Roman"/>
          <w:lang w:val="ro-MD"/>
        </w:rPr>
        <w:t>;</w:t>
      </w:r>
    </w:p>
    <w:p w14:paraId="4AFE4116" w14:textId="576081B8" w:rsidR="002E0720" w:rsidRPr="000508B6" w:rsidRDefault="00F95829" w:rsidP="00C00339">
      <w:pPr>
        <w:pStyle w:val="Listparagraf"/>
        <w:numPr>
          <w:ilvl w:val="2"/>
          <w:numId w:val="108"/>
        </w:numPr>
        <w:tabs>
          <w:tab w:val="left" w:pos="0"/>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reasigurarea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alte tehnici de minimizare a </w:t>
      </w:r>
      <w:r w:rsidR="00947F60" w:rsidRPr="000508B6">
        <w:rPr>
          <w:rFonts w:ascii="Times New Roman" w:eastAsia="Times New Roman" w:hAnsi="Times New Roman" w:cs="Times New Roman"/>
          <w:lang w:val="ro-MD"/>
        </w:rPr>
        <w:t>riscurilor</w:t>
      </w:r>
      <w:r w:rsidR="00031A14" w:rsidRPr="000508B6">
        <w:rPr>
          <w:rFonts w:ascii="Times New Roman" w:eastAsia="Times New Roman" w:hAnsi="Times New Roman" w:cs="Times New Roman"/>
          <w:lang w:val="ro-MD"/>
        </w:rPr>
        <w:t>.</w:t>
      </w:r>
    </w:p>
    <w:bookmarkEnd w:id="75"/>
    <w:p w14:paraId="3F8B9987" w14:textId="42844B6A" w:rsidR="00F21D60" w:rsidRPr="000508B6" w:rsidRDefault="009F0C40" w:rsidP="00C00339">
      <w:pPr>
        <w:pStyle w:val="Listparagraf"/>
        <w:numPr>
          <w:ilvl w:val="0"/>
          <w:numId w:val="1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elaborează politici scrise care includ proceduri cu privire la managementul riscului </w:t>
      </w:r>
      <w:r w:rsidR="00E75ABF" w:rsidRPr="000508B6">
        <w:rPr>
          <w:rFonts w:ascii="Times New Roman" w:eastAsia="Times New Roman" w:hAnsi="Times New Roman" w:cs="Times New Roman"/>
          <w:lang w:val="ro-MD"/>
        </w:rPr>
        <w:t xml:space="preserve">aferent </w:t>
      </w:r>
      <w:r w:rsidR="00F95829" w:rsidRPr="000508B6">
        <w:rPr>
          <w:rFonts w:ascii="Times New Roman" w:eastAsia="Times New Roman" w:hAnsi="Times New Roman" w:cs="Times New Roman"/>
          <w:lang w:val="ro-MD"/>
        </w:rPr>
        <w:t xml:space="preserve">tuturor </w:t>
      </w:r>
      <w:r w:rsidR="007E46C0" w:rsidRPr="000508B6">
        <w:rPr>
          <w:rFonts w:ascii="Times New Roman" w:eastAsia="Times New Roman" w:hAnsi="Times New Roman" w:cs="Times New Roman"/>
          <w:lang w:val="ro-MD"/>
        </w:rPr>
        <w:t xml:space="preserve">activităților </w:t>
      </w:r>
      <w:proofErr w:type="spellStart"/>
      <w:r w:rsidR="00F95829" w:rsidRPr="000508B6">
        <w:rPr>
          <w:rFonts w:ascii="Times New Roman" w:eastAsia="Times New Roman" w:hAnsi="Times New Roman" w:cs="Times New Roman"/>
          <w:lang w:val="ro-MD"/>
        </w:rPr>
        <w:t>menţionate</w:t>
      </w:r>
      <w:proofErr w:type="spellEnd"/>
      <w:r w:rsidR="00F95829" w:rsidRPr="000508B6">
        <w:rPr>
          <w:rFonts w:ascii="Times New Roman" w:eastAsia="Times New Roman" w:hAnsi="Times New Roman" w:cs="Times New Roman"/>
          <w:lang w:val="ro-MD"/>
        </w:rPr>
        <w:t xml:space="preserve"> la alin. (2), iar pentru riscul de </w:t>
      </w:r>
      <w:proofErr w:type="spellStart"/>
      <w:r w:rsidR="00F95829" w:rsidRPr="000508B6">
        <w:rPr>
          <w:rFonts w:ascii="Times New Roman" w:eastAsia="Times New Roman" w:hAnsi="Times New Roman" w:cs="Times New Roman"/>
          <w:lang w:val="ro-MD"/>
        </w:rPr>
        <w:t>investiţii</w:t>
      </w:r>
      <w:proofErr w:type="spellEnd"/>
      <w:r w:rsidR="00F95829" w:rsidRPr="000508B6">
        <w:rPr>
          <w:rFonts w:ascii="Times New Roman" w:eastAsia="Times New Roman" w:hAnsi="Times New Roman" w:cs="Times New Roman"/>
          <w:lang w:val="ro-MD"/>
        </w:rPr>
        <w:t xml:space="preserve"> demonstrează că respectă principiul </w:t>
      </w:r>
      <w:r w:rsidR="004A0C01"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persoan</w:t>
      </w:r>
      <w:r w:rsidR="00827D6D" w:rsidRPr="000508B6">
        <w:rPr>
          <w:rFonts w:ascii="Times New Roman" w:eastAsia="Times New Roman" w:hAnsi="Times New Roman" w:cs="Times New Roman"/>
          <w:lang w:val="ro-MD"/>
        </w:rPr>
        <w:t>ei</w:t>
      </w:r>
      <w:r w:rsidR="008C5C72"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prudent</w:t>
      </w:r>
      <w:r w:rsidR="00827D6D" w:rsidRPr="000508B6">
        <w:rPr>
          <w:rFonts w:ascii="Times New Roman" w:eastAsia="Times New Roman" w:hAnsi="Times New Roman" w:cs="Times New Roman"/>
          <w:lang w:val="ro-MD"/>
        </w:rPr>
        <w:t>e</w:t>
      </w:r>
      <w:r w:rsidR="004A0C01"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prevăzut la art. </w:t>
      </w:r>
      <w:r w:rsidR="003F3ED0" w:rsidRPr="000508B6">
        <w:rPr>
          <w:rFonts w:ascii="Times New Roman" w:eastAsia="Times New Roman" w:hAnsi="Times New Roman" w:cs="Times New Roman"/>
          <w:lang w:val="ro-MD"/>
        </w:rPr>
        <w:t>90</w:t>
      </w:r>
      <w:r w:rsidR="005E63B6" w:rsidRPr="000508B6">
        <w:rPr>
          <w:rFonts w:ascii="Times New Roman" w:eastAsia="Times New Roman" w:hAnsi="Times New Roman" w:cs="Times New Roman"/>
          <w:lang w:val="ro-MD"/>
        </w:rPr>
        <w:t>.</w:t>
      </w:r>
      <w:r w:rsidR="00F21D60" w:rsidRPr="000508B6">
        <w:rPr>
          <w:rFonts w:ascii="Times New Roman" w:hAnsi="Times New Roman" w:cs="Times New Roman"/>
          <w:lang w:val="ro-MD"/>
        </w:rPr>
        <w:t xml:space="preserve"> </w:t>
      </w:r>
    </w:p>
    <w:p w14:paraId="3440D0A1" w14:textId="6101BBA7" w:rsidR="00F54D65" w:rsidRPr="000508B6" w:rsidRDefault="009F0C40" w:rsidP="00382433">
      <w:pPr>
        <w:pStyle w:val="Listparagraf"/>
        <w:numPr>
          <w:ilvl w:val="0"/>
          <w:numId w:val="1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F54D65" w:rsidRPr="000508B6">
        <w:rPr>
          <w:rFonts w:ascii="Times New Roman" w:eastAsia="Times New Roman" w:hAnsi="Times New Roman" w:cs="Times New Roman"/>
          <w:lang w:val="ro-MD"/>
        </w:rPr>
        <w:t xml:space="preserve">instituie </w:t>
      </w:r>
      <w:proofErr w:type="spellStart"/>
      <w:r w:rsidR="00F54D65" w:rsidRPr="000508B6">
        <w:rPr>
          <w:rFonts w:ascii="Times New Roman" w:eastAsia="Times New Roman" w:hAnsi="Times New Roman" w:cs="Times New Roman"/>
          <w:lang w:val="ro-MD"/>
        </w:rPr>
        <w:t>funcţia</w:t>
      </w:r>
      <w:proofErr w:type="spellEnd"/>
      <w:r w:rsidR="00F54D65" w:rsidRPr="000508B6">
        <w:rPr>
          <w:rFonts w:ascii="Times New Roman" w:eastAsia="Times New Roman" w:hAnsi="Times New Roman" w:cs="Times New Roman"/>
          <w:lang w:val="ro-MD"/>
        </w:rPr>
        <w:t xml:space="preserve"> de management al riscului, structurată astfel încât să faciliteze implementarea </w:t>
      </w:r>
      <w:proofErr w:type="spellStart"/>
      <w:r w:rsidR="00F54D65" w:rsidRPr="000508B6">
        <w:rPr>
          <w:rFonts w:ascii="Times New Roman" w:eastAsia="Times New Roman" w:hAnsi="Times New Roman" w:cs="Times New Roman"/>
          <w:lang w:val="ro-MD"/>
        </w:rPr>
        <w:t>funcţională</w:t>
      </w:r>
      <w:proofErr w:type="spellEnd"/>
      <w:r w:rsidR="00F54D65" w:rsidRPr="000508B6">
        <w:rPr>
          <w:rFonts w:ascii="Times New Roman" w:eastAsia="Times New Roman" w:hAnsi="Times New Roman" w:cs="Times New Roman"/>
          <w:lang w:val="ro-MD"/>
        </w:rPr>
        <w:t xml:space="preserve"> </w:t>
      </w:r>
      <w:proofErr w:type="spellStart"/>
      <w:r w:rsidR="00F54D65" w:rsidRPr="000508B6">
        <w:rPr>
          <w:rFonts w:ascii="Times New Roman" w:eastAsia="Times New Roman" w:hAnsi="Times New Roman" w:cs="Times New Roman"/>
          <w:lang w:val="ro-MD"/>
        </w:rPr>
        <w:t>şi</w:t>
      </w:r>
      <w:proofErr w:type="spellEnd"/>
      <w:r w:rsidR="00F54D65" w:rsidRPr="000508B6">
        <w:rPr>
          <w:rFonts w:ascii="Times New Roman" w:eastAsia="Times New Roman" w:hAnsi="Times New Roman" w:cs="Times New Roman"/>
          <w:lang w:val="ro-MD"/>
        </w:rPr>
        <w:t xml:space="preserve"> eficientă a sistemului de management al riscului</w:t>
      </w:r>
      <w:r w:rsidR="00BB103C" w:rsidRPr="000508B6">
        <w:rPr>
          <w:rFonts w:ascii="Times New Roman" w:eastAsia="Times New Roman" w:hAnsi="Times New Roman" w:cs="Times New Roman"/>
          <w:lang w:val="ro-MD"/>
        </w:rPr>
        <w:t>.</w:t>
      </w:r>
      <w:r w:rsidR="00B178DA" w:rsidRPr="000508B6">
        <w:rPr>
          <w:rFonts w:ascii="Times New Roman" w:eastAsia="Times New Roman" w:hAnsi="Times New Roman" w:cs="Times New Roman"/>
          <w:lang w:val="ro-MD"/>
        </w:rPr>
        <w:t xml:space="preserve"> </w:t>
      </w:r>
    </w:p>
    <w:p w14:paraId="3B6FA3FB" w14:textId="4999A082" w:rsidR="00F95829" w:rsidRPr="000508B6" w:rsidRDefault="00F95829" w:rsidP="00CF5AFA">
      <w:pPr>
        <w:pStyle w:val="Listparagraf"/>
        <w:numPr>
          <w:ilvl w:val="0"/>
          <w:numId w:val="10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aplică prima de echilibrare </w:t>
      </w:r>
      <w:proofErr w:type="spellStart"/>
      <w:r w:rsidRPr="000508B6">
        <w:rPr>
          <w:rFonts w:ascii="Times New Roman" w:eastAsia="Times New Roman" w:hAnsi="Times New Roman" w:cs="Times New Roman"/>
          <w:lang w:val="ro-MD"/>
        </w:rPr>
        <w:t>menţionată</w:t>
      </w:r>
      <w:proofErr w:type="spellEnd"/>
      <w:r w:rsidRPr="000508B6">
        <w:rPr>
          <w:rFonts w:ascii="Times New Roman" w:eastAsia="Times New Roman" w:hAnsi="Times New Roman" w:cs="Times New Roman"/>
          <w:lang w:val="ro-MD"/>
        </w:rPr>
        <w:t xml:space="preserve"> la art. </w:t>
      </w:r>
      <w:r w:rsidR="003F3ED0" w:rsidRPr="000508B6">
        <w:rPr>
          <w:rFonts w:ascii="Times New Roman" w:eastAsia="Times New Roman" w:hAnsi="Times New Roman" w:cs="Times New Roman"/>
          <w:lang w:val="ro-MD"/>
        </w:rPr>
        <w:t>4</w:t>
      </w:r>
      <w:r w:rsidR="00D61A11"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 xml:space="preserve"> sau prima de volatilitate </w:t>
      </w:r>
      <w:proofErr w:type="spellStart"/>
      <w:r w:rsidRPr="000508B6">
        <w:rPr>
          <w:rFonts w:ascii="Times New Roman" w:eastAsia="Times New Roman" w:hAnsi="Times New Roman" w:cs="Times New Roman"/>
          <w:lang w:val="ro-MD"/>
        </w:rPr>
        <w:t>menţionată</w:t>
      </w:r>
      <w:proofErr w:type="spellEnd"/>
      <w:r w:rsidRPr="000508B6">
        <w:rPr>
          <w:rFonts w:ascii="Times New Roman" w:eastAsia="Times New Roman" w:hAnsi="Times New Roman" w:cs="Times New Roman"/>
          <w:lang w:val="ro-MD"/>
        </w:rPr>
        <w:t xml:space="preserve"> la art. </w:t>
      </w:r>
      <w:r w:rsidR="003F3ED0" w:rsidRPr="000508B6">
        <w:rPr>
          <w:rFonts w:ascii="Times New Roman" w:eastAsia="Times New Roman" w:hAnsi="Times New Roman" w:cs="Times New Roman"/>
          <w:lang w:val="ro-MD"/>
        </w:rPr>
        <w:t>4</w:t>
      </w:r>
      <w:r w:rsidR="00D61A11"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 xml:space="preserve">, </w:t>
      </w:r>
      <w:r w:rsidR="009F0C40" w:rsidRPr="000508B6">
        <w:rPr>
          <w:rFonts w:ascii="Times New Roman" w:eastAsia="Times New Roman" w:hAnsi="Times New Roman" w:cs="Times New Roman"/>
          <w:lang w:val="ro-MD"/>
        </w:rPr>
        <w:t xml:space="preserve">asigurătorul sau </w:t>
      </w:r>
      <w:proofErr w:type="spellStart"/>
      <w:r w:rsidR="009F0C40" w:rsidRPr="000508B6">
        <w:rPr>
          <w:rFonts w:ascii="Times New Roman" w:eastAsia="Times New Roman" w:hAnsi="Times New Roman" w:cs="Times New Roman"/>
          <w:lang w:val="ro-MD"/>
        </w:rPr>
        <w:t>reasigurătorul</w:t>
      </w:r>
      <w:proofErr w:type="spellEnd"/>
      <w:r w:rsidR="009F0C40" w:rsidRPr="000508B6">
        <w:rPr>
          <w:rFonts w:ascii="Times New Roman" w:eastAsia="Times New Roman" w:hAnsi="Times New Roman" w:cs="Times New Roman"/>
          <w:lang w:val="ro-MD"/>
        </w:rPr>
        <w:t xml:space="preserve"> </w:t>
      </w:r>
      <w:r w:rsidR="008F1187" w:rsidRPr="000508B6">
        <w:rPr>
          <w:rFonts w:ascii="Times New Roman" w:eastAsia="Times New Roman" w:hAnsi="Times New Roman" w:cs="Times New Roman"/>
          <w:lang w:val="ro-MD"/>
        </w:rPr>
        <w:t>întocme</w:t>
      </w:r>
      <w:r w:rsidR="004A2B9F" w:rsidRPr="000508B6">
        <w:rPr>
          <w:rFonts w:ascii="Times New Roman" w:eastAsia="Times New Roman" w:hAnsi="Times New Roman" w:cs="Times New Roman"/>
          <w:lang w:val="ro-MD"/>
        </w:rPr>
        <w:t>ște</w:t>
      </w:r>
      <w:r w:rsidR="008F118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un plan de lichiditate</w:t>
      </w:r>
      <w:r w:rsidR="00F651A5"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F651A5" w:rsidRPr="000508B6">
        <w:rPr>
          <w:rFonts w:ascii="Times New Roman" w:eastAsia="Times New Roman" w:hAnsi="Times New Roman" w:cs="Times New Roman"/>
          <w:lang w:val="ro-MD"/>
        </w:rPr>
        <w:t>inclusiv o prognoză a</w:t>
      </w:r>
      <w:r w:rsidRPr="000508B6">
        <w:rPr>
          <w:rFonts w:ascii="Times New Roman" w:eastAsia="Times New Roman" w:hAnsi="Times New Roman" w:cs="Times New Roman"/>
          <w:lang w:val="ro-MD"/>
        </w:rPr>
        <w:t xml:space="preserve"> fluxurilor de </w:t>
      </w:r>
      <w:r w:rsidR="001F7014" w:rsidRPr="000508B6">
        <w:rPr>
          <w:rFonts w:ascii="Times New Roman" w:eastAsia="Times New Roman" w:hAnsi="Times New Roman" w:cs="Times New Roman"/>
          <w:lang w:val="ro-MD"/>
        </w:rPr>
        <w:t xml:space="preserve">trezorerie </w:t>
      </w:r>
      <w:r w:rsidRPr="000508B6">
        <w:rPr>
          <w:rFonts w:ascii="Times New Roman" w:eastAsia="Times New Roman" w:hAnsi="Times New Roman" w:cs="Times New Roman"/>
          <w:lang w:val="ro-MD"/>
        </w:rPr>
        <w:t xml:space="preserve">de intrare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ieşire</w:t>
      </w:r>
      <w:proofErr w:type="spellEnd"/>
      <w:r w:rsidR="00F651A5" w:rsidRPr="000508B6">
        <w:rPr>
          <w:rFonts w:ascii="Times New Roman" w:eastAsia="Times New Roman" w:hAnsi="Times New Roman" w:cs="Times New Roman"/>
          <w:lang w:val="ro-MD"/>
        </w:rPr>
        <w:t xml:space="preserve"> </w:t>
      </w:r>
      <w:r w:rsidR="007E46C0" w:rsidRPr="000508B6">
        <w:rPr>
          <w:rFonts w:ascii="Times New Roman" w:eastAsia="Times New Roman" w:hAnsi="Times New Roman" w:cs="Times New Roman"/>
          <w:lang w:val="ro-MD"/>
        </w:rPr>
        <w:t>legate</w:t>
      </w:r>
      <w:r w:rsidR="00F55D2D" w:rsidRPr="000508B6">
        <w:rPr>
          <w:rFonts w:ascii="Times New Roman" w:eastAsia="Times New Roman" w:hAnsi="Times New Roman" w:cs="Times New Roman"/>
          <w:lang w:val="ro-MD"/>
        </w:rPr>
        <w:t xml:space="preserve"> </w:t>
      </w:r>
      <w:r w:rsidR="007E46C0" w:rsidRPr="000508B6">
        <w:rPr>
          <w:rFonts w:ascii="Times New Roman" w:eastAsia="Times New Roman" w:hAnsi="Times New Roman" w:cs="Times New Roman"/>
          <w:lang w:val="ro-MD"/>
        </w:rPr>
        <w:t xml:space="preserve">de </w:t>
      </w:r>
      <w:r w:rsidR="00F651A5" w:rsidRPr="000508B6">
        <w:rPr>
          <w:rFonts w:ascii="Times New Roman" w:eastAsia="Times New Roman" w:hAnsi="Times New Roman" w:cs="Times New Roman"/>
          <w:lang w:val="ro-MD"/>
        </w:rPr>
        <w:t xml:space="preserve">activele și </w:t>
      </w:r>
      <w:r w:rsidR="007E46C0" w:rsidRPr="000508B6">
        <w:rPr>
          <w:rFonts w:ascii="Times New Roman" w:eastAsia="Times New Roman" w:hAnsi="Times New Roman" w:cs="Times New Roman"/>
          <w:lang w:val="ro-MD"/>
        </w:rPr>
        <w:t>obligațiile</w:t>
      </w:r>
      <w:r w:rsidRPr="000508B6">
        <w:rPr>
          <w:rFonts w:ascii="Times New Roman" w:eastAsia="Times New Roman" w:hAnsi="Times New Roman" w:cs="Times New Roman"/>
          <w:lang w:val="ro-MD"/>
        </w:rPr>
        <w:t>, la care se aplică respectivele prime</w:t>
      </w:r>
      <w:r w:rsidR="00671CDA" w:rsidRPr="000508B6">
        <w:rPr>
          <w:rFonts w:ascii="Times New Roman" w:eastAsia="Times New Roman" w:hAnsi="Times New Roman" w:cs="Times New Roman"/>
          <w:lang w:val="ro-MD"/>
        </w:rPr>
        <w:t xml:space="preserve">, pe care îl pot combina </w:t>
      </w:r>
      <w:r w:rsidR="00F55D2D" w:rsidRPr="000508B6">
        <w:rPr>
          <w:rFonts w:ascii="Times New Roman" w:eastAsia="Times New Roman" w:hAnsi="Times New Roman" w:cs="Times New Roman"/>
          <w:lang w:val="ro-MD"/>
        </w:rPr>
        <w:t xml:space="preserve">cu </w:t>
      </w:r>
      <w:r w:rsidR="00671CDA" w:rsidRPr="000508B6">
        <w:rPr>
          <w:rFonts w:ascii="Times New Roman" w:eastAsia="Times New Roman" w:hAnsi="Times New Roman" w:cs="Times New Roman"/>
          <w:lang w:val="ro-MD"/>
        </w:rPr>
        <w:t>planul de management al riscului de lichiditate menționat la art. 26 alin. (2)</w:t>
      </w:r>
      <w:r w:rsidRPr="000508B6">
        <w:rPr>
          <w:rFonts w:ascii="Times New Roman" w:eastAsia="Times New Roman" w:hAnsi="Times New Roman" w:cs="Times New Roman"/>
          <w:lang w:val="ro-MD"/>
        </w:rPr>
        <w:t>.</w:t>
      </w:r>
    </w:p>
    <w:p w14:paraId="01F17BF2" w14:textId="6EA6EA2F" w:rsidR="00702715" w:rsidRPr="000508B6" w:rsidRDefault="004125E8" w:rsidP="00297095">
      <w:pPr>
        <w:pStyle w:val="Listparagraf"/>
        <w:numPr>
          <w:ilvl w:val="0"/>
          <w:numId w:val="108"/>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9B3AFC" w:rsidRPr="000508B6">
        <w:rPr>
          <w:rFonts w:ascii="Times New Roman" w:eastAsia="Times New Roman" w:hAnsi="Times New Roman" w:cs="Times New Roman"/>
          <w:lang w:val="ro-MD"/>
        </w:rPr>
        <w:t xml:space="preserve"> </w:t>
      </w:r>
      <w:r w:rsidR="000D230C" w:rsidRPr="000508B6">
        <w:rPr>
          <w:rFonts w:ascii="Times New Roman" w:eastAsia="Times New Roman" w:hAnsi="Times New Roman" w:cs="Times New Roman"/>
          <w:lang w:val="ro-MD"/>
        </w:rPr>
        <w:t xml:space="preserve">care </w:t>
      </w:r>
      <w:r w:rsidR="001C15D8" w:rsidRPr="000508B6">
        <w:rPr>
          <w:rFonts w:ascii="Times New Roman" w:eastAsia="Times New Roman" w:hAnsi="Times New Roman" w:cs="Times New Roman"/>
          <w:lang w:val="ro-MD"/>
        </w:rPr>
        <w:t xml:space="preserve">aplică prima de volatilitate menționată la art. </w:t>
      </w:r>
      <w:r w:rsidR="00167FF4" w:rsidRPr="000508B6">
        <w:rPr>
          <w:rFonts w:ascii="Times New Roman" w:eastAsia="Times New Roman" w:hAnsi="Times New Roman" w:cs="Times New Roman"/>
          <w:lang w:val="ro-MD"/>
        </w:rPr>
        <w:t>47</w:t>
      </w:r>
      <w:r w:rsidR="001C15D8" w:rsidRPr="000508B6">
        <w:rPr>
          <w:rFonts w:ascii="Times New Roman" w:eastAsia="Times New Roman" w:hAnsi="Times New Roman" w:cs="Times New Roman"/>
          <w:lang w:val="ro-MD"/>
        </w:rPr>
        <w:t xml:space="preserve">, </w:t>
      </w:r>
      <w:r w:rsidR="000D230C" w:rsidRPr="000508B6">
        <w:rPr>
          <w:rFonts w:ascii="Times New Roman" w:eastAsia="Times New Roman" w:hAnsi="Times New Roman" w:cs="Times New Roman"/>
          <w:lang w:val="ro-MD"/>
        </w:rPr>
        <w:t>ia în calcul atunci c</w:t>
      </w:r>
      <w:r w:rsidR="001018BD" w:rsidRPr="000508B6">
        <w:rPr>
          <w:rFonts w:ascii="Times New Roman" w:eastAsia="Times New Roman" w:hAnsi="Times New Roman" w:cs="Times New Roman"/>
          <w:lang w:val="ro-MD"/>
        </w:rPr>
        <w:t>â</w:t>
      </w:r>
      <w:r w:rsidR="000D230C" w:rsidRPr="000508B6">
        <w:rPr>
          <w:rFonts w:ascii="Times New Roman" w:eastAsia="Times New Roman" w:hAnsi="Times New Roman" w:cs="Times New Roman"/>
          <w:lang w:val="ro-MD"/>
        </w:rPr>
        <w:t xml:space="preserve">nd elaborează </w:t>
      </w:r>
      <w:r w:rsidR="001C15D8" w:rsidRPr="000508B6">
        <w:rPr>
          <w:rFonts w:ascii="Times New Roman" w:eastAsia="Times New Roman" w:hAnsi="Times New Roman" w:cs="Times New Roman"/>
          <w:lang w:val="ro-MD"/>
        </w:rPr>
        <w:t xml:space="preserve">planul de lichiditate </w:t>
      </w:r>
      <w:r w:rsidR="000D230C" w:rsidRPr="000508B6">
        <w:rPr>
          <w:rFonts w:ascii="Times New Roman" w:eastAsia="Times New Roman" w:hAnsi="Times New Roman" w:cs="Times New Roman"/>
          <w:lang w:val="ro-MD"/>
        </w:rPr>
        <w:t xml:space="preserve">prevăzut la alin. (5) </w:t>
      </w:r>
      <w:r w:rsidR="001C15D8" w:rsidRPr="000508B6">
        <w:rPr>
          <w:rFonts w:ascii="Times New Roman" w:eastAsia="Times New Roman" w:hAnsi="Times New Roman" w:cs="Times New Roman"/>
          <w:lang w:val="ro-MD"/>
        </w:rPr>
        <w:t xml:space="preserve">și evaluează dacă pot apărea </w:t>
      </w:r>
      <w:r w:rsidR="00D356D1" w:rsidRPr="000508B6">
        <w:rPr>
          <w:rFonts w:ascii="Times New Roman" w:eastAsia="Times New Roman" w:hAnsi="Times New Roman" w:cs="Times New Roman"/>
          <w:lang w:val="ro-MD"/>
        </w:rPr>
        <w:t xml:space="preserve">deficite </w:t>
      </w:r>
      <w:r w:rsidR="001C15D8" w:rsidRPr="000508B6">
        <w:rPr>
          <w:rFonts w:ascii="Times New Roman" w:eastAsia="Times New Roman" w:hAnsi="Times New Roman" w:cs="Times New Roman"/>
          <w:lang w:val="ro-MD"/>
        </w:rPr>
        <w:t xml:space="preserve">de lichiditate care nu </w:t>
      </w:r>
      <w:r w:rsidR="00FF439C" w:rsidRPr="000508B6">
        <w:rPr>
          <w:rFonts w:ascii="Times New Roman" w:eastAsia="Times New Roman" w:hAnsi="Times New Roman" w:cs="Times New Roman"/>
          <w:lang w:val="ro-MD"/>
        </w:rPr>
        <w:t>justifică</w:t>
      </w:r>
      <w:r w:rsidR="000D230C" w:rsidRPr="000508B6">
        <w:rPr>
          <w:rFonts w:ascii="Times New Roman" w:eastAsia="Times New Roman" w:hAnsi="Times New Roman" w:cs="Times New Roman"/>
          <w:lang w:val="ro-MD"/>
        </w:rPr>
        <w:t xml:space="preserve"> </w:t>
      </w:r>
      <w:r w:rsidR="001C15D8" w:rsidRPr="000508B6">
        <w:rPr>
          <w:rFonts w:ascii="Times New Roman" w:eastAsia="Times New Roman" w:hAnsi="Times New Roman" w:cs="Times New Roman"/>
          <w:lang w:val="ro-MD"/>
        </w:rPr>
        <w:t>utilizarea primei de volatilitate</w:t>
      </w:r>
      <w:r w:rsidR="000D11DE" w:rsidRPr="000508B6">
        <w:rPr>
          <w:rFonts w:ascii="Times New Roman" w:eastAsia="Times New Roman" w:hAnsi="Times New Roman" w:cs="Times New Roman"/>
          <w:lang w:val="ro-MD"/>
        </w:rPr>
        <w:t>.</w:t>
      </w:r>
      <w:r w:rsidR="00F82F88" w:rsidRPr="000508B6">
        <w:rPr>
          <w:rFonts w:ascii="Times New Roman" w:eastAsia="Times New Roman" w:hAnsi="Times New Roman" w:cs="Times New Roman"/>
          <w:lang w:val="ro-MD"/>
        </w:rPr>
        <w:t xml:space="preserve"> </w:t>
      </w:r>
    </w:p>
    <w:p w14:paraId="282CA4D1" w14:textId="5236EC86" w:rsidR="00702715" w:rsidRPr="000508B6" w:rsidRDefault="00025B9C" w:rsidP="00297095">
      <w:pPr>
        <w:pStyle w:val="Listparagraf"/>
        <w:numPr>
          <w:ilvl w:val="0"/>
          <w:numId w:val="108"/>
        </w:numPr>
        <w:tabs>
          <w:tab w:val="left" w:pos="709"/>
          <w:tab w:val="left" w:pos="851"/>
        </w:tabs>
        <w:spacing w:after="0" w:line="240" w:lineRule="auto"/>
        <w:ind w:left="0" w:firstLine="426"/>
        <w:jc w:val="both"/>
        <w:rPr>
          <w:rFonts w:ascii="Times New Roman" w:eastAsia="Times New Roman" w:hAnsi="Times New Roman" w:cs="Times New Roman"/>
          <w:lang w:val="ro-MD"/>
        </w:rPr>
      </w:pPr>
      <w:bookmarkStart w:id="78" w:name="_Hlk203631700"/>
      <w:r w:rsidRPr="000508B6">
        <w:rPr>
          <w:rFonts w:ascii="Times New Roman" w:eastAsia="Times New Roman" w:hAnsi="Times New Roman" w:cs="Times New Roman"/>
          <w:lang w:val="ro-MD"/>
        </w:rPr>
        <w:t>Atunci când evaluează riscurile legate de durabilitate</w:t>
      </w:r>
      <w:r w:rsidR="000206B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AA7F3F" w:rsidRPr="000508B6">
        <w:rPr>
          <w:rFonts w:ascii="Times New Roman" w:eastAsia="Times New Roman" w:hAnsi="Times New Roman" w:cs="Times New Roman"/>
          <w:lang w:val="ro-MD"/>
        </w:rPr>
        <w:t xml:space="preserve">ține seama de orizontul pe termen scurt, mediu și lung și </w:t>
      </w:r>
      <w:r w:rsidRPr="000508B6">
        <w:rPr>
          <w:rFonts w:ascii="Times New Roman" w:eastAsia="Times New Roman" w:hAnsi="Times New Roman" w:cs="Times New Roman"/>
          <w:lang w:val="ro-MD"/>
        </w:rPr>
        <w:t xml:space="preserve">elaborează strategii, politici, procese și sisteme pentru identificarea, măsurarea, gestionarea și monitorizarea riscurilor </w:t>
      </w:r>
      <w:r w:rsidR="004B1CF4" w:rsidRPr="000508B6">
        <w:rPr>
          <w:rFonts w:ascii="Times New Roman" w:eastAsia="Times New Roman" w:hAnsi="Times New Roman" w:cs="Times New Roman"/>
          <w:lang w:val="ro-MD"/>
        </w:rPr>
        <w:t>legate de durabilitate pe termenele respective</w:t>
      </w:r>
      <w:r w:rsidR="00702715" w:rsidRPr="000508B6">
        <w:rPr>
          <w:rFonts w:ascii="Times New Roman" w:eastAsia="Times New Roman" w:hAnsi="Times New Roman" w:cs="Times New Roman"/>
          <w:lang w:val="ro-MD"/>
        </w:rPr>
        <w:t>.</w:t>
      </w:r>
    </w:p>
    <w:bookmarkEnd w:id="78"/>
    <w:p w14:paraId="44F2AFF9" w14:textId="639654A0" w:rsidR="00F95829" w:rsidRPr="000508B6" w:rsidRDefault="00F95829" w:rsidP="00297095">
      <w:pPr>
        <w:pStyle w:val="Listparagraf"/>
        <w:numPr>
          <w:ilvl w:val="0"/>
          <w:numId w:val="108"/>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ceea ce </w:t>
      </w:r>
      <w:proofErr w:type="spellStart"/>
      <w:r w:rsidRPr="000508B6">
        <w:rPr>
          <w:rFonts w:ascii="Times New Roman" w:eastAsia="Times New Roman" w:hAnsi="Times New Roman" w:cs="Times New Roman"/>
          <w:lang w:val="ro-MD"/>
        </w:rPr>
        <w:t>priveşte</w:t>
      </w:r>
      <w:proofErr w:type="spellEnd"/>
      <w:r w:rsidRPr="000508B6">
        <w:rPr>
          <w:rFonts w:ascii="Times New Roman" w:eastAsia="Times New Roman" w:hAnsi="Times New Roman" w:cs="Times New Roman"/>
          <w:lang w:val="ro-MD"/>
        </w:rPr>
        <w:t xml:space="preserve"> managementul </w:t>
      </w:r>
      <w:r w:rsidR="000D230C" w:rsidRPr="000508B6">
        <w:rPr>
          <w:rFonts w:ascii="Times New Roman" w:eastAsia="Times New Roman" w:hAnsi="Times New Roman" w:cs="Times New Roman"/>
          <w:lang w:val="ro-MD"/>
        </w:rPr>
        <w:t>active</w:t>
      </w:r>
      <w:r w:rsidR="00E66C39">
        <w:rPr>
          <w:rFonts w:ascii="Times New Roman" w:eastAsia="Times New Roman" w:hAnsi="Times New Roman" w:cs="Times New Roman"/>
          <w:lang w:val="ro-MD"/>
        </w:rPr>
        <w:t xml:space="preserve">lor și </w:t>
      </w:r>
      <w:r w:rsidR="000D230C" w:rsidRPr="000508B6">
        <w:rPr>
          <w:rFonts w:ascii="Times New Roman" w:eastAsia="Times New Roman" w:hAnsi="Times New Roman" w:cs="Times New Roman"/>
          <w:lang w:val="ro-MD"/>
        </w:rPr>
        <w:t>obligații</w:t>
      </w:r>
      <w:r w:rsidR="00E66C39">
        <w:rPr>
          <w:rFonts w:ascii="Times New Roman" w:eastAsia="Times New Roman" w:hAnsi="Times New Roman" w:cs="Times New Roman"/>
          <w:lang w:val="ro-MD"/>
        </w:rPr>
        <w:t>lor</w:t>
      </w:r>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evaluează periodic:</w:t>
      </w:r>
    </w:p>
    <w:p w14:paraId="2D55AA7E" w14:textId="5E655109" w:rsidR="00F95829" w:rsidRPr="000508B6" w:rsidRDefault="000D230C" w:rsidP="00382433">
      <w:pPr>
        <w:pStyle w:val="Listparagraf"/>
        <w:numPr>
          <w:ilvl w:val="2"/>
          <w:numId w:val="108"/>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pentru extrapolarea structurii temporale a ratei dobânzilor fără risc prevăzute la art. 44, </w:t>
      </w:r>
      <w:proofErr w:type="spellStart"/>
      <w:r w:rsidR="00F95829" w:rsidRPr="000508B6">
        <w:rPr>
          <w:rFonts w:ascii="Times New Roman" w:eastAsia="Times New Roman" w:hAnsi="Times New Roman" w:cs="Times New Roman"/>
          <w:lang w:val="ro-MD"/>
        </w:rPr>
        <w:t>senzitivitatea</w:t>
      </w:r>
      <w:proofErr w:type="spellEnd"/>
      <w:r w:rsidR="00F95829" w:rsidRPr="000508B6">
        <w:rPr>
          <w:rFonts w:ascii="Times New Roman" w:eastAsia="Times New Roman" w:hAnsi="Times New Roman" w:cs="Times New Roman"/>
          <w:lang w:val="ro-MD"/>
        </w:rPr>
        <w:t xml:space="preserve"> rezervelor tehnice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fondurilor proprii eligibile</w:t>
      </w:r>
      <w:r w:rsidRPr="000508B6">
        <w:rPr>
          <w:rFonts w:ascii="Times New Roman" w:eastAsia="Times New Roman" w:hAnsi="Times New Roman" w:cs="Times New Roman"/>
          <w:lang w:val="ro-MD"/>
        </w:rPr>
        <w:t xml:space="preserve"> la </w:t>
      </w:r>
      <w:r w:rsidR="00F95829" w:rsidRPr="000508B6">
        <w:rPr>
          <w:rFonts w:ascii="Times New Roman" w:eastAsia="Times New Roman" w:hAnsi="Times New Roman" w:cs="Times New Roman"/>
          <w:lang w:val="ro-MD"/>
        </w:rPr>
        <w:t>ipotezele care stau la baza</w:t>
      </w:r>
      <w:r w:rsidR="00C0785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acesteia</w:t>
      </w:r>
      <w:r w:rsidR="00F95829" w:rsidRPr="000508B6">
        <w:rPr>
          <w:rFonts w:ascii="Times New Roman" w:eastAsia="Times New Roman" w:hAnsi="Times New Roman" w:cs="Times New Roman"/>
          <w:lang w:val="ro-MD"/>
        </w:rPr>
        <w:t>;</w:t>
      </w:r>
    </w:p>
    <w:p w14:paraId="4A7A5EBE" w14:textId="7DA3428A" w:rsidR="00F95829" w:rsidRPr="000508B6" w:rsidRDefault="00F95829" w:rsidP="00382433">
      <w:pPr>
        <w:pStyle w:val="Listparagraf"/>
        <w:numPr>
          <w:ilvl w:val="2"/>
          <w:numId w:val="108"/>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aplică prima de echilibrare prevăzută la art. </w:t>
      </w:r>
      <w:r w:rsidR="003F3ED0" w:rsidRPr="000508B6">
        <w:rPr>
          <w:rFonts w:ascii="Times New Roman" w:eastAsia="Times New Roman" w:hAnsi="Times New Roman" w:cs="Times New Roman"/>
          <w:lang w:val="ro-MD"/>
        </w:rPr>
        <w:t>4</w:t>
      </w:r>
      <w:r w:rsidR="00D61A11"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w:t>
      </w:r>
    </w:p>
    <w:p w14:paraId="539176FD" w14:textId="0E0A6651" w:rsidR="00F95829" w:rsidRPr="000508B6" w:rsidRDefault="00D5071A" w:rsidP="00382433">
      <w:pPr>
        <w:pStyle w:val="Listparagraf"/>
        <w:numPr>
          <w:ilvl w:val="3"/>
          <w:numId w:val="108"/>
        </w:numPr>
        <w:tabs>
          <w:tab w:val="left" w:pos="709"/>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proofErr w:type="spellStart"/>
      <w:r w:rsidR="001C15D8" w:rsidRPr="000508B6">
        <w:rPr>
          <w:rFonts w:ascii="Times New Roman" w:eastAsia="Times New Roman" w:hAnsi="Times New Roman" w:cs="Times New Roman"/>
          <w:lang w:val="ro-MD"/>
        </w:rPr>
        <w:t>senzitivitatea</w:t>
      </w:r>
      <w:proofErr w:type="spellEnd"/>
      <w:r w:rsidR="001C15D8" w:rsidRPr="000508B6">
        <w:rPr>
          <w:rFonts w:ascii="Times New Roman" w:eastAsia="Times New Roman" w:hAnsi="Times New Roman" w:cs="Times New Roman"/>
          <w:lang w:val="ro-MD"/>
        </w:rPr>
        <w:t xml:space="preserve"> rezervelor lor tehnice și a fondurilor proprii eligibile la ipotezele care stau la baza calculului primei de echilibrare, inclusiv a calculului marjei de credit istorice menționate la art</w:t>
      </w:r>
      <w:r w:rsidR="004A71F1" w:rsidRPr="000508B6">
        <w:rPr>
          <w:rFonts w:ascii="Times New Roman" w:eastAsia="Times New Roman" w:hAnsi="Times New Roman" w:cs="Times New Roman"/>
          <w:lang w:val="ro-MD"/>
        </w:rPr>
        <w:t>.</w:t>
      </w:r>
      <w:r w:rsidR="001C15D8" w:rsidRPr="000508B6">
        <w:rPr>
          <w:rFonts w:ascii="Times New Roman" w:eastAsia="Times New Roman" w:hAnsi="Times New Roman" w:cs="Times New Roman"/>
          <w:lang w:val="ro-MD"/>
        </w:rPr>
        <w:t xml:space="preserve"> </w:t>
      </w:r>
      <w:r w:rsidR="00971516" w:rsidRPr="000508B6">
        <w:rPr>
          <w:rFonts w:ascii="Times New Roman" w:eastAsia="Times New Roman" w:hAnsi="Times New Roman" w:cs="Times New Roman"/>
          <w:lang w:val="ro-MD"/>
        </w:rPr>
        <w:t>46</w:t>
      </w:r>
      <w:r w:rsidR="001C15D8" w:rsidRPr="000508B6">
        <w:rPr>
          <w:rFonts w:ascii="Times New Roman" w:eastAsia="Times New Roman" w:hAnsi="Times New Roman" w:cs="Times New Roman"/>
          <w:lang w:val="ro-MD"/>
        </w:rPr>
        <w:t xml:space="preserve"> alin.</w:t>
      </w:r>
      <w:r w:rsidR="00C00339" w:rsidRPr="000508B6">
        <w:rPr>
          <w:rFonts w:ascii="Times New Roman" w:eastAsia="Times New Roman" w:hAnsi="Times New Roman" w:cs="Times New Roman"/>
          <w:lang w:val="ro-MD"/>
        </w:rPr>
        <w:t xml:space="preserve"> </w:t>
      </w:r>
      <w:r w:rsidR="001C15D8" w:rsidRPr="000508B6">
        <w:rPr>
          <w:rFonts w:ascii="Times New Roman" w:eastAsia="Times New Roman" w:hAnsi="Times New Roman" w:cs="Times New Roman"/>
          <w:lang w:val="ro-MD"/>
        </w:rPr>
        <w:t>(</w:t>
      </w:r>
      <w:r w:rsidR="00971516" w:rsidRPr="000508B6">
        <w:rPr>
          <w:rFonts w:ascii="Times New Roman" w:eastAsia="Times New Roman" w:hAnsi="Times New Roman" w:cs="Times New Roman"/>
          <w:lang w:val="ro-MD"/>
        </w:rPr>
        <w:t>1</w:t>
      </w:r>
      <w:r w:rsidR="001C15D8" w:rsidRPr="000508B6">
        <w:rPr>
          <w:rFonts w:ascii="Times New Roman" w:eastAsia="Times New Roman" w:hAnsi="Times New Roman" w:cs="Times New Roman"/>
          <w:lang w:val="ro-MD"/>
        </w:rPr>
        <w:t>) lit.</w:t>
      </w:r>
      <w:r w:rsidR="00C00339" w:rsidRPr="000508B6">
        <w:rPr>
          <w:rFonts w:ascii="Times New Roman" w:eastAsia="Times New Roman" w:hAnsi="Times New Roman" w:cs="Times New Roman"/>
          <w:lang w:val="ro-MD"/>
        </w:rPr>
        <w:t xml:space="preserve"> </w:t>
      </w:r>
      <w:r w:rsidR="001C15D8" w:rsidRPr="000508B6">
        <w:rPr>
          <w:rFonts w:ascii="Times New Roman" w:eastAsia="Times New Roman" w:hAnsi="Times New Roman" w:cs="Times New Roman"/>
          <w:lang w:val="ro-MD"/>
        </w:rPr>
        <w:t>b);</w:t>
      </w:r>
    </w:p>
    <w:p w14:paraId="0E8EAB32" w14:textId="382E19E7" w:rsidR="00F95829" w:rsidRPr="000508B6" w:rsidRDefault="00F95829" w:rsidP="00297095">
      <w:pPr>
        <w:pStyle w:val="Listparagraf"/>
        <w:numPr>
          <w:ilvl w:val="3"/>
          <w:numId w:val="108"/>
        </w:numPr>
        <w:tabs>
          <w:tab w:val="left" w:pos="709"/>
        </w:tabs>
        <w:spacing w:after="0" w:line="240" w:lineRule="auto"/>
        <w:ind w:left="0" w:firstLine="567"/>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senzitivitatea</w:t>
      </w:r>
      <w:proofErr w:type="spellEnd"/>
      <w:r w:rsidRPr="000508B6">
        <w:rPr>
          <w:rFonts w:ascii="Times New Roman" w:eastAsia="Times New Roman" w:hAnsi="Times New Roman" w:cs="Times New Roman"/>
          <w:lang w:val="ro-MD"/>
        </w:rPr>
        <w:t xml:space="preserve"> rezervelor tehnice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fondurilor proprii eligibile la modificările structurii portofoliului de active alocat;</w:t>
      </w:r>
    </w:p>
    <w:p w14:paraId="122C47FA" w14:textId="4003EA5F" w:rsidR="00976FCC" w:rsidRPr="000508B6" w:rsidRDefault="003E4DB8" w:rsidP="00297095">
      <w:pPr>
        <w:pStyle w:val="Listparagraf"/>
        <w:numPr>
          <w:ilvl w:val="2"/>
          <w:numId w:val="108"/>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BC0339" w:rsidRPr="000508B6">
        <w:rPr>
          <w:rFonts w:ascii="Times New Roman" w:eastAsia="Times New Roman" w:hAnsi="Times New Roman" w:cs="Times New Roman"/>
          <w:lang w:val="ro-MD"/>
        </w:rPr>
        <w:t xml:space="preserve">în cazul în care se aplică prima de volatilitate menționată la art. </w:t>
      </w:r>
      <w:r w:rsidR="000F0983" w:rsidRPr="000508B6">
        <w:rPr>
          <w:rFonts w:ascii="Times New Roman" w:eastAsia="Times New Roman" w:hAnsi="Times New Roman" w:cs="Times New Roman"/>
          <w:lang w:val="ro-MD"/>
        </w:rPr>
        <w:t>47</w:t>
      </w:r>
      <w:r w:rsidR="00BC0339" w:rsidRPr="000508B6">
        <w:rPr>
          <w:rFonts w:ascii="Times New Roman" w:eastAsia="Times New Roman" w:hAnsi="Times New Roman" w:cs="Times New Roman"/>
          <w:lang w:val="ro-MD"/>
        </w:rPr>
        <w:t xml:space="preserve">, </w:t>
      </w:r>
      <w:proofErr w:type="spellStart"/>
      <w:r w:rsidR="00BC0339" w:rsidRPr="000508B6">
        <w:rPr>
          <w:rFonts w:ascii="Times New Roman" w:eastAsia="Times New Roman" w:hAnsi="Times New Roman" w:cs="Times New Roman"/>
          <w:lang w:val="ro-MD"/>
        </w:rPr>
        <w:t>senzitivitatea</w:t>
      </w:r>
      <w:proofErr w:type="spellEnd"/>
      <w:r w:rsidR="00BC0339" w:rsidRPr="000508B6">
        <w:rPr>
          <w:rFonts w:ascii="Times New Roman" w:eastAsia="Times New Roman" w:hAnsi="Times New Roman" w:cs="Times New Roman"/>
          <w:lang w:val="ro-MD"/>
        </w:rPr>
        <w:t xml:space="preserve"> rezervelor tehnice și a fondurilor proprii eligibile la modificările condițiilor economice care </w:t>
      </w:r>
      <w:r w:rsidR="00FF439C" w:rsidRPr="000508B6">
        <w:rPr>
          <w:rFonts w:ascii="Times New Roman" w:eastAsia="Times New Roman" w:hAnsi="Times New Roman" w:cs="Times New Roman"/>
          <w:lang w:val="ro-MD"/>
        </w:rPr>
        <w:t>afectează</w:t>
      </w:r>
      <w:r w:rsidR="00BC0339" w:rsidRPr="000508B6">
        <w:rPr>
          <w:rFonts w:ascii="Times New Roman" w:eastAsia="Times New Roman" w:hAnsi="Times New Roman" w:cs="Times New Roman"/>
          <w:lang w:val="ro-MD"/>
        </w:rPr>
        <w:t xml:space="preserve"> marja corectată în funcție de risc menționată la </w:t>
      </w:r>
      <w:r w:rsidR="00A17A9E" w:rsidRPr="000508B6">
        <w:rPr>
          <w:rFonts w:ascii="Times New Roman" w:eastAsia="Times New Roman" w:hAnsi="Times New Roman" w:cs="Times New Roman"/>
          <w:lang w:val="ro-MD"/>
        </w:rPr>
        <w:t xml:space="preserve">Anexa </w:t>
      </w:r>
      <w:r w:rsidR="000D230C" w:rsidRPr="000508B6">
        <w:rPr>
          <w:rFonts w:ascii="Times New Roman" w:eastAsia="Times New Roman" w:hAnsi="Times New Roman" w:cs="Times New Roman"/>
          <w:lang w:val="ro-MD"/>
        </w:rPr>
        <w:t xml:space="preserve">nr. </w:t>
      </w:r>
      <w:r w:rsidR="002F0D08" w:rsidRPr="000508B6">
        <w:rPr>
          <w:rFonts w:ascii="Times New Roman" w:eastAsia="Times New Roman" w:hAnsi="Times New Roman" w:cs="Times New Roman"/>
          <w:lang w:val="ro-MD"/>
        </w:rPr>
        <w:t>4 pct.1</w:t>
      </w:r>
      <w:r w:rsidR="00C00339" w:rsidRPr="000508B6">
        <w:rPr>
          <w:rFonts w:ascii="Times New Roman" w:eastAsia="Times New Roman" w:hAnsi="Times New Roman" w:cs="Times New Roman"/>
          <w:lang w:val="ro-MD"/>
        </w:rPr>
        <w:t xml:space="preserve">) </w:t>
      </w:r>
      <w:proofErr w:type="spellStart"/>
      <w:r w:rsidR="002F0D08" w:rsidRPr="000508B6">
        <w:rPr>
          <w:rFonts w:ascii="Times New Roman" w:eastAsia="Times New Roman" w:hAnsi="Times New Roman" w:cs="Times New Roman"/>
          <w:lang w:val="ro-MD"/>
        </w:rPr>
        <w:t>lit.c</w:t>
      </w:r>
      <w:proofErr w:type="spellEnd"/>
      <w:r w:rsidR="002F0D08" w:rsidRPr="000508B6">
        <w:rPr>
          <w:rFonts w:ascii="Times New Roman" w:eastAsia="Times New Roman" w:hAnsi="Times New Roman" w:cs="Times New Roman"/>
          <w:lang w:val="ro-MD"/>
        </w:rPr>
        <w:t>)</w:t>
      </w:r>
      <w:r w:rsidR="00BC0339" w:rsidRPr="000508B6">
        <w:rPr>
          <w:rFonts w:ascii="Times New Roman" w:eastAsia="Times New Roman" w:hAnsi="Times New Roman" w:cs="Times New Roman"/>
          <w:lang w:val="ro-MD"/>
        </w:rPr>
        <w:t>.</w:t>
      </w:r>
    </w:p>
    <w:p w14:paraId="4A74F8F0" w14:textId="254BF715" w:rsidR="00E07ECB" w:rsidRPr="000508B6" w:rsidRDefault="00A341CF" w:rsidP="00297095">
      <w:pPr>
        <w:pStyle w:val="Listparagraf"/>
        <w:numPr>
          <w:ilvl w:val="0"/>
          <w:numId w:val="108"/>
        </w:numPr>
        <w:tabs>
          <w:tab w:val="left" w:pos="426"/>
          <w:tab w:val="left" w:pos="709"/>
        </w:tabs>
        <w:spacing w:after="0" w:line="240" w:lineRule="auto"/>
        <w:ind w:left="0" w:firstLine="284"/>
        <w:jc w:val="both"/>
        <w:rPr>
          <w:rFonts w:ascii="Times New Roman" w:eastAsia="Times New Roman" w:hAnsi="Times New Roman" w:cs="Times New Roman"/>
          <w:lang w:val="ro-MD"/>
        </w:rPr>
      </w:pPr>
      <w:bookmarkStart w:id="79" w:name="_Hlk203631801"/>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124557" w:rsidRPr="000508B6">
        <w:rPr>
          <w:rFonts w:ascii="Times New Roman" w:eastAsia="Times New Roman" w:hAnsi="Times New Roman" w:cs="Times New Roman"/>
          <w:lang w:val="ro-MD"/>
        </w:rPr>
        <w:t>elaborează și monitorizează punerea în aplicare a unor planuri specifice care includ obiective cuantificabile și a unor procese pentru a monitoriza și a aborda</w:t>
      </w:r>
      <w:r w:rsidR="00E07ECB" w:rsidRPr="000508B6">
        <w:rPr>
          <w:rFonts w:ascii="Times New Roman" w:eastAsia="Times New Roman" w:hAnsi="Times New Roman" w:cs="Times New Roman"/>
          <w:lang w:val="ro-MD"/>
        </w:rPr>
        <w:t>:</w:t>
      </w:r>
    </w:p>
    <w:p w14:paraId="3A2D26F8" w14:textId="323C5BF0" w:rsidR="00E07ECB" w:rsidRPr="000508B6" w:rsidRDefault="00124557" w:rsidP="00E07ECB">
      <w:pPr>
        <w:pStyle w:val="Listparagraf"/>
        <w:numPr>
          <w:ilvl w:val="0"/>
          <w:numId w:val="44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riscurile financiare care decurg pe termen scurt, mediu și lung din factorii de durabilitate</w:t>
      </w:r>
      <w:r w:rsidR="00E07ECB" w:rsidRPr="000508B6">
        <w:rPr>
          <w:rFonts w:ascii="Times New Roman" w:eastAsia="Times New Roman" w:hAnsi="Times New Roman" w:cs="Times New Roman"/>
          <w:lang w:val="ro-MD"/>
        </w:rPr>
        <w:t>;</w:t>
      </w:r>
    </w:p>
    <w:p w14:paraId="6EAD5072" w14:textId="2D1B192F" w:rsidR="00124557" w:rsidRDefault="00E07ECB" w:rsidP="00E07ECB">
      <w:pPr>
        <w:pStyle w:val="Listparagraf"/>
        <w:numPr>
          <w:ilvl w:val="0"/>
          <w:numId w:val="44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riscurile</w:t>
      </w:r>
      <w:r w:rsidR="00124557" w:rsidRPr="000508B6">
        <w:rPr>
          <w:rFonts w:ascii="Times New Roman" w:eastAsia="Times New Roman" w:hAnsi="Times New Roman" w:cs="Times New Roman"/>
          <w:lang w:val="ro-MD"/>
        </w:rPr>
        <w:t xml:space="preserve"> care decurg din procesul de ajustare și din tendințele de tranziție în contextul obiectivelor de reglementare </w:t>
      </w:r>
      <w:r w:rsidR="00016836" w:rsidRPr="000508B6">
        <w:rPr>
          <w:rFonts w:ascii="Times New Roman" w:eastAsia="Times New Roman" w:hAnsi="Times New Roman" w:cs="Times New Roman"/>
          <w:lang w:val="ro-MD"/>
        </w:rPr>
        <w:t xml:space="preserve">și actelor juridice relevante ale </w:t>
      </w:r>
      <w:r w:rsidR="00C83D60" w:rsidRPr="000508B6">
        <w:rPr>
          <w:rFonts w:ascii="Times New Roman" w:eastAsia="Times New Roman" w:hAnsi="Times New Roman" w:cs="Times New Roman"/>
          <w:lang w:val="ro-MD"/>
        </w:rPr>
        <w:t>Republicii Moldova</w:t>
      </w:r>
      <w:r w:rsidR="00216219" w:rsidRPr="000508B6">
        <w:rPr>
          <w:rFonts w:ascii="Times New Roman" w:eastAsia="Times New Roman" w:hAnsi="Times New Roman" w:cs="Times New Roman"/>
          <w:lang w:val="ro-MD"/>
        </w:rPr>
        <w:t xml:space="preserve"> </w:t>
      </w:r>
      <w:r w:rsidR="00016836" w:rsidRPr="000508B6">
        <w:rPr>
          <w:rFonts w:ascii="Times New Roman" w:eastAsia="Times New Roman" w:hAnsi="Times New Roman" w:cs="Times New Roman"/>
          <w:lang w:val="ro-MD"/>
        </w:rPr>
        <w:t>în ceea ce privește factorii de durabilitate, în special cele prevăzute în</w:t>
      </w:r>
      <w:r w:rsidR="005C5839" w:rsidRPr="000508B6">
        <w:rPr>
          <w:rFonts w:ascii="Times New Roman" w:eastAsia="Times New Roman" w:hAnsi="Times New Roman" w:cs="Times New Roman"/>
          <w:lang w:val="ro-MD"/>
        </w:rPr>
        <w:t xml:space="preserve"> legislația privind acțiunile climatice</w:t>
      </w:r>
      <w:r w:rsidR="00647617">
        <w:rPr>
          <w:rFonts w:ascii="Times New Roman" w:eastAsia="Times New Roman" w:hAnsi="Times New Roman" w:cs="Times New Roman"/>
          <w:lang w:val="ro-MD"/>
        </w:rPr>
        <w:t>;</w:t>
      </w:r>
      <w:bookmarkEnd w:id="79"/>
    </w:p>
    <w:p w14:paraId="4F056E3A" w14:textId="54CD909D" w:rsidR="00647617" w:rsidRPr="000508B6" w:rsidRDefault="00647617" w:rsidP="00E07ECB">
      <w:pPr>
        <w:pStyle w:val="Listparagraf"/>
        <w:numPr>
          <w:ilvl w:val="0"/>
          <w:numId w:val="44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riscurile care decurg din procesul de ajustare și din tendințele de tranziție în contextul obiectivelor de reglementare și actelor juridice relevante ale Uniunii Europene în ceea ce privește factorii de durabilitate, în special cele prevăzute în legislația privind acțiunile climatice</w:t>
      </w:r>
      <w:r>
        <w:rPr>
          <w:rFonts w:ascii="Times New Roman" w:eastAsia="Times New Roman" w:hAnsi="Times New Roman" w:cs="Times New Roman"/>
          <w:lang w:val="ro-MD"/>
        </w:rPr>
        <w:t>.</w:t>
      </w:r>
    </w:p>
    <w:p w14:paraId="0992EC01" w14:textId="3C296B7B" w:rsidR="00484CE6" w:rsidRPr="000508B6" w:rsidRDefault="00E07ECB" w:rsidP="00CF5AFA">
      <w:pPr>
        <w:pStyle w:val="Listparagraf"/>
        <w:numPr>
          <w:ilvl w:val="0"/>
          <w:numId w:val="108"/>
        </w:numPr>
        <w:spacing w:after="0" w:line="240" w:lineRule="auto"/>
        <w:ind w:left="0" w:firstLine="284"/>
        <w:jc w:val="both"/>
        <w:rPr>
          <w:rFonts w:ascii="Times New Roman" w:eastAsia="Times New Roman" w:hAnsi="Times New Roman" w:cs="Times New Roman"/>
          <w:lang w:val="ro-MD"/>
        </w:rPr>
      </w:pPr>
      <w:bookmarkStart w:id="80" w:name="_Hlk203631847"/>
      <w:r w:rsidRPr="000508B6">
        <w:rPr>
          <w:rFonts w:ascii="Times New Roman" w:eastAsia="Times New Roman" w:hAnsi="Times New Roman" w:cs="Times New Roman"/>
          <w:lang w:val="ro-MD"/>
        </w:rPr>
        <w:t>În planurile menționate la alin.</w:t>
      </w:r>
      <w:r w:rsidR="00C0033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(9) </w:t>
      </w:r>
      <w:r w:rsidR="00A341CF" w:rsidRPr="000508B6">
        <w:rPr>
          <w:rFonts w:ascii="Times New Roman" w:eastAsia="Times New Roman" w:hAnsi="Times New Roman" w:cs="Times New Roman"/>
          <w:lang w:val="ro-MD"/>
        </w:rPr>
        <w:t xml:space="preserve">asigurătorul sau </w:t>
      </w:r>
      <w:proofErr w:type="spellStart"/>
      <w:r w:rsidR="00A341CF" w:rsidRPr="000508B6">
        <w:rPr>
          <w:rFonts w:ascii="Times New Roman" w:eastAsia="Times New Roman" w:hAnsi="Times New Roman" w:cs="Times New Roman"/>
          <w:lang w:val="ro-MD"/>
        </w:rPr>
        <w:t>reasigurătorul</w:t>
      </w:r>
      <w:proofErr w:type="spellEnd"/>
      <w:r w:rsidR="00A341C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includ</w:t>
      </w:r>
      <w:r w:rsidR="00A341CF"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o</w:t>
      </w:r>
      <w:r w:rsidR="007A2843" w:rsidRPr="000508B6">
        <w:rPr>
          <w:rFonts w:ascii="Times New Roman" w:eastAsia="Times New Roman" w:hAnsi="Times New Roman" w:cs="Times New Roman"/>
          <w:lang w:val="ro-MD"/>
        </w:rPr>
        <w:t>biective cuantificabile și procese</w:t>
      </w:r>
      <w:r w:rsidR="007913F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privind</w:t>
      </w:r>
      <w:r w:rsidR="007A2843" w:rsidRPr="000508B6">
        <w:rPr>
          <w:rFonts w:ascii="Times New Roman" w:eastAsia="Times New Roman" w:hAnsi="Times New Roman" w:cs="Times New Roman"/>
          <w:lang w:val="ro-MD"/>
        </w:rPr>
        <w:t xml:space="preserve"> </w:t>
      </w:r>
      <w:r w:rsidR="007913F2" w:rsidRPr="000508B6">
        <w:rPr>
          <w:rFonts w:ascii="Times New Roman" w:eastAsia="Times New Roman" w:hAnsi="Times New Roman" w:cs="Times New Roman"/>
          <w:lang w:val="ro-MD"/>
        </w:rPr>
        <w:t xml:space="preserve">riscurile </w:t>
      </w:r>
      <w:r w:rsidR="007A2843" w:rsidRPr="000508B6">
        <w:rPr>
          <w:rFonts w:ascii="Times New Roman" w:eastAsia="Times New Roman" w:hAnsi="Times New Roman" w:cs="Times New Roman"/>
          <w:lang w:val="ro-MD"/>
        </w:rPr>
        <w:t>legate de durabilitate</w:t>
      </w:r>
      <w:r w:rsidR="00725106" w:rsidRPr="000508B6">
        <w:rPr>
          <w:rFonts w:ascii="Times New Roman" w:eastAsia="Times New Roman" w:hAnsi="Times New Roman" w:cs="Times New Roman"/>
          <w:lang w:val="ro-MD"/>
        </w:rPr>
        <w:t>,</w:t>
      </w:r>
      <w:r w:rsidR="007A2843"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având în vedere</w:t>
      </w:r>
      <w:r w:rsidR="007A2843" w:rsidRPr="000508B6">
        <w:rPr>
          <w:rFonts w:ascii="Times New Roman" w:eastAsia="Times New Roman" w:hAnsi="Times New Roman" w:cs="Times New Roman"/>
          <w:lang w:val="ro-MD"/>
        </w:rPr>
        <w:t xml:space="preserve"> ultimele rapoarte ale Consiliului științific consultativ european privind schimbările climatice și de cele mai recente măsuri prescrise de acesta, în special în ceea ce privește îndeplinirea obiectivelor climatice ale Uniunii</w:t>
      </w:r>
      <w:r w:rsidR="00484CE6" w:rsidRPr="000508B6">
        <w:rPr>
          <w:rFonts w:ascii="Times New Roman" w:eastAsia="Times New Roman" w:hAnsi="Times New Roman" w:cs="Times New Roman"/>
          <w:lang w:val="ro-MD"/>
        </w:rPr>
        <w:t xml:space="preserve"> Europene</w:t>
      </w:r>
      <w:r w:rsidR="007A2843" w:rsidRPr="000508B6">
        <w:rPr>
          <w:rFonts w:ascii="Times New Roman" w:eastAsia="Times New Roman" w:hAnsi="Times New Roman" w:cs="Times New Roman"/>
          <w:lang w:val="ro-MD"/>
        </w:rPr>
        <w:t xml:space="preserve">. </w:t>
      </w:r>
    </w:p>
    <w:p w14:paraId="5EA43A4E" w14:textId="6E4126C6" w:rsidR="002B2914" w:rsidRPr="000508B6" w:rsidRDefault="007A2843" w:rsidP="00CF5AFA">
      <w:pPr>
        <w:pStyle w:val="Listparagraf"/>
        <w:numPr>
          <w:ilvl w:val="0"/>
          <w:numId w:val="108"/>
        </w:numPr>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În cazul în care </w:t>
      </w:r>
      <w:r w:rsidR="00A341CF" w:rsidRPr="000508B6">
        <w:rPr>
          <w:rFonts w:ascii="Times New Roman" w:eastAsia="Times New Roman" w:hAnsi="Times New Roman" w:cs="Times New Roman"/>
          <w:lang w:val="ro-MD"/>
        </w:rPr>
        <w:t xml:space="preserve">asigurătorul sau </w:t>
      </w:r>
      <w:proofErr w:type="spellStart"/>
      <w:r w:rsidR="00A341CF" w:rsidRPr="000508B6">
        <w:rPr>
          <w:rFonts w:ascii="Times New Roman" w:eastAsia="Times New Roman" w:hAnsi="Times New Roman" w:cs="Times New Roman"/>
          <w:lang w:val="ro-MD"/>
        </w:rPr>
        <w:t>reasigurătorul</w:t>
      </w:r>
      <w:proofErr w:type="spellEnd"/>
      <w:r w:rsidR="00A341CF" w:rsidRPr="000508B6">
        <w:rPr>
          <w:rFonts w:ascii="Times New Roman" w:eastAsia="Times New Roman" w:hAnsi="Times New Roman" w:cs="Times New Roman"/>
          <w:lang w:val="ro-MD"/>
        </w:rPr>
        <w:t xml:space="preserve"> </w:t>
      </w:r>
      <w:r w:rsidR="00486BB3" w:rsidRPr="000508B6">
        <w:rPr>
          <w:rFonts w:ascii="Times New Roman" w:eastAsia="Times New Roman" w:hAnsi="Times New Roman" w:cs="Times New Roman"/>
          <w:lang w:val="ro-MD"/>
        </w:rPr>
        <w:t xml:space="preserve">este obligat să </w:t>
      </w:r>
      <w:r w:rsidRPr="000508B6">
        <w:rPr>
          <w:rFonts w:ascii="Times New Roman" w:eastAsia="Times New Roman" w:hAnsi="Times New Roman" w:cs="Times New Roman"/>
          <w:lang w:val="ro-MD"/>
        </w:rPr>
        <w:t>public</w:t>
      </w:r>
      <w:r w:rsidR="00486BB3"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informații privind aspecte legate de durabilitate</w:t>
      </w:r>
      <w:r w:rsidR="00016836" w:rsidRPr="000508B6">
        <w:rPr>
          <w:rFonts w:ascii="Times New Roman" w:hAnsi="Times New Roman" w:cs="Times New Roman"/>
          <w:lang w:val="ro-MD"/>
        </w:rPr>
        <w:t xml:space="preserve"> </w:t>
      </w:r>
      <w:r w:rsidR="00016836" w:rsidRPr="000508B6">
        <w:rPr>
          <w:rFonts w:ascii="Times New Roman" w:eastAsia="Times New Roman" w:hAnsi="Times New Roman" w:cs="Times New Roman"/>
          <w:lang w:val="ro-MD"/>
        </w:rPr>
        <w:t>în conformitate cu</w:t>
      </w:r>
      <w:r w:rsidR="005C5839" w:rsidRPr="000508B6">
        <w:rPr>
          <w:rFonts w:ascii="Times New Roman" w:eastAsia="Times New Roman" w:hAnsi="Times New Roman" w:cs="Times New Roman"/>
          <w:lang w:val="ro-MD"/>
        </w:rPr>
        <w:t xml:space="preserve"> Legea nr.</w:t>
      </w:r>
      <w:r w:rsidR="00C00339" w:rsidRPr="000508B6">
        <w:rPr>
          <w:rFonts w:ascii="Times New Roman" w:eastAsia="Times New Roman" w:hAnsi="Times New Roman" w:cs="Times New Roman"/>
          <w:lang w:val="ro-MD"/>
        </w:rPr>
        <w:t xml:space="preserve"> </w:t>
      </w:r>
      <w:r w:rsidR="005C5839" w:rsidRPr="000508B6">
        <w:rPr>
          <w:rFonts w:ascii="Times New Roman" w:eastAsia="Times New Roman" w:hAnsi="Times New Roman" w:cs="Times New Roman"/>
          <w:lang w:val="ro-MD"/>
        </w:rPr>
        <w:t>287/2017</w:t>
      </w:r>
      <w:r w:rsidRPr="000508B6">
        <w:rPr>
          <w:rFonts w:ascii="Times New Roman" w:eastAsia="Times New Roman" w:hAnsi="Times New Roman" w:cs="Times New Roman"/>
          <w:lang w:val="ro-MD"/>
        </w:rPr>
        <w:t>, planurile menționate la alin. (</w:t>
      </w:r>
      <w:r w:rsidR="00025B9C" w:rsidRPr="000508B6">
        <w:rPr>
          <w:rFonts w:ascii="Times New Roman" w:eastAsia="Times New Roman" w:hAnsi="Times New Roman" w:cs="Times New Roman"/>
          <w:lang w:val="ro-MD"/>
        </w:rPr>
        <w:t>9</w:t>
      </w:r>
      <w:r w:rsidRPr="000508B6">
        <w:rPr>
          <w:rFonts w:ascii="Times New Roman" w:eastAsia="Times New Roman" w:hAnsi="Times New Roman" w:cs="Times New Roman"/>
          <w:lang w:val="ro-MD"/>
        </w:rPr>
        <w:t xml:space="preserve">) sunt corelate cu </w:t>
      </w:r>
      <w:r w:rsidR="00C1756D" w:rsidRPr="000508B6">
        <w:rPr>
          <w:rFonts w:ascii="Times New Roman" w:eastAsia="Times New Roman" w:hAnsi="Times New Roman" w:cs="Times New Roman"/>
          <w:lang w:val="ro-MD"/>
        </w:rPr>
        <w:t xml:space="preserve">raportul privind </w:t>
      </w:r>
      <w:r w:rsidR="003B4214" w:rsidRPr="000508B6">
        <w:rPr>
          <w:rFonts w:ascii="Times New Roman" w:eastAsia="Times New Roman" w:hAnsi="Times New Roman" w:cs="Times New Roman"/>
          <w:lang w:val="ro-MD"/>
        </w:rPr>
        <w:t>durabilitatea</w:t>
      </w:r>
      <w:r w:rsidR="00C1756D" w:rsidRPr="000508B6">
        <w:rPr>
          <w:rFonts w:ascii="Times New Roman" w:eastAsia="Times New Roman" w:hAnsi="Times New Roman" w:cs="Times New Roman"/>
          <w:lang w:val="ro-MD"/>
        </w:rPr>
        <w:t xml:space="preserve"> și raportul consolidat privind </w:t>
      </w:r>
      <w:r w:rsidR="003B4214" w:rsidRPr="000508B6">
        <w:rPr>
          <w:rFonts w:ascii="Times New Roman" w:eastAsia="Times New Roman" w:hAnsi="Times New Roman" w:cs="Times New Roman"/>
          <w:lang w:val="ro-MD"/>
        </w:rPr>
        <w:t>durabilitatea</w:t>
      </w:r>
      <w:r w:rsidR="005A6DDC" w:rsidRPr="000508B6">
        <w:rPr>
          <w:rFonts w:ascii="Times New Roman" w:eastAsia="Times New Roman" w:hAnsi="Times New Roman" w:cs="Times New Roman"/>
          <w:lang w:val="ro-MD"/>
        </w:rPr>
        <w:t>,</w:t>
      </w:r>
      <w:r w:rsidR="00C1756D" w:rsidRPr="000508B6">
        <w:rPr>
          <w:rFonts w:ascii="Times New Roman" w:eastAsia="Times New Roman" w:hAnsi="Times New Roman" w:cs="Times New Roman"/>
          <w:lang w:val="ro-MD"/>
        </w:rPr>
        <w:t xml:space="preserve"> prevăzute în legea respectivă</w:t>
      </w:r>
      <w:r w:rsidR="00016836" w:rsidRPr="000508B6" w:rsidDel="00016836">
        <w:rPr>
          <w:rFonts w:ascii="Times New Roman" w:eastAsia="Times New Roman" w:hAnsi="Times New Roman" w:cs="Times New Roman"/>
          <w:lang w:val="ro-MD"/>
        </w:rPr>
        <w:t xml:space="preserve"> </w:t>
      </w:r>
      <w:bookmarkStart w:id="81" w:name="_Hlk203631873"/>
      <w:bookmarkEnd w:id="80"/>
      <w:r w:rsidRPr="000508B6">
        <w:rPr>
          <w:rFonts w:ascii="Times New Roman" w:eastAsia="Times New Roman" w:hAnsi="Times New Roman" w:cs="Times New Roman"/>
          <w:lang w:val="ro-MD"/>
        </w:rPr>
        <w:t>și</w:t>
      </w:r>
      <w:r w:rsidR="005E63B6"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în special, includ acțiuni referitoare la modelul de afaceri și strategia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care sunt consecvente în cadrul ambelor planuri</w:t>
      </w:r>
      <w:bookmarkStart w:id="82" w:name="_Hlk210640805"/>
      <w:bookmarkStart w:id="83" w:name="_Hlk210640416"/>
      <w:r w:rsidRPr="000508B6">
        <w:rPr>
          <w:rFonts w:ascii="Times New Roman" w:eastAsia="Times New Roman" w:hAnsi="Times New Roman" w:cs="Times New Roman"/>
          <w:lang w:val="ro-MD"/>
        </w:rPr>
        <w:t>.</w:t>
      </w:r>
      <w:bookmarkEnd w:id="82"/>
    </w:p>
    <w:bookmarkEnd w:id="83"/>
    <w:p w14:paraId="2F95E31D" w14:textId="1E5C9A74" w:rsidR="007A2843" w:rsidRPr="000508B6" w:rsidRDefault="007A2843" w:rsidP="00CF5AFA">
      <w:pPr>
        <w:pStyle w:val="Listparagraf"/>
        <w:numPr>
          <w:ilvl w:val="0"/>
          <w:numId w:val="108"/>
        </w:numPr>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Dacă este cazul, </w:t>
      </w:r>
      <w:r w:rsidR="00FB1791" w:rsidRPr="000508B6">
        <w:rPr>
          <w:rFonts w:ascii="Times New Roman" w:eastAsia="Times New Roman" w:hAnsi="Times New Roman" w:cs="Times New Roman"/>
          <w:lang w:val="ro-MD"/>
        </w:rPr>
        <w:t xml:space="preserve">atunci când publică informații conform art. 32 alin. (17) </w:t>
      </w:r>
      <w:r w:rsidR="00A341CF" w:rsidRPr="000508B6">
        <w:rPr>
          <w:rFonts w:ascii="Times New Roman" w:eastAsia="Times New Roman" w:hAnsi="Times New Roman" w:cs="Times New Roman"/>
          <w:lang w:val="ro-MD"/>
        </w:rPr>
        <w:t xml:space="preserve">asigurătorul sau </w:t>
      </w:r>
      <w:proofErr w:type="spellStart"/>
      <w:r w:rsidR="00A341CF" w:rsidRPr="000508B6">
        <w:rPr>
          <w:rFonts w:ascii="Times New Roman" w:eastAsia="Times New Roman" w:hAnsi="Times New Roman" w:cs="Times New Roman"/>
          <w:lang w:val="ro-MD"/>
        </w:rPr>
        <w:t>reasigurătorul</w:t>
      </w:r>
      <w:proofErr w:type="spellEnd"/>
      <w:r w:rsidR="00A341CF" w:rsidRPr="000508B6">
        <w:rPr>
          <w:rFonts w:ascii="Times New Roman" w:eastAsia="Times New Roman" w:hAnsi="Times New Roman" w:cs="Times New Roman"/>
          <w:lang w:val="ro-MD"/>
        </w:rPr>
        <w:t xml:space="preserve"> </w:t>
      </w:r>
      <w:r w:rsidR="00FC2217" w:rsidRPr="000508B6">
        <w:rPr>
          <w:rFonts w:ascii="Times New Roman" w:eastAsia="Times New Roman" w:hAnsi="Times New Roman" w:cs="Times New Roman"/>
          <w:lang w:val="ro-MD"/>
        </w:rPr>
        <w:t xml:space="preserve">corelează </w:t>
      </w:r>
      <w:r w:rsidRPr="000508B6">
        <w:rPr>
          <w:rFonts w:ascii="Times New Roman" w:eastAsia="Times New Roman" w:hAnsi="Times New Roman" w:cs="Times New Roman"/>
          <w:lang w:val="ro-MD"/>
        </w:rPr>
        <w:t>metodologiile și ipotezele care susțin obiectivele, angajamentele și deciziile strategice cu metodologiile și ipotezele incluse în planurile menționate la alin. (</w:t>
      </w:r>
      <w:r w:rsidR="00025B9C" w:rsidRPr="000508B6">
        <w:rPr>
          <w:rFonts w:ascii="Times New Roman" w:eastAsia="Times New Roman" w:hAnsi="Times New Roman" w:cs="Times New Roman"/>
          <w:lang w:val="ro-MD"/>
        </w:rPr>
        <w:t>9</w:t>
      </w:r>
      <w:r w:rsidRPr="000508B6">
        <w:rPr>
          <w:rFonts w:ascii="Times New Roman" w:eastAsia="Times New Roman" w:hAnsi="Times New Roman" w:cs="Times New Roman"/>
          <w:lang w:val="ro-MD"/>
        </w:rPr>
        <w:t>).</w:t>
      </w:r>
      <w:bookmarkEnd w:id="81"/>
    </w:p>
    <w:p w14:paraId="2D447521" w14:textId="6A052559" w:rsidR="00124557" w:rsidRPr="000508B6" w:rsidRDefault="00A341CF" w:rsidP="00CF5AFA">
      <w:pPr>
        <w:pStyle w:val="Listparagraf"/>
        <w:numPr>
          <w:ilvl w:val="0"/>
          <w:numId w:val="108"/>
        </w:numPr>
        <w:tabs>
          <w:tab w:val="left" w:pos="851"/>
        </w:tabs>
        <w:spacing w:after="0" w:line="240" w:lineRule="auto"/>
        <w:ind w:left="0" w:firstLine="426"/>
        <w:jc w:val="both"/>
        <w:rPr>
          <w:rFonts w:ascii="Times New Roman" w:eastAsia="Times New Roman" w:hAnsi="Times New Roman" w:cs="Times New Roman"/>
          <w:lang w:val="ro-MD"/>
        </w:rPr>
      </w:pPr>
      <w:bookmarkStart w:id="84" w:name="_Hlk203631932"/>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FB1791" w:rsidRPr="000508B6">
        <w:rPr>
          <w:rFonts w:ascii="Times New Roman" w:eastAsia="Times New Roman" w:hAnsi="Times New Roman" w:cs="Times New Roman"/>
          <w:lang w:val="ro-MD"/>
        </w:rPr>
        <w:t>aplică principiul proporționalității în ceea ce privește o</w:t>
      </w:r>
      <w:r w:rsidR="0002668F" w:rsidRPr="000508B6">
        <w:rPr>
          <w:rFonts w:ascii="Times New Roman" w:eastAsia="Times New Roman" w:hAnsi="Times New Roman" w:cs="Times New Roman"/>
          <w:lang w:val="ro-MD"/>
        </w:rPr>
        <w:t xml:space="preserve">biectivele, procesele și acțiunile </w:t>
      </w:r>
      <w:r w:rsidR="00FB1791" w:rsidRPr="000508B6">
        <w:rPr>
          <w:rFonts w:ascii="Times New Roman" w:eastAsia="Times New Roman" w:hAnsi="Times New Roman" w:cs="Times New Roman"/>
          <w:lang w:val="ro-MD"/>
        </w:rPr>
        <w:t xml:space="preserve">care au drept scop </w:t>
      </w:r>
      <w:r w:rsidR="0002668F" w:rsidRPr="000508B6">
        <w:rPr>
          <w:rFonts w:ascii="Times New Roman" w:eastAsia="Times New Roman" w:hAnsi="Times New Roman" w:cs="Times New Roman"/>
          <w:lang w:val="ro-MD"/>
        </w:rPr>
        <w:t>aborda</w:t>
      </w:r>
      <w:r w:rsidR="00FB1791" w:rsidRPr="000508B6">
        <w:rPr>
          <w:rFonts w:ascii="Times New Roman" w:eastAsia="Times New Roman" w:hAnsi="Times New Roman" w:cs="Times New Roman"/>
          <w:lang w:val="ro-MD"/>
        </w:rPr>
        <w:t>rea</w:t>
      </w:r>
      <w:r w:rsidR="0002668F" w:rsidRPr="000508B6">
        <w:rPr>
          <w:rFonts w:ascii="Times New Roman" w:eastAsia="Times New Roman" w:hAnsi="Times New Roman" w:cs="Times New Roman"/>
          <w:lang w:val="ro-MD"/>
        </w:rPr>
        <w:t xml:space="preserve"> </w:t>
      </w:r>
      <w:r w:rsidR="00FB1791" w:rsidRPr="000508B6">
        <w:rPr>
          <w:rFonts w:ascii="Times New Roman" w:eastAsia="Times New Roman" w:hAnsi="Times New Roman" w:cs="Times New Roman"/>
          <w:lang w:val="ro-MD"/>
        </w:rPr>
        <w:t xml:space="preserve">riscurilor </w:t>
      </w:r>
      <w:r w:rsidR="0002668F" w:rsidRPr="000508B6">
        <w:rPr>
          <w:rFonts w:ascii="Times New Roman" w:eastAsia="Times New Roman" w:hAnsi="Times New Roman" w:cs="Times New Roman"/>
          <w:lang w:val="ro-MD"/>
        </w:rPr>
        <w:t>legate de durabilitate incluse în planurile menționate la alin. (</w:t>
      </w:r>
      <w:r w:rsidR="00025B9C" w:rsidRPr="000508B6">
        <w:rPr>
          <w:rFonts w:ascii="Times New Roman" w:eastAsia="Times New Roman" w:hAnsi="Times New Roman" w:cs="Times New Roman"/>
          <w:lang w:val="ro-MD"/>
        </w:rPr>
        <w:t>9</w:t>
      </w:r>
      <w:r w:rsidR="0002668F" w:rsidRPr="000508B6">
        <w:rPr>
          <w:rFonts w:ascii="Times New Roman" w:eastAsia="Times New Roman" w:hAnsi="Times New Roman" w:cs="Times New Roman"/>
          <w:lang w:val="ro-MD"/>
        </w:rPr>
        <w:t xml:space="preserve">), </w:t>
      </w:r>
      <w:r w:rsidR="00FB1791" w:rsidRPr="000508B6">
        <w:rPr>
          <w:rFonts w:ascii="Times New Roman" w:eastAsia="Times New Roman" w:hAnsi="Times New Roman" w:cs="Times New Roman"/>
          <w:lang w:val="ro-MD"/>
        </w:rPr>
        <w:t xml:space="preserve">astfel încât acestea să fie </w:t>
      </w:r>
      <w:r w:rsidR="0002668F" w:rsidRPr="000508B6">
        <w:rPr>
          <w:rFonts w:ascii="Times New Roman" w:eastAsia="Times New Roman" w:hAnsi="Times New Roman" w:cs="Times New Roman"/>
          <w:lang w:val="ro-MD"/>
        </w:rPr>
        <w:t xml:space="preserve">proporționale cu natura, amploarea și complexitatea riscurilor legate de durabilitate </w:t>
      </w:r>
      <w:r w:rsidR="00FB1791" w:rsidRPr="000508B6">
        <w:rPr>
          <w:rFonts w:ascii="Times New Roman" w:eastAsia="Times New Roman" w:hAnsi="Times New Roman" w:cs="Times New Roman"/>
          <w:lang w:val="ro-MD"/>
        </w:rPr>
        <w:t xml:space="preserve">prevăzute în </w:t>
      </w:r>
      <w:r w:rsidR="0002668F" w:rsidRPr="000508B6">
        <w:rPr>
          <w:rFonts w:ascii="Times New Roman" w:eastAsia="Times New Roman" w:hAnsi="Times New Roman" w:cs="Times New Roman"/>
          <w:lang w:val="ro-MD"/>
        </w:rPr>
        <w:t xml:space="preserve">modelului de afaceri al </w:t>
      </w:r>
      <w:r w:rsidRPr="000508B6">
        <w:rPr>
          <w:rFonts w:ascii="Times New Roman" w:eastAsia="Times New Roman" w:hAnsi="Times New Roman" w:cs="Times New Roman"/>
          <w:lang w:val="ro-MD"/>
        </w:rPr>
        <w:t xml:space="preserve">asigurătorului sau </w:t>
      </w:r>
      <w:proofErr w:type="spellStart"/>
      <w:r w:rsidRPr="000508B6">
        <w:rPr>
          <w:rFonts w:ascii="Times New Roman" w:eastAsia="Times New Roman" w:hAnsi="Times New Roman" w:cs="Times New Roman"/>
          <w:lang w:val="ro-MD"/>
        </w:rPr>
        <w:t>reasigurătorului</w:t>
      </w:r>
      <w:proofErr w:type="spellEnd"/>
      <w:r w:rsidR="0002668F" w:rsidRPr="000508B6">
        <w:rPr>
          <w:rFonts w:ascii="Times New Roman" w:eastAsia="Times New Roman" w:hAnsi="Times New Roman" w:cs="Times New Roman"/>
          <w:lang w:val="ro-MD"/>
        </w:rPr>
        <w:t>, în conformitate cu art</w:t>
      </w:r>
      <w:r w:rsidR="004A71F1" w:rsidRPr="000508B6">
        <w:rPr>
          <w:rFonts w:ascii="Times New Roman" w:eastAsia="Times New Roman" w:hAnsi="Times New Roman" w:cs="Times New Roman"/>
          <w:lang w:val="ro-MD"/>
        </w:rPr>
        <w:t>.</w:t>
      </w:r>
      <w:r w:rsidR="0002668F" w:rsidRPr="000508B6">
        <w:rPr>
          <w:rFonts w:ascii="Times New Roman" w:eastAsia="Times New Roman" w:hAnsi="Times New Roman" w:cs="Times New Roman"/>
          <w:lang w:val="ro-MD"/>
        </w:rPr>
        <w:t xml:space="preserve"> </w:t>
      </w:r>
      <w:r w:rsidR="00EE1710" w:rsidRPr="000508B6">
        <w:rPr>
          <w:rFonts w:ascii="Times New Roman" w:eastAsia="Times New Roman" w:hAnsi="Times New Roman" w:cs="Times New Roman"/>
          <w:lang w:val="ro-MD"/>
        </w:rPr>
        <w:t>169</w:t>
      </w:r>
      <w:r w:rsidR="0002668F" w:rsidRPr="000508B6">
        <w:rPr>
          <w:rFonts w:ascii="Times New Roman" w:eastAsia="Times New Roman" w:hAnsi="Times New Roman" w:cs="Times New Roman"/>
          <w:lang w:val="ro-MD"/>
        </w:rPr>
        <w:t xml:space="preserve"> alin</w:t>
      </w:r>
      <w:r w:rsidR="000B514F" w:rsidRPr="000508B6">
        <w:rPr>
          <w:rFonts w:ascii="Times New Roman" w:eastAsia="Times New Roman" w:hAnsi="Times New Roman" w:cs="Times New Roman"/>
          <w:lang w:val="ro-MD"/>
        </w:rPr>
        <w:t>.</w:t>
      </w:r>
      <w:r w:rsidR="0002668F" w:rsidRPr="000508B6">
        <w:rPr>
          <w:rFonts w:ascii="Times New Roman" w:eastAsia="Times New Roman" w:hAnsi="Times New Roman" w:cs="Times New Roman"/>
          <w:lang w:val="ro-MD"/>
        </w:rPr>
        <w:t xml:space="preserve"> (</w:t>
      </w:r>
      <w:r w:rsidR="00AC38EF" w:rsidRPr="000508B6">
        <w:rPr>
          <w:rFonts w:ascii="Times New Roman" w:eastAsia="Times New Roman" w:hAnsi="Times New Roman" w:cs="Times New Roman"/>
          <w:lang w:val="ro-MD"/>
        </w:rPr>
        <w:t>2</w:t>
      </w:r>
      <w:r w:rsidR="0002668F" w:rsidRPr="000508B6">
        <w:rPr>
          <w:rFonts w:ascii="Times New Roman" w:eastAsia="Times New Roman" w:hAnsi="Times New Roman" w:cs="Times New Roman"/>
          <w:lang w:val="ro-MD"/>
        </w:rPr>
        <w:t>).</w:t>
      </w:r>
      <w:bookmarkEnd w:id="84"/>
    </w:p>
    <w:p w14:paraId="6055D4AE" w14:textId="46F8D82E" w:rsidR="00CF328F" w:rsidRPr="000508B6" w:rsidRDefault="004B7407" w:rsidP="00CF5AFA">
      <w:pPr>
        <w:pStyle w:val="Listparagraf"/>
        <w:numPr>
          <w:ilvl w:val="0"/>
          <w:numId w:val="108"/>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bookmarkStart w:id="85" w:name="_Hlk221372429"/>
      <w:bookmarkStart w:id="86" w:name="_Hlk221270238"/>
      <w:r w:rsidRPr="000508B6">
        <w:rPr>
          <w:rFonts w:ascii="Times New Roman" w:eastAsia="Times New Roman" w:hAnsi="Times New Roman" w:cs="Times New Roman"/>
          <w:lang w:val="ro-MD"/>
        </w:rPr>
        <w:t>Sunt exonerați de obligația de a elabora la nivel individual planurile prevăzute la alin. (9) asigurătorii</w:t>
      </w:r>
      <w:r w:rsidR="00A8262E" w:rsidRPr="000508B6">
        <w:rPr>
          <w:rFonts w:ascii="Times New Roman" w:eastAsia="Times New Roman" w:hAnsi="Times New Roman" w:cs="Times New Roman"/>
          <w:lang w:val="ro-MD"/>
        </w:rPr>
        <w:t xml:space="preserve"> sau </w:t>
      </w:r>
      <w:proofErr w:type="spellStart"/>
      <w:r w:rsidRPr="000508B6">
        <w:rPr>
          <w:rFonts w:ascii="Times New Roman" w:eastAsia="Times New Roman" w:hAnsi="Times New Roman" w:cs="Times New Roman"/>
          <w:lang w:val="ro-MD"/>
        </w:rPr>
        <w:t>reasigurătorii</w:t>
      </w:r>
      <w:proofErr w:type="spellEnd"/>
      <w:r w:rsidR="004125E8" w:rsidRPr="000508B6">
        <w:rPr>
          <w:rFonts w:ascii="Times New Roman" w:eastAsia="Times New Roman" w:hAnsi="Times New Roman" w:cs="Times New Roman"/>
          <w:lang w:val="ro-MD"/>
        </w:rPr>
        <w:t xml:space="preserve"> </w:t>
      </w:r>
      <w:r w:rsidR="00FC2217" w:rsidRPr="000508B6">
        <w:rPr>
          <w:rFonts w:ascii="Times New Roman" w:eastAsia="Times New Roman" w:hAnsi="Times New Roman" w:cs="Times New Roman"/>
          <w:lang w:val="ro-MD"/>
        </w:rPr>
        <w:t xml:space="preserve">care intră în sfera supravegherii la nivel de grup </w:t>
      </w:r>
      <w:r w:rsidRPr="000508B6">
        <w:rPr>
          <w:rFonts w:ascii="Times New Roman" w:eastAsia="Times New Roman" w:hAnsi="Times New Roman" w:cs="Times New Roman"/>
          <w:lang w:val="ro-MD"/>
        </w:rPr>
        <w:t>conform</w:t>
      </w:r>
      <w:r w:rsidR="00FC2217" w:rsidRPr="000508B6">
        <w:rPr>
          <w:rFonts w:ascii="Times New Roman" w:eastAsia="Times New Roman" w:hAnsi="Times New Roman" w:cs="Times New Roman"/>
          <w:lang w:val="ro-MD"/>
        </w:rPr>
        <w:t xml:space="preserve"> art. 116 alin. (3) lit. a) și b) </w:t>
      </w:r>
      <w:r w:rsidRPr="000508B6">
        <w:rPr>
          <w:rFonts w:ascii="Times New Roman" w:eastAsia="Times New Roman" w:hAnsi="Times New Roman" w:cs="Times New Roman"/>
          <w:lang w:val="ro-MD"/>
        </w:rPr>
        <w:t xml:space="preserve">și </w:t>
      </w:r>
      <w:r w:rsidR="00FC2217" w:rsidRPr="000508B6">
        <w:rPr>
          <w:rFonts w:ascii="Times New Roman" w:eastAsia="Times New Roman" w:hAnsi="Times New Roman" w:cs="Times New Roman"/>
          <w:lang w:val="ro-MD"/>
        </w:rPr>
        <w:t xml:space="preserve">sunt </w:t>
      </w:r>
      <w:r w:rsidRPr="000508B6">
        <w:rPr>
          <w:rFonts w:ascii="Times New Roman" w:eastAsia="Times New Roman" w:hAnsi="Times New Roman" w:cs="Times New Roman"/>
          <w:lang w:val="ro-MD"/>
        </w:rPr>
        <w:t>filiale ale unor asigurătorii</w:t>
      </w:r>
      <w:r w:rsidR="00D068AA" w:rsidRPr="000508B6">
        <w:rPr>
          <w:rFonts w:ascii="Times New Roman" w:eastAsia="Times New Roman" w:hAnsi="Times New Roman" w:cs="Times New Roman"/>
          <w:lang w:val="ro-MD"/>
        </w:rPr>
        <w:t xml:space="preserve"> sau </w:t>
      </w:r>
      <w:proofErr w:type="spellStart"/>
      <w:r w:rsidRPr="000508B6">
        <w:rPr>
          <w:rFonts w:ascii="Times New Roman" w:eastAsia="Times New Roman" w:hAnsi="Times New Roman" w:cs="Times New Roman"/>
          <w:lang w:val="ro-MD"/>
        </w:rPr>
        <w:t>reasigurătorii</w:t>
      </w:r>
      <w:proofErr w:type="spellEnd"/>
      <w:r w:rsidRPr="000508B6">
        <w:rPr>
          <w:rFonts w:ascii="Times New Roman" w:eastAsia="Times New Roman" w:hAnsi="Times New Roman" w:cs="Times New Roman"/>
          <w:lang w:val="ro-MD"/>
        </w:rPr>
        <w:t xml:space="preserve"> participativi, holdinguri</w:t>
      </w:r>
      <w:r w:rsidR="00CF328F" w:rsidRPr="000508B6">
        <w:rPr>
          <w:rFonts w:ascii="Times New Roman" w:eastAsia="Times New Roman" w:hAnsi="Times New Roman" w:cs="Times New Roman"/>
          <w:lang w:val="ro-MD"/>
        </w:rPr>
        <w:t xml:space="preserve"> de asigurare sau </w:t>
      </w:r>
      <w:r w:rsidRPr="000508B6">
        <w:rPr>
          <w:rFonts w:ascii="Times New Roman" w:eastAsia="Times New Roman" w:hAnsi="Times New Roman" w:cs="Times New Roman"/>
          <w:lang w:val="ro-MD"/>
        </w:rPr>
        <w:t>holdinguri financiare mixte</w:t>
      </w:r>
      <w:r w:rsidR="00CF328F" w:rsidRPr="000508B6">
        <w:rPr>
          <w:rFonts w:ascii="Times New Roman" w:eastAsia="Times New Roman" w:hAnsi="Times New Roman" w:cs="Times New Roman"/>
          <w:lang w:val="ro-MD"/>
        </w:rPr>
        <w:t xml:space="preserve"> </w:t>
      </w:r>
      <w:r w:rsidR="00FC2217" w:rsidRPr="000508B6">
        <w:rPr>
          <w:rFonts w:ascii="Times New Roman" w:eastAsia="Times New Roman" w:hAnsi="Times New Roman" w:cs="Times New Roman"/>
          <w:lang w:val="ro-MD"/>
        </w:rPr>
        <w:t xml:space="preserve">cu sediul central în </w:t>
      </w:r>
      <w:r w:rsidRPr="000508B6">
        <w:rPr>
          <w:rFonts w:ascii="Times New Roman" w:eastAsia="Times New Roman" w:hAnsi="Times New Roman" w:cs="Times New Roman"/>
          <w:lang w:val="ro-MD"/>
        </w:rPr>
        <w:t xml:space="preserve">Republica Moldova sau </w:t>
      </w:r>
      <w:r w:rsidR="00FC2217" w:rsidRPr="000508B6">
        <w:rPr>
          <w:rFonts w:ascii="Times New Roman" w:eastAsia="Times New Roman" w:hAnsi="Times New Roman" w:cs="Times New Roman"/>
          <w:lang w:val="ro-MD"/>
        </w:rPr>
        <w:t>statele membre</w:t>
      </w:r>
      <w:r w:rsidRPr="000508B6">
        <w:rPr>
          <w:rFonts w:ascii="Times New Roman" w:eastAsia="Times New Roman" w:hAnsi="Times New Roman" w:cs="Times New Roman"/>
          <w:lang w:val="ro-MD"/>
        </w:rPr>
        <w:t>, care</w:t>
      </w:r>
      <w:r w:rsidR="00FC2217" w:rsidRPr="000508B6">
        <w:rPr>
          <w:rFonts w:ascii="Times New Roman" w:eastAsia="Times New Roman" w:hAnsi="Times New Roman" w:cs="Times New Roman"/>
          <w:lang w:val="ro-MD"/>
        </w:rPr>
        <w:t xml:space="preserve"> au</w:t>
      </w:r>
      <w:r w:rsidR="00CF328F" w:rsidRPr="000508B6">
        <w:rPr>
          <w:rFonts w:ascii="Times New Roman" w:eastAsia="Times New Roman" w:hAnsi="Times New Roman" w:cs="Times New Roman"/>
          <w:lang w:val="ro-MD"/>
        </w:rPr>
        <w:t xml:space="preserve"> obligația de a elabora, la nivel de grup, planu</w:t>
      </w:r>
      <w:r w:rsidR="00FC2217" w:rsidRPr="000508B6">
        <w:rPr>
          <w:rFonts w:ascii="Times New Roman" w:eastAsia="Times New Roman" w:hAnsi="Times New Roman" w:cs="Times New Roman"/>
          <w:lang w:val="ro-MD"/>
        </w:rPr>
        <w:t>rile</w:t>
      </w:r>
      <w:r w:rsidR="00CF328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menționate în care includ și filialele </w:t>
      </w:r>
      <w:r w:rsidR="00CF328F" w:rsidRPr="000508B6">
        <w:rPr>
          <w:rFonts w:ascii="Times New Roman" w:eastAsia="Times New Roman" w:hAnsi="Times New Roman" w:cs="Times New Roman"/>
          <w:lang w:val="ro-MD"/>
        </w:rPr>
        <w:t>respectiv</w:t>
      </w:r>
      <w:r w:rsidR="00FC2217" w:rsidRPr="000508B6">
        <w:rPr>
          <w:rFonts w:ascii="Times New Roman" w:eastAsia="Times New Roman" w:hAnsi="Times New Roman" w:cs="Times New Roman"/>
          <w:lang w:val="ro-MD"/>
        </w:rPr>
        <w:t>e</w:t>
      </w:r>
      <w:bookmarkEnd w:id="85"/>
      <w:r w:rsidR="00CF328F" w:rsidRPr="000508B6">
        <w:rPr>
          <w:rFonts w:ascii="Times New Roman" w:eastAsia="Times New Roman" w:hAnsi="Times New Roman" w:cs="Times New Roman"/>
          <w:lang w:val="ro-MD"/>
        </w:rPr>
        <w:t xml:space="preserve">. </w:t>
      </w:r>
      <w:bookmarkEnd w:id="86"/>
    </w:p>
    <w:p w14:paraId="1EEA92D8" w14:textId="5FC4163F" w:rsidR="008E2DD0" w:rsidRPr="000508B6" w:rsidRDefault="00F95829" w:rsidP="00CF5AFA">
      <w:pPr>
        <w:pStyle w:val="Listparagraf"/>
        <w:numPr>
          <w:ilvl w:val="0"/>
          <w:numId w:val="108"/>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iau în considerare evaluările externe ale creditului în vederea calculării rezervelor tehnice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SCR,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7D3A9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evaluează caracterul adecvat al acestor </w:t>
      </w:r>
      <w:r w:rsidR="00E824FC" w:rsidRPr="000508B6">
        <w:rPr>
          <w:rFonts w:ascii="Times New Roman" w:eastAsia="Times New Roman" w:hAnsi="Times New Roman" w:cs="Times New Roman"/>
          <w:lang w:val="ro-MD"/>
        </w:rPr>
        <w:t>evaluări în cadrul managementului riscului</w:t>
      </w:r>
      <w:r w:rsidRPr="000508B6">
        <w:rPr>
          <w:rFonts w:ascii="Times New Roman" w:eastAsia="Times New Roman" w:hAnsi="Times New Roman" w:cs="Times New Roman"/>
          <w:lang w:val="ro-MD"/>
        </w:rPr>
        <w:t xml:space="preserve"> prin utilizarea unor evaluări suplimentare ori de câte ori acest lucru este posibil</w:t>
      </w:r>
      <w:r w:rsidR="002D0CD2" w:rsidRPr="000508B6">
        <w:rPr>
          <w:rFonts w:ascii="Times New Roman" w:eastAsia="Times New Roman" w:hAnsi="Times New Roman" w:cs="Times New Roman"/>
          <w:lang w:val="ro-MD"/>
        </w:rPr>
        <w:t xml:space="preserve"> pentru a se evita orice dependență automata de evaluări externe</w:t>
      </w:r>
      <w:r w:rsidRPr="000508B6">
        <w:rPr>
          <w:rFonts w:ascii="Times New Roman" w:eastAsia="Times New Roman" w:hAnsi="Times New Roman" w:cs="Times New Roman"/>
          <w:lang w:val="ro-MD"/>
        </w:rPr>
        <w:t>.</w:t>
      </w:r>
    </w:p>
    <w:p w14:paraId="18264755" w14:textId="796FB058" w:rsidR="00F95829" w:rsidRPr="000508B6" w:rsidRDefault="00F95829" w:rsidP="00CF5AFA">
      <w:pPr>
        <w:pStyle w:val="Listparagraf"/>
        <w:numPr>
          <w:ilvl w:val="0"/>
          <w:numId w:val="108"/>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A341CF" w:rsidRPr="000508B6">
        <w:rPr>
          <w:rFonts w:ascii="Times New Roman" w:eastAsia="Times New Roman" w:hAnsi="Times New Roman" w:cs="Times New Roman"/>
          <w:lang w:val="ro-MD"/>
        </w:rPr>
        <w:t xml:space="preserve">asigurătorul sau </w:t>
      </w:r>
      <w:proofErr w:type="spellStart"/>
      <w:r w:rsidR="00A341CF" w:rsidRPr="000508B6">
        <w:rPr>
          <w:rFonts w:ascii="Times New Roman" w:eastAsia="Times New Roman" w:hAnsi="Times New Roman" w:cs="Times New Roman"/>
          <w:lang w:val="ro-MD"/>
        </w:rPr>
        <w:t>reasigurătorul</w:t>
      </w:r>
      <w:proofErr w:type="spellEnd"/>
      <w:r w:rsidR="00A341C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utilizează un model intern</w:t>
      </w:r>
      <w:r w:rsidR="00F41A2A" w:rsidRPr="000508B6">
        <w:rPr>
          <w:rFonts w:ascii="Times New Roman" w:eastAsia="Times New Roman" w:hAnsi="Times New Roman" w:cs="Times New Roman"/>
          <w:lang w:val="ro-MD"/>
        </w:rPr>
        <w:t xml:space="preserve"> integral sau parțial</w:t>
      </w:r>
      <w:r w:rsidRPr="000508B6">
        <w:rPr>
          <w:rFonts w:ascii="Times New Roman" w:eastAsia="Times New Roman" w:hAnsi="Times New Roman" w:cs="Times New Roman"/>
          <w:lang w:val="ro-MD"/>
        </w:rPr>
        <w:t xml:space="preserve">, aprobat conform art. </w:t>
      </w:r>
      <w:r w:rsidR="00AC38EF" w:rsidRPr="000508B6">
        <w:rPr>
          <w:rFonts w:ascii="Times New Roman" w:eastAsia="Times New Roman" w:hAnsi="Times New Roman" w:cs="Times New Roman"/>
          <w:lang w:val="ro-MD"/>
        </w:rPr>
        <w:t>75</w:t>
      </w:r>
      <w:r w:rsidR="00F41A2A"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AC38EF" w:rsidRPr="000508B6">
        <w:rPr>
          <w:rFonts w:ascii="Times New Roman" w:eastAsia="Times New Roman" w:hAnsi="Times New Roman" w:cs="Times New Roman"/>
          <w:lang w:val="ro-MD"/>
        </w:rPr>
        <w:t>76</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funcţia</w:t>
      </w:r>
      <w:proofErr w:type="spellEnd"/>
      <w:r w:rsidRPr="000508B6">
        <w:rPr>
          <w:rFonts w:ascii="Times New Roman" w:eastAsia="Times New Roman" w:hAnsi="Times New Roman" w:cs="Times New Roman"/>
          <w:lang w:val="ro-MD"/>
        </w:rPr>
        <w:t xml:space="preserve"> de management al riscului este responsabilă de următoarele sarcini legate de modelul intern:</w:t>
      </w:r>
    </w:p>
    <w:p w14:paraId="0F8B385C" w14:textId="25B8A37C" w:rsidR="00F95829" w:rsidRPr="000508B6" w:rsidRDefault="00F95829" w:rsidP="00CF5AFA">
      <w:pPr>
        <w:pStyle w:val="Listparagraf"/>
        <w:numPr>
          <w:ilvl w:val="2"/>
          <w:numId w:val="10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proiectarea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implementarea;</w:t>
      </w:r>
    </w:p>
    <w:p w14:paraId="6AFDE8E7" w14:textId="19BDC250" w:rsidR="00F95829" w:rsidRPr="000508B6" w:rsidRDefault="00F95829" w:rsidP="00CF5AFA">
      <w:pPr>
        <w:pStyle w:val="Listparagraf"/>
        <w:numPr>
          <w:ilvl w:val="2"/>
          <w:numId w:val="10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testarea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validarea;</w:t>
      </w:r>
    </w:p>
    <w:p w14:paraId="29DCCAB3" w14:textId="6EEA2FFC" w:rsidR="00F95829" w:rsidRPr="000508B6" w:rsidRDefault="00F95829" w:rsidP="00CF5AFA">
      <w:pPr>
        <w:pStyle w:val="Listparagraf"/>
        <w:numPr>
          <w:ilvl w:val="2"/>
          <w:numId w:val="10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documentarea, inclusiv a modificărilor ulterioare aprobării;</w:t>
      </w:r>
    </w:p>
    <w:p w14:paraId="1658F458" w14:textId="149365E4" w:rsidR="00F95829" w:rsidRPr="000508B6" w:rsidRDefault="00F95829" w:rsidP="00CF5AFA">
      <w:pPr>
        <w:pStyle w:val="Listparagraf"/>
        <w:numPr>
          <w:ilvl w:val="2"/>
          <w:numId w:val="10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analiza </w:t>
      </w:r>
      <w:proofErr w:type="spellStart"/>
      <w:r w:rsidRPr="000508B6">
        <w:rPr>
          <w:rFonts w:ascii="Times New Roman" w:eastAsia="Times New Roman" w:hAnsi="Times New Roman" w:cs="Times New Roman"/>
          <w:lang w:val="ro-MD"/>
        </w:rPr>
        <w:t>funcţionării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elaborarea raportului de sinteză;</w:t>
      </w:r>
    </w:p>
    <w:p w14:paraId="6DA29A19" w14:textId="4DCF4DEA" w:rsidR="00F95829" w:rsidRPr="000508B6" w:rsidRDefault="00F95829" w:rsidP="00CF5AFA">
      <w:pPr>
        <w:pStyle w:val="Listparagraf"/>
        <w:numPr>
          <w:ilvl w:val="2"/>
          <w:numId w:val="10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informarea </w:t>
      </w:r>
      <w:r w:rsidR="00110596" w:rsidRPr="000508B6">
        <w:rPr>
          <w:rFonts w:ascii="Times New Roman" w:eastAsia="Times New Roman" w:hAnsi="Times New Roman" w:cs="Times New Roman"/>
          <w:lang w:val="ro-MD"/>
        </w:rPr>
        <w:t xml:space="preserve">organelor de </w:t>
      </w:r>
      <w:r w:rsidRPr="000508B6">
        <w:rPr>
          <w:rFonts w:ascii="Times New Roman" w:eastAsia="Times New Roman" w:hAnsi="Times New Roman" w:cs="Times New Roman"/>
          <w:lang w:val="ro-MD"/>
        </w:rPr>
        <w:t>conducer</w:t>
      </w:r>
      <w:r w:rsidR="00110596" w:rsidRPr="000508B6">
        <w:rPr>
          <w:rFonts w:ascii="Times New Roman" w:eastAsia="Times New Roman" w:hAnsi="Times New Roman" w:cs="Times New Roman"/>
          <w:lang w:val="ro-MD"/>
        </w:rPr>
        <w:t xml:space="preserve">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684F3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cu privire la </w:t>
      </w:r>
      <w:proofErr w:type="spellStart"/>
      <w:r w:rsidRPr="000508B6">
        <w:rPr>
          <w:rFonts w:ascii="Times New Roman" w:eastAsia="Times New Roman" w:hAnsi="Times New Roman" w:cs="Times New Roman"/>
          <w:lang w:val="ro-MD"/>
        </w:rPr>
        <w:t>funcţionarea</w:t>
      </w:r>
      <w:proofErr w:type="spellEnd"/>
      <w:r w:rsidRPr="000508B6">
        <w:rPr>
          <w:rFonts w:ascii="Times New Roman" w:eastAsia="Times New Roman" w:hAnsi="Times New Roman" w:cs="Times New Roman"/>
          <w:lang w:val="ro-MD"/>
        </w:rPr>
        <w:t xml:space="preserve"> modelului</w:t>
      </w:r>
      <w:r w:rsidR="00F41A2A" w:rsidRPr="000508B6">
        <w:rPr>
          <w:rFonts w:ascii="Times New Roman" w:eastAsia="Times New Roman" w:hAnsi="Times New Roman" w:cs="Times New Roman"/>
          <w:lang w:val="ro-MD"/>
        </w:rPr>
        <w:t xml:space="preserve"> intern</w:t>
      </w:r>
      <w:r w:rsidRPr="000508B6">
        <w:rPr>
          <w:rFonts w:ascii="Times New Roman" w:eastAsia="Times New Roman" w:hAnsi="Times New Roman" w:cs="Times New Roman"/>
          <w:lang w:val="ro-MD"/>
        </w:rPr>
        <w:t xml:space="preserve">, la componentele care necesită optimizare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la modul în care se remediază </w:t>
      </w:r>
      <w:proofErr w:type="spellStart"/>
      <w:r w:rsidRPr="000508B6">
        <w:rPr>
          <w:rFonts w:ascii="Times New Roman" w:eastAsia="Times New Roman" w:hAnsi="Times New Roman" w:cs="Times New Roman"/>
          <w:lang w:val="ro-MD"/>
        </w:rPr>
        <w:t>deficienţele</w:t>
      </w:r>
      <w:proofErr w:type="spellEnd"/>
      <w:r w:rsidRPr="000508B6">
        <w:rPr>
          <w:rFonts w:ascii="Times New Roman" w:eastAsia="Times New Roman" w:hAnsi="Times New Roman" w:cs="Times New Roman"/>
          <w:lang w:val="ro-MD"/>
        </w:rPr>
        <w:t xml:space="preserve"> determinate anterior.</w:t>
      </w:r>
    </w:p>
    <w:bookmarkEnd w:id="73"/>
    <w:p w14:paraId="081A1DDB" w14:textId="77777777" w:rsidR="003F63EB" w:rsidRPr="000508B6" w:rsidRDefault="003F63EB" w:rsidP="00EB7218">
      <w:pPr>
        <w:spacing w:after="0" w:line="240" w:lineRule="auto"/>
        <w:ind w:firstLine="426"/>
        <w:jc w:val="both"/>
        <w:rPr>
          <w:rFonts w:ascii="Times New Roman" w:eastAsia="Times New Roman" w:hAnsi="Times New Roman" w:cs="Times New Roman"/>
          <w:lang w:val="ro-MD"/>
        </w:rPr>
      </w:pPr>
    </w:p>
    <w:p w14:paraId="43968253" w14:textId="47BD0E8A" w:rsidR="00EB7218" w:rsidRPr="000508B6" w:rsidRDefault="00EB7218" w:rsidP="00EB7218">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Articolul </w:t>
      </w:r>
      <w:r w:rsidR="006A65E4" w:rsidRPr="000508B6">
        <w:rPr>
          <w:rFonts w:ascii="Times New Roman" w:eastAsia="Times New Roman" w:hAnsi="Times New Roman" w:cs="Times New Roman"/>
          <w:b/>
          <w:lang w:val="ro-MD"/>
        </w:rPr>
        <w:t>26</w:t>
      </w:r>
      <w:r w:rsidRPr="000508B6">
        <w:rPr>
          <w:rFonts w:ascii="Times New Roman" w:eastAsia="Times New Roman" w:hAnsi="Times New Roman" w:cs="Times New Roman"/>
          <w:b/>
          <w:lang w:val="ro-MD"/>
        </w:rPr>
        <w:t xml:space="preserve">.  </w:t>
      </w:r>
      <w:r w:rsidR="003608D3" w:rsidRPr="000508B6">
        <w:rPr>
          <w:rFonts w:ascii="Times New Roman" w:eastAsia="Times New Roman" w:hAnsi="Times New Roman" w:cs="Times New Roman"/>
          <w:lang w:val="ro-MD"/>
        </w:rPr>
        <w:t xml:space="preserve">Managementul </w:t>
      </w:r>
      <w:r w:rsidRPr="000508B6">
        <w:rPr>
          <w:rFonts w:ascii="Times New Roman" w:eastAsia="Times New Roman" w:hAnsi="Times New Roman" w:cs="Times New Roman"/>
          <w:lang w:val="ro-MD"/>
        </w:rPr>
        <w:t>riscului de lichiditate</w:t>
      </w:r>
      <w:r w:rsidRPr="000508B6">
        <w:rPr>
          <w:rFonts w:ascii="Times New Roman" w:eastAsia="Times New Roman" w:hAnsi="Times New Roman" w:cs="Times New Roman"/>
          <w:b/>
          <w:lang w:val="ro-MD"/>
        </w:rPr>
        <w:t xml:space="preserve"> </w:t>
      </w:r>
    </w:p>
    <w:p w14:paraId="00128BDD" w14:textId="4A909C57" w:rsidR="00EB7218" w:rsidRPr="000508B6" w:rsidRDefault="00A341CF" w:rsidP="000A404B">
      <w:pPr>
        <w:pStyle w:val="Listparagraf"/>
        <w:numPr>
          <w:ilvl w:val="1"/>
          <w:numId w:val="433"/>
        </w:numPr>
        <w:tabs>
          <w:tab w:val="left" w:pos="709"/>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w:t>
      </w:r>
      <w:r w:rsidR="00F35D1F" w:rsidRPr="000508B6">
        <w:rPr>
          <w:rFonts w:ascii="Times New Roman" w:eastAsia="Times New Roman" w:hAnsi="Times New Roman" w:cs="Times New Roman"/>
          <w:bCs/>
          <w:lang w:val="ro-MD"/>
        </w:rPr>
        <w:t xml:space="preserve">instituie un sistem al </w:t>
      </w:r>
      <w:r w:rsidR="00EB7218" w:rsidRPr="000508B6">
        <w:rPr>
          <w:rFonts w:ascii="Times New Roman" w:eastAsia="Times New Roman" w:hAnsi="Times New Roman" w:cs="Times New Roman"/>
          <w:bCs/>
          <w:lang w:val="ro-MD"/>
        </w:rPr>
        <w:t>managementul</w:t>
      </w:r>
      <w:r w:rsidR="00047306" w:rsidRPr="000508B6">
        <w:rPr>
          <w:rFonts w:ascii="Times New Roman" w:eastAsia="Times New Roman" w:hAnsi="Times New Roman" w:cs="Times New Roman"/>
          <w:bCs/>
          <w:lang w:val="ro-MD"/>
        </w:rPr>
        <w:t>ui</w:t>
      </w:r>
      <w:r w:rsidR="00EB7218" w:rsidRPr="000508B6">
        <w:rPr>
          <w:rFonts w:ascii="Times New Roman" w:eastAsia="Times New Roman" w:hAnsi="Times New Roman" w:cs="Times New Roman"/>
          <w:bCs/>
          <w:lang w:val="ro-MD"/>
        </w:rPr>
        <w:t xml:space="preserve"> riscului de lichiditate, </w:t>
      </w:r>
      <w:r w:rsidR="00F35D1F" w:rsidRPr="000508B6">
        <w:rPr>
          <w:rFonts w:ascii="Times New Roman" w:eastAsia="Times New Roman" w:hAnsi="Times New Roman" w:cs="Times New Roman"/>
          <w:bCs/>
          <w:lang w:val="ro-MD"/>
        </w:rPr>
        <w:t>conform</w:t>
      </w:r>
      <w:r w:rsidR="00060044" w:rsidRPr="000508B6">
        <w:rPr>
          <w:rFonts w:ascii="Times New Roman" w:eastAsia="Times New Roman" w:hAnsi="Times New Roman" w:cs="Times New Roman"/>
          <w:bCs/>
          <w:lang w:val="ro-MD"/>
        </w:rPr>
        <w:t xml:space="preserve"> </w:t>
      </w:r>
      <w:r w:rsidR="00EB7218" w:rsidRPr="000508B6">
        <w:rPr>
          <w:rFonts w:ascii="Times New Roman" w:eastAsia="Times New Roman" w:hAnsi="Times New Roman" w:cs="Times New Roman"/>
          <w:bCs/>
          <w:lang w:val="ro-MD"/>
        </w:rPr>
        <w:t xml:space="preserve">art. </w:t>
      </w:r>
      <w:r w:rsidR="00450837" w:rsidRPr="000508B6">
        <w:rPr>
          <w:rFonts w:ascii="Times New Roman" w:eastAsia="Times New Roman" w:hAnsi="Times New Roman" w:cs="Times New Roman"/>
          <w:bCs/>
          <w:lang w:val="ro-MD"/>
        </w:rPr>
        <w:t xml:space="preserve">25 </w:t>
      </w:r>
      <w:r w:rsidR="00EB7218" w:rsidRPr="000508B6">
        <w:rPr>
          <w:rFonts w:ascii="Times New Roman" w:eastAsia="Times New Roman" w:hAnsi="Times New Roman" w:cs="Times New Roman"/>
          <w:bCs/>
          <w:lang w:val="ro-MD"/>
        </w:rPr>
        <w:t>alin. (2) lit.</w:t>
      </w:r>
      <w:r w:rsidR="00AC3587" w:rsidRPr="000508B6">
        <w:rPr>
          <w:rFonts w:ascii="Times New Roman" w:eastAsia="Times New Roman" w:hAnsi="Times New Roman" w:cs="Times New Roman"/>
          <w:bCs/>
          <w:lang w:val="ro-MD"/>
        </w:rPr>
        <w:t xml:space="preserve"> </w:t>
      </w:r>
      <w:r w:rsidR="00EB7218" w:rsidRPr="000508B6">
        <w:rPr>
          <w:rFonts w:ascii="Times New Roman" w:eastAsia="Times New Roman" w:hAnsi="Times New Roman" w:cs="Times New Roman"/>
          <w:bCs/>
          <w:lang w:val="ro-MD"/>
        </w:rPr>
        <w:t xml:space="preserve">d), </w:t>
      </w:r>
      <w:r w:rsidR="00A61833" w:rsidRPr="000508B6">
        <w:rPr>
          <w:rFonts w:ascii="Times New Roman" w:eastAsia="Times New Roman" w:hAnsi="Times New Roman" w:cs="Times New Roman"/>
          <w:bCs/>
          <w:lang w:val="ro-MD"/>
        </w:rPr>
        <w:t xml:space="preserve">astfel încât acesta să garanteze </w:t>
      </w:r>
      <w:r w:rsidR="00EB7218" w:rsidRPr="000508B6">
        <w:rPr>
          <w:rFonts w:ascii="Times New Roman" w:eastAsia="Times New Roman" w:hAnsi="Times New Roman" w:cs="Times New Roman"/>
          <w:bCs/>
          <w:lang w:val="ro-MD"/>
        </w:rPr>
        <w:t xml:space="preserve">menținerea unui nivel adecvat de lichiditate pentru a-și onora obligațiile financiare față de asigurați și față de alte contrapartide atunci când obligațiile respective devin scadente, chiar și în condiții de criză. </w:t>
      </w:r>
    </w:p>
    <w:p w14:paraId="6793A250" w14:textId="5FC645B7" w:rsidR="00671CDA" w:rsidRPr="000508B6" w:rsidRDefault="00EB7218" w:rsidP="000A404B">
      <w:pPr>
        <w:pStyle w:val="Listparagraf"/>
        <w:numPr>
          <w:ilvl w:val="1"/>
          <w:numId w:val="433"/>
        </w:numPr>
        <w:tabs>
          <w:tab w:val="left" w:pos="709"/>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 sensul alin. (1),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întocmește și menține actualizat un plan de management al riscului de lichiditate care să acopere analiza lichidității pe termen scurt cu proiecții ale fluxurilor de trezorerie de intrare și de ieșire </w:t>
      </w:r>
      <w:r w:rsidR="001C4987" w:rsidRPr="000508B6">
        <w:rPr>
          <w:rFonts w:ascii="Times New Roman" w:eastAsia="Times New Roman" w:hAnsi="Times New Roman" w:cs="Times New Roman"/>
          <w:bCs/>
          <w:lang w:val="ro-MD"/>
        </w:rPr>
        <w:t xml:space="preserve">aferente </w:t>
      </w:r>
      <w:r w:rsidRPr="000508B6">
        <w:rPr>
          <w:rFonts w:ascii="Times New Roman" w:eastAsia="Times New Roman" w:hAnsi="Times New Roman" w:cs="Times New Roman"/>
          <w:bCs/>
          <w:lang w:val="ro-MD"/>
        </w:rPr>
        <w:t>activel</w:t>
      </w:r>
      <w:r w:rsidR="001C4987" w:rsidRPr="000508B6">
        <w:rPr>
          <w:rFonts w:ascii="Times New Roman" w:eastAsia="Times New Roman" w:hAnsi="Times New Roman" w:cs="Times New Roman"/>
          <w:bCs/>
          <w:lang w:val="ro-MD"/>
        </w:rPr>
        <w:t>or</w:t>
      </w:r>
      <w:r w:rsidRPr="000508B6">
        <w:rPr>
          <w:rFonts w:ascii="Times New Roman" w:eastAsia="Times New Roman" w:hAnsi="Times New Roman" w:cs="Times New Roman"/>
          <w:bCs/>
          <w:lang w:val="ro-MD"/>
        </w:rPr>
        <w:t xml:space="preserve"> și </w:t>
      </w:r>
      <w:r w:rsidR="001C4987" w:rsidRPr="000508B6">
        <w:rPr>
          <w:rFonts w:ascii="Times New Roman" w:eastAsia="Times New Roman" w:hAnsi="Times New Roman" w:cs="Times New Roman"/>
          <w:bCs/>
          <w:lang w:val="ro-MD"/>
        </w:rPr>
        <w:t>obligațiilor</w:t>
      </w:r>
      <w:r w:rsidR="00195100" w:rsidRPr="000508B6">
        <w:rPr>
          <w:rFonts w:ascii="Times New Roman" w:eastAsia="Times New Roman" w:hAnsi="Times New Roman" w:cs="Times New Roman"/>
          <w:bCs/>
          <w:lang w:val="ro-MD"/>
        </w:rPr>
        <w:t xml:space="preserve"> </w:t>
      </w:r>
      <w:r w:rsidR="00D62269" w:rsidRPr="000508B6">
        <w:rPr>
          <w:rFonts w:ascii="Times New Roman" w:eastAsia="Times New Roman" w:hAnsi="Times New Roman" w:cs="Times New Roman"/>
          <w:bCs/>
          <w:lang w:val="ro-MD"/>
        </w:rPr>
        <w:t>acestuia</w:t>
      </w:r>
      <w:r w:rsidRPr="000508B6">
        <w:rPr>
          <w:rFonts w:ascii="Times New Roman" w:eastAsia="Times New Roman" w:hAnsi="Times New Roman" w:cs="Times New Roman"/>
          <w:bCs/>
          <w:lang w:val="ro-MD"/>
        </w:rPr>
        <w:t>.</w:t>
      </w:r>
    </w:p>
    <w:p w14:paraId="628C4B5D" w14:textId="663D62A3" w:rsidR="00EB7218" w:rsidRPr="000508B6" w:rsidRDefault="00EB7218" w:rsidP="000A404B">
      <w:pPr>
        <w:pStyle w:val="Listparagraf"/>
        <w:numPr>
          <w:ilvl w:val="1"/>
          <w:numId w:val="433"/>
        </w:numPr>
        <w:tabs>
          <w:tab w:val="left" w:pos="709"/>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La </w:t>
      </w:r>
      <w:r w:rsidR="00C22E6E" w:rsidRPr="000508B6">
        <w:rPr>
          <w:rFonts w:ascii="Times New Roman" w:eastAsia="Times New Roman" w:hAnsi="Times New Roman" w:cs="Times New Roman"/>
          <w:bCs/>
          <w:lang w:val="ro-MD"/>
        </w:rPr>
        <w:t xml:space="preserve">solicitarea </w:t>
      </w:r>
      <w:r w:rsidRPr="000508B6">
        <w:rPr>
          <w:rFonts w:ascii="Times New Roman" w:eastAsia="Times New Roman" w:hAnsi="Times New Roman" w:cs="Times New Roman"/>
          <w:bCs/>
          <w:lang w:val="ro-MD"/>
        </w:rPr>
        <w:t xml:space="preserve">Băncii Naționale a Moldovei, </w:t>
      </w:r>
      <w:r w:rsidR="00A341CF" w:rsidRPr="000508B6">
        <w:rPr>
          <w:rFonts w:ascii="Times New Roman" w:eastAsia="Times New Roman" w:hAnsi="Times New Roman" w:cs="Times New Roman"/>
          <w:bCs/>
          <w:lang w:val="ro-MD"/>
        </w:rPr>
        <w:t xml:space="preserve">asigurătorul sau </w:t>
      </w:r>
      <w:proofErr w:type="spellStart"/>
      <w:r w:rsidR="00A341CF" w:rsidRPr="000508B6">
        <w:rPr>
          <w:rFonts w:ascii="Times New Roman" w:eastAsia="Times New Roman" w:hAnsi="Times New Roman" w:cs="Times New Roman"/>
          <w:bCs/>
          <w:lang w:val="ro-MD"/>
        </w:rPr>
        <w:t>reasigurătorul</w:t>
      </w:r>
      <w:proofErr w:type="spellEnd"/>
      <w:r w:rsidR="00A341CF" w:rsidRPr="000508B6">
        <w:rPr>
          <w:rFonts w:ascii="Times New Roman" w:eastAsia="Times New Roman" w:hAnsi="Times New Roman" w:cs="Times New Roman"/>
          <w:bCs/>
          <w:lang w:val="ro-MD"/>
        </w:rPr>
        <w:t xml:space="preserve"> </w:t>
      </w:r>
      <w:r w:rsidR="00DD2B6B" w:rsidRPr="000508B6">
        <w:rPr>
          <w:rFonts w:ascii="Times New Roman" w:eastAsia="Times New Roman" w:hAnsi="Times New Roman" w:cs="Times New Roman"/>
          <w:bCs/>
          <w:lang w:val="ro-MD"/>
        </w:rPr>
        <w:t xml:space="preserve">include în </w:t>
      </w:r>
      <w:r w:rsidRPr="000508B6">
        <w:rPr>
          <w:rFonts w:ascii="Times New Roman" w:eastAsia="Times New Roman" w:hAnsi="Times New Roman" w:cs="Times New Roman"/>
          <w:bCs/>
          <w:lang w:val="ro-MD"/>
        </w:rPr>
        <w:t xml:space="preserve">planul de management al riscului de lichiditate </w:t>
      </w:r>
      <w:r w:rsidR="00DD2B6B" w:rsidRPr="000508B6">
        <w:rPr>
          <w:rFonts w:ascii="Times New Roman" w:eastAsia="Times New Roman" w:hAnsi="Times New Roman" w:cs="Times New Roman"/>
          <w:bCs/>
          <w:lang w:val="ro-MD"/>
        </w:rPr>
        <w:t>și o</w:t>
      </w:r>
      <w:r w:rsidRPr="000508B6">
        <w:rPr>
          <w:rFonts w:ascii="Times New Roman" w:eastAsia="Times New Roman" w:hAnsi="Times New Roman" w:cs="Times New Roman"/>
          <w:bCs/>
          <w:lang w:val="ro-MD"/>
        </w:rPr>
        <w:t xml:space="preserve"> </w:t>
      </w:r>
      <w:r w:rsidR="00DD2B6B" w:rsidRPr="000508B6">
        <w:rPr>
          <w:rFonts w:ascii="Times New Roman" w:eastAsia="Times New Roman" w:hAnsi="Times New Roman" w:cs="Times New Roman"/>
          <w:bCs/>
          <w:lang w:val="ro-MD"/>
        </w:rPr>
        <w:t xml:space="preserve">analiză a </w:t>
      </w:r>
      <w:r w:rsidRPr="000508B6">
        <w:rPr>
          <w:rFonts w:ascii="Times New Roman" w:eastAsia="Times New Roman" w:hAnsi="Times New Roman" w:cs="Times New Roman"/>
          <w:bCs/>
          <w:lang w:val="ro-MD"/>
        </w:rPr>
        <w:t xml:space="preserve">lichidității pe termen mediu și lung. </w:t>
      </w:r>
    </w:p>
    <w:p w14:paraId="3B3423D3" w14:textId="762D1E2C" w:rsidR="00EB7218" w:rsidRPr="000508B6" w:rsidRDefault="00D068AA" w:rsidP="000A404B">
      <w:pPr>
        <w:pStyle w:val="Listparagraf"/>
        <w:numPr>
          <w:ilvl w:val="1"/>
          <w:numId w:val="433"/>
        </w:numPr>
        <w:tabs>
          <w:tab w:val="left" w:pos="709"/>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007D3A9C" w:rsidRPr="000508B6">
        <w:rPr>
          <w:rFonts w:ascii="Times New Roman" w:eastAsia="Times New Roman" w:hAnsi="Times New Roman" w:cs="Times New Roman"/>
          <w:bCs/>
          <w:lang w:val="ro-MD"/>
        </w:rPr>
        <w:t xml:space="preserve"> </w:t>
      </w:r>
      <w:r w:rsidR="00EB7218" w:rsidRPr="000508B6">
        <w:rPr>
          <w:rFonts w:ascii="Times New Roman" w:eastAsia="Times New Roman" w:hAnsi="Times New Roman" w:cs="Times New Roman"/>
          <w:bCs/>
          <w:lang w:val="ro-MD"/>
        </w:rPr>
        <w:t>elaborează și menține actualizat un set de indicatori ai riscului de lichiditate pentru a identifica, a monitoriza și a aborda eventualele crize de lichiditate.</w:t>
      </w:r>
    </w:p>
    <w:p w14:paraId="5A4F327D" w14:textId="6F39BB4C" w:rsidR="00EB7218" w:rsidRPr="000508B6" w:rsidRDefault="00D068AA" w:rsidP="000A404B">
      <w:pPr>
        <w:pStyle w:val="Listparagraf"/>
        <w:numPr>
          <w:ilvl w:val="1"/>
          <w:numId w:val="433"/>
        </w:numPr>
        <w:tabs>
          <w:tab w:val="left" w:pos="709"/>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007D3A9C" w:rsidRPr="000508B6">
        <w:rPr>
          <w:rFonts w:ascii="Times New Roman" w:eastAsia="Times New Roman" w:hAnsi="Times New Roman" w:cs="Times New Roman"/>
          <w:bCs/>
          <w:lang w:val="ro-MD"/>
        </w:rPr>
        <w:t xml:space="preserve"> </w:t>
      </w:r>
      <w:r w:rsidR="00EB7218" w:rsidRPr="000508B6">
        <w:rPr>
          <w:rFonts w:ascii="Times New Roman" w:eastAsia="Times New Roman" w:hAnsi="Times New Roman" w:cs="Times New Roman"/>
          <w:bCs/>
          <w:lang w:val="ro-MD"/>
        </w:rPr>
        <w:t xml:space="preserve">prezintă Băncii Naționale a Moldovei planul de management al riscului de lichiditate în cadrul informațiilor menționate la art. </w:t>
      </w:r>
      <w:r w:rsidR="00EE1710" w:rsidRPr="000508B6">
        <w:rPr>
          <w:rFonts w:ascii="Times New Roman" w:eastAsia="Times New Roman" w:hAnsi="Times New Roman" w:cs="Times New Roman"/>
          <w:bCs/>
          <w:lang w:val="ro-MD"/>
        </w:rPr>
        <w:t>179</w:t>
      </w:r>
      <w:r w:rsidR="00EB7218" w:rsidRPr="000508B6">
        <w:rPr>
          <w:rFonts w:ascii="Times New Roman" w:eastAsia="Times New Roman" w:hAnsi="Times New Roman" w:cs="Times New Roman"/>
          <w:bCs/>
          <w:lang w:val="ro-MD"/>
        </w:rPr>
        <w:t xml:space="preserve"> alin. (1).</w:t>
      </w:r>
    </w:p>
    <w:p w14:paraId="2B50C146" w14:textId="4AA2C6D8" w:rsidR="00EB7218" w:rsidRPr="000508B6" w:rsidRDefault="00D068AA" w:rsidP="000A404B">
      <w:pPr>
        <w:pStyle w:val="Listparagraf"/>
        <w:numPr>
          <w:ilvl w:val="1"/>
          <w:numId w:val="433"/>
        </w:numPr>
        <w:tabs>
          <w:tab w:val="left" w:pos="709"/>
          <w:tab w:val="left" w:pos="851"/>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Asigurătorul sau </w:t>
      </w:r>
      <w:proofErr w:type="spellStart"/>
      <w:r w:rsidRPr="000508B6">
        <w:rPr>
          <w:rFonts w:ascii="Times New Roman" w:eastAsia="Times New Roman" w:hAnsi="Times New Roman" w:cs="Times New Roman"/>
          <w:bCs/>
          <w:lang w:val="ro-MD"/>
        </w:rPr>
        <w:t>reasigurătorul</w:t>
      </w:r>
      <w:proofErr w:type="spellEnd"/>
      <w:r w:rsidR="007D3A9C" w:rsidRPr="000508B6">
        <w:rPr>
          <w:rFonts w:ascii="Times New Roman" w:eastAsia="Times New Roman" w:hAnsi="Times New Roman" w:cs="Times New Roman"/>
          <w:bCs/>
          <w:lang w:val="ro-MD"/>
        </w:rPr>
        <w:t xml:space="preserve"> </w:t>
      </w:r>
      <w:r w:rsidR="00EB7218" w:rsidRPr="000508B6">
        <w:rPr>
          <w:rFonts w:ascii="Times New Roman" w:eastAsia="Times New Roman" w:hAnsi="Times New Roman" w:cs="Times New Roman"/>
          <w:bCs/>
          <w:lang w:val="ro-MD"/>
        </w:rPr>
        <w:t xml:space="preserve">mic și cu un grad redus de complexitate, precum și </w:t>
      </w:r>
      <w:r w:rsidR="007D3A9C" w:rsidRPr="000508B6">
        <w:rPr>
          <w:rFonts w:ascii="Times New Roman" w:eastAsia="Times New Roman" w:hAnsi="Times New Roman" w:cs="Times New Roman"/>
          <w:bCs/>
          <w:lang w:val="ro-MD"/>
        </w:rPr>
        <w:t xml:space="preserve">asigurătorul sau </w:t>
      </w:r>
      <w:proofErr w:type="spellStart"/>
      <w:r w:rsidR="007D3A9C" w:rsidRPr="000508B6">
        <w:rPr>
          <w:rFonts w:ascii="Times New Roman" w:eastAsia="Times New Roman" w:hAnsi="Times New Roman" w:cs="Times New Roman"/>
          <w:bCs/>
          <w:lang w:val="ro-MD"/>
        </w:rPr>
        <w:t>reasigurătorul</w:t>
      </w:r>
      <w:proofErr w:type="spellEnd"/>
      <w:r w:rsidR="007D3A9C" w:rsidRPr="000508B6">
        <w:rPr>
          <w:rFonts w:ascii="Times New Roman" w:eastAsia="Times New Roman" w:hAnsi="Times New Roman" w:cs="Times New Roman"/>
          <w:bCs/>
          <w:lang w:val="ro-MD"/>
        </w:rPr>
        <w:t xml:space="preserve"> </w:t>
      </w:r>
      <w:r w:rsidR="00EB7218" w:rsidRPr="000508B6">
        <w:rPr>
          <w:rFonts w:ascii="Times New Roman" w:eastAsia="Times New Roman" w:hAnsi="Times New Roman" w:cs="Times New Roman"/>
          <w:bCs/>
          <w:lang w:val="ro-MD"/>
        </w:rPr>
        <w:t xml:space="preserve">care a obținut aprobarea Băncii Naționale a Moldovei în temeiul art. </w:t>
      </w:r>
      <w:r w:rsidR="00EE1710" w:rsidRPr="000508B6">
        <w:rPr>
          <w:rFonts w:ascii="Times New Roman" w:eastAsia="Times New Roman" w:hAnsi="Times New Roman" w:cs="Times New Roman"/>
          <w:bCs/>
          <w:lang w:val="ro-MD"/>
        </w:rPr>
        <w:t>173</w:t>
      </w:r>
      <w:r w:rsidR="007D3A9C" w:rsidRPr="000508B6">
        <w:rPr>
          <w:rFonts w:ascii="Times New Roman" w:eastAsia="Times New Roman" w:hAnsi="Times New Roman" w:cs="Times New Roman"/>
          <w:bCs/>
          <w:lang w:val="ro-MD"/>
        </w:rPr>
        <w:t>,</w:t>
      </w:r>
      <w:r w:rsidR="00EB7218" w:rsidRPr="000508B6">
        <w:rPr>
          <w:rFonts w:ascii="Times New Roman" w:eastAsia="Times New Roman" w:hAnsi="Times New Roman" w:cs="Times New Roman"/>
          <w:bCs/>
          <w:lang w:val="ro-MD"/>
        </w:rPr>
        <w:t xml:space="preserve"> nu </w:t>
      </w:r>
      <w:r w:rsidR="00D62269" w:rsidRPr="000508B6">
        <w:rPr>
          <w:rFonts w:ascii="Times New Roman" w:eastAsia="Times New Roman" w:hAnsi="Times New Roman" w:cs="Times New Roman"/>
          <w:bCs/>
          <w:lang w:val="ro-MD"/>
        </w:rPr>
        <w:t xml:space="preserve">este </w:t>
      </w:r>
      <w:r w:rsidR="00EB7218" w:rsidRPr="000508B6">
        <w:rPr>
          <w:rFonts w:ascii="Times New Roman" w:eastAsia="Times New Roman" w:hAnsi="Times New Roman" w:cs="Times New Roman"/>
          <w:bCs/>
          <w:lang w:val="ro-MD"/>
        </w:rPr>
        <w:t xml:space="preserve">obligat să întocmească planul de management al riscului de lichiditate menționat la alin. (2).  </w:t>
      </w:r>
    </w:p>
    <w:p w14:paraId="243A8B20" w14:textId="77777777" w:rsidR="00316F8C" w:rsidRPr="000508B6" w:rsidRDefault="00316F8C" w:rsidP="00671CDA">
      <w:pPr>
        <w:pStyle w:val="Listparagraf"/>
        <w:tabs>
          <w:tab w:val="left" w:pos="993"/>
        </w:tabs>
        <w:spacing w:after="0" w:line="240" w:lineRule="auto"/>
        <w:ind w:left="567"/>
        <w:jc w:val="both"/>
        <w:rPr>
          <w:rFonts w:ascii="Times New Roman" w:eastAsia="Times New Roman" w:hAnsi="Times New Roman" w:cs="Times New Roman"/>
          <w:b/>
          <w:lang w:val="ro-MD"/>
        </w:rPr>
      </w:pPr>
    </w:p>
    <w:p w14:paraId="72FB0E3B" w14:textId="7E161846" w:rsidR="00F95829" w:rsidRPr="000508B6" w:rsidRDefault="00F95829" w:rsidP="00671CDA">
      <w:pPr>
        <w:pStyle w:val="Listparagraf"/>
        <w:tabs>
          <w:tab w:val="left" w:pos="993"/>
        </w:tabs>
        <w:spacing w:after="0" w:line="240" w:lineRule="auto"/>
        <w:ind w:left="567"/>
        <w:jc w:val="both"/>
        <w:rPr>
          <w:rFonts w:ascii="Times New Roman" w:eastAsia="Times New Roman" w:hAnsi="Times New Roman" w:cs="Times New Roman"/>
          <w:lang w:val="ro-MD"/>
        </w:rPr>
      </w:pPr>
      <w:bookmarkStart w:id="87" w:name="_Hlk218071352"/>
      <w:r w:rsidRPr="000508B6">
        <w:rPr>
          <w:rFonts w:ascii="Times New Roman" w:eastAsia="Times New Roman" w:hAnsi="Times New Roman" w:cs="Times New Roman"/>
          <w:b/>
          <w:lang w:val="ro-MD"/>
        </w:rPr>
        <w:t>Articolul</w:t>
      </w:r>
      <w:r w:rsidR="00CC61C4" w:rsidRPr="000508B6">
        <w:rPr>
          <w:rFonts w:ascii="Times New Roman" w:eastAsia="Times New Roman" w:hAnsi="Times New Roman" w:cs="Times New Roman"/>
          <w:b/>
          <w:lang w:val="ro-MD"/>
        </w:rPr>
        <w:t xml:space="preserve"> </w:t>
      </w:r>
      <w:r w:rsidR="006A65E4" w:rsidRPr="000508B6">
        <w:rPr>
          <w:rFonts w:ascii="Times New Roman" w:eastAsia="Times New Roman" w:hAnsi="Times New Roman" w:cs="Times New Roman"/>
          <w:b/>
          <w:lang w:val="ro-MD"/>
        </w:rPr>
        <w:t>27</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216219" w:rsidRPr="000508B6">
        <w:rPr>
          <w:rFonts w:ascii="Times New Roman" w:eastAsia="Times New Roman" w:hAnsi="Times New Roman" w:cs="Times New Roman"/>
          <w:lang w:val="ro-MD"/>
        </w:rPr>
        <w:t>Autoe</w:t>
      </w:r>
      <w:r w:rsidR="004D62C0" w:rsidRPr="000508B6">
        <w:rPr>
          <w:rFonts w:ascii="Times New Roman" w:eastAsia="Times New Roman" w:hAnsi="Times New Roman" w:cs="Times New Roman"/>
          <w:lang w:val="ro-MD"/>
        </w:rPr>
        <w:t xml:space="preserve">valuarea </w:t>
      </w:r>
      <w:r w:rsidRPr="000508B6">
        <w:rPr>
          <w:rFonts w:ascii="Times New Roman" w:eastAsia="Times New Roman" w:hAnsi="Times New Roman" w:cs="Times New Roman"/>
          <w:lang w:val="ro-MD"/>
        </w:rPr>
        <w:t xml:space="preserve">riscurilor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solvabilităţii</w:t>
      </w:r>
      <w:proofErr w:type="spellEnd"/>
    </w:p>
    <w:p w14:paraId="40F635FF" w14:textId="75D27189" w:rsidR="001A534D" w:rsidRPr="000508B6" w:rsidRDefault="00F95829" w:rsidP="000A404B">
      <w:pPr>
        <w:pStyle w:val="Listparagraf"/>
        <w:numPr>
          <w:ilvl w:val="0"/>
          <w:numId w:val="10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cadrul sistemului de management al riscului, </w:t>
      </w:r>
      <w:r w:rsidR="00A341CF" w:rsidRPr="000508B6">
        <w:rPr>
          <w:rFonts w:ascii="Times New Roman" w:eastAsia="Times New Roman" w:hAnsi="Times New Roman" w:cs="Times New Roman"/>
          <w:lang w:val="ro-MD"/>
        </w:rPr>
        <w:t xml:space="preserve">asigurătorul sau </w:t>
      </w:r>
      <w:proofErr w:type="spellStart"/>
      <w:r w:rsidR="00A341CF" w:rsidRPr="000508B6">
        <w:rPr>
          <w:rFonts w:ascii="Times New Roman" w:eastAsia="Times New Roman" w:hAnsi="Times New Roman" w:cs="Times New Roman"/>
          <w:lang w:val="ro-MD"/>
        </w:rPr>
        <w:t>reasigurătorul</w:t>
      </w:r>
      <w:proofErr w:type="spellEnd"/>
      <w:r w:rsidR="00A341C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efectuează</w:t>
      </w:r>
      <w:r w:rsidR="00A60F62" w:rsidRPr="000508B6">
        <w:rPr>
          <w:rFonts w:ascii="Times New Roman" w:hAnsi="Times New Roman" w:cs="Times New Roman"/>
          <w:lang w:val="ro-MD"/>
        </w:rPr>
        <w:t xml:space="preserve"> </w:t>
      </w:r>
      <w:r w:rsidR="00A60F62" w:rsidRPr="000508B6">
        <w:rPr>
          <w:rFonts w:ascii="Times New Roman" w:eastAsia="Times New Roman" w:hAnsi="Times New Roman" w:cs="Times New Roman"/>
          <w:lang w:val="ro-MD"/>
        </w:rPr>
        <w:t xml:space="preserve">autoevaluarea riscurilor </w:t>
      </w:r>
      <w:proofErr w:type="spellStart"/>
      <w:r w:rsidR="00A60F62" w:rsidRPr="000508B6">
        <w:rPr>
          <w:rFonts w:ascii="Times New Roman" w:eastAsia="Times New Roman" w:hAnsi="Times New Roman" w:cs="Times New Roman"/>
          <w:lang w:val="ro-MD"/>
        </w:rPr>
        <w:t>şi</w:t>
      </w:r>
      <w:proofErr w:type="spellEnd"/>
      <w:r w:rsidR="00A60F62" w:rsidRPr="000508B6">
        <w:rPr>
          <w:rFonts w:ascii="Times New Roman" w:eastAsia="Times New Roman" w:hAnsi="Times New Roman" w:cs="Times New Roman"/>
          <w:lang w:val="ro-MD"/>
        </w:rPr>
        <w:t xml:space="preserve"> a </w:t>
      </w:r>
      <w:proofErr w:type="spellStart"/>
      <w:r w:rsidR="00A60F62" w:rsidRPr="000508B6">
        <w:rPr>
          <w:rFonts w:ascii="Times New Roman" w:eastAsia="Times New Roman" w:hAnsi="Times New Roman" w:cs="Times New Roman"/>
          <w:lang w:val="ro-MD"/>
        </w:rPr>
        <w:t>solvabilităţii</w:t>
      </w:r>
      <w:proofErr w:type="spellEnd"/>
      <w:r w:rsidR="00A60F62" w:rsidRPr="000508B6">
        <w:rPr>
          <w:rFonts w:ascii="Times New Roman" w:eastAsia="Times New Roman" w:hAnsi="Times New Roman" w:cs="Times New Roman"/>
          <w:lang w:val="ro-MD"/>
        </w:rPr>
        <w:t>, denumită în continuare</w:t>
      </w:r>
      <w:r w:rsidRPr="000508B6">
        <w:rPr>
          <w:rFonts w:ascii="Times New Roman" w:eastAsia="Times New Roman" w:hAnsi="Times New Roman" w:cs="Times New Roman"/>
          <w:lang w:val="ro-MD"/>
        </w:rPr>
        <w:t xml:space="preserve"> ORSA, </w:t>
      </w:r>
      <w:r w:rsidR="001A534D" w:rsidRPr="000508B6">
        <w:rPr>
          <w:rFonts w:ascii="Times New Roman" w:eastAsia="Times New Roman" w:hAnsi="Times New Roman" w:cs="Times New Roman"/>
          <w:lang w:val="ro-MD"/>
        </w:rPr>
        <w:t xml:space="preserve">iar rezultatele acesteia constituie o parte integrantă a strategiei de afaceri </w:t>
      </w:r>
      <w:proofErr w:type="spellStart"/>
      <w:r w:rsidR="001A534D" w:rsidRPr="000508B6">
        <w:rPr>
          <w:rFonts w:ascii="Times New Roman" w:eastAsia="Times New Roman" w:hAnsi="Times New Roman" w:cs="Times New Roman"/>
          <w:lang w:val="ro-MD"/>
        </w:rPr>
        <w:t>şi</w:t>
      </w:r>
      <w:proofErr w:type="spellEnd"/>
      <w:r w:rsidR="001A534D" w:rsidRPr="000508B6">
        <w:rPr>
          <w:rFonts w:ascii="Times New Roman" w:eastAsia="Times New Roman" w:hAnsi="Times New Roman" w:cs="Times New Roman"/>
          <w:lang w:val="ro-MD"/>
        </w:rPr>
        <w:t xml:space="preserve"> reprezintă un instrument important în procesul decizional.</w:t>
      </w:r>
    </w:p>
    <w:p w14:paraId="245DD330" w14:textId="0F5C0DFD" w:rsidR="00F95829" w:rsidRPr="000508B6" w:rsidRDefault="001A534D" w:rsidP="000A404B">
      <w:pPr>
        <w:pStyle w:val="Listparagraf"/>
        <w:numPr>
          <w:ilvl w:val="0"/>
          <w:numId w:val="10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ORSA </w:t>
      </w:r>
      <w:r w:rsidR="001327DE" w:rsidRPr="000508B6">
        <w:rPr>
          <w:rFonts w:ascii="Times New Roman" w:eastAsia="Times New Roman" w:hAnsi="Times New Roman" w:cs="Times New Roman"/>
          <w:lang w:val="ro-MD"/>
        </w:rPr>
        <w:t>cuprinde</w:t>
      </w:r>
      <w:r w:rsidR="00AC4F5B" w:rsidRPr="000508B6">
        <w:rPr>
          <w:rFonts w:ascii="Times New Roman" w:eastAsia="Times New Roman" w:hAnsi="Times New Roman" w:cs="Times New Roman"/>
          <w:lang w:val="ro-MD"/>
        </w:rPr>
        <w:t xml:space="preserve"> cel </w:t>
      </w:r>
      <w:proofErr w:type="spellStart"/>
      <w:r w:rsidR="00AC4F5B" w:rsidRPr="000508B6">
        <w:rPr>
          <w:rFonts w:ascii="Times New Roman" w:eastAsia="Times New Roman" w:hAnsi="Times New Roman" w:cs="Times New Roman"/>
          <w:lang w:val="ro-MD"/>
        </w:rPr>
        <w:t>puţin</w:t>
      </w:r>
      <w:proofErr w:type="spellEnd"/>
      <w:r w:rsidR="00AC4F5B" w:rsidRPr="000508B6">
        <w:rPr>
          <w:rFonts w:ascii="Times New Roman" w:eastAsia="Times New Roman" w:hAnsi="Times New Roman" w:cs="Times New Roman"/>
          <w:lang w:val="ro-MD"/>
        </w:rPr>
        <w:t>:</w:t>
      </w:r>
    </w:p>
    <w:p w14:paraId="3F5573FD" w14:textId="7B782546" w:rsidR="00F95829" w:rsidRPr="000508B6" w:rsidRDefault="00F95829" w:rsidP="00DC5671">
      <w:pPr>
        <w:pStyle w:val="Listparagraf"/>
        <w:numPr>
          <w:ilvl w:val="0"/>
          <w:numId w:val="110"/>
        </w:numPr>
        <w:tabs>
          <w:tab w:val="left" w:pos="709"/>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lastRenderedPageBreak/>
        <w:t>necesităţile</w:t>
      </w:r>
      <w:proofErr w:type="spellEnd"/>
      <w:r w:rsidRPr="000508B6">
        <w:rPr>
          <w:rFonts w:ascii="Times New Roman" w:eastAsia="Times New Roman" w:hAnsi="Times New Roman" w:cs="Times New Roman"/>
          <w:lang w:val="ro-MD"/>
        </w:rPr>
        <w:t xml:space="preserve"> generale de solvabilitate, în </w:t>
      </w:r>
      <w:proofErr w:type="spellStart"/>
      <w:r w:rsidRPr="000508B6">
        <w:rPr>
          <w:rFonts w:ascii="Times New Roman" w:eastAsia="Times New Roman" w:hAnsi="Times New Roman" w:cs="Times New Roman"/>
          <w:lang w:val="ro-MD"/>
        </w:rPr>
        <w:t>funcţie</w:t>
      </w:r>
      <w:proofErr w:type="spellEnd"/>
      <w:r w:rsidRPr="000508B6">
        <w:rPr>
          <w:rFonts w:ascii="Times New Roman" w:eastAsia="Times New Roman" w:hAnsi="Times New Roman" w:cs="Times New Roman"/>
          <w:lang w:val="ro-MD"/>
        </w:rPr>
        <w:t xml:space="preserve"> de profilul de risc specific</w:t>
      </w:r>
      <w:r w:rsidR="00751FD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limitele de </w:t>
      </w:r>
      <w:proofErr w:type="spellStart"/>
      <w:r w:rsidRPr="000508B6">
        <w:rPr>
          <w:rFonts w:ascii="Times New Roman" w:eastAsia="Times New Roman" w:hAnsi="Times New Roman" w:cs="Times New Roman"/>
          <w:lang w:val="ro-MD"/>
        </w:rPr>
        <w:t>toleranţă</w:t>
      </w:r>
      <w:proofErr w:type="spellEnd"/>
      <w:r w:rsidRPr="000508B6">
        <w:rPr>
          <w:rFonts w:ascii="Times New Roman" w:eastAsia="Times New Roman" w:hAnsi="Times New Roman" w:cs="Times New Roman"/>
          <w:lang w:val="ro-MD"/>
        </w:rPr>
        <w:t xml:space="preserve"> la risc aprobate</w:t>
      </w:r>
      <w:r w:rsidR="008F4466"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strategia adoptată;</w:t>
      </w:r>
    </w:p>
    <w:p w14:paraId="4C4F8CEC" w14:textId="6F2D194C" w:rsidR="00F95829" w:rsidRPr="000508B6" w:rsidRDefault="00F95829" w:rsidP="00DE4225">
      <w:pPr>
        <w:pStyle w:val="Listparagraf"/>
        <w:numPr>
          <w:ilvl w:val="0"/>
          <w:numId w:val="11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respectarea în </w:t>
      </w:r>
      <w:proofErr w:type="spellStart"/>
      <w:r w:rsidRPr="000508B6">
        <w:rPr>
          <w:rFonts w:ascii="Times New Roman" w:eastAsia="Times New Roman" w:hAnsi="Times New Roman" w:cs="Times New Roman"/>
          <w:lang w:val="ro-MD"/>
        </w:rPr>
        <w:t>permanenţă</w:t>
      </w:r>
      <w:proofErr w:type="spellEnd"/>
      <w:r w:rsidRPr="000508B6">
        <w:rPr>
          <w:rFonts w:ascii="Times New Roman" w:eastAsia="Times New Roman" w:hAnsi="Times New Roman" w:cs="Times New Roman"/>
          <w:lang w:val="ro-MD"/>
        </w:rPr>
        <w:t xml:space="preserve"> a SCR, MCR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cerinţelor</w:t>
      </w:r>
      <w:proofErr w:type="spellEnd"/>
      <w:r w:rsidRPr="000508B6">
        <w:rPr>
          <w:rFonts w:ascii="Times New Roman" w:eastAsia="Times New Roman" w:hAnsi="Times New Roman" w:cs="Times New Roman"/>
          <w:lang w:val="ro-MD"/>
        </w:rPr>
        <w:t xml:space="preserve"> privind rezervele tehnice</w:t>
      </w:r>
      <w:r w:rsidR="00107E9E" w:rsidRPr="000508B6">
        <w:rPr>
          <w:rFonts w:ascii="Times New Roman" w:eastAsia="Times New Roman" w:hAnsi="Times New Roman" w:cs="Times New Roman"/>
          <w:lang w:val="ro-MD"/>
        </w:rPr>
        <w:t xml:space="preserve"> astfel cum sunt prevăzute la </w:t>
      </w:r>
      <w:r w:rsidR="00C013FB" w:rsidRPr="000508B6">
        <w:rPr>
          <w:rFonts w:ascii="Times New Roman" w:eastAsia="Times New Roman" w:hAnsi="Times New Roman" w:cs="Times New Roman"/>
          <w:lang w:val="ro-MD"/>
        </w:rPr>
        <w:t>art.</w:t>
      </w:r>
      <w:r w:rsidR="00444C1E" w:rsidRPr="000508B6">
        <w:rPr>
          <w:rFonts w:ascii="Times New Roman" w:eastAsia="Times New Roman" w:hAnsi="Times New Roman" w:cs="Times New Roman"/>
          <w:lang w:val="ro-MD"/>
        </w:rPr>
        <w:t xml:space="preserve"> </w:t>
      </w:r>
      <w:r w:rsidR="00C013FB" w:rsidRPr="000508B6">
        <w:rPr>
          <w:rFonts w:ascii="Times New Roman" w:eastAsia="Times New Roman" w:hAnsi="Times New Roman" w:cs="Times New Roman"/>
          <w:lang w:val="ro-MD"/>
        </w:rPr>
        <w:t>41-90</w:t>
      </w:r>
      <w:r w:rsidRPr="000508B6">
        <w:rPr>
          <w:rFonts w:ascii="Times New Roman" w:eastAsia="Times New Roman" w:hAnsi="Times New Roman" w:cs="Times New Roman"/>
          <w:lang w:val="ro-MD"/>
        </w:rPr>
        <w:t>;</w:t>
      </w:r>
    </w:p>
    <w:p w14:paraId="22DE15AC" w14:textId="7614F2AA" w:rsidR="00F95829" w:rsidRPr="000508B6" w:rsidRDefault="00F95829" w:rsidP="00DE4225">
      <w:pPr>
        <w:pStyle w:val="Listparagraf"/>
        <w:numPr>
          <w:ilvl w:val="0"/>
          <w:numId w:val="11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gradul de </w:t>
      </w:r>
      <w:proofErr w:type="spellStart"/>
      <w:r w:rsidRPr="000508B6">
        <w:rPr>
          <w:rFonts w:ascii="Times New Roman" w:eastAsia="Times New Roman" w:hAnsi="Times New Roman" w:cs="Times New Roman"/>
          <w:lang w:val="ro-MD"/>
        </w:rPr>
        <w:t>semnificaţie</w:t>
      </w:r>
      <w:proofErr w:type="spellEnd"/>
      <w:r w:rsidRPr="000508B6">
        <w:rPr>
          <w:rFonts w:ascii="Times New Roman" w:eastAsia="Times New Roman" w:hAnsi="Times New Roman" w:cs="Times New Roman"/>
          <w:lang w:val="ro-MD"/>
        </w:rPr>
        <w:t xml:space="preserve"> a</w:t>
      </w:r>
      <w:r w:rsidR="00DB26F9" w:rsidRPr="000508B6">
        <w:rPr>
          <w:rFonts w:ascii="Times New Roman" w:eastAsia="Times New Roman" w:hAnsi="Times New Roman" w:cs="Times New Roman"/>
          <w:lang w:val="ro-MD"/>
        </w:rPr>
        <w:t>l</w:t>
      </w:r>
      <w:r w:rsidRPr="000508B6">
        <w:rPr>
          <w:rFonts w:ascii="Times New Roman" w:eastAsia="Times New Roman" w:hAnsi="Times New Roman" w:cs="Times New Roman"/>
          <w:lang w:val="ro-MD"/>
        </w:rPr>
        <w:t xml:space="preserve"> abaterii profilului de risc de la ipotezele care stau la baza calculării SCR</w:t>
      </w:r>
      <w:r w:rsidR="00B03F6E" w:rsidRPr="000508B6">
        <w:rPr>
          <w:rFonts w:ascii="Times New Roman" w:eastAsia="Times New Roman" w:hAnsi="Times New Roman" w:cs="Times New Roman"/>
          <w:lang w:val="ro-MD"/>
        </w:rPr>
        <w:t>;</w:t>
      </w:r>
    </w:p>
    <w:p w14:paraId="6AC51B93" w14:textId="1C9622AF" w:rsidR="002C55CF" w:rsidRPr="000508B6" w:rsidRDefault="00E16AC5" w:rsidP="00DE4225">
      <w:pPr>
        <w:pStyle w:val="Listparagraf"/>
        <w:numPr>
          <w:ilvl w:val="0"/>
          <w:numId w:val="11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analiza situației macroeconomice și a posibilelor evoluții la nivel macroeconomic și la nivelul piețelor financiare</w:t>
      </w:r>
      <w:r w:rsidR="001A534D" w:rsidRPr="000508B6">
        <w:rPr>
          <w:rFonts w:ascii="Times New Roman" w:eastAsia="Times New Roman" w:hAnsi="Times New Roman" w:cs="Times New Roman"/>
          <w:lang w:val="ro-MD"/>
        </w:rPr>
        <w:t>, proporțională cu natura riscurilor, precum și cu amploarea și complexitatea activității</w:t>
      </w:r>
      <w:r w:rsidR="00751FD2" w:rsidRPr="000508B6">
        <w:rPr>
          <w:rFonts w:ascii="Times New Roman" w:eastAsia="Times New Roman" w:hAnsi="Times New Roman" w:cs="Times New Roman"/>
          <w:lang w:val="ro-MD"/>
        </w:rPr>
        <w:t>;</w:t>
      </w:r>
      <w:bookmarkEnd w:id="87"/>
      <w:r w:rsidR="00962328" w:rsidRPr="000508B6">
        <w:rPr>
          <w:rFonts w:ascii="Times New Roman" w:eastAsia="Times New Roman" w:hAnsi="Times New Roman" w:cs="Times New Roman"/>
          <w:lang w:val="ro-MD"/>
        </w:rPr>
        <w:t xml:space="preserve"> </w:t>
      </w:r>
      <w:r w:rsidR="002C55CF" w:rsidRPr="000508B6">
        <w:rPr>
          <w:rFonts w:ascii="Times New Roman" w:eastAsia="Times New Roman" w:hAnsi="Times New Roman" w:cs="Times New Roman"/>
          <w:lang w:val="ro-MD"/>
        </w:rPr>
        <w:t xml:space="preserve"> </w:t>
      </w:r>
    </w:p>
    <w:p w14:paraId="7DE673A0" w14:textId="264016DE" w:rsidR="002C55CF" w:rsidRPr="000508B6" w:rsidRDefault="002C55CF" w:rsidP="00DE4225">
      <w:pPr>
        <w:pStyle w:val="Listparagraf"/>
        <w:numPr>
          <w:ilvl w:val="0"/>
          <w:numId w:val="11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capacitatea generală de a-și onora obligațiile financiare față de asigurați și față de alte contrapartide atunci când obligațiile respective devin scadente, chiar și în condiții de criză.</w:t>
      </w:r>
    </w:p>
    <w:p w14:paraId="577C8617" w14:textId="73FB2F94" w:rsidR="00751FD2" w:rsidRPr="000508B6" w:rsidRDefault="00F8479D" w:rsidP="00DE4225">
      <w:pPr>
        <w:pStyle w:val="Listparagraf"/>
        <w:numPr>
          <w:ilvl w:val="0"/>
          <w:numId w:val="11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w:t>
      </w:r>
      <w:r w:rsidR="00290EEE" w:rsidRPr="000508B6">
        <w:rPr>
          <w:rFonts w:ascii="Times New Roman" w:eastAsia="Times New Roman" w:hAnsi="Times New Roman" w:cs="Times New Roman"/>
          <w:lang w:val="ro-MD"/>
        </w:rPr>
        <w:t>iscurile prezentate în raportul privind aplicarea politicilor de management al investițiilor pe terme</w:t>
      </w:r>
      <w:r w:rsidRPr="000508B6">
        <w:rPr>
          <w:rFonts w:ascii="Times New Roman" w:eastAsia="Times New Roman" w:hAnsi="Times New Roman" w:cs="Times New Roman"/>
          <w:lang w:val="ro-MD"/>
        </w:rPr>
        <w:t>n</w:t>
      </w:r>
      <w:r w:rsidR="00290EEE" w:rsidRPr="000508B6">
        <w:rPr>
          <w:rFonts w:ascii="Times New Roman" w:eastAsia="Times New Roman" w:hAnsi="Times New Roman" w:cs="Times New Roman"/>
          <w:lang w:val="ro-MD"/>
        </w:rPr>
        <w:t xml:space="preserve"> lung</w:t>
      </w:r>
      <w:r w:rsidRPr="000508B6">
        <w:rPr>
          <w:rFonts w:ascii="Times New Roman" w:eastAsia="Times New Roman" w:hAnsi="Times New Roman" w:cs="Times New Roman"/>
          <w:lang w:val="ro-MD"/>
        </w:rPr>
        <w:t xml:space="preserve"> prevăzute la art. 69 alin. (2) lit. b</w:t>
      </w:r>
      <w:r w:rsidR="00DC5671"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w:t>
      </w:r>
    </w:p>
    <w:p w14:paraId="47479807" w14:textId="346ACA67" w:rsidR="00E16AC5" w:rsidRPr="000508B6" w:rsidRDefault="001A534D" w:rsidP="000A404B">
      <w:pPr>
        <w:pStyle w:val="Listparagraf"/>
        <w:numPr>
          <w:ilvl w:val="0"/>
          <w:numId w:val="10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w:t>
      </w:r>
      <w:r w:rsidR="00E16AC5" w:rsidRPr="000508B6">
        <w:rPr>
          <w:rFonts w:ascii="Times New Roman" w:eastAsia="Times New Roman" w:hAnsi="Times New Roman" w:cs="Times New Roman"/>
          <w:lang w:val="ro-MD"/>
        </w:rPr>
        <w:t xml:space="preserve">a </w:t>
      </w:r>
      <w:r w:rsidR="00B117BD" w:rsidRPr="000508B6">
        <w:rPr>
          <w:rFonts w:ascii="Times New Roman" w:eastAsia="Times New Roman" w:hAnsi="Times New Roman" w:cs="Times New Roman"/>
          <w:lang w:val="ro-MD"/>
        </w:rPr>
        <w:t>solicitarea</w:t>
      </w:r>
      <w:r w:rsidR="00E16AC5" w:rsidRPr="000508B6">
        <w:rPr>
          <w:rFonts w:ascii="Times New Roman" w:eastAsia="Times New Roman" w:hAnsi="Times New Roman" w:cs="Times New Roman"/>
          <w:lang w:val="ro-MD"/>
        </w:rPr>
        <w:t xml:space="preserve"> motivată a Băncii Naționale a Moldovei</w:t>
      </w:r>
      <w:r w:rsidR="00173E81" w:rsidRPr="000508B6">
        <w:rPr>
          <w:rFonts w:ascii="Times New Roman" w:eastAsia="Times New Roman" w:hAnsi="Times New Roman" w:cs="Times New Roman"/>
          <w:lang w:val="ro-MD"/>
        </w:rPr>
        <w:t>,</w:t>
      </w:r>
      <w:r w:rsidR="003E4DB8"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B117BD" w:rsidRPr="000508B6">
        <w:rPr>
          <w:rFonts w:ascii="Times New Roman" w:eastAsia="Times New Roman" w:hAnsi="Times New Roman" w:cs="Times New Roman"/>
          <w:lang w:val="ro-MD"/>
        </w:rPr>
        <w:t xml:space="preserve"> </w:t>
      </w:r>
      <w:r w:rsidR="00173E81" w:rsidRPr="000508B6">
        <w:rPr>
          <w:rFonts w:ascii="Times New Roman" w:eastAsia="Times New Roman" w:hAnsi="Times New Roman" w:cs="Times New Roman"/>
          <w:lang w:val="ro-MD"/>
        </w:rPr>
        <w:t>analiz</w:t>
      </w:r>
      <w:r w:rsidRPr="000508B6">
        <w:rPr>
          <w:rFonts w:ascii="Times New Roman" w:eastAsia="Times New Roman" w:hAnsi="Times New Roman" w:cs="Times New Roman"/>
          <w:lang w:val="ro-MD"/>
        </w:rPr>
        <w:t>ează</w:t>
      </w:r>
      <w:r w:rsidR="003E4DB8" w:rsidRPr="000508B6">
        <w:rPr>
          <w:rFonts w:ascii="Times New Roman" w:eastAsia="Times New Roman" w:hAnsi="Times New Roman" w:cs="Times New Roman"/>
          <w:lang w:val="ro-MD"/>
        </w:rPr>
        <w:t xml:space="preserve"> următoare</w:t>
      </w:r>
      <w:r w:rsidR="002C55CF" w:rsidRPr="000508B6">
        <w:rPr>
          <w:rFonts w:ascii="Times New Roman" w:eastAsia="Times New Roman" w:hAnsi="Times New Roman" w:cs="Times New Roman"/>
          <w:lang w:val="ro-MD"/>
        </w:rPr>
        <w:t>le</w:t>
      </w:r>
      <w:r w:rsidR="003E4DB8" w:rsidRPr="000508B6">
        <w:rPr>
          <w:rFonts w:ascii="Times New Roman" w:eastAsia="Times New Roman" w:hAnsi="Times New Roman" w:cs="Times New Roman"/>
          <w:lang w:val="ro-MD"/>
        </w:rPr>
        <w:t xml:space="preserve"> aspecte</w:t>
      </w:r>
      <w:r w:rsidR="00E16AC5" w:rsidRPr="000508B6">
        <w:rPr>
          <w:rFonts w:ascii="Times New Roman" w:eastAsia="Times New Roman" w:hAnsi="Times New Roman" w:cs="Times New Roman"/>
          <w:lang w:val="ro-MD"/>
        </w:rPr>
        <w:t>:</w:t>
      </w:r>
    </w:p>
    <w:p w14:paraId="20A00CA0" w14:textId="10537B37" w:rsidR="00E16AC5" w:rsidRPr="000508B6" w:rsidRDefault="00E16AC5" w:rsidP="00DE4225">
      <w:pPr>
        <w:pStyle w:val="Listparagraf"/>
        <w:numPr>
          <w:ilvl w:val="0"/>
          <w:numId w:val="34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elemente</w:t>
      </w:r>
      <w:r w:rsidR="005F38E8" w:rsidRPr="000508B6">
        <w:rPr>
          <w:rFonts w:ascii="Times New Roman" w:eastAsia="Times New Roman" w:hAnsi="Times New Roman" w:cs="Times New Roman"/>
          <w:lang w:val="ro-MD"/>
        </w:rPr>
        <w:t>le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macroprudențiale</w:t>
      </w:r>
      <w:proofErr w:type="spellEnd"/>
      <w:r w:rsidRPr="000508B6">
        <w:rPr>
          <w:rFonts w:ascii="Times New Roman" w:eastAsia="Times New Roman" w:hAnsi="Times New Roman" w:cs="Times New Roman"/>
          <w:lang w:val="ro-MD"/>
        </w:rPr>
        <w:t xml:space="preserve"> care pot afecta profilul de risc specific, limitele de toleranță la risc aprobate, strategia de afaceri, activitățile de subscriere sau deciziile de investiții, precum și necesitățile generale privind solvabilitatea ale </w:t>
      </w:r>
      <w:r w:rsidR="00AC0229" w:rsidRPr="000508B6">
        <w:rPr>
          <w:rFonts w:ascii="Times New Roman" w:eastAsia="Times New Roman" w:hAnsi="Times New Roman" w:cs="Times New Roman"/>
          <w:lang w:val="ro-MD"/>
        </w:rPr>
        <w:t xml:space="preserve">asigurătorului sau </w:t>
      </w:r>
      <w:proofErr w:type="spellStart"/>
      <w:r w:rsidR="00AC0229"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menționate la </w:t>
      </w:r>
      <w:r w:rsidR="00F74C96" w:rsidRPr="000508B6">
        <w:rPr>
          <w:rFonts w:ascii="Times New Roman" w:eastAsia="Times New Roman" w:hAnsi="Times New Roman" w:cs="Times New Roman"/>
          <w:lang w:val="ro-MD"/>
        </w:rPr>
        <w:t xml:space="preserve">alin. (2) </w:t>
      </w:r>
      <w:r w:rsidRPr="000508B6">
        <w:rPr>
          <w:rFonts w:ascii="Times New Roman" w:eastAsia="Times New Roman" w:hAnsi="Times New Roman" w:cs="Times New Roman"/>
          <w:lang w:val="ro-MD"/>
        </w:rPr>
        <w:t>lit. a);</w:t>
      </w:r>
    </w:p>
    <w:p w14:paraId="371125ED" w14:textId="23CE73F4" w:rsidR="00E16AC5" w:rsidRPr="000508B6" w:rsidRDefault="00E16AC5" w:rsidP="00DE4225">
      <w:pPr>
        <w:pStyle w:val="Listparagraf"/>
        <w:numPr>
          <w:ilvl w:val="0"/>
          <w:numId w:val="34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activitățile care pot afecta evoluțiile la nivel macroeconomic și la nivelul piețelor financiare și care au potențialul de a se transforma în surse de risc sistemic</w:t>
      </w:r>
      <w:r w:rsidR="00760577" w:rsidRPr="000508B6">
        <w:rPr>
          <w:rFonts w:ascii="Times New Roman" w:eastAsia="Times New Roman" w:hAnsi="Times New Roman" w:cs="Times New Roman"/>
          <w:lang w:val="ro-MD"/>
        </w:rPr>
        <w:t>.</w:t>
      </w:r>
    </w:p>
    <w:p w14:paraId="7CA390B1" w14:textId="6DAAAD44" w:rsidR="003F2400" w:rsidRPr="000508B6" w:rsidRDefault="003F2400" w:rsidP="00CF5AFA">
      <w:pPr>
        <w:pStyle w:val="Listparagraf"/>
        <w:numPr>
          <w:ilvl w:val="0"/>
          <w:numId w:val="109"/>
        </w:numPr>
        <w:tabs>
          <w:tab w:val="left" w:pos="709"/>
          <w:tab w:val="left" w:pos="851"/>
        </w:tabs>
        <w:spacing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sensul alin</w:t>
      </w:r>
      <w:r w:rsidR="00AA28A7"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w:t>
      </w:r>
      <w:r w:rsidR="008A2FC5"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li</w:t>
      </w:r>
      <w:r w:rsidR="00AA28A7"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 xml:space="preserve"> d) și </w:t>
      </w:r>
      <w:r w:rsidR="008A2FC5" w:rsidRPr="000508B6">
        <w:rPr>
          <w:rFonts w:ascii="Times New Roman" w:eastAsia="Times New Roman" w:hAnsi="Times New Roman" w:cs="Times New Roman"/>
          <w:lang w:val="ro-MD"/>
        </w:rPr>
        <w:t xml:space="preserve">alin. </w:t>
      </w:r>
      <w:r w:rsidRPr="000508B6">
        <w:rPr>
          <w:rFonts w:ascii="Times New Roman" w:eastAsia="Times New Roman" w:hAnsi="Times New Roman" w:cs="Times New Roman"/>
          <w:lang w:val="ro-MD"/>
        </w:rPr>
        <w:t>(</w:t>
      </w:r>
      <w:r w:rsidR="008A2FC5"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5E444C" w:rsidRPr="000508B6">
        <w:rPr>
          <w:rFonts w:ascii="Times New Roman" w:eastAsia="Times New Roman" w:hAnsi="Times New Roman" w:cs="Times New Roman"/>
          <w:lang w:val="ro-MD"/>
        </w:rPr>
        <w:t xml:space="preserve"> ia în calcul, cel puțin, următoarele elemente referitoare la </w:t>
      </w:r>
      <w:r w:rsidRPr="000508B6">
        <w:rPr>
          <w:rFonts w:ascii="Times New Roman" w:eastAsia="Times New Roman" w:hAnsi="Times New Roman" w:cs="Times New Roman"/>
          <w:lang w:val="ro-MD"/>
        </w:rPr>
        <w:t xml:space="preserve">evoluții la nivel macroeconomic și </w:t>
      </w:r>
      <w:r w:rsidR="005E444C" w:rsidRPr="000508B6">
        <w:rPr>
          <w:rFonts w:ascii="Times New Roman" w:eastAsia="Times New Roman" w:hAnsi="Times New Roman" w:cs="Times New Roman"/>
          <w:lang w:val="ro-MD"/>
        </w:rPr>
        <w:t>la nivelul</w:t>
      </w:r>
      <w:r w:rsidRPr="000508B6">
        <w:rPr>
          <w:rFonts w:ascii="Times New Roman" w:eastAsia="Times New Roman" w:hAnsi="Times New Roman" w:cs="Times New Roman"/>
          <w:lang w:val="ro-MD"/>
        </w:rPr>
        <w:t xml:space="preserve"> </w:t>
      </w:r>
      <w:r w:rsidR="005E444C" w:rsidRPr="000508B6">
        <w:rPr>
          <w:rFonts w:ascii="Times New Roman" w:eastAsia="Times New Roman" w:hAnsi="Times New Roman" w:cs="Times New Roman"/>
          <w:lang w:val="ro-MD"/>
        </w:rPr>
        <w:t xml:space="preserve">piețelor </w:t>
      </w:r>
      <w:r w:rsidRPr="000508B6">
        <w:rPr>
          <w:rFonts w:ascii="Times New Roman" w:eastAsia="Times New Roman" w:hAnsi="Times New Roman" w:cs="Times New Roman"/>
          <w:lang w:val="ro-MD"/>
        </w:rPr>
        <w:t>financiare:</w:t>
      </w:r>
    </w:p>
    <w:p w14:paraId="29F2C8DE" w14:textId="717A0E89" w:rsidR="003F2400" w:rsidRPr="000508B6" w:rsidRDefault="003F2400" w:rsidP="00CF5AFA">
      <w:pPr>
        <w:pStyle w:val="Listparagraf"/>
        <w:numPr>
          <w:ilvl w:val="3"/>
          <w:numId w:val="342"/>
        </w:numPr>
        <w:tabs>
          <w:tab w:val="left" w:pos="709"/>
          <w:tab w:val="left" w:pos="851"/>
        </w:tabs>
        <w:ind w:left="0"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nivelul ratelor dobânzilor și al marjelor;</w:t>
      </w:r>
    </w:p>
    <w:p w14:paraId="32DCE8CB" w14:textId="5BA88AC1" w:rsidR="003F2400" w:rsidRPr="000508B6" w:rsidRDefault="003F2400" w:rsidP="00CF5AFA">
      <w:pPr>
        <w:pStyle w:val="Listparagraf"/>
        <w:numPr>
          <w:ilvl w:val="3"/>
          <w:numId w:val="342"/>
        </w:numPr>
        <w:tabs>
          <w:tab w:val="left" w:pos="709"/>
          <w:tab w:val="left" w:pos="851"/>
        </w:tabs>
        <w:ind w:left="0" w:firstLine="426"/>
        <w:rPr>
          <w:rFonts w:ascii="Times New Roman" w:eastAsia="Times New Roman" w:hAnsi="Times New Roman" w:cs="Times New Roman"/>
          <w:lang w:val="ro-MD"/>
        </w:rPr>
      </w:pPr>
      <w:r w:rsidRPr="000508B6">
        <w:rPr>
          <w:rFonts w:ascii="Times New Roman" w:eastAsia="Times New Roman" w:hAnsi="Times New Roman" w:cs="Times New Roman"/>
          <w:lang w:val="ro-MD"/>
        </w:rPr>
        <w:t>nivelul indicilor pieței financiare;</w:t>
      </w:r>
    </w:p>
    <w:p w14:paraId="5FDB8ABC" w14:textId="7B525C54" w:rsidR="003F2400" w:rsidRPr="000508B6" w:rsidRDefault="003F2400" w:rsidP="00032A9E">
      <w:pPr>
        <w:pStyle w:val="Listparagraf"/>
        <w:numPr>
          <w:ilvl w:val="3"/>
          <w:numId w:val="342"/>
        </w:numPr>
        <w:tabs>
          <w:tab w:val="left" w:pos="709"/>
          <w:tab w:val="left" w:pos="851"/>
        </w:tabs>
        <w:spacing w:after="0" w:line="240" w:lineRule="auto"/>
        <w:ind w:left="0" w:firstLine="425"/>
        <w:rPr>
          <w:rFonts w:ascii="Times New Roman" w:eastAsia="Times New Roman" w:hAnsi="Times New Roman" w:cs="Times New Roman"/>
          <w:lang w:val="ro-MD"/>
        </w:rPr>
      </w:pPr>
      <w:r w:rsidRPr="000508B6">
        <w:rPr>
          <w:rFonts w:ascii="Times New Roman" w:eastAsia="Times New Roman" w:hAnsi="Times New Roman" w:cs="Times New Roman"/>
          <w:lang w:val="ro-MD"/>
        </w:rPr>
        <w:t>inflația;</w:t>
      </w:r>
    </w:p>
    <w:p w14:paraId="4DD8991B" w14:textId="446A1E43" w:rsidR="003F2400" w:rsidRPr="000508B6" w:rsidRDefault="003F2400" w:rsidP="00032A9E">
      <w:pPr>
        <w:pStyle w:val="Listparagraf"/>
        <w:numPr>
          <w:ilvl w:val="3"/>
          <w:numId w:val="342"/>
        </w:numPr>
        <w:tabs>
          <w:tab w:val="left" w:pos="709"/>
          <w:tab w:val="left" w:pos="851"/>
        </w:tabs>
        <w:spacing w:after="0" w:line="240" w:lineRule="auto"/>
        <w:ind w:left="0" w:firstLine="425"/>
        <w:rPr>
          <w:rFonts w:ascii="Times New Roman" w:eastAsia="Times New Roman" w:hAnsi="Times New Roman" w:cs="Times New Roman"/>
          <w:lang w:val="ro-MD"/>
        </w:rPr>
      </w:pPr>
      <w:r w:rsidRPr="000508B6">
        <w:rPr>
          <w:rFonts w:ascii="Times New Roman" w:eastAsia="Times New Roman" w:hAnsi="Times New Roman" w:cs="Times New Roman"/>
          <w:lang w:val="ro-MD"/>
        </w:rPr>
        <w:t>interconectarea cu alți participanți pe piața financiară;</w:t>
      </w:r>
    </w:p>
    <w:p w14:paraId="6334BDCD" w14:textId="42C2883F" w:rsidR="0020409B" w:rsidRPr="000508B6" w:rsidRDefault="003F2400" w:rsidP="00032A9E">
      <w:pPr>
        <w:pStyle w:val="Listparagraf"/>
        <w:numPr>
          <w:ilvl w:val="3"/>
          <w:numId w:val="342"/>
        </w:numPr>
        <w:tabs>
          <w:tab w:val="left" w:pos="709"/>
          <w:tab w:val="left" w:pos="851"/>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schimbările climatice, pandemiile, alte evenimente de amploare și alte catastrofe, care pot afecta </w:t>
      </w:r>
      <w:r w:rsidR="00AC0229" w:rsidRPr="000508B6">
        <w:rPr>
          <w:rFonts w:ascii="Times New Roman" w:eastAsia="Times New Roman" w:hAnsi="Times New Roman" w:cs="Times New Roman"/>
          <w:lang w:val="ro-MD"/>
        </w:rPr>
        <w:t xml:space="preserve">asigurătorul sau </w:t>
      </w:r>
      <w:proofErr w:type="spellStart"/>
      <w:r w:rsidR="00AC0229"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p>
    <w:p w14:paraId="583A6A7E" w14:textId="22DB9F46" w:rsidR="005E444C" w:rsidRPr="000508B6" w:rsidRDefault="003F2400" w:rsidP="00CF5AF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sensul alin</w:t>
      </w:r>
      <w:r w:rsidR="00144F1E"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5E444C"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lit</w:t>
      </w:r>
      <w:r w:rsidR="00144F1E"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5E444C"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w:t>
      </w:r>
      <w:r w:rsidR="00EE7D0C"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7D3A9C" w:rsidRPr="000508B6">
        <w:rPr>
          <w:rFonts w:ascii="Times New Roman" w:eastAsia="Times New Roman" w:hAnsi="Times New Roman" w:cs="Times New Roman"/>
          <w:lang w:val="ro-MD"/>
        </w:rPr>
        <w:t xml:space="preserve"> </w:t>
      </w:r>
      <w:r w:rsidR="005E444C" w:rsidRPr="000508B6">
        <w:rPr>
          <w:rFonts w:ascii="Times New Roman" w:eastAsia="Times New Roman" w:hAnsi="Times New Roman" w:cs="Times New Roman"/>
          <w:lang w:val="ro-MD"/>
        </w:rPr>
        <w:t xml:space="preserve">consideră drept elemente </w:t>
      </w:r>
      <w:proofErr w:type="spellStart"/>
      <w:r w:rsidRPr="000508B6">
        <w:rPr>
          <w:rFonts w:ascii="Times New Roman" w:eastAsia="Times New Roman" w:hAnsi="Times New Roman" w:cs="Times New Roman"/>
          <w:lang w:val="ro-MD"/>
        </w:rPr>
        <w:t>macroprudențiale</w:t>
      </w:r>
      <w:proofErr w:type="spellEnd"/>
      <w:r w:rsidRPr="000508B6">
        <w:rPr>
          <w:rFonts w:ascii="Times New Roman" w:eastAsia="Times New Roman" w:hAnsi="Times New Roman" w:cs="Times New Roman"/>
          <w:lang w:val="ro-MD"/>
        </w:rPr>
        <w:t xml:space="preserve"> cel puțin</w:t>
      </w:r>
      <w:r w:rsidR="005E444C" w:rsidRPr="000508B6">
        <w:rPr>
          <w:rFonts w:ascii="Times New Roman" w:eastAsia="Times New Roman" w:hAnsi="Times New Roman" w:cs="Times New Roman"/>
          <w:lang w:val="ro-MD"/>
        </w:rPr>
        <w:t>:</w:t>
      </w:r>
    </w:p>
    <w:p w14:paraId="314B7C2D" w14:textId="0D0FD258" w:rsidR="005E444C" w:rsidRPr="000508B6" w:rsidRDefault="003F2400" w:rsidP="00DE4225">
      <w:pPr>
        <w:pStyle w:val="Listparagraf"/>
        <w:numPr>
          <w:ilvl w:val="0"/>
          <w:numId w:val="44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scenarii</w:t>
      </w:r>
      <w:r w:rsidR="005E444C" w:rsidRPr="000508B6">
        <w:rPr>
          <w:rFonts w:ascii="Times New Roman" w:eastAsia="Times New Roman" w:hAnsi="Times New Roman" w:cs="Times New Roman"/>
          <w:lang w:val="ro-MD"/>
        </w:rPr>
        <w:t>le</w:t>
      </w:r>
      <w:r w:rsidRPr="000508B6">
        <w:rPr>
          <w:rFonts w:ascii="Times New Roman" w:eastAsia="Times New Roman" w:hAnsi="Times New Roman" w:cs="Times New Roman"/>
          <w:lang w:val="ro-MD"/>
        </w:rPr>
        <w:t xml:space="preserve"> viitoare nefavorabile plauzibile</w:t>
      </w:r>
      <w:r w:rsidR="005E444C" w:rsidRPr="000508B6">
        <w:rPr>
          <w:rFonts w:ascii="Times New Roman" w:eastAsia="Times New Roman" w:hAnsi="Times New Roman" w:cs="Times New Roman"/>
          <w:lang w:val="ro-MD"/>
        </w:rPr>
        <w:t>;</w:t>
      </w:r>
    </w:p>
    <w:p w14:paraId="5375774C" w14:textId="33053696" w:rsidR="005E444C" w:rsidRPr="000508B6" w:rsidRDefault="003F2400" w:rsidP="00DE4225">
      <w:pPr>
        <w:pStyle w:val="Listparagraf"/>
        <w:numPr>
          <w:ilvl w:val="0"/>
          <w:numId w:val="44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riscuri</w:t>
      </w:r>
      <w:r w:rsidR="005E444C" w:rsidRPr="000508B6">
        <w:rPr>
          <w:rFonts w:ascii="Times New Roman" w:eastAsia="Times New Roman" w:hAnsi="Times New Roman" w:cs="Times New Roman"/>
          <w:lang w:val="ro-MD"/>
        </w:rPr>
        <w:t>le</w:t>
      </w:r>
      <w:r w:rsidRPr="000508B6">
        <w:rPr>
          <w:rFonts w:ascii="Times New Roman" w:eastAsia="Times New Roman" w:hAnsi="Times New Roman" w:cs="Times New Roman"/>
          <w:lang w:val="ro-MD"/>
        </w:rPr>
        <w:t xml:space="preserve"> legate de ciclul de creditare și încetinirea creșterii economice</w:t>
      </w:r>
      <w:r w:rsidR="005E444C" w:rsidRPr="000508B6">
        <w:rPr>
          <w:rFonts w:ascii="Times New Roman" w:eastAsia="Times New Roman" w:hAnsi="Times New Roman" w:cs="Times New Roman"/>
          <w:lang w:val="ro-MD"/>
        </w:rPr>
        <w:t>;</w:t>
      </w:r>
    </w:p>
    <w:p w14:paraId="2A1D6831" w14:textId="6A0BF04E" w:rsidR="005E444C" w:rsidRPr="000508B6" w:rsidRDefault="005E444C" w:rsidP="00DE4225">
      <w:pPr>
        <w:pStyle w:val="Listparagraf"/>
        <w:numPr>
          <w:ilvl w:val="0"/>
          <w:numId w:val="44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riscurile legate </w:t>
      </w:r>
      <w:r w:rsidR="003F2400" w:rsidRPr="000508B6">
        <w:rPr>
          <w:rFonts w:ascii="Times New Roman" w:eastAsia="Times New Roman" w:hAnsi="Times New Roman" w:cs="Times New Roman"/>
          <w:lang w:val="ro-MD"/>
        </w:rPr>
        <w:t>de comportamentul gregar în ceea ce privește investițiile</w:t>
      </w:r>
      <w:r w:rsidRPr="000508B6">
        <w:rPr>
          <w:rFonts w:ascii="Times New Roman" w:eastAsia="Times New Roman" w:hAnsi="Times New Roman" w:cs="Times New Roman"/>
          <w:lang w:val="ro-MD"/>
        </w:rPr>
        <w:t>;</w:t>
      </w:r>
    </w:p>
    <w:p w14:paraId="796247D2" w14:textId="7FD496DA" w:rsidR="0020409B" w:rsidRPr="000508B6" w:rsidRDefault="005E444C" w:rsidP="00DE4225">
      <w:pPr>
        <w:pStyle w:val="Listparagraf"/>
        <w:numPr>
          <w:ilvl w:val="0"/>
          <w:numId w:val="44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riscurile legate </w:t>
      </w:r>
      <w:r w:rsidR="003F2400" w:rsidRPr="000508B6">
        <w:rPr>
          <w:rFonts w:ascii="Times New Roman" w:eastAsia="Times New Roman" w:hAnsi="Times New Roman" w:cs="Times New Roman"/>
          <w:lang w:val="ro-MD"/>
        </w:rPr>
        <w:t>de concentrările excesive ale expunerilor la nivel sectorial.</w:t>
      </w:r>
    </w:p>
    <w:p w14:paraId="341C5A90" w14:textId="4CC09E38" w:rsidR="0020409B" w:rsidRPr="000508B6" w:rsidRDefault="00144F1E" w:rsidP="000A404B">
      <w:pPr>
        <w:pStyle w:val="Listparagraf"/>
        <w:numPr>
          <w:ilvl w:val="0"/>
          <w:numId w:val="10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A66ACD" w:rsidRPr="000508B6">
        <w:rPr>
          <w:rFonts w:ascii="Times New Roman" w:eastAsia="Times New Roman" w:hAnsi="Times New Roman" w:cs="Times New Roman"/>
          <w:lang w:val="ro-MD"/>
        </w:rPr>
        <w:t xml:space="preserve"> </w:t>
      </w:r>
      <w:r w:rsidR="00962328" w:rsidRPr="000508B6">
        <w:rPr>
          <w:rFonts w:ascii="Times New Roman" w:eastAsia="Times New Roman" w:hAnsi="Times New Roman" w:cs="Times New Roman"/>
          <w:lang w:val="ro-MD"/>
        </w:rPr>
        <w:t>mic și cu un grad redus de complexitate și care a obținut aprobarea din partea Băncii Naționale a Moldovei în temeiul art</w:t>
      </w:r>
      <w:r w:rsidR="009D55C6" w:rsidRPr="000508B6">
        <w:rPr>
          <w:rFonts w:ascii="Times New Roman" w:eastAsia="Times New Roman" w:hAnsi="Times New Roman" w:cs="Times New Roman"/>
          <w:lang w:val="ro-MD"/>
        </w:rPr>
        <w:t>.</w:t>
      </w:r>
      <w:r w:rsidR="00962328" w:rsidRPr="000508B6">
        <w:rPr>
          <w:rFonts w:ascii="Times New Roman" w:eastAsia="Times New Roman" w:hAnsi="Times New Roman" w:cs="Times New Roman"/>
          <w:lang w:val="ro-MD"/>
        </w:rPr>
        <w:t xml:space="preserve"> </w:t>
      </w:r>
      <w:r w:rsidR="008264C1" w:rsidRPr="000508B6">
        <w:rPr>
          <w:rFonts w:ascii="Times New Roman" w:eastAsia="Times New Roman" w:hAnsi="Times New Roman" w:cs="Times New Roman"/>
          <w:lang w:val="ro-MD"/>
        </w:rPr>
        <w:t xml:space="preserve">173 </w:t>
      </w:r>
      <w:r w:rsidR="00962328" w:rsidRPr="000508B6">
        <w:rPr>
          <w:rFonts w:ascii="Times New Roman" w:eastAsia="Times New Roman" w:hAnsi="Times New Roman" w:cs="Times New Roman"/>
          <w:lang w:val="ro-MD"/>
        </w:rPr>
        <w:t>nu este obligat să efectueze analiza menționată la alin. (</w:t>
      </w:r>
      <w:r w:rsidR="005E444C" w:rsidRPr="000508B6">
        <w:rPr>
          <w:rFonts w:ascii="Times New Roman" w:eastAsia="Times New Roman" w:hAnsi="Times New Roman" w:cs="Times New Roman"/>
          <w:lang w:val="ro-MD"/>
        </w:rPr>
        <w:t>3</w:t>
      </w:r>
      <w:r w:rsidR="00962328" w:rsidRPr="000508B6">
        <w:rPr>
          <w:rFonts w:ascii="Times New Roman" w:eastAsia="Times New Roman" w:hAnsi="Times New Roman" w:cs="Times New Roman"/>
          <w:lang w:val="ro-MD"/>
        </w:rPr>
        <w:t>).</w:t>
      </w:r>
    </w:p>
    <w:p w14:paraId="3CF23C74" w14:textId="55B6D6D1" w:rsidR="00F95829" w:rsidRPr="000508B6" w:rsidRDefault="00F95829" w:rsidP="00CF5AFA">
      <w:pPr>
        <w:pStyle w:val="Listparagraf"/>
        <w:numPr>
          <w:ilvl w:val="0"/>
          <w:numId w:val="109"/>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În sensul alin. (</w:t>
      </w:r>
      <w:r w:rsidR="003D4A66"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lit. a),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B117B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instituie procese pentru identificarea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evaluarea, prin metode documentate, a riscurilor cunoscute sau </w:t>
      </w:r>
      <w:proofErr w:type="spellStart"/>
      <w:r w:rsidRPr="000508B6">
        <w:rPr>
          <w:rFonts w:ascii="Times New Roman" w:eastAsia="Times New Roman" w:hAnsi="Times New Roman" w:cs="Times New Roman"/>
          <w:lang w:val="ro-MD"/>
        </w:rPr>
        <w:t>potenţiale</w:t>
      </w:r>
      <w:proofErr w:type="spellEnd"/>
      <w:r w:rsidRPr="000508B6">
        <w:rPr>
          <w:rFonts w:ascii="Times New Roman" w:eastAsia="Times New Roman" w:hAnsi="Times New Roman" w:cs="Times New Roman"/>
          <w:lang w:val="ro-MD"/>
        </w:rPr>
        <w:t xml:space="preserve">, </w:t>
      </w:r>
      <w:bookmarkStart w:id="88" w:name="_Hlk191034894"/>
      <w:r w:rsidRPr="000508B6">
        <w:rPr>
          <w:rFonts w:ascii="Times New Roman" w:eastAsia="Times New Roman" w:hAnsi="Times New Roman" w:cs="Times New Roman"/>
          <w:lang w:val="ro-MD"/>
        </w:rPr>
        <w:t xml:space="preserve">cu respectarea principiului </w:t>
      </w:r>
      <w:proofErr w:type="spellStart"/>
      <w:r w:rsidRPr="000508B6">
        <w:rPr>
          <w:rFonts w:ascii="Times New Roman" w:eastAsia="Times New Roman" w:hAnsi="Times New Roman" w:cs="Times New Roman"/>
          <w:lang w:val="ro-MD"/>
        </w:rPr>
        <w:t>proporţionalităţii</w:t>
      </w:r>
      <w:bookmarkEnd w:id="88"/>
      <w:proofErr w:type="spellEnd"/>
      <w:r w:rsidRPr="000508B6">
        <w:rPr>
          <w:rFonts w:ascii="Times New Roman" w:eastAsia="Times New Roman" w:hAnsi="Times New Roman" w:cs="Times New Roman"/>
          <w:lang w:val="ro-MD"/>
        </w:rPr>
        <w:t xml:space="preserve">. </w:t>
      </w:r>
    </w:p>
    <w:p w14:paraId="331C35A1" w14:textId="3EBFA27C" w:rsidR="00010574" w:rsidRPr="000508B6" w:rsidRDefault="00010574" w:rsidP="00CF5AFA">
      <w:pPr>
        <w:pStyle w:val="Listparagraf"/>
        <w:numPr>
          <w:ilvl w:val="0"/>
          <w:numId w:val="109"/>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aplică prima de echilibrare menționată la art. 45, prima de volatilitate menționată la art. 47, </w:t>
      </w:r>
      <w:r w:rsidR="00E91A09" w:rsidRPr="000508B6">
        <w:rPr>
          <w:rFonts w:ascii="Times New Roman" w:eastAsia="Times New Roman" w:hAnsi="Times New Roman" w:cs="Times New Roman"/>
          <w:lang w:val="ro-MD"/>
        </w:rPr>
        <w:t xml:space="preserve">sau </w:t>
      </w:r>
      <w:r w:rsidR="00353169" w:rsidRPr="000508B6">
        <w:rPr>
          <w:rFonts w:ascii="Times New Roman" w:eastAsia="Times New Roman" w:hAnsi="Times New Roman" w:cs="Times New Roman"/>
          <w:lang w:val="ro-MD"/>
        </w:rPr>
        <w:t>măsura</w:t>
      </w:r>
      <w:r w:rsidR="00E91A09" w:rsidRPr="000508B6">
        <w:rPr>
          <w:rFonts w:ascii="Times New Roman" w:eastAsia="Times New Roman" w:hAnsi="Times New Roman" w:cs="Times New Roman"/>
          <w:lang w:val="ro-MD"/>
        </w:rPr>
        <w:t xml:space="preserve"> tranzitori</w:t>
      </w:r>
      <w:r w:rsidR="00353169" w:rsidRPr="000508B6">
        <w:rPr>
          <w:rFonts w:ascii="Times New Roman" w:eastAsia="Times New Roman" w:hAnsi="Times New Roman" w:cs="Times New Roman"/>
          <w:lang w:val="ro-MD"/>
        </w:rPr>
        <w:t>e</w:t>
      </w:r>
      <w:r w:rsidR="00E91A09" w:rsidRPr="000508B6">
        <w:rPr>
          <w:rFonts w:ascii="Times New Roman" w:eastAsia="Times New Roman" w:hAnsi="Times New Roman" w:cs="Times New Roman"/>
          <w:lang w:val="ro-MD"/>
        </w:rPr>
        <w:t xml:space="preserve"> menționa</w:t>
      </w:r>
      <w:r w:rsidR="00353169" w:rsidRPr="000508B6">
        <w:rPr>
          <w:rFonts w:ascii="Times New Roman" w:eastAsia="Times New Roman" w:hAnsi="Times New Roman" w:cs="Times New Roman"/>
          <w:lang w:val="ro-MD"/>
        </w:rPr>
        <w:t>tă</w:t>
      </w:r>
      <w:r w:rsidR="00E91A09" w:rsidRPr="000508B6">
        <w:rPr>
          <w:rFonts w:ascii="Times New Roman" w:eastAsia="Times New Roman" w:hAnsi="Times New Roman" w:cs="Times New Roman"/>
          <w:lang w:val="ro-MD"/>
        </w:rPr>
        <w:t xml:space="preserve"> la </w:t>
      </w:r>
      <w:r w:rsidR="00C07856" w:rsidRPr="000508B6">
        <w:rPr>
          <w:rFonts w:ascii="Times New Roman" w:eastAsia="Times New Roman" w:hAnsi="Times New Roman" w:cs="Times New Roman"/>
          <w:lang w:val="ro-MD"/>
        </w:rPr>
        <w:t xml:space="preserve">art. </w:t>
      </w:r>
      <w:r w:rsidR="00353169" w:rsidRPr="000508B6">
        <w:rPr>
          <w:rFonts w:ascii="Times New Roman" w:eastAsia="Times New Roman" w:hAnsi="Times New Roman" w:cs="Times New Roman"/>
          <w:lang w:val="ro-MD"/>
        </w:rPr>
        <w:t>44</w:t>
      </w:r>
      <w:r w:rsidR="00E91A09" w:rsidRPr="000508B6">
        <w:rPr>
          <w:rFonts w:ascii="Times New Roman" w:eastAsia="Times New Roman" w:hAnsi="Times New Roman" w:cs="Times New Roman"/>
          <w:lang w:val="ro-MD"/>
        </w:rPr>
        <w:t xml:space="preserve"> alin</w:t>
      </w:r>
      <w:r w:rsidR="00353169" w:rsidRPr="000508B6">
        <w:rPr>
          <w:rFonts w:ascii="Times New Roman" w:eastAsia="Times New Roman" w:hAnsi="Times New Roman" w:cs="Times New Roman"/>
          <w:lang w:val="ro-MD"/>
        </w:rPr>
        <w:t xml:space="preserve">. </w:t>
      </w:r>
      <w:r w:rsidR="00E91A09" w:rsidRPr="000508B6">
        <w:rPr>
          <w:rFonts w:ascii="Times New Roman" w:eastAsia="Times New Roman" w:hAnsi="Times New Roman" w:cs="Times New Roman"/>
          <w:lang w:val="ro-MD"/>
        </w:rPr>
        <w:t>(</w:t>
      </w:r>
      <w:r w:rsidR="00C86AF8" w:rsidRPr="000508B6">
        <w:rPr>
          <w:rFonts w:ascii="Times New Roman" w:eastAsia="Times New Roman" w:hAnsi="Times New Roman" w:cs="Times New Roman"/>
          <w:lang w:val="ro-MD"/>
        </w:rPr>
        <w:t>9</w:t>
      </w:r>
      <w:r w:rsidR="00E91A09" w:rsidRPr="000508B6">
        <w:rPr>
          <w:rFonts w:ascii="Times New Roman" w:eastAsia="Times New Roman" w:hAnsi="Times New Roman" w:cs="Times New Roman"/>
          <w:lang w:val="ro-MD"/>
        </w:rPr>
        <w:t>)</w:t>
      </w:r>
      <w:r w:rsidR="007F129B" w:rsidRPr="000508B6">
        <w:rPr>
          <w:rFonts w:ascii="Times New Roman" w:eastAsia="Times New Roman" w:hAnsi="Times New Roman" w:cs="Times New Roman"/>
          <w:lang w:val="ro-MD"/>
        </w:rPr>
        <w:t xml:space="preserve"> sau cele</w:t>
      </w:r>
      <w:r w:rsidR="00C86AF8" w:rsidRPr="000508B6">
        <w:rPr>
          <w:rFonts w:ascii="Times New Roman" w:eastAsia="Times New Roman" w:hAnsi="Times New Roman" w:cs="Times New Roman"/>
          <w:lang w:val="ro-MD"/>
        </w:rPr>
        <w:t xml:space="preserve"> </w:t>
      </w:r>
      <w:r w:rsidR="007F129B" w:rsidRPr="000508B6">
        <w:rPr>
          <w:rFonts w:ascii="Times New Roman" w:eastAsia="Times New Roman" w:hAnsi="Times New Roman" w:cs="Times New Roman"/>
          <w:lang w:val="ro-MD"/>
        </w:rPr>
        <w:t xml:space="preserve">menționate </w:t>
      </w:r>
      <w:r w:rsidR="00C86AF8" w:rsidRPr="000508B6">
        <w:rPr>
          <w:rFonts w:ascii="Times New Roman" w:eastAsia="Times New Roman" w:hAnsi="Times New Roman" w:cs="Times New Roman"/>
          <w:lang w:val="ro-MD"/>
        </w:rPr>
        <w:t>î</w:t>
      </w:r>
      <w:r w:rsidR="007F129B" w:rsidRPr="000508B6">
        <w:rPr>
          <w:rFonts w:ascii="Times New Roman" w:eastAsia="Times New Roman" w:hAnsi="Times New Roman" w:cs="Times New Roman"/>
          <w:lang w:val="ro-MD"/>
        </w:rPr>
        <w:t>n actele normative ale B</w:t>
      </w:r>
      <w:r w:rsidR="007913F2" w:rsidRPr="000508B6">
        <w:rPr>
          <w:rFonts w:ascii="Times New Roman" w:eastAsia="Times New Roman" w:hAnsi="Times New Roman" w:cs="Times New Roman"/>
          <w:lang w:val="ro-MD"/>
        </w:rPr>
        <w:t xml:space="preserve">ăncii </w:t>
      </w:r>
      <w:r w:rsidR="007F129B" w:rsidRPr="000508B6">
        <w:rPr>
          <w:rFonts w:ascii="Times New Roman" w:eastAsia="Times New Roman" w:hAnsi="Times New Roman" w:cs="Times New Roman"/>
          <w:lang w:val="ro-MD"/>
        </w:rPr>
        <w:t>N</w:t>
      </w:r>
      <w:r w:rsidR="007913F2" w:rsidRPr="000508B6">
        <w:rPr>
          <w:rFonts w:ascii="Times New Roman" w:eastAsia="Times New Roman" w:hAnsi="Times New Roman" w:cs="Times New Roman"/>
          <w:lang w:val="ro-MD"/>
        </w:rPr>
        <w:t xml:space="preserve">aționale a </w:t>
      </w:r>
      <w:r w:rsidR="007F129B" w:rsidRPr="000508B6">
        <w:rPr>
          <w:rFonts w:ascii="Times New Roman" w:eastAsia="Times New Roman" w:hAnsi="Times New Roman" w:cs="Times New Roman"/>
          <w:lang w:val="ro-MD"/>
        </w:rPr>
        <w:t>M</w:t>
      </w:r>
      <w:r w:rsidR="007913F2" w:rsidRPr="000508B6">
        <w:rPr>
          <w:rFonts w:ascii="Times New Roman" w:eastAsia="Times New Roman" w:hAnsi="Times New Roman" w:cs="Times New Roman"/>
          <w:lang w:val="ro-MD"/>
        </w:rPr>
        <w:t>oldovei</w:t>
      </w:r>
      <w:r w:rsidR="00E91A09"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3D4A66" w:rsidRPr="000508B6">
        <w:rPr>
          <w:rFonts w:ascii="Times New Roman" w:eastAsia="Times New Roman" w:hAnsi="Times New Roman" w:cs="Times New Roman"/>
          <w:lang w:val="ro-MD"/>
        </w:rPr>
        <w:t xml:space="preserve"> evaluează nivelul de respectare a prevederilor referitoare la</w:t>
      </w:r>
      <w:r w:rsidR="00D53A99" w:rsidRPr="000508B6">
        <w:rPr>
          <w:rFonts w:ascii="Times New Roman" w:eastAsia="Times New Roman" w:hAnsi="Times New Roman" w:cs="Times New Roman"/>
          <w:lang w:val="ro-MD"/>
        </w:rPr>
        <w:t xml:space="preserve"> SCR și MCR</w:t>
      </w:r>
      <w:r w:rsidRPr="000508B6">
        <w:rPr>
          <w:rFonts w:ascii="Times New Roman" w:eastAsia="Times New Roman" w:hAnsi="Times New Roman" w:cs="Times New Roman"/>
          <w:lang w:val="ro-MD"/>
        </w:rPr>
        <w:t xml:space="preserve">, luând și, respectiv, neluând în calcul respectivele prime și măsuri tranzitorii. </w:t>
      </w:r>
    </w:p>
    <w:p w14:paraId="08ADB13F" w14:textId="36163C3B" w:rsidR="00962328" w:rsidRPr="000508B6" w:rsidRDefault="00962328" w:rsidP="00CF5AFA">
      <w:pPr>
        <w:pStyle w:val="Listparagraf"/>
        <w:numPr>
          <w:ilvl w:val="0"/>
          <w:numId w:val="109"/>
        </w:numPr>
        <w:tabs>
          <w:tab w:val="left" w:pos="851"/>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 derogare de la alin. (6), mecanismul de introducere treptată menționat la art</w:t>
      </w:r>
      <w:r w:rsidR="00636BF5"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354891" w:rsidRPr="000508B6">
        <w:rPr>
          <w:rFonts w:ascii="Times New Roman" w:eastAsia="Times New Roman" w:hAnsi="Times New Roman" w:cs="Times New Roman"/>
          <w:lang w:val="ro-MD"/>
        </w:rPr>
        <w:t>44</w:t>
      </w:r>
      <w:r w:rsidR="00FB39CA" w:rsidRPr="000508B6">
        <w:rPr>
          <w:rFonts w:ascii="Times New Roman" w:eastAsia="Times New Roman" w:hAnsi="Times New Roman" w:cs="Times New Roman"/>
          <w:lang w:val="ro-MD"/>
        </w:rPr>
        <w:t xml:space="preserve"> alin. (</w:t>
      </w:r>
      <w:r w:rsidR="00C013FB" w:rsidRPr="000508B6">
        <w:rPr>
          <w:rFonts w:ascii="Times New Roman" w:eastAsia="Times New Roman" w:hAnsi="Times New Roman" w:cs="Times New Roman"/>
          <w:lang w:val="ro-MD"/>
        </w:rPr>
        <w:t>9</w:t>
      </w:r>
      <w:r w:rsidR="00FB39C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nu se aplică unei monede </w:t>
      </w:r>
      <w:r w:rsidR="00D363C0" w:rsidRPr="000508B6">
        <w:rPr>
          <w:rFonts w:ascii="Times New Roman" w:eastAsia="Times New Roman" w:hAnsi="Times New Roman" w:cs="Times New Roman"/>
          <w:lang w:val="ro-MD"/>
        </w:rPr>
        <w:t xml:space="preserve">pentru care </w:t>
      </w:r>
      <w:r w:rsidRPr="000508B6">
        <w:rPr>
          <w:rFonts w:ascii="Times New Roman" w:eastAsia="Times New Roman" w:hAnsi="Times New Roman" w:cs="Times New Roman"/>
          <w:lang w:val="ro-MD"/>
        </w:rPr>
        <w:t>este îndeplinită una dintre următoarele condiții:</w:t>
      </w:r>
    </w:p>
    <w:p w14:paraId="57B5C102" w14:textId="3D400ABE" w:rsidR="00962328" w:rsidRPr="000508B6" w:rsidRDefault="00962328" w:rsidP="00CF5AFA">
      <w:pPr>
        <w:pStyle w:val="Listparagraf"/>
        <w:numPr>
          <w:ilvl w:val="0"/>
          <w:numId w:val="34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ponderea fluxurilor de trezorerie viitoare asociate obligațiilor de asigurare sau de reasigurare în moneda respectivă în raport cu toate fluxurile de trezorerie viitoare asociate obligațiilor de asigurare sau de reasigurare nu depășește 5 %;</w:t>
      </w:r>
      <w:r w:rsidR="00125D71" w:rsidRPr="000508B6">
        <w:rPr>
          <w:rFonts w:ascii="Times New Roman" w:eastAsia="Times New Roman" w:hAnsi="Times New Roman" w:cs="Times New Roman"/>
          <w:lang w:val="ro-MD"/>
        </w:rPr>
        <w:t xml:space="preserve"> </w:t>
      </w:r>
    </w:p>
    <w:p w14:paraId="32E0E1BD" w14:textId="58C94B82" w:rsidR="00962328" w:rsidRPr="000508B6" w:rsidRDefault="00962328" w:rsidP="00CF5AFA">
      <w:pPr>
        <w:pStyle w:val="Listparagraf"/>
        <w:numPr>
          <w:ilvl w:val="0"/>
          <w:numId w:val="34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ceea ce privește fluxurile de trezorerie viitoare asociate obligațiilor de asigurare sau de reasigurare în moneda respectivă, ponderea fluxurilor de trezorerie viitoare aferente scadențelor în cazul cărora structura temporală relevantă a ratei dobânzilor fără risc este extrapolată în raport cu toate fluxurile de trezorerie viitoare asociate obligațiilor de asigurare sau de reasigurare nu depășește 10 %.</w:t>
      </w:r>
      <w:r w:rsidRPr="000508B6" w:rsidDel="00962328">
        <w:rPr>
          <w:rFonts w:ascii="Times New Roman" w:eastAsia="Times New Roman" w:hAnsi="Times New Roman" w:cs="Times New Roman"/>
          <w:lang w:val="ro-MD"/>
        </w:rPr>
        <w:t xml:space="preserve"> </w:t>
      </w:r>
    </w:p>
    <w:p w14:paraId="6FDB5F84" w14:textId="0AABD848" w:rsidR="00E24841" w:rsidRPr="000508B6" w:rsidRDefault="00125D71" w:rsidP="005949B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aplică prima de volatilitate menționată la art</w:t>
      </w:r>
      <w:r w:rsidR="00636BF5" w:rsidRPr="000508B6">
        <w:rPr>
          <w:rFonts w:ascii="Times New Roman" w:eastAsia="Times New Roman" w:hAnsi="Times New Roman" w:cs="Times New Roman"/>
          <w:lang w:val="ro-MD"/>
        </w:rPr>
        <w:t>. 47</w:t>
      </w:r>
      <w:r w:rsidR="001D616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EA6D04" w:rsidRPr="000508B6">
        <w:rPr>
          <w:rFonts w:ascii="Times New Roman" w:eastAsia="Times New Roman" w:hAnsi="Times New Roman" w:cs="Times New Roman"/>
          <w:lang w:val="ro-MD"/>
        </w:rPr>
        <w:t>acesta</w:t>
      </w:r>
      <w:r w:rsidR="007D3A9C" w:rsidRPr="000508B6">
        <w:rPr>
          <w:rFonts w:ascii="Times New Roman" w:eastAsia="Times New Roman" w:hAnsi="Times New Roman" w:cs="Times New Roman"/>
          <w:lang w:val="ro-MD"/>
        </w:rPr>
        <w:t xml:space="preserve"> </w:t>
      </w:r>
      <w:r w:rsidR="003D4A66" w:rsidRPr="000508B6">
        <w:rPr>
          <w:rFonts w:ascii="Times New Roman" w:eastAsia="Times New Roman" w:hAnsi="Times New Roman" w:cs="Times New Roman"/>
          <w:lang w:val="ro-MD"/>
        </w:rPr>
        <w:t>menționează în</w:t>
      </w:r>
      <w:r w:rsidR="00D53A99" w:rsidRPr="000508B6">
        <w:rPr>
          <w:rFonts w:ascii="Times New Roman" w:eastAsia="Times New Roman" w:hAnsi="Times New Roman" w:cs="Times New Roman"/>
          <w:lang w:val="ro-MD"/>
        </w:rPr>
        <w:t xml:space="preserve"> ORSA </w:t>
      </w:r>
      <w:r w:rsidRPr="000508B6">
        <w:rPr>
          <w:rFonts w:ascii="Times New Roman" w:eastAsia="Times New Roman" w:hAnsi="Times New Roman" w:cs="Times New Roman"/>
          <w:lang w:val="ro-MD"/>
        </w:rPr>
        <w:t xml:space="preserve">gradul </w:t>
      </w:r>
      <w:r w:rsidR="003D4A66" w:rsidRPr="000508B6">
        <w:rPr>
          <w:rFonts w:ascii="Times New Roman" w:eastAsia="Times New Roman" w:hAnsi="Times New Roman" w:cs="Times New Roman"/>
          <w:lang w:val="ro-MD"/>
        </w:rPr>
        <w:t xml:space="preserve">de semnificație al abaterii </w:t>
      </w:r>
      <w:r w:rsidRPr="000508B6">
        <w:rPr>
          <w:rFonts w:ascii="Times New Roman" w:eastAsia="Times New Roman" w:hAnsi="Times New Roman" w:cs="Times New Roman"/>
          <w:lang w:val="ro-MD"/>
        </w:rPr>
        <w:t>profilul</w:t>
      </w:r>
      <w:r w:rsidR="003D4A66" w:rsidRPr="000508B6">
        <w:rPr>
          <w:rFonts w:ascii="Times New Roman" w:eastAsia="Times New Roman" w:hAnsi="Times New Roman" w:cs="Times New Roman"/>
          <w:lang w:val="ro-MD"/>
        </w:rPr>
        <w:t>ui</w:t>
      </w:r>
      <w:r w:rsidRPr="000508B6">
        <w:rPr>
          <w:rFonts w:ascii="Times New Roman" w:eastAsia="Times New Roman" w:hAnsi="Times New Roman" w:cs="Times New Roman"/>
          <w:lang w:val="ro-MD"/>
        </w:rPr>
        <w:t xml:space="preserve"> de risc al </w:t>
      </w:r>
      <w:r w:rsidR="00AC0229" w:rsidRPr="000508B6">
        <w:rPr>
          <w:rFonts w:ascii="Times New Roman" w:eastAsia="Times New Roman" w:hAnsi="Times New Roman" w:cs="Times New Roman"/>
          <w:lang w:val="ro-MD"/>
        </w:rPr>
        <w:t xml:space="preserve">asigurătorului sau </w:t>
      </w:r>
      <w:proofErr w:type="spellStart"/>
      <w:r w:rsidR="00AC0229" w:rsidRPr="000508B6">
        <w:rPr>
          <w:rFonts w:ascii="Times New Roman" w:eastAsia="Times New Roman" w:hAnsi="Times New Roman" w:cs="Times New Roman"/>
          <w:lang w:val="ro-MD"/>
        </w:rPr>
        <w:t>reasigurătorului</w:t>
      </w:r>
      <w:proofErr w:type="spellEnd"/>
      <w:r w:rsidR="00AC022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de la ipotezele care stau la baza primei de volatilitate.</w:t>
      </w:r>
    </w:p>
    <w:p w14:paraId="490E65ED" w14:textId="7D94F721" w:rsidR="00F95829" w:rsidRPr="000508B6" w:rsidRDefault="00F95829" w:rsidP="005949B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 În cazul în 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B117B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utilizează un model intern, evaluarea </w:t>
      </w:r>
      <w:r w:rsidR="003D4A66" w:rsidRPr="000508B6">
        <w:rPr>
          <w:rFonts w:ascii="Times New Roman" w:eastAsia="Times New Roman" w:hAnsi="Times New Roman" w:cs="Times New Roman"/>
          <w:lang w:val="ro-MD"/>
        </w:rPr>
        <w:t xml:space="preserve">realizată </w:t>
      </w:r>
      <w:r w:rsidRPr="000508B6">
        <w:rPr>
          <w:rFonts w:ascii="Times New Roman" w:eastAsia="Times New Roman" w:hAnsi="Times New Roman" w:cs="Times New Roman"/>
          <w:lang w:val="ro-MD"/>
        </w:rPr>
        <w:t>conform alin. (</w:t>
      </w:r>
      <w:r w:rsidR="003D4A66"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lit. c) se realizează odată cu recalibrarea, care transformă valorile calculate de modelul intern în măsura de risc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 calibrarea aferentă SCR. </w:t>
      </w:r>
    </w:p>
    <w:p w14:paraId="7119A81D" w14:textId="74804908" w:rsidR="00F25387" w:rsidRPr="000508B6" w:rsidRDefault="00AC0229" w:rsidP="005949BA">
      <w:pPr>
        <w:pStyle w:val="Listparagraf"/>
        <w:numPr>
          <w:ilvl w:val="0"/>
          <w:numId w:val="109"/>
        </w:numPr>
        <w:tabs>
          <w:tab w:val="left" w:pos="568"/>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F25387" w:rsidRPr="000508B6">
        <w:rPr>
          <w:rFonts w:ascii="Times New Roman" w:eastAsia="Times New Roman" w:hAnsi="Times New Roman" w:cs="Times New Roman"/>
          <w:lang w:val="ro-MD"/>
        </w:rPr>
        <w:t xml:space="preserve">identifică, măsoară, gestionează, monitorizează și raportează riscurile în mod continuu, </w:t>
      </w:r>
      <w:r w:rsidR="00C8462E" w:rsidRPr="000508B6">
        <w:rPr>
          <w:rFonts w:ascii="Times New Roman" w:eastAsia="Times New Roman" w:hAnsi="Times New Roman" w:cs="Times New Roman"/>
          <w:lang w:val="ro-MD"/>
        </w:rPr>
        <w:t xml:space="preserve">inclusiv în cazul în care </w:t>
      </w:r>
      <w:r w:rsidR="00F25387" w:rsidRPr="000508B6">
        <w:rPr>
          <w:rFonts w:ascii="Times New Roman" w:eastAsia="Times New Roman" w:hAnsi="Times New Roman" w:cs="Times New Roman"/>
          <w:lang w:val="ro-MD"/>
        </w:rPr>
        <w:t>nu are</w:t>
      </w:r>
      <w:r w:rsidR="00760577" w:rsidRPr="000508B6">
        <w:rPr>
          <w:rFonts w:ascii="Times New Roman" w:eastAsia="Times New Roman" w:hAnsi="Times New Roman" w:cs="Times New Roman"/>
          <w:lang w:val="ro-MD"/>
        </w:rPr>
        <w:t xml:space="preserve"> </w:t>
      </w:r>
      <w:r w:rsidR="00F25387" w:rsidRPr="000508B6">
        <w:rPr>
          <w:rFonts w:ascii="Times New Roman" w:eastAsia="Times New Roman" w:hAnsi="Times New Roman" w:cs="Times New Roman"/>
          <w:lang w:val="ro-MD"/>
        </w:rPr>
        <w:t>obligația de a realiza ORSA</w:t>
      </w:r>
      <w:r w:rsidR="00DE4B50" w:rsidRPr="000508B6">
        <w:rPr>
          <w:rFonts w:ascii="Times New Roman" w:eastAsia="Times New Roman" w:hAnsi="Times New Roman" w:cs="Times New Roman"/>
          <w:lang w:val="ro-MD"/>
        </w:rPr>
        <w:t>.</w:t>
      </w:r>
    </w:p>
    <w:p w14:paraId="00535427" w14:textId="787E9B8F" w:rsidR="00F25387" w:rsidRPr="000508B6" w:rsidRDefault="00F25387" w:rsidP="005949BA">
      <w:pPr>
        <w:pStyle w:val="Listparagraf"/>
        <w:numPr>
          <w:ilvl w:val="0"/>
          <w:numId w:val="109"/>
        </w:numPr>
        <w:tabs>
          <w:tab w:val="left" w:pos="568"/>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ORSA nu este utilizată pentru calcularea unei cerințe de capital. </w:t>
      </w:r>
    </w:p>
    <w:p w14:paraId="17D01A23" w14:textId="495DEE55" w:rsidR="00F25387" w:rsidRPr="000508B6" w:rsidRDefault="00F25387" w:rsidP="005949BA">
      <w:pPr>
        <w:pStyle w:val="Listparagraf"/>
        <w:numPr>
          <w:ilvl w:val="0"/>
          <w:numId w:val="109"/>
        </w:numPr>
        <w:tabs>
          <w:tab w:val="left" w:pos="568"/>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Banca Națională a Moldovei</w:t>
      </w:r>
      <w:r w:rsidR="00114C1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ED7542" w:rsidRPr="000508B6">
        <w:rPr>
          <w:rFonts w:ascii="Times New Roman" w:eastAsia="Times New Roman" w:hAnsi="Times New Roman" w:cs="Times New Roman"/>
          <w:lang w:val="ro-MD"/>
        </w:rPr>
        <w:t xml:space="preserve">în sensul alin. </w:t>
      </w:r>
      <w:r w:rsidR="00FC2553" w:rsidRPr="000508B6">
        <w:rPr>
          <w:rFonts w:ascii="Times New Roman" w:eastAsia="Times New Roman" w:hAnsi="Times New Roman" w:cs="Times New Roman"/>
          <w:lang w:val="ro-MD"/>
        </w:rPr>
        <w:t>(2) lit. d) și alin (3</w:t>
      </w:r>
      <w:r w:rsidR="00ED7542" w:rsidRPr="000508B6">
        <w:rPr>
          <w:rFonts w:ascii="Times New Roman" w:eastAsia="Times New Roman" w:hAnsi="Times New Roman" w:cs="Times New Roman"/>
          <w:lang w:val="ro-MD"/>
        </w:rPr>
        <w:t>)</w:t>
      </w:r>
      <w:r w:rsidR="00114C1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comunică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7D3A9C" w:rsidRPr="000508B6">
        <w:rPr>
          <w:rFonts w:ascii="Times New Roman" w:eastAsia="Times New Roman" w:hAnsi="Times New Roman" w:cs="Times New Roman"/>
          <w:lang w:val="ro-MD"/>
        </w:rPr>
        <w:t xml:space="preserve"> </w:t>
      </w:r>
      <w:r w:rsidR="00FC2553" w:rsidRPr="000508B6">
        <w:rPr>
          <w:rFonts w:ascii="Times New Roman" w:eastAsia="Times New Roman" w:hAnsi="Times New Roman" w:cs="Times New Roman"/>
          <w:lang w:val="ro-MD"/>
        </w:rPr>
        <w:t xml:space="preserve">orice îngrijorări </w:t>
      </w:r>
      <w:proofErr w:type="spellStart"/>
      <w:r w:rsidRPr="000508B6">
        <w:rPr>
          <w:rFonts w:ascii="Times New Roman" w:eastAsia="Times New Roman" w:hAnsi="Times New Roman" w:cs="Times New Roman"/>
          <w:lang w:val="ro-MD"/>
        </w:rPr>
        <w:t>macroprudențiale</w:t>
      </w:r>
      <w:proofErr w:type="spellEnd"/>
      <w:r w:rsidRPr="000508B6">
        <w:rPr>
          <w:rFonts w:ascii="Times New Roman" w:eastAsia="Times New Roman" w:hAnsi="Times New Roman" w:cs="Times New Roman"/>
          <w:lang w:val="ro-MD"/>
        </w:rPr>
        <w:t xml:space="preserve"> și parametrii de intrare cu relevanță pentru ORSA.</w:t>
      </w:r>
      <w:r w:rsidR="00DE4B50" w:rsidRPr="000508B6">
        <w:rPr>
          <w:rFonts w:ascii="Times New Roman" w:eastAsia="Times New Roman" w:hAnsi="Times New Roman" w:cs="Times New Roman"/>
          <w:lang w:val="ro-MD"/>
        </w:rPr>
        <w:t xml:space="preserve"> </w:t>
      </w:r>
    </w:p>
    <w:p w14:paraId="0A48C811" w14:textId="44DA6444" w:rsidR="00F25387" w:rsidRPr="000508B6" w:rsidRDefault="000F1412" w:rsidP="005949B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Înainte de a</w:t>
      </w:r>
      <w:r w:rsidR="00F25387" w:rsidRPr="000508B6">
        <w:rPr>
          <w:rFonts w:ascii="Times New Roman" w:eastAsia="Times New Roman" w:hAnsi="Times New Roman" w:cs="Times New Roman"/>
          <w:lang w:val="ro-MD"/>
        </w:rPr>
        <w:t xml:space="preserve"> decide să solicite oricare dintre analizele menționate la alin.(</w:t>
      </w:r>
      <w:r w:rsidRPr="000508B6">
        <w:rPr>
          <w:rFonts w:ascii="Times New Roman" w:eastAsia="Times New Roman" w:hAnsi="Times New Roman" w:cs="Times New Roman"/>
          <w:lang w:val="ro-MD"/>
        </w:rPr>
        <w:t>3</w:t>
      </w:r>
      <w:r w:rsidR="00F25387" w:rsidRPr="000508B6">
        <w:rPr>
          <w:rFonts w:ascii="Times New Roman" w:eastAsia="Times New Roman" w:hAnsi="Times New Roman" w:cs="Times New Roman"/>
          <w:lang w:val="ro-MD"/>
        </w:rPr>
        <w:t>) un</w:t>
      </w:r>
      <w:r w:rsidR="00AC0229" w:rsidRPr="000508B6">
        <w:rPr>
          <w:rFonts w:ascii="Times New Roman" w:eastAsia="Times New Roman" w:hAnsi="Times New Roman" w:cs="Times New Roman"/>
          <w:lang w:val="ro-MD"/>
        </w:rPr>
        <w:t>ui</w:t>
      </w:r>
      <w:r w:rsidR="00F25387" w:rsidRPr="000508B6">
        <w:rPr>
          <w:rFonts w:ascii="Times New Roman" w:eastAsia="Times New Roman" w:hAnsi="Times New Roman" w:cs="Times New Roman"/>
          <w:lang w:val="ro-MD"/>
        </w:rPr>
        <w:t xml:space="preserve"> </w:t>
      </w:r>
      <w:r w:rsidR="00AC0229" w:rsidRPr="000508B6">
        <w:rPr>
          <w:rFonts w:ascii="Times New Roman" w:eastAsia="Times New Roman" w:hAnsi="Times New Roman" w:cs="Times New Roman"/>
          <w:lang w:val="ro-MD"/>
        </w:rPr>
        <w:t xml:space="preserve">asigurător sau </w:t>
      </w:r>
      <w:proofErr w:type="spellStart"/>
      <w:r w:rsidR="00AC0229" w:rsidRPr="000508B6">
        <w:rPr>
          <w:rFonts w:ascii="Times New Roman" w:eastAsia="Times New Roman" w:hAnsi="Times New Roman" w:cs="Times New Roman"/>
          <w:lang w:val="ro-MD"/>
        </w:rPr>
        <w:t>reasigurător</w:t>
      </w:r>
      <w:proofErr w:type="spellEnd"/>
      <w:r w:rsidR="00AC0229" w:rsidRPr="000508B6">
        <w:rPr>
          <w:rFonts w:ascii="Times New Roman" w:eastAsia="Times New Roman" w:hAnsi="Times New Roman" w:cs="Times New Roman"/>
          <w:lang w:val="ro-MD"/>
        </w:rPr>
        <w:t xml:space="preserve"> </w:t>
      </w:r>
      <w:r w:rsidR="00F25387" w:rsidRPr="000508B6">
        <w:rPr>
          <w:rFonts w:ascii="Times New Roman" w:eastAsia="Times New Roman" w:hAnsi="Times New Roman" w:cs="Times New Roman"/>
          <w:lang w:val="ro-MD"/>
        </w:rPr>
        <w:t>care este o filială inclusă în sfera supravegherii la nivel de grup în conformitate cu art.</w:t>
      </w:r>
      <w:r w:rsidR="00DC5671" w:rsidRPr="000508B6">
        <w:rPr>
          <w:rFonts w:ascii="Times New Roman" w:eastAsia="Times New Roman" w:hAnsi="Times New Roman" w:cs="Times New Roman"/>
          <w:lang w:val="ro-MD"/>
        </w:rPr>
        <w:t xml:space="preserve"> </w:t>
      </w:r>
      <w:r w:rsidR="00F25387" w:rsidRPr="000508B6">
        <w:rPr>
          <w:rFonts w:ascii="Times New Roman" w:eastAsia="Times New Roman" w:hAnsi="Times New Roman" w:cs="Times New Roman"/>
          <w:lang w:val="ro-MD"/>
        </w:rPr>
        <w:t>116 alin.</w:t>
      </w:r>
      <w:r w:rsidR="00DC5671" w:rsidRPr="000508B6">
        <w:rPr>
          <w:rFonts w:ascii="Times New Roman" w:eastAsia="Times New Roman" w:hAnsi="Times New Roman" w:cs="Times New Roman"/>
          <w:lang w:val="ro-MD"/>
        </w:rPr>
        <w:t xml:space="preserve"> </w:t>
      </w:r>
      <w:r w:rsidR="00F25387" w:rsidRPr="000508B6">
        <w:rPr>
          <w:rFonts w:ascii="Times New Roman" w:eastAsia="Times New Roman" w:hAnsi="Times New Roman" w:cs="Times New Roman"/>
          <w:lang w:val="ro-MD"/>
        </w:rPr>
        <w:t xml:space="preserve">(3) lit. a) și b), Banca Națională a Moldovei examinează dacă vreuna dintre respectivele analize este efectuată la nivel de grup de către </w:t>
      </w:r>
      <w:r w:rsidR="0079352D" w:rsidRPr="000508B6">
        <w:rPr>
          <w:rFonts w:ascii="Times New Roman" w:eastAsia="Times New Roman" w:hAnsi="Times New Roman" w:cs="Times New Roman"/>
          <w:lang w:val="ro-MD"/>
        </w:rPr>
        <w:t xml:space="preserve">asigurătorul sau </w:t>
      </w:r>
      <w:proofErr w:type="spellStart"/>
      <w:r w:rsidR="0079352D" w:rsidRPr="000508B6">
        <w:rPr>
          <w:rFonts w:ascii="Times New Roman" w:eastAsia="Times New Roman" w:hAnsi="Times New Roman" w:cs="Times New Roman"/>
          <w:lang w:val="ro-MD"/>
        </w:rPr>
        <w:t>reasigurătorul</w:t>
      </w:r>
      <w:proofErr w:type="spellEnd"/>
      <w:r w:rsidR="0079352D" w:rsidRPr="000508B6">
        <w:rPr>
          <w:rFonts w:ascii="Times New Roman" w:eastAsia="Times New Roman" w:hAnsi="Times New Roman" w:cs="Times New Roman"/>
          <w:lang w:val="ro-MD"/>
        </w:rPr>
        <w:t xml:space="preserve"> </w:t>
      </w:r>
      <w:r w:rsidR="00F25387" w:rsidRPr="000508B6">
        <w:rPr>
          <w:rFonts w:ascii="Times New Roman" w:eastAsia="Times New Roman" w:hAnsi="Times New Roman" w:cs="Times New Roman"/>
          <w:lang w:val="ro-MD"/>
        </w:rPr>
        <w:t xml:space="preserve">participativ, holdingul de asigurare sau holdingul financiar mixt cu sediul central </w:t>
      </w:r>
      <w:proofErr w:type="spellStart"/>
      <w:r w:rsidR="00F25387" w:rsidRPr="000508B6">
        <w:rPr>
          <w:rFonts w:ascii="Times New Roman" w:eastAsia="Times New Roman" w:hAnsi="Times New Roman" w:cs="Times New Roman"/>
          <w:lang w:val="ro-MD"/>
        </w:rPr>
        <w:t>într</w:t>
      </w:r>
      <w:proofErr w:type="spellEnd"/>
      <w:r w:rsidR="00F25387" w:rsidRPr="000508B6">
        <w:rPr>
          <w:rFonts w:ascii="Times New Roman" w:eastAsia="Times New Roman" w:hAnsi="Times New Roman" w:cs="Times New Roman"/>
          <w:lang w:val="ro-MD"/>
        </w:rPr>
        <w:t xml:space="preserve">-unul din statele membre și </w:t>
      </w:r>
      <w:r w:rsidRPr="000508B6">
        <w:rPr>
          <w:rFonts w:ascii="Times New Roman" w:eastAsia="Times New Roman" w:hAnsi="Times New Roman" w:cs="Times New Roman"/>
          <w:lang w:val="ro-MD"/>
        </w:rPr>
        <w:t>iau în calcul</w:t>
      </w:r>
      <w:r w:rsidR="00F25387" w:rsidRPr="000508B6">
        <w:rPr>
          <w:rFonts w:ascii="Times New Roman" w:eastAsia="Times New Roman" w:hAnsi="Times New Roman" w:cs="Times New Roman"/>
          <w:lang w:val="ro-MD"/>
        </w:rPr>
        <w:t xml:space="preserve"> particularitățile </w:t>
      </w:r>
      <w:r w:rsidRPr="000508B6">
        <w:rPr>
          <w:rFonts w:ascii="Times New Roman" w:eastAsia="Times New Roman" w:hAnsi="Times New Roman" w:cs="Times New Roman"/>
          <w:lang w:val="ro-MD"/>
        </w:rPr>
        <w:t>filialei respective</w:t>
      </w:r>
      <w:r w:rsidR="00F25387" w:rsidRPr="000508B6">
        <w:rPr>
          <w:rFonts w:ascii="Times New Roman" w:eastAsia="Times New Roman" w:hAnsi="Times New Roman" w:cs="Times New Roman"/>
          <w:lang w:val="ro-MD"/>
        </w:rPr>
        <w:t>.</w:t>
      </w:r>
    </w:p>
    <w:p w14:paraId="58177483" w14:textId="698BAE2C" w:rsidR="000F1412" w:rsidRPr="000508B6" w:rsidRDefault="008B453D" w:rsidP="005949BA">
      <w:pPr>
        <w:pStyle w:val="Listparagraf"/>
        <w:numPr>
          <w:ilvl w:val="0"/>
          <w:numId w:val="109"/>
        </w:numPr>
        <w:tabs>
          <w:tab w:val="left" w:pos="568"/>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B117B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aplică prevederile alin. (7), dacă este cazul și pentru expunerile </w:t>
      </w:r>
      <w:r w:rsidR="000F1412" w:rsidRPr="000508B6">
        <w:rPr>
          <w:rFonts w:ascii="Times New Roman" w:eastAsia="Times New Roman" w:hAnsi="Times New Roman" w:cs="Times New Roman"/>
          <w:lang w:val="ro-MD"/>
        </w:rPr>
        <w:t>semnificativ</w:t>
      </w:r>
      <w:r w:rsidRPr="000508B6">
        <w:rPr>
          <w:rFonts w:ascii="Times New Roman" w:eastAsia="Times New Roman" w:hAnsi="Times New Roman" w:cs="Times New Roman"/>
          <w:lang w:val="ro-MD"/>
        </w:rPr>
        <w:t>e</w:t>
      </w:r>
      <w:r w:rsidR="000F1412" w:rsidRPr="000508B6">
        <w:rPr>
          <w:rFonts w:ascii="Times New Roman" w:eastAsia="Times New Roman" w:hAnsi="Times New Roman" w:cs="Times New Roman"/>
          <w:lang w:val="ro-MD"/>
        </w:rPr>
        <w:t xml:space="preserve"> la riscuri legate de schimbările climatice</w:t>
      </w:r>
      <w:r w:rsidRPr="000508B6">
        <w:rPr>
          <w:rFonts w:ascii="Times New Roman" w:eastAsia="Times New Roman" w:hAnsi="Times New Roman" w:cs="Times New Roman"/>
          <w:lang w:val="ro-MD"/>
        </w:rPr>
        <w:t>,</w:t>
      </w:r>
      <w:r w:rsidR="000F141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demonstrând nivelul</w:t>
      </w:r>
      <w:r w:rsidR="000F1412" w:rsidRPr="000508B6">
        <w:rPr>
          <w:rFonts w:ascii="Times New Roman" w:eastAsia="Times New Roman" w:hAnsi="Times New Roman" w:cs="Times New Roman"/>
          <w:lang w:val="ro-MD"/>
        </w:rPr>
        <w:t xml:space="preserve"> de semnificație al </w:t>
      </w:r>
      <w:r w:rsidRPr="000508B6">
        <w:rPr>
          <w:rFonts w:ascii="Times New Roman" w:eastAsia="Times New Roman" w:hAnsi="Times New Roman" w:cs="Times New Roman"/>
          <w:lang w:val="ro-MD"/>
        </w:rPr>
        <w:t>acestora</w:t>
      </w:r>
      <w:r w:rsidR="000F1412" w:rsidRPr="000508B6">
        <w:rPr>
          <w:rFonts w:ascii="Times New Roman" w:eastAsia="Times New Roman" w:hAnsi="Times New Roman" w:cs="Times New Roman"/>
          <w:lang w:val="ro-MD"/>
        </w:rPr>
        <w:t xml:space="preserve">. </w:t>
      </w:r>
    </w:p>
    <w:p w14:paraId="16DDAFD7" w14:textId="7A77AD1C" w:rsidR="000F1412" w:rsidRPr="000508B6" w:rsidRDefault="000F1412" w:rsidP="005949BA">
      <w:pPr>
        <w:pStyle w:val="Listparagraf"/>
        <w:numPr>
          <w:ilvl w:val="0"/>
          <w:numId w:val="109"/>
        </w:numPr>
        <w:tabs>
          <w:tab w:val="left" w:pos="568"/>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8B453D" w:rsidRPr="000508B6">
        <w:rPr>
          <w:rFonts w:ascii="Times New Roman" w:eastAsia="Times New Roman" w:hAnsi="Times New Roman" w:cs="Times New Roman"/>
          <w:lang w:val="ro-MD"/>
        </w:rPr>
        <w:t>identifică</w:t>
      </w:r>
      <w:r w:rsidRPr="000508B6">
        <w:rPr>
          <w:rFonts w:ascii="Times New Roman" w:eastAsia="Times New Roman" w:hAnsi="Times New Roman" w:cs="Times New Roman"/>
          <w:lang w:val="ro-MD"/>
        </w:rPr>
        <w:t xml:space="preserve"> expuner</w:t>
      </w:r>
      <w:r w:rsidR="008B453D"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 xml:space="preserve"> semnificativ</w:t>
      </w:r>
      <w:r w:rsidR="00EC1F0E"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la riscuri legate de schimbările climatice,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EC1F0E" w:rsidRPr="000508B6">
        <w:rPr>
          <w:rFonts w:ascii="Times New Roman" w:eastAsia="Times New Roman" w:hAnsi="Times New Roman" w:cs="Times New Roman"/>
          <w:lang w:val="ro-MD"/>
        </w:rPr>
        <w:t xml:space="preserve"> </w:t>
      </w:r>
      <w:r w:rsidR="001849A5" w:rsidRPr="000508B6">
        <w:rPr>
          <w:rFonts w:ascii="Times New Roman" w:eastAsia="Times New Roman" w:hAnsi="Times New Roman" w:cs="Times New Roman"/>
          <w:lang w:val="ro-MD"/>
        </w:rPr>
        <w:t xml:space="preserve">include în ORSA </w:t>
      </w:r>
      <w:r w:rsidRPr="000508B6">
        <w:rPr>
          <w:rFonts w:ascii="Times New Roman" w:eastAsia="Times New Roman" w:hAnsi="Times New Roman" w:cs="Times New Roman"/>
          <w:lang w:val="ro-MD"/>
        </w:rPr>
        <w:t xml:space="preserve">cel puțin două scenarii de schimbări climatice pe termen lung, </w:t>
      </w:r>
      <w:r w:rsidR="001849A5" w:rsidRPr="000508B6">
        <w:rPr>
          <w:rFonts w:ascii="Times New Roman" w:eastAsia="Times New Roman" w:hAnsi="Times New Roman" w:cs="Times New Roman"/>
          <w:lang w:val="ro-MD"/>
        </w:rPr>
        <w:t xml:space="preserve">din perspectiva în care </w:t>
      </w:r>
      <w:r w:rsidRPr="000508B6">
        <w:rPr>
          <w:rFonts w:ascii="Times New Roman" w:eastAsia="Times New Roman" w:hAnsi="Times New Roman" w:cs="Times New Roman"/>
          <w:lang w:val="ro-MD"/>
        </w:rPr>
        <w:t>:</w:t>
      </w:r>
    </w:p>
    <w:p w14:paraId="51AF944F" w14:textId="21A8302F" w:rsidR="000F1412" w:rsidRPr="000508B6" w:rsidRDefault="000F1412" w:rsidP="00DE4225">
      <w:pPr>
        <w:pStyle w:val="Listparagraf"/>
        <w:numPr>
          <w:ilvl w:val="0"/>
          <w:numId w:val="443"/>
        </w:numPr>
        <w:tabs>
          <w:tab w:val="left" w:pos="426"/>
          <w:tab w:val="left" w:pos="568"/>
          <w:tab w:val="left" w:pos="851"/>
          <w:tab w:val="left" w:pos="993"/>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creșterea temperaturii globale rămâne sub 2</w:t>
      </w:r>
      <w:r w:rsidRPr="000508B6">
        <w:rPr>
          <w:rFonts w:ascii="Times New Roman" w:eastAsia="Times New Roman" w:hAnsi="Times New Roman" w:cs="Times New Roman"/>
          <w:vertAlign w:val="superscript"/>
          <w:lang w:val="ro-MD"/>
        </w:rPr>
        <w:t>0</w:t>
      </w:r>
      <w:r w:rsidRPr="000508B6">
        <w:rPr>
          <w:rFonts w:ascii="Times New Roman" w:eastAsia="Times New Roman" w:hAnsi="Times New Roman" w:cs="Times New Roman"/>
          <w:lang w:val="ro-MD"/>
        </w:rPr>
        <w:t xml:space="preserve"> Celsius;</w:t>
      </w:r>
    </w:p>
    <w:p w14:paraId="57D9864C" w14:textId="20C6B745" w:rsidR="000F1412" w:rsidRPr="000508B6" w:rsidRDefault="000F1412" w:rsidP="00DE4225">
      <w:pPr>
        <w:pStyle w:val="Listparagraf"/>
        <w:numPr>
          <w:ilvl w:val="0"/>
          <w:numId w:val="443"/>
        </w:numPr>
        <w:tabs>
          <w:tab w:val="left" w:pos="426"/>
          <w:tab w:val="left" w:pos="568"/>
          <w:tab w:val="left" w:pos="851"/>
          <w:tab w:val="left" w:pos="993"/>
        </w:tabs>
        <w:spacing w:after="0" w:line="240" w:lineRule="auto"/>
        <w:ind w:left="142"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creșterea temperaturii globale este semnificativ mai mare de 2</w:t>
      </w:r>
      <w:r w:rsidRPr="000508B6">
        <w:rPr>
          <w:rFonts w:ascii="Times New Roman" w:eastAsia="Times New Roman" w:hAnsi="Times New Roman" w:cs="Times New Roman"/>
          <w:vertAlign w:val="superscript"/>
          <w:lang w:val="ro-MD"/>
        </w:rPr>
        <w:t>0</w:t>
      </w:r>
      <w:r w:rsidRPr="000508B6">
        <w:rPr>
          <w:rFonts w:ascii="Times New Roman" w:eastAsia="Times New Roman" w:hAnsi="Times New Roman" w:cs="Times New Roman"/>
          <w:lang w:val="ro-MD"/>
        </w:rPr>
        <w:t xml:space="preserve"> Celsius</w:t>
      </w:r>
      <w:r w:rsidR="00124B81" w:rsidRPr="000508B6">
        <w:rPr>
          <w:rFonts w:ascii="Times New Roman" w:eastAsia="Times New Roman" w:hAnsi="Times New Roman" w:cs="Times New Roman"/>
          <w:lang w:val="ro-MD"/>
        </w:rPr>
        <w:t>.</w:t>
      </w:r>
    </w:p>
    <w:p w14:paraId="4F01E527" w14:textId="0231B977" w:rsidR="000F1412" w:rsidRPr="000508B6" w:rsidRDefault="00D068AA" w:rsidP="005949BA">
      <w:pPr>
        <w:pStyle w:val="Listparagraf"/>
        <w:numPr>
          <w:ilvl w:val="0"/>
          <w:numId w:val="109"/>
        </w:numPr>
        <w:tabs>
          <w:tab w:val="left" w:pos="568"/>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A66ACD" w:rsidRPr="000508B6">
        <w:rPr>
          <w:rFonts w:ascii="Times New Roman" w:eastAsia="Times New Roman" w:hAnsi="Times New Roman" w:cs="Times New Roman"/>
          <w:lang w:val="ro-MD"/>
        </w:rPr>
        <w:t xml:space="preserve"> </w:t>
      </w:r>
      <w:r w:rsidR="001849A5" w:rsidRPr="000508B6">
        <w:rPr>
          <w:rFonts w:ascii="Times New Roman" w:eastAsia="Times New Roman" w:hAnsi="Times New Roman" w:cs="Times New Roman"/>
          <w:lang w:val="ro-MD"/>
        </w:rPr>
        <w:t>include în ORSA o analiză a impactului pe care îl are asupra activității scenariile de schimbări climatice pe termen lung specificate în temeiul alin. (17) l</w:t>
      </w:r>
      <w:r w:rsidR="000F1412" w:rsidRPr="000508B6">
        <w:rPr>
          <w:rFonts w:ascii="Times New Roman" w:eastAsia="Times New Roman" w:hAnsi="Times New Roman" w:cs="Times New Roman"/>
          <w:lang w:val="ro-MD"/>
        </w:rPr>
        <w:t xml:space="preserve">a intervale regulate, </w:t>
      </w:r>
      <w:r w:rsidR="001849A5" w:rsidRPr="000508B6">
        <w:rPr>
          <w:rFonts w:ascii="Times New Roman" w:eastAsia="Times New Roman" w:hAnsi="Times New Roman" w:cs="Times New Roman"/>
          <w:lang w:val="ro-MD"/>
        </w:rPr>
        <w:t>stabilite cu aplicarea principiului proporționalității,</w:t>
      </w:r>
      <w:r w:rsidR="000F1412" w:rsidRPr="000508B6">
        <w:rPr>
          <w:rFonts w:ascii="Times New Roman" w:eastAsia="Times New Roman" w:hAnsi="Times New Roman" w:cs="Times New Roman"/>
          <w:lang w:val="ro-MD"/>
        </w:rPr>
        <w:t xml:space="preserve"> dar </w:t>
      </w:r>
      <w:r w:rsidR="001849A5" w:rsidRPr="000508B6">
        <w:rPr>
          <w:rFonts w:ascii="Times New Roman" w:eastAsia="Times New Roman" w:hAnsi="Times New Roman" w:cs="Times New Roman"/>
          <w:lang w:val="ro-MD"/>
        </w:rPr>
        <w:t xml:space="preserve">care </w:t>
      </w:r>
      <w:r w:rsidR="000F1412" w:rsidRPr="000508B6">
        <w:rPr>
          <w:rFonts w:ascii="Times New Roman" w:eastAsia="Times New Roman" w:hAnsi="Times New Roman" w:cs="Times New Roman"/>
          <w:lang w:val="ro-MD"/>
        </w:rPr>
        <w:t>nu depășesc trei ani.</w:t>
      </w:r>
    </w:p>
    <w:p w14:paraId="0A2512DE" w14:textId="1BD2B7A6" w:rsidR="001849A5" w:rsidRPr="000508B6" w:rsidRDefault="00D068AA" w:rsidP="005949B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A66ACD" w:rsidRPr="000508B6">
        <w:rPr>
          <w:rFonts w:ascii="Times New Roman" w:eastAsia="Times New Roman" w:hAnsi="Times New Roman" w:cs="Times New Roman"/>
          <w:lang w:val="ro-MD"/>
        </w:rPr>
        <w:t xml:space="preserve"> </w:t>
      </w:r>
      <w:r w:rsidR="00EA7285" w:rsidRPr="000508B6">
        <w:rPr>
          <w:rFonts w:ascii="Times New Roman" w:eastAsia="Times New Roman" w:hAnsi="Times New Roman" w:cs="Times New Roman"/>
          <w:lang w:val="ro-MD"/>
        </w:rPr>
        <w:t xml:space="preserve">revizuiește scenariile </w:t>
      </w:r>
      <w:r w:rsidR="001849A5" w:rsidRPr="000508B6">
        <w:rPr>
          <w:rFonts w:ascii="Times New Roman" w:eastAsia="Times New Roman" w:hAnsi="Times New Roman" w:cs="Times New Roman"/>
          <w:lang w:val="ro-MD"/>
        </w:rPr>
        <w:t>de schimbări climatice pe termen lung menționate la alin. (</w:t>
      </w:r>
      <w:r w:rsidR="00EA7285" w:rsidRPr="000508B6">
        <w:rPr>
          <w:rFonts w:ascii="Times New Roman" w:eastAsia="Times New Roman" w:hAnsi="Times New Roman" w:cs="Times New Roman"/>
          <w:lang w:val="ro-MD"/>
        </w:rPr>
        <w:t>17</w:t>
      </w:r>
      <w:r w:rsidR="001849A5" w:rsidRPr="000508B6">
        <w:rPr>
          <w:rFonts w:ascii="Times New Roman" w:eastAsia="Times New Roman" w:hAnsi="Times New Roman" w:cs="Times New Roman"/>
          <w:lang w:val="ro-MD"/>
        </w:rPr>
        <w:t xml:space="preserve">) se cel puțin o dată la trei ani și </w:t>
      </w:r>
      <w:r w:rsidR="00EA7285" w:rsidRPr="000508B6">
        <w:rPr>
          <w:rFonts w:ascii="Times New Roman" w:eastAsia="Times New Roman" w:hAnsi="Times New Roman" w:cs="Times New Roman"/>
          <w:lang w:val="ro-MD"/>
        </w:rPr>
        <w:t xml:space="preserve">le </w:t>
      </w:r>
      <w:r w:rsidR="001849A5" w:rsidRPr="000508B6">
        <w:rPr>
          <w:rFonts w:ascii="Times New Roman" w:eastAsia="Times New Roman" w:hAnsi="Times New Roman" w:cs="Times New Roman"/>
          <w:lang w:val="ro-MD"/>
        </w:rPr>
        <w:t xml:space="preserve">actualizează dacă este necesar. </w:t>
      </w:r>
      <w:r w:rsidR="00EA7285" w:rsidRPr="000508B6">
        <w:rPr>
          <w:rFonts w:ascii="Times New Roman" w:eastAsia="Times New Roman" w:hAnsi="Times New Roman" w:cs="Times New Roman"/>
          <w:lang w:val="ro-MD"/>
        </w:rPr>
        <w:t xml:space="preserve">În cadrul revizuirii în cauză </w:t>
      </w: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1849A5" w:rsidRPr="000508B6">
        <w:rPr>
          <w:rFonts w:ascii="Times New Roman" w:eastAsia="Times New Roman" w:hAnsi="Times New Roman" w:cs="Times New Roman"/>
          <w:lang w:val="ro-MD"/>
        </w:rPr>
        <w:t xml:space="preserve"> ține seama de rezultatele obținute cu instrumentele și principiile utilizate în scenariile anterioare de schimbări climatice, pentru a spori eficacitatea</w:t>
      </w:r>
      <w:r w:rsidR="00EA7285" w:rsidRPr="000508B6">
        <w:rPr>
          <w:rFonts w:ascii="Times New Roman" w:eastAsia="Times New Roman" w:hAnsi="Times New Roman" w:cs="Times New Roman"/>
          <w:lang w:val="ro-MD"/>
        </w:rPr>
        <w:t xml:space="preserve"> acestora</w:t>
      </w:r>
      <w:r w:rsidR="001849A5" w:rsidRPr="000508B6">
        <w:rPr>
          <w:rFonts w:ascii="Times New Roman" w:eastAsia="Times New Roman" w:hAnsi="Times New Roman" w:cs="Times New Roman"/>
          <w:lang w:val="ro-MD"/>
        </w:rPr>
        <w:t>.</w:t>
      </w:r>
    </w:p>
    <w:p w14:paraId="6F822E4C" w14:textId="29B0CD00" w:rsidR="00EA7285" w:rsidRPr="000508B6" w:rsidRDefault="00EA7285" w:rsidP="005949B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Prin derogare de la alin. (17)-(19),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B117B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mic și cu un grad redus de complexitate nu are obligația de a include în ORSA scenariile prevăzute la alin. (17) și </w:t>
      </w:r>
      <w:r w:rsidR="005949BA" w:rsidRPr="000508B6">
        <w:rPr>
          <w:rFonts w:ascii="Times New Roman" w:eastAsia="Times New Roman" w:hAnsi="Times New Roman" w:cs="Times New Roman"/>
          <w:lang w:val="ro-MD"/>
        </w:rPr>
        <w:t>analiza prevăzută la alin. (18)</w:t>
      </w:r>
      <w:r w:rsidRPr="000508B6">
        <w:rPr>
          <w:rFonts w:ascii="Times New Roman" w:eastAsia="Times New Roman" w:hAnsi="Times New Roman" w:cs="Times New Roman"/>
          <w:lang w:val="ro-MD"/>
        </w:rPr>
        <w:t>.</w:t>
      </w:r>
    </w:p>
    <w:p w14:paraId="48690F50" w14:textId="2CA3FEC2" w:rsidR="00F95829" w:rsidRPr="000508B6" w:rsidRDefault="00AC0229" w:rsidP="005949B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BF1B45" w:rsidRPr="000508B6">
        <w:rPr>
          <w:rFonts w:ascii="Times New Roman" w:eastAsia="Times New Roman" w:hAnsi="Times New Roman" w:cs="Times New Roman"/>
          <w:lang w:val="ro-MD"/>
        </w:rPr>
        <w:t xml:space="preserve">efectuează </w:t>
      </w:r>
      <w:r w:rsidR="00F95829" w:rsidRPr="000508B6">
        <w:rPr>
          <w:rFonts w:ascii="Times New Roman" w:eastAsia="Times New Roman" w:hAnsi="Times New Roman" w:cs="Times New Roman"/>
          <w:lang w:val="ro-MD"/>
        </w:rPr>
        <w:t xml:space="preserve">ORSA cu regularitate, cel </w:t>
      </w:r>
      <w:proofErr w:type="spellStart"/>
      <w:r w:rsidR="00F95829" w:rsidRPr="000508B6">
        <w:rPr>
          <w:rFonts w:ascii="Times New Roman" w:eastAsia="Times New Roman" w:hAnsi="Times New Roman" w:cs="Times New Roman"/>
          <w:lang w:val="ro-MD"/>
        </w:rPr>
        <w:t>puţin</w:t>
      </w:r>
      <w:proofErr w:type="spellEnd"/>
      <w:r w:rsidR="00F95829" w:rsidRPr="000508B6">
        <w:rPr>
          <w:rFonts w:ascii="Times New Roman" w:eastAsia="Times New Roman" w:hAnsi="Times New Roman" w:cs="Times New Roman"/>
          <w:lang w:val="ro-MD"/>
        </w:rPr>
        <w:t xml:space="preserve"> anual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ori de câte ori profilul de risc </w:t>
      </w:r>
      <w:r w:rsidR="00EA7285" w:rsidRPr="000508B6">
        <w:rPr>
          <w:rFonts w:ascii="Times New Roman" w:eastAsia="Times New Roman" w:hAnsi="Times New Roman" w:cs="Times New Roman"/>
          <w:lang w:val="ro-MD"/>
        </w:rPr>
        <w:t xml:space="preserve">înregistrează </w:t>
      </w:r>
      <w:r w:rsidR="00F95829" w:rsidRPr="000508B6">
        <w:rPr>
          <w:rFonts w:ascii="Times New Roman" w:eastAsia="Times New Roman" w:hAnsi="Times New Roman" w:cs="Times New Roman"/>
          <w:lang w:val="ro-MD"/>
        </w:rPr>
        <w:t>modific</w:t>
      </w:r>
      <w:r w:rsidR="00EA7285" w:rsidRPr="000508B6">
        <w:rPr>
          <w:rFonts w:ascii="Times New Roman" w:eastAsia="Times New Roman" w:hAnsi="Times New Roman" w:cs="Times New Roman"/>
          <w:lang w:val="ro-MD"/>
        </w:rPr>
        <w:t>ări</w:t>
      </w:r>
      <w:r w:rsidR="00F95829" w:rsidRPr="000508B6">
        <w:rPr>
          <w:rFonts w:ascii="Times New Roman" w:eastAsia="Times New Roman" w:hAnsi="Times New Roman" w:cs="Times New Roman"/>
          <w:lang w:val="ro-MD"/>
        </w:rPr>
        <w:t xml:space="preserve"> semnificativ</w:t>
      </w:r>
      <w:r w:rsidR="00EA7285" w:rsidRPr="000508B6">
        <w:rPr>
          <w:rFonts w:ascii="Times New Roman" w:eastAsia="Times New Roman" w:hAnsi="Times New Roman" w:cs="Times New Roman"/>
          <w:lang w:val="ro-MD"/>
        </w:rPr>
        <w:t>e.</w:t>
      </w:r>
    </w:p>
    <w:p w14:paraId="00661C47" w14:textId="1FECC557" w:rsidR="009F264F" w:rsidRPr="000508B6" w:rsidRDefault="009F264F" w:rsidP="005949BA">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Prin derogare de la alin. (</w:t>
      </w:r>
      <w:r w:rsidR="00760577" w:rsidRPr="000508B6">
        <w:rPr>
          <w:rFonts w:ascii="Times New Roman" w:eastAsia="Times New Roman" w:hAnsi="Times New Roman" w:cs="Times New Roman"/>
          <w:lang w:val="ro-MD"/>
        </w:rPr>
        <w:t>21</w:t>
      </w:r>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A66AC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poate realiza </w:t>
      </w:r>
      <w:r w:rsidR="00221103" w:rsidRPr="000508B6">
        <w:rPr>
          <w:rFonts w:ascii="Times New Roman" w:eastAsia="Times New Roman" w:hAnsi="Times New Roman" w:cs="Times New Roman"/>
          <w:lang w:val="ro-MD"/>
        </w:rPr>
        <w:t>ORSA</w:t>
      </w:r>
      <w:r w:rsidRPr="000508B6">
        <w:rPr>
          <w:rFonts w:ascii="Times New Roman" w:eastAsia="Times New Roman" w:hAnsi="Times New Roman" w:cs="Times New Roman"/>
          <w:lang w:val="ro-MD"/>
        </w:rPr>
        <w:t xml:space="preserve"> cel puțin o dată la doi ani și fără întârziere după orice modificare semnificativă a profilului </w:t>
      </w:r>
      <w:r w:rsidR="00B6192A" w:rsidRPr="000508B6">
        <w:rPr>
          <w:rFonts w:ascii="Times New Roman" w:eastAsia="Times New Roman" w:hAnsi="Times New Roman" w:cs="Times New Roman"/>
          <w:lang w:val="ro-MD"/>
        </w:rPr>
        <w:t xml:space="preserve">ei </w:t>
      </w:r>
      <w:r w:rsidRPr="000508B6">
        <w:rPr>
          <w:rFonts w:ascii="Times New Roman" w:eastAsia="Times New Roman" w:hAnsi="Times New Roman" w:cs="Times New Roman"/>
          <w:lang w:val="ro-MD"/>
        </w:rPr>
        <w:t xml:space="preserve">de risc, cu excepția cazului în care Banca Națională a Moldovei concluzionează, pe baza circumstanțelor specifice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că este necesară o evaluare mai frecventă, dacă este îndeplinită oricare dintre următoarele condiții:</w:t>
      </w:r>
    </w:p>
    <w:p w14:paraId="0298659F" w14:textId="7EF23581" w:rsidR="009F264F" w:rsidRPr="000508B6" w:rsidRDefault="00D068AA" w:rsidP="00DC5671">
      <w:pPr>
        <w:pStyle w:val="Listparagraf"/>
        <w:numPr>
          <w:ilvl w:val="0"/>
          <w:numId w:val="344"/>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7D3A9C" w:rsidRPr="000508B6">
        <w:rPr>
          <w:rFonts w:ascii="Times New Roman" w:eastAsia="Times New Roman" w:hAnsi="Times New Roman" w:cs="Times New Roman"/>
          <w:lang w:val="ro-MD"/>
        </w:rPr>
        <w:t xml:space="preserve"> </w:t>
      </w:r>
      <w:r w:rsidR="009F264F" w:rsidRPr="000508B6">
        <w:rPr>
          <w:rFonts w:ascii="Times New Roman" w:eastAsia="Times New Roman" w:hAnsi="Times New Roman" w:cs="Times New Roman"/>
          <w:lang w:val="ro-MD"/>
        </w:rPr>
        <w:t xml:space="preserve">este </w:t>
      </w:r>
      <w:r w:rsidR="00B117BD" w:rsidRPr="000508B6">
        <w:rPr>
          <w:rFonts w:ascii="Times New Roman" w:eastAsia="Times New Roman" w:hAnsi="Times New Roman" w:cs="Times New Roman"/>
          <w:lang w:val="ro-MD"/>
        </w:rPr>
        <w:t>încadrat în categoria</w:t>
      </w:r>
      <w:r w:rsidR="009F264F" w:rsidRPr="000508B6">
        <w:rPr>
          <w:rFonts w:ascii="Times New Roman" w:eastAsia="Times New Roman" w:hAnsi="Times New Roman" w:cs="Times New Roman"/>
          <w:lang w:val="ro-MD"/>
        </w:rPr>
        <w:t xml:space="preserve"> </w:t>
      </w:r>
      <w:r w:rsidR="001D01E4" w:rsidRPr="000508B6">
        <w:rPr>
          <w:rFonts w:ascii="Times New Roman" w:eastAsia="Times New Roman" w:hAnsi="Times New Roman" w:cs="Times New Roman"/>
          <w:lang w:val="ro-MD"/>
        </w:rPr>
        <w:t xml:space="preserve">asigurător sau </w:t>
      </w:r>
      <w:proofErr w:type="spellStart"/>
      <w:r w:rsidR="001D01E4" w:rsidRPr="000508B6">
        <w:rPr>
          <w:rFonts w:ascii="Times New Roman" w:eastAsia="Times New Roman" w:hAnsi="Times New Roman" w:cs="Times New Roman"/>
          <w:lang w:val="ro-MD"/>
        </w:rPr>
        <w:t>reasigurător</w:t>
      </w:r>
      <w:proofErr w:type="spellEnd"/>
      <w:r w:rsidR="001D01E4" w:rsidRPr="000508B6">
        <w:rPr>
          <w:rFonts w:ascii="Times New Roman" w:eastAsia="Times New Roman" w:hAnsi="Times New Roman" w:cs="Times New Roman"/>
          <w:lang w:val="ro-MD"/>
        </w:rPr>
        <w:t xml:space="preserve"> </w:t>
      </w:r>
      <w:r w:rsidR="009F264F" w:rsidRPr="000508B6">
        <w:rPr>
          <w:rFonts w:ascii="Times New Roman" w:eastAsia="Times New Roman" w:hAnsi="Times New Roman" w:cs="Times New Roman"/>
          <w:lang w:val="ro-MD"/>
        </w:rPr>
        <w:t>mic și cu un grad redus de complexitate;</w:t>
      </w:r>
    </w:p>
    <w:p w14:paraId="48AEE414" w14:textId="065B05C9" w:rsidR="009F264F" w:rsidRPr="000508B6" w:rsidRDefault="009F264F" w:rsidP="00DE4225">
      <w:pPr>
        <w:pStyle w:val="Listparagraf"/>
        <w:numPr>
          <w:ilvl w:val="0"/>
          <w:numId w:val="344"/>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202E7C" w:rsidRPr="000508B6">
        <w:rPr>
          <w:rFonts w:ascii="Times New Roman" w:eastAsia="Times New Roman" w:hAnsi="Times New Roman" w:cs="Times New Roman"/>
          <w:lang w:val="ro-MD"/>
        </w:rPr>
        <w:t>asigurător</w:t>
      </w:r>
      <w:r w:rsidR="00F86E05" w:rsidRPr="000508B6">
        <w:rPr>
          <w:rFonts w:ascii="Times New Roman" w:eastAsia="Times New Roman" w:hAnsi="Times New Roman" w:cs="Times New Roman"/>
          <w:lang w:val="ro-MD"/>
        </w:rPr>
        <w:t>ul</w:t>
      </w:r>
      <w:r w:rsidR="00202E7C" w:rsidRPr="000508B6">
        <w:rPr>
          <w:rFonts w:ascii="Times New Roman" w:eastAsia="Times New Roman" w:hAnsi="Times New Roman" w:cs="Times New Roman"/>
          <w:lang w:val="ro-MD"/>
        </w:rPr>
        <w:t xml:space="preserve"> sau </w:t>
      </w:r>
      <w:proofErr w:type="spellStart"/>
      <w:r w:rsidR="00202E7C" w:rsidRPr="000508B6">
        <w:rPr>
          <w:rFonts w:ascii="Times New Roman" w:eastAsia="Times New Roman" w:hAnsi="Times New Roman" w:cs="Times New Roman"/>
          <w:lang w:val="ro-MD"/>
        </w:rPr>
        <w:t>reasigurător</w:t>
      </w:r>
      <w:r w:rsidR="00F86E05" w:rsidRPr="000508B6">
        <w:rPr>
          <w:rFonts w:ascii="Times New Roman" w:eastAsia="Times New Roman" w:hAnsi="Times New Roman" w:cs="Times New Roman"/>
          <w:lang w:val="ro-MD"/>
        </w:rPr>
        <w:t>ul</w:t>
      </w:r>
      <w:proofErr w:type="spellEnd"/>
      <w:r w:rsidRPr="000508B6">
        <w:rPr>
          <w:rFonts w:ascii="Times New Roman" w:eastAsia="Times New Roman" w:hAnsi="Times New Roman" w:cs="Times New Roman"/>
          <w:lang w:val="ro-MD"/>
        </w:rPr>
        <w:t xml:space="preserve"> captiv îndeplinește următoare</w:t>
      </w:r>
      <w:r w:rsidR="008F56B6" w:rsidRPr="000508B6">
        <w:rPr>
          <w:rFonts w:ascii="Times New Roman" w:eastAsia="Times New Roman" w:hAnsi="Times New Roman" w:cs="Times New Roman"/>
          <w:lang w:val="ro-MD"/>
        </w:rPr>
        <w:t>le criterii</w:t>
      </w:r>
      <w:r w:rsidRPr="000508B6">
        <w:rPr>
          <w:rFonts w:ascii="Times New Roman" w:eastAsia="Times New Roman" w:hAnsi="Times New Roman" w:cs="Times New Roman"/>
          <w:lang w:val="ro-MD"/>
        </w:rPr>
        <w:t>:</w:t>
      </w:r>
    </w:p>
    <w:p w14:paraId="7870AF93" w14:textId="2C8FFF91" w:rsidR="009F264F" w:rsidRPr="000508B6" w:rsidRDefault="009F264F" w:rsidP="00DC5671">
      <w:pPr>
        <w:pStyle w:val="Listparagraf"/>
        <w:numPr>
          <w:ilvl w:val="0"/>
          <w:numId w:val="34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asigurații și beneficiarii </w:t>
      </w:r>
      <w:r w:rsidR="0085248C" w:rsidRPr="000508B6">
        <w:rPr>
          <w:rFonts w:ascii="Times New Roman" w:eastAsia="Times New Roman" w:hAnsi="Times New Roman" w:cs="Times New Roman"/>
          <w:lang w:val="ro-MD"/>
        </w:rPr>
        <w:t xml:space="preserve">asigurării </w:t>
      </w:r>
      <w:r w:rsidRPr="000508B6">
        <w:rPr>
          <w:rFonts w:ascii="Times New Roman" w:eastAsia="Times New Roman" w:hAnsi="Times New Roman" w:cs="Times New Roman"/>
          <w:lang w:val="ro-MD"/>
        </w:rPr>
        <w:t xml:space="preserve">sunt entități juridice ale grupului din care face parte </w:t>
      </w:r>
      <w:r w:rsidR="00202E7C" w:rsidRPr="000508B6">
        <w:rPr>
          <w:rFonts w:ascii="Times New Roman" w:eastAsia="Times New Roman" w:hAnsi="Times New Roman" w:cs="Times New Roman"/>
          <w:lang w:val="ro-MD"/>
        </w:rPr>
        <w:t xml:space="preserve">asigurătorul sau </w:t>
      </w:r>
      <w:proofErr w:type="spellStart"/>
      <w:r w:rsidR="00202E7C" w:rsidRPr="000508B6">
        <w:rPr>
          <w:rFonts w:ascii="Times New Roman" w:eastAsia="Times New Roman" w:hAnsi="Times New Roman" w:cs="Times New Roman"/>
          <w:lang w:val="ro-MD"/>
        </w:rPr>
        <w:t>reasigurătorul</w:t>
      </w:r>
      <w:proofErr w:type="spellEnd"/>
      <w:r w:rsidR="00202E7C" w:rsidRPr="000508B6">
        <w:rPr>
          <w:rFonts w:ascii="Times New Roman" w:eastAsia="Times New Roman" w:hAnsi="Times New Roman" w:cs="Times New Roman"/>
          <w:lang w:val="ro-MD"/>
        </w:rPr>
        <w:t xml:space="preserve"> captiv</w:t>
      </w:r>
      <w:r w:rsidRPr="000508B6">
        <w:rPr>
          <w:rFonts w:ascii="Times New Roman" w:eastAsia="Times New Roman" w:hAnsi="Times New Roman" w:cs="Times New Roman"/>
          <w:lang w:val="ro-MD"/>
        </w:rPr>
        <w:t xml:space="preserve"> ori persoane fizice eligibile să fie acoperite prin contractele de asigurare ale grupului respectiv, iar activitatea desfășurată în legătură cu persoanele fizice eligibile să fie acoperite prin polițele de asigurare ale grupului rămâne sub 5 % din rezervele tehnice;</w:t>
      </w:r>
    </w:p>
    <w:p w14:paraId="7B520C89" w14:textId="00223A85" w:rsidR="009F264F" w:rsidRPr="000508B6" w:rsidRDefault="009F264F" w:rsidP="00DE4225">
      <w:pPr>
        <w:pStyle w:val="Listparagraf"/>
        <w:numPr>
          <w:ilvl w:val="0"/>
          <w:numId w:val="345"/>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obligațiile de asigurare și contractele de asigurare care stau la baza obligațiilor de reasigurare ale </w:t>
      </w:r>
      <w:r w:rsidR="00202E7C" w:rsidRPr="000508B6">
        <w:rPr>
          <w:rFonts w:ascii="Times New Roman" w:eastAsia="Times New Roman" w:hAnsi="Times New Roman" w:cs="Times New Roman"/>
          <w:lang w:val="ro-MD"/>
        </w:rPr>
        <w:t xml:space="preserve">asigurătorului sau </w:t>
      </w:r>
      <w:proofErr w:type="spellStart"/>
      <w:r w:rsidR="00202E7C"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captiv nu constau în asigurări obligatorii de răspundere civilă.</w:t>
      </w:r>
    </w:p>
    <w:p w14:paraId="41F2F0EF" w14:textId="13E7BE22" w:rsidR="007C4AE3" w:rsidRPr="000508B6" w:rsidRDefault="004C1798" w:rsidP="007C4AE3">
      <w:pPr>
        <w:pStyle w:val="Listparagraf"/>
        <w:numPr>
          <w:ilvl w:val="0"/>
          <w:numId w:val="10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Conținutul ORSA</w:t>
      </w:r>
      <w:r w:rsidR="00BE09EE" w:rsidRPr="000508B6">
        <w:rPr>
          <w:rFonts w:ascii="Times New Roman" w:eastAsia="Times New Roman" w:hAnsi="Times New Roman" w:cs="Times New Roman"/>
          <w:lang w:val="ro-MD"/>
        </w:rPr>
        <w:t>,</w:t>
      </w:r>
      <w:r w:rsidRPr="000508B6">
        <w:rPr>
          <w:rFonts w:ascii="Times New Roman" w:hAnsi="Times New Roman" w:cs="Times New Roman"/>
          <w:lang w:val="ro-MD"/>
        </w:rPr>
        <w:t xml:space="preserve"> precum și </w:t>
      </w:r>
      <w:r w:rsidRPr="000508B6">
        <w:rPr>
          <w:rFonts w:ascii="Times New Roman" w:eastAsia="Times New Roman" w:hAnsi="Times New Roman" w:cs="Times New Roman"/>
          <w:lang w:val="ro-MD"/>
        </w:rPr>
        <w:t>c</w:t>
      </w:r>
      <w:r w:rsidR="007C4AE3" w:rsidRPr="000508B6">
        <w:rPr>
          <w:rFonts w:ascii="Times New Roman" w:eastAsia="Times New Roman" w:hAnsi="Times New Roman" w:cs="Times New Roman"/>
          <w:lang w:val="ro-MD"/>
        </w:rPr>
        <w:t xml:space="preserve">riteriile de identificare a asigurătorilor sau </w:t>
      </w:r>
      <w:proofErr w:type="spellStart"/>
      <w:r w:rsidR="007C4AE3" w:rsidRPr="000508B6">
        <w:rPr>
          <w:rFonts w:ascii="Times New Roman" w:eastAsia="Times New Roman" w:hAnsi="Times New Roman" w:cs="Times New Roman"/>
          <w:lang w:val="ro-MD"/>
        </w:rPr>
        <w:t>reasigurătorilor</w:t>
      </w:r>
      <w:proofErr w:type="spellEnd"/>
      <w:r w:rsidR="007C4AE3" w:rsidRPr="000508B6">
        <w:rPr>
          <w:rFonts w:ascii="Times New Roman" w:eastAsia="Times New Roman" w:hAnsi="Times New Roman" w:cs="Times New Roman"/>
          <w:lang w:val="ro-MD"/>
        </w:rPr>
        <w:t xml:space="preserve"> și a grupurilor de asigurare sau de reasigurare cărora li se solicită să </w:t>
      </w:r>
      <w:r w:rsidR="00EC1F0E" w:rsidRPr="000508B6">
        <w:rPr>
          <w:rFonts w:ascii="Times New Roman" w:eastAsia="Times New Roman" w:hAnsi="Times New Roman" w:cs="Times New Roman"/>
          <w:lang w:val="ro-MD"/>
        </w:rPr>
        <w:t>efectueze</w:t>
      </w:r>
      <w:r w:rsidR="007C4AE3" w:rsidRPr="000508B6">
        <w:rPr>
          <w:rFonts w:ascii="Times New Roman" w:eastAsia="Times New Roman" w:hAnsi="Times New Roman" w:cs="Times New Roman"/>
          <w:lang w:val="ro-MD"/>
        </w:rPr>
        <w:t xml:space="preserve"> analizele </w:t>
      </w:r>
      <w:proofErr w:type="spellStart"/>
      <w:r w:rsidR="007C4AE3" w:rsidRPr="000508B6">
        <w:rPr>
          <w:rFonts w:ascii="Times New Roman" w:eastAsia="Times New Roman" w:hAnsi="Times New Roman" w:cs="Times New Roman"/>
          <w:lang w:val="ro-MD"/>
        </w:rPr>
        <w:t>macroprudențiale</w:t>
      </w:r>
      <w:proofErr w:type="spellEnd"/>
      <w:r w:rsidR="007C4AE3" w:rsidRPr="000508B6">
        <w:rPr>
          <w:rFonts w:ascii="Times New Roman" w:eastAsia="Times New Roman" w:hAnsi="Times New Roman" w:cs="Times New Roman"/>
          <w:lang w:val="ro-MD"/>
        </w:rPr>
        <w:t xml:space="preserve"> suplimentare, </w:t>
      </w:r>
      <w:r w:rsidR="007E5C6D" w:rsidRPr="000508B6">
        <w:rPr>
          <w:rFonts w:ascii="Times New Roman" w:eastAsia="Times New Roman" w:hAnsi="Times New Roman" w:cs="Times New Roman"/>
          <w:lang w:val="ro-MD"/>
        </w:rPr>
        <w:t>se stabilesc prin actele normative ale Băncii Naționale a Moldovei.</w:t>
      </w:r>
    </w:p>
    <w:p w14:paraId="4A5CD3A0" w14:textId="77777777" w:rsidR="00287A90" w:rsidRPr="000508B6" w:rsidRDefault="00287A90" w:rsidP="00F361F1">
      <w:pPr>
        <w:pStyle w:val="Listparagraf"/>
        <w:spacing w:after="0" w:line="240" w:lineRule="auto"/>
        <w:ind w:left="426"/>
        <w:jc w:val="both"/>
        <w:rPr>
          <w:rFonts w:ascii="Times New Roman" w:eastAsia="Times New Roman" w:hAnsi="Times New Roman" w:cs="Times New Roman"/>
          <w:b/>
          <w:lang w:val="ro-MD"/>
        </w:rPr>
      </w:pPr>
    </w:p>
    <w:p w14:paraId="3CC888C4" w14:textId="4024444B" w:rsidR="00F95829" w:rsidRPr="000508B6" w:rsidRDefault="00F95829" w:rsidP="00F361F1">
      <w:pPr>
        <w:pStyle w:val="Listparagraf"/>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65E4" w:rsidRPr="000508B6">
        <w:rPr>
          <w:rFonts w:ascii="Times New Roman" w:eastAsia="Times New Roman" w:hAnsi="Times New Roman" w:cs="Times New Roman"/>
          <w:b/>
          <w:lang w:val="ro-MD"/>
        </w:rPr>
        <w:t>28</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Sistemul de control intern</w:t>
      </w:r>
    </w:p>
    <w:p w14:paraId="7433974D" w14:textId="65C43621" w:rsidR="00F95829" w:rsidRPr="000508B6" w:rsidRDefault="00D068AA" w:rsidP="00CF5AFA">
      <w:pPr>
        <w:pStyle w:val="Listparagraf"/>
        <w:numPr>
          <w:ilvl w:val="0"/>
          <w:numId w:val="111"/>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A66ACD" w:rsidRPr="000508B6">
        <w:rPr>
          <w:rFonts w:ascii="Times New Roman" w:eastAsia="Times New Roman" w:hAnsi="Times New Roman" w:cs="Times New Roman"/>
          <w:lang w:val="ro-MD"/>
        </w:rPr>
        <w:t xml:space="preserve"> </w:t>
      </w:r>
      <w:r w:rsidR="00206113" w:rsidRPr="000508B6">
        <w:rPr>
          <w:rFonts w:ascii="Times New Roman" w:eastAsia="Times New Roman" w:hAnsi="Times New Roman" w:cs="Times New Roman"/>
          <w:lang w:val="ro-MD"/>
        </w:rPr>
        <w:t>este</w:t>
      </w:r>
      <w:r w:rsidR="00F95829" w:rsidRPr="000508B6">
        <w:rPr>
          <w:rFonts w:ascii="Times New Roman" w:eastAsia="Times New Roman" w:hAnsi="Times New Roman" w:cs="Times New Roman"/>
          <w:lang w:val="ro-MD"/>
        </w:rPr>
        <w:t xml:space="preserve"> obligat să instituie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să implementeze, în mod consecvent, un sistem eficient de control intern, care să includă</w:t>
      </w:r>
      <w:r w:rsidR="003D3D63" w:rsidRPr="000508B6">
        <w:rPr>
          <w:rFonts w:ascii="Times New Roman" w:eastAsia="Times New Roman" w:hAnsi="Times New Roman" w:cs="Times New Roman"/>
          <w:lang w:val="ro-MD"/>
        </w:rPr>
        <w:t>, cel puțin</w:t>
      </w:r>
      <w:r w:rsidR="00F95829" w:rsidRPr="000508B6">
        <w:rPr>
          <w:rFonts w:ascii="Times New Roman" w:eastAsia="Times New Roman" w:hAnsi="Times New Roman" w:cs="Times New Roman"/>
          <w:lang w:val="ro-MD"/>
        </w:rPr>
        <w:t>:</w:t>
      </w:r>
    </w:p>
    <w:p w14:paraId="7A4050F1" w14:textId="604F0ECD" w:rsidR="00F95829" w:rsidRPr="000508B6" w:rsidRDefault="00F95829" w:rsidP="00DC5671">
      <w:pPr>
        <w:pStyle w:val="Listparagraf"/>
        <w:numPr>
          <w:ilvl w:val="2"/>
          <w:numId w:val="11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cadrul general de control</w:t>
      </w:r>
      <w:r w:rsidR="008258D7" w:rsidRPr="000508B6">
        <w:rPr>
          <w:rFonts w:ascii="Times New Roman" w:eastAsia="Times New Roman" w:hAnsi="Times New Roman" w:cs="Times New Roman"/>
          <w:lang w:val="ro-MD"/>
        </w:rPr>
        <w:t xml:space="preserve"> intern</w:t>
      </w:r>
      <w:r w:rsidRPr="000508B6">
        <w:rPr>
          <w:rFonts w:ascii="Times New Roman" w:eastAsia="Times New Roman" w:hAnsi="Times New Roman" w:cs="Times New Roman"/>
          <w:lang w:val="ro-MD"/>
        </w:rPr>
        <w:t>;</w:t>
      </w:r>
    </w:p>
    <w:p w14:paraId="106E2404" w14:textId="77777777" w:rsidR="00F95829" w:rsidRPr="000508B6" w:rsidRDefault="00F95829" w:rsidP="00DE4225">
      <w:pPr>
        <w:pStyle w:val="Listparagraf"/>
        <w:numPr>
          <w:ilvl w:val="2"/>
          <w:numId w:val="11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funcția de conformitate;</w:t>
      </w:r>
    </w:p>
    <w:p w14:paraId="6C6867AC" w14:textId="77777777" w:rsidR="00F95829" w:rsidRPr="000508B6" w:rsidRDefault="00F95829" w:rsidP="00DE4225">
      <w:pPr>
        <w:pStyle w:val="Listparagraf"/>
        <w:numPr>
          <w:ilvl w:val="2"/>
          <w:numId w:val="11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proceduri administrative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contabile adecvate;</w:t>
      </w:r>
    </w:p>
    <w:p w14:paraId="7C5E107D" w14:textId="5DAF3397" w:rsidR="00F95829" w:rsidRPr="000508B6" w:rsidRDefault="00F95829" w:rsidP="00DE4225">
      <w:pPr>
        <w:pStyle w:val="Listparagraf"/>
        <w:numPr>
          <w:ilvl w:val="2"/>
          <w:numId w:val="11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proceduri </w:t>
      </w:r>
      <w:r w:rsidR="00DC2814" w:rsidRPr="000508B6">
        <w:rPr>
          <w:rFonts w:ascii="Times New Roman" w:eastAsia="Times New Roman" w:hAnsi="Times New Roman" w:cs="Times New Roman"/>
          <w:lang w:val="ro-MD"/>
        </w:rPr>
        <w:t xml:space="preserve">corespunzătoare </w:t>
      </w:r>
      <w:r w:rsidRPr="000508B6">
        <w:rPr>
          <w:rFonts w:ascii="Times New Roman" w:eastAsia="Times New Roman" w:hAnsi="Times New Roman" w:cs="Times New Roman"/>
          <w:lang w:val="ro-MD"/>
        </w:rPr>
        <w:t>de raportare la toate nivelurile;</w:t>
      </w:r>
    </w:p>
    <w:p w14:paraId="3FAB97E7" w14:textId="02B063D9" w:rsidR="00F95829" w:rsidRPr="000508B6" w:rsidRDefault="00A57473" w:rsidP="00CF5AFA">
      <w:pPr>
        <w:pStyle w:val="Listparagraf"/>
        <w:numPr>
          <w:ilvl w:val="0"/>
          <w:numId w:val="111"/>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Responsabilitățile </w:t>
      </w:r>
      <w:proofErr w:type="spellStart"/>
      <w:r w:rsidRPr="000508B6">
        <w:rPr>
          <w:rFonts w:ascii="Times New Roman" w:eastAsia="Times New Roman" w:hAnsi="Times New Roman" w:cs="Times New Roman"/>
          <w:lang w:val="ro-MD"/>
        </w:rPr>
        <w:t>f</w:t>
      </w:r>
      <w:r w:rsidR="00F95829" w:rsidRPr="000508B6">
        <w:rPr>
          <w:rFonts w:ascii="Times New Roman" w:eastAsia="Times New Roman" w:hAnsi="Times New Roman" w:cs="Times New Roman"/>
          <w:lang w:val="ro-MD"/>
        </w:rPr>
        <w:t>uncţi</w:t>
      </w:r>
      <w:r w:rsidRPr="000508B6">
        <w:rPr>
          <w:rFonts w:ascii="Times New Roman" w:eastAsia="Times New Roman" w:hAnsi="Times New Roman" w:cs="Times New Roman"/>
          <w:lang w:val="ro-MD"/>
        </w:rPr>
        <w:t>ei</w:t>
      </w:r>
      <w:proofErr w:type="spellEnd"/>
      <w:r w:rsidR="00F95829" w:rsidRPr="000508B6">
        <w:rPr>
          <w:rFonts w:ascii="Times New Roman" w:eastAsia="Times New Roman" w:hAnsi="Times New Roman" w:cs="Times New Roman"/>
          <w:lang w:val="ro-MD"/>
        </w:rPr>
        <w:t xml:space="preserve"> de conformitate</w:t>
      </w:r>
      <w:r w:rsidR="00D06448"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includ</w:t>
      </w:r>
      <w:r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cel </w:t>
      </w:r>
      <w:proofErr w:type="spellStart"/>
      <w:r w:rsidR="00F95829"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următoarele: </w:t>
      </w:r>
    </w:p>
    <w:p w14:paraId="34EF4293" w14:textId="55D591AD" w:rsidR="00F95829" w:rsidRPr="000508B6" w:rsidRDefault="00F95829" w:rsidP="00DE4225">
      <w:pPr>
        <w:pStyle w:val="Listparagraf"/>
        <w:numPr>
          <w:ilvl w:val="2"/>
          <w:numId w:val="11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consilierea organelor de conducere </w:t>
      </w:r>
      <w:r w:rsidR="00110596" w:rsidRPr="000508B6">
        <w:rPr>
          <w:rFonts w:ascii="Times New Roman" w:eastAsia="Times New Roman" w:hAnsi="Times New Roman" w:cs="Times New Roman"/>
          <w:lang w:val="ro-MD"/>
        </w:rPr>
        <w:t>a</w:t>
      </w:r>
      <w:r w:rsidR="007419D3" w:rsidRPr="000508B6">
        <w:rPr>
          <w:rFonts w:ascii="Times New Roman" w:eastAsia="Times New Roman" w:hAnsi="Times New Roman" w:cs="Times New Roman"/>
          <w:lang w:val="ro-MD"/>
        </w:rPr>
        <w:t>le</w:t>
      </w:r>
      <w:r w:rsidR="00110596"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11059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referitor la modalitatea de aplicare a </w:t>
      </w:r>
      <w:r w:rsidR="000904C5" w:rsidRPr="000508B6">
        <w:rPr>
          <w:rFonts w:ascii="Times New Roman" w:eastAsia="Times New Roman" w:hAnsi="Times New Roman" w:cs="Times New Roman"/>
          <w:lang w:val="ro-MD"/>
        </w:rPr>
        <w:t>legislației</w:t>
      </w:r>
      <w:r w:rsidRPr="000508B6">
        <w:rPr>
          <w:rFonts w:ascii="Times New Roman" w:eastAsia="Times New Roman" w:hAnsi="Times New Roman" w:cs="Times New Roman"/>
          <w:lang w:val="ro-MD"/>
        </w:rPr>
        <w:t>;</w:t>
      </w:r>
    </w:p>
    <w:p w14:paraId="59D9CA15" w14:textId="352177F9" w:rsidR="00F95829" w:rsidRPr="000508B6" w:rsidRDefault="00F95829" w:rsidP="00DE4225">
      <w:pPr>
        <w:pStyle w:val="Listparagraf"/>
        <w:numPr>
          <w:ilvl w:val="2"/>
          <w:numId w:val="11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identificarea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evaluarea riscului </w:t>
      </w:r>
      <w:r w:rsidR="00426FCF" w:rsidRPr="000508B6">
        <w:rPr>
          <w:rFonts w:ascii="Times New Roman" w:eastAsia="Times New Roman" w:hAnsi="Times New Roman" w:cs="Times New Roman"/>
          <w:lang w:val="ro-MD"/>
        </w:rPr>
        <w:t>de conformitate</w:t>
      </w:r>
      <w:r w:rsidRPr="000508B6">
        <w:rPr>
          <w:rFonts w:ascii="Times New Roman" w:eastAsia="Times New Roman" w:hAnsi="Times New Roman" w:cs="Times New Roman"/>
          <w:lang w:val="ro-MD"/>
        </w:rPr>
        <w:t>;</w:t>
      </w:r>
    </w:p>
    <w:p w14:paraId="132A68D0" w14:textId="3137313D" w:rsidR="00F95829" w:rsidRPr="000508B6" w:rsidRDefault="00F95829" w:rsidP="00DE4225">
      <w:pPr>
        <w:pStyle w:val="Listparagraf"/>
        <w:numPr>
          <w:ilvl w:val="2"/>
          <w:numId w:val="11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evaluarea impactului pe care îl pot avea modificările </w:t>
      </w:r>
      <w:r w:rsidR="00257A9B" w:rsidRPr="000508B6">
        <w:rPr>
          <w:rFonts w:ascii="Times New Roman" w:eastAsia="Times New Roman" w:hAnsi="Times New Roman" w:cs="Times New Roman"/>
          <w:lang w:val="ro-MD"/>
        </w:rPr>
        <w:t>legislației</w:t>
      </w:r>
      <w:r w:rsidRPr="000508B6">
        <w:rPr>
          <w:rFonts w:ascii="Times New Roman" w:eastAsia="Times New Roman" w:hAnsi="Times New Roman" w:cs="Times New Roman"/>
          <w:lang w:val="ro-MD"/>
        </w:rPr>
        <w:t xml:space="preserve"> asupra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asigurare sau de reasigurare.</w:t>
      </w:r>
    </w:p>
    <w:p w14:paraId="7AB1F572" w14:textId="188BDC1B" w:rsidR="00AD0B94" w:rsidRPr="000508B6" w:rsidRDefault="00AD0B94" w:rsidP="00AD0B94">
      <w:pPr>
        <w:pStyle w:val="Listparagraf"/>
        <w:numPr>
          <w:ilvl w:val="0"/>
          <w:numId w:val="111"/>
        </w:numPr>
        <w:spacing w:after="0" w:line="240" w:lineRule="auto"/>
        <w:ind w:left="0" w:firstLine="426"/>
        <w:jc w:val="both"/>
        <w:rPr>
          <w:rFonts w:ascii="Times New Roman" w:eastAsia="Times New Roman" w:hAnsi="Times New Roman" w:cs="Times New Roman"/>
          <w:lang w:val="ro-MD"/>
        </w:rPr>
      </w:pPr>
      <w:bookmarkStart w:id="89" w:name="_Hlk212731502"/>
      <w:proofErr w:type="spellStart"/>
      <w:r w:rsidRPr="000508B6">
        <w:rPr>
          <w:rFonts w:ascii="Times New Roman" w:eastAsia="Times New Roman" w:hAnsi="Times New Roman" w:cs="Times New Roman"/>
          <w:lang w:val="ro-MD"/>
        </w:rPr>
        <w:t>Particularităţile</w:t>
      </w:r>
      <w:proofErr w:type="spellEnd"/>
      <w:r w:rsidRPr="000508B6">
        <w:rPr>
          <w:rFonts w:ascii="Times New Roman" w:eastAsia="Times New Roman" w:hAnsi="Times New Roman" w:cs="Times New Roman"/>
          <w:lang w:val="ro-MD"/>
        </w:rPr>
        <w:t xml:space="preserve"> instituirii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implementării sistemului de control intern sunt stabilite prin actele normative ale Băncii Naționale a Moldovei.</w:t>
      </w:r>
    </w:p>
    <w:bookmarkEnd w:id="89"/>
    <w:p w14:paraId="0C43F145" w14:textId="77777777" w:rsidR="0094217C" w:rsidRPr="000508B6" w:rsidRDefault="0094217C" w:rsidP="008B530F">
      <w:pPr>
        <w:spacing w:after="0" w:line="240" w:lineRule="auto"/>
        <w:ind w:firstLine="426"/>
        <w:jc w:val="both"/>
        <w:rPr>
          <w:rFonts w:ascii="Times New Roman" w:eastAsia="Times New Roman" w:hAnsi="Times New Roman" w:cs="Times New Roman"/>
          <w:b/>
          <w:lang w:val="ro-MD"/>
        </w:rPr>
      </w:pPr>
    </w:p>
    <w:p w14:paraId="0B4596D2" w14:textId="319C7775"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65E4" w:rsidRPr="000508B6">
        <w:rPr>
          <w:rFonts w:ascii="Times New Roman" w:eastAsia="Times New Roman" w:hAnsi="Times New Roman" w:cs="Times New Roman"/>
          <w:b/>
          <w:lang w:val="ro-MD"/>
        </w:rPr>
        <w:t>29</w:t>
      </w:r>
      <w:r w:rsidR="005E4BA5"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Auditul intern</w:t>
      </w:r>
    </w:p>
    <w:p w14:paraId="07B79BFB" w14:textId="68EA3493" w:rsidR="00F95829" w:rsidRPr="000508B6" w:rsidRDefault="00D068AA" w:rsidP="00CF5AFA">
      <w:pPr>
        <w:pStyle w:val="Listparagraf"/>
        <w:numPr>
          <w:ilvl w:val="0"/>
          <w:numId w:val="114"/>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911AB3"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instituie o </w:t>
      </w:r>
      <w:proofErr w:type="spellStart"/>
      <w:r w:rsidR="00F95829" w:rsidRPr="000508B6">
        <w:rPr>
          <w:rFonts w:ascii="Times New Roman" w:eastAsia="Times New Roman" w:hAnsi="Times New Roman" w:cs="Times New Roman"/>
          <w:lang w:val="ro-MD"/>
        </w:rPr>
        <w:t>funcţie</w:t>
      </w:r>
      <w:proofErr w:type="spellEnd"/>
      <w:r w:rsidR="00F95829" w:rsidRPr="000508B6">
        <w:rPr>
          <w:rFonts w:ascii="Times New Roman" w:eastAsia="Times New Roman" w:hAnsi="Times New Roman" w:cs="Times New Roman"/>
          <w:lang w:val="ro-MD"/>
        </w:rPr>
        <w:t xml:space="preserve"> de audit intern, obiectivă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independentă </w:t>
      </w:r>
      <w:proofErr w:type="spellStart"/>
      <w:r w:rsidR="00F95829" w:rsidRPr="000508B6">
        <w:rPr>
          <w:rFonts w:ascii="Times New Roman" w:eastAsia="Times New Roman" w:hAnsi="Times New Roman" w:cs="Times New Roman"/>
          <w:lang w:val="ro-MD"/>
        </w:rPr>
        <w:t>faţă</w:t>
      </w:r>
      <w:proofErr w:type="spellEnd"/>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funcţiile</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operaţionale</w:t>
      </w:r>
      <w:proofErr w:type="spellEnd"/>
      <w:r w:rsidR="00F95829" w:rsidRPr="000508B6">
        <w:rPr>
          <w:rFonts w:ascii="Times New Roman" w:eastAsia="Times New Roman" w:hAnsi="Times New Roman" w:cs="Times New Roman"/>
          <w:lang w:val="ro-MD"/>
        </w:rPr>
        <w:t xml:space="preserve">, care raportează direct consiliului </w:t>
      </w:r>
      <w:r w:rsidR="0018469C" w:rsidRPr="000508B6">
        <w:rPr>
          <w:rFonts w:ascii="Times New Roman" w:eastAsia="Times New Roman" w:hAnsi="Times New Roman" w:cs="Times New Roman"/>
          <w:lang w:val="ro-MD"/>
        </w:rPr>
        <w:t xml:space="preserve">asigurătorului sau </w:t>
      </w:r>
      <w:proofErr w:type="spellStart"/>
      <w:r w:rsidR="0018469C" w:rsidRPr="000508B6">
        <w:rPr>
          <w:rFonts w:ascii="Times New Roman" w:eastAsia="Times New Roman" w:hAnsi="Times New Roman" w:cs="Times New Roman"/>
          <w:lang w:val="ro-MD"/>
        </w:rPr>
        <w:t>reasigurătorului</w:t>
      </w:r>
      <w:proofErr w:type="spellEnd"/>
      <w:r w:rsidR="00F95829" w:rsidRPr="000508B6">
        <w:rPr>
          <w:rFonts w:ascii="Times New Roman" w:eastAsia="Times New Roman" w:hAnsi="Times New Roman" w:cs="Times New Roman"/>
          <w:lang w:val="ro-MD"/>
        </w:rPr>
        <w:t xml:space="preserve">, având următoarele </w:t>
      </w:r>
      <w:proofErr w:type="spellStart"/>
      <w:r w:rsidR="00F95829" w:rsidRPr="000508B6">
        <w:rPr>
          <w:rFonts w:ascii="Times New Roman" w:eastAsia="Times New Roman" w:hAnsi="Times New Roman" w:cs="Times New Roman"/>
          <w:lang w:val="ro-MD"/>
        </w:rPr>
        <w:t>responsabilităţi</w:t>
      </w:r>
      <w:proofErr w:type="spellEnd"/>
      <w:r w:rsidR="00F95829" w:rsidRPr="000508B6">
        <w:rPr>
          <w:rFonts w:ascii="Times New Roman" w:eastAsia="Times New Roman" w:hAnsi="Times New Roman" w:cs="Times New Roman"/>
          <w:lang w:val="ro-MD"/>
        </w:rPr>
        <w:t>:</w:t>
      </w:r>
    </w:p>
    <w:p w14:paraId="29E7ADAC" w14:textId="1EFF4475" w:rsidR="00F95829" w:rsidRPr="000508B6" w:rsidRDefault="002664AF" w:rsidP="00CF5AFA">
      <w:pPr>
        <w:pStyle w:val="Listparagraf"/>
        <w:numPr>
          <w:ilvl w:val="2"/>
          <w:numId w:val="11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evaluează </w:t>
      </w:r>
      <w:r w:rsidR="00F26777" w:rsidRPr="000508B6">
        <w:rPr>
          <w:rFonts w:ascii="Times New Roman" w:eastAsia="Times New Roman" w:hAnsi="Times New Roman" w:cs="Times New Roman"/>
          <w:lang w:val="ro-MD"/>
        </w:rPr>
        <w:t>cara</w:t>
      </w:r>
      <w:r w:rsidR="007648BA" w:rsidRPr="000508B6">
        <w:rPr>
          <w:rFonts w:ascii="Times New Roman" w:eastAsia="Times New Roman" w:hAnsi="Times New Roman" w:cs="Times New Roman"/>
          <w:lang w:val="ro-MD"/>
        </w:rPr>
        <w:t>c</w:t>
      </w:r>
      <w:r w:rsidR="00F26777" w:rsidRPr="000508B6">
        <w:rPr>
          <w:rFonts w:ascii="Times New Roman" w:eastAsia="Times New Roman" w:hAnsi="Times New Roman" w:cs="Times New Roman"/>
          <w:lang w:val="ro-MD"/>
        </w:rPr>
        <w:t xml:space="preserve">terul </w:t>
      </w:r>
      <w:r w:rsidR="00F95829" w:rsidRPr="000508B6">
        <w:rPr>
          <w:rFonts w:ascii="Times New Roman" w:eastAsia="Times New Roman" w:hAnsi="Times New Roman" w:cs="Times New Roman"/>
          <w:lang w:val="ro-MD"/>
        </w:rPr>
        <w:t>adecv</w:t>
      </w:r>
      <w:r w:rsidR="00F26777" w:rsidRPr="000508B6">
        <w:rPr>
          <w:rFonts w:ascii="Times New Roman" w:eastAsia="Times New Roman" w:hAnsi="Times New Roman" w:cs="Times New Roman"/>
          <w:lang w:val="ro-MD"/>
        </w:rPr>
        <w:t>at</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r w:rsidR="00F26777" w:rsidRPr="000508B6">
        <w:rPr>
          <w:rFonts w:ascii="Times New Roman" w:eastAsia="Times New Roman" w:hAnsi="Times New Roman" w:cs="Times New Roman"/>
          <w:lang w:val="ro-MD"/>
        </w:rPr>
        <w:t>eficienț</w:t>
      </w:r>
      <w:r w:rsidR="00911AB3" w:rsidRPr="000508B6">
        <w:rPr>
          <w:rFonts w:ascii="Times New Roman" w:eastAsia="Times New Roman" w:hAnsi="Times New Roman" w:cs="Times New Roman"/>
          <w:lang w:val="ro-MD"/>
        </w:rPr>
        <w:t>a</w:t>
      </w:r>
      <w:r w:rsidR="00F26777"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sistemului de control intern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altor elemente ale sistemului de </w:t>
      </w:r>
      <w:proofErr w:type="spellStart"/>
      <w:r w:rsidR="00F95829" w:rsidRPr="000508B6">
        <w:rPr>
          <w:rFonts w:ascii="Times New Roman" w:eastAsia="Times New Roman" w:hAnsi="Times New Roman" w:cs="Times New Roman"/>
          <w:lang w:val="ro-MD"/>
        </w:rPr>
        <w:t>guvernanţă</w:t>
      </w:r>
      <w:proofErr w:type="spellEnd"/>
      <w:r w:rsidR="00F95829" w:rsidRPr="000508B6">
        <w:rPr>
          <w:rFonts w:ascii="Times New Roman" w:eastAsia="Times New Roman" w:hAnsi="Times New Roman" w:cs="Times New Roman"/>
          <w:lang w:val="ro-MD"/>
        </w:rPr>
        <w:t>;</w:t>
      </w:r>
    </w:p>
    <w:p w14:paraId="646E2F11" w14:textId="4AD9F348" w:rsidR="00F95829" w:rsidRPr="000508B6" w:rsidRDefault="00F95829" w:rsidP="00CF5AFA">
      <w:pPr>
        <w:pStyle w:val="Listparagraf"/>
        <w:numPr>
          <w:ilvl w:val="2"/>
          <w:numId w:val="11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transmite către organele de conducere</w:t>
      </w:r>
      <w:r w:rsidR="00110596" w:rsidRPr="000508B6">
        <w:rPr>
          <w:rFonts w:ascii="Times New Roman" w:eastAsia="Times New Roman" w:hAnsi="Times New Roman" w:cs="Times New Roman"/>
          <w:lang w:val="ro-MD"/>
        </w:rPr>
        <w:t xml:space="preserv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7D3A9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constatări</w:t>
      </w:r>
      <w:r w:rsidR="00C47F29" w:rsidRPr="000508B6">
        <w:rPr>
          <w:rFonts w:ascii="Times New Roman" w:eastAsia="Times New Roman" w:hAnsi="Times New Roman" w:cs="Times New Roman"/>
          <w:lang w:val="ro-MD"/>
        </w:rPr>
        <w:t xml:space="preserv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recomandăril</w:t>
      </w:r>
      <w:r w:rsidR="00C47F29" w:rsidRPr="000508B6">
        <w:rPr>
          <w:rFonts w:ascii="Times New Roman" w:eastAsia="Times New Roman" w:hAnsi="Times New Roman" w:cs="Times New Roman"/>
          <w:lang w:val="ro-MD"/>
        </w:rPr>
        <w:t>e</w:t>
      </w:r>
      <w:r w:rsidR="00541595" w:rsidRPr="000508B6">
        <w:rPr>
          <w:rFonts w:ascii="Times New Roman" w:eastAsia="Times New Roman" w:hAnsi="Times New Roman" w:cs="Times New Roman"/>
          <w:lang w:val="ro-MD"/>
        </w:rPr>
        <w:t xml:space="preserve"> identificate</w:t>
      </w:r>
      <w:r w:rsidRPr="000508B6">
        <w:rPr>
          <w:rFonts w:ascii="Times New Roman" w:eastAsia="Times New Roman" w:hAnsi="Times New Roman" w:cs="Times New Roman"/>
          <w:lang w:val="ro-MD"/>
        </w:rPr>
        <w:t>;</w:t>
      </w:r>
    </w:p>
    <w:p w14:paraId="0BDC6CB8" w14:textId="17EA9F46" w:rsidR="002664AF" w:rsidRPr="000508B6" w:rsidRDefault="00F95829" w:rsidP="00CF5AFA">
      <w:pPr>
        <w:pStyle w:val="Listparagraf"/>
        <w:numPr>
          <w:ilvl w:val="2"/>
          <w:numId w:val="11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monitoriz</w:t>
      </w:r>
      <w:r w:rsidR="002664AF" w:rsidRPr="000508B6">
        <w:rPr>
          <w:rFonts w:ascii="Times New Roman" w:eastAsia="Times New Roman" w:hAnsi="Times New Roman" w:cs="Times New Roman"/>
          <w:lang w:val="ro-MD"/>
        </w:rPr>
        <w:t>ează</w:t>
      </w:r>
      <w:r w:rsidRPr="000508B6">
        <w:rPr>
          <w:rFonts w:ascii="Times New Roman" w:eastAsia="Times New Roman" w:hAnsi="Times New Roman" w:cs="Times New Roman"/>
          <w:lang w:val="ro-MD"/>
        </w:rPr>
        <w:t xml:space="preserve"> </w:t>
      </w:r>
      <w:r w:rsidR="002664AF" w:rsidRPr="000508B6">
        <w:rPr>
          <w:rFonts w:ascii="Times New Roman" w:eastAsia="Times New Roman" w:hAnsi="Times New Roman" w:cs="Times New Roman"/>
          <w:lang w:val="ro-MD"/>
        </w:rPr>
        <w:t xml:space="preserve">realizarea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w:t>
      </w:r>
      <w:r w:rsidR="00F26777" w:rsidRPr="000508B6">
        <w:rPr>
          <w:rFonts w:ascii="Times New Roman" w:eastAsia="Times New Roman" w:hAnsi="Times New Roman" w:cs="Times New Roman"/>
          <w:lang w:val="ro-MD"/>
        </w:rPr>
        <w:t xml:space="preserve">ce urmează a fi întreprinse </w:t>
      </w:r>
      <w:r w:rsidRPr="000508B6">
        <w:rPr>
          <w:rFonts w:ascii="Times New Roman" w:eastAsia="Times New Roman" w:hAnsi="Times New Roman" w:cs="Times New Roman"/>
          <w:lang w:val="ro-MD"/>
        </w:rPr>
        <w:t xml:space="preserve">de către organele de conducere </w:t>
      </w:r>
      <w:r w:rsidR="00110596" w:rsidRPr="000508B6">
        <w:rPr>
          <w:rFonts w:ascii="Times New Roman" w:eastAsia="Times New Roman" w:hAnsi="Times New Roman" w:cs="Times New Roman"/>
          <w:lang w:val="ro-MD"/>
        </w:rPr>
        <w:t xml:space="preserve">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18469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 urma constatărilor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recomandărilor transmise</w:t>
      </w:r>
      <w:r w:rsidR="002664AF" w:rsidRPr="000508B6">
        <w:rPr>
          <w:rFonts w:ascii="Times New Roman" w:eastAsia="Times New Roman" w:hAnsi="Times New Roman" w:cs="Times New Roman"/>
          <w:lang w:val="ro-MD"/>
        </w:rPr>
        <w:t xml:space="preserve"> și se asigură că acțiunile în cauză sunt întreprinse efectiv</w:t>
      </w:r>
      <w:r w:rsidR="00075B8C" w:rsidRPr="000508B6">
        <w:rPr>
          <w:rFonts w:ascii="Times New Roman" w:eastAsia="Times New Roman" w:hAnsi="Times New Roman" w:cs="Times New Roman"/>
          <w:lang w:val="ro-MD"/>
        </w:rPr>
        <w:t>.</w:t>
      </w:r>
    </w:p>
    <w:p w14:paraId="47E0C828" w14:textId="77777777" w:rsidR="00AD0B94" w:rsidRPr="000508B6" w:rsidRDefault="00AD0B94" w:rsidP="00AD0B94">
      <w:pPr>
        <w:pStyle w:val="Listparagraf"/>
        <w:numPr>
          <w:ilvl w:val="0"/>
          <w:numId w:val="114"/>
        </w:numPr>
        <w:tabs>
          <w:tab w:val="left" w:pos="709"/>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Particularităţile</w:t>
      </w:r>
      <w:proofErr w:type="spellEnd"/>
      <w:r w:rsidRPr="000508B6">
        <w:rPr>
          <w:rFonts w:ascii="Times New Roman" w:eastAsia="Times New Roman" w:hAnsi="Times New Roman" w:cs="Times New Roman"/>
          <w:lang w:val="ro-MD"/>
        </w:rPr>
        <w:t xml:space="preserve"> instituirii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organizării </w:t>
      </w:r>
      <w:proofErr w:type="spellStart"/>
      <w:r w:rsidRPr="000508B6">
        <w:rPr>
          <w:rFonts w:ascii="Times New Roman" w:eastAsia="Times New Roman" w:hAnsi="Times New Roman" w:cs="Times New Roman"/>
          <w:lang w:val="ro-MD"/>
        </w:rPr>
        <w:t>funcţiei</w:t>
      </w:r>
      <w:proofErr w:type="spellEnd"/>
      <w:r w:rsidRPr="000508B6">
        <w:rPr>
          <w:rFonts w:ascii="Times New Roman" w:eastAsia="Times New Roman" w:hAnsi="Times New Roman" w:cs="Times New Roman"/>
          <w:lang w:val="ro-MD"/>
        </w:rPr>
        <w:t xml:space="preserve"> de audit intern sunt stabilite prin actele normative ale Băncii Naționale a Moldovei.</w:t>
      </w:r>
    </w:p>
    <w:p w14:paraId="506B2FBC" w14:textId="77777777" w:rsidR="00D05EE7" w:rsidRPr="000508B6" w:rsidRDefault="00D05EE7" w:rsidP="008B530F">
      <w:pPr>
        <w:spacing w:after="0" w:line="240" w:lineRule="auto"/>
        <w:ind w:firstLine="426"/>
        <w:jc w:val="both"/>
        <w:rPr>
          <w:rFonts w:ascii="Times New Roman" w:eastAsia="Times New Roman" w:hAnsi="Times New Roman" w:cs="Times New Roman"/>
          <w:b/>
          <w:lang w:val="ro-MD"/>
        </w:rPr>
      </w:pPr>
    </w:p>
    <w:p w14:paraId="7C204CA1" w14:textId="55B6547C"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65E4" w:rsidRPr="000508B6">
        <w:rPr>
          <w:rFonts w:ascii="Times New Roman" w:eastAsia="Times New Roman" w:hAnsi="Times New Roman" w:cs="Times New Roman"/>
          <w:b/>
          <w:lang w:val="ro-MD"/>
        </w:rPr>
        <w:t>30</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Funcţia</w:t>
      </w:r>
      <w:proofErr w:type="spellEnd"/>
      <w:r w:rsidRPr="000508B6">
        <w:rPr>
          <w:rFonts w:ascii="Times New Roman" w:eastAsia="Times New Roman" w:hAnsi="Times New Roman" w:cs="Times New Roman"/>
          <w:lang w:val="ro-MD"/>
        </w:rPr>
        <w:t xml:space="preserve"> actuarială</w:t>
      </w:r>
    </w:p>
    <w:p w14:paraId="19BF2FFF" w14:textId="3FF0ACE7" w:rsidR="00662E12" w:rsidRPr="000508B6" w:rsidRDefault="004125E8" w:rsidP="000A404B">
      <w:pPr>
        <w:pStyle w:val="Listparagraf"/>
        <w:numPr>
          <w:ilvl w:val="0"/>
          <w:numId w:val="18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F95829" w:rsidRPr="000508B6">
        <w:rPr>
          <w:rFonts w:ascii="Times New Roman" w:eastAsia="Times New Roman" w:hAnsi="Times New Roman" w:cs="Times New Roman"/>
          <w:lang w:val="ro-MD"/>
        </w:rPr>
        <w:t xml:space="preserve"> </w:t>
      </w:r>
      <w:r w:rsidR="00662E12" w:rsidRPr="000508B6">
        <w:rPr>
          <w:rFonts w:ascii="Times New Roman" w:eastAsia="Times New Roman" w:hAnsi="Times New Roman" w:cs="Times New Roman"/>
          <w:lang w:val="ro-MD"/>
        </w:rPr>
        <w:t xml:space="preserve">instituie </w:t>
      </w:r>
      <w:r w:rsidR="00F95829" w:rsidRPr="000508B6">
        <w:rPr>
          <w:rFonts w:ascii="Times New Roman" w:eastAsia="Times New Roman" w:hAnsi="Times New Roman" w:cs="Times New Roman"/>
          <w:lang w:val="ro-MD"/>
        </w:rPr>
        <w:t xml:space="preserve">o </w:t>
      </w:r>
      <w:proofErr w:type="spellStart"/>
      <w:r w:rsidR="00F95829" w:rsidRPr="000508B6">
        <w:rPr>
          <w:rFonts w:ascii="Times New Roman" w:eastAsia="Times New Roman" w:hAnsi="Times New Roman" w:cs="Times New Roman"/>
          <w:lang w:val="ro-MD"/>
        </w:rPr>
        <w:t>funcţie</w:t>
      </w:r>
      <w:proofErr w:type="spellEnd"/>
      <w:r w:rsidR="00F95829" w:rsidRPr="000508B6">
        <w:rPr>
          <w:rFonts w:ascii="Times New Roman" w:eastAsia="Times New Roman" w:hAnsi="Times New Roman" w:cs="Times New Roman"/>
          <w:lang w:val="ro-MD"/>
        </w:rPr>
        <w:t xml:space="preserve"> actuarială eficace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permanentă</w:t>
      </w:r>
      <w:r w:rsidR="00662E12" w:rsidRPr="000508B6">
        <w:rPr>
          <w:rFonts w:ascii="Times New Roman" w:eastAsia="Times New Roman" w:hAnsi="Times New Roman" w:cs="Times New Roman"/>
          <w:lang w:val="ro-MD"/>
        </w:rPr>
        <w:t xml:space="preserve"> </w:t>
      </w:r>
      <w:r w:rsidR="004D6759" w:rsidRPr="000508B6">
        <w:rPr>
          <w:rFonts w:ascii="Times New Roman" w:eastAsia="Times New Roman" w:hAnsi="Times New Roman" w:cs="Times New Roman"/>
          <w:lang w:val="ro-MD"/>
        </w:rPr>
        <w:t>pentru</w:t>
      </w:r>
      <w:r w:rsidR="00662E12" w:rsidRPr="000508B6">
        <w:rPr>
          <w:rFonts w:ascii="Times New Roman" w:eastAsia="Times New Roman" w:hAnsi="Times New Roman" w:cs="Times New Roman"/>
          <w:lang w:val="ro-MD"/>
        </w:rPr>
        <w:t xml:space="preserve">: </w:t>
      </w:r>
    </w:p>
    <w:p w14:paraId="56A103B5" w14:textId="77777777" w:rsidR="00662E12" w:rsidRPr="000508B6" w:rsidRDefault="00662E12" w:rsidP="00CF5AFA">
      <w:pPr>
        <w:pStyle w:val="Listparagraf"/>
        <w:numPr>
          <w:ilvl w:val="0"/>
          <w:numId w:val="11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coordonarea procesului de calculare a rezervelor tehnice prin:</w:t>
      </w:r>
    </w:p>
    <w:p w14:paraId="7A1807D3" w14:textId="77777777" w:rsidR="00662E12" w:rsidRPr="000508B6" w:rsidRDefault="00662E12" w:rsidP="00CF5AFA">
      <w:pPr>
        <w:pStyle w:val="Listparagraf"/>
        <w:numPr>
          <w:ilvl w:val="3"/>
          <w:numId w:val="117"/>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utilizarea de metodologii, modele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ipoteze adecvate;</w:t>
      </w:r>
    </w:p>
    <w:p w14:paraId="06F11807" w14:textId="177CE1A0" w:rsidR="00662E12" w:rsidRPr="000508B6" w:rsidRDefault="00662E12" w:rsidP="00CF5AFA">
      <w:pPr>
        <w:pStyle w:val="Listparagraf"/>
        <w:numPr>
          <w:ilvl w:val="3"/>
          <w:numId w:val="117"/>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evaluarea </w:t>
      </w:r>
      <w:r w:rsidR="003D4BC6" w:rsidRPr="000508B6">
        <w:rPr>
          <w:rFonts w:ascii="Times New Roman" w:hAnsi="Times New Roman" w:cs="Times New Roman"/>
          <w:lang w:val="ro-MD"/>
        </w:rPr>
        <w:t xml:space="preserve">suficienței și </w:t>
      </w:r>
      <w:r w:rsidR="005757C1" w:rsidRPr="000508B6">
        <w:rPr>
          <w:rFonts w:ascii="Times New Roman" w:hAnsi="Times New Roman" w:cs="Times New Roman"/>
          <w:lang w:val="ro-MD"/>
        </w:rPr>
        <w:t xml:space="preserve">calității </w:t>
      </w:r>
      <w:r w:rsidRPr="000508B6">
        <w:rPr>
          <w:rFonts w:ascii="Times New Roman" w:hAnsi="Times New Roman" w:cs="Times New Roman"/>
          <w:lang w:val="ro-MD"/>
        </w:rPr>
        <w:t xml:space="preserve">datelor utilizate din punct de vedere cantitativ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calitativ;</w:t>
      </w:r>
    </w:p>
    <w:p w14:paraId="6A336715" w14:textId="564636B9" w:rsidR="00662E12" w:rsidRPr="000508B6" w:rsidRDefault="00662E12" w:rsidP="00CF5AFA">
      <w:pPr>
        <w:pStyle w:val="Listparagraf"/>
        <w:numPr>
          <w:ilvl w:val="3"/>
          <w:numId w:val="11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supervizarea calculării rezervelor tehnice conform art.</w:t>
      </w:r>
      <w:r w:rsidR="00DC5671" w:rsidRPr="000508B6">
        <w:rPr>
          <w:rFonts w:ascii="Times New Roman" w:hAnsi="Times New Roman" w:cs="Times New Roman"/>
          <w:lang w:val="ro-MD"/>
        </w:rPr>
        <w:t xml:space="preserve"> </w:t>
      </w:r>
      <w:r w:rsidR="00C248DE" w:rsidRPr="000508B6">
        <w:rPr>
          <w:rFonts w:ascii="Times New Roman" w:hAnsi="Times New Roman" w:cs="Times New Roman"/>
          <w:lang w:val="ro-MD"/>
        </w:rPr>
        <w:t>51</w:t>
      </w:r>
      <w:r w:rsidR="00A42D45" w:rsidRPr="000508B6">
        <w:rPr>
          <w:rFonts w:ascii="Times New Roman" w:hAnsi="Times New Roman" w:cs="Times New Roman"/>
          <w:lang w:val="ro-MD"/>
        </w:rPr>
        <w:t xml:space="preserve"> </w:t>
      </w:r>
      <w:r w:rsidRPr="000508B6">
        <w:rPr>
          <w:rFonts w:ascii="Times New Roman" w:hAnsi="Times New Roman" w:cs="Times New Roman"/>
          <w:lang w:val="ro-MD"/>
        </w:rPr>
        <w:t>;</w:t>
      </w:r>
    </w:p>
    <w:p w14:paraId="510686B7" w14:textId="77777777" w:rsidR="00662E12" w:rsidRPr="000508B6" w:rsidRDefault="00662E12" w:rsidP="00CF5AFA">
      <w:pPr>
        <w:pStyle w:val="Listparagraf"/>
        <w:numPr>
          <w:ilvl w:val="0"/>
          <w:numId w:val="11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compararea rezultatelor celei mai bune estimări cu rezultatele anterioare;</w:t>
      </w:r>
    </w:p>
    <w:p w14:paraId="026AFE84" w14:textId="34D6BE50" w:rsidR="00662E12" w:rsidRPr="000508B6" w:rsidRDefault="00662E12" w:rsidP="00CF5AFA">
      <w:pPr>
        <w:pStyle w:val="Listparagraf"/>
        <w:numPr>
          <w:ilvl w:val="0"/>
          <w:numId w:val="11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informarea organelor de conducere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cu privire la </w:t>
      </w:r>
      <w:r w:rsidR="00CD6090" w:rsidRPr="000508B6">
        <w:rPr>
          <w:rFonts w:ascii="Times New Roman" w:hAnsi="Times New Roman" w:cs="Times New Roman"/>
          <w:lang w:val="ro-MD"/>
        </w:rPr>
        <w:t>fiabilitatea</w:t>
      </w:r>
      <w:r w:rsidR="00570746"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CD6090" w:rsidRPr="000508B6">
        <w:rPr>
          <w:rFonts w:ascii="Times New Roman" w:hAnsi="Times New Roman" w:cs="Times New Roman"/>
          <w:lang w:val="ro-MD"/>
        </w:rPr>
        <w:t>caracterul adecvat al</w:t>
      </w:r>
      <w:r w:rsidRPr="000508B6">
        <w:rPr>
          <w:rFonts w:ascii="Times New Roman" w:hAnsi="Times New Roman" w:cs="Times New Roman"/>
          <w:lang w:val="ro-MD"/>
        </w:rPr>
        <w:t xml:space="preserve"> calculării rezervelor tehnice;</w:t>
      </w:r>
    </w:p>
    <w:p w14:paraId="5DB2ADDF" w14:textId="0D965FB9" w:rsidR="00662E12" w:rsidRPr="000508B6" w:rsidRDefault="00662E12" w:rsidP="000A404B">
      <w:pPr>
        <w:pStyle w:val="Listparagraf"/>
        <w:numPr>
          <w:ilvl w:val="0"/>
          <w:numId w:val="116"/>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exprimarea unui punct de vedere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politica generală de subscriere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1F2A83" w:rsidRPr="000508B6">
        <w:rPr>
          <w:rFonts w:ascii="Times New Roman" w:hAnsi="Times New Roman" w:cs="Times New Roman"/>
          <w:lang w:val="ro-MD"/>
        </w:rPr>
        <w:t xml:space="preserve">pertinența </w:t>
      </w:r>
      <w:r w:rsidRPr="000508B6">
        <w:rPr>
          <w:rFonts w:ascii="Times New Roman" w:hAnsi="Times New Roman" w:cs="Times New Roman"/>
          <w:lang w:val="ro-MD"/>
        </w:rPr>
        <w:t>contractelor de reasigurare</w:t>
      </w:r>
      <w:r w:rsidR="007842C1" w:rsidRPr="000508B6">
        <w:rPr>
          <w:rFonts w:ascii="Times New Roman" w:hAnsi="Times New Roman" w:cs="Times New Roman"/>
          <w:lang w:val="ro-MD"/>
        </w:rPr>
        <w:t>;</w:t>
      </w:r>
    </w:p>
    <w:p w14:paraId="2AC52C64" w14:textId="6A59BC31" w:rsidR="00662E12" w:rsidRPr="000508B6" w:rsidRDefault="00662E12" w:rsidP="000A404B">
      <w:pPr>
        <w:pStyle w:val="Listparagraf"/>
        <w:numPr>
          <w:ilvl w:val="0"/>
          <w:numId w:val="116"/>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implementarea eficientă a sistemului de management al riscului descris la art. </w:t>
      </w:r>
      <w:r w:rsidR="000206BA" w:rsidRPr="000508B6">
        <w:rPr>
          <w:rFonts w:ascii="Times New Roman" w:hAnsi="Times New Roman" w:cs="Times New Roman"/>
          <w:lang w:val="ro-MD"/>
        </w:rPr>
        <w:t>25</w:t>
      </w:r>
      <w:r w:rsidRPr="000508B6">
        <w:rPr>
          <w:rFonts w:ascii="Times New Roman" w:hAnsi="Times New Roman" w:cs="Times New Roman"/>
          <w:lang w:val="ro-MD"/>
        </w:rPr>
        <w:t xml:space="preserve">, în </w:t>
      </w:r>
      <w:bookmarkStart w:id="90" w:name="_Hlk195280978"/>
      <w:r w:rsidRPr="000508B6">
        <w:rPr>
          <w:rFonts w:ascii="Times New Roman" w:hAnsi="Times New Roman" w:cs="Times New Roman"/>
          <w:lang w:val="ro-MD"/>
        </w:rPr>
        <w:t xml:space="preserve">special prin aportul la modelarea riscurilor care stau la baza calculării SCR, MCR </w:t>
      </w:r>
      <w:bookmarkEnd w:id="90"/>
      <w:r w:rsidR="00620E9C" w:rsidRPr="000508B6">
        <w:rPr>
          <w:rFonts w:ascii="Times New Roman" w:hAnsi="Times New Roman" w:cs="Times New Roman"/>
          <w:lang w:val="ro-MD"/>
        </w:rPr>
        <w:t xml:space="preserve">precum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7842C1" w:rsidRPr="000508B6">
        <w:rPr>
          <w:rFonts w:ascii="Times New Roman" w:hAnsi="Times New Roman" w:cs="Times New Roman"/>
          <w:lang w:val="ro-MD"/>
        </w:rPr>
        <w:t xml:space="preserve">în ceea ce privește </w:t>
      </w:r>
      <w:r w:rsidRPr="000508B6">
        <w:rPr>
          <w:rFonts w:ascii="Times New Roman" w:hAnsi="Times New Roman" w:cs="Times New Roman"/>
          <w:lang w:val="ro-MD"/>
        </w:rPr>
        <w:t>ORSA</w:t>
      </w:r>
      <w:r w:rsidR="004D6759" w:rsidRPr="000508B6">
        <w:rPr>
          <w:rFonts w:ascii="Times New Roman" w:hAnsi="Times New Roman" w:cs="Times New Roman"/>
          <w:lang w:val="ro-MD"/>
        </w:rPr>
        <w:t>.</w:t>
      </w:r>
    </w:p>
    <w:p w14:paraId="3BA09E33" w14:textId="71CECDD9" w:rsidR="00F95829" w:rsidRPr="000508B6" w:rsidRDefault="00396A5C" w:rsidP="000A404B">
      <w:pPr>
        <w:pStyle w:val="Listparagraf"/>
        <w:numPr>
          <w:ilvl w:val="0"/>
          <w:numId w:val="18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Atribuțiile f</w:t>
      </w:r>
      <w:r w:rsidR="004D6759" w:rsidRPr="000508B6">
        <w:rPr>
          <w:rFonts w:ascii="Times New Roman" w:eastAsia="Times New Roman" w:hAnsi="Times New Roman" w:cs="Times New Roman"/>
          <w:lang w:val="ro-MD"/>
        </w:rPr>
        <w:t>uncți</w:t>
      </w:r>
      <w:r w:rsidRPr="000508B6">
        <w:rPr>
          <w:rFonts w:ascii="Times New Roman" w:eastAsia="Times New Roman" w:hAnsi="Times New Roman" w:cs="Times New Roman"/>
          <w:lang w:val="ro-MD"/>
        </w:rPr>
        <w:t>ei</w:t>
      </w:r>
      <w:r w:rsidR="004D6759" w:rsidRPr="000508B6">
        <w:rPr>
          <w:rFonts w:ascii="Times New Roman" w:eastAsia="Times New Roman" w:hAnsi="Times New Roman" w:cs="Times New Roman"/>
          <w:lang w:val="ro-MD"/>
        </w:rPr>
        <w:t xml:space="preserve"> actuarial</w:t>
      </w:r>
      <w:r w:rsidRPr="000508B6">
        <w:rPr>
          <w:rFonts w:ascii="Times New Roman" w:eastAsia="Times New Roman" w:hAnsi="Times New Roman" w:cs="Times New Roman"/>
          <w:lang w:val="ro-MD"/>
        </w:rPr>
        <w:t>e</w:t>
      </w:r>
      <w:r w:rsidR="004D6759" w:rsidRPr="000508B6">
        <w:rPr>
          <w:rFonts w:ascii="Times New Roman" w:eastAsia="Times New Roman" w:hAnsi="Times New Roman" w:cs="Times New Roman"/>
          <w:lang w:val="ro-MD"/>
        </w:rPr>
        <w:t xml:space="preserve"> se realizează de către </w:t>
      </w:r>
      <w:r w:rsidR="00F95829" w:rsidRPr="000508B6">
        <w:rPr>
          <w:rFonts w:ascii="Times New Roman" w:eastAsia="Times New Roman" w:hAnsi="Times New Roman" w:cs="Times New Roman"/>
          <w:lang w:val="ro-MD"/>
        </w:rPr>
        <w:t xml:space="preserve">persoane care </w:t>
      </w:r>
      <w:proofErr w:type="spellStart"/>
      <w:r w:rsidR="00F95829" w:rsidRPr="000508B6">
        <w:rPr>
          <w:rFonts w:ascii="Times New Roman" w:eastAsia="Times New Roman" w:hAnsi="Times New Roman" w:cs="Times New Roman"/>
          <w:lang w:val="ro-MD"/>
        </w:rPr>
        <w:t>deţin</w:t>
      </w:r>
      <w:proofErr w:type="spellEnd"/>
      <w:r w:rsidR="00F95829" w:rsidRPr="000508B6">
        <w:rPr>
          <w:rFonts w:ascii="Times New Roman" w:eastAsia="Times New Roman" w:hAnsi="Times New Roman" w:cs="Times New Roman"/>
          <w:lang w:val="ro-MD"/>
        </w:rPr>
        <w:t xml:space="preserve"> suficiente </w:t>
      </w:r>
      <w:bookmarkStart w:id="91" w:name="_Hlk222671045"/>
      <w:proofErr w:type="spellStart"/>
      <w:r w:rsidR="00F95829" w:rsidRPr="000508B6">
        <w:rPr>
          <w:rFonts w:ascii="Times New Roman" w:eastAsia="Times New Roman" w:hAnsi="Times New Roman" w:cs="Times New Roman"/>
          <w:lang w:val="ro-MD"/>
        </w:rPr>
        <w:t>cunoştinţe</w:t>
      </w:r>
      <w:proofErr w:type="spellEnd"/>
      <w:r w:rsidR="00F95829" w:rsidRPr="000508B6">
        <w:rPr>
          <w:rFonts w:ascii="Times New Roman" w:eastAsia="Times New Roman" w:hAnsi="Times New Roman" w:cs="Times New Roman"/>
          <w:lang w:val="ro-MD"/>
        </w:rPr>
        <w:t xml:space="preserve"> de matematici actuariale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financiare </w:t>
      </w:r>
      <w:bookmarkEnd w:id="91"/>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o </w:t>
      </w:r>
      <w:proofErr w:type="spellStart"/>
      <w:r w:rsidR="00F95829" w:rsidRPr="000508B6">
        <w:rPr>
          <w:rFonts w:ascii="Times New Roman" w:eastAsia="Times New Roman" w:hAnsi="Times New Roman" w:cs="Times New Roman"/>
          <w:lang w:val="ro-MD"/>
        </w:rPr>
        <w:t>experienţă</w:t>
      </w:r>
      <w:proofErr w:type="spellEnd"/>
      <w:r w:rsidR="00F95829" w:rsidRPr="000508B6">
        <w:rPr>
          <w:rFonts w:ascii="Times New Roman" w:eastAsia="Times New Roman" w:hAnsi="Times New Roman" w:cs="Times New Roman"/>
          <w:lang w:val="ro-MD"/>
        </w:rPr>
        <w:t xml:space="preserve"> relevantă atât în raport cu standardele profesionale, cât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cu alte standarde aplicabile.</w:t>
      </w:r>
    </w:p>
    <w:p w14:paraId="585C7B8E" w14:textId="77777777" w:rsidR="00F233E9" w:rsidRPr="000508B6" w:rsidRDefault="00F233E9" w:rsidP="000A404B">
      <w:pPr>
        <w:pStyle w:val="Listparagraf"/>
        <w:numPr>
          <w:ilvl w:val="0"/>
          <w:numId w:val="182"/>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Modul de instituire și de </w:t>
      </w:r>
      <w:proofErr w:type="spellStart"/>
      <w:r w:rsidRPr="000508B6">
        <w:rPr>
          <w:rFonts w:ascii="Times New Roman" w:eastAsia="Times New Roman" w:hAnsi="Times New Roman" w:cs="Times New Roman"/>
          <w:lang w:val="ro-MD"/>
        </w:rPr>
        <w:t>desfăşurare</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funcției actuariale se reglementează prin actele normative ale Băncii Naționale a Moldovei.</w:t>
      </w:r>
    </w:p>
    <w:p w14:paraId="7BA290CB" w14:textId="77777777" w:rsidR="008F213C" w:rsidRPr="000508B6" w:rsidRDefault="008F213C" w:rsidP="008B530F">
      <w:pPr>
        <w:spacing w:after="0" w:line="240" w:lineRule="auto"/>
        <w:ind w:firstLine="426"/>
        <w:jc w:val="both"/>
        <w:rPr>
          <w:rFonts w:ascii="Times New Roman" w:eastAsia="Times New Roman" w:hAnsi="Times New Roman" w:cs="Times New Roman"/>
          <w:lang w:val="ro-MD"/>
        </w:rPr>
      </w:pPr>
    </w:p>
    <w:p w14:paraId="03CBD261" w14:textId="4BFAD0DD"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65E4" w:rsidRPr="000508B6">
        <w:rPr>
          <w:rFonts w:ascii="Times New Roman" w:eastAsia="Times New Roman" w:hAnsi="Times New Roman" w:cs="Times New Roman"/>
          <w:b/>
          <w:lang w:val="ro-MD"/>
        </w:rPr>
        <w:t>31</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Externalizare</w:t>
      </w:r>
      <w:r w:rsidR="00833252" w:rsidRPr="000508B6">
        <w:rPr>
          <w:rFonts w:ascii="Times New Roman" w:eastAsia="Times New Roman" w:hAnsi="Times New Roman" w:cs="Times New Roman"/>
          <w:lang w:val="ro-MD"/>
        </w:rPr>
        <w:t>a</w:t>
      </w:r>
    </w:p>
    <w:p w14:paraId="3D5284EB" w14:textId="25BBF1E6" w:rsidR="00F95829" w:rsidRPr="000508B6" w:rsidRDefault="00F95829" w:rsidP="00CF5AFA">
      <w:pPr>
        <w:pStyle w:val="Listparagraf"/>
        <w:numPr>
          <w:ilvl w:val="0"/>
          <w:numId w:val="11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proofErr w:type="spellStart"/>
      <w:r w:rsidRPr="000508B6">
        <w:rPr>
          <w:rFonts w:ascii="Times New Roman" w:hAnsi="Times New Roman" w:cs="Times New Roman"/>
          <w:lang w:val="ro-MD"/>
        </w:rPr>
        <w:t>externalizează</w:t>
      </w:r>
      <w:proofErr w:type="spellEnd"/>
      <w:r w:rsidRPr="000508B6">
        <w:rPr>
          <w:rFonts w:ascii="Times New Roman" w:hAnsi="Times New Roman" w:cs="Times New Roman"/>
          <w:lang w:val="ro-MD"/>
        </w:rPr>
        <w:t xml:space="preserve"> </w:t>
      </w:r>
      <w:r w:rsidR="002176E7" w:rsidRPr="000508B6">
        <w:rPr>
          <w:rFonts w:ascii="Times New Roman" w:hAnsi="Times New Roman" w:cs="Times New Roman"/>
          <w:lang w:val="ro-MD"/>
        </w:rPr>
        <w:t xml:space="preserve">funcții </w:t>
      </w:r>
      <w:r w:rsidR="000441E7" w:rsidRPr="000508B6">
        <w:rPr>
          <w:rFonts w:ascii="Times New Roman" w:hAnsi="Times New Roman" w:cs="Times New Roman"/>
          <w:lang w:val="ro-MD"/>
        </w:rPr>
        <w:t xml:space="preserve">sau </w:t>
      </w:r>
      <w:r w:rsidR="002D6449" w:rsidRPr="000508B6">
        <w:rPr>
          <w:rFonts w:ascii="Times New Roman" w:hAnsi="Times New Roman" w:cs="Times New Roman"/>
          <w:lang w:val="ro-MD"/>
        </w:rPr>
        <w:t xml:space="preserve">orice </w:t>
      </w:r>
      <w:proofErr w:type="spellStart"/>
      <w:r w:rsidR="000441E7" w:rsidRPr="000508B6">
        <w:rPr>
          <w:rFonts w:ascii="Times New Roman" w:hAnsi="Times New Roman" w:cs="Times New Roman"/>
          <w:lang w:val="ro-MD"/>
        </w:rPr>
        <w:t>activităţi</w:t>
      </w:r>
      <w:proofErr w:type="spellEnd"/>
      <w:r w:rsidR="00C30E12" w:rsidRPr="000508B6">
        <w:rPr>
          <w:rFonts w:ascii="Times New Roman" w:hAnsi="Times New Roman" w:cs="Times New Roman"/>
          <w:lang w:val="ro-MD"/>
        </w:rPr>
        <w:t xml:space="preserve"> </w:t>
      </w:r>
      <w:r w:rsidR="002D6449" w:rsidRPr="000508B6">
        <w:rPr>
          <w:rFonts w:ascii="Times New Roman" w:hAnsi="Times New Roman" w:cs="Times New Roman"/>
          <w:lang w:val="ro-MD"/>
        </w:rPr>
        <w:t>de asigurare sau de reasigurare</w:t>
      </w:r>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răm</w:t>
      </w:r>
      <w:r w:rsidR="008A35D4" w:rsidRPr="000508B6">
        <w:rPr>
          <w:rFonts w:ascii="Times New Roman" w:hAnsi="Times New Roman" w:cs="Times New Roman"/>
          <w:lang w:val="ro-MD"/>
        </w:rPr>
        <w:t>â</w:t>
      </w:r>
      <w:r w:rsidR="004A2B9F" w:rsidRPr="000508B6">
        <w:rPr>
          <w:rFonts w:ascii="Times New Roman" w:hAnsi="Times New Roman" w:cs="Times New Roman"/>
          <w:lang w:val="ro-MD"/>
        </w:rPr>
        <w:t>ne</w:t>
      </w:r>
      <w:r w:rsidRPr="000508B6">
        <w:rPr>
          <w:rFonts w:ascii="Times New Roman" w:hAnsi="Times New Roman" w:cs="Times New Roman"/>
          <w:lang w:val="ro-MD"/>
        </w:rPr>
        <w:t xml:space="preserve"> responsabil</w:t>
      </w:r>
      <w:r w:rsidR="0037323F" w:rsidRPr="000508B6">
        <w:rPr>
          <w:rFonts w:ascii="Times New Roman" w:hAnsi="Times New Roman" w:cs="Times New Roman"/>
          <w:lang w:val="ro-MD"/>
        </w:rPr>
        <w:t xml:space="preserve"> integral</w:t>
      </w:r>
      <w:r w:rsidRPr="000508B6">
        <w:rPr>
          <w:rFonts w:ascii="Times New Roman" w:hAnsi="Times New Roman" w:cs="Times New Roman"/>
          <w:lang w:val="ro-MD"/>
        </w:rPr>
        <w:t xml:space="preserve"> </w:t>
      </w:r>
      <w:r w:rsidR="0037323F" w:rsidRPr="000508B6">
        <w:rPr>
          <w:rFonts w:ascii="Times New Roman" w:hAnsi="Times New Roman" w:cs="Times New Roman"/>
          <w:lang w:val="ro-MD"/>
        </w:rPr>
        <w:t>pentru</w:t>
      </w:r>
      <w:r w:rsidRPr="000508B6">
        <w:rPr>
          <w:rFonts w:ascii="Times New Roman" w:hAnsi="Times New Roman" w:cs="Times New Roman"/>
          <w:lang w:val="ro-MD"/>
        </w:rPr>
        <w:t xml:space="preserve"> respectarea prevederilor </w:t>
      </w:r>
      <w:r w:rsidR="0037323F" w:rsidRPr="000508B6">
        <w:rPr>
          <w:rFonts w:ascii="Times New Roman" w:hAnsi="Times New Roman" w:cs="Times New Roman"/>
          <w:lang w:val="ro-MD"/>
        </w:rPr>
        <w:t>prezentei legi</w:t>
      </w:r>
      <w:r w:rsidRPr="000508B6">
        <w:rPr>
          <w:rFonts w:ascii="Times New Roman" w:hAnsi="Times New Roman" w:cs="Times New Roman"/>
          <w:lang w:val="ro-MD"/>
        </w:rPr>
        <w:t xml:space="preserve">. </w:t>
      </w:r>
    </w:p>
    <w:p w14:paraId="21C1EF42" w14:textId="363BC5F8" w:rsidR="00F95829" w:rsidRPr="000508B6" w:rsidRDefault="00F95829" w:rsidP="00CF5AFA">
      <w:pPr>
        <w:pStyle w:val="Listparagraf"/>
        <w:numPr>
          <w:ilvl w:val="0"/>
          <w:numId w:val="11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Externalizarea </w:t>
      </w:r>
      <w:r w:rsidR="002D6449" w:rsidRPr="000508B6">
        <w:rPr>
          <w:rFonts w:ascii="Times New Roman" w:hAnsi="Times New Roman" w:cs="Times New Roman"/>
          <w:lang w:val="ro-MD"/>
        </w:rPr>
        <w:t xml:space="preserve">unor </w:t>
      </w:r>
      <w:r w:rsidR="002176E7" w:rsidRPr="000508B6">
        <w:rPr>
          <w:rFonts w:ascii="Times New Roman" w:hAnsi="Times New Roman" w:cs="Times New Roman"/>
          <w:lang w:val="ro-MD"/>
        </w:rPr>
        <w:t>funcții</w:t>
      </w:r>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activităţi</w:t>
      </w:r>
      <w:proofErr w:type="spellEnd"/>
      <w:r w:rsidR="002D6449" w:rsidRPr="000508B6">
        <w:rPr>
          <w:rFonts w:ascii="Times New Roman" w:hAnsi="Times New Roman" w:cs="Times New Roman"/>
          <w:lang w:val="ro-MD"/>
        </w:rPr>
        <w:t xml:space="preserve"> critice sau</w:t>
      </w:r>
      <w:r w:rsidRPr="000508B6">
        <w:rPr>
          <w:rFonts w:ascii="Times New Roman" w:hAnsi="Times New Roman" w:cs="Times New Roman"/>
          <w:lang w:val="ro-MD"/>
        </w:rPr>
        <w:t xml:space="preserve"> semnificative se realizează astfel încât să nu determine: </w:t>
      </w:r>
    </w:p>
    <w:p w14:paraId="2804802F" w14:textId="34A601B6" w:rsidR="00F95829" w:rsidRPr="000508B6" w:rsidRDefault="00F95829" w:rsidP="00CF5AFA">
      <w:pPr>
        <w:pStyle w:val="Listparagraf"/>
        <w:numPr>
          <w:ilvl w:val="2"/>
          <w:numId w:val="11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deteriorarea semnificativă a </w:t>
      </w:r>
      <w:proofErr w:type="spellStart"/>
      <w:r w:rsidRPr="000508B6">
        <w:rPr>
          <w:rFonts w:ascii="Times New Roman" w:hAnsi="Times New Roman" w:cs="Times New Roman"/>
          <w:lang w:val="ro-MD"/>
        </w:rPr>
        <w:t>calităţii</w:t>
      </w:r>
      <w:proofErr w:type="spellEnd"/>
      <w:r w:rsidRPr="000508B6">
        <w:rPr>
          <w:rFonts w:ascii="Times New Roman" w:hAnsi="Times New Roman" w:cs="Times New Roman"/>
          <w:lang w:val="ro-MD"/>
        </w:rPr>
        <w:t xml:space="preserve"> sistemului de </w:t>
      </w:r>
      <w:proofErr w:type="spellStart"/>
      <w:r w:rsidRPr="000508B6">
        <w:rPr>
          <w:rFonts w:ascii="Times New Roman" w:hAnsi="Times New Roman" w:cs="Times New Roman"/>
          <w:lang w:val="ro-MD"/>
        </w:rPr>
        <w:t>guvernanţă</w:t>
      </w:r>
      <w:proofErr w:type="spellEnd"/>
      <w:r w:rsidRPr="000508B6">
        <w:rPr>
          <w:rFonts w:ascii="Times New Roman" w:hAnsi="Times New Roman" w:cs="Times New Roman"/>
          <w:lang w:val="ro-MD"/>
        </w:rPr>
        <w:t>;</w:t>
      </w:r>
    </w:p>
    <w:p w14:paraId="4FB6504F" w14:textId="08DF0710" w:rsidR="00F95829" w:rsidRPr="000508B6" w:rsidRDefault="00F95829" w:rsidP="00CF5AFA">
      <w:pPr>
        <w:pStyle w:val="Listparagraf"/>
        <w:numPr>
          <w:ilvl w:val="2"/>
          <w:numId w:val="119"/>
        </w:numPr>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creşterea</w:t>
      </w:r>
      <w:proofErr w:type="spellEnd"/>
      <w:r w:rsidRPr="000508B6">
        <w:rPr>
          <w:rFonts w:ascii="Times New Roman" w:hAnsi="Times New Roman" w:cs="Times New Roman"/>
          <w:lang w:val="ro-MD"/>
        </w:rPr>
        <w:t xml:space="preserve"> </w:t>
      </w:r>
      <w:r w:rsidR="003F275C" w:rsidRPr="000508B6">
        <w:rPr>
          <w:rFonts w:ascii="Times New Roman" w:hAnsi="Times New Roman" w:cs="Times New Roman"/>
          <w:lang w:val="ro-MD"/>
        </w:rPr>
        <w:t xml:space="preserve">nejustificată </w:t>
      </w:r>
      <w:r w:rsidRPr="000508B6">
        <w:rPr>
          <w:rFonts w:ascii="Times New Roman" w:hAnsi="Times New Roman" w:cs="Times New Roman"/>
          <w:lang w:val="ro-MD"/>
        </w:rPr>
        <w:t xml:space="preserve">a riscului </w:t>
      </w:r>
      <w:proofErr w:type="spellStart"/>
      <w:r w:rsidRPr="000508B6">
        <w:rPr>
          <w:rFonts w:ascii="Times New Roman" w:hAnsi="Times New Roman" w:cs="Times New Roman"/>
          <w:lang w:val="ro-MD"/>
        </w:rPr>
        <w:t>operaţional</w:t>
      </w:r>
      <w:proofErr w:type="spellEnd"/>
      <w:r w:rsidRPr="000508B6">
        <w:rPr>
          <w:rFonts w:ascii="Times New Roman" w:hAnsi="Times New Roman" w:cs="Times New Roman"/>
          <w:lang w:val="ro-MD"/>
        </w:rPr>
        <w:t xml:space="preserve">; </w:t>
      </w:r>
    </w:p>
    <w:p w14:paraId="2033BA3F" w14:textId="39EECE68" w:rsidR="00F95829" w:rsidRPr="000508B6" w:rsidRDefault="003F275C" w:rsidP="00CF5AFA">
      <w:pPr>
        <w:pStyle w:val="Listparagraf"/>
        <w:numPr>
          <w:ilvl w:val="2"/>
          <w:numId w:val="11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subminarea </w:t>
      </w:r>
      <w:r w:rsidR="001C25B7" w:rsidRPr="000508B6">
        <w:rPr>
          <w:rFonts w:ascii="Times New Roman" w:hAnsi="Times New Roman" w:cs="Times New Roman"/>
          <w:lang w:val="ro-MD"/>
        </w:rPr>
        <w:t xml:space="preserve">capacității </w:t>
      </w:r>
      <w:r w:rsidR="00F95829" w:rsidRPr="000508B6">
        <w:rPr>
          <w:rFonts w:ascii="Times New Roman" w:hAnsi="Times New Roman" w:cs="Times New Roman"/>
          <w:lang w:val="ro-MD"/>
        </w:rPr>
        <w:t xml:space="preserve">Băncii Naționale a Moldovei de a monitoriza </w:t>
      </w:r>
      <w:r w:rsidRPr="000508B6">
        <w:rPr>
          <w:rFonts w:ascii="Times New Roman" w:hAnsi="Times New Roman" w:cs="Times New Roman"/>
          <w:lang w:val="ro-MD"/>
        </w:rPr>
        <w:t>respectarea de către</w:t>
      </w:r>
      <w:r w:rsidR="00F95829" w:rsidRPr="000508B6">
        <w:rPr>
          <w:rFonts w:ascii="Times New Roman" w:hAnsi="Times New Roman" w:cs="Times New Roman"/>
          <w:lang w:val="ro-MD"/>
        </w:rPr>
        <w:t xml:space="preserve"> </w:t>
      </w:r>
      <w:r w:rsidR="006651A3" w:rsidRPr="000508B6">
        <w:rPr>
          <w:rFonts w:ascii="Times New Roman" w:hAnsi="Times New Roman" w:cs="Times New Roman"/>
          <w:lang w:val="ro-MD"/>
        </w:rPr>
        <w:t xml:space="preserve">asigurător sau </w:t>
      </w:r>
      <w:proofErr w:type="spellStart"/>
      <w:r w:rsidR="006651A3" w:rsidRPr="000508B6">
        <w:rPr>
          <w:rFonts w:ascii="Times New Roman" w:hAnsi="Times New Roman" w:cs="Times New Roman"/>
          <w:lang w:val="ro-MD"/>
        </w:rPr>
        <w:t>reasigurător</w:t>
      </w:r>
      <w:proofErr w:type="spellEnd"/>
      <w:r w:rsidR="006651A3" w:rsidRPr="000508B6">
        <w:rPr>
          <w:rFonts w:ascii="Times New Roman" w:hAnsi="Times New Roman" w:cs="Times New Roman"/>
          <w:lang w:val="ro-MD"/>
        </w:rPr>
        <w:t xml:space="preserve"> </w:t>
      </w:r>
      <w:r w:rsidRPr="000508B6">
        <w:rPr>
          <w:rFonts w:ascii="Times New Roman" w:hAnsi="Times New Roman" w:cs="Times New Roman"/>
          <w:lang w:val="ro-MD"/>
        </w:rPr>
        <w:t xml:space="preserve">a </w:t>
      </w:r>
      <w:proofErr w:type="spellStart"/>
      <w:r w:rsidR="00F95829" w:rsidRPr="000508B6">
        <w:rPr>
          <w:rFonts w:ascii="Times New Roman" w:hAnsi="Times New Roman" w:cs="Times New Roman"/>
          <w:lang w:val="ro-MD"/>
        </w:rPr>
        <w:t>obligaţiil</w:t>
      </w:r>
      <w:r w:rsidRPr="000508B6">
        <w:rPr>
          <w:rFonts w:ascii="Times New Roman" w:hAnsi="Times New Roman" w:cs="Times New Roman"/>
          <w:lang w:val="ro-MD"/>
        </w:rPr>
        <w:t>or</w:t>
      </w:r>
      <w:proofErr w:type="spellEnd"/>
      <w:r w:rsidRPr="000508B6">
        <w:rPr>
          <w:rFonts w:ascii="Times New Roman" w:hAnsi="Times New Roman" w:cs="Times New Roman"/>
          <w:lang w:val="ro-MD"/>
        </w:rPr>
        <w:t xml:space="preserve"> care îi revin</w:t>
      </w:r>
      <w:r w:rsidR="00F95829" w:rsidRPr="000508B6">
        <w:rPr>
          <w:rFonts w:ascii="Times New Roman" w:hAnsi="Times New Roman" w:cs="Times New Roman"/>
          <w:lang w:val="ro-MD"/>
        </w:rPr>
        <w:t>;</w:t>
      </w:r>
    </w:p>
    <w:p w14:paraId="7B7CCAAA" w14:textId="40F73F38" w:rsidR="00F95829" w:rsidRPr="000508B6" w:rsidRDefault="00DA3961" w:rsidP="00CF5AFA">
      <w:pPr>
        <w:pStyle w:val="Listparagraf"/>
        <w:numPr>
          <w:ilvl w:val="2"/>
          <w:numId w:val="11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împiedicarea furnizării de servicii continue și satisfăcătoare către asigurați</w:t>
      </w:r>
      <w:r w:rsidR="00F95829" w:rsidRPr="000508B6">
        <w:rPr>
          <w:rFonts w:ascii="Times New Roman" w:hAnsi="Times New Roman" w:cs="Times New Roman"/>
          <w:lang w:val="ro-MD"/>
        </w:rPr>
        <w:t xml:space="preserve">. </w:t>
      </w:r>
    </w:p>
    <w:p w14:paraId="2C51B521" w14:textId="04294E77" w:rsidR="0043330C" w:rsidRPr="000508B6" w:rsidRDefault="0043330C" w:rsidP="00CF5AFA">
      <w:pPr>
        <w:pStyle w:val="Listparagraf"/>
        <w:numPr>
          <w:ilvl w:val="0"/>
          <w:numId w:val="11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sensul prezentului articol, </w:t>
      </w:r>
      <w:proofErr w:type="spellStart"/>
      <w:r w:rsidRPr="000508B6">
        <w:rPr>
          <w:rFonts w:ascii="Times New Roman" w:hAnsi="Times New Roman" w:cs="Times New Roman"/>
          <w:lang w:val="ro-MD"/>
        </w:rPr>
        <w:t>activităţi</w:t>
      </w:r>
      <w:proofErr w:type="spellEnd"/>
      <w:r w:rsidR="0093434B" w:rsidRPr="000508B6">
        <w:rPr>
          <w:rFonts w:ascii="Times New Roman" w:hAnsi="Times New Roman" w:cs="Times New Roman"/>
          <w:lang w:val="ro-MD"/>
        </w:rPr>
        <w:t xml:space="preserve"> critice sau</w:t>
      </w:r>
      <w:r w:rsidRPr="000508B6">
        <w:rPr>
          <w:rFonts w:ascii="Times New Roman" w:hAnsi="Times New Roman" w:cs="Times New Roman"/>
          <w:lang w:val="ro-MD"/>
        </w:rPr>
        <w:t xml:space="preserve"> semnificative reprezintă:</w:t>
      </w:r>
      <w:r w:rsidR="00A45E52" w:rsidRPr="000508B6">
        <w:rPr>
          <w:rFonts w:ascii="Times New Roman" w:hAnsi="Times New Roman" w:cs="Times New Roman"/>
          <w:lang w:val="ro-MD"/>
        </w:rPr>
        <w:t xml:space="preserve"> </w:t>
      </w:r>
    </w:p>
    <w:p w14:paraId="74837810" w14:textId="197133A4" w:rsidR="0043330C" w:rsidRPr="000508B6" w:rsidRDefault="0043330C" w:rsidP="004A188D">
      <w:pPr>
        <w:pStyle w:val="Listparagraf"/>
        <w:numPr>
          <w:ilvl w:val="2"/>
          <w:numId w:val="270"/>
        </w:numPr>
        <w:tabs>
          <w:tab w:val="left" w:pos="851"/>
        </w:tabs>
        <w:spacing w:after="0" w:line="240" w:lineRule="auto"/>
        <w:ind w:left="0" w:firstLine="567"/>
        <w:jc w:val="both"/>
        <w:rPr>
          <w:rFonts w:ascii="Times New Roman" w:hAnsi="Times New Roman" w:cs="Times New Roman"/>
          <w:lang w:val="ro-MD"/>
        </w:rPr>
      </w:pP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care prezintă o asemenea </w:t>
      </w:r>
      <w:proofErr w:type="spellStart"/>
      <w:r w:rsidRPr="000508B6">
        <w:rPr>
          <w:rFonts w:ascii="Times New Roman" w:hAnsi="Times New Roman" w:cs="Times New Roman"/>
          <w:lang w:val="ro-MD"/>
        </w:rPr>
        <w:t>importanţă</w:t>
      </w:r>
      <w:proofErr w:type="spellEnd"/>
      <w:r w:rsidRPr="000508B6">
        <w:rPr>
          <w:rFonts w:ascii="Times New Roman" w:hAnsi="Times New Roman" w:cs="Times New Roman"/>
          <w:lang w:val="ro-MD"/>
        </w:rPr>
        <w:t xml:space="preserve"> </w:t>
      </w:r>
      <w:r w:rsidR="00CA1DC3" w:rsidRPr="000508B6">
        <w:rPr>
          <w:rFonts w:ascii="Times New Roman" w:hAnsi="Times New Roman" w:cs="Times New Roman"/>
          <w:lang w:val="ro-MD"/>
        </w:rPr>
        <w:t>încât</w:t>
      </w:r>
      <w:r w:rsidRPr="000508B6">
        <w:rPr>
          <w:rFonts w:ascii="Times New Roman" w:hAnsi="Times New Roman" w:cs="Times New Roman"/>
          <w:lang w:val="ro-MD"/>
        </w:rPr>
        <w:t xml:space="preserve"> orice dificultate sau </w:t>
      </w:r>
      <w:proofErr w:type="spellStart"/>
      <w:r w:rsidRPr="000508B6">
        <w:rPr>
          <w:rFonts w:ascii="Times New Roman" w:hAnsi="Times New Roman" w:cs="Times New Roman"/>
          <w:lang w:val="ro-MD"/>
        </w:rPr>
        <w:t>eşec</w:t>
      </w:r>
      <w:proofErr w:type="spellEnd"/>
      <w:r w:rsidRPr="000508B6">
        <w:rPr>
          <w:rFonts w:ascii="Times New Roman" w:hAnsi="Times New Roman" w:cs="Times New Roman"/>
          <w:lang w:val="ro-MD"/>
        </w:rPr>
        <w:t xml:space="preserve"> în </w:t>
      </w:r>
      <w:proofErr w:type="spellStart"/>
      <w:r w:rsidRPr="000508B6">
        <w:rPr>
          <w:rFonts w:ascii="Times New Roman" w:hAnsi="Times New Roman" w:cs="Times New Roman"/>
          <w:lang w:val="ro-MD"/>
        </w:rPr>
        <w:t>desfăşurarea</w:t>
      </w:r>
      <w:proofErr w:type="spellEnd"/>
      <w:r w:rsidRPr="000508B6">
        <w:rPr>
          <w:rFonts w:ascii="Times New Roman" w:hAnsi="Times New Roman" w:cs="Times New Roman"/>
          <w:lang w:val="ro-MD"/>
        </w:rPr>
        <w:t xml:space="preserve"> acestora ar putea avea un efect negativ semnificativ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abilitatea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lastRenderedPageBreak/>
        <w:t>reasigurătorului</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a­şi</w:t>
      </w:r>
      <w:proofErr w:type="spellEnd"/>
      <w:r w:rsidRPr="000508B6">
        <w:rPr>
          <w:rFonts w:ascii="Times New Roman" w:hAnsi="Times New Roman" w:cs="Times New Roman"/>
          <w:lang w:val="ro-MD"/>
        </w:rPr>
        <w:t xml:space="preserve"> îndeplini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prevăzute de </w:t>
      </w:r>
      <w:proofErr w:type="spellStart"/>
      <w:r w:rsidRPr="000508B6">
        <w:rPr>
          <w:rFonts w:ascii="Times New Roman" w:hAnsi="Times New Roman" w:cs="Times New Roman"/>
          <w:lang w:val="ro-MD"/>
        </w:rPr>
        <w:t>sitemul</w:t>
      </w:r>
      <w:proofErr w:type="spellEnd"/>
      <w:r w:rsidRPr="000508B6">
        <w:rPr>
          <w:rFonts w:ascii="Times New Roman" w:hAnsi="Times New Roman" w:cs="Times New Roman"/>
          <w:lang w:val="ro-MD"/>
        </w:rPr>
        <w:t xml:space="preserve"> de guvernanță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w:t>
      </w:r>
      <w:r w:rsidR="003144D1" w:rsidRPr="000508B6">
        <w:rPr>
          <w:rFonts w:ascii="Times New Roman" w:hAnsi="Times New Roman" w:cs="Times New Roman"/>
          <w:lang w:val="ro-MD"/>
        </w:rPr>
        <w:t xml:space="preserve">sau </w:t>
      </w:r>
      <w:r w:rsidRPr="000508B6">
        <w:rPr>
          <w:rFonts w:ascii="Times New Roman" w:hAnsi="Times New Roman" w:cs="Times New Roman"/>
          <w:lang w:val="ro-MD"/>
        </w:rPr>
        <w:t>de a-</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continua activitatea;</w:t>
      </w:r>
    </w:p>
    <w:p w14:paraId="72A1E13D" w14:textId="543B96C4" w:rsidR="0043330C" w:rsidRPr="000508B6" w:rsidRDefault="0043330C" w:rsidP="004A188D">
      <w:pPr>
        <w:pStyle w:val="Listparagraf"/>
        <w:numPr>
          <w:ilvl w:val="2"/>
          <w:numId w:val="270"/>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orice alte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care necesită o </w:t>
      </w:r>
      <w:proofErr w:type="spellStart"/>
      <w:r w:rsidRPr="000508B6">
        <w:rPr>
          <w:rFonts w:ascii="Times New Roman" w:hAnsi="Times New Roman" w:cs="Times New Roman"/>
          <w:lang w:val="ro-MD"/>
        </w:rPr>
        <w:t>licenţă</w:t>
      </w:r>
      <w:proofErr w:type="spellEnd"/>
      <w:r w:rsidRPr="000508B6">
        <w:rPr>
          <w:rFonts w:ascii="Times New Roman" w:hAnsi="Times New Roman" w:cs="Times New Roman"/>
          <w:lang w:val="ro-MD"/>
        </w:rPr>
        <w:t xml:space="preserve"> sau o </w:t>
      </w:r>
      <w:proofErr w:type="spellStart"/>
      <w:r w:rsidRPr="000508B6">
        <w:rPr>
          <w:rFonts w:ascii="Times New Roman" w:hAnsi="Times New Roman" w:cs="Times New Roman"/>
          <w:lang w:val="ro-MD"/>
        </w:rPr>
        <w:t>autorizaţie</w:t>
      </w:r>
      <w:proofErr w:type="spellEnd"/>
      <w:r w:rsidRPr="000508B6">
        <w:rPr>
          <w:rFonts w:ascii="Times New Roman" w:hAnsi="Times New Roman" w:cs="Times New Roman"/>
          <w:lang w:val="ro-MD"/>
        </w:rPr>
        <w:t xml:space="preserve"> din partea </w:t>
      </w:r>
      <w:proofErr w:type="spellStart"/>
      <w:r w:rsidRPr="000508B6">
        <w:rPr>
          <w:rFonts w:ascii="Times New Roman" w:hAnsi="Times New Roman" w:cs="Times New Roman"/>
          <w:lang w:val="ro-MD"/>
        </w:rPr>
        <w:t>autorităţilor</w:t>
      </w:r>
      <w:proofErr w:type="spellEnd"/>
      <w:r w:rsidRPr="000508B6">
        <w:rPr>
          <w:rFonts w:ascii="Times New Roman" w:hAnsi="Times New Roman" w:cs="Times New Roman"/>
          <w:lang w:val="ro-MD"/>
        </w:rPr>
        <w:t xml:space="preserve"> competente;</w:t>
      </w:r>
    </w:p>
    <w:p w14:paraId="5123DAC8" w14:textId="2E268486" w:rsidR="00C5509B" w:rsidRPr="000508B6" w:rsidRDefault="0043330C" w:rsidP="004A188D">
      <w:pPr>
        <w:pStyle w:val="Listparagraf"/>
        <w:numPr>
          <w:ilvl w:val="2"/>
          <w:numId w:val="270"/>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orice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care au un impact semnificativ din perspectiva </w:t>
      </w:r>
      <w:r w:rsidR="0061496F" w:rsidRPr="000508B6">
        <w:rPr>
          <w:rFonts w:ascii="Times New Roman" w:hAnsi="Times New Roman" w:cs="Times New Roman"/>
          <w:lang w:val="ro-MD"/>
        </w:rPr>
        <w:t>managementului</w:t>
      </w:r>
      <w:r w:rsidRPr="000508B6">
        <w:rPr>
          <w:rFonts w:ascii="Times New Roman" w:hAnsi="Times New Roman" w:cs="Times New Roman"/>
          <w:lang w:val="ro-MD"/>
        </w:rPr>
        <w:t xml:space="preserve"> riscurilor</w:t>
      </w:r>
      <w:r w:rsidR="00C5509B" w:rsidRPr="000508B6">
        <w:rPr>
          <w:rFonts w:ascii="Times New Roman" w:hAnsi="Times New Roman" w:cs="Times New Roman"/>
          <w:lang w:val="ro-MD"/>
        </w:rPr>
        <w:t xml:space="preserve">. </w:t>
      </w:r>
    </w:p>
    <w:p w14:paraId="1B618276" w14:textId="16B6E2D2" w:rsidR="00F95829" w:rsidRPr="000508B6" w:rsidRDefault="004125E8" w:rsidP="00CF5AFA">
      <w:pPr>
        <w:pStyle w:val="Listparagraf"/>
        <w:numPr>
          <w:ilvl w:val="0"/>
          <w:numId w:val="11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w:t>
      </w:r>
      <w:r w:rsidR="0037323F" w:rsidRPr="000508B6">
        <w:rPr>
          <w:rFonts w:ascii="Times New Roman" w:hAnsi="Times New Roman" w:cs="Times New Roman"/>
          <w:lang w:val="ro-MD"/>
        </w:rPr>
        <w:t xml:space="preserve">notifică Banca Națională a Moldovei într-un termen rezonabil înainte de a </w:t>
      </w:r>
      <w:proofErr w:type="spellStart"/>
      <w:r w:rsidR="00F95829" w:rsidRPr="000508B6">
        <w:rPr>
          <w:rFonts w:ascii="Times New Roman" w:hAnsi="Times New Roman" w:cs="Times New Roman"/>
          <w:lang w:val="ro-MD"/>
        </w:rPr>
        <w:t>externaliza</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funcţiile</w:t>
      </w:r>
      <w:proofErr w:type="spellEnd"/>
      <w:r w:rsidR="00271DE6" w:rsidRPr="000508B6">
        <w:rPr>
          <w:rFonts w:ascii="Times New Roman" w:hAnsi="Times New Roman" w:cs="Times New Roman"/>
          <w:lang w:val="ro-MD"/>
        </w:rPr>
        <w:t xml:space="preserve"> </w:t>
      </w:r>
      <w:r w:rsidR="00BD513D" w:rsidRPr="000508B6">
        <w:rPr>
          <w:rFonts w:ascii="Times New Roman" w:hAnsi="Times New Roman" w:cs="Times New Roman"/>
          <w:lang w:val="ro-MD"/>
        </w:rPr>
        <w:t xml:space="preserve">sau </w:t>
      </w:r>
      <w:proofErr w:type="spellStart"/>
      <w:r w:rsidR="00F95829" w:rsidRPr="000508B6">
        <w:rPr>
          <w:rFonts w:ascii="Times New Roman" w:hAnsi="Times New Roman" w:cs="Times New Roman"/>
          <w:lang w:val="ro-MD"/>
        </w:rPr>
        <w:t>activităţile</w:t>
      </w:r>
      <w:proofErr w:type="spellEnd"/>
      <w:r w:rsidR="00BD513D" w:rsidRPr="000508B6">
        <w:rPr>
          <w:rFonts w:ascii="Times New Roman" w:hAnsi="Times New Roman" w:cs="Times New Roman"/>
          <w:lang w:val="ro-MD"/>
        </w:rPr>
        <w:t xml:space="preserve"> </w:t>
      </w:r>
      <w:r w:rsidR="007120BE" w:rsidRPr="000508B6">
        <w:rPr>
          <w:rFonts w:ascii="Times New Roman" w:hAnsi="Times New Roman" w:cs="Times New Roman"/>
          <w:lang w:val="ro-MD"/>
        </w:rPr>
        <w:t>critice sau</w:t>
      </w:r>
      <w:r w:rsidR="00BD513D" w:rsidRPr="000508B6">
        <w:rPr>
          <w:rFonts w:ascii="Times New Roman" w:hAnsi="Times New Roman" w:cs="Times New Roman"/>
          <w:lang w:val="ro-MD"/>
        </w:rPr>
        <w:t xml:space="preserve"> semnificative</w:t>
      </w:r>
      <w:r w:rsidR="00F95829" w:rsidRPr="000508B6">
        <w:rPr>
          <w:rFonts w:ascii="Times New Roman" w:hAnsi="Times New Roman" w:cs="Times New Roman"/>
          <w:lang w:val="ro-MD"/>
        </w:rPr>
        <w:t>,</w:t>
      </w:r>
      <w:r w:rsidR="0037323F" w:rsidRPr="000508B6">
        <w:rPr>
          <w:rFonts w:ascii="Times New Roman" w:hAnsi="Times New Roman" w:cs="Times New Roman"/>
          <w:lang w:val="ro-MD"/>
        </w:rPr>
        <w:t xml:space="preserve"> precum și referitor la orice evoluții semnificative ulterioare privind funcțiile sau activitățile respective</w:t>
      </w:r>
      <w:r w:rsidR="00D52774"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p>
    <w:p w14:paraId="74E606B2" w14:textId="586D81D7" w:rsidR="00B849E8" w:rsidRPr="000508B6" w:rsidDel="00F76D82" w:rsidRDefault="004125E8" w:rsidP="00DE4225">
      <w:pPr>
        <w:pStyle w:val="Listparagraf"/>
        <w:numPr>
          <w:ilvl w:val="0"/>
          <w:numId w:val="11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6436C9" w:rsidRPr="000508B6" w:rsidDel="00F76D82">
        <w:rPr>
          <w:rFonts w:ascii="Times New Roman" w:eastAsia="Times New Roman" w:hAnsi="Times New Roman" w:cs="Times New Roman"/>
          <w:lang w:val="ro-MD"/>
        </w:rPr>
        <w:t xml:space="preserve"> </w:t>
      </w:r>
      <w:r w:rsidR="00B849E8" w:rsidRPr="000508B6" w:rsidDel="00F76D82">
        <w:rPr>
          <w:rFonts w:ascii="Times New Roman" w:eastAsia="Times New Roman" w:hAnsi="Times New Roman" w:cs="Times New Roman"/>
          <w:lang w:val="ro-MD"/>
        </w:rPr>
        <w:t xml:space="preserve">care </w:t>
      </w:r>
      <w:proofErr w:type="spellStart"/>
      <w:r w:rsidR="00B849E8" w:rsidRPr="000508B6" w:rsidDel="00F76D82">
        <w:rPr>
          <w:rFonts w:ascii="Times New Roman" w:eastAsia="Times New Roman" w:hAnsi="Times New Roman" w:cs="Times New Roman"/>
          <w:lang w:val="ro-MD"/>
        </w:rPr>
        <w:t>externalizează</w:t>
      </w:r>
      <w:proofErr w:type="spellEnd"/>
      <w:r w:rsidR="00E10986" w:rsidRPr="000508B6" w:rsidDel="00F76D82">
        <w:rPr>
          <w:rFonts w:ascii="Times New Roman" w:eastAsia="Times New Roman" w:hAnsi="Times New Roman" w:cs="Times New Roman"/>
          <w:lang w:val="ro-MD"/>
        </w:rPr>
        <w:t xml:space="preserve"> </w:t>
      </w:r>
      <w:proofErr w:type="spellStart"/>
      <w:r w:rsidR="00B849E8" w:rsidRPr="000508B6" w:rsidDel="00F76D82">
        <w:rPr>
          <w:rFonts w:ascii="Times New Roman" w:eastAsia="Times New Roman" w:hAnsi="Times New Roman" w:cs="Times New Roman"/>
          <w:lang w:val="ro-MD"/>
        </w:rPr>
        <w:t>funcţii</w:t>
      </w:r>
      <w:proofErr w:type="spellEnd"/>
      <w:r w:rsidR="00763A55" w:rsidRPr="000508B6">
        <w:rPr>
          <w:rFonts w:ascii="Times New Roman" w:eastAsia="Times New Roman" w:hAnsi="Times New Roman" w:cs="Times New Roman"/>
          <w:lang w:val="ro-MD"/>
        </w:rPr>
        <w:t xml:space="preserve"> </w:t>
      </w:r>
      <w:r w:rsidR="00231B8E" w:rsidRPr="000508B6">
        <w:rPr>
          <w:rFonts w:ascii="Times New Roman" w:eastAsia="Times New Roman" w:hAnsi="Times New Roman" w:cs="Times New Roman"/>
          <w:lang w:val="ro-MD"/>
        </w:rPr>
        <w:t xml:space="preserve">sau </w:t>
      </w:r>
      <w:proofErr w:type="spellStart"/>
      <w:r w:rsidR="00B849E8" w:rsidRPr="000508B6" w:rsidDel="00F76D82">
        <w:rPr>
          <w:rFonts w:ascii="Times New Roman" w:eastAsia="Times New Roman" w:hAnsi="Times New Roman" w:cs="Times New Roman"/>
          <w:lang w:val="ro-MD"/>
        </w:rPr>
        <w:t>activităţi</w:t>
      </w:r>
      <w:proofErr w:type="spellEnd"/>
      <w:r w:rsidR="00B849E8" w:rsidRPr="000508B6" w:rsidDel="00F76D82">
        <w:rPr>
          <w:rFonts w:ascii="Times New Roman" w:eastAsia="Times New Roman" w:hAnsi="Times New Roman" w:cs="Times New Roman"/>
          <w:lang w:val="ro-MD"/>
        </w:rPr>
        <w:t xml:space="preserve"> </w:t>
      </w:r>
      <w:r w:rsidR="00231B8E" w:rsidRPr="000508B6">
        <w:rPr>
          <w:rFonts w:ascii="Times New Roman" w:eastAsia="Times New Roman" w:hAnsi="Times New Roman" w:cs="Times New Roman"/>
          <w:lang w:val="ro-MD"/>
        </w:rPr>
        <w:t xml:space="preserve">critice sau </w:t>
      </w:r>
      <w:r w:rsidR="000538A1" w:rsidRPr="000508B6" w:rsidDel="00F76D82">
        <w:rPr>
          <w:rFonts w:ascii="Times New Roman" w:eastAsia="Times New Roman" w:hAnsi="Times New Roman" w:cs="Times New Roman"/>
          <w:lang w:val="ro-MD"/>
        </w:rPr>
        <w:t xml:space="preserve">semnificative </w:t>
      </w:r>
      <w:r w:rsidR="00B849E8" w:rsidRPr="000508B6" w:rsidDel="00F76D82">
        <w:rPr>
          <w:rFonts w:ascii="Times New Roman" w:eastAsia="Times New Roman" w:hAnsi="Times New Roman" w:cs="Times New Roman"/>
          <w:lang w:val="ro-MD"/>
        </w:rPr>
        <w:t>impun</w:t>
      </w:r>
      <w:r w:rsidR="009F215D" w:rsidRPr="000508B6">
        <w:rPr>
          <w:rFonts w:ascii="Times New Roman" w:eastAsia="Times New Roman" w:hAnsi="Times New Roman" w:cs="Times New Roman"/>
          <w:lang w:val="ro-MD"/>
        </w:rPr>
        <w:t>e</w:t>
      </w:r>
      <w:r w:rsidR="00B849E8" w:rsidRPr="000508B6" w:rsidDel="00F76D82">
        <w:rPr>
          <w:rFonts w:ascii="Times New Roman" w:eastAsia="Times New Roman" w:hAnsi="Times New Roman" w:cs="Times New Roman"/>
          <w:lang w:val="ro-MD"/>
        </w:rPr>
        <w:t xml:space="preserve"> furnizorului de servicii</w:t>
      </w:r>
      <w:r w:rsidR="00E10986" w:rsidRPr="000508B6" w:rsidDel="00F76D82">
        <w:rPr>
          <w:rFonts w:ascii="Times New Roman" w:eastAsia="Times New Roman" w:hAnsi="Times New Roman" w:cs="Times New Roman"/>
          <w:lang w:val="ro-MD"/>
        </w:rPr>
        <w:t xml:space="preserve"> </w:t>
      </w:r>
      <w:r w:rsidR="00B849E8" w:rsidRPr="000508B6" w:rsidDel="00F76D82">
        <w:rPr>
          <w:rFonts w:ascii="Times New Roman" w:eastAsia="Times New Roman" w:hAnsi="Times New Roman" w:cs="Times New Roman"/>
          <w:lang w:val="ro-MD"/>
        </w:rPr>
        <w:t xml:space="preserve">următoarele </w:t>
      </w:r>
      <w:proofErr w:type="spellStart"/>
      <w:r w:rsidR="00B849E8" w:rsidRPr="000508B6" w:rsidDel="00F76D82">
        <w:rPr>
          <w:rFonts w:ascii="Times New Roman" w:eastAsia="Times New Roman" w:hAnsi="Times New Roman" w:cs="Times New Roman"/>
          <w:lang w:val="ro-MD"/>
        </w:rPr>
        <w:t>condiţii</w:t>
      </w:r>
      <w:proofErr w:type="spellEnd"/>
      <w:r w:rsidR="00B849E8" w:rsidRPr="000508B6" w:rsidDel="00F76D82">
        <w:rPr>
          <w:rFonts w:ascii="Times New Roman" w:eastAsia="Times New Roman" w:hAnsi="Times New Roman" w:cs="Times New Roman"/>
          <w:lang w:val="ro-MD"/>
        </w:rPr>
        <w:t>:</w:t>
      </w:r>
    </w:p>
    <w:p w14:paraId="379BD22D" w14:textId="547192E9" w:rsidR="00B849E8" w:rsidRPr="000508B6" w:rsidDel="00F76D82" w:rsidRDefault="00B849E8" w:rsidP="00CF5AFA">
      <w:pPr>
        <w:pStyle w:val="Listparagraf"/>
        <w:numPr>
          <w:ilvl w:val="2"/>
          <w:numId w:val="269"/>
        </w:numPr>
        <w:spacing w:after="0" w:line="240" w:lineRule="auto"/>
        <w:ind w:left="0" w:firstLine="426"/>
        <w:jc w:val="both"/>
        <w:rPr>
          <w:rFonts w:ascii="Times New Roman" w:eastAsia="Times New Roman" w:hAnsi="Times New Roman" w:cs="Times New Roman"/>
          <w:lang w:val="ro-MD"/>
        </w:rPr>
      </w:pPr>
      <w:r w:rsidRPr="000508B6" w:rsidDel="00F76D82">
        <w:rPr>
          <w:rFonts w:ascii="Times New Roman" w:eastAsia="Times New Roman" w:hAnsi="Times New Roman" w:cs="Times New Roman"/>
          <w:lang w:val="ro-MD"/>
        </w:rPr>
        <w:t xml:space="preserve">să coopereze cu </w:t>
      </w:r>
      <w:r w:rsidR="00E10986" w:rsidRPr="000508B6" w:rsidDel="00F76D82">
        <w:rPr>
          <w:rFonts w:ascii="Times New Roman" w:eastAsia="Times New Roman" w:hAnsi="Times New Roman" w:cs="Times New Roman"/>
          <w:lang w:val="ro-MD"/>
        </w:rPr>
        <w:t>Banca Națională a Moldovei</w:t>
      </w:r>
      <w:r w:rsidRPr="000508B6" w:rsidDel="00F76D82">
        <w:rPr>
          <w:rFonts w:ascii="Times New Roman" w:eastAsia="Times New Roman" w:hAnsi="Times New Roman" w:cs="Times New Roman"/>
          <w:lang w:val="ro-MD"/>
        </w:rPr>
        <w:t>;</w:t>
      </w:r>
    </w:p>
    <w:p w14:paraId="6FDAD765" w14:textId="67D90CA7" w:rsidR="00B849E8" w:rsidRPr="000508B6" w:rsidDel="00F76D82" w:rsidRDefault="00B849E8" w:rsidP="00CF5AFA">
      <w:pPr>
        <w:pStyle w:val="Listparagraf"/>
        <w:numPr>
          <w:ilvl w:val="2"/>
          <w:numId w:val="269"/>
        </w:numPr>
        <w:spacing w:after="0" w:line="240" w:lineRule="auto"/>
        <w:ind w:left="0" w:firstLine="426"/>
        <w:jc w:val="both"/>
        <w:rPr>
          <w:rFonts w:ascii="Times New Roman" w:eastAsia="Times New Roman" w:hAnsi="Times New Roman" w:cs="Times New Roman"/>
          <w:lang w:val="ro-MD"/>
        </w:rPr>
      </w:pPr>
      <w:r w:rsidRPr="000508B6" w:rsidDel="00F76D82">
        <w:rPr>
          <w:rFonts w:ascii="Times New Roman" w:eastAsia="Times New Roman" w:hAnsi="Times New Roman" w:cs="Times New Roman"/>
          <w:lang w:val="ro-MD"/>
        </w:rPr>
        <w:t xml:space="preserve">să permită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sidDel="00F76D82">
        <w:rPr>
          <w:rFonts w:ascii="Times New Roman" w:eastAsia="Times New Roman" w:hAnsi="Times New Roman" w:cs="Times New Roman"/>
          <w:lang w:val="ro-MD"/>
        </w:rPr>
        <w:t xml:space="preserve">, auditorilor </w:t>
      </w:r>
      <w:r w:rsidR="006436C9" w:rsidRPr="000508B6" w:rsidDel="00F76D82">
        <w:rPr>
          <w:rFonts w:ascii="Times New Roman" w:eastAsia="Times New Roman" w:hAnsi="Times New Roman" w:cs="Times New Roman"/>
          <w:lang w:val="ro-MD"/>
        </w:rPr>
        <w:t>acest</w:t>
      </w:r>
      <w:r w:rsidR="00973758" w:rsidRPr="000508B6">
        <w:rPr>
          <w:rFonts w:ascii="Times New Roman" w:eastAsia="Times New Roman" w:hAnsi="Times New Roman" w:cs="Times New Roman"/>
          <w:lang w:val="ro-MD"/>
        </w:rPr>
        <w:t>u</w:t>
      </w:r>
      <w:r w:rsidR="006436C9" w:rsidRPr="000508B6" w:rsidDel="00F76D82">
        <w:rPr>
          <w:rFonts w:ascii="Times New Roman" w:eastAsia="Times New Roman" w:hAnsi="Times New Roman" w:cs="Times New Roman"/>
          <w:lang w:val="ro-MD"/>
        </w:rPr>
        <w:t xml:space="preserve">ia </w:t>
      </w:r>
      <w:proofErr w:type="spellStart"/>
      <w:r w:rsidRPr="000508B6" w:rsidDel="00F76D82">
        <w:rPr>
          <w:rFonts w:ascii="Times New Roman" w:eastAsia="Times New Roman" w:hAnsi="Times New Roman" w:cs="Times New Roman"/>
          <w:lang w:val="ro-MD"/>
        </w:rPr>
        <w:t>şi</w:t>
      </w:r>
      <w:proofErr w:type="spellEnd"/>
      <w:r w:rsidRPr="000508B6" w:rsidDel="00F76D82">
        <w:rPr>
          <w:rFonts w:ascii="Times New Roman" w:eastAsia="Times New Roman" w:hAnsi="Times New Roman" w:cs="Times New Roman"/>
          <w:lang w:val="ro-MD"/>
        </w:rPr>
        <w:t xml:space="preserve"> </w:t>
      </w:r>
      <w:r w:rsidR="00E10986" w:rsidRPr="000508B6" w:rsidDel="00F76D82">
        <w:rPr>
          <w:rFonts w:ascii="Times New Roman" w:eastAsia="Times New Roman" w:hAnsi="Times New Roman" w:cs="Times New Roman"/>
          <w:lang w:val="ro-MD"/>
        </w:rPr>
        <w:t>Băncii Național</w:t>
      </w:r>
      <w:r w:rsidR="006436C9" w:rsidRPr="000508B6" w:rsidDel="00F76D82">
        <w:rPr>
          <w:rFonts w:ascii="Times New Roman" w:eastAsia="Times New Roman" w:hAnsi="Times New Roman" w:cs="Times New Roman"/>
          <w:lang w:val="ro-MD"/>
        </w:rPr>
        <w:t>e</w:t>
      </w:r>
      <w:r w:rsidR="00E10986" w:rsidRPr="000508B6" w:rsidDel="00F76D82">
        <w:rPr>
          <w:rFonts w:ascii="Times New Roman" w:eastAsia="Times New Roman" w:hAnsi="Times New Roman" w:cs="Times New Roman"/>
          <w:lang w:val="ro-MD"/>
        </w:rPr>
        <w:t xml:space="preserve"> a Moldovei </w:t>
      </w:r>
      <w:r w:rsidRPr="000508B6" w:rsidDel="00F76D82">
        <w:rPr>
          <w:rFonts w:ascii="Times New Roman" w:eastAsia="Times New Roman" w:hAnsi="Times New Roman" w:cs="Times New Roman"/>
          <w:lang w:val="ro-MD"/>
        </w:rPr>
        <w:t>accesul efectiv la</w:t>
      </w:r>
      <w:r w:rsidR="00E10986" w:rsidRPr="000508B6" w:rsidDel="00F76D82">
        <w:rPr>
          <w:rFonts w:ascii="Times New Roman" w:eastAsia="Times New Roman" w:hAnsi="Times New Roman" w:cs="Times New Roman"/>
          <w:lang w:val="ro-MD"/>
        </w:rPr>
        <w:t xml:space="preserve"> </w:t>
      </w:r>
      <w:r w:rsidRPr="000508B6" w:rsidDel="00F76D82">
        <w:rPr>
          <w:rFonts w:ascii="Times New Roman" w:eastAsia="Times New Roman" w:hAnsi="Times New Roman" w:cs="Times New Roman"/>
          <w:lang w:val="ro-MD"/>
        </w:rPr>
        <w:t xml:space="preserve">datele privind </w:t>
      </w:r>
      <w:proofErr w:type="spellStart"/>
      <w:r w:rsidR="003F6899" w:rsidRPr="000508B6">
        <w:rPr>
          <w:rFonts w:ascii="Times New Roman" w:eastAsia="Times New Roman" w:hAnsi="Times New Roman" w:cs="Times New Roman"/>
          <w:lang w:val="ro-MD"/>
        </w:rPr>
        <w:t>funcţiile</w:t>
      </w:r>
      <w:proofErr w:type="spellEnd"/>
      <w:r w:rsidRPr="000508B6" w:rsidDel="00F76D82">
        <w:rPr>
          <w:rFonts w:ascii="Times New Roman" w:eastAsia="Times New Roman" w:hAnsi="Times New Roman" w:cs="Times New Roman"/>
          <w:lang w:val="ro-MD"/>
        </w:rPr>
        <w:t xml:space="preserve"> sau </w:t>
      </w:r>
      <w:proofErr w:type="spellStart"/>
      <w:r w:rsidR="003F6899" w:rsidRPr="000508B6">
        <w:rPr>
          <w:rFonts w:ascii="Times New Roman" w:eastAsia="Times New Roman" w:hAnsi="Times New Roman" w:cs="Times New Roman"/>
          <w:lang w:val="ro-MD"/>
        </w:rPr>
        <w:t>activităţile</w:t>
      </w:r>
      <w:proofErr w:type="spellEnd"/>
      <w:r w:rsidR="003F6899" w:rsidRPr="000508B6">
        <w:rPr>
          <w:rFonts w:ascii="Times New Roman" w:eastAsia="Times New Roman" w:hAnsi="Times New Roman" w:cs="Times New Roman"/>
          <w:lang w:val="ro-MD"/>
        </w:rPr>
        <w:t xml:space="preserve"> critice sau semnificative</w:t>
      </w:r>
      <w:r w:rsidR="003F6899" w:rsidRPr="000508B6" w:rsidDel="00F76D82">
        <w:rPr>
          <w:rFonts w:ascii="Times New Roman" w:eastAsia="Times New Roman" w:hAnsi="Times New Roman" w:cs="Times New Roman"/>
          <w:lang w:val="ro-MD"/>
        </w:rPr>
        <w:t xml:space="preserve"> </w:t>
      </w:r>
      <w:proofErr w:type="spellStart"/>
      <w:r w:rsidRPr="000508B6" w:rsidDel="00F76D82">
        <w:rPr>
          <w:rFonts w:ascii="Times New Roman" w:eastAsia="Times New Roman" w:hAnsi="Times New Roman" w:cs="Times New Roman"/>
          <w:lang w:val="ro-MD"/>
        </w:rPr>
        <w:t>externalizat</w:t>
      </w:r>
      <w:r w:rsidR="003F6899" w:rsidRPr="000508B6">
        <w:rPr>
          <w:rFonts w:ascii="Times New Roman" w:eastAsia="Times New Roman" w:hAnsi="Times New Roman" w:cs="Times New Roman"/>
          <w:lang w:val="ro-MD"/>
        </w:rPr>
        <w:t>e</w:t>
      </w:r>
      <w:proofErr w:type="spellEnd"/>
      <w:r w:rsidRPr="000508B6" w:rsidDel="00F76D82">
        <w:rPr>
          <w:rFonts w:ascii="Times New Roman" w:eastAsia="Times New Roman" w:hAnsi="Times New Roman" w:cs="Times New Roman"/>
          <w:lang w:val="ro-MD"/>
        </w:rPr>
        <w:t>;</w:t>
      </w:r>
    </w:p>
    <w:p w14:paraId="39862FBC" w14:textId="241DD53B" w:rsidR="00B849E8" w:rsidRPr="000508B6" w:rsidDel="00F76D82" w:rsidRDefault="00B849E8" w:rsidP="00CF5AFA">
      <w:pPr>
        <w:pStyle w:val="Listparagraf"/>
        <w:numPr>
          <w:ilvl w:val="2"/>
          <w:numId w:val="269"/>
        </w:numPr>
        <w:spacing w:after="0" w:line="240" w:lineRule="auto"/>
        <w:ind w:left="0" w:firstLine="426"/>
        <w:jc w:val="both"/>
        <w:rPr>
          <w:rFonts w:ascii="Times New Roman" w:eastAsia="Times New Roman" w:hAnsi="Times New Roman" w:cs="Times New Roman"/>
          <w:lang w:val="ro-MD"/>
        </w:rPr>
      </w:pPr>
      <w:r w:rsidRPr="000508B6" w:rsidDel="00F76D82">
        <w:rPr>
          <w:rFonts w:ascii="Times New Roman" w:eastAsia="Times New Roman" w:hAnsi="Times New Roman" w:cs="Times New Roman"/>
          <w:lang w:val="ro-MD"/>
        </w:rPr>
        <w:t>să permită accesul</w:t>
      </w:r>
      <w:r w:rsidR="00E10986" w:rsidRPr="000508B6" w:rsidDel="00F76D82">
        <w:rPr>
          <w:rFonts w:ascii="Times New Roman" w:eastAsia="Times New Roman" w:hAnsi="Times New Roman" w:cs="Times New Roman"/>
          <w:lang w:val="ro-MD"/>
        </w:rPr>
        <w:t xml:space="preserve"> Băncii Naționale a Moldovei </w:t>
      </w:r>
      <w:r w:rsidRPr="000508B6" w:rsidDel="00F76D82">
        <w:rPr>
          <w:rFonts w:ascii="Times New Roman" w:eastAsia="Times New Roman" w:hAnsi="Times New Roman" w:cs="Times New Roman"/>
          <w:lang w:val="ro-MD"/>
        </w:rPr>
        <w:t xml:space="preserve">în sediul în care </w:t>
      </w:r>
      <w:proofErr w:type="spellStart"/>
      <w:r w:rsidRPr="000508B6" w:rsidDel="00F76D82">
        <w:rPr>
          <w:rFonts w:ascii="Times New Roman" w:eastAsia="Times New Roman" w:hAnsi="Times New Roman" w:cs="Times New Roman"/>
          <w:lang w:val="ro-MD"/>
        </w:rPr>
        <w:t>îşi</w:t>
      </w:r>
      <w:proofErr w:type="spellEnd"/>
      <w:r w:rsidRPr="000508B6" w:rsidDel="00F76D82">
        <w:rPr>
          <w:rFonts w:ascii="Times New Roman" w:eastAsia="Times New Roman" w:hAnsi="Times New Roman" w:cs="Times New Roman"/>
          <w:lang w:val="ro-MD"/>
        </w:rPr>
        <w:t xml:space="preserve"> </w:t>
      </w:r>
      <w:proofErr w:type="spellStart"/>
      <w:r w:rsidRPr="000508B6" w:rsidDel="00F76D82">
        <w:rPr>
          <w:rFonts w:ascii="Times New Roman" w:eastAsia="Times New Roman" w:hAnsi="Times New Roman" w:cs="Times New Roman"/>
          <w:lang w:val="ro-MD"/>
        </w:rPr>
        <w:t>desfăşoară</w:t>
      </w:r>
      <w:proofErr w:type="spellEnd"/>
      <w:r w:rsidRPr="000508B6" w:rsidDel="00F76D82">
        <w:rPr>
          <w:rFonts w:ascii="Times New Roman" w:eastAsia="Times New Roman" w:hAnsi="Times New Roman" w:cs="Times New Roman"/>
          <w:lang w:val="ro-MD"/>
        </w:rPr>
        <w:t xml:space="preserve"> activitatea;</w:t>
      </w:r>
    </w:p>
    <w:p w14:paraId="6BE20474" w14:textId="03FD3FDE" w:rsidR="005E6146" w:rsidRPr="000508B6" w:rsidDel="00F76D82" w:rsidRDefault="00B849E8" w:rsidP="00CF5AFA">
      <w:pPr>
        <w:pStyle w:val="Listparagraf"/>
        <w:numPr>
          <w:ilvl w:val="2"/>
          <w:numId w:val="269"/>
        </w:numPr>
        <w:spacing w:after="0" w:line="240" w:lineRule="auto"/>
        <w:ind w:left="0" w:firstLine="426"/>
        <w:jc w:val="both"/>
        <w:rPr>
          <w:rFonts w:ascii="Times New Roman" w:eastAsia="Times New Roman" w:hAnsi="Times New Roman" w:cs="Times New Roman"/>
          <w:lang w:val="ro-MD"/>
        </w:rPr>
      </w:pPr>
      <w:r w:rsidRPr="000508B6" w:rsidDel="00F76D82">
        <w:rPr>
          <w:rFonts w:ascii="Times New Roman" w:eastAsia="Times New Roman" w:hAnsi="Times New Roman" w:cs="Times New Roman"/>
          <w:lang w:val="ro-MD"/>
        </w:rPr>
        <w:t xml:space="preserve">să creeze </w:t>
      </w:r>
      <w:proofErr w:type="spellStart"/>
      <w:r w:rsidRPr="000508B6" w:rsidDel="00F76D82">
        <w:rPr>
          <w:rFonts w:ascii="Times New Roman" w:eastAsia="Times New Roman" w:hAnsi="Times New Roman" w:cs="Times New Roman"/>
          <w:lang w:val="ro-MD"/>
        </w:rPr>
        <w:t>condiţii</w:t>
      </w:r>
      <w:proofErr w:type="spellEnd"/>
      <w:r w:rsidRPr="000508B6" w:rsidDel="00F76D82">
        <w:rPr>
          <w:rFonts w:ascii="Times New Roman" w:eastAsia="Times New Roman" w:hAnsi="Times New Roman" w:cs="Times New Roman"/>
          <w:lang w:val="ro-MD"/>
        </w:rPr>
        <w:t xml:space="preserve"> pentru ca </w:t>
      </w:r>
      <w:r w:rsidR="00E10986" w:rsidRPr="000508B6" w:rsidDel="00F76D82">
        <w:rPr>
          <w:rFonts w:ascii="Times New Roman" w:eastAsia="Times New Roman" w:hAnsi="Times New Roman" w:cs="Times New Roman"/>
          <w:lang w:val="ro-MD"/>
        </w:rPr>
        <w:t xml:space="preserve">Banca Națională a Moldovei </w:t>
      </w:r>
      <w:r w:rsidRPr="000508B6" w:rsidDel="00F76D82">
        <w:rPr>
          <w:rFonts w:ascii="Times New Roman" w:eastAsia="Times New Roman" w:hAnsi="Times New Roman" w:cs="Times New Roman"/>
          <w:lang w:val="ro-MD"/>
        </w:rPr>
        <w:t xml:space="preserve">să </w:t>
      </w:r>
      <w:proofErr w:type="spellStart"/>
      <w:r w:rsidRPr="000508B6" w:rsidDel="00F76D82">
        <w:rPr>
          <w:rFonts w:ascii="Times New Roman" w:eastAsia="Times New Roman" w:hAnsi="Times New Roman" w:cs="Times New Roman"/>
          <w:lang w:val="ro-MD"/>
        </w:rPr>
        <w:t>îşi</w:t>
      </w:r>
      <w:proofErr w:type="spellEnd"/>
      <w:r w:rsidRPr="000508B6" w:rsidDel="00F76D82">
        <w:rPr>
          <w:rFonts w:ascii="Times New Roman" w:eastAsia="Times New Roman" w:hAnsi="Times New Roman" w:cs="Times New Roman"/>
          <w:lang w:val="ro-MD"/>
        </w:rPr>
        <w:t xml:space="preserve"> exercite </w:t>
      </w:r>
      <w:proofErr w:type="spellStart"/>
      <w:r w:rsidRPr="000508B6" w:rsidDel="00F76D82">
        <w:rPr>
          <w:rFonts w:ascii="Times New Roman" w:eastAsia="Times New Roman" w:hAnsi="Times New Roman" w:cs="Times New Roman"/>
          <w:lang w:val="ro-MD"/>
        </w:rPr>
        <w:t>atribuţiile</w:t>
      </w:r>
      <w:proofErr w:type="spellEnd"/>
      <w:r w:rsidR="00CA1DC3" w:rsidRPr="000508B6">
        <w:rPr>
          <w:rFonts w:ascii="Times New Roman" w:eastAsia="Times New Roman" w:hAnsi="Times New Roman" w:cs="Times New Roman"/>
          <w:lang w:val="ro-MD"/>
        </w:rPr>
        <w:t>.</w:t>
      </w:r>
    </w:p>
    <w:p w14:paraId="018D1BE1" w14:textId="060E2FBB" w:rsidR="00792142" w:rsidRPr="000508B6" w:rsidRDefault="004F3465" w:rsidP="00396A5C">
      <w:pPr>
        <w:pStyle w:val="Listparagraf"/>
        <w:numPr>
          <w:ilvl w:val="0"/>
          <w:numId w:val="118"/>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Furnizorul care prestează servicii către un asigurător sau </w:t>
      </w:r>
      <w:proofErr w:type="spellStart"/>
      <w:r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din alte state membre în baza unui contract de externalizare, permite supraveghetorilor din statele respective sau persoanelor desemnate de către acesta să realizeze </w:t>
      </w:r>
      <w:r w:rsidR="000C4CBB" w:rsidRPr="000508B6">
        <w:rPr>
          <w:rFonts w:ascii="Times New Roman" w:eastAsia="Times New Roman" w:hAnsi="Times New Roman" w:cs="Times New Roman"/>
          <w:lang w:val="ro-MD"/>
        </w:rPr>
        <w:t>o inspecție</w:t>
      </w:r>
      <w:r w:rsidRPr="000508B6">
        <w:rPr>
          <w:rFonts w:ascii="Times New Roman" w:eastAsia="Times New Roman" w:hAnsi="Times New Roman" w:cs="Times New Roman"/>
          <w:lang w:val="ro-MD"/>
        </w:rPr>
        <w:t xml:space="preserve"> la sediul său.</w:t>
      </w:r>
    </w:p>
    <w:p w14:paraId="06637EBC" w14:textId="46D79BE5" w:rsidR="000C4CBB" w:rsidRPr="000508B6" w:rsidRDefault="003F6899" w:rsidP="000C4CBB">
      <w:pPr>
        <w:pStyle w:val="Listparagraf"/>
        <w:numPr>
          <w:ilvl w:val="0"/>
          <w:numId w:val="118"/>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În aplicarea prevederilor prezentului articol c</w:t>
      </w:r>
      <w:r w:rsidR="00494F9A" w:rsidRPr="000508B6">
        <w:rPr>
          <w:rFonts w:ascii="Times New Roman" w:eastAsia="Times New Roman" w:hAnsi="Times New Roman" w:cs="Times New Roman"/>
          <w:lang w:val="ro-MD"/>
        </w:rPr>
        <w:t>erințele</w:t>
      </w:r>
      <w:r w:rsidR="00D52774" w:rsidRPr="000508B6">
        <w:rPr>
          <w:rFonts w:ascii="Times New Roman" w:eastAsia="Times New Roman" w:hAnsi="Times New Roman" w:cs="Times New Roman"/>
          <w:lang w:val="ro-MD"/>
        </w:rPr>
        <w:t xml:space="preserve">, principiile și particularitățile externalizării se stabilesc prin actele normative ale Băncii </w:t>
      </w:r>
      <w:r w:rsidR="00494F9A" w:rsidRPr="000508B6">
        <w:rPr>
          <w:rFonts w:ascii="Times New Roman" w:eastAsia="Times New Roman" w:hAnsi="Times New Roman" w:cs="Times New Roman"/>
          <w:lang w:val="ro-MD"/>
        </w:rPr>
        <w:t>Naționale</w:t>
      </w:r>
      <w:r w:rsidR="00D52774" w:rsidRPr="000508B6">
        <w:rPr>
          <w:rFonts w:ascii="Times New Roman" w:eastAsia="Times New Roman" w:hAnsi="Times New Roman" w:cs="Times New Roman"/>
          <w:lang w:val="ro-MD"/>
        </w:rPr>
        <w:t xml:space="preserve"> a Moldovei. </w:t>
      </w:r>
    </w:p>
    <w:p w14:paraId="1EC0353B" w14:textId="77777777" w:rsidR="00C0722F" w:rsidRPr="000508B6" w:rsidRDefault="00C0722F" w:rsidP="008B530F">
      <w:pPr>
        <w:spacing w:after="0" w:line="240" w:lineRule="auto"/>
        <w:ind w:firstLine="426"/>
        <w:jc w:val="center"/>
        <w:rPr>
          <w:rFonts w:ascii="Times New Roman" w:eastAsia="Times New Roman" w:hAnsi="Times New Roman" w:cs="Times New Roman"/>
          <w:b/>
          <w:lang w:val="ro-MD"/>
        </w:rPr>
      </w:pPr>
      <w:bookmarkStart w:id="92" w:name="_Hlk193879041"/>
      <w:bookmarkStart w:id="93" w:name="_Hlk202966969"/>
    </w:p>
    <w:p w14:paraId="095D11A2" w14:textId="1A1B2752"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Secțiunea a </w:t>
      </w:r>
      <w:r w:rsidR="001A0C50" w:rsidRPr="000508B6">
        <w:rPr>
          <w:rFonts w:ascii="Times New Roman" w:eastAsia="Times New Roman" w:hAnsi="Times New Roman" w:cs="Times New Roman"/>
          <w:b/>
          <w:lang w:val="ro-MD"/>
        </w:rPr>
        <w:t>4</w:t>
      </w:r>
      <w:r w:rsidRPr="000508B6">
        <w:rPr>
          <w:rFonts w:ascii="Times New Roman" w:eastAsia="Times New Roman" w:hAnsi="Times New Roman" w:cs="Times New Roman"/>
          <w:b/>
          <w:lang w:val="ro-MD"/>
        </w:rPr>
        <w:t>-a</w:t>
      </w:r>
    </w:p>
    <w:p w14:paraId="3921A8AF" w14:textId="7762DB1C" w:rsidR="001A0C50" w:rsidRPr="000508B6" w:rsidRDefault="00B20067"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Publicarea </w:t>
      </w:r>
      <w:bookmarkStart w:id="94" w:name="_Hlk181185894"/>
      <w:r w:rsidRPr="000508B6">
        <w:rPr>
          <w:rFonts w:ascii="Times New Roman" w:eastAsia="Times New Roman" w:hAnsi="Times New Roman" w:cs="Times New Roman"/>
          <w:b/>
          <w:lang w:val="ro-MD"/>
        </w:rPr>
        <w:t xml:space="preserve">informațiilor </w:t>
      </w:r>
      <w:bookmarkEnd w:id="94"/>
    </w:p>
    <w:p w14:paraId="527A16EB" w14:textId="2189C1C3" w:rsidR="00F95829" w:rsidRPr="000508B6" w:rsidRDefault="00B20067"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 </w:t>
      </w:r>
    </w:p>
    <w:p w14:paraId="32AB647D" w14:textId="6DB87F31" w:rsidR="002510B1" w:rsidRPr="000508B6" w:rsidRDefault="002510B1" w:rsidP="002510B1">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F138A0" w:rsidRPr="000508B6">
        <w:rPr>
          <w:rFonts w:ascii="Times New Roman" w:hAnsi="Times New Roman" w:cs="Times New Roman"/>
          <w:b/>
          <w:lang w:val="ro-MD"/>
        </w:rPr>
        <w:t>3</w:t>
      </w:r>
      <w:r w:rsidR="00C8492A" w:rsidRPr="000508B6">
        <w:rPr>
          <w:rFonts w:ascii="Times New Roman" w:hAnsi="Times New Roman" w:cs="Times New Roman"/>
          <w:b/>
          <w:lang w:val="ro-MD"/>
        </w:rPr>
        <w:t>2</w:t>
      </w:r>
      <w:r w:rsidR="008C548E" w:rsidRPr="000508B6">
        <w:rPr>
          <w:rFonts w:ascii="Times New Roman" w:hAnsi="Times New Roman" w:cs="Times New Roman"/>
          <w:b/>
          <w:lang w:val="ro-MD"/>
        </w:rPr>
        <w:t>.</w:t>
      </w:r>
      <w:r w:rsidR="00F138A0" w:rsidRPr="000508B6">
        <w:rPr>
          <w:rFonts w:ascii="Times New Roman" w:hAnsi="Times New Roman" w:cs="Times New Roman"/>
          <w:b/>
          <w:lang w:val="ro-MD"/>
        </w:rPr>
        <w:t xml:space="preserve"> </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Raportul privind solvabilitatea și situația financiară: </w:t>
      </w:r>
      <w:r w:rsidR="00336CA1" w:rsidRPr="000508B6">
        <w:rPr>
          <w:rFonts w:ascii="Times New Roman" w:hAnsi="Times New Roman" w:cs="Times New Roman"/>
          <w:lang w:val="ro-MD"/>
        </w:rPr>
        <w:t>conținut</w:t>
      </w:r>
      <w:r w:rsidR="00336CA1" w:rsidRPr="000508B6">
        <w:rPr>
          <w:rFonts w:ascii="Times New Roman" w:hAnsi="Times New Roman" w:cs="Times New Roman"/>
          <w:b/>
          <w:lang w:val="ro-MD"/>
        </w:rPr>
        <w:t xml:space="preserve"> </w:t>
      </w:r>
    </w:p>
    <w:p w14:paraId="111A46CB" w14:textId="28DC5547" w:rsidR="005E3FF1" w:rsidRPr="000508B6" w:rsidRDefault="00D068AA" w:rsidP="00CF5AFA">
      <w:pPr>
        <w:pStyle w:val="Listparagraf"/>
        <w:numPr>
          <w:ilvl w:val="1"/>
          <w:numId w:val="293"/>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Asigurătorul sau </w:t>
      </w:r>
      <w:proofErr w:type="spellStart"/>
      <w:r w:rsidRPr="000508B6">
        <w:rPr>
          <w:rFonts w:ascii="Times New Roman" w:hAnsi="Times New Roman" w:cs="Times New Roman"/>
          <w:bCs/>
          <w:lang w:val="ro-MD"/>
        </w:rPr>
        <w:t>reasigurătorul</w:t>
      </w:r>
      <w:proofErr w:type="spellEnd"/>
      <w:r w:rsidR="001237C6" w:rsidRPr="000508B6">
        <w:rPr>
          <w:rFonts w:ascii="Times New Roman" w:hAnsi="Times New Roman" w:cs="Times New Roman"/>
          <w:bCs/>
          <w:lang w:val="ro-MD"/>
        </w:rPr>
        <w:t xml:space="preserve"> ținând </w:t>
      </w:r>
      <w:r w:rsidR="005E3FF1" w:rsidRPr="000508B6">
        <w:rPr>
          <w:rFonts w:ascii="Times New Roman" w:hAnsi="Times New Roman" w:cs="Times New Roman"/>
          <w:bCs/>
          <w:lang w:val="ro-MD"/>
        </w:rPr>
        <w:t xml:space="preserve">seama de informațiile </w:t>
      </w:r>
      <w:r w:rsidR="00A75122" w:rsidRPr="000508B6">
        <w:rPr>
          <w:rFonts w:ascii="Times New Roman" w:hAnsi="Times New Roman" w:cs="Times New Roman"/>
          <w:bCs/>
          <w:lang w:val="ro-MD"/>
        </w:rPr>
        <w:t>prevăzute la</w:t>
      </w:r>
      <w:r w:rsidR="005E3FF1" w:rsidRPr="000508B6">
        <w:rPr>
          <w:rFonts w:ascii="Times New Roman" w:hAnsi="Times New Roman" w:cs="Times New Roman"/>
          <w:bCs/>
          <w:lang w:val="ro-MD"/>
        </w:rPr>
        <w:t xml:space="preserve"> art. </w:t>
      </w:r>
      <w:r w:rsidR="00EE1710" w:rsidRPr="000508B6">
        <w:rPr>
          <w:rFonts w:ascii="Times New Roman" w:hAnsi="Times New Roman" w:cs="Times New Roman"/>
          <w:bCs/>
          <w:lang w:val="ro-MD"/>
        </w:rPr>
        <w:t>179</w:t>
      </w:r>
      <w:r w:rsidR="005E3FF1" w:rsidRPr="000508B6">
        <w:rPr>
          <w:rFonts w:ascii="Times New Roman" w:hAnsi="Times New Roman" w:cs="Times New Roman"/>
          <w:bCs/>
          <w:lang w:val="ro-MD"/>
        </w:rPr>
        <w:t xml:space="preserve"> alin.(</w:t>
      </w:r>
      <w:r w:rsidR="00F40474" w:rsidRPr="000508B6">
        <w:rPr>
          <w:rFonts w:ascii="Times New Roman" w:hAnsi="Times New Roman" w:cs="Times New Roman"/>
          <w:bCs/>
          <w:lang w:val="ro-MD"/>
        </w:rPr>
        <w:t>4</w:t>
      </w:r>
      <w:r w:rsidR="005E3FF1" w:rsidRPr="000508B6">
        <w:rPr>
          <w:rFonts w:ascii="Times New Roman" w:hAnsi="Times New Roman" w:cs="Times New Roman"/>
          <w:bCs/>
          <w:lang w:val="ro-MD"/>
        </w:rPr>
        <w:t>) și de principiile enunțate la alin. (</w:t>
      </w:r>
      <w:r w:rsidR="00F40474" w:rsidRPr="000508B6">
        <w:rPr>
          <w:rFonts w:ascii="Times New Roman" w:hAnsi="Times New Roman" w:cs="Times New Roman"/>
          <w:bCs/>
          <w:lang w:val="ro-MD"/>
        </w:rPr>
        <w:t>5</w:t>
      </w:r>
      <w:r w:rsidR="005E3FF1" w:rsidRPr="000508B6">
        <w:rPr>
          <w:rFonts w:ascii="Times New Roman" w:hAnsi="Times New Roman" w:cs="Times New Roman"/>
          <w:bCs/>
          <w:lang w:val="ro-MD"/>
        </w:rPr>
        <w:t>)</w:t>
      </w:r>
      <w:r w:rsidR="00DC4082" w:rsidRPr="000508B6">
        <w:rPr>
          <w:rFonts w:ascii="Times New Roman" w:hAnsi="Times New Roman" w:cs="Times New Roman"/>
          <w:bCs/>
          <w:lang w:val="ro-MD"/>
        </w:rPr>
        <w:t xml:space="preserve"> de la </w:t>
      </w:r>
      <w:r w:rsidR="001237C6" w:rsidRPr="000508B6">
        <w:rPr>
          <w:rFonts w:ascii="Times New Roman" w:hAnsi="Times New Roman" w:cs="Times New Roman"/>
          <w:bCs/>
          <w:lang w:val="ro-MD"/>
        </w:rPr>
        <w:t>același articol</w:t>
      </w:r>
      <w:r w:rsidR="005E3FF1" w:rsidRPr="000508B6">
        <w:rPr>
          <w:rFonts w:ascii="Times New Roman" w:hAnsi="Times New Roman" w:cs="Times New Roman"/>
          <w:bCs/>
          <w:lang w:val="ro-MD"/>
        </w:rPr>
        <w:t>, public</w:t>
      </w:r>
      <w:r w:rsidR="001237C6" w:rsidRPr="000508B6">
        <w:rPr>
          <w:rFonts w:ascii="Times New Roman" w:hAnsi="Times New Roman" w:cs="Times New Roman"/>
          <w:bCs/>
          <w:lang w:val="ro-MD"/>
        </w:rPr>
        <w:t>ă</w:t>
      </w:r>
      <w:r w:rsidR="005E3FF1" w:rsidRPr="000508B6">
        <w:rPr>
          <w:rFonts w:ascii="Times New Roman" w:hAnsi="Times New Roman" w:cs="Times New Roman"/>
          <w:bCs/>
          <w:lang w:val="ro-MD"/>
        </w:rPr>
        <w:t xml:space="preserve"> un raport </w:t>
      </w:r>
      <w:r w:rsidR="001237C6" w:rsidRPr="000508B6">
        <w:rPr>
          <w:rFonts w:ascii="Times New Roman" w:hAnsi="Times New Roman" w:cs="Times New Roman"/>
          <w:bCs/>
          <w:lang w:val="ro-MD"/>
        </w:rPr>
        <w:t xml:space="preserve">anual </w:t>
      </w:r>
      <w:r w:rsidR="005E3FF1" w:rsidRPr="000508B6">
        <w:rPr>
          <w:rFonts w:ascii="Times New Roman" w:hAnsi="Times New Roman" w:cs="Times New Roman"/>
          <w:bCs/>
          <w:lang w:val="ro-MD"/>
        </w:rPr>
        <w:t>privind solvabilitatea și situația financiară.</w:t>
      </w:r>
    </w:p>
    <w:p w14:paraId="5604C74C" w14:textId="3CE51CC3" w:rsidR="005E3FF1" w:rsidRPr="000508B6" w:rsidRDefault="005E3FF1" w:rsidP="00CF5AFA">
      <w:pPr>
        <w:pStyle w:val="Listparagraf"/>
        <w:numPr>
          <w:ilvl w:val="1"/>
          <w:numId w:val="293"/>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Raportul privind solvabilitatea și situația financiară este alcătuit din două secțiuni, identificate în mod clar și publicate împreună. Prima secțiune cuprinde informații destinate asiguraților și beneficiarilor</w:t>
      </w:r>
      <w:r w:rsidR="0085248C" w:rsidRPr="000508B6">
        <w:rPr>
          <w:rFonts w:ascii="Times New Roman" w:hAnsi="Times New Roman" w:cs="Times New Roman"/>
          <w:bCs/>
          <w:lang w:val="ro-MD"/>
        </w:rPr>
        <w:t xml:space="preserve"> asigurării</w:t>
      </w:r>
      <w:r w:rsidRPr="000508B6">
        <w:rPr>
          <w:rFonts w:ascii="Times New Roman" w:hAnsi="Times New Roman" w:cs="Times New Roman"/>
          <w:bCs/>
          <w:lang w:val="ro-MD"/>
        </w:rPr>
        <w:t>, iar a doua secțiune informații destinate profesioniștilor din piață.</w:t>
      </w:r>
      <w:r w:rsidR="009D286B" w:rsidRPr="000508B6">
        <w:rPr>
          <w:rFonts w:ascii="Times New Roman" w:hAnsi="Times New Roman" w:cs="Times New Roman"/>
          <w:bCs/>
          <w:lang w:val="ro-MD"/>
        </w:rPr>
        <w:t xml:space="preserve"> </w:t>
      </w:r>
    </w:p>
    <w:p w14:paraId="2EF80124" w14:textId="6F031473" w:rsidR="005E3FF1" w:rsidRPr="000508B6" w:rsidRDefault="000A773F" w:rsidP="00CF5AFA">
      <w:pPr>
        <w:pStyle w:val="Listparagraf"/>
        <w:numPr>
          <w:ilvl w:val="1"/>
          <w:numId w:val="293"/>
        </w:numPr>
        <w:spacing w:after="0" w:line="240" w:lineRule="auto"/>
        <w:ind w:left="0" w:firstLine="426"/>
        <w:jc w:val="both"/>
        <w:rPr>
          <w:rFonts w:ascii="Times New Roman" w:hAnsi="Times New Roman" w:cs="Times New Roman"/>
          <w:bCs/>
          <w:lang w:val="ro-MD"/>
        </w:rPr>
      </w:pPr>
      <w:bookmarkStart w:id="95" w:name="_Hlk203632116"/>
      <w:r w:rsidRPr="000508B6">
        <w:rPr>
          <w:rFonts w:ascii="Times New Roman" w:hAnsi="Times New Roman" w:cs="Times New Roman"/>
          <w:bCs/>
          <w:lang w:val="ro-MD"/>
        </w:rPr>
        <w:t xml:space="preserve">În secțiunea </w:t>
      </w:r>
      <w:r w:rsidR="005E3FF1" w:rsidRPr="000508B6">
        <w:rPr>
          <w:rFonts w:ascii="Times New Roman" w:hAnsi="Times New Roman" w:cs="Times New Roman"/>
          <w:bCs/>
          <w:lang w:val="ro-MD"/>
        </w:rPr>
        <w:t xml:space="preserve">care cuprinde informații destinate asiguraților și beneficiarilor </w:t>
      </w:r>
      <w:r w:rsidR="0085248C" w:rsidRPr="000508B6">
        <w:rPr>
          <w:rFonts w:ascii="Times New Roman" w:hAnsi="Times New Roman" w:cs="Times New Roman"/>
          <w:bCs/>
          <w:lang w:val="ro-MD"/>
        </w:rPr>
        <w:t xml:space="preserve">asigurării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publică </w:t>
      </w:r>
      <w:r w:rsidR="005E3FF1" w:rsidRPr="000508B6">
        <w:rPr>
          <w:rFonts w:ascii="Times New Roman" w:hAnsi="Times New Roman" w:cs="Times New Roman"/>
          <w:bCs/>
          <w:lang w:val="ro-MD"/>
        </w:rPr>
        <w:t>următoarele informații:</w:t>
      </w:r>
    </w:p>
    <w:p w14:paraId="1E9501C5" w14:textId="643470D8" w:rsidR="005E3FF1" w:rsidRPr="000508B6" w:rsidRDefault="005E3FF1" w:rsidP="00CF5AFA">
      <w:pPr>
        <w:pStyle w:val="Listparagraf"/>
        <w:numPr>
          <w:ilvl w:val="3"/>
          <w:numId w:val="292"/>
        </w:numPr>
        <w:spacing w:after="0" w:line="240" w:lineRule="auto"/>
        <w:ind w:left="0" w:firstLine="426"/>
        <w:jc w:val="both"/>
        <w:rPr>
          <w:rFonts w:ascii="Times New Roman" w:hAnsi="Times New Roman" w:cs="Times New Roman"/>
          <w:bCs/>
          <w:lang w:val="ro-MD"/>
        </w:rPr>
      </w:pPr>
      <w:bookmarkStart w:id="96" w:name="_Hlk221889242"/>
      <w:r w:rsidRPr="000508B6">
        <w:rPr>
          <w:rFonts w:ascii="Times New Roman" w:hAnsi="Times New Roman" w:cs="Times New Roman"/>
          <w:bCs/>
          <w:lang w:val="ro-MD"/>
        </w:rPr>
        <w:t xml:space="preserve">descrierea activității și a rezultatelor obținute de </w:t>
      </w:r>
      <w:r w:rsidR="004125E8" w:rsidRPr="000508B6">
        <w:rPr>
          <w:rFonts w:ascii="Times New Roman" w:hAnsi="Times New Roman" w:cs="Times New Roman"/>
          <w:bCs/>
          <w:lang w:val="ro-MD"/>
        </w:rPr>
        <w:t xml:space="preserve">asigurător sau </w:t>
      </w:r>
      <w:proofErr w:type="spellStart"/>
      <w:r w:rsidR="004125E8"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w:t>
      </w:r>
    </w:p>
    <w:p w14:paraId="2EC14DB9" w14:textId="4AD9EC0E" w:rsidR="005E3FF1" w:rsidRPr="000508B6" w:rsidRDefault="005E3FF1" w:rsidP="00CF5AFA">
      <w:pPr>
        <w:pStyle w:val="Listparagraf"/>
        <w:numPr>
          <w:ilvl w:val="3"/>
          <w:numId w:val="292"/>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descrierea managementul</w:t>
      </w:r>
      <w:r w:rsidR="008844E6" w:rsidRPr="000508B6">
        <w:rPr>
          <w:rFonts w:ascii="Times New Roman" w:hAnsi="Times New Roman" w:cs="Times New Roman"/>
          <w:bCs/>
          <w:lang w:val="ro-MD"/>
        </w:rPr>
        <w:t>ui</w:t>
      </w:r>
      <w:r w:rsidRPr="000508B6">
        <w:rPr>
          <w:rFonts w:ascii="Times New Roman" w:hAnsi="Times New Roman" w:cs="Times New Roman"/>
          <w:bCs/>
          <w:lang w:val="ro-MD"/>
        </w:rPr>
        <w:t xml:space="preserve"> capitalului și a profilului de risc al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 xml:space="preserve">, inclusiv în raport cu riscurile legate de durabilitate; </w:t>
      </w:r>
    </w:p>
    <w:bookmarkEnd w:id="92"/>
    <w:bookmarkEnd w:id="95"/>
    <w:p w14:paraId="7CDBFC30" w14:textId="593CDE75" w:rsidR="005E3FF1" w:rsidRPr="000508B6" w:rsidRDefault="00450837" w:rsidP="00CF5AFA">
      <w:pPr>
        <w:pStyle w:val="Listparagraf"/>
        <w:numPr>
          <w:ilvl w:val="3"/>
          <w:numId w:val="292"/>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după ca</w:t>
      </w:r>
      <w:r w:rsidR="000068BD" w:rsidRPr="000508B6">
        <w:rPr>
          <w:rFonts w:ascii="Times New Roman" w:hAnsi="Times New Roman" w:cs="Times New Roman"/>
          <w:bCs/>
          <w:lang w:val="ro-MD"/>
        </w:rPr>
        <w:t>z</w:t>
      </w:r>
      <w:r w:rsidRPr="000508B6">
        <w:rPr>
          <w:rFonts w:ascii="Times New Roman" w:hAnsi="Times New Roman" w:cs="Times New Roman"/>
          <w:bCs/>
          <w:lang w:val="ro-MD"/>
        </w:rPr>
        <w:t xml:space="preserve">, </w:t>
      </w:r>
      <w:r w:rsidR="00CB43AE" w:rsidRPr="000508B6">
        <w:rPr>
          <w:rFonts w:ascii="Times New Roman" w:hAnsi="Times New Roman" w:cs="Times New Roman"/>
          <w:bCs/>
          <w:lang w:val="ro-MD"/>
        </w:rPr>
        <w:t xml:space="preserve">mențiunea </w:t>
      </w:r>
      <w:r w:rsidR="001237C6" w:rsidRPr="000508B6">
        <w:rPr>
          <w:rFonts w:ascii="Times New Roman" w:hAnsi="Times New Roman" w:cs="Times New Roman"/>
          <w:bCs/>
          <w:lang w:val="ro-MD"/>
        </w:rPr>
        <w:t xml:space="preserve">privind faptul </w:t>
      </w:r>
      <w:r w:rsidRPr="000508B6">
        <w:rPr>
          <w:rFonts w:ascii="Times New Roman" w:hAnsi="Times New Roman" w:cs="Times New Roman"/>
          <w:bCs/>
          <w:lang w:val="ro-MD"/>
        </w:rPr>
        <w:t>că</w:t>
      </w:r>
      <w:r w:rsidR="005E3FF1" w:rsidRPr="000508B6">
        <w:rPr>
          <w:rFonts w:ascii="Times New Roman" w:hAnsi="Times New Roman" w:cs="Times New Roman"/>
          <w:bCs/>
          <w:lang w:val="ro-MD"/>
        </w:rPr>
        <w:t xml:space="preserv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5E3FF1" w:rsidRPr="000508B6">
        <w:rPr>
          <w:rFonts w:ascii="Times New Roman" w:hAnsi="Times New Roman" w:cs="Times New Roman"/>
          <w:bCs/>
          <w:lang w:val="ro-MD"/>
        </w:rPr>
        <w:t xml:space="preserve"> publică planurile menționate la </w:t>
      </w:r>
      <w:r w:rsidR="005E3FF1" w:rsidRPr="000508B6">
        <w:rPr>
          <w:rFonts w:ascii="Times New Roman" w:hAnsi="Times New Roman" w:cs="Times New Roman"/>
          <w:lang w:val="ro-MD"/>
        </w:rPr>
        <w:t>art</w:t>
      </w:r>
      <w:r w:rsidR="00A950B4" w:rsidRPr="000508B6">
        <w:rPr>
          <w:rFonts w:ascii="Times New Roman" w:hAnsi="Times New Roman" w:cs="Times New Roman"/>
          <w:lang w:val="ro-MD"/>
        </w:rPr>
        <w:t xml:space="preserve">. </w:t>
      </w:r>
      <w:r w:rsidRPr="000508B6">
        <w:rPr>
          <w:rFonts w:ascii="Times New Roman" w:hAnsi="Times New Roman" w:cs="Times New Roman"/>
          <w:lang w:val="ro-MD"/>
        </w:rPr>
        <w:t xml:space="preserve">25 </w:t>
      </w:r>
      <w:r w:rsidR="00074FE5" w:rsidRPr="000508B6">
        <w:rPr>
          <w:rFonts w:ascii="Times New Roman" w:hAnsi="Times New Roman" w:cs="Times New Roman"/>
          <w:lang w:val="ro-MD"/>
        </w:rPr>
        <w:t>alin.</w:t>
      </w:r>
      <w:r w:rsidR="00DC5671" w:rsidRPr="000508B6">
        <w:rPr>
          <w:rFonts w:ascii="Times New Roman" w:hAnsi="Times New Roman" w:cs="Times New Roman"/>
          <w:lang w:val="ro-MD"/>
        </w:rPr>
        <w:t xml:space="preserve"> </w:t>
      </w:r>
      <w:r w:rsidR="00074FE5" w:rsidRPr="000508B6">
        <w:rPr>
          <w:rFonts w:ascii="Times New Roman" w:hAnsi="Times New Roman" w:cs="Times New Roman"/>
          <w:lang w:val="ro-MD"/>
        </w:rPr>
        <w:t>(</w:t>
      </w:r>
      <w:r w:rsidR="00D97563" w:rsidRPr="000508B6">
        <w:rPr>
          <w:rFonts w:ascii="Times New Roman" w:hAnsi="Times New Roman" w:cs="Times New Roman"/>
          <w:lang w:val="ro-MD"/>
        </w:rPr>
        <w:t>9</w:t>
      </w:r>
      <w:r w:rsidR="00074FE5" w:rsidRPr="000508B6">
        <w:rPr>
          <w:rFonts w:ascii="Times New Roman" w:hAnsi="Times New Roman" w:cs="Times New Roman"/>
          <w:lang w:val="ro-MD"/>
        </w:rPr>
        <w:t>)</w:t>
      </w:r>
      <w:bookmarkEnd w:id="96"/>
      <w:r w:rsidR="00DE4B50" w:rsidRPr="000508B6">
        <w:rPr>
          <w:rFonts w:ascii="Times New Roman" w:hAnsi="Times New Roman" w:cs="Times New Roman"/>
          <w:lang w:val="ro-MD"/>
        </w:rPr>
        <w:t>.</w:t>
      </w:r>
    </w:p>
    <w:p w14:paraId="40652A49" w14:textId="0C4ADCB7" w:rsidR="005E3FF1" w:rsidRPr="000508B6" w:rsidRDefault="000A773F" w:rsidP="00CF5AFA">
      <w:pPr>
        <w:pStyle w:val="Listparagraf"/>
        <w:numPr>
          <w:ilvl w:val="1"/>
          <w:numId w:val="29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 În secțiunea </w:t>
      </w:r>
      <w:r w:rsidR="005E3FF1" w:rsidRPr="000508B6">
        <w:rPr>
          <w:rFonts w:ascii="Times New Roman" w:hAnsi="Times New Roman" w:cs="Times New Roman"/>
          <w:bCs/>
          <w:lang w:val="ro-MD"/>
        </w:rPr>
        <w:t xml:space="preserve">care cuprinde informații destinate profesioniștilor din piață </w:t>
      </w:r>
      <w:r w:rsidR="007419D3" w:rsidRPr="000508B6">
        <w:rPr>
          <w:rFonts w:ascii="Times New Roman" w:hAnsi="Times New Roman" w:cs="Times New Roman"/>
          <w:bCs/>
          <w:lang w:val="ro-MD"/>
        </w:rPr>
        <w:t xml:space="preserve">asigurătorul sau </w:t>
      </w:r>
      <w:proofErr w:type="spellStart"/>
      <w:r w:rsidR="007419D3" w:rsidRPr="000508B6">
        <w:rPr>
          <w:rFonts w:ascii="Times New Roman" w:hAnsi="Times New Roman" w:cs="Times New Roman"/>
          <w:bCs/>
          <w:lang w:val="ro-MD"/>
        </w:rPr>
        <w:t>reasigurătorul</w:t>
      </w:r>
      <w:proofErr w:type="spellEnd"/>
      <w:r w:rsidR="007419D3"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publică </w:t>
      </w:r>
      <w:r w:rsidR="005E3FF1" w:rsidRPr="000508B6">
        <w:rPr>
          <w:rFonts w:ascii="Times New Roman" w:hAnsi="Times New Roman" w:cs="Times New Roman"/>
          <w:bCs/>
          <w:lang w:val="ro-MD"/>
        </w:rPr>
        <w:t>următoarele informații</w:t>
      </w:r>
      <w:r w:rsidR="00B950E1" w:rsidRPr="000508B6">
        <w:rPr>
          <w:rFonts w:ascii="Times New Roman" w:hAnsi="Times New Roman" w:cs="Times New Roman"/>
          <w:bCs/>
          <w:lang w:val="ro-MD"/>
        </w:rPr>
        <w:t xml:space="preserve">: </w:t>
      </w:r>
    </w:p>
    <w:p w14:paraId="041400F9" w14:textId="36F36FAF" w:rsidR="005E3FF1" w:rsidRPr="000508B6" w:rsidRDefault="005E3FF1" w:rsidP="00CF5AFA">
      <w:pPr>
        <w:pStyle w:val="Listparagraf"/>
        <w:numPr>
          <w:ilvl w:val="0"/>
          <w:numId w:val="294"/>
        </w:numPr>
        <w:spacing w:after="0" w:line="240" w:lineRule="auto"/>
        <w:ind w:left="0" w:firstLine="426"/>
        <w:jc w:val="both"/>
        <w:rPr>
          <w:rFonts w:ascii="Times New Roman" w:hAnsi="Times New Roman" w:cs="Times New Roman"/>
          <w:bCs/>
          <w:lang w:val="ro-MD"/>
        </w:rPr>
      </w:pPr>
      <w:bookmarkStart w:id="97" w:name="_Hlk221889342"/>
      <w:r w:rsidRPr="000508B6">
        <w:rPr>
          <w:rFonts w:ascii="Times New Roman" w:hAnsi="Times New Roman" w:cs="Times New Roman"/>
          <w:bCs/>
          <w:lang w:val="ro-MD"/>
        </w:rPr>
        <w:t xml:space="preserve">descrierea activității și a rezultatelor obținute de </w:t>
      </w:r>
      <w:r w:rsidR="006651A3" w:rsidRPr="000508B6">
        <w:rPr>
          <w:rFonts w:ascii="Times New Roman" w:hAnsi="Times New Roman" w:cs="Times New Roman"/>
          <w:bCs/>
          <w:lang w:val="ro-MD"/>
        </w:rPr>
        <w:t xml:space="preserve">asigurător sau </w:t>
      </w:r>
      <w:proofErr w:type="spellStart"/>
      <w:r w:rsidR="006651A3"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w:t>
      </w:r>
    </w:p>
    <w:p w14:paraId="61874DBA" w14:textId="6071E966" w:rsidR="005E3FF1" w:rsidRPr="000508B6" w:rsidRDefault="005E3FF1" w:rsidP="00CF5AFA">
      <w:pPr>
        <w:pStyle w:val="Listparagraf"/>
        <w:numPr>
          <w:ilvl w:val="0"/>
          <w:numId w:val="29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descrierea sistemului de guvernanță;</w:t>
      </w:r>
    </w:p>
    <w:p w14:paraId="6FAB89B8" w14:textId="4E49BDF0" w:rsidR="005E3FF1" w:rsidRPr="000508B6" w:rsidRDefault="005E3FF1" w:rsidP="00CF5AFA">
      <w:pPr>
        <w:pStyle w:val="Listparagraf"/>
        <w:numPr>
          <w:ilvl w:val="0"/>
          <w:numId w:val="29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descriere</w:t>
      </w:r>
      <w:r w:rsidR="00577E48" w:rsidRPr="000508B6">
        <w:rPr>
          <w:rFonts w:ascii="Times New Roman" w:hAnsi="Times New Roman" w:cs="Times New Roman"/>
          <w:bCs/>
          <w:lang w:val="ro-MD"/>
        </w:rPr>
        <w:t>a</w:t>
      </w:r>
      <w:r w:rsidRPr="000508B6">
        <w:rPr>
          <w:rFonts w:ascii="Times New Roman" w:hAnsi="Times New Roman" w:cs="Times New Roman"/>
          <w:bCs/>
          <w:lang w:val="ro-MD"/>
        </w:rPr>
        <w:t>, separat pentru active, rezerve tehnice și alte obligații, a bazelor și metodelor folosite la evaluarea acestora;</w:t>
      </w:r>
    </w:p>
    <w:p w14:paraId="034CE5E8" w14:textId="28A5548A" w:rsidR="005E3FF1" w:rsidRPr="000508B6" w:rsidRDefault="005E3FF1" w:rsidP="00CF5AFA">
      <w:pPr>
        <w:pStyle w:val="Listparagraf"/>
        <w:numPr>
          <w:ilvl w:val="0"/>
          <w:numId w:val="29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descrierea managementului capitalului și a profilului de risc, cuprinzând cel puțin următoarele:</w:t>
      </w:r>
    </w:p>
    <w:bookmarkEnd w:id="97"/>
    <w:p w14:paraId="3E748CCC" w14:textId="36523A23" w:rsidR="005E3FF1" w:rsidRPr="000508B6" w:rsidRDefault="005E3FF1" w:rsidP="00CF5AFA">
      <w:pPr>
        <w:pStyle w:val="Listparagraf"/>
        <w:numPr>
          <w:ilvl w:val="0"/>
          <w:numId w:val="295"/>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structura și valoarea fondurilor proprii, precum și calitatea acestora;</w:t>
      </w:r>
    </w:p>
    <w:p w14:paraId="756EFEAB" w14:textId="045F37AE" w:rsidR="005E3FF1" w:rsidRPr="000508B6" w:rsidRDefault="005E3FF1" w:rsidP="00CF5AFA">
      <w:pPr>
        <w:pStyle w:val="Listparagraf"/>
        <w:numPr>
          <w:ilvl w:val="0"/>
          <w:numId w:val="295"/>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valoarea </w:t>
      </w:r>
      <w:r w:rsidR="000E58CF" w:rsidRPr="000508B6">
        <w:rPr>
          <w:rFonts w:ascii="Times New Roman" w:hAnsi="Times New Roman" w:cs="Times New Roman"/>
          <w:bCs/>
          <w:lang w:val="ro-MD"/>
        </w:rPr>
        <w:t>SCR</w:t>
      </w:r>
      <w:r w:rsidRPr="000508B6">
        <w:rPr>
          <w:rFonts w:ascii="Times New Roman" w:hAnsi="Times New Roman" w:cs="Times New Roman"/>
          <w:bCs/>
          <w:lang w:val="ro-MD"/>
        </w:rPr>
        <w:t xml:space="preserve"> și a </w:t>
      </w:r>
      <w:r w:rsidR="000E58CF" w:rsidRPr="000508B6">
        <w:rPr>
          <w:rFonts w:ascii="Times New Roman" w:hAnsi="Times New Roman" w:cs="Times New Roman"/>
          <w:bCs/>
          <w:lang w:val="ro-MD"/>
        </w:rPr>
        <w:t>MCR</w:t>
      </w:r>
      <w:r w:rsidRPr="000508B6">
        <w:rPr>
          <w:rFonts w:ascii="Times New Roman" w:hAnsi="Times New Roman" w:cs="Times New Roman"/>
          <w:bCs/>
          <w:lang w:val="ro-MD"/>
        </w:rPr>
        <w:t>;</w:t>
      </w:r>
    </w:p>
    <w:p w14:paraId="5C338866" w14:textId="7FC84298" w:rsidR="005E3FF1" w:rsidRPr="000508B6" w:rsidRDefault="005E3FF1" w:rsidP="00DE4225">
      <w:pPr>
        <w:pStyle w:val="Listparagraf"/>
        <w:numPr>
          <w:ilvl w:val="0"/>
          <w:numId w:val="295"/>
        </w:numPr>
        <w:tabs>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w:t>
      </w:r>
      <w:r w:rsidR="004924D7" w:rsidRPr="000508B6">
        <w:rPr>
          <w:rFonts w:ascii="Times New Roman" w:hAnsi="Times New Roman" w:cs="Times New Roman"/>
          <w:bCs/>
          <w:lang w:val="ro-MD"/>
        </w:rPr>
        <w:t xml:space="preserve">asigurătorilor sau </w:t>
      </w:r>
      <w:proofErr w:type="spellStart"/>
      <w:r w:rsidR="004924D7" w:rsidRPr="000508B6">
        <w:rPr>
          <w:rFonts w:ascii="Times New Roman" w:hAnsi="Times New Roman" w:cs="Times New Roman"/>
          <w:bCs/>
          <w:lang w:val="ro-MD"/>
        </w:rPr>
        <w:t>reasigurătrilor</w:t>
      </w:r>
      <w:proofErr w:type="spellEnd"/>
      <w:r w:rsidR="004924D7" w:rsidRPr="000508B6">
        <w:rPr>
          <w:rFonts w:ascii="Times New Roman" w:hAnsi="Times New Roman" w:cs="Times New Roman"/>
          <w:bCs/>
          <w:lang w:val="ro-MD"/>
        </w:rPr>
        <w:t xml:space="preserve"> </w:t>
      </w:r>
      <w:r w:rsidRPr="000508B6">
        <w:rPr>
          <w:rFonts w:ascii="Times New Roman" w:hAnsi="Times New Roman" w:cs="Times New Roman"/>
          <w:bCs/>
          <w:lang w:val="ro-MD"/>
        </w:rPr>
        <w:t>relevan</w:t>
      </w:r>
      <w:r w:rsidR="004924D7" w:rsidRPr="000508B6">
        <w:rPr>
          <w:rFonts w:ascii="Times New Roman" w:hAnsi="Times New Roman" w:cs="Times New Roman"/>
          <w:bCs/>
          <w:lang w:val="ro-MD"/>
        </w:rPr>
        <w:t>ți</w:t>
      </w:r>
      <w:r w:rsidRPr="000508B6">
        <w:rPr>
          <w:rFonts w:ascii="Times New Roman" w:hAnsi="Times New Roman" w:cs="Times New Roman"/>
          <w:bCs/>
          <w:lang w:val="ro-MD"/>
        </w:rPr>
        <w:t xml:space="preserve"> pentru stabilitatea sistemelor financiare din </w:t>
      </w:r>
      <w:r w:rsidR="000A135C" w:rsidRPr="000508B6">
        <w:rPr>
          <w:rFonts w:ascii="Times New Roman" w:hAnsi="Times New Roman" w:cs="Times New Roman"/>
          <w:bCs/>
          <w:lang w:val="ro-MD"/>
        </w:rPr>
        <w:t>Uniunea Europeană</w:t>
      </w:r>
      <w:r w:rsidRPr="000508B6">
        <w:rPr>
          <w:rFonts w:ascii="Times New Roman" w:hAnsi="Times New Roman" w:cs="Times New Roman"/>
          <w:bCs/>
          <w:lang w:val="ro-MD"/>
        </w:rPr>
        <w:t xml:space="preserve">, informații privind </w:t>
      </w:r>
      <w:proofErr w:type="spellStart"/>
      <w:r w:rsidRPr="000508B6">
        <w:rPr>
          <w:rFonts w:ascii="Times New Roman" w:hAnsi="Times New Roman" w:cs="Times New Roman"/>
          <w:bCs/>
          <w:lang w:val="ro-MD"/>
        </w:rPr>
        <w:t>senzitivitatea</w:t>
      </w:r>
      <w:proofErr w:type="spellEnd"/>
      <w:r w:rsidRPr="000508B6">
        <w:rPr>
          <w:rFonts w:ascii="Times New Roman" w:hAnsi="Times New Roman" w:cs="Times New Roman"/>
          <w:bCs/>
          <w:lang w:val="ro-MD"/>
        </w:rPr>
        <w:t xml:space="preserve"> la risc;</w:t>
      </w:r>
    </w:p>
    <w:p w14:paraId="3191C238" w14:textId="4B5F8471" w:rsidR="005E3FF1" w:rsidRPr="000508B6" w:rsidRDefault="000A135C" w:rsidP="00DE4225">
      <w:pPr>
        <w:pStyle w:val="Listparagraf"/>
        <w:numPr>
          <w:ilvl w:val="0"/>
          <w:numId w:val="295"/>
        </w:numPr>
        <w:tabs>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după caz, </w:t>
      </w:r>
      <w:r w:rsidR="005E3FF1" w:rsidRPr="000508B6">
        <w:rPr>
          <w:rFonts w:ascii="Times New Roman" w:hAnsi="Times New Roman" w:cs="Times New Roman"/>
          <w:bCs/>
          <w:lang w:val="ro-MD"/>
        </w:rPr>
        <w:t xml:space="preserve">informații care permit o bună înțelegere a principalelor diferențe dintre ipotezele care stau la baza formulei standard și cele care stau la baza modelului intern utilizat la calcularea </w:t>
      </w:r>
      <w:r w:rsidR="000E58CF" w:rsidRPr="000508B6">
        <w:rPr>
          <w:rFonts w:ascii="Times New Roman" w:hAnsi="Times New Roman" w:cs="Times New Roman"/>
          <w:bCs/>
          <w:lang w:val="ro-MD"/>
        </w:rPr>
        <w:t>SCR</w:t>
      </w:r>
      <w:r w:rsidR="005E3FF1" w:rsidRPr="000508B6">
        <w:rPr>
          <w:rFonts w:ascii="Times New Roman" w:hAnsi="Times New Roman" w:cs="Times New Roman"/>
          <w:bCs/>
          <w:lang w:val="ro-MD"/>
        </w:rPr>
        <w:t>;</w:t>
      </w:r>
    </w:p>
    <w:p w14:paraId="5A9463D2" w14:textId="79F5F935" w:rsidR="005E3FF1" w:rsidRPr="000508B6" w:rsidRDefault="000A135C" w:rsidP="00DE4225">
      <w:pPr>
        <w:pStyle w:val="Listparagraf"/>
        <w:numPr>
          <w:ilvl w:val="0"/>
          <w:numId w:val="295"/>
        </w:numPr>
        <w:tabs>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după caz, </w:t>
      </w:r>
      <w:r w:rsidR="005E3FF1" w:rsidRPr="000508B6">
        <w:rPr>
          <w:rFonts w:ascii="Times New Roman" w:hAnsi="Times New Roman" w:cs="Times New Roman"/>
          <w:bCs/>
          <w:lang w:val="ro-MD"/>
        </w:rPr>
        <w:t xml:space="preserve">valoarea la care se ridică nerespectarea </w:t>
      </w:r>
      <w:r w:rsidR="00E45633" w:rsidRPr="000508B6">
        <w:rPr>
          <w:rFonts w:ascii="Times New Roman" w:hAnsi="Times New Roman" w:cs="Times New Roman"/>
          <w:bCs/>
          <w:lang w:val="ro-MD"/>
        </w:rPr>
        <w:t>MCR</w:t>
      </w:r>
      <w:r w:rsidR="005E3FF1" w:rsidRPr="000508B6">
        <w:rPr>
          <w:rFonts w:ascii="Times New Roman" w:hAnsi="Times New Roman" w:cs="Times New Roman"/>
          <w:bCs/>
          <w:lang w:val="ro-MD"/>
        </w:rPr>
        <w:t xml:space="preserve"> sau nerespectarea semnificativă a </w:t>
      </w:r>
      <w:r w:rsidR="00E45633" w:rsidRPr="000508B6">
        <w:rPr>
          <w:rFonts w:ascii="Times New Roman" w:hAnsi="Times New Roman" w:cs="Times New Roman"/>
          <w:bCs/>
          <w:lang w:val="ro-MD"/>
        </w:rPr>
        <w:t>SCR</w:t>
      </w:r>
      <w:r w:rsidR="005E3FF1" w:rsidRPr="000508B6">
        <w:rPr>
          <w:rFonts w:ascii="Times New Roman" w:hAnsi="Times New Roman" w:cs="Times New Roman"/>
          <w:bCs/>
          <w:lang w:val="ro-MD"/>
        </w:rPr>
        <w:t xml:space="preserve"> pe parcursul perioadei de raportare, chiar dacă situația a fost ulterior remediată, împreună cu o explicație privind cauzele și consecințele </w:t>
      </w:r>
      <w:r w:rsidR="00580BCB" w:rsidRPr="000508B6">
        <w:rPr>
          <w:rFonts w:ascii="Times New Roman" w:hAnsi="Times New Roman" w:cs="Times New Roman"/>
          <w:bCs/>
          <w:lang w:val="ro-MD"/>
        </w:rPr>
        <w:t>acesteia</w:t>
      </w:r>
      <w:r w:rsidR="005E3FF1" w:rsidRPr="000508B6">
        <w:rPr>
          <w:rFonts w:ascii="Times New Roman" w:hAnsi="Times New Roman" w:cs="Times New Roman"/>
          <w:bCs/>
          <w:lang w:val="ro-MD"/>
        </w:rPr>
        <w:t>, precum și măsurile de remediere care au fost aplicate;</w:t>
      </w:r>
    </w:p>
    <w:p w14:paraId="177482B7" w14:textId="70482ADF" w:rsidR="005E3FF1" w:rsidRPr="000508B6" w:rsidRDefault="000A135C" w:rsidP="00CF5AFA">
      <w:pPr>
        <w:pStyle w:val="Listparagraf"/>
        <w:numPr>
          <w:ilvl w:val="0"/>
          <w:numId w:val="29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după caz, </w:t>
      </w:r>
      <w:r w:rsidR="00577E48" w:rsidRPr="000508B6">
        <w:rPr>
          <w:rFonts w:ascii="Times New Roman" w:hAnsi="Times New Roman" w:cs="Times New Roman"/>
          <w:bCs/>
          <w:lang w:val="ro-MD"/>
        </w:rPr>
        <w:t>nivelul de semnificație al expunerilor</w:t>
      </w:r>
      <w:r w:rsidR="00B950E1" w:rsidRPr="000508B6">
        <w:rPr>
          <w:rFonts w:ascii="Times New Roman" w:hAnsi="Times New Roman" w:cs="Times New Roman"/>
          <w:bCs/>
          <w:lang w:val="ro-MD"/>
        </w:rPr>
        <w:t xml:space="preserve"> </w:t>
      </w:r>
      <w:r w:rsidR="00577E48" w:rsidRPr="000508B6">
        <w:rPr>
          <w:rFonts w:ascii="Times New Roman" w:hAnsi="Times New Roman" w:cs="Times New Roman"/>
          <w:bCs/>
          <w:lang w:val="ro-MD"/>
        </w:rPr>
        <w:t>la riscurile legate de</w:t>
      </w:r>
      <w:r w:rsidR="005E3FF1" w:rsidRPr="000508B6">
        <w:rPr>
          <w:rFonts w:ascii="Times New Roman" w:hAnsi="Times New Roman" w:cs="Times New Roman"/>
          <w:bCs/>
          <w:lang w:val="ro-MD"/>
        </w:rPr>
        <w:t xml:space="preserve"> schimbările climatice în urma </w:t>
      </w:r>
      <w:r w:rsidR="000206BA" w:rsidRPr="000508B6">
        <w:rPr>
          <w:rFonts w:ascii="Times New Roman" w:hAnsi="Times New Roman" w:cs="Times New Roman"/>
          <w:bCs/>
          <w:lang w:val="ro-MD"/>
        </w:rPr>
        <w:t>auto</w:t>
      </w:r>
      <w:r w:rsidR="005E3FF1" w:rsidRPr="000508B6">
        <w:rPr>
          <w:rFonts w:ascii="Times New Roman" w:hAnsi="Times New Roman" w:cs="Times New Roman"/>
          <w:bCs/>
          <w:lang w:val="ro-MD"/>
        </w:rPr>
        <w:t xml:space="preserve">evaluării </w:t>
      </w:r>
      <w:r w:rsidR="00577E48" w:rsidRPr="000508B6">
        <w:rPr>
          <w:rFonts w:ascii="Times New Roman" w:hAnsi="Times New Roman" w:cs="Times New Roman"/>
          <w:bCs/>
          <w:lang w:val="ro-MD"/>
        </w:rPr>
        <w:t>prevăzute</w:t>
      </w:r>
      <w:r w:rsidR="005E3FF1" w:rsidRPr="000508B6">
        <w:rPr>
          <w:rFonts w:ascii="Times New Roman" w:hAnsi="Times New Roman" w:cs="Times New Roman"/>
          <w:bCs/>
          <w:lang w:val="ro-MD"/>
        </w:rPr>
        <w:t xml:space="preserve"> la art</w:t>
      </w:r>
      <w:r w:rsidR="00355D31" w:rsidRPr="000508B6">
        <w:rPr>
          <w:rFonts w:ascii="Times New Roman" w:hAnsi="Times New Roman" w:cs="Times New Roman"/>
          <w:bCs/>
          <w:lang w:val="ro-MD"/>
        </w:rPr>
        <w:t>.</w:t>
      </w:r>
      <w:r w:rsidR="005E3FF1" w:rsidRPr="000508B6">
        <w:rPr>
          <w:rFonts w:ascii="Times New Roman" w:hAnsi="Times New Roman" w:cs="Times New Roman"/>
          <w:bCs/>
          <w:lang w:val="ro-MD"/>
        </w:rPr>
        <w:t xml:space="preserve"> </w:t>
      </w:r>
      <w:r w:rsidR="000301B2" w:rsidRPr="000508B6">
        <w:rPr>
          <w:rFonts w:ascii="Times New Roman" w:hAnsi="Times New Roman" w:cs="Times New Roman"/>
          <w:bCs/>
          <w:lang w:val="ro-MD"/>
        </w:rPr>
        <w:t xml:space="preserve">27 </w:t>
      </w:r>
      <w:r w:rsidR="005E3FF1" w:rsidRPr="000508B6">
        <w:rPr>
          <w:rFonts w:ascii="Times New Roman" w:hAnsi="Times New Roman" w:cs="Times New Roman"/>
          <w:bCs/>
          <w:lang w:val="ro-MD"/>
        </w:rPr>
        <w:t>alin.</w:t>
      </w:r>
      <w:r w:rsidR="00DC5671" w:rsidRPr="000508B6">
        <w:rPr>
          <w:rFonts w:ascii="Times New Roman" w:hAnsi="Times New Roman" w:cs="Times New Roman"/>
          <w:bCs/>
          <w:lang w:val="ro-MD"/>
        </w:rPr>
        <w:t xml:space="preserve"> </w:t>
      </w:r>
      <w:r w:rsidR="005E3FF1" w:rsidRPr="000508B6">
        <w:rPr>
          <w:rFonts w:ascii="Times New Roman" w:hAnsi="Times New Roman" w:cs="Times New Roman"/>
          <w:bCs/>
          <w:lang w:val="ro-MD"/>
        </w:rPr>
        <w:t xml:space="preserve">(1) și, </w:t>
      </w:r>
      <w:r w:rsidR="00B950E1" w:rsidRPr="000508B6">
        <w:rPr>
          <w:rFonts w:ascii="Times New Roman" w:hAnsi="Times New Roman" w:cs="Times New Roman"/>
          <w:bCs/>
          <w:lang w:val="ro-MD"/>
        </w:rPr>
        <w:t>măsurile adoptate</w:t>
      </w:r>
      <w:r w:rsidR="005E3FF1" w:rsidRPr="000508B6">
        <w:rPr>
          <w:rFonts w:ascii="Times New Roman" w:hAnsi="Times New Roman" w:cs="Times New Roman"/>
          <w:bCs/>
          <w:lang w:val="ro-MD"/>
        </w:rPr>
        <w:t>;</w:t>
      </w:r>
    </w:p>
    <w:p w14:paraId="5A17DA92" w14:textId="55B7685C" w:rsidR="005E3FF1" w:rsidRPr="000508B6" w:rsidRDefault="000A773F" w:rsidP="00CF5AFA">
      <w:pPr>
        <w:pStyle w:val="Listparagraf"/>
        <w:numPr>
          <w:ilvl w:val="0"/>
          <w:numId w:val="29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după caz, </w:t>
      </w:r>
      <w:r w:rsidR="005E3FF1" w:rsidRPr="000508B6">
        <w:rPr>
          <w:rFonts w:ascii="Times New Roman" w:hAnsi="Times New Roman" w:cs="Times New Roman"/>
          <w:lang w:val="ro-MD"/>
        </w:rPr>
        <w:t xml:space="preserve">o </w:t>
      </w:r>
      <w:r w:rsidR="00CB43AE" w:rsidRPr="000508B6">
        <w:rPr>
          <w:rFonts w:ascii="Times New Roman" w:hAnsi="Times New Roman" w:cs="Times New Roman"/>
          <w:lang w:val="ro-MD"/>
        </w:rPr>
        <w:t>mențiune</w:t>
      </w:r>
      <w:r w:rsidRPr="000508B6">
        <w:rPr>
          <w:rFonts w:ascii="Times New Roman" w:hAnsi="Times New Roman" w:cs="Times New Roman"/>
          <w:lang w:val="ro-MD"/>
        </w:rPr>
        <w:t xml:space="preserve"> că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5E3FF1" w:rsidRPr="000508B6">
        <w:rPr>
          <w:rFonts w:ascii="Times New Roman" w:hAnsi="Times New Roman" w:cs="Times New Roman"/>
          <w:lang w:val="ro-MD"/>
        </w:rPr>
        <w:t xml:space="preserve"> publică planurile menționate </w:t>
      </w:r>
      <w:r w:rsidR="00074FE5" w:rsidRPr="000508B6">
        <w:rPr>
          <w:rFonts w:ascii="Times New Roman" w:hAnsi="Times New Roman" w:cs="Times New Roman"/>
          <w:lang w:val="ro-MD"/>
        </w:rPr>
        <w:t>la art.</w:t>
      </w:r>
      <w:r w:rsidR="00DC5671" w:rsidRPr="000508B6">
        <w:rPr>
          <w:rFonts w:ascii="Times New Roman" w:hAnsi="Times New Roman" w:cs="Times New Roman"/>
          <w:lang w:val="ro-MD"/>
        </w:rPr>
        <w:t xml:space="preserve"> </w:t>
      </w:r>
      <w:r w:rsidR="006A65E4" w:rsidRPr="000508B6">
        <w:rPr>
          <w:rFonts w:ascii="Times New Roman" w:hAnsi="Times New Roman" w:cs="Times New Roman"/>
          <w:lang w:val="ro-MD"/>
        </w:rPr>
        <w:t xml:space="preserve">25 </w:t>
      </w:r>
      <w:r w:rsidR="00074FE5" w:rsidRPr="000508B6">
        <w:rPr>
          <w:rFonts w:ascii="Times New Roman" w:hAnsi="Times New Roman" w:cs="Times New Roman"/>
          <w:lang w:val="ro-MD"/>
        </w:rPr>
        <w:t>alin. (</w:t>
      </w:r>
      <w:r w:rsidR="00D97563" w:rsidRPr="000508B6">
        <w:rPr>
          <w:rFonts w:ascii="Times New Roman" w:hAnsi="Times New Roman" w:cs="Times New Roman"/>
          <w:lang w:val="ro-MD"/>
        </w:rPr>
        <w:t>9</w:t>
      </w:r>
      <w:r w:rsidR="00074FE5" w:rsidRPr="000508B6">
        <w:rPr>
          <w:rFonts w:ascii="Times New Roman" w:hAnsi="Times New Roman" w:cs="Times New Roman"/>
          <w:lang w:val="ro-MD"/>
        </w:rPr>
        <w:t>)</w:t>
      </w:r>
      <w:r w:rsidR="005E3FF1" w:rsidRPr="000508B6">
        <w:rPr>
          <w:rFonts w:ascii="Times New Roman" w:hAnsi="Times New Roman" w:cs="Times New Roman"/>
          <w:lang w:val="ro-MD"/>
        </w:rPr>
        <w:t>;</w:t>
      </w:r>
    </w:p>
    <w:p w14:paraId="1F75A9FF" w14:textId="163E286D" w:rsidR="005E3FF1" w:rsidRPr="000508B6" w:rsidRDefault="000F17CE" w:rsidP="00CF5AFA">
      <w:pPr>
        <w:pStyle w:val="Listparagraf"/>
        <w:numPr>
          <w:ilvl w:val="0"/>
          <w:numId w:val="29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lastRenderedPageBreak/>
        <w:t xml:space="preserve">elementele </w:t>
      </w:r>
      <w:r w:rsidR="00B950E1" w:rsidRPr="000508B6">
        <w:rPr>
          <w:rFonts w:ascii="Times New Roman" w:hAnsi="Times New Roman" w:cs="Times New Roman"/>
          <w:bCs/>
          <w:lang w:val="ro-MD"/>
        </w:rPr>
        <w:t xml:space="preserve">prevăzute de </w:t>
      </w:r>
      <w:r w:rsidR="002E7AC6" w:rsidRPr="000508B6">
        <w:rPr>
          <w:rFonts w:ascii="Times New Roman" w:hAnsi="Times New Roman" w:cs="Times New Roman"/>
          <w:bCs/>
          <w:lang w:val="ro-MD"/>
        </w:rPr>
        <w:t xml:space="preserve">actele normative ale Băncii Naționale a Moldovei privind întocmirea și publicarea Raportului privind solvabilitatea și situația financiară </w:t>
      </w:r>
      <w:r w:rsidR="00B950E1" w:rsidRPr="000508B6">
        <w:rPr>
          <w:rFonts w:ascii="Times New Roman" w:hAnsi="Times New Roman" w:cs="Times New Roman"/>
          <w:lang w:val="ro-MD"/>
        </w:rPr>
        <w:t>referitoare la planurile prevăzute la art.</w:t>
      </w:r>
      <w:r w:rsidR="00DC5671" w:rsidRPr="000508B6">
        <w:rPr>
          <w:rFonts w:ascii="Times New Roman" w:hAnsi="Times New Roman" w:cs="Times New Roman"/>
          <w:lang w:val="ro-MD"/>
        </w:rPr>
        <w:t xml:space="preserve"> </w:t>
      </w:r>
      <w:r w:rsidR="00B950E1" w:rsidRPr="000508B6">
        <w:rPr>
          <w:rFonts w:ascii="Times New Roman" w:hAnsi="Times New Roman" w:cs="Times New Roman"/>
          <w:lang w:val="ro-MD"/>
        </w:rPr>
        <w:t>25 alin. (9)</w:t>
      </w:r>
      <w:r w:rsidR="00080D73" w:rsidRPr="000508B6">
        <w:rPr>
          <w:rFonts w:ascii="Times New Roman" w:hAnsi="Times New Roman" w:cs="Times New Roman"/>
          <w:lang w:val="ro-MD"/>
        </w:rPr>
        <w:t>.</w:t>
      </w:r>
      <w:r w:rsidR="00080D73" w:rsidRPr="000508B6" w:rsidDel="00080D73">
        <w:rPr>
          <w:rFonts w:ascii="Times New Roman" w:hAnsi="Times New Roman" w:cs="Times New Roman"/>
          <w:lang w:val="ro-MD"/>
        </w:rPr>
        <w:t xml:space="preserve"> </w:t>
      </w:r>
    </w:p>
    <w:p w14:paraId="1FF80CAD" w14:textId="1766D0E6" w:rsidR="00726D0C" w:rsidRPr="000508B6" w:rsidRDefault="00726D0C" w:rsidP="00726D0C">
      <w:pPr>
        <w:pStyle w:val="Listparagraf"/>
        <w:numPr>
          <w:ilvl w:val="1"/>
          <w:numId w:val="293"/>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Informațiile prevăzute la alin. (4) sunt prezentate fie integral, fie prin trimiteri la informații echivalente, atât ca natură, cât și ca sferă, care au fost făcute publice în temeiul altor dispoziții juridice sau de reglementare</w:t>
      </w:r>
      <w:r w:rsidR="00DC5671" w:rsidRPr="000508B6">
        <w:rPr>
          <w:rFonts w:ascii="Times New Roman" w:hAnsi="Times New Roman" w:cs="Times New Roman"/>
          <w:bCs/>
          <w:lang w:val="ro-MD"/>
        </w:rPr>
        <w:t>.</w:t>
      </w:r>
    </w:p>
    <w:p w14:paraId="34AF0EFB" w14:textId="3BBB0F3F" w:rsidR="005E3FF1" w:rsidRPr="000508B6" w:rsidRDefault="005E3FF1" w:rsidP="00CF5AFA">
      <w:pPr>
        <w:pStyle w:val="Listparagraf"/>
        <w:numPr>
          <w:ilvl w:val="1"/>
          <w:numId w:val="293"/>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000D2AE3"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aplică prima de echilibrare menționată la art. </w:t>
      </w:r>
      <w:r w:rsidR="001E0F81" w:rsidRPr="000508B6">
        <w:rPr>
          <w:rFonts w:ascii="Times New Roman" w:hAnsi="Times New Roman" w:cs="Times New Roman"/>
          <w:bCs/>
          <w:lang w:val="ro-MD"/>
        </w:rPr>
        <w:t>45</w:t>
      </w:r>
      <w:r w:rsidR="00574B17" w:rsidRPr="000508B6">
        <w:rPr>
          <w:rFonts w:ascii="Times New Roman" w:hAnsi="Times New Roman" w:cs="Times New Roman"/>
          <w:bCs/>
          <w:lang w:val="ro-MD"/>
        </w:rPr>
        <w:t>,</w:t>
      </w:r>
      <w:r w:rsidR="001E0F81" w:rsidRPr="000508B6">
        <w:rPr>
          <w:rFonts w:ascii="Times New Roman" w:hAnsi="Times New Roman" w:cs="Times New Roman"/>
          <w:bCs/>
          <w:lang w:val="ro-MD"/>
        </w:rPr>
        <w:t xml:space="preserve"> </w:t>
      </w:r>
      <w:r w:rsidRPr="000508B6">
        <w:rPr>
          <w:rFonts w:ascii="Times New Roman" w:hAnsi="Times New Roman" w:cs="Times New Roman"/>
          <w:bCs/>
          <w:lang w:val="ro-MD"/>
        </w:rPr>
        <w:t>descrierea menționată la alin. (4) lit. c) și lit. d) pct</w:t>
      </w:r>
      <w:r w:rsidR="00DC5671" w:rsidRPr="000508B6">
        <w:rPr>
          <w:rFonts w:ascii="Times New Roman" w:hAnsi="Times New Roman" w:cs="Times New Roman"/>
          <w:bCs/>
          <w:lang w:val="ro-MD"/>
        </w:rPr>
        <w:t>.</w:t>
      </w:r>
      <w:r w:rsidRPr="000508B6">
        <w:rPr>
          <w:rFonts w:ascii="Times New Roman" w:hAnsi="Times New Roman" w:cs="Times New Roman"/>
          <w:bCs/>
          <w:lang w:val="ro-MD"/>
        </w:rPr>
        <w:t xml:space="preserve"> (i) și (ii) conțin</w:t>
      </w:r>
      <w:r w:rsidR="00574B17" w:rsidRPr="000508B6">
        <w:rPr>
          <w:rFonts w:ascii="Times New Roman" w:hAnsi="Times New Roman" w:cs="Times New Roman"/>
          <w:bCs/>
          <w:lang w:val="ro-MD"/>
        </w:rPr>
        <w:t>e</w:t>
      </w:r>
      <w:r w:rsidRPr="000508B6">
        <w:rPr>
          <w:rFonts w:ascii="Times New Roman" w:hAnsi="Times New Roman" w:cs="Times New Roman"/>
          <w:bCs/>
          <w:lang w:val="ro-MD"/>
        </w:rPr>
        <w:t xml:space="preserve"> și o descriere a primei de echilibrare și a portofoliului de </w:t>
      </w:r>
      <w:r w:rsidR="00FA320A" w:rsidRPr="000508B6">
        <w:rPr>
          <w:rFonts w:ascii="Times New Roman" w:hAnsi="Times New Roman" w:cs="Times New Roman"/>
          <w:bCs/>
          <w:lang w:val="ro-MD"/>
        </w:rPr>
        <w:t xml:space="preserve">obligații </w:t>
      </w:r>
      <w:r w:rsidRPr="000508B6">
        <w:rPr>
          <w:rFonts w:ascii="Times New Roman" w:hAnsi="Times New Roman" w:cs="Times New Roman"/>
          <w:bCs/>
          <w:lang w:val="ro-MD"/>
        </w:rPr>
        <w:t>și active alocate</w:t>
      </w:r>
      <w:r w:rsidR="00750F03" w:rsidRPr="000508B6">
        <w:rPr>
          <w:rFonts w:ascii="Times New Roman" w:hAnsi="Times New Roman" w:cs="Times New Roman"/>
          <w:bCs/>
          <w:lang w:val="ro-MD"/>
        </w:rPr>
        <w:t>,</w:t>
      </w:r>
      <w:r w:rsidRPr="000508B6">
        <w:rPr>
          <w:rFonts w:ascii="Times New Roman" w:hAnsi="Times New Roman" w:cs="Times New Roman"/>
          <w:bCs/>
          <w:lang w:val="ro-MD"/>
        </w:rPr>
        <w:t xml:space="preserve"> căruia i se aplică prima de echilibrare, precum și o cuantificare a impactului reducerii la zero a primei de echilibrare asupra poziției financiare a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w:t>
      </w:r>
      <w:r w:rsidR="009D286B" w:rsidRPr="000508B6">
        <w:rPr>
          <w:rFonts w:ascii="Times New Roman" w:hAnsi="Times New Roman" w:cs="Times New Roman"/>
          <w:bCs/>
          <w:lang w:val="ro-MD"/>
        </w:rPr>
        <w:t xml:space="preserve"> </w:t>
      </w:r>
    </w:p>
    <w:p w14:paraId="1C68436E" w14:textId="18E8A986" w:rsidR="005E3FF1" w:rsidRPr="000508B6" w:rsidRDefault="00726D0C" w:rsidP="00726D0C">
      <w:pPr>
        <w:pStyle w:val="Listparagraf"/>
        <w:numPr>
          <w:ilvl w:val="1"/>
          <w:numId w:val="293"/>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aplică prima de volatilitate menționată la art.47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include în descrierea menționată la alin. (4) lit. c) și lit. d) </w:t>
      </w:r>
      <w:r w:rsidR="00DC5671" w:rsidRPr="000508B6">
        <w:rPr>
          <w:rFonts w:ascii="Times New Roman" w:hAnsi="Times New Roman" w:cs="Times New Roman"/>
          <w:bCs/>
          <w:lang w:val="ro-MD"/>
        </w:rPr>
        <w:t>pct.</w:t>
      </w:r>
      <w:r w:rsidRPr="000508B6">
        <w:rPr>
          <w:rFonts w:ascii="Times New Roman" w:hAnsi="Times New Roman" w:cs="Times New Roman"/>
          <w:bCs/>
          <w:lang w:val="ro-MD"/>
        </w:rPr>
        <w:t xml:space="preserve"> (i) și (ii) </w:t>
      </w:r>
      <w:r w:rsidR="005E3FF1" w:rsidRPr="000508B6">
        <w:rPr>
          <w:rFonts w:ascii="Times New Roman" w:hAnsi="Times New Roman" w:cs="Times New Roman"/>
          <w:bCs/>
          <w:lang w:val="ro-MD"/>
        </w:rPr>
        <w:t>informații</w:t>
      </w:r>
      <w:r w:rsidR="000D2AE3" w:rsidRPr="000508B6">
        <w:rPr>
          <w:rFonts w:ascii="Times New Roman" w:hAnsi="Times New Roman" w:cs="Times New Roman"/>
          <w:bCs/>
          <w:lang w:val="ro-MD"/>
        </w:rPr>
        <w:t xml:space="preserve"> referitoare la</w:t>
      </w:r>
      <w:r w:rsidR="005E3FF1" w:rsidRPr="000508B6">
        <w:rPr>
          <w:rFonts w:ascii="Times New Roman" w:hAnsi="Times New Roman" w:cs="Times New Roman"/>
          <w:bCs/>
          <w:lang w:val="ro-MD"/>
        </w:rPr>
        <w:t>:</w:t>
      </w:r>
    </w:p>
    <w:p w14:paraId="4689087C" w14:textId="53A6A8D3" w:rsidR="005E3FF1" w:rsidRPr="000508B6" w:rsidRDefault="005E3FF1" w:rsidP="00CF5AFA">
      <w:pPr>
        <w:pStyle w:val="Listparagraf"/>
        <w:numPr>
          <w:ilvl w:val="0"/>
          <w:numId w:val="296"/>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cuantificarea impactului reducerii la zero a primei de volatilitate asupra poziției financiare a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w:t>
      </w:r>
    </w:p>
    <w:p w14:paraId="22DAA63F" w14:textId="4AC931B0" w:rsidR="005E3FF1" w:rsidRPr="000508B6" w:rsidRDefault="005E3FF1" w:rsidP="00CF5AFA">
      <w:pPr>
        <w:pStyle w:val="Listparagraf"/>
        <w:numPr>
          <w:ilvl w:val="0"/>
          <w:numId w:val="296"/>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pentru fiecare monedă sau, după caz, </w:t>
      </w:r>
      <w:r w:rsidR="0098452B" w:rsidRPr="000508B6">
        <w:rPr>
          <w:rFonts w:ascii="Times New Roman" w:hAnsi="Times New Roman" w:cs="Times New Roman"/>
          <w:bCs/>
          <w:lang w:val="ro-MD"/>
        </w:rPr>
        <w:t>stat</w:t>
      </w:r>
      <w:r w:rsidRPr="000508B6">
        <w:rPr>
          <w:rFonts w:ascii="Times New Roman" w:hAnsi="Times New Roman" w:cs="Times New Roman"/>
          <w:bCs/>
          <w:lang w:val="ro-MD"/>
        </w:rPr>
        <w:t xml:space="preserve"> relevant, prima de volatilitate calculată în conformitate cu art</w:t>
      </w:r>
      <w:r w:rsidR="004A71F1"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1E0F81" w:rsidRPr="000508B6">
        <w:rPr>
          <w:rFonts w:ascii="Times New Roman" w:hAnsi="Times New Roman" w:cs="Times New Roman"/>
          <w:bCs/>
          <w:lang w:val="ro-MD"/>
        </w:rPr>
        <w:t xml:space="preserve">47 </w:t>
      </w:r>
      <w:r w:rsidRPr="000508B6">
        <w:rPr>
          <w:rFonts w:ascii="Times New Roman" w:hAnsi="Times New Roman" w:cs="Times New Roman"/>
          <w:bCs/>
          <w:lang w:val="ro-MD"/>
        </w:rPr>
        <w:t xml:space="preserve">și </w:t>
      </w:r>
      <w:r w:rsidR="000D2AE3" w:rsidRPr="000508B6">
        <w:rPr>
          <w:rFonts w:ascii="Times New Roman" w:hAnsi="Times New Roman" w:cs="Times New Roman"/>
          <w:bCs/>
          <w:lang w:val="ro-MD"/>
        </w:rPr>
        <w:t xml:space="preserve">cea mai bună estimare </w:t>
      </w:r>
      <w:r w:rsidRPr="000508B6">
        <w:rPr>
          <w:rFonts w:ascii="Times New Roman" w:hAnsi="Times New Roman" w:cs="Times New Roman"/>
          <w:bCs/>
          <w:lang w:val="ro-MD"/>
        </w:rPr>
        <w:t>corespunzătoare pentru obligațiile de asigurare sau de reasigurare.</w:t>
      </w:r>
      <w:r w:rsidR="006E53F0" w:rsidRPr="000508B6">
        <w:rPr>
          <w:rFonts w:ascii="Times New Roman" w:hAnsi="Times New Roman" w:cs="Times New Roman"/>
          <w:bCs/>
          <w:lang w:val="ro-MD"/>
        </w:rPr>
        <w:t xml:space="preserve"> </w:t>
      </w:r>
    </w:p>
    <w:p w14:paraId="5FE069A5" w14:textId="24B8B708" w:rsidR="005E3FF1" w:rsidRPr="000508B6" w:rsidRDefault="000068BD" w:rsidP="00CF5AFA">
      <w:pPr>
        <w:pStyle w:val="Listparagraf"/>
        <w:numPr>
          <w:ilvl w:val="1"/>
          <w:numId w:val="293"/>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Informați</w:t>
      </w:r>
      <w:r w:rsidR="00726D0C" w:rsidRPr="000508B6">
        <w:rPr>
          <w:rFonts w:ascii="Times New Roman" w:hAnsi="Times New Roman" w:cs="Times New Roman"/>
          <w:bCs/>
          <w:lang w:val="ro-MD"/>
        </w:rPr>
        <w:t>ile</w:t>
      </w:r>
      <w:r w:rsidRPr="000508B6">
        <w:rPr>
          <w:rFonts w:ascii="Times New Roman" w:hAnsi="Times New Roman" w:cs="Times New Roman"/>
          <w:bCs/>
          <w:lang w:val="ro-MD"/>
        </w:rPr>
        <w:t xml:space="preserve"> </w:t>
      </w:r>
      <w:r w:rsidR="005E3FF1" w:rsidRPr="000508B6">
        <w:rPr>
          <w:rFonts w:ascii="Times New Roman" w:hAnsi="Times New Roman" w:cs="Times New Roman"/>
          <w:bCs/>
          <w:lang w:val="ro-MD"/>
        </w:rPr>
        <w:t>menționat</w:t>
      </w:r>
      <w:r w:rsidR="00726D0C" w:rsidRPr="000508B6">
        <w:rPr>
          <w:rFonts w:ascii="Times New Roman" w:hAnsi="Times New Roman" w:cs="Times New Roman"/>
          <w:bCs/>
          <w:lang w:val="ro-MD"/>
        </w:rPr>
        <w:t>e</w:t>
      </w:r>
      <w:r w:rsidR="005E3FF1" w:rsidRPr="000508B6">
        <w:rPr>
          <w:rFonts w:ascii="Times New Roman" w:hAnsi="Times New Roman" w:cs="Times New Roman"/>
          <w:bCs/>
          <w:lang w:val="ro-MD"/>
        </w:rPr>
        <w:t xml:space="preserve"> la alin. (4) lit. d) pct. (i) cuprind analiz</w:t>
      </w:r>
      <w:r w:rsidRPr="000508B6">
        <w:rPr>
          <w:rFonts w:ascii="Times New Roman" w:hAnsi="Times New Roman" w:cs="Times New Roman"/>
          <w:bCs/>
          <w:lang w:val="ro-MD"/>
        </w:rPr>
        <w:t>a</w:t>
      </w:r>
      <w:r w:rsidR="005E3FF1" w:rsidRPr="000508B6">
        <w:rPr>
          <w:rFonts w:ascii="Times New Roman" w:hAnsi="Times New Roman" w:cs="Times New Roman"/>
          <w:bCs/>
          <w:lang w:val="ro-MD"/>
        </w:rPr>
        <w:t xml:space="preserve"> schimbărilor semnificative față de perioada de raportare anterioară și o explicație a diferențelor majore în ceea ce privește valoarea elementelor respective din situațiile financiare, precum și o scurtă descriere a transferabilității capitalului.</w:t>
      </w:r>
    </w:p>
    <w:p w14:paraId="52F99D87" w14:textId="00702FAE" w:rsidR="000068BD" w:rsidRPr="000508B6" w:rsidRDefault="005E3FF1" w:rsidP="00726D0C">
      <w:pPr>
        <w:pStyle w:val="Listparagraf"/>
        <w:numPr>
          <w:ilvl w:val="1"/>
          <w:numId w:val="293"/>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Informațiile publicate privind </w:t>
      </w:r>
      <w:r w:rsidR="00460E3F" w:rsidRPr="000508B6">
        <w:rPr>
          <w:rFonts w:ascii="Times New Roman" w:hAnsi="Times New Roman" w:cs="Times New Roman"/>
          <w:bCs/>
          <w:lang w:val="ro-MD"/>
        </w:rPr>
        <w:t>SCR</w:t>
      </w:r>
      <w:r w:rsidRPr="000508B6">
        <w:rPr>
          <w:rFonts w:ascii="Times New Roman" w:hAnsi="Times New Roman" w:cs="Times New Roman"/>
          <w:bCs/>
          <w:lang w:val="ro-MD"/>
        </w:rPr>
        <w:t>, astfel cum sunt menționate la alin</w:t>
      </w:r>
      <w:r w:rsidR="00F7165D" w:rsidRPr="000508B6">
        <w:rPr>
          <w:rFonts w:ascii="Times New Roman" w:hAnsi="Times New Roman" w:cs="Times New Roman"/>
          <w:bCs/>
          <w:lang w:val="ro-MD"/>
        </w:rPr>
        <w:t>.</w:t>
      </w:r>
      <w:r w:rsidRPr="000508B6">
        <w:rPr>
          <w:rFonts w:ascii="Times New Roman" w:hAnsi="Times New Roman" w:cs="Times New Roman"/>
          <w:bCs/>
          <w:lang w:val="ro-MD"/>
        </w:rPr>
        <w:t xml:space="preserve"> (4) lit. d) pct.</w:t>
      </w:r>
      <w:r w:rsidR="00DC5671"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(ii), </w:t>
      </w:r>
      <w:r w:rsidR="00726D0C" w:rsidRPr="000508B6">
        <w:rPr>
          <w:rFonts w:ascii="Times New Roman" w:hAnsi="Times New Roman" w:cs="Times New Roman"/>
          <w:bCs/>
          <w:lang w:val="ro-MD"/>
        </w:rPr>
        <w:t xml:space="preserve">evidențiază </w:t>
      </w:r>
      <w:r w:rsidRPr="000508B6">
        <w:rPr>
          <w:rFonts w:ascii="Times New Roman" w:hAnsi="Times New Roman" w:cs="Times New Roman"/>
          <w:bCs/>
          <w:lang w:val="ro-MD"/>
        </w:rPr>
        <w:t>separat</w:t>
      </w:r>
      <w:r w:rsidR="000068BD" w:rsidRPr="000508B6">
        <w:rPr>
          <w:rFonts w:ascii="Times New Roman" w:hAnsi="Times New Roman" w:cs="Times New Roman"/>
          <w:bCs/>
          <w:lang w:val="ro-MD"/>
        </w:rPr>
        <w:t>:</w:t>
      </w:r>
    </w:p>
    <w:p w14:paraId="27DC32BA" w14:textId="030B45E9" w:rsidR="000068BD" w:rsidRPr="000508B6" w:rsidRDefault="005E3FF1" w:rsidP="009E488B">
      <w:pPr>
        <w:pStyle w:val="Listparagraf"/>
        <w:numPr>
          <w:ilvl w:val="0"/>
          <w:numId w:val="4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valoarea calculată </w:t>
      </w:r>
      <w:r w:rsidR="00ED6A58" w:rsidRPr="000508B6">
        <w:rPr>
          <w:rFonts w:ascii="Times New Roman" w:hAnsi="Times New Roman" w:cs="Times New Roman"/>
          <w:bCs/>
          <w:lang w:val="ro-MD"/>
        </w:rPr>
        <w:t>conform formulei standard sau modelul intern;</w:t>
      </w:r>
      <w:r w:rsidRPr="000508B6">
        <w:rPr>
          <w:rFonts w:ascii="Times New Roman" w:hAnsi="Times New Roman" w:cs="Times New Roman"/>
          <w:bCs/>
          <w:lang w:val="ro-MD"/>
        </w:rPr>
        <w:t xml:space="preserve"> </w:t>
      </w:r>
    </w:p>
    <w:p w14:paraId="247C5F56" w14:textId="39828D9B" w:rsidR="000068BD" w:rsidRPr="000508B6" w:rsidRDefault="000068BD" w:rsidP="004C03C1">
      <w:pPr>
        <w:pStyle w:val="Listparagraf"/>
        <w:numPr>
          <w:ilvl w:val="0"/>
          <w:numId w:val="4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valoarea </w:t>
      </w:r>
      <w:r w:rsidR="005E3FF1" w:rsidRPr="000508B6">
        <w:rPr>
          <w:rFonts w:ascii="Times New Roman" w:hAnsi="Times New Roman" w:cs="Times New Roman"/>
          <w:bCs/>
          <w:lang w:val="ro-MD"/>
        </w:rPr>
        <w:t>major</w:t>
      </w:r>
      <w:r w:rsidRPr="000508B6">
        <w:rPr>
          <w:rFonts w:ascii="Times New Roman" w:hAnsi="Times New Roman" w:cs="Times New Roman"/>
          <w:bCs/>
          <w:lang w:val="ro-MD"/>
        </w:rPr>
        <w:t>ării</w:t>
      </w:r>
      <w:r w:rsidR="005E3FF1" w:rsidRPr="000508B6">
        <w:rPr>
          <w:rFonts w:ascii="Times New Roman" w:hAnsi="Times New Roman" w:cs="Times New Roman"/>
          <w:bCs/>
          <w:lang w:val="ro-MD"/>
        </w:rPr>
        <w:t xml:space="preserve"> </w:t>
      </w:r>
      <w:r w:rsidR="0070131E" w:rsidRPr="000508B6">
        <w:rPr>
          <w:rFonts w:ascii="Times New Roman" w:hAnsi="Times New Roman" w:cs="Times New Roman"/>
          <w:bCs/>
          <w:lang w:val="ro-MD"/>
        </w:rPr>
        <w:t>SCR</w:t>
      </w:r>
      <w:r w:rsidR="005E3FF1" w:rsidRPr="000508B6">
        <w:rPr>
          <w:rFonts w:ascii="Times New Roman" w:hAnsi="Times New Roman" w:cs="Times New Roman"/>
          <w:bCs/>
          <w:lang w:val="ro-MD"/>
        </w:rPr>
        <w:t xml:space="preserve"> în conformitate cu </w:t>
      </w:r>
      <w:r w:rsidR="005E3FF1" w:rsidRPr="000508B6">
        <w:rPr>
          <w:rFonts w:ascii="Times New Roman" w:hAnsi="Times New Roman" w:cs="Times New Roman"/>
          <w:lang w:val="ro-MD"/>
        </w:rPr>
        <w:t xml:space="preserve">art. </w:t>
      </w:r>
      <w:r w:rsidR="00C83BD1" w:rsidRPr="000508B6">
        <w:rPr>
          <w:rFonts w:ascii="Times New Roman" w:hAnsi="Times New Roman" w:cs="Times New Roman"/>
          <w:bCs/>
          <w:lang w:val="ro-MD"/>
        </w:rPr>
        <w:t>183</w:t>
      </w:r>
      <w:r w:rsidR="00ED6A58" w:rsidRPr="000508B6">
        <w:rPr>
          <w:rFonts w:ascii="Times New Roman" w:hAnsi="Times New Roman" w:cs="Times New Roman"/>
          <w:bCs/>
          <w:lang w:val="ro-MD"/>
        </w:rPr>
        <w:t>, dacă este cazul;</w:t>
      </w:r>
      <w:r w:rsidR="000C68FD" w:rsidRPr="000508B6">
        <w:rPr>
          <w:rFonts w:ascii="Times New Roman" w:hAnsi="Times New Roman" w:cs="Times New Roman"/>
          <w:bCs/>
          <w:lang w:val="ro-MD"/>
        </w:rPr>
        <w:t xml:space="preserve"> </w:t>
      </w:r>
    </w:p>
    <w:p w14:paraId="5A238241" w14:textId="09DBD907" w:rsidR="005E3FF1" w:rsidRPr="000508B6" w:rsidRDefault="005E3FF1" w:rsidP="004C03C1">
      <w:pPr>
        <w:pStyle w:val="Listparagraf"/>
        <w:numPr>
          <w:ilvl w:val="0"/>
          <w:numId w:val="4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impactul parametrilor specifici pe care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trebuie să îi utilizeze </w:t>
      </w:r>
      <w:r w:rsidR="000068BD" w:rsidRPr="000508B6">
        <w:rPr>
          <w:rFonts w:ascii="Times New Roman" w:hAnsi="Times New Roman" w:cs="Times New Roman"/>
          <w:bCs/>
          <w:lang w:val="ro-MD"/>
        </w:rPr>
        <w:t xml:space="preserve">ca rezultat al deciziei Băncii Naționale a Moldovei </w:t>
      </w:r>
      <w:r w:rsidRPr="000508B6">
        <w:rPr>
          <w:rFonts w:ascii="Times New Roman" w:hAnsi="Times New Roman" w:cs="Times New Roman"/>
          <w:bCs/>
          <w:lang w:val="ro-MD"/>
        </w:rPr>
        <w:t xml:space="preserve">în conformitate cu </w:t>
      </w:r>
      <w:r w:rsidRPr="000508B6">
        <w:rPr>
          <w:rFonts w:ascii="Times New Roman" w:hAnsi="Times New Roman" w:cs="Times New Roman"/>
          <w:lang w:val="ro-MD"/>
        </w:rPr>
        <w:t>art.</w:t>
      </w:r>
      <w:r w:rsidR="00DC5671" w:rsidRPr="000508B6">
        <w:rPr>
          <w:rFonts w:ascii="Times New Roman" w:hAnsi="Times New Roman" w:cs="Times New Roman"/>
          <w:lang w:val="ro-MD"/>
        </w:rPr>
        <w:t xml:space="preserve"> </w:t>
      </w:r>
      <w:r w:rsidR="00122828" w:rsidRPr="000508B6">
        <w:rPr>
          <w:rFonts w:ascii="Times New Roman" w:hAnsi="Times New Roman" w:cs="Times New Roman"/>
          <w:bCs/>
          <w:lang w:val="ro-MD"/>
        </w:rPr>
        <w:t>74</w:t>
      </w:r>
      <w:r w:rsidRPr="000508B6">
        <w:rPr>
          <w:rFonts w:ascii="Times New Roman" w:hAnsi="Times New Roman" w:cs="Times New Roman"/>
          <w:bCs/>
          <w:lang w:val="ro-MD"/>
        </w:rPr>
        <w:t xml:space="preserve">, împreună cu </w:t>
      </w:r>
      <w:r w:rsidR="004C03C1" w:rsidRPr="000508B6">
        <w:rPr>
          <w:rFonts w:ascii="Times New Roman" w:hAnsi="Times New Roman" w:cs="Times New Roman"/>
          <w:bCs/>
          <w:lang w:val="ro-MD"/>
        </w:rPr>
        <w:t xml:space="preserve">explicații </w:t>
      </w:r>
      <w:r w:rsidRPr="000508B6">
        <w:rPr>
          <w:rFonts w:ascii="Times New Roman" w:hAnsi="Times New Roman" w:cs="Times New Roman"/>
          <w:bCs/>
          <w:lang w:val="ro-MD"/>
        </w:rPr>
        <w:t>concise privind justificarea acestora de către Banca Națională a Moldovei</w:t>
      </w:r>
      <w:r w:rsidRPr="000508B6">
        <w:rPr>
          <w:rFonts w:ascii="Times New Roman" w:hAnsi="Times New Roman" w:cs="Times New Roman"/>
          <w:lang w:val="ro-MD"/>
        </w:rPr>
        <w:t>.</w:t>
      </w:r>
    </w:p>
    <w:p w14:paraId="4563AFA3" w14:textId="7C3E4CE7" w:rsidR="004C03C1" w:rsidRPr="000508B6" w:rsidRDefault="009E488B" w:rsidP="004C03C1">
      <w:pPr>
        <w:pStyle w:val="Listparagraf"/>
        <w:numPr>
          <w:ilvl w:val="0"/>
          <w:numId w:val="4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mențiunea</w:t>
      </w:r>
      <w:r w:rsidR="004C03C1" w:rsidRPr="000508B6">
        <w:rPr>
          <w:rFonts w:ascii="Times New Roman" w:hAnsi="Times New Roman" w:cs="Times New Roman"/>
          <w:bCs/>
          <w:lang w:val="ro-MD"/>
        </w:rPr>
        <w:t xml:space="preserve"> privind faptul că valoarea SCR finală </w:t>
      </w:r>
      <w:r w:rsidRPr="000508B6">
        <w:rPr>
          <w:rFonts w:ascii="Times New Roman" w:hAnsi="Times New Roman" w:cs="Times New Roman"/>
          <w:bCs/>
          <w:lang w:val="ro-MD"/>
        </w:rPr>
        <w:t xml:space="preserve">este în continuare </w:t>
      </w:r>
      <w:r w:rsidR="004C03C1" w:rsidRPr="000508B6">
        <w:rPr>
          <w:rFonts w:ascii="Times New Roman" w:hAnsi="Times New Roman" w:cs="Times New Roman"/>
          <w:bCs/>
          <w:lang w:val="ro-MD"/>
        </w:rPr>
        <w:t>obiectul unei evaluări de către Banca Națională a Moldovei</w:t>
      </w:r>
      <w:r w:rsidR="00ED6A58" w:rsidRPr="000508B6">
        <w:rPr>
          <w:rFonts w:ascii="Times New Roman" w:hAnsi="Times New Roman" w:cs="Times New Roman"/>
          <w:bCs/>
          <w:lang w:val="ro-MD"/>
        </w:rPr>
        <w:t>, dacă este cazul</w:t>
      </w:r>
      <w:r w:rsidR="004C03C1" w:rsidRPr="000508B6">
        <w:rPr>
          <w:rFonts w:ascii="Times New Roman" w:hAnsi="Times New Roman" w:cs="Times New Roman"/>
          <w:bCs/>
          <w:lang w:val="ro-MD"/>
        </w:rPr>
        <w:t xml:space="preserve">. </w:t>
      </w:r>
    </w:p>
    <w:p w14:paraId="39CF5811" w14:textId="44CEBD87" w:rsidR="005E3FF1" w:rsidRPr="000508B6" w:rsidRDefault="00202E7C" w:rsidP="00CF5AFA">
      <w:pPr>
        <w:pStyle w:val="Listparagraf"/>
        <w:numPr>
          <w:ilvl w:val="1"/>
          <w:numId w:val="293"/>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Asigurătorul</w:t>
      </w:r>
      <w:r w:rsidR="005E3FF1" w:rsidRPr="000508B6">
        <w:rPr>
          <w:rFonts w:ascii="Times New Roman" w:hAnsi="Times New Roman" w:cs="Times New Roman"/>
          <w:bCs/>
          <w:lang w:val="ro-MD"/>
        </w:rPr>
        <w:t xml:space="preserve"> captiv nu este obligat să publice secțiunea destinată asiguraților și beneficiarilor </w:t>
      </w:r>
      <w:r w:rsidR="0085248C" w:rsidRPr="000508B6">
        <w:rPr>
          <w:rFonts w:ascii="Times New Roman" w:hAnsi="Times New Roman" w:cs="Times New Roman"/>
          <w:bCs/>
          <w:lang w:val="ro-MD"/>
        </w:rPr>
        <w:t xml:space="preserve">asigurării </w:t>
      </w:r>
      <w:r w:rsidR="005E3FF1" w:rsidRPr="000508B6">
        <w:rPr>
          <w:rFonts w:ascii="Times New Roman" w:hAnsi="Times New Roman" w:cs="Times New Roman"/>
          <w:bCs/>
          <w:lang w:val="ro-MD"/>
        </w:rPr>
        <w:t xml:space="preserve">și </w:t>
      </w:r>
      <w:r w:rsidR="00F2411F" w:rsidRPr="000508B6">
        <w:rPr>
          <w:rFonts w:ascii="Times New Roman" w:hAnsi="Times New Roman" w:cs="Times New Roman"/>
          <w:bCs/>
          <w:lang w:val="ro-MD"/>
        </w:rPr>
        <w:t>are</w:t>
      </w:r>
      <w:r w:rsidR="005E3FF1" w:rsidRPr="000508B6">
        <w:rPr>
          <w:rFonts w:ascii="Times New Roman" w:hAnsi="Times New Roman" w:cs="Times New Roman"/>
          <w:bCs/>
          <w:lang w:val="ro-MD"/>
        </w:rPr>
        <w:t xml:space="preserve"> doar obligația de a include în secțiunea destinată profesioniștilor din piață datele cantitative impuse de </w:t>
      </w:r>
      <w:r w:rsidR="002E7AC6" w:rsidRPr="000508B6">
        <w:rPr>
          <w:rFonts w:ascii="Times New Roman" w:hAnsi="Times New Roman" w:cs="Times New Roman"/>
          <w:bCs/>
          <w:lang w:val="ro-MD"/>
        </w:rPr>
        <w:t>actele normative ale Băncii Naționale a Moldovei privind întocmirea și publicarea Raportului privind solvabilitatea și situația financiară</w:t>
      </w:r>
      <w:r w:rsidR="005E3FF1" w:rsidRPr="000508B6">
        <w:rPr>
          <w:rFonts w:ascii="Times New Roman" w:hAnsi="Times New Roman" w:cs="Times New Roman"/>
          <w:bCs/>
          <w:lang w:val="ro-MD"/>
        </w:rPr>
        <w:t xml:space="preserve">, cu condiția ca </w:t>
      </w:r>
      <w:r w:rsidR="00311422" w:rsidRPr="000508B6">
        <w:rPr>
          <w:rFonts w:ascii="Times New Roman" w:hAnsi="Times New Roman" w:cs="Times New Roman"/>
          <w:bCs/>
          <w:lang w:val="ro-MD"/>
        </w:rPr>
        <w:t xml:space="preserve">acesta </w:t>
      </w:r>
      <w:r w:rsidR="005E3FF1" w:rsidRPr="000508B6">
        <w:rPr>
          <w:rFonts w:ascii="Times New Roman" w:hAnsi="Times New Roman" w:cs="Times New Roman"/>
          <w:bCs/>
          <w:lang w:val="ro-MD"/>
        </w:rPr>
        <w:t>să îndeplinească următoarele condiții:</w:t>
      </w:r>
    </w:p>
    <w:p w14:paraId="597F0643" w14:textId="192A538D" w:rsidR="005E3FF1" w:rsidRPr="000508B6" w:rsidRDefault="005E3FF1" w:rsidP="00CF5AFA">
      <w:pPr>
        <w:pStyle w:val="Listparagraf"/>
        <w:numPr>
          <w:ilvl w:val="0"/>
          <w:numId w:val="297"/>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asigurații și beneficiarii </w:t>
      </w:r>
      <w:r w:rsidR="0085248C" w:rsidRPr="000508B6">
        <w:rPr>
          <w:rFonts w:ascii="Times New Roman" w:hAnsi="Times New Roman" w:cs="Times New Roman"/>
          <w:bCs/>
          <w:lang w:val="ro-MD"/>
        </w:rPr>
        <w:t xml:space="preserve">asigurării </w:t>
      </w:r>
      <w:r w:rsidR="006E4841">
        <w:rPr>
          <w:rFonts w:ascii="Times New Roman" w:hAnsi="Times New Roman" w:cs="Times New Roman"/>
          <w:bCs/>
          <w:lang w:val="ro-MD"/>
        </w:rPr>
        <w:t xml:space="preserve">să fie </w:t>
      </w:r>
      <w:r w:rsidRPr="000508B6">
        <w:rPr>
          <w:rFonts w:ascii="Times New Roman" w:hAnsi="Times New Roman" w:cs="Times New Roman"/>
          <w:bCs/>
          <w:lang w:val="ro-MD"/>
        </w:rPr>
        <w:t xml:space="preserve">entități juridice ale grupului din care face parte </w:t>
      </w:r>
      <w:r w:rsidR="00202E7C" w:rsidRPr="000508B6">
        <w:rPr>
          <w:rFonts w:ascii="Times New Roman" w:hAnsi="Times New Roman" w:cs="Times New Roman"/>
          <w:bCs/>
          <w:lang w:val="ro-MD"/>
        </w:rPr>
        <w:t>asigurătorul</w:t>
      </w:r>
      <w:r w:rsidRPr="000508B6">
        <w:rPr>
          <w:rFonts w:ascii="Times New Roman" w:hAnsi="Times New Roman" w:cs="Times New Roman"/>
          <w:bCs/>
          <w:lang w:val="ro-MD"/>
        </w:rPr>
        <w:t xml:space="preserve"> captiv sau persoane fizice eligibile să fie acoperite prin contracte de asigurare ale grupului respectiv, iar activitatea desfășurată în legătură cu persoanele fizice eligibile să fie acoperite prin contractele de asigurare ale grupului rămâne sub 5 % din rezervele tehnice;</w:t>
      </w:r>
    </w:p>
    <w:p w14:paraId="5E3282B6" w14:textId="0EFF960F" w:rsidR="005E3FF1" w:rsidRPr="000508B6" w:rsidRDefault="005E3FF1" w:rsidP="00CF5AFA">
      <w:pPr>
        <w:pStyle w:val="Listparagraf"/>
        <w:numPr>
          <w:ilvl w:val="0"/>
          <w:numId w:val="297"/>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obligațiile de asigurare nu constau în asigurări obligatorii de răspundere civilă.</w:t>
      </w:r>
      <w:r w:rsidR="006E53F0" w:rsidRPr="000508B6">
        <w:rPr>
          <w:rFonts w:ascii="Times New Roman" w:hAnsi="Times New Roman" w:cs="Times New Roman"/>
          <w:bCs/>
          <w:lang w:val="ro-MD"/>
        </w:rPr>
        <w:t xml:space="preserve"> </w:t>
      </w:r>
    </w:p>
    <w:p w14:paraId="2A8DE2DA" w14:textId="7F896C89" w:rsidR="005E3FF1" w:rsidRPr="000508B6" w:rsidRDefault="00202E7C" w:rsidP="00CF5AFA">
      <w:pPr>
        <w:pStyle w:val="Listparagraf"/>
        <w:numPr>
          <w:ilvl w:val="1"/>
          <w:numId w:val="293"/>
        </w:numPr>
        <w:tabs>
          <w:tab w:val="left" w:pos="851"/>
        </w:tabs>
        <w:spacing w:after="0" w:line="240" w:lineRule="auto"/>
        <w:ind w:left="0" w:firstLine="426"/>
        <w:jc w:val="both"/>
        <w:rPr>
          <w:rFonts w:ascii="Times New Roman" w:hAnsi="Times New Roman" w:cs="Times New Roman"/>
          <w:bCs/>
          <w:lang w:val="ro-MD"/>
        </w:rPr>
      </w:pPr>
      <w:proofErr w:type="spellStart"/>
      <w:r w:rsidRPr="000508B6">
        <w:rPr>
          <w:rFonts w:ascii="Times New Roman" w:hAnsi="Times New Roman" w:cs="Times New Roman"/>
          <w:bCs/>
          <w:lang w:val="ro-MD"/>
        </w:rPr>
        <w:t>Reasigurătorul</w:t>
      </w:r>
      <w:proofErr w:type="spellEnd"/>
      <w:r w:rsidR="005E3FF1" w:rsidRPr="000508B6">
        <w:rPr>
          <w:rFonts w:ascii="Times New Roman" w:hAnsi="Times New Roman" w:cs="Times New Roman"/>
          <w:bCs/>
          <w:lang w:val="ro-MD"/>
        </w:rPr>
        <w:t xml:space="preserve"> captiv nu este obligat să publice secțiunea destinată asiguraților și beneficiarilor </w:t>
      </w:r>
      <w:r w:rsidR="0085248C" w:rsidRPr="000508B6">
        <w:rPr>
          <w:rFonts w:ascii="Times New Roman" w:hAnsi="Times New Roman" w:cs="Times New Roman"/>
          <w:bCs/>
          <w:lang w:val="ro-MD"/>
        </w:rPr>
        <w:t xml:space="preserve">asigurării </w:t>
      </w:r>
      <w:r w:rsidR="005E3FF1" w:rsidRPr="000508B6">
        <w:rPr>
          <w:rFonts w:ascii="Times New Roman" w:hAnsi="Times New Roman" w:cs="Times New Roman"/>
          <w:bCs/>
          <w:lang w:val="ro-MD"/>
        </w:rPr>
        <w:t>și a</w:t>
      </w:r>
      <w:r w:rsidR="000207B7" w:rsidRPr="000508B6">
        <w:rPr>
          <w:rFonts w:ascii="Times New Roman" w:hAnsi="Times New Roman" w:cs="Times New Roman"/>
          <w:bCs/>
          <w:lang w:val="ro-MD"/>
        </w:rPr>
        <w:t>re</w:t>
      </w:r>
      <w:r w:rsidR="005E3FF1" w:rsidRPr="000508B6">
        <w:rPr>
          <w:rFonts w:ascii="Times New Roman" w:hAnsi="Times New Roman" w:cs="Times New Roman"/>
          <w:bCs/>
          <w:lang w:val="ro-MD"/>
        </w:rPr>
        <w:t xml:space="preserve"> doar obligația de a include în secțiunea destinată profesioniștilor din piață datele cantitative impuse de </w:t>
      </w:r>
      <w:r w:rsidR="00510697" w:rsidRPr="000508B6">
        <w:rPr>
          <w:rFonts w:ascii="Times New Roman" w:hAnsi="Times New Roman" w:cs="Times New Roman"/>
          <w:bCs/>
          <w:lang w:val="ro-MD"/>
        </w:rPr>
        <w:t>actele normative ale Băncii Naționale a Moldovei</w:t>
      </w:r>
      <w:r w:rsidR="005E3FF1" w:rsidRPr="000508B6">
        <w:rPr>
          <w:rFonts w:ascii="Times New Roman" w:hAnsi="Times New Roman" w:cs="Times New Roman"/>
          <w:bCs/>
          <w:lang w:val="ro-MD"/>
        </w:rPr>
        <w:t xml:space="preserve">, cu condiția ca </w:t>
      </w:r>
      <w:r w:rsidR="000207B7" w:rsidRPr="000508B6">
        <w:rPr>
          <w:rFonts w:ascii="Times New Roman" w:hAnsi="Times New Roman" w:cs="Times New Roman"/>
          <w:bCs/>
          <w:lang w:val="ro-MD"/>
        </w:rPr>
        <w:t>aceasta</w:t>
      </w:r>
      <w:r w:rsidR="005E3FF1" w:rsidRPr="000508B6">
        <w:rPr>
          <w:rFonts w:ascii="Times New Roman" w:hAnsi="Times New Roman" w:cs="Times New Roman"/>
          <w:bCs/>
          <w:lang w:val="ro-MD"/>
        </w:rPr>
        <w:t xml:space="preserve"> să îndeplinească următoarele condiții:</w:t>
      </w:r>
    </w:p>
    <w:p w14:paraId="7F79DD45" w14:textId="30C937C6" w:rsidR="005E3FF1" w:rsidRPr="000508B6" w:rsidRDefault="00F2411F" w:rsidP="00CF5AFA">
      <w:pPr>
        <w:pStyle w:val="Listparagraf"/>
        <w:numPr>
          <w:ilvl w:val="0"/>
          <w:numId w:val="298"/>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asigurații</w:t>
      </w:r>
      <w:r w:rsidR="005E3FF1" w:rsidRPr="000508B6">
        <w:rPr>
          <w:rFonts w:ascii="Times New Roman" w:hAnsi="Times New Roman" w:cs="Times New Roman"/>
          <w:bCs/>
          <w:lang w:val="ro-MD"/>
        </w:rPr>
        <w:t xml:space="preserve"> și beneficiarii </w:t>
      </w:r>
      <w:r w:rsidR="0085248C" w:rsidRPr="000508B6">
        <w:rPr>
          <w:rFonts w:ascii="Times New Roman" w:hAnsi="Times New Roman" w:cs="Times New Roman"/>
          <w:bCs/>
          <w:lang w:val="ro-MD"/>
        </w:rPr>
        <w:t xml:space="preserve">asigurării </w:t>
      </w:r>
      <w:r w:rsidR="006E4841">
        <w:rPr>
          <w:rFonts w:ascii="Times New Roman" w:hAnsi="Times New Roman" w:cs="Times New Roman"/>
          <w:bCs/>
          <w:lang w:val="ro-MD"/>
        </w:rPr>
        <w:t xml:space="preserve">să fie </w:t>
      </w:r>
      <w:r w:rsidR="005E3FF1" w:rsidRPr="000508B6">
        <w:rPr>
          <w:rFonts w:ascii="Times New Roman" w:hAnsi="Times New Roman" w:cs="Times New Roman"/>
          <w:bCs/>
          <w:lang w:val="ro-MD"/>
        </w:rPr>
        <w:t xml:space="preserve">entități juridice ale grupului din care face parte </w:t>
      </w:r>
      <w:proofErr w:type="spellStart"/>
      <w:r w:rsidR="00202E7C" w:rsidRPr="000508B6">
        <w:rPr>
          <w:rFonts w:ascii="Times New Roman" w:hAnsi="Times New Roman" w:cs="Times New Roman"/>
          <w:bCs/>
          <w:lang w:val="ro-MD"/>
        </w:rPr>
        <w:t>reasigurătorul</w:t>
      </w:r>
      <w:proofErr w:type="spellEnd"/>
      <w:r w:rsidR="005E3FF1" w:rsidRPr="000508B6">
        <w:rPr>
          <w:rFonts w:ascii="Times New Roman" w:hAnsi="Times New Roman" w:cs="Times New Roman"/>
          <w:bCs/>
          <w:lang w:val="ro-MD"/>
        </w:rPr>
        <w:t xml:space="preserve"> captiv sau persoane fizice eligibile să fie acoperite prin polițele de asigurare ale grupului respectiv, iar activitatea desfășurată în legătură cu persoanele fizice eligibile să fie acoperite prin polițele de asigurare ale grupului rămâne sub 5 % din rezervele tehnice;</w:t>
      </w:r>
    </w:p>
    <w:p w14:paraId="5D13B4A3" w14:textId="51144CCA" w:rsidR="005E3FF1" w:rsidRPr="000508B6" w:rsidRDefault="005E3FF1" w:rsidP="00CF5AFA">
      <w:pPr>
        <w:pStyle w:val="Listparagraf"/>
        <w:numPr>
          <w:ilvl w:val="0"/>
          <w:numId w:val="298"/>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contractele de asigurare care stau la baza obligațiilor de reasigurare nu se referă la asigurări obligatorii de răspundere civilă;</w:t>
      </w:r>
    </w:p>
    <w:p w14:paraId="6EDE99EE" w14:textId="6EE67F7E" w:rsidR="005E3FF1" w:rsidRPr="000508B6" w:rsidRDefault="005E3FF1" w:rsidP="00CF5AFA">
      <w:pPr>
        <w:pStyle w:val="Listparagraf"/>
        <w:numPr>
          <w:ilvl w:val="0"/>
          <w:numId w:val="298"/>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împrumuturile existente cu societatea-mamă sau orice </w:t>
      </w:r>
      <w:r w:rsidR="00A54DA9" w:rsidRPr="000508B6">
        <w:rPr>
          <w:rFonts w:ascii="Times New Roman" w:hAnsi="Times New Roman" w:cs="Times New Roman"/>
          <w:bCs/>
          <w:lang w:val="ro-MD"/>
        </w:rPr>
        <w:t xml:space="preserve">entitate </w:t>
      </w:r>
      <w:r w:rsidRPr="000508B6">
        <w:rPr>
          <w:rFonts w:ascii="Times New Roman" w:hAnsi="Times New Roman" w:cs="Times New Roman"/>
          <w:bCs/>
          <w:lang w:val="ro-MD"/>
        </w:rPr>
        <w:t xml:space="preserve">din cadrul grupului, inclusiv rezervele de numerar la nivel de grup, nu depășesc 20 % din totalul activelor deținute de </w:t>
      </w:r>
      <w:proofErr w:type="spellStart"/>
      <w:r w:rsidR="00202E7C"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captiv; și</w:t>
      </w:r>
    </w:p>
    <w:p w14:paraId="4071E701" w14:textId="647A9A48" w:rsidR="005E3FF1" w:rsidRPr="000508B6" w:rsidRDefault="005E3FF1" w:rsidP="00CF5AFA">
      <w:pPr>
        <w:pStyle w:val="Listparagraf"/>
        <w:numPr>
          <w:ilvl w:val="0"/>
          <w:numId w:val="29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pierderea maximă care rezultă din rezervele tehnice brute poate fi evaluată în mod determinist fără a se utiliza metode stocastice.</w:t>
      </w:r>
      <w:r w:rsidR="006E53F0" w:rsidRPr="000508B6">
        <w:rPr>
          <w:rFonts w:ascii="Times New Roman" w:hAnsi="Times New Roman" w:cs="Times New Roman"/>
          <w:bCs/>
          <w:lang w:val="ro-MD"/>
        </w:rPr>
        <w:t xml:space="preserve"> </w:t>
      </w:r>
    </w:p>
    <w:p w14:paraId="6670BF71" w14:textId="14AF3036" w:rsidR="005E3FF1" w:rsidRPr="000508B6" w:rsidRDefault="005E3FF1" w:rsidP="00CF5AFA">
      <w:pPr>
        <w:pStyle w:val="Listparagraf"/>
        <w:numPr>
          <w:ilvl w:val="1"/>
          <w:numId w:val="29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Prin derogare de la alin. (1), </w:t>
      </w:r>
      <w:proofErr w:type="spellStart"/>
      <w:r w:rsidR="00473EF6" w:rsidRPr="000508B6">
        <w:rPr>
          <w:rFonts w:ascii="Times New Roman" w:hAnsi="Times New Roman" w:cs="Times New Roman"/>
          <w:bCs/>
          <w:lang w:val="ro-MD"/>
        </w:rPr>
        <w:t>re</w:t>
      </w:r>
      <w:r w:rsidR="00202E7C" w:rsidRPr="000508B6">
        <w:rPr>
          <w:rFonts w:ascii="Times New Roman" w:hAnsi="Times New Roman" w:cs="Times New Roman"/>
          <w:bCs/>
          <w:lang w:val="ro-MD"/>
        </w:rPr>
        <w:t>asigurătorul</w:t>
      </w:r>
      <w:proofErr w:type="spellEnd"/>
      <w:r w:rsidRPr="000508B6">
        <w:rPr>
          <w:rFonts w:ascii="Times New Roman" w:hAnsi="Times New Roman" w:cs="Times New Roman"/>
          <w:bCs/>
          <w:lang w:val="ro-MD"/>
        </w:rPr>
        <w:t xml:space="preserve"> poate alege să nu facă publică secțiunea din raportul privind solvabilitatea și situația financiară care este destinată asiguraților și beneficiarilor</w:t>
      </w:r>
      <w:r w:rsidR="0085248C" w:rsidRPr="000508B6">
        <w:rPr>
          <w:rFonts w:ascii="Times New Roman" w:hAnsi="Times New Roman" w:cs="Times New Roman"/>
          <w:lang w:val="ro-MD"/>
        </w:rPr>
        <w:t xml:space="preserve"> </w:t>
      </w:r>
      <w:r w:rsidR="0085248C" w:rsidRPr="000508B6">
        <w:rPr>
          <w:rFonts w:ascii="Times New Roman" w:hAnsi="Times New Roman" w:cs="Times New Roman"/>
          <w:bCs/>
          <w:lang w:val="ro-MD"/>
        </w:rPr>
        <w:t>asigurării</w:t>
      </w:r>
      <w:r w:rsidRPr="000508B6">
        <w:rPr>
          <w:rFonts w:ascii="Times New Roman" w:hAnsi="Times New Roman" w:cs="Times New Roman"/>
          <w:bCs/>
          <w:lang w:val="ro-MD"/>
        </w:rPr>
        <w:t>.</w:t>
      </w:r>
    </w:p>
    <w:p w14:paraId="517017B4" w14:textId="7F144C03" w:rsidR="008C32A3" w:rsidRPr="000508B6" w:rsidRDefault="005E3FF1" w:rsidP="00ED6A58">
      <w:pPr>
        <w:pStyle w:val="Listparagraf"/>
        <w:numPr>
          <w:ilvl w:val="1"/>
          <w:numId w:val="293"/>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lastRenderedPageBreak/>
        <w:t>Prin derogare de la alin. (</w:t>
      </w:r>
      <w:r w:rsidR="00EE0793" w:rsidRPr="000508B6">
        <w:rPr>
          <w:rFonts w:ascii="Times New Roman" w:hAnsi="Times New Roman" w:cs="Times New Roman"/>
          <w:bCs/>
          <w:lang w:val="ro-MD"/>
        </w:rPr>
        <w:t>4</w:t>
      </w:r>
      <w:r w:rsidRPr="000508B6">
        <w:rPr>
          <w:rFonts w:ascii="Times New Roman" w:hAnsi="Times New Roman" w:cs="Times New Roman"/>
          <w:bCs/>
          <w:lang w:val="ro-MD"/>
        </w:rPr>
        <w:t>)</w:t>
      </w:r>
      <w:r w:rsidR="00EE0793" w:rsidRPr="000508B6">
        <w:rPr>
          <w:rFonts w:ascii="Times New Roman" w:hAnsi="Times New Roman" w:cs="Times New Roman"/>
          <w:bCs/>
          <w:lang w:val="ro-MD"/>
        </w:rPr>
        <w:t xml:space="preserve"> și (5)</w:t>
      </w:r>
      <w:r w:rsidRPr="000508B6">
        <w:rPr>
          <w:rFonts w:ascii="Times New Roman" w:hAnsi="Times New Roman" w:cs="Times New Roman"/>
          <w:bCs/>
          <w:lang w:val="ro-MD"/>
        </w:rPr>
        <w:t xml:space="preserve">, </w:t>
      </w:r>
      <w:r w:rsidR="00D068AA" w:rsidRPr="000508B6">
        <w:rPr>
          <w:rFonts w:ascii="Times New Roman" w:hAnsi="Times New Roman" w:cs="Times New Roman"/>
          <w:bCs/>
          <w:lang w:val="ro-MD"/>
        </w:rPr>
        <w:t>a</w:t>
      </w:r>
      <w:r w:rsidR="001B5C5A" w:rsidRPr="000508B6">
        <w:rPr>
          <w:rFonts w:ascii="Times New Roman" w:hAnsi="Times New Roman" w:cs="Times New Roman"/>
          <w:bCs/>
          <w:lang w:val="ro-MD"/>
        </w:rPr>
        <w:t>s</w:t>
      </w:r>
      <w:r w:rsidR="00D068AA" w:rsidRPr="000508B6">
        <w:rPr>
          <w:rFonts w:ascii="Times New Roman" w:hAnsi="Times New Roman" w:cs="Times New Roman"/>
          <w:bCs/>
          <w:lang w:val="ro-MD"/>
        </w:rPr>
        <w:t>igurătorul</w:t>
      </w:r>
      <w:r w:rsidR="004125E8" w:rsidRPr="000508B6">
        <w:rPr>
          <w:rFonts w:ascii="Times New Roman" w:hAnsi="Times New Roman" w:cs="Times New Roman"/>
          <w:bCs/>
          <w:lang w:val="ro-MD"/>
        </w:rPr>
        <w:t xml:space="preserve">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mic și cu un grad redus de complexitate poate să facă publice numai datele cantitative impuse de </w:t>
      </w:r>
      <w:r w:rsidR="005E4606" w:rsidRPr="000508B6">
        <w:rPr>
          <w:rFonts w:ascii="Times New Roman" w:hAnsi="Times New Roman" w:cs="Times New Roman"/>
          <w:bCs/>
          <w:lang w:val="ro-MD"/>
        </w:rPr>
        <w:t>actele normative ale Băncii Naționale a Moldovei privind întocmirea și publicarea Raportului privind solvabilitatea și situația financiară</w:t>
      </w:r>
      <w:r w:rsidR="005E4606" w:rsidRPr="000508B6" w:rsidDel="005E4606">
        <w:rPr>
          <w:rFonts w:ascii="Times New Roman" w:hAnsi="Times New Roman" w:cs="Times New Roman"/>
          <w:bCs/>
          <w:lang w:val="ro-MD"/>
        </w:rPr>
        <w:t xml:space="preserve"> </w:t>
      </w:r>
      <w:r w:rsidRPr="000508B6">
        <w:rPr>
          <w:rFonts w:ascii="Times New Roman" w:hAnsi="Times New Roman" w:cs="Times New Roman"/>
          <w:bCs/>
          <w:lang w:val="ro-MD"/>
        </w:rPr>
        <w:t>care cuprind informații destinate altor profesioniști din piață, cu condiția să prezinte, o dată la trei ani, un raport complet care să conțină toate informațiile prevăzute la prezentul articol.</w:t>
      </w:r>
    </w:p>
    <w:p w14:paraId="5A12D68B" w14:textId="271377C9" w:rsidR="005E3FF1" w:rsidRPr="000508B6" w:rsidRDefault="00D068AA" w:rsidP="00CF5AFA">
      <w:pPr>
        <w:pStyle w:val="Listparagraf"/>
        <w:numPr>
          <w:ilvl w:val="1"/>
          <w:numId w:val="293"/>
        </w:numPr>
        <w:tabs>
          <w:tab w:val="left" w:pos="851"/>
        </w:tabs>
        <w:spacing w:after="0" w:line="240" w:lineRule="auto"/>
        <w:ind w:left="0" w:firstLine="425"/>
        <w:jc w:val="both"/>
        <w:rPr>
          <w:rFonts w:ascii="Times New Roman" w:hAnsi="Times New Roman" w:cs="Times New Roman"/>
          <w:bCs/>
          <w:lang w:val="ro-MD"/>
        </w:rPr>
      </w:pPr>
      <w:r w:rsidRPr="000508B6">
        <w:rPr>
          <w:rFonts w:ascii="Times New Roman" w:hAnsi="Times New Roman" w:cs="Times New Roman"/>
          <w:bCs/>
          <w:lang w:val="ro-MD"/>
        </w:rPr>
        <w:t xml:space="preserve">Asigurătorul sau </w:t>
      </w:r>
      <w:proofErr w:type="spellStart"/>
      <w:r w:rsidRPr="000508B6">
        <w:rPr>
          <w:rFonts w:ascii="Times New Roman" w:hAnsi="Times New Roman" w:cs="Times New Roman"/>
          <w:bCs/>
          <w:lang w:val="ro-MD"/>
        </w:rPr>
        <w:t>reasigurătorul</w:t>
      </w:r>
      <w:proofErr w:type="spellEnd"/>
      <w:r w:rsidR="00EE0793" w:rsidRPr="000508B6">
        <w:rPr>
          <w:rFonts w:ascii="Times New Roman" w:hAnsi="Times New Roman" w:cs="Times New Roman"/>
          <w:bCs/>
          <w:lang w:val="ro-MD"/>
        </w:rPr>
        <w:t xml:space="preserve"> include în raport </w:t>
      </w:r>
      <w:r w:rsidR="005E3FF1" w:rsidRPr="000508B6">
        <w:rPr>
          <w:rFonts w:ascii="Times New Roman" w:hAnsi="Times New Roman" w:cs="Times New Roman"/>
          <w:bCs/>
          <w:lang w:val="ro-MD"/>
        </w:rPr>
        <w:t>impactul utilizării, în scopul calculării rezervelor tehnice prevăzute la art</w:t>
      </w:r>
      <w:r w:rsidR="00633C78" w:rsidRPr="000508B6">
        <w:rPr>
          <w:rFonts w:ascii="Times New Roman" w:hAnsi="Times New Roman" w:cs="Times New Roman"/>
          <w:bCs/>
          <w:lang w:val="ro-MD"/>
        </w:rPr>
        <w:t>.</w:t>
      </w:r>
      <w:r w:rsidR="005E3FF1" w:rsidRPr="000508B6">
        <w:rPr>
          <w:rFonts w:ascii="Times New Roman" w:hAnsi="Times New Roman" w:cs="Times New Roman"/>
          <w:bCs/>
          <w:lang w:val="ro-MD"/>
        </w:rPr>
        <w:t xml:space="preserve"> </w:t>
      </w:r>
      <w:r w:rsidR="00633C78" w:rsidRPr="000508B6">
        <w:rPr>
          <w:rFonts w:ascii="Times New Roman" w:hAnsi="Times New Roman" w:cs="Times New Roman"/>
          <w:bCs/>
          <w:lang w:val="ro-MD"/>
        </w:rPr>
        <w:t>43</w:t>
      </w:r>
      <w:r w:rsidR="005E3FF1" w:rsidRPr="000508B6">
        <w:rPr>
          <w:rFonts w:ascii="Times New Roman" w:hAnsi="Times New Roman" w:cs="Times New Roman"/>
          <w:bCs/>
          <w:lang w:val="ro-MD"/>
        </w:rPr>
        <w:t>, a structurii temporale a ratei dobânzilor fără risc determinate fără aplicarea mecanismului de introducere treptată pentru extrapolare, astfel cum se menționează la art</w:t>
      </w:r>
      <w:r w:rsidR="0063238B" w:rsidRPr="000508B6">
        <w:rPr>
          <w:rFonts w:ascii="Times New Roman" w:hAnsi="Times New Roman" w:cs="Times New Roman"/>
          <w:bCs/>
          <w:lang w:val="ro-MD"/>
        </w:rPr>
        <w:t>.</w:t>
      </w:r>
      <w:r w:rsidR="005E3FF1" w:rsidRPr="000508B6">
        <w:rPr>
          <w:rFonts w:ascii="Times New Roman" w:hAnsi="Times New Roman" w:cs="Times New Roman"/>
          <w:bCs/>
          <w:lang w:val="ro-MD"/>
        </w:rPr>
        <w:t xml:space="preserve"> </w:t>
      </w:r>
      <w:r w:rsidR="00633C78" w:rsidRPr="000508B6">
        <w:rPr>
          <w:rFonts w:ascii="Times New Roman" w:hAnsi="Times New Roman" w:cs="Times New Roman"/>
          <w:bCs/>
          <w:lang w:val="ro-MD"/>
        </w:rPr>
        <w:t>47</w:t>
      </w:r>
      <w:r w:rsidR="005E3FF1" w:rsidRPr="000508B6">
        <w:rPr>
          <w:rFonts w:ascii="Times New Roman" w:hAnsi="Times New Roman" w:cs="Times New Roman"/>
          <w:bCs/>
          <w:lang w:val="ro-MD"/>
        </w:rPr>
        <w:t xml:space="preserve"> alin. (</w:t>
      </w:r>
      <w:r w:rsidR="002E3A49" w:rsidRPr="000508B6">
        <w:rPr>
          <w:rFonts w:ascii="Times New Roman" w:hAnsi="Times New Roman" w:cs="Times New Roman"/>
          <w:bCs/>
          <w:lang w:val="ro-MD"/>
        </w:rPr>
        <w:t>18</w:t>
      </w:r>
      <w:r w:rsidR="00633C78" w:rsidRPr="000508B6">
        <w:rPr>
          <w:rFonts w:ascii="Times New Roman" w:hAnsi="Times New Roman" w:cs="Times New Roman"/>
          <w:lang w:val="ro-MD"/>
        </w:rPr>
        <w:t>)</w:t>
      </w:r>
      <w:r w:rsidR="00E21D4F" w:rsidRPr="000508B6">
        <w:rPr>
          <w:rFonts w:ascii="Times New Roman" w:hAnsi="Times New Roman" w:cs="Times New Roman"/>
          <w:lang w:val="ro-MD"/>
        </w:rPr>
        <w:t xml:space="preserve"> lit.</w:t>
      </w:r>
      <w:r w:rsidR="0078751B" w:rsidRPr="000508B6">
        <w:rPr>
          <w:rFonts w:ascii="Times New Roman" w:hAnsi="Times New Roman" w:cs="Times New Roman"/>
          <w:lang w:val="ro-MD"/>
        </w:rPr>
        <w:t xml:space="preserve"> </w:t>
      </w:r>
      <w:r w:rsidR="00E21D4F" w:rsidRPr="000508B6">
        <w:rPr>
          <w:rFonts w:ascii="Times New Roman" w:hAnsi="Times New Roman" w:cs="Times New Roman"/>
          <w:lang w:val="ro-MD"/>
        </w:rPr>
        <w:t>b)</w:t>
      </w:r>
      <w:r w:rsidR="005E3FF1" w:rsidRPr="000508B6">
        <w:rPr>
          <w:rFonts w:ascii="Times New Roman" w:hAnsi="Times New Roman" w:cs="Times New Roman"/>
          <w:bCs/>
          <w:lang w:val="ro-MD"/>
        </w:rPr>
        <w:t>, în locul structurii temporale relevante a ratei dobânzilor fără risc</w:t>
      </w:r>
      <w:r w:rsidR="005E3FF1" w:rsidRPr="000508B6">
        <w:rPr>
          <w:rFonts w:ascii="Times New Roman" w:hAnsi="Times New Roman" w:cs="Times New Roman"/>
          <w:lang w:val="ro-MD"/>
        </w:rPr>
        <w:t>.</w:t>
      </w:r>
      <w:r w:rsidR="006E53F0" w:rsidRPr="000508B6">
        <w:rPr>
          <w:rFonts w:ascii="Times New Roman" w:hAnsi="Times New Roman" w:cs="Times New Roman"/>
          <w:lang w:val="ro-MD"/>
        </w:rPr>
        <w:t xml:space="preserve"> </w:t>
      </w:r>
    </w:p>
    <w:p w14:paraId="449B06C1" w14:textId="791CB358" w:rsidR="005E3FF1" w:rsidRPr="000508B6" w:rsidRDefault="005E3FF1" w:rsidP="00CF5AFA">
      <w:pPr>
        <w:pStyle w:val="Listparagraf"/>
        <w:numPr>
          <w:ilvl w:val="1"/>
          <w:numId w:val="293"/>
        </w:numPr>
        <w:tabs>
          <w:tab w:val="left" w:pos="851"/>
        </w:tabs>
        <w:spacing w:after="0" w:line="240" w:lineRule="auto"/>
        <w:ind w:left="0" w:firstLine="425"/>
        <w:jc w:val="both"/>
        <w:rPr>
          <w:rFonts w:ascii="Times New Roman" w:hAnsi="Times New Roman" w:cs="Times New Roman"/>
          <w:bCs/>
          <w:lang w:val="ro-MD"/>
        </w:rPr>
      </w:pPr>
      <w:r w:rsidRPr="000508B6">
        <w:rPr>
          <w:rFonts w:ascii="Times New Roman" w:hAnsi="Times New Roman" w:cs="Times New Roman"/>
          <w:bCs/>
          <w:lang w:val="ro-MD"/>
        </w:rPr>
        <w:t>Prin derogare de la alin. (</w:t>
      </w:r>
      <w:r w:rsidR="00FA2332" w:rsidRPr="000508B6">
        <w:rPr>
          <w:rFonts w:ascii="Times New Roman" w:hAnsi="Times New Roman" w:cs="Times New Roman"/>
          <w:bCs/>
          <w:lang w:val="ro-MD"/>
        </w:rPr>
        <w:t>14</w:t>
      </w:r>
      <w:r w:rsidRPr="000508B6">
        <w:rPr>
          <w:rFonts w:ascii="Times New Roman" w:hAnsi="Times New Roman" w:cs="Times New Roman"/>
          <w:bCs/>
          <w:lang w:val="ro-MD"/>
        </w:rPr>
        <w:t xml:space="preserve">), cerința de publicare a informațiilor nu se aplică unei monede în cazul </w:t>
      </w:r>
      <w:r w:rsidR="00272BB0" w:rsidRPr="000508B6">
        <w:rPr>
          <w:rFonts w:ascii="Times New Roman" w:hAnsi="Times New Roman" w:cs="Times New Roman"/>
          <w:bCs/>
          <w:lang w:val="ro-MD"/>
        </w:rPr>
        <w:t>în care</w:t>
      </w:r>
      <w:r w:rsidRPr="000508B6">
        <w:rPr>
          <w:rFonts w:ascii="Times New Roman" w:hAnsi="Times New Roman" w:cs="Times New Roman"/>
          <w:bCs/>
          <w:lang w:val="ro-MD"/>
        </w:rPr>
        <w:t xml:space="preserve"> este îndeplinită oricare dintre următoarele condiții:</w:t>
      </w:r>
    </w:p>
    <w:p w14:paraId="05F59C33" w14:textId="6A1157C5" w:rsidR="005E3FF1" w:rsidRPr="000508B6" w:rsidRDefault="005E3FF1" w:rsidP="00CF5AFA">
      <w:pPr>
        <w:pStyle w:val="Listparagraf"/>
        <w:numPr>
          <w:ilvl w:val="0"/>
          <w:numId w:val="299"/>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ponderea fluxurilor de trezorerie viitoare asociate obligațiilor de asigurare sau de reasigurare în moneda respectivă în raport cu toate fluxurile de trezorerie viitoare asociate obligațiilor de asigurare sau de reasigurare nu depășește 5 %;</w:t>
      </w:r>
    </w:p>
    <w:p w14:paraId="698E2B5B" w14:textId="103236DE" w:rsidR="00BB2DB1" w:rsidRPr="000508B6" w:rsidRDefault="005E3FF1" w:rsidP="00CF5AFA">
      <w:pPr>
        <w:pStyle w:val="Listparagraf"/>
        <w:numPr>
          <w:ilvl w:val="0"/>
          <w:numId w:val="299"/>
        </w:numPr>
        <w:spacing w:after="0" w:line="240" w:lineRule="auto"/>
        <w:ind w:left="0" w:firstLine="426"/>
        <w:jc w:val="both"/>
        <w:rPr>
          <w:rFonts w:ascii="Times New Roman" w:hAnsi="Times New Roman" w:cs="Times New Roman"/>
          <w:b/>
          <w:lang w:val="ro-MD"/>
        </w:rPr>
      </w:pPr>
      <w:r w:rsidRPr="000508B6">
        <w:rPr>
          <w:rFonts w:ascii="Times New Roman" w:hAnsi="Times New Roman" w:cs="Times New Roman"/>
          <w:bCs/>
          <w:lang w:val="ro-MD"/>
        </w:rPr>
        <w:t>în ceea ce privește fluxurile de trezorerie viitoare asociate obligațiilor de asigurare sau de reasigurare în moneda respectivă, ponderea fluxurilor de trezorerie viitoare aferente scadențelor în cazul cărora structura temporală relevantă a ratei dobânzilor fără risc este extrapolată în raport cu toate fluxurile de trezorerie viitoare asociate obligațiilor de asigurare sau de reasigurare nu depășește 10 %.</w:t>
      </w:r>
      <w:r w:rsidR="005E5685" w:rsidRPr="000508B6">
        <w:rPr>
          <w:rFonts w:ascii="Times New Roman" w:hAnsi="Times New Roman" w:cs="Times New Roman"/>
          <w:bCs/>
          <w:lang w:val="ro-MD"/>
        </w:rPr>
        <w:t xml:space="preserve"> </w:t>
      </w:r>
    </w:p>
    <w:p w14:paraId="7B9BD467" w14:textId="7EF6751F" w:rsidR="008C548E" w:rsidRPr="000508B6" w:rsidRDefault="00302116" w:rsidP="000A404B">
      <w:pPr>
        <w:pStyle w:val="Listparagraf"/>
        <w:numPr>
          <w:ilvl w:val="1"/>
          <w:numId w:val="293"/>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În secțiunea destinată profesioniștilor din piață,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pun</w:t>
      </w:r>
      <w:r w:rsidR="00546B89" w:rsidRPr="000508B6">
        <w:rPr>
          <w:rFonts w:ascii="Times New Roman" w:hAnsi="Times New Roman" w:cs="Times New Roman"/>
          <w:bCs/>
          <w:lang w:val="ro-MD"/>
        </w:rPr>
        <w:t>e</w:t>
      </w:r>
      <w:r w:rsidRPr="000508B6">
        <w:rPr>
          <w:rFonts w:ascii="Times New Roman" w:hAnsi="Times New Roman" w:cs="Times New Roman"/>
          <w:bCs/>
          <w:lang w:val="ro-MD"/>
        </w:rPr>
        <w:t xml:space="preserve"> la dispoziția publicului impactul combinat al neaplicării mecanismului de introducere treptată </w:t>
      </w:r>
      <w:r w:rsidR="00FF53C6" w:rsidRPr="000508B6">
        <w:rPr>
          <w:rFonts w:ascii="Times New Roman" w:hAnsi="Times New Roman" w:cs="Times New Roman"/>
          <w:bCs/>
          <w:lang w:val="ro-MD"/>
        </w:rPr>
        <w:t xml:space="preserve">prevăzut la art. </w:t>
      </w:r>
      <w:r w:rsidR="008D4896" w:rsidRPr="000508B6">
        <w:rPr>
          <w:rFonts w:ascii="Times New Roman" w:hAnsi="Times New Roman" w:cs="Times New Roman"/>
          <w:bCs/>
          <w:lang w:val="ro-MD"/>
        </w:rPr>
        <w:t xml:space="preserve">44 </w:t>
      </w:r>
      <w:r w:rsidR="00FF53C6" w:rsidRPr="000508B6">
        <w:rPr>
          <w:rFonts w:ascii="Times New Roman" w:hAnsi="Times New Roman" w:cs="Times New Roman"/>
          <w:bCs/>
          <w:lang w:val="ro-MD"/>
        </w:rPr>
        <w:t>alin. (</w:t>
      </w:r>
      <w:r w:rsidR="00105410" w:rsidRPr="000508B6">
        <w:rPr>
          <w:rFonts w:ascii="Times New Roman" w:hAnsi="Times New Roman" w:cs="Times New Roman"/>
          <w:bCs/>
          <w:lang w:val="ro-MD"/>
        </w:rPr>
        <w:t>9</w:t>
      </w:r>
      <w:r w:rsidR="00FF53C6" w:rsidRPr="000508B6">
        <w:rPr>
          <w:rFonts w:ascii="Times New Roman" w:hAnsi="Times New Roman" w:cs="Times New Roman"/>
          <w:bCs/>
          <w:lang w:val="ro-MD"/>
        </w:rPr>
        <w:t>)</w:t>
      </w:r>
      <w:r w:rsidR="004C03C1" w:rsidRPr="000508B6">
        <w:rPr>
          <w:rFonts w:ascii="Times New Roman" w:hAnsi="Times New Roman" w:cs="Times New Roman"/>
          <w:bCs/>
          <w:lang w:val="ro-MD"/>
        </w:rPr>
        <w:t xml:space="preserve"> </w:t>
      </w:r>
      <w:r w:rsidR="00A86E5C" w:rsidRPr="000508B6">
        <w:rPr>
          <w:rFonts w:ascii="Times New Roman" w:hAnsi="Times New Roman" w:cs="Times New Roman"/>
          <w:bCs/>
          <w:lang w:val="ro-MD"/>
        </w:rPr>
        <w:t xml:space="preserve">asupra poziției financiare a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007F129B" w:rsidRPr="000508B6">
        <w:rPr>
          <w:rFonts w:ascii="Times New Roman" w:hAnsi="Times New Roman" w:cs="Times New Roman"/>
          <w:bCs/>
          <w:lang w:val="ro-MD"/>
        </w:rPr>
        <w:t xml:space="preserve"> sau al măsurii tranzitorii prevăzute în actele normative ale </w:t>
      </w:r>
      <w:r w:rsidR="003F6899" w:rsidRPr="000508B6">
        <w:rPr>
          <w:rFonts w:ascii="Times New Roman" w:hAnsi="Times New Roman" w:cs="Times New Roman"/>
          <w:bCs/>
          <w:lang w:val="ro-MD"/>
        </w:rPr>
        <w:t>Băncii Naționale a Moldovei</w:t>
      </w:r>
      <w:r w:rsidR="0063238B" w:rsidRPr="000508B6">
        <w:rPr>
          <w:rFonts w:ascii="Times New Roman" w:hAnsi="Times New Roman" w:cs="Times New Roman"/>
          <w:lang w:val="ro-MD"/>
        </w:rPr>
        <w:t>.</w:t>
      </w:r>
      <w:r w:rsidRPr="000508B6">
        <w:rPr>
          <w:rFonts w:ascii="Times New Roman" w:hAnsi="Times New Roman" w:cs="Times New Roman"/>
          <w:bCs/>
          <w:lang w:val="ro-MD"/>
        </w:rPr>
        <w:t xml:space="preserve"> </w:t>
      </w:r>
    </w:p>
    <w:p w14:paraId="6D424AAA" w14:textId="719ED1BC" w:rsidR="008C32A3" w:rsidRPr="000508B6" w:rsidRDefault="004125E8" w:rsidP="000A404B">
      <w:pPr>
        <w:pStyle w:val="Listparagraf"/>
        <w:numPr>
          <w:ilvl w:val="1"/>
          <w:numId w:val="293"/>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8C32A3" w:rsidRPr="000508B6">
        <w:rPr>
          <w:rFonts w:ascii="Times New Roman" w:hAnsi="Times New Roman" w:cs="Times New Roman"/>
          <w:lang w:val="ro-MD"/>
        </w:rPr>
        <w:t xml:space="preserve"> publică anual obiectivele cuantificabile incluse în planurile menționate la art. 25 alin.</w:t>
      </w:r>
      <w:r w:rsidR="0078751B" w:rsidRPr="000508B6">
        <w:rPr>
          <w:rFonts w:ascii="Times New Roman" w:hAnsi="Times New Roman" w:cs="Times New Roman"/>
          <w:lang w:val="ro-MD"/>
        </w:rPr>
        <w:t xml:space="preserve"> </w:t>
      </w:r>
      <w:r w:rsidR="008C32A3" w:rsidRPr="000508B6">
        <w:rPr>
          <w:rFonts w:ascii="Times New Roman" w:hAnsi="Times New Roman" w:cs="Times New Roman"/>
          <w:lang w:val="ro-MD"/>
        </w:rPr>
        <w:t xml:space="preserve">(9) și (14). </w:t>
      </w:r>
    </w:p>
    <w:p w14:paraId="7EEC2F1C" w14:textId="1720DAF8" w:rsidR="004D5F2D" w:rsidRPr="000508B6" w:rsidRDefault="004125E8" w:rsidP="000A404B">
      <w:pPr>
        <w:pStyle w:val="Listparagraf"/>
        <w:numPr>
          <w:ilvl w:val="1"/>
          <w:numId w:val="293"/>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4D5F2D" w:rsidRPr="000508B6">
        <w:rPr>
          <w:rFonts w:ascii="Times New Roman" w:hAnsi="Times New Roman" w:cs="Times New Roman"/>
          <w:lang w:val="ro-MD"/>
        </w:rPr>
        <w:t xml:space="preserve"> care aplică prevederile art. 44 alin. (</w:t>
      </w:r>
      <w:r w:rsidR="00321340" w:rsidRPr="000508B6">
        <w:rPr>
          <w:rFonts w:ascii="Times New Roman" w:hAnsi="Times New Roman" w:cs="Times New Roman"/>
          <w:lang w:val="ro-MD"/>
        </w:rPr>
        <w:t>9</w:t>
      </w:r>
      <w:r w:rsidR="004D5F2D" w:rsidRPr="000508B6">
        <w:rPr>
          <w:rFonts w:ascii="Times New Roman" w:hAnsi="Times New Roman" w:cs="Times New Roman"/>
          <w:lang w:val="ro-MD"/>
        </w:rPr>
        <w:t>) și alin. (</w:t>
      </w:r>
      <w:r w:rsidR="00321340" w:rsidRPr="000508B6">
        <w:rPr>
          <w:rFonts w:ascii="Times New Roman" w:hAnsi="Times New Roman" w:cs="Times New Roman"/>
          <w:lang w:val="ro-MD"/>
        </w:rPr>
        <w:t>10</w:t>
      </w:r>
      <w:r w:rsidR="004D5F2D" w:rsidRPr="000508B6">
        <w:rPr>
          <w:rFonts w:ascii="Times New Roman" w:hAnsi="Times New Roman" w:cs="Times New Roman"/>
          <w:lang w:val="ro-MD"/>
        </w:rPr>
        <w:t>), publică în secțiunea din raportul privind solvabilitatea și situația financiară</w:t>
      </w:r>
      <w:r w:rsidR="00321340" w:rsidRPr="000508B6">
        <w:rPr>
          <w:rFonts w:ascii="Times New Roman" w:hAnsi="Times New Roman" w:cs="Times New Roman"/>
          <w:lang w:val="ro-MD"/>
        </w:rPr>
        <w:t xml:space="preserve"> în secțiunea destinată profesioniștilor din piață</w:t>
      </w:r>
      <w:r w:rsidR="004D5F2D" w:rsidRPr="000508B6">
        <w:rPr>
          <w:rFonts w:ascii="Times New Roman" w:hAnsi="Times New Roman" w:cs="Times New Roman"/>
          <w:lang w:val="ro-MD"/>
        </w:rPr>
        <w:t xml:space="preserve">: </w:t>
      </w:r>
    </w:p>
    <w:p w14:paraId="45D843D7" w14:textId="7B0E5FAE" w:rsidR="004D5F2D" w:rsidRPr="000508B6" w:rsidRDefault="004D5F2D" w:rsidP="000A404B">
      <w:pPr>
        <w:pStyle w:val="Listparagraf"/>
        <w:numPr>
          <w:ilvl w:val="3"/>
          <w:numId w:val="44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faptul că aplică mecanismul de introducere treptată pentru extrapolare; </w:t>
      </w:r>
    </w:p>
    <w:p w14:paraId="0BE2C01F" w14:textId="425B3344" w:rsidR="004D5F2D" w:rsidRPr="000508B6" w:rsidRDefault="004D5F2D" w:rsidP="00321340">
      <w:pPr>
        <w:pStyle w:val="Listparagraf"/>
        <w:numPr>
          <w:ilvl w:val="3"/>
          <w:numId w:val="44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cuantificarea impactului neaplicării mecanismului de introducere treptată asupra poziției financiare a acesteia.</w:t>
      </w:r>
    </w:p>
    <w:p w14:paraId="731141AF" w14:textId="3FCA9C8F" w:rsidR="000C4CBB" w:rsidRPr="000508B6" w:rsidRDefault="000C4CBB" w:rsidP="000C4CBB">
      <w:pPr>
        <w:pStyle w:val="Listparagraf"/>
        <w:numPr>
          <w:ilvl w:val="1"/>
          <w:numId w:val="293"/>
        </w:numPr>
        <w:tabs>
          <w:tab w:val="left" w:pos="851"/>
          <w:tab w:val="left" w:pos="993"/>
        </w:tabs>
        <w:spacing w:after="0" w:line="240" w:lineRule="auto"/>
        <w:ind w:left="0" w:firstLine="425"/>
        <w:jc w:val="both"/>
        <w:rPr>
          <w:rFonts w:ascii="Times New Roman" w:hAnsi="Times New Roman" w:cs="Times New Roman"/>
          <w:lang w:val="ro-MD"/>
        </w:rPr>
      </w:pPr>
      <w:bookmarkStart w:id="98" w:name="_Hlk203632163"/>
      <w:r w:rsidRPr="000508B6">
        <w:rPr>
          <w:rFonts w:ascii="Times New Roman" w:hAnsi="Times New Roman" w:cs="Times New Roman"/>
          <w:bCs/>
          <w:lang w:val="ro-MD"/>
        </w:rPr>
        <w:t xml:space="preserve">Asigurătorul sau </w:t>
      </w:r>
      <w:proofErr w:type="spellStart"/>
      <w:r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face publice și transmite Băncii Naționale a Moldovei informațiile menționate la prezentul articol la intervale de un an</w:t>
      </w:r>
      <w:r w:rsidR="006A1BE8" w:rsidRPr="000508B6">
        <w:rPr>
          <w:rFonts w:ascii="Times New Roman" w:hAnsi="Times New Roman" w:cs="Times New Roman"/>
          <w:bCs/>
          <w:lang w:val="ro-MD"/>
        </w:rPr>
        <w:t xml:space="preserve"> sau mai mari</w:t>
      </w:r>
      <w:r w:rsidRPr="000508B6">
        <w:rPr>
          <w:rFonts w:ascii="Times New Roman" w:hAnsi="Times New Roman" w:cs="Times New Roman"/>
          <w:bCs/>
          <w:lang w:val="ro-MD"/>
        </w:rPr>
        <w:t xml:space="preserve">, în termen de 18 săptămâni de la încheierea exercițiului financiar. </w:t>
      </w:r>
    </w:p>
    <w:bookmarkEnd w:id="93"/>
    <w:bookmarkEnd w:id="98"/>
    <w:p w14:paraId="03A9C19E" w14:textId="77777777" w:rsidR="00222763" w:rsidRPr="000508B6" w:rsidRDefault="00222763" w:rsidP="00BB2DB1">
      <w:pPr>
        <w:spacing w:after="0" w:line="240" w:lineRule="auto"/>
        <w:ind w:firstLine="426"/>
        <w:jc w:val="both"/>
        <w:rPr>
          <w:rFonts w:ascii="Times New Roman" w:hAnsi="Times New Roman" w:cs="Times New Roman"/>
          <w:b/>
          <w:lang w:val="ro-MD"/>
        </w:rPr>
      </w:pPr>
    </w:p>
    <w:p w14:paraId="782DAE87" w14:textId="5AE4E028" w:rsidR="00BB2DB1" w:rsidRPr="000508B6" w:rsidRDefault="00BB2DB1" w:rsidP="00BB2DB1">
      <w:pPr>
        <w:spacing w:after="0" w:line="240" w:lineRule="auto"/>
        <w:ind w:firstLine="426"/>
        <w:jc w:val="both"/>
        <w:rPr>
          <w:rFonts w:ascii="Times New Roman" w:hAnsi="Times New Roman" w:cs="Times New Roman"/>
          <w:b/>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33</w:t>
      </w:r>
      <w:r w:rsidR="00B03A39" w:rsidRPr="000508B6">
        <w:rPr>
          <w:rFonts w:ascii="Times New Roman" w:hAnsi="Times New Roman" w:cs="Times New Roman"/>
          <w:b/>
          <w:lang w:val="ro-MD"/>
        </w:rPr>
        <w:t>.</w:t>
      </w:r>
      <w:r w:rsidRPr="000508B6">
        <w:rPr>
          <w:rFonts w:ascii="Times New Roman" w:hAnsi="Times New Roman" w:cs="Times New Roman"/>
          <w:b/>
          <w:lang w:val="ro-MD"/>
        </w:rPr>
        <w:t xml:space="preserve"> </w:t>
      </w:r>
      <w:r w:rsidRPr="000508B6">
        <w:rPr>
          <w:rFonts w:ascii="Times New Roman" w:hAnsi="Times New Roman" w:cs="Times New Roman"/>
          <w:lang w:val="ro-MD"/>
        </w:rPr>
        <w:t>Raportul privind solvabilitatea și situația financiară: cerințe de audit</w:t>
      </w:r>
      <w:r w:rsidR="004A050A" w:rsidRPr="000508B6">
        <w:rPr>
          <w:rFonts w:ascii="Times New Roman" w:hAnsi="Times New Roman" w:cs="Times New Roman"/>
          <w:b/>
          <w:lang w:val="ro-MD"/>
        </w:rPr>
        <w:t xml:space="preserve"> </w:t>
      </w:r>
    </w:p>
    <w:p w14:paraId="5E18FB9C" w14:textId="19783FF1" w:rsidR="00C43508" w:rsidRPr="000508B6" w:rsidRDefault="004125E8" w:rsidP="00CF5AFA">
      <w:pPr>
        <w:pStyle w:val="Listparagraf"/>
        <w:numPr>
          <w:ilvl w:val="0"/>
          <w:numId w:val="30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Asigurătorul sau </w:t>
      </w:r>
      <w:proofErr w:type="spellStart"/>
      <w:r w:rsidRPr="000508B6">
        <w:rPr>
          <w:rFonts w:ascii="Times New Roman" w:hAnsi="Times New Roman" w:cs="Times New Roman"/>
          <w:bCs/>
          <w:lang w:val="ro-MD"/>
        </w:rPr>
        <w:t>reasigurătorul</w:t>
      </w:r>
      <w:proofErr w:type="spellEnd"/>
      <w:r w:rsidR="00B51726" w:rsidRPr="000508B6">
        <w:rPr>
          <w:rFonts w:ascii="Times New Roman" w:hAnsi="Times New Roman" w:cs="Times New Roman"/>
          <w:bCs/>
          <w:lang w:val="ro-MD"/>
        </w:rPr>
        <w:t xml:space="preserve"> are obligația de a supune unui audit</w:t>
      </w:r>
      <w:r w:rsidR="00C43508" w:rsidRPr="000508B6">
        <w:rPr>
          <w:rFonts w:ascii="Times New Roman" w:hAnsi="Times New Roman" w:cs="Times New Roman"/>
          <w:bCs/>
          <w:lang w:val="ro-MD"/>
        </w:rPr>
        <w:t xml:space="preserve"> bilanțul publicat în cadrul raportului privind solvabilitatea și situația financiară </w:t>
      </w:r>
      <w:r w:rsidR="00B51726" w:rsidRPr="000508B6">
        <w:rPr>
          <w:rFonts w:ascii="Times New Roman" w:hAnsi="Times New Roman" w:cs="Times New Roman"/>
          <w:bCs/>
          <w:lang w:val="ro-MD"/>
        </w:rPr>
        <w:t xml:space="preserve">prevăzut la </w:t>
      </w:r>
      <w:r w:rsidR="00C43508" w:rsidRPr="000508B6">
        <w:rPr>
          <w:rFonts w:ascii="Times New Roman" w:hAnsi="Times New Roman" w:cs="Times New Roman"/>
          <w:bCs/>
          <w:lang w:val="ro-MD"/>
        </w:rPr>
        <w:t xml:space="preserve">art. </w:t>
      </w:r>
      <w:r w:rsidR="00D73A3C" w:rsidRPr="000508B6">
        <w:rPr>
          <w:rFonts w:ascii="Times New Roman" w:hAnsi="Times New Roman" w:cs="Times New Roman"/>
          <w:bCs/>
          <w:lang w:val="ro-MD"/>
        </w:rPr>
        <w:t>32</w:t>
      </w:r>
      <w:r w:rsidR="00C43508" w:rsidRPr="000508B6">
        <w:rPr>
          <w:rFonts w:ascii="Times New Roman" w:hAnsi="Times New Roman" w:cs="Times New Roman"/>
          <w:bCs/>
          <w:lang w:val="ro-MD"/>
        </w:rPr>
        <w:t xml:space="preserve"> alin. (1) </w:t>
      </w:r>
      <w:r w:rsidR="00B51726" w:rsidRPr="000508B6">
        <w:rPr>
          <w:rFonts w:ascii="Times New Roman" w:hAnsi="Times New Roman" w:cs="Times New Roman"/>
          <w:bCs/>
          <w:lang w:val="ro-MD"/>
        </w:rPr>
        <w:t>sau</w:t>
      </w:r>
      <w:r w:rsidR="00C43508" w:rsidRPr="000508B6">
        <w:rPr>
          <w:rFonts w:ascii="Times New Roman" w:hAnsi="Times New Roman" w:cs="Times New Roman"/>
          <w:bCs/>
          <w:lang w:val="ro-MD"/>
        </w:rPr>
        <w:t xml:space="preserve"> art</w:t>
      </w:r>
      <w:r w:rsidR="002145B3" w:rsidRPr="000508B6">
        <w:rPr>
          <w:rFonts w:ascii="Times New Roman" w:hAnsi="Times New Roman" w:cs="Times New Roman"/>
          <w:bCs/>
          <w:lang w:val="ro-MD"/>
        </w:rPr>
        <w:t>.</w:t>
      </w:r>
      <w:r w:rsidR="00C43508" w:rsidRPr="000508B6">
        <w:rPr>
          <w:rFonts w:ascii="Times New Roman" w:hAnsi="Times New Roman" w:cs="Times New Roman"/>
          <w:bCs/>
          <w:lang w:val="ro-MD"/>
        </w:rPr>
        <w:t xml:space="preserve"> </w:t>
      </w:r>
      <w:r w:rsidR="00D73A3C" w:rsidRPr="000508B6">
        <w:rPr>
          <w:rFonts w:ascii="Times New Roman" w:hAnsi="Times New Roman" w:cs="Times New Roman"/>
          <w:bCs/>
          <w:lang w:val="ro-MD"/>
        </w:rPr>
        <w:t>148</w:t>
      </w:r>
      <w:r w:rsidR="00C43508" w:rsidRPr="000508B6">
        <w:rPr>
          <w:rFonts w:ascii="Times New Roman" w:hAnsi="Times New Roman" w:cs="Times New Roman"/>
          <w:bCs/>
          <w:lang w:val="ro-MD"/>
        </w:rPr>
        <w:t xml:space="preserve"> alin.</w:t>
      </w:r>
      <w:r w:rsidR="0078751B" w:rsidRPr="000508B6">
        <w:rPr>
          <w:rFonts w:ascii="Times New Roman" w:hAnsi="Times New Roman" w:cs="Times New Roman"/>
          <w:bCs/>
          <w:lang w:val="ro-MD"/>
        </w:rPr>
        <w:t xml:space="preserve"> </w:t>
      </w:r>
      <w:r w:rsidR="00C43508" w:rsidRPr="000508B6">
        <w:rPr>
          <w:rFonts w:ascii="Times New Roman" w:hAnsi="Times New Roman" w:cs="Times New Roman"/>
          <w:bCs/>
          <w:lang w:val="ro-MD"/>
        </w:rPr>
        <w:t>(</w:t>
      </w:r>
      <w:r w:rsidR="008103C2" w:rsidRPr="000508B6">
        <w:rPr>
          <w:rFonts w:ascii="Times New Roman" w:hAnsi="Times New Roman" w:cs="Times New Roman"/>
          <w:bCs/>
          <w:lang w:val="ro-MD"/>
        </w:rPr>
        <w:t>3</w:t>
      </w:r>
      <w:r w:rsidR="00C43508" w:rsidRPr="000508B6">
        <w:rPr>
          <w:rFonts w:ascii="Times New Roman" w:hAnsi="Times New Roman" w:cs="Times New Roman"/>
          <w:bCs/>
          <w:lang w:val="ro-MD"/>
        </w:rPr>
        <w:t>) lit.</w:t>
      </w:r>
      <w:r w:rsidR="0078751B" w:rsidRPr="000508B6">
        <w:rPr>
          <w:rFonts w:ascii="Times New Roman" w:hAnsi="Times New Roman" w:cs="Times New Roman"/>
          <w:bCs/>
          <w:lang w:val="ro-MD"/>
        </w:rPr>
        <w:t xml:space="preserve"> </w:t>
      </w:r>
      <w:r w:rsidR="00C43508" w:rsidRPr="000508B6">
        <w:rPr>
          <w:rFonts w:ascii="Times New Roman" w:hAnsi="Times New Roman" w:cs="Times New Roman"/>
          <w:bCs/>
          <w:lang w:val="ro-MD"/>
        </w:rPr>
        <w:t>b).</w:t>
      </w:r>
      <w:r w:rsidR="005E5685" w:rsidRPr="000508B6">
        <w:rPr>
          <w:rFonts w:ascii="Times New Roman" w:hAnsi="Times New Roman" w:cs="Times New Roman"/>
          <w:bCs/>
          <w:lang w:val="ro-MD"/>
        </w:rPr>
        <w:t xml:space="preserve"> </w:t>
      </w:r>
    </w:p>
    <w:p w14:paraId="09A9777A" w14:textId="0E4B978B" w:rsidR="00C43508" w:rsidRPr="000508B6" w:rsidRDefault="00F7114A" w:rsidP="00CF5AFA">
      <w:pPr>
        <w:pStyle w:val="Listparagraf"/>
        <w:numPr>
          <w:ilvl w:val="0"/>
          <w:numId w:val="30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mic și cu un grad redus de complexitate și asigurătorul sau </w:t>
      </w:r>
      <w:proofErr w:type="spellStart"/>
      <w:r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captiv nu are obligația de a supune unui audit bilanțul publicat în cadrul raportului privind solvabilitatea și situația financiară, cu excepția cazului în care p</w:t>
      </w:r>
      <w:r w:rsidR="00C43508" w:rsidRPr="000508B6">
        <w:rPr>
          <w:rFonts w:ascii="Times New Roman" w:hAnsi="Times New Roman" w:cs="Times New Roman"/>
          <w:bCs/>
          <w:lang w:val="ro-MD"/>
        </w:rPr>
        <w:t xml:space="preserve">rin derogare de la art. </w:t>
      </w:r>
      <w:r w:rsidR="00C83BD1" w:rsidRPr="000508B6">
        <w:rPr>
          <w:rFonts w:ascii="Times New Roman" w:hAnsi="Times New Roman" w:cs="Times New Roman"/>
          <w:bCs/>
          <w:lang w:val="ro-MD"/>
        </w:rPr>
        <w:t>172</w:t>
      </w:r>
      <w:r w:rsidR="00C43508" w:rsidRPr="000508B6">
        <w:rPr>
          <w:rFonts w:ascii="Times New Roman" w:hAnsi="Times New Roman" w:cs="Times New Roman"/>
          <w:bCs/>
          <w:lang w:val="ro-MD"/>
        </w:rPr>
        <w:t xml:space="preserve">, </w:t>
      </w:r>
      <w:bookmarkStart w:id="99" w:name="_Hlk210758617"/>
      <w:r w:rsidR="00B51726" w:rsidRPr="000508B6">
        <w:rPr>
          <w:rFonts w:ascii="Times New Roman" w:hAnsi="Times New Roman" w:cs="Times New Roman"/>
          <w:bCs/>
          <w:lang w:val="ro-MD"/>
        </w:rPr>
        <w:t xml:space="preserve">Banca Națională </w:t>
      </w:r>
      <w:r w:rsidR="00231452" w:rsidRPr="000508B6">
        <w:rPr>
          <w:rFonts w:ascii="Times New Roman" w:hAnsi="Times New Roman" w:cs="Times New Roman"/>
          <w:bCs/>
          <w:lang w:val="ro-MD"/>
        </w:rPr>
        <w:t xml:space="preserve">a Moldovei </w:t>
      </w:r>
      <w:bookmarkEnd w:id="99"/>
      <w:r w:rsidR="00B51726" w:rsidRPr="000508B6">
        <w:rPr>
          <w:rFonts w:ascii="Times New Roman" w:hAnsi="Times New Roman" w:cs="Times New Roman"/>
          <w:bCs/>
          <w:lang w:val="ro-MD"/>
        </w:rPr>
        <w:t>solicită</w:t>
      </w:r>
      <w:r w:rsidRPr="000508B6">
        <w:rPr>
          <w:rFonts w:ascii="Times New Roman" w:hAnsi="Times New Roman" w:cs="Times New Roman"/>
          <w:bCs/>
          <w:lang w:val="ro-MD"/>
        </w:rPr>
        <w:t xml:space="preserve"> acest lucru</w:t>
      </w:r>
      <w:r w:rsidR="00C43508" w:rsidRPr="000508B6">
        <w:rPr>
          <w:rFonts w:ascii="Times New Roman" w:hAnsi="Times New Roman" w:cs="Times New Roman"/>
          <w:bCs/>
          <w:lang w:val="ro-MD"/>
        </w:rPr>
        <w:t>.</w:t>
      </w:r>
      <w:r w:rsidR="005E5685" w:rsidRPr="000508B6">
        <w:rPr>
          <w:rFonts w:ascii="Times New Roman" w:hAnsi="Times New Roman" w:cs="Times New Roman"/>
          <w:bCs/>
          <w:lang w:val="ro-MD"/>
        </w:rPr>
        <w:t xml:space="preserve"> </w:t>
      </w:r>
    </w:p>
    <w:p w14:paraId="0808EBFC" w14:textId="0501703D" w:rsidR="00C43508" w:rsidRPr="000508B6" w:rsidRDefault="00231452" w:rsidP="00CF5AFA">
      <w:pPr>
        <w:pStyle w:val="Listparagraf"/>
        <w:numPr>
          <w:ilvl w:val="0"/>
          <w:numId w:val="30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Banca Națională a Moldovei poate solicita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 xml:space="preserve"> să supună unui audit și alte elemente</w:t>
      </w:r>
      <w:r w:rsidR="00C43508" w:rsidRPr="000508B6">
        <w:rPr>
          <w:rFonts w:ascii="Times New Roman" w:hAnsi="Times New Roman" w:cs="Times New Roman"/>
          <w:bCs/>
          <w:lang w:val="ro-MD"/>
        </w:rPr>
        <w:t xml:space="preserve"> ale raportului privind solvabilitatea și situația financiară.</w:t>
      </w:r>
      <w:r w:rsidR="005E5685" w:rsidRPr="000508B6">
        <w:rPr>
          <w:rFonts w:ascii="Times New Roman" w:hAnsi="Times New Roman" w:cs="Times New Roman"/>
          <w:bCs/>
          <w:lang w:val="ro-MD"/>
        </w:rPr>
        <w:t xml:space="preserve"> </w:t>
      </w:r>
    </w:p>
    <w:p w14:paraId="34360E39" w14:textId="233B90BE" w:rsidR="00C43508" w:rsidRPr="000508B6" w:rsidRDefault="00C43508" w:rsidP="00CF5AFA">
      <w:pPr>
        <w:pStyle w:val="Listparagraf"/>
        <w:numPr>
          <w:ilvl w:val="0"/>
          <w:numId w:val="30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Auditul </w:t>
      </w:r>
      <w:r w:rsidR="00231452" w:rsidRPr="000508B6">
        <w:rPr>
          <w:rFonts w:ascii="Times New Roman" w:hAnsi="Times New Roman" w:cs="Times New Roman"/>
          <w:bCs/>
          <w:lang w:val="ro-MD"/>
        </w:rPr>
        <w:t>prevăzut la alin.</w:t>
      </w:r>
      <w:r w:rsidR="0078751B" w:rsidRPr="000508B6">
        <w:rPr>
          <w:rFonts w:ascii="Times New Roman" w:hAnsi="Times New Roman" w:cs="Times New Roman"/>
          <w:bCs/>
          <w:lang w:val="ro-MD"/>
        </w:rPr>
        <w:t xml:space="preserve"> </w:t>
      </w:r>
      <w:r w:rsidR="00231452" w:rsidRPr="000508B6">
        <w:rPr>
          <w:rFonts w:ascii="Times New Roman" w:hAnsi="Times New Roman" w:cs="Times New Roman"/>
          <w:bCs/>
          <w:lang w:val="ro-MD"/>
        </w:rPr>
        <w:t xml:space="preserve">(1) </w:t>
      </w:r>
      <w:r w:rsidRPr="000508B6">
        <w:rPr>
          <w:rFonts w:ascii="Times New Roman" w:hAnsi="Times New Roman" w:cs="Times New Roman"/>
          <w:bCs/>
          <w:lang w:val="ro-MD"/>
        </w:rPr>
        <w:t xml:space="preserve">este efectuat de o entitate de audit, în conformitate cu standardele de auditare aplicabile în temeiul Legii nr. 271/2017. Pentru efectuarea misiunii de audit, auditorii și entitățile de audit îndeplinesc </w:t>
      </w:r>
      <w:r w:rsidR="00290FC5" w:rsidRPr="000508B6">
        <w:rPr>
          <w:rFonts w:ascii="Times New Roman" w:hAnsi="Times New Roman" w:cs="Times New Roman"/>
          <w:bCs/>
          <w:lang w:val="ro-MD"/>
        </w:rPr>
        <w:t xml:space="preserve">obligațiile </w:t>
      </w:r>
      <w:r w:rsidRPr="000508B6">
        <w:rPr>
          <w:rFonts w:ascii="Times New Roman" w:hAnsi="Times New Roman" w:cs="Times New Roman"/>
          <w:bCs/>
          <w:lang w:val="ro-MD"/>
        </w:rPr>
        <w:t>prevăzute la art.</w:t>
      </w:r>
      <w:r w:rsidR="0078751B" w:rsidRPr="000508B6">
        <w:rPr>
          <w:rFonts w:ascii="Times New Roman" w:hAnsi="Times New Roman" w:cs="Times New Roman"/>
          <w:bCs/>
          <w:lang w:val="ro-MD"/>
        </w:rPr>
        <w:t xml:space="preserve"> </w:t>
      </w:r>
      <w:r w:rsidR="00645722" w:rsidRPr="000508B6">
        <w:rPr>
          <w:rFonts w:ascii="Times New Roman" w:hAnsi="Times New Roman" w:cs="Times New Roman"/>
          <w:bCs/>
          <w:lang w:val="ro-MD"/>
        </w:rPr>
        <w:t>38</w:t>
      </w:r>
      <w:r w:rsidRPr="000508B6">
        <w:rPr>
          <w:rFonts w:ascii="Times New Roman" w:hAnsi="Times New Roman" w:cs="Times New Roman"/>
          <w:bCs/>
          <w:lang w:val="ro-MD"/>
        </w:rPr>
        <w:t>.</w:t>
      </w:r>
      <w:r w:rsidR="000C4E5F" w:rsidRPr="000508B6">
        <w:rPr>
          <w:rFonts w:ascii="Times New Roman" w:hAnsi="Times New Roman" w:cs="Times New Roman"/>
          <w:bCs/>
          <w:lang w:val="ro-MD"/>
        </w:rPr>
        <w:t xml:space="preserve"> </w:t>
      </w:r>
    </w:p>
    <w:p w14:paraId="52DA65F6" w14:textId="3F2C8A2D" w:rsidR="00C43508" w:rsidRPr="000508B6" w:rsidRDefault="004125E8" w:rsidP="00CF5AFA">
      <w:pPr>
        <w:pStyle w:val="Listparagraf"/>
        <w:numPr>
          <w:ilvl w:val="0"/>
          <w:numId w:val="30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Asigurătorul sau </w:t>
      </w:r>
      <w:proofErr w:type="spellStart"/>
      <w:r w:rsidRPr="000508B6">
        <w:rPr>
          <w:rFonts w:ascii="Times New Roman" w:hAnsi="Times New Roman" w:cs="Times New Roman"/>
          <w:bCs/>
          <w:lang w:val="ro-MD"/>
        </w:rPr>
        <w:t>reasigurătorul</w:t>
      </w:r>
      <w:proofErr w:type="spellEnd"/>
      <w:r w:rsidR="00C43508" w:rsidRPr="000508B6">
        <w:rPr>
          <w:rFonts w:ascii="Times New Roman" w:hAnsi="Times New Roman" w:cs="Times New Roman"/>
          <w:bCs/>
          <w:lang w:val="ro-MD"/>
        </w:rPr>
        <w:t xml:space="preserve"> prezintă Băncii Naționale a Moldovei, împreună cu raportul privind solvabilitatea și situația financiară, un raport separat întocmit de entitatea de audit, care cuprinde și o descriere a naturii și a rezultatelor auditului.</w:t>
      </w:r>
      <w:r w:rsidR="000C4E5F" w:rsidRPr="000508B6">
        <w:rPr>
          <w:rFonts w:ascii="Times New Roman" w:hAnsi="Times New Roman" w:cs="Times New Roman"/>
          <w:bCs/>
          <w:lang w:val="ro-MD"/>
        </w:rPr>
        <w:t xml:space="preserve"> </w:t>
      </w:r>
    </w:p>
    <w:p w14:paraId="188489D0" w14:textId="68ACA645" w:rsidR="004A050A" w:rsidRPr="000508B6" w:rsidRDefault="004A050A" w:rsidP="008B530F">
      <w:pPr>
        <w:spacing w:after="0" w:line="240" w:lineRule="auto"/>
        <w:ind w:firstLine="426"/>
        <w:jc w:val="both"/>
        <w:rPr>
          <w:rFonts w:ascii="Times New Roman" w:hAnsi="Times New Roman" w:cs="Times New Roman"/>
          <w:b/>
          <w:lang w:val="ro-MD"/>
        </w:rPr>
      </w:pPr>
    </w:p>
    <w:p w14:paraId="284435DA" w14:textId="1E5EBAFC"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34</w:t>
      </w:r>
      <w:r w:rsidRPr="000508B6">
        <w:rPr>
          <w:rFonts w:ascii="Times New Roman" w:hAnsi="Times New Roman" w:cs="Times New Roman"/>
          <w:b/>
          <w:lang w:val="ro-MD"/>
        </w:rPr>
        <w:t>.</w:t>
      </w:r>
      <w:r w:rsidRPr="000508B6">
        <w:rPr>
          <w:rFonts w:ascii="Times New Roman" w:hAnsi="Times New Roman" w:cs="Times New Roman"/>
          <w:lang w:val="ro-MD"/>
        </w:rPr>
        <w:t xml:space="preserve"> </w:t>
      </w:r>
      <w:r w:rsidR="005037EB" w:rsidRPr="000508B6">
        <w:rPr>
          <w:rFonts w:ascii="Times New Roman" w:hAnsi="Times New Roman" w:cs="Times New Roman"/>
          <w:lang w:val="ro-MD"/>
        </w:rPr>
        <w:t xml:space="preserve">Raportul privind solvabilitatea și situația financiară. </w:t>
      </w:r>
      <w:r w:rsidRPr="000508B6">
        <w:rPr>
          <w:rFonts w:ascii="Times New Roman" w:hAnsi="Times New Roman" w:cs="Times New Roman"/>
          <w:lang w:val="ro-MD"/>
        </w:rPr>
        <w:t>Principiile aplicabile</w:t>
      </w:r>
      <w:r w:rsidR="00533413" w:rsidRPr="000508B6">
        <w:rPr>
          <w:rFonts w:ascii="Times New Roman" w:hAnsi="Times New Roman" w:cs="Times New Roman"/>
          <w:lang w:val="ro-MD"/>
        </w:rPr>
        <w:t xml:space="preserve"> publicării informațiilor</w:t>
      </w:r>
    </w:p>
    <w:p w14:paraId="2FA7A550" w14:textId="485F4A75" w:rsidR="00F95829" w:rsidRPr="000508B6" w:rsidRDefault="00A3454D" w:rsidP="00CF5AFA">
      <w:pPr>
        <w:pStyle w:val="Listparagraf"/>
        <w:numPr>
          <w:ilvl w:val="0"/>
          <w:numId w:val="12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permite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să nu publice anumite </w:t>
      </w:r>
      <w:proofErr w:type="spellStart"/>
      <w:r w:rsidR="00F95829" w:rsidRPr="000508B6">
        <w:rPr>
          <w:rFonts w:ascii="Times New Roman" w:hAnsi="Times New Roman" w:cs="Times New Roman"/>
          <w:lang w:val="ro-MD"/>
        </w:rPr>
        <w:t>informaţii</w:t>
      </w:r>
      <w:proofErr w:type="spellEnd"/>
      <w:r w:rsidR="00F95829" w:rsidRPr="000508B6">
        <w:rPr>
          <w:rFonts w:ascii="Times New Roman" w:hAnsi="Times New Roman" w:cs="Times New Roman"/>
          <w:lang w:val="ro-MD"/>
        </w:rPr>
        <w:t>, atunci când:</w:t>
      </w:r>
    </w:p>
    <w:p w14:paraId="4D7DC31B" w14:textId="77777777" w:rsidR="00F95829" w:rsidRPr="000508B6" w:rsidRDefault="00F95829" w:rsidP="00CF5AFA">
      <w:pPr>
        <w:pStyle w:val="Listparagraf"/>
        <w:numPr>
          <w:ilvl w:val="2"/>
          <w:numId w:val="12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publicarea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respective încalcă principiul </w:t>
      </w:r>
      <w:proofErr w:type="spellStart"/>
      <w:r w:rsidRPr="000508B6">
        <w:rPr>
          <w:rFonts w:ascii="Times New Roman" w:hAnsi="Times New Roman" w:cs="Times New Roman"/>
          <w:lang w:val="ro-MD"/>
        </w:rPr>
        <w:t>concurenţei</w:t>
      </w:r>
      <w:proofErr w:type="spellEnd"/>
      <w:r w:rsidRPr="000508B6">
        <w:rPr>
          <w:rFonts w:ascii="Times New Roman" w:hAnsi="Times New Roman" w:cs="Times New Roman"/>
          <w:lang w:val="ro-MD"/>
        </w:rPr>
        <w:t>;</w:t>
      </w:r>
    </w:p>
    <w:p w14:paraId="6CB2C2DD" w14:textId="12A75703" w:rsidR="00F95829" w:rsidRPr="000508B6" w:rsidRDefault="00F95829" w:rsidP="00CF5AFA">
      <w:pPr>
        <w:pStyle w:val="Listparagraf"/>
        <w:numPr>
          <w:ilvl w:val="2"/>
          <w:numId w:val="12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există anumite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faţă</w:t>
      </w:r>
      <w:proofErr w:type="spellEnd"/>
      <w:r w:rsidRPr="000508B6">
        <w:rPr>
          <w:rFonts w:ascii="Times New Roman" w:hAnsi="Times New Roman" w:cs="Times New Roman"/>
          <w:lang w:val="ro-MD"/>
        </w:rPr>
        <w:t xml:space="preserve"> de </w:t>
      </w:r>
      <w:r w:rsidR="001D273C" w:rsidRPr="000508B6">
        <w:rPr>
          <w:rFonts w:ascii="Times New Roman" w:hAnsi="Times New Roman" w:cs="Times New Roman"/>
          <w:lang w:val="ro-MD"/>
        </w:rPr>
        <w:t xml:space="preserve">asigurați </w:t>
      </w:r>
      <w:r w:rsidRPr="000508B6">
        <w:rPr>
          <w:rFonts w:ascii="Times New Roman" w:hAnsi="Times New Roman" w:cs="Times New Roman"/>
          <w:lang w:val="ro-MD"/>
        </w:rPr>
        <w:t xml:space="preserve">sau anumite </w:t>
      </w:r>
      <w:proofErr w:type="spellStart"/>
      <w:r w:rsidRPr="000508B6">
        <w:rPr>
          <w:rFonts w:ascii="Times New Roman" w:hAnsi="Times New Roman" w:cs="Times New Roman"/>
          <w:lang w:val="ro-MD"/>
        </w:rPr>
        <w:t>relaţii</w:t>
      </w:r>
      <w:proofErr w:type="spellEnd"/>
      <w:r w:rsidRPr="000508B6">
        <w:rPr>
          <w:rFonts w:ascii="Times New Roman" w:hAnsi="Times New Roman" w:cs="Times New Roman"/>
          <w:lang w:val="ro-MD"/>
        </w:rPr>
        <w:t xml:space="preserve"> cu contrapartidele, care le obligă la respectarea </w:t>
      </w:r>
      <w:proofErr w:type="spellStart"/>
      <w:r w:rsidRPr="000508B6">
        <w:rPr>
          <w:rFonts w:ascii="Times New Roman" w:hAnsi="Times New Roman" w:cs="Times New Roman"/>
          <w:lang w:val="ro-MD"/>
        </w:rPr>
        <w:t>confidenţialităţii</w:t>
      </w:r>
      <w:proofErr w:type="spellEnd"/>
      <w:r w:rsidRPr="000508B6">
        <w:rPr>
          <w:rFonts w:ascii="Times New Roman" w:hAnsi="Times New Roman" w:cs="Times New Roman"/>
          <w:lang w:val="ro-MD"/>
        </w:rPr>
        <w:t>.</w:t>
      </w:r>
    </w:p>
    <w:p w14:paraId="20EA933F" w14:textId="71415DF7" w:rsidR="00F95829" w:rsidRPr="000508B6" w:rsidRDefault="006D4E61" w:rsidP="00CF5AFA">
      <w:pPr>
        <w:pStyle w:val="Listparagraf"/>
        <w:numPr>
          <w:ilvl w:val="0"/>
          <w:numId w:val="12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permite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F95829" w:rsidRPr="000508B6">
        <w:rPr>
          <w:rFonts w:ascii="Times New Roman" w:hAnsi="Times New Roman" w:cs="Times New Roman"/>
          <w:lang w:val="ro-MD"/>
        </w:rPr>
        <w:t xml:space="preserve"> să facă trimitere la </w:t>
      </w:r>
      <w:proofErr w:type="spellStart"/>
      <w:r w:rsidR="00F95829" w:rsidRPr="000508B6">
        <w:rPr>
          <w:rFonts w:ascii="Times New Roman" w:hAnsi="Times New Roman" w:cs="Times New Roman"/>
          <w:lang w:val="ro-MD"/>
        </w:rPr>
        <w:t>informaţii</w:t>
      </w:r>
      <w:proofErr w:type="spellEnd"/>
      <w:r w:rsidR="00F95829" w:rsidRPr="000508B6">
        <w:rPr>
          <w:rFonts w:ascii="Times New Roman" w:hAnsi="Times New Roman" w:cs="Times New Roman"/>
          <w:lang w:val="ro-MD"/>
        </w:rPr>
        <w:t xml:space="preserve"> deja publicate conform altor </w:t>
      </w:r>
      <w:proofErr w:type="spellStart"/>
      <w:r w:rsidR="00F95829" w:rsidRPr="000508B6">
        <w:rPr>
          <w:rFonts w:ascii="Times New Roman" w:hAnsi="Times New Roman" w:cs="Times New Roman"/>
          <w:lang w:val="ro-MD"/>
        </w:rPr>
        <w:t>dispoziţii</w:t>
      </w:r>
      <w:proofErr w:type="spellEnd"/>
      <w:r w:rsidR="00F95829" w:rsidRPr="000508B6">
        <w:rPr>
          <w:rFonts w:ascii="Times New Roman" w:hAnsi="Times New Roman" w:cs="Times New Roman"/>
          <w:lang w:val="ro-MD"/>
        </w:rPr>
        <w:t xml:space="preserve"> legale, atât timp cât sunt echivalente, ca natură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granularitate, cu </w:t>
      </w:r>
      <w:proofErr w:type="spellStart"/>
      <w:r w:rsidR="00F95829" w:rsidRPr="000508B6">
        <w:rPr>
          <w:rFonts w:ascii="Times New Roman" w:hAnsi="Times New Roman" w:cs="Times New Roman"/>
          <w:lang w:val="ro-MD"/>
        </w:rPr>
        <w:t>informaţiile</w:t>
      </w:r>
      <w:proofErr w:type="spellEnd"/>
      <w:r w:rsidR="00F95829" w:rsidRPr="000508B6">
        <w:rPr>
          <w:rFonts w:ascii="Times New Roman" w:hAnsi="Times New Roman" w:cs="Times New Roman"/>
          <w:lang w:val="ro-MD"/>
        </w:rPr>
        <w:t xml:space="preserve"> prevăzute la art. </w:t>
      </w:r>
      <w:r w:rsidR="00645722" w:rsidRPr="000508B6">
        <w:rPr>
          <w:rFonts w:ascii="Times New Roman" w:hAnsi="Times New Roman" w:cs="Times New Roman"/>
          <w:lang w:val="ro-MD"/>
        </w:rPr>
        <w:t>32</w:t>
      </w:r>
      <w:r w:rsidR="00F95829" w:rsidRPr="000508B6">
        <w:rPr>
          <w:rFonts w:ascii="Times New Roman" w:hAnsi="Times New Roman" w:cs="Times New Roman"/>
          <w:lang w:val="ro-MD"/>
        </w:rPr>
        <w:t xml:space="preserve">. </w:t>
      </w:r>
    </w:p>
    <w:p w14:paraId="621F8E35" w14:textId="20320260" w:rsidR="00F95829" w:rsidRPr="000508B6" w:rsidRDefault="00F95829" w:rsidP="00CF5AFA">
      <w:pPr>
        <w:pStyle w:val="Listparagraf"/>
        <w:numPr>
          <w:ilvl w:val="0"/>
          <w:numId w:val="12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A3454D" w:rsidRPr="000508B6">
        <w:rPr>
          <w:rFonts w:ascii="Times New Roman" w:hAnsi="Times New Roman" w:cs="Times New Roman"/>
          <w:lang w:val="ro-MD"/>
        </w:rPr>
        <w:t xml:space="preserve">Banca Națională a Moldovei permite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A3454D" w:rsidRPr="000508B6">
        <w:rPr>
          <w:rFonts w:ascii="Times New Roman" w:hAnsi="Times New Roman" w:cs="Times New Roman"/>
          <w:lang w:val="ro-MD"/>
        </w:rPr>
        <w:t xml:space="preserve"> </w:t>
      </w:r>
      <w:r w:rsidR="00134E36" w:rsidRPr="000508B6">
        <w:rPr>
          <w:rFonts w:ascii="Times New Roman" w:hAnsi="Times New Roman" w:cs="Times New Roman"/>
          <w:lang w:val="ro-MD"/>
        </w:rPr>
        <w:t xml:space="preserve">să </w:t>
      </w:r>
      <w:r w:rsidRPr="000508B6">
        <w:rPr>
          <w:rFonts w:ascii="Times New Roman" w:hAnsi="Times New Roman" w:cs="Times New Roman"/>
          <w:lang w:val="ro-MD"/>
        </w:rPr>
        <w:t xml:space="preserve">nu publice anumite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în conformitate cu alin. (1),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C00991" w:rsidRPr="000508B6">
        <w:rPr>
          <w:rFonts w:ascii="Times New Roman" w:hAnsi="Times New Roman" w:cs="Times New Roman"/>
          <w:lang w:val="ro-MD"/>
        </w:rPr>
        <w:t xml:space="preserve">dezvăluie </w:t>
      </w:r>
      <w:r w:rsidRPr="000508B6">
        <w:rPr>
          <w:rFonts w:ascii="Times New Roman" w:hAnsi="Times New Roman" w:cs="Times New Roman"/>
          <w:lang w:val="ro-MD"/>
        </w:rPr>
        <w:t xml:space="preserve">acest lucru în raport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explică motivele. </w:t>
      </w:r>
    </w:p>
    <w:p w14:paraId="759DF692" w14:textId="7AD6987C" w:rsidR="00A3454D" w:rsidRPr="000508B6" w:rsidRDefault="00A3454D" w:rsidP="00CF5AFA">
      <w:pPr>
        <w:pStyle w:val="Listparagraf"/>
        <w:numPr>
          <w:ilvl w:val="0"/>
          <w:numId w:val="12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Prevederile alin. (1) și (3) nu se a</w:t>
      </w:r>
      <w:r w:rsidR="00134E36" w:rsidRPr="000508B6">
        <w:rPr>
          <w:rFonts w:ascii="Times New Roman" w:hAnsi="Times New Roman" w:cs="Times New Roman"/>
          <w:lang w:val="ro-MD"/>
        </w:rPr>
        <w:t>p</w:t>
      </w:r>
      <w:r w:rsidRPr="000508B6">
        <w:rPr>
          <w:rFonts w:ascii="Times New Roman" w:hAnsi="Times New Roman" w:cs="Times New Roman"/>
          <w:lang w:val="ro-MD"/>
        </w:rPr>
        <w:t xml:space="preserve">lică în cazul informațiilor prevăzute la art. 32 alin. (3) lit. b) </w:t>
      </w:r>
      <w:r w:rsidR="00134E36" w:rsidRPr="000508B6">
        <w:rPr>
          <w:rFonts w:ascii="Times New Roman" w:hAnsi="Times New Roman" w:cs="Times New Roman"/>
          <w:lang w:val="ro-MD"/>
        </w:rPr>
        <w:t xml:space="preserve">și </w:t>
      </w:r>
      <w:r w:rsidRPr="000508B6">
        <w:rPr>
          <w:rFonts w:ascii="Times New Roman" w:hAnsi="Times New Roman" w:cs="Times New Roman"/>
          <w:lang w:val="ro-MD"/>
        </w:rPr>
        <w:t>alin. (4) lit. d) și e)</w:t>
      </w:r>
      <w:r w:rsidR="0045606F" w:rsidRPr="000508B6">
        <w:rPr>
          <w:rFonts w:ascii="Times New Roman" w:hAnsi="Times New Roman" w:cs="Times New Roman"/>
          <w:lang w:val="ro-MD"/>
        </w:rPr>
        <w:t>.</w:t>
      </w:r>
    </w:p>
    <w:p w14:paraId="0832BC5E" w14:textId="77777777" w:rsidR="00B15D02" w:rsidRPr="000508B6" w:rsidRDefault="00B15D02" w:rsidP="008B530F">
      <w:pPr>
        <w:spacing w:after="0" w:line="240" w:lineRule="auto"/>
        <w:ind w:firstLine="426"/>
        <w:jc w:val="both"/>
        <w:rPr>
          <w:rFonts w:ascii="Times New Roman" w:hAnsi="Times New Roman" w:cs="Times New Roman"/>
          <w:b/>
          <w:lang w:val="ro-MD"/>
        </w:rPr>
      </w:pPr>
    </w:p>
    <w:p w14:paraId="545359BD" w14:textId="3F480E56"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35</w:t>
      </w:r>
      <w:r w:rsidRPr="000508B6">
        <w:rPr>
          <w:rFonts w:ascii="Times New Roman" w:hAnsi="Times New Roman" w:cs="Times New Roman"/>
          <w:b/>
          <w:lang w:val="ro-MD"/>
        </w:rPr>
        <w:t>.</w:t>
      </w:r>
      <w:r w:rsidRPr="000508B6">
        <w:rPr>
          <w:rFonts w:ascii="Times New Roman" w:hAnsi="Times New Roman" w:cs="Times New Roman"/>
          <w:lang w:val="ro-MD"/>
        </w:rPr>
        <w:t xml:space="preserve"> </w:t>
      </w:r>
      <w:r w:rsidR="00E05C91" w:rsidRPr="000508B6">
        <w:rPr>
          <w:rFonts w:ascii="Times New Roman" w:hAnsi="Times New Roman" w:cs="Times New Roman"/>
          <w:lang w:val="ro-MD"/>
        </w:rPr>
        <w:t xml:space="preserve">Raportul privind solvabilitatea și situația financiară: actualizări și informații suplimentare </w:t>
      </w:r>
    </w:p>
    <w:p w14:paraId="1CA68433" w14:textId="3C8F50F8" w:rsidR="00F95829" w:rsidRPr="000508B6" w:rsidRDefault="00D068AA" w:rsidP="00CF5AFA">
      <w:pPr>
        <w:pStyle w:val="Listparagraf"/>
        <w:numPr>
          <w:ilvl w:val="0"/>
          <w:numId w:val="13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835CE4"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publică suplimentar </w:t>
      </w:r>
      <w:proofErr w:type="spellStart"/>
      <w:r w:rsidR="00F95829" w:rsidRPr="000508B6">
        <w:rPr>
          <w:rFonts w:ascii="Times New Roman" w:hAnsi="Times New Roman" w:cs="Times New Roman"/>
          <w:lang w:val="ro-MD"/>
        </w:rPr>
        <w:t>informaţii</w:t>
      </w:r>
      <w:proofErr w:type="spellEnd"/>
      <w:r w:rsidR="00F95829" w:rsidRPr="000508B6">
        <w:rPr>
          <w:rFonts w:ascii="Times New Roman" w:hAnsi="Times New Roman" w:cs="Times New Roman"/>
          <w:lang w:val="ro-MD"/>
        </w:rPr>
        <w:t xml:space="preserve"> privind natura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efectele modificărilor semnificative care afectează </w:t>
      </w:r>
      <w:proofErr w:type="spellStart"/>
      <w:r w:rsidR="00F95829" w:rsidRPr="000508B6">
        <w:rPr>
          <w:rFonts w:ascii="Times New Roman" w:hAnsi="Times New Roman" w:cs="Times New Roman"/>
          <w:lang w:val="ro-MD"/>
        </w:rPr>
        <w:t>relevanţa</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informaţiilor</w:t>
      </w:r>
      <w:proofErr w:type="spellEnd"/>
      <w:r w:rsidR="00F95829" w:rsidRPr="000508B6">
        <w:rPr>
          <w:rFonts w:ascii="Times New Roman" w:hAnsi="Times New Roman" w:cs="Times New Roman"/>
          <w:lang w:val="ro-MD"/>
        </w:rPr>
        <w:t xml:space="preserve"> publicate în conformitate cu art. </w:t>
      </w:r>
      <w:r w:rsidR="0036391C" w:rsidRPr="000508B6">
        <w:rPr>
          <w:rFonts w:ascii="Times New Roman" w:hAnsi="Times New Roman" w:cs="Times New Roman"/>
          <w:lang w:val="ro-MD"/>
        </w:rPr>
        <w:t>32</w:t>
      </w:r>
      <w:r w:rsidR="00E61FC7"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r w:rsidR="0036391C" w:rsidRPr="000508B6">
        <w:rPr>
          <w:rFonts w:ascii="Times New Roman" w:hAnsi="Times New Roman" w:cs="Times New Roman"/>
          <w:lang w:val="ro-MD"/>
        </w:rPr>
        <w:t>34</w:t>
      </w:r>
      <w:r w:rsidR="00D158EB" w:rsidRPr="000508B6">
        <w:rPr>
          <w:rFonts w:ascii="Times New Roman" w:hAnsi="Times New Roman" w:cs="Times New Roman"/>
          <w:lang w:val="ro-MD"/>
        </w:rPr>
        <w:t xml:space="preserve">. </w:t>
      </w:r>
    </w:p>
    <w:p w14:paraId="3B2A5884" w14:textId="1BBA69E1" w:rsidR="00F95829" w:rsidRPr="000508B6" w:rsidRDefault="00FC56AB" w:rsidP="00CF5AFA">
      <w:pPr>
        <w:pStyle w:val="Listparagraf"/>
        <w:numPr>
          <w:ilvl w:val="0"/>
          <w:numId w:val="13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alin. (1), s</w:t>
      </w:r>
      <w:r w:rsidR="00F95829" w:rsidRPr="000508B6">
        <w:rPr>
          <w:rFonts w:ascii="Times New Roman" w:hAnsi="Times New Roman" w:cs="Times New Roman"/>
          <w:lang w:val="ro-MD"/>
        </w:rPr>
        <w:t xml:space="preserve">e consideră a fi modificări semnificative, </w:t>
      </w:r>
      <w:r w:rsidR="00642B43" w:rsidRPr="000508B6">
        <w:rPr>
          <w:rFonts w:ascii="Times New Roman" w:hAnsi="Times New Roman" w:cs="Times New Roman"/>
          <w:lang w:val="ro-MD"/>
        </w:rPr>
        <w:t xml:space="preserve">cel puțin </w:t>
      </w:r>
      <w:r w:rsidR="00F95829" w:rsidRPr="000508B6">
        <w:rPr>
          <w:rFonts w:ascii="Times New Roman" w:hAnsi="Times New Roman" w:cs="Times New Roman"/>
          <w:lang w:val="ro-MD"/>
        </w:rPr>
        <w:t xml:space="preserve">una dintre următoarele </w:t>
      </w:r>
      <w:proofErr w:type="spellStart"/>
      <w:r w:rsidR="00F95829" w:rsidRPr="000508B6">
        <w:rPr>
          <w:rFonts w:ascii="Times New Roman" w:hAnsi="Times New Roman" w:cs="Times New Roman"/>
          <w:lang w:val="ro-MD"/>
        </w:rPr>
        <w:t>situaţii</w:t>
      </w:r>
      <w:proofErr w:type="spellEnd"/>
      <w:r w:rsidR="00F95829" w:rsidRPr="000508B6">
        <w:rPr>
          <w:rFonts w:ascii="Times New Roman" w:hAnsi="Times New Roman" w:cs="Times New Roman"/>
          <w:lang w:val="ro-MD"/>
        </w:rPr>
        <w:t xml:space="preserve">: </w:t>
      </w:r>
    </w:p>
    <w:p w14:paraId="62929E70" w14:textId="3802EAB9" w:rsidR="00F95829" w:rsidRPr="000508B6" w:rsidRDefault="00F95829" w:rsidP="00CF5AFA">
      <w:pPr>
        <w:pStyle w:val="Listparagraf"/>
        <w:numPr>
          <w:ilvl w:val="2"/>
          <w:numId w:val="13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MCR nu mai este respectată, iar </w:t>
      </w:r>
      <w:r w:rsidRPr="000508B6">
        <w:rPr>
          <w:rFonts w:ascii="Times New Roman" w:eastAsia="Times New Roman" w:hAnsi="Times New Roman" w:cs="Times New Roman"/>
          <w:lang w:val="ro-MD"/>
        </w:rPr>
        <w:t>Banca Națională a Moldovei</w:t>
      </w:r>
      <w:r w:rsidRPr="000508B6">
        <w:rPr>
          <w:rFonts w:ascii="Times New Roman" w:hAnsi="Times New Roman" w:cs="Times New Roman"/>
          <w:lang w:val="ro-MD"/>
        </w:rPr>
        <w:t xml:space="preserve"> consideră că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222763" w:rsidRPr="000508B6">
        <w:rPr>
          <w:rFonts w:ascii="Times New Roman" w:hAnsi="Times New Roman" w:cs="Times New Roman"/>
          <w:lang w:val="ro-MD"/>
        </w:rPr>
        <w:t xml:space="preserve"> </w:t>
      </w:r>
      <w:r w:rsidRPr="000508B6">
        <w:rPr>
          <w:rFonts w:ascii="Times New Roman" w:hAnsi="Times New Roman" w:cs="Times New Roman"/>
          <w:lang w:val="ro-MD"/>
        </w:rPr>
        <w:t>nu po</w:t>
      </w:r>
      <w:r w:rsidR="00C779EB" w:rsidRPr="000508B6">
        <w:rPr>
          <w:rFonts w:ascii="Times New Roman" w:hAnsi="Times New Roman" w:cs="Times New Roman"/>
          <w:lang w:val="ro-MD"/>
        </w:rPr>
        <w:t>a</w:t>
      </w:r>
      <w:r w:rsidRPr="000508B6">
        <w:rPr>
          <w:rFonts w:ascii="Times New Roman" w:hAnsi="Times New Roman" w:cs="Times New Roman"/>
          <w:lang w:val="ro-MD"/>
        </w:rPr>
        <w:t>t</w:t>
      </w:r>
      <w:r w:rsidR="00C779EB" w:rsidRPr="000508B6">
        <w:rPr>
          <w:rFonts w:ascii="Times New Roman" w:hAnsi="Times New Roman" w:cs="Times New Roman"/>
          <w:lang w:val="ro-MD"/>
        </w:rPr>
        <w:t>e</w:t>
      </w:r>
      <w:r w:rsidRPr="000508B6">
        <w:rPr>
          <w:rFonts w:ascii="Times New Roman" w:hAnsi="Times New Roman" w:cs="Times New Roman"/>
          <w:lang w:val="ro-MD"/>
        </w:rPr>
        <w:t xml:space="preserve"> prezenta un plan realist de </w:t>
      </w:r>
      <w:proofErr w:type="spellStart"/>
      <w:r w:rsidRPr="000508B6">
        <w:rPr>
          <w:rFonts w:ascii="Times New Roman" w:hAnsi="Times New Roman" w:cs="Times New Roman"/>
          <w:lang w:val="ro-MD"/>
        </w:rPr>
        <w:t>finanţare</w:t>
      </w:r>
      <w:proofErr w:type="spellEnd"/>
      <w:r w:rsidRPr="000508B6">
        <w:rPr>
          <w:rFonts w:ascii="Times New Roman" w:hAnsi="Times New Roman" w:cs="Times New Roman"/>
          <w:lang w:val="ro-MD"/>
        </w:rPr>
        <w:t xml:space="preserve"> pe termen scurt sau </w:t>
      </w:r>
      <w:r w:rsidR="00C779EB" w:rsidRPr="000508B6">
        <w:rPr>
          <w:rFonts w:ascii="Times New Roman" w:hAnsi="Times New Roman" w:cs="Times New Roman"/>
          <w:lang w:val="ro-MD"/>
        </w:rPr>
        <w:t xml:space="preserve">aceasta </w:t>
      </w:r>
      <w:r w:rsidRPr="000508B6">
        <w:rPr>
          <w:rFonts w:ascii="Times New Roman" w:hAnsi="Times New Roman" w:cs="Times New Roman"/>
          <w:lang w:val="ro-MD"/>
        </w:rPr>
        <w:t>nu îl transmit</w:t>
      </w:r>
      <w:r w:rsidR="00C779EB" w:rsidRPr="000508B6">
        <w:rPr>
          <w:rFonts w:ascii="Times New Roman" w:hAnsi="Times New Roman" w:cs="Times New Roman"/>
          <w:lang w:val="ro-MD"/>
        </w:rPr>
        <w:t>e</w:t>
      </w:r>
      <w:r w:rsidRPr="000508B6">
        <w:rPr>
          <w:rFonts w:ascii="Times New Roman" w:hAnsi="Times New Roman" w:cs="Times New Roman"/>
          <w:lang w:val="ro-MD"/>
        </w:rPr>
        <w:t xml:space="preserve"> Băncii Naționale a Moldovei în termen de o lună de la data constatării nerespectării MCR; </w:t>
      </w:r>
    </w:p>
    <w:p w14:paraId="2DD50A67" w14:textId="0289EF4A" w:rsidR="00F95829" w:rsidRPr="000508B6" w:rsidRDefault="00F95829" w:rsidP="00CF5AFA">
      <w:pPr>
        <w:pStyle w:val="Listparagraf"/>
        <w:numPr>
          <w:ilvl w:val="2"/>
          <w:numId w:val="13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gradul de </w:t>
      </w:r>
      <w:proofErr w:type="spellStart"/>
      <w:r w:rsidRPr="000508B6">
        <w:rPr>
          <w:rFonts w:ascii="Times New Roman" w:hAnsi="Times New Roman" w:cs="Times New Roman"/>
          <w:lang w:val="ro-MD"/>
        </w:rPr>
        <w:t>semnificaţie</w:t>
      </w:r>
      <w:proofErr w:type="spellEnd"/>
      <w:r w:rsidRPr="000508B6">
        <w:rPr>
          <w:rFonts w:ascii="Times New Roman" w:hAnsi="Times New Roman" w:cs="Times New Roman"/>
          <w:lang w:val="ro-MD"/>
        </w:rPr>
        <w:t xml:space="preserve"> a nerespectării SCR este ridicat, </w:t>
      </w:r>
      <w:r w:rsidR="001E6FFD" w:rsidRPr="000508B6">
        <w:rPr>
          <w:rFonts w:ascii="Times New Roman" w:hAnsi="Times New Roman" w:cs="Times New Roman"/>
          <w:lang w:val="ro-MD"/>
        </w:rPr>
        <w:t>iar</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nu transmit</w:t>
      </w:r>
      <w:r w:rsidR="00BD144C" w:rsidRPr="000508B6">
        <w:rPr>
          <w:rFonts w:ascii="Times New Roman" w:hAnsi="Times New Roman" w:cs="Times New Roman"/>
          <w:lang w:val="ro-MD"/>
        </w:rPr>
        <w:t>e</w:t>
      </w:r>
      <w:r w:rsidRPr="000508B6">
        <w:rPr>
          <w:rFonts w:ascii="Times New Roman" w:hAnsi="Times New Roman" w:cs="Times New Roman"/>
          <w:lang w:val="ro-MD"/>
        </w:rPr>
        <w:t xml:space="preserve"> Băncii Naționale a Moldovei un plan realist de redresare în termen de două luni de la data constatării nerespectării SCR. </w:t>
      </w:r>
    </w:p>
    <w:p w14:paraId="60FCD17B" w14:textId="597CA232" w:rsidR="00F95829" w:rsidRPr="000508B6" w:rsidRDefault="00F95829" w:rsidP="00CF5AFA">
      <w:pPr>
        <w:pStyle w:val="Listparagraf"/>
        <w:numPr>
          <w:ilvl w:val="0"/>
          <w:numId w:val="13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w:t>
      </w:r>
      <w:r w:rsidRPr="000508B6" w:rsidDel="00C779EB">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C779EB" w:rsidRPr="000508B6">
        <w:rPr>
          <w:rFonts w:ascii="Times New Roman" w:hAnsi="Times New Roman" w:cs="Times New Roman"/>
          <w:lang w:val="ro-MD"/>
        </w:rPr>
        <w:t xml:space="preserve"> </w:t>
      </w:r>
      <w:r w:rsidRPr="000508B6">
        <w:rPr>
          <w:rFonts w:ascii="Times New Roman" w:hAnsi="Times New Roman" w:cs="Times New Roman"/>
          <w:lang w:val="ro-MD"/>
        </w:rPr>
        <w:t>publică</w:t>
      </w:r>
      <w:r w:rsidR="008F245A" w:rsidRPr="000508B6">
        <w:rPr>
          <w:rFonts w:ascii="Times New Roman" w:hAnsi="Times New Roman" w:cs="Times New Roman"/>
          <w:lang w:val="ro-MD"/>
        </w:rPr>
        <w:t xml:space="preserve"> imediat</w:t>
      </w:r>
      <w:r w:rsidRPr="000508B6">
        <w:rPr>
          <w:rFonts w:ascii="Times New Roman" w:hAnsi="Times New Roman" w:cs="Times New Roman"/>
          <w:lang w:val="ro-MD"/>
        </w:rPr>
        <w:t xml:space="preserve">: </w:t>
      </w:r>
    </w:p>
    <w:p w14:paraId="5DFD4123" w14:textId="77777777" w:rsidR="00F95829" w:rsidRPr="000508B6" w:rsidRDefault="00F95829" w:rsidP="00CF5AFA">
      <w:pPr>
        <w:pStyle w:val="Listparagraf"/>
        <w:numPr>
          <w:ilvl w:val="2"/>
          <w:numId w:val="13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cu care este nerespectată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explicaţii</w:t>
      </w:r>
      <w:proofErr w:type="spellEnd"/>
      <w:r w:rsidRPr="000508B6">
        <w:rPr>
          <w:rFonts w:ascii="Times New Roman" w:hAnsi="Times New Roman" w:cs="Times New Roman"/>
          <w:lang w:val="ro-MD"/>
        </w:rPr>
        <w:t xml:space="preserve"> privind cauzele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consecinţele</w:t>
      </w:r>
      <w:proofErr w:type="spellEnd"/>
      <w:r w:rsidRPr="000508B6">
        <w:rPr>
          <w:rFonts w:ascii="Times New Roman" w:hAnsi="Times New Roman" w:cs="Times New Roman"/>
          <w:lang w:val="ro-MD"/>
        </w:rPr>
        <w:t xml:space="preserve"> acesteia; </w:t>
      </w:r>
    </w:p>
    <w:p w14:paraId="57B8B34E" w14:textId="77777777" w:rsidR="00F95829" w:rsidRPr="000508B6" w:rsidRDefault="00F95829" w:rsidP="00CF5AFA">
      <w:pPr>
        <w:pStyle w:val="Listparagraf"/>
        <w:numPr>
          <w:ilvl w:val="2"/>
          <w:numId w:val="13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cu care este nerespectată MCR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explicaţii</w:t>
      </w:r>
      <w:proofErr w:type="spellEnd"/>
      <w:r w:rsidRPr="000508B6">
        <w:rPr>
          <w:rFonts w:ascii="Times New Roman" w:hAnsi="Times New Roman" w:cs="Times New Roman"/>
          <w:lang w:val="ro-MD"/>
        </w:rPr>
        <w:t xml:space="preserve"> privind cauzele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consecinţele</w:t>
      </w:r>
      <w:proofErr w:type="spellEnd"/>
      <w:r w:rsidRPr="000508B6">
        <w:rPr>
          <w:rFonts w:ascii="Times New Roman" w:hAnsi="Times New Roman" w:cs="Times New Roman"/>
          <w:lang w:val="ro-MD"/>
        </w:rPr>
        <w:t xml:space="preserve"> acesteia; </w:t>
      </w:r>
    </w:p>
    <w:p w14:paraId="63C39E23" w14:textId="48A8A4EC" w:rsidR="00F95829" w:rsidRPr="000508B6" w:rsidRDefault="00F95829" w:rsidP="00CF5AFA">
      <w:pPr>
        <w:pStyle w:val="Listparagraf"/>
        <w:numPr>
          <w:ilvl w:val="2"/>
          <w:numId w:val="13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măsurile de remediere adoptate.</w:t>
      </w:r>
    </w:p>
    <w:p w14:paraId="629686A5" w14:textId="02BA6201" w:rsidR="00F95829" w:rsidRPr="000508B6" w:rsidRDefault="00F95829" w:rsidP="00CF5AFA">
      <w:pPr>
        <w:pStyle w:val="Listparagraf"/>
        <w:numPr>
          <w:ilvl w:val="0"/>
          <w:numId w:val="130"/>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proofErr w:type="spellStart"/>
      <w:r w:rsidRPr="000508B6">
        <w:rPr>
          <w:rFonts w:ascii="Times New Roman" w:hAnsi="Times New Roman" w:cs="Times New Roman"/>
          <w:lang w:val="ro-MD"/>
        </w:rPr>
        <w:t>deficienţa</w:t>
      </w:r>
      <w:proofErr w:type="spellEnd"/>
      <w:r w:rsidRPr="000508B6">
        <w:rPr>
          <w:rFonts w:ascii="Times New Roman" w:hAnsi="Times New Roman" w:cs="Times New Roman"/>
          <w:lang w:val="ro-MD"/>
        </w:rPr>
        <w:t xml:space="preserve"> prevăzută la alin. (2) lit. a) nu este remediată în termen de 3 luni, iar cea prevăzută la alin. (2) lit. b) în termen de 6 luni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planurile respective se dovedesc ineficiente la </w:t>
      </w:r>
      <w:proofErr w:type="spellStart"/>
      <w:r w:rsidRPr="000508B6">
        <w:rPr>
          <w:rFonts w:ascii="Times New Roman" w:hAnsi="Times New Roman" w:cs="Times New Roman"/>
          <w:lang w:val="ro-MD"/>
        </w:rPr>
        <w:t>sfârşitul</w:t>
      </w:r>
      <w:proofErr w:type="spellEnd"/>
      <w:r w:rsidRPr="000508B6">
        <w:rPr>
          <w:rFonts w:ascii="Times New Roman" w:hAnsi="Times New Roman" w:cs="Times New Roman"/>
          <w:lang w:val="ro-MD"/>
        </w:rPr>
        <w:t xml:space="preserve"> acestor perioade,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222763" w:rsidRPr="000508B6">
        <w:rPr>
          <w:rFonts w:ascii="Times New Roman" w:hAnsi="Times New Roman" w:cs="Times New Roman"/>
          <w:lang w:val="ro-MD"/>
        </w:rPr>
        <w:t xml:space="preserve"> </w:t>
      </w:r>
      <w:r w:rsidRPr="000508B6">
        <w:rPr>
          <w:rFonts w:ascii="Times New Roman" w:hAnsi="Times New Roman" w:cs="Times New Roman"/>
          <w:lang w:val="ro-MD"/>
        </w:rPr>
        <w:t>publică acest lucru, inclusiv noile măsuri de remediere planificate.</w:t>
      </w:r>
    </w:p>
    <w:p w14:paraId="43B8514A" w14:textId="22058919" w:rsidR="00F95829" w:rsidRPr="000508B6" w:rsidRDefault="00F95829" w:rsidP="00CF5AFA">
      <w:pPr>
        <w:pStyle w:val="Listparagraf"/>
        <w:numPr>
          <w:ilvl w:val="0"/>
          <w:numId w:val="13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Suplimentar </w:t>
      </w:r>
      <w:proofErr w:type="spellStart"/>
      <w:r w:rsidRPr="000508B6">
        <w:rPr>
          <w:rFonts w:ascii="Times New Roman" w:hAnsi="Times New Roman" w:cs="Times New Roman"/>
          <w:lang w:val="ro-MD"/>
        </w:rPr>
        <w:t>faţă</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prevăzute la art. </w:t>
      </w:r>
      <w:r w:rsidR="0036391C" w:rsidRPr="000508B6">
        <w:rPr>
          <w:rFonts w:ascii="Times New Roman" w:hAnsi="Times New Roman" w:cs="Times New Roman"/>
          <w:lang w:val="ro-MD"/>
        </w:rPr>
        <w:t>32</w:t>
      </w:r>
      <w:r w:rsidR="00C446E3" w:rsidRPr="000508B6">
        <w:rPr>
          <w:rFonts w:ascii="Times New Roman" w:hAnsi="Times New Roman" w:cs="Times New Roman"/>
          <w:lang w:val="ro-MD"/>
        </w:rPr>
        <w:t xml:space="preserve"> și </w:t>
      </w:r>
      <w:r w:rsidR="0036391C" w:rsidRPr="000508B6">
        <w:rPr>
          <w:rFonts w:ascii="Times New Roman" w:hAnsi="Times New Roman" w:cs="Times New Roman"/>
          <w:lang w:val="ro-MD"/>
        </w:rPr>
        <w:t>34</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D068AA" w:rsidRPr="000508B6">
        <w:rPr>
          <w:rFonts w:ascii="Times New Roman" w:hAnsi="Times New Roman" w:cs="Times New Roman"/>
          <w:lang w:val="ro-MD"/>
        </w:rPr>
        <w:t xml:space="preserve"> </w:t>
      </w:r>
      <w:r w:rsidRPr="000508B6">
        <w:rPr>
          <w:rFonts w:ascii="Times New Roman" w:hAnsi="Times New Roman" w:cs="Times New Roman"/>
          <w:lang w:val="ro-MD"/>
        </w:rPr>
        <w:t>po</w:t>
      </w:r>
      <w:r w:rsidR="00BD144C" w:rsidRPr="000508B6">
        <w:rPr>
          <w:rFonts w:ascii="Times New Roman" w:hAnsi="Times New Roman" w:cs="Times New Roman"/>
          <w:lang w:val="ro-MD"/>
        </w:rPr>
        <w:t>a</w:t>
      </w:r>
      <w:r w:rsidRPr="000508B6">
        <w:rPr>
          <w:rFonts w:ascii="Times New Roman" w:hAnsi="Times New Roman" w:cs="Times New Roman"/>
          <w:lang w:val="ro-MD"/>
        </w:rPr>
        <w:t>t</w:t>
      </w:r>
      <w:r w:rsidR="00BD144C" w:rsidRPr="000508B6">
        <w:rPr>
          <w:rFonts w:ascii="Times New Roman" w:hAnsi="Times New Roman" w:cs="Times New Roman"/>
          <w:lang w:val="ro-MD"/>
        </w:rPr>
        <w:t>e</w:t>
      </w:r>
      <w:r w:rsidRPr="000508B6">
        <w:rPr>
          <w:rFonts w:ascii="Times New Roman" w:hAnsi="Times New Roman" w:cs="Times New Roman"/>
          <w:lang w:val="ro-MD"/>
        </w:rPr>
        <w:t xml:space="preserve"> publica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alte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cu privire la solvabilitatea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financiară. </w:t>
      </w:r>
    </w:p>
    <w:p w14:paraId="11136C90"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31387A46" w14:textId="666D4A8E"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36</w:t>
      </w:r>
      <w:r w:rsidRPr="000508B6">
        <w:rPr>
          <w:rFonts w:ascii="Times New Roman" w:hAnsi="Times New Roman" w:cs="Times New Roman"/>
          <w:b/>
          <w:lang w:val="ro-MD"/>
        </w:rPr>
        <w:t>.</w:t>
      </w:r>
      <w:r w:rsidRPr="000508B6">
        <w:rPr>
          <w:rFonts w:ascii="Times New Roman" w:hAnsi="Times New Roman" w:cs="Times New Roman"/>
          <w:lang w:val="ro-MD"/>
        </w:rPr>
        <w:t xml:space="preserve"> Strategia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aprobarea</w:t>
      </w:r>
      <w:r w:rsidR="00023D86" w:rsidRPr="000508B6">
        <w:rPr>
          <w:rFonts w:ascii="Times New Roman" w:hAnsi="Times New Roman" w:cs="Times New Roman"/>
          <w:lang w:val="ro-MD"/>
        </w:rPr>
        <w:t xml:space="preserve"> publicării informațiilor</w:t>
      </w:r>
      <w:r w:rsidR="00F4174A" w:rsidRPr="000508B6">
        <w:rPr>
          <w:rFonts w:ascii="Times New Roman" w:hAnsi="Times New Roman" w:cs="Times New Roman"/>
          <w:lang w:val="ro-MD"/>
        </w:rPr>
        <w:t xml:space="preserve"> </w:t>
      </w:r>
    </w:p>
    <w:p w14:paraId="5EB79E7A" w14:textId="34B2B68F" w:rsidR="00F95829" w:rsidRPr="000508B6" w:rsidRDefault="004125E8" w:rsidP="00105410">
      <w:pPr>
        <w:pStyle w:val="Listparagraf"/>
        <w:numPr>
          <w:ilvl w:val="0"/>
          <w:numId w:val="132"/>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instituie sisteme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structuri corespunzătoare care să asigure respectarea </w:t>
      </w:r>
      <w:proofErr w:type="spellStart"/>
      <w:r w:rsidR="00F95829" w:rsidRPr="000508B6">
        <w:rPr>
          <w:rFonts w:ascii="Times New Roman" w:hAnsi="Times New Roman" w:cs="Times New Roman"/>
          <w:lang w:val="ro-MD"/>
        </w:rPr>
        <w:t>cerinţelor</w:t>
      </w:r>
      <w:proofErr w:type="spellEnd"/>
      <w:r w:rsidR="00F95829" w:rsidRPr="000508B6">
        <w:rPr>
          <w:rFonts w:ascii="Times New Roman" w:hAnsi="Times New Roman" w:cs="Times New Roman"/>
          <w:lang w:val="ro-MD"/>
        </w:rPr>
        <w:t xml:space="preserve"> prevăzute la art. </w:t>
      </w:r>
      <w:r w:rsidR="0036391C" w:rsidRPr="000508B6">
        <w:rPr>
          <w:rFonts w:ascii="Times New Roman" w:hAnsi="Times New Roman" w:cs="Times New Roman"/>
          <w:lang w:val="ro-MD"/>
        </w:rPr>
        <w:t>32</w:t>
      </w:r>
      <w:r w:rsidR="00F95829" w:rsidRPr="000508B6">
        <w:rPr>
          <w:rFonts w:ascii="Times New Roman" w:hAnsi="Times New Roman" w:cs="Times New Roman"/>
          <w:lang w:val="ro-MD"/>
        </w:rPr>
        <w:t>-</w:t>
      </w:r>
      <w:r w:rsidR="0036391C" w:rsidRPr="000508B6">
        <w:rPr>
          <w:rFonts w:ascii="Times New Roman" w:hAnsi="Times New Roman" w:cs="Times New Roman"/>
          <w:lang w:val="ro-MD"/>
        </w:rPr>
        <w:t>35</w:t>
      </w:r>
      <w:r w:rsidR="00E61FC7"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adoptă strategi</w:t>
      </w:r>
      <w:r w:rsidR="00703E42" w:rsidRPr="000508B6">
        <w:rPr>
          <w:rFonts w:ascii="Times New Roman" w:hAnsi="Times New Roman" w:cs="Times New Roman"/>
          <w:lang w:val="ro-MD"/>
        </w:rPr>
        <w:t>a</w:t>
      </w:r>
      <w:r w:rsidR="00F95829" w:rsidRPr="000508B6">
        <w:rPr>
          <w:rFonts w:ascii="Times New Roman" w:hAnsi="Times New Roman" w:cs="Times New Roman"/>
          <w:lang w:val="ro-MD"/>
        </w:rPr>
        <w:t xml:space="preserve"> </w:t>
      </w:r>
      <w:r w:rsidR="00703E42" w:rsidRPr="000508B6">
        <w:rPr>
          <w:rFonts w:ascii="Times New Roman" w:hAnsi="Times New Roman" w:cs="Times New Roman"/>
          <w:lang w:val="ro-MD"/>
        </w:rPr>
        <w:t>care să asigure faptul că toate informațiile publicate</w:t>
      </w:r>
      <w:r w:rsidR="00F95829" w:rsidRPr="000508B6">
        <w:rPr>
          <w:rFonts w:ascii="Times New Roman" w:hAnsi="Times New Roman" w:cs="Times New Roman"/>
          <w:lang w:val="ro-MD"/>
        </w:rPr>
        <w:t xml:space="preserve"> </w:t>
      </w:r>
      <w:r w:rsidR="00703E42" w:rsidRPr="000508B6">
        <w:rPr>
          <w:rFonts w:ascii="Times New Roman" w:hAnsi="Times New Roman" w:cs="Times New Roman"/>
          <w:lang w:val="ro-MD"/>
        </w:rPr>
        <w:t>sunt în permanență adecvate</w:t>
      </w:r>
      <w:r w:rsidR="00F95829" w:rsidRPr="000508B6">
        <w:rPr>
          <w:rFonts w:ascii="Times New Roman" w:hAnsi="Times New Roman" w:cs="Times New Roman"/>
          <w:lang w:val="ro-MD"/>
        </w:rPr>
        <w:t>.</w:t>
      </w:r>
    </w:p>
    <w:p w14:paraId="4547A05C" w14:textId="6EA1BEF0" w:rsidR="00F95829" w:rsidRPr="000508B6" w:rsidRDefault="00F95829" w:rsidP="00105410">
      <w:pPr>
        <w:pStyle w:val="Listparagraf"/>
        <w:numPr>
          <w:ilvl w:val="0"/>
          <w:numId w:val="132"/>
        </w:numPr>
        <w:tabs>
          <w:tab w:val="left" w:pos="567"/>
          <w:tab w:val="left" w:pos="709"/>
          <w:tab w:val="left" w:pos="851"/>
        </w:tabs>
        <w:spacing w:after="0" w:line="240" w:lineRule="auto"/>
        <w:ind w:left="0" w:firstLine="426"/>
        <w:jc w:val="both"/>
        <w:rPr>
          <w:rFonts w:ascii="Times New Roman" w:eastAsia="Times New Roman" w:hAnsi="Times New Roman" w:cs="Times New Roman"/>
          <w:b/>
          <w:lang w:val="ro-MD"/>
        </w:rPr>
      </w:pPr>
      <w:r w:rsidRPr="000508B6">
        <w:rPr>
          <w:rFonts w:ascii="Times New Roman" w:hAnsi="Times New Roman" w:cs="Times New Roman"/>
          <w:lang w:val="ro-MD"/>
        </w:rPr>
        <w:t xml:space="preserve">Raportul privind solvabilitatea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financiară este publicat numai după ce este aprobat de </w:t>
      </w:r>
      <w:r w:rsidR="008E5172" w:rsidRPr="000508B6">
        <w:rPr>
          <w:rFonts w:ascii="Times New Roman" w:hAnsi="Times New Roman" w:cs="Times New Roman"/>
          <w:lang w:val="ro-MD"/>
        </w:rPr>
        <w:t xml:space="preserve">către </w:t>
      </w:r>
      <w:r w:rsidR="00F73608" w:rsidRPr="000508B6">
        <w:rPr>
          <w:rFonts w:ascii="Times New Roman" w:hAnsi="Times New Roman" w:cs="Times New Roman"/>
          <w:lang w:val="ro-MD"/>
        </w:rPr>
        <w:t xml:space="preserve">consiliul </w:t>
      </w:r>
      <w:r w:rsidR="006B3E35" w:rsidRPr="000508B6">
        <w:rPr>
          <w:rFonts w:ascii="Times New Roman" w:hAnsi="Times New Roman" w:cs="Times New Roman"/>
          <w:lang w:val="ro-MD"/>
        </w:rPr>
        <w:t xml:space="preserve">asigurătorului sau </w:t>
      </w:r>
      <w:proofErr w:type="spellStart"/>
      <w:r w:rsidR="006B3E35"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6BE08C40" w14:textId="788924DF" w:rsidR="00444455" w:rsidRPr="000508B6" w:rsidRDefault="00631737" w:rsidP="00105410">
      <w:pPr>
        <w:pStyle w:val="Listparagraf"/>
        <w:numPr>
          <w:ilvl w:val="0"/>
          <w:numId w:val="132"/>
        </w:numPr>
        <w:tabs>
          <w:tab w:val="left" w:pos="567"/>
          <w:tab w:val="left" w:pos="709"/>
          <w:tab w:val="left" w:pos="851"/>
        </w:tabs>
        <w:spacing w:after="0" w:line="240" w:lineRule="auto"/>
        <w:ind w:left="0" w:firstLine="426"/>
        <w:jc w:val="both"/>
        <w:rPr>
          <w:rFonts w:ascii="Times New Roman" w:eastAsia="Times New Roman" w:hAnsi="Times New Roman" w:cs="Times New Roman"/>
          <w:b/>
          <w:iCs/>
          <w:lang w:val="ro-MD"/>
        </w:rPr>
      </w:pPr>
      <w:r w:rsidRPr="000508B6">
        <w:rPr>
          <w:rFonts w:ascii="Times New Roman" w:hAnsi="Times New Roman" w:cs="Times New Roman"/>
          <w:iCs/>
          <w:lang w:val="ro-MD"/>
        </w:rPr>
        <w:t xml:space="preserve">Conținutul, </w:t>
      </w:r>
      <w:r w:rsidR="001E2FBB" w:rsidRPr="000508B6">
        <w:rPr>
          <w:rFonts w:ascii="Times New Roman" w:hAnsi="Times New Roman" w:cs="Times New Roman"/>
          <w:iCs/>
          <w:lang w:val="ro-MD"/>
        </w:rPr>
        <w:t xml:space="preserve">termenele și mijloacele de publicare </w:t>
      </w:r>
      <w:r w:rsidR="00EE56E2" w:rsidRPr="000508B6">
        <w:rPr>
          <w:rFonts w:ascii="Times New Roman" w:hAnsi="Times New Roman" w:cs="Times New Roman"/>
          <w:iCs/>
          <w:lang w:val="ro-MD"/>
        </w:rPr>
        <w:t xml:space="preserve">de către </w:t>
      </w:r>
      <w:r w:rsidR="006253C5" w:rsidRPr="000508B6">
        <w:rPr>
          <w:rFonts w:ascii="Times New Roman" w:hAnsi="Times New Roman" w:cs="Times New Roman"/>
          <w:iCs/>
          <w:lang w:val="ro-MD"/>
        </w:rPr>
        <w:t xml:space="preserve">asigurător sau </w:t>
      </w:r>
      <w:proofErr w:type="spellStart"/>
      <w:r w:rsidR="006253C5" w:rsidRPr="000508B6">
        <w:rPr>
          <w:rFonts w:ascii="Times New Roman" w:hAnsi="Times New Roman" w:cs="Times New Roman"/>
          <w:iCs/>
          <w:lang w:val="ro-MD"/>
        </w:rPr>
        <w:t>reasigurător</w:t>
      </w:r>
      <w:proofErr w:type="spellEnd"/>
      <w:r w:rsidR="006253C5" w:rsidRPr="000508B6">
        <w:rPr>
          <w:rFonts w:ascii="Times New Roman" w:hAnsi="Times New Roman" w:cs="Times New Roman"/>
          <w:iCs/>
          <w:lang w:val="ro-MD"/>
        </w:rPr>
        <w:t xml:space="preserve"> </w:t>
      </w:r>
      <w:r w:rsidR="00EE56E2" w:rsidRPr="000508B6">
        <w:rPr>
          <w:rFonts w:ascii="Times New Roman" w:hAnsi="Times New Roman" w:cs="Times New Roman"/>
          <w:iCs/>
          <w:lang w:val="ro-MD"/>
        </w:rPr>
        <w:t>a raportului privind solvabilitatea și situația financiară se stabile</w:t>
      </w:r>
      <w:r w:rsidRPr="000508B6">
        <w:rPr>
          <w:rFonts w:ascii="Times New Roman" w:hAnsi="Times New Roman" w:cs="Times New Roman"/>
          <w:iCs/>
          <w:lang w:val="ro-MD"/>
        </w:rPr>
        <w:t>sc</w:t>
      </w:r>
      <w:r w:rsidR="00EE56E2" w:rsidRPr="000508B6">
        <w:rPr>
          <w:rFonts w:ascii="Times New Roman" w:hAnsi="Times New Roman" w:cs="Times New Roman"/>
          <w:iCs/>
          <w:lang w:val="ro-MD"/>
        </w:rPr>
        <w:t xml:space="preserve"> </w:t>
      </w:r>
      <w:r w:rsidRPr="000508B6">
        <w:rPr>
          <w:rFonts w:ascii="Times New Roman" w:hAnsi="Times New Roman" w:cs="Times New Roman"/>
          <w:iCs/>
          <w:lang w:val="ro-MD"/>
        </w:rPr>
        <w:t>prin</w:t>
      </w:r>
      <w:r w:rsidR="00EE56E2" w:rsidRPr="000508B6">
        <w:rPr>
          <w:rFonts w:ascii="Times New Roman" w:hAnsi="Times New Roman" w:cs="Times New Roman"/>
          <w:iCs/>
          <w:lang w:val="ro-MD"/>
        </w:rPr>
        <w:t xml:space="preserve"> actel</w:t>
      </w:r>
      <w:r w:rsidRPr="000508B6">
        <w:rPr>
          <w:rFonts w:ascii="Times New Roman" w:hAnsi="Times New Roman" w:cs="Times New Roman"/>
          <w:iCs/>
          <w:lang w:val="ro-MD"/>
        </w:rPr>
        <w:t>e</w:t>
      </w:r>
      <w:r w:rsidR="00EE56E2" w:rsidRPr="000508B6">
        <w:rPr>
          <w:rFonts w:ascii="Times New Roman" w:hAnsi="Times New Roman" w:cs="Times New Roman"/>
          <w:iCs/>
          <w:lang w:val="ro-MD"/>
        </w:rPr>
        <w:t xml:space="preserve"> normative </w:t>
      </w:r>
      <w:r w:rsidRPr="000508B6">
        <w:rPr>
          <w:rFonts w:ascii="Times New Roman" w:hAnsi="Times New Roman" w:cs="Times New Roman"/>
          <w:iCs/>
          <w:lang w:val="ro-MD"/>
        </w:rPr>
        <w:t>ale Băncii Naționale</w:t>
      </w:r>
      <w:r w:rsidR="00196AA5" w:rsidRPr="000508B6">
        <w:rPr>
          <w:rFonts w:ascii="Times New Roman" w:hAnsi="Times New Roman" w:cs="Times New Roman"/>
          <w:iCs/>
          <w:lang w:val="ro-MD"/>
        </w:rPr>
        <w:t xml:space="preserve"> a Moldovei</w:t>
      </w:r>
      <w:r w:rsidRPr="000508B6">
        <w:rPr>
          <w:rFonts w:ascii="Times New Roman" w:hAnsi="Times New Roman" w:cs="Times New Roman"/>
          <w:iCs/>
          <w:lang w:val="ro-MD"/>
        </w:rPr>
        <w:t>.</w:t>
      </w:r>
    </w:p>
    <w:p w14:paraId="1EB7F179" w14:textId="77777777" w:rsidR="00105410" w:rsidRPr="000508B6" w:rsidRDefault="00105410" w:rsidP="00703E42">
      <w:pPr>
        <w:tabs>
          <w:tab w:val="left" w:pos="993"/>
        </w:tabs>
        <w:spacing w:after="0" w:line="240" w:lineRule="auto"/>
        <w:ind w:firstLine="426"/>
        <w:jc w:val="center"/>
        <w:rPr>
          <w:rFonts w:ascii="Times New Roman" w:hAnsi="Times New Roman" w:cs="Times New Roman"/>
          <w:lang w:val="ro-MD"/>
        </w:rPr>
      </w:pPr>
    </w:p>
    <w:p w14:paraId="0FEC775B" w14:textId="534101CA" w:rsidR="00703E42" w:rsidRPr="000508B6" w:rsidRDefault="00703E42" w:rsidP="00703E42">
      <w:pPr>
        <w:tabs>
          <w:tab w:val="left" w:pos="993"/>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5-a</w:t>
      </w:r>
    </w:p>
    <w:p w14:paraId="7DAB876A" w14:textId="77777777" w:rsidR="00703E42" w:rsidRPr="000508B6" w:rsidRDefault="00703E42" w:rsidP="00703E42">
      <w:pPr>
        <w:tabs>
          <w:tab w:val="left" w:pos="993"/>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Auditul</w:t>
      </w:r>
    </w:p>
    <w:p w14:paraId="47111F47" w14:textId="4E26F512" w:rsidR="00703E42" w:rsidRPr="000508B6" w:rsidRDefault="00703E42" w:rsidP="00703E42">
      <w:pPr>
        <w:spacing w:after="0" w:line="240" w:lineRule="auto"/>
        <w:ind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b/>
          <w:color w:val="000000" w:themeColor="text1"/>
          <w:lang w:val="ro-MD"/>
        </w:rPr>
        <w:t xml:space="preserve">Articolul </w:t>
      </w:r>
      <w:r w:rsidR="00C8492A" w:rsidRPr="000508B6">
        <w:rPr>
          <w:rFonts w:ascii="Times New Roman" w:eastAsia="Times New Roman" w:hAnsi="Times New Roman" w:cs="Times New Roman"/>
          <w:b/>
          <w:color w:val="000000" w:themeColor="text1"/>
          <w:lang w:val="ro-MD"/>
        </w:rPr>
        <w:t>37</w:t>
      </w:r>
      <w:r w:rsidRPr="000508B6">
        <w:rPr>
          <w:rFonts w:ascii="Times New Roman" w:eastAsia="Times New Roman" w:hAnsi="Times New Roman" w:cs="Times New Roman"/>
          <w:b/>
          <w:color w:val="000000" w:themeColor="text1"/>
          <w:lang w:val="ro-MD"/>
        </w:rPr>
        <w:t>.</w:t>
      </w:r>
      <w:r w:rsidRPr="000508B6">
        <w:rPr>
          <w:rFonts w:ascii="Times New Roman" w:eastAsia="Times New Roman" w:hAnsi="Times New Roman" w:cs="Times New Roman"/>
          <w:color w:val="000000" w:themeColor="text1"/>
          <w:lang w:val="ro-MD"/>
        </w:rPr>
        <w:t xml:space="preserve"> Auditul </w:t>
      </w:r>
      <w:proofErr w:type="spellStart"/>
      <w:r w:rsidRPr="000508B6">
        <w:rPr>
          <w:rFonts w:ascii="Times New Roman" w:eastAsia="Times New Roman" w:hAnsi="Times New Roman" w:cs="Times New Roman"/>
          <w:color w:val="000000" w:themeColor="text1"/>
          <w:lang w:val="ro-MD"/>
        </w:rPr>
        <w:t>situaţiilor</w:t>
      </w:r>
      <w:proofErr w:type="spellEnd"/>
      <w:r w:rsidRPr="000508B6">
        <w:rPr>
          <w:rFonts w:ascii="Times New Roman" w:eastAsia="Times New Roman" w:hAnsi="Times New Roman" w:cs="Times New Roman"/>
          <w:color w:val="000000" w:themeColor="text1"/>
          <w:lang w:val="ro-MD"/>
        </w:rPr>
        <w:t xml:space="preserve"> financiare</w:t>
      </w:r>
      <w:r w:rsidR="00355647" w:rsidRPr="000508B6">
        <w:rPr>
          <w:rFonts w:ascii="Times New Roman" w:eastAsia="Times New Roman" w:hAnsi="Times New Roman" w:cs="Times New Roman"/>
          <w:color w:val="000000" w:themeColor="text1"/>
          <w:lang w:val="ro-MD"/>
        </w:rPr>
        <w:t xml:space="preserve"> și auditul în alte scopuri</w:t>
      </w:r>
      <w:r w:rsidRPr="000508B6">
        <w:rPr>
          <w:rFonts w:ascii="Times New Roman" w:eastAsia="Times New Roman" w:hAnsi="Times New Roman" w:cs="Times New Roman"/>
          <w:color w:val="000000" w:themeColor="text1"/>
          <w:lang w:val="ro-MD"/>
        </w:rPr>
        <w:t xml:space="preserve"> </w:t>
      </w:r>
    </w:p>
    <w:p w14:paraId="76E9AFC5" w14:textId="4794A55B" w:rsidR="00703E42" w:rsidRPr="000508B6" w:rsidRDefault="00703E42" w:rsidP="00CF5AFA">
      <w:pPr>
        <w:pStyle w:val="Listparagraf"/>
        <w:numPr>
          <w:ilvl w:val="1"/>
          <w:numId w:val="136"/>
        </w:numPr>
        <w:tabs>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color w:val="000000" w:themeColor="text1"/>
          <w:lang w:val="ro-MD"/>
        </w:rPr>
        <w:t>Situaţiile</w:t>
      </w:r>
      <w:proofErr w:type="spellEnd"/>
      <w:r w:rsidRPr="000508B6">
        <w:rPr>
          <w:rFonts w:ascii="Times New Roman" w:eastAsia="Times New Roman" w:hAnsi="Times New Roman" w:cs="Times New Roman"/>
          <w:color w:val="000000" w:themeColor="text1"/>
          <w:lang w:val="ro-MD"/>
        </w:rPr>
        <w:t xml:space="preserve"> financiare </w:t>
      </w:r>
      <w:r w:rsidR="009D17F2" w:rsidRPr="000508B6">
        <w:rPr>
          <w:rFonts w:ascii="Times New Roman" w:eastAsia="Times New Roman" w:hAnsi="Times New Roman" w:cs="Times New Roman"/>
          <w:color w:val="000000" w:themeColor="text1"/>
          <w:lang w:val="ro-MD"/>
        </w:rPr>
        <w:t xml:space="preserve">individuale sau </w:t>
      </w:r>
      <w:r w:rsidR="002A1604" w:rsidRPr="000508B6">
        <w:rPr>
          <w:rFonts w:ascii="Times New Roman" w:eastAsia="Times New Roman" w:hAnsi="Times New Roman" w:cs="Times New Roman"/>
          <w:color w:val="000000" w:themeColor="text1"/>
          <w:lang w:val="ro-MD"/>
        </w:rPr>
        <w:t>situațiile</w:t>
      </w:r>
      <w:r w:rsidR="009D17F2" w:rsidRPr="000508B6">
        <w:rPr>
          <w:rFonts w:ascii="Times New Roman" w:eastAsia="Times New Roman" w:hAnsi="Times New Roman" w:cs="Times New Roman"/>
          <w:color w:val="000000" w:themeColor="text1"/>
          <w:lang w:val="ro-MD"/>
        </w:rPr>
        <w:t xml:space="preserve"> financiare </w:t>
      </w:r>
      <w:r w:rsidR="009D17F2" w:rsidRPr="000508B6">
        <w:rPr>
          <w:rFonts w:ascii="Times New Roman" w:eastAsia="Times New Roman" w:hAnsi="Times New Roman" w:cs="Times New Roman"/>
          <w:lang w:val="ro-MD"/>
        </w:rPr>
        <w:t xml:space="preserve">consolidate </w:t>
      </w:r>
      <w:r w:rsidRPr="000508B6">
        <w:rPr>
          <w:rFonts w:ascii="Times New Roman" w:eastAsia="Times New Roman" w:hAnsi="Times New Roman" w:cs="Times New Roman"/>
          <w:lang w:val="ro-MD"/>
        </w:rPr>
        <w:t xml:space="preserve">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sunt supuse auditului obligatoriu efectuat de către o entitate de audit, confirmată de adunarea generală a </w:t>
      </w:r>
      <w:proofErr w:type="spellStart"/>
      <w:r w:rsidRPr="000508B6">
        <w:rPr>
          <w:rFonts w:ascii="Times New Roman" w:eastAsia="Times New Roman" w:hAnsi="Times New Roman" w:cs="Times New Roman"/>
          <w:lang w:val="ro-MD"/>
        </w:rPr>
        <w:t>acţionarilor</w:t>
      </w:r>
      <w:proofErr w:type="spellEnd"/>
      <w:r w:rsidR="00B862BF" w:rsidRPr="000508B6">
        <w:rPr>
          <w:rFonts w:ascii="Times New Roman" w:eastAsia="Times New Roman" w:hAnsi="Times New Roman" w:cs="Times New Roman"/>
          <w:lang w:val="ro-MD"/>
        </w:rPr>
        <w:t xml:space="preserve"> și </w:t>
      </w:r>
      <w:r w:rsidRPr="000508B6">
        <w:rPr>
          <w:rFonts w:ascii="Times New Roman" w:eastAsia="Times New Roman" w:hAnsi="Times New Roman" w:cs="Times New Roman"/>
          <w:lang w:val="ro-MD"/>
        </w:rPr>
        <w:t>aproba</w:t>
      </w:r>
      <w:r w:rsidR="00B862BF" w:rsidRPr="000508B6">
        <w:rPr>
          <w:rFonts w:ascii="Times New Roman" w:eastAsia="Times New Roman" w:hAnsi="Times New Roman" w:cs="Times New Roman"/>
          <w:lang w:val="ro-MD"/>
        </w:rPr>
        <w:t>tă de</w:t>
      </w:r>
      <w:r w:rsidRPr="000508B6">
        <w:rPr>
          <w:rFonts w:ascii="Times New Roman" w:eastAsia="Times New Roman" w:hAnsi="Times New Roman" w:cs="Times New Roman"/>
          <w:lang w:val="ro-MD"/>
        </w:rPr>
        <w:t xml:space="preserve"> </w:t>
      </w:r>
      <w:r w:rsidR="00B862BF" w:rsidRPr="000508B6">
        <w:rPr>
          <w:rFonts w:ascii="Times New Roman" w:eastAsia="Times New Roman" w:hAnsi="Times New Roman" w:cs="Times New Roman"/>
          <w:lang w:val="ro-MD"/>
        </w:rPr>
        <w:t xml:space="preserve">Banca Națională </w:t>
      </w:r>
      <w:r w:rsidRPr="000508B6">
        <w:rPr>
          <w:rFonts w:ascii="Times New Roman" w:eastAsia="Times New Roman" w:hAnsi="Times New Roman" w:cs="Times New Roman"/>
          <w:lang w:val="ro-MD"/>
        </w:rPr>
        <w:t>a Moldovei</w:t>
      </w:r>
      <w:r w:rsidR="00D90F40"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09B07523" w14:textId="51B30861" w:rsidR="003F425C" w:rsidRPr="000508B6" w:rsidRDefault="008A18E3" w:rsidP="00CF5AFA">
      <w:pPr>
        <w:pStyle w:val="Listparagraf"/>
        <w:numPr>
          <w:ilvl w:val="1"/>
          <w:numId w:val="136"/>
        </w:numPr>
        <w:tabs>
          <w:tab w:val="left" w:pos="851"/>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Banca </w:t>
      </w:r>
      <w:proofErr w:type="spellStart"/>
      <w:r w:rsidRPr="000508B6">
        <w:rPr>
          <w:rFonts w:ascii="Times New Roman" w:eastAsia="Times New Roman" w:hAnsi="Times New Roman" w:cs="Times New Roman"/>
          <w:color w:val="000000" w:themeColor="text1"/>
          <w:lang w:val="ro-MD"/>
        </w:rPr>
        <w:t>Naţională</w:t>
      </w:r>
      <w:proofErr w:type="spellEnd"/>
      <w:r w:rsidRPr="000508B6">
        <w:rPr>
          <w:rFonts w:ascii="Times New Roman" w:eastAsia="Times New Roman" w:hAnsi="Times New Roman" w:cs="Times New Roman"/>
          <w:color w:val="000000" w:themeColor="text1"/>
          <w:lang w:val="ro-MD"/>
        </w:rPr>
        <w:t xml:space="preserve"> a Moldovei poate </w:t>
      </w:r>
      <w:r w:rsidR="0028666C" w:rsidRPr="000508B6">
        <w:rPr>
          <w:rFonts w:ascii="Times New Roman" w:eastAsia="Times New Roman" w:hAnsi="Times New Roman" w:cs="Times New Roman"/>
          <w:color w:val="000000" w:themeColor="text1"/>
          <w:lang w:val="ro-MD"/>
        </w:rPr>
        <w:t xml:space="preserve">stabili, prin acte normative, efectuarea de către </w:t>
      </w:r>
      <w:r w:rsidR="006253C5" w:rsidRPr="000508B6">
        <w:rPr>
          <w:rFonts w:ascii="Times New Roman" w:eastAsia="Times New Roman" w:hAnsi="Times New Roman" w:cs="Times New Roman"/>
          <w:color w:val="000000" w:themeColor="text1"/>
          <w:lang w:val="ro-MD"/>
        </w:rPr>
        <w:t xml:space="preserve">asigurător sau </w:t>
      </w:r>
      <w:proofErr w:type="spellStart"/>
      <w:r w:rsidR="006253C5" w:rsidRPr="000508B6">
        <w:rPr>
          <w:rFonts w:ascii="Times New Roman" w:eastAsia="Times New Roman" w:hAnsi="Times New Roman" w:cs="Times New Roman"/>
          <w:color w:val="000000" w:themeColor="text1"/>
          <w:lang w:val="ro-MD"/>
        </w:rPr>
        <w:t>reasigurător</w:t>
      </w:r>
      <w:proofErr w:type="spellEnd"/>
      <w:r w:rsidR="006253C5" w:rsidRPr="000508B6">
        <w:rPr>
          <w:rFonts w:ascii="Times New Roman" w:eastAsia="Times New Roman" w:hAnsi="Times New Roman" w:cs="Times New Roman"/>
          <w:color w:val="000000" w:themeColor="text1"/>
          <w:lang w:val="ro-MD"/>
        </w:rPr>
        <w:t xml:space="preserve"> </w:t>
      </w:r>
      <w:r w:rsidR="0028666C" w:rsidRPr="000508B6">
        <w:rPr>
          <w:rFonts w:ascii="Times New Roman" w:eastAsia="Times New Roman" w:hAnsi="Times New Roman" w:cs="Times New Roman"/>
          <w:color w:val="000000" w:themeColor="text1"/>
          <w:lang w:val="ro-MD"/>
        </w:rPr>
        <w:t xml:space="preserve">a unui audit în alte scopuri decât cel prevăzut la alin. (1) </w:t>
      </w:r>
      <w:proofErr w:type="spellStart"/>
      <w:r w:rsidR="0028666C" w:rsidRPr="000508B6">
        <w:rPr>
          <w:rFonts w:ascii="Times New Roman" w:eastAsia="Times New Roman" w:hAnsi="Times New Roman" w:cs="Times New Roman"/>
          <w:color w:val="000000" w:themeColor="text1"/>
          <w:lang w:val="ro-MD"/>
        </w:rPr>
        <w:t>şi</w:t>
      </w:r>
      <w:proofErr w:type="spellEnd"/>
      <w:r w:rsidR="0028666C" w:rsidRPr="000508B6">
        <w:rPr>
          <w:rFonts w:ascii="Times New Roman" w:eastAsia="Times New Roman" w:hAnsi="Times New Roman" w:cs="Times New Roman"/>
          <w:color w:val="000000" w:themeColor="text1"/>
          <w:lang w:val="ro-MD"/>
        </w:rPr>
        <w:t xml:space="preserve"> </w:t>
      </w:r>
      <w:r w:rsidR="00EE75E8" w:rsidRPr="000508B6">
        <w:rPr>
          <w:rFonts w:ascii="Times New Roman" w:eastAsia="Times New Roman" w:hAnsi="Times New Roman" w:cs="Times New Roman"/>
          <w:color w:val="000000" w:themeColor="text1"/>
          <w:lang w:val="ro-MD"/>
        </w:rPr>
        <w:t xml:space="preserve">standardele aplicabile în </w:t>
      </w:r>
      <w:proofErr w:type="spellStart"/>
      <w:r w:rsidR="00EE75E8" w:rsidRPr="000508B6">
        <w:rPr>
          <w:rFonts w:ascii="Times New Roman" w:eastAsia="Times New Roman" w:hAnsi="Times New Roman" w:cs="Times New Roman"/>
          <w:color w:val="000000" w:themeColor="text1"/>
          <w:lang w:val="ro-MD"/>
        </w:rPr>
        <w:t>situaţia</w:t>
      </w:r>
      <w:proofErr w:type="spellEnd"/>
      <w:r w:rsidR="00EE75E8" w:rsidRPr="000508B6">
        <w:rPr>
          <w:rFonts w:ascii="Times New Roman" w:eastAsia="Times New Roman" w:hAnsi="Times New Roman" w:cs="Times New Roman"/>
          <w:color w:val="000000" w:themeColor="text1"/>
          <w:lang w:val="ro-MD"/>
        </w:rPr>
        <w:t xml:space="preserve"> respectivă</w:t>
      </w:r>
      <w:r w:rsidR="00487C31" w:rsidRPr="000508B6">
        <w:rPr>
          <w:rFonts w:ascii="Times New Roman" w:eastAsia="Times New Roman" w:hAnsi="Times New Roman" w:cs="Times New Roman"/>
          <w:color w:val="000000" w:themeColor="text1"/>
          <w:lang w:val="ro-MD"/>
        </w:rPr>
        <w:t>.</w:t>
      </w:r>
      <w:r w:rsidR="00460108" w:rsidRPr="000508B6">
        <w:rPr>
          <w:rFonts w:ascii="Times New Roman" w:eastAsia="Times New Roman" w:hAnsi="Times New Roman" w:cs="Times New Roman"/>
          <w:color w:val="000000" w:themeColor="text1"/>
          <w:lang w:val="ro-MD"/>
        </w:rPr>
        <w:t xml:space="preserve"> </w:t>
      </w:r>
    </w:p>
    <w:p w14:paraId="7E09159E" w14:textId="4C66DE9C" w:rsidR="00703E42" w:rsidRPr="000508B6" w:rsidRDefault="00703E42" w:rsidP="00CF5AFA">
      <w:pPr>
        <w:pStyle w:val="Listparagraf"/>
        <w:numPr>
          <w:ilvl w:val="1"/>
          <w:numId w:val="136"/>
        </w:numPr>
        <w:tabs>
          <w:tab w:val="left" w:pos="851"/>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O entitate de audit poate efectua auditul </w:t>
      </w:r>
      <w:r w:rsidR="00097B36" w:rsidRPr="000508B6">
        <w:rPr>
          <w:rFonts w:ascii="Times New Roman" w:eastAsia="Times New Roman" w:hAnsi="Times New Roman" w:cs="Times New Roman"/>
          <w:color w:val="000000" w:themeColor="text1"/>
          <w:lang w:val="ro-MD"/>
        </w:rPr>
        <w:t>menționat la alin. (1)</w:t>
      </w:r>
      <w:r w:rsidRPr="000508B6">
        <w:rPr>
          <w:rFonts w:ascii="Times New Roman" w:eastAsia="Times New Roman" w:hAnsi="Times New Roman" w:cs="Times New Roman"/>
          <w:color w:val="000000" w:themeColor="text1"/>
          <w:lang w:val="ro-MD"/>
        </w:rPr>
        <w:t xml:space="preserve">, în </w:t>
      </w:r>
      <w:proofErr w:type="spellStart"/>
      <w:r w:rsidRPr="000508B6">
        <w:rPr>
          <w:rFonts w:ascii="Times New Roman" w:eastAsia="Times New Roman" w:hAnsi="Times New Roman" w:cs="Times New Roman"/>
          <w:color w:val="000000" w:themeColor="text1"/>
          <w:lang w:val="ro-MD"/>
        </w:rPr>
        <w:t>aceeaşi</w:t>
      </w:r>
      <w:proofErr w:type="spellEnd"/>
      <w:r w:rsidRPr="000508B6">
        <w:rPr>
          <w:rFonts w:ascii="Times New Roman" w:eastAsia="Times New Roman" w:hAnsi="Times New Roman" w:cs="Times New Roman"/>
          <w:color w:val="000000" w:themeColor="text1"/>
          <w:lang w:val="ro-MD"/>
        </w:rPr>
        <w:t xml:space="preserve"> perioadă de gestiune, concomitent la </w:t>
      </w:r>
      <w:r w:rsidR="006253C5" w:rsidRPr="000508B6">
        <w:rPr>
          <w:rFonts w:ascii="Times New Roman" w:eastAsia="Times New Roman" w:hAnsi="Times New Roman" w:cs="Times New Roman"/>
          <w:color w:val="000000" w:themeColor="text1"/>
          <w:lang w:val="ro-MD"/>
        </w:rPr>
        <w:t>câț</w:t>
      </w:r>
      <w:r w:rsidR="0099667C" w:rsidRPr="000508B6">
        <w:rPr>
          <w:rFonts w:ascii="Times New Roman" w:eastAsia="Times New Roman" w:hAnsi="Times New Roman" w:cs="Times New Roman"/>
          <w:color w:val="000000" w:themeColor="text1"/>
          <w:lang w:val="ro-MD"/>
        </w:rPr>
        <w:t>i</w:t>
      </w:r>
      <w:r w:rsidR="006253C5" w:rsidRPr="000508B6">
        <w:rPr>
          <w:rFonts w:ascii="Times New Roman" w:eastAsia="Times New Roman" w:hAnsi="Times New Roman" w:cs="Times New Roman"/>
          <w:color w:val="000000" w:themeColor="text1"/>
          <w:lang w:val="ro-MD"/>
        </w:rPr>
        <w:t xml:space="preserve">va asigurători sau </w:t>
      </w:r>
      <w:proofErr w:type="spellStart"/>
      <w:r w:rsidR="006253C5" w:rsidRPr="000508B6">
        <w:rPr>
          <w:rFonts w:ascii="Times New Roman" w:eastAsia="Times New Roman" w:hAnsi="Times New Roman" w:cs="Times New Roman"/>
          <w:color w:val="000000" w:themeColor="text1"/>
          <w:lang w:val="ro-MD"/>
        </w:rPr>
        <w:t>reasigurători</w:t>
      </w:r>
      <w:proofErr w:type="spellEnd"/>
      <w:r w:rsidRPr="000508B6">
        <w:rPr>
          <w:rFonts w:ascii="Times New Roman" w:eastAsia="Times New Roman" w:hAnsi="Times New Roman" w:cs="Times New Roman"/>
          <w:color w:val="000000" w:themeColor="text1"/>
          <w:lang w:val="ro-MD"/>
        </w:rPr>
        <w:t xml:space="preserve"> din Republica Moldova cu </w:t>
      </w:r>
      <w:proofErr w:type="spellStart"/>
      <w:r w:rsidRPr="000508B6">
        <w:rPr>
          <w:rFonts w:ascii="Times New Roman" w:eastAsia="Times New Roman" w:hAnsi="Times New Roman" w:cs="Times New Roman"/>
          <w:color w:val="000000" w:themeColor="text1"/>
          <w:lang w:val="ro-MD"/>
        </w:rPr>
        <w:t>condiţia</w:t>
      </w:r>
      <w:proofErr w:type="spellEnd"/>
      <w:r w:rsidRPr="000508B6">
        <w:rPr>
          <w:rFonts w:ascii="Times New Roman" w:eastAsia="Times New Roman" w:hAnsi="Times New Roman" w:cs="Times New Roman"/>
          <w:color w:val="000000" w:themeColor="text1"/>
          <w:lang w:val="ro-MD"/>
        </w:rPr>
        <w:t xml:space="preserve"> că, la data </w:t>
      </w:r>
      <w:r w:rsidR="00894EE3" w:rsidRPr="000508B6">
        <w:rPr>
          <w:rFonts w:ascii="Times New Roman" w:eastAsia="Times New Roman" w:hAnsi="Times New Roman" w:cs="Times New Roman"/>
          <w:color w:val="000000" w:themeColor="text1"/>
          <w:lang w:val="ro-MD"/>
        </w:rPr>
        <w:t xml:space="preserve">aprobării </w:t>
      </w:r>
      <w:r w:rsidRPr="000508B6">
        <w:rPr>
          <w:rFonts w:ascii="Times New Roman" w:eastAsia="Times New Roman" w:hAnsi="Times New Roman" w:cs="Times New Roman"/>
          <w:color w:val="000000" w:themeColor="text1"/>
          <w:lang w:val="ro-MD"/>
        </w:rPr>
        <w:t>de către Banca Națională a Moldovei a acestei</w:t>
      </w:r>
      <w:r w:rsidR="00894EE3" w:rsidRPr="000508B6">
        <w:rPr>
          <w:rFonts w:ascii="Times New Roman" w:eastAsia="Times New Roman" w:hAnsi="Times New Roman" w:cs="Times New Roman"/>
          <w:color w:val="000000" w:themeColor="text1"/>
          <w:lang w:val="ro-MD"/>
        </w:rPr>
        <w:t>a în calitate de</w:t>
      </w:r>
      <w:r w:rsidRPr="000508B6">
        <w:rPr>
          <w:rFonts w:ascii="Times New Roman" w:eastAsia="Times New Roman" w:hAnsi="Times New Roman" w:cs="Times New Roman"/>
          <w:color w:val="000000" w:themeColor="text1"/>
          <w:lang w:val="ro-MD"/>
        </w:rPr>
        <w:t xml:space="preserve"> </w:t>
      </w:r>
      <w:r w:rsidR="00894EE3" w:rsidRPr="000508B6">
        <w:rPr>
          <w:rFonts w:ascii="Times New Roman" w:eastAsia="Times New Roman" w:hAnsi="Times New Roman" w:cs="Times New Roman"/>
          <w:color w:val="000000" w:themeColor="text1"/>
          <w:lang w:val="ro-MD"/>
        </w:rPr>
        <w:t>entitate care v</w:t>
      </w:r>
      <w:r w:rsidRPr="000508B6">
        <w:rPr>
          <w:rFonts w:ascii="Times New Roman" w:eastAsia="Times New Roman" w:hAnsi="Times New Roman" w:cs="Times New Roman"/>
          <w:color w:val="000000" w:themeColor="text1"/>
          <w:lang w:val="ro-MD"/>
        </w:rPr>
        <w:t xml:space="preserve">a efectua auditul, activele </w:t>
      </w:r>
      <w:r w:rsidRPr="000508B6">
        <w:rPr>
          <w:rFonts w:ascii="Times New Roman" w:eastAsia="Times New Roman" w:hAnsi="Times New Roman" w:cs="Times New Roman"/>
          <w:color w:val="000000" w:themeColor="text1"/>
          <w:lang w:val="ro-MD"/>
        </w:rPr>
        <w:lastRenderedPageBreak/>
        <w:t xml:space="preserve">cumulative ale </w:t>
      </w:r>
      <w:r w:rsidR="006253C5" w:rsidRPr="000508B6">
        <w:rPr>
          <w:rFonts w:ascii="Times New Roman" w:eastAsia="Times New Roman" w:hAnsi="Times New Roman" w:cs="Times New Roman"/>
          <w:color w:val="000000" w:themeColor="text1"/>
          <w:lang w:val="ro-MD"/>
        </w:rPr>
        <w:t xml:space="preserve">asigurătorilor sau </w:t>
      </w:r>
      <w:proofErr w:type="spellStart"/>
      <w:r w:rsidR="006253C5" w:rsidRPr="000508B6">
        <w:rPr>
          <w:rFonts w:ascii="Times New Roman" w:eastAsia="Times New Roman" w:hAnsi="Times New Roman" w:cs="Times New Roman"/>
          <w:color w:val="000000" w:themeColor="text1"/>
          <w:lang w:val="ro-MD"/>
        </w:rPr>
        <w:t>reasiurătorilor</w:t>
      </w:r>
      <w:proofErr w:type="spellEnd"/>
      <w:r w:rsidR="006253C5"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respectiv</w:t>
      </w:r>
      <w:r w:rsidR="006253C5" w:rsidRPr="000508B6">
        <w:rPr>
          <w:rFonts w:ascii="Times New Roman" w:eastAsia="Times New Roman" w:hAnsi="Times New Roman" w:cs="Times New Roman"/>
          <w:color w:val="000000" w:themeColor="text1"/>
          <w:lang w:val="ro-MD"/>
        </w:rPr>
        <w:t>i</w:t>
      </w:r>
      <w:r w:rsidRPr="000508B6">
        <w:rPr>
          <w:rFonts w:ascii="Times New Roman" w:eastAsia="Times New Roman" w:hAnsi="Times New Roman" w:cs="Times New Roman"/>
          <w:color w:val="000000" w:themeColor="text1"/>
          <w:lang w:val="ro-MD"/>
        </w:rPr>
        <w:t xml:space="preserve"> să nu </w:t>
      </w:r>
      <w:r w:rsidR="00105410" w:rsidRPr="000508B6">
        <w:rPr>
          <w:rFonts w:ascii="Times New Roman" w:eastAsia="Times New Roman" w:hAnsi="Times New Roman" w:cs="Times New Roman"/>
          <w:color w:val="000000" w:themeColor="text1"/>
          <w:lang w:val="ro-MD"/>
        </w:rPr>
        <w:t>depășească</w:t>
      </w:r>
      <w:r w:rsidRPr="000508B6">
        <w:rPr>
          <w:rFonts w:ascii="Times New Roman" w:eastAsia="Times New Roman" w:hAnsi="Times New Roman" w:cs="Times New Roman"/>
          <w:color w:val="000000" w:themeColor="text1"/>
          <w:lang w:val="ro-MD"/>
        </w:rPr>
        <w:t xml:space="preserve"> 50% din totalul activelor de pe </w:t>
      </w:r>
      <w:proofErr w:type="spellStart"/>
      <w:r w:rsidRPr="000508B6">
        <w:rPr>
          <w:rFonts w:ascii="Times New Roman" w:eastAsia="Times New Roman" w:hAnsi="Times New Roman" w:cs="Times New Roman"/>
          <w:color w:val="000000" w:themeColor="text1"/>
          <w:lang w:val="ro-MD"/>
        </w:rPr>
        <w:t>piaţa</w:t>
      </w:r>
      <w:proofErr w:type="spellEnd"/>
      <w:r w:rsidRPr="000508B6">
        <w:rPr>
          <w:rFonts w:ascii="Times New Roman" w:eastAsia="Times New Roman" w:hAnsi="Times New Roman" w:cs="Times New Roman"/>
          <w:color w:val="000000" w:themeColor="text1"/>
          <w:lang w:val="ro-MD"/>
        </w:rPr>
        <w:t xml:space="preserve"> asigurărilor pentru fiecare </w:t>
      </w:r>
      <w:r w:rsidR="006A6B40" w:rsidRPr="000508B6">
        <w:rPr>
          <w:rFonts w:ascii="Times New Roman" w:eastAsia="Times New Roman" w:hAnsi="Times New Roman" w:cs="Times New Roman"/>
          <w:color w:val="000000" w:themeColor="text1"/>
          <w:lang w:val="ro-MD"/>
        </w:rPr>
        <w:t xml:space="preserve">activitate </w:t>
      </w:r>
      <w:r w:rsidRPr="000508B6">
        <w:rPr>
          <w:rFonts w:ascii="Times New Roman" w:eastAsia="Times New Roman" w:hAnsi="Times New Roman" w:cs="Times New Roman"/>
          <w:color w:val="000000" w:themeColor="text1"/>
          <w:lang w:val="ro-MD"/>
        </w:rPr>
        <w:t xml:space="preserve">de </w:t>
      </w:r>
      <w:r w:rsidR="00A4279C" w:rsidRPr="000508B6">
        <w:rPr>
          <w:rFonts w:ascii="Times New Roman" w:eastAsia="Times New Roman" w:hAnsi="Times New Roman" w:cs="Times New Roman"/>
          <w:color w:val="000000" w:themeColor="text1"/>
          <w:lang w:val="ro-MD"/>
        </w:rPr>
        <w:t>asigurare</w:t>
      </w:r>
      <w:r w:rsidR="00894EE3" w:rsidRPr="000508B6">
        <w:rPr>
          <w:rFonts w:ascii="Times New Roman" w:eastAsia="Times New Roman" w:hAnsi="Times New Roman" w:cs="Times New Roman"/>
          <w:color w:val="000000" w:themeColor="text1"/>
          <w:lang w:val="ro-MD"/>
        </w:rPr>
        <w:t xml:space="preserve"> desfășurată</w:t>
      </w:r>
      <w:r w:rsidRPr="000508B6">
        <w:rPr>
          <w:rFonts w:ascii="Times New Roman" w:eastAsia="Times New Roman" w:hAnsi="Times New Roman" w:cs="Times New Roman"/>
          <w:color w:val="000000" w:themeColor="text1"/>
          <w:lang w:val="ro-MD"/>
        </w:rPr>
        <w:t>.</w:t>
      </w:r>
      <w:bookmarkStart w:id="100" w:name="_Hlk181090798"/>
      <w:r w:rsidR="00563454" w:rsidRPr="000508B6">
        <w:rPr>
          <w:rFonts w:ascii="Times New Roman" w:eastAsia="Times New Roman" w:hAnsi="Times New Roman" w:cs="Times New Roman"/>
          <w:color w:val="000000" w:themeColor="text1"/>
          <w:lang w:val="ro-MD"/>
        </w:rPr>
        <w:t xml:space="preserve"> </w:t>
      </w:r>
    </w:p>
    <w:bookmarkEnd w:id="100"/>
    <w:p w14:paraId="2BC59332" w14:textId="2176F186" w:rsidR="00703E42" w:rsidRPr="000508B6" w:rsidRDefault="00026F3B" w:rsidP="00CF5AFA">
      <w:pPr>
        <w:pStyle w:val="Listparagraf"/>
        <w:numPr>
          <w:ilvl w:val="1"/>
          <w:numId w:val="136"/>
        </w:numPr>
        <w:tabs>
          <w:tab w:val="left" w:pos="851"/>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E</w:t>
      </w:r>
      <w:r w:rsidR="00703E42" w:rsidRPr="000508B6">
        <w:rPr>
          <w:rFonts w:ascii="Times New Roman" w:eastAsia="Times New Roman" w:hAnsi="Times New Roman" w:cs="Times New Roman"/>
          <w:color w:val="000000" w:themeColor="text1"/>
          <w:lang w:val="ro-MD"/>
        </w:rPr>
        <w:t>chip</w:t>
      </w:r>
      <w:r w:rsidRPr="000508B6">
        <w:rPr>
          <w:rFonts w:ascii="Times New Roman" w:eastAsia="Times New Roman" w:hAnsi="Times New Roman" w:cs="Times New Roman"/>
          <w:color w:val="000000" w:themeColor="text1"/>
          <w:lang w:val="ro-MD"/>
        </w:rPr>
        <w:t>a care efectuează</w:t>
      </w:r>
      <w:r w:rsidR="00703E42"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 xml:space="preserve">misiunea </w:t>
      </w:r>
      <w:r w:rsidR="00703E42" w:rsidRPr="000508B6">
        <w:rPr>
          <w:rFonts w:ascii="Times New Roman" w:eastAsia="Times New Roman" w:hAnsi="Times New Roman" w:cs="Times New Roman"/>
          <w:color w:val="000000" w:themeColor="text1"/>
          <w:lang w:val="ro-MD"/>
        </w:rPr>
        <w:t xml:space="preserve">de audit, trebuie </w:t>
      </w:r>
      <w:r w:rsidRPr="000508B6">
        <w:rPr>
          <w:rFonts w:ascii="Times New Roman" w:eastAsia="Times New Roman" w:hAnsi="Times New Roman" w:cs="Times New Roman"/>
          <w:color w:val="000000" w:themeColor="text1"/>
          <w:lang w:val="ro-MD"/>
        </w:rPr>
        <w:t xml:space="preserve">sa aibă </w:t>
      </w:r>
      <w:r w:rsidR="00703E42" w:rsidRPr="000508B6">
        <w:rPr>
          <w:rFonts w:ascii="Times New Roman" w:eastAsia="Times New Roman" w:hAnsi="Times New Roman" w:cs="Times New Roman"/>
          <w:color w:val="000000" w:themeColor="text1"/>
          <w:lang w:val="ro-MD"/>
        </w:rPr>
        <w:t xml:space="preserve">inclus </w:t>
      </w:r>
      <w:r w:rsidR="007413FD" w:rsidRPr="000508B6">
        <w:rPr>
          <w:rFonts w:ascii="Times New Roman" w:eastAsia="Times New Roman" w:hAnsi="Times New Roman" w:cs="Times New Roman"/>
          <w:color w:val="000000" w:themeColor="text1"/>
          <w:lang w:val="ro-MD"/>
        </w:rPr>
        <w:t xml:space="preserve">în componența sa </w:t>
      </w:r>
      <w:r w:rsidR="00703E42" w:rsidRPr="000508B6">
        <w:rPr>
          <w:rFonts w:ascii="Times New Roman" w:eastAsia="Times New Roman" w:hAnsi="Times New Roman" w:cs="Times New Roman"/>
          <w:color w:val="000000" w:themeColor="text1"/>
          <w:lang w:val="ro-MD"/>
        </w:rPr>
        <w:t>un actuar</w:t>
      </w:r>
      <w:r w:rsidRPr="000508B6">
        <w:rPr>
          <w:rFonts w:ascii="Times New Roman" w:eastAsia="Times New Roman" w:hAnsi="Times New Roman" w:cs="Times New Roman"/>
          <w:color w:val="000000" w:themeColor="text1"/>
          <w:lang w:val="ro-MD"/>
        </w:rPr>
        <w:t>,</w:t>
      </w:r>
      <w:r w:rsidR="00703E42" w:rsidRPr="000508B6">
        <w:rPr>
          <w:rFonts w:ascii="Times New Roman" w:eastAsia="Times New Roman" w:hAnsi="Times New Roman" w:cs="Times New Roman"/>
          <w:color w:val="000000" w:themeColor="text1"/>
          <w:lang w:val="ro-MD"/>
        </w:rPr>
        <w:t xml:space="preserve"> în calitate de expert independent, în vederea examinării </w:t>
      </w:r>
      <w:proofErr w:type="spellStart"/>
      <w:r w:rsidR="00703E42" w:rsidRPr="000508B6">
        <w:rPr>
          <w:rFonts w:ascii="Times New Roman" w:eastAsia="Times New Roman" w:hAnsi="Times New Roman" w:cs="Times New Roman"/>
          <w:color w:val="000000" w:themeColor="text1"/>
          <w:lang w:val="ro-MD"/>
        </w:rPr>
        <w:t>activităţii</w:t>
      </w:r>
      <w:proofErr w:type="spellEnd"/>
      <w:r w:rsidR="00703E42" w:rsidRPr="000508B6">
        <w:rPr>
          <w:rFonts w:ascii="Times New Roman" w:eastAsia="Times New Roman" w:hAnsi="Times New Roman" w:cs="Times New Roman"/>
          <w:color w:val="000000" w:themeColor="text1"/>
          <w:lang w:val="ro-MD"/>
        </w:rPr>
        <w:t xml:space="preserve"> de asigurare sau de reasigurare conform principiilor fundamentale </w:t>
      </w:r>
      <w:proofErr w:type="spellStart"/>
      <w:r w:rsidR="00703E42" w:rsidRPr="000508B6">
        <w:rPr>
          <w:rFonts w:ascii="Times New Roman" w:eastAsia="Times New Roman" w:hAnsi="Times New Roman" w:cs="Times New Roman"/>
          <w:color w:val="000000" w:themeColor="text1"/>
          <w:lang w:val="ro-MD"/>
        </w:rPr>
        <w:t>şi</w:t>
      </w:r>
      <w:proofErr w:type="spellEnd"/>
      <w:r w:rsidR="00703E42" w:rsidRPr="000508B6">
        <w:rPr>
          <w:rFonts w:ascii="Times New Roman" w:eastAsia="Times New Roman" w:hAnsi="Times New Roman" w:cs="Times New Roman"/>
          <w:color w:val="000000" w:themeColor="text1"/>
          <w:lang w:val="ro-MD"/>
        </w:rPr>
        <w:t xml:space="preserve"> generale acceptate ale calculului actuarial. Actuarul</w:t>
      </w:r>
      <w:r w:rsidRPr="000508B6">
        <w:rPr>
          <w:rFonts w:ascii="Times New Roman" w:eastAsia="Times New Roman" w:hAnsi="Times New Roman" w:cs="Times New Roman"/>
          <w:color w:val="000000" w:themeColor="text1"/>
          <w:lang w:val="ro-MD"/>
        </w:rPr>
        <w:t xml:space="preserve"> care face parte</w:t>
      </w:r>
      <w:r w:rsidR="00703E42" w:rsidRPr="000508B6">
        <w:rPr>
          <w:rFonts w:ascii="Times New Roman" w:eastAsia="Times New Roman" w:hAnsi="Times New Roman" w:cs="Times New Roman"/>
          <w:color w:val="000000" w:themeColor="text1"/>
          <w:lang w:val="ro-MD"/>
        </w:rPr>
        <w:t xml:space="preserve"> din echipa misiunii de audit nu are dreptul să fie </w:t>
      </w:r>
      <w:r w:rsidRPr="000508B6">
        <w:rPr>
          <w:rFonts w:ascii="Times New Roman" w:eastAsia="Times New Roman" w:hAnsi="Times New Roman" w:cs="Times New Roman"/>
          <w:color w:val="000000" w:themeColor="text1"/>
          <w:lang w:val="ro-MD"/>
        </w:rPr>
        <w:t xml:space="preserve">angajat </w:t>
      </w:r>
      <w:r w:rsidR="00703E42" w:rsidRPr="000508B6">
        <w:rPr>
          <w:rFonts w:ascii="Times New Roman" w:eastAsia="Times New Roman" w:hAnsi="Times New Roman" w:cs="Times New Roman"/>
          <w:color w:val="000000" w:themeColor="text1"/>
          <w:lang w:val="ro-MD"/>
        </w:rPr>
        <w:t xml:space="preserve">în </w:t>
      </w:r>
      <w:proofErr w:type="spellStart"/>
      <w:r w:rsidR="00703E42" w:rsidRPr="000508B6">
        <w:rPr>
          <w:rFonts w:ascii="Times New Roman" w:eastAsia="Times New Roman" w:hAnsi="Times New Roman" w:cs="Times New Roman"/>
          <w:color w:val="000000" w:themeColor="text1"/>
          <w:lang w:val="ro-MD"/>
        </w:rPr>
        <w:t>relaţii</w:t>
      </w:r>
      <w:proofErr w:type="spellEnd"/>
      <w:r w:rsidR="00703E42" w:rsidRPr="000508B6">
        <w:rPr>
          <w:rFonts w:ascii="Times New Roman" w:eastAsia="Times New Roman" w:hAnsi="Times New Roman" w:cs="Times New Roman"/>
          <w:color w:val="000000" w:themeColor="text1"/>
          <w:lang w:val="ro-MD"/>
        </w:rPr>
        <w:t xml:space="preserve"> contractuale cu </w:t>
      </w:r>
      <w:r w:rsidR="004125E8" w:rsidRPr="000508B6">
        <w:rPr>
          <w:rFonts w:ascii="Times New Roman" w:eastAsia="Times New Roman" w:hAnsi="Times New Roman" w:cs="Times New Roman"/>
          <w:color w:val="000000" w:themeColor="text1"/>
          <w:lang w:val="ro-MD"/>
        </w:rPr>
        <w:t xml:space="preserve">asigurătorul sau </w:t>
      </w:r>
      <w:proofErr w:type="spellStart"/>
      <w:r w:rsidR="004125E8" w:rsidRPr="000508B6">
        <w:rPr>
          <w:rFonts w:ascii="Times New Roman" w:eastAsia="Times New Roman" w:hAnsi="Times New Roman" w:cs="Times New Roman"/>
          <w:color w:val="000000" w:themeColor="text1"/>
          <w:lang w:val="ro-MD"/>
        </w:rPr>
        <w:t>reasigurătorul</w:t>
      </w:r>
      <w:proofErr w:type="spellEnd"/>
      <w:r w:rsidR="00703E42" w:rsidRPr="000508B6">
        <w:rPr>
          <w:rFonts w:ascii="Times New Roman" w:eastAsia="Times New Roman" w:hAnsi="Times New Roman" w:cs="Times New Roman"/>
          <w:color w:val="000000" w:themeColor="text1"/>
          <w:lang w:val="ro-MD"/>
        </w:rPr>
        <w:t xml:space="preserve"> auditat </w:t>
      </w:r>
      <w:proofErr w:type="spellStart"/>
      <w:r w:rsidR="00703E42" w:rsidRPr="000508B6">
        <w:rPr>
          <w:rFonts w:ascii="Times New Roman" w:eastAsia="Times New Roman" w:hAnsi="Times New Roman" w:cs="Times New Roman"/>
          <w:color w:val="000000" w:themeColor="text1"/>
          <w:lang w:val="ro-MD"/>
        </w:rPr>
        <w:t>şi</w:t>
      </w:r>
      <w:proofErr w:type="spellEnd"/>
      <w:r w:rsidR="00703E42" w:rsidRPr="000508B6">
        <w:rPr>
          <w:rFonts w:ascii="Times New Roman" w:eastAsia="Times New Roman" w:hAnsi="Times New Roman" w:cs="Times New Roman"/>
          <w:color w:val="000000" w:themeColor="text1"/>
          <w:lang w:val="ro-MD"/>
        </w:rPr>
        <w:t xml:space="preserve"> să nu fi avut cu aceasta </w:t>
      </w:r>
      <w:proofErr w:type="spellStart"/>
      <w:r w:rsidR="00703E42" w:rsidRPr="000508B6">
        <w:rPr>
          <w:rFonts w:ascii="Times New Roman" w:eastAsia="Times New Roman" w:hAnsi="Times New Roman" w:cs="Times New Roman"/>
          <w:color w:val="000000" w:themeColor="text1"/>
          <w:lang w:val="ro-MD"/>
        </w:rPr>
        <w:t>relaţii</w:t>
      </w:r>
      <w:proofErr w:type="spellEnd"/>
      <w:r w:rsidR="00703E42" w:rsidRPr="000508B6">
        <w:rPr>
          <w:rFonts w:ascii="Times New Roman" w:eastAsia="Times New Roman" w:hAnsi="Times New Roman" w:cs="Times New Roman"/>
          <w:color w:val="000000" w:themeColor="text1"/>
          <w:lang w:val="ro-MD"/>
        </w:rPr>
        <w:t xml:space="preserve"> contractuale cel </w:t>
      </w:r>
      <w:proofErr w:type="spellStart"/>
      <w:r w:rsidR="00703E42" w:rsidRPr="000508B6">
        <w:rPr>
          <w:rFonts w:ascii="Times New Roman" w:eastAsia="Times New Roman" w:hAnsi="Times New Roman" w:cs="Times New Roman"/>
          <w:color w:val="000000" w:themeColor="text1"/>
          <w:lang w:val="ro-MD"/>
        </w:rPr>
        <w:t>puţin</w:t>
      </w:r>
      <w:proofErr w:type="spellEnd"/>
      <w:r w:rsidR="00703E42" w:rsidRPr="000508B6">
        <w:rPr>
          <w:rFonts w:ascii="Times New Roman" w:eastAsia="Times New Roman" w:hAnsi="Times New Roman" w:cs="Times New Roman"/>
          <w:color w:val="000000" w:themeColor="text1"/>
          <w:lang w:val="ro-MD"/>
        </w:rPr>
        <w:t xml:space="preserve"> în ultimele 2 perioade de gestiune, înaintea desfășurării misiunii de audit.</w:t>
      </w:r>
      <w:r w:rsidR="00024F30" w:rsidRPr="000508B6">
        <w:rPr>
          <w:rFonts w:ascii="Times New Roman" w:hAnsi="Times New Roman" w:cs="Times New Roman"/>
          <w:lang w:val="ro-MD"/>
        </w:rPr>
        <w:t xml:space="preserve"> </w:t>
      </w:r>
      <w:r w:rsidR="00D57EF2" w:rsidRPr="000508B6">
        <w:rPr>
          <w:rFonts w:ascii="Times New Roman" w:hAnsi="Times New Roman" w:cs="Times New Roman"/>
          <w:lang w:val="ro-MD"/>
        </w:rPr>
        <w:t>A</w:t>
      </w:r>
      <w:r w:rsidR="00024F30" w:rsidRPr="000508B6">
        <w:rPr>
          <w:rFonts w:ascii="Times New Roman" w:eastAsia="Times New Roman" w:hAnsi="Times New Roman" w:cs="Times New Roman"/>
          <w:color w:val="000000" w:themeColor="text1"/>
          <w:lang w:val="ro-MD"/>
        </w:rPr>
        <w:t xml:space="preserve">ctuarul </w:t>
      </w:r>
      <w:r w:rsidRPr="000508B6">
        <w:rPr>
          <w:rFonts w:ascii="Times New Roman" w:eastAsia="Times New Roman" w:hAnsi="Times New Roman" w:cs="Times New Roman"/>
          <w:color w:val="000000" w:themeColor="text1"/>
          <w:lang w:val="ro-MD"/>
        </w:rPr>
        <w:t xml:space="preserve">care face parte </w:t>
      </w:r>
      <w:r w:rsidR="00F46FC7" w:rsidRPr="000508B6">
        <w:rPr>
          <w:rFonts w:ascii="Times New Roman" w:eastAsia="Times New Roman" w:hAnsi="Times New Roman" w:cs="Times New Roman"/>
          <w:color w:val="000000" w:themeColor="text1"/>
          <w:lang w:val="ro-MD"/>
        </w:rPr>
        <w:t>din</w:t>
      </w:r>
      <w:r w:rsidR="00024F30" w:rsidRPr="000508B6">
        <w:rPr>
          <w:rFonts w:ascii="Times New Roman" w:eastAsia="Times New Roman" w:hAnsi="Times New Roman" w:cs="Times New Roman"/>
          <w:color w:val="000000" w:themeColor="text1"/>
          <w:lang w:val="ro-MD"/>
        </w:rPr>
        <w:t xml:space="preserve"> echipa misiunii de audit poate participa anual în cadrul misiunilor de audit </w:t>
      </w:r>
      <w:r w:rsidRPr="000508B6">
        <w:rPr>
          <w:rFonts w:ascii="Times New Roman" w:eastAsia="Times New Roman" w:hAnsi="Times New Roman" w:cs="Times New Roman"/>
          <w:color w:val="000000" w:themeColor="text1"/>
          <w:lang w:val="ro-MD"/>
        </w:rPr>
        <w:t xml:space="preserve">desfășurate </w:t>
      </w:r>
      <w:r w:rsidR="00024F30" w:rsidRPr="000508B6">
        <w:rPr>
          <w:rFonts w:ascii="Times New Roman" w:eastAsia="Times New Roman" w:hAnsi="Times New Roman" w:cs="Times New Roman"/>
          <w:color w:val="000000" w:themeColor="text1"/>
          <w:lang w:val="ro-MD"/>
        </w:rPr>
        <w:t xml:space="preserve">la cel mult 4 </w:t>
      </w:r>
      <w:r w:rsidR="006651A3" w:rsidRPr="000508B6">
        <w:rPr>
          <w:rFonts w:ascii="Times New Roman" w:eastAsia="Times New Roman" w:hAnsi="Times New Roman" w:cs="Times New Roman"/>
          <w:color w:val="000000" w:themeColor="text1"/>
          <w:lang w:val="ro-MD"/>
        </w:rPr>
        <w:t xml:space="preserve">asigurători sau </w:t>
      </w:r>
      <w:proofErr w:type="spellStart"/>
      <w:r w:rsidR="006651A3" w:rsidRPr="000508B6">
        <w:rPr>
          <w:rFonts w:ascii="Times New Roman" w:eastAsia="Times New Roman" w:hAnsi="Times New Roman" w:cs="Times New Roman"/>
          <w:color w:val="000000" w:themeColor="text1"/>
          <w:lang w:val="ro-MD"/>
        </w:rPr>
        <w:t>reasigurători</w:t>
      </w:r>
      <w:proofErr w:type="spellEnd"/>
      <w:r w:rsidRPr="000508B6">
        <w:rPr>
          <w:rFonts w:ascii="Times New Roman" w:eastAsia="Times New Roman" w:hAnsi="Times New Roman" w:cs="Times New Roman"/>
          <w:color w:val="000000" w:themeColor="text1"/>
          <w:lang w:val="ro-MD"/>
        </w:rPr>
        <w:t>.</w:t>
      </w:r>
      <w:r w:rsidR="00024F30" w:rsidRPr="000508B6">
        <w:rPr>
          <w:rFonts w:ascii="Times New Roman" w:eastAsia="Times New Roman" w:hAnsi="Times New Roman" w:cs="Times New Roman"/>
          <w:color w:val="000000" w:themeColor="text1"/>
          <w:lang w:val="ro-MD"/>
        </w:rPr>
        <w:t xml:space="preserve"> </w:t>
      </w:r>
    </w:p>
    <w:p w14:paraId="0D5C3A7C" w14:textId="63620A35" w:rsidR="00AB262F" w:rsidRPr="000508B6" w:rsidRDefault="00AB262F" w:rsidP="00CF5AFA">
      <w:pPr>
        <w:pStyle w:val="Listparagraf"/>
        <w:numPr>
          <w:ilvl w:val="1"/>
          <w:numId w:val="136"/>
        </w:numPr>
        <w:tabs>
          <w:tab w:val="left" w:pos="851"/>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Banca </w:t>
      </w:r>
      <w:proofErr w:type="spellStart"/>
      <w:r w:rsidRPr="000508B6">
        <w:rPr>
          <w:rFonts w:ascii="Times New Roman" w:eastAsia="Times New Roman" w:hAnsi="Times New Roman" w:cs="Times New Roman"/>
          <w:color w:val="000000" w:themeColor="text1"/>
          <w:lang w:val="ro-MD"/>
        </w:rPr>
        <w:t>Naţională</w:t>
      </w:r>
      <w:proofErr w:type="spellEnd"/>
      <w:r w:rsidRPr="000508B6">
        <w:rPr>
          <w:rFonts w:ascii="Times New Roman" w:eastAsia="Times New Roman" w:hAnsi="Times New Roman" w:cs="Times New Roman"/>
          <w:color w:val="000000" w:themeColor="text1"/>
          <w:lang w:val="ro-MD"/>
        </w:rPr>
        <w:t xml:space="preserve"> a Moldovei poate retrage aprobarea acordată unei </w:t>
      </w:r>
      <w:proofErr w:type="spellStart"/>
      <w:r w:rsidRPr="000508B6">
        <w:rPr>
          <w:rFonts w:ascii="Times New Roman" w:eastAsia="Times New Roman" w:hAnsi="Times New Roman" w:cs="Times New Roman"/>
          <w:color w:val="000000" w:themeColor="text1"/>
          <w:lang w:val="ro-MD"/>
        </w:rPr>
        <w:t>entităţi</w:t>
      </w:r>
      <w:proofErr w:type="spellEnd"/>
      <w:r w:rsidRPr="000508B6">
        <w:rPr>
          <w:rFonts w:ascii="Times New Roman" w:eastAsia="Times New Roman" w:hAnsi="Times New Roman" w:cs="Times New Roman"/>
          <w:color w:val="000000" w:themeColor="text1"/>
          <w:lang w:val="ro-MD"/>
        </w:rPr>
        <w:t xml:space="preserve"> de audit în temeiul alin.</w:t>
      </w:r>
      <w:r w:rsidR="0078751B" w:rsidRPr="000508B6">
        <w:rPr>
          <w:rFonts w:ascii="Times New Roman" w:eastAsia="Times New Roman" w:hAnsi="Times New Roman" w:cs="Times New Roman"/>
          <w:color w:val="000000" w:themeColor="text1"/>
          <w:lang w:val="ro-MD"/>
        </w:rPr>
        <w:t xml:space="preserve"> </w:t>
      </w:r>
      <w:r w:rsidR="008B5370" w:rsidRPr="000508B6">
        <w:rPr>
          <w:rFonts w:ascii="Times New Roman" w:eastAsia="Times New Roman" w:hAnsi="Times New Roman" w:cs="Times New Roman"/>
          <w:color w:val="000000" w:themeColor="text1"/>
          <w:lang w:val="ro-MD"/>
        </w:rPr>
        <w:t>(</w:t>
      </w:r>
      <w:r w:rsidRPr="000508B6">
        <w:rPr>
          <w:rFonts w:ascii="Times New Roman" w:eastAsia="Times New Roman" w:hAnsi="Times New Roman" w:cs="Times New Roman"/>
          <w:color w:val="000000" w:themeColor="text1"/>
          <w:lang w:val="ro-MD"/>
        </w:rPr>
        <w:t>1</w:t>
      </w:r>
      <w:r w:rsidR="008B5370" w:rsidRPr="000508B6">
        <w:rPr>
          <w:rFonts w:ascii="Times New Roman" w:eastAsia="Times New Roman" w:hAnsi="Times New Roman" w:cs="Times New Roman"/>
          <w:color w:val="000000" w:themeColor="text1"/>
          <w:lang w:val="ro-MD"/>
        </w:rPr>
        <w:t>)</w:t>
      </w:r>
      <w:r w:rsidRPr="000508B6">
        <w:rPr>
          <w:rFonts w:ascii="Times New Roman" w:eastAsia="Times New Roman" w:hAnsi="Times New Roman" w:cs="Times New Roman"/>
          <w:color w:val="000000" w:themeColor="text1"/>
          <w:lang w:val="ro-MD"/>
        </w:rPr>
        <w:t xml:space="preserve"> în </w:t>
      </w:r>
      <w:proofErr w:type="spellStart"/>
      <w:r w:rsidRPr="000508B6">
        <w:rPr>
          <w:rFonts w:ascii="Times New Roman" w:eastAsia="Times New Roman" w:hAnsi="Times New Roman" w:cs="Times New Roman"/>
          <w:color w:val="000000" w:themeColor="text1"/>
          <w:lang w:val="ro-MD"/>
        </w:rPr>
        <w:t>situaţia</w:t>
      </w:r>
      <w:proofErr w:type="spellEnd"/>
      <w:r w:rsidRPr="000508B6">
        <w:rPr>
          <w:rFonts w:ascii="Times New Roman" w:eastAsia="Times New Roman" w:hAnsi="Times New Roman" w:cs="Times New Roman"/>
          <w:color w:val="000000" w:themeColor="text1"/>
          <w:lang w:val="ro-MD"/>
        </w:rPr>
        <w:t xml:space="preserve"> în care aceasta nu </w:t>
      </w:r>
      <w:proofErr w:type="spellStart"/>
      <w:r w:rsidRPr="000508B6">
        <w:rPr>
          <w:rFonts w:ascii="Times New Roman" w:eastAsia="Times New Roman" w:hAnsi="Times New Roman" w:cs="Times New Roman"/>
          <w:color w:val="000000" w:themeColor="text1"/>
          <w:lang w:val="ro-MD"/>
        </w:rPr>
        <w:t>îşi</w:t>
      </w:r>
      <w:proofErr w:type="spellEnd"/>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îndeplineşte</w:t>
      </w:r>
      <w:proofErr w:type="spellEnd"/>
      <w:r w:rsidRPr="000508B6">
        <w:rPr>
          <w:rFonts w:ascii="Times New Roman" w:eastAsia="Times New Roman" w:hAnsi="Times New Roman" w:cs="Times New Roman"/>
          <w:color w:val="000000" w:themeColor="text1"/>
          <w:lang w:val="ro-MD"/>
        </w:rPr>
        <w:t xml:space="preserve"> în mod corespunzător </w:t>
      </w:r>
      <w:proofErr w:type="spellStart"/>
      <w:r w:rsidRPr="000508B6">
        <w:rPr>
          <w:rFonts w:ascii="Times New Roman" w:eastAsia="Times New Roman" w:hAnsi="Times New Roman" w:cs="Times New Roman"/>
          <w:color w:val="000000" w:themeColor="text1"/>
          <w:lang w:val="ro-MD"/>
        </w:rPr>
        <w:t>atribuţiile</w:t>
      </w:r>
      <w:proofErr w:type="spellEnd"/>
      <w:r w:rsidRPr="000508B6">
        <w:rPr>
          <w:rFonts w:ascii="Times New Roman" w:eastAsia="Times New Roman" w:hAnsi="Times New Roman" w:cs="Times New Roman"/>
          <w:color w:val="000000" w:themeColor="text1"/>
          <w:lang w:val="ro-MD"/>
        </w:rPr>
        <w:t xml:space="preserve"> prevăzute de prezenta lege sau nu respectă </w:t>
      </w:r>
      <w:proofErr w:type="spellStart"/>
      <w:r w:rsidRPr="000508B6">
        <w:rPr>
          <w:rFonts w:ascii="Times New Roman" w:eastAsia="Times New Roman" w:hAnsi="Times New Roman" w:cs="Times New Roman"/>
          <w:color w:val="000000" w:themeColor="text1"/>
          <w:lang w:val="ro-MD"/>
        </w:rPr>
        <w:t>cerinţele</w:t>
      </w:r>
      <w:proofErr w:type="spellEnd"/>
      <w:r w:rsidRPr="000508B6">
        <w:rPr>
          <w:rFonts w:ascii="Times New Roman" w:eastAsia="Times New Roman" w:hAnsi="Times New Roman" w:cs="Times New Roman"/>
          <w:color w:val="000000" w:themeColor="text1"/>
          <w:lang w:val="ro-MD"/>
        </w:rPr>
        <w:t xml:space="preserve"> </w:t>
      </w:r>
      <w:r w:rsidR="00026F3B" w:rsidRPr="000508B6">
        <w:rPr>
          <w:rFonts w:ascii="Times New Roman" w:eastAsia="Times New Roman" w:hAnsi="Times New Roman" w:cs="Times New Roman"/>
          <w:color w:val="000000" w:themeColor="text1"/>
          <w:lang w:val="ro-MD"/>
        </w:rPr>
        <w:t xml:space="preserve">specifice </w:t>
      </w:r>
      <w:r w:rsidRPr="000508B6">
        <w:rPr>
          <w:rFonts w:ascii="Times New Roman" w:eastAsia="Times New Roman" w:hAnsi="Times New Roman" w:cs="Times New Roman"/>
          <w:color w:val="000000" w:themeColor="text1"/>
          <w:lang w:val="ro-MD"/>
        </w:rPr>
        <w:t xml:space="preserve">de conduită etică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profesională.</w:t>
      </w:r>
    </w:p>
    <w:p w14:paraId="4345A467" w14:textId="6B1C55E7" w:rsidR="00E05E9D" w:rsidRPr="000508B6" w:rsidRDefault="00E05E9D" w:rsidP="00CF5AFA">
      <w:pPr>
        <w:pStyle w:val="Listparagraf"/>
        <w:numPr>
          <w:ilvl w:val="1"/>
          <w:numId w:val="136"/>
        </w:numPr>
        <w:spacing w:after="0" w:line="240" w:lineRule="auto"/>
        <w:ind w:left="0" w:firstLine="284"/>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Criteriile care urmează a fi întrunite de </w:t>
      </w:r>
      <w:r w:rsidR="00C054AC" w:rsidRPr="000508B6">
        <w:rPr>
          <w:rFonts w:ascii="Times New Roman" w:eastAsia="Times New Roman" w:hAnsi="Times New Roman" w:cs="Times New Roman"/>
          <w:color w:val="000000" w:themeColor="text1"/>
          <w:lang w:val="ro-MD"/>
        </w:rPr>
        <w:t>către</w:t>
      </w:r>
      <w:r w:rsidRPr="000508B6">
        <w:rPr>
          <w:rFonts w:ascii="Times New Roman" w:eastAsia="Times New Roman" w:hAnsi="Times New Roman" w:cs="Times New Roman"/>
          <w:color w:val="000000" w:themeColor="text1"/>
          <w:lang w:val="ro-MD"/>
        </w:rPr>
        <w:t xml:space="preserve"> entitatea de audit, modul de aprobare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de retragere a aprobării </w:t>
      </w:r>
      <w:proofErr w:type="spellStart"/>
      <w:r w:rsidRPr="000508B6">
        <w:rPr>
          <w:rFonts w:ascii="Times New Roman" w:eastAsia="Times New Roman" w:hAnsi="Times New Roman" w:cs="Times New Roman"/>
          <w:color w:val="000000" w:themeColor="text1"/>
          <w:lang w:val="ro-MD"/>
        </w:rPr>
        <w:t>entităţii</w:t>
      </w:r>
      <w:proofErr w:type="spellEnd"/>
      <w:r w:rsidRPr="000508B6">
        <w:rPr>
          <w:rFonts w:ascii="Times New Roman" w:eastAsia="Times New Roman" w:hAnsi="Times New Roman" w:cs="Times New Roman"/>
          <w:color w:val="000000" w:themeColor="text1"/>
          <w:lang w:val="ro-MD"/>
        </w:rPr>
        <w:t xml:space="preserve"> de audit sunt </w:t>
      </w:r>
      <w:r w:rsidR="007E5C6D" w:rsidRPr="000508B6">
        <w:rPr>
          <w:rFonts w:ascii="Times New Roman" w:eastAsia="Times New Roman" w:hAnsi="Times New Roman" w:cs="Times New Roman"/>
          <w:color w:val="000000" w:themeColor="text1"/>
          <w:lang w:val="ro-MD"/>
        </w:rPr>
        <w:t>stabilite</w:t>
      </w:r>
      <w:r w:rsidRPr="000508B6">
        <w:rPr>
          <w:rFonts w:ascii="Times New Roman" w:eastAsia="Times New Roman" w:hAnsi="Times New Roman" w:cs="Times New Roman"/>
          <w:color w:val="000000" w:themeColor="text1"/>
          <w:lang w:val="ro-MD"/>
        </w:rPr>
        <w:t xml:space="preserve"> în actele normative ale Băncii </w:t>
      </w:r>
      <w:proofErr w:type="spellStart"/>
      <w:r w:rsidRPr="000508B6">
        <w:rPr>
          <w:rFonts w:ascii="Times New Roman" w:eastAsia="Times New Roman" w:hAnsi="Times New Roman" w:cs="Times New Roman"/>
          <w:color w:val="000000" w:themeColor="text1"/>
          <w:lang w:val="ro-MD"/>
        </w:rPr>
        <w:t>Naţionale</w:t>
      </w:r>
      <w:proofErr w:type="spellEnd"/>
      <w:r w:rsidRPr="000508B6">
        <w:rPr>
          <w:rFonts w:ascii="Times New Roman" w:eastAsia="Times New Roman" w:hAnsi="Times New Roman" w:cs="Times New Roman"/>
          <w:color w:val="000000" w:themeColor="text1"/>
          <w:lang w:val="ro-MD"/>
        </w:rPr>
        <w:t xml:space="preserve"> a Moldovei</w:t>
      </w:r>
      <w:r w:rsidR="00026F3B" w:rsidRPr="000508B6">
        <w:rPr>
          <w:rFonts w:ascii="Times New Roman" w:eastAsia="Times New Roman" w:hAnsi="Times New Roman" w:cs="Times New Roman"/>
          <w:color w:val="000000" w:themeColor="text1"/>
          <w:lang w:val="ro-MD"/>
        </w:rPr>
        <w:t>.</w:t>
      </w:r>
      <w:r w:rsidRPr="000508B6">
        <w:rPr>
          <w:rFonts w:ascii="Times New Roman" w:eastAsia="Times New Roman" w:hAnsi="Times New Roman" w:cs="Times New Roman"/>
          <w:color w:val="000000" w:themeColor="text1"/>
          <w:lang w:val="ro-MD"/>
        </w:rPr>
        <w:t xml:space="preserve"> </w:t>
      </w:r>
    </w:p>
    <w:p w14:paraId="3C7C906E" w14:textId="77777777" w:rsidR="00703E42" w:rsidRPr="000508B6" w:rsidRDefault="00703E42" w:rsidP="00217A19">
      <w:pPr>
        <w:tabs>
          <w:tab w:val="left" w:pos="993"/>
        </w:tabs>
        <w:spacing w:after="0" w:line="240" w:lineRule="auto"/>
        <w:rPr>
          <w:rFonts w:ascii="Times New Roman" w:eastAsia="Times New Roman" w:hAnsi="Times New Roman" w:cs="Times New Roman"/>
          <w:b/>
          <w:lang w:val="ro-MD"/>
        </w:rPr>
      </w:pPr>
    </w:p>
    <w:p w14:paraId="665FC771" w14:textId="019E51B0" w:rsidR="00355647" w:rsidRPr="000508B6" w:rsidRDefault="00355647" w:rsidP="00355647">
      <w:pPr>
        <w:tabs>
          <w:tab w:val="left" w:pos="993"/>
        </w:tabs>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38</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Obligaţiile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entităţii</w:t>
      </w:r>
      <w:proofErr w:type="spellEnd"/>
      <w:r w:rsidRPr="000508B6">
        <w:rPr>
          <w:rFonts w:ascii="Times New Roman" w:eastAsia="Times New Roman" w:hAnsi="Times New Roman" w:cs="Times New Roman"/>
          <w:bCs/>
          <w:lang w:val="ro-MD"/>
        </w:rPr>
        <w:t xml:space="preserve"> de audit </w:t>
      </w:r>
      <w:r w:rsidR="00D06448" w:rsidRPr="000508B6">
        <w:rPr>
          <w:rFonts w:ascii="Times New Roman" w:eastAsia="Times New Roman" w:hAnsi="Times New Roman" w:cs="Times New Roman"/>
          <w:bCs/>
          <w:lang w:val="ro-MD"/>
        </w:rPr>
        <w:t>față de</w:t>
      </w:r>
      <w:r w:rsidRPr="000508B6">
        <w:rPr>
          <w:rFonts w:ascii="Times New Roman" w:eastAsia="Times New Roman" w:hAnsi="Times New Roman" w:cs="Times New Roman"/>
          <w:bCs/>
          <w:lang w:val="ro-MD"/>
        </w:rPr>
        <w:t xml:space="preserve"> Banca </w:t>
      </w:r>
      <w:proofErr w:type="spellStart"/>
      <w:r w:rsidRPr="000508B6">
        <w:rPr>
          <w:rFonts w:ascii="Times New Roman" w:eastAsia="Times New Roman" w:hAnsi="Times New Roman" w:cs="Times New Roman"/>
          <w:bCs/>
          <w:lang w:val="ro-MD"/>
        </w:rPr>
        <w:t>Naţională</w:t>
      </w:r>
      <w:proofErr w:type="spellEnd"/>
      <w:r w:rsidRPr="000508B6">
        <w:rPr>
          <w:rFonts w:ascii="Times New Roman" w:eastAsia="Times New Roman" w:hAnsi="Times New Roman" w:cs="Times New Roman"/>
          <w:bCs/>
          <w:lang w:val="ro-MD"/>
        </w:rPr>
        <w:t xml:space="preserve"> a Moldovei</w:t>
      </w:r>
    </w:p>
    <w:p w14:paraId="1AE3F3AF" w14:textId="39186FE9" w:rsidR="008A18E3" w:rsidRPr="000508B6" w:rsidRDefault="008A18E3" w:rsidP="00CF5AFA">
      <w:pPr>
        <w:pStyle w:val="Listparagraf"/>
        <w:numPr>
          <w:ilvl w:val="1"/>
          <w:numId w:val="275"/>
        </w:numPr>
        <w:tabs>
          <w:tab w:val="left" w:pos="709"/>
        </w:tabs>
        <w:spacing w:after="0" w:line="240" w:lineRule="auto"/>
        <w:ind w:left="0" w:firstLine="425"/>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Entitatea de audit </w:t>
      </w:r>
      <w:r w:rsidR="00EF1EF1" w:rsidRPr="000508B6">
        <w:rPr>
          <w:rFonts w:ascii="Times New Roman" w:eastAsia="Times New Roman" w:hAnsi="Times New Roman" w:cs="Times New Roman"/>
          <w:bCs/>
          <w:lang w:val="ro-MD"/>
        </w:rPr>
        <w:t xml:space="preserve">care desfășoară în cadrul </w:t>
      </w:r>
      <w:r w:rsidR="00FD122C" w:rsidRPr="000508B6">
        <w:rPr>
          <w:rFonts w:ascii="Times New Roman" w:eastAsia="Times New Roman" w:hAnsi="Times New Roman" w:cs="Times New Roman"/>
          <w:bCs/>
          <w:lang w:val="ro-MD"/>
        </w:rPr>
        <w:t xml:space="preserve">asigurătorului sau </w:t>
      </w:r>
      <w:proofErr w:type="spellStart"/>
      <w:r w:rsidR="00FD122C" w:rsidRPr="000508B6">
        <w:rPr>
          <w:rFonts w:ascii="Times New Roman" w:eastAsia="Times New Roman" w:hAnsi="Times New Roman" w:cs="Times New Roman"/>
          <w:bCs/>
          <w:lang w:val="ro-MD"/>
        </w:rPr>
        <w:t>reasigurătorului</w:t>
      </w:r>
      <w:proofErr w:type="spellEnd"/>
      <w:r w:rsidR="00FD122C" w:rsidRPr="000508B6">
        <w:rPr>
          <w:rFonts w:ascii="Times New Roman" w:eastAsia="Times New Roman" w:hAnsi="Times New Roman" w:cs="Times New Roman"/>
          <w:bCs/>
          <w:lang w:val="ro-MD"/>
        </w:rPr>
        <w:t xml:space="preserve"> </w:t>
      </w:r>
      <w:r w:rsidR="00EF1EF1" w:rsidRPr="000508B6">
        <w:rPr>
          <w:rFonts w:ascii="Times New Roman" w:eastAsia="Times New Roman" w:hAnsi="Times New Roman" w:cs="Times New Roman"/>
          <w:bCs/>
          <w:lang w:val="ro-MD"/>
        </w:rPr>
        <w:t xml:space="preserve">auditul </w:t>
      </w:r>
      <w:r w:rsidR="00C1237E" w:rsidRPr="000508B6">
        <w:rPr>
          <w:rFonts w:ascii="Times New Roman" w:eastAsia="Times New Roman" w:hAnsi="Times New Roman" w:cs="Times New Roman"/>
          <w:bCs/>
          <w:lang w:val="ro-MD"/>
        </w:rPr>
        <w:t>prevăzut la art.</w:t>
      </w:r>
      <w:r w:rsidR="0078751B" w:rsidRPr="000508B6">
        <w:rPr>
          <w:rFonts w:ascii="Times New Roman" w:eastAsia="Times New Roman" w:hAnsi="Times New Roman" w:cs="Times New Roman"/>
          <w:bCs/>
          <w:lang w:val="ro-MD"/>
        </w:rPr>
        <w:t xml:space="preserve"> </w:t>
      </w:r>
      <w:r w:rsidR="00C1237E" w:rsidRPr="000508B6">
        <w:rPr>
          <w:rFonts w:ascii="Times New Roman" w:eastAsia="Times New Roman" w:hAnsi="Times New Roman" w:cs="Times New Roman"/>
          <w:bCs/>
          <w:lang w:val="ro-MD"/>
        </w:rPr>
        <w:t>37</w:t>
      </w:r>
      <w:r w:rsidR="00EF1EF1"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este obligată să informeze </w:t>
      </w:r>
      <w:r w:rsidR="00E23F92" w:rsidRPr="000508B6">
        <w:rPr>
          <w:rFonts w:ascii="Times New Roman" w:eastAsia="Times New Roman" w:hAnsi="Times New Roman" w:cs="Times New Roman"/>
          <w:bCs/>
          <w:lang w:val="ro-MD"/>
        </w:rPr>
        <w:t xml:space="preserve">imediat </w:t>
      </w:r>
      <w:r w:rsidRPr="000508B6">
        <w:rPr>
          <w:rFonts w:ascii="Times New Roman" w:eastAsia="Times New Roman" w:hAnsi="Times New Roman" w:cs="Times New Roman"/>
          <w:bCs/>
          <w:lang w:val="ro-MD"/>
        </w:rPr>
        <w:t xml:space="preserve">Banca Națională a Moldovei </w:t>
      </w:r>
      <w:r w:rsidR="00E23F92" w:rsidRPr="000508B6">
        <w:rPr>
          <w:rFonts w:ascii="Times New Roman" w:eastAsia="Times New Roman" w:hAnsi="Times New Roman" w:cs="Times New Roman"/>
          <w:bCs/>
          <w:lang w:val="ro-MD"/>
        </w:rPr>
        <w:t>în caz</w:t>
      </w:r>
      <w:r w:rsidRPr="000508B6">
        <w:rPr>
          <w:rFonts w:ascii="Times New Roman" w:eastAsia="Times New Roman" w:hAnsi="Times New Roman" w:cs="Times New Roman"/>
          <w:bCs/>
          <w:lang w:val="ro-MD"/>
        </w:rPr>
        <w:t xml:space="preserve">ul constatării aspectelor semnificative care pot avea una dintre următoarele </w:t>
      </w:r>
      <w:proofErr w:type="spellStart"/>
      <w:r w:rsidRPr="000508B6">
        <w:rPr>
          <w:rFonts w:ascii="Times New Roman" w:eastAsia="Times New Roman" w:hAnsi="Times New Roman" w:cs="Times New Roman"/>
          <w:bCs/>
          <w:lang w:val="ro-MD"/>
        </w:rPr>
        <w:t>consecinţe</w:t>
      </w:r>
      <w:proofErr w:type="spellEnd"/>
      <w:r w:rsidRPr="000508B6">
        <w:rPr>
          <w:rFonts w:ascii="Times New Roman" w:eastAsia="Times New Roman" w:hAnsi="Times New Roman" w:cs="Times New Roman"/>
          <w:bCs/>
          <w:lang w:val="ro-MD"/>
        </w:rPr>
        <w:t xml:space="preserve">: </w:t>
      </w:r>
    </w:p>
    <w:p w14:paraId="360846DC" w14:textId="151DC156" w:rsidR="008A18E3" w:rsidRPr="000508B6" w:rsidRDefault="008A18E3" w:rsidP="00CF5AFA">
      <w:pPr>
        <w:pStyle w:val="Listparagraf"/>
        <w:numPr>
          <w:ilvl w:val="2"/>
          <w:numId w:val="276"/>
        </w:numPr>
        <w:tabs>
          <w:tab w:val="left" w:pos="709"/>
        </w:tabs>
        <w:spacing w:after="0" w:line="240" w:lineRule="auto"/>
        <w:ind w:left="0" w:firstLine="425"/>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încălcarea de către </w:t>
      </w:r>
      <w:r w:rsidR="006253C5" w:rsidRPr="000508B6">
        <w:rPr>
          <w:rFonts w:ascii="Times New Roman" w:eastAsia="Times New Roman" w:hAnsi="Times New Roman" w:cs="Times New Roman"/>
          <w:bCs/>
          <w:lang w:val="ro-MD"/>
        </w:rPr>
        <w:t xml:space="preserve">asigurător sau </w:t>
      </w:r>
      <w:proofErr w:type="spellStart"/>
      <w:r w:rsidR="006253C5"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 xml:space="preserve"> a prevederilor legale referitoare la </w:t>
      </w:r>
      <w:proofErr w:type="spellStart"/>
      <w:r w:rsidRPr="000508B6">
        <w:rPr>
          <w:rFonts w:ascii="Times New Roman" w:eastAsia="Times New Roman" w:hAnsi="Times New Roman" w:cs="Times New Roman"/>
          <w:bCs/>
          <w:lang w:val="ro-MD"/>
        </w:rPr>
        <w:t>condiţiile</w:t>
      </w:r>
      <w:proofErr w:type="spellEnd"/>
      <w:r w:rsidRPr="000508B6">
        <w:rPr>
          <w:rFonts w:ascii="Times New Roman" w:eastAsia="Times New Roman" w:hAnsi="Times New Roman" w:cs="Times New Roman"/>
          <w:bCs/>
          <w:lang w:val="ro-MD"/>
        </w:rPr>
        <w:t xml:space="preserve"> de </w:t>
      </w:r>
      <w:proofErr w:type="spellStart"/>
      <w:r w:rsidRPr="000508B6">
        <w:rPr>
          <w:rFonts w:ascii="Times New Roman" w:eastAsia="Times New Roman" w:hAnsi="Times New Roman" w:cs="Times New Roman"/>
          <w:bCs/>
          <w:lang w:val="ro-MD"/>
        </w:rPr>
        <w:t>licenţiere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de </w:t>
      </w:r>
      <w:proofErr w:type="spellStart"/>
      <w:r w:rsidRPr="000508B6">
        <w:rPr>
          <w:rFonts w:ascii="Times New Roman" w:eastAsia="Times New Roman" w:hAnsi="Times New Roman" w:cs="Times New Roman"/>
          <w:bCs/>
          <w:lang w:val="ro-MD"/>
        </w:rPr>
        <w:t>desfăşurare</w:t>
      </w:r>
      <w:proofErr w:type="spellEnd"/>
      <w:r w:rsidRPr="000508B6">
        <w:rPr>
          <w:rFonts w:ascii="Times New Roman" w:eastAsia="Times New Roman" w:hAnsi="Times New Roman" w:cs="Times New Roman"/>
          <w:bCs/>
          <w:lang w:val="ro-MD"/>
        </w:rPr>
        <w:t xml:space="preserve"> a </w:t>
      </w:r>
      <w:proofErr w:type="spellStart"/>
      <w:r w:rsidRPr="000508B6">
        <w:rPr>
          <w:rFonts w:ascii="Times New Roman" w:eastAsia="Times New Roman" w:hAnsi="Times New Roman" w:cs="Times New Roman"/>
          <w:bCs/>
          <w:lang w:val="ro-MD"/>
        </w:rPr>
        <w:t>activităţii</w:t>
      </w:r>
      <w:proofErr w:type="spellEnd"/>
      <w:r w:rsidRPr="000508B6">
        <w:rPr>
          <w:rFonts w:ascii="Times New Roman" w:eastAsia="Times New Roman" w:hAnsi="Times New Roman" w:cs="Times New Roman"/>
          <w:bCs/>
          <w:lang w:val="ro-MD"/>
        </w:rPr>
        <w:t xml:space="preserve">; </w:t>
      </w:r>
    </w:p>
    <w:p w14:paraId="769327EE" w14:textId="36083957" w:rsidR="008A18E3" w:rsidRPr="000508B6" w:rsidRDefault="00A76212" w:rsidP="00CF5AFA">
      <w:pPr>
        <w:pStyle w:val="Listparagraf"/>
        <w:numPr>
          <w:ilvl w:val="2"/>
          <w:numId w:val="276"/>
        </w:numPr>
        <w:tabs>
          <w:tab w:val="left" w:pos="709"/>
        </w:tabs>
        <w:spacing w:after="0" w:line="240" w:lineRule="auto"/>
        <w:ind w:left="0" w:firstLine="425"/>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împiedicarea funcționării continue 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8A18E3" w:rsidRPr="000508B6">
        <w:rPr>
          <w:rFonts w:ascii="Times New Roman" w:eastAsia="Times New Roman" w:hAnsi="Times New Roman" w:cs="Times New Roman"/>
          <w:bCs/>
          <w:lang w:val="ro-MD"/>
        </w:rPr>
        <w:t>;</w:t>
      </w:r>
    </w:p>
    <w:p w14:paraId="066FD6A4" w14:textId="4ABF1212" w:rsidR="008A18E3" w:rsidRPr="000508B6" w:rsidRDefault="008A18E3" w:rsidP="00CF5AFA">
      <w:pPr>
        <w:pStyle w:val="Listparagraf"/>
        <w:numPr>
          <w:ilvl w:val="2"/>
          <w:numId w:val="276"/>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exprimarea unei opinii cu rezerve privind </w:t>
      </w:r>
      <w:proofErr w:type="spellStart"/>
      <w:r w:rsidRPr="000508B6">
        <w:rPr>
          <w:rFonts w:ascii="Times New Roman" w:eastAsia="Times New Roman" w:hAnsi="Times New Roman" w:cs="Times New Roman"/>
          <w:bCs/>
          <w:lang w:val="ro-MD"/>
        </w:rPr>
        <w:t>situaţiile</w:t>
      </w:r>
      <w:proofErr w:type="spellEnd"/>
      <w:r w:rsidRPr="000508B6">
        <w:rPr>
          <w:rFonts w:ascii="Times New Roman" w:eastAsia="Times New Roman" w:hAnsi="Times New Roman" w:cs="Times New Roman"/>
          <w:bCs/>
          <w:lang w:val="ro-MD"/>
        </w:rPr>
        <w:t xml:space="preserve"> financiare sau refuzul de a furniza o opinie;</w:t>
      </w:r>
    </w:p>
    <w:p w14:paraId="0B8A0AC0" w14:textId="091C178D" w:rsidR="008A18E3" w:rsidRPr="000508B6" w:rsidRDefault="008A18E3" w:rsidP="00CF5AFA">
      <w:pPr>
        <w:pStyle w:val="Listparagraf"/>
        <w:numPr>
          <w:ilvl w:val="2"/>
          <w:numId w:val="276"/>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nerespectarea SCR; </w:t>
      </w:r>
    </w:p>
    <w:p w14:paraId="49CB31EE" w14:textId="43FE8612" w:rsidR="008A18E3" w:rsidRPr="000508B6" w:rsidRDefault="008A18E3" w:rsidP="00CF5AFA">
      <w:pPr>
        <w:pStyle w:val="Listparagraf"/>
        <w:numPr>
          <w:ilvl w:val="2"/>
          <w:numId w:val="276"/>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nerespectarea MCR.</w:t>
      </w:r>
    </w:p>
    <w:p w14:paraId="13474A8F" w14:textId="798A142F" w:rsidR="008A18E3" w:rsidRPr="000508B6" w:rsidRDefault="008A18E3" w:rsidP="0078751B">
      <w:pPr>
        <w:pStyle w:val="Listparagraf"/>
        <w:numPr>
          <w:ilvl w:val="1"/>
          <w:numId w:val="275"/>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Entitatea de audit este obligată să semnaleze </w:t>
      </w:r>
      <w:r w:rsidR="00EF1EF1" w:rsidRPr="000508B6">
        <w:rPr>
          <w:rFonts w:ascii="Times New Roman" w:eastAsia="Times New Roman" w:hAnsi="Times New Roman" w:cs="Times New Roman"/>
          <w:bCs/>
          <w:lang w:val="ro-MD"/>
        </w:rPr>
        <w:t>aspectele semnificative</w:t>
      </w:r>
      <w:r w:rsidRPr="000508B6">
        <w:rPr>
          <w:rFonts w:ascii="Times New Roman" w:eastAsia="Times New Roman" w:hAnsi="Times New Roman" w:cs="Times New Roman"/>
          <w:lang w:val="ro-MD"/>
        </w:rPr>
        <w:t xml:space="preserve"> de care a luat </w:t>
      </w:r>
      <w:proofErr w:type="spellStart"/>
      <w:r w:rsidRPr="000508B6">
        <w:rPr>
          <w:rFonts w:ascii="Times New Roman" w:eastAsia="Times New Roman" w:hAnsi="Times New Roman" w:cs="Times New Roman"/>
          <w:lang w:val="ro-MD"/>
        </w:rPr>
        <w:t>cunoștinţă</w:t>
      </w:r>
      <w:proofErr w:type="spellEnd"/>
      <w:r w:rsidRPr="000508B6">
        <w:rPr>
          <w:rFonts w:ascii="Times New Roman" w:eastAsia="Times New Roman" w:hAnsi="Times New Roman" w:cs="Times New Roman"/>
          <w:lang w:val="ro-MD"/>
        </w:rPr>
        <w:t xml:space="preserve"> în cadrul </w:t>
      </w:r>
      <w:r w:rsidRPr="000508B6">
        <w:rPr>
          <w:rFonts w:ascii="Times New Roman" w:eastAsia="Times New Roman" w:hAnsi="Times New Roman" w:cs="Times New Roman"/>
          <w:bCs/>
          <w:lang w:val="ro-MD"/>
        </w:rPr>
        <w:t>misiuni</w:t>
      </w:r>
      <w:r w:rsidR="00EF1EF1" w:rsidRPr="000508B6">
        <w:rPr>
          <w:rFonts w:ascii="Times New Roman" w:eastAsia="Times New Roman" w:hAnsi="Times New Roman" w:cs="Times New Roman"/>
          <w:bCs/>
          <w:lang w:val="ro-MD"/>
        </w:rPr>
        <w:t>i</w:t>
      </w:r>
      <w:r w:rsidRPr="000508B6">
        <w:rPr>
          <w:rFonts w:ascii="Times New Roman" w:eastAsia="Times New Roman" w:hAnsi="Times New Roman" w:cs="Times New Roman"/>
          <w:lang w:val="ro-MD"/>
        </w:rPr>
        <w:t xml:space="preserve"> de audit, exercitată </w:t>
      </w:r>
      <w:r w:rsidR="006253C5" w:rsidRPr="000508B6">
        <w:rPr>
          <w:rFonts w:ascii="Times New Roman" w:eastAsia="Times New Roman" w:hAnsi="Times New Roman" w:cs="Times New Roman"/>
          <w:lang w:val="ro-MD"/>
        </w:rPr>
        <w:t xml:space="preserve">în cadrul unui asigurător sau </w:t>
      </w:r>
      <w:proofErr w:type="spellStart"/>
      <w:r w:rsidR="006253C5"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care are o legătură strânsă, ce decurge dintr-o </w:t>
      </w:r>
      <w:proofErr w:type="spellStart"/>
      <w:r w:rsidRPr="000508B6">
        <w:rPr>
          <w:rFonts w:ascii="Times New Roman" w:eastAsia="Times New Roman" w:hAnsi="Times New Roman" w:cs="Times New Roman"/>
          <w:lang w:val="ro-MD"/>
        </w:rPr>
        <w:t>relaţie</w:t>
      </w:r>
      <w:proofErr w:type="spellEnd"/>
      <w:r w:rsidRPr="000508B6">
        <w:rPr>
          <w:rFonts w:ascii="Times New Roman" w:eastAsia="Times New Roman" w:hAnsi="Times New Roman" w:cs="Times New Roman"/>
          <w:lang w:val="ro-MD"/>
        </w:rPr>
        <w:t xml:space="preserve"> de control, cu </w:t>
      </w:r>
      <w:r w:rsidR="006253C5" w:rsidRPr="000508B6">
        <w:rPr>
          <w:rFonts w:ascii="Times New Roman" w:eastAsia="Times New Roman" w:hAnsi="Times New Roman" w:cs="Times New Roman"/>
          <w:lang w:val="ro-MD"/>
        </w:rPr>
        <w:t xml:space="preserve">acesta </w:t>
      </w:r>
      <w:r w:rsidRPr="000508B6">
        <w:rPr>
          <w:rFonts w:ascii="Times New Roman" w:eastAsia="Times New Roman" w:hAnsi="Times New Roman" w:cs="Times New Roman"/>
          <w:lang w:val="ro-MD"/>
        </w:rPr>
        <w:t xml:space="preserve">în cadrul </w:t>
      </w:r>
      <w:r w:rsidR="00FD122C" w:rsidRPr="000508B6">
        <w:rPr>
          <w:rFonts w:ascii="Times New Roman" w:eastAsia="Times New Roman" w:hAnsi="Times New Roman" w:cs="Times New Roman"/>
          <w:lang w:val="ro-MD"/>
        </w:rPr>
        <w:t xml:space="preserve">căruia </w:t>
      </w:r>
      <w:r w:rsidRPr="000508B6">
        <w:rPr>
          <w:rFonts w:ascii="Times New Roman" w:eastAsia="Times New Roman" w:hAnsi="Times New Roman" w:cs="Times New Roman"/>
          <w:lang w:val="ro-MD"/>
        </w:rPr>
        <w:t>entitatea își exercită respectiva misiune</w:t>
      </w:r>
      <w:r w:rsidR="00FD122C" w:rsidRPr="000508B6">
        <w:rPr>
          <w:rFonts w:ascii="Times New Roman" w:eastAsia="Times New Roman" w:hAnsi="Times New Roman" w:cs="Times New Roman"/>
          <w:lang w:val="ro-MD"/>
        </w:rPr>
        <w:t>,</w:t>
      </w:r>
      <w:r w:rsidR="00EF1EF1" w:rsidRPr="000508B6">
        <w:rPr>
          <w:rFonts w:ascii="Times New Roman" w:hAnsi="Times New Roman" w:cs="Times New Roman"/>
          <w:lang w:val="ro-MD"/>
        </w:rPr>
        <w:t xml:space="preserve"> </w:t>
      </w:r>
      <w:r w:rsidR="00EF1EF1" w:rsidRPr="000508B6">
        <w:rPr>
          <w:rFonts w:ascii="Times New Roman" w:eastAsia="Times New Roman" w:hAnsi="Times New Roman" w:cs="Times New Roman"/>
          <w:bCs/>
          <w:lang w:val="ro-MD"/>
        </w:rPr>
        <w:t>la solicitarea Băncii Naționale a Moldovei sau la momentul constatării acestor asp</w:t>
      </w:r>
      <w:r w:rsidR="006F3797" w:rsidRPr="000508B6">
        <w:rPr>
          <w:rFonts w:ascii="Times New Roman" w:eastAsia="Times New Roman" w:hAnsi="Times New Roman" w:cs="Times New Roman"/>
          <w:bCs/>
          <w:lang w:val="ro-MD"/>
        </w:rPr>
        <w:t>ecte</w:t>
      </w:r>
      <w:r w:rsidRPr="000508B6">
        <w:rPr>
          <w:rFonts w:ascii="Times New Roman" w:eastAsia="Times New Roman" w:hAnsi="Times New Roman" w:cs="Times New Roman"/>
          <w:bCs/>
          <w:lang w:val="ro-MD"/>
        </w:rPr>
        <w:t>.</w:t>
      </w:r>
      <w:r w:rsidRPr="000508B6">
        <w:rPr>
          <w:rFonts w:ascii="Times New Roman" w:eastAsia="Times New Roman" w:hAnsi="Times New Roman" w:cs="Times New Roman"/>
          <w:lang w:val="ro-MD"/>
        </w:rPr>
        <w:t xml:space="preserve"> </w:t>
      </w:r>
    </w:p>
    <w:p w14:paraId="7DDF8C3B" w14:textId="3A598631" w:rsidR="008A18E3" w:rsidRPr="000508B6" w:rsidRDefault="008A18E3" w:rsidP="00DE4225">
      <w:pPr>
        <w:pStyle w:val="Listparagraf"/>
        <w:numPr>
          <w:ilvl w:val="1"/>
          <w:numId w:val="275"/>
        </w:numPr>
        <w:tabs>
          <w:tab w:val="left" w:pos="709"/>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Comunicarea, cu bună credință, către Banca Națională a Moldovei a </w:t>
      </w:r>
      <w:r w:rsidR="00A11B82" w:rsidRPr="000508B6">
        <w:rPr>
          <w:rFonts w:ascii="Times New Roman" w:eastAsia="Times New Roman" w:hAnsi="Times New Roman" w:cs="Times New Roman"/>
          <w:bCs/>
          <w:lang w:val="ro-MD"/>
        </w:rPr>
        <w:t>informațiilor</w:t>
      </w:r>
      <w:r w:rsidRPr="000508B6">
        <w:rPr>
          <w:rFonts w:ascii="Times New Roman" w:eastAsia="Times New Roman" w:hAnsi="Times New Roman" w:cs="Times New Roman"/>
          <w:bCs/>
          <w:lang w:val="ro-MD"/>
        </w:rPr>
        <w:t xml:space="preserve"> </w:t>
      </w:r>
      <w:r w:rsidR="00A11B82" w:rsidRPr="000508B6">
        <w:rPr>
          <w:rFonts w:ascii="Times New Roman" w:eastAsia="Times New Roman" w:hAnsi="Times New Roman" w:cs="Times New Roman"/>
          <w:bCs/>
          <w:lang w:val="ro-MD"/>
        </w:rPr>
        <w:t>menționate</w:t>
      </w:r>
      <w:r w:rsidRPr="000508B6">
        <w:rPr>
          <w:rFonts w:ascii="Times New Roman" w:eastAsia="Times New Roman" w:hAnsi="Times New Roman" w:cs="Times New Roman"/>
          <w:bCs/>
          <w:lang w:val="ro-MD"/>
        </w:rPr>
        <w:t xml:space="preserve"> la alin.</w:t>
      </w:r>
      <w:r w:rsidR="0078751B"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w:t>
      </w:r>
      <w:r w:rsidR="00487C31" w:rsidRPr="000508B6">
        <w:rPr>
          <w:rFonts w:ascii="Times New Roman" w:eastAsia="Times New Roman" w:hAnsi="Times New Roman" w:cs="Times New Roman"/>
          <w:bCs/>
          <w:lang w:val="ro-MD"/>
        </w:rPr>
        <w:t>1</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r w:rsidR="00487C31"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 xml:space="preserve">) nu constituie o încălcare a </w:t>
      </w:r>
      <w:r w:rsidR="00A11B82" w:rsidRPr="000508B6">
        <w:rPr>
          <w:rFonts w:ascii="Times New Roman" w:eastAsia="Times New Roman" w:hAnsi="Times New Roman" w:cs="Times New Roman"/>
          <w:bCs/>
          <w:lang w:val="ro-MD"/>
        </w:rPr>
        <w:t>confidențialității</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secretului profesional impuse prin clauze contractuale sau de prevederile </w:t>
      </w:r>
      <w:r w:rsidR="00A11B82" w:rsidRPr="000508B6">
        <w:rPr>
          <w:rFonts w:ascii="Times New Roman" w:eastAsia="Times New Roman" w:hAnsi="Times New Roman" w:cs="Times New Roman"/>
          <w:bCs/>
          <w:lang w:val="ro-MD"/>
        </w:rPr>
        <w:t>legislației</w:t>
      </w:r>
      <w:r w:rsidR="00B16F5E" w:rsidRPr="000508B6">
        <w:rPr>
          <w:rFonts w:ascii="Times New Roman" w:eastAsia="Times New Roman" w:hAnsi="Times New Roman" w:cs="Times New Roman"/>
          <w:bCs/>
          <w:lang w:val="ro-MD"/>
        </w:rPr>
        <w:t xml:space="preserve"> naționale</w:t>
      </w:r>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nu atrage răspunderea </w:t>
      </w:r>
      <w:r w:rsidR="00A11B82" w:rsidRPr="000508B6">
        <w:rPr>
          <w:rFonts w:ascii="Times New Roman" w:eastAsia="Times New Roman" w:hAnsi="Times New Roman" w:cs="Times New Roman"/>
          <w:bCs/>
          <w:lang w:val="ro-MD"/>
        </w:rPr>
        <w:t>entităților</w:t>
      </w:r>
      <w:r w:rsidRPr="000508B6">
        <w:rPr>
          <w:rFonts w:ascii="Times New Roman" w:eastAsia="Times New Roman" w:hAnsi="Times New Roman" w:cs="Times New Roman"/>
          <w:bCs/>
          <w:lang w:val="ro-MD"/>
        </w:rPr>
        <w:t xml:space="preserve"> de audit sau a membrilor echipei misiunii de audit.</w:t>
      </w:r>
    </w:p>
    <w:p w14:paraId="6B4A9729" w14:textId="2D307719" w:rsidR="008A18E3" w:rsidRPr="000508B6" w:rsidRDefault="008A18E3" w:rsidP="00DE4225">
      <w:pPr>
        <w:pStyle w:val="Listparagraf"/>
        <w:numPr>
          <w:ilvl w:val="1"/>
          <w:numId w:val="275"/>
        </w:numPr>
        <w:tabs>
          <w:tab w:val="left" w:pos="709"/>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Banca Națională a Moldovei informează Consiliul de supraveghere publică a auditului, în cazul constatării încălcării de către entitatea de audit a prevederilor prezentei legi și a actelor normative</w:t>
      </w:r>
      <w:r w:rsidR="00A11B82" w:rsidRPr="000508B6">
        <w:rPr>
          <w:rFonts w:ascii="Times New Roman" w:eastAsia="Times New Roman" w:hAnsi="Times New Roman" w:cs="Times New Roman"/>
          <w:bCs/>
          <w:lang w:val="ro-MD"/>
        </w:rPr>
        <w:t xml:space="preserve"> </w:t>
      </w:r>
      <w:r w:rsidR="00611DF6" w:rsidRPr="000508B6">
        <w:rPr>
          <w:rFonts w:ascii="Times New Roman" w:eastAsia="Times New Roman" w:hAnsi="Times New Roman" w:cs="Times New Roman"/>
          <w:bCs/>
          <w:lang w:val="ro-MD"/>
        </w:rPr>
        <w:t>ale Băncii Naționale a Moldovei</w:t>
      </w:r>
      <w:r w:rsidRPr="000508B6">
        <w:rPr>
          <w:rFonts w:ascii="Times New Roman" w:eastAsia="Times New Roman" w:hAnsi="Times New Roman" w:cs="Times New Roman"/>
          <w:bCs/>
          <w:lang w:val="ro-MD"/>
        </w:rPr>
        <w:t>.</w:t>
      </w:r>
    </w:p>
    <w:p w14:paraId="10B60177" w14:textId="11B41BB5" w:rsidR="00355647" w:rsidRPr="000508B6" w:rsidRDefault="00355647" w:rsidP="00DE4225">
      <w:pPr>
        <w:pStyle w:val="Listparagraf"/>
        <w:numPr>
          <w:ilvl w:val="1"/>
          <w:numId w:val="275"/>
        </w:numPr>
        <w:tabs>
          <w:tab w:val="left" w:pos="709"/>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Banca </w:t>
      </w:r>
      <w:r w:rsidR="00A11B82" w:rsidRPr="000508B6">
        <w:rPr>
          <w:rFonts w:ascii="Times New Roman" w:eastAsia="Times New Roman" w:hAnsi="Times New Roman" w:cs="Times New Roman"/>
          <w:bCs/>
          <w:lang w:val="ro-MD"/>
        </w:rPr>
        <w:t>Națională</w:t>
      </w:r>
      <w:r w:rsidRPr="000508B6">
        <w:rPr>
          <w:rFonts w:ascii="Times New Roman" w:eastAsia="Times New Roman" w:hAnsi="Times New Roman" w:cs="Times New Roman"/>
          <w:bCs/>
          <w:lang w:val="ro-MD"/>
        </w:rPr>
        <w:t xml:space="preserve"> a Moldovei are acces la orice documente întocmite de entitatea de audit pe parcursul </w:t>
      </w:r>
      <w:r w:rsidR="003130ED" w:rsidRPr="000508B6">
        <w:rPr>
          <w:rFonts w:ascii="Times New Roman" w:eastAsia="Times New Roman" w:hAnsi="Times New Roman" w:cs="Times New Roman"/>
          <w:bCs/>
          <w:lang w:val="ro-MD"/>
        </w:rPr>
        <w:t>misiunii</w:t>
      </w:r>
      <w:r w:rsidRPr="000508B6">
        <w:rPr>
          <w:rFonts w:ascii="Times New Roman" w:eastAsia="Times New Roman" w:hAnsi="Times New Roman" w:cs="Times New Roman"/>
          <w:bCs/>
          <w:lang w:val="ro-MD"/>
        </w:rPr>
        <w:t xml:space="preserve"> de audit la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auditat.</w:t>
      </w:r>
    </w:p>
    <w:p w14:paraId="241841EA" w14:textId="735F2E84" w:rsidR="00355647" w:rsidRPr="000508B6" w:rsidRDefault="00A11B82" w:rsidP="00DE4225">
      <w:pPr>
        <w:pStyle w:val="Listparagraf"/>
        <w:numPr>
          <w:ilvl w:val="1"/>
          <w:numId w:val="275"/>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Relația</w:t>
      </w:r>
      <w:r w:rsidR="0028666C"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entității</w:t>
      </w:r>
      <w:r w:rsidR="0028666C" w:rsidRPr="000508B6">
        <w:rPr>
          <w:rFonts w:ascii="Times New Roman" w:eastAsia="Times New Roman" w:hAnsi="Times New Roman" w:cs="Times New Roman"/>
          <w:bCs/>
          <w:lang w:val="ro-MD"/>
        </w:rPr>
        <w:t xml:space="preserve"> de audit cu Banca </w:t>
      </w:r>
      <w:r w:rsidRPr="000508B6">
        <w:rPr>
          <w:rFonts w:ascii="Times New Roman" w:eastAsia="Times New Roman" w:hAnsi="Times New Roman" w:cs="Times New Roman"/>
          <w:bCs/>
          <w:lang w:val="ro-MD"/>
        </w:rPr>
        <w:t>Națională</w:t>
      </w:r>
      <w:r w:rsidR="0028666C" w:rsidRPr="000508B6">
        <w:rPr>
          <w:rFonts w:ascii="Times New Roman" w:eastAsia="Times New Roman" w:hAnsi="Times New Roman" w:cs="Times New Roman"/>
          <w:bCs/>
          <w:lang w:val="ro-MD"/>
        </w:rPr>
        <w:t xml:space="preserve"> a Moldovei este stabilită prin actele normative ale Băncii Naționale a Moldovei</w:t>
      </w:r>
      <w:r w:rsidR="00355647" w:rsidRPr="000508B6">
        <w:rPr>
          <w:rFonts w:ascii="Times New Roman" w:eastAsia="Times New Roman" w:hAnsi="Times New Roman" w:cs="Times New Roman"/>
          <w:bCs/>
          <w:lang w:val="ro-MD"/>
        </w:rPr>
        <w:t>.</w:t>
      </w:r>
      <w:r w:rsidR="00863521" w:rsidRPr="000508B6">
        <w:rPr>
          <w:rFonts w:ascii="Times New Roman" w:eastAsia="Times New Roman" w:hAnsi="Times New Roman" w:cs="Times New Roman"/>
          <w:lang w:val="ro-MD"/>
        </w:rPr>
        <w:t xml:space="preserve"> </w:t>
      </w:r>
    </w:p>
    <w:p w14:paraId="67DFD4CB" w14:textId="05FEAFE6" w:rsidR="00F95829" w:rsidRPr="000508B6" w:rsidRDefault="00F95829" w:rsidP="00F57C5F">
      <w:pPr>
        <w:tabs>
          <w:tab w:val="left" w:pos="993"/>
        </w:tabs>
        <w:spacing w:after="0" w:line="240" w:lineRule="auto"/>
        <w:ind w:firstLine="426"/>
        <w:jc w:val="center"/>
        <w:rPr>
          <w:rFonts w:ascii="Times New Roman" w:eastAsia="Times New Roman" w:hAnsi="Times New Roman" w:cs="Times New Roman"/>
          <w:bCs/>
          <w:lang w:val="ro-MD"/>
        </w:rPr>
      </w:pPr>
    </w:p>
    <w:p w14:paraId="5F80AEE1" w14:textId="2E738D30" w:rsidR="00F57C5F" w:rsidRPr="000508B6" w:rsidRDefault="00703E42" w:rsidP="00F57C5F">
      <w:pPr>
        <w:tabs>
          <w:tab w:val="left" w:pos="993"/>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Secțiunea </w:t>
      </w:r>
      <w:r w:rsidR="00F57C5F" w:rsidRPr="000508B6">
        <w:rPr>
          <w:rFonts w:ascii="Times New Roman" w:eastAsia="Times New Roman" w:hAnsi="Times New Roman" w:cs="Times New Roman"/>
          <w:b/>
          <w:lang w:val="ro-MD"/>
        </w:rPr>
        <w:t>a 6-a</w:t>
      </w:r>
    </w:p>
    <w:p w14:paraId="66C1CBFF" w14:textId="33998AC2" w:rsidR="00F57C5F" w:rsidRPr="000508B6" w:rsidRDefault="00F57C5F" w:rsidP="00F57C5F">
      <w:pPr>
        <w:tabs>
          <w:tab w:val="left" w:pos="993"/>
        </w:tabs>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Desfăşurarea</w:t>
      </w:r>
      <w:proofErr w:type="spellEnd"/>
      <w:r w:rsidRPr="000508B6">
        <w:rPr>
          <w:rFonts w:ascii="Times New Roman" w:eastAsia="Times New Roman" w:hAnsi="Times New Roman" w:cs="Times New Roman"/>
          <w:b/>
          <w:lang w:val="ro-MD"/>
        </w:rPr>
        <w:t xml:space="preserve"> simultană a </w:t>
      </w:r>
      <w:proofErr w:type="spellStart"/>
      <w:r w:rsidRPr="000508B6">
        <w:rPr>
          <w:rFonts w:ascii="Times New Roman" w:eastAsia="Times New Roman" w:hAnsi="Times New Roman" w:cs="Times New Roman"/>
          <w:b/>
          <w:lang w:val="ro-MD"/>
        </w:rPr>
        <w:t>activităţii</w:t>
      </w:r>
      <w:proofErr w:type="spellEnd"/>
      <w:r w:rsidRPr="000508B6">
        <w:rPr>
          <w:rFonts w:ascii="Times New Roman" w:eastAsia="Times New Roman" w:hAnsi="Times New Roman" w:cs="Times New Roman"/>
          <w:b/>
          <w:lang w:val="ro-MD"/>
        </w:rPr>
        <w:t xml:space="preserve"> de </w:t>
      </w:r>
      <w:r w:rsidR="000165FC" w:rsidRPr="000508B6">
        <w:rPr>
          <w:rFonts w:ascii="Times New Roman" w:eastAsia="Times New Roman" w:hAnsi="Times New Roman" w:cs="Times New Roman"/>
          <w:b/>
          <w:lang w:val="ro-MD"/>
        </w:rPr>
        <w:t>asigurare</w:t>
      </w:r>
      <w:r w:rsidRPr="000508B6">
        <w:rPr>
          <w:rFonts w:ascii="Times New Roman" w:eastAsia="Times New Roman" w:hAnsi="Times New Roman" w:cs="Times New Roman"/>
          <w:b/>
          <w:lang w:val="ro-MD"/>
        </w:rPr>
        <w:t xml:space="preserve"> general</w:t>
      </w:r>
      <w:r w:rsidR="000165FC" w:rsidRPr="000508B6">
        <w:rPr>
          <w:rFonts w:ascii="Times New Roman" w:eastAsia="Times New Roman" w:hAnsi="Times New Roman" w:cs="Times New Roman"/>
          <w:b/>
          <w:lang w:val="ro-MD"/>
        </w:rPr>
        <w:t>ă</w:t>
      </w:r>
      <w:r w:rsidRPr="000508B6">
        <w:rPr>
          <w:rFonts w:ascii="Times New Roman" w:eastAsia="Times New Roman" w:hAnsi="Times New Roman" w:cs="Times New Roman"/>
          <w:b/>
          <w:lang w:val="ro-MD"/>
        </w:rPr>
        <w:t xml:space="preserve"> </w:t>
      </w:r>
      <w:proofErr w:type="spellStart"/>
      <w:r w:rsidRPr="000508B6">
        <w:rPr>
          <w:rFonts w:ascii="Times New Roman" w:eastAsia="Times New Roman" w:hAnsi="Times New Roman" w:cs="Times New Roman"/>
          <w:b/>
          <w:lang w:val="ro-MD"/>
        </w:rPr>
        <w:t>şi</w:t>
      </w:r>
      <w:proofErr w:type="spellEnd"/>
      <w:r w:rsidRPr="000508B6">
        <w:rPr>
          <w:rFonts w:ascii="Times New Roman" w:eastAsia="Times New Roman" w:hAnsi="Times New Roman" w:cs="Times New Roman"/>
          <w:b/>
          <w:lang w:val="ro-MD"/>
        </w:rPr>
        <w:t xml:space="preserve"> de </w:t>
      </w:r>
      <w:r w:rsidR="000165FC" w:rsidRPr="000508B6">
        <w:rPr>
          <w:rFonts w:ascii="Times New Roman" w:eastAsia="Times New Roman" w:hAnsi="Times New Roman" w:cs="Times New Roman"/>
          <w:b/>
          <w:lang w:val="ro-MD"/>
        </w:rPr>
        <w:t>asigurare</w:t>
      </w:r>
      <w:r w:rsidRPr="000508B6">
        <w:rPr>
          <w:rFonts w:ascii="Times New Roman" w:eastAsia="Times New Roman" w:hAnsi="Times New Roman" w:cs="Times New Roman"/>
          <w:b/>
          <w:lang w:val="ro-MD"/>
        </w:rPr>
        <w:t xml:space="preserve"> de </w:t>
      </w:r>
      <w:proofErr w:type="spellStart"/>
      <w:r w:rsidRPr="000508B6">
        <w:rPr>
          <w:rFonts w:ascii="Times New Roman" w:eastAsia="Times New Roman" w:hAnsi="Times New Roman" w:cs="Times New Roman"/>
          <w:b/>
          <w:lang w:val="ro-MD"/>
        </w:rPr>
        <w:t>viaţă</w:t>
      </w:r>
      <w:proofErr w:type="spellEnd"/>
    </w:p>
    <w:p w14:paraId="0DE9B5D8" w14:textId="7823068F" w:rsidR="00F95829" w:rsidRPr="000508B6" w:rsidRDefault="00F95829" w:rsidP="00DE1B11">
      <w:pPr>
        <w:tabs>
          <w:tab w:val="left" w:pos="993"/>
        </w:tabs>
        <w:spacing w:after="0" w:line="240" w:lineRule="auto"/>
        <w:ind w:firstLine="426"/>
        <w:jc w:val="both"/>
        <w:rPr>
          <w:rFonts w:ascii="Times New Roman" w:eastAsia="Times New Roman" w:hAnsi="Times New Roman" w:cs="Times New Roman"/>
          <w:lang w:val="ro-MD"/>
        </w:rPr>
      </w:pPr>
    </w:p>
    <w:p w14:paraId="59F1CA40" w14:textId="236F1197" w:rsidR="00F95829" w:rsidRPr="000508B6" w:rsidRDefault="00F95829" w:rsidP="008B530F">
      <w:pPr>
        <w:tabs>
          <w:tab w:val="left" w:pos="284"/>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39</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Administrarea separată a </w:t>
      </w:r>
      <w:proofErr w:type="spellStart"/>
      <w:r w:rsidRPr="000508B6">
        <w:rPr>
          <w:rFonts w:ascii="Times New Roman" w:eastAsia="Times New Roman" w:hAnsi="Times New Roman" w:cs="Times New Roman"/>
          <w:lang w:val="ro-MD"/>
        </w:rPr>
        <w:t>activităţilor</w:t>
      </w:r>
      <w:proofErr w:type="spellEnd"/>
      <w:r w:rsidRPr="000508B6">
        <w:rPr>
          <w:rFonts w:ascii="Times New Roman" w:eastAsia="Times New Roman" w:hAnsi="Times New Roman" w:cs="Times New Roman"/>
          <w:lang w:val="ro-MD"/>
        </w:rPr>
        <w:t xml:space="preserve">  </w:t>
      </w:r>
    </w:p>
    <w:p w14:paraId="2BE8EE97" w14:textId="5528625E" w:rsidR="00F95829" w:rsidRPr="000508B6" w:rsidRDefault="006E396F" w:rsidP="0078751B">
      <w:pPr>
        <w:pStyle w:val="Listparagraf"/>
        <w:numPr>
          <w:ilvl w:val="1"/>
          <w:numId w:val="133"/>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compozit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cel </w:t>
      </w:r>
      <w:r w:rsidR="00F95829" w:rsidRPr="000508B6">
        <w:rPr>
          <w:rFonts w:ascii="Times New Roman" w:eastAsia="Times New Roman" w:hAnsi="Times New Roman" w:cs="Times New Roman"/>
          <w:lang w:val="ro-MD"/>
        </w:rPr>
        <w:t xml:space="preserve">care a </w:t>
      </w:r>
      <w:proofErr w:type="spellStart"/>
      <w:r w:rsidR="00F95829" w:rsidRPr="000508B6">
        <w:rPr>
          <w:rFonts w:ascii="Times New Roman" w:eastAsia="Times New Roman" w:hAnsi="Times New Roman" w:cs="Times New Roman"/>
          <w:lang w:val="ro-MD"/>
        </w:rPr>
        <w:t>obţinut</w:t>
      </w:r>
      <w:proofErr w:type="spellEnd"/>
      <w:r w:rsidR="00F95829" w:rsidRPr="000508B6">
        <w:rPr>
          <w:rFonts w:ascii="Times New Roman" w:eastAsia="Times New Roman" w:hAnsi="Times New Roman" w:cs="Times New Roman"/>
          <w:lang w:val="ro-MD"/>
        </w:rPr>
        <w:t xml:space="preserve"> </w:t>
      </w:r>
      <w:r w:rsidR="00F73608" w:rsidRPr="000508B6">
        <w:rPr>
          <w:rFonts w:ascii="Times New Roman" w:eastAsia="Times New Roman" w:hAnsi="Times New Roman" w:cs="Times New Roman"/>
          <w:lang w:val="ro-MD"/>
        </w:rPr>
        <w:t xml:space="preserve">licență </w:t>
      </w:r>
      <w:r w:rsidR="00F95829" w:rsidRPr="000508B6">
        <w:rPr>
          <w:rFonts w:ascii="Times New Roman" w:eastAsia="Times New Roman" w:hAnsi="Times New Roman" w:cs="Times New Roman"/>
          <w:lang w:val="ro-MD"/>
        </w:rPr>
        <w:t xml:space="preserve">în urma solicitării prevăzute la art. </w:t>
      </w:r>
      <w:r w:rsidR="009D2A3F" w:rsidRPr="000508B6">
        <w:rPr>
          <w:rFonts w:ascii="Times New Roman" w:eastAsia="Times New Roman" w:hAnsi="Times New Roman" w:cs="Times New Roman"/>
          <w:lang w:val="ro-MD"/>
        </w:rPr>
        <w:t xml:space="preserve">4 </w:t>
      </w:r>
      <w:r w:rsidR="00F95829" w:rsidRPr="000508B6">
        <w:rPr>
          <w:rFonts w:ascii="Times New Roman" w:eastAsia="Times New Roman" w:hAnsi="Times New Roman" w:cs="Times New Roman"/>
          <w:lang w:val="ro-MD"/>
        </w:rPr>
        <w:t>alin. (</w:t>
      </w:r>
      <w:r w:rsidR="008B1F1F" w:rsidRPr="000508B6">
        <w:rPr>
          <w:rFonts w:ascii="Times New Roman" w:eastAsia="Times New Roman" w:hAnsi="Times New Roman" w:cs="Times New Roman"/>
          <w:lang w:val="ro-MD"/>
        </w:rPr>
        <w:t>8</w:t>
      </w:r>
      <w:r w:rsidR="00F95829" w:rsidRPr="000508B6">
        <w:rPr>
          <w:rFonts w:ascii="Times New Roman" w:eastAsia="Times New Roman" w:hAnsi="Times New Roman" w:cs="Times New Roman"/>
          <w:lang w:val="ro-MD"/>
        </w:rPr>
        <w:t>)</w:t>
      </w:r>
      <w:r w:rsidR="009D462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este obligat </w:t>
      </w:r>
      <w:r w:rsidR="009D4622" w:rsidRPr="000508B6">
        <w:rPr>
          <w:rFonts w:ascii="Times New Roman" w:eastAsia="Times New Roman" w:hAnsi="Times New Roman" w:cs="Times New Roman"/>
          <w:lang w:val="ro-MD"/>
        </w:rPr>
        <w:t>să respecte următoarele cerinț</w:t>
      </w:r>
      <w:r w:rsidR="007900C1"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w:t>
      </w:r>
    </w:p>
    <w:p w14:paraId="2215DB91" w14:textId="7D1DDBBA" w:rsidR="00F95829" w:rsidRPr="000508B6" w:rsidRDefault="00F95829" w:rsidP="00DE4225">
      <w:pPr>
        <w:pStyle w:val="Listparagraf"/>
        <w:numPr>
          <w:ilvl w:val="0"/>
          <w:numId w:val="134"/>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administrează separat activitatea de </w:t>
      </w:r>
      <w:r w:rsidR="000165FC"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general</w:t>
      </w:r>
      <w:r w:rsidR="000165FC"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0165FC" w:rsidRPr="000508B6">
        <w:rPr>
          <w:rFonts w:ascii="Times New Roman" w:eastAsia="Times New Roman" w:hAnsi="Times New Roman" w:cs="Times New Roman"/>
          <w:lang w:val="ro-MD"/>
        </w:rPr>
        <w:t>asigurarea</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astfel încât drepturile </w:t>
      </w:r>
      <w:r w:rsidR="0038532E" w:rsidRPr="000508B6">
        <w:rPr>
          <w:rFonts w:ascii="Times New Roman" w:eastAsia="Times New Roman" w:hAnsi="Times New Roman" w:cs="Times New Roman"/>
          <w:lang w:val="ro-MD"/>
        </w:rPr>
        <w:t xml:space="preserve">asiguraților </w:t>
      </w:r>
      <w:r w:rsidRPr="000508B6">
        <w:rPr>
          <w:rFonts w:ascii="Times New Roman" w:eastAsia="Times New Roman" w:hAnsi="Times New Roman" w:cs="Times New Roman"/>
          <w:lang w:val="ro-MD"/>
        </w:rPr>
        <w:t>să fie respectate</w:t>
      </w:r>
      <w:r w:rsidR="00870802" w:rsidRPr="000508B6">
        <w:rPr>
          <w:rFonts w:ascii="Times New Roman" w:eastAsia="Times New Roman" w:hAnsi="Times New Roman" w:cs="Times New Roman"/>
          <w:lang w:val="ro-MD"/>
        </w:rPr>
        <w:t>, în special</w:t>
      </w:r>
      <w:r w:rsidR="00870802" w:rsidRPr="000508B6">
        <w:rPr>
          <w:rFonts w:ascii="Times New Roman" w:hAnsi="Times New Roman" w:cs="Times New Roman"/>
          <w:lang w:val="ro-MD"/>
        </w:rPr>
        <w:t xml:space="preserve"> </w:t>
      </w:r>
      <w:r w:rsidR="00870802" w:rsidRPr="000508B6">
        <w:rPr>
          <w:rFonts w:ascii="Times New Roman" w:eastAsia="Times New Roman" w:hAnsi="Times New Roman" w:cs="Times New Roman"/>
          <w:lang w:val="ro-MD"/>
        </w:rPr>
        <w:t xml:space="preserve">profiturile din activitatea de asigurare de viață </w:t>
      </w:r>
      <w:proofErr w:type="spellStart"/>
      <w:r w:rsidR="00870802" w:rsidRPr="000508B6">
        <w:rPr>
          <w:rFonts w:ascii="Times New Roman" w:eastAsia="Times New Roman" w:hAnsi="Times New Roman" w:cs="Times New Roman"/>
          <w:lang w:val="ro-MD"/>
        </w:rPr>
        <w:t>șă</w:t>
      </w:r>
      <w:proofErr w:type="spellEnd"/>
      <w:r w:rsidR="00870802" w:rsidRPr="000508B6">
        <w:rPr>
          <w:rFonts w:ascii="Times New Roman" w:eastAsia="Times New Roman" w:hAnsi="Times New Roman" w:cs="Times New Roman"/>
          <w:lang w:val="ro-MD"/>
        </w:rPr>
        <w:t xml:space="preserve"> fie distribuite doar asiguraților de asigurări de viață</w:t>
      </w:r>
      <w:r w:rsidRPr="000508B6">
        <w:rPr>
          <w:rFonts w:ascii="Times New Roman" w:eastAsia="Times New Roman" w:hAnsi="Times New Roman" w:cs="Times New Roman"/>
          <w:lang w:val="ro-MD"/>
        </w:rPr>
        <w:t>;</w:t>
      </w:r>
      <w:r w:rsidR="00870802" w:rsidRPr="000508B6">
        <w:rPr>
          <w:rFonts w:ascii="Times New Roman" w:hAnsi="Times New Roman" w:cs="Times New Roman"/>
          <w:lang w:val="ro-MD"/>
        </w:rPr>
        <w:t xml:space="preserve"> </w:t>
      </w:r>
    </w:p>
    <w:p w14:paraId="3B9512CE" w14:textId="3020B650" w:rsidR="00F95829" w:rsidRPr="000508B6" w:rsidRDefault="00F95829" w:rsidP="00DE4225">
      <w:pPr>
        <w:pStyle w:val="Listparagraf"/>
        <w:numPr>
          <w:ilvl w:val="0"/>
          <w:numId w:val="134"/>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organizează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6F36AB" w:rsidRPr="000508B6">
        <w:rPr>
          <w:rFonts w:ascii="Times New Roman" w:eastAsia="Times New Roman" w:hAnsi="Times New Roman" w:cs="Times New Roman"/>
          <w:lang w:val="ro-MD"/>
        </w:rPr>
        <w:t>țin</w:t>
      </w:r>
      <w:r w:rsidR="000F57B9" w:rsidRPr="000508B6">
        <w:rPr>
          <w:rFonts w:ascii="Times New Roman" w:eastAsia="Times New Roman" w:hAnsi="Times New Roman" w:cs="Times New Roman"/>
          <w:lang w:val="ro-MD"/>
        </w:rPr>
        <w:t>e</w:t>
      </w:r>
      <w:r w:rsidR="006F36AB"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evidenţe</w:t>
      </w:r>
      <w:proofErr w:type="spellEnd"/>
      <w:r w:rsidRPr="000508B6">
        <w:rPr>
          <w:rFonts w:ascii="Times New Roman" w:eastAsia="Times New Roman" w:hAnsi="Times New Roman" w:cs="Times New Roman"/>
          <w:lang w:val="ro-MD"/>
        </w:rPr>
        <w:t xml:space="preserve"> contabile distinct</w:t>
      </w:r>
      <w:r w:rsidR="006E396F"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pentru </w:t>
      </w:r>
      <w:r w:rsidR="00EE5222" w:rsidRPr="000508B6">
        <w:rPr>
          <w:rFonts w:ascii="Times New Roman" w:eastAsia="Times New Roman" w:hAnsi="Times New Roman" w:cs="Times New Roman"/>
          <w:lang w:val="ro-MD"/>
        </w:rPr>
        <w:t xml:space="preserve">fiecare dintre </w:t>
      </w:r>
      <w:r w:rsidRPr="000508B6">
        <w:rPr>
          <w:rFonts w:ascii="Times New Roman" w:eastAsia="Times New Roman" w:hAnsi="Times New Roman" w:cs="Times New Roman"/>
          <w:lang w:val="ro-MD"/>
        </w:rPr>
        <w:t xml:space="preserve">cele două </w:t>
      </w:r>
      <w:r w:rsidR="00AE4B2B" w:rsidRPr="000508B6">
        <w:rPr>
          <w:rFonts w:ascii="Times New Roman" w:eastAsia="Times New Roman" w:hAnsi="Times New Roman" w:cs="Times New Roman"/>
          <w:lang w:val="ro-MD"/>
        </w:rPr>
        <w:t xml:space="preserve">activități </w:t>
      </w:r>
      <w:r w:rsidRPr="000508B6">
        <w:rPr>
          <w:rFonts w:ascii="Times New Roman" w:eastAsia="Times New Roman" w:hAnsi="Times New Roman" w:cs="Times New Roman"/>
          <w:lang w:val="ro-MD"/>
        </w:rPr>
        <w:t xml:space="preserve">de </w:t>
      </w:r>
      <w:r w:rsidR="00A4279C"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w:t>
      </w:r>
    </w:p>
    <w:p w14:paraId="30BC0721" w14:textId="722A16BD" w:rsidR="00870802" w:rsidRPr="000508B6" w:rsidRDefault="00915E74" w:rsidP="00DE4225">
      <w:pPr>
        <w:pStyle w:val="Listparagraf"/>
        <w:numPr>
          <w:ilvl w:val="0"/>
          <w:numId w:val="134"/>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evidențiază </w:t>
      </w:r>
      <w:r w:rsidR="00F95829" w:rsidRPr="000508B6">
        <w:rPr>
          <w:rFonts w:ascii="Times New Roman" w:eastAsia="Times New Roman" w:hAnsi="Times New Roman" w:cs="Times New Roman"/>
          <w:lang w:val="ro-MD"/>
        </w:rPr>
        <w:t xml:space="preserve">direct pe </w:t>
      </w:r>
      <w:r w:rsidR="00EE5222" w:rsidRPr="000508B6">
        <w:rPr>
          <w:rFonts w:ascii="Times New Roman" w:eastAsia="Times New Roman" w:hAnsi="Times New Roman" w:cs="Times New Roman"/>
          <w:lang w:val="ro-MD"/>
        </w:rPr>
        <w:t xml:space="preserve">fiecare dintre </w:t>
      </w:r>
      <w:r w:rsidR="00F95829" w:rsidRPr="000508B6">
        <w:rPr>
          <w:rFonts w:ascii="Times New Roman" w:eastAsia="Times New Roman" w:hAnsi="Times New Roman" w:cs="Times New Roman"/>
          <w:lang w:val="ro-MD"/>
        </w:rPr>
        <w:t xml:space="preserve">cele două </w:t>
      </w:r>
      <w:r w:rsidR="004724D2" w:rsidRPr="000508B6">
        <w:rPr>
          <w:rFonts w:ascii="Times New Roman" w:eastAsia="Times New Roman" w:hAnsi="Times New Roman" w:cs="Times New Roman"/>
          <w:lang w:val="ro-MD"/>
        </w:rPr>
        <w:t xml:space="preserve">activități </w:t>
      </w:r>
      <w:r w:rsidR="00F95829" w:rsidRPr="000508B6">
        <w:rPr>
          <w:rFonts w:ascii="Times New Roman" w:eastAsia="Times New Roman" w:hAnsi="Times New Roman" w:cs="Times New Roman"/>
          <w:lang w:val="ro-MD"/>
        </w:rPr>
        <w:t xml:space="preserve">de </w:t>
      </w:r>
      <w:r w:rsidR="00A4279C" w:rsidRPr="000508B6">
        <w:rPr>
          <w:rFonts w:ascii="Times New Roman" w:eastAsia="Times New Roman" w:hAnsi="Times New Roman" w:cs="Times New Roman"/>
          <w:lang w:val="ro-MD"/>
        </w:rPr>
        <w:t>asigurare</w:t>
      </w:r>
      <w:r w:rsidR="00870802" w:rsidRPr="000508B6">
        <w:rPr>
          <w:rFonts w:ascii="Times New Roman" w:eastAsia="Times New Roman" w:hAnsi="Times New Roman" w:cs="Times New Roman"/>
          <w:lang w:val="ro-MD"/>
        </w:rPr>
        <w:t xml:space="preserve"> astfel</w:t>
      </w:r>
      <w:r w:rsidR="0074202F" w:rsidRPr="000508B6">
        <w:rPr>
          <w:rFonts w:ascii="Times New Roman" w:eastAsia="Times New Roman" w:hAnsi="Times New Roman" w:cs="Times New Roman"/>
          <w:lang w:val="ro-MD"/>
        </w:rPr>
        <w:t>:</w:t>
      </w:r>
      <w:r w:rsidR="00870802" w:rsidRPr="000508B6">
        <w:rPr>
          <w:rFonts w:ascii="Times New Roman" w:eastAsia="Times New Roman" w:hAnsi="Times New Roman" w:cs="Times New Roman"/>
          <w:lang w:val="ro-MD"/>
        </w:rPr>
        <w:t xml:space="preserve"> </w:t>
      </w:r>
    </w:p>
    <w:p w14:paraId="3E5CB143" w14:textId="70FABDA1" w:rsidR="00915E74" w:rsidRPr="000508B6" w:rsidRDefault="00870802" w:rsidP="00DE4225">
      <w:pPr>
        <w:pStyle w:val="Listparagraf"/>
        <w:numPr>
          <w:ilvl w:val="0"/>
          <w:numId w:val="427"/>
        </w:numPr>
        <w:tabs>
          <w:tab w:val="left" w:pos="284"/>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veniturile, în special primele, sumele </w:t>
      </w:r>
      <w:proofErr w:type="spellStart"/>
      <w:r w:rsidRPr="000508B6">
        <w:rPr>
          <w:rFonts w:ascii="Times New Roman" w:eastAsia="Times New Roman" w:hAnsi="Times New Roman" w:cs="Times New Roman"/>
          <w:lang w:val="ro-MD"/>
        </w:rPr>
        <w:t>pimite</w:t>
      </w:r>
      <w:proofErr w:type="spellEnd"/>
      <w:r w:rsidRPr="000508B6">
        <w:rPr>
          <w:rFonts w:ascii="Times New Roman" w:eastAsia="Times New Roman" w:hAnsi="Times New Roman" w:cs="Times New Roman"/>
          <w:lang w:val="ro-MD"/>
        </w:rPr>
        <w:t xml:space="preserve"> de la </w:t>
      </w:r>
      <w:proofErr w:type="spellStart"/>
      <w:r w:rsidR="00E94EC1"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și venitu</w:t>
      </w:r>
      <w:r w:rsidR="00915E74" w:rsidRPr="000508B6">
        <w:rPr>
          <w:rFonts w:ascii="Times New Roman" w:eastAsia="Times New Roman" w:hAnsi="Times New Roman" w:cs="Times New Roman"/>
          <w:lang w:val="ro-MD"/>
        </w:rPr>
        <w:t>ri</w:t>
      </w:r>
      <w:r w:rsidRPr="000508B6">
        <w:rPr>
          <w:rFonts w:ascii="Times New Roman" w:eastAsia="Times New Roman" w:hAnsi="Times New Roman" w:cs="Times New Roman"/>
          <w:lang w:val="ro-MD"/>
        </w:rPr>
        <w:t>l</w:t>
      </w:r>
      <w:r w:rsidR="00915E74"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din investiții, </w:t>
      </w:r>
    </w:p>
    <w:p w14:paraId="3D4BA5E6" w14:textId="32C53BB7" w:rsidR="00F95829" w:rsidRPr="000508B6" w:rsidRDefault="00870802" w:rsidP="00DE4225">
      <w:pPr>
        <w:pStyle w:val="Listparagraf"/>
        <w:numPr>
          <w:ilvl w:val="0"/>
          <w:numId w:val="427"/>
        </w:numPr>
        <w:tabs>
          <w:tab w:val="left" w:pos="284"/>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cheltuielile, în special daunel</w:t>
      </w:r>
      <w:r w:rsidR="00915E74"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w:t>
      </w:r>
      <w:r w:rsidR="00915E74" w:rsidRPr="000508B6">
        <w:rPr>
          <w:rFonts w:ascii="Times New Roman" w:eastAsia="Times New Roman" w:hAnsi="Times New Roman" w:cs="Times New Roman"/>
          <w:lang w:val="ro-MD"/>
        </w:rPr>
        <w:t xml:space="preserve">sumele </w:t>
      </w:r>
      <w:r w:rsidRPr="000508B6">
        <w:rPr>
          <w:rFonts w:ascii="Times New Roman" w:eastAsia="Times New Roman" w:hAnsi="Times New Roman" w:cs="Times New Roman"/>
          <w:lang w:val="ro-MD"/>
        </w:rPr>
        <w:t>supliment</w:t>
      </w:r>
      <w:r w:rsidR="00915E74" w:rsidRPr="000508B6">
        <w:rPr>
          <w:rFonts w:ascii="Times New Roman" w:eastAsia="Times New Roman" w:hAnsi="Times New Roman" w:cs="Times New Roman"/>
          <w:lang w:val="ro-MD"/>
        </w:rPr>
        <w:t>are</w:t>
      </w:r>
      <w:r w:rsidRPr="000508B6">
        <w:rPr>
          <w:rFonts w:ascii="Times New Roman" w:eastAsia="Times New Roman" w:hAnsi="Times New Roman" w:cs="Times New Roman"/>
          <w:lang w:val="ro-MD"/>
        </w:rPr>
        <w:t xml:space="preserve"> ale rezervelor tehnice, prime </w:t>
      </w:r>
      <w:r w:rsidR="00915E74" w:rsidRPr="000508B6">
        <w:rPr>
          <w:rFonts w:ascii="Times New Roman" w:eastAsia="Times New Roman" w:hAnsi="Times New Roman" w:cs="Times New Roman"/>
          <w:lang w:val="ro-MD"/>
        </w:rPr>
        <w:t xml:space="preserve">plătite </w:t>
      </w:r>
      <w:proofErr w:type="spellStart"/>
      <w:r w:rsidR="00B36665" w:rsidRPr="000508B6">
        <w:rPr>
          <w:rFonts w:ascii="Times New Roman" w:eastAsia="Times New Roman" w:hAnsi="Times New Roman" w:cs="Times New Roman"/>
          <w:lang w:val="ro-MD"/>
        </w:rPr>
        <w:t>reasigurătorului</w:t>
      </w:r>
      <w:proofErr w:type="spellEnd"/>
      <w:r w:rsidR="00B3666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și cheltuieli de </w:t>
      </w:r>
      <w:r w:rsidR="00915E74" w:rsidRPr="000508B6">
        <w:rPr>
          <w:rFonts w:ascii="Times New Roman" w:eastAsia="Times New Roman" w:hAnsi="Times New Roman" w:cs="Times New Roman"/>
          <w:lang w:val="ro-MD"/>
        </w:rPr>
        <w:t>administrare</w:t>
      </w:r>
      <w:r w:rsidRPr="000508B6">
        <w:rPr>
          <w:rFonts w:ascii="Times New Roman" w:eastAsia="Times New Roman" w:hAnsi="Times New Roman" w:cs="Times New Roman"/>
          <w:lang w:val="ro-MD"/>
        </w:rPr>
        <w:t xml:space="preserve"> </w:t>
      </w:r>
      <w:r w:rsidR="00915E74" w:rsidRPr="000508B6">
        <w:rPr>
          <w:rFonts w:ascii="Times New Roman" w:eastAsia="Times New Roman" w:hAnsi="Times New Roman" w:cs="Times New Roman"/>
          <w:lang w:val="ro-MD"/>
        </w:rPr>
        <w:t>aferente</w:t>
      </w:r>
      <w:r w:rsidRPr="000508B6">
        <w:rPr>
          <w:rFonts w:ascii="Times New Roman" w:eastAsia="Times New Roman" w:hAnsi="Times New Roman" w:cs="Times New Roman"/>
          <w:lang w:val="ro-MD"/>
        </w:rPr>
        <w:t xml:space="preserve"> activit</w:t>
      </w:r>
      <w:r w:rsidR="00915E74" w:rsidRPr="000508B6">
        <w:rPr>
          <w:rFonts w:ascii="Times New Roman" w:eastAsia="Times New Roman" w:hAnsi="Times New Roman" w:cs="Times New Roman"/>
          <w:lang w:val="ro-MD"/>
        </w:rPr>
        <w:t>ății</w:t>
      </w:r>
      <w:r w:rsidRPr="000508B6">
        <w:rPr>
          <w:rFonts w:ascii="Times New Roman" w:eastAsia="Times New Roman" w:hAnsi="Times New Roman" w:cs="Times New Roman"/>
          <w:lang w:val="ro-MD"/>
        </w:rPr>
        <w:t xml:space="preserve"> de asigurare, sunt defalcate în funcție de proveniență</w:t>
      </w:r>
      <w:r w:rsidR="00F95829" w:rsidRPr="000508B6">
        <w:rPr>
          <w:rFonts w:ascii="Times New Roman" w:eastAsia="Times New Roman" w:hAnsi="Times New Roman" w:cs="Times New Roman"/>
          <w:lang w:val="ro-MD"/>
        </w:rPr>
        <w:t xml:space="preserve">;   </w:t>
      </w:r>
    </w:p>
    <w:p w14:paraId="04B37372" w14:textId="1FE5AA5B" w:rsidR="0074202F" w:rsidRPr="000508B6" w:rsidRDefault="0074202F" w:rsidP="00DE4225">
      <w:pPr>
        <w:pStyle w:val="Listparagraf"/>
        <w:numPr>
          <w:ilvl w:val="0"/>
          <w:numId w:val="134"/>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utilizează metoda de repartizare, cu respectarea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naționale aplicabile pentru venituri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cheltuieli care nu pot fi repartizate direct;</w:t>
      </w:r>
    </w:p>
    <w:p w14:paraId="1A282FF7" w14:textId="46B2D71A" w:rsidR="00F95829" w:rsidRPr="000508B6" w:rsidRDefault="00F95829" w:rsidP="00DE4225">
      <w:pPr>
        <w:pStyle w:val="Listparagraf"/>
        <w:numPr>
          <w:ilvl w:val="0"/>
          <w:numId w:val="134"/>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dispun</w:t>
      </w:r>
      <w:r w:rsidR="000F57B9"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de proceduri, aprobate de </w:t>
      </w:r>
      <w:r w:rsidR="0067059C" w:rsidRPr="000508B6">
        <w:rPr>
          <w:rFonts w:ascii="Times New Roman" w:eastAsia="Times New Roman" w:hAnsi="Times New Roman" w:cs="Times New Roman"/>
          <w:lang w:val="ro-MD"/>
        </w:rPr>
        <w:t xml:space="preserve">organele de </w:t>
      </w:r>
      <w:r w:rsidRPr="000508B6">
        <w:rPr>
          <w:rFonts w:ascii="Times New Roman" w:eastAsia="Times New Roman" w:hAnsi="Times New Roman" w:cs="Times New Roman"/>
          <w:lang w:val="ro-MD"/>
        </w:rPr>
        <w:t>conducere</w:t>
      </w:r>
      <w:r w:rsidR="00F73608" w:rsidRPr="000508B6">
        <w:rPr>
          <w:rFonts w:ascii="Times New Roman" w:eastAsia="Times New Roman" w:hAnsi="Times New Roman" w:cs="Times New Roman"/>
          <w:lang w:val="ro-MD"/>
        </w:rPr>
        <w:t xml:space="preserve"> a</w:t>
      </w:r>
      <w:r w:rsidR="00923C45" w:rsidRPr="000508B6">
        <w:rPr>
          <w:rFonts w:ascii="Times New Roman" w:eastAsia="Times New Roman" w:hAnsi="Times New Roman" w:cs="Times New Roman"/>
          <w:lang w:val="ro-MD"/>
        </w:rPr>
        <w:t>le</w:t>
      </w:r>
      <w:r w:rsidR="00F73608"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privind modalitatea de alocare </w:t>
      </w:r>
      <w:r w:rsidR="00405500" w:rsidRPr="000508B6">
        <w:rPr>
          <w:rFonts w:ascii="Times New Roman" w:eastAsia="Times New Roman" w:hAnsi="Times New Roman" w:cs="Times New Roman"/>
          <w:lang w:val="ro-MD"/>
        </w:rPr>
        <w:t xml:space="preserve">a </w:t>
      </w:r>
      <w:r w:rsidRPr="000508B6">
        <w:rPr>
          <w:rFonts w:ascii="Times New Roman" w:eastAsia="Times New Roman" w:hAnsi="Times New Roman" w:cs="Times New Roman"/>
          <w:lang w:val="ro-MD"/>
        </w:rPr>
        <w:t>venituri</w:t>
      </w:r>
      <w:r w:rsidR="0074202F" w:rsidRPr="000508B6">
        <w:rPr>
          <w:rFonts w:ascii="Times New Roman" w:eastAsia="Times New Roman" w:hAnsi="Times New Roman" w:cs="Times New Roman"/>
          <w:lang w:val="ro-MD"/>
        </w:rPr>
        <w:t>lor</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cheltuieli</w:t>
      </w:r>
      <w:r w:rsidR="0074202F" w:rsidRPr="000508B6">
        <w:rPr>
          <w:rFonts w:ascii="Times New Roman" w:eastAsia="Times New Roman" w:hAnsi="Times New Roman" w:cs="Times New Roman"/>
          <w:lang w:val="ro-MD"/>
        </w:rPr>
        <w:t>lor</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principiile care stau la baza determinării </w:t>
      </w:r>
      <w:r w:rsidR="00824370" w:rsidRPr="000508B6">
        <w:rPr>
          <w:rFonts w:ascii="Times New Roman" w:eastAsia="Times New Roman" w:hAnsi="Times New Roman" w:cs="Times New Roman"/>
          <w:lang w:val="ro-MD"/>
        </w:rPr>
        <w:t xml:space="preserve">metodei </w:t>
      </w:r>
      <w:r w:rsidRPr="000508B6">
        <w:rPr>
          <w:rFonts w:ascii="Times New Roman" w:eastAsia="Times New Roman" w:hAnsi="Times New Roman" w:cs="Times New Roman"/>
          <w:lang w:val="ro-MD"/>
        </w:rPr>
        <w:t xml:space="preserve">de repartizare pentru acele elemente care nu pot fi alocate direct;   </w:t>
      </w:r>
    </w:p>
    <w:p w14:paraId="12C4CE2E" w14:textId="4E6E85BE" w:rsidR="00F95829" w:rsidRPr="000508B6" w:rsidRDefault="00824370" w:rsidP="00DE4225">
      <w:pPr>
        <w:pStyle w:val="Listparagraf"/>
        <w:numPr>
          <w:ilvl w:val="0"/>
          <w:numId w:val="134"/>
        </w:numPr>
        <w:tabs>
          <w:tab w:val="left" w:pos="284"/>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metoda </w:t>
      </w:r>
      <w:r w:rsidR="00F95829" w:rsidRPr="000508B6">
        <w:rPr>
          <w:rFonts w:ascii="Times New Roman" w:eastAsia="Times New Roman" w:hAnsi="Times New Roman" w:cs="Times New Roman"/>
          <w:lang w:val="ro-MD"/>
        </w:rPr>
        <w:t xml:space="preserve">de repartizare </w:t>
      </w:r>
      <w:r w:rsidRPr="000508B6">
        <w:rPr>
          <w:rFonts w:ascii="Times New Roman" w:eastAsia="Times New Roman" w:hAnsi="Times New Roman" w:cs="Times New Roman"/>
          <w:lang w:val="ro-MD"/>
        </w:rPr>
        <w:t xml:space="preserve">aprobată </w:t>
      </w:r>
      <w:r w:rsidR="00F95829" w:rsidRPr="000508B6">
        <w:rPr>
          <w:rFonts w:ascii="Times New Roman" w:eastAsia="Times New Roman" w:hAnsi="Times New Roman" w:cs="Times New Roman"/>
          <w:lang w:val="ro-MD"/>
        </w:rPr>
        <w:t xml:space="preserve">de </w:t>
      </w:r>
      <w:r w:rsidR="00F73608" w:rsidRPr="000508B6">
        <w:rPr>
          <w:rFonts w:ascii="Times New Roman" w:eastAsia="Times New Roman" w:hAnsi="Times New Roman" w:cs="Times New Roman"/>
          <w:lang w:val="ro-MD"/>
        </w:rPr>
        <w:t xml:space="preserve">organele de </w:t>
      </w:r>
      <w:r w:rsidR="00F95829" w:rsidRPr="000508B6">
        <w:rPr>
          <w:rFonts w:ascii="Times New Roman" w:eastAsia="Times New Roman" w:hAnsi="Times New Roman" w:cs="Times New Roman"/>
          <w:lang w:val="ro-MD"/>
        </w:rPr>
        <w:t>conducere</w:t>
      </w:r>
      <w:r w:rsidR="00F73608" w:rsidRPr="000508B6">
        <w:rPr>
          <w:rFonts w:ascii="Times New Roman" w:eastAsia="Times New Roman" w:hAnsi="Times New Roman" w:cs="Times New Roman"/>
          <w:lang w:val="ro-MD"/>
        </w:rPr>
        <w:t xml:space="preserve"> a</w:t>
      </w:r>
      <w:r w:rsidR="00923C45" w:rsidRPr="000508B6">
        <w:rPr>
          <w:rFonts w:ascii="Times New Roman" w:eastAsia="Times New Roman" w:hAnsi="Times New Roman" w:cs="Times New Roman"/>
          <w:lang w:val="ro-MD"/>
        </w:rPr>
        <w:t>le</w:t>
      </w:r>
      <w:r w:rsidR="00F73608"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w:t>
      </w:r>
      <w:r w:rsidR="009340C5" w:rsidRPr="000508B6">
        <w:rPr>
          <w:rFonts w:ascii="Times New Roman" w:eastAsia="Times New Roman" w:hAnsi="Times New Roman" w:cs="Times New Roman"/>
          <w:lang w:val="ro-MD"/>
        </w:rPr>
        <w:t>este</w:t>
      </w:r>
      <w:r w:rsidR="00F95829" w:rsidRPr="000508B6">
        <w:rPr>
          <w:rFonts w:ascii="Times New Roman" w:eastAsia="Times New Roman" w:hAnsi="Times New Roman" w:cs="Times New Roman"/>
          <w:lang w:val="ro-MD"/>
        </w:rPr>
        <w:t xml:space="preserve"> aprobat</w:t>
      </w:r>
      <w:r w:rsidR="009340C5"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de </w:t>
      </w:r>
      <w:r w:rsidR="00117399" w:rsidRPr="000508B6">
        <w:rPr>
          <w:rFonts w:ascii="Times New Roman" w:eastAsia="Times New Roman" w:hAnsi="Times New Roman" w:cs="Times New Roman"/>
          <w:lang w:val="ro-MD"/>
        </w:rPr>
        <w:t xml:space="preserve">Banca Națională a Moldovei </w:t>
      </w:r>
      <w:r w:rsidR="007D4A87" w:rsidRPr="000508B6">
        <w:rPr>
          <w:rFonts w:ascii="Times New Roman" w:eastAsia="Times New Roman" w:hAnsi="Times New Roman" w:cs="Times New Roman"/>
          <w:lang w:val="ro-MD"/>
        </w:rPr>
        <w:t xml:space="preserve">conform actelor normative emise de aceasta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se </w:t>
      </w:r>
      <w:proofErr w:type="spellStart"/>
      <w:r w:rsidR="00F95829" w:rsidRPr="000508B6">
        <w:rPr>
          <w:rFonts w:ascii="Times New Roman" w:eastAsia="Times New Roman" w:hAnsi="Times New Roman" w:cs="Times New Roman"/>
          <w:lang w:val="ro-MD"/>
        </w:rPr>
        <w:t>menţin</w:t>
      </w:r>
      <w:r w:rsidR="009340C5" w:rsidRPr="000508B6">
        <w:rPr>
          <w:rFonts w:ascii="Times New Roman" w:eastAsia="Times New Roman" w:hAnsi="Times New Roman" w:cs="Times New Roman"/>
          <w:lang w:val="ro-MD"/>
        </w:rPr>
        <w:t>e</w:t>
      </w:r>
      <w:proofErr w:type="spellEnd"/>
      <w:r w:rsidR="00F95829" w:rsidRPr="000508B6">
        <w:rPr>
          <w:rFonts w:ascii="Times New Roman" w:eastAsia="Times New Roman" w:hAnsi="Times New Roman" w:cs="Times New Roman"/>
          <w:lang w:val="ro-MD"/>
        </w:rPr>
        <w:t xml:space="preserve"> cel </w:t>
      </w:r>
      <w:proofErr w:type="spellStart"/>
      <w:r w:rsidR="00F95829" w:rsidRPr="000508B6">
        <w:rPr>
          <w:rFonts w:ascii="Times New Roman" w:eastAsia="Times New Roman" w:hAnsi="Times New Roman" w:cs="Times New Roman"/>
          <w:lang w:val="ro-MD"/>
        </w:rPr>
        <w:t>puţin</w:t>
      </w:r>
      <w:proofErr w:type="spellEnd"/>
      <w:r w:rsidR="00F95829" w:rsidRPr="000508B6">
        <w:rPr>
          <w:rFonts w:ascii="Times New Roman" w:eastAsia="Times New Roman" w:hAnsi="Times New Roman" w:cs="Times New Roman"/>
          <w:lang w:val="ro-MD"/>
        </w:rPr>
        <w:t xml:space="preserve"> pe parcursul unui </w:t>
      </w:r>
      <w:proofErr w:type="spellStart"/>
      <w:r w:rsidR="00F95829" w:rsidRPr="000508B6">
        <w:rPr>
          <w:rFonts w:ascii="Times New Roman" w:eastAsia="Times New Roman" w:hAnsi="Times New Roman" w:cs="Times New Roman"/>
          <w:lang w:val="ro-MD"/>
        </w:rPr>
        <w:t>exerciţiu</w:t>
      </w:r>
      <w:proofErr w:type="spellEnd"/>
      <w:r w:rsidR="00F95829" w:rsidRPr="000508B6">
        <w:rPr>
          <w:rFonts w:ascii="Times New Roman" w:eastAsia="Times New Roman" w:hAnsi="Times New Roman" w:cs="Times New Roman"/>
          <w:lang w:val="ro-MD"/>
        </w:rPr>
        <w:t xml:space="preserve"> financiar.</w:t>
      </w:r>
    </w:p>
    <w:p w14:paraId="26B99115" w14:textId="60DE9053" w:rsidR="00F95829" w:rsidRPr="00056F02" w:rsidRDefault="00F95829" w:rsidP="0078751B">
      <w:pPr>
        <w:pStyle w:val="Listparagraf"/>
        <w:numPr>
          <w:ilvl w:val="0"/>
          <w:numId w:val="133"/>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Fără a aduce </w:t>
      </w:r>
      <w:r w:rsidRPr="00056F02">
        <w:rPr>
          <w:rFonts w:ascii="Times New Roman" w:eastAsia="Times New Roman" w:hAnsi="Times New Roman" w:cs="Times New Roman"/>
          <w:lang w:val="ro-MD"/>
        </w:rPr>
        <w:t xml:space="preserve">atingere art. </w:t>
      </w:r>
      <w:r w:rsidR="005153CC" w:rsidRPr="00056F02">
        <w:rPr>
          <w:rFonts w:ascii="Times New Roman" w:eastAsia="Times New Roman" w:hAnsi="Times New Roman" w:cs="Times New Roman"/>
          <w:lang w:val="ro-MD"/>
        </w:rPr>
        <w:t>64</w:t>
      </w:r>
      <w:r w:rsidR="00C4551A" w:rsidRPr="00056F02">
        <w:rPr>
          <w:rFonts w:ascii="Times New Roman" w:eastAsia="Times New Roman" w:hAnsi="Times New Roman" w:cs="Times New Roman"/>
          <w:lang w:val="ro-MD"/>
        </w:rPr>
        <w:t xml:space="preserve"> </w:t>
      </w:r>
      <w:r w:rsidRPr="00056F02">
        <w:rPr>
          <w:rFonts w:ascii="Times New Roman" w:eastAsia="Times New Roman" w:hAnsi="Times New Roman" w:cs="Times New Roman"/>
          <w:lang w:val="ro-MD"/>
        </w:rPr>
        <w:t xml:space="preserve">alin. (1) </w:t>
      </w:r>
      <w:proofErr w:type="spellStart"/>
      <w:r w:rsidRPr="00056F02">
        <w:rPr>
          <w:rFonts w:ascii="Times New Roman" w:eastAsia="Times New Roman" w:hAnsi="Times New Roman" w:cs="Times New Roman"/>
          <w:lang w:val="ro-MD"/>
        </w:rPr>
        <w:t>şi</w:t>
      </w:r>
      <w:proofErr w:type="spellEnd"/>
      <w:r w:rsidRPr="00056F02">
        <w:rPr>
          <w:rFonts w:ascii="Times New Roman" w:eastAsia="Times New Roman" w:hAnsi="Times New Roman" w:cs="Times New Roman"/>
          <w:lang w:val="ro-MD"/>
        </w:rPr>
        <w:t xml:space="preserve"> art. </w:t>
      </w:r>
      <w:r w:rsidR="005153CC" w:rsidRPr="00056F02">
        <w:rPr>
          <w:rFonts w:ascii="Times New Roman" w:eastAsia="Times New Roman" w:hAnsi="Times New Roman" w:cs="Times New Roman"/>
          <w:lang w:val="ro-MD"/>
        </w:rPr>
        <w:t>88</w:t>
      </w:r>
      <w:r w:rsidR="00C4551A" w:rsidRPr="00056F02">
        <w:rPr>
          <w:rFonts w:ascii="Times New Roman" w:eastAsia="Times New Roman" w:hAnsi="Times New Roman" w:cs="Times New Roman"/>
          <w:lang w:val="ro-MD"/>
        </w:rPr>
        <w:t xml:space="preserve"> </w:t>
      </w:r>
      <w:r w:rsidRPr="00056F02">
        <w:rPr>
          <w:rFonts w:ascii="Times New Roman" w:eastAsia="Times New Roman" w:hAnsi="Times New Roman" w:cs="Times New Roman"/>
          <w:lang w:val="ro-MD"/>
        </w:rPr>
        <w:t>alin. (</w:t>
      </w:r>
      <w:r w:rsidR="00180B6F" w:rsidRPr="00056F02">
        <w:rPr>
          <w:rFonts w:ascii="Times New Roman" w:eastAsia="Times New Roman" w:hAnsi="Times New Roman" w:cs="Times New Roman"/>
          <w:lang w:val="ro-MD"/>
        </w:rPr>
        <w:t>1</w:t>
      </w:r>
      <w:r w:rsidRPr="00056F02">
        <w:rPr>
          <w:rFonts w:ascii="Times New Roman" w:eastAsia="Times New Roman" w:hAnsi="Times New Roman" w:cs="Times New Roman"/>
          <w:lang w:val="ro-MD"/>
        </w:rPr>
        <w:t xml:space="preserve">), </w:t>
      </w:r>
      <w:r w:rsidR="00A6476C" w:rsidRPr="00056F02">
        <w:rPr>
          <w:rFonts w:ascii="Times New Roman" w:eastAsia="Times New Roman" w:hAnsi="Times New Roman" w:cs="Times New Roman"/>
          <w:lang w:val="ro-MD"/>
        </w:rPr>
        <w:t>asigurător</w:t>
      </w:r>
      <w:r w:rsidR="00186A99" w:rsidRPr="00056F02">
        <w:rPr>
          <w:rFonts w:ascii="Times New Roman" w:eastAsia="Times New Roman" w:hAnsi="Times New Roman" w:cs="Times New Roman"/>
          <w:lang w:val="ro-MD"/>
        </w:rPr>
        <w:t>ii</w:t>
      </w:r>
      <w:r w:rsidR="00A6476C" w:rsidRPr="00056F02">
        <w:rPr>
          <w:rFonts w:ascii="Times New Roman" w:eastAsia="Times New Roman" w:hAnsi="Times New Roman" w:cs="Times New Roman"/>
          <w:lang w:val="ro-MD"/>
        </w:rPr>
        <w:t xml:space="preserve"> </w:t>
      </w:r>
      <w:r w:rsidR="00D03825" w:rsidRPr="00056F02">
        <w:rPr>
          <w:rFonts w:ascii="Times New Roman" w:eastAsia="Times New Roman" w:hAnsi="Times New Roman" w:cs="Times New Roman"/>
          <w:lang w:val="ro-MD"/>
        </w:rPr>
        <w:t>menționa</w:t>
      </w:r>
      <w:r w:rsidR="00186A99" w:rsidRPr="00056F02">
        <w:rPr>
          <w:rFonts w:ascii="Times New Roman" w:eastAsia="Times New Roman" w:hAnsi="Times New Roman" w:cs="Times New Roman"/>
          <w:lang w:val="ro-MD"/>
        </w:rPr>
        <w:t>ți</w:t>
      </w:r>
      <w:r w:rsidRPr="00056F02">
        <w:rPr>
          <w:rFonts w:ascii="Times New Roman" w:eastAsia="Times New Roman" w:hAnsi="Times New Roman" w:cs="Times New Roman"/>
          <w:lang w:val="ro-MD"/>
        </w:rPr>
        <w:t xml:space="preserve"> la alin. (1) calculează, pe baza </w:t>
      </w:r>
      <w:proofErr w:type="spellStart"/>
      <w:r w:rsidRPr="00056F02">
        <w:rPr>
          <w:rFonts w:ascii="Times New Roman" w:eastAsia="Times New Roman" w:hAnsi="Times New Roman" w:cs="Times New Roman"/>
          <w:lang w:val="ro-MD"/>
        </w:rPr>
        <w:t>evidenţei</w:t>
      </w:r>
      <w:proofErr w:type="spellEnd"/>
      <w:r w:rsidRPr="00056F02">
        <w:rPr>
          <w:rFonts w:ascii="Times New Roman" w:eastAsia="Times New Roman" w:hAnsi="Times New Roman" w:cs="Times New Roman"/>
          <w:lang w:val="ro-MD"/>
        </w:rPr>
        <w:t xml:space="preserve"> separate:   </w:t>
      </w:r>
    </w:p>
    <w:p w14:paraId="16BF5DB2" w14:textId="26DB09F4" w:rsidR="00F95829" w:rsidRPr="00056F02" w:rsidRDefault="00F95829" w:rsidP="0078751B">
      <w:pPr>
        <w:pStyle w:val="Listparagraf"/>
        <w:numPr>
          <w:ilvl w:val="2"/>
          <w:numId w:val="133"/>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6F02">
        <w:rPr>
          <w:rFonts w:ascii="Times New Roman" w:eastAsia="Times New Roman" w:hAnsi="Times New Roman" w:cs="Times New Roman"/>
          <w:lang w:val="ro-MD"/>
        </w:rPr>
        <w:t xml:space="preserve">MCR </w:t>
      </w:r>
      <w:proofErr w:type="spellStart"/>
      <w:r w:rsidRPr="00056F02">
        <w:rPr>
          <w:rFonts w:ascii="Times New Roman" w:eastAsia="Times New Roman" w:hAnsi="Times New Roman" w:cs="Times New Roman"/>
          <w:lang w:val="ro-MD"/>
        </w:rPr>
        <w:t>n</w:t>
      </w:r>
      <w:r w:rsidR="007D4A87" w:rsidRPr="00056F02">
        <w:rPr>
          <w:rFonts w:ascii="Times New Roman" w:eastAsia="Times New Roman" w:hAnsi="Times New Roman" w:cs="Times New Roman"/>
          <w:lang w:val="ro-MD"/>
        </w:rPr>
        <w:t>o</w:t>
      </w:r>
      <w:r w:rsidRPr="00056F02">
        <w:rPr>
          <w:rFonts w:ascii="Times New Roman" w:eastAsia="Times New Roman" w:hAnsi="Times New Roman" w:cs="Times New Roman"/>
          <w:lang w:val="ro-MD"/>
        </w:rPr>
        <w:t>ţională</w:t>
      </w:r>
      <w:proofErr w:type="spellEnd"/>
      <w:r w:rsidRPr="00056F02">
        <w:rPr>
          <w:rFonts w:ascii="Times New Roman" w:eastAsia="Times New Roman" w:hAnsi="Times New Roman" w:cs="Times New Roman"/>
          <w:lang w:val="ro-MD"/>
        </w:rPr>
        <w:t xml:space="preserve"> pentru activitatea de </w:t>
      </w:r>
      <w:r w:rsidR="000165FC" w:rsidRPr="00056F02">
        <w:rPr>
          <w:rFonts w:ascii="Times New Roman" w:eastAsia="Times New Roman" w:hAnsi="Times New Roman" w:cs="Times New Roman"/>
          <w:lang w:val="ro-MD"/>
        </w:rPr>
        <w:t>asigurarea</w:t>
      </w:r>
      <w:r w:rsidRPr="00056F02">
        <w:rPr>
          <w:rFonts w:ascii="Times New Roman" w:eastAsia="Times New Roman" w:hAnsi="Times New Roman" w:cs="Times New Roman"/>
          <w:lang w:val="ro-MD"/>
        </w:rPr>
        <w:t xml:space="preserve"> de </w:t>
      </w:r>
      <w:proofErr w:type="spellStart"/>
      <w:r w:rsidRPr="00056F02">
        <w:rPr>
          <w:rFonts w:ascii="Times New Roman" w:eastAsia="Times New Roman" w:hAnsi="Times New Roman" w:cs="Times New Roman"/>
          <w:lang w:val="ro-MD"/>
        </w:rPr>
        <w:t>viaţă</w:t>
      </w:r>
      <w:proofErr w:type="spellEnd"/>
      <w:r w:rsidRPr="00056F02">
        <w:rPr>
          <w:rFonts w:ascii="Times New Roman" w:eastAsia="Times New Roman" w:hAnsi="Times New Roman" w:cs="Times New Roman"/>
          <w:lang w:val="ro-MD"/>
        </w:rPr>
        <w:t xml:space="preserve">;   </w:t>
      </w:r>
    </w:p>
    <w:p w14:paraId="467A3162" w14:textId="5390A3EF" w:rsidR="00F95829" w:rsidRPr="00056F02" w:rsidRDefault="00F95829" w:rsidP="0078751B">
      <w:pPr>
        <w:pStyle w:val="Listparagraf"/>
        <w:numPr>
          <w:ilvl w:val="2"/>
          <w:numId w:val="133"/>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6F02">
        <w:rPr>
          <w:rFonts w:ascii="Times New Roman" w:eastAsia="Times New Roman" w:hAnsi="Times New Roman" w:cs="Times New Roman"/>
          <w:lang w:val="ro-MD"/>
        </w:rPr>
        <w:t xml:space="preserve">MCR </w:t>
      </w:r>
      <w:proofErr w:type="spellStart"/>
      <w:r w:rsidRPr="00056F02">
        <w:rPr>
          <w:rFonts w:ascii="Times New Roman" w:eastAsia="Times New Roman" w:hAnsi="Times New Roman" w:cs="Times New Roman"/>
          <w:lang w:val="ro-MD"/>
        </w:rPr>
        <w:t>n</w:t>
      </w:r>
      <w:r w:rsidR="007D4A87" w:rsidRPr="00056F02">
        <w:rPr>
          <w:rFonts w:ascii="Times New Roman" w:eastAsia="Times New Roman" w:hAnsi="Times New Roman" w:cs="Times New Roman"/>
          <w:lang w:val="ro-MD"/>
        </w:rPr>
        <w:t>o</w:t>
      </w:r>
      <w:r w:rsidRPr="00056F02">
        <w:rPr>
          <w:rFonts w:ascii="Times New Roman" w:eastAsia="Times New Roman" w:hAnsi="Times New Roman" w:cs="Times New Roman"/>
          <w:lang w:val="ro-MD"/>
        </w:rPr>
        <w:t>ţională</w:t>
      </w:r>
      <w:proofErr w:type="spellEnd"/>
      <w:r w:rsidRPr="00056F02">
        <w:rPr>
          <w:rFonts w:ascii="Times New Roman" w:eastAsia="Times New Roman" w:hAnsi="Times New Roman" w:cs="Times New Roman"/>
          <w:lang w:val="ro-MD"/>
        </w:rPr>
        <w:t xml:space="preserve"> pentru activitatea de </w:t>
      </w:r>
      <w:r w:rsidR="000165FC" w:rsidRPr="00056F02">
        <w:rPr>
          <w:rFonts w:ascii="Times New Roman" w:eastAsia="Times New Roman" w:hAnsi="Times New Roman" w:cs="Times New Roman"/>
          <w:lang w:val="ro-MD"/>
        </w:rPr>
        <w:t>asigurare</w:t>
      </w:r>
      <w:r w:rsidRPr="00056F02">
        <w:rPr>
          <w:rFonts w:ascii="Times New Roman" w:eastAsia="Times New Roman" w:hAnsi="Times New Roman" w:cs="Times New Roman"/>
          <w:lang w:val="ro-MD"/>
        </w:rPr>
        <w:t xml:space="preserve"> general</w:t>
      </w:r>
      <w:r w:rsidR="000165FC" w:rsidRPr="00056F02">
        <w:rPr>
          <w:rFonts w:ascii="Times New Roman" w:eastAsia="Times New Roman" w:hAnsi="Times New Roman" w:cs="Times New Roman"/>
          <w:lang w:val="ro-MD"/>
        </w:rPr>
        <w:t>ă</w:t>
      </w:r>
      <w:r w:rsidRPr="00056F02">
        <w:rPr>
          <w:rFonts w:ascii="Times New Roman" w:eastAsia="Times New Roman" w:hAnsi="Times New Roman" w:cs="Times New Roman"/>
          <w:lang w:val="ro-MD"/>
        </w:rPr>
        <w:t xml:space="preserve">.   </w:t>
      </w:r>
    </w:p>
    <w:p w14:paraId="58C54D86" w14:textId="791A7B80" w:rsidR="00F95829" w:rsidRPr="00056F02" w:rsidRDefault="00B36665" w:rsidP="00DE4225">
      <w:pPr>
        <w:pStyle w:val="Listparagraf"/>
        <w:numPr>
          <w:ilvl w:val="0"/>
          <w:numId w:val="133"/>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6F02">
        <w:rPr>
          <w:rFonts w:ascii="Times New Roman" w:eastAsia="Times New Roman" w:hAnsi="Times New Roman" w:cs="Times New Roman"/>
          <w:lang w:val="ro-MD"/>
        </w:rPr>
        <w:t xml:space="preserve">Asigurătorii </w:t>
      </w:r>
      <w:proofErr w:type="spellStart"/>
      <w:r w:rsidR="00362738" w:rsidRPr="00056F02">
        <w:rPr>
          <w:rFonts w:ascii="Times New Roman" w:eastAsia="Times New Roman" w:hAnsi="Times New Roman" w:cs="Times New Roman"/>
          <w:lang w:val="ro-MD"/>
        </w:rPr>
        <w:t>menţiona</w:t>
      </w:r>
      <w:r w:rsidR="00056F02">
        <w:rPr>
          <w:rFonts w:ascii="Times New Roman" w:eastAsia="Times New Roman" w:hAnsi="Times New Roman" w:cs="Times New Roman"/>
          <w:lang w:val="ro-MD"/>
        </w:rPr>
        <w:t>ț</w:t>
      </w:r>
      <w:r w:rsidR="00B10EA0" w:rsidRPr="00056F02">
        <w:rPr>
          <w:rFonts w:ascii="Times New Roman" w:eastAsia="Times New Roman" w:hAnsi="Times New Roman" w:cs="Times New Roman"/>
          <w:lang w:val="ro-MD"/>
        </w:rPr>
        <w:t>i</w:t>
      </w:r>
      <w:proofErr w:type="spellEnd"/>
      <w:r w:rsidR="00362738" w:rsidRPr="00056F02">
        <w:rPr>
          <w:rFonts w:ascii="Times New Roman" w:eastAsia="Times New Roman" w:hAnsi="Times New Roman" w:cs="Times New Roman"/>
          <w:lang w:val="ro-MD"/>
        </w:rPr>
        <w:t xml:space="preserve"> </w:t>
      </w:r>
      <w:r w:rsidR="00F95829" w:rsidRPr="00056F02">
        <w:rPr>
          <w:rFonts w:ascii="Times New Roman" w:eastAsia="Times New Roman" w:hAnsi="Times New Roman" w:cs="Times New Roman"/>
          <w:lang w:val="ro-MD"/>
        </w:rPr>
        <w:t xml:space="preserve">la alin. (1) </w:t>
      </w:r>
      <w:proofErr w:type="spellStart"/>
      <w:r w:rsidR="00F95829" w:rsidRPr="00056F02">
        <w:rPr>
          <w:rFonts w:ascii="Times New Roman" w:eastAsia="Times New Roman" w:hAnsi="Times New Roman" w:cs="Times New Roman"/>
          <w:lang w:val="ro-MD"/>
        </w:rPr>
        <w:t>deţin</w:t>
      </w:r>
      <w:proofErr w:type="spellEnd"/>
      <w:r w:rsidR="00F95829" w:rsidRPr="00056F02">
        <w:rPr>
          <w:rFonts w:ascii="Times New Roman" w:eastAsia="Times New Roman" w:hAnsi="Times New Roman" w:cs="Times New Roman"/>
          <w:lang w:val="ro-MD"/>
        </w:rPr>
        <w:t xml:space="preserve"> în </w:t>
      </w:r>
      <w:proofErr w:type="spellStart"/>
      <w:r w:rsidR="00F95829" w:rsidRPr="00056F02">
        <w:rPr>
          <w:rFonts w:ascii="Times New Roman" w:eastAsia="Times New Roman" w:hAnsi="Times New Roman" w:cs="Times New Roman"/>
          <w:lang w:val="ro-MD"/>
        </w:rPr>
        <w:t>permanenţă</w:t>
      </w:r>
      <w:proofErr w:type="spellEnd"/>
      <w:r w:rsidR="00F95829" w:rsidRPr="00056F02">
        <w:rPr>
          <w:rFonts w:ascii="Times New Roman" w:eastAsia="Times New Roman" w:hAnsi="Times New Roman" w:cs="Times New Roman"/>
          <w:lang w:val="ro-MD"/>
        </w:rPr>
        <w:t xml:space="preserve"> elemente de fonduri proprii de bază pentru a acoperi MCR </w:t>
      </w:r>
      <w:proofErr w:type="spellStart"/>
      <w:r w:rsidR="0078751B" w:rsidRPr="00056F02">
        <w:rPr>
          <w:rFonts w:ascii="Times New Roman" w:eastAsia="Times New Roman" w:hAnsi="Times New Roman" w:cs="Times New Roman"/>
          <w:lang w:val="ro-MD"/>
        </w:rPr>
        <w:t>noţională</w:t>
      </w:r>
      <w:proofErr w:type="spellEnd"/>
      <w:r w:rsidR="0078751B" w:rsidRPr="00056F02">
        <w:rPr>
          <w:rFonts w:ascii="Times New Roman" w:eastAsia="Times New Roman" w:hAnsi="Times New Roman" w:cs="Times New Roman"/>
          <w:lang w:val="ro-MD"/>
        </w:rPr>
        <w:t xml:space="preserve"> </w:t>
      </w:r>
      <w:r w:rsidR="00F95829" w:rsidRPr="00056F02">
        <w:rPr>
          <w:rFonts w:ascii="Times New Roman" w:eastAsia="Times New Roman" w:hAnsi="Times New Roman" w:cs="Times New Roman"/>
          <w:lang w:val="ro-MD"/>
        </w:rPr>
        <w:t xml:space="preserve">prevăzute la alin. (2) </w:t>
      </w:r>
      <w:proofErr w:type="spellStart"/>
      <w:r w:rsidR="00F95829" w:rsidRPr="00056F02">
        <w:rPr>
          <w:rFonts w:ascii="Times New Roman" w:eastAsia="Times New Roman" w:hAnsi="Times New Roman" w:cs="Times New Roman"/>
          <w:lang w:val="ro-MD"/>
        </w:rPr>
        <w:t>şi</w:t>
      </w:r>
      <w:proofErr w:type="spellEnd"/>
      <w:r w:rsidR="00F95829" w:rsidRPr="00056F02">
        <w:rPr>
          <w:rFonts w:ascii="Times New Roman" w:eastAsia="Times New Roman" w:hAnsi="Times New Roman" w:cs="Times New Roman"/>
          <w:lang w:val="ro-MD"/>
        </w:rPr>
        <w:t xml:space="preserve"> nu po</w:t>
      </w:r>
      <w:r w:rsidR="000F57B9" w:rsidRPr="00056F02">
        <w:rPr>
          <w:rFonts w:ascii="Times New Roman" w:eastAsia="Times New Roman" w:hAnsi="Times New Roman" w:cs="Times New Roman"/>
          <w:lang w:val="ro-MD"/>
        </w:rPr>
        <w:t>a</w:t>
      </w:r>
      <w:r w:rsidR="00F95829" w:rsidRPr="00056F02">
        <w:rPr>
          <w:rFonts w:ascii="Times New Roman" w:eastAsia="Times New Roman" w:hAnsi="Times New Roman" w:cs="Times New Roman"/>
          <w:lang w:val="ro-MD"/>
        </w:rPr>
        <w:t>t</w:t>
      </w:r>
      <w:r w:rsidR="000F57B9" w:rsidRPr="00056F02">
        <w:rPr>
          <w:rFonts w:ascii="Times New Roman" w:eastAsia="Times New Roman" w:hAnsi="Times New Roman" w:cs="Times New Roman"/>
          <w:lang w:val="ro-MD"/>
        </w:rPr>
        <w:t>e</w:t>
      </w:r>
      <w:r w:rsidR="00F95829" w:rsidRPr="00056F02">
        <w:rPr>
          <w:rFonts w:ascii="Times New Roman" w:eastAsia="Times New Roman" w:hAnsi="Times New Roman" w:cs="Times New Roman"/>
          <w:lang w:val="ro-MD"/>
        </w:rPr>
        <w:t xml:space="preserve"> utiliza elemente de fonduri proprii de bază aferente unei </w:t>
      </w:r>
      <w:proofErr w:type="spellStart"/>
      <w:r w:rsidR="00F95829" w:rsidRPr="00056F02">
        <w:rPr>
          <w:rFonts w:ascii="Times New Roman" w:eastAsia="Times New Roman" w:hAnsi="Times New Roman" w:cs="Times New Roman"/>
          <w:lang w:val="ro-MD"/>
        </w:rPr>
        <w:t>activităţi</w:t>
      </w:r>
      <w:proofErr w:type="spellEnd"/>
      <w:r w:rsidR="00F95829" w:rsidRPr="00056F02">
        <w:rPr>
          <w:rFonts w:ascii="Times New Roman" w:eastAsia="Times New Roman" w:hAnsi="Times New Roman" w:cs="Times New Roman"/>
          <w:lang w:val="ro-MD"/>
        </w:rPr>
        <w:t xml:space="preserve"> pentru a acoperi MCR a celeilalte </w:t>
      </w:r>
      <w:proofErr w:type="spellStart"/>
      <w:r w:rsidR="00F95829" w:rsidRPr="00056F02">
        <w:rPr>
          <w:rFonts w:ascii="Times New Roman" w:eastAsia="Times New Roman" w:hAnsi="Times New Roman" w:cs="Times New Roman"/>
          <w:lang w:val="ro-MD"/>
        </w:rPr>
        <w:t>activităţi</w:t>
      </w:r>
      <w:proofErr w:type="spellEnd"/>
      <w:r w:rsidR="00F95829" w:rsidRPr="00056F02">
        <w:rPr>
          <w:rFonts w:ascii="Times New Roman" w:eastAsia="Times New Roman" w:hAnsi="Times New Roman" w:cs="Times New Roman"/>
          <w:lang w:val="ro-MD"/>
        </w:rPr>
        <w:t xml:space="preserve">.   </w:t>
      </w:r>
    </w:p>
    <w:p w14:paraId="02D0B595" w14:textId="155DE45F" w:rsidR="00121289" w:rsidRPr="00056F02" w:rsidRDefault="00121289" w:rsidP="00121289">
      <w:pPr>
        <w:pStyle w:val="Listparagraf"/>
        <w:numPr>
          <w:ilvl w:val="0"/>
          <w:numId w:val="133"/>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6F02">
        <w:rPr>
          <w:rFonts w:ascii="Times New Roman" w:eastAsia="Times New Roman" w:hAnsi="Times New Roman" w:cs="Times New Roman"/>
          <w:lang w:val="ro-MD"/>
        </w:rPr>
        <w:t>Asigurătorii menționați la alin. (1) pot utiliza, pentru a acoperi SCR, elementele explicite din fondurile proprii eligibile care sunt încă disponibile pentru una dintre activități atât timp cât obligațiile financiare minime menționate la alin. (3) sunt îndeplinite și cu condiția că</w:t>
      </w:r>
      <w:r w:rsidR="00B10EA0" w:rsidRPr="00056F02">
        <w:rPr>
          <w:rFonts w:ascii="Times New Roman" w:eastAsia="Times New Roman" w:hAnsi="Times New Roman" w:cs="Times New Roman"/>
          <w:lang w:val="ro-MD"/>
        </w:rPr>
        <w:t xml:space="preserve"> </w:t>
      </w:r>
      <w:r w:rsidRPr="00056F02">
        <w:rPr>
          <w:rFonts w:ascii="Times New Roman" w:eastAsia="Times New Roman" w:hAnsi="Times New Roman" w:cs="Times New Roman"/>
          <w:lang w:val="ro-MD"/>
        </w:rPr>
        <w:t>informează Banca Național</w:t>
      </w:r>
      <w:r w:rsidR="00186A99" w:rsidRPr="00056F02">
        <w:rPr>
          <w:rFonts w:ascii="Times New Roman" w:eastAsia="Times New Roman" w:hAnsi="Times New Roman" w:cs="Times New Roman"/>
          <w:lang w:val="ro-MD"/>
        </w:rPr>
        <w:t>ă</w:t>
      </w:r>
      <w:r w:rsidRPr="00056F02">
        <w:rPr>
          <w:rFonts w:ascii="Times New Roman" w:eastAsia="Times New Roman" w:hAnsi="Times New Roman" w:cs="Times New Roman"/>
          <w:lang w:val="ro-MD"/>
        </w:rPr>
        <w:t xml:space="preserve"> a Moldovei în acest sens. </w:t>
      </w:r>
    </w:p>
    <w:p w14:paraId="09133B0B" w14:textId="56E9D1FD" w:rsidR="00F95829" w:rsidRPr="000508B6" w:rsidRDefault="00F95829" w:rsidP="00105410">
      <w:pPr>
        <w:pStyle w:val="Listparagraf"/>
        <w:numPr>
          <w:ilvl w:val="0"/>
          <w:numId w:val="133"/>
        </w:numPr>
        <w:tabs>
          <w:tab w:val="left" w:pos="284"/>
          <w:tab w:val="left" w:pos="709"/>
          <w:tab w:val="left" w:pos="993"/>
        </w:tabs>
        <w:spacing w:after="0" w:line="240" w:lineRule="auto"/>
        <w:ind w:left="0" w:firstLine="425"/>
        <w:jc w:val="both"/>
        <w:rPr>
          <w:rFonts w:ascii="Times New Roman" w:eastAsia="Times New Roman" w:hAnsi="Times New Roman" w:cs="Times New Roman"/>
          <w:lang w:val="ro-MD"/>
        </w:rPr>
      </w:pPr>
      <w:r w:rsidRPr="00056F02">
        <w:rPr>
          <w:rFonts w:ascii="Times New Roman" w:eastAsia="Times New Roman" w:hAnsi="Times New Roman" w:cs="Times New Roman"/>
          <w:lang w:val="ro-MD"/>
        </w:rPr>
        <w:t xml:space="preserve">Pe baza </w:t>
      </w:r>
      <w:proofErr w:type="spellStart"/>
      <w:r w:rsidRPr="00056F02">
        <w:rPr>
          <w:rFonts w:ascii="Times New Roman" w:eastAsia="Times New Roman" w:hAnsi="Times New Roman" w:cs="Times New Roman"/>
          <w:lang w:val="ro-MD"/>
        </w:rPr>
        <w:t>evidenţelor</w:t>
      </w:r>
      <w:proofErr w:type="spellEnd"/>
      <w:r w:rsidRPr="00056F02">
        <w:rPr>
          <w:rFonts w:ascii="Times New Roman" w:eastAsia="Times New Roman" w:hAnsi="Times New Roman" w:cs="Times New Roman"/>
          <w:lang w:val="ro-MD"/>
        </w:rPr>
        <w:t xml:space="preserve"> contabile, </w:t>
      </w:r>
      <w:r w:rsidR="00B971B5" w:rsidRPr="00056F02">
        <w:rPr>
          <w:rFonts w:ascii="Times New Roman" w:eastAsia="Times New Roman" w:hAnsi="Times New Roman" w:cs="Times New Roman"/>
          <w:lang w:val="ro-MD"/>
        </w:rPr>
        <w:t xml:space="preserve">asigurătorii </w:t>
      </w:r>
      <w:r w:rsidR="00A6771C" w:rsidRPr="00056F02">
        <w:rPr>
          <w:rFonts w:ascii="Times New Roman" w:eastAsia="Times New Roman" w:hAnsi="Times New Roman" w:cs="Times New Roman"/>
          <w:lang w:val="ro-MD"/>
        </w:rPr>
        <w:t>prevăzu</w:t>
      </w:r>
      <w:r w:rsidR="00B971B5" w:rsidRPr="00056F02">
        <w:rPr>
          <w:rFonts w:ascii="Times New Roman" w:eastAsia="Times New Roman" w:hAnsi="Times New Roman" w:cs="Times New Roman"/>
          <w:lang w:val="ro-MD"/>
        </w:rPr>
        <w:t>ți</w:t>
      </w:r>
      <w:r w:rsidR="00A6771C" w:rsidRPr="00056F02">
        <w:rPr>
          <w:rFonts w:ascii="Times New Roman" w:eastAsia="Times New Roman" w:hAnsi="Times New Roman" w:cs="Times New Roman"/>
          <w:lang w:val="ro-MD"/>
        </w:rPr>
        <w:t xml:space="preserve"> </w:t>
      </w:r>
      <w:r w:rsidRPr="00056F02">
        <w:rPr>
          <w:rFonts w:ascii="Times New Roman" w:eastAsia="Times New Roman" w:hAnsi="Times New Roman" w:cs="Times New Roman"/>
          <w:lang w:val="ro-MD"/>
        </w:rPr>
        <w:t xml:space="preserve">la alin. (1) determină elementele care se clasifică, pentru fiecare MCR </w:t>
      </w:r>
      <w:proofErr w:type="spellStart"/>
      <w:r w:rsidRPr="00056F02">
        <w:rPr>
          <w:rFonts w:ascii="Times New Roman" w:eastAsia="Times New Roman" w:hAnsi="Times New Roman" w:cs="Times New Roman"/>
          <w:lang w:val="ro-MD"/>
        </w:rPr>
        <w:t>noţională</w:t>
      </w:r>
      <w:proofErr w:type="spellEnd"/>
      <w:r w:rsidRPr="00056F02">
        <w:rPr>
          <w:rFonts w:ascii="Times New Roman" w:eastAsia="Times New Roman" w:hAnsi="Times New Roman" w:cs="Times New Roman"/>
          <w:lang w:val="ro-MD"/>
        </w:rPr>
        <w:t>, în fonduri proprii</w:t>
      </w:r>
      <w:r w:rsidRPr="000508B6">
        <w:rPr>
          <w:rFonts w:ascii="Times New Roman" w:eastAsia="Times New Roman" w:hAnsi="Times New Roman" w:cs="Times New Roman"/>
          <w:lang w:val="ro-MD"/>
        </w:rPr>
        <w:t xml:space="preserve"> de bază de rangul 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rangul 2, în conformitate cu art. </w:t>
      </w:r>
      <w:r w:rsidR="005153CC" w:rsidRPr="000508B6">
        <w:rPr>
          <w:rFonts w:ascii="Times New Roman" w:eastAsia="Times New Roman" w:hAnsi="Times New Roman" w:cs="Times New Roman"/>
          <w:lang w:val="ro-MD"/>
        </w:rPr>
        <w:t>63</w:t>
      </w:r>
      <w:r w:rsidR="00120134"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alin. (4).   </w:t>
      </w:r>
    </w:p>
    <w:p w14:paraId="279E1BD1" w14:textId="5D1E7025" w:rsidR="00121289" w:rsidRPr="000508B6" w:rsidRDefault="00F95829" w:rsidP="00105410">
      <w:pPr>
        <w:pStyle w:val="Listparagraf"/>
        <w:numPr>
          <w:ilvl w:val="0"/>
          <w:numId w:val="133"/>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Dacă valoarea elementelor de fonduri proprii de bază eligibile aferente uneia dintre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este insuficientă pentru a acoperi MCR </w:t>
      </w:r>
      <w:proofErr w:type="spellStart"/>
      <w:r w:rsidRPr="000508B6">
        <w:rPr>
          <w:rFonts w:ascii="Times New Roman" w:eastAsia="Times New Roman" w:hAnsi="Times New Roman" w:cs="Times New Roman"/>
          <w:lang w:val="ro-MD"/>
        </w:rPr>
        <w:t>n</w:t>
      </w:r>
      <w:r w:rsidR="007D4A87" w:rsidRPr="000508B6">
        <w:rPr>
          <w:rFonts w:ascii="Times New Roman" w:eastAsia="Times New Roman" w:hAnsi="Times New Roman" w:cs="Times New Roman"/>
          <w:lang w:val="ro-MD"/>
        </w:rPr>
        <w:t>o</w:t>
      </w:r>
      <w:r w:rsidRPr="000508B6">
        <w:rPr>
          <w:rFonts w:ascii="Times New Roman" w:eastAsia="Times New Roman" w:hAnsi="Times New Roman" w:cs="Times New Roman"/>
          <w:lang w:val="ro-MD"/>
        </w:rPr>
        <w:t>ţională</w:t>
      </w:r>
      <w:proofErr w:type="spellEnd"/>
      <w:r w:rsidRPr="000508B6">
        <w:rPr>
          <w:rFonts w:ascii="Times New Roman" w:eastAsia="Times New Roman" w:hAnsi="Times New Roman" w:cs="Times New Roman"/>
          <w:lang w:val="ro-MD"/>
        </w:rPr>
        <w:t xml:space="preserve"> respectivă, </w:t>
      </w:r>
      <w:r w:rsidR="00117399" w:rsidRPr="000508B6">
        <w:rPr>
          <w:rFonts w:ascii="Times New Roman" w:eastAsia="Times New Roman" w:hAnsi="Times New Roman" w:cs="Times New Roman"/>
          <w:lang w:val="ro-MD"/>
        </w:rPr>
        <w:t>Banca Națională a Moldovei</w:t>
      </w:r>
      <w:r w:rsidRPr="000508B6">
        <w:rPr>
          <w:rFonts w:ascii="Times New Roman" w:eastAsia="Times New Roman" w:hAnsi="Times New Roman" w:cs="Times New Roman"/>
          <w:lang w:val="ro-MD"/>
        </w:rPr>
        <w:t xml:space="preserve"> impune măsuri </w:t>
      </w:r>
      <w:r w:rsidR="004C2D18" w:rsidRPr="000508B6">
        <w:rPr>
          <w:rFonts w:ascii="Times New Roman" w:eastAsia="Times New Roman" w:hAnsi="Times New Roman" w:cs="Times New Roman"/>
          <w:lang w:val="ro-MD"/>
        </w:rPr>
        <w:t xml:space="preserve">prevăzute de prezenta lege </w:t>
      </w:r>
      <w:r w:rsidRPr="000508B6">
        <w:rPr>
          <w:rFonts w:ascii="Times New Roman" w:eastAsia="Times New Roman" w:hAnsi="Times New Roman" w:cs="Times New Roman"/>
          <w:lang w:val="ro-MD"/>
        </w:rPr>
        <w:t xml:space="preserve">pentru remedierea </w:t>
      </w:r>
      <w:proofErr w:type="spellStart"/>
      <w:r w:rsidRPr="000508B6">
        <w:rPr>
          <w:rFonts w:ascii="Times New Roman" w:eastAsia="Times New Roman" w:hAnsi="Times New Roman" w:cs="Times New Roman"/>
          <w:lang w:val="ro-MD"/>
        </w:rPr>
        <w:t>situaţiei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deficiente, în conformitate cu prevederile legale, indiferent de rezultatele celeilalte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ca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cum activitatea respectivă ar fi </w:t>
      </w:r>
      <w:proofErr w:type="spellStart"/>
      <w:r w:rsidRPr="000508B6">
        <w:rPr>
          <w:rFonts w:ascii="Times New Roman" w:eastAsia="Times New Roman" w:hAnsi="Times New Roman" w:cs="Times New Roman"/>
          <w:lang w:val="ro-MD"/>
        </w:rPr>
        <w:t>desfăşurată</w:t>
      </w:r>
      <w:proofErr w:type="spellEnd"/>
      <w:r w:rsidRPr="000508B6">
        <w:rPr>
          <w:rFonts w:ascii="Times New Roman" w:eastAsia="Times New Roman" w:hAnsi="Times New Roman" w:cs="Times New Roman"/>
          <w:lang w:val="ro-MD"/>
        </w:rPr>
        <w:t xml:space="preserve"> de o entitate separată</w:t>
      </w:r>
      <w:r w:rsidR="00795835" w:rsidRPr="000508B6">
        <w:rPr>
          <w:rFonts w:ascii="Times New Roman" w:eastAsia="Times New Roman" w:hAnsi="Times New Roman" w:cs="Times New Roman"/>
          <w:lang w:val="ro-MD"/>
        </w:rPr>
        <w:t xml:space="preserve">. </w:t>
      </w:r>
      <w:r w:rsidR="00121289" w:rsidRPr="000508B6">
        <w:rPr>
          <w:rFonts w:ascii="Times New Roman" w:eastAsia="Times New Roman" w:hAnsi="Times New Roman" w:cs="Times New Roman"/>
          <w:lang w:val="ro-MD"/>
        </w:rPr>
        <w:t xml:space="preserve"> </w:t>
      </w:r>
    </w:p>
    <w:p w14:paraId="41CCDDC0" w14:textId="7F8DA7C3" w:rsidR="00F95829" w:rsidRPr="000508B6" w:rsidRDefault="00795835" w:rsidP="00105410">
      <w:pPr>
        <w:pStyle w:val="Listparagraf"/>
        <w:numPr>
          <w:ilvl w:val="0"/>
          <w:numId w:val="133"/>
        </w:numPr>
        <w:tabs>
          <w:tab w:val="left" w:pos="284"/>
          <w:tab w:val="left" w:pos="709"/>
          <w:tab w:val="left" w:pos="993"/>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w:t>
      </w:r>
      <w:r w:rsidR="00F95829" w:rsidRPr="000508B6">
        <w:rPr>
          <w:rFonts w:ascii="Times New Roman" w:eastAsia="Times New Roman" w:hAnsi="Times New Roman" w:cs="Times New Roman"/>
          <w:lang w:val="ro-MD"/>
        </w:rPr>
        <w:t xml:space="preserve">rin </w:t>
      </w:r>
      <w:proofErr w:type="spellStart"/>
      <w:r w:rsidR="00F95829" w:rsidRPr="000508B6">
        <w:rPr>
          <w:rFonts w:ascii="Times New Roman" w:eastAsia="Times New Roman" w:hAnsi="Times New Roman" w:cs="Times New Roman"/>
          <w:lang w:val="ro-MD"/>
        </w:rPr>
        <w:t>excepţie</w:t>
      </w:r>
      <w:proofErr w:type="spellEnd"/>
      <w:r w:rsidR="00F95829" w:rsidRPr="000508B6">
        <w:rPr>
          <w:rFonts w:ascii="Times New Roman" w:eastAsia="Times New Roman" w:hAnsi="Times New Roman" w:cs="Times New Roman"/>
          <w:lang w:val="ro-MD"/>
        </w:rPr>
        <w:t xml:space="preserve"> de la </w:t>
      </w:r>
      <w:proofErr w:type="spellStart"/>
      <w:r w:rsidR="00F95829" w:rsidRPr="000508B6">
        <w:rPr>
          <w:rFonts w:ascii="Times New Roman" w:eastAsia="Times New Roman" w:hAnsi="Times New Roman" w:cs="Times New Roman"/>
          <w:lang w:val="ro-MD"/>
        </w:rPr>
        <w:t>interdicţia</w:t>
      </w:r>
      <w:proofErr w:type="spellEnd"/>
      <w:r w:rsidR="00F95829" w:rsidRPr="000508B6">
        <w:rPr>
          <w:rFonts w:ascii="Times New Roman" w:eastAsia="Times New Roman" w:hAnsi="Times New Roman" w:cs="Times New Roman"/>
          <w:lang w:val="ro-MD"/>
        </w:rPr>
        <w:t xml:space="preserve"> de a nu utiliza elemente de fonduri proprii de bază aferente unei </w:t>
      </w:r>
      <w:proofErr w:type="spellStart"/>
      <w:r w:rsidR="00F95829" w:rsidRPr="000508B6">
        <w:rPr>
          <w:rFonts w:ascii="Times New Roman" w:eastAsia="Times New Roman" w:hAnsi="Times New Roman" w:cs="Times New Roman"/>
          <w:lang w:val="ro-MD"/>
        </w:rPr>
        <w:t>activităţi</w:t>
      </w:r>
      <w:proofErr w:type="spellEnd"/>
      <w:r w:rsidR="00F95829" w:rsidRPr="000508B6">
        <w:rPr>
          <w:rFonts w:ascii="Times New Roman" w:eastAsia="Times New Roman" w:hAnsi="Times New Roman" w:cs="Times New Roman"/>
          <w:lang w:val="ro-MD"/>
        </w:rPr>
        <w:t xml:space="preserve"> pentru a acoperi MCR a celeilalte </w:t>
      </w:r>
      <w:proofErr w:type="spellStart"/>
      <w:r w:rsidR="00F95829" w:rsidRPr="000508B6">
        <w:rPr>
          <w:rFonts w:ascii="Times New Roman" w:eastAsia="Times New Roman" w:hAnsi="Times New Roman" w:cs="Times New Roman"/>
          <w:lang w:val="ro-MD"/>
        </w:rPr>
        <w:t>activităţi</w:t>
      </w:r>
      <w:proofErr w:type="spellEnd"/>
      <w:r w:rsidR="00F95829" w:rsidRPr="000508B6">
        <w:rPr>
          <w:rFonts w:ascii="Times New Roman" w:eastAsia="Times New Roman" w:hAnsi="Times New Roman" w:cs="Times New Roman"/>
          <w:lang w:val="ro-MD"/>
        </w:rPr>
        <w:t xml:space="preserve">, prevăzută la alin. (3), </w:t>
      </w:r>
      <w:r w:rsidR="00121289" w:rsidRPr="000508B6">
        <w:rPr>
          <w:rFonts w:ascii="Times New Roman" w:eastAsia="Times New Roman" w:hAnsi="Times New Roman" w:cs="Times New Roman"/>
          <w:lang w:val="ro-MD"/>
        </w:rPr>
        <w:t>măsurile prevăzute la alin. (5)</w:t>
      </w:r>
      <w:r w:rsidR="00F95829" w:rsidRPr="000508B6">
        <w:rPr>
          <w:rFonts w:ascii="Times New Roman" w:eastAsia="Times New Roman" w:hAnsi="Times New Roman" w:cs="Times New Roman"/>
          <w:lang w:val="ro-MD"/>
        </w:rPr>
        <w:t xml:space="preserve"> pot include aprobarea de către Banca Națională a Moldovei a unui transfer explicit de elemente de fonduri proprii de bază eligibile de la o activitate la cealaltă.  </w:t>
      </w:r>
    </w:p>
    <w:p w14:paraId="2616AAC6" w14:textId="6D8EBE53" w:rsidR="003F31B2" w:rsidRPr="000508B6" w:rsidRDefault="0092186A" w:rsidP="00DE4225">
      <w:pPr>
        <w:pStyle w:val="Listparagraf"/>
        <w:numPr>
          <w:ilvl w:val="0"/>
          <w:numId w:val="133"/>
        </w:numPr>
        <w:tabs>
          <w:tab w:val="left" w:pos="284"/>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compozit </w:t>
      </w:r>
      <w:r w:rsidR="00BC64C4" w:rsidRPr="000508B6">
        <w:rPr>
          <w:rFonts w:ascii="Times New Roman" w:eastAsia="Times New Roman" w:hAnsi="Times New Roman" w:cs="Times New Roman"/>
          <w:lang w:val="ro-MD"/>
        </w:rPr>
        <w:t>po</w:t>
      </w:r>
      <w:r w:rsidRPr="000508B6">
        <w:rPr>
          <w:rFonts w:ascii="Times New Roman" w:eastAsia="Times New Roman" w:hAnsi="Times New Roman" w:cs="Times New Roman"/>
          <w:lang w:val="ro-MD"/>
        </w:rPr>
        <w:t>a</w:t>
      </w:r>
      <w:r w:rsidR="00BC64C4"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e</w:t>
      </w:r>
      <w:r w:rsidR="00BC64C4" w:rsidRPr="000508B6">
        <w:rPr>
          <w:rFonts w:ascii="Times New Roman" w:eastAsia="Times New Roman" w:hAnsi="Times New Roman" w:cs="Times New Roman"/>
          <w:lang w:val="ro-MD"/>
        </w:rPr>
        <w:t xml:space="preserve"> continua să desfășoare simultan activitățile în cauză, cu condiția ca fiecare activitate să fie gestionată separat, în conformitate cu </w:t>
      </w:r>
      <w:r w:rsidR="00717B5E" w:rsidRPr="000508B6">
        <w:rPr>
          <w:rFonts w:ascii="Times New Roman" w:eastAsia="Times New Roman" w:hAnsi="Times New Roman" w:cs="Times New Roman"/>
          <w:lang w:val="ro-MD"/>
        </w:rPr>
        <w:t>prezentul articol</w:t>
      </w:r>
      <w:r w:rsidR="0086393A" w:rsidRPr="000508B6">
        <w:rPr>
          <w:rFonts w:ascii="Times New Roman" w:eastAsia="Times New Roman" w:hAnsi="Times New Roman" w:cs="Times New Roman"/>
          <w:lang w:val="ro-MD"/>
        </w:rPr>
        <w:t xml:space="preserve">. </w:t>
      </w:r>
    </w:p>
    <w:p w14:paraId="655D1EC4" w14:textId="77777777" w:rsidR="00717B5E" w:rsidRPr="000508B6" w:rsidRDefault="00717B5E" w:rsidP="00121289">
      <w:pPr>
        <w:pStyle w:val="Listparagraf"/>
        <w:tabs>
          <w:tab w:val="left" w:pos="284"/>
          <w:tab w:val="left" w:pos="993"/>
        </w:tabs>
        <w:spacing w:after="0" w:line="240" w:lineRule="auto"/>
        <w:ind w:left="0" w:firstLine="426"/>
        <w:jc w:val="both"/>
        <w:rPr>
          <w:rFonts w:ascii="Times New Roman" w:eastAsia="Times New Roman" w:hAnsi="Times New Roman" w:cs="Times New Roman"/>
          <w:lang w:val="ro-MD"/>
        </w:rPr>
      </w:pPr>
    </w:p>
    <w:p w14:paraId="7503C1D3" w14:textId="5AF91727"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w:t>
      </w:r>
      <w:r w:rsidR="00EB4BD5" w:rsidRPr="000508B6">
        <w:rPr>
          <w:rFonts w:ascii="Times New Roman" w:eastAsia="Times New Roman" w:hAnsi="Times New Roman" w:cs="Times New Roman"/>
          <w:b/>
          <w:lang w:val="ro-MD"/>
        </w:rPr>
        <w:t xml:space="preserve"> </w:t>
      </w:r>
      <w:r w:rsidR="00C8492A" w:rsidRPr="000508B6">
        <w:rPr>
          <w:rFonts w:ascii="Times New Roman" w:eastAsia="Times New Roman" w:hAnsi="Times New Roman" w:cs="Times New Roman"/>
          <w:b/>
          <w:lang w:val="ro-MD"/>
        </w:rPr>
        <w:t>40</w:t>
      </w:r>
      <w:r w:rsidR="00EB4BD5" w:rsidRPr="000508B6">
        <w:rPr>
          <w:rFonts w:ascii="Times New Roman" w:eastAsia="Times New Roman" w:hAnsi="Times New Roman" w:cs="Times New Roman"/>
          <w:b/>
          <w:lang w:val="ro-MD"/>
        </w:rPr>
        <w:t>.</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Prevederi specifice a admi</w:t>
      </w:r>
      <w:r w:rsidR="00676458" w:rsidRPr="000508B6">
        <w:rPr>
          <w:rFonts w:ascii="Times New Roman" w:eastAsia="Times New Roman" w:hAnsi="Times New Roman" w:cs="Times New Roman"/>
          <w:lang w:val="ro-MD"/>
        </w:rPr>
        <w:t>n</w:t>
      </w:r>
      <w:r w:rsidRPr="000508B6">
        <w:rPr>
          <w:rFonts w:ascii="Times New Roman" w:eastAsia="Times New Roman" w:hAnsi="Times New Roman" w:cs="Times New Roman"/>
          <w:lang w:val="ro-MD"/>
        </w:rPr>
        <w:t>istrării separate a activităților</w:t>
      </w:r>
    </w:p>
    <w:p w14:paraId="2C2FA7A0" w14:textId="7B562CEB" w:rsidR="00F95829" w:rsidRPr="000508B6" w:rsidRDefault="00E94EC1" w:rsidP="009D58DB">
      <w:pPr>
        <w:pStyle w:val="Listparagraf"/>
        <w:numPr>
          <w:ilvl w:val="1"/>
          <w:numId w:val="13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5734D9" w:rsidRPr="000508B6">
        <w:rPr>
          <w:rFonts w:ascii="Times New Roman" w:eastAsia="Times New Roman" w:hAnsi="Times New Roman" w:cs="Times New Roman"/>
          <w:lang w:val="ro-MD"/>
        </w:rPr>
        <w:t xml:space="preserve"> licențiat urmare a</w:t>
      </w:r>
      <w:r w:rsidR="00F95829" w:rsidRPr="000508B6">
        <w:rPr>
          <w:rFonts w:ascii="Times New Roman" w:eastAsia="Times New Roman" w:hAnsi="Times New Roman" w:cs="Times New Roman"/>
          <w:lang w:val="ro-MD"/>
        </w:rPr>
        <w:t xml:space="preserve"> solicitării prevăzute la art. </w:t>
      </w:r>
      <w:r w:rsidR="00120134" w:rsidRPr="000508B6">
        <w:rPr>
          <w:rFonts w:ascii="Times New Roman" w:eastAsia="Times New Roman" w:hAnsi="Times New Roman" w:cs="Times New Roman"/>
          <w:lang w:val="ro-MD"/>
        </w:rPr>
        <w:t xml:space="preserve">4 </w:t>
      </w:r>
      <w:r w:rsidR="00F95829" w:rsidRPr="000508B6">
        <w:rPr>
          <w:rFonts w:ascii="Times New Roman" w:eastAsia="Times New Roman" w:hAnsi="Times New Roman" w:cs="Times New Roman"/>
          <w:lang w:val="ro-MD"/>
        </w:rPr>
        <w:t>alin. (</w:t>
      </w:r>
      <w:r w:rsidR="008B1F1F" w:rsidRPr="000508B6">
        <w:rPr>
          <w:rFonts w:ascii="Times New Roman" w:eastAsia="Times New Roman" w:hAnsi="Times New Roman" w:cs="Times New Roman"/>
          <w:lang w:val="ro-MD"/>
        </w:rPr>
        <w:t>8</w:t>
      </w:r>
      <w:r w:rsidR="00F95829" w:rsidRPr="000508B6">
        <w:rPr>
          <w:rFonts w:ascii="Times New Roman" w:eastAsia="Times New Roman" w:hAnsi="Times New Roman" w:cs="Times New Roman"/>
          <w:lang w:val="ro-MD"/>
        </w:rPr>
        <w:t xml:space="preserve">) respectă reglementările contabile referitoare la </w:t>
      </w:r>
      <w:r w:rsidR="000165FC" w:rsidRPr="000508B6">
        <w:rPr>
          <w:rFonts w:ascii="Times New Roman" w:eastAsia="Times New Roman" w:hAnsi="Times New Roman" w:cs="Times New Roman"/>
          <w:lang w:val="ro-MD"/>
        </w:rPr>
        <w:t>asigurarea</w:t>
      </w:r>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viaţă</w:t>
      </w:r>
      <w:proofErr w:type="spellEnd"/>
      <w:r w:rsidR="00F95829" w:rsidRPr="000508B6">
        <w:rPr>
          <w:rFonts w:ascii="Times New Roman" w:eastAsia="Times New Roman" w:hAnsi="Times New Roman" w:cs="Times New Roman"/>
          <w:lang w:val="ro-MD"/>
        </w:rPr>
        <w:t xml:space="preserve">, pentru toate </w:t>
      </w:r>
      <w:proofErr w:type="spellStart"/>
      <w:r w:rsidR="00F95829" w:rsidRPr="000508B6">
        <w:rPr>
          <w:rFonts w:ascii="Times New Roman" w:eastAsia="Times New Roman" w:hAnsi="Times New Roman" w:cs="Times New Roman"/>
          <w:lang w:val="ro-MD"/>
        </w:rPr>
        <w:t>activităţile</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desfăşurate</w:t>
      </w:r>
      <w:proofErr w:type="spellEnd"/>
      <w:r w:rsidR="00F95829" w:rsidRPr="000508B6">
        <w:rPr>
          <w:rFonts w:ascii="Times New Roman" w:eastAsia="Times New Roman" w:hAnsi="Times New Roman" w:cs="Times New Roman"/>
          <w:lang w:val="ro-MD"/>
        </w:rPr>
        <w:t xml:space="preserve">.  </w:t>
      </w:r>
      <w:r w:rsidR="00817449"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 </w:t>
      </w:r>
    </w:p>
    <w:p w14:paraId="3B3E7539" w14:textId="49A5585B" w:rsidR="00F95829" w:rsidRPr="000508B6" w:rsidRDefault="00E94EC1" w:rsidP="009D58DB">
      <w:pPr>
        <w:pStyle w:val="Listparagraf"/>
        <w:numPr>
          <w:ilvl w:val="1"/>
          <w:numId w:val="13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071EC1"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care </w:t>
      </w:r>
      <w:r w:rsidR="000165FC" w:rsidRPr="000508B6">
        <w:rPr>
          <w:rFonts w:ascii="Times New Roman" w:eastAsia="Times New Roman" w:hAnsi="Times New Roman" w:cs="Times New Roman"/>
          <w:lang w:val="ro-MD"/>
        </w:rPr>
        <w:t>desfășoară activitate de asigurare</w:t>
      </w:r>
      <w:r w:rsidR="00F95829" w:rsidRPr="000508B6">
        <w:rPr>
          <w:rFonts w:ascii="Times New Roman" w:eastAsia="Times New Roman" w:hAnsi="Times New Roman" w:cs="Times New Roman"/>
          <w:lang w:val="ro-MD"/>
        </w:rPr>
        <w:t xml:space="preserve"> general</w:t>
      </w:r>
      <w:r w:rsidR="000165FC"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w:t>
      </w:r>
      <w:r w:rsidR="00592DB7" w:rsidRPr="000508B6">
        <w:rPr>
          <w:rFonts w:ascii="Times New Roman" w:eastAsia="Times New Roman" w:hAnsi="Times New Roman" w:cs="Times New Roman"/>
          <w:lang w:val="ro-MD"/>
        </w:rPr>
        <w:t>re</w:t>
      </w:r>
      <w:r w:rsidR="00F95829" w:rsidRPr="000508B6">
        <w:rPr>
          <w:rFonts w:ascii="Times New Roman" w:eastAsia="Times New Roman" w:hAnsi="Times New Roman" w:cs="Times New Roman"/>
          <w:lang w:val="ro-MD"/>
        </w:rPr>
        <w:t xml:space="preserve"> legături financiare, comerciale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administrative cu </w:t>
      </w:r>
      <w:r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care </w:t>
      </w:r>
      <w:r w:rsidR="000165FC" w:rsidRPr="000508B6">
        <w:rPr>
          <w:rFonts w:ascii="Times New Roman" w:eastAsia="Times New Roman" w:hAnsi="Times New Roman" w:cs="Times New Roman"/>
          <w:lang w:val="ro-MD"/>
        </w:rPr>
        <w:t>desfășoară activitate</w:t>
      </w:r>
      <w:r w:rsidR="00F95829" w:rsidRPr="000508B6">
        <w:rPr>
          <w:rFonts w:ascii="Times New Roman" w:eastAsia="Times New Roman" w:hAnsi="Times New Roman" w:cs="Times New Roman"/>
          <w:lang w:val="ro-MD"/>
        </w:rPr>
        <w:t xml:space="preserve"> </w:t>
      </w:r>
      <w:r w:rsidR="000165FC" w:rsidRPr="000508B6">
        <w:rPr>
          <w:rFonts w:ascii="Times New Roman" w:eastAsia="Times New Roman" w:hAnsi="Times New Roman" w:cs="Times New Roman"/>
          <w:lang w:val="ro-MD"/>
        </w:rPr>
        <w:t>de asigurare</w:t>
      </w:r>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viaţă</w:t>
      </w:r>
      <w:proofErr w:type="spellEnd"/>
      <w:r w:rsidR="00F95829" w:rsidRPr="000508B6">
        <w:rPr>
          <w:rFonts w:ascii="Times New Roman" w:eastAsia="Times New Roman" w:hAnsi="Times New Roman" w:cs="Times New Roman"/>
          <w:lang w:val="ro-MD"/>
        </w:rPr>
        <w:t xml:space="preserve"> nu</w:t>
      </w:r>
      <w:r w:rsidR="00635CEF">
        <w:rPr>
          <w:rFonts w:ascii="Times New Roman" w:eastAsia="Times New Roman" w:hAnsi="Times New Roman" w:cs="Times New Roman"/>
          <w:lang w:val="ro-MD"/>
        </w:rPr>
        <w:t xml:space="preserve"> au conturile distorsionate de aranjamente între acești asigurători sau de orice aranjament care ar putea afecta alocarea de cheltuieli și venituri</w:t>
      </w:r>
      <w:r w:rsidR="00817449" w:rsidRPr="000508B6">
        <w:rPr>
          <w:rFonts w:ascii="Times New Roman" w:eastAsia="Times New Roman" w:hAnsi="Times New Roman" w:cs="Times New Roman"/>
          <w:lang w:val="ro-MD"/>
        </w:rPr>
        <w:t xml:space="preserve">.   </w:t>
      </w:r>
    </w:p>
    <w:p w14:paraId="18958B8E" w14:textId="26D0F126" w:rsidR="007E5C6D" w:rsidRPr="000508B6" w:rsidRDefault="007E5C6D" w:rsidP="007E5C6D">
      <w:pPr>
        <w:pStyle w:val="Listparagraf"/>
        <w:numPr>
          <w:ilvl w:val="1"/>
          <w:numId w:val="135"/>
        </w:numPr>
        <w:spacing w:after="0" w:line="240" w:lineRule="auto"/>
        <w:ind w:left="0" w:firstLine="425"/>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de separare de către </w:t>
      </w:r>
      <w:r w:rsidR="00761A02" w:rsidRPr="000508B6">
        <w:rPr>
          <w:rFonts w:ascii="Times New Roman" w:eastAsia="Times New Roman" w:hAnsi="Times New Roman" w:cs="Times New Roman"/>
          <w:lang w:val="ro-MD"/>
        </w:rPr>
        <w:t>asigurători</w:t>
      </w:r>
      <w:r w:rsidRPr="000508B6">
        <w:rPr>
          <w:rFonts w:ascii="Times New Roman" w:eastAsia="Times New Roman" w:hAnsi="Times New Roman" w:cs="Times New Roman"/>
          <w:lang w:val="ro-MD"/>
        </w:rPr>
        <w:t xml:space="preserve"> a gestiunii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asigurare simultană în </w:t>
      </w:r>
      <w:r w:rsidR="00874FD0" w:rsidRPr="000508B6">
        <w:rPr>
          <w:rFonts w:ascii="Times New Roman" w:eastAsia="Times New Roman" w:hAnsi="Times New Roman" w:cs="Times New Roman"/>
          <w:lang w:val="ro-MD"/>
        </w:rPr>
        <w:t xml:space="preserve">activitatea de </w:t>
      </w:r>
      <w:r w:rsidRPr="000508B6">
        <w:rPr>
          <w:rFonts w:ascii="Times New Roman" w:eastAsia="Times New Roman" w:hAnsi="Times New Roman" w:cs="Times New Roman"/>
          <w:lang w:val="ro-MD"/>
        </w:rPr>
        <w:t xml:space="preserve">asigurări de </w:t>
      </w:r>
      <w:proofErr w:type="spellStart"/>
      <w:r w:rsidRPr="000508B6">
        <w:rPr>
          <w:rFonts w:ascii="Times New Roman" w:eastAsia="Times New Roman" w:hAnsi="Times New Roman" w:cs="Times New Roman"/>
          <w:lang w:val="ro-MD"/>
        </w:rPr>
        <w:t>viaţă</w:t>
      </w:r>
      <w:proofErr w:type="spellEnd"/>
      <w:r w:rsidR="00761A02"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874FD0" w:rsidRPr="000508B6">
        <w:rPr>
          <w:rFonts w:ascii="Times New Roman" w:eastAsia="Times New Roman" w:hAnsi="Times New Roman" w:cs="Times New Roman"/>
          <w:lang w:val="ro-MD"/>
        </w:rPr>
        <w:t>de</w:t>
      </w:r>
      <w:r w:rsidRPr="000508B6">
        <w:rPr>
          <w:rFonts w:ascii="Times New Roman" w:eastAsia="Times New Roman" w:hAnsi="Times New Roman" w:cs="Times New Roman"/>
          <w:lang w:val="ro-MD"/>
        </w:rPr>
        <w:t xml:space="preserve"> asigurări generale</w:t>
      </w:r>
      <w:r w:rsidR="00761A0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procedura de aprobare de către Banca </w:t>
      </w:r>
      <w:proofErr w:type="spellStart"/>
      <w:r w:rsidRPr="000508B6">
        <w:rPr>
          <w:rFonts w:ascii="Times New Roman" w:eastAsia="Times New Roman" w:hAnsi="Times New Roman" w:cs="Times New Roman"/>
          <w:lang w:val="ro-MD"/>
        </w:rPr>
        <w:t>Naţională</w:t>
      </w:r>
      <w:proofErr w:type="spellEnd"/>
      <w:r w:rsidRPr="000508B6">
        <w:rPr>
          <w:rFonts w:ascii="Times New Roman" w:eastAsia="Times New Roman" w:hAnsi="Times New Roman" w:cs="Times New Roman"/>
          <w:lang w:val="ro-MD"/>
        </w:rPr>
        <w:t xml:space="preserve"> a Moldovei a metodei de repartizare, aprobarea prealabilă a transferului activelor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al profitului înregistrat de către </w:t>
      </w:r>
      <w:r w:rsidR="00761A02" w:rsidRPr="000508B6">
        <w:rPr>
          <w:rFonts w:ascii="Times New Roman" w:eastAsia="Times New Roman" w:hAnsi="Times New Roman" w:cs="Times New Roman"/>
          <w:lang w:val="ro-MD"/>
        </w:rPr>
        <w:t>asigurător</w:t>
      </w:r>
      <w:r w:rsidR="005718BD" w:rsidRPr="000508B6">
        <w:rPr>
          <w:rFonts w:ascii="Times New Roman" w:eastAsia="Times New Roman" w:hAnsi="Times New Roman" w:cs="Times New Roman"/>
          <w:lang w:val="ro-MD"/>
        </w:rPr>
        <w:t xml:space="preserve">, cerințele privind persoana desemnată pentru administrarea </w:t>
      </w:r>
      <w:proofErr w:type="spellStart"/>
      <w:r w:rsidR="005718BD" w:rsidRPr="000508B6">
        <w:rPr>
          <w:rFonts w:ascii="Times New Roman" w:eastAsia="Times New Roman" w:hAnsi="Times New Roman" w:cs="Times New Roman"/>
          <w:lang w:val="ro-MD"/>
        </w:rPr>
        <w:t>şi</w:t>
      </w:r>
      <w:proofErr w:type="spellEnd"/>
      <w:r w:rsidR="005718BD" w:rsidRPr="000508B6">
        <w:rPr>
          <w:rFonts w:ascii="Times New Roman" w:eastAsia="Times New Roman" w:hAnsi="Times New Roman" w:cs="Times New Roman"/>
          <w:lang w:val="ro-MD"/>
        </w:rPr>
        <w:t xml:space="preserve"> gestionarea </w:t>
      </w:r>
      <w:proofErr w:type="spellStart"/>
      <w:r w:rsidR="005718BD" w:rsidRPr="000508B6">
        <w:rPr>
          <w:rFonts w:ascii="Times New Roman" w:eastAsia="Times New Roman" w:hAnsi="Times New Roman" w:cs="Times New Roman"/>
          <w:lang w:val="ro-MD"/>
        </w:rPr>
        <w:t>activităţii</w:t>
      </w:r>
      <w:proofErr w:type="spellEnd"/>
      <w:r w:rsidR="005718BD" w:rsidRPr="000508B6">
        <w:rPr>
          <w:rFonts w:ascii="Times New Roman" w:eastAsia="Times New Roman" w:hAnsi="Times New Roman" w:cs="Times New Roman"/>
          <w:lang w:val="ro-MD"/>
        </w:rPr>
        <w:t xml:space="preserve"> de asigurare simultană în activitatea de asigurări de </w:t>
      </w:r>
      <w:proofErr w:type="spellStart"/>
      <w:r w:rsidR="005718BD" w:rsidRPr="000508B6">
        <w:rPr>
          <w:rFonts w:ascii="Times New Roman" w:eastAsia="Times New Roman" w:hAnsi="Times New Roman" w:cs="Times New Roman"/>
          <w:lang w:val="ro-MD"/>
        </w:rPr>
        <w:t>viaţă</w:t>
      </w:r>
      <w:proofErr w:type="spellEnd"/>
      <w:r w:rsidR="005718BD" w:rsidRPr="000508B6">
        <w:rPr>
          <w:rFonts w:ascii="Times New Roman" w:eastAsia="Times New Roman" w:hAnsi="Times New Roman" w:cs="Times New Roman"/>
          <w:lang w:val="ro-MD"/>
        </w:rPr>
        <w:t xml:space="preserve"> </w:t>
      </w:r>
      <w:proofErr w:type="spellStart"/>
      <w:r w:rsidR="005718BD" w:rsidRPr="000508B6">
        <w:rPr>
          <w:rFonts w:ascii="Times New Roman" w:eastAsia="Times New Roman" w:hAnsi="Times New Roman" w:cs="Times New Roman"/>
          <w:lang w:val="ro-MD"/>
        </w:rPr>
        <w:t>şi</w:t>
      </w:r>
      <w:proofErr w:type="spellEnd"/>
      <w:r w:rsidR="005718BD" w:rsidRPr="000508B6">
        <w:rPr>
          <w:rFonts w:ascii="Times New Roman" w:eastAsia="Times New Roman" w:hAnsi="Times New Roman" w:cs="Times New Roman"/>
          <w:lang w:val="ro-MD"/>
        </w:rPr>
        <w:t xml:space="preserve"> de asigurări generale</w:t>
      </w:r>
      <w:r w:rsidRPr="000508B6">
        <w:rPr>
          <w:rFonts w:ascii="Times New Roman" w:eastAsia="Times New Roman" w:hAnsi="Times New Roman" w:cs="Times New Roman"/>
          <w:lang w:val="ro-MD"/>
        </w:rPr>
        <w:t xml:space="preserve"> sunt stabilite în actele normative ale Băncii </w:t>
      </w:r>
      <w:proofErr w:type="spellStart"/>
      <w:r w:rsidRPr="000508B6">
        <w:rPr>
          <w:rFonts w:ascii="Times New Roman" w:eastAsia="Times New Roman" w:hAnsi="Times New Roman" w:cs="Times New Roman"/>
          <w:lang w:val="ro-MD"/>
        </w:rPr>
        <w:t>Naţionale</w:t>
      </w:r>
      <w:proofErr w:type="spellEnd"/>
      <w:r w:rsidRPr="000508B6">
        <w:rPr>
          <w:rFonts w:ascii="Times New Roman" w:eastAsia="Times New Roman" w:hAnsi="Times New Roman" w:cs="Times New Roman"/>
          <w:lang w:val="ro-MD"/>
        </w:rPr>
        <w:t xml:space="preserve"> a Moldovei.</w:t>
      </w:r>
    </w:p>
    <w:p w14:paraId="0DCE55B0" w14:textId="77777777" w:rsidR="007E5C6D" w:rsidRPr="000508B6" w:rsidRDefault="007E5C6D" w:rsidP="007E5C6D">
      <w:pPr>
        <w:pStyle w:val="Listparagraf"/>
        <w:tabs>
          <w:tab w:val="left" w:pos="851"/>
        </w:tabs>
        <w:spacing w:after="0" w:line="240" w:lineRule="auto"/>
        <w:ind w:left="426"/>
        <w:jc w:val="both"/>
        <w:rPr>
          <w:rFonts w:ascii="Times New Roman" w:eastAsia="Times New Roman" w:hAnsi="Times New Roman" w:cs="Times New Roman"/>
          <w:lang w:val="ro-MD"/>
        </w:rPr>
      </w:pPr>
    </w:p>
    <w:p w14:paraId="3DF2484D" w14:textId="77777777" w:rsidR="00EE4B44" w:rsidRPr="000508B6" w:rsidRDefault="00EE4B44" w:rsidP="00F57C5F">
      <w:pPr>
        <w:tabs>
          <w:tab w:val="left" w:pos="993"/>
        </w:tabs>
        <w:spacing w:after="0" w:line="240" w:lineRule="auto"/>
        <w:ind w:firstLine="426"/>
        <w:jc w:val="center"/>
        <w:rPr>
          <w:rFonts w:ascii="Times New Roman" w:eastAsia="Times New Roman" w:hAnsi="Times New Roman" w:cs="Times New Roman"/>
          <w:b/>
          <w:lang w:val="ro-MD"/>
        </w:rPr>
      </w:pPr>
    </w:p>
    <w:p w14:paraId="2A214F74" w14:textId="556E430E" w:rsidR="00F95829" w:rsidRPr="000508B6" w:rsidRDefault="00331711"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III</w:t>
      </w:r>
    </w:p>
    <w:p w14:paraId="5AF1D9A0" w14:textId="3DD729CC" w:rsidR="00F95829" w:rsidRPr="000508B6" w:rsidRDefault="00331711"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SOLVABILITATEA</w:t>
      </w:r>
    </w:p>
    <w:p w14:paraId="0B36A9B8"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1</w:t>
      </w:r>
    </w:p>
    <w:p w14:paraId="4B199C1C" w14:textId="23B26D05" w:rsidR="00F95829" w:rsidRPr="000508B6" w:rsidRDefault="00F95829" w:rsidP="008B530F">
      <w:pPr>
        <w:spacing w:after="0" w:line="240" w:lineRule="auto"/>
        <w:ind w:firstLine="426"/>
        <w:jc w:val="center"/>
        <w:rPr>
          <w:rFonts w:ascii="Times New Roman" w:eastAsia="Times New Roman" w:hAnsi="Times New Roman" w:cs="Times New Roman"/>
          <w:b/>
          <w:lang w:val="ro-MD"/>
        </w:rPr>
      </w:pPr>
      <w:bookmarkStart w:id="101" w:name="_Hlk206011180"/>
      <w:r w:rsidRPr="000508B6">
        <w:rPr>
          <w:rFonts w:ascii="Times New Roman" w:eastAsia="Times New Roman" w:hAnsi="Times New Roman" w:cs="Times New Roman"/>
          <w:b/>
          <w:lang w:val="ro-MD"/>
        </w:rPr>
        <w:t xml:space="preserve">Evaluarea activelor și </w:t>
      </w:r>
      <w:r w:rsidR="009824E4" w:rsidRPr="000508B6">
        <w:rPr>
          <w:rFonts w:ascii="Times New Roman" w:eastAsia="Times New Roman" w:hAnsi="Times New Roman" w:cs="Times New Roman"/>
          <w:b/>
          <w:lang w:val="ro-MD"/>
        </w:rPr>
        <w:t>obligații</w:t>
      </w:r>
      <w:r w:rsidR="00871BF2" w:rsidRPr="000508B6">
        <w:rPr>
          <w:rFonts w:ascii="Times New Roman" w:eastAsia="Times New Roman" w:hAnsi="Times New Roman" w:cs="Times New Roman"/>
          <w:b/>
          <w:lang w:val="ro-MD"/>
        </w:rPr>
        <w:t>lor</w:t>
      </w:r>
    </w:p>
    <w:p w14:paraId="3086B4B7"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
    <w:bookmarkEnd w:id="101"/>
    <w:p w14:paraId="3ACFA274" w14:textId="3214C093"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41</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Evaluarea activelor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w:t>
      </w:r>
      <w:r w:rsidR="00871BF2" w:rsidRPr="000508B6">
        <w:rPr>
          <w:rFonts w:ascii="Times New Roman" w:eastAsia="Times New Roman" w:hAnsi="Times New Roman" w:cs="Times New Roman"/>
          <w:lang w:val="ro-MD"/>
        </w:rPr>
        <w:t>obligațiilor</w:t>
      </w:r>
    </w:p>
    <w:p w14:paraId="6176F24D" w14:textId="2E1932A7" w:rsidR="0035661C" w:rsidRPr="000508B6" w:rsidRDefault="00636117" w:rsidP="0055421D">
      <w:pPr>
        <w:pStyle w:val="Listparagraf"/>
        <w:numPr>
          <w:ilvl w:val="1"/>
          <w:numId w:val="13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îşi</w:t>
      </w:r>
      <w:proofErr w:type="spellEnd"/>
      <w:r w:rsidR="00F95829" w:rsidRPr="000508B6">
        <w:rPr>
          <w:rFonts w:ascii="Times New Roman" w:eastAsia="Times New Roman" w:hAnsi="Times New Roman" w:cs="Times New Roman"/>
          <w:lang w:val="ro-MD"/>
        </w:rPr>
        <w:t xml:space="preserve"> evaluează activele</w:t>
      </w:r>
      <w:r w:rsidR="0035661C" w:rsidRPr="000508B6">
        <w:rPr>
          <w:rFonts w:ascii="Times New Roman" w:eastAsia="Times New Roman" w:hAnsi="Times New Roman" w:cs="Times New Roman"/>
          <w:lang w:val="ro-MD"/>
        </w:rPr>
        <w:t xml:space="preserve"> și obligațiile astfel:</w:t>
      </w:r>
    </w:p>
    <w:p w14:paraId="1894B9EA" w14:textId="46C336F7" w:rsidR="00F95829" w:rsidRPr="000508B6" w:rsidRDefault="00F22E0E" w:rsidP="00DE4225">
      <w:pPr>
        <w:pStyle w:val="Listparagraf"/>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 </w:t>
      </w:r>
      <w:r w:rsidR="0035661C" w:rsidRPr="000508B6">
        <w:rPr>
          <w:rFonts w:ascii="Times New Roman" w:eastAsia="Times New Roman" w:hAnsi="Times New Roman" w:cs="Times New Roman"/>
          <w:lang w:val="ro-MD"/>
        </w:rPr>
        <w:t>activele,</w:t>
      </w:r>
      <w:r w:rsidR="00F95829" w:rsidRPr="000508B6">
        <w:rPr>
          <w:rFonts w:ascii="Times New Roman" w:eastAsia="Times New Roman" w:hAnsi="Times New Roman" w:cs="Times New Roman"/>
          <w:lang w:val="ro-MD"/>
        </w:rPr>
        <w:t xml:space="preserve"> la valoarea la care acestea ar putea fi </w:t>
      </w:r>
      <w:proofErr w:type="spellStart"/>
      <w:r w:rsidR="00F95829" w:rsidRPr="000508B6">
        <w:rPr>
          <w:rFonts w:ascii="Times New Roman" w:eastAsia="Times New Roman" w:hAnsi="Times New Roman" w:cs="Times New Roman"/>
          <w:lang w:val="ro-MD"/>
        </w:rPr>
        <w:t>tranzacţionate</w:t>
      </w:r>
      <w:proofErr w:type="spellEnd"/>
      <w:r w:rsidR="00F95829" w:rsidRPr="000508B6">
        <w:rPr>
          <w:rFonts w:ascii="Times New Roman" w:eastAsia="Times New Roman" w:hAnsi="Times New Roman" w:cs="Times New Roman"/>
          <w:lang w:val="ro-MD"/>
        </w:rPr>
        <w:t xml:space="preserve"> între </w:t>
      </w:r>
      <w:proofErr w:type="spellStart"/>
      <w:r w:rsidR="00F95829" w:rsidRPr="000508B6">
        <w:rPr>
          <w:rFonts w:ascii="Times New Roman" w:eastAsia="Times New Roman" w:hAnsi="Times New Roman" w:cs="Times New Roman"/>
          <w:lang w:val="ro-MD"/>
        </w:rPr>
        <w:t>părţi</w:t>
      </w:r>
      <w:proofErr w:type="spellEnd"/>
      <w:r w:rsidR="00F95829" w:rsidRPr="000508B6">
        <w:rPr>
          <w:rFonts w:ascii="Times New Roman" w:eastAsia="Times New Roman" w:hAnsi="Times New Roman" w:cs="Times New Roman"/>
          <w:lang w:val="ro-MD"/>
        </w:rPr>
        <w:t xml:space="preserve"> </w:t>
      </w:r>
      <w:r w:rsidR="00FF2656" w:rsidRPr="000508B6">
        <w:rPr>
          <w:rFonts w:ascii="Times New Roman" w:eastAsia="Times New Roman" w:hAnsi="Times New Roman" w:cs="Times New Roman"/>
          <w:lang w:val="ro-MD"/>
        </w:rPr>
        <w:t>interesate</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în </w:t>
      </w:r>
      <w:proofErr w:type="spellStart"/>
      <w:r w:rsidR="00F95829" w:rsidRPr="000508B6">
        <w:rPr>
          <w:rFonts w:ascii="Times New Roman" w:eastAsia="Times New Roman" w:hAnsi="Times New Roman" w:cs="Times New Roman"/>
          <w:lang w:val="ro-MD"/>
        </w:rPr>
        <w:t>cunoştinţă</w:t>
      </w:r>
      <w:proofErr w:type="spellEnd"/>
      <w:r w:rsidR="00F95829" w:rsidRPr="000508B6">
        <w:rPr>
          <w:rFonts w:ascii="Times New Roman" w:eastAsia="Times New Roman" w:hAnsi="Times New Roman" w:cs="Times New Roman"/>
          <w:lang w:val="ro-MD"/>
        </w:rPr>
        <w:t xml:space="preserve"> de cauză, în cadrul unei </w:t>
      </w:r>
      <w:proofErr w:type="spellStart"/>
      <w:r w:rsidR="00F95829" w:rsidRPr="000508B6">
        <w:rPr>
          <w:rFonts w:ascii="Times New Roman" w:eastAsia="Times New Roman" w:hAnsi="Times New Roman" w:cs="Times New Roman"/>
          <w:lang w:val="ro-MD"/>
        </w:rPr>
        <w:t>tranzacţii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desfăşurate</w:t>
      </w:r>
      <w:proofErr w:type="spellEnd"/>
      <w:r w:rsidR="00F95829" w:rsidRPr="000508B6">
        <w:rPr>
          <w:rFonts w:ascii="Times New Roman" w:eastAsia="Times New Roman" w:hAnsi="Times New Roman" w:cs="Times New Roman"/>
          <w:lang w:val="ro-MD"/>
        </w:rPr>
        <w:t xml:space="preserve"> în </w:t>
      </w:r>
      <w:proofErr w:type="spellStart"/>
      <w:r w:rsidR="00F95829" w:rsidRPr="000508B6">
        <w:rPr>
          <w:rFonts w:ascii="Times New Roman" w:eastAsia="Times New Roman" w:hAnsi="Times New Roman" w:cs="Times New Roman"/>
          <w:lang w:val="ro-MD"/>
        </w:rPr>
        <w:t>condiţii</w:t>
      </w:r>
      <w:proofErr w:type="spellEnd"/>
      <w:r w:rsidR="00F95829" w:rsidRPr="000508B6">
        <w:rPr>
          <w:rFonts w:ascii="Times New Roman" w:eastAsia="Times New Roman" w:hAnsi="Times New Roman" w:cs="Times New Roman"/>
          <w:lang w:val="ro-MD"/>
        </w:rPr>
        <w:t xml:space="preserve"> obiective. </w:t>
      </w:r>
    </w:p>
    <w:p w14:paraId="1CAD03E7" w14:textId="7FABC631" w:rsidR="00F95829" w:rsidRPr="000508B6" w:rsidRDefault="00F22E0E" w:rsidP="00DE4225">
      <w:pPr>
        <w:pStyle w:val="Listparagraf"/>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w:t>
      </w:r>
      <w:r w:rsidR="00871BF2" w:rsidRPr="000508B6">
        <w:rPr>
          <w:rFonts w:ascii="Times New Roman" w:eastAsia="Times New Roman" w:hAnsi="Times New Roman" w:cs="Times New Roman"/>
          <w:lang w:val="ro-MD"/>
        </w:rPr>
        <w:t>obligațiile</w:t>
      </w:r>
      <w:r w:rsidR="0035661C" w:rsidRPr="000508B6">
        <w:rPr>
          <w:rFonts w:ascii="Times New Roman" w:eastAsia="Times New Roman" w:hAnsi="Times New Roman" w:cs="Times New Roman"/>
          <w:lang w:val="ro-MD"/>
        </w:rPr>
        <w:t>,</w:t>
      </w:r>
      <w:r w:rsidR="00871BF2"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la valoarea la care ar putea fi transferate sau decontate între </w:t>
      </w:r>
      <w:proofErr w:type="spellStart"/>
      <w:r w:rsidR="00F95829" w:rsidRPr="000508B6">
        <w:rPr>
          <w:rFonts w:ascii="Times New Roman" w:eastAsia="Times New Roman" w:hAnsi="Times New Roman" w:cs="Times New Roman"/>
          <w:lang w:val="ro-MD"/>
        </w:rPr>
        <w:t>părţi</w:t>
      </w:r>
      <w:proofErr w:type="spellEnd"/>
      <w:r w:rsidR="00F95829" w:rsidRPr="000508B6">
        <w:rPr>
          <w:rFonts w:ascii="Times New Roman" w:eastAsia="Times New Roman" w:hAnsi="Times New Roman" w:cs="Times New Roman"/>
          <w:lang w:val="ro-MD"/>
        </w:rPr>
        <w:t xml:space="preserve">, </w:t>
      </w:r>
      <w:r w:rsidR="004529EB" w:rsidRPr="000508B6">
        <w:rPr>
          <w:rFonts w:ascii="Times New Roman" w:eastAsia="Times New Roman" w:hAnsi="Times New Roman" w:cs="Times New Roman"/>
          <w:lang w:val="ro-MD"/>
        </w:rPr>
        <w:t xml:space="preserve">în cadrul unei </w:t>
      </w:r>
      <w:proofErr w:type="spellStart"/>
      <w:r w:rsidR="004529EB" w:rsidRPr="000508B6">
        <w:rPr>
          <w:rFonts w:ascii="Times New Roman" w:eastAsia="Times New Roman" w:hAnsi="Times New Roman" w:cs="Times New Roman"/>
          <w:lang w:val="ro-MD"/>
        </w:rPr>
        <w:t>tranzacţii</w:t>
      </w:r>
      <w:proofErr w:type="spellEnd"/>
      <w:r w:rsidR="004529EB" w:rsidRPr="000508B6">
        <w:rPr>
          <w:rFonts w:ascii="Times New Roman" w:eastAsia="Times New Roman" w:hAnsi="Times New Roman" w:cs="Times New Roman"/>
          <w:lang w:val="ro-MD"/>
        </w:rPr>
        <w:t xml:space="preserve"> obiective</w:t>
      </w:r>
      <w:r w:rsidR="0035661C" w:rsidRPr="000508B6">
        <w:rPr>
          <w:rFonts w:ascii="Times New Roman" w:eastAsia="Times New Roman" w:hAnsi="Times New Roman" w:cs="Times New Roman"/>
          <w:lang w:val="ro-MD"/>
        </w:rPr>
        <w:t xml:space="preserve">, fără a realiza o ajustare </w:t>
      </w:r>
      <w:r w:rsidR="00F95829" w:rsidRPr="000508B6">
        <w:rPr>
          <w:rFonts w:ascii="Times New Roman" w:eastAsia="Times New Roman" w:hAnsi="Times New Roman" w:cs="Times New Roman"/>
          <w:lang w:val="ro-MD"/>
        </w:rPr>
        <w:t xml:space="preserve">în </w:t>
      </w:r>
      <w:proofErr w:type="spellStart"/>
      <w:r w:rsidR="00F95829" w:rsidRPr="000508B6">
        <w:rPr>
          <w:rFonts w:ascii="Times New Roman" w:eastAsia="Times New Roman" w:hAnsi="Times New Roman" w:cs="Times New Roman"/>
          <w:lang w:val="ro-MD"/>
        </w:rPr>
        <w:t>funcţie</w:t>
      </w:r>
      <w:proofErr w:type="spellEnd"/>
      <w:r w:rsidR="00F95829" w:rsidRPr="000508B6">
        <w:rPr>
          <w:rFonts w:ascii="Times New Roman" w:eastAsia="Times New Roman" w:hAnsi="Times New Roman" w:cs="Times New Roman"/>
          <w:lang w:val="ro-MD"/>
        </w:rPr>
        <w:t xml:space="preserve"> de </w:t>
      </w:r>
      <w:r w:rsidR="0035661C" w:rsidRPr="000508B6">
        <w:rPr>
          <w:rFonts w:ascii="Times New Roman" w:eastAsia="Times New Roman" w:hAnsi="Times New Roman" w:cs="Times New Roman"/>
          <w:lang w:val="ro-MD"/>
        </w:rPr>
        <w:t>deteriorarea creditului pro</w:t>
      </w:r>
      <w:r w:rsidR="005F2369" w:rsidRPr="000508B6">
        <w:rPr>
          <w:rFonts w:ascii="Times New Roman" w:eastAsia="Times New Roman" w:hAnsi="Times New Roman" w:cs="Times New Roman"/>
          <w:lang w:val="ro-MD"/>
        </w:rPr>
        <w:t>p</w:t>
      </w:r>
      <w:r w:rsidR="0035661C" w:rsidRPr="000508B6">
        <w:rPr>
          <w:rFonts w:ascii="Times New Roman" w:eastAsia="Times New Roman" w:hAnsi="Times New Roman" w:cs="Times New Roman"/>
          <w:lang w:val="ro-MD"/>
        </w:rPr>
        <w:t>riu</w:t>
      </w:r>
      <w:r w:rsidR="00F95829" w:rsidRPr="000508B6">
        <w:rPr>
          <w:rFonts w:ascii="Times New Roman" w:eastAsia="Times New Roman" w:hAnsi="Times New Roman" w:cs="Times New Roman"/>
          <w:lang w:val="ro-MD"/>
        </w:rPr>
        <w:t xml:space="preserve">. </w:t>
      </w:r>
    </w:p>
    <w:p w14:paraId="5554906C" w14:textId="24262D5F" w:rsidR="00663D47" w:rsidRPr="000508B6" w:rsidRDefault="007725CB" w:rsidP="00DE4225">
      <w:pPr>
        <w:pStyle w:val="Listparagraf"/>
        <w:numPr>
          <w:ilvl w:val="1"/>
          <w:numId w:val="13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M</w:t>
      </w:r>
      <w:r w:rsidR="00663D47" w:rsidRPr="000508B6">
        <w:rPr>
          <w:rFonts w:ascii="Times New Roman" w:eastAsia="Times New Roman" w:hAnsi="Times New Roman" w:cs="Times New Roman"/>
          <w:lang w:val="ro-MD"/>
        </w:rPr>
        <w:t xml:space="preserve">etodele și ipotezele utilizate la evaluarea activelor și </w:t>
      </w:r>
      <w:r w:rsidR="00871BF2" w:rsidRPr="000508B6">
        <w:rPr>
          <w:rFonts w:ascii="Times New Roman" w:eastAsia="Times New Roman" w:hAnsi="Times New Roman" w:cs="Times New Roman"/>
          <w:lang w:val="ro-MD"/>
        </w:rPr>
        <w:t>obligațiilor</w:t>
      </w:r>
      <w:r w:rsidR="00663D47" w:rsidRPr="000508B6">
        <w:rPr>
          <w:rFonts w:ascii="Times New Roman" w:eastAsia="Times New Roman" w:hAnsi="Times New Roman" w:cs="Times New Roman"/>
          <w:lang w:val="ro-MD"/>
        </w:rPr>
        <w:t xml:space="preserve">, precum și dispozițiile referitoare la metodele de evaluare a activelor și </w:t>
      </w:r>
      <w:r w:rsidR="00871BF2" w:rsidRPr="000508B6">
        <w:rPr>
          <w:rFonts w:ascii="Times New Roman" w:eastAsia="Times New Roman" w:hAnsi="Times New Roman" w:cs="Times New Roman"/>
          <w:lang w:val="ro-MD"/>
        </w:rPr>
        <w:t xml:space="preserve">obligațiilor </w:t>
      </w:r>
      <w:r w:rsidR="00663D47" w:rsidRPr="000508B6">
        <w:rPr>
          <w:rFonts w:ascii="Times New Roman" w:eastAsia="Times New Roman" w:hAnsi="Times New Roman" w:cs="Times New Roman"/>
          <w:lang w:val="ro-MD"/>
        </w:rPr>
        <w:t>și cu compatibilitatea acestora cu standardele de contabilitate</w:t>
      </w:r>
      <w:r w:rsidRPr="000508B6">
        <w:rPr>
          <w:rFonts w:ascii="Times New Roman" w:eastAsia="Times New Roman" w:hAnsi="Times New Roman" w:cs="Times New Roman"/>
          <w:lang w:val="ro-MD"/>
        </w:rPr>
        <w:t xml:space="preserve"> sunt reglementate prin actele normative ale </w:t>
      </w:r>
      <w:r w:rsidR="0017529F" w:rsidRPr="000508B6">
        <w:rPr>
          <w:rFonts w:ascii="Times New Roman" w:eastAsia="Times New Roman" w:hAnsi="Times New Roman" w:cs="Times New Roman"/>
          <w:lang w:val="ro-MD"/>
        </w:rPr>
        <w:t>Băncii Naționale a Moldovei</w:t>
      </w:r>
      <w:r w:rsidR="00663D47" w:rsidRPr="000508B6">
        <w:rPr>
          <w:rFonts w:ascii="Times New Roman" w:eastAsia="Times New Roman" w:hAnsi="Times New Roman" w:cs="Times New Roman"/>
          <w:lang w:val="ro-MD"/>
        </w:rPr>
        <w:t>.</w:t>
      </w:r>
    </w:p>
    <w:p w14:paraId="73F4F69C" w14:textId="77777777" w:rsidR="00CB2292" w:rsidRPr="000508B6" w:rsidRDefault="00CB2292" w:rsidP="001365F0">
      <w:pPr>
        <w:spacing w:after="0" w:line="240" w:lineRule="auto"/>
        <w:ind w:firstLine="426"/>
        <w:rPr>
          <w:rFonts w:ascii="Times New Roman" w:eastAsia="Times New Roman" w:hAnsi="Times New Roman" w:cs="Times New Roman"/>
          <w:lang w:val="ro-MD"/>
        </w:rPr>
      </w:pPr>
    </w:p>
    <w:p w14:paraId="47541340" w14:textId="24B9627B" w:rsidR="00684EEB" w:rsidRPr="000508B6" w:rsidRDefault="00684EEB" w:rsidP="00684EEB">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Secțiunea </w:t>
      </w:r>
      <w:r w:rsidR="00B32AEA" w:rsidRPr="000508B6">
        <w:rPr>
          <w:rFonts w:ascii="Times New Roman" w:eastAsia="Times New Roman" w:hAnsi="Times New Roman" w:cs="Times New Roman"/>
          <w:b/>
          <w:lang w:val="ro-MD"/>
        </w:rPr>
        <w:t xml:space="preserve">a </w:t>
      </w:r>
      <w:r w:rsidRPr="000508B6">
        <w:rPr>
          <w:rFonts w:ascii="Times New Roman" w:eastAsia="Times New Roman" w:hAnsi="Times New Roman" w:cs="Times New Roman"/>
          <w:b/>
          <w:lang w:val="ro-MD"/>
        </w:rPr>
        <w:t>2</w:t>
      </w:r>
      <w:r w:rsidR="00B32AEA" w:rsidRPr="000508B6">
        <w:rPr>
          <w:rFonts w:ascii="Times New Roman" w:eastAsia="Times New Roman" w:hAnsi="Times New Roman" w:cs="Times New Roman"/>
          <w:b/>
          <w:lang w:val="ro-MD"/>
        </w:rPr>
        <w:t>-a</w:t>
      </w:r>
    </w:p>
    <w:p w14:paraId="2704664A" w14:textId="07017C4A" w:rsidR="00684EEB" w:rsidRPr="000508B6" w:rsidRDefault="00684EEB" w:rsidP="00684EEB">
      <w:pPr>
        <w:spacing w:after="0" w:line="240" w:lineRule="auto"/>
        <w:ind w:firstLine="426"/>
        <w:jc w:val="center"/>
        <w:rPr>
          <w:rFonts w:ascii="Times New Roman" w:eastAsia="Times New Roman" w:hAnsi="Times New Roman" w:cs="Times New Roman"/>
          <w:b/>
          <w:lang w:val="ro-MD"/>
        </w:rPr>
      </w:pPr>
      <w:bookmarkStart w:id="102" w:name="_Hlk181174096"/>
      <w:r w:rsidRPr="000508B6">
        <w:rPr>
          <w:rFonts w:ascii="Times New Roman" w:eastAsia="Times New Roman" w:hAnsi="Times New Roman" w:cs="Times New Roman"/>
          <w:b/>
          <w:lang w:val="ro-MD"/>
        </w:rPr>
        <w:t>Norme privind rezervele tehnice</w:t>
      </w:r>
    </w:p>
    <w:bookmarkEnd w:id="102"/>
    <w:p w14:paraId="7D947A08" w14:textId="382E951E"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42</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2C1970" w:rsidRPr="000508B6">
        <w:rPr>
          <w:rFonts w:ascii="Times New Roman" w:eastAsia="Times New Roman" w:hAnsi="Times New Roman" w:cs="Times New Roman"/>
          <w:lang w:val="ro-MD"/>
        </w:rPr>
        <w:t>Prevederi generale</w:t>
      </w:r>
      <w:r w:rsidR="006C26D6" w:rsidRPr="000508B6">
        <w:rPr>
          <w:rFonts w:ascii="Times New Roman" w:eastAsia="Times New Roman" w:hAnsi="Times New Roman" w:cs="Times New Roman"/>
          <w:lang w:val="ro-MD"/>
        </w:rPr>
        <w:t xml:space="preserve"> privind rezervele tehnice</w:t>
      </w:r>
    </w:p>
    <w:p w14:paraId="441A8735" w14:textId="35D8319D" w:rsidR="00F95829" w:rsidRPr="000508B6" w:rsidRDefault="00D068AA" w:rsidP="0055421D">
      <w:pPr>
        <w:pStyle w:val="Listparagraf"/>
        <w:numPr>
          <w:ilvl w:val="0"/>
          <w:numId w:val="14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CF3B98"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constituie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menţine</w:t>
      </w:r>
      <w:proofErr w:type="spellEnd"/>
      <w:r w:rsidR="00F95829" w:rsidRPr="000508B6">
        <w:rPr>
          <w:rFonts w:ascii="Times New Roman" w:eastAsia="Times New Roman" w:hAnsi="Times New Roman" w:cs="Times New Roman"/>
          <w:lang w:val="ro-MD"/>
        </w:rPr>
        <w:t xml:space="preserve">, potrivit </w:t>
      </w:r>
      <w:proofErr w:type="spellStart"/>
      <w:r w:rsidR="00F95829" w:rsidRPr="000508B6">
        <w:rPr>
          <w:rFonts w:ascii="Times New Roman" w:eastAsia="Times New Roman" w:hAnsi="Times New Roman" w:cs="Times New Roman"/>
          <w:lang w:val="ro-MD"/>
        </w:rPr>
        <w:t>activităţii</w:t>
      </w:r>
      <w:proofErr w:type="spellEnd"/>
      <w:r w:rsidR="00F95829" w:rsidRPr="000508B6">
        <w:rPr>
          <w:rFonts w:ascii="Times New Roman" w:eastAsia="Times New Roman" w:hAnsi="Times New Roman" w:cs="Times New Roman"/>
          <w:lang w:val="ro-MD"/>
        </w:rPr>
        <w:t xml:space="preserve"> pe care o </w:t>
      </w:r>
      <w:proofErr w:type="spellStart"/>
      <w:r w:rsidR="00F95829" w:rsidRPr="000508B6">
        <w:rPr>
          <w:rFonts w:ascii="Times New Roman" w:eastAsia="Times New Roman" w:hAnsi="Times New Roman" w:cs="Times New Roman"/>
          <w:lang w:val="ro-MD"/>
        </w:rPr>
        <w:t>desfăşoară</w:t>
      </w:r>
      <w:proofErr w:type="spellEnd"/>
      <w:r w:rsidR="00F95829" w:rsidRPr="000508B6">
        <w:rPr>
          <w:rFonts w:ascii="Times New Roman" w:eastAsia="Times New Roman" w:hAnsi="Times New Roman" w:cs="Times New Roman"/>
          <w:lang w:val="ro-MD"/>
        </w:rPr>
        <w:t xml:space="preserve">, suficiente rezerve tehnice necesare îndeplinirii tuturor </w:t>
      </w:r>
      <w:proofErr w:type="spellStart"/>
      <w:r w:rsidR="00F95829" w:rsidRPr="000508B6">
        <w:rPr>
          <w:rFonts w:ascii="Times New Roman" w:eastAsia="Times New Roman" w:hAnsi="Times New Roman" w:cs="Times New Roman"/>
          <w:lang w:val="ro-MD"/>
        </w:rPr>
        <w:t>obligaţiilor</w:t>
      </w:r>
      <w:proofErr w:type="spellEnd"/>
      <w:r w:rsidR="00F95829" w:rsidRPr="000508B6">
        <w:rPr>
          <w:rFonts w:ascii="Times New Roman" w:eastAsia="Times New Roman" w:hAnsi="Times New Roman" w:cs="Times New Roman"/>
          <w:lang w:val="ro-MD"/>
        </w:rPr>
        <w:t xml:space="preserve"> de asigurare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de reasigurare care </w:t>
      </w:r>
      <w:r w:rsidR="00185932" w:rsidRPr="000508B6">
        <w:rPr>
          <w:rFonts w:ascii="Times New Roman" w:eastAsia="Times New Roman" w:hAnsi="Times New Roman" w:cs="Times New Roman"/>
          <w:lang w:val="ro-MD"/>
        </w:rPr>
        <w:t xml:space="preserve">îi </w:t>
      </w:r>
      <w:r w:rsidR="00F95829" w:rsidRPr="000508B6">
        <w:rPr>
          <w:rFonts w:ascii="Times New Roman" w:eastAsia="Times New Roman" w:hAnsi="Times New Roman" w:cs="Times New Roman"/>
          <w:lang w:val="ro-MD"/>
        </w:rPr>
        <w:t xml:space="preserve">revin față de </w:t>
      </w:r>
      <w:r w:rsidR="0038532E" w:rsidRPr="000508B6">
        <w:rPr>
          <w:rFonts w:ascii="Times New Roman" w:eastAsia="Times New Roman" w:hAnsi="Times New Roman" w:cs="Times New Roman"/>
          <w:lang w:val="ro-MD"/>
        </w:rPr>
        <w:t xml:space="preserve">asigurați </w:t>
      </w:r>
      <w:r w:rsidR="00F95829" w:rsidRPr="000508B6">
        <w:rPr>
          <w:rFonts w:ascii="Times New Roman" w:eastAsia="Times New Roman" w:hAnsi="Times New Roman" w:cs="Times New Roman"/>
          <w:lang w:val="ro-MD"/>
        </w:rPr>
        <w:t xml:space="preserve">și </w:t>
      </w:r>
      <w:r w:rsidR="0038532E" w:rsidRPr="000508B6">
        <w:rPr>
          <w:rFonts w:ascii="Times New Roman" w:eastAsia="Times New Roman" w:hAnsi="Times New Roman" w:cs="Times New Roman"/>
          <w:lang w:val="ro-MD"/>
        </w:rPr>
        <w:t xml:space="preserve">față </w:t>
      </w:r>
      <w:r w:rsidR="00F95829" w:rsidRPr="000508B6">
        <w:rPr>
          <w:rFonts w:ascii="Times New Roman" w:eastAsia="Times New Roman" w:hAnsi="Times New Roman" w:cs="Times New Roman"/>
          <w:lang w:val="ro-MD"/>
        </w:rPr>
        <w:t xml:space="preserve">de beneficiarii </w:t>
      </w:r>
      <w:r w:rsidR="00F25BAD" w:rsidRPr="000508B6">
        <w:rPr>
          <w:rFonts w:ascii="Times New Roman" w:eastAsia="Times New Roman" w:hAnsi="Times New Roman" w:cs="Times New Roman"/>
          <w:lang w:val="ro-MD"/>
        </w:rPr>
        <w:t>asigurării</w:t>
      </w:r>
      <w:r w:rsidR="00F95829" w:rsidRPr="000508B6">
        <w:rPr>
          <w:rFonts w:ascii="Times New Roman" w:eastAsia="Times New Roman" w:hAnsi="Times New Roman" w:cs="Times New Roman"/>
          <w:lang w:val="ro-MD"/>
        </w:rPr>
        <w:t>.</w:t>
      </w:r>
    </w:p>
    <w:p w14:paraId="48C1D14C" w14:textId="1647898E" w:rsidR="00F95829" w:rsidRPr="000508B6" w:rsidRDefault="00F95829" w:rsidP="00DE4225">
      <w:pPr>
        <w:pStyle w:val="Listparagraf"/>
        <w:numPr>
          <w:ilvl w:val="0"/>
          <w:numId w:val="14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Valoarea rezervelor tehnice </w:t>
      </w:r>
      <w:r w:rsidR="000E40FF" w:rsidRPr="000508B6">
        <w:rPr>
          <w:rFonts w:ascii="Times New Roman" w:eastAsia="Times New Roman" w:hAnsi="Times New Roman" w:cs="Times New Roman"/>
          <w:lang w:val="ro-MD"/>
        </w:rPr>
        <w:t xml:space="preserve">constituită de </w:t>
      </w:r>
      <w:r w:rsidR="00923C45" w:rsidRPr="000508B6">
        <w:rPr>
          <w:rFonts w:ascii="Times New Roman" w:eastAsia="Times New Roman" w:hAnsi="Times New Roman" w:cs="Times New Roman"/>
          <w:lang w:val="ro-MD"/>
        </w:rPr>
        <w:t xml:space="preserve">către </w:t>
      </w:r>
      <w:r w:rsidR="000E40FF" w:rsidRPr="000508B6">
        <w:rPr>
          <w:rFonts w:ascii="Times New Roman" w:eastAsia="Times New Roman" w:hAnsi="Times New Roman" w:cs="Times New Roman"/>
          <w:lang w:val="ro-MD"/>
        </w:rPr>
        <w:t xml:space="preserve">asigurător sau </w:t>
      </w:r>
      <w:proofErr w:type="spellStart"/>
      <w:r w:rsidR="000E40FF" w:rsidRPr="000508B6">
        <w:rPr>
          <w:rFonts w:ascii="Times New Roman" w:eastAsia="Times New Roman" w:hAnsi="Times New Roman" w:cs="Times New Roman"/>
          <w:lang w:val="ro-MD"/>
        </w:rPr>
        <w:t>reasigurător</w:t>
      </w:r>
      <w:proofErr w:type="spellEnd"/>
      <w:r w:rsidR="000E40F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corespund</w:t>
      </w:r>
      <w:r w:rsidR="000E40FF"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cuantumului actual pe care </w:t>
      </w:r>
      <w:r w:rsidR="00EA6D04" w:rsidRPr="000508B6">
        <w:rPr>
          <w:rFonts w:ascii="Times New Roman" w:eastAsia="Times New Roman" w:hAnsi="Times New Roman" w:cs="Times New Roman"/>
          <w:lang w:val="ro-MD"/>
        </w:rPr>
        <w:t xml:space="preserve">acesta </w:t>
      </w:r>
      <w:r w:rsidRPr="000508B6">
        <w:rPr>
          <w:rFonts w:ascii="Times New Roman" w:eastAsia="Times New Roman" w:hAnsi="Times New Roman" w:cs="Times New Roman"/>
          <w:lang w:val="ro-MD"/>
        </w:rPr>
        <w:t xml:space="preserve">l-ar plăti pentru transferul imediat al </w:t>
      </w:r>
      <w:proofErr w:type="spellStart"/>
      <w:r w:rsidRPr="000508B6">
        <w:rPr>
          <w:rFonts w:ascii="Times New Roman" w:eastAsia="Times New Roman" w:hAnsi="Times New Roman" w:cs="Times New Roman"/>
          <w:lang w:val="ro-MD"/>
        </w:rPr>
        <w:t>obligaţiilor</w:t>
      </w:r>
      <w:proofErr w:type="spellEnd"/>
      <w:r w:rsidRPr="000508B6">
        <w:rPr>
          <w:rFonts w:ascii="Times New Roman" w:eastAsia="Times New Roman" w:hAnsi="Times New Roman" w:cs="Times New Roman"/>
          <w:lang w:val="ro-MD"/>
        </w:rPr>
        <w:t xml:space="preserve">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reasigurare către </w:t>
      </w:r>
      <w:r w:rsidR="000E40FF" w:rsidRPr="000508B6">
        <w:rPr>
          <w:rFonts w:ascii="Times New Roman" w:eastAsia="Times New Roman" w:hAnsi="Times New Roman" w:cs="Times New Roman"/>
          <w:lang w:val="ro-MD"/>
        </w:rPr>
        <w:t xml:space="preserve">un </w:t>
      </w:r>
      <w:r w:rsidRPr="000508B6">
        <w:rPr>
          <w:rFonts w:ascii="Times New Roman" w:eastAsia="Times New Roman" w:hAnsi="Times New Roman" w:cs="Times New Roman"/>
          <w:lang w:val="ro-MD"/>
        </w:rPr>
        <w:t xml:space="preserve">alt </w:t>
      </w:r>
      <w:r w:rsidR="00D068AA" w:rsidRPr="000508B6">
        <w:rPr>
          <w:rFonts w:ascii="Times New Roman" w:eastAsia="Times New Roman" w:hAnsi="Times New Roman" w:cs="Times New Roman"/>
          <w:lang w:val="ro-MD"/>
        </w:rPr>
        <w:t xml:space="preserve">asigurător sau </w:t>
      </w:r>
      <w:proofErr w:type="spellStart"/>
      <w:r w:rsidR="00D068AA"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w:t>
      </w:r>
    </w:p>
    <w:p w14:paraId="4E8730AB" w14:textId="66298E45" w:rsidR="00F95829" w:rsidRPr="000508B6" w:rsidRDefault="000E40FF" w:rsidP="00DE4225">
      <w:pPr>
        <w:pStyle w:val="Listparagraf"/>
        <w:numPr>
          <w:ilvl w:val="0"/>
          <w:numId w:val="14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w:t>
      </w:r>
      <w:r w:rsidR="00EA6D04" w:rsidRPr="000508B6">
        <w:rPr>
          <w:rFonts w:ascii="Times New Roman" w:eastAsia="Times New Roman" w:hAnsi="Times New Roman" w:cs="Times New Roman"/>
          <w:lang w:val="ro-MD"/>
        </w:rPr>
        <w:t>o</w:t>
      </w:r>
      <w:r w:rsidRPr="000508B6">
        <w:rPr>
          <w:rFonts w:ascii="Times New Roman" w:eastAsia="Times New Roman" w:hAnsi="Times New Roman" w:cs="Times New Roman"/>
          <w:lang w:val="ro-MD"/>
        </w:rPr>
        <w:t>rul</w:t>
      </w:r>
      <w:proofErr w:type="spellEnd"/>
      <w:r w:rsidRPr="000508B6">
        <w:rPr>
          <w:rFonts w:ascii="Times New Roman" w:eastAsia="Times New Roman" w:hAnsi="Times New Roman" w:cs="Times New Roman"/>
          <w:lang w:val="ro-MD"/>
        </w:rPr>
        <w:t xml:space="preserve"> calculează </w:t>
      </w:r>
      <w:r w:rsidR="00F95829" w:rsidRPr="000508B6">
        <w:rPr>
          <w:rFonts w:ascii="Times New Roman" w:eastAsia="Times New Roman" w:hAnsi="Times New Roman" w:cs="Times New Roman"/>
          <w:lang w:val="ro-MD"/>
        </w:rPr>
        <w:t>rezervel</w:t>
      </w:r>
      <w:r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tehnice în mod prudent, fiabil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obiectiv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r w:rsidR="00E836FF" w:rsidRPr="000508B6">
        <w:rPr>
          <w:rFonts w:ascii="Times New Roman" w:eastAsia="Times New Roman" w:hAnsi="Times New Roman" w:cs="Times New Roman"/>
          <w:lang w:val="ro-MD"/>
        </w:rPr>
        <w:t>utilizează în mod coerent</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furnizate pe </w:t>
      </w:r>
      <w:proofErr w:type="spellStart"/>
      <w:r w:rsidR="00F95829" w:rsidRPr="000508B6">
        <w:rPr>
          <w:rFonts w:ascii="Times New Roman" w:eastAsia="Times New Roman" w:hAnsi="Times New Roman" w:cs="Times New Roman"/>
          <w:lang w:val="ro-MD"/>
        </w:rPr>
        <w:t>pieţele</w:t>
      </w:r>
      <w:proofErr w:type="spellEnd"/>
      <w:r w:rsidR="00F95829" w:rsidRPr="000508B6">
        <w:rPr>
          <w:rFonts w:ascii="Times New Roman" w:eastAsia="Times New Roman" w:hAnsi="Times New Roman" w:cs="Times New Roman"/>
          <w:lang w:val="ro-MD"/>
        </w:rPr>
        <w:t xml:space="preserve"> financiare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datele general disponibile privind riscurile de subscriere.</w:t>
      </w:r>
    </w:p>
    <w:p w14:paraId="3362E4B7" w14:textId="63F26816" w:rsidR="00F95829" w:rsidRPr="000508B6" w:rsidRDefault="00CC460A" w:rsidP="00DE4225">
      <w:pPr>
        <w:pStyle w:val="Listparagraf"/>
        <w:numPr>
          <w:ilvl w:val="0"/>
          <w:numId w:val="14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calculează rezervele tehnice conform art. </w:t>
      </w:r>
      <w:r w:rsidR="005153CC" w:rsidRPr="000508B6">
        <w:rPr>
          <w:rFonts w:ascii="Times New Roman" w:eastAsia="Times New Roman" w:hAnsi="Times New Roman" w:cs="Times New Roman"/>
          <w:lang w:val="ro-MD"/>
        </w:rPr>
        <w:t>43</w:t>
      </w:r>
      <w:r w:rsidR="007A6C4A" w:rsidRPr="000508B6">
        <w:rPr>
          <w:rFonts w:ascii="Times New Roman" w:eastAsia="Times New Roman" w:hAnsi="Times New Roman" w:cs="Times New Roman"/>
          <w:lang w:val="ro-MD"/>
        </w:rPr>
        <w:t>-51</w:t>
      </w:r>
      <w:r w:rsidR="00F95829" w:rsidRPr="000508B6">
        <w:rPr>
          <w:rFonts w:ascii="Times New Roman" w:eastAsia="Times New Roman" w:hAnsi="Times New Roman" w:cs="Times New Roman"/>
          <w:lang w:val="ro-MD"/>
        </w:rPr>
        <w:t xml:space="preserve">, respectând </w:t>
      </w:r>
      <w:proofErr w:type="spellStart"/>
      <w:r w:rsidR="00F95829" w:rsidRPr="000508B6">
        <w:rPr>
          <w:rFonts w:ascii="Times New Roman" w:eastAsia="Times New Roman" w:hAnsi="Times New Roman" w:cs="Times New Roman"/>
          <w:lang w:val="ro-MD"/>
        </w:rPr>
        <w:t>condiţiile</w:t>
      </w:r>
      <w:proofErr w:type="spellEnd"/>
      <w:r w:rsidR="00F95829" w:rsidRPr="000508B6">
        <w:rPr>
          <w:rFonts w:ascii="Times New Roman" w:eastAsia="Times New Roman" w:hAnsi="Times New Roman" w:cs="Times New Roman"/>
          <w:lang w:val="ro-MD"/>
        </w:rPr>
        <w:t xml:space="preserve"> prevăzute la alin. (2)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(3) </w:t>
      </w:r>
      <w:r w:rsidR="00B52FAA" w:rsidRPr="000508B6">
        <w:rPr>
          <w:rFonts w:ascii="Times New Roman" w:eastAsia="Times New Roman" w:hAnsi="Times New Roman" w:cs="Times New Roman"/>
          <w:lang w:val="ro-MD"/>
        </w:rPr>
        <w:t xml:space="preserve">de la prezentul articol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art. </w:t>
      </w:r>
      <w:r w:rsidR="005153CC" w:rsidRPr="000508B6">
        <w:rPr>
          <w:rFonts w:ascii="Times New Roman" w:eastAsia="Times New Roman" w:hAnsi="Times New Roman" w:cs="Times New Roman"/>
          <w:lang w:val="ro-MD"/>
        </w:rPr>
        <w:t>41</w:t>
      </w:r>
      <w:r w:rsidR="00F95829" w:rsidRPr="000508B6">
        <w:rPr>
          <w:rFonts w:ascii="Times New Roman" w:eastAsia="Times New Roman" w:hAnsi="Times New Roman" w:cs="Times New Roman"/>
          <w:lang w:val="ro-MD"/>
        </w:rPr>
        <w:t>.</w:t>
      </w:r>
    </w:p>
    <w:p w14:paraId="73ED1D17" w14:textId="77777777"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b/>
          <w:lang w:val="ro-MD"/>
        </w:rPr>
      </w:pPr>
    </w:p>
    <w:p w14:paraId="6A81E8AC" w14:textId="6E1B8007"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43</w:t>
      </w:r>
      <w:r w:rsidR="00EB4BD5"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Calcularea rezervelor tehnice</w:t>
      </w:r>
    </w:p>
    <w:p w14:paraId="14C80F4A" w14:textId="659000DC" w:rsidR="00F95829" w:rsidRPr="000508B6" w:rsidRDefault="000E40FF" w:rsidP="00DE4225">
      <w:pPr>
        <w:pStyle w:val="Listparagraf"/>
        <w:numPr>
          <w:ilvl w:val="0"/>
          <w:numId w:val="141"/>
        </w:numPr>
        <w:tabs>
          <w:tab w:val="left" w:pos="709"/>
          <w:tab w:val="left" w:pos="993"/>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calculează v</w:t>
      </w:r>
      <w:r w:rsidR="00F95829" w:rsidRPr="000508B6">
        <w:rPr>
          <w:rFonts w:ascii="Times New Roman" w:eastAsia="Times New Roman" w:hAnsi="Times New Roman" w:cs="Times New Roman"/>
          <w:lang w:val="ro-MD"/>
        </w:rPr>
        <w:t xml:space="preserve">aloarea rezervelor tehnice </w:t>
      </w:r>
      <w:r w:rsidRPr="000508B6">
        <w:rPr>
          <w:rFonts w:ascii="Times New Roman" w:eastAsia="Times New Roman" w:hAnsi="Times New Roman" w:cs="Times New Roman"/>
          <w:lang w:val="ro-MD"/>
        </w:rPr>
        <w:t>ca</w:t>
      </w:r>
      <w:r w:rsidR="00F95829" w:rsidRPr="000508B6">
        <w:rPr>
          <w:rFonts w:ascii="Times New Roman" w:eastAsia="Times New Roman" w:hAnsi="Times New Roman" w:cs="Times New Roman"/>
          <w:lang w:val="ro-MD"/>
        </w:rPr>
        <w:t xml:space="preserve"> sum</w:t>
      </w:r>
      <w:r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dintre cea mai bună estimare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marja de risc, prevăzute la alin. (2) - (</w:t>
      </w:r>
      <w:r w:rsidR="00985FB5" w:rsidRPr="000508B6">
        <w:rPr>
          <w:rFonts w:ascii="Times New Roman" w:eastAsia="Times New Roman" w:hAnsi="Times New Roman" w:cs="Times New Roman"/>
          <w:lang w:val="ro-MD"/>
        </w:rPr>
        <w:t>5</w:t>
      </w:r>
      <w:r w:rsidR="00F95829" w:rsidRPr="000508B6">
        <w:rPr>
          <w:rFonts w:ascii="Times New Roman" w:eastAsia="Times New Roman" w:hAnsi="Times New Roman" w:cs="Times New Roman"/>
          <w:lang w:val="ro-MD"/>
        </w:rPr>
        <w:t>)</w:t>
      </w:r>
      <w:r w:rsidR="00985FB5" w:rsidRPr="000508B6">
        <w:rPr>
          <w:rFonts w:ascii="Times New Roman" w:eastAsia="Times New Roman" w:hAnsi="Times New Roman" w:cs="Times New Roman"/>
          <w:lang w:val="ro-MD"/>
        </w:rPr>
        <w:t xml:space="preserve"> și, respectiv,</w:t>
      </w:r>
      <w:r w:rsidR="005105EE" w:rsidRPr="000508B6">
        <w:rPr>
          <w:rFonts w:ascii="Times New Roman" w:eastAsia="Times New Roman" w:hAnsi="Times New Roman" w:cs="Times New Roman"/>
          <w:lang w:val="ro-MD"/>
        </w:rPr>
        <w:t xml:space="preserve"> alin.</w:t>
      </w:r>
      <w:r w:rsidR="00F95829" w:rsidRPr="000508B6">
        <w:rPr>
          <w:rFonts w:ascii="Times New Roman" w:eastAsia="Times New Roman" w:hAnsi="Times New Roman" w:cs="Times New Roman"/>
          <w:lang w:val="ro-MD"/>
        </w:rPr>
        <w:t xml:space="preserve"> (6). </w:t>
      </w:r>
    </w:p>
    <w:p w14:paraId="59FF4693" w14:textId="735F5BAE" w:rsidR="00F95829" w:rsidRPr="000508B6" w:rsidRDefault="00F95829" w:rsidP="00C42CC0">
      <w:pPr>
        <w:pStyle w:val="Listparagraf"/>
        <w:numPr>
          <w:ilvl w:val="0"/>
          <w:numId w:val="14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Cea mai bună estimare corespunde mediei ponderate cu </w:t>
      </w:r>
      <w:r w:rsidR="00CF3B98" w:rsidRPr="000508B6">
        <w:rPr>
          <w:rFonts w:ascii="Times New Roman" w:eastAsia="Times New Roman" w:hAnsi="Times New Roman" w:cs="Times New Roman"/>
          <w:lang w:val="ro-MD"/>
        </w:rPr>
        <w:t>probabilități</w:t>
      </w:r>
      <w:r w:rsidRPr="000508B6">
        <w:rPr>
          <w:rFonts w:ascii="Times New Roman" w:eastAsia="Times New Roman" w:hAnsi="Times New Roman" w:cs="Times New Roman"/>
          <w:lang w:val="ro-MD"/>
        </w:rPr>
        <w:t xml:space="preserve"> a fluxurilor de </w:t>
      </w:r>
      <w:r w:rsidR="00226FD6" w:rsidRPr="000508B6">
        <w:rPr>
          <w:rFonts w:ascii="Times New Roman" w:eastAsia="Times New Roman" w:hAnsi="Times New Roman" w:cs="Times New Roman"/>
          <w:lang w:val="ro-MD"/>
        </w:rPr>
        <w:t xml:space="preserve">trezorerie </w:t>
      </w:r>
      <w:r w:rsidRPr="000508B6">
        <w:rPr>
          <w:rFonts w:ascii="Times New Roman" w:eastAsia="Times New Roman" w:hAnsi="Times New Roman" w:cs="Times New Roman"/>
          <w:lang w:val="ro-MD"/>
        </w:rPr>
        <w:t xml:space="preserve">viitoare, luându-se în considerare valoarea în timp a banilor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utilizându</w:t>
      </w:r>
      <w:r w:rsidR="00672B37"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se structura temporală relevantă a ratei dobânzilor fără risc</w:t>
      </w:r>
      <w:r w:rsidR="00C7496E" w:rsidRPr="000508B6">
        <w:rPr>
          <w:rFonts w:ascii="Times New Roman" w:eastAsia="Times New Roman" w:hAnsi="Times New Roman" w:cs="Times New Roman"/>
          <w:lang w:val="ro-MD"/>
        </w:rPr>
        <w:t xml:space="preserve">. Valoarea </w:t>
      </w:r>
      <w:r w:rsidRPr="000508B6">
        <w:rPr>
          <w:rFonts w:ascii="Times New Roman" w:eastAsia="Times New Roman" w:hAnsi="Times New Roman" w:cs="Times New Roman"/>
          <w:lang w:val="ro-MD"/>
        </w:rPr>
        <w:t xml:space="preserve">în timp a banilor este </w:t>
      </w:r>
      <w:r w:rsidR="00CF3B98" w:rsidRPr="000508B6">
        <w:rPr>
          <w:rFonts w:ascii="Times New Roman" w:eastAsia="Times New Roman" w:hAnsi="Times New Roman" w:cs="Times New Roman"/>
          <w:lang w:val="ro-MD"/>
        </w:rPr>
        <w:t>înțeleasă</w:t>
      </w:r>
      <w:r w:rsidRPr="000508B6">
        <w:rPr>
          <w:rFonts w:ascii="Times New Roman" w:eastAsia="Times New Roman" w:hAnsi="Times New Roman" w:cs="Times New Roman"/>
          <w:lang w:val="ro-MD"/>
        </w:rPr>
        <w:t xml:space="preserve"> ca fiind valoarea actualizată estimată a fluxurilor de </w:t>
      </w:r>
      <w:r w:rsidR="00226FD6" w:rsidRPr="000508B6">
        <w:rPr>
          <w:rFonts w:ascii="Times New Roman" w:eastAsia="Times New Roman" w:hAnsi="Times New Roman" w:cs="Times New Roman"/>
          <w:lang w:val="ro-MD"/>
        </w:rPr>
        <w:t xml:space="preserve">trezorerie </w:t>
      </w:r>
      <w:r w:rsidRPr="000508B6">
        <w:rPr>
          <w:rFonts w:ascii="Times New Roman" w:eastAsia="Times New Roman" w:hAnsi="Times New Roman" w:cs="Times New Roman"/>
          <w:lang w:val="ro-MD"/>
        </w:rPr>
        <w:t xml:space="preserve">viitoare. </w:t>
      </w:r>
    </w:p>
    <w:p w14:paraId="31435430" w14:textId="26422D6D" w:rsidR="00F95829" w:rsidRPr="000508B6" w:rsidRDefault="00F95829" w:rsidP="00DE4225">
      <w:pPr>
        <w:pStyle w:val="Listparagraf"/>
        <w:numPr>
          <w:ilvl w:val="0"/>
          <w:numId w:val="14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Calcularea celei mai bune estimări se realizează prin metode actuariale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statistice relevante</w:t>
      </w:r>
      <w:r w:rsidR="00E836F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adecvate</w:t>
      </w:r>
      <w:r w:rsidR="00E836FF" w:rsidRPr="000508B6">
        <w:rPr>
          <w:rFonts w:ascii="Times New Roman" w:eastAsia="Times New Roman" w:hAnsi="Times New Roman" w:cs="Times New Roman"/>
          <w:lang w:val="ro-MD"/>
        </w:rPr>
        <w:t xml:space="preserve"> și aplicabile</w:t>
      </w:r>
      <w:r w:rsidRPr="000508B6">
        <w:rPr>
          <w:rFonts w:ascii="Times New Roman" w:eastAsia="Times New Roman" w:hAnsi="Times New Roman" w:cs="Times New Roman"/>
          <w:lang w:val="ro-MD"/>
        </w:rPr>
        <w:t xml:space="preserve">, pe baza unor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credibile</w:t>
      </w:r>
      <w:r w:rsidR="00E836FF" w:rsidRPr="000508B6">
        <w:rPr>
          <w:rFonts w:ascii="Times New Roman" w:eastAsia="Times New Roman" w:hAnsi="Times New Roman" w:cs="Times New Roman"/>
          <w:lang w:val="ro-MD"/>
        </w:rPr>
        <w:t>,</w:t>
      </w:r>
      <w:r w:rsidR="00C7496E"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actuali</w:t>
      </w:r>
      <w:r w:rsidR="00E836FF" w:rsidRPr="000508B6">
        <w:rPr>
          <w:rFonts w:ascii="Times New Roman" w:eastAsia="Times New Roman" w:hAnsi="Times New Roman" w:cs="Times New Roman"/>
          <w:lang w:val="ro-MD"/>
        </w:rPr>
        <w:t>za</w:t>
      </w:r>
      <w:r w:rsidRPr="000508B6">
        <w:rPr>
          <w:rFonts w:ascii="Times New Roman" w:eastAsia="Times New Roman" w:hAnsi="Times New Roman" w:cs="Times New Roman"/>
          <w:lang w:val="ro-MD"/>
        </w:rPr>
        <w:t xml:space="preserve">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pe baza unor ipoteze realiste. </w:t>
      </w:r>
    </w:p>
    <w:p w14:paraId="7F0186A8" w14:textId="53D57913" w:rsidR="00F95829" w:rsidRPr="000508B6" w:rsidRDefault="00CF3B98" w:rsidP="0055421D">
      <w:pPr>
        <w:pStyle w:val="Listparagraf"/>
        <w:numPr>
          <w:ilvl w:val="0"/>
          <w:numId w:val="14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Proiecția</w:t>
      </w:r>
      <w:r w:rsidR="00F95829" w:rsidRPr="000508B6">
        <w:rPr>
          <w:rFonts w:ascii="Times New Roman" w:eastAsia="Times New Roman" w:hAnsi="Times New Roman" w:cs="Times New Roman"/>
          <w:lang w:val="ro-MD"/>
        </w:rPr>
        <w:t xml:space="preserve"> fluxurilor de </w:t>
      </w:r>
      <w:r w:rsidR="00E836FF" w:rsidRPr="000508B6">
        <w:rPr>
          <w:rFonts w:ascii="Times New Roman" w:eastAsia="Times New Roman" w:hAnsi="Times New Roman" w:cs="Times New Roman"/>
          <w:lang w:val="ro-MD"/>
        </w:rPr>
        <w:t>trezorerie</w:t>
      </w:r>
      <w:r w:rsidR="000C45AF"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utilizată la calcularea celei mai bune estimări </w:t>
      </w:r>
      <w:proofErr w:type="spellStart"/>
      <w:r w:rsidR="00F95829" w:rsidRPr="000508B6">
        <w:rPr>
          <w:rFonts w:ascii="Times New Roman" w:eastAsia="Times New Roman" w:hAnsi="Times New Roman" w:cs="Times New Roman"/>
          <w:lang w:val="ro-MD"/>
        </w:rPr>
        <w:t>ţine</w:t>
      </w:r>
      <w:proofErr w:type="spellEnd"/>
      <w:r w:rsidR="00F95829" w:rsidRPr="000508B6">
        <w:rPr>
          <w:rFonts w:ascii="Times New Roman" w:eastAsia="Times New Roman" w:hAnsi="Times New Roman" w:cs="Times New Roman"/>
          <w:lang w:val="ro-MD"/>
        </w:rPr>
        <w:t xml:space="preserve"> cont de toate </w:t>
      </w:r>
      <w:r w:rsidR="00226FD6" w:rsidRPr="000508B6">
        <w:rPr>
          <w:rFonts w:ascii="Times New Roman" w:eastAsia="Times New Roman" w:hAnsi="Times New Roman" w:cs="Times New Roman"/>
          <w:lang w:val="ro-MD"/>
        </w:rPr>
        <w:t>intrările și ie</w:t>
      </w:r>
      <w:r w:rsidR="00A93957" w:rsidRPr="000508B6">
        <w:rPr>
          <w:rFonts w:ascii="Times New Roman" w:eastAsia="Times New Roman" w:hAnsi="Times New Roman" w:cs="Times New Roman"/>
          <w:lang w:val="ro-MD"/>
        </w:rPr>
        <w:t>ș</w:t>
      </w:r>
      <w:r w:rsidR="00226FD6" w:rsidRPr="000508B6">
        <w:rPr>
          <w:rFonts w:ascii="Times New Roman" w:eastAsia="Times New Roman" w:hAnsi="Times New Roman" w:cs="Times New Roman"/>
          <w:lang w:val="ro-MD"/>
        </w:rPr>
        <w:t xml:space="preserve">irile de </w:t>
      </w:r>
      <w:r w:rsidR="000C45AF" w:rsidRPr="000508B6">
        <w:rPr>
          <w:rFonts w:ascii="Times New Roman" w:eastAsia="Times New Roman" w:hAnsi="Times New Roman" w:cs="Times New Roman"/>
          <w:lang w:val="ro-MD"/>
        </w:rPr>
        <w:t>numerar</w:t>
      </w:r>
      <w:r w:rsidR="00F95829" w:rsidRPr="000508B6">
        <w:rPr>
          <w:rFonts w:ascii="Times New Roman" w:eastAsia="Times New Roman" w:hAnsi="Times New Roman" w:cs="Times New Roman"/>
          <w:lang w:val="ro-MD"/>
        </w:rPr>
        <w:t xml:space="preserve"> necesare acoperirii </w:t>
      </w:r>
      <w:proofErr w:type="spellStart"/>
      <w:r w:rsidR="00F95829" w:rsidRPr="000508B6">
        <w:rPr>
          <w:rFonts w:ascii="Times New Roman" w:eastAsia="Times New Roman" w:hAnsi="Times New Roman" w:cs="Times New Roman"/>
          <w:lang w:val="ro-MD"/>
        </w:rPr>
        <w:t>obligaţiilor</w:t>
      </w:r>
      <w:proofErr w:type="spellEnd"/>
      <w:r w:rsidR="00F95829" w:rsidRPr="000508B6">
        <w:rPr>
          <w:rFonts w:ascii="Times New Roman" w:eastAsia="Times New Roman" w:hAnsi="Times New Roman" w:cs="Times New Roman"/>
          <w:lang w:val="ro-MD"/>
        </w:rPr>
        <w:t xml:space="preserve"> </w:t>
      </w:r>
      <w:r w:rsidR="00226FD6" w:rsidRPr="000508B6">
        <w:rPr>
          <w:rFonts w:ascii="Times New Roman" w:eastAsia="Times New Roman" w:hAnsi="Times New Roman" w:cs="Times New Roman"/>
          <w:lang w:val="ro-MD"/>
        </w:rPr>
        <w:t xml:space="preserve">de asigurare sau de reasigurare </w:t>
      </w:r>
      <w:r w:rsidR="00F95829" w:rsidRPr="000508B6">
        <w:rPr>
          <w:rFonts w:ascii="Times New Roman" w:eastAsia="Times New Roman" w:hAnsi="Times New Roman" w:cs="Times New Roman"/>
          <w:lang w:val="ro-MD"/>
        </w:rPr>
        <w:t xml:space="preserve">pe toată durata de </w:t>
      </w:r>
      <w:proofErr w:type="spellStart"/>
      <w:r w:rsidR="00F95829" w:rsidRPr="000508B6">
        <w:rPr>
          <w:rFonts w:ascii="Times New Roman" w:eastAsia="Times New Roman" w:hAnsi="Times New Roman" w:cs="Times New Roman"/>
          <w:lang w:val="ro-MD"/>
        </w:rPr>
        <w:t>viaţă</w:t>
      </w:r>
      <w:proofErr w:type="spellEnd"/>
      <w:r w:rsidR="00F95829" w:rsidRPr="000508B6">
        <w:rPr>
          <w:rFonts w:ascii="Times New Roman" w:eastAsia="Times New Roman" w:hAnsi="Times New Roman" w:cs="Times New Roman"/>
          <w:lang w:val="ro-MD"/>
        </w:rPr>
        <w:t xml:space="preserve"> a acestora. </w:t>
      </w:r>
    </w:p>
    <w:p w14:paraId="7897D756" w14:textId="3F92BCDF" w:rsidR="00F95829" w:rsidRPr="000508B6" w:rsidRDefault="00F95829" w:rsidP="0055421D">
      <w:pPr>
        <w:pStyle w:val="Listparagraf"/>
        <w:numPr>
          <w:ilvl w:val="0"/>
          <w:numId w:val="14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Cea mai bună estimare se calculează la valoare brută, fără deducerea </w:t>
      </w:r>
      <w:r w:rsidR="000C45AF" w:rsidRPr="000508B6">
        <w:rPr>
          <w:rFonts w:ascii="Times New Roman" w:eastAsia="Times New Roman" w:hAnsi="Times New Roman" w:cs="Times New Roman"/>
          <w:lang w:val="ro-MD"/>
        </w:rPr>
        <w:t xml:space="preserve">sumelor recuperabile din contractele </w:t>
      </w:r>
      <w:r w:rsidRPr="000508B6">
        <w:rPr>
          <w:rFonts w:ascii="Times New Roman" w:eastAsia="Times New Roman" w:hAnsi="Times New Roman" w:cs="Times New Roman"/>
          <w:lang w:val="ro-MD"/>
        </w:rPr>
        <w:t xml:space="preserve">din reasigurare sau de la vehicule </w:t>
      </w:r>
      <w:proofErr w:type="spellStart"/>
      <w:r w:rsidRPr="000508B6">
        <w:rPr>
          <w:rFonts w:ascii="Times New Roman" w:eastAsia="Times New Roman" w:hAnsi="Times New Roman" w:cs="Times New Roman"/>
          <w:lang w:val="ro-MD"/>
        </w:rPr>
        <w:t>investiţionale</w:t>
      </w:r>
      <w:proofErr w:type="spellEnd"/>
      <w:r w:rsidRPr="000508B6">
        <w:rPr>
          <w:rFonts w:ascii="Times New Roman" w:eastAsia="Times New Roman" w:hAnsi="Times New Roman" w:cs="Times New Roman"/>
          <w:lang w:val="ro-MD"/>
        </w:rPr>
        <w:t xml:space="preserve"> care se calculează separat, conform prevederilor art. </w:t>
      </w:r>
      <w:r w:rsidR="005153CC" w:rsidRPr="000508B6">
        <w:rPr>
          <w:rFonts w:ascii="Times New Roman" w:eastAsia="Times New Roman" w:hAnsi="Times New Roman" w:cs="Times New Roman"/>
          <w:lang w:val="ro-MD"/>
        </w:rPr>
        <w:t>50</w:t>
      </w:r>
      <w:r w:rsidRPr="000508B6">
        <w:rPr>
          <w:rFonts w:ascii="Times New Roman" w:eastAsia="Times New Roman" w:hAnsi="Times New Roman" w:cs="Times New Roman"/>
          <w:lang w:val="ro-MD"/>
        </w:rPr>
        <w:t xml:space="preserve">. </w:t>
      </w:r>
    </w:p>
    <w:p w14:paraId="742CE544" w14:textId="5C242C38" w:rsidR="00F95829" w:rsidRPr="000508B6" w:rsidRDefault="00F95829" w:rsidP="00DE4225">
      <w:pPr>
        <w:pStyle w:val="Listparagraf"/>
        <w:numPr>
          <w:ilvl w:val="0"/>
          <w:numId w:val="14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Marja de risc se calculează astfel încât să garanteze </w:t>
      </w:r>
      <w:r w:rsidR="00512670" w:rsidRPr="000508B6">
        <w:rPr>
          <w:rFonts w:ascii="Times New Roman" w:eastAsia="Times New Roman" w:hAnsi="Times New Roman" w:cs="Times New Roman"/>
          <w:lang w:val="ro-MD"/>
        </w:rPr>
        <w:t xml:space="preserve">că </w:t>
      </w:r>
      <w:r w:rsidRPr="000508B6">
        <w:rPr>
          <w:rFonts w:ascii="Times New Roman" w:eastAsia="Times New Roman" w:hAnsi="Times New Roman" w:cs="Times New Roman"/>
          <w:lang w:val="ro-MD"/>
        </w:rPr>
        <w:t>valoare</w:t>
      </w:r>
      <w:r w:rsidR="00512670"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 rezervelor tehnice</w:t>
      </w:r>
      <w:r w:rsidR="00512670" w:rsidRPr="000508B6">
        <w:rPr>
          <w:rFonts w:ascii="Times New Roman" w:eastAsia="Times New Roman" w:hAnsi="Times New Roman" w:cs="Times New Roman"/>
          <w:lang w:val="ro-MD"/>
        </w:rPr>
        <w:t xml:space="preserve"> este echivalentă cu suma de 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ar avea nevoie pentru a </w:t>
      </w:r>
      <w:r w:rsidR="00512670" w:rsidRPr="000508B6">
        <w:rPr>
          <w:rFonts w:ascii="Times New Roman" w:eastAsia="Times New Roman" w:hAnsi="Times New Roman" w:cs="Times New Roman"/>
          <w:lang w:val="ro-MD"/>
        </w:rPr>
        <w:t xml:space="preserve">prelua și onora </w:t>
      </w:r>
      <w:proofErr w:type="spellStart"/>
      <w:r w:rsidRPr="000508B6">
        <w:rPr>
          <w:rFonts w:ascii="Times New Roman" w:eastAsia="Times New Roman" w:hAnsi="Times New Roman" w:cs="Times New Roman"/>
          <w:lang w:val="ro-MD"/>
        </w:rPr>
        <w:t>obligaţiile</w:t>
      </w:r>
      <w:proofErr w:type="spellEnd"/>
      <w:r w:rsidR="002349F6" w:rsidRPr="000508B6">
        <w:rPr>
          <w:rFonts w:ascii="Times New Roman" w:eastAsia="Times New Roman" w:hAnsi="Times New Roman" w:cs="Times New Roman"/>
          <w:lang w:val="ro-MD"/>
        </w:rPr>
        <w:t xml:space="preserve"> </w:t>
      </w:r>
      <w:r w:rsidR="00512670" w:rsidRPr="000508B6">
        <w:rPr>
          <w:rFonts w:ascii="Times New Roman" w:eastAsia="Times New Roman" w:hAnsi="Times New Roman" w:cs="Times New Roman"/>
          <w:lang w:val="ro-MD"/>
        </w:rPr>
        <w:t>de asigurare sau de reasigurare</w:t>
      </w:r>
      <w:r w:rsidR="00B43327" w:rsidRPr="000508B6">
        <w:rPr>
          <w:rFonts w:ascii="Times New Roman" w:eastAsia="Times New Roman" w:hAnsi="Times New Roman" w:cs="Times New Roman"/>
          <w:lang w:val="ro-MD"/>
        </w:rPr>
        <w:t>.</w:t>
      </w:r>
    </w:p>
    <w:p w14:paraId="7964589C" w14:textId="72C14B90" w:rsidR="00F95829" w:rsidRPr="000508B6" w:rsidRDefault="00F95829" w:rsidP="0055421D">
      <w:pPr>
        <w:pStyle w:val="Listparagraf"/>
        <w:numPr>
          <w:ilvl w:val="0"/>
          <w:numId w:val="141"/>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Cea mai bună estimare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marja de risc se calculează separat, cu </w:t>
      </w:r>
      <w:proofErr w:type="spellStart"/>
      <w:r w:rsidRPr="000508B6">
        <w:rPr>
          <w:rFonts w:ascii="Times New Roman" w:eastAsia="Times New Roman" w:hAnsi="Times New Roman" w:cs="Times New Roman"/>
          <w:lang w:val="ro-MD"/>
        </w:rPr>
        <w:t>excepţia</w:t>
      </w:r>
      <w:proofErr w:type="spellEnd"/>
      <w:r w:rsidRPr="000508B6">
        <w:rPr>
          <w:rFonts w:ascii="Times New Roman" w:eastAsia="Times New Roman" w:hAnsi="Times New Roman" w:cs="Times New Roman"/>
          <w:lang w:val="ro-MD"/>
        </w:rPr>
        <w:t xml:space="preserve"> cazului în care fluxurile de </w:t>
      </w:r>
      <w:r w:rsidR="00226FD6" w:rsidRPr="000508B6">
        <w:rPr>
          <w:rFonts w:ascii="Times New Roman" w:eastAsia="Times New Roman" w:hAnsi="Times New Roman" w:cs="Times New Roman"/>
          <w:lang w:val="ro-MD"/>
        </w:rPr>
        <w:t xml:space="preserve">trezorerie </w:t>
      </w:r>
      <w:r w:rsidRPr="000508B6">
        <w:rPr>
          <w:rFonts w:ascii="Times New Roman" w:eastAsia="Times New Roman" w:hAnsi="Times New Roman" w:cs="Times New Roman"/>
          <w:lang w:val="ro-MD"/>
        </w:rPr>
        <w:t xml:space="preserve">asociate </w:t>
      </w:r>
      <w:proofErr w:type="spellStart"/>
      <w:r w:rsidRPr="000508B6">
        <w:rPr>
          <w:rFonts w:ascii="Times New Roman" w:eastAsia="Times New Roman" w:hAnsi="Times New Roman" w:cs="Times New Roman"/>
          <w:lang w:val="ro-MD"/>
        </w:rPr>
        <w:t>obligaţiilor</w:t>
      </w:r>
      <w:proofErr w:type="spellEnd"/>
      <w:r w:rsidRPr="000508B6">
        <w:rPr>
          <w:rFonts w:ascii="Times New Roman" w:eastAsia="Times New Roman" w:hAnsi="Times New Roman" w:cs="Times New Roman"/>
          <w:lang w:val="ro-MD"/>
        </w:rPr>
        <w:t xml:space="preserve"> </w:t>
      </w:r>
      <w:r w:rsidR="00226FD6" w:rsidRPr="000508B6">
        <w:rPr>
          <w:rFonts w:ascii="Times New Roman" w:eastAsia="Times New Roman" w:hAnsi="Times New Roman" w:cs="Times New Roman"/>
          <w:lang w:val="ro-MD"/>
        </w:rPr>
        <w:t>de asigurare sau de reasigurare</w:t>
      </w:r>
      <w:r w:rsidRPr="000508B6">
        <w:rPr>
          <w:rFonts w:ascii="Times New Roman" w:eastAsia="Times New Roman" w:hAnsi="Times New Roman" w:cs="Times New Roman"/>
          <w:lang w:val="ro-MD"/>
        </w:rPr>
        <w:t xml:space="preserve"> pot fi replicate </w:t>
      </w:r>
      <w:r w:rsidR="00CD6277" w:rsidRPr="000508B6">
        <w:rPr>
          <w:rFonts w:ascii="Times New Roman" w:eastAsia="Times New Roman" w:hAnsi="Times New Roman" w:cs="Times New Roman"/>
          <w:lang w:val="ro-MD"/>
        </w:rPr>
        <w:t xml:space="preserve">în mod </w:t>
      </w:r>
      <w:r w:rsidR="00EE3221" w:rsidRPr="000508B6">
        <w:rPr>
          <w:rFonts w:ascii="Times New Roman" w:eastAsia="Times New Roman" w:hAnsi="Times New Roman" w:cs="Times New Roman"/>
          <w:lang w:val="ro-MD"/>
        </w:rPr>
        <w:t xml:space="preserve">fiabil </w:t>
      </w:r>
      <w:r w:rsidRPr="000508B6">
        <w:rPr>
          <w:rFonts w:ascii="Times New Roman" w:eastAsia="Times New Roman" w:hAnsi="Times New Roman" w:cs="Times New Roman"/>
          <w:lang w:val="ro-MD"/>
        </w:rPr>
        <w:t xml:space="preserve">prin utilizarea unor instrumente financiare cu valoare de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 xml:space="preserve"> observabilă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fiabilă, astfel încât valoarea rezervelor tehnice să se calculeze pe baza valorii de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 xml:space="preserve"> a instrumentelor respective. </w:t>
      </w:r>
    </w:p>
    <w:p w14:paraId="05C086BB" w14:textId="5B60E58F" w:rsidR="00BE0A86" w:rsidRPr="000508B6" w:rsidRDefault="00CF1A99" w:rsidP="00DE4225">
      <w:pPr>
        <w:pStyle w:val="Listparagraf"/>
        <w:numPr>
          <w:ilvl w:val="0"/>
          <w:numId w:val="141"/>
        </w:numPr>
        <w:tabs>
          <w:tab w:val="left" w:pos="567"/>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57416C" w:rsidRPr="000508B6">
        <w:rPr>
          <w:rFonts w:ascii="Times New Roman" w:eastAsia="Times New Roman" w:hAnsi="Times New Roman" w:cs="Times New Roman"/>
          <w:lang w:val="ro-MD"/>
        </w:rPr>
        <w:t xml:space="preserve">În cazul în care </w:t>
      </w:r>
      <w:r w:rsidR="004529EB" w:rsidRPr="000508B6">
        <w:rPr>
          <w:rFonts w:ascii="Times New Roman" w:eastAsia="Times New Roman" w:hAnsi="Times New Roman" w:cs="Times New Roman"/>
          <w:lang w:val="ro-MD"/>
        </w:rPr>
        <w:t>calculează</w:t>
      </w:r>
      <w:r w:rsidR="00A41B98" w:rsidRPr="000508B6">
        <w:rPr>
          <w:rFonts w:ascii="Times New Roman" w:eastAsia="Times New Roman" w:hAnsi="Times New Roman" w:cs="Times New Roman"/>
          <w:lang w:val="ro-MD"/>
        </w:rPr>
        <w:t xml:space="preserve"> separat ce</w:t>
      </w:r>
      <w:r w:rsidR="004529EB" w:rsidRPr="000508B6">
        <w:rPr>
          <w:rFonts w:ascii="Times New Roman" w:eastAsia="Times New Roman" w:hAnsi="Times New Roman" w:cs="Times New Roman"/>
          <w:lang w:val="ro-MD"/>
        </w:rPr>
        <w:t>a</w:t>
      </w:r>
      <w:r w:rsidR="00A41B98" w:rsidRPr="000508B6">
        <w:rPr>
          <w:rFonts w:ascii="Times New Roman" w:eastAsia="Times New Roman" w:hAnsi="Times New Roman" w:cs="Times New Roman"/>
          <w:lang w:val="ro-MD"/>
        </w:rPr>
        <w:t xml:space="preserve"> mai </w:t>
      </w:r>
      <w:r w:rsidR="004529EB" w:rsidRPr="000508B6">
        <w:rPr>
          <w:rFonts w:ascii="Times New Roman" w:eastAsia="Times New Roman" w:hAnsi="Times New Roman" w:cs="Times New Roman"/>
          <w:lang w:val="ro-MD"/>
        </w:rPr>
        <w:t xml:space="preserve">bună </w:t>
      </w:r>
      <w:r w:rsidR="00A41B98" w:rsidRPr="000508B6">
        <w:rPr>
          <w:rFonts w:ascii="Times New Roman" w:eastAsia="Times New Roman" w:hAnsi="Times New Roman" w:cs="Times New Roman"/>
          <w:lang w:val="ro-MD"/>
        </w:rPr>
        <w:t>estim</w:t>
      </w:r>
      <w:r w:rsidR="004529EB" w:rsidRPr="000508B6">
        <w:rPr>
          <w:rFonts w:ascii="Times New Roman" w:eastAsia="Times New Roman" w:hAnsi="Times New Roman" w:cs="Times New Roman"/>
          <w:lang w:val="ro-MD"/>
        </w:rPr>
        <w:t>are</w:t>
      </w:r>
      <w:r w:rsidR="00A41B98" w:rsidRPr="000508B6">
        <w:rPr>
          <w:rFonts w:ascii="Times New Roman" w:eastAsia="Times New Roman" w:hAnsi="Times New Roman" w:cs="Times New Roman"/>
          <w:lang w:val="ro-MD"/>
        </w:rPr>
        <w:t xml:space="preserve"> și </w:t>
      </w:r>
      <w:r w:rsidR="004529EB" w:rsidRPr="000508B6">
        <w:rPr>
          <w:rFonts w:ascii="Times New Roman" w:eastAsia="Times New Roman" w:hAnsi="Times New Roman" w:cs="Times New Roman"/>
          <w:lang w:val="ro-MD"/>
        </w:rPr>
        <w:t>marj</w:t>
      </w:r>
      <w:r w:rsidR="0036423C" w:rsidRPr="000508B6">
        <w:rPr>
          <w:rFonts w:ascii="Times New Roman" w:eastAsia="Times New Roman" w:hAnsi="Times New Roman" w:cs="Times New Roman"/>
          <w:lang w:val="ro-MD"/>
        </w:rPr>
        <w:t>a</w:t>
      </w:r>
      <w:r w:rsidR="004529EB" w:rsidRPr="000508B6">
        <w:rPr>
          <w:rFonts w:ascii="Times New Roman" w:eastAsia="Times New Roman" w:hAnsi="Times New Roman" w:cs="Times New Roman"/>
          <w:lang w:val="ro-MD"/>
        </w:rPr>
        <w:t xml:space="preserve"> </w:t>
      </w:r>
      <w:r w:rsidR="0057416C" w:rsidRPr="000508B6">
        <w:rPr>
          <w:rFonts w:ascii="Times New Roman" w:eastAsia="Times New Roman" w:hAnsi="Times New Roman" w:cs="Times New Roman"/>
          <w:lang w:val="ro-MD"/>
        </w:rPr>
        <w:t xml:space="preserve">de risc,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CF3B98" w:rsidRPr="000508B6">
        <w:rPr>
          <w:rFonts w:ascii="Times New Roman" w:eastAsia="Times New Roman" w:hAnsi="Times New Roman" w:cs="Times New Roman"/>
          <w:lang w:val="ro-MD"/>
        </w:rPr>
        <w:t xml:space="preserve"> </w:t>
      </w:r>
      <w:r w:rsidR="00023EE5" w:rsidRPr="000508B6">
        <w:rPr>
          <w:rFonts w:ascii="Times New Roman" w:eastAsia="Times New Roman" w:hAnsi="Times New Roman" w:cs="Times New Roman"/>
          <w:lang w:val="ro-MD"/>
        </w:rPr>
        <w:t xml:space="preserve">utilizează costul mobilizării unei valori a fondurilor proprii eligibile egală cu SCR ajustată în timp, valoare necesară </w:t>
      </w:r>
      <w:r w:rsidRPr="000508B6">
        <w:rPr>
          <w:rFonts w:ascii="Times New Roman" w:eastAsia="Times New Roman" w:hAnsi="Times New Roman" w:cs="Times New Roman"/>
          <w:lang w:val="ro-MD"/>
        </w:rPr>
        <w:t xml:space="preserve">pentru a </w:t>
      </w:r>
      <w:r w:rsidR="0057416C" w:rsidRPr="000508B6">
        <w:rPr>
          <w:rFonts w:ascii="Times New Roman" w:eastAsia="Times New Roman" w:hAnsi="Times New Roman" w:cs="Times New Roman"/>
          <w:lang w:val="ro-MD"/>
        </w:rPr>
        <w:t>acoperi obligații</w:t>
      </w:r>
      <w:r w:rsidR="00106469" w:rsidRPr="000508B6">
        <w:rPr>
          <w:rFonts w:ascii="Times New Roman" w:eastAsia="Times New Roman" w:hAnsi="Times New Roman" w:cs="Times New Roman"/>
          <w:lang w:val="ro-MD"/>
        </w:rPr>
        <w:t>le</w:t>
      </w:r>
      <w:r w:rsidR="0057416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de asigurare și de reasigurare pe toată durata lor de viață. Ajustarea SCR</w:t>
      </w:r>
      <w:r w:rsidR="00BE0A86" w:rsidRPr="000508B6">
        <w:rPr>
          <w:rFonts w:ascii="Times New Roman" w:eastAsia="Times New Roman" w:hAnsi="Times New Roman" w:cs="Times New Roman"/>
          <w:lang w:val="ro-MD"/>
        </w:rPr>
        <w:t xml:space="preserve"> constă </w:t>
      </w:r>
      <w:r w:rsidRPr="000508B6">
        <w:rPr>
          <w:rFonts w:ascii="Times New Roman" w:eastAsia="Times New Roman" w:hAnsi="Times New Roman" w:cs="Times New Roman"/>
          <w:lang w:val="ro-MD"/>
        </w:rPr>
        <w:t>într</w:t>
      </w:r>
      <w:r w:rsidR="00BE0A86" w:rsidRPr="000508B6">
        <w:rPr>
          <w:rFonts w:ascii="Times New Roman" w:eastAsia="Times New Roman" w:hAnsi="Times New Roman" w:cs="Times New Roman"/>
          <w:lang w:val="ro-MD"/>
        </w:rPr>
        <w:t xml:space="preserve">-un element exponențial și </w:t>
      </w:r>
      <w:r w:rsidRPr="000508B6">
        <w:rPr>
          <w:rFonts w:ascii="Times New Roman" w:eastAsia="Times New Roman" w:hAnsi="Times New Roman" w:cs="Times New Roman"/>
          <w:lang w:val="ro-MD"/>
        </w:rPr>
        <w:t>variabil în funcție</w:t>
      </w:r>
      <w:r w:rsidR="00BE0A86" w:rsidRPr="000508B6">
        <w:rPr>
          <w:rFonts w:ascii="Times New Roman" w:eastAsia="Times New Roman" w:hAnsi="Times New Roman" w:cs="Times New Roman"/>
          <w:lang w:val="ro-MD"/>
        </w:rPr>
        <w:t xml:space="preserve"> de timp. </w:t>
      </w:r>
    </w:p>
    <w:p w14:paraId="6BED4988" w14:textId="2F538561" w:rsidR="00F95829" w:rsidRPr="000508B6" w:rsidRDefault="00CC460A" w:rsidP="00DE4225">
      <w:pPr>
        <w:pStyle w:val="Listparagraf"/>
        <w:numPr>
          <w:ilvl w:val="0"/>
          <w:numId w:val="141"/>
        </w:numPr>
        <w:tabs>
          <w:tab w:val="left" w:pos="709"/>
          <w:tab w:val="left" w:pos="851"/>
          <w:tab w:val="left" w:pos="993"/>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w:t>
      </w:r>
      <w:r w:rsidR="00023EE5" w:rsidRPr="000508B6">
        <w:rPr>
          <w:rFonts w:ascii="Times New Roman" w:eastAsia="Times New Roman" w:hAnsi="Times New Roman" w:cs="Times New Roman"/>
          <w:lang w:val="ro-MD"/>
        </w:rPr>
        <w:t xml:space="preserve">determină costul mobilizării prevăzut la alin. (8) utilizând o rată a costului capitalului egală cu o rată suplimentară față de rata </w:t>
      </w:r>
      <w:r w:rsidR="002D4E2C" w:rsidRPr="000508B6">
        <w:rPr>
          <w:rFonts w:ascii="Times New Roman" w:eastAsia="Times New Roman" w:hAnsi="Times New Roman" w:cs="Times New Roman"/>
          <w:lang w:val="ro-MD"/>
        </w:rPr>
        <w:t>dobânzi</w:t>
      </w:r>
      <w:r w:rsidR="00023EE5" w:rsidRPr="000508B6">
        <w:rPr>
          <w:rFonts w:ascii="Times New Roman" w:eastAsia="Times New Roman" w:hAnsi="Times New Roman" w:cs="Times New Roman"/>
          <w:lang w:val="ro-MD"/>
        </w:rPr>
        <w:t>lor</w:t>
      </w:r>
      <w:r w:rsidR="002D4E2C" w:rsidRPr="000508B6">
        <w:rPr>
          <w:rFonts w:ascii="Times New Roman" w:eastAsia="Times New Roman" w:hAnsi="Times New Roman" w:cs="Times New Roman"/>
          <w:lang w:val="ro-MD"/>
        </w:rPr>
        <w:t xml:space="preserve"> fără risc, </w:t>
      </w:r>
      <w:r w:rsidR="00023EE5" w:rsidRPr="000508B6">
        <w:rPr>
          <w:rFonts w:ascii="Times New Roman" w:eastAsia="Times New Roman" w:hAnsi="Times New Roman" w:cs="Times New Roman"/>
          <w:lang w:val="ro-MD"/>
        </w:rPr>
        <w:t xml:space="preserve">necesară pentru a menține fonduri proprii eligibile care să acopere SCR </w:t>
      </w:r>
      <w:r w:rsidR="002D4E2C" w:rsidRPr="000508B6">
        <w:rPr>
          <w:rFonts w:ascii="Times New Roman" w:eastAsia="Times New Roman" w:hAnsi="Times New Roman" w:cs="Times New Roman"/>
          <w:lang w:val="ro-MD"/>
        </w:rPr>
        <w:t xml:space="preserve">pentru </w:t>
      </w:r>
      <w:r w:rsidR="00023EE5" w:rsidRPr="000508B6">
        <w:rPr>
          <w:rFonts w:ascii="Times New Roman" w:eastAsia="Times New Roman" w:hAnsi="Times New Roman" w:cs="Times New Roman"/>
          <w:lang w:val="ro-MD"/>
        </w:rPr>
        <w:t>toate</w:t>
      </w:r>
      <w:r w:rsidR="002D4E2C" w:rsidRPr="000508B6">
        <w:rPr>
          <w:rFonts w:ascii="Times New Roman" w:eastAsia="Times New Roman" w:hAnsi="Times New Roman" w:cs="Times New Roman"/>
          <w:lang w:val="ro-MD"/>
        </w:rPr>
        <w:t xml:space="preserve"> obligațiil</w:t>
      </w:r>
      <w:r w:rsidR="00023EE5" w:rsidRPr="000508B6">
        <w:rPr>
          <w:rFonts w:ascii="Times New Roman" w:eastAsia="Times New Roman" w:hAnsi="Times New Roman" w:cs="Times New Roman"/>
          <w:lang w:val="ro-MD"/>
        </w:rPr>
        <w:t>e</w:t>
      </w:r>
      <w:r w:rsidR="002D4E2C" w:rsidRPr="000508B6">
        <w:rPr>
          <w:rFonts w:ascii="Times New Roman" w:eastAsia="Times New Roman" w:hAnsi="Times New Roman" w:cs="Times New Roman"/>
          <w:lang w:val="ro-MD"/>
        </w:rPr>
        <w:t xml:space="preserve"> de asigurare și de reasigurare pe toată durata lor de viață</w:t>
      </w:r>
      <w:r w:rsidR="00F95829" w:rsidRPr="000508B6">
        <w:rPr>
          <w:rFonts w:ascii="Times New Roman" w:eastAsia="Times New Roman" w:hAnsi="Times New Roman" w:cs="Times New Roman"/>
          <w:lang w:val="ro-MD"/>
        </w:rPr>
        <w:t xml:space="preserve">. </w:t>
      </w:r>
    </w:p>
    <w:p w14:paraId="3A0A800D" w14:textId="755848BB" w:rsidR="00EF79AA" w:rsidRPr="000508B6" w:rsidRDefault="00EF79AA" w:rsidP="00DE4225">
      <w:pPr>
        <w:pStyle w:val="Listparagraf"/>
        <w:numPr>
          <w:ilvl w:val="0"/>
          <w:numId w:val="141"/>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023EE5" w:rsidRPr="000508B6">
        <w:rPr>
          <w:rFonts w:ascii="Times New Roman" w:eastAsia="Times New Roman" w:hAnsi="Times New Roman" w:cs="Times New Roman"/>
          <w:lang w:val="ro-MD"/>
        </w:rPr>
        <w:t xml:space="preserve"> consideră r</w:t>
      </w:r>
      <w:r w:rsidRPr="000508B6">
        <w:rPr>
          <w:rFonts w:ascii="Times New Roman" w:eastAsia="Times New Roman" w:hAnsi="Times New Roman" w:cs="Times New Roman"/>
          <w:lang w:val="ro-MD"/>
        </w:rPr>
        <w:t xml:space="preserve">ata costului capitalului menționată la alin. (9) </w:t>
      </w:r>
      <w:r w:rsidR="00023EE5" w:rsidRPr="000508B6">
        <w:rPr>
          <w:rFonts w:ascii="Times New Roman" w:eastAsia="Times New Roman" w:hAnsi="Times New Roman" w:cs="Times New Roman"/>
          <w:lang w:val="ro-MD"/>
        </w:rPr>
        <w:t xml:space="preserve">ca fiind </w:t>
      </w:r>
      <w:r w:rsidRPr="000508B6">
        <w:rPr>
          <w:rFonts w:ascii="Times New Roman" w:eastAsia="Times New Roman" w:hAnsi="Times New Roman" w:cs="Times New Roman"/>
          <w:lang w:val="ro-MD"/>
        </w:rPr>
        <w:t>egală cu 4,75 %</w:t>
      </w:r>
      <w:r w:rsidR="00330EF0" w:rsidRPr="000508B6">
        <w:rPr>
          <w:rFonts w:ascii="Times New Roman" w:eastAsia="Times New Roman" w:hAnsi="Times New Roman" w:cs="Times New Roman"/>
          <w:lang w:val="ro-MD"/>
        </w:rPr>
        <w:t xml:space="preserve">. Banca Națională a Moldovei  </w:t>
      </w:r>
      <w:r w:rsidR="00127643" w:rsidRPr="000508B6">
        <w:rPr>
          <w:rFonts w:ascii="Times New Roman" w:eastAsia="Times New Roman" w:hAnsi="Times New Roman" w:cs="Times New Roman"/>
          <w:lang w:val="ro-MD"/>
        </w:rPr>
        <w:t xml:space="preserve">poate actualiza </w:t>
      </w:r>
      <w:r w:rsidR="00330EF0" w:rsidRPr="000508B6">
        <w:rPr>
          <w:rFonts w:ascii="Times New Roman" w:eastAsia="Times New Roman" w:hAnsi="Times New Roman" w:cs="Times New Roman"/>
          <w:lang w:val="ro-MD"/>
        </w:rPr>
        <w:t xml:space="preserve">valoarea </w:t>
      </w:r>
      <w:r w:rsidR="006E5239" w:rsidRPr="000508B6">
        <w:rPr>
          <w:rFonts w:ascii="Times New Roman" w:eastAsia="Times New Roman" w:hAnsi="Times New Roman" w:cs="Times New Roman"/>
          <w:lang w:val="ro-MD"/>
        </w:rPr>
        <w:t>acesteia prin actele normative</w:t>
      </w:r>
      <w:r w:rsidR="00330EF0" w:rsidRPr="000508B6">
        <w:rPr>
          <w:rFonts w:ascii="Times New Roman" w:eastAsia="Times New Roman" w:hAnsi="Times New Roman" w:cs="Times New Roman"/>
          <w:lang w:val="ro-MD"/>
        </w:rPr>
        <w:t>.</w:t>
      </w:r>
    </w:p>
    <w:p w14:paraId="2FBB2E0B" w14:textId="29BF099D" w:rsidR="00B85842" w:rsidRPr="000508B6" w:rsidRDefault="00B85842" w:rsidP="00DE4225">
      <w:pPr>
        <w:pStyle w:val="Listparagraf"/>
        <w:numPr>
          <w:ilvl w:val="0"/>
          <w:numId w:val="141"/>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În cazul în care contractele de asigurare și de reasigurare includ opțiuni și garanții financiare, metodele utilizate pentru calcularea celei mai bune estimări reflectă în mod corespunzător faptul că valoarea actualizată a fluxurilor de trezorerie generate de contractele respective poate depinde atât de rezultatul estimat al evenimentelor și evoluțiilor viitoare, cât și de abaterile potențiale ale rezultatului real de la rezultatul estimat în anumite scenarii.</w:t>
      </w:r>
    </w:p>
    <w:p w14:paraId="6DADB87F" w14:textId="20E0879B" w:rsidR="00B85842" w:rsidRPr="000508B6" w:rsidRDefault="00B85842" w:rsidP="00DE4225">
      <w:pPr>
        <w:pStyle w:val="Listparagraf"/>
        <w:numPr>
          <w:ilvl w:val="0"/>
          <w:numId w:val="141"/>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 derogare de la alin. (</w:t>
      </w:r>
      <w:r w:rsidR="00EF79AA" w:rsidRPr="000508B6">
        <w:rPr>
          <w:rFonts w:ascii="Times New Roman" w:eastAsia="Times New Roman" w:hAnsi="Times New Roman" w:cs="Times New Roman"/>
          <w:lang w:val="ro-MD"/>
        </w:rPr>
        <w:t>11</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mic și</w:t>
      </w:r>
      <w:r w:rsidR="00771A2D" w:rsidRPr="000508B6">
        <w:rPr>
          <w:rFonts w:ascii="Times New Roman" w:eastAsia="Times New Roman" w:hAnsi="Times New Roman" w:cs="Times New Roman"/>
          <w:lang w:val="ro-MD"/>
        </w:rPr>
        <w:t xml:space="preserve"> c</w:t>
      </w:r>
      <w:r w:rsidRPr="000508B6">
        <w:rPr>
          <w:rFonts w:ascii="Times New Roman" w:eastAsia="Times New Roman" w:hAnsi="Times New Roman" w:cs="Times New Roman"/>
          <w:lang w:val="ro-MD"/>
        </w:rPr>
        <w:t xml:space="preserve">u un grad redus de complexitate și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care a obținut aprobarea din partea Băncii Naționale a Moldovei </w:t>
      </w:r>
      <w:r w:rsidR="00254811" w:rsidRPr="000508B6">
        <w:rPr>
          <w:rFonts w:ascii="Times New Roman" w:eastAsia="Times New Roman" w:hAnsi="Times New Roman" w:cs="Times New Roman"/>
          <w:lang w:val="ro-MD"/>
        </w:rPr>
        <w:t xml:space="preserve">potrivit art.173, </w:t>
      </w:r>
      <w:r w:rsidRPr="000508B6">
        <w:rPr>
          <w:rFonts w:ascii="Times New Roman" w:eastAsia="Times New Roman" w:hAnsi="Times New Roman" w:cs="Times New Roman"/>
          <w:lang w:val="ro-MD"/>
        </w:rPr>
        <w:t>po</w:t>
      </w:r>
      <w:r w:rsidR="00C22B81"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t</w:t>
      </w:r>
      <w:r w:rsidR="00C22B81"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utiliza o evaluare deterministă prudentă a celei mai bune estimări pentru obligațiile de asigurare de viață cu opțiuni și garanții care nu sunt considerate semnificative. </w:t>
      </w:r>
    </w:p>
    <w:p w14:paraId="1F48B272" w14:textId="63EF3A3B" w:rsidR="00DD5103" w:rsidRPr="000508B6" w:rsidRDefault="00464926" w:rsidP="00DD5103">
      <w:pPr>
        <w:pStyle w:val="Listparagraf"/>
        <w:numPr>
          <w:ilvl w:val="0"/>
          <w:numId w:val="141"/>
        </w:numPr>
        <w:tabs>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C</w:t>
      </w:r>
      <w:r w:rsidR="00DD5103" w:rsidRPr="000508B6">
        <w:rPr>
          <w:rFonts w:ascii="Times New Roman" w:eastAsia="Times New Roman" w:hAnsi="Times New Roman" w:cs="Times New Roman"/>
          <w:bCs/>
          <w:lang w:val="ro-MD"/>
        </w:rPr>
        <w:t>alitatea datelor, metodologiile de calcul al rezervelor tehnice, structura temporală relevantă a ratei dobânzilor fără risc</w:t>
      </w:r>
      <w:r w:rsidR="009A4FE2" w:rsidRPr="000508B6">
        <w:rPr>
          <w:rFonts w:ascii="Times New Roman" w:eastAsia="Times New Roman" w:hAnsi="Times New Roman" w:cs="Times New Roman"/>
          <w:bCs/>
          <w:lang w:val="ro-MD"/>
        </w:rPr>
        <w:t>,</w:t>
      </w:r>
      <w:r w:rsidR="00DD5103" w:rsidRPr="000508B6">
        <w:rPr>
          <w:rFonts w:ascii="Times New Roman" w:eastAsia="Times New Roman" w:hAnsi="Times New Roman" w:cs="Times New Roman"/>
          <w:bCs/>
          <w:lang w:val="ro-MD"/>
        </w:rPr>
        <w:t xml:space="preserve"> proporționalitatea și simplificările se stabilesc prin actele normative ale Băncii Naționale a Moldovei.</w:t>
      </w:r>
    </w:p>
    <w:p w14:paraId="09CD0C3E" w14:textId="77777777" w:rsidR="00A15794" w:rsidRPr="000508B6" w:rsidRDefault="00A15794" w:rsidP="00903872">
      <w:pPr>
        <w:tabs>
          <w:tab w:val="left" w:pos="709"/>
        </w:tabs>
        <w:spacing w:after="0" w:line="240" w:lineRule="auto"/>
        <w:jc w:val="both"/>
        <w:rPr>
          <w:rFonts w:ascii="Times New Roman" w:eastAsia="Times New Roman" w:hAnsi="Times New Roman" w:cs="Times New Roman"/>
          <w:b/>
          <w:lang w:val="ro-MD"/>
        </w:rPr>
      </w:pPr>
    </w:p>
    <w:p w14:paraId="66B79647" w14:textId="1BAE0DEC" w:rsidR="00AF7C84" w:rsidRPr="000508B6" w:rsidRDefault="00F95829" w:rsidP="001B05CF">
      <w:pPr>
        <w:tabs>
          <w:tab w:val="left" w:pos="709"/>
        </w:tabs>
        <w:spacing w:after="0" w:line="240" w:lineRule="auto"/>
        <w:ind w:firstLine="426"/>
        <w:jc w:val="both"/>
        <w:rPr>
          <w:rFonts w:ascii="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44</w:t>
      </w:r>
      <w:r w:rsidRPr="000508B6">
        <w:rPr>
          <w:rFonts w:ascii="Times New Roman" w:eastAsia="Times New Roman" w:hAnsi="Times New Roman" w:cs="Times New Roman"/>
          <w:b/>
          <w:lang w:val="ro-MD"/>
        </w:rPr>
        <w:t>.</w:t>
      </w:r>
      <w:r w:rsidR="00AF7C84" w:rsidRPr="000508B6">
        <w:rPr>
          <w:rFonts w:ascii="Times New Roman" w:hAnsi="Times New Roman" w:cs="Times New Roman"/>
          <w:lang w:val="ro-MD"/>
        </w:rPr>
        <w:t xml:space="preserve"> </w:t>
      </w:r>
      <w:bookmarkStart w:id="103" w:name="_Hlk189042362"/>
      <w:r w:rsidR="00AF7C84" w:rsidRPr="000508B6">
        <w:rPr>
          <w:rFonts w:ascii="Times New Roman" w:hAnsi="Times New Roman" w:cs="Times New Roman"/>
          <w:lang w:val="ro-MD"/>
        </w:rPr>
        <w:t>Extrapolarea structurii relevante a ratei dobânzii fără risc</w:t>
      </w:r>
      <w:r w:rsidR="00585457" w:rsidRPr="000508B6">
        <w:rPr>
          <w:rFonts w:ascii="Times New Roman" w:hAnsi="Times New Roman" w:cs="Times New Roman"/>
          <w:lang w:val="ro-MD"/>
        </w:rPr>
        <w:t xml:space="preserve"> </w:t>
      </w:r>
      <w:bookmarkEnd w:id="103"/>
    </w:p>
    <w:p w14:paraId="1E32A7C7" w14:textId="17BB32F8" w:rsidR="00083D63" w:rsidRPr="000508B6" w:rsidRDefault="00083D63" w:rsidP="00C42CC0">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La determinarea s</w:t>
      </w:r>
      <w:r w:rsidR="00BB4E08" w:rsidRPr="000508B6">
        <w:rPr>
          <w:rFonts w:ascii="Times New Roman" w:hAnsi="Times New Roman" w:cs="Times New Roman"/>
          <w:lang w:val="ro-MD"/>
        </w:rPr>
        <w:t>tructur</w:t>
      </w:r>
      <w:r w:rsidRPr="000508B6">
        <w:rPr>
          <w:rFonts w:ascii="Times New Roman" w:hAnsi="Times New Roman" w:cs="Times New Roman"/>
          <w:lang w:val="ro-MD"/>
        </w:rPr>
        <w:t>ii</w:t>
      </w:r>
      <w:r w:rsidR="00BB4E08" w:rsidRPr="000508B6">
        <w:rPr>
          <w:rFonts w:ascii="Times New Roman" w:hAnsi="Times New Roman" w:cs="Times New Roman"/>
          <w:lang w:val="ro-MD"/>
        </w:rPr>
        <w:t xml:space="preserve"> temporal</w:t>
      </w:r>
      <w:r w:rsidRPr="000508B6">
        <w:rPr>
          <w:rFonts w:ascii="Times New Roman" w:hAnsi="Times New Roman" w:cs="Times New Roman"/>
          <w:lang w:val="ro-MD"/>
        </w:rPr>
        <w:t>e</w:t>
      </w:r>
      <w:r w:rsidR="00BB4E08" w:rsidRPr="000508B6">
        <w:rPr>
          <w:rFonts w:ascii="Times New Roman" w:hAnsi="Times New Roman" w:cs="Times New Roman"/>
          <w:lang w:val="ro-MD"/>
        </w:rPr>
        <w:t xml:space="preserve"> relevant</w:t>
      </w:r>
      <w:r w:rsidRPr="000508B6">
        <w:rPr>
          <w:rFonts w:ascii="Times New Roman" w:hAnsi="Times New Roman" w:cs="Times New Roman"/>
          <w:lang w:val="ro-MD"/>
        </w:rPr>
        <w:t>e</w:t>
      </w:r>
      <w:r w:rsidR="00BB4E08" w:rsidRPr="000508B6">
        <w:rPr>
          <w:rFonts w:ascii="Times New Roman" w:hAnsi="Times New Roman" w:cs="Times New Roman"/>
          <w:lang w:val="ro-MD"/>
        </w:rPr>
        <w:t xml:space="preserve"> a ratei dobânzilor fără risc </w:t>
      </w:r>
      <w:r w:rsidR="00740BBD" w:rsidRPr="000508B6">
        <w:rPr>
          <w:rFonts w:ascii="Times New Roman" w:hAnsi="Times New Roman" w:cs="Times New Roman"/>
          <w:lang w:val="ro-MD"/>
        </w:rPr>
        <w:t>prevăzută la art. 43 alin.</w:t>
      </w:r>
      <w:r w:rsidR="00C42CC0" w:rsidRPr="000508B6">
        <w:rPr>
          <w:rFonts w:ascii="Times New Roman" w:hAnsi="Times New Roman" w:cs="Times New Roman"/>
          <w:lang w:val="ro-MD"/>
        </w:rPr>
        <w:t xml:space="preserve"> </w:t>
      </w:r>
      <w:r w:rsidR="00740BBD" w:rsidRPr="000508B6">
        <w:rPr>
          <w:rFonts w:ascii="Times New Roman" w:hAnsi="Times New Roman" w:cs="Times New Roman"/>
          <w:lang w:val="ro-MD"/>
        </w:rPr>
        <w:t>(2)</w:t>
      </w:r>
      <w:r w:rsidR="004F5485" w:rsidRPr="000508B6">
        <w:rPr>
          <w:rFonts w:ascii="Times New Roman" w:hAnsi="Times New Roman" w:cs="Times New Roman"/>
          <w:lang w:val="ro-MD"/>
        </w:rPr>
        <w:t>-(5</w:t>
      </w:r>
      <w:r w:rsidR="00740BBD" w:rsidRPr="000508B6">
        <w:rPr>
          <w:rFonts w:ascii="Times New Roman" w:hAnsi="Times New Roman" w:cs="Times New Roman"/>
          <w:lang w:val="ro-MD"/>
        </w:rPr>
        <w:t xml:space="preserve">) </w:t>
      </w:r>
      <w:r w:rsidRPr="000508B6">
        <w:rPr>
          <w:rFonts w:ascii="Times New Roman" w:hAnsi="Times New Roman" w:cs="Times New Roman"/>
          <w:lang w:val="ro-MD"/>
        </w:rPr>
        <w:t xml:space="preserve">se utilizează informații </w:t>
      </w:r>
      <w:r w:rsidR="00BB4E08" w:rsidRPr="000508B6">
        <w:rPr>
          <w:rFonts w:ascii="Times New Roman" w:hAnsi="Times New Roman" w:cs="Times New Roman"/>
          <w:lang w:val="ro-MD"/>
        </w:rPr>
        <w:t>derivat</w:t>
      </w:r>
      <w:r w:rsidRPr="000508B6">
        <w:rPr>
          <w:rFonts w:ascii="Times New Roman" w:hAnsi="Times New Roman" w:cs="Times New Roman"/>
          <w:lang w:val="ro-MD"/>
        </w:rPr>
        <w:t>e</w:t>
      </w:r>
      <w:r w:rsidR="00BB4E08" w:rsidRPr="000508B6">
        <w:rPr>
          <w:rFonts w:ascii="Times New Roman" w:hAnsi="Times New Roman" w:cs="Times New Roman"/>
          <w:lang w:val="ro-MD"/>
        </w:rPr>
        <w:t xml:space="preserve"> din instrumente financiare ale căror </w:t>
      </w:r>
      <w:proofErr w:type="spellStart"/>
      <w:r w:rsidR="00BB4E08" w:rsidRPr="000508B6">
        <w:rPr>
          <w:rFonts w:ascii="Times New Roman" w:hAnsi="Times New Roman" w:cs="Times New Roman"/>
          <w:lang w:val="ro-MD"/>
        </w:rPr>
        <w:t>scadenţe</w:t>
      </w:r>
      <w:proofErr w:type="spellEnd"/>
      <w:r w:rsidR="00BB4E08" w:rsidRPr="000508B6">
        <w:rPr>
          <w:rFonts w:ascii="Times New Roman" w:hAnsi="Times New Roman" w:cs="Times New Roman"/>
          <w:lang w:val="ro-MD"/>
        </w:rPr>
        <w:t xml:space="preserve"> se materializează pe o </w:t>
      </w:r>
      <w:proofErr w:type="spellStart"/>
      <w:r w:rsidR="00BB4E08" w:rsidRPr="000508B6">
        <w:rPr>
          <w:rFonts w:ascii="Times New Roman" w:hAnsi="Times New Roman" w:cs="Times New Roman"/>
          <w:lang w:val="ro-MD"/>
        </w:rPr>
        <w:t>piaţă</w:t>
      </w:r>
      <w:proofErr w:type="spellEnd"/>
      <w:r w:rsidR="00BB4E08" w:rsidRPr="000508B6">
        <w:rPr>
          <w:rFonts w:ascii="Times New Roman" w:hAnsi="Times New Roman" w:cs="Times New Roman"/>
          <w:lang w:val="ro-MD"/>
        </w:rPr>
        <w:t xml:space="preserve"> diversificată, lichidă </w:t>
      </w:r>
      <w:proofErr w:type="spellStart"/>
      <w:r w:rsidR="00BB4E08" w:rsidRPr="000508B6">
        <w:rPr>
          <w:rFonts w:ascii="Times New Roman" w:hAnsi="Times New Roman" w:cs="Times New Roman"/>
          <w:lang w:val="ro-MD"/>
        </w:rPr>
        <w:t>şi</w:t>
      </w:r>
      <w:proofErr w:type="spellEnd"/>
      <w:r w:rsidR="00BB4E08" w:rsidRPr="000508B6">
        <w:rPr>
          <w:rFonts w:ascii="Times New Roman" w:hAnsi="Times New Roman" w:cs="Times New Roman"/>
          <w:lang w:val="ro-MD"/>
        </w:rPr>
        <w:t xml:space="preserve"> transparentă.</w:t>
      </w:r>
    </w:p>
    <w:p w14:paraId="29699DFA" w14:textId="77777777" w:rsidR="000063E1" w:rsidRPr="000508B6" w:rsidRDefault="00BB4E0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 În cazul scadențelor care depășesc primul punct de netezire, rata relevantă a dobânzilor fără risc se extrapolează în conformitate cu alin. (3). </w:t>
      </w:r>
    </w:p>
    <w:p w14:paraId="5BD2B95F" w14:textId="0D3E4855" w:rsidR="00BB4E08" w:rsidRPr="000508B6" w:rsidRDefault="00BB4E0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Primul punct de netezire pentru o monedă este cea mai îndepărtată scadență pentru care sunt îndeplinite condițiile următoare:</w:t>
      </w:r>
    </w:p>
    <w:p w14:paraId="2C13F6B7" w14:textId="799F194A" w:rsidR="00BB4E08" w:rsidRPr="000508B6" w:rsidRDefault="00BB4E08" w:rsidP="00DE4225">
      <w:pPr>
        <w:pStyle w:val="Listparagraf"/>
        <w:numPr>
          <w:ilvl w:val="3"/>
          <w:numId w:val="302"/>
        </w:numPr>
        <w:tabs>
          <w:tab w:val="left" w:pos="284"/>
          <w:tab w:val="left" w:pos="426"/>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piețele instrumentelor financiare cu scadența respectivă sunt diversificate, lichide și transparente;</w:t>
      </w:r>
    </w:p>
    <w:p w14:paraId="14EC8EBE" w14:textId="10A4F980" w:rsidR="00BB4E08" w:rsidRPr="000508B6" w:rsidRDefault="00BB4E08" w:rsidP="00DE4225">
      <w:pPr>
        <w:pStyle w:val="Listparagraf"/>
        <w:numPr>
          <w:ilvl w:val="3"/>
          <w:numId w:val="302"/>
        </w:numPr>
        <w:tabs>
          <w:tab w:val="left" w:pos="284"/>
          <w:tab w:val="left" w:pos="426"/>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ponderea obligațiunilor rămase de rambursat cu scadența respectivă sau o scadență mai îndepărtată din totalul obligațiunilor rămase de rambursat exprimate în moneda respectivă este suficient de ridicată. </w:t>
      </w:r>
    </w:p>
    <w:p w14:paraId="6782C638" w14:textId="592CDC97" w:rsidR="00BB4E08" w:rsidRPr="000508B6" w:rsidRDefault="00BB4E08" w:rsidP="00C42CC0">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Partea extrapolată a structurii temporale relevante a ratei dobânzilor fără risc se bazează pe ratele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care converg </w:t>
      </w:r>
      <w:r w:rsidR="00987536" w:rsidRPr="000508B6">
        <w:rPr>
          <w:rFonts w:ascii="Times New Roman" w:hAnsi="Times New Roman" w:cs="Times New Roman"/>
          <w:lang w:val="ro-MD"/>
        </w:rPr>
        <w:t xml:space="preserve">lin </w:t>
      </w:r>
      <w:r w:rsidRPr="000508B6">
        <w:rPr>
          <w:rFonts w:ascii="Times New Roman" w:hAnsi="Times New Roman" w:cs="Times New Roman"/>
          <w:lang w:val="ro-MD"/>
        </w:rPr>
        <w:t xml:space="preserve">dinspre rata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aplicabilă la primul punct de netezire către </w:t>
      </w:r>
      <w:r w:rsidR="00987536" w:rsidRPr="000508B6">
        <w:rPr>
          <w:rFonts w:ascii="Times New Roman" w:hAnsi="Times New Roman" w:cs="Times New Roman"/>
          <w:lang w:val="ro-MD"/>
        </w:rPr>
        <w:t xml:space="preserve">ultima </w:t>
      </w:r>
      <w:r w:rsidRPr="000508B6">
        <w:rPr>
          <w:rFonts w:ascii="Times New Roman" w:hAnsi="Times New Roman" w:cs="Times New Roman"/>
          <w:lang w:val="ro-MD"/>
        </w:rPr>
        <w:t xml:space="preserve">rată </w:t>
      </w:r>
      <w:proofErr w:type="spellStart"/>
      <w:r w:rsidRPr="000508B6">
        <w:rPr>
          <w:rFonts w:ascii="Times New Roman" w:hAnsi="Times New Roman" w:cs="Times New Roman"/>
          <w:lang w:val="ro-MD"/>
        </w:rPr>
        <w:t>forward</w:t>
      </w:r>
      <w:proofErr w:type="spellEnd"/>
      <w:r w:rsidR="000063E1" w:rsidRPr="000508B6">
        <w:rPr>
          <w:rFonts w:ascii="Times New Roman" w:hAnsi="Times New Roman" w:cs="Times New Roman"/>
          <w:lang w:val="ro-MD"/>
        </w:rPr>
        <w:t xml:space="preserve">, denumită în continuare </w:t>
      </w:r>
      <w:r w:rsidRPr="000508B6">
        <w:rPr>
          <w:rFonts w:ascii="Times New Roman" w:hAnsi="Times New Roman" w:cs="Times New Roman"/>
          <w:lang w:val="ro-MD"/>
        </w:rPr>
        <w:t>UFR.</w:t>
      </w:r>
      <w:r w:rsidR="006538A5" w:rsidRPr="000508B6">
        <w:rPr>
          <w:rFonts w:ascii="Times New Roman" w:hAnsi="Times New Roman" w:cs="Times New Roman"/>
          <w:lang w:val="ro-MD"/>
        </w:rPr>
        <w:t xml:space="preserve"> </w:t>
      </w:r>
    </w:p>
    <w:p w14:paraId="1976EDEF" w14:textId="76D5E26B" w:rsidR="000063E1" w:rsidRPr="000508B6" w:rsidRDefault="00BB4E0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Rata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extrapolată este egală cu media ponderată a unei rate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lichide</w:t>
      </w:r>
      <w:r w:rsidR="000063E1" w:rsidRPr="000508B6">
        <w:rPr>
          <w:rFonts w:ascii="Times New Roman" w:hAnsi="Times New Roman" w:cs="Times New Roman"/>
          <w:lang w:val="ro-MD"/>
        </w:rPr>
        <w:t xml:space="preserve"> prevăzute la alin. (6)</w:t>
      </w:r>
      <w:r w:rsidRPr="000508B6">
        <w:rPr>
          <w:rFonts w:ascii="Times New Roman" w:hAnsi="Times New Roman" w:cs="Times New Roman"/>
          <w:lang w:val="ro-MD"/>
        </w:rPr>
        <w:t xml:space="preserve"> și a UFR. </w:t>
      </w:r>
    </w:p>
    <w:p w14:paraId="003C46C8" w14:textId="48199BB3" w:rsidR="00083D63" w:rsidRPr="000508B6" w:rsidRDefault="00BB4E0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Rata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lichidă se bazează pe una sau pe un set de rate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în raport cu cele mai îndepărtate scadențe pentru care valoarea instrumentului financiar relevant poate fi determinată pe o piață diversificată, lichidă și transparentă. </w:t>
      </w:r>
    </w:p>
    <w:p w14:paraId="269B4493" w14:textId="76AE7A5A" w:rsidR="00BB4E08" w:rsidRPr="000508B6" w:rsidRDefault="00BB4E0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Pentru scadențe de cel puțin 40 de ani după primul punct de netezire, ponderea UFR este de cel puțin 77,5 %.</w:t>
      </w:r>
    </w:p>
    <w:p w14:paraId="4CD7B026" w14:textId="2F6EA92B" w:rsidR="00BB4E08" w:rsidRPr="000508B6" w:rsidRDefault="00BB4E0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Partea extrapolată a ratelor dobânzilor fără risc relevante ține cont de informațiile din instrumente financiare, altele decât obligațiuni</w:t>
      </w:r>
      <w:r w:rsidR="00987536" w:rsidRPr="000508B6">
        <w:rPr>
          <w:rFonts w:ascii="Times New Roman" w:hAnsi="Times New Roman" w:cs="Times New Roman"/>
          <w:lang w:val="ro-MD"/>
        </w:rPr>
        <w:t>le</w:t>
      </w:r>
      <w:r w:rsidRPr="000508B6">
        <w:rPr>
          <w:rFonts w:ascii="Times New Roman" w:hAnsi="Times New Roman" w:cs="Times New Roman"/>
          <w:lang w:val="ro-MD"/>
        </w:rPr>
        <w:t>, iar piețele instrumentelor financiare respective sunt diversificate, lichide și transparente.</w:t>
      </w:r>
      <w:r w:rsidR="00C76824" w:rsidRPr="000508B6">
        <w:rPr>
          <w:rFonts w:ascii="Times New Roman" w:hAnsi="Times New Roman" w:cs="Times New Roman"/>
          <w:lang w:val="ro-MD"/>
        </w:rPr>
        <w:t xml:space="preserve"> </w:t>
      </w:r>
    </w:p>
    <w:p w14:paraId="38DBF4D9" w14:textId="541E853B" w:rsidR="00BB4E08" w:rsidRPr="000508B6" w:rsidRDefault="000063E1"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intenționează să aplice </w:t>
      </w:r>
      <w:r w:rsidR="00BB4E08" w:rsidRPr="000508B6">
        <w:rPr>
          <w:rFonts w:ascii="Times New Roman" w:hAnsi="Times New Roman" w:cs="Times New Roman"/>
          <w:lang w:val="ro-MD"/>
        </w:rPr>
        <w:t xml:space="preserve">mecanismul de introducere </w:t>
      </w:r>
      <w:r w:rsidR="006A0FFA" w:rsidRPr="000508B6">
        <w:rPr>
          <w:rFonts w:ascii="Times New Roman" w:hAnsi="Times New Roman" w:cs="Times New Roman"/>
          <w:lang w:val="ro-MD"/>
        </w:rPr>
        <w:t>treptată</w:t>
      </w:r>
      <w:r w:rsidR="00C76824" w:rsidRPr="000508B6">
        <w:rPr>
          <w:rFonts w:ascii="Times New Roman" w:hAnsi="Times New Roman" w:cs="Times New Roman"/>
          <w:lang w:val="ro-MD"/>
        </w:rPr>
        <w:t xml:space="preserve"> prevăzut la alin.</w:t>
      </w:r>
      <w:r w:rsidR="00C42CC0" w:rsidRPr="000508B6">
        <w:rPr>
          <w:rFonts w:ascii="Times New Roman" w:hAnsi="Times New Roman" w:cs="Times New Roman"/>
          <w:lang w:val="ro-MD"/>
        </w:rPr>
        <w:t xml:space="preserve"> </w:t>
      </w:r>
      <w:r w:rsidR="00C76824" w:rsidRPr="000508B6">
        <w:rPr>
          <w:rFonts w:ascii="Times New Roman" w:hAnsi="Times New Roman" w:cs="Times New Roman"/>
          <w:lang w:val="ro-MD"/>
        </w:rPr>
        <w:t>(</w:t>
      </w:r>
      <w:r w:rsidRPr="000508B6">
        <w:rPr>
          <w:rFonts w:ascii="Times New Roman" w:hAnsi="Times New Roman" w:cs="Times New Roman"/>
          <w:lang w:val="ro-MD"/>
        </w:rPr>
        <w:t>10</w:t>
      </w:r>
      <w:r w:rsidR="00C76824" w:rsidRPr="000508B6">
        <w:rPr>
          <w:rFonts w:ascii="Times New Roman" w:hAnsi="Times New Roman" w:cs="Times New Roman"/>
          <w:lang w:val="ro-MD"/>
        </w:rPr>
        <w:t>)</w:t>
      </w:r>
      <w:r w:rsidR="006A0FFA" w:rsidRPr="000508B6">
        <w:rPr>
          <w:rFonts w:ascii="Times New Roman" w:hAnsi="Times New Roman" w:cs="Times New Roman"/>
          <w:lang w:val="ro-MD"/>
        </w:rPr>
        <w:t xml:space="preserve"> </w:t>
      </w:r>
      <w:r w:rsidRPr="000508B6">
        <w:rPr>
          <w:rFonts w:ascii="Times New Roman" w:hAnsi="Times New Roman" w:cs="Times New Roman"/>
          <w:lang w:val="ro-MD"/>
        </w:rPr>
        <w:t>solicită aprobarea Băncii Naționale a Moldovei</w:t>
      </w:r>
      <w:r w:rsidR="00B43327" w:rsidRPr="000508B6">
        <w:rPr>
          <w:rFonts w:ascii="Times New Roman" w:hAnsi="Times New Roman" w:cs="Times New Roman"/>
          <w:lang w:val="ro-MD"/>
        </w:rPr>
        <w:t>.</w:t>
      </w:r>
      <w:r w:rsidRPr="000508B6">
        <w:rPr>
          <w:rFonts w:ascii="Times New Roman" w:hAnsi="Times New Roman" w:cs="Times New Roman"/>
          <w:lang w:val="ro-MD"/>
        </w:rPr>
        <w:t xml:space="preserve"> </w:t>
      </w:r>
    </w:p>
    <w:p w14:paraId="14746E2A" w14:textId="27BE2CE3" w:rsidR="009A7B46" w:rsidRPr="000508B6" w:rsidRDefault="00F0477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Mecanismul de introducere treptată constă în </w:t>
      </w:r>
      <w:r w:rsidR="009A7B46" w:rsidRPr="000508B6">
        <w:rPr>
          <w:rFonts w:ascii="Times New Roman" w:hAnsi="Times New Roman" w:cs="Times New Roman"/>
          <w:lang w:val="ro-MD"/>
        </w:rPr>
        <w:t>următoarele:</w:t>
      </w:r>
    </w:p>
    <w:p w14:paraId="62231794" w14:textId="59B4E627" w:rsidR="009A7B46" w:rsidRPr="000508B6" w:rsidRDefault="009A7B46" w:rsidP="00DE4225">
      <w:pPr>
        <w:pStyle w:val="Listparagraf"/>
        <w:numPr>
          <w:ilvl w:val="0"/>
          <w:numId w:val="468"/>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la </w:t>
      </w:r>
      <w:r w:rsidR="0009110C" w:rsidRPr="000508B6">
        <w:rPr>
          <w:rFonts w:ascii="Times New Roman" w:hAnsi="Times New Roman" w:cs="Times New Roman"/>
          <w:lang w:val="ro-MD"/>
        </w:rPr>
        <w:t>data intrării în vigoare a legii</w:t>
      </w:r>
      <w:r w:rsidRPr="000508B6">
        <w:rPr>
          <w:rFonts w:ascii="Times New Roman" w:hAnsi="Times New Roman" w:cs="Times New Roman"/>
          <w:lang w:val="ro-MD"/>
        </w:rPr>
        <w:t xml:space="preserve">, parametrii care determină viteza de convergență a ratelor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către </w:t>
      </w:r>
      <w:r w:rsidR="002341D1">
        <w:rPr>
          <w:rFonts w:ascii="Times New Roman" w:hAnsi="Times New Roman" w:cs="Times New Roman"/>
          <w:lang w:val="ro-MD"/>
        </w:rPr>
        <w:t xml:space="preserve">UFR </w:t>
      </w:r>
      <w:r w:rsidRPr="000508B6">
        <w:rPr>
          <w:rFonts w:ascii="Times New Roman" w:hAnsi="Times New Roman" w:cs="Times New Roman"/>
          <w:lang w:val="ro-MD"/>
        </w:rPr>
        <w:t>a extrapolării se stabilesc pentru prima dată,</w:t>
      </w:r>
      <w:r w:rsidR="00464926" w:rsidRPr="000508B6">
        <w:rPr>
          <w:rFonts w:ascii="Times New Roman" w:hAnsi="Times New Roman" w:cs="Times New Roman"/>
          <w:lang w:val="ro-MD"/>
        </w:rPr>
        <w:t xml:space="preserve"> </w:t>
      </w:r>
      <w:r w:rsidRPr="000508B6">
        <w:rPr>
          <w:rFonts w:ascii="Times New Roman" w:hAnsi="Times New Roman" w:cs="Times New Roman"/>
          <w:lang w:val="ro-MD"/>
        </w:rPr>
        <w:t>într-un mod prudent, corespunzător introducerii inițiale a extrapolării, fără a presupune existența unei structuri temporale a ratelor dobânzilor fără risc stabilite anterior acestei date;</w:t>
      </w:r>
    </w:p>
    <w:p w14:paraId="574421B5" w14:textId="1303CEEF" w:rsidR="00F04778" w:rsidRPr="000508B6" w:rsidRDefault="009A7B46" w:rsidP="00AF70C9">
      <w:pPr>
        <w:pStyle w:val="Listparagraf"/>
        <w:numPr>
          <w:ilvl w:val="0"/>
          <w:numId w:val="468"/>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parametrii care determină viteza de convergență a ratelor </w:t>
      </w:r>
      <w:proofErr w:type="spellStart"/>
      <w:r w:rsidRPr="000508B6">
        <w:rPr>
          <w:rFonts w:ascii="Times New Roman" w:hAnsi="Times New Roman" w:cs="Times New Roman"/>
          <w:lang w:val="ro-MD"/>
        </w:rPr>
        <w:t>forward</w:t>
      </w:r>
      <w:proofErr w:type="spellEnd"/>
      <w:r w:rsidRPr="000508B6">
        <w:rPr>
          <w:rFonts w:ascii="Times New Roman" w:hAnsi="Times New Roman" w:cs="Times New Roman"/>
          <w:lang w:val="ro-MD"/>
        </w:rPr>
        <w:t xml:space="preserve"> către </w:t>
      </w:r>
      <w:r w:rsidR="002341D1">
        <w:rPr>
          <w:rFonts w:ascii="Times New Roman" w:hAnsi="Times New Roman" w:cs="Times New Roman"/>
          <w:lang w:val="ro-MD"/>
        </w:rPr>
        <w:t xml:space="preserve"> UFR</w:t>
      </w:r>
      <w:r w:rsidRPr="000508B6">
        <w:rPr>
          <w:rFonts w:ascii="Times New Roman" w:hAnsi="Times New Roman" w:cs="Times New Roman"/>
          <w:lang w:val="ro-MD"/>
        </w:rPr>
        <w:t xml:space="preserve"> a extrapolării se reduc în mod liniar la începutul fiecărui an calendaristic ulterior datei </w:t>
      </w:r>
      <w:r w:rsidR="00B863DC" w:rsidRPr="000508B6">
        <w:rPr>
          <w:rFonts w:ascii="Times New Roman" w:hAnsi="Times New Roman" w:cs="Times New Roman"/>
          <w:lang w:val="ro-MD"/>
        </w:rPr>
        <w:t>intr</w:t>
      </w:r>
      <w:r w:rsidR="00B863DC">
        <w:rPr>
          <w:rFonts w:ascii="Times New Roman" w:hAnsi="Times New Roman" w:cs="Times New Roman"/>
          <w:lang w:val="ro-MD"/>
        </w:rPr>
        <w:t>ării</w:t>
      </w:r>
      <w:r w:rsidR="00B863DC" w:rsidRPr="000508B6">
        <w:rPr>
          <w:rFonts w:ascii="Times New Roman" w:hAnsi="Times New Roman" w:cs="Times New Roman"/>
          <w:lang w:val="ro-MD"/>
        </w:rPr>
        <w:t xml:space="preserve"> </w:t>
      </w:r>
      <w:r w:rsidR="0009110C" w:rsidRPr="000508B6">
        <w:rPr>
          <w:rFonts w:ascii="Times New Roman" w:hAnsi="Times New Roman" w:cs="Times New Roman"/>
          <w:lang w:val="ro-MD"/>
        </w:rPr>
        <w:t>în vigoare a legii</w:t>
      </w:r>
      <w:r w:rsidRPr="000508B6">
        <w:rPr>
          <w:rFonts w:ascii="Times New Roman" w:hAnsi="Times New Roman" w:cs="Times New Roman"/>
          <w:lang w:val="ro-MD"/>
        </w:rPr>
        <w:t xml:space="preserve">, astfel încât parametrii finali ai extrapolării să se aplice integral de la 1 ianuarie </w:t>
      </w:r>
      <w:r w:rsidR="00D54948" w:rsidRPr="000508B6">
        <w:rPr>
          <w:rFonts w:ascii="Times New Roman" w:hAnsi="Times New Roman" w:cs="Times New Roman"/>
          <w:lang w:val="ro-MD"/>
        </w:rPr>
        <w:t>2032</w:t>
      </w:r>
      <w:r w:rsidRPr="000508B6">
        <w:rPr>
          <w:rFonts w:ascii="Times New Roman" w:hAnsi="Times New Roman" w:cs="Times New Roman"/>
          <w:lang w:val="ro-MD"/>
        </w:rPr>
        <w:t>.</w:t>
      </w:r>
    </w:p>
    <w:p w14:paraId="06B0D47A" w14:textId="191D788F" w:rsidR="009A7B46" w:rsidRPr="000508B6" w:rsidRDefault="009A7B46"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Începând cu data de 1 ianuarie 203</w:t>
      </w:r>
      <w:r w:rsidR="00CA20A2" w:rsidRPr="000508B6">
        <w:rPr>
          <w:rFonts w:ascii="Times New Roman" w:hAnsi="Times New Roman" w:cs="Times New Roman"/>
          <w:lang w:val="ro-MD"/>
        </w:rPr>
        <w:t>2</w:t>
      </w:r>
      <w:r w:rsidRPr="000508B6">
        <w:rPr>
          <w:rFonts w:ascii="Times New Roman" w:hAnsi="Times New Roman" w:cs="Times New Roman"/>
          <w:lang w:val="ro-MD"/>
        </w:rPr>
        <w:t>, extrapolarea structurii temporale a ratelor dobânzilor fără risc se aplică integral, fără utilizarea mecanismului de introducere treptată.</w:t>
      </w:r>
    </w:p>
    <w:p w14:paraId="2A7BB75F" w14:textId="5686B724" w:rsidR="000063E1" w:rsidRPr="000508B6" w:rsidRDefault="000063E1"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Mecanismul de introducere treptată prevăzut la alin.</w:t>
      </w:r>
      <w:r w:rsidR="00C42CC0" w:rsidRPr="000508B6">
        <w:rPr>
          <w:rFonts w:ascii="Times New Roman" w:hAnsi="Times New Roman" w:cs="Times New Roman"/>
          <w:lang w:val="ro-MD"/>
        </w:rPr>
        <w:t xml:space="preserve"> </w:t>
      </w:r>
      <w:r w:rsidRPr="000508B6">
        <w:rPr>
          <w:rFonts w:ascii="Times New Roman" w:hAnsi="Times New Roman" w:cs="Times New Roman"/>
          <w:lang w:val="ro-MD"/>
        </w:rPr>
        <w:t>(10) se aplică fără a se afecta determinarea diversificării, a lichidității și a transparenței piețelor financiare și nici primul punct de netezire menționat la alin. (3).</w:t>
      </w:r>
    </w:p>
    <w:p w14:paraId="5F17C543" w14:textId="2079676F" w:rsidR="007E36FB" w:rsidRPr="000508B6" w:rsidRDefault="00F04778" w:rsidP="00DE4225">
      <w:pPr>
        <w:pStyle w:val="Listparagraf"/>
        <w:numPr>
          <w:ilvl w:val="0"/>
          <w:numId w:val="301"/>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Prin derogare de la alin. (</w:t>
      </w:r>
      <w:r w:rsidR="00987536" w:rsidRPr="000508B6">
        <w:rPr>
          <w:rFonts w:ascii="Times New Roman" w:hAnsi="Times New Roman" w:cs="Times New Roman"/>
          <w:lang w:val="ro-MD"/>
        </w:rPr>
        <w:t>3</w:t>
      </w:r>
      <w:r w:rsidRPr="000508B6">
        <w:rPr>
          <w:rFonts w:ascii="Times New Roman" w:hAnsi="Times New Roman" w:cs="Times New Roman"/>
          <w:lang w:val="ro-MD"/>
        </w:rPr>
        <w:t>), primul punct de netezire pentru euro este la o scadență de 20 de ani.</w:t>
      </w:r>
    </w:p>
    <w:p w14:paraId="428D9E85" w14:textId="77777777" w:rsidR="00337BD1" w:rsidRPr="000508B6" w:rsidRDefault="00337BD1" w:rsidP="00337BD1">
      <w:pPr>
        <w:tabs>
          <w:tab w:val="left" w:pos="709"/>
          <w:tab w:val="left" w:pos="1843"/>
        </w:tabs>
        <w:spacing w:after="0" w:line="240" w:lineRule="auto"/>
        <w:ind w:firstLine="567"/>
        <w:jc w:val="both"/>
        <w:rPr>
          <w:rFonts w:ascii="Times New Roman" w:hAnsi="Times New Roman" w:cs="Times New Roman"/>
          <w:b/>
          <w:bCs/>
          <w:lang w:val="ro-MD"/>
        </w:rPr>
      </w:pPr>
    </w:p>
    <w:p w14:paraId="6ECF2F26" w14:textId="3AFE4227" w:rsidR="00AF7C84" w:rsidRPr="000508B6" w:rsidRDefault="00AF7C84" w:rsidP="00E80AAD">
      <w:pPr>
        <w:tabs>
          <w:tab w:val="left" w:pos="709"/>
          <w:tab w:val="left" w:pos="1843"/>
        </w:tabs>
        <w:spacing w:after="0" w:line="240" w:lineRule="auto"/>
        <w:ind w:firstLine="426"/>
        <w:jc w:val="both"/>
        <w:rPr>
          <w:rFonts w:ascii="Times New Roman" w:hAnsi="Times New Roman" w:cs="Times New Roman"/>
          <w:b/>
          <w:bCs/>
          <w:lang w:val="ro-MD"/>
        </w:rPr>
      </w:pPr>
      <w:r w:rsidRPr="000508B6">
        <w:rPr>
          <w:rFonts w:ascii="Times New Roman" w:hAnsi="Times New Roman" w:cs="Times New Roman"/>
          <w:b/>
          <w:bCs/>
          <w:lang w:val="ro-MD"/>
        </w:rPr>
        <w:t xml:space="preserve">Articolul </w:t>
      </w:r>
      <w:r w:rsidR="00C8492A" w:rsidRPr="000508B6">
        <w:rPr>
          <w:rFonts w:ascii="Times New Roman" w:hAnsi="Times New Roman" w:cs="Times New Roman"/>
          <w:b/>
          <w:bCs/>
          <w:lang w:val="ro-MD"/>
        </w:rPr>
        <w:t>45</w:t>
      </w:r>
      <w:r w:rsidR="009A3505" w:rsidRPr="000508B6">
        <w:rPr>
          <w:rFonts w:ascii="Times New Roman" w:hAnsi="Times New Roman" w:cs="Times New Roman"/>
          <w:b/>
          <w:bCs/>
          <w:lang w:val="ro-MD"/>
        </w:rPr>
        <w:t>.</w:t>
      </w:r>
      <w:r w:rsidRPr="000508B6">
        <w:rPr>
          <w:rFonts w:ascii="Times New Roman" w:hAnsi="Times New Roman" w:cs="Times New Roman"/>
          <w:b/>
          <w:bCs/>
          <w:lang w:val="ro-MD"/>
        </w:rPr>
        <w:t xml:space="preserve"> </w:t>
      </w:r>
      <w:r w:rsidRPr="000508B6">
        <w:rPr>
          <w:rFonts w:ascii="Times New Roman" w:hAnsi="Times New Roman" w:cs="Times New Roman"/>
          <w:lang w:val="ro-MD"/>
        </w:rPr>
        <w:t xml:space="preserve">Prima de echilibrare </w:t>
      </w:r>
    </w:p>
    <w:p w14:paraId="20D6E438" w14:textId="7CF8E1E5" w:rsidR="00F95829" w:rsidRPr="000508B6" w:rsidRDefault="00CC460A" w:rsidP="00CF5AFA">
      <w:pPr>
        <w:pStyle w:val="Listparagraf"/>
        <w:numPr>
          <w:ilvl w:val="0"/>
          <w:numId w:val="142"/>
        </w:numPr>
        <w:tabs>
          <w:tab w:val="left" w:pos="709"/>
          <w:tab w:val="left" w:pos="184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75131B" w:rsidRPr="000508B6">
        <w:rPr>
          <w:rFonts w:ascii="Times New Roman" w:hAnsi="Times New Roman" w:cs="Times New Roman"/>
          <w:lang w:val="ro-MD"/>
        </w:rPr>
        <w:t xml:space="preserve">solicită aprobarea Băncii Naționale a Moldovei pentru a </w:t>
      </w:r>
      <w:r w:rsidR="00A9485D" w:rsidRPr="000508B6">
        <w:rPr>
          <w:rFonts w:ascii="Times New Roman" w:hAnsi="Times New Roman" w:cs="Times New Roman"/>
          <w:lang w:val="ro-MD"/>
        </w:rPr>
        <w:t xml:space="preserve">aplica o primă de echilibrare </w:t>
      </w:r>
      <w:r w:rsidR="00E06023" w:rsidRPr="000508B6">
        <w:rPr>
          <w:rFonts w:ascii="Times New Roman" w:hAnsi="Times New Roman" w:cs="Times New Roman"/>
          <w:lang w:val="ro-MD"/>
        </w:rPr>
        <w:t xml:space="preserve">a </w:t>
      </w:r>
      <w:r w:rsidR="00A9485D" w:rsidRPr="000508B6">
        <w:rPr>
          <w:rFonts w:ascii="Times New Roman" w:hAnsi="Times New Roman" w:cs="Times New Roman"/>
          <w:lang w:val="ro-MD"/>
        </w:rPr>
        <w:t xml:space="preserve">structurii temporale relevante a ratei dobânzilor fără risc pentru a calcula cea mai bună estimare pentru un portofoliu de </w:t>
      </w:r>
      <w:r w:rsidR="00105410" w:rsidRPr="000508B6">
        <w:rPr>
          <w:rFonts w:ascii="Times New Roman" w:hAnsi="Times New Roman" w:cs="Times New Roman"/>
          <w:lang w:val="ro-MD"/>
        </w:rPr>
        <w:t>obligații</w:t>
      </w:r>
      <w:r w:rsidR="00A9485D" w:rsidRPr="000508B6">
        <w:rPr>
          <w:rFonts w:ascii="Times New Roman" w:hAnsi="Times New Roman" w:cs="Times New Roman"/>
          <w:lang w:val="ro-MD"/>
        </w:rPr>
        <w:t xml:space="preserve"> </w:t>
      </w:r>
      <w:r w:rsidR="00974E81" w:rsidRPr="000508B6">
        <w:rPr>
          <w:rFonts w:ascii="Times New Roman" w:hAnsi="Times New Roman" w:cs="Times New Roman"/>
          <w:lang w:val="ro-MD"/>
        </w:rPr>
        <w:t>de asigurare și reasigurare</w:t>
      </w:r>
      <w:r w:rsidR="00A9485D" w:rsidRPr="000508B6">
        <w:rPr>
          <w:rFonts w:ascii="Times New Roman" w:hAnsi="Times New Roman" w:cs="Times New Roman"/>
          <w:lang w:val="ro-MD"/>
        </w:rPr>
        <w:t xml:space="preserve"> de </w:t>
      </w:r>
      <w:proofErr w:type="spellStart"/>
      <w:r w:rsidR="00A9485D" w:rsidRPr="000508B6">
        <w:rPr>
          <w:rFonts w:ascii="Times New Roman" w:hAnsi="Times New Roman" w:cs="Times New Roman"/>
          <w:lang w:val="ro-MD"/>
        </w:rPr>
        <w:t>viaţă</w:t>
      </w:r>
      <w:proofErr w:type="spellEnd"/>
      <w:r w:rsidR="00A9485D" w:rsidRPr="000508B6">
        <w:rPr>
          <w:rFonts w:ascii="Times New Roman" w:hAnsi="Times New Roman" w:cs="Times New Roman"/>
          <w:lang w:val="ro-MD"/>
        </w:rPr>
        <w:t xml:space="preserve">, inclusiv </w:t>
      </w:r>
      <w:proofErr w:type="spellStart"/>
      <w:r w:rsidR="00A9485D" w:rsidRPr="000508B6">
        <w:rPr>
          <w:rFonts w:ascii="Times New Roman" w:hAnsi="Times New Roman" w:cs="Times New Roman"/>
          <w:lang w:val="ro-MD"/>
        </w:rPr>
        <w:t>anuităţilor</w:t>
      </w:r>
      <w:proofErr w:type="spellEnd"/>
      <w:r w:rsidR="00A9485D" w:rsidRPr="000508B6">
        <w:rPr>
          <w:rFonts w:ascii="Times New Roman" w:hAnsi="Times New Roman" w:cs="Times New Roman"/>
          <w:lang w:val="ro-MD"/>
        </w:rPr>
        <w:t xml:space="preserve"> care derivă din contra</w:t>
      </w:r>
      <w:r w:rsidR="00AD11D3" w:rsidRPr="000508B6">
        <w:rPr>
          <w:rFonts w:ascii="Times New Roman" w:hAnsi="Times New Roman" w:cs="Times New Roman"/>
          <w:lang w:val="ro-MD"/>
        </w:rPr>
        <w:t>c</w:t>
      </w:r>
      <w:r w:rsidR="00A9485D" w:rsidRPr="000508B6">
        <w:rPr>
          <w:rFonts w:ascii="Times New Roman" w:hAnsi="Times New Roman" w:cs="Times New Roman"/>
          <w:lang w:val="ro-MD"/>
        </w:rPr>
        <w:t>tele de asigurare sau reasigurare generală</w:t>
      </w:r>
      <w:r w:rsidR="000D3E19" w:rsidRPr="000508B6">
        <w:rPr>
          <w:rFonts w:ascii="Times New Roman" w:hAnsi="Times New Roman" w:cs="Times New Roman"/>
          <w:lang w:val="ro-MD"/>
        </w:rPr>
        <w:t>, dacă sunt îndeplinite următoarele condiții</w:t>
      </w:r>
      <w:r w:rsidR="00F95829" w:rsidRPr="000508B6">
        <w:rPr>
          <w:rFonts w:ascii="Times New Roman" w:hAnsi="Times New Roman" w:cs="Times New Roman"/>
          <w:lang w:val="ro-MD"/>
        </w:rPr>
        <w:t xml:space="preserve">: </w:t>
      </w:r>
    </w:p>
    <w:p w14:paraId="6EFDF08A" w14:textId="1CE5427E" w:rsidR="00F95829" w:rsidRPr="000508B6" w:rsidRDefault="00CC460A" w:rsidP="00CF5AFA">
      <w:pPr>
        <w:pStyle w:val="Listparagraf"/>
        <w:numPr>
          <w:ilvl w:val="2"/>
          <w:numId w:val="143"/>
        </w:numPr>
        <w:tabs>
          <w:tab w:val="left" w:pos="709"/>
          <w:tab w:val="left" w:pos="851"/>
          <w:tab w:val="left" w:pos="184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alocă un portofoliu de active alcătuit din </w:t>
      </w:r>
      <w:proofErr w:type="spellStart"/>
      <w:r w:rsidR="00F95829" w:rsidRPr="000508B6">
        <w:rPr>
          <w:rFonts w:ascii="Times New Roman" w:hAnsi="Times New Roman" w:cs="Times New Roman"/>
          <w:lang w:val="ro-MD"/>
        </w:rPr>
        <w:t>obligaţiuni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alte active cu caracteristici similare în ceea ce </w:t>
      </w:r>
      <w:proofErr w:type="spellStart"/>
      <w:r w:rsidR="00F95829" w:rsidRPr="000508B6">
        <w:rPr>
          <w:rFonts w:ascii="Times New Roman" w:hAnsi="Times New Roman" w:cs="Times New Roman"/>
          <w:lang w:val="ro-MD"/>
        </w:rPr>
        <w:t>priveşte</w:t>
      </w:r>
      <w:proofErr w:type="spellEnd"/>
      <w:r w:rsidR="00F95829" w:rsidRPr="000508B6">
        <w:rPr>
          <w:rFonts w:ascii="Times New Roman" w:hAnsi="Times New Roman" w:cs="Times New Roman"/>
          <w:lang w:val="ro-MD"/>
        </w:rPr>
        <w:t xml:space="preserve"> fluxurile de </w:t>
      </w:r>
      <w:r w:rsidR="00226FD6" w:rsidRPr="000508B6">
        <w:rPr>
          <w:rFonts w:ascii="Times New Roman" w:hAnsi="Times New Roman" w:cs="Times New Roman"/>
          <w:lang w:val="ro-MD"/>
        </w:rPr>
        <w:t xml:space="preserve">trezorerie </w:t>
      </w:r>
      <w:r w:rsidR="00F95829" w:rsidRPr="000508B6">
        <w:rPr>
          <w:rFonts w:ascii="Times New Roman" w:hAnsi="Times New Roman" w:cs="Times New Roman"/>
          <w:lang w:val="ro-MD"/>
        </w:rPr>
        <w:t xml:space="preserve">pentru a acoperi cea mai bună estimare a portofoliului de </w:t>
      </w:r>
      <w:proofErr w:type="spellStart"/>
      <w:r w:rsidR="00F95829" w:rsidRPr="000508B6">
        <w:rPr>
          <w:rFonts w:ascii="Times New Roman" w:hAnsi="Times New Roman" w:cs="Times New Roman"/>
          <w:lang w:val="ro-MD"/>
        </w:rPr>
        <w:t>obligaţii</w:t>
      </w:r>
      <w:proofErr w:type="spellEnd"/>
      <w:r w:rsidR="00F95829" w:rsidRPr="000508B6">
        <w:rPr>
          <w:rFonts w:ascii="Times New Roman" w:hAnsi="Times New Roman" w:cs="Times New Roman"/>
          <w:lang w:val="ro-MD"/>
        </w:rPr>
        <w:t xml:space="preserve"> de asigurare sau reasigurare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 </w:t>
      </w:r>
      <w:proofErr w:type="spellStart"/>
      <w:r w:rsidR="00F95829" w:rsidRPr="000508B6">
        <w:rPr>
          <w:rFonts w:ascii="Times New Roman" w:hAnsi="Times New Roman" w:cs="Times New Roman"/>
          <w:lang w:val="ro-MD"/>
        </w:rPr>
        <w:t>menţine</w:t>
      </w:r>
      <w:proofErr w:type="spellEnd"/>
      <w:r w:rsidR="00F95829" w:rsidRPr="000508B6">
        <w:rPr>
          <w:rFonts w:ascii="Times New Roman" w:hAnsi="Times New Roman" w:cs="Times New Roman"/>
          <w:lang w:val="ro-MD"/>
        </w:rPr>
        <w:t xml:space="preserve"> alocarea respectivă pe toată durata de </w:t>
      </w:r>
      <w:proofErr w:type="spellStart"/>
      <w:r w:rsidR="00F95829" w:rsidRPr="000508B6">
        <w:rPr>
          <w:rFonts w:ascii="Times New Roman" w:hAnsi="Times New Roman" w:cs="Times New Roman"/>
          <w:lang w:val="ro-MD"/>
        </w:rPr>
        <w:t>viaţă</w:t>
      </w:r>
      <w:proofErr w:type="spellEnd"/>
      <w:r w:rsidR="00F95829" w:rsidRPr="000508B6">
        <w:rPr>
          <w:rFonts w:ascii="Times New Roman" w:hAnsi="Times New Roman" w:cs="Times New Roman"/>
          <w:lang w:val="ro-MD"/>
        </w:rPr>
        <w:t xml:space="preserve"> a </w:t>
      </w:r>
      <w:proofErr w:type="spellStart"/>
      <w:r w:rsidR="00F95829" w:rsidRPr="000508B6">
        <w:rPr>
          <w:rFonts w:ascii="Times New Roman" w:hAnsi="Times New Roman" w:cs="Times New Roman"/>
          <w:lang w:val="ro-MD"/>
        </w:rPr>
        <w:t>obligaţiilor</w:t>
      </w:r>
      <w:proofErr w:type="spellEnd"/>
      <w:r w:rsidR="00F95829" w:rsidRPr="000508B6">
        <w:rPr>
          <w:rFonts w:ascii="Times New Roman" w:hAnsi="Times New Roman" w:cs="Times New Roman"/>
          <w:lang w:val="ro-MD"/>
        </w:rPr>
        <w:t xml:space="preserve">, cu </w:t>
      </w:r>
      <w:proofErr w:type="spellStart"/>
      <w:r w:rsidR="00F95829" w:rsidRPr="000508B6">
        <w:rPr>
          <w:rFonts w:ascii="Times New Roman" w:hAnsi="Times New Roman" w:cs="Times New Roman"/>
          <w:lang w:val="ro-MD"/>
        </w:rPr>
        <w:t>excepţia</w:t>
      </w:r>
      <w:proofErr w:type="spellEnd"/>
      <w:r w:rsidR="00F95829" w:rsidRPr="000508B6">
        <w:rPr>
          <w:rFonts w:ascii="Times New Roman" w:hAnsi="Times New Roman" w:cs="Times New Roman"/>
          <w:lang w:val="ro-MD"/>
        </w:rPr>
        <w:t xml:space="preserve"> scopului de a </w:t>
      </w:r>
      <w:proofErr w:type="spellStart"/>
      <w:r w:rsidR="00F95829" w:rsidRPr="000508B6">
        <w:rPr>
          <w:rFonts w:ascii="Times New Roman" w:hAnsi="Times New Roman" w:cs="Times New Roman"/>
          <w:lang w:val="ro-MD"/>
        </w:rPr>
        <w:t>menţine</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echivalenţa</w:t>
      </w:r>
      <w:proofErr w:type="spellEnd"/>
      <w:r w:rsidR="00F95829" w:rsidRPr="000508B6">
        <w:rPr>
          <w:rFonts w:ascii="Times New Roman" w:hAnsi="Times New Roman" w:cs="Times New Roman"/>
          <w:lang w:val="ro-MD"/>
        </w:rPr>
        <w:t xml:space="preserve"> fluxurilor de </w:t>
      </w:r>
      <w:r w:rsidR="00226FD6" w:rsidRPr="000508B6">
        <w:rPr>
          <w:rFonts w:ascii="Times New Roman" w:hAnsi="Times New Roman" w:cs="Times New Roman"/>
          <w:lang w:val="ro-MD"/>
        </w:rPr>
        <w:t xml:space="preserve">trezorerie </w:t>
      </w:r>
      <w:r w:rsidR="00F95829" w:rsidRPr="000508B6">
        <w:rPr>
          <w:rFonts w:ascii="Times New Roman" w:hAnsi="Times New Roman" w:cs="Times New Roman"/>
          <w:lang w:val="ro-MD"/>
        </w:rPr>
        <w:t xml:space="preserve">estimate, aferente activelor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obligaţiilor</w:t>
      </w:r>
      <w:proofErr w:type="spellEnd"/>
      <w:r w:rsidR="00F95829" w:rsidRPr="000508B6">
        <w:rPr>
          <w:rFonts w:ascii="Times New Roman" w:hAnsi="Times New Roman" w:cs="Times New Roman"/>
          <w:lang w:val="ro-MD"/>
        </w:rPr>
        <w:t xml:space="preserve">, în cazul în care fluxurile de </w:t>
      </w:r>
      <w:r w:rsidR="00226FD6" w:rsidRPr="000508B6">
        <w:rPr>
          <w:rFonts w:ascii="Times New Roman" w:hAnsi="Times New Roman" w:cs="Times New Roman"/>
          <w:lang w:val="ro-MD"/>
        </w:rPr>
        <w:t xml:space="preserve">trezorerie </w:t>
      </w:r>
      <w:r w:rsidR="00F95829" w:rsidRPr="000508B6">
        <w:rPr>
          <w:rFonts w:ascii="Times New Roman" w:hAnsi="Times New Roman" w:cs="Times New Roman"/>
          <w:lang w:val="ro-MD"/>
        </w:rPr>
        <w:t>au suferit modificări semnificative;</w:t>
      </w:r>
    </w:p>
    <w:p w14:paraId="1F01C0D1" w14:textId="6A4B7E6E" w:rsidR="00F95829" w:rsidRPr="000508B6" w:rsidRDefault="00F95829" w:rsidP="001365F0">
      <w:pPr>
        <w:pStyle w:val="Listparagraf"/>
        <w:numPr>
          <w:ilvl w:val="2"/>
          <w:numId w:val="143"/>
        </w:numPr>
        <w:tabs>
          <w:tab w:val="left" w:pos="709"/>
          <w:tab w:val="left" w:pos="851"/>
          <w:tab w:val="left" w:pos="1843"/>
          <w:tab w:val="left" w:pos="425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portofoliile de active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de asigurare sau reasigurare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a) sunt identificate, organizate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administrate separat de alte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iar portofoliul de active nu poate fi utilizat pentru acoperirea pierderilor rezultate din alte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w:t>
      </w:r>
    </w:p>
    <w:p w14:paraId="214ECDF2" w14:textId="6069DDB1" w:rsidR="00F95829" w:rsidRPr="000508B6" w:rsidRDefault="00F95829" w:rsidP="001365F0">
      <w:pPr>
        <w:pStyle w:val="Listparagraf"/>
        <w:numPr>
          <w:ilvl w:val="2"/>
          <w:numId w:val="143"/>
        </w:numPr>
        <w:tabs>
          <w:tab w:val="left" w:pos="709"/>
          <w:tab w:val="left" w:pos="851"/>
          <w:tab w:val="left" w:pos="425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activele sunt </w:t>
      </w:r>
      <w:proofErr w:type="spellStart"/>
      <w:r w:rsidRPr="000508B6">
        <w:rPr>
          <w:rFonts w:ascii="Times New Roman" w:hAnsi="Times New Roman" w:cs="Times New Roman"/>
          <w:lang w:val="ro-MD"/>
        </w:rPr>
        <w:t>menţinute</w:t>
      </w:r>
      <w:proofErr w:type="spellEnd"/>
      <w:r w:rsidRPr="000508B6">
        <w:rPr>
          <w:rFonts w:ascii="Times New Roman" w:hAnsi="Times New Roman" w:cs="Times New Roman"/>
          <w:lang w:val="ro-MD"/>
        </w:rPr>
        <w:t xml:space="preserve"> în </w:t>
      </w:r>
      <w:proofErr w:type="spellStart"/>
      <w:r w:rsidRPr="000508B6">
        <w:rPr>
          <w:rFonts w:ascii="Times New Roman" w:hAnsi="Times New Roman" w:cs="Times New Roman"/>
          <w:lang w:val="ro-MD"/>
        </w:rPr>
        <w:t>aceeaşi</w:t>
      </w:r>
      <w:proofErr w:type="spellEnd"/>
      <w:r w:rsidRPr="000508B6">
        <w:rPr>
          <w:rFonts w:ascii="Times New Roman" w:hAnsi="Times New Roman" w:cs="Times New Roman"/>
          <w:lang w:val="ro-MD"/>
        </w:rPr>
        <w:t xml:space="preserve"> monedă în care sunt înregistrate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de asigurare sau reasigurare pe care le acoperă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neconcordanţele</w:t>
      </w:r>
      <w:proofErr w:type="spellEnd"/>
      <w:r w:rsidRPr="000508B6">
        <w:rPr>
          <w:rFonts w:ascii="Times New Roman" w:hAnsi="Times New Roman" w:cs="Times New Roman"/>
          <w:lang w:val="ro-MD"/>
        </w:rPr>
        <w:t xml:space="preserve"> care pot apărea</w:t>
      </w:r>
      <w:r w:rsidR="00987536" w:rsidRPr="000508B6">
        <w:rPr>
          <w:rFonts w:ascii="Times New Roman" w:hAnsi="Times New Roman" w:cs="Times New Roman"/>
          <w:lang w:val="ro-MD"/>
        </w:rPr>
        <w:t>,</w:t>
      </w:r>
      <w:r w:rsidRPr="000508B6">
        <w:rPr>
          <w:rFonts w:ascii="Times New Roman" w:hAnsi="Times New Roman" w:cs="Times New Roman"/>
          <w:lang w:val="ro-MD"/>
        </w:rPr>
        <w:t xml:space="preserve"> nu generează riscuri semnificative adăugate riscurilor inerente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căreia i se aplică prima de echilibrare; </w:t>
      </w:r>
    </w:p>
    <w:p w14:paraId="673F8358" w14:textId="57BBBFF6" w:rsidR="00F95829" w:rsidRPr="000508B6" w:rsidRDefault="00F95829" w:rsidP="001365F0">
      <w:pPr>
        <w:pStyle w:val="Listparagraf"/>
        <w:numPr>
          <w:ilvl w:val="2"/>
          <w:numId w:val="143"/>
        </w:numPr>
        <w:tabs>
          <w:tab w:val="left" w:pos="709"/>
          <w:tab w:val="left" w:pos="851"/>
          <w:tab w:val="left" w:pos="425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contractele care formează portofoliul de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de asigurare sau reasigurare nu generează </w:t>
      </w:r>
      <w:proofErr w:type="spellStart"/>
      <w:r w:rsidRPr="000508B6">
        <w:rPr>
          <w:rFonts w:ascii="Times New Roman" w:hAnsi="Times New Roman" w:cs="Times New Roman"/>
          <w:lang w:val="ro-MD"/>
        </w:rPr>
        <w:t>plăţi</w:t>
      </w:r>
      <w:proofErr w:type="spellEnd"/>
      <w:r w:rsidRPr="000508B6">
        <w:rPr>
          <w:rFonts w:ascii="Times New Roman" w:hAnsi="Times New Roman" w:cs="Times New Roman"/>
          <w:lang w:val="ro-MD"/>
        </w:rPr>
        <w:t xml:space="preserve"> viitoare de prime; </w:t>
      </w:r>
    </w:p>
    <w:p w14:paraId="0A9EBD49" w14:textId="2D1392A2" w:rsidR="00F95829" w:rsidRPr="000508B6" w:rsidRDefault="00F95829" w:rsidP="001365F0">
      <w:pPr>
        <w:pStyle w:val="Listparagraf"/>
        <w:numPr>
          <w:ilvl w:val="2"/>
          <w:numId w:val="143"/>
        </w:numPr>
        <w:tabs>
          <w:tab w:val="left" w:pos="709"/>
          <w:tab w:val="left" w:pos="851"/>
          <w:tab w:val="left" w:pos="425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singurele riscuri de subscriere aferente portofoliului de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de asigurare sau reasigurare sunt riscul de mortalitate, riscul de cheltuieli, riscul de revizuire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riscul de longevitate;</w:t>
      </w:r>
    </w:p>
    <w:p w14:paraId="06D045BB" w14:textId="44857A6D" w:rsidR="00F95829" w:rsidRPr="000508B6" w:rsidRDefault="00F95829" w:rsidP="00CF5AFA">
      <w:pPr>
        <w:pStyle w:val="Listparagraf"/>
        <w:numPr>
          <w:ilvl w:val="2"/>
          <w:numId w:val="14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riscului de mortalitate, cea mai bună estimare se majorează cu până la 5% în </w:t>
      </w:r>
      <w:proofErr w:type="spellStart"/>
      <w:r w:rsidRPr="000508B6">
        <w:rPr>
          <w:rFonts w:ascii="Times New Roman" w:hAnsi="Times New Roman" w:cs="Times New Roman"/>
          <w:lang w:val="ro-MD"/>
        </w:rPr>
        <w:t>condiţii</w:t>
      </w:r>
      <w:proofErr w:type="spellEnd"/>
      <w:r w:rsidRPr="000508B6">
        <w:rPr>
          <w:rFonts w:ascii="Times New Roman" w:hAnsi="Times New Roman" w:cs="Times New Roman"/>
          <w:lang w:val="ro-MD"/>
        </w:rPr>
        <w:t xml:space="preserve"> de stres, calibrarea fiind </w:t>
      </w:r>
      <w:r w:rsidR="00E06023" w:rsidRPr="000508B6">
        <w:rPr>
          <w:rFonts w:ascii="Times New Roman" w:hAnsi="Times New Roman" w:cs="Times New Roman"/>
          <w:lang w:val="ro-MD"/>
        </w:rPr>
        <w:t xml:space="preserve">efectuată </w:t>
      </w:r>
      <w:r w:rsidRPr="000508B6">
        <w:rPr>
          <w:rFonts w:ascii="Times New Roman" w:hAnsi="Times New Roman" w:cs="Times New Roman"/>
          <w:lang w:val="ro-MD"/>
        </w:rPr>
        <w:t xml:space="preserve">în conformitate cu prevederile art. </w:t>
      </w:r>
      <w:r w:rsidR="00CA625A" w:rsidRPr="000508B6">
        <w:rPr>
          <w:rFonts w:ascii="Times New Roman" w:hAnsi="Times New Roman" w:cs="Times New Roman"/>
          <w:lang w:val="ro-MD"/>
        </w:rPr>
        <w:t>64</w:t>
      </w:r>
      <w:r w:rsidR="00CB343C"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 (4); </w:t>
      </w:r>
    </w:p>
    <w:p w14:paraId="7F0FD0DA" w14:textId="6FE056C4" w:rsidR="00F95829" w:rsidRPr="000508B6" w:rsidRDefault="00F95829" w:rsidP="00CF5AFA">
      <w:pPr>
        <w:pStyle w:val="Listparagraf"/>
        <w:numPr>
          <w:ilvl w:val="2"/>
          <w:numId w:val="14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contractele care formează portofoliul de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de asigurare sau reasigurare nu includ </w:t>
      </w:r>
      <w:proofErr w:type="spellStart"/>
      <w:r w:rsidRPr="000508B6">
        <w:rPr>
          <w:rFonts w:ascii="Times New Roman" w:hAnsi="Times New Roman" w:cs="Times New Roman"/>
          <w:lang w:val="ro-MD"/>
        </w:rPr>
        <w:t>opţiuni</w:t>
      </w:r>
      <w:proofErr w:type="spellEnd"/>
      <w:r w:rsidRPr="000508B6">
        <w:rPr>
          <w:rFonts w:ascii="Times New Roman" w:hAnsi="Times New Roman" w:cs="Times New Roman"/>
          <w:lang w:val="ro-MD"/>
        </w:rPr>
        <w:t xml:space="preserve"> pentru </w:t>
      </w:r>
      <w:r w:rsidR="001E1F14" w:rsidRPr="000508B6">
        <w:rPr>
          <w:rFonts w:ascii="Times New Roman" w:hAnsi="Times New Roman" w:cs="Times New Roman"/>
          <w:lang w:val="ro-MD"/>
        </w:rPr>
        <w:t xml:space="preserve">asigurați </w:t>
      </w:r>
      <w:r w:rsidRPr="000508B6">
        <w:rPr>
          <w:rFonts w:ascii="Times New Roman" w:hAnsi="Times New Roman" w:cs="Times New Roman"/>
          <w:lang w:val="ro-MD"/>
        </w:rPr>
        <w:t xml:space="preserve">sau includ doar </w:t>
      </w:r>
      <w:proofErr w:type="spellStart"/>
      <w:r w:rsidRPr="000508B6">
        <w:rPr>
          <w:rFonts w:ascii="Times New Roman" w:hAnsi="Times New Roman" w:cs="Times New Roman"/>
          <w:lang w:val="ro-MD"/>
        </w:rPr>
        <w:t>opţiunea</w:t>
      </w:r>
      <w:proofErr w:type="spellEnd"/>
      <w:r w:rsidRPr="000508B6">
        <w:rPr>
          <w:rFonts w:ascii="Times New Roman" w:hAnsi="Times New Roman" w:cs="Times New Roman"/>
          <w:lang w:val="ro-MD"/>
        </w:rPr>
        <w:t xml:space="preserve"> de răscumpărare cu o valoare de până la valoarea activelor aferente </w:t>
      </w:r>
      <w:proofErr w:type="spellStart"/>
      <w:r w:rsidRPr="000508B6">
        <w:rPr>
          <w:rFonts w:ascii="Times New Roman" w:hAnsi="Times New Roman" w:cs="Times New Roman"/>
          <w:lang w:val="ro-MD"/>
        </w:rPr>
        <w:t>obligaţiei</w:t>
      </w:r>
      <w:proofErr w:type="spellEnd"/>
      <w:r w:rsidRPr="000508B6">
        <w:rPr>
          <w:rFonts w:ascii="Times New Roman" w:hAnsi="Times New Roman" w:cs="Times New Roman"/>
          <w:lang w:val="ro-MD"/>
        </w:rPr>
        <w:t xml:space="preserve"> respective la momentul răscumpărării;</w:t>
      </w:r>
    </w:p>
    <w:p w14:paraId="1CCC24B2" w14:textId="1F09A299" w:rsidR="00F95829" w:rsidRPr="000508B6" w:rsidRDefault="00F95829" w:rsidP="00CF5AFA">
      <w:pPr>
        <w:pStyle w:val="Listparagraf"/>
        <w:numPr>
          <w:ilvl w:val="2"/>
          <w:numId w:val="14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fluxurile de </w:t>
      </w:r>
      <w:r w:rsidR="001F7014" w:rsidRPr="000508B6">
        <w:rPr>
          <w:rFonts w:ascii="Times New Roman" w:hAnsi="Times New Roman" w:cs="Times New Roman"/>
          <w:lang w:val="ro-MD"/>
        </w:rPr>
        <w:t xml:space="preserve">trezorerie </w:t>
      </w:r>
      <w:r w:rsidRPr="000508B6">
        <w:rPr>
          <w:rFonts w:ascii="Times New Roman" w:hAnsi="Times New Roman" w:cs="Times New Roman"/>
          <w:lang w:val="ro-MD"/>
        </w:rPr>
        <w:t xml:space="preserve">aferente activelor sunt fixe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nu pot fi modificate de </w:t>
      </w:r>
      <w:proofErr w:type="spellStart"/>
      <w:r w:rsidRPr="000508B6">
        <w:rPr>
          <w:rFonts w:ascii="Times New Roman" w:hAnsi="Times New Roman" w:cs="Times New Roman"/>
          <w:lang w:val="ro-MD"/>
        </w:rPr>
        <w:t>emitenţi</w:t>
      </w:r>
      <w:proofErr w:type="spellEnd"/>
      <w:r w:rsidRPr="000508B6">
        <w:rPr>
          <w:rFonts w:ascii="Times New Roman" w:hAnsi="Times New Roman" w:cs="Times New Roman"/>
          <w:lang w:val="ro-MD"/>
        </w:rPr>
        <w:t xml:space="preserve"> sau de </w:t>
      </w:r>
      <w:proofErr w:type="spellStart"/>
      <w:r w:rsidRPr="000508B6">
        <w:rPr>
          <w:rFonts w:ascii="Times New Roman" w:hAnsi="Times New Roman" w:cs="Times New Roman"/>
          <w:lang w:val="ro-MD"/>
        </w:rPr>
        <w:t>terţi</w:t>
      </w:r>
      <w:proofErr w:type="spellEnd"/>
      <w:r w:rsidRPr="000508B6">
        <w:rPr>
          <w:rFonts w:ascii="Times New Roman" w:hAnsi="Times New Roman" w:cs="Times New Roman"/>
          <w:lang w:val="ro-MD"/>
        </w:rPr>
        <w:t xml:space="preserve">;  </w:t>
      </w:r>
    </w:p>
    <w:p w14:paraId="5EA890E9" w14:textId="2F71CDE1" w:rsidR="00F95829" w:rsidRPr="000508B6" w:rsidRDefault="00F95829" w:rsidP="00CF5AFA">
      <w:pPr>
        <w:pStyle w:val="Listparagraf"/>
        <w:numPr>
          <w:ilvl w:val="2"/>
          <w:numId w:val="14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portofoliul de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de asigurare sau reasigurare include toate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aferente contractelor acoperite, acestea neputând fi divizate</w:t>
      </w:r>
      <w:r w:rsidR="00E52D67" w:rsidRPr="000508B6">
        <w:rPr>
          <w:rFonts w:ascii="Times New Roman" w:hAnsi="Times New Roman" w:cs="Times New Roman"/>
          <w:lang w:val="ro-MD"/>
        </w:rPr>
        <w:t>, sens în care</w:t>
      </w:r>
      <w:r w:rsidR="00364529" w:rsidRPr="000508B6">
        <w:rPr>
          <w:rFonts w:ascii="Times New Roman" w:hAnsi="Times New Roman" w:cs="Times New Roman"/>
          <w:lang w:val="ro-MD"/>
        </w:rPr>
        <w:t xml:space="preserve"> un contract de asigurare de viață de grup este considerat a fi un singur contract.</w:t>
      </w:r>
      <w:r w:rsidRPr="000508B6">
        <w:rPr>
          <w:rFonts w:ascii="Times New Roman" w:hAnsi="Times New Roman" w:cs="Times New Roman"/>
          <w:lang w:val="ro-MD"/>
        </w:rPr>
        <w:t xml:space="preserve"> </w:t>
      </w:r>
    </w:p>
    <w:p w14:paraId="03CC2918" w14:textId="72FF16C8" w:rsidR="00F95829" w:rsidRPr="000508B6" w:rsidRDefault="00156D74" w:rsidP="00CF5AFA">
      <w:pPr>
        <w:pStyle w:val="Listparagraf"/>
        <w:numPr>
          <w:ilvl w:val="0"/>
          <w:numId w:val="14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F95829" w:rsidRPr="000508B6">
        <w:rPr>
          <w:rFonts w:ascii="Times New Roman" w:hAnsi="Times New Roman" w:cs="Times New Roman"/>
          <w:lang w:val="ro-MD"/>
        </w:rPr>
        <w:t>Fără a aduce atingere prevederilor alin. (</w:t>
      </w:r>
      <w:r w:rsidR="000C419E" w:rsidRPr="000508B6">
        <w:rPr>
          <w:rFonts w:ascii="Times New Roman" w:hAnsi="Times New Roman" w:cs="Times New Roman"/>
          <w:lang w:val="ro-MD"/>
        </w:rPr>
        <w:t>1</w:t>
      </w:r>
      <w:r w:rsidR="00F95829" w:rsidRPr="000508B6">
        <w:rPr>
          <w:rFonts w:ascii="Times New Roman" w:hAnsi="Times New Roman" w:cs="Times New Roman"/>
          <w:lang w:val="ro-MD"/>
        </w:rPr>
        <w:t xml:space="preserve">) lit. h), </w:t>
      </w:r>
      <w:r w:rsidR="00CC460A" w:rsidRPr="000508B6">
        <w:rPr>
          <w:rFonts w:ascii="Times New Roman" w:hAnsi="Times New Roman" w:cs="Times New Roman"/>
          <w:lang w:val="ro-MD"/>
        </w:rPr>
        <w:t xml:space="preserve">asigurătorul sau </w:t>
      </w:r>
      <w:proofErr w:type="spellStart"/>
      <w:r w:rsidR="00CC460A" w:rsidRPr="000508B6">
        <w:rPr>
          <w:rFonts w:ascii="Times New Roman" w:hAnsi="Times New Roman" w:cs="Times New Roman"/>
          <w:lang w:val="ro-MD"/>
        </w:rPr>
        <w:t>reasigurătorul</w:t>
      </w:r>
      <w:proofErr w:type="spellEnd"/>
      <w:r w:rsidR="00CC460A" w:rsidRPr="000508B6">
        <w:rPr>
          <w:rFonts w:ascii="Times New Roman" w:hAnsi="Times New Roman" w:cs="Times New Roman"/>
          <w:lang w:val="ro-MD"/>
        </w:rPr>
        <w:t xml:space="preserve"> </w:t>
      </w:r>
      <w:r w:rsidR="00F95829" w:rsidRPr="000508B6">
        <w:rPr>
          <w:rFonts w:ascii="Times New Roman" w:hAnsi="Times New Roman" w:cs="Times New Roman"/>
          <w:lang w:val="ro-MD"/>
        </w:rPr>
        <w:t>care aplică o primă de echilibrare po</w:t>
      </w:r>
      <w:r w:rsidR="002531A7" w:rsidRPr="000508B6">
        <w:rPr>
          <w:rFonts w:ascii="Times New Roman" w:hAnsi="Times New Roman" w:cs="Times New Roman"/>
          <w:lang w:val="ro-MD"/>
        </w:rPr>
        <w:t>a</w:t>
      </w:r>
      <w:r w:rsidR="00F95829" w:rsidRPr="000508B6">
        <w:rPr>
          <w:rFonts w:ascii="Times New Roman" w:hAnsi="Times New Roman" w:cs="Times New Roman"/>
          <w:lang w:val="ro-MD"/>
        </w:rPr>
        <w:t>t</w:t>
      </w:r>
      <w:r w:rsidR="002531A7" w:rsidRPr="000508B6">
        <w:rPr>
          <w:rFonts w:ascii="Times New Roman" w:hAnsi="Times New Roman" w:cs="Times New Roman"/>
          <w:lang w:val="ro-MD"/>
        </w:rPr>
        <w:t>e</w:t>
      </w:r>
      <w:r w:rsidR="00F95829" w:rsidRPr="000508B6">
        <w:rPr>
          <w:rFonts w:ascii="Times New Roman" w:hAnsi="Times New Roman" w:cs="Times New Roman"/>
          <w:lang w:val="ro-MD"/>
        </w:rPr>
        <w:t xml:space="preserve"> utiliza active cu fluxuri de </w:t>
      </w:r>
      <w:r w:rsidR="001F7014" w:rsidRPr="000508B6">
        <w:rPr>
          <w:rFonts w:ascii="Times New Roman" w:hAnsi="Times New Roman" w:cs="Times New Roman"/>
          <w:lang w:val="ro-MD"/>
        </w:rPr>
        <w:t xml:space="preserve">trezorerie </w:t>
      </w:r>
      <w:r w:rsidR="00F95829" w:rsidRPr="000508B6">
        <w:rPr>
          <w:rFonts w:ascii="Times New Roman" w:hAnsi="Times New Roman" w:cs="Times New Roman"/>
          <w:lang w:val="ro-MD"/>
        </w:rPr>
        <w:t xml:space="preserve">variabile: </w:t>
      </w:r>
    </w:p>
    <w:p w14:paraId="4A512727" w14:textId="7FFDC6C1" w:rsidR="00F95829" w:rsidRPr="000508B6" w:rsidRDefault="00F95829" w:rsidP="00DE4225">
      <w:pPr>
        <w:pStyle w:val="Listparagraf"/>
        <w:numPr>
          <w:ilvl w:val="2"/>
          <w:numId w:val="14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dacă </w:t>
      </w:r>
      <w:r w:rsidR="00E06023" w:rsidRPr="000508B6">
        <w:rPr>
          <w:rFonts w:ascii="Times New Roman" w:hAnsi="Times New Roman" w:cs="Times New Roman"/>
          <w:lang w:val="ro-MD"/>
        </w:rPr>
        <w:t xml:space="preserve">acestea </w:t>
      </w:r>
      <w:r w:rsidRPr="000508B6">
        <w:rPr>
          <w:rFonts w:ascii="Times New Roman" w:hAnsi="Times New Roman" w:cs="Times New Roman"/>
          <w:lang w:val="ro-MD"/>
        </w:rPr>
        <w:t xml:space="preserve">sunt dependente de </w:t>
      </w:r>
      <w:proofErr w:type="spellStart"/>
      <w:r w:rsidRPr="000508B6">
        <w:rPr>
          <w:rFonts w:ascii="Times New Roman" w:hAnsi="Times New Roman" w:cs="Times New Roman"/>
          <w:lang w:val="ro-MD"/>
        </w:rPr>
        <w:t>inflaţie</w:t>
      </w:r>
      <w:proofErr w:type="spellEnd"/>
      <w:r w:rsidRPr="000508B6">
        <w:rPr>
          <w:rFonts w:ascii="Times New Roman" w:hAnsi="Times New Roman" w:cs="Times New Roman"/>
          <w:lang w:val="ro-MD"/>
        </w:rPr>
        <w:t xml:space="preserve"> în mod similar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w:t>
      </w:r>
    </w:p>
    <w:p w14:paraId="2657EE2B" w14:textId="2C235901" w:rsidR="00F95829" w:rsidRPr="000508B6" w:rsidRDefault="00F95829" w:rsidP="00DE4225">
      <w:pPr>
        <w:pStyle w:val="Listparagraf"/>
        <w:numPr>
          <w:ilvl w:val="2"/>
          <w:numId w:val="14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emitentul sau contrapartida modifică fluxurile de </w:t>
      </w:r>
      <w:r w:rsidR="001F7014" w:rsidRPr="000508B6">
        <w:rPr>
          <w:rFonts w:ascii="Times New Roman" w:hAnsi="Times New Roman" w:cs="Times New Roman"/>
          <w:lang w:val="ro-MD"/>
        </w:rPr>
        <w:t>trezorerie</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compensaţiile</w:t>
      </w:r>
      <w:proofErr w:type="spellEnd"/>
      <w:r w:rsidRPr="000508B6">
        <w:rPr>
          <w:rFonts w:ascii="Times New Roman" w:hAnsi="Times New Roman" w:cs="Times New Roman"/>
          <w:lang w:val="ro-MD"/>
        </w:rPr>
        <w:t xml:space="preserve"> primite de </w:t>
      </w:r>
      <w:r w:rsidR="00CC460A" w:rsidRPr="000508B6">
        <w:rPr>
          <w:rFonts w:ascii="Times New Roman" w:hAnsi="Times New Roman" w:cs="Times New Roman"/>
          <w:lang w:val="ro-MD"/>
        </w:rPr>
        <w:t xml:space="preserve">asigurător sau </w:t>
      </w:r>
      <w:proofErr w:type="spellStart"/>
      <w:r w:rsidR="00CC460A" w:rsidRPr="000508B6">
        <w:rPr>
          <w:rFonts w:ascii="Times New Roman" w:hAnsi="Times New Roman" w:cs="Times New Roman"/>
          <w:lang w:val="ro-MD"/>
        </w:rPr>
        <w:t>reasigurător</w:t>
      </w:r>
      <w:proofErr w:type="spellEnd"/>
      <w:r w:rsidR="00CC460A" w:rsidRPr="000508B6">
        <w:rPr>
          <w:rFonts w:ascii="Times New Roman" w:hAnsi="Times New Roman" w:cs="Times New Roman"/>
          <w:lang w:val="ro-MD"/>
        </w:rPr>
        <w:t xml:space="preserve"> </w:t>
      </w:r>
      <w:r w:rsidR="00E06023" w:rsidRPr="000508B6">
        <w:rPr>
          <w:rFonts w:ascii="Times New Roman" w:hAnsi="Times New Roman" w:cs="Times New Roman"/>
          <w:lang w:val="ro-MD"/>
        </w:rPr>
        <w:t xml:space="preserve">îi </w:t>
      </w:r>
      <w:r w:rsidRPr="000508B6">
        <w:rPr>
          <w:rFonts w:ascii="Times New Roman" w:hAnsi="Times New Roman" w:cs="Times New Roman"/>
          <w:lang w:val="ro-MD"/>
        </w:rPr>
        <w:t xml:space="preserve">permit </w:t>
      </w:r>
      <w:r w:rsidR="00E06023" w:rsidRPr="000508B6">
        <w:rPr>
          <w:rFonts w:ascii="Times New Roman" w:hAnsi="Times New Roman" w:cs="Times New Roman"/>
          <w:lang w:val="ro-MD"/>
        </w:rPr>
        <w:t>acest</w:t>
      </w:r>
      <w:r w:rsidR="00987536" w:rsidRPr="000508B6">
        <w:rPr>
          <w:rFonts w:ascii="Times New Roman" w:hAnsi="Times New Roman" w:cs="Times New Roman"/>
          <w:lang w:val="ro-MD"/>
        </w:rPr>
        <w:t>uia</w:t>
      </w:r>
      <w:r w:rsidR="00E06023" w:rsidRPr="000508B6">
        <w:rPr>
          <w:rFonts w:ascii="Times New Roman" w:hAnsi="Times New Roman" w:cs="Times New Roman"/>
          <w:lang w:val="ro-MD"/>
        </w:rPr>
        <w:t xml:space="preserve"> </w:t>
      </w:r>
      <w:r w:rsidRPr="000508B6">
        <w:rPr>
          <w:rFonts w:ascii="Times New Roman" w:hAnsi="Times New Roman" w:cs="Times New Roman"/>
          <w:lang w:val="ro-MD"/>
        </w:rPr>
        <w:t xml:space="preserve">să reinvestească în active admise să acopere portofoliul de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o calitate a creditului echivalentă sau superioară.</w:t>
      </w:r>
    </w:p>
    <w:p w14:paraId="1658A9C9" w14:textId="62E39EDF" w:rsidR="00F95829" w:rsidRPr="000508B6" w:rsidRDefault="00F95829" w:rsidP="00CF5AFA">
      <w:pPr>
        <w:pStyle w:val="Listparagraf"/>
        <w:numPr>
          <w:ilvl w:val="0"/>
          <w:numId w:val="142"/>
        </w:numPr>
        <w:spacing w:after="0" w:line="240" w:lineRule="auto"/>
        <w:ind w:left="0" w:firstLine="426"/>
        <w:jc w:val="both"/>
        <w:rPr>
          <w:rFonts w:ascii="Times New Roman" w:hAnsi="Times New Roman" w:cs="Times New Roman"/>
          <w:lang w:val="ro-MD"/>
        </w:rPr>
      </w:pPr>
      <w:r w:rsidRPr="000508B6" w:rsidDel="0020545A">
        <w:rPr>
          <w:rFonts w:ascii="Times New Roman" w:hAnsi="Times New Roman" w:cs="Times New Roman"/>
          <w:lang w:val="ro-MD"/>
        </w:rPr>
        <w:t xml:space="preserve"> </w:t>
      </w:r>
      <w:r w:rsidR="00CC460A" w:rsidRPr="000508B6">
        <w:rPr>
          <w:rFonts w:ascii="Times New Roman" w:hAnsi="Times New Roman" w:cs="Times New Roman"/>
          <w:lang w:val="ro-MD"/>
        </w:rPr>
        <w:t xml:space="preserve">Asigurătorul sau </w:t>
      </w:r>
      <w:proofErr w:type="spellStart"/>
      <w:r w:rsidR="00CC460A" w:rsidRPr="000508B6">
        <w:rPr>
          <w:rFonts w:ascii="Times New Roman" w:hAnsi="Times New Roman" w:cs="Times New Roman"/>
          <w:lang w:val="ro-MD"/>
        </w:rPr>
        <w:t>reasigurătorul</w:t>
      </w:r>
      <w:proofErr w:type="spellEnd"/>
      <w:r w:rsidR="00CC460A" w:rsidRPr="000508B6">
        <w:rPr>
          <w:rFonts w:ascii="Times New Roman" w:hAnsi="Times New Roman" w:cs="Times New Roman"/>
          <w:lang w:val="ro-MD"/>
        </w:rPr>
        <w:t xml:space="preserve"> </w:t>
      </w:r>
      <w:r w:rsidRPr="000508B6">
        <w:rPr>
          <w:rFonts w:ascii="Times New Roman" w:hAnsi="Times New Roman" w:cs="Times New Roman"/>
          <w:lang w:val="ro-MD"/>
        </w:rPr>
        <w:t>care aplică o primă de echilibrare nu po</w:t>
      </w:r>
      <w:r w:rsidR="002531A7" w:rsidRPr="000508B6">
        <w:rPr>
          <w:rFonts w:ascii="Times New Roman" w:hAnsi="Times New Roman" w:cs="Times New Roman"/>
          <w:lang w:val="ro-MD"/>
        </w:rPr>
        <w:t>a</w:t>
      </w:r>
      <w:r w:rsidRPr="000508B6">
        <w:rPr>
          <w:rFonts w:ascii="Times New Roman" w:hAnsi="Times New Roman" w:cs="Times New Roman"/>
          <w:lang w:val="ro-MD"/>
        </w:rPr>
        <w:t>t</w:t>
      </w:r>
      <w:r w:rsidR="002531A7" w:rsidRPr="000508B6">
        <w:rPr>
          <w:rFonts w:ascii="Times New Roman" w:hAnsi="Times New Roman" w:cs="Times New Roman"/>
          <w:lang w:val="ro-MD"/>
        </w:rPr>
        <w:t>e</w:t>
      </w:r>
      <w:r w:rsidRPr="000508B6">
        <w:rPr>
          <w:rFonts w:ascii="Times New Roman" w:hAnsi="Times New Roman" w:cs="Times New Roman"/>
          <w:lang w:val="ro-MD"/>
        </w:rPr>
        <w:t xml:space="preserve"> utiliza altă metodă, iar în cazul în care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 nu mai sunt îndeplinite, informează </w:t>
      </w:r>
      <w:r w:rsidR="00AD6B86" w:rsidRPr="000508B6">
        <w:rPr>
          <w:rFonts w:ascii="Times New Roman" w:hAnsi="Times New Roman" w:cs="Times New Roman"/>
          <w:lang w:val="ro-MD"/>
        </w:rPr>
        <w:t>imediat</w:t>
      </w:r>
      <w:r w:rsidRPr="000508B6">
        <w:rPr>
          <w:rFonts w:ascii="Times New Roman" w:hAnsi="Times New Roman" w:cs="Times New Roman"/>
          <w:lang w:val="ro-MD"/>
        </w:rPr>
        <w:t xml:space="preserve"> </w:t>
      </w:r>
      <w:r w:rsidR="00117399"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despre măsurile adoptate pentru a remedia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în maximum două luni de la data constatării, iar în cazul în care acest lucru nu este posibil, nu mai utilizează o primă de echilibrare pentru o perioadă de 24 de luni. </w:t>
      </w:r>
    </w:p>
    <w:p w14:paraId="015199DF" w14:textId="5152CC0B" w:rsidR="00943B2F" w:rsidRPr="000508B6" w:rsidRDefault="00CC460A" w:rsidP="00CF5AFA">
      <w:pPr>
        <w:pStyle w:val="Listparagraf"/>
        <w:numPr>
          <w:ilvl w:val="0"/>
          <w:numId w:val="14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nu utilizează o primă de echilibrare în cazul în care aplică prima de volatilitate </w:t>
      </w:r>
      <w:proofErr w:type="spellStart"/>
      <w:r w:rsidR="00F95829" w:rsidRPr="000508B6">
        <w:rPr>
          <w:rFonts w:ascii="Times New Roman" w:hAnsi="Times New Roman" w:cs="Times New Roman"/>
          <w:lang w:val="ro-MD"/>
        </w:rPr>
        <w:t>menţionată</w:t>
      </w:r>
      <w:proofErr w:type="spellEnd"/>
      <w:r w:rsidR="00F95829" w:rsidRPr="000508B6">
        <w:rPr>
          <w:rFonts w:ascii="Times New Roman" w:hAnsi="Times New Roman" w:cs="Times New Roman"/>
          <w:lang w:val="ro-MD"/>
        </w:rPr>
        <w:t xml:space="preserve"> la </w:t>
      </w:r>
      <w:r w:rsidR="00E46CDC" w:rsidRPr="000508B6">
        <w:rPr>
          <w:rFonts w:ascii="Times New Roman" w:hAnsi="Times New Roman" w:cs="Times New Roman"/>
          <w:lang w:val="ro-MD"/>
        </w:rPr>
        <w:t>art. 47</w:t>
      </w:r>
      <w:r w:rsidR="00E96C93" w:rsidRPr="000508B6">
        <w:rPr>
          <w:rFonts w:ascii="Times New Roman" w:hAnsi="Times New Roman" w:cs="Times New Roman"/>
          <w:lang w:val="ro-MD"/>
        </w:rPr>
        <w:t>.</w:t>
      </w:r>
      <w:r w:rsidR="00987536" w:rsidRPr="000508B6">
        <w:rPr>
          <w:rFonts w:ascii="Times New Roman" w:hAnsi="Times New Roman" w:cs="Times New Roman"/>
          <w:lang w:val="ro-MD"/>
        </w:rPr>
        <w:t xml:space="preserve"> </w:t>
      </w:r>
    </w:p>
    <w:p w14:paraId="29679B73" w14:textId="5BE7D2E8" w:rsidR="00A83280" w:rsidRPr="000508B6" w:rsidRDefault="00A83280" w:rsidP="00161E1D">
      <w:pPr>
        <w:pStyle w:val="Listparagraf"/>
        <w:spacing w:after="0" w:line="240" w:lineRule="auto"/>
        <w:ind w:left="426"/>
        <w:jc w:val="both"/>
        <w:rPr>
          <w:rFonts w:ascii="Times New Roman" w:hAnsi="Times New Roman" w:cs="Times New Roman"/>
          <w:b/>
          <w:bCs/>
          <w:lang w:val="ro-MD"/>
        </w:rPr>
      </w:pPr>
    </w:p>
    <w:p w14:paraId="217ABDBB" w14:textId="5121AE80" w:rsidR="00161E1D" w:rsidRPr="000508B6" w:rsidRDefault="00161E1D" w:rsidP="00161E1D">
      <w:pPr>
        <w:pStyle w:val="Listparagraf"/>
        <w:spacing w:after="0" w:line="240" w:lineRule="auto"/>
        <w:ind w:left="426"/>
        <w:jc w:val="both"/>
        <w:rPr>
          <w:rFonts w:ascii="Times New Roman" w:hAnsi="Times New Roman" w:cs="Times New Roman"/>
          <w:b/>
          <w:bCs/>
          <w:lang w:val="ro-MD"/>
        </w:rPr>
      </w:pPr>
      <w:bookmarkStart w:id="104" w:name="_Hlk186788677"/>
      <w:r w:rsidRPr="000508B6">
        <w:rPr>
          <w:rFonts w:ascii="Times New Roman" w:hAnsi="Times New Roman" w:cs="Times New Roman"/>
          <w:b/>
          <w:bCs/>
          <w:lang w:val="ro-MD"/>
        </w:rPr>
        <w:t xml:space="preserve">Articolul </w:t>
      </w:r>
      <w:r w:rsidR="00C8492A" w:rsidRPr="000508B6">
        <w:rPr>
          <w:rFonts w:ascii="Times New Roman" w:hAnsi="Times New Roman" w:cs="Times New Roman"/>
          <w:b/>
          <w:bCs/>
          <w:lang w:val="ro-MD"/>
        </w:rPr>
        <w:t>46</w:t>
      </w:r>
      <w:r w:rsidR="00C42CC0" w:rsidRPr="000508B6">
        <w:rPr>
          <w:rFonts w:ascii="Times New Roman" w:hAnsi="Times New Roman" w:cs="Times New Roman"/>
          <w:b/>
          <w:bCs/>
          <w:lang w:val="ro-MD"/>
        </w:rPr>
        <w:t>.</w:t>
      </w:r>
      <w:r w:rsidRPr="000508B6">
        <w:rPr>
          <w:rFonts w:ascii="Times New Roman" w:hAnsi="Times New Roman" w:cs="Times New Roman"/>
          <w:b/>
          <w:bCs/>
          <w:lang w:val="ro-MD"/>
        </w:rPr>
        <w:t xml:space="preserve"> </w:t>
      </w:r>
      <w:r w:rsidRPr="000508B6">
        <w:rPr>
          <w:rFonts w:ascii="Times New Roman" w:hAnsi="Times New Roman" w:cs="Times New Roman"/>
          <w:lang w:val="ro-MD"/>
        </w:rPr>
        <w:t>Calculul primei de echilibrare</w:t>
      </w:r>
    </w:p>
    <w:bookmarkEnd w:id="104"/>
    <w:p w14:paraId="6E77DB12" w14:textId="706AA593" w:rsidR="00F95829" w:rsidRPr="000508B6" w:rsidRDefault="00F95829" w:rsidP="00CF5AFA">
      <w:pPr>
        <w:pStyle w:val="Listparagraf"/>
        <w:numPr>
          <w:ilvl w:val="0"/>
          <w:numId w:val="35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monedă, prima de echilibrare </w:t>
      </w:r>
      <w:r w:rsidR="00FD1266" w:rsidRPr="000508B6">
        <w:rPr>
          <w:rFonts w:ascii="Times New Roman" w:hAnsi="Times New Roman" w:cs="Times New Roman"/>
          <w:lang w:val="ro-MD"/>
        </w:rPr>
        <w:t xml:space="preserve">se calculează </w:t>
      </w:r>
      <w:r w:rsidRPr="000508B6">
        <w:rPr>
          <w:rFonts w:ascii="Times New Roman" w:hAnsi="Times New Roman" w:cs="Times New Roman"/>
          <w:lang w:val="ro-MD"/>
        </w:rPr>
        <w:t xml:space="preserve">în conformitate cu următoarele principii: </w:t>
      </w:r>
    </w:p>
    <w:p w14:paraId="071C32D6" w14:textId="6EA3EBC0" w:rsidR="00F95829" w:rsidRPr="000508B6" w:rsidRDefault="00F95829" w:rsidP="00C42CC0">
      <w:pPr>
        <w:pStyle w:val="Listparagraf"/>
        <w:numPr>
          <w:ilvl w:val="2"/>
          <w:numId w:val="14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prima de echilibrare este strict egală cu </w:t>
      </w:r>
      <w:r w:rsidR="00F02FCA" w:rsidRPr="000508B6">
        <w:rPr>
          <w:rFonts w:ascii="Times New Roman" w:hAnsi="Times New Roman" w:cs="Times New Roman"/>
          <w:lang w:val="ro-MD"/>
        </w:rPr>
        <w:t>diferența</w:t>
      </w:r>
      <w:r w:rsidRPr="000508B6">
        <w:rPr>
          <w:rFonts w:ascii="Times New Roman" w:hAnsi="Times New Roman" w:cs="Times New Roman"/>
          <w:lang w:val="ro-MD"/>
        </w:rPr>
        <w:t xml:space="preserve"> dintre următoarele elemente: </w:t>
      </w:r>
    </w:p>
    <w:p w14:paraId="5FD6E16E" w14:textId="1CFF4E5F" w:rsidR="00F95829" w:rsidRPr="000508B6" w:rsidRDefault="00F95829" w:rsidP="00C42CC0">
      <w:pPr>
        <w:pStyle w:val="Listparagraf"/>
        <w:numPr>
          <w:ilvl w:val="3"/>
          <w:numId w:val="14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rata anuală acumulată, calculată ca rată unică de actualizare care, atunci când se aplică fluxurilor de </w:t>
      </w:r>
      <w:r w:rsidR="00E14A90" w:rsidRPr="000508B6">
        <w:rPr>
          <w:rFonts w:ascii="Times New Roman" w:hAnsi="Times New Roman" w:cs="Times New Roman"/>
          <w:lang w:val="ro-MD"/>
        </w:rPr>
        <w:t xml:space="preserve">trezorerie </w:t>
      </w:r>
      <w:r w:rsidRPr="000508B6">
        <w:rPr>
          <w:rFonts w:ascii="Times New Roman" w:hAnsi="Times New Roman" w:cs="Times New Roman"/>
          <w:lang w:val="ro-MD"/>
        </w:rPr>
        <w:t xml:space="preserve">ale portofoliului de </w:t>
      </w:r>
      <w:r w:rsidR="00F02FCA" w:rsidRPr="000508B6">
        <w:rPr>
          <w:rFonts w:ascii="Times New Roman" w:hAnsi="Times New Roman" w:cs="Times New Roman"/>
          <w:lang w:val="ro-MD"/>
        </w:rPr>
        <w:t>obligații</w:t>
      </w:r>
      <w:r w:rsidR="00BD25FD" w:rsidRPr="000508B6">
        <w:rPr>
          <w:rFonts w:ascii="Times New Roman" w:hAnsi="Times New Roman" w:cs="Times New Roman"/>
          <w:lang w:val="ro-MD"/>
        </w:rPr>
        <w:t xml:space="preserve"> de asigurare sau de reasigurare</w:t>
      </w:r>
      <w:r w:rsidRPr="000508B6">
        <w:rPr>
          <w:rFonts w:ascii="Times New Roman" w:hAnsi="Times New Roman" w:cs="Times New Roman"/>
          <w:lang w:val="ro-MD"/>
        </w:rPr>
        <w:t xml:space="preserve">, are drept rezultat o valoare egală cu valoarea portofoliului de active alocat; </w:t>
      </w:r>
    </w:p>
    <w:p w14:paraId="519320D0" w14:textId="6A9BDD3F" w:rsidR="00F95829" w:rsidRPr="000508B6" w:rsidRDefault="00F95829" w:rsidP="00DE4225">
      <w:pPr>
        <w:pStyle w:val="Listparagraf"/>
        <w:numPr>
          <w:ilvl w:val="3"/>
          <w:numId w:val="145"/>
        </w:numPr>
        <w:tabs>
          <w:tab w:val="left" w:pos="284"/>
          <w:tab w:val="left" w:pos="567"/>
          <w:tab w:val="left" w:pos="709"/>
          <w:tab w:val="left" w:pos="851"/>
          <w:tab w:val="left" w:pos="993"/>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rata anuală acumulată, calculată ca rată unică de actualizare care, atunci când se aplică fluxurilor de </w:t>
      </w:r>
      <w:r w:rsidR="001F7014" w:rsidRPr="000508B6">
        <w:rPr>
          <w:rFonts w:ascii="Times New Roman" w:hAnsi="Times New Roman" w:cs="Times New Roman"/>
          <w:lang w:val="ro-MD"/>
        </w:rPr>
        <w:t xml:space="preserve">trezorerie </w:t>
      </w:r>
      <w:r w:rsidRPr="000508B6">
        <w:rPr>
          <w:rFonts w:ascii="Times New Roman" w:hAnsi="Times New Roman" w:cs="Times New Roman"/>
          <w:lang w:val="ro-MD"/>
        </w:rPr>
        <w:t xml:space="preserve">ale portofoliului de </w:t>
      </w:r>
      <w:r w:rsidR="00F02FCA" w:rsidRPr="000508B6">
        <w:rPr>
          <w:rFonts w:ascii="Times New Roman" w:hAnsi="Times New Roman" w:cs="Times New Roman"/>
          <w:lang w:val="ro-MD"/>
        </w:rPr>
        <w:t>obligații</w:t>
      </w:r>
      <w:r w:rsidR="00807EB2" w:rsidRPr="000508B6">
        <w:rPr>
          <w:rFonts w:ascii="Times New Roman" w:hAnsi="Times New Roman" w:cs="Times New Roman"/>
          <w:lang w:val="ro-MD"/>
        </w:rPr>
        <w:t xml:space="preserve"> de asigurare sau de reasigurare</w:t>
      </w:r>
      <w:r w:rsidRPr="000508B6">
        <w:rPr>
          <w:rFonts w:ascii="Times New Roman" w:hAnsi="Times New Roman" w:cs="Times New Roman"/>
          <w:lang w:val="ro-MD"/>
        </w:rPr>
        <w:t xml:space="preserve">, are drept rezultat o valoare egală cu cea mai bună estimare care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cont de valoarea în timp a banilor prin utilizarea structurii temporale relevante a ratei dobânzilor fără risc; </w:t>
      </w:r>
    </w:p>
    <w:p w14:paraId="145E9BF7" w14:textId="7763B914" w:rsidR="00F95829" w:rsidRPr="000508B6" w:rsidRDefault="00F95829" w:rsidP="004815A3">
      <w:pPr>
        <w:pStyle w:val="Listparagraf"/>
        <w:numPr>
          <w:ilvl w:val="2"/>
          <w:numId w:val="14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prima de echilibrare nu </w:t>
      </w:r>
      <w:r w:rsidR="00E14A90" w:rsidRPr="000508B6">
        <w:rPr>
          <w:rFonts w:ascii="Times New Roman" w:hAnsi="Times New Roman" w:cs="Times New Roman"/>
          <w:lang w:val="ro-MD"/>
        </w:rPr>
        <w:t xml:space="preserve">trebuie să </w:t>
      </w:r>
      <w:r w:rsidRPr="000508B6">
        <w:rPr>
          <w:rFonts w:ascii="Times New Roman" w:hAnsi="Times New Roman" w:cs="Times New Roman"/>
          <w:lang w:val="ro-MD"/>
        </w:rPr>
        <w:t>includ</w:t>
      </w:r>
      <w:r w:rsidR="00E14A90" w:rsidRPr="000508B6">
        <w:rPr>
          <w:rFonts w:ascii="Times New Roman" w:hAnsi="Times New Roman" w:cs="Times New Roman"/>
          <w:lang w:val="ro-MD"/>
        </w:rPr>
        <w:t>ă</w:t>
      </w:r>
      <w:r w:rsidRPr="000508B6">
        <w:rPr>
          <w:rFonts w:ascii="Times New Roman" w:hAnsi="Times New Roman" w:cs="Times New Roman"/>
          <w:lang w:val="ro-MD"/>
        </w:rPr>
        <w:t xml:space="preserve"> marja de credit istorică ce reflectă riscurile </w:t>
      </w:r>
      <w:r w:rsidR="00F02FCA" w:rsidRPr="000508B6">
        <w:rPr>
          <w:rFonts w:ascii="Times New Roman" w:hAnsi="Times New Roman" w:cs="Times New Roman"/>
          <w:lang w:val="ro-MD"/>
        </w:rPr>
        <w:t>reținute</w:t>
      </w:r>
      <w:r w:rsidRPr="000508B6">
        <w:rPr>
          <w:rFonts w:ascii="Times New Roman" w:hAnsi="Times New Roman" w:cs="Times New Roman"/>
          <w:lang w:val="ro-MD"/>
        </w:rPr>
        <w:t xml:space="preserve"> de </w:t>
      </w:r>
      <w:r w:rsidR="006253C5" w:rsidRPr="000508B6">
        <w:rPr>
          <w:rFonts w:ascii="Times New Roman" w:hAnsi="Times New Roman" w:cs="Times New Roman"/>
          <w:lang w:val="ro-MD"/>
        </w:rPr>
        <w:t xml:space="preserve">asigurător sau </w:t>
      </w:r>
      <w:proofErr w:type="spellStart"/>
      <w:r w:rsidR="006253C5" w:rsidRPr="000508B6">
        <w:rPr>
          <w:rFonts w:ascii="Times New Roman" w:hAnsi="Times New Roman" w:cs="Times New Roman"/>
          <w:lang w:val="ro-MD"/>
        </w:rPr>
        <w:t>reasigurător</w:t>
      </w:r>
      <w:proofErr w:type="spellEnd"/>
      <w:r w:rsidRPr="000508B6">
        <w:rPr>
          <w:rFonts w:ascii="Times New Roman" w:hAnsi="Times New Roman" w:cs="Times New Roman"/>
          <w:lang w:val="ro-MD"/>
        </w:rPr>
        <w:t>;</w:t>
      </w:r>
    </w:p>
    <w:p w14:paraId="0C920263" w14:textId="3098F4B9" w:rsidR="00F95829" w:rsidRPr="000508B6" w:rsidRDefault="00F95829" w:rsidP="00DE4225">
      <w:pPr>
        <w:pStyle w:val="Listparagraf"/>
        <w:numPr>
          <w:ilvl w:val="2"/>
          <w:numId w:val="14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fără a aduce atingere lit. a), marja de credit istorică se majorează atunci când este necesar pentru ca prima de echilibrare aplicată activelor cu o calitate a creditului inferioară să nu </w:t>
      </w:r>
      <w:r w:rsidR="00F02FCA" w:rsidRPr="000508B6">
        <w:rPr>
          <w:rFonts w:ascii="Times New Roman" w:hAnsi="Times New Roman" w:cs="Times New Roman"/>
          <w:lang w:val="ro-MD"/>
        </w:rPr>
        <w:t>depășească</w:t>
      </w:r>
      <w:r w:rsidRPr="000508B6">
        <w:rPr>
          <w:rFonts w:ascii="Times New Roman" w:hAnsi="Times New Roman" w:cs="Times New Roman"/>
          <w:lang w:val="ro-MD"/>
        </w:rPr>
        <w:t xml:space="preserve"> prima de echilibrare aplicată activelor cu o calitate a creditului superioară, ambele categorii de active având </w:t>
      </w:r>
      <w:r w:rsidR="00F02FCA" w:rsidRPr="000508B6">
        <w:rPr>
          <w:rFonts w:ascii="Times New Roman" w:hAnsi="Times New Roman" w:cs="Times New Roman"/>
          <w:lang w:val="ro-MD"/>
        </w:rPr>
        <w:t>aceeași</w:t>
      </w:r>
      <w:r w:rsidRPr="000508B6">
        <w:rPr>
          <w:rFonts w:ascii="Times New Roman" w:hAnsi="Times New Roman" w:cs="Times New Roman"/>
          <w:lang w:val="ro-MD"/>
        </w:rPr>
        <w:t xml:space="preserve"> durată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fiind încadrate în </w:t>
      </w:r>
      <w:r w:rsidR="00F02FCA" w:rsidRPr="000508B6">
        <w:rPr>
          <w:rFonts w:ascii="Times New Roman" w:hAnsi="Times New Roman" w:cs="Times New Roman"/>
          <w:lang w:val="ro-MD"/>
        </w:rPr>
        <w:t>aceeași</w:t>
      </w:r>
      <w:r w:rsidRPr="000508B6">
        <w:rPr>
          <w:rFonts w:ascii="Times New Roman" w:hAnsi="Times New Roman" w:cs="Times New Roman"/>
          <w:lang w:val="ro-MD"/>
        </w:rPr>
        <w:t xml:space="preserve"> clasă; </w:t>
      </w:r>
    </w:p>
    <w:p w14:paraId="58725785" w14:textId="760F2682" w:rsidR="00F95829" w:rsidRPr="000508B6" w:rsidRDefault="00F95829" w:rsidP="00DE4225">
      <w:pPr>
        <w:pStyle w:val="Listparagraf"/>
        <w:numPr>
          <w:ilvl w:val="2"/>
          <w:numId w:val="14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utilizarea evaluărilor externe ale creditului la calcularea primei de echilibrare se realizează în conformitate cu </w:t>
      </w:r>
      <w:r w:rsidR="00327EAA" w:rsidRPr="000508B6">
        <w:rPr>
          <w:rFonts w:ascii="Times New Roman" w:hAnsi="Times New Roman" w:cs="Times New Roman"/>
          <w:lang w:val="ro-MD"/>
        </w:rPr>
        <w:t>actele normative ale Băncii Naționale a Moldovei</w:t>
      </w:r>
      <w:r w:rsidRPr="000508B6">
        <w:rPr>
          <w:rFonts w:ascii="Times New Roman" w:hAnsi="Times New Roman" w:cs="Times New Roman"/>
          <w:lang w:val="ro-MD"/>
        </w:rPr>
        <w:t xml:space="preserve">. </w:t>
      </w:r>
    </w:p>
    <w:p w14:paraId="35947510" w14:textId="465EE19A" w:rsidR="00F95829" w:rsidRPr="000508B6" w:rsidRDefault="00F95829" w:rsidP="00CF5AFA">
      <w:pPr>
        <w:pStyle w:val="Listparagraf"/>
        <w:numPr>
          <w:ilvl w:val="0"/>
          <w:numId w:val="35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Marja de credit istorică </w:t>
      </w:r>
      <w:r w:rsidR="00F02FCA" w:rsidRPr="000508B6">
        <w:rPr>
          <w:rFonts w:ascii="Times New Roman" w:hAnsi="Times New Roman" w:cs="Times New Roman"/>
          <w:lang w:val="ro-MD"/>
        </w:rPr>
        <w:t>menționată</w:t>
      </w:r>
      <w:r w:rsidRPr="000508B6">
        <w:rPr>
          <w:rFonts w:ascii="Times New Roman" w:hAnsi="Times New Roman" w:cs="Times New Roman"/>
          <w:lang w:val="ro-MD"/>
        </w:rPr>
        <w:t xml:space="preserve"> la alin. (</w:t>
      </w:r>
      <w:r w:rsidR="00BD2ECB" w:rsidRPr="000508B6">
        <w:rPr>
          <w:rFonts w:ascii="Times New Roman" w:hAnsi="Times New Roman" w:cs="Times New Roman"/>
          <w:lang w:val="ro-MD"/>
        </w:rPr>
        <w:t>1</w:t>
      </w:r>
      <w:r w:rsidRPr="000508B6">
        <w:rPr>
          <w:rFonts w:ascii="Times New Roman" w:hAnsi="Times New Roman" w:cs="Times New Roman"/>
          <w:lang w:val="ro-MD"/>
        </w:rPr>
        <w:t xml:space="preserve">) lit. </w:t>
      </w:r>
      <w:r w:rsidR="00BD2ECB" w:rsidRPr="000508B6">
        <w:rPr>
          <w:rFonts w:ascii="Times New Roman" w:hAnsi="Times New Roman" w:cs="Times New Roman"/>
          <w:lang w:val="ro-MD"/>
        </w:rPr>
        <w:t>b</w:t>
      </w:r>
      <w:r w:rsidRPr="000508B6">
        <w:rPr>
          <w:rFonts w:ascii="Times New Roman" w:hAnsi="Times New Roman" w:cs="Times New Roman"/>
          <w:lang w:val="ro-MD"/>
        </w:rPr>
        <w:t xml:space="preserve">): </w:t>
      </w:r>
    </w:p>
    <w:p w14:paraId="1B5BC84C" w14:textId="5E6FFAF3" w:rsidR="00F95829" w:rsidRPr="000508B6" w:rsidRDefault="00F95829" w:rsidP="00CF5AFA">
      <w:pPr>
        <w:pStyle w:val="Listparagraf"/>
        <w:numPr>
          <w:ilvl w:val="2"/>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este egală cu suma următoarelor elemente:</w:t>
      </w:r>
    </w:p>
    <w:p w14:paraId="2B1FCB26" w14:textId="705D424F" w:rsidR="00F95829" w:rsidRPr="000508B6" w:rsidRDefault="00F95829" w:rsidP="00CF5AFA">
      <w:pPr>
        <w:pStyle w:val="Listparagraf"/>
        <w:numPr>
          <w:ilvl w:val="3"/>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marja de credit care corespunde </w:t>
      </w:r>
      <w:r w:rsidR="00F02FCA" w:rsidRPr="000508B6">
        <w:rPr>
          <w:rFonts w:ascii="Times New Roman" w:hAnsi="Times New Roman" w:cs="Times New Roman"/>
          <w:lang w:val="ro-MD"/>
        </w:rPr>
        <w:t>probabilității</w:t>
      </w:r>
      <w:r w:rsidRPr="000508B6">
        <w:rPr>
          <w:rFonts w:ascii="Times New Roman" w:hAnsi="Times New Roman" w:cs="Times New Roman"/>
          <w:lang w:val="ro-MD"/>
        </w:rPr>
        <w:t xml:space="preserve"> de neîncasare a </w:t>
      </w:r>
      <w:r w:rsidR="00F02FCA" w:rsidRPr="000508B6">
        <w:rPr>
          <w:rFonts w:ascii="Times New Roman" w:hAnsi="Times New Roman" w:cs="Times New Roman"/>
          <w:lang w:val="ro-MD"/>
        </w:rPr>
        <w:t>creanțelor</w:t>
      </w:r>
      <w:r w:rsidRPr="000508B6">
        <w:rPr>
          <w:rFonts w:ascii="Times New Roman" w:hAnsi="Times New Roman" w:cs="Times New Roman"/>
          <w:lang w:val="ro-MD"/>
        </w:rPr>
        <w:t xml:space="preserve"> aferente activelor determinată pe baza datelor statistice pe termen lung privind active cu </w:t>
      </w:r>
      <w:proofErr w:type="spellStart"/>
      <w:r w:rsidRPr="000508B6">
        <w:rPr>
          <w:rFonts w:ascii="Times New Roman" w:hAnsi="Times New Roman" w:cs="Times New Roman"/>
          <w:lang w:val="ro-MD"/>
        </w:rPr>
        <w:t>aceeaşi</w:t>
      </w:r>
      <w:proofErr w:type="spellEnd"/>
      <w:r w:rsidRPr="000508B6">
        <w:rPr>
          <w:rFonts w:ascii="Times New Roman" w:hAnsi="Times New Roman" w:cs="Times New Roman"/>
          <w:lang w:val="ro-MD"/>
        </w:rPr>
        <w:t xml:space="preserve"> durată, calitate a creditului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încadrate în </w:t>
      </w:r>
      <w:proofErr w:type="spellStart"/>
      <w:r w:rsidRPr="000508B6">
        <w:rPr>
          <w:rFonts w:ascii="Times New Roman" w:hAnsi="Times New Roman" w:cs="Times New Roman"/>
          <w:lang w:val="ro-MD"/>
        </w:rPr>
        <w:t>aceeaşi</w:t>
      </w:r>
      <w:proofErr w:type="spellEnd"/>
      <w:r w:rsidRPr="000508B6">
        <w:rPr>
          <w:rFonts w:ascii="Times New Roman" w:hAnsi="Times New Roman" w:cs="Times New Roman"/>
          <w:lang w:val="ro-MD"/>
        </w:rPr>
        <w:t xml:space="preserve"> clasă; </w:t>
      </w:r>
    </w:p>
    <w:p w14:paraId="7DC14BD7" w14:textId="281B4458" w:rsidR="00F95829" w:rsidRPr="000508B6" w:rsidRDefault="00C42CC0" w:rsidP="00CF5AFA">
      <w:pPr>
        <w:pStyle w:val="Listparagraf"/>
        <w:numPr>
          <w:ilvl w:val="3"/>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marja de credit care corespunde pierderii estimate în urma diminuării </w:t>
      </w:r>
      <w:proofErr w:type="spellStart"/>
      <w:r w:rsidR="00F95829" w:rsidRPr="000508B6">
        <w:rPr>
          <w:rFonts w:ascii="Times New Roman" w:hAnsi="Times New Roman" w:cs="Times New Roman"/>
          <w:lang w:val="ro-MD"/>
        </w:rPr>
        <w:t>calităţii</w:t>
      </w:r>
      <w:proofErr w:type="spellEnd"/>
      <w:r w:rsidR="00F95829" w:rsidRPr="000508B6">
        <w:rPr>
          <w:rFonts w:ascii="Times New Roman" w:hAnsi="Times New Roman" w:cs="Times New Roman"/>
          <w:lang w:val="ro-MD"/>
        </w:rPr>
        <w:t xml:space="preserve"> activelor; </w:t>
      </w:r>
    </w:p>
    <w:p w14:paraId="7B876B8A" w14:textId="6EB67B95" w:rsidR="00F95829" w:rsidRPr="000508B6" w:rsidRDefault="00F95829" w:rsidP="00CF5AFA">
      <w:pPr>
        <w:pStyle w:val="Listparagraf"/>
        <w:numPr>
          <w:ilvl w:val="0"/>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expunerilor </w:t>
      </w:r>
      <w:proofErr w:type="spellStart"/>
      <w:r w:rsidRPr="000508B6">
        <w:rPr>
          <w:rFonts w:ascii="Times New Roman" w:hAnsi="Times New Roman" w:cs="Times New Roman"/>
          <w:lang w:val="ro-MD"/>
        </w:rPr>
        <w:t>faţă</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administraţiile</w:t>
      </w:r>
      <w:proofErr w:type="spellEnd"/>
      <w:r w:rsidRPr="000508B6">
        <w:rPr>
          <w:rFonts w:ascii="Times New Roman" w:hAnsi="Times New Roman" w:cs="Times New Roman"/>
          <w:lang w:val="ro-MD"/>
        </w:rPr>
        <w:t xml:space="preserve"> </w:t>
      </w:r>
      <w:r w:rsidR="00B768FF" w:rsidRPr="000508B6">
        <w:rPr>
          <w:rFonts w:ascii="Times New Roman" w:hAnsi="Times New Roman" w:cs="Times New Roman"/>
          <w:lang w:val="ro-MD"/>
        </w:rPr>
        <w:t xml:space="preserve">centrale și băncile </w:t>
      </w:r>
      <w:r w:rsidRPr="000508B6">
        <w:rPr>
          <w:rFonts w:ascii="Times New Roman" w:hAnsi="Times New Roman" w:cs="Times New Roman"/>
          <w:lang w:val="ro-MD"/>
        </w:rPr>
        <w:t xml:space="preserve">centrale, este egală cu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30% din media pe termen lung a marjei de credit peste rata dobânzilor fără risc ale activelor cu </w:t>
      </w:r>
      <w:proofErr w:type="spellStart"/>
      <w:r w:rsidRPr="000508B6">
        <w:rPr>
          <w:rFonts w:ascii="Times New Roman" w:hAnsi="Times New Roman" w:cs="Times New Roman"/>
          <w:lang w:val="ro-MD"/>
        </w:rPr>
        <w:t>aceeaşi</w:t>
      </w:r>
      <w:proofErr w:type="spellEnd"/>
      <w:r w:rsidRPr="000508B6">
        <w:rPr>
          <w:rFonts w:ascii="Times New Roman" w:hAnsi="Times New Roman" w:cs="Times New Roman"/>
          <w:lang w:val="ro-MD"/>
        </w:rPr>
        <w:t xml:space="preserve"> durată, calitate a creditului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încadrate în </w:t>
      </w:r>
      <w:proofErr w:type="spellStart"/>
      <w:r w:rsidRPr="000508B6">
        <w:rPr>
          <w:rFonts w:ascii="Times New Roman" w:hAnsi="Times New Roman" w:cs="Times New Roman"/>
          <w:lang w:val="ro-MD"/>
        </w:rPr>
        <w:t>aceeaşi</w:t>
      </w:r>
      <w:proofErr w:type="spellEnd"/>
      <w:r w:rsidRPr="000508B6">
        <w:rPr>
          <w:rFonts w:ascii="Times New Roman" w:hAnsi="Times New Roman" w:cs="Times New Roman"/>
          <w:lang w:val="ro-MD"/>
        </w:rPr>
        <w:t xml:space="preserve"> clasă, observabile în </w:t>
      </w:r>
      <w:proofErr w:type="spellStart"/>
      <w:r w:rsidRPr="000508B6">
        <w:rPr>
          <w:rFonts w:ascii="Times New Roman" w:hAnsi="Times New Roman" w:cs="Times New Roman"/>
          <w:lang w:val="ro-MD"/>
        </w:rPr>
        <w:t>pieţele</w:t>
      </w:r>
      <w:proofErr w:type="spellEnd"/>
      <w:r w:rsidRPr="000508B6">
        <w:rPr>
          <w:rFonts w:ascii="Times New Roman" w:hAnsi="Times New Roman" w:cs="Times New Roman"/>
          <w:lang w:val="ro-MD"/>
        </w:rPr>
        <w:t xml:space="preserve"> financiare; </w:t>
      </w:r>
    </w:p>
    <w:p w14:paraId="153597D4" w14:textId="1ADA17C6" w:rsidR="00F95829" w:rsidRPr="000508B6" w:rsidRDefault="00F95829" w:rsidP="00CF5AFA">
      <w:pPr>
        <w:pStyle w:val="Listparagraf"/>
        <w:numPr>
          <w:ilvl w:val="0"/>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altor active decât expunerile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b), este egală cu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35% din media pe termen lung a marjei de credit peste rata dobânzilor fără risc ale activelor cu </w:t>
      </w:r>
      <w:proofErr w:type="spellStart"/>
      <w:r w:rsidRPr="000508B6">
        <w:rPr>
          <w:rFonts w:ascii="Times New Roman" w:hAnsi="Times New Roman" w:cs="Times New Roman"/>
          <w:lang w:val="ro-MD"/>
        </w:rPr>
        <w:t>aceeaşi</w:t>
      </w:r>
      <w:proofErr w:type="spellEnd"/>
      <w:r w:rsidRPr="000508B6">
        <w:rPr>
          <w:rFonts w:ascii="Times New Roman" w:hAnsi="Times New Roman" w:cs="Times New Roman"/>
          <w:lang w:val="ro-MD"/>
        </w:rPr>
        <w:t xml:space="preserve"> durată, calitate a creditului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încadrate în </w:t>
      </w:r>
      <w:r w:rsidR="0071204B" w:rsidRPr="000508B6">
        <w:rPr>
          <w:rFonts w:ascii="Times New Roman" w:hAnsi="Times New Roman" w:cs="Times New Roman"/>
          <w:lang w:val="ro-MD"/>
        </w:rPr>
        <w:t>aceeași</w:t>
      </w:r>
      <w:r w:rsidRPr="000508B6">
        <w:rPr>
          <w:rFonts w:ascii="Times New Roman" w:hAnsi="Times New Roman" w:cs="Times New Roman"/>
          <w:lang w:val="ro-MD"/>
        </w:rPr>
        <w:t xml:space="preserve"> clasă, observabile în </w:t>
      </w:r>
      <w:proofErr w:type="spellStart"/>
      <w:r w:rsidRPr="000508B6">
        <w:rPr>
          <w:rFonts w:ascii="Times New Roman" w:hAnsi="Times New Roman" w:cs="Times New Roman"/>
          <w:lang w:val="ro-MD"/>
        </w:rPr>
        <w:t>pieţele</w:t>
      </w:r>
      <w:proofErr w:type="spellEnd"/>
      <w:r w:rsidRPr="000508B6">
        <w:rPr>
          <w:rFonts w:ascii="Times New Roman" w:hAnsi="Times New Roman" w:cs="Times New Roman"/>
          <w:lang w:val="ro-MD"/>
        </w:rPr>
        <w:t xml:space="preserve"> financiare; </w:t>
      </w:r>
    </w:p>
    <w:p w14:paraId="440E5BE2" w14:textId="776E1A79" w:rsidR="00F95829" w:rsidRPr="000508B6" w:rsidRDefault="00F95829" w:rsidP="00CF5AFA">
      <w:pPr>
        <w:pStyle w:val="Listparagraf"/>
        <w:numPr>
          <w:ilvl w:val="0"/>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corespunde procentelor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 în cazul în care nu se poate determina o marjă de credit credibilă din datele statistice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a) pct. (i).</w:t>
      </w:r>
      <w:r w:rsidR="00574DF4" w:rsidRPr="000508B6">
        <w:rPr>
          <w:rFonts w:ascii="Times New Roman" w:hAnsi="Times New Roman" w:cs="Times New Roman"/>
          <w:lang w:val="ro-MD"/>
        </w:rPr>
        <w:t xml:space="preserve"> </w:t>
      </w:r>
      <w:r w:rsidRPr="000508B6">
        <w:rPr>
          <w:rFonts w:ascii="Times New Roman" w:hAnsi="Times New Roman" w:cs="Times New Roman"/>
          <w:lang w:val="ro-MD"/>
        </w:rPr>
        <w:t xml:space="preserve"> </w:t>
      </w:r>
    </w:p>
    <w:p w14:paraId="2A84D228" w14:textId="77777777" w:rsidR="00DF2770" w:rsidRPr="000508B6" w:rsidRDefault="00DF2770">
      <w:pPr>
        <w:pStyle w:val="Listparagraf"/>
        <w:spacing w:after="0" w:line="240" w:lineRule="auto"/>
        <w:ind w:left="426"/>
        <w:jc w:val="both"/>
        <w:rPr>
          <w:rFonts w:ascii="Times New Roman" w:hAnsi="Times New Roman" w:cs="Times New Roman"/>
          <w:b/>
          <w:bCs/>
          <w:lang w:val="ro-MD"/>
        </w:rPr>
      </w:pPr>
    </w:p>
    <w:p w14:paraId="7AB0E9AB" w14:textId="59F2073C" w:rsidR="00161E1D" w:rsidRPr="000508B6" w:rsidRDefault="00161E1D" w:rsidP="0091031E">
      <w:pPr>
        <w:pStyle w:val="Listparagraf"/>
        <w:spacing w:after="0" w:line="240" w:lineRule="auto"/>
        <w:ind w:left="0" w:firstLine="426"/>
        <w:jc w:val="both"/>
        <w:rPr>
          <w:rFonts w:ascii="Times New Roman" w:hAnsi="Times New Roman" w:cs="Times New Roman"/>
          <w:b/>
          <w:bCs/>
          <w:lang w:val="ro-MD"/>
        </w:rPr>
      </w:pPr>
      <w:bookmarkStart w:id="105" w:name="_Hlk186788694"/>
      <w:r w:rsidRPr="000508B6">
        <w:rPr>
          <w:rFonts w:ascii="Times New Roman" w:hAnsi="Times New Roman" w:cs="Times New Roman"/>
          <w:b/>
          <w:bCs/>
          <w:lang w:val="ro-MD"/>
        </w:rPr>
        <w:t xml:space="preserve">Articolul </w:t>
      </w:r>
      <w:r w:rsidR="00C8492A" w:rsidRPr="000508B6">
        <w:rPr>
          <w:rFonts w:ascii="Times New Roman" w:hAnsi="Times New Roman" w:cs="Times New Roman"/>
          <w:b/>
          <w:bCs/>
          <w:lang w:val="ro-MD"/>
        </w:rPr>
        <w:t>47</w:t>
      </w:r>
      <w:r w:rsidR="00EA5F68" w:rsidRPr="000508B6">
        <w:rPr>
          <w:rFonts w:ascii="Times New Roman" w:hAnsi="Times New Roman" w:cs="Times New Roman"/>
          <w:b/>
          <w:bCs/>
          <w:lang w:val="ro-MD"/>
        </w:rPr>
        <w:t>.</w:t>
      </w:r>
      <w:r w:rsidRPr="000508B6">
        <w:rPr>
          <w:rFonts w:ascii="Times New Roman" w:hAnsi="Times New Roman" w:cs="Times New Roman"/>
          <w:b/>
          <w:bCs/>
          <w:lang w:val="ro-MD"/>
        </w:rPr>
        <w:t xml:space="preserve"> </w:t>
      </w:r>
      <w:r w:rsidRPr="000508B6">
        <w:rPr>
          <w:rFonts w:ascii="Times New Roman" w:hAnsi="Times New Roman" w:cs="Times New Roman"/>
          <w:lang w:val="ro-MD"/>
        </w:rPr>
        <w:t xml:space="preserve">Prima de volatilitate </w:t>
      </w:r>
    </w:p>
    <w:bookmarkEnd w:id="105"/>
    <w:p w14:paraId="3F4353E5" w14:textId="71D8E37E" w:rsidR="00291F11" w:rsidRPr="000508B6" w:rsidRDefault="00CC460A"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815EF5" w:rsidRPr="000508B6">
        <w:rPr>
          <w:rFonts w:ascii="Times New Roman" w:hAnsi="Times New Roman" w:cs="Times New Roman"/>
          <w:lang w:val="ro-MD"/>
        </w:rPr>
        <w:t>care intenționează să aplice prima de volatilitate structurii temporale relevante a ratei dobânzilor fără risc pentru a calcula cea mai bună estimare, menționată la art. 43 alin.</w:t>
      </w:r>
      <w:r w:rsidR="004815A3" w:rsidRPr="000508B6">
        <w:rPr>
          <w:rFonts w:ascii="Times New Roman" w:hAnsi="Times New Roman" w:cs="Times New Roman"/>
          <w:lang w:val="ro-MD"/>
        </w:rPr>
        <w:t xml:space="preserve"> </w:t>
      </w:r>
      <w:r w:rsidR="00815EF5" w:rsidRPr="000508B6">
        <w:rPr>
          <w:rFonts w:ascii="Times New Roman" w:hAnsi="Times New Roman" w:cs="Times New Roman"/>
          <w:lang w:val="ro-MD"/>
        </w:rPr>
        <w:t>(2)-(5) solicită aprobarea Băncii Naționale a Moldovei în cazul în care sunt îndeplinite cel puțin următoarele condiții</w:t>
      </w:r>
      <w:r w:rsidR="00291F11" w:rsidRPr="000508B6">
        <w:rPr>
          <w:rFonts w:ascii="Times New Roman" w:hAnsi="Times New Roman" w:cs="Times New Roman"/>
          <w:lang w:val="ro-MD"/>
        </w:rPr>
        <w:t>:</w:t>
      </w:r>
    </w:p>
    <w:p w14:paraId="14F64A04" w14:textId="434513D1" w:rsidR="00291F11" w:rsidRPr="000508B6" w:rsidRDefault="00291F11" w:rsidP="00DE4225">
      <w:pPr>
        <w:pStyle w:val="Listparagraf"/>
        <w:numPr>
          <w:ilvl w:val="2"/>
          <w:numId w:val="305"/>
        </w:numPr>
        <w:tabs>
          <w:tab w:val="left" w:pos="426"/>
          <w:tab w:val="left" w:pos="709"/>
          <w:tab w:val="left" w:pos="993"/>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prima de volatilitate pentru o anumită monedă se aplică la calcularea celei mai bune estimări a tuturor obligațiilor de asigurare și de reasigurare care sunt exprimate în moneda respectivă, în cazul în care structura temporală relevantă a ratei dobânzilor fără risc utilizată pentru calcularea celei mai bune estimări a obligațiilor respective nu include o primă de echilibrare, astfel cum este menționată la art</w:t>
      </w:r>
      <w:r w:rsidR="00BB026E" w:rsidRPr="000508B6">
        <w:rPr>
          <w:rFonts w:ascii="Times New Roman" w:hAnsi="Times New Roman" w:cs="Times New Roman"/>
          <w:lang w:val="ro-MD"/>
        </w:rPr>
        <w:t>. 45</w:t>
      </w:r>
      <w:r w:rsidRPr="000508B6">
        <w:rPr>
          <w:rFonts w:ascii="Times New Roman" w:hAnsi="Times New Roman" w:cs="Times New Roman"/>
          <w:lang w:val="ro-MD"/>
        </w:rPr>
        <w:t xml:space="preserve">; </w:t>
      </w:r>
    </w:p>
    <w:p w14:paraId="4AC5900F" w14:textId="4101ABAF" w:rsidR="00291F11" w:rsidRPr="000508B6" w:rsidRDefault="00291F11" w:rsidP="00DE4225">
      <w:pPr>
        <w:pStyle w:val="Listparagraf"/>
        <w:numPr>
          <w:ilvl w:val="0"/>
          <w:numId w:val="305"/>
        </w:numPr>
        <w:tabs>
          <w:tab w:val="left" w:pos="426"/>
          <w:tab w:val="left" w:pos="709"/>
          <w:tab w:val="left" w:pos="993"/>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 demonstrează</w:t>
      </w:r>
      <w:r w:rsidR="004B7DA6" w:rsidRPr="000508B6">
        <w:rPr>
          <w:rFonts w:ascii="Times New Roman" w:hAnsi="Times New Roman" w:cs="Times New Roman"/>
          <w:lang w:val="ro-MD"/>
        </w:rPr>
        <w:t>, într-un mod considerat convingător de</w:t>
      </w:r>
      <w:r w:rsidRPr="000508B6">
        <w:rPr>
          <w:rFonts w:ascii="Times New Roman" w:hAnsi="Times New Roman" w:cs="Times New Roman"/>
          <w:lang w:val="ro-MD"/>
        </w:rPr>
        <w:t xml:space="preserve"> </w:t>
      </w:r>
      <w:r w:rsidR="00DC2C46" w:rsidRPr="000508B6">
        <w:rPr>
          <w:rFonts w:ascii="Times New Roman" w:hAnsi="Times New Roman" w:cs="Times New Roman"/>
          <w:lang w:val="ro-MD"/>
        </w:rPr>
        <w:t xml:space="preserve">Banca </w:t>
      </w:r>
      <w:r w:rsidR="00453E5A" w:rsidRPr="000508B6">
        <w:rPr>
          <w:rFonts w:ascii="Times New Roman" w:hAnsi="Times New Roman" w:cs="Times New Roman"/>
          <w:lang w:val="ro-MD"/>
        </w:rPr>
        <w:t>Național</w:t>
      </w:r>
      <w:r w:rsidR="004B7DA6" w:rsidRPr="000508B6">
        <w:rPr>
          <w:rFonts w:ascii="Times New Roman" w:hAnsi="Times New Roman" w:cs="Times New Roman"/>
          <w:lang w:val="ro-MD"/>
        </w:rPr>
        <w:t>ă</w:t>
      </w:r>
      <w:r w:rsidR="00453E5A" w:rsidRPr="000508B6">
        <w:rPr>
          <w:rFonts w:ascii="Times New Roman" w:hAnsi="Times New Roman" w:cs="Times New Roman"/>
          <w:lang w:val="ro-MD"/>
        </w:rPr>
        <w:t xml:space="preserve"> </w:t>
      </w:r>
      <w:r w:rsidRPr="000508B6">
        <w:rPr>
          <w:rFonts w:ascii="Times New Roman" w:hAnsi="Times New Roman" w:cs="Times New Roman"/>
          <w:lang w:val="ro-MD"/>
        </w:rPr>
        <w:t xml:space="preserve">a Moldovei, că a instituit procese adecvate pentru calcularea primei de volatilitate în </w:t>
      </w:r>
      <w:r w:rsidR="00F41538" w:rsidRPr="000508B6">
        <w:rPr>
          <w:rFonts w:ascii="Times New Roman" w:hAnsi="Times New Roman" w:cs="Times New Roman"/>
          <w:lang w:val="ro-MD"/>
        </w:rPr>
        <w:t>conformitate cu Anexa 4 și 5</w:t>
      </w:r>
      <w:r w:rsidRPr="000508B6">
        <w:rPr>
          <w:rFonts w:ascii="Times New Roman" w:hAnsi="Times New Roman" w:cs="Times New Roman"/>
          <w:lang w:val="ro-MD"/>
        </w:rPr>
        <w:t>.</w:t>
      </w:r>
      <w:r w:rsidR="00127CE3" w:rsidRPr="000508B6">
        <w:rPr>
          <w:rFonts w:ascii="Times New Roman" w:hAnsi="Times New Roman" w:cs="Times New Roman"/>
          <w:lang w:val="ro-MD"/>
        </w:rPr>
        <w:t xml:space="preserve"> </w:t>
      </w:r>
    </w:p>
    <w:p w14:paraId="35FFB7D6" w14:textId="1F7E0061" w:rsidR="00291F11"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r w:rsidR="00835F0B" w:rsidRPr="000508B6">
        <w:rPr>
          <w:rFonts w:ascii="Times New Roman" w:hAnsi="Times New Roman" w:cs="Times New Roman"/>
          <w:lang w:val="ro-MD"/>
        </w:rPr>
        <w:t>interzice</w:t>
      </w:r>
      <w:r w:rsidR="00815EF5" w:rsidRPr="000508B6">
        <w:rPr>
          <w:rFonts w:ascii="Times New Roman" w:hAnsi="Times New Roman" w:cs="Times New Roman"/>
          <w:lang w:val="ro-MD"/>
        </w:rPr>
        <w:t xml:space="preserve"> </w:t>
      </w:r>
      <w:r w:rsidR="00CC460A" w:rsidRPr="000508B6">
        <w:rPr>
          <w:rFonts w:ascii="Times New Roman" w:hAnsi="Times New Roman" w:cs="Times New Roman"/>
          <w:lang w:val="ro-MD"/>
        </w:rPr>
        <w:t xml:space="preserve">asigurătorului sau </w:t>
      </w:r>
      <w:proofErr w:type="spellStart"/>
      <w:r w:rsidR="00CC460A" w:rsidRPr="000508B6">
        <w:rPr>
          <w:rFonts w:ascii="Times New Roman" w:hAnsi="Times New Roman" w:cs="Times New Roman"/>
          <w:lang w:val="ro-MD"/>
        </w:rPr>
        <w:t>reasigurătorului</w:t>
      </w:r>
      <w:proofErr w:type="spellEnd"/>
      <w:r w:rsidR="00835F0B" w:rsidRPr="000508B6">
        <w:rPr>
          <w:rFonts w:ascii="Times New Roman" w:hAnsi="Times New Roman" w:cs="Times New Roman"/>
          <w:lang w:val="ro-MD"/>
        </w:rPr>
        <w:t>, prin decizie motivată, să mai aplice</w:t>
      </w:r>
      <w:r w:rsidRPr="000508B6">
        <w:rPr>
          <w:rFonts w:ascii="Times New Roman" w:hAnsi="Times New Roman" w:cs="Times New Roman"/>
          <w:lang w:val="ro-MD"/>
        </w:rPr>
        <w:t xml:space="preserve"> prim</w:t>
      </w:r>
      <w:r w:rsidR="00835F0B" w:rsidRPr="000508B6">
        <w:rPr>
          <w:rFonts w:ascii="Times New Roman" w:hAnsi="Times New Roman" w:cs="Times New Roman"/>
          <w:lang w:val="ro-MD"/>
        </w:rPr>
        <w:t>a</w:t>
      </w:r>
      <w:r w:rsidRPr="000508B6">
        <w:rPr>
          <w:rFonts w:ascii="Times New Roman" w:hAnsi="Times New Roman" w:cs="Times New Roman"/>
          <w:lang w:val="ro-MD"/>
        </w:rPr>
        <w:t xml:space="preserve"> de volatilitate a structurii temporale relevante a ratei dobânzilor fără risc pentru calcularea celei mai bune estimări </w:t>
      </w:r>
      <w:r w:rsidR="00E32398" w:rsidRPr="000508B6">
        <w:rPr>
          <w:rFonts w:ascii="Times New Roman" w:hAnsi="Times New Roman" w:cs="Times New Roman"/>
          <w:lang w:val="ro-MD"/>
        </w:rPr>
        <w:t xml:space="preserve">menționate la art. 43 alin. (2)-(5) </w:t>
      </w:r>
      <w:r w:rsidRPr="000508B6">
        <w:rPr>
          <w:rFonts w:ascii="Times New Roman" w:hAnsi="Times New Roman" w:cs="Times New Roman"/>
          <w:lang w:val="ro-MD"/>
        </w:rPr>
        <w:t xml:space="preserve">în cazul în care </w:t>
      </w:r>
      <w:r w:rsidR="00D32686" w:rsidRPr="000508B6">
        <w:rPr>
          <w:rFonts w:ascii="Times New Roman" w:hAnsi="Times New Roman" w:cs="Times New Roman"/>
          <w:lang w:val="ro-MD"/>
        </w:rPr>
        <w:t xml:space="preserve">aceasta </w:t>
      </w:r>
      <w:r w:rsidRPr="000508B6">
        <w:rPr>
          <w:rFonts w:ascii="Times New Roman" w:hAnsi="Times New Roman" w:cs="Times New Roman"/>
          <w:lang w:val="ro-MD"/>
        </w:rPr>
        <w:t>nu mai îndeplinește condițiile pentru aprobare</w:t>
      </w:r>
      <w:r w:rsidR="00D32686" w:rsidRPr="000508B6">
        <w:rPr>
          <w:rFonts w:ascii="Times New Roman" w:hAnsi="Times New Roman" w:cs="Times New Roman"/>
          <w:lang w:val="ro-MD"/>
        </w:rPr>
        <w:t>a</w:t>
      </w:r>
      <w:r w:rsidRPr="000508B6">
        <w:rPr>
          <w:rFonts w:ascii="Times New Roman" w:hAnsi="Times New Roman" w:cs="Times New Roman"/>
          <w:lang w:val="ro-MD"/>
        </w:rPr>
        <w:t xml:space="preserve"> </w:t>
      </w:r>
      <w:r w:rsidR="00D32686" w:rsidRPr="000508B6">
        <w:rPr>
          <w:rFonts w:ascii="Times New Roman" w:hAnsi="Times New Roman" w:cs="Times New Roman"/>
          <w:lang w:val="ro-MD"/>
        </w:rPr>
        <w:t xml:space="preserve">prevăzută </w:t>
      </w:r>
      <w:r w:rsidRPr="000508B6">
        <w:rPr>
          <w:rFonts w:ascii="Times New Roman" w:hAnsi="Times New Roman" w:cs="Times New Roman"/>
          <w:lang w:val="ro-MD"/>
        </w:rPr>
        <w:t>la alin.</w:t>
      </w:r>
      <w:r w:rsidR="004815A3" w:rsidRPr="000508B6">
        <w:rPr>
          <w:rFonts w:ascii="Times New Roman" w:hAnsi="Times New Roman" w:cs="Times New Roman"/>
          <w:lang w:val="ro-MD"/>
        </w:rPr>
        <w:t xml:space="preserve"> </w:t>
      </w:r>
      <w:r w:rsidRPr="000508B6">
        <w:rPr>
          <w:rFonts w:ascii="Times New Roman" w:hAnsi="Times New Roman" w:cs="Times New Roman"/>
          <w:lang w:val="ro-MD"/>
        </w:rPr>
        <w:t xml:space="preserve">(1). În cazul în care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46300F" w:rsidRPr="000508B6">
        <w:rPr>
          <w:rFonts w:ascii="Times New Roman" w:hAnsi="Times New Roman" w:cs="Times New Roman"/>
          <w:lang w:val="ro-MD"/>
        </w:rPr>
        <w:t xml:space="preserve"> </w:t>
      </w:r>
      <w:r w:rsidRPr="000508B6">
        <w:rPr>
          <w:rFonts w:ascii="Times New Roman" w:hAnsi="Times New Roman" w:cs="Times New Roman"/>
          <w:lang w:val="ro-MD"/>
        </w:rPr>
        <w:t xml:space="preserve">restabilește conformitatea cu condițiile respective, aceasta solicita </w:t>
      </w:r>
      <w:r w:rsidR="00D32686" w:rsidRPr="000508B6">
        <w:rPr>
          <w:rFonts w:ascii="Times New Roman" w:hAnsi="Times New Roman" w:cs="Times New Roman"/>
          <w:lang w:val="ro-MD"/>
        </w:rPr>
        <w:t xml:space="preserve">din nou </w:t>
      </w:r>
      <w:r w:rsidRPr="000508B6">
        <w:rPr>
          <w:rFonts w:ascii="Times New Roman" w:hAnsi="Times New Roman" w:cs="Times New Roman"/>
          <w:lang w:val="ro-MD"/>
        </w:rPr>
        <w:t>aprobarea în temeiul alin. (1).</w:t>
      </w:r>
    </w:p>
    <w:p w14:paraId="533765E5" w14:textId="3B9A02A8" w:rsidR="00291F11" w:rsidRPr="000508B6" w:rsidRDefault="00D068AA"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46300F" w:rsidRPr="000508B6">
        <w:rPr>
          <w:rFonts w:ascii="Times New Roman" w:hAnsi="Times New Roman" w:cs="Times New Roman"/>
          <w:lang w:val="ro-MD"/>
        </w:rPr>
        <w:t xml:space="preserve"> </w:t>
      </w:r>
      <w:r w:rsidR="00D32686" w:rsidRPr="000508B6">
        <w:rPr>
          <w:rFonts w:ascii="Times New Roman" w:hAnsi="Times New Roman" w:cs="Times New Roman"/>
          <w:lang w:val="ro-MD"/>
        </w:rPr>
        <w:t>solicită</w:t>
      </w:r>
      <w:r w:rsidR="008378CF" w:rsidRPr="000508B6">
        <w:rPr>
          <w:rFonts w:ascii="Times New Roman" w:hAnsi="Times New Roman" w:cs="Times New Roman"/>
          <w:lang w:val="ro-MD"/>
        </w:rPr>
        <w:t xml:space="preserve"> aprobarea</w:t>
      </w:r>
      <w:r w:rsidR="00291F11" w:rsidRPr="000508B6">
        <w:rPr>
          <w:rFonts w:ascii="Times New Roman" w:hAnsi="Times New Roman" w:cs="Times New Roman"/>
          <w:lang w:val="ro-MD"/>
        </w:rPr>
        <w:t xml:space="preserve"> </w:t>
      </w:r>
      <w:r w:rsidR="00D32686" w:rsidRPr="000508B6">
        <w:rPr>
          <w:rFonts w:ascii="Times New Roman" w:hAnsi="Times New Roman" w:cs="Times New Roman"/>
          <w:lang w:val="ro-MD"/>
        </w:rPr>
        <w:t xml:space="preserve">Băncii Naționale </w:t>
      </w:r>
      <w:r w:rsidR="00291F11" w:rsidRPr="000508B6">
        <w:rPr>
          <w:rFonts w:ascii="Times New Roman" w:hAnsi="Times New Roman" w:cs="Times New Roman"/>
          <w:lang w:val="ro-MD"/>
        </w:rPr>
        <w:t>a Moldovei,</w:t>
      </w:r>
      <w:r w:rsidR="00D32686" w:rsidRPr="000508B6">
        <w:rPr>
          <w:rFonts w:ascii="Times New Roman" w:hAnsi="Times New Roman" w:cs="Times New Roman"/>
          <w:lang w:val="ro-MD"/>
        </w:rPr>
        <w:t xml:space="preserve"> în cazul în care intenționează</w:t>
      </w:r>
      <w:r w:rsidR="00291F11" w:rsidRPr="000508B6">
        <w:rPr>
          <w:rFonts w:ascii="Times New Roman" w:hAnsi="Times New Roman" w:cs="Times New Roman"/>
          <w:lang w:val="ro-MD"/>
        </w:rPr>
        <w:t xml:space="preserve"> să aplice o ajustare specifică marjei corectate în funcție de risc a monedei menționate </w:t>
      </w:r>
      <w:r w:rsidR="00D32686" w:rsidRPr="000508B6">
        <w:rPr>
          <w:rFonts w:ascii="Times New Roman" w:hAnsi="Times New Roman" w:cs="Times New Roman"/>
          <w:lang w:val="ro-MD"/>
        </w:rPr>
        <w:t xml:space="preserve">în </w:t>
      </w:r>
      <w:r w:rsidR="0083646C" w:rsidRPr="000508B6">
        <w:rPr>
          <w:rFonts w:ascii="Times New Roman" w:hAnsi="Times New Roman" w:cs="Times New Roman"/>
          <w:lang w:val="ro-MD"/>
        </w:rPr>
        <w:t>Anexa nr.</w:t>
      </w:r>
      <w:r w:rsidR="000D3E2E" w:rsidRPr="000508B6">
        <w:rPr>
          <w:rFonts w:ascii="Times New Roman" w:hAnsi="Times New Roman" w:cs="Times New Roman"/>
          <w:lang w:val="ro-MD"/>
        </w:rPr>
        <w:t xml:space="preserve"> </w:t>
      </w:r>
      <w:r w:rsidR="0083646C" w:rsidRPr="000508B6">
        <w:rPr>
          <w:rFonts w:ascii="Times New Roman" w:hAnsi="Times New Roman" w:cs="Times New Roman"/>
          <w:lang w:val="ro-MD"/>
        </w:rPr>
        <w:t xml:space="preserve">4 </w:t>
      </w:r>
      <w:r w:rsidR="00D32686" w:rsidRPr="000508B6">
        <w:rPr>
          <w:rFonts w:ascii="Times New Roman" w:hAnsi="Times New Roman" w:cs="Times New Roman"/>
          <w:lang w:val="ro-MD"/>
        </w:rPr>
        <w:t xml:space="preserve">o ajustare specifică conform alin. (4) </w:t>
      </w:r>
      <w:r w:rsidR="00291F11" w:rsidRPr="000508B6">
        <w:rPr>
          <w:rFonts w:ascii="Times New Roman" w:hAnsi="Times New Roman" w:cs="Times New Roman"/>
          <w:lang w:val="ro-MD"/>
        </w:rPr>
        <w:t>în cazul în care</w:t>
      </w:r>
      <w:r w:rsidR="005E30F9" w:rsidRPr="000508B6">
        <w:rPr>
          <w:rFonts w:ascii="Times New Roman" w:hAnsi="Times New Roman" w:cs="Times New Roman"/>
          <w:lang w:val="ro-MD"/>
        </w:rPr>
        <w:t xml:space="preserve"> se îndeplinesc cumulativ următoarele</w:t>
      </w:r>
      <w:r w:rsidR="00291F11" w:rsidRPr="000508B6">
        <w:rPr>
          <w:rFonts w:ascii="Times New Roman" w:hAnsi="Times New Roman" w:cs="Times New Roman"/>
          <w:lang w:val="ro-MD"/>
        </w:rPr>
        <w:t>:</w:t>
      </w:r>
    </w:p>
    <w:p w14:paraId="55C5151D" w14:textId="0D0B15DE" w:rsidR="00291F11" w:rsidRPr="000508B6" w:rsidRDefault="00291F11" w:rsidP="00CF5AFA">
      <w:pPr>
        <w:pStyle w:val="Listparagraf"/>
        <w:numPr>
          <w:ilvl w:val="0"/>
          <w:numId w:val="30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marja corectată în funcție de risc a depășit marja corectată în funcție de risc calculată pe baza portofoliului de investiții în instrumente de datorie în cursul celor patru perioade de raportare trimestriale anterioare datei de raportare; </w:t>
      </w:r>
    </w:p>
    <w:p w14:paraId="3F768F24" w14:textId="3FE15C09" w:rsidR="00291F11" w:rsidRPr="000508B6" w:rsidRDefault="00291F11" w:rsidP="00CF5AFA">
      <w:pPr>
        <w:pStyle w:val="Listparagraf"/>
        <w:numPr>
          <w:ilvl w:val="0"/>
          <w:numId w:val="30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informațiile care sunt inerente activelor relevante </w:t>
      </w:r>
      <w:r w:rsidR="005E30F9" w:rsidRPr="000508B6">
        <w:rPr>
          <w:rFonts w:ascii="Times New Roman" w:hAnsi="Times New Roman" w:cs="Times New Roman"/>
          <w:lang w:val="ro-MD"/>
        </w:rPr>
        <w:t xml:space="preserve">asigurătorului sau </w:t>
      </w:r>
      <w:proofErr w:type="spellStart"/>
      <w:r w:rsidR="005E30F9" w:rsidRPr="000508B6">
        <w:rPr>
          <w:rFonts w:ascii="Times New Roman" w:hAnsi="Times New Roman" w:cs="Times New Roman"/>
          <w:lang w:val="ro-MD"/>
        </w:rPr>
        <w:t>reasigurătorului</w:t>
      </w:r>
      <w:proofErr w:type="spellEnd"/>
      <w:r w:rsidR="008C27AF" w:rsidRPr="000508B6">
        <w:rPr>
          <w:rFonts w:ascii="Times New Roman" w:hAnsi="Times New Roman" w:cs="Times New Roman"/>
          <w:lang w:val="ro-MD"/>
        </w:rPr>
        <w:t xml:space="preserve"> </w:t>
      </w:r>
      <w:r w:rsidRPr="000508B6">
        <w:rPr>
          <w:rFonts w:ascii="Times New Roman" w:hAnsi="Times New Roman" w:cs="Times New Roman"/>
          <w:lang w:val="ro-MD"/>
        </w:rPr>
        <w:t xml:space="preserve">și care sunt raportate de aceasta în conformitate cu art. </w:t>
      </w:r>
      <w:r w:rsidR="002211F5" w:rsidRPr="000508B6">
        <w:rPr>
          <w:rFonts w:ascii="Times New Roman" w:hAnsi="Times New Roman" w:cs="Times New Roman"/>
          <w:lang w:val="ro-MD"/>
        </w:rPr>
        <w:t>179</w:t>
      </w:r>
      <w:r w:rsidRPr="000508B6">
        <w:rPr>
          <w:rFonts w:ascii="Times New Roman" w:hAnsi="Times New Roman" w:cs="Times New Roman"/>
          <w:lang w:val="ro-MD"/>
        </w:rPr>
        <w:t xml:space="preserve"> alin</w:t>
      </w:r>
      <w:r w:rsidR="00EF6592" w:rsidRPr="000508B6">
        <w:rPr>
          <w:rFonts w:ascii="Times New Roman" w:hAnsi="Times New Roman" w:cs="Times New Roman"/>
          <w:lang w:val="ro-MD"/>
        </w:rPr>
        <w:t>.</w:t>
      </w:r>
      <w:r w:rsidRPr="000508B6">
        <w:rPr>
          <w:rFonts w:ascii="Times New Roman" w:hAnsi="Times New Roman" w:cs="Times New Roman"/>
          <w:lang w:val="ro-MD"/>
        </w:rPr>
        <w:t xml:space="preserve"> (1)-(</w:t>
      </w:r>
      <w:r w:rsidR="00F446D6" w:rsidRPr="000508B6">
        <w:rPr>
          <w:rFonts w:ascii="Times New Roman" w:hAnsi="Times New Roman" w:cs="Times New Roman"/>
          <w:lang w:val="ro-MD"/>
        </w:rPr>
        <w:t>7</w:t>
      </w:r>
      <w:r w:rsidRPr="000508B6">
        <w:rPr>
          <w:rFonts w:ascii="Times New Roman" w:hAnsi="Times New Roman" w:cs="Times New Roman"/>
          <w:lang w:val="ro-MD"/>
        </w:rPr>
        <w:t>) sunt de o calitate suficientă pentru a permite un calcul corect și fiabil al ajustării respective.</w:t>
      </w:r>
      <w:r w:rsidR="00127CE3" w:rsidRPr="000508B6">
        <w:rPr>
          <w:rFonts w:ascii="Times New Roman" w:hAnsi="Times New Roman" w:cs="Times New Roman"/>
          <w:lang w:val="ro-MD"/>
        </w:rPr>
        <w:t xml:space="preserve"> </w:t>
      </w:r>
    </w:p>
    <w:p w14:paraId="5E690362" w14:textId="4B8F8C34" w:rsidR="00F801A8"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Ajustarea prevăzută la alin. (</w:t>
      </w:r>
      <w:r w:rsidR="00D32686" w:rsidRPr="000508B6">
        <w:rPr>
          <w:rFonts w:ascii="Times New Roman" w:hAnsi="Times New Roman" w:cs="Times New Roman"/>
          <w:lang w:val="ro-MD"/>
        </w:rPr>
        <w:t>3</w:t>
      </w:r>
      <w:r w:rsidR="00605778" w:rsidRPr="000508B6">
        <w:rPr>
          <w:rFonts w:ascii="Times New Roman" w:hAnsi="Times New Roman" w:cs="Times New Roman"/>
          <w:lang w:val="ro-MD"/>
        </w:rPr>
        <w:t>)</w:t>
      </w:r>
      <w:r w:rsidRPr="000508B6">
        <w:rPr>
          <w:rFonts w:ascii="Times New Roman" w:hAnsi="Times New Roman" w:cs="Times New Roman"/>
          <w:lang w:val="ro-MD"/>
        </w:rPr>
        <w:t xml:space="preserve"> corespunde celei mai mici valori dintre 105 % și raportul dintre marja corectată în funcție de risc calculată pe baza portofoliului de investiții în instrumente de datorie și marja corectată în funcție de risc calculată pe baza portofoliului de referință pentru moneda relevantă. </w:t>
      </w:r>
    </w:p>
    <w:p w14:paraId="351BBDE2" w14:textId="3C263B77" w:rsidR="00291F11"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Marja corectată în funcție de risc pe baza portofoliului de investiții în instrumente de datorie se calculează în același mod ca marja corectată în funcție de risc pe baza portofoliului de referință pentru moneda relevantă, dar utilizând date specifice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privind ponderile și durata medie a subclaselor relevante din cadrul portofoliului de investiții în instrumente de datorie pentru moneda relevantă.</w:t>
      </w:r>
      <w:r w:rsidR="00127CE3" w:rsidRPr="000508B6">
        <w:rPr>
          <w:rFonts w:ascii="Times New Roman" w:hAnsi="Times New Roman" w:cs="Times New Roman"/>
          <w:lang w:val="ro-MD"/>
        </w:rPr>
        <w:t xml:space="preserve"> </w:t>
      </w:r>
    </w:p>
    <w:p w14:paraId="2EF81271" w14:textId="7FD0ACBA" w:rsidR="00291F11"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În cazul în care se aplică ajustarea</w:t>
      </w:r>
      <w:r w:rsidR="00DB5E0E" w:rsidRPr="000508B6">
        <w:rPr>
          <w:rFonts w:ascii="Times New Roman" w:hAnsi="Times New Roman" w:cs="Times New Roman"/>
          <w:lang w:val="ro-MD"/>
        </w:rPr>
        <w:t xml:space="preserve"> specifică prevăzută la alin. (3)</w:t>
      </w:r>
      <w:r w:rsidRPr="000508B6">
        <w:rPr>
          <w:rFonts w:ascii="Times New Roman" w:hAnsi="Times New Roman" w:cs="Times New Roman"/>
          <w:lang w:val="ro-MD"/>
        </w:rPr>
        <w:t xml:space="preserve">, </w:t>
      </w:r>
      <w:r w:rsidR="005E30F9" w:rsidRPr="000508B6">
        <w:rPr>
          <w:rFonts w:ascii="Times New Roman" w:hAnsi="Times New Roman" w:cs="Times New Roman"/>
          <w:lang w:val="ro-MD"/>
        </w:rPr>
        <w:t xml:space="preserve">asigurătorul sau </w:t>
      </w:r>
      <w:proofErr w:type="spellStart"/>
      <w:r w:rsidR="005E30F9" w:rsidRPr="000508B6">
        <w:rPr>
          <w:rFonts w:ascii="Times New Roman" w:hAnsi="Times New Roman" w:cs="Times New Roman"/>
          <w:lang w:val="ro-MD"/>
        </w:rPr>
        <w:t>reasigurătorul</w:t>
      </w:r>
      <w:proofErr w:type="spellEnd"/>
      <w:r w:rsidR="005E30F9" w:rsidRPr="000508B6">
        <w:rPr>
          <w:rFonts w:ascii="Times New Roman" w:hAnsi="Times New Roman" w:cs="Times New Roman"/>
          <w:lang w:val="ro-MD"/>
        </w:rPr>
        <w:t xml:space="preserve"> </w:t>
      </w:r>
      <w:r w:rsidRPr="000508B6">
        <w:rPr>
          <w:rFonts w:ascii="Times New Roman" w:hAnsi="Times New Roman" w:cs="Times New Roman"/>
          <w:lang w:val="ro-MD"/>
        </w:rPr>
        <w:t xml:space="preserve">nu majorează </w:t>
      </w:r>
      <w:r w:rsidR="0071204B" w:rsidRPr="000508B6">
        <w:rPr>
          <w:rFonts w:ascii="Times New Roman" w:hAnsi="Times New Roman" w:cs="Times New Roman"/>
          <w:lang w:val="ro-MD"/>
        </w:rPr>
        <w:t xml:space="preserve">prima de volatilitate </w:t>
      </w:r>
      <w:r w:rsidRPr="000508B6">
        <w:rPr>
          <w:rFonts w:ascii="Times New Roman" w:hAnsi="Times New Roman" w:cs="Times New Roman"/>
          <w:lang w:val="ro-MD"/>
        </w:rPr>
        <w:t xml:space="preserve">cu </w:t>
      </w:r>
      <w:proofErr w:type="spellStart"/>
      <w:r w:rsidRPr="000508B6">
        <w:rPr>
          <w:rFonts w:ascii="Times New Roman" w:hAnsi="Times New Roman" w:cs="Times New Roman"/>
          <w:lang w:val="ro-MD"/>
        </w:rPr>
        <w:t>macroprima</w:t>
      </w:r>
      <w:proofErr w:type="spellEnd"/>
      <w:r w:rsidRPr="000508B6">
        <w:rPr>
          <w:rFonts w:ascii="Times New Roman" w:hAnsi="Times New Roman" w:cs="Times New Roman"/>
          <w:lang w:val="ro-MD"/>
        </w:rPr>
        <w:t xml:space="preserve"> de volatilitate menționată la alin.</w:t>
      </w:r>
      <w:r w:rsidR="004815A3" w:rsidRPr="000508B6">
        <w:rPr>
          <w:rFonts w:ascii="Times New Roman" w:hAnsi="Times New Roman" w:cs="Times New Roman"/>
          <w:lang w:val="ro-MD"/>
        </w:rPr>
        <w:t xml:space="preserve"> </w:t>
      </w:r>
      <w:r w:rsidR="00605778" w:rsidRPr="000508B6">
        <w:rPr>
          <w:rFonts w:ascii="Times New Roman" w:hAnsi="Times New Roman" w:cs="Times New Roman"/>
          <w:lang w:val="ro-MD"/>
        </w:rPr>
        <w:t>(</w:t>
      </w:r>
      <w:r w:rsidR="0075007A" w:rsidRPr="000508B6">
        <w:rPr>
          <w:rFonts w:ascii="Times New Roman" w:hAnsi="Times New Roman" w:cs="Times New Roman"/>
          <w:lang w:val="ro-MD"/>
        </w:rPr>
        <w:t>11</w:t>
      </w:r>
      <w:r w:rsidR="00605778" w:rsidRPr="000508B6">
        <w:rPr>
          <w:rFonts w:ascii="Times New Roman" w:hAnsi="Times New Roman" w:cs="Times New Roman"/>
          <w:lang w:val="ro-MD"/>
        </w:rPr>
        <w:t>)</w:t>
      </w:r>
      <w:r w:rsidRPr="000508B6">
        <w:rPr>
          <w:rFonts w:ascii="Times New Roman" w:hAnsi="Times New Roman" w:cs="Times New Roman"/>
          <w:lang w:val="ro-MD"/>
        </w:rPr>
        <w:t>.</w:t>
      </w:r>
      <w:r w:rsidR="00127CE3" w:rsidRPr="000508B6">
        <w:rPr>
          <w:rFonts w:ascii="Times New Roman" w:hAnsi="Times New Roman" w:cs="Times New Roman"/>
          <w:lang w:val="ro-MD"/>
        </w:rPr>
        <w:t xml:space="preserve"> </w:t>
      </w:r>
    </w:p>
    <w:p w14:paraId="535976AA" w14:textId="6AB618F3" w:rsidR="00291F11" w:rsidRPr="000508B6" w:rsidRDefault="004125E8"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lastRenderedPageBreak/>
        <w:t xml:space="preserve">Asigurătorul sau </w:t>
      </w:r>
      <w:proofErr w:type="spellStart"/>
      <w:r w:rsidRPr="000508B6">
        <w:rPr>
          <w:rFonts w:ascii="Times New Roman" w:hAnsi="Times New Roman" w:cs="Times New Roman"/>
          <w:lang w:val="ro-MD"/>
        </w:rPr>
        <w:t>reasigurătorul</w:t>
      </w:r>
      <w:proofErr w:type="spellEnd"/>
      <w:r w:rsidR="00291F11" w:rsidRPr="000508B6">
        <w:rPr>
          <w:rFonts w:ascii="Times New Roman" w:hAnsi="Times New Roman" w:cs="Times New Roman"/>
          <w:lang w:val="ro-MD"/>
        </w:rPr>
        <w:t xml:space="preserve"> încetează imediat aplicarea ajustării</w:t>
      </w:r>
      <w:r w:rsidR="005E30F9" w:rsidRPr="000508B6">
        <w:rPr>
          <w:rFonts w:ascii="Times New Roman" w:hAnsi="Times New Roman" w:cs="Times New Roman"/>
          <w:lang w:val="ro-MD"/>
        </w:rPr>
        <w:t xml:space="preserve"> specifice prevăzute la alin. (3)</w:t>
      </w:r>
      <w:r w:rsidR="00291F11" w:rsidRPr="000508B6">
        <w:rPr>
          <w:rFonts w:ascii="Times New Roman" w:hAnsi="Times New Roman" w:cs="Times New Roman"/>
          <w:lang w:val="ro-MD"/>
        </w:rPr>
        <w:t xml:space="preserve"> atunci când aceasta majorează marja corectată în funcție de risc a monedei menționată la </w:t>
      </w:r>
      <w:r w:rsidR="0083646C" w:rsidRPr="000508B6">
        <w:rPr>
          <w:rFonts w:ascii="Times New Roman" w:hAnsi="Times New Roman" w:cs="Times New Roman"/>
          <w:lang w:val="ro-MD"/>
        </w:rPr>
        <w:t>A</w:t>
      </w:r>
      <w:r w:rsidR="00F801A8" w:rsidRPr="000508B6">
        <w:rPr>
          <w:rFonts w:ascii="Times New Roman" w:hAnsi="Times New Roman" w:cs="Times New Roman"/>
          <w:lang w:val="ro-MD"/>
        </w:rPr>
        <w:t>nexa nr.</w:t>
      </w:r>
      <w:r w:rsidR="004815A3" w:rsidRPr="000508B6">
        <w:rPr>
          <w:rFonts w:ascii="Times New Roman" w:hAnsi="Times New Roman" w:cs="Times New Roman"/>
          <w:lang w:val="ro-MD"/>
        </w:rPr>
        <w:t xml:space="preserve"> </w:t>
      </w:r>
      <w:r w:rsidR="00F801A8" w:rsidRPr="000508B6">
        <w:rPr>
          <w:rFonts w:ascii="Times New Roman" w:hAnsi="Times New Roman" w:cs="Times New Roman"/>
          <w:lang w:val="ro-MD"/>
        </w:rPr>
        <w:t>4</w:t>
      </w:r>
      <w:r w:rsidR="004815A3" w:rsidRPr="000508B6">
        <w:rPr>
          <w:rFonts w:ascii="Times New Roman" w:hAnsi="Times New Roman" w:cs="Times New Roman"/>
          <w:lang w:val="ro-MD"/>
        </w:rPr>
        <w:t>.</w:t>
      </w:r>
      <w:r w:rsidR="00F801A8" w:rsidRPr="000508B6">
        <w:rPr>
          <w:rFonts w:ascii="Times New Roman" w:hAnsi="Times New Roman" w:cs="Times New Roman"/>
          <w:lang w:val="ro-MD"/>
        </w:rPr>
        <w:t xml:space="preserve"> pct.</w:t>
      </w:r>
      <w:r w:rsidR="004815A3" w:rsidRPr="000508B6">
        <w:rPr>
          <w:rFonts w:ascii="Times New Roman" w:hAnsi="Times New Roman" w:cs="Times New Roman"/>
          <w:lang w:val="ro-MD"/>
        </w:rPr>
        <w:t xml:space="preserve"> (</w:t>
      </w:r>
      <w:r w:rsidR="00F801A8" w:rsidRPr="000508B6">
        <w:rPr>
          <w:rFonts w:ascii="Times New Roman" w:hAnsi="Times New Roman" w:cs="Times New Roman"/>
          <w:lang w:val="ro-MD"/>
        </w:rPr>
        <w:t>1</w:t>
      </w:r>
      <w:r w:rsidR="004815A3" w:rsidRPr="000508B6">
        <w:rPr>
          <w:rFonts w:ascii="Times New Roman" w:hAnsi="Times New Roman" w:cs="Times New Roman"/>
          <w:lang w:val="ro-MD"/>
        </w:rPr>
        <w:t>)</w:t>
      </w:r>
      <w:r w:rsidR="008C27AF" w:rsidRPr="000508B6">
        <w:rPr>
          <w:rFonts w:ascii="Times New Roman" w:hAnsi="Times New Roman" w:cs="Times New Roman"/>
          <w:lang w:val="ro-MD"/>
        </w:rPr>
        <w:t xml:space="preserve"> </w:t>
      </w:r>
      <w:r w:rsidR="00F801A8" w:rsidRPr="000508B6">
        <w:rPr>
          <w:rFonts w:ascii="Times New Roman" w:hAnsi="Times New Roman" w:cs="Times New Roman"/>
          <w:lang w:val="ro-MD"/>
        </w:rPr>
        <w:t>lit.</w:t>
      </w:r>
      <w:r w:rsidR="008C27AF" w:rsidRPr="000508B6">
        <w:rPr>
          <w:rFonts w:ascii="Times New Roman" w:hAnsi="Times New Roman" w:cs="Times New Roman"/>
          <w:lang w:val="ro-MD"/>
        </w:rPr>
        <w:t xml:space="preserve"> </w:t>
      </w:r>
      <w:r w:rsidR="00F801A8" w:rsidRPr="000508B6">
        <w:rPr>
          <w:rFonts w:ascii="Times New Roman" w:hAnsi="Times New Roman" w:cs="Times New Roman"/>
          <w:lang w:val="ro-MD"/>
        </w:rPr>
        <w:t xml:space="preserve">c) </w:t>
      </w:r>
      <w:r w:rsidR="00291F11" w:rsidRPr="000508B6">
        <w:rPr>
          <w:rFonts w:ascii="Times New Roman" w:hAnsi="Times New Roman" w:cs="Times New Roman"/>
          <w:lang w:val="ro-MD"/>
        </w:rPr>
        <w:t>timp de două perioade de raportare trimestriale consecutive.</w:t>
      </w:r>
    </w:p>
    <w:p w14:paraId="4496F79B" w14:textId="50B150CB" w:rsidR="00291F11"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Pentru fiecare monedă relevantă, prima de volatilitate aplicată structurii temporale relevante a ratei dobânzilor fără risc se bazează pe marja dintre rata dobânzii care ar putea fi obținută dintr-un portofoliu de referință de investiții în instrumente de datorie pentru moneda în cauză și ratele structurii temporale relevante a ratei dobânzilor fără risc pentru moneda în cauză.</w:t>
      </w:r>
      <w:r w:rsidR="00127CE3" w:rsidRPr="000508B6">
        <w:rPr>
          <w:rFonts w:ascii="Times New Roman" w:hAnsi="Times New Roman" w:cs="Times New Roman"/>
          <w:lang w:val="ro-MD"/>
        </w:rPr>
        <w:t xml:space="preserve"> </w:t>
      </w:r>
    </w:p>
    <w:p w14:paraId="68CF6492" w14:textId="3D756C24" w:rsidR="00291F11"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Portofoliul de referință de investiții în instrumente de datorie aferent unei monede este reprezentativ pentru activele exprimate în moneda în cauză și în care investește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pentru a acoperi cea mai bună estimare a obligațiilor de asigurare și de reasigurare exprimate în moneda </w:t>
      </w:r>
      <w:r w:rsidR="002C6F21" w:rsidRPr="000508B6">
        <w:rPr>
          <w:rFonts w:ascii="Times New Roman" w:hAnsi="Times New Roman" w:cs="Times New Roman"/>
          <w:lang w:val="ro-MD"/>
        </w:rPr>
        <w:t>în cauză</w:t>
      </w:r>
      <w:r w:rsidRPr="000508B6">
        <w:rPr>
          <w:rFonts w:ascii="Times New Roman" w:hAnsi="Times New Roman" w:cs="Times New Roman"/>
          <w:lang w:val="ro-MD"/>
        </w:rPr>
        <w:t>.</w:t>
      </w:r>
      <w:r w:rsidR="00127CE3" w:rsidRPr="000508B6">
        <w:rPr>
          <w:rFonts w:ascii="Times New Roman" w:hAnsi="Times New Roman" w:cs="Times New Roman"/>
          <w:lang w:val="ro-MD"/>
        </w:rPr>
        <w:t xml:space="preserve"> </w:t>
      </w:r>
    </w:p>
    <w:p w14:paraId="4F956D64" w14:textId="4FED2BD9" w:rsidR="00291F11" w:rsidRPr="000508B6" w:rsidRDefault="004815A3" w:rsidP="00CF5AFA">
      <w:pPr>
        <w:pStyle w:val="Listparagraf"/>
        <w:numPr>
          <w:ilvl w:val="0"/>
          <w:numId w:val="304"/>
        </w:numPr>
        <w:spacing w:after="0" w:line="240" w:lineRule="auto"/>
        <w:ind w:left="0" w:firstLine="360"/>
        <w:jc w:val="both"/>
        <w:rPr>
          <w:rFonts w:ascii="Times New Roman" w:hAnsi="Times New Roman" w:cs="Times New Roman"/>
          <w:lang w:val="ro-MD"/>
        </w:rPr>
      </w:pPr>
      <w:bookmarkStart w:id="106" w:name="_Hlk212810618"/>
      <w:r w:rsidRPr="000508B6">
        <w:rPr>
          <w:rFonts w:ascii="Times New Roman" w:hAnsi="Times New Roman" w:cs="Times New Roman"/>
          <w:lang w:val="ro-MD"/>
        </w:rPr>
        <w:t xml:space="preserve"> </w:t>
      </w:r>
      <w:r w:rsidR="00291F11" w:rsidRPr="000508B6">
        <w:rPr>
          <w:rFonts w:ascii="Times New Roman" w:hAnsi="Times New Roman" w:cs="Times New Roman"/>
          <w:lang w:val="ro-MD"/>
        </w:rPr>
        <w:t>Cuantumul primei de volatilitate aplicat</w:t>
      </w:r>
      <w:r w:rsidR="00784E8A">
        <w:rPr>
          <w:rFonts w:ascii="Times New Roman" w:hAnsi="Times New Roman" w:cs="Times New Roman"/>
          <w:lang w:val="ro-MD"/>
        </w:rPr>
        <w:t>ă</w:t>
      </w:r>
      <w:r w:rsidR="00291F11" w:rsidRPr="000508B6">
        <w:rPr>
          <w:rFonts w:ascii="Times New Roman" w:hAnsi="Times New Roman" w:cs="Times New Roman"/>
          <w:lang w:val="ro-MD"/>
        </w:rPr>
        <w:t xml:space="preserve"> ratelor dobânzilor fără risc pentru o monedă se calculează </w:t>
      </w:r>
      <w:r w:rsidR="00F801A8" w:rsidRPr="000508B6">
        <w:rPr>
          <w:rFonts w:ascii="Times New Roman" w:hAnsi="Times New Roman" w:cs="Times New Roman"/>
          <w:lang w:val="ro-MD"/>
        </w:rPr>
        <w:t xml:space="preserve">conform </w:t>
      </w:r>
      <w:r w:rsidR="00B124B2" w:rsidRPr="000508B6">
        <w:rPr>
          <w:rFonts w:ascii="Times New Roman" w:hAnsi="Times New Roman" w:cs="Times New Roman"/>
          <w:lang w:val="ro-MD"/>
        </w:rPr>
        <w:t xml:space="preserve">Anexei </w:t>
      </w:r>
      <w:r w:rsidR="00F801A8" w:rsidRPr="000508B6">
        <w:rPr>
          <w:rFonts w:ascii="Times New Roman" w:hAnsi="Times New Roman" w:cs="Times New Roman"/>
          <w:lang w:val="ro-MD"/>
        </w:rPr>
        <w:t>nr. 4</w:t>
      </w:r>
      <w:r w:rsidR="0083646C" w:rsidRPr="000508B6">
        <w:rPr>
          <w:rFonts w:ascii="Times New Roman" w:hAnsi="Times New Roman" w:cs="Times New Roman"/>
          <w:lang w:val="ro-MD"/>
        </w:rPr>
        <w:t>.</w:t>
      </w:r>
      <w:r w:rsidR="00127CE3" w:rsidRPr="000508B6">
        <w:rPr>
          <w:rFonts w:ascii="Times New Roman" w:hAnsi="Times New Roman" w:cs="Times New Roman"/>
          <w:lang w:val="ro-MD"/>
        </w:rPr>
        <w:t xml:space="preserve"> </w:t>
      </w:r>
    </w:p>
    <w:p w14:paraId="68A991C5" w14:textId="5B6BC23A" w:rsidR="0083646C"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 Fără a aduce atingere alin.</w:t>
      </w:r>
      <w:r w:rsidR="004815A3" w:rsidRPr="000508B6">
        <w:rPr>
          <w:rFonts w:ascii="Times New Roman" w:hAnsi="Times New Roman" w:cs="Times New Roman"/>
          <w:lang w:val="ro-MD"/>
        </w:rPr>
        <w:t xml:space="preserve"> </w:t>
      </w:r>
      <w:r w:rsidRPr="000508B6">
        <w:rPr>
          <w:rFonts w:ascii="Times New Roman" w:hAnsi="Times New Roman" w:cs="Times New Roman"/>
          <w:lang w:val="ro-MD"/>
        </w:rPr>
        <w:t>(</w:t>
      </w:r>
      <w:r w:rsidR="002307AF" w:rsidRPr="000508B6">
        <w:rPr>
          <w:rFonts w:ascii="Times New Roman" w:hAnsi="Times New Roman" w:cs="Times New Roman"/>
          <w:lang w:val="ro-MD"/>
        </w:rPr>
        <w:t>3</w:t>
      </w:r>
      <w:r w:rsidRPr="000508B6">
        <w:rPr>
          <w:rFonts w:ascii="Times New Roman" w:hAnsi="Times New Roman" w:cs="Times New Roman"/>
          <w:lang w:val="ro-MD"/>
        </w:rPr>
        <w:t>)-(</w:t>
      </w:r>
      <w:r w:rsidR="002307AF" w:rsidRPr="000508B6" w:rsidDel="002307AF">
        <w:rPr>
          <w:rFonts w:ascii="Times New Roman" w:hAnsi="Times New Roman" w:cs="Times New Roman"/>
          <w:lang w:val="ro-MD"/>
        </w:rPr>
        <w:t xml:space="preserve"> </w:t>
      </w:r>
      <w:r w:rsidR="00605778" w:rsidRPr="000508B6">
        <w:rPr>
          <w:rFonts w:ascii="Times New Roman" w:hAnsi="Times New Roman" w:cs="Times New Roman"/>
          <w:lang w:val="ro-MD"/>
        </w:rPr>
        <w:t>6</w:t>
      </w:r>
      <w:r w:rsidRPr="000508B6">
        <w:rPr>
          <w:rFonts w:ascii="Times New Roman" w:hAnsi="Times New Roman" w:cs="Times New Roman"/>
          <w:lang w:val="ro-MD"/>
        </w:rPr>
        <w:t xml:space="preserve">), prima de volatilitate pentru euro se majorează cu o </w:t>
      </w:r>
      <w:proofErr w:type="spellStart"/>
      <w:r w:rsidRPr="000508B6">
        <w:rPr>
          <w:rFonts w:ascii="Times New Roman" w:hAnsi="Times New Roman" w:cs="Times New Roman"/>
          <w:lang w:val="ro-MD"/>
        </w:rPr>
        <w:t>macroprimă</w:t>
      </w:r>
      <w:proofErr w:type="spellEnd"/>
      <w:r w:rsidRPr="000508B6">
        <w:rPr>
          <w:rFonts w:ascii="Times New Roman" w:hAnsi="Times New Roman" w:cs="Times New Roman"/>
          <w:lang w:val="ro-MD"/>
        </w:rPr>
        <w:t xml:space="preserve"> de volatilitate</w:t>
      </w:r>
      <w:r w:rsidR="001B75C7" w:rsidRPr="000508B6">
        <w:rPr>
          <w:rFonts w:ascii="Times New Roman" w:hAnsi="Times New Roman" w:cs="Times New Roman"/>
          <w:lang w:val="ro-MD"/>
        </w:rPr>
        <w:t xml:space="preserve"> care se calculează în conformitate cu Anexa nr.</w:t>
      </w:r>
      <w:r w:rsidR="004815A3" w:rsidRPr="000508B6">
        <w:rPr>
          <w:rFonts w:ascii="Times New Roman" w:hAnsi="Times New Roman" w:cs="Times New Roman"/>
          <w:lang w:val="ro-MD"/>
        </w:rPr>
        <w:t xml:space="preserve"> </w:t>
      </w:r>
      <w:r w:rsidR="001B75C7" w:rsidRPr="000508B6">
        <w:rPr>
          <w:rFonts w:ascii="Times New Roman" w:hAnsi="Times New Roman" w:cs="Times New Roman"/>
          <w:lang w:val="ro-MD"/>
        </w:rPr>
        <w:t xml:space="preserve">5. </w:t>
      </w:r>
    </w:p>
    <w:p w14:paraId="001F3DE4" w14:textId="065708BA" w:rsidR="001B75C7" w:rsidRPr="000508B6" w:rsidRDefault="00291F11"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Pentru a calcula marja </w:t>
      </w:r>
      <w:r w:rsidR="001A4D1E" w:rsidRPr="000508B6">
        <w:rPr>
          <w:rFonts w:ascii="Times New Roman" w:hAnsi="Times New Roman" w:cs="Times New Roman"/>
          <w:lang w:val="ro-MD"/>
        </w:rPr>
        <w:t xml:space="preserve">care stă la baza </w:t>
      </w:r>
      <w:r w:rsidRPr="000508B6">
        <w:rPr>
          <w:rFonts w:ascii="Times New Roman" w:hAnsi="Times New Roman" w:cs="Times New Roman"/>
          <w:lang w:val="ro-MD"/>
        </w:rPr>
        <w:t xml:space="preserve">primei de volatilitate, pentru fiecare monedă, marja menționată la alin. (8) </w:t>
      </w:r>
      <w:r w:rsidR="001B75C7" w:rsidRPr="000508B6">
        <w:rPr>
          <w:rFonts w:ascii="Times New Roman" w:hAnsi="Times New Roman" w:cs="Times New Roman"/>
          <w:lang w:val="ro-MD"/>
        </w:rPr>
        <w:t xml:space="preserve">și în Anexa nr. </w:t>
      </w:r>
      <w:r w:rsidR="0000479A" w:rsidRPr="000508B6">
        <w:rPr>
          <w:rFonts w:ascii="Times New Roman" w:hAnsi="Times New Roman" w:cs="Times New Roman"/>
          <w:lang w:val="ro-MD"/>
        </w:rPr>
        <w:t>5</w:t>
      </w:r>
      <w:r w:rsidR="004815A3" w:rsidRPr="000508B6">
        <w:rPr>
          <w:rFonts w:ascii="Times New Roman" w:hAnsi="Times New Roman" w:cs="Times New Roman"/>
          <w:lang w:val="ro-MD"/>
        </w:rPr>
        <w:t>.</w:t>
      </w:r>
      <w:r w:rsidR="0000479A" w:rsidRPr="000508B6">
        <w:rPr>
          <w:rFonts w:ascii="Times New Roman" w:hAnsi="Times New Roman" w:cs="Times New Roman"/>
          <w:lang w:val="ro-MD"/>
        </w:rPr>
        <w:t xml:space="preserve"> </w:t>
      </w:r>
      <w:r w:rsidRPr="000508B6">
        <w:rPr>
          <w:rFonts w:ascii="Times New Roman" w:hAnsi="Times New Roman" w:cs="Times New Roman"/>
          <w:lang w:val="ro-MD"/>
        </w:rPr>
        <w:t xml:space="preserve">este suma ponderată dintre marja medie de monedă pentru obligațiunile de stat și marja medie de monedă pentru </w:t>
      </w:r>
      <w:r w:rsidR="001A4D1E" w:rsidRPr="000508B6">
        <w:rPr>
          <w:rFonts w:ascii="Times New Roman" w:hAnsi="Times New Roman" w:cs="Times New Roman"/>
          <w:lang w:val="ro-MD"/>
        </w:rPr>
        <w:t xml:space="preserve">alte tipuri de </w:t>
      </w:r>
      <w:r w:rsidRPr="000508B6">
        <w:rPr>
          <w:rFonts w:ascii="Times New Roman" w:hAnsi="Times New Roman" w:cs="Times New Roman"/>
          <w:lang w:val="ro-MD"/>
        </w:rPr>
        <w:t xml:space="preserve">obligațiuni, </w:t>
      </w:r>
      <w:r w:rsidR="001B75C7" w:rsidRPr="000508B6">
        <w:rPr>
          <w:rFonts w:ascii="Times New Roman" w:hAnsi="Times New Roman" w:cs="Times New Roman"/>
          <w:lang w:val="ro-MD"/>
        </w:rPr>
        <w:t xml:space="preserve">pentru </w:t>
      </w:r>
      <w:r w:rsidRPr="000508B6">
        <w:rPr>
          <w:rFonts w:ascii="Times New Roman" w:hAnsi="Times New Roman" w:cs="Times New Roman"/>
          <w:lang w:val="ro-MD"/>
        </w:rPr>
        <w:t xml:space="preserve">împrumuturi și </w:t>
      </w:r>
      <w:r w:rsidR="001A4D1E" w:rsidRPr="000508B6">
        <w:rPr>
          <w:rFonts w:ascii="Times New Roman" w:hAnsi="Times New Roman" w:cs="Times New Roman"/>
          <w:lang w:val="ro-MD"/>
        </w:rPr>
        <w:t xml:space="preserve">pentru </w:t>
      </w:r>
      <w:r w:rsidRPr="000508B6">
        <w:rPr>
          <w:rFonts w:ascii="Times New Roman" w:hAnsi="Times New Roman" w:cs="Times New Roman"/>
          <w:lang w:val="ro-MD"/>
        </w:rPr>
        <w:t xml:space="preserve">securitizări. </w:t>
      </w:r>
    </w:p>
    <w:p w14:paraId="5D0FF156" w14:textId="5202D6BD" w:rsidR="00291F11" w:rsidRPr="000508B6" w:rsidRDefault="001B75C7"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Pentru efectuarea calculului prevăzut la alin.</w:t>
      </w:r>
      <w:r w:rsidR="004815A3" w:rsidRPr="000508B6">
        <w:rPr>
          <w:rFonts w:ascii="Times New Roman" w:hAnsi="Times New Roman" w:cs="Times New Roman"/>
          <w:lang w:val="ro-MD"/>
        </w:rPr>
        <w:t xml:space="preserve"> </w:t>
      </w:r>
      <w:r w:rsidRPr="000508B6">
        <w:rPr>
          <w:rFonts w:ascii="Times New Roman" w:hAnsi="Times New Roman" w:cs="Times New Roman"/>
          <w:lang w:val="ro-MD"/>
        </w:rPr>
        <w:t>(12)</w:t>
      </w:r>
      <w:r w:rsidR="00291F11" w:rsidRPr="000508B6">
        <w:rPr>
          <w:rFonts w:ascii="Times New Roman" w:hAnsi="Times New Roman" w:cs="Times New Roman"/>
          <w:lang w:val="ro-MD"/>
        </w:rPr>
        <w:t xml:space="preserve">, </w:t>
      </w:r>
      <w:r w:rsidRPr="000508B6">
        <w:rPr>
          <w:rFonts w:ascii="Times New Roman" w:hAnsi="Times New Roman" w:cs="Times New Roman"/>
          <w:lang w:val="ro-MD"/>
        </w:rPr>
        <w:t>cu referire la marja menționată la alin. (8) sumele ponderate reprezintă</w:t>
      </w:r>
      <w:r w:rsidR="00291F11" w:rsidRPr="000508B6">
        <w:rPr>
          <w:rFonts w:ascii="Times New Roman" w:hAnsi="Times New Roman" w:cs="Times New Roman"/>
          <w:lang w:val="ro-MD"/>
        </w:rPr>
        <w:t xml:space="preserve"> raportul dintre valoarea obligațiunilor de stat incluse în portofoliul activelor </w:t>
      </w:r>
      <w:r w:rsidRPr="000508B6">
        <w:rPr>
          <w:rFonts w:ascii="Times New Roman" w:hAnsi="Times New Roman" w:cs="Times New Roman"/>
          <w:lang w:val="ro-MD"/>
        </w:rPr>
        <w:t xml:space="preserve">de referință </w:t>
      </w:r>
      <w:r w:rsidR="00291F11" w:rsidRPr="000508B6">
        <w:rPr>
          <w:rFonts w:ascii="Times New Roman" w:hAnsi="Times New Roman" w:cs="Times New Roman"/>
          <w:lang w:val="ro-MD"/>
        </w:rPr>
        <w:t xml:space="preserve">pentru moneda </w:t>
      </w:r>
      <w:r w:rsidR="00B14B73" w:rsidRPr="000508B6">
        <w:rPr>
          <w:rFonts w:ascii="Times New Roman" w:hAnsi="Times New Roman" w:cs="Times New Roman"/>
          <w:lang w:val="ro-MD"/>
        </w:rPr>
        <w:t xml:space="preserve">sau statul respectiv </w:t>
      </w:r>
      <w:r w:rsidR="00291F11" w:rsidRPr="000508B6">
        <w:rPr>
          <w:rFonts w:ascii="Times New Roman" w:hAnsi="Times New Roman" w:cs="Times New Roman"/>
          <w:lang w:val="ro-MD"/>
        </w:rPr>
        <w:t>și valoarea tuturor activelor incluse în portofoliul de referință.</w:t>
      </w:r>
    </w:p>
    <w:p w14:paraId="62FE25CA" w14:textId="0B287195" w:rsidR="00B14B73" w:rsidRPr="000508B6" w:rsidRDefault="00291F11" w:rsidP="00F84A3A">
      <w:pPr>
        <w:pStyle w:val="Listparagraf"/>
        <w:numPr>
          <w:ilvl w:val="0"/>
          <w:numId w:val="304"/>
        </w:numPr>
        <w:tabs>
          <w:tab w:val="left" w:pos="851"/>
        </w:tabs>
        <w:spacing w:after="0" w:line="240" w:lineRule="auto"/>
        <w:ind w:left="0" w:firstLine="426"/>
        <w:jc w:val="both"/>
        <w:rPr>
          <w:rFonts w:ascii="Times New Roman" w:hAnsi="Times New Roman" w:cs="Times New Roman"/>
          <w:lang w:val="ro-MD"/>
        </w:rPr>
      </w:pPr>
      <w:r w:rsidRPr="000508B6" w:rsidDel="00291F11">
        <w:rPr>
          <w:rFonts w:ascii="Times New Roman" w:hAnsi="Times New Roman" w:cs="Times New Roman"/>
          <w:lang w:val="ro-MD"/>
        </w:rPr>
        <w:t xml:space="preserve"> </w:t>
      </w:r>
      <w:r w:rsidR="00B14B73" w:rsidRPr="000508B6">
        <w:rPr>
          <w:rFonts w:ascii="Times New Roman" w:hAnsi="Times New Roman" w:cs="Times New Roman"/>
          <w:lang w:val="ro-MD"/>
        </w:rPr>
        <w:t>Pentru efectuarea calculului prevăzut la alin.</w:t>
      </w:r>
      <w:r w:rsidR="004815A3" w:rsidRPr="000508B6">
        <w:rPr>
          <w:rFonts w:ascii="Times New Roman" w:hAnsi="Times New Roman" w:cs="Times New Roman"/>
          <w:lang w:val="ro-MD"/>
        </w:rPr>
        <w:t xml:space="preserve"> </w:t>
      </w:r>
      <w:r w:rsidR="00B14B73" w:rsidRPr="000508B6">
        <w:rPr>
          <w:rFonts w:ascii="Times New Roman" w:hAnsi="Times New Roman" w:cs="Times New Roman"/>
          <w:lang w:val="ro-MD"/>
        </w:rPr>
        <w:t>(12), cu referire la marja menționată în Anexa nr.</w:t>
      </w:r>
      <w:r w:rsidR="0000479A" w:rsidRPr="000508B6">
        <w:rPr>
          <w:rFonts w:ascii="Times New Roman" w:hAnsi="Times New Roman" w:cs="Times New Roman"/>
          <w:lang w:val="ro-MD"/>
        </w:rPr>
        <w:t>5</w:t>
      </w:r>
      <w:r w:rsidR="004815A3" w:rsidRPr="000508B6">
        <w:rPr>
          <w:rFonts w:ascii="Times New Roman" w:hAnsi="Times New Roman" w:cs="Times New Roman"/>
          <w:lang w:val="ro-MD"/>
        </w:rPr>
        <w:t>.</w:t>
      </w:r>
      <w:r w:rsidR="0000479A" w:rsidRPr="000508B6">
        <w:rPr>
          <w:rFonts w:ascii="Times New Roman" w:hAnsi="Times New Roman" w:cs="Times New Roman"/>
          <w:lang w:val="ro-MD"/>
        </w:rPr>
        <w:t xml:space="preserve"> </w:t>
      </w:r>
      <w:r w:rsidR="00B14B73" w:rsidRPr="000508B6">
        <w:rPr>
          <w:rFonts w:ascii="Times New Roman" w:hAnsi="Times New Roman" w:cs="Times New Roman"/>
          <w:lang w:val="ro-MD"/>
        </w:rPr>
        <w:t xml:space="preserve">sumele ponderate reprezintă raportul dintre valoarea altor obligațiuni </w:t>
      </w:r>
      <w:r w:rsidR="004815A3" w:rsidRPr="000508B6">
        <w:rPr>
          <w:rFonts w:ascii="Times New Roman" w:hAnsi="Times New Roman" w:cs="Times New Roman"/>
          <w:lang w:val="ro-MD"/>
        </w:rPr>
        <w:t>decât</w:t>
      </w:r>
      <w:r w:rsidR="00B14B73" w:rsidRPr="000508B6">
        <w:rPr>
          <w:rFonts w:ascii="Times New Roman" w:hAnsi="Times New Roman" w:cs="Times New Roman"/>
          <w:lang w:val="ro-MD"/>
        </w:rPr>
        <w:t xml:space="preserve"> obligațiunile de stat, împrumuturilor și securitizărilor incluse în portofoliul activelor de referință pentru moneda sau statul respectiv și valoarea tuturor activelor incluse în portofoliul de referință.</w:t>
      </w:r>
    </w:p>
    <w:p w14:paraId="0B5862EF" w14:textId="48799065" w:rsidR="00F95829" w:rsidRPr="000508B6" w:rsidRDefault="00D068AA" w:rsidP="00F84A3A">
      <w:pPr>
        <w:pStyle w:val="Listparagraf"/>
        <w:numPr>
          <w:ilvl w:val="0"/>
          <w:numId w:val="304"/>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B14B73" w:rsidRPr="000508B6">
        <w:rPr>
          <w:rFonts w:ascii="Times New Roman" w:hAnsi="Times New Roman" w:cs="Times New Roman"/>
          <w:lang w:val="ro-MD"/>
        </w:rPr>
        <w:t xml:space="preserve"> nu aplică prima </w:t>
      </w:r>
      <w:r w:rsidR="00291F11" w:rsidRPr="000508B6">
        <w:rPr>
          <w:rFonts w:ascii="Times New Roman" w:hAnsi="Times New Roman" w:cs="Times New Roman"/>
          <w:lang w:val="ro-MD"/>
        </w:rPr>
        <w:t>de volatilitate obligațiilor de asigurare în cazul în care structurii temporale relevante a ratei dobânzilor fără risc utilizată pentru calculul celei mai bune estimări a obligațiilor respective i s-a aplicat o primă de echilibrare în conformitate cu art</w:t>
      </w:r>
      <w:r w:rsidR="00792198" w:rsidRPr="000508B6">
        <w:rPr>
          <w:rFonts w:ascii="Times New Roman" w:hAnsi="Times New Roman" w:cs="Times New Roman"/>
          <w:lang w:val="ro-MD"/>
        </w:rPr>
        <w:t>.</w:t>
      </w:r>
      <w:r w:rsidR="00291F11" w:rsidRPr="000508B6">
        <w:rPr>
          <w:rFonts w:ascii="Times New Roman" w:hAnsi="Times New Roman" w:cs="Times New Roman"/>
          <w:lang w:val="ro-MD"/>
        </w:rPr>
        <w:t xml:space="preserve"> </w:t>
      </w:r>
      <w:r w:rsidR="00792198" w:rsidRPr="000508B6">
        <w:rPr>
          <w:rFonts w:ascii="Times New Roman" w:hAnsi="Times New Roman" w:cs="Times New Roman"/>
          <w:lang w:val="ro-MD"/>
        </w:rPr>
        <w:t>45</w:t>
      </w:r>
      <w:r w:rsidR="00F95829" w:rsidRPr="000508B6">
        <w:rPr>
          <w:rFonts w:ascii="Times New Roman" w:hAnsi="Times New Roman" w:cs="Times New Roman"/>
          <w:lang w:val="ro-MD"/>
        </w:rPr>
        <w:t xml:space="preserve">. </w:t>
      </w:r>
    </w:p>
    <w:p w14:paraId="58D81E99" w14:textId="7AA552AC" w:rsidR="00F95829" w:rsidRPr="000508B6" w:rsidRDefault="00F95829" w:rsidP="00CF5AFA">
      <w:pPr>
        <w:pStyle w:val="Listparagraf"/>
        <w:numPr>
          <w:ilvl w:val="0"/>
          <w:numId w:val="304"/>
        </w:numPr>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Prin </w:t>
      </w:r>
      <w:r w:rsidR="00B66AEF" w:rsidRPr="000508B6">
        <w:rPr>
          <w:rFonts w:ascii="Times New Roman" w:hAnsi="Times New Roman" w:cs="Times New Roman"/>
          <w:lang w:val="ro-MD"/>
        </w:rPr>
        <w:t xml:space="preserve">derogare </w:t>
      </w:r>
      <w:r w:rsidRPr="000508B6">
        <w:rPr>
          <w:rFonts w:ascii="Times New Roman" w:hAnsi="Times New Roman" w:cs="Times New Roman"/>
          <w:lang w:val="ro-MD"/>
        </w:rPr>
        <w:t xml:space="preserve">de la prevederile art. </w:t>
      </w:r>
      <w:r w:rsidR="003A50A3" w:rsidRPr="000508B6">
        <w:rPr>
          <w:rFonts w:ascii="Times New Roman" w:hAnsi="Times New Roman" w:cs="Times New Roman"/>
          <w:lang w:val="ro-MD"/>
        </w:rPr>
        <w:t>64</w:t>
      </w:r>
      <w:r w:rsidRPr="000508B6">
        <w:rPr>
          <w:rFonts w:ascii="Times New Roman" w:hAnsi="Times New Roman" w:cs="Times New Roman"/>
          <w:lang w:val="ro-MD"/>
        </w:rPr>
        <w:t xml:space="preserve">, SCR nu acoperă </w:t>
      </w:r>
      <w:r w:rsidR="000D3E19" w:rsidRPr="000508B6">
        <w:rPr>
          <w:rFonts w:ascii="Times New Roman" w:hAnsi="Times New Roman" w:cs="Times New Roman"/>
          <w:lang w:val="ro-MD"/>
        </w:rPr>
        <w:t xml:space="preserve">riscul de </w:t>
      </w:r>
      <w:r w:rsidRPr="000508B6">
        <w:rPr>
          <w:rFonts w:ascii="Times New Roman" w:hAnsi="Times New Roman" w:cs="Times New Roman"/>
          <w:lang w:val="ro-MD"/>
        </w:rPr>
        <w:t>pierder</w:t>
      </w:r>
      <w:r w:rsidR="000D3E19" w:rsidRPr="000508B6">
        <w:rPr>
          <w:rFonts w:ascii="Times New Roman" w:hAnsi="Times New Roman" w:cs="Times New Roman"/>
          <w:lang w:val="ro-MD"/>
        </w:rPr>
        <w:t>e</w:t>
      </w:r>
      <w:r w:rsidRPr="000508B6">
        <w:rPr>
          <w:rFonts w:ascii="Times New Roman" w:hAnsi="Times New Roman" w:cs="Times New Roman"/>
          <w:lang w:val="ro-MD"/>
        </w:rPr>
        <w:t xml:space="preserve">  </w:t>
      </w:r>
      <w:r w:rsidR="000D3E19" w:rsidRPr="000508B6">
        <w:rPr>
          <w:rFonts w:ascii="Times New Roman" w:hAnsi="Times New Roman" w:cs="Times New Roman"/>
          <w:lang w:val="ro-MD"/>
        </w:rPr>
        <w:t>a</w:t>
      </w:r>
      <w:r w:rsidRPr="000508B6">
        <w:rPr>
          <w:rFonts w:ascii="Times New Roman" w:hAnsi="Times New Roman" w:cs="Times New Roman"/>
          <w:lang w:val="ro-MD"/>
        </w:rPr>
        <w:t xml:space="preserve"> </w:t>
      </w:r>
      <w:r w:rsidR="000D3E19" w:rsidRPr="000508B6">
        <w:rPr>
          <w:rFonts w:ascii="Times New Roman" w:hAnsi="Times New Roman" w:cs="Times New Roman"/>
          <w:lang w:val="ro-MD"/>
        </w:rPr>
        <w:t xml:space="preserve">fondurilor </w:t>
      </w:r>
      <w:r w:rsidRPr="000508B6">
        <w:rPr>
          <w:rFonts w:ascii="Times New Roman" w:hAnsi="Times New Roman" w:cs="Times New Roman"/>
          <w:lang w:val="ro-MD"/>
        </w:rPr>
        <w:t xml:space="preserve">proprii de bază în urma </w:t>
      </w:r>
      <w:r w:rsidR="00F84A3A" w:rsidRPr="000508B6">
        <w:rPr>
          <w:rFonts w:ascii="Times New Roman" w:hAnsi="Times New Roman" w:cs="Times New Roman"/>
          <w:lang w:val="ro-MD"/>
        </w:rPr>
        <w:t xml:space="preserve">modificării </w:t>
      </w:r>
      <w:r w:rsidRPr="000508B6">
        <w:rPr>
          <w:rFonts w:ascii="Times New Roman" w:hAnsi="Times New Roman" w:cs="Times New Roman"/>
          <w:lang w:val="ro-MD"/>
        </w:rPr>
        <w:t xml:space="preserve">primei de volatilitate. </w:t>
      </w:r>
    </w:p>
    <w:bookmarkEnd w:id="106"/>
    <w:p w14:paraId="63F987A5" w14:textId="2E04B016" w:rsidR="005B5BD4" w:rsidRPr="000508B6" w:rsidRDefault="005B5BD4" w:rsidP="00F45B8B">
      <w:pPr>
        <w:pStyle w:val="Listparagraf"/>
        <w:numPr>
          <w:ilvl w:val="0"/>
          <w:numId w:val="30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aplicarea prezentului articol sunt respectate dispozițiile din actele </w:t>
      </w:r>
      <w:r w:rsidR="001A4D1E" w:rsidRPr="000508B6">
        <w:rPr>
          <w:rFonts w:ascii="Times New Roman" w:hAnsi="Times New Roman" w:cs="Times New Roman"/>
          <w:lang w:val="ro-MD"/>
        </w:rPr>
        <w:t>normative ale Băncii Naționale a Moldovei</w:t>
      </w:r>
      <w:r w:rsidRPr="000508B6">
        <w:rPr>
          <w:rFonts w:ascii="Times New Roman" w:hAnsi="Times New Roman" w:cs="Times New Roman"/>
          <w:lang w:val="ro-MD"/>
        </w:rPr>
        <w:t xml:space="preserve"> referitoare la metodele și ipotezele pentru calcularea primei de volatilitate, inclusiv formula pentru calcularea raportului de </w:t>
      </w:r>
      <w:proofErr w:type="spellStart"/>
      <w:r w:rsidR="00F45B8B" w:rsidRPr="000508B6">
        <w:rPr>
          <w:rFonts w:ascii="Times New Roman" w:hAnsi="Times New Roman" w:cs="Times New Roman"/>
          <w:lang w:val="ro-MD"/>
        </w:rPr>
        <w:t>senzitivitate</w:t>
      </w:r>
      <w:proofErr w:type="spellEnd"/>
      <w:r w:rsidRPr="000508B6">
        <w:rPr>
          <w:rFonts w:ascii="Times New Roman" w:hAnsi="Times New Roman" w:cs="Times New Roman"/>
          <w:lang w:val="ro-MD"/>
        </w:rPr>
        <w:t xml:space="preserve"> la marja de credit, menționată </w:t>
      </w:r>
      <w:r w:rsidR="000E084A">
        <w:rPr>
          <w:rFonts w:ascii="Times New Roman" w:hAnsi="Times New Roman" w:cs="Times New Roman"/>
          <w:lang w:val="ro-MD"/>
        </w:rPr>
        <w:t>în</w:t>
      </w:r>
      <w:r w:rsidRPr="000508B6">
        <w:rPr>
          <w:rFonts w:ascii="Times New Roman" w:hAnsi="Times New Roman" w:cs="Times New Roman"/>
          <w:lang w:val="ro-MD"/>
        </w:rPr>
        <w:t xml:space="preserve"> Anexele nr.</w:t>
      </w:r>
      <w:r w:rsidR="002D20FC" w:rsidRPr="000508B6">
        <w:rPr>
          <w:rFonts w:ascii="Times New Roman" w:hAnsi="Times New Roman" w:cs="Times New Roman"/>
          <w:lang w:val="ro-MD"/>
        </w:rPr>
        <w:t xml:space="preserve"> </w:t>
      </w:r>
      <w:r w:rsidRPr="000508B6">
        <w:rPr>
          <w:rFonts w:ascii="Times New Roman" w:hAnsi="Times New Roman" w:cs="Times New Roman"/>
          <w:lang w:val="ro-MD"/>
        </w:rPr>
        <w:t>4</w:t>
      </w:r>
      <w:r w:rsidR="004815A3" w:rsidRPr="000508B6">
        <w:rPr>
          <w:rFonts w:ascii="Times New Roman" w:hAnsi="Times New Roman" w:cs="Times New Roman"/>
          <w:lang w:val="ro-MD"/>
        </w:rPr>
        <w:t>.</w:t>
      </w:r>
      <w:r w:rsidRPr="000508B6">
        <w:rPr>
          <w:rFonts w:ascii="Times New Roman" w:hAnsi="Times New Roman" w:cs="Times New Roman"/>
          <w:lang w:val="ro-MD"/>
        </w:rPr>
        <w:t xml:space="preserve"> și nr.</w:t>
      </w:r>
      <w:r w:rsidR="004815A3" w:rsidRPr="000508B6">
        <w:rPr>
          <w:rFonts w:ascii="Times New Roman" w:hAnsi="Times New Roman" w:cs="Times New Roman"/>
          <w:lang w:val="ro-MD"/>
        </w:rPr>
        <w:t xml:space="preserve"> </w:t>
      </w:r>
      <w:r w:rsidRPr="000508B6">
        <w:rPr>
          <w:rFonts w:ascii="Times New Roman" w:hAnsi="Times New Roman" w:cs="Times New Roman"/>
          <w:lang w:val="ro-MD"/>
        </w:rPr>
        <w:t xml:space="preserve">5 și pentru fiecare clasă de active relevantă, procentajul din marjă ce reprezintă partea din marjă care poate fi atribuită unei </w:t>
      </w:r>
      <w:r w:rsidR="00F45B8B" w:rsidRPr="000508B6">
        <w:rPr>
          <w:rFonts w:ascii="Times New Roman" w:hAnsi="Times New Roman" w:cs="Times New Roman"/>
          <w:lang w:val="ro-MD"/>
        </w:rPr>
        <w:t>evaluări realiste a pierderilor estimate a riscurilor de credit neașteptate sau a altor riscuri conform Anexei nr.</w:t>
      </w:r>
      <w:r w:rsidR="004815A3" w:rsidRPr="000508B6">
        <w:rPr>
          <w:rFonts w:ascii="Times New Roman" w:hAnsi="Times New Roman" w:cs="Times New Roman"/>
          <w:lang w:val="ro-MD"/>
        </w:rPr>
        <w:t xml:space="preserve"> </w:t>
      </w:r>
      <w:r w:rsidR="00F45B8B" w:rsidRPr="000508B6">
        <w:rPr>
          <w:rFonts w:ascii="Times New Roman" w:hAnsi="Times New Roman" w:cs="Times New Roman"/>
          <w:lang w:val="ro-MD"/>
        </w:rPr>
        <w:t>4.</w:t>
      </w:r>
      <w:r w:rsidRPr="000508B6">
        <w:rPr>
          <w:rFonts w:ascii="Times New Roman" w:hAnsi="Times New Roman" w:cs="Times New Roman"/>
          <w:lang w:val="ro-MD"/>
        </w:rPr>
        <w:t xml:space="preserve"> </w:t>
      </w:r>
    </w:p>
    <w:p w14:paraId="761AC120" w14:textId="06ABB152" w:rsidR="00F95829" w:rsidRPr="000508B6" w:rsidRDefault="001225C3" w:rsidP="00CF5AFA">
      <w:pPr>
        <w:pStyle w:val="Listparagraf"/>
        <w:numPr>
          <w:ilvl w:val="0"/>
          <w:numId w:val="304"/>
        </w:numPr>
        <w:tabs>
          <w:tab w:val="left" w:pos="851"/>
          <w:tab w:val="left" w:pos="993"/>
        </w:tabs>
        <w:spacing w:after="0" w:line="240" w:lineRule="auto"/>
        <w:ind w:left="0" w:firstLine="426"/>
        <w:jc w:val="both"/>
        <w:rPr>
          <w:rFonts w:ascii="Times New Roman" w:hAnsi="Times New Roman" w:cs="Times New Roman"/>
          <w:b/>
          <w:bCs/>
          <w:lang w:val="ro-MD"/>
        </w:rPr>
      </w:pPr>
      <w:r w:rsidRPr="000508B6">
        <w:rPr>
          <w:rFonts w:ascii="Times New Roman" w:hAnsi="Times New Roman" w:cs="Times New Roman"/>
          <w:lang w:val="ro-MD"/>
        </w:rPr>
        <w:t xml:space="preserve">În cazul în care Comisia Europeană </w:t>
      </w:r>
      <w:r w:rsidR="00005D84" w:rsidRPr="000508B6">
        <w:rPr>
          <w:rFonts w:ascii="Times New Roman" w:hAnsi="Times New Roman" w:cs="Times New Roman"/>
          <w:lang w:val="ro-MD"/>
        </w:rPr>
        <w:t xml:space="preserve">adoptă </w:t>
      </w:r>
      <w:r w:rsidRPr="000508B6">
        <w:rPr>
          <w:rFonts w:ascii="Times New Roman" w:hAnsi="Times New Roman" w:cs="Times New Roman"/>
          <w:lang w:val="ro-MD"/>
        </w:rPr>
        <w:t>acte de</w:t>
      </w:r>
      <w:r w:rsidR="00FE2F61" w:rsidRPr="000508B6">
        <w:rPr>
          <w:rFonts w:ascii="Times New Roman" w:hAnsi="Times New Roman" w:cs="Times New Roman"/>
          <w:lang w:val="ro-MD"/>
        </w:rPr>
        <w:t xml:space="preserve"> </w:t>
      </w:r>
      <w:r w:rsidRPr="000508B6">
        <w:rPr>
          <w:rFonts w:ascii="Times New Roman" w:hAnsi="Times New Roman" w:cs="Times New Roman"/>
          <w:lang w:val="ro-MD"/>
        </w:rPr>
        <w:t xml:space="preserve">punere în aplicare referitoare la fiecare monedă relevantă pe baza informațiilor tehnice publicate de EIOPA cel puțin trimestrial,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utilizează următoarele </w:t>
      </w:r>
      <w:proofErr w:type="spellStart"/>
      <w:r w:rsidR="00F95829"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pentru calculul celei mai bune estimări menționate la art. </w:t>
      </w:r>
      <w:r w:rsidR="00E579D7" w:rsidRPr="000508B6">
        <w:rPr>
          <w:rFonts w:ascii="Times New Roman" w:hAnsi="Times New Roman" w:cs="Times New Roman"/>
          <w:lang w:val="ro-MD"/>
        </w:rPr>
        <w:t>43 alin. (2),</w:t>
      </w:r>
      <w:r w:rsidRPr="000508B6">
        <w:rPr>
          <w:rFonts w:ascii="Times New Roman" w:hAnsi="Times New Roman" w:cs="Times New Roman"/>
          <w:lang w:val="ro-MD"/>
        </w:rPr>
        <w:t xml:space="preserve"> </w:t>
      </w:r>
      <w:r w:rsidR="00E579D7" w:rsidRPr="000508B6">
        <w:rPr>
          <w:rFonts w:ascii="Times New Roman" w:hAnsi="Times New Roman" w:cs="Times New Roman"/>
          <w:lang w:val="ro-MD"/>
        </w:rPr>
        <w:t>a</w:t>
      </w:r>
      <w:r w:rsidRPr="000508B6">
        <w:rPr>
          <w:rFonts w:ascii="Times New Roman" w:hAnsi="Times New Roman" w:cs="Times New Roman"/>
          <w:lang w:val="ro-MD"/>
        </w:rPr>
        <w:t xml:space="preserve"> primei de echilibrare sau a primei de volatilitate</w:t>
      </w:r>
      <w:r w:rsidR="00F95829" w:rsidRPr="000508B6">
        <w:rPr>
          <w:rFonts w:ascii="Times New Roman" w:hAnsi="Times New Roman" w:cs="Times New Roman"/>
          <w:lang w:val="ro-MD"/>
        </w:rPr>
        <w:t>:</w:t>
      </w:r>
      <w:r w:rsidR="00872634" w:rsidRPr="000508B6">
        <w:rPr>
          <w:rFonts w:ascii="Times New Roman" w:hAnsi="Times New Roman" w:cs="Times New Roman"/>
          <w:lang w:val="ro-MD"/>
        </w:rPr>
        <w:t xml:space="preserve"> </w:t>
      </w:r>
    </w:p>
    <w:p w14:paraId="7B6FD7E4" w14:textId="105E9C77" w:rsidR="00F95829" w:rsidRPr="000508B6" w:rsidRDefault="00835F0B" w:rsidP="00DE4225">
      <w:pPr>
        <w:pStyle w:val="Listparagraf"/>
        <w:numPr>
          <w:ilvl w:val="2"/>
          <w:numId w:val="147"/>
        </w:numPr>
        <w:tabs>
          <w:tab w:val="left" w:pos="426"/>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structura temporală relevantă a ratei dobânzilor fără risc pentru calculul celei mai bune estimări menționate la art. 43 alin. (2), fără aplicarea primei de echilibrare sau a primei de volatilitate;</w:t>
      </w:r>
    </w:p>
    <w:p w14:paraId="1542228A" w14:textId="0DEE7A7B" w:rsidR="0098452B" w:rsidRPr="000508B6" w:rsidRDefault="00835F0B" w:rsidP="00CF5AFA">
      <w:pPr>
        <w:pStyle w:val="Listparagraf"/>
        <w:numPr>
          <w:ilvl w:val="2"/>
          <w:numId w:val="14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 scopul publicării informațiilor în temeiul art. </w:t>
      </w:r>
      <w:r w:rsidR="00D100BA" w:rsidRPr="000508B6">
        <w:rPr>
          <w:rFonts w:ascii="Times New Roman" w:hAnsi="Times New Roman" w:cs="Times New Roman"/>
          <w:lang w:val="ro-MD"/>
        </w:rPr>
        <w:t>32</w:t>
      </w:r>
      <w:r w:rsidRPr="000508B6">
        <w:rPr>
          <w:rFonts w:ascii="Times New Roman" w:hAnsi="Times New Roman" w:cs="Times New Roman"/>
          <w:lang w:val="ro-MD"/>
        </w:rPr>
        <w:t xml:space="preserve"> alin</w:t>
      </w:r>
      <w:r w:rsidR="00D100BA" w:rsidRPr="000508B6">
        <w:rPr>
          <w:rFonts w:ascii="Times New Roman" w:hAnsi="Times New Roman" w:cs="Times New Roman"/>
          <w:lang w:val="ro-MD"/>
        </w:rPr>
        <w:t>.</w:t>
      </w:r>
      <w:r w:rsidRPr="000508B6">
        <w:rPr>
          <w:rFonts w:ascii="Times New Roman" w:hAnsi="Times New Roman" w:cs="Times New Roman"/>
          <w:lang w:val="ro-MD"/>
        </w:rPr>
        <w:t xml:space="preserve"> (</w:t>
      </w:r>
      <w:r w:rsidR="00D100BA" w:rsidRPr="000508B6">
        <w:rPr>
          <w:rFonts w:ascii="Times New Roman" w:hAnsi="Times New Roman" w:cs="Times New Roman"/>
          <w:lang w:val="ro-MD"/>
        </w:rPr>
        <w:t>15</w:t>
      </w:r>
      <w:r w:rsidRPr="000508B6">
        <w:rPr>
          <w:rFonts w:ascii="Times New Roman" w:hAnsi="Times New Roman" w:cs="Times New Roman"/>
          <w:lang w:val="ro-MD"/>
        </w:rPr>
        <w:t>), o structură temporală relevantă a ratei dobânzilor fără risc, fără primă de echilibrare sau primă de volatilitate, determinată fără aplicarea mecanismului de introducere treptată pentru extrapolare, astfel cum este prevăzut la art</w:t>
      </w:r>
      <w:r w:rsidR="00D100BA" w:rsidRPr="000508B6">
        <w:rPr>
          <w:rFonts w:ascii="Times New Roman" w:hAnsi="Times New Roman" w:cs="Times New Roman"/>
          <w:lang w:val="ro-MD"/>
        </w:rPr>
        <w:t>.</w:t>
      </w:r>
      <w:r w:rsidRPr="000508B6">
        <w:rPr>
          <w:rFonts w:ascii="Times New Roman" w:hAnsi="Times New Roman" w:cs="Times New Roman"/>
          <w:lang w:val="ro-MD"/>
        </w:rPr>
        <w:t xml:space="preserve"> </w:t>
      </w:r>
      <w:r w:rsidR="00D100BA" w:rsidRPr="000508B6">
        <w:rPr>
          <w:rFonts w:ascii="Times New Roman" w:hAnsi="Times New Roman" w:cs="Times New Roman"/>
          <w:lang w:val="ro-MD"/>
        </w:rPr>
        <w:t>44</w:t>
      </w:r>
      <w:r w:rsidRPr="000508B6">
        <w:rPr>
          <w:rFonts w:ascii="Times New Roman" w:hAnsi="Times New Roman" w:cs="Times New Roman"/>
          <w:lang w:val="ro-MD"/>
        </w:rPr>
        <w:t xml:space="preserve"> alin</w:t>
      </w:r>
      <w:r w:rsidR="00D100BA" w:rsidRPr="000508B6">
        <w:rPr>
          <w:rFonts w:ascii="Times New Roman" w:hAnsi="Times New Roman" w:cs="Times New Roman"/>
          <w:lang w:val="ro-MD"/>
        </w:rPr>
        <w:t>.</w:t>
      </w:r>
      <w:r w:rsidRPr="000508B6">
        <w:rPr>
          <w:rFonts w:ascii="Times New Roman" w:hAnsi="Times New Roman" w:cs="Times New Roman"/>
          <w:lang w:val="ro-MD"/>
        </w:rPr>
        <w:t xml:space="preserve"> (</w:t>
      </w:r>
      <w:r w:rsidR="00EB3486" w:rsidRPr="000508B6">
        <w:rPr>
          <w:rFonts w:ascii="Times New Roman" w:hAnsi="Times New Roman" w:cs="Times New Roman"/>
          <w:lang w:val="ro-MD"/>
        </w:rPr>
        <w:t>9</w:t>
      </w:r>
      <w:r w:rsidRPr="000508B6">
        <w:rPr>
          <w:rFonts w:ascii="Times New Roman" w:hAnsi="Times New Roman" w:cs="Times New Roman"/>
          <w:lang w:val="ro-MD"/>
        </w:rPr>
        <w:t>)</w:t>
      </w:r>
      <w:r w:rsidR="0098452B" w:rsidRPr="000508B6">
        <w:rPr>
          <w:rFonts w:ascii="Times New Roman" w:hAnsi="Times New Roman" w:cs="Times New Roman"/>
          <w:lang w:val="ro-MD"/>
        </w:rPr>
        <w:t>;</w:t>
      </w:r>
    </w:p>
    <w:p w14:paraId="7D66D0BD" w14:textId="7B4CF62C" w:rsidR="00220740" w:rsidRPr="000508B6" w:rsidRDefault="00D100BA" w:rsidP="00DE4225">
      <w:pPr>
        <w:pStyle w:val="Listparagraf"/>
        <w:numPr>
          <w:ilvl w:val="2"/>
          <w:numId w:val="14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setul de scenarii care trebuie utilizate pentru </w:t>
      </w:r>
      <w:r w:rsidR="0098452B" w:rsidRPr="000508B6">
        <w:rPr>
          <w:rFonts w:ascii="Times New Roman" w:hAnsi="Times New Roman" w:cs="Times New Roman"/>
          <w:lang w:val="ro-MD"/>
        </w:rPr>
        <w:t>evaluarea deterministă prudentă a celei mai bune estimări pentru obligațiile de asigurare de viață</w:t>
      </w:r>
      <w:r w:rsidRPr="000508B6">
        <w:rPr>
          <w:rFonts w:ascii="Times New Roman" w:hAnsi="Times New Roman" w:cs="Times New Roman"/>
          <w:lang w:val="ro-MD"/>
        </w:rPr>
        <w:t xml:space="preserve"> în temeiul art. </w:t>
      </w:r>
      <w:r w:rsidR="00BE154A" w:rsidRPr="000508B6">
        <w:rPr>
          <w:rFonts w:ascii="Times New Roman" w:hAnsi="Times New Roman" w:cs="Times New Roman"/>
          <w:lang w:val="ro-MD"/>
        </w:rPr>
        <w:t>43</w:t>
      </w:r>
      <w:r w:rsidRPr="000508B6">
        <w:rPr>
          <w:rFonts w:ascii="Times New Roman" w:hAnsi="Times New Roman" w:cs="Times New Roman"/>
          <w:lang w:val="ro-MD"/>
        </w:rPr>
        <w:t xml:space="preserve"> alin. (</w:t>
      </w:r>
      <w:r w:rsidR="00BE154A" w:rsidRPr="000508B6">
        <w:rPr>
          <w:rFonts w:ascii="Times New Roman" w:hAnsi="Times New Roman" w:cs="Times New Roman"/>
          <w:lang w:val="ro-MD"/>
        </w:rPr>
        <w:t>12</w:t>
      </w:r>
      <w:r w:rsidRPr="000508B6">
        <w:rPr>
          <w:rFonts w:ascii="Times New Roman" w:hAnsi="Times New Roman" w:cs="Times New Roman"/>
          <w:lang w:val="ro-MD"/>
        </w:rPr>
        <w:t>)</w:t>
      </w:r>
      <w:r w:rsidR="00220740" w:rsidRPr="000508B6">
        <w:rPr>
          <w:rFonts w:ascii="Times New Roman" w:hAnsi="Times New Roman" w:cs="Times New Roman"/>
          <w:lang w:val="ro-MD"/>
        </w:rPr>
        <w:t>;</w:t>
      </w:r>
      <w:r w:rsidRPr="000508B6">
        <w:rPr>
          <w:rFonts w:ascii="Times New Roman" w:hAnsi="Times New Roman" w:cs="Times New Roman"/>
          <w:lang w:val="ro-MD"/>
        </w:rPr>
        <w:t xml:space="preserve"> </w:t>
      </w:r>
    </w:p>
    <w:p w14:paraId="0CBA3BFE" w14:textId="354808AD" w:rsidR="00F95829" w:rsidRPr="000508B6" w:rsidRDefault="00BE154A" w:rsidP="00CF5AFA">
      <w:pPr>
        <w:pStyle w:val="Listparagraf"/>
        <w:numPr>
          <w:ilvl w:val="2"/>
          <w:numId w:val="147"/>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  pentru fiecare durată, calitate a creditului și clasă de active relevante </w:t>
      </w:r>
      <w:r w:rsidR="00F95829" w:rsidRPr="000508B6">
        <w:rPr>
          <w:rFonts w:ascii="Times New Roman" w:hAnsi="Times New Roman" w:cs="Times New Roman"/>
          <w:lang w:val="ro-MD"/>
        </w:rPr>
        <w:t xml:space="preserve">marja de credit istorică </w:t>
      </w:r>
      <w:r w:rsidRPr="000508B6">
        <w:rPr>
          <w:rFonts w:ascii="Times New Roman" w:hAnsi="Times New Roman" w:cs="Times New Roman"/>
          <w:lang w:val="ro-MD"/>
        </w:rPr>
        <w:t>pentru calcularea primei de echilibrare</w:t>
      </w:r>
      <w:r w:rsidR="002D1928" w:rsidRPr="000508B6">
        <w:rPr>
          <w:rFonts w:ascii="Times New Roman" w:hAnsi="Times New Roman" w:cs="Times New Roman"/>
          <w:lang w:val="ro-MD"/>
        </w:rPr>
        <w:t>;</w:t>
      </w:r>
    </w:p>
    <w:p w14:paraId="5F9C43FB" w14:textId="57012601" w:rsidR="00F95829" w:rsidRPr="000508B6" w:rsidRDefault="00BE154A" w:rsidP="00CF5AFA">
      <w:pPr>
        <w:pStyle w:val="Listparagraf"/>
        <w:numPr>
          <w:ilvl w:val="2"/>
          <w:numId w:val="147"/>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pentru fiecare monedă relevantă și piață națională de asigurări, </w:t>
      </w:r>
      <w:r w:rsidR="00220740" w:rsidRPr="000508B6">
        <w:rPr>
          <w:rFonts w:ascii="Times New Roman" w:hAnsi="Times New Roman" w:cs="Times New Roman"/>
          <w:lang w:val="ro-MD"/>
        </w:rPr>
        <w:t>marj</w:t>
      </w:r>
      <w:r w:rsidR="00FA4BE2" w:rsidRPr="000508B6">
        <w:rPr>
          <w:rFonts w:ascii="Times New Roman" w:hAnsi="Times New Roman" w:cs="Times New Roman"/>
          <w:lang w:val="ro-MD"/>
        </w:rPr>
        <w:t>a</w:t>
      </w:r>
      <w:r w:rsidR="00220740" w:rsidRPr="000508B6">
        <w:rPr>
          <w:rFonts w:ascii="Times New Roman" w:hAnsi="Times New Roman" w:cs="Times New Roman"/>
          <w:lang w:val="ro-MD"/>
        </w:rPr>
        <w:t xml:space="preserve"> corectată în funcție de risc</w:t>
      </w:r>
      <w:r w:rsidR="006B35BA" w:rsidRPr="000508B6">
        <w:rPr>
          <w:rFonts w:ascii="Times New Roman" w:hAnsi="Times New Roman" w:cs="Times New Roman"/>
          <w:lang w:val="ro-MD"/>
        </w:rPr>
        <w:t xml:space="preserve"> după cum este menționat </w:t>
      </w:r>
      <w:r w:rsidR="005D73A3" w:rsidRPr="000508B6">
        <w:rPr>
          <w:rFonts w:ascii="Times New Roman" w:hAnsi="Times New Roman" w:cs="Times New Roman"/>
          <w:lang w:val="ro-MD"/>
        </w:rPr>
        <w:t xml:space="preserve">în </w:t>
      </w:r>
      <w:r w:rsidR="002D20FC" w:rsidRPr="000508B6">
        <w:rPr>
          <w:rFonts w:ascii="Times New Roman" w:hAnsi="Times New Roman" w:cs="Times New Roman"/>
          <w:lang w:val="ro-MD"/>
        </w:rPr>
        <w:t xml:space="preserve">Anexa </w:t>
      </w:r>
      <w:r w:rsidR="005D73A3" w:rsidRPr="000508B6">
        <w:rPr>
          <w:rFonts w:ascii="Times New Roman" w:hAnsi="Times New Roman" w:cs="Times New Roman"/>
          <w:lang w:val="ro-MD"/>
        </w:rPr>
        <w:t>nr. 4</w:t>
      </w:r>
      <w:r w:rsidR="004815A3" w:rsidRPr="000508B6">
        <w:rPr>
          <w:rFonts w:ascii="Times New Roman" w:hAnsi="Times New Roman" w:cs="Times New Roman"/>
          <w:lang w:val="ro-MD"/>
        </w:rPr>
        <w:t>.</w:t>
      </w:r>
      <w:r w:rsidR="002D20FC" w:rsidRPr="000508B6">
        <w:rPr>
          <w:rFonts w:ascii="Times New Roman" w:hAnsi="Times New Roman" w:cs="Times New Roman"/>
          <w:lang w:val="ro-MD"/>
        </w:rPr>
        <w:t xml:space="preserve"> și nr.5</w:t>
      </w:r>
      <w:r w:rsidR="004815A3" w:rsidRPr="000508B6">
        <w:rPr>
          <w:rFonts w:ascii="Times New Roman" w:hAnsi="Times New Roman" w:cs="Times New Roman"/>
          <w:lang w:val="ro-MD"/>
        </w:rPr>
        <w:t>.</w:t>
      </w:r>
      <w:r w:rsidR="00FA4BE2" w:rsidRPr="000508B6">
        <w:rPr>
          <w:rFonts w:ascii="Times New Roman" w:hAnsi="Times New Roman" w:cs="Times New Roman"/>
          <w:lang w:val="ro-MD"/>
        </w:rPr>
        <w:t xml:space="preserve">; </w:t>
      </w:r>
    </w:p>
    <w:p w14:paraId="6F39CAAD" w14:textId="2D1CC883" w:rsidR="00E21D4F" w:rsidRPr="000508B6" w:rsidRDefault="00460A2A" w:rsidP="00CF5AFA">
      <w:pPr>
        <w:pStyle w:val="Listparagraf"/>
        <w:numPr>
          <w:ilvl w:val="2"/>
          <w:numId w:val="147"/>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6B35BA" w:rsidRPr="000508B6">
        <w:rPr>
          <w:rFonts w:ascii="Times New Roman" w:hAnsi="Times New Roman" w:cs="Times New Roman"/>
          <w:lang w:val="ro-MD"/>
        </w:rPr>
        <w:t>stat membru relevant</w:t>
      </w:r>
      <w:r w:rsidRPr="000508B6">
        <w:rPr>
          <w:rFonts w:ascii="Times New Roman" w:hAnsi="Times New Roman" w:cs="Times New Roman"/>
          <w:lang w:val="ro-MD"/>
        </w:rPr>
        <w:t xml:space="preserve"> procentajul </w:t>
      </w:r>
      <w:r w:rsidR="00574EA7" w:rsidRPr="000508B6">
        <w:rPr>
          <w:rFonts w:ascii="Times New Roman" w:hAnsi="Times New Roman" w:cs="Times New Roman"/>
          <w:lang w:val="ro-MD"/>
        </w:rPr>
        <w:t xml:space="preserve">investițiilor în instrumente de datorie în raport cu totalul activelor deținute de </w:t>
      </w:r>
      <w:r w:rsidR="004F27CA" w:rsidRPr="000508B6">
        <w:rPr>
          <w:rFonts w:ascii="Times New Roman" w:hAnsi="Times New Roman" w:cs="Times New Roman"/>
          <w:lang w:val="ro-MD"/>
        </w:rPr>
        <w:t xml:space="preserve">asigurătorii sau </w:t>
      </w:r>
      <w:proofErr w:type="spellStart"/>
      <w:r w:rsidR="004F27CA" w:rsidRPr="000508B6">
        <w:rPr>
          <w:rFonts w:ascii="Times New Roman" w:hAnsi="Times New Roman" w:cs="Times New Roman"/>
          <w:lang w:val="ro-MD"/>
        </w:rPr>
        <w:t>reasigurătorii</w:t>
      </w:r>
      <w:proofErr w:type="spellEnd"/>
      <w:r w:rsidR="004F27CA" w:rsidRPr="000508B6">
        <w:rPr>
          <w:rFonts w:ascii="Times New Roman" w:hAnsi="Times New Roman" w:cs="Times New Roman"/>
          <w:lang w:val="ro-MD"/>
        </w:rPr>
        <w:t xml:space="preserve"> </w:t>
      </w:r>
      <w:r w:rsidR="00574EA7" w:rsidRPr="000508B6">
        <w:rPr>
          <w:rFonts w:ascii="Times New Roman" w:hAnsi="Times New Roman" w:cs="Times New Roman"/>
          <w:lang w:val="ro-MD"/>
        </w:rPr>
        <w:t>licenția</w:t>
      </w:r>
      <w:r w:rsidR="004F27CA" w:rsidRPr="000508B6">
        <w:rPr>
          <w:rFonts w:ascii="Times New Roman" w:hAnsi="Times New Roman" w:cs="Times New Roman"/>
          <w:lang w:val="ro-MD"/>
        </w:rPr>
        <w:t>ți</w:t>
      </w:r>
      <w:r w:rsidR="00574EA7" w:rsidRPr="000508B6">
        <w:rPr>
          <w:rFonts w:ascii="Times New Roman" w:hAnsi="Times New Roman" w:cs="Times New Roman"/>
          <w:lang w:val="ro-MD"/>
        </w:rPr>
        <w:t xml:space="preserve"> în statul membru respectiv</w:t>
      </w:r>
      <w:r w:rsidR="002D20FC" w:rsidRPr="000508B6">
        <w:rPr>
          <w:rFonts w:ascii="Times New Roman" w:hAnsi="Times New Roman" w:cs="Times New Roman"/>
          <w:lang w:val="ro-MD"/>
        </w:rPr>
        <w:t>, prevăzut în Anexa nr.</w:t>
      </w:r>
      <w:r w:rsidR="004815A3" w:rsidRPr="000508B6">
        <w:rPr>
          <w:rFonts w:ascii="Times New Roman" w:hAnsi="Times New Roman" w:cs="Times New Roman"/>
          <w:lang w:val="ro-MD"/>
        </w:rPr>
        <w:t xml:space="preserve"> </w:t>
      </w:r>
      <w:r w:rsidR="002D20FC" w:rsidRPr="000508B6">
        <w:rPr>
          <w:rFonts w:ascii="Times New Roman" w:hAnsi="Times New Roman" w:cs="Times New Roman"/>
          <w:lang w:val="ro-MD"/>
        </w:rPr>
        <w:t>5.</w:t>
      </w:r>
      <w:r w:rsidR="004815A3" w:rsidRPr="000508B6">
        <w:rPr>
          <w:rFonts w:ascii="Times New Roman" w:hAnsi="Times New Roman" w:cs="Times New Roman"/>
          <w:lang w:val="ro-MD"/>
        </w:rPr>
        <w:t xml:space="preserve"> </w:t>
      </w:r>
      <w:r w:rsidR="002D20FC" w:rsidRPr="000508B6">
        <w:rPr>
          <w:rFonts w:ascii="Times New Roman" w:hAnsi="Times New Roman" w:cs="Times New Roman"/>
          <w:lang w:val="ro-MD"/>
        </w:rPr>
        <w:t>pct.</w:t>
      </w:r>
      <w:r w:rsidR="004815A3" w:rsidRPr="000508B6">
        <w:rPr>
          <w:rFonts w:ascii="Times New Roman" w:hAnsi="Times New Roman" w:cs="Times New Roman"/>
          <w:lang w:val="ro-MD"/>
        </w:rPr>
        <w:t xml:space="preserve"> (</w:t>
      </w:r>
      <w:r w:rsidR="002D20FC" w:rsidRPr="000508B6">
        <w:rPr>
          <w:rFonts w:ascii="Times New Roman" w:hAnsi="Times New Roman" w:cs="Times New Roman"/>
          <w:lang w:val="ro-MD"/>
        </w:rPr>
        <w:t>5</w:t>
      </w:r>
      <w:r w:rsidR="004815A3" w:rsidRPr="000508B6">
        <w:rPr>
          <w:rFonts w:ascii="Times New Roman" w:hAnsi="Times New Roman" w:cs="Times New Roman"/>
          <w:lang w:val="ro-MD"/>
        </w:rPr>
        <w:t>)</w:t>
      </w:r>
      <w:r w:rsidR="002D1928" w:rsidRPr="000508B6">
        <w:rPr>
          <w:rFonts w:ascii="Times New Roman" w:hAnsi="Times New Roman" w:cs="Times New Roman"/>
          <w:lang w:val="ro-MD"/>
        </w:rPr>
        <w:t>.</w:t>
      </w:r>
      <w:r w:rsidR="005E5685" w:rsidRPr="000508B6">
        <w:rPr>
          <w:rFonts w:ascii="Times New Roman" w:hAnsi="Times New Roman" w:cs="Times New Roman"/>
          <w:lang w:val="ro-MD"/>
        </w:rPr>
        <w:t xml:space="preserve"> </w:t>
      </w:r>
    </w:p>
    <w:p w14:paraId="440C2F82" w14:textId="415058E7" w:rsidR="00090CAE" w:rsidRPr="000508B6" w:rsidRDefault="002D33DB" w:rsidP="00CF5AFA">
      <w:pPr>
        <w:pStyle w:val="Listparagraf"/>
        <w:numPr>
          <w:ilvl w:val="0"/>
          <w:numId w:val="304"/>
        </w:numPr>
        <w:tabs>
          <w:tab w:val="left" w:pos="851"/>
          <w:tab w:val="left" w:pos="993"/>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lastRenderedPageBreak/>
        <w:t>În aplicarea art.</w:t>
      </w:r>
      <w:r w:rsidR="004815A3"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44 alin. (1) </w:t>
      </w:r>
      <w:r w:rsidR="00D068AA" w:rsidRPr="000508B6">
        <w:rPr>
          <w:rFonts w:ascii="Times New Roman" w:eastAsia="Times New Roman" w:hAnsi="Times New Roman" w:cs="Times New Roman"/>
          <w:bCs/>
          <w:lang w:val="ro-MD"/>
        </w:rPr>
        <w:t xml:space="preserve">asigurătorul sau </w:t>
      </w:r>
      <w:proofErr w:type="spellStart"/>
      <w:r w:rsidR="00D068AA" w:rsidRPr="000508B6">
        <w:rPr>
          <w:rFonts w:ascii="Times New Roman" w:eastAsia="Times New Roman" w:hAnsi="Times New Roman" w:cs="Times New Roman"/>
          <w:bCs/>
          <w:lang w:val="ro-MD"/>
        </w:rPr>
        <w:t>reasigurătorul</w:t>
      </w:r>
      <w:proofErr w:type="spellEnd"/>
      <w:r w:rsidR="0046300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utilizează informațiile tehnice publicate de EIOPA cel puțin anual, </w:t>
      </w:r>
      <w:r w:rsidR="00574EA7" w:rsidRPr="000508B6">
        <w:rPr>
          <w:rFonts w:ascii="Times New Roman" w:eastAsia="Times New Roman" w:hAnsi="Times New Roman" w:cs="Times New Roman"/>
          <w:bCs/>
          <w:lang w:val="ro-MD"/>
        </w:rPr>
        <w:t>p</w:t>
      </w:r>
      <w:r w:rsidRPr="000508B6">
        <w:rPr>
          <w:rFonts w:ascii="Times New Roman" w:eastAsia="Times New Roman" w:hAnsi="Times New Roman" w:cs="Times New Roman"/>
          <w:bCs/>
          <w:lang w:val="ro-MD"/>
        </w:rPr>
        <w:t xml:space="preserve">entru fiecare monedă relevantă și pentru fiecare scadență la care piețele instrumentelor financiare sau ale obligațiunilor relevante cu scadența respectivă sunt diversificate, lichide și transparente, </w:t>
      </w:r>
      <w:r w:rsidR="00574EA7" w:rsidRPr="000508B6">
        <w:rPr>
          <w:rFonts w:ascii="Times New Roman" w:eastAsia="Times New Roman" w:hAnsi="Times New Roman" w:cs="Times New Roman"/>
          <w:bCs/>
          <w:lang w:val="ro-MD"/>
        </w:rPr>
        <w:t>referitoare la</w:t>
      </w:r>
      <w:r w:rsidRPr="000508B6">
        <w:rPr>
          <w:rFonts w:ascii="Times New Roman" w:eastAsia="Times New Roman" w:hAnsi="Times New Roman" w:cs="Times New Roman"/>
          <w:bCs/>
          <w:lang w:val="ro-MD"/>
        </w:rPr>
        <w:t xml:space="preserve"> procentajul obligațiunilor cu scadența respectivă sau o scadență mai îndepărtată din totalul </w:t>
      </w:r>
      <w:r w:rsidR="00FA320A" w:rsidRPr="000508B6">
        <w:rPr>
          <w:rFonts w:ascii="Times New Roman" w:eastAsia="Times New Roman" w:hAnsi="Times New Roman" w:cs="Times New Roman"/>
          <w:bCs/>
          <w:lang w:val="ro-MD"/>
        </w:rPr>
        <w:t>obligați</w:t>
      </w:r>
      <w:r w:rsidR="008807A0" w:rsidRPr="000508B6">
        <w:rPr>
          <w:rFonts w:ascii="Times New Roman" w:eastAsia="Times New Roman" w:hAnsi="Times New Roman" w:cs="Times New Roman"/>
          <w:bCs/>
          <w:lang w:val="ro-MD"/>
        </w:rPr>
        <w:t>uni</w:t>
      </w:r>
      <w:r w:rsidR="00FA320A" w:rsidRPr="000508B6">
        <w:rPr>
          <w:rFonts w:ascii="Times New Roman" w:eastAsia="Times New Roman" w:hAnsi="Times New Roman" w:cs="Times New Roman"/>
          <w:bCs/>
          <w:lang w:val="ro-MD"/>
        </w:rPr>
        <w:t xml:space="preserve">lor </w:t>
      </w:r>
      <w:r w:rsidRPr="000508B6">
        <w:rPr>
          <w:rFonts w:ascii="Times New Roman" w:eastAsia="Times New Roman" w:hAnsi="Times New Roman" w:cs="Times New Roman"/>
          <w:bCs/>
          <w:lang w:val="ro-MD"/>
        </w:rPr>
        <w:t>exprimate în moneda respectivă</w:t>
      </w:r>
      <w:bookmarkStart w:id="107" w:name="_Hlk206526043"/>
      <w:r w:rsidR="001161C1" w:rsidRPr="000508B6">
        <w:rPr>
          <w:rFonts w:ascii="Times New Roman" w:eastAsia="Times New Roman" w:hAnsi="Times New Roman" w:cs="Times New Roman"/>
          <w:bCs/>
          <w:lang w:val="ro-MD"/>
        </w:rPr>
        <w:t>.</w:t>
      </w:r>
      <w:bookmarkEnd w:id="107"/>
    </w:p>
    <w:p w14:paraId="4FB2B891" w14:textId="4CFD8815" w:rsidR="008807A0" w:rsidRPr="000508B6" w:rsidRDefault="008807A0" w:rsidP="00636117">
      <w:pPr>
        <w:pStyle w:val="Listparagraf"/>
        <w:numPr>
          <w:ilvl w:val="0"/>
          <w:numId w:val="304"/>
        </w:numPr>
        <w:tabs>
          <w:tab w:val="left" w:pos="851"/>
          <w:tab w:val="left" w:pos="993"/>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ceea ce privește monedele pentru care marja corectată în funcție de risc menționată la alin</w:t>
      </w:r>
      <w:r w:rsidR="00271E38" w:rsidRPr="000508B6">
        <w:rPr>
          <w:rFonts w:ascii="Times New Roman" w:eastAsia="Times New Roman" w:hAnsi="Times New Roman" w:cs="Times New Roman"/>
          <w:lang w:val="ro-MD"/>
        </w:rPr>
        <w:t>. (18)</w:t>
      </w:r>
      <w:r w:rsidRPr="000508B6">
        <w:rPr>
          <w:rFonts w:ascii="Times New Roman" w:eastAsia="Times New Roman" w:hAnsi="Times New Roman" w:cs="Times New Roman"/>
          <w:lang w:val="ro-MD"/>
        </w:rPr>
        <w:t xml:space="preserve"> lit</w:t>
      </w:r>
      <w:r w:rsidR="00271E38" w:rsidRPr="000508B6">
        <w:rPr>
          <w:rFonts w:ascii="Times New Roman" w:eastAsia="Times New Roman" w:hAnsi="Times New Roman" w:cs="Times New Roman"/>
          <w:lang w:val="ro-MD"/>
        </w:rPr>
        <w:t>.</w:t>
      </w:r>
      <w:r w:rsidR="004815A3" w:rsidRPr="000508B6">
        <w:rPr>
          <w:rFonts w:ascii="Times New Roman" w:eastAsia="Times New Roman" w:hAnsi="Times New Roman" w:cs="Times New Roman"/>
          <w:lang w:val="ro-MD"/>
        </w:rPr>
        <w:t xml:space="preserve"> </w:t>
      </w:r>
      <w:r w:rsidR="00AF59DD"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nu este prevăzută în actele menționate la alin</w:t>
      </w:r>
      <w:r w:rsidR="00271E38"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F5200F" w:rsidRPr="000508B6">
        <w:rPr>
          <w:rFonts w:ascii="Times New Roman" w:eastAsia="Times New Roman" w:hAnsi="Times New Roman" w:cs="Times New Roman"/>
          <w:lang w:val="ro-MD"/>
        </w:rPr>
        <w:t>18</w:t>
      </w:r>
      <w:r w:rsidRPr="000508B6">
        <w:rPr>
          <w:rFonts w:ascii="Times New Roman" w:eastAsia="Times New Roman" w:hAnsi="Times New Roman" w:cs="Times New Roman"/>
          <w:lang w:val="ro-MD"/>
        </w:rPr>
        <w:t>), structurii temporale relevante a ratei dobânzilor fără risc nu i se aplică nicio primă de volatilitate pentru calcularea celei mai bune estimări.</w:t>
      </w:r>
      <w:r w:rsidR="008C27AF" w:rsidRPr="000508B6">
        <w:rPr>
          <w:rFonts w:ascii="Times New Roman" w:eastAsia="Times New Roman" w:hAnsi="Times New Roman" w:cs="Times New Roman"/>
          <w:lang w:val="ro-MD"/>
        </w:rPr>
        <w:t xml:space="preserve"> </w:t>
      </w:r>
    </w:p>
    <w:p w14:paraId="5AF2673B" w14:textId="51775887" w:rsidR="001225C3" w:rsidRPr="000508B6" w:rsidRDefault="008807A0" w:rsidP="00636117">
      <w:pPr>
        <w:pStyle w:val="Listparagraf"/>
        <w:numPr>
          <w:ilvl w:val="0"/>
          <w:numId w:val="304"/>
        </w:numPr>
        <w:tabs>
          <w:tab w:val="left" w:pos="851"/>
          <w:tab w:val="left" w:pos="993"/>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În ceea ce privește statele membre a căror monedă este euro și pentru care marja corectată în funcție de risc menționată la alin</w:t>
      </w:r>
      <w:r w:rsidR="00A63FF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(1</w:t>
      </w:r>
      <w:r w:rsidR="00A63FFD"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 lit</w:t>
      </w:r>
      <w:r w:rsidR="00A63FF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A63FFD"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și procentajul menționat la alin</w:t>
      </w:r>
      <w:r w:rsidR="00271E38"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(1</w:t>
      </w:r>
      <w:r w:rsidR="00271E38"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 lit</w:t>
      </w:r>
      <w:r w:rsidR="00A63FFD" w:rsidRPr="000508B6">
        <w:rPr>
          <w:rFonts w:ascii="Times New Roman" w:eastAsia="Times New Roman" w:hAnsi="Times New Roman" w:cs="Times New Roman"/>
          <w:lang w:val="ro-MD"/>
        </w:rPr>
        <w:t>.</w:t>
      </w:r>
      <w:r w:rsidR="004815A3" w:rsidRPr="000508B6">
        <w:rPr>
          <w:rFonts w:ascii="Times New Roman" w:eastAsia="Times New Roman" w:hAnsi="Times New Roman" w:cs="Times New Roman"/>
          <w:lang w:val="ro-MD"/>
        </w:rPr>
        <w:t xml:space="preserve"> </w:t>
      </w:r>
      <w:r w:rsidR="00C5667D" w:rsidRPr="000508B6">
        <w:rPr>
          <w:rFonts w:ascii="Times New Roman" w:eastAsia="Times New Roman" w:hAnsi="Times New Roman" w:cs="Times New Roman"/>
          <w:lang w:val="ro-MD"/>
        </w:rPr>
        <w:t>f</w:t>
      </w:r>
      <w:r w:rsidRPr="000508B6">
        <w:rPr>
          <w:rFonts w:ascii="Times New Roman" w:eastAsia="Times New Roman" w:hAnsi="Times New Roman" w:cs="Times New Roman"/>
          <w:lang w:val="ro-MD"/>
        </w:rPr>
        <w:t xml:space="preserve">) nu sunt prevăzute în </w:t>
      </w:r>
      <w:r w:rsidR="00271E38" w:rsidRPr="000508B6">
        <w:rPr>
          <w:rFonts w:ascii="Times New Roman" w:eastAsia="Times New Roman" w:hAnsi="Times New Roman" w:cs="Times New Roman"/>
          <w:lang w:val="ro-MD"/>
        </w:rPr>
        <w:t>actele menționate la alin. (</w:t>
      </w:r>
      <w:r w:rsidR="00F5200F" w:rsidRPr="000508B6">
        <w:rPr>
          <w:rFonts w:ascii="Times New Roman" w:eastAsia="Times New Roman" w:hAnsi="Times New Roman" w:cs="Times New Roman"/>
          <w:lang w:val="ro-MD"/>
        </w:rPr>
        <w:t>18</w:t>
      </w:r>
      <w:r w:rsidR="00271E38"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la prima de volatilitate nu se adaugă nicio </w:t>
      </w:r>
      <w:proofErr w:type="spellStart"/>
      <w:r w:rsidRPr="000508B6">
        <w:rPr>
          <w:rFonts w:ascii="Times New Roman" w:eastAsia="Times New Roman" w:hAnsi="Times New Roman" w:cs="Times New Roman"/>
          <w:lang w:val="ro-MD"/>
        </w:rPr>
        <w:t>macroprimă</w:t>
      </w:r>
      <w:proofErr w:type="spellEnd"/>
      <w:r w:rsidRPr="000508B6">
        <w:rPr>
          <w:rFonts w:ascii="Times New Roman" w:eastAsia="Times New Roman" w:hAnsi="Times New Roman" w:cs="Times New Roman"/>
          <w:lang w:val="ro-MD"/>
        </w:rPr>
        <w:t xml:space="preserve"> de volatilitate.</w:t>
      </w:r>
    </w:p>
    <w:p w14:paraId="749E6B83" w14:textId="01E85B69" w:rsidR="00985EC3" w:rsidRPr="000508B6" w:rsidRDefault="00985EC3" w:rsidP="00636117">
      <w:pPr>
        <w:pStyle w:val="Listparagraf"/>
        <w:numPr>
          <w:ilvl w:val="0"/>
          <w:numId w:val="304"/>
        </w:numPr>
        <w:tabs>
          <w:tab w:val="left" w:pos="851"/>
          <w:tab w:val="left" w:pos="993"/>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Până la calcularea de către EIOPA a ratei dobânzii fără risc pentru leul moldovenesc, în aplicarea art.</w:t>
      </w:r>
      <w:r w:rsidR="004815A3"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43-47,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utilizează rata dobânzii fără risc stabilită </w:t>
      </w:r>
      <w:r w:rsidR="00695CA7" w:rsidRPr="000508B6">
        <w:rPr>
          <w:rFonts w:ascii="Times New Roman" w:eastAsia="Times New Roman" w:hAnsi="Times New Roman" w:cs="Times New Roman"/>
          <w:lang w:val="ro-MD"/>
        </w:rPr>
        <w:t xml:space="preserve">și publicată </w:t>
      </w:r>
      <w:r w:rsidRPr="000508B6">
        <w:rPr>
          <w:rFonts w:ascii="Times New Roman" w:eastAsia="Times New Roman" w:hAnsi="Times New Roman" w:cs="Times New Roman"/>
          <w:lang w:val="ro-MD"/>
        </w:rPr>
        <w:t>de către Banca Națională a Moldovei.</w:t>
      </w:r>
    </w:p>
    <w:p w14:paraId="2840AA72" w14:textId="06116207" w:rsidR="00F637E8" w:rsidRPr="000508B6" w:rsidRDefault="00F637E8" w:rsidP="008B530F">
      <w:pPr>
        <w:spacing w:after="0" w:line="240" w:lineRule="auto"/>
        <w:ind w:firstLine="426"/>
        <w:jc w:val="both"/>
        <w:rPr>
          <w:rFonts w:ascii="Times New Roman" w:eastAsia="Times New Roman" w:hAnsi="Times New Roman" w:cs="Times New Roman"/>
          <w:b/>
          <w:lang w:val="ro-MD"/>
        </w:rPr>
      </w:pPr>
    </w:p>
    <w:p w14:paraId="69734879" w14:textId="24F7B9E2"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48</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Pr="000508B6">
        <w:rPr>
          <w:rFonts w:ascii="Times New Roman" w:hAnsi="Times New Roman" w:cs="Times New Roman"/>
          <w:lang w:val="ro-MD"/>
        </w:rPr>
        <w:t>Alte elemente pentru calcularea rezervelor tehnice</w:t>
      </w:r>
    </w:p>
    <w:p w14:paraId="33C67C51" w14:textId="17F60F31" w:rsidR="00F95829" w:rsidRPr="000508B6" w:rsidRDefault="00F95829" w:rsidP="004815A3">
      <w:pPr>
        <w:pStyle w:val="Listparagraf"/>
        <w:numPr>
          <w:ilvl w:val="0"/>
          <w:numId w:val="149"/>
        </w:numPr>
        <w:shd w:val="clear" w:color="auto" w:fill="FFFFFF" w:themeFill="background1"/>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calcularea rezervelor tehnice, pe lângă elementele prevăzute la art. </w:t>
      </w:r>
      <w:r w:rsidR="006C1469" w:rsidRPr="000508B6">
        <w:rPr>
          <w:rFonts w:ascii="Times New Roman" w:hAnsi="Times New Roman" w:cs="Times New Roman"/>
          <w:lang w:val="ro-MD"/>
        </w:rPr>
        <w:t>43</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8E004C"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cont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următoarele: </w:t>
      </w:r>
    </w:p>
    <w:p w14:paraId="609C0D3C" w14:textId="7830266C" w:rsidR="00F95829" w:rsidRPr="000508B6" w:rsidRDefault="00F95829" w:rsidP="00DE4225">
      <w:pPr>
        <w:pStyle w:val="Listparagraf"/>
        <w:numPr>
          <w:ilvl w:val="0"/>
          <w:numId w:val="14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toate cheltuielile aferente</w:t>
      </w:r>
      <w:r w:rsidR="00296710" w:rsidRPr="000508B6">
        <w:rPr>
          <w:rFonts w:ascii="Times New Roman" w:hAnsi="Times New Roman" w:cs="Times New Roman"/>
          <w:lang w:val="ro-MD"/>
        </w:rPr>
        <w:t xml:space="preserve"> gestionării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w:t>
      </w:r>
      <w:r w:rsidR="00B10B09" w:rsidRPr="000508B6">
        <w:rPr>
          <w:rFonts w:ascii="Times New Roman" w:hAnsi="Times New Roman" w:cs="Times New Roman"/>
          <w:lang w:val="ro-MD"/>
        </w:rPr>
        <w:t xml:space="preserve">de </w:t>
      </w:r>
      <w:r w:rsidRPr="000508B6">
        <w:rPr>
          <w:rFonts w:ascii="Times New Roman" w:hAnsi="Times New Roman" w:cs="Times New Roman"/>
          <w:lang w:val="ro-MD"/>
        </w:rPr>
        <w:t xml:space="preserve">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reasigurare; </w:t>
      </w:r>
    </w:p>
    <w:p w14:paraId="5DB4A085" w14:textId="1E014125" w:rsidR="00F95829" w:rsidRPr="000508B6" w:rsidRDefault="00F95829" w:rsidP="00DE4225">
      <w:pPr>
        <w:pStyle w:val="Listparagraf"/>
        <w:numPr>
          <w:ilvl w:val="0"/>
          <w:numId w:val="148"/>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sidDel="00176C44">
        <w:rPr>
          <w:rFonts w:ascii="Times New Roman" w:hAnsi="Times New Roman" w:cs="Times New Roman"/>
          <w:lang w:val="ro-MD"/>
        </w:rPr>
        <w:t>inflaţie</w:t>
      </w:r>
      <w:proofErr w:type="spellEnd"/>
      <w:r w:rsidRPr="000508B6">
        <w:rPr>
          <w:rFonts w:ascii="Times New Roman" w:hAnsi="Times New Roman" w:cs="Times New Roman"/>
          <w:lang w:val="ro-MD"/>
        </w:rPr>
        <w:t xml:space="preserve">, inclusiv pentru cheltuieli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daune; </w:t>
      </w:r>
    </w:p>
    <w:p w14:paraId="757EF377" w14:textId="3AF9FB1F" w:rsidR="00F95829" w:rsidRPr="000508B6" w:rsidRDefault="00F95829" w:rsidP="00DE4225">
      <w:pPr>
        <w:pStyle w:val="Listparagraf"/>
        <w:numPr>
          <w:ilvl w:val="0"/>
          <w:numId w:val="148"/>
        </w:numPr>
        <w:shd w:val="clear" w:color="auto" w:fill="FFFFFF" w:themeFill="background1"/>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plăţile</w:t>
      </w:r>
      <w:proofErr w:type="spellEnd"/>
      <w:r w:rsidRPr="000508B6">
        <w:rPr>
          <w:rFonts w:ascii="Times New Roman" w:hAnsi="Times New Roman" w:cs="Times New Roman"/>
          <w:lang w:val="ro-MD"/>
        </w:rPr>
        <w:t xml:space="preserve"> către </w:t>
      </w:r>
      <w:r w:rsidR="001E1F14" w:rsidRPr="000508B6">
        <w:rPr>
          <w:rFonts w:ascii="Times New Roman" w:hAnsi="Times New Roman" w:cs="Times New Roman"/>
          <w:lang w:val="ro-MD"/>
        </w:rPr>
        <w:t xml:space="preserve">asigurați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beneficiari</w:t>
      </w:r>
      <w:r w:rsidR="00F25BAD" w:rsidRPr="000508B6">
        <w:rPr>
          <w:rFonts w:ascii="Times New Roman" w:hAnsi="Times New Roman" w:cs="Times New Roman"/>
          <w:lang w:val="ro-MD"/>
        </w:rPr>
        <w:t>i asigurării</w:t>
      </w:r>
      <w:r w:rsidRPr="000508B6">
        <w:rPr>
          <w:rFonts w:ascii="Times New Roman" w:hAnsi="Times New Roman" w:cs="Times New Roman"/>
          <w:lang w:val="ro-MD"/>
        </w:rPr>
        <w:t xml:space="preserve">, inclusiv beneficiile </w:t>
      </w:r>
      <w:proofErr w:type="spellStart"/>
      <w:r w:rsidRPr="000508B6">
        <w:rPr>
          <w:rFonts w:ascii="Times New Roman" w:hAnsi="Times New Roman" w:cs="Times New Roman"/>
          <w:lang w:val="ro-MD"/>
        </w:rPr>
        <w:t>discreţionare</w:t>
      </w:r>
      <w:proofErr w:type="spellEnd"/>
      <w:r w:rsidRPr="000508B6">
        <w:rPr>
          <w:rFonts w:ascii="Times New Roman" w:hAnsi="Times New Roman" w:cs="Times New Roman"/>
          <w:lang w:val="ro-MD"/>
        </w:rPr>
        <w:t xml:space="preserve"> viitoare estimate, garantate sau nu contractual, cu </w:t>
      </w:r>
      <w:proofErr w:type="spellStart"/>
      <w:r w:rsidRPr="000508B6">
        <w:rPr>
          <w:rFonts w:ascii="Times New Roman" w:hAnsi="Times New Roman" w:cs="Times New Roman"/>
          <w:lang w:val="ro-MD"/>
        </w:rPr>
        <w:t>excepţia</w:t>
      </w:r>
      <w:proofErr w:type="spellEnd"/>
      <w:r w:rsidRPr="000508B6">
        <w:rPr>
          <w:rFonts w:ascii="Times New Roman" w:hAnsi="Times New Roman" w:cs="Times New Roman"/>
          <w:lang w:val="ro-MD"/>
        </w:rPr>
        <w:t xml:space="preserve"> cazului în care </w:t>
      </w:r>
      <w:proofErr w:type="spellStart"/>
      <w:r w:rsidRPr="000508B6">
        <w:rPr>
          <w:rFonts w:ascii="Times New Roman" w:hAnsi="Times New Roman" w:cs="Times New Roman"/>
          <w:lang w:val="ro-MD"/>
        </w:rPr>
        <w:t>plăţile</w:t>
      </w:r>
      <w:proofErr w:type="spellEnd"/>
      <w:r w:rsidRPr="000508B6">
        <w:rPr>
          <w:rFonts w:ascii="Times New Roman" w:hAnsi="Times New Roman" w:cs="Times New Roman"/>
          <w:lang w:val="ro-MD"/>
        </w:rPr>
        <w:t xml:space="preserve"> cad sub </w:t>
      </w:r>
      <w:proofErr w:type="spellStart"/>
      <w:r w:rsidRPr="000508B6">
        <w:rPr>
          <w:rFonts w:ascii="Times New Roman" w:hAnsi="Times New Roman" w:cs="Times New Roman"/>
          <w:lang w:val="ro-MD"/>
        </w:rPr>
        <w:t>incidenţa</w:t>
      </w:r>
      <w:proofErr w:type="spellEnd"/>
      <w:r w:rsidRPr="000508B6">
        <w:rPr>
          <w:rFonts w:ascii="Times New Roman" w:hAnsi="Times New Roman" w:cs="Times New Roman"/>
          <w:lang w:val="ro-MD"/>
        </w:rPr>
        <w:t xml:space="preserve"> art. </w:t>
      </w:r>
      <w:r w:rsidR="006C1469" w:rsidRPr="000508B6">
        <w:rPr>
          <w:rFonts w:ascii="Times New Roman" w:hAnsi="Times New Roman" w:cs="Times New Roman"/>
          <w:lang w:val="ro-MD"/>
        </w:rPr>
        <w:t>58</w:t>
      </w:r>
      <w:r w:rsidR="00A11AFE" w:rsidRPr="000508B6">
        <w:rPr>
          <w:rFonts w:ascii="Times New Roman" w:hAnsi="Times New Roman" w:cs="Times New Roman"/>
          <w:lang w:val="ro-MD"/>
        </w:rPr>
        <w:t xml:space="preserve"> alin. (2)</w:t>
      </w:r>
      <w:r w:rsidRPr="000508B6">
        <w:rPr>
          <w:rFonts w:ascii="Times New Roman" w:hAnsi="Times New Roman" w:cs="Times New Roman"/>
          <w:lang w:val="ro-MD"/>
        </w:rPr>
        <w:t xml:space="preserve">; </w:t>
      </w:r>
    </w:p>
    <w:p w14:paraId="224F24AD" w14:textId="6BA14711" w:rsidR="00F95829" w:rsidRPr="000508B6" w:rsidRDefault="00F95829" w:rsidP="00DE4225">
      <w:pPr>
        <w:pStyle w:val="Listparagraf"/>
        <w:numPr>
          <w:ilvl w:val="0"/>
          <w:numId w:val="14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w:t>
      </w:r>
      <w:proofErr w:type="spellStart"/>
      <w:r w:rsidRPr="000508B6">
        <w:rPr>
          <w:rFonts w:ascii="Times New Roman" w:hAnsi="Times New Roman" w:cs="Times New Roman"/>
          <w:lang w:val="ro-MD"/>
        </w:rPr>
        <w:t>garanţiilor</w:t>
      </w:r>
      <w:proofErr w:type="spellEnd"/>
      <w:r w:rsidRPr="000508B6">
        <w:rPr>
          <w:rFonts w:ascii="Times New Roman" w:hAnsi="Times New Roman" w:cs="Times New Roman"/>
          <w:lang w:val="ro-MD"/>
        </w:rPr>
        <w:t xml:space="preserve"> financiare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CD52E3" w:rsidRPr="000508B6">
        <w:rPr>
          <w:rFonts w:ascii="Times New Roman" w:hAnsi="Times New Roman" w:cs="Times New Roman"/>
          <w:lang w:val="ro-MD"/>
        </w:rPr>
        <w:t xml:space="preserve">orice </w:t>
      </w:r>
      <w:proofErr w:type="spellStart"/>
      <w:r w:rsidRPr="000508B6">
        <w:rPr>
          <w:rFonts w:ascii="Times New Roman" w:hAnsi="Times New Roman" w:cs="Times New Roman"/>
          <w:lang w:val="ro-MD"/>
        </w:rPr>
        <w:t>opţiuni</w:t>
      </w:r>
      <w:proofErr w:type="spellEnd"/>
      <w:r w:rsidRPr="000508B6">
        <w:rPr>
          <w:rFonts w:ascii="Times New Roman" w:hAnsi="Times New Roman" w:cs="Times New Roman"/>
          <w:lang w:val="ro-MD"/>
        </w:rPr>
        <w:t xml:space="preserve"> contractuale incluse în contractele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reasigurare; </w:t>
      </w:r>
    </w:p>
    <w:p w14:paraId="513ED1D8" w14:textId="33A7AC52" w:rsidR="00F95829" w:rsidRPr="000508B6" w:rsidRDefault="00F95829" w:rsidP="00DE4225">
      <w:pPr>
        <w:pStyle w:val="Listparagraf"/>
        <w:numPr>
          <w:ilvl w:val="0"/>
          <w:numId w:val="14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probabilitatea de exercitare de către </w:t>
      </w:r>
      <w:r w:rsidR="002B0C78" w:rsidRPr="000508B6">
        <w:rPr>
          <w:rFonts w:ascii="Times New Roman" w:hAnsi="Times New Roman" w:cs="Times New Roman"/>
          <w:lang w:val="ro-MD"/>
        </w:rPr>
        <w:t xml:space="preserve">asigurați </w:t>
      </w:r>
      <w:r w:rsidRPr="000508B6">
        <w:rPr>
          <w:rFonts w:ascii="Times New Roman" w:hAnsi="Times New Roman" w:cs="Times New Roman"/>
          <w:lang w:val="ro-MD"/>
        </w:rPr>
        <w:t xml:space="preserve">a </w:t>
      </w:r>
      <w:proofErr w:type="spellStart"/>
      <w:r w:rsidRPr="000508B6">
        <w:rPr>
          <w:rFonts w:ascii="Times New Roman" w:hAnsi="Times New Roman" w:cs="Times New Roman"/>
          <w:lang w:val="ro-MD"/>
        </w:rPr>
        <w:t>opţiunilor</w:t>
      </w:r>
      <w:proofErr w:type="spellEnd"/>
      <w:r w:rsidRPr="000508B6">
        <w:rPr>
          <w:rFonts w:ascii="Times New Roman" w:hAnsi="Times New Roman" w:cs="Times New Roman"/>
          <w:lang w:val="ro-MD"/>
        </w:rPr>
        <w:t xml:space="preserve"> contractuale. </w:t>
      </w:r>
    </w:p>
    <w:p w14:paraId="720532DE" w14:textId="7F3E75E0" w:rsidR="00F95829" w:rsidRPr="000508B6" w:rsidRDefault="00F95829" w:rsidP="00DE4225">
      <w:pPr>
        <w:pStyle w:val="Listparagraf"/>
        <w:numPr>
          <w:ilvl w:val="0"/>
          <w:numId w:val="14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Ipotezele utilizate pentru determinarea </w:t>
      </w:r>
      <w:proofErr w:type="spellStart"/>
      <w:r w:rsidRPr="000508B6">
        <w:rPr>
          <w:rFonts w:ascii="Times New Roman" w:hAnsi="Times New Roman" w:cs="Times New Roman"/>
          <w:lang w:val="ro-MD"/>
        </w:rPr>
        <w:t>probabilităţii</w:t>
      </w:r>
      <w:proofErr w:type="spellEnd"/>
      <w:r w:rsidRPr="000508B6">
        <w:rPr>
          <w:rFonts w:ascii="Times New Roman" w:hAnsi="Times New Roman" w:cs="Times New Roman"/>
          <w:lang w:val="ro-MD"/>
        </w:rPr>
        <w:t xml:space="preserve"> prevăzute la alin. (1) lit. e) sunt realiste, se bazează pe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credibile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actualitate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sunt stabilite luând în considerare, explicit sau implicit, impactul pe care eventualele schimbări ale </w:t>
      </w:r>
      <w:proofErr w:type="spellStart"/>
      <w:r w:rsidRPr="000508B6">
        <w:rPr>
          <w:rFonts w:ascii="Times New Roman" w:hAnsi="Times New Roman" w:cs="Times New Roman"/>
          <w:lang w:val="ro-MD"/>
        </w:rPr>
        <w:t>condiţiilor</w:t>
      </w:r>
      <w:proofErr w:type="spellEnd"/>
      <w:r w:rsidRPr="000508B6">
        <w:rPr>
          <w:rFonts w:ascii="Times New Roman" w:hAnsi="Times New Roman" w:cs="Times New Roman"/>
          <w:lang w:val="ro-MD"/>
        </w:rPr>
        <w:t xml:space="preserve"> financiare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nefinanciare îl pot avea asupra exercitării </w:t>
      </w:r>
      <w:proofErr w:type="spellStart"/>
      <w:r w:rsidRPr="000508B6">
        <w:rPr>
          <w:rFonts w:ascii="Times New Roman" w:hAnsi="Times New Roman" w:cs="Times New Roman"/>
          <w:lang w:val="ro-MD"/>
        </w:rPr>
        <w:t>opţiunilor</w:t>
      </w:r>
      <w:proofErr w:type="spellEnd"/>
      <w:r w:rsidRPr="000508B6">
        <w:rPr>
          <w:rFonts w:ascii="Times New Roman" w:hAnsi="Times New Roman" w:cs="Times New Roman"/>
          <w:lang w:val="ro-MD"/>
        </w:rPr>
        <w:t xml:space="preserve"> respective. </w:t>
      </w:r>
    </w:p>
    <w:p w14:paraId="4C7D61F6" w14:textId="77777777" w:rsidR="00F95829" w:rsidRPr="000508B6" w:rsidRDefault="00F95829" w:rsidP="008B530F">
      <w:pPr>
        <w:spacing w:after="0" w:line="240" w:lineRule="auto"/>
        <w:ind w:firstLine="426"/>
        <w:jc w:val="both"/>
        <w:rPr>
          <w:rFonts w:ascii="Times New Roman" w:eastAsia="Times New Roman" w:hAnsi="Times New Roman" w:cs="Times New Roman"/>
          <w:b/>
          <w:lang w:val="ro-MD"/>
        </w:rPr>
      </w:pPr>
    </w:p>
    <w:p w14:paraId="01240931" w14:textId="23548EA6"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49</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Segmentarea </w:t>
      </w:r>
      <w:r w:rsidR="008979E3" w:rsidRPr="000508B6">
        <w:rPr>
          <w:rFonts w:ascii="Times New Roman" w:eastAsia="Times New Roman" w:hAnsi="Times New Roman" w:cs="Times New Roman"/>
          <w:lang w:val="ro-MD"/>
        </w:rPr>
        <w:t xml:space="preserve">obligațiilor de asigurare și </w:t>
      </w:r>
      <w:r w:rsidR="001B67C6" w:rsidRPr="000508B6">
        <w:rPr>
          <w:rFonts w:ascii="Times New Roman" w:eastAsia="Times New Roman" w:hAnsi="Times New Roman" w:cs="Times New Roman"/>
          <w:lang w:val="ro-MD"/>
        </w:rPr>
        <w:t xml:space="preserve">de </w:t>
      </w:r>
      <w:r w:rsidR="008979E3" w:rsidRPr="000508B6">
        <w:rPr>
          <w:rFonts w:ascii="Times New Roman" w:eastAsia="Times New Roman" w:hAnsi="Times New Roman" w:cs="Times New Roman"/>
          <w:lang w:val="ro-MD"/>
        </w:rPr>
        <w:t>reasigurare</w:t>
      </w:r>
    </w:p>
    <w:p w14:paraId="5E8142B7" w14:textId="6DF27BEF" w:rsidR="00F95829" w:rsidRPr="000508B6" w:rsidRDefault="00F95829" w:rsidP="00173D2E">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vederea calculării rezervelor tehnice,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F87F2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segmentează </w:t>
      </w:r>
      <w:proofErr w:type="spellStart"/>
      <w:r w:rsidRPr="000508B6">
        <w:rPr>
          <w:rFonts w:ascii="Times New Roman" w:eastAsia="Times New Roman" w:hAnsi="Times New Roman" w:cs="Times New Roman"/>
          <w:lang w:val="ro-MD"/>
        </w:rPr>
        <w:t>obligaţiile</w:t>
      </w:r>
      <w:proofErr w:type="spellEnd"/>
      <w:r w:rsidRPr="000508B6">
        <w:rPr>
          <w:rFonts w:ascii="Times New Roman" w:eastAsia="Times New Roman" w:hAnsi="Times New Roman" w:cs="Times New Roman"/>
          <w:lang w:val="ro-MD"/>
        </w:rPr>
        <w:t xml:space="preserve">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C32F9F" w:rsidRPr="000508B6">
        <w:rPr>
          <w:rFonts w:ascii="Times New Roman" w:eastAsia="Times New Roman" w:hAnsi="Times New Roman" w:cs="Times New Roman"/>
          <w:lang w:val="ro-MD"/>
        </w:rPr>
        <w:t xml:space="preserve">de </w:t>
      </w:r>
      <w:r w:rsidRPr="000508B6">
        <w:rPr>
          <w:rFonts w:ascii="Times New Roman" w:eastAsia="Times New Roman" w:hAnsi="Times New Roman" w:cs="Times New Roman"/>
          <w:lang w:val="ro-MD"/>
        </w:rPr>
        <w:t xml:space="preserve">reasigurare în grupe de riscuri omogene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pe linii de </w:t>
      </w:r>
      <w:r w:rsidR="00304021" w:rsidRPr="000508B6">
        <w:rPr>
          <w:rFonts w:ascii="Times New Roman" w:eastAsia="Times New Roman" w:hAnsi="Times New Roman" w:cs="Times New Roman"/>
          <w:lang w:val="ro-MD"/>
        </w:rPr>
        <w:t>activitate</w:t>
      </w:r>
      <w:r w:rsidRPr="000508B6">
        <w:rPr>
          <w:rFonts w:ascii="Times New Roman" w:eastAsia="Times New Roman" w:hAnsi="Times New Roman" w:cs="Times New Roman"/>
          <w:lang w:val="ro-MD"/>
        </w:rPr>
        <w:t>.</w:t>
      </w:r>
    </w:p>
    <w:p w14:paraId="707AFDB0" w14:textId="77777777" w:rsidR="00A01159" w:rsidRPr="000508B6" w:rsidRDefault="00A01159" w:rsidP="008B530F">
      <w:pPr>
        <w:spacing w:after="0" w:line="240" w:lineRule="auto"/>
        <w:ind w:firstLine="426"/>
        <w:jc w:val="both"/>
        <w:rPr>
          <w:rFonts w:ascii="Times New Roman" w:eastAsia="Times New Roman" w:hAnsi="Times New Roman" w:cs="Times New Roman"/>
          <w:b/>
          <w:lang w:val="ro-MD"/>
        </w:rPr>
      </w:pPr>
    </w:p>
    <w:p w14:paraId="2334FA87" w14:textId="27CE0DC4" w:rsidR="004A1A0E"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50</w:t>
      </w:r>
      <w:r w:rsidR="00EB4BD5"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4A1A0E" w:rsidRPr="000508B6">
        <w:rPr>
          <w:rFonts w:ascii="Times New Roman" w:eastAsia="Times New Roman" w:hAnsi="Times New Roman" w:cs="Times New Roman"/>
          <w:lang w:val="ro-MD"/>
        </w:rPr>
        <w:t xml:space="preserve">Sume recuperabile din contracte de reasigurare și de la vehicule </w:t>
      </w:r>
      <w:proofErr w:type="spellStart"/>
      <w:r w:rsidR="004A1A0E" w:rsidRPr="000508B6">
        <w:rPr>
          <w:rFonts w:ascii="Times New Roman" w:eastAsia="Times New Roman" w:hAnsi="Times New Roman" w:cs="Times New Roman"/>
          <w:lang w:val="ro-MD"/>
        </w:rPr>
        <w:t>investiţionale</w:t>
      </w:r>
      <w:proofErr w:type="spellEnd"/>
      <w:r w:rsidR="004A1A0E" w:rsidRPr="000508B6">
        <w:rPr>
          <w:rFonts w:ascii="Times New Roman" w:eastAsia="Times New Roman" w:hAnsi="Times New Roman" w:cs="Times New Roman"/>
          <w:lang w:val="ro-MD"/>
        </w:rPr>
        <w:t xml:space="preserve"> </w:t>
      </w:r>
    </w:p>
    <w:p w14:paraId="655DFB75" w14:textId="77777777" w:rsidR="00217BFB" w:rsidRPr="000508B6" w:rsidRDefault="004125E8" w:rsidP="00217BFB">
      <w:pPr>
        <w:pStyle w:val="Listparagraf"/>
        <w:numPr>
          <w:ilvl w:val="1"/>
          <w:numId w:val="185"/>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4A1A0E" w:rsidRPr="000508B6">
        <w:rPr>
          <w:rFonts w:ascii="Times New Roman" w:eastAsia="Times New Roman" w:hAnsi="Times New Roman" w:cs="Times New Roman"/>
          <w:lang w:val="ro-MD"/>
        </w:rPr>
        <w:t xml:space="preserve"> calculează sumele recuperabile din contracte de reasigurare și de la vehiculele </w:t>
      </w:r>
      <w:proofErr w:type="spellStart"/>
      <w:r w:rsidR="004A1A0E" w:rsidRPr="000508B6">
        <w:rPr>
          <w:rFonts w:ascii="Times New Roman" w:eastAsia="Times New Roman" w:hAnsi="Times New Roman" w:cs="Times New Roman"/>
          <w:lang w:val="ro-MD"/>
        </w:rPr>
        <w:t>investiţionale</w:t>
      </w:r>
      <w:proofErr w:type="spellEnd"/>
      <w:r w:rsidR="004A1A0E" w:rsidRPr="000508B6">
        <w:rPr>
          <w:rFonts w:ascii="Times New Roman" w:eastAsia="Times New Roman" w:hAnsi="Times New Roman" w:cs="Times New Roman"/>
          <w:lang w:val="ro-MD"/>
        </w:rPr>
        <w:t xml:space="preserve"> în conformitate cu prevederile art. </w:t>
      </w:r>
      <w:r w:rsidR="006C1469" w:rsidRPr="000508B6">
        <w:rPr>
          <w:rFonts w:ascii="Times New Roman" w:eastAsia="Times New Roman" w:hAnsi="Times New Roman" w:cs="Times New Roman"/>
          <w:lang w:val="ro-MD"/>
        </w:rPr>
        <w:t>42</w:t>
      </w:r>
      <w:r w:rsidR="004A1A0E" w:rsidRPr="000508B6">
        <w:rPr>
          <w:rFonts w:ascii="Times New Roman" w:eastAsia="Times New Roman" w:hAnsi="Times New Roman" w:cs="Times New Roman"/>
          <w:lang w:val="ro-MD"/>
        </w:rPr>
        <w:t>-</w:t>
      </w:r>
      <w:r w:rsidR="006C1469" w:rsidRPr="000508B6">
        <w:rPr>
          <w:rFonts w:ascii="Times New Roman" w:eastAsia="Times New Roman" w:hAnsi="Times New Roman" w:cs="Times New Roman"/>
          <w:lang w:val="ro-MD"/>
        </w:rPr>
        <w:t>49</w:t>
      </w:r>
      <w:r w:rsidR="00CB343C" w:rsidRPr="000508B6">
        <w:rPr>
          <w:rFonts w:ascii="Times New Roman" w:eastAsia="Times New Roman" w:hAnsi="Times New Roman" w:cs="Times New Roman"/>
          <w:lang w:val="ro-MD"/>
        </w:rPr>
        <w:t xml:space="preserve"> </w:t>
      </w:r>
      <w:proofErr w:type="spellStart"/>
      <w:r w:rsidR="004A1A0E" w:rsidRPr="000508B6">
        <w:rPr>
          <w:rFonts w:ascii="Times New Roman" w:eastAsia="Times New Roman" w:hAnsi="Times New Roman" w:cs="Times New Roman"/>
          <w:lang w:val="ro-MD"/>
        </w:rPr>
        <w:t>şi</w:t>
      </w:r>
      <w:proofErr w:type="spellEnd"/>
      <w:r w:rsidR="004A1A0E" w:rsidRPr="000508B6">
        <w:rPr>
          <w:rFonts w:ascii="Times New Roman" w:eastAsia="Times New Roman" w:hAnsi="Times New Roman" w:cs="Times New Roman"/>
          <w:lang w:val="ro-MD"/>
        </w:rPr>
        <w:t xml:space="preserve"> </w:t>
      </w:r>
      <w:proofErr w:type="spellStart"/>
      <w:r w:rsidR="004A1A0E" w:rsidRPr="000508B6">
        <w:rPr>
          <w:rFonts w:ascii="Times New Roman" w:eastAsia="Times New Roman" w:hAnsi="Times New Roman" w:cs="Times New Roman"/>
          <w:lang w:val="ro-MD"/>
        </w:rPr>
        <w:t>ţinând</w:t>
      </w:r>
      <w:proofErr w:type="spellEnd"/>
      <w:r w:rsidR="004A1A0E" w:rsidRPr="000508B6">
        <w:rPr>
          <w:rFonts w:ascii="Times New Roman" w:eastAsia="Times New Roman" w:hAnsi="Times New Roman" w:cs="Times New Roman"/>
          <w:lang w:val="ro-MD"/>
        </w:rPr>
        <w:t xml:space="preserve"> cont de intervalul dintre momentul </w:t>
      </w:r>
      <w:proofErr w:type="spellStart"/>
      <w:r w:rsidR="004A1A0E" w:rsidRPr="000508B6">
        <w:rPr>
          <w:rFonts w:ascii="Times New Roman" w:eastAsia="Times New Roman" w:hAnsi="Times New Roman" w:cs="Times New Roman"/>
          <w:lang w:val="ro-MD"/>
        </w:rPr>
        <w:t>plăţii</w:t>
      </w:r>
      <w:proofErr w:type="spellEnd"/>
      <w:r w:rsidR="004A1A0E" w:rsidRPr="000508B6">
        <w:rPr>
          <w:rFonts w:ascii="Times New Roman" w:eastAsia="Times New Roman" w:hAnsi="Times New Roman" w:cs="Times New Roman"/>
          <w:lang w:val="ro-MD"/>
        </w:rPr>
        <w:t xml:space="preserve"> directe </w:t>
      </w:r>
      <w:proofErr w:type="spellStart"/>
      <w:r w:rsidR="004A1A0E" w:rsidRPr="000508B6">
        <w:rPr>
          <w:rFonts w:ascii="Times New Roman" w:eastAsia="Times New Roman" w:hAnsi="Times New Roman" w:cs="Times New Roman"/>
          <w:lang w:val="ro-MD"/>
        </w:rPr>
        <w:t>şi</w:t>
      </w:r>
      <w:proofErr w:type="spellEnd"/>
      <w:r w:rsidR="004A1A0E" w:rsidRPr="000508B6">
        <w:rPr>
          <w:rFonts w:ascii="Times New Roman" w:eastAsia="Times New Roman" w:hAnsi="Times New Roman" w:cs="Times New Roman"/>
          <w:lang w:val="ro-MD"/>
        </w:rPr>
        <w:t xml:space="preserve"> momentul recuperării efective.</w:t>
      </w:r>
    </w:p>
    <w:p w14:paraId="3C4CF986" w14:textId="5B982988" w:rsidR="00E971B2" w:rsidRPr="000508B6" w:rsidRDefault="00E971B2" w:rsidP="00217BFB">
      <w:pPr>
        <w:pStyle w:val="Listparagraf"/>
        <w:numPr>
          <w:ilvl w:val="1"/>
          <w:numId w:val="185"/>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Rezultatul </w:t>
      </w:r>
      <w:proofErr w:type="spellStart"/>
      <w:r w:rsidRPr="000508B6">
        <w:rPr>
          <w:rFonts w:ascii="Times New Roman" w:eastAsia="Times New Roman" w:hAnsi="Times New Roman" w:cs="Times New Roman"/>
          <w:lang w:val="ro-MD"/>
        </w:rPr>
        <w:t>obţinut</w:t>
      </w:r>
      <w:proofErr w:type="spellEnd"/>
      <w:r w:rsidRPr="000508B6">
        <w:rPr>
          <w:rFonts w:ascii="Times New Roman" w:eastAsia="Times New Roman" w:hAnsi="Times New Roman" w:cs="Times New Roman"/>
          <w:lang w:val="ro-MD"/>
        </w:rPr>
        <w:t xml:space="preserve"> conform alin. (1) se ajustează </w:t>
      </w:r>
      <w:r w:rsidR="00B62A29" w:rsidRPr="000508B6">
        <w:rPr>
          <w:rFonts w:ascii="Times New Roman" w:eastAsia="Times New Roman" w:hAnsi="Times New Roman" w:cs="Times New Roman"/>
          <w:lang w:val="ro-MD"/>
        </w:rPr>
        <w:t xml:space="preserve">pentru a ține seama de pierderile probabile ca urmare a nerespectării clauzelor contractuale de către contrapartidă. Ajustarea se bazează pe o evaluare a probabilității de </w:t>
      </w:r>
      <w:r w:rsidR="009441DD" w:rsidRPr="000508B6">
        <w:rPr>
          <w:rFonts w:ascii="Times New Roman" w:eastAsia="Times New Roman" w:hAnsi="Times New Roman" w:cs="Times New Roman"/>
          <w:lang w:val="ro-MD"/>
        </w:rPr>
        <w:t>insolvabilitate</w:t>
      </w:r>
      <w:r w:rsidR="00B62A29" w:rsidRPr="000508B6">
        <w:rPr>
          <w:rFonts w:ascii="Times New Roman" w:eastAsia="Times New Roman" w:hAnsi="Times New Roman" w:cs="Times New Roman"/>
          <w:lang w:val="ro-MD"/>
        </w:rPr>
        <w:t xml:space="preserve"> a contrapartidei și a pierderilor medii ca urmare a </w:t>
      </w:r>
      <w:r w:rsidR="009441DD" w:rsidRPr="000508B6">
        <w:rPr>
          <w:rFonts w:ascii="Times New Roman" w:eastAsia="Times New Roman" w:hAnsi="Times New Roman" w:cs="Times New Roman"/>
          <w:lang w:val="ro-MD"/>
        </w:rPr>
        <w:t>insolvabilității</w:t>
      </w:r>
      <w:r w:rsidR="009F729B" w:rsidRPr="000508B6">
        <w:rPr>
          <w:rFonts w:ascii="Times New Roman" w:eastAsia="Times New Roman" w:hAnsi="Times New Roman" w:cs="Times New Roman"/>
          <w:lang w:val="ro-MD"/>
        </w:rPr>
        <w:t>.</w:t>
      </w:r>
    </w:p>
    <w:p w14:paraId="23376415" w14:textId="77777777" w:rsidR="00217BFB" w:rsidRPr="000508B6" w:rsidRDefault="00217BFB" w:rsidP="008B530F">
      <w:pPr>
        <w:spacing w:after="0" w:line="240" w:lineRule="auto"/>
        <w:ind w:firstLine="426"/>
        <w:jc w:val="both"/>
        <w:rPr>
          <w:rFonts w:ascii="Times New Roman" w:eastAsia="Times New Roman" w:hAnsi="Times New Roman" w:cs="Times New Roman"/>
          <w:b/>
          <w:lang w:val="ro-MD"/>
        </w:rPr>
      </w:pPr>
    </w:p>
    <w:p w14:paraId="441E0E3D" w14:textId="5DCD4ABF" w:rsidR="004A1A0E"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w:t>
      </w:r>
      <w:r w:rsidR="00331711" w:rsidRPr="000508B6">
        <w:rPr>
          <w:rFonts w:ascii="Times New Roman" w:eastAsia="Times New Roman" w:hAnsi="Times New Roman" w:cs="Times New Roman"/>
          <w:b/>
          <w:lang w:val="ro-MD"/>
        </w:rPr>
        <w:t xml:space="preserve"> </w:t>
      </w:r>
      <w:r w:rsidR="00C8492A" w:rsidRPr="000508B6">
        <w:rPr>
          <w:rFonts w:ascii="Times New Roman" w:eastAsia="Times New Roman" w:hAnsi="Times New Roman" w:cs="Times New Roman"/>
          <w:b/>
          <w:lang w:val="ro-MD"/>
        </w:rPr>
        <w:t>51</w:t>
      </w:r>
      <w:r w:rsidRPr="000508B6">
        <w:rPr>
          <w:rFonts w:ascii="Times New Roman" w:eastAsia="Times New Roman" w:hAnsi="Times New Roman" w:cs="Times New Roman"/>
          <w:lang w:val="ro-MD"/>
        </w:rPr>
        <w:t xml:space="preserve">. </w:t>
      </w:r>
      <w:bookmarkStart w:id="108" w:name="_Hlk181178504"/>
      <w:r w:rsidR="004A1A0E" w:rsidRPr="000508B6">
        <w:rPr>
          <w:rFonts w:ascii="Times New Roman" w:eastAsia="Times New Roman" w:hAnsi="Times New Roman" w:cs="Times New Roman"/>
          <w:lang w:val="ro-MD"/>
        </w:rPr>
        <w:t xml:space="preserve">Calitatea datelor </w:t>
      </w:r>
      <w:proofErr w:type="spellStart"/>
      <w:r w:rsidR="004A1A0E" w:rsidRPr="000508B6">
        <w:rPr>
          <w:rFonts w:ascii="Times New Roman" w:eastAsia="Times New Roman" w:hAnsi="Times New Roman" w:cs="Times New Roman"/>
          <w:lang w:val="ro-MD"/>
        </w:rPr>
        <w:t>şi</w:t>
      </w:r>
      <w:proofErr w:type="spellEnd"/>
      <w:r w:rsidR="004A1A0E" w:rsidRPr="000508B6">
        <w:rPr>
          <w:rFonts w:ascii="Times New Roman" w:eastAsia="Times New Roman" w:hAnsi="Times New Roman" w:cs="Times New Roman"/>
          <w:lang w:val="ro-MD"/>
        </w:rPr>
        <w:t xml:space="preserve"> aproximărilor aplicate </w:t>
      </w:r>
      <w:bookmarkEnd w:id="108"/>
    </w:p>
    <w:p w14:paraId="50151772" w14:textId="5177E9CC" w:rsidR="004A1A0E" w:rsidRPr="000508B6" w:rsidRDefault="004125E8" w:rsidP="00CF5AFA">
      <w:pPr>
        <w:pStyle w:val="Listparagraf"/>
        <w:numPr>
          <w:ilvl w:val="1"/>
          <w:numId w:val="14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413A83" w:rsidRPr="000508B6">
        <w:rPr>
          <w:rFonts w:ascii="Times New Roman" w:eastAsia="Times New Roman" w:hAnsi="Times New Roman" w:cs="Times New Roman"/>
          <w:lang w:val="ro-MD"/>
        </w:rPr>
        <w:t xml:space="preserve"> </w:t>
      </w:r>
      <w:r w:rsidR="004A1A0E" w:rsidRPr="000508B6">
        <w:rPr>
          <w:rFonts w:ascii="Times New Roman" w:eastAsia="Times New Roman" w:hAnsi="Times New Roman" w:cs="Times New Roman"/>
          <w:lang w:val="ro-MD"/>
        </w:rPr>
        <w:t xml:space="preserve">instituie procese </w:t>
      </w:r>
      <w:proofErr w:type="spellStart"/>
      <w:r w:rsidR="004A1A0E" w:rsidRPr="000508B6">
        <w:rPr>
          <w:rFonts w:ascii="Times New Roman" w:eastAsia="Times New Roman" w:hAnsi="Times New Roman" w:cs="Times New Roman"/>
          <w:lang w:val="ro-MD"/>
        </w:rPr>
        <w:t>şi</w:t>
      </w:r>
      <w:proofErr w:type="spellEnd"/>
      <w:r w:rsidR="004A1A0E" w:rsidRPr="000508B6">
        <w:rPr>
          <w:rFonts w:ascii="Times New Roman" w:eastAsia="Times New Roman" w:hAnsi="Times New Roman" w:cs="Times New Roman"/>
          <w:lang w:val="ro-MD"/>
        </w:rPr>
        <w:t xml:space="preserve"> proceduri interne care asigură adecvarea, </w:t>
      </w:r>
      <w:r w:rsidR="008E6FB6" w:rsidRPr="000508B6">
        <w:rPr>
          <w:rFonts w:ascii="Times New Roman" w:eastAsia="Times New Roman" w:hAnsi="Times New Roman" w:cs="Times New Roman"/>
          <w:lang w:val="ro-MD"/>
        </w:rPr>
        <w:t>exhaustivitatea</w:t>
      </w:r>
      <w:r w:rsidR="008E6FB6" w:rsidRPr="000508B6" w:rsidDel="008E6FB6">
        <w:rPr>
          <w:rFonts w:ascii="Times New Roman" w:eastAsia="Times New Roman" w:hAnsi="Times New Roman" w:cs="Times New Roman"/>
          <w:lang w:val="ro-MD"/>
        </w:rPr>
        <w:t xml:space="preserve"> </w:t>
      </w:r>
      <w:proofErr w:type="spellStart"/>
      <w:r w:rsidR="004A1A0E" w:rsidRPr="000508B6">
        <w:rPr>
          <w:rFonts w:ascii="Times New Roman" w:eastAsia="Times New Roman" w:hAnsi="Times New Roman" w:cs="Times New Roman"/>
          <w:lang w:val="ro-MD"/>
        </w:rPr>
        <w:t>şi</w:t>
      </w:r>
      <w:proofErr w:type="spellEnd"/>
      <w:r w:rsidR="004A1A0E" w:rsidRPr="000508B6">
        <w:rPr>
          <w:rFonts w:ascii="Times New Roman" w:eastAsia="Times New Roman" w:hAnsi="Times New Roman" w:cs="Times New Roman"/>
          <w:lang w:val="ro-MD"/>
        </w:rPr>
        <w:t xml:space="preserve"> exactitatea datelor utilizate la calcularea rezervelor tehnice.</w:t>
      </w:r>
    </w:p>
    <w:p w14:paraId="285A7EBF" w14:textId="6E9C850A" w:rsidR="00917717" w:rsidRPr="000508B6" w:rsidRDefault="004A1A0E" w:rsidP="00CF5AFA">
      <w:pPr>
        <w:pStyle w:val="Listparagraf"/>
        <w:numPr>
          <w:ilvl w:val="1"/>
          <w:numId w:val="148"/>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A01159" w:rsidRPr="000508B6">
        <w:rPr>
          <w:rFonts w:ascii="Times New Roman" w:eastAsia="Times New Roman" w:hAnsi="Times New Roman" w:cs="Times New Roman"/>
          <w:lang w:val="ro-MD"/>
        </w:rPr>
        <w:t xml:space="preserve">asigurătorul sau </w:t>
      </w:r>
      <w:proofErr w:type="spellStart"/>
      <w:r w:rsidR="00A01159" w:rsidRPr="000508B6">
        <w:rPr>
          <w:rFonts w:ascii="Times New Roman" w:eastAsia="Times New Roman" w:hAnsi="Times New Roman" w:cs="Times New Roman"/>
          <w:lang w:val="ro-MD"/>
        </w:rPr>
        <w:t>reasigurătorul</w:t>
      </w:r>
      <w:proofErr w:type="spellEnd"/>
      <w:r w:rsidR="00A0115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nu dispun</w:t>
      </w:r>
      <w:r w:rsidR="00B83427"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de un volum suficient de date de o calitate adecvată pentru a aplica o metodă actuarială fiabilă </w:t>
      </w:r>
      <w:r w:rsidR="008E6FB6" w:rsidRPr="000508B6">
        <w:rPr>
          <w:rFonts w:ascii="Times New Roman" w:eastAsia="Times New Roman" w:hAnsi="Times New Roman" w:cs="Times New Roman"/>
          <w:lang w:val="ro-MD"/>
        </w:rPr>
        <w:t>unui set sau subset de obligații de asigurare și de reasigurare sau sumelor recuperabile din contracte de reasigurare și de la vehicule investiționale, se pot utiliza aproximări adecvate, inclusiv abordări de la caz la caz, pentru calcularea celei mai bune estimări.</w:t>
      </w:r>
    </w:p>
    <w:p w14:paraId="2676CB89" w14:textId="4405DD77" w:rsidR="00217BFB" w:rsidRPr="000508B6" w:rsidRDefault="00217BFB" w:rsidP="008B530F">
      <w:pPr>
        <w:spacing w:after="0" w:line="240" w:lineRule="auto"/>
        <w:ind w:firstLine="426"/>
        <w:jc w:val="both"/>
        <w:rPr>
          <w:rFonts w:ascii="Times New Roman" w:eastAsia="Times New Roman" w:hAnsi="Times New Roman" w:cs="Times New Roman"/>
          <w:b/>
          <w:lang w:val="ro-MD"/>
        </w:rPr>
      </w:pPr>
    </w:p>
    <w:p w14:paraId="224005EA" w14:textId="593B2E24"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w:t>
      </w:r>
      <w:r w:rsidR="00331711" w:rsidRPr="000508B6">
        <w:rPr>
          <w:rFonts w:ascii="Times New Roman" w:eastAsia="Times New Roman" w:hAnsi="Times New Roman" w:cs="Times New Roman"/>
          <w:b/>
          <w:lang w:val="ro-MD"/>
        </w:rPr>
        <w:t xml:space="preserve"> </w:t>
      </w:r>
      <w:r w:rsidR="00C8492A" w:rsidRPr="000508B6">
        <w:rPr>
          <w:rFonts w:ascii="Times New Roman" w:eastAsia="Times New Roman" w:hAnsi="Times New Roman" w:cs="Times New Roman"/>
          <w:b/>
          <w:lang w:val="ro-MD"/>
        </w:rPr>
        <w:t>52</w:t>
      </w:r>
      <w:r w:rsidRPr="000508B6">
        <w:rPr>
          <w:rFonts w:ascii="Times New Roman" w:eastAsia="Times New Roman" w:hAnsi="Times New Roman" w:cs="Times New Roman"/>
          <w:lang w:val="ro-MD"/>
        </w:rPr>
        <w:t xml:space="preserve">. Rezultatele </w:t>
      </w:r>
      <w:proofErr w:type="spellStart"/>
      <w:r w:rsidRPr="000508B6">
        <w:rPr>
          <w:rFonts w:ascii="Times New Roman" w:eastAsia="Times New Roman" w:hAnsi="Times New Roman" w:cs="Times New Roman"/>
          <w:lang w:val="ro-MD"/>
        </w:rPr>
        <w:t>obţinute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experienţa</w:t>
      </w:r>
      <w:proofErr w:type="spellEnd"/>
      <w:r w:rsidRPr="000508B6">
        <w:rPr>
          <w:rFonts w:ascii="Times New Roman" w:eastAsia="Times New Roman" w:hAnsi="Times New Roman" w:cs="Times New Roman"/>
          <w:lang w:val="ro-MD"/>
        </w:rPr>
        <w:t xml:space="preserve"> anterioară </w:t>
      </w:r>
    </w:p>
    <w:p w14:paraId="3DDCE818" w14:textId="13D5E4EB" w:rsidR="00166E8D" w:rsidRPr="000508B6" w:rsidRDefault="00D068AA" w:rsidP="00CF5AFA">
      <w:pPr>
        <w:pStyle w:val="Listparagraf"/>
        <w:numPr>
          <w:ilvl w:val="0"/>
          <w:numId w:val="274"/>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637ABC"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instituie proceduri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procese </w:t>
      </w:r>
      <w:r w:rsidR="008E6FB6" w:rsidRPr="000508B6">
        <w:rPr>
          <w:rFonts w:ascii="Times New Roman" w:eastAsia="Times New Roman" w:hAnsi="Times New Roman" w:cs="Times New Roman"/>
          <w:lang w:val="ro-MD"/>
        </w:rPr>
        <w:t>pentru</w:t>
      </w:r>
      <w:r w:rsidR="00F95829" w:rsidRPr="000508B6">
        <w:rPr>
          <w:rFonts w:ascii="Times New Roman" w:eastAsia="Times New Roman" w:hAnsi="Times New Roman" w:cs="Times New Roman"/>
          <w:lang w:val="ro-MD"/>
        </w:rPr>
        <w:t xml:space="preserve"> </w:t>
      </w:r>
      <w:r w:rsidR="008E6FB6" w:rsidRPr="000508B6">
        <w:rPr>
          <w:rFonts w:ascii="Times New Roman" w:eastAsia="Times New Roman" w:hAnsi="Times New Roman" w:cs="Times New Roman"/>
          <w:lang w:val="ro-MD"/>
        </w:rPr>
        <w:t>a asigura</w:t>
      </w:r>
      <w:r w:rsidR="00F95829" w:rsidRPr="000508B6">
        <w:rPr>
          <w:rFonts w:ascii="Times New Roman" w:eastAsia="Times New Roman" w:hAnsi="Times New Roman" w:cs="Times New Roman"/>
          <w:lang w:val="ro-MD"/>
        </w:rPr>
        <w:t xml:space="preserve"> compararea permanentă a cel</w:t>
      </w:r>
      <w:r w:rsidR="008E6FB6" w:rsidRPr="000508B6">
        <w:rPr>
          <w:rFonts w:ascii="Times New Roman" w:eastAsia="Times New Roman" w:hAnsi="Times New Roman" w:cs="Times New Roman"/>
          <w:lang w:val="ro-MD"/>
        </w:rPr>
        <w:t>or</w:t>
      </w:r>
      <w:r w:rsidR="00A374F8"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mai bune estimări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ipotezelor </w:t>
      </w:r>
      <w:r w:rsidR="008E6FB6" w:rsidRPr="000508B6">
        <w:rPr>
          <w:rFonts w:ascii="Times New Roman" w:eastAsia="Times New Roman" w:hAnsi="Times New Roman" w:cs="Times New Roman"/>
          <w:lang w:val="ro-MD"/>
        </w:rPr>
        <w:t xml:space="preserve">care stau la baza acestora </w:t>
      </w:r>
      <w:r w:rsidR="00F95829" w:rsidRPr="000508B6">
        <w:rPr>
          <w:rFonts w:ascii="Times New Roman" w:eastAsia="Times New Roman" w:hAnsi="Times New Roman" w:cs="Times New Roman"/>
          <w:lang w:val="ro-MD"/>
        </w:rPr>
        <w:t xml:space="preserve">cu </w:t>
      </w:r>
      <w:r w:rsidR="008E6FB6" w:rsidRPr="000508B6">
        <w:rPr>
          <w:rFonts w:ascii="Times New Roman" w:eastAsia="Times New Roman" w:hAnsi="Times New Roman" w:cs="Times New Roman"/>
          <w:lang w:val="ro-MD"/>
        </w:rPr>
        <w:t>experiențele</w:t>
      </w:r>
      <w:r w:rsidR="00F95829" w:rsidRPr="000508B6">
        <w:rPr>
          <w:rFonts w:ascii="Times New Roman" w:eastAsia="Times New Roman" w:hAnsi="Times New Roman" w:cs="Times New Roman"/>
          <w:lang w:val="ro-MD"/>
        </w:rPr>
        <w:t xml:space="preserve"> anterio</w:t>
      </w:r>
      <w:r w:rsidR="008E6FB6"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r</w:t>
      </w:r>
      <w:r w:rsidR="008E6FB6" w:rsidRPr="000508B6">
        <w:rPr>
          <w:rFonts w:ascii="Times New Roman" w:eastAsia="Times New Roman" w:hAnsi="Times New Roman" w:cs="Times New Roman"/>
          <w:lang w:val="ro-MD"/>
        </w:rPr>
        <w:t>e</w:t>
      </w:r>
      <w:r w:rsidR="00166E8D" w:rsidRPr="000508B6">
        <w:rPr>
          <w:rFonts w:ascii="Times New Roman" w:eastAsia="Times New Roman" w:hAnsi="Times New Roman" w:cs="Times New Roman"/>
          <w:lang w:val="ro-MD"/>
        </w:rPr>
        <w:t>.</w:t>
      </w:r>
    </w:p>
    <w:p w14:paraId="0D2FB8EE" w14:textId="081B6D90" w:rsidR="00F95829" w:rsidRPr="000508B6" w:rsidRDefault="00166E8D" w:rsidP="00CF5AFA">
      <w:pPr>
        <w:pStyle w:val="Listparagraf"/>
        <w:numPr>
          <w:ilvl w:val="0"/>
          <w:numId w:val="274"/>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 </w:t>
      </w:r>
      <w:r w:rsidR="00F95829" w:rsidRPr="000508B6">
        <w:rPr>
          <w:rFonts w:ascii="Times New Roman" w:eastAsia="Times New Roman" w:hAnsi="Times New Roman" w:cs="Times New Roman"/>
          <w:lang w:val="ro-MD"/>
        </w:rPr>
        <w:t xml:space="preserve">cazul </w:t>
      </w:r>
      <w:r w:rsidRPr="000508B6">
        <w:rPr>
          <w:rFonts w:ascii="Times New Roman" w:eastAsia="Times New Roman" w:hAnsi="Times New Roman" w:cs="Times New Roman"/>
          <w:lang w:val="ro-MD"/>
        </w:rPr>
        <w:t>în care, în urma unei astfel de comparații, se identifică o diferență sistematică între experiențele anterioare și calculele celor mai bune estimări</w:t>
      </w:r>
      <w:r w:rsidR="00F95829" w:rsidRPr="000508B6">
        <w:rPr>
          <w:rFonts w:ascii="Times New Roman" w:eastAsia="Times New Roman" w:hAnsi="Times New Roman" w:cs="Times New Roman"/>
          <w:lang w:val="ro-MD"/>
        </w:rPr>
        <w:t xml:space="preserve">, </w:t>
      </w:r>
      <w:r w:rsidR="00A01159" w:rsidRPr="000508B6">
        <w:rPr>
          <w:rFonts w:ascii="Times New Roman" w:eastAsia="Times New Roman" w:hAnsi="Times New Roman" w:cs="Times New Roman"/>
          <w:lang w:val="ro-MD"/>
        </w:rPr>
        <w:t xml:space="preserve">asigurătorul sau </w:t>
      </w:r>
      <w:proofErr w:type="spellStart"/>
      <w:r w:rsidR="00A01159" w:rsidRPr="000508B6">
        <w:rPr>
          <w:rFonts w:ascii="Times New Roman" w:eastAsia="Times New Roman" w:hAnsi="Times New Roman" w:cs="Times New Roman"/>
          <w:lang w:val="ro-MD"/>
        </w:rPr>
        <w:t>reasigurătorul</w:t>
      </w:r>
      <w:proofErr w:type="spellEnd"/>
      <w:r w:rsidR="00A01159"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realizează ajustări </w:t>
      </w:r>
      <w:r w:rsidR="00B62A29" w:rsidRPr="000508B6">
        <w:rPr>
          <w:rFonts w:ascii="Times New Roman" w:eastAsia="Times New Roman" w:hAnsi="Times New Roman" w:cs="Times New Roman"/>
          <w:lang w:val="ro-MD"/>
        </w:rPr>
        <w:t xml:space="preserve">necesare </w:t>
      </w:r>
      <w:r w:rsidR="00F95829" w:rsidRPr="000508B6">
        <w:rPr>
          <w:rFonts w:ascii="Times New Roman" w:eastAsia="Times New Roman" w:hAnsi="Times New Roman" w:cs="Times New Roman"/>
          <w:lang w:val="ro-MD"/>
        </w:rPr>
        <w:t xml:space="preserve">ale metodelor actuariale utilizate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/sau ale ipotezelor </w:t>
      </w:r>
      <w:r w:rsidR="00EB47E9" w:rsidRPr="000508B6">
        <w:rPr>
          <w:rFonts w:ascii="Times New Roman" w:eastAsia="Times New Roman" w:hAnsi="Times New Roman" w:cs="Times New Roman"/>
          <w:lang w:val="ro-MD"/>
        </w:rPr>
        <w:t>formulate</w:t>
      </w:r>
      <w:r w:rsidR="00F95829" w:rsidRPr="000508B6">
        <w:rPr>
          <w:rFonts w:ascii="Times New Roman" w:eastAsia="Times New Roman" w:hAnsi="Times New Roman" w:cs="Times New Roman"/>
          <w:lang w:val="ro-MD"/>
        </w:rPr>
        <w:t>.</w:t>
      </w:r>
    </w:p>
    <w:p w14:paraId="7AD62A8B"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w:t>
      </w:r>
    </w:p>
    <w:p w14:paraId="052B1D85" w14:textId="0E69DB7F"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w:t>
      </w:r>
      <w:r w:rsidRPr="000508B6" w:rsidDel="003C51C6">
        <w:rPr>
          <w:rFonts w:ascii="Times New Roman" w:eastAsia="Times New Roman" w:hAnsi="Times New Roman" w:cs="Times New Roman"/>
          <w:b/>
          <w:lang w:val="ro-MD"/>
        </w:rPr>
        <w:t xml:space="preserve"> </w:t>
      </w:r>
      <w:r w:rsidR="00C8492A" w:rsidRPr="000508B6">
        <w:rPr>
          <w:rFonts w:ascii="Times New Roman" w:eastAsia="Times New Roman" w:hAnsi="Times New Roman" w:cs="Times New Roman"/>
          <w:b/>
          <w:lang w:val="ro-MD"/>
        </w:rPr>
        <w:t>53</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Adecvarea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majorarea rezervelor tehnice</w:t>
      </w:r>
    </w:p>
    <w:p w14:paraId="62183714" w14:textId="0F041321" w:rsidR="00F95829" w:rsidRPr="000508B6" w:rsidRDefault="00F95829" w:rsidP="00DE4225">
      <w:pPr>
        <w:pStyle w:val="Listparagraf"/>
        <w:numPr>
          <w:ilvl w:val="1"/>
          <w:numId w:val="15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w:t>
      </w:r>
      <w:r w:rsidR="008E6FB6" w:rsidRPr="000508B6">
        <w:rPr>
          <w:rFonts w:ascii="Times New Roman" w:eastAsia="Times New Roman" w:hAnsi="Times New Roman" w:cs="Times New Roman"/>
          <w:lang w:val="ro-MD"/>
        </w:rPr>
        <w:t xml:space="preserve">poate </w:t>
      </w:r>
      <w:r w:rsidRPr="000508B6">
        <w:rPr>
          <w:rFonts w:ascii="Times New Roman" w:eastAsia="Times New Roman" w:hAnsi="Times New Roman" w:cs="Times New Roman"/>
          <w:lang w:val="ro-MD"/>
        </w:rPr>
        <w:t>solicit</w:t>
      </w:r>
      <w:r w:rsidR="009120D0"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 </w:t>
      </w:r>
      <w:r w:rsidR="00A01159" w:rsidRPr="000508B6">
        <w:rPr>
          <w:rFonts w:ascii="Times New Roman" w:eastAsia="Times New Roman" w:hAnsi="Times New Roman" w:cs="Times New Roman"/>
          <w:lang w:val="ro-MD"/>
        </w:rPr>
        <w:t xml:space="preserve">asigurătorului sau </w:t>
      </w:r>
      <w:proofErr w:type="spellStart"/>
      <w:r w:rsidR="00A01159" w:rsidRPr="000508B6">
        <w:rPr>
          <w:rFonts w:ascii="Times New Roman" w:eastAsia="Times New Roman" w:hAnsi="Times New Roman" w:cs="Times New Roman"/>
          <w:lang w:val="ro-MD"/>
        </w:rPr>
        <w:t>reasigurătorului</w:t>
      </w:r>
      <w:proofErr w:type="spellEnd"/>
      <w:r w:rsidR="00A0115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să </w:t>
      </w:r>
      <w:r w:rsidR="008A1952" w:rsidRPr="000508B6">
        <w:rPr>
          <w:rFonts w:ascii="Times New Roman" w:eastAsia="Times New Roman" w:hAnsi="Times New Roman" w:cs="Times New Roman"/>
          <w:lang w:val="ro-MD"/>
        </w:rPr>
        <w:t>demonstreze</w:t>
      </w:r>
      <w:r w:rsidRPr="000508B6">
        <w:rPr>
          <w:rFonts w:ascii="Times New Roman" w:eastAsia="Times New Roman" w:hAnsi="Times New Roman" w:cs="Times New Roman"/>
          <w:lang w:val="ro-MD"/>
        </w:rPr>
        <w:t>, cu respectarea principiului documentării</w:t>
      </w:r>
      <w:r w:rsidR="008A1952" w:rsidRPr="000508B6">
        <w:rPr>
          <w:rFonts w:ascii="Times New Roman" w:eastAsia="Times New Roman" w:hAnsi="Times New Roman" w:cs="Times New Roman"/>
          <w:lang w:val="ro-MD"/>
        </w:rPr>
        <w:t>, și să</w:t>
      </w:r>
      <w:r w:rsidR="00524278" w:rsidRPr="000508B6">
        <w:rPr>
          <w:rFonts w:ascii="Times New Roman" w:eastAsia="Times New Roman" w:hAnsi="Times New Roman" w:cs="Times New Roman"/>
          <w:lang w:val="ro-MD"/>
        </w:rPr>
        <w:t xml:space="preserve"> </w:t>
      </w:r>
      <w:r w:rsidR="008A1952" w:rsidRPr="000508B6">
        <w:rPr>
          <w:rFonts w:ascii="Times New Roman" w:eastAsia="Times New Roman" w:hAnsi="Times New Roman" w:cs="Times New Roman"/>
          <w:lang w:val="ro-MD"/>
        </w:rPr>
        <w:t>prezinte</w:t>
      </w:r>
      <w:r w:rsidR="00524278" w:rsidRPr="000508B6">
        <w:rPr>
          <w:rFonts w:ascii="Times New Roman" w:eastAsia="Times New Roman" w:hAnsi="Times New Roman" w:cs="Times New Roman"/>
          <w:lang w:val="ro-MD"/>
        </w:rPr>
        <w:t xml:space="preserve"> informații privind</w:t>
      </w:r>
      <w:r w:rsidRPr="000508B6">
        <w:rPr>
          <w:rFonts w:ascii="Times New Roman" w:eastAsia="Times New Roman" w:hAnsi="Times New Roman" w:cs="Times New Roman"/>
          <w:lang w:val="ro-MD"/>
        </w:rPr>
        <w:t>:</w:t>
      </w:r>
    </w:p>
    <w:p w14:paraId="5605EA35" w14:textId="71391EEA" w:rsidR="00F95829" w:rsidRPr="000508B6" w:rsidRDefault="00F95829" w:rsidP="00DE4225">
      <w:pPr>
        <w:pStyle w:val="Listparagraf"/>
        <w:numPr>
          <w:ilvl w:val="2"/>
          <w:numId w:val="15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adecvarea nivelului rezervelor tehnice;</w:t>
      </w:r>
    </w:p>
    <w:p w14:paraId="3BF6DB54" w14:textId="13DF3F01" w:rsidR="00F95829" w:rsidRPr="000508B6" w:rsidRDefault="004F68FF" w:rsidP="00DE4225">
      <w:pPr>
        <w:pStyle w:val="Listparagraf"/>
        <w:numPr>
          <w:ilvl w:val="2"/>
          <w:numId w:val="15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aplicabilitatea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relevanţa</w:t>
      </w:r>
      <w:proofErr w:type="spellEnd"/>
      <w:r w:rsidR="00F95829" w:rsidRPr="000508B6">
        <w:rPr>
          <w:rFonts w:ascii="Times New Roman" w:eastAsia="Times New Roman" w:hAnsi="Times New Roman" w:cs="Times New Roman"/>
          <w:lang w:val="ro-MD"/>
        </w:rPr>
        <w:t xml:space="preserve"> metodelor aplicate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r w:rsidR="00524278" w:rsidRPr="000508B6">
        <w:rPr>
          <w:rFonts w:ascii="Times New Roman" w:eastAsia="Times New Roman" w:hAnsi="Times New Roman" w:cs="Times New Roman"/>
          <w:lang w:val="ro-MD"/>
        </w:rPr>
        <w:t xml:space="preserve">a </w:t>
      </w:r>
      <w:r w:rsidR="00F95829" w:rsidRPr="000508B6">
        <w:rPr>
          <w:rFonts w:ascii="Times New Roman" w:eastAsia="Times New Roman" w:hAnsi="Times New Roman" w:cs="Times New Roman"/>
          <w:lang w:val="ro-MD"/>
        </w:rPr>
        <w:t>datelor statistice utilizate.</w:t>
      </w:r>
    </w:p>
    <w:p w14:paraId="08490AD3" w14:textId="1B8E3337" w:rsidR="00F95829" w:rsidRPr="000508B6" w:rsidRDefault="00F95829" w:rsidP="00DE4225">
      <w:pPr>
        <w:pStyle w:val="Listparagraf"/>
        <w:numPr>
          <w:ilvl w:val="1"/>
          <w:numId w:val="15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w:t>
      </w:r>
      <w:r w:rsidR="00C73997" w:rsidRPr="000508B6">
        <w:rPr>
          <w:rFonts w:ascii="Times New Roman" w:eastAsia="Times New Roman" w:hAnsi="Times New Roman" w:cs="Times New Roman"/>
          <w:lang w:val="ro-MD"/>
        </w:rPr>
        <w:t xml:space="preserve">măsura </w:t>
      </w:r>
      <w:r w:rsidRPr="000508B6">
        <w:rPr>
          <w:rFonts w:ascii="Times New Roman" w:eastAsia="Times New Roman" w:hAnsi="Times New Roman" w:cs="Times New Roman"/>
          <w:lang w:val="ro-MD"/>
        </w:rPr>
        <w:t>în care calcul</w:t>
      </w:r>
      <w:r w:rsidR="00C73997" w:rsidRPr="000508B6">
        <w:rPr>
          <w:rFonts w:ascii="Times New Roman" w:eastAsia="Times New Roman" w:hAnsi="Times New Roman" w:cs="Times New Roman"/>
          <w:lang w:val="ro-MD"/>
        </w:rPr>
        <w:t>ul</w:t>
      </w:r>
      <w:r w:rsidRPr="000508B6">
        <w:rPr>
          <w:rFonts w:ascii="Times New Roman" w:eastAsia="Times New Roman" w:hAnsi="Times New Roman" w:cs="Times New Roman"/>
          <w:lang w:val="ro-MD"/>
        </w:rPr>
        <w:t xml:space="preserve"> rezervelor tehnice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48592E" w:rsidRPr="000508B6">
        <w:rPr>
          <w:rFonts w:ascii="Times New Roman" w:eastAsia="Times New Roman" w:hAnsi="Times New Roman" w:cs="Times New Roman"/>
          <w:lang w:val="ro-MD"/>
        </w:rPr>
        <w:t xml:space="preserve"> </w:t>
      </w:r>
      <w:r w:rsidR="00C73997" w:rsidRPr="000508B6">
        <w:rPr>
          <w:rFonts w:ascii="Times New Roman" w:eastAsia="Times New Roman" w:hAnsi="Times New Roman" w:cs="Times New Roman"/>
          <w:lang w:val="ro-MD"/>
        </w:rPr>
        <w:t xml:space="preserve">nu este conform cu </w:t>
      </w:r>
      <w:r w:rsidRPr="000508B6">
        <w:rPr>
          <w:rFonts w:ascii="Times New Roman" w:eastAsia="Times New Roman" w:hAnsi="Times New Roman" w:cs="Times New Roman"/>
          <w:lang w:val="ro-MD"/>
        </w:rPr>
        <w:t>prevederil</w:t>
      </w:r>
      <w:r w:rsidR="00C73997"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prezentei </w:t>
      </w:r>
      <w:r w:rsidR="004F68FF" w:rsidRPr="000508B6">
        <w:rPr>
          <w:rFonts w:ascii="Times New Roman" w:eastAsia="Times New Roman" w:hAnsi="Times New Roman" w:cs="Times New Roman"/>
          <w:lang w:val="ro-MD"/>
        </w:rPr>
        <w:t>secțiuni</w:t>
      </w:r>
      <w:r w:rsidRPr="000508B6">
        <w:rPr>
          <w:rFonts w:ascii="Times New Roman" w:eastAsia="Times New Roman" w:hAnsi="Times New Roman" w:cs="Times New Roman"/>
          <w:lang w:val="ro-MD"/>
        </w:rPr>
        <w:t xml:space="preserve">, Banca Națională a Moldovei </w:t>
      </w:r>
      <w:r w:rsidR="00C73997" w:rsidRPr="000508B6">
        <w:rPr>
          <w:rFonts w:ascii="Times New Roman" w:eastAsia="Times New Roman" w:hAnsi="Times New Roman" w:cs="Times New Roman"/>
          <w:lang w:val="ro-MD"/>
        </w:rPr>
        <w:t xml:space="preserve">poate </w:t>
      </w:r>
      <w:r w:rsidRPr="000508B6">
        <w:rPr>
          <w:rFonts w:ascii="Times New Roman" w:eastAsia="Times New Roman" w:hAnsi="Times New Roman" w:cs="Times New Roman"/>
          <w:lang w:val="ro-MD"/>
        </w:rPr>
        <w:t>solicit</w:t>
      </w:r>
      <w:r w:rsidR="00C02245"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C7399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majorarea valorii rezervelor tehnice până la nivelul</w:t>
      </w:r>
      <w:r w:rsidRPr="000508B6" w:rsidDel="005B0200">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minim acceptat în sensul respectării prevederilor respective.</w:t>
      </w:r>
    </w:p>
    <w:p w14:paraId="0F6E38A9" w14:textId="3D19E0A5" w:rsidR="00D04A2D" w:rsidRPr="000508B6" w:rsidRDefault="00A01159" w:rsidP="00DE4225">
      <w:pPr>
        <w:pStyle w:val="Listparagraf"/>
        <w:numPr>
          <w:ilvl w:val="1"/>
          <w:numId w:val="15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la calcularea rezervelor tehnice,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nu respectă prevederile art. </w:t>
      </w:r>
      <w:r w:rsidR="00F56D68" w:rsidRPr="000508B6">
        <w:rPr>
          <w:rFonts w:ascii="Times New Roman" w:eastAsia="Times New Roman" w:hAnsi="Times New Roman" w:cs="Times New Roman"/>
          <w:lang w:val="ro-MD"/>
        </w:rPr>
        <w:t xml:space="preserve">43, </w:t>
      </w:r>
      <w:r w:rsidRPr="000508B6">
        <w:rPr>
          <w:rFonts w:ascii="Times New Roman" w:eastAsia="Times New Roman" w:hAnsi="Times New Roman" w:cs="Times New Roman"/>
          <w:lang w:val="ro-MD"/>
        </w:rPr>
        <w:t>Banca Na</w:t>
      </w:r>
      <w:r w:rsidR="00F56D68" w:rsidRPr="000508B6">
        <w:rPr>
          <w:rFonts w:ascii="Times New Roman" w:eastAsia="Times New Roman" w:hAnsi="Times New Roman" w:cs="Times New Roman"/>
          <w:lang w:val="ro-MD"/>
        </w:rPr>
        <w:t>ț</w:t>
      </w:r>
      <w:r w:rsidRPr="000508B6">
        <w:rPr>
          <w:rFonts w:ascii="Times New Roman" w:eastAsia="Times New Roman" w:hAnsi="Times New Roman" w:cs="Times New Roman"/>
          <w:lang w:val="ro-MD"/>
        </w:rPr>
        <w:t>ională a Moldovei poate interzice</w:t>
      </w:r>
      <w:r w:rsidR="00F637E8" w:rsidRPr="000508B6">
        <w:rPr>
          <w:rFonts w:ascii="Times New Roman" w:eastAsia="Times New Roman" w:hAnsi="Times New Roman" w:cs="Times New Roman"/>
          <w:lang w:val="ro-MD"/>
        </w:rPr>
        <w:t xml:space="preserve"> acestora</w:t>
      </w:r>
      <w:r w:rsidRPr="000508B6">
        <w:rPr>
          <w:rFonts w:ascii="Times New Roman" w:eastAsia="Times New Roman" w:hAnsi="Times New Roman" w:cs="Times New Roman"/>
          <w:lang w:val="ro-MD"/>
        </w:rPr>
        <w:t>, prin decizie să dispună liber de active până la restabilirea conformității cu cerințele referitoare la rez</w:t>
      </w:r>
      <w:r w:rsidR="00F56D68" w:rsidRPr="000508B6">
        <w:rPr>
          <w:rFonts w:ascii="Times New Roman" w:eastAsia="Times New Roman" w:hAnsi="Times New Roman" w:cs="Times New Roman"/>
          <w:lang w:val="ro-MD"/>
        </w:rPr>
        <w:t>ervele</w:t>
      </w:r>
      <w:r w:rsidRPr="000508B6">
        <w:rPr>
          <w:rFonts w:ascii="Times New Roman" w:eastAsia="Times New Roman" w:hAnsi="Times New Roman" w:cs="Times New Roman"/>
          <w:lang w:val="ro-MD"/>
        </w:rPr>
        <w:t xml:space="preserve"> te</w:t>
      </w:r>
      <w:r w:rsidR="00F56D68" w:rsidRPr="000508B6">
        <w:rPr>
          <w:rFonts w:ascii="Times New Roman" w:eastAsia="Times New Roman" w:hAnsi="Times New Roman" w:cs="Times New Roman"/>
          <w:lang w:val="ro-MD"/>
        </w:rPr>
        <w:t>h</w:t>
      </w:r>
      <w:r w:rsidRPr="000508B6">
        <w:rPr>
          <w:rFonts w:ascii="Times New Roman" w:eastAsia="Times New Roman" w:hAnsi="Times New Roman" w:cs="Times New Roman"/>
          <w:lang w:val="ro-MD"/>
        </w:rPr>
        <w:t xml:space="preserve">nice </w:t>
      </w:r>
      <w:r w:rsidR="00F637E8" w:rsidRPr="000508B6">
        <w:rPr>
          <w:rFonts w:ascii="Times New Roman" w:eastAsia="Times New Roman" w:hAnsi="Times New Roman" w:cs="Times New Roman"/>
          <w:lang w:val="ro-MD"/>
        </w:rPr>
        <w:t>indicând</w:t>
      </w:r>
      <w:r w:rsidRPr="000508B6">
        <w:rPr>
          <w:rFonts w:ascii="Times New Roman" w:eastAsia="Times New Roman" w:hAnsi="Times New Roman" w:cs="Times New Roman"/>
          <w:lang w:val="ro-MD"/>
        </w:rPr>
        <w:t xml:space="preserve"> </w:t>
      </w:r>
      <w:r w:rsidR="00F56D68" w:rsidRPr="000508B6">
        <w:rPr>
          <w:rFonts w:ascii="Times New Roman" w:eastAsia="Times New Roman" w:hAnsi="Times New Roman" w:cs="Times New Roman"/>
          <w:lang w:val="ro-MD"/>
        </w:rPr>
        <w:t>î</w:t>
      </w:r>
      <w:r w:rsidRPr="000508B6">
        <w:rPr>
          <w:rFonts w:ascii="Times New Roman" w:eastAsia="Times New Roman" w:hAnsi="Times New Roman" w:cs="Times New Roman"/>
          <w:lang w:val="ro-MD"/>
        </w:rPr>
        <w:t xml:space="preserve">n decizie activele vizate de </w:t>
      </w:r>
      <w:r w:rsidR="00F56D68" w:rsidRPr="000508B6">
        <w:rPr>
          <w:rFonts w:ascii="Times New Roman" w:eastAsia="Times New Roman" w:hAnsi="Times New Roman" w:cs="Times New Roman"/>
          <w:lang w:val="ro-MD"/>
        </w:rPr>
        <w:t>măsurile respective</w:t>
      </w:r>
      <w:r w:rsidR="00E33F1D" w:rsidRPr="000508B6">
        <w:rPr>
          <w:rFonts w:ascii="Times New Roman" w:eastAsia="Times New Roman" w:hAnsi="Times New Roman" w:cs="Times New Roman"/>
          <w:lang w:val="ro-MD"/>
        </w:rPr>
        <w:t>.</w:t>
      </w:r>
    </w:p>
    <w:p w14:paraId="46FA3DBE" w14:textId="053703C7" w:rsidR="00D04A2D" w:rsidRPr="000508B6" w:rsidRDefault="00D04A2D" w:rsidP="00DE4225">
      <w:pPr>
        <w:pStyle w:val="Listparagraf"/>
        <w:numPr>
          <w:ilvl w:val="1"/>
          <w:numId w:val="150"/>
        </w:numPr>
        <w:tabs>
          <w:tab w:val="left" w:pos="709"/>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lang w:val="ro-MD"/>
        </w:rPr>
        <w:t>În</w:t>
      </w:r>
      <w:r w:rsidRPr="000508B6">
        <w:rPr>
          <w:rFonts w:ascii="Times New Roman" w:eastAsia="Times New Roman" w:hAnsi="Times New Roman" w:cs="Times New Roman"/>
          <w:bCs/>
          <w:lang w:val="ro-MD"/>
        </w:rPr>
        <w:t xml:space="preserve"> aplicarea </w:t>
      </w:r>
      <w:r w:rsidR="00570346" w:rsidRPr="000508B6">
        <w:rPr>
          <w:rFonts w:ascii="Times New Roman" w:eastAsia="Times New Roman" w:hAnsi="Times New Roman" w:cs="Times New Roman"/>
          <w:bCs/>
          <w:lang w:val="ro-MD"/>
        </w:rPr>
        <w:t>prezentei</w:t>
      </w:r>
      <w:r w:rsidRPr="000508B6">
        <w:rPr>
          <w:rFonts w:ascii="Times New Roman" w:eastAsia="Times New Roman" w:hAnsi="Times New Roman" w:cs="Times New Roman"/>
          <w:bCs/>
          <w:lang w:val="ro-MD"/>
        </w:rPr>
        <w:t xml:space="preserve"> </w:t>
      </w:r>
      <w:r w:rsidR="00570346" w:rsidRPr="000508B6">
        <w:rPr>
          <w:rFonts w:ascii="Times New Roman" w:eastAsia="Times New Roman" w:hAnsi="Times New Roman" w:cs="Times New Roman"/>
          <w:bCs/>
          <w:lang w:val="ro-MD"/>
        </w:rPr>
        <w:t>secțiuni</w:t>
      </w:r>
      <w:r w:rsidRPr="000508B6">
        <w:rPr>
          <w:rFonts w:ascii="Times New Roman" w:eastAsia="Times New Roman" w:hAnsi="Times New Roman" w:cs="Times New Roman"/>
          <w:bCs/>
          <w:lang w:val="ro-MD"/>
        </w:rPr>
        <w:t xml:space="preserve">, dispozițiile </w:t>
      </w:r>
      <w:r w:rsidR="00105410" w:rsidRPr="000508B6">
        <w:rPr>
          <w:rFonts w:ascii="Times New Roman" w:eastAsia="Times New Roman" w:hAnsi="Times New Roman" w:cs="Times New Roman"/>
          <w:bCs/>
          <w:lang w:val="ro-MD"/>
        </w:rPr>
        <w:t>privind</w:t>
      </w:r>
      <w:r w:rsidR="00570346" w:rsidRPr="000508B6">
        <w:rPr>
          <w:rFonts w:ascii="Times New Roman" w:eastAsia="Times New Roman" w:hAnsi="Times New Roman" w:cs="Times New Roman"/>
          <w:bCs/>
          <w:lang w:val="ro-MD"/>
        </w:rPr>
        <w:t xml:space="preserve"> </w:t>
      </w:r>
      <w:r w:rsidR="00173D2E" w:rsidRPr="000508B6">
        <w:rPr>
          <w:rFonts w:ascii="Times New Roman" w:eastAsia="Times New Roman" w:hAnsi="Times New Roman" w:cs="Times New Roman"/>
          <w:bCs/>
          <w:lang w:val="ro-MD"/>
        </w:rPr>
        <w:t xml:space="preserve">segmentarea </w:t>
      </w:r>
      <w:proofErr w:type="spellStart"/>
      <w:r w:rsidR="00173D2E" w:rsidRPr="000508B6">
        <w:rPr>
          <w:rFonts w:ascii="Times New Roman" w:eastAsia="Times New Roman" w:hAnsi="Times New Roman" w:cs="Times New Roman"/>
          <w:bCs/>
          <w:lang w:val="ro-MD"/>
        </w:rPr>
        <w:t>obligaţiilor</w:t>
      </w:r>
      <w:proofErr w:type="spellEnd"/>
      <w:r w:rsidR="00173D2E" w:rsidRPr="000508B6">
        <w:rPr>
          <w:rFonts w:ascii="Times New Roman" w:eastAsia="Times New Roman" w:hAnsi="Times New Roman" w:cs="Times New Roman"/>
          <w:bCs/>
          <w:lang w:val="ro-MD"/>
        </w:rPr>
        <w:t xml:space="preserve"> de asigurare </w:t>
      </w:r>
      <w:proofErr w:type="spellStart"/>
      <w:r w:rsidR="00173D2E" w:rsidRPr="000508B6">
        <w:rPr>
          <w:rFonts w:ascii="Times New Roman" w:eastAsia="Times New Roman" w:hAnsi="Times New Roman" w:cs="Times New Roman"/>
          <w:bCs/>
          <w:lang w:val="ro-MD"/>
        </w:rPr>
        <w:t>şi</w:t>
      </w:r>
      <w:proofErr w:type="spellEnd"/>
      <w:r w:rsidR="00173D2E" w:rsidRPr="000508B6">
        <w:rPr>
          <w:rFonts w:ascii="Times New Roman" w:eastAsia="Times New Roman" w:hAnsi="Times New Roman" w:cs="Times New Roman"/>
          <w:bCs/>
          <w:lang w:val="ro-MD"/>
        </w:rPr>
        <w:t xml:space="preserve"> de reasigurare, </w:t>
      </w:r>
      <w:r w:rsidRPr="000508B6">
        <w:rPr>
          <w:rFonts w:ascii="Times New Roman" w:eastAsia="Times New Roman" w:hAnsi="Times New Roman" w:cs="Times New Roman"/>
          <w:bCs/>
          <w:lang w:val="ro-MD"/>
        </w:rPr>
        <w:t xml:space="preserve">metodologiile de calcul al rezervelor tehnice, structura temporală relevantă a ratei dobânzilor fără risc, </w:t>
      </w:r>
      <w:r w:rsidR="006A7AFE" w:rsidRPr="000508B6">
        <w:rPr>
          <w:rFonts w:ascii="Times New Roman" w:eastAsia="Times New Roman" w:hAnsi="Times New Roman" w:cs="Times New Roman"/>
          <w:bCs/>
          <w:lang w:val="ro-MD"/>
        </w:rPr>
        <w:t xml:space="preserve">prima de volatilitate și de echilibrare, alte elemente utilizate la calcularea rezervelor tehnice, calitatea datelor și aproximărilor utilizate, </w:t>
      </w:r>
      <w:r w:rsidRPr="000508B6">
        <w:rPr>
          <w:rFonts w:ascii="Times New Roman" w:eastAsia="Times New Roman" w:hAnsi="Times New Roman" w:cs="Times New Roman"/>
          <w:bCs/>
          <w:lang w:val="ro-MD"/>
        </w:rPr>
        <w:t>proporționalitatea și simplificările se stabilesc prin actele normative ale Băncii Naționale a Moldovei.</w:t>
      </w:r>
    </w:p>
    <w:p w14:paraId="6830242B" w14:textId="77777777" w:rsidR="00D04A2D" w:rsidRPr="000508B6" w:rsidRDefault="00D04A2D" w:rsidP="008B530F">
      <w:pPr>
        <w:spacing w:after="0" w:line="240" w:lineRule="auto"/>
        <w:ind w:firstLine="426"/>
        <w:jc w:val="center"/>
        <w:rPr>
          <w:rFonts w:ascii="Times New Roman" w:eastAsia="Times New Roman" w:hAnsi="Times New Roman" w:cs="Times New Roman"/>
          <w:b/>
          <w:lang w:val="ro-MD"/>
        </w:rPr>
      </w:pPr>
    </w:p>
    <w:p w14:paraId="3BB63F8D" w14:textId="3E5B807F"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Secțiunea a </w:t>
      </w:r>
      <w:r w:rsidR="00C41D4B" w:rsidRPr="000508B6">
        <w:rPr>
          <w:rFonts w:ascii="Times New Roman" w:eastAsia="Times New Roman" w:hAnsi="Times New Roman" w:cs="Times New Roman"/>
          <w:b/>
          <w:lang w:val="ro-MD"/>
        </w:rPr>
        <w:t>3</w:t>
      </w:r>
      <w:r w:rsidRPr="000508B6">
        <w:rPr>
          <w:rFonts w:ascii="Times New Roman" w:eastAsia="Times New Roman" w:hAnsi="Times New Roman" w:cs="Times New Roman"/>
          <w:b/>
          <w:lang w:val="ro-MD"/>
        </w:rPr>
        <w:t>-a</w:t>
      </w:r>
    </w:p>
    <w:p w14:paraId="59B0DC43"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Fonduri proprii </w:t>
      </w:r>
    </w:p>
    <w:p w14:paraId="7CFACA0F" w14:textId="62356161" w:rsidR="00F95829" w:rsidRPr="000508B6" w:rsidRDefault="00F95829" w:rsidP="008B530F">
      <w:pPr>
        <w:spacing w:after="0" w:line="240" w:lineRule="auto"/>
        <w:ind w:firstLine="426"/>
        <w:jc w:val="center"/>
        <w:rPr>
          <w:rFonts w:ascii="Times New Roman" w:hAnsi="Times New Roman" w:cs="Times New Roman"/>
          <w:b/>
          <w:lang w:val="ro-MD"/>
        </w:rPr>
      </w:pPr>
      <w:proofErr w:type="spellStart"/>
      <w:r w:rsidRPr="000508B6">
        <w:rPr>
          <w:rFonts w:ascii="Times New Roman" w:hAnsi="Times New Roman" w:cs="Times New Roman"/>
          <w:b/>
          <w:lang w:val="ro-MD"/>
        </w:rPr>
        <w:t>Subsecţiunea</w:t>
      </w:r>
      <w:proofErr w:type="spellEnd"/>
      <w:r w:rsidRPr="000508B6">
        <w:rPr>
          <w:rFonts w:ascii="Times New Roman" w:hAnsi="Times New Roman" w:cs="Times New Roman"/>
          <w:b/>
          <w:lang w:val="ro-MD"/>
        </w:rPr>
        <w:t xml:space="preserve"> </w:t>
      </w:r>
      <w:r w:rsidR="00C41D4B" w:rsidRPr="000508B6">
        <w:rPr>
          <w:rFonts w:ascii="Times New Roman" w:hAnsi="Times New Roman" w:cs="Times New Roman"/>
          <w:b/>
          <w:lang w:val="ro-MD"/>
        </w:rPr>
        <w:t>3</w:t>
      </w:r>
      <w:r w:rsidRPr="000508B6">
        <w:rPr>
          <w:rFonts w:ascii="Times New Roman" w:hAnsi="Times New Roman" w:cs="Times New Roman"/>
          <w:b/>
          <w:lang w:val="ro-MD"/>
        </w:rPr>
        <w:t xml:space="preserve">.1 </w:t>
      </w:r>
    </w:p>
    <w:p w14:paraId="3C268D1F"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hAnsi="Times New Roman" w:cs="Times New Roman"/>
          <w:b/>
          <w:lang w:val="ro-MD"/>
        </w:rPr>
        <w:t>Determinarea fondurilor proprii</w:t>
      </w:r>
    </w:p>
    <w:p w14:paraId="2E00B8DA" w14:textId="77777777" w:rsidR="00F95829" w:rsidRPr="000508B6" w:rsidRDefault="00F95829" w:rsidP="008B530F">
      <w:pPr>
        <w:spacing w:after="0" w:line="240" w:lineRule="auto"/>
        <w:ind w:firstLine="426"/>
        <w:jc w:val="center"/>
        <w:rPr>
          <w:rFonts w:ascii="Times New Roman" w:eastAsia="Times New Roman" w:hAnsi="Times New Roman" w:cs="Times New Roman"/>
          <w:lang w:val="ro-MD"/>
        </w:rPr>
      </w:pPr>
    </w:p>
    <w:p w14:paraId="6CC04DD2" w14:textId="5EAA7BAA"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w:t>
      </w:r>
      <w:r w:rsidRPr="000508B6" w:rsidDel="003C51C6">
        <w:rPr>
          <w:rFonts w:ascii="Times New Roman" w:eastAsia="Times New Roman" w:hAnsi="Times New Roman" w:cs="Times New Roman"/>
          <w:b/>
          <w:lang w:val="ro-MD"/>
        </w:rPr>
        <w:t xml:space="preserve"> </w:t>
      </w:r>
      <w:r w:rsidR="00C8492A" w:rsidRPr="000508B6">
        <w:rPr>
          <w:rFonts w:ascii="Times New Roman" w:eastAsia="Times New Roman" w:hAnsi="Times New Roman" w:cs="Times New Roman"/>
          <w:b/>
          <w:lang w:val="ro-MD"/>
        </w:rPr>
        <w:t>54</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Prevederi generale</w:t>
      </w:r>
      <w:r w:rsidR="001255A5" w:rsidRPr="000508B6">
        <w:rPr>
          <w:rFonts w:ascii="Times New Roman" w:eastAsia="Times New Roman" w:hAnsi="Times New Roman" w:cs="Times New Roman"/>
          <w:lang w:val="ro-MD"/>
        </w:rPr>
        <w:t xml:space="preserve"> </w:t>
      </w:r>
    </w:p>
    <w:p w14:paraId="626E4635" w14:textId="1FBAB180" w:rsidR="00F95829" w:rsidRPr="000508B6" w:rsidRDefault="00F95829" w:rsidP="00CF5AFA">
      <w:pPr>
        <w:pStyle w:val="Listparagraf"/>
        <w:numPr>
          <w:ilvl w:val="1"/>
          <w:numId w:val="13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Fondurile proprii reprezintă suma fondurilor proprii de bază prevăzute la art. </w:t>
      </w:r>
      <w:r w:rsidR="003F4FB8" w:rsidRPr="000508B6">
        <w:rPr>
          <w:rFonts w:ascii="Times New Roman" w:hAnsi="Times New Roman" w:cs="Times New Roman"/>
          <w:lang w:val="ro-MD"/>
        </w:rPr>
        <w:t>55</w:t>
      </w:r>
      <w:r w:rsidR="000E2B72"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fondurilor proprii auxiliare prevăzute la art. </w:t>
      </w:r>
      <w:r w:rsidR="003F4FB8" w:rsidRPr="000508B6">
        <w:rPr>
          <w:rFonts w:ascii="Times New Roman" w:hAnsi="Times New Roman" w:cs="Times New Roman"/>
          <w:lang w:val="ro-MD"/>
        </w:rPr>
        <w:t>56</w:t>
      </w:r>
      <w:r w:rsidRPr="000508B6">
        <w:rPr>
          <w:rFonts w:ascii="Times New Roman" w:hAnsi="Times New Roman" w:cs="Times New Roman"/>
          <w:lang w:val="ro-MD"/>
        </w:rPr>
        <w:t xml:space="preserve">. </w:t>
      </w:r>
    </w:p>
    <w:p w14:paraId="1143D88E" w14:textId="49AE6527" w:rsidR="0042580B" w:rsidRPr="000508B6" w:rsidRDefault="0042580B" w:rsidP="00CF5AFA">
      <w:pPr>
        <w:pStyle w:val="Listparagraf"/>
        <w:numPr>
          <w:ilvl w:val="1"/>
          <w:numId w:val="134"/>
        </w:numPr>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categoriile de fonduri proprii, elementele care intră în calculul fondurilor proprii, </w:t>
      </w:r>
      <w:r w:rsidR="00FA5590" w:rsidRPr="000508B6">
        <w:rPr>
          <w:rFonts w:ascii="Times New Roman" w:hAnsi="Times New Roman" w:cs="Times New Roman"/>
          <w:lang w:val="ro-MD"/>
        </w:rPr>
        <w:t>eligibilitatea fondurilor proprii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orice alte </w:t>
      </w:r>
      <w:proofErr w:type="spellStart"/>
      <w:r w:rsidRPr="000508B6">
        <w:rPr>
          <w:rFonts w:ascii="Times New Roman" w:hAnsi="Times New Roman" w:cs="Times New Roman"/>
          <w:lang w:val="ro-MD"/>
        </w:rPr>
        <w:t>cerinţe</w:t>
      </w:r>
      <w:proofErr w:type="spellEnd"/>
      <w:r w:rsidRPr="000508B6">
        <w:rPr>
          <w:rFonts w:ascii="Times New Roman" w:hAnsi="Times New Roman" w:cs="Times New Roman"/>
          <w:lang w:val="ro-MD"/>
        </w:rPr>
        <w:t xml:space="preserve"> de determinare a acestora</w:t>
      </w:r>
      <w:r w:rsidR="000405F7" w:rsidRPr="000508B6">
        <w:rPr>
          <w:rFonts w:ascii="Times New Roman" w:hAnsi="Times New Roman" w:cs="Times New Roman"/>
          <w:lang w:val="ro-MD"/>
        </w:rPr>
        <w:t>, precum și termene de examinare și aprobare a acestora</w:t>
      </w:r>
      <w:r w:rsidRPr="000508B6">
        <w:rPr>
          <w:rFonts w:ascii="Times New Roman" w:hAnsi="Times New Roman" w:cs="Times New Roman"/>
          <w:lang w:val="ro-MD"/>
        </w:rPr>
        <w:t xml:space="preserve"> s</w:t>
      </w:r>
      <w:r w:rsidR="00742566">
        <w:rPr>
          <w:rFonts w:ascii="Times New Roman" w:hAnsi="Times New Roman" w:cs="Times New Roman"/>
          <w:lang w:val="ro-MD"/>
        </w:rPr>
        <w:t>u</w:t>
      </w:r>
      <w:r w:rsidRPr="000508B6">
        <w:rPr>
          <w:rFonts w:ascii="Times New Roman" w:hAnsi="Times New Roman" w:cs="Times New Roman"/>
          <w:lang w:val="ro-MD"/>
        </w:rPr>
        <w:t xml:space="preserve">nt stabilite prin actele normative </w:t>
      </w:r>
      <w:r w:rsidR="00FA5590" w:rsidRPr="000508B6">
        <w:rPr>
          <w:rFonts w:ascii="Times New Roman" w:hAnsi="Times New Roman" w:cs="Times New Roman"/>
          <w:lang w:val="ro-MD"/>
        </w:rPr>
        <w:t>ale Băncii Naționale a Moldovei</w:t>
      </w:r>
      <w:r w:rsidRPr="000508B6">
        <w:rPr>
          <w:rFonts w:ascii="Times New Roman" w:hAnsi="Times New Roman" w:cs="Times New Roman"/>
          <w:lang w:val="ro-MD"/>
        </w:rPr>
        <w:t>.</w:t>
      </w:r>
    </w:p>
    <w:p w14:paraId="706C6F60" w14:textId="77777777" w:rsidR="00F95829" w:rsidRPr="000508B6" w:rsidRDefault="00F95829" w:rsidP="008B530F">
      <w:pPr>
        <w:spacing w:after="0" w:line="240" w:lineRule="auto"/>
        <w:ind w:firstLine="426"/>
        <w:jc w:val="both"/>
        <w:rPr>
          <w:rFonts w:ascii="Times New Roman" w:hAnsi="Times New Roman" w:cs="Times New Roman"/>
          <w:b/>
          <w:lang w:val="ro-MD"/>
        </w:rPr>
      </w:pPr>
    </w:p>
    <w:p w14:paraId="792A8407" w14:textId="4EC2FDB5"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140284" w:rsidRPr="000508B6">
        <w:rPr>
          <w:rFonts w:ascii="Times New Roman" w:hAnsi="Times New Roman" w:cs="Times New Roman"/>
          <w:b/>
          <w:lang w:val="ro-MD"/>
        </w:rPr>
        <w:t xml:space="preserve"> </w:t>
      </w:r>
      <w:r w:rsidR="00C8492A" w:rsidRPr="000508B6">
        <w:rPr>
          <w:rFonts w:ascii="Times New Roman" w:hAnsi="Times New Roman" w:cs="Times New Roman"/>
          <w:b/>
          <w:lang w:val="ro-MD"/>
        </w:rPr>
        <w:t>55</w:t>
      </w:r>
      <w:r w:rsidR="006749A4" w:rsidRPr="000508B6">
        <w:rPr>
          <w:rFonts w:ascii="Times New Roman" w:hAnsi="Times New Roman" w:cs="Times New Roman"/>
          <w:b/>
          <w:lang w:val="ro-MD"/>
        </w:rPr>
        <w:t>.</w:t>
      </w:r>
      <w:r w:rsidR="00140284" w:rsidRPr="000508B6">
        <w:rPr>
          <w:rFonts w:ascii="Times New Roman" w:hAnsi="Times New Roman" w:cs="Times New Roman"/>
          <w:b/>
          <w:lang w:val="ro-MD"/>
        </w:rPr>
        <w:t xml:space="preserve"> </w:t>
      </w:r>
      <w:r w:rsidRPr="000508B6">
        <w:rPr>
          <w:rFonts w:ascii="Times New Roman" w:hAnsi="Times New Roman" w:cs="Times New Roman"/>
          <w:lang w:val="ro-MD"/>
        </w:rPr>
        <w:t xml:space="preserve">Fondurile proprii de bază </w:t>
      </w:r>
    </w:p>
    <w:p w14:paraId="6F17F488" w14:textId="14D6F96C" w:rsidR="00F95829" w:rsidRPr="000508B6" w:rsidRDefault="00F95829" w:rsidP="00E97B71">
      <w:pPr>
        <w:pStyle w:val="Listparagraf"/>
        <w:numPr>
          <w:ilvl w:val="0"/>
          <w:numId w:val="44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Fondurile proprii de bază </w:t>
      </w:r>
      <w:r w:rsidR="00AD0B4F" w:rsidRPr="000508B6">
        <w:rPr>
          <w:rFonts w:ascii="Times New Roman" w:hAnsi="Times New Roman" w:cs="Times New Roman"/>
          <w:lang w:val="ro-MD"/>
        </w:rPr>
        <w:t xml:space="preserve">sunt formate din </w:t>
      </w:r>
      <w:r w:rsidRPr="000508B6">
        <w:rPr>
          <w:rFonts w:ascii="Times New Roman" w:hAnsi="Times New Roman" w:cs="Times New Roman"/>
          <w:lang w:val="ro-MD"/>
        </w:rPr>
        <w:t>următoarele elemente:</w:t>
      </w:r>
    </w:p>
    <w:p w14:paraId="050CE625" w14:textId="5C586279" w:rsidR="00F95829" w:rsidRPr="000508B6" w:rsidRDefault="00F95829" w:rsidP="00DE4225">
      <w:pPr>
        <w:pStyle w:val="Listparagraf"/>
        <w:numPr>
          <w:ilvl w:val="2"/>
          <w:numId w:val="151"/>
        </w:numPr>
        <w:tabs>
          <w:tab w:val="left" w:pos="426"/>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excedentul de active </w:t>
      </w:r>
      <w:proofErr w:type="spellStart"/>
      <w:r w:rsidRPr="000508B6">
        <w:rPr>
          <w:rFonts w:ascii="Times New Roman" w:hAnsi="Times New Roman" w:cs="Times New Roman"/>
          <w:lang w:val="ro-MD"/>
        </w:rPr>
        <w:t>faţă</w:t>
      </w:r>
      <w:proofErr w:type="spellEnd"/>
      <w:r w:rsidRPr="000508B6">
        <w:rPr>
          <w:rFonts w:ascii="Times New Roman" w:hAnsi="Times New Roman" w:cs="Times New Roman"/>
          <w:lang w:val="ro-MD"/>
        </w:rPr>
        <w:t xml:space="preserve"> de </w:t>
      </w:r>
      <w:r w:rsidR="00FA320A" w:rsidRPr="000508B6">
        <w:rPr>
          <w:rFonts w:ascii="Times New Roman" w:hAnsi="Times New Roman" w:cs="Times New Roman"/>
          <w:lang w:val="ro-MD"/>
        </w:rPr>
        <w:t>obligații</w:t>
      </w:r>
      <w:r w:rsidRPr="000508B6">
        <w:rPr>
          <w:rFonts w:ascii="Times New Roman" w:hAnsi="Times New Roman" w:cs="Times New Roman"/>
          <w:lang w:val="ro-MD"/>
        </w:rPr>
        <w:t xml:space="preserve">, evaluate în conformitate cu art. </w:t>
      </w:r>
      <w:r w:rsidR="003F4FB8" w:rsidRPr="000508B6">
        <w:rPr>
          <w:rFonts w:ascii="Times New Roman" w:hAnsi="Times New Roman" w:cs="Times New Roman"/>
          <w:lang w:val="ro-MD"/>
        </w:rPr>
        <w:t>41</w:t>
      </w:r>
      <w:r w:rsidR="005B5312" w:rsidRPr="000508B6">
        <w:rPr>
          <w:rFonts w:ascii="Times New Roman" w:hAnsi="Times New Roman" w:cs="Times New Roman"/>
          <w:lang w:val="ro-MD"/>
        </w:rPr>
        <w:t xml:space="preserve"> - 53</w:t>
      </w:r>
      <w:r w:rsidRPr="000508B6">
        <w:rPr>
          <w:rFonts w:ascii="Times New Roman" w:hAnsi="Times New Roman" w:cs="Times New Roman"/>
          <w:lang w:val="ro-MD"/>
        </w:rPr>
        <w:t xml:space="preserve">, din care se scade valoarea </w:t>
      </w:r>
      <w:proofErr w:type="spellStart"/>
      <w:r w:rsidRPr="000508B6">
        <w:rPr>
          <w:rFonts w:ascii="Times New Roman" w:hAnsi="Times New Roman" w:cs="Times New Roman"/>
          <w:lang w:val="ro-MD"/>
        </w:rPr>
        <w:t>acţiunilor</w:t>
      </w:r>
      <w:proofErr w:type="spellEnd"/>
      <w:r w:rsidRPr="000508B6">
        <w:rPr>
          <w:rFonts w:ascii="Times New Roman" w:hAnsi="Times New Roman" w:cs="Times New Roman"/>
          <w:lang w:val="ro-MD"/>
        </w:rPr>
        <w:t xml:space="preserve"> proprii </w:t>
      </w:r>
      <w:proofErr w:type="spellStart"/>
      <w:r w:rsidRPr="000508B6">
        <w:rPr>
          <w:rFonts w:ascii="Times New Roman" w:hAnsi="Times New Roman" w:cs="Times New Roman"/>
          <w:lang w:val="ro-MD"/>
        </w:rPr>
        <w:t>deţinute</w:t>
      </w:r>
      <w:proofErr w:type="spellEnd"/>
      <w:r w:rsidRPr="000508B6">
        <w:rPr>
          <w:rFonts w:ascii="Times New Roman" w:hAnsi="Times New Roman" w:cs="Times New Roman"/>
          <w:lang w:val="ro-MD"/>
        </w:rPr>
        <w:t xml:space="preserve">; </w:t>
      </w:r>
    </w:p>
    <w:p w14:paraId="5AE5B9BC" w14:textId="6AABC8B1" w:rsidR="00F95829" w:rsidRPr="000508B6" w:rsidRDefault="00F95829" w:rsidP="00DE4225">
      <w:pPr>
        <w:pStyle w:val="Listparagraf"/>
        <w:numPr>
          <w:ilvl w:val="2"/>
          <w:numId w:val="151"/>
        </w:numPr>
        <w:tabs>
          <w:tab w:val="left" w:pos="426"/>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datoriile subordonate. </w:t>
      </w:r>
    </w:p>
    <w:p w14:paraId="268D73A6" w14:textId="4B95FFDC" w:rsidR="00003C58" w:rsidRPr="000508B6" w:rsidRDefault="00BF74B0" w:rsidP="003A7305">
      <w:pPr>
        <w:pStyle w:val="Listparagraf"/>
        <w:numPr>
          <w:ilvl w:val="0"/>
          <w:numId w:val="44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permite unor </w:t>
      </w:r>
      <w:r w:rsidR="0092567B" w:rsidRPr="000508B6">
        <w:rPr>
          <w:rFonts w:ascii="Times New Roman" w:hAnsi="Times New Roman" w:cs="Times New Roman"/>
          <w:lang w:val="ro-MD"/>
        </w:rPr>
        <w:t xml:space="preserve">asigurători </w:t>
      </w:r>
      <w:r w:rsidRPr="000508B6">
        <w:rPr>
          <w:rFonts w:ascii="Times New Roman" w:hAnsi="Times New Roman" w:cs="Times New Roman"/>
          <w:lang w:val="ro-MD"/>
        </w:rPr>
        <w:t>sau</w:t>
      </w:r>
      <w:r w:rsidRPr="000508B6" w:rsidDel="0092567B">
        <w:rPr>
          <w:rFonts w:ascii="Times New Roman" w:hAnsi="Times New Roman" w:cs="Times New Roman"/>
          <w:lang w:val="ro-MD"/>
        </w:rPr>
        <w:t xml:space="preserve"> </w:t>
      </w:r>
      <w:proofErr w:type="spellStart"/>
      <w:r w:rsidR="0092567B" w:rsidRPr="000508B6">
        <w:rPr>
          <w:rFonts w:ascii="Times New Roman" w:hAnsi="Times New Roman" w:cs="Times New Roman"/>
          <w:lang w:val="ro-MD"/>
        </w:rPr>
        <w:t>reasigurători</w:t>
      </w:r>
      <w:proofErr w:type="spellEnd"/>
      <w:r w:rsidR="0092567B" w:rsidRPr="000508B6">
        <w:rPr>
          <w:rFonts w:ascii="Times New Roman" w:hAnsi="Times New Roman" w:cs="Times New Roman"/>
          <w:lang w:val="ro-MD"/>
        </w:rPr>
        <w:t xml:space="preserve"> </w:t>
      </w:r>
      <w:r w:rsidRPr="000508B6">
        <w:rPr>
          <w:rFonts w:ascii="Times New Roman" w:hAnsi="Times New Roman" w:cs="Times New Roman"/>
          <w:lang w:val="ro-MD"/>
        </w:rPr>
        <w:t xml:space="preserve">să nu deducă  valoarea participației într-o </w:t>
      </w:r>
      <w:r w:rsidR="006655A2" w:rsidRPr="000508B6">
        <w:rPr>
          <w:rFonts w:ascii="Times New Roman" w:hAnsi="Times New Roman" w:cs="Times New Roman"/>
          <w:lang w:val="ro-MD"/>
        </w:rPr>
        <w:t>instituție financiară</w:t>
      </w:r>
      <w:r w:rsidRPr="000508B6">
        <w:rPr>
          <w:rFonts w:ascii="Times New Roman" w:hAnsi="Times New Roman" w:cs="Times New Roman"/>
          <w:lang w:val="ro-MD"/>
        </w:rPr>
        <w:t xml:space="preserve"> sau </w:t>
      </w:r>
      <w:r w:rsidR="00DD1A8D" w:rsidRPr="000508B6">
        <w:rPr>
          <w:rFonts w:ascii="Times New Roman" w:hAnsi="Times New Roman" w:cs="Times New Roman"/>
          <w:lang w:val="ro-MD"/>
        </w:rPr>
        <w:t xml:space="preserve">instituție </w:t>
      </w:r>
      <w:r w:rsidRPr="000508B6">
        <w:rPr>
          <w:rFonts w:ascii="Times New Roman" w:hAnsi="Times New Roman" w:cs="Times New Roman"/>
          <w:lang w:val="ro-MD"/>
        </w:rPr>
        <w:t>de credit</w:t>
      </w:r>
      <w:r w:rsidR="003A7305" w:rsidRPr="000508B6">
        <w:rPr>
          <w:rFonts w:ascii="Times New Roman" w:hAnsi="Times New Roman" w:cs="Times New Roman"/>
          <w:lang w:val="ro-MD"/>
        </w:rPr>
        <w:t xml:space="preserve"> </w:t>
      </w:r>
      <w:r w:rsidRPr="000508B6">
        <w:rPr>
          <w:rFonts w:ascii="Times New Roman" w:hAnsi="Times New Roman" w:cs="Times New Roman"/>
          <w:lang w:val="ro-MD"/>
        </w:rPr>
        <w:t>numai dacă sunt îndeplinite toate condițiile următoare:</w:t>
      </w:r>
      <w:r w:rsidR="003A7305" w:rsidRPr="000508B6">
        <w:rPr>
          <w:rFonts w:ascii="Times New Roman" w:hAnsi="Times New Roman" w:cs="Times New Roman"/>
          <w:lang w:val="ro-MD"/>
        </w:rPr>
        <w:t xml:space="preserve"> </w:t>
      </w:r>
    </w:p>
    <w:p w14:paraId="6E8E20A6" w14:textId="7665919C" w:rsidR="00003C58" w:rsidRPr="000508B6" w:rsidRDefault="0092567B" w:rsidP="003A7305">
      <w:pPr>
        <w:pStyle w:val="Listparagraf"/>
        <w:numPr>
          <w:ilvl w:val="2"/>
          <w:numId w:val="30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w:t>
      </w:r>
      <w:r w:rsidR="005B388F"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5B388F" w:rsidRPr="000508B6">
        <w:rPr>
          <w:rFonts w:ascii="Times New Roman" w:hAnsi="Times New Roman" w:cs="Times New Roman"/>
          <w:lang w:val="ro-MD"/>
        </w:rPr>
        <w:t>se află în una din următoarele situații:</w:t>
      </w:r>
    </w:p>
    <w:p w14:paraId="032916B8" w14:textId="06BE0B7D" w:rsidR="00C22269" w:rsidRPr="000508B6" w:rsidRDefault="00AF58D6" w:rsidP="003A7305">
      <w:pPr>
        <w:pStyle w:val="Listparagraf"/>
        <w:numPr>
          <w:ilvl w:val="3"/>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instituția financiară</w:t>
      </w:r>
      <w:r w:rsidR="00C22269" w:rsidRPr="000508B6">
        <w:rPr>
          <w:rFonts w:ascii="Times New Roman" w:hAnsi="Times New Roman" w:cs="Times New Roman"/>
          <w:lang w:val="ro-MD"/>
        </w:rPr>
        <w:t xml:space="preserve"> sau</w:t>
      </w:r>
      <w:r w:rsidR="009D2D78" w:rsidRPr="000508B6">
        <w:rPr>
          <w:rFonts w:ascii="Times New Roman" w:hAnsi="Times New Roman" w:cs="Times New Roman"/>
          <w:lang w:val="ro-MD"/>
        </w:rPr>
        <w:t xml:space="preserve"> instituția</w:t>
      </w:r>
      <w:r w:rsidR="00C22269" w:rsidRPr="000508B6">
        <w:rPr>
          <w:rFonts w:ascii="Times New Roman" w:hAnsi="Times New Roman" w:cs="Times New Roman"/>
          <w:lang w:val="ro-MD"/>
        </w:rPr>
        <w:t xml:space="preserve"> de credit </w:t>
      </w:r>
      <w:r w:rsidR="00A374F8" w:rsidRPr="000508B6">
        <w:rPr>
          <w:rFonts w:ascii="Times New Roman" w:hAnsi="Times New Roman" w:cs="Times New Roman"/>
          <w:lang w:val="ro-MD"/>
        </w:rPr>
        <w:t>ș</w:t>
      </w:r>
      <w:r w:rsidR="00C22269" w:rsidRPr="000508B6">
        <w:rPr>
          <w:rFonts w:ascii="Times New Roman" w:hAnsi="Times New Roman" w:cs="Times New Roman"/>
          <w:lang w:val="ro-MD"/>
        </w:rPr>
        <w:t xml:space="preserve">i </w:t>
      </w:r>
      <w:r w:rsidR="00957834" w:rsidRPr="000508B6">
        <w:rPr>
          <w:rFonts w:ascii="Times New Roman" w:hAnsi="Times New Roman" w:cs="Times New Roman"/>
          <w:lang w:val="ro-MD"/>
        </w:rPr>
        <w:t xml:space="preserve">asigurătorul sau </w:t>
      </w:r>
      <w:proofErr w:type="spellStart"/>
      <w:r w:rsidR="00957834" w:rsidRPr="000508B6">
        <w:rPr>
          <w:rFonts w:ascii="Times New Roman" w:hAnsi="Times New Roman" w:cs="Times New Roman"/>
          <w:lang w:val="ro-MD"/>
        </w:rPr>
        <w:t>reasigurătorul</w:t>
      </w:r>
      <w:proofErr w:type="spellEnd"/>
      <w:r w:rsidR="00957834" w:rsidRPr="000508B6">
        <w:rPr>
          <w:rFonts w:ascii="Times New Roman" w:hAnsi="Times New Roman" w:cs="Times New Roman"/>
          <w:lang w:val="ro-MD"/>
        </w:rPr>
        <w:t xml:space="preserve"> </w:t>
      </w:r>
      <w:r w:rsidR="005B388F" w:rsidRPr="000508B6">
        <w:rPr>
          <w:rFonts w:ascii="Times New Roman" w:hAnsi="Times New Roman" w:cs="Times New Roman"/>
          <w:lang w:val="ro-MD"/>
        </w:rPr>
        <w:t xml:space="preserve">fac parte din </w:t>
      </w:r>
      <w:r w:rsidR="00C22269" w:rsidRPr="000508B6">
        <w:rPr>
          <w:rFonts w:ascii="Times New Roman" w:hAnsi="Times New Roman" w:cs="Times New Roman"/>
          <w:lang w:val="ro-MD"/>
        </w:rPr>
        <w:t>acela</w:t>
      </w:r>
      <w:r w:rsidR="005D794A" w:rsidRPr="000508B6">
        <w:rPr>
          <w:rFonts w:ascii="Times New Roman" w:hAnsi="Times New Roman" w:cs="Times New Roman"/>
          <w:lang w:val="ro-MD"/>
        </w:rPr>
        <w:t>ș</w:t>
      </w:r>
      <w:r w:rsidR="00C22269" w:rsidRPr="000508B6">
        <w:rPr>
          <w:rFonts w:ascii="Times New Roman" w:hAnsi="Times New Roman" w:cs="Times New Roman"/>
          <w:lang w:val="ro-MD"/>
        </w:rPr>
        <w:t>i</w:t>
      </w:r>
      <w:r w:rsidR="005B388F" w:rsidRPr="000508B6">
        <w:rPr>
          <w:rFonts w:ascii="Times New Roman" w:hAnsi="Times New Roman" w:cs="Times New Roman"/>
          <w:lang w:val="ro-MD"/>
        </w:rPr>
        <w:t xml:space="preserve"> grup definit la </w:t>
      </w:r>
      <w:r w:rsidR="003A7305" w:rsidRPr="000508B6">
        <w:rPr>
          <w:rFonts w:ascii="Times New Roman" w:hAnsi="Times New Roman" w:cs="Times New Roman"/>
          <w:lang w:val="ro-MD"/>
        </w:rPr>
        <w:t xml:space="preserve">art. 3 </w:t>
      </w:r>
      <w:r w:rsidR="007E32DB" w:rsidRPr="000508B6">
        <w:rPr>
          <w:rFonts w:ascii="Times New Roman" w:hAnsi="Times New Roman" w:cs="Times New Roman"/>
          <w:lang w:val="ro-MD"/>
        </w:rPr>
        <w:t xml:space="preserve"> </w:t>
      </w:r>
      <w:r w:rsidR="00A374F8" w:rsidRPr="000508B6">
        <w:rPr>
          <w:rFonts w:ascii="Times New Roman" w:hAnsi="Times New Roman" w:cs="Times New Roman"/>
          <w:lang w:val="ro-MD"/>
        </w:rPr>
        <w:t>ș</w:t>
      </w:r>
      <w:r w:rsidR="007E32DB" w:rsidRPr="000508B6">
        <w:rPr>
          <w:rFonts w:ascii="Times New Roman" w:hAnsi="Times New Roman" w:cs="Times New Roman"/>
          <w:lang w:val="ro-MD"/>
        </w:rPr>
        <w:t>i c</w:t>
      </w:r>
      <w:r w:rsidR="00DC5108" w:rsidRPr="000508B6">
        <w:rPr>
          <w:rFonts w:ascii="Times New Roman" w:hAnsi="Times New Roman" w:cs="Times New Roman"/>
          <w:lang w:val="ro-MD"/>
        </w:rPr>
        <w:t>ă</w:t>
      </w:r>
      <w:r w:rsidR="007E32DB" w:rsidRPr="000508B6">
        <w:rPr>
          <w:rFonts w:ascii="Times New Roman" w:hAnsi="Times New Roman" w:cs="Times New Roman"/>
          <w:lang w:val="ro-MD"/>
        </w:rPr>
        <w:t xml:space="preserve">ruia i se </w:t>
      </w:r>
      <w:r w:rsidR="00C22269" w:rsidRPr="000508B6">
        <w:rPr>
          <w:rFonts w:ascii="Times New Roman" w:hAnsi="Times New Roman" w:cs="Times New Roman"/>
          <w:lang w:val="ro-MD"/>
        </w:rPr>
        <w:t>aplica</w:t>
      </w:r>
      <w:r w:rsidR="007E32DB" w:rsidRPr="000508B6">
        <w:rPr>
          <w:rFonts w:ascii="Times New Roman" w:hAnsi="Times New Roman" w:cs="Times New Roman"/>
          <w:lang w:val="ro-MD"/>
        </w:rPr>
        <w:t xml:space="preserve"> supravegherea la nivel de grup în </w:t>
      </w:r>
      <w:r w:rsidR="00C22269" w:rsidRPr="000508B6">
        <w:rPr>
          <w:rFonts w:ascii="Times New Roman" w:hAnsi="Times New Roman" w:cs="Times New Roman"/>
          <w:lang w:val="ro-MD"/>
        </w:rPr>
        <w:t>conf</w:t>
      </w:r>
      <w:r w:rsidR="003A7305" w:rsidRPr="000508B6">
        <w:rPr>
          <w:rFonts w:ascii="Times New Roman" w:hAnsi="Times New Roman" w:cs="Times New Roman"/>
          <w:lang w:val="ro-MD"/>
        </w:rPr>
        <w:t>ormitate cu art. 116</w:t>
      </w:r>
      <w:r w:rsidR="00C22269" w:rsidRPr="000508B6">
        <w:rPr>
          <w:rFonts w:ascii="Times New Roman" w:hAnsi="Times New Roman" w:cs="Times New Roman"/>
          <w:lang w:val="ro-MD"/>
        </w:rPr>
        <w:t xml:space="preserve"> alin. (3) lit. a) - c), iar </w:t>
      </w:r>
      <w:r w:rsidRPr="000508B6">
        <w:rPr>
          <w:rFonts w:ascii="Times New Roman" w:hAnsi="Times New Roman" w:cs="Times New Roman"/>
          <w:lang w:val="ro-MD"/>
        </w:rPr>
        <w:t>instituția financiară</w:t>
      </w:r>
      <w:r w:rsidR="00C22269" w:rsidRPr="000508B6">
        <w:rPr>
          <w:rFonts w:ascii="Times New Roman" w:hAnsi="Times New Roman" w:cs="Times New Roman"/>
          <w:lang w:val="ro-MD"/>
        </w:rPr>
        <w:t xml:space="preserve"> sau </w:t>
      </w:r>
      <w:r w:rsidR="00DD1A8D" w:rsidRPr="000508B6">
        <w:rPr>
          <w:rFonts w:ascii="Times New Roman" w:hAnsi="Times New Roman" w:cs="Times New Roman"/>
          <w:lang w:val="ro-MD"/>
        </w:rPr>
        <w:t>instituția</w:t>
      </w:r>
      <w:r w:rsidR="00C22269" w:rsidRPr="000508B6">
        <w:rPr>
          <w:rFonts w:ascii="Times New Roman" w:hAnsi="Times New Roman" w:cs="Times New Roman"/>
          <w:lang w:val="ro-MD"/>
        </w:rPr>
        <w:t xml:space="preserve"> de credit afiliată nu face obiectul deducerii menționate la art. </w:t>
      </w:r>
      <w:r w:rsidR="003A7305" w:rsidRPr="000508B6">
        <w:rPr>
          <w:rFonts w:ascii="Times New Roman" w:hAnsi="Times New Roman" w:cs="Times New Roman"/>
          <w:lang w:val="ro-MD"/>
        </w:rPr>
        <w:t>132</w:t>
      </w:r>
      <w:r w:rsidR="00C22269" w:rsidRPr="000508B6">
        <w:rPr>
          <w:rFonts w:ascii="Times New Roman" w:hAnsi="Times New Roman" w:cs="Times New Roman"/>
          <w:lang w:val="ro-MD"/>
        </w:rPr>
        <w:t xml:space="preserve"> alin. (</w:t>
      </w:r>
      <w:r w:rsidR="00A168E7" w:rsidRPr="000508B6">
        <w:rPr>
          <w:rFonts w:ascii="Times New Roman" w:hAnsi="Times New Roman" w:cs="Times New Roman"/>
          <w:lang w:val="ro-MD"/>
        </w:rPr>
        <w:t>17</w:t>
      </w:r>
      <w:r w:rsidR="00C22269" w:rsidRPr="000508B6">
        <w:rPr>
          <w:rFonts w:ascii="Times New Roman" w:hAnsi="Times New Roman" w:cs="Times New Roman"/>
          <w:lang w:val="ro-MD"/>
        </w:rPr>
        <w:t>);</w:t>
      </w:r>
    </w:p>
    <w:p w14:paraId="54BF04AD" w14:textId="643B5834" w:rsidR="00003C58" w:rsidRPr="000508B6" w:rsidRDefault="003A7305" w:rsidP="003A7305">
      <w:pPr>
        <w:pStyle w:val="Listparagraf"/>
        <w:numPr>
          <w:ilvl w:val="3"/>
          <w:numId w:val="14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w:t>
      </w:r>
      <w:r w:rsidR="00C22269" w:rsidRPr="000508B6">
        <w:rPr>
          <w:rFonts w:ascii="Times New Roman" w:hAnsi="Times New Roman" w:cs="Times New Roman"/>
          <w:lang w:val="ro-MD"/>
        </w:rPr>
        <w:t xml:space="preserve"> impune sau permite </w:t>
      </w:r>
      <w:r w:rsidR="0092567B" w:rsidRPr="000508B6">
        <w:rPr>
          <w:rFonts w:ascii="Times New Roman" w:hAnsi="Times New Roman" w:cs="Times New Roman"/>
          <w:lang w:val="ro-MD"/>
        </w:rPr>
        <w:t xml:space="preserve">asigurătorului </w:t>
      </w:r>
      <w:r w:rsidRPr="000508B6">
        <w:rPr>
          <w:rFonts w:ascii="Times New Roman" w:hAnsi="Times New Roman" w:cs="Times New Roman"/>
          <w:lang w:val="ro-MD"/>
        </w:rPr>
        <w:t xml:space="preserve">sau </w:t>
      </w:r>
      <w:proofErr w:type="spellStart"/>
      <w:r w:rsidR="0092567B" w:rsidRPr="000508B6">
        <w:rPr>
          <w:rFonts w:ascii="Times New Roman" w:hAnsi="Times New Roman" w:cs="Times New Roman"/>
          <w:lang w:val="ro-MD"/>
        </w:rPr>
        <w:t>reasigurătorului</w:t>
      </w:r>
      <w:proofErr w:type="spellEnd"/>
      <w:r w:rsidR="0092567B" w:rsidRPr="000508B6">
        <w:rPr>
          <w:rFonts w:ascii="Times New Roman" w:hAnsi="Times New Roman" w:cs="Times New Roman"/>
          <w:lang w:val="ro-MD"/>
        </w:rPr>
        <w:t xml:space="preserve"> </w:t>
      </w:r>
      <w:r w:rsidR="00C22269" w:rsidRPr="000508B6">
        <w:rPr>
          <w:rFonts w:ascii="Times New Roman" w:hAnsi="Times New Roman" w:cs="Times New Roman"/>
          <w:lang w:val="ro-MD"/>
        </w:rPr>
        <w:t xml:space="preserve">să aplice metode tehnice de calcul, în conformitate cu </w:t>
      </w:r>
      <w:r w:rsidR="008D0006" w:rsidRPr="000508B6">
        <w:rPr>
          <w:rFonts w:ascii="Times New Roman" w:hAnsi="Times New Roman" w:cs="Times New Roman"/>
          <w:lang w:val="ro-MD"/>
        </w:rPr>
        <w:t>prevederile Legii</w:t>
      </w:r>
      <w:r w:rsidR="00C22269" w:rsidRPr="000508B6">
        <w:rPr>
          <w:rFonts w:ascii="Times New Roman" w:hAnsi="Times New Roman" w:cs="Times New Roman"/>
          <w:lang w:val="ro-MD"/>
        </w:rPr>
        <w:t xml:space="preserve"> nr. </w:t>
      </w:r>
      <w:r w:rsidR="008D0006" w:rsidRPr="000508B6">
        <w:rPr>
          <w:rFonts w:ascii="Times New Roman" w:hAnsi="Times New Roman" w:cs="Times New Roman"/>
          <w:lang w:val="ro-MD"/>
        </w:rPr>
        <w:t>250/2017</w:t>
      </w:r>
      <w:r w:rsidR="00C22269" w:rsidRPr="000508B6">
        <w:rPr>
          <w:rFonts w:ascii="Times New Roman" w:hAnsi="Times New Roman" w:cs="Times New Roman"/>
          <w:lang w:val="ro-MD"/>
        </w:rPr>
        <w:t xml:space="preserve">, iar </w:t>
      </w:r>
      <w:r w:rsidR="00AF58D6" w:rsidRPr="000508B6">
        <w:rPr>
          <w:rFonts w:ascii="Times New Roman" w:hAnsi="Times New Roman" w:cs="Times New Roman"/>
          <w:lang w:val="ro-MD"/>
        </w:rPr>
        <w:t>instituția financiară</w:t>
      </w:r>
      <w:r w:rsidR="00C22269" w:rsidRPr="000508B6">
        <w:rPr>
          <w:rFonts w:ascii="Times New Roman" w:hAnsi="Times New Roman" w:cs="Times New Roman"/>
          <w:lang w:val="ro-MD"/>
        </w:rPr>
        <w:t xml:space="preserve"> sau </w:t>
      </w:r>
      <w:r w:rsidR="00DD1A8D" w:rsidRPr="000508B6">
        <w:rPr>
          <w:rFonts w:ascii="Times New Roman" w:hAnsi="Times New Roman" w:cs="Times New Roman"/>
          <w:lang w:val="ro-MD"/>
        </w:rPr>
        <w:t>instituția</w:t>
      </w:r>
      <w:r w:rsidR="00C22269" w:rsidRPr="000508B6">
        <w:rPr>
          <w:rFonts w:ascii="Times New Roman" w:hAnsi="Times New Roman" w:cs="Times New Roman"/>
          <w:lang w:val="ro-MD"/>
        </w:rPr>
        <w:t xml:space="preserve"> de credit este inclusă în sfera supravegherii suplimentare, conform </w:t>
      </w:r>
      <w:r w:rsidR="008D0006" w:rsidRPr="000508B6">
        <w:rPr>
          <w:rFonts w:ascii="Times New Roman" w:hAnsi="Times New Roman" w:cs="Times New Roman"/>
          <w:lang w:val="ro-MD"/>
        </w:rPr>
        <w:t>legii</w:t>
      </w:r>
      <w:r w:rsidR="00C22269" w:rsidRPr="000508B6">
        <w:rPr>
          <w:rFonts w:ascii="Times New Roman" w:hAnsi="Times New Roman" w:cs="Times New Roman"/>
          <w:lang w:val="ro-MD"/>
        </w:rPr>
        <w:t xml:space="preserve"> menționate, în care este inclus și </w:t>
      </w:r>
      <w:r w:rsidR="0092567B" w:rsidRPr="000508B6">
        <w:rPr>
          <w:rFonts w:ascii="Times New Roman" w:hAnsi="Times New Roman" w:cs="Times New Roman"/>
          <w:lang w:val="ro-MD"/>
        </w:rPr>
        <w:t xml:space="preserve">asigurătorul </w:t>
      </w:r>
      <w:r w:rsidR="008D0006" w:rsidRPr="000508B6">
        <w:rPr>
          <w:rFonts w:ascii="Times New Roman" w:hAnsi="Times New Roman" w:cs="Times New Roman"/>
          <w:lang w:val="ro-MD"/>
        </w:rPr>
        <w:t xml:space="preserve">sau </w:t>
      </w:r>
      <w:proofErr w:type="spellStart"/>
      <w:r w:rsidR="0092567B" w:rsidRPr="000508B6">
        <w:rPr>
          <w:rFonts w:ascii="Times New Roman" w:hAnsi="Times New Roman" w:cs="Times New Roman"/>
          <w:lang w:val="ro-MD"/>
        </w:rPr>
        <w:t>reasigurătorul</w:t>
      </w:r>
      <w:proofErr w:type="spellEnd"/>
      <w:r w:rsidR="008D0006" w:rsidRPr="000508B6">
        <w:rPr>
          <w:rFonts w:ascii="Times New Roman" w:hAnsi="Times New Roman" w:cs="Times New Roman"/>
          <w:lang w:val="ro-MD"/>
        </w:rPr>
        <w:t>.</w:t>
      </w:r>
    </w:p>
    <w:p w14:paraId="3DB3A6EE" w14:textId="02690B28" w:rsidR="00003C58" w:rsidRPr="000508B6" w:rsidRDefault="008D0006" w:rsidP="003A7305">
      <w:pPr>
        <w:pStyle w:val="Listparagraf"/>
        <w:numPr>
          <w:ilvl w:val="2"/>
          <w:numId w:val="30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w:t>
      </w:r>
      <w:r w:rsidR="00C22269" w:rsidRPr="000508B6">
        <w:rPr>
          <w:rFonts w:ascii="Times New Roman" w:hAnsi="Times New Roman" w:cs="Times New Roman"/>
          <w:lang w:val="ro-MD"/>
        </w:rPr>
        <w:t xml:space="preserve"> consideră că se înregistrează un nivel adecvat al managementului integrat, al managementul riscului și al controlului intern privind entitățile care fac obiectul supravegherii la nivel de grup conform lit. a) pct. (i) sau care fac obiectul supravegherii suplimentare conform lit. a) pct. (ii);</w:t>
      </w:r>
    </w:p>
    <w:p w14:paraId="1B8AE663" w14:textId="2CBF29FB" w:rsidR="00C22269" w:rsidRPr="000508B6" w:rsidRDefault="00C22269" w:rsidP="00634201">
      <w:pPr>
        <w:pStyle w:val="Listparagraf"/>
        <w:numPr>
          <w:ilvl w:val="2"/>
          <w:numId w:val="30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participația în </w:t>
      </w:r>
      <w:r w:rsidR="00AF58D6" w:rsidRPr="000508B6">
        <w:rPr>
          <w:rFonts w:ascii="Times New Roman" w:hAnsi="Times New Roman" w:cs="Times New Roman"/>
          <w:lang w:val="ro-MD"/>
        </w:rPr>
        <w:t>instituția financiară</w:t>
      </w:r>
      <w:r w:rsidRPr="000508B6">
        <w:rPr>
          <w:rFonts w:ascii="Times New Roman" w:hAnsi="Times New Roman" w:cs="Times New Roman"/>
          <w:lang w:val="ro-MD"/>
        </w:rPr>
        <w:t xml:space="preserve"> sau </w:t>
      </w:r>
      <w:r w:rsidR="00BF60B2" w:rsidRPr="000508B6">
        <w:rPr>
          <w:rFonts w:ascii="Times New Roman" w:hAnsi="Times New Roman" w:cs="Times New Roman"/>
          <w:lang w:val="ro-MD"/>
        </w:rPr>
        <w:t>instituția</w:t>
      </w:r>
      <w:r w:rsidRPr="000508B6">
        <w:rPr>
          <w:rFonts w:ascii="Times New Roman" w:hAnsi="Times New Roman" w:cs="Times New Roman"/>
          <w:lang w:val="ro-MD"/>
        </w:rPr>
        <w:t xml:space="preserve"> de credit este o investiție în acțiuni de natură strategică, conform dispozițiilor din actele </w:t>
      </w:r>
      <w:r w:rsidR="00A374F8" w:rsidRPr="000508B6">
        <w:rPr>
          <w:rFonts w:ascii="Times New Roman" w:hAnsi="Times New Roman" w:cs="Times New Roman"/>
          <w:lang w:val="ro-MD"/>
        </w:rPr>
        <w:t xml:space="preserve">normative </w:t>
      </w:r>
      <w:r w:rsidR="008D0006" w:rsidRPr="000508B6">
        <w:rPr>
          <w:rFonts w:ascii="Times New Roman" w:hAnsi="Times New Roman" w:cs="Times New Roman"/>
          <w:lang w:val="ro-MD"/>
        </w:rPr>
        <w:t>aprobate în acest sens.</w:t>
      </w:r>
    </w:p>
    <w:p w14:paraId="6590C1F6" w14:textId="0C0138B2" w:rsidR="00C22269" w:rsidRPr="000508B6" w:rsidRDefault="00C22269" w:rsidP="003A7305">
      <w:pPr>
        <w:pStyle w:val="Listparagraf"/>
        <w:numPr>
          <w:ilvl w:val="0"/>
          <w:numId w:val="44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Participațiile deținute în </w:t>
      </w:r>
      <w:r w:rsidR="00AF58D6" w:rsidRPr="000508B6">
        <w:rPr>
          <w:rFonts w:ascii="Times New Roman" w:hAnsi="Times New Roman" w:cs="Times New Roman"/>
          <w:lang w:val="ro-MD"/>
        </w:rPr>
        <w:t>instituție financiară</w:t>
      </w:r>
      <w:r w:rsidRPr="000508B6">
        <w:rPr>
          <w:rFonts w:ascii="Times New Roman" w:hAnsi="Times New Roman" w:cs="Times New Roman"/>
          <w:lang w:val="ro-MD"/>
        </w:rPr>
        <w:t xml:space="preserve"> și </w:t>
      </w:r>
      <w:r w:rsidR="00BF60B2" w:rsidRPr="000508B6">
        <w:rPr>
          <w:rFonts w:ascii="Times New Roman" w:hAnsi="Times New Roman" w:cs="Times New Roman"/>
          <w:lang w:val="ro-MD"/>
        </w:rPr>
        <w:t xml:space="preserve">instituțiile </w:t>
      </w:r>
      <w:r w:rsidRPr="000508B6">
        <w:rPr>
          <w:rFonts w:ascii="Times New Roman" w:hAnsi="Times New Roman" w:cs="Times New Roman"/>
          <w:lang w:val="ro-MD"/>
        </w:rPr>
        <w:t>de credit prevăzute la alin. (2) cuprind următoarele elemente:</w:t>
      </w:r>
    </w:p>
    <w:p w14:paraId="043C71C5" w14:textId="74DF3464" w:rsidR="00C22269" w:rsidRPr="000508B6" w:rsidRDefault="00D42919" w:rsidP="00352D8D">
      <w:pPr>
        <w:pStyle w:val="Listparagraf"/>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a) </w:t>
      </w:r>
      <w:r w:rsidR="00C22269" w:rsidRPr="000508B6">
        <w:rPr>
          <w:rFonts w:ascii="Times New Roman" w:hAnsi="Times New Roman" w:cs="Times New Roman"/>
          <w:lang w:val="ro-MD"/>
        </w:rPr>
        <w:t xml:space="preserve">participații pe care </w:t>
      </w:r>
      <w:r w:rsidR="00034C44" w:rsidRPr="000508B6">
        <w:rPr>
          <w:rFonts w:ascii="Times New Roman" w:hAnsi="Times New Roman" w:cs="Times New Roman"/>
          <w:lang w:val="ro-MD"/>
        </w:rPr>
        <w:t xml:space="preserve">asigurătorii sau </w:t>
      </w:r>
      <w:proofErr w:type="spellStart"/>
      <w:r w:rsidR="00034C44" w:rsidRPr="000508B6">
        <w:rPr>
          <w:rFonts w:ascii="Times New Roman" w:hAnsi="Times New Roman" w:cs="Times New Roman"/>
          <w:lang w:val="ro-MD"/>
        </w:rPr>
        <w:t>reasigurătorii</w:t>
      </w:r>
      <w:proofErr w:type="spellEnd"/>
      <w:r w:rsidR="00C22269" w:rsidRPr="000508B6">
        <w:rPr>
          <w:rFonts w:ascii="Times New Roman" w:hAnsi="Times New Roman" w:cs="Times New Roman"/>
          <w:lang w:val="ro-MD"/>
        </w:rPr>
        <w:t xml:space="preserve"> le dețin în:</w:t>
      </w:r>
    </w:p>
    <w:p w14:paraId="49C5B284" w14:textId="2F9190D7" w:rsidR="00C22269" w:rsidRPr="000508B6" w:rsidRDefault="00AF58D6" w:rsidP="003A7305">
      <w:pPr>
        <w:pStyle w:val="Listparagraf"/>
        <w:numPr>
          <w:ilvl w:val="3"/>
          <w:numId w:val="14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instituțiile financiare</w:t>
      </w:r>
      <w:r w:rsidR="00C22269" w:rsidRPr="000508B6">
        <w:rPr>
          <w:rFonts w:ascii="Times New Roman" w:hAnsi="Times New Roman" w:cs="Times New Roman"/>
          <w:lang w:val="ro-MD"/>
        </w:rPr>
        <w:t xml:space="preserve"> </w:t>
      </w:r>
      <w:r w:rsidR="009D2D78" w:rsidRPr="000508B6">
        <w:rPr>
          <w:rFonts w:ascii="Times New Roman" w:hAnsi="Times New Roman" w:cs="Times New Roman"/>
          <w:lang w:val="ro-MD"/>
        </w:rPr>
        <w:t>și instituți</w:t>
      </w:r>
      <w:r w:rsidR="00EE2DF7" w:rsidRPr="000508B6">
        <w:rPr>
          <w:rFonts w:ascii="Times New Roman" w:hAnsi="Times New Roman" w:cs="Times New Roman"/>
          <w:lang w:val="ro-MD"/>
        </w:rPr>
        <w:t>il</w:t>
      </w:r>
      <w:r w:rsidR="009D2D78" w:rsidRPr="000508B6">
        <w:rPr>
          <w:rFonts w:ascii="Times New Roman" w:hAnsi="Times New Roman" w:cs="Times New Roman"/>
          <w:lang w:val="ro-MD"/>
        </w:rPr>
        <w:t>e</w:t>
      </w:r>
      <w:r w:rsidR="00C22269" w:rsidRPr="000508B6">
        <w:rPr>
          <w:rFonts w:ascii="Times New Roman" w:hAnsi="Times New Roman" w:cs="Times New Roman"/>
          <w:lang w:val="ro-MD"/>
        </w:rPr>
        <w:t xml:space="preserve"> de credit prevăzute la art. </w:t>
      </w:r>
      <w:r w:rsidR="00B24EDB" w:rsidRPr="000508B6">
        <w:rPr>
          <w:rFonts w:ascii="Times New Roman" w:hAnsi="Times New Roman" w:cs="Times New Roman"/>
          <w:lang w:val="ro-MD"/>
        </w:rPr>
        <w:t>3</w:t>
      </w:r>
      <w:r w:rsidR="00C22269" w:rsidRPr="000508B6">
        <w:rPr>
          <w:rFonts w:ascii="Times New Roman" w:hAnsi="Times New Roman" w:cs="Times New Roman"/>
          <w:lang w:val="ro-MD"/>
        </w:rPr>
        <w:t xml:space="preserve"> </w:t>
      </w:r>
      <w:r w:rsidR="00B24EDB" w:rsidRPr="000508B6">
        <w:rPr>
          <w:rFonts w:ascii="Times New Roman" w:hAnsi="Times New Roman" w:cs="Times New Roman"/>
          <w:lang w:val="ro-MD"/>
        </w:rPr>
        <w:t xml:space="preserve">din </w:t>
      </w:r>
      <w:r w:rsidR="009D2D78" w:rsidRPr="000508B6">
        <w:rPr>
          <w:rFonts w:ascii="Times New Roman" w:hAnsi="Times New Roman" w:cs="Times New Roman"/>
          <w:lang w:val="ro-MD"/>
        </w:rPr>
        <w:t>L</w:t>
      </w:r>
      <w:r w:rsidR="00B24EDB" w:rsidRPr="000508B6">
        <w:rPr>
          <w:rFonts w:ascii="Times New Roman" w:hAnsi="Times New Roman" w:cs="Times New Roman"/>
          <w:lang w:val="ro-MD"/>
        </w:rPr>
        <w:t>egea nr. 202/2017</w:t>
      </w:r>
      <w:r w:rsidR="00C22269" w:rsidRPr="000508B6">
        <w:rPr>
          <w:rFonts w:ascii="Times New Roman" w:hAnsi="Times New Roman" w:cs="Times New Roman"/>
          <w:lang w:val="ro-MD"/>
        </w:rPr>
        <w:t>;</w:t>
      </w:r>
    </w:p>
    <w:p w14:paraId="43E8C424" w14:textId="129D8E47" w:rsidR="00C22269" w:rsidRPr="000508B6" w:rsidRDefault="009D2D78" w:rsidP="003A7305">
      <w:pPr>
        <w:pStyle w:val="Listparagraf"/>
        <w:numPr>
          <w:ilvl w:val="3"/>
          <w:numId w:val="14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societăți</w:t>
      </w:r>
      <w:r w:rsidR="00C22269" w:rsidRPr="000508B6">
        <w:rPr>
          <w:rFonts w:ascii="Times New Roman" w:hAnsi="Times New Roman" w:cs="Times New Roman"/>
          <w:lang w:val="ro-MD"/>
        </w:rPr>
        <w:t xml:space="preserve"> de investiții în înțelesul art. </w:t>
      </w:r>
      <w:r w:rsidRPr="000508B6">
        <w:rPr>
          <w:rFonts w:ascii="Times New Roman" w:hAnsi="Times New Roman" w:cs="Times New Roman"/>
          <w:lang w:val="ro-MD"/>
        </w:rPr>
        <w:t>6</w:t>
      </w:r>
      <w:r w:rsidR="00C22269" w:rsidRPr="000508B6">
        <w:rPr>
          <w:rFonts w:ascii="Times New Roman" w:hAnsi="Times New Roman" w:cs="Times New Roman"/>
          <w:lang w:val="ro-MD"/>
        </w:rPr>
        <w:t xml:space="preserve"> din Legea nr. </w:t>
      </w:r>
      <w:r w:rsidRPr="000508B6">
        <w:rPr>
          <w:rFonts w:ascii="Times New Roman" w:hAnsi="Times New Roman" w:cs="Times New Roman"/>
          <w:lang w:val="ro-MD"/>
        </w:rPr>
        <w:t>171</w:t>
      </w:r>
      <w:r w:rsidR="00C22269" w:rsidRPr="000508B6">
        <w:rPr>
          <w:rFonts w:ascii="Times New Roman" w:hAnsi="Times New Roman" w:cs="Times New Roman"/>
          <w:lang w:val="ro-MD"/>
        </w:rPr>
        <w:t>/201</w:t>
      </w:r>
      <w:r w:rsidRPr="000508B6">
        <w:rPr>
          <w:rFonts w:ascii="Times New Roman" w:hAnsi="Times New Roman" w:cs="Times New Roman"/>
          <w:lang w:val="ro-MD"/>
        </w:rPr>
        <w:t>2</w:t>
      </w:r>
      <w:r w:rsidR="00C22269" w:rsidRPr="000508B6">
        <w:rPr>
          <w:rFonts w:ascii="Times New Roman" w:hAnsi="Times New Roman" w:cs="Times New Roman"/>
          <w:lang w:val="ro-MD"/>
        </w:rPr>
        <w:t>;</w:t>
      </w:r>
    </w:p>
    <w:p w14:paraId="767E19CB" w14:textId="27C2639E" w:rsidR="00FA783E" w:rsidRPr="000508B6" w:rsidRDefault="00D42919" w:rsidP="00352D8D">
      <w:pPr>
        <w:pStyle w:val="Listparagraf"/>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w:t>
      </w:r>
      <w:r w:rsidR="00FA783E" w:rsidRPr="000508B6">
        <w:rPr>
          <w:rFonts w:ascii="Times New Roman" w:hAnsi="Times New Roman" w:cs="Times New Roman"/>
          <w:lang w:val="ro-MD"/>
        </w:rPr>
        <w:t xml:space="preserve">instrumente de fonduri proprii pe care </w:t>
      </w:r>
      <w:r w:rsidR="0092567B" w:rsidRPr="000508B6">
        <w:rPr>
          <w:rFonts w:ascii="Times New Roman" w:hAnsi="Times New Roman" w:cs="Times New Roman"/>
          <w:lang w:val="ro-MD"/>
        </w:rPr>
        <w:t xml:space="preserve">asigurătorul </w:t>
      </w:r>
      <w:r w:rsidR="00BF60B2" w:rsidRPr="000508B6">
        <w:rPr>
          <w:rFonts w:ascii="Times New Roman" w:hAnsi="Times New Roman" w:cs="Times New Roman"/>
          <w:lang w:val="ro-MD"/>
        </w:rPr>
        <w:t xml:space="preserve">sau </w:t>
      </w:r>
      <w:proofErr w:type="spellStart"/>
      <w:r w:rsidR="0092567B" w:rsidRPr="000508B6">
        <w:rPr>
          <w:rFonts w:ascii="Times New Roman" w:hAnsi="Times New Roman" w:cs="Times New Roman"/>
          <w:lang w:val="ro-MD"/>
        </w:rPr>
        <w:t>reasigurătorul</w:t>
      </w:r>
      <w:proofErr w:type="spellEnd"/>
      <w:r w:rsidR="0092567B" w:rsidRPr="000508B6">
        <w:rPr>
          <w:rFonts w:ascii="Times New Roman" w:hAnsi="Times New Roman" w:cs="Times New Roman"/>
          <w:lang w:val="ro-MD"/>
        </w:rPr>
        <w:t xml:space="preserve"> </w:t>
      </w:r>
      <w:r w:rsidR="00FA783E" w:rsidRPr="000508B6">
        <w:rPr>
          <w:rFonts w:ascii="Times New Roman" w:hAnsi="Times New Roman" w:cs="Times New Roman"/>
          <w:lang w:val="ro-MD"/>
        </w:rPr>
        <w:t>le dețin</w:t>
      </w:r>
      <w:r w:rsidR="00BF60B2" w:rsidRPr="000508B6">
        <w:rPr>
          <w:rFonts w:ascii="Times New Roman" w:hAnsi="Times New Roman" w:cs="Times New Roman"/>
          <w:lang w:val="ro-MD"/>
        </w:rPr>
        <w:t>e</w:t>
      </w:r>
      <w:r w:rsidR="00FA783E" w:rsidRPr="000508B6">
        <w:rPr>
          <w:rFonts w:ascii="Times New Roman" w:hAnsi="Times New Roman" w:cs="Times New Roman"/>
          <w:lang w:val="ro-MD"/>
        </w:rPr>
        <w:t xml:space="preserve"> în legătură cu entitățile menționate la lit. a) în capitalul cărora dețin o participație și care sunt:</w:t>
      </w:r>
    </w:p>
    <w:p w14:paraId="02A1464D" w14:textId="64CC7408" w:rsidR="00FA783E" w:rsidRPr="000508B6" w:rsidRDefault="00FA783E" w:rsidP="00352D8D">
      <w:pPr>
        <w:pStyle w:val="Listparagraf"/>
        <w:numPr>
          <w:ilvl w:val="3"/>
          <w:numId w:val="108"/>
        </w:numPr>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instrumente de fonduri proprii de nivel 1 suplimentar prevăzute </w:t>
      </w:r>
      <w:r w:rsidR="00BF60B2" w:rsidRPr="000508B6">
        <w:rPr>
          <w:rFonts w:ascii="Times New Roman" w:hAnsi="Times New Roman" w:cs="Times New Roman"/>
          <w:lang w:val="ro-MD"/>
        </w:rPr>
        <w:t>pentru</w:t>
      </w:r>
      <w:r w:rsidRPr="000508B6">
        <w:rPr>
          <w:rFonts w:ascii="Times New Roman" w:hAnsi="Times New Roman" w:cs="Times New Roman"/>
          <w:lang w:val="ro-MD"/>
        </w:rPr>
        <w:t xml:space="preserve"> </w:t>
      </w:r>
      <w:r w:rsidR="00BF60B2" w:rsidRPr="000508B6">
        <w:rPr>
          <w:rFonts w:ascii="Times New Roman" w:hAnsi="Times New Roman" w:cs="Times New Roman"/>
          <w:lang w:val="ro-MD"/>
        </w:rPr>
        <w:t>instituțiile de credit</w:t>
      </w:r>
      <w:r w:rsidRPr="000508B6">
        <w:rPr>
          <w:rFonts w:ascii="Times New Roman" w:hAnsi="Times New Roman" w:cs="Times New Roman"/>
          <w:lang w:val="ro-MD"/>
        </w:rPr>
        <w:t>;</w:t>
      </w:r>
    </w:p>
    <w:p w14:paraId="39260191" w14:textId="1E58D959" w:rsidR="00FA783E" w:rsidRPr="000508B6" w:rsidRDefault="00FA783E" w:rsidP="00352D8D">
      <w:pPr>
        <w:pStyle w:val="Listparagraf"/>
        <w:numPr>
          <w:ilvl w:val="3"/>
          <w:numId w:val="108"/>
        </w:numPr>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instrumente de fonduri proprii de nivel 2 prevăzute </w:t>
      </w:r>
      <w:r w:rsidR="00BF60B2" w:rsidRPr="000508B6">
        <w:rPr>
          <w:rFonts w:ascii="Times New Roman" w:hAnsi="Times New Roman" w:cs="Times New Roman"/>
          <w:lang w:val="ro-MD"/>
        </w:rPr>
        <w:t>pentru instituțiile de credit</w:t>
      </w:r>
      <w:r w:rsidRPr="000508B6">
        <w:rPr>
          <w:rFonts w:ascii="Times New Roman" w:hAnsi="Times New Roman" w:cs="Times New Roman"/>
          <w:lang w:val="ro-MD"/>
        </w:rPr>
        <w:t xml:space="preserve">;    </w:t>
      </w:r>
    </w:p>
    <w:p w14:paraId="1D66D520" w14:textId="72CE2827" w:rsidR="00FA783E" w:rsidRPr="000508B6" w:rsidRDefault="00FA783E" w:rsidP="00352D8D">
      <w:pPr>
        <w:pStyle w:val="Listparagraf"/>
        <w:numPr>
          <w:ilvl w:val="3"/>
          <w:numId w:val="108"/>
        </w:numPr>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instrumente de fonduri proprii de nivel 1 suplimentar și instrumente de fonduri proprii de nivel 2 </w:t>
      </w:r>
      <w:r w:rsidR="00BF60B2" w:rsidRPr="000508B6">
        <w:rPr>
          <w:rFonts w:ascii="Times New Roman" w:hAnsi="Times New Roman" w:cs="Times New Roman"/>
          <w:lang w:val="ro-MD"/>
        </w:rPr>
        <w:t>prevăzute pentru societățile</w:t>
      </w:r>
      <w:r w:rsidRPr="000508B6">
        <w:rPr>
          <w:rFonts w:ascii="Times New Roman" w:hAnsi="Times New Roman" w:cs="Times New Roman"/>
          <w:lang w:val="ro-MD"/>
        </w:rPr>
        <w:t xml:space="preserve"> de investiții.</w:t>
      </w:r>
    </w:p>
    <w:p w14:paraId="3139E518" w14:textId="77777777" w:rsidR="00FA783E" w:rsidRPr="000508B6" w:rsidRDefault="00FA783E" w:rsidP="00FA783E">
      <w:pPr>
        <w:pStyle w:val="Listparagraf"/>
        <w:spacing w:after="0" w:line="240" w:lineRule="auto"/>
        <w:ind w:left="1146"/>
        <w:jc w:val="both"/>
        <w:rPr>
          <w:rFonts w:ascii="Times New Roman" w:hAnsi="Times New Roman" w:cs="Times New Roman"/>
          <w:lang w:val="ro-MD"/>
        </w:rPr>
      </w:pPr>
    </w:p>
    <w:p w14:paraId="239DD327" w14:textId="6B55A90A" w:rsidR="001255A5" w:rsidRPr="000508B6" w:rsidRDefault="00F95829" w:rsidP="00DE4225">
      <w:pPr>
        <w:pStyle w:val="Listparagraf"/>
        <w:spacing w:after="0" w:line="240" w:lineRule="auto"/>
        <w:ind w:left="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56</w:t>
      </w:r>
      <w:r w:rsidR="006749A4" w:rsidRPr="000508B6">
        <w:rPr>
          <w:rFonts w:ascii="Times New Roman" w:hAnsi="Times New Roman" w:cs="Times New Roman"/>
          <w:b/>
          <w:lang w:val="ro-MD"/>
        </w:rPr>
        <w:t>.</w:t>
      </w:r>
      <w:r w:rsidR="00140284" w:rsidRPr="000508B6">
        <w:rPr>
          <w:rFonts w:ascii="Times New Roman" w:hAnsi="Times New Roman" w:cs="Times New Roman"/>
          <w:b/>
          <w:lang w:val="ro-MD"/>
        </w:rPr>
        <w:t xml:space="preserve"> </w:t>
      </w:r>
      <w:r w:rsidRPr="000508B6">
        <w:rPr>
          <w:rFonts w:ascii="Times New Roman" w:hAnsi="Times New Roman" w:cs="Times New Roman"/>
          <w:lang w:val="ro-MD"/>
        </w:rPr>
        <w:t>Fondurile proprii auxiliare</w:t>
      </w:r>
      <w:r w:rsidR="001255A5" w:rsidRPr="000508B6">
        <w:rPr>
          <w:rFonts w:ascii="Times New Roman" w:hAnsi="Times New Roman" w:cs="Times New Roman"/>
          <w:lang w:val="ro-MD"/>
        </w:rPr>
        <w:t xml:space="preserve"> </w:t>
      </w:r>
    </w:p>
    <w:p w14:paraId="0C23A22D" w14:textId="027A9BE3" w:rsidR="00871D0A" w:rsidRPr="000508B6" w:rsidRDefault="00871D0A" w:rsidP="00CF5AFA">
      <w:pPr>
        <w:pStyle w:val="Listparagraf"/>
        <w:numPr>
          <w:ilvl w:val="0"/>
          <w:numId w:val="24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Fondurile proprii auxiliare sunt formate din elemente diferite de fondurile proprii de bază, care pot fi apelate pentru a absorbi pierderile</w:t>
      </w:r>
      <w:r w:rsidR="002777BC" w:rsidRPr="000508B6">
        <w:rPr>
          <w:rFonts w:ascii="Times New Roman" w:hAnsi="Times New Roman" w:cs="Times New Roman"/>
          <w:lang w:val="ro-MD"/>
        </w:rPr>
        <w:t>.</w:t>
      </w:r>
      <w:r w:rsidR="005A7B79" w:rsidRPr="000508B6">
        <w:rPr>
          <w:rFonts w:ascii="Times New Roman" w:hAnsi="Times New Roman" w:cs="Times New Roman"/>
          <w:lang w:val="ro-MD"/>
        </w:rPr>
        <w:t xml:space="preserve"> </w:t>
      </w:r>
    </w:p>
    <w:p w14:paraId="57C1C7C8" w14:textId="7E9BB649" w:rsidR="008249E9" w:rsidRPr="000508B6" w:rsidRDefault="008249E9" w:rsidP="00CF5AFA">
      <w:pPr>
        <w:pStyle w:val="Listparagraf"/>
        <w:numPr>
          <w:ilvl w:val="0"/>
          <w:numId w:val="24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Fondurile proprii auxiliare pot cuprinde următoarele  elemente, în măsura în care acestea nu sunt elemente ale  fondurilor proprii de bază precum: </w:t>
      </w:r>
    </w:p>
    <w:p w14:paraId="401A2ECE" w14:textId="1191193F" w:rsidR="008249E9" w:rsidRPr="000508B6" w:rsidRDefault="008249E9" w:rsidP="00DE4225">
      <w:pPr>
        <w:pStyle w:val="Listparagraf"/>
        <w:tabs>
          <w:tab w:val="left" w:pos="426"/>
        </w:tabs>
        <w:spacing w:after="0" w:line="240" w:lineRule="auto"/>
        <w:ind w:left="284" w:firstLine="142"/>
        <w:jc w:val="both"/>
        <w:rPr>
          <w:rFonts w:ascii="Times New Roman" w:hAnsi="Times New Roman" w:cs="Times New Roman"/>
          <w:lang w:val="ro-MD"/>
        </w:rPr>
      </w:pPr>
      <w:r w:rsidRPr="000508B6">
        <w:rPr>
          <w:rFonts w:ascii="Times New Roman" w:hAnsi="Times New Roman" w:cs="Times New Roman"/>
          <w:lang w:val="ro-MD"/>
        </w:rPr>
        <w:t>a)</w:t>
      </w:r>
      <w:r w:rsidRPr="000508B6">
        <w:rPr>
          <w:rFonts w:ascii="Times New Roman" w:hAnsi="Times New Roman" w:cs="Times New Roman"/>
          <w:lang w:val="ro-MD"/>
        </w:rPr>
        <w:tab/>
        <w:t xml:space="preserve">capitalul social sau fondul </w:t>
      </w:r>
      <w:proofErr w:type="spellStart"/>
      <w:r w:rsidRPr="000508B6">
        <w:rPr>
          <w:rFonts w:ascii="Times New Roman" w:hAnsi="Times New Roman" w:cs="Times New Roman"/>
          <w:lang w:val="ro-MD"/>
        </w:rPr>
        <w:t>iniţial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nevărsat</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neapelat; </w:t>
      </w:r>
    </w:p>
    <w:p w14:paraId="478264EF" w14:textId="77777777" w:rsidR="008249E9" w:rsidRPr="000508B6" w:rsidRDefault="008249E9" w:rsidP="00DE4225">
      <w:pPr>
        <w:pStyle w:val="Listparagraf"/>
        <w:tabs>
          <w:tab w:val="left" w:pos="426"/>
        </w:tabs>
        <w:spacing w:after="0" w:line="240" w:lineRule="auto"/>
        <w:ind w:left="284" w:firstLine="142"/>
        <w:jc w:val="both"/>
        <w:rPr>
          <w:rFonts w:ascii="Times New Roman" w:hAnsi="Times New Roman" w:cs="Times New Roman"/>
          <w:lang w:val="ro-MD"/>
        </w:rPr>
      </w:pPr>
      <w:r w:rsidRPr="000508B6">
        <w:rPr>
          <w:rFonts w:ascii="Times New Roman" w:hAnsi="Times New Roman" w:cs="Times New Roman"/>
          <w:lang w:val="ro-MD"/>
        </w:rPr>
        <w:t>b)</w:t>
      </w:r>
      <w:r w:rsidRPr="000508B6">
        <w:rPr>
          <w:rFonts w:ascii="Times New Roman" w:hAnsi="Times New Roman" w:cs="Times New Roman"/>
          <w:lang w:val="ro-MD"/>
        </w:rPr>
        <w:tab/>
        <w:t xml:space="preserve">acreditive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garanţii</w:t>
      </w:r>
      <w:proofErr w:type="spellEnd"/>
      <w:r w:rsidRPr="000508B6">
        <w:rPr>
          <w:rFonts w:ascii="Times New Roman" w:hAnsi="Times New Roman" w:cs="Times New Roman"/>
          <w:lang w:val="ro-MD"/>
        </w:rPr>
        <w:t xml:space="preserve">; </w:t>
      </w:r>
    </w:p>
    <w:p w14:paraId="70670554" w14:textId="478D543B" w:rsidR="008249E9" w:rsidRPr="000508B6" w:rsidRDefault="008249E9" w:rsidP="00DE4225">
      <w:pPr>
        <w:pStyle w:val="Listparagraf"/>
        <w:tabs>
          <w:tab w:val="left" w:pos="426"/>
        </w:tabs>
        <w:spacing w:after="0" w:line="240" w:lineRule="auto"/>
        <w:ind w:left="284" w:firstLine="142"/>
        <w:jc w:val="both"/>
        <w:rPr>
          <w:rFonts w:ascii="Times New Roman" w:hAnsi="Times New Roman" w:cs="Times New Roman"/>
          <w:lang w:val="ro-MD"/>
        </w:rPr>
      </w:pPr>
      <w:r w:rsidRPr="000508B6">
        <w:rPr>
          <w:rFonts w:ascii="Times New Roman" w:hAnsi="Times New Roman" w:cs="Times New Roman"/>
          <w:lang w:val="ro-MD"/>
        </w:rPr>
        <w:t>c)</w:t>
      </w:r>
      <w:r w:rsidRPr="000508B6">
        <w:rPr>
          <w:rFonts w:ascii="Times New Roman" w:hAnsi="Times New Roman" w:cs="Times New Roman"/>
          <w:lang w:val="ro-MD"/>
        </w:rPr>
        <w:tab/>
        <w:t xml:space="preserve">alte angajamente obligatorii din punct de vedere juridic primite de </w:t>
      </w:r>
      <w:r w:rsidR="000B629A" w:rsidRPr="000508B6">
        <w:rPr>
          <w:rFonts w:ascii="Times New Roman" w:hAnsi="Times New Roman" w:cs="Times New Roman"/>
          <w:lang w:val="ro-MD"/>
        </w:rPr>
        <w:t xml:space="preserve">asigurător sau </w:t>
      </w:r>
      <w:proofErr w:type="spellStart"/>
      <w:r w:rsidR="000B629A"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p>
    <w:p w14:paraId="2EBB7228" w14:textId="09FEB9D3" w:rsidR="008249E9" w:rsidRPr="000508B6" w:rsidRDefault="008249E9" w:rsidP="00CF5AFA">
      <w:pPr>
        <w:pStyle w:val="Listparagraf"/>
        <w:numPr>
          <w:ilvl w:val="0"/>
          <w:numId w:val="24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După vărsarea sau apelarea unui element al fondurilor proprii auxiliare, acesta este tratat ca un element de activ și încetează să mai facă parte din fondurile proprii auxiliare.</w:t>
      </w:r>
    </w:p>
    <w:p w14:paraId="7A3DE457" w14:textId="77777777" w:rsidR="00D45E68" w:rsidRPr="000508B6" w:rsidRDefault="00D45E68" w:rsidP="008B530F">
      <w:pPr>
        <w:spacing w:after="0" w:line="240" w:lineRule="auto"/>
        <w:ind w:firstLine="426"/>
        <w:jc w:val="both"/>
        <w:rPr>
          <w:rFonts w:ascii="Times New Roman" w:hAnsi="Times New Roman" w:cs="Times New Roman"/>
          <w:b/>
          <w:lang w:val="ro-MD"/>
        </w:rPr>
      </w:pPr>
    </w:p>
    <w:p w14:paraId="3B9666A7" w14:textId="54FB5CA2"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7C4341" w:rsidRPr="000508B6" w:rsidDel="003C51C6">
        <w:rPr>
          <w:rFonts w:ascii="Times New Roman" w:hAnsi="Times New Roman" w:cs="Times New Roman"/>
          <w:b/>
          <w:lang w:val="ro-MD"/>
        </w:rPr>
        <w:t xml:space="preserve"> </w:t>
      </w:r>
      <w:r w:rsidR="00C8492A" w:rsidRPr="000508B6">
        <w:rPr>
          <w:rFonts w:ascii="Times New Roman" w:hAnsi="Times New Roman" w:cs="Times New Roman"/>
          <w:b/>
          <w:lang w:val="ro-MD"/>
        </w:rPr>
        <w:t>57</w:t>
      </w:r>
      <w:r w:rsidR="005B6A15" w:rsidRPr="000508B6">
        <w:rPr>
          <w:rFonts w:ascii="Times New Roman" w:hAnsi="Times New Roman" w:cs="Times New Roman"/>
          <w:b/>
          <w:lang w:val="ro-MD"/>
        </w:rPr>
        <w:t>.</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Aprobarea fondurilor proprii auxiliare </w:t>
      </w:r>
    </w:p>
    <w:p w14:paraId="13ECE12C" w14:textId="56D9CBE6" w:rsidR="00F95829" w:rsidRPr="000508B6" w:rsidRDefault="0033081C" w:rsidP="00240E48">
      <w:pPr>
        <w:pStyle w:val="Listparagraf"/>
        <w:numPr>
          <w:ilvl w:val="1"/>
          <w:numId w:val="1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7744D8" w:rsidRPr="000508B6">
        <w:rPr>
          <w:rFonts w:ascii="Times New Roman" w:hAnsi="Times New Roman" w:cs="Times New Roman"/>
          <w:lang w:val="ro-MD"/>
        </w:rPr>
        <w:t xml:space="preserve">solicită aprobarea de către Banca Națională a Moldovei pentru </w:t>
      </w:r>
      <w:r w:rsidR="00F637E8" w:rsidRPr="000508B6">
        <w:rPr>
          <w:rFonts w:ascii="Times New Roman" w:hAnsi="Times New Roman" w:cs="Times New Roman"/>
          <w:lang w:val="ro-MD"/>
        </w:rPr>
        <w:t>valoarea</w:t>
      </w:r>
      <w:r w:rsidR="007744D8" w:rsidRPr="000508B6">
        <w:rPr>
          <w:rFonts w:ascii="Times New Roman" w:hAnsi="Times New Roman" w:cs="Times New Roman"/>
          <w:lang w:val="ro-MD"/>
        </w:rPr>
        <w:t xml:space="preserve"> </w:t>
      </w:r>
      <w:r w:rsidR="000B3D31" w:rsidRPr="000508B6">
        <w:rPr>
          <w:rFonts w:ascii="Times New Roman" w:hAnsi="Times New Roman" w:cs="Times New Roman"/>
          <w:lang w:val="ro-MD"/>
        </w:rPr>
        <w:t>elementelor fondurilor proprii auxiliare care trebuie luate în considerare la determinarea fondurilor proprii</w:t>
      </w:r>
      <w:r w:rsidR="007744D8" w:rsidRPr="000508B6">
        <w:rPr>
          <w:rFonts w:ascii="Times New Roman" w:hAnsi="Times New Roman" w:cs="Times New Roman"/>
          <w:lang w:val="ro-MD"/>
        </w:rPr>
        <w:t>.</w:t>
      </w:r>
    </w:p>
    <w:p w14:paraId="018719EC" w14:textId="7D4B6DEE" w:rsidR="00F95829" w:rsidRPr="000508B6" w:rsidRDefault="00791EBF" w:rsidP="00DE4225">
      <w:pPr>
        <w:pStyle w:val="Listparagraf"/>
        <w:numPr>
          <w:ilvl w:val="1"/>
          <w:numId w:val="1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Valoarea atribuită fiecărui element al fondurilor proprii auxiliare reflectă capacitatea elementului de a absorbi pierderile și</w:t>
      </w:r>
      <w:r w:rsidRPr="000508B6" w:rsidDel="00791EBF">
        <w:rPr>
          <w:rFonts w:ascii="Times New Roman" w:hAnsi="Times New Roman" w:cs="Times New Roman"/>
          <w:lang w:val="ro-MD"/>
        </w:rPr>
        <w:t xml:space="preserve"> </w:t>
      </w:r>
      <w:r w:rsidR="00F95829" w:rsidRPr="000508B6">
        <w:rPr>
          <w:rFonts w:ascii="Times New Roman" w:hAnsi="Times New Roman" w:cs="Times New Roman"/>
          <w:lang w:val="ro-MD"/>
        </w:rPr>
        <w:t xml:space="preserve">se determină utilizând estimări prudente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realiste, iar dacă elementele au valoare nominală fixă, aceasta se ia în considerare numai în măsura în care reflectă adecvat capacitatea elementelor respective de a acoperi pierderile. </w:t>
      </w:r>
    </w:p>
    <w:p w14:paraId="36FA2A68" w14:textId="5E55FA5D" w:rsidR="00F95829" w:rsidRPr="000508B6" w:rsidRDefault="00F95829" w:rsidP="00DE4225">
      <w:pPr>
        <w:pStyle w:val="Listparagraf"/>
        <w:numPr>
          <w:ilvl w:val="1"/>
          <w:numId w:val="152"/>
        </w:numPr>
        <w:tabs>
          <w:tab w:val="left" w:pos="709"/>
          <w:tab w:val="left" w:pos="851"/>
        </w:tabs>
        <w:spacing w:after="0" w:line="240" w:lineRule="auto"/>
        <w:ind w:left="0" w:firstLine="426"/>
        <w:jc w:val="both"/>
        <w:rPr>
          <w:rFonts w:ascii="Times New Roman" w:hAnsi="Times New Roman" w:cs="Times New Roman"/>
          <w:iCs/>
          <w:lang w:val="ro-MD"/>
        </w:rPr>
      </w:pPr>
      <w:r w:rsidRPr="000508B6">
        <w:rPr>
          <w:rFonts w:ascii="Times New Roman" w:hAnsi="Times New Roman" w:cs="Times New Roman"/>
          <w:lang w:val="ro-MD"/>
        </w:rPr>
        <w:t>Banca Națională a Moldovei aprobă una dintre următoarele:</w:t>
      </w:r>
    </w:p>
    <w:p w14:paraId="3639B00D" w14:textId="25F5C00C" w:rsidR="00F95829" w:rsidRPr="000508B6" w:rsidRDefault="00F95829" w:rsidP="00DE4225">
      <w:pPr>
        <w:pStyle w:val="Listparagraf"/>
        <w:numPr>
          <w:ilvl w:val="2"/>
          <w:numId w:val="1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valoarea monetară a fiecărui element al fondurilor proprii auxiliare;</w:t>
      </w:r>
    </w:p>
    <w:p w14:paraId="5E23A09D" w14:textId="34827241" w:rsidR="00F95829" w:rsidRPr="000508B6" w:rsidRDefault="00F95829" w:rsidP="00DE4225">
      <w:pPr>
        <w:pStyle w:val="Listparagraf"/>
        <w:numPr>
          <w:ilvl w:val="2"/>
          <w:numId w:val="1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metoda de calcul a valorii fiecărui element al fondurilor proprii auxiliare, </w:t>
      </w:r>
      <w:r w:rsidR="00791EBF" w:rsidRPr="000508B6">
        <w:rPr>
          <w:rFonts w:ascii="Times New Roman" w:hAnsi="Times New Roman" w:cs="Times New Roman"/>
          <w:lang w:val="ro-MD"/>
        </w:rPr>
        <w:t xml:space="preserve">caz în care </w:t>
      </w:r>
      <w:r w:rsidR="00964D71" w:rsidRPr="000508B6">
        <w:rPr>
          <w:rFonts w:ascii="Times New Roman" w:hAnsi="Times New Roman" w:cs="Times New Roman"/>
          <w:lang w:val="ro-MD"/>
        </w:rPr>
        <w:t xml:space="preserve">Banca Națională a Moldovei </w:t>
      </w:r>
      <w:r w:rsidR="00791EBF" w:rsidRPr="000508B6">
        <w:rPr>
          <w:rFonts w:ascii="Times New Roman" w:hAnsi="Times New Roman" w:cs="Times New Roman"/>
          <w:lang w:val="ro-MD"/>
        </w:rPr>
        <w:t>aprobă valoarea astfel calculată pentru o perioadă determinată de timp</w:t>
      </w:r>
      <w:r w:rsidRPr="000508B6">
        <w:rPr>
          <w:rFonts w:ascii="Times New Roman" w:hAnsi="Times New Roman" w:cs="Times New Roman"/>
          <w:lang w:val="ro-MD"/>
        </w:rPr>
        <w:t xml:space="preserve">. </w:t>
      </w:r>
    </w:p>
    <w:p w14:paraId="17D5823A" w14:textId="3E32FF2B" w:rsidR="00F95829" w:rsidRPr="000508B6" w:rsidRDefault="007744D8" w:rsidP="00DE4225">
      <w:pPr>
        <w:pStyle w:val="Listparagraf"/>
        <w:numPr>
          <w:ilvl w:val="1"/>
          <w:numId w:val="152"/>
        </w:numPr>
        <w:tabs>
          <w:tab w:val="left" w:pos="709"/>
          <w:tab w:val="left" w:pos="851"/>
          <w:tab w:val="left" w:pos="993"/>
        </w:tabs>
        <w:spacing w:after="0" w:line="240" w:lineRule="auto"/>
        <w:ind w:left="0" w:firstLine="426"/>
        <w:jc w:val="both"/>
        <w:rPr>
          <w:rFonts w:ascii="Times New Roman" w:hAnsi="Times New Roman" w:cs="Times New Roman"/>
          <w:iCs/>
          <w:lang w:val="ro-MD"/>
        </w:rPr>
      </w:pPr>
      <w:r w:rsidRPr="000508B6">
        <w:rPr>
          <w:rFonts w:ascii="Times New Roman" w:hAnsi="Times New Roman" w:cs="Times New Roman"/>
          <w:lang w:val="ro-MD"/>
        </w:rPr>
        <w:t>Aprobarea</w:t>
      </w:r>
      <w:r w:rsidR="003F363B" w:rsidRPr="000508B6">
        <w:rPr>
          <w:rFonts w:ascii="Times New Roman" w:hAnsi="Times New Roman" w:cs="Times New Roman"/>
          <w:lang w:val="ro-MD"/>
        </w:rPr>
        <w:t xml:space="preserve"> Băncii Naționale a Moldovei, </w:t>
      </w:r>
      <w:proofErr w:type="spellStart"/>
      <w:r w:rsidR="00F95829" w:rsidRPr="000508B6">
        <w:rPr>
          <w:rFonts w:ascii="Times New Roman" w:hAnsi="Times New Roman" w:cs="Times New Roman"/>
          <w:lang w:val="ro-MD"/>
        </w:rPr>
        <w:t>menţionat</w:t>
      </w:r>
      <w:r w:rsidR="00EE2DF7" w:rsidRPr="000508B6">
        <w:rPr>
          <w:rFonts w:ascii="Times New Roman" w:hAnsi="Times New Roman" w:cs="Times New Roman"/>
          <w:lang w:val="ro-MD"/>
        </w:rPr>
        <w:t>ă</w:t>
      </w:r>
      <w:proofErr w:type="spellEnd"/>
      <w:r w:rsidR="00F95829" w:rsidRPr="000508B6">
        <w:rPr>
          <w:rFonts w:ascii="Times New Roman" w:hAnsi="Times New Roman" w:cs="Times New Roman"/>
          <w:lang w:val="ro-MD"/>
        </w:rPr>
        <w:t xml:space="preserve"> la alin. (3), </w:t>
      </w:r>
      <w:r w:rsidR="003F363B" w:rsidRPr="000508B6">
        <w:rPr>
          <w:rFonts w:ascii="Times New Roman" w:hAnsi="Times New Roman" w:cs="Times New Roman"/>
          <w:lang w:val="ro-MD"/>
        </w:rPr>
        <w:t>se bazează</w:t>
      </w:r>
      <w:r w:rsidR="00F95829" w:rsidRPr="000508B6">
        <w:rPr>
          <w:rFonts w:ascii="Times New Roman" w:hAnsi="Times New Roman" w:cs="Times New Roman"/>
          <w:lang w:val="ro-MD"/>
        </w:rPr>
        <w:t xml:space="preserve">, pentru fiecare element al fondurilor proprii auxiliare, </w:t>
      </w:r>
      <w:r w:rsidR="003F363B" w:rsidRPr="000508B6">
        <w:rPr>
          <w:rFonts w:ascii="Times New Roman" w:hAnsi="Times New Roman" w:cs="Times New Roman"/>
          <w:lang w:val="ro-MD"/>
        </w:rPr>
        <w:t>pe evaluarea următoarelor elemente</w:t>
      </w:r>
      <w:r w:rsidR="00F95829" w:rsidRPr="000508B6">
        <w:rPr>
          <w:rFonts w:ascii="Times New Roman" w:hAnsi="Times New Roman" w:cs="Times New Roman"/>
          <w:lang w:val="ro-MD"/>
        </w:rPr>
        <w:t xml:space="preserve">: </w:t>
      </w:r>
    </w:p>
    <w:p w14:paraId="74F1A0B7" w14:textId="1AA00FF2" w:rsidR="00F95829" w:rsidRPr="000508B6" w:rsidRDefault="00F95829" w:rsidP="00DE4225">
      <w:pPr>
        <w:pStyle w:val="Listparagraf"/>
        <w:numPr>
          <w:ilvl w:val="2"/>
          <w:numId w:val="1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capacitatea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disponibilitatea contrapartidelor de a onora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w:t>
      </w:r>
    </w:p>
    <w:p w14:paraId="74AF8EC7" w14:textId="5CF7C076" w:rsidR="00F95829" w:rsidRPr="000508B6" w:rsidRDefault="00A249DF" w:rsidP="00DE4225">
      <w:pPr>
        <w:pStyle w:val="Listparagraf"/>
        <w:numPr>
          <w:ilvl w:val="2"/>
          <w:numId w:val="1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recuperabilitatea fondurilor,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forma juridică a elementului în cauză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orice </w:t>
      </w:r>
      <w:proofErr w:type="spellStart"/>
      <w:r w:rsidRPr="000508B6">
        <w:rPr>
          <w:rFonts w:ascii="Times New Roman" w:hAnsi="Times New Roman" w:cs="Times New Roman"/>
          <w:lang w:val="ro-MD"/>
        </w:rPr>
        <w:t>condiţii</w:t>
      </w:r>
      <w:proofErr w:type="spellEnd"/>
      <w:r w:rsidRPr="000508B6">
        <w:rPr>
          <w:rFonts w:ascii="Times New Roman" w:hAnsi="Times New Roman" w:cs="Times New Roman"/>
          <w:lang w:val="ro-MD"/>
        </w:rPr>
        <w:t xml:space="preserve"> care împiedică plata  sau apelarea cu succes a elementului respectiv;</w:t>
      </w:r>
    </w:p>
    <w:p w14:paraId="0E0563B4" w14:textId="513E6AAE" w:rsidR="00F95829" w:rsidRPr="000508B6" w:rsidRDefault="0070559B" w:rsidP="00DE4225">
      <w:pPr>
        <w:pStyle w:val="Listparagraf"/>
        <w:numPr>
          <w:ilvl w:val="2"/>
          <w:numId w:val="1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orice</w:t>
      </w:r>
      <w:r w:rsidR="007744D8" w:rsidRPr="000508B6">
        <w:rPr>
          <w:rFonts w:ascii="Times New Roman" w:hAnsi="Times New Roman" w:cs="Times New Roman"/>
          <w:lang w:val="ro-MD"/>
        </w:rPr>
        <w:t xml:space="preserve"> </w:t>
      </w:r>
      <w:proofErr w:type="spellStart"/>
      <w:r w:rsidR="00A249DF" w:rsidRPr="000508B6">
        <w:rPr>
          <w:rFonts w:ascii="Times New Roman" w:hAnsi="Times New Roman" w:cs="Times New Roman"/>
          <w:lang w:val="ro-MD"/>
        </w:rPr>
        <w:t>informaţii</w:t>
      </w:r>
      <w:proofErr w:type="spellEnd"/>
      <w:r w:rsidR="00A249DF" w:rsidRPr="000508B6">
        <w:rPr>
          <w:rFonts w:ascii="Times New Roman" w:hAnsi="Times New Roman" w:cs="Times New Roman"/>
          <w:lang w:val="ro-MD"/>
        </w:rPr>
        <w:t xml:space="preserve"> privind rezultatul apelăril</w:t>
      </w:r>
      <w:r w:rsidR="007744D8" w:rsidRPr="000508B6">
        <w:rPr>
          <w:rFonts w:ascii="Times New Roman" w:hAnsi="Times New Roman" w:cs="Times New Roman"/>
          <w:lang w:val="ro-MD"/>
        </w:rPr>
        <w:t>or</w:t>
      </w:r>
      <w:r w:rsidR="00A249DF" w:rsidRPr="000508B6">
        <w:rPr>
          <w:rFonts w:ascii="Times New Roman" w:hAnsi="Times New Roman" w:cs="Times New Roman"/>
          <w:lang w:val="ro-MD"/>
        </w:rPr>
        <w:t xml:space="preserve"> anterioare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A249DF" w:rsidRPr="000508B6">
        <w:rPr>
          <w:rFonts w:ascii="Times New Roman" w:hAnsi="Times New Roman" w:cs="Times New Roman"/>
          <w:lang w:val="ro-MD"/>
        </w:rPr>
        <w:t>, pentru astfel de fonduri proprii auxiliare, în măsura în care informațiile respective pot fi utilizate în mod fiabil pentru a evalua rezultatul preconizat al unor apelări viitoare</w:t>
      </w:r>
      <w:r w:rsidR="00F95829" w:rsidRPr="000508B6">
        <w:rPr>
          <w:rFonts w:ascii="Times New Roman" w:hAnsi="Times New Roman" w:cs="Times New Roman"/>
          <w:lang w:val="ro-MD"/>
        </w:rPr>
        <w:t xml:space="preserve">. </w:t>
      </w:r>
    </w:p>
    <w:p w14:paraId="7FCEAA28" w14:textId="77777777" w:rsidR="00F95829" w:rsidRPr="000508B6" w:rsidRDefault="00F95829" w:rsidP="008B530F">
      <w:pPr>
        <w:tabs>
          <w:tab w:val="left" w:pos="851"/>
        </w:tabs>
        <w:spacing w:after="0" w:line="240" w:lineRule="auto"/>
        <w:ind w:firstLine="426"/>
        <w:jc w:val="both"/>
        <w:rPr>
          <w:rFonts w:ascii="Times New Roman" w:hAnsi="Times New Roman" w:cs="Times New Roman"/>
          <w:lang w:val="ro-MD"/>
        </w:rPr>
      </w:pPr>
    </w:p>
    <w:p w14:paraId="3662C275" w14:textId="4573F954" w:rsidR="00F95829" w:rsidRPr="000508B6" w:rsidRDefault="00F95829" w:rsidP="008B530F">
      <w:pPr>
        <w:spacing w:after="0" w:line="240" w:lineRule="auto"/>
        <w:ind w:firstLine="426"/>
        <w:jc w:val="both"/>
        <w:rPr>
          <w:rFonts w:ascii="Times New Roman" w:hAnsi="Times New Roman" w:cs="Times New Roman"/>
          <w:iCs/>
          <w:lang w:val="ro-MD"/>
        </w:rPr>
      </w:pPr>
      <w:r w:rsidRPr="000508B6">
        <w:rPr>
          <w:rFonts w:ascii="Times New Roman" w:hAnsi="Times New Roman" w:cs="Times New Roman"/>
          <w:b/>
          <w:lang w:val="ro-MD"/>
        </w:rPr>
        <w:t>Articolul</w:t>
      </w:r>
      <w:r w:rsidR="00680EF4" w:rsidRPr="000508B6">
        <w:rPr>
          <w:rFonts w:ascii="Times New Roman" w:hAnsi="Times New Roman" w:cs="Times New Roman"/>
          <w:b/>
          <w:lang w:val="ro-MD"/>
        </w:rPr>
        <w:t xml:space="preserve"> </w:t>
      </w:r>
      <w:r w:rsidR="00C8492A" w:rsidRPr="000508B6">
        <w:rPr>
          <w:rFonts w:ascii="Times New Roman" w:hAnsi="Times New Roman" w:cs="Times New Roman"/>
          <w:b/>
          <w:lang w:val="ro-MD"/>
        </w:rPr>
        <w:t>58</w:t>
      </w:r>
      <w:r w:rsidR="005B6A15" w:rsidRPr="000508B6">
        <w:rPr>
          <w:rFonts w:ascii="Times New Roman" w:hAnsi="Times New Roman" w:cs="Times New Roman"/>
          <w:b/>
          <w:lang w:val="ro-MD"/>
        </w:rPr>
        <w:t>.</w:t>
      </w:r>
      <w:r w:rsidR="000F78F9" w:rsidRPr="000508B6">
        <w:rPr>
          <w:rFonts w:ascii="Times New Roman" w:hAnsi="Times New Roman" w:cs="Times New Roman"/>
          <w:b/>
          <w:lang w:val="ro-MD"/>
        </w:rPr>
        <w:t xml:space="preserve"> </w:t>
      </w:r>
      <w:r w:rsidRPr="000508B6">
        <w:rPr>
          <w:rFonts w:ascii="Times New Roman" w:hAnsi="Times New Roman" w:cs="Times New Roman"/>
          <w:lang w:val="ro-MD"/>
        </w:rPr>
        <w:t xml:space="preserve">Fondurile surplus </w:t>
      </w:r>
    </w:p>
    <w:p w14:paraId="56C9A674" w14:textId="037925F4" w:rsidR="00D279A9" w:rsidRPr="000508B6" w:rsidRDefault="00D279A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(1)</w:t>
      </w:r>
      <w:bookmarkStart w:id="109" w:name="_Hlk184885462"/>
      <w:bookmarkStart w:id="110" w:name="_Hlk199319794"/>
      <w:r w:rsidR="00F95829" w:rsidRPr="000508B6">
        <w:rPr>
          <w:rFonts w:ascii="Times New Roman" w:hAnsi="Times New Roman" w:cs="Times New Roman"/>
          <w:lang w:val="ro-MD"/>
        </w:rPr>
        <w:t xml:space="preserve">Fondurile surplus </w:t>
      </w:r>
      <w:bookmarkEnd w:id="109"/>
      <w:r w:rsidR="00F95829" w:rsidRPr="000508B6">
        <w:rPr>
          <w:rFonts w:ascii="Times New Roman" w:hAnsi="Times New Roman" w:cs="Times New Roman"/>
          <w:lang w:val="ro-MD"/>
        </w:rPr>
        <w:t xml:space="preserve">reprezintă profituri acumulate </w:t>
      </w:r>
      <w:r w:rsidR="0020145F" w:rsidRPr="000508B6">
        <w:rPr>
          <w:rFonts w:ascii="Times New Roman" w:hAnsi="Times New Roman" w:cs="Times New Roman"/>
          <w:lang w:val="ro-MD"/>
        </w:rPr>
        <w:t>care nu au fost puse la dispoziție pentru a fi distribuite</w:t>
      </w:r>
      <w:r w:rsidR="00F95829" w:rsidRPr="000508B6">
        <w:rPr>
          <w:rFonts w:ascii="Times New Roman" w:hAnsi="Times New Roman" w:cs="Times New Roman"/>
          <w:lang w:val="ro-MD"/>
        </w:rPr>
        <w:t xml:space="preserve"> </w:t>
      </w:r>
      <w:r w:rsidR="002B0C78" w:rsidRPr="000508B6">
        <w:rPr>
          <w:rFonts w:ascii="Times New Roman" w:hAnsi="Times New Roman" w:cs="Times New Roman"/>
          <w:lang w:val="ro-MD"/>
        </w:rPr>
        <w:t xml:space="preserve">asiguraților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beneficiarilor </w:t>
      </w:r>
      <w:r w:rsidR="00F25BAD" w:rsidRPr="000508B6">
        <w:rPr>
          <w:rFonts w:ascii="Times New Roman" w:hAnsi="Times New Roman" w:cs="Times New Roman"/>
          <w:lang w:val="ro-MD"/>
        </w:rPr>
        <w:t>asigurării</w:t>
      </w:r>
      <w:r w:rsidRPr="000508B6">
        <w:rPr>
          <w:rFonts w:ascii="Times New Roman" w:hAnsi="Times New Roman" w:cs="Times New Roman"/>
          <w:lang w:val="ro-MD"/>
        </w:rPr>
        <w:t>.</w:t>
      </w:r>
      <w:bookmarkEnd w:id="110"/>
    </w:p>
    <w:p w14:paraId="5245EFB6" w14:textId="3DF753AD" w:rsidR="00F95829" w:rsidRPr="000508B6" w:rsidRDefault="00D279A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(2)Fondurile surplus</w:t>
      </w:r>
      <w:r w:rsidR="00F25BAD"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nu sunt considerate </w:t>
      </w:r>
      <w:proofErr w:type="spellStart"/>
      <w:r w:rsidR="00F95829" w:rsidRPr="000508B6">
        <w:rPr>
          <w:rFonts w:ascii="Times New Roman" w:hAnsi="Times New Roman" w:cs="Times New Roman"/>
          <w:lang w:val="ro-MD"/>
        </w:rPr>
        <w:t>obligaţii</w:t>
      </w:r>
      <w:proofErr w:type="spellEnd"/>
      <w:r w:rsidR="00F95829" w:rsidRPr="000508B6">
        <w:rPr>
          <w:rFonts w:ascii="Times New Roman" w:hAnsi="Times New Roman" w:cs="Times New Roman"/>
          <w:lang w:val="ro-MD"/>
        </w:rPr>
        <w:t xml:space="preserve"> din asigurare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din reasigurare </w:t>
      </w:r>
      <w:r w:rsidR="00F12824" w:rsidRPr="000508B6">
        <w:rPr>
          <w:rFonts w:ascii="Times New Roman" w:hAnsi="Times New Roman" w:cs="Times New Roman"/>
          <w:lang w:val="ro-MD"/>
        </w:rPr>
        <w:t xml:space="preserve">în măsura în care </w:t>
      </w:r>
      <w:r w:rsidR="00F95829" w:rsidRPr="000508B6">
        <w:rPr>
          <w:rFonts w:ascii="Times New Roman" w:hAnsi="Times New Roman" w:cs="Times New Roman"/>
          <w:lang w:val="ro-MD"/>
        </w:rPr>
        <w:t xml:space="preserve">îndeplinesc criteriile prevăzute la art. </w:t>
      </w:r>
      <w:r w:rsidR="0020145F" w:rsidRPr="000508B6">
        <w:rPr>
          <w:rFonts w:ascii="Times New Roman" w:hAnsi="Times New Roman" w:cs="Times New Roman"/>
          <w:lang w:val="ro-MD"/>
        </w:rPr>
        <w:t>60 alin. (1)</w:t>
      </w:r>
      <w:r w:rsidR="00F95829" w:rsidRPr="000508B6">
        <w:rPr>
          <w:rFonts w:ascii="Times New Roman" w:hAnsi="Times New Roman" w:cs="Times New Roman"/>
          <w:lang w:val="ro-MD"/>
        </w:rPr>
        <w:t xml:space="preserve">. </w:t>
      </w:r>
    </w:p>
    <w:p w14:paraId="6009E7B7"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770B4612" w14:textId="078E7BFB" w:rsidR="00F95829" w:rsidRPr="000508B6" w:rsidRDefault="00F95829" w:rsidP="008B530F">
      <w:pPr>
        <w:spacing w:after="0" w:line="240" w:lineRule="auto"/>
        <w:ind w:firstLine="426"/>
        <w:jc w:val="center"/>
        <w:rPr>
          <w:rFonts w:ascii="Times New Roman" w:hAnsi="Times New Roman" w:cs="Times New Roman"/>
          <w:b/>
          <w:lang w:val="ro-MD"/>
        </w:rPr>
      </w:pPr>
      <w:proofErr w:type="spellStart"/>
      <w:r w:rsidRPr="000508B6">
        <w:rPr>
          <w:rFonts w:ascii="Times New Roman" w:hAnsi="Times New Roman" w:cs="Times New Roman"/>
          <w:b/>
          <w:lang w:val="ro-MD"/>
        </w:rPr>
        <w:t>Subsecţiunea</w:t>
      </w:r>
      <w:proofErr w:type="spellEnd"/>
      <w:r w:rsidRPr="000508B6">
        <w:rPr>
          <w:rFonts w:ascii="Times New Roman" w:hAnsi="Times New Roman" w:cs="Times New Roman"/>
          <w:b/>
          <w:lang w:val="ro-MD"/>
        </w:rPr>
        <w:t xml:space="preserve">  </w:t>
      </w:r>
      <w:r w:rsidR="00C41D4B" w:rsidRPr="000508B6">
        <w:rPr>
          <w:rFonts w:ascii="Times New Roman" w:hAnsi="Times New Roman" w:cs="Times New Roman"/>
          <w:b/>
          <w:lang w:val="ro-MD"/>
        </w:rPr>
        <w:t>3</w:t>
      </w:r>
      <w:r w:rsidRPr="000508B6">
        <w:rPr>
          <w:rFonts w:ascii="Times New Roman" w:hAnsi="Times New Roman" w:cs="Times New Roman"/>
          <w:b/>
          <w:lang w:val="ro-MD"/>
        </w:rPr>
        <w:t xml:space="preserve">.2 </w:t>
      </w:r>
    </w:p>
    <w:p w14:paraId="068C24A4"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Clasificarea fondurilor proprii</w:t>
      </w:r>
    </w:p>
    <w:p w14:paraId="7818EA3C" w14:textId="5C21CA6C"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59</w:t>
      </w:r>
      <w:r w:rsidR="00EB4BD5" w:rsidRPr="000508B6">
        <w:rPr>
          <w:rFonts w:ascii="Times New Roman" w:hAnsi="Times New Roman" w:cs="Times New Roman"/>
          <w:b/>
          <w:lang w:val="ro-MD"/>
        </w:rPr>
        <w:t>.</w:t>
      </w:r>
      <w:r w:rsidRPr="000508B6">
        <w:rPr>
          <w:rFonts w:ascii="Times New Roman" w:hAnsi="Times New Roman" w:cs="Times New Roman"/>
          <w:vertAlign w:val="superscript"/>
          <w:lang w:val="ro-MD"/>
        </w:rPr>
        <w:t xml:space="preserve"> </w:t>
      </w:r>
      <w:bookmarkStart w:id="111" w:name="_Hlk184885565"/>
      <w:r w:rsidRPr="000508B6">
        <w:rPr>
          <w:rFonts w:ascii="Times New Roman" w:hAnsi="Times New Roman" w:cs="Times New Roman"/>
          <w:lang w:val="ro-MD"/>
        </w:rPr>
        <w:t xml:space="preserve">Caracteristici </w:t>
      </w:r>
      <w:r w:rsidR="004D4558" w:rsidRPr="000508B6">
        <w:rPr>
          <w:rFonts w:ascii="Times New Roman" w:hAnsi="Times New Roman" w:cs="Times New Roman"/>
          <w:lang w:val="ro-MD"/>
        </w:rPr>
        <w:t>și particularități utilizate pentru clasificarea fondurilor proprii pe ranguri</w:t>
      </w:r>
    </w:p>
    <w:bookmarkEnd w:id="111"/>
    <w:p w14:paraId="6EDF03BE" w14:textId="00F2F59B" w:rsidR="00F95829" w:rsidRPr="000508B6" w:rsidRDefault="00F95829" w:rsidP="00CF5AFA">
      <w:pPr>
        <w:pStyle w:val="Listparagraf"/>
        <w:numPr>
          <w:ilvl w:val="1"/>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clasificarea elementelor fondurilor proprii, în conformitate cu prevederile art. </w:t>
      </w:r>
      <w:r w:rsidR="00A56AFB" w:rsidRPr="000508B6">
        <w:rPr>
          <w:rFonts w:ascii="Times New Roman" w:hAnsi="Times New Roman" w:cs="Times New Roman"/>
          <w:lang w:val="ro-MD"/>
        </w:rPr>
        <w:t>60</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3B7F49"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seama de următoarele caracteristici: </w:t>
      </w:r>
    </w:p>
    <w:p w14:paraId="7C9F8B47" w14:textId="5E90525D" w:rsidR="00F95829" w:rsidRPr="000508B6" w:rsidRDefault="007744D8" w:rsidP="00CF5AFA">
      <w:pPr>
        <w:pStyle w:val="Listparagraf"/>
        <w:numPr>
          <w:ilvl w:val="2"/>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disponibilitatea permanentă, însemnând că </w:t>
      </w:r>
      <w:r w:rsidR="00F95829" w:rsidRPr="000508B6">
        <w:rPr>
          <w:rFonts w:ascii="Times New Roman" w:hAnsi="Times New Roman" w:cs="Times New Roman"/>
          <w:lang w:val="ro-MD"/>
        </w:rPr>
        <w:t>elementul este disponibil sau poate fi apelat</w:t>
      </w:r>
      <w:r w:rsidR="0041667B"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r w:rsidR="0041667B" w:rsidRPr="000508B6">
        <w:rPr>
          <w:rFonts w:ascii="Times New Roman" w:hAnsi="Times New Roman" w:cs="Times New Roman"/>
          <w:lang w:val="ro-MD"/>
        </w:rPr>
        <w:t xml:space="preserve">la cerere, </w:t>
      </w:r>
      <w:r w:rsidR="00F95829" w:rsidRPr="000508B6">
        <w:rPr>
          <w:rFonts w:ascii="Times New Roman" w:hAnsi="Times New Roman" w:cs="Times New Roman"/>
          <w:lang w:val="ro-MD"/>
        </w:rPr>
        <w:t xml:space="preserve">pentru a acoperi integral pierderile, </w:t>
      </w:r>
      <w:r w:rsidR="00825870" w:rsidRPr="000508B6">
        <w:rPr>
          <w:rFonts w:ascii="Times New Roman" w:hAnsi="Times New Roman" w:cs="Times New Roman"/>
          <w:lang w:val="ro-MD"/>
        </w:rPr>
        <w:t xml:space="preserve">atât în perspectiva </w:t>
      </w:r>
      <w:r w:rsidR="00F95829" w:rsidRPr="000508B6">
        <w:rPr>
          <w:rFonts w:ascii="Times New Roman" w:hAnsi="Times New Roman" w:cs="Times New Roman"/>
          <w:lang w:val="ro-MD"/>
        </w:rPr>
        <w:t>continu</w:t>
      </w:r>
      <w:r w:rsidR="00825870" w:rsidRPr="000508B6">
        <w:rPr>
          <w:rFonts w:ascii="Times New Roman" w:hAnsi="Times New Roman" w:cs="Times New Roman"/>
          <w:lang w:val="ro-MD"/>
        </w:rPr>
        <w:t>ității</w:t>
      </w:r>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activităţii</w:t>
      </w:r>
      <w:proofErr w:type="spellEnd"/>
      <w:r w:rsidR="00862345" w:rsidRPr="000508B6">
        <w:rPr>
          <w:rFonts w:ascii="Times New Roman" w:hAnsi="Times New Roman" w:cs="Times New Roman"/>
          <w:lang w:val="ro-MD"/>
        </w:rPr>
        <w:t>, cât și în caz de lichidare</w:t>
      </w:r>
      <w:r w:rsidR="00F95829" w:rsidRPr="000508B6">
        <w:rPr>
          <w:rFonts w:ascii="Times New Roman" w:hAnsi="Times New Roman" w:cs="Times New Roman"/>
          <w:lang w:val="ro-MD"/>
        </w:rPr>
        <w:t xml:space="preserve">; </w:t>
      </w:r>
    </w:p>
    <w:p w14:paraId="0FAF1B5B" w14:textId="6DCFA3E8" w:rsidR="00F95829" w:rsidRPr="000508B6" w:rsidRDefault="007744D8" w:rsidP="00CF5AFA">
      <w:pPr>
        <w:pStyle w:val="Listparagraf"/>
        <w:numPr>
          <w:ilvl w:val="2"/>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subordonarea, însemnând că </w:t>
      </w:r>
      <w:r w:rsidR="00F95829" w:rsidRPr="000508B6">
        <w:rPr>
          <w:rFonts w:ascii="Times New Roman" w:hAnsi="Times New Roman" w:cs="Times New Roman"/>
          <w:lang w:val="ro-MD"/>
        </w:rPr>
        <w:t xml:space="preserve">în caz de lichidare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F95829" w:rsidRPr="000508B6">
        <w:rPr>
          <w:rFonts w:ascii="Times New Roman" w:hAnsi="Times New Roman" w:cs="Times New Roman"/>
          <w:lang w:val="ro-MD"/>
        </w:rPr>
        <w:t xml:space="preserve">, elementul este disponibil integral pentru a acoperi pierderile, rambursarea către </w:t>
      </w:r>
      <w:proofErr w:type="spellStart"/>
      <w:r w:rsidR="00F95829" w:rsidRPr="000508B6">
        <w:rPr>
          <w:rFonts w:ascii="Times New Roman" w:hAnsi="Times New Roman" w:cs="Times New Roman"/>
          <w:lang w:val="ro-MD"/>
        </w:rPr>
        <w:t>deţinătorii</w:t>
      </w:r>
      <w:proofErr w:type="spellEnd"/>
      <w:r w:rsidR="00F95829" w:rsidRPr="000508B6">
        <w:rPr>
          <w:rFonts w:ascii="Times New Roman" w:hAnsi="Times New Roman" w:cs="Times New Roman"/>
          <w:lang w:val="ro-MD"/>
        </w:rPr>
        <w:t xml:space="preserve"> acestuia făcându-se numai după decontarea tuturor </w:t>
      </w:r>
      <w:proofErr w:type="spellStart"/>
      <w:r w:rsidR="00F95829" w:rsidRPr="000508B6">
        <w:rPr>
          <w:rFonts w:ascii="Times New Roman" w:hAnsi="Times New Roman" w:cs="Times New Roman"/>
          <w:lang w:val="ro-MD"/>
        </w:rPr>
        <w:t>obligaţiilor</w:t>
      </w:r>
      <w:proofErr w:type="spellEnd"/>
      <w:r w:rsidR="00F95829" w:rsidRPr="000508B6">
        <w:rPr>
          <w:rFonts w:ascii="Times New Roman" w:hAnsi="Times New Roman" w:cs="Times New Roman"/>
          <w:lang w:val="ro-MD"/>
        </w:rPr>
        <w:t xml:space="preserve">, inclusiv a celor de asigurare </w:t>
      </w:r>
      <w:r w:rsidR="000F7FD0" w:rsidRPr="000508B6">
        <w:rPr>
          <w:rFonts w:ascii="Times New Roman" w:hAnsi="Times New Roman" w:cs="Times New Roman"/>
          <w:lang w:val="ro-MD"/>
        </w:rPr>
        <w:t xml:space="preserve">și </w:t>
      </w:r>
      <w:r w:rsidR="00F95829" w:rsidRPr="000508B6">
        <w:rPr>
          <w:rFonts w:ascii="Times New Roman" w:hAnsi="Times New Roman" w:cs="Times New Roman"/>
          <w:lang w:val="ro-MD"/>
        </w:rPr>
        <w:t xml:space="preserve">de reasigurare. </w:t>
      </w:r>
    </w:p>
    <w:p w14:paraId="4BB92F93" w14:textId="7409C431" w:rsidR="00F95829" w:rsidRPr="000508B6" w:rsidRDefault="00F95829" w:rsidP="00CF5AFA">
      <w:pPr>
        <w:pStyle w:val="Listparagraf"/>
        <w:numPr>
          <w:ilvl w:val="0"/>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Pentru a evalua măsura în care elementele fondurilor proprii îndeplinesc</w:t>
      </w:r>
      <w:r w:rsidR="00E457DE" w:rsidRPr="000508B6">
        <w:rPr>
          <w:rFonts w:ascii="Times New Roman" w:hAnsi="Times New Roman" w:cs="Times New Roman"/>
          <w:lang w:val="ro-MD"/>
        </w:rPr>
        <w:t>,</w:t>
      </w:r>
      <w:r w:rsidRPr="000508B6">
        <w:rPr>
          <w:rFonts w:ascii="Times New Roman" w:hAnsi="Times New Roman" w:cs="Times New Roman"/>
          <w:lang w:val="ro-MD"/>
        </w:rPr>
        <w:t xml:space="preserve"> </w:t>
      </w:r>
      <w:r w:rsidR="007744D8" w:rsidRPr="000508B6">
        <w:rPr>
          <w:rFonts w:ascii="Times New Roman" w:hAnsi="Times New Roman" w:cs="Times New Roman"/>
          <w:lang w:val="ro-MD"/>
        </w:rPr>
        <w:t>at</w:t>
      </w:r>
      <w:r w:rsidR="00EE2DF7" w:rsidRPr="000508B6">
        <w:rPr>
          <w:rFonts w:ascii="Times New Roman" w:hAnsi="Times New Roman" w:cs="Times New Roman"/>
          <w:lang w:val="ro-MD"/>
        </w:rPr>
        <w:t>â</w:t>
      </w:r>
      <w:r w:rsidR="00FA027C" w:rsidRPr="000508B6">
        <w:rPr>
          <w:rFonts w:ascii="Times New Roman" w:hAnsi="Times New Roman" w:cs="Times New Roman"/>
          <w:lang w:val="ro-MD"/>
        </w:rPr>
        <w:t>t</w:t>
      </w:r>
      <w:r w:rsidR="007744D8" w:rsidRPr="000508B6">
        <w:rPr>
          <w:rFonts w:ascii="Times New Roman" w:hAnsi="Times New Roman" w:cs="Times New Roman"/>
          <w:lang w:val="ro-MD"/>
        </w:rPr>
        <w:t xml:space="preserve"> </w:t>
      </w:r>
      <w:r w:rsidR="00862345" w:rsidRPr="000508B6">
        <w:rPr>
          <w:rFonts w:ascii="Times New Roman" w:hAnsi="Times New Roman" w:cs="Times New Roman"/>
          <w:lang w:val="ro-MD"/>
        </w:rPr>
        <w:t xml:space="preserve">în prezent </w:t>
      </w:r>
      <w:r w:rsidR="007744D8" w:rsidRPr="000508B6">
        <w:rPr>
          <w:rFonts w:ascii="Times New Roman" w:hAnsi="Times New Roman" w:cs="Times New Roman"/>
          <w:lang w:val="ro-MD"/>
        </w:rPr>
        <w:t>c</w:t>
      </w:r>
      <w:r w:rsidR="00EE2DF7" w:rsidRPr="000508B6">
        <w:rPr>
          <w:rFonts w:ascii="Times New Roman" w:hAnsi="Times New Roman" w:cs="Times New Roman"/>
          <w:lang w:val="ro-MD"/>
        </w:rPr>
        <w:t>â</w:t>
      </w:r>
      <w:r w:rsidR="007744D8" w:rsidRPr="000508B6">
        <w:rPr>
          <w:rFonts w:ascii="Times New Roman" w:hAnsi="Times New Roman" w:cs="Times New Roman"/>
          <w:lang w:val="ro-MD"/>
        </w:rPr>
        <w:t xml:space="preserve">t </w:t>
      </w:r>
      <w:r w:rsidR="00862345" w:rsidRPr="000508B6">
        <w:rPr>
          <w:rFonts w:ascii="Times New Roman" w:hAnsi="Times New Roman" w:cs="Times New Roman"/>
          <w:lang w:val="ro-MD"/>
        </w:rPr>
        <w:t>și în viitor</w:t>
      </w:r>
      <w:r w:rsidR="00E457DE" w:rsidRPr="000508B6">
        <w:rPr>
          <w:rFonts w:ascii="Times New Roman" w:hAnsi="Times New Roman" w:cs="Times New Roman"/>
          <w:lang w:val="ro-MD"/>
        </w:rPr>
        <w:t>,</w:t>
      </w:r>
      <w:r w:rsidR="00862345" w:rsidRPr="000508B6">
        <w:rPr>
          <w:rFonts w:ascii="Times New Roman" w:hAnsi="Times New Roman" w:cs="Times New Roman"/>
          <w:lang w:val="ro-MD"/>
        </w:rPr>
        <w:t xml:space="preserve"> </w:t>
      </w:r>
      <w:r w:rsidRPr="000508B6">
        <w:rPr>
          <w:rFonts w:ascii="Times New Roman" w:hAnsi="Times New Roman" w:cs="Times New Roman"/>
          <w:lang w:val="ro-MD"/>
        </w:rPr>
        <w:t xml:space="preserve">caracteristicile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cont de următoarele aspecte: </w:t>
      </w:r>
    </w:p>
    <w:p w14:paraId="1A62F91D" w14:textId="48B1C13D" w:rsidR="00F95829" w:rsidRPr="000508B6" w:rsidRDefault="00F95829" w:rsidP="00CF5AFA">
      <w:pPr>
        <w:pStyle w:val="Listparagraf"/>
        <w:numPr>
          <w:ilvl w:val="2"/>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durata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
    <w:p w14:paraId="61FB97CA" w14:textId="0C0EDC10" w:rsidR="00F95829" w:rsidRPr="000508B6" w:rsidRDefault="00F95829" w:rsidP="00CF5AFA">
      <w:pPr>
        <w:pStyle w:val="Listparagraf"/>
        <w:numPr>
          <w:ilvl w:val="2"/>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durata relativă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comparativ cu durata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reasigurare, în cazul </w:t>
      </w:r>
      <w:proofErr w:type="spellStart"/>
      <w:r w:rsidRPr="000508B6">
        <w:rPr>
          <w:rFonts w:ascii="Times New Roman" w:hAnsi="Times New Roman" w:cs="Times New Roman"/>
          <w:lang w:val="ro-MD"/>
        </w:rPr>
        <w:t>existenţei</w:t>
      </w:r>
      <w:proofErr w:type="spellEnd"/>
      <w:r w:rsidRPr="000508B6">
        <w:rPr>
          <w:rFonts w:ascii="Times New Roman" w:hAnsi="Times New Roman" w:cs="Times New Roman"/>
          <w:lang w:val="ro-MD"/>
        </w:rPr>
        <w:t xml:space="preserve"> unei </w:t>
      </w:r>
      <w:proofErr w:type="spellStart"/>
      <w:r w:rsidRPr="000508B6">
        <w:rPr>
          <w:rFonts w:ascii="Times New Roman" w:hAnsi="Times New Roman" w:cs="Times New Roman"/>
          <w:lang w:val="ro-MD"/>
        </w:rPr>
        <w:t>scadenţe</w:t>
      </w:r>
      <w:proofErr w:type="spellEnd"/>
      <w:r w:rsidRPr="000508B6">
        <w:rPr>
          <w:rFonts w:ascii="Times New Roman" w:hAnsi="Times New Roman" w:cs="Times New Roman"/>
          <w:lang w:val="ro-MD"/>
        </w:rPr>
        <w:t>;</w:t>
      </w:r>
    </w:p>
    <w:p w14:paraId="0BFAFA73" w14:textId="35941C53" w:rsidR="00F95829" w:rsidRPr="000508B6" w:rsidRDefault="00F95829" w:rsidP="00CF5AFA">
      <w:pPr>
        <w:pStyle w:val="Listparagraf"/>
        <w:numPr>
          <w:ilvl w:val="2"/>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nu sunt obiectul unor </w:t>
      </w:r>
      <w:proofErr w:type="spellStart"/>
      <w:r w:rsidRPr="000508B6">
        <w:rPr>
          <w:rFonts w:ascii="Times New Roman" w:hAnsi="Times New Roman" w:cs="Times New Roman"/>
          <w:lang w:val="ro-MD"/>
        </w:rPr>
        <w:t>obligaţii</w:t>
      </w:r>
      <w:proofErr w:type="spellEnd"/>
      <w:r w:rsidRPr="000508B6">
        <w:rPr>
          <w:rFonts w:ascii="Times New Roman" w:hAnsi="Times New Roman" w:cs="Times New Roman"/>
          <w:lang w:val="ro-MD"/>
        </w:rPr>
        <w:t xml:space="preserve"> sau stimulente de rambursare a valorii nominale</w:t>
      </w:r>
      <w:r w:rsidR="00FB137B" w:rsidRPr="000508B6">
        <w:rPr>
          <w:rFonts w:ascii="Times New Roman" w:hAnsi="Times New Roman" w:cs="Times New Roman"/>
          <w:lang w:val="ro-MD"/>
        </w:rPr>
        <w:t xml:space="preserve"> (absența stimulentelor de rambursare)</w:t>
      </w:r>
      <w:r w:rsidRPr="000508B6">
        <w:rPr>
          <w:rFonts w:ascii="Times New Roman" w:hAnsi="Times New Roman" w:cs="Times New Roman"/>
          <w:lang w:val="ro-MD"/>
        </w:rPr>
        <w:t xml:space="preserve">;  </w:t>
      </w:r>
    </w:p>
    <w:p w14:paraId="3666CDFE" w14:textId="311CF6AE" w:rsidR="00F95829" w:rsidRPr="000508B6" w:rsidRDefault="00F95829" w:rsidP="00CF5AFA">
      <w:pPr>
        <w:pStyle w:val="Listparagraf"/>
        <w:numPr>
          <w:ilvl w:val="2"/>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nu sunt obiectul unor taxe fixe obligatorii de administrare; </w:t>
      </w:r>
    </w:p>
    <w:p w14:paraId="20F9564D" w14:textId="3F3032C6" w:rsidR="00F95829" w:rsidRPr="000508B6" w:rsidRDefault="00F95829" w:rsidP="00CF5AFA">
      <w:pPr>
        <w:pStyle w:val="Listparagraf"/>
        <w:numPr>
          <w:ilvl w:val="2"/>
          <w:numId w:val="15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sunt libere de sarcini. </w:t>
      </w:r>
    </w:p>
    <w:p w14:paraId="18709753" w14:textId="77777777" w:rsidR="00F95829" w:rsidRPr="000508B6" w:rsidRDefault="00F95829" w:rsidP="00F30BAE">
      <w:pPr>
        <w:tabs>
          <w:tab w:val="left" w:pos="709"/>
        </w:tabs>
        <w:spacing w:after="0" w:line="240" w:lineRule="auto"/>
        <w:ind w:firstLine="426"/>
        <w:jc w:val="both"/>
        <w:rPr>
          <w:rFonts w:ascii="Times New Roman" w:hAnsi="Times New Roman" w:cs="Times New Roman"/>
          <w:lang w:val="ro-MD"/>
        </w:rPr>
      </w:pPr>
    </w:p>
    <w:p w14:paraId="326A0C57" w14:textId="1DD50EFB"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60</w:t>
      </w:r>
      <w:r w:rsidRPr="000508B6">
        <w:rPr>
          <w:rFonts w:ascii="Times New Roman" w:hAnsi="Times New Roman" w:cs="Times New Roman"/>
          <w:b/>
          <w:lang w:val="ro-MD"/>
        </w:rPr>
        <w:t>.</w:t>
      </w:r>
      <w:r w:rsidR="00B03443" w:rsidRPr="000508B6">
        <w:rPr>
          <w:rFonts w:ascii="Times New Roman" w:hAnsi="Times New Roman" w:cs="Times New Roman"/>
          <w:b/>
          <w:lang w:val="ro-MD"/>
        </w:rPr>
        <w:t xml:space="preserve"> </w:t>
      </w:r>
      <w:r w:rsidRPr="000508B6">
        <w:rPr>
          <w:rFonts w:ascii="Times New Roman" w:hAnsi="Times New Roman" w:cs="Times New Roman"/>
          <w:lang w:val="ro-MD"/>
        </w:rPr>
        <w:t xml:space="preserve">Criteriile principale de clasificare pe ranguri </w:t>
      </w:r>
    </w:p>
    <w:p w14:paraId="2968407F" w14:textId="77777777"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Elementele fondurilor proprii se clasifică pe 3 ranguri, astfel: </w:t>
      </w:r>
    </w:p>
    <w:p w14:paraId="1F7F0847" w14:textId="4FD037DD" w:rsidR="00F95829" w:rsidRPr="000508B6" w:rsidRDefault="00F95829" w:rsidP="00A451E7">
      <w:pPr>
        <w:pStyle w:val="Listparagraf"/>
        <w:numPr>
          <w:ilvl w:val="2"/>
          <w:numId w:val="15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rangul 1: elemente ale fondurilor proprii de bază, în cazul în care prezintă în mare măsură caracteristicile prevăzute la art. </w:t>
      </w:r>
      <w:r w:rsidR="00A56AFB" w:rsidRPr="000508B6">
        <w:rPr>
          <w:rFonts w:ascii="Times New Roman" w:hAnsi="Times New Roman" w:cs="Times New Roman"/>
          <w:lang w:val="ro-MD"/>
        </w:rPr>
        <w:t>59</w:t>
      </w:r>
      <w:r w:rsidR="000D5E3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și luând în considerare aspectele prevăzute la art. </w:t>
      </w:r>
      <w:r w:rsidR="00A56AFB" w:rsidRPr="000508B6">
        <w:rPr>
          <w:rFonts w:ascii="Times New Roman" w:hAnsi="Times New Roman" w:cs="Times New Roman"/>
          <w:lang w:val="ro-MD"/>
        </w:rPr>
        <w:t>59</w:t>
      </w:r>
      <w:r w:rsidR="000D5E3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
    <w:p w14:paraId="676D51D9" w14:textId="1D128399" w:rsidR="00F95829" w:rsidRPr="000508B6" w:rsidRDefault="00F95829" w:rsidP="0006568A">
      <w:pPr>
        <w:pStyle w:val="Listparagraf"/>
        <w:numPr>
          <w:ilvl w:val="2"/>
          <w:numId w:val="15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rangul 2: </w:t>
      </w:r>
    </w:p>
    <w:p w14:paraId="67E9EBAA" w14:textId="38C20EC6" w:rsidR="00F95829" w:rsidRPr="000508B6" w:rsidRDefault="00F95829" w:rsidP="0006568A">
      <w:pPr>
        <w:pStyle w:val="Listparagraf"/>
        <w:numPr>
          <w:ilvl w:val="3"/>
          <w:numId w:val="15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elemente ale fondurilor proprii de bază, în cazul în care prezintă în mare măsură caracteristicile prevăzute la art. </w:t>
      </w:r>
      <w:r w:rsidR="00A56AFB" w:rsidRPr="000508B6">
        <w:rPr>
          <w:rFonts w:ascii="Times New Roman" w:hAnsi="Times New Roman" w:cs="Times New Roman"/>
          <w:lang w:val="ro-MD"/>
        </w:rPr>
        <w:t>59</w:t>
      </w:r>
      <w:r w:rsidR="000D5E3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luând în considerare aspectele prevăzute la  art. </w:t>
      </w:r>
      <w:r w:rsidR="00A56AFB" w:rsidRPr="000508B6">
        <w:rPr>
          <w:rFonts w:ascii="Times New Roman" w:hAnsi="Times New Roman" w:cs="Times New Roman"/>
          <w:lang w:val="ro-MD"/>
        </w:rPr>
        <w:t>59</w:t>
      </w:r>
      <w:r w:rsidR="000D5E3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
    <w:p w14:paraId="1402BFF0" w14:textId="6B137563" w:rsidR="00F95829" w:rsidRPr="000508B6" w:rsidRDefault="00F95829" w:rsidP="00006457">
      <w:pPr>
        <w:pStyle w:val="Listparagraf"/>
        <w:numPr>
          <w:ilvl w:val="3"/>
          <w:numId w:val="1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elemente ale fondurilor proprii auxiliare, în cazul în care prezintă în mare măsură caracteristicile prevăzute la art. </w:t>
      </w:r>
      <w:r w:rsidR="00A56AFB" w:rsidRPr="000508B6">
        <w:rPr>
          <w:rFonts w:ascii="Times New Roman" w:hAnsi="Times New Roman" w:cs="Times New Roman"/>
          <w:lang w:val="ro-MD"/>
        </w:rPr>
        <w:t>59</w:t>
      </w:r>
      <w:r w:rsidR="000D5E37" w:rsidRPr="000508B6">
        <w:rPr>
          <w:rFonts w:ascii="Times New Roman" w:hAnsi="Times New Roman" w:cs="Times New Roman"/>
          <w:vertAlign w:val="superscript"/>
          <w:lang w:val="ro-MD"/>
        </w:rPr>
        <w:t xml:space="preserve"> </w:t>
      </w:r>
      <w:r w:rsidRPr="000508B6">
        <w:rPr>
          <w:rFonts w:ascii="Times New Roman" w:hAnsi="Times New Roman" w:cs="Times New Roman"/>
          <w:lang w:val="ro-MD"/>
        </w:rPr>
        <w:t xml:space="preserve">alin. (1)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luând în considerare aspectele prevăzute la  art. </w:t>
      </w:r>
      <w:r w:rsidR="00A56AFB" w:rsidRPr="000508B6">
        <w:rPr>
          <w:rFonts w:ascii="Times New Roman" w:hAnsi="Times New Roman" w:cs="Times New Roman"/>
          <w:lang w:val="ro-MD"/>
        </w:rPr>
        <w:t>59</w:t>
      </w:r>
      <w:r w:rsidR="000D5E3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
    <w:p w14:paraId="488A123C" w14:textId="412B1E0B" w:rsidR="00F95829" w:rsidRPr="000508B6" w:rsidRDefault="00F95829" w:rsidP="00006457">
      <w:pPr>
        <w:pStyle w:val="Listparagraf"/>
        <w:numPr>
          <w:ilvl w:val="2"/>
          <w:numId w:val="1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rangul 3: toate elementele fondurilor proprii de bază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auxiliare care nu intră sub </w:t>
      </w:r>
      <w:proofErr w:type="spellStart"/>
      <w:r w:rsidRPr="000508B6">
        <w:rPr>
          <w:rFonts w:ascii="Times New Roman" w:hAnsi="Times New Roman" w:cs="Times New Roman"/>
          <w:lang w:val="ro-MD"/>
        </w:rPr>
        <w:t>incidenţa</w:t>
      </w:r>
      <w:proofErr w:type="spellEnd"/>
      <w:r w:rsidRPr="000508B6">
        <w:rPr>
          <w:rFonts w:ascii="Times New Roman" w:hAnsi="Times New Roman" w:cs="Times New Roman"/>
          <w:lang w:val="ro-MD"/>
        </w:rPr>
        <w:t xml:space="preserve"> lit. 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 </w:t>
      </w:r>
    </w:p>
    <w:p w14:paraId="73EA5C8A" w14:textId="77777777" w:rsidR="00F95829" w:rsidRPr="000508B6" w:rsidRDefault="00F95829" w:rsidP="00006457">
      <w:pPr>
        <w:tabs>
          <w:tab w:val="left" w:pos="567"/>
          <w:tab w:val="left" w:pos="709"/>
        </w:tabs>
        <w:spacing w:after="0" w:line="240" w:lineRule="auto"/>
        <w:ind w:firstLine="426"/>
        <w:jc w:val="both"/>
        <w:rPr>
          <w:rFonts w:ascii="Times New Roman" w:hAnsi="Times New Roman" w:cs="Times New Roman"/>
          <w:lang w:val="ro-MD"/>
        </w:rPr>
      </w:pPr>
    </w:p>
    <w:p w14:paraId="00ED04AF" w14:textId="11AC780C"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61</w:t>
      </w:r>
      <w:r w:rsidRPr="000508B6">
        <w:rPr>
          <w:rFonts w:ascii="Times New Roman" w:hAnsi="Times New Roman" w:cs="Times New Roman"/>
          <w:b/>
          <w:lang w:val="ro-MD"/>
        </w:rPr>
        <w:t>.</w:t>
      </w:r>
      <w:r w:rsidRPr="000508B6">
        <w:rPr>
          <w:rFonts w:ascii="Times New Roman" w:hAnsi="Times New Roman" w:cs="Times New Roman"/>
          <w:lang w:val="ro-MD"/>
        </w:rPr>
        <w:t xml:space="preserve"> Clasificarea pe ranguri </w:t>
      </w:r>
    </w:p>
    <w:p w14:paraId="1FD96C71" w14:textId="7718D716" w:rsidR="00F95829" w:rsidRPr="000508B6" w:rsidRDefault="000B527B" w:rsidP="00CF5AFA">
      <w:pPr>
        <w:pStyle w:val="Listparagraf"/>
        <w:numPr>
          <w:ilvl w:val="1"/>
          <w:numId w:val="15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00A451E7" w:rsidRPr="000508B6">
        <w:rPr>
          <w:rFonts w:ascii="Times New Roman" w:hAnsi="Times New Roman" w:cs="Times New Roman"/>
          <w:lang w:val="ro-MD"/>
        </w:rPr>
        <w:t>reasigurătorul</w:t>
      </w:r>
      <w:proofErr w:type="spellEnd"/>
      <w:r w:rsidR="00A451E7"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clasifică elementele fondurilor proprii </w:t>
      </w:r>
      <w:proofErr w:type="spellStart"/>
      <w:r w:rsidR="00F95829" w:rsidRPr="000508B6">
        <w:rPr>
          <w:rFonts w:ascii="Times New Roman" w:hAnsi="Times New Roman" w:cs="Times New Roman"/>
          <w:lang w:val="ro-MD"/>
        </w:rPr>
        <w:t>ţinând</w:t>
      </w:r>
      <w:proofErr w:type="spellEnd"/>
      <w:r w:rsidR="00F95829" w:rsidRPr="000508B6">
        <w:rPr>
          <w:rFonts w:ascii="Times New Roman" w:hAnsi="Times New Roman" w:cs="Times New Roman"/>
          <w:lang w:val="ro-MD"/>
        </w:rPr>
        <w:t xml:space="preserve"> cont de criteriile </w:t>
      </w:r>
      <w:proofErr w:type="spellStart"/>
      <w:r w:rsidR="00F95829" w:rsidRPr="000508B6">
        <w:rPr>
          <w:rFonts w:ascii="Times New Roman" w:hAnsi="Times New Roman" w:cs="Times New Roman"/>
          <w:lang w:val="ro-MD"/>
        </w:rPr>
        <w:t>menţionate</w:t>
      </w:r>
      <w:proofErr w:type="spellEnd"/>
      <w:r w:rsidR="00F95829" w:rsidRPr="000508B6">
        <w:rPr>
          <w:rFonts w:ascii="Times New Roman" w:hAnsi="Times New Roman" w:cs="Times New Roman"/>
          <w:lang w:val="ro-MD"/>
        </w:rPr>
        <w:t xml:space="preserve"> la art. </w:t>
      </w:r>
      <w:r w:rsidR="00FC145B" w:rsidRPr="000508B6">
        <w:rPr>
          <w:rFonts w:ascii="Times New Roman" w:hAnsi="Times New Roman" w:cs="Times New Roman"/>
          <w:lang w:val="ro-MD"/>
        </w:rPr>
        <w:t>60</w:t>
      </w:r>
      <w:r w:rsidR="000D5E37" w:rsidRPr="000508B6">
        <w:rPr>
          <w:rFonts w:ascii="Times New Roman" w:hAnsi="Times New Roman" w:cs="Times New Roman"/>
          <w:vertAlign w:val="superscript"/>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de lista de elemente de fonduri proprii cuprinsă în </w:t>
      </w:r>
      <w:r w:rsidR="00EE24A3" w:rsidRPr="000508B6">
        <w:rPr>
          <w:rFonts w:ascii="Times New Roman" w:hAnsi="Times New Roman" w:cs="Times New Roman"/>
          <w:lang w:val="ro-MD"/>
        </w:rPr>
        <w:t>actel</w:t>
      </w:r>
      <w:r w:rsidR="00FC669B" w:rsidRPr="000508B6">
        <w:rPr>
          <w:rFonts w:ascii="Times New Roman" w:hAnsi="Times New Roman" w:cs="Times New Roman"/>
          <w:lang w:val="ro-MD"/>
        </w:rPr>
        <w:t>e</w:t>
      </w:r>
      <w:r w:rsidR="00EE24A3" w:rsidRPr="000508B6">
        <w:rPr>
          <w:rFonts w:ascii="Times New Roman" w:hAnsi="Times New Roman" w:cs="Times New Roman"/>
          <w:lang w:val="ro-MD"/>
        </w:rPr>
        <w:t xml:space="preserve"> normative ale Băncii Naționale a Moldovei</w:t>
      </w:r>
      <w:r w:rsidR="00DF5D38" w:rsidRPr="000508B6">
        <w:rPr>
          <w:rFonts w:ascii="Times New Roman" w:hAnsi="Times New Roman" w:cs="Times New Roman"/>
          <w:lang w:val="ro-MD"/>
        </w:rPr>
        <w:t xml:space="preserve"> aferente fondurilor proprii</w:t>
      </w:r>
      <w:r w:rsidR="00F95829" w:rsidRPr="000508B6">
        <w:rPr>
          <w:rFonts w:ascii="Times New Roman" w:hAnsi="Times New Roman" w:cs="Times New Roman"/>
          <w:lang w:val="ro-MD"/>
        </w:rPr>
        <w:t>.</w:t>
      </w:r>
    </w:p>
    <w:p w14:paraId="7321EDBC" w14:textId="2ABCB32F" w:rsidR="00F95829" w:rsidRPr="000508B6" w:rsidRDefault="00F95829" w:rsidP="00CF5AFA">
      <w:pPr>
        <w:pStyle w:val="Listparagraf"/>
        <w:numPr>
          <w:ilvl w:val="1"/>
          <w:numId w:val="15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există elemente de fonduri proprii care nu sunt </w:t>
      </w:r>
      <w:r w:rsidR="000B527B" w:rsidRPr="000508B6">
        <w:rPr>
          <w:rFonts w:ascii="Times New Roman" w:hAnsi="Times New Roman" w:cs="Times New Roman"/>
          <w:lang w:val="ro-MD"/>
        </w:rPr>
        <w:t xml:space="preserve">incluse </w:t>
      </w:r>
      <w:r w:rsidRPr="000508B6">
        <w:rPr>
          <w:rFonts w:ascii="Times New Roman" w:hAnsi="Times New Roman" w:cs="Times New Roman"/>
          <w:lang w:val="ro-MD"/>
        </w:rPr>
        <w:t xml:space="preserve">în lista de elemente prevăzută la alin. (1),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4125E8" w:rsidRPr="000508B6">
        <w:rPr>
          <w:rFonts w:ascii="Times New Roman" w:hAnsi="Times New Roman" w:cs="Times New Roman"/>
          <w:lang w:val="ro-MD"/>
        </w:rPr>
        <w:t xml:space="preserve"> </w:t>
      </w:r>
      <w:r w:rsidR="00462496" w:rsidRPr="000508B6">
        <w:rPr>
          <w:rFonts w:ascii="Times New Roman" w:hAnsi="Times New Roman" w:cs="Times New Roman"/>
          <w:lang w:val="ro-MD"/>
        </w:rPr>
        <w:t>evaluează</w:t>
      </w:r>
      <w:r w:rsidR="000B527B" w:rsidRPr="000508B6">
        <w:rPr>
          <w:rFonts w:ascii="Times New Roman" w:hAnsi="Times New Roman" w:cs="Times New Roman"/>
          <w:lang w:val="ro-MD"/>
        </w:rPr>
        <w:t xml:space="preserve"> și clasifică elementele respective conform art. 60 și </w:t>
      </w:r>
      <w:r w:rsidRPr="000508B6">
        <w:rPr>
          <w:rFonts w:ascii="Times New Roman" w:hAnsi="Times New Roman" w:cs="Times New Roman"/>
          <w:lang w:val="ro-MD"/>
        </w:rPr>
        <w:t xml:space="preserve">solicită Băncii Naționale a Moldovei, aprobarea </w:t>
      </w:r>
      <w:r w:rsidR="000B527B" w:rsidRPr="000508B6">
        <w:rPr>
          <w:rFonts w:ascii="Times New Roman" w:hAnsi="Times New Roman" w:cs="Times New Roman"/>
          <w:lang w:val="ro-MD"/>
        </w:rPr>
        <w:t xml:space="preserve">pentru </w:t>
      </w:r>
      <w:r w:rsidRPr="000508B6">
        <w:rPr>
          <w:rFonts w:ascii="Times New Roman" w:hAnsi="Times New Roman" w:cs="Times New Roman"/>
          <w:lang w:val="ro-MD"/>
        </w:rPr>
        <w:t>eval</w:t>
      </w:r>
      <w:r w:rsidR="000B527B" w:rsidRPr="000508B6">
        <w:rPr>
          <w:rFonts w:ascii="Times New Roman" w:hAnsi="Times New Roman" w:cs="Times New Roman"/>
          <w:lang w:val="ro-MD"/>
        </w:rPr>
        <w:t>uarea</w:t>
      </w:r>
      <w:r w:rsidRPr="000508B6" w:rsidDel="000B527B">
        <w:rPr>
          <w:rFonts w:ascii="Times New Roman" w:hAnsi="Times New Roman" w:cs="Times New Roman"/>
          <w:lang w:val="ro-MD"/>
        </w:rPr>
        <w:t xml:space="preserve"> </w:t>
      </w:r>
      <w:r w:rsidR="000B527B" w:rsidRPr="000508B6">
        <w:rPr>
          <w:rFonts w:ascii="Times New Roman" w:hAnsi="Times New Roman" w:cs="Times New Roman"/>
          <w:lang w:val="ro-MD"/>
        </w:rPr>
        <w:t xml:space="preserve">și </w:t>
      </w:r>
      <w:r w:rsidRPr="000508B6">
        <w:rPr>
          <w:rFonts w:ascii="Times New Roman" w:hAnsi="Times New Roman" w:cs="Times New Roman"/>
          <w:lang w:val="ro-MD"/>
        </w:rPr>
        <w:t>clasific</w:t>
      </w:r>
      <w:r w:rsidR="000B527B" w:rsidRPr="000508B6">
        <w:rPr>
          <w:rFonts w:ascii="Times New Roman" w:hAnsi="Times New Roman" w:cs="Times New Roman"/>
          <w:lang w:val="ro-MD"/>
        </w:rPr>
        <w:t>area</w:t>
      </w:r>
      <w:r w:rsidRPr="000508B6" w:rsidDel="000B527B">
        <w:rPr>
          <w:rFonts w:ascii="Times New Roman" w:hAnsi="Times New Roman" w:cs="Times New Roman"/>
          <w:lang w:val="ro-MD"/>
        </w:rPr>
        <w:t xml:space="preserve"> </w:t>
      </w:r>
      <w:r w:rsidRPr="000508B6">
        <w:rPr>
          <w:rFonts w:ascii="Times New Roman" w:hAnsi="Times New Roman" w:cs="Times New Roman"/>
          <w:lang w:val="ro-MD"/>
        </w:rPr>
        <w:t xml:space="preserve">acestora. </w:t>
      </w:r>
    </w:p>
    <w:p w14:paraId="4726E068" w14:textId="77777777" w:rsidR="000B527B" w:rsidRPr="000508B6" w:rsidRDefault="000B527B" w:rsidP="008B530F">
      <w:pPr>
        <w:spacing w:after="0" w:line="240" w:lineRule="auto"/>
        <w:ind w:firstLine="426"/>
        <w:jc w:val="both"/>
        <w:rPr>
          <w:rFonts w:ascii="Times New Roman" w:hAnsi="Times New Roman" w:cs="Times New Roman"/>
          <w:b/>
          <w:lang w:val="ro-MD"/>
        </w:rPr>
      </w:pPr>
    </w:p>
    <w:p w14:paraId="3D8B1314" w14:textId="03C4EBDE" w:rsidR="00D45E68"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62</w:t>
      </w:r>
      <w:r w:rsidRPr="000508B6">
        <w:rPr>
          <w:rFonts w:ascii="Times New Roman" w:hAnsi="Times New Roman" w:cs="Times New Roman"/>
          <w:b/>
          <w:lang w:val="ro-MD"/>
        </w:rPr>
        <w:t>.</w:t>
      </w:r>
      <w:r w:rsidRPr="000508B6">
        <w:rPr>
          <w:rFonts w:ascii="Times New Roman" w:hAnsi="Times New Roman" w:cs="Times New Roman"/>
          <w:vertAlign w:val="superscript"/>
          <w:lang w:val="ro-MD"/>
        </w:rPr>
        <w:t xml:space="preserve"> </w:t>
      </w:r>
      <w:r w:rsidRPr="000508B6">
        <w:rPr>
          <w:rFonts w:ascii="Times New Roman" w:hAnsi="Times New Roman" w:cs="Times New Roman"/>
          <w:lang w:val="ro-MD"/>
        </w:rPr>
        <w:t xml:space="preserve">Clasificarea elementelor fondurilor proprii </w:t>
      </w:r>
      <w:r w:rsidR="00255EA8" w:rsidRPr="000508B6">
        <w:rPr>
          <w:rFonts w:ascii="Times New Roman" w:hAnsi="Times New Roman" w:cs="Times New Roman"/>
          <w:lang w:val="ro-MD"/>
        </w:rPr>
        <w:t xml:space="preserve">specifice asigurărilor </w:t>
      </w:r>
    </w:p>
    <w:p w14:paraId="05B57380" w14:textId="57D4EE7B"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prevederilor art. </w:t>
      </w:r>
      <w:r w:rsidR="00FC145B" w:rsidRPr="000508B6">
        <w:rPr>
          <w:rFonts w:ascii="Times New Roman" w:hAnsi="Times New Roman" w:cs="Times New Roman"/>
          <w:lang w:val="ro-MD"/>
        </w:rPr>
        <w:t>61</w:t>
      </w:r>
      <w:r w:rsidRPr="000508B6">
        <w:rPr>
          <w:rFonts w:ascii="Times New Roman" w:hAnsi="Times New Roman" w:cs="Times New Roman"/>
          <w:lang w:val="ro-MD"/>
        </w:rPr>
        <w:t xml:space="preserve">, fondurile proprii specifice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F37E8B" w:rsidRPr="000508B6">
        <w:rPr>
          <w:rFonts w:ascii="Times New Roman" w:hAnsi="Times New Roman" w:cs="Times New Roman"/>
          <w:lang w:val="ro-MD"/>
        </w:rPr>
        <w:t xml:space="preserve"> </w:t>
      </w:r>
      <w:r w:rsidRPr="000508B6">
        <w:rPr>
          <w:rFonts w:ascii="Times New Roman" w:hAnsi="Times New Roman" w:cs="Times New Roman"/>
          <w:lang w:val="ro-MD"/>
        </w:rPr>
        <w:t>se clasifică astfel:</w:t>
      </w:r>
    </w:p>
    <w:p w14:paraId="1D1CA9A7" w14:textId="6E0B0B1A" w:rsidR="00F95829" w:rsidRPr="000508B6" w:rsidRDefault="00F95829" w:rsidP="0006568A">
      <w:pPr>
        <w:pStyle w:val="Listparagraf"/>
        <w:numPr>
          <w:ilvl w:val="2"/>
          <w:numId w:val="156"/>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rangul 1: fondurile surplus,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F422C8" w:rsidRPr="000508B6">
        <w:rPr>
          <w:rFonts w:ascii="Times New Roman" w:hAnsi="Times New Roman" w:cs="Times New Roman"/>
          <w:lang w:val="ro-MD"/>
        </w:rPr>
        <w:t xml:space="preserve">58 </w:t>
      </w:r>
      <w:r w:rsidR="00D030EB" w:rsidRPr="000508B6">
        <w:rPr>
          <w:rFonts w:ascii="Times New Roman" w:hAnsi="Times New Roman" w:cs="Times New Roman"/>
          <w:lang w:val="ro-MD"/>
        </w:rPr>
        <w:t>alin. (2)</w:t>
      </w:r>
      <w:r w:rsidRPr="000508B6">
        <w:rPr>
          <w:rFonts w:ascii="Times New Roman" w:hAnsi="Times New Roman" w:cs="Times New Roman"/>
          <w:lang w:val="ro-MD"/>
        </w:rPr>
        <w:t xml:space="preserve">; </w:t>
      </w:r>
    </w:p>
    <w:p w14:paraId="35F2C72E" w14:textId="14C653C2" w:rsidR="00986625" w:rsidRPr="000508B6" w:rsidRDefault="00F95829" w:rsidP="0006568A">
      <w:pPr>
        <w:pStyle w:val="Listparagraf"/>
        <w:numPr>
          <w:ilvl w:val="2"/>
          <w:numId w:val="156"/>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rangul 2: </w:t>
      </w:r>
      <w:r w:rsidR="00986625" w:rsidRPr="000508B6">
        <w:rPr>
          <w:rFonts w:ascii="Times New Roman" w:hAnsi="Times New Roman" w:cs="Times New Roman"/>
          <w:lang w:val="ro-MD"/>
        </w:rPr>
        <w:t xml:space="preserve">acreditivele </w:t>
      </w:r>
      <w:proofErr w:type="spellStart"/>
      <w:r w:rsidR="00986625" w:rsidRPr="000508B6">
        <w:rPr>
          <w:rFonts w:ascii="Times New Roman" w:hAnsi="Times New Roman" w:cs="Times New Roman"/>
          <w:lang w:val="ro-MD"/>
        </w:rPr>
        <w:t>şi</w:t>
      </w:r>
      <w:proofErr w:type="spellEnd"/>
      <w:r w:rsidR="00986625" w:rsidRPr="000508B6">
        <w:rPr>
          <w:rFonts w:ascii="Times New Roman" w:hAnsi="Times New Roman" w:cs="Times New Roman"/>
          <w:lang w:val="ro-MD"/>
        </w:rPr>
        <w:t xml:space="preserve"> </w:t>
      </w:r>
      <w:proofErr w:type="spellStart"/>
      <w:r w:rsidR="00986625" w:rsidRPr="000508B6">
        <w:rPr>
          <w:rFonts w:ascii="Times New Roman" w:hAnsi="Times New Roman" w:cs="Times New Roman"/>
          <w:lang w:val="ro-MD"/>
        </w:rPr>
        <w:t>garanţiile</w:t>
      </w:r>
      <w:proofErr w:type="spellEnd"/>
      <w:r w:rsidR="00986625" w:rsidRPr="000508B6">
        <w:rPr>
          <w:rFonts w:ascii="Times New Roman" w:hAnsi="Times New Roman" w:cs="Times New Roman"/>
          <w:lang w:val="ro-MD"/>
        </w:rPr>
        <w:t xml:space="preserve">, care sunt deținute în </w:t>
      </w:r>
      <w:proofErr w:type="spellStart"/>
      <w:r w:rsidR="00986625" w:rsidRPr="000508B6">
        <w:rPr>
          <w:rFonts w:ascii="Times New Roman" w:hAnsi="Times New Roman" w:cs="Times New Roman"/>
          <w:lang w:val="ro-MD"/>
        </w:rPr>
        <w:t>fiducie</w:t>
      </w:r>
      <w:proofErr w:type="spellEnd"/>
      <w:r w:rsidR="00986625" w:rsidRPr="000508B6">
        <w:rPr>
          <w:rFonts w:ascii="Times New Roman" w:hAnsi="Times New Roman" w:cs="Times New Roman"/>
          <w:lang w:val="ro-MD"/>
        </w:rPr>
        <w:t xml:space="preserve"> (trust) de către  un mandatar independent în beneficiul asiguraților </w:t>
      </w:r>
      <w:proofErr w:type="spellStart"/>
      <w:r w:rsidR="00986625" w:rsidRPr="000508B6">
        <w:rPr>
          <w:rFonts w:ascii="Times New Roman" w:hAnsi="Times New Roman" w:cs="Times New Roman"/>
          <w:lang w:val="ro-MD"/>
        </w:rPr>
        <w:t>şi</w:t>
      </w:r>
      <w:proofErr w:type="spellEnd"/>
      <w:r w:rsidR="00986625" w:rsidRPr="000508B6">
        <w:rPr>
          <w:rFonts w:ascii="Times New Roman" w:hAnsi="Times New Roman" w:cs="Times New Roman"/>
          <w:lang w:val="ro-MD"/>
        </w:rPr>
        <w:t xml:space="preserve"> furnizate de către bănci. </w:t>
      </w:r>
    </w:p>
    <w:p w14:paraId="7757C38F" w14:textId="77777777" w:rsidR="00D52715" w:rsidRPr="000508B6" w:rsidRDefault="00D52715" w:rsidP="007929FB">
      <w:pPr>
        <w:spacing w:after="0" w:line="240" w:lineRule="auto"/>
        <w:jc w:val="both"/>
        <w:rPr>
          <w:rFonts w:ascii="Times New Roman" w:hAnsi="Times New Roman" w:cs="Times New Roman"/>
          <w:lang w:val="ro-MD"/>
        </w:rPr>
      </w:pPr>
    </w:p>
    <w:p w14:paraId="29200A75" w14:textId="5CF0DE69"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C41D4B" w:rsidRPr="000508B6">
        <w:rPr>
          <w:rFonts w:ascii="Times New Roman" w:hAnsi="Times New Roman" w:cs="Times New Roman"/>
          <w:b/>
          <w:lang w:val="ro-MD"/>
        </w:rPr>
        <w:t>3</w:t>
      </w:r>
      <w:r w:rsidRPr="000508B6">
        <w:rPr>
          <w:rFonts w:ascii="Times New Roman" w:hAnsi="Times New Roman" w:cs="Times New Roman"/>
          <w:b/>
          <w:lang w:val="ro-MD"/>
        </w:rPr>
        <w:t>.3</w:t>
      </w:r>
    </w:p>
    <w:p w14:paraId="4D3DF2F6"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Eligibilitatea fondurilor proprii</w:t>
      </w:r>
    </w:p>
    <w:p w14:paraId="4A92F755" w14:textId="20861511"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63</w:t>
      </w:r>
      <w:r w:rsidR="0043326F" w:rsidRPr="000508B6">
        <w:rPr>
          <w:rFonts w:ascii="Times New Roman" w:hAnsi="Times New Roman" w:cs="Times New Roman"/>
          <w:b/>
          <w:lang w:val="ro-MD"/>
        </w:rPr>
        <w:t>.</w:t>
      </w:r>
      <w:r w:rsidR="003C51C6" w:rsidRPr="000508B6">
        <w:rPr>
          <w:rFonts w:ascii="Times New Roman" w:hAnsi="Times New Roman" w:cs="Times New Roman"/>
          <w:vertAlign w:val="superscript"/>
          <w:lang w:val="ro-MD"/>
        </w:rPr>
        <w:t xml:space="preserve"> </w:t>
      </w:r>
      <w:r w:rsidRPr="000508B6">
        <w:rPr>
          <w:rFonts w:ascii="Times New Roman" w:hAnsi="Times New Roman" w:cs="Times New Roman"/>
          <w:lang w:val="ro-MD"/>
        </w:rPr>
        <w:t>Eligibilitate</w:t>
      </w:r>
      <w:r w:rsidR="002C7826" w:rsidRPr="000508B6">
        <w:rPr>
          <w:rFonts w:ascii="Times New Roman" w:hAnsi="Times New Roman" w:cs="Times New Roman"/>
          <w:lang w:val="ro-MD"/>
        </w:rPr>
        <w:t xml:space="preserve"> </w:t>
      </w:r>
      <w:r w:rsidR="004D7EE6" w:rsidRPr="000508B6">
        <w:rPr>
          <w:rFonts w:ascii="Times New Roman" w:hAnsi="Times New Roman" w:cs="Times New Roman"/>
          <w:lang w:val="ro-MD"/>
        </w:rPr>
        <w:t>și limite aplicabile rangurilor 1, 2 și 3</w:t>
      </w:r>
      <w:r w:rsidR="004D7EE6" w:rsidRPr="000508B6" w:rsidDel="004D7EE6">
        <w:rPr>
          <w:rFonts w:ascii="Times New Roman" w:hAnsi="Times New Roman" w:cs="Times New Roman"/>
          <w:lang w:val="ro-MD"/>
        </w:rPr>
        <w:t xml:space="preserve"> </w:t>
      </w:r>
    </w:p>
    <w:p w14:paraId="0C73A2B4" w14:textId="01718159" w:rsidR="00C041F3" w:rsidRPr="000508B6" w:rsidRDefault="00C041F3" w:rsidP="00C041F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1)  În ceea ce privește respectarea SCR, valorile eligibile de rangurile 2 și 3 sunt supuse unor limite cantitative. Limitele în cauză sunt stabilite astfel încât să fie îndeplinite cel puțin următoarele condiții:</w:t>
      </w:r>
    </w:p>
    <w:p w14:paraId="5F89840F" w14:textId="31AF6A57" w:rsidR="00C041F3" w:rsidRPr="000508B6" w:rsidRDefault="00C041F3" w:rsidP="00C041F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 elementele de rangul 1 din fondurile proprii eligibile reprezintă peste o treime din valoarea totală a fondurilor proprii eligibile;</w:t>
      </w:r>
    </w:p>
    <w:p w14:paraId="3728EE58" w14:textId="318F5F4D" w:rsidR="00C041F3" w:rsidRPr="000508B6" w:rsidRDefault="00C041F3" w:rsidP="00C041F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b) valoarea eligibilă a elementelor de rangul 3 reprezintă sub o treime din valoarea totală a fondurilor proprii eligibile.</w:t>
      </w:r>
    </w:p>
    <w:p w14:paraId="66A55E57" w14:textId="32191BBC" w:rsidR="00C041F3" w:rsidRPr="000508B6" w:rsidRDefault="00C041F3" w:rsidP="00C041F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(2)  În ceea ce privește respectarea MCR, valoarea elementelor fondurilor proprii de bază eligibile pentru a acoperi MCR și clasificate la rangul 2 este supusă unor limite cantitative. Limitele în cauză se stabilesc astfel încât să se garanteze cel puțin că elementele de rangul 1 din fondurile proprii de bază eligibile reprezintă peste o jumătate din valoarea totală a fondurilor proprii de bază eligibile.</w:t>
      </w:r>
    </w:p>
    <w:p w14:paraId="1D121977" w14:textId="5DF931FB" w:rsidR="00C041F3" w:rsidRPr="000508B6" w:rsidRDefault="00C041F3" w:rsidP="00C041F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(3)  Valoarea fondurilor proprii eligibilă pentru a acoperi SCR prevăzută la art</w:t>
      </w:r>
      <w:r w:rsidR="009E0B31" w:rsidRPr="000508B6">
        <w:rPr>
          <w:rFonts w:ascii="Times New Roman" w:hAnsi="Times New Roman" w:cs="Times New Roman"/>
          <w:lang w:val="ro-MD"/>
        </w:rPr>
        <w:t>.</w:t>
      </w:r>
      <w:r w:rsidRPr="000508B6">
        <w:rPr>
          <w:rFonts w:ascii="Times New Roman" w:hAnsi="Times New Roman" w:cs="Times New Roman"/>
          <w:lang w:val="ro-MD"/>
        </w:rPr>
        <w:t xml:space="preserve"> </w:t>
      </w:r>
      <w:r w:rsidR="009E0B31" w:rsidRPr="000508B6">
        <w:rPr>
          <w:rFonts w:ascii="Times New Roman" w:hAnsi="Times New Roman" w:cs="Times New Roman"/>
          <w:lang w:val="ro-MD"/>
        </w:rPr>
        <w:t>64</w:t>
      </w:r>
      <w:r w:rsidRPr="000508B6">
        <w:rPr>
          <w:rFonts w:ascii="Times New Roman" w:hAnsi="Times New Roman" w:cs="Times New Roman"/>
          <w:lang w:val="ro-MD"/>
        </w:rPr>
        <w:t xml:space="preserve"> este egală cu suma valorii elementelor de rangul 1, a valorii eligibile a elementelor de rangul 2 și a valorii eligibile a elementelor de rangul 3.</w:t>
      </w:r>
    </w:p>
    <w:p w14:paraId="07B361A5" w14:textId="77777777" w:rsidR="009E0B31" w:rsidRPr="000508B6" w:rsidRDefault="00C041F3" w:rsidP="00C041F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(4)  Valoarea fondurilor proprii de bază eligibilă pentru a acoperi </w:t>
      </w:r>
      <w:r w:rsidR="009E0B31" w:rsidRPr="000508B6">
        <w:rPr>
          <w:rFonts w:ascii="Times New Roman" w:hAnsi="Times New Roman" w:cs="Times New Roman"/>
          <w:lang w:val="ro-MD"/>
        </w:rPr>
        <w:t>MCR</w:t>
      </w:r>
      <w:r w:rsidRPr="000508B6">
        <w:rPr>
          <w:rFonts w:ascii="Times New Roman" w:hAnsi="Times New Roman" w:cs="Times New Roman"/>
          <w:lang w:val="ro-MD"/>
        </w:rPr>
        <w:t xml:space="preserve"> prevăzută la art</w:t>
      </w:r>
      <w:r w:rsidR="009E0B31" w:rsidRPr="000508B6">
        <w:rPr>
          <w:rFonts w:ascii="Times New Roman" w:hAnsi="Times New Roman" w:cs="Times New Roman"/>
          <w:lang w:val="ro-MD"/>
        </w:rPr>
        <w:t>.</w:t>
      </w:r>
      <w:r w:rsidRPr="000508B6">
        <w:rPr>
          <w:rFonts w:ascii="Times New Roman" w:hAnsi="Times New Roman" w:cs="Times New Roman"/>
          <w:lang w:val="ro-MD"/>
        </w:rPr>
        <w:t xml:space="preserve"> </w:t>
      </w:r>
      <w:r w:rsidR="009E0B31" w:rsidRPr="000508B6">
        <w:rPr>
          <w:rFonts w:ascii="Times New Roman" w:hAnsi="Times New Roman" w:cs="Times New Roman"/>
          <w:lang w:val="ro-MD"/>
        </w:rPr>
        <w:t>88</w:t>
      </w:r>
      <w:r w:rsidRPr="000508B6">
        <w:rPr>
          <w:rFonts w:ascii="Times New Roman" w:hAnsi="Times New Roman" w:cs="Times New Roman"/>
          <w:lang w:val="ro-MD"/>
        </w:rPr>
        <w:t xml:space="preserve"> este egală cu suma valorii elementelor de rangul 1 și a valorii eligibile a elementelor fondurilor proprii de bază de rangul 2.</w:t>
      </w:r>
    </w:p>
    <w:p w14:paraId="5CAD3592" w14:textId="77777777" w:rsidR="00D727D3" w:rsidRPr="000508B6" w:rsidRDefault="00D727D3" w:rsidP="00C041F3">
      <w:pPr>
        <w:spacing w:after="0" w:line="240" w:lineRule="auto"/>
        <w:ind w:firstLine="426"/>
        <w:jc w:val="both"/>
        <w:rPr>
          <w:rFonts w:ascii="Times New Roman" w:hAnsi="Times New Roman" w:cs="Times New Roman"/>
          <w:lang w:val="ro-MD"/>
        </w:rPr>
      </w:pPr>
    </w:p>
    <w:p w14:paraId="7152E801" w14:textId="15D63603"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w:t>
      </w:r>
      <w:r w:rsidR="00404364" w:rsidRPr="000508B6">
        <w:rPr>
          <w:rFonts w:ascii="Times New Roman" w:eastAsia="Times New Roman" w:hAnsi="Times New Roman" w:cs="Times New Roman"/>
          <w:b/>
          <w:lang w:val="ro-MD"/>
        </w:rPr>
        <w:t xml:space="preserve"> </w:t>
      </w:r>
      <w:r w:rsidR="00C41D4B" w:rsidRPr="000508B6">
        <w:rPr>
          <w:rFonts w:ascii="Times New Roman" w:eastAsia="Times New Roman" w:hAnsi="Times New Roman" w:cs="Times New Roman"/>
          <w:b/>
          <w:lang w:val="ro-MD"/>
        </w:rPr>
        <w:t>4</w:t>
      </w:r>
      <w:r w:rsidRPr="000508B6">
        <w:rPr>
          <w:rFonts w:ascii="Times New Roman" w:eastAsia="Times New Roman" w:hAnsi="Times New Roman" w:cs="Times New Roman"/>
          <w:b/>
          <w:lang w:val="ro-MD"/>
        </w:rPr>
        <w:t>-a</w:t>
      </w:r>
    </w:p>
    <w:p w14:paraId="149B72C4" w14:textId="353A38C8" w:rsidR="00F95829" w:rsidRPr="000508B6" w:rsidRDefault="00F95829" w:rsidP="008B530F">
      <w:pPr>
        <w:spacing w:after="0" w:line="240" w:lineRule="auto"/>
        <w:ind w:firstLine="426"/>
        <w:jc w:val="center"/>
        <w:rPr>
          <w:rFonts w:ascii="Times New Roman" w:hAnsi="Times New Roman" w:cs="Times New Roman"/>
          <w:b/>
          <w:lang w:val="ro-MD"/>
        </w:rPr>
      </w:pPr>
      <w:proofErr w:type="spellStart"/>
      <w:r w:rsidRPr="000508B6">
        <w:rPr>
          <w:rFonts w:ascii="Times New Roman" w:hAnsi="Times New Roman" w:cs="Times New Roman"/>
          <w:b/>
          <w:lang w:val="ro-MD"/>
        </w:rPr>
        <w:t>Cerinţa</w:t>
      </w:r>
      <w:proofErr w:type="spellEnd"/>
      <w:r w:rsidRPr="000508B6">
        <w:rPr>
          <w:rFonts w:ascii="Times New Roman" w:hAnsi="Times New Roman" w:cs="Times New Roman"/>
          <w:b/>
          <w:lang w:val="ro-MD"/>
        </w:rPr>
        <w:t xml:space="preserve"> de capital de solvabilitate </w:t>
      </w:r>
      <w:r w:rsidR="00F2595E" w:rsidRPr="000508B6">
        <w:rPr>
          <w:rFonts w:ascii="Times New Roman" w:hAnsi="Times New Roman" w:cs="Times New Roman"/>
          <w:b/>
          <w:lang w:val="ro-MD"/>
        </w:rPr>
        <w:t>(SCR)</w:t>
      </w:r>
      <w:r w:rsidRPr="000508B6">
        <w:rPr>
          <w:rFonts w:ascii="Times New Roman" w:hAnsi="Times New Roman" w:cs="Times New Roman"/>
          <w:b/>
          <w:lang w:val="ro-MD"/>
        </w:rPr>
        <w:t xml:space="preserve"> </w:t>
      </w:r>
    </w:p>
    <w:p w14:paraId="0586D474" w14:textId="55E2CB02" w:rsidR="0016377F"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C41D4B" w:rsidRPr="000508B6">
        <w:rPr>
          <w:rFonts w:ascii="Times New Roman" w:hAnsi="Times New Roman" w:cs="Times New Roman"/>
          <w:b/>
          <w:lang w:val="ro-MD"/>
        </w:rPr>
        <w:t>4</w:t>
      </w:r>
      <w:r w:rsidRPr="000508B6">
        <w:rPr>
          <w:rFonts w:ascii="Times New Roman" w:hAnsi="Times New Roman" w:cs="Times New Roman"/>
          <w:b/>
          <w:lang w:val="ro-MD"/>
        </w:rPr>
        <w:t xml:space="preserve">.1 </w:t>
      </w:r>
    </w:p>
    <w:p w14:paraId="2A8E7B2F" w14:textId="5B02626D" w:rsidR="00F95829" w:rsidRPr="000508B6" w:rsidRDefault="00F95829" w:rsidP="008B530F">
      <w:pPr>
        <w:spacing w:after="0" w:line="240" w:lineRule="auto"/>
        <w:ind w:firstLine="426"/>
        <w:jc w:val="center"/>
        <w:rPr>
          <w:rFonts w:ascii="Times New Roman" w:hAnsi="Times New Roman" w:cs="Times New Roman"/>
          <w:b/>
          <w:lang w:val="ro-MD"/>
        </w:rPr>
      </w:pPr>
      <w:proofErr w:type="spellStart"/>
      <w:r w:rsidRPr="000508B6">
        <w:rPr>
          <w:rFonts w:ascii="Times New Roman" w:hAnsi="Times New Roman" w:cs="Times New Roman"/>
          <w:b/>
          <w:lang w:val="ro-MD"/>
        </w:rPr>
        <w:t>Dispoziţii</w:t>
      </w:r>
      <w:proofErr w:type="spellEnd"/>
      <w:r w:rsidRPr="000508B6">
        <w:rPr>
          <w:rFonts w:ascii="Times New Roman" w:hAnsi="Times New Roman" w:cs="Times New Roman"/>
          <w:b/>
          <w:lang w:val="ro-MD"/>
        </w:rPr>
        <w:t xml:space="preserve"> generale </w:t>
      </w:r>
    </w:p>
    <w:p w14:paraId="4012A1AE" w14:textId="1651A4F4"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64</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Pr="000508B6">
        <w:rPr>
          <w:rFonts w:ascii="Times New Roman" w:hAnsi="Times New Roman" w:cs="Times New Roman"/>
          <w:lang w:val="ro-MD"/>
        </w:rPr>
        <w:t xml:space="preserve">Calcularea SCR </w:t>
      </w:r>
    </w:p>
    <w:p w14:paraId="25D156F2" w14:textId="1C8D5590" w:rsidR="00F95829" w:rsidRPr="000508B6" w:rsidRDefault="00D068AA" w:rsidP="00A451E7">
      <w:pPr>
        <w:pStyle w:val="Listparagraf"/>
        <w:numPr>
          <w:ilvl w:val="1"/>
          <w:numId w:val="15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sidDel="004725A5">
        <w:rPr>
          <w:rFonts w:ascii="Times New Roman" w:hAnsi="Times New Roman" w:cs="Times New Roman"/>
          <w:lang w:val="ro-MD"/>
        </w:rPr>
        <w:t xml:space="preserve"> </w:t>
      </w:r>
      <w:r w:rsidR="004725A5" w:rsidRPr="000508B6">
        <w:rPr>
          <w:rFonts w:ascii="Times New Roman" w:hAnsi="Times New Roman" w:cs="Times New Roman"/>
          <w:lang w:val="ro-MD"/>
        </w:rPr>
        <w:t xml:space="preserve">are </w:t>
      </w:r>
      <w:proofErr w:type="spellStart"/>
      <w:r w:rsidR="00F95829" w:rsidRPr="000508B6">
        <w:rPr>
          <w:rFonts w:ascii="Times New Roman" w:hAnsi="Times New Roman" w:cs="Times New Roman"/>
          <w:lang w:val="ro-MD"/>
        </w:rPr>
        <w:t>obligaţia</w:t>
      </w:r>
      <w:proofErr w:type="spellEnd"/>
      <w:r w:rsidR="00F95829" w:rsidRPr="000508B6">
        <w:rPr>
          <w:rFonts w:ascii="Times New Roman" w:hAnsi="Times New Roman" w:cs="Times New Roman"/>
          <w:lang w:val="ro-MD"/>
        </w:rPr>
        <w:t xml:space="preserve"> să </w:t>
      </w:r>
      <w:proofErr w:type="spellStart"/>
      <w:r w:rsidR="00F95829" w:rsidRPr="000508B6">
        <w:rPr>
          <w:rFonts w:ascii="Times New Roman" w:hAnsi="Times New Roman" w:cs="Times New Roman"/>
          <w:lang w:val="ro-MD"/>
        </w:rPr>
        <w:t>deţină</w:t>
      </w:r>
      <w:proofErr w:type="spellEnd"/>
      <w:r w:rsidR="00F95829" w:rsidRPr="000508B6">
        <w:rPr>
          <w:rFonts w:ascii="Times New Roman" w:hAnsi="Times New Roman" w:cs="Times New Roman"/>
          <w:lang w:val="ro-MD"/>
        </w:rPr>
        <w:t xml:space="preserve"> fonduri proprii eligibile pentru a acoperi SCR, calculată prin formula standard sau printr-un model intern, în conformitate cu </w:t>
      </w:r>
      <w:r w:rsidR="00EF5A64" w:rsidRPr="000508B6">
        <w:rPr>
          <w:rFonts w:ascii="Times New Roman" w:hAnsi="Times New Roman" w:cs="Times New Roman"/>
          <w:lang w:val="ro-MD"/>
        </w:rPr>
        <w:t>art. 66-74</w:t>
      </w:r>
      <w:r w:rsidR="00F95829" w:rsidRPr="000508B6">
        <w:rPr>
          <w:rFonts w:ascii="Times New Roman" w:hAnsi="Times New Roman" w:cs="Times New Roman"/>
          <w:lang w:val="ro-MD"/>
        </w:rPr>
        <w:t xml:space="preserve">, respectiv </w:t>
      </w:r>
      <w:r w:rsidR="00EF5A64" w:rsidRPr="000508B6">
        <w:rPr>
          <w:rFonts w:ascii="Times New Roman" w:hAnsi="Times New Roman" w:cs="Times New Roman"/>
          <w:lang w:val="ro-MD"/>
        </w:rPr>
        <w:t>art. 75-83</w:t>
      </w:r>
      <w:r w:rsidR="00F95829" w:rsidRPr="000508B6">
        <w:rPr>
          <w:rFonts w:ascii="Times New Roman" w:hAnsi="Times New Roman" w:cs="Times New Roman"/>
          <w:lang w:val="ro-MD"/>
        </w:rPr>
        <w:t xml:space="preserve">. </w:t>
      </w:r>
    </w:p>
    <w:p w14:paraId="6B01475F" w14:textId="3A26C776" w:rsidR="00F95829" w:rsidRPr="000508B6" w:rsidRDefault="00F95829" w:rsidP="0006568A">
      <w:pPr>
        <w:pStyle w:val="Listparagraf"/>
        <w:numPr>
          <w:ilvl w:val="1"/>
          <w:numId w:val="15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se calculează având în vedere principiul </w:t>
      </w:r>
      <w:proofErr w:type="spellStart"/>
      <w:r w:rsidRPr="000508B6">
        <w:rPr>
          <w:rFonts w:ascii="Times New Roman" w:hAnsi="Times New Roman" w:cs="Times New Roman"/>
          <w:lang w:val="ro-MD"/>
        </w:rPr>
        <w:t>continuităţii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se calibrează astfel încât să </w:t>
      </w:r>
      <w:r w:rsidR="00440352" w:rsidRPr="000508B6">
        <w:rPr>
          <w:rFonts w:ascii="Times New Roman" w:hAnsi="Times New Roman" w:cs="Times New Roman"/>
          <w:lang w:val="ro-MD"/>
        </w:rPr>
        <w:t>se garanteze luarea în calcul</w:t>
      </w:r>
      <w:r w:rsidR="00440352" w:rsidRPr="000508B6" w:rsidDel="00440352">
        <w:rPr>
          <w:rFonts w:ascii="Times New Roman" w:hAnsi="Times New Roman" w:cs="Times New Roman"/>
          <w:lang w:val="ro-MD"/>
        </w:rPr>
        <w:t xml:space="preserve"> </w:t>
      </w:r>
      <w:r w:rsidR="00F66E0A" w:rsidRPr="000508B6">
        <w:rPr>
          <w:rFonts w:ascii="Times New Roman" w:hAnsi="Times New Roman" w:cs="Times New Roman"/>
          <w:lang w:val="ro-MD"/>
        </w:rPr>
        <w:t xml:space="preserve">a tuturor </w:t>
      </w:r>
      <w:r w:rsidRPr="000508B6">
        <w:rPr>
          <w:rFonts w:ascii="Times New Roman" w:hAnsi="Times New Roman" w:cs="Times New Roman"/>
          <w:lang w:val="ro-MD"/>
        </w:rPr>
        <w:t>riscuril</w:t>
      </w:r>
      <w:r w:rsidR="00F66E0A" w:rsidRPr="000508B6">
        <w:rPr>
          <w:rFonts w:ascii="Times New Roman" w:hAnsi="Times New Roman" w:cs="Times New Roman"/>
          <w:lang w:val="ro-MD"/>
        </w:rPr>
        <w:t>or</w:t>
      </w:r>
      <w:r w:rsidRPr="000508B6">
        <w:rPr>
          <w:rFonts w:ascii="Times New Roman" w:hAnsi="Times New Roman" w:cs="Times New Roman"/>
          <w:lang w:val="ro-MD"/>
        </w:rPr>
        <w:t xml:space="preserve"> cuantificabile la care ace</w:t>
      </w:r>
      <w:r w:rsidR="00B21D17" w:rsidRPr="000508B6">
        <w:rPr>
          <w:rFonts w:ascii="Times New Roman" w:hAnsi="Times New Roman" w:cs="Times New Roman"/>
          <w:lang w:val="ro-MD"/>
        </w:rPr>
        <w:t>a</w:t>
      </w:r>
      <w:r w:rsidRPr="000508B6">
        <w:rPr>
          <w:rFonts w:ascii="Times New Roman" w:hAnsi="Times New Roman" w:cs="Times New Roman"/>
          <w:lang w:val="ro-MD"/>
        </w:rPr>
        <w:t xml:space="preserve">sta </w:t>
      </w:r>
      <w:r w:rsidR="00B21D17" w:rsidRPr="000508B6">
        <w:rPr>
          <w:rFonts w:ascii="Times New Roman" w:hAnsi="Times New Roman" w:cs="Times New Roman"/>
          <w:lang w:val="ro-MD"/>
        </w:rPr>
        <w:t>este expusă</w:t>
      </w:r>
      <w:r w:rsidRPr="000508B6">
        <w:rPr>
          <w:rFonts w:ascii="Times New Roman" w:hAnsi="Times New Roman" w:cs="Times New Roman"/>
          <w:lang w:val="ro-MD"/>
        </w:rPr>
        <w:t xml:space="preserve">. </w:t>
      </w:r>
    </w:p>
    <w:p w14:paraId="2B1BEFF7" w14:textId="2A23EE44" w:rsidR="00F95829" w:rsidRPr="000508B6" w:rsidRDefault="00F95829" w:rsidP="0006568A">
      <w:pPr>
        <w:pStyle w:val="Listparagraf"/>
        <w:numPr>
          <w:ilvl w:val="1"/>
          <w:numId w:val="15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realizarea calibrării prevăzute la alin. (2) se au în vedere pierderile neprevăzute din </w:t>
      </w:r>
      <w:proofErr w:type="spellStart"/>
      <w:r w:rsidRPr="000508B6">
        <w:rPr>
          <w:rFonts w:ascii="Times New Roman" w:hAnsi="Times New Roman" w:cs="Times New Roman"/>
          <w:lang w:val="ro-MD"/>
        </w:rPr>
        <w:t>activităţile</w:t>
      </w:r>
      <w:proofErr w:type="spellEnd"/>
      <w:r w:rsidRPr="000508B6">
        <w:rPr>
          <w:rFonts w:ascii="Times New Roman" w:hAnsi="Times New Roman" w:cs="Times New Roman"/>
          <w:lang w:val="ro-MD"/>
        </w:rPr>
        <w:t xml:space="preserve"> curente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toate contractele noi care urmează a fi subscrise în următoarele 12 luni. </w:t>
      </w:r>
    </w:p>
    <w:p w14:paraId="69D1924C" w14:textId="3F786DF6" w:rsidR="00F95829" w:rsidRPr="000508B6" w:rsidRDefault="00F95829" w:rsidP="0006568A">
      <w:pPr>
        <w:pStyle w:val="Listparagraf"/>
        <w:numPr>
          <w:ilvl w:val="1"/>
          <w:numId w:val="15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Calibrarea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(2) </w:t>
      </w:r>
      <w:r w:rsidR="00440352" w:rsidRPr="000508B6">
        <w:rPr>
          <w:rFonts w:ascii="Times New Roman" w:hAnsi="Times New Roman" w:cs="Times New Roman"/>
          <w:lang w:val="ro-MD"/>
        </w:rPr>
        <w:t>corespunde cu</w:t>
      </w:r>
      <w:r w:rsidR="00440352" w:rsidRPr="000508B6" w:rsidDel="00440352">
        <w:rPr>
          <w:rFonts w:ascii="Times New Roman" w:hAnsi="Times New Roman" w:cs="Times New Roman"/>
          <w:lang w:val="ro-MD"/>
        </w:rPr>
        <w:t xml:space="preserve"> </w:t>
      </w:r>
      <w:r w:rsidRPr="000508B6">
        <w:rPr>
          <w:rFonts w:ascii="Times New Roman" w:hAnsi="Times New Roman" w:cs="Times New Roman"/>
          <w:lang w:val="ro-MD"/>
        </w:rPr>
        <w:t>valoarea la risc a fondurilor proprii de bază, la un nivel de încredere de</w:t>
      </w:r>
      <w:r w:rsidR="00BF5CDD" w:rsidRPr="000508B6">
        <w:rPr>
          <w:rFonts w:ascii="Times New Roman" w:hAnsi="Times New Roman" w:cs="Times New Roman"/>
          <w:lang w:val="ro-MD"/>
        </w:rPr>
        <w:t xml:space="preserve"> 99,5%, pe o perioadă de un an. </w:t>
      </w:r>
    </w:p>
    <w:p w14:paraId="27E656F6" w14:textId="4975CF5F" w:rsidR="00F95829" w:rsidRPr="000508B6" w:rsidRDefault="00F95829" w:rsidP="0006568A">
      <w:pPr>
        <w:pStyle w:val="Listparagraf"/>
        <w:numPr>
          <w:ilvl w:val="1"/>
          <w:numId w:val="15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acoperă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următoarele riscuri: </w:t>
      </w:r>
    </w:p>
    <w:p w14:paraId="4AA2DDAE" w14:textId="351D571A" w:rsidR="00F95829" w:rsidRPr="000508B6" w:rsidRDefault="00F95829" w:rsidP="00776975">
      <w:pPr>
        <w:pStyle w:val="Listparagraf"/>
        <w:numPr>
          <w:ilvl w:val="2"/>
          <w:numId w:val="478"/>
        </w:numPr>
        <w:tabs>
          <w:tab w:val="left" w:pos="709"/>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riscul de subscriere pentru activitatea de </w:t>
      </w:r>
      <w:r w:rsidR="000165FC"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0165FC" w:rsidRPr="000508B6">
        <w:rPr>
          <w:rFonts w:ascii="Times New Roman" w:hAnsi="Times New Roman" w:cs="Times New Roman"/>
          <w:lang w:val="ro-MD"/>
        </w:rPr>
        <w:t>ă</w:t>
      </w:r>
      <w:r w:rsidRPr="000508B6">
        <w:rPr>
          <w:rFonts w:ascii="Times New Roman" w:hAnsi="Times New Roman" w:cs="Times New Roman"/>
          <w:lang w:val="ro-MD"/>
        </w:rPr>
        <w:t xml:space="preserve">; </w:t>
      </w:r>
    </w:p>
    <w:p w14:paraId="651F2C88" w14:textId="7C0686E9" w:rsidR="00F95829" w:rsidRPr="000508B6" w:rsidRDefault="00F95829" w:rsidP="00776975">
      <w:pPr>
        <w:pStyle w:val="Listparagraf"/>
        <w:numPr>
          <w:ilvl w:val="2"/>
          <w:numId w:val="478"/>
        </w:numPr>
        <w:tabs>
          <w:tab w:val="left" w:pos="567"/>
          <w:tab w:val="left" w:pos="709"/>
          <w:tab w:val="left" w:pos="851"/>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riscul de subscriere pentru activitatea de </w:t>
      </w:r>
      <w:r w:rsidR="000165FC" w:rsidRPr="000508B6">
        <w:rPr>
          <w:rFonts w:ascii="Times New Roman" w:hAnsi="Times New Roman" w:cs="Times New Roman"/>
          <w:lang w:val="ro-MD"/>
        </w:rPr>
        <w:t>asigurare</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
    <w:p w14:paraId="77FC52D1" w14:textId="14A38080" w:rsidR="00F95829" w:rsidRPr="000508B6" w:rsidRDefault="00F95829" w:rsidP="00776975">
      <w:pPr>
        <w:pStyle w:val="Listparagraf"/>
        <w:numPr>
          <w:ilvl w:val="2"/>
          <w:numId w:val="478"/>
        </w:numPr>
        <w:tabs>
          <w:tab w:val="left" w:pos="709"/>
          <w:tab w:val="left" w:pos="851"/>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riscul de subscriere pentru activitatea de </w:t>
      </w:r>
      <w:r w:rsidR="000165FC" w:rsidRPr="000508B6">
        <w:rPr>
          <w:rFonts w:ascii="Times New Roman" w:hAnsi="Times New Roman" w:cs="Times New Roman"/>
          <w:lang w:val="ro-MD"/>
        </w:rPr>
        <w:t>asigurare</w:t>
      </w:r>
      <w:r w:rsidRPr="000508B6">
        <w:rPr>
          <w:rFonts w:ascii="Times New Roman" w:hAnsi="Times New Roman" w:cs="Times New Roman"/>
          <w:lang w:val="ro-MD"/>
        </w:rPr>
        <w:t xml:space="preserve"> de sănătate; </w:t>
      </w:r>
    </w:p>
    <w:p w14:paraId="26020DF8" w14:textId="6848741F" w:rsidR="00F95829" w:rsidRPr="000508B6" w:rsidRDefault="00F95829" w:rsidP="00776975">
      <w:pPr>
        <w:pStyle w:val="Listparagraf"/>
        <w:numPr>
          <w:ilvl w:val="2"/>
          <w:numId w:val="478"/>
        </w:numPr>
        <w:tabs>
          <w:tab w:val="left" w:pos="709"/>
          <w:tab w:val="left" w:pos="851"/>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riscul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w:t>
      </w:r>
    </w:p>
    <w:p w14:paraId="37DEA841" w14:textId="4851224B" w:rsidR="00F95829" w:rsidRPr="000508B6" w:rsidRDefault="00F95829" w:rsidP="00776975">
      <w:pPr>
        <w:pStyle w:val="Listparagraf"/>
        <w:numPr>
          <w:ilvl w:val="2"/>
          <w:numId w:val="478"/>
        </w:numPr>
        <w:tabs>
          <w:tab w:val="left" w:pos="709"/>
          <w:tab w:val="left" w:pos="851"/>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riscul de credit; </w:t>
      </w:r>
    </w:p>
    <w:p w14:paraId="1FC977F5" w14:textId="15CF79E7" w:rsidR="00461D29" w:rsidRPr="000508B6" w:rsidRDefault="00F95829" w:rsidP="00776975">
      <w:pPr>
        <w:pStyle w:val="Listparagraf"/>
        <w:numPr>
          <w:ilvl w:val="2"/>
          <w:numId w:val="478"/>
        </w:numPr>
        <w:tabs>
          <w:tab w:val="left" w:pos="709"/>
          <w:tab w:val="left" w:pos="851"/>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riscul aferent imobilizărilor necorporale;</w:t>
      </w:r>
    </w:p>
    <w:p w14:paraId="73E99230" w14:textId="5384481C" w:rsidR="00F95829" w:rsidRPr="000508B6" w:rsidRDefault="00F95829" w:rsidP="00776975">
      <w:pPr>
        <w:pStyle w:val="Listparagraf"/>
        <w:numPr>
          <w:ilvl w:val="2"/>
          <w:numId w:val="478"/>
        </w:numPr>
        <w:tabs>
          <w:tab w:val="left" w:pos="709"/>
          <w:tab w:val="left" w:pos="851"/>
          <w:tab w:val="left" w:pos="993"/>
          <w:tab w:val="left" w:pos="1134"/>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riscul </w:t>
      </w:r>
      <w:proofErr w:type="spellStart"/>
      <w:r w:rsidRPr="000508B6">
        <w:rPr>
          <w:rFonts w:ascii="Times New Roman" w:hAnsi="Times New Roman" w:cs="Times New Roman"/>
          <w:lang w:val="ro-MD"/>
        </w:rPr>
        <w:t>operaţional</w:t>
      </w:r>
      <w:proofErr w:type="spellEnd"/>
      <w:r w:rsidRPr="000508B6">
        <w:rPr>
          <w:rFonts w:ascii="Times New Roman" w:hAnsi="Times New Roman" w:cs="Times New Roman"/>
          <w:lang w:val="ro-MD"/>
        </w:rPr>
        <w:t xml:space="preserve">, care include riscul juridic, dar exclude riscul </w:t>
      </w:r>
      <w:proofErr w:type="spellStart"/>
      <w:r w:rsidRPr="000508B6">
        <w:rPr>
          <w:rFonts w:ascii="Times New Roman" w:hAnsi="Times New Roman" w:cs="Times New Roman"/>
          <w:lang w:val="ro-MD"/>
        </w:rPr>
        <w:t>reputaţional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Pr="000508B6" w:rsidDel="00440352">
        <w:rPr>
          <w:rFonts w:ascii="Times New Roman" w:hAnsi="Times New Roman" w:cs="Times New Roman"/>
          <w:lang w:val="ro-MD"/>
        </w:rPr>
        <w:t>riscul decizional</w:t>
      </w:r>
      <w:r w:rsidRPr="000508B6">
        <w:rPr>
          <w:rFonts w:ascii="Times New Roman" w:hAnsi="Times New Roman" w:cs="Times New Roman"/>
          <w:lang w:val="ro-MD"/>
        </w:rPr>
        <w:t xml:space="preserve">. </w:t>
      </w:r>
    </w:p>
    <w:p w14:paraId="629A2DB4" w14:textId="6EB971E7" w:rsidR="00F95829" w:rsidRPr="000508B6" w:rsidRDefault="00F95829" w:rsidP="0006568A">
      <w:pPr>
        <w:pStyle w:val="Listparagraf"/>
        <w:numPr>
          <w:ilvl w:val="1"/>
          <w:numId w:val="15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La calcularea SCR,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52524B"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ţin</w:t>
      </w:r>
      <w:r w:rsidR="0052524B" w:rsidRPr="000508B6">
        <w:rPr>
          <w:rFonts w:ascii="Times New Roman" w:hAnsi="Times New Roman" w:cs="Times New Roman"/>
          <w:lang w:val="ro-MD"/>
        </w:rPr>
        <w:t>e</w:t>
      </w:r>
      <w:proofErr w:type="spellEnd"/>
      <w:r w:rsidRPr="000508B6">
        <w:rPr>
          <w:rFonts w:ascii="Times New Roman" w:hAnsi="Times New Roman" w:cs="Times New Roman"/>
          <w:lang w:val="ro-MD"/>
        </w:rPr>
        <w:t xml:space="preserve"> cont de efectul tehnicilor de minimizare a riscurilor, cu </w:t>
      </w:r>
      <w:proofErr w:type="spellStart"/>
      <w:r w:rsidRPr="000508B6">
        <w:rPr>
          <w:rFonts w:ascii="Times New Roman" w:hAnsi="Times New Roman" w:cs="Times New Roman"/>
          <w:lang w:val="ro-MD"/>
        </w:rPr>
        <w:t>condiţia</w:t>
      </w:r>
      <w:proofErr w:type="spellEnd"/>
      <w:r w:rsidRPr="000508B6">
        <w:rPr>
          <w:rFonts w:ascii="Times New Roman" w:hAnsi="Times New Roman" w:cs="Times New Roman"/>
          <w:lang w:val="ro-MD"/>
        </w:rPr>
        <w:t xml:space="preserve"> ca riscul de credit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alte riscuri aferente acestor tehnici să fie reflectate corespunzător în SCR.</w:t>
      </w:r>
    </w:p>
    <w:p w14:paraId="4FD82C61" w14:textId="54A1C96A" w:rsidR="00F95829" w:rsidRPr="000508B6" w:rsidRDefault="004F577F" w:rsidP="0006568A">
      <w:pPr>
        <w:pStyle w:val="Listparagraf"/>
        <w:numPr>
          <w:ilvl w:val="1"/>
          <w:numId w:val="15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SCR poate fi ajustată numai în conformitate cu art. </w:t>
      </w:r>
      <w:r w:rsidR="008D795E" w:rsidRPr="000508B6">
        <w:rPr>
          <w:rFonts w:ascii="Times New Roman" w:hAnsi="Times New Roman" w:cs="Times New Roman"/>
          <w:lang w:val="ro-MD"/>
        </w:rPr>
        <w:t>72</w:t>
      </w:r>
      <w:r w:rsidR="00F95829" w:rsidRPr="000508B6">
        <w:rPr>
          <w:rFonts w:ascii="Times New Roman" w:hAnsi="Times New Roman" w:cs="Times New Roman"/>
          <w:lang w:val="ro-MD"/>
        </w:rPr>
        <w:t xml:space="preserve">, art. </w:t>
      </w:r>
      <w:r w:rsidR="008D795E" w:rsidRPr="000508B6">
        <w:rPr>
          <w:rFonts w:ascii="Times New Roman" w:hAnsi="Times New Roman" w:cs="Times New Roman"/>
          <w:lang w:val="ro-MD"/>
        </w:rPr>
        <w:t>136</w:t>
      </w:r>
      <w:r w:rsidR="00F95829" w:rsidRPr="000508B6">
        <w:rPr>
          <w:rFonts w:ascii="Times New Roman" w:hAnsi="Times New Roman" w:cs="Times New Roman"/>
          <w:lang w:val="ro-MD"/>
        </w:rPr>
        <w:t>-</w:t>
      </w:r>
      <w:r w:rsidR="008D795E" w:rsidRPr="000508B6">
        <w:rPr>
          <w:rFonts w:ascii="Times New Roman" w:hAnsi="Times New Roman" w:cs="Times New Roman"/>
          <w:lang w:val="ro-MD"/>
        </w:rPr>
        <w:t>139</w:t>
      </w:r>
      <w:r w:rsidR="00A956AD"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art. </w:t>
      </w:r>
      <w:r w:rsidR="008D795E" w:rsidRPr="000508B6">
        <w:rPr>
          <w:rFonts w:ascii="Times New Roman" w:hAnsi="Times New Roman" w:cs="Times New Roman"/>
          <w:lang w:val="ro-MD"/>
        </w:rPr>
        <w:t>142</w:t>
      </w:r>
      <w:r w:rsidR="002D4BEF"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alin. (1)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(2)</w:t>
      </w:r>
      <w:r w:rsidR="00A956AD" w:rsidRPr="000508B6">
        <w:rPr>
          <w:rFonts w:ascii="Times New Roman" w:hAnsi="Times New Roman" w:cs="Times New Roman"/>
          <w:lang w:val="ro-MD"/>
        </w:rPr>
        <w:t xml:space="preserve"> și art.</w:t>
      </w:r>
      <w:r w:rsidR="00BF5CDD" w:rsidRPr="000508B6">
        <w:rPr>
          <w:rFonts w:ascii="Times New Roman" w:hAnsi="Times New Roman" w:cs="Times New Roman"/>
          <w:lang w:val="ro-MD"/>
        </w:rPr>
        <w:t xml:space="preserve"> </w:t>
      </w:r>
      <w:r w:rsidR="0015100E" w:rsidRPr="000508B6">
        <w:rPr>
          <w:rFonts w:ascii="Times New Roman" w:hAnsi="Times New Roman" w:cs="Times New Roman"/>
          <w:lang w:val="ro-MD"/>
        </w:rPr>
        <w:t>183</w:t>
      </w:r>
      <w:r w:rsidR="008D00F3" w:rsidRPr="000508B6">
        <w:rPr>
          <w:rFonts w:ascii="Times New Roman" w:hAnsi="Times New Roman" w:cs="Times New Roman"/>
          <w:lang w:val="ro-MD"/>
        </w:rPr>
        <w:t>.</w:t>
      </w:r>
      <w:r w:rsidR="000C68FD" w:rsidRPr="000508B6">
        <w:rPr>
          <w:rFonts w:ascii="Times New Roman" w:hAnsi="Times New Roman" w:cs="Times New Roman"/>
          <w:lang w:val="ro-MD"/>
        </w:rPr>
        <w:t xml:space="preserve"> </w:t>
      </w:r>
    </w:p>
    <w:p w14:paraId="78E83BB1" w14:textId="1272062C" w:rsidR="00781463" w:rsidRPr="000508B6" w:rsidRDefault="00781463" w:rsidP="0006568A">
      <w:pPr>
        <w:pStyle w:val="Listparagraf"/>
        <w:numPr>
          <w:ilvl w:val="1"/>
          <w:numId w:val="15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Cerințele față de calcularea SCR</w:t>
      </w:r>
      <w:r w:rsidR="00C9669F" w:rsidRPr="000508B6">
        <w:rPr>
          <w:rFonts w:ascii="Times New Roman" w:hAnsi="Times New Roman" w:cs="Times New Roman"/>
          <w:lang w:val="ro-MD"/>
        </w:rPr>
        <w:t>, formula standard, modele interne,</w:t>
      </w:r>
      <w:r w:rsidR="003E2229" w:rsidRPr="000508B6">
        <w:rPr>
          <w:rFonts w:ascii="Times New Roman" w:hAnsi="Times New Roman" w:cs="Times New Roman"/>
          <w:lang w:val="ro-MD"/>
        </w:rPr>
        <w:t xml:space="preserve"> </w:t>
      </w:r>
      <w:r w:rsidR="00C9669F" w:rsidRPr="000508B6">
        <w:rPr>
          <w:rFonts w:ascii="Times New Roman" w:hAnsi="Times New Roman" w:cs="Times New Roman"/>
          <w:lang w:val="ro-MD"/>
        </w:rPr>
        <w:t xml:space="preserve">modulele și </w:t>
      </w:r>
      <w:proofErr w:type="spellStart"/>
      <w:r w:rsidR="00C9669F" w:rsidRPr="000508B6">
        <w:rPr>
          <w:rFonts w:ascii="Times New Roman" w:hAnsi="Times New Roman" w:cs="Times New Roman"/>
          <w:lang w:val="ro-MD"/>
        </w:rPr>
        <w:t>submodulele</w:t>
      </w:r>
      <w:proofErr w:type="spellEnd"/>
      <w:r w:rsidR="00C9669F" w:rsidRPr="000508B6">
        <w:rPr>
          <w:rFonts w:ascii="Times New Roman" w:hAnsi="Times New Roman" w:cs="Times New Roman"/>
          <w:lang w:val="ro-MD"/>
        </w:rPr>
        <w:t xml:space="preserve"> de risc </w:t>
      </w:r>
      <w:r w:rsidRPr="000508B6">
        <w:rPr>
          <w:rFonts w:ascii="Times New Roman" w:hAnsi="Times New Roman" w:cs="Times New Roman"/>
          <w:lang w:val="ro-MD"/>
        </w:rPr>
        <w:t xml:space="preserve"> se stabilesc în actele normative ale Băncii Naționale a Moldovei.</w:t>
      </w:r>
    </w:p>
    <w:p w14:paraId="37C349D5" w14:textId="77777777" w:rsidR="00D14B44" w:rsidRPr="000508B6" w:rsidRDefault="00D14B44" w:rsidP="00BD0878">
      <w:pPr>
        <w:pStyle w:val="Listparagraf"/>
        <w:tabs>
          <w:tab w:val="left" w:pos="851"/>
          <w:tab w:val="left" w:pos="993"/>
        </w:tabs>
        <w:spacing w:after="0" w:line="240" w:lineRule="auto"/>
        <w:ind w:left="426"/>
        <w:jc w:val="both"/>
        <w:rPr>
          <w:rFonts w:ascii="Times New Roman" w:hAnsi="Times New Roman" w:cs="Times New Roman"/>
          <w:lang w:val="ro-MD"/>
        </w:rPr>
      </w:pPr>
    </w:p>
    <w:p w14:paraId="023C6A4B" w14:textId="16E0A259" w:rsidR="00BD0878" w:rsidRPr="000508B6" w:rsidRDefault="00D14B44" w:rsidP="00BD0878">
      <w:pPr>
        <w:pStyle w:val="Listparagraf"/>
        <w:tabs>
          <w:tab w:val="left" w:pos="851"/>
          <w:tab w:val="left" w:pos="993"/>
        </w:tabs>
        <w:spacing w:after="0" w:line="240" w:lineRule="auto"/>
        <w:ind w:left="426"/>
        <w:jc w:val="both"/>
        <w:rPr>
          <w:rFonts w:ascii="Times New Roman" w:hAnsi="Times New Roman" w:cs="Times New Roman"/>
          <w:b/>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65</w:t>
      </w:r>
      <w:r w:rsidRPr="000508B6">
        <w:rPr>
          <w:rFonts w:ascii="Times New Roman" w:hAnsi="Times New Roman" w:cs="Times New Roman"/>
          <w:b/>
          <w:lang w:val="ro-MD"/>
        </w:rPr>
        <w:t xml:space="preserve">. </w:t>
      </w:r>
      <w:proofErr w:type="spellStart"/>
      <w:r w:rsidRPr="000508B6">
        <w:rPr>
          <w:rFonts w:ascii="Times New Roman" w:hAnsi="Times New Roman" w:cs="Times New Roman"/>
          <w:lang w:val="ro-MD"/>
        </w:rPr>
        <w:t>Frecvenţa</w:t>
      </w:r>
      <w:proofErr w:type="spellEnd"/>
      <w:r w:rsidRPr="000508B6">
        <w:rPr>
          <w:rFonts w:ascii="Times New Roman" w:hAnsi="Times New Roman" w:cs="Times New Roman"/>
          <w:lang w:val="ro-MD"/>
        </w:rPr>
        <w:t xml:space="preserve"> calculării</w:t>
      </w:r>
      <w:r w:rsidR="00493DB5" w:rsidRPr="000508B6">
        <w:rPr>
          <w:rFonts w:ascii="Times New Roman" w:hAnsi="Times New Roman" w:cs="Times New Roman"/>
          <w:lang w:val="ro-MD"/>
        </w:rPr>
        <w:t xml:space="preserve"> SCR</w:t>
      </w:r>
      <w:r w:rsidR="00BF5CDD" w:rsidRPr="000508B6">
        <w:rPr>
          <w:rFonts w:ascii="Times New Roman" w:hAnsi="Times New Roman" w:cs="Times New Roman"/>
          <w:lang w:val="ro-MD"/>
        </w:rPr>
        <w:t xml:space="preserve"> </w:t>
      </w:r>
    </w:p>
    <w:p w14:paraId="22C8A9FB" w14:textId="6D874701" w:rsidR="00F95829" w:rsidRPr="000508B6" w:rsidRDefault="00F95829" w:rsidP="00A451E7">
      <w:pPr>
        <w:pStyle w:val="Listparagraf"/>
        <w:numPr>
          <w:ilvl w:val="1"/>
          <w:numId w:val="240"/>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calculează SCR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o dată pe an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transmit</w:t>
      </w:r>
      <w:r w:rsidR="00B16948" w:rsidRPr="000508B6">
        <w:rPr>
          <w:rFonts w:ascii="Times New Roman" w:hAnsi="Times New Roman" w:cs="Times New Roman"/>
          <w:lang w:val="ro-MD"/>
        </w:rPr>
        <w:t>e</w:t>
      </w:r>
      <w:r w:rsidRPr="000508B6">
        <w:rPr>
          <w:rFonts w:ascii="Times New Roman" w:hAnsi="Times New Roman" w:cs="Times New Roman"/>
          <w:lang w:val="ro-MD"/>
        </w:rPr>
        <w:t xml:space="preserve"> </w:t>
      </w:r>
      <w:r w:rsidR="00117399"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rezultatul </w:t>
      </w:r>
      <w:proofErr w:type="spellStart"/>
      <w:r w:rsidRPr="000508B6">
        <w:rPr>
          <w:rFonts w:ascii="Times New Roman" w:hAnsi="Times New Roman" w:cs="Times New Roman"/>
          <w:lang w:val="ro-MD"/>
        </w:rPr>
        <w:t>obţinut</w:t>
      </w:r>
      <w:proofErr w:type="spellEnd"/>
      <w:r w:rsidRPr="000508B6">
        <w:rPr>
          <w:rFonts w:ascii="Times New Roman" w:hAnsi="Times New Roman" w:cs="Times New Roman"/>
          <w:lang w:val="ro-MD"/>
        </w:rPr>
        <w:t xml:space="preserve">. </w:t>
      </w:r>
    </w:p>
    <w:p w14:paraId="072DD129" w14:textId="36638523" w:rsidR="00F95829" w:rsidRPr="000508B6" w:rsidRDefault="004125E8" w:rsidP="0006568A">
      <w:pPr>
        <w:pStyle w:val="Listparagraf"/>
        <w:numPr>
          <w:ilvl w:val="1"/>
          <w:numId w:val="240"/>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deţin</w:t>
      </w:r>
      <w:r w:rsidR="004725A5" w:rsidRPr="000508B6">
        <w:rPr>
          <w:rFonts w:ascii="Times New Roman" w:hAnsi="Times New Roman" w:cs="Times New Roman"/>
          <w:lang w:val="ro-MD"/>
        </w:rPr>
        <w:t>e</w:t>
      </w:r>
      <w:proofErr w:type="spellEnd"/>
      <w:r w:rsidR="00F95829" w:rsidRPr="000508B6">
        <w:rPr>
          <w:rFonts w:ascii="Times New Roman" w:hAnsi="Times New Roman" w:cs="Times New Roman"/>
          <w:lang w:val="ro-MD"/>
        </w:rPr>
        <w:t xml:space="preserve"> fonduri proprii eligibile care acoperă </w:t>
      </w:r>
      <w:r w:rsidR="009A249E" w:rsidRPr="000508B6">
        <w:rPr>
          <w:rFonts w:ascii="Times New Roman" w:hAnsi="Times New Roman" w:cs="Times New Roman"/>
          <w:lang w:val="ro-MD"/>
        </w:rPr>
        <w:t xml:space="preserve">ultima </w:t>
      </w:r>
      <w:r w:rsidR="00F95829" w:rsidRPr="000508B6">
        <w:rPr>
          <w:rFonts w:ascii="Times New Roman" w:hAnsi="Times New Roman" w:cs="Times New Roman"/>
          <w:lang w:val="ro-MD"/>
        </w:rPr>
        <w:t xml:space="preserve">SCR raportată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monitorizează </w:t>
      </w:r>
      <w:r w:rsidR="00CF2420" w:rsidRPr="000508B6">
        <w:rPr>
          <w:rFonts w:ascii="Times New Roman" w:hAnsi="Times New Roman" w:cs="Times New Roman"/>
          <w:lang w:val="ro-MD"/>
        </w:rPr>
        <w:t xml:space="preserve">în permanență </w:t>
      </w:r>
      <w:r w:rsidR="00F95829" w:rsidRPr="000508B6">
        <w:rPr>
          <w:rFonts w:ascii="Times New Roman" w:hAnsi="Times New Roman" w:cs="Times New Roman"/>
          <w:lang w:val="ro-MD"/>
        </w:rPr>
        <w:t xml:space="preserve">valoarea acestora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r w:rsidR="00FC7D1D" w:rsidRPr="000508B6">
        <w:rPr>
          <w:rFonts w:ascii="Times New Roman" w:hAnsi="Times New Roman" w:cs="Times New Roman"/>
          <w:lang w:val="ro-MD"/>
        </w:rPr>
        <w:t xml:space="preserve">valoarea </w:t>
      </w:r>
      <w:r w:rsidR="00F95829" w:rsidRPr="000508B6">
        <w:rPr>
          <w:rFonts w:ascii="Times New Roman" w:hAnsi="Times New Roman" w:cs="Times New Roman"/>
          <w:lang w:val="ro-MD"/>
        </w:rPr>
        <w:t xml:space="preserve">SCR. </w:t>
      </w:r>
    </w:p>
    <w:p w14:paraId="03BDD69C" w14:textId="059CA0AA" w:rsidR="00F95829" w:rsidRPr="000508B6" w:rsidRDefault="00F95829" w:rsidP="0006568A">
      <w:pPr>
        <w:pStyle w:val="Listparagraf"/>
        <w:numPr>
          <w:ilvl w:val="1"/>
          <w:numId w:val="240"/>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profilul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se abate semnificativ de la ipotezele care stau la baza calculării </w:t>
      </w:r>
      <w:r w:rsidR="00E717FE" w:rsidRPr="000508B6">
        <w:rPr>
          <w:rFonts w:ascii="Times New Roman" w:hAnsi="Times New Roman" w:cs="Times New Roman"/>
          <w:lang w:val="ro-MD"/>
        </w:rPr>
        <w:t xml:space="preserve">ultimei </w:t>
      </w:r>
      <w:r w:rsidRPr="000508B6">
        <w:rPr>
          <w:rFonts w:ascii="Times New Roman" w:hAnsi="Times New Roman" w:cs="Times New Roman"/>
          <w:lang w:val="ro-MD"/>
        </w:rPr>
        <w:t xml:space="preserve">SCR raportate, SCR este recalculată </w:t>
      </w:r>
      <w:r w:rsidR="00E717FE" w:rsidRPr="000508B6">
        <w:rPr>
          <w:rFonts w:ascii="Times New Roman" w:hAnsi="Times New Roman" w:cs="Times New Roman"/>
          <w:lang w:val="ro-MD"/>
        </w:rPr>
        <w:t xml:space="preserve">de îndată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rezultatul </w:t>
      </w:r>
      <w:proofErr w:type="spellStart"/>
      <w:r w:rsidRPr="000508B6">
        <w:rPr>
          <w:rFonts w:ascii="Times New Roman" w:hAnsi="Times New Roman" w:cs="Times New Roman"/>
          <w:lang w:val="ro-MD"/>
        </w:rPr>
        <w:t>obţinut</w:t>
      </w:r>
      <w:proofErr w:type="spellEnd"/>
      <w:r w:rsidRPr="000508B6">
        <w:rPr>
          <w:rFonts w:ascii="Times New Roman" w:hAnsi="Times New Roman" w:cs="Times New Roman"/>
          <w:lang w:val="ro-MD"/>
        </w:rPr>
        <w:t xml:space="preserve"> este transmis </w:t>
      </w:r>
      <w:r w:rsidR="00117399" w:rsidRPr="000508B6">
        <w:rPr>
          <w:rFonts w:ascii="Times New Roman" w:hAnsi="Times New Roman" w:cs="Times New Roman"/>
          <w:lang w:val="ro-MD"/>
        </w:rPr>
        <w:t>Băncii Naționale a Moldovei</w:t>
      </w:r>
      <w:r w:rsidRPr="000508B6">
        <w:rPr>
          <w:rFonts w:ascii="Times New Roman" w:hAnsi="Times New Roman" w:cs="Times New Roman"/>
          <w:lang w:val="ro-MD"/>
        </w:rPr>
        <w:t>.</w:t>
      </w:r>
    </w:p>
    <w:p w14:paraId="24DEC171" w14:textId="002F705B" w:rsidR="00F95829" w:rsidRPr="000508B6" w:rsidRDefault="00117399" w:rsidP="0006568A">
      <w:pPr>
        <w:pStyle w:val="Listparagraf"/>
        <w:numPr>
          <w:ilvl w:val="1"/>
          <w:numId w:val="240"/>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w:t>
      </w:r>
      <w:r w:rsidR="00BD6C71" w:rsidRPr="000508B6">
        <w:rPr>
          <w:rFonts w:ascii="Times New Roman" w:hAnsi="Times New Roman" w:cs="Times New Roman"/>
          <w:lang w:val="ro-MD"/>
        </w:rPr>
        <w:t>a</w:t>
      </w:r>
      <w:r w:rsidRPr="000508B6">
        <w:rPr>
          <w:rFonts w:ascii="Times New Roman" w:hAnsi="Times New Roman" w:cs="Times New Roman"/>
          <w:lang w:val="ro-MD"/>
        </w:rPr>
        <w:t>nc</w:t>
      </w:r>
      <w:r w:rsidR="00BD6C71" w:rsidRPr="000508B6">
        <w:rPr>
          <w:rFonts w:ascii="Times New Roman" w:hAnsi="Times New Roman" w:cs="Times New Roman"/>
          <w:lang w:val="ro-MD"/>
        </w:rPr>
        <w:t>a</w:t>
      </w:r>
      <w:r w:rsidRPr="000508B6">
        <w:rPr>
          <w:rFonts w:ascii="Times New Roman" w:hAnsi="Times New Roman" w:cs="Times New Roman"/>
          <w:lang w:val="ro-MD"/>
        </w:rPr>
        <w:t xml:space="preserve"> Național</w:t>
      </w:r>
      <w:r w:rsidR="00BD6C71" w:rsidRPr="000508B6">
        <w:rPr>
          <w:rFonts w:ascii="Times New Roman" w:hAnsi="Times New Roman" w:cs="Times New Roman"/>
          <w:lang w:val="ro-MD"/>
        </w:rPr>
        <w:t>ă</w:t>
      </w:r>
      <w:r w:rsidRPr="000508B6">
        <w:rPr>
          <w:rFonts w:ascii="Times New Roman" w:hAnsi="Times New Roman" w:cs="Times New Roman"/>
          <w:lang w:val="ro-MD"/>
        </w:rPr>
        <w:t xml:space="preserve"> a Moldovei</w:t>
      </w:r>
      <w:r w:rsidR="00F95829" w:rsidRPr="000508B6">
        <w:rPr>
          <w:rFonts w:ascii="Times New Roman" w:hAnsi="Times New Roman" w:cs="Times New Roman"/>
          <w:lang w:val="ro-MD"/>
        </w:rPr>
        <w:t xml:space="preserve"> </w:t>
      </w:r>
      <w:r w:rsidR="009A249E" w:rsidRPr="000508B6">
        <w:rPr>
          <w:rFonts w:ascii="Times New Roman" w:hAnsi="Times New Roman" w:cs="Times New Roman"/>
          <w:lang w:val="ro-MD"/>
        </w:rPr>
        <w:t xml:space="preserve">poate </w:t>
      </w:r>
      <w:r w:rsidR="00F95829" w:rsidRPr="000508B6">
        <w:rPr>
          <w:rFonts w:ascii="Times New Roman" w:hAnsi="Times New Roman" w:cs="Times New Roman"/>
          <w:lang w:val="ro-MD"/>
        </w:rPr>
        <w:t>solicit</w:t>
      </w:r>
      <w:r w:rsidR="009A249E" w:rsidRPr="000508B6">
        <w:rPr>
          <w:rFonts w:ascii="Times New Roman" w:hAnsi="Times New Roman" w:cs="Times New Roman"/>
          <w:lang w:val="ro-MD"/>
        </w:rPr>
        <w:t>a</w:t>
      </w:r>
      <w:r w:rsidR="00F95829"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F95829" w:rsidRPr="000508B6">
        <w:rPr>
          <w:rFonts w:ascii="Times New Roman" w:hAnsi="Times New Roman" w:cs="Times New Roman"/>
          <w:lang w:val="ro-MD"/>
        </w:rPr>
        <w:t xml:space="preserve"> să recalculeze SCR, dacă </w:t>
      </w:r>
      <w:r w:rsidR="00F630BB" w:rsidRPr="000508B6">
        <w:rPr>
          <w:rFonts w:ascii="Times New Roman" w:hAnsi="Times New Roman" w:cs="Times New Roman"/>
          <w:lang w:val="ro-MD"/>
        </w:rPr>
        <w:t xml:space="preserve">există elemente care </w:t>
      </w:r>
      <w:r w:rsidR="006F5411" w:rsidRPr="000508B6">
        <w:rPr>
          <w:rFonts w:ascii="Times New Roman" w:hAnsi="Times New Roman" w:cs="Times New Roman"/>
          <w:lang w:val="ro-MD"/>
        </w:rPr>
        <w:t xml:space="preserve">indică </w:t>
      </w:r>
      <w:r w:rsidR="00F630BB" w:rsidRPr="000508B6">
        <w:rPr>
          <w:rFonts w:ascii="Times New Roman" w:hAnsi="Times New Roman" w:cs="Times New Roman"/>
          <w:lang w:val="ro-MD"/>
        </w:rPr>
        <w:t xml:space="preserve">că profilul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F630BB" w:rsidRPr="000508B6">
        <w:rPr>
          <w:rFonts w:ascii="Times New Roman" w:hAnsi="Times New Roman" w:cs="Times New Roman"/>
          <w:lang w:val="ro-MD"/>
        </w:rPr>
        <w:t xml:space="preserve"> s-a modificat în mod semnificativ de la data la care s-a comunicat ultima dată SCR. </w:t>
      </w:r>
    </w:p>
    <w:p w14:paraId="026F8E70" w14:textId="47BD272A" w:rsidR="00F95829" w:rsidRPr="000508B6" w:rsidRDefault="00F95829" w:rsidP="0006568A">
      <w:pPr>
        <w:tabs>
          <w:tab w:val="left" w:pos="426"/>
          <w:tab w:val="left" w:pos="709"/>
        </w:tabs>
        <w:spacing w:after="0" w:line="240" w:lineRule="auto"/>
        <w:ind w:firstLine="426"/>
        <w:jc w:val="both"/>
        <w:rPr>
          <w:rFonts w:ascii="Times New Roman" w:eastAsia="Times New Roman" w:hAnsi="Times New Roman" w:cs="Times New Roman"/>
          <w:lang w:val="ro-MD"/>
        </w:rPr>
      </w:pPr>
    </w:p>
    <w:p w14:paraId="0324FE80" w14:textId="1A49198B" w:rsidR="00F95829" w:rsidRPr="000508B6" w:rsidRDefault="00F95829" w:rsidP="00D14B44">
      <w:pPr>
        <w:pStyle w:val="Listparagraf"/>
        <w:tabs>
          <w:tab w:val="left" w:pos="851"/>
          <w:tab w:val="left" w:pos="993"/>
        </w:tabs>
        <w:spacing w:after="0" w:line="240" w:lineRule="auto"/>
        <w:ind w:left="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C41D4B" w:rsidRPr="000508B6">
        <w:rPr>
          <w:rFonts w:ascii="Times New Roman" w:hAnsi="Times New Roman" w:cs="Times New Roman"/>
          <w:b/>
          <w:lang w:val="ro-MD"/>
        </w:rPr>
        <w:t>4</w:t>
      </w:r>
      <w:r w:rsidRPr="000508B6">
        <w:rPr>
          <w:rFonts w:ascii="Times New Roman" w:hAnsi="Times New Roman" w:cs="Times New Roman"/>
          <w:b/>
          <w:lang w:val="ro-MD"/>
        </w:rPr>
        <w:t>.2</w:t>
      </w:r>
    </w:p>
    <w:p w14:paraId="3D4418FE" w14:textId="77777777" w:rsidR="00F95829" w:rsidRPr="000508B6" w:rsidRDefault="00F95829" w:rsidP="005A27A2">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Calcularea SCR cu formula standard</w:t>
      </w:r>
    </w:p>
    <w:p w14:paraId="787F8D5B"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7B772BD2" w14:textId="42C0EB73" w:rsidR="00D45E68"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66</w:t>
      </w:r>
      <w:r w:rsidR="0043326F" w:rsidRPr="000508B6">
        <w:rPr>
          <w:rFonts w:ascii="Times New Roman" w:hAnsi="Times New Roman" w:cs="Times New Roman"/>
          <w:b/>
          <w:lang w:val="ro-MD"/>
        </w:rPr>
        <w:t>.</w:t>
      </w:r>
      <w:r w:rsidR="007C4341" w:rsidRPr="000508B6">
        <w:rPr>
          <w:rFonts w:ascii="Times New Roman" w:hAnsi="Times New Roman" w:cs="Times New Roman"/>
          <w:b/>
          <w:lang w:val="ro-MD"/>
        </w:rPr>
        <w:t xml:space="preserve"> </w:t>
      </w:r>
      <w:r w:rsidRPr="000508B6">
        <w:rPr>
          <w:rFonts w:ascii="Times New Roman" w:hAnsi="Times New Roman" w:cs="Times New Roman"/>
          <w:lang w:val="ro-MD"/>
        </w:rPr>
        <w:t xml:space="preserve">Structura </w:t>
      </w:r>
      <w:r w:rsidR="0016377F" w:rsidRPr="000508B6">
        <w:rPr>
          <w:rFonts w:ascii="Times New Roman" w:hAnsi="Times New Roman" w:cs="Times New Roman"/>
          <w:lang w:val="ro-MD"/>
        </w:rPr>
        <w:t xml:space="preserve">formulei </w:t>
      </w:r>
      <w:r w:rsidRPr="000508B6">
        <w:rPr>
          <w:rFonts w:ascii="Times New Roman" w:hAnsi="Times New Roman" w:cs="Times New Roman"/>
          <w:lang w:val="ro-MD"/>
        </w:rPr>
        <w:t>standard</w:t>
      </w:r>
      <w:r w:rsidR="00A90186" w:rsidRPr="000508B6">
        <w:rPr>
          <w:rFonts w:ascii="Times New Roman" w:hAnsi="Times New Roman" w:cs="Times New Roman"/>
          <w:lang w:val="ro-MD"/>
        </w:rPr>
        <w:t xml:space="preserve"> </w:t>
      </w:r>
    </w:p>
    <w:p w14:paraId="629F233A" w14:textId="382C552D"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SCR calculată </w:t>
      </w:r>
      <w:r w:rsidR="009A249E" w:rsidRPr="000508B6">
        <w:rPr>
          <w:rFonts w:ascii="Times New Roman" w:hAnsi="Times New Roman" w:cs="Times New Roman"/>
          <w:lang w:val="ro-MD"/>
        </w:rPr>
        <w:t xml:space="preserve">în baza </w:t>
      </w:r>
      <w:r w:rsidRPr="000508B6">
        <w:rPr>
          <w:rFonts w:ascii="Times New Roman" w:hAnsi="Times New Roman" w:cs="Times New Roman"/>
          <w:lang w:val="ro-MD"/>
        </w:rPr>
        <w:t>formul</w:t>
      </w:r>
      <w:r w:rsidR="009A249E" w:rsidRPr="000508B6">
        <w:rPr>
          <w:rFonts w:ascii="Times New Roman" w:hAnsi="Times New Roman" w:cs="Times New Roman"/>
          <w:lang w:val="ro-MD"/>
        </w:rPr>
        <w:t>ei</w:t>
      </w:r>
      <w:r w:rsidRPr="000508B6">
        <w:rPr>
          <w:rFonts w:ascii="Times New Roman" w:hAnsi="Times New Roman" w:cs="Times New Roman"/>
          <w:lang w:val="ro-MD"/>
        </w:rPr>
        <w:t xml:space="preserve"> standard este egală cu suma următoarelor elemente: </w:t>
      </w:r>
    </w:p>
    <w:p w14:paraId="0E174270" w14:textId="4D2121AA" w:rsidR="00F95829" w:rsidRPr="000508B6" w:rsidRDefault="00F95829" w:rsidP="00A451E7">
      <w:pPr>
        <w:pStyle w:val="Listparagraf"/>
        <w:numPr>
          <w:ilvl w:val="2"/>
          <w:numId w:val="160"/>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de bază, prevăzută la art. </w:t>
      </w:r>
      <w:r w:rsidR="006C28A8" w:rsidRPr="000508B6">
        <w:rPr>
          <w:rFonts w:ascii="Times New Roman" w:hAnsi="Times New Roman" w:cs="Times New Roman"/>
          <w:lang w:val="ro-MD"/>
        </w:rPr>
        <w:t>67</w:t>
      </w:r>
      <w:r w:rsidRPr="000508B6">
        <w:rPr>
          <w:rFonts w:ascii="Times New Roman" w:hAnsi="Times New Roman" w:cs="Times New Roman"/>
          <w:lang w:val="ro-MD"/>
        </w:rPr>
        <w:t xml:space="preserve">; </w:t>
      </w:r>
    </w:p>
    <w:p w14:paraId="2D5C786A" w14:textId="0B886D66" w:rsidR="00F95829" w:rsidRPr="000508B6" w:rsidRDefault="007C24EA" w:rsidP="0006568A">
      <w:pPr>
        <w:pStyle w:val="Listparagraf"/>
        <w:numPr>
          <w:ilvl w:val="2"/>
          <w:numId w:val="160"/>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SCR</w:t>
      </w:r>
      <w:r w:rsidR="00F95829" w:rsidRPr="000508B6">
        <w:rPr>
          <w:rFonts w:ascii="Times New Roman" w:hAnsi="Times New Roman" w:cs="Times New Roman"/>
          <w:lang w:val="ro-MD"/>
        </w:rPr>
        <w:t xml:space="preserve"> pentru riscul </w:t>
      </w:r>
      <w:proofErr w:type="spellStart"/>
      <w:r w:rsidR="00F95829" w:rsidRPr="000508B6">
        <w:rPr>
          <w:rFonts w:ascii="Times New Roman" w:hAnsi="Times New Roman" w:cs="Times New Roman"/>
          <w:lang w:val="ro-MD"/>
        </w:rPr>
        <w:t>operaţional</w:t>
      </w:r>
      <w:proofErr w:type="spellEnd"/>
      <w:r w:rsidR="00F95829" w:rsidRPr="000508B6">
        <w:rPr>
          <w:rFonts w:ascii="Times New Roman" w:hAnsi="Times New Roman" w:cs="Times New Roman"/>
          <w:lang w:val="ro-MD"/>
        </w:rPr>
        <w:t xml:space="preserve">, prevăzută la art. </w:t>
      </w:r>
      <w:r w:rsidR="006C28A8" w:rsidRPr="000508B6">
        <w:rPr>
          <w:rFonts w:ascii="Times New Roman" w:hAnsi="Times New Roman" w:cs="Times New Roman"/>
          <w:lang w:val="ro-MD"/>
        </w:rPr>
        <w:t>71</w:t>
      </w:r>
      <w:r w:rsidR="00F95829" w:rsidRPr="000508B6">
        <w:rPr>
          <w:rFonts w:ascii="Times New Roman" w:hAnsi="Times New Roman" w:cs="Times New Roman"/>
          <w:lang w:val="ro-MD"/>
        </w:rPr>
        <w:t xml:space="preserve">; </w:t>
      </w:r>
    </w:p>
    <w:p w14:paraId="4F84370D" w14:textId="4C3CBEF7" w:rsidR="00F95829" w:rsidRPr="000508B6" w:rsidRDefault="00F95829" w:rsidP="0006568A">
      <w:pPr>
        <w:pStyle w:val="Listparagraf"/>
        <w:numPr>
          <w:ilvl w:val="2"/>
          <w:numId w:val="160"/>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ajustarea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capacitatea rezervelor tehnice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impozitelor amânate de a acoperi pierderile, prevăzut</w:t>
      </w:r>
      <w:r w:rsidR="00C4434B" w:rsidRPr="000508B6">
        <w:rPr>
          <w:rFonts w:ascii="Times New Roman" w:hAnsi="Times New Roman" w:cs="Times New Roman"/>
          <w:lang w:val="ro-MD"/>
        </w:rPr>
        <w:t>e</w:t>
      </w:r>
      <w:r w:rsidRPr="000508B6">
        <w:rPr>
          <w:rFonts w:ascii="Times New Roman" w:hAnsi="Times New Roman" w:cs="Times New Roman"/>
          <w:lang w:val="ro-MD"/>
        </w:rPr>
        <w:t xml:space="preserve"> la art. </w:t>
      </w:r>
      <w:r w:rsidR="006C28A8" w:rsidRPr="000508B6">
        <w:rPr>
          <w:rFonts w:ascii="Times New Roman" w:hAnsi="Times New Roman" w:cs="Times New Roman"/>
          <w:lang w:val="ro-MD"/>
        </w:rPr>
        <w:t>72</w:t>
      </w:r>
      <w:r w:rsidRPr="000508B6">
        <w:rPr>
          <w:rFonts w:ascii="Times New Roman" w:hAnsi="Times New Roman" w:cs="Times New Roman"/>
          <w:lang w:val="ro-MD"/>
        </w:rPr>
        <w:t xml:space="preserve">. </w:t>
      </w:r>
    </w:p>
    <w:p w14:paraId="155E4367" w14:textId="77777777" w:rsidR="00D45E68" w:rsidRPr="000508B6" w:rsidRDefault="00D45E68" w:rsidP="008B530F">
      <w:pPr>
        <w:spacing w:after="0" w:line="240" w:lineRule="auto"/>
        <w:ind w:firstLine="426"/>
        <w:jc w:val="both"/>
        <w:rPr>
          <w:rFonts w:ascii="Times New Roman" w:hAnsi="Times New Roman" w:cs="Times New Roman"/>
          <w:b/>
          <w:lang w:val="ro-MD"/>
        </w:rPr>
      </w:pPr>
    </w:p>
    <w:p w14:paraId="34DBC081" w14:textId="7E1580AD"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lastRenderedPageBreak/>
        <w:t xml:space="preserve">Articolul </w:t>
      </w:r>
      <w:r w:rsidR="00C8492A" w:rsidRPr="000508B6">
        <w:rPr>
          <w:rFonts w:ascii="Times New Roman" w:hAnsi="Times New Roman" w:cs="Times New Roman"/>
          <w:b/>
          <w:lang w:val="ro-MD"/>
        </w:rPr>
        <w:t>67</w:t>
      </w:r>
      <w:r w:rsidR="0043326F" w:rsidRPr="000508B6">
        <w:rPr>
          <w:rFonts w:ascii="Times New Roman" w:hAnsi="Times New Roman" w:cs="Times New Roman"/>
          <w:b/>
          <w:lang w:val="ro-MD"/>
        </w:rPr>
        <w:t>.</w:t>
      </w:r>
      <w:r w:rsidR="00B03443" w:rsidRPr="000508B6">
        <w:rPr>
          <w:rFonts w:ascii="Times New Roman" w:hAnsi="Times New Roman" w:cs="Times New Roman"/>
          <w:b/>
          <w:lang w:val="ro-MD"/>
        </w:rPr>
        <w:t xml:space="preserve"> </w:t>
      </w:r>
      <w:r w:rsidRPr="000508B6">
        <w:rPr>
          <w:rFonts w:ascii="Times New Roman" w:hAnsi="Times New Roman" w:cs="Times New Roman"/>
          <w:lang w:val="ro-MD"/>
        </w:rPr>
        <w:t xml:space="preserve">Structura SCR de bază </w:t>
      </w:r>
    </w:p>
    <w:p w14:paraId="6D74EA0E" w14:textId="1DF05B67" w:rsidR="00F95829" w:rsidRPr="000508B6" w:rsidRDefault="00F95829" w:rsidP="00A451E7">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de bază este formată din </w:t>
      </w:r>
      <w:r w:rsidR="00080C88" w:rsidRPr="000508B6">
        <w:rPr>
          <w:rFonts w:ascii="Times New Roman" w:hAnsi="Times New Roman" w:cs="Times New Roman"/>
          <w:lang w:val="ro-MD"/>
        </w:rPr>
        <w:t>module de risc individuale</w:t>
      </w:r>
      <w:r w:rsidRPr="000508B6">
        <w:rPr>
          <w:rFonts w:ascii="Times New Roman" w:hAnsi="Times New Roman" w:cs="Times New Roman"/>
          <w:lang w:val="ro-MD"/>
        </w:rPr>
        <w:t xml:space="preserve">, agregate conform </w:t>
      </w:r>
      <w:r w:rsidR="00BF11B0" w:rsidRPr="000508B6">
        <w:rPr>
          <w:rFonts w:ascii="Times New Roman" w:hAnsi="Times New Roman" w:cs="Times New Roman"/>
          <w:lang w:val="ro-MD"/>
        </w:rPr>
        <w:t>A</w:t>
      </w:r>
      <w:r w:rsidRPr="000508B6">
        <w:rPr>
          <w:rFonts w:ascii="Times New Roman" w:hAnsi="Times New Roman" w:cs="Times New Roman"/>
          <w:lang w:val="ro-MD"/>
        </w:rPr>
        <w:t xml:space="preserve">nexei nr. </w:t>
      </w:r>
      <w:r w:rsidR="00BF11B0" w:rsidRPr="000508B6">
        <w:rPr>
          <w:rFonts w:ascii="Times New Roman" w:hAnsi="Times New Roman" w:cs="Times New Roman"/>
          <w:lang w:val="ro-MD"/>
        </w:rPr>
        <w:t>3</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cuprinde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următoarele</w:t>
      </w:r>
      <w:r w:rsidR="00932D12" w:rsidRPr="000508B6">
        <w:rPr>
          <w:rFonts w:ascii="Times New Roman" w:hAnsi="Times New Roman" w:cs="Times New Roman"/>
          <w:lang w:val="ro-MD"/>
        </w:rPr>
        <w:t xml:space="preserve"> module de risc</w:t>
      </w:r>
      <w:r w:rsidRPr="000508B6">
        <w:rPr>
          <w:rFonts w:ascii="Times New Roman" w:hAnsi="Times New Roman" w:cs="Times New Roman"/>
          <w:lang w:val="ro-MD"/>
        </w:rPr>
        <w:t>:</w:t>
      </w:r>
      <w:r w:rsidR="00464AF1" w:rsidRPr="000508B6">
        <w:rPr>
          <w:rFonts w:ascii="Times New Roman" w:hAnsi="Times New Roman" w:cs="Times New Roman"/>
          <w:lang w:val="ro-MD"/>
        </w:rPr>
        <w:t xml:space="preserve"> </w:t>
      </w:r>
    </w:p>
    <w:p w14:paraId="39440915" w14:textId="0EA18518" w:rsidR="00F95829" w:rsidRPr="000508B6" w:rsidRDefault="00F95829" w:rsidP="0006568A">
      <w:pPr>
        <w:pStyle w:val="Listparagraf"/>
        <w:numPr>
          <w:ilvl w:val="2"/>
          <w:numId w:val="16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riscul de subscriere pentru activitatea de </w:t>
      </w:r>
      <w:r w:rsidR="00A4279C"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DD6F6F" w:rsidRPr="000508B6">
        <w:rPr>
          <w:rFonts w:ascii="Times New Roman" w:hAnsi="Times New Roman" w:cs="Times New Roman"/>
          <w:lang w:val="ro-MD"/>
        </w:rPr>
        <w:t>ă</w:t>
      </w:r>
      <w:r w:rsidRPr="000508B6">
        <w:rPr>
          <w:rFonts w:ascii="Times New Roman" w:hAnsi="Times New Roman" w:cs="Times New Roman"/>
          <w:lang w:val="ro-MD"/>
        </w:rPr>
        <w:t xml:space="preserve">; </w:t>
      </w:r>
    </w:p>
    <w:p w14:paraId="021D36FC" w14:textId="7609E691" w:rsidR="00F95829" w:rsidRPr="000508B6" w:rsidRDefault="00F95829" w:rsidP="0006568A">
      <w:pPr>
        <w:pStyle w:val="Listparagraf"/>
        <w:numPr>
          <w:ilvl w:val="2"/>
          <w:numId w:val="16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riscul de subscriere pentru activitatea de asigur</w:t>
      </w:r>
      <w:r w:rsidR="00A4279C" w:rsidRPr="000508B6">
        <w:rPr>
          <w:rFonts w:ascii="Times New Roman" w:hAnsi="Times New Roman" w:cs="Times New Roman"/>
          <w:lang w:val="ro-MD"/>
        </w:rPr>
        <w:t>are</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
    <w:p w14:paraId="35D3188C" w14:textId="758FC9F1" w:rsidR="00F95829" w:rsidRPr="000508B6" w:rsidRDefault="00F95829" w:rsidP="0006568A">
      <w:pPr>
        <w:pStyle w:val="Listparagraf"/>
        <w:numPr>
          <w:ilvl w:val="2"/>
          <w:numId w:val="16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riscul de subscriere pentru activitatea de asigur</w:t>
      </w:r>
      <w:r w:rsidR="00A4279C" w:rsidRPr="000508B6">
        <w:rPr>
          <w:rFonts w:ascii="Times New Roman" w:hAnsi="Times New Roman" w:cs="Times New Roman"/>
          <w:lang w:val="ro-MD"/>
        </w:rPr>
        <w:t>are</w:t>
      </w:r>
      <w:r w:rsidRPr="000508B6">
        <w:rPr>
          <w:rFonts w:ascii="Times New Roman" w:hAnsi="Times New Roman" w:cs="Times New Roman"/>
          <w:lang w:val="ro-MD"/>
        </w:rPr>
        <w:t xml:space="preserve"> de sănătate; </w:t>
      </w:r>
    </w:p>
    <w:p w14:paraId="7E6172C6" w14:textId="1BFB5A88" w:rsidR="00F95829" w:rsidRPr="000508B6" w:rsidRDefault="00F95829" w:rsidP="0006568A">
      <w:pPr>
        <w:pStyle w:val="Listparagraf"/>
        <w:numPr>
          <w:ilvl w:val="2"/>
          <w:numId w:val="16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riscul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w:t>
      </w:r>
    </w:p>
    <w:p w14:paraId="7B7D0472" w14:textId="783C34EF" w:rsidR="00F95829" w:rsidRPr="000508B6" w:rsidRDefault="00F95829" w:rsidP="0006568A">
      <w:pPr>
        <w:pStyle w:val="Listparagraf"/>
        <w:numPr>
          <w:ilvl w:val="2"/>
          <w:numId w:val="16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riscul de contrapartidă</w:t>
      </w:r>
    </w:p>
    <w:p w14:paraId="062086A0" w14:textId="28EF4334" w:rsidR="00F95829" w:rsidRPr="000508B6" w:rsidRDefault="00F95829" w:rsidP="0006568A">
      <w:pPr>
        <w:pStyle w:val="Listparagraf"/>
        <w:numPr>
          <w:ilvl w:val="2"/>
          <w:numId w:val="162"/>
        </w:numPr>
        <w:tabs>
          <w:tab w:val="left" w:pos="709"/>
          <w:tab w:val="left" w:pos="851"/>
        </w:tabs>
        <w:spacing w:after="0" w:line="240" w:lineRule="auto"/>
        <w:ind w:left="0" w:firstLine="426"/>
        <w:jc w:val="both"/>
        <w:rPr>
          <w:rFonts w:ascii="Times New Roman" w:hAnsi="Times New Roman" w:cs="Times New Roman"/>
          <w:lang w:val="ro-MD"/>
        </w:rPr>
      </w:pPr>
      <w:bookmarkStart w:id="112" w:name="_Hlk179445241"/>
      <w:r w:rsidRPr="000508B6">
        <w:rPr>
          <w:rFonts w:ascii="Times New Roman" w:hAnsi="Times New Roman" w:cs="Times New Roman"/>
          <w:lang w:val="ro-MD"/>
        </w:rPr>
        <w:t>riscul aferent imobilizărilor necorporale</w:t>
      </w:r>
      <w:bookmarkEnd w:id="112"/>
      <w:r w:rsidRPr="000508B6">
        <w:rPr>
          <w:rFonts w:ascii="Times New Roman" w:hAnsi="Times New Roman" w:cs="Times New Roman"/>
          <w:lang w:val="ro-MD"/>
        </w:rPr>
        <w:t>.</w:t>
      </w:r>
      <w:r w:rsidR="009F2915" w:rsidRPr="000508B6">
        <w:rPr>
          <w:rFonts w:ascii="Times New Roman" w:hAnsi="Times New Roman" w:cs="Times New Roman"/>
          <w:lang w:val="ro-MD"/>
        </w:rPr>
        <w:t xml:space="preserve"> </w:t>
      </w:r>
    </w:p>
    <w:p w14:paraId="28D94952" w14:textId="7DF1F1FC" w:rsidR="00F95829" w:rsidRPr="000508B6" w:rsidRDefault="00F95829" w:rsidP="0006568A">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modulelor </w:t>
      </w:r>
      <w:r w:rsidR="009B5F5D" w:rsidRPr="000508B6">
        <w:rPr>
          <w:rFonts w:ascii="Times New Roman" w:hAnsi="Times New Roman" w:cs="Times New Roman"/>
          <w:lang w:val="ro-MD"/>
        </w:rPr>
        <w:t xml:space="preserve">pentru riscurile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 lit. a) -</w:t>
      </w:r>
      <w:r w:rsidR="00991E21" w:rsidRPr="000508B6">
        <w:rPr>
          <w:rFonts w:ascii="Times New Roman" w:hAnsi="Times New Roman" w:cs="Times New Roman"/>
          <w:lang w:val="ro-MD"/>
        </w:rPr>
        <w:t xml:space="preserve"> </w:t>
      </w:r>
      <w:r w:rsidRPr="000508B6">
        <w:rPr>
          <w:rFonts w:ascii="Times New Roman" w:hAnsi="Times New Roman" w:cs="Times New Roman"/>
          <w:lang w:val="ro-MD"/>
        </w:rPr>
        <w:t xml:space="preserve">c), </w:t>
      </w:r>
      <w:proofErr w:type="spellStart"/>
      <w:r w:rsidRPr="000508B6">
        <w:rPr>
          <w:rFonts w:ascii="Times New Roman" w:hAnsi="Times New Roman" w:cs="Times New Roman"/>
          <w:lang w:val="ro-MD"/>
        </w:rPr>
        <w:t>operaţiunile</w:t>
      </w:r>
      <w:proofErr w:type="spellEnd"/>
      <w:r w:rsidRPr="000508B6">
        <w:rPr>
          <w:rFonts w:ascii="Times New Roman" w:hAnsi="Times New Roman" w:cs="Times New Roman"/>
          <w:lang w:val="ro-MD"/>
        </w:rPr>
        <w:t xml:space="preserv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reasigurare se alocă modulului </w:t>
      </w:r>
      <w:r w:rsidR="00336522" w:rsidRPr="000508B6">
        <w:rPr>
          <w:rFonts w:ascii="Times New Roman" w:hAnsi="Times New Roman" w:cs="Times New Roman"/>
          <w:lang w:val="ro-MD"/>
        </w:rPr>
        <w:t>de risc de subscriere</w:t>
      </w:r>
      <w:r w:rsidRPr="000508B6">
        <w:rPr>
          <w:rFonts w:ascii="Times New Roman" w:hAnsi="Times New Roman" w:cs="Times New Roman"/>
          <w:lang w:val="ro-MD"/>
        </w:rPr>
        <w:t xml:space="preserve"> care reflectă cel mai bine natura tehnică a riscurilor </w:t>
      </w:r>
      <w:r w:rsidR="00C44D9F" w:rsidRPr="000508B6">
        <w:rPr>
          <w:rFonts w:ascii="Times New Roman" w:hAnsi="Times New Roman" w:cs="Times New Roman"/>
          <w:lang w:val="ro-MD"/>
        </w:rPr>
        <w:t>subiacente</w:t>
      </w:r>
      <w:r w:rsidRPr="000508B6">
        <w:rPr>
          <w:rFonts w:ascii="Times New Roman" w:hAnsi="Times New Roman" w:cs="Times New Roman"/>
          <w:lang w:val="ro-MD"/>
        </w:rPr>
        <w:t xml:space="preserve">. </w:t>
      </w:r>
    </w:p>
    <w:p w14:paraId="32DE942C" w14:textId="576F7BE9" w:rsidR="00F95829" w:rsidRPr="000508B6" w:rsidRDefault="00F95829" w:rsidP="0006568A">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globală se determină în conformitate cu art. </w:t>
      </w:r>
      <w:r w:rsidR="00641C6E" w:rsidRPr="000508B6">
        <w:rPr>
          <w:rFonts w:ascii="Times New Roman" w:hAnsi="Times New Roman" w:cs="Times New Roman"/>
          <w:lang w:val="ro-MD"/>
        </w:rPr>
        <w:t xml:space="preserve">64 </w:t>
      </w:r>
      <w:r w:rsidRPr="000508B6">
        <w:rPr>
          <w:rFonts w:ascii="Times New Roman" w:hAnsi="Times New Roman" w:cs="Times New Roman"/>
          <w:lang w:val="ro-MD"/>
        </w:rPr>
        <w:t xml:space="preserve">prin calibrarea </w:t>
      </w:r>
      <w:proofErr w:type="spellStart"/>
      <w:r w:rsidRPr="000508B6">
        <w:rPr>
          <w:rFonts w:ascii="Times New Roman" w:hAnsi="Times New Roman" w:cs="Times New Roman"/>
          <w:lang w:val="ro-MD"/>
        </w:rPr>
        <w:t>cerinţelor</w:t>
      </w:r>
      <w:proofErr w:type="spellEnd"/>
      <w:r w:rsidRPr="000508B6">
        <w:rPr>
          <w:rFonts w:ascii="Times New Roman" w:hAnsi="Times New Roman" w:cs="Times New Roman"/>
          <w:lang w:val="ro-MD"/>
        </w:rPr>
        <w:t xml:space="preserve"> de capital pentru fiecare modul de risc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agregarea modulelor respective </w:t>
      </w:r>
      <w:r w:rsidR="0023613A" w:rsidRPr="000508B6">
        <w:rPr>
          <w:rFonts w:ascii="Times New Roman" w:hAnsi="Times New Roman" w:cs="Times New Roman"/>
          <w:lang w:val="ro-MD"/>
        </w:rPr>
        <w:t xml:space="preserve"> pe baza</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coeficienţi</w:t>
      </w:r>
      <w:r w:rsidR="0023613A" w:rsidRPr="000508B6">
        <w:rPr>
          <w:rFonts w:ascii="Times New Roman" w:hAnsi="Times New Roman" w:cs="Times New Roman"/>
          <w:lang w:val="ro-MD"/>
        </w:rPr>
        <w:t>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corelaţie</w:t>
      </w:r>
      <w:proofErr w:type="spellEnd"/>
      <w:r w:rsidRPr="000508B6">
        <w:rPr>
          <w:rFonts w:ascii="Times New Roman" w:hAnsi="Times New Roman" w:cs="Times New Roman"/>
          <w:lang w:val="ro-MD"/>
        </w:rPr>
        <w:t xml:space="preserve">. </w:t>
      </w:r>
    </w:p>
    <w:p w14:paraId="1FE73D78" w14:textId="4E5DB165" w:rsidR="00F95829" w:rsidRPr="000508B6" w:rsidRDefault="009C124F" w:rsidP="0006568A">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Fiecare din m</w:t>
      </w:r>
      <w:r w:rsidR="00F95829" w:rsidRPr="000508B6">
        <w:rPr>
          <w:rFonts w:ascii="Times New Roman" w:hAnsi="Times New Roman" w:cs="Times New Roman"/>
          <w:lang w:val="ro-MD"/>
        </w:rPr>
        <w:t xml:space="preserve">odulele de risc </w:t>
      </w:r>
      <w:proofErr w:type="spellStart"/>
      <w:r w:rsidR="00F95829" w:rsidRPr="000508B6">
        <w:rPr>
          <w:rFonts w:ascii="Times New Roman" w:hAnsi="Times New Roman" w:cs="Times New Roman"/>
          <w:lang w:val="ro-MD"/>
        </w:rPr>
        <w:t>menţionate</w:t>
      </w:r>
      <w:proofErr w:type="spellEnd"/>
      <w:r w:rsidR="00F95829" w:rsidRPr="000508B6">
        <w:rPr>
          <w:rFonts w:ascii="Times New Roman" w:hAnsi="Times New Roman" w:cs="Times New Roman"/>
          <w:lang w:val="ro-MD"/>
        </w:rPr>
        <w:t xml:space="preserve"> la alin. (1) se calibrează </w:t>
      </w:r>
      <w:r w:rsidR="00362041" w:rsidRPr="000508B6">
        <w:rPr>
          <w:rFonts w:ascii="Times New Roman" w:hAnsi="Times New Roman" w:cs="Times New Roman"/>
          <w:lang w:val="ro-MD"/>
        </w:rPr>
        <w:t>pe baza valorii la risc, cu un nivel de încredere de 99,5 % pe o perioadă de un an</w:t>
      </w:r>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dacă este cazul, în structura fiecărui modul se </w:t>
      </w:r>
      <w:proofErr w:type="spellStart"/>
      <w:r w:rsidR="00F95829" w:rsidRPr="000508B6">
        <w:rPr>
          <w:rFonts w:ascii="Times New Roman" w:hAnsi="Times New Roman" w:cs="Times New Roman"/>
          <w:lang w:val="ro-MD"/>
        </w:rPr>
        <w:t>ţine</w:t>
      </w:r>
      <w:proofErr w:type="spellEnd"/>
      <w:r w:rsidR="00F95829" w:rsidRPr="000508B6">
        <w:rPr>
          <w:rFonts w:ascii="Times New Roman" w:hAnsi="Times New Roman" w:cs="Times New Roman"/>
          <w:lang w:val="ro-MD"/>
        </w:rPr>
        <w:t xml:space="preserve"> cont de efectele diversificării.</w:t>
      </w:r>
      <w:r w:rsidR="00464AF1" w:rsidRPr="000508B6">
        <w:rPr>
          <w:rFonts w:ascii="Times New Roman" w:hAnsi="Times New Roman" w:cs="Times New Roman"/>
          <w:lang w:val="ro-MD"/>
        </w:rPr>
        <w:t xml:space="preserve"> </w:t>
      </w:r>
    </w:p>
    <w:p w14:paraId="052DE423" w14:textId="7B6B5B5C" w:rsidR="00F95829" w:rsidRPr="000508B6" w:rsidRDefault="00F95829" w:rsidP="0006568A">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Structura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specificaţiile</w:t>
      </w:r>
      <w:proofErr w:type="spellEnd"/>
      <w:r w:rsidRPr="000508B6">
        <w:rPr>
          <w:rFonts w:ascii="Times New Roman" w:hAnsi="Times New Roman" w:cs="Times New Roman"/>
          <w:lang w:val="ro-MD"/>
        </w:rPr>
        <w:t xml:space="preserve"> privind modulele de risc se utilizează atât pentru calcularea SCR de bază,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pentru calculele simplificate prevăzute la art. </w:t>
      </w:r>
      <w:r w:rsidR="001931E9" w:rsidRPr="000508B6" w:rsidDel="00672D6A">
        <w:rPr>
          <w:rFonts w:ascii="Times New Roman" w:hAnsi="Times New Roman" w:cs="Times New Roman"/>
          <w:lang w:val="ro-MD"/>
        </w:rPr>
        <w:t>73</w:t>
      </w:r>
      <w:r w:rsidRPr="000508B6">
        <w:rPr>
          <w:rFonts w:ascii="Times New Roman" w:hAnsi="Times New Roman" w:cs="Times New Roman"/>
          <w:lang w:val="ro-MD"/>
        </w:rPr>
        <w:t xml:space="preserve">. </w:t>
      </w:r>
    </w:p>
    <w:p w14:paraId="4C95C764" w14:textId="7C4922A1" w:rsidR="00F95829" w:rsidRPr="000508B6" w:rsidRDefault="00F95829" w:rsidP="0006568A">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Pentru riscul de catastrofă aferent modulelor prevăzute la alin. (1) lit. a) -</w:t>
      </w:r>
      <w:r w:rsidR="00991E21" w:rsidRPr="000508B6">
        <w:rPr>
          <w:rFonts w:ascii="Times New Roman" w:hAnsi="Times New Roman" w:cs="Times New Roman"/>
          <w:lang w:val="ro-MD"/>
        </w:rPr>
        <w:t xml:space="preserve"> </w:t>
      </w:r>
      <w:r w:rsidRPr="000508B6">
        <w:rPr>
          <w:rFonts w:ascii="Times New Roman" w:hAnsi="Times New Roman" w:cs="Times New Roman"/>
          <w:lang w:val="ro-MD"/>
        </w:rPr>
        <w:t xml:space="preserve">c), se utilizează </w:t>
      </w:r>
      <w:proofErr w:type="spellStart"/>
      <w:r w:rsidRPr="000508B6">
        <w:rPr>
          <w:rFonts w:ascii="Times New Roman" w:hAnsi="Times New Roman" w:cs="Times New Roman"/>
          <w:lang w:val="ro-MD"/>
        </w:rPr>
        <w:t>specificaţii</w:t>
      </w:r>
      <w:proofErr w:type="spellEnd"/>
      <w:r w:rsidRPr="000508B6">
        <w:rPr>
          <w:rFonts w:ascii="Times New Roman" w:hAnsi="Times New Roman" w:cs="Times New Roman"/>
          <w:lang w:val="ro-MD"/>
        </w:rPr>
        <w:t xml:space="preserve"> geografice, dacă este cazul.  </w:t>
      </w:r>
    </w:p>
    <w:p w14:paraId="290F1568" w14:textId="1CC27B84" w:rsidR="00F95829" w:rsidRPr="000508B6" w:rsidRDefault="00F95829" w:rsidP="00A451E7">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modulele prevăzute la alin. (1) lit. a) - c), </w:t>
      </w:r>
      <w:r w:rsidR="00937817" w:rsidRPr="000508B6">
        <w:rPr>
          <w:rFonts w:ascii="Times New Roman" w:hAnsi="Times New Roman" w:cs="Times New Roman"/>
          <w:lang w:val="ro-MD"/>
        </w:rPr>
        <w:t xml:space="preserve">cu aprobarea </w:t>
      </w:r>
      <w:r w:rsidR="00601D94" w:rsidRPr="000508B6">
        <w:rPr>
          <w:rFonts w:ascii="Times New Roman" w:hAnsi="Times New Roman" w:cs="Times New Roman"/>
          <w:lang w:val="ro-MD"/>
        </w:rPr>
        <w:t>de către Banca Națională a Moldovei,</w:t>
      </w:r>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2307AF" w:rsidRPr="000508B6">
        <w:rPr>
          <w:rFonts w:ascii="Times New Roman" w:hAnsi="Times New Roman" w:cs="Times New Roman"/>
          <w:lang w:val="ro-MD"/>
        </w:rPr>
        <w:t xml:space="preserve"> </w:t>
      </w:r>
      <w:r w:rsidRPr="000508B6">
        <w:rPr>
          <w:rFonts w:ascii="Times New Roman" w:hAnsi="Times New Roman" w:cs="Times New Roman"/>
          <w:lang w:val="ro-MD"/>
        </w:rPr>
        <w:t>po</w:t>
      </w:r>
      <w:r w:rsidR="002307AF" w:rsidRPr="000508B6">
        <w:rPr>
          <w:rFonts w:ascii="Times New Roman" w:hAnsi="Times New Roman" w:cs="Times New Roman"/>
          <w:lang w:val="ro-MD"/>
        </w:rPr>
        <w:t>a</w:t>
      </w:r>
      <w:r w:rsidRPr="000508B6">
        <w:rPr>
          <w:rFonts w:ascii="Times New Roman" w:hAnsi="Times New Roman" w:cs="Times New Roman"/>
          <w:lang w:val="ro-MD"/>
        </w:rPr>
        <w:t>t</w:t>
      </w:r>
      <w:r w:rsidR="002307AF" w:rsidRPr="000508B6">
        <w:rPr>
          <w:rFonts w:ascii="Times New Roman" w:hAnsi="Times New Roman" w:cs="Times New Roman"/>
          <w:lang w:val="ro-MD"/>
        </w:rPr>
        <w:t>e</w:t>
      </w:r>
      <w:r w:rsidRPr="000508B6">
        <w:rPr>
          <w:rFonts w:ascii="Times New Roman" w:hAnsi="Times New Roman" w:cs="Times New Roman"/>
          <w:lang w:val="ro-MD"/>
        </w:rPr>
        <w:t xml:space="preserve"> utiliza parametri specifici în locul unui subset de parametri din structura formulei standard, </w:t>
      </w:r>
      <w:proofErr w:type="spellStart"/>
      <w:r w:rsidRPr="000508B6">
        <w:rPr>
          <w:rFonts w:ascii="Times New Roman" w:hAnsi="Times New Roman" w:cs="Times New Roman"/>
          <w:lang w:val="ro-MD"/>
        </w:rPr>
        <w:t>calibraţi</w:t>
      </w:r>
      <w:proofErr w:type="spellEnd"/>
      <w:r w:rsidRPr="000508B6">
        <w:rPr>
          <w:rFonts w:ascii="Times New Roman" w:hAnsi="Times New Roman" w:cs="Times New Roman"/>
          <w:lang w:val="ro-MD"/>
        </w:rPr>
        <w:t xml:space="preserve"> prin metode standardizate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 baza datelor interne sau a celor cu </w:t>
      </w:r>
      <w:proofErr w:type="spellStart"/>
      <w:r w:rsidRPr="000508B6">
        <w:rPr>
          <w:rFonts w:ascii="Times New Roman" w:hAnsi="Times New Roman" w:cs="Times New Roman"/>
          <w:lang w:val="ro-MD"/>
        </w:rPr>
        <w:t>relevanţă</w:t>
      </w:r>
      <w:proofErr w:type="spellEnd"/>
      <w:r w:rsidRPr="000508B6">
        <w:rPr>
          <w:rFonts w:ascii="Times New Roman" w:hAnsi="Times New Roman" w:cs="Times New Roman"/>
          <w:lang w:val="ro-MD"/>
        </w:rPr>
        <w:t xml:space="preserve"> directă pentru </w:t>
      </w:r>
      <w:proofErr w:type="spellStart"/>
      <w:r w:rsidRPr="000508B6">
        <w:rPr>
          <w:rFonts w:ascii="Times New Roman" w:hAnsi="Times New Roman" w:cs="Times New Roman"/>
          <w:lang w:val="ro-MD"/>
        </w:rPr>
        <w:t>operaţiunile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 xml:space="preserve">. </w:t>
      </w:r>
    </w:p>
    <w:p w14:paraId="42B4F499" w14:textId="3B36DB63" w:rsidR="00F95829" w:rsidRPr="000508B6" w:rsidRDefault="00F95829" w:rsidP="00A451E7">
      <w:pPr>
        <w:pStyle w:val="Listparagraf"/>
        <w:numPr>
          <w:ilvl w:val="1"/>
          <w:numId w:val="16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vederea utilizării parametrilor specifici,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221737" w:rsidRPr="000508B6">
        <w:rPr>
          <w:rFonts w:ascii="Times New Roman" w:hAnsi="Times New Roman" w:cs="Times New Roman"/>
          <w:lang w:val="ro-MD"/>
        </w:rPr>
        <w:t xml:space="preserve"> </w:t>
      </w:r>
      <w:r w:rsidRPr="000508B6">
        <w:rPr>
          <w:rFonts w:ascii="Times New Roman" w:hAnsi="Times New Roman" w:cs="Times New Roman"/>
          <w:lang w:val="ro-MD"/>
        </w:rPr>
        <w:t xml:space="preserve">solicită aprobarea </w:t>
      </w:r>
      <w:r w:rsidR="00BA25E7"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care verifică </w:t>
      </w:r>
      <w:r w:rsidR="00186099" w:rsidRPr="000508B6">
        <w:rPr>
          <w:rFonts w:ascii="Times New Roman" w:hAnsi="Times New Roman" w:cs="Times New Roman"/>
          <w:lang w:val="ro-MD"/>
        </w:rPr>
        <w:t>exhaustivitatea</w:t>
      </w:r>
      <w:r w:rsidRPr="000508B6">
        <w:rPr>
          <w:rFonts w:ascii="Times New Roman" w:hAnsi="Times New Roman" w:cs="Times New Roman"/>
          <w:lang w:val="ro-MD"/>
        </w:rPr>
        <w:t xml:space="preserve">, exactitatea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adecvarea datelor </w:t>
      </w:r>
      <w:r w:rsidR="00186099" w:rsidRPr="000508B6">
        <w:rPr>
          <w:rFonts w:ascii="Times New Roman" w:hAnsi="Times New Roman" w:cs="Times New Roman"/>
          <w:lang w:val="ro-MD"/>
        </w:rPr>
        <w:t>utilizate</w:t>
      </w:r>
      <w:r w:rsidRPr="000508B6">
        <w:rPr>
          <w:rFonts w:ascii="Times New Roman" w:hAnsi="Times New Roman" w:cs="Times New Roman"/>
          <w:lang w:val="ro-MD"/>
        </w:rPr>
        <w:t xml:space="preserve">. </w:t>
      </w:r>
    </w:p>
    <w:p w14:paraId="26B4FEF8" w14:textId="77777777" w:rsidR="00D45E68" w:rsidRPr="000508B6" w:rsidRDefault="00D45E68" w:rsidP="008B530F">
      <w:pPr>
        <w:spacing w:after="0" w:line="240" w:lineRule="auto"/>
        <w:ind w:firstLine="426"/>
        <w:jc w:val="both"/>
        <w:rPr>
          <w:rFonts w:ascii="Times New Roman" w:hAnsi="Times New Roman" w:cs="Times New Roman"/>
          <w:b/>
          <w:lang w:val="ro-MD"/>
        </w:rPr>
      </w:pPr>
    </w:p>
    <w:p w14:paraId="4A06499B" w14:textId="428B2F38"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B03443" w:rsidRPr="000508B6">
        <w:rPr>
          <w:rFonts w:ascii="Times New Roman" w:hAnsi="Times New Roman" w:cs="Times New Roman"/>
          <w:b/>
          <w:lang w:val="ro-MD"/>
        </w:rPr>
        <w:t xml:space="preserve"> </w:t>
      </w:r>
      <w:r w:rsidR="00C8492A" w:rsidRPr="000508B6">
        <w:rPr>
          <w:rFonts w:ascii="Times New Roman" w:hAnsi="Times New Roman" w:cs="Times New Roman"/>
          <w:b/>
          <w:lang w:val="ro-MD"/>
        </w:rPr>
        <w:t>68</w:t>
      </w:r>
      <w:r w:rsidR="0043326F" w:rsidRPr="000508B6">
        <w:rPr>
          <w:rFonts w:ascii="Times New Roman" w:hAnsi="Times New Roman" w:cs="Times New Roman"/>
          <w:b/>
          <w:lang w:val="ro-MD"/>
        </w:rPr>
        <w:t>.</w:t>
      </w:r>
      <w:r w:rsidR="00B03443" w:rsidRPr="000508B6">
        <w:rPr>
          <w:rFonts w:ascii="Times New Roman" w:hAnsi="Times New Roman" w:cs="Times New Roman"/>
          <w:b/>
          <w:lang w:val="ro-MD"/>
        </w:rPr>
        <w:t xml:space="preserve"> </w:t>
      </w:r>
      <w:r w:rsidRPr="000508B6">
        <w:rPr>
          <w:rFonts w:ascii="Times New Roman" w:hAnsi="Times New Roman" w:cs="Times New Roman"/>
          <w:lang w:val="ro-MD"/>
        </w:rPr>
        <w:t xml:space="preserve">Calcularea SCR de bază </w:t>
      </w:r>
      <w:r w:rsidR="002B12FB" w:rsidRPr="000508B6">
        <w:rPr>
          <w:rFonts w:ascii="Times New Roman" w:hAnsi="Times New Roman" w:cs="Times New Roman"/>
          <w:lang w:val="ro-MD"/>
        </w:rPr>
        <w:t xml:space="preserve"> </w:t>
      </w:r>
    </w:p>
    <w:p w14:paraId="6E429ADE" w14:textId="2B02E95C" w:rsidR="00F95829" w:rsidRPr="000508B6" w:rsidRDefault="00F95829" w:rsidP="00A451E7">
      <w:pPr>
        <w:pStyle w:val="Listparagraf"/>
        <w:numPr>
          <w:ilvl w:val="1"/>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subscriere </w:t>
      </w:r>
      <w:r w:rsidR="00C51FCD" w:rsidRPr="000508B6">
        <w:rPr>
          <w:rFonts w:ascii="Times New Roman" w:hAnsi="Times New Roman" w:cs="Times New Roman"/>
          <w:lang w:val="ro-MD"/>
        </w:rPr>
        <w:t xml:space="preserve">pentru </w:t>
      </w:r>
      <w:r w:rsidRPr="000508B6">
        <w:rPr>
          <w:rFonts w:ascii="Times New Roman" w:hAnsi="Times New Roman" w:cs="Times New Roman"/>
          <w:lang w:val="ro-MD"/>
        </w:rPr>
        <w:t>asigur</w:t>
      </w:r>
      <w:r w:rsidR="00C51FCD" w:rsidRPr="000508B6">
        <w:rPr>
          <w:rFonts w:ascii="Times New Roman" w:hAnsi="Times New Roman" w:cs="Times New Roman"/>
          <w:lang w:val="ro-MD"/>
        </w:rPr>
        <w:t>area</w:t>
      </w:r>
      <w:r w:rsidRPr="000508B6">
        <w:rPr>
          <w:rFonts w:ascii="Times New Roman" w:hAnsi="Times New Roman" w:cs="Times New Roman"/>
          <w:lang w:val="ro-MD"/>
        </w:rPr>
        <w:t xml:space="preserve"> general</w:t>
      </w:r>
      <w:r w:rsidR="00C51FCD" w:rsidRPr="000508B6">
        <w:rPr>
          <w:rFonts w:ascii="Times New Roman" w:hAnsi="Times New Roman" w:cs="Times New Roman"/>
          <w:lang w:val="ro-MD"/>
        </w:rPr>
        <w:t>ă</w:t>
      </w:r>
      <w:r w:rsidRPr="000508B6">
        <w:rPr>
          <w:rFonts w:ascii="Times New Roman" w:hAnsi="Times New Roman" w:cs="Times New Roman"/>
          <w:lang w:val="ro-MD"/>
        </w:rPr>
        <w:t xml:space="preserve"> reflectă riscul care decurge din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w:t>
      </w:r>
      <w:r w:rsidR="00A4279C" w:rsidRPr="000508B6">
        <w:rPr>
          <w:rFonts w:ascii="Times New Roman" w:hAnsi="Times New Roman" w:cs="Times New Roman"/>
          <w:lang w:val="ro-MD"/>
        </w:rPr>
        <w:t>din</w:t>
      </w:r>
      <w:r w:rsidRPr="000508B6">
        <w:rPr>
          <w:rFonts w:ascii="Times New Roman" w:hAnsi="Times New Roman" w:cs="Times New Roman"/>
          <w:lang w:val="ro-MD"/>
        </w:rPr>
        <w:t xml:space="preserve"> </w:t>
      </w:r>
      <w:r w:rsidR="00A4279C"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A4279C" w:rsidRPr="000508B6">
        <w:rPr>
          <w:rFonts w:ascii="Times New Roman" w:hAnsi="Times New Roman" w:cs="Times New Roman"/>
          <w:lang w:val="ro-MD"/>
        </w:rPr>
        <w:t>ă</w:t>
      </w:r>
      <w:r w:rsidRPr="000508B6">
        <w:rPr>
          <w:rFonts w:ascii="Times New Roman" w:hAnsi="Times New Roman" w:cs="Times New Roman"/>
          <w:lang w:val="ro-MD"/>
        </w:rPr>
        <w:t xml:space="preserve">,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w:t>
      </w:r>
      <w:bookmarkStart w:id="113" w:name="_Hlk181197132"/>
    </w:p>
    <w:bookmarkEnd w:id="113"/>
    <w:p w14:paraId="0C3C3581" w14:textId="57588893" w:rsidR="00F95829" w:rsidRPr="000508B6" w:rsidRDefault="00F95829" w:rsidP="0006568A">
      <w:pPr>
        <w:pStyle w:val="Listparagraf"/>
        <w:numPr>
          <w:ilvl w:val="2"/>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evenimentele asigurate; </w:t>
      </w:r>
    </w:p>
    <w:p w14:paraId="7CDD5D44" w14:textId="40269EE4" w:rsidR="00F95829" w:rsidRPr="000508B6" w:rsidRDefault="00424F29" w:rsidP="0006568A">
      <w:pPr>
        <w:pStyle w:val="Listparagraf"/>
        <w:numPr>
          <w:ilvl w:val="2"/>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procedurile aplicate în desfășurarea acestei activități;</w:t>
      </w:r>
    </w:p>
    <w:p w14:paraId="534FFDE0" w14:textId="24AA693F" w:rsidR="00F95829" w:rsidRPr="000508B6" w:rsidRDefault="00F95829" w:rsidP="0006568A">
      <w:pPr>
        <w:pStyle w:val="Listparagraf"/>
        <w:numPr>
          <w:ilvl w:val="2"/>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caracterul incert al rezultatelor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în raport cu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w:t>
      </w:r>
      <w:r w:rsidR="00424F29" w:rsidRPr="000508B6">
        <w:rPr>
          <w:rFonts w:ascii="Times New Roman" w:hAnsi="Times New Roman" w:cs="Times New Roman"/>
          <w:lang w:val="ro-MD"/>
        </w:rPr>
        <w:t>acestora existente de asigurare și de reasigurare</w:t>
      </w:r>
      <w:r w:rsidRPr="000508B6">
        <w:rPr>
          <w:rFonts w:ascii="Times New Roman" w:hAnsi="Times New Roman" w:cs="Times New Roman"/>
          <w:lang w:val="ro-MD"/>
        </w:rPr>
        <w:t xml:space="preserve">; </w:t>
      </w:r>
    </w:p>
    <w:p w14:paraId="3ECB6419" w14:textId="72144D7E" w:rsidR="00F95829" w:rsidRPr="000508B6" w:rsidRDefault="00F95829" w:rsidP="0006568A">
      <w:pPr>
        <w:pStyle w:val="Listparagraf"/>
        <w:numPr>
          <w:ilvl w:val="2"/>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contractele noi, preconizate a fi subscrise în următoarele 12 luni. </w:t>
      </w:r>
    </w:p>
    <w:p w14:paraId="1BCBF83D" w14:textId="2C206F45" w:rsidR="00F95829" w:rsidRPr="000508B6" w:rsidRDefault="00F95829" w:rsidP="0006568A">
      <w:pPr>
        <w:pStyle w:val="Listparagraf"/>
        <w:numPr>
          <w:ilvl w:val="1"/>
          <w:numId w:val="163"/>
        </w:numPr>
        <w:tabs>
          <w:tab w:val="left" w:pos="709"/>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Modulul risc de subscriere </w:t>
      </w:r>
      <w:r w:rsidR="00C51FCD" w:rsidRPr="000508B6">
        <w:rPr>
          <w:rFonts w:ascii="Times New Roman" w:hAnsi="Times New Roman" w:cs="Times New Roman"/>
          <w:lang w:val="ro-MD"/>
        </w:rPr>
        <w:t>pentru asigurarea</w:t>
      </w:r>
      <w:r w:rsidRPr="000508B6">
        <w:rPr>
          <w:rFonts w:ascii="Times New Roman" w:hAnsi="Times New Roman" w:cs="Times New Roman"/>
          <w:lang w:val="ro-MD"/>
        </w:rPr>
        <w:t xml:space="preserve"> general</w:t>
      </w:r>
      <w:r w:rsidR="00C51FCD" w:rsidRPr="000508B6">
        <w:rPr>
          <w:rFonts w:ascii="Times New Roman" w:hAnsi="Times New Roman" w:cs="Times New Roman"/>
          <w:lang w:val="ro-MD"/>
        </w:rPr>
        <w:t>ă</w:t>
      </w:r>
      <w:r w:rsidRPr="000508B6">
        <w:rPr>
          <w:rFonts w:ascii="Times New Roman" w:hAnsi="Times New Roman" w:cs="Times New Roman"/>
          <w:lang w:val="ro-MD"/>
        </w:rPr>
        <w:t xml:space="preserve"> se calculează în conformitate cu </w:t>
      </w:r>
      <w:r w:rsidR="002C46E4" w:rsidRPr="000508B6">
        <w:rPr>
          <w:rFonts w:ascii="Times New Roman" w:hAnsi="Times New Roman" w:cs="Times New Roman"/>
          <w:lang w:val="ro-MD"/>
        </w:rPr>
        <w:t>A</w:t>
      </w:r>
      <w:r w:rsidRPr="000508B6">
        <w:rPr>
          <w:rFonts w:ascii="Times New Roman" w:hAnsi="Times New Roman" w:cs="Times New Roman"/>
          <w:lang w:val="ro-MD"/>
        </w:rPr>
        <w:t xml:space="preserve">nexa nr. </w:t>
      </w:r>
      <w:r w:rsidR="002A1AB3" w:rsidRPr="000508B6">
        <w:rPr>
          <w:rFonts w:ascii="Times New Roman" w:hAnsi="Times New Roman" w:cs="Times New Roman"/>
          <w:lang w:val="ro-MD"/>
        </w:rPr>
        <w:t>3</w:t>
      </w:r>
      <w:r w:rsidRPr="000508B6">
        <w:rPr>
          <w:rFonts w:ascii="Times New Roman" w:hAnsi="Times New Roman" w:cs="Times New Roman"/>
          <w:lang w:val="ro-MD"/>
        </w:rPr>
        <w:t xml:space="preserve">, ca o </w:t>
      </w:r>
      <w:proofErr w:type="spellStart"/>
      <w:r w:rsidRPr="000508B6">
        <w:rPr>
          <w:rFonts w:ascii="Times New Roman" w:hAnsi="Times New Roman" w:cs="Times New Roman"/>
          <w:lang w:val="ro-MD"/>
        </w:rPr>
        <w:t>combinaţie</w:t>
      </w:r>
      <w:proofErr w:type="spellEnd"/>
      <w:r w:rsidRPr="000508B6">
        <w:rPr>
          <w:rFonts w:ascii="Times New Roman" w:hAnsi="Times New Roman" w:cs="Times New Roman"/>
          <w:lang w:val="ro-MD"/>
        </w:rPr>
        <w:t xml:space="preserve"> </w:t>
      </w:r>
      <w:r w:rsidR="00B86BB6" w:rsidRPr="000508B6">
        <w:rPr>
          <w:rFonts w:ascii="Times New Roman" w:hAnsi="Times New Roman" w:cs="Times New Roman"/>
          <w:lang w:val="ro-MD"/>
        </w:rPr>
        <w:t xml:space="preserve">dintre </w:t>
      </w:r>
      <w:proofErr w:type="spellStart"/>
      <w:r w:rsidRPr="000508B6">
        <w:rPr>
          <w:rFonts w:ascii="Times New Roman" w:hAnsi="Times New Roman" w:cs="Times New Roman"/>
          <w:lang w:val="ro-MD"/>
        </w:rPr>
        <w:t>cerinţe</w:t>
      </w:r>
      <w:r w:rsidR="00B86BB6" w:rsidRPr="000508B6">
        <w:rPr>
          <w:rFonts w:ascii="Times New Roman" w:hAnsi="Times New Roman" w:cs="Times New Roman"/>
          <w:lang w:val="ro-MD"/>
        </w:rPr>
        <w:t>le</w:t>
      </w:r>
      <w:proofErr w:type="spellEnd"/>
      <w:r w:rsidRPr="000508B6">
        <w:rPr>
          <w:rFonts w:ascii="Times New Roman" w:hAnsi="Times New Roman" w:cs="Times New Roman"/>
          <w:lang w:val="ro-MD"/>
        </w:rPr>
        <w:t xml:space="preserve"> de capital,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pentru riscurile de pierdere sau de modificare nefavorabilă a valorii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din asigurare, rezultate astfel: </w:t>
      </w:r>
      <w:r w:rsidR="00E80A08" w:rsidRPr="000508B6">
        <w:rPr>
          <w:rFonts w:ascii="Times New Roman" w:hAnsi="Times New Roman" w:cs="Times New Roman"/>
          <w:lang w:val="ro-MD"/>
        </w:rPr>
        <w:t xml:space="preserve"> </w:t>
      </w:r>
    </w:p>
    <w:p w14:paraId="7AFEF7E0" w14:textId="78F8A154" w:rsidR="00F95829" w:rsidRPr="000508B6" w:rsidRDefault="00F95829" w:rsidP="0006568A">
      <w:pPr>
        <w:pStyle w:val="Listparagraf"/>
        <w:numPr>
          <w:ilvl w:val="2"/>
          <w:numId w:val="163"/>
        </w:numPr>
        <w:tabs>
          <w:tab w:val="left" w:pos="709"/>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prime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rezerve, în urma </w:t>
      </w:r>
      <w:proofErr w:type="spellStart"/>
      <w:r w:rsidRPr="000508B6">
        <w:rPr>
          <w:rFonts w:ascii="Times New Roman" w:hAnsi="Times New Roman" w:cs="Times New Roman"/>
          <w:lang w:val="ro-MD"/>
        </w:rPr>
        <w:t>fluctuaţiilor</w:t>
      </w:r>
      <w:proofErr w:type="spellEnd"/>
      <w:r w:rsidRPr="000508B6">
        <w:rPr>
          <w:rFonts w:ascii="Times New Roman" w:hAnsi="Times New Roman" w:cs="Times New Roman"/>
          <w:lang w:val="ro-MD"/>
        </w:rPr>
        <w:t xml:space="preserve"> înregistrate </w:t>
      </w:r>
      <w:r w:rsidR="00666B5A" w:rsidRPr="000508B6">
        <w:rPr>
          <w:rFonts w:ascii="Times New Roman" w:hAnsi="Times New Roman" w:cs="Times New Roman"/>
          <w:lang w:val="ro-MD"/>
        </w:rPr>
        <w:t xml:space="preserve">în ceea ce privește </w:t>
      </w:r>
      <w:r w:rsidRPr="000508B6">
        <w:rPr>
          <w:rFonts w:ascii="Times New Roman" w:hAnsi="Times New Roman" w:cs="Times New Roman"/>
          <w:lang w:val="ro-MD"/>
        </w:rPr>
        <w:t xml:space="preserve">momentul producerii, </w:t>
      </w:r>
      <w:proofErr w:type="spellStart"/>
      <w:r w:rsidRPr="000508B6">
        <w:rPr>
          <w:rFonts w:ascii="Times New Roman" w:hAnsi="Times New Roman" w:cs="Times New Roman"/>
          <w:lang w:val="ro-MD"/>
        </w:rPr>
        <w:t>frecvenţa</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severitatea evenimentelor asigurate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valoarea daunelor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momentul </w:t>
      </w:r>
      <w:proofErr w:type="spellStart"/>
      <w:r w:rsidRPr="000508B6">
        <w:rPr>
          <w:rFonts w:ascii="Times New Roman" w:hAnsi="Times New Roman" w:cs="Times New Roman"/>
          <w:lang w:val="ro-MD"/>
        </w:rPr>
        <w:t>plăţii</w:t>
      </w:r>
      <w:proofErr w:type="spellEnd"/>
      <w:r w:rsidRPr="000508B6">
        <w:rPr>
          <w:rFonts w:ascii="Times New Roman" w:hAnsi="Times New Roman" w:cs="Times New Roman"/>
          <w:lang w:val="ro-MD"/>
        </w:rPr>
        <w:t xml:space="preserve"> acestora; </w:t>
      </w:r>
    </w:p>
    <w:p w14:paraId="227843AA" w14:textId="2D2A1FC0" w:rsidR="00F95829" w:rsidRPr="000508B6" w:rsidRDefault="00F95829" w:rsidP="0006568A">
      <w:pPr>
        <w:pStyle w:val="Listparagraf"/>
        <w:numPr>
          <w:ilvl w:val="2"/>
          <w:numId w:val="163"/>
        </w:numPr>
        <w:tabs>
          <w:tab w:val="left" w:pos="709"/>
          <w:tab w:val="left" w:pos="993"/>
        </w:tabs>
        <w:spacing w:after="0" w:line="240" w:lineRule="auto"/>
        <w:ind w:left="0" w:firstLine="425"/>
        <w:jc w:val="both"/>
        <w:rPr>
          <w:rFonts w:ascii="Times New Roman" w:hAnsi="Times New Roman" w:cs="Times New Roman"/>
          <w:lang w:val="ro-MD"/>
        </w:rPr>
      </w:pPr>
      <w:r w:rsidRPr="000508B6" w:rsidDel="00053891">
        <w:rPr>
          <w:rFonts w:ascii="Times New Roman" w:hAnsi="Times New Roman" w:cs="Times New Roman"/>
          <w:lang w:val="ro-MD"/>
        </w:rPr>
        <w:t>pentru</w:t>
      </w:r>
      <w:r w:rsidR="00053891"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catastrofă, în urma înregistrării unui nivel semnificativ de incertitudine a ipotezelor utilizate la stabilirea tarifelor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cuantumului rezervelor </w:t>
      </w:r>
      <w:r w:rsidR="00A22C24" w:rsidRPr="000508B6">
        <w:rPr>
          <w:rFonts w:ascii="Times New Roman" w:hAnsi="Times New Roman" w:cs="Times New Roman"/>
          <w:lang w:val="ro-MD"/>
        </w:rPr>
        <w:t>legate de</w:t>
      </w:r>
      <w:r w:rsidRPr="000508B6">
        <w:rPr>
          <w:rFonts w:ascii="Times New Roman" w:hAnsi="Times New Roman" w:cs="Times New Roman"/>
          <w:lang w:val="ro-MD"/>
        </w:rPr>
        <w:t xml:space="preserve"> evenimente extreme sau </w:t>
      </w:r>
      <w:proofErr w:type="spellStart"/>
      <w:r w:rsidRPr="000508B6">
        <w:rPr>
          <w:rFonts w:ascii="Times New Roman" w:hAnsi="Times New Roman" w:cs="Times New Roman"/>
          <w:lang w:val="ro-MD"/>
        </w:rPr>
        <w:t>excepţionale</w:t>
      </w:r>
      <w:proofErr w:type="spellEnd"/>
      <w:r w:rsidRPr="000508B6">
        <w:rPr>
          <w:rFonts w:ascii="Times New Roman" w:hAnsi="Times New Roman" w:cs="Times New Roman"/>
          <w:lang w:val="ro-MD"/>
        </w:rPr>
        <w:t xml:space="preserve">. </w:t>
      </w:r>
    </w:p>
    <w:p w14:paraId="7AC88AD3" w14:textId="285B5A00" w:rsidR="00F95829" w:rsidRPr="000508B6" w:rsidRDefault="00F95829" w:rsidP="0006568A">
      <w:pPr>
        <w:pStyle w:val="Listparagraf"/>
        <w:numPr>
          <w:ilvl w:val="1"/>
          <w:numId w:val="163"/>
        </w:numPr>
        <w:tabs>
          <w:tab w:val="left" w:pos="709"/>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Modulul risc de subscriere </w:t>
      </w:r>
      <w:r w:rsidR="00C51FCD" w:rsidRPr="000508B6">
        <w:rPr>
          <w:rFonts w:ascii="Times New Roman" w:hAnsi="Times New Roman" w:cs="Times New Roman"/>
          <w:lang w:val="ro-MD"/>
        </w:rPr>
        <w:t>pentru asigurarea</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reflectă riscul care decurge din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w:t>
      </w:r>
      <w:r w:rsidR="00F220AE" w:rsidRPr="000508B6">
        <w:rPr>
          <w:rFonts w:ascii="Times New Roman" w:hAnsi="Times New Roman" w:cs="Times New Roman"/>
          <w:lang w:val="ro-MD"/>
        </w:rPr>
        <w:t>de</w:t>
      </w:r>
      <w:r w:rsidRPr="000508B6">
        <w:rPr>
          <w:rFonts w:ascii="Times New Roman" w:hAnsi="Times New Roman" w:cs="Times New Roman"/>
          <w:lang w:val="ro-MD"/>
        </w:rPr>
        <w:t xml:space="preserve"> </w:t>
      </w:r>
      <w:r w:rsidR="004F2DEA" w:rsidRPr="000508B6">
        <w:rPr>
          <w:rFonts w:ascii="Times New Roman" w:hAnsi="Times New Roman" w:cs="Times New Roman"/>
          <w:lang w:val="ro-MD"/>
        </w:rPr>
        <w:t>asigurare</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evenimentele asigurate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AA064B" w:rsidRPr="000508B6">
        <w:rPr>
          <w:rFonts w:ascii="Times New Roman" w:hAnsi="Times New Roman" w:cs="Times New Roman"/>
          <w:lang w:val="ro-MD"/>
        </w:rPr>
        <w:t>de procedurile aplicate în desfășurarea acestei activități</w:t>
      </w:r>
      <w:r w:rsidRPr="000508B6">
        <w:rPr>
          <w:rFonts w:ascii="Times New Roman" w:hAnsi="Times New Roman" w:cs="Times New Roman"/>
          <w:lang w:val="ro-MD"/>
        </w:rPr>
        <w:t xml:space="preserve">. </w:t>
      </w:r>
    </w:p>
    <w:p w14:paraId="7A82B816" w14:textId="53986F11" w:rsidR="00F95829" w:rsidRPr="000508B6" w:rsidRDefault="00F95829" w:rsidP="0006568A">
      <w:pPr>
        <w:pStyle w:val="Listparagraf"/>
        <w:numPr>
          <w:ilvl w:val="1"/>
          <w:numId w:val="163"/>
        </w:numPr>
        <w:tabs>
          <w:tab w:val="left" w:pos="709"/>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Modulul risc de subscriere </w:t>
      </w:r>
      <w:r w:rsidR="00C51FCD" w:rsidRPr="000508B6">
        <w:rPr>
          <w:rFonts w:ascii="Times New Roman" w:hAnsi="Times New Roman" w:cs="Times New Roman"/>
          <w:lang w:val="ro-MD"/>
        </w:rPr>
        <w:t xml:space="preserve">pentru </w:t>
      </w:r>
      <w:r w:rsidRPr="000508B6">
        <w:rPr>
          <w:rFonts w:ascii="Times New Roman" w:hAnsi="Times New Roman" w:cs="Times New Roman"/>
          <w:lang w:val="ro-MD"/>
        </w:rPr>
        <w:t>asigur</w:t>
      </w:r>
      <w:r w:rsidR="00C51FCD" w:rsidRPr="000508B6">
        <w:rPr>
          <w:rFonts w:ascii="Times New Roman" w:hAnsi="Times New Roman" w:cs="Times New Roman"/>
          <w:lang w:val="ro-MD"/>
        </w:rPr>
        <w:t>area</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se calculează în conformitate cu </w:t>
      </w:r>
      <w:r w:rsidR="00E81DE7" w:rsidRPr="000508B6">
        <w:rPr>
          <w:rFonts w:ascii="Times New Roman" w:hAnsi="Times New Roman" w:cs="Times New Roman"/>
          <w:lang w:val="ro-MD"/>
        </w:rPr>
        <w:t>A</w:t>
      </w:r>
      <w:r w:rsidRPr="000508B6">
        <w:rPr>
          <w:rFonts w:ascii="Times New Roman" w:hAnsi="Times New Roman" w:cs="Times New Roman"/>
          <w:lang w:val="ro-MD"/>
        </w:rPr>
        <w:t xml:space="preserve">nexa nr. </w:t>
      </w:r>
      <w:r w:rsidR="002A1AB3" w:rsidRPr="000508B6">
        <w:rPr>
          <w:rFonts w:ascii="Times New Roman" w:hAnsi="Times New Roman" w:cs="Times New Roman"/>
          <w:lang w:val="ro-MD"/>
        </w:rPr>
        <w:t>3</w:t>
      </w:r>
      <w:r w:rsidR="00A451E7" w:rsidRPr="000508B6">
        <w:rPr>
          <w:rFonts w:ascii="Times New Roman" w:hAnsi="Times New Roman" w:cs="Times New Roman"/>
          <w:lang w:val="ro-MD"/>
        </w:rPr>
        <w:t>.</w:t>
      </w:r>
      <w:r w:rsidRPr="000508B6">
        <w:rPr>
          <w:rFonts w:ascii="Times New Roman" w:hAnsi="Times New Roman" w:cs="Times New Roman"/>
          <w:lang w:val="ro-MD"/>
        </w:rPr>
        <w:t xml:space="preserve">, ca o </w:t>
      </w:r>
      <w:proofErr w:type="spellStart"/>
      <w:r w:rsidRPr="000508B6">
        <w:rPr>
          <w:rFonts w:ascii="Times New Roman" w:hAnsi="Times New Roman" w:cs="Times New Roman"/>
          <w:lang w:val="ro-MD"/>
        </w:rPr>
        <w:t>combinaţie</w:t>
      </w:r>
      <w:proofErr w:type="spellEnd"/>
      <w:r w:rsidRPr="000508B6">
        <w:rPr>
          <w:rFonts w:ascii="Times New Roman" w:hAnsi="Times New Roman" w:cs="Times New Roman"/>
          <w:lang w:val="ro-MD"/>
        </w:rPr>
        <w:t xml:space="preserve"> </w:t>
      </w:r>
      <w:r w:rsidR="00B86BB6" w:rsidRPr="000508B6">
        <w:rPr>
          <w:rFonts w:ascii="Times New Roman" w:hAnsi="Times New Roman" w:cs="Times New Roman"/>
          <w:lang w:val="ro-MD"/>
        </w:rPr>
        <w:t xml:space="preserve">dintre </w:t>
      </w:r>
      <w:proofErr w:type="spellStart"/>
      <w:r w:rsidRPr="000508B6">
        <w:rPr>
          <w:rFonts w:ascii="Times New Roman" w:hAnsi="Times New Roman" w:cs="Times New Roman"/>
          <w:lang w:val="ro-MD"/>
        </w:rPr>
        <w:t>cerinţe</w:t>
      </w:r>
      <w:r w:rsidR="00B86BB6" w:rsidRPr="000508B6">
        <w:rPr>
          <w:rFonts w:ascii="Times New Roman" w:hAnsi="Times New Roman" w:cs="Times New Roman"/>
          <w:lang w:val="ro-MD"/>
        </w:rPr>
        <w:t>le</w:t>
      </w:r>
      <w:proofErr w:type="spellEnd"/>
      <w:r w:rsidRPr="000508B6">
        <w:rPr>
          <w:rFonts w:ascii="Times New Roman" w:hAnsi="Times New Roman" w:cs="Times New Roman"/>
          <w:lang w:val="ro-MD"/>
        </w:rPr>
        <w:t xml:space="preserve"> de capital,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pentru riscurile de pierdere sau de modificare nefavorabilă a valorii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din asigurare, rezultate astfel: </w:t>
      </w:r>
    </w:p>
    <w:p w14:paraId="03DD1284" w14:textId="5F57F4C0" w:rsidR="00F95829" w:rsidRPr="000508B6" w:rsidRDefault="00F95829" w:rsidP="0006568A">
      <w:pPr>
        <w:pStyle w:val="Listparagraf"/>
        <w:numPr>
          <w:ilvl w:val="2"/>
          <w:numId w:val="163"/>
        </w:numPr>
        <w:tabs>
          <w:tab w:val="left" w:pos="709"/>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mortalitate, în urma </w:t>
      </w:r>
      <w:proofErr w:type="spellStart"/>
      <w:r w:rsidRPr="000508B6">
        <w:rPr>
          <w:rFonts w:ascii="Times New Roman" w:hAnsi="Times New Roman" w:cs="Times New Roman"/>
          <w:lang w:val="ro-MD"/>
        </w:rPr>
        <w:t>variaţiei</w:t>
      </w:r>
      <w:proofErr w:type="spellEnd"/>
      <w:r w:rsidRPr="000508B6">
        <w:rPr>
          <w:rFonts w:ascii="Times New Roman" w:hAnsi="Times New Roman" w:cs="Times New Roman"/>
          <w:lang w:val="ro-MD"/>
        </w:rPr>
        <w:t xml:space="preserve"> nivelului, </w:t>
      </w:r>
      <w:proofErr w:type="spellStart"/>
      <w:r w:rsidRPr="000508B6">
        <w:rPr>
          <w:rFonts w:ascii="Times New Roman" w:hAnsi="Times New Roman" w:cs="Times New Roman"/>
          <w:lang w:val="ro-MD"/>
        </w:rPr>
        <w:t>tendinţelor</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ratei </w:t>
      </w:r>
      <w:proofErr w:type="spellStart"/>
      <w:r w:rsidRPr="000508B6">
        <w:rPr>
          <w:rFonts w:ascii="Times New Roman" w:hAnsi="Times New Roman" w:cs="Times New Roman"/>
          <w:lang w:val="ro-MD"/>
        </w:rPr>
        <w:t>mortalităţii</w:t>
      </w:r>
      <w:proofErr w:type="spellEnd"/>
      <w:r w:rsidRPr="000508B6">
        <w:rPr>
          <w:rFonts w:ascii="Times New Roman" w:hAnsi="Times New Roman" w:cs="Times New Roman"/>
          <w:lang w:val="ro-MD"/>
        </w:rPr>
        <w:t xml:space="preserve">, în cazul în care o </w:t>
      </w:r>
      <w:proofErr w:type="spellStart"/>
      <w:r w:rsidRPr="000508B6">
        <w:rPr>
          <w:rFonts w:ascii="Times New Roman" w:hAnsi="Times New Roman" w:cs="Times New Roman"/>
          <w:lang w:val="ro-MD"/>
        </w:rPr>
        <w:t>creştere</w:t>
      </w:r>
      <w:proofErr w:type="spellEnd"/>
      <w:r w:rsidRPr="000508B6">
        <w:rPr>
          <w:rFonts w:ascii="Times New Roman" w:hAnsi="Times New Roman" w:cs="Times New Roman"/>
          <w:lang w:val="ro-MD"/>
        </w:rPr>
        <w:t xml:space="preserve"> a acesteia generează o majorare a valorii </w:t>
      </w:r>
      <w:proofErr w:type="spellStart"/>
      <w:r w:rsidRPr="000508B6">
        <w:rPr>
          <w:rFonts w:ascii="Times New Roman" w:hAnsi="Times New Roman" w:cs="Times New Roman"/>
          <w:lang w:val="ro-MD"/>
        </w:rPr>
        <w:t>obligaţiilor</w:t>
      </w:r>
      <w:proofErr w:type="spellEnd"/>
      <w:r w:rsidR="00C32F9F" w:rsidRPr="000508B6">
        <w:rPr>
          <w:rFonts w:ascii="Times New Roman" w:hAnsi="Times New Roman" w:cs="Times New Roman"/>
          <w:lang w:val="ro-MD"/>
        </w:rPr>
        <w:t xml:space="preserve"> de asigurare</w:t>
      </w:r>
      <w:r w:rsidRPr="000508B6">
        <w:rPr>
          <w:rFonts w:ascii="Times New Roman" w:hAnsi="Times New Roman" w:cs="Times New Roman"/>
          <w:lang w:val="ro-MD"/>
        </w:rPr>
        <w:t xml:space="preserve">; </w:t>
      </w:r>
    </w:p>
    <w:p w14:paraId="531C026E" w14:textId="51CA3307"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longevitate, în urma </w:t>
      </w:r>
      <w:proofErr w:type="spellStart"/>
      <w:r w:rsidRPr="000508B6">
        <w:rPr>
          <w:rFonts w:ascii="Times New Roman" w:hAnsi="Times New Roman" w:cs="Times New Roman"/>
          <w:lang w:val="ro-MD"/>
        </w:rPr>
        <w:t>variaţiei</w:t>
      </w:r>
      <w:proofErr w:type="spellEnd"/>
      <w:r w:rsidRPr="000508B6">
        <w:rPr>
          <w:rFonts w:ascii="Times New Roman" w:hAnsi="Times New Roman" w:cs="Times New Roman"/>
          <w:lang w:val="ro-MD"/>
        </w:rPr>
        <w:t xml:space="preserve"> nivelului, </w:t>
      </w:r>
      <w:proofErr w:type="spellStart"/>
      <w:r w:rsidRPr="000508B6">
        <w:rPr>
          <w:rFonts w:ascii="Times New Roman" w:hAnsi="Times New Roman" w:cs="Times New Roman"/>
          <w:lang w:val="ro-MD"/>
        </w:rPr>
        <w:t>tendinţelor</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ratei </w:t>
      </w:r>
      <w:proofErr w:type="spellStart"/>
      <w:r w:rsidRPr="000508B6">
        <w:rPr>
          <w:rFonts w:ascii="Times New Roman" w:hAnsi="Times New Roman" w:cs="Times New Roman"/>
          <w:lang w:val="ro-MD"/>
        </w:rPr>
        <w:t>mortalităţii</w:t>
      </w:r>
      <w:proofErr w:type="spellEnd"/>
      <w:r w:rsidRPr="000508B6">
        <w:rPr>
          <w:rFonts w:ascii="Times New Roman" w:hAnsi="Times New Roman" w:cs="Times New Roman"/>
          <w:lang w:val="ro-MD"/>
        </w:rPr>
        <w:t xml:space="preserve">, în cazul în care o scădere a acesteia generează o majorare a valorii </w:t>
      </w:r>
      <w:proofErr w:type="spellStart"/>
      <w:r w:rsidRPr="000508B6">
        <w:rPr>
          <w:rFonts w:ascii="Times New Roman" w:hAnsi="Times New Roman" w:cs="Times New Roman"/>
          <w:lang w:val="ro-MD"/>
        </w:rPr>
        <w:t>obligaţiilor</w:t>
      </w:r>
      <w:proofErr w:type="spellEnd"/>
      <w:r w:rsidR="00C32F9F" w:rsidRPr="000508B6">
        <w:rPr>
          <w:rFonts w:ascii="Times New Roman" w:hAnsi="Times New Roman" w:cs="Times New Roman"/>
          <w:lang w:val="ro-MD"/>
        </w:rPr>
        <w:t xml:space="preserve"> de asigurare</w:t>
      </w:r>
      <w:r w:rsidRPr="000508B6">
        <w:rPr>
          <w:rFonts w:ascii="Times New Roman" w:hAnsi="Times New Roman" w:cs="Times New Roman"/>
          <w:lang w:val="ro-MD"/>
        </w:rPr>
        <w:t xml:space="preserve">; </w:t>
      </w:r>
    </w:p>
    <w:p w14:paraId="749623CE" w14:textId="5A7FAE9F"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invaliditate - morbiditate, în urma </w:t>
      </w:r>
      <w:proofErr w:type="spellStart"/>
      <w:r w:rsidRPr="000508B6">
        <w:rPr>
          <w:rFonts w:ascii="Times New Roman" w:hAnsi="Times New Roman" w:cs="Times New Roman"/>
          <w:lang w:val="ro-MD"/>
        </w:rPr>
        <w:t>variaţiei</w:t>
      </w:r>
      <w:proofErr w:type="spellEnd"/>
      <w:r w:rsidRPr="000508B6">
        <w:rPr>
          <w:rFonts w:ascii="Times New Roman" w:hAnsi="Times New Roman" w:cs="Times New Roman"/>
          <w:lang w:val="ro-MD"/>
        </w:rPr>
        <w:t xml:space="preserve"> nivelului, </w:t>
      </w:r>
      <w:proofErr w:type="spellStart"/>
      <w:r w:rsidRPr="000508B6">
        <w:rPr>
          <w:rFonts w:ascii="Times New Roman" w:hAnsi="Times New Roman" w:cs="Times New Roman"/>
          <w:lang w:val="ro-MD"/>
        </w:rPr>
        <w:t>tendinţelor</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ratelor de invaliditate, boală sau morbiditate; </w:t>
      </w:r>
    </w:p>
    <w:p w14:paraId="3EE87A9D" w14:textId="483FC911"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cheltuieli cu </w:t>
      </w:r>
      <w:r w:rsidR="00C51FCD" w:rsidRPr="000508B6">
        <w:rPr>
          <w:rFonts w:ascii="Times New Roman" w:hAnsi="Times New Roman" w:cs="Times New Roman"/>
          <w:lang w:val="ro-MD"/>
        </w:rPr>
        <w:t>asigurarea</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în urma </w:t>
      </w:r>
      <w:proofErr w:type="spellStart"/>
      <w:r w:rsidRPr="000508B6">
        <w:rPr>
          <w:rFonts w:ascii="Times New Roman" w:hAnsi="Times New Roman" w:cs="Times New Roman"/>
          <w:lang w:val="ro-MD"/>
        </w:rPr>
        <w:t>variaţiei</w:t>
      </w:r>
      <w:proofErr w:type="spellEnd"/>
      <w:r w:rsidRPr="000508B6">
        <w:rPr>
          <w:rFonts w:ascii="Times New Roman" w:hAnsi="Times New Roman" w:cs="Times New Roman"/>
          <w:lang w:val="ro-MD"/>
        </w:rPr>
        <w:t xml:space="preserve"> nivelului, </w:t>
      </w:r>
      <w:proofErr w:type="spellStart"/>
      <w:r w:rsidRPr="000508B6">
        <w:rPr>
          <w:rFonts w:ascii="Times New Roman" w:hAnsi="Times New Roman" w:cs="Times New Roman"/>
          <w:lang w:val="ro-MD"/>
        </w:rPr>
        <w:t>tendinţelor</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cheltuielilor legate de administrarea contractelor; </w:t>
      </w:r>
    </w:p>
    <w:p w14:paraId="77B4BEB6" w14:textId="1C8D30D7" w:rsidR="00F95829" w:rsidRPr="000508B6" w:rsidRDefault="00F95829" w:rsidP="00A451E7">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revizuire, în urma </w:t>
      </w:r>
      <w:r w:rsidR="0060058C" w:rsidRPr="000508B6">
        <w:rPr>
          <w:rFonts w:ascii="Times New Roman" w:hAnsi="Times New Roman" w:cs="Times New Roman"/>
          <w:lang w:val="ro-MD"/>
        </w:rPr>
        <w:t>fluctuației</w:t>
      </w:r>
      <w:r w:rsidRPr="000508B6">
        <w:rPr>
          <w:rFonts w:ascii="Times New Roman" w:hAnsi="Times New Roman" w:cs="Times New Roman"/>
          <w:lang w:val="ro-MD"/>
        </w:rPr>
        <w:t xml:space="preserve"> nivelului, </w:t>
      </w:r>
      <w:proofErr w:type="spellStart"/>
      <w:r w:rsidRPr="000508B6">
        <w:rPr>
          <w:rFonts w:ascii="Times New Roman" w:hAnsi="Times New Roman" w:cs="Times New Roman"/>
          <w:lang w:val="ro-MD"/>
        </w:rPr>
        <w:t>tendinţelor</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ratei de revizuire a </w:t>
      </w:r>
      <w:proofErr w:type="spellStart"/>
      <w:r w:rsidRPr="000508B6">
        <w:rPr>
          <w:rFonts w:ascii="Times New Roman" w:hAnsi="Times New Roman" w:cs="Times New Roman"/>
          <w:lang w:val="ro-MD"/>
        </w:rPr>
        <w:t>anuităţilor</w:t>
      </w:r>
      <w:proofErr w:type="spellEnd"/>
      <w:r w:rsidRPr="000508B6">
        <w:rPr>
          <w:rFonts w:ascii="Times New Roman" w:hAnsi="Times New Roman" w:cs="Times New Roman"/>
          <w:lang w:val="ro-MD"/>
        </w:rPr>
        <w:t xml:space="preserve">, cauzată de modificări ale </w:t>
      </w:r>
      <w:r w:rsidR="00257A9B" w:rsidRPr="000508B6">
        <w:rPr>
          <w:rFonts w:ascii="Times New Roman" w:hAnsi="Times New Roman" w:cs="Times New Roman"/>
          <w:lang w:val="ro-MD"/>
        </w:rPr>
        <w:t>legislației</w:t>
      </w:r>
      <w:r w:rsidRPr="000508B6">
        <w:rPr>
          <w:rFonts w:ascii="Times New Roman" w:hAnsi="Times New Roman" w:cs="Times New Roman"/>
          <w:lang w:val="ro-MD"/>
        </w:rPr>
        <w:t xml:space="preserve"> sau ale stării de sănătate a </w:t>
      </w:r>
      <w:proofErr w:type="spellStart"/>
      <w:r w:rsidRPr="000508B6">
        <w:rPr>
          <w:rFonts w:ascii="Times New Roman" w:hAnsi="Times New Roman" w:cs="Times New Roman"/>
          <w:lang w:val="ro-MD"/>
        </w:rPr>
        <w:t>asiguraţilor</w:t>
      </w:r>
      <w:proofErr w:type="spellEnd"/>
      <w:r w:rsidRPr="000508B6">
        <w:rPr>
          <w:rFonts w:ascii="Times New Roman" w:hAnsi="Times New Roman" w:cs="Times New Roman"/>
          <w:lang w:val="ro-MD"/>
        </w:rPr>
        <w:t xml:space="preserve">; </w:t>
      </w:r>
    </w:p>
    <w:p w14:paraId="6C05389C" w14:textId="72121DC6" w:rsidR="00F95829" w:rsidRPr="000508B6" w:rsidRDefault="00F95829" w:rsidP="00A451E7">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w:t>
      </w:r>
      <w:r w:rsidR="008535BD" w:rsidRPr="000508B6">
        <w:rPr>
          <w:rFonts w:ascii="Times New Roman" w:hAnsi="Times New Roman" w:cs="Times New Roman"/>
          <w:lang w:val="ro-MD"/>
        </w:rPr>
        <w:t>rezoluțiune</w:t>
      </w:r>
      <w:r w:rsidRPr="000508B6">
        <w:rPr>
          <w:rFonts w:ascii="Times New Roman" w:hAnsi="Times New Roman" w:cs="Times New Roman"/>
          <w:lang w:val="ro-MD"/>
        </w:rPr>
        <w:t xml:space="preserve">, în urma </w:t>
      </w:r>
      <w:proofErr w:type="spellStart"/>
      <w:r w:rsidRPr="000508B6">
        <w:rPr>
          <w:rFonts w:ascii="Times New Roman" w:hAnsi="Times New Roman" w:cs="Times New Roman"/>
          <w:lang w:val="ro-MD"/>
        </w:rPr>
        <w:t>variaţiei</w:t>
      </w:r>
      <w:proofErr w:type="spellEnd"/>
      <w:r w:rsidRPr="000508B6">
        <w:rPr>
          <w:rFonts w:ascii="Times New Roman" w:hAnsi="Times New Roman" w:cs="Times New Roman"/>
          <w:lang w:val="ro-MD"/>
        </w:rPr>
        <w:t xml:space="preserve"> nivelului sau a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ratelor de </w:t>
      </w:r>
      <w:r w:rsidR="008535BD" w:rsidRPr="000508B6">
        <w:rPr>
          <w:rFonts w:ascii="Times New Roman" w:hAnsi="Times New Roman" w:cs="Times New Roman"/>
          <w:lang w:val="ro-MD"/>
        </w:rPr>
        <w:t>rezoluțiune</w:t>
      </w:r>
      <w:r w:rsidRPr="000508B6">
        <w:rPr>
          <w:rFonts w:ascii="Times New Roman" w:hAnsi="Times New Roman" w:cs="Times New Roman"/>
          <w:lang w:val="ro-MD"/>
        </w:rPr>
        <w:t xml:space="preserve">, reînnoire sau răscumpărare a </w:t>
      </w:r>
      <w:r w:rsidR="00351B6D" w:rsidRPr="000508B6">
        <w:rPr>
          <w:rFonts w:ascii="Times New Roman" w:hAnsi="Times New Roman" w:cs="Times New Roman"/>
          <w:lang w:val="ro-MD"/>
        </w:rPr>
        <w:t xml:space="preserve">contractelor </w:t>
      </w:r>
      <w:r w:rsidRPr="000508B6">
        <w:rPr>
          <w:rFonts w:ascii="Times New Roman" w:hAnsi="Times New Roman" w:cs="Times New Roman"/>
          <w:lang w:val="ro-MD"/>
        </w:rPr>
        <w:t xml:space="preserve">de asigurare; </w:t>
      </w:r>
    </w:p>
    <w:p w14:paraId="1F59B97A" w14:textId="6F07F1F4"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sidDel="00053891">
        <w:rPr>
          <w:rFonts w:ascii="Times New Roman" w:hAnsi="Times New Roman" w:cs="Times New Roman"/>
          <w:lang w:val="ro-MD"/>
        </w:rPr>
        <w:t>pentru</w:t>
      </w:r>
      <w:r w:rsidR="00053891"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catastrofă, în urma gradului semnificativ de incertitudine a ipotezelor utilizate la stabilirea tarifelor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cuantumului rezervelor </w:t>
      </w:r>
      <w:r w:rsidR="00A22C24" w:rsidRPr="000508B6">
        <w:rPr>
          <w:rFonts w:ascii="Times New Roman" w:hAnsi="Times New Roman" w:cs="Times New Roman"/>
          <w:lang w:val="ro-MD"/>
        </w:rPr>
        <w:t xml:space="preserve">legate de </w:t>
      </w:r>
      <w:r w:rsidRPr="000508B6">
        <w:rPr>
          <w:rFonts w:ascii="Times New Roman" w:hAnsi="Times New Roman" w:cs="Times New Roman"/>
          <w:lang w:val="ro-MD"/>
        </w:rPr>
        <w:t xml:space="preserve">evenimente extreme sau cu caracter neregulat. </w:t>
      </w:r>
    </w:p>
    <w:p w14:paraId="502D3A16" w14:textId="36A23DAB" w:rsidR="00F95829" w:rsidRPr="000508B6" w:rsidRDefault="00F6726E" w:rsidP="0006568A">
      <w:pPr>
        <w:pStyle w:val="Listparagraf"/>
        <w:numPr>
          <w:ilvl w:val="1"/>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subscriere pentru asigurarea de sănătate reflectă riscul care decurge din subscrierea de obligații de asigurare de sănătate, indiferent dacă se realizează sau nu pe baze tehnice similare cu cele ale asigurării de viață, ținând seama </w:t>
      </w:r>
      <w:r w:rsidR="00234574" w:rsidRPr="000508B6">
        <w:rPr>
          <w:rFonts w:ascii="Times New Roman" w:hAnsi="Times New Roman" w:cs="Times New Roman"/>
          <w:lang w:val="ro-MD"/>
        </w:rPr>
        <w:t xml:space="preserve">atât </w:t>
      </w:r>
      <w:r w:rsidRPr="000508B6">
        <w:rPr>
          <w:rFonts w:ascii="Times New Roman" w:hAnsi="Times New Roman" w:cs="Times New Roman"/>
          <w:lang w:val="ro-MD"/>
        </w:rPr>
        <w:t xml:space="preserve">de evenimentele asigurate </w:t>
      </w:r>
      <w:r w:rsidR="00234574" w:rsidRPr="000508B6">
        <w:rPr>
          <w:rFonts w:ascii="Times New Roman" w:hAnsi="Times New Roman" w:cs="Times New Roman"/>
          <w:lang w:val="ro-MD"/>
        </w:rPr>
        <w:t xml:space="preserve">cât </w:t>
      </w:r>
      <w:r w:rsidRPr="000508B6">
        <w:rPr>
          <w:rFonts w:ascii="Times New Roman" w:hAnsi="Times New Roman" w:cs="Times New Roman"/>
          <w:lang w:val="ro-MD"/>
        </w:rPr>
        <w:t>și de procedurile aplicate în desfășurarea acestei activități.</w:t>
      </w:r>
      <w:r w:rsidRPr="000508B6" w:rsidDel="00F6726E">
        <w:rPr>
          <w:rFonts w:ascii="Times New Roman" w:hAnsi="Times New Roman" w:cs="Times New Roman"/>
          <w:lang w:val="ro-MD"/>
        </w:rPr>
        <w:t xml:space="preserve"> </w:t>
      </w:r>
    </w:p>
    <w:p w14:paraId="721A43BE" w14:textId="5D3EEC88" w:rsidR="00F95829" w:rsidRPr="000508B6" w:rsidRDefault="00F95829" w:rsidP="0006568A">
      <w:pPr>
        <w:pStyle w:val="Listparagraf"/>
        <w:numPr>
          <w:ilvl w:val="1"/>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subscriere </w:t>
      </w:r>
      <w:r w:rsidR="00C51FCD" w:rsidRPr="000508B6">
        <w:rPr>
          <w:rFonts w:ascii="Times New Roman" w:hAnsi="Times New Roman" w:cs="Times New Roman"/>
          <w:lang w:val="ro-MD"/>
        </w:rPr>
        <w:t>pentru asigurarea</w:t>
      </w:r>
      <w:r w:rsidRPr="000508B6">
        <w:rPr>
          <w:rFonts w:ascii="Times New Roman" w:hAnsi="Times New Roman" w:cs="Times New Roman"/>
          <w:lang w:val="ro-MD"/>
        </w:rPr>
        <w:t xml:space="preserve"> de sănătate </w:t>
      </w:r>
      <w:r w:rsidR="00B13840" w:rsidRPr="000508B6">
        <w:rPr>
          <w:rFonts w:ascii="Times New Roman" w:hAnsi="Times New Roman" w:cs="Times New Roman"/>
          <w:lang w:val="ro-MD"/>
        </w:rPr>
        <w:t>acoperă cel puțin următoarele riscuri</w:t>
      </w:r>
      <w:r w:rsidRPr="000508B6">
        <w:rPr>
          <w:rFonts w:ascii="Times New Roman" w:hAnsi="Times New Roman" w:cs="Times New Roman"/>
          <w:lang w:val="ro-MD"/>
        </w:rPr>
        <w:t xml:space="preserve">: </w:t>
      </w:r>
    </w:p>
    <w:p w14:paraId="74A5C37C" w14:textId="16FB624F" w:rsidR="00F95829" w:rsidRPr="000508B6" w:rsidRDefault="00B13840"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riscul de pierdere sau de modificare nefavorabilă a valorii obligațiilor de asigurare, rezultat în urma unor variații ale nivelului, tendinței sau volatilității cheltuielilor ocazionate de administrarea contractelor de asigurare sau de reasigurare</w:t>
      </w:r>
      <w:r w:rsidR="00F95829" w:rsidRPr="000508B6">
        <w:rPr>
          <w:rFonts w:ascii="Times New Roman" w:hAnsi="Times New Roman" w:cs="Times New Roman"/>
          <w:lang w:val="ro-MD"/>
        </w:rPr>
        <w:t>;</w:t>
      </w:r>
    </w:p>
    <w:p w14:paraId="164968CE" w14:textId="512DAE0E" w:rsidR="00F95829" w:rsidRPr="000508B6" w:rsidRDefault="00B13840"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riscul de pierdere sau de modificare nefavorabilă a valorii obligațiilor de asigurare, rezultat în urma unor fluctuații în ceea ce privește momentul apariției, frecvența și gravitatea evenimentelor asigurate, precum și momentul și valoarea plății daunelor la momentul constituirii rezervelor</w:t>
      </w:r>
      <w:r w:rsidR="00F95829" w:rsidRPr="000508B6">
        <w:rPr>
          <w:rFonts w:ascii="Times New Roman" w:hAnsi="Times New Roman" w:cs="Times New Roman"/>
          <w:lang w:val="ro-MD"/>
        </w:rPr>
        <w:t xml:space="preserve">; </w:t>
      </w:r>
    </w:p>
    <w:p w14:paraId="19466AF3" w14:textId="6D50B19C" w:rsidR="00F95829" w:rsidRPr="000508B6" w:rsidRDefault="00B13840"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riscul de pierdere sau de modificare nefavorabilă a valorii obligațiilor de asigurare, rezultat în urma unei incertitudini semnificative a ipotezelor </w:t>
      </w:r>
      <w:r w:rsidR="00387693" w:rsidRPr="000508B6">
        <w:rPr>
          <w:rFonts w:ascii="Times New Roman" w:hAnsi="Times New Roman" w:cs="Times New Roman"/>
          <w:lang w:val="ro-MD"/>
        </w:rPr>
        <w:t>utilizate la</w:t>
      </w:r>
      <w:r w:rsidRPr="000508B6">
        <w:rPr>
          <w:rFonts w:ascii="Times New Roman" w:hAnsi="Times New Roman" w:cs="Times New Roman"/>
          <w:lang w:val="ro-MD"/>
        </w:rPr>
        <w:t xml:space="preserve"> stabilirea prețurilor și constituire a rezervelor legate de izbucnirea unor epidemii majore și de neobișnuita acumulare de riscuri în astfel de circumstanțe extreme.</w:t>
      </w:r>
      <w:r w:rsidR="00F95829" w:rsidRPr="000508B6">
        <w:rPr>
          <w:rFonts w:ascii="Times New Roman" w:hAnsi="Times New Roman" w:cs="Times New Roman"/>
          <w:lang w:val="ro-MD"/>
        </w:rPr>
        <w:t xml:space="preserve"> </w:t>
      </w:r>
    </w:p>
    <w:p w14:paraId="3D81A406" w14:textId="22EA24EF" w:rsidR="00F95829" w:rsidRPr="000508B6" w:rsidRDefault="00F95829" w:rsidP="00B324BA">
      <w:pPr>
        <w:pStyle w:val="Listparagraf"/>
        <w:numPr>
          <w:ilvl w:val="1"/>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reflectă riscul care decurge din volatilitatea </w:t>
      </w:r>
      <w:proofErr w:type="spellStart"/>
      <w:r w:rsidRPr="000508B6">
        <w:rPr>
          <w:rFonts w:ascii="Times New Roman" w:hAnsi="Times New Roman" w:cs="Times New Roman"/>
          <w:lang w:val="ro-MD"/>
        </w:rPr>
        <w:t>preţurilor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ale instrumentelor financiare, care </w:t>
      </w:r>
      <w:proofErr w:type="spellStart"/>
      <w:r w:rsidRPr="000508B6">
        <w:rPr>
          <w:rFonts w:ascii="Times New Roman" w:hAnsi="Times New Roman" w:cs="Times New Roman"/>
          <w:lang w:val="ro-MD"/>
        </w:rPr>
        <w:t>influenţează</w:t>
      </w:r>
      <w:proofErr w:type="spellEnd"/>
      <w:r w:rsidRPr="000508B6">
        <w:rPr>
          <w:rFonts w:ascii="Times New Roman" w:hAnsi="Times New Roman" w:cs="Times New Roman"/>
          <w:lang w:val="ro-MD"/>
        </w:rPr>
        <w:t xml:space="preserve"> valoarea activelor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de asemenea, reflectă în mod adecvat </w:t>
      </w:r>
      <w:proofErr w:type="spellStart"/>
      <w:r w:rsidRPr="000508B6">
        <w:rPr>
          <w:rFonts w:ascii="Times New Roman" w:hAnsi="Times New Roman" w:cs="Times New Roman"/>
          <w:lang w:val="ro-MD"/>
        </w:rPr>
        <w:t>neconcordanţa</w:t>
      </w:r>
      <w:proofErr w:type="spellEnd"/>
      <w:r w:rsidRPr="000508B6">
        <w:rPr>
          <w:rFonts w:ascii="Times New Roman" w:hAnsi="Times New Roman" w:cs="Times New Roman"/>
          <w:lang w:val="ro-MD"/>
        </w:rPr>
        <w:t xml:space="preserve"> structurală dintre active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FA320A" w:rsidRPr="000508B6">
        <w:rPr>
          <w:rFonts w:ascii="Times New Roman" w:hAnsi="Times New Roman" w:cs="Times New Roman"/>
          <w:lang w:val="ro-MD"/>
        </w:rPr>
        <w:t>obligații</w:t>
      </w:r>
      <w:r w:rsidRPr="000508B6">
        <w:rPr>
          <w:rFonts w:ascii="Times New Roman" w:hAnsi="Times New Roman" w:cs="Times New Roman"/>
          <w:lang w:val="ro-MD"/>
        </w:rPr>
        <w:t xml:space="preserve">, în special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durata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a acestora. </w:t>
      </w:r>
    </w:p>
    <w:p w14:paraId="147A531A" w14:textId="525E6C46" w:rsidR="00EB1BC1" w:rsidRPr="000508B6" w:rsidRDefault="00EB1BC1" w:rsidP="00B324BA">
      <w:pPr>
        <w:pStyle w:val="Listparagraf"/>
        <w:numPr>
          <w:ilvl w:val="1"/>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se calculează în conformitate cu </w:t>
      </w:r>
      <w:r w:rsidR="00A451E7" w:rsidRPr="000508B6">
        <w:rPr>
          <w:rFonts w:ascii="Times New Roman" w:hAnsi="Times New Roman" w:cs="Times New Roman"/>
          <w:lang w:val="ro-MD"/>
        </w:rPr>
        <w:t xml:space="preserve">Anexa </w:t>
      </w:r>
      <w:r w:rsidRPr="000508B6">
        <w:rPr>
          <w:rFonts w:ascii="Times New Roman" w:hAnsi="Times New Roman" w:cs="Times New Roman"/>
          <w:lang w:val="ro-MD"/>
        </w:rPr>
        <w:t xml:space="preserve">nr. </w:t>
      </w:r>
      <w:r w:rsidR="00BD6AF3" w:rsidRPr="000508B6">
        <w:rPr>
          <w:rFonts w:ascii="Times New Roman" w:hAnsi="Times New Roman" w:cs="Times New Roman"/>
          <w:lang w:val="ro-MD"/>
        </w:rPr>
        <w:t>3</w:t>
      </w:r>
      <w:r w:rsidR="00A451E7" w:rsidRPr="000508B6">
        <w:rPr>
          <w:rFonts w:ascii="Times New Roman" w:hAnsi="Times New Roman" w:cs="Times New Roman"/>
          <w:lang w:val="ro-MD"/>
        </w:rPr>
        <w:t>.</w:t>
      </w:r>
      <w:r w:rsidRPr="000508B6">
        <w:rPr>
          <w:rFonts w:ascii="Times New Roman" w:hAnsi="Times New Roman" w:cs="Times New Roman"/>
          <w:lang w:val="ro-MD"/>
        </w:rPr>
        <w:t xml:space="preserve">, ca o </w:t>
      </w:r>
      <w:proofErr w:type="spellStart"/>
      <w:r w:rsidRPr="000508B6">
        <w:rPr>
          <w:rFonts w:ascii="Times New Roman" w:hAnsi="Times New Roman" w:cs="Times New Roman"/>
          <w:lang w:val="ro-MD"/>
        </w:rPr>
        <w:t>combinaţie</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cerinţe</w:t>
      </w:r>
      <w:proofErr w:type="spellEnd"/>
      <w:r w:rsidRPr="000508B6">
        <w:rPr>
          <w:rFonts w:ascii="Times New Roman" w:hAnsi="Times New Roman" w:cs="Times New Roman"/>
          <w:lang w:val="ro-MD"/>
        </w:rPr>
        <w:t xml:space="preserve"> de capital,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pentru riscurile date de sen</w:t>
      </w:r>
      <w:r w:rsidR="00695A57" w:rsidRPr="000508B6">
        <w:rPr>
          <w:rFonts w:ascii="Times New Roman" w:hAnsi="Times New Roman" w:cs="Times New Roman"/>
          <w:lang w:val="ro-MD"/>
        </w:rPr>
        <w:t>sibili</w:t>
      </w:r>
      <w:r w:rsidRPr="000508B6">
        <w:rPr>
          <w:rFonts w:ascii="Times New Roman" w:hAnsi="Times New Roman" w:cs="Times New Roman"/>
          <w:lang w:val="ro-MD"/>
        </w:rPr>
        <w:t xml:space="preserve">tatea valorii activelor, a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instrumentelor financiare la următoarele elemente:</w:t>
      </w:r>
    </w:p>
    <w:p w14:paraId="5FBCD846" w14:textId="5B8DE17C" w:rsidR="00EB1BC1" w:rsidRPr="000508B6" w:rsidRDefault="0064006B" w:rsidP="0006568A">
      <w:pPr>
        <w:pStyle w:val="Listparagraf"/>
        <w:numPr>
          <w:ilvl w:val="0"/>
          <w:numId w:val="458"/>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rata dobânzii, la </w:t>
      </w:r>
      <w:proofErr w:type="spellStart"/>
      <w:r w:rsidRPr="000508B6">
        <w:rPr>
          <w:rFonts w:ascii="Times New Roman" w:hAnsi="Times New Roman" w:cs="Times New Roman"/>
          <w:lang w:val="ro-MD"/>
        </w:rPr>
        <w:t>variaţiile</w:t>
      </w:r>
      <w:proofErr w:type="spellEnd"/>
      <w:r w:rsidRPr="000508B6">
        <w:rPr>
          <w:rFonts w:ascii="Times New Roman" w:hAnsi="Times New Roman" w:cs="Times New Roman"/>
          <w:lang w:val="ro-MD"/>
        </w:rPr>
        <w:t xml:space="preserve"> structurii temporale a ratei dobânzilor fără risc sau la </w:t>
      </w:r>
      <w:proofErr w:type="spellStart"/>
      <w:r w:rsidRPr="000508B6">
        <w:rPr>
          <w:rFonts w:ascii="Times New Roman" w:hAnsi="Times New Roman" w:cs="Times New Roman"/>
          <w:lang w:val="ro-MD"/>
        </w:rPr>
        <w:t>variaţiile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ratelor dobânzii;</w:t>
      </w:r>
    </w:p>
    <w:p w14:paraId="78013905" w14:textId="56BB1783" w:rsidR="0064006B" w:rsidRPr="000508B6" w:rsidRDefault="0064006B" w:rsidP="0006568A">
      <w:pPr>
        <w:pStyle w:val="Listparagraf"/>
        <w:numPr>
          <w:ilvl w:val="0"/>
          <w:numId w:val="458"/>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devalorizare </w:t>
      </w:r>
      <w:proofErr w:type="spellStart"/>
      <w:r w:rsidRPr="000508B6">
        <w:rPr>
          <w:rFonts w:ascii="Times New Roman" w:hAnsi="Times New Roman" w:cs="Times New Roman"/>
          <w:lang w:val="ro-MD"/>
        </w:rPr>
        <w:t>acţiuni</w:t>
      </w:r>
      <w:proofErr w:type="spellEnd"/>
      <w:r w:rsidRPr="000508B6">
        <w:rPr>
          <w:rFonts w:ascii="Times New Roman" w:hAnsi="Times New Roman" w:cs="Times New Roman"/>
          <w:lang w:val="ro-MD"/>
        </w:rPr>
        <w:t xml:space="preserve">, la </w:t>
      </w:r>
      <w:proofErr w:type="spellStart"/>
      <w:r w:rsidRPr="000508B6">
        <w:rPr>
          <w:rFonts w:ascii="Times New Roman" w:hAnsi="Times New Roman" w:cs="Times New Roman"/>
          <w:lang w:val="ro-MD"/>
        </w:rPr>
        <w:t>variaţiile</w:t>
      </w:r>
      <w:proofErr w:type="spellEnd"/>
      <w:r w:rsidRPr="000508B6">
        <w:rPr>
          <w:rFonts w:ascii="Times New Roman" w:hAnsi="Times New Roman" w:cs="Times New Roman"/>
          <w:lang w:val="ro-MD"/>
        </w:rPr>
        <w:t xml:space="preserve"> nivelului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preţurilor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ale </w:t>
      </w:r>
      <w:proofErr w:type="spellStart"/>
      <w:r w:rsidRPr="000508B6">
        <w:rPr>
          <w:rFonts w:ascii="Times New Roman" w:hAnsi="Times New Roman" w:cs="Times New Roman"/>
          <w:lang w:val="ro-MD"/>
        </w:rPr>
        <w:t>acţiunilor</w:t>
      </w:r>
      <w:proofErr w:type="spellEnd"/>
      <w:r w:rsidRPr="000508B6">
        <w:rPr>
          <w:rFonts w:ascii="Times New Roman" w:hAnsi="Times New Roman" w:cs="Times New Roman"/>
          <w:lang w:val="ro-MD"/>
        </w:rPr>
        <w:t>;</w:t>
      </w:r>
    </w:p>
    <w:p w14:paraId="1D1FD3C6" w14:textId="45B2F67F" w:rsidR="0064006B" w:rsidRPr="000508B6" w:rsidRDefault="0064006B" w:rsidP="0006568A">
      <w:pPr>
        <w:pStyle w:val="Listparagraf"/>
        <w:numPr>
          <w:ilvl w:val="0"/>
          <w:numId w:val="458"/>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w:t>
      </w:r>
      <w:r w:rsidR="00D3315A" w:rsidRPr="000508B6">
        <w:rPr>
          <w:rFonts w:ascii="Times New Roman" w:hAnsi="Times New Roman" w:cs="Times New Roman"/>
          <w:lang w:val="ro-MD"/>
        </w:rPr>
        <w:t>al bunurilor imobile</w:t>
      </w:r>
      <w:r w:rsidRPr="000508B6">
        <w:rPr>
          <w:rFonts w:ascii="Times New Roman" w:hAnsi="Times New Roman" w:cs="Times New Roman"/>
          <w:lang w:val="ro-MD"/>
        </w:rPr>
        <w:t xml:space="preserve">, la </w:t>
      </w:r>
      <w:proofErr w:type="spellStart"/>
      <w:r w:rsidRPr="000508B6">
        <w:rPr>
          <w:rFonts w:ascii="Times New Roman" w:hAnsi="Times New Roman" w:cs="Times New Roman"/>
          <w:lang w:val="ro-MD"/>
        </w:rPr>
        <w:t>variaţiile</w:t>
      </w:r>
      <w:proofErr w:type="spellEnd"/>
      <w:r w:rsidRPr="000508B6">
        <w:rPr>
          <w:rFonts w:ascii="Times New Roman" w:hAnsi="Times New Roman" w:cs="Times New Roman"/>
          <w:lang w:val="ro-MD"/>
        </w:rPr>
        <w:t xml:space="preserve"> nivelului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preţurilor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ale bunurilor imobil</w:t>
      </w:r>
      <w:r w:rsidR="00866651" w:rsidRPr="000508B6">
        <w:rPr>
          <w:rFonts w:ascii="Times New Roman" w:hAnsi="Times New Roman" w:cs="Times New Roman"/>
          <w:lang w:val="ro-MD"/>
        </w:rPr>
        <w:t>e</w:t>
      </w:r>
      <w:r w:rsidRPr="000508B6">
        <w:rPr>
          <w:rFonts w:ascii="Times New Roman" w:hAnsi="Times New Roman" w:cs="Times New Roman"/>
          <w:lang w:val="ro-MD"/>
        </w:rPr>
        <w:t>;</w:t>
      </w:r>
    </w:p>
    <w:p w14:paraId="4EE23D28" w14:textId="41728B11" w:rsidR="0064006B" w:rsidRPr="000508B6" w:rsidRDefault="0064006B" w:rsidP="0006568A">
      <w:pPr>
        <w:pStyle w:val="Listparagraf"/>
        <w:numPr>
          <w:ilvl w:val="0"/>
          <w:numId w:val="458"/>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marjă de credit, la </w:t>
      </w:r>
      <w:proofErr w:type="spellStart"/>
      <w:r w:rsidRPr="000508B6">
        <w:rPr>
          <w:rFonts w:ascii="Times New Roman" w:hAnsi="Times New Roman" w:cs="Times New Roman"/>
          <w:lang w:val="ro-MD"/>
        </w:rPr>
        <w:t>variaţiile</w:t>
      </w:r>
      <w:proofErr w:type="spellEnd"/>
      <w:r w:rsidRPr="000508B6">
        <w:rPr>
          <w:rFonts w:ascii="Times New Roman" w:hAnsi="Times New Roman" w:cs="Times New Roman"/>
          <w:lang w:val="ro-MD"/>
        </w:rPr>
        <w:t xml:space="preserve"> nivelului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marjelor de credit care </w:t>
      </w:r>
      <w:proofErr w:type="spellStart"/>
      <w:r w:rsidRPr="000508B6">
        <w:rPr>
          <w:rFonts w:ascii="Times New Roman" w:hAnsi="Times New Roman" w:cs="Times New Roman"/>
          <w:lang w:val="ro-MD"/>
        </w:rPr>
        <w:t>depăşesc</w:t>
      </w:r>
      <w:proofErr w:type="spellEnd"/>
      <w:r w:rsidRPr="000508B6">
        <w:rPr>
          <w:rFonts w:ascii="Times New Roman" w:hAnsi="Times New Roman" w:cs="Times New Roman"/>
          <w:lang w:val="ro-MD"/>
        </w:rPr>
        <w:t xml:space="preserve"> structura temporală a ratei dobânzilor fără risc;</w:t>
      </w:r>
    </w:p>
    <w:p w14:paraId="6F2D51A5" w14:textId="5EB9DA42" w:rsidR="0064006B" w:rsidRPr="000508B6" w:rsidRDefault="0064006B" w:rsidP="0006568A">
      <w:pPr>
        <w:pStyle w:val="Listparagraf"/>
        <w:numPr>
          <w:ilvl w:val="0"/>
          <w:numId w:val="458"/>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valutar, la </w:t>
      </w:r>
      <w:proofErr w:type="spellStart"/>
      <w:r w:rsidRPr="000508B6">
        <w:rPr>
          <w:rFonts w:ascii="Times New Roman" w:hAnsi="Times New Roman" w:cs="Times New Roman"/>
          <w:lang w:val="ro-MD"/>
        </w:rPr>
        <w:t>variaţiile</w:t>
      </w:r>
      <w:proofErr w:type="spellEnd"/>
      <w:r w:rsidRPr="000508B6">
        <w:rPr>
          <w:rFonts w:ascii="Times New Roman" w:hAnsi="Times New Roman" w:cs="Times New Roman"/>
          <w:lang w:val="ro-MD"/>
        </w:rPr>
        <w:t xml:space="preserve"> nivelului sau </w:t>
      </w:r>
      <w:proofErr w:type="spellStart"/>
      <w:r w:rsidRPr="000508B6">
        <w:rPr>
          <w:rFonts w:ascii="Times New Roman" w:hAnsi="Times New Roman" w:cs="Times New Roman"/>
          <w:lang w:val="ro-MD"/>
        </w:rPr>
        <w:t>volatilităţii</w:t>
      </w:r>
      <w:proofErr w:type="spellEnd"/>
      <w:r w:rsidRPr="000508B6">
        <w:rPr>
          <w:rFonts w:ascii="Times New Roman" w:hAnsi="Times New Roman" w:cs="Times New Roman"/>
          <w:lang w:val="ro-MD"/>
        </w:rPr>
        <w:t xml:space="preserve"> cursurilor de schimb valutar;</w:t>
      </w:r>
    </w:p>
    <w:p w14:paraId="5900C8C3" w14:textId="0E74D570" w:rsidR="008C2B40" w:rsidRPr="000508B6" w:rsidRDefault="0064006B" w:rsidP="0006568A">
      <w:pPr>
        <w:pStyle w:val="Listparagraf"/>
        <w:numPr>
          <w:ilvl w:val="0"/>
          <w:numId w:val="458"/>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eastAsia="Calibri" w:hAnsi="Times New Roman" w:cs="Times New Roman"/>
          <w:lang w:val="ro-MD"/>
        </w:rPr>
        <w:t xml:space="preserve"> riscurile suplimentare suportate de </w:t>
      </w:r>
      <w:r w:rsidR="00BD6AF3" w:rsidRPr="000508B6">
        <w:rPr>
          <w:rFonts w:ascii="Times New Roman" w:eastAsia="Calibri" w:hAnsi="Times New Roman" w:cs="Times New Roman"/>
          <w:lang w:val="ro-MD"/>
        </w:rPr>
        <w:t xml:space="preserve">un asigurător sau </w:t>
      </w:r>
      <w:proofErr w:type="spellStart"/>
      <w:r w:rsidR="00BD6AF3" w:rsidRPr="000508B6">
        <w:rPr>
          <w:rFonts w:ascii="Times New Roman" w:eastAsia="Calibri" w:hAnsi="Times New Roman" w:cs="Times New Roman"/>
          <w:lang w:val="ro-MD"/>
        </w:rPr>
        <w:t>reasigurător</w:t>
      </w:r>
      <w:proofErr w:type="spellEnd"/>
      <w:r w:rsidRPr="000508B6">
        <w:rPr>
          <w:rFonts w:ascii="Times New Roman" w:eastAsia="Calibri" w:hAnsi="Times New Roman" w:cs="Times New Roman"/>
          <w:lang w:val="ro-MD"/>
        </w:rPr>
        <w:t xml:space="preserve"> fie ca urmare a nediversificării portofoliului său de active, fie ca urmare a unei expuneri semnificative la riscul de contrapartidă față de un singur emitent de titluri de valoare sau grup de emitenți legați.</w:t>
      </w:r>
    </w:p>
    <w:p w14:paraId="51233F47" w14:textId="0B6C8E1A" w:rsidR="00F95829" w:rsidRPr="000508B6" w:rsidRDefault="00F95829" w:rsidP="0006568A">
      <w:pPr>
        <w:pStyle w:val="Listparagraf"/>
        <w:numPr>
          <w:ilvl w:val="1"/>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contrapartidă reflectă pierderile posibile cauzate de: </w:t>
      </w:r>
    </w:p>
    <w:p w14:paraId="503F7503" w14:textId="7F0AFB6B" w:rsidR="00F95829" w:rsidRPr="000508B6" w:rsidRDefault="00F95829" w:rsidP="0006568A">
      <w:pPr>
        <w:pStyle w:val="Listparagraf"/>
        <w:numPr>
          <w:ilvl w:val="2"/>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incapacitatea de plată</w:t>
      </w:r>
      <w:r w:rsidR="00544816" w:rsidRPr="000508B6">
        <w:rPr>
          <w:rFonts w:ascii="Times New Roman" w:hAnsi="Times New Roman" w:cs="Times New Roman"/>
          <w:lang w:val="ro-MD"/>
        </w:rPr>
        <w:t xml:space="preserve"> neprevăzută</w:t>
      </w:r>
      <w:r w:rsidRPr="000508B6">
        <w:rPr>
          <w:rFonts w:ascii="Times New Roman" w:hAnsi="Times New Roman" w:cs="Times New Roman"/>
          <w:lang w:val="ro-MD"/>
        </w:rPr>
        <w:t xml:space="preserve"> a contrapartidelor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debitorilor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2D78D559" w14:textId="5B4D0481" w:rsidR="00F95829" w:rsidRPr="000508B6" w:rsidRDefault="00F95829" w:rsidP="0006568A">
      <w:pPr>
        <w:pStyle w:val="Listparagraf"/>
        <w:numPr>
          <w:ilvl w:val="2"/>
          <w:numId w:val="1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deteriorarea </w:t>
      </w:r>
      <w:r w:rsidR="000276EB" w:rsidRPr="000508B6">
        <w:rPr>
          <w:rFonts w:ascii="Times New Roman" w:hAnsi="Times New Roman" w:cs="Times New Roman"/>
          <w:lang w:val="ro-MD"/>
        </w:rPr>
        <w:t>bonității contrapartidelor și debitorilor în următoarele 12 luni</w:t>
      </w:r>
      <w:r w:rsidRPr="000508B6">
        <w:rPr>
          <w:rFonts w:ascii="Times New Roman" w:hAnsi="Times New Roman" w:cs="Times New Roman"/>
          <w:lang w:val="ro-MD"/>
        </w:rPr>
        <w:t xml:space="preserve">. </w:t>
      </w:r>
    </w:p>
    <w:p w14:paraId="0F9D8855" w14:textId="774E9497" w:rsidR="00F95829" w:rsidRPr="000508B6" w:rsidRDefault="00F95829" w:rsidP="0006568A">
      <w:pPr>
        <w:pStyle w:val="Listparagraf"/>
        <w:numPr>
          <w:ilvl w:val="1"/>
          <w:numId w:val="163"/>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contrapartidă include:  </w:t>
      </w:r>
    </w:p>
    <w:p w14:paraId="2983E5EB" w14:textId="0390ACA9" w:rsidR="00F95829" w:rsidRPr="000508B6" w:rsidRDefault="00970A12" w:rsidP="00B324B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contractele de reasigurare, securitizările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instrumentele derivate  și alte </w:t>
      </w:r>
      <w:r w:rsidR="00F95829" w:rsidRPr="000508B6">
        <w:rPr>
          <w:rFonts w:ascii="Times New Roman" w:hAnsi="Times New Roman" w:cs="Times New Roman"/>
          <w:lang w:val="ro-MD"/>
        </w:rPr>
        <w:t xml:space="preserve">contracte de minimizare a riscurilor; </w:t>
      </w:r>
    </w:p>
    <w:p w14:paraId="44183553" w14:textId="25C0F0BF"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creanţele</w:t>
      </w:r>
      <w:proofErr w:type="spellEnd"/>
      <w:r w:rsidRPr="000508B6">
        <w:rPr>
          <w:rFonts w:ascii="Times New Roman" w:hAnsi="Times New Roman" w:cs="Times New Roman"/>
          <w:lang w:val="ro-MD"/>
        </w:rPr>
        <w:t xml:space="preserve"> de la intermediar</w:t>
      </w:r>
      <w:r w:rsidR="00DA311B" w:rsidRPr="000508B6">
        <w:rPr>
          <w:rFonts w:ascii="Times New Roman" w:hAnsi="Times New Roman" w:cs="Times New Roman"/>
          <w:lang w:val="ro-MD"/>
        </w:rPr>
        <w:t>ii în asigurări și/sau reasigurări</w:t>
      </w:r>
      <w:r w:rsidRPr="000508B6">
        <w:rPr>
          <w:rFonts w:ascii="Times New Roman" w:hAnsi="Times New Roman" w:cs="Times New Roman"/>
          <w:lang w:val="ro-MD"/>
        </w:rPr>
        <w:t xml:space="preserve">; </w:t>
      </w:r>
    </w:p>
    <w:p w14:paraId="6FC27988" w14:textId="1BA1472C"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expunerile neacoperite de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w:t>
      </w:r>
      <w:r w:rsidR="0099715A" w:rsidRPr="000508B6">
        <w:rPr>
          <w:rFonts w:ascii="Times New Roman" w:hAnsi="Times New Roman" w:cs="Times New Roman"/>
          <w:lang w:val="ro-MD"/>
        </w:rPr>
        <w:t>dispersie</w:t>
      </w:r>
      <w:r w:rsidRPr="000508B6">
        <w:rPr>
          <w:rFonts w:ascii="Times New Roman" w:hAnsi="Times New Roman" w:cs="Times New Roman"/>
          <w:lang w:val="ro-MD"/>
        </w:rPr>
        <w:t xml:space="preserve">; </w:t>
      </w:r>
    </w:p>
    <w:p w14:paraId="12BD4215" w14:textId="0C80F62B"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garanţiile</w:t>
      </w:r>
      <w:proofErr w:type="spellEnd"/>
      <w:r w:rsidRPr="000508B6">
        <w:rPr>
          <w:rFonts w:ascii="Times New Roman" w:hAnsi="Times New Roman" w:cs="Times New Roman"/>
          <w:lang w:val="ro-MD"/>
        </w:rPr>
        <w:t xml:space="preserve"> reale sau de altă natură, </w:t>
      </w:r>
      <w:proofErr w:type="spellStart"/>
      <w:r w:rsidRPr="000508B6">
        <w:rPr>
          <w:rFonts w:ascii="Times New Roman" w:hAnsi="Times New Roman" w:cs="Times New Roman"/>
          <w:lang w:val="ro-MD"/>
        </w:rPr>
        <w:t>deţinute</w:t>
      </w:r>
      <w:proofErr w:type="spellEnd"/>
      <w:r w:rsidRPr="000508B6">
        <w:rPr>
          <w:rFonts w:ascii="Times New Roman" w:hAnsi="Times New Roman" w:cs="Times New Roman"/>
          <w:lang w:val="ro-MD"/>
        </w:rPr>
        <w:t xml:space="preserve"> de sau în numele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BB6020"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riscurile asociate acestora; </w:t>
      </w:r>
    </w:p>
    <w:p w14:paraId="019CD3DC" w14:textId="38A7954E" w:rsidR="00F95829" w:rsidRPr="000508B6" w:rsidRDefault="00F95829" w:rsidP="0006568A">
      <w:pPr>
        <w:pStyle w:val="Listparagraf"/>
        <w:numPr>
          <w:ilvl w:val="2"/>
          <w:numId w:val="1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expunerea globală la riscul de contrapartidă, indiferent de forma juridică a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contractuale ale contrapartidelor.</w:t>
      </w:r>
    </w:p>
    <w:p w14:paraId="7878432F" w14:textId="475FCF36" w:rsidR="00F95829" w:rsidRPr="000508B6" w:rsidRDefault="00F95829" w:rsidP="0006568A">
      <w:pPr>
        <w:pStyle w:val="Listparagraf"/>
        <w:numPr>
          <w:ilvl w:val="1"/>
          <w:numId w:val="163"/>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Modulul risc aferent imobilizărilor necorporale reflectă riscurile specifice generate de imobilizările necorporale, astfel cum sunt recunoscute și evaluate în scopul solvabilității, care nu sunt incluse în altă parte în </w:t>
      </w:r>
      <w:r w:rsidR="00460E3F" w:rsidRPr="000508B6">
        <w:rPr>
          <w:rFonts w:ascii="Times New Roman" w:hAnsi="Times New Roman" w:cs="Times New Roman"/>
          <w:lang w:val="ro-MD"/>
        </w:rPr>
        <w:t>SCR</w:t>
      </w:r>
      <w:r w:rsidR="008D00F3" w:rsidRPr="000508B6">
        <w:rPr>
          <w:rFonts w:ascii="Times New Roman" w:hAnsi="Times New Roman" w:cs="Times New Roman"/>
          <w:lang w:val="ro-MD"/>
        </w:rPr>
        <w:t>.</w:t>
      </w:r>
    </w:p>
    <w:p w14:paraId="3D687628" w14:textId="77777777" w:rsidR="00553058" w:rsidRPr="000508B6" w:rsidRDefault="00553058" w:rsidP="00553058">
      <w:pPr>
        <w:spacing w:after="0" w:line="240" w:lineRule="auto"/>
        <w:ind w:firstLine="426"/>
        <w:jc w:val="both"/>
        <w:rPr>
          <w:rFonts w:ascii="Times New Roman" w:hAnsi="Times New Roman" w:cs="Times New Roman"/>
          <w:b/>
          <w:lang w:val="ro-MD"/>
        </w:rPr>
      </w:pPr>
    </w:p>
    <w:p w14:paraId="53A21B7A" w14:textId="419D1938" w:rsidR="00553058" w:rsidRPr="000508B6" w:rsidRDefault="00553058" w:rsidP="00553058">
      <w:pPr>
        <w:spacing w:after="0" w:line="240" w:lineRule="auto"/>
        <w:ind w:firstLine="426"/>
        <w:jc w:val="both"/>
        <w:rPr>
          <w:rFonts w:ascii="Times New Roman" w:hAnsi="Times New Roman" w:cs="Times New Roman"/>
          <w:b/>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69</w:t>
      </w:r>
      <w:r w:rsidR="000F771F" w:rsidRPr="000508B6">
        <w:rPr>
          <w:rFonts w:ascii="Times New Roman" w:hAnsi="Times New Roman" w:cs="Times New Roman"/>
          <w:b/>
          <w:lang w:val="ro-MD"/>
        </w:rPr>
        <w:t>.</w:t>
      </w:r>
      <w:r w:rsidRPr="000508B6">
        <w:rPr>
          <w:rFonts w:ascii="Times New Roman" w:hAnsi="Times New Roman" w:cs="Times New Roman"/>
          <w:b/>
          <w:lang w:val="ro-MD"/>
        </w:rPr>
        <w:t xml:space="preserve"> </w:t>
      </w:r>
      <w:r w:rsidRPr="000508B6">
        <w:rPr>
          <w:rFonts w:ascii="Times New Roman" w:hAnsi="Times New Roman" w:cs="Times New Roman"/>
          <w:lang w:val="ro-MD"/>
        </w:rPr>
        <w:t>Investiții pe termen lung</w:t>
      </w:r>
      <w:r w:rsidR="009F5708" w:rsidRPr="000508B6">
        <w:rPr>
          <w:rFonts w:ascii="Times New Roman" w:hAnsi="Times New Roman" w:cs="Times New Roman"/>
          <w:lang w:val="ro-MD"/>
        </w:rPr>
        <w:t xml:space="preserve"> în acțiuni</w:t>
      </w:r>
      <w:r w:rsidR="00EB3E6B" w:rsidRPr="000508B6">
        <w:rPr>
          <w:rFonts w:ascii="Times New Roman" w:hAnsi="Times New Roman" w:cs="Times New Roman"/>
          <w:b/>
          <w:lang w:val="ro-MD"/>
        </w:rPr>
        <w:t xml:space="preserve"> </w:t>
      </w:r>
    </w:p>
    <w:p w14:paraId="17AE8AD3" w14:textId="3370820F" w:rsidR="00186A55" w:rsidRPr="000508B6" w:rsidRDefault="00527CE6" w:rsidP="0006568A">
      <w:pPr>
        <w:pStyle w:val="Listparagraf"/>
        <w:numPr>
          <w:ilvl w:val="0"/>
          <w:numId w:val="366"/>
        </w:numPr>
        <w:tabs>
          <w:tab w:val="left" w:pos="426"/>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Prin derogare de la art</w:t>
      </w:r>
      <w:r w:rsidR="00554C6E" w:rsidRPr="000508B6">
        <w:rPr>
          <w:rFonts w:ascii="Times New Roman" w:hAnsi="Times New Roman" w:cs="Times New Roman"/>
          <w:lang w:val="ro-MD"/>
        </w:rPr>
        <w:t>.</w:t>
      </w:r>
      <w:r w:rsidRPr="000508B6">
        <w:rPr>
          <w:rFonts w:ascii="Times New Roman" w:hAnsi="Times New Roman" w:cs="Times New Roman"/>
          <w:lang w:val="ro-MD"/>
        </w:rPr>
        <w:t xml:space="preserve"> </w:t>
      </w:r>
      <w:r w:rsidR="001931E9" w:rsidRPr="000508B6">
        <w:rPr>
          <w:rFonts w:ascii="Times New Roman" w:hAnsi="Times New Roman" w:cs="Times New Roman"/>
          <w:lang w:val="ro-MD"/>
        </w:rPr>
        <w:t>64</w:t>
      </w:r>
      <w:r w:rsidRPr="000508B6">
        <w:rPr>
          <w:rFonts w:ascii="Times New Roman" w:hAnsi="Times New Roman" w:cs="Times New Roman"/>
          <w:lang w:val="ro-MD"/>
        </w:rPr>
        <w:t xml:space="preserve"> alin</w:t>
      </w:r>
      <w:r w:rsidR="00554C6E" w:rsidRPr="000508B6">
        <w:rPr>
          <w:rFonts w:ascii="Times New Roman" w:hAnsi="Times New Roman" w:cs="Times New Roman"/>
          <w:lang w:val="ro-MD"/>
        </w:rPr>
        <w:t>.</w:t>
      </w:r>
      <w:r w:rsidR="00B324BA" w:rsidRPr="000508B6">
        <w:rPr>
          <w:rFonts w:ascii="Times New Roman" w:hAnsi="Times New Roman" w:cs="Times New Roman"/>
          <w:lang w:val="ro-MD"/>
        </w:rPr>
        <w:t xml:space="preserve"> </w:t>
      </w:r>
      <w:r w:rsidRPr="000508B6">
        <w:rPr>
          <w:rFonts w:ascii="Times New Roman" w:hAnsi="Times New Roman" w:cs="Times New Roman"/>
          <w:lang w:val="ro-MD"/>
        </w:rPr>
        <w:t>(</w:t>
      </w:r>
      <w:r w:rsidR="006F265C" w:rsidRPr="000508B6">
        <w:rPr>
          <w:rFonts w:ascii="Times New Roman" w:hAnsi="Times New Roman" w:cs="Times New Roman"/>
          <w:lang w:val="ro-MD"/>
        </w:rPr>
        <w:t>2</w:t>
      </w:r>
      <w:r w:rsidRPr="000508B6">
        <w:rPr>
          <w:rFonts w:ascii="Times New Roman" w:hAnsi="Times New Roman" w:cs="Times New Roman"/>
          <w:lang w:val="ro-MD"/>
        </w:rPr>
        <w:t>)</w:t>
      </w:r>
      <w:r w:rsidR="006F265C" w:rsidRPr="000508B6">
        <w:rPr>
          <w:rFonts w:ascii="Times New Roman" w:hAnsi="Times New Roman" w:cs="Times New Roman"/>
          <w:lang w:val="ro-MD"/>
        </w:rPr>
        <w:t>-(4</w:t>
      </w:r>
      <w:r w:rsidRPr="000508B6">
        <w:rPr>
          <w:rFonts w:ascii="Times New Roman" w:hAnsi="Times New Roman" w:cs="Times New Roman"/>
          <w:lang w:val="ro-MD"/>
        </w:rPr>
        <w:t xml:space="preserve">) și ca parte a </w:t>
      </w:r>
      <w:proofErr w:type="spellStart"/>
      <w:r w:rsidRPr="000508B6">
        <w:rPr>
          <w:rFonts w:ascii="Times New Roman" w:hAnsi="Times New Roman" w:cs="Times New Roman"/>
          <w:lang w:val="ro-MD"/>
        </w:rPr>
        <w:t>submodulului</w:t>
      </w:r>
      <w:proofErr w:type="spellEnd"/>
      <w:r w:rsidRPr="000508B6">
        <w:rPr>
          <w:rFonts w:ascii="Times New Roman" w:hAnsi="Times New Roman" w:cs="Times New Roman"/>
          <w:lang w:val="ro-MD"/>
        </w:rPr>
        <w:t xml:space="preserve"> </w:t>
      </w:r>
      <w:r w:rsidR="007A6AEB">
        <w:rPr>
          <w:rFonts w:ascii="Times New Roman" w:hAnsi="Times New Roman" w:cs="Times New Roman"/>
          <w:lang w:val="ro-MD"/>
        </w:rPr>
        <w:t>„</w:t>
      </w:r>
      <w:r w:rsidRPr="000508B6">
        <w:rPr>
          <w:rFonts w:ascii="Times New Roman" w:hAnsi="Times New Roman" w:cs="Times New Roman"/>
          <w:lang w:val="ro-MD"/>
        </w:rPr>
        <w:t xml:space="preserve">risc </w:t>
      </w:r>
      <w:r w:rsidR="00E91F5C" w:rsidRPr="000508B6">
        <w:rPr>
          <w:rFonts w:ascii="Times New Roman" w:hAnsi="Times New Roman" w:cs="Times New Roman"/>
          <w:lang w:val="ro-MD"/>
        </w:rPr>
        <w:t>de</w:t>
      </w:r>
      <w:r w:rsidRPr="000508B6">
        <w:rPr>
          <w:rFonts w:ascii="Times New Roman" w:hAnsi="Times New Roman" w:cs="Times New Roman"/>
          <w:lang w:val="ro-MD"/>
        </w:rPr>
        <w:t xml:space="preserve"> devaloriz</w:t>
      </w:r>
      <w:r w:rsidR="000F771F" w:rsidRPr="000508B6">
        <w:rPr>
          <w:rFonts w:ascii="Times New Roman" w:hAnsi="Times New Roman" w:cs="Times New Roman"/>
          <w:lang w:val="ro-MD"/>
        </w:rPr>
        <w:t>are</w:t>
      </w:r>
      <w:r w:rsidRPr="000508B6">
        <w:rPr>
          <w:rFonts w:ascii="Times New Roman" w:hAnsi="Times New Roman" w:cs="Times New Roman"/>
          <w:lang w:val="ro-MD"/>
        </w:rPr>
        <w:t xml:space="preserve"> acțiuni</w:t>
      </w:r>
      <w:r w:rsidR="007A6AEB">
        <w:rPr>
          <w:rFonts w:ascii="Times New Roman" w:hAnsi="Times New Roman" w:cs="Times New Roman"/>
          <w:lang w:val="ro-MD"/>
        </w:rPr>
        <w:t>”</w:t>
      </w:r>
      <w:r w:rsidR="00E91F5C" w:rsidRPr="000508B6">
        <w:rPr>
          <w:rFonts w:ascii="Times New Roman" w:hAnsi="Times New Roman" w:cs="Times New Roman"/>
          <w:lang w:val="ro-MD"/>
        </w:rPr>
        <w:t xml:space="preserve"> </w:t>
      </w:r>
      <w:r w:rsidRPr="000508B6">
        <w:rPr>
          <w:rFonts w:ascii="Times New Roman" w:hAnsi="Times New Roman" w:cs="Times New Roman"/>
          <w:lang w:val="ro-MD"/>
        </w:rPr>
        <w:t>menționat la art</w:t>
      </w:r>
      <w:r w:rsidR="00554C6E" w:rsidRPr="000508B6">
        <w:rPr>
          <w:rFonts w:ascii="Times New Roman" w:hAnsi="Times New Roman" w:cs="Times New Roman"/>
          <w:lang w:val="ro-MD"/>
        </w:rPr>
        <w:t>.</w:t>
      </w:r>
      <w:r w:rsidRPr="000508B6">
        <w:rPr>
          <w:rFonts w:ascii="Times New Roman" w:hAnsi="Times New Roman" w:cs="Times New Roman"/>
          <w:lang w:val="ro-MD"/>
        </w:rPr>
        <w:t xml:space="preserve"> </w:t>
      </w:r>
      <w:r w:rsidR="001931E9" w:rsidRPr="000508B6">
        <w:rPr>
          <w:rFonts w:ascii="Times New Roman" w:hAnsi="Times New Roman" w:cs="Times New Roman"/>
          <w:lang w:val="ro-MD"/>
        </w:rPr>
        <w:t>68</w:t>
      </w:r>
      <w:r w:rsidRPr="000508B6">
        <w:rPr>
          <w:rFonts w:ascii="Times New Roman" w:hAnsi="Times New Roman" w:cs="Times New Roman"/>
          <w:lang w:val="ro-MD"/>
        </w:rPr>
        <w:t xml:space="preserve"> alin</w:t>
      </w:r>
      <w:r w:rsidR="00554C6E" w:rsidRPr="000508B6">
        <w:rPr>
          <w:rFonts w:ascii="Times New Roman" w:hAnsi="Times New Roman" w:cs="Times New Roman"/>
          <w:lang w:val="ro-MD"/>
        </w:rPr>
        <w:t>.</w:t>
      </w:r>
      <w:r w:rsidRPr="000508B6">
        <w:rPr>
          <w:rFonts w:ascii="Times New Roman" w:hAnsi="Times New Roman" w:cs="Times New Roman"/>
          <w:lang w:val="ro-MD"/>
        </w:rPr>
        <w:t xml:space="preserve"> (</w:t>
      </w:r>
      <w:r w:rsidR="00554C6E" w:rsidRPr="000508B6">
        <w:rPr>
          <w:rFonts w:ascii="Times New Roman" w:hAnsi="Times New Roman" w:cs="Times New Roman"/>
          <w:lang w:val="ro-MD"/>
        </w:rPr>
        <w:t>8</w:t>
      </w:r>
      <w:r w:rsidRPr="000508B6">
        <w:rPr>
          <w:rFonts w:ascii="Times New Roman" w:hAnsi="Times New Roman" w:cs="Times New Roman"/>
          <w:lang w:val="ro-MD"/>
        </w:rPr>
        <w:t>) lit</w:t>
      </w:r>
      <w:r w:rsidR="00554C6E" w:rsidRPr="000508B6">
        <w:rPr>
          <w:rFonts w:ascii="Times New Roman" w:hAnsi="Times New Roman" w:cs="Times New Roman"/>
          <w:lang w:val="ro-MD"/>
        </w:rPr>
        <w:t>.</w:t>
      </w:r>
      <w:r w:rsidRPr="000508B6">
        <w:rPr>
          <w:rFonts w:ascii="Times New Roman" w:hAnsi="Times New Roman" w:cs="Times New Roman"/>
          <w:lang w:val="ro-MD"/>
        </w:rPr>
        <w:t xml:space="preserve"> b),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sidDel="002326F8">
        <w:rPr>
          <w:rFonts w:ascii="Times New Roman" w:hAnsi="Times New Roman" w:cs="Times New Roman"/>
          <w:lang w:val="ro-MD"/>
        </w:rPr>
        <w:t xml:space="preserve"> </w:t>
      </w:r>
      <w:r w:rsidRPr="000508B6">
        <w:rPr>
          <w:rFonts w:ascii="Times New Roman" w:hAnsi="Times New Roman" w:cs="Times New Roman"/>
          <w:lang w:val="ro-MD"/>
        </w:rPr>
        <w:t xml:space="preserve">care </w:t>
      </w:r>
      <w:r w:rsidR="00EB3E6B" w:rsidRPr="000508B6">
        <w:rPr>
          <w:rFonts w:ascii="Times New Roman" w:hAnsi="Times New Roman" w:cs="Times New Roman"/>
          <w:lang w:val="ro-MD"/>
        </w:rPr>
        <w:t>întrunește</w:t>
      </w:r>
      <w:r w:rsidRPr="000508B6">
        <w:rPr>
          <w:rFonts w:ascii="Times New Roman" w:hAnsi="Times New Roman" w:cs="Times New Roman"/>
          <w:lang w:val="ro-MD"/>
        </w:rPr>
        <w:t xml:space="preserve"> condițiile prevăzute </w:t>
      </w:r>
      <w:r w:rsidR="00EB3E6B" w:rsidRPr="000508B6">
        <w:rPr>
          <w:rFonts w:ascii="Times New Roman" w:hAnsi="Times New Roman" w:cs="Times New Roman"/>
          <w:lang w:val="ro-MD"/>
        </w:rPr>
        <w:t xml:space="preserve">de </w:t>
      </w:r>
      <w:r w:rsidR="00B24899" w:rsidRPr="000508B6">
        <w:rPr>
          <w:rFonts w:ascii="Times New Roman" w:hAnsi="Times New Roman" w:cs="Times New Roman"/>
          <w:lang w:val="ro-MD"/>
        </w:rPr>
        <w:t>alin. (2)</w:t>
      </w:r>
      <w:r w:rsidRPr="000508B6">
        <w:rPr>
          <w:rFonts w:ascii="Times New Roman" w:hAnsi="Times New Roman" w:cs="Times New Roman"/>
          <w:lang w:val="ro-MD"/>
        </w:rPr>
        <w:t xml:space="preserve"> </w:t>
      </w:r>
      <w:r w:rsidR="00EB3E6B" w:rsidRPr="000508B6">
        <w:rPr>
          <w:rFonts w:ascii="Times New Roman" w:hAnsi="Times New Roman" w:cs="Times New Roman"/>
          <w:lang w:val="ro-MD"/>
        </w:rPr>
        <w:t>po</w:t>
      </w:r>
      <w:r w:rsidR="002307AF" w:rsidRPr="000508B6">
        <w:rPr>
          <w:rFonts w:ascii="Times New Roman" w:hAnsi="Times New Roman" w:cs="Times New Roman"/>
          <w:lang w:val="ro-MD"/>
        </w:rPr>
        <w:t>a</w:t>
      </w:r>
      <w:r w:rsidR="00EB3E6B" w:rsidRPr="000508B6">
        <w:rPr>
          <w:rFonts w:ascii="Times New Roman" w:hAnsi="Times New Roman" w:cs="Times New Roman"/>
          <w:lang w:val="ro-MD"/>
        </w:rPr>
        <w:t>t</w:t>
      </w:r>
      <w:r w:rsidR="002307AF" w:rsidRPr="000508B6">
        <w:rPr>
          <w:rFonts w:ascii="Times New Roman" w:hAnsi="Times New Roman" w:cs="Times New Roman"/>
          <w:lang w:val="ro-MD"/>
        </w:rPr>
        <w:t>e</w:t>
      </w:r>
      <w:r w:rsidRPr="000508B6">
        <w:rPr>
          <w:rFonts w:ascii="Times New Roman" w:hAnsi="Times New Roman" w:cs="Times New Roman"/>
          <w:lang w:val="ro-MD"/>
        </w:rPr>
        <w:t xml:space="preserve"> să aplice un anumit subset de investiții în acțiuni deținute pe termen lung o </w:t>
      </w:r>
      <w:r w:rsidR="009A243C" w:rsidRPr="000508B6">
        <w:rPr>
          <w:rFonts w:ascii="Times New Roman" w:hAnsi="Times New Roman" w:cs="Times New Roman"/>
          <w:lang w:val="ro-MD"/>
        </w:rPr>
        <w:t>SCR</w:t>
      </w:r>
      <w:r w:rsidRPr="000508B6">
        <w:rPr>
          <w:rFonts w:ascii="Times New Roman" w:hAnsi="Times New Roman" w:cs="Times New Roman"/>
          <w:lang w:val="ro-MD"/>
        </w:rPr>
        <w:t xml:space="preserve"> în conformitate cu alin</w:t>
      </w:r>
      <w:r w:rsidR="004B7D3C" w:rsidRPr="000508B6">
        <w:rPr>
          <w:rFonts w:ascii="Times New Roman" w:hAnsi="Times New Roman" w:cs="Times New Roman"/>
          <w:lang w:val="ro-MD"/>
        </w:rPr>
        <w:t>.</w:t>
      </w:r>
      <w:r w:rsidRPr="000508B6">
        <w:rPr>
          <w:rFonts w:ascii="Times New Roman" w:hAnsi="Times New Roman" w:cs="Times New Roman"/>
          <w:lang w:val="ro-MD"/>
        </w:rPr>
        <w:t xml:space="preserve"> (</w:t>
      </w:r>
      <w:r w:rsidR="00AE15B0" w:rsidRPr="000508B6">
        <w:rPr>
          <w:rFonts w:ascii="Times New Roman" w:hAnsi="Times New Roman" w:cs="Times New Roman"/>
          <w:lang w:val="ro-MD"/>
        </w:rPr>
        <w:t>8</w:t>
      </w:r>
      <w:r w:rsidRPr="000508B6">
        <w:rPr>
          <w:rFonts w:ascii="Times New Roman" w:hAnsi="Times New Roman" w:cs="Times New Roman"/>
          <w:lang w:val="ro-MD"/>
        </w:rPr>
        <w:t>).</w:t>
      </w:r>
      <w:r w:rsidR="00506299" w:rsidRPr="000508B6">
        <w:rPr>
          <w:rFonts w:ascii="Times New Roman" w:hAnsi="Times New Roman" w:cs="Times New Roman"/>
          <w:lang w:val="ro-MD"/>
        </w:rPr>
        <w:t xml:space="preserve"> </w:t>
      </w:r>
    </w:p>
    <w:p w14:paraId="5C10D3C2" w14:textId="703169B3" w:rsidR="00527CE6" w:rsidRPr="000508B6" w:rsidRDefault="00527CE6" w:rsidP="0006568A">
      <w:pPr>
        <w:pStyle w:val="Listparagraf"/>
        <w:numPr>
          <w:ilvl w:val="0"/>
          <w:numId w:val="366"/>
        </w:numPr>
        <w:tabs>
          <w:tab w:val="left" w:pos="426"/>
          <w:tab w:val="left" w:pos="709"/>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w:t>
      </w:r>
      <w:r w:rsidR="00B24899" w:rsidRPr="000508B6">
        <w:rPr>
          <w:rFonts w:ascii="Times New Roman" w:hAnsi="Times New Roman" w:cs="Times New Roman"/>
          <w:bCs/>
          <w:lang w:val="ro-MD"/>
        </w:rPr>
        <w:t>sensul alin. (1)</w:t>
      </w:r>
      <w:r w:rsidR="00506299" w:rsidRPr="000508B6">
        <w:rPr>
          <w:rFonts w:ascii="Times New Roman" w:hAnsi="Times New Roman" w:cs="Times New Roman"/>
          <w:bCs/>
          <w:lang w:val="ro-MD"/>
        </w:rPr>
        <w:t>,</w:t>
      </w:r>
      <w:r w:rsidRPr="000508B6">
        <w:rPr>
          <w:rFonts w:ascii="Times New Roman" w:hAnsi="Times New Roman" w:cs="Times New Roman"/>
          <w:bCs/>
          <w:lang w:val="ro-MD"/>
        </w:rPr>
        <w:t xml:space="preserve"> un subset de investiții în acțiuni poate beneficia de tratamentul prevăzut pentru investițiile pe termen lung în acțiuni dacă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sidDel="002326F8">
        <w:rPr>
          <w:rFonts w:ascii="Times New Roman" w:hAnsi="Times New Roman" w:cs="Times New Roman"/>
          <w:bCs/>
          <w:lang w:val="ro-MD"/>
        </w:rPr>
        <w:t xml:space="preserve"> </w:t>
      </w:r>
      <w:r w:rsidRPr="000508B6">
        <w:rPr>
          <w:rFonts w:ascii="Times New Roman" w:hAnsi="Times New Roman" w:cs="Times New Roman"/>
          <w:bCs/>
          <w:lang w:val="ro-MD"/>
        </w:rPr>
        <w:t>demonstrează</w:t>
      </w:r>
      <w:r w:rsidR="004A127D" w:rsidRPr="000508B6">
        <w:rPr>
          <w:rFonts w:ascii="Times New Roman" w:hAnsi="Times New Roman" w:cs="Times New Roman"/>
          <w:bCs/>
          <w:lang w:val="ro-MD"/>
        </w:rPr>
        <w:t xml:space="preserve"> B</w:t>
      </w:r>
      <w:r w:rsidR="004A127D" w:rsidRPr="000508B6">
        <w:rPr>
          <w:rFonts w:ascii="Times New Roman" w:hAnsi="Times New Roman" w:cs="Times New Roman"/>
          <w:lang w:val="ro-MD"/>
        </w:rPr>
        <w:t>ăncii</w:t>
      </w:r>
      <w:r w:rsidR="004A127D" w:rsidRPr="000508B6">
        <w:rPr>
          <w:rFonts w:ascii="Times New Roman" w:hAnsi="Times New Roman" w:cs="Times New Roman"/>
          <w:bCs/>
          <w:lang w:val="ro-MD"/>
        </w:rPr>
        <w:t xml:space="preserve"> Naționale a Moldovei</w:t>
      </w:r>
      <w:r w:rsidRPr="000508B6">
        <w:rPr>
          <w:rFonts w:ascii="Times New Roman" w:hAnsi="Times New Roman" w:cs="Times New Roman"/>
          <w:bCs/>
          <w:lang w:val="ro-MD"/>
        </w:rPr>
        <w:t>, într-un mod convingător, că sunt îndeplinite următoare</w:t>
      </w:r>
      <w:r w:rsidR="008F56B6" w:rsidRPr="000508B6">
        <w:rPr>
          <w:rFonts w:ascii="Times New Roman" w:hAnsi="Times New Roman" w:cs="Times New Roman"/>
          <w:bCs/>
          <w:lang w:val="ro-MD"/>
        </w:rPr>
        <w:t>le condiții</w:t>
      </w:r>
      <w:r w:rsidRPr="000508B6">
        <w:rPr>
          <w:rFonts w:ascii="Times New Roman" w:hAnsi="Times New Roman" w:cs="Times New Roman"/>
          <w:bCs/>
          <w:lang w:val="ro-MD"/>
        </w:rPr>
        <w:t>:</w:t>
      </w:r>
      <w:r w:rsidR="00506299" w:rsidRPr="000508B6">
        <w:rPr>
          <w:rFonts w:ascii="Times New Roman" w:hAnsi="Times New Roman" w:cs="Times New Roman"/>
          <w:bCs/>
          <w:lang w:val="ro-MD"/>
        </w:rPr>
        <w:t xml:space="preserve"> </w:t>
      </w:r>
    </w:p>
    <w:p w14:paraId="05FACCAF" w14:textId="5EEF1C7D" w:rsidR="00527CE6" w:rsidRPr="000508B6" w:rsidRDefault="00D660CD" w:rsidP="0006568A">
      <w:pPr>
        <w:tabs>
          <w:tab w:val="left" w:pos="426"/>
          <w:tab w:val="left" w:pos="709"/>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 xml:space="preserve">a) </w:t>
      </w:r>
      <w:r w:rsidR="00527CE6" w:rsidRPr="000508B6">
        <w:rPr>
          <w:rFonts w:ascii="Times New Roman" w:hAnsi="Times New Roman" w:cs="Times New Roman"/>
          <w:bCs/>
          <w:lang w:val="ro-MD"/>
        </w:rPr>
        <w:t xml:space="preserve">subsetul de investiții în acțiuni este identificat în mod clar și i se aplică un management separat de celelalte activități ale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00527CE6" w:rsidRPr="000508B6">
        <w:rPr>
          <w:rFonts w:ascii="Times New Roman" w:hAnsi="Times New Roman" w:cs="Times New Roman"/>
          <w:bCs/>
          <w:lang w:val="ro-MD"/>
        </w:rPr>
        <w:t>;</w:t>
      </w:r>
    </w:p>
    <w:p w14:paraId="43729F90" w14:textId="52BC954F" w:rsidR="00527CE6" w:rsidRPr="000508B6" w:rsidRDefault="00D660CD" w:rsidP="00B324BA">
      <w:pPr>
        <w:spacing w:after="0" w:line="240" w:lineRule="auto"/>
        <w:ind w:left="142" w:firstLine="284"/>
        <w:jc w:val="both"/>
        <w:rPr>
          <w:rFonts w:ascii="Times New Roman" w:hAnsi="Times New Roman" w:cs="Times New Roman"/>
          <w:bCs/>
          <w:lang w:val="ro-MD"/>
        </w:rPr>
      </w:pPr>
      <w:r w:rsidRPr="000508B6">
        <w:rPr>
          <w:rFonts w:ascii="Times New Roman" w:hAnsi="Times New Roman" w:cs="Times New Roman"/>
          <w:bCs/>
          <w:lang w:val="ro-MD"/>
        </w:rPr>
        <w:t>b)</w:t>
      </w:r>
      <w:r w:rsidR="00471A16" w:rsidRPr="000508B6">
        <w:rPr>
          <w:rFonts w:ascii="Times New Roman" w:hAnsi="Times New Roman" w:cs="Times New Roman"/>
          <w:bCs/>
          <w:lang w:val="ro-MD"/>
        </w:rPr>
        <w:t xml:space="preserve"> </w:t>
      </w:r>
      <w:r w:rsidR="00527CE6" w:rsidRPr="000508B6">
        <w:rPr>
          <w:rFonts w:ascii="Times New Roman" w:hAnsi="Times New Roman" w:cs="Times New Roman"/>
          <w:bCs/>
          <w:lang w:val="ro-MD"/>
        </w:rPr>
        <w:t xml:space="preserve">pentru fiecare portofoliu de acțiuni </w:t>
      </w:r>
      <w:r w:rsidR="003671BC" w:rsidRPr="000508B6">
        <w:rPr>
          <w:rFonts w:ascii="Times New Roman" w:hAnsi="Times New Roman" w:cs="Times New Roman"/>
          <w:bCs/>
          <w:lang w:val="ro-MD"/>
        </w:rPr>
        <w:t xml:space="preserve">în care se efectuează investiții </w:t>
      </w:r>
      <w:r w:rsidR="00527CE6" w:rsidRPr="000508B6">
        <w:rPr>
          <w:rFonts w:ascii="Times New Roman" w:hAnsi="Times New Roman" w:cs="Times New Roman"/>
          <w:bCs/>
          <w:lang w:val="ro-MD"/>
        </w:rPr>
        <w:t xml:space="preserve">pe termen lung </w:t>
      </w:r>
      <w:r w:rsidR="009B0165" w:rsidRPr="000508B6">
        <w:rPr>
          <w:rFonts w:ascii="Times New Roman" w:hAnsi="Times New Roman" w:cs="Times New Roman"/>
          <w:bCs/>
          <w:lang w:val="ro-MD"/>
        </w:rPr>
        <w:t>se instituie</w:t>
      </w:r>
      <w:r w:rsidR="003C2DFA" w:rsidRPr="000508B6">
        <w:rPr>
          <w:rFonts w:ascii="Times New Roman" w:hAnsi="Times New Roman" w:cs="Times New Roman"/>
          <w:bCs/>
          <w:lang w:val="ro-MD"/>
        </w:rPr>
        <w:t xml:space="preserve"> o</w:t>
      </w:r>
      <w:r w:rsidR="00527CE6" w:rsidRPr="000508B6">
        <w:rPr>
          <w:rFonts w:ascii="Times New Roman" w:hAnsi="Times New Roman" w:cs="Times New Roman"/>
          <w:bCs/>
          <w:lang w:val="ro-MD"/>
        </w:rPr>
        <w:t xml:space="preserve"> </w:t>
      </w:r>
      <w:r w:rsidR="007761CC" w:rsidRPr="000508B6">
        <w:rPr>
          <w:rFonts w:ascii="Times New Roman" w:hAnsi="Times New Roman" w:cs="Times New Roman"/>
          <w:bCs/>
          <w:lang w:val="ro-MD"/>
        </w:rPr>
        <w:t xml:space="preserve">politica </w:t>
      </w:r>
      <w:r w:rsidR="004A127D" w:rsidRPr="000508B6">
        <w:rPr>
          <w:rFonts w:ascii="Times New Roman" w:hAnsi="Times New Roman" w:cs="Times New Roman"/>
          <w:bCs/>
          <w:lang w:val="ro-MD"/>
        </w:rPr>
        <w:t>de management al investițiilor pe termen lung</w:t>
      </w:r>
      <w:r w:rsidR="007761CC" w:rsidRPr="000508B6">
        <w:rPr>
          <w:rFonts w:ascii="Times New Roman" w:hAnsi="Times New Roman" w:cs="Times New Roman"/>
          <w:bCs/>
          <w:lang w:val="ro-MD"/>
        </w:rPr>
        <w:t xml:space="preserve"> </w:t>
      </w:r>
      <w:r w:rsidR="00527CE6" w:rsidRPr="000508B6">
        <w:rPr>
          <w:rFonts w:ascii="Times New Roman" w:hAnsi="Times New Roman" w:cs="Times New Roman"/>
          <w:bCs/>
          <w:lang w:val="ro-MD"/>
        </w:rPr>
        <w:t xml:space="preserve">care reflectă angajamentul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00527CE6" w:rsidRPr="000508B6">
        <w:rPr>
          <w:rFonts w:ascii="Times New Roman" w:hAnsi="Times New Roman" w:cs="Times New Roman"/>
          <w:bCs/>
          <w:lang w:val="ro-MD"/>
        </w:rPr>
        <w:t xml:space="preserve"> de a deține expunerea globală la acțiuni pentru o perioadă care depășește în medie </w:t>
      </w:r>
      <w:r w:rsidR="004A127D" w:rsidRPr="000508B6">
        <w:rPr>
          <w:rFonts w:ascii="Times New Roman" w:hAnsi="Times New Roman" w:cs="Times New Roman"/>
          <w:bCs/>
          <w:lang w:val="ro-MD"/>
        </w:rPr>
        <w:t>5</w:t>
      </w:r>
      <w:r w:rsidR="00527CE6" w:rsidRPr="000508B6">
        <w:rPr>
          <w:rFonts w:ascii="Times New Roman" w:hAnsi="Times New Roman" w:cs="Times New Roman"/>
          <w:bCs/>
          <w:lang w:val="ro-MD"/>
        </w:rPr>
        <w:t xml:space="preserve"> ani;</w:t>
      </w:r>
    </w:p>
    <w:p w14:paraId="24BE74B3" w14:textId="13A3DB10" w:rsidR="00527CE6" w:rsidRPr="000508B6" w:rsidRDefault="00D660CD" w:rsidP="00B324BA">
      <w:pPr>
        <w:spacing w:after="0" w:line="240" w:lineRule="auto"/>
        <w:ind w:left="142" w:firstLine="284"/>
        <w:jc w:val="both"/>
        <w:rPr>
          <w:rFonts w:ascii="Times New Roman" w:hAnsi="Times New Roman" w:cs="Times New Roman"/>
          <w:bCs/>
          <w:lang w:val="ro-MD"/>
        </w:rPr>
      </w:pPr>
      <w:r w:rsidRPr="000508B6">
        <w:rPr>
          <w:rFonts w:ascii="Times New Roman" w:hAnsi="Times New Roman" w:cs="Times New Roman"/>
          <w:bCs/>
          <w:lang w:val="ro-MD"/>
        </w:rPr>
        <w:t>c)</w:t>
      </w:r>
      <w:r w:rsidR="00471A16" w:rsidRPr="000508B6">
        <w:rPr>
          <w:rFonts w:ascii="Times New Roman" w:hAnsi="Times New Roman" w:cs="Times New Roman"/>
          <w:bCs/>
          <w:lang w:val="ro-MD"/>
        </w:rPr>
        <w:t xml:space="preserve"> </w:t>
      </w:r>
      <w:r w:rsidR="00527CE6" w:rsidRPr="000508B6">
        <w:rPr>
          <w:rFonts w:ascii="Times New Roman" w:hAnsi="Times New Roman" w:cs="Times New Roman"/>
          <w:bCs/>
          <w:lang w:val="ro-MD"/>
        </w:rPr>
        <w:t xml:space="preserve">subsetul de investiții în acțiuni constă numai în acțiuni cotate în </w:t>
      </w:r>
      <w:r w:rsidR="00D7706F" w:rsidRPr="000508B6">
        <w:rPr>
          <w:rFonts w:ascii="Times New Roman" w:hAnsi="Times New Roman" w:cs="Times New Roman"/>
          <w:bCs/>
          <w:lang w:val="ro-MD"/>
        </w:rPr>
        <w:t>state</w:t>
      </w:r>
      <w:r w:rsidR="00527CE6" w:rsidRPr="000508B6">
        <w:rPr>
          <w:rFonts w:ascii="Times New Roman" w:hAnsi="Times New Roman" w:cs="Times New Roman"/>
          <w:bCs/>
          <w:lang w:val="ro-MD"/>
        </w:rPr>
        <w:t xml:space="preserve"> membre sau ale Organizației pentru Cooperare și Dezvoltare Economică (</w:t>
      </w:r>
      <w:r w:rsidR="00B324BA" w:rsidRPr="000508B6">
        <w:rPr>
          <w:rFonts w:ascii="Times New Roman" w:hAnsi="Times New Roman" w:cs="Times New Roman"/>
          <w:bCs/>
          <w:lang w:val="ro-MD"/>
        </w:rPr>
        <w:t xml:space="preserve">în continuare – </w:t>
      </w:r>
      <w:r w:rsidR="00527CE6" w:rsidRPr="000508B6">
        <w:rPr>
          <w:rFonts w:ascii="Times New Roman" w:hAnsi="Times New Roman" w:cs="Times New Roman"/>
          <w:bCs/>
          <w:lang w:val="ro-MD"/>
        </w:rPr>
        <w:t xml:space="preserve">OCDE) sau în acțiuni necotate ale unor </w:t>
      </w:r>
      <w:r w:rsidR="001931E9" w:rsidRPr="000508B6">
        <w:rPr>
          <w:rFonts w:ascii="Times New Roman" w:hAnsi="Times New Roman" w:cs="Times New Roman"/>
          <w:bCs/>
          <w:lang w:val="ro-MD"/>
        </w:rPr>
        <w:t>entități</w:t>
      </w:r>
      <w:r w:rsidR="00527CE6" w:rsidRPr="000508B6">
        <w:rPr>
          <w:rFonts w:ascii="Times New Roman" w:hAnsi="Times New Roman" w:cs="Times New Roman"/>
          <w:bCs/>
          <w:lang w:val="ro-MD"/>
        </w:rPr>
        <w:t xml:space="preserve"> care își au sediul central în </w:t>
      </w:r>
      <w:r w:rsidR="00D7706F" w:rsidRPr="000508B6">
        <w:rPr>
          <w:rFonts w:ascii="Times New Roman" w:hAnsi="Times New Roman" w:cs="Times New Roman"/>
          <w:bCs/>
          <w:lang w:val="ro-MD"/>
        </w:rPr>
        <w:t>state</w:t>
      </w:r>
      <w:r w:rsidR="00527CE6" w:rsidRPr="000508B6">
        <w:rPr>
          <w:rFonts w:ascii="Times New Roman" w:hAnsi="Times New Roman" w:cs="Times New Roman"/>
          <w:bCs/>
          <w:lang w:val="ro-MD"/>
        </w:rPr>
        <w:t xml:space="preserve"> membre sau ale OCDE;</w:t>
      </w:r>
    </w:p>
    <w:p w14:paraId="3016B560" w14:textId="117AB4C7" w:rsidR="00527CE6" w:rsidRPr="000508B6" w:rsidRDefault="00957834" w:rsidP="0006568A">
      <w:pPr>
        <w:spacing w:after="0" w:line="240" w:lineRule="auto"/>
        <w:ind w:left="142" w:firstLine="284"/>
        <w:jc w:val="both"/>
        <w:rPr>
          <w:rFonts w:ascii="Times New Roman" w:hAnsi="Times New Roman" w:cs="Times New Roman"/>
          <w:bCs/>
          <w:lang w:val="ro-MD"/>
        </w:rPr>
      </w:pPr>
      <w:r w:rsidRPr="000508B6">
        <w:rPr>
          <w:rFonts w:ascii="Times New Roman" w:hAnsi="Times New Roman" w:cs="Times New Roman"/>
          <w:bCs/>
          <w:lang w:val="ro-MD"/>
        </w:rPr>
        <w:t>d)</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527CE6" w:rsidRPr="000508B6">
        <w:rPr>
          <w:rFonts w:ascii="Times New Roman" w:hAnsi="Times New Roman" w:cs="Times New Roman"/>
          <w:bCs/>
          <w:lang w:val="ro-MD"/>
        </w:rPr>
        <w:t xml:space="preserve"> este în măsură să evite în mod continuu și în condiții de criză vânzarea forțată a investițiilor în acțiuni din cadrul subsetului pentru o perioadă de </w:t>
      </w:r>
      <w:r w:rsidR="004A127D" w:rsidRPr="000508B6">
        <w:rPr>
          <w:rFonts w:ascii="Times New Roman" w:hAnsi="Times New Roman" w:cs="Times New Roman"/>
          <w:bCs/>
          <w:lang w:val="ro-MD"/>
        </w:rPr>
        <w:t>5</w:t>
      </w:r>
      <w:r w:rsidR="00527CE6" w:rsidRPr="000508B6">
        <w:rPr>
          <w:rFonts w:ascii="Times New Roman" w:hAnsi="Times New Roman" w:cs="Times New Roman"/>
          <w:bCs/>
          <w:lang w:val="ro-MD"/>
        </w:rPr>
        <w:t xml:space="preserve"> ani;</w:t>
      </w:r>
    </w:p>
    <w:p w14:paraId="0B77A4E6" w14:textId="3349C7C0" w:rsidR="00527CE6" w:rsidRPr="000508B6" w:rsidRDefault="00957834" w:rsidP="0006568A">
      <w:pPr>
        <w:tabs>
          <w:tab w:val="left" w:pos="567"/>
          <w:tab w:val="left" w:pos="709"/>
          <w:tab w:val="left" w:pos="851"/>
        </w:tabs>
        <w:spacing w:after="0" w:line="240" w:lineRule="auto"/>
        <w:ind w:left="142" w:firstLine="284"/>
        <w:jc w:val="both"/>
        <w:rPr>
          <w:rFonts w:ascii="Times New Roman" w:hAnsi="Times New Roman" w:cs="Times New Roman"/>
          <w:bCs/>
          <w:lang w:val="ro-MD"/>
        </w:rPr>
      </w:pPr>
      <w:r w:rsidRPr="000508B6">
        <w:rPr>
          <w:rFonts w:ascii="Times New Roman" w:hAnsi="Times New Roman" w:cs="Times New Roman"/>
          <w:bCs/>
          <w:lang w:val="ro-MD"/>
        </w:rPr>
        <w:t xml:space="preserve">e) </w:t>
      </w:r>
      <w:r w:rsidR="00527CE6" w:rsidRPr="000508B6">
        <w:rPr>
          <w:rFonts w:ascii="Times New Roman" w:hAnsi="Times New Roman" w:cs="Times New Roman"/>
          <w:bCs/>
          <w:lang w:val="ro-MD"/>
        </w:rPr>
        <w:t xml:space="preserve">managementul riscului, managementul activelor și </w:t>
      </w:r>
      <w:r w:rsidR="00FA320A" w:rsidRPr="000508B6">
        <w:rPr>
          <w:rFonts w:ascii="Times New Roman" w:hAnsi="Times New Roman" w:cs="Times New Roman"/>
          <w:bCs/>
          <w:lang w:val="ro-MD"/>
        </w:rPr>
        <w:t xml:space="preserve">obligațiilor </w:t>
      </w:r>
      <w:r w:rsidR="00527CE6" w:rsidRPr="000508B6">
        <w:rPr>
          <w:rFonts w:ascii="Times New Roman" w:hAnsi="Times New Roman" w:cs="Times New Roman"/>
          <w:bCs/>
          <w:lang w:val="ro-MD"/>
        </w:rPr>
        <w:t xml:space="preserve">și politicile de investiții ale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00527CE6" w:rsidRPr="000508B6">
        <w:rPr>
          <w:rFonts w:ascii="Times New Roman" w:hAnsi="Times New Roman" w:cs="Times New Roman"/>
          <w:bCs/>
          <w:lang w:val="ro-MD"/>
        </w:rPr>
        <w:t xml:space="preserve"> reflectă intenția de a deține subsetul de investiții în acțiuni pe o perioadă compatibilă cu cerința enunțată la </w:t>
      </w:r>
      <w:r w:rsidR="00520484" w:rsidRPr="000508B6">
        <w:rPr>
          <w:rFonts w:ascii="Times New Roman" w:hAnsi="Times New Roman" w:cs="Times New Roman"/>
          <w:bCs/>
          <w:lang w:val="ro-MD"/>
        </w:rPr>
        <w:t>lit.</w:t>
      </w:r>
      <w:r w:rsidR="00527CE6" w:rsidRPr="000508B6">
        <w:rPr>
          <w:rFonts w:ascii="Times New Roman" w:hAnsi="Times New Roman" w:cs="Times New Roman"/>
          <w:bCs/>
          <w:lang w:val="ro-MD"/>
        </w:rPr>
        <w:t xml:space="preserve"> b) și capacitatea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00527CE6" w:rsidRPr="000508B6">
        <w:rPr>
          <w:rFonts w:ascii="Times New Roman" w:hAnsi="Times New Roman" w:cs="Times New Roman"/>
          <w:bCs/>
          <w:lang w:val="ro-MD"/>
        </w:rPr>
        <w:t xml:space="preserve"> de a îndeplini cerința enunțată la </w:t>
      </w:r>
      <w:r w:rsidR="00520484" w:rsidRPr="000508B6">
        <w:rPr>
          <w:rFonts w:ascii="Times New Roman" w:hAnsi="Times New Roman" w:cs="Times New Roman"/>
          <w:bCs/>
          <w:lang w:val="ro-MD"/>
        </w:rPr>
        <w:t>lit.</w:t>
      </w:r>
      <w:r w:rsidR="00527CE6" w:rsidRPr="000508B6">
        <w:rPr>
          <w:rFonts w:ascii="Times New Roman" w:hAnsi="Times New Roman" w:cs="Times New Roman"/>
          <w:bCs/>
          <w:lang w:val="ro-MD"/>
        </w:rPr>
        <w:t xml:space="preserve"> d);</w:t>
      </w:r>
    </w:p>
    <w:p w14:paraId="25691D02" w14:textId="157F9101" w:rsidR="00527CE6" w:rsidRPr="000508B6" w:rsidRDefault="00957834" w:rsidP="0006568A">
      <w:pPr>
        <w:spacing w:after="0" w:line="240" w:lineRule="auto"/>
        <w:ind w:left="142" w:firstLine="284"/>
        <w:jc w:val="both"/>
        <w:rPr>
          <w:rFonts w:ascii="Times New Roman" w:hAnsi="Times New Roman" w:cs="Times New Roman"/>
          <w:bCs/>
          <w:lang w:val="ro-MD"/>
        </w:rPr>
      </w:pPr>
      <w:r w:rsidRPr="000508B6">
        <w:rPr>
          <w:rFonts w:ascii="Times New Roman" w:hAnsi="Times New Roman" w:cs="Times New Roman"/>
          <w:bCs/>
          <w:lang w:val="ro-MD"/>
        </w:rPr>
        <w:t>f)</w:t>
      </w:r>
      <w:r w:rsidR="00527CE6" w:rsidRPr="000508B6">
        <w:rPr>
          <w:rFonts w:ascii="Times New Roman" w:hAnsi="Times New Roman" w:cs="Times New Roman"/>
          <w:bCs/>
          <w:lang w:val="ro-MD"/>
        </w:rPr>
        <w:t xml:space="preserve">subsetul de investiții în acțiuni este diversificat în mod corespunzător, astfel încât să se evite dependența excesivă de un anumit emitent sau grup de </w:t>
      </w:r>
      <w:r w:rsidR="00695A57" w:rsidRPr="000508B6">
        <w:rPr>
          <w:rFonts w:ascii="Times New Roman" w:hAnsi="Times New Roman" w:cs="Times New Roman"/>
          <w:bCs/>
          <w:lang w:val="ro-MD"/>
        </w:rPr>
        <w:t xml:space="preserve">emitenți </w:t>
      </w:r>
      <w:r w:rsidR="00527CE6" w:rsidRPr="000508B6">
        <w:rPr>
          <w:rFonts w:ascii="Times New Roman" w:hAnsi="Times New Roman" w:cs="Times New Roman"/>
          <w:bCs/>
          <w:lang w:val="ro-MD"/>
        </w:rPr>
        <w:t>și acumularea excesivă de riscuri la nivelul întregului portofoliu de investiții pe termen lung în acțiuni care prezintă același profil de risc;</w:t>
      </w:r>
    </w:p>
    <w:p w14:paraId="0CA9D0FE" w14:textId="427F2CE3" w:rsidR="00527CE6" w:rsidRPr="000508B6" w:rsidRDefault="00957834" w:rsidP="0006568A">
      <w:pPr>
        <w:spacing w:after="0" w:line="240" w:lineRule="auto"/>
        <w:ind w:left="142" w:firstLine="284"/>
        <w:jc w:val="both"/>
        <w:rPr>
          <w:rFonts w:ascii="Times New Roman" w:hAnsi="Times New Roman" w:cs="Times New Roman"/>
          <w:bCs/>
          <w:lang w:val="ro-MD"/>
        </w:rPr>
      </w:pPr>
      <w:r w:rsidRPr="000508B6">
        <w:rPr>
          <w:rFonts w:ascii="Times New Roman" w:hAnsi="Times New Roman" w:cs="Times New Roman"/>
          <w:bCs/>
          <w:lang w:val="ro-MD"/>
        </w:rPr>
        <w:t>g)</w:t>
      </w:r>
      <w:r w:rsidR="00B324BA" w:rsidRPr="000508B6">
        <w:rPr>
          <w:rFonts w:ascii="Times New Roman" w:hAnsi="Times New Roman" w:cs="Times New Roman"/>
          <w:bCs/>
          <w:lang w:val="ro-MD"/>
        </w:rPr>
        <w:t xml:space="preserve"> </w:t>
      </w:r>
      <w:r w:rsidR="00527CE6" w:rsidRPr="000508B6">
        <w:rPr>
          <w:rFonts w:ascii="Times New Roman" w:hAnsi="Times New Roman" w:cs="Times New Roman"/>
          <w:bCs/>
          <w:lang w:val="ro-MD"/>
        </w:rPr>
        <w:t>subsetul de investiții în acțiuni nu include participațiile.</w:t>
      </w:r>
    </w:p>
    <w:p w14:paraId="085EFCAC" w14:textId="06798732" w:rsidR="00527CE6" w:rsidRPr="000508B6" w:rsidRDefault="00527CE6" w:rsidP="00CF5AFA">
      <w:pPr>
        <w:pStyle w:val="Listparagraf"/>
        <w:numPr>
          <w:ilvl w:val="1"/>
          <w:numId w:val="1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În cazul în care acțiunile sunt deținute în fonduri europene de investiții pe termen lung sau în cadrul anumitor tipuri de organisme de plasament colectiv, inclusiv fonduri de investiții alternative, care sunt identificate ca având un profil de risc mai scăzut, condițiile prevăzute la alin</w:t>
      </w:r>
      <w:r w:rsidR="00604FBC"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B24899" w:rsidRPr="000508B6">
        <w:rPr>
          <w:rFonts w:ascii="Times New Roman" w:hAnsi="Times New Roman" w:cs="Times New Roman"/>
          <w:bCs/>
          <w:lang w:val="ro-MD"/>
        </w:rPr>
        <w:t>2</w:t>
      </w:r>
      <w:r w:rsidRPr="000508B6">
        <w:rPr>
          <w:rFonts w:ascii="Times New Roman" w:hAnsi="Times New Roman" w:cs="Times New Roman"/>
          <w:bCs/>
          <w:lang w:val="ro-MD"/>
        </w:rPr>
        <w:t>) pot fi evaluate la nivelul fondurilor și nu la nivelul activelor-suport deținute în cadrul fondurilor respective.</w:t>
      </w:r>
    </w:p>
    <w:p w14:paraId="6479A345" w14:textId="77531F26" w:rsidR="00527CE6" w:rsidRPr="000508B6" w:rsidRDefault="004125E8" w:rsidP="00CF5AFA">
      <w:pPr>
        <w:pStyle w:val="Listparagraf"/>
        <w:numPr>
          <w:ilvl w:val="1"/>
          <w:numId w:val="1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Asigurătorul sau </w:t>
      </w:r>
      <w:proofErr w:type="spellStart"/>
      <w:r w:rsidRPr="000508B6">
        <w:rPr>
          <w:rFonts w:ascii="Times New Roman" w:hAnsi="Times New Roman" w:cs="Times New Roman"/>
          <w:bCs/>
          <w:lang w:val="ro-MD"/>
        </w:rPr>
        <w:t>reasigurătorul</w:t>
      </w:r>
      <w:proofErr w:type="spellEnd"/>
      <w:r w:rsidR="00527CE6" w:rsidRPr="000508B6">
        <w:rPr>
          <w:rFonts w:ascii="Times New Roman" w:hAnsi="Times New Roman" w:cs="Times New Roman"/>
          <w:bCs/>
          <w:lang w:val="ro-MD"/>
        </w:rPr>
        <w:t xml:space="preserve"> care tratează un subset de investiții în acțiuni ca investiții pe termen lung în acțiuni în conformitate cu alin</w:t>
      </w:r>
      <w:r w:rsidR="00FC0AA9" w:rsidRPr="000508B6">
        <w:rPr>
          <w:rFonts w:ascii="Times New Roman" w:hAnsi="Times New Roman" w:cs="Times New Roman"/>
          <w:bCs/>
          <w:lang w:val="ro-MD"/>
        </w:rPr>
        <w:t>.</w:t>
      </w:r>
      <w:r w:rsidR="00527CE6" w:rsidRPr="000508B6">
        <w:rPr>
          <w:rFonts w:ascii="Times New Roman" w:hAnsi="Times New Roman" w:cs="Times New Roman"/>
          <w:bCs/>
          <w:lang w:val="ro-MD"/>
        </w:rPr>
        <w:t xml:space="preserve"> </w:t>
      </w:r>
      <w:r w:rsidR="009F5701" w:rsidRPr="000508B6">
        <w:rPr>
          <w:rFonts w:ascii="Times New Roman" w:hAnsi="Times New Roman" w:cs="Times New Roman"/>
          <w:bCs/>
          <w:lang w:val="ro-MD"/>
        </w:rPr>
        <w:t xml:space="preserve">(1) și alin. </w:t>
      </w:r>
      <w:r w:rsidR="00527CE6" w:rsidRPr="000508B6">
        <w:rPr>
          <w:rFonts w:ascii="Times New Roman" w:hAnsi="Times New Roman" w:cs="Times New Roman"/>
          <w:bCs/>
          <w:lang w:val="ro-MD"/>
        </w:rPr>
        <w:t>(</w:t>
      </w:r>
      <w:r w:rsidR="00B24899" w:rsidRPr="000508B6">
        <w:rPr>
          <w:rFonts w:ascii="Times New Roman" w:hAnsi="Times New Roman" w:cs="Times New Roman"/>
          <w:bCs/>
          <w:lang w:val="ro-MD"/>
        </w:rPr>
        <w:t>2</w:t>
      </w:r>
      <w:r w:rsidR="00527CE6" w:rsidRPr="000508B6">
        <w:rPr>
          <w:rFonts w:ascii="Times New Roman" w:hAnsi="Times New Roman" w:cs="Times New Roman"/>
          <w:bCs/>
          <w:lang w:val="ro-MD"/>
        </w:rPr>
        <w:t>) nu revin</w:t>
      </w:r>
      <w:r w:rsidR="003707D6" w:rsidRPr="000508B6">
        <w:rPr>
          <w:rFonts w:ascii="Times New Roman" w:hAnsi="Times New Roman" w:cs="Times New Roman"/>
          <w:bCs/>
          <w:lang w:val="ro-MD"/>
        </w:rPr>
        <w:t>e</w:t>
      </w:r>
      <w:r w:rsidR="00527CE6" w:rsidRPr="000508B6">
        <w:rPr>
          <w:rFonts w:ascii="Times New Roman" w:hAnsi="Times New Roman" w:cs="Times New Roman"/>
          <w:bCs/>
          <w:lang w:val="ro-MD"/>
        </w:rPr>
        <w:t xml:space="preserve"> la o abordare care nu include investiții pe termen lung în acțiuni.</w:t>
      </w:r>
    </w:p>
    <w:p w14:paraId="3573B456" w14:textId="675B949C" w:rsidR="00527CE6" w:rsidRPr="000508B6" w:rsidRDefault="00527CE6" w:rsidP="00CF5AFA">
      <w:pPr>
        <w:pStyle w:val="Listparagraf"/>
        <w:numPr>
          <w:ilvl w:val="1"/>
          <w:numId w:val="1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care tratează un subset de investiții în acțiuni drept investiții pe termen lung în acțiuni nu mai respectă condițiile prevăzute la alin</w:t>
      </w:r>
      <w:r w:rsidR="00604FBC"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B24899" w:rsidRPr="000508B6">
        <w:rPr>
          <w:rFonts w:ascii="Times New Roman" w:hAnsi="Times New Roman" w:cs="Times New Roman"/>
          <w:bCs/>
          <w:lang w:val="ro-MD"/>
        </w:rPr>
        <w:t>2</w:t>
      </w:r>
      <w:r w:rsidRPr="000508B6">
        <w:rPr>
          <w:rFonts w:ascii="Times New Roman" w:hAnsi="Times New Roman" w:cs="Times New Roman"/>
          <w:bCs/>
          <w:lang w:val="ro-MD"/>
        </w:rPr>
        <w:t xml:space="preserve">), aceasta informează imediat </w:t>
      </w:r>
      <w:r w:rsidR="00D573DD" w:rsidRPr="000508B6">
        <w:rPr>
          <w:rFonts w:ascii="Times New Roman" w:hAnsi="Times New Roman" w:cs="Times New Roman"/>
          <w:bCs/>
          <w:lang w:val="ro-MD"/>
        </w:rPr>
        <w:t>Banca Națională a Moldovei</w:t>
      </w:r>
      <w:r w:rsidRPr="000508B6">
        <w:rPr>
          <w:rFonts w:ascii="Times New Roman" w:hAnsi="Times New Roman" w:cs="Times New Roman"/>
          <w:bCs/>
          <w:lang w:val="ro-MD"/>
        </w:rPr>
        <w:t xml:space="preserve"> și ia măsurile necesare pentru restabilirea conformității.</w:t>
      </w:r>
    </w:p>
    <w:p w14:paraId="74C99915" w14:textId="62098634" w:rsidR="00527CE6" w:rsidRPr="000508B6" w:rsidRDefault="00527CE6" w:rsidP="00CF5AFA">
      <w:pPr>
        <w:pStyle w:val="Listparagraf"/>
        <w:numPr>
          <w:ilvl w:val="1"/>
          <w:numId w:val="1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În termen de o lună de la data primei constatări a nerespectării condițiilor prevăzute la alin</w:t>
      </w:r>
      <w:r w:rsidR="00DC07A5"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B24899" w:rsidRPr="000508B6">
        <w:rPr>
          <w:rFonts w:ascii="Times New Roman" w:hAnsi="Times New Roman" w:cs="Times New Roman"/>
          <w:bCs/>
          <w:lang w:val="ro-MD"/>
        </w:rPr>
        <w:t>2</w:t>
      </w:r>
      <w:r w:rsidRPr="000508B6">
        <w:rPr>
          <w:rFonts w:ascii="Times New Roman" w:hAnsi="Times New Roman" w:cs="Times New Roman"/>
          <w:bCs/>
          <w:lang w:val="ro-MD"/>
        </w:rPr>
        <w:t xml:space="preserve">),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furnizează </w:t>
      </w:r>
      <w:r w:rsidR="00D573DD" w:rsidRPr="000508B6">
        <w:rPr>
          <w:rFonts w:ascii="Times New Roman" w:hAnsi="Times New Roman" w:cs="Times New Roman"/>
          <w:bCs/>
          <w:lang w:val="ro-MD"/>
        </w:rPr>
        <w:t>B</w:t>
      </w:r>
      <w:r w:rsidR="004B7D3C" w:rsidRPr="000508B6">
        <w:rPr>
          <w:rFonts w:ascii="Times New Roman" w:hAnsi="Times New Roman" w:cs="Times New Roman"/>
          <w:bCs/>
          <w:lang w:val="ro-MD"/>
        </w:rPr>
        <w:t>ăncii</w:t>
      </w:r>
      <w:r w:rsidR="00D573DD" w:rsidRPr="000508B6">
        <w:rPr>
          <w:rFonts w:ascii="Times New Roman" w:hAnsi="Times New Roman" w:cs="Times New Roman"/>
          <w:bCs/>
          <w:lang w:val="ro-MD"/>
        </w:rPr>
        <w:t xml:space="preserve"> Național</w:t>
      </w:r>
      <w:r w:rsidR="004B7D3C" w:rsidRPr="000508B6">
        <w:rPr>
          <w:rFonts w:ascii="Times New Roman" w:hAnsi="Times New Roman" w:cs="Times New Roman"/>
          <w:bCs/>
          <w:lang w:val="ro-MD"/>
        </w:rPr>
        <w:t>e</w:t>
      </w:r>
      <w:r w:rsidR="00D573DD" w:rsidRPr="000508B6">
        <w:rPr>
          <w:rFonts w:ascii="Times New Roman" w:hAnsi="Times New Roman" w:cs="Times New Roman"/>
          <w:bCs/>
          <w:lang w:val="ro-MD"/>
        </w:rPr>
        <w:t xml:space="preserve"> a Moldovei</w:t>
      </w:r>
      <w:r w:rsidRPr="000508B6">
        <w:rPr>
          <w:rFonts w:ascii="Times New Roman" w:hAnsi="Times New Roman" w:cs="Times New Roman"/>
          <w:bCs/>
          <w:lang w:val="ro-MD"/>
        </w:rPr>
        <w:t xml:space="preserve"> informațiile necesare și măsurile care urmează să fie luate de </w:t>
      </w:r>
      <w:r w:rsidR="000B629A" w:rsidRPr="000508B6">
        <w:rPr>
          <w:rFonts w:ascii="Times New Roman" w:hAnsi="Times New Roman" w:cs="Times New Roman"/>
          <w:bCs/>
          <w:lang w:val="ro-MD"/>
        </w:rPr>
        <w:t xml:space="preserve">acesta </w:t>
      </w:r>
      <w:r w:rsidRPr="000508B6">
        <w:rPr>
          <w:rFonts w:ascii="Times New Roman" w:hAnsi="Times New Roman" w:cs="Times New Roman"/>
          <w:bCs/>
          <w:lang w:val="ro-MD"/>
        </w:rPr>
        <w:t>pentru a obține, în termen de șase luni de la data primei constatări a nerespectării, restabilirea conformității cu condițiile respective.</w:t>
      </w:r>
    </w:p>
    <w:p w14:paraId="048FB183" w14:textId="6C0861B9" w:rsidR="00527CE6" w:rsidRPr="000508B6" w:rsidRDefault="00527CE6" w:rsidP="00CF5AFA">
      <w:pPr>
        <w:pStyle w:val="Listparagraf"/>
        <w:numPr>
          <w:ilvl w:val="1"/>
          <w:numId w:val="1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nu este în măsură să restabilească conformitatea în termen de șase luni de la data primei constatări a nerespectării, aceasta încetează să mai clasifice </w:t>
      </w:r>
      <w:r w:rsidR="002F0D61" w:rsidRPr="000508B6">
        <w:rPr>
          <w:rFonts w:ascii="Times New Roman" w:hAnsi="Times New Roman" w:cs="Times New Roman"/>
          <w:bCs/>
          <w:lang w:val="ro-MD"/>
        </w:rPr>
        <w:t>investiția</w:t>
      </w:r>
      <w:r w:rsidRPr="000508B6">
        <w:rPr>
          <w:rFonts w:ascii="Times New Roman" w:hAnsi="Times New Roman" w:cs="Times New Roman"/>
          <w:bCs/>
          <w:lang w:val="ro-MD"/>
        </w:rPr>
        <w:t xml:space="preserve"> în acțiuni drept investiție pe termen lung în acțiuni în conformitate cu prezentul articol pentru o perioadă de doi ani și jumătate sau atât timp cât conformitatea cu condițiile prevăzute la alin</w:t>
      </w:r>
      <w:r w:rsidR="00DC07A5" w:rsidRPr="000508B6">
        <w:rPr>
          <w:rFonts w:ascii="Times New Roman" w:hAnsi="Times New Roman" w:cs="Times New Roman"/>
          <w:bCs/>
          <w:lang w:val="ro-MD"/>
        </w:rPr>
        <w:t>.</w:t>
      </w:r>
      <w:r w:rsidR="00A27706" w:rsidRPr="000508B6">
        <w:rPr>
          <w:rFonts w:ascii="Times New Roman" w:hAnsi="Times New Roman" w:cs="Times New Roman"/>
          <w:bCs/>
          <w:lang w:val="ro-MD"/>
        </w:rPr>
        <w:t xml:space="preserve"> </w:t>
      </w:r>
      <w:r w:rsidRPr="000508B6">
        <w:rPr>
          <w:rFonts w:ascii="Times New Roman" w:hAnsi="Times New Roman" w:cs="Times New Roman"/>
          <w:bCs/>
          <w:lang w:val="ro-MD"/>
        </w:rPr>
        <w:t>(</w:t>
      </w:r>
      <w:r w:rsidR="00B24899" w:rsidRPr="000508B6">
        <w:rPr>
          <w:rFonts w:ascii="Times New Roman" w:hAnsi="Times New Roman" w:cs="Times New Roman"/>
          <w:bCs/>
          <w:lang w:val="ro-MD"/>
        </w:rPr>
        <w:t>2</w:t>
      </w:r>
      <w:r w:rsidRPr="000508B6">
        <w:rPr>
          <w:rFonts w:ascii="Times New Roman" w:hAnsi="Times New Roman" w:cs="Times New Roman"/>
          <w:bCs/>
          <w:lang w:val="ro-MD"/>
        </w:rPr>
        <w:t>) nu este restabilită, oricare dintre aceste perioade este mai lungă.</w:t>
      </w:r>
    </w:p>
    <w:p w14:paraId="7C1935C6" w14:textId="76411E87" w:rsidR="00527CE6" w:rsidRPr="000508B6" w:rsidRDefault="0034178A" w:rsidP="00CF5AFA">
      <w:pPr>
        <w:pStyle w:val="Listparagraf"/>
        <w:numPr>
          <w:ilvl w:val="1"/>
          <w:numId w:val="134"/>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SCR</w:t>
      </w:r>
      <w:r w:rsidR="00527CE6" w:rsidRPr="000508B6">
        <w:rPr>
          <w:rFonts w:ascii="Times New Roman" w:hAnsi="Times New Roman" w:cs="Times New Roman"/>
          <w:bCs/>
          <w:lang w:val="ro-MD"/>
        </w:rPr>
        <w:t xml:space="preserve"> pentru investițiile pe termen lung în acțiuni este egală cu pierderea de fonduri proprii de bază care ar rezulta dintr-o scădere instantanee egală cu 22 % a valorii investițiilor care sunt tratate drept investiții pe termen lung în acțiuni.</w:t>
      </w:r>
    </w:p>
    <w:p w14:paraId="4087BC26" w14:textId="77777777" w:rsidR="00553058" w:rsidRPr="000508B6" w:rsidRDefault="00553058" w:rsidP="008B530F">
      <w:pPr>
        <w:spacing w:after="0" w:line="240" w:lineRule="auto"/>
        <w:ind w:firstLine="426"/>
        <w:jc w:val="both"/>
        <w:rPr>
          <w:rFonts w:ascii="Times New Roman" w:hAnsi="Times New Roman" w:cs="Times New Roman"/>
          <w:b/>
          <w:lang w:val="ro-MD"/>
        </w:rPr>
      </w:pPr>
    </w:p>
    <w:p w14:paraId="47327A63" w14:textId="42DD4193"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7C4341" w:rsidRPr="000508B6">
        <w:rPr>
          <w:rFonts w:ascii="Times New Roman" w:hAnsi="Times New Roman" w:cs="Times New Roman"/>
          <w:b/>
          <w:lang w:val="ro-MD"/>
        </w:rPr>
        <w:t xml:space="preserve"> </w:t>
      </w:r>
      <w:r w:rsidR="00C8492A" w:rsidRPr="000508B6">
        <w:rPr>
          <w:rFonts w:ascii="Times New Roman" w:hAnsi="Times New Roman" w:cs="Times New Roman"/>
          <w:b/>
          <w:lang w:val="ro-MD"/>
        </w:rPr>
        <w:t>70</w:t>
      </w:r>
      <w:r w:rsidR="00581E04" w:rsidRPr="000508B6">
        <w:rPr>
          <w:rFonts w:ascii="Times New Roman" w:hAnsi="Times New Roman" w:cs="Times New Roman"/>
          <w:b/>
          <w:lang w:val="ro-MD"/>
        </w:rPr>
        <w:t>.</w:t>
      </w:r>
      <w:r w:rsidR="007C4341" w:rsidRPr="000508B6">
        <w:rPr>
          <w:rFonts w:ascii="Times New Roman" w:hAnsi="Times New Roman" w:cs="Times New Roman"/>
          <w:b/>
          <w:lang w:val="ro-MD"/>
        </w:rPr>
        <w:t xml:space="preserve"> </w:t>
      </w:r>
      <w:r w:rsidRPr="000508B6">
        <w:rPr>
          <w:rFonts w:ascii="Times New Roman" w:hAnsi="Times New Roman" w:cs="Times New Roman"/>
          <w:lang w:val="ro-MD"/>
        </w:rPr>
        <w:t xml:space="preserve">Calcularea </w:t>
      </w:r>
      <w:proofErr w:type="spellStart"/>
      <w:r w:rsidRPr="000508B6">
        <w:rPr>
          <w:rFonts w:ascii="Times New Roman" w:hAnsi="Times New Roman" w:cs="Times New Roman"/>
          <w:lang w:val="ro-MD"/>
        </w:rPr>
        <w:t>submodulului</w:t>
      </w:r>
      <w:proofErr w:type="spellEnd"/>
      <w:r w:rsidRPr="000508B6">
        <w:rPr>
          <w:rFonts w:ascii="Times New Roman" w:hAnsi="Times New Roman" w:cs="Times New Roman"/>
          <w:lang w:val="ro-MD"/>
        </w:rPr>
        <w:t xml:space="preserve"> risc de devalorizare </w:t>
      </w:r>
      <w:proofErr w:type="spellStart"/>
      <w:r w:rsidRPr="000508B6">
        <w:rPr>
          <w:rFonts w:ascii="Times New Roman" w:hAnsi="Times New Roman" w:cs="Times New Roman"/>
          <w:lang w:val="ro-MD"/>
        </w:rPr>
        <w:t>acţiuni</w:t>
      </w:r>
      <w:proofErr w:type="spellEnd"/>
      <w:r w:rsidRPr="000508B6">
        <w:rPr>
          <w:rFonts w:ascii="Times New Roman" w:hAnsi="Times New Roman" w:cs="Times New Roman"/>
          <w:lang w:val="ro-MD"/>
        </w:rPr>
        <w:t xml:space="preserve">: mecanismul de ajustare simetrică </w:t>
      </w:r>
    </w:p>
    <w:p w14:paraId="768DF31D" w14:textId="3D298223" w:rsidR="00F95829" w:rsidRPr="000508B6" w:rsidRDefault="00BB2CB5" w:rsidP="00CF5AFA">
      <w:pPr>
        <w:pStyle w:val="Listparagraf"/>
        <w:numPr>
          <w:ilvl w:val="1"/>
          <w:numId w:val="164"/>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lastRenderedPageBreak/>
        <w:t>Subm</w:t>
      </w:r>
      <w:r w:rsidR="002A50AC" w:rsidRPr="000508B6">
        <w:rPr>
          <w:rFonts w:ascii="Times New Roman" w:hAnsi="Times New Roman" w:cs="Times New Roman"/>
          <w:lang w:val="ro-MD"/>
        </w:rPr>
        <w:t>odulul</w:t>
      </w:r>
      <w:proofErr w:type="spellEnd"/>
      <w:r w:rsidR="002A50AC" w:rsidRPr="000508B6">
        <w:rPr>
          <w:rFonts w:ascii="Times New Roman" w:hAnsi="Times New Roman" w:cs="Times New Roman"/>
          <w:lang w:val="ro-MD"/>
        </w:rPr>
        <w:t xml:space="preserve"> „risc </w:t>
      </w:r>
      <w:r w:rsidRPr="000508B6">
        <w:rPr>
          <w:rFonts w:ascii="Times New Roman" w:hAnsi="Times New Roman" w:cs="Times New Roman"/>
          <w:lang w:val="ro-MD"/>
        </w:rPr>
        <w:t xml:space="preserve">de </w:t>
      </w:r>
      <w:r w:rsidR="0070559B" w:rsidRPr="000508B6">
        <w:rPr>
          <w:rFonts w:ascii="Times New Roman" w:hAnsi="Times New Roman" w:cs="Times New Roman"/>
          <w:lang w:val="ro-MD"/>
        </w:rPr>
        <w:t>devalorizare</w:t>
      </w:r>
      <w:r w:rsidR="002A50AC" w:rsidRPr="000508B6">
        <w:rPr>
          <w:rFonts w:ascii="Times New Roman" w:hAnsi="Times New Roman" w:cs="Times New Roman"/>
          <w:lang w:val="ro-MD"/>
        </w:rPr>
        <w:t xml:space="preserve"> acțiuni” calculat cu formula standard include o ajustare simetrică față de costul de capital aferent investițiilor în acțiuni  aplicată pentru a acoperi riscurile conexe modificării prețurilor </w:t>
      </w:r>
      <w:r w:rsidR="005F4FF9" w:rsidRPr="000508B6">
        <w:rPr>
          <w:rFonts w:ascii="Times New Roman" w:hAnsi="Times New Roman" w:cs="Times New Roman"/>
          <w:lang w:val="ro-MD"/>
        </w:rPr>
        <w:t>acțiunilor</w:t>
      </w:r>
      <w:r w:rsidR="002A50AC" w:rsidRPr="000508B6" w:rsidDel="002A50AC">
        <w:rPr>
          <w:rFonts w:ascii="Times New Roman" w:hAnsi="Times New Roman" w:cs="Times New Roman"/>
          <w:lang w:val="ro-MD"/>
        </w:rPr>
        <w:t>.</w:t>
      </w:r>
      <w:r w:rsidR="00F95829" w:rsidRPr="000508B6">
        <w:rPr>
          <w:rFonts w:ascii="Times New Roman" w:hAnsi="Times New Roman" w:cs="Times New Roman"/>
          <w:lang w:val="ro-MD"/>
        </w:rPr>
        <w:t xml:space="preserve"> </w:t>
      </w:r>
    </w:p>
    <w:p w14:paraId="3EB4A6DB" w14:textId="4A2BF3DE" w:rsidR="00F95829" w:rsidRPr="000508B6" w:rsidRDefault="002A50AC" w:rsidP="00CF5AFA">
      <w:pPr>
        <w:pStyle w:val="Listparagraf"/>
        <w:numPr>
          <w:ilvl w:val="1"/>
          <w:numId w:val="16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Ajustarea simetrică a cerinței standard de capital propriu, calibrată în conformitate cu art. 67 alin. (4), care acoperă riscurile conexe modificării prețurilor</w:t>
      </w:r>
      <w:r w:rsidR="00F95829" w:rsidRPr="000508B6">
        <w:rPr>
          <w:rFonts w:ascii="Times New Roman" w:hAnsi="Times New Roman" w:cs="Times New Roman"/>
          <w:lang w:val="ro-MD"/>
        </w:rPr>
        <w:t xml:space="preserve"> </w:t>
      </w:r>
      <w:r w:rsidR="00E72E66" w:rsidRPr="000508B6">
        <w:rPr>
          <w:rFonts w:ascii="Times New Roman" w:hAnsi="Times New Roman" w:cs="Times New Roman"/>
          <w:lang w:val="ro-MD"/>
        </w:rPr>
        <w:t>acțiunilor</w:t>
      </w: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se bazează pe o </w:t>
      </w:r>
      <w:r w:rsidRPr="000508B6">
        <w:rPr>
          <w:rFonts w:ascii="Times New Roman" w:hAnsi="Times New Roman" w:cs="Times New Roman"/>
          <w:lang w:val="ro-MD"/>
        </w:rPr>
        <w:t>funcție</w:t>
      </w:r>
      <w:r w:rsidR="00F95829" w:rsidRPr="000508B6">
        <w:rPr>
          <w:rFonts w:ascii="Times New Roman" w:hAnsi="Times New Roman" w:cs="Times New Roman"/>
          <w:lang w:val="ro-MD"/>
        </w:rPr>
        <w:t xml:space="preserve"> a nivelului actual al unui indice </w:t>
      </w:r>
      <w:r w:rsidRPr="000508B6">
        <w:rPr>
          <w:rFonts w:ascii="Times New Roman" w:hAnsi="Times New Roman" w:cs="Times New Roman"/>
          <w:lang w:val="ro-MD"/>
        </w:rPr>
        <w:t xml:space="preserve">al acțiunilor </w:t>
      </w:r>
      <w:r w:rsidR="00F95829" w:rsidRPr="000508B6">
        <w:rPr>
          <w:rFonts w:ascii="Times New Roman" w:hAnsi="Times New Roman" w:cs="Times New Roman"/>
          <w:lang w:val="ro-MD"/>
        </w:rPr>
        <w:t xml:space="preserve">adecvat </w:t>
      </w:r>
      <w:r w:rsidRPr="000508B6">
        <w:rPr>
          <w:rFonts w:ascii="Times New Roman" w:hAnsi="Times New Roman" w:cs="Times New Roman"/>
          <w:lang w:val="ro-MD"/>
        </w:rPr>
        <w:t>și</w:t>
      </w:r>
      <w:r w:rsidR="00F95829" w:rsidRPr="000508B6">
        <w:rPr>
          <w:rFonts w:ascii="Times New Roman" w:hAnsi="Times New Roman" w:cs="Times New Roman"/>
          <w:lang w:val="ro-MD"/>
        </w:rPr>
        <w:t xml:space="preserve"> pe </w:t>
      </w:r>
      <w:r w:rsidRPr="000508B6">
        <w:rPr>
          <w:rFonts w:ascii="Times New Roman" w:hAnsi="Times New Roman" w:cs="Times New Roman"/>
          <w:lang w:val="ro-MD"/>
        </w:rPr>
        <w:t>un nivel mediu ponderat al indicelui respectiv. Media</w:t>
      </w:r>
      <w:r w:rsidR="00F95829" w:rsidRPr="000508B6">
        <w:rPr>
          <w:rFonts w:ascii="Times New Roman" w:hAnsi="Times New Roman" w:cs="Times New Roman"/>
          <w:lang w:val="ro-MD"/>
        </w:rPr>
        <w:t xml:space="preserve"> ponderată </w:t>
      </w:r>
      <w:r w:rsidRPr="000508B6">
        <w:rPr>
          <w:rFonts w:ascii="Times New Roman" w:hAnsi="Times New Roman" w:cs="Times New Roman"/>
          <w:lang w:val="ro-MD"/>
        </w:rPr>
        <w:t>se calculează</w:t>
      </w:r>
      <w:r w:rsidR="00F95829" w:rsidRPr="000508B6">
        <w:rPr>
          <w:rFonts w:ascii="Times New Roman" w:hAnsi="Times New Roman" w:cs="Times New Roman"/>
          <w:lang w:val="ro-MD"/>
        </w:rPr>
        <w:t xml:space="preserve"> pe o perioadă de timp adecvată, identică pentru </w:t>
      </w:r>
      <w:r w:rsidR="000B629A" w:rsidRPr="000508B6">
        <w:rPr>
          <w:rFonts w:ascii="Times New Roman" w:hAnsi="Times New Roman" w:cs="Times New Roman"/>
          <w:lang w:val="ro-MD"/>
        </w:rPr>
        <w:t xml:space="preserve">toți asigurători sau </w:t>
      </w:r>
      <w:proofErr w:type="spellStart"/>
      <w:r w:rsidR="000B629A" w:rsidRPr="000508B6">
        <w:rPr>
          <w:rFonts w:ascii="Times New Roman" w:hAnsi="Times New Roman" w:cs="Times New Roman"/>
          <w:lang w:val="ro-MD"/>
        </w:rPr>
        <w:t>reasigurători</w:t>
      </w:r>
      <w:proofErr w:type="spellEnd"/>
      <w:r w:rsidR="00F95829" w:rsidRPr="000508B6">
        <w:rPr>
          <w:rFonts w:ascii="Times New Roman" w:hAnsi="Times New Roman" w:cs="Times New Roman"/>
          <w:lang w:val="ro-MD"/>
        </w:rPr>
        <w:t xml:space="preserve">. </w:t>
      </w:r>
    </w:p>
    <w:p w14:paraId="3371FB32" w14:textId="13376D6F" w:rsidR="00F95829" w:rsidRPr="000508B6" w:rsidRDefault="00342F4F" w:rsidP="00CF5AFA">
      <w:pPr>
        <w:pStyle w:val="Listparagraf"/>
        <w:numPr>
          <w:ilvl w:val="1"/>
          <w:numId w:val="16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Ajustarea simetrică a cerinței standard de capital propriu care acoperă riscurile conexe modificării prețurilor </w:t>
      </w:r>
      <w:r w:rsidR="0043504F" w:rsidRPr="000508B6">
        <w:rPr>
          <w:rFonts w:ascii="Times New Roman" w:hAnsi="Times New Roman" w:cs="Times New Roman"/>
          <w:lang w:val="ro-MD"/>
        </w:rPr>
        <w:t xml:space="preserve">acțiunilor </w:t>
      </w:r>
      <w:r w:rsidRPr="000508B6">
        <w:rPr>
          <w:rFonts w:ascii="Times New Roman" w:hAnsi="Times New Roman" w:cs="Times New Roman"/>
          <w:lang w:val="ro-MD"/>
        </w:rPr>
        <w:t>nu conduce la aplicarea unei cerințe de capital propriu mai mică sau mai mare cu peste 13 puncte procentuale decât cerința standard de capital propriu</w:t>
      </w:r>
      <w:r w:rsidR="00B13921" w:rsidRPr="000508B6">
        <w:rPr>
          <w:rFonts w:ascii="Times New Roman" w:hAnsi="Times New Roman" w:cs="Times New Roman"/>
          <w:lang w:val="ro-MD"/>
        </w:rPr>
        <w:t>.</w:t>
      </w:r>
      <w:r w:rsidRPr="000508B6">
        <w:rPr>
          <w:rFonts w:ascii="Times New Roman" w:hAnsi="Times New Roman" w:cs="Times New Roman"/>
          <w:lang w:val="ro-MD"/>
        </w:rPr>
        <w:t xml:space="preserve"> </w:t>
      </w:r>
    </w:p>
    <w:p w14:paraId="36BE8CA0"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47259956" w14:textId="506DF05F"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71</w:t>
      </w:r>
      <w:r w:rsidRPr="000508B6">
        <w:rPr>
          <w:rFonts w:ascii="Times New Roman" w:hAnsi="Times New Roman" w:cs="Times New Roman"/>
          <w:b/>
          <w:lang w:val="ro-MD"/>
        </w:rPr>
        <w:t>.</w:t>
      </w:r>
      <w:r w:rsidR="00050391" w:rsidRPr="000508B6">
        <w:rPr>
          <w:rFonts w:ascii="Times New Roman" w:hAnsi="Times New Roman" w:cs="Times New Roman"/>
          <w:b/>
          <w:lang w:val="ro-MD"/>
        </w:rPr>
        <w:t xml:space="preserve"> </w:t>
      </w:r>
      <w:r w:rsidRPr="000508B6">
        <w:rPr>
          <w:rFonts w:ascii="Times New Roman" w:hAnsi="Times New Roman" w:cs="Times New Roman"/>
          <w:lang w:val="ro-MD"/>
        </w:rPr>
        <w:t xml:space="preserve">SCR pentru riscul </w:t>
      </w:r>
      <w:proofErr w:type="spellStart"/>
      <w:r w:rsidRPr="000508B6">
        <w:rPr>
          <w:rFonts w:ascii="Times New Roman" w:hAnsi="Times New Roman" w:cs="Times New Roman"/>
          <w:lang w:val="ro-MD"/>
        </w:rPr>
        <w:t>operaţional</w:t>
      </w:r>
      <w:proofErr w:type="spellEnd"/>
      <w:r w:rsidRPr="000508B6">
        <w:rPr>
          <w:rFonts w:ascii="Times New Roman" w:hAnsi="Times New Roman" w:cs="Times New Roman"/>
          <w:lang w:val="ro-MD"/>
        </w:rPr>
        <w:t xml:space="preserve"> </w:t>
      </w:r>
    </w:p>
    <w:p w14:paraId="08784F76" w14:textId="24AB5D6E" w:rsidR="00F95829" w:rsidRPr="000508B6" w:rsidRDefault="005D1D3E" w:rsidP="00A27706">
      <w:pPr>
        <w:pStyle w:val="Listparagraf"/>
        <w:numPr>
          <w:ilvl w:val="1"/>
          <w:numId w:val="16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SCR</w:t>
      </w:r>
      <w:r w:rsidR="00F95829" w:rsidRPr="000508B6">
        <w:rPr>
          <w:rFonts w:ascii="Times New Roman" w:hAnsi="Times New Roman" w:cs="Times New Roman"/>
          <w:lang w:val="ro-MD"/>
        </w:rPr>
        <w:t xml:space="preserve"> pentru riscul </w:t>
      </w:r>
      <w:proofErr w:type="spellStart"/>
      <w:r w:rsidR="00F95829" w:rsidRPr="000508B6">
        <w:rPr>
          <w:rFonts w:ascii="Times New Roman" w:hAnsi="Times New Roman" w:cs="Times New Roman"/>
          <w:lang w:val="ro-MD"/>
        </w:rPr>
        <w:t>operaţional</w:t>
      </w:r>
      <w:proofErr w:type="spellEnd"/>
      <w:r w:rsidR="00F95829" w:rsidRPr="000508B6">
        <w:rPr>
          <w:rFonts w:ascii="Times New Roman" w:hAnsi="Times New Roman" w:cs="Times New Roman"/>
          <w:lang w:val="ro-MD"/>
        </w:rPr>
        <w:t xml:space="preserve"> reflectă riscurile </w:t>
      </w:r>
      <w:r w:rsidR="003D1514" w:rsidRPr="000508B6">
        <w:rPr>
          <w:rFonts w:ascii="Times New Roman" w:hAnsi="Times New Roman" w:cs="Times New Roman"/>
          <w:lang w:val="ro-MD"/>
        </w:rPr>
        <w:t xml:space="preserve">operaționale </w:t>
      </w:r>
      <w:r w:rsidR="00980B9D" w:rsidRPr="000508B6">
        <w:rPr>
          <w:rFonts w:ascii="Times New Roman" w:hAnsi="Times New Roman" w:cs="Times New Roman"/>
          <w:lang w:val="ro-MD"/>
        </w:rPr>
        <w:t xml:space="preserve">în măsura în </w:t>
      </w:r>
      <w:r w:rsidR="00F95829" w:rsidRPr="000508B6">
        <w:rPr>
          <w:rFonts w:ascii="Times New Roman" w:hAnsi="Times New Roman" w:cs="Times New Roman"/>
          <w:lang w:val="ro-MD"/>
        </w:rPr>
        <w:t xml:space="preserve">care </w:t>
      </w:r>
      <w:r w:rsidR="00980B9D" w:rsidRPr="000508B6">
        <w:rPr>
          <w:rFonts w:ascii="Times New Roman" w:hAnsi="Times New Roman" w:cs="Times New Roman"/>
          <w:lang w:val="ro-MD"/>
        </w:rPr>
        <w:t>acestea</w:t>
      </w:r>
      <w:r w:rsidR="00F95829" w:rsidRPr="000508B6">
        <w:rPr>
          <w:rFonts w:ascii="Times New Roman" w:hAnsi="Times New Roman" w:cs="Times New Roman"/>
          <w:lang w:val="ro-MD"/>
        </w:rPr>
        <w:t xml:space="preserve"> nu au fost incluse în modulele de risc prevăzute la art. </w:t>
      </w:r>
      <w:r w:rsidR="00F9448F" w:rsidRPr="000508B6">
        <w:rPr>
          <w:rFonts w:ascii="Times New Roman" w:hAnsi="Times New Roman" w:cs="Times New Roman"/>
          <w:lang w:val="ro-MD"/>
        </w:rPr>
        <w:t xml:space="preserve">67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se calibrează conform art. </w:t>
      </w:r>
      <w:r w:rsidR="00F9448F" w:rsidRPr="000508B6">
        <w:rPr>
          <w:rFonts w:ascii="Times New Roman" w:hAnsi="Times New Roman" w:cs="Times New Roman"/>
          <w:lang w:val="ro-MD"/>
        </w:rPr>
        <w:t xml:space="preserve">64 </w:t>
      </w:r>
      <w:r w:rsidR="00F95829" w:rsidRPr="000508B6">
        <w:rPr>
          <w:rFonts w:ascii="Times New Roman" w:hAnsi="Times New Roman" w:cs="Times New Roman"/>
          <w:lang w:val="ro-MD"/>
        </w:rPr>
        <w:t xml:space="preserve">alin. (2) - (4). </w:t>
      </w:r>
    </w:p>
    <w:p w14:paraId="0A8D25D5" w14:textId="087A69D0" w:rsidR="00F95829" w:rsidRPr="000508B6" w:rsidRDefault="00F95829" w:rsidP="0006568A">
      <w:pPr>
        <w:pStyle w:val="Listparagraf"/>
        <w:numPr>
          <w:ilvl w:val="1"/>
          <w:numId w:val="16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calcularea SCR pentru riscul </w:t>
      </w:r>
      <w:proofErr w:type="spellStart"/>
      <w:r w:rsidRPr="000508B6">
        <w:rPr>
          <w:rFonts w:ascii="Times New Roman" w:hAnsi="Times New Roman" w:cs="Times New Roman"/>
          <w:lang w:val="ro-MD"/>
        </w:rPr>
        <w:t>operaţional</w:t>
      </w:r>
      <w:proofErr w:type="spellEnd"/>
      <w:r w:rsidRPr="000508B6">
        <w:rPr>
          <w:rFonts w:ascii="Times New Roman" w:hAnsi="Times New Roman" w:cs="Times New Roman"/>
          <w:lang w:val="ro-MD"/>
        </w:rPr>
        <w:t xml:space="preserve"> aferent contractelor de </w:t>
      </w:r>
      <w:r w:rsidR="0082102F" w:rsidRPr="000508B6">
        <w:rPr>
          <w:rFonts w:ascii="Times New Roman" w:hAnsi="Times New Roman" w:cs="Times New Roman"/>
          <w:lang w:val="ro-MD"/>
        </w:rPr>
        <w:t>asigurare</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la care riscul </w:t>
      </w:r>
      <w:proofErr w:type="spellStart"/>
      <w:r w:rsidRPr="000508B6">
        <w:rPr>
          <w:rFonts w:ascii="Times New Roman" w:hAnsi="Times New Roman" w:cs="Times New Roman"/>
          <w:lang w:val="ro-MD"/>
        </w:rPr>
        <w:t>investiţiilor</w:t>
      </w:r>
      <w:proofErr w:type="spellEnd"/>
      <w:r w:rsidRPr="000508B6">
        <w:rPr>
          <w:rFonts w:ascii="Times New Roman" w:hAnsi="Times New Roman" w:cs="Times New Roman"/>
          <w:lang w:val="ro-MD"/>
        </w:rPr>
        <w:t xml:space="preserve"> revine </w:t>
      </w:r>
      <w:r w:rsidR="009A1993" w:rsidRPr="000508B6">
        <w:rPr>
          <w:rFonts w:ascii="Times New Roman" w:hAnsi="Times New Roman" w:cs="Times New Roman"/>
          <w:lang w:val="ro-MD"/>
        </w:rPr>
        <w:t xml:space="preserve">asiguraților </w:t>
      </w:r>
      <w:r w:rsidRPr="000508B6">
        <w:rPr>
          <w:rFonts w:ascii="Times New Roman" w:hAnsi="Times New Roman" w:cs="Times New Roman"/>
          <w:lang w:val="ro-MD"/>
        </w:rPr>
        <w:t xml:space="preserve">se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seama de valoarea cheltuielilor anuale aferente </w:t>
      </w:r>
      <w:proofErr w:type="spellStart"/>
      <w:r w:rsidRPr="000508B6">
        <w:rPr>
          <w:rFonts w:ascii="Times New Roman" w:hAnsi="Times New Roman" w:cs="Times New Roman"/>
          <w:lang w:val="ro-MD"/>
        </w:rPr>
        <w:t>obligaţiilor</w:t>
      </w:r>
      <w:proofErr w:type="spellEnd"/>
      <w:r w:rsidRPr="000508B6">
        <w:rPr>
          <w:rFonts w:ascii="Times New Roman" w:hAnsi="Times New Roman" w:cs="Times New Roman"/>
          <w:lang w:val="ro-MD"/>
        </w:rPr>
        <w:t xml:space="preserve"> de asigurare respective. </w:t>
      </w:r>
    </w:p>
    <w:p w14:paraId="63F10630" w14:textId="5DCAAD82" w:rsidR="00F95829" w:rsidRPr="000508B6" w:rsidRDefault="00F95829" w:rsidP="0006568A">
      <w:pPr>
        <w:pStyle w:val="Listparagraf"/>
        <w:numPr>
          <w:ilvl w:val="1"/>
          <w:numId w:val="16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calcularea SCR pentru riscul </w:t>
      </w:r>
      <w:proofErr w:type="spellStart"/>
      <w:r w:rsidRPr="000508B6">
        <w:rPr>
          <w:rFonts w:ascii="Times New Roman" w:hAnsi="Times New Roman" w:cs="Times New Roman"/>
          <w:lang w:val="ro-MD"/>
        </w:rPr>
        <w:t>operaţional</w:t>
      </w:r>
      <w:proofErr w:type="spellEnd"/>
      <w:r w:rsidRPr="000508B6">
        <w:rPr>
          <w:rFonts w:ascii="Times New Roman" w:hAnsi="Times New Roman" w:cs="Times New Roman"/>
          <w:lang w:val="ro-MD"/>
        </w:rPr>
        <w:t xml:space="preserve"> aferent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reasigurare, cu </w:t>
      </w:r>
      <w:proofErr w:type="spellStart"/>
      <w:r w:rsidRPr="000508B6">
        <w:rPr>
          <w:rFonts w:ascii="Times New Roman" w:hAnsi="Times New Roman" w:cs="Times New Roman"/>
          <w:lang w:val="ro-MD"/>
        </w:rPr>
        <w:t>excepţia</w:t>
      </w:r>
      <w:proofErr w:type="spellEnd"/>
      <w:r w:rsidRPr="000508B6">
        <w:rPr>
          <w:rFonts w:ascii="Times New Roman" w:hAnsi="Times New Roman" w:cs="Times New Roman"/>
          <w:lang w:val="ro-MD"/>
        </w:rPr>
        <w:t xml:space="preserve"> celei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 se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seama de volumul primelor </w:t>
      </w:r>
      <w:proofErr w:type="spellStart"/>
      <w:r w:rsidRPr="000508B6">
        <w:rPr>
          <w:rFonts w:ascii="Times New Roman" w:hAnsi="Times New Roman" w:cs="Times New Roman"/>
          <w:lang w:val="ro-MD"/>
        </w:rPr>
        <w:t>câştigate</w:t>
      </w:r>
      <w:proofErr w:type="spellEnd"/>
      <w:r w:rsidRPr="000508B6">
        <w:rPr>
          <w:rFonts w:ascii="Times New Roman" w:hAnsi="Times New Roman" w:cs="Times New Roman"/>
          <w:lang w:val="ro-MD"/>
        </w:rPr>
        <w:t xml:space="preserve">, al rezervelor tehnice </w:t>
      </w:r>
      <w:proofErr w:type="spellStart"/>
      <w:r w:rsidRPr="000508B6">
        <w:rPr>
          <w:rFonts w:ascii="Times New Roman" w:hAnsi="Times New Roman" w:cs="Times New Roman"/>
          <w:lang w:val="ro-MD"/>
        </w:rPr>
        <w:t>deţinute</w:t>
      </w:r>
      <w:proofErr w:type="spellEnd"/>
      <w:r w:rsidRPr="000508B6">
        <w:rPr>
          <w:rFonts w:ascii="Times New Roman" w:hAnsi="Times New Roman" w:cs="Times New Roman"/>
          <w:lang w:val="ro-MD"/>
        </w:rPr>
        <w:t xml:space="preserve"> pentru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reasigurare respective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faptul că </w:t>
      </w:r>
      <w:proofErr w:type="spellStart"/>
      <w:r w:rsidRPr="000508B6">
        <w:rPr>
          <w:rFonts w:ascii="Times New Roman" w:hAnsi="Times New Roman" w:cs="Times New Roman"/>
          <w:lang w:val="ro-MD"/>
        </w:rPr>
        <w:t>cerinţa</w:t>
      </w:r>
      <w:proofErr w:type="spellEnd"/>
      <w:r w:rsidRPr="000508B6">
        <w:rPr>
          <w:rFonts w:ascii="Times New Roman" w:hAnsi="Times New Roman" w:cs="Times New Roman"/>
          <w:lang w:val="ro-MD"/>
        </w:rPr>
        <w:t xml:space="preserve"> respectivă are o limită maximă de 30% din SCR de bază aferentă acestei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w:t>
      </w:r>
    </w:p>
    <w:p w14:paraId="308746EA"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50B852ED" w14:textId="3F55210C"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72</w:t>
      </w:r>
      <w:r w:rsidRPr="000508B6">
        <w:rPr>
          <w:rFonts w:ascii="Times New Roman" w:hAnsi="Times New Roman" w:cs="Times New Roman"/>
          <w:b/>
          <w:lang w:val="ro-MD"/>
        </w:rPr>
        <w:t>.</w:t>
      </w:r>
      <w:r w:rsidRPr="000508B6">
        <w:rPr>
          <w:rFonts w:ascii="Times New Roman" w:hAnsi="Times New Roman" w:cs="Times New Roman"/>
          <w:lang w:val="ro-MD"/>
        </w:rPr>
        <w:t xml:space="preserve"> Ajustarea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capacitatea rezervelor tehnice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impozitelor amânate de a acoperi pierderile </w:t>
      </w:r>
    </w:p>
    <w:p w14:paraId="76EC0B73" w14:textId="2FEB117E" w:rsidR="001B6BBB" w:rsidRPr="000508B6" w:rsidRDefault="001B6BBB" w:rsidP="00A27706">
      <w:pPr>
        <w:pStyle w:val="Listparagraf"/>
        <w:numPr>
          <w:ilvl w:val="1"/>
          <w:numId w:val="16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Ajustarea menționată la art</w:t>
      </w:r>
      <w:r w:rsidR="00F066E4" w:rsidRPr="000508B6">
        <w:rPr>
          <w:rFonts w:ascii="Times New Roman" w:hAnsi="Times New Roman" w:cs="Times New Roman"/>
          <w:lang w:val="ro-MD"/>
        </w:rPr>
        <w:t>.</w:t>
      </w:r>
      <w:r w:rsidRPr="000508B6">
        <w:rPr>
          <w:rFonts w:ascii="Times New Roman" w:hAnsi="Times New Roman" w:cs="Times New Roman"/>
          <w:lang w:val="ro-MD"/>
        </w:rPr>
        <w:t xml:space="preserve"> </w:t>
      </w:r>
      <w:r w:rsidR="00F066E4" w:rsidRPr="000508B6">
        <w:rPr>
          <w:rFonts w:ascii="Times New Roman" w:hAnsi="Times New Roman" w:cs="Times New Roman"/>
          <w:lang w:val="ro-MD"/>
        </w:rPr>
        <w:t>66</w:t>
      </w:r>
      <w:r w:rsidRPr="000508B6">
        <w:rPr>
          <w:rFonts w:ascii="Times New Roman" w:hAnsi="Times New Roman" w:cs="Times New Roman"/>
          <w:lang w:val="ro-MD"/>
        </w:rPr>
        <w:t xml:space="preserve"> lit</w:t>
      </w:r>
      <w:r w:rsidR="00F066E4" w:rsidRPr="000508B6">
        <w:rPr>
          <w:rFonts w:ascii="Times New Roman" w:hAnsi="Times New Roman" w:cs="Times New Roman"/>
          <w:lang w:val="ro-MD"/>
        </w:rPr>
        <w:t>.</w:t>
      </w:r>
      <w:r w:rsidRPr="000508B6">
        <w:rPr>
          <w:rFonts w:ascii="Times New Roman" w:hAnsi="Times New Roman" w:cs="Times New Roman"/>
          <w:lang w:val="ro-MD"/>
        </w:rPr>
        <w:t xml:space="preserve"> c), realizată pentru a ține seama de capacitatea de absorbție a pierderilor a rezervelor tehnice și a impozitelor amânate, reflectă posibila compensare a pierderilor neprevăzute prin scăderea simultană a rezervelor tehnice</w:t>
      </w:r>
      <w:r w:rsidR="00274587" w:rsidRPr="000508B6">
        <w:rPr>
          <w:rFonts w:ascii="Times New Roman" w:hAnsi="Times New Roman" w:cs="Times New Roman"/>
          <w:lang w:val="ro-MD"/>
        </w:rPr>
        <w:t>,</w:t>
      </w:r>
      <w:r w:rsidRPr="000508B6">
        <w:rPr>
          <w:rFonts w:ascii="Times New Roman" w:hAnsi="Times New Roman" w:cs="Times New Roman"/>
          <w:lang w:val="ro-MD"/>
        </w:rPr>
        <w:t xml:space="preserve"> impozitelor amânate sau a unei combinații a acestora. </w:t>
      </w:r>
    </w:p>
    <w:p w14:paraId="4A5238B8" w14:textId="77FB5773" w:rsidR="00F95829" w:rsidRPr="000508B6" w:rsidRDefault="00E42F5E" w:rsidP="007832A0">
      <w:pPr>
        <w:pStyle w:val="Listparagraf"/>
        <w:numPr>
          <w:ilvl w:val="1"/>
          <w:numId w:val="16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w:t>
      </w:r>
      <w:r w:rsidR="001B6BBB" w:rsidRPr="000508B6">
        <w:rPr>
          <w:rFonts w:ascii="Times New Roman" w:hAnsi="Times New Roman" w:cs="Times New Roman"/>
          <w:lang w:val="ro-MD"/>
        </w:rPr>
        <w:t>justare</w:t>
      </w:r>
      <w:r w:rsidRPr="000508B6">
        <w:rPr>
          <w:rFonts w:ascii="Times New Roman" w:hAnsi="Times New Roman" w:cs="Times New Roman"/>
          <w:lang w:val="ro-MD"/>
        </w:rPr>
        <w:t>a menționată la art. 66 lit. c)</w:t>
      </w:r>
      <w:r w:rsidR="001B6BBB" w:rsidRPr="000508B6">
        <w:rPr>
          <w:rFonts w:ascii="Times New Roman" w:hAnsi="Times New Roman" w:cs="Times New Roman"/>
          <w:lang w:val="ro-MD"/>
        </w:rPr>
        <w:t xml:space="preserve"> ține seama de efectul de </w:t>
      </w:r>
      <w:r w:rsidR="002D1819" w:rsidRPr="000508B6">
        <w:rPr>
          <w:rFonts w:ascii="Times New Roman" w:hAnsi="Times New Roman" w:cs="Times New Roman"/>
          <w:lang w:val="ro-MD"/>
        </w:rPr>
        <w:t xml:space="preserve">minimizare </w:t>
      </w:r>
      <w:r w:rsidR="001B6BBB" w:rsidRPr="000508B6">
        <w:rPr>
          <w:rFonts w:ascii="Times New Roman" w:hAnsi="Times New Roman" w:cs="Times New Roman"/>
          <w:lang w:val="ro-MD"/>
        </w:rPr>
        <w:t>a riscurilor datorat viitoarelor beneficii discreționare ale contractelor de asigurare, în măsura în care întreprinderile de asigurare și de reasigurare pot demonstra că reducerea unor astfel de beneficii poate folosi la acoperirea pierderilor neprevăzute, atunci când acestea se produc. Efectul de</w:t>
      </w:r>
      <w:r w:rsidR="001B6BBB" w:rsidRPr="000508B6" w:rsidDel="002D1819">
        <w:rPr>
          <w:rFonts w:ascii="Times New Roman" w:hAnsi="Times New Roman" w:cs="Times New Roman"/>
          <w:lang w:val="ro-MD"/>
        </w:rPr>
        <w:t xml:space="preserve"> </w:t>
      </w:r>
      <w:r w:rsidR="002D1819" w:rsidRPr="000508B6">
        <w:rPr>
          <w:rFonts w:ascii="Times New Roman" w:hAnsi="Times New Roman" w:cs="Times New Roman"/>
          <w:lang w:val="ro-MD"/>
        </w:rPr>
        <w:t>minimizare</w:t>
      </w:r>
      <w:r w:rsidR="001B6BBB" w:rsidRPr="000508B6">
        <w:rPr>
          <w:rFonts w:ascii="Times New Roman" w:hAnsi="Times New Roman" w:cs="Times New Roman"/>
          <w:lang w:val="ro-MD"/>
        </w:rPr>
        <w:t xml:space="preserve"> a riscurilor pe care îl au viitoarele beneficii discreționare nu depășește suma rezervelor tehnice și a impozitelor amânate aferente respectivelor beneficii discreționare viitoare</w:t>
      </w:r>
      <w:r w:rsidR="00480CBB" w:rsidRPr="000508B6">
        <w:rPr>
          <w:rFonts w:ascii="Times New Roman" w:hAnsi="Times New Roman" w:cs="Times New Roman"/>
          <w:lang w:val="ro-MD"/>
        </w:rPr>
        <w:t>.</w:t>
      </w:r>
      <w:r w:rsidR="00CF2EE2" w:rsidRPr="000508B6">
        <w:rPr>
          <w:rFonts w:ascii="Times New Roman" w:hAnsi="Times New Roman" w:cs="Times New Roman"/>
          <w:lang w:val="ro-MD"/>
        </w:rPr>
        <w:t xml:space="preserve"> </w:t>
      </w:r>
    </w:p>
    <w:p w14:paraId="4F56D6E4" w14:textId="1BA0DE24" w:rsidR="00F95829" w:rsidRPr="000508B6" w:rsidRDefault="00F95829" w:rsidP="0006568A">
      <w:pPr>
        <w:pStyle w:val="Listparagraf"/>
        <w:numPr>
          <w:ilvl w:val="1"/>
          <w:numId w:val="16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alin. (</w:t>
      </w:r>
      <w:r w:rsidR="002D1819" w:rsidRPr="000508B6">
        <w:rPr>
          <w:rFonts w:ascii="Times New Roman" w:hAnsi="Times New Roman" w:cs="Times New Roman"/>
          <w:lang w:val="ro-MD"/>
        </w:rPr>
        <w:t>2</w:t>
      </w:r>
      <w:r w:rsidRPr="000508B6">
        <w:rPr>
          <w:rFonts w:ascii="Times New Roman" w:hAnsi="Times New Roman" w:cs="Times New Roman"/>
          <w:lang w:val="ro-MD"/>
        </w:rPr>
        <w:t xml:space="preserve">), valoarea beneficiilor </w:t>
      </w:r>
      <w:proofErr w:type="spellStart"/>
      <w:r w:rsidRPr="000508B6">
        <w:rPr>
          <w:rFonts w:ascii="Times New Roman" w:hAnsi="Times New Roman" w:cs="Times New Roman"/>
          <w:lang w:val="ro-MD"/>
        </w:rPr>
        <w:t>discreţionare</w:t>
      </w:r>
      <w:proofErr w:type="spellEnd"/>
      <w:r w:rsidRPr="000508B6">
        <w:rPr>
          <w:rFonts w:ascii="Times New Roman" w:hAnsi="Times New Roman" w:cs="Times New Roman"/>
          <w:lang w:val="ro-MD"/>
        </w:rPr>
        <w:t xml:space="preserve"> viitoare, în </w:t>
      </w:r>
      <w:proofErr w:type="spellStart"/>
      <w:r w:rsidRPr="000508B6">
        <w:rPr>
          <w:rFonts w:ascii="Times New Roman" w:hAnsi="Times New Roman" w:cs="Times New Roman"/>
          <w:lang w:val="ro-MD"/>
        </w:rPr>
        <w:t>circumstanţe</w:t>
      </w:r>
      <w:proofErr w:type="spellEnd"/>
      <w:r w:rsidRPr="000508B6">
        <w:rPr>
          <w:rFonts w:ascii="Times New Roman" w:hAnsi="Times New Roman" w:cs="Times New Roman"/>
          <w:lang w:val="ro-MD"/>
        </w:rPr>
        <w:t xml:space="preserve"> nefavorabile, se compară cu valoarea </w:t>
      </w:r>
      <w:proofErr w:type="spellStart"/>
      <w:r w:rsidRPr="000508B6">
        <w:rPr>
          <w:rFonts w:ascii="Times New Roman" w:hAnsi="Times New Roman" w:cs="Times New Roman"/>
          <w:lang w:val="ro-MD"/>
        </w:rPr>
        <w:t>aceloraşi</w:t>
      </w:r>
      <w:proofErr w:type="spellEnd"/>
      <w:r w:rsidRPr="000508B6">
        <w:rPr>
          <w:rFonts w:ascii="Times New Roman" w:hAnsi="Times New Roman" w:cs="Times New Roman"/>
          <w:lang w:val="ro-MD"/>
        </w:rPr>
        <w:t xml:space="preserve"> beneficii conform ipotezelor pe baza cărora se calculează cea mai bună estimare. </w:t>
      </w:r>
    </w:p>
    <w:p w14:paraId="517EBFD2"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4D6CAE76" w14:textId="0576DDCE" w:rsidR="0050747E" w:rsidRPr="000508B6" w:rsidRDefault="00F95829" w:rsidP="0050747E">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73</w:t>
      </w:r>
      <w:r w:rsidRPr="000508B6">
        <w:rPr>
          <w:rFonts w:ascii="Times New Roman" w:hAnsi="Times New Roman" w:cs="Times New Roman"/>
          <w:b/>
          <w:lang w:val="ro-MD"/>
        </w:rPr>
        <w:t>.</w:t>
      </w:r>
      <w:r w:rsidRPr="000508B6">
        <w:rPr>
          <w:rFonts w:ascii="Times New Roman" w:hAnsi="Times New Roman" w:cs="Times New Roman"/>
          <w:lang w:val="ro-MD"/>
        </w:rPr>
        <w:t xml:space="preserve"> Simplificările formulei standard </w:t>
      </w:r>
    </w:p>
    <w:p w14:paraId="216C2A7A" w14:textId="16D7BEDD" w:rsidR="00DF6D88" w:rsidRPr="000508B6" w:rsidRDefault="00D068AA" w:rsidP="00CF5AFA">
      <w:pPr>
        <w:pStyle w:val="Listparagraf"/>
        <w:numPr>
          <w:ilvl w:val="0"/>
          <w:numId w:val="39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DF6D88" w:rsidRPr="000508B6">
        <w:rPr>
          <w:rFonts w:ascii="Times New Roman" w:hAnsi="Times New Roman" w:cs="Times New Roman"/>
          <w:lang w:val="ro-MD"/>
        </w:rPr>
        <w:t xml:space="preserve"> po</w:t>
      </w:r>
      <w:r w:rsidR="00C95F53" w:rsidRPr="000508B6">
        <w:rPr>
          <w:rFonts w:ascii="Times New Roman" w:hAnsi="Times New Roman" w:cs="Times New Roman"/>
          <w:lang w:val="ro-MD"/>
        </w:rPr>
        <w:t>a</w:t>
      </w:r>
      <w:r w:rsidR="00DF6D88" w:rsidRPr="000508B6">
        <w:rPr>
          <w:rFonts w:ascii="Times New Roman" w:hAnsi="Times New Roman" w:cs="Times New Roman"/>
          <w:lang w:val="ro-MD"/>
        </w:rPr>
        <w:t>t</w:t>
      </w:r>
      <w:r w:rsidR="00C95F53" w:rsidRPr="000508B6">
        <w:rPr>
          <w:rFonts w:ascii="Times New Roman" w:hAnsi="Times New Roman" w:cs="Times New Roman"/>
          <w:lang w:val="ro-MD"/>
        </w:rPr>
        <w:t>e</w:t>
      </w:r>
      <w:r w:rsidR="00DF6D88" w:rsidRPr="000508B6">
        <w:rPr>
          <w:rFonts w:ascii="Times New Roman" w:hAnsi="Times New Roman" w:cs="Times New Roman"/>
          <w:lang w:val="ro-MD"/>
        </w:rPr>
        <w:t xml:space="preserve"> efectua un calcul simplificat pentru un modul sau un </w:t>
      </w:r>
      <w:proofErr w:type="spellStart"/>
      <w:r w:rsidR="00DF6D88" w:rsidRPr="000508B6">
        <w:rPr>
          <w:rFonts w:ascii="Times New Roman" w:hAnsi="Times New Roman" w:cs="Times New Roman"/>
          <w:lang w:val="ro-MD"/>
        </w:rPr>
        <w:t>submodul</w:t>
      </w:r>
      <w:proofErr w:type="spellEnd"/>
      <w:r w:rsidR="00DF6D88" w:rsidRPr="000508B6">
        <w:rPr>
          <w:rFonts w:ascii="Times New Roman" w:hAnsi="Times New Roman" w:cs="Times New Roman"/>
          <w:lang w:val="ro-MD"/>
        </w:rPr>
        <w:t xml:space="preserve"> de risc specific în cazul în care sunt îndeplinite următoare</w:t>
      </w:r>
      <w:r w:rsidR="008F56B6" w:rsidRPr="000508B6">
        <w:rPr>
          <w:rFonts w:ascii="Times New Roman" w:hAnsi="Times New Roman" w:cs="Times New Roman"/>
          <w:lang w:val="ro-MD"/>
        </w:rPr>
        <w:t>le condiții</w:t>
      </w:r>
      <w:r w:rsidR="00DF6D88" w:rsidRPr="000508B6">
        <w:rPr>
          <w:rFonts w:ascii="Times New Roman" w:hAnsi="Times New Roman" w:cs="Times New Roman"/>
          <w:lang w:val="ro-MD"/>
        </w:rPr>
        <w:t>:</w:t>
      </w:r>
    </w:p>
    <w:p w14:paraId="7C6E4C8B" w14:textId="66E26C03" w:rsidR="0050747E" w:rsidRPr="000508B6" w:rsidRDefault="0050747E" w:rsidP="001E41A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 natura, amploarea și complexitatea riscurilor cu care se confruntă justifică utilizarea unui calcul simplificat;</w:t>
      </w:r>
    </w:p>
    <w:p w14:paraId="40CEE163" w14:textId="17569BD0" w:rsidR="00DF6D88" w:rsidRPr="000508B6" w:rsidRDefault="00DF6D88" w:rsidP="001E41A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b)</w:t>
      </w:r>
      <w:r w:rsidR="00C95F53" w:rsidRPr="000508B6">
        <w:rPr>
          <w:rFonts w:ascii="Times New Roman" w:hAnsi="Times New Roman" w:cs="Times New Roman"/>
          <w:lang w:val="ro-MD"/>
        </w:rPr>
        <w:t xml:space="preserve"> </w:t>
      </w:r>
      <w:r w:rsidR="0034178A" w:rsidRPr="000508B6">
        <w:rPr>
          <w:rFonts w:ascii="Times New Roman" w:hAnsi="Times New Roman" w:cs="Times New Roman"/>
          <w:lang w:val="ro-MD"/>
        </w:rPr>
        <w:t>este</w:t>
      </w:r>
      <w:r w:rsidRPr="000508B6">
        <w:rPr>
          <w:rFonts w:ascii="Times New Roman" w:hAnsi="Times New Roman" w:cs="Times New Roman"/>
          <w:lang w:val="ro-MD"/>
        </w:rPr>
        <w:t xml:space="preserve"> disproporționat să se solicite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să aplice calculul standardizat;</w:t>
      </w:r>
    </w:p>
    <w:p w14:paraId="213D50B0" w14:textId="70A4438A" w:rsidR="00DF6D88" w:rsidRPr="000508B6" w:rsidRDefault="00DF6D88" w:rsidP="001E41A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c)</w:t>
      </w:r>
      <w:r w:rsidR="00C95F53" w:rsidRPr="000508B6">
        <w:rPr>
          <w:rFonts w:ascii="Times New Roman" w:hAnsi="Times New Roman" w:cs="Times New Roman"/>
          <w:lang w:val="ro-MD"/>
        </w:rPr>
        <w:t xml:space="preserve"> </w:t>
      </w:r>
      <w:r w:rsidRPr="000508B6">
        <w:rPr>
          <w:rFonts w:ascii="Times New Roman" w:hAnsi="Times New Roman" w:cs="Times New Roman"/>
          <w:lang w:val="ro-MD"/>
        </w:rPr>
        <w:t>eroarea</w:t>
      </w:r>
      <w:r w:rsidR="0034178A" w:rsidRPr="000508B6">
        <w:rPr>
          <w:rFonts w:ascii="Times New Roman" w:hAnsi="Times New Roman" w:cs="Times New Roman"/>
          <w:lang w:val="ro-MD"/>
        </w:rPr>
        <w:t xml:space="preserve"> înregistrată în comparație cu rezultatul  calculului </w:t>
      </w:r>
      <w:r w:rsidRPr="000508B6">
        <w:rPr>
          <w:rFonts w:ascii="Times New Roman" w:hAnsi="Times New Roman" w:cs="Times New Roman"/>
          <w:lang w:val="ro-MD"/>
        </w:rPr>
        <w:t xml:space="preserve"> standardizat nu conduce la o denaturare semnificativă a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cu excepția cazurilor în care calculul simplificat conduce la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care depășește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rezultată din calculul standardizat.</w:t>
      </w:r>
    </w:p>
    <w:p w14:paraId="21471872" w14:textId="339764A3" w:rsidR="00DF6D88" w:rsidRPr="000508B6" w:rsidRDefault="00594693" w:rsidP="00CF5AFA">
      <w:pPr>
        <w:pStyle w:val="Listparagraf"/>
        <w:numPr>
          <w:ilvl w:val="0"/>
          <w:numId w:val="39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Prin derogare de la alin. (1)</w:t>
      </w:r>
      <w:r w:rsidR="00DF6D88"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DF6D88" w:rsidRPr="000508B6">
        <w:rPr>
          <w:rFonts w:ascii="Times New Roman" w:hAnsi="Times New Roman" w:cs="Times New Roman"/>
          <w:lang w:val="ro-MD"/>
        </w:rPr>
        <w:t>mi</w:t>
      </w:r>
      <w:r w:rsidRPr="000508B6">
        <w:rPr>
          <w:rFonts w:ascii="Times New Roman" w:hAnsi="Times New Roman" w:cs="Times New Roman"/>
          <w:lang w:val="ro-MD"/>
        </w:rPr>
        <w:t>c</w:t>
      </w:r>
      <w:r w:rsidR="00DF6D88" w:rsidRPr="000508B6">
        <w:rPr>
          <w:rFonts w:ascii="Times New Roman" w:hAnsi="Times New Roman" w:cs="Times New Roman"/>
          <w:lang w:val="ro-MD"/>
        </w:rPr>
        <w:t xml:space="preserve"> și cu un grad redus de complexitate po</w:t>
      </w:r>
      <w:r w:rsidRPr="000508B6">
        <w:rPr>
          <w:rFonts w:ascii="Times New Roman" w:hAnsi="Times New Roman" w:cs="Times New Roman"/>
          <w:lang w:val="ro-MD"/>
        </w:rPr>
        <w:t>a</w:t>
      </w:r>
      <w:r w:rsidR="00DF6D88" w:rsidRPr="000508B6">
        <w:rPr>
          <w:rFonts w:ascii="Times New Roman" w:hAnsi="Times New Roman" w:cs="Times New Roman"/>
          <w:lang w:val="ro-MD"/>
        </w:rPr>
        <w:t>t</w:t>
      </w:r>
      <w:r w:rsidRPr="000508B6">
        <w:rPr>
          <w:rFonts w:ascii="Times New Roman" w:hAnsi="Times New Roman" w:cs="Times New Roman"/>
          <w:lang w:val="ro-MD"/>
        </w:rPr>
        <w:t>e</w:t>
      </w:r>
      <w:r w:rsidR="00DF6D88" w:rsidRPr="000508B6">
        <w:rPr>
          <w:rFonts w:ascii="Times New Roman" w:hAnsi="Times New Roman" w:cs="Times New Roman"/>
          <w:lang w:val="ro-MD"/>
        </w:rPr>
        <w:t xml:space="preserve"> utiliza un calcul simplificat pentru un modul sau un </w:t>
      </w:r>
      <w:proofErr w:type="spellStart"/>
      <w:r w:rsidR="00DF6D88" w:rsidRPr="000508B6">
        <w:rPr>
          <w:rFonts w:ascii="Times New Roman" w:hAnsi="Times New Roman" w:cs="Times New Roman"/>
          <w:lang w:val="ro-MD"/>
        </w:rPr>
        <w:t>submodul</w:t>
      </w:r>
      <w:proofErr w:type="spellEnd"/>
      <w:r w:rsidR="00DF6D88" w:rsidRPr="000508B6">
        <w:rPr>
          <w:rFonts w:ascii="Times New Roman" w:hAnsi="Times New Roman" w:cs="Times New Roman"/>
          <w:lang w:val="ro-MD"/>
        </w:rPr>
        <w:t xml:space="preserve"> de risc specific, în cazul în care po</w:t>
      </w:r>
      <w:r w:rsidR="004619A8" w:rsidRPr="000508B6">
        <w:rPr>
          <w:rFonts w:ascii="Times New Roman" w:hAnsi="Times New Roman" w:cs="Times New Roman"/>
          <w:lang w:val="ro-MD"/>
        </w:rPr>
        <w:t>a</w:t>
      </w:r>
      <w:r w:rsidR="00DF6D88" w:rsidRPr="000508B6">
        <w:rPr>
          <w:rFonts w:ascii="Times New Roman" w:hAnsi="Times New Roman" w:cs="Times New Roman"/>
          <w:lang w:val="ro-MD"/>
        </w:rPr>
        <w:t>t</w:t>
      </w:r>
      <w:r w:rsidR="004619A8" w:rsidRPr="000508B6">
        <w:rPr>
          <w:rFonts w:ascii="Times New Roman" w:hAnsi="Times New Roman" w:cs="Times New Roman"/>
          <w:lang w:val="ro-MD"/>
        </w:rPr>
        <w:t>e</w:t>
      </w:r>
      <w:r w:rsidR="00DF6D88" w:rsidRPr="000508B6">
        <w:rPr>
          <w:rFonts w:ascii="Times New Roman" w:hAnsi="Times New Roman" w:cs="Times New Roman"/>
          <w:lang w:val="ro-MD"/>
        </w:rPr>
        <w:t xml:space="preserve"> demonstra într-un mod considerat convingător de </w:t>
      </w:r>
      <w:r w:rsidR="002F2101" w:rsidRPr="000508B6">
        <w:rPr>
          <w:rFonts w:ascii="Times New Roman" w:hAnsi="Times New Roman" w:cs="Times New Roman"/>
          <w:lang w:val="ro-MD"/>
        </w:rPr>
        <w:t xml:space="preserve">către </w:t>
      </w:r>
      <w:r w:rsidRPr="000508B6">
        <w:rPr>
          <w:rFonts w:ascii="Times New Roman" w:hAnsi="Times New Roman" w:cs="Times New Roman"/>
          <w:lang w:val="ro-MD"/>
        </w:rPr>
        <w:t>Banca Națională a Moldovei</w:t>
      </w:r>
      <w:r w:rsidR="00DF6D88" w:rsidRPr="000508B6">
        <w:rPr>
          <w:rFonts w:ascii="Times New Roman" w:hAnsi="Times New Roman" w:cs="Times New Roman"/>
          <w:lang w:val="ro-MD"/>
        </w:rPr>
        <w:t xml:space="preserve"> și</w:t>
      </w:r>
      <w:r w:rsidR="00A032FB" w:rsidRPr="000508B6">
        <w:rPr>
          <w:rFonts w:ascii="Times New Roman" w:hAnsi="Times New Roman" w:cs="Times New Roman"/>
          <w:lang w:val="ro-MD"/>
        </w:rPr>
        <w:t>,</w:t>
      </w:r>
      <w:r w:rsidR="00DF6D88" w:rsidRPr="000508B6">
        <w:rPr>
          <w:rFonts w:ascii="Times New Roman" w:hAnsi="Times New Roman" w:cs="Times New Roman"/>
          <w:lang w:val="ro-MD"/>
        </w:rPr>
        <w:t xml:space="preserve"> cel puțin odată la </w:t>
      </w:r>
      <w:r w:rsidR="00FC70DA" w:rsidRPr="000508B6">
        <w:rPr>
          <w:rFonts w:ascii="Times New Roman" w:hAnsi="Times New Roman" w:cs="Times New Roman"/>
          <w:lang w:val="ro-MD"/>
        </w:rPr>
        <w:t>5</w:t>
      </w:r>
      <w:r w:rsidR="00DF6D88" w:rsidRPr="000508B6">
        <w:rPr>
          <w:rFonts w:ascii="Times New Roman" w:hAnsi="Times New Roman" w:cs="Times New Roman"/>
          <w:lang w:val="ro-MD"/>
        </w:rPr>
        <w:t xml:space="preserve"> ani</w:t>
      </w:r>
      <w:r w:rsidR="00A032FB" w:rsidRPr="000508B6">
        <w:rPr>
          <w:rFonts w:ascii="Times New Roman" w:hAnsi="Times New Roman" w:cs="Times New Roman"/>
          <w:lang w:val="ro-MD"/>
        </w:rPr>
        <w:t>,</w:t>
      </w:r>
      <w:r w:rsidR="00DF6D88" w:rsidRPr="000508B6">
        <w:rPr>
          <w:rFonts w:ascii="Times New Roman" w:hAnsi="Times New Roman" w:cs="Times New Roman"/>
          <w:lang w:val="ro-MD"/>
        </w:rPr>
        <w:t xml:space="preserve"> că sunt îndeplinite următoarele condiții:</w:t>
      </w:r>
    </w:p>
    <w:p w14:paraId="28B01E87" w14:textId="5B89FC25" w:rsidR="00DF6D88" w:rsidRPr="000508B6" w:rsidRDefault="00DF6D88" w:rsidP="001E41A7">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w:t>
      </w:r>
      <w:r w:rsidR="00594693" w:rsidRPr="000508B6">
        <w:rPr>
          <w:rFonts w:ascii="Times New Roman" w:hAnsi="Times New Roman" w:cs="Times New Roman"/>
          <w:lang w:val="ro-MD"/>
        </w:rPr>
        <w:t xml:space="preserve"> </w:t>
      </w:r>
      <w:r w:rsidRPr="000508B6">
        <w:rPr>
          <w:rFonts w:ascii="Times New Roman" w:hAnsi="Times New Roman" w:cs="Times New Roman"/>
          <w:lang w:val="ro-MD"/>
        </w:rPr>
        <w:t xml:space="preserve">fiecare modul sau </w:t>
      </w:r>
      <w:proofErr w:type="spellStart"/>
      <w:r w:rsidRPr="000508B6">
        <w:rPr>
          <w:rFonts w:ascii="Times New Roman" w:hAnsi="Times New Roman" w:cs="Times New Roman"/>
          <w:lang w:val="ro-MD"/>
        </w:rPr>
        <w:t>submodul</w:t>
      </w:r>
      <w:proofErr w:type="spellEnd"/>
      <w:r w:rsidRPr="000508B6">
        <w:rPr>
          <w:rFonts w:ascii="Times New Roman" w:hAnsi="Times New Roman" w:cs="Times New Roman"/>
          <w:lang w:val="ro-MD"/>
        </w:rPr>
        <w:t xml:space="preserve"> de risc individual pentru care se intenționează utilizarea unui calcul simplificat reprezintă, fără aplicarea simplificării, mai puțin de 2 % din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de bază;</w:t>
      </w:r>
    </w:p>
    <w:p w14:paraId="75088559" w14:textId="579B0044" w:rsidR="00DF6D88" w:rsidRPr="000508B6" w:rsidRDefault="00DF6D88" w:rsidP="0006568A">
      <w:pPr>
        <w:tabs>
          <w:tab w:val="left" w:pos="567"/>
          <w:tab w:val="left" w:pos="709"/>
          <w:tab w:val="left" w:pos="851"/>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b)</w:t>
      </w:r>
      <w:r w:rsidR="00594693" w:rsidRPr="000508B6">
        <w:rPr>
          <w:rFonts w:ascii="Times New Roman" w:hAnsi="Times New Roman" w:cs="Times New Roman"/>
          <w:lang w:val="ro-MD"/>
        </w:rPr>
        <w:t xml:space="preserve"> </w:t>
      </w:r>
      <w:r w:rsidRPr="000508B6">
        <w:rPr>
          <w:rFonts w:ascii="Times New Roman" w:hAnsi="Times New Roman" w:cs="Times New Roman"/>
          <w:lang w:val="ro-MD"/>
        </w:rPr>
        <w:t xml:space="preserve">suma tuturor modulelor de risc sau </w:t>
      </w:r>
      <w:proofErr w:type="spellStart"/>
      <w:r w:rsidRPr="000508B6">
        <w:rPr>
          <w:rFonts w:ascii="Times New Roman" w:hAnsi="Times New Roman" w:cs="Times New Roman"/>
          <w:lang w:val="ro-MD"/>
        </w:rPr>
        <w:t>submodulelor</w:t>
      </w:r>
      <w:proofErr w:type="spellEnd"/>
      <w:r w:rsidRPr="000508B6">
        <w:rPr>
          <w:rFonts w:ascii="Times New Roman" w:hAnsi="Times New Roman" w:cs="Times New Roman"/>
          <w:lang w:val="ro-MD"/>
        </w:rPr>
        <w:t xml:space="preserve"> de risc pentru care se intenționează utilizarea unui calcul simplificat reprezintă, fără aplicarea simplificării, mai puțin de 10 % din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de bază.</w:t>
      </w:r>
    </w:p>
    <w:p w14:paraId="62F09793" w14:textId="0BBDA832" w:rsidR="00DF6D88" w:rsidRPr="000508B6" w:rsidRDefault="00DF6D88" w:rsidP="00CF5AFA">
      <w:pPr>
        <w:pStyle w:val="Listparagraf"/>
        <w:numPr>
          <w:ilvl w:val="0"/>
          <w:numId w:val="39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În sensul alin</w:t>
      </w:r>
      <w:r w:rsidR="00594693" w:rsidRPr="000508B6">
        <w:rPr>
          <w:rFonts w:ascii="Times New Roman" w:hAnsi="Times New Roman" w:cs="Times New Roman"/>
          <w:lang w:val="ro-MD"/>
        </w:rPr>
        <w:t xml:space="preserve">. </w:t>
      </w:r>
      <w:r w:rsidR="0013243B" w:rsidRPr="000508B6">
        <w:rPr>
          <w:rFonts w:ascii="Times New Roman" w:hAnsi="Times New Roman" w:cs="Times New Roman"/>
          <w:lang w:val="ro-MD"/>
        </w:rPr>
        <w:t>(1) și</w:t>
      </w:r>
      <w:r w:rsidR="00594693" w:rsidRPr="000508B6">
        <w:rPr>
          <w:rFonts w:ascii="Times New Roman" w:hAnsi="Times New Roman" w:cs="Times New Roman"/>
          <w:lang w:val="ro-MD"/>
        </w:rPr>
        <w:t xml:space="preserve"> </w:t>
      </w:r>
      <w:r w:rsidR="00AC5E19" w:rsidRPr="000508B6">
        <w:rPr>
          <w:rFonts w:ascii="Times New Roman" w:hAnsi="Times New Roman" w:cs="Times New Roman"/>
          <w:lang w:val="ro-MD"/>
        </w:rPr>
        <w:t xml:space="preserve">alin. </w:t>
      </w:r>
      <w:r w:rsidR="00594693" w:rsidRPr="000508B6">
        <w:rPr>
          <w:rFonts w:ascii="Times New Roman" w:hAnsi="Times New Roman" w:cs="Times New Roman"/>
          <w:lang w:val="ro-MD"/>
        </w:rPr>
        <w:t>(2)</w:t>
      </w:r>
      <w:r w:rsidRPr="000508B6">
        <w:rPr>
          <w:rFonts w:ascii="Times New Roman" w:hAnsi="Times New Roman" w:cs="Times New Roman"/>
          <w:lang w:val="ro-MD"/>
        </w:rPr>
        <w:t>, calculele simplificate se calibrează în conformitate cu art</w:t>
      </w:r>
      <w:r w:rsidR="00790814" w:rsidRPr="000508B6">
        <w:rPr>
          <w:rFonts w:ascii="Times New Roman" w:hAnsi="Times New Roman" w:cs="Times New Roman"/>
          <w:lang w:val="ro-MD"/>
        </w:rPr>
        <w:t>.</w:t>
      </w:r>
      <w:r w:rsidRPr="000508B6">
        <w:rPr>
          <w:rFonts w:ascii="Times New Roman" w:hAnsi="Times New Roman" w:cs="Times New Roman"/>
          <w:lang w:val="ro-MD"/>
        </w:rPr>
        <w:t xml:space="preserve"> </w:t>
      </w:r>
      <w:r w:rsidR="002F2101" w:rsidRPr="000508B6">
        <w:rPr>
          <w:rFonts w:ascii="Times New Roman" w:hAnsi="Times New Roman" w:cs="Times New Roman"/>
          <w:lang w:val="ro-MD"/>
        </w:rPr>
        <w:t>64</w:t>
      </w:r>
      <w:r w:rsidRPr="000508B6">
        <w:rPr>
          <w:rFonts w:ascii="Times New Roman" w:hAnsi="Times New Roman" w:cs="Times New Roman"/>
          <w:lang w:val="ro-MD"/>
        </w:rPr>
        <w:t xml:space="preserve"> alin</w:t>
      </w:r>
      <w:r w:rsidR="00594693" w:rsidRPr="000508B6">
        <w:rPr>
          <w:rFonts w:ascii="Times New Roman" w:hAnsi="Times New Roman" w:cs="Times New Roman"/>
          <w:lang w:val="ro-MD"/>
        </w:rPr>
        <w:t>.</w:t>
      </w:r>
      <w:r w:rsidRPr="000508B6">
        <w:rPr>
          <w:rFonts w:ascii="Times New Roman" w:hAnsi="Times New Roman" w:cs="Times New Roman"/>
          <w:lang w:val="ro-MD"/>
        </w:rPr>
        <w:t xml:space="preserve"> (3).</w:t>
      </w:r>
    </w:p>
    <w:p w14:paraId="1C1EE179" w14:textId="601F9EB3" w:rsidR="00DF6D88" w:rsidRPr="000508B6" w:rsidRDefault="00DF6D88" w:rsidP="00CF5AFA">
      <w:pPr>
        <w:pStyle w:val="Listparagraf"/>
        <w:numPr>
          <w:ilvl w:val="0"/>
          <w:numId w:val="39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Fără a aduce atingere alin</w:t>
      </w:r>
      <w:r w:rsidR="00594693" w:rsidRPr="000508B6">
        <w:rPr>
          <w:rFonts w:ascii="Times New Roman" w:hAnsi="Times New Roman" w:cs="Times New Roman"/>
          <w:lang w:val="ro-MD"/>
        </w:rPr>
        <w:t>.</w:t>
      </w:r>
      <w:r w:rsidRPr="000508B6">
        <w:rPr>
          <w:rFonts w:ascii="Times New Roman" w:hAnsi="Times New Roman" w:cs="Times New Roman"/>
          <w:lang w:val="ro-MD"/>
        </w:rPr>
        <w:t xml:space="preserve"> (1)</w:t>
      </w:r>
      <w:r w:rsidR="00AC5E19" w:rsidRPr="000508B6">
        <w:rPr>
          <w:rFonts w:ascii="Times New Roman" w:hAnsi="Times New Roman" w:cs="Times New Roman"/>
          <w:lang w:val="ro-MD"/>
        </w:rPr>
        <w:t xml:space="preserve"> și alin. (2</w:t>
      </w:r>
      <w:r w:rsidRPr="000508B6">
        <w:rPr>
          <w:rFonts w:ascii="Times New Roman" w:hAnsi="Times New Roman" w:cs="Times New Roman"/>
          <w:lang w:val="ro-MD"/>
        </w:rPr>
        <w:t>) și art</w:t>
      </w:r>
      <w:r w:rsidR="00594693" w:rsidRPr="000508B6">
        <w:rPr>
          <w:rFonts w:ascii="Times New Roman" w:hAnsi="Times New Roman" w:cs="Times New Roman"/>
          <w:lang w:val="ro-MD"/>
        </w:rPr>
        <w:t>.</w:t>
      </w:r>
      <w:r w:rsidRPr="000508B6">
        <w:rPr>
          <w:rFonts w:ascii="Times New Roman" w:hAnsi="Times New Roman" w:cs="Times New Roman"/>
          <w:lang w:val="ro-MD"/>
        </w:rPr>
        <w:t xml:space="preserve"> </w:t>
      </w:r>
      <w:r w:rsidR="00580E33" w:rsidRPr="000508B6">
        <w:rPr>
          <w:rFonts w:ascii="Times New Roman" w:hAnsi="Times New Roman" w:cs="Times New Roman"/>
          <w:lang w:val="ro-MD"/>
        </w:rPr>
        <w:t>65</w:t>
      </w:r>
      <w:r w:rsidRPr="000508B6">
        <w:rPr>
          <w:rFonts w:ascii="Times New Roman" w:hAnsi="Times New Roman" w:cs="Times New Roman"/>
          <w:lang w:val="ro-MD"/>
        </w:rPr>
        <w:t xml:space="preserve"> alin</w:t>
      </w:r>
      <w:r w:rsidR="00594693" w:rsidRPr="000508B6">
        <w:rPr>
          <w:rFonts w:ascii="Times New Roman" w:hAnsi="Times New Roman" w:cs="Times New Roman"/>
          <w:lang w:val="ro-MD"/>
        </w:rPr>
        <w:t>.</w:t>
      </w:r>
      <w:r w:rsidRPr="000508B6">
        <w:rPr>
          <w:rFonts w:ascii="Times New Roman" w:hAnsi="Times New Roman" w:cs="Times New Roman"/>
          <w:lang w:val="ro-MD"/>
        </w:rPr>
        <w:t xml:space="preserve"> (1), în cazul în care </w:t>
      </w:r>
      <w:r w:rsidR="000B629A" w:rsidRPr="000508B6">
        <w:rPr>
          <w:rFonts w:ascii="Times New Roman" w:hAnsi="Times New Roman" w:cs="Times New Roman"/>
          <w:lang w:val="ro-MD"/>
        </w:rPr>
        <w:t xml:space="preserve">un asigurător sau </w:t>
      </w:r>
      <w:proofErr w:type="spellStart"/>
      <w:r w:rsidR="000B629A" w:rsidRPr="000508B6">
        <w:rPr>
          <w:rFonts w:ascii="Times New Roman" w:hAnsi="Times New Roman" w:cs="Times New Roman"/>
          <w:lang w:val="ro-MD"/>
        </w:rPr>
        <w:t>reasigurător</w:t>
      </w:r>
      <w:proofErr w:type="spellEnd"/>
      <w:r w:rsidR="00594693" w:rsidRPr="000508B6">
        <w:rPr>
          <w:rFonts w:ascii="Times New Roman" w:hAnsi="Times New Roman" w:cs="Times New Roman"/>
          <w:lang w:val="ro-MD"/>
        </w:rPr>
        <w:t xml:space="preserve"> </w:t>
      </w:r>
      <w:r w:rsidRPr="000508B6">
        <w:rPr>
          <w:rFonts w:ascii="Times New Roman" w:hAnsi="Times New Roman" w:cs="Times New Roman"/>
          <w:lang w:val="ro-MD"/>
        </w:rPr>
        <w:t xml:space="preserve">calculează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iar un modul sau un </w:t>
      </w:r>
      <w:proofErr w:type="spellStart"/>
      <w:r w:rsidRPr="000508B6">
        <w:rPr>
          <w:rFonts w:ascii="Times New Roman" w:hAnsi="Times New Roman" w:cs="Times New Roman"/>
          <w:lang w:val="ro-MD"/>
        </w:rPr>
        <w:t>submodul</w:t>
      </w:r>
      <w:proofErr w:type="spellEnd"/>
      <w:r w:rsidRPr="000508B6">
        <w:rPr>
          <w:rFonts w:ascii="Times New Roman" w:hAnsi="Times New Roman" w:cs="Times New Roman"/>
          <w:lang w:val="ro-MD"/>
        </w:rPr>
        <w:t xml:space="preserve"> de risc nu reprezintă </w:t>
      </w:r>
      <w:r w:rsidR="00AC5E19" w:rsidRPr="000508B6">
        <w:rPr>
          <w:rFonts w:ascii="Times New Roman" w:hAnsi="Times New Roman" w:cs="Times New Roman"/>
          <w:lang w:val="ro-MD"/>
        </w:rPr>
        <w:t>mai mult</w:t>
      </w:r>
      <w:r w:rsidRPr="000508B6">
        <w:rPr>
          <w:rFonts w:ascii="Times New Roman" w:hAnsi="Times New Roman" w:cs="Times New Roman"/>
          <w:lang w:val="ro-MD"/>
        </w:rPr>
        <w:t xml:space="preserve"> de 5 % din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de bază menționată la art</w:t>
      </w:r>
      <w:r w:rsidR="00604FBC" w:rsidRPr="000508B6">
        <w:rPr>
          <w:rFonts w:ascii="Times New Roman" w:hAnsi="Times New Roman" w:cs="Times New Roman"/>
          <w:lang w:val="ro-MD"/>
        </w:rPr>
        <w:t>.</w:t>
      </w:r>
      <w:r w:rsidRPr="000508B6">
        <w:rPr>
          <w:rFonts w:ascii="Times New Roman" w:hAnsi="Times New Roman" w:cs="Times New Roman"/>
          <w:lang w:val="ro-MD"/>
        </w:rPr>
        <w:t xml:space="preserve"> </w:t>
      </w:r>
      <w:r w:rsidR="00580E33" w:rsidRPr="000508B6">
        <w:rPr>
          <w:rFonts w:ascii="Times New Roman" w:hAnsi="Times New Roman" w:cs="Times New Roman"/>
          <w:lang w:val="ro-MD"/>
        </w:rPr>
        <w:t>66</w:t>
      </w:r>
      <w:r w:rsidRPr="000508B6">
        <w:rPr>
          <w:rFonts w:ascii="Times New Roman" w:hAnsi="Times New Roman" w:cs="Times New Roman"/>
          <w:lang w:val="ro-MD"/>
        </w:rPr>
        <w:t xml:space="preserve"> lit</w:t>
      </w:r>
      <w:r w:rsidR="00604FBC" w:rsidRPr="000508B6">
        <w:rPr>
          <w:rFonts w:ascii="Times New Roman" w:hAnsi="Times New Roman" w:cs="Times New Roman"/>
          <w:lang w:val="ro-MD"/>
        </w:rPr>
        <w:t>.</w:t>
      </w:r>
      <w:r w:rsidRPr="000508B6">
        <w:rPr>
          <w:rFonts w:ascii="Times New Roman" w:hAnsi="Times New Roman" w:cs="Times New Roman"/>
          <w:lang w:val="ro-MD"/>
        </w:rPr>
        <w:t xml:space="preserve"> a),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poate utiliza un calcul simplificat pentru modulul sau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de risc respectiv pe o perioadă de cel mult trei ani de la calculul respectiv al </w:t>
      </w:r>
      <w:r w:rsidR="00594693" w:rsidRPr="000508B6">
        <w:rPr>
          <w:rFonts w:ascii="Times New Roman" w:hAnsi="Times New Roman" w:cs="Times New Roman"/>
          <w:lang w:val="ro-MD"/>
        </w:rPr>
        <w:t>SCR</w:t>
      </w:r>
      <w:r w:rsidRPr="000508B6">
        <w:rPr>
          <w:rFonts w:ascii="Times New Roman" w:hAnsi="Times New Roman" w:cs="Times New Roman"/>
          <w:lang w:val="ro-MD"/>
        </w:rPr>
        <w:t>.</w:t>
      </w:r>
    </w:p>
    <w:p w14:paraId="4A9AA35B" w14:textId="3081491F" w:rsidR="00DF6D88" w:rsidRPr="000508B6" w:rsidRDefault="00DF6D88" w:rsidP="00CF5AFA">
      <w:pPr>
        <w:pStyle w:val="Listparagraf"/>
        <w:numPr>
          <w:ilvl w:val="0"/>
          <w:numId w:val="39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alin</w:t>
      </w:r>
      <w:r w:rsidR="00594693" w:rsidRPr="000508B6">
        <w:rPr>
          <w:rFonts w:ascii="Times New Roman" w:hAnsi="Times New Roman" w:cs="Times New Roman"/>
          <w:lang w:val="ro-MD"/>
        </w:rPr>
        <w:t>.</w:t>
      </w:r>
      <w:r w:rsidRPr="000508B6">
        <w:rPr>
          <w:rFonts w:ascii="Times New Roman" w:hAnsi="Times New Roman" w:cs="Times New Roman"/>
          <w:lang w:val="ro-MD"/>
        </w:rPr>
        <w:t xml:space="preserve"> (</w:t>
      </w:r>
      <w:r w:rsidR="00594693" w:rsidRPr="000508B6">
        <w:rPr>
          <w:rFonts w:ascii="Times New Roman" w:hAnsi="Times New Roman" w:cs="Times New Roman"/>
          <w:lang w:val="ro-MD"/>
        </w:rPr>
        <w:t>4</w:t>
      </w:r>
      <w:r w:rsidRPr="000508B6">
        <w:rPr>
          <w:rFonts w:ascii="Times New Roman" w:hAnsi="Times New Roman" w:cs="Times New Roman"/>
          <w:lang w:val="ro-MD"/>
        </w:rPr>
        <w:t xml:space="preserve">), suma cotelor, în raport cu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de bază, ale fiecărui modul sau </w:t>
      </w:r>
      <w:proofErr w:type="spellStart"/>
      <w:r w:rsidRPr="000508B6">
        <w:rPr>
          <w:rFonts w:ascii="Times New Roman" w:hAnsi="Times New Roman" w:cs="Times New Roman"/>
          <w:lang w:val="ro-MD"/>
        </w:rPr>
        <w:t>submodul</w:t>
      </w:r>
      <w:proofErr w:type="spellEnd"/>
      <w:r w:rsidRPr="000508B6">
        <w:rPr>
          <w:rFonts w:ascii="Times New Roman" w:hAnsi="Times New Roman" w:cs="Times New Roman"/>
          <w:lang w:val="ro-MD"/>
        </w:rPr>
        <w:t xml:space="preserve"> de risc în cazul căruia se aplică calcule simplificate nu depășește 10 %.</w:t>
      </w:r>
    </w:p>
    <w:p w14:paraId="3AD9DDC8" w14:textId="6ADF06CC" w:rsidR="0050747E" w:rsidRPr="000508B6" w:rsidRDefault="0050747E" w:rsidP="00CF5AFA">
      <w:pPr>
        <w:pStyle w:val="Listparagraf"/>
        <w:numPr>
          <w:ilvl w:val="0"/>
          <w:numId w:val="39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Cota unui modul sau </w:t>
      </w:r>
      <w:proofErr w:type="spellStart"/>
      <w:r w:rsidRPr="000508B6">
        <w:rPr>
          <w:rFonts w:ascii="Times New Roman" w:hAnsi="Times New Roman" w:cs="Times New Roman"/>
          <w:lang w:val="ro-MD"/>
        </w:rPr>
        <w:t>submodul</w:t>
      </w:r>
      <w:proofErr w:type="spellEnd"/>
      <w:r w:rsidRPr="000508B6">
        <w:rPr>
          <w:rFonts w:ascii="Times New Roman" w:hAnsi="Times New Roman" w:cs="Times New Roman"/>
          <w:lang w:val="ro-MD"/>
        </w:rPr>
        <w:t xml:space="preserve"> de risc în raport cu </w:t>
      </w:r>
      <w:r w:rsidR="00594693" w:rsidRPr="000508B6">
        <w:rPr>
          <w:rFonts w:ascii="Times New Roman" w:hAnsi="Times New Roman" w:cs="Times New Roman"/>
          <w:lang w:val="ro-MD"/>
        </w:rPr>
        <w:t>SCR</w:t>
      </w:r>
      <w:r w:rsidRPr="000508B6">
        <w:rPr>
          <w:rFonts w:ascii="Times New Roman" w:hAnsi="Times New Roman" w:cs="Times New Roman"/>
          <w:lang w:val="ro-MD"/>
        </w:rPr>
        <w:t xml:space="preserve"> de bază</w:t>
      </w:r>
      <w:r w:rsidR="00DF6D88" w:rsidRPr="000508B6">
        <w:rPr>
          <w:rFonts w:ascii="Times New Roman" w:hAnsi="Times New Roman" w:cs="Times New Roman"/>
          <w:lang w:val="ro-MD"/>
        </w:rPr>
        <w:t>,</w:t>
      </w:r>
      <w:r w:rsidRPr="000508B6">
        <w:rPr>
          <w:rFonts w:ascii="Times New Roman" w:hAnsi="Times New Roman" w:cs="Times New Roman"/>
          <w:lang w:val="ro-MD"/>
        </w:rPr>
        <w:t xml:space="preserve"> menționată la </w:t>
      </w:r>
      <w:r w:rsidR="00594693" w:rsidRPr="000508B6">
        <w:rPr>
          <w:rFonts w:ascii="Times New Roman" w:hAnsi="Times New Roman" w:cs="Times New Roman"/>
          <w:lang w:val="ro-MD"/>
        </w:rPr>
        <w:t>alin. (5)</w:t>
      </w:r>
      <w:r w:rsidR="00DF6D88" w:rsidRPr="000508B6">
        <w:rPr>
          <w:rFonts w:ascii="Times New Roman" w:hAnsi="Times New Roman" w:cs="Times New Roman"/>
          <w:lang w:val="ro-MD"/>
        </w:rPr>
        <w:t>,</w:t>
      </w:r>
      <w:r w:rsidRPr="000508B6">
        <w:rPr>
          <w:rFonts w:ascii="Times New Roman" w:hAnsi="Times New Roman" w:cs="Times New Roman"/>
          <w:lang w:val="ro-MD"/>
        </w:rPr>
        <w:t xml:space="preserve"> este </w:t>
      </w:r>
      <w:r w:rsidR="00DF6D88" w:rsidRPr="000508B6">
        <w:rPr>
          <w:rFonts w:ascii="Times New Roman" w:hAnsi="Times New Roman" w:cs="Times New Roman"/>
          <w:lang w:val="ro-MD"/>
        </w:rPr>
        <w:t>cota</w:t>
      </w:r>
      <w:r w:rsidRPr="000508B6">
        <w:rPr>
          <w:rFonts w:ascii="Times New Roman" w:hAnsi="Times New Roman" w:cs="Times New Roman"/>
          <w:lang w:val="ro-MD"/>
        </w:rPr>
        <w:t xml:space="preserve"> calculată ultima dată când modulul sau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de risc a fost calculat fără </w:t>
      </w:r>
      <w:r w:rsidR="00DF6D88" w:rsidRPr="000508B6">
        <w:rPr>
          <w:rFonts w:ascii="Times New Roman" w:hAnsi="Times New Roman" w:cs="Times New Roman"/>
          <w:lang w:val="ro-MD"/>
        </w:rPr>
        <w:t>un calcul simplificat în temeiul alin</w:t>
      </w:r>
      <w:r w:rsidR="009075EF" w:rsidRPr="000508B6">
        <w:rPr>
          <w:rFonts w:ascii="Times New Roman" w:hAnsi="Times New Roman" w:cs="Times New Roman"/>
          <w:lang w:val="ro-MD"/>
        </w:rPr>
        <w:t>.</w:t>
      </w:r>
      <w:r w:rsidR="00DF6D88" w:rsidRPr="000508B6">
        <w:rPr>
          <w:rFonts w:ascii="Times New Roman" w:hAnsi="Times New Roman" w:cs="Times New Roman"/>
          <w:lang w:val="ro-MD"/>
        </w:rPr>
        <w:t xml:space="preserve"> (</w:t>
      </w:r>
      <w:r w:rsidR="00594693" w:rsidRPr="000508B6">
        <w:rPr>
          <w:rFonts w:ascii="Times New Roman" w:hAnsi="Times New Roman" w:cs="Times New Roman"/>
          <w:lang w:val="ro-MD"/>
        </w:rPr>
        <w:t>4</w:t>
      </w:r>
      <w:r w:rsidR="00DF6D88" w:rsidRPr="000508B6">
        <w:rPr>
          <w:rFonts w:ascii="Times New Roman" w:hAnsi="Times New Roman" w:cs="Times New Roman"/>
          <w:lang w:val="ro-MD"/>
        </w:rPr>
        <w:t>)</w:t>
      </w:r>
      <w:r w:rsidR="00594693" w:rsidRPr="000508B6">
        <w:rPr>
          <w:rFonts w:ascii="Times New Roman" w:hAnsi="Times New Roman" w:cs="Times New Roman"/>
          <w:lang w:val="ro-MD"/>
        </w:rPr>
        <w:t>.</w:t>
      </w:r>
      <w:r w:rsidR="00DF6D88" w:rsidRPr="000508B6">
        <w:rPr>
          <w:rFonts w:ascii="Times New Roman" w:hAnsi="Times New Roman" w:cs="Times New Roman"/>
          <w:lang w:val="ro-MD"/>
        </w:rPr>
        <w:t xml:space="preserve"> </w:t>
      </w:r>
    </w:p>
    <w:p w14:paraId="6F59B93B"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60241148" w14:textId="5F8B63F1"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74</w:t>
      </w:r>
      <w:r w:rsidRPr="000508B6">
        <w:rPr>
          <w:rFonts w:ascii="Times New Roman" w:hAnsi="Times New Roman" w:cs="Times New Roman"/>
          <w:b/>
          <w:lang w:val="ro-MD"/>
        </w:rPr>
        <w:t>.</w:t>
      </w:r>
      <w:r w:rsidRPr="000508B6">
        <w:rPr>
          <w:rFonts w:ascii="Times New Roman" w:hAnsi="Times New Roman" w:cs="Times New Roman"/>
          <w:lang w:val="ro-MD"/>
        </w:rPr>
        <w:t xml:space="preserve"> </w:t>
      </w:r>
      <w:r w:rsidR="00063372" w:rsidRPr="000508B6">
        <w:rPr>
          <w:rFonts w:ascii="Times New Roman" w:hAnsi="Times New Roman" w:cs="Times New Roman"/>
          <w:lang w:val="ro-MD"/>
        </w:rPr>
        <w:t>Abateri semnificative de la ipotezele care stau la baza formulei standard de calcul</w:t>
      </w:r>
      <w:r w:rsidR="00063372" w:rsidRPr="000508B6" w:rsidDel="00063372">
        <w:rPr>
          <w:rFonts w:ascii="Times New Roman" w:hAnsi="Times New Roman" w:cs="Times New Roman"/>
          <w:lang w:val="ro-MD"/>
        </w:rPr>
        <w:t xml:space="preserve"> </w:t>
      </w:r>
      <w:r w:rsidR="00050391" w:rsidRPr="000508B6">
        <w:rPr>
          <w:rFonts w:ascii="Times New Roman" w:hAnsi="Times New Roman" w:cs="Times New Roman"/>
          <w:lang w:val="ro-MD"/>
        </w:rPr>
        <w:t xml:space="preserve"> </w:t>
      </w:r>
    </w:p>
    <w:p w14:paraId="5149FA67" w14:textId="5514FBCE" w:rsidR="007D174F" w:rsidRPr="000508B6" w:rsidRDefault="000B3D63" w:rsidP="00146024">
      <w:pPr>
        <w:spacing w:after="0" w:line="240" w:lineRule="auto"/>
        <w:ind w:firstLine="426"/>
        <w:jc w:val="both"/>
        <w:rPr>
          <w:rFonts w:ascii="Times New Roman" w:hAnsi="Times New Roman" w:cs="Times New Roman"/>
          <w:b/>
          <w:lang w:val="ro-MD"/>
        </w:rPr>
      </w:pPr>
      <w:r w:rsidRPr="000508B6">
        <w:rPr>
          <w:rFonts w:ascii="Times New Roman" w:hAnsi="Times New Roman" w:cs="Times New Roman"/>
          <w:lang w:val="ro-MD"/>
        </w:rPr>
        <w:t xml:space="preserve">În cazul în care calcularea SCR pe baza formulei standard prevăzute în </w:t>
      </w:r>
      <w:r w:rsidR="00AC7114" w:rsidRPr="000508B6">
        <w:rPr>
          <w:rFonts w:ascii="Times New Roman" w:hAnsi="Times New Roman" w:cs="Times New Roman"/>
          <w:lang w:val="ro-MD"/>
        </w:rPr>
        <w:t>prezenta</w:t>
      </w:r>
      <w:r w:rsidRPr="000508B6">
        <w:rPr>
          <w:rFonts w:ascii="Times New Roman" w:hAnsi="Times New Roman" w:cs="Times New Roman"/>
          <w:lang w:val="ro-MD"/>
        </w:rPr>
        <w:t xml:space="preserve"> subsecțiune este inadecvată, deoarece profilul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se abate semnificativ de la ipotezele care stau la baza formulei standard de calcul, </w:t>
      </w:r>
      <w:r w:rsidR="001311D4"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po</w:t>
      </w:r>
      <w:r w:rsidR="001311D4" w:rsidRPr="000508B6">
        <w:rPr>
          <w:rFonts w:ascii="Times New Roman" w:hAnsi="Times New Roman" w:cs="Times New Roman"/>
          <w:lang w:val="ro-MD"/>
        </w:rPr>
        <w:t>ate</w:t>
      </w:r>
      <w:r w:rsidRPr="000508B6">
        <w:rPr>
          <w:rFonts w:ascii="Times New Roman" w:hAnsi="Times New Roman" w:cs="Times New Roman"/>
          <w:lang w:val="ro-MD"/>
        </w:rPr>
        <w:t xml:space="preserve"> solicita </w:t>
      </w:r>
      <w:r w:rsidR="005F5492" w:rsidRPr="000508B6">
        <w:rPr>
          <w:rFonts w:ascii="Times New Roman" w:hAnsi="Times New Roman" w:cs="Times New Roman"/>
          <w:lang w:val="ro-MD"/>
        </w:rPr>
        <w:t>acestuia</w:t>
      </w:r>
      <w:r w:rsidRPr="000508B6">
        <w:rPr>
          <w:rFonts w:ascii="Times New Roman" w:hAnsi="Times New Roman" w:cs="Times New Roman"/>
          <w:lang w:val="ro-MD"/>
        </w:rPr>
        <w:t xml:space="preserve">, printr-o decizie motivată, să înlocuiască un subset de parametri din formula standard cu parametri specifici </w:t>
      </w:r>
      <w:r w:rsidR="005F5492" w:rsidRPr="000508B6">
        <w:rPr>
          <w:rFonts w:ascii="Times New Roman" w:hAnsi="Times New Roman" w:cs="Times New Roman"/>
          <w:lang w:val="ro-MD"/>
        </w:rPr>
        <w:t>-</w:t>
      </w:r>
      <w:r w:rsidRPr="000508B6">
        <w:rPr>
          <w:rFonts w:ascii="Times New Roman" w:hAnsi="Times New Roman" w:cs="Times New Roman"/>
          <w:lang w:val="ro-MD"/>
        </w:rPr>
        <w:t xml:space="preserve"> atunci când calculează modulele risc de subscriere pentru asigurarea de viață, asigurarea generală și asigurarea de sănătate în conformitate cu art</w:t>
      </w:r>
      <w:r w:rsidR="001311D4" w:rsidRPr="000508B6">
        <w:rPr>
          <w:rFonts w:ascii="Times New Roman" w:hAnsi="Times New Roman" w:cs="Times New Roman"/>
          <w:lang w:val="ro-MD"/>
        </w:rPr>
        <w:t>.</w:t>
      </w:r>
      <w:r w:rsidRPr="000508B6">
        <w:rPr>
          <w:rFonts w:ascii="Times New Roman" w:hAnsi="Times New Roman" w:cs="Times New Roman"/>
          <w:lang w:val="ro-MD"/>
        </w:rPr>
        <w:t xml:space="preserve"> </w:t>
      </w:r>
      <w:r w:rsidR="00830293" w:rsidRPr="000508B6">
        <w:rPr>
          <w:rFonts w:ascii="Times New Roman" w:hAnsi="Times New Roman" w:cs="Times New Roman"/>
          <w:lang w:val="ro-MD"/>
        </w:rPr>
        <w:t>67</w:t>
      </w:r>
      <w:r w:rsidRPr="000508B6">
        <w:rPr>
          <w:rFonts w:ascii="Times New Roman" w:hAnsi="Times New Roman" w:cs="Times New Roman"/>
          <w:lang w:val="ro-MD"/>
        </w:rPr>
        <w:t xml:space="preserve"> alin</w:t>
      </w:r>
      <w:r w:rsidR="001311D4" w:rsidRPr="000508B6">
        <w:rPr>
          <w:rFonts w:ascii="Times New Roman" w:hAnsi="Times New Roman" w:cs="Times New Roman"/>
          <w:lang w:val="ro-MD"/>
        </w:rPr>
        <w:t>.</w:t>
      </w:r>
      <w:r w:rsidRPr="000508B6">
        <w:rPr>
          <w:rFonts w:ascii="Times New Roman" w:hAnsi="Times New Roman" w:cs="Times New Roman"/>
          <w:lang w:val="ro-MD"/>
        </w:rPr>
        <w:t xml:space="preserve"> (7)</w:t>
      </w:r>
      <w:r w:rsidR="00830293" w:rsidRPr="000508B6">
        <w:rPr>
          <w:rFonts w:ascii="Times New Roman" w:hAnsi="Times New Roman" w:cs="Times New Roman"/>
          <w:lang w:val="ro-MD"/>
        </w:rPr>
        <w:t xml:space="preserve"> și (8)</w:t>
      </w:r>
      <w:r w:rsidRPr="000508B6">
        <w:rPr>
          <w:rFonts w:ascii="Times New Roman" w:hAnsi="Times New Roman" w:cs="Times New Roman"/>
          <w:lang w:val="ro-MD"/>
        </w:rPr>
        <w:t xml:space="preserve">. Parametrii specifici respectivi se calculează astfel încât să se asigure că </w:t>
      </w:r>
      <w:r w:rsidR="002326F8" w:rsidRPr="000508B6">
        <w:rPr>
          <w:rFonts w:ascii="Times New Roman" w:hAnsi="Times New Roman" w:cs="Times New Roman"/>
          <w:lang w:val="ro-MD"/>
        </w:rPr>
        <w:t>a</w:t>
      </w:r>
      <w:r w:rsidR="004125E8" w:rsidRPr="000508B6">
        <w:rPr>
          <w:rFonts w:ascii="Times New Roman" w:hAnsi="Times New Roman" w:cs="Times New Roman"/>
          <w:lang w:val="ro-MD"/>
        </w:rPr>
        <w:t xml:space="preserve">sigurătorul sau </w:t>
      </w:r>
      <w:proofErr w:type="spellStart"/>
      <w:r w:rsidR="004125E8" w:rsidRPr="000508B6">
        <w:rPr>
          <w:rFonts w:ascii="Times New Roman" w:hAnsi="Times New Roman" w:cs="Times New Roman"/>
          <w:lang w:val="ro-MD"/>
        </w:rPr>
        <w:t>reasigurătorul</w:t>
      </w:r>
      <w:proofErr w:type="spellEnd"/>
      <w:r w:rsidR="001311D4" w:rsidRPr="000508B6">
        <w:rPr>
          <w:rFonts w:ascii="Times New Roman" w:hAnsi="Times New Roman" w:cs="Times New Roman"/>
          <w:lang w:val="ro-MD"/>
        </w:rPr>
        <w:t xml:space="preserve"> </w:t>
      </w:r>
      <w:r w:rsidRPr="000508B6">
        <w:rPr>
          <w:rFonts w:ascii="Times New Roman" w:hAnsi="Times New Roman" w:cs="Times New Roman"/>
          <w:lang w:val="ro-MD"/>
        </w:rPr>
        <w:t xml:space="preserve">respectă </w:t>
      </w:r>
      <w:r w:rsidR="001311D4" w:rsidRPr="000508B6">
        <w:rPr>
          <w:rFonts w:ascii="Times New Roman" w:hAnsi="Times New Roman" w:cs="Times New Roman"/>
          <w:lang w:val="ro-MD"/>
        </w:rPr>
        <w:t>prevederile</w:t>
      </w:r>
      <w:r w:rsidRPr="000508B6">
        <w:rPr>
          <w:rFonts w:ascii="Times New Roman" w:hAnsi="Times New Roman" w:cs="Times New Roman"/>
          <w:lang w:val="ro-MD"/>
        </w:rPr>
        <w:t xml:space="preserve"> art</w:t>
      </w:r>
      <w:r w:rsidR="001311D4" w:rsidRPr="000508B6">
        <w:rPr>
          <w:rFonts w:ascii="Times New Roman" w:hAnsi="Times New Roman" w:cs="Times New Roman"/>
          <w:lang w:val="ro-MD"/>
        </w:rPr>
        <w:t>.</w:t>
      </w:r>
      <w:r w:rsidRPr="000508B6">
        <w:rPr>
          <w:rFonts w:ascii="Times New Roman" w:hAnsi="Times New Roman" w:cs="Times New Roman"/>
          <w:lang w:val="ro-MD"/>
        </w:rPr>
        <w:t xml:space="preserve"> </w:t>
      </w:r>
      <w:r w:rsidR="00830293" w:rsidRPr="000508B6">
        <w:rPr>
          <w:rFonts w:ascii="Times New Roman" w:hAnsi="Times New Roman" w:cs="Times New Roman"/>
          <w:lang w:val="ro-MD"/>
        </w:rPr>
        <w:t>64</w:t>
      </w:r>
      <w:r w:rsidRPr="000508B6">
        <w:rPr>
          <w:rFonts w:ascii="Times New Roman" w:hAnsi="Times New Roman" w:cs="Times New Roman"/>
          <w:lang w:val="ro-MD"/>
        </w:rPr>
        <w:t xml:space="preserve"> alin</w:t>
      </w:r>
      <w:r w:rsidR="001311D4" w:rsidRPr="000508B6">
        <w:rPr>
          <w:rFonts w:ascii="Times New Roman" w:hAnsi="Times New Roman" w:cs="Times New Roman"/>
          <w:lang w:val="ro-MD"/>
        </w:rPr>
        <w:t>.</w:t>
      </w:r>
      <w:r w:rsidRPr="000508B6">
        <w:rPr>
          <w:rFonts w:ascii="Times New Roman" w:hAnsi="Times New Roman" w:cs="Times New Roman"/>
          <w:lang w:val="ro-MD"/>
        </w:rPr>
        <w:t xml:space="preserve"> (</w:t>
      </w:r>
      <w:r w:rsidR="00830293" w:rsidRPr="000508B6">
        <w:rPr>
          <w:rFonts w:ascii="Times New Roman" w:hAnsi="Times New Roman" w:cs="Times New Roman"/>
          <w:lang w:val="ro-MD"/>
        </w:rPr>
        <w:t>2</w:t>
      </w:r>
      <w:r w:rsidRPr="000508B6">
        <w:rPr>
          <w:rFonts w:ascii="Times New Roman" w:hAnsi="Times New Roman" w:cs="Times New Roman"/>
          <w:lang w:val="ro-MD"/>
        </w:rPr>
        <w:t>)</w:t>
      </w:r>
      <w:r w:rsidR="00830293" w:rsidRPr="000508B6">
        <w:rPr>
          <w:rFonts w:ascii="Times New Roman" w:hAnsi="Times New Roman" w:cs="Times New Roman"/>
          <w:lang w:val="ro-MD"/>
        </w:rPr>
        <w:t>-(4)</w:t>
      </w:r>
      <w:r w:rsidRPr="000508B6">
        <w:rPr>
          <w:rFonts w:ascii="Times New Roman" w:hAnsi="Times New Roman" w:cs="Times New Roman"/>
          <w:lang w:val="ro-MD"/>
        </w:rPr>
        <w:t>.</w:t>
      </w:r>
    </w:p>
    <w:p w14:paraId="1D800EEE" w14:textId="77777777" w:rsidR="00146024" w:rsidRPr="000508B6" w:rsidRDefault="00146024" w:rsidP="008B530F">
      <w:pPr>
        <w:spacing w:after="0" w:line="240" w:lineRule="auto"/>
        <w:ind w:firstLine="426"/>
        <w:jc w:val="center"/>
        <w:rPr>
          <w:rFonts w:ascii="Times New Roman" w:hAnsi="Times New Roman" w:cs="Times New Roman"/>
          <w:b/>
          <w:lang w:val="ro-MD"/>
        </w:rPr>
      </w:pPr>
    </w:p>
    <w:p w14:paraId="29DBA93F" w14:textId="7ADA2310"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C41D4B" w:rsidRPr="000508B6">
        <w:rPr>
          <w:rFonts w:ascii="Times New Roman" w:hAnsi="Times New Roman" w:cs="Times New Roman"/>
          <w:b/>
          <w:lang w:val="ro-MD"/>
        </w:rPr>
        <w:t>4</w:t>
      </w:r>
      <w:r w:rsidRPr="000508B6">
        <w:rPr>
          <w:rFonts w:ascii="Times New Roman" w:hAnsi="Times New Roman" w:cs="Times New Roman"/>
          <w:b/>
          <w:lang w:val="ro-MD"/>
        </w:rPr>
        <w:t xml:space="preserve">.3 </w:t>
      </w:r>
    </w:p>
    <w:p w14:paraId="6AF8ADDA"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hAnsi="Times New Roman" w:cs="Times New Roman"/>
          <w:b/>
          <w:lang w:val="ro-MD"/>
        </w:rPr>
        <w:t xml:space="preserve">Calcularea SCR cu model intern integral </w:t>
      </w:r>
      <w:proofErr w:type="spellStart"/>
      <w:r w:rsidRPr="000508B6">
        <w:rPr>
          <w:rFonts w:ascii="Times New Roman" w:hAnsi="Times New Roman" w:cs="Times New Roman"/>
          <w:b/>
          <w:lang w:val="ro-MD"/>
        </w:rPr>
        <w:t>şi</w:t>
      </w:r>
      <w:proofErr w:type="spellEnd"/>
      <w:r w:rsidRPr="000508B6">
        <w:rPr>
          <w:rFonts w:ascii="Times New Roman" w:hAnsi="Times New Roman" w:cs="Times New Roman"/>
          <w:b/>
          <w:lang w:val="ro-MD"/>
        </w:rPr>
        <w:t xml:space="preserve"> model intern </w:t>
      </w:r>
      <w:proofErr w:type="spellStart"/>
      <w:r w:rsidRPr="000508B6">
        <w:rPr>
          <w:rFonts w:ascii="Times New Roman" w:hAnsi="Times New Roman" w:cs="Times New Roman"/>
          <w:b/>
          <w:lang w:val="ro-MD"/>
        </w:rPr>
        <w:t>parţial</w:t>
      </w:r>
      <w:proofErr w:type="spellEnd"/>
    </w:p>
    <w:p w14:paraId="61326779"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
    <w:p w14:paraId="65B880B8" w14:textId="3B7FB3B1"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75</w:t>
      </w:r>
      <w:r w:rsidR="007B6F5B" w:rsidRPr="000508B6">
        <w:rPr>
          <w:rFonts w:ascii="Times New Roman" w:hAnsi="Times New Roman" w:cs="Times New Roman"/>
          <w:b/>
          <w:lang w:val="ro-MD"/>
        </w:rPr>
        <w:t>.</w:t>
      </w:r>
      <w:r w:rsidR="00C8492A" w:rsidRPr="000508B6">
        <w:rPr>
          <w:rFonts w:ascii="Times New Roman" w:hAnsi="Times New Roman" w:cs="Times New Roman"/>
          <w:lang w:val="ro-MD"/>
        </w:rPr>
        <w:t xml:space="preserve"> </w:t>
      </w:r>
      <w:r w:rsidRPr="000508B6">
        <w:rPr>
          <w:rFonts w:ascii="Times New Roman" w:hAnsi="Times New Roman" w:cs="Times New Roman"/>
          <w:lang w:val="ro-MD"/>
        </w:rPr>
        <w:t>Prevederi generale referitoare la procesul de aprobare</w:t>
      </w:r>
      <w:r w:rsidR="00453384" w:rsidRPr="000508B6">
        <w:rPr>
          <w:rFonts w:ascii="Times New Roman" w:hAnsi="Times New Roman" w:cs="Times New Roman"/>
          <w:lang w:val="ro-MD"/>
        </w:rPr>
        <w:t xml:space="preserve"> </w:t>
      </w:r>
      <w:r w:rsidR="00050391" w:rsidRPr="000508B6">
        <w:rPr>
          <w:rFonts w:ascii="Times New Roman" w:hAnsi="Times New Roman" w:cs="Times New Roman"/>
          <w:lang w:val="ro-MD"/>
        </w:rPr>
        <w:t xml:space="preserve"> </w:t>
      </w:r>
      <w:r w:rsidRPr="000508B6">
        <w:rPr>
          <w:rFonts w:ascii="Times New Roman" w:hAnsi="Times New Roman" w:cs="Times New Roman"/>
          <w:lang w:val="ro-MD"/>
        </w:rPr>
        <w:t xml:space="preserve"> </w:t>
      </w:r>
    </w:p>
    <w:p w14:paraId="722F0508" w14:textId="0185F3F0" w:rsidR="00F95829" w:rsidRPr="000508B6" w:rsidRDefault="00F95829" w:rsidP="00CF5AFA">
      <w:pPr>
        <w:pStyle w:val="Listparagraf"/>
        <w:numPr>
          <w:ilvl w:val="1"/>
          <w:numId w:val="16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E56329" w:rsidRPr="000508B6">
        <w:rPr>
          <w:rFonts w:ascii="Times New Roman" w:hAnsi="Times New Roman" w:cs="Times New Roman"/>
          <w:lang w:val="ro-MD"/>
        </w:rPr>
        <w:t xml:space="preserve">În cazul în care </w:t>
      </w:r>
      <w:r w:rsidR="006D6978" w:rsidRPr="000508B6">
        <w:rPr>
          <w:rFonts w:ascii="Times New Roman" w:hAnsi="Times New Roman" w:cs="Times New Roman"/>
          <w:lang w:val="ro-MD"/>
        </w:rPr>
        <w:t xml:space="preserve">asigurătorul </w:t>
      </w:r>
      <w:r w:rsidR="00E56329" w:rsidRPr="000508B6">
        <w:rPr>
          <w:rFonts w:ascii="Times New Roman" w:hAnsi="Times New Roman" w:cs="Times New Roman"/>
          <w:lang w:val="ro-MD"/>
        </w:rPr>
        <w:t>sau</w:t>
      </w:r>
      <w:r w:rsidR="00E56329" w:rsidRPr="000508B6" w:rsidDel="006D6978">
        <w:rPr>
          <w:rFonts w:ascii="Times New Roman" w:hAnsi="Times New Roman" w:cs="Times New Roman"/>
          <w:lang w:val="ro-MD"/>
        </w:rPr>
        <w:t xml:space="preserve"> </w:t>
      </w:r>
      <w:proofErr w:type="spellStart"/>
      <w:r w:rsidR="006D6978" w:rsidRPr="000508B6">
        <w:rPr>
          <w:rFonts w:ascii="Times New Roman" w:hAnsi="Times New Roman" w:cs="Times New Roman"/>
          <w:lang w:val="ro-MD"/>
        </w:rPr>
        <w:t>reasigurătorul</w:t>
      </w:r>
      <w:proofErr w:type="spellEnd"/>
      <w:r w:rsidR="006D6978" w:rsidRPr="000508B6">
        <w:rPr>
          <w:rFonts w:ascii="Times New Roman" w:hAnsi="Times New Roman" w:cs="Times New Roman"/>
          <w:lang w:val="ro-MD"/>
        </w:rPr>
        <w:t xml:space="preserve"> </w:t>
      </w:r>
      <w:r w:rsidR="00E56329" w:rsidRPr="000508B6">
        <w:rPr>
          <w:rFonts w:ascii="Times New Roman" w:hAnsi="Times New Roman" w:cs="Times New Roman"/>
          <w:lang w:val="ro-MD"/>
        </w:rPr>
        <w:t>intenționează</w:t>
      </w:r>
      <w:r w:rsidR="008B3A09" w:rsidRPr="000508B6">
        <w:rPr>
          <w:rFonts w:ascii="Times New Roman" w:hAnsi="Times New Roman" w:cs="Times New Roman"/>
          <w:lang w:val="ro-MD"/>
        </w:rPr>
        <w:t xml:space="preserve"> utilizarea unui model </w:t>
      </w:r>
      <w:r w:rsidR="00E56329" w:rsidRPr="000508B6">
        <w:rPr>
          <w:rFonts w:ascii="Times New Roman" w:hAnsi="Times New Roman" w:cs="Times New Roman"/>
          <w:lang w:val="ro-MD"/>
        </w:rPr>
        <w:t xml:space="preserve"> </w:t>
      </w:r>
      <w:r w:rsidR="008B3A09" w:rsidRPr="000508B6">
        <w:rPr>
          <w:rFonts w:ascii="Times New Roman" w:hAnsi="Times New Roman" w:cs="Times New Roman"/>
          <w:lang w:val="ro-MD"/>
        </w:rPr>
        <w:t xml:space="preserve">intern integral sau parțial pentru </w:t>
      </w:r>
      <w:r w:rsidR="00E56329" w:rsidRPr="000508B6">
        <w:rPr>
          <w:rFonts w:ascii="Times New Roman" w:hAnsi="Times New Roman" w:cs="Times New Roman"/>
          <w:lang w:val="ro-MD"/>
        </w:rPr>
        <w:t>calcularea SCR, solicită aprobarea Băncii Naționale a Moldovei</w:t>
      </w:r>
      <w:r w:rsidR="00A032FB" w:rsidRPr="000508B6">
        <w:rPr>
          <w:rFonts w:ascii="Times New Roman" w:hAnsi="Times New Roman" w:cs="Times New Roman"/>
          <w:lang w:val="ro-MD"/>
        </w:rPr>
        <w:t>.</w:t>
      </w:r>
      <w:r w:rsidR="00E56329" w:rsidRPr="000508B6">
        <w:rPr>
          <w:rFonts w:ascii="Times New Roman" w:hAnsi="Times New Roman" w:cs="Times New Roman"/>
          <w:lang w:val="ro-MD"/>
        </w:rPr>
        <w:t xml:space="preserve"> </w:t>
      </w:r>
    </w:p>
    <w:p w14:paraId="10E0FD38" w14:textId="072CB126" w:rsidR="00F95829" w:rsidRPr="000508B6" w:rsidRDefault="00D068AA" w:rsidP="00CF5AFA">
      <w:pPr>
        <w:pStyle w:val="Listparagraf"/>
        <w:numPr>
          <w:ilvl w:val="1"/>
          <w:numId w:val="16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po</w:t>
      </w:r>
      <w:r w:rsidR="001D1455" w:rsidRPr="000508B6">
        <w:rPr>
          <w:rFonts w:ascii="Times New Roman" w:hAnsi="Times New Roman" w:cs="Times New Roman"/>
          <w:lang w:val="ro-MD"/>
        </w:rPr>
        <w:t>a</w:t>
      </w:r>
      <w:r w:rsidR="00F95829" w:rsidRPr="000508B6">
        <w:rPr>
          <w:rFonts w:ascii="Times New Roman" w:hAnsi="Times New Roman" w:cs="Times New Roman"/>
          <w:lang w:val="ro-MD"/>
        </w:rPr>
        <w:t>t</w:t>
      </w:r>
      <w:r w:rsidR="001D1455" w:rsidRPr="000508B6">
        <w:rPr>
          <w:rFonts w:ascii="Times New Roman" w:hAnsi="Times New Roman" w:cs="Times New Roman"/>
          <w:lang w:val="ro-MD"/>
        </w:rPr>
        <w:t>e</w:t>
      </w:r>
      <w:r w:rsidR="00F95829" w:rsidRPr="000508B6">
        <w:rPr>
          <w:rFonts w:ascii="Times New Roman" w:hAnsi="Times New Roman" w:cs="Times New Roman"/>
          <w:lang w:val="ro-MD"/>
        </w:rPr>
        <w:t xml:space="preserve"> utiliza un model intern </w:t>
      </w:r>
      <w:proofErr w:type="spellStart"/>
      <w:r w:rsidR="00F95829" w:rsidRPr="000508B6">
        <w:rPr>
          <w:rFonts w:ascii="Times New Roman" w:hAnsi="Times New Roman" w:cs="Times New Roman"/>
          <w:lang w:val="ro-MD"/>
        </w:rPr>
        <w:t>parţial</w:t>
      </w:r>
      <w:proofErr w:type="spellEnd"/>
      <w:r w:rsidR="00F95829" w:rsidRPr="000508B6">
        <w:rPr>
          <w:rFonts w:ascii="Times New Roman" w:hAnsi="Times New Roman" w:cs="Times New Roman"/>
          <w:lang w:val="ro-MD"/>
        </w:rPr>
        <w:t xml:space="preserve">, pentru calcularea următoarelor elemente: </w:t>
      </w:r>
    </w:p>
    <w:p w14:paraId="225F03D2" w14:textId="41D9DE49" w:rsidR="00F95829" w:rsidRPr="000508B6" w:rsidRDefault="00F95829" w:rsidP="00CF5AFA">
      <w:pPr>
        <w:pStyle w:val="Listparagraf"/>
        <w:numPr>
          <w:ilvl w:val="2"/>
          <w:numId w:val="16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unul sau mai multe dintre modulele sau </w:t>
      </w:r>
      <w:proofErr w:type="spellStart"/>
      <w:r w:rsidRPr="000508B6">
        <w:rPr>
          <w:rFonts w:ascii="Times New Roman" w:hAnsi="Times New Roman" w:cs="Times New Roman"/>
          <w:lang w:val="ro-MD"/>
        </w:rPr>
        <w:t>submodulele</w:t>
      </w:r>
      <w:proofErr w:type="spellEnd"/>
      <w:r w:rsidRPr="000508B6">
        <w:rPr>
          <w:rFonts w:ascii="Times New Roman" w:hAnsi="Times New Roman" w:cs="Times New Roman"/>
          <w:lang w:val="ro-MD"/>
        </w:rPr>
        <w:t xml:space="preserve"> </w:t>
      </w:r>
      <w:r w:rsidR="002E21E8" w:rsidRPr="000508B6">
        <w:rPr>
          <w:rFonts w:ascii="Times New Roman" w:hAnsi="Times New Roman" w:cs="Times New Roman"/>
          <w:lang w:val="ro-MD"/>
        </w:rPr>
        <w:t xml:space="preserve">de risc ale </w:t>
      </w:r>
      <w:r w:rsidR="006D6978" w:rsidRPr="000508B6">
        <w:rPr>
          <w:rFonts w:ascii="Times New Roman" w:hAnsi="Times New Roman" w:cs="Times New Roman"/>
          <w:lang w:val="ro-MD"/>
        </w:rPr>
        <w:t>SCR</w:t>
      </w:r>
      <w:r w:rsidR="002E21E8" w:rsidRPr="000508B6">
        <w:rPr>
          <w:rFonts w:ascii="Times New Roman" w:hAnsi="Times New Roman" w:cs="Times New Roman"/>
          <w:lang w:val="ro-MD"/>
        </w:rPr>
        <w:t xml:space="preserve"> de bază prevăzute </w:t>
      </w:r>
      <w:r w:rsidRPr="000508B6">
        <w:rPr>
          <w:rFonts w:ascii="Times New Roman" w:hAnsi="Times New Roman" w:cs="Times New Roman"/>
          <w:lang w:val="ro-MD"/>
        </w:rPr>
        <w:t xml:space="preserve"> la art. </w:t>
      </w:r>
      <w:r w:rsidR="003A3A3A" w:rsidRPr="000508B6">
        <w:rPr>
          <w:rFonts w:ascii="Times New Roman" w:hAnsi="Times New Roman" w:cs="Times New Roman"/>
          <w:lang w:val="ro-MD"/>
        </w:rPr>
        <w:t xml:space="preserve">67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722F37" w:rsidRPr="000508B6">
        <w:rPr>
          <w:rFonts w:ascii="Times New Roman" w:hAnsi="Times New Roman" w:cs="Times New Roman"/>
          <w:lang w:val="ro-MD"/>
        </w:rPr>
        <w:t xml:space="preserve">art. </w:t>
      </w:r>
      <w:r w:rsidR="003A3A3A" w:rsidRPr="000508B6">
        <w:rPr>
          <w:rFonts w:ascii="Times New Roman" w:hAnsi="Times New Roman" w:cs="Times New Roman"/>
          <w:lang w:val="ro-MD"/>
        </w:rPr>
        <w:t>68</w:t>
      </w:r>
      <w:r w:rsidR="00646899" w:rsidRPr="000508B6">
        <w:rPr>
          <w:rFonts w:ascii="Times New Roman" w:hAnsi="Times New Roman" w:cs="Times New Roman"/>
          <w:lang w:val="ro-MD"/>
        </w:rPr>
        <w:t>;</w:t>
      </w:r>
      <w:r w:rsidRPr="000508B6">
        <w:rPr>
          <w:rFonts w:ascii="Times New Roman" w:hAnsi="Times New Roman" w:cs="Times New Roman"/>
          <w:lang w:val="ro-MD"/>
        </w:rPr>
        <w:t xml:space="preserve"> </w:t>
      </w:r>
    </w:p>
    <w:p w14:paraId="322244CA" w14:textId="78217D48" w:rsidR="00F95829" w:rsidRPr="000508B6" w:rsidRDefault="00F95829" w:rsidP="00CF5AFA">
      <w:pPr>
        <w:pStyle w:val="Listparagraf"/>
        <w:numPr>
          <w:ilvl w:val="2"/>
          <w:numId w:val="16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pentru riscul </w:t>
      </w:r>
      <w:proofErr w:type="spellStart"/>
      <w:r w:rsidRPr="000508B6">
        <w:rPr>
          <w:rFonts w:ascii="Times New Roman" w:hAnsi="Times New Roman" w:cs="Times New Roman"/>
          <w:lang w:val="ro-MD"/>
        </w:rPr>
        <w:t>operaţional</w:t>
      </w:r>
      <w:proofErr w:type="spellEnd"/>
      <w:r w:rsidRPr="000508B6">
        <w:rPr>
          <w:rFonts w:ascii="Times New Roman" w:hAnsi="Times New Roman" w:cs="Times New Roman"/>
          <w:lang w:val="ro-MD"/>
        </w:rPr>
        <w:t xml:space="preserve"> în conformitate cu art. </w:t>
      </w:r>
      <w:r w:rsidR="003A3A3A" w:rsidRPr="000508B6">
        <w:rPr>
          <w:rFonts w:ascii="Times New Roman" w:hAnsi="Times New Roman" w:cs="Times New Roman"/>
          <w:lang w:val="ro-MD"/>
        </w:rPr>
        <w:t>71</w:t>
      </w:r>
      <w:r w:rsidRPr="000508B6">
        <w:rPr>
          <w:rFonts w:ascii="Times New Roman" w:hAnsi="Times New Roman" w:cs="Times New Roman"/>
          <w:lang w:val="ro-MD"/>
        </w:rPr>
        <w:t xml:space="preserve">; </w:t>
      </w:r>
    </w:p>
    <w:p w14:paraId="67B5C762" w14:textId="0AEBFA6F" w:rsidR="00F95829" w:rsidRPr="000508B6" w:rsidRDefault="00F95829" w:rsidP="00CF5AFA">
      <w:pPr>
        <w:pStyle w:val="Listparagraf"/>
        <w:numPr>
          <w:ilvl w:val="2"/>
          <w:numId w:val="1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ajustarea prevăzută la art. </w:t>
      </w:r>
      <w:r w:rsidR="00780DEB" w:rsidRPr="000508B6">
        <w:rPr>
          <w:rFonts w:ascii="Times New Roman" w:hAnsi="Times New Roman" w:cs="Times New Roman"/>
          <w:lang w:val="ro-MD"/>
        </w:rPr>
        <w:t>72</w:t>
      </w:r>
      <w:r w:rsidRPr="000508B6">
        <w:rPr>
          <w:rFonts w:ascii="Times New Roman" w:hAnsi="Times New Roman" w:cs="Times New Roman"/>
          <w:lang w:val="ro-MD"/>
        </w:rPr>
        <w:t>.</w:t>
      </w:r>
      <w:r w:rsidR="00530E7C" w:rsidRPr="000508B6">
        <w:rPr>
          <w:rFonts w:ascii="Times New Roman" w:hAnsi="Times New Roman" w:cs="Times New Roman"/>
          <w:lang w:val="ro-MD"/>
        </w:rPr>
        <w:t xml:space="preserve"> </w:t>
      </w:r>
    </w:p>
    <w:p w14:paraId="43AED7D0" w14:textId="359961C8" w:rsidR="00F95829" w:rsidRPr="000508B6" w:rsidRDefault="00D068AA" w:rsidP="00CF5AFA">
      <w:pPr>
        <w:pStyle w:val="Listparagraf"/>
        <w:numPr>
          <w:ilvl w:val="1"/>
          <w:numId w:val="16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po</w:t>
      </w:r>
      <w:r w:rsidR="001D1455" w:rsidRPr="000508B6">
        <w:rPr>
          <w:rFonts w:ascii="Times New Roman" w:hAnsi="Times New Roman" w:cs="Times New Roman"/>
          <w:lang w:val="ro-MD"/>
        </w:rPr>
        <w:t>a</w:t>
      </w:r>
      <w:r w:rsidR="00F95829" w:rsidRPr="000508B6">
        <w:rPr>
          <w:rFonts w:ascii="Times New Roman" w:hAnsi="Times New Roman" w:cs="Times New Roman"/>
          <w:lang w:val="ro-MD"/>
        </w:rPr>
        <w:t>t</w:t>
      </w:r>
      <w:r w:rsidR="001D1455" w:rsidRPr="000508B6">
        <w:rPr>
          <w:rFonts w:ascii="Times New Roman" w:hAnsi="Times New Roman" w:cs="Times New Roman"/>
          <w:lang w:val="ro-MD"/>
        </w:rPr>
        <w:t>e</w:t>
      </w:r>
      <w:r w:rsidR="00F95829" w:rsidRPr="000508B6">
        <w:rPr>
          <w:rFonts w:ascii="Times New Roman" w:hAnsi="Times New Roman" w:cs="Times New Roman"/>
          <w:lang w:val="ro-MD"/>
        </w:rPr>
        <w:t xml:space="preserve"> utiliza un model intern </w:t>
      </w:r>
      <w:proofErr w:type="spellStart"/>
      <w:r w:rsidR="00F95829" w:rsidRPr="000508B6">
        <w:rPr>
          <w:rFonts w:ascii="Times New Roman" w:hAnsi="Times New Roman" w:cs="Times New Roman"/>
          <w:lang w:val="ro-MD"/>
        </w:rPr>
        <w:t>parţial</w:t>
      </w:r>
      <w:proofErr w:type="spellEnd"/>
      <w:r w:rsidR="00F95829" w:rsidRPr="000508B6">
        <w:rPr>
          <w:rFonts w:ascii="Times New Roman" w:hAnsi="Times New Roman" w:cs="Times New Roman"/>
          <w:lang w:val="ro-MD"/>
        </w:rPr>
        <w:t xml:space="preserve"> pentru întreaga activitate sau doar pentru una sau mai multe </w:t>
      </w:r>
      <w:proofErr w:type="spellStart"/>
      <w:r w:rsidR="00F95829" w:rsidRPr="000508B6">
        <w:rPr>
          <w:rFonts w:ascii="Times New Roman" w:hAnsi="Times New Roman" w:cs="Times New Roman"/>
          <w:lang w:val="ro-MD"/>
        </w:rPr>
        <w:t>unităţi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operaţionale</w:t>
      </w:r>
      <w:proofErr w:type="spellEnd"/>
      <w:r w:rsidR="00F95829" w:rsidRPr="000508B6">
        <w:rPr>
          <w:rFonts w:ascii="Times New Roman" w:hAnsi="Times New Roman" w:cs="Times New Roman"/>
          <w:lang w:val="ro-MD"/>
        </w:rPr>
        <w:t xml:space="preserve"> majore. </w:t>
      </w:r>
      <w:r w:rsidR="00530E7C" w:rsidRPr="000508B6">
        <w:rPr>
          <w:rFonts w:ascii="Times New Roman" w:hAnsi="Times New Roman" w:cs="Times New Roman"/>
          <w:lang w:val="ro-MD"/>
        </w:rPr>
        <w:t xml:space="preserve"> </w:t>
      </w:r>
    </w:p>
    <w:p w14:paraId="259A1EE8" w14:textId="6493A400" w:rsidR="00F95829" w:rsidRPr="000508B6" w:rsidRDefault="00F95829" w:rsidP="00CF5AFA">
      <w:pPr>
        <w:pStyle w:val="Listparagraf"/>
        <w:numPr>
          <w:ilvl w:val="1"/>
          <w:numId w:val="1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Cererea de aprobare a modelului intern cuprinde </w:t>
      </w:r>
      <w:r w:rsidR="002E21E8" w:rsidRPr="000508B6">
        <w:rPr>
          <w:rFonts w:ascii="Times New Roman" w:hAnsi="Times New Roman" w:cs="Times New Roman"/>
          <w:lang w:val="ro-MD"/>
        </w:rPr>
        <w:t>documentele justificative</w:t>
      </w:r>
      <w:r w:rsidRPr="000508B6">
        <w:rPr>
          <w:rFonts w:ascii="Times New Roman" w:hAnsi="Times New Roman" w:cs="Times New Roman"/>
          <w:lang w:val="ro-MD"/>
        </w:rPr>
        <w:t xml:space="preserve"> care demonstrează respectarea </w:t>
      </w:r>
      <w:proofErr w:type="spellStart"/>
      <w:r w:rsidRPr="000508B6">
        <w:rPr>
          <w:rFonts w:ascii="Times New Roman" w:hAnsi="Times New Roman" w:cs="Times New Roman"/>
          <w:lang w:val="ro-MD"/>
        </w:rPr>
        <w:t>cerinţelor</w:t>
      </w:r>
      <w:proofErr w:type="spellEnd"/>
      <w:r w:rsidRPr="000508B6">
        <w:rPr>
          <w:rFonts w:ascii="Times New Roman" w:hAnsi="Times New Roman" w:cs="Times New Roman"/>
          <w:lang w:val="ro-MD"/>
        </w:rPr>
        <w:t xml:space="preserve"> prevăzute la art. </w:t>
      </w:r>
      <w:r w:rsidR="00A168E7" w:rsidRPr="000508B6">
        <w:rPr>
          <w:rFonts w:ascii="Times New Roman" w:hAnsi="Times New Roman" w:cs="Times New Roman"/>
          <w:lang w:val="ro-MD"/>
        </w:rPr>
        <w:t xml:space="preserve">22 alin. (8), art. </w:t>
      </w:r>
      <w:r w:rsidR="00780DEB" w:rsidRPr="000508B6">
        <w:rPr>
          <w:rFonts w:ascii="Times New Roman" w:hAnsi="Times New Roman" w:cs="Times New Roman"/>
          <w:lang w:val="ro-MD"/>
        </w:rPr>
        <w:t>81</w:t>
      </w:r>
      <w:r w:rsidRPr="000508B6">
        <w:rPr>
          <w:rFonts w:ascii="Times New Roman" w:hAnsi="Times New Roman" w:cs="Times New Roman"/>
          <w:lang w:val="ro-MD"/>
        </w:rPr>
        <w:t>, art.</w:t>
      </w:r>
      <w:r w:rsidR="00780DEB" w:rsidRPr="000508B6">
        <w:rPr>
          <w:rFonts w:ascii="Times New Roman" w:hAnsi="Times New Roman" w:cs="Times New Roman"/>
          <w:lang w:val="ro-MD"/>
        </w:rPr>
        <w:t>82</w:t>
      </w:r>
      <w:r w:rsidR="00A168E7" w:rsidRPr="000508B6">
        <w:rPr>
          <w:rFonts w:ascii="Times New Roman" w:hAnsi="Times New Roman" w:cs="Times New Roman"/>
          <w:lang w:val="ro-MD"/>
        </w:rPr>
        <w:t>, art.84-87</w:t>
      </w:r>
      <w:r w:rsidR="006C4042" w:rsidRPr="000508B6">
        <w:rPr>
          <w:rFonts w:ascii="Times New Roman" w:hAnsi="Times New Roman" w:cs="Times New Roman"/>
          <w:lang w:val="ro-MD"/>
        </w:rPr>
        <w:t>. Î</w:t>
      </w:r>
      <w:r w:rsidRPr="000508B6">
        <w:rPr>
          <w:rFonts w:ascii="Times New Roman" w:hAnsi="Times New Roman" w:cs="Times New Roman"/>
          <w:lang w:val="ro-MD"/>
        </w:rPr>
        <w:t xml:space="preserve">n cazul </w:t>
      </w:r>
      <w:r w:rsidR="00B80BE1" w:rsidRPr="000508B6">
        <w:rPr>
          <w:rFonts w:ascii="Times New Roman" w:hAnsi="Times New Roman" w:cs="Times New Roman"/>
          <w:lang w:val="ro-MD"/>
        </w:rPr>
        <w:t>în care cererea se referă la</w:t>
      </w:r>
      <w:r w:rsidRPr="000508B6">
        <w:rPr>
          <w:rFonts w:ascii="Times New Roman" w:hAnsi="Times New Roman" w:cs="Times New Roman"/>
          <w:lang w:val="ro-MD"/>
        </w:rPr>
        <w:t xml:space="preserve"> un model intern </w:t>
      </w:r>
      <w:proofErr w:type="spellStart"/>
      <w:r w:rsidRPr="000508B6">
        <w:rPr>
          <w:rFonts w:ascii="Times New Roman" w:hAnsi="Times New Roman" w:cs="Times New Roman"/>
          <w:lang w:val="ro-MD"/>
        </w:rPr>
        <w:t>parţial</w:t>
      </w:r>
      <w:proofErr w:type="spellEnd"/>
      <w:r w:rsidRPr="000508B6">
        <w:rPr>
          <w:rFonts w:ascii="Times New Roman" w:hAnsi="Times New Roman" w:cs="Times New Roman"/>
          <w:lang w:val="ro-MD"/>
        </w:rPr>
        <w:t xml:space="preserve">, </w:t>
      </w:r>
      <w:r w:rsidR="002E21E8" w:rsidRPr="000508B6">
        <w:rPr>
          <w:rFonts w:ascii="Times New Roman" w:hAnsi="Times New Roman" w:cs="Times New Roman"/>
          <w:lang w:val="ro-MD"/>
        </w:rPr>
        <w:t xml:space="preserve">cerințele prevăzute la art. </w:t>
      </w:r>
      <w:r w:rsidR="00A168E7" w:rsidRPr="000508B6">
        <w:rPr>
          <w:rFonts w:ascii="Times New Roman" w:hAnsi="Times New Roman" w:cs="Times New Roman"/>
          <w:lang w:val="ro-MD"/>
        </w:rPr>
        <w:t xml:space="preserve">22 alin. (8), art. </w:t>
      </w:r>
      <w:r w:rsidR="002E21E8" w:rsidRPr="000508B6">
        <w:rPr>
          <w:rFonts w:ascii="Times New Roman" w:hAnsi="Times New Roman" w:cs="Times New Roman"/>
          <w:lang w:val="ro-MD"/>
        </w:rPr>
        <w:t>81, art.82</w:t>
      </w:r>
      <w:r w:rsidR="00A168E7" w:rsidRPr="000508B6">
        <w:rPr>
          <w:rFonts w:ascii="Times New Roman" w:hAnsi="Times New Roman" w:cs="Times New Roman"/>
          <w:lang w:val="ro-MD"/>
        </w:rPr>
        <w:t>, art.84-87</w:t>
      </w:r>
      <w:r w:rsidR="002E21E8" w:rsidRPr="000508B6">
        <w:rPr>
          <w:rFonts w:ascii="Times New Roman" w:hAnsi="Times New Roman" w:cs="Times New Roman"/>
          <w:lang w:val="ro-MD"/>
        </w:rPr>
        <w:t xml:space="preserve">  se adaptează </w:t>
      </w:r>
      <w:r w:rsidRPr="000508B6">
        <w:rPr>
          <w:rFonts w:ascii="Times New Roman" w:hAnsi="Times New Roman" w:cs="Times New Roman"/>
          <w:lang w:val="ro-MD"/>
        </w:rPr>
        <w:t xml:space="preserve"> </w:t>
      </w:r>
      <w:r w:rsidR="002E21E8" w:rsidRPr="000508B6">
        <w:rPr>
          <w:rFonts w:ascii="Times New Roman" w:hAnsi="Times New Roman" w:cs="Times New Roman"/>
          <w:lang w:val="ro-MD"/>
        </w:rPr>
        <w:t>pentru a ține seama</w:t>
      </w:r>
      <w:r w:rsidRPr="000508B6">
        <w:rPr>
          <w:rFonts w:ascii="Times New Roman" w:hAnsi="Times New Roman" w:cs="Times New Roman"/>
          <w:lang w:val="ro-MD"/>
        </w:rPr>
        <w:t xml:space="preserve"> de </w:t>
      </w:r>
      <w:r w:rsidR="002E21E8" w:rsidRPr="000508B6">
        <w:rPr>
          <w:rFonts w:ascii="Times New Roman" w:hAnsi="Times New Roman" w:cs="Times New Roman"/>
          <w:lang w:val="ro-MD"/>
        </w:rPr>
        <w:t>sfera limitată de aplicare</w:t>
      </w:r>
      <w:r w:rsidRPr="000508B6">
        <w:rPr>
          <w:rFonts w:ascii="Times New Roman" w:hAnsi="Times New Roman" w:cs="Times New Roman"/>
          <w:lang w:val="ro-MD"/>
        </w:rPr>
        <w:t xml:space="preserve"> a modelului. </w:t>
      </w:r>
    </w:p>
    <w:p w14:paraId="24A063AE" w14:textId="0F07745C" w:rsidR="00F95829" w:rsidRPr="000508B6" w:rsidRDefault="00BA25E7" w:rsidP="00CF5AFA">
      <w:pPr>
        <w:pStyle w:val="Listparagraf"/>
        <w:numPr>
          <w:ilvl w:val="1"/>
          <w:numId w:val="1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w:t>
      </w:r>
      <w:r w:rsidR="00F95829" w:rsidRPr="000508B6">
        <w:rPr>
          <w:rFonts w:ascii="Times New Roman" w:hAnsi="Times New Roman" w:cs="Times New Roman"/>
          <w:lang w:val="ro-MD"/>
        </w:rPr>
        <w:t xml:space="preserve"> decide asupra aprobării sau respingerii cererii de utilizare a unui model intern în decurs de 6 luni de la </w:t>
      </w:r>
      <w:r w:rsidR="00B80BE1" w:rsidRPr="000508B6">
        <w:rPr>
          <w:rFonts w:ascii="Times New Roman" w:hAnsi="Times New Roman" w:cs="Times New Roman"/>
          <w:lang w:val="ro-MD"/>
        </w:rPr>
        <w:t xml:space="preserve">data </w:t>
      </w:r>
      <w:r w:rsidR="00CA1CF9" w:rsidRPr="000508B6">
        <w:rPr>
          <w:rFonts w:ascii="Times New Roman" w:hAnsi="Times New Roman" w:cs="Times New Roman"/>
          <w:lang w:val="ro-MD"/>
        </w:rPr>
        <w:t>recepțion</w:t>
      </w:r>
      <w:r w:rsidR="00B80BE1" w:rsidRPr="000508B6">
        <w:rPr>
          <w:rFonts w:ascii="Times New Roman" w:hAnsi="Times New Roman" w:cs="Times New Roman"/>
          <w:lang w:val="ro-MD"/>
        </w:rPr>
        <w:t>ării</w:t>
      </w:r>
      <w:r w:rsidR="00CA1CF9" w:rsidRPr="000508B6">
        <w:rPr>
          <w:rFonts w:ascii="Times New Roman" w:hAnsi="Times New Roman" w:cs="Times New Roman"/>
          <w:lang w:val="ro-MD"/>
        </w:rPr>
        <w:t xml:space="preserve"> </w:t>
      </w:r>
      <w:r w:rsidR="009C7B03" w:rsidRPr="000508B6">
        <w:rPr>
          <w:rFonts w:ascii="Times New Roman" w:hAnsi="Times New Roman" w:cs="Times New Roman"/>
          <w:lang w:val="ro-MD"/>
        </w:rPr>
        <w:t>documentelor</w:t>
      </w:r>
      <w:r w:rsidR="00F95829" w:rsidRPr="000508B6">
        <w:rPr>
          <w:rFonts w:ascii="Times New Roman" w:hAnsi="Times New Roman" w:cs="Times New Roman"/>
          <w:lang w:val="ro-MD"/>
        </w:rPr>
        <w:t xml:space="preserve"> complete. </w:t>
      </w:r>
    </w:p>
    <w:p w14:paraId="381CC2EF" w14:textId="21AC9378" w:rsidR="00F95829" w:rsidRPr="000508B6" w:rsidRDefault="00BA25E7" w:rsidP="00CF5AFA">
      <w:pPr>
        <w:pStyle w:val="Listparagraf"/>
        <w:numPr>
          <w:ilvl w:val="1"/>
          <w:numId w:val="1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w:t>
      </w:r>
      <w:r w:rsidR="00F95829" w:rsidRPr="000508B6">
        <w:rPr>
          <w:rFonts w:ascii="Times New Roman" w:hAnsi="Times New Roman" w:cs="Times New Roman"/>
          <w:lang w:val="ro-MD"/>
        </w:rPr>
        <w:t xml:space="preserve"> aprobă utilizarea unui model intern cu </w:t>
      </w:r>
      <w:proofErr w:type="spellStart"/>
      <w:r w:rsidR="00F95829" w:rsidRPr="000508B6">
        <w:rPr>
          <w:rFonts w:ascii="Times New Roman" w:hAnsi="Times New Roman" w:cs="Times New Roman"/>
          <w:lang w:val="ro-MD"/>
        </w:rPr>
        <w:t>condiţia</w:t>
      </w:r>
      <w:proofErr w:type="spellEnd"/>
      <w:r w:rsidR="00F95829" w:rsidRPr="000508B6">
        <w:rPr>
          <w:rFonts w:ascii="Times New Roman" w:hAnsi="Times New Roman" w:cs="Times New Roman"/>
          <w:lang w:val="ro-MD"/>
        </w:rPr>
        <w:t xml:space="preserve"> ca din </w:t>
      </w:r>
      <w:r w:rsidR="00890AE8" w:rsidRPr="000508B6">
        <w:rPr>
          <w:rFonts w:ascii="Times New Roman" w:hAnsi="Times New Roman" w:cs="Times New Roman"/>
          <w:lang w:val="ro-MD"/>
        </w:rPr>
        <w:t>documentele depuse</w:t>
      </w:r>
      <w:r w:rsidR="00F95829" w:rsidRPr="000508B6">
        <w:rPr>
          <w:rFonts w:ascii="Times New Roman" w:hAnsi="Times New Roman" w:cs="Times New Roman"/>
          <w:lang w:val="ro-MD"/>
        </w:rPr>
        <w:t xml:space="preserve"> de </w:t>
      </w:r>
      <w:r w:rsidR="009E693A" w:rsidRPr="000508B6">
        <w:rPr>
          <w:rFonts w:ascii="Times New Roman" w:hAnsi="Times New Roman" w:cs="Times New Roman"/>
          <w:lang w:val="ro-MD"/>
        </w:rPr>
        <w:t xml:space="preserve">un </w:t>
      </w:r>
      <w:r w:rsidR="000B629A" w:rsidRPr="000508B6">
        <w:rPr>
          <w:rFonts w:ascii="Times New Roman" w:hAnsi="Times New Roman" w:cs="Times New Roman"/>
          <w:lang w:val="ro-MD"/>
        </w:rPr>
        <w:t xml:space="preserve">asigurător sau </w:t>
      </w:r>
      <w:proofErr w:type="spellStart"/>
      <w:r w:rsidR="000B629A" w:rsidRPr="000508B6">
        <w:rPr>
          <w:rFonts w:ascii="Times New Roman" w:hAnsi="Times New Roman" w:cs="Times New Roman"/>
          <w:lang w:val="ro-MD"/>
        </w:rPr>
        <w:t>reasigurător</w:t>
      </w:r>
      <w:proofErr w:type="spellEnd"/>
      <w:r w:rsidR="000B629A"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să reiasă că sistemele de identificare, măsurare, monitorizare, </w:t>
      </w:r>
      <w:r w:rsidR="00890AE8" w:rsidRPr="000508B6">
        <w:rPr>
          <w:rFonts w:ascii="Times New Roman" w:hAnsi="Times New Roman" w:cs="Times New Roman"/>
          <w:lang w:val="ro-MD"/>
        </w:rPr>
        <w:t>management</w:t>
      </w:r>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raportare a riscurilor sunt adecvate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în special, că modelul intern respectă </w:t>
      </w:r>
      <w:proofErr w:type="spellStart"/>
      <w:r w:rsidR="00F95829" w:rsidRPr="000508B6">
        <w:rPr>
          <w:rFonts w:ascii="Times New Roman" w:hAnsi="Times New Roman" w:cs="Times New Roman"/>
          <w:lang w:val="ro-MD"/>
        </w:rPr>
        <w:t>cerinţele</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menţionate</w:t>
      </w:r>
      <w:proofErr w:type="spellEnd"/>
      <w:r w:rsidR="00F95829" w:rsidRPr="000508B6">
        <w:rPr>
          <w:rFonts w:ascii="Times New Roman" w:hAnsi="Times New Roman" w:cs="Times New Roman"/>
          <w:lang w:val="ro-MD"/>
        </w:rPr>
        <w:t xml:space="preserve"> la alin. (4). </w:t>
      </w:r>
      <w:r w:rsidR="00530E7C" w:rsidRPr="000508B6">
        <w:rPr>
          <w:rFonts w:ascii="Times New Roman" w:hAnsi="Times New Roman" w:cs="Times New Roman"/>
          <w:lang w:val="ro-MD"/>
        </w:rPr>
        <w:t xml:space="preserve"> </w:t>
      </w:r>
    </w:p>
    <w:p w14:paraId="426F118F" w14:textId="58460EB4" w:rsidR="00F95829" w:rsidRPr="000508B6" w:rsidRDefault="00757FF0" w:rsidP="00CF5AFA">
      <w:pPr>
        <w:pStyle w:val="Listparagraf"/>
        <w:numPr>
          <w:ilvl w:val="1"/>
          <w:numId w:val="1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w:t>
      </w:r>
      <w:r w:rsidR="00890AE8" w:rsidRPr="000508B6">
        <w:rPr>
          <w:rFonts w:ascii="Times New Roman" w:hAnsi="Times New Roman" w:cs="Times New Roman"/>
          <w:lang w:val="ro-MD"/>
        </w:rPr>
        <w:t>ecizi</w:t>
      </w:r>
      <w:r w:rsidRPr="000508B6">
        <w:rPr>
          <w:rFonts w:ascii="Times New Roman" w:hAnsi="Times New Roman" w:cs="Times New Roman"/>
          <w:lang w:val="ro-MD"/>
        </w:rPr>
        <w:t>a</w:t>
      </w:r>
      <w:r w:rsidR="00890AE8" w:rsidRPr="000508B6">
        <w:rPr>
          <w:rFonts w:ascii="Times New Roman" w:hAnsi="Times New Roman" w:cs="Times New Roman"/>
          <w:lang w:val="ro-MD"/>
        </w:rPr>
        <w:t xml:space="preserve"> de respingere a </w:t>
      </w:r>
      <w:r w:rsidR="00154179" w:rsidRPr="000508B6">
        <w:rPr>
          <w:rFonts w:ascii="Times New Roman" w:hAnsi="Times New Roman" w:cs="Times New Roman"/>
          <w:lang w:val="ro-MD"/>
        </w:rPr>
        <w:t xml:space="preserve">cererii </w:t>
      </w:r>
      <w:r w:rsidR="00F95829" w:rsidRPr="000508B6">
        <w:rPr>
          <w:rFonts w:ascii="Times New Roman" w:hAnsi="Times New Roman" w:cs="Times New Roman"/>
          <w:lang w:val="ro-MD"/>
        </w:rPr>
        <w:t xml:space="preserve">de utilizare a </w:t>
      </w:r>
      <w:r w:rsidR="00890AE8" w:rsidRPr="000508B6">
        <w:rPr>
          <w:rFonts w:ascii="Times New Roman" w:hAnsi="Times New Roman" w:cs="Times New Roman"/>
          <w:lang w:val="ro-MD"/>
        </w:rPr>
        <w:t>unui model</w:t>
      </w:r>
      <w:r w:rsidR="00F95829" w:rsidRPr="000508B6">
        <w:rPr>
          <w:rFonts w:ascii="Times New Roman" w:hAnsi="Times New Roman" w:cs="Times New Roman"/>
          <w:lang w:val="ro-MD"/>
        </w:rPr>
        <w:t xml:space="preserve"> intern</w:t>
      </w:r>
      <w:r w:rsidR="00890AE8" w:rsidRPr="000508B6">
        <w:rPr>
          <w:rFonts w:ascii="Times New Roman" w:hAnsi="Times New Roman" w:cs="Times New Roman"/>
          <w:lang w:val="ro-MD"/>
        </w:rPr>
        <w:t xml:space="preserve"> luată de</w:t>
      </w:r>
      <w:r w:rsidR="00F95829" w:rsidRPr="000508B6">
        <w:rPr>
          <w:rFonts w:ascii="Times New Roman" w:hAnsi="Times New Roman" w:cs="Times New Roman"/>
          <w:lang w:val="ro-MD"/>
        </w:rPr>
        <w:t xml:space="preserve"> </w:t>
      </w:r>
      <w:r w:rsidR="00BA25E7" w:rsidRPr="000508B6">
        <w:rPr>
          <w:rFonts w:ascii="Times New Roman" w:hAnsi="Times New Roman" w:cs="Times New Roman"/>
          <w:lang w:val="ro-MD"/>
        </w:rPr>
        <w:t>Banca Națională a Moldovei</w:t>
      </w:r>
      <w:r w:rsidR="00F95829" w:rsidRPr="000508B6">
        <w:rPr>
          <w:rFonts w:ascii="Times New Roman" w:hAnsi="Times New Roman" w:cs="Times New Roman"/>
          <w:lang w:val="ro-MD"/>
        </w:rPr>
        <w:t xml:space="preserve"> </w:t>
      </w:r>
      <w:r w:rsidR="00890AE8" w:rsidRPr="000508B6">
        <w:rPr>
          <w:rFonts w:ascii="Times New Roman" w:hAnsi="Times New Roman" w:cs="Times New Roman"/>
          <w:lang w:val="ro-MD"/>
        </w:rPr>
        <w:t xml:space="preserve">este </w:t>
      </w:r>
      <w:r w:rsidR="00F95829" w:rsidRPr="000508B6">
        <w:rPr>
          <w:rFonts w:ascii="Times New Roman" w:hAnsi="Times New Roman" w:cs="Times New Roman"/>
          <w:lang w:val="ro-MD"/>
        </w:rPr>
        <w:t xml:space="preserve">motivată </w:t>
      </w:r>
      <w:r w:rsidR="00890AE8" w:rsidRPr="000508B6">
        <w:rPr>
          <w:rFonts w:ascii="Times New Roman" w:hAnsi="Times New Roman" w:cs="Times New Roman"/>
          <w:lang w:val="ro-MD"/>
        </w:rPr>
        <w:t>corespunzător</w:t>
      </w:r>
      <w:r w:rsidR="00F95829" w:rsidRPr="000508B6">
        <w:rPr>
          <w:rFonts w:ascii="Times New Roman" w:hAnsi="Times New Roman" w:cs="Times New Roman"/>
          <w:lang w:val="ro-MD"/>
        </w:rPr>
        <w:t xml:space="preserve">. </w:t>
      </w:r>
    </w:p>
    <w:p w14:paraId="3A016069" w14:textId="5093D6F8" w:rsidR="00F95829" w:rsidRPr="000508B6" w:rsidRDefault="006954FA" w:rsidP="00CF5AFA">
      <w:pPr>
        <w:pStyle w:val="Listparagraf"/>
        <w:numPr>
          <w:ilvl w:val="1"/>
          <w:numId w:val="1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După ce </w:t>
      </w:r>
      <w:r w:rsidR="00775313" w:rsidRPr="000508B6">
        <w:rPr>
          <w:rFonts w:ascii="Times New Roman" w:hAnsi="Times New Roman" w:cs="Times New Roman"/>
          <w:lang w:val="ro-MD"/>
        </w:rPr>
        <w:t xml:space="preserve">primește din partea Băncii Naționale a Moldovei </w:t>
      </w:r>
      <w:r w:rsidRPr="000508B6">
        <w:rPr>
          <w:rFonts w:ascii="Times New Roman" w:hAnsi="Times New Roman" w:cs="Times New Roman"/>
          <w:lang w:val="ro-MD"/>
        </w:rPr>
        <w:t xml:space="preserve">aprobarea de a utiliza un model intern,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775313" w:rsidRPr="000508B6">
        <w:rPr>
          <w:rFonts w:ascii="Times New Roman" w:hAnsi="Times New Roman" w:cs="Times New Roman"/>
          <w:lang w:val="ro-MD"/>
        </w:rPr>
        <w:t xml:space="preserve"> prezintă Băncii Naționale a Moldovei,</w:t>
      </w:r>
      <w:r w:rsidRPr="000508B6">
        <w:rPr>
          <w:rFonts w:ascii="Times New Roman" w:hAnsi="Times New Roman" w:cs="Times New Roman"/>
          <w:lang w:val="ro-MD"/>
        </w:rPr>
        <w:t xml:space="preserve"> odată la doi ani</w:t>
      </w:r>
      <w:r w:rsidR="00775313" w:rsidRPr="000508B6">
        <w:rPr>
          <w:rFonts w:ascii="Times New Roman" w:hAnsi="Times New Roman" w:cs="Times New Roman"/>
          <w:lang w:val="ro-MD"/>
        </w:rPr>
        <w:t>,</w:t>
      </w:r>
      <w:r w:rsidRPr="000508B6">
        <w:rPr>
          <w:rFonts w:ascii="Times New Roman" w:hAnsi="Times New Roman" w:cs="Times New Roman"/>
          <w:lang w:val="ro-MD"/>
        </w:rPr>
        <w:t xml:space="preserve"> o estimare a </w:t>
      </w:r>
      <w:r w:rsidR="00775313" w:rsidRPr="000508B6">
        <w:rPr>
          <w:rFonts w:ascii="Times New Roman" w:hAnsi="Times New Roman" w:cs="Times New Roman"/>
          <w:lang w:val="ro-MD"/>
        </w:rPr>
        <w:t>SCR calculată</w:t>
      </w:r>
      <w:r w:rsidRPr="000508B6">
        <w:rPr>
          <w:rFonts w:ascii="Times New Roman" w:hAnsi="Times New Roman" w:cs="Times New Roman"/>
          <w:lang w:val="ro-MD"/>
        </w:rPr>
        <w:t xml:space="preserve"> în conformitate cu formula standard prevăzută </w:t>
      </w:r>
      <w:r w:rsidR="00775313" w:rsidRPr="000508B6">
        <w:rPr>
          <w:rFonts w:ascii="Times New Roman" w:hAnsi="Times New Roman" w:cs="Times New Roman"/>
          <w:lang w:val="ro-MD"/>
        </w:rPr>
        <w:t>la</w:t>
      </w:r>
      <w:r w:rsidRPr="000508B6">
        <w:rPr>
          <w:rFonts w:ascii="Times New Roman" w:hAnsi="Times New Roman" w:cs="Times New Roman"/>
          <w:lang w:val="ro-MD"/>
        </w:rPr>
        <w:t xml:space="preserve"> </w:t>
      </w:r>
      <w:r w:rsidR="00E30F8D" w:rsidRPr="000508B6">
        <w:rPr>
          <w:rFonts w:ascii="Times New Roman" w:hAnsi="Times New Roman" w:cs="Times New Roman"/>
          <w:lang w:val="ro-MD"/>
        </w:rPr>
        <w:t>art. 66-74</w:t>
      </w:r>
      <w:r w:rsidRPr="000508B6">
        <w:rPr>
          <w:rFonts w:ascii="Times New Roman" w:hAnsi="Times New Roman" w:cs="Times New Roman"/>
          <w:lang w:val="ro-MD"/>
        </w:rPr>
        <w:t xml:space="preserve">. </w:t>
      </w:r>
      <w:r w:rsidR="00775313" w:rsidRPr="000508B6">
        <w:rPr>
          <w:rFonts w:ascii="Times New Roman" w:hAnsi="Times New Roman" w:cs="Times New Roman"/>
          <w:lang w:val="ro-MD"/>
        </w:rPr>
        <w:t>Banca Națională a Moldovei poate solicita</w:t>
      </w:r>
      <w:r w:rsidRPr="000508B6">
        <w:rPr>
          <w:rFonts w:ascii="Times New Roman" w:hAnsi="Times New Roman" w:cs="Times New Roman"/>
          <w:lang w:val="ro-MD"/>
        </w:rPr>
        <w:t xml:space="preserve">, printr-o decizie motivată, </w:t>
      </w:r>
      <w:r w:rsidR="00775313" w:rsidRPr="000508B6">
        <w:rPr>
          <w:rFonts w:ascii="Times New Roman" w:hAnsi="Times New Roman" w:cs="Times New Roman"/>
          <w:lang w:val="ro-MD"/>
        </w:rPr>
        <w:t>o raportare</w:t>
      </w:r>
      <w:r w:rsidRPr="000508B6">
        <w:rPr>
          <w:rFonts w:ascii="Times New Roman" w:hAnsi="Times New Roman" w:cs="Times New Roman"/>
          <w:lang w:val="ro-MD"/>
        </w:rPr>
        <w:t xml:space="preserve"> mai </w:t>
      </w:r>
      <w:r w:rsidR="00775313" w:rsidRPr="000508B6">
        <w:rPr>
          <w:rFonts w:ascii="Times New Roman" w:hAnsi="Times New Roman" w:cs="Times New Roman"/>
          <w:lang w:val="ro-MD"/>
        </w:rPr>
        <w:t>frecventă</w:t>
      </w:r>
      <w:r w:rsidRPr="000508B6">
        <w:rPr>
          <w:rFonts w:ascii="Times New Roman" w:hAnsi="Times New Roman" w:cs="Times New Roman"/>
          <w:lang w:val="ro-MD"/>
        </w:rPr>
        <w:t xml:space="preserve"> din partea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775313" w:rsidRPr="000508B6">
        <w:rPr>
          <w:rFonts w:ascii="Times New Roman" w:hAnsi="Times New Roman" w:cs="Times New Roman"/>
          <w:lang w:val="ro-MD"/>
        </w:rPr>
        <w:t>.</w:t>
      </w:r>
    </w:p>
    <w:p w14:paraId="2AE45412" w14:textId="25AFD5C5" w:rsidR="00F54481" w:rsidRPr="000508B6" w:rsidRDefault="00B36665" w:rsidP="00CF5AFA">
      <w:pPr>
        <w:pStyle w:val="Listparagraf"/>
        <w:numPr>
          <w:ilvl w:val="1"/>
          <w:numId w:val="1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w:t>
      </w:r>
      <w:r w:rsidR="00F54481" w:rsidRPr="000508B6">
        <w:rPr>
          <w:rFonts w:ascii="Times New Roman" w:hAnsi="Times New Roman" w:cs="Times New Roman"/>
          <w:lang w:val="ro-MD"/>
        </w:rPr>
        <w:t>sau</w:t>
      </w:r>
      <w:r w:rsidR="00F54481" w:rsidRPr="000508B6" w:rsidDel="00B36665">
        <w:rPr>
          <w:rFonts w:ascii="Times New Roman" w:hAnsi="Times New Roman" w:cs="Times New Roman"/>
          <w:lang w:val="ro-MD"/>
        </w:rPr>
        <w:t xml:space="preserve">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F54481" w:rsidRPr="000508B6">
        <w:rPr>
          <w:rFonts w:ascii="Times New Roman" w:hAnsi="Times New Roman" w:cs="Times New Roman"/>
          <w:lang w:val="ro-MD"/>
        </w:rPr>
        <w:t>care intenționează să utilizeze un model intern, integral sau parțial, poate solicita Băncii Naționale a Moldovei demararea unui proces de analiză prealabilă.</w:t>
      </w:r>
    </w:p>
    <w:p w14:paraId="61DC5E3B" w14:textId="77777777" w:rsidR="00F95829" w:rsidRPr="000508B6" w:rsidRDefault="00F95829" w:rsidP="008B530F">
      <w:pPr>
        <w:tabs>
          <w:tab w:val="left" w:pos="709"/>
        </w:tabs>
        <w:spacing w:after="0" w:line="240" w:lineRule="auto"/>
        <w:ind w:firstLine="426"/>
        <w:jc w:val="both"/>
        <w:rPr>
          <w:rFonts w:ascii="Times New Roman" w:hAnsi="Times New Roman" w:cs="Times New Roman"/>
          <w:b/>
          <w:lang w:val="ro-MD"/>
        </w:rPr>
      </w:pPr>
    </w:p>
    <w:p w14:paraId="5E17DF37" w14:textId="2F2B5269"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76</w:t>
      </w:r>
      <w:r w:rsidR="007C4341" w:rsidRPr="000508B6">
        <w:rPr>
          <w:rFonts w:ascii="Times New Roman" w:hAnsi="Times New Roman" w:cs="Times New Roman"/>
          <w:b/>
          <w:lang w:val="ro-MD"/>
        </w:rPr>
        <w:t>.</w:t>
      </w:r>
      <w:r w:rsidRPr="000508B6">
        <w:rPr>
          <w:rFonts w:ascii="Times New Roman" w:hAnsi="Times New Roman" w:cs="Times New Roman"/>
          <w:lang w:val="ro-MD"/>
        </w:rPr>
        <w:t xml:space="preserve"> Prevederi specifice referitoare la procesul de aprobare a modelului intern </w:t>
      </w:r>
      <w:proofErr w:type="spellStart"/>
      <w:r w:rsidR="00530E7C" w:rsidRPr="000508B6">
        <w:rPr>
          <w:rFonts w:ascii="Times New Roman" w:hAnsi="Times New Roman" w:cs="Times New Roman"/>
          <w:lang w:val="ro-MD"/>
        </w:rPr>
        <w:t>partial</w:t>
      </w:r>
      <w:proofErr w:type="spellEnd"/>
      <w:r w:rsidR="00530E7C" w:rsidRPr="000508B6">
        <w:rPr>
          <w:rFonts w:ascii="Times New Roman" w:hAnsi="Times New Roman" w:cs="Times New Roman"/>
          <w:lang w:val="ro-MD"/>
        </w:rPr>
        <w:t xml:space="preserve"> </w:t>
      </w:r>
    </w:p>
    <w:p w14:paraId="54DB1C64" w14:textId="207BE126" w:rsidR="00F95829" w:rsidRPr="000508B6" w:rsidRDefault="00BA25E7" w:rsidP="00966566">
      <w:pPr>
        <w:pStyle w:val="Listparagraf"/>
        <w:numPr>
          <w:ilvl w:val="1"/>
          <w:numId w:val="16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Banca Națională a Moldovei</w:t>
      </w:r>
      <w:r w:rsidR="00F95829" w:rsidRPr="000508B6">
        <w:rPr>
          <w:rFonts w:ascii="Times New Roman" w:hAnsi="Times New Roman" w:cs="Times New Roman"/>
          <w:lang w:val="ro-MD"/>
        </w:rPr>
        <w:t xml:space="preserve"> aprobă </w:t>
      </w:r>
      <w:r w:rsidR="00593CC3" w:rsidRPr="000508B6">
        <w:rPr>
          <w:rFonts w:ascii="Times New Roman" w:hAnsi="Times New Roman" w:cs="Times New Roman"/>
          <w:lang w:val="ro-MD"/>
        </w:rPr>
        <w:t xml:space="preserve">utilizarea de către </w:t>
      </w:r>
      <w:r w:rsidR="004125E8" w:rsidRPr="000508B6">
        <w:rPr>
          <w:rFonts w:ascii="Times New Roman" w:hAnsi="Times New Roman" w:cs="Times New Roman"/>
          <w:lang w:val="ro-MD"/>
        </w:rPr>
        <w:t xml:space="preserve">asigurător sau </w:t>
      </w:r>
      <w:proofErr w:type="spellStart"/>
      <w:r w:rsidR="004125E8" w:rsidRPr="000508B6">
        <w:rPr>
          <w:rFonts w:ascii="Times New Roman" w:hAnsi="Times New Roman" w:cs="Times New Roman"/>
          <w:lang w:val="ro-MD"/>
        </w:rPr>
        <w:t>reasigurător</w:t>
      </w:r>
      <w:proofErr w:type="spellEnd"/>
      <w:r w:rsidR="00F95829" w:rsidRPr="000508B6">
        <w:rPr>
          <w:rFonts w:ascii="Times New Roman" w:hAnsi="Times New Roman" w:cs="Times New Roman"/>
          <w:lang w:val="ro-MD"/>
        </w:rPr>
        <w:t xml:space="preserve"> </w:t>
      </w:r>
      <w:r w:rsidR="00F860E1" w:rsidRPr="000508B6">
        <w:rPr>
          <w:rFonts w:ascii="Times New Roman" w:hAnsi="Times New Roman" w:cs="Times New Roman"/>
          <w:lang w:val="ro-MD"/>
        </w:rPr>
        <w:t>a</w:t>
      </w:r>
      <w:r w:rsidR="00F95829" w:rsidRPr="000508B6">
        <w:rPr>
          <w:rFonts w:ascii="Times New Roman" w:hAnsi="Times New Roman" w:cs="Times New Roman"/>
          <w:lang w:val="ro-MD"/>
        </w:rPr>
        <w:t xml:space="preserve"> unui model intern </w:t>
      </w:r>
      <w:proofErr w:type="spellStart"/>
      <w:r w:rsidR="00F95829" w:rsidRPr="000508B6">
        <w:rPr>
          <w:rFonts w:ascii="Times New Roman" w:hAnsi="Times New Roman" w:cs="Times New Roman"/>
          <w:lang w:val="ro-MD"/>
        </w:rPr>
        <w:t>parţial</w:t>
      </w:r>
      <w:proofErr w:type="spellEnd"/>
      <w:r w:rsidR="00F95829" w:rsidRPr="000508B6">
        <w:rPr>
          <w:rFonts w:ascii="Times New Roman" w:hAnsi="Times New Roman" w:cs="Times New Roman"/>
          <w:lang w:val="ro-MD"/>
        </w:rPr>
        <w:t xml:space="preserve"> în </w:t>
      </w:r>
      <w:proofErr w:type="spellStart"/>
      <w:r w:rsidR="00F95829" w:rsidRPr="000508B6">
        <w:rPr>
          <w:rFonts w:ascii="Times New Roman" w:hAnsi="Times New Roman" w:cs="Times New Roman"/>
          <w:lang w:val="ro-MD"/>
        </w:rPr>
        <w:t>condiţiile</w:t>
      </w:r>
      <w:proofErr w:type="spellEnd"/>
      <w:r w:rsidR="00F95829" w:rsidRPr="000508B6">
        <w:rPr>
          <w:rFonts w:ascii="Times New Roman" w:hAnsi="Times New Roman" w:cs="Times New Roman"/>
          <w:lang w:val="ro-MD"/>
        </w:rPr>
        <w:t xml:space="preserve"> prevăzute la art. </w:t>
      </w:r>
      <w:r w:rsidR="00780DEB" w:rsidRPr="000508B6">
        <w:rPr>
          <w:rFonts w:ascii="Times New Roman" w:hAnsi="Times New Roman" w:cs="Times New Roman"/>
          <w:lang w:val="ro-MD"/>
        </w:rPr>
        <w:t xml:space="preserve">75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cu respectarea următoarelor</w:t>
      </w:r>
      <w:r w:rsidR="00890AE8" w:rsidRPr="000508B6">
        <w:rPr>
          <w:rFonts w:ascii="Times New Roman" w:hAnsi="Times New Roman" w:cs="Times New Roman"/>
          <w:lang w:val="ro-MD"/>
        </w:rPr>
        <w:t xml:space="preserve"> condiții</w:t>
      </w:r>
      <w:r w:rsidR="00F95829" w:rsidRPr="000508B6">
        <w:rPr>
          <w:rFonts w:ascii="Times New Roman" w:hAnsi="Times New Roman" w:cs="Times New Roman"/>
          <w:lang w:val="ro-MD"/>
        </w:rPr>
        <w:t xml:space="preserve">: </w:t>
      </w:r>
    </w:p>
    <w:p w14:paraId="74DD193E" w14:textId="53944AA7" w:rsidR="00F95829" w:rsidRPr="000508B6" w:rsidRDefault="004125E8" w:rsidP="00DE4225">
      <w:pPr>
        <w:pStyle w:val="Listparagraf"/>
        <w:numPr>
          <w:ilvl w:val="2"/>
          <w:numId w:val="16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w:t>
      </w:r>
      <w:r w:rsidR="00890AE8" w:rsidRPr="000508B6">
        <w:rPr>
          <w:rFonts w:ascii="Times New Roman" w:hAnsi="Times New Roman" w:cs="Times New Roman"/>
          <w:lang w:val="ro-MD"/>
        </w:rPr>
        <w:t>justifică</w:t>
      </w:r>
      <w:r w:rsidR="00F95829" w:rsidRPr="000508B6">
        <w:rPr>
          <w:rFonts w:ascii="Times New Roman" w:hAnsi="Times New Roman" w:cs="Times New Roman"/>
          <w:lang w:val="ro-MD"/>
        </w:rPr>
        <w:t xml:space="preserve"> în mod </w:t>
      </w:r>
      <w:r w:rsidR="00890AE8" w:rsidRPr="000508B6">
        <w:rPr>
          <w:rFonts w:ascii="Times New Roman" w:hAnsi="Times New Roman" w:cs="Times New Roman"/>
          <w:lang w:val="ro-MD"/>
        </w:rPr>
        <w:t>corespunzător</w:t>
      </w:r>
      <w:r w:rsidR="00F95829" w:rsidRPr="000508B6">
        <w:rPr>
          <w:rFonts w:ascii="Times New Roman" w:hAnsi="Times New Roman" w:cs="Times New Roman"/>
          <w:lang w:val="ro-MD"/>
        </w:rPr>
        <w:t xml:space="preserve"> sfera de aplicare limitată a modelului; </w:t>
      </w:r>
    </w:p>
    <w:p w14:paraId="611E5575" w14:textId="2A3B4E3E" w:rsidR="00F95829" w:rsidRPr="000508B6" w:rsidRDefault="00F95829" w:rsidP="00DE4225">
      <w:pPr>
        <w:pStyle w:val="Listparagraf"/>
        <w:numPr>
          <w:ilvl w:val="2"/>
          <w:numId w:val="16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SCR </w:t>
      </w:r>
      <w:proofErr w:type="spellStart"/>
      <w:r w:rsidRPr="000508B6">
        <w:rPr>
          <w:rFonts w:ascii="Times New Roman" w:hAnsi="Times New Roman" w:cs="Times New Roman"/>
          <w:lang w:val="ro-MD"/>
        </w:rPr>
        <w:t>obţinut</w:t>
      </w:r>
      <w:r w:rsidR="00890AE8" w:rsidRPr="000508B6">
        <w:rPr>
          <w:rFonts w:ascii="Times New Roman" w:hAnsi="Times New Roman" w:cs="Times New Roman"/>
          <w:lang w:val="ro-MD"/>
        </w:rPr>
        <w:t>ă</w:t>
      </w:r>
      <w:proofErr w:type="spellEnd"/>
      <w:r w:rsidRPr="000508B6">
        <w:rPr>
          <w:rFonts w:ascii="Times New Roman" w:hAnsi="Times New Roman" w:cs="Times New Roman"/>
          <w:lang w:val="ro-MD"/>
        </w:rPr>
        <w:t xml:space="preserve"> prin utilizarea modelului respectiv, reflectă mai bine profilul de risc</w:t>
      </w:r>
      <w:r w:rsidR="00890AE8" w:rsidRPr="000508B6">
        <w:rPr>
          <w:rFonts w:ascii="Times New Roman" w:hAnsi="Times New Roman" w:cs="Times New Roman"/>
          <w:lang w:val="ro-MD"/>
        </w:rPr>
        <w:t xml:space="preserve"> și, în special </w:t>
      </w:r>
      <w:r w:rsidRPr="000508B6">
        <w:rPr>
          <w:rFonts w:ascii="Times New Roman" w:hAnsi="Times New Roman" w:cs="Times New Roman"/>
          <w:lang w:val="ro-MD"/>
        </w:rPr>
        <w:t xml:space="preserve"> respect</w:t>
      </w:r>
      <w:r w:rsidR="00890AE8" w:rsidRPr="000508B6">
        <w:rPr>
          <w:rFonts w:ascii="Times New Roman" w:hAnsi="Times New Roman" w:cs="Times New Roman"/>
          <w:lang w:val="ro-MD"/>
        </w:rPr>
        <w:t>ă</w:t>
      </w:r>
      <w:r w:rsidR="00C51E3C" w:rsidRPr="000508B6">
        <w:rPr>
          <w:rFonts w:ascii="Times New Roman" w:hAnsi="Times New Roman" w:cs="Times New Roman"/>
          <w:lang w:val="ro-MD"/>
        </w:rPr>
        <w:t xml:space="preserve"> </w:t>
      </w:r>
      <w:r w:rsidR="00890AE8" w:rsidRPr="000508B6">
        <w:rPr>
          <w:rFonts w:ascii="Times New Roman" w:hAnsi="Times New Roman" w:cs="Times New Roman"/>
          <w:lang w:val="ro-MD"/>
        </w:rPr>
        <w:t xml:space="preserve">principiile prevăzute în </w:t>
      </w:r>
      <w:r w:rsidRPr="000508B6">
        <w:rPr>
          <w:rFonts w:ascii="Times New Roman" w:hAnsi="Times New Roman" w:cs="Times New Roman"/>
          <w:lang w:val="ro-MD"/>
        </w:rPr>
        <w:t xml:space="preserve"> </w:t>
      </w:r>
      <w:r w:rsidR="00782DE1" w:rsidRPr="000508B6">
        <w:rPr>
          <w:rFonts w:ascii="Times New Roman" w:hAnsi="Times New Roman" w:cs="Times New Roman"/>
          <w:lang w:val="ro-MD"/>
        </w:rPr>
        <w:t>art. 64-65</w:t>
      </w:r>
      <w:r w:rsidRPr="000508B6">
        <w:rPr>
          <w:rFonts w:ascii="Times New Roman" w:hAnsi="Times New Roman" w:cs="Times New Roman"/>
          <w:lang w:val="ro-MD"/>
        </w:rPr>
        <w:t xml:space="preserve">; </w:t>
      </w:r>
    </w:p>
    <w:p w14:paraId="63C1661C" w14:textId="100633E9" w:rsidR="00F95829" w:rsidRPr="000508B6" w:rsidRDefault="00F95829" w:rsidP="00DE4225">
      <w:pPr>
        <w:pStyle w:val="Listparagraf"/>
        <w:numPr>
          <w:ilvl w:val="2"/>
          <w:numId w:val="16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structura </w:t>
      </w:r>
      <w:r w:rsidR="00890AE8" w:rsidRPr="000508B6">
        <w:rPr>
          <w:rFonts w:ascii="Times New Roman" w:hAnsi="Times New Roman" w:cs="Times New Roman"/>
          <w:lang w:val="ro-MD"/>
        </w:rPr>
        <w:t>sa</w:t>
      </w:r>
      <w:r w:rsidRPr="000508B6">
        <w:rPr>
          <w:rFonts w:ascii="Times New Roman" w:hAnsi="Times New Roman" w:cs="Times New Roman"/>
          <w:lang w:val="ro-MD"/>
        </w:rPr>
        <w:t xml:space="preserve"> respectă principiile </w:t>
      </w:r>
      <w:r w:rsidR="00890AE8" w:rsidRPr="000508B6">
        <w:rPr>
          <w:rFonts w:ascii="Times New Roman" w:hAnsi="Times New Roman" w:cs="Times New Roman"/>
          <w:lang w:val="ro-MD"/>
        </w:rPr>
        <w:t xml:space="preserve">prevăzute în </w:t>
      </w:r>
      <w:r w:rsidR="00782DE1" w:rsidRPr="000508B6">
        <w:rPr>
          <w:rFonts w:ascii="Times New Roman" w:hAnsi="Times New Roman" w:cs="Times New Roman"/>
          <w:lang w:val="ro-MD"/>
        </w:rPr>
        <w:t>art. 64-65</w:t>
      </w:r>
      <w:r w:rsidRPr="000508B6">
        <w:rPr>
          <w:rFonts w:ascii="Times New Roman" w:hAnsi="Times New Roman" w:cs="Times New Roman"/>
          <w:lang w:val="ro-MD"/>
        </w:rPr>
        <w:t xml:space="preserve">, ceea ce permite </w:t>
      </w:r>
      <w:r w:rsidR="00890AE8" w:rsidRPr="000508B6">
        <w:rPr>
          <w:rFonts w:ascii="Times New Roman" w:hAnsi="Times New Roman" w:cs="Times New Roman"/>
          <w:lang w:val="ro-MD"/>
        </w:rPr>
        <w:t>deplina integrare</w:t>
      </w:r>
      <w:r w:rsidRPr="000508B6">
        <w:rPr>
          <w:rFonts w:ascii="Times New Roman" w:hAnsi="Times New Roman" w:cs="Times New Roman"/>
          <w:lang w:val="ro-MD"/>
        </w:rPr>
        <w:t xml:space="preserve"> a modelului </w:t>
      </w:r>
      <w:r w:rsidR="00890AE8" w:rsidRPr="000508B6">
        <w:rPr>
          <w:rFonts w:ascii="Times New Roman" w:hAnsi="Times New Roman" w:cs="Times New Roman"/>
          <w:lang w:val="ro-MD"/>
        </w:rPr>
        <w:t>intern parțial</w:t>
      </w:r>
      <w:r w:rsidRPr="000508B6">
        <w:rPr>
          <w:rFonts w:ascii="Times New Roman" w:hAnsi="Times New Roman" w:cs="Times New Roman"/>
          <w:lang w:val="ro-MD"/>
        </w:rPr>
        <w:t xml:space="preserve"> în formula standard</w:t>
      </w:r>
      <w:r w:rsidR="00890AE8" w:rsidRPr="000508B6">
        <w:rPr>
          <w:rFonts w:ascii="Times New Roman" w:hAnsi="Times New Roman" w:cs="Times New Roman"/>
          <w:lang w:val="ro-MD"/>
        </w:rPr>
        <w:t xml:space="preserve"> de calcul al SCR.</w:t>
      </w:r>
    </w:p>
    <w:p w14:paraId="75F994D2" w14:textId="5AD5936F" w:rsidR="0008348C" w:rsidRPr="000508B6" w:rsidRDefault="001D4467" w:rsidP="00DE4225">
      <w:pPr>
        <w:pStyle w:val="Listparagraf"/>
        <w:numPr>
          <w:ilvl w:val="1"/>
          <w:numId w:val="16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La examinarea</w:t>
      </w:r>
      <w:r w:rsidR="0008348C" w:rsidRPr="000508B6">
        <w:rPr>
          <w:rFonts w:ascii="Times New Roman" w:hAnsi="Times New Roman" w:cs="Times New Roman"/>
          <w:lang w:val="ro-MD"/>
        </w:rPr>
        <w:t xml:space="preserve"> cerer</w:t>
      </w:r>
      <w:r w:rsidRPr="000508B6">
        <w:rPr>
          <w:rFonts w:ascii="Times New Roman" w:hAnsi="Times New Roman" w:cs="Times New Roman"/>
          <w:lang w:val="ro-MD"/>
        </w:rPr>
        <w:t>ii</w:t>
      </w:r>
      <w:r w:rsidR="0008348C" w:rsidRPr="000508B6">
        <w:rPr>
          <w:rFonts w:ascii="Times New Roman" w:hAnsi="Times New Roman" w:cs="Times New Roman"/>
          <w:lang w:val="ro-MD"/>
        </w:rPr>
        <w:t xml:space="preserve"> de utilizare a unui model intern parțial care acoperă numai anumite </w:t>
      </w:r>
      <w:proofErr w:type="spellStart"/>
      <w:r w:rsidR="0008348C" w:rsidRPr="000508B6">
        <w:rPr>
          <w:rFonts w:ascii="Times New Roman" w:hAnsi="Times New Roman" w:cs="Times New Roman"/>
          <w:lang w:val="ro-MD"/>
        </w:rPr>
        <w:t>submodule</w:t>
      </w:r>
      <w:proofErr w:type="spellEnd"/>
      <w:r w:rsidR="0008348C" w:rsidRPr="000508B6">
        <w:rPr>
          <w:rFonts w:ascii="Times New Roman" w:hAnsi="Times New Roman" w:cs="Times New Roman"/>
          <w:lang w:val="ro-MD"/>
        </w:rPr>
        <w:t xml:space="preserve"> ale unui anumit modul de risc sau numai unele dintre unitățile operaționale al</w:t>
      </w:r>
      <w:r w:rsidR="00F97F1A">
        <w:rPr>
          <w:rFonts w:ascii="Times New Roman" w:hAnsi="Times New Roman" w:cs="Times New Roman"/>
          <w:lang w:val="ro-MD"/>
        </w:rPr>
        <w:t>e</w:t>
      </w:r>
      <w:r w:rsidR="0008348C"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08348C" w:rsidRPr="000508B6">
        <w:rPr>
          <w:rFonts w:ascii="Times New Roman" w:hAnsi="Times New Roman" w:cs="Times New Roman"/>
          <w:lang w:val="ro-MD"/>
        </w:rPr>
        <w:t xml:space="preserve"> pentru un anumit modul de risc sau părți din ambele, Banca Națională a Moldovei poate solicita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08348C" w:rsidRPr="000508B6">
        <w:rPr>
          <w:rFonts w:ascii="Times New Roman" w:hAnsi="Times New Roman" w:cs="Times New Roman"/>
          <w:lang w:val="ro-MD"/>
        </w:rPr>
        <w:t xml:space="preserve"> prezentarea unui plan tranzitoriu realist în vederea extinderii sferei de aplicare a modelului său. </w:t>
      </w:r>
    </w:p>
    <w:p w14:paraId="0D771CA3" w14:textId="2F15FBA7" w:rsidR="00F95829" w:rsidRPr="000508B6" w:rsidRDefault="0008348C" w:rsidP="00DE4225">
      <w:pPr>
        <w:pStyle w:val="Listparagraf"/>
        <w:numPr>
          <w:ilvl w:val="1"/>
          <w:numId w:val="16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Planul tranzitoriu va stabili modul în care </w:t>
      </w:r>
      <w:r w:rsidR="004125E8" w:rsidRPr="000508B6">
        <w:rPr>
          <w:rFonts w:ascii="Times New Roman" w:hAnsi="Times New Roman" w:cs="Times New Roman"/>
          <w:lang w:val="ro-MD"/>
        </w:rPr>
        <w:t>asigurător</w:t>
      </w:r>
      <w:r w:rsidR="00DD0D76" w:rsidRPr="000508B6">
        <w:rPr>
          <w:rFonts w:ascii="Times New Roman" w:hAnsi="Times New Roman" w:cs="Times New Roman"/>
          <w:lang w:val="ro-MD"/>
        </w:rPr>
        <w:t>ul</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planifică să extindă sfera de aplicare a modelului la alte </w:t>
      </w:r>
      <w:proofErr w:type="spellStart"/>
      <w:r w:rsidRPr="000508B6">
        <w:rPr>
          <w:rFonts w:ascii="Times New Roman" w:hAnsi="Times New Roman" w:cs="Times New Roman"/>
          <w:lang w:val="ro-MD"/>
        </w:rPr>
        <w:t>submodule</w:t>
      </w:r>
      <w:proofErr w:type="spellEnd"/>
      <w:r w:rsidRPr="000508B6">
        <w:rPr>
          <w:rFonts w:ascii="Times New Roman" w:hAnsi="Times New Roman" w:cs="Times New Roman"/>
          <w:lang w:val="ro-MD"/>
        </w:rPr>
        <w:t xml:space="preserve"> sau unități operaționale, pentru a se asigura că modelul acoperă o parte predominantă din operațiunile sale de asigurare în ceea ce privește respectivul modul de risc</w:t>
      </w:r>
      <w:r w:rsidR="00F95829" w:rsidRPr="000508B6">
        <w:rPr>
          <w:rFonts w:ascii="Times New Roman" w:hAnsi="Times New Roman" w:cs="Times New Roman"/>
          <w:lang w:val="ro-MD"/>
        </w:rPr>
        <w:t xml:space="preserve">. </w:t>
      </w:r>
    </w:p>
    <w:p w14:paraId="2D92523D" w14:textId="34D20912" w:rsidR="00F95829" w:rsidRPr="000508B6" w:rsidRDefault="00F95829" w:rsidP="008B530F">
      <w:pPr>
        <w:tabs>
          <w:tab w:val="left" w:pos="851"/>
        </w:tabs>
        <w:spacing w:after="0" w:line="240" w:lineRule="auto"/>
        <w:ind w:firstLine="426"/>
        <w:jc w:val="both"/>
        <w:rPr>
          <w:rFonts w:ascii="Times New Roman" w:hAnsi="Times New Roman" w:cs="Times New Roman"/>
          <w:lang w:val="ro-MD"/>
        </w:rPr>
      </w:pPr>
    </w:p>
    <w:p w14:paraId="6169AA67" w14:textId="5AF877E0"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77</w:t>
      </w:r>
      <w:r w:rsidRPr="000508B6">
        <w:rPr>
          <w:rFonts w:ascii="Times New Roman" w:hAnsi="Times New Roman" w:cs="Times New Roman"/>
          <w:b/>
          <w:lang w:val="ro-MD"/>
        </w:rPr>
        <w:t>.</w:t>
      </w:r>
      <w:r w:rsidRPr="000508B6">
        <w:rPr>
          <w:rFonts w:ascii="Times New Roman" w:hAnsi="Times New Roman" w:cs="Times New Roman"/>
          <w:lang w:val="ro-MD"/>
        </w:rPr>
        <w:t xml:space="preserve"> Politica privind modificarea modelului intern </w:t>
      </w:r>
    </w:p>
    <w:p w14:paraId="2DBB0CC2" w14:textId="0F1BD6FF" w:rsidR="00F95829" w:rsidRPr="000508B6" w:rsidRDefault="00F95829" w:rsidP="00966566">
      <w:pPr>
        <w:pStyle w:val="Listparagraf"/>
        <w:numPr>
          <w:ilvl w:val="1"/>
          <w:numId w:val="16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cadrul procesului de aprobare </w:t>
      </w:r>
      <w:proofErr w:type="spellStart"/>
      <w:r w:rsidRPr="000508B6">
        <w:rPr>
          <w:rFonts w:ascii="Times New Roman" w:hAnsi="Times New Roman" w:cs="Times New Roman"/>
          <w:lang w:val="ro-MD"/>
        </w:rPr>
        <w:t>iniţială</w:t>
      </w:r>
      <w:proofErr w:type="spellEnd"/>
      <w:r w:rsidRPr="000508B6">
        <w:rPr>
          <w:rFonts w:ascii="Times New Roman" w:hAnsi="Times New Roman" w:cs="Times New Roman"/>
          <w:lang w:val="ro-MD"/>
        </w:rPr>
        <w:t xml:space="preserve"> a modelului intern,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transmit</w:t>
      </w:r>
      <w:r w:rsidR="00952392" w:rsidRPr="000508B6">
        <w:rPr>
          <w:rFonts w:ascii="Times New Roman" w:hAnsi="Times New Roman" w:cs="Times New Roman"/>
          <w:lang w:val="ro-MD"/>
        </w:rPr>
        <w:t>e</w:t>
      </w:r>
      <w:r w:rsidRPr="000508B6">
        <w:rPr>
          <w:rFonts w:ascii="Times New Roman" w:hAnsi="Times New Roman" w:cs="Times New Roman"/>
          <w:lang w:val="ro-MD"/>
        </w:rPr>
        <w:t xml:space="preserve"> </w:t>
      </w:r>
      <w:r w:rsidR="00BA25E7"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w:t>
      </w:r>
      <w:r w:rsidR="00A6143D" w:rsidRPr="000508B6">
        <w:rPr>
          <w:rFonts w:ascii="Times New Roman" w:hAnsi="Times New Roman" w:cs="Times New Roman"/>
          <w:lang w:val="ro-MD"/>
        </w:rPr>
        <w:t>spre aprobare și</w:t>
      </w:r>
      <w:r w:rsidRPr="000508B6">
        <w:rPr>
          <w:rFonts w:ascii="Times New Roman" w:hAnsi="Times New Roman" w:cs="Times New Roman"/>
          <w:lang w:val="ro-MD"/>
        </w:rPr>
        <w:t xml:space="preserve"> politica </w:t>
      </w:r>
      <w:r w:rsidR="0070559B" w:rsidRPr="000508B6">
        <w:rPr>
          <w:rFonts w:ascii="Times New Roman" w:hAnsi="Times New Roman" w:cs="Times New Roman"/>
          <w:lang w:val="ro-MD"/>
        </w:rPr>
        <w:t>de modificare</w:t>
      </w:r>
      <w:r w:rsidRPr="000508B6">
        <w:rPr>
          <w:rFonts w:ascii="Times New Roman" w:hAnsi="Times New Roman" w:cs="Times New Roman"/>
          <w:lang w:val="ro-MD"/>
        </w:rPr>
        <w:t xml:space="preserve"> </w:t>
      </w:r>
      <w:r w:rsidR="006E335A" w:rsidRPr="000508B6">
        <w:rPr>
          <w:rFonts w:ascii="Times New Roman" w:hAnsi="Times New Roman" w:cs="Times New Roman"/>
          <w:lang w:val="ro-MD"/>
        </w:rPr>
        <w:t xml:space="preserve">a </w:t>
      </w:r>
      <w:r w:rsidRPr="000508B6">
        <w:rPr>
          <w:rFonts w:ascii="Times New Roman" w:hAnsi="Times New Roman" w:cs="Times New Roman"/>
          <w:lang w:val="ro-MD"/>
        </w:rPr>
        <w:t xml:space="preserve">modelului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care </w:t>
      </w:r>
      <w:r w:rsidR="0031190C" w:rsidRPr="000508B6">
        <w:rPr>
          <w:rFonts w:ascii="Times New Roman" w:hAnsi="Times New Roman" w:cs="Times New Roman"/>
          <w:lang w:val="ro-MD"/>
        </w:rPr>
        <w:t xml:space="preserve">include o specificare a modificărilor minore și majore ale modelului intern și </w:t>
      </w:r>
      <w:r w:rsidRPr="000508B6">
        <w:rPr>
          <w:rFonts w:ascii="Times New Roman" w:hAnsi="Times New Roman" w:cs="Times New Roman"/>
          <w:lang w:val="ro-MD"/>
        </w:rPr>
        <w:t xml:space="preserve">care trebuie să fie respectată ulterior. </w:t>
      </w:r>
    </w:p>
    <w:p w14:paraId="19E3F3C7" w14:textId="4F9AF99D" w:rsidR="00FC56AB" w:rsidRPr="000508B6" w:rsidRDefault="00F95829" w:rsidP="0006568A">
      <w:pPr>
        <w:pStyle w:val="Listparagraf"/>
        <w:numPr>
          <w:ilvl w:val="1"/>
          <w:numId w:val="16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Modificările majore ale modelului intern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modificările aduse politicii de modificare prevăzute la alin. (1) se supun aprobării </w:t>
      </w:r>
      <w:r w:rsidR="00BA25E7"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conform art. </w:t>
      </w:r>
      <w:r w:rsidR="00780DEB" w:rsidRPr="000508B6">
        <w:rPr>
          <w:rFonts w:ascii="Times New Roman" w:hAnsi="Times New Roman" w:cs="Times New Roman"/>
          <w:lang w:val="ro-MD"/>
        </w:rPr>
        <w:t>75</w:t>
      </w:r>
      <w:r w:rsidR="00FC56AB" w:rsidRPr="000508B6">
        <w:rPr>
          <w:rFonts w:ascii="Times New Roman" w:hAnsi="Times New Roman" w:cs="Times New Roman"/>
          <w:lang w:val="ro-MD"/>
        </w:rPr>
        <w:t xml:space="preserve">. </w:t>
      </w:r>
    </w:p>
    <w:p w14:paraId="7BE5320F" w14:textId="2A1F2696" w:rsidR="00F95829" w:rsidRPr="000508B6" w:rsidRDefault="00FC56AB" w:rsidP="0006568A">
      <w:pPr>
        <w:pStyle w:val="Listparagraf"/>
        <w:numPr>
          <w:ilvl w:val="1"/>
          <w:numId w:val="16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M</w:t>
      </w:r>
      <w:r w:rsidR="00F95829" w:rsidRPr="000508B6">
        <w:rPr>
          <w:rFonts w:ascii="Times New Roman" w:hAnsi="Times New Roman" w:cs="Times New Roman"/>
          <w:lang w:val="ro-MD"/>
        </w:rPr>
        <w:t xml:space="preserve">odificările minore </w:t>
      </w:r>
      <w:r w:rsidR="00CA2CA8" w:rsidRPr="000508B6">
        <w:rPr>
          <w:rFonts w:ascii="Times New Roman" w:hAnsi="Times New Roman" w:cs="Times New Roman"/>
          <w:lang w:val="ro-MD"/>
        </w:rPr>
        <w:t xml:space="preserve">ale modelului intern </w:t>
      </w:r>
      <w:r w:rsidR="00F95829" w:rsidRPr="000508B6">
        <w:rPr>
          <w:rFonts w:ascii="Times New Roman" w:hAnsi="Times New Roman" w:cs="Times New Roman"/>
          <w:lang w:val="ro-MD"/>
        </w:rPr>
        <w:t xml:space="preserve">nu se supun aprobării </w:t>
      </w:r>
      <w:r w:rsidR="00BA25E7" w:rsidRPr="000508B6">
        <w:rPr>
          <w:rFonts w:ascii="Times New Roman" w:hAnsi="Times New Roman" w:cs="Times New Roman"/>
          <w:lang w:val="ro-MD"/>
        </w:rPr>
        <w:t>Băncii Naționale a Moldovei</w:t>
      </w:r>
      <w:r w:rsidR="00F95829" w:rsidRPr="000508B6">
        <w:rPr>
          <w:rFonts w:ascii="Times New Roman" w:hAnsi="Times New Roman" w:cs="Times New Roman"/>
          <w:lang w:val="ro-MD"/>
        </w:rPr>
        <w:t xml:space="preserve">, atât timp cât sunt efectuate în </w:t>
      </w:r>
      <w:proofErr w:type="spellStart"/>
      <w:r w:rsidR="00F95829" w:rsidRPr="000508B6">
        <w:rPr>
          <w:rFonts w:ascii="Times New Roman" w:hAnsi="Times New Roman" w:cs="Times New Roman"/>
          <w:lang w:val="ro-MD"/>
        </w:rPr>
        <w:t>concordanţă</w:t>
      </w:r>
      <w:proofErr w:type="spellEnd"/>
      <w:r w:rsidR="00F95829" w:rsidRPr="000508B6">
        <w:rPr>
          <w:rFonts w:ascii="Times New Roman" w:hAnsi="Times New Roman" w:cs="Times New Roman"/>
          <w:lang w:val="ro-MD"/>
        </w:rPr>
        <w:t xml:space="preserve"> cu politica adoptată.</w:t>
      </w:r>
    </w:p>
    <w:p w14:paraId="22BE6382" w14:textId="77777777" w:rsidR="00F95829" w:rsidRPr="000508B6" w:rsidRDefault="00F95829" w:rsidP="008B530F">
      <w:pPr>
        <w:tabs>
          <w:tab w:val="left" w:pos="851"/>
        </w:tabs>
        <w:spacing w:after="0" w:line="240" w:lineRule="auto"/>
        <w:ind w:firstLine="426"/>
        <w:jc w:val="both"/>
        <w:rPr>
          <w:rFonts w:ascii="Times New Roman" w:hAnsi="Times New Roman" w:cs="Times New Roman"/>
          <w:lang w:val="ro-MD"/>
        </w:rPr>
      </w:pPr>
    </w:p>
    <w:p w14:paraId="7CFC4804" w14:textId="11C0DC77"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78</w:t>
      </w:r>
      <w:r w:rsidR="0043326F" w:rsidRPr="000508B6">
        <w:rPr>
          <w:rFonts w:ascii="Times New Roman" w:hAnsi="Times New Roman" w:cs="Times New Roman"/>
          <w:b/>
          <w:lang w:val="ro-MD"/>
        </w:rPr>
        <w:t>.</w:t>
      </w:r>
      <w:r w:rsidRPr="000508B6">
        <w:rPr>
          <w:rFonts w:ascii="Times New Roman" w:hAnsi="Times New Roman" w:cs="Times New Roman"/>
          <w:b/>
          <w:lang w:val="ro-MD"/>
        </w:rPr>
        <w:t xml:space="preserve">  </w:t>
      </w:r>
      <w:r w:rsidR="005019EE" w:rsidRPr="000508B6">
        <w:rPr>
          <w:rFonts w:ascii="Times New Roman" w:hAnsi="Times New Roman" w:cs="Times New Roman"/>
          <w:lang w:val="ro-MD"/>
        </w:rPr>
        <w:t xml:space="preserve">Revenirea la </w:t>
      </w:r>
      <w:r w:rsidRPr="000508B6">
        <w:rPr>
          <w:rFonts w:ascii="Times New Roman" w:hAnsi="Times New Roman" w:cs="Times New Roman"/>
          <w:lang w:val="ro-MD"/>
        </w:rPr>
        <w:t>formul</w:t>
      </w:r>
      <w:r w:rsidR="005019EE" w:rsidRPr="000508B6">
        <w:rPr>
          <w:rFonts w:ascii="Times New Roman" w:hAnsi="Times New Roman" w:cs="Times New Roman"/>
          <w:lang w:val="ro-MD"/>
        </w:rPr>
        <w:t>a</w:t>
      </w:r>
      <w:r w:rsidRPr="000508B6">
        <w:rPr>
          <w:rFonts w:ascii="Times New Roman" w:hAnsi="Times New Roman" w:cs="Times New Roman"/>
          <w:lang w:val="ro-MD"/>
        </w:rPr>
        <w:t xml:space="preserve"> standard </w:t>
      </w:r>
    </w:p>
    <w:p w14:paraId="7563C0D4" w14:textId="4CEC504C" w:rsidR="00F95829" w:rsidRPr="000508B6" w:rsidRDefault="004125E8"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revin</w:t>
      </w:r>
      <w:r w:rsidR="00FB211D" w:rsidRPr="000508B6">
        <w:rPr>
          <w:rFonts w:ascii="Times New Roman" w:hAnsi="Times New Roman" w:cs="Times New Roman"/>
          <w:lang w:val="ro-MD"/>
        </w:rPr>
        <w:t>e</w:t>
      </w:r>
      <w:r w:rsidR="00F95829" w:rsidRPr="000508B6">
        <w:rPr>
          <w:rFonts w:ascii="Times New Roman" w:hAnsi="Times New Roman" w:cs="Times New Roman"/>
          <w:lang w:val="ro-MD"/>
        </w:rPr>
        <w:t xml:space="preserve"> la calcularea integrală sau </w:t>
      </w:r>
      <w:proofErr w:type="spellStart"/>
      <w:r w:rsidR="00F95829" w:rsidRPr="000508B6">
        <w:rPr>
          <w:rFonts w:ascii="Times New Roman" w:hAnsi="Times New Roman" w:cs="Times New Roman"/>
          <w:lang w:val="ro-MD"/>
        </w:rPr>
        <w:t>parţială</w:t>
      </w:r>
      <w:proofErr w:type="spellEnd"/>
      <w:r w:rsidR="00F95829" w:rsidRPr="000508B6">
        <w:rPr>
          <w:rFonts w:ascii="Times New Roman" w:hAnsi="Times New Roman" w:cs="Times New Roman"/>
          <w:lang w:val="ro-MD"/>
        </w:rPr>
        <w:t xml:space="preserve"> a SCR </w:t>
      </w:r>
      <w:r w:rsidR="00154179" w:rsidRPr="000508B6">
        <w:rPr>
          <w:rFonts w:ascii="Times New Roman" w:hAnsi="Times New Roman" w:cs="Times New Roman"/>
          <w:lang w:val="ro-MD"/>
        </w:rPr>
        <w:t>în conformitate</w:t>
      </w:r>
      <w:r w:rsidR="00F95829" w:rsidRPr="000508B6">
        <w:rPr>
          <w:rFonts w:ascii="Times New Roman" w:hAnsi="Times New Roman" w:cs="Times New Roman"/>
          <w:lang w:val="ro-MD"/>
        </w:rPr>
        <w:t xml:space="preserve"> cu formula standard, ulterior aprobării solicitate în conformitate cu art. </w:t>
      </w:r>
      <w:r w:rsidR="00780DEB" w:rsidRPr="000508B6">
        <w:rPr>
          <w:rFonts w:ascii="Times New Roman" w:hAnsi="Times New Roman" w:cs="Times New Roman"/>
          <w:lang w:val="ro-MD"/>
        </w:rPr>
        <w:t>75</w:t>
      </w:r>
      <w:r w:rsidR="00F95829" w:rsidRPr="000508B6">
        <w:rPr>
          <w:rFonts w:ascii="Times New Roman" w:hAnsi="Times New Roman" w:cs="Times New Roman"/>
          <w:lang w:val="ro-MD"/>
        </w:rPr>
        <w:t xml:space="preserve">, numai în </w:t>
      </w:r>
      <w:proofErr w:type="spellStart"/>
      <w:r w:rsidR="00F95829" w:rsidRPr="000508B6">
        <w:rPr>
          <w:rFonts w:ascii="Times New Roman" w:hAnsi="Times New Roman" w:cs="Times New Roman"/>
          <w:lang w:val="ro-MD"/>
        </w:rPr>
        <w:t>circumstanţe</w:t>
      </w:r>
      <w:proofErr w:type="spellEnd"/>
      <w:r w:rsidR="00F95829" w:rsidRPr="000508B6">
        <w:rPr>
          <w:rFonts w:ascii="Times New Roman" w:hAnsi="Times New Roman" w:cs="Times New Roman"/>
          <w:lang w:val="ro-MD"/>
        </w:rPr>
        <w:t xml:space="preserve"> </w:t>
      </w:r>
      <w:r w:rsidR="00667401" w:rsidRPr="000508B6">
        <w:rPr>
          <w:rFonts w:ascii="Times New Roman" w:hAnsi="Times New Roman" w:cs="Times New Roman"/>
          <w:lang w:val="ro-MD"/>
        </w:rPr>
        <w:t xml:space="preserve">justificate </w:t>
      </w:r>
      <w:r w:rsidR="000940B9" w:rsidRPr="000508B6">
        <w:rPr>
          <w:rFonts w:ascii="Times New Roman" w:hAnsi="Times New Roman" w:cs="Times New Roman"/>
          <w:lang w:val="ro-MD"/>
        </w:rPr>
        <w:t xml:space="preserve">în mod corespunzător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numai cu aprobarea </w:t>
      </w:r>
      <w:r w:rsidR="00BA25E7" w:rsidRPr="000508B6">
        <w:rPr>
          <w:rFonts w:ascii="Times New Roman" w:hAnsi="Times New Roman" w:cs="Times New Roman"/>
          <w:lang w:val="ro-MD"/>
        </w:rPr>
        <w:t>Băncii Naționale a Moldovei</w:t>
      </w:r>
      <w:r w:rsidR="00F95829" w:rsidRPr="000508B6">
        <w:rPr>
          <w:rFonts w:ascii="Times New Roman" w:hAnsi="Times New Roman" w:cs="Times New Roman"/>
          <w:lang w:val="ro-MD"/>
        </w:rPr>
        <w:t xml:space="preserve">. </w:t>
      </w:r>
    </w:p>
    <w:p w14:paraId="0EE97D21"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2E72150F" w14:textId="73FA78EA"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0C77CC" w:rsidRPr="000508B6">
        <w:rPr>
          <w:rFonts w:ascii="Times New Roman" w:hAnsi="Times New Roman" w:cs="Times New Roman"/>
          <w:b/>
          <w:lang w:val="ro-MD"/>
        </w:rPr>
        <w:t>79</w:t>
      </w:r>
      <w:r w:rsidRPr="000508B6">
        <w:rPr>
          <w:rFonts w:ascii="Times New Roman" w:hAnsi="Times New Roman" w:cs="Times New Roman"/>
          <w:b/>
          <w:lang w:val="ro-MD"/>
        </w:rPr>
        <w:t>.</w:t>
      </w:r>
      <w:r w:rsidRPr="000508B6">
        <w:rPr>
          <w:rFonts w:ascii="Times New Roman" w:hAnsi="Times New Roman" w:cs="Times New Roman"/>
          <w:lang w:val="ro-MD"/>
        </w:rPr>
        <w:t xml:space="preserve"> </w:t>
      </w:r>
      <w:r w:rsidR="00FF3E9F" w:rsidRPr="000508B6">
        <w:rPr>
          <w:rFonts w:ascii="Times New Roman" w:hAnsi="Times New Roman" w:cs="Times New Roman"/>
          <w:lang w:val="ro-MD"/>
        </w:rPr>
        <w:t>Neconformitatea</w:t>
      </w:r>
      <w:r w:rsidRPr="000508B6">
        <w:rPr>
          <w:rFonts w:ascii="Times New Roman" w:hAnsi="Times New Roman" w:cs="Times New Roman"/>
          <w:lang w:val="ro-MD"/>
        </w:rPr>
        <w:t xml:space="preserve"> modelul</w:t>
      </w:r>
      <w:r w:rsidR="00FF3E9F" w:rsidRPr="000508B6">
        <w:rPr>
          <w:rFonts w:ascii="Times New Roman" w:hAnsi="Times New Roman" w:cs="Times New Roman"/>
          <w:lang w:val="ro-MD"/>
        </w:rPr>
        <w:t>ui</w:t>
      </w:r>
      <w:r w:rsidRPr="000508B6">
        <w:rPr>
          <w:rFonts w:ascii="Times New Roman" w:hAnsi="Times New Roman" w:cs="Times New Roman"/>
          <w:lang w:val="ro-MD"/>
        </w:rPr>
        <w:t xml:space="preserve"> intern </w:t>
      </w:r>
      <w:r w:rsidR="006749A4" w:rsidRPr="000508B6">
        <w:rPr>
          <w:rFonts w:ascii="Times New Roman" w:hAnsi="Times New Roman" w:cs="Times New Roman"/>
          <w:lang w:val="ro-MD"/>
        </w:rPr>
        <w:t xml:space="preserve"> </w:t>
      </w:r>
    </w:p>
    <w:p w14:paraId="699EB185" w14:textId="67341A91" w:rsidR="00F95829" w:rsidRPr="000508B6" w:rsidRDefault="00F95829" w:rsidP="00966566">
      <w:pPr>
        <w:pStyle w:val="Listparagraf"/>
        <w:numPr>
          <w:ilvl w:val="1"/>
          <w:numId w:val="17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ulterior aprobării solicitate în conformitate cu art. </w:t>
      </w:r>
      <w:r w:rsidR="00780DEB" w:rsidRPr="000508B6">
        <w:rPr>
          <w:rFonts w:ascii="Times New Roman" w:hAnsi="Times New Roman" w:cs="Times New Roman"/>
          <w:lang w:val="ro-MD"/>
        </w:rPr>
        <w:t>75</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prevăzute la art. </w:t>
      </w:r>
      <w:r w:rsidR="00A168E7" w:rsidRPr="000508B6">
        <w:rPr>
          <w:rFonts w:ascii="Times New Roman" w:hAnsi="Times New Roman" w:cs="Times New Roman"/>
          <w:lang w:val="ro-MD"/>
        </w:rPr>
        <w:t xml:space="preserve">22 alin. (8), art. </w:t>
      </w:r>
      <w:r w:rsidR="00780DEB" w:rsidRPr="000508B6">
        <w:rPr>
          <w:rFonts w:ascii="Times New Roman" w:hAnsi="Times New Roman" w:cs="Times New Roman"/>
          <w:lang w:val="ro-MD"/>
        </w:rPr>
        <w:t>81</w:t>
      </w:r>
      <w:r w:rsidRPr="000508B6">
        <w:rPr>
          <w:rFonts w:ascii="Times New Roman" w:hAnsi="Times New Roman" w:cs="Times New Roman"/>
          <w:lang w:val="ro-MD"/>
        </w:rPr>
        <w:t>, art.</w:t>
      </w:r>
      <w:r w:rsidR="00EF207B" w:rsidRPr="000508B6" w:rsidDel="00780DEB">
        <w:rPr>
          <w:rFonts w:ascii="Times New Roman" w:hAnsi="Times New Roman" w:cs="Times New Roman"/>
          <w:lang w:val="ro-MD"/>
        </w:rPr>
        <w:t xml:space="preserve"> </w:t>
      </w:r>
      <w:r w:rsidR="00780DEB" w:rsidRPr="000508B6">
        <w:rPr>
          <w:rFonts w:ascii="Times New Roman" w:hAnsi="Times New Roman" w:cs="Times New Roman"/>
          <w:lang w:val="ro-MD"/>
        </w:rPr>
        <w:t xml:space="preserve">82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E82884" w:rsidRPr="000508B6">
        <w:rPr>
          <w:rFonts w:ascii="Times New Roman" w:hAnsi="Times New Roman" w:cs="Times New Roman"/>
          <w:lang w:val="ro-MD"/>
        </w:rPr>
        <w:t>art. 84-87</w:t>
      </w:r>
      <w:r w:rsidRPr="000508B6">
        <w:rPr>
          <w:rFonts w:ascii="Times New Roman" w:hAnsi="Times New Roman" w:cs="Times New Roman"/>
          <w:lang w:val="ro-MD"/>
        </w:rPr>
        <w:t xml:space="preserve"> nu mai sunt respectate,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prezintă de îndată </w:t>
      </w:r>
      <w:r w:rsidR="00BA25E7"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un plan de restabilire a </w:t>
      </w:r>
      <w:proofErr w:type="spellStart"/>
      <w:r w:rsidRPr="000508B6">
        <w:rPr>
          <w:rFonts w:ascii="Times New Roman" w:hAnsi="Times New Roman" w:cs="Times New Roman"/>
          <w:lang w:val="ro-MD"/>
        </w:rPr>
        <w:t>conformităţii</w:t>
      </w:r>
      <w:proofErr w:type="spellEnd"/>
      <w:r w:rsidRPr="000508B6">
        <w:rPr>
          <w:rFonts w:ascii="Times New Roman" w:hAnsi="Times New Roman" w:cs="Times New Roman"/>
          <w:lang w:val="ro-MD"/>
        </w:rPr>
        <w:t xml:space="preserve"> cu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respective într-un termen rezonabil sau demonstrează că nerespectarea acestora nu are efecte semnificative. </w:t>
      </w:r>
    </w:p>
    <w:p w14:paraId="080D29B1" w14:textId="4DC797DA" w:rsidR="00F95829" w:rsidRPr="000508B6" w:rsidRDefault="00F95829" w:rsidP="0006568A">
      <w:pPr>
        <w:pStyle w:val="Listparagraf"/>
        <w:numPr>
          <w:ilvl w:val="1"/>
          <w:numId w:val="17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prin aplicarea planului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(1)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sidDel="00A153D5">
        <w:rPr>
          <w:rFonts w:ascii="Times New Roman" w:hAnsi="Times New Roman" w:cs="Times New Roman"/>
          <w:lang w:val="ro-MD"/>
        </w:rPr>
        <w:t xml:space="preserve"> </w:t>
      </w:r>
      <w:r w:rsidRPr="000508B6">
        <w:rPr>
          <w:rFonts w:ascii="Times New Roman" w:hAnsi="Times New Roman" w:cs="Times New Roman"/>
          <w:lang w:val="ro-MD"/>
        </w:rPr>
        <w:t xml:space="preserve">nu remediază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w:t>
      </w:r>
      <w:r w:rsidR="000B31FB"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w:t>
      </w:r>
      <w:r w:rsidR="00154179" w:rsidRPr="000508B6">
        <w:rPr>
          <w:rFonts w:ascii="Times New Roman" w:hAnsi="Times New Roman" w:cs="Times New Roman"/>
          <w:lang w:val="ro-MD"/>
        </w:rPr>
        <w:t>poate</w:t>
      </w:r>
      <w:r w:rsidRPr="000508B6">
        <w:rPr>
          <w:rFonts w:ascii="Times New Roman" w:hAnsi="Times New Roman" w:cs="Times New Roman"/>
          <w:lang w:val="ro-MD"/>
        </w:rPr>
        <w:t xml:space="preserve"> </w:t>
      </w:r>
      <w:r w:rsidR="00154179" w:rsidRPr="000508B6">
        <w:rPr>
          <w:rFonts w:ascii="Times New Roman" w:hAnsi="Times New Roman" w:cs="Times New Roman"/>
          <w:lang w:val="ro-MD"/>
        </w:rPr>
        <w:t xml:space="preserve">solicita </w:t>
      </w:r>
      <w:r w:rsidR="00914535" w:rsidRPr="000508B6">
        <w:rPr>
          <w:rFonts w:ascii="Times New Roman" w:hAnsi="Times New Roman" w:cs="Times New Roman"/>
          <w:lang w:val="ro-MD"/>
        </w:rPr>
        <w:t>acest</w:t>
      </w:r>
      <w:r w:rsidR="000D1FA4" w:rsidRPr="000508B6">
        <w:rPr>
          <w:rFonts w:ascii="Times New Roman" w:hAnsi="Times New Roman" w:cs="Times New Roman"/>
          <w:lang w:val="ro-MD"/>
        </w:rPr>
        <w:t>u</w:t>
      </w:r>
      <w:r w:rsidR="00914535" w:rsidRPr="000508B6">
        <w:rPr>
          <w:rFonts w:ascii="Times New Roman" w:hAnsi="Times New Roman" w:cs="Times New Roman"/>
          <w:lang w:val="ro-MD"/>
        </w:rPr>
        <w:t xml:space="preserve">ia </w:t>
      </w:r>
      <w:r w:rsidRPr="000508B6">
        <w:rPr>
          <w:rFonts w:ascii="Times New Roman" w:hAnsi="Times New Roman" w:cs="Times New Roman"/>
          <w:lang w:val="ro-MD"/>
        </w:rPr>
        <w:t xml:space="preserve">să calculeze SCR </w:t>
      </w:r>
      <w:r w:rsidR="00010910" w:rsidRPr="000508B6">
        <w:rPr>
          <w:rFonts w:ascii="Times New Roman" w:hAnsi="Times New Roman" w:cs="Times New Roman"/>
          <w:lang w:val="ro-MD"/>
        </w:rPr>
        <w:t>pe baza</w:t>
      </w:r>
      <w:r w:rsidRPr="000508B6" w:rsidDel="00010910">
        <w:rPr>
          <w:rFonts w:ascii="Times New Roman" w:hAnsi="Times New Roman" w:cs="Times New Roman"/>
          <w:lang w:val="ro-MD"/>
        </w:rPr>
        <w:t xml:space="preserve"> </w:t>
      </w:r>
      <w:r w:rsidR="00010910" w:rsidRPr="000508B6">
        <w:rPr>
          <w:rFonts w:ascii="Times New Roman" w:hAnsi="Times New Roman" w:cs="Times New Roman"/>
          <w:lang w:val="ro-MD"/>
        </w:rPr>
        <w:t>formulei</w:t>
      </w:r>
      <w:r w:rsidRPr="000508B6">
        <w:rPr>
          <w:rFonts w:ascii="Times New Roman" w:hAnsi="Times New Roman" w:cs="Times New Roman"/>
          <w:lang w:val="ro-MD"/>
        </w:rPr>
        <w:t xml:space="preserve"> standard. </w:t>
      </w:r>
    </w:p>
    <w:p w14:paraId="7C050DC4" w14:textId="77777777" w:rsidR="00F95829" w:rsidRPr="000508B6" w:rsidRDefault="00F95829" w:rsidP="0006568A">
      <w:pPr>
        <w:tabs>
          <w:tab w:val="left" w:pos="709"/>
        </w:tabs>
        <w:spacing w:after="0" w:line="240" w:lineRule="auto"/>
        <w:ind w:firstLine="426"/>
        <w:jc w:val="both"/>
        <w:rPr>
          <w:rFonts w:ascii="Times New Roman" w:hAnsi="Times New Roman" w:cs="Times New Roman"/>
          <w:lang w:val="ro-MD"/>
        </w:rPr>
      </w:pPr>
    </w:p>
    <w:p w14:paraId="448F2C43" w14:textId="77777777" w:rsidR="00010910" w:rsidRPr="000508B6" w:rsidRDefault="00F95829" w:rsidP="0001091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80</w:t>
      </w:r>
      <w:r w:rsidRPr="000508B6">
        <w:rPr>
          <w:rFonts w:ascii="Times New Roman" w:hAnsi="Times New Roman" w:cs="Times New Roman"/>
          <w:b/>
          <w:lang w:val="ro-MD"/>
        </w:rPr>
        <w:t>.</w:t>
      </w:r>
      <w:r w:rsidRPr="000508B6">
        <w:rPr>
          <w:rFonts w:ascii="Times New Roman" w:hAnsi="Times New Roman" w:cs="Times New Roman"/>
          <w:lang w:val="ro-MD"/>
        </w:rPr>
        <w:t xml:space="preserve"> </w:t>
      </w:r>
      <w:r w:rsidR="00010910" w:rsidRPr="000508B6">
        <w:rPr>
          <w:rFonts w:ascii="Times New Roman" w:hAnsi="Times New Roman" w:cs="Times New Roman"/>
          <w:lang w:val="ro-MD"/>
        </w:rPr>
        <w:t>Abateri semnificative de la ipotezele care stau la baza formulei standard de calcul</w:t>
      </w:r>
    </w:p>
    <w:p w14:paraId="0E9BBD05" w14:textId="5C8D7252"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calcularea SCR </w:t>
      </w:r>
      <w:r w:rsidR="0085343A" w:rsidRPr="000508B6">
        <w:rPr>
          <w:rFonts w:ascii="Times New Roman" w:hAnsi="Times New Roman" w:cs="Times New Roman"/>
          <w:lang w:val="ro-MD"/>
        </w:rPr>
        <w:t>pe baza formulei standard</w:t>
      </w:r>
      <w:r w:rsidRPr="000508B6">
        <w:rPr>
          <w:rFonts w:ascii="Times New Roman" w:hAnsi="Times New Roman" w:cs="Times New Roman"/>
          <w:lang w:val="ro-MD"/>
        </w:rPr>
        <w:t xml:space="preserve"> </w:t>
      </w:r>
      <w:r w:rsidR="008D117A" w:rsidRPr="000508B6">
        <w:rPr>
          <w:rFonts w:ascii="Times New Roman" w:hAnsi="Times New Roman" w:cs="Times New Roman"/>
          <w:lang w:val="ro-MD"/>
        </w:rPr>
        <w:t xml:space="preserve">nu </w:t>
      </w:r>
      <w:r w:rsidRPr="000508B6">
        <w:rPr>
          <w:rFonts w:ascii="Times New Roman" w:hAnsi="Times New Roman" w:cs="Times New Roman"/>
          <w:lang w:val="ro-MD"/>
        </w:rPr>
        <w:t xml:space="preserve">este adecvată, deoarece profilul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se abate </w:t>
      </w:r>
      <w:r w:rsidR="0085343A" w:rsidRPr="000508B6">
        <w:rPr>
          <w:rFonts w:ascii="Times New Roman" w:hAnsi="Times New Roman" w:cs="Times New Roman"/>
          <w:lang w:val="ro-MD"/>
        </w:rPr>
        <w:t xml:space="preserve">în mod </w:t>
      </w:r>
      <w:r w:rsidRPr="000508B6">
        <w:rPr>
          <w:rFonts w:ascii="Times New Roman" w:hAnsi="Times New Roman" w:cs="Times New Roman"/>
          <w:lang w:val="ro-MD"/>
        </w:rPr>
        <w:t xml:space="preserve">semnificativ de la ipotezele care stau la baza formulei standard, </w:t>
      </w:r>
      <w:r w:rsidR="000B31FB"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w:t>
      </w:r>
      <w:r w:rsidR="008D117A" w:rsidRPr="000508B6">
        <w:rPr>
          <w:rFonts w:ascii="Times New Roman" w:hAnsi="Times New Roman" w:cs="Times New Roman"/>
          <w:lang w:val="ro-MD"/>
        </w:rPr>
        <w:t xml:space="preserve">poate </w:t>
      </w:r>
      <w:r w:rsidRPr="000508B6">
        <w:rPr>
          <w:rFonts w:ascii="Times New Roman" w:hAnsi="Times New Roman" w:cs="Times New Roman"/>
          <w:lang w:val="ro-MD"/>
        </w:rPr>
        <w:t xml:space="preserve">solicită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respectiv, prin decizie motivată, să utilizeze </w:t>
      </w:r>
      <w:r w:rsidR="0085343A" w:rsidRPr="000508B6">
        <w:rPr>
          <w:rFonts w:ascii="Times New Roman" w:hAnsi="Times New Roman" w:cs="Times New Roman"/>
          <w:lang w:val="ro-MD"/>
        </w:rPr>
        <w:t xml:space="preserve"> </w:t>
      </w:r>
      <w:r w:rsidRPr="000508B6">
        <w:rPr>
          <w:rFonts w:ascii="Times New Roman" w:hAnsi="Times New Roman" w:cs="Times New Roman"/>
          <w:lang w:val="ro-MD"/>
        </w:rPr>
        <w:t xml:space="preserve">un model intern </w:t>
      </w:r>
      <w:r w:rsidR="0085343A" w:rsidRPr="000508B6">
        <w:rPr>
          <w:rFonts w:ascii="Times New Roman" w:hAnsi="Times New Roman" w:cs="Times New Roman"/>
          <w:lang w:val="ro-MD"/>
        </w:rPr>
        <w:t xml:space="preserve">pentru a-și calcula </w:t>
      </w:r>
      <w:r w:rsidR="00DF01DE" w:rsidRPr="000508B6">
        <w:rPr>
          <w:rFonts w:ascii="Times New Roman" w:hAnsi="Times New Roman" w:cs="Times New Roman"/>
          <w:lang w:val="ro-MD"/>
        </w:rPr>
        <w:t xml:space="preserve">SCR </w:t>
      </w:r>
      <w:r w:rsidRPr="000508B6">
        <w:rPr>
          <w:rFonts w:ascii="Times New Roman" w:hAnsi="Times New Roman" w:cs="Times New Roman"/>
          <w:lang w:val="ro-MD"/>
        </w:rPr>
        <w:t xml:space="preserve"> sau </w:t>
      </w:r>
      <w:r w:rsidR="0085343A" w:rsidRPr="000508B6">
        <w:rPr>
          <w:rFonts w:ascii="Times New Roman" w:hAnsi="Times New Roman" w:cs="Times New Roman"/>
          <w:lang w:val="ro-MD"/>
        </w:rPr>
        <w:t>modulele de risc aferente acesteia</w:t>
      </w:r>
      <w:r w:rsidRPr="000508B6">
        <w:rPr>
          <w:rFonts w:ascii="Times New Roman" w:hAnsi="Times New Roman" w:cs="Times New Roman"/>
          <w:lang w:val="ro-MD"/>
        </w:rPr>
        <w:t xml:space="preserve">. </w:t>
      </w:r>
    </w:p>
    <w:p w14:paraId="07AF0F55"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61EBF14A" w14:textId="21797049"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81</w:t>
      </w:r>
      <w:r w:rsidR="0043326F" w:rsidRPr="000508B6">
        <w:rPr>
          <w:rFonts w:ascii="Times New Roman" w:hAnsi="Times New Roman" w:cs="Times New Roman"/>
          <w:b/>
          <w:lang w:val="ro-MD"/>
        </w:rPr>
        <w:t>.</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w:t>
      </w:r>
      <w:r w:rsidR="002F7907" w:rsidRPr="000508B6">
        <w:rPr>
          <w:rFonts w:ascii="Times New Roman" w:hAnsi="Times New Roman" w:cs="Times New Roman"/>
          <w:lang w:val="ro-MD"/>
        </w:rPr>
        <w:t>Demonstrarea utilizării modelului</w:t>
      </w:r>
      <w:r w:rsidR="002F7907" w:rsidRPr="000508B6" w:rsidDel="002F7907">
        <w:rPr>
          <w:rFonts w:ascii="Times New Roman" w:hAnsi="Times New Roman" w:cs="Times New Roman"/>
          <w:lang w:val="ro-MD"/>
        </w:rPr>
        <w:t xml:space="preserve"> </w:t>
      </w:r>
      <w:r w:rsidR="00153D2A" w:rsidRPr="000508B6">
        <w:rPr>
          <w:rFonts w:ascii="Times New Roman" w:hAnsi="Times New Roman" w:cs="Times New Roman"/>
          <w:lang w:val="ro-MD"/>
        </w:rPr>
        <w:t xml:space="preserve"> </w:t>
      </w:r>
    </w:p>
    <w:p w14:paraId="339493AD" w14:textId="2B794F7C" w:rsidR="00F95829" w:rsidRPr="000508B6" w:rsidRDefault="00D068AA" w:rsidP="00063290">
      <w:pPr>
        <w:pStyle w:val="Listparagraf"/>
        <w:numPr>
          <w:ilvl w:val="1"/>
          <w:numId w:val="17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4727D5" w:rsidRPr="000508B6">
        <w:rPr>
          <w:rFonts w:ascii="Times New Roman" w:hAnsi="Times New Roman" w:cs="Times New Roman"/>
          <w:lang w:val="ro-MD"/>
        </w:rPr>
        <w:t xml:space="preserve"> demonstrează că modelul intern este utilizat la scară largă și joacă un rol important în ceea ce privește sistemul său de guvernanță</w:t>
      </w:r>
      <w:r w:rsidR="00F95829" w:rsidRPr="000508B6">
        <w:rPr>
          <w:rFonts w:ascii="Times New Roman" w:hAnsi="Times New Roman" w:cs="Times New Roman"/>
          <w:lang w:val="ro-MD"/>
        </w:rPr>
        <w:t xml:space="preserve">, </w:t>
      </w:r>
      <w:r w:rsidR="004727D5" w:rsidRPr="000508B6">
        <w:rPr>
          <w:rFonts w:ascii="Times New Roman" w:hAnsi="Times New Roman" w:cs="Times New Roman"/>
          <w:lang w:val="ro-MD"/>
        </w:rPr>
        <w:t xml:space="preserve">prevăzut în art. </w:t>
      </w:r>
      <w:r w:rsidR="00BE1B26" w:rsidRPr="000508B6">
        <w:rPr>
          <w:rFonts w:ascii="Times New Roman" w:hAnsi="Times New Roman" w:cs="Times New Roman"/>
          <w:lang w:val="ro-MD"/>
        </w:rPr>
        <w:t>19-30</w:t>
      </w:r>
      <w:r w:rsidR="001B5216" w:rsidRPr="000508B6">
        <w:rPr>
          <w:rFonts w:ascii="Times New Roman" w:hAnsi="Times New Roman" w:cs="Times New Roman"/>
          <w:lang w:val="ro-MD"/>
        </w:rPr>
        <w:t>,</w:t>
      </w:r>
      <w:r w:rsidR="007E32DB" w:rsidRPr="000508B6">
        <w:rPr>
          <w:rFonts w:ascii="Times New Roman" w:hAnsi="Times New Roman" w:cs="Times New Roman"/>
          <w:lang w:val="ro-MD"/>
        </w:rPr>
        <w:t xml:space="preserve"> în special în ceea ce privește</w:t>
      </w:r>
      <w:r w:rsidR="00F95829" w:rsidRPr="000508B6">
        <w:rPr>
          <w:rFonts w:ascii="Times New Roman" w:hAnsi="Times New Roman" w:cs="Times New Roman"/>
          <w:lang w:val="ro-MD"/>
        </w:rPr>
        <w:t>:</w:t>
      </w:r>
    </w:p>
    <w:p w14:paraId="65F22DFC" w14:textId="15E7A68A" w:rsidR="00F95829" w:rsidRPr="000508B6" w:rsidRDefault="00BE1B26" w:rsidP="00966566">
      <w:pPr>
        <w:pStyle w:val="Listparagraf"/>
        <w:numPr>
          <w:ilvl w:val="2"/>
          <w:numId w:val="17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sistemul de management al riscurilor, prevăzut la art. </w:t>
      </w:r>
      <w:r w:rsidR="00A168E7" w:rsidRPr="000508B6">
        <w:rPr>
          <w:rFonts w:ascii="Times New Roman" w:hAnsi="Times New Roman" w:cs="Times New Roman"/>
          <w:lang w:val="ro-MD"/>
        </w:rPr>
        <w:t>25</w:t>
      </w:r>
      <w:r w:rsidRPr="000508B6">
        <w:rPr>
          <w:rFonts w:ascii="Times New Roman" w:hAnsi="Times New Roman" w:cs="Times New Roman"/>
          <w:lang w:val="ro-MD"/>
        </w:rPr>
        <w:t>, și procesele decizionale</w:t>
      </w:r>
      <w:r w:rsidR="00F95829" w:rsidRPr="000508B6">
        <w:rPr>
          <w:rFonts w:ascii="Times New Roman" w:hAnsi="Times New Roman" w:cs="Times New Roman"/>
          <w:lang w:val="ro-MD"/>
        </w:rPr>
        <w:t xml:space="preserve">; </w:t>
      </w:r>
    </w:p>
    <w:p w14:paraId="16DB0A18" w14:textId="78FF1D78" w:rsidR="00F95829" w:rsidRPr="000508B6" w:rsidRDefault="00BE1B26" w:rsidP="0006568A">
      <w:pPr>
        <w:pStyle w:val="Listparagraf"/>
        <w:numPr>
          <w:ilvl w:val="2"/>
          <w:numId w:val="17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procedurile de evaluare și alocare a capitalului economic și de solvabilitate, inclusiv evaluarea prevăzută la art. </w:t>
      </w:r>
      <w:r w:rsidR="000301B2" w:rsidRPr="000508B6">
        <w:rPr>
          <w:rFonts w:ascii="Times New Roman" w:hAnsi="Times New Roman" w:cs="Times New Roman"/>
          <w:lang w:val="ro-MD"/>
        </w:rPr>
        <w:t>27</w:t>
      </w:r>
      <w:r w:rsidR="00F95829" w:rsidRPr="000508B6">
        <w:rPr>
          <w:rFonts w:ascii="Times New Roman" w:hAnsi="Times New Roman" w:cs="Times New Roman"/>
          <w:lang w:val="ro-MD"/>
        </w:rPr>
        <w:t xml:space="preserve">; </w:t>
      </w:r>
    </w:p>
    <w:p w14:paraId="73F0C8DC" w14:textId="0B765BAD" w:rsidR="00F95829" w:rsidRPr="000508B6" w:rsidRDefault="004125E8" w:rsidP="00CF5AFA">
      <w:pPr>
        <w:pStyle w:val="Listparagraf"/>
        <w:numPr>
          <w:ilvl w:val="1"/>
          <w:numId w:val="171"/>
        </w:numPr>
        <w:ind w:left="0" w:firstLine="426"/>
        <w:rPr>
          <w:rFonts w:ascii="Times New Roman" w:hAnsi="Times New Roman" w:cs="Times New Roman"/>
          <w:lang w:val="ro-MD"/>
        </w:rPr>
      </w:pPr>
      <w:r w:rsidRPr="000508B6">
        <w:rPr>
          <w:rFonts w:ascii="Times New Roman" w:hAnsi="Times New Roman" w:cs="Times New Roman"/>
          <w:lang w:val="ro-MD"/>
        </w:rPr>
        <w:lastRenderedPageBreak/>
        <w:t xml:space="preserve">Asigurătorul sau </w:t>
      </w:r>
      <w:proofErr w:type="spellStart"/>
      <w:r w:rsidRPr="000508B6">
        <w:rPr>
          <w:rFonts w:ascii="Times New Roman" w:hAnsi="Times New Roman" w:cs="Times New Roman"/>
          <w:lang w:val="ro-MD"/>
        </w:rPr>
        <w:t>reasigurătorul</w:t>
      </w:r>
      <w:proofErr w:type="spellEnd"/>
      <w:r w:rsidR="004727D5" w:rsidRPr="000508B6">
        <w:rPr>
          <w:rFonts w:ascii="Times New Roman" w:hAnsi="Times New Roman" w:cs="Times New Roman"/>
          <w:lang w:val="ro-MD"/>
        </w:rPr>
        <w:t xml:space="preserve"> demonstrează că frecvența calculării SCR cu ajutorul modelului intern este </w:t>
      </w:r>
      <w:r w:rsidR="001B5216" w:rsidRPr="000508B6">
        <w:rPr>
          <w:rFonts w:ascii="Times New Roman" w:hAnsi="Times New Roman" w:cs="Times New Roman"/>
          <w:lang w:val="ro-MD"/>
        </w:rPr>
        <w:t xml:space="preserve">în concordanță </w:t>
      </w:r>
      <w:r w:rsidR="004727D5" w:rsidRPr="000508B6">
        <w:rPr>
          <w:rFonts w:ascii="Times New Roman" w:hAnsi="Times New Roman" w:cs="Times New Roman"/>
          <w:lang w:val="ro-MD"/>
        </w:rPr>
        <w:t xml:space="preserve">cu frecvența utilizării modelului său intern în celelalte scopuri prevăzute la alin. (1). </w:t>
      </w:r>
    </w:p>
    <w:p w14:paraId="77568CA4" w14:textId="19A1ED29" w:rsidR="00F95829" w:rsidRPr="000508B6" w:rsidRDefault="00F95829" w:rsidP="008B530F">
      <w:pPr>
        <w:spacing w:after="0" w:line="240" w:lineRule="auto"/>
        <w:ind w:firstLine="426"/>
        <w:jc w:val="both"/>
        <w:rPr>
          <w:rFonts w:ascii="Times New Roman" w:hAnsi="Times New Roman" w:cs="Times New Roman"/>
          <w:lang w:val="ro-MD"/>
        </w:rPr>
      </w:pPr>
    </w:p>
    <w:p w14:paraId="4E5E5EFF" w14:textId="7D4AEECD"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82</w:t>
      </w:r>
      <w:r w:rsidR="007C4341" w:rsidRPr="000508B6">
        <w:rPr>
          <w:rFonts w:ascii="Times New Roman" w:hAnsi="Times New Roman" w:cs="Times New Roman"/>
          <w:b/>
          <w:lang w:val="ro-MD"/>
        </w:rPr>
        <w:t>.</w:t>
      </w:r>
      <w:r w:rsidRPr="000508B6">
        <w:rPr>
          <w:rFonts w:ascii="Times New Roman" w:hAnsi="Times New Roman" w:cs="Times New Roman"/>
          <w:lang w:val="ro-MD"/>
        </w:rPr>
        <w:t xml:space="preserve"> Atribuirea profiturilor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pierderilor </w:t>
      </w:r>
      <w:r w:rsidR="006749A4" w:rsidRPr="000508B6">
        <w:rPr>
          <w:rFonts w:ascii="Times New Roman" w:hAnsi="Times New Roman" w:cs="Times New Roman"/>
          <w:lang w:val="ro-MD"/>
        </w:rPr>
        <w:t xml:space="preserve"> </w:t>
      </w:r>
    </w:p>
    <w:p w14:paraId="156F3A60" w14:textId="6BAC125B"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atribuirea profiturilor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pierderilor,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p>
    <w:p w14:paraId="671F3144" w14:textId="3EB1A6EF" w:rsidR="00F95829" w:rsidRPr="000508B6" w:rsidRDefault="00F95829" w:rsidP="00966566">
      <w:pPr>
        <w:pStyle w:val="Listparagraf"/>
        <w:numPr>
          <w:ilvl w:val="2"/>
          <w:numId w:val="1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analizează,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anual, sursele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cauzele acestora, pe </w:t>
      </w:r>
      <w:proofErr w:type="spellStart"/>
      <w:r w:rsidRPr="000508B6">
        <w:rPr>
          <w:rFonts w:ascii="Times New Roman" w:hAnsi="Times New Roman" w:cs="Times New Roman"/>
          <w:lang w:val="ro-MD"/>
        </w:rPr>
        <w:t>unităţi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operaţionale</w:t>
      </w:r>
      <w:proofErr w:type="spellEnd"/>
      <w:r w:rsidRPr="000508B6">
        <w:rPr>
          <w:rFonts w:ascii="Times New Roman" w:hAnsi="Times New Roman" w:cs="Times New Roman"/>
          <w:lang w:val="ro-MD"/>
        </w:rPr>
        <w:t xml:space="preserve"> majore; </w:t>
      </w:r>
    </w:p>
    <w:p w14:paraId="32B1E6FA" w14:textId="06BDF1DD" w:rsidR="00F95829" w:rsidRPr="000508B6" w:rsidRDefault="00F95829" w:rsidP="0006568A">
      <w:pPr>
        <w:pStyle w:val="Listparagraf"/>
        <w:numPr>
          <w:ilvl w:val="2"/>
          <w:numId w:val="1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demonstrează modul în care clasificarea riscurilor utilizată în modelul intern explică sursele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cauzele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a); </w:t>
      </w:r>
    </w:p>
    <w:p w14:paraId="6DF6E686" w14:textId="476FBE46" w:rsidR="00F95829" w:rsidRPr="000508B6" w:rsidRDefault="00F95829" w:rsidP="0006568A">
      <w:pPr>
        <w:pStyle w:val="Listparagraf"/>
        <w:numPr>
          <w:ilvl w:val="2"/>
          <w:numId w:val="1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clasifică riscurile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atribuie profiturile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pierderile astfel încât să reflecte profilul de risc.</w:t>
      </w:r>
    </w:p>
    <w:p w14:paraId="5E8E8910" w14:textId="77777777" w:rsidR="0042355F" w:rsidRPr="000508B6" w:rsidRDefault="0042355F" w:rsidP="008B530F">
      <w:pPr>
        <w:spacing w:after="0" w:line="240" w:lineRule="auto"/>
        <w:ind w:firstLine="426"/>
        <w:jc w:val="both"/>
        <w:rPr>
          <w:rFonts w:ascii="Times New Roman" w:hAnsi="Times New Roman" w:cs="Times New Roman"/>
          <w:b/>
          <w:lang w:val="ro-MD"/>
        </w:rPr>
      </w:pPr>
    </w:p>
    <w:p w14:paraId="1704932A" w14:textId="37799BE9"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83</w:t>
      </w:r>
      <w:r w:rsidR="00971DD9" w:rsidRPr="000508B6">
        <w:rPr>
          <w:rFonts w:ascii="Times New Roman" w:hAnsi="Times New Roman" w:cs="Times New Roman"/>
          <w:b/>
          <w:lang w:val="ro-MD"/>
        </w:rPr>
        <w:t>.</w:t>
      </w:r>
      <w:r w:rsidR="00294E3E" w:rsidRPr="000508B6">
        <w:rPr>
          <w:rFonts w:ascii="Times New Roman" w:hAnsi="Times New Roman" w:cs="Times New Roman"/>
          <w:b/>
          <w:lang w:val="ro-MD"/>
        </w:rPr>
        <w:t xml:space="preserve"> </w:t>
      </w:r>
      <w:r w:rsidRPr="000508B6">
        <w:rPr>
          <w:rFonts w:ascii="Times New Roman" w:hAnsi="Times New Roman" w:cs="Times New Roman"/>
          <w:lang w:val="ro-MD"/>
        </w:rPr>
        <w:t xml:space="preserve">Datele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modelele externe</w:t>
      </w:r>
      <w:r w:rsidR="00153D2A" w:rsidRPr="000508B6">
        <w:rPr>
          <w:rFonts w:ascii="Times New Roman" w:hAnsi="Times New Roman" w:cs="Times New Roman"/>
          <w:lang w:val="ro-MD"/>
        </w:rPr>
        <w:t xml:space="preserve"> </w:t>
      </w:r>
    </w:p>
    <w:p w14:paraId="258E6210" w14:textId="1C5E566A" w:rsidR="00F95829" w:rsidRPr="000508B6" w:rsidRDefault="00C855AA"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Utilizarea unui model sau a unor date obținute de la un terț nu justifică scutirea de la niciuna dintre cerințele aplicabile modelului intern prevăzute la art. </w:t>
      </w:r>
      <w:r w:rsidR="005002D8" w:rsidRPr="000508B6">
        <w:rPr>
          <w:rFonts w:ascii="Times New Roman" w:hAnsi="Times New Roman" w:cs="Times New Roman"/>
          <w:lang w:val="ro-MD"/>
        </w:rPr>
        <w:t xml:space="preserve">22 alin. (8), art. </w:t>
      </w:r>
      <w:r w:rsidRPr="000508B6">
        <w:rPr>
          <w:rFonts w:ascii="Times New Roman" w:hAnsi="Times New Roman" w:cs="Times New Roman"/>
          <w:lang w:val="ro-MD"/>
        </w:rPr>
        <w:t>81, art. 8</w:t>
      </w:r>
      <w:r w:rsidR="006E3902" w:rsidRPr="000508B6">
        <w:rPr>
          <w:rFonts w:ascii="Times New Roman" w:hAnsi="Times New Roman" w:cs="Times New Roman"/>
          <w:lang w:val="ro-MD"/>
        </w:rPr>
        <w:t>2, art. 84</w:t>
      </w:r>
      <w:r w:rsidRPr="000508B6">
        <w:rPr>
          <w:rFonts w:ascii="Times New Roman" w:hAnsi="Times New Roman" w:cs="Times New Roman"/>
          <w:lang w:val="ro-MD"/>
        </w:rPr>
        <w:t>-87</w:t>
      </w:r>
      <w:r w:rsidR="00F95829" w:rsidRPr="000508B6">
        <w:rPr>
          <w:rFonts w:ascii="Times New Roman" w:hAnsi="Times New Roman" w:cs="Times New Roman"/>
          <w:lang w:val="ro-MD"/>
        </w:rPr>
        <w:t>.</w:t>
      </w:r>
    </w:p>
    <w:p w14:paraId="6254D54E" w14:textId="77777777" w:rsidR="00F95829" w:rsidRPr="000508B6" w:rsidRDefault="00F95829" w:rsidP="008B530F">
      <w:pPr>
        <w:spacing w:after="0" w:line="240" w:lineRule="auto"/>
        <w:ind w:firstLine="426"/>
        <w:jc w:val="both"/>
        <w:rPr>
          <w:rFonts w:ascii="Times New Roman" w:hAnsi="Times New Roman" w:cs="Times New Roman"/>
          <w:lang w:val="ro-MD"/>
        </w:rPr>
      </w:pPr>
    </w:p>
    <w:p w14:paraId="6B87F4D7" w14:textId="27CCB8AE"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w:t>
      </w:r>
      <w:r w:rsidR="00C41D4B" w:rsidRPr="000508B6">
        <w:rPr>
          <w:rFonts w:ascii="Times New Roman" w:hAnsi="Times New Roman" w:cs="Times New Roman"/>
          <w:b/>
          <w:lang w:val="ro-MD"/>
        </w:rPr>
        <w:t>4</w:t>
      </w:r>
      <w:r w:rsidRPr="000508B6">
        <w:rPr>
          <w:rFonts w:ascii="Times New Roman" w:hAnsi="Times New Roman" w:cs="Times New Roman"/>
          <w:b/>
          <w:lang w:val="ro-MD"/>
        </w:rPr>
        <w:t xml:space="preserve">.4 </w:t>
      </w:r>
    </w:p>
    <w:p w14:paraId="59C8BE56"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Standardele de calitate aplicabile modelului intern </w:t>
      </w:r>
    </w:p>
    <w:p w14:paraId="053AC82E" w14:textId="77777777" w:rsidR="00F95829" w:rsidRPr="000508B6" w:rsidRDefault="00F95829" w:rsidP="008B530F">
      <w:pPr>
        <w:spacing w:after="0" w:line="240" w:lineRule="auto"/>
        <w:ind w:firstLine="426"/>
        <w:jc w:val="center"/>
        <w:rPr>
          <w:rFonts w:ascii="Times New Roman" w:hAnsi="Times New Roman" w:cs="Times New Roman"/>
          <w:lang w:val="ro-MD"/>
        </w:rPr>
      </w:pPr>
    </w:p>
    <w:p w14:paraId="3B1E4582" w14:textId="0C7B793B"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84</w:t>
      </w:r>
      <w:r w:rsidR="00AE2FB2" w:rsidRPr="000508B6">
        <w:rPr>
          <w:rFonts w:ascii="Times New Roman" w:hAnsi="Times New Roman" w:cs="Times New Roman"/>
          <w:b/>
          <w:lang w:val="ro-MD"/>
        </w:rPr>
        <w:t>.</w:t>
      </w:r>
      <w:r w:rsidR="00313705" w:rsidRPr="000508B6">
        <w:rPr>
          <w:rFonts w:ascii="Times New Roman" w:hAnsi="Times New Roman" w:cs="Times New Roman"/>
          <w:b/>
          <w:lang w:val="ro-MD"/>
        </w:rPr>
        <w:t xml:space="preserve"> </w:t>
      </w:r>
      <w:r w:rsidRPr="000508B6">
        <w:rPr>
          <w:rFonts w:ascii="Times New Roman" w:hAnsi="Times New Roman" w:cs="Times New Roman"/>
          <w:lang w:val="ro-MD"/>
        </w:rPr>
        <w:t>Datele statistice</w:t>
      </w:r>
      <w:r w:rsidRPr="000508B6">
        <w:rPr>
          <w:rFonts w:ascii="Times New Roman" w:hAnsi="Times New Roman" w:cs="Times New Roman"/>
          <w:color w:val="FF0000"/>
          <w:lang w:val="ro-MD"/>
        </w:rPr>
        <w:t xml:space="preserve"> </w:t>
      </w:r>
    </w:p>
    <w:p w14:paraId="135D59EE" w14:textId="77E694F6" w:rsidR="00F95829" w:rsidRPr="000508B6" w:rsidRDefault="00F95829" w:rsidP="00966566">
      <w:pPr>
        <w:pStyle w:val="Listparagraf"/>
        <w:numPr>
          <w:ilvl w:val="1"/>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Metodele utilizate în calcularea prognozei </w:t>
      </w:r>
      <w:proofErr w:type="spellStart"/>
      <w:r w:rsidRPr="000508B6">
        <w:rPr>
          <w:rFonts w:ascii="Times New Roman" w:hAnsi="Times New Roman" w:cs="Times New Roman"/>
          <w:lang w:val="ro-MD"/>
        </w:rPr>
        <w:t>distribuţiei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probabilităţilor</w:t>
      </w:r>
      <w:proofErr w:type="spellEnd"/>
      <w:r w:rsidRPr="000508B6">
        <w:rPr>
          <w:rFonts w:ascii="Times New Roman" w:hAnsi="Times New Roman" w:cs="Times New Roman"/>
          <w:lang w:val="ro-MD"/>
        </w:rPr>
        <w:t xml:space="preserve"> sunt </w:t>
      </w:r>
      <w:r w:rsidR="000F1E34" w:rsidRPr="000508B6">
        <w:rPr>
          <w:rFonts w:ascii="Times New Roman" w:hAnsi="Times New Roman" w:cs="Times New Roman"/>
          <w:lang w:val="ro-MD"/>
        </w:rPr>
        <w:t xml:space="preserve">conforme </w:t>
      </w:r>
      <w:r w:rsidRPr="000508B6">
        <w:rPr>
          <w:rFonts w:ascii="Times New Roman" w:hAnsi="Times New Roman" w:cs="Times New Roman"/>
          <w:lang w:val="ro-MD"/>
        </w:rPr>
        <w:t xml:space="preserve">cu metodele utilizate în calcularea rezervelor tehnice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se bazează pe: </w:t>
      </w:r>
    </w:p>
    <w:p w14:paraId="7F4FC0CB" w14:textId="4D66B56B" w:rsidR="00F95829" w:rsidRPr="000508B6" w:rsidRDefault="00F95829" w:rsidP="0006568A">
      <w:pPr>
        <w:pStyle w:val="Listparagraf"/>
        <w:numPr>
          <w:ilvl w:val="2"/>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tehnici actuariale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statistice adecvate, aplicabile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relevante; </w:t>
      </w:r>
    </w:p>
    <w:p w14:paraId="31A43AEF" w14:textId="3AE50B4A" w:rsidR="00F95829" w:rsidRPr="000508B6" w:rsidRDefault="00F95829" w:rsidP="0006568A">
      <w:pPr>
        <w:pStyle w:val="Listparagraf"/>
        <w:numPr>
          <w:ilvl w:val="2"/>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ipoteze realiste; </w:t>
      </w:r>
    </w:p>
    <w:p w14:paraId="0475C12A" w14:textId="2BD6405F" w:rsidR="00F95829" w:rsidRPr="000508B6" w:rsidRDefault="00F95829" w:rsidP="0006568A">
      <w:pPr>
        <w:pStyle w:val="Listparagraf"/>
        <w:numPr>
          <w:ilvl w:val="2"/>
          <w:numId w:val="173"/>
        </w:numPr>
        <w:tabs>
          <w:tab w:val="left" w:pos="709"/>
          <w:tab w:val="left" w:pos="993"/>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credibile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actual</w:t>
      </w:r>
      <w:r w:rsidR="003F1D5A" w:rsidRPr="000508B6">
        <w:rPr>
          <w:rFonts w:ascii="Times New Roman" w:hAnsi="Times New Roman" w:cs="Times New Roman"/>
          <w:lang w:val="ro-MD"/>
        </w:rPr>
        <w:t>e</w:t>
      </w:r>
      <w:r w:rsidRPr="000508B6">
        <w:rPr>
          <w:rFonts w:ascii="Times New Roman" w:hAnsi="Times New Roman" w:cs="Times New Roman"/>
          <w:lang w:val="ro-MD"/>
        </w:rPr>
        <w:t xml:space="preserve">. </w:t>
      </w:r>
    </w:p>
    <w:p w14:paraId="34800FAC" w14:textId="5BA95DB4" w:rsidR="00F95829" w:rsidRPr="000508B6" w:rsidRDefault="00D068AA" w:rsidP="0006568A">
      <w:pPr>
        <w:pStyle w:val="Listparagraf"/>
        <w:numPr>
          <w:ilvl w:val="1"/>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justifică documentat în </w:t>
      </w:r>
      <w:proofErr w:type="spellStart"/>
      <w:r w:rsidR="00F95829" w:rsidRPr="000508B6">
        <w:rPr>
          <w:rFonts w:ascii="Times New Roman" w:hAnsi="Times New Roman" w:cs="Times New Roman"/>
          <w:lang w:val="ro-MD"/>
        </w:rPr>
        <w:t>faţa</w:t>
      </w:r>
      <w:proofErr w:type="spellEnd"/>
      <w:r w:rsidR="00F95829" w:rsidRPr="000508B6">
        <w:rPr>
          <w:rFonts w:ascii="Times New Roman" w:hAnsi="Times New Roman" w:cs="Times New Roman"/>
          <w:lang w:val="ro-MD"/>
        </w:rPr>
        <w:t xml:space="preserve"> </w:t>
      </w:r>
      <w:r w:rsidR="000B31FB" w:rsidRPr="000508B6">
        <w:rPr>
          <w:rFonts w:ascii="Times New Roman" w:hAnsi="Times New Roman" w:cs="Times New Roman"/>
          <w:lang w:val="ro-MD"/>
        </w:rPr>
        <w:t>Băncii Naționale a Moldovei</w:t>
      </w:r>
      <w:r w:rsidR="00F95829" w:rsidRPr="000508B6">
        <w:rPr>
          <w:rFonts w:ascii="Times New Roman" w:hAnsi="Times New Roman" w:cs="Times New Roman"/>
          <w:lang w:val="ro-MD"/>
        </w:rPr>
        <w:t xml:space="preserve"> modul de stabilire a ipotezelor care stau la baza modelului intern. </w:t>
      </w:r>
    </w:p>
    <w:p w14:paraId="2FE601CB" w14:textId="73741476" w:rsidR="00F95829" w:rsidRPr="000508B6" w:rsidRDefault="00F95829" w:rsidP="0006568A">
      <w:pPr>
        <w:pStyle w:val="Listparagraf"/>
        <w:numPr>
          <w:ilvl w:val="1"/>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Datele utilizate de modelul intern sunt integrale, exacte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adecvate, iar seriile de date utilizate în calculul prognozei </w:t>
      </w:r>
      <w:proofErr w:type="spellStart"/>
      <w:r w:rsidRPr="000508B6">
        <w:rPr>
          <w:rFonts w:ascii="Times New Roman" w:hAnsi="Times New Roman" w:cs="Times New Roman"/>
          <w:lang w:val="ro-MD"/>
        </w:rPr>
        <w:t>distribuţiei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probabilităţilor</w:t>
      </w:r>
      <w:proofErr w:type="spellEnd"/>
      <w:r w:rsidRPr="000508B6">
        <w:rPr>
          <w:rFonts w:ascii="Times New Roman" w:hAnsi="Times New Roman" w:cs="Times New Roman"/>
          <w:lang w:val="ro-MD"/>
        </w:rPr>
        <w:t xml:space="preserve"> sunt actualizate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anual. </w:t>
      </w:r>
    </w:p>
    <w:p w14:paraId="25DF8717" w14:textId="45D22569" w:rsidR="00F95829" w:rsidRPr="000508B6" w:rsidRDefault="00F95829" w:rsidP="0006568A">
      <w:pPr>
        <w:pStyle w:val="Listparagraf"/>
        <w:numPr>
          <w:ilvl w:val="1"/>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Indiferent de metoda de calcul a prognozei </w:t>
      </w:r>
      <w:proofErr w:type="spellStart"/>
      <w:r w:rsidRPr="000508B6">
        <w:rPr>
          <w:rFonts w:ascii="Times New Roman" w:hAnsi="Times New Roman" w:cs="Times New Roman"/>
          <w:lang w:val="ro-MD"/>
        </w:rPr>
        <w:t>distribuţiei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probabilităţilor</w:t>
      </w:r>
      <w:proofErr w:type="spellEnd"/>
      <w:r w:rsidRPr="000508B6">
        <w:rPr>
          <w:rFonts w:ascii="Times New Roman" w:hAnsi="Times New Roman" w:cs="Times New Roman"/>
          <w:lang w:val="ro-MD"/>
        </w:rPr>
        <w:t xml:space="preserve">, capacitatea modelului intern de a ierarhiza riscurile este suficientă pentru respectarea prevederilor art. </w:t>
      </w:r>
      <w:r w:rsidR="00780DEB" w:rsidRPr="000508B6">
        <w:rPr>
          <w:rFonts w:ascii="Times New Roman" w:hAnsi="Times New Roman" w:cs="Times New Roman"/>
          <w:lang w:val="ro-MD"/>
        </w:rPr>
        <w:t>81</w:t>
      </w:r>
      <w:r w:rsidRPr="000508B6">
        <w:rPr>
          <w:rFonts w:ascii="Times New Roman" w:hAnsi="Times New Roman" w:cs="Times New Roman"/>
          <w:lang w:val="ro-MD"/>
        </w:rPr>
        <w:t xml:space="preserve">. </w:t>
      </w:r>
      <w:r w:rsidR="00811545" w:rsidRPr="000508B6">
        <w:rPr>
          <w:rFonts w:ascii="Times New Roman" w:hAnsi="Times New Roman" w:cs="Times New Roman"/>
          <w:lang w:val="ro-MD"/>
        </w:rPr>
        <w:t xml:space="preserve"> </w:t>
      </w:r>
    </w:p>
    <w:p w14:paraId="0B4E35A1" w14:textId="44422BE2" w:rsidR="00F95829" w:rsidRPr="000508B6" w:rsidRDefault="00F95829" w:rsidP="0006568A">
      <w:pPr>
        <w:pStyle w:val="Listparagraf"/>
        <w:numPr>
          <w:ilvl w:val="1"/>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Modelul intern acoperă toate riscurile semnificative la care </w:t>
      </w:r>
      <w:r w:rsidR="00701E74" w:rsidRPr="000508B6">
        <w:rPr>
          <w:rFonts w:ascii="Times New Roman" w:hAnsi="Times New Roman" w:cs="Times New Roman"/>
          <w:lang w:val="ro-MD"/>
        </w:rPr>
        <w:t xml:space="preserve">este </w:t>
      </w:r>
      <w:r w:rsidRPr="000508B6">
        <w:rPr>
          <w:rFonts w:ascii="Times New Roman" w:hAnsi="Times New Roman" w:cs="Times New Roman"/>
          <w:lang w:val="ro-MD"/>
        </w:rPr>
        <w:t>expus</w:t>
      </w:r>
      <w:r w:rsidR="00E25C25"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dar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riscurile prevăzute la art. </w:t>
      </w:r>
      <w:r w:rsidR="00780DEB" w:rsidRPr="000508B6">
        <w:rPr>
          <w:rFonts w:ascii="Times New Roman" w:hAnsi="Times New Roman" w:cs="Times New Roman"/>
          <w:lang w:val="ro-MD"/>
        </w:rPr>
        <w:t xml:space="preserve">64 </w:t>
      </w:r>
      <w:r w:rsidRPr="000508B6">
        <w:rPr>
          <w:rFonts w:ascii="Times New Roman" w:hAnsi="Times New Roman" w:cs="Times New Roman"/>
          <w:lang w:val="ro-MD"/>
        </w:rPr>
        <w:t xml:space="preserve">alin. (5). </w:t>
      </w:r>
    </w:p>
    <w:p w14:paraId="526C24C6" w14:textId="6CCAA662" w:rsidR="00F95829" w:rsidRPr="000508B6" w:rsidRDefault="004125E8" w:rsidP="0006568A">
      <w:pPr>
        <w:pStyle w:val="Listparagraf"/>
        <w:numPr>
          <w:ilvl w:val="1"/>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po</w:t>
      </w:r>
      <w:r w:rsidR="00FB211D" w:rsidRPr="000508B6">
        <w:rPr>
          <w:rFonts w:ascii="Times New Roman" w:hAnsi="Times New Roman" w:cs="Times New Roman"/>
          <w:lang w:val="ro-MD"/>
        </w:rPr>
        <w:t>a</w:t>
      </w:r>
      <w:r w:rsidR="00F95829" w:rsidRPr="000508B6">
        <w:rPr>
          <w:rFonts w:ascii="Times New Roman" w:hAnsi="Times New Roman" w:cs="Times New Roman"/>
          <w:lang w:val="ro-MD"/>
        </w:rPr>
        <w:t>t</w:t>
      </w:r>
      <w:r w:rsidR="00FB211D" w:rsidRPr="000508B6">
        <w:rPr>
          <w:rFonts w:ascii="Times New Roman" w:hAnsi="Times New Roman" w:cs="Times New Roman"/>
          <w:lang w:val="ro-MD"/>
        </w:rPr>
        <w:t>e</w:t>
      </w:r>
      <w:r w:rsidR="00F95829" w:rsidRPr="000508B6">
        <w:rPr>
          <w:rFonts w:ascii="Times New Roman" w:hAnsi="Times New Roman" w:cs="Times New Roman"/>
          <w:lang w:val="ro-MD"/>
        </w:rPr>
        <w:t xml:space="preserve"> lua în considerare în modelul </w:t>
      </w:r>
      <w:r w:rsidR="001E732A" w:rsidRPr="000508B6">
        <w:rPr>
          <w:rFonts w:ascii="Times New Roman" w:hAnsi="Times New Roman" w:cs="Times New Roman"/>
          <w:lang w:val="ro-MD"/>
        </w:rPr>
        <w:t xml:space="preserve">său </w:t>
      </w:r>
      <w:r w:rsidR="00F95829" w:rsidRPr="000508B6">
        <w:rPr>
          <w:rFonts w:ascii="Times New Roman" w:hAnsi="Times New Roman" w:cs="Times New Roman"/>
          <w:lang w:val="ro-MD"/>
        </w:rPr>
        <w:t xml:space="preserve">intern: </w:t>
      </w:r>
    </w:p>
    <w:p w14:paraId="19CB9E1E" w14:textId="012308B7" w:rsidR="00F95829" w:rsidRPr="000508B6" w:rsidRDefault="00F95829" w:rsidP="0006568A">
      <w:pPr>
        <w:pStyle w:val="Listparagraf"/>
        <w:numPr>
          <w:ilvl w:val="2"/>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efectele diversificării date de </w:t>
      </w:r>
      <w:proofErr w:type="spellStart"/>
      <w:r w:rsidRPr="000508B6">
        <w:rPr>
          <w:rFonts w:ascii="Times New Roman" w:hAnsi="Times New Roman" w:cs="Times New Roman"/>
          <w:lang w:val="ro-MD"/>
        </w:rPr>
        <w:t>dependenţele</w:t>
      </w:r>
      <w:proofErr w:type="spellEnd"/>
      <w:r w:rsidRPr="000508B6">
        <w:rPr>
          <w:rFonts w:ascii="Times New Roman" w:hAnsi="Times New Roman" w:cs="Times New Roman"/>
          <w:lang w:val="ro-MD"/>
        </w:rPr>
        <w:t xml:space="preserve"> dintre diferitele categorii de riscuri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dintre riscurile din cadrul fiecărei categorii, numai dacă </w:t>
      </w:r>
      <w:r w:rsidR="000B31FB"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consideră că sistemul utilizat pentru măsurarea efectelor respective este adecvat;  </w:t>
      </w:r>
    </w:p>
    <w:p w14:paraId="337DA4BD" w14:textId="559F9656" w:rsidR="00F95829" w:rsidRPr="000508B6" w:rsidRDefault="00F95829" w:rsidP="0006568A">
      <w:pPr>
        <w:pStyle w:val="Listparagraf"/>
        <w:numPr>
          <w:ilvl w:val="2"/>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efectul tehnicilor de minimizare a riscurilor, în cazul în care riscul de credit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riscurile care decurg din utilizarea acestor tehnici sunt reflectate adecvat de modelul intern; </w:t>
      </w:r>
    </w:p>
    <w:p w14:paraId="7625B735" w14:textId="3CCCF76E" w:rsidR="00F95829" w:rsidRPr="000508B6" w:rsidRDefault="00F95829" w:rsidP="0006568A">
      <w:pPr>
        <w:pStyle w:val="Listparagraf"/>
        <w:numPr>
          <w:ilvl w:val="2"/>
          <w:numId w:val="173"/>
        </w:numPr>
        <w:tabs>
          <w:tab w:val="left" w:pos="709"/>
          <w:tab w:val="left" w:pos="993"/>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acţiunile</w:t>
      </w:r>
      <w:proofErr w:type="spellEnd"/>
      <w:r w:rsidRPr="000508B6">
        <w:rPr>
          <w:rFonts w:ascii="Times New Roman" w:hAnsi="Times New Roman" w:cs="Times New Roman"/>
          <w:lang w:val="ro-MD"/>
        </w:rPr>
        <w:t xml:space="preserve"> viitoare ale managementului efectuate în </w:t>
      </w:r>
      <w:proofErr w:type="spellStart"/>
      <w:r w:rsidRPr="000508B6">
        <w:rPr>
          <w:rFonts w:ascii="Times New Roman" w:hAnsi="Times New Roman" w:cs="Times New Roman"/>
          <w:lang w:val="ro-MD"/>
        </w:rPr>
        <w:t>circumstanţe</w:t>
      </w:r>
      <w:proofErr w:type="spellEnd"/>
      <w:r w:rsidRPr="000508B6">
        <w:rPr>
          <w:rFonts w:ascii="Times New Roman" w:hAnsi="Times New Roman" w:cs="Times New Roman"/>
          <w:lang w:val="ro-MD"/>
        </w:rPr>
        <w:t xml:space="preserve"> speciale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perioada necesară punerii în aplicare a acestora; </w:t>
      </w:r>
    </w:p>
    <w:p w14:paraId="1FF25036" w14:textId="1E3D02CA" w:rsidR="00F95829" w:rsidRPr="000508B6" w:rsidRDefault="00F95829" w:rsidP="0006568A">
      <w:pPr>
        <w:pStyle w:val="Listparagraf"/>
        <w:numPr>
          <w:ilvl w:val="2"/>
          <w:numId w:val="173"/>
        </w:numPr>
        <w:tabs>
          <w:tab w:val="left" w:pos="709"/>
          <w:tab w:val="left" w:pos="993"/>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plăţile</w:t>
      </w:r>
      <w:proofErr w:type="spellEnd"/>
      <w:r w:rsidRPr="000508B6">
        <w:rPr>
          <w:rFonts w:ascii="Times New Roman" w:hAnsi="Times New Roman" w:cs="Times New Roman"/>
          <w:lang w:val="ro-MD"/>
        </w:rPr>
        <w:t xml:space="preserve"> estimate către </w:t>
      </w:r>
      <w:r w:rsidR="004A4D7C" w:rsidRPr="000508B6">
        <w:rPr>
          <w:rFonts w:ascii="Times New Roman" w:hAnsi="Times New Roman" w:cs="Times New Roman"/>
          <w:lang w:val="ro-MD"/>
        </w:rPr>
        <w:t xml:space="preserve">asigurați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F25BAD" w:rsidRPr="000508B6">
        <w:rPr>
          <w:rFonts w:ascii="Times New Roman" w:hAnsi="Times New Roman" w:cs="Times New Roman"/>
          <w:lang w:val="ro-MD"/>
        </w:rPr>
        <w:t>beneficiari ai asigurării</w:t>
      </w:r>
      <w:r w:rsidRPr="000508B6">
        <w:rPr>
          <w:rFonts w:ascii="Times New Roman" w:hAnsi="Times New Roman" w:cs="Times New Roman"/>
          <w:lang w:val="ro-MD"/>
        </w:rPr>
        <w:t xml:space="preserve">, </w:t>
      </w:r>
      <w:r w:rsidR="001E732A" w:rsidRPr="000508B6">
        <w:rPr>
          <w:rFonts w:ascii="Times New Roman" w:hAnsi="Times New Roman" w:cs="Times New Roman"/>
          <w:lang w:val="ro-MD"/>
        </w:rPr>
        <w:t>indiferent dacă respectivele plăți sunt sau nu garantate prin contract</w:t>
      </w:r>
      <w:r w:rsidRPr="000508B6">
        <w:rPr>
          <w:rFonts w:ascii="Times New Roman" w:hAnsi="Times New Roman" w:cs="Times New Roman"/>
          <w:lang w:val="ro-MD"/>
        </w:rPr>
        <w:t>.</w:t>
      </w:r>
    </w:p>
    <w:p w14:paraId="2DFBE715" w14:textId="25B1BD47" w:rsidR="00F95829" w:rsidRPr="000508B6" w:rsidRDefault="004125E8" w:rsidP="0006568A">
      <w:pPr>
        <w:pStyle w:val="Listparagraf"/>
        <w:numPr>
          <w:ilvl w:val="1"/>
          <w:numId w:val="17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evaluează adecvat în modelul intern, atunci când acestea sunt semnificative, riscurile aferente </w:t>
      </w:r>
      <w:proofErr w:type="spellStart"/>
      <w:r w:rsidR="00F95829" w:rsidRPr="000508B6">
        <w:rPr>
          <w:rFonts w:ascii="Times New Roman" w:hAnsi="Times New Roman" w:cs="Times New Roman"/>
          <w:lang w:val="ro-MD"/>
        </w:rPr>
        <w:t>garanţiilor</w:t>
      </w:r>
      <w:proofErr w:type="spellEnd"/>
      <w:r w:rsidR="00F95829" w:rsidRPr="000508B6">
        <w:rPr>
          <w:rFonts w:ascii="Times New Roman" w:hAnsi="Times New Roman" w:cs="Times New Roman"/>
          <w:lang w:val="ro-MD"/>
        </w:rPr>
        <w:t xml:space="preserve"> financiare, </w:t>
      </w:r>
      <w:proofErr w:type="spellStart"/>
      <w:r w:rsidR="00F95829" w:rsidRPr="000508B6">
        <w:rPr>
          <w:rFonts w:ascii="Times New Roman" w:hAnsi="Times New Roman" w:cs="Times New Roman"/>
          <w:lang w:val="ro-MD"/>
        </w:rPr>
        <w:t>opţiunilor</w:t>
      </w:r>
      <w:proofErr w:type="spellEnd"/>
      <w:r w:rsidR="00F95829" w:rsidRPr="000508B6">
        <w:rPr>
          <w:rFonts w:ascii="Times New Roman" w:hAnsi="Times New Roman" w:cs="Times New Roman"/>
          <w:lang w:val="ro-MD"/>
        </w:rPr>
        <w:t xml:space="preserve"> oferite </w:t>
      </w:r>
      <w:r w:rsidR="004A4D7C" w:rsidRPr="000508B6">
        <w:rPr>
          <w:rFonts w:ascii="Times New Roman" w:hAnsi="Times New Roman" w:cs="Times New Roman"/>
          <w:lang w:val="ro-MD"/>
        </w:rPr>
        <w:t xml:space="preserve">asiguraților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opţiunilor</w:t>
      </w:r>
      <w:proofErr w:type="spellEnd"/>
      <w:r w:rsidR="00F95829" w:rsidRPr="000508B6">
        <w:rPr>
          <w:rFonts w:ascii="Times New Roman" w:hAnsi="Times New Roman" w:cs="Times New Roman"/>
          <w:lang w:val="ro-MD"/>
        </w:rPr>
        <w:t xml:space="preserve"> contractuale proprii, </w:t>
      </w:r>
      <w:proofErr w:type="spellStart"/>
      <w:r w:rsidR="00F95829" w:rsidRPr="000508B6">
        <w:rPr>
          <w:rFonts w:ascii="Times New Roman" w:hAnsi="Times New Roman" w:cs="Times New Roman"/>
          <w:lang w:val="ro-MD"/>
        </w:rPr>
        <w:t>ţinând</w:t>
      </w:r>
      <w:proofErr w:type="spellEnd"/>
      <w:r w:rsidR="00F95829" w:rsidRPr="000508B6">
        <w:rPr>
          <w:rFonts w:ascii="Times New Roman" w:hAnsi="Times New Roman" w:cs="Times New Roman"/>
          <w:lang w:val="ro-MD"/>
        </w:rPr>
        <w:t xml:space="preserve"> cont de impactul eventualelor modificări ale </w:t>
      </w:r>
      <w:proofErr w:type="spellStart"/>
      <w:r w:rsidR="00F95829" w:rsidRPr="000508B6">
        <w:rPr>
          <w:rFonts w:ascii="Times New Roman" w:hAnsi="Times New Roman" w:cs="Times New Roman"/>
          <w:lang w:val="ro-MD"/>
        </w:rPr>
        <w:t>condiţiilor</w:t>
      </w:r>
      <w:proofErr w:type="spellEnd"/>
      <w:r w:rsidR="00F95829" w:rsidRPr="000508B6">
        <w:rPr>
          <w:rFonts w:ascii="Times New Roman" w:hAnsi="Times New Roman" w:cs="Times New Roman"/>
          <w:lang w:val="ro-MD"/>
        </w:rPr>
        <w:t xml:space="preserve"> financiare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nefinanciare asupra exercitării </w:t>
      </w:r>
      <w:proofErr w:type="spellStart"/>
      <w:r w:rsidR="00F95829" w:rsidRPr="000508B6">
        <w:rPr>
          <w:rFonts w:ascii="Times New Roman" w:hAnsi="Times New Roman" w:cs="Times New Roman"/>
          <w:lang w:val="ro-MD"/>
        </w:rPr>
        <w:t>opţiunilor</w:t>
      </w:r>
      <w:proofErr w:type="spellEnd"/>
      <w:r w:rsidR="00F95829" w:rsidRPr="000508B6">
        <w:rPr>
          <w:rFonts w:ascii="Times New Roman" w:hAnsi="Times New Roman" w:cs="Times New Roman"/>
          <w:lang w:val="ro-MD"/>
        </w:rPr>
        <w:t xml:space="preserve"> respective.</w:t>
      </w:r>
    </w:p>
    <w:p w14:paraId="33DCE4B3" w14:textId="77777777" w:rsidR="001818A7" w:rsidRPr="000508B6" w:rsidRDefault="001818A7" w:rsidP="008B530F">
      <w:pPr>
        <w:spacing w:after="0" w:line="240" w:lineRule="auto"/>
        <w:ind w:firstLine="426"/>
        <w:jc w:val="both"/>
        <w:rPr>
          <w:rFonts w:ascii="Times New Roman" w:hAnsi="Times New Roman" w:cs="Times New Roman"/>
          <w:b/>
          <w:lang w:val="ro-MD"/>
        </w:rPr>
      </w:pPr>
    </w:p>
    <w:p w14:paraId="3C3E7939" w14:textId="42942F0F"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85</w:t>
      </w:r>
      <w:r w:rsidR="00AE2FB2" w:rsidRPr="000508B6">
        <w:rPr>
          <w:rFonts w:ascii="Times New Roman" w:hAnsi="Times New Roman" w:cs="Times New Roman"/>
          <w:b/>
          <w:lang w:val="ro-MD"/>
        </w:rPr>
        <w:t xml:space="preserve">. </w:t>
      </w:r>
      <w:r w:rsidRPr="000508B6">
        <w:rPr>
          <w:rFonts w:ascii="Times New Roman" w:hAnsi="Times New Roman" w:cs="Times New Roman"/>
          <w:lang w:val="ro-MD"/>
        </w:rPr>
        <w:t xml:space="preserve">Calibrarea </w:t>
      </w:r>
    </w:p>
    <w:p w14:paraId="43BD6383" w14:textId="49DE2F49" w:rsidR="00F95829" w:rsidRPr="000508B6" w:rsidRDefault="00D068AA" w:rsidP="00FA4A96">
      <w:pPr>
        <w:pStyle w:val="Listparagraf"/>
        <w:numPr>
          <w:ilvl w:val="1"/>
          <w:numId w:val="17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po</w:t>
      </w:r>
      <w:r w:rsidR="00FB211D" w:rsidRPr="000508B6">
        <w:rPr>
          <w:rFonts w:ascii="Times New Roman" w:hAnsi="Times New Roman" w:cs="Times New Roman"/>
          <w:lang w:val="ro-MD"/>
        </w:rPr>
        <w:t>a</w:t>
      </w:r>
      <w:r w:rsidR="00F95829" w:rsidRPr="000508B6">
        <w:rPr>
          <w:rFonts w:ascii="Times New Roman" w:hAnsi="Times New Roman" w:cs="Times New Roman"/>
          <w:lang w:val="ro-MD"/>
        </w:rPr>
        <w:t>t</w:t>
      </w:r>
      <w:r w:rsidR="00386D49" w:rsidRPr="000508B6">
        <w:rPr>
          <w:rFonts w:ascii="Times New Roman" w:hAnsi="Times New Roman" w:cs="Times New Roman"/>
          <w:lang w:val="ro-MD"/>
        </w:rPr>
        <w:t>e</w:t>
      </w:r>
      <w:r w:rsidR="00F95829" w:rsidRPr="000508B6">
        <w:rPr>
          <w:rFonts w:ascii="Times New Roman" w:hAnsi="Times New Roman" w:cs="Times New Roman"/>
          <w:lang w:val="ro-MD"/>
        </w:rPr>
        <w:t xml:space="preserve"> utiliza o altă perioadă sau o altă măsură de risc decât cea prevăzută la art. </w:t>
      </w:r>
      <w:r w:rsidR="00780DEB" w:rsidRPr="000508B6">
        <w:rPr>
          <w:rFonts w:ascii="Times New Roman" w:hAnsi="Times New Roman" w:cs="Times New Roman"/>
          <w:lang w:val="ro-MD"/>
        </w:rPr>
        <w:t xml:space="preserve">64 </w:t>
      </w:r>
      <w:r w:rsidR="00F95829" w:rsidRPr="000508B6">
        <w:rPr>
          <w:rFonts w:ascii="Times New Roman" w:hAnsi="Times New Roman" w:cs="Times New Roman"/>
          <w:lang w:val="ro-MD"/>
        </w:rPr>
        <w:t xml:space="preserve">alin. (4), dacă din calculele modelului intern rezultă un cuantum al SCR care oferă </w:t>
      </w:r>
      <w:r w:rsidR="00B105C9" w:rsidRPr="000508B6">
        <w:rPr>
          <w:rFonts w:ascii="Times New Roman" w:hAnsi="Times New Roman" w:cs="Times New Roman"/>
          <w:lang w:val="ro-MD"/>
        </w:rPr>
        <w:t xml:space="preserve">asiguraților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beneficiarilor </w:t>
      </w:r>
      <w:r w:rsidR="00F25BAD" w:rsidRPr="000508B6">
        <w:rPr>
          <w:rFonts w:ascii="Times New Roman" w:hAnsi="Times New Roman" w:cs="Times New Roman"/>
          <w:lang w:val="ro-MD"/>
        </w:rPr>
        <w:t xml:space="preserve">asigurării </w:t>
      </w:r>
      <w:r w:rsidR="00674C67" w:rsidRPr="000508B6">
        <w:rPr>
          <w:rFonts w:ascii="Times New Roman" w:hAnsi="Times New Roman" w:cs="Times New Roman"/>
          <w:lang w:val="ro-MD"/>
        </w:rPr>
        <w:t xml:space="preserve">un </w:t>
      </w:r>
      <w:r w:rsidR="00F95829" w:rsidRPr="000508B6">
        <w:rPr>
          <w:rFonts w:ascii="Times New Roman" w:hAnsi="Times New Roman" w:cs="Times New Roman"/>
          <w:lang w:val="ro-MD"/>
        </w:rPr>
        <w:t xml:space="preserve">nivel de </w:t>
      </w:r>
      <w:proofErr w:type="spellStart"/>
      <w:r w:rsidR="00F95829" w:rsidRPr="000508B6">
        <w:rPr>
          <w:rFonts w:ascii="Times New Roman" w:hAnsi="Times New Roman" w:cs="Times New Roman"/>
          <w:lang w:val="ro-MD"/>
        </w:rPr>
        <w:t>protecţie</w:t>
      </w:r>
      <w:proofErr w:type="spellEnd"/>
      <w:r w:rsidR="00F95829" w:rsidRPr="000508B6">
        <w:rPr>
          <w:rFonts w:ascii="Times New Roman" w:hAnsi="Times New Roman" w:cs="Times New Roman"/>
          <w:lang w:val="ro-MD"/>
        </w:rPr>
        <w:t xml:space="preserve"> </w:t>
      </w:r>
      <w:r w:rsidR="000076A0" w:rsidRPr="000508B6">
        <w:rPr>
          <w:rFonts w:ascii="Times New Roman" w:hAnsi="Times New Roman" w:cs="Times New Roman"/>
          <w:lang w:val="ro-MD"/>
        </w:rPr>
        <w:t>echivalent celui</w:t>
      </w:r>
      <w:r w:rsidR="00F95829" w:rsidRPr="000508B6">
        <w:rPr>
          <w:rFonts w:ascii="Times New Roman" w:hAnsi="Times New Roman" w:cs="Times New Roman"/>
          <w:lang w:val="ro-MD"/>
        </w:rPr>
        <w:t xml:space="preserve"> </w:t>
      </w:r>
      <w:r w:rsidR="000076A0" w:rsidRPr="000508B6">
        <w:rPr>
          <w:rFonts w:ascii="Times New Roman" w:hAnsi="Times New Roman" w:cs="Times New Roman"/>
          <w:lang w:val="ro-MD"/>
        </w:rPr>
        <w:t xml:space="preserve"> prevăzut</w:t>
      </w:r>
      <w:r w:rsidR="00F95829" w:rsidRPr="000508B6">
        <w:rPr>
          <w:rFonts w:ascii="Times New Roman" w:hAnsi="Times New Roman" w:cs="Times New Roman"/>
          <w:lang w:val="ro-MD"/>
        </w:rPr>
        <w:t xml:space="preserve"> la art. </w:t>
      </w:r>
      <w:r w:rsidR="00780DEB" w:rsidRPr="000508B6">
        <w:rPr>
          <w:rFonts w:ascii="Times New Roman" w:hAnsi="Times New Roman" w:cs="Times New Roman"/>
          <w:lang w:val="ro-MD"/>
        </w:rPr>
        <w:t>64</w:t>
      </w:r>
      <w:r w:rsidR="00F95829" w:rsidRPr="000508B6">
        <w:rPr>
          <w:rFonts w:ascii="Times New Roman" w:hAnsi="Times New Roman" w:cs="Times New Roman"/>
          <w:lang w:val="ro-MD"/>
        </w:rPr>
        <w:t xml:space="preserve">. </w:t>
      </w:r>
    </w:p>
    <w:p w14:paraId="539F7054" w14:textId="6BC8DF61" w:rsidR="00F95829" w:rsidRPr="000508B6" w:rsidRDefault="00F95829" w:rsidP="00063290">
      <w:pPr>
        <w:pStyle w:val="Listparagraf"/>
        <w:numPr>
          <w:ilvl w:val="1"/>
          <w:numId w:val="17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măsura în care este posibil,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deduc</w:t>
      </w:r>
      <w:r w:rsidR="00D02434" w:rsidRPr="000508B6">
        <w:rPr>
          <w:rFonts w:ascii="Times New Roman" w:hAnsi="Times New Roman" w:cs="Times New Roman"/>
          <w:lang w:val="ro-MD"/>
        </w:rPr>
        <w:t>e</w:t>
      </w:r>
      <w:r w:rsidRPr="000508B6">
        <w:rPr>
          <w:rFonts w:ascii="Times New Roman" w:hAnsi="Times New Roman" w:cs="Times New Roman"/>
          <w:lang w:val="ro-MD"/>
        </w:rPr>
        <w:t xml:space="preserve"> SCR direct din prognoza </w:t>
      </w:r>
      <w:proofErr w:type="spellStart"/>
      <w:r w:rsidRPr="000508B6">
        <w:rPr>
          <w:rFonts w:ascii="Times New Roman" w:hAnsi="Times New Roman" w:cs="Times New Roman"/>
          <w:lang w:val="ro-MD"/>
        </w:rPr>
        <w:t>distribuţiei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probabilităţilor</w:t>
      </w:r>
      <w:proofErr w:type="spellEnd"/>
      <w:r w:rsidRPr="000508B6">
        <w:rPr>
          <w:rFonts w:ascii="Times New Roman" w:hAnsi="Times New Roman" w:cs="Times New Roman"/>
          <w:lang w:val="ro-MD"/>
        </w:rPr>
        <w:t xml:space="preserve"> generată de modelul intern, pe baza valorii la risc prevăzute la art. </w:t>
      </w:r>
      <w:r w:rsidR="00780DEB" w:rsidRPr="000508B6">
        <w:rPr>
          <w:rFonts w:ascii="Times New Roman" w:hAnsi="Times New Roman" w:cs="Times New Roman"/>
          <w:lang w:val="ro-MD"/>
        </w:rPr>
        <w:t xml:space="preserve">64 </w:t>
      </w:r>
      <w:r w:rsidRPr="000508B6">
        <w:rPr>
          <w:rFonts w:ascii="Times New Roman" w:hAnsi="Times New Roman" w:cs="Times New Roman"/>
          <w:lang w:val="ro-MD"/>
        </w:rPr>
        <w:t>alin. (4</w:t>
      </w:r>
      <w:r w:rsidR="00D02434" w:rsidRPr="000508B6">
        <w:rPr>
          <w:rFonts w:ascii="Times New Roman" w:hAnsi="Times New Roman" w:cs="Times New Roman"/>
          <w:lang w:val="ro-MD"/>
        </w:rPr>
        <w:t xml:space="preserve">), iar </w:t>
      </w:r>
      <w:r w:rsidRPr="000508B6">
        <w:rPr>
          <w:rFonts w:ascii="Times New Roman" w:hAnsi="Times New Roman" w:cs="Times New Roman"/>
          <w:lang w:val="ro-MD"/>
        </w:rPr>
        <w:t xml:space="preserve">dacă acest lucru nu este posibil, </w:t>
      </w:r>
      <w:r w:rsidR="000B31FB"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permite utilizarea unor aproximări în calcularea SCR, atâta timp cât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documentează asigurarea </w:t>
      </w:r>
      <w:proofErr w:type="spellStart"/>
      <w:r w:rsidRPr="000508B6">
        <w:rPr>
          <w:rFonts w:ascii="Times New Roman" w:hAnsi="Times New Roman" w:cs="Times New Roman"/>
          <w:lang w:val="ro-MD"/>
        </w:rPr>
        <w:t>aceluiaşi</w:t>
      </w:r>
      <w:proofErr w:type="spellEnd"/>
      <w:r w:rsidRPr="000508B6">
        <w:rPr>
          <w:rFonts w:ascii="Times New Roman" w:hAnsi="Times New Roman" w:cs="Times New Roman"/>
          <w:lang w:val="ro-MD"/>
        </w:rPr>
        <w:t xml:space="preserve"> nivel de </w:t>
      </w:r>
      <w:proofErr w:type="spellStart"/>
      <w:r w:rsidRPr="000508B6">
        <w:rPr>
          <w:rFonts w:ascii="Times New Roman" w:hAnsi="Times New Roman" w:cs="Times New Roman"/>
          <w:lang w:val="ro-MD"/>
        </w:rPr>
        <w:t>protecţie</w:t>
      </w:r>
      <w:proofErr w:type="spellEnd"/>
      <w:r w:rsidRPr="000508B6">
        <w:rPr>
          <w:rFonts w:ascii="Times New Roman" w:hAnsi="Times New Roman" w:cs="Times New Roman"/>
          <w:lang w:val="ro-MD"/>
        </w:rPr>
        <w:t xml:space="preserve"> ca cel prevăzut la art. </w:t>
      </w:r>
      <w:r w:rsidR="00780DEB" w:rsidRPr="000508B6">
        <w:rPr>
          <w:rFonts w:ascii="Times New Roman" w:hAnsi="Times New Roman" w:cs="Times New Roman"/>
          <w:lang w:val="ro-MD"/>
        </w:rPr>
        <w:t>64</w:t>
      </w:r>
      <w:r w:rsidRPr="000508B6">
        <w:rPr>
          <w:rFonts w:ascii="Times New Roman" w:hAnsi="Times New Roman" w:cs="Times New Roman"/>
          <w:lang w:val="ro-MD"/>
        </w:rPr>
        <w:t xml:space="preserve">. </w:t>
      </w:r>
    </w:p>
    <w:p w14:paraId="26A53B41" w14:textId="142E809B" w:rsidR="00F95829" w:rsidRPr="000508B6" w:rsidRDefault="000C0ED3" w:rsidP="00FA4A96">
      <w:pPr>
        <w:pStyle w:val="Listparagraf"/>
        <w:numPr>
          <w:ilvl w:val="1"/>
          <w:numId w:val="17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Banca Națională a Moldovei</w:t>
      </w:r>
      <w:r w:rsidR="00F95829" w:rsidRPr="000508B6">
        <w:rPr>
          <w:rFonts w:ascii="Times New Roman" w:hAnsi="Times New Roman" w:cs="Times New Roman"/>
          <w:lang w:val="ro-MD"/>
        </w:rPr>
        <w:t xml:space="preserve"> poate solicita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F95829" w:rsidRPr="000508B6">
        <w:rPr>
          <w:rFonts w:ascii="Times New Roman" w:hAnsi="Times New Roman" w:cs="Times New Roman"/>
          <w:lang w:val="ro-MD"/>
        </w:rPr>
        <w:t xml:space="preserve"> să aplice modelul intern la portofolii de </w:t>
      </w:r>
      <w:proofErr w:type="spellStart"/>
      <w:r w:rsidR="00F95829" w:rsidRPr="000508B6">
        <w:rPr>
          <w:rFonts w:ascii="Times New Roman" w:hAnsi="Times New Roman" w:cs="Times New Roman"/>
          <w:lang w:val="ro-MD"/>
        </w:rPr>
        <w:t>referinţă</w:t>
      </w:r>
      <w:proofErr w:type="spellEnd"/>
      <w:r w:rsidR="00F95829" w:rsidRPr="000508B6">
        <w:rPr>
          <w:rFonts w:ascii="Times New Roman" w:hAnsi="Times New Roman" w:cs="Times New Roman"/>
          <w:lang w:val="ro-MD"/>
        </w:rPr>
        <w:t xml:space="preserve">, utilizând ipoteze stabilite mai mult pe baza datelor externe decât pe baza datelor interne, astfel încât să verifice calibrarea modelului intern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dacă </w:t>
      </w:r>
      <w:proofErr w:type="spellStart"/>
      <w:r w:rsidR="00F95829" w:rsidRPr="000508B6">
        <w:rPr>
          <w:rFonts w:ascii="Times New Roman" w:hAnsi="Times New Roman" w:cs="Times New Roman"/>
          <w:lang w:val="ro-MD"/>
        </w:rPr>
        <w:t>specificaţiile</w:t>
      </w:r>
      <w:proofErr w:type="spellEnd"/>
      <w:r w:rsidR="00F95829" w:rsidRPr="000508B6">
        <w:rPr>
          <w:rFonts w:ascii="Times New Roman" w:hAnsi="Times New Roman" w:cs="Times New Roman"/>
          <w:lang w:val="ro-MD"/>
        </w:rPr>
        <w:t xml:space="preserve"> tehnice corespund practicilor de </w:t>
      </w:r>
      <w:proofErr w:type="spellStart"/>
      <w:r w:rsidR="00F95829" w:rsidRPr="000508B6">
        <w:rPr>
          <w:rFonts w:ascii="Times New Roman" w:hAnsi="Times New Roman" w:cs="Times New Roman"/>
          <w:lang w:val="ro-MD"/>
        </w:rPr>
        <w:t>piaţă</w:t>
      </w:r>
      <w:proofErr w:type="spellEnd"/>
      <w:r w:rsidR="00F95829" w:rsidRPr="000508B6">
        <w:rPr>
          <w:rFonts w:ascii="Times New Roman" w:hAnsi="Times New Roman" w:cs="Times New Roman"/>
          <w:lang w:val="ro-MD"/>
        </w:rPr>
        <w:t xml:space="preserve"> general acceptate. </w:t>
      </w:r>
    </w:p>
    <w:p w14:paraId="0068ABCA" w14:textId="5708713B" w:rsidR="007306BD" w:rsidRPr="000508B6" w:rsidRDefault="00952058" w:rsidP="00063290">
      <w:pPr>
        <w:pStyle w:val="Listparagraf"/>
        <w:numPr>
          <w:ilvl w:val="1"/>
          <w:numId w:val="174"/>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007306BD" w:rsidRPr="000508B6">
        <w:rPr>
          <w:rFonts w:ascii="Times New Roman" w:hAnsi="Times New Roman" w:cs="Times New Roman"/>
          <w:bCs/>
          <w:lang w:val="ro-MD"/>
        </w:rPr>
        <w:t xml:space="preserve"> ia în considerare în modelul intern efectul evoluției marjei de credit asupra primei de volatilitate calculate în conformitate cu art</w:t>
      </w:r>
      <w:r w:rsidR="00790814" w:rsidRPr="000508B6">
        <w:rPr>
          <w:rFonts w:ascii="Times New Roman" w:hAnsi="Times New Roman" w:cs="Times New Roman"/>
          <w:bCs/>
          <w:lang w:val="ro-MD"/>
        </w:rPr>
        <w:t>.</w:t>
      </w:r>
      <w:r w:rsidR="007306BD" w:rsidRPr="000508B6">
        <w:rPr>
          <w:rFonts w:ascii="Times New Roman" w:hAnsi="Times New Roman" w:cs="Times New Roman"/>
          <w:bCs/>
          <w:lang w:val="ro-MD"/>
        </w:rPr>
        <w:t xml:space="preserve"> </w:t>
      </w:r>
      <w:r w:rsidR="00A804B6" w:rsidRPr="000508B6">
        <w:rPr>
          <w:rFonts w:ascii="Times New Roman" w:hAnsi="Times New Roman" w:cs="Times New Roman"/>
          <w:bCs/>
          <w:lang w:val="ro-MD"/>
        </w:rPr>
        <w:t>47</w:t>
      </w:r>
      <w:r w:rsidR="007306BD" w:rsidRPr="000508B6">
        <w:rPr>
          <w:rFonts w:ascii="Times New Roman" w:hAnsi="Times New Roman" w:cs="Times New Roman"/>
          <w:bCs/>
          <w:lang w:val="ro-MD"/>
        </w:rPr>
        <w:t xml:space="preserve"> numai în cazul în care</w:t>
      </w:r>
      <w:r w:rsidR="003E03F2" w:rsidRPr="000508B6">
        <w:rPr>
          <w:rFonts w:ascii="Times New Roman" w:hAnsi="Times New Roman" w:cs="Times New Roman"/>
          <w:bCs/>
          <w:lang w:val="ro-MD"/>
        </w:rPr>
        <w:t xml:space="preserve"> </w:t>
      </w:r>
    </w:p>
    <w:p w14:paraId="4A930C65" w14:textId="3161E3FC" w:rsidR="007306BD" w:rsidRPr="000508B6" w:rsidRDefault="00FA4A96" w:rsidP="00EB5D75">
      <w:pPr>
        <w:spacing w:after="0" w:line="240" w:lineRule="auto"/>
        <w:ind w:firstLine="426"/>
        <w:jc w:val="both"/>
        <w:rPr>
          <w:rFonts w:ascii="Times New Roman" w:hAnsi="Times New Roman" w:cs="Times New Roman"/>
          <w:lang w:val="ro-MD"/>
        </w:rPr>
      </w:pPr>
      <w:r w:rsidRPr="000508B6">
        <w:rPr>
          <w:rFonts w:ascii="Times New Roman" w:hAnsi="Times New Roman" w:cs="Times New Roman"/>
          <w:bCs/>
          <w:lang w:val="ro-MD"/>
        </w:rPr>
        <w:t xml:space="preserve">a) </w:t>
      </w:r>
      <w:r w:rsidR="007306BD" w:rsidRPr="000508B6">
        <w:rPr>
          <w:rFonts w:ascii="Times New Roman" w:hAnsi="Times New Roman" w:cs="Times New Roman"/>
          <w:lang w:val="ro-MD"/>
        </w:rPr>
        <w:t xml:space="preserve">metoda prin care se ia în considerare efectul evoluției marjei de credit asupra primei de volatilitate pentru o monedă nu ține seama nici de ajustarea specifică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7306BD" w:rsidRPr="000508B6">
        <w:rPr>
          <w:rFonts w:ascii="Times New Roman" w:hAnsi="Times New Roman" w:cs="Times New Roman"/>
          <w:lang w:val="ro-MD"/>
        </w:rPr>
        <w:t xml:space="preserve"> a marjei corectate în funcție de risc în temeiul art</w:t>
      </w:r>
      <w:r w:rsidR="00790814" w:rsidRPr="000508B6">
        <w:rPr>
          <w:rFonts w:ascii="Times New Roman" w:hAnsi="Times New Roman" w:cs="Times New Roman"/>
          <w:lang w:val="ro-MD"/>
        </w:rPr>
        <w:t>.</w:t>
      </w:r>
      <w:r w:rsidR="007306BD" w:rsidRPr="000508B6">
        <w:rPr>
          <w:rFonts w:ascii="Times New Roman" w:hAnsi="Times New Roman" w:cs="Times New Roman"/>
          <w:lang w:val="ro-MD"/>
        </w:rPr>
        <w:t xml:space="preserve"> </w:t>
      </w:r>
      <w:r w:rsidR="00A804B6" w:rsidRPr="000508B6">
        <w:rPr>
          <w:rFonts w:ascii="Times New Roman" w:hAnsi="Times New Roman" w:cs="Times New Roman"/>
          <w:lang w:val="ro-MD"/>
        </w:rPr>
        <w:t>47</w:t>
      </w:r>
      <w:r w:rsidR="007306BD" w:rsidRPr="000508B6">
        <w:rPr>
          <w:rFonts w:ascii="Times New Roman" w:hAnsi="Times New Roman" w:cs="Times New Roman"/>
          <w:lang w:val="ro-MD"/>
        </w:rPr>
        <w:t xml:space="preserve"> alin. (</w:t>
      </w:r>
      <w:r w:rsidR="00A804B6" w:rsidRPr="000508B6">
        <w:rPr>
          <w:rFonts w:ascii="Times New Roman" w:hAnsi="Times New Roman" w:cs="Times New Roman"/>
          <w:lang w:val="ro-MD"/>
        </w:rPr>
        <w:t>3</w:t>
      </w:r>
      <w:r w:rsidR="007306BD" w:rsidRPr="000508B6">
        <w:rPr>
          <w:rFonts w:ascii="Times New Roman" w:hAnsi="Times New Roman" w:cs="Times New Roman"/>
          <w:lang w:val="ro-MD"/>
        </w:rPr>
        <w:t xml:space="preserve">), nici, în cazul euro, de o posibilă majorare a primei de volatilitate cu o </w:t>
      </w:r>
      <w:proofErr w:type="spellStart"/>
      <w:r w:rsidR="007306BD" w:rsidRPr="000508B6">
        <w:rPr>
          <w:rFonts w:ascii="Times New Roman" w:hAnsi="Times New Roman" w:cs="Times New Roman"/>
          <w:lang w:val="ro-MD"/>
        </w:rPr>
        <w:t>macroprimă</w:t>
      </w:r>
      <w:proofErr w:type="spellEnd"/>
      <w:r w:rsidR="007306BD" w:rsidRPr="000508B6">
        <w:rPr>
          <w:rFonts w:ascii="Times New Roman" w:hAnsi="Times New Roman" w:cs="Times New Roman"/>
          <w:lang w:val="ro-MD"/>
        </w:rPr>
        <w:t xml:space="preserve"> de volatilitate în temeiul art</w:t>
      </w:r>
      <w:r w:rsidR="00790814" w:rsidRPr="000508B6">
        <w:rPr>
          <w:rFonts w:ascii="Times New Roman" w:hAnsi="Times New Roman" w:cs="Times New Roman"/>
          <w:lang w:val="ro-MD"/>
        </w:rPr>
        <w:t>.</w:t>
      </w:r>
      <w:r w:rsidR="007306BD" w:rsidRPr="000508B6">
        <w:rPr>
          <w:rFonts w:ascii="Times New Roman" w:hAnsi="Times New Roman" w:cs="Times New Roman"/>
          <w:lang w:val="ro-MD"/>
        </w:rPr>
        <w:t xml:space="preserve"> </w:t>
      </w:r>
      <w:r w:rsidR="00A804B6" w:rsidRPr="000508B6">
        <w:rPr>
          <w:rFonts w:ascii="Times New Roman" w:hAnsi="Times New Roman" w:cs="Times New Roman"/>
          <w:lang w:val="ro-MD"/>
        </w:rPr>
        <w:t>47</w:t>
      </w:r>
      <w:r w:rsidR="007306BD" w:rsidRPr="000508B6">
        <w:rPr>
          <w:rFonts w:ascii="Times New Roman" w:hAnsi="Times New Roman" w:cs="Times New Roman"/>
          <w:lang w:val="ro-MD"/>
        </w:rPr>
        <w:t xml:space="preserve"> alin</w:t>
      </w:r>
      <w:r w:rsidR="00790814" w:rsidRPr="000508B6">
        <w:rPr>
          <w:rFonts w:ascii="Times New Roman" w:hAnsi="Times New Roman" w:cs="Times New Roman"/>
          <w:lang w:val="ro-MD"/>
        </w:rPr>
        <w:t>.</w:t>
      </w:r>
      <w:r w:rsidR="007306BD" w:rsidRPr="000508B6">
        <w:rPr>
          <w:rFonts w:ascii="Times New Roman" w:hAnsi="Times New Roman" w:cs="Times New Roman"/>
          <w:lang w:val="ro-MD"/>
        </w:rPr>
        <w:t xml:space="preserve"> (</w:t>
      </w:r>
      <w:r w:rsidR="00A804B6" w:rsidRPr="000508B6">
        <w:rPr>
          <w:rFonts w:ascii="Times New Roman" w:hAnsi="Times New Roman" w:cs="Times New Roman"/>
          <w:lang w:val="ro-MD"/>
        </w:rPr>
        <w:t>12</w:t>
      </w:r>
      <w:r w:rsidR="007306BD" w:rsidRPr="000508B6">
        <w:rPr>
          <w:rFonts w:ascii="Times New Roman" w:hAnsi="Times New Roman" w:cs="Times New Roman"/>
          <w:lang w:val="ro-MD"/>
        </w:rPr>
        <w:t>);</w:t>
      </w:r>
    </w:p>
    <w:p w14:paraId="064F5863" w14:textId="058D1C90" w:rsidR="007306BD" w:rsidRPr="000508B6" w:rsidRDefault="00FA4A96" w:rsidP="00EB5D75">
      <w:pPr>
        <w:spacing w:after="0" w:line="240" w:lineRule="auto"/>
        <w:ind w:left="426"/>
        <w:jc w:val="both"/>
        <w:rPr>
          <w:rFonts w:ascii="Times New Roman" w:hAnsi="Times New Roman" w:cs="Times New Roman"/>
          <w:lang w:val="ro-MD"/>
        </w:rPr>
      </w:pPr>
      <w:r w:rsidRPr="000508B6">
        <w:rPr>
          <w:rFonts w:ascii="Times New Roman" w:hAnsi="Times New Roman" w:cs="Times New Roman"/>
          <w:bCs/>
          <w:lang w:val="ro-MD"/>
        </w:rPr>
        <w:t>b)</w:t>
      </w:r>
      <w:r w:rsidR="007306BD" w:rsidRPr="000508B6">
        <w:rPr>
          <w:rFonts w:ascii="Times New Roman" w:hAnsi="Times New Roman" w:cs="Times New Roman"/>
          <w:lang w:val="ro-MD"/>
        </w:rPr>
        <w:t xml:space="preserve"> SCR nu este mai mică decât oricare dintre următoarele:</w:t>
      </w:r>
    </w:p>
    <w:p w14:paraId="2CFE79B9" w14:textId="7266A49A" w:rsidR="007306BD" w:rsidRPr="000508B6" w:rsidRDefault="007306BD" w:rsidP="00DC4B06">
      <w:pPr>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 xml:space="preserve">(i) SCR noțională calculată ca </w:t>
      </w:r>
      <w:r w:rsidR="008277CB" w:rsidRPr="000508B6">
        <w:rPr>
          <w:rFonts w:ascii="Times New Roman" w:hAnsi="Times New Roman" w:cs="Times New Roman"/>
          <w:bCs/>
          <w:lang w:val="ro-MD"/>
        </w:rPr>
        <w:t>SCR</w:t>
      </w:r>
      <w:r w:rsidRPr="000508B6">
        <w:rPr>
          <w:rFonts w:ascii="Times New Roman" w:hAnsi="Times New Roman" w:cs="Times New Roman"/>
          <w:bCs/>
          <w:lang w:val="ro-MD"/>
        </w:rPr>
        <w:t xml:space="preserve">, </w:t>
      </w:r>
      <w:r w:rsidRPr="000508B6">
        <w:rPr>
          <w:rFonts w:ascii="Times New Roman" w:hAnsi="Times New Roman" w:cs="Times New Roman"/>
          <w:lang w:val="ro-MD"/>
        </w:rPr>
        <w:t xml:space="preserve">cu excepția faptului că efectul evoluției marjei de credit asupra primei de volatilitate este luat în considerare în </w:t>
      </w:r>
      <w:r w:rsidR="007850ED" w:rsidRPr="000508B6">
        <w:rPr>
          <w:rFonts w:ascii="Times New Roman" w:hAnsi="Times New Roman" w:cs="Times New Roman"/>
          <w:lang w:val="ro-MD"/>
        </w:rPr>
        <w:t>conformitate cu metodologia utilizată de EIOPA</w:t>
      </w:r>
      <w:r w:rsidRPr="000508B6">
        <w:rPr>
          <w:rFonts w:ascii="Times New Roman" w:hAnsi="Times New Roman" w:cs="Times New Roman"/>
          <w:lang w:val="ro-MD"/>
        </w:rPr>
        <w:t xml:space="preserve"> în scopul publicării informațiilor tehnice în temeiul art</w:t>
      </w:r>
      <w:r w:rsidR="00790814" w:rsidRPr="000508B6">
        <w:rPr>
          <w:rFonts w:ascii="Times New Roman" w:hAnsi="Times New Roman" w:cs="Times New Roman"/>
          <w:lang w:val="ro-MD"/>
        </w:rPr>
        <w:t>.</w:t>
      </w:r>
      <w:r w:rsidRPr="000508B6">
        <w:rPr>
          <w:rFonts w:ascii="Times New Roman" w:hAnsi="Times New Roman" w:cs="Times New Roman"/>
          <w:lang w:val="ro-MD"/>
        </w:rPr>
        <w:t xml:space="preserve"> </w:t>
      </w:r>
      <w:r w:rsidR="00A804B6" w:rsidRPr="000508B6">
        <w:rPr>
          <w:rFonts w:ascii="Times New Roman" w:hAnsi="Times New Roman" w:cs="Times New Roman"/>
          <w:lang w:val="ro-MD"/>
        </w:rPr>
        <w:t>47</w:t>
      </w:r>
      <w:r w:rsidRPr="000508B6">
        <w:rPr>
          <w:rFonts w:ascii="Times New Roman" w:hAnsi="Times New Roman" w:cs="Times New Roman"/>
          <w:lang w:val="ro-MD"/>
        </w:rPr>
        <w:t xml:space="preserve"> alin</w:t>
      </w:r>
      <w:r w:rsidR="00A804B6" w:rsidRPr="000508B6">
        <w:rPr>
          <w:rFonts w:ascii="Times New Roman" w:hAnsi="Times New Roman" w:cs="Times New Roman"/>
          <w:lang w:val="ro-MD"/>
        </w:rPr>
        <w:t>.</w:t>
      </w:r>
      <w:r w:rsidRPr="000508B6">
        <w:rPr>
          <w:rFonts w:ascii="Times New Roman" w:hAnsi="Times New Roman" w:cs="Times New Roman"/>
          <w:lang w:val="ro-MD"/>
        </w:rPr>
        <w:t xml:space="preserve"> (1</w:t>
      </w:r>
      <w:r w:rsidR="00A804B6" w:rsidRPr="000508B6">
        <w:rPr>
          <w:rFonts w:ascii="Times New Roman" w:hAnsi="Times New Roman" w:cs="Times New Roman"/>
          <w:lang w:val="ro-MD"/>
        </w:rPr>
        <w:t>7</w:t>
      </w:r>
      <w:r w:rsidRPr="000508B6">
        <w:rPr>
          <w:rFonts w:ascii="Times New Roman" w:hAnsi="Times New Roman" w:cs="Times New Roman"/>
          <w:lang w:val="ro-MD"/>
        </w:rPr>
        <w:t>) lit</w:t>
      </w:r>
      <w:r w:rsidR="0086499A" w:rsidRPr="000508B6">
        <w:rPr>
          <w:rFonts w:ascii="Times New Roman" w:hAnsi="Times New Roman" w:cs="Times New Roman"/>
          <w:lang w:val="ro-MD"/>
        </w:rPr>
        <w:t>.</w:t>
      </w:r>
      <w:r w:rsidRPr="000508B6">
        <w:rPr>
          <w:rFonts w:ascii="Times New Roman" w:hAnsi="Times New Roman" w:cs="Times New Roman"/>
          <w:lang w:val="ro-MD"/>
        </w:rPr>
        <w:t xml:space="preserve"> </w:t>
      </w:r>
      <w:r w:rsidR="00A804B6" w:rsidRPr="000508B6">
        <w:rPr>
          <w:rFonts w:ascii="Times New Roman" w:hAnsi="Times New Roman" w:cs="Times New Roman"/>
          <w:lang w:val="ro-MD"/>
        </w:rPr>
        <w:t>e</w:t>
      </w:r>
      <w:r w:rsidRPr="000508B6">
        <w:rPr>
          <w:rFonts w:ascii="Times New Roman" w:hAnsi="Times New Roman" w:cs="Times New Roman"/>
          <w:lang w:val="ro-MD"/>
        </w:rPr>
        <w:t>);</w:t>
      </w:r>
    </w:p>
    <w:p w14:paraId="793300DB" w14:textId="325D4BA7" w:rsidR="007306BD" w:rsidRPr="000508B6" w:rsidRDefault="007306BD" w:rsidP="00DC4B06">
      <w:pPr>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 xml:space="preserve">(ii) SCR noțională calculată în conformitate cu </w:t>
      </w:r>
      <w:r w:rsidR="00E9704E" w:rsidRPr="000508B6">
        <w:rPr>
          <w:rFonts w:ascii="Times New Roman" w:hAnsi="Times New Roman" w:cs="Times New Roman"/>
          <w:bCs/>
          <w:lang w:val="ro-MD"/>
        </w:rPr>
        <w:t xml:space="preserve">pct. </w:t>
      </w:r>
      <w:r w:rsidRPr="000508B6">
        <w:rPr>
          <w:rFonts w:ascii="Times New Roman" w:hAnsi="Times New Roman" w:cs="Times New Roman"/>
          <w:bCs/>
          <w:lang w:val="ro-MD"/>
        </w:rPr>
        <w:t>(i), cu excepția faptului că portofoliul reprezentativ aferent unei monede menționat la art</w:t>
      </w:r>
      <w:r w:rsidR="00790814"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7E584E" w:rsidRPr="000508B6">
        <w:rPr>
          <w:rFonts w:ascii="Times New Roman" w:hAnsi="Times New Roman" w:cs="Times New Roman"/>
          <w:bCs/>
          <w:lang w:val="ro-MD"/>
        </w:rPr>
        <w:t>47</w:t>
      </w:r>
      <w:r w:rsidRPr="000508B6">
        <w:rPr>
          <w:rFonts w:ascii="Times New Roman" w:hAnsi="Times New Roman" w:cs="Times New Roman"/>
          <w:bCs/>
          <w:lang w:val="ro-MD"/>
        </w:rPr>
        <w:t xml:space="preserve"> alin</w:t>
      </w:r>
      <w:r w:rsidR="007E584E"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7E584E" w:rsidRPr="000508B6">
        <w:rPr>
          <w:rFonts w:ascii="Times New Roman" w:hAnsi="Times New Roman" w:cs="Times New Roman"/>
          <w:bCs/>
          <w:lang w:val="ro-MD"/>
        </w:rPr>
        <w:t>8</w:t>
      </w:r>
      <w:r w:rsidRPr="000508B6">
        <w:rPr>
          <w:rFonts w:ascii="Times New Roman" w:hAnsi="Times New Roman" w:cs="Times New Roman"/>
          <w:bCs/>
          <w:lang w:val="ro-MD"/>
        </w:rPr>
        <w:t>)</w:t>
      </w:r>
      <w:r w:rsidRPr="000508B6" w:rsidDel="007E584E">
        <w:rPr>
          <w:rFonts w:ascii="Times New Roman" w:hAnsi="Times New Roman" w:cs="Times New Roman"/>
          <w:bCs/>
          <w:lang w:val="ro-MD"/>
        </w:rPr>
        <w:t xml:space="preserve"> </w:t>
      </w:r>
      <w:r w:rsidRPr="000508B6">
        <w:rPr>
          <w:rFonts w:ascii="Times New Roman" w:hAnsi="Times New Roman" w:cs="Times New Roman"/>
          <w:bCs/>
          <w:lang w:val="ro-MD"/>
        </w:rPr>
        <w:t xml:space="preserve">se determină pe baza activelor în care </w:t>
      </w:r>
      <w:r w:rsidR="004125E8" w:rsidRPr="000508B6">
        <w:rPr>
          <w:rFonts w:ascii="Times New Roman" w:hAnsi="Times New Roman" w:cs="Times New Roman"/>
          <w:bCs/>
          <w:lang w:val="ro-MD"/>
        </w:rPr>
        <w:t xml:space="preserve">asigurătorul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investește, și nu pe baza activelor tuturor </w:t>
      </w:r>
      <w:r w:rsidR="00692C40" w:rsidRPr="000508B6">
        <w:rPr>
          <w:rFonts w:ascii="Times New Roman" w:hAnsi="Times New Roman" w:cs="Times New Roman"/>
          <w:bCs/>
          <w:lang w:val="ro-MD"/>
        </w:rPr>
        <w:t xml:space="preserve">asigurătorilor sau </w:t>
      </w:r>
      <w:proofErr w:type="spellStart"/>
      <w:r w:rsidR="00692C40" w:rsidRPr="000508B6">
        <w:rPr>
          <w:rFonts w:ascii="Times New Roman" w:hAnsi="Times New Roman" w:cs="Times New Roman"/>
          <w:bCs/>
          <w:lang w:val="ro-MD"/>
        </w:rPr>
        <w:t>reasigurătorilor</w:t>
      </w:r>
      <w:proofErr w:type="spellEnd"/>
      <w:r w:rsidR="00692C40" w:rsidRPr="000508B6">
        <w:rPr>
          <w:rFonts w:ascii="Times New Roman" w:hAnsi="Times New Roman" w:cs="Times New Roman"/>
          <w:bCs/>
          <w:lang w:val="ro-MD"/>
        </w:rPr>
        <w:t xml:space="preserve"> </w:t>
      </w:r>
      <w:r w:rsidRPr="000508B6">
        <w:rPr>
          <w:rFonts w:ascii="Times New Roman" w:hAnsi="Times New Roman" w:cs="Times New Roman"/>
          <w:bCs/>
          <w:lang w:val="ro-MD"/>
        </w:rPr>
        <w:t>cu obligații de asigurare sau de reasigurare exprimate în moneda respectivă.</w:t>
      </w:r>
    </w:p>
    <w:p w14:paraId="7CE2B25E" w14:textId="79ECC3BD" w:rsidR="00952058" w:rsidRPr="000508B6" w:rsidRDefault="007306BD" w:rsidP="00CF5AFA">
      <w:pPr>
        <w:pStyle w:val="Listparagraf"/>
        <w:numPr>
          <w:ilvl w:val="1"/>
          <w:numId w:val="174"/>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 </w:t>
      </w:r>
      <w:r w:rsidR="00952058" w:rsidRPr="000508B6">
        <w:rPr>
          <w:rFonts w:ascii="Times New Roman" w:hAnsi="Times New Roman" w:cs="Times New Roman"/>
          <w:bCs/>
          <w:lang w:val="ro-MD"/>
        </w:rPr>
        <w:t xml:space="preserve">În sensul </w:t>
      </w:r>
      <w:r w:rsidRPr="000508B6">
        <w:rPr>
          <w:rFonts w:ascii="Times New Roman" w:hAnsi="Times New Roman" w:cs="Times New Roman"/>
          <w:bCs/>
          <w:lang w:val="ro-MD"/>
        </w:rPr>
        <w:t>alin. (4) lit.</w:t>
      </w:r>
      <w:r w:rsidR="00E9704E" w:rsidRPr="000508B6">
        <w:rPr>
          <w:rFonts w:ascii="Times New Roman" w:hAnsi="Times New Roman" w:cs="Times New Roman"/>
          <w:bCs/>
          <w:lang w:val="ro-MD"/>
        </w:rPr>
        <w:t xml:space="preserve"> </w:t>
      </w:r>
      <w:r w:rsidR="00952058" w:rsidRPr="000508B6">
        <w:rPr>
          <w:rFonts w:ascii="Times New Roman" w:hAnsi="Times New Roman" w:cs="Times New Roman"/>
          <w:bCs/>
          <w:lang w:val="ro-MD"/>
        </w:rPr>
        <w:t>b</w:t>
      </w:r>
      <w:r w:rsidRPr="000508B6">
        <w:rPr>
          <w:rFonts w:ascii="Times New Roman" w:hAnsi="Times New Roman" w:cs="Times New Roman"/>
          <w:bCs/>
          <w:lang w:val="ro-MD"/>
        </w:rPr>
        <w:t xml:space="preserve">)  </w:t>
      </w:r>
      <w:r w:rsidRPr="000508B6">
        <w:rPr>
          <w:rFonts w:ascii="Times New Roman" w:hAnsi="Times New Roman" w:cs="Times New Roman"/>
          <w:lang w:val="ro-MD"/>
        </w:rPr>
        <w:t>de</w:t>
      </w:r>
      <w:r w:rsidR="00E25C25" w:rsidRPr="000508B6">
        <w:rPr>
          <w:rFonts w:ascii="Times New Roman" w:hAnsi="Times New Roman" w:cs="Times New Roman"/>
          <w:lang w:val="ro-MD"/>
        </w:rPr>
        <w:t>te</w:t>
      </w:r>
      <w:r w:rsidRPr="000508B6">
        <w:rPr>
          <w:rFonts w:ascii="Times New Roman" w:hAnsi="Times New Roman" w:cs="Times New Roman"/>
          <w:lang w:val="ro-MD"/>
        </w:rPr>
        <w:t>rminarea</w:t>
      </w:r>
      <w:r w:rsidR="00952058" w:rsidRPr="000508B6">
        <w:rPr>
          <w:rFonts w:ascii="Times New Roman" w:hAnsi="Times New Roman" w:cs="Times New Roman"/>
          <w:bCs/>
          <w:lang w:val="ro-MD"/>
        </w:rPr>
        <w:t xml:space="preserve"> portofoliului reprezentativ pentru o anumită monedă se bazează pe activele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 xml:space="preserve"> exprimate</w:t>
      </w:r>
      <w:r w:rsidR="00952058" w:rsidRPr="000508B6">
        <w:rPr>
          <w:rFonts w:ascii="Times New Roman" w:hAnsi="Times New Roman" w:cs="Times New Roman"/>
          <w:bCs/>
          <w:lang w:val="ro-MD"/>
        </w:rPr>
        <w:t xml:space="preserve"> în moneda respectivă și utilizate pentru a acoperi cea mai bună estimare </w:t>
      </w:r>
      <w:r w:rsidRPr="000508B6">
        <w:rPr>
          <w:rFonts w:ascii="Times New Roman" w:hAnsi="Times New Roman" w:cs="Times New Roman"/>
          <w:bCs/>
          <w:lang w:val="ro-MD"/>
        </w:rPr>
        <w:t>a obligațiilor</w:t>
      </w:r>
      <w:r w:rsidR="00952058" w:rsidRPr="000508B6">
        <w:rPr>
          <w:rFonts w:ascii="Times New Roman" w:hAnsi="Times New Roman" w:cs="Times New Roman"/>
          <w:bCs/>
          <w:lang w:val="ro-MD"/>
        </w:rPr>
        <w:t xml:space="preserve"> de asigurare și </w:t>
      </w:r>
      <w:r w:rsidRPr="000508B6">
        <w:rPr>
          <w:rFonts w:ascii="Times New Roman" w:hAnsi="Times New Roman" w:cs="Times New Roman"/>
          <w:bCs/>
          <w:lang w:val="ro-MD"/>
        </w:rPr>
        <w:t xml:space="preserve">de </w:t>
      </w:r>
      <w:r w:rsidR="00952058" w:rsidRPr="000508B6">
        <w:rPr>
          <w:rFonts w:ascii="Times New Roman" w:hAnsi="Times New Roman" w:cs="Times New Roman"/>
          <w:bCs/>
          <w:lang w:val="ro-MD"/>
        </w:rPr>
        <w:t>reasigurare exprimate în moneda respectivă</w:t>
      </w:r>
      <w:r w:rsidRPr="000508B6">
        <w:rPr>
          <w:rFonts w:ascii="Times New Roman" w:hAnsi="Times New Roman" w:cs="Times New Roman"/>
          <w:bCs/>
          <w:lang w:val="ro-MD"/>
        </w:rPr>
        <w:t>.</w:t>
      </w:r>
    </w:p>
    <w:p w14:paraId="4CA7E441" w14:textId="77777777" w:rsidR="00952058" w:rsidRPr="000508B6" w:rsidRDefault="00952058" w:rsidP="008B530F">
      <w:pPr>
        <w:spacing w:after="0" w:line="240" w:lineRule="auto"/>
        <w:ind w:firstLine="426"/>
        <w:jc w:val="both"/>
        <w:rPr>
          <w:rFonts w:ascii="Times New Roman" w:hAnsi="Times New Roman" w:cs="Times New Roman"/>
          <w:b/>
          <w:lang w:val="ro-MD"/>
        </w:rPr>
      </w:pPr>
    </w:p>
    <w:p w14:paraId="2601A213" w14:textId="1F7DD1EE"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86</w:t>
      </w:r>
      <w:r w:rsidR="007C4341" w:rsidRPr="000508B6">
        <w:rPr>
          <w:rFonts w:ascii="Times New Roman" w:hAnsi="Times New Roman" w:cs="Times New Roman"/>
          <w:b/>
          <w:lang w:val="ro-MD"/>
        </w:rPr>
        <w:t>.</w:t>
      </w:r>
      <w:r w:rsidRPr="000508B6">
        <w:rPr>
          <w:rFonts w:ascii="Times New Roman" w:hAnsi="Times New Roman" w:cs="Times New Roman"/>
          <w:vertAlign w:val="superscript"/>
          <w:lang w:val="ro-MD"/>
        </w:rPr>
        <w:t xml:space="preserve"> </w:t>
      </w:r>
      <w:r w:rsidR="00250298" w:rsidRPr="000508B6">
        <w:rPr>
          <w:rFonts w:ascii="Times New Roman" w:hAnsi="Times New Roman" w:cs="Times New Roman"/>
          <w:vertAlign w:val="superscript"/>
          <w:lang w:val="ro-MD"/>
        </w:rPr>
        <w:t xml:space="preserve"> </w:t>
      </w:r>
      <w:r w:rsidR="00250298" w:rsidRPr="000508B6">
        <w:rPr>
          <w:rFonts w:ascii="Times New Roman" w:hAnsi="Times New Roman" w:cs="Times New Roman"/>
          <w:lang w:val="ro-MD"/>
        </w:rPr>
        <w:t>Standarde de v</w:t>
      </w:r>
      <w:r w:rsidRPr="000508B6">
        <w:rPr>
          <w:rFonts w:ascii="Times New Roman" w:hAnsi="Times New Roman" w:cs="Times New Roman"/>
          <w:lang w:val="ro-MD"/>
        </w:rPr>
        <w:t>alidare</w:t>
      </w:r>
      <w:r w:rsidR="001818A7" w:rsidRPr="000508B6">
        <w:rPr>
          <w:rFonts w:ascii="Times New Roman" w:hAnsi="Times New Roman" w:cs="Times New Roman"/>
          <w:lang w:val="ro-MD"/>
        </w:rPr>
        <w:t xml:space="preserve"> </w:t>
      </w:r>
    </w:p>
    <w:p w14:paraId="27B36E2C" w14:textId="3D5785DF" w:rsidR="00F95829" w:rsidRPr="000508B6" w:rsidRDefault="00D068AA" w:rsidP="00E9704E">
      <w:pPr>
        <w:pStyle w:val="Listparagraf"/>
        <w:numPr>
          <w:ilvl w:val="1"/>
          <w:numId w:val="17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validează periodic modelul intern, urmărind: </w:t>
      </w:r>
    </w:p>
    <w:p w14:paraId="29965B76" w14:textId="4284A40F" w:rsidR="00F95829" w:rsidRPr="000508B6" w:rsidRDefault="00F95829" w:rsidP="00CF5AFA">
      <w:pPr>
        <w:pStyle w:val="Listparagraf"/>
        <w:numPr>
          <w:ilvl w:val="2"/>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monitorizarea </w:t>
      </w:r>
      <w:proofErr w:type="spellStart"/>
      <w:r w:rsidRPr="000508B6">
        <w:rPr>
          <w:rFonts w:ascii="Times New Roman" w:hAnsi="Times New Roman" w:cs="Times New Roman"/>
          <w:lang w:val="ro-MD"/>
        </w:rPr>
        <w:t>funcţionării</w:t>
      </w:r>
      <w:proofErr w:type="spellEnd"/>
      <w:r w:rsidRPr="000508B6">
        <w:rPr>
          <w:rFonts w:ascii="Times New Roman" w:hAnsi="Times New Roman" w:cs="Times New Roman"/>
          <w:lang w:val="ro-MD"/>
        </w:rPr>
        <w:t xml:space="preserve"> corespunzătoare a acestuia; </w:t>
      </w:r>
    </w:p>
    <w:p w14:paraId="083F90AB" w14:textId="5F53EE7A" w:rsidR="00F95829" w:rsidRPr="000508B6" w:rsidRDefault="00F95829" w:rsidP="00CF5AFA">
      <w:pPr>
        <w:pStyle w:val="Listparagraf"/>
        <w:numPr>
          <w:ilvl w:val="2"/>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reexaminarea </w:t>
      </w:r>
      <w:proofErr w:type="spellStart"/>
      <w:r w:rsidRPr="000508B6">
        <w:rPr>
          <w:rFonts w:ascii="Times New Roman" w:hAnsi="Times New Roman" w:cs="Times New Roman"/>
          <w:lang w:val="ro-MD"/>
        </w:rPr>
        <w:t>specificaţiilor</w:t>
      </w:r>
      <w:proofErr w:type="spellEnd"/>
      <w:r w:rsidRPr="000508B6">
        <w:rPr>
          <w:rFonts w:ascii="Times New Roman" w:hAnsi="Times New Roman" w:cs="Times New Roman"/>
          <w:lang w:val="ro-MD"/>
        </w:rPr>
        <w:t xml:space="preserve"> tehnice ale modelului, astfel încât acestea să fie adecvate în </w:t>
      </w:r>
      <w:proofErr w:type="spellStart"/>
      <w:r w:rsidRPr="000508B6">
        <w:rPr>
          <w:rFonts w:ascii="Times New Roman" w:hAnsi="Times New Roman" w:cs="Times New Roman"/>
          <w:lang w:val="ro-MD"/>
        </w:rPr>
        <w:t>permanenţă</w:t>
      </w:r>
      <w:proofErr w:type="spellEnd"/>
      <w:r w:rsidRPr="000508B6">
        <w:rPr>
          <w:rFonts w:ascii="Times New Roman" w:hAnsi="Times New Roman" w:cs="Times New Roman"/>
          <w:lang w:val="ro-MD"/>
        </w:rPr>
        <w:t>;</w:t>
      </w:r>
    </w:p>
    <w:p w14:paraId="099D9896" w14:textId="6373CF64" w:rsidR="00F95829" w:rsidRPr="000508B6" w:rsidRDefault="00F95829" w:rsidP="00CF5AFA">
      <w:pPr>
        <w:pStyle w:val="Listparagraf"/>
        <w:numPr>
          <w:ilvl w:val="2"/>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compararea rezultatelor modelului cu </w:t>
      </w:r>
      <w:r w:rsidR="00C7129B" w:rsidRPr="000508B6">
        <w:rPr>
          <w:rFonts w:ascii="Times New Roman" w:hAnsi="Times New Roman" w:cs="Times New Roman"/>
          <w:lang w:val="ro-MD"/>
        </w:rPr>
        <w:t>experiențele anterioare</w:t>
      </w:r>
      <w:r w:rsidRPr="000508B6">
        <w:rPr>
          <w:rFonts w:ascii="Times New Roman" w:hAnsi="Times New Roman" w:cs="Times New Roman"/>
          <w:lang w:val="ro-MD"/>
        </w:rPr>
        <w:t xml:space="preserve">. </w:t>
      </w:r>
    </w:p>
    <w:p w14:paraId="7DF36943" w14:textId="4E389ABF" w:rsidR="00F95829" w:rsidRPr="000508B6" w:rsidRDefault="00F95829" w:rsidP="00CF5AFA">
      <w:pPr>
        <w:pStyle w:val="Listparagraf"/>
        <w:numPr>
          <w:ilvl w:val="1"/>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cadrul procesului de validare a modelului intern,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sidDel="002D272D">
        <w:rPr>
          <w:rFonts w:ascii="Times New Roman" w:hAnsi="Times New Roman" w:cs="Times New Roman"/>
          <w:lang w:val="ro-MD"/>
        </w:rPr>
        <w:t xml:space="preserve"> </w:t>
      </w:r>
      <w:r w:rsidRPr="000508B6">
        <w:rPr>
          <w:rFonts w:ascii="Times New Roman" w:hAnsi="Times New Roman" w:cs="Times New Roman"/>
          <w:lang w:val="ro-MD"/>
        </w:rPr>
        <w:t>includ</w:t>
      </w:r>
      <w:r w:rsidR="00D34D0A" w:rsidRPr="000508B6">
        <w:rPr>
          <w:rFonts w:ascii="Times New Roman" w:hAnsi="Times New Roman" w:cs="Times New Roman"/>
          <w:lang w:val="ro-MD"/>
        </w:rPr>
        <w:t>e</w:t>
      </w:r>
      <w:r w:rsidRPr="000508B6">
        <w:rPr>
          <w:rFonts w:ascii="Times New Roman" w:hAnsi="Times New Roman" w:cs="Times New Roman"/>
          <w:lang w:val="ro-MD"/>
        </w:rPr>
        <w:t xml:space="preserve">: </w:t>
      </w:r>
    </w:p>
    <w:p w14:paraId="7E1A2712" w14:textId="3D69BFF0" w:rsidR="00F95829" w:rsidRPr="000508B6" w:rsidRDefault="00F95829" w:rsidP="00CF5AFA">
      <w:pPr>
        <w:pStyle w:val="Listparagraf"/>
        <w:numPr>
          <w:ilvl w:val="2"/>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aplicarea de metode statistice eficiente pentru: </w:t>
      </w:r>
    </w:p>
    <w:p w14:paraId="4C59E7EE" w14:textId="170750C4" w:rsidR="00F95829" w:rsidRPr="000508B6" w:rsidRDefault="00D34D0A" w:rsidP="00CF5AFA">
      <w:pPr>
        <w:pStyle w:val="Listparagraf"/>
        <w:numPr>
          <w:ilvl w:val="3"/>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demonstrarea</w:t>
      </w:r>
      <w:r w:rsidR="00F95829" w:rsidRPr="000508B6">
        <w:rPr>
          <w:rFonts w:ascii="Times New Roman" w:hAnsi="Times New Roman" w:cs="Times New Roman"/>
          <w:lang w:val="ro-MD"/>
        </w:rPr>
        <w:t xml:space="preserve"> că valoarea </w:t>
      </w:r>
      <w:proofErr w:type="spellStart"/>
      <w:r w:rsidR="00F95829" w:rsidRPr="000508B6">
        <w:rPr>
          <w:rFonts w:ascii="Times New Roman" w:hAnsi="Times New Roman" w:cs="Times New Roman"/>
          <w:lang w:val="ro-MD"/>
        </w:rPr>
        <w:t>cerinţelor</w:t>
      </w:r>
      <w:proofErr w:type="spellEnd"/>
      <w:r w:rsidR="00F95829" w:rsidRPr="000508B6">
        <w:rPr>
          <w:rFonts w:ascii="Times New Roman" w:hAnsi="Times New Roman" w:cs="Times New Roman"/>
          <w:lang w:val="ro-MD"/>
        </w:rPr>
        <w:t xml:space="preserve"> de capital </w:t>
      </w:r>
      <w:proofErr w:type="spellStart"/>
      <w:r w:rsidR="00F95829" w:rsidRPr="000508B6">
        <w:rPr>
          <w:rFonts w:ascii="Times New Roman" w:hAnsi="Times New Roman" w:cs="Times New Roman"/>
          <w:lang w:val="ro-MD"/>
        </w:rPr>
        <w:t>obţinute</w:t>
      </w:r>
      <w:proofErr w:type="spellEnd"/>
      <w:r w:rsidR="00F95829" w:rsidRPr="000508B6">
        <w:rPr>
          <w:rFonts w:ascii="Times New Roman" w:hAnsi="Times New Roman" w:cs="Times New Roman"/>
          <w:lang w:val="ro-MD"/>
        </w:rPr>
        <w:t xml:space="preserve"> este adecvată; </w:t>
      </w:r>
    </w:p>
    <w:p w14:paraId="3023822F" w14:textId="625C6538" w:rsidR="00F95829" w:rsidRPr="000508B6" w:rsidRDefault="00D34D0A" w:rsidP="00CF5AFA">
      <w:pPr>
        <w:pStyle w:val="Listparagraf"/>
        <w:numPr>
          <w:ilvl w:val="3"/>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testarea</w:t>
      </w:r>
      <w:r w:rsidR="00F95829" w:rsidRPr="000508B6">
        <w:rPr>
          <w:rFonts w:ascii="Times New Roman" w:hAnsi="Times New Roman" w:cs="Times New Roman"/>
          <w:lang w:val="ro-MD"/>
        </w:rPr>
        <w:t xml:space="preserve"> adecv</w:t>
      </w:r>
      <w:r w:rsidRPr="000508B6">
        <w:rPr>
          <w:rFonts w:ascii="Times New Roman" w:hAnsi="Times New Roman" w:cs="Times New Roman"/>
          <w:lang w:val="ro-MD"/>
        </w:rPr>
        <w:t>ării</w:t>
      </w:r>
      <w:r w:rsidR="00F95829" w:rsidRPr="000508B6">
        <w:rPr>
          <w:rFonts w:ascii="Times New Roman" w:hAnsi="Times New Roman" w:cs="Times New Roman"/>
          <w:lang w:val="ro-MD"/>
        </w:rPr>
        <w:t xml:space="preserve"> prognozei </w:t>
      </w:r>
      <w:proofErr w:type="spellStart"/>
      <w:r w:rsidR="00F95829" w:rsidRPr="000508B6">
        <w:rPr>
          <w:rFonts w:ascii="Times New Roman" w:hAnsi="Times New Roman" w:cs="Times New Roman"/>
          <w:lang w:val="ro-MD"/>
        </w:rPr>
        <w:t>distribuţiei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probabilităţilor</w:t>
      </w:r>
      <w:proofErr w:type="spellEnd"/>
      <w:r w:rsidR="00F95829" w:rsidRPr="000508B6">
        <w:rPr>
          <w:rFonts w:ascii="Times New Roman" w:hAnsi="Times New Roman" w:cs="Times New Roman"/>
          <w:lang w:val="ro-MD"/>
        </w:rPr>
        <w:t xml:space="preserve">, atât în raport cu </w:t>
      </w:r>
      <w:r w:rsidR="006466E4" w:rsidRPr="000508B6">
        <w:rPr>
          <w:rFonts w:ascii="Times New Roman" w:hAnsi="Times New Roman" w:cs="Times New Roman"/>
          <w:lang w:val="ro-MD"/>
        </w:rPr>
        <w:t>experiențele anterioare</w:t>
      </w:r>
      <w:r w:rsidR="00F95829" w:rsidRPr="000508B6">
        <w:rPr>
          <w:rFonts w:ascii="Times New Roman" w:hAnsi="Times New Roman" w:cs="Times New Roman"/>
          <w:lang w:val="ro-MD"/>
        </w:rPr>
        <w:t xml:space="preserve">, cât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în raport cu date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informaţii</w:t>
      </w:r>
      <w:proofErr w:type="spellEnd"/>
      <w:r w:rsidR="00F95829" w:rsidRPr="000508B6">
        <w:rPr>
          <w:rFonts w:ascii="Times New Roman" w:hAnsi="Times New Roman" w:cs="Times New Roman"/>
          <w:lang w:val="ro-MD"/>
        </w:rPr>
        <w:t xml:space="preserve"> relevante, de actualitate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semnificative; </w:t>
      </w:r>
    </w:p>
    <w:p w14:paraId="5D460E0E" w14:textId="456032B2" w:rsidR="00F95829" w:rsidRPr="000508B6" w:rsidRDefault="00F95829" w:rsidP="00CF5AFA">
      <w:pPr>
        <w:pStyle w:val="Listparagraf"/>
        <w:numPr>
          <w:ilvl w:val="2"/>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analizarea </w:t>
      </w:r>
      <w:proofErr w:type="spellStart"/>
      <w:r w:rsidRPr="000508B6">
        <w:rPr>
          <w:rFonts w:ascii="Times New Roman" w:hAnsi="Times New Roman" w:cs="Times New Roman"/>
          <w:lang w:val="ro-MD"/>
        </w:rPr>
        <w:t>stabilităţii</w:t>
      </w:r>
      <w:proofErr w:type="spellEnd"/>
      <w:r w:rsidRPr="000508B6">
        <w:rPr>
          <w:rFonts w:ascii="Times New Roman" w:hAnsi="Times New Roman" w:cs="Times New Roman"/>
          <w:lang w:val="ro-MD"/>
        </w:rPr>
        <w:t xml:space="preserve"> modelului</w:t>
      </w:r>
      <w:r w:rsidR="001E732A" w:rsidRPr="000508B6">
        <w:rPr>
          <w:rFonts w:ascii="Times New Roman" w:hAnsi="Times New Roman" w:cs="Times New Roman"/>
          <w:lang w:val="ro-MD"/>
        </w:rPr>
        <w:t xml:space="preserve"> intern</w:t>
      </w:r>
      <w:r w:rsidRPr="000508B6">
        <w:rPr>
          <w:rFonts w:ascii="Times New Roman" w:hAnsi="Times New Roman" w:cs="Times New Roman"/>
          <w:lang w:val="ro-MD"/>
        </w:rPr>
        <w:t xml:space="preserve">, în special testarea </w:t>
      </w:r>
      <w:proofErr w:type="spellStart"/>
      <w:r w:rsidRPr="000508B6">
        <w:rPr>
          <w:rFonts w:ascii="Times New Roman" w:hAnsi="Times New Roman" w:cs="Times New Roman"/>
          <w:lang w:val="ro-MD"/>
        </w:rPr>
        <w:t>senzitivităţii</w:t>
      </w:r>
      <w:proofErr w:type="spellEnd"/>
      <w:r w:rsidRPr="000508B6">
        <w:rPr>
          <w:rFonts w:ascii="Times New Roman" w:hAnsi="Times New Roman" w:cs="Times New Roman"/>
          <w:lang w:val="ro-MD"/>
        </w:rPr>
        <w:t xml:space="preserve"> rezultatelor la modificările ipotezelor importante; </w:t>
      </w:r>
    </w:p>
    <w:p w14:paraId="639605C7" w14:textId="198B5462" w:rsidR="00F95829" w:rsidRPr="000508B6" w:rsidRDefault="00F95829" w:rsidP="00CF5AFA">
      <w:pPr>
        <w:pStyle w:val="Listparagraf"/>
        <w:numPr>
          <w:ilvl w:val="2"/>
          <w:numId w:val="17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evaluarea </w:t>
      </w:r>
      <w:r w:rsidR="008A47D7" w:rsidRPr="000508B6">
        <w:rPr>
          <w:rFonts w:ascii="Times New Roman" w:hAnsi="Times New Roman" w:cs="Times New Roman"/>
          <w:lang w:val="ro-MD"/>
        </w:rPr>
        <w:t>exhaustivității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exactităţii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adecvării datelor utilizate. </w:t>
      </w:r>
    </w:p>
    <w:p w14:paraId="0D688334" w14:textId="77777777" w:rsidR="001818A7" w:rsidRPr="000508B6" w:rsidRDefault="001818A7" w:rsidP="008B530F">
      <w:pPr>
        <w:spacing w:after="0" w:line="240" w:lineRule="auto"/>
        <w:ind w:firstLine="426"/>
        <w:jc w:val="both"/>
        <w:rPr>
          <w:rFonts w:ascii="Times New Roman" w:hAnsi="Times New Roman" w:cs="Times New Roman"/>
          <w:b/>
          <w:lang w:val="ro-MD"/>
        </w:rPr>
      </w:pPr>
    </w:p>
    <w:p w14:paraId="7D7E288B" w14:textId="390DA3AD"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87</w:t>
      </w:r>
      <w:r w:rsidR="00AE2FB2" w:rsidRPr="000508B6">
        <w:rPr>
          <w:rFonts w:ascii="Times New Roman" w:hAnsi="Times New Roman" w:cs="Times New Roman"/>
          <w:b/>
          <w:lang w:val="ro-MD"/>
        </w:rPr>
        <w:t>.</w:t>
      </w:r>
      <w:r w:rsidRPr="000508B6">
        <w:rPr>
          <w:rFonts w:ascii="Times New Roman" w:hAnsi="Times New Roman" w:cs="Times New Roman"/>
          <w:b/>
          <w:vertAlign w:val="superscript"/>
          <w:lang w:val="ro-MD"/>
        </w:rPr>
        <w:t xml:space="preserve">  </w:t>
      </w:r>
      <w:r w:rsidRPr="000508B6">
        <w:rPr>
          <w:rFonts w:ascii="Times New Roman" w:hAnsi="Times New Roman" w:cs="Times New Roman"/>
          <w:lang w:val="ro-MD"/>
        </w:rPr>
        <w:t>Documentarea</w:t>
      </w:r>
      <w:r w:rsidR="00153D2A" w:rsidRPr="000508B6">
        <w:rPr>
          <w:rFonts w:ascii="Times New Roman" w:hAnsi="Times New Roman" w:cs="Times New Roman"/>
          <w:lang w:val="ro-MD"/>
        </w:rPr>
        <w:t xml:space="preserve"> </w:t>
      </w:r>
      <w:r w:rsidR="00404364" w:rsidRPr="000508B6">
        <w:rPr>
          <w:rFonts w:ascii="Times New Roman" w:hAnsi="Times New Roman" w:cs="Times New Roman"/>
          <w:lang w:val="ro-MD"/>
        </w:rPr>
        <w:t>aferentă modelului intern</w:t>
      </w:r>
      <w:r w:rsidR="00153D2A" w:rsidRPr="000508B6">
        <w:rPr>
          <w:rFonts w:ascii="Times New Roman" w:hAnsi="Times New Roman" w:cs="Times New Roman"/>
          <w:lang w:val="ro-MD"/>
        </w:rPr>
        <w:t xml:space="preserve"> </w:t>
      </w:r>
    </w:p>
    <w:p w14:paraId="6BE667B6" w14:textId="67C64517" w:rsidR="00F95829" w:rsidRPr="000508B6" w:rsidRDefault="00D068AA"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2D272D"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elaborează </w:t>
      </w:r>
      <w:proofErr w:type="spellStart"/>
      <w:r w:rsidR="00F95829" w:rsidRPr="000508B6">
        <w:rPr>
          <w:rFonts w:ascii="Times New Roman" w:hAnsi="Times New Roman" w:cs="Times New Roman"/>
          <w:lang w:val="ro-MD"/>
        </w:rPr>
        <w:t>documentaţia</w:t>
      </w:r>
      <w:proofErr w:type="spellEnd"/>
      <w:r w:rsidR="00F95829" w:rsidRPr="000508B6">
        <w:rPr>
          <w:rFonts w:ascii="Times New Roman" w:hAnsi="Times New Roman" w:cs="Times New Roman"/>
          <w:lang w:val="ro-MD"/>
        </w:rPr>
        <w:t xml:space="preserve"> aferentă modelului intern care demonstrează respectarea prevederilor prezentei </w:t>
      </w:r>
      <w:proofErr w:type="spellStart"/>
      <w:r w:rsidR="00F95829" w:rsidRPr="000508B6">
        <w:rPr>
          <w:rFonts w:ascii="Times New Roman" w:hAnsi="Times New Roman" w:cs="Times New Roman"/>
          <w:lang w:val="ro-MD"/>
        </w:rPr>
        <w:t>subsecţiuni</w:t>
      </w:r>
      <w:proofErr w:type="spellEnd"/>
      <w:r w:rsidR="00F95829" w:rsidRPr="000508B6">
        <w:rPr>
          <w:rFonts w:ascii="Times New Roman" w:hAnsi="Times New Roman" w:cs="Times New Roman"/>
          <w:lang w:val="ro-MD"/>
        </w:rPr>
        <w:t xml:space="preserve">, ale art. </w:t>
      </w:r>
      <w:r w:rsidR="007E584E" w:rsidRPr="000508B6">
        <w:rPr>
          <w:rFonts w:ascii="Times New Roman" w:hAnsi="Times New Roman" w:cs="Times New Roman"/>
          <w:lang w:val="ro-MD"/>
        </w:rPr>
        <w:t xml:space="preserve">81 </w:t>
      </w:r>
      <w:r w:rsidR="007E584E" w:rsidRPr="000508B6">
        <w:rPr>
          <w:rFonts w:ascii="Times New Roman" w:hAnsi="Times New Roman" w:cs="Times New Roman"/>
          <w:vertAlign w:val="superscript"/>
          <w:lang w:val="ro-MD"/>
        </w:rPr>
        <w:t xml:space="preserve"> </w:t>
      </w:r>
      <w:r w:rsidR="00F95829" w:rsidRPr="000508B6">
        <w:rPr>
          <w:rFonts w:ascii="Times New Roman" w:hAnsi="Times New Roman" w:cs="Times New Roman"/>
          <w:lang w:val="ro-MD"/>
        </w:rPr>
        <w:t>și</w:t>
      </w:r>
      <w:r w:rsidR="00EF207B" w:rsidRPr="000508B6" w:rsidDel="007E584E">
        <w:rPr>
          <w:rFonts w:ascii="Times New Roman" w:hAnsi="Times New Roman" w:cs="Times New Roman"/>
          <w:lang w:val="ro-MD"/>
        </w:rPr>
        <w:t xml:space="preserve"> </w:t>
      </w:r>
      <w:r w:rsidR="007E584E" w:rsidRPr="000508B6">
        <w:rPr>
          <w:rFonts w:ascii="Times New Roman" w:hAnsi="Times New Roman" w:cs="Times New Roman"/>
          <w:lang w:val="ro-MD"/>
        </w:rPr>
        <w:t xml:space="preserve">82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prezintă detaliat: </w:t>
      </w:r>
    </w:p>
    <w:p w14:paraId="01259DD8" w14:textId="3A873AB2" w:rsidR="00F95829" w:rsidRPr="000508B6" w:rsidRDefault="00F95829" w:rsidP="00AD4647">
      <w:pPr>
        <w:pStyle w:val="Listparagraf"/>
        <w:numPr>
          <w:ilvl w:val="2"/>
          <w:numId w:val="17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structura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funcţionalitatea</w:t>
      </w:r>
      <w:proofErr w:type="spellEnd"/>
      <w:r w:rsidRPr="000508B6">
        <w:rPr>
          <w:rFonts w:ascii="Times New Roman" w:hAnsi="Times New Roman" w:cs="Times New Roman"/>
          <w:lang w:val="ro-MD"/>
        </w:rPr>
        <w:t xml:space="preserve"> modelului intern;</w:t>
      </w:r>
    </w:p>
    <w:p w14:paraId="1B250A2A" w14:textId="605726FB" w:rsidR="00F95829" w:rsidRPr="000508B6" w:rsidRDefault="00F95829" w:rsidP="0006568A">
      <w:pPr>
        <w:pStyle w:val="Listparagraf"/>
        <w:numPr>
          <w:ilvl w:val="2"/>
          <w:numId w:val="17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teoriile, ipotezele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bazele matematice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empirice care fundamentează modelul intern; </w:t>
      </w:r>
    </w:p>
    <w:p w14:paraId="7703A48E" w14:textId="075F3FC8" w:rsidR="00F95829" w:rsidRPr="000508B6" w:rsidRDefault="00F95829" w:rsidP="0006568A">
      <w:pPr>
        <w:pStyle w:val="Listparagraf"/>
        <w:numPr>
          <w:ilvl w:val="2"/>
          <w:numId w:val="17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eventualele </w:t>
      </w:r>
      <w:proofErr w:type="spellStart"/>
      <w:r w:rsidRPr="000508B6">
        <w:rPr>
          <w:rFonts w:ascii="Times New Roman" w:hAnsi="Times New Roman" w:cs="Times New Roman"/>
          <w:lang w:val="ro-MD"/>
        </w:rPr>
        <w:t>circumstanţe</w:t>
      </w:r>
      <w:proofErr w:type="spellEnd"/>
      <w:r w:rsidRPr="000508B6">
        <w:rPr>
          <w:rFonts w:ascii="Times New Roman" w:hAnsi="Times New Roman" w:cs="Times New Roman"/>
          <w:lang w:val="ro-MD"/>
        </w:rPr>
        <w:t xml:space="preserve"> în care modelul intern nu </w:t>
      </w:r>
      <w:proofErr w:type="spellStart"/>
      <w:r w:rsidRPr="000508B6">
        <w:rPr>
          <w:rFonts w:ascii="Times New Roman" w:hAnsi="Times New Roman" w:cs="Times New Roman"/>
          <w:lang w:val="ro-MD"/>
        </w:rPr>
        <w:t>funcţionează</w:t>
      </w:r>
      <w:proofErr w:type="spellEnd"/>
      <w:r w:rsidRPr="000508B6">
        <w:rPr>
          <w:rFonts w:ascii="Times New Roman" w:hAnsi="Times New Roman" w:cs="Times New Roman"/>
          <w:lang w:val="ro-MD"/>
        </w:rPr>
        <w:t xml:space="preserve"> adecvat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eficient; </w:t>
      </w:r>
    </w:p>
    <w:p w14:paraId="61CCC2DF" w14:textId="09BCD628" w:rsidR="00F95829" w:rsidRPr="000508B6" w:rsidRDefault="00F95829" w:rsidP="0006568A">
      <w:pPr>
        <w:pStyle w:val="Listparagraf"/>
        <w:numPr>
          <w:ilvl w:val="2"/>
          <w:numId w:val="176"/>
        </w:numPr>
        <w:tabs>
          <w:tab w:val="left" w:pos="709"/>
          <w:tab w:val="left" w:pos="851"/>
        </w:tabs>
        <w:spacing w:after="0" w:line="240" w:lineRule="auto"/>
        <w:ind w:left="0" w:firstLine="426"/>
        <w:jc w:val="both"/>
        <w:rPr>
          <w:rFonts w:ascii="Times New Roman" w:eastAsia="Times New Roman" w:hAnsi="Times New Roman" w:cs="Times New Roman"/>
          <w:b/>
          <w:lang w:val="ro-MD"/>
        </w:rPr>
      </w:pPr>
      <w:r w:rsidRPr="000508B6">
        <w:rPr>
          <w:rFonts w:ascii="Times New Roman" w:hAnsi="Times New Roman" w:cs="Times New Roman"/>
          <w:lang w:val="ro-MD"/>
        </w:rPr>
        <w:t xml:space="preserve">modificările semnificative ale modelului intern, în conformitate cu art. </w:t>
      </w:r>
      <w:r w:rsidR="007E584E" w:rsidRPr="000508B6">
        <w:rPr>
          <w:rFonts w:ascii="Times New Roman" w:hAnsi="Times New Roman" w:cs="Times New Roman"/>
          <w:lang w:val="ro-MD"/>
        </w:rPr>
        <w:t>77</w:t>
      </w:r>
      <w:r w:rsidRPr="000508B6">
        <w:rPr>
          <w:rFonts w:ascii="Times New Roman" w:hAnsi="Times New Roman" w:cs="Times New Roman"/>
          <w:lang w:val="ro-MD"/>
        </w:rPr>
        <w:t>.</w:t>
      </w:r>
    </w:p>
    <w:p w14:paraId="3E9504D6" w14:textId="77777777" w:rsidR="00D45E68" w:rsidRPr="000508B6" w:rsidRDefault="00D45E68" w:rsidP="008B530F">
      <w:pPr>
        <w:spacing w:after="0" w:line="240" w:lineRule="auto"/>
        <w:ind w:firstLine="426"/>
        <w:jc w:val="center"/>
        <w:rPr>
          <w:rFonts w:ascii="Times New Roman" w:eastAsia="Times New Roman" w:hAnsi="Times New Roman" w:cs="Times New Roman"/>
          <w:b/>
          <w:lang w:val="ro-MD"/>
        </w:rPr>
      </w:pPr>
    </w:p>
    <w:p w14:paraId="113707A4" w14:textId="29AF6499"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w:t>
      </w:r>
      <w:r w:rsidR="00C41D4B" w:rsidRPr="000508B6">
        <w:rPr>
          <w:rFonts w:ascii="Times New Roman" w:eastAsia="Times New Roman" w:hAnsi="Times New Roman" w:cs="Times New Roman"/>
          <w:b/>
          <w:lang w:val="ro-MD"/>
        </w:rPr>
        <w:t>5</w:t>
      </w:r>
      <w:r w:rsidRPr="000508B6">
        <w:rPr>
          <w:rFonts w:ascii="Times New Roman" w:eastAsia="Times New Roman" w:hAnsi="Times New Roman" w:cs="Times New Roman"/>
          <w:b/>
          <w:lang w:val="ro-MD"/>
        </w:rPr>
        <w:t>-a</w:t>
      </w:r>
    </w:p>
    <w:p w14:paraId="072CC9F7"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Cerinţa</w:t>
      </w:r>
      <w:proofErr w:type="spellEnd"/>
      <w:r w:rsidRPr="000508B6">
        <w:rPr>
          <w:rFonts w:ascii="Times New Roman" w:eastAsia="Times New Roman" w:hAnsi="Times New Roman" w:cs="Times New Roman"/>
          <w:b/>
          <w:lang w:val="ro-MD"/>
        </w:rPr>
        <w:t xml:space="preserve"> de capital minim (MCR)</w:t>
      </w:r>
    </w:p>
    <w:p w14:paraId="5C4CC2B9" w14:textId="4293C31F"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88</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Calcularea </w:t>
      </w:r>
      <w:r w:rsidR="00A3294B" w:rsidRPr="000508B6">
        <w:rPr>
          <w:rFonts w:ascii="Times New Roman" w:eastAsia="Times New Roman" w:hAnsi="Times New Roman" w:cs="Times New Roman"/>
          <w:lang w:val="ro-MD"/>
        </w:rPr>
        <w:t>MCR</w:t>
      </w:r>
    </w:p>
    <w:p w14:paraId="7BB33124" w14:textId="5B4CE82E" w:rsidR="00ED52FD" w:rsidRPr="000508B6" w:rsidRDefault="004125E8" w:rsidP="004E73E0">
      <w:pPr>
        <w:pStyle w:val="Listparagraf"/>
        <w:numPr>
          <w:ilvl w:val="1"/>
          <w:numId w:val="17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w:t>
      </w:r>
      <w:r w:rsidR="00180B6F" w:rsidRPr="000508B6">
        <w:rPr>
          <w:rFonts w:ascii="Times New Roman" w:hAnsi="Times New Roman" w:cs="Times New Roman"/>
          <w:lang w:val="ro-MD"/>
        </w:rPr>
        <w:t xml:space="preserve">trebuie să dețină </w:t>
      </w:r>
      <w:r w:rsidR="00F95829" w:rsidRPr="000508B6">
        <w:rPr>
          <w:rFonts w:ascii="Times New Roman" w:hAnsi="Times New Roman" w:cs="Times New Roman"/>
          <w:lang w:val="ro-MD"/>
        </w:rPr>
        <w:t>fonduri proprii de bază eligibile care să acopere MCR</w:t>
      </w:r>
      <w:r w:rsidR="00ED52FD"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p>
    <w:p w14:paraId="07D723AE" w14:textId="30741FBA" w:rsidR="00F95829" w:rsidRPr="000508B6" w:rsidRDefault="000D0BA3" w:rsidP="0006568A">
      <w:pPr>
        <w:pStyle w:val="Listparagraf"/>
        <w:numPr>
          <w:ilvl w:val="1"/>
          <w:numId w:val="17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MCR</w:t>
      </w:r>
      <w:r w:rsidR="00ED52FD" w:rsidRPr="000508B6">
        <w:rPr>
          <w:rFonts w:ascii="Times New Roman" w:hAnsi="Times New Roman" w:cs="Times New Roman"/>
          <w:lang w:val="ro-MD"/>
        </w:rPr>
        <w:t xml:space="preserve"> se calculează conform următoarelor principii:</w:t>
      </w:r>
      <w:r w:rsidR="00F95829" w:rsidRPr="000508B6">
        <w:rPr>
          <w:rFonts w:ascii="Times New Roman" w:hAnsi="Times New Roman" w:cs="Times New Roman"/>
          <w:lang w:val="ro-MD"/>
        </w:rPr>
        <w:t xml:space="preserve"> </w:t>
      </w:r>
    </w:p>
    <w:p w14:paraId="63806FF9" w14:textId="097F5403" w:rsidR="00F95829" w:rsidRPr="000508B6" w:rsidRDefault="00ED52FD"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se calculează </w:t>
      </w:r>
      <w:r w:rsidR="00F95829" w:rsidRPr="000508B6">
        <w:rPr>
          <w:rFonts w:ascii="Times New Roman" w:hAnsi="Times New Roman" w:cs="Times New Roman"/>
          <w:lang w:val="ro-MD"/>
        </w:rPr>
        <w:t xml:space="preserve">în mod clar, simplu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w:t>
      </w:r>
      <w:r w:rsidR="00592E48" w:rsidRPr="000508B6">
        <w:rPr>
          <w:rFonts w:ascii="Times New Roman" w:hAnsi="Times New Roman" w:cs="Times New Roman"/>
          <w:lang w:val="ro-MD"/>
        </w:rPr>
        <w:t xml:space="preserve">stfel încât calculul respectiv să poată fi </w:t>
      </w:r>
      <w:r w:rsidR="00F95829" w:rsidRPr="000508B6">
        <w:rPr>
          <w:rFonts w:ascii="Times New Roman" w:hAnsi="Times New Roman" w:cs="Times New Roman"/>
          <w:lang w:val="ro-MD"/>
        </w:rPr>
        <w:t>audita</w:t>
      </w:r>
      <w:r w:rsidR="00592E48" w:rsidRPr="000508B6">
        <w:rPr>
          <w:rFonts w:ascii="Times New Roman" w:hAnsi="Times New Roman" w:cs="Times New Roman"/>
          <w:lang w:val="ro-MD"/>
        </w:rPr>
        <w:t>t</w:t>
      </w:r>
      <w:r w:rsidR="00F95829" w:rsidRPr="000508B6">
        <w:rPr>
          <w:rFonts w:ascii="Times New Roman" w:hAnsi="Times New Roman" w:cs="Times New Roman"/>
          <w:lang w:val="ro-MD"/>
        </w:rPr>
        <w:t xml:space="preserve">; </w:t>
      </w:r>
    </w:p>
    <w:p w14:paraId="51549246" w14:textId="6A6BBB30" w:rsidR="00F95829" w:rsidRPr="000508B6" w:rsidRDefault="00ED52FD"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corespunde</w:t>
      </w:r>
      <w:r w:rsidR="00F95829" w:rsidRPr="000508B6">
        <w:rPr>
          <w:rFonts w:ascii="Times New Roman" w:hAnsi="Times New Roman" w:cs="Times New Roman"/>
          <w:lang w:val="ro-MD"/>
        </w:rPr>
        <w:t xml:space="preserve"> unei valori minime a fondurilor proprii de bază eligibile, astfel încât </w:t>
      </w:r>
      <w:r w:rsidR="00B105C9" w:rsidRPr="000508B6">
        <w:rPr>
          <w:rFonts w:ascii="Times New Roman" w:hAnsi="Times New Roman" w:cs="Times New Roman"/>
          <w:lang w:val="ro-MD"/>
        </w:rPr>
        <w:t xml:space="preserve">asigurații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beneficiarii </w:t>
      </w:r>
      <w:r w:rsidR="00F25BAD" w:rsidRPr="000508B6">
        <w:rPr>
          <w:rFonts w:ascii="Times New Roman" w:hAnsi="Times New Roman" w:cs="Times New Roman"/>
          <w:lang w:val="ro-MD"/>
        </w:rPr>
        <w:t xml:space="preserve">asigurării </w:t>
      </w:r>
      <w:r w:rsidR="00F95829" w:rsidRPr="000508B6">
        <w:rPr>
          <w:rFonts w:ascii="Times New Roman" w:hAnsi="Times New Roman" w:cs="Times New Roman"/>
          <w:lang w:val="ro-MD"/>
        </w:rPr>
        <w:t xml:space="preserve">să nu fie </w:t>
      </w:r>
      <w:proofErr w:type="spellStart"/>
      <w:r w:rsidR="00F95829" w:rsidRPr="000508B6">
        <w:rPr>
          <w:rFonts w:ascii="Times New Roman" w:hAnsi="Times New Roman" w:cs="Times New Roman"/>
          <w:lang w:val="ro-MD"/>
        </w:rPr>
        <w:t>expuşi</w:t>
      </w:r>
      <w:proofErr w:type="spellEnd"/>
      <w:r w:rsidR="00F95829" w:rsidRPr="000508B6">
        <w:rPr>
          <w:rFonts w:ascii="Times New Roman" w:hAnsi="Times New Roman" w:cs="Times New Roman"/>
          <w:lang w:val="ro-MD"/>
        </w:rPr>
        <w:t xml:space="preserve"> unui risc inacceptabil; </w:t>
      </w:r>
    </w:p>
    <w:p w14:paraId="347C7A12" w14:textId="35B64A43" w:rsidR="00F95829" w:rsidRPr="000508B6" w:rsidRDefault="00F95829"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lastRenderedPageBreak/>
        <w:t>funcţia</w:t>
      </w:r>
      <w:proofErr w:type="spellEnd"/>
      <w:r w:rsidRPr="000508B6">
        <w:rPr>
          <w:rFonts w:ascii="Times New Roman" w:hAnsi="Times New Roman" w:cs="Times New Roman"/>
          <w:lang w:val="ro-MD"/>
        </w:rPr>
        <w:t xml:space="preserve"> liniară,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w:t>
      </w:r>
      <w:r w:rsidR="004E1EF9" w:rsidRPr="000508B6">
        <w:rPr>
          <w:rFonts w:ascii="Times New Roman" w:hAnsi="Times New Roman" w:cs="Times New Roman"/>
          <w:lang w:val="ro-MD"/>
        </w:rPr>
        <w:t>3</w:t>
      </w:r>
      <w:r w:rsidRPr="000508B6">
        <w:rPr>
          <w:rFonts w:ascii="Times New Roman" w:hAnsi="Times New Roman" w:cs="Times New Roman"/>
          <w:lang w:val="ro-MD"/>
        </w:rPr>
        <w:t xml:space="preserve">), se calibrează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valoarea la risc a fondurilor proprii de bază</w:t>
      </w:r>
      <w:r w:rsidR="00945185" w:rsidRPr="000508B6">
        <w:rPr>
          <w:rFonts w:ascii="Times New Roman" w:hAnsi="Times New Roman" w:cs="Times New Roman"/>
          <w:lang w:val="ro-MD"/>
        </w:rPr>
        <w:t xml:space="preserve">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r w:rsidR="000076A0" w:rsidRPr="000508B6">
        <w:rPr>
          <w:rFonts w:ascii="Times New Roman" w:hAnsi="Times New Roman" w:cs="Times New Roman"/>
          <w:lang w:val="ro-MD"/>
        </w:rPr>
        <w:t xml:space="preserve">cu </w:t>
      </w:r>
      <w:r w:rsidRPr="000508B6">
        <w:rPr>
          <w:rFonts w:ascii="Times New Roman" w:hAnsi="Times New Roman" w:cs="Times New Roman"/>
          <w:lang w:val="ro-MD"/>
        </w:rPr>
        <w:t xml:space="preserve">un nivel de încredere de 85% pentru o perioadă de un an; </w:t>
      </w:r>
    </w:p>
    <w:p w14:paraId="2663DAEF" w14:textId="46A84A69" w:rsidR="00F95829" w:rsidRPr="000508B6" w:rsidRDefault="00F95829"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înregistre</w:t>
      </w:r>
      <w:r w:rsidR="00C40AE8" w:rsidRPr="000508B6">
        <w:rPr>
          <w:rFonts w:ascii="Times New Roman" w:hAnsi="Times New Roman" w:cs="Times New Roman"/>
          <w:lang w:val="ro-MD"/>
        </w:rPr>
        <w:t>ază</w:t>
      </w:r>
      <w:r w:rsidRPr="000508B6">
        <w:rPr>
          <w:rFonts w:ascii="Times New Roman" w:hAnsi="Times New Roman" w:cs="Times New Roman"/>
          <w:lang w:val="ro-MD"/>
        </w:rPr>
        <w:t xml:space="preserve"> un prag absolut </w:t>
      </w:r>
      <w:r w:rsidR="00C40AE8" w:rsidRPr="000508B6">
        <w:rPr>
          <w:rFonts w:ascii="Times New Roman" w:hAnsi="Times New Roman" w:cs="Times New Roman"/>
          <w:lang w:val="ro-MD"/>
        </w:rPr>
        <w:t>care constituie</w:t>
      </w:r>
      <w:r w:rsidRPr="000508B6">
        <w:rPr>
          <w:rFonts w:ascii="Times New Roman" w:hAnsi="Times New Roman" w:cs="Times New Roman"/>
          <w:lang w:val="ro-MD"/>
        </w:rPr>
        <w:t>:</w:t>
      </w:r>
    </w:p>
    <w:p w14:paraId="5FD2C6DC" w14:textId="0072F4F2" w:rsidR="00F95829" w:rsidRPr="000508B6" w:rsidRDefault="00F95829" w:rsidP="004E73E0">
      <w:pPr>
        <w:pStyle w:val="Listparagraf"/>
        <w:numPr>
          <w:ilvl w:val="3"/>
          <w:numId w:val="17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2.700.000 euro, pentru asigurătorii care </w:t>
      </w:r>
      <w:r w:rsidR="0082102F" w:rsidRPr="000508B6">
        <w:rPr>
          <w:rFonts w:ascii="Times New Roman" w:hAnsi="Times New Roman" w:cs="Times New Roman"/>
          <w:lang w:val="ro-MD"/>
        </w:rPr>
        <w:t>desfășoară</w:t>
      </w:r>
      <w:r w:rsidRPr="000508B6">
        <w:rPr>
          <w:rFonts w:ascii="Times New Roman" w:hAnsi="Times New Roman" w:cs="Times New Roman"/>
          <w:lang w:val="ro-MD"/>
        </w:rPr>
        <w:t xml:space="preserve"> </w:t>
      </w:r>
      <w:r w:rsidR="00F220AE" w:rsidRPr="000508B6">
        <w:rPr>
          <w:rFonts w:ascii="Times New Roman" w:hAnsi="Times New Roman" w:cs="Times New Roman"/>
          <w:lang w:val="ro-MD"/>
        </w:rPr>
        <w:t xml:space="preserve">activitate de </w:t>
      </w:r>
      <w:r w:rsidR="0082102F"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82102F" w:rsidRPr="000508B6">
        <w:rPr>
          <w:rFonts w:ascii="Times New Roman" w:hAnsi="Times New Roman" w:cs="Times New Roman"/>
          <w:lang w:val="ro-MD"/>
        </w:rPr>
        <w:t>ă</w:t>
      </w:r>
      <w:r w:rsidR="008F6BBD" w:rsidRPr="000508B6">
        <w:rPr>
          <w:rFonts w:ascii="Times New Roman" w:hAnsi="Times New Roman" w:cs="Times New Roman"/>
          <w:lang w:val="ro-MD"/>
        </w:rPr>
        <w:t xml:space="preserve"> care nu subscriu, integral sau parțial, riscurile incluse în una dintre clasele 10-15 din </w:t>
      </w:r>
      <w:r w:rsidR="00E81DE7" w:rsidRPr="000508B6">
        <w:rPr>
          <w:rFonts w:ascii="Times New Roman" w:hAnsi="Times New Roman" w:cs="Times New Roman"/>
          <w:lang w:val="ro-MD"/>
        </w:rPr>
        <w:t>A</w:t>
      </w:r>
      <w:r w:rsidR="008F6BBD" w:rsidRPr="000508B6">
        <w:rPr>
          <w:rFonts w:ascii="Times New Roman" w:hAnsi="Times New Roman" w:cs="Times New Roman"/>
          <w:lang w:val="ro-MD"/>
        </w:rPr>
        <w:t xml:space="preserve">nexa </w:t>
      </w:r>
      <w:r w:rsidR="00E81DE7" w:rsidRPr="000508B6">
        <w:rPr>
          <w:rFonts w:ascii="Times New Roman" w:hAnsi="Times New Roman" w:cs="Times New Roman"/>
          <w:lang w:val="ro-MD"/>
        </w:rPr>
        <w:t>nr.</w:t>
      </w:r>
      <w:r w:rsidR="004E73E0" w:rsidRPr="000508B6">
        <w:rPr>
          <w:rFonts w:ascii="Times New Roman" w:hAnsi="Times New Roman" w:cs="Times New Roman"/>
          <w:lang w:val="ro-MD"/>
        </w:rPr>
        <w:t xml:space="preserve"> </w:t>
      </w:r>
      <w:r w:rsidR="00E81DE7" w:rsidRPr="000508B6">
        <w:rPr>
          <w:rFonts w:ascii="Times New Roman" w:hAnsi="Times New Roman" w:cs="Times New Roman"/>
          <w:lang w:val="ro-MD"/>
        </w:rPr>
        <w:t>1</w:t>
      </w:r>
      <w:r w:rsidR="004E73E0" w:rsidRPr="000508B6">
        <w:rPr>
          <w:rFonts w:ascii="Times New Roman" w:hAnsi="Times New Roman" w:cs="Times New Roman"/>
          <w:lang w:val="ro-MD"/>
        </w:rPr>
        <w:t>.</w:t>
      </w:r>
      <w:r w:rsidR="008F6BBD" w:rsidRPr="000508B6">
        <w:rPr>
          <w:rFonts w:ascii="Times New Roman" w:hAnsi="Times New Roman" w:cs="Times New Roman"/>
          <w:lang w:val="ro-MD"/>
        </w:rPr>
        <w:t xml:space="preserve"> </w:t>
      </w:r>
      <w:r w:rsidR="000A0659" w:rsidRPr="000508B6">
        <w:rPr>
          <w:rFonts w:ascii="Times New Roman" w:hAnsi="Times New Roman" w:cs="Times New Roman"/>
          <w:lang w:val="ro-MD"/>
        </w:rPr>
        <w:t>Secțiunea</w:t>
      </w:r>
      <w:r w:rsidR="008F6BBD" w:rsidRPr="000508B6">
        <w:rPr>
          <w:rFonts w:ascii="Times New Roman" w:hAnsi="Times New Roman" w:cs="Times New Roman"/>
          <w:lang w:val="ro-MD"/>
        </w:rPr>
        <w:t xml:space="preserve"> A</w:t>
      </w:r>
      <w:r w:rsidRPr="000508B6">
        <w:rPr>
          <w:rFonts w:ascii="Times New Roman" w:hAnsi="Times New Roman" w:cs="Times New Roman"/>
          <w:lang w:val="ro-MD"/>
        </w:rPr>
        <w:t xml:space="preserve">, inclusiv pentru cei captivi; </w:t>
      </w:r>
    </w:p>
    <w:p w14:paraId="3423BD11" w14:textId="303F3458" w:rsidR="00F95829" w:rsidRPr="000508B6" w:rsidRDefault="00F95829" w:rsidP="0006568A">
      <w:pPr>
        <w:pStyle w:val="Listparagraf"/>
        <w:numPr>
          <w:ilvl w:val="3"/>
          <w:numId w:val="177"/>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4.000.000 euro, pentru asigurătorii care </w:t>
      </w:r>
      <w:r w:rsidR="0082102F" w:rsidRPr="000508B6">
        <w:rPr>
          <w:rFonts w:ascii="Times New Roman" w:hAnsi="Times New Roman" w:cs="Times New Roman"/>
          <w:lang w:val="ro-MD"/>
        </w:rPr>
        <w:t>desfășoară activitate de asigurare generală</w:t>
      </w:r>
      <w:r w:rsidRPr="000508B6">
        <w:rPr>
          <w:rFonts w:ascii="Times New Roman" w:hAnsi="Times New Roman" w:cs="Times New Roman"/>
          <w:lang w:val="ro-MD"/>
        </w:rPr>
        <w:t xml:space="preserve">, inclusiv pentru cei captivi, care subscriu, integral sau </w:t>
      </w:r>
      <w:proofErr w:type="spellStart"/>
      <w:r w:rsidRPr="000508B6">
        <w:rPr>
          <w:rFonts w:ascii="Times New Roman" w:hAnsi="Times New Roman" w:cs="Times New Roman"/>
          <w:lang w:val="ro-MD"/>
        </w:rPr>
        <w:t>parţial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riscuri din clasele 10-15 prevăzute la </w:t>
      </w:r>
      <w:r w:rsidR="00E81DE7" w:rsidRPr="000508B6">
        <w:rPr>
          <w:rFonts w:ascii="Times New Roman" w:hAnsi="Times New Roman" w:cs="Times New Roman"/>
          <w:lang w:val="ro-MD"/>
        </w:rPr>
        <w:t xml:space="preserve">Anexa </w:t>
      </w:r>
      <w:r w:rsidRPr="000508B6">
        <w:rPr>
          <w:rFonts w:ascii="Times New Roman" w:hAnsi="Times New Roman" w:cs="Times New Roman"/>
          <w:lang w:val="ro-MD"/>
        </w:rPr>
        <w:t>nr. 1</w:t>
      </w:r>
      <w:r w:rsidR="004E73E0" w:rsidRPr="000508B6">
        <w:rPr>
          <w:rFonts w:ascii="Times New Roman" w:hAnsi="Times New Roman" w:cs="Times New Roman"/>
          <w:lang w:val="ro-MD"/>
        </w:rPr>
        <w:t>.</w:t>
      </w:r>
      <w:r w:rsidRPr="000508B6">
        <w:rPr>
          <w:rFonts w:ascii="Times New Roman" w:hAnsi="Times New Roman" w:cs="Times New Roman"/>
          <w:lang w:val="ro-MD"/>
        </w:rPr>
        <w:t xml:space="preserve"> </w:t>
      </w:r>
      <w:proofErr w:type="spellStart"/>
      <w:r w:rsidR="000A0659" w:rsidRPr="000508B6">
        <w:rPr>
          <w:rFonts w:ascii="Times New Roman" w:hAnsi="Times New Roman" w:cs="Times New Roman"/>
          <w:lang w:val="ro-MD"/>
        </w:rPr>
        <w:t>S</w:t>
      </w:r>
      <w:r w:rsidRPr="000508B6">
        <w:rPr>
          <w:rFonts w:ascii="Times New Roman" w:hAnsi="Times New Roman" w:cs="Times New Roman"/>
          <w:lang w:val="ro-MD"/>
        </w:rPr>
        <w:t>ecţiunea</w:t>
      </w:r>
      <w:proofErr w:type="spellEnd"/>
      <w:r w:rsidRPr="000508B6">
        <w:rPr>
          <w:rFonts w:ascii="Times New Roman" w:hAnsi="Times New Roman" w:cs="Times New Roman"/>
          <w:lang w:val="ro-MD"/>
        </w:rPr>
        <w:t xml:space="preserve"> A;</w:t>
      </w:r>
    </w:p>
    <w:p w14:paraId="5A18F22B" w14:textId="3BBFCAD1" w:rsidR="00F95829" w:rsidRPr="000508B6" w:rsidRDefault="00F95829" w:rsidP="0006568A">
      <w:pPr>
        <w:pStyle w:val="Listparagraf"/>
        <w:numPr>
          <w:ilvl w:val="3"/>
          <w:numId w:val="177"/>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4.000.000 euro, pentru asigurătorii care </w:t>
      </w:r>
      <w:r w:rsidR="0082102F" w:rsidRPr="000508B6">
        <w:rPr>
          <w:rFonts w:ascii="Times New Roman" w:hAnsi="Times New Roman" w:cs="Times New Roman"/>
          <w:lang w:val="ro-MD"/>
        </w:rPr>
        <w:t>desfășoară activitate de asigurare</w:t>
      </w:r>
      <w:r w:rsidR="009E2A0C" w:rsidRPr="000508B6">
        <w:rPr>
          <w:rFonts w:ascii="Times New Roman" w:hAnsi="Times New Roman" w:cs="Times New Roman"/>
          <w:lang w:val="ro-MD"/>
        </w:rPr>
        <w:t xml:space="preserve"> de viață</w:t>
      </w:r>
      <w:r w:rsidRPr="000508B6">
        <w:rPr>
          <w:rFonts w:ascii="Times New Roman" w:hAnsi="Times New Roman" w:cs="Times New Roman"/>
          <w:lang w:val="ro-MD"/>
        </w:rPr>
        <w:t xml:space="preserve">, inclusiv pentru cei captivi; </w:t>
      </w:r>
    </w:p>
    <w:p w14:paraId="0A0F2FEB" w14:textId="5666869A" w:rsidR="00F95829" w:rsidRPr="000508B6" w:rsidRDefault="00F95829" w:rsidP="0006568A">
      <w:pPr>
        <w:pStyle w:val="Listparagraf"/>
        <w:numPr>
          <w:ilvl w:val="3"/>
          <w:numId w:val="177"/>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6.700.000 euro, pentru asigurătorii </w:t>
      </w:r>
      <w:proofErr w:type="spellStart"/>
      <w:r w:rsidRPr="000508B6">
        <w:rPr>
          <w:rFonts w:ascii="Times New Roman" w:hAnsi="Times New Roman" w:cs="Times New Roman"/>
          <w:lang w:val="ro-MD"/>
        </w:rPr>
        <w:t>compoziţi</w:t>
      </w:r>
      <w:proofErr w:type="spellEnd"/>
      <w:r w:rsidRPr="000508B6">
        <w:rPr>
          <w:rFonts w:ascii="Times New Roman" w:hAnsi="Times New Roman" w:cs="Times New Roman"/>
          <w:lang w:val="ro-MD"/>
        </w:rPr>
        <w:t xml:space="preserve">; </w:t>
      </w:r>
    </w:p>
    <w:p w14:paraId="03AE0B1D" w14:textId="0BAB4C0E" w:rsidR="00F95829" w:rsidRPr="000508B6" w:rsidRDefault="00F95829" w:rsidP="0006568A">
      <w:pPr>
        <w:pStyle w:val="Listparagraf"/>
        <w:numPr>
          <w:ilvl w:val="3"/>
          <w:numId w:val="177"/>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8.000.000 euro, pentru asigurătorii </w:t>
      </w:r>
      <w:proofErr w:type="spellStart"/>
      <w:r w:rsidRPr="000508B6">
        <w:rPr>
          <w:rFonts w:ascii="Times New Roman" w:hAnsi="Times New Roman" w:cs="Times New Roman"/>
          <w:lang w:val="ro-MD"/>
        </w:rPr>
        <w:t>compoziţi</w:t>
      </w:r>
      <w:proofErr w:type="spellEnd"/>
      <w:r w:rsidRPr="000508B6">
        <w:rPr>
          <w:rFonts w:ascii="Times New Roman" w:hAnsi="Times New Roman" w:cs="Times New Roman"/>
          <w:lang w:val="ro-MD"/>
        </w:rPr>
        <w:t xml:space="preserve"> care subscriu, integral sau </w:t>
      </w:r>
      <w:proofErr w:type="spellStart"/>
      <w:r w:rsidRPr="000508B6">
        <w:rPr>
          <w:rFonts w:ascii="Times New Roman" w:hAnsi="Times New Roman" w:cs="Times New Roman"/>
          <w:lang w:val="ro-MD"/>
        </w:rPr>
        <w:t>parţial</w:t>
      </w:r>
      <w:proofErr w:type="spellEnd"/>
      <w:r w:rsidRPr="000508B6">
        <w:rPr>
          <w:rFonts w:ascii="Times New Roman" w:hAnsi="Times New Roman" w:cs="Times New Roman"/>
          <w:lang w:val="ro-MD"/>
        </w:rPr>
        <w:t xml:space="preserve"> şi riscuri din clasele 10-15 prevăzute în </w:t>
      </w:r>
      <w:r w:rsidR="00E81DE7" w:rsidRPr="000508B6">
        <w:rPr>
          <w:rFonts w:ascii="Times New Roman" w:hAnsi="Times New Roman" w:cs="Times New Roman"/>
          <w:lang w:val="ro-MD"/>
        </w:rPr>
        <w:t>A</w:t>
      </w:r>
      <w:r w:rsidRPr="000508B6">
        <w:rPr>
          <w:rFonts w:ascii="Times New Roman" w:hAnsi="Times New Roman" w:cs="Times New Roman"/>
          <w:lang w:val="ro-MD"/>
        </w:rPr>
        <w:t>nexa nr. 1</w:t>
      </w:r>
      <w:r w:rsidR="004E73E0" w:rsidRPr="000508B6">
        <w:rPr>
          <w:rFonts w:ascii="Times New Roman" w:hAnsi="Times New Roman" w:cs="Times New Roman"/>
          <w:lang w:val="ro-MD"/>
        </w:rPr>
        <w:t>.</w:t>
      </w:r>
      <w:r w:rsidRPr="000508B6">
        <w:rPr>
          <w:rFonts w:ascii="Times New Roman" w:hAnsi="Times New Roman" w:cs="Times New Roman"/>
          <w:lang w:val="ro-MD"/>
        </w:rPr>
        <w:t xml:space="preserve"> </w:t>
      </w:r>
      <w:proofErr w:type="spellStart"/>
      <w:r w:rsidR="000A0659" w:rsidRPr="000508B6">
        <w:rPr>
          <w:rFonts w:ascii="Times New Roman" w:hAnsi="Times New Roman" w:cs="Times New Roman"/>
          <w:lang w:val="ro-MD"/>
        </w:rPr>
        <w:t>S</w:t>
      </w:r>
      <w:r w:rsidRPr="000508B6">
        <w:rPr>
          <w:rFonts w:ascii="Times New Roman" w:hAnsi="Times New Roman" w:cs="Times New Roman"/>
          <w:lang w:val="ro-MD"/>
        </w:rPr>
        <w:t>ecţiunea</w:t>
      </w:r>
      <w:proofErr w:type="spellEnd"/>
      <w:r w:rsidRPr="000508B6">
        <w:rPr>
          <w:rFonts w:ascii="Times New Roman" w:hAnsi="Times New Roman" w:cs="Times New Roman"/>
          <w:lang w:val="ro-MD"/>
        </w:rPr>
        <w:t xml:space="preserve"> A; </w:t>
      </w:r>
    </w:p>
    <w:p w14:paraId="46ED089D" w14:textId="615935A6" w:rsidR="00F95829" w:rsidRPr="000508B6" w:rsidRDefault="00F95829" w:rsidP="0006568A">
      <w:pPr>
        <w:pStyle w:val="Listparagraf"/>
        <w:numPr>
          <w:ilvl w:val="3"/>
          <w:numId w:val="177"/>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3.900.000 euro, pentru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w:t>
      </w:r>
    </w:p>
    <w:p w14:paraId="2105CFB6" w14:textId="6A61C5D7" w:rsidR="00CC0759" w:rsidRPr="000508B6" w:rsidRDefault="00F95829" w:rsidP="0006568A">
      <w:pPr>
        <w:pStyle w:val="Listparagraf"/>
        <w:numPr>
          <w:ilvl w:val="3"/>
          <w:numId w:val="177"/>
        </w:numPr>
        <w:tabs>
          <w:tab w:val="left" w:pos="709"/>
          <w:tab w:val="left" w:pos="851"/>
          <w:tab w:val="left" w:pos="993"/>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1.300.000 euro, pentru </w:t>
      </w:r>
      <w:proofErr w:type="spellStart"/>
      <w:r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captivi. </w:t>
      </w:r>
    </w:p>
    <w:p w14:paraId="0E7047E7" w14:textId="43EFC88F" w:rsidR="00F95829" w:rsidRPr="000508B6" w:rsidRDefault="00FF5EE5" w:rsidP="004E73E0">
      <w:pPr>
        <w:pStyle w:val="Listparagraf"/>
        <w:numPr>
          <w:ilvl w:val="1"/>
          <w:numId w:val="17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Sub rezerva</w:t>
      </w:r>
      <w:r w:rsidR="00F95829" w:rsidRPr="000508B6">
        <w:rPr>
          <w:rFonts w:ascii="Times New Roman" w:hAnsi="Times New Roman" w:cs="Times New Roman"/>
          <w:lang w:val="ro-MD"/>
        </w:rPr>
        <w:t xml:space="preserve"> alin. (</w:t>
      </w:r>
      <w:r w:rsidR="00ED52FD" w:rsidRPr="000508B6">
        <w:rPr>
          <w:rFonts w:ascii="Times New Roman" w:hAnsi="Times New Roman" w:cs="Times New Roman"/>
          <w:lang w:val="ro-MD"/>
        </w:rPr>
        <w:t>4</w:t>
      </w:r>
      <w:r w:rsidR="00F95829" w:rsidRPr="000508B6">
        <w:rPr>
          <w:rFonts w:ascii="Times New Roman" w:hAnsi="Times New Roman" w:cs="Times New Roman"/>
          <w:lang w:val="ro-MD"/>
        </w:rPr>
        <w:t xml:space="preserve">), MCR se calculează ca </w:t>
      </w:r>
      <w:proofErr w:type="spellStart"/>
      <w:r w:rsidR="00F95829" w:rsidRPr="000508B6">
        <w:rPr>
          <w:rFonts w:ascii="Times New Roman" w:hAnsi="Times New Roman" w:cs="Times New Roman"/>
          <w:lang w:val="ro-MD"/>
        </w:rPr>
        <w:t>funcţie</w:t>
      </w:r>
      <w:proofErr w:type="spellEnd"/>
      <w:r w:rsidR="00F95829" w:rsidRPr="000508B6">
        <w:rPr>
          <w:rFonts w:ascii="Times New Roman" w:hAnsi="Times New Roman" w:cs="Times New Roman"/>
          <w:lang w:val="ro-MD"/>
        </w:rPr>
        <w:t xml:space="preserve"> liniară a unui set sau subset al următoarelor variabile</w:t>
      </w:r>
      <w:r w:rsidR="00C40AE8" w:rsidRPr="000508B6">
        <w:rPr>
          <w:rFonts w:ascii="Times New Roman" w:hAnsi="Times New Roman" w:cs="Times New Roman"/>
          <w:lang w:val="ro-MD"/>
        </w:rPr>
        <w:t xml:space="preserve"> </w:t>
      </w:r>
      <w:r w:rsidR="005D45AE" w:rsidRPr="000508B6">
        <w:rPr>
          <w:rFonts w:ascii="Times New Roman" w:hAnsi="Times New Roman" w:cs="Times New Roman"/>
          <w:lang w:val="ro-MD"/>
        </w:rPr>
        <w:t>după deducerea</w:t>
      </w:r>
      <w:r w:rsidR="00F95829" w:rsidRPr="000508B6">
        <w:rPr>
          <w:rFonts w:ascii="Times New Roman" w:hAnsi="Times New Roman" w:cs="Times New Roman"/>
          <w:lang w:val="ro-MD"/>
        </w:rPr>
        <w:t xml:space="preserve"> reasigur</w:t>
      </w:r>
      <w:r w:rsidR="005D45AE" w:rsidRPr="000508B6">
        <w:rPr>
          <w:rFonts w:ascii="Times New Roman" w:hAnsi="Times New Roman" w:cs="Times New Roman"/>
          <w:lang w:val="ro-MD"/>
        </w:rPr>
        <w:t>ării</w:t>
      </w:r>
      <w:r w:rsidR="00F95829" w:rsidRPr="000508B6">
        <w:rPr>
          <w:rFonts w:ascii="Times New Roman" w:hAnsi="Times New Roman" w:cs="Times New Roman"/>
          <w:lang w:val="ro-MD"/>
        </w:rPr>
        <w:t xml:space="preserve">: </w:t>
      </w:r>
    </w:p>
    <w:p w14:paraId="04832CBB" w14:textId="2202AF61" w:rsidR="00F95829" w:rsidRPr="000508B6" w:rsidRDefault="00F95829"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rezerve tehnice; </w:t>
      </w:r>
    </w:p>
    <w:p w14:paraId="3757C42C" w14:textId="472F8762" w:rsidR="00F95829" w:rsidRPr="000508B6" w:rsidRDefault="00F95829"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prime subscrise; </w:t>
      </w:r>
    </w:p>
    <w:p w14:paraId="3D0D9557" w14:textId="5278BA5D" w:rsidR="00F95829" w:rsidRPr="000508B6" w:rsidRDefault="00F95829"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capital la risc; </w:t>
      </w:r>
    </w:p>
    <w:p w14:paraId="4D26FDC7" w14:textId="14D437A0" w:rsidR="00F95829" w:rsidRPr="000508B6" w:rsidRDefault="00F95829"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impozite amânate; </w:t>
      </w:r>
    </w:p>
    <w:p w14:paraId="6BE28698" w14:textId="08F31557" w:rsidR="00F95829" w:rsidRPr="000508B6" w:rsidRDefault="00F95829" w:rsidP="0006568A">
      <w:pPr>
        <w:pStyle w:val="Listparagraf"/>
        <w:numPr>
          <w:ilvl w:val="2"/>
          <w:numId w:val="17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cheltuieli administrative. </w:t>
      </w:r>
    </w:p>
    <w:p w14:paraId="09D78D27" w14:textId="22E9CBFF" w:rsidR="00001E08" w:rsidRPr="000508B6" w:rsidRDefault="00F95829" w:rsidP="0006568A">
      <w:pPr>
        <w:pStyle w:val="Listparagraf"/>
        <w:numPr>
          <w:ilvl w:val="1"/>
          <w:numId w:val="17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Fără a se aduce atingere alin. (</w:t>
      </w:r>
      <w:r w:rsidR="00ED52FD" w:rsidRPr="000508B6">
        <w:rPr>
          <w:rFonts w:ascii="Times New Roman" w:hAnsi="Times New Roman" w:cs="Times New Roman"/>
          <w:lang w:val="ro-MD"/>
        </w:rPr>
        <w:t>2</w:t>
      </w:r>
      <w:r w:rsidRPr="000508B6">
        <w:rPr>
          <w:rFonts w:ascii="Times New Roman" w:hAnsi="Times New Roman" w:cs="Times New Roman"/>
          <w:lang w:val="ro-MD"/>
        </w:rPr>
        <w:t xml:space="preserve">) lit. d), MCR nu scade sub 25% din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nu </w:t>
      </w:r>
      <w:proofErr w:type="spellStart"/>
      <w:r w:rsidRPr="000508B6">
        <w:rPr>
          <w:rFonts w:ascii="Times New Roman" w:hAnsi="Times New Roman" w:cs="Times New Roman"/>
          <w:lang w:val="ro-MD"/>
        </w:rPr>
        <w:t>depăşeşte</w:t>
      </w:r>
      <w:proofErr w:type="spellEnd"/>
      <w:r w:rsidRPr="000508B6">
        <w:rPr>
          <w:rFonts w:ascii="Times New Roman" w:hAnsi="Times New Roman" w:cs="Times New Roman"/>
          <w:lang w:val="ro-MD"/>
        </w:rPr>
        <w:t xml:space="preserve"> 45% din SCR </w:t>
      </w:r>
      <w:r w:rsidR="0047363A" w:rsidRPr="000508B6">
        <w:rPr>
          <w:rFonts w:ascii="Times New Roman" w:hAnsi="Times New Roman" w:cs="Times New Roman"/>
          <w:lang w:val="ro-MD"/>
        </w:rPr>
        <w:t xml:space="preserve">calculată </w:t>
      </w:r>
      <w:r w:rsidR="00FF5EE5" w:rsidRPr="000508B6">
        <w:rPr>
          <w:rFonts w:ascii="Times New Roman" w:hAnsi="Times New Roman" w:cs="Times New Roman"/>
          <w:lang w:val="ro-MD"/>
        </w:rPr>
        <w:t xml:space="preserve">în conformitate cu </w:t>
      </w:r>
      <w:r w:rsidR="00657D53" w:rsidRPr="000508B6">
        <w:rPr>
          <w:rFonts w:ascii="Times New Roman" w:hAnsi="Times New Roman" w:cs="Times New Roman"/>
          <w:lang w:val="ro-MD"/>
        </w:rPr>
        <w:t>art. 66-74</w:t>
      </w:r>
      <w:r w:rsidR="00FF5EE5" w:rsidRPr="000508B6">
        <w:rPr>
          <w:rFonts w:ascii="Times New Roman" w:hAnsi="Times New Roman" w:cs="Times New Roman"/>
          <w:lang w:val="ro-MD"/>
        </w:rPr>
        <w:t xml:space="preserve"> sau </w:t>
      </w:r>
      <w:r w:rsidR="00657D53" w:rsidRPr="000508B6">
        <w:rPr>
          <w:rFonts w:ascii="Times New Roman" w:hAnsi="Times New Roman" w:cs="Times New Roman"/>
          <w:lang w:val="ro-MD"/>
        </w:rPr>
        <w:t>art. 75-87</w:t>
      </w:r>
      <w:r w:rsidR="00FF5EE5" w:rsidRPr="000508B6">
        <w:rPr>
          <w:rFonts w:ascii="Times New Roman" w:hAnsi="Times New Roman" w:cs="Times New Roman"/>
          <w:lang w:val="ro-MD"/>
        </w:rPr>
        <w:t>, inclusiv orice majorare de capital impusă în conformitate cu art</w:t>
      </w:r>
      <w:r w:rsidR="00527E97" w:rsidRPr="000508B6">
        <w:rPr>
          <w:rFonts w:ascii="Times New Roman" w:hAnsi="Times New Roman" w:cs="Times New Roman"/>
          <w:lang w:val="ro-MD"/>
        </w:rPr>
        <w:t>.</w:t>
      </w:r>
      <w:r w:rsidR="00FF5EE5" w:rsidRPr="000508B6">
        <w:rPr>
          <w:rFonts w:ascii="Times New Roman" w:hAnsi="Times New Roman" w:cs="Times New Roman"/>
          <w:lang w:val="ro-MD"/>
        </w:rPr>
        <w:t xml:space="preserve"> </w:t>
      </w:r>
      <w:r w:rsidR="00657D53" w:rsidRPr="000508B6">
        <w:rPr>
          <w:rFonts w:ascii="Times New Roman" w:hAnsi="Times New Roman" w:cs="Times New Roman"/>
          <w:lang w:val="ro-MD"/>
        </w:rPr>
        <w:t>183</w:t>
      </w:r>
      <w:r w:rsidR="00232B00" w:rsidRPr="000508B6">
        <w:rPr>
          <w:rFonts w:ascii="Times New Roman" w:hAnsi="Times New Roman" w:cs="Times New Roman"/>
          <w:lang w:val="ro-MD"/>
        </w:rPr>
        <w:t xml:space="preserve">. </w:t>
      </w:r>
      <w:bookmarkStart w:id="114" w:name="_Hlk180156469"/>
    </w:p>
    <w:bookmarkEnd w:id="114"/>
    <w:p w14:paraId="31447B54" w14:textId="77777777" w:rsidR="001818A7" w:rsidRPr="000508B6" w:rsidRDefault="001818A7" w:rsidP="008B530F">
      <w:pPr>
        <w:spacing w:after="0" w:line="240" w:lineRule="auto"/>
        <w:ind w:firstLine="426"/>
        <w:jc w:val="both"/>
        <w:rPr>
          <w:rFonts w:ascii="Times New Roman" w:hAnsi="Times New Roman" w:cs="Times New Roman"/>
          <w:b/>
          <w:lang w:val="ro-MD"/>
        </w:rPr>
      </w:pPr>
    </w:p>
    <w:p w14:paraId="2A1C4020" w14:textId="24D8689E" w:rsidR="004D2817" w:rsidRPr="000508B6" w:rsidRDefault="00F95829" w:rsidP="0067340E">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89</w:t>
      </w:r>
      <w:r w:rsidRPr="000508B6">
        <w:rPr>
          <w:rFonts w:ascii="Times New Roman" w:hAnsi="Times New Roman" w:cs="Times New Roman"/>
          <w:b/>
          <w:lang w:val="ro-MD"/>
        </w:rPr>
        <w:t>.</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transmise Băncii Naționale a Moldovei</w:t>
      </w:r>
    </w:p>
    <w:p w14:paraId="40E51F4C" w14:textId="7E43C01D" w:rsidR="00C031B8" w:rsidRPr="000508B6" w:rsidRDefault="004D2817" w:rsidP="00CF5AFA">
      <w:pPr>
        <w:pStyle w:val="Listparagraf"/>
        <w:numPr>
          <w:ilvl w:val="0"/>
          <w:numId w:val="178"/>
        </w:numPr>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w:t>
      </w:r>
      <w:r w:rsidR="002D272D" w:rsidRPr="000508B6">
        <w:rPr>
          <w:rFonts w:ascii="Times New Roman" w:hAnsi="Times New Roman" w:cs="Times New Roman"/>
          <w:lang w:val="ro-MD"/>
        </w:rPr>
        <w:t xml:space="preserve">sau </w:t>
      </w:r>
      <w:proofErr w:type="spellStart"/>
      <w:r w:rsidR="004125E8"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w:t>
      </w:r>
      <w:r w:rsidR="004A1CAA" w:rsidRPr="000508B6">
        <w:rPr>
          <w:rFonts w:ascii="Times New Roman" w:hAnsi="Times New Roman" w:cs="Times New Roman"/>
          <w:lang w:val="ro-MD"/>
        </w:rPr>
        <w:t>calculează și</w:t>
      </w:r>
      <w:r w:rsidR="00F95829" w:rsidRPr="000508B6">
        <w:rPr>
          <w:rFonts w:ascii="Times New Roman" w:hAnsi="Times New Roman" w:cs="Times New Roman"/>
          <w:lang w:val="ro-MD"/>
        </w:rPr>
        <w:t xml:space="preserve"> transmit</w:t>
      </w:r>
      <w:r w:rsidR="00B03F57" w:rsidRPr="000508B6">
        <w:rPr>
          <w:rFonts w:ascii="Times New Roman" w:hAnsi="Times New Roman" w:cs="Times New Roman"/>
          <w:lang w:val="ro-MD"/>
        </w:rPr>
        <w:t>e</w:t>
      </w:r>
      <w:r w:rsidR="00F95829" w:rsidRPr="000508B6">
        <w:rPr>
          <w:rFonts w:ascii="Times New Roman" w:hAnsi="Times New Roman" w:cs="Times New Roman"/>
          <w:lang w:val="ro-MD"/>
        </w:rPr>
        <w:t xml:space="preserve"> </w:t>
      </w:r>
      <w:r w:rsidR="000C0ED3" w:rsidRPr="000508B6">
        <w:rPr>
          <w:rFonts w:ascii="Times New Roman" w:hAnsi="Times New Roman" w:cs="Times New Roman"/>
          <w:lang w:val="ro-MD"/>
        </w:rPr>
        <w:t>Băncii Naționale a Moldovei</w:t>
      </w:r>
      <w:r w:rsidR="00F95829" w:rsidRPr="000508B6">
        <w:rPr>
          <w:rFonts w:ascii="Times New Roman" w:hAnsi="Times New Roman" w:cs="Times New Roman"/>
          <w:lang w:val="ro-MD"/>
        </w:rPr>
        <w:t xml:space="preserve"> valoarea MCR, cel </w:t>
      </w:r>
      <w:proofErr w:type="spellStart"/>
      <w:r w:rsidR="00F95829" w:rsidRPr="000508B6">
        <w:rPr>
          <w:rFonts w:ascii="Times New Roman" w:hAnsi="Times New Roman" w:cs="Times New Roman"/>
          <w:lang w:val="ro-MD"/>
        </w:rPr>
        <w:t>puţin</w:t>
      </w:r>
      <w:proofErr w:type="spellEnd"/>
      <w:r w:rsidR="00F95829" w:rsidRPr="000508B6">
        <w:rPr>
          <w:rFonts w:ascii="Times New Roman" w:hAnsi="Times New Roman" w:cs="Times New Roman"/>
          <w:lang w:val="ro-MD"/>
        </w:rPr>
        <w:t xml:space="preserve"> trimestrial</w:t>
      </w:r>
      <w:r w:rsidR="00231B45" w:rsidRPr="000508B6">
        <w:rPr>
          <w:rFonts w:ascii="Times New Roman" w:hAnsi="Times New Roman" w:cs="Times New Roman"/>
          <w:lang w:val="ro-MD"/>
        </w:rPr>
        <w:t xml:space="preserve">. În scopul calculării limitelor menționate la art. 88 alin. (4), asigurătorul sau </w:t>
      </w:r>
      <w:proofErr w:type="spellStart"/>
      <w:r w:rsidR="00231B45" w:rsidRPr="000508B6">
        <w:rPr>
          <w:rFonts w:ascii="Times New Roman" w:hAnsi="Times New Roman" w:cs="Times New Roman"/>
          <w:lang w:val="ro-MD"/>
        </w:rPr>
        <w:t>reasigurătorul</w:t>
      </w:r>
      <w:proofErr w:type="spellEnd"/>
      <w:r w:rsidR="00231B45" w:rsidRPr="000508B6">
        <w:rPr>
          <w:rFonts w:ascii="Times New Roman" w:hAnsi="Times New Roman" w:cs="Times New Roman"/>
          <w:lang w:val="ro-MD"/>
        </w:rPr>
        <w:t xml:space="preserve"> nu este obligat să calculeze </w:t>
      </w:r>
      <w:r w:rsidR="004E73E0" w:rsidRPr="000508B6">
        <w:rPr>
          <w:rFonts w:ascii="Times New Roman" w:hAnsi="Times New Roman" w:cs="Times New Roman"/>
          <w:lang w:val="ro-MD"/>
        </w:rPr>
        <w:t xml:space="preserve">SCR </w:t>
      </w:r>
      <w:r w:rsidR="00231B45" w:rsidRPr="000508B6">
        <w:rPr>
          <w:rFonts w:ascii="Times New Roman" w:hAnsi="Times New Roman" w:cs="Times New Roman"/>
          <w:lang w:val="ro-MD"/>
        </w:rPr>
        <w:t>trimestrial.</w:t>
      </w:r>
      <w:r w:rsidR="00F95829" w:rsidRPr="000508B6">
        <w:rPr>
          <w:rFonts w:ascii="Times New Roman" w:hAnsi="Times New Roman" w:cs="Times New Roman"/>
          <w:lang w:val="ro-MD"/>
        </w:rPr>
        <w:t xml:space="preserve"> </w:t>
      </w:r>
    </w:p>
    <w:p w14:paraId="66F621A5" w14:textId="68E2BA26" w:rsidR="00FA4C9E" w:rsidRPr="000508B6" w:rsidRDefault="00F95829" w:rsidP="00710719">
      <w:pPr>
        <w:pStyle w:val="Listparagraf"/>
        <w:numPr>
          <w:ilvl w:val="0"/>
          <w:numId w:val="17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MCR </w:t>
      </w:r>
      <w:r w:rsidR="00231B45" w:rsidRPr="000508B6">
        <w:rPr>
          <w:rFonts w:ascii="Times New Roman" w:hAnsi="Times New Roman" w:cs="Times New Roman"/>
          <w:lang w:val="ro-MD"/>
        </w:rPr>
        <w:t xml:space="preserve">este determinat de </w:t>
      </w:r>
      <w:r w:rsidRPr="000508B6">
        <w:rPr>
          <w:rFonts w:ascii="Times New Roman" w:hAnsi="Times New Roman" w:cs="Times New Roman"/>
          <w:lang w:val="ro-MD"/>
        </w:rPr>
        <w:t xml:space="preserve">una dintre limitele procentuale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7E584E" w:rsidRPr="000508B6">
        <w:rPr>
          <w:rFonts w:ascii="Times New Roman" w:hAnsi="Times New Roman" w:cs="Times New Roman"/>
          <w:lang w:val="ro-MD"/>
        </w:rPr>
        <w:t xml:space="preserve">88 </w:t>
      </w:r>
      <w:r w:rsidRPr="000508B6">
        <w:rPr>
          <w:rFonts w:ascii="Times New Roman" w:hAnsi="Times New Roman" w:cs="Times New Roman"/>
          <w:lang w:val="ro-MD"/>
        </w:rPr>
        <w:t>alin. (</w:t>
      </w:r>
      <w:r w:rsidR="002C35B5" w:rsidRPr="000508B6">
        <w:rPr>
          <w:rFonts w:ascii="Times New Roman" w:hAnsi="Times New Roman" w:cs="Times New Roman"/>
          <w:lang w:val="ro-MD"/>
        </w:rPr>
        <w:t>4</w:t>
      </w:r>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transmit</w:t>
      </w:r>
      <w:r w:rsidR="00B03F57" w:rsidRPr="000508B6">
        <w:rPr>
          <w:rFonts w:ascii="Times New Roman" w:hAnsi="Times New Roman" w:cs="Times New Roman"/>
          <w:lang w:val="ro-MD"/>
        </w:rPr>
        <w:t>e</w:t>
      </w:r>
      <w:r w:rsidRPr="000508B6">
        <w:rPr>
          <w:rFonts w:ascii="Times New Roman" w:hAnsi="Times New Roman" w:cs="Times New Roman"/>
          <w:lang w:val="ro-MD"/>
        </w:rPr>
        <w:t xml:space="preserve"> </w:t>
      </w:r>
      <w:r w:rsidR="000C0ED3"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privind motivele care au condus la această </w:t>
      </w:r>
      <w:proofErr w:type="spellStart"/>
      <w:r w:rsidRPr="000508B6">
        <w:rPr>
          <w:rFonts w:ascii="Times New Roman" w:hAnsi="Times New Roman" w:cs="Times New Roman"/>
          <w:lang w:val="ro-MD"/>
        </w:rPr>
        <w:t>situaţie</w:t>
      </w:r>
      <w:proofErr w:type="spellEnd"/>
      <w:r w:rsidRPr="000508B6">
        <w:rPr>
          <w:rFonts w:ascii="Times New Roman" w:hAnsi="Times New Roman" w:cs="Times New Roman"/>
          <w:lang w:val="ro-MD"/>
        </w:rPr>
        <w:t>.</w:t>
      </w:r>
    </w:p>
    <w:p w14:paraId="126A62DE" w14:textId="77777777" w:rsidR="00474648" w:rsidRPr="000508B6" w:rsidRDefault="00474648" w:rsidP="00FA4C9E">
      <w:pPr>
        <w:spacing w:after="0" w:line="240" w:lineRule="auto"/>
        <w:jc w:val="center"/>
        <w:rPr>
          <w:rFonts w:ascii="Times New Roman" w:eastAsia="Times New Roman" w:hAnsi="Times New Roman" w:cs="Times New Roman"/>
          <w:b/>
          <w:lang w:val="ro-MD"/>
        </w:rPr>
      </w:pPr>
    </w:p>
    <w:p w14:paraId="2EE2A8A6" w14:textId="2FBFAA54" w:rsidR="00F95829" w:rsidRPr="000508B6" w:rsidRDefault="00F95829" w:rsidP="00FA4C9E">
      <w:pPr>
        <w:spacing w:after="0" w:line="240" w:lineRule="auto"/>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w:t>
      </w:r>
      <w:r w:rsidR="00C41D4B" w:rsidRPr="000508B6">
        <w:rPr>
          <w:rFonts w:ascii="Times New Roman" w:eastAsia="Times New Roman" w:hAnsi="Times New Roman" w:cs="Times New Roman"/>
          <w:b/>
          <w:lang w:val="ro-MD"/>
        </w:rPr>
        <w:t>6</w:t>
      </w:r>
      <w:r w:rsidRPr="000508B6">
        <w:rPr>
          <w:rFonts w:ascii="Times New Roman" w:eastAsia="Times New Roman" w:hAnsi="Times New Roman" w:cs="Times New Roman"/>
          <w:b/>
          <w:lang w:val="ro-MD"/>
        </w:rPr>
        <w:t>-a</w:t>
      </w:r>
    </w:p>
    <w:p w14:paraId="486CA825" w14:textId="77777777" w:rsidR="00F95829" w:rsidRPr="000508B6" w:rsidRDefault="00F95829" w:rsidP="00FA4C9E">
      <w:pPr>
        <w:spacing w:after="0" w:line="240" w:lineRule="auto"/>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Investiţiile</w:t>
      </w:r>
      <w:proofErr w:type="spellEnd"/>
    </w:p>
    <w:p w14:paraId="0B7B63FE" w14:textId="165FA216"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90</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6C1359" w:rsidRPr="000508B6">
        <w:rPr>
          <w:rFonts w:ascii="Times New Roman" w:eastAsia="Times New Roman" w:hAnsi="Times New Roman" w:cs="Times New Roman"/>
          <w:lang w:val="ro-MD"/>
        </w:rPr>
        <w:t xml:space="preserve">Principiul </w:t>
      </w:r>
      <w:r w:rsidR="00162CEB" w:rsidRPr="000508B6">
        <w:rPr>
          <w:rFonts w:ascii="Times New Roman" w:eastAsia="Times New Roman" w:hAnsi="Times New Roman" w:cs="Times New Roman"/>
          <w:lang w:val="ro-MD"/>
        </w:rPr>
        <w:t>„</w:t>
      </w:r>
      <w:r w:rsidR="006C1359" w:rsidRPr="000508B6">
        <w:rPr>
          <w:rFonts w:ascii="Times New Roman" w:eastAsia="Times New Roman" w:hAnsi="Times New Roman" w:cs="Times New Roman"/>
          <w:lang w:val="ro-MD"/>
        </w:rPr>
        <w:t>persoan</w:t>
      </w:r>
      <w:r w:rsidR="00162CEB" w:rsidRPr="000508B6">
        <w:rPr>
          <w:rFonts w:ascii="Times New Roman" w:eastAsia="Times New Roman" w:hAnsi="Times New Roman" w:cs="Times New Roman"/>
          <w:lang w:val="ro-MD"/>
        </w:rPr>
        <w:t>ei</w:t>
      </w:r>
      <w:r w:rsidR="00E072CF" w:rsidRPr="000508B6">
        <w:rPr>
          <w:rFonts w:ascii="Times New Roman" w:eastAsia="Times New Roman" w:hAnsi="Times New Roman" w:cs="Times New Roman"/>
          <w:lang w:val="ro-MD"/>
        </w:rPr>
        <w:t xml:space="preserve"> prudent</w:t>
      </w:r>
      <w:r w:rsidR="00162CEB" w:rsidRPr="000508B6">
        <w:rPr>
          <w:rFonts w:ascii="Times New Roman" w:eastAsia="Times New Roman" w:hAnsi="Times New Roman" w:cs="Times New Roman"/>
          <w:lang w:val="ro-MD"/>
        </w:rPr>
        <w:t>e”</w:t>
      </w:r>
      <w:r w:rsidR="00F36D77" w:rsidRPr="000508B6">
        <w:rPr>
          <w:rFonts w:ascii="Times New Roman" w:eastAsia="Times New Roman" w:hAnsi="Times New Roman" w:cs="Times New Roman"/>
          <w:lang w:val="ro-MD"/>
        </w:rPr>
        <w:t xml:space="preserve"> </w:t>
      </w:r>
    </w:p>
    <w:p w14:paraId="17B7C4DE" w14:textId="5C3602B5" w:rsidR="00F95829" w:rsidRPr="000508B6" w:rsidRDefault="00D068AA" w:rsidP="0006568A">
      <w:pPr>
        <w:pStyle w:val="Listparagraf"/>
        <w:numPr>
          <w:ilvl w:val="1"/>
          <w:numId w:val="17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2D272D" w:rsidRPr="000508B6">
        <w:rPr>
          <w:rFonts w:ascii="Times New Roman" w:eastAsia="Times New Roman" w:hAnsi="Times New Roman" w:cs="Times New Roman"/>
          <w:lang w:val="ro-MD"/>
        </w:rPr>
        <w:t xml:space="preserve"> </w:t>
      </w:r>
      <w:r w:rsidR="001A2A77" w:rsidRPr="000508B6">
        <w:rPr>
          <w:rFonts w:ascii="Times New Roman" w:eastAsia="Times New Roman" w:hAnsi="Times New Roman" w:cs="Times New Roman"/>
          <w:lang w:val="ro-MD"/>
        </w:rPr>
        <w:t xml:space="preserve">își investește toate activele conform principiului persoanei prudente, descris la </w:t>
      </w:r>
      <w:r w:rsidR="004E73E0" w:rsidRPr="000508B6">
        <w:rPr>
          <w:rFonts w:ascii="Times New Roman" w:eastAsia="Times New Roman" w:hAnsi="Times New Roman" w:cs="Times New Roman"/>
          <w:lang w:val="ro-MD"/>
        </w:rPr>
        <w:t xml:space="preserve">alin. </w:t>
      </w:r>
      <w:r w:rsidR="001A2A77" w:rsidRPr="000508B6">
        <w:rPr>
          <w:rFonts w:ascii="Times New Roman" w:eastAsia="Times New Roman" w:hAnsi="Times New Roman" w:cs="Times New Roman"/>
          <w:lang w:val="ro-MD"/>
        </w:rPr>
        <w:t xml:space="preserve">(2) – (6). </w:t>
      </w: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F95829" w:rsidRPr="000508B6" w:rsidDel="002D272D">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investe</w:t>
      </w:r>
      <w:r w:rsidR="00206D15" w:rsidRPr="000508B6">
        <w:rPr>
          <w:rFonts w:ascii="Times New Roman" w:eastAsia="Times New Roman" w:hAnsi="Times New Roman" w:cs="Times New Roman"/>
          <w:lang w:val="ro-MD"/>
        </w:rPr>
        <w:t>ște</w:t>
      </w:r>
      <w:r w:rsidR="00F95829" w:rsidRPr="000508B6">
        <w:rPr>
          <w:rFonts w:ascii="Times New Roman" w:eastAsia="Times New Roman" w:hAnsi="Times New Roman" w:cs="Times New Roman"/>
          <w:lang w:val="ro-MD"/>
        </w:rPr>
        <w:t xml:space="preserve"> doar în active și instrumente ale căror riscuri pot fi identificate, măsurate, monitorizate, gestionate, controlate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raportate în mod adecvat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care pot fi luate în considerare la acoperirea </w:t>
      </w:r>
      <w:proofErr w:type="spellStart"/>
      <w:r w:rsidR="00F95829" w:rsidRPr="000508B6">
        <w:rPr>
          <w:rFonts w:ascii="Times New Roman" w:eastAsia="Times New Roman" w:hAnsi="Times New Roman" w:cs="Times New Roman"/>
          <w:lang w:val="ro-MD"/>
        </w:rPr>
        <w:t>necesităţilor</w:t>
      </w:r>
      <w:proofErr w:type="spellEnd"/>
      <w:r w:rsidR="00F95829" w:rsidRPr="000508B6">
        <w:rPr>
          <w:rFonts w:ascii="Times New Roman" w:eastAsia="Times New Roman" w:hAnsi="Times New Roman" w:cs="Times New Roman"/>
          <w:lang w:val="ro-MD"/>
        </w:rPr>
        <w:t xml:space="preserve"> globale de solvabilitate, determinate conform ORSA.</w:t>
      </w:r>
      <w:r w:rsidR="00574755" w:rsidRPr="000508B6">
        <w:rPr>
          <w:rFonts w:ascii="Times New Roman" w:eastAsia="Times New Roman" w:hAnsi="Times New Roman" w:cs="Times New Roman"/>
          <w:lang w:val="ro-MD"/>
        </w:rPr>
        <w:t xml:space="preserve"> </w:t>
      </w:r>
    </w:p>
    <w:p w14:paraId="000837F8" w14:textId="1F12D191" w:rsidR="00F95829" w:rsidRPr="000508B6" w:rsidRDefault="009A4242" w:rsidP="0006568A">
      <w:pPr>
        <w:pStyle w:val="Listparagraf"/>
        <w:numPr>
          <w:ilvl w:val="1"/>
          <w:numId w:val="17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Toate activele, în special cele care </w:t>
      </w:r>
      <w:r w:rsidR="00A7036B" w:rsidRPr="000508B6">
        <w:rPr>
          <w:rFonts w:ascii="Times New Roman" w:eastAsia="Times New Roman" w:hAnsi="Times New Roman" w:cs="Times New Roman"/>
          <w:lang w:val="ro-MD"/>
        </w:rPr>
        <w:t>acoperă</w:t>
      </w:r>
      <w:r w:rsidRPr="000508B6">
        <w:rPr>
          <w:rFonts w:ascii="Times New Roman" w:eastAsia="Times New Roman" w:hAnsi="Times New Roman" w:cs="Times New Roman"/>
          <w:lang w:val="ro-MD"/>
        </w:rPr>
        <w:t xml:space="preserve"> SCR și MCR, se investesc astfel încât să se asigure siguranța, calitatea, lichiditatea și rentabilitatea întregului portofoliu. În plus, activele în cauză trebuie să fie localizate astfel</w:t>
      </w:r>
      <w:r w:rsidR="00E25C25"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încât să fie disponibile.</w:t>
      </w:r>
      <w:r w:rsidR="00574755" w:rsidRPr="000508B6">
        <w:rPr>
          <w:rFonts w:ascii="Times New Roman" w:eastAsia="Times New Roman" w:hAnsi="Times New Roman" w:cs="Times New Roman"/>
          <w:lang w:val="ro-MD"/>
        </w:rPr>
        <w:t xml:space="preserve"> </w:t>
      </w:r>
    </w:p>
    <w:p w14:paraId="5657C4DD" w14:textId="4E883B7B" w:rsidR="00F95829" w:rsidRPr="000508B6" w:rsidRDefault="00F95829" w:rsidP="0006568A">
      <w:pPr>
        <w:pStyle w:val="Listparagraf"/>
        <w:numPr>
          <w:ilvl w:val="1"/>
          <w:numId w:val="17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Activele pentru acoperirea rezervelor tehnice se investesc într-un mod adecvat naturii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duratei </w:t>
      </w:r>
      <w:proofErr w:type="spellStart"/>
      <w:r w:rsidRPr="000508B6">
        <w:rPr>
          <w:rFonts w:ascii="Times New Roman" w:eastAsia="Times New Roman" w:hAnsi="Times New Roman" w:cs="Times New Roman"/>
          <w:lang w:val="ro-MD"/>
        </w:rPr>
        <w:t>obligaţiilor</w:t>
      </w:r>
      <w:proofErr w:type="spellEnd"/>
      <w:r w:rsidRPr="000508B6">
        <w:rPr>
          <w:rFonts w:ascii="Times New Roman" w:eastAsia="Times New Roman" w:hAnsi="Times New Roman" w:cs="Times New Roman"/>
          <w:lang w:val="ro-MD"/>
        </w:rPr>
        <w:t xml:space="preserve"> de asigurare sau de reasigurare. Aceste active se investesc în interesul deplin al tuturor </w:t>
      </w:r>
      <w:proofErr w:type="spellStart"/>
      <w:r w:rsidRPr="000508B6">
        <w:rPr>
          <w:rFonts w:ascii="Times New Roman" w:eastAsia="Times New Roman" w:hAnsi="Times New Roman" w:cs="Times New Roman"/>
          <w:lang w:val="ro-MD"/>
        </w:rPr>
        <w:t>asiguraţilor</w:t>
      </w:r>
      <w:proofErr w:type="spellEnd"/>
      <w:r w:rsidR="000316FD" w:rsidRPr="000508B6">
        <w:rPr>
          <w:rFonts w:ascii="Times New Roman" w:eastAsia="Times New Roman" w:hAnsi="Times New Roman" w:cs="Times New Roman"/>
          <w:lang w:val="ro-MD"/>
        </w:rPr>
        <w:t xml:space="preserve"> și</w:t>
      </w:r>
      <w:r w:rsidRPr="000508B6">
        <w:rPr>
          <w:rFonts w:ascii="Times New Roman" w:eastAsia="Times New Roman" w:hAnsi="Times New Roman" w:cs="Times New Roman"/>
          <w:lang w:val="ro-MD"/>
        </w:rPr>
        <w:t xml:space="preserve"> beneficiarilor asigurării </w:t>
      </w:r>
      <w:r w:rsidR="00F751D9" w:rsidRPr="000508B6">
        <w:rPr>
          <w:rFonts w:ascii="Times New Roman" w:eastAsia="Times New Roman" w:hAnsi="Times New Roman" w:cs="Times New Roman"/>
          <w:lang w:val="ro-MD"/>
        </w:rPr>
        <w:t xml:space="preserve">ținând seama de condițiile contractuale comunicate acestora. În cazul unui conflict de interese,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2D272D" w:rsidRPr="000508B6">
        <w:rPr>
          <w:rFonts w:ascii="Times New Roman" w:eastAsia="Times New Roman" w:hAnsi="Times New Roman" w:cs="Times New Roman"/>
          <w:lang w:val="ro-MD"/>
        </w:rPr>
        <w:t xml:space="preserve"> </w:t>
      </w:r>
      <w:r w:rsidR="00F751D9" w:rsidRPr="000508B6">
        <w:rPr>
          <w:rFonts w:ascii="Times New Roman" w:eastAsia="Times New Roman" w:hAnsi="Times New Roman" w:cs="Times New Roman"/>
          <w:lang w:val="ro-MD"/>
        </w:rPr>
        <w:t>sau entitatea care gestionează portofoliul ei de active se asigură că investițiile se realizează în interesul deplin al asiguraților și al beneficiarilor asigurării.</w:t>
      </w:r>
      <w:r w:rsidR="00574755" w:rsidRPr="000508B6">
        <w:rPr>
          <w:rFonts w:ascii="Times New Roman" w:eastAsia="Times New Roman" w:hAnsi="Times New Roman" w:cs="Times New Roman"/>
          <w:lang w:val="ro-MD"/>
        </w:rPr>
        <w:t xml:space="preserve"> </w:t>
      </w:r>
    </w:p>
    <w:p w14:paraId="11DBBCE6" w14:textId="5E6F4AF4" w:rsidR="00964E97" w:rsidRPr="000508B6" w:rsidRDefault="00964E97" w:rsidP="0006568A">
      <w:pPr>
        <w:pStyle w:val="Listparagraf"/>
        <w:numPr>
          <w:ilvl w:val="1"/>
          <w:numId w:val="179"/>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Fără a aduce atingere prevederilor alin. (1) - (3), în ceea ce </w:t>
      </w:r>
      <w:proofErr w:type="spellStart"/>
      <w:r w:rsidRPr="000508B6">
        <w:rPr>
          <w:rFonts w:ascii="Times New Roman" w:eastAsia="Times New Roman" w:hAnsi="Times New Roman" w:cs="Times New Roman"/>
          <w:lang w:val="ro-MD"/>
        </w:rPr>
        <w:t>priveşte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investiţiile</w:t>
      </w:r>
      <w:proofErr w:type="spellEnd"/>
      <w:r w:rsidRPr="000508B6">
        <w:rPr>
          <w:rFonts w:ascii="Times New Roman" w:eastAsia="Times New Roman" w:hAnsi="Times New Roman" w:cs="Times New Roman"/>
          <w:lang w:val="ro-MD"/>
        </w:rPr>
        <w:t xml:space="preserve"> care constituie active corespunzătoare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w:t>
      </w:r>
      <w:r w:rsidR="0082102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în care riscul de investire este asumat de </w:t>
      </w:r>
      <w:r w:rsidR="000316FD" w:rsidRPr="000508B6">
        <w:rPr>
          <w:rFonts w:ascii="Times New Roman" w:eastAsia="Times New Roman" w:hAnsi="Times New Roman" w:cs="Times New Roman"/>
          <w:lang w:val="ro-MD"/>
        </w:rPr>
        <w:t>asigurați</w:t>
      </w:r>
      <w:r w:rsidRPr="000508B6">
        <w:rPr>
          <w:rFonts w:ascii="Times New Roman" w:eastAsia="Times New Roman" w:hAnsi="Times New Roman" w:cs="Times New Roman"/>
          <w:lang w:val="ro-MD"/>
        </w:rPr>
        <w:t xml:space="preserve">, se </w:t>
      </w:r>
      <w:proofErr w:type="spellStart"/>
      <w:r w:rsidRPr="000508B6">
        <w:rPr>
          <w:rFonts w:ascii="Times New Roman" w:eastAsia="Times New Roman" w:hAnsi="Times New Roman" w:cs="Times New Roman"/>
          <w:lang w:val="ro-MD"/>
        </w:rPr>
        <w:t>ţine</w:t>
      </w:r>
      <w:proofErr w:type="spellEnd"/>
      <w:r w:rsidRPr="000508B6">
        <w:rPr>
          <w:rFonts w:ascii="Times New Roman" w:eastAsia="Times New Roman" w:hAnsi="Times New Roman" w:cs="Times New Roman"/>
          <w:lang w:val="ro-MD"/>
        </w:rPr>
        <w:t xml:space="preserve"> cont de următoarele:</w:t>
      </w:r>
    </w:p>
    <w:p w14:paraId="7D8F2EF7" w14:textId="31937123" w:rsidR="00964E97" w:rsidRPr="000508B6" w:rsidRDefault="00964E97" w:rsidP="008B530F">
      <w:pPr>
        <w:pStyle w:val="Listparagraf"/>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 rezervele tehnice corespunzătoare beneficiilor aferente contractelor care prevăd beneficii legate direct de valoarea </w:t>
      </w:r>
      <w:proofErr w:type="spellStart"/>
      <w:r w:rsidRPr="000508B6">
        <w:rPr>
          <w:rFonts w:ascii="Times New Roman" w:eastAsia="Times New Roman" w:hAnsi="Times New Roman" w:cs="Times New Roman"/>
          <w:lang w:val="ro-MD"/>
        </w:rPr>
        <w:t>unităţilor</w:t>
      </w:r>
      <w:proofErr w:type="spellEnd"/>
      <w:r w:rsidRPr="000508B6">
        <w:rPr>
          <w:rFonts w:ascii="Times New Roman" w:eastAsia="Times New Roman" w:hAnsi="Times New Roman" w:cs="Times New Roman"/>
          <w:lang w:val="ro-MD"/>
        </w:rPr>
        <w:t xml:space="preserve"> dintr-un organism de plasament colectiv în valori mobiliare sau de valoarea unui fond intern divizat în </w:t>
      </w:r>
      <w:proofErr w:type="spellStart"/>
      <w:r w:rsidRPr="000508B6">
        <w:rPr>
          <w:rFonts w:ascii="Times New Roman" w:eastAsia="Times New Roman" w:hAnsi="Times New Roman" w:cs="Times New Roman"/>
          <w:lang w:val="ro-MD"/>
        </w:rPr>
        <w:t>unităţi</w:t>
      </w:r>
      <w:proofErr w:type="spellEnd"/>
      <w:r w:rsidRPr="000508B6">
        <w:rPr>
          <w:rFonts w:ascii="Times New Roman" w:eastAsia="Times New Roman" w:hAnsi="Times New Roman" w:cs="Times New Roman"/>
          <w:lang w:val="ro-MD"/>
        </w:rPr>
        <w:t xml:space="preserve"> sunt reprezentate cât mai exact posibil de </w:t>
      </w:r>
      <w:proofErr w:type="spellStart"/>
      <w:r w:rsidRPr="000508B6">
        <w:rPr>
          <w:rFonts w:ascii="Times New Roman" w:eastAsia="Times New Roman" w:hAnsi="Times New Roman" w:cs="Times New Roman"/>
          <w:lang w:val="ro-MD"/>
        </w:rPr>
        <w:t>unităţile</w:t>
      </w:r>
      <w:proofErr w:type="spellEnd"/>
      <w:r w:rsidRPr="000508B6">
        <w:rPr>
          <w:rFonts w:ascii="Times New Roman" w:eastAsia="Times New Roman" w:hAnsi="Times New Roman" w:cs="Times New Roman"/>
          <w:lang w:val="ro-MD"/>
        </w:rPr>
        <w:t xml:space="preserve"> respective sau, în cazul în care </w:t>
      </w:r>
      <w:proofErr w:type="spellStart"/>
      <w:r w:rsidRPr="000508B6">
        <w:rPr>
          <w:rFonts w:ascii="Times New Roman" w:eastAsia="Times New Roman" w:hAnsi="Times New Roman" w:cs="Times New Roman"/>
          <w:lang w:val="ro-MD"/>
        </w:rPr>
        <w:t>unităţile</w:t>
      </w:r>
      <w:proofErr w:type="spellEnd"/>
      <w:r w:rsidRPr="000508B6">
        <w:rPr>
          <w:rFonts w:ascii="Times New Roman" w:eastAsia="Times New Roman" w:hAnsi="Times New Roman" w:cs="Times New Roman"/>
          <w:lang w:val="ro-MD"/>
        </w:rPr>
        <w:t xml:space="preserve"> nu sunt stabilite, rezervele tehnice sunt reprezentate de valoarea fondului respectiv;</w:t>
      </w:r>
    </w:p>
    <w:p w14:paraId="02AC6024" w14:textId="77777777" w:rsidR="001F67F8" w:rsidRPr="000508B6" w:rsidRDefault="00964E97" w:rsidP="008B530F">
      <w:pPr>
        <w:pStyle w:val="Listparagraf"/>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rezervele tehnice, aferente contractelor care prevăd beneficii legate direct de un indice al </w:t>
      </w:r>
      <w:proofErr w:type="spellStart"/>
      <w:r w:rsidRPr="000508B6">
        <w:rPr>
          <w:rFonts w:ascii="Times New Roman" w:eastAsia="Times New Roman" w:hAnsi="Times New Roman" w:cs="Times New Roman"/>
          <w:lang w:val="ro-MD"/>
        </w:rPr>
        <w:t>acţiunilor</w:t>
      </w:r>
      <w:proofErr w:type="spellEnd"/>
      <w:r w:rsidRPr="000508B6">
        <w:rPr>
          <w:rFonts w:ascii="Times New Roman" w:eastAsia="Times New Roman" w:hAnsi="Times New Roman" w:cs="Times New Roman"/>
          <w:lang w:val="ro-MD"/>
        </w:rPr>
        <w:t xml:space="preserve"> sau de altă valoare de </w:t>
      </w:r>
      <w:proofErr w:type="spellStart"/>
      <w:r w:rsidRPr="000508B6">
        <w:rPr>
          <w:rFonts w:ascii="Times New Roman" w:eastAsia="Times New Roman" w:hAnsi="Times New Roman" w:cs="Times New Roman"/>
          <w:lang w:val="ro-MD"/>
        </w:rPr>
        <w:t>referinţă</w:t>
      </w:r>
      <w:proofErr w:type="spellEnd"/>
      <w:r w:rsidRPr="000508B6">
        <w:rPr>
          <w:rFonts w:ascii="Times New Roman" w:eastAsia="Times New Roman" w:hAnsi="Times New Roman" w:cs="Times New Roman"/>
          <w:lang w:val="ro-MD"/>
        </w:rPr>
        <w:t xml:space="preserve"> diferită de cele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lit. a), sunt reprezentate cât mai exact posibil de </w:t>
      </w:r>
      <w:proofErr w:type="spellStart"/>
      <w:r w:rsidRPr="000508B6">
        <w:rPr>
          <w:rFonts w:ascii="Times New Roman" w:eastAsia="Times New Roman" w:hAnsi="Times New Roman" w:cs="Times New Roman"/>
          <w:lang w:val="ro-MD"/>
        </w:rPr>
        <w:t>unităţile</w:t>
      </w:r>
      <w:proofErr w:type="spellEnd"/>
      <w:r w:rsidRPr="000508B6">
        <w:rPr>
          <w:rFonts w:ascii="Times New Roman" w:eastAsia="Times New Roman" w:hAnsi="Times New Roman" w:cs="Times New Roman"/>
          <w:lang w:val="ro-MD"/>
        </w:rPr>
        <w:t xml:space="preserve"> care reprezintă valoarea de </w:t>
      </w:r>
      <w:proofErr w:type="spellStart"/>
      <w:r w:rsidRPr="000508B6">
        <w:rPr>
          <w:rFonts w:ascii="Times New Roman" w:eastAsia="Times New Roman" w:hAnsi="Times New Roman" w:cs="Times New Roman"/>
          <w:lang w:val="ro-MD"/>
        </w:rPr>
        <w:t>referinţă</w:t>
      </w:r>
      <w:proofErr w:type="spellEnd"/>
      <w:r w:rsidRPr="000508B6">
        <w:rPr>
          <w:rFonts w:ascii="Times New Roman" w:eastAsia="Times New Roman" w:hAnsi="Times New Roman" w:cs="Times New Roman"/>
          <w:lang w:val="ro-MD"/>
        </w:rPr>
        <w:t xml:space="preserve"> respectivă sau, în cazul în care </w:t>
      </w:r>
      <w:proofErr w:type="spellStart"/>
      <w:r w:rsidRPr="000508B6">
        <w:rPr>
          <w:rFonts w:ascii="Times New Roman" w:eastAsia="Times New Roman" w:hAnsi="Times New Roman" w:cs="Times New Roman"/>
          <w:lang w:val="ro-MD"/>
        </w:rPr>
        <w:t>unităţile</w:t>
      </w:r>
      <w:proofErr w:type="spellEnd"/>
      <w:r w:rsidRPr="000508B6">
        <w:rPr>
          <w:rFonts w:ascii="Times New Roman" w:eastAsia="Times New Roman" w:hAnsi="Times New Roman" w:cs="Times New Roman"/>
          <w:lang w:val="ro-MD"/>
        </w:rPr>
        <w:t xml:space="preserve"> nu sunt stabilite, rezervele tehnice sunt reprezentate de valoarea unor active cu </w:t>
      </w:r>
      <w:proofErr w:type="spellStart"/>
      <w:r w:rsidRPr="000508B6">
        <w:rPr>
          <w:rFonts w:ascii="Times New Roman" w:eastAsia="Times New Roman" w:hAnsi="Times New Roman" w:cs="Times New Roman"/>
          <w:lang w:val="ro-MD"/>
        </w:rPr>
        <w:t>tranzacţionabilitate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siguranţă</w:t>
      </w:r>
      <w:proofErr w:type="spellEnd"/>
      <w:r w:rsidRPr="000508B6">
        <w:rPr>
          <w:rFonts w:ascii="Times New Roman" w:eastAsia="Times New Roman" w:hAnsi="Times New Roman" w:cs="Times New Roman"/>
          <w:lang w:val="ro-MD"/>
        </w:rPr>
        <w:t xml:space="preserve"> cât mai apropiate posibil de cele pe care se bazează valoarea de </w:t>
      </w:r>
      <w:proofErr w:type="spellStart"/>
      <w:r w:rsidRPr="000508B6">
        <w:rPr>
          <w:rFonts w:ascii="Times New Roman" w:eastAsia="Times New Roman" w:hAnsi="Times New Roman" w:cs="Times New Roman"/>
          <w:lang w:val="ro-MD"/>
        </w:rPr>
        <w:t>referinţă</w:t>
      </w:r>
      <w:proofErr w:type="spellEnd"/>
      <w:r w:rsidRPr="000508B6">
        <w:rPr>
          <w:rFonts w:ascii="Times New Roman" w:eastAsia="Times New Roman" w:hAnsi="Times New Roman" w:cs="Times New Roman"/>
          <w:lang w:val="ro-MD"/>
        </w:rPr>
        <w:t xml:space="preserve">. </w:t>
      </w:r>
    </w:p>
    <w:p w14:paraId="03DE86C8" w14:textId="5B5ECEAD" w:rsidR="00964E97" w:rsidRPr="000508B6" w:rsidRDefault="001F67F8" w:rsidP="008B530F">
      <w:pPr>
        <w:pStyle w:val="Listparagraf"/>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 în cazul în care beneficiile menționate la lit. a) și lit. b) includ o garantare a randamentului investițiilor sau un alt beneficiu garantat, activele deținute pentru acoperirea rezervelor tehnice suplimentare corespunzătoare fac obiectul dispozițiilor alin. (5). </w:t>
      </w:r>
    </w:p>
    <w:p w14:paraId="1B4CA133" w14:textId="16869298" w:rsidR="00964E97" w:rsidRPr="000508B6" w:rsidRDefault="00964E97" w:rsidP="00CF5AFA">
      <w:pPr>
        <w:pStyle w:val="Listparagraf"/>
        <w:numPr>
          <w:ilvl w:val="1"/>
          <w:numId w:val="179"/>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Fără a aduce atingere alin. (1) - (3), în cazul în care beneficiile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(4</w:t>
      </w:r>
      <w:r w:rsidRPr="000508B6" w:rsidDel="00C76E4E">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includ </w:t>
      </w:r>
      <w:proofErr w:type="spellStart"/>
      <w:r w:rsidRPr="000508B6">
        <w:rPr>
          <w:rFonts w:ascii="Times New Roman" w:eastAsia="Times New Roman" w:hAnsi="Times New Roman" w:cs="Times New Roman"/>
          <w:lang w:val="ro-MD"/>
        </w:rPr>
        <w:t>garanţii</w:t>
      </w:r>
      <w:proofErr w:type="spellEnd"/>
      <w:r w:rsidRPr="000508B6">
        <w:rPr>
          <w:rFonts w:ascii="Times New Roman" w:eastAsia="Times New Roman" w:hAnsi="Times New Roman" w:cs="Times New Roman"/>
          <w:lang w:val="ro-MD"/>
        </w:rPr>
        <w:t xml:space="preserve"> privind </w:t>
      </w:r>
      <w:proofErr w:type="spellStart"/>
      <w:r w:rsidRPr="000508B6">
        <w:rPr>
          <w:rFonts w:ascii="Times New Roman" w:eastAsia="Times New Roman" w:hAnsi="Times New Roman" w:cs="Times New Roman"/>
          <w:lang w:val="ro-MD"/>
        </w:rPr>
        <w:t>performanţa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investiţiilor</w:t>
      </w:r>
      <w:proofErr w:type="spellEnd"/>
      <w:r w:rsidRPr="000508B6">
        <w:rPr>
          <w:rFonts w:ascii="Times New Roman" w:eastAsia="Times New Roman" w:hAnsi="Times New Roman" w:cs="Times New Roman"/>
          <w:lang w:val="ro-MD"/>
        </w:rPr>
        <w:t xml:space="preserve"> sau alte beneficii garantate, se </w:t>
      </w:r>
      <w:proofErr w:type="spellStart"/>
      <w:r w:rsidRPr="000508B6">
        <w:rPr>
          <w:rFonts w:ascii="Times New Roman" w:eastAsia="Times New Roman" w:hAnsi="Times New Roman" w:cs="Times New Roman"/>
          <w:lang w:val="ro-MD"/>
        </w:rPr>
        <w:t>ţine</w:t>
      </w:r>
      <w:proofErr w:type="spellEnd"/>
      <w:r w:rsidRPr="000508B6">
        <w:rPr>
          <w:rFonts w:ascii="Times New Roman" w:eastAsia="Times New Roman" w:hAnsi="Times New Roman" w:cs="Times New Roman"/>
          <w:lang w:val="ro-MD"/>
        </w:rPr>
        <w:t xml:space="preserve"> cont de următoarele: </w:t>
      </w:r>
    </w:p>
    <w:p w14:paraId="7770527C" w14:textId="77777777" w:rsidR="00AF3FE6" w:rsidRPr="000508B6" w:rsidRDefault="00AF3FE6" w:rsidP="0006568A">
      <w:pPr>
        <w:pStyle w:val="Listparagraf"/>
        <w:numPr>
          <w:ilvl w:val="2"/>
          <w:numId w:val="186"/>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utilizarea instrumentelor financiare derivate se realizează în măsura în care contribuie la reducerea riscurilor sau facilitează un  management eficient al portofoliului de </w:t>
      </w:r>
      <w:proofErr w:type="spellStart"/>
      <w:r w:rsidRPr="000508B6">
        <w:rPr>
          <w:rFonts w:ascii="Times New Roman" w:eastAsia="Times New Roman" w:hAnsi="Times New Roman" w:cs="Times New Roman"/>
          <w:lang w:val="ro-MD"/>
        </w:rPr>
        <w:t>investiţii</w:t>
      </w:r>
      <w:proofErr w:type="spellEnd"/>
      <w:r w:rsidRPr="000508B6">
        <w:rPr>
          <w:rFonts w:ascii="Times New Roman" w:eastAsia="Times New Roman" w:hAnsi="Times New Roman" w:cs="Times New Roman"/>
          <w:lang w:val="ro-MD"/>
        </w:rPr>
        <w:t>;</w:t>
      </w:r>
    </w:p>
    <w:p w14:paraId="2B195A61" w14:textId="53813A11" w:rsidR="00AF3FE6" w:rsidRPr="000508B6" w:rsidRDefault="00AF3FE6" w:rsidP="0006568A">
      <w:pPr>
        <w:pStyle w:val="Listparagraf"/>
        <w:numPr>
          <w:ilvl w:val="2"/>
          <w:numId w:val="186"/>
        </w:numPr>
        <w:tabs>
          <w:tab w:val="left" w:pos="709"/>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menţinerea</w:t>
      </w:r>
      <w:proofErr w:type="spellEnd"/>
      <w:r w:rsidRPr="000508B6">
        <w:rPr>
          <w:rFonts w:ascii="Times New Roman" w:eastAsia="Times New Roman" w:hAnsi="Times New Roman" w:cs="Times New Roman"/>
          <w:lang w:val="ro-MD"/>
        </w:rPr>
        <w:t xml:space="preserve"> la un nivel prudent a </w:t>
      </w:r>
      <w:proofErr w:type="spellStart"/>
      <w:r w:rsidRPr="000508B6">
        <w:rPr>
          <w:rFonts w:ascii="Times New Roman" w:eastAsia="Times New Roman" w:hAnsi="Times New Roman" w:cs="Times New Roman"/>
          <w:lang w:val="ro-MD"/>
        </w:rPr>
        <w:t>investiţiilor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activelor neadmise la </w:t>
      </w:r>
      <w:proofErr w:type="spellStart"/>
      <w:r w:rsidRPr="000508B6">
        <w:rPr>
          <w:rFonts w:ascii="Times New Roman" w:eastAsia="Times New Roman" w:hAnsi="Times New Roman" w:cs="Times New Roman"/>
          <w:lang w:val="ro-MD"/>
        </w:rPr>
        <w:t>tranzacţionare</w:t>
      </w:r>
      <w:proofErr w:type="spellEnd"/>
      <w:r w:rsidRPr="000508B6">
        <w:rPr>
          <w:rFonts w:ascii="Times New Roman" w:eastAsia="Times New Roman" w:hAnsi="Times New Roman" w:cs="Times New Roman"/>
          <w:lang w:val="ro-MD"/>
        </w:rPr>
        <w:t xml:space="preserve"> pe o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 xml:space="preserve"> </w:t>
      </w:r>
      <w:r w:rsidR="00171033" w:rsidRPr="000508B6">
        <w:rPr>
          <w:rFonts w:ascii="Times New Roman" w:eastAsia="Times New Roman" w:hAnsi="Times New Roman" w:cs="Times New Roman"/>
          <w:lang w:val="ro-MD"/>
        </w:rPr>
        <w:t xml:space="preserve">financiară </w:t>
      </w:r>
      <w:r w:rsidRPr="000508B6">
        <w:rPr>
          <w:rFonts w:ascii="Times New Roman" w:eastAsia="Times New Roman" w:hAnsi="Times New Roman" w:cs="Times New Roman"/>
          <w:lang w:val="ro-MD"/>
        </w:rPr>
        <w:t>reglementată;</w:t>
      </w:r>
    </w:p>
    <w:p w14:paraId="06AD147B" w14:textId="6C574A49" w:rsidR="00AF3FE6" w:rsidRPr="000508B6" w:rsidRDefault="00AF3FE6" w:rsidP="0006568A">
      <w:pPr>
        <w:pStyle w:val="Listparagraf"/>
        <w:numPr>
          <w:ilvl w:val="2"/>
          <w:numId w:val="186"/>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diversificarea suficientă a </w:t>
      </w:r>
      <w:proofErr w:type="spellStart"/>
      <w:r w:rsidRPr="000508B6">
        <w:rPr>
          <w:rFonts w:ascii="Times New Roman" w:eastAsia="Times New Roman" w:hAnsi="Times New Roman" w:cs="Times New Roman"/>
          <w:lang w:val="ro-MD"/>
        </w:rPr>
        <w:t>investiţiilor</w:t>
      </w:r>
      <w:proofErr w:type="spellEnd"/>
      <w:r w:rsidRPr="000508B6">
        <w:rPr>
          <w:rFonts w:ascii="Times New Roman" w:eastAsia="Times New Roman" w:hAnsi="Times New Roman" w:cs="Times New Roman"/>
          <w:lang w:val="ro-MD"/>
        </w:rPr>
        <w:t xml:space="preserve">, astfel încât să se evite </w:t>
      </w:r>
      <w:proofErr w:type="spellStart"/>
      <w:r w:rsidRPr="000508B6">
        <w:rPr>
          <w:rFonts w:ascii="Times New Roman" w:eastAsia="Times New Roman" w:hAnsi="Times New Roman" w:cs="Times New Roman"/>
          <w:lang w:val="ro-MD"/>
        </w:rPr>
        <w:t>dependenţa</w:t>
      </w:r>
      <w:proofErr w:type="spellEnd"/>
      <w:r w:rsidRPr="000508B6">
        <w:rPr>
          <w:rFonts w:ascii="Times New Roman" w:eastAsia="Times New Roman" w:hAnsi="Times New Roman" w:cs="Times New Roman"/>
          <w:lang w:val="ro-MD"/>
        </w:rPr>
        <w:t xml:space="preserve"> excesivă de un anumit activ, emitent, grup de </w:t>
      </w:r>
      <w:r w:rsidR="000B629A" w:rsidRPr="000508B6">
        <w:rPr>
          <w:rFonts w:ascii="Times New Roman" w:eastAsia="Times New Roman" w:hAnsi="Times New Roman" w:cs="Times New Roman"/>
          <w:lang w:val="ro-MD"/>
        </w:rPr>
        <w:t xml:space="preserve">entități </w:t>
      </w:r>
      <w:r w:rsidRPr="000508B6">
        <w:rPr>
          <w:rFonts w:ascii="Times New Roman" w:eastAsia="Times New Roman" w:hAnsi="Times New Roman" w:cs="Times New Roman"/>
          <w:lang w:val="ro-MD"/>
        </w:rPr>
        <w:t xml:space="preserve">sau de o anumită </w:t>
      </w:r>
      <w:r w:rsidR="00511BB9" w:rsidRPr="000508B6">
        <w:rPr>
          <w:rFonts w:ascii="Times New Roman" w:eastAsia="Times New Roman" w:hAnsi="Times New Roman" w:cs="Times New Roman"/>
          <w:lang w:val="ro-MD"/>
        </w:rPr>
        <w:t xml:space="preserve">zonă </w:t>
      </w:r>
      <w:r w:rsidRPr="000508B6">
        <w:rPr>
          <w:rFonts w:ascii="Times New Roman" w:eastAsia="Times New Roman" w:hAnsi="Times New Roman" w:cs="Times New Roman"/>
          <w:lang w:val="ro-MD"/>
        </w:rPr>
        <w:t xml:space="preserve">geografică,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acumularea excesivă a riscurilor la nivelul întregului portofoliu;</w:t>
      </w:r>
    </w:p>
    <w:p w14:paraId="38F772F9" w14:textId="26A8634D" w:rsidR="00AF3FE6" w:rsidRPr="000508B6" w:rsidRDefault="00AF3FE6" w:rsidP="0006568A">
      <w:pPr>
        <w:pStyle w:val="Listparagraf"/>
        <w:numPr>
          <w:ilvl w:val="2"/>
          <w:numId w:val="186"/>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realizarea </w:t>
      </w:r>
      <w:proofErr w:type="spellStart"/>
      <w:r w:rsidRPr="000508B6">
        <w:rPr>
          <w:rFonts w:ascii="Times New Roman" w:eastAsia="Times New Roman" w:hAnsi="Times New Roman" w:cs="Times New Roman"/>
          <w:lang w:val="ro-MD"/>
        </w:rPr>
        <w:t>investiţiilor</w:t>
      </w:r>
      <w:proofErr w:type="spellEnd"/>
      <w:r w:rsidRPr="000508B6">
        <w:rPr>
          <w:rFonts w:ascii="Times New Roman" w:eastAsia="Times New Roman" w:hAnsi="Times New Roman" w:cs="Times New Roman"/>
          <w:lang w:val="ro-MD"/>
        </w:rPr>
        <w:t xml:space="preserve"> în activele emise de </w:t>
      </w:r>
      <w:proofErr w:type="spellStart"/>
      <w:r w:rsidRPr="000508B6">
        <w:rPr>
          <w:rFonts w:ascii="Times New Roman" w:eastAsia="Times New Roman" w:hAnsi="Times New Roman" w:cs="Times New Roman"/>
          <w:lang w:val="ro-MD"/>
        </w:rPr>
        <w:t>aceeaşi</w:t>
      </w:r>
      <w:proofErr w:type="spellEnd"/>
      <w:r w:rsidRPr="000508B6">
        <w:rPr>
          <w:rFonts w:ascii="Times New Roman" w:eastAsia="Times New Roman" w:hAnsi="Times New Roman" w:cs="Times New Roman"/>
          <w:lang w:val="ro-MD"/>
        </w:rPr>
        <w:t xml:space="preserve"> entitate sau de </w:t>
      </w:r>
      <w:proofErr w:type="spellStart"/>
      <w:r w:rsidRPr="000508B6">
        <w:rPr>
          <w:rFonts w:ascii="Times New Roman" w:eastAsia="Times New Roman" w:hAnsi="Times New Roman" w:cs="Times New Roman"/>
          <w:lang w:val="ro-MD"/>
        </w:rPr>
        <w:t>entităţi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aparţinând</w:t>
      </w:r>
      <w:proofErr w:type="spellEnd"/>
      <w:r w:rsidRPr="000508B6">
        <w:rPr>
          <w:rFonts w:ascii="Times New Roman" w:eastAsia="Times New Roman" w:hAnsi="Times New Roman" w:cs="Times New Roman"/>
          <w:lang w:val="ro-MD"/>
        </w:rPr>
        <w:t xml:space="preserve"> </w:t>
      </w:r>
      <w:r w:rsidR="00733F1E" w:rsidRPr="000508B6">
        <w:rPr>
          <w:rFonts w:ascii="Times New Roman" w:eastAsia="Times New Roman" w:hAnsi="Times New Roman" w:cs="Times New Roman"/>
          <w:lang w:val="ro-MD"/>
        </w:rPr>
        <w:t>aceluiași</w:t>
      </w:r>
      <w:r w:rsidRPr="000508B6">
        <w:rPr>
          <w:rFonts w:ascii="Times New Roman" w:eastAsia="Times New Roman" w:hAnsi="Times New Roman" w:cs="Times New Roman"/>
          <w:lang w:val="ro-MD"/>
        </w:rPr>
        <w:t xml:space="preserve"> grup,  astfel încât să se evite concentrarea excesivă a riscurilor.</w:t>
      </w:r>
      <w:r w:rsidR="00286AB4" w:rsidRPr="000508B6">
        <w:rPr>
          <w:rFonts w:ascii="Times New Roman" w:eastAsia="Times New Roman" w:hAnsi="Times New Roman" w:cs="Times New Roman"/>
          <w:lang w:val="ro-MD"/>
        </w:rPr>
        <w:t xml:space="preserve"> </w:t>
      </w:r>
    </w:p>
    <w:p w14:paraId="4EE1EEE2" w14:textId="6F1C3BFB" w:rsidR="00FB604B" w:rsidRPr="000508B6" w:rsidRDefault="00AF3FE6" w:rsidP="00CF5AFA">
      <w:pPr>
        <w:pStyle w:val="Listparagraf"/>
        <w:numPr>
          <w:ilvl w:val="1"/>
          <w:numId w:val="17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bookmarkStart w:id="115" w:name="_Hlk203632342"/>
      <w:r w:rsidR="00FB604B" w:rsidRPr="000508B6">
        <w:rPr>
          <w:rFonts w:ascii="Times New Roman" w:eastAsia="Times New Roman" w:hAnsi="Times New Roman" w:cs="Times New Roman"/>
          <w:lang w:val="ro-MD"/>
        </w:rPr>
        <w:t xml:space="preserve">La elaborarea </w:t>
      </w:r>
      <w:r w:rsidR="00A94944" w:rsidRPr="000508B6">
        <w:rPr>
          <w:rFonts w:ascii="Times New Roman" w:eastAsia="Times New Roman" w:hAnsi="Times New Roman" w:cs="Times New Roman"/>
          <w:lang w:val="ro-MD"/>
        </w:rPr>
        <w:t>s</w:t>
      </w:r>
      <w:r w:rsidR="00FB604B" w:rsidRPr="000508B6">
        <w:rPr>
          <w:rFonts w:ascii="Times New Roman" w:eastAsia="Times New Roman" w:hAnsi="Times New Roman" w:cs="Times New Roman"/>
          <w:lang w:val="ro-MD"/>
        </w:rPr>
        <w:t xml:space="preserve">trategiei de investiții,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4C3A43" w:rsidRPr="000508B6">
        <w:rPr>
          <w:rFonts w:ascii="Times New Roman" w:eastAsia="Times New Roman" w:hAnsi="Times New Roman" w:cs="Times New Roman"/>
          <w:lang w:val="ro-MD"/>
        </w:rPr>
        <w:t xml:space="preserve"> ține cont</w:t>
      </w:r>
      <w:r w:rsidR="00952058" w:rsidRPr="000508B6">
        <w:rPr>
          <w:rFonts w:ascii="Times New Roman" w:eastAsia="Times New Roman" w:hAnsi="Times New Roman" w:cs="Times New Roman"/>
          <w:lang w:val="ro-MD"/>
        </w:rPr>
        <w:t xml:space="preserve"> de</w:t>
      </w:r>
      <w:r w:rsidR="00FB604B" w:rsidRPr="000508B6">
        <w:rPr>
          <w:rFonts w:ascii="Times New Roman" w:eastAsia="Times New Roman" w:hAnsi="Times New Roman" w:cs="Times New Roman"/>
          <w:lang w:val="ro-MD"/>
        </w:rPr>
        <w:t>:</w:t>
      </w:r>
      <w:r w:rsidR="00952058" w:rsidRPr="000508B6">
        <w:rPr>
          <w:rFonts w:ascii="Times New Roman" w:eastAsia="Times New Roman" w:hAnsi="Times New Roman" w:cs="Times New Roman"/>
          <w:lang w:val="ro-MD"/>
        </w:rPr>
        <w:t xml:space="preserve"> </w:t>
      </w:r>
    </w:p>
    <w:p w14:paraId="4DBF3694" w14:textId="66434EA3" w:rsidR="00952058" w:rsidRPr="000508B6" w:rsidRDefault="00FB604B" w:rsidP="007E104F">
      <w:pPr>
        <w:pStyle w:val="Listparagraf"/>
        <w:spacing w:after="0" w:line="240" w:lineRule="auto"/>
        <w:ind w:left="0" w:firstLine="426"/>
        <w:jc w:val="both"/>
        <w:rPr>
          <w:rFonts w:ascii="Times New Roman" w:eastAsia="Times New Roman" w:hAnsi="Times New Roman" w:cs="Times New Roman"/>
          <w:lang w:val="ro-RO"/>
        </w:rPr>
      </w:pPr>
      <w:r w:rsidRPr="000508B6">
        <w:rPr>
          <w:rFonts w:ascii="Times New Roman" w:eastAsia="Times New Roman" w:hAnsi="Times New Roman" w:cs="Times New Roman"/>
          <w:lang w:val="ro-MD"/>
        </w:rPr>
        <w:t>a)</w:t>
      </w:r>
      <w:r w:rsidR="00952058" w:rsidRPr="000508B6">
        <w:rPr>
          <w:rFonts w:ascii="Times New Roman" w:eastAsia="Times New Roman" w:hAnsi="Times New Roman" w:cs="Times New Roman"/>
          <w:lang w:val="ro-MD"/>
        </w:rPr>
        <w:t xml:space="preserve"> posibilele evoluții </w:t>
      </w:r>
      <w:r w:rsidR="004C3A43" w:rsidRPr="000508B6">
        <w:rPr>
          <w:rFonts w:ascii="Times New Roman" w:eastAsia="Times New Roman" w:hAnsi="Times New Roman" w:cs="Times New Roman"/>
          <w:lang w:val="ro-MD"/>
        </w:rPr>
        <w:t>la nivel macroeconomic și la nivelul</w:t>
      </w:r>
      <w:r w:rsidR="00952058" w:rsidRPr="000508B6">
        <w:rPr>
          <w:rFonts w:ascii="Times New Roman" w:eastAsia="Times New Roman" w:hAnsi="Times New Roman" w:cs="Times New Roman"/>
          <w:lang w:val="ro-MD"/>
        </w:rPr>
        <w:t xml:space="preserve"> piețelor financiare atunci când </w:t>
      </w:r>
      <w:r w:rsidR="004C3A43" w:rsidRPr="000508B6">
        <w:rPr>
          <w:rFonts w:ascii="Times New Roman" w:eastAsia="Times New Roman" w:hAnsi="Times New Roman" w:cs="Times New Roman"/>
          <w:lang w:val="ro-MD"/>
        </w:rPr>
        <w:t xml:space="preserve">își </w:t>
      </w:r>
      <w:r w:rsidR="00897445" w:rsidRPr="000508B6">
        <w:rPr>
          <w:rFonts w:ascii="Times New Roman" w:eastAsia="Times New Roman" w:hAnsi="Times New Roman" w:cs="Times New Roman"/>
          <w:lang w:val="ro-MD"/>
        </w:rPr>
        <w:t xml:space="preserve">stabilește </w:t>
      </w:r>
      <w:r w:rsidR="004C3A43" w:rsidRPr="000508B6">
        <w:rPr>
          <w:rFonts w:ascii="Times New Roman" w:eastAsia="Times New Roman" w:hAnsi="Times New Roman" w:cs="Times New Roman"/>
          <w:lang w:val="ro-MD"/>
        </w:rPr>
        <w:t>strategia de investire</w:t>
      </w:r>
      <w:r w:rsidR="00474648" w:rsidRPr="000508B6">
        <w:rPr>
          <w:rFonts w:ascii="Times New Roman" w:eastAsia="Times New Roman" w:hAnsi="Times New Roman" w:cs="Times New Roman"/>
          <w:lang w:val="ro-RO"/>
        </w:rPr>
        <w:t>;</w:t>
      </w:r>
    </w:p>
    <w:p w14:paraId="2D74663D" w14:textId="690BD006" w:rsidR="00FB604B" w:rsidRPr="000508B6" w:rsidRDefault="00FB604B" w:rsidP="007E104F">
      <w:pPr>
        <w:pStyle w:val="Listparagraf"/>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w:t>
      </w:r>
      <w:r w:rsidR="00952058" w:rsidRPr="000508B6">
        <w:rPr>
          <w:rFonts w:ascii="Times New Roman" w:eastAsia="Times New Roman" w:hAnsi="Times New Roman" w:cs="Times New Roman"/>
          <w:lang w:val="ro-MD"/>
        </w:rPr>
        <w:t xml:space="preserve">impactul riscurilor </w:t>
      </w:r>
      <w:r w:rsidR="004C3A43" w:rsidRPr="000508B6">
        <w:rPr>
          <w:rFonts w:ascii="Times New Roman" w:eastAsia="Times New Roman" w:hAnsi="Times New Roman" w:cs="Times New Roman"/>
          <w:lang w:val="ro-MD"/>
        </w:rPr>
        <w:t xml:space="preserve">legate </w:t>
      </w:r>
      <w:r w:rsidR="00952058" w:rsidRPr="000508B6">
        <w:rPr>
          <w:rFonts w:ascii="Times New Roman" w:eastAsia="Times New Roman" w:hAnsi="Times New Roman" w:cs="Times New Roman"/>
          <w:lang w:val="ro-MD"/>
        </w:rPr>
        <w:t xml:space="preserve">de durabilitate asupra investițiilor și de impactul potențial pe termen lung al deciziilor </w:t>
      </w:r>
      <w:r w:rsidR="004C3A43" w:rsidRPr="000508B6">
        <w:rPr>
          <w:rFonts w:ascii="Times New Roman" w:eastAsia="Times New Roman" w:hAnsi="Times New Roman" w:cs="Times New Roman"/>
          <w:lang w:val="ro-MD"/>
        </w:rPr>
        <w:t>de investire</w:t>
      </w:r>
      <w:r w:rsidR="00952058" w:rsidRPr="000508B6">
        <w:rPr>
          <w:rFonts w:ascii="Times New Roman" w:eastAsia="Times New Roman" w:hAnsi="Times New Roman" w:cs="Times New Roman"/>
          <w:lang w:val="ro-MD"/>
        </w:rPr>
        <w:t xml:space="preserve"> asupra factorilor de </w:t>
      </w:r>
      <w:r w:rsidR="004C3A43" w:rsidRPr="000508B6">
        <w:rPr>
          <w:rFonts w:ascii="Times New Roman" w:eastAsia="Times New Roman" w:hAnsi="Times New Roman" w:cs="Times New Roman"/>
          <w:lang w:val="ro-MD"/>
        </w:rPr>
        <w:t>durabilitate</w:t>
      </w:r>
      <w:r w:rsidR="00952058" w:rsidRPr="000508B6">
        <w:rPr>
          <w:rFonts w:ascii="Times New Roman" w:eastAsia="Times New Roman" w:hAnsi="Times New Roman" w:cs="Times New Roman"/>
          <w:lang w:val="ro-MD"/>
        </w:rPr>
        <w:t>.</w:t>
      </w:r>
    </w:p>
    <w:bookmarkEnd w:id="115"/>
    <w:p w14:paraId="3249D506" w14:textId="3F2C9F3A" w:rsidR="00B0090E" w:rsidRPr="000508B6" w:rsidRDefault="00952058" w:rsidP="00CF5AFA">
      <w:pPr>
        <w:pStyle w:val="Listparagraf"/>
        <w:numPr>
          <w:ilvl w:val="1"/>
          <w:numId w:val="17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La </w:t>
      </w:r>
      <w:r w:rsidR="00763E36" w:rsidRPr="000508B6">
        <w:rPr>
          <w:rFonts w:ascii="Times New Roman" w:eastAsia="Times New Roman" w:hAnsi="Times New Roman" w:cs="Times New Roman"/>
          <w:lang w:val="ro-MD"/>
        </w:rPr>
        <w:t xml:space="preserve">solicitarea Băncii Naționale a Moldovei,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763E36" w:rsidRPr="000508B6">
        <w:rPr>
          <w:rFonts w:ascii="Times New Roman" w:eastAsia="Times New Roman" w:hAnsi="Times New Roman" w:cs="Times New Roman"/>
          <w:lang w:val="ro-MD"/>
        </w:rPr>
        <w:t xml:space="preserve"> ia în considerare elemente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macroprudențiale</w:t>
      </w:r>
      <w:proofErr w:type="spellEnd"/>
      <w:r w:rsidRPr="000508B6">
        <w:rPr>
          <w:rFonts w:ascii="Times New Roman" w:eastAsia="Times New Roman" w:hAnsi="Times New Roman" w:cs="Times New Roman"/>
          <w:lang w:val="ro-MD"/>
        </w:rPr>
        <w:t xml:space="preserve"> atunci când </w:t>
      </w:r>
      <w:r w:rsidR="00763E36" w:rsidRPr="000508B6">
        <w:rPr>
          <w:rFonts w:ascii="Times New Roman" w:eastAsia="Times New Roman" w:hAnsi="Times New Roman" w:cs="Times New Roman"/>
          <w:lang w:val="ro-MD"/>
        </w:rPr>
        <w:t xml:space="preserve">își stabilește </w:t>
      </w:r>
      <w:r w:rsidRPr="000508B6">
        <w:rPr>
          <w:rFonts w:ascii="Times New Roman" w:eastAsia="Times New Roman" w:hAnsi="Times New Roman" w:cs="Times New Roman"/>
          <w:lang w:val="ro-MD"/>
        </w:rPr>
        <w:t xml:space="preserve">strategia </w:t>
      </w:r>
      <w:r w:rsidR="00763E36" w:rsidRPr="000508B6">
        <w:rPr>
          <w:rFonts w:ascii="Times New Roman" w:eastAsia="Times New Roman" w:hAnsi="Times New Roman" w:cs="Times New Roman"/>
          <w:lang w:val="ro-MD"/>
        </w:rPr>
        <w:t>de investi</w:t>
      </w:r>
      <w:r w:rsidR="00D91E2D" w:rsidRPr="000508B6">
        <w:rPr>
          <w:rFonts w:ascii="Times New Roman" w:eastAsia="Times New Roman" w:hAnsi="Times New Roman" w:cs="Times New Roman"/>
          <w:lang w:val="ro-MD"/>
        </w:rPr>
        <w:t>ții</w:t>
      </w:r>
      <w:r w:rsidRPr="000508B6">
        <w:rPr>
          <w:rFonts w:ascii="Times New Roman" w:eastAsia="Times New Roman" w:hAnsi="Times New Roman" w:cs="Times New Roman"/>
          <w:lang w:val="ro-MD"/>
        </w:rPr>
        <w:t xml:space="preserve"> și evaluează măsura în care </w:t>
      </w:r>
      <w:r w:rsidR="00763E36" w:rsidRPr="000508B6">
        <w:rPr>
          <w:rFonts w:ascii="Times New Roman" w:eastAsia="Times New Roman" w:hAnsi="Times New Roman" w:cs="Times New Roman"/>
          <w:lang w:val="ro-MD"/>
        </w:rPr>
        <w:t>aceasta</w:t>
      </w:r>
      <w:r w:rsidRPr="000508B6">
        <w:rPr>
          <w:rFonts w:ascii="Times New Roman" w:eastAsia="Times New Roman" w:hAnsi="Times New Roman" w:cs="Times New Roman"/>
          <w:lang w:val="ro-MD"/>
        </w:rPr>
        <w:t xml:space="preserve"> poate afecta evoluțiile </w:t>
      </w:r>
      <w:r w:rsidR="00763E36" w:rsidRPr="000508B6">
        <w:rPr>
          <w:rFonts w:ascii="Times New Roman" w:eastAsia="Times New Roman" w:hAnsi="Times New Roman" w:cs="Times New Roman"/>
          <w:lang w:val="ro-MD"/>
        </w:rPr>
        <w:t>la nivel macroeconomic și la nivelul</w:t>
      </w:r>
      <w:r w:rsidRPr="000508B6">
        <w:rPr>
          <w:rFonts w:ascii="Times New Roman" w:eastAsia="Times New Roman" w:hAnsi="Times New Roman" w:cs="Times New Roman"/>
          <w:lang w:val="ro-MD"/>
        </w:rPr>
        <w:t xml:space="preserve"> piețelor financiare și se </w:t>
      </w:r>
      <w:r w:rsidR="00763E36" w:rsidRPr="000508B6">
        <w:rPr>
          <w:rFonts w:ascii="Times New Roman" w:eastAsia="Times New Roman" w:hAnsi="Times New Roman" w:cs="Times New Roman"/>
          <w:lang w:val="ro-MD"/>
        </w:rPr>
        <w:t>poate transforma într-o sursă</w:t>
      </w:r>
      <w:r w:rsidRPr="000508B6">
        <w:rPr>
          <w:rFonts w:ascii="Times New Roman" w:eastAsia="Times New Roman" w:hAnsi="Times New Roman" w:cs="Times New Roman"/>
          <w:lang w:val="ro-MD"/>
        </w:rPr>
        <w:t xml:space="preserve"> de risc sistemic și </w:t>
      </w:r>
      <w:r w:rsidR="00763E36" w:rsidRPr="000508B6">
        <w:rPr>
          <w:rFonts w:ascii="Times New Roman" w:eastAsia="Times New Roman" w:hAnsi="Times New Roman" w:cs="Times New Roman"/>
          <w:lang w:val="ro-MD"/>
        </w:rPr>
        <w:t>ține seama de aceste considerente în deciziile de investire.</w:t>
      </w:r>
      <w:r w:rsidR="00B0090E" w:rsidRPr="000508B6">
        <w:rPr>
          <w:rFonts w:ascii="Times New Roman" w:eastAsia="Times New Roman" w:hAnsi="Times New Roman" w:cs="Times New Roman"/>
          <w:lang w:val="ro-MD"/>
        </w:rPr>
        <w:t xml:space="preserve"> </w:t>
      </w:r>
    </w:p>
    <w:p w14:paraId="09657101" w14:textId="2DE55002" w:rsidR="00B0090E" w:rsidRPr="000508B6" w:rsidRDefault="008E434F" w:rsidP="00CF5AFA">
      <w:pPr>
        <w:pStyle w:val="Listparagraf"/>
        <w:numPr>
          <w:ilvl w:val="1"/>
          <w:numId w:val="179"/>
        </w:numPr>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 </w:t>
      </w:r>
      <w:r w:rsidR="00952058" w:rsidRPr="000508B6">
        <w:rPr>
          <w:rFonts w:ascii="Times New Roman" w:eastAsia="Times New Roman" w:hAnsi="Times New Roman" w:cs="Times New Roman"/>
          <w:lang w:val="ro-MD"/>
        </w:rPr>
        <w:t xml:space="preserve">În sensul </w:t>
      </w:r>
      <w:r w:rsidR="004E73E0" w:rsidRPr="000508B6">
        <w:rPr>
          <w:rFonts w:ascii="Times New Roman" w:eastAsia="Times New Roman" w:hAnsi="Times New Roman" w:cs="Times New Roman"/>
          <w:lang w:val="ro-MD"/>
        </w:rPr>
        <w:t xml:space="preserve">alin. </w:t>
      </w:r>
      <w:r w:rsidR="00952058"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6</w:t>
      </w:r>
      <w:r w:rsidR="00952058" w:rsidRPr="000508B6">
        <w:rPr>
          <w:rFonts w:ascii="Times New Roman" w:eastAsia="Times New Roman" w:hAnsi="Times New Roman" w:cs="Times New Roman"/>
          <w:lang w:val="ro-MD"/>
        </w:rPr>
        <w:t>) și (</w:t>
      </w:r>
      <w:r w:rsidR="00FB604B"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w:t>
      </w:r>
      <w:r w:rsidR="00952058" w:rsidRPr="000508B6">
        <w:rPr>
          <w:rFonts w:ascii="Times New Roman" w:eastAsia="Times New Roman" w:hAnsi="Times New Roman" w:cs="Times New Roman"/>
          <w:lang w:val="ro-MD"/>
        </w:rPr>
        <w:t xml:space="preserve"> evoluțiile </w:t>
      </w:r>
      <w:r w:rsidRPr="000508B6">
        <w:rPr>
          <w:rFonts w:ascii="Times New Roman" w:eastAsia="Times New Roman" w:hAnsi="Times New Roman" w:cs="Times New Roman"/>
          <w:lang w:val="ro-MD"/>
        </w:rPr>
        <w:t>la nivel macroeconomic</w:t>
      </w:r>
      <w:r w:rsidR="00952058" w:rsidRPr="000508B6">
        <w:rPr>
          <w:rFonts w:ascii="Times New Roman" w:eastAsia="Times New Roman" w:hAnsi="Times New Roman" w:cs="Times New Roman"/>
          <w:lang w:val="ro-MD"/>
        </w:rPr>
        <w:t xml:space="preserve"> și </w:t>
      </w:r>
      <w:r w:rsidRPr="000508B6">
        <w:rPr>
          <w:rFonts w:ascii="Times New Roman" w:eastAsia="Times New Roman" w:hAnsi="Times New Roman" w:cs="Times New Roman"/>
          <w:lang w:val="ro-MD"/>
        </w:rPr>
        <w:t>la nivelul</w:t>
      </w:r>
      <w:r w:rsidR="00952058" w:rsidRPr="000508B6">
        <w:rPr>
          <w:rFonts w:ascii="Times New Roman" w:eastAsia="Times New Roman" w:hAnsi="Times New Roman" w:cs="Times New Roman"/>
          <w:lang w:val="ro-MD"/>
        </w:rPr>
        <w:t xml:space="preserve"> piețelor financiare, precum și </w:t>
      </w:r>
      <w:r w:rsidRPr="000508B6">
        <w:rPr>
          <w:rFonts w:ascii="Times New Roman" w:eastAsia="Times New Roman" w:hAnsi="Times New Roman" w:cs="Times New Roman"/>
          <w:lang w:val="ro-MD"/>
        </w:rPr>
        <w:t>elementele</w:t>
      </w:r>
      <w:r w:rsidR="00952058" w:rsidRPr="000508B6">
        <w:rPr>
          <w:rFonts w:ascii="Times New Roman" w:eastAsia="Times New Roman" w:hAnsi="Times New Roman" w:cs="Times New Roman"/>
          <w:lang w:val="ro-MD"/>
        </w:rPr>
        <w:t xml:space="preserve"> </w:t>
      </w:r>
      <w:proofErr w:type="spellStart"/>
      <w:r w:rsidR="00952058" w:rsidRPr="000508B6">
        <w:rPr>
          <w:rFonts w:ascii="Times New Roman" w:eastAsia="Times New Roman" w:hAnsi="Times New Roman" w:cs="Times New Roman"/>
          <w:lang w:val="ro-MD"/>
        </w:rPr>
        <w:t>macroprudențiale</w:t>
      </w:r>
      <w:proofErr w:type="spellEnd"/>
      <w:r w:rsidR="00952058" w:rsidRPr="000508B6">
        <w:rPr>
          <w:rFonts w:ascii="Times New Roman" w:eastAsia="Times New Roman" w:hAnsi="Times New Roman" w:cs="Times New Roman"/>
          <w:lang w:val="ro-MD"/>
        </w:rPr>
        <w:t xml:space="preserve"> au același înțeles ca </w:t>
      </w:r>
      <w:r w:rsidRPr="000508B6">
        <w:rPr>
          <w:rFonts w:ascii="Times New Roman" w:eastAsia="Times New Roman" w:hAnsi="Times New Roman" w:cs="Times New Roman"/>
          <w:lang w:val="ro-MD"/>
        </w:rPr>
        <w:t>la</w:t>
      </w:r>
      <w:r w:rsidR="00952058" w:rsidRPr="000508B6">
        <w:rPr>
          <w:rFonts w:ascii="Times New Roman" w:eastAsia="Times New Roman" w:hAnsi="Times New Roman" w:cs="Times New Roman"/>
          <w:lang w:val="ro-MD"/>
        </w:rPr>
        <w:t xml:space="preserve"> art</w:t>
      </w:r>
      <w:r w:rsidR="002F699A" w:rsidRPr="000508B6">
        <w:rPr>
          <w:rFonts w:ascii="Times New Roman" w:eastAsia="Times New Roman" w:hAnsi="Times New Roman" w:cs="Times New Roman"/>
          <w:lang w:val="ro-MD"/>
        </w:rPr>
        <w:t>.</w:t>
      </w:r>
      <w:r w:rsidR="00952058" w:rsidRPr="000508B6">
        <w:rPr>
          <w:rFonts w:ascii="Times New Roman" w:eastAsia="Times New Roman" w:hAnsi="Times New Roman" w:cs="Times New Roman"/>
          <w:lang w:val="ro-MD"/>
        </w:rPr>
        <w:t xml:space="preserve"> </w:t>
      </w:r>
      <w:r w:rsidR="000301B2" w:rsidRPr="000508B6">
        <w:rPr>
          <w:rFonts w:ascii="Times New Roman" w:eastAsia="Times New Roman" w:hAnsi="Times New Roman" w:cs="Times New Roman"/>
          <w:lang w:val="ro-MD"/>
        </w:rPr>
        <w:t>27</w:t>
      </w:r>
      <w:r w:rsidR="00952058" w:rsidRPr="000508B6">
        <w:rPr>
          <w:rFonts w:ascii="Times New Roman" w:eastAsia="Times New Roman" w:hAnsi="Times New Roman" w:cs="Times New Roman"/>
          <w:lang w:val="ro-MD"/>
        </w:rPr>
        <w:t>.</w:t>
      </w:r>
      <w:r w:rsidR="00B0090E" w:rsidRPr="000508B6">
        <w:rPr>
          <w:rFonts w:ascii="Times New Roman" w:hAnsi="Times New Roman" w:cs="Times New Roman"/>
          <w:lang w:val="ro-MD"/>
        </w:rPr>
        <w:t xml:space="preserve"> </w:t>
      </w:r>
    </w:p>
    <w:p w14:paraId="235F7388" w14:textId="513B31B2" w:rsidR="00B0090E" w:rsidRPr="000508B6" w:rsidRDefault="00952058" w:rsidP="00CF5AFA">
      <w:pPr>
        <w:pStyle w:val="Listparagraf"/>
        <w:numPr>
          <w:ilvl w:val="1"/>
          <w:numId w:val="179"/>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Atunci când decide </w:t>
      </w:r>
      <w:r w:rsidR="005C4F1D" w:rsidRPr="000508B6">
        <w:rPr>
          <w:rFonts w:ascii="Times New Roman" w:eastAsia="Times New Roman" w:hAnsi="Times New Roman" w:cs="Times New Roman"/>
          <w:lang w:val="ro-MD"/>
        </w:rPr>
        <w:t>să înainteze solicitarea</w:t>
      </w:r>
      <w:r w:rsidRPr="000508B6">
        <w:rPr>
          <w:rFonts w:ascii="Times New Roman" w:eastAsia="Times New Roman" w:hAnsi="Times New Roman" w:cs="Times New Roman"/>
          <w:lang w:val="ro-MD"/>
        </w:rPr>
        <w:t xml:space="preserve"> menționată la </w:t>
      </w:r>
      <w:r w:rsidR="005C4F1D" w:rsidRPr="000508B6">
        <w:rPr>
          <w:rFonts w:ascii="Times New Roman" w:eastAsia="Times New Roman" w:hAnsi="Times New Roman" w:cs="Times New Roman"/>
          <w:lang w:val="ro-MD"/>
        </w:rPr>
        <w:t>alin. (</w:t>
      </w:r>
      <w:r w:rsidR="00FB604B" w:rsidRPr="000508B6">
        <w:rPr>
          <w:rFonts w:ascii="Times New Roman" w:eastAsia="Times New Roman" w:hAnsi="Times New Roman" w:cs="Times New Roman"/>
          <w:lang w:val="ro-MD"/>
        </w:rPr>
        <w:t>7</w:t>
      </w:r>
      <w:r w:rsidR="005C4F1D" w:rsidRPr="000508B6">
        <w:rPr>
          <w:rFonts w:ascii="Times New Roman" w:eastAsia="Times New Roman" w:hAnsi="Times New Roman" w:cs="Times New Roman"/>
          <w:lang w:val="ro-MD"/>
        </w:rPr>
        <w:t xml:space="preserve">) </w:t>
      </w:r>
      <w:r w:rsidR="008B7248" w:rsidRPr="000508B6">
        <w:rPr>
          <w:rFonts w:ascii="Times New Roman" w:eastAsia="Times New Roman" w:hAnsi="Times New Roman" w:cs="Times New Roman"/>
          <w:lang w:val="ro-MD"/>
        </w:rPr>
        <w:t>unui</w:t>
      </w:r>
      <w:r w:rsidR="005C4F1D" w:rsidRPr="000508B6" w:rsidDel="008B7248">
        <w:rPr>
          <w:rFonts w:ascii="Times New Roman" w:eastAsia="Times New Roman" w:hAnsi="Times New Roman" w:cs="Times New Roman"/>
          <w:lang w:val="ro-MD"/>
        </w:rPr>
        <w:t xml:space="preserve"> </w:t>
      </w:r>
      <w:r w:rsidR="008B7248" w:rsidRPr="000508B6">
        <w:rPr>
          <w:rFonts w:ascii="Times New Roman" w:eastAsia="Times New Roman" w:hAnsi="Times New Roman" w:cs="Times New Roman"/>
          <w:lang w:val="ro-MD"/>
        </w:rPr>
        <w:t xml:space="preserve">asigurător sau </w:t>
      </w:r>
      <w:proofErr w:type="spellStart"/>
      <w:r w:rsidR="008B7248" w:rsidRPr="000508B6">
        <w:rPr>
          <w:rFonts w:ascii="Times New Roman" w:eastAsia="Times New Roman" w:hAnsi="Times New Roman" w:cs="Times New Roman"/>
          <w:lang w:val="ro-MD"/>
        </w:rPr>
        <w:t>reasigurător</w:t>
      </w:r>
      <w:proofErr w:type="spellEnd"/>
      <w:r w:rsidR="005C4F1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care este o filială inclusă în </w:t>
      </w:r>
      <w:r w:rsidR="005C4F1D" w:rsidRPr="000508B6">
        <w:rPr>
          <w:rFonts w:ascii="Times New Roman" w:eastAsia="Times New Roman" w:hAnsi="Times New Roman" w:cs="Times New Roman"/>
          <w:lang w:val="ro-MD"/>
        </w:rPr>
        <w:t>sfera</w:t>
      </w:r>
      <w:r w:rsidRPr="000508B6">
        <w:rPr>
          <w:rFonts w:ascii="Times New Roman" w:eastAsia="Times New Roman" w:hAnsi="Times New Roman" w:cs="Times New Roman"/>
          <w:lang w:val="ro-MD"/>
        </w:rPr>
        <w:t xml:space="preserve"> supravegherii </w:t>
      </w:r>
      <w:r w:rsidR="005C4F1D" w:rsidRPr="000508B6">
        <w:rPr>
          <w:rFonts w:ascii="Times New Roman" w:eastAsia="Times New Roman" w:hAnsi="Times New Roman" w:cs="Times New Roman"/>
          <w:lang w:val="ro-MD"/>
        </w:rPr>
        <w:t xml:space="preserve">la nivel de grup </w:t>
      </w:r>
      <w:r w:rsidRPr="000508B6">
        <w:rPr>
          <w:rFonts w:ascii="Times New Roman" w:eastAsia="Times New Roman" w:hAnsi="Times New Roman" w:cs="Times New Roman"/>
          <w:lang w:val="ro-MD"/>
        </w:rPr>
        <w:t>în conformitate cu art</w:t>
      </w:r>
      <w:r w:rsidR="007E104F"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7E104F" w:rsidRPr="000508B6">
        <w:rPr>
          <w:rFonts w:ascii="Times New Roman" w:eastAsia="Times New Roman" w:hAnsi="Times New Roman" w:cs="Times New Roman"/>
          <w:lang w:val="ro-MD"/>
        </w:rPr>
        <w:t xml:space="preserve">116 </w:t>
      </w:r>
      <w:r w:rsidRPr="000508B6">
        <w:rPr>
          <w:rFonts w:ascii="Times New Roman" w:eastAsia="Times New Roman" w:hAnsi="Times New Roman" w:cs="Times New Roman"/>
          <w:lang w:val="ro-MD"/>
        </w:rPr>
        <w:t>alin</w:t>
      </w:r>
      <w:r w:rsidR="002F699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FE14A7" w:rsidRPr="000508B6">
        <w:rPr>
          <w:rFonts w:ascii="Times New Roman" w:eastAsia="Times New Roman" w:hAnsi="Times New Roman" w:cs="Times New Roman"/>
          <w:lang w:val="ro-MD"/>
        </w:rPr>
        <w:t>3</w:t>
      </w:r>
      <w:r w:rsidR="005C4F1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4E73E0" w:rsidRPr="000508B6">
        <w:rPr>
          <w:rFonts w:ascii="Times New Roman" w:eastAsia="Times New Roman" w:hAnsi="Times New Roman" w:cs="Times New Roman"/>
          <w:lang w:val="ro-MD"/>
        </w:rPr>
        <w:t xml:space="preserve">lit. </w:t>
      </w:r>
      <w:r w:rsidRPr="000508B6">
        <w:rPr>
          <w:rFonts w:ascii="Times New Roman" w:eastAsia="Times New Roman" w:hAnsi="Times New Roman" w:cs="Times New Roman"/>
          <w:lang w:val="ro-MD"/>
        </w:rPr>
        <w:t xml:space="preserve">a) și </w:t>
      </w:r>
      <w:r w:rsidR="005C4F1D" w:rsidRPr="000508B6">
        <w:rPr>
          <w:rFonts w:ascii="Times New Roman" w:eastAsia="Times New Roman" w:hAnsi="Times New Roman" w:cs="Times New Roman"/>
          <w:lang w:val="ro-MD"/>
        </w:rPr>
        <w:t>b), Banca Națională a Moldovei ia în calcul dacă evaluarea menționată la alin. (</w:t>
      </w:r>
      <w:r w:rsidR="001F17C3" w:rsidRPr="000508B6">
        <w:rPr>
          <w:rFonts w:ascii="Times New Roman" w:eastAsia="Times New Roman" w:hAnsi="Times New Roman" w:cs="Times New Roman"/>
          <w:lang w:val="ro-MD"/>
        </w:rPr>
        <w:t>7</w:t>
      </w:r>
      <w:r w:rsidR="005C4F1D" w:rsidRPr="000508B6">
        <w:rPr>
          <w:rFonts w:ascii="Times New Roman" w:eastAsia="Times New Roman" w:hAnsi="Times New Roman" w:cs="Times New Roman"/>
          <w:lang w:val="ro-MD"/>
        </w:rPr>
        <w:t xml:space="preserve">) este efectuată la nivel de grup de către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5C4F1D" w:rsidRPr="000508B6" w:rsidDel="002D272D">
        <w:rPr>
          <w:rFonts w:ascii="Times New Roman" w:eastAsia="Times New Roman" w:hAnsi="Times New Roman" w:cs="Times New Roman"/>
          <w:lang w:val="ro-MD"/>
        </w:rPr>
        <w:t xml:space="preserve"> </w:t>
      </w:r>
      <w:r w:rsidR="005C4F1D" w:rsidRPr="000508B6">
        <w:rPr>
          <w:rFonts w:ascii="Times New Roman" w:eastAsia="Times New Roman" w:hAnsi="Times New Roman" w:cs="Times New Roman"/>
          <w:lang w:val="ro-MD"/>
        </w:rPr>
        <w:t>participativ, holdingul de asigurare sau holdingul financiar mixt cu sediul central în</w:t>
      </w:r>
      <w:r w:rsidR="002F2C5D" w:rsidRPr="000508B6">
        <w:rPr>
          <w:rFonts w:ascii="Times New Roman" w:eastAsia="Times New Roman" w:hAnsi="Times New Roman" w:cs="Times New Roman"/>
          <w:lang w:val="ro-MD"/>
        </w:rPr>
        <w:t>tr-un stat membru</w:t>
      </w:r>
      <w:r w:rsidR="005C4F1D" w:rsidRPr="000508B6">
        <w:rPr>
          <w:rFonts w:ascii="Times New Roman" w:eastAsia="Times New Roman" w:hAnsi="Times New Roman" w:cs="Times New Roman"/>
          <w:lang w:val="ro-MD"/>
        </w:rPr>
        <w:t xml:space="preserve"> și se referă la particularitățile respectivei filiale</w:t>
      </w:r>
      <w:r w:rsidR="00E9515D" w:rsidRPr="000508B6">
        <w:rPr>
          <w:rFonts w:ascii="Times New Roman" w:eastAsia="Times New Roman" w:hAnsi="Times New Roman" w:cs="Times New Roman"/>
          <w:lang w:val="ro-MD"/>
        </w:rPr>
        <w:t>.</w:t>
      </w:r>
      <w:r w:rsidR="005C4F1D" w:rsidRPr="000508B6" w:rsidDel="005C4F1D">
        <w:rPr>
          <w:rFonts w:ascii="Times New Roman" w:eastAsia="Times New Roman" w:hAnsi="Times New Roman" w:cs="Times New Roman"/>
          <w:lang w:val="ro-MD"/>
        </w:rPr>
        <w:t xml:space="preserve"> </w:t>
      </w:r>
      <w:r w:rsidR="005C4F1D" w:rsidRPr="000508B6">
        <w:rPr>
          <w:rFonts w:ascii="Times New Roman" w:eastAsia="Times New Roman" w:hAnsi="Times New Roman" w:cs="Times New Roman"/>
          <w:lang w:val="ro-MD"/>
        </w:rPr>
        <w:t xml:space="preserve"> </w:t>
      </w:r>
    </w:p>
    <w:p w14:paraId="4C7A547F" w14:textId="77777777" w:rsidR="0025038B" w:rsidRPr="000508B6" w:rsidDel="002D0056" w:rsidRDefault="0025038B" w:rsidP="00896CA3">
      <w:pPr>
        <w:spacing w:after="0" w:line="240" w:lineRule="auto"/>
        <w:ind w:firstLine="425"/>
        <w:jc w:val="center"/>
        <w:rPr>
          <w:rFonts w:ascii="Times New Roman" w:eastAsia="Times New Roman" w:hAnsi="Times New Roman" w:cs="Times New Roman"/>
          <w:lang w:val="ro-MD"/>
        </w:rPr>
      </w:pPr>
    </w:p>
    <w:p w14:paraId="3B834D7E" w14:textId="7016706A" w:rsidR="00F95829" w:rsidRPr="000508B6" w:rsidRDefault="008D2036" w:rsidP="001F31AF">
      <w:pPr>
        <w:spacing w:after="0" w:line="240" w:lineRule="auto"/>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w:t>
      </w:r>
      <w:r w:rsidR="00C8492A" w:rsidRPr="000508B6">
        <w:rPr>
          <w:rFonts w:ascii="Times New Roman" w:eastAsia="Times New Roman" w:hAnsi="Times New Roman" w:cs="Times New Roman"/>
          <w:b/>
          <w:lang w:val="ro-MD"/>
        </w:rPr>
        <w:t>I</w:t>
      </w:r>
      <w:r w:rsidRPr="000508B6">
        <w:rPr>
          <w:rFonts w:ascii="Times New Roman" w:eastAsia="Times New Roman" w:hAnsi="Times New Roman" w:cs="Times New Roman"/>
          <w:b/>
          <w:lang w:val="ro-MD"/>
        </w:rPr>
        <w:t>V</w:t>
      </w:r>
    </w:p>
    <w:p w14:paraId="4D0AF4D3" w14:textId="57933737" w:rsidR="00F95829" w:rsidRPr="000508B6" w:rsidRDefault="008D2036" w:rsidP="001F31AF">
      <w:pPr>
        <w:spacing w:after="0" w:line="240" w:lineRule="auto"/>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DREPTUL DE STABILIRE ŞI LIBERTATEA DE A PRESTA SERVICII</w:t>
      </w:r>
    </w:p>
    <w:p w14:paraId="33B26100" w14:textId="77777777" w:rsidR="00F95829" w:rsidRPr="000508B6" w:rsidRDefault="00F95829" w:rsidP="001F31AF">
      <w:pPr>
        <w:spacing w:after="0" w:line="240" w:lineRule="auto"/>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1</w:t>
      </w:r>
    </w:p>
    <w:p w14:paraId="5D3FFB1D" w14:textId="77777777" w:rsidR="00F95829" w:rsidRPr="000508B6" w:rsidRDefault="00F95829" w:rsidP="001F31AF">
      <w:pPr>
        <w:spacing w:after="0" w:line="240" w:lineRule="auto"/>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Dreptul de stabilire</w:t>
      </w:r>
    </w:p>
    <w:p w14:paraId="7A9177A0" w14:textId="383B63F3"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91</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Constituirea sucursalei </w:t>
      </w:r>
    </w:p>
    <w:p w14:paraId="39A72B23" w14:textId="1C3D99AD" w:rsidR="00F95829" w:rsidRPr="000508B6" w:rsidRDefault="00DC3385" w:rsidP="001B5505">
      <w:pPr>
        <w:pStyle w:val="Listparagraf"/>
        <w:numPr>
          <w:ilvl w:val="1"/>
          <w:numId w:val="19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626AA8"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care intenționează să stabilească o sucursală pe teritoriul </w:t>
      </w:r>
      <w:r w:rsidR="00E44B24" w:rsidRPr="000508B6">
        <w:rPr>
          <w:rFonts w:ascii="Times New Roman" w:eastAsia="Times New Roman" w:hAnsi="Times New Roman" w:cs="Times New Roman"/>
          <w:lang w:val="ro-MD"/>
        </w:rPr>
        <w:t xml:space="preserve">unui </w:t>
      </w:r>
      <w:r w:rsidR="00F95829" w:rsidRPr="000508B6">
        <w:rPr>
          <w:rFonts w:ascii="Times New Roman" w:eastAsia="Times New Roman" w:hAnsi="Times New Roman" w:cs="Times New Roman"/>
          <w:lang w:val="ro-MD"/>
        </w:rPr>
        <w:t>stat membru comunică</w:t>
      </w:r>
      <w:r w:rsidR="00F95504" w:rsidRPr="000508B6">
        <w:rPr>
          <w:rFonts w:ascii="Times New Roman" w:eastAsia="Times New Roman" w:hAnsi="Times New Roman" w:cs="Times New Roman"/>
          <w:lang w:val="ro-MD"/>
        </w:rPr>
        <w:t xml:space="preserve"> și prezintă</w:t>
      </w:r>
      <w:r w:rsidR="00F95829" w:rsidRPr="000508B6">
        <w:rPr>
          <w:rFonts w:ascii="Times New Roman" w:eastAsia="Times New Roman" w:hAnsi="Times New Roman" w:cs="Times New Roman"/>
          <w:lang w:val="ro-MD"/>
        </w:rPr>
        <w:t xml:space="preserve"> în prealabil Băncii Naționale a Moldovei următoarele</w:t>
      </w:r>
      <w:r w:rsidR="002E4B2A" w:rsidRPr="000508B6">
        <w:rPr>
          <w:rFonts w:ascii="Times New Roman" w:eastAsia="Times New Roman" w:hAnsi="Times New Roman" w:cs="Times New Roman"/>
          <w:lang w:val="ro-MD"/>
        </w:rPr>
        <w:t xml:space="preserve"> in</w:t>
      </w:r>
      <w:r w:rsidR="0012544C" w:rsidRPr="000508B6">
        <w:rPr>
          <w:rFonts w:ascii="Times New Roman" w:eastAsia="Times New Roman" w:hAnsi="Times New Roman" w:cs="Times New Roman"/>
          <w:lang w:val="ro-MD"/>
        </w:rPr>
        <w:t>f</w:t>
      </w:r>
      <w:r w:rsidR="002E4B2A" w:rsidRPr="000508B6">
        <w:rPr>
          <w:rFonts w:ascii="Times New Roman" w:eastAsia="Times New Roman" w:hAnsi="Times New Roman" w:cs="Times New Roman"/>
          <w:lang w:val="ro-MD"/>
        </w:rPr>
        <w:t>ormații</w:t>
      </w:r>
      <w:r w:rsidR="00F95504" w:rsidRPr="000508B6">
        <w:rPr>
          <w:rFonts w:ascii="Times New Roman" w:eastAsia="Times New Roman" w:hAnsi="Times New Roman" w:cs="Times New Roman"/>
          <w:lang w:val="ro-MD"/>
        </w:rPr>
        <w:t>:</w:t>
      </w:r>
    </w:p>
    <w:p w14:paraId="5D2EBAD9" w14:textId="5EE08E0C" w:rsidR="00F95829" w:rsidRPr="000508B6" w:rsidRDefault="00F95829" w:rsidP="001B5505">
      <w:pPr>
        <w:pStyle w:val="Listparagraf"/>
        <w:numPr>
          <w:ilvl w:val="2"/>
          <w:numId w:val="19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denumirea statului membru gazdă;</w:t>
      </w:r>
    </w:p>
    <w:p w14:paraId="64C30E91" w14:textId="14212712" w:rsidR="00F95829" w:rsidRPr="000508B6" w:rsidRDefault="00F95829" w:rsidP="001B5505">
      <w:pPr>
        <w:pStyle w:val="Listparagraf"/>
        <w:numPr>
          <w:ilvl w:val="2"/>
          <w:numId w:val="19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planul de afaceri, care cuprinde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tipurile de activitate pe care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le </w:t>
      </w:r>
      <w:proofErr w:type="spellStart"/>
      <w:r w:rsidRPr="000508B6">
        <w:rPr>
          <w:rFonts w:ascii="Times New Roman" w:eastAsia="Times New Roman" w:hAnsi="Times New Roman" w:cs="Times New Roman"/>
          <w:lang w:val="ro-MD"/>
        </w:rPr>
        <w:t>desfăşoare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structura organizatorică a sucursalei;</w:t>
      </w:r>
    </w:p>
    <w:p w14:paraId="2A12B48F" w14:textId="75F1E3A9" w:rsidR="00F95829" w:rsidRPr="000508B6" w:rsidRDefault="00452A57" w:rsidP="001B5505">
      <w:pPr>
        <w:pStyle w:val="Listparagraf"/>
        <w:numPr>
          <w:ilvl w:val="2"/>
          <w:numId w:val="19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adresa pentru corespondență a </w:t>
      </w:r>
      <w:r w:rsidR="00F95829" w:rsidRPr="000508B6">
        <w:rPr>
          <w:rFonts w:ascii="Times New Roman" w:eastAsia="Times New Roman" w:hAnsi="Times New Roman" w:cs="Times New Roman"/>
          <w:lang w:val="ro-MD"/>
        </w:rPr>
        <w:t xml:space="preserve">sucursalei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numele mandatarului</w:t>
      </w:r>
      <w:r w:rsidR="00354359" w:rsidRPr="000508B6">
        <w:rPr>
          <w:rFonts w:ascii="Times New Roman" w:eastAsia="Times New Roman" w:hAnsi="Times New Roman" w:cs="Times New Roman"/>
          <w:lang w:val="ro-MD"/>
        </w:rPr>
        <w:t xml:space="preserve"> general</w:t>
      </w:r>
      <w:r w:rsidR="00390FD8" w:rsidRPr="000508B6">
        <w:rPr>
          <w:rFonts w:ascii="Times New Roman" w:eastAsia="Times New Roman" w:hAnsi="Times New Roman" w:cs="Times New Roman"/>
          <w:lang w:val="ro-RO"/>
        </w:rPr>
        <w:t>;</w:t>
      </w:r>
      <w:r w:rsidR="00354359" w:rsidRPr="000508B6">
        <w:rPr>
          <w:rFonts w:ascii="Times New Roman" w:eastAsia="Times New Roman" w:hAnsi="Times New Roman" w:cs="Times New Roman"/>
          <w:lang w:val="ro-MD"/>
        </w:rPr>
        <w:t xml:space="preserve"> </w:t>
      </w:r>
    </w:p>
    <w:p w14:paraId="2BB74FDD" w14:textId="34091ADA" w:rsidR="00F95829" w:rsidRPr="000508B6" w:rsidRDefault="00F95829" w:rsidP="001B5505">
      <w:pPr>
        <w:pStyle w:val="Listparagraf"/>
        <w:numPr>
          <w:ilvl w:val="2"/>
          <w:numId w:val="19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dovada că este membru al </w:t>
      </w:r>
      <w:r w:rsidR="00BD6092" w:rsidRPr="000508B6">
        <w:rPr>
          <w:rFonts w:ascii="Times New Roman" w:eastAsia="Times New Roman" w:hAnsi="Times New Roman" w:cs="Times New Roman"/>
          <w:lang w:val="ro-MD"/>
        </w:rPr>
        <w:t xml:space="preserve">biroului național </w:t>
      </w:r>
      <w:r w:rsidR="00F17A41" w:rsidRPr="000508B6">
        <w:rPr>
          <w:rFonts w:ascii="Times New Roman" w:eastAsia="Times New Roman" w:hAnsi="Times New Roman" w:cs="Times New Roman"/>
          <w:lang w:val="ro-MD"/>
        </w:rPr>
        <w:t>și a</w:t>
      </w:r>
      <w:r w:rsidRPr="000508B6">
        <w:rPr>
          <w:rFonts w:ascii="Times New Roman" w:eastAsia="Times New Roman" w:hAnsi="Times New Roman" w:cs="Times New Roman"/>
          <w:lang w:val="ro-MD"/>
        </w:rPr>
        <w:t xml:space="preserve"> fondului </w:t>
      </w:r>
      <w:r w:rsidR="00310AEB" w:rsidRPr="000508B6">
        <w:rPr>
          <w:rFonts w:ascii="Times New Roman" w:eastAsia="Times New Roman" w:hAnsi="Times New Roman" w:cs="Times New Roman"/>
          <w:lang w:val="ro-MD"/>
        </w:rPr>
        <w:t xml:space="preserve">de compensare și </w:t>
      </w:r>
      <w:proofErr w:type="spellStart"/>
      <w:r w:rsidRPr="000508B6">
        <w:rPr>
          <w:rFonts w:ascii="Times New Roman" w:eastAsia="Times New Roman" w:hAnsi="Times New Roman" w:cs="Times New Roman"/>
          <w:lang w:val="ro-MD"/>
        </w:rPr>
        <w:t>protecţie</w:t>
      </w:r>
      <w:proofErr w:type="spellEnd"/>
      <w:r w:rsidRPr="000508B6">
        <w:rPr>
          <w:rFonts w:ascii="Times New Roman" w:eastAsia="Times New Roman" w:hAnsi="Times New Roman" w:cs="Times New Roman"/>
          <w:lang w:val="ro-MD"/>
        </w:rPr>
        <w:t xml:space="preserve"> din statul membru gazdă, în cazul în care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w:t>
      </w:r>
      <w:r w:rsidR="000324B3" w:rsidRPr="000508B6">
        <w:rPr>
          <w:rFonts w:ascii="Times New Roman" w:eastAsia="Times New Roman" w:hAnsi="Times New Roman" w:cs="Times New Roman"/>
          <w:lang w:val="ro-MD"/>
        </w:rPr>
        <w:t xml:space="preserve">subscrie riscuri din </w:t>
      </w:r>
      <w:r w:rsidRPr="000508B6">
        <w:rPr>
          <w:rFonts w:ascii="Times New Roman" w:eastAsia="Times New Roman" w:hAnsi="Times New Roman" w:cs="Times New Roman"/>
          <w:lang w:val="ro-MD"/>
        </w:rPr>
        <w:t xml:space="preserve">clasa 10, prevăzută în </w:t>
      </w:r>
      <w:r w:rsidR="00E81DE7"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nexa </w:t>
      </w:r>
      <w:r w:rsidR="00E81DE7" w:rsidRPr="000508B6">
        <w:rPr>
          <w:rFonts w:ascii="Times New Roman" w:eastAsia="Times New Roman" w:hAnsi="Times New Roman" w:cs="Times New Roman"/>
          <w:lang w:val="ro-MD"/>
        </w:rPr>
        <w:t>nr.</w:t>
      </w:r>
      <w:r w:rsidRPr="000508B6">
        <w:rPr>
          <w:rFonts w:ascii="Times New Roman" w:eastAsia="Times New Roman" w:hAnsi="Times New Roman" w:cs="Times New Roman"/>
          <w:lang w:val="ro-MD"/>
        </w:rPr>
        <w:t>1</w:t>
      </w:r>
      <w:r w:rsidR="004E73E0"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roofErr w:type="spellStart"/>
      <w:r w:rsidR="000A0659"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ecţiunea</w:t>
      </w:r>
      <w:proofErr w:type="spellEnd"/>
      <w:r w:rsidRPr="000508B6">
        <w:rPr>
          <w:rFonts w:ascii="Times New Roman" w:eastAsia="Times New Roman" w:hAnsi="Times New Roman" w:cs="Times New Roman"/>
          <w:lang w:val="ro-MD"/>
        </w:rPr>
        <w:t xml:space="preserve"> A</w:t>
      </w:r>
      <w:r w:rsidR="00F95504" w:rsidRPr="000508B6">
        <w:rPr>
          <w:rFonts w:ascii="Times New Roman" w:eastAsia="Times New Roman" w:hAnsi="Times New Roman" w:cs="Times New Roman"/>
          <w:lang w:val="ro-MD"/>
        </w:rPr>
        <w:t xml:space="preserve">, </w:t>
      </w:r>
      <w:r w:rsidR="00D150B4" w:rsidRPr="000508B6">
        <w:rPr>
          <w:rFonts w:ascii="Times New Roman" w:eastAsia="Times New Roman" w:hAnsi="Times New Roman" w:cs="Times New Roman"/>
          <w:lang w:val="ro-MD"/>
        </w:rPr>
        <w:t xml:space="preserve">cu </w:t>
      </w:r>
      <w:r w:rsidR="00FA110B" w:rsidRPr="000508B6">
        <w:rPr>
          <w:rFonts w:ascii="Times New Roman" w:eastAsia="Times New Roman" w:hAnsi="Times New Roman" w:cs="Times New Roman"/>
          <w:lang w:val="ro-MD"/>
        </w:rPr>
        <w:t>excepția</w:t>
      </w:r>
      <w:r w:rsidR="00D150B4" w:rsidRPr="000508B6">
        <w:rPr>
          <w:rFonts w:ascii="Times New Roman" w:eastAsia="Times New Roman" w:hAnsi="Times New Roman" w:cs="Times New Roman"/>
          <w:lang w:val="ro-MD"/>
        </w:rPr>
        <w:t xml:space="preserve"> </w:t>
      </w:r>
      <w:r w:rsidR="00BD6092" w:rsidRPr="000508B6">
        <w:rPr>
          <w:rFonts w:ascii="Times New Roman" w:eastAsia="Times New Roman" w:hAnsi="Times New Roman" w:cs="Times New Roman"/>
          <w:lang w:val="ro-MD"/>
        </w:rPr>
        <w:t xml:space="preserve">răspunderii </w:t>
      </w:r>
      <w:r w:rsidR="00F95504" w:rsidRPr="000508B6">
        <w:rPr>
          <w:rFonts w:ascii="Times New Roman" w:eastAsia="Times New Roman" w:hAnsi="Times New Roman" w:cs="Times New Roman"/>
          <w:lang w:val="ro-MD"/>
        </w:rPr>
        <w:t>transportatorului</w:t>
      </w:r>
      <w:r w:rsidRPr="000508B6">
        <w:rPr>
          <w:rFonts w:ascii="Times New Roman" w:eastAsia="Times New Roman" w:hAnsi="Times New Roman" w:cs="Times New Roman"/>
          <w:lang w:val="ro-MD"/>
        </w:rPr>
        <w:t>.</w:t>
      </w:r>
    </w:p>
    <w:p w14:paraId="404B69EE" w14:textId="7D2578EC" w:rsidR="00F95829" w:rsidRPr="00901EED" w:rsidRDefault="00DC3385" w:rsidP="00901EED">
      <w:pPr>
        <w:pStyle w:val="Listparagraf"/>
        <w:numPr>
          <w:ilvl w:val="1"/>
          <w:numId w:val="19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notifică Banca Națională a Moldovei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supraveghetorul din statul membru gazdă, cu cel </w:t>
      </w:r>
      <w:proofErr w:type="spellStart"/>
      <w:r w:rsidR="00F95829" w:rsidRPr="000508B6">
        <w:rPr>
          <w:rFonts w:ascii="Times New Roman" w:eastAsia="Times New Roman" w:hAnsi="Times New Roman" w:cs="Times New Roman"/>
          <w:lang w:val="ro-MD"/>
        </w:rPr>
        <w:t>puţin</w:t>
      </w:r>
      <w:proofErr w:type="spellEnd"/>
      <w:r w:rsidR="00F95829" w:rsidRPr="000508B6">
        <w:rPr>
          <w:rFonts w:ascii="Times New Roman" w:eastAsia="Times New Roman" w:hAnsi="Times New Roman" w:cs="Times New Roman"/>
          <w:lang w:val="ro-MD"/>
        </w:rPr>
        <w:t xml:space="preserve"> o lună înainte de operarea unor modificări ale </w:t>
      </w:r>
      <w:proofErr w:type="spellStart"/>
      <w:r w:rsidR="00F95829" w:rsidRPr="000508B6">
        <w:rPr>
          <w:rFonts w:ascii="Times New Roman" w:eastAsia="Times New Roman" w:hAnsi="Times New Roman" w:cs="Times New Roman"/>
          <w:lang w:val="ro-MD"/>
        </w:rPr>
        <w:t>informaţiilor</w:t>
      </w:r>
      <w:proofErr w:type="spellEnd"/>
      <w:r w:rsidR="00F95829" w:rsidRPr="000508B6">
        <w:rPr>
          <w:rFonts w:ascii="Times New Roman" w:eastAsia="Times New Roman" w:hAnsi="Times New Roman" w:cs="Times New Roman"/>
          <w:lang w:val="ro-MD"/>
        </w:rPr>
        <w:t xml:space="preserve"> comunicate Băncii Naționale a Moldovei conform alin. (1) lit. b) -</w:t>
      </w:r>
      <w:r w:rsidR="004E73E0"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d).</w:t>
      </w:r>
    </w:p>
    <w:p w14:paraId="282BAA5A" w14:textId="41AF693A" w:rsidR="00F95829" w:rsidRPr="000508B6" w:rsidRDefault="00EC77D9" w:rsidP="00EC77D9">
      <w:pPr>
        <w:tabs>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(3)</w:t>
      </w:r>
      <w:r w:rsidR="00330F9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În termen de </w:t>
      </w:r>
      <w:r w:rsidR="00FE5183" w:rsidRPr="000508B6">
        <w:rPr>
          <w:rFonts w:ascii="Times New Roman" w:eastAsia="Times New Roman" w:hAnsi="Times New Roman" w:cs="Times New Roman"/>
          <w:lang w:val="ro-MD"/>
        </w:rPr>
        <w:t>cel mult</w:t>
      </w:r>
      <w:r w:rsidR="00F95829" w:rsidRPr="000508B6">
        <w:rPr>
          <w:rFonts w:ascii="Times New Roman" w:eastAsia="Times New Roman" w:hAnsi="Times New Roman" w:cs="Times New Roman"/>
          <w:lang w:val="ro-MD"/>
        </w:rPr>
        <w:t xml:space="preserve"> 3 luni de la </w:t>
      </w:r>
      <w:r w:rsidR="00B602B6" w:rsidRPr="000508B6">
        <w:rPr>
          <w:rFonts w:ascii="Times New Roman" w:eastAsia="Times New Roman" w:hAnsi="Times New Roman" w:cs="Times New Roman"/>
          <w:lang w:val="ro-MD"/>
        </w:rPr>
        <w:t xml:space="preserve">data primirii </w:t>
      </w:r>
      <w:r w:rsidR="00096E43" w:rsidRPr="000508B6">
        <w:rPr>
          <w:rFonts w:ascii="Times New Roman" w:eastAsia="Times New Roman" w:hAnsi="Times New Roman" w:cs="Times New Roman"/>
          <w:lang w:val="ro-MD"/>
        </w:rPr>
        <w:t>informațiilor</w:t>
      </w:r>
      <w:r w:rsidR="00F95829" w:rsidRPr="000508B6">
        <w:rPr>
          <w:rFonts w:ascii="Times New Roman" w:eastAsia="Times New Roman" w:hAnsi="Times New Roman" w:cs="Times New Roman"/>
          <w:lang w:val="ro-MD"/>
        </w:rPr>
        <w:t xml:space="preserve"> prevăzute la alin. (1), Banca Națională a Moldovei transmite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respective </w:t>
      </w:r>
      <w:r w:rsidR="00817F75" w:rsidRPr="000508B6">
        <w:rPr>
          <w:rFonts w:ascii="Times New Roman" w:eastAsia="Times New Roman" w:hAnsi="Times New Roman" w:cs="Times New Roman"/>
          <w:lang w:val="ro-MD"/>
        </w:rPr>
        <w:t>supraveghetorului</w:t>
      </w:r>
      <w:r w:rsidR="00F95829" w:rsidRPr="000508B6">
        <w:rPr>
          <w:rFonts w:ascii="Times New Roman" w:eastAsia="Times New Roman" w:hAnsi="Times New Roman" w:cs="Times New Roman"/>
          <w:lang w:val="ro-MD"/>
        </w:rPr>
        <w:t xml:space="preserve"> din statul membru gazdă, informând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bookmarkStart w:id="116" w:name="_Hlk213142922"/>
      <w:r w:rsidR="00A533F1" w:rsidRPr="000508B6">
        <w:rPr>
          <w:rFonts w:ascii="Times New Roman" w:eastAsia="Times New Roman" w:hAnsi="Times New Roman" w:cs="Times New Roman"/>
          <w:lang w:val="ro-MD"/>
        </w:rPr>
        <w:t xml:space="preserve">asigurătorul </w:t>
      </w:r>
      <w:bookmarkEnd w:id="116"/>
      <w:r w:rsidR="00A533F1" w:rsidRPr="000508B6">
        <w:rPr>
          <w:rFonts w:ascii="Times New Roman" w:eastAsia="Times New Roman" w:hAnsi="Times New Roman" w:cs="Times New Roman"/>
          <w:lang w:val="ro-MD"/>
        </w:rPr>
        <w:t>în cauză</w:t>
      </w:r>
      <w:r w:rsidR="00F95829" w:rsidRPr="000508B6">
        <w:rPr>
          <w:rFonts w:ascii="Times New Roman" w:eastAsia="Times New Roman" w:hAnsi="Times New Roman" w:cs="Times New Roman"/>
          <w:lang w:val="ro-MD"/>
        </w:rPr>
        <w:t xml:space="preserve">, cu </w:t>
      </w:r>
      <w:proofErr w:type="spellStart"/>
      <w:r w:rsidR="00F95829" w:rsidRPr="000508B6">
        <w:rPr>
          <w:rFonts w:ascii="Times New Roman" w:eastAsia="Times New Roman" w:hAnsi="Times New Roman" w:cs="Times New Roman"/>
          <w:lang w:val="ro-MD"/>
        </w:rPr>
        <w:t>excepţia</w:t>
      </w:r>
      <w:proofErr w:type="spellEnd"/>
      <w:r w:rsidR="00F95829" w:rsidRPr="000508B6">
        <w:rPr>
          <w:rFonts w:ascii="Times New Roman" w:eastAsia="Times New Roman" w:hAnsi="Times New Roman" w:cs="Times New Roman"/>
          <w:lang w:val="ro-MD"/>
        </w:rPr>
        <w:t xml:space="preserve"> cazului în care constată că </w:t>
      </w:r>
      <w:r w:rsidR="001D2B55" w:rsidRPr="000508B6">
        <w:rPr>
          <w:rFonts w:ascii="Times New Roman" w:eastAsia="Times New Roman" w:hAnsi="Times New Roman" w:cs="Times New Roman"/>
          <w:lang w:val="ro-MD"/>
        </w:rPr>
        <w:t>competen</w:t>
      </w:r>
      <w:r w:rsidR="00B02FF5" w:rsidRPr="000508B6">
        <w:rPr>
          <w:rFonts w:ascii="Times New Roman" w:eastAsia="Times New Roman" w:hAnsi="Times New Roman" w:cs="Times New Roman"/>
          <w:lang w:val="ro-MD"/>
        </w:rPr>
        <w:t>ț</w:t>
      </w:r>
      <w:r w:rsidR="001D2B55" w:rsidRPr="000508B6">
        <w:rPr>
          <w:rFonts w:ascii="Times New Roman" w:eastAsia="Times New Roman" w:hAnsi="Times New Roman" w:cs="Times New Roman"/>
          <w:lang w:val="ro-MD"/>
        </w:rPr>
        <w:t xml:space="preserve">a </w:t>
      </w:r>
      <w:r w:rsidR="006A1811" w:rsidRPr="000508B6">
        <w:rPr>
          <w:rFonts w:ascii="Times New Roman" w:eastAsia="Times New Roman" w:hAnsi="Times New Roman" w:cs="Times New Roman"/>
          <w:lang w:val="ro-MD"/>
        </w:rPr>
        <w:t xml:space="preserve">și </w:t>
      </w:r>
      <w:r w:rsidR="00354359" w:rsidRPr="000508B6">
        <w:rPr>
          <w:rFonts w:ascii="Times New Roman" w:eastAsia="Times New Roman" w:hAnsi="Times New Roman" w:cs="Times New Roman"/>
          <w:lang w:val="ro-MD"/>
        </w:rPr>
        <w:t>onorabilitatea</w:t>
      </w:r>
      <w:r w:rsidR="00EC6080" w:rsidRPr="000508B6">
        <w:rPr>
          <w:rFonts w:ascii="Times New Roman" w:eastAsia="Times New Roman" w:hAnsi="Times New Roman" w:cs="Times New Roman"/>
          <w:lang w:val="ro-MD"/>
        </w:rPr>
        <w:t xml:space="preserve"> mandatarului </w:t>
      </w:r>
      <w:r w:rsidR="00F231BC" w:rsidRPr="000508B6">
        <w:rPr>
          <w:rFonts w:ascii="Times New Roman" w:eastAsia="Times New Roman" w:hAnsi="Times New Roman" w:cs="Times New Roman"/>
          <w:lang w:val="ro-MD"/>
        </w:rPr>
        <w:t xml:space="preserve">general </w:t>
      </w:r>
      <w:r w:rsidR="00EC6080" w:rsidRPr="000508B6">
        <w:rPr>
          <w:rFonts w:ascii="Times New Roman" w:eastAsia="Times New Roman" w:hAnsi="Times New Roman" w:cs="Times New Roman"/>
          <w:lang w:val="ro-MD"/>
        </w:rPr>
        <w:t xml:space="preserve">nu corespund </w:t>
      </w:r>
      <w:r w:rsidR="00E44B24" w:rsidRPr="000508B6">
        <w:rPr>
          <w:rFonts w:ascii="Times New Roman" w:eastAsia="Times New Roman" w:hAnsi="Times New Roman" w:cs="Times New Roman"/>
          <w:lang w:val="ro-MD"/>
        </w:rPr>
        <w:t xml:space="preserve">cerințelor </w:t>
      </w:r>
      <w:r w:rsidR="00460DBC" w:rsidRPr="000508B6">
        <w:rPr>
          <w:rFonts w:ascii="Times New Roman" w:eastAsia="Times New Roman" w:hAnsi="Times New Roman" w:cs="Times New Roman"/>
          <w:lang w:val="ro-MD"/>
        </w:rPr>
        <w:t xml:space="preserve">stabilite la </w:t>
      </w:r>
      <w:r w:rsidR="00EC6080" w:rsidRPr="000508B6">
        <w:rPr>
          <w:rFonts w:ascii="Times New Roman" w:eastAsia="Times New Roman" w:hAnsi="Times New Roman" w:cs="Times New Roman"/>
          <w:lang w:val="ro-MD"/>
        </w:rPr>
        <w:t>art.</w:t>
      </w:r>
      <w:r w:rsidR="00330F96">
        <w:rPr>
          <w:rFonts w:ascii="Times New Roman" w:eastAsia="Times New Roman" w:hAnsi="Times New Roman" w:cs="Times New Roman"/>
          <w:lang w:val="ro-MD"/>
        </w:rPr>
        <w:t xml:space="preserve"> </w:t>
      </w:r>
      <w:r w:rsidR="00450837" w:rsidRPr="000508B6">
        <w:rPr>
          <w:rFonts w:ascii="Times New Roman" w:eastAsia="Times New Roman" w:hAnsi="Times New Roman" w:cs="Times New Roman"/>
          <w:lang w:val="ro-MD"/>
        </w:rPr>
        <w:t xml:space="preserve">20 </w:t>
      </w:r>
      <w:r w:rsidR="00EC6080" w:rsidRPr="000508B6">
        <w:rPr>
          <w:rFonts w:ascii="Times New Roman" w:eastAsia="Times New Roman" w:hAnsi="Times New Roman" w:cs="Times New Roman"/>
          <w:lang w:val="ro-MD"/>
        </w:rPr>
        <w:t xml:space="preserve">sau </w:t>
      </w:r>
      <w:r w:rsidR="00F95829" w:rsidRPr="000508B6">
        <w:rPr>
          <w:rFonts w:ascii="Times New Roman" w:eastAsia="Times New Roman" w:hAnsi="Times New Roman" w:cs="Times New Roman"/>
          <w:lang w:val="ro-MD"/>
        </w:rPr>
        <w:t xml:space="preserve">sistemul de </w:t>
      </w:r>
      <w:proofErr w:type="spellStart"/>
      <w:r w:rsidR="00F95829" w:rsidRPr="000508B6">
        <w:rPr>
          <w:rFonts w:ascii="Times New Roman" w:eastAsia="Times New Roman" w:hAnsi="Times New Roman" w:cs="Times New Roman"/>
          <w:lang w:val="ro-MD"/>
        </w:rPr>
        <w:t>guvernanţă</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situaţia</w:t>
      </w:r>
      <w:proofErr w:type="spellEnd"/>
      <w:r w:rsidR="00F95829" w:rsidRPr="000508B6">
        <w:rPr>
          <w:rFonts w:ascii="Times New Roman" w:eastAsia="Times New Roman" w:hAnsi="Times New Roman" w:cs="Times New Roman"/>
          <w:lang w:val="ro-MD"/>
        </w:rPr>
        <w:t xml:space="preserve"> financiară ale </w:t>
      </w:r>
      <w:r w:rsidR="00FD1C48" w:rsidRPr="000508B6">
        <w:rPr>
          <w:rFonts w:ascii="Times New Roman" w:eastAsia="Times New Roman" w:hAnsi="Times New Roman" w:cs="Times New Roman"/>
          <w:lang w:val="ro-MD"/>
        </w:rPr>
        <w:t>asigurătorului</w:t>
      </w:r>
      <w:r w:rsidR="0027740B"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nu sunt adecvate planului de afaceri.</w:t>
      </w:r>
    </w:p>
    <w:p w14:paraId="2E32FED6" w14:textId="77272073" w:rsidR="00F95829" w:rsidRPr="000508B6" w:rsidRDefault="00EC77D9" w:rsidP="00097A00">
      <w:pPr>
        <w:tabs>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(4)</w:t>
      </w:r>
      <w:r w:rsidR="00330F9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prevăzute la alin. (</w:t>
      </w:r>
      <w:r w:rsidRPr="000508B6">
        <w:rPr>
          <w:rFonts w:ascii="Times New Roman" w:eastAsia="Times New Roman" w:hAnsi="Times New Roman" w:cs="Times New Roman"/>
          <w:lang w:val="ro-MD"/>
        </w:rPr>
        <w:t>3</w:t>
      </w:r>
      <w:r w:rsidR="00F95829" w:rsidRPr="000508B6">
        <w:rPr>
          <w:rFonts w:ascii="Times New Roman" w:eastAsia="Times New Roman" w:hAnsi="Times New Roman" w:cs="Times New Roman"/>
          <w:lang w:val="ro-MD"/>
        </w:rPr>
        <w:t xml:space="preserve">) sunt </w:t>
      </w:r>
      <w:proofErr w:type="spellStart"/>
      <w:r w:rsidR="00F95829" w:rsidRPr="000508B6">
        <w:rPr>
          <w:rFonts w:ascii="Times New Roman" w:eastAsia="Times New Roman" w:hAnsi="Times New Roman" w:cs="Times New Roman"/>
          <w:lang w:val="ro-MD"/>
        </w:rPr>
        <w:t>însoţite</w:t>
      </w:r>
      <w:proofErr w:type="spellEnd"/>
      <w:r w:rsidR="00F95829" w:rsidRPr="000508B6">
        <w:rPr>
          <w:rFonts w:ascii="Times New Roman" w:eastAsia="Times New Roman" w:hAnsi="Times New Roman" w:cs="Times New Roman"/>
          <w:lang w:val="ro-MD"/>
        </w:rPr>
        <w:t xml:space="preserve"> de confirmarea că </w:t>
      </w:r>
      <w:r w:rsidR="00DC3385" w:rsidRPr="000508B6">
        <w:rPr>
          <w:rFonts w:ascii="Times New Roman" w:eastAsia="Times New Roman" w:hAnsi="Times New Roman" w:cs="Times New Roman"/>
          <w:lang w:val="ro-MD"/>
        </w:rPr>
        <w:t>asigurătorul</w:t>
      </w:r>
      <w:r w:rsidR="00626AA8"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îndeplinește SCR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MCR.</w:t>
      </w:r>
    </w:p>
    <w:p w14:paraId="6C6C9A34" w14:textId="11802049" w:rsidR="004F7804" w:rsidRPr="000508B6" w:rsidRDefault="00EC77D9" w:rsidP="00097A00">
      <w:pPr>
        <w:tabs>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(5)</w:t>
      </w:r>
      <w:r w:rsidR="00330F9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Dacă </w:t>
      </w:r>
      <w:r w:rsidR="005C11CC" w:rsidRPr="000508B6">
        <w:rPr>
          <w:rFonts w:ascii="Times New Roman" w:eastAsia="Times New Roman" w:hAnsi="Times New Roman" w:cs="Times New Roman"/>
          <w:lang w:val="ro-MD"/>
        </w:rPr>
        <w:t xml:space="preserve">refuză să </w:t>
      </w:r>
      <w:r w:rsidR="00F95829" w:rsidRPr="000508B6">
        <w:rPr>
          <w:rFonts w:ascii="Times New Roman" w:eastAsia="Times New Roman" w:hAnsi="Times New Roman" w:cs="Times New Roman"/>
          <w:lang w:val="ro-MD"/>
        </w:rPr>
        <w:t>comunic</w:t>
      </w:r>
      <w:r w:rsidR="005C11CC"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supraveghetorilor din statele membre gazdă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primite conform alin. (1) Banca Națională a Moldovei motivează acest lucru </w:t>
      </w:r>
      <w:r w:rsidR="004312D4" w:rsidRPr="000508B6">
        <w:rPr>
          <w:rFonts w:ascii="Times New Roman" w:eastAsia="Times New Roman" w:hAnsi="Times New Roman" w:cs="Times New Roman"/>
          <w:lang w:val="ro-MD"/>
        </w:rPr>
        <w:t>asigurătorului</w:t>
      </w:r>
      <w:r w:rsidR="00F95829" w:rsidRPr="000508B6">
        <w:rPr>
          <w:rFonts w:ascii="Times New Roman" w:eastAsia="Times New Roman" w:hAnsi="Times New Roman" w:cs="Times New Roman"/>
          <w:lang w:val="ro-MD"/>
        </w:rPr>
        <w:t xml:space="preserve">, în termen de 3 luni de la data primirii </w:t>
      </w:r>
      <w:proofErr w:type="spellStart"/>
      <w:r w:rsidR="00F95829" w:rsidRPr="000508B6">
        <w:rPr>
          <w:rFonts w:ascii="Times New Roman" w:eastAsia="Times New Roman" w:hAnsi="Times New Roman" w:cs="Times New Roman"/>
          <w:lang w:val="ro-MD"/>
        </w:rPr>
        <w:t>informaţiilor</w:t>
      </w:r>
      <w:proofErr w:type="spellEnd"/>
      <w:r w:rsidR="00F95829" w:rsidRPr="000508B6">
        <w:rPr>
          <w:rFonts w:ascii="Times New Roman" w:eastAsia="Times New Roman" w:hAnsi="Times New Roman" w:cs="Times New Roman"/>
          <w:lang w:val="ro-MD"/>
        </w:rPr>
        <w:t xml:space="preserve"> respective</w:t>
      </w:r>
      <w:r w:rsidR="000E5AE8"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5C11CC" w:rsidRPr="000508B6">
        <w:rPr>
          <w:rFonts w:ascii="Times New Roman" w:eastAsia="Times New Roman" w:hAnsi="Times New Roman" w:cs="Times New Roman"/>
          <w:lang w:val="ro-MD"/>
        </w:rPr>
        <w:t>În caz de refuz sau lipsă de acțiune</w:t>
      </w:r>
      <w:r w:rsidR="00F95829" w:rsidRPr="000508B6">
        <w:rPr>
          <w:rFonts w:ascii="Times New Roman" w:eastAsia="Times New Roman" w:hAnsi="Times New Roman" w:cs="Times New Roman"/>
          <w:lang w:val="ro-MD"/>
        </w:rPr>
        <w:t xml:space="preserve">, </w:t>
      </w:r>
      <w:r w:rsidR="00FD1C48"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po</w:t>
      </w:r>
      <w:r w:rsidR="004619A8"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t</w:t>
      </w:r>
      <w:r w:rsidR="004619A8"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sesiza </w:t>
      </w:r>
      <w:r w:rsidR="00B20FFE" w:rsidRPr="000508B6">
        <w:rPr>
          <w:rFonts w:ascii="Times New Roman" w:eastAsia="Times New Roman" w:hAnsi="Times New Roman" w:cs="Times New Roman"/>
          <w:lang w:val="ro-MD"/>
        </w:rPr>
        <w:t>instanța de judecată</w:t>
      </w:r>
      <w:r w:rsidR="00F95829" w:rsidRPr="000508B6">
        <w:rPr>
          <w:rFonts w:ascii="Times New Roman" w:eastAsia="Times New Roman" w:hAnsi="Times New Roman" w:cs="Times New Roman"/>
          <w:lang w:val="ro-MD"/>
        </w:rPr>
        <w:t>.</w:t>
      </w:r>
    </w:p>
    <w:p w14:paraId="620348E0" w14:textId="2204BD4A" w:rsidR="00F95829" w:rsidRPr="000508B6" w:rsidRDefault="00EC77D9" w:rsidP="006F6071">
      <w:pPr>
        <w:tabs>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(6)</w:t>
      </w:r>
      <w:r w:rsidR="00F95829" w:rsidRPr="000508B6">
        <w:rPr>
          <w:rFonts w:ascii="Times New Roman" w:eastAsia="Times New Roman" w:hAnsi="Times New Roman" w:cs="Times New Roman"/>
          <w:lang w:val="ro-MD"/>
        </w:rPr>
        <w:t>În cazul în care</w:t>
      </w:r>
      <w:r w:rsidR="007919A7"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este notificată de un supraveghetor dintr-un stat membru gazdă cu privire la </w:t>
      </w:r>
      <w:r w:rsidR="00D475E6" w:rsidRPr="000508B6">
        <w:rPr>
          <w:rFonts w:ascii="Times New Roman" w:eastAsia="Times New Roman" w:hAnsi="Times New Roman" w:cs="Times New Roman"/>
          <w:lang w:val="ro-MD"/>
        </w:rPr>
        <w:t xml:space="preserve">condițiile </w:t>
      </w:r>
      <w:r w:rsidR="00F95829" w:rsidRPr="000508B6">
        <w:rPr>
          <w:rFonts w:ascii="Times New Roman" w:eastAsia="Times New Roman" w:hAnsi="Times New Roman" w:cs="Times New Roman"/>
          <w:lang w:val="ro-MD"/>
        </w:rPr>
        <w:t>care trebuie respectat</w:t>
      </w:r>
      <w:r w:rsidR="00D475E6"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în exercitarea </w:t>
      </w:r>
      <w:proofErr w:type="spellStart"/>
      <w:r w:rsidR="00F95829" w:rsidRPr="000508B6">
        <w:rPr>
          <w:rFonts w:ascii="Times New Roman" w:eastAsia="Times New Roman" w:hAnsi="Times New Roman" w:cs="Times New Roman"/>
          <w:lang w:val="ro-MD"/>
        </w:rPr>
        <w:t>activităţii</w:t>
      </w:r>
      <w:proofErr w:type="spellEnd"/>
      <w:r w:rsidR="00F95829" w:rsidRPr="000508B6">
        <w:rPr>
          <w:rFonts w:ascii="Times New Roman" w:eastAsia="Times New Roman" w:hAnsi="Times New Roman" w:cs="Times New Roman"/>
          <w:lang w:val="ro-MD"/>
        </w:rPr>
        <w:t xml:space="preserve"> de către sucursala pe care </w:t>
      </w:r>
      <w:r w:rsidR="001333D7" w:rsidRPr="000508B6">
        <w:rPr>
          <w:rFonts w:ascii="Times New Roman" w:eastAsia="Times New Roman" w:hAnsi="Times New Roman" w:cs="Times New Roman"/>
          <w:lang w:val="ro-MD"/>
        </w:rPr>
        <w:t>un asigurător</w:t>
      </w:r>
      <w:r w:rsidR="00C3308E"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intenţionează</w:t>
      </w:r>
      <w:proofErr w:type="spellEnd"/>
      <w:r w:rsidR="00F95829" w:rsidRPr="000508B6">
        <w:rPr>
          <w:rFonts w:ascii="Times New Roman" w:eastAsia="Times New Roman" w:hAnsi="Times New Roman" w:cs="Times New Roman"/>
          <w:lang w:val="ro-MD"/>
        </w:rPr>
        <w:t xml:space="preserve"> să o stabilească în acel stat membru, Banca Națională a Moldovei comunică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respective </w:t>
      </w:r>
      <w:r w:rsidR="001333D7" w:rsidRPr="000508B6">
        <w:rPr>
          <w:rFonts w:ascii="Times New Roman" w:eastAsia="Times New Roman" w:hAnsi="Times New Roman" w:cs="Times New Roman"/>
          <w:lang w:val="ro-MD"/>
        </w:rPr>
        <w:t>asigurătorului</w:t>
      </w:r>
      <w:r w:rsidR="00F95829"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i/>
          <w:color w:val="FF0000"/>
          <w:lang w:val="ro-MD"/>
        </w:rPr>
        <w:t xml:space="preserve"> </w:t>
      </w:r>
    </w:p>
    <w:p w14:paraId="330FA5B9" w14:textId="5A11EF03" w:rsidR="00F95829" w:rsidRPr="000508B6" w:rsidRDefault="00EC77D9" w:rsidP="006F6071">
      <w:pPr>
        <w:tabs>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(7)</w:t>
      </w:r>
      <w:r w:rsidR="00DC3385"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poate stabili o sucursală pe teritoriul altui stat membru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poate începe să </w:t>
      </w:r>
      <w:proofErr w:type="spellStart"/>
      <w:r w:rsidR="00F95829" w:rsidRPr="000508B6">
        <w:rPr>
          <w:rFonts w:ascii="Times New Roman" w:eastAsia="Times New Roman" w:hAnsi="Times New Roman" w:cs="Times New Roman"/>
          <w:lang w:val="ro-MD"/>
        </w:rPr>
        <w:t>desfăşoare</w:t>
      </w:r>
      <w:proofErr w:type="spellEnd"/>
      <w:r w:rsidR="00F95829" w:rsidRPr="000508B6">
        <w:rPr>
          <w:rFonts w:ascii="Times New Roman" w:eastAsia="Times New Roman" w:hAnsi="Times New Roman" w:cs="Times New Roman"/>
          <w:lang w:val="ro-MD"/>
        </w:rPr>
        <w:t xml:space="preserve"> activitate</w:t>
      </w:r>
      <w:r w:rsidR="003F0A69"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 xml:space="preserve"> de la data la care Banca Națională a Moldovei primește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menţionate</w:t>
      </w:r>
      <w:proofErr w:type="spellEnd"/>
      <w:r w:rsidR="00F95829" w:rsidRPr="000508B6">
        <w:rPr>
          <w:rFonts w:ascii="Times New Roman" w:eastAsia="Times New Roman" w:hAnsi="Times New Roman" w:cs="Times New Roman"/>
          <w:lang w:val="ro-MD"/>
        </w:rPr>
        <w:t xml:space="preserve"> la alin. (5) sau la expirarea unei perioade de două luni de la data la care Banca Națională a Moldovei a informat </w:t>
      </w:r>
      <w:r w:rsidR="00072F41" w:rsidRPr="000508B6">
        <w:rPr>
          <w:rFonts w:ascii="Times New Roman" w:eastAsia="Times New Roman" w:hAnsi="Times New Roman" w:cs="Times New Roman"/>
          <w:lang w:val="ro-MD"/>
        </w:rPr>
        <w:t>supraveghetorul</w:t>
      </w:r>
      <w:r w:rsidR="00F95829" w:rsidRPr="000508B6">
        <w:rPr>
          <w:rFonts w:ascii="Times New Roman" w:eastAsia="Times New Roman" w:hAnsi="Times New Roman" w:cs="Times New Roman"/>
          <w:lang w:val="ro-MD"/>
        </w:rPr>
        <w:t xml:space="preserve"> din statul membru gazdă, în cazul în care nu se primesc </w:t>
      </w:r>
      <w:proofErr w:type="spellStart"/>
      <w:r w:rsidR="00F95829" w:rsidRPr="000508B6">
        <w:rPr>
          <w:rFonts w:ascii="Times New Roman" w:eastAsia="Times New Roman" w:hAnsi="Times New Roman" w:cs="Times New Roman"/>
          <w:lang w:val="ro-MD"/>
        </w:rPr>
        <w:t>informaţiile</w:t>
      </w:r>
      <w:proofErr w:type="spellEnd"/>
      <w:r w:rsidR="00F95829" w:rsidRPr="000508B6">
        <w:rPr>
          <w:rFonts w:ascii="Times New Roman" w:eastAsia="Times New Roman" w:hAnsi="Times New Roman" w:cs="Times New Roman"/>
          <w:lang w:val="ro-MD"/>
        </w:rPr>
        <w:t xml:space="preserve"> privind </w:t>
      </w:r>
      <w:r w:rsidR="00D475E6" w:rsidRPr="000508B6">
        <w:rPr>
          <w:rFonts w:ascii="Times New Roman" w:eastAsia="Times New Roman" w:hAnsi="Times New Roman" w:cs="Times New Roman"/>
          <w:lang w:val="ro-MD"/>
        </w:rPr>
        <w:t xml:space="preserve">condițiile </w:t>
      </w:r>
      <w:r w:rsidR="00F95829" w:rsidRPr="000508B6">
        <w:rPr>
          <w:rFonts w:ascii="Times New Roman" w:eastAsia="Times New Roman" w:hAnsi="Times New Roman" w:cs="Times New Roman"/>
          <w:lang w:val="ro-MD"/>
        </w:rPr>
        <w:t>care trebuie respectat</w:t>
      </w:r>
      <w:r w:rsidR="00D475E6"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pentru exercitarea </w:t>
      </w:r>
      <w:proofErr w:type="spellStart"/>
      <w:r w:rsidR="00F95829" w:rsidRPr="000508B6">
        <w:rPr>
          <w:rFonts w:ascii="Times New Roman" w:eastAsia="Times New Roman" w:hAnsi="Times New Roman" w:cs="Times New Roman"/>
          <w:lang w:val="ro-MD"/>
        </w:rPr>
        <w:t>activităţii</w:t>
      </w:r>
      <w:proofErr w:type="spellEnd"/>
      <w:r w:rsidR="00F95829" w:rsidRPr="000508B6">
        <w:rPr>
          <w:rFonts w:ascii="Times New Roman" w:eastAsia="Times New Roman" w:hAnsi="Times New Roman" w:cs="Times New Roman"/>
          <w:lang w:val="ro-MD"/>
        </w:rPr>
        <w:t xml:space="preserve"> pe teritoriul statului respectiv.</w:t>
      </w:r>
    </w:p>
    <w:p w14:paraId="7A5576B5" w14:textId="223EA96F" w:rsidR="00F95829" w:rsidRPr="000508B6" w:rsidRDefault="00EC77D9" w:rsidP="006F6071">
      <w:pPr>
        <w:tabs>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(8)</w:t>
      </w:r>
      <w:r w:rsidR="00330F96">
        <w:rPr>
          <w:rFonts w:ascii="Times New Roman" w:eastAsia="Times New Roman" w:hAnsi="Times New Roman" w:cs="Times New Roman"/>
          <w:lang w:val="ro-MD"/>
        </w:rPr>
        <w:t xml:space="preserve"> </w:t>
      </w:r>
      <w:r w:rsidR="00DC3385"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care </w:t>
      </w:r>
      <w:proofErr w:type="spellStart"/>
      <w:r w:rsidR="00F95829" w:rsidRPr="000508B6">
        <w:rPr>
          <w:rFonts w:ascii="Times New Roman" w:eastAsia="Times New Roman" w:hAnsi="Times New Roman" w:cs="Times New Roman"/>
          <w:lang w:val="ro-MD"/>
        </w:rPr>
        <w:t>desfăşoară</w:t>
      </w:r>
      <w:proofErr w:type="spellEnd"/>
      <w:r w:rsidR="00F95829" w:rsidRPr="000508B6">
        <w:rPr>
          <w:rFonts w:ascii="Times New Roman" w:eastAsia="Times New Roman" w:hAnsi="Times New Roman" w:cs="Times New Roman"/>
          <w:lang w:val="ro-MD"/>
        </w:rPr>
        <w:t xml:space="preserve"> activitate pe teritoriul </w:t>
      </w:r>
      <w:r w:rsidR="00194DF5" w:rsidRPr="000508B6">
        <w:rPr>
          <w:rFonts w:ascii="Times New Roman" w:eastAsia="Times New Roman" w:hAnsi="Times New Roman" w:cs="Times New Roman"/>
          <w:lang w:val="ro-MD"/>
        </w:rPr>
        <w:t>unui stat</w:t>
      </w:r>
      <w:r w:rsidR="00F95829" w:rsidRPr="000508B6">
        <w:rPr>
          <w:rFonts w:ascii="Times New Roman" w:eastAsia="Times New Roman" w:hAnsi="Times New Roman" w:cs="Times New Roman"/>
          <w:lang w:val="ro-MD"/>
        </w:rPr>
        <w:t xml:space="preserve"> </w:t>
      </w:r>
      <w:r w:rsidR="00363E11" w:rsidRPr="000508B6">
        <w:rPr>
          <w:rFonts w:ascii="Times New Roman" w:eastAsia="Times New Roman" w:hAnsi="Times New Roman" w:cs="Times New Roman"/>
          <w:lang w:val="ro-MD"/>
        </w:rPr>
        <w:t xml:space="preserve">membru </w:t>
      </w:r>
      <w:r w:rsidR="00F95829" w:rsidRPr="000508B6">
        <w:rPr>
          <w:rFonts w:ascii="Times New Roman" w:eastAsia="Times New Roman" w:hAnsi="Times New Roman" w:cs="Times New Roman"/>
          <w:lang w:val="ro-MD"/>
        </w:rPr>
        <w:t xml:space="preserve">în baza dreptului de stabilire raportează Băncii Naționale a Moldovei, în conformitate cu prevederile legale, volumul primelor, al daunelor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al comisioanelor fără deducerea reasigurării, separat pentru </w:t>
      </w:r>
      <w:r w:rsidR="00B94FC7" w:rsidRPr="000508B6">
        <w:rPr>
          <w:rFonts w:ascii="Times New Roman" w:eastAsia="Times New Roman" w:hAnsi="Times New Roman" w:cs="Times New Roman"/>
          <w:lang w:val="ro-MD"/>
        </w:rPr>
        <w:t xml:space="preserve">activitatea de </w:t>
      </w:r>
      <w:r w:rsidR="0082102F" w:rsidRPr="000508B6">
        <w:rPr>
          <w:rFonts w:ascii="Times New Roman" w:eastAsia="Times New Roman" w:hAnsi="Times New Roman" w:cs="Times New Roman"/>
          <w:lang w:val="ro-MD"/>
        </w:rPr>
        <w:t>asigurare</w:t>
      </w:r>
      <w:r w:rsidR="00F95829" w:rsidRPr="000508B6">
        <w:rPr>
          <w:rFonts w:ascii="Times New Roman" w:eastAsia="Times New Roman" w:hAnsi="Times New Roman" w:cs="Times New Roman"/>
          <w:lang w:val="ro-MD"/>
        </w:rPr>
        <w:t xml:space="preserve"> general</w:t>
      </w:r>
      <w:r w:rsidR="0082102F"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viaţă</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defalcat pe linii de </w:t>
      </w:r>
      <w:r w:rsidR="00F93C2E" w:rsidRPr="000508B6">
        <w:rPr>
          <w:rFonts w:ascii="Times New Roman" w:eastAsia="Times New Roman" w:hAnsi="Times New Roman" w:cs="Times New Roman"/>
          <w:lang w:val="ro-MD"/>
        </w:rPr>
        <w:t>activitate</w:t>
      </w:r>
      <w:r w:rsidR="00D257AA"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D257AA" w:rsidRPr="000508B6">
        <w:rPr>
          <w:rFonts w:ascii="Times New Roman" w:eastAsia="Times New Roman" w:hAnsi="Times New Roman" w:cs="Times New Roman"/>
          <w:lang w:val="ro-MD"/>
        </w:rPr>
        <w:t>separat pentru fiecare stat membru</w:t>
      </w:r>
      <w:r w:rsidR="007A672B" w:rsidRPr="000508B6">
        <w:rPr>
          <w:rFonts w:ascii="Times New Roman" w:eastAsia="Times New Roman" w:hAnsi="Times New Roman" w:cs="Times New Roman"/>
          <w:lang w:val="ro-MD"/>
        </w:rPr>
        <w:t xml:space="preserve">. </w:t>
      </w:r>
      <w:r w:rsidR="00B76385" w:rsidRPr="000508B6">
        <w:rPr>
          <w:rFonts w:ascii="Times New Roman" w:eastAsia="Times New Roman" w:hAnsi="Times New Roman" w:cs="Times New Roman"/>
          <w:lang w:val="ro-MD"/>
        </w:rPr>
        <w:t xml:space="preserve"> </w:t>
      </w:r>
    </w:p>
    <w:p w14:paraId="72838177" w14:textId="4C05E6CF" w:rsidR="00093197" w:rsidRPr="000508B6" w:rsidRDefault="00EC77D9" w:rsidP="006F6071">
      <w:pPr>
        <w:tabs>
          <w:tab w:val="left" w:pos="851"/>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(9)</w:t>
      </w:r>
      <w:r w:rsidR="00330F96">
        <w:rPr>
          <w:rFonts w:ascii="Times New Roman" w:eastAsia="Times New Roman" w:hAnsi="Times New Roman" w:cs="Times New Roman"/>
          <w:lang w:val="ro-MD"/>
        </w:rPr>
        <w:t xml:space="preserve"> </w:t>
      </w:r>
      <w:r w:rsidR="00093197" w:rsidRPr="000508B6">
        <w:rPr>
          <w:rFonts w:ascii="Times New Roman" w:eastAsia="Times New Roman" w:hAnsi="Times New Roman" w:cs="Times New Roman"/>
          <w:lang w:val="ro-MD"/>
        </w:rPr>
        <w:t xml:space="preserve">Pentru clasa 10 prevăzută în </w:t>
      </w:r>
      <w:r w:rsidR="000A0659" w:rsidRPr="000508B6">
        <w:rPr>
          <w:rFonts w:ascii="Times New Roman" w:eastAsia="Times New Roman" w:hAnsi="Times New Roman" w:cs="Times New Roman"/>
          <w:lang w:val="ro-MD"/>
        </w:rPr>
        <w:t>A</w:t>
      </w:r>
      <w:r w:rsidR="00093197" w:rsidRPr="000508B6">
        <w:rPr>
          <w:rFonts w:ascii="Times New Roman" w:eastAsia="Times New Roman" w:hAnsi="Times New Roman" w:cs="Times New Roman"/>
          <w:lang w:val="ro-MD"/>
        </w:rPr>
        <w:t>nexa nr. 1</w:t>
      </w:r>
      <w:r w:rsidR="007E6511" w:rsidRPr="000508B6">
        <w:rPr>
          <w:rFonts w:ascii="Times New Roman" w:eastAsia="Times New Roman" w:hAnsi="Times New Roman" w:cs="Times New Roman"/>
          <w:lang w:val="ro-MD"/>
        </w:rPr>
        <w:t>.</w:t>
      </w:r>
      <w:r w:rsidR="00093197" w:rsidRPr="000508B6">
        <w:rPr>
          <w:rFonts w:ascii="Times New Roman" w:eastAsia="Times New Roman" w:hAnsi="Times New Roman" w:cs="Times New Roman"/>
          <w:lang w:val="ro-MD"/>
        </w:rPr>
        <w:t xml:space="preserve"> </w:t>
      </w:r>
      <w:proofErr w:type="spellStart"/>
      <w:r w:rsidR="000A0659" w:rsidRPr="000508B6">
        <w:rPr>
          <w:rFonts w:ascii="Times New Roman" w:eastAsia="Times New Roman" w:hAnsi="Times New Roman" w:cs="Times New Roman"/>
          <w:lang w:val="ro-MD"/>
        </w:rPr>
        <w:t>S</w:t>
      </w:r>
      <w:r w:rsidR="00093197" w:rsidRPr="000508B6">
        <w:rPr>
          <w:rFonts w:ascii="Times New Roman" w:eastAsia="Times New Roman" w:hAnsi="Times New Roman" w:cs="Times New Roman"/>
          <w:lang w:val="ro-MD"/>
        </w:rPr>
        <w:t>ecţiunea</w:t>
      </w:r>
      <w:proofErr w:type="spellEnd"/>
      <w:r w:rsidR="00093197" w:rsidRPr="000508B6">
        <w:rPr>
          <w:rFonts w:ascii="Times New Roman" w:eastAsia="Times New Roman" w:hAnsi="Times New Roman" w:cs="Times New Roman"/>
          <w:lang w:val="ro-MD"/>
        </w:rPr>
        <w:t xml:space="preserve"> A, </w:t>
      </w:r>
      <w:r w:rsidR="00FA20FD" w:rsidRPr="000508B6">
        <w:rPr>
          <w:rFonts w:ascii="Times New Roman" w:eastAsia="Times New Roman" w:hAnsi="Times New Roman" w:cs="Times New Roman"/>
          <w:lang w:val="ro-MD"/>
        </w:rPr>
        <w:t>cu ex</w:t>
      </w:r>
      <w:r w:rsidR="00D150B4" w:rsidRPr="000508B6">
        <w:rPr>
          <w:rFonts w:ascii="Times New Roman" w:eastAsia="Times New Roman" w:hAnsi="Times New Roman" w:cs="Times New Roman"/>
          <w:lang w:val="ro-MD"/>
        </w:rPr>
        <w:t>c</w:t>
      </w:r>
      <w:r w:rsidR="00FA20FD" w:rsidRPr="000508B6">
        <w:rPr>
          <w:rFonts w:ascii="Times New Roman" w:eastAsia="Times New Roman" w:hAnsi="Times New Roman" w:cs="Times New Roman"/>
          <w:lang w:val="ro-MD"/>
        </w:rPr>
        <w:t xml:space="preserve">epția răspunderii </w:t>
      </w:r>
      <w:r w:rsidR="00093197" w:rsidRPr="000508B6">
        <w:rPr>
          <w:rFonts w:ascii="Times New Roman" w:eastAsia="Times New Roman" w:hAnsi="Times New Roman" w:cs="Times New Roman"/>
          <w:lang w:val="ro-MD"/>
        </w:rPr>
        <w:t xml:space="preserve">transportatorului, raportările </w:t>
      </w:r>
      <w:proofErr w:type="spellStart"/>
      <w:r w:rsidR="00093197" w:rsidRPr="000508B6">
        <w:rPr>
          <w:rFonts w:ascii="Times New Roman" w:eastAsia="Times New Roman" w:hAnsi="Times New Roman" w:cs="Times New Roman"/>
          <w:lang w:val="ro-MD"/>
        </w:rPr>
        <w:t>menţionate</w:t>
      </w:r>
      <w:proofErr w:type="spellEnd"/>
      <w:r w:rsidR="00093197" w:rsidRPr="000508B6">
        <w:rPr>
          <w:rFonts w:ascii="Times New Roman" w:eastAsia="Times New Roman" w:hAnsi="Times New Roman" w:cs="Times New Roman"/>
          <w:lang w:val="ro-MD"/>
        </w:rPr>
        <w:t xml:space="preserve"> la alin. (7) includ </w:t>
      </w:r>
      <w:proofErr w:type="spellStart"/>
      <w:r w:rsidR="00093197" w:rsidRPr="000508B6">
        <w:rPr>
          <w:rFonts w:ascii="Times New Roman" w:eastAsia="Times New Roman" w:hAnsi="Times New Roman" w:cs="Times New Roman"/>
          <w:lang w:val="ro-MD"/>
        </w:rPr>
        <w:t>şi</w:t>
      </w:r>
      <w:proofErr w:type="spellEnd"/>
      <w:r w:rsidR="00CA62FF" w:rsidRPr="000508B6">
        <w:rPr>
          <w:rFonts w:ascii="Times New Roman" w:eastAsia="Times New Roman" w:hAnsi="Times New Roman" w:cs="Times New Roman"/>
          <w:lang w:val="ro-MD"/>
        </w:rPr>
        <w:t xml:space="preserve"> </w:t>
      </w:r>
      <w:proofErr w:type="spellStart"/>
      <w:r w:rsidR="00093197" w:rsidRPr="000508B6">
        <w:rPr>
          <w:rFonts w:ascii="Times New Roman" w:eastAsia="Times New Roman" w:hAnsi="Times New Roman" w:cs="Times New Roman"/>
          <w:lang w:val="ro-MD"/>
        </w:rPr>
        <w:t>frecvenţa</w:t>
      </w:r>
      <w:proofErr w:type="spellEnd"/>
      <w:r w:rsidR="00093197" w:rsidRPr="000508B6">
        <w:rPr>
          <w:rFonts w:ascii="Times New Roman" w:eastAsia="Times New Roman" w:hAnsi="Times New Roman" w:cs="Times New Roman"/>
          <w:lang w:val="ro-MD"/>
        </w:rPr>
        <w:t xml:space="preserve"> </w:t>
      </w:r>
      <w:proofErr w:type="spellStart"/>
      <w:r w:rsidR="00093197" w:rsidRPr="000508B6">
        <w:rPr>
          <w:rFonts w:ascii="Times New Roman" w:eastAsia="Times New Roman" w:hAnsi="Times New Roman" w:cs="Times New Roman"/>
          <w:lang w:val="ro-MD"/>
        </w:rPr>
        <w:t>şi</w:t>
      </w:r>
      <w:proofErr w:type="spellEnd"/>
      <w:r w:rsidR="00093197" w:rsidRPr="000508B6">
        <w:rPr>
          <w:rFonts w:ascii="Times New Roman" w:eastAsia="Times New Roman" w:hAnsi="Times New Roman" w:cs="Times New Roman"/>
          <w:lang w:val="ro-MD"/>
        </w:rPr>
        <w:t xml:space="preserve"> costul mediu al daunelor.</w:t>
      </w:r>
    </w:p>
    <w:p w14:paraId="7441605D" w14:textId="77777777" w:rsidR="007E1611" w:rsidRPr="000508B6" w:rsidRDefault="007E1611" w:rsidP="002C30E3">
      <w:pPr>
        <w:tabs>
          <w:tab w:val="left" w:pos="851"/>
          <w:tab w:val="left" w:pos="993"/>
        </w:tabs>
        <w:spacing w:after="0" w:line="240" w:lineRule="auto"/>
        <w:jc w:val="both"/>
        <w:rPr>
          <w:rFonts w:ascii="Times New Roman" w:eastAsia="Times New Roman" w:hAnsi="Times New Roman" w:cs="Times New Roman"/>
          <w:lang w:val="ro-MD"/>
        </w:rPr>
      </w:pPr>
    </w:p>
    <w:p w14:paraId="750D68C9" w14:textId="77777777" w:rsidR="00EB46E2" w:rsidRPr="000508B6" w:rsidRDefault="00EB46E2" w:rsidP="008B530F">
      <w:pPr>
        <w:spacing w:after="0" w:line="240" w:lineRule="auto"/>
        <w:ind w:firstLine="426"/>
        <w:jc w:val="center"/>
        <w:rPr>
          <w:rFonts w:ascii="Times New Roman" w:eastAsia="Times New Roman" w:hAnsi="Times New Roman" w:cs="Times New Roman"/>
          <w:b/>
          <w:lang w:val="ro-MD"/>
        </w:rPr>
      </w:pPr>
    </w:p>
    <w:p w14:paraId="23D66BBE" w14:textId="2C23D0C9" w:rsidR="00F95829" w:rsidRPr="000508B6" w:rsidRDefault="00F95829" w:rsidP="001F31AF">
      <w:pPr>
        <w:spacing w:after="0" w:line="240" w:lineRule="auto"/>
        <w:jc w:val="center"/>
        <w:rPr>
          <w:rFonts w:ascii="Times New Roman" w:eastAsia="Times New Roman" w:hAnsi="Times New Roman" w:cs="Times New Roman"/>
          <w:b/>
          <w:vertAlign w:val="superscript"/>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2-a</w:t>
      </w:r>
    </w:p>
    <w:p w14:paraId="73F030D0" w14:textId="77777777" w:rsidR="00F95829" w:rsidRPr="000508B6" w:rsidRDefault="00F95829" w:rsidP="001F31AF">
      <w:pPr>
        <w:spacing w:after="0" w:line="240" w:lineRule="auto"/>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Libertatea de a presta servicii </w:t>
      </w:r>
    </w:p>
    <w:p w14:paraId="608D7EC4" w14:textId="77777777" w:rsidR="00F95829" w:rsidRPr="000508B6" w:rsidRDefault="00F95829" w:rsidP="008B530F">
      <w:pPr>
        <w:spacing w:after="0" w:line="240" w:lineRule="auto"/>
        <w:ind w:firstLine="426"/>
        <w:jc w:val="both"/>
        <w:rPr>
          <w:rFonts w:ascii="Times New Roman" w:eastAsia="Times New Roman" w:hAnsi="Times New Roman" w:cs="Times New Roman"/>
          <w:lang w:val="ro-MD"/>
        </w:rPr>
      </w:pPr>
    </w:p>
    <w:p w14:paraId="2F4511ED" w14:textId="2E5FB45F"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A73E00" w:rsidRPr="000508B6">
        <w:rPr>
          <w:rFonts w:ascii="Times New Roman" w:eastAsia="Times New Roman" w:hAnsi="Times New Roman" w:cs="Times New Roman"/>
          <w:b/>
          <w:lang w:val="ro-MD"/>
        </w:rPr>
        <w:t>92</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bookmarkStart w:id="117" w:name="_Hlk212209304"/>
      <w:r w:rsidR="001516AA" w:rsidRPr="000508B6">
        <w:rPr>
          <w:rFonts w:ascii="Times New Roman" w:eastAsia="Times New Roman" w:hAnsi="Times New Roman" w:cs="Times New Roman"/>
          <w:lang w:val="ro-MD"/>
        </w:rPr>
        <w:t xml:space="preserve">Notificarea </w:t>
      </w:r>
      <w:r w:rsidR="00A533F1" w:rsidRPr="000508B6">
        <w:rPr>
          <w:rFonts w:ascii="Times New Roman" w:eastAsia="Times New Roman" w:hAnsi="Times New Roman" w:cs="Times New Roman"/>
          <w:lang w:val="ro-MD"/>
        </w:rPr>
        <w:t>prealabilă a statului membru de origine</w:t>
      </w:r>
      <w:r w:rsidR="00A533F1" w:rsidRPr="000508B6" w:rsidDel="00A533F1">
        <w:rPr>
          <w:rFonts w:ascii="Times New Roman" w:eastAsia="Times New Roman" w:hAnsi="Times New Roman" w:cs="Times New Roman"/>
          <w:lang w:val="ro-MD"/>
        </w:rPr>
        <w:t xml:space="preserve"> </w:t>
      </w:r>
      <w:bookmarkEnd w:id="117"/>
    </w:p>
    <w:p w14:paraId="07CD7A15" w14:textId="1352B89A" w:rsidR="00F95829" w:rsidRPr="000508B6" w:rsidRDefault="00DC3385" w:rsidP="007E6511">
      <w:pPr>
        <w:pStyle w:val="Listparagraf"/>
        <w:numPr>
          <w:ilvl w:val="1"/>
          <w:numId w:val="197"/>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care </w:t>
      </w:r>
      <w:proofErr w:type="spellStart"/>
      <w:r w:rsidR="00F95829" w:rsidRPr="000508B6">
        <w:rPr>
          <w:rFonts w:ascii="Times New Roman" w:eastAsia="Times New Roman" w:hAnsi="Times New Roman" w:cs="Times New Roman"/>
          <w:lang w:val="ro-MD"/>
        </w:rPr>
        <w:t>intenţionează</w:t>
      </w:r>
      <w:proofErr w:type="spellEnd"/>
      <w:r w:rsidR="00F95829" w:rsidRPr="000508B6">
        <w:rPr>
          <w:rFonts w:ascii="Times New Roman" w:eastAsia="Times New Roman" w:hAnsi="Times New Roman" w:cs="Times New Roman"/>
          <w:lang w:val="ro-MD"/>
        </w:rPr>
        <w:t xml:space="preserve"> să </w:t>
      </w:r>
      <w:proofErr w:type="spellStart"/>
      <w:r w:rsidR="00F95829" w:rsidRPr="000508B6">
        <w:rPr>
          <w:rFonts w:ascii="Times New Roman" w:eastAsia="Times New Roman" w:hAnsi="Times New Roman" w:cs="Times New Roman"/>
          <w:lang w:val="ro-MD"/>
        </w:rPr>
        <w:t>desfăşoare</w:t>
      </w:r>
      <w:proofErr w:type="spellEnd"/>
      <w:r w:rsidR="00F95829" w:rsidRPr="000508B6">
        <w:rPr>
          <w:rFonts w:ascii="Times New Roman" w:eastAsia="Times New Roman" w:hAnsi="Times New Roman" w:cs="Times New Roman"/>
          <w:lang w:val="ro-MD"/>
        </w:rPr>
        <w:t xml:space="preserve"> pentru prima </w:t>
      </w:r>
      <w:r w:rsidR="00992536" w:rsidRPr="000508B6">
        <w:rPr>
          <w:rFonts w:ascii="Times New Roman" w:eastAsia="Times New Roman" w:hAnsi="Times New Roman" w:cs="Times New Roman"/>
          <w:lang w:val="ro-MD"/>
        </w:rPr>
        <w:t>dată</w:t>
      </w:r>
      <w:r w:rsidR="00F95829" w:rsidRPr="000508B6">
        <w:rPr>
          <w:rFonts w:ascii="Times New Roman" w:eastAsia="Times New Roman" w:hAnsi="Times New Roman" w:cs="Times New Roman"/>
          <w:lang w:val="ro-MD"/>
        </w:rPr>
        <w:t xml:space="preserve"> activitate în mod direct în</w:t>
      </w:r>
      <w:r w:rsidR="00A67A42" w:rsidRPr="000508B6">
        <w:rPr>
          <w:rFonts w:ascii="Times New Roman" w:eastAsia="Times New Roman" w:hAnsi="Times New Roman" w:cs="Times New Roman"/>
          <w:lang w:val="ro-MD"/>
        </w:rPr>
        <w:t>tr-un</w:t>
      </w:r>
      <w:r w:rsidR="00F95829" w:rsidRPr="000508B6">
        <w:rPr>
          <w:rFonts w:ascii="Times New Roman" w:eastAsia="Times New Roman" w:hAnsi="Times New Roman" w:cs="Times New Roman"/>
          <w:lang w:val="ro-MD"/>
        </w:rPr>
        <w:t xml:space="preserve"> stat membru notifică Banca Națională a Moldovei cu privire la acest lucru, indicând totodată natura riscurilor pe care </w:t>
      </w:r>
      <w:proofErr w:type="spellStart"/>
      <w:r w:rsidR="00F95829" w:rsidRPr="000508B6">
        <w:rPr>
          <w:rFonts w:ascii="Times New Roman" w:eastAsia="Times New Roman" w:hAnsi="Times New Roman" w:cs="Times New Roman"/>
          <w:lang w:val="ro-MD"/>
        </w:rPr>
        <w:t>intenţionează</w:t>
      </w:r>
      <w:proofErr w:type="spellEnd"/>
      <w:r w:rsidR="00F95829" w:rsidRPr="000508B6">
        <w:rPr>
          <w:rFonts w:ascii="Times New Roman" w:eastAsia="Times New Roman" w:hAnsi="Times New Roman" w:cs="Times New Roman"/>
          <w:lang w:val="ro-MD"/>
        </w:rPr>
        <w:t xml:space="preserve"> să le subscrie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angajamentelor pe care </w:t>
      </w:r>
      <w:proofErr w:type="spellStart"/>
      <w:r w:rsidR="00F95829" w:rsidRPr="000508B6">
        <w:rPr>
          <w:rFonts w:ascii="Times New Roman" w:eastAsia="Times New Roman" w:hAnsi="Times New Roman" w:cs="Times New Roman"/>
          <w:lang w:val="ro-MD"/>
        </w:rPr>
        <w:t>intenţionează</w:t>
      </w:r>
      <w:proofErr w:type="spellEnd"/>
      <w:r w:rsidR="00F95829" w:rsidRPr="000508B6">
        <w:rPr>
          <w:rFonts w:ascii="Times New Roman" w:eastAsia="Times New Roman" w:hAnsi="Times New Roman" w:cs="Times New Roman"/>
          <w:lang w:val="ro-MD"/>
        </w:rPr>
        <w:t xml:space="preserve"> să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le asume.</w:t>
      </w:r>
      <w:r w:rsidR="000B54E4" w:rsidRPr="000508B6">
        <w:rPr>
          <w:rFonts w:ascii="Times New Roman" w:eastAsia="Times New Roman" w:hAnsi="Times New Roman" w:cs="Times New Roman"/>
          <w:lang w:val="ro-MD"/>
        </w:rPr>
        <w:t xml:space="preserve"> </w:t>
      </w:r>
    </w:p>
    <w:p w14:paraId="70D127F4" w14:textId="44538F97" w:rsidR="00F95829" w:rsidRPr="000508B6" w:rsidRDefault="00F95829" w:rsidP="00DE4225">
      <w:pPr>
        <w:pStyle w:val="Listparagraf"/>
        <w:numPr>
          <w:ilvl w:val="1"/>
          <w:numId w:val="197"/>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termen de o lună de la data primirii notificării prevăzute la alin. (1),</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 xml:space="preserve">Banca Națională a Moldovei comunică </w:t>
      </w:r>
      <w:r w:rsidR="00EB186E" w:rsidRPr="000508B6">
        <w:rPr>
          <w:rFonts w:ascii="Times New Roman" w:eastAsia="Times New Roman" w:hAnsi="Times New Roman" w:cs="Times New Roman"/>
          <w:lang w:val="ro-MD"/>
        </w:rPr>
        <w:t xml:space="preserve">acest fapt </w:t>
      </w:r>
      <w:r w:rsidR="00072F41" w:rsidRPr="000508B6">
        <w:rPr>
          <w:rFonts w:ascii="Times New Roman" w:eastAsia="Times New Roman" w:hAnsi="Times New Roman" w:cs="Times New Roman"/>
          <w:lang w:val="ro-MD"/>
        </w:rPr>
        <w:t>supraveghetorului</w:t>
      </w:r>
      <w:r w:rsidRPr="000508B6">
        <w:rPr>
          <w:rFonts w:ascii="Times New Roman" w:eastAsia="Times New Roman" w:hAnsi="Times New Roman" w:cs="Times New Roman"/>
          <w:lang w:val="ro-MD"/>
        </w:rPr>
        <w:t xml:space="preserve"> din statul membru în care </w:t>
      </w:r>
      <w:r w:rsidR="00DC3385" w:rsidRPr="000508B6">
        <w:rPr>
          <w:rFonts w:ascii="Times New Roman" w:eastAsia="Times New Roman" w:hAnsi="Times New Roman" w:cs="Times New Roman"/>
          <w:lang w:val="ro-MD"/>
        </w:rPr>
        <w:t xml:space="preserve">asigurătorul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w:t>
      </w:r>
      <w:proofErr w:type="spellStart"/>
      <w:r w:rsidRPr="000508B6">
        <w:rPr>
          <w:rFonts w:ascii="Times New Roman" w:eastAsia="Times New Roman" w:hAnsi="Times New Roman" w:cs="Times New Roman"/>
          <w:lang w:val="ro-MD"/>
        </w:rPr>
        <w:t>desfăşoare</w:t>
      </w:r>
      <w:proofErr w:type="spellEnd"/>
      <w:r w:rsidRPr="000508B6">
        <w:rPr>
          <w:rFonts w:ascii="Times New Roman" w:eastAsia="Times New Roman" w:hAnsi="Times New Roman" w:cs="Times New Roman"/>
          <w:lang w:val="ro-MD"/>
        </w:rPr>
        <w:t xml:space="preserve"> activitate în mod direct următoarele </w:t>
      </w:r>
      <w:proofErr w:type="spellStart"/>
      <w:r w:rsidRPr="000508B6">
        <w:rPr>
          <w:rFonts w:ascii="Times New Roman" w:eastAsia="Times New Roman" w:hAnsi="Times New Roman" w:cs="Times New Roman"/>
          <w:lang w:val="ro-MD"/>
        </w:rPr>
        <w:t>informaţii</w:t>
      </w:r>
      <w:proofErr w:type="spellEnd"/>
      <w:r w:rsidR="00EB186E" w:rsidRPr="000508B6">
        <w:rPr>
          <w:rFonts w:ascii="Times New Roman" w:eastAsia="Times New Roman" w:hAnsi="Times New Roman" w:cs="Times New Roman"/>
          <w:lang w:val="ro-MD"/>
        </w:rPr>
        <w:t xml:space="preserve">, cu privire la </w:t>
      </w:r>
      <w:r w:rsidR="00467D3C" w:rsidRPr="000508B6">
        <w:rPr>
          <w:rFonts w:ascii="Times New Roman" w:eastAsia="Times New Roman" w:hAnsi="Times New Roman" w:cs="Times New Roman"/>
          <w:lang w:val="ro-MD"/>
        </w:rPr>
        <w:t>acesta</w:t>
      </w:r>
      <w:r w:rsidRPr="000508B6">
        <w:rPr>
          <w:rFonts w:ascii="Times New Roman" w:eastAsia="Times New Roman" w:hAnsi="Times New Roman" w:cs="Times New Roman"/>
          <w:lang w:val="ro-MD"/>
        </w:rPr>
        <w:t>:</w:t>
      </w:r>
    </w:p>
    <w:p w14:paraId="22F6C1EA" w14:textId="759FD552" w:rsidR="00F95829" w:rsidRPr="000508B6" w:rsidRDefault="00F95829" w:rsidP="00DE4225">
      <w:pPr>
        <w:pStyle w:val="Listparagraf"/>
        <w:numPr>
          <w:ilvl w:val="2"/>
          <w:numId w:val="197"/>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dovada respectării SCR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MCR;</w:t>
      </w:r>
    </w:p>
    <w:p w14:paraId="6F79F4AA" w14:textId="193960DE" w:rsidR="00F95829" w:rsidRPr="000508B6" w:rsidRDefault="00F95829" w:rsidP="00DE4225">
      <w:pPr>
        <w:pStyle w:val="Listparagraf"/>
        <w:numPr>
          <w:ilvl w:val="2"/>
          <w:numId w:val="197"/>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clasele de </w:t>
      </w:r>
      <w:r w:rsidR="00275A42"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pe care este </w:t>
      </w:r>
      <w:r w:rsidR="00A23B3A" w:rsidRPr="000508B6">
        <w:rPr>
          <w:rFonts w:ascii="Times New Roman" w:eastAsia="Times New Roman" w:hAnsi="Times New Roman" w:cs="Times New Roman"/>
          <w:lang w:val="ro-MD"/>
        </w:rPr>
        <w:t xml:space="preserve">licențiat </w:t>
      </w:r>
      <w:r w:rsidRPr="000508B6">
        <w:rPr>
          <w:rFonts w:ascii="Times New Roman" w:eastAsia="Times New Roman" w:hAnsi="Times New Roman" w:cs="Times New Roman"/>
          <w:lang w:val="ro-MD"/>
        </w:rPr>
        <w:t xml:space="preserve">să le </w:t>
      </w:r>
      <w:r w:rsidR="00467D3C" w:rsidRPr="000508B6">
        <w:rPr>
          <w:rFonts w:ascii="Times New Roman" w:eastAsia="Times New Roman" w:hAnsi="Times New Roman" w:cs="Times New Roman"/>
          <w:lang w:val="ro-MD"/>
        </w:rPr>
        <w:t>desfășoare</w:t>
      </w:r>
      <w:r w:rsidRPr="000508B6">
        <w:rPr>
          <w:rFonts w:ascii="Times New Roman" w:eastAsia="Times New Roman" w:hAnsi="Times New Roman" w:cs="Times New Roman"/>
          <w:lang w:val="ro-MD"/>
        </w:rPr>
        <w:t>;</w:t>
      </w:r>
    </w:p>
    <w:p w14:paraId="34AC029D" w14:textId="6780A710" w:rsidR="00F95829" w:rsidRPr="000508B6" w:rsidRDefault="00F95829" w:rsidP="00DE4225">
      <w:pPr>
        <w:pStyle w:val="Listparagraf"/>
        <w:numPr>
          <w:ilvl w:val="2"/>
          <w:numId w:val="197"/>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natura riscurilor pe care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le subscrie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angajamentelor pe care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le asume în statul membru respectiv.</w:t>
      </w:r>
      <w:r w:rsidR="000B54E4" w:rsidRPr="000508B6">
        <w:rPr>
          <w:rFonts w:ascii="Times New Roman" w:eastAsia="Times New Roman" w:hAnsi="Times New Roman" w:cs="Times New Roman"/>
          <w:lang w:val="ro-MD"/>
        </w:rPr>
        <w:t xml:space="preserve"> </w:t>
      </w:r>
    </w:p>
    <w:p w14:paraId="45ED0765" w14:textId="4D95F6B7" w:rsidR="00F95829" w:rsidRPr="000508B6" w:rsidRDefault="00F95829" w:rsidP="00DE4225">
      <w:pPr>
        <w:pStyle w:val="Listparagraf"/>
        <w:numPr>
          <w:ilvl w:val="1"/>
          <w:numId w:val="197"/>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informează </w:t>
      </w:r>
      <w:r w:rsidR="00DC3385"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despre transmiterea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(2) în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timp în care notifică </w:t>
      </w:r>
      <w:r w:rsidR="00072F41" w:rsidRPr="000508B6">
        <w:rPr>
          <w:rFonts w:ascii="Times New Roman" w:eastAsia="Times New Roman" w:hAnsi="Times New Roman" w:cs="Times New Roman"/>
          <w:lang w:val="ro-MD"/>
        </w:rPr>
        <w:t>s</w:t>
      </w:r>
      <w:r w:rsidR="00444455" w:rsidRPr="000508B6">
        <w:rPr>
          <w:rFonts w:ascii="Times New Roman" w:eastAsia="Times New Roman" w:hAnsi="Times New Roman" w:cs="Times New Roman"/>
          <w:lang w:val="ro-MD"/>
        </w:rPr>
        <w:t>u</w:t>
      </w:r>
      <w:r w:rsidR="00072F41" w:rsidRPr="000508B6">
        <w:rPr>
          <w:rFonts w:ascii="Times New Roman" w:eastAsia="Times New Roman" w:hAnsi="Times New Roman" w:cs="Times New Roman"/>
          <w:lang w:val="ro-MD"/>
        </w:rPr>
        <w:t xml:space="preserve">praveghetorul </w:t>
      </w:r>
      <w:r w:rsidRPr="000508B6">
        <w:rPr>
          <w:rFonts w:ascii="Times New Roman" w:eastAsia="Times New Roman" w:hAnsi="Times New Roman" w:cs="Times New Roman"/>
          <w:lang w:val="ro-MD"/>
        </w:rPr>
        <w:t xml:space="preserve">din statul membru gazdă, </w:t>
      </w:r>
      <w:r w:rsidR="00DC3385"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putând să înceapă activitatea de la data primirii acestei informări.</w:t>
      </w:r>
      <w:r w:rsidR="000B54E4" w:rsidRPr="000508B6">
        <w:rPr>
          <w:rFonts w:ascii="Times New Roman" w:eastAsia="Times New Roman" w:hAnsi="Times New Roman" w:cs="Times New Roman"/>
          <w:lang w:val="ro-MD"/>
        </w:rPr>
        <w:t xml:space="preserve"> </w:t>
      </w:r>
    </w:p>
    <w:p w14:paraId="314176AC" w14:textId="0D26A586" w:rsidR="00F95829" w:rsidRPr="000508B6" w:rsidRDefault="00F95829" w:rsidP="00DE4225">
      <w:pPr>
        <w:pStyle w:val="Listparagraf"/>
        <w:numPr>
          <w:ilvl w:val="1"/>
          <w:numId w:val="197"/>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nu comunică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(2)</w:t>
      </w:r>
      <w:r w:rsidR="00EB186E" w:rsidRPr="000508B6">
        <w:rPr>
          <w:rFonts w:ascii="Times New Roman" w:eastAsia="Times New Roman" w:hAnsi="Times New Roman" w:cs="Times New Roman"/>
          <w:lang w:val="ro-MD"/>
        </w:rPr>
        <w:t xml:space="preserve"> </w:t>
      </w:r>
      <w:r w:rsidR="00072F41" w:rsidRPr="000508B6">
        <w:rPr>
          <w:rFonts w:ascii="Times New Roman" w:eastAsia="Times New Roman" w:hAnsi="Times New Roman" w:cs="Times New Roman"/>
          <w:lang w:val="ro-MD"/>
        </w:rPr>
        <w:t xml:space="preserve">supraveghetorului </w:t>
      </w:r>
      <w:r w:rsidR="00EB186E" w:rsidRPr="000508B6">
        <w:rPr>
          <w:rFonts w:ascii="Times New Roman" w:eastAsia="Times New Roman" w:hAnsi="Times New Roman" w:cs="Times New Roman"/>
          <w:lang w:val="ro-MD"/>
        </w:rPr>
        <w:t>din statul membru</w:t>
      </w:r>
      <w:r w:rsidRPr="000508B6">
        <w:rPr>
          <w:rFonts w:ascii="Times New Roman" w:eastAsia="Times New Roman" w:hAnsi="Times New Roman" w:cs="Times New Roman"/>
          <w:lang w:val="ro-MD"/>
        </w:rPr>
        <w:t xml:space="preserve">, Banca Națională a Moldovei motivează temeinic </w:t>
      </w:r>
      <w:r w:rsidR="00EB408E" w:rsidRPr="000508B6">
        <w:rPr>
          <w:rFonts w:ascii="Times New Roman" w:eastAsia="Times New Roman" w:hAnsi="Times New Roman" w:cs="Times New Roman"/>
          <w:lang w:val="ro-MD"/>
        </w:rPr>
        <w:t>refuzul</w:t>
      </w:r>
      <w:r w:rsidR="00EB186E" w:rsidRPr="000508B6">
        <w:rPr>
          <w:rFonts w:ascii="Times New Roman" w:eastAsia="Times New Roman" w:hAnsi="Times New Roman" w:cs="Times New Roman"/>
          <w:lang w:val="ro-MD"/>
        </w:rPr>
        <w:t xml:space="preserve"> său</w:t>
      </w:r>
      <w:r w:rsidRPr="000508B6">
        <w:rPr>
          <w:rFonts w:ascii="Times New Roman" w:eastAsia="Times New Roman" w:hAnsi="Times New Roman" w:cs="Times New Roman"/>
          <w:lang w:val="ro-MD"/>
        </w:rPr>
        <w:t xml:space="preserve"> </w:t>
      </w:r>
      <w:r w:rsidR="001333D7" w:rsidRPr="000508B6">
        <w:rPr>
          <w:rFonts w:ascii="Times New Roman" w:eastAsia="Times New Roman" w:hAnsi="Times New Roman" w:cs="Times New Roman"/>
          <w:lang w:val="ro-MD"/>
        </w:rPr>
        <w:t>asigurătorului</w:t>
      </w:r>
      <w:r w:rsidR="00626AA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respectiv, în termen de o lună de la data primirii notificării prevăzute la alin.(1)</w:t>
      </w:r>
      <w:r w:rsidR="00EB408E" w:rsidRPr="000508B6">
        <w:rPr>
          <w:rFonts w:ascii="Times New Roman" w:eastAsia="Times New Roman" w:hAnsi="Times New Roman" w:cs="Times New Roman"/>
          <w:lang w:val="ro-MD"/>
        </w:rPr>
        <w:t xml:space="preserve">. </w:t>
      </w:r>
      <w:r w:rsidR="001333D7" w:rsidRPr="000508B6">
        <w:rPr>
          <w:rFonts w:ascii="Times New Roman" w:eastAsia="Times New Roman" w:hAnsi="Times New Roman" w:cs="Times New Roman"/>
          <w:lang w:val="ro-MD"/>
        </w:rPr>
        <w:t xml:space="preserve">Asigurătorul </w:t>
      </w:r>
      <w:r w:rsidR="00EB408E" w:rsidRPr="000508B6">
        <w:rPr>
          <w:rFonts w:ascii="Times New Roman" w:eastAsia="Times New Roman" w:hAnsi="Times New Roman" w:cs="Times New Roman"/>
          <w:lang w:val="ro-MD"/>
        </w:rPr>
        <w:t>poate sesiza instanța de judecată cu privire la refuz sau lipsa de acțiune</w:t>
      </w:r>
      <w:r w:rsidR="00EB186E" w:rsidRPr="000508B6">
        <w:rPr>
          <w:rFonts w:ascii="Times New Roman" w:eastAsia="Times New Roman" w:hAnsi="Times New Roman" w:cs="Times New Roman"/>
          <w:lang w:val="ro-MD"/>
        </w:rPr>
        <w:t xml:space="preserve">. </w:t>
      </w:r>
    </w:p>
    <w:p w14:paraId="37727B2D" w14:textId="4810B982" w:rsidR="00F95829" w:rsidRPr="000508B6" w:rsidRDefault="00F95829" w:rsidP="00DE4225">
      <w:pPr>
        <w:pStyle w:val="Listparagraf"/>
        <w:numPr>
          <w:ilvl w:val="1"/>
          <w:numId w:val="197"/>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Procedura descrisă la alin. (1) - (4) este respectată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 cazul în care </w:t>
      </w:r>
      <w:r w:rsidR="00DC3385" w:rsidRPr="000508B6">
        <w:rPr>
          <w:rFonts w:ascii="Times New Roman" w:eastAsia="Times New Roman" w:hAnsi="Times New Roman" w:cs="Times New Roman"/>
          <w:lang w:val="ro-MD"/>
        </w:rPr>
        <w:t>asigurătorul</w:t>
      </w:r>
      <w:r w:rsidR="00626AA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aduce modificări riscurilor </w:t>
      </w:r>
      <w:r w:rsidR="00AE3552" w:rsidRPr="000508B6">
        <w:rPr>
          <w:rFonts w:ascii="Times New Roman" w:eastAsia="Times New Roman" w:hAnsi="Times New Roman" w:cs="Times New Roman"/>
          <w:lang w:val="ro-MD"/>
        </w:rPr>
        <w:t xml:space="preserve">subscrise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angajamentelor</w:t>
      </w:r>
      <w:r w:rsidR="00F231BC"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asumate.</w:t>
      </w:r>
      <w:r w:rsidR="000B54E4" w:rsidRPr="000508B6">
        <w:rPr>
          <w:rFonts w:ascii="Times New Roman" w:eastAsia="Times New Roman" w:hAnsi="Times New Roman" w:cs="Times New Roman"/>
          <w:lang w:val="ro-MD"/>
        </w:rPr>
        <w:t xml:space="preserve"> </w:t>
      </w:r>
    </w:p>
    <w:p w14:paraId="432799C0" w14:textId="364AE98C" w:rsidR="00FC3940" w:rsidRPr="000508B6" w:rsidRDefault="00FC3940" w:rsidP="00DE4225">
      <w:pPr>
        <w:pStyle w:val="Listparagraf"/>
        <w:numPr>
          <w:ilvl w:val="1"/>
          <w:numId w:val="197"/>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EB186E" w:rsidRPr="000508B6">
        <w:rPr>
          <w:rFonts w:ascii="Times New Roman" w:eastAsia="Times New Roman" w:hAnsi="Times New Roman" w:cs="Times New Roman"/>
          <w:lang w:val="ro-MD"/>
        </w:rPr>
        <w:t xml:space="preserve">are loc </w:t>
      </w:r>
      <w:r w:rsidRPr="000508B6">
        <w:rPr>
          <w:rFonts w:ascii="Times New Roman" w:eastAsia="Times New Roman" w:hAnsi="Times New Roman" w:cs="Times New Roman"/>
          <w:lang w:val="ro-MD"/>
        </w:rPr>
        <w:t xml:space="preserve">o modificare a activității desfășurate de </w:t>
      </w:r>
      <w:r w:rsidR="00460DBC" w:rsidRPr="000508B6">
        <w:rPr>
          <w:rFonts w:ascii="Times New Roman" w:eastAsia="Times New Roman" w:hAnsi="Times New Roman" w:cs="Times New Roman"/>
          <w:lang w:val="ro-MD"/>
        </w:rPr>
        <w:t xml:space="preserve">către asigurător </w:t>
      </w:r>
      <w:r w:rsidRPr="000508B6">
        <w:rPr>
          <w:rFonts w:ascii="Times New Roman" w:eastAsia="Times New Roman" w:hAnsi="Times New Roman" w:cs="Times New Roman"/>
          <w:lang w:val="ro-MD"/>
        </w:rPr>
        <w:t xml:space="preserve">în temeiul libertății de a presta servicii care afectează în mod semnificativ profilul său de risc sau care influențează în mod semnificativ activitățile de asigurare în unul sau mai multe state membre gazdă, </w:t>
      </w:r>
      <w:r w:rsidR="00D17885" w:rsidRPr="000508B6">
        <w:rPr>
          <w:rFonts w:ascii="Times New Roman" w:eastAsia="Times New Roman" w:hAnsi="Times New Roman" w:cs="Times New Roman"/>
          <w:lang w:val="ro-MD"/>
        </w:rPr>
        <w:t>asigurătorul</w:t>
      </w:r>
      <w:r w:rsidR="00D17885" w:rsidRPr="000508B6">
        <w:rPr>
          <w:rFonts w:ascii="Times New Roman" w:eastAsia="Times New Roman" w:hAnsi="Times New Roman" w:cs="Times New Roman"/>
          <w:sz w:val="20"/>
          <w:szCs w:val="20"/>
          <w:lang w:val="ro-MD"/>
        </w:rPr>
        <w:t xml:space="preserve"> </w:t>
      </w:r>
      <w:r w:rsidRPr="000508B6">
        <w:rPr>
          <w:rFonts w:ascii="Times New Roman" w:eastAsia="Times New Roman" w:hAnsi="Times New Roman" w:cs="Times New Roman"/>
          <w:lang w:val="ro-MD"/>
        </w:rPr>
        <w:t xml:space="preserve">informează imediat </w:t>
      </w:r>
      <w:r w:rsidR="00EB186E" w:rsidRPr="000508B6">
        <w:rPr>
          <w:rFonts w:ascii="Times New Roman" w:eastAsia="Times New Roman" w:hAnsi="Times New Roman" w:cs="Times New Roman"/>
          <w:lang w:val="ro-MD"/>
        </w:rPr>
        <w:t xml:space="preserve">Banca </w:t>
      </w:r>
      <w:r w:rsidR="006045DE" w:rsidRPr="000508B6">
        <w:rPr>
          <w:rFonts w:ascii="Times New Roman" w:eastAsia="Times New Roman" w:hAnsi="Times New Roman" w:cs="Times New Roman"/>
          <w:lang w:val="ro-MD"/>
        </w:rPr>
        <w:t xml:space="preserve">Națională </w:t>
      </w:r>
      <w:r w:rsidR="00EB186E" w:rsidRPr="000508B6">
        <w:rPr>
          <w:rFonts w:ascii="Times New Roman" w:eastAsia="Times New Roman" w:hAnsi="Times New Roman" w:cs="Times New Roman"/>
          <w:lang w:val="ro-MD"/>
        </w:rPr>
        <w:t>a Moldovei</w:t>
      </w:r>
      <w:r w:rsidR="00F85560"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EB186E" w:rsidRPr="000508B6">
        <w:rPr>
          <w:rFonts w:ascii="Times New Roman" w:eastAsia="Times New Roman" w:hAnsi="Times New Roman" w:cs="Times New Roman"/>
          <w:lang w:val="ro-MD"/>
        </w:rPr>
        <w:t xml:space="preserve">Banca </w:t>
      </w:r>
      <w:r w:rsidR="00D232DF" w:rsidRPr="000508B6">
        <w:rPr>
          <w:rFonts w:ascii="Times New Roman" w:eastAsia="Times New Roman" w:hAnsi="Times New Roman" w:cs="Times New Roman"/>
          <w:lang w:val="ro-MD"/>
        </w:rPr>
        <w:t>Națională</w:t>
      </w:r>
      <w:r w:rsidR="00EB186E" w:rsidRPr="000508B6">
        <w:rPr>
          <w:rFonts w:ascii="Times New Roman" w:eastAsia="Times New Roman" w:hAnsi="Times New Roman" w:cs="Times New Roman"/>
          <w:lang w:val="ro-MD"/>
        </w:rPr>
        <w:t xml:space="preserve"> a Moldovei</w:t>
      </w:r>
      <w:r w:rsidRPr="000508B6">
        <w:rPr>
          <w:rFonts w:ascii="Times New Roman" w:eastAsia="Times New Roman" w:hAnsi="Times New Roman" w:cs="Times New Roman"/>
          <w:lang w:val="ro-MD"/>
        </w:rPr>
        <w:t xml:space="preserve"> informează fără întârziere </w:t>
      </w:r>
      <w:r w:rsidR="00072F41" w:rsidRPr="000508B6">
        <w:rPr>
          <w:rFonts w:ascii="Times New Roman" w:eastAsia="Times New Roman" w:hAnsi="Times New Roman" w:cs="Times New Roman"/>
          <w:lang w:val="ro-MD"/>
        </w:rPr>
        <w:t>supraveghetorii</w:t>
      </w:r>
      <w:r w:rsidRPr="000508B6">
        <w:rPr>
          <w:rFonts w:ascii="Times New Roman" w:eastAsia="Times New Roman" w:hAnsi="Times New Roman" w:cs="Times New Roman"/>
          <w:lang w:val="ro-MD"/>
        </w:rPr>
        <w:t xml:space="preserve"> din statele membre gazdă în cauză.</w:t>
      </w:r>
    </w:p>
    <w:p w14:paraId="008517D8" w14:textId="4201B6BA" w:rsidR="00CB4260" w:rsidRPr="000508B6" w:rsidRDefault="00DC3385" w:rsidP="00DE4225">
      <w:pPr>
        <w:pStyle w:val="Listparagraf"/>
        <w:numPr>
          <w:ilvl w:val="1"/>
          <w:numId w:val="197"/>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Asigurătorul </w:t>
      </w:r>
      <w:r w:rsidR="00CB4260" w:rsidRPr="000508B6">
        <w:rPr>
          <w:rFonts w:ascii="Times New Roman" w:eastAsia="Times New Roman" w:hAnsi="Times New Roman" w:cs="Times New Roman"/>
          <w:lang w:val="ro-MD"/>
        </w:rPr>
        <w:t xml:space="preserve">care </w:t>
      </w:r>
      <w:proofErr w:type="spellStart"/>
      <w:r w:rsidR="00CB4260" w:rsidRPr="000508B6">
        <w:rPr>
          <w:rFonts w:ascii="Times New Roman" w:eastAsia="Times New Roman" w:hAnsi="Times New Roman" w:cs="Times New Roman"/>
          <w:lang w:val="ro-MD"/>
        </w:rPr>
        <w:t>desfăşoară</w:t>
      </w:r>
      <w:proofErr w:type="spellEnd"/>
      <w:r w:rsidR="00CB4260" w:rsidRPr="000508B6">
        <w:rPr>
          <w:rFonts w:ascii="Times New Roman" w:eastAsia="Times New Roman" w:hAnsi="Times New Roman" w:cs="Times New Roman"/>
          <w:lang w:val="ro-MD"/>
        </w:rPr>
        <w:t xml:space="preserve"> activitate pe teritoriul altor state membre în baza </w:t>
      </w:r>
      <w:proofErr w:type="spellStart"/>
      <w:r w:rsidR="00CB4260" w:rsidRPr="000508B6">
        <w:rPr>
          <w:rFonts w:ascii="Times New Roman" w:eastAsia="Times New Roman" w:hAnsi="Times New Roman" w:cs="Times New Roman"/>
          <w:lang w:val="ro-MD"/>
        </w:rPr>
        <w:t>liberății</w:t>
      </w:r>
      <w:proofErr w:type="spellEnd"/>
      <w:r w:rsidR="00CB4260" w:rsidRPr="000508B6">
        <w:rPr>
          <w:rFonts w:ascii="Times New Roman" w:eastAsia="Times New Roman" w:hAnsi="Times New Roman" w:cs="Times New Roman"/>
          <w:lang w:val="ro-MD"/>
        </w:rPr>
        <w:t xml:space="preserve"> de a presta servicii raportează Băncii Naționale a Moldovei, în conformitate cu prevederile legale, volumul primelor, al daunelor </w:t>
      </w:r>
      <w:proofErr w:type="spellStart"/>
      <w:r w:rsidR="00CB4260" w:rsidRPr="000508B6">
        <w:rPr>
          <w:rFonts w:ascii="Times New Roman" w:eastAsia="Times New Roman" w:hAnsi="Times New Roman" w:cs="Times New Roman"/>
          <w:lang w:val="ro-MD"/>
        </w:rPr>
        <w:t>şi</w:t>
      </w:r>
      <w:proofErr w:type="spellEnd"/>
      <w:r w:rsidR="00CB4260" w:rsidRPr="000508B6">
        <w:rPr>
          <w:rFonts w:ascii="Times New Roman" w:eastAsia="Times New Roman" w:hAnsi="Times New Roman" w:cs="Times New Roman"/>
          <w:lang w:val="ro-MD"/>
        </w:rPr>
        <w:t xml:space="preserve"> al comisioanelor fără deducerea reasigurării, separat pentru </w:t>
      </w:r>
      <w:bookmarkStart w:id="118" w:name="_Hlk206940801"/>
      <w:r w:rsidR="00B94FC7" w:rsidRPr="000508B6">
        <w:rPr>
          <w:rFonts w:ascii="Times New Roman" w:eastAsia="Times New Roman" w:hAnsi="Times New Roman" w:cs="Times New Roman"/>
          <w:lang w:val="ro-MD"/>
        </w:rPr>
        <w:t xml:space="preserve">activitatea de </w:t>
      </w:r>
      <w:r w:rsidR="00CB4260" w:rsidRPr="000508B6">
        <w:rPr>
          <w:rFonts w:ascii="Times New Roman" w:eastAsia="Times New Roman" w:hAnsi="Times New Roman" w:cs="Times New Roman"/>
          <w:lang w:val="ro-MD"/>
        </w:rPr>
        <w:t xml:space="preserve">asigurare generală </w:t>
      </w:r>
      <w:bookmarkEnd w:id="118"/>
      <w:proofErr w:type="spellStart"/>
      <w:r w:rsidR="00CB4260" w:rsidRPr="000508B6">
        <w:rPr>
          <w:rFonts w:ascii="Times New Roman" w:eastAsia="Times New Roman" w:hAnsi="Times New Roman" w:cs="Times New Roman"/>
          <w:lang w:val="ro-MD"/>
        </w:rPr>
        <w:t>şi</w:t>
      </w:r>
      <w:proofErr w:type="spellEnd"/>
      <w:r w:rsidR="00CB4260" w:rsidRPr="000508B6">
        <w:rPr>
          <w:rFonts w:ascii="Times New Roman" w:eastAsia="Times New Roman" w:hAnsi="Times New Roman" w:cs="Times New Roman"/>
          <w:lang w:val="ro-MD"/>
        </w:rPr>
        <w:t xml:space="preserve"> de </w:t>
      </w:r>
      <w:proofErr w:type="spellStart"/>
      <w:r w:rsidR="00CB4260" w:rsidRPr="000508B6">
        <w:rPr>
          <w:rFonts w:ascii="Times New Roman" w:eastAsia="Times New Roman" w:hAnsi="Times New Roman" w:cs="Times New Roman"/>
          <w:lang w:val="ro-MD"/>
        </w:rPr>
        <w:t>viaţă</w:t>
      </w:r>
      <w:proofErr w:type="spellEnd"/>
      <w:r w:rsidR="00CB4260" w:rsidRPr="000508B6">
        <w:rPr>
          <w:rFonts w:ascii="Times New Roman" w:eastAsia="Times New Roman" w:hAnsi="Times New Roman" w:cs="Times New Roman"/>
          <w:lang w:val="ro-MD"/>
        </w:rPr>
        <w:t xml:space="preserve"> </w:t>
      </w:r>
      <w:proofErr w:type="spellStart"/>
      <w:r w:rsidR="00CB4260" w:rsidRPr="000508B6">
        <w:rPr>
          <w:rFonts w:ascii="Times New Roman" w:eastAsia="Times New Roman" w:hAnsi="Times New Roman" w:cs="Times New Roman"/>
          <w:lang w:val="ro-MD"/>
        </w:rPr>
        <w:t>şi</w:t>
      </w:r>
      <w:proofErr w:type="spellEnd"/>
      <w:r w:rsidR="00CB4260" w:rsidRPr="000508B6">
        <w:rPr>
          <w:rFonts w:ascii="Times New Roman" w:eastAsia="Times New Roman" w:hAnsi="Times New Roman" w:cs="Times New Roman"/>
          <w:lang w:val="ro-MD"/>
        </w:rPr>
        <w:t xml:space="preserve"> defalcat pe linii de activitate, separat pentru fiecare stat membru.</w:t>
      </w:r>
      <w:r w:rsidR="003C7DBB" w:rsidRPr="000508B6">
        <w:rPr>
          <w:rFonts w:ascii="Times New Roman" w:hAnsi="Times New Roman" w:cs="Times New Roman"/>
          <w:lang w:val="ro-MD"/>
        </w:rPr>
        <w:t xml:space="preserve"> </w:t>
      </w:r>
    </w:p>
    <w:p w14:paraId="2742E60C" w14:textId="56CBC4FA" w:rsidR="003C7DBB" w:rsidRPr="000508B6" w:rsidRDefault="003C7DBB" w:rsidP="003C7DBB">
      <w:pPr>
        <w:pStyle w:val="Listparagraf"/>
        <w:numPr>
          <w:ilvl w:val="1"/>
          <w:numId w:val="197"/>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Pentru clasa 10 prevăzută în Anexa nr. 1</w:t>
      </w:r>
      <w:r w:rsidR="007E6511"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Secţiunea</w:t>
      </w:r>
      <w:proofErr w:type="spellEnd"/>
      <w:r w:rsidRPr="000508B6">
        <w:rPr>
          <w:rFonts w:ascii="Times New Roman" w:eastAsia="Times New Roman" w:hAnsi="Times New Roman" w:cs="Times New Roman"/>
          <w:lang w:val="ro-MD"/>
        </w:rPr>
        <w:t xml:space="preserve"> A, cu excepția răspunderii transportatorului, raportările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(7) includ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frecvenţa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costul mediu al daunelor.</w:t>
      </w:r>
    </w:p>
    <w:p w14:paraId="511FEC71" w14:textId="77777777" w:rsidR="00DA714D" w:rsidRPr="000508B6" w:rsidRDefault="00DA714D" w:rsidP="00DA714D">
      <w:pPr>
        <w:spacing w:after="0" w:line="240" w:lineRule="auto"/>
        <w:ind w:firstLine="426"/>
        <w:jc w:val="center"/>
        <w:rPr>
          <w:rFonts w:ascii="Times New Roman" w:eastAsia="Times New Roman" w:hAnsi="Times New Roman" w:cs="Times New Roman"/>
          <w:b/>
          <w:lang w:val="ro-MD"/>
        </w:rPr>
      </w:pPr>
    </w:p>
    <w:p w14:paraId="1978354C" w14:textId="0B51831F" w:rsidR="00DA714D" w:rsidRPr="000508B6" w:rsidRDefault="00DA714D" w:rsidP="00DA714D">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3-a</w:t>
      </w:r>
    </w:p>
    <w:p w14:paraId="2D7F5ED6" w14:textId="0153B284" w:rsidR="00A73E00" w:rsidRPr="000508B6" w:rsidRDefault="00A73E00" w:rsidP="00A73E00">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Asigurători din alte state membre care desfășoară activitate în Republica Moldova</w:t>
      </w:r>
    </w:p>
    <w:p w14:paraId="694E4270" w14:textId="77777777" w:rsidR="00E75956" w:rsidRPr="000508B6" w:rsidRDefault="00E75956" w:rsidP="00A73E00">
      <w:pPr>
        <w:spacing w:after="0" w:line="240" w:lineRule="auto"/>
        <w:ind w:firstLine="426"/>
        <w:rPr>
          <w:rFonts w:ascii="Times New Roman" w:eastAsia="Times New Roman" w:hAnsi="Times New Roman" w:cs="Times New Roman"/>
          <w:b/>
          <w:lang w:val="ro-MD"/>
        </w:rPr>
      </w:pPr>
    </w:p>
    <w:p w14:paraId="09DA889B" w14:textId="258B3A74" w:rsidR="00A73E00" w:rsidRPr="000508B6" w:rsidRDefault="00A73E00" w:rsidP="00A73E00">
      <w:pPr>
        <w:spacing w:after="0" w:line="240" w:lineRule="auto"/>
        <w:ind w:firstLine="426"/>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Articolul 93. </w:t>
      </w:r>
      <w:r w:rsidRPr="000508B6">
        <w:rPr>
          <w:rFonts w:ascii="Times New Roman" w:eastAsia="Times New Roman" w:hAnsi="Times New Roman" w:cs="Times New Roman"/>
          <w:bCs/>
          <w:lang w:val="ro-MD"/>
        </w:rPr>
        <w:t>Dreptul de stabilire</w:t>
      </w:r>
    </w:p>
    <w:p w14:paraId="1894767F" w14:textId="3A06CEAC" w:rsidR="00A73E00" w:rsidRPr="000508B6" w:rsidRDefault="00A73E00" w:rsidP="00460765">
      <w:pPr>
        <w:pStyle w:val="Listparagraf"/>
        <w:numPr>
          <w:ilvl w:val="1"/>
          <w:numId w:val="110"/>
        </w:numPr>
        <w:spacing w:after="0" w:line="240" w:lineRule="auto"/>
        <w:ind w:left="0" w:firstLine="426"/>
        <w:jc w:val="both"/>
        <w:rPr>
          <w:rFonts w:ascii="Times New Roman" w:eastAsia="Times New Roman" w:hAnsi="Times New Roman" w:cs="Times New Roman"/>
          <w:bCs/>
          <w:lang w:val="ro-RO"/>
        </w:rPr>
      </w:pPr>
      <w:r w:rsidRPr="000508B6">
        <w:rPr>
          <w:rFonts w:ascii="Times New Roman" w:eastAsia="Times New Roman" w:hAnsi="Times New Roman" w:cs="Times New Roman"/>
          <w:bCs/>
          <w:lang w:val="ro-MD"/>
        </w:rPr>
        <w:t xml:space="preserve">În cazul în care </w:t>
      </w:r>
      <w:bookmarkStart w:id="119" w:name="_Hlk222385074"/>
      <w:r w:rsidRPr="000508B6">
        <w:rPr>
          <w:rFonts w:ascii="Times New Roman" w:eastAsia="Times New Roman" w:hAnsi="Times New Roman" w:cs="Times New Roman"/>
          <w:bCs/>
          <w:lang w:val="ro-MD"/>
        </w:rPr>
        <w:t xml:space="preserve">Banca Națională a Moldovei </w:t>
      </w:r>
      <w:bookmarkEnd w:id="119"/>
      <w:r w:rsidRPr="000508B6">
        <w:rPr>
          <w:rFonts w:ascii="Times New Roman" w:eastAsia="Times New Roman" w:hAnsi="Times New Roman" w:cs="Times New Roman"/>
          <w:bCs/>
          <w:lang w:val="ro-MD"/>
        </w:rPr>
        <w:t xml:space="preserve">este notificată de un supraveghetor dintr-un stat membru de origine despre </w:t>
      </w:r>
      <w:proofErr w:type="spellStart"/>
      <w:r w:rsidRPr="000508B6">
        <w:rPr>
          <w:rFonts w:ascii="Times New Roman" w:eastAsia="Times New Roman" w:hAnsi="Times New Roman" w:cs="Times New Roman"/>
          <w:bCs/>
          <w:lang w:val="ro-MD"/>
        </w:rPr>
        <w:t>intenţia</w:t>
      </w:r>
      <w:proofErr w:type="spellEnd"/>
      <w:r w:rsidRPr="000508B6">
        <w:rPr>
          <w:rFonts w:ascii="Times New Roman" w:eastAsia="Times New Roman" w:hAnsi="Times New Roman" w:cs="Times New Roman"/>
          <w:bCs/>
          <w:lang w:val="ro-MD"/>
        </w:rPr>
        <w:t xml:space="preserve"> unui asigurător licențiat în statul membru respectiv de a stabili o sucursală pe teritoriul Republicii Moldova, Banca Națională a Moldovei comunică supraveghetorului în termen de două luni, informa</w:t>
      </w:r>
      <w:r w:rsidRPr="000508B6">
        <w:rPr>
          <w:rFonts w:ascii="Times New Roman" w:eastAsia="Times New Roman" w:hAnsi="Times New Roman" w:cs="Times New Roman"/>
          <w:bCs/>
          <w:lang w:val="ro-RO"/>
        </w:rPr>
        <w:t xml:space="preserve">ții privind </w:t>
      </w:r>
      <w:proofErr w:type="spellStart"/>
      <w:r w:rsidRPr="000508B6">
        <w:rPr>
          <w:rFonts w:ascii="Times New Roman" w:eastAsia="Times New Roman" w:hAnsi="Times New Roman" w:cs="Times New Roman"/>
          <w:bCs/>
          <w:lang w:val="ro-RO"/>
        </w:rPr>
        <w:t>legislaţia</w:t>
      </w:r>
      <w:proofErr w:type="spellEnd"/>
      <w:r w:rsidRPr="000508B6">
        <w:rPr>
          <w:rFonts w:ascii="Times New Roman" w:eastAsia="Times New Roman" w:hAnsi="Times New Roman" w:cs="Times New Roman"/>
          <w:bCs/>
          <w:lang w:val="ro-RO"/>
        </w:rPr>
        <w:t xml:space="preserve"> referitoare la protejarea interesului general, care trebuie respectată de asigurători în exercitarea </w:t>
      </w:r>
      <w:proofErr w:type="spellStart"/>
      <w:r w:rsidRPr="000508B6">
        <w:rPr>
          <w:rFonts w:ascii="Times New Roman" w:eastAsia="Times New Roman" w:hAnsi="Times New Roman" w:cs="Times New Roman"/>
          <w:bCs/>
          <w:lang w:val="ro-RO"/>
        </w:rPr>
        <w:t>activităţii</w:t>
      </w:r>
      <w:proofErr w:type="spellEnd"/>
      <w:r w:rsidRPr="000508B6">
        <w:rPr>
          <w:rFonts w:ascii="Times New Roman" w:eastAsia="Times New Roman" w:hAnsi="Times New Roman" w:cs="Times New Roman"/>
          <w:bCs/>
          <w:lang w:val="ro-RO"/>
        </w:rPr>
        <w:t>.</w:t>
      </w:r>
    </w:p>
    <w:p w14:paraId="3540C49C" w14:textId="4A30D64C" w:rsidR="00A73E00" w:rsidRPr="000508B6" w:rsidRDefault="00A73E00" w:rsidP="00460765">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460765"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 xml:space="preserve">) </w:t>
      </w:r>
      <w:r w:rsidR="00F94EE0" w:rsidRPr="000508B6">
        <w:rPr>
          <w:rFonts w:ascii="Times New Roman" w:eastAsia="Times New Roman" w:hAnsi="Times New Roman" w:cs="Times New Roman"/>
          <w:bCs/>
          <w:lang w:val="ro-MD"/>
        </w:rPr>
        <w:t xml:space="preserve">Asigurătorul care desfășoară activitate de asigurarea generală se afiliază și participă la Fondul de garantare în asigurări, în aceleași condiții ca și asigurătorul care </w:t>
      </w:r>
      <w:proofErr w:type="spellStart"/>
      <w:r w:rsidR="00F94EE0" w:rsidRPr="000508B6">
        <w:rPr>
          <w:rFonts w:ascii="Times New Roman" w:eastAsia="Times New Roman" w:hAnsi="Times New Roman" w:cs="Times New Roman"/>
          <w:bCs/>
          <w:lang w:val="ro-MD"/>
        </w:rPr>
        <w:t>desfăşoară</w:t>
      </w:r>
      <w:proofErr w:type="spellEnd"/>
      <w:r w:rsidR="00F94EE0" w:rsidRPr="000508B6">
        <w:rPr>
          <w:rFonts w:ascii="Times New Roman" w:eastAsia="Times New Roman" w:hAnsi="Times New Roman" w:cs="Times New Roman"/>
          <w:bCs/>
          <w:lang w:val="ro-MD"/>
        </w:rPr>
        <w:t xml:space="preserve"> activitate de asigurare generală licențiat conform prevederilor prezentei legi</w:t>
      </w:r>
      <w:r w:rsidR="007858A3"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w:t>
      </w:r>
    </w:p>
    <w:p w14:paraId="10C37555" w14:textId="17A683C1" w:rsidR="00A73E00" w:rsidRPr="000508B6" w:rsidRDefault="00A73E00" w:rsidP="00460765">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460765" w:rsidRPr="000508B6">
        <w:rPr>
          <w:rFonts w:ascii="Times New Roman" w:eastAsia="Times New Roman" w:hAnsi="Times New Roman" w:cs="Times New Roman"/>
          <w:bCs/>
          <w:lang w:val="ro-MD"/>
        </w:rPr>
        <w:t>3</w:t>
      </w:r>
      <w:r w:rsidRPr="000508B6">
        <w:rPr>
          <w:rFonts w:ascii="Times New Roman" w:eastAsia="Times New Roman" w:hAnsi="Times New Roman" w:cs="Times New Roman"/>
          <w:bCs/>
          <w:lang w:val="ro-MD"/>
        </w:rPr>
        <w:t xml:space="preserve">) Asigurătorii din alte state membre pot stabili sucursale și pot începe să desfășoare activitate în </w:t>
      </w:r>
      <w:r w:rsidR="00460765" w:rsidRPr="000508B6">
        <w:rPr>
          <w:rFonts w:ascii="Times New Roman" w:eastAsia="Times New Roman" w:hAnsi="Times New Roman" w:cs="Times New Roman"/>
          <w:bCs/>
          <w:lang w:val="ro-MD"/>
        </w:rPr>
        <w:t>Republica Moldova</w:t>
      </w:r>
      <w:r w:rsidRPr="000508B6">
        <w:rPr>
          <w:rFonts w:ascii="Times New Roman" w:eastAsia="Times New Roman" w:hAnsi="Times New Roman" w:cs="Times New Roman"/>
          <w:bCs/>
          <w:lang w:val="ro-MD"/>
        </w:rPr>
        <w:t xml:space="preserve"> începând cu una dintre următoarele date:</w:t>
      </w:r>
    </w:p>
    <w:p w14:paraId="3578FD7E" w14:textId="6BBCB882" w:rsidR="00A73E00" w:rsidRPr="000508B6" w:rsidRDefault="00A73E00" w:rsidP="00460765">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 data la care supraveghetorii acestora le comunică informațiile prevăzute la alin. (1) primite de la </w:t>
      </w:r>
      <w:r w:rsidR="00460765" w:rsidRPr="000508B6">
        <w:rPr>
          <w:rFonts w:ascii="Times New Roman" w:eastAsia="Times New Roman" w:hAnsi="Times New Roman" w:cs="Times New Roman"/>
          <w:bCs/>
          <w:lang w:val="ro-MD"/>
        </w:rPr>
        <w:t>Banca Națională a Moldovei</w:t>
      </w:r>
      <w:r w:rsidRPr="000508B6">
        <w:rPr>
          <w:rFonts w:ascii="Times New Roman" w:eastAsia="Times New Roman" w:hAnsi="Times New Roman" w:cs="Times New Roman"/>
          <w:bCs/>
          <w:lang w:val="ro-MD"/>
        </w:rPr>
        <w:t>;</w:t>
      </w:r>
    </w:p>
    <w:p w14:paraId="7DA1ACC7" w14:textId="5FE49B1C" w:rsidR="00A73E00" w:rsidRPr="000508B6" w:rsidRDefault="00A73E00" w:rsidP="00460765">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Cs/>
          <w:lang w:val="ro-MD"/>
        </w:rPr>
        <w:t xml:space="preserve">b) data la care expiră termenul de 2 luni prevăzut la alin. (1) de când </w:t>
      </w:r>
      <w:r w:rsidR="00460765" w:rsidRPr="000508B6">
        <w:rPr>
          <w:rFonts w:ascii="Times New Roman" w:eastAsia="Times New Roman" w:hAnsi="Times New Roman" w:cs="Times New Roman"/>
          <w:bCs/>
          <w:lang w:val="ro-MD"/>
        </w:rPr>
        <w:t xml:space="preserve">Banca Națională a Moldovei </w:t>
      </w:r>
      <w:r w:rsidRPr="000508B6">
        <w:rPr>
          <w:rFonts w:ascii="Times New Roman" w:eastAsia="Times New Roman" w:hAnsi="Times New Roman" w:cs="Times New Roman"/>
          <w:bCs/>
          <w:lang w:val="ro-MD"/>
        </w:rPr>
        <w:t xml:space="preserve">a fost notificată conform alineatului menționat, în cazul în care </w:t>
      </w:r>
      <w:r w:rsidR="00460765" w:rsidRPr="000508B6">
        <w:rPr>
          <w:rFonts w:ascii="Times New Roman" w:eastAsia="Times New Roman" w:hAnsi="Times New Roman" w:cs="Times New Roman"/>
          <w:bCs/>
          <w:lang w:val="ro-MD"/>
        </w:rPr>
        <w:t xml:space="preserve">Banca Națională a Moldovei </w:t>
      </w:r>
      <w:r w:rsidRPr="000508B6">
        <w:rPr>
          <w:rFonts w:ascii="Times New Roman" w:eastAsia="Times New Roman" w:hAnsi="Times New Roman" w:cs="Times New Roman"/>
          <w:bCs/>
          <w:lang w:val="ro-MD"/>
        </w:rPr>
        <w:t>nu transmite supraveghetorilor informațiile prevăzute la același alineat</w:t>
      </w:r>
      <w:r w:rsidRPr="000508B6">
        <w:rPr>
          <w:rFonts w:ascii="Times New Roman" w:eastAsia="Times New Roman" w:hAnsi="Times New Roman" w:cs="Times New Roman"/>
          <w:b/>
          <w:lang w:val="ro-MD"/>
        </w:rPr>
        <w:t>.</w:t>
      </w:r>
      <w:r w:rsidR="006403C2" w:rsidRPr="000508B6">
        <w:rPr>
          <w:rFonts w:ascii="Times New Roman" w:eastAsia="Times New Roman" w:hAnsi="Times New Roman" w:cs="Times New Roman"/>
          <w:b/>
          <w:lang w:val="ro-MD"/>
        </w:rPr>
        <w:t xml:space="preserve"> </w:t>
      </w:r>
    </w:p>
    <w:p w14:paraId="3E6E3E9C" w14:textId="427EC9DE" w:rsidR="00A73E00" w:rsidRPr="000508B6" w:rsidRDefault="00A73E00" w:rsidP="00F26EE1">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(4) În cazul în care informațiile cuprinse în notificarea prevăzută la alin. (1) urmează a fi modificate, asigurător</w:t>
      </w:r>
      <w:r w:rsidR="00AE77C1" w:rsidRPr="000508B6">
        <w:rPr>
          <w:rFonts w:ascii="Times New Roman" w:eastAsia="Times New Roman" w:hAnsi="Times New Roman" w:cs="Times New Roman"/>
          <w:bCs/>
          <w:lang w:val="ro-MD"/>
        </w:rPr>
        <w:t xml:space="preserve">ul </w:t>
      </w:r>
      <w:r w:rsidRPr="000508B6">
        <w:rPr>
          <w:rFonts w:ascii="Times New Roman" w:eastAsia="Times New Roman" w:hAnsi="Times New Roman" w:cs="Times New Roman"/>
          <w:bCs/>
          <w:lang w:val="ro-MD"/>
        </w:rPr>
        <w:t>din alt stat membr</w:t>
      </w:r>
      <w:r w:rsidR="00AE77C1"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 comunică acest lucru </w:t>
      </w:r>
      <w:r w:rsidR="00F26EE1" w:rsidRPr="000508B6">
        <w:rPr>
          <w:rFonts w:ascii="Times New Roman" w:eastAsia="Times New Roman" w:hAnsi="Times New Roman" w:cs="Times New Roman"/>
          <w:bCs/>
          <w:lang w:val="ro-MD"/>
        </w:rPr>
        <w:t>Băncii Naționale a Moldovei</w:t>
      </w:r>
      <w:r w:rsidRPr="000508B6">
        <w:rPr>
          <w:rFonts w:ascii="Times New Roman" w:eastAsia="Times New Roman" w:hAnsi="Times New Roman" w:cs="Times New Roman"/>
          <w:bCs/>
          <w:lang w:val="ro-MD"/>
        </w:rPr>
        <w:t xml:space="preserve">, cu o lună înainte de operarea modificărilor.  </w:t>
      </w:r>
    </w:p>
    <w:p w14:paraId="2664CB4D" w14:textId="143F5ECA" w:rsidR="00A73E00" w:rsidRPr="000508B6" w:rsidRDefault="00A73E00" w:rsidP="00F26EE1">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(5) Sucursalele asigurător</w:t>
      </w:r>
      <w:r w:rsidR="00AE77C1" w:rsidRPr="000508B6">
        <w:rPr>
          <w:rFonts w:ascii="Times New Roman" w:eastAsia="Times New Roman" w:hAnsi="Times New Roman" w:cs="Times New Roman"/>
          <w:bCs/>
          <w:lang w:val="ro-MD"/>
        </w:rPr>
        <w:t>ului</w:t>
      </w:r>
      <w:r w:rsidRPr="000508B6">
        <w:rPr>
          <w:rFonts w:ascii="Times New Roman" w:eastAsia="Times New Roman" w:hAnsi="Times New Roman" w:cs="Times New Roman"/>
          <w:bCs/>
          <w:lang w:val="ro-MD"/>
        </w:rPr>
        <w:t xml:space="preserve"> din alt stat membr</w:t>
      </w:r>
      <w:r w:rsidR="00AE77C1"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 au obligația de a transmite </w:t>
      </w:r>
      <w:r w:rsidR="00F26EE1" w:rsidRPr="000508B6">
        <w:rPr>
          <w:rFonts w:ascii="Times New Roman" w:eastAsia="Times New Roman" w:hAnsi="Times New Roman" w:cs="Times New Roman"/>
          <w:bCs/>
          <w:lang w:val="ro-MD"/>
        </w:rPr>
        <w:t>Băncii Naționale a Moldovei</w:t>
      </w:r>
      <w:r w:rsidRPr="000508B6">
        <w:rPr>
          <w:rFonts w:ascii="Times New Roman" w:eastAsia="Times New Roman" w:hAnsi="Times New Roman" w:cs="Times New Roman"/>
          <w:bCs/>
          <w:lang w:val="ro-MD"/>
        </w:rPr>
        <w:t xml:space="preserve"> documentele și informațiile pe care aceasta le solicită.</w:t>
      </w:r>
    </w:p>
    <w:p w14:paraId="1568FAFD" w14:textId="7F6FA969" w:rsidR="00A73E00" w:rsidRPr="000508B6" w:rsidRDefault="00A73E00" w:rsidP="00F26EE1">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(6) Asigurător</w:t>
      </w:r>
      <w:r w:rsidR="00172C6A" w:rsidRPr="000508B6">
        <w:rPr>
          <w:rFonts w:ascii="Times New Roman" w:eastAsia="Times New Roman" w:hAnsi="Times New Roman" w:cs="Times New Roman"/>
          <w:bCs/>
          <w:lang w:val="ro-MD"/>
        </w:rPr>
        <w:t>ul</w:t>
      </w:r>
      <w:r w:rsidRPr="000508B6">
        <w:rPr>
          <w:rFonts w:ascii="Times New Roman" w:eastAsia="Times New Roman" w:hAnsi="Times New Roman" w:cs="Times New Roman"/>
          <w:bCs/>
          <w:lang w:val="ro-MD"/>
        </w:rPr>
        <w:t xml:space="preserve"> din alt stat membr</w:t>
      </w:r>
      <w:r w:rsidR="00172C6A"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 po</w:t>
      </w:r>
      <w:r w:rsidR="004574D0" w:rsidRPr="000508B6">
        <w:rPr>
          <w:rFonts w:ascii="Times New Roman" w:eastAsia="Times New Roman" w:hAnsi="Times New Roman" w:cs="Times New Roman"/>
          <w:bCs/>
          <w:lang w:val="ro-MD"/>
        </w:rPr>
        <w:t>a</w:t>
      </w:r>
      <w:r w:rsidRPr="000508B6">
        <w:rPr>
          <w:rFonts w:ascii="Times New Roman" w:eastAsia="Times New Roman" w:hAnsi="Times New Roman" w:cs="Times New Roman"/>
          <w:bCs/>
          <w:lang w:val="ro-MD"/>
        </w:rPr>
        <w:t>t</w:t>
      </w:r>
      <w:r w:rsidR="004574D0" w:rsidRPr="000508B6">
        <w:rPr>
          <w:rFonts w:ascii="Times New Roman" w:eastAsia="Times New Roman" w:hAnsi="Times New Roman" w:cs="Times New Roman"/>
          <w:bCs/>
          <w:lang w:val="ro-MD"/>
        </w:rPr>
        <w:t>e</w:t>
      </w:r>
      <w:r w:rsidRPr="000508B6">
        <w:rPr>
          <w:rFonts w:ascii="Times New Roman" w:eastAsia="Times New Roman" w:hAnsi="Times New Roman" w:cs="Times New Roman"/>
          <w:bCs/>
          <w:lang w:val="ro-MD"/>
        </w:rPr>
        <w:t xml:space="preserve"> să </w:t>
      </w:r>
      <w:proofErr w:type="spellStart"/>
      <w:r w:rsidRPr="000508B6">
        <w:rPr>
          <w:rFonts w:ascii="Times New Roman" w:eastAsia="Times New Roman" w:hAnsi="Times New Roman" w:cs="Times New Roman"/>
          <w:bCs/>
          <w:lang w:val="ro-MD"/>
        </w:rPr>
        <w:t>îşi</w:t>
      </w:r>
      <w:proofErr w:type="spellEnd"/>
      <w:r w:rsidRPr="000508B6">
        <w:rPr>
          <w:rFonts w:ascii="Times New Roman" w:eastAsia="Times New Roman" w:hAnsi="Times New Roman" w:cs="Times New Roman"/>
          <w:bCs/>
          <w:lang w:val="ro-MD"/>
        </w:rPr>
        <w:t xml:space="preserve"> promoveze produsele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serviciile oferite prin intermediul tuturor canalelor de comunicare, cu respectarea </w:t>
      </w:r>
      <w:proofErr w:type="spellStart"/>
      <w:r w:rsidRPr="000508B6">
        <w:rPr>
          <w:rFonts w:ascii="Times New Roman" w:eastAsia="Times New Roman" w:hAnsi="Times New Roman" w:cs="Times New Roman"/>
          <w:bCs/>
          <w:lang w:val="ro-MD"/>
        </w:rPr>
        <w:t>legislaţiei</w:t>
      </w:r>
      <w:proofErr w:type="spellEnd"/>
      <w:r w:rsidRPr="000508B6">
        <w:rPr>
          <w:rFonts w:ascii="Times New Roman" w:eastAsia="Times New Roman" w:hAnsi="Times New Roman" w:cs="Times New Roman"/>
          <w:bCs/>
          <w:lang w:val="ro-MD"/>
        </w:rPr>
        <w:t xml:space="preserve"> privind forma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conţinutul</w:t>
      </w:r>
      <w:proofErr w:type="spellEnd"/>
      <w:r w:rsidRPr="000508B6">
        <w:rPr>
          <w:rFonts w:ascii="Times New Roman" w:eastAsia="Times New Roman" w:hAnsi="Times New Roman" w:cs="Times New Roman"/>
          <w:bCs/>
          <w:lang w:val="ro-MD"/>
        </w:rPr>
        <w:t xml:space="preserve"> mijloacelor de publicitate</w:t>
      </w:r>
      <w:r w:rsidR="00F26EE1" w:rsidRPr="000508B6">
        <w:rPr>
          <w:rFonts w:ascii="Times New Roman" w:eastAsia="Times New Roman" w:hAnsi="Times New Roman" w:cs="Times New Roman"/>
          <w:bCs/>
          <w:lang w:val="ro-MD"/>
        </w:rPr>
        <w:t xml:space="preserve"> și a legislației privind distribuția în asigurări. </w:t>
      </w:r>
    </w:p>
    <w:p w14:paraId="1F09A6C6" w14:textId="577DAAB3" w:rsidR="00F26EE1" w:rsidRPr="000508B6" w:rsidRDefault="00A73E00" w:rsidP="00F26EE1">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8C2E59" w:rsidRPr="000508B6">
        <w:rPr>
          <w:rFonts w:ascii="Times New Roman" w:eastAsia="Times New Roman" w:hAnsi="Times New Roman" w:cs="Times New Roman"/>
          <w:bCs/>
          <w:lang w:val="ro-MD"/>
        </w:rPr>
        <w:t>7</w:t>
      </w:r>
      <w:r w:rsidRPr="000508B6">
        <w:rPr>
          <w:rFonts w:ascii="Times New Roman" w:eastAsia="Times New Roman" w:hAnsi="Times New Roman" w:cs="Times New Roman"/>
          <w:bCs/>
          <w:lang w:val="ro-MD"/>
        </w:rPr>
        <w:t xml:space="preserve">) </w:t>
      </w:r>
      <w:r w:rsidR="00F26EE1" w:rsidRPr="000508B6">
        <w:rPr>
          <w:rFonts w:ascii="Times New Roman" w:eastAsia="Times New Roman" w:hAnsi="Times New Roman" w:cs="Times New Roman"/>
          <w:bCs/>
          <w:lang w:val="ro-MD"/>
        </w:rPr>
        <w:t>În cazul în care intenționează</w:t>
      </w:r>
      <w:r w:rsidR="00DD7CC3" w:rsidRPr="000508B6">
        <w:rPr>
          <w:rFonts w:ascii="Times New Roman" w:eastAsia="Times New Roman" w:hAnsi="Times New Roman" w:cs="Times New Roman"/>
          <w:bCs/>
          <w:lang w:val="ro-MD"/>
        </w:rPr>
        <w:t xml:space="preserve"> să</w:t>
      </w:r>
      <w:r w:rsidR="00F26EE1" w:rsidRPr="000508B6">
        <w:rPr>
          <w:rFonts w:ascii="Times New Roman" w:eastAsia="Times New Roman" w:hAnsi="Times New Roman" w:cs="Times New Roman"/>
          <w:bCs/>
          <w:lang w:val="ro-MD"/>
        </w:rPr>
        <w:t xml:space="preserve"> subscrie riscuri din clasa 10 </w:t>
      </w:r>
      <w:proofErr w:type="spellStart"/>
      <w:r w:rsidR="00F26EE1" w:rsidRPr="000508B6">
        <w:rPr>
          <w:rFonts w:ascii="Times New Roman" w:eastAsia="Times New Roman" w:hAnsi="Times New Roman" w:cs="Times New Roman"/>
          <w:bCs/>
          <w:lang w:val="ro-MD"/>
        </w:rPr>
        <w:t>menţionată</w:t>
      </w:r>
      <w:proofErr w:type="spellEnd"/>
      <w:r w:rsidR="00F26EE1" w:rsidRPr="000508B6">
        <w:rPr>
          <w:rFonts w:ascii="Times New Roman" w:eastAsia="Times New Roman" w:hAnsi="Times New Roman" w:cs="Times New Roman"/>
          <w:bCs/>
          <w:lang w:val="ro-MD"/>
        </w:rPr>
        <w:t xml:space="preserve"> în Anexa nr.1 </w:t>
      </w:r>
      <w:proofErr w:type="spellStart"/>
      <w:r w:rsidR="00F26EE1" w:rsidRPr="000508B6">
        <w:rPr>
          <w:rFonts w:ascii="Times New Roman" w:eastAsia="Times New Roman" w:hAnsi="Times New Roman" w:cs="Times New Roman"/>
          <w:bCs/>
          <w:lang w:val="ro-MD"/>
        </w:rPr>
        <w:t>Secţiunea</w:t>
      </w:r>
      <w:proofErr w:type="spellEnd"/>
      <w:r w:rsidR="00F26EE1" w:rsidRPr="000508B6">
        <w:rPr>
          <w:rFonts w:ascii="Times New Roman" w:eastAsia="Times New Roman" w:hAnsi="Times New Roman" w:cs="Times New Roman"/>
          <w:bCs/>
          <w:lang w:val="ro-MD"/>
        </w:rPr>
        <w:t xml:space="preserve"> A, cu excepția răspunderii transportatorului, </w:t>
      </w:r>
      <w:r w:rsidR="00DD7CC3" w:rsidRPr="000508B6">
        <w:rPr>
          <w:rFonts w:ascii="Times New Roman" w:eastAsia="Times New Roman" w:hAnsi="Times New Roman" w:cs="Times New Roman"/>
          <w:bCs/>
          <w:lang w:val="ro-MD"/>
        </w:rPr>
        <w:t>asigurător</w:t>
      </w:r>
      <w:r w:rsidR="00172C6A" w:rsidRPr="000508B6">
        <w:rPr>
          <w:rFonts w:ascii="Times New Roman" w:eastAsia="Times New Roman" w:hAnsi="Times New Roman" w:cs="Times New Roman"/>
          <w:bCs/>
          <w:lang w:val="ro-MD"/>
        </w:rPr>
        <w:t>ul</w:t>
      </w:r>
      <w:r w:rsidR="00DD7CC3" w:rsidRPr="000508B6">
        <w:rPr>
          <w:rFonts w:ascii="Times New Roman" w:eastAsia="Times New Roman" w:hAnsi="Times New Roman" w:cs="Times New Roman"/>
          <w:bCs/>
          <w:lang w:val="ro-MD"/>
        </w:rPr>
        <w:t xml:space="preserve"> din alt stat membr</w:t>
      </w:r>
      <w:r w:rsidR="00172C6A" w:rsidRPr="000508B6">
        <w:rPr>
          <w:rFonts w:ascii="Times New Roman" w:eastAsia="Times New Roman" w:hAnsi="Times New Roman" w:cs="Times New Roman"/>
          <w:bCs/>
          <w:lang w:val="ro-MD"/>
        </w:rPr>
        <w:t>u</w:t>
      </w:r>
      <w:r w:rsidR="00F26EE1" w:rsidRPr="000508B6">
        <w:rPr>
          <w:rFonts w:ascii="Times New Roman" w:eastAsia="Times New Roman" w:hAnsi="Times New Roman" w:cs="Times New Roman"/>
          <w:bCs/>
          <w:lang w:val="ro-MD"/>
        </w:rPr>
        <w:t>:</w:t>
      </w:r>
    </w:p>
    <w:p w14:paraId="74CA0B13" w14:textId="6FE0C1FC" w:rsidR="00DD7CC3" w:rsidRPr="000508B6" w:rsidRDefault="00172C6A" w:rsidP="004574D0">
      <w:pPr>
        <w:pStyle w:val="Listparagraf"/>
        <w:numPr>
          <w:ilvl w:val="2"/>
          <w:numId w:val="477"/>
        </w:numPr>
        <w:tabs>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are</w:t>
      </w:r>
      <w:r w:rsidR="00DD7CC3" w:rsidRPr="000508B6">
        <w:rPr>
          <w:rFonts w:ascii="Times New Roman" w:eastAsia="Times New Roman" w:hAnsi="Times New Roman" w:cs="Times New Roman"/>
          <w:bCs/>
          <w:lang w:val="ro-MD"/>
        </w:rPr>
        <w:t xml:space="preserve"> obligația de a deveni membri BNAA și al fondului de compensare și protecție înainte de a începe activitatea, contribuția financiară la aceștia fiind calculată în </w:t>
      </w:r>
      <w:proofErr w:type="spellStart"/>
      <w:r w:rsidR="00DD7CC3" w:rsidRPr="000508B6">
        <w:rPr>
          <w:rFonts w:ascii="Times New Roman" w:eastAsia="Times New Roman" w:hAnsi="Times New Roman" w:cs="Times New Roman"/>
          <w:bCs/>
          <w:lang w:val="ro-MD"/>
        </w:rPr>
        <w:t>funcţie</w:t>
      </w:r>
      <w:proofErr w:type="spellEnd"/>
      <w:r w:rsidR="00DD7CC3" w:rsidRPr="000508B6">
        <w:rPr>
          <w:rFonts w:ascii="Times New Roman" w:eastAsia="Times New Roman" w:hAnsi="Times New Roman" w:cs="Times New Roman"/>
          <w:bCs/>
          <w:lang w:val="ro-MD"/>
        </w:rPr>
        <w:t xml:space="preserve"> de primele brute încasate sau de numărul de riscuri acoperite pe teritoriul Republicii Moldova, prin </w:t>
      </w:r>
      <w:proofErr w:type="spellStart"/>
      <w:r w:rsidR="00DD7CC3" w:rsidRPr="000508B6">
        <w:rPr>
          <w:rFonts w:ascii="Times New Roman" w:eastAsia="Times New Roman" w:hAnsi="Times New Roman" w:cs="Times New Roman"/>
          <w:bCs/>
          <w:lang w:val="ro-MD"/>
        </w:rPr>
        <w:t>aceeaşi</w:t>
      </w:r>
      <w:proofErr w:type="spellEnd"/>
      <w:r w:rsidR="00DD7CC3" w:rsidRPr="000508B6">
        <w:rPr>
          <w:rFonts w:ascii="Times New Roman" w:eastAsia="Times New Roman" w:hAnsi="Times New Roman" w:cs="Times New Roman"/>
          <w:bCs/>
          <w:lang w:val="ro-MD"/>
        </w:rPr>
        <w:t xml:space="preserve"> metodă utilizată de asigurătorii licențiați conform prezentei legi.</w:t>
      </w:r>
    </w:p>
    <w:p w14:paraId="7B3413F7" w14:textId="067B0F8C" w:rsidR="00A73E00" w:rsidRPr="000508B6" w:rsidRDefault="00DD7CC3" w:rsidP="004574D0">
      <w:pPr>
        <w:pStyle w:val="Listparagraf"/>
        <w:numPr>
          <w:ilvl w:val="2"/>
          <w:numId w:val="477"/>
        </w:numPr>
        <w:tabs>
          <w:tab w:val="left" w:pos="993"/>
        </w:tabs>
        <w:spacing w:after="0" w:line="240" w:lineRule="auto"/>
        <w:ind w:left="0"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desemnează un </w:t>
      </w:r>
      <w:r w:rsidR="00F26EE1" w:rsidRPr="000508B6">
        <w:rPr>
          <w:rFonts w:ascii="Times New Roman" w:eastAsia="Times New Roman" w:hAnsi="Times New Roman" w:cs="Times New Roman"/>
          <w:bCs/>
          <w:lang w:val="ro-MD"/>
        </w:rPr>
        <w:t>reprezentant de despăgubiri,</w:t>
      </w:r>
      <w:r w:rsidRPr="000508B6">
        <w:rPr>
          <w:rFonts w:ascii="Times New Roman" w:eastAsia="Times New Roman" w:hAnsi="Times New Roman" w:cs="Times New Roman"/>
          <w:bCs/>
          <w:lang w:val="ro-MD"/>
        </w:rPr>
        <w:t xml:space="preserve"> cu</w:t>
      </w:r>
      <w:r w:rsidR="00F26EE1"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reședința sau stabilit pe teritoriul Republicii Moldova, similar celui </w:t>
      </w:r>
      <w:r w:rsidR="00F26EE1" w:rsidRPr="000508B6">
        <w:rPr>
          <w:rFonts w:ascii="Times New Roman" w:eastAsia="Times New Roman" w:hAnsi="Times New Roman" w:cs="Times New Roman"/>
          <w:bCs/>
          <w:lang w:val="ro-MD"/>
        </w:rPr>
        <w:t>menționat la art. 5 alin. (1) lit. h)</w:t>
      </w:r>
      <w:r w:rsidR="00E75956" w:rsidRPr="000508B6">
        <w:rPr>
          <w:rFonts w:ascii="Times New Roman" w:eastAsia="Times New Roman" w:hAnsi="Times New Roman" w:cs="Times New Roman"/>
          <w:bCs/>
          <w:lang w:val="ro-MD"/>
        </w:rPr>
        <w:t xml:space="preserve"> cu </w:t>
      </w:r>
      <w:r w:rsidR="00A73E00" w:rsidRPr="000508B6">
        <w:rPr>
          <w:rFonts w:ascii="Times New Roman" w:eastAsia="Times New Roman" w:hAnsi="Times New Roman" w:cs="Times New Roman"/>
          <w:bCs/>
          <w:lang w:val="ro-MD"/>
        </w:rPr>
        <w:t xml:space="preserve">următoarele </w:t>
      </w:r>
      <w:proofErr w:type="spellStart"/>
      <w:r w:rsidR="00A73E00" w:rsidRPr="000508B6">
        <w:rPr>
          <w:rFonts w:ascii="Times New Roman" w:eastAsia="Times New Roman" w:hAnsi="Times New Roman" w:cs="Times New Roman"/>
          <w:bCs/>
          <w:lang w:val="ro-MD"/>
        </w:rPr>
        <w:t>atribuţii</w:t>
      </w:r>
      <w:proofErr w:type="spellEnd"/>
      <w:r w:rsidR="00A73E00" w:rsidRPr="000508B6">
        <w:rPr>
          <w:rFonts w:ascii="Times New Roman" w:eastAsia="Times New Roman" w:hAnsi="Times New Roman" w:cs="Times New Roman"/>
          <w:bCs/>
          <w:lang w:val="ro-MD"/>
        </w:rPr>
        <w:t xml:space="preserve">:  </w:t>
      </w:r>
    </w:p>
    <w:p w14:paraId="17EEF1FB" w14:textId="73E1B672" w:rsidR="00A73E00" w:rsidRPr="000508B6" w:rsidRDefault="00A73E00" w:rsidP="004574D0">
      <w:pPr>
        <w:pStyle w:val="Listparagraf"/>
        <w:numPr>
          <w:ilvl w:val="3"/>
          <w:numId w:val="477"/>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colectează toate </w:t>
      </w:r>
      <w:proofErr w:type="spellStart"/>
      <w:r w:rsidRPr="000508B6">
        <w:rPr>
          <w:rFonts w:ascii="Times New Roman" w:eastAsia="Times New Roman" w:hAnsi="Times New Roman" w:cs="Times New Roman"/>
          <w:bCs/>
          <w:lang w:val="ro-MD"/>
        </w:rPr>
        <w:t>informaţiile</w:t>
      </w:r>
      <w:proofErr w:type="spellEnd"/>
      <w:r w:rsidRPr="000508B6">
        <w:rPr>
          <w:rFonts w:ascii="Times New Roman" w:eastAsia="Times New Roman" w:hAnsi="Times New Roman" w:cs="Times New Roman"/>
          <w:bCs/>
          <w:lang w:val="ro-MD"/>
        </w:rPr>
        <w:t xml:space="preserve"> necesare cu privire la dosarele de daună;  </w:t>
      </w:r>
    </w:p>
    <w:p w14:paraId="44C5D86A" w14:textId="1B6A5037" w:rsidR="00A73E00" w:rsidRPr="000508B6" w:rsidRDefault="00A73E00" w:rsidP="004574D0">
      <w:pPr>
        <w:pStyle w:val="Listparagraf"/>
        <w:numPr>
          <w:ilvl w:val="3"/>
          <w:numId w:val="477"/>
        </w:numPr>
        <w:spacing w:after="0" w:line="240" w:lineRule="auto"/>
        <w:ind w:left="0" w:firstLine="426"/>
        <w:jc w:val="both"/>
        <w:rPr>
          <w:rFonts w:ascii="Times New Roman" w:eastAsia="Times New Roman" w:hAnsi="Times New Roman" w:cs="Times New Roman"/>
          <w:bCs/>
          <w:lang w:val="ro-MD"/>
        </w:rPr>
      </w:pPr>
      <w:proofErr w:type="spellStart"/>
      <w:r w:rsidRPr="000508B6">
        <w:rPr>
          <w:rFonts w:ascii="Times New Roman" w:eastAsia="Times New Roman" w:hAnsi="Times New Roman" w:cs="Times New Roman"/>
          <w:bCs/>
          <w:lang w:val="ro-MD"/>
        </w:rPr>
        <w:t>deţine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competenţa</w:t>
      </w:r>
      <w:proofErr w:type="spellEnd"/>
      <w:r w:rsidRPr="000508B6">
        <w:rPr>
          <w:rFonts w:ascii="Times New Roman" w:eastAsia="Times New Roman" w:hAnsi="Times New Roman" w:cs="Times New Roman"/>
          <w:bCs/>
          <w:lang w:val="ro-MD"/>
        </w:rPr>
        <w:t xml:space="preserve"> de a reprezenta asigurătorul în </w:t>
      </w:r>
      <w:proofErr w:type="spellStart"/>
      <w:r w:rsidRPr="000508B6">
        <w:rPr>
          <w:rFonts w:ascii="Times New Roman" w:eastAsia="Times New Roman" w:hAnsi="Times New Roman" w:cs="Times New Roman"/>
          <w:bCs/>
          <w:lang w:val="ro-MD"/>
        </w:rPr>
        <w:t>relaţia</w:t>
      </w:r>
      <w:proofErr w:type="spellEnd"/>
      <w:r w:rsidRPr="000508B6">
        <w:rPr>
          <w:rFonts w:ascii="Times New Roman" w:eastAsia="Times New Roman" w:hAnsi="Times New Roman" w:cs="Times New Roman"/>
          <w:bCs/>
          <w:lang w:val="ro-MD"/>
        </w:rPr>
        <w:t xml:space="preserve"> cu persoanele care au suferit un prejudiciu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ar putea solicita despăgubiri, inclusiv pentru plata acestora;  </w:t>
      </w:r>
    </w:p>
    <w:p w14:paraId="750C371E" w14:textId="467345FB" w:rsidR="00A73E00" w:rsidRPr="000508B6" w:rsidRDefault="00A73E00" w:rsidP="00B3719C">
      <w:pPr>
        <w:pStyle w:val="Listparagraf"/>
        <w:numPr>
          <w:ilvl w:val="3"/>
          <w:numId w:val="477"/>
        </w:numPr>
        <w:tabs>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reprezintă sau întreprinde demersurile necesare pentru ca asigurătorul să fie reprezentat în </w:t>
      </w:r>
      <w:proofErr w:type="spellStart"/>
      <w:r w:rsidRPr="000508B6">
        <w:rPr>
          <w:rFonts w:ascii="Times New Roman" w:eastAsia="Times New Roman" w:hAnsi="Times New Roman" w:cs="Times New Roman"/>
          <w:bCs/>
          <w:lang w:val="ro-MD"/>
        </w:rPr>
        <w:t>faţa</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instanţelor</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autorităţilor</w:t>
      </w:r>
      <w:proofErr w:type="spellEnd"/>
      <w:r w:rsidRPr="000508B6">
        <w:rPr>
          <w:rFonts w:ascii="Times New Roman" w:eastAsia="Times New Roman" w:hAnsi="Times New Roman" w:cs="Times New Roman"/>
          <w:bCs/>
          <w:lang w:val="ro-MD"/>
        </w:rPr>
        <w:t xml:space="preserve"> din </w:t>
      </w:r>
      <w:r w:rsidR="00E75956" w:rsidRPr="000508B6">
        <w:rPr>
          <w:rFonts w:ascii="Times New Roman" w:eastAsia="Times New Roman" w:hAnsi="Times New Roman" w:cs="Times New Roman"/>
          <w:bCs/>
          <w:lang w:val="ro-MD"/>
        </w:rPr>
        <w:t>Republica Moldova</w:t>
      </w:r>
      <w:r w:rsidRPr="000508B6">
        <w:rPr>
          <w:rFonts w:ascii="Times New Roman" w:eastAsia="Times New Roman" w:hAnsi="Times New Roman" w:cs="Times New Roman"/>
          <w:bCs/>
          <w:lang w:val="ro-MD"/>
        </w:rPr>
        <w:t xml:space="preserve">, în ceea ce </w:t>
      </w:r>
      <w:proofErr w:type="spellStart"/>
      <w:r w:rsidRPr="000508B6">
        <w:rPr>
          <w:rFonts w:ascii="Times New Roman" w:eastAsia="Times New Roman" w:hAnsi="Times New Roman" w:cs="Times New Roman"/>
          <w:bCs/>
          <w:lang w:val="ro-MD"/>
        </w:rPr>
        <w:t>priveşte</w:t>
      </w:r>
      <w:proofErr w:type="spellEnd"/>
      <w:r w:rsidRPr="000508B6">
        <w:rPr>
          <w:rFonts w:ascii="Times New Roman" w:eastAsia="Times New Roman" w:hAnsi="Times New Roman" w:cs="Times New Roman"/>
          <w:bCs/>
          <w:lang w:val="ro-MD"/>
        </w:rPr>
        <w:t xml:space="preserve"> despăgubirile;  </w:t>
      </w:r>
    </w:p>
    <w:p w14:paraId="70AB6737" w14:textId="24A8BFAB" w:rsidR="00A73E00" w:rsidRPr="000508B6" w:rsidRDefault="00A73E00" w:rsidP="00B3719C">
      <w:pPr>
        <w:pStyle w:val="Listparagraf"/>
        <w:numPr>
          <w:ilvl w:val="3"/>
          <w:numId w:val="477"/>
        </w:numPr>
        <w:tabs>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reprezintă asigurătorul în </w:t>
      </w:r>
      <w:proofErr w:type="spellStart"/>
      <w:r w:rsidRPr="000508B6">
        <w:rPr>
          <w:rFonts w:ascii="Times New Roman" w:eastAsia="Times New Roman" w:hAnsi="Times New Roman" w:cs="Times New Roman"/>
          <w:bCs/>
          <w:lang w:val="ro-MD"/>
        </w:rPr>
        <w:t>faţa</w:t>
      </w:r>
      <w:proofErr w:type="spellEnd"/>
      <w:r w:rsidRPr="000508B6">
        <w:rPr>
          <w:rFonts w:ascii="Times New Roman" w:eastAsia="Times New Roman" w:hAnsi="Times New Roman" w:cs="Times New Roman"/>
          <w:bCs/>
          <w:lang w:val="ro-MD"/>
        </w:rPr>
        <w:t xml:space="preserve"> </w:t>
      </w:r>
      <w:r w:rsidR="00E75956" w:rsidRPr="000508B6">
        <w:rPr>
          <w:rFonts w:ascii="Times New Roman" w:eastAsia="Times New Roman" w:hAnsi="Times New Roman" w:cs="Times New Roman"/>
          <w:bCs/>
          <w:lang w:val="ro-MD"/>
        </w:rPr>
        <w:t xml:space="preserve">Băncii Naționale a Moldovei </w:t>
      </w:r>
      <w:r w:rsidRPr="000508B6">
        <w:rPr>
          <w:rFonts w:ascii="Times New Roman" w:eastAsia="Times New Roman" w:hAnsi="Times New Roman" w:cs="Times New Roman"/>
          <w:bCs/>
          <w:lang w:val="ro-MD"/>
        </w:rPr>
        <w:t xml:space="preserve">referitor la verificarea </w:t>
      </w:r>
      <w:proofErr w:type="spellStart"/>
      <w:r w:rsidRPr="000508B6">
        <w:rPr>
          <w:rFonts w:ascii="Times New Roman" w:eastAsia="Times New Roman" w:hAnsi="Times New Roman" w:cs="Times New Roman"/>
          <w:bCs/>
          <w:lang w:val="ro-MD"/>
        </w:rPr>
        <w:t>existenţei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 </w:t>
      </w:r>
      <w:proofErr w:type="spellStart"/>
      <w:r w:rsidRPr="000508B6">
        <w:rPr>
          <w:rFonts w:ascii="Times New Roman" w:eastAsia="Times New Roman" w:hAnsi="Times New Roman" w:cs="Times New Roman"/>
          <w:bCs/>
          <w:lang w:val="ro-MD"/>
        </w:rPr>
        <w:t>valabilităţii</w:t>
      </w:r>
      <w:proofErr w:type="spellEnd"/>
      <w:r w:rsidRPr="000508B6">
        <w:rPr>
          <w:rFonts w:ascii="Times New Roman" w:eastAsia="Times New Roman" w:hAnsi="Times New Roman" w:cs="Times New Roman"/>
          <w:bCs/>
          <w:lang w:val="ro-MD"/>
        </w:rPr>
        <w:t xml:space="preserve"> </w:t>
      </w:r>
      <w:r w:rsidR="00E75956" w:rsidRPr="000508B6">
        <w:rPr>
          <w:rFonts w:ascii="Times New Roman" w:eastAsia="Times New Roman" w:hAnsi="Times New Roman" w:cs="Times New Roman"/>
          <w:bCs/>
          <w:lang w:val="ro-MD"/>
        </w:rPr>
        <w:t>contractelor de asigurare de răspundere civilă auto</w:t>
      </w:r>
      <w:r w:rsidRPr="000508B6">
        <w:rPr>
          <w:rFonts w:ascii="Times New Roman" w:eastAsia="Times New Roman" w:hAnsi="Times New Roman" w:cs="Times New Roman"/>
          <w:bCs/>
          <w:lang w:val="ro-MD"/>
        </w:rPr>
        <w:t xml:space="preserve">;  </w:t>
      </w:r>
    </w:p>
    <w:p w14:paraId="7AA3A9C7" w14:textId="773ED3C5" w:rsidR="00A73E00" w:rsidRPr="000508B6" w:rsidRDefault="00A73E00" w:rsidP="00B3719C">
      <w:pPr>
        <w:pStyle w:val="Listparagraf"/>
        <w:numPr>
          <w:ilvl w:val="3"/>
          <w:numId w:val="477"/>
        </w:numPr>
        <w:tabs>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exercită doar </w:t>
      </w:r>
      <w:proofErr w:type="spellStart"/>
      <w:r w:rsidRPr="000508B6">
        <w:rPr>
          <w:rFonts w:ascii="Times New Roman" w:eastAsia="Times New Roman" w:hAnsi="Times New Roman" w:cs="Times New Roman"/>
          <w:bCs/>
          <w:lang w:val="ro-MD"/>
        </w:rPr>
        <w:t>atribuţiile</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menţionate</w:t>
      </w:r>
      <w:proofErr w:type="spellEnd"/>
      <w:r w:rsidRPr="000508B6">
        <w:rPr>
          <w:rFonts w:ascii="Times New Roman" w:eastAsia="Times New Roman" w:hAnsi="Times New Roman" w:cs="Times New Roman"/>
          <w:bCs/>
          <w:lang w:val="ro-MD"/>
        </w:rPr>
        <w:t xml:space="preserve"> la pct. (</w:t>
      </w:r>
      <w:r w:rsidR="00E75956" w:rsidRPr="000508B6">
        <w:rPr>
          <w:rFonts w:ascii="Times New Roman" w:eastAsia="Times New Roman" w:hAnsi="Times New Roman" w:cs="Times New Roman"/>
          <w:bCs/>
          <w:lang w:val="ro-MD"/>
        </w:rPr>
        <w:t>a</w:t>
      </w:r>
      <w:r w:rsidRPr="000508B6">
        <w:rPr>
          <w:rFonts w:ascii="Times New Roman" w:eastAsia="Times New Roman" w:hAnsi="Times New Roman" w:cs="Times New Roman"/>
          <w:bCs/>
          <w:lang w:val="ro-MD"/>
        </w:rPr>
        <w:t>)-(</w:t>
      </w:r>
      <w:r w:rsidR="00E75956" w:rsidRPr="000508B6">
        <w:rPr>
          <w:rFonts w:ascii="Times New Roman" w:eastAsia="Times New Roman" w:hAnsi="Times New Roman" w:cs="Times New Roman"/>
          <w:bCs/>
          <w:lang w:val="ro-MD"/>
        </w:rPr>
        <w:t>d</w:t>
      </w:r>
      <w:r w:rsidRPr="000508B6">
        <w:rPr>
          <w:rFonts w:ascii="Times New Roman" w:eastAsia="Times New Roman" w:hAnsi="Times New Roman" w:cs="Times New Roman"/>
          <w:bCs/>
          <w:lang w:val="ro-MD"/>
        </w:rPr>
        <w:t xml:space="preserve">), </w:t>
      </w:r>
      <w:r w:rsidR="00E75956" w:rsidRPr="000508B6">
        <w:rPr>
          <w:rFonts w:ascii="Times New Roman" w:eastAsia="Times New Roman" w:hAnsi="Times New Roman" w:cs="Times New Roman"/>
          <w:bCs/>
          <w:lang w:val="ro-MD"/>
        </w:rPr>
        <w:t>Banca Națională</w:t>
      </w:r>
      <w:r w:rsidR="00E22618">
        <w:rPr>
          <w:rFonts w:ascii="Times New Roman" w:eastAsia="Times New Roman" w:hAnsi="Times New Roman" w:cs="Times New Roman"/>
          <w:bCs/>
          <w:lang w:val="ro-MD"/>
        </w:rPr>
        <w:t xml:space="preserve"> a Moldovei</w:t>
      </w:r>
      <w:r w:rsidRPr="000508B6">
        <w:rPr>
          <w:rFonts w:ascii="Times New Roman" w:eastAsia="Times New Roman" w:hAnsi="Times New Roman" w:cs="Times New Roman"/>
          <w:bCs/>
          <w:lang w:val="ro-MD"/>
        </w:rPr>
        <w:t xml:space="preserve"> sau alte </w:t>
      </w:r>
      <w:proofErr w:type="spellStart"/>
      <w:r w:rsidRPr="000508B6">
        <w:rPr>
          <w:rFonts w:ascii="Times New Roman" w:eastAsia="Times New Roman" w:hAnsi="Times New Roman" w:cs="Times New Roman"/>
          <w:bCs/>
          <w:lang w:val="ro-MD"/>
        </w:rPr>
        <w:t>autorităţi</w:t>
      </w:r>
      <w:proofErr w:type="spellEnd"/>
      <w:r w:rsidRPr="000508B6">
        <w:rPr>
          <w:rFonts w:ascii="Times New Roman" w:eastAsia="Times New Roman" w:hAnsi="Times New Roman" w:cs="Times New Roman"/>
          <w:bCs/>
          <w:lang w:val="ro-MD"/>
        </w:rPr>
        <w:t xml:space="preserve"> neavând </w:t>
      </w:r>
      <w:proofErr w:type="spellStart"/>
      <w:r w:rsidRPr="000508B6">
        <w:rPr>
          <w:rFonts w:ascii="Times New Roman" w:eastAsia="Times New Roman" w:hAnsi="Times New Roman" w:cs="Times New Roman"/>
          <w:bCs/>
          <w:lang w:val="ro-MD"/>
        </w:rPr>
        <w:t>competenţa</w:t>
      </w:r>
      <w:proofErr w:type="spellEnd"/>
      <w:r w:rsidRPr="000508B6">
        <w:rPr>
          <w:rFonts w:ascii="Times New Roman" w:eastAsia="Times New Roman" w:hAnsi="Times New Roman" w:cs="Times New Roman"/>
          <w:bCs/>
          <w:lang w:val="ro-MD"/>
        </w:rPr>
        <w:t xml:space="preserve"> de a-i solicita să întreprindă alte </w:t>
      </w:r>
      <w:proofErr w:type="spellStart"/>
      <w:r w:rsidRPr="000508B6">
        <w:rPr>
          <w:rFonts w:ascii="Times New Roman" w:eastAsia="Times New Roman" w:hAnsi="Times New Roman" w:cs="Times New Roman"/>
          <w:bCs/>
          <w:lang w:val="ro-MD"/>
        </w:rPr>
        <w:t>activităţi</w:t>
      </w:r>
      <w:proofErr w:type="spellEnd"/>
      <w:r w:rsidRPr="000508B6">
        <w:rPr>
          <w:rFonts w:ascii="Times New Roman" w:eastAsia="Times New Roman" w:hAnsi="Times New Roman" w:cs="Times New Roman"/>
          <w:bCs/>
          <w:lang w:val="ro-MD"/>
        </w:rPr>
        <w:t xml:space="preserve"> în numele asigurătorului;</w:t>
      </w:r>
    </w:p>
    <w:p w14:paraId="73B540C9" w14:textId="6F7EF119" w:rsidR="00A73E00" w:rsidRPr="000508B6" w:rsidRDefault="00A73E00" w:rsidP="00B3719C">
      <w:pPr>
        <w:pStyle w:val="Listparagraf"/>
        <w:numPr>
          <w:ilvl w:val="3"/>
          <w:numId w:val="477"/>
        </w:numPr>
        <w:tabs>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tratează solicitările de plată a daunelor în </w:t>
      </w:r>
      <w:proofErr w:type="spellStart"/>
      <w:r w:rsidRPr="000508B6">
        <w:rPr>
          <w:rFonts w:ascii="Times New Roman" w:eastAsia="Times New Roman" w:hAnsi="Times New Roman" w:cs="Times New Roman"/>
          <w:bCs/>
          <w:lang w:val="ro-MD"/>
        </w:rPr>
        <w:t>acelaşi</w:t>
      </w:r>
      <w:proofErr w:type="spellEnd"/>
      <w:r w:rsidRPr="000508B6">
        <w:rPr>
          <w:rFonts w:ascii="Times New Roman" w:eastAsia="Times New Roman" w:hAnsi="Times New Roman" w:cs="Times New Roman"/>
          <w:bCs/>
          <w:lang w:val="ro-MD"/>
        </w:rPr>
        <w:t xml:space="preserve"> mod în care le tratează pe cele din statul membru de origine.</w:t>
      </w:r>
    </w:p>
    <w:p w14:paraId="20769373" w14:textId="5140C73E" w:rsidR="007E1611" w:rsidRPr="000508B6" w:rsidRDefault="008C2E59" w:rsidP="00BF445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ED5988" w:rsidRPr="000508B6">
        <w:rPr>
          <w:rFonts w:ascii="Times New Roman" w:eastAsia="Times New Roman" w:hAnsi="Times New Roman" w:cs="Times New Roman"/>
          <w:bCs/>
          <w:lang w:val="ro-MD"/>
        </w:rPr>
        <w:t>8</w:t>
      </w:r>
      <w:r w:rsidRPr="000508B6">
        <w:rPr>
          <w:rFonts w:ascii="Times New Roman" w:eastAsia="Times New Roman" w:hAnsi="Times New Roman" w:cs="Times New Roman"/>
          <w:bCs/>
          <w:lang w:val="ro-MD"/>
        </w:rPr>
        <w:t xml:space="preserve">) </w:t>
      </w:r>
      <w:r w:rsidR="007E1611" w:rsidRPr="000508B6">
        <w:rPr>
          <w:rFonts w:ascii="Times New Roman" w:eastAsia="Times New Roman" w:hAnsi="Times New Roman" w:cs="Times New Roman"/>
          <w:bCs/>
          <w:lang w:val="ro-MD"/>
        </w:rPr>
        <w:t xml:space="preserve">Banca Națională a Moldovei tratează ca sucursală, orice </w:t>
      </w:r>
      <w:proofErr w:type="spellStart"/>
      <w:r w:rsidR="007E1611" w:rsidRPr="000508B6">
        <w:rPr>
          <w:rFonts w:ascii="Times New Roman" w:eastAsia="Times New Roman" w:hAnsi="Times New Roman" w:cs="Times New Roman"/>
          <w:bCs/>
          <w:lang w:val="ro-MD"/>
        </w:rPr>
        <w:t>prezenţă</w:t>
      </w:r>
      <w:proofErr w:type="spellEnd"/>
      <w:r w:rsidR="007E1611" w:rsidRPr="000508B6">
        <w:rPr>
          <w:rFonts w:ascii="Times New Roman" w:eastAsia="Times New Roman" w:hAnsi="Times New Roman" w:cs="Times New Roman"/>
          <w:bCs/>
          <w:lang w:val="ro-MD"/>
        </w:rPr>
        <w:t xml:space="preserve"> permanentă a asigurătorului dintr-un stat membru, inclusiv în cazul în care această prezență nu ia forma unei sucursale, ci constă dintr-un simplu birou, condus de personal propriu al asigurătorului sau o persoană independentă, dar mandatată pentru a acționa în permanență pentru asigurătorul respectiv precum o agenție.</w:t>
      </w:r>
    </w:p>
    <w:p w14:paraId="6AF53BD4" w14:textId="107A357D" w:rsidR="008C2E59" w:rsidRPr="000508B6" w:rsidRDefault="00FF773C" w:rsidP="00FF773C">
      <w:pPr>
        <w:tabs>
          <w:tab w:val="left" w:pos="567"/>
        </w:tabs>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lastRenderedPageBreak/>
        <w:t>(</w:t>
      </w:r>
      <w:r w:rsidR="00ED5988" w:rsidRPr="000508B6">
        <w:rPr>
          <w:rFonts w:ascii="Times New Roman" w:eastAsia="Times New Roman" w:hAnsi="Times New Roman" w:cs="Times New Roman"/>
          <w:bCs/>
          <w:lang w:val="ro-MD"/>
        </w:rPr>
        <w:t>9</w:t>
      </w:r>
      <w:r w:rsidRPr="000508B6">
        <w:rPr>
          <w:rFonts w:ascii="Times New Roman" w:eastAsia="Times New Roman" w:hAnsi="Times New Roman" w:cs="Times New Roman"/>
          <w:bCs/>
          <w:lang w:val="ro-MD"/>
        </w:rPr>
        <w:t>)</w:t>
      </w:r>
      <w:r w:rsidR="008C2E59" w:rsidRPr="000508B6">
        <w:rPr>
          <w:rFonts w:ascii="Times New Roman" w:eastAsia="Times New Roman" w:hAnsi="Times New Roman" w:cs="Times New Roman"/>
          <w:bCs/>
          <w:lang w:val="ro-MD"/>
        </w:rPr>
        <w:t xml:space="preserve">În cazul în care </w:t>
      </w:r>
      <w:r w:rsidR="00B3719C" w:rsidRPr="000508B6">
        <w:rPr>
          <w:rFonts w:ascii="Times New Roman" w:eastAsia="Times New Roman" w:hAnsi="Times New Roman" w:cs="Times New Roman"/>
          <w:bCs/>
          <w:lang w:val="ro-MD"/>
        </w:rPr>
        <w:t>asigurătorul</w:t>
      </w:r>
      <w:r w:rsidR="008C2E59" w:rsidRPr="000508B6">
        <w:rPr>
          <w:rFonts w:ascii="Times New Roman" w:eastAsia="Times New Roman" w:hAnsi="Times New Roman" w:cs="Times New Roman"/>
          <w:bCs/>
          <w:lang w:val="ro-MD"/>
        </w:rPr>
        <w:t xml:space="preserve"> din alt stat membr</w:t>
      </w:r>
      <w:r w:rsidR="00B3719C" w:rsidRPr="000508B6">
        <w:rPr>
          <w:rFonts w:ascii="Times New Roman" w:eastAsia="Times New Roman" w:hAnsi="Times New Roman" w:cs="Times New Roman"/>
          <w:bCs/>
          <w:lang w:val="ro-MD"/>
        </w:rPr>
        <w:t>u</w:t>
      </w:r>
      <w:r w:rsidR="008C2E59" w:rsidRPr="000508B6">
        <w:rPr>
          <w:rFonts w:ascii="Times New Roman" w:eastAsia="Times New Roman" w:hAnsi="Times New Roman" w:cs="Times New Roman"/>
          <w:bCs/>
          <w:lang w:val="ro-MD"/>
        </w:rPr>
        <w:t xml:space="preserve"> nu respectă prevederile prezentului articol, Banca Națională a Moldove</w:t>
      </w:r>
      <w:r w:rsidR="00E22618">
        <w:rPr>
          <w:rFonts w:ascii="Times New Roman" w:eastAsia="Times New Roman" w:hAnsi="Times New Roman" w:cs="Times New Roman"/>
          <w:bCs/>
          <w:lang w:val="ro-MD"/>
        </w:rPr>
        <w:t>i</w:t>
      </w:r>
      <w:r w:rsidR="008C2E59" w:rsidRPr="000508B6">
        <w:rPr>
          <w:rFonts w:ascii="Times New Roman" w:eastAsia="Times New Roman" w:hAnsi="Times New Roman" w:cs="Times New Roman"/>
          <w:bCs/>
          <w:lang w:val="ro-MD"/>
        </w:rPr>
        <w:t xml:space="preserve"> aplic</w:t>
      </w:r>
      <w:r w:rsidR="00E22618">
        <w:rPr>
          <w:rFonts w:ascii="Times New Roman" w:eastAsia="Times New Roman" w:hAnsi="Times New Roman" w:cs="Times New Roman"/>
          <w:bCs/>
          <w:lang w:val="ro-MD"/>
        </w:rPr>
        <w:t>ă</w:t>
      </w:r>
      <w:r w:rsidR="008C2E59" w:rsidRPr="000508B6">
        <w:rPr>
          <w:rFonts w:ascii="Times New Roman" w:eastAsia="Times New Roman" w:hAnsi="Times New Roman" w:cs="Times New Roman"/>
          <w:bCs/>
          <w:lang w:val="ro-MD"/>
        </w:rPr>
        <w:t xml:space="preserve"> prevederile art.199.</w:t>
      </w:r>
      <w:r w:rsidR="008C2E59" w:rsidRPr="000508B6">
        <w:rPr>
          <w:rFonts w:ascii="Times New Roman" w:hAnsi="Times New Roman" w:cs="Times New Roman"/>
          <w:lang w:val="ro-MD"/>
        </w:rPr>
        <w:t xml:space="preserve"> </w:t>
      </w:r>
      <w:r w:rsidR="008C2E59" w:rsidRPr="000508B6">
        <w:rPr>
          <w:rFonts w:ascii="Times New Roman" w:eastAsia="Times New Roman" w:hAnsi="Times New Roman" w:cs="Times New Roman"/>
          <w:bCs/>
          <w:lang w:val="ro-MD"/>
        </w:rPr>
        <w:t>În acest caz, asigurătorii din alte state membre se pot adresa în instanța de judecată competentă.</w:t>
      </w:r>
    </w:p>
    <w:p w14:paraId="183D94D8" w14:textId="77777777" w:rsidR="00C645A0" w:rsidRPr="000508B6" w:rsidRDefault="00C645A0" w:rsidP="00A73E00">
      <w:pPr>
        <w:spacing w:after="0" w:line="240" w:lineRule="auto"/>
        <w:ind w:firstLine="426"/>
        <w:rPr>
          <w:rFonts w:ascii="Times New Roman" w:eastAsia="Times New Roman" w:hAnsi="Times New Roman" w:cs="Times New Roman"/>
          <w:b/>
          <w:lang w:val="ro-MD"/>
        </w:rPr>
      </w:pPr>
    </w:p>
    <w:p w14:paraId="3F75C23B" w14:textId="6270FFD4" w:rsidR="00A73E00" w:rsidRPr="000508B6" w:rsidRDefault="00A73E00" w:rsidP="00A73E00">
      <w:pPr>
        <w:spacing w:after="0" w:line="240" w:lineRule="auto"/>
        <w:ind w:firstLine="426"/>
        <w:rPr>
          <w:rFonts w:ascii="Times New Roman" w:eastAsia="Times New Roman" w:hAnsi="Times New Roman" w:cs="Times New Roman"/>
          <w:bCs/>
          <w:lang w:val="ro-MD"/>
        </w:rPr>
      </w:pPr>
      <w:r w:rsidRPr="000508B6">
        <w:rPr>
          <w:rFonts w:ascii="Times New Roman" w:eastAsia="Times New Roman" w:hAnsi="Times New Roman" w:cs="Times New Roman"/>
          <w:b/>
          <w:lang w:val="ro-MD"/>
        </w:rPr>
        <w:t xml:space="preserve">Articolul </w:t>
      </w:r>
      <w:r w:rsidR="00C645A0" w:rsidRPr="000508B6">
        <w:rPr>
          <w:rFonts w:ascii="Times New Roman" w:eastAsia="Times New Roman" w:hAnsi="Times New Roman" w:cs="Times New Roman"/>
          <w:b/>
          <w:lang w:val="ro-MD"/>
        </w:rPr>
        <w:t>94</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bCs/>
          <w:lang w:val="ro-MD"/>
        </w:rPr>
        <w:t xml:space="preserve"> Libertatea de a presta servicii</w:t>
      </w:r>
    </w:p>
    <w:p w14:paraId="23A9298D" w14:textId="57D3595D" w:rsidR="00A73E00" w:rsidRPr="000508B6" w:rsidRDefault="00A73E00" w:rsidP="00C645A0">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C645A0" w:rsidRPr="000508B6">
        <w:rPr>
          <w:rFonts w:ascii="Times New Roman" w:eastAsia="Times New Roman" w:hAnsi="Times New Roman" w:cs="Times New Roman"/>
          <w:bCs/>
          <w:lang w:val="ro-MD"/>
        </w:rPr>
        <w:t>1</w:t>
      </w:r>
      <w:r w:rsidRPr="000508B6">
        <w:rPr>
          <w:rFonts w:ascii="Times New Roman" w:eastAsia="Times New Roman" w:hAnsi="Times New Roman" w:cs="Times New Roman"/>
          <w:bCs/>
          <w:lang w:val="ro-MD"/>
        </w:rPr>
        <w:t xml:space="preserve">) </w:t>
      </w:r>
      <w:r w:rsidR="00190184" w:rsidRPr="000508B6">
        <w:rPr>
          <w:rFonts w:ascii="Times New Roman" w:eastAsia="Times New Roman" w:hAnsi="Times New Roman" w:cs="Times New Roman"/>
          <w:bCs/>
          <w:lang w:val="ro-MD"/>
        </w:rPr>
        <w:t>Asigurătorul</w:t>
      </w:r>
      <w:r w:rsidRPr="000508B6">
        <w:rPr>
          <w:rFonts w:ascii="Times New Roman" w:eastAsia="Times New Roman" w:hAnsi="Times New Roman" w:cs="Times New Roman"/>
          <w:bCs/>
          <w:lang w:val="ro-MD"/>
        </w:rPr>
        <w:t xml:space="preserve"> din alt stat membr</w:t>
      </w:r>
      <w:r w:rsidR="00190184"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 pentru care supraveghetor</w:t>
      </w:r>
      <w:r w:rsidR="00190184" w:rsidRPr="000508B6">
        <w:rPr>
          <w:rFonts w:ascii="Times New Roman" w:eastAsia="Times New Roman" w:hAnsi="Times New Roman" w:cs="Times New Roman"/>
          <w:bCs/>
          <w:lang w:val="ro-MD"/>
        </w:rPr>
        <w:t xml:space="preserve">ul </w:t>
      </w:r>
      <w:r w:rsidRPr="000508B6">
        <w:rPr>
          <w:rFonts w:ascii="Times New Roman" w:eastAsia="Times New Roman" w:hAnsi="Times New Roman" w:cs="Times New Roman"/>
          <w:bCs/>
          <w:lang w:val="ro-MD"/>
        </w:rPr>
        <w:t>din stat</w:t>
      </w:r>
      <w:r w:rsidR="00190184" w:rsidRPr="000508B6">
        <w:rPr>
          <w:rFonts w:ascii="Times New Roman" w:eastAsia="Times New Roman" w:hAnsi="Times New Roman" w:cs="Times New Roman"/>
          <w:bCs/>
          <w:lang w:val="ro-MD"/>
        </w:rPr>
        <w:t>ul</w:t>
      </w:r>
      <w:r w:rsidRPr="000508B6">
        <w:rPr>
          <w:rFonts w:ascii="Times New Roman" w:eastAsia="Times New Roman" w:hAnsi="Times New Roman" w:cs="Times New Roman"/>
          <w:bCs/>
          <w:lang w:val="ro-MD"/>
        </w:rPr>
        <w:t xml:space="preserve"> respectiv a notificat </w:t>
      </w:r>
      <w:r w:rsidR="00C645A0" w:rsidRPr="000508B6">
        <w:rPr>
          <w:rFonts w:ascii="Times New Roman" w:eastAsia="Times New Roman" w:hAnsi="Times New Roman" w:cs="Times New Roman"/>
          <w:bCs/>
          <w:lang w:val="ro-MD"/>
        </w:rPr>
        <w:t>Banca Națională a Moldovei</w:t>
      </w:r>
      <w:r w:rsidRPr="000508B6">
        <w:rPr>
          <w:rFonts w:ascii="Times New Roman" w:eastAsia="Times New Roman" w:hAnsi="Times New Roman" w:cs="Times New Roman"/>
          <w:bCs/>
          <w:lang w:val="ro-MD"/>
        </w:rPr>
        <w:t xml:space="preserve"> referitor la </w:t>
      </w:r>
      <w:proofErr w:type="spellStart"/>
      <w:r w:rsidRPr="000508B6">
        <w:rPr>
          <w:rFonts w:ascii="Times New Roman" w:eastAsia="Times New Roman" w:hAnsi="Times New Roman" w:cs="Times New Roman"/>
          <w:bCs/>
          <w:lang w:val="ro-MD"/>
        </w:rPr>
        <w:t>intenţia</w:t>
      </w:r>
      <w:proofErr w:type="spellEnd"/>
      <w:r w:rsidRPr="000508B6">
        <w:rPr>
          <w:rFonts w:ascii="Times New Roman" w:eastAsia="Times New Roman" w:hAnsi="Times New Roman" w:cs="Times New Roman"/>
          <w:bCs/>
          <w:lang w:val="ro-MD"/>
        </w:rPr>
        <w:t xml:space="preserve"> acestora de a desfășura activitate pe teritoriul </w:t>
      </w:r>
      <w:r w:rsidR="00C645A0" w:rsidRPr="000508B6">
        <w:rPr>
          <w:rFonts w:ascii="Times New Roman" w:eastAsia="Times New Roman" w:hAnsi="Times New Roman" w:cs="Times New Roman"/>
          <w:bCs/>
          <w:lang w:val="ro-MD"/>
        </w:rPr>
        <w:t>Republicii Moldova</w:t>
      </w:r>
      <w:r w:rsidRPr="000508B6">
        <w:rPr>
          <w:rFonts w:ascii="Times New Roman" w:eastAsia="Times New Roman" w:hAnsi="Times New Roman" w:cs="Times New Roman"/>
          <w:bCs/>
          <w:lang w:val="ro-MD"/>
        </w:rPr>
        <w:t xml:space="preserve"> în mod direct au obligația de a respecta prevederile art. </w:t>
      </w:r>
      <w:r w:rsidR="00C645A0" w:rsidRPr="000508B6">
        <w:rPr>
          <w:rFonts w:ascii="Times New Roman" w:eastAsia="Times New Roman" w:hAnsi="Times New Roman" w:cs="Times New Roman"/>
          <w:bCs/>
          <w:lang w:val="ro-MD"/>
        </w:rPr>
        <w:t>93</w:t>
      </w:r>
      <w:r w:rsidRPr="000508B6">
        <w:rPr>
          <w:rFonts w:ascii="Times New Roman" w:eastAsia="Times New Roman" w:hAnsi="Times New Roman" w:cs="Times New Roman"/>
          <w:bCs/>
          <w:lang w:val="ro-MD"/>
        </w:rPr>
        <w:t xml:space="preserve"> alin. (</w:t>
      </w:r>
      <w:r w:rsidR="00C645A0" w:rsidRPr="000508B6">
        <w:rPr>
          <w:rFonts w:ascii="Times New Roman" w:eastAsia="Times New Roman" w:hAnsi="Times New Roman" w:cs="Times New Roman"/>
          <w:bCs/>
          <w:lang w:val="ro-MD"/>
        </w:rPr>
        <w:t>6</w:t>
      </w:r>
      <w:r w:rsidRPr="000508B6">
        <w:rPr>
          <w:rFonts w:ascii="Times New Roman" w:eastAsia="Times New Roman" w:hAnsi="Times New Roman" w:cs="Times New Roman"/>
          <w:bCs/>
          <w:lang w:val="ro-MD"/>
        </w:rPr>
        <w:t>).</w:t>
      </w:r>
    </w:p>
    <w:p w14:paraId="2BABD114" w14:textId="0C80F413" w:rsidR="00A73E00" w:rsidRPr="000508B6" w:rsidRDefault="00A73E00" w:rsidP="0007130D">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07130D"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 xml:space="preserve">) </w:t>
      </w:r>
      <w:r w:rsidR="0043068F" w:rsidRPr="000508B6">
        <w:rPr>
          <w:rFonts w:ascii="Times New Roman" w:eastAsia="Times New Roman" w:hAnsi="Times New Roman" w:cs="Times New Roman"/>
          <w:bCs/>
          <w:lang w:val="ro-MD"/>
        </w:rPr>
        <w:t xml:space="preserve">Asigurătorul care desfășoară activitate de asigurarea generală se afiliază și participă la Fondul de garantare în asigurări, în aceleași condiții ca și asigurătorul care </w:t>
      </w:r>
      <w:proofErr w:type="spellStart"/>
      <w:r w:rsidR="0043068F" w:rsidRPr="000508B6">
        <w:rPr>
          <w:rFonts w:ascii="Times New Roman" w:eastAsia="Times New Roman" w:hAnsi="Times New Roman" w:cs="Times New Roman"/>
          <w:bCs/>
          <w:lang w:val="ro-MD"/>
        </w:rPr>
        <w:t>desfăşoară</w:t>
      </w:r>
      <w:proofErr w:type="spellEnd"/>
      <w:r w:rsidR="0043068F" w:rsidRPr="000508B6">
        <w:rPr>
          <w:rFonts w:ascii="Times New Roman" w:eastAsia="Times New Roman" w:hAnsi="Times New Roman" w:cs="Times New Roman"/>
          <w:bCs/>
          <w:lang w:val="ro-MD"/>
        </w:rPr>
        <w:t xml:space="preserve"> activitate de asigurare generală licențiat conform prevederilor prezentei legi.</w:t>
      </w:r>
    </w:p>
    <w:p w14:paraId="7980B159" w14:textId="3FE010A7" w:rsidR="00A73E00" w:rsidRPr="000508B6" w:rsidRDefault="00A73E00" w:rsidP="0007130D">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07130D" w:rsidRPr="000508B6">
        <w:rPr>
          <w:rFonts w:ascii="Times New Roman" w:eastAsia="Times New Roman" w:hAnsi="Times New Roman" w:cs="Times New Roman"/>
          <w:bCs/>
          <w:lang w:val="ro-MD"/>
        </w:rPr>
        <w:t>3</w:t>
      </w:r>
      <w:r w:rsidRPr="000508B6">
        <w:rPr>
          <w:rFonts w:ascii="Times New Roman" w:eastAsia="Times New Roman" w:hAnsi="Times New Roman" w:cs="Times New Roman"/>
          <w:bCs/>
          <w:lang w:val="ro-MD"/>
        </w:rPr>
        <w:t xml:space="preserve">) Asigurătorii din alte state membre care intenționează să </w:t>
      </w:r>
      <w:r w:rsidR="0007130D" w:rsidRPr="000508B6">
        <w:rPr>
          <w:rFonts w:ascii="Times New Roman" w:eastAsia="Times New Roman" w:hAnsi="Times New Roman" w:cs="Times New Roman"/>
          <w:bCs/>
          <w:lang w:val="ro-MD"/>
        </w:rPr>
        <w:t xml:space="preserve">subscrie </w:t>
      </w:r>
      <w:r w:rsidRPr="000508B6">
        <w:rPr>
          <w:rFonts w:ascii="Times New Roman" w:eastAsia="Times New Roman" w:hAnsi="Times New Roman" w:cs="Times New Roman"/>
          <w:bCs/>
          <w:lang w:val="ro-MD"/>
        </w:rPr>
        <w:t xml:space="preserve">clasa 10 prevăzută în anexa nr. 1 </w:t>
      </w:r>
      <w:proofErr w:type="spellStart"/>
      <w:r w:rsidRPr="000508B6">
        <w:rPr>
          <w:rFonts w:ascii="Times New Roman" w:eastAsia="Times New Roman" w:hAnsi="Times New Roman" w:cs="Times New Roman"/>
          <w:bCs/>
          <w:lang w:val="ro-MD"/>
        </w:rPr>
        <w:t>secţiunea</w:t>
      </w:r>
      <w:proofErr w:type="spellEnd"/>
      <w:r w:rsidRPr="000508B6">
        <w:rPr>
          <w:rFonts w:ascii="Times New Roman" w:eastAsia="Times New Roman" w:hAnsi="Times New Roman" w:cs="Times New Roman"/>
          <w:bCs/>
          <w:lang w:val="ro-MD"/>
        </w:rPr>
        <w:t xml:space="preserve"> A, cu excepția răspunderii transportatorului, respectă prevederile art. </w:t>
      </w:r>
      <w:r w:rsidR="0007130D" w:rsidRPr="000508B6">
        <w:rPr>
          <w:rFonts w:ascii="Times New Roman" w:eastAsia="Times New Roman" w:hAnsi="Times New Roman" w:cs="Times New Roman"/>
          <w:bCs/>
          <w:lang w:val="ro-MD"/>
        </w:rPr>
        <w:t>93</w:t>
      </w:r>
      <w:r w:rsidRPr="000508B6">
        <w:rPr>
          <w:rFonts w:ascii="Times New Roman" w:eastAsia="Times New Roman" w:hAnsi="Times New Roman" w:cs="Times New Roman"/>
          <w:bCs/>
          <w:lang w:val="ro-MD"/>
        </w:rPr>
        <w:t xml:space="preserve"> alin. (</w:t>
      </w:r>
      <w:r w:rsidR="00AF6FF0" w:rsidRPr="000508B6">
        <w:rPr>
          <w:rFonts w:ascii="Times New Roman" w:eastAsia="Times New Roman" w:hAnsi="Times New Roman" w:cs="Times New Roman"/>
          <w:bCs/>
          <w:lang w:val="ro-MD"/>
        </w:rPr>
        <w:t>7</w:t>
      </w:r>
      <w:r w:rsidRPr="000508B6">
        <w:rPr>
          <w:rFonts w:ascii="Times New Roman" w:eastAsia="Times New Roman" w:hAnsi="Times New Roman" w:cs="Times New Roman"/>
          <w:bCs/>
          <w:lang w:val="ro-MD"/>
        </w:rPr>
        <w:t>).</w:t>
      </w:r>
    </w:p>
    <w:p w14:paraId="36A8EB04" w14:textId="1165B79B" w:rsidR="0007130D" w:rsidRPr="000508B6" w:rsidRDefault="00A73E00" w:rsidP="0007130D">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07130D" w:rsidRPr="000508B6">
        <w:rPr>
          <w:rFonts w:ascii="Times New Roman" w:eastAsia="Times New Roman" w:hAnsi="Times New Roman" w:cs="Times New Roman"/>
          <w:bCs/>
          <w:lang w:val="ro-MD"/>
        </w:rPr>
        <w:t>4</w:t>
      </w:r>
      <w:r w:rsidRPr="000508B6">
        <w:rPr>
          <w:rFonts w:ascii="Times New Roman" w:eastAsia="Times New Roman" w:hAnsi="Times New Roman" w:cs="Times New Roman"/>
          <w:bCs/>
          <w:lang w:val="ro-MD"/>
        </w:rPr>
        <w:t xml:space="preserve">) </w:t>
      </w:r>
      <w:r w:rsidR="0007130D" w:rsidRPr="000508B6">
        <w:rPr>
          <w:rFonts w:ascii="Times New Roman" w:eastAsia="Times New Roman" w:hAnsi="Times New Roman" w:cs="Times New Roman"/>
          <w:bCs/>
          <w:lang w:val="ro-MD"/>
        </w:rPr>
        <w:t xml:space="preserve">În cazul în care Banca Națională a Moldovei este notificată cu privire la </w:t>
      </w:r>
      <w:proofErr w:type="spellStart"/>
      <w:r w:rsidR="0007130D" w:rsidRPr="000508B6">
        <w:rPr>
          <w:rFonts w:ascii="Times New Roman" w:eastAsia="Times New Roman" w:hAnsi="Times New Roman" w:cs="Times New Roman"/>
          <w:bCs/>
          <w:lang w:val="ro-MD"/>
        </w:rPr>
        <w:t>intenţia</w:t>
      </w:r>
      <w:proofErr w:type="spellEnd"/>
      <w:r w:rsidR="0007130D" w:rsidRPr="000508B6">
        <w:rPr>
          <w:rFonts w:ascii="Times New Roman" w:eastAsia="Times New Roman" w:hAnsi="Times New Roman" w:cs="Times New Roman"/>
          <w:bCs/>
          <w:lang w:val="ro-MD"/>
        </w:rPr>
        <w:t xml:space="preserve"> unui asigurător dintr-un stat membru de a subscrie direct riscuri din clasa 10 </w:t>
      </w:r>
      <w:proofErr w:type="spellStart"/>
      <w:r w:rsidR="0007130D" w:rsidRPr="000508B6">
        <w:rPr>
          <w:rFonts w:ascii="Times New Roman" w:eastAsia="Times New Roman" w:hAnsi="Times New Roman" w:cs="Times New Roman"/>
          <w:bCs/>
          <w:lang w:val="ro-MD"/>
        </w:rPr>
        <w:t>menţionată</w:t>
      </w:r>
      <w:proofErr w:type="spellEnd"/>
      <w:r w:rsidR="0007130D" w:rsidRPr="000508B6">
        <w:rPr>
          <w:rFonts w:ascii="Times New Roman" w:eastAsia="Times New Roman" w:hAnsi="Times New Roman" w:cs="Times New Roman"/>
          <w:bCs/>
          <w:lang w:val="ro-MD"/>
        </w:rPr>
        <w:t xml:space="preserve"> în Anexa nr.1 </w:t>
      </w:r>
      <w:proofErr w:type="spellStart"/>
      <w:r w:rsidR="0007130D" w:rsidRPr="000508B6">
        <w:rPr>
          <w:rFonts w:ascii="Times New Roman" w:eastAsia="Times New Roman" w:hAnsi="Times New Roman" w:cs="Times New Roman"/>
          <w:bCs/>
          <w:lang w:val="ro-MD"/>
        </w:rPr>
        <w:t>Secţiunea</w:t>
      </w:r>
      <w:proofErr w:type="spellEnd"/>
      <w:r w:rsidR="0007130D" w:rsidRPr="000508B6">
        <w:rPr>
          <w:rFonts w:ascii="Times New Roman" w:eastAsia="Times New Roman" w:hAnsi="Times New Roman" w:cs="Times New Roman"/>
          <w:bCs/>
          <w:lang w:val="ro-MD"/>
        </w:rPr>
        <w:t xml:space="preserve"> A, cu excepția răspunderii transportatorului, Banca Națională a Moldovei solicită acestuia următoarele:</w:t>
      </w:r>
    </w:p>
    <w:p w14:paraId="6F23A9ED" w14:textId="77777777" w:rsidR="00292D81" w:rsidRPr="000508B6" w:rsidRDefault="0007130D" w:rsidP="00292D81">
      <w:pPr>
        <w:pStyle w:val="Listparagraf"/>
        <w:numPr>
          <w:ilvl w:val="0"/>
          <w:numId w:val="479"/>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numele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adresa reprezentantului de despăgubiri, menționat la art. 5 alin. (1) lit. h);</w:t>
      </w:r>
    </w:p>
    <w:p w14:paraId="116D3A61" w14:textId="4297B51C" w:rsidR="0007130D" w:rsidRPr="000508B6" w:rsidRDefault="0007130D" w:rsidP="00292D81">
      <w:pPr>
        <w:pStyle w:val="Listparagraf"/>
        <w:numPr>
          <w:ilvl w:val="0"/>
          <w:numId w:val="479"/>
        </w:numPr>
        <w:spacing w:after="0" w:line="240" w:lineRule="auto"/>
        <w:ind w:left="0" w:firstLine="426"/>
        <w:jc w:val="both"/>
        <w:rPr>
          <w:rFonts w:ascii="Times New Roman" w:eastAsia="Times New Roman" w:hAnsi="Times New Roman" w:cs="Times New Roman"/>
          <w:bCs/>
          <w:lang w:val="ro-MD"/>
        </w:rPr>
      </w:pPr>
      <w:proofErr w:type="spellStart"/>
      <w:r w:rsidRPr="000508B6">
        <w:rPr>
          <w:rFonts w:ascii="Times New Roman" w:eastAsia="Times New Roman" w:hAnsi="Times New Roman" w:cs="Times New Roman"/>
          <w:bCs/>
          <w:lang w:val="ro-MD"/>
        </w:rPr>
        <w:t>declaraţia</w:t>
      </w:r>
      <w:proofErr w:type="spellEnd"/>
      <w:r w:rsidRPr="000508B6">
        <w:rPr>
          <w:rFonts w:ascii="Times New Roman" w:eastAsia="Times New Roman" w:hAnsi="Times New Roman" w:cs="Times New Roman"/>
          <w:bCs/>
          <w:lang w:val="ro-MD"/>
        </w:rPr>
        <w:t xml:space="preserve"> care să confirme că acesta a devenit membru al BNAA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al fondului de compensare și protecție și participă la finanțarea acestora.</w:t>
      </w:r>
    </w:p>
    <w:p w14:paraId="1080A9A8" w14:textId="7F629979" w:rsidR="0030466A" w:rsidRPr="000508B6" w:rsidRDefault="0030466A" w:rsidP="0007130D">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(5)</w:t>
      </w:r>
      <w:proofErr w:type="spellStart"/>
      <w:r w:rsidRPr="000508B6">
        <w:rPr>
          <w:rFonts w:ascii="Times New Roman" w:eastAsia="Times New Roman" w:hAnsi="Times New Roman" w:cs="Times New Roman"/>
          <w:bCs/>
          <w:lang w:val="ro-MD"/>
        </w:rPr>
        <w:t>Contribuţia</w:t>
      </w:r>
      <w:proofErr w:type="spellEnd"/>
      <w:r w:rsidRPr="000508B6">
        <w:rPr>
          <w:rFonts w:ascii="Times New Roman" w:eastAsia="Times New Roman" w:hAnsi="Times New Roman" w:cs="Times New Roman"/>
          <w:bCs/>
          <w:lang w:val="ro-MD"/>
        </w:rPr>
        <w:t xml:space="preserve"> financiară la BNAA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la fondul de compensare și de protecție menționată la alin. (4), se calculează în </w:t>
      </w:r>
      <w:proofErr w:type="spellStart"/>
      <w:r w:rsidRPr="000508B6">
        <w:rPr>
          <w:rFonts w:ascii="Times New Roman" w:eastAsia="Times New Roman" w:hAnsi="Times New Roman" w:cs="Times New Roman"/>
          <w:bCs/>
          <w:lang w:val="ro-MD"/>
        </w:rPr>
        <w:t>funcţie</w:t>
      </w:r>
      <w:proofErr w:type="spellEnd"/>
      <w:r w:rsidRPr="000508B6">
        <w:rPr>
          <w:rFonts w:ascii="Times New Roman" w:eastAsia="Times New Roman" w:hAnsi="Times New Roman" w:cs="Times New Roman"/>
          <w:bCs/>
          <w:lang w:val="ro-MD"/>
        </w:rPr>
        <w:t xml:space="preserve"> de primele brute încasate sau de numărul de riscuri acoperite pe teritoriul Moldovei, prin </w:t>
      </w:r>
      <w:proofErr w:type="spellStart"/>
      <w:r w:rsidRPr="000508B6">
        <w:rPr>
          <w:rFonts w:ascii="Times New Roman" w:eastAsia="Times New Roman" w:hAnsi="Times New Roman" w:cs="Times New Roman"/>
          <w:bCs/>
          <w:lang w:val="ro-MD"/>
        </w:rPr>
        <w:t>aceeaşi</w:t>
      </w:r>
      <w:proofErr w:type="spellEnd"/>
      <w:r w:rsidRPr="000508B6">
        <w:rPr>
          <w:rFonts w:ascii="Times New Roman" w:eastAsia="Times New Roman" w:hAnsi="Times New Roman" w:cs="Times New Roman"/>
          <w:bCs/>
          <w:lang w:val="ro-MD"/>
        </w:rPr>
        <w:t xml:space="preserve"> metodă utilizată de asigurătorul care </w:t>
      </w:r>
      <w:proofErr w:type="spellStart"/>
      <w:r w:rsidRPr="000508B6">
        <w:rPr>
          <w:rFonts w:ascii="Times New Roman" w:eastAsia="Times New Roman" w:hAnsi="Times New Roman" w:cs="Times New Roman"/>
          <w:bCs/>
          <w:lang w:val="ro-MD"/>
        </w:rPr>
        <w:t>desfăşoară</w:t>
      </w:r>
      <w:proofErr w:type="spellEnd"/>
      <w:r w:rsidRPr="000508B6">
        <w:rPr>
          <w:rFonts w:ascii="Times New Roman" w:eastAsia="Times New Roman" w:hAnsi="Times New Roman" w:cs="Times New Roman"/>
          <w:bCs/>
          <w:lang w:val="ro-MD"/>
        </w:rPr>
        <w:t xml:space="preserve"> activitate în baza dreptului de stabilire.</w:t>
      </w:r>
    </w:p>
    <w:p w14:paraId="49FE449A" w14:textId="32C09649" w:rsidR="0043068F" w:rsidRPr="000508B6" w:rsidRDefault="00A73E00" w:rsidP="0007130D">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ED5988" w:rsidRPr="000508B6">
        <w:rPr>
          <w:rFonts w:ascii="Times New Roman" w:eastAsia="Times New Roman" w:hAnsi="Times New Roman" w:cs="Times New Roman"/>
          <w:bCs/>
          <w:lang w:val="ro-MD"/>
        </w:rPr>
        <w:t>6</w:t>
      </w:r>
      <w:r w:rsidRPr="000508B6">
        <w:rPr>
          <w:rFonts w:ascii="Times New Roman" w:eastAsia="Times New Roman" w:hAnsi="Times New Roman" w:cs="Times New Roman"/>
          <w:bCs/>
          <w:lang w:val="ro-MD"/>
        </w:rPr>
        <w:t xml:space="preserve">) </w:t>
      </w:r>
      <w:r w:rsidR="0043068F" w:rsidRPr="000508B6">
        <w:rPr>
          <w:rFonts w:ascii="Times New Roman" w:eastAsia="Times New Roman" w:hAnsi="Times New Roman" w:cs="Times New Roman"/>
          <w:bCs/>
          <w:lang w:val="ro-MD"/>
        </w:rPr>
        <w:t xml:space="preserve">Desemnarea reprezentantului </w:t>
      </w:r>
      <w:proofErr w:type="spellStart"/>
      <w:r w:rsidR="0043068F" w:rsidRPr="000508B6">
        <w:rPr>
          <w:rFonts w:ascii="Times New Roman" w:eastAsia="Times New Roman" w:hAnsi="Times New Roman" w:cs="Times New Roman"/>
          <w:bCs/>
          <w:lang w:val="ro-MD"/>
        </w:rPr>
        <w:t>menţionat</w:t>
      </w:r>
      <w:proofErr w:type="spellEnd"/>
      <w:r w:rsidR="0043068F" w:rsidRPr="000508B6">
        <w:rPr>
          <w:rFonts w:ascii="Times New Roman" w:eastAsia="Times New Roman" w:hAnsi="Times New Roman" w:cs="Times New Roman"/>
          <w:bCs/>
          <w:lang w:val="ro-MD"/>
        </w:rPr>
        <w:t xml:space="preserve"> la </w:t>
      </w:r>
      <w:r w:rsidR="0047770A" w:rsidRPr="000508B6">
        <w:rPr>
          <w:rFonts w:ascii="Times New Roman" w:eastAsia="Times New Roman" w:hAnsi="Times New Roman" w:cs="Times New Roman"/>
          <w:bCs/>
          <w:lang w:val="ro-MD"/>
        </w:rPr>
        <w:t xml:space="preserve">art. </w:t>
      </w:r>
      <w:r w:rsidR="00FC0C39" w:rsidRPr="000508B6">
        <w:rPr>
          <w:rFonts w:ascii="Times New Roman" w:eastAsia="Times New Roman" w:hAnsi="Times New Roman" w:cs="Times New Roman"/>
          <w:bCs/>
          <w:lang w:val="ro-MD"/>
        </w:rPr>
        <w:t xml:space="preserve">93 </w:t>
      </w:r>
      <w:r w:rsidR="0043068F" w:rsidRPr="000508B6">
        <w:rPr>
          <w:rFonts w:ascii="Times New Roman" w:eastAsia="Times New Roman" w:hAnsi="Times New Roman" w:cs="Times New Roman"/>
          <w:bCs/>
          <w:lang w:val="ro-MD"/>
        </w:rPr>
        <w:t>alin. (</w:t>
      </w:r>
      <w:r w:rsidR="00FC0C39" w:rsidRPr="000508B6">
        <w:rPr>
          <w:rFonts w:ascii="Times New Roman" w:eastAsia="Times New Roman" w:hAnsi="Times New Roman" w:cs="Times New Roman"/>
          <w:bCs/>
          <w:lang w:val="ro-MD"/>
        </w:rPr>
        <w:t>7</w:t>
      </w:r>
      <w:r w:rsidR="0043068F" w:rsidRPr="000508B6">
        <w:rPr>
          <w:rFonts w:ascii="Times New Roman" w:eastAsia="Times New Roman" w:hAnsi="Times New Roman" w:cs="Times New Roman"/>
          <w:bCs/>
          <w:lang w:val="ro-MD"/>
        </w:rPr>
        <w:t xml:space="preserve">) </w:t>
      </w:r>
      <w:proofErr w:type="spellStart"/>
      <w:r w:rsidR="0043068F" w:rsidRPr="000508B6">
        <w:rPr>
          <w:rFonts w:ascii="Times New Roman" w:eastAsia="Times New Roman" w:hAnsi="Times New Roman" w:cs="Times New Roman"/>
          <w:bCs/>
          <w:lang w:val="ro-MD"/>
        </w:rPr>
        <w:t>lit.b</w:t>
      </w:r>
      <w:proofErr w:type="spellEnd"/>
      <w:r w:rsidR="0043068F" w:rsidRPr="000508B6">
        <w:rPr>
          <w:rFonts w:ascii="Times New Roman" w:eastAsia="Times New Roman" w:hAnsi="Times New Roman" w:cs="Times New Roman"/>
          <w:bCs/>
          <w:lang w:val="ro-MD"/>
        </w:rPr>
        <w:t xml:space="preserve">) de către asigurătorul dintr-un stat membru de a subscrie direct riscuri din clasa 10 </w:t>
      </w:r>
      <w:proofErr w:type="spellStart"/>
      <w:r w:rsidR="0043068F" w:rsidRPr="000508B6">
        <w:rPr>
          <w:rFonts w:ascii="Times New Roman" w:eastAsia="Times New Roman" w:hAnsi="Times New Roman" w:cs="Times New Roman"/>
          <w:bCs/>
          <w:lang w:val="ro-MD"/>
        </w:rPr>
        <w:t>menţionată</w:t>
      </w:r>
      <w:proofErr w:type="spellEnd"/>
      <w:r w:rsidR="0043068F" w:rsidRPr="000508B6">
        <w:rPr>
          <w:rFonts w:ascii="Times New Roman" w:eastAsia="Times New Roman" w:hAnsi="Times New Roman" w:cs="Times New Roman"/>
          <w:bCs/>
          <w:lang w:val="ro-MD"/>
        </w:rPr>
        <w:t xml:space="preserve"> în Anexa nr. 1 </w:t>
      </w:r>
      <w:proofErr w:type="spellStart"/>
      <w:r w:rsidR="0043068F" w:rsidRPr="000508B6">
        <w:rPr>
          <w:rFonts w:ascii="Times New Roman" w:eastAsia="Times New Roman" w:hAnsi="Times New Roman" w:cs="Times New Roman"/>
          <w:bCs/>
          <w:lang w:val="ro-MD"/>
        </w:rPr>
        <w:t>Secţiunea</w:t>
      </w:r>
      <w:proofErr w:type="spellEnd"/>
      <w:r w:rsidR="0043068F" w:rsidRPr="000508B6">
        <w:rPr>
          <w:rFonts w:ascii="Times New Roman" w:eastAsia="Times New Roman" w:hAnsi="Times New Roman" w:cs="Times New Roman"/>
          <w:bCs/>
          <w:lang w:val="ro-MD"/>
        </w:rPr>
        <w:t xml:space="preserve"> A, cu excepția răspunderii transportatorului, nu poate fi asimilată instituirii unei sucursale, în sensul art. 91.</w:t>
      </w:r>
    </w:p>
    <w:p w14:paraId="190F1B1F" w14:textId="470C0554" w:rsidR="00A73E00" w:rsidRPr="000508B6" w:rsidRDefault="00A73E00" w:rsidP="0043068F">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ED5988" w:rsidRPr="000508B6">
        <w:rPr>
          <w:rFonts w:ascii="Times New Roman" w:eastAsia="Times New Roman" w:hAnsi="Times New Roman" w:cs="Times New Roman"/>
          <w:bCs/>
          <w:lang w:val="ro-MD"/>
        </w:rPr>
        <w:t>7</w:t>
      </w:r>
      <w:r w:rsidRPr="000508B6">
        <w:rPr>
          <w:rFonts w:ascii="Times New Roman" w:eastAsia="Times New Roman" w:hAnsi="Times New Roman" w:cs="Times New Roman"/>
          <w:bCs/>
          <w:lang w:val="ro-MD"/>
        </w:rPr>
        <w:t>) Asigurător</w:t>
      </w:r>
      <w:r w:rsidR="00B3719C" w:rsidRPr="000508B6">
        <w:rPr>
          <w:rFonts w:ascii="Times New Roman" w:eastAsia="Times New Roman" w:hAnsi="Times New Roman" w:cs="Times New Roman"/>
          <w:bCs/>
          <w:lang w:val="ro-MD"/>
        </w:rPr>
        <w:t>ul</w:t>
      </w:r>
      <w:r w:rsidRPr="000508B6">
        <w:rPr>
          <w:rFonts w:ascii="Times New Roman" w:eastAsia="Times New Roman" w:hAnsi="Times New Roman" w:cs="Times New Roman"/>
          <w:bCs/>
          <w:lang w:val="ro-MD"/>
        </w:rPr>
        <w:t xml:space="preserve"> din alt stat membr</w:t>
      </w:r>
      <w:r w:rsidR="00B3719C" w:rsidRPr="000508B6">
        <w:rPr>
          <w:rFonts w:ascii="Times New Roman" w:eastAsia="Times New Roman" w:hAnsi="Times New Roman" w:cs="Times New Roman"/>
          <w:bCs/>
          <w:lang w:val="ro-MD"/>
        </w:rPr>
        <w:t>u</w:t>
      </w:r>
      <w:r w:rsidRPr="000508B6">
        <w:rPr>
          <w:rFonts w:ascii="Times New Roman" w:eastAsia="Times New Roman" w:hAnsi="Times New Roman" w:cs="Times New Roman"/>
          <w:bCs/>
          <w:lang w:val="ro-MD"/>
        </w:rPr>
        <w:t xml:space="preserve"> care </w:t>
      </w:r>
      <w:proofErr w:type="spellStart"/>
      <w:r w:rsidRPr="000508B6">
        <w:rPr>
          <w:rFonts w:ascii="Times New Roman" w:eastAsia="Times New Roman" w:hAnsi="Times New Roman" w:cs="Times New Roman"/>
          <w:bCs/>
          <w:lang w:val="ro-MD"/>
        </w:rPr>
        <w:t>desfăşoară</w:t>
      </w:r>
      <w:proofErr w:type="spellEnd"/>
      <w:r w:rsidRPr="000508B6">
        <w:rPr>
          <w:rFonts w:ascii="Times New Roman" w:eastAsia="Times New Roman" w:hAnsi="Times New Roman" w:cs="Times New Roman"/>
          <w:bCs/>
          <w:lang w:val="ro-MD"/>
        </w:rPr>
        <w:t xml:space="preserve"> direct activitate pe teritoriul </w:t>
      </w:r>
      <w:r w:rsidR="0043068F" w:rsidRPr="000508B6">
        <w:rPr>
          <w:rFonts w:ascii="Times New Roman" w:eastAsia="Times New Roman" w:hAnsi="Times New Roman" w:cs="Times New Roman"/>
          <w:bCs/>
          <w:lang w:val="ro-MD"/>
        </w:rPr>
        <w:t>Republicii Moldova</w:t>
      </w:r>
      <w:r w:rsidRPr="000508B6">
        <w:rPr>
          <w:rFonts w:ascii="Times New Roman" w:eastAsia="Times New Roman" w:hAnsi="Times New Roman" w:cs="Times New Roman"/>
          <w:bCs/>
          <w:lang w:val="ro-MD"/>
        </w:rPr>
        <w:t xml:space="preserve"> pot să </w:t>
      </w:r>
      <w:proofErr w:type="spellStart"/>
      <w:r w:rsidRPr="000508B6">
        <w:rPr>
          <w:rFonts w:ascii="Times New Roman" w:eastAsia="Times New Roman" w:hAnsi="Times New Roman" w:cs="Times New Roman"/>
          <w:bCs/>
          <w:lang w:val="ro-MD"/>
        </w:rPr>
        <w:t>îşi</w:t>
      </w:r>
      <w:proofErr w:type="spellEnd"/>
      <w:r w:rsidRPr="000508B6">
        <w:rPr>
          <w:rFonts w:ascii="Times New Roman" w:eastAsia="Times New Roman" w:hAnsi="Times New Roman" w:cs="Times New Roman"/>
          <w:bCs/>
          <w:lang w:val="ro-MD"/>
        </w:rPr>
        <w:t xml:space="preserve"> promoveze produsele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serviciile oferite prin intermediul tuturor canalelor de comunicare, cu respectarea </w:t>
      </w:r>
      <w:proofErr w:type="spellStart"/>
      <w:r w:rsidRPr="000508B6">
        <w:rPr>
          <w:rFonts w:ascii="Times New Roman" w:eastAsia="Times New Roman" w:hAnsi="Times New Roman" w:cs="Times New Roman"/>
          <w:bCs/>
          <w:lang w:val="ro-MD"/>
        </w:rPr>
        <w:t>legislaţiei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naţionale</w:t>
      </w:r>
      <w:proofErr w:type="spellEnd"/>
      <w:r w:rsidRPr="000508B6">
        <w:rPr>
          <w:rFonts w:ascii="Times New Roman" w:eastAsia="Times New Roman" w:hAnsi="Times New Roman" w:cs="Times New Roman"/>
          <w:bCs/>
          <w:lang w:val="ro-MD"/>
        </w:rPr>
        <w:t xml:space="preserve"> privind forma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conţinutul</w:t>
      </w:r>
      <w:proofErr w:type="spellEnd"/>
      <w:r w:rsidRPr="000508B6">
        <w:rPr>
          <w:rFonts w:ascii="Times New Roman" w:eastAsia="Times New Roman" w:hAnsi="Times New Roman" w:cs="Times New Roman"/>
          <w:bCs/>
          <w:lang w:val="ro-MD"/>
        </w:rPr>
        <w:t xml:space="preserve"> mijloacelor de publicitate. </w:t>
      </w:r>
    </w:p>
    <w:p w14:paraId="62F34D30" w14:textId="77777777" w:rsidR="00A73E00" w:rsidRPr="000508B6" w:rsidRDefault="00A73E00" w:rsidP="0043068F">
      <w:pPr>
        <w:spacing w:after="0" w:line="240" w:lineRule="auto"/>
        <w:ind w:firstLine="426"/>
        <w:rPr>
          <w:rFonts w:ascii="Times New Roman" w:eastAsia="Times New Roman" w:hAnsi="Times New Roman" w:cs="Times New Roman"/>
          <w:b/>
          <w:lang w:val="ro-MD"/>
        </w:rPr>
      </w:pPr>
    </w:p>
    <w:p w14:paraId="796656B5" w14:textId="4BD19994" w:rsidR="00D30FA5" w:rsidRPr="000508B6" w:rsidRDefault="00D30FA5" w:rsidP="00D30FA5">
      <w:pPr>
        <w:spacing w:after="0" w:line="240" w:lineRule="auto"/>
        <w:rPr>
          <w:rFonts w:ascii="Times New Roman" w:hAnsi="Times New Roman" w:cs="Times New Roman"/>
          <w:lang w:val="ro-MD"/>
        </w:rPr>
      </w:pPr>
    </w:p>
    <w:p w14:paraId="12208B98" w14:textId="5BF23DBE" w:rsidR="00F95829" w:rsidRPr="000508B6" w:rsidRDefault="001C1F95"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V</w:t>
      </w:r>
    </w:p>
    <w:p w14:paraId="33D9E1C0" w14:textId="1017C2D1" w:rsidR="00F95829" w:rsidRPr="000508B6" w:rsidRDefault="001C1F95"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SUCURSAL</w:t>
      </w:r>
      <w:r w:rsidR="00DB0441" w:rsidRPr="000508B6">
        <w:rPr>
          <w:rFonts w:ascii="Times New Roman" w:eastAsia="Times New Roman" w:hAnsi="Times New Roman" w:cs="Times New Roman"/>
          <w:b/>
          <w:lang w:val="ro-MD"/>
        </w:rPr>
        <w:t>A</w:t>
      </w:r>
      <w:r w:rsidRPr="000508B6">
        <w:rPr>
          <w:rFonts w:ascii="Times New Roman" w:eastAsia="Times New Roman" w:hAnsi="Times New Roman" w:cs="Times New Roman"/>
          <w:b/>
          <w:lang w:val="ro-MD"/>
        </w:rPr>
        <w:t xml:space="preserve"> </w:t>
      </w:r>
      <w:r w:rsidR="004125E8" w:rsidRPr="000508B6">
        <w:rPr>
          <w:rFonts w:ascii="Times New Roman" w:eastAsia="Times New Roman" w:hAnsi="Times New Roman" w:cs="Times New Roman"/>
          <w:b/>
          <w:lang w:val="ro-MD"/>
        </w:rPr>
        <w:t xml:space="preserve">ASIGURĂTORULUI </w:t>
      </w:r>
      <w:r w:rsidRPr="000508B6">
        <w:rPr>
          <w:rFonts w:ascii="Times New Roman" w:eastAsia="Times New Roman" w:hAnsi="Times New Roman" w:cs="Times New Roman"/>
          <w:b/>
          <w:lang w:val="ro-MD"/>
        </w:rPr>
        <w:t xml:space="preserve">DIN STAT </w:t>
      </w:r>
      <w:r w:rsidR="00863CA3" w:rsidRPr="000508B6">
        <w:rPr>
          <w:rFonts w:ascii="Times New Roman" w:eastAsia="Times New Roman" w:hAnsi="Times New Roman" w:cs="Times New Roman"/>
          <w:b/>
          <w:lang w:val="ro-MD"/>
        </w:rPr>
        <w:t>TERȚ</w:t>
      </w:r>
    </w:p>
    <w:p w14:paraId="1378C7A8" w14:textId="22199879" w:rsidR="00F95829" w:rsidRPr="000508B6" w:rsidRDefault="00F95829" w:rsidP="008B530F">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95</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A03E5B" w:rsidRPr="000508B6">
        <w:rPr>
          <w:rFonts w:ascii="Times New Roman" w:eastAsia="Times New Roman" w:hAnsi="Times New Roman" w:cs="Times New Roman"/>
          <w:lang w:val="ro-MD"/>
        </w:rPr>
        <w:t xml:space="preserve">Condițiile </w:t>
      </w:r>
      <w:r w:rsidRPr="000508B6">
        <w:rPr>
          <w:rFonts w:ascii="Times New Roman" w:eastAsia="Times New Roman" w:hAnsi="Times New Roman" w:cs="Times New Roman"/>
          <w:lang w:val="ro-MD"/>
        </w:rPr>
        <w:t xml:space="preserve">de </w:t>
      </w:r>
      <w:proofErr w:type="spellStart"/>
      <w:r w:rsidRPr="000508B6">
        <w:rPr>
          <w:rFonts w:ascii="Times New Roman" w:eastAsia="Times New Roman" w:hAnsi="Times New Roman" w:cs="Times New Roman"/>
          <w:lang w:val="ro-MD"/>
        </w:rPr>
        <w:t>licenţiere</w:t>
      </w:r>
      <w:proofErr w:type="spellEnd"/>
      <w:r w:rsidRPr="000508B6">
        <w:rPr>
          <w:rFonts w:ascii="Times New Roman" w:eastAsia="Times New Roman" w:hAnsi="Times New Roman" w:cs="Times New Roman"/>
          <w:lang w:val="ro-MD"/>
        </w:rPr>
        <w:t xml:space="preserve"> a sucursale</w:t>
      </w:r>
      <w:r w:rsidR="003E569E" w:rsidRPr="000508B6">
        <w:rPr>
          <w:rFonts w:ascii="Times New Roman" w:eastAsia="Times New Roman" w:hAnsi="Times New Roman" w:cs="Times New Roman"/>
          <w:lang w:val="ro-MD"/>
        </w:rPr>
        <w:t xml:space="preserve">i </w:t>
      </w:r>
      <w:r w:rsidR="007E6511" w:rsidRPr="000508B6">
        <w:rPr>
          <w:rFonts w:ascii="Times New Roman" w:eastAsia="Times New Roman" w:hAnsi="Times New Roman" w:cs="Times New Roman"/>
          <w:lang w:val="ro-MD"/>
        </w:rPr>
        <w:t xml:space="preserve">asigurătorului </w:t>
      </w:r>
      <w:r w:rsidRPr="000508B6">
        <w:rPr>
          <w:rFonts w:ascii="Times New Roman" w:eastAsia="Times New Roman" w:hAnsi="Times New Roman" w:cs="Times New Roman"/>
          <w:lang w:val="ro-MD"/>
        </w:rPr>
        <w:t>din</w:t>
      </w:r>
      <w:r w:rsidR="00971E13" w:rsidRPr="000508B6">
        <w:rPr>
          <w:rFonts w:ascii="Times New Roman" w:eastAsia="Times New Roman" w:hAnsi="Times New Roman" w:cs="Times New Roman"/>
          <w:lang w:val="ro-MD"/>
        </w:rPr>
        <w:t>tr-un</w:t>
      </w:r>
      <w:r w:rsidRPr="000508B6">
        <w:rPr>
          <w:rFonts w:ascii="Times New Roman" w:eastAsia="Times New Roman" w:hAnsi="Times New Roman" w:cs="Times New Roman"/>
          <w:lang w:val="ro-MD"/>
        </w:rPr>
        <w:t xml:space="preserve"> stat </w:t>
      </w:r>
      <w:proofErr w:type="spellStart"/>
      <w:r w:rsidRPr="000508B6">
        <w:rPr>
          <w:rFonts w:ascii="Times New Roman" w:eastAsia="Times New Roman" w:hAnsi="Times New Roman" w:cs="Times New Roman"/>
          <w:lang w:val="ro-MD"/>
        </w:rPr>
        <w:t>terţ</w:t>
      </w:r>
      <w:proofErr w:type="spellEnd"/>
    </w:p>
    <w:p w14:paraId="1B903134" w14:textId="2A70B537" w:rsidR="00F95829" w:rsidRPr="000508B6" w:rsidRDefault="00F95829" w:rsidP="00DE4225">
      <w:pPr>
        <w:pStyle w:val="Listparagraf"/>
        <w:numPr>
          <w:ilvl w:val="1"/>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w:t>
      </w:r>
      <w:r w:rsidR="006B4038" w:rsidRPr="000508B6">
        <w:rPr>
          <w:rFonts w:ascii="Times New Roman" w:eastAsia="Times New Roman" w:hAnsi="Times New Roman" w:cs="Times New Roman"/>
          <w:lang w:val="ro-MD"/>
        </w:rPr>
        <w:t xml:space="preserve">n sensul prezentului </w:t>
      </w:r>
      <w:r w:rsidRPr="000508B6">
        <w:rPr>
          <w:rFonts w:ascii="Times New Roman" w:eastAsia="Times New Roman" w:hAnsi="Times New Roman" w:cs="Times New Roman"/>
          <w:lang w:val="ro-MD"/>
        </w:rPr>
        <w:t xml:space="preserve">capitol, prin sucursală se </w:t>
      </w:r>
      <w:proofErr w:type="spellStart"/>
      <w:r w:rsidRPr="000508B6">
        <w:rPr>
          <w:rFonts w:ascii="Times New Roman" w:eastAsia="Times New Roman" w:hAnsi="Times New Roman" w:cs="Times New Roman"/>
          <w:lang w:val="ro-MD"/>
        </w:rPr>
        <w:t>înţelege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prezenţa</w:t>
      </w:r>
      <w:proofErr w:type="spellEnd"/>
      <w:r w:rsidRPr="000508B6">
        <w:rPr>
          <w:rFonts w:ascii="Times New Roman" w:eastAsia="Times New Roman" w:hAnsi="Times New Roman" w:cs="Times New Roman"/>
          <w:lang w:val="ro-MD"/>
        </w:rPr>
        <w:t xml:space="preserve"> permanentă pe teritoriul Republicii Moldova a </w:t>
      </w:r>
      <w:r w:rsidR="00283A9B" w:rsidRPr="000508B6">
        <w:rPr>
          <w:rFonts w:ascii="Times New Roman" w:eastAsia="Times New Roman" w:hAnsi="Times New Roman" w:cs="Times New Roman"/>
          <w:lang w:val="ro-MD"/>
        </w:rPr>
        <w:t xml:space="preserve">unui </w:t>
      </w:r>
      <w:r w:rsidR="007E6511" w:rsidRPr="000508B6">
        <w:rPr>
          <w:rFonts w:ascii="Times New Roman" w:eastAsia="Times New Roman" w:hAnsi="Times New Roman" w:cs="Times New Roman"/>
          <w:lang w:val="ro-MD"/>
        </w:rPr>
        <w:t>asigurător</w:t>
      </w:r>
      <w:r w:rsidR="007E6511" w:rsidRPr="000508B6" w:rsidDel="00775325">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dintr-un stat </w:t>
      </w:r>
      <w:proofErr w:type="spellStart"/>
      <w:r w:rsidRPr="000508B6">
        <w:rPr>
          <w:rFonts w:ascii="Times New Roman" w:eastAsia="Times New Roman" w:hAnsi="Times New Roman" w:cs="Times New Roman"/>
          <w:lang w:val="ro-MD"/>
        </w:rPr>
        <w:t>terţ</w:t>
      </w:r>
      <w:proofErr w:type="spellEnd"/>
      <w:r w:rsidRPr="000508B6">
        <w:rPr>
          <w:rFonts w:ascii="Times New Roman" w:eastAsia="Times New Roman" w:hAnsi="Times New Roman" w:cs="Times New Roman"/>
          <w:lang w:val="ro-MD"/>
        </w:rPr>
        <w:t xml:space="preserve">, licențiat </w:t>
      </w:r>
      <w:r w:rsidR="00343D65" w:rsidRPr="000508B6">
        <w:rPr>
          <w:rFonts w:ascii="Times New Roman" w:eastAsia="Times New Roman" w:hAnsi="Times New Roman" w:cs="Times New Roman"/>
          <w:lang w:val="ro-MD"/>
        </w:rPr>
        <w:t>de către Banca Națională a Moldovei</w:t>
      </w:r>
      <w:r w:rsidRPr="000508B6">
        <w:rPr>
          <w:rFonts w:ascii="Times New Roman" w:eastAsia="Times New Roman" w:hAnsi="Times New Roman" w:cs="Times New Roman"/>
          <w:lang w:val="ro-MD"/>
        </w:rPr>
        <w:t xml:space="preserve"> </w:t>
      </w:r>
      <w:r w:rsidR="00B92ACE" w:rsidRPr="000508B6">
        <w:rPr>
          <w:rFonts w:ascii="Times New Roman" w:eastAsia="Times New Roman" w:hAnsi="Times New Roman" w:cs="Times New Roman"/>
          <w:lang w:val="ro-MD"/>
        </w:rPr>
        <w:t xml:space="preserve">să </w:t>
      </w:r>
      <w:r w:rsidR="00391F95" w:rsidRPr="000508B6">
        <w:rPr>
          <w:rFonts w:ascii="Times New Roman" w:eastAsia="Times New Roman" w:hAnsi="Times New Roman" w:cs="Times New Roman"/>
          <w:lang w:val="ro-MD"/>
        </w:rPr>
        <w:t>desfășoare</w:t>
      </w:r>
      <w:r w:rsidR="00B92ACE" w:rsidRPr="000508B6">
        <w:rPr>
          <w:rFonts w:ascii="Times New Roman" w:eastAsia="Times New Roman" w:hAnsi="Times New Roman" w:cs="Times New Roman"/>
          <w:lang w:val="ro-MD"/>
        </w:rPr>
        <w:t xml:space="preserve"> activitate în Republica Moldova</w:t>
      </w:r>
      <w:r w:rsidR="00391F95" w:rsidRPr="000508B6">
        <w:rPr>
          <w:rFonts w:ascii="Times New Roman" w:eastAsia="Times New Roman" w:hAnsi="Times New Roman" w:cs="Times New Roman"/>
          <w:lang w:val="ro-MD"/>
        </w:rPr>
        <w:t>,</w:t>
      </w:r>
      <w:r w:rsidR="00B92ACE" w:rsidRPr="000508B6" w:rsidDel="00391F95">
        <w:rPr>
          <w:rFonts w:ascii="Times New Roman" w:eastAsia="Times New Roman" w:hAnsi="Times New Roman" w:cs="Times New Roman"/>
          <w:lang w:val="ro-MD"/>
        </w:rPr>
        <w:t xml:space="preserve"> </w:t>
      </w:r>
      <w:r w:rsidR="00CD2252" w:rsidRPr="000508B6">
        <w:rPr>
          <w:rFonts w:ascii="Times New Roman" w:eastAsia="Times New Roman" w:hAnsi="Times New Roman" w:cs="Times New Roman"/>
          <w:lang w:val="ro-MD"/>
        </w:rPr>
        <w:t xml:space="preserve">în conformitate cu </w:t>
      </w:r>
      <w:r w:rsidR="00C75DE1" w:rsidRPr="000508B6">
        <w:rPr>
          <w:rFonts w:ascii="Times New Roman" w:eastAsia="Times New Roman" w:hAnsi="Times New Roman" w:cs="Times New Roman"/>
          <w:lang w:val="ro-MD"/>
        </w:rPr>
        <w:t xml:space="preserve">prezenta lege și </w:t>
      </w:r>
      <w:r w:rsidR="00CD2252" w:rsidRPr="000508B6">
        <w:rPr>
          <w:rFonts w:ascii="Times New Roman" w:eastAsia="Times New Roman" w:hAnsi="Times New Roman" w:cs="Times New Roman"/>
          <w:lang w:val="ro-MD"/>
        </w:rPr>
        <w:t xml:space="preserve">actele normative ale </w:t>
      </w:r>
      <w:r w:rsidR="0080080B" w:rsidRPr="000508B6">
        <w:rPr>
          <w:rFonts w:ascii="Times New Roman" w:eastAsia="Times New Roman" w:hAnsi="Times New Roman" w:cs="Times New Roman"/>
          <w:lang w:val="ro-MD"/>
        </w:rPr>
        <w:t>Băncii Naționale a Moldovei</w:t>
      </w:r>
      <w:r w:rsidR="00863CA3" w:rsidRPr="000508B6">
        <w:rPr>
          <w:rFonts w:ascii="Times New Roman" w:eastAsia="Times New Roman" w:hAnsi="Times New Roman" w:cs="Times New Roman"/>
          <w:lang w:val="ro-MD"/>
        </w:rPr>
        <w:t>.</w:t>
      </w:r>
      <w:r w:rsidR="00893453" w:rsidRPr="000508B6">
        <w:rPr>
          <w:rFonts w:ascii="Times New Roman" w:eastAsia="Times New Roman" w:hAnsi="Times New Roman" w:cs="Times New Roman"/>
          <w:lang w:val="ro-MD"/>
        </w:rPr>
        <w:t xml:space="preserve"> </w:t>
      </w:r>
    </w:p>
    <w:p w14:paraId="05BC6213" w14:textId="24117C7A" w:rsidR="00F95829" w:rsidRPr="000508B6" w:rsidRDefault="007E6511" w:rsidP="00DE4225">
      <w:pPr>
        <w:pStyle w:val="Listparagraf"/>
        <w:numPr>
          <w:ilvl w:val="1"/>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420093" w:rsidRPr="000508B6">
        <w:rPr>
          <w:rFonts w:ascii="Times New Roman" w:eastAsia="Times New Roman" w:hAnsi="Times New Roman" w:cs="Times New Roman"/>
          <w:lang w:val="ro-MD"/>
        </w:rPr>
        <w:t>din stat terț poate desfășura activitate de asigurare pe teritoriul Republicii Moldova numai dacă solicită eliberarea licenț</w:t>
      </w:r>
      <w:r w:rsidR="005628B8" w:rsidRPr="000508B6">
        <w:rPr>
          <w:rFonts w:ascii="Times New Roman" w:eastAsia="Times New Roman" w:hAnsi="Times New Roman" w:cs="Times New Roman"/>
          <w:lang w:val="ro-MD"/>
        </w:rPr>
        <w:t>ei</w:t>
      </w:r>
      <w:r w:rsidR="00420093" w:rsidRPr="000508B6">
        <w:rPr>
          <w:rFonts w:ascii="Times New Roman" w:eastAsia="Times New Roman" w:hAnsi="Times New Roman" w:cs="Times New Roman"/>
          <w:lang w:val="ro-MD"/>
        </w:rPr>
        <w:t xml:space="preserve"> pentru desfășurarea activității de asigurare pentru </w:t>
      </w:r>
      <w:r w:rsidR="00977515" w:rsidRPr="000508B6">
        <w:rPr>
          <w:rFonts w:ascii="Times New Roman" w:eastAsia="Times New Roman" w:hAnsi="Times New Roman" w:cs="Times New Roman"/>
          <w:lang w:val="ro-MD"/>
        </w:rPr>
        <w:t xml:space="preserve">sucursala </w:t>
      </w:r>
      <w:r w:rsidR="00420093" w:rsidRPr="000508B6">
        <w:rPr>
          <w:rFonts w:ascii="Times New Roman" w:eastAsia="Times New Roman" w:hAnsi="Times New Roman" w:cs="Times New Roman"/>
          <w:lang w:val="ro-MD"/>
        </w:rPr>
        <w:t xml:space="preserve">sa. </w:t>
      </w:r>
      <w:r w:rsidR="0012450A" w:rsidRPr="000508B6">
        <w:rPr>
          <w:rFonts w:ascii="Times New Roman" w:eastAsia="Times New Roman" w:hAnsi="Times New Roman" w:cs="Times New Roman"/>
          <w:lang w:val="ro-MD"/>
        </w:rPr>
        <w:t xml:space="preserve">Banca Națională a Moldovei licențiază </w:t>
      </w:r>
      <w:r w:rsidR="00AE1446" w:rsidRPr="000508B6">
        <w:rPr>
          <w:rFonts w:ascii="Times New Roman" w:eastAsia="Times New Roman" w:hAnsi="Times New Roman" w:cs="Times New Roman"/>
          <w:lang w:val="ro-MD"/>
        </w:rPr>
        <w:t xml:space="preserve">sucursala </w:t>
      </w:r>
      <w:r w:rsidRPr="000508B6">
        <w:rPr>
          <w:rFonts w:ascii="Times New Roman" w:eastAsia="Times New Roman" w:hAnsi="Times New Roman" w:cs="Times New Roman"/>
          <w:lang w:val="ro-MD"/>
        </w:rPr>
        <w:t xml:space="preserve">asigurătorului </w:t>
      </w:r>
      <w:r w:rsidR="0012450A" w:rsidRPr="000508B6">
        <w:rPr>
          <w:rFonts w:ascii="Times New Roman" w:eastAsia="Times New Roman" w:hAnsi="Times New Roman" w:cs="Times New Roman"/>
          <w:lang w:val="ro-MD"/>
        </w:rPr>
        <w:t>dintr-un stat terț dacă</w:t>
      </w:r>
      <w:r w:rsidR="00F95829" w:rsidRPr="000508B6">
        <w:rPr>
          <w:rFonts w:ascii="Times New Roman" w:eastAsia="Times New Roman" w:hAnsi="Times New Roman" w:cs="Times New Roman"/>
          <w:lang w:val="ro-MD"/>
        </w:rPr>
        <w:t xml:space="preserve"> </w:t>
      </w:r>
      <w:r w:rsidR="00283A9B" w:rsidRPr="000508B6">
        <w:rPr>
          <w:rFonts w:ascii="Times New Roman" w:eastAsia="Times New Roman" w:hAnsi="Times New Roman" w:cs="Times New Roman"/>
          <w:lang w:val="ro-MD"/>
        </w:rPr>
        <w:t>aceasta</w:t>
      </w:r>
      <w:r w:rsidR="00AE1446" w:rsidRPr="000508B6">
        <w:rPr>
          <w:rFonts w:ascii="Times New Roman" w:eastAsia="Times New Roman" w:hAnsi="Times New Roman" w:cs="Times New Roman"/>
          <w:lang w:val="ro-MD"/>
        </w:rPr>
        <w:t xml:space="preserve"> </w:t>
      </w:r>
      <w:r w:rsidR="00F44C2A" w:rsidRPr="000508B6">
        <w:rPr>
          <w:rFonts w:ascii="Times New Roman" w:eastAsia="Times New Roman" w:hAnsi="Times New Roman" w:cs="Times New Roman"/>
          <w:lang w:val="ro-MD"/>
        </w:rPr>
        <w:t xml:space="preserve">întrunește </w:t>
      </w:r>
      <w:r w:rsidR="00F95829" w:rsidRPr="000508B6">
        <w:rPr>
          <w:rFonts w:ascii="Times New Roman" w:eastAsia="Times New Roman" w:hAnsi="Times New Roman" w:cs="Times New Roman"/>
          <w:lang w:val="ro-MD"/>
        </w:rPr>
        <w:t xml:space="preserve">următoarele </w:t>
      </w:r>
      <w:proofErr w:type="spellStart"/>
      <w:r w:rsidR="00F95829" w:rsidRPr="000508B6">
        <w:rPr>
          <w:rFonts w:ascii="Times New Roman" w:eastAsia="Times New Roman" w:hAnsi="Times New Roman" w:cs="Times New Roman"/>
          <w:lang w:val="ro-MD"/>
        </w:rPr>
        <w:t>condiţii</w:t>
      </w:r>
      <w:proofErr w:type="spellEnd"/>
      <w:r w:rsidR="00F95829" w:rsidRPr="000508B6">
        <w:rPr>
          <w:rFonts w:ascii="Times New Roman" w:eastAsia="Times New Roman" w:hAnsi="Times New Roman" w:cs="Times New Roman"/>
          <w:lang w:val="ro-MD"/>
        </w:rPr>
        <w:t>:</w:t>
      </w:r>
      <w:r w:rsidR="00766C77" w:rsidRPr="000508B6">
        <w:rPr>
          <w:rFonts w:ascii="Times New Roman" w:hAnsi="Times New Roman" w:cs="Times New Roman"/>
          <w:lang w:val="ro-MD"/>
        </w:rPr>
        <w:t xml:space="preserve"> </w:t>
      </w:r>
    </w:p>
    <w:p w14:paraId="70C9748C" w14:textId="2972EC8B" w:rsidR="00F95829" w:rsidRPr="000508B6" w:rsidRDefault="00AE1446" w:rsidP="00CF5AFA">
      <w:pPr>
        <w:pStyle w:val="Listparagraf"/>
        <w:numPr>
          <w:ilvl w:val="2"/>
          <w:numId w:val="198"/>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este </w:t>
      </w:r>
      <w:proofErr w:type="spellStart"/>
      <w:r w:rsidRPr="000508B6">
        <w:rPr>
          <w:rFonts w:ascii="Times New Roman" w:eastAsia="Times New Roman" w:hAnsi="Times New Roman" w:cs="Times New Roman"/>
          <w:lang w:val="ro-MD"/>
        </w:rPr>
        <w:t>licenţiată</w:t>
      </w:r>
      <w:proofErr w:type="spellEnd"/>
      <w:r w:rsidRPr="000508B6">
        <w:rPr>
          <w:rFonts w:ascii="Times New Roman" w:eastAsia="Times New Roman" w:hAnsi="Times New Roman" w:cs="Times New Roman"/>
          <w:lang w:val="ro-MD"/>
        </w:rPr>
        <w:t xml:space="preserve"> </w:t>
      </w:r>
      <w:r w:rsidR="00CF542D" w:rsidRPr="000508B6">
        <w:rPr>
          <w:rFonts w:ascii="Times New Roman" w:eastAsia="Times New Roman" w:hAnsi="Times New Roman" w:cs="Times New Roman"/>
          <w:lang w:val="ro-MD"/>
        </w:rPr>
        <w:t xml:space="preserve">în statul terț </w:t>
      </w:r>
      <w:r w:rsidR="00F95829" w:rsidRPr="000508B6">
        <w:rPr>
          <w:rFonts w:ascii="Times New Roman" w:eastAsia="Times New Roman" w:hAnsi="Times New Roman" w:cs="Times New Roman"/>
          <w:lang w:val="ro-MD"/>
        </w:rPr>
        <w:t>să</w:t>
      </w:r>
      <w:r w:rsidR="00F95829" w:rsidRPr="000508B6">
        <w:rPr>
          <w:rFonts w:ascii="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desfăşoare</w:t>
      </w:r>
      <w:proofErr w:type="spellEnd"/>
      <w:r w:rsidR="00F95829" w:rsidRPr="000508B6">
        <w:rPr>
          <w:rFonts w:ascii="Times New Roman" w:eastAsia="Times New Roman" w:hAnsi="Times New Roman" w:cs="Times New Roman"/>
          <w:lang w:val="ro-MD"/>
        </w:rPr>
        <w:t xml:space="preserve"> activitate de asigurare;</w:t>
      </w:r>
    </w:p>
    <w:p w14:paraId="1EC2AC12" w14:textId="61741839" w:rsidR="00272B24" w:rsidRPr="000508B6" w:rsidRDefault="00272B24" w:rsidP="00CF5AFA">
      <w:pPr>
        <w:pStyle w:val="Listparagraf"/>
        <w:numPr>
          <w:ilvl w:val="2"/>
          <w:numId w:val="198"/>
        </w:numPr>
        <w:ind w:left="709" w:hanging="283"/>
        <w:rPr>
          <w:rFonts w:ascii="Times New Roman" w:eastAsia="Times New Roman" w:hAnsi="Times New Roman" w:cs="Times New Roman"/>
          <w:lang w:val="ro-MD"/>
        </w:rPr>
      </w:pPr>
      <w:r w:rsidRPr="000508B6">
        <w:rPr>
          <w:rFonts w:ascii="Times New Roman" w:eastAsia="Times New Roman" w:hAnsi="Times New Roman" w:cs="Times New Roman"/>
          <w:lang w:val="ro-MD"/>
        </w:rPr>
        <w:t>înființează o sucursală pe teritoriul Republicii Moldova;</w:t>
      </w:r>
    </w:p>
    <w:p w14:paraId="64217CFC" w14:textId="32A462A9" w:rsidR="00F95829" w:rsidRPr="000508B6" w:rsidRDefault="00F95829" w:rsidP="00CF5AFA">
      <w:pPr>
        <w:pStyle w:val="Listparagraf"/>
        <w:numPr>
          <w:ilvl w:val="2"/>
          <w:numId w:val="198"/>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se angajează să </w:t>
      </w:r>
      <w:r w:rsidR="001E79CF" w:rsidRPr="000508B6">
        <w:rPr>
          <w:rFonts w:ascii="Times New Roman" w:eastAsia="Times New Roman" w:hAnsi="Times New Roman" w:cs="Times New Roman"/>
          <w:lang w:val="ro-MD"/>
        </w:rPr>
        <w:t>păstreze la sediul sucursalei</w:t>
      </w:r>
      <w:r w:rsidRPr="000508B6">
        <w:rPr>
          <w:rFonts w:ascii="Times New Roman" w:eastAsia="Times New Roman" w:hAnsi="Times New Roman" w:cs="Times New Roman"/>
          <w:lang w:val="ro-MD"/>
        </w:rPr>
        <w:t xml:space="preserve">, corespunzător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pe care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o </w:t>
      </w:r>
      <w:proofErr w:type="spellStart"/>
      <w:r w:rsidRPr="000508B6">
        <w:rPr>
          <w:rFonts w:ascii="Times New Roman" w:eastAsia="Times New Roman" w:hAnsi="Times New Roman" w:cs="Times New Roman"/>
          <w:lang w:val="ro-MD"/>
        </w:rPr>
        <w:t>desfăşoare</w:t>
      </w:r>
      <w:proofErr w:type="spellEnd"/>
      <w:r w:rsidRPr="000508B6">
        <w:rPr>
          <w:rFonts w:ascii="Times New Roman" w:eastAsia="Times New Roman" w:hAnsi="Times New Roman" w:cs="Times New Roman"/>
          <w:lang w:val="ro-MD"/>
        </w:rPr>
        <w:t xml:space="preserve">, toate </w:t>
      </w:r>
      <w:r w:rsidR="00420093" w:rsidRPr="000508B6">
        <w:rPr>
          <w:rFonts w:ascii="Times New Roman" w:eastAsia="Times New Roman" w:hAnsi="Times New Roman" w:cs="Times New Roman"/>
          <w:lang w:val="ro-MD"/>
        </w:rPr>
        <w:t>registrele și</w:t>
      </w:r>
      <w:r w:rsidRPr="000508B6">
        <w:rPr>
          <w:rFonts w:ascii="Times New Roman" w:eastAsia="Times New Roman" w:hAnsi="Times New Roman" w:cs="Times New Roman"/>
          <w:lang w:val="ro-MD"/>
        </w:rPr>
        <w:t xml:space="preserve"> documentele aferente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w:t>
      </w:r>
    </w:p>
    <w:p w14:paraId="73C4C3E8" w14:textId="0C04FDD0" w:rsidR="00F95829" w:rsidRPr="000508B6" w:rsidRDefault="001E79CF" w:rsidP="007E6511">
      <w:pPr>
        <w:pStyle w:val="Listparagraf"/>
        <w:numPr>
          <w:ilvl w:val="2"/>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să desemneze un mandatar general</w:t>
      </w:r>
      <w:r w:rsidR="00B30C70" w:rsidRPr="000508B6">
        <w:rPr>
          <w:rFonts w:ascii="Times New Roman" w:hAnsi="Times New Roman" w:cs="Times New Roman"/>
          <w:lang w:val="ro-MD"/>
        </w:rPr>
        <w:t xml:space="preserve"> care trebuie să corespundă cerințelor de </w:t>
      </w:r>
      <w:r w:rsidR="007E6511" w:rsidRPr="000508B6">
        <w:rPr>
          <w:rFonts w:ascii="Times New Roman" w:eastAsia="Times New Roman" w:hAnsi="Times New Roman" w:cs="Times New Roman"/>
          <w:lang w:val="ro-MD"/>
        </w:rPr>
        <w:t xml:space="preserve">competență </w:t>
      </w:r>
      <w:r w:rsidR="00B30C70" w:rsidRPr="000508B6">
        <w:rPr>
          <w:rFonts w:ascii="Times New Roman" w:eastAsia="Times New Roman" w:hAnsi="Times New Roman" w:cs="Times New Roman"/>
          <w:lang w:val="ro-MD"/>
        </w:rPr>
        <w:t>și onorabilitate stabilite la art.</w:t>
      </w:r>
      <w:r w:rsidR="007E6511" w:rsidRPr="000508B6">
        <w:rPr>
          <w:rFonts w:ascii="Times New Roman" w:eastAsia="Times New Roman" w:hAnsi="Times New Roman" w:cs="Times New Roman"/>
          <w:lang w:val="ro-MD"/>
        </w:rPr>
        <w:t xml:space="preserve"> </w:t>
      </w:r>
      <w:r w:rsidR="00B30C70" w:rsidRPr="000508B6">
        <w:rPr>
          <w:rFonts w:ascii="Times New Roman" w:eastAsia="Times New Roman" w:hAnsi="Times New Roman" w:cs="Times New Roman"/>
          <w:lang w:val="ro-MD"/>
        </w:rPr>
        <w:t>20 și</w:t>
      </w:r>
      <w:r w:rsidRPr="000508B6">
        <w:rPr>
          <w:rFonts w:ascii="Times New Roman" w:eastAsia="Times New Roman" w:hAnsi="Times New Roman" w:cs="Times New Roman"/>
          <w:lang w:val="ro-MD"/>
        </w:rPr>
        <w:t xml:space="preserve"> care trebuie să fie aprobat de Banca Națională a Moldovei</w:t>
      </w:r>
      <w:r w:rsidR="00C41DAE" w:rsidRPr="000508B6">
        <w:rPr>
          <w:rFonts w:ascii="Times New Roman" w:eastAsia="Times New Roman" w:hAnsi="Times New Roman" w:cs="Times New Roman"/>
          <w:lang w:val="ro-MD"/>
        </w:rPr>
        <w:t>;</w:t>
      </w:r>
    </w:p>
    <w:p w14:paraId="5E9C9EDB" w14:textId="2B2C11EA" w:rsidR="00F95829" w:rsidRPr="000508B6" w:rsidRDefault="00F95829" w:rsidP="00DE4225">
      <w:pPr>
        <w:pStyle w:val="Listparagraf"/>
        <w:numPr>
          <w:ilvl w:val="2"/>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deţin</w:t>
      </w:r>
      <w:r w:rsidR="00AE1446" w:rsidRPr="000508B6">
        <w:rPr>
          <w:rFonts w:ascii="Times New Roman" w:eastAsia="Times New Roman" w:hAnsi="Times New Roman" w:cs="Times New Roman"/>
          <w:lang w:val="ro-MD"/>
        </w:rPr>
        <w:t>e</w:t>
      </w:r>
      <w:proofErr w:type="spellEnd"/>
      <w:r w:rsidRPr="000508B6">
        <w:rPr>
          <w:rFonts w:ascii="Times New Roman" w:eastAsia="Times New Roman" w:hAnsi="Times New Roman" w:cs="Times New Roman"/>
          <w:lang w:val="ro-MD"/>
        </w:rPr>
        <w:t xml:space="preserve"> pe teritoriul Republicii Moldova un volum de active egal cu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50% din pragul absolut </w:t>
      </w:r>
      <w:r w:rsidR="00AE1446" w:rsidRPr="000508B6">
        <w:rPr>
          <w:rFonts w:ascii="Times New Roman" w:eastAsia="Times New Roman" w:hAnsi="Times New Roman" w:cs="Times New Roman"/>
          <w:lang w:val="ro-MD"/>
        </w:rPr>
        <w:t xml:space="preserve">al MCR </w:t>
      </w:r>
      <w:r w:rsidRPr="000508B6">
        <w:rPr>
          <w:rFonts w:ascii="Times New Roman" w:eastAsia="Times New Roman" w:hAnsi="Times New Roman" w:cs="Times New Roman"/>
          <w:lang w:val="ro-MD"/>
        </w:rPr>
        <w:t xml:space="preserve">prevăzut la art. </w:t>
      </w:r>
      <w:r w:rsidR="00EB4AB1" w:rsidRPr="000508B6">
        <w:rPr>
          <w:rFonts w:ascii="Times New Roman" w:eastAsia="Times New Roman" w:hAnsi="Times New Roman" w:cs="Times New Roman"/>
          <w:lang w:val="ro-MD"/>
        </w:rPr>
        <w:t xml:space="preserve">88 </w:t>
      </w:r>
      <w:r w:rsidRPr="000508B6">
        <w:rPr>
          <w:rFonts w:ascii="Times New Roman" w:eastAsia="Times New Roman" w:hAnsi="Times New Roman" w:cs="Times New Roman"/>
          <w:lang w:val="ro-MD"/>
        </w:rPr>
        <w:t>alin. (</w:t>
      </w:r>
      <w:r w:rsidR="002C35B5"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lit. d)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constituie drept </w:t>
      </w:r>
      <w:proofErr w:type="spellStart"/>
      <w:r w:rsidRPr="000508B6">
        <w:rPr>
          <w:rFonts w:ascii="Times New Roman" w:eastAsia="Times New Roman" w:hAnsi="Times New Roman" w:cs="Times New Roman"/>
          <w:lang w:val="ro-MD"/>
        </w:rPr>
        <w:t>garanţie</w:t>
      </w:r>
      <w:proofErr w:type="spellEnd"/>
      <w:r w:rsidRPr="000508B6">
        <w:rPr>
          <w:rFonts w:ascii="Times New Roman" w:eastAsia="Times New Roman" w:hAnsi="Times New Roman" w:cs="Times New Roman"/>
          <w:lang w:val="ro-MD"/>
        </w:rPr>
        <w:t xml:space="preserve"> un depozit </w:t>
      </w:r>
      <w:r w:rsidR="00AE1446" w:rsidRPr="000508B6">
        <w:rPr>
          <w:rFonts w:ascii="Times New Roman" w:eastAsia="Times New Roman" w:hAnsi="Times New Roman" w:cs="Times New Roman"/>
          <w:lang w:val="ro-MD"/>
        </w:rPr>
        <w:t xml:space="preserve">bancar în mărime nu mai mică </w:t>
      </w:r>
      <w:r w:rsidRPr="000508B6">
        <w:rPr>
          <w:rFonts w:ascii="Times New Roman" w:eastAsia="Times New Roman" w:hAnsi="Times New Roman" w:cs="Times New Roman"/>
          <w:lang w:val="ro-MD"/>
        </w:rPr>
        <w:t>de 25% din acesta;</w:t>
      </w:r>
    </w:p>
    <w:p w14:paraId="39870FE6" w14:textId="0D808536" w:rsidR="00F95829" w:rsidRPr="000508B6" w:rsidRDefault="000C2F7F" w:rsidP="00DE4225">
      <w:pPr>
        <w:pStyle w:val="Listparagraf"/>
        <w:numPr>
          <w:ilvl w:val="2"/>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documen</w:t>
      </w:r>
      <w:r w:rsidR="00577404"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ează</w:t>
      </w:r>
      <w:r w:rsidR="00F95829" w:rsidRPr="000508B6">
        <w:rPr>
          <w:rFonts w:ascii="Times New Roman" w:eastAsia="Times New Roman" w:hAnsi="Times New Roman" w:cs="Times New Roman"/>
          <w:lang w:val="ro-MD"/>
        </w:rPr>
        <w:t xml:space="preserve"> faptul că respectă SCR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MCR;</w:t>
      </w:r>
    </w:p>
    <w:p w14:paraId="14533E26" w14:textId="217E98AF" w:rsidR="00F95829" w:rsidRPr="000508B6" w:rsidRDefault="000C2F7F" w:rsidP="00DE4225">
      <w:pPr>
        <w:pStyle w:val="Listparagraf"/>
        <w:numPr>
          <w:ilvl w:val="2"/>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comunică</w:t>
      </w:r>
      <w:r w:rsidR="00F95829" w:rsidRPr="000508B6">
        <w:rPr>
          <w:rFonts w:ascii="Times New Roman" w:eastAsia="Times New Roman" w:hAnsi="Times New Roman" w:cs="Times New Roman"/>
          <w:lang w:val="ro-MD"/>
        </w:rPr>
        <w:t xml:space="preserve"> numele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adresa reprezentantului de despăgubiri din state</w:t>
      </w:r>
      <w:r w:rsidR="00847086" w:rsidRPr="000508B6">
        <w:rPr>
          <w:rFonts w:ascii="Times New Roman" w:eastAsia="Times New Roman" w:hAnsi="Times New Roman" w:cs="Times New Roman"/>
          <w:lang w:val="ro-MD"/>
        </w:rPr>
        <w:t>le</w:t>
      </w:r>
      <w:r w:rsidR="00F95829" w:rsidRPr="000508B6">
        <w:rPr>
          <w:rFonts w:ascii="Times New Roman" w:eastAsia="Times New Roman" w:hAnsi="Times New Roman" w:cs="Times New Roman"/>
          <w:lang w:val="ro-MD"/>
        </w:rPr>
        <w:t xml:space="preserve"> membre, în cazul în care subscrie riscuri din clasa 10 prevăzută în </w:t>
      </w:r>
      <w:r w:rsidR="00BF11B0"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nex</w:t>
      </w:r>
      <w:r w:rsidR="00BF11B0" w:rsidRPr="000508B6">
        <w:rPr>
          <w:rFonts w:ascii="Times New Roman" w:eastAsia="Times New Roman" w:hAnsi="Times New Roman" w:cs="Times New Roman"/>
          <w:lang w:val="ro-MD"/>
        </w:rPr>
        <w:t>a nr.</w:t>
      </w:r>
      <w:r w:rsidR="007E6511" w:rsidRPr="000508B6">
        <w:rPr>
          <w:rFonts w:ascii="Times New Roman" w:eastAsia="Times New Roman" w:hAnsi="Times New Roman" w:cs="Times New Roman"/>
          <w:lang w:val="ro-MD"/>
        </w:rPr>
        <w:t xml:space="preserve"> </w:t>
      </w:r>
      <w:r w:rsidR="00BF11B0" w:rsidRPr="000508B6">
        <w:rPr>
          <w:rFonts w:ascii="Times New Roman" w:eastAsia="Times New Roman" w:hAnsi="Times New Roman" w:cs="Times New Roman"/>
          <w:lang w:val="ro-MD"/>
        </w:rPr>
        <w:t>1</w:t>
      </w:r>
      <w:r w:rsidR="007E6511"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proofErr w:type="spellStart"/>
      <w:r w:rsidR="00BF11B0" w:rsidRPr="000508B6">
        <w:rPr>
          <w:rFonts w:ascii="Times New Roman" w:eastAsia="Times New Roman" w:hAnsi="Times New Roman" w:cs="Times New Roman"/>
          <w:lang w:val="ro-MD"/>
        </w:rPr>
        <w:t>S</w:t>
      </w:r>
      <w:r w:rsidR="00F95829" w:rsidRPr="000508B6">
        <w:rPr>
          <w:rFonts w:ascii="Times New Roman" w:eastAsia="Times New Roman" w:hAnsi="Times New Roman" w:cs="Times New Roman"/>
          <w:lang w:val="ro-MD"/>
        </w:rPr>
        <w:t>ecţiunea</w:t>
      </w:r>
      <w:proofErr w:type="spellEnd"/>
      <w:r w:rsidR="00F95829" w:rsidRPr="000508B6">
        <w:rPr>
          <w:rFonts w:ascii="Times New Roman" w:eastAsia="Times New Roman" w:hAnsi="Times New Roman" w:cs="Times New Roman"/>
          <w:lang w:val="ro-MD"/>
        </w:rPr>
        <w:t xml:space="preserve"> </w:t>
      </w:r>
      <w:r w:rsidR="00BF11B0"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 xml:space="preserve">, cu </w:t>
      </w:r>
      <w:proofErr w:type="spellStart"/>
      <w:r w:rsidR="00F95829" w:rsidRPr="000508B6">
        <w:rPr>
          <w:rFonts w:ascii="Times New Roman" w:eastAsia="Times New Roman" w:hAnsi="Times New Roman" w:cs="Times New Roman"/>
          <w:lang w:val="ro-MD"/>
        </w:rPr>
        <w:t>excepţia</w:t>
      </w:r>
      <w:proofErr w:type="spellEnd"/>
      <w:r w:rsidR="00F95829" w:rsidRPr="000508B6">
        <w:rPr>
          <w:rFonts w:ascii="Times New Roman" w:eastAsia="Times New Roman" w:hAnsi="Times New Roman" w:cs="Times New Roman"/>
          <w:lang w:val="ro-MD"/>
        </w:rPr>
        <w:t xml:space="preserve"> răspunderii transportatorului;</w:t>
      </w:r>
    </w:p>
    <w:p w14:paraId="5883FE89" w14:textId="1332F3A9" w:rsidR="00F95829" w:rsidRPr="000508B6" w:rsidRDefault="00F95829" w:rsidP="00DE4225">
      <w:pPr>
        <w:pStyle w:val="Listparagraf"/>
        <w:numPr>
          <w:ilvl w:val="2"/>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prezintă planul de afaceri în conformitate cu prevederile art.</w:t>
      </w:r>
      <w:r w:rsidR="007E6511" w:rsidRPr="000508B6">
        <w:rPr>
          <w:rFonts w:ascii="Times New Roman" w:eastAsia="Times New Roman" w:hAnsi="Times New Roman" w:cs="Times New Roman"/>
          <w:lang w:val="ro-MD"/>
        </w:rPr>
        <w:t xml:space="preserve"> </w:t>
      </w:r>
      <w:r w:rsidR="00EB4AB1" w:rsidRPr="000508B6">
        <w:rPr>
          <w:rFonts w:ascii="Times New Roman" w:eastAsia="Times New Roman" w:hAnsi="Times New Roman" w:cs="Times New Roman"/>
          <w:lang w:val="ro-MD"/>
        </w:rPr>
        <w:t xml:space="preserve">96 </w:t>
      </w:r>
      <w:r w:rsidRPr="000508B6">
        <w:rPr>
          <w:rFonts w:ascii="Times New Roman" w:eastAsia="Times New Roman" w:hAnsi="Times New Roman" w:cs="Times New Roman"/>
          <w:lang w:val="ro-MD"/>
        </w:rPr>
        <w:t xml:space="preserve">și probează abilitatea de realizare a obiectivelor propuse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respectării </w:t>
      </w:r>
      <w:proofErr w:type="spellStart"/>
      <w:r w:rsidRPr="000508B6">
        <w:rPr>
          <w:rFonts w:ascii="Times New Roman" w:eastAsia="Times New Roman" w:hAnsi="Times New Roman" w:cs="Times New Roman"/>
          <w:lang w:val="ro-MD"/>
        </w:rPr>
        <w:t>cerinţelor</w:t>
      </w:r>
      <w:proofErr w:type="spellEnd"/>
      <w:r w:rsidRPr="000508B6">
        <w:rPr>
          <w:rFonts w:ascii="Times New Roman" w:eastAsia="Times New Roman" w:hAnsi="Times New Roman" w:cs="Times New Roman"/>
          <w:lang w:val="ro-MD"/>
        </w:rPr>
        <w:t xml:space="preserve"> cuprinse în prezenta lege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 actele normative ale Băncii Naționale a Moldovei;</w:t>
      </w:r>
    </w:p>
    <w:p w14:paraId="5AC8B997" w14:textId="4D034E22" w:rsidR="00F95829" w:rsidRPr="000508B6" w:rsidRDefault="00704D22" w:rsidP="00DE4225">
      <w:pPr>
        <w:pStyle w:val="Listparagraf"/>
        <w:numPr>
          <w:ilvl w:val="2"/>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îndeplinește </w:t>
      </w:r>
      <w:proofErr w:type="spellStart"/>
      <w:r w:rsidR="00F95829" w:rsidRPr="000508B6">
        <w:rPr>
          <w:rFonts w:ascii="Times New Roman" w:eastAsia="Times New Roman" w:hAnsi="Times New Roman" w:cs="Times New Roman"/>
          <w:lang w:val="ro-MD"/>
        </w:rPr>
        <w:t>cerinţele</w:t>
      </w:r>
      <w:proofErr w:type="spellEnd"/>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guvernanţă</w:t>
      </w:r>
      <w:proofErr w:type="spellEnd"/>
      <w:r w:rsidR="00F95829" w:rsidRPr="000508B6">
        <w:rPr>
          <w:rFonts w:ascii="Times New Roman" w:eastAsia="Times New Roman" w:hAnsi="Times New Roman" w:cs="Times New Roman"/>
          <w:lang w:val="ro-MD"/>
        </w:rPr>
        <w:t xml:space="preserve"> prevăzute la art.</w:t>
      </w:r>
      <w:r w:rsidR="0061783B" w:rsidRPr="000508B6">
        <w:rPr>
          <w:rFonts w:ascii="Times New Roman" w:eastAsia="Times New Roman" w:hAnsi="Times New Roman" w:cs="Times New Roman"/>
          <w:lang w:val="ro-MD"/>
        </w:rPr>
        <w:t xml:space="preserve"> 18-31</w:t>
      </w:r>
      <w:r w:rsidR="00F95829" w:rsidRPr="000508B6">
        <w:rPr>
          <w:rFonts w:ascii="Times New Roman" w:eastAsia="Times New Roman" w:hAnsi="Times New Roman" w:cs="Times New Roman"/>
          <w:lang w:val="ro-MD"/>
        </w:rPr>
        <w:t xml:space="preserve">. </w:t>
      </w:r>
      <w:r w:rsidR="00893453" w:rsidRPr="000508B6">
        <w:rPr>
          <w:rFonts w:ascii="Times New Roman" w:eastAsia="Times New Roman" w:hAnsi="Times New Roman" w:cs="Times New Roman"/>
          <w:lang w:val="ro-MD"/>
        </w:rPr>
        <w:t xml:space="preserve"> </w:t>
      </w:r>
    </w:p>
    <w:p w14:paraId="7B11B7CE" w14:textId="4E42FB87" w:rsidR="002026FB" w:rsidRPr="000508B6" w:rsidRDefault="00AD7DCC" w:rsidP="00DE4225">
      <w:pPr>
        <w:pStyle w:val="Listparagraf"/>
        <w:numPr>
          <w:ilvl w:val="2"/>
          <w:numId w:val="19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este</w:t>
      </w:r>
      <w:r w:rsidR="002026FB" w:rsidRPr="000508B6">
        <w:rPr>
          <w:rFonts w:ascii="Times New Roman" w:eastAsia="Times New Roman" w:hAnsi="Times New Roman" w:cs="Times New Roman"/>
          <w:lang w:val="ro-MD"/>
        </w:rPr>
        <w:t xml:space="preserve"> achitată taxa prevăzută de art. 10.</w:t>
      </w:r>
    </w:p>
    <w:p w14:paraId="6C29924F" w14:textId="5069733C" w:rsidR="00F95829" w:rsidRPr="000508B6" w:rsidRDefault="00F95829" w:rsidP="008B530F">
      <w:pPr>
        <w:spacing w:after="0" w:line="240" w:lineRule="auto"/>
        <w:ind w:firstLine="426"/>
        <w:jc w:val="both"/>
        <w:rPr>
          <w:rFonts w:ascii="Times New Roman" w:eastAsia="Times New Roman" w:hAnsi="Times New Roman" w:cs="Times New Roman"/>
          <w:lang w:val="ro-MD"/>
        </w:rPr>
      </w:pPr>
    </w:p>
    <w:p w14:paraId="11DED19F" w14:textId="32E68806"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96</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Planul de afaceri al sucursalei </w:t>
      </w:r>
    </w:p>
    <w:p w14:paraId="2C1C6A0C" w14:textId="1D469A8B" w:rsidR="00F95829" w:rsidRPr="000508B6" w:rsidRDefault="00F95829" w:rsidP="007E6511">
      <w:pPr>
        <w:pStyle w:val="Listparagraf"/>
        <w:numPr>
          <w:ilvl w:val="0"/>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Planul de afaceri al sucursalei </w:t>
      </w:r>
      <w:proofErr w:type="spellStart"/>
      <w:r w:rsidRPr="000508B6">
        <w:rPr>
          <w:rFonts w:ascii="Times New Roman" w:eastAsia="Times New Roman" w:hAnsi="Times New Roman" w:cs="Times New Roman"/>
          <w:lang w:val="ro-MD"/>
        </w:rPr>
        <w:t>menţionat</w:t>
      </w:r>
      <w:proofErr w:type="spellEnd"/>
      <w:r w:rsidRPr="000508B6">
        <w:rPr>
          <w:rFonts w:ascii="Times New Roman" w:eastAsia="Times New Roman" w:hAnsi="Times New Roman" w:cs="Times New Roman"/>
          <w:lang w:val="ro-MD"/>
        </w:rPr>
        <w:t xml:space="preserve"> la </w:t>
      </w:r>
      <w:r w:rsidR="0086499A" w:rsidRPr="000508B6">
        <w:rPr>
          <w:rFonts w:ascii="Times New Roman" w:eastAsia="Times New Roman" w:hAnsi="Times New Roman" w:cs="Times New Roman"/>
          <w:lang w:val="ro-MD"/>
        </w:rPr>
        <w:t>art.</w:t>
      </w:r>
      <w:r w:rsidR="007C0B18" w:rsidRPr="000508B6" w:rsidDel="00EB4AB1">
        <w:rPr>
          <w:rFonts w:ascii="Times New Roman" w:eastAsia="Times New Roman" w:hAnsi="Times New Roman" w:cs="Times New Roman"/>
          <w:lang w:val="ro-MD"/>
        </w:rPr>
        <w:t xml:space="preserve"> </w:t>
      </w:r>
      <w:r w:rsidR="00EB4AB1" w:rsidRPr="000508B6">
        <w:rPr>
          <w:rFonts w:ascii="Times New Roman" w:eastAsia="Times New Roman" w:hAnsi="Times New Roman" w:cs="Times New Roman"/>
          <w:lang w:val="ro-MD"/>
        </w:rPr>
        <w:t xml:space="preserve">95 </w:t>
      </w:r>
      <w:r w:rsidR="006467E4" w:rsidRPr="000508B6">
        <w:rPr>
          <w:rFonts w:ascii="Times New Roman" w:eastAsia="Times New Roman" w:hAnsi="Times New Roman" w:cs="Times New Roman"/>
          <w:lang w:val="ro-MD"/>
        </w:rPr>
        <w:t>alin.</w:t>
      </w:r>
      <w:r w:rsidRPr="000508B6">
        <w:rPr>
          <w:rFonts w:ascii="Times New Roman" w:eastAsia="Times New Roman" w:hAnsi="Times New Roman" w:cs="Times New Roman"/>
          <w:lang w:val="ro-MD"/>
        </w:rPr>
        <w:t xml:space="preserve"> (</w:t>
      </w:r>
      <w:r w:rsidR="00FE596D"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w:t>
      </w:r>
      <w:r w:rsidR="00FE596D" w:rsidRPr="000508B6">
        <w:rPr>
          <w:rFonts w:ascii="Times New Roman" w:eastAsia="Times New Roman" w:hAnsi="Times New Roman" w:cs="Times New Roman"/>
          <w:lang w:val="ro-MD"/>
        </w:rPr>
        <w:t xml:space="preserve"> lit.</w:t>
      </w:r>
      <w:r w:rsidR="00CE4B59" w:rsidRPr="000508B6">
        <w:rPr>
          <w:rFonts w:ascii="Times New Roman" w:eastAsia="Times New Roman" w:hAnsi="Times New Roman" w:cs="Times New Roman"/>
          <w:lang w:val="ro-MD"/>
        </w:rPr>
        <w:t xml:space="preserve"> </w:t>
      </w:r>
      <w:r w:rsidR="00864B1B" w:rsidRPr="000508B6">
        <w:rPr>
          <w:rFonts w:ascii="Times New Roman" w:eastAsia="Times New Roman" w:hAnsi="Times New Roman" w:cs="Times New Roman"/>
          <w:lang w:val="ro-MD"/>
        </w:rPr>
        <w:t>h</w:t>
      </w:r>
      <w:r w:rsidR="00FE596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conţine</w:t>
      </w:r>
      <w:proofErr w:type="spellEnd"/>
      <w:r w:rsidRPr="000508B6">
        <w:rPr>
          <w:rFonts w:ascii="Times New Roman" w:eastAsia="Times New Roman" w:hAnsi="Times New Roman" w:cs="Times New Roman"/>
          <w:lang w:val="ro-MD"/>
        </w:rPr>
        <w:t xml:space="preserve"> următoarele:</w:t>
      </w:r>
    </w:p>
    <w:p w14:paraId="591D2B6B" w14:textId="6D79F8B4" w:rsidR="00F95829" w:rsidRPr="000508B6" w:rsidRDefault="00F95829" w:rsidP="00DE4225">
      <w:pPr>
        <w:pStyle w:val="Listparagraf"/>
        <w:numPr>
          <w:ilvl w:val="2"/>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natura riscurilor pe care </w:t>
      </w:r>
      <w:r w:rsidR="00BF11E9" w:rsidRPr="000508B6">
        <w:rPr>
          <w:rFonts w:ascii="Times New Roman" w:eastAsia="Times New Roman" w:hAnsi="Times New Roman" w:cs="Times New Roman"/>
          <w:lang w:val="ro-MD"/>
        </w:rPr>
        <w:t xml:space="preserve">sucursala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le subscrie sau a angajamentelor pe care </w:t>
      </w:r>
      <w:proofErr w:type="spellStart"/>
      <w:r w:rsidRPr="000508B6">
        <w:rPr>
          <w:rFonts w:ascii="Times New Roman" w:eastAsia="Times New Roman" w:hAnsi="Times New Roman" w:cs="Times New Roman"/>
          <w:lang w:val="ro-MD"/>
        </w:rPr>
        <w:t>intenţionează</w:t>
      </w:r>
      <w:proofErr w:type="spellEnd"/>
      <w:r w:rsidRPr="000508B6">
        <w:rPr>
          <w:rFonts w:ascii="Times New Roman" w:eastAsia="Times New Roman" w:hAnsi="Times New Roman" w:cs="Times New Roman"/>
          <w:lang w:val="ro-MD"/>
        </w:rPr>
        <w:t xml:space="preserve"> să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le asume;</w:t>
      </w:r>
      <w:r w:rsidRPr="000508B6">
        <w:rPr>
          <w:rFonts w:ascii="Times New Roman" w:eastAsia="Times New Roman" w:hAnsi="Times New Roman" w:cs="Times New Roman"/>
          <w:i/>
          <w:color w:val="FF0000"/>
          <w:lang w:val="ro-MD"/>
        </w:rPr>
        <w:t xml:space="preserve"> </w:t>
      </w:r>
    </w:p>
    <w:p w14:paraId="4F1798A3" w14:textId="76A691F6" w:rsidR="00F95829" w:rsidRPr="000508B6" w:rsidRDefault="00F95829" w:rsidP="00DE4225">
      <w:pPr>
        <w:pStyle w:val="Listparagraf"/>
        <w:numPr>
          <w:ilvl w:val="2"/>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principiile directoare în materie de reasigurare;</w:t>
      </w:r>
    </w:p>
    <w:p w14:paraId="57478D37" w14:textId="43EF7B94" w:rsidR="00F95829" w:rsidRPr="000508B6" w:rsidRDefault="00296834" w:rsidP="00DE4225">
      <w:pPr>
        <w:pStyle w:val="Listparagraf"/>
        <w:numPr>
          <w:ilvl w:val="2"/>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estimări ale SCR viitoare, stabilită în </w:t>
      </w:r>
      <w:r w:rsidR="0061783B" w:rsidRPr="000508B6">
        <w:rPr>
          <w:rFonts w:ascii="Times New Roman" w:eastAsia="Times New Roman" w:hAnsi="Times New Roman" w:cs="Times New Roman"/>
          <w:lang w:val="ro-MD"/>
        </w:rPr>
        <w:t xml:space="preserve">art. </w:t>
      </w:r>
      <w:r w:rsidR="00F06D53" w:rsidRPr="000508B6">
        <w:rPr>
          <w:rFonts w:ascii="Times New Roman" w:eastAsia="Times New Roman" w:hAnsi="Times New Roman" w:cs="Times New Roman"/>
          <w:lang w:val="ro-MD"/>
        </w:rPr>
        <w:t>64</w:t>
      </w:r>
      <w:r w:rsidR="0061783B" w:rsidRPr="000508B6">
        <w:rPr>
          <w:rFonts w:ascii="Times New Roman" w:eastAsia="Times New Roman" w:hAnsi="Times New Roman" w:cs="Times New Roman"/>
          <w:lang w:val="ro-MD"/>
        </w:rPr>
        <w:t>-</w:t>
      </w:r>
      <w:r w:rsidR="00F06D53" w:rsidRPr="000508B6">
        <w:rPr>
          <w:rFonts w:ascii="Times New Roman" w:eastAsia="Times New Roman" w:hAnsi="Times New Roman" w:cs="Times New Roman"/>
          <w:lang w:val="ro-MD"/>
        </w:rPr>
        <w:t>87</w:t>
      </w:r>
      <w:r w:rsidRPr="000508B6">
        <w:rPr>
          <w:rFonts w:ascii="Times New Roman" w:eastAsia="Times New Roman" w:hAnsi="Times New Roman" w:cs="Times New Roman"/>
          <w:lang w:val="ro-MD"/>
        </w:rPr>
        <w:t>, pe baza unui bilanț previzional, precum și metoda de calcul utilizată pentru obținerea acestor estimări</w:t>
      </w:r>
      <w:r w:rsidR="00F95829" w:rsidRPr="000508B6">
        <w:rPr>
          <w:rFonts w:ascii="Times New Roman" w:eastAsia="Times New Roman" w:hAnsi="Times New Roman" w:cs="Times New Roman"/>
          <w:lang w:val="ro-MD"/>
        </w:rPr>
        <w:t>;</w:t>
      </w:r>
    </w:p>
    <w:p w14:paraId="4075E61F" w14:textId="7A9982C5" w:rsidR="00296834" w:rsidRPr="000508B6" w:rsidRDefault="00296834" w:rsidP="00DE4225">
      <w:pPr>
        <w:pStyle w:val="Listparagraf"/>
        <w:numPr>
          <w:ilvl w:val="2"/>
          <w:numId w:val="195"/>
        </w:numPr>
        <w:tabs>
          <w:tab w:val="left" w:pos="709"/>
        </w:tabs>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estimări ale MCR viitoare, stabilită în </w:t>
      </w:r>
      <w:r w:rsidR="0061783B" w:rsidRPr="000508B6">
        <w:rPr>
          <w:rFonts w:ascii="Times New Roman" w:eastAsia="Times New Roman" w:hAnsi="Times New Roman" w:cs="Times New Roman"/>
          <w:lang w:val="ro-MD"/>
        </w:rPr>
        <w:t xml:space="preserve">art. </w:t>
      </w:r>
      <w:r w:rsidR="00F06D53" w:rsidRPr="000508B6">
        <w:rPr>
          <w:rFonts w:ascii="Times New Roman" w:eastAsia="Times New Roman" w:hAnsi="Times New Roman" w:cs="Times New Roman"/>
          <w:lang w:val="ro-MD"/>
        </w:rPr>
        <w:t>88</w:t>
      </w:r>
      <w:r w:rsidR="001B1B09">
        <w:rPr>
          <w:rFonts w:ascii="Times New Roman" w:eastAsia="Times New Roman" w:hAnsi="Times New Roman" w:cs="Times New Roman"/>
          <w:lang w:val="ro-MD"/>
        </w:rPr>
        <w:t xml:space="preserve"> și</w:t>
      </w:r>
      <w:r w:rsidR="0061783B" w:rsidRPr="000508B6">
        <w:rPr>
          <w:rFonts w:ascii="Times New Roman" w:eastAsia="Times New Roman" w:hAnsi="Times New Roman" w:cs="Times New Roman"/>
          <w:lang w:val="ro-MD"/>
        </w:rPr>
        <w:t xml:space="preserve"> art. </w:t>
      </w:r>
      <w:r w:rsidR="00F06D53" w:rsidRPr="000508B6">
        <w:rPr>
          <w:rFonts w:ascii="Times New Roman" w:eastAsia="Times New Roman" w:hAnsi="Times New Roman" w:cs="Times New Roman"/>
          <w:lang w:val="ro-MD"/>
        </w:rPr>
        <w:t>89</w:t>
      </w:r>
      <w:r w:rsidRPr="000508B6">
        <w:rPr>
          <w:rFonts w:ascii="Times New Roman" w:eastAsia="Times New Roman" w:hAnsi="Times New Roman" w:cs="Times New Roman"/>
          <w:lang w:val="ro-MD"/>
        </w:rPr>
        <w:t>, pe baza unui bilanț previzional, precum și metoda de calcul utilizată pentru obținerea acestor estimări;</w:t>
      </w:r>
    </w:p>
    <w:p w14:paraId="657F0A75" w14:textId="1D3E43D3" w:rsidR="002D779A" w:rsidRPr="000508B6" w:rsidRDefault="002D779A" w:rsidP="00DE4225">
      <w:pPr>
        <w:pStyle w:val="Listparagraf"/>
        <w:numPr>
          <w:ilvl w:val="2"/>
          <w:numId w:val="195"/>
        </w:numPr>
        <w:tabs>
          <w:tab w:val="left" w:pos="709"/>
        </w:tabs>
        <w:spacing w:after="0"/>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situația fondurilor proprii eligibile și a fondurilor proprii de bază eligibile ale </w:t>
      </w:r>
      <w:r w:rsidR="00E83B18" w:rsidRPr="000508B6">
        <w:rPr>
          <w:rFonts w:ascii="Times New Roman" w:eastAsia="Times New Roman" w:hAnsi="Times New Roman" w:cs="Times New Roman"/>
          <w:lang w:val="ro-MD"/>
        </w:rPr>
        <w:t xml:space="preserve">sucursalei </w:t>
      </w:r>
      <w:r w:rsidRPr="000508B6">
        <w:rPr>
          <w:rFonts w:ascii="Times New Roman" w:eastAsia="Times New Roman" w:hAnsi="Times New Roman" w:cs="Times New Roman"/>
          <w:lang w:val="ro-MD"/>
        </w:rPr>
        <w:t xml:space="preserve">în raport cu </w:t>
      </w:r>
      <w:r w:rsidR="00E83B18" w:rsidRPr="000508B6">
        <w:rPr>
          <w:rFonts w:ascii="Times New Roman" w:eastAsia="Times New Roman" w:hAnsi="Times New Roman" w:cs="Times New Roman"/>
          <w:lang w:val="ro-MD"/>
        </w:rPr>
        <w:t>SCR</w:t>
      </w:r>
      <w:r w:rsidRPr="000508B6">
        <w:rPr>
          <w:rFonts w:ascii="Times New Roman" w:eastAsia="Times New Roman" w:hAnsi="Times New Roman" w:cs="Times New Roman"/>
          <w:lang w:val="ro-MD"/>
        </w:rPr>
        <w:t xml:space="preserve"> menționate în </w:t>
      </w:r>
      <w:r w:rsidR="0061783B" w:rsidRPr="000508B6">
        <w:rPr>
          <w:rFonts w:ascii="Times New Roman" w:eastAsia="Times New Roman" w:hAnsi="Times New Roman" w:cs="Times New Roman"/>
          <w:lang w:val="ro-MD"/>
        </w:rPr>
        <w:t xml:space="preserve">art. </w:t>
      </w:r>
      <w:r w:rsidR="00F06D53" w:rsidRPr="000508B6">
        <w:rPr>
          <w:rFonts w:ascii="Times New Roman" w:eastAsia="Times New Roman" w:hAnsi="Times New Roman" w:cs="Times New Roman"/>
          <w:lang w:val="ro-MD"/>
        </w:rPr>
        <w:t>64</w:t>
      </w:r>
      <w:r w:rsidR="0061783B" w:rsidRPr="000508B6">
        <w:rPr>
          <w:rFonts w:ascii="Times New Roman" w:eastAsia="Times New Roman" w:hAnsi="Times New Roman" w:cs="Times New Roman"/>
          <w:lang w:val="ro-MD"/>
        </w:rPr>
        <w:t>-</w:t>
      </w:r>
      <w:r w:rsidR="00F06D53" w:rsidRPr="000508B6">
        <w:rPr>
          <w:rFonts w:ascii="Times New Roman" w:eastAsia="Times New Roman" w:hAnsi="Times New Roman" w:cs="Times New Roman"/>
          <w:lang w:val="ro-MD"/>
        </w:rPr>
        <w:t>89</w:t>
      </w:r>
      <w:r w:rsidRPr="000508B6">
        <w:rPr>
          <w:rFonts w:ascii="Times New Roman" w:eastAsia="Times New Roman" w:hAnsi="Times New Roman" w:cs="Times New Roman"/>
          <w:lang w:val="ro-MD"/>
        </w:rPr>
        <w:t>;</w:t>
      </w:r>
    </w:p>
    <w:p w14:paraId="2132D234" w14:textId="41129DAC" w:rsidR="00F95829" w:rsidRPr="000508B6" w:rsidRDefault="00BA330A" w:rsidP="00DE4225">
      <w:pPr>
        <w:pStyle w:val="Listparagraf"/>
        <w:numPr>
          <w:ilvl w:val="2"/>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estimări privind cheltuielile de organizare  a serviciilor administrative și a rețelei de distribuție</w:t>
      </w:r>
      <w:r w:rsidRPr="000508B6" w:rsidDel="00BA330A">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mijloacele </w:t>
      </w:r>
      <w:r w:rsidR="00F95829" w:rsidRPr="000508B6">
        <w:rPr>
          <w:rFonts w:ascii="Times New Roman" w:eastAsia="Times New Roman" w:hAnsi="Times New Roman" w:cs="Times New Roman"/>
          <w:lang w:val="ro-MD"/>
        </w:rPr>
        <w:t xml:space="preserve">financiare pentru acoperirea acestora, </w:t>
      </w:r>
      <w:r w:rsidRPr="000508B6">
        <w:rPr>
          <w:rFonts w:ascii="Times New Roman" w:eastAsia="Times New Roman" w:hAnsi="Times New Roman" w:cs="Times New Roman"/>
          <w:lang w:val="ro-MD"/>
        </w:rPr>
        <w:t xml:space="preserve">și </w:t>
      </w:r>
      <w:r w:rsidR="00F95829" w:rsidRPr="000508B6">
        <w:rPr>
          <w:rFonts w:ascii="Times New Roman" w:eastAsia="Times New Roman" w:hAnsi="Times New Roman" w:cs="Times New Roman"/>
          <w:lang w:val="ro-MD"/>
        </w:rPr>
        <w:t>în cazul în care riscurile fac parte din clasa 18 din Anex</w:t>
      </w:r>
      <w:r w:rsidR="00CF4191" w:rsidRPr="000508B6">
        <w:rPr>
          <w:rFonts w:ascii="Times New Roman" w:eastAsia="Times New Roman" w:hAnsi="Times New Roman" w:cs="Times New Roman"/>
          <w:lang w:val="ro-MD"/>
        </w:rPr>
        <w:t xml:space="preserve">a </w:t>
      </w:r>
      <w:r w:rsidR="00E81DE7" w:rsidRPr="000508B6">
        <w:rPr>
          <w:rFonts w:ascii="Times New Roman" w:eastAsia="Times New Roman" w:hAnsi="Times New Roman" w:cs="Times New Roman"/>
          <w:lang w:val="ro-MD"/>
        </w:rPr>
        <w:t>nr.</w:t>
      </w:r>
      <w:r w:rsidR="007E6511" w:rsidRPr="000508B6">
        <w:rPr>
          <w:rFonts w:ascii="Times New Roman" w:eastAsia="Times New Roman" w:hAnsi="Times New Roman" w:cs="Times New Roman"/>
          <w:lang w:val="ro-MD"/>
        </w:rPr>
        <w:t xml:space="preserve"> </w:t>
      </w:r>
      <w:r w:rsidR="00CF4191" w:rsidRPr="000508B6">
        <w:rPr>
          <w:rFonts w:ascii="Times New Roman" w:eastAsia="Times New Roman" w:hAnsi="Times New Roman" w:cs="Times New Roman"/>
          <w:lang w:val="ro-MD"/>
        </w:rPr>
        <w:t>1</w:t>
      </w:r>
      <w:r w:rsidR="007E6511" w:rsidRPr="000508B6">
        <w:rPr>
          <w:rFonts w:ascii="Times New Roman" w:eastAsia="Times New Roman" w:hAnsi="Times New Roman" w:cs="Times New Roman"/>
          <w:lang w:val="ro-MD"/>
        </w:rPr>
        <w:t>.</w:t>
      </w:r>
      <w:r w:rsidR="000A0659" w:rsidRPr="000508B6">
        <w:rPr>
          <w:rFonts w:ascii="Times New Roman" w:eastAsia="Times New Roman" w:hAnsi="Times New Roman" w:cs="Times New Roman"/>
          <w:lang w:val="ro-MD"/>
        </w:rPr>
        <w:t xml:space="preserve"> Secțiunea A</w:t>
      </w:r>
      <w:r w:rsidR="00F95829" w:rsidRPr="000508B6">
        <w:rPr>
          <w:rFonts w:ascii="Times New Roman" w:eastAsia="Times New Roman" w:hAnsi="Times New Roman" w:cs="Times New Roman"/>
          <w:lang w:val="ro-MD"/>
        </w:rPr>
        <w:t xml:space="preserve">, mijloacele de care dispune pentru furnizarea </w:t>
      </w:r>
      <w:proofErr w:type="spellStart"/>
      <w:r w:rsidR="00F95829" w:rsidRPr="000508B6">
        <w:rPr>
          <w:rFonts w:ascii="Times New Roman" w:eastAsia="Times New Roman" w:hAnsi="Times New Roman" w:cs="Times New Roman"/>
          <w:lang w:val="ro-MD"/>
        </w:rPr>
        <w:t>asistenţei</w:t>
      </w:r>
      <w:proofErr w:type="spellEnd"/>
      <w:r w:rsidR="00F95829" w:rsidRPr="000508B6">
        <w:rPr>
          <w:rFonts w:ascii="Times New Roman" w:eastAsia="Times New Roman" w:hAnsi="Times New Roman" w:cs="Times New Roman"/>
          <w:lang w:val="ro-MD"/>
        </w:rPr>
        <w:t>;</w:t>
      </w:r>
    </w:p>
    <w:p w14:paraId="35B6DD59" w14:textId="2666833B" w:rsidR="00F95829" w:rsidRPr="000508B6" w:rsidRDefault="00F95829" w:rsidP="00DE4225">
      <w:pPr>
        <w:pStyle w:val="Listparagraf"/>
        <w:numPr>
          <w:ilvl w:val="2"/>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cu privire la structura sistemului de </w:t>
      </w:r>
      <w:proofErr w:type="spellStart"/>
      <w:r w:rsidRPr="000508B6">
        <w:rPr>
          <w:rFonts w:ascii="Times New Roman" w:eastAsia="Times New Roman" w:hAnsi="Times New Roman" w:cs="Times New Roman"/>
          <w:lang w:val="ro-MD"/>
        </w:rPr>
        <w:t>guvernanţă</w:t>
      </w:r>
      <w:proofErr w:type="spellEnd"/>
      <w:r w:rsidRPr="000508B6">
        <w:rPr>
          <w:rFonts w:ascii="Times New Roman" w:eastAsia="Times New Roman" w:hAnsi="Times New Roman" w:cs="Times New Roman"/>
          <w:lang w:val="ro-MD"/>
        </w:rPr>
        <w:t>.</w:t>
      </w:r>
    </w:p>
    <w:p w14:paraId="43566B9C" w14:textId="72B9150F" w:rsidR="00F95829" w:rsidRPr="000508B6" w:rsidRDefault="00F95829" w:rsidP="00DE4225">
      <w:pPr>
        <w:pStyle w:val="Listparagraf"/>
        <w:numPr>
          <w:ilvl w:val="0"/>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 lângă elementele stabilite la alin. (1), pentru primele 3 </w:t>
      </w:r>
      <w:proofErr w:type="spellStart"/>
      <w:r w:rsidRPr="000508B6">
        <w:rPr>
          <w:rFonts w:ascii="Times New Roman" w:eastAsia="Times New Roman" w:hAnsi="Times New Roman" w:cs="Times New Roman"/>
          <w:lang w:val="ro-MD"/>
        </w:rPr>
        <w:t>exerciţii</w:t>
      </w:r>
      <w:proofErr w:type="spellEnd"/>
      <w:r w:rsidRPr="000508B6">
        <w:rPr>
          <w:rFonts w:ascii="Times New Roman" w:eastAsia="Times New Roman" w:hAnsi="Times New Roman" w:cs="Times New Roman"/>
          <w:lang w:val="ro-MD"/>
        </w:rPr>
        <w:t xml:space="preserve"> financiare planul </w:t>
      </w:r>
      <w:proofErr w:type="spellStart"/>
      <w:r w:rsidRPr="000508B6">
        <w:rPr>
          <w:rFonts w:ascii="Times New Roman" w:eastAsia="Times New Roman" w:hAnsi="Times New Roman" w:cs="Times New Roman"/>
          <w:lang w:val="ro-MD"/>
        </w:rPr>
        <w:t>conţine</w:t>
      </w:r>
      <w:proofErr w:type="spellEnd"/>
      <w:r w:rsidRPr="000508B6">
        <w:rPr>
          <w:rFonts w:ascii="Times New Roman" w:eastAsia="Times New Roman" w:hAnsi="Times New Roman" w:cs="Times New Roman"/>
          <w:lang w:val="ro-MD"/>
        </w:rPr>
        <w:t xml:space="preserve"> următoarele:</w:t>
      </w:r>
    </w:p>
    <w:p w14:paraId="656B1610" w14:textId="6B3FC6A0" w:rsidR="00F95829" w:rsidRPr="000508B6" w:rsidRDefault="00F95829" w:rsidP="00DE4225">
      <w:pPr>
        <w:pStyle w:val="Listparagraf"/>
        <w:numPr>
          <w:ilvl w:val="2"/>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un </w:t>
      </w:r>
      <w:proofErr w:type="spellStart"/>
      <w:r w:rsidRPr="000508B6">
        <w:rPr>
          <w:rFonts w:ascii="Times New Roman" w:eastAsia="Times New Roman" w:hAnsi="Times New Roman" w:cs="Times New Roman"/>
          <w:lang w:val="ro-MD"/>
        </w:rPr>
        <w:t>bilanţ</w:t>
      </w:r>
      <w:proofErr w:type="spellEnd"/>
      <w:r w:rsidRPr="000508B6">
        <w:rPr>
          <w:rFonts w:ascii="Times New Roman" w:eastAsia="Times New Roman" w:hAnsi="Times New Roman" w:cs="Times New Roman"/>
          <w:lang w:val="ro-MD"/>
        </w:rPr>
        <w:t xml:space="preserve"> previzional;</w:t>
      </w:r>
    </w:p>
    <w:p w14:paraId="583A4E36" w14:textId="52ECCB4E" w:rsidR="00F95829" w:rsidRPr="000508B6" w:rsidRDefault="00F95829" w:rsidP="00DE4225">
      <w:pPr>
        <w:pStyle w:val="Listparagraf"/>
        <w:numPr>
          <w:ilvl w:val="2"/>
          <w:numId w:val="195"/>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estimări ale resurselor financiare care urmează a acoperi rezervele tehnice, SCR</w:t>
      </w:r>
      <w:r w:rsidR="003921DE" w:rsidRPr="000508B6">
        <w:rPr>
          <w:rFonts w:ascii="Times New Roman" w:eastAsia="Times New Roman" w:hAnsi="Times New Roman" w:cs="Times New Roman"/>
          <w:lang w:val="ro-MD"/>
        </w:rPr>
        <w:t xml:space="preserve"> și </w:t>
      </w:r>
      <w:r w:rsidR="005628B8" w:rsidRPr="000508B6">
        <w:rPr>
          <w:rFonts w:ascii="Times New Roman" w:eastAsia="Times New Roman" w:hAnsi="Times New Roman" w:cs="Times New Roman"/>
          <w:lang w:val="ro-MD"/>
        </w:rPr>
        <w:t>MCR;</w:t>
      </w:r>
    </w:p>
    <w:p w14:paraId="1075A9D6" w14:textId="43DD3A2B" w:rsidR="00F95829" w:rsidRPr="000508B6" w:rsidRDefault="00F95829" w:rsidP="00DE4225">
      <w:pPr>
        <w:pStyle w:val="Listparagraf"/>
        <w:numPr>
          <w:ilvl w:val="2"/>
          <w:numId w:val="195"/>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pentru </w:t>
      </w:r>
      <w:r w:rsidR="00B94FC7" w:rsidRPr="000508B6">
        <w:rPr>
          <w:rFonts w:ascii="Times New Roman" w:eastAsia="Times New Roman" w:hAnsi="Times New Roman" w:cs="Times New Roman"/>
          <w:lang w:val="ro-MD"/>
        </w:rPr>
        <w:t xml:space="preserve">activitatea de </w:t>
      </w:r>
      <w:r w:rsidR="0082102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general</w:t>
      </w:r>
      <w:r w:rsidR="0082102F"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w:t>
      </w:r>
    </w:p>
    <w:p w14:paraId="0D0124AD" w14:textId="094DADA3" w:rsidR="00F95829" w:rsidRPr="000508B6" w:rsidRDefault="00F95829" w:rsidP="00DE4225">
      <w:pPr>
        <w:pStyle w:val="Listparagraf"/>
        <w:numPr>
          <w:ilvl w:val="3"/>
          <w:numId w:val="195"/>
        </w:numPr>
        <w:tabs>
          <w:tab w:val="left" w:pos="709"/>
          <w:tab w:val="left" w:pos="851"/>
          <w:tab w:val="left" w:pos="993"/>
        </w:tabs>
        <w:spacing w:after="0" w:line="240" w:lineRule="auto"/>
        <w:ind w:left="142"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estimări ale cheltuielilor de administrare, altele decât cele prevăzute la alin. (1) lit. e), în special ale cheltuielilor generale curente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comisioanelor;</w:t>
      </w:r>
    </w:p>
    <w:p w14:paraId="7FE8C195" w14:textId="16DAF64B" w:rsidR="00F95829" w:rsidRPr="000508B6" w:rsidRDefault="00F95829" w:rsidP="00DE4225">
      <w:pPr>
        <w:pStyle w:val="Listparagraf"/>
        <w:numPr>
          <w:ilvl w:val="3"/>
          <w:numId w:val="195"/>
        </w:numPr>
        <w:tabs>
          <w:tab w:val="left" w:pos="709"/>
          <w:tab w:val="left" w:pos="851"/>
          <w:tab w:val="left" w:pos="993"/>
        </w:tabs>
        <w:spacing w:after="0" w:line="240" w:lineRule="auto"/>
        <w:ind w:left="142"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estimări privind volumul de prime sau </w:t>
      </w:r>
      <w:proofErr w:type="spellStart"/>
      <w:r w:rsidRPr="000508B6">
        <w:rPr>
          <w:rFonts w:ascii="Times New Roman" w:eastAsia="Times New Roman" w:hAnsi="Times New Roman" w:cs="Times New Roman"/>
          <w:lang w:val="ro-MD"/>
        </w:rPr>
        <w:t>cotizaţii</w:t>
      </w:r>
      <w:proofErr w:type="spellEnd"/>
      <w:r w:rsidRPr="000508B6">
        <w:rPr>
          <w:rFonts w:ascii="Times New Roman" w:eastAsia="Times New Roman" w:hAnsi="Times New Roman" w:cs="Times New Roman"/>
          <w:lang w:val="ro-MD"/>
        </w:rPr>
        <w:t xml:space="preserve">, după caz,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volumului daunelor;</w:t>
      </w:r>
    </w:p>
    <w:p w14:paraId="1F576EF0" w14:textId="190D53F2" w:rsidR="00F95829" w:rsidRPr="000508B6" w:rsidRDefault="00F95829" w:rsidP="00DE4225">
      <w:pPr>
        <w:pStyle w:val="Listparagraf"/>
        <w:numPr>
          <w:ilvl w:val="2"/>
          <w:numId w:val="195"/>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pentru </w:t>
      </w:r>
      <w:r w:rsidR="00B94FC7" w:rsidRPr="000508B6">
        <w:rPr>
          <w:rFonts w:ascii="Times New Roman" w:eastAsia="Times New Roman" w:hAnsi="Times New Roman" w:cs="Times New Roman"/>
          <w:lang w:val="ro-MD"/>
        </w:rPr>
        <w:t xml:space="preserve">activitatea de </w:t>
      </w:r>
      <w:r w:rsidR="0082102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w:t>
      </w:r>
      <w:r w:rsidR="00D1731C" w:rsidRPr="000508B6">
        <w:rPr>
          <w:rFonts w:ascii="Times New Roman" w:eastAsia="Times New Roman" w:hAnsi="Times New Roman" w:cs="Times New Roman"/>
          <w:lang w:val="ro-MD"/>
        </w:rPr>
        <w:t xml:space="preserve">un plan care stabilește </w:t>
      </w:r>
      <w:r w:rsidRPr="000508B6">
        <w:rPr>
          <w:rFonts w:ascii="Times New Roman" w:eastAsia="Times New Roman" w:hAnsi="Times New Roman" w:cs="Times New Roman"/>
          <w:lang w:val="ro-MD"/>
        </w:rPr>
        <w:t xml:space="preserve">estimări detaliate ale veniturilor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cheltuielilor legate de activitatea directă, acceptările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cedările în reasigurare.</w:t>
      </w:r>
    </w:p>
    <w:p w14:paraId="78479FC3" w14:textId="6E3ABE45" w:rsidR="00F95829" w:rsidRPr="000508B6" w:rsidRDefault="00D068AA" w:rsidP="00CF5AFA">
      <w:pPr>
        <w:pStyle w:val="Listparagraf"/>
        <w:numPr>
          <w:ilvl w:val="0"/>
          <w:numId w:val="195"/>
        </w:numPr>
        <w:tabs>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2E5137"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care </w:t>
      </w:r>
      <w:r w:rsidR="0082102F" w:rsidRPr="000508B6">
        <w:rPr>
          <w:rFonts w:ascii="Times New Roman" w:eastAsia="Times New Roman" w:hAnsi="Times New Roman" w:cs="Times New Roman"/>
          <w:lang w:val="ro-MD"/>
        </w:rPr>
        <w:t>desfășoară activitate de</w:t>
      </w:r>
      <w:r w:rsidR="00F95829" w:rsidRPr="000508B6">
        <w:rPr>
          <w:rFonts w:ascii="Times New Roman" w:eastAsia="Times New Roman" w:hAnsi="Times New Roman" w:cs="Times New Roman"/>
          <w:lang w:val="ro-MD"/>
        </w:rPr>
        <w:t xml:space="preserve"> </w:t>
      </w:r>
      <w:r w:rsidR="0082102F" w:rsidRPr="000508B6">
        <w:rPr>
          <w:rFonts w:ascii="Times New Roman" w:eastAsia="Times New Roman" w:hAnsi="Times New Roman" w:cs="Times New Roman"/>
          <w:lang w:val="ro-MD"/>
        </w:rPr>
        <w:t>asigurare</w:t>
      </w:r>
      <w:r w:rsidR="00F95829" w:rsidRPr="000508B6">
        <w:rPr>
          <w:rFonts w:ascii="Times New Roman" w:eastAsia="Times New Roman" w:hAnsi="Times New Roman" w:cs="Times New Roman"/>
          <w:lang w:val="ro-MD"/>
        </w:rPr>
        <w:t xml:space="preserve"> de </w:t>
      </w:r>
      <w:proofErr w:type="spellStart"/>
      <w:r w:rsidR="00F95829" w:rsidRPr="000508B6">
        <w:rPr>
          <w:rFonts w:ascii="Times New Roman" w:eastAsia="Times New Roman" w:hAnsi="Times New Roman" w:cs="Times New Roman"/>
          <w:lang w:val="ro-MD"/>
        </w:rPr>
        <w:t>viaţă</w:t>
      </w:r>
      <w:proofErr w:type="spellEnd"/>
      <w:r w:rsidR="00F95829" w:rsidRPr="000508B6">
        <w:rPr>
          <w:rFonts w:ascii="Times New Roman" w:eastAsia="Times New Roman" w:hAnsi="Times New Roman" w:cs="Times New Roman"/>
          <w:lang w:val="ro-MD"/>
        </w:rPr>
        <w:t xml:space="preserve"> prezintă </w:t>
      </w:r>
      <w:r w:rsidR="002A4D89">
        <w:rPr>
          <w:rFonts w:ascii="Times New Roman" w:eastAsia="Times New Roman" w:hAnsi="Times New Roman" w:cs="Times New Roman"/>
          <w:lang w:val="ro-MD"/>
        </w:rPr>
        <w:t xml:space="preserve">periodic </w:t>
      </w:r>
      <w:r w:rsidR="00D505AB" w:rsidRPr="000508B6">
        <w:rPr>
          <w:rFonts w:ascii="Times New Roman" w:eastAsia="Times New Roman" w:hAnsi="Times New Roman" w:cs="Times New Roman"/>
          <w:lang w:val="ro-MD"/>
        </w:rPr>
        <w:t>, la solicitarea Băncii Naționale a Moldovei,</w:t>
      </w:r>
      <w:r w:rsidR="00BF4682"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bazele tehnice utilizate pentru calcularea </w:t>
      </w:r>
      <w:r w:rsidR="00BA53D9" w:rsidRPr="000508B6">
        <w:rPr>
          <w:rFonts w:ascii="Times New Roman" w:eastAsia="Times New Roman" w:hAnsi="Times New Roman" w:cs="Times New Roman"/>
          <w:lang w:val="ro-MD"/>
        </w:rPr>
        <w:t xml:space="preserve">primelor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rezervelor tehnice</w:t>
      </w:r>
      <w:r w:rsidR="004D10EA"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4D10EA"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 xml:space="preserve">ceastă </w:t>
      </w:r>
      <w:proofErr w:type="spellStart"/>
      <w:r w:rsidR="00F95829" w:rsidRPr="000508B6">
        <w:rPr>
          <w:rFonts w:ascii="Times New Roman" w:eastAsia="Times New Roman" w:hAnsi="Times New Roman" w:cs="Times New Roman"/>
          <w:lang w:val="ro-MD"/>
        </w:rPr>
        <w:t>cerinţă</w:t>
      </w:r>
      <w:proofErr w:type="spellEnd"/>
      <w:r w:rsidR="00F95829" w:rsidRPr="000508B6">
        <w:rPr>
          <w:rFonts w:ascii="Times New Roman" w:eastAsia="Times New Roman" w:hAnsi="Times New Roman" w:cs="Times New Roman"/>
          <w:lang w:val="ro-MD"/>
        </w:rPr>
        <w:t xml:space="preserve"> nu constituie </w:t>
      </w:r>
      <w:proofErr w:type="spellStart"/>
      <w:r w:rsidR="00F95829" w:rsidRPr="000508B6">
        <w:rPr>
          <w:rFonts w:ascii="Times New Roman" w:eastAsia="Times New Roman" w:hAnsi="Times New Roman" w:cs="Times New Roman"/>
          <w:lang w:val="ro-MD"/>
        </w:rPr>
        <w:t>condiţie</w:t>
      </w:r>
      <w:proofErr w:type="spellEnd"/>
      <w:r w:rsidR="00F95829" w:rsidRPr="000508B6">
        <w:rPr>
          <w:rFonts w:ascii="Times New Roman" w:eastAsia="Times New Roman" w:hAnsi="Times New Roman" w:cs="Times New Roman"/>
          <w:lang w:val="ro-MD"/>
        </w:rPr>
        <w:t xml:space="preserve"> prealabilă pentru </w:t>
      </w:r>
      <w:proofErr w:type="spellStart"/>
      <w:r w:rsidR="00F95829" w:rsidRPr="000508B6">
        <w:rPr>
          <w:rFonts w:ascii="Times New Roman" w:eastAsia="Times New Roman" w:hAnsi="Times New Roman" w:cs="Times New Roman"/>
          <w:lang w:val="ro-MD"/>
        </w:rPr>
        <w:t>desfăşurarea</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activităţii</w:t>
      </w:r>
      <w:proofErr w:type="spellEnd"/>
      <w:r w:rsidR="00F95829" w:rsidRPr="000508B6">
        <w:rPr>
          <w:rFonts w:ascii="Times New Roman" w:eastAsia="Times New Roman" w:hAnsi="Times New Roman" w:cs="Times New Roman"/>
          <w:lang w:val="ro-MD"/>
        </w:rPr>
        <w:t>.</w:t>
      </w:r>
    </w:p>
    <w:p w14:paraId="7A48E331" w14:textId="77777777" w:rsidR="00A61F1F" w:rsidRPr="000508B6" w:rsidRDefault="00A61F1F" w:rsidP="008B530F">
      <w:pPr>
        <w:tabs>
          <w:tab w:val="left" w:pos="993"/>
        </w:tabs>
        <w:spacing w:after="0" w:line="240" w:lineRule="auto"/>
        <w:ind w:firstLine="426"/>
        <w:jc w:val="both"/>
        <w:rPr>
          <w:rFonts w:ascii="Times New Roman" w:eastAsia="Times New Roman" w:hAnsi="Times New Roman" w:cs="Times New Roman"/>
          <w:b/>
          <w:lang w:val="ro-MD"/>
        </w:rPr>
      </w:pPr>
    </w:p>
    <w:p w14:paraId="0D60FC05" w14:textId="6F2F54EA" w:rsidR="005F512C" w:rsidRPr="000508B6" w:rsidRDefault="00F95829" w:rsidP="005F512C">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97</w:t>
      </w:r>
      <w:r w:rsidRPr="000508B6">
        <w:rPr>
          <w:rFonts w:ascii="Times New Roman" w:eastAsia="Times New Roman" w:hAnsi="Times New Roman" w:cs="Times New Roman"/>
          <w:b/>
          <w:lang w:val="ro-MD"/>
        </w:rPr>
        <w:t xml:space="preserve">. </w:t>
      </w:r>
      <w:r w:rsidR="005F512C" w:rsidRPr="000508B6">
        <w:rPr>
          <w:rFonts w:ascii="Times New Roman" w:eastAsia="Times New Roman" w:hAnsi="Times New Roman" w:cs="Times New Roman"/>
          <w:bCs/>
          <w:lang w:val="ro-MD"/>
        </w:rPr>
        <w:t xml:space="preserve">Notificarea </w:t>
      </w:r>
      <w:proofErr w:type="spellStart"/>
      <w:r w:rsidR="005F512C" w:rsidRPr="000508B6">
        <w:rPr>
          <w:rFonts w:ascii="Times New Roman" w:eastAsia="Times New Roman" w:hAnsi="Times New Roman" w:cs="Times New Roman"/>
          <w:bCs/>
          <w:lang w:val="ro-MD"/>
        </w:rPr>
        <w:t>şi</w:t>
      </w:r>
      <w:proofErr w:type="spellEnd"/>
      <w:r w:rsidR="005F512C" w:rsidRPr="000508B6">
        <w:rPr>
          <w:rFonts w:ascii="Times New Roman" w:eastAsia="Times New Roman" w:hAnsi="Times New Roman" w:cs="Times New Roman"/>
          <w:bCs/>
          <w:lang w:val="ro-MD"/>
        </w:rPr>
        <w:t xml:space="preserve"> informarea </w:t>
      </w:r>
    </w:p>
    <w:p w14:paraId="5CB11099" w14:textId="3C714ABD" w:rsidR="005F512C" w:rsidRPr="000508B6" w:rsidRDefault="005F512C" w:rsidP="007E6511">
      <w:pPr>
        <w:tabs>
          <w:tab w:val="left" w:pos="709"/>
          <w:tab w:val="left" w:pos="993"/>
        </w:tabs>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(1)</w:t>
      </w:r>
      <w:r w:rsidRPr="000508B6">
        <w:rPr>
          <w:rFonts w:ascii="Times New Roman" w:eastAsia="Times New Roman" w:hAnsi="Times New Roman" w:cs="Times New Roman"/>
          <w:bCs/>
          <w:lang w:val="ro-MD"/>
        </w:rPr>
        <w:tab/>
        <w:t xml:space="preserve">În termen de cel mult 10 zile de la data eliberării </w:t>
      </w:r>
      <w:proofErr w:type="spellStart"/>
      <w:r w:rsidRPr="000508B6">
        <w:rPr>
          <w:rFonts w:ascii="Times New Roman" w:eastAsia="Times New Roman" w:hAnsi="Times New Roman" w:cs="Times New Roman"/>
          <w:bCs/>
          <w:lang w:val="ro-MD"/>
        </w:rPr>
        <w:t>licenţei</w:t>
      </w:r>
      <w:proofErr w:type="spellEnd"/>
      <w:r w:rsidRPr="000508B6">
        <w:rPr>
          <w:rFonts w:ascii="Times New Roman" w:eastAsia="Times New Roman" w:hAnsi="Times New Roman" w:cs="Times New Roman"/>
          <w:bCs/>
          <w:lang w:val="ro-MD"/>
        </w:rPr>
        <w:t xml:space="preserve"> sau a refuzului dreptului de </w:t>
      </w:r>
      <w:proofErr w:type="spellStart"/>
      <w:r w:rsidRPr="000508B6">
        <w:rPr>
          <w:rFonts w:ascii="Times New Roman" w:eastAsia="Times New Roman" w:hAnsi="Times New Roman" w:cs="Times New Roman"/>
          <w:bCs/>
          <w:lang w:val="ro-MD"/>
        </w:rPr>
        <w:t>desfăşurare</w:t>
      </w:r>
      <w:proofErr w:type="spellEnd"/>
      <w:r w:rsidRPr="000508B6">
        <w:rPr>
          <w:rFonts w:ascii="Times New Roman" w:eastAsia="Times New Roman" w:hAnsi="Times New Roman" w:cs="Times New Roman"/>
          <w:bCs/>
          <w:lang w:val="ro-MD"/>
        </w:rPr>
        <w:t xml:space="preserve"> a </w:t>
      </w:r>
      <w:proofErr w:type="spellStart"/>
      <w:r w:rsidRPr="000508B6">
        <w:rPr>
          <w:rFonts w:ascii="Times New Roman" w:eastAsia="Times New Roman" w:hAnsi="Times New Roman" w:cs="Times New Roman"/>
          <w:bCs/>
          <w:lang w:val="ro-MD"/>
        </w:rPr>
        <w:t>activităţii</w:t>
      </w:r>
      <w:proofErr w:type="spellEnd"/>
      <w:r w:rsidRPr="000508B6">
        <w:rPr>
          <w:rFonts w:ascii="Times New Roman" w:eastAsia="Times New Roman" w:hAnsi="Times New Roman" w:cs="Times New Roman"/>
          <w:bCs/>
          <w:lang w:val="ro-MD"/>
        </w:rPr>
        <w:t xml:space="preserve"> sucursalei </w:t>
      </w:r>
      <w:r w:rsidR="00283A9B" w:rsidRPr="000508B6">
        <w:rPr>
          <w:rFonts w:ascii="Times New Roman" w:eastAsia="Times New Roman" w:hAnsi="Times New Roman" w:cs="Times New Roman"/>
          <w:bCs/>
          <w:lang w:val="ro-MD"/>
        </w:rPr>
        <w:t xml:space="preserve">unui </w:t>
      </w:r>
      <w:r w:rsidR="007E6511" w:rsidRPr="000508B6">
        <w:rPr>
          <w:rFonts w:ascii="Times New Roman" w:eastAsia="Times New Roman" w:hAnsi="Times New Roman" w:cs="Times New Roman"/>
          <w:bCs/>
          <w:lang w:val="ro-MD"/>
        </w:rPr>
        <w:t xml:space="preserve">asigurător </w:t>
      </w:r>
      <w:r w:rsidRPr="000508B6">
        <w:rPr>
          <w:rFonts w:ascii="Times New Roman" w:eastAsia="Times New Roman" w:hAnsi="Times New Roman" w:cs="Times New Roman"/>
          <w:bCs/>
          <w:lang w:val="ro-MD"/>
        </w:rPr>
        <w:t xml:space="preserve">dintr-un stat </w:t>
      </w:r>
      <w:proofErr w:type="spellStart"/>
      <w:r w:rsidRPr="000508B6">
        <w:rPr>
          <w:rFonts w:ascii="Times New Roman" w:eastAsia="Times New Roman" w:hAnsi="Times New Roman" w:cs="Times New Roman"/>
          <w:bCs/>
          <w:lang w:val="ro-MD"/>
        </w:rPr>
        <w:t>terţ</w:t>
      </w:r>
      <w:proofErr w:type="spellEnd"/>
      <w:r w:rsidRPr="000508B6">
        <w:rPr>
          <w:rFonts w:ascii="Times New Roman" w:eastAsia="Times New Roman" w:hAnsi="Times New Roman" w:cs="Times New Roman"/>
          <w:bCs/>
          <w:lang w:val="ro-MD"/>
        </w:rPr>
        <w:t xml:space="preserve"> pe teritoriul Republicii Moldova, Banca Națională a Moldovei informează </w:t>
      </w:r>
      <w:r w:rsidR="003C20A5" w:rsidRPr="000508B6">
        <w:rPr>
          <w:rFonts w:ascii="Times New Roman" w:eastAsia="Times New Roman" w:hAnsi="Times New Roman" w:cs="Times New Roman"/>
          <w:bCs/>
          <w:lang w:val="ro-MD"/>
        </w:rPr>
        <w:t xml:space="preserve">supraveghetorul și </w:t>
      </w:r>
      <w:r w:rsidR="00404EB5" w:rsidRPr="000508B6">
        <w:rPr>
          <w:rFonts w:ascii="Times New Roman" w:eastAsia="Times New Roman" w:hAnsi="Times New Roman" w:cs="Times New Roman"/>
          <w:bCs/>
          <w:lang w:val="ro-MD"/>
        </w:rPr>
        <w:t xml:space="preserve">asigurătorul </w:t>
      </w:r>
      <w:r w:rsidRPr="000508B6">
        <w:rPr>
          <w:rFonts w:ascii="Times New Roman" w:eastAsia="Times New Roman" w:hAnsi="Times New Roman" w:cs="Times New Roman"/>
          <w:bCs/>
          <w:lang w:val="ro-MD"/>
        </w:rPr>
        <w:t xml:space="preserve">din statul  </w:t>
      </w:r>
      <w:r w:rsidR="00D505AB" w:rsidRPr="000508B6">
        <w:rPr>
          <w:rFonts w:ascii="Times New Roman" w:eastAsia="Times New Roman" w:hAnsi="Times New Roman" w:cs="Times New Roman"/>
          <w:bCs/>
          <w:lang w:val="ro-MD"/>
        </w:rPr>
        <w:t xml:space="preserve">terț </w:t>
      </w:r>
      <w:r w:rsidRPr="000508B6">
        <w:rPr>
          <w:rFonts w:ascii="Times New Roman" w:eastAsia="Times New Roman" w:hAnsi="Times New Roman" w:cs="Times New Roman"/>
          <w:bCs/>
          <w:lang w:val="ro-MD"/>
        </w:rPr>
        <w:t xml:space="preserve">cu privire la eliberarea </w:t>
      </w:r>
      <w:proofErr w:type="spellStart"/>
      <w:r w:rsidRPr="000508B6">
        <w:rPr>
          <w:rFonts w:ascii="Times New Roman" w:eastAsia="Times New Roman" w:hAnsi="Times New Roman" w:cs="Times New Roman"/>
          <w:bCs/>
          <w:lang w:val="ro-MD"/>
        </w:rPr>
        <w:t>licenţei</w:t>
      </w:r>
      <w:proofErr w:type="spellEnd"/>
      <w:r w:rsidRPr="000508B6">
        <w:rPr>
          <w:rFonts w:ascii="Times New Roman" w:eastAsia="Times New Roman" w:hAnsi="Times New Roman" w:cs="Times New Roman"/>
          <w:bCs/>
          <w:lang w:val="ro-MD"/>
        </w:rPr>
        <w:t xml:space="preserve"> sau la refuzul </w:t>
      </w:r>
      <w:r w:rsidR="001E7332" w:rsidRPr="000508B6">
        <w:rPr>
          <w:rFonts w:ascii="Times New Roman" w:eastAsia="Times New Roman" w:hAnsi="Times New Roman" w:cs="Times New Roman"/>
          <w:bCs/>
          <w:lang w:val="ro-MD"/>
        </w:rPr>
        <w:t xml:space="preserve">de a elibera licență pentru </w:t>
      </w:r>
      <w:proofErr w:type="spellStart"/>
      <w:r w:rsidR="001E7332" w:rsidRPr="000508B6">
        <w:rPr>
          <w:rFonts w:ascii="Times New Roman" w:eastAsia="Times New Roman" w:hAnsi="Times New Roman" w:cs="Times New Roman"/>
          <w:bCs/>
          <w:lang w:val="ro-MD"/>
        </w:rPr>
        <w:t>desfăşurarea</w:t>
      </w:r>
      <w:proofErr w:type="spellEnd"/>
      <w:r w:rsidR="001E7332" w:rsidRPr="000508B6">
        <w:rPr>
          <w:rFonts w:ascii="Times New Roman" w:eastAsia="Times New Roman" w:hAnsi="Times New Roman" w:cs="Times New Roman"/>
          <w:bCs/>
          <w:lang w:val="ro-MD"/>
        </w:rPr>
        <w:t xml:space="preserve"> </w:t>
      </w:r>
      <w:proofErr w:type="spellStart"/>
      <w:r w:rsidR="001E7332" w:rsidRPr="000508B6">
        <w:rPr>
          <w:rFonts w:ascii="Times New Roman" w:eastAsia="Times New Roman" w:hAnsi="Times New Roman" w:cs="Times New Roman"/>
          <w:bCs/>
          <w:lang w:val="ro-MD"/>
        </w:rPr>
        <w:t>activităţii</w:t>
      </w:r>
      <w:proofErr w:type="spellEnd"/>
      <w:r w:rsidR="001E7332" w:rsidRPr="000508B6">
        <w:rPr>
          <w:rFonts w:ascii="Times New Roman" w:eastAsia="Times New Roman" w:hAnsi="Times New Roman" w:cs="Times New Roman"/>
          <w:bCs/>
          <w:lang w:val="ro-MD"/>
        </w:rPr>
        <w:t xml:space="preserve"> pe teritoriul Republicii Moldova.</w:t>
      </w:r>
    </w:p>
    <w:p w14:paraId="4C7C4510" w14:textId="563C19D9" w:rsidR="005F512C" w:rsidRPr="000508B6" w:rsidRDefault="005F512C" w:rsidP="007E6511">
      <w:pPr>
        <w:tabs>
          <w:tab w:val="left" w:pos="709"/>
          <w:tab w:val="left" w:pos="993"/>
        </w:tabs>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(2)</w:t>
      </w:r>
      <w:r w:rsidRPr="000508B6">
        <w:rPr>
          <w:rFonts w:ascii="Times New Roman" w:eastAsia="Times New Roman" w:hAnsi="Times New Roman" w:cs="Times New Roman"/>
          <w:bCs/>
          <w:lang w:val="ro-MD"/>
        </w:rPr>
        <w:tab/>
        <w:t xml:space="preserve">În cazul în care se </w:t>
      </w:r>
      <w:proofErr w:type="spellStart"/>
      <w:r w:rsidRPr="000508B6">
        <w:rPr>
          <w:rFonts w:ascii="Times New Roman" w:eastAsia="Times New Roman" w:hAnsi="Times New Roman" w:cs="Times New Roman"/>
          <w:bCs/>
          <w:lang w:val="ro-MD"/>
        </w:rPr>
        <w:t>stabileşte</w:t>
      </w:r>
      <w:proofErr w:type="spellEnd"/>
      <w:r w:rsidRPr="000508B6">
        <w:rPr>
          <w:rFonts w:ascii="Times New Roman" w:eastAsia="Times New Roman" w:hAnsi="Times New Roman" w:cs="Times New Roman"/>
          <w:bCs/>
          <w:lang w:val="ro-MD"/>
        </w:rPr>
        <w:t xml:space="preserve"> că sucursala </w:t>
      </w:r>
      <w:r w:rsidR="007E6511" w:rsidRPr="000508B6">
        <w:rPr>
          <w:rFonts w:ascii="Times New Roman" w:eastAsia="Times New Roman" w:hAnsi="Times New Roman" w:cs="Times New Roman"/>
          <w:bCs/>
          <w:lang w:val="ro-MD"/>
        </w:rPr>
        <w:t xml:space="preserve">asigurătorului </w:t>
      </w:r>
      <w:r w:rsidRPr="000508B6">
        <w:rPr>
          <w:rFonts w:ascii="Times New Roman" w:eastAsia="Times New Roman" w:hAnsi="Times New Roman" w:cs="Times New Roman"/>
          <w:bCs/>
          <w:lang w:val="ro-MD"/>
        </w:rPr>
        <w:t xml:space="preserve">dintr-un stat </w:t>
      </w:r>
      <w:proofErr w:type="spellStart"/>
      <w:r w:rsidRPr="000508B6">
        <w:rPr>
          <w:rFonts w:ascii="Times New Roman" w:eastAsia="Times New Roman" w:hAnsi="Times New Roman" w:cs="Times New Roman"/>
          <w:bCs/>
          <w:lang w:val="ro-MD"/>
        </w:rPr>
        <w:t>terţ</w:t>
      </w:r>
      <w:proofErr w:type="spellEnd"/>
      <w:r w:rsidRPr="000508B6">
        <w:rPr>
          <w:rFonts w:ascii="Times New Roman" w:eastAsia="Times New Roman" w:hAnsi="Times New Roman" w:cs="Times New Roman"/>
          <w:bCs/>
          <w:lang w:val="ro-MD"/>
        </w:rPr>
        <w:t xml:space="preserve"> nu respectă </w:t>
      </w:r>
      <w:proofErr w:type="spellStart"/>
      <w:r w:rsidRPr="000508B6">
        <w:rPr>
          <w:rFonts w:ascii="Times New Roman" w:eastAsia="Times New Roman" w:hAnsi="Times New Roman" w:cs="Times New Roman"/>
          <w:bCs/>
          <w:lang w:val="ro-MD"/>
        </w:rPr>
        <w:t>dispoziţiile</w:t>
      </w:r>
      <w:proofErr w:type="spellEnd"/>
      <w:r w:rsidRPr="000508B6">
        <w:rPr>
          <w:rFonts w:ascii="Times New Roman" w:eastAsia="Times New Roman" w:hAnsi="Times New Roman" w:cs="Times New Roman"/>
          <w:bCs/>
          <w:lang w:val="ro-MD"/>
        </w:rPr>
        <w:t xml:space="preserve"> legale care se aplică pe teritoriul Republicii Moldova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w:t>
      </w:r>
      <w:proofErr w:type="spellStart"/>
      <w:r w:rsidRPr="000508B6">
        <w:rPr>
          <w:rFonts w:ascii="Times New Roman" w:eastAsia="Times New Roman" w:hAnsi="Times New Roman" w:cs="Times New Roman"/>
          <w:bCs/>
          <w:lang w:val="ro-MD"/>
        </w:rPr>
        <w:t>prescripţiile</w:t>
      </w:r>
      <w:proofErr w:type="spellEnd"/>
      <w:r w:rsidRPr="000508B6">
        <w:rPr>
          <w:rFonts w:ascii="Times New Roman" w:eastAsia="Times New Roman" w:hAnsi="Times New Roman" w:cs="Times New Roman"/>
          <w:bCs/>
          <w:lang w:val="ro-MD"/>
        </w:rPr>
        <w:t xml:space="preserve"> Băncii Naționale a Moldovei, inclusiv în ceea ce </w:t>
      </w:r>
      <w:proofErr w:type="spellStart"/>
      <w:r w:rsidRPr="000508B6">
        <w:rPr>
          <w:rFonts w:ascii="Times New Roman" w:eastAsia="Times New Roman" w:hAnsi="Times New Roman" w:cs="Times New Roman"/>
          <w:bCs/>
          <w:lang w:val="ro-MD"/>
        </w:rPr>
        <w:t>priveşte</w:t>
      </w:r>
      <w:proofErr w:type="spellEnd"/>
      <w:r w:rsidRPr="000508B6">
        <w:rPr>
          <w:rFonts w:ascii="Times New Roman" w:eastAsia="Times New Roman" w:hAnsi="Times New Roman" w:cs="Times New Roman"/>
          <w:bCs/>
          <w:lang w:val="ro-MD"/>
        </w:rPr>
        <w:t xml:space="preserve"> aplicarea </w:t>
      </w:r>
      <w:proofErr w:type="spellStart"/>
      <w:r w:rsidRPr="000508B6">
        <w:rPr>
          <w:rFonts w:ascii="Times New Roman" w:eastAsia="Times New Roman" w:hAnsi="Times New Roman" w:cs="Times New Roman"/>
          <w:bCs/>
          <w:lang w:val="ro-MD"/>
        </w:rPr>
        <w:t>sancţiunilor</w:t>
      </w:r>
      <w:proofErr w:type="spellEnd"/>
      <w:r w:rsidRPr="000508B6">
        <w:rPr>
          <w:rFonts w:ascii="Times New Roman" w:eastAsia="Times New Roman" w:hAnsi="Times New Roman" w:cs="Times New Roman"/>
          <w:bCs/>
          <w:lang w:val="ro-MD"/>
        </w:rPr>
        <w:t xml:space="preserve">, Banca Națională a Moldovei informează </w:t>
      </w:r>
      <w:r w:rsidR="00072F41" w:rsidRPr="000508B6">
        <w:rPr>
          <w:rFonts w:ascii="Times New Roman" w:eastAsia="Times New Roman" w:hAnsi="Times New Roman" w:cs="Times New Roman"/>
          <w:bCs/>
          <w:lang w:val="ro-MD"/>
        </w:rPr>
        <w:t>supraveghetorul</w:t>
      </w:r>
      <w:r w:rsidR="003F2751"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din statul </w:t>
      </w:r>
      <w:r w:rsidR="00D505AB" w:rsidRPr="000508B6">
        <w:rPr>
          <w:rFonts w:ascii="Times New Roman" w:eastAsia="Times New Roman" w:hAnsi="Times New Roman" w:cs="Times New Roman"/>
          <w:bCs/>
          <w:lang w:val="ro-MD"/>
        </w:rPr>
        <w:t xml:space="preserve">terț </w:t>
      </w:r>
      <w:r w:rsidRPr="000508B6">
        <w:rPr>
          <w:rFonts w:ascii="Times New Roman" w:eastAsia="Times New Roman" w:hAnsi="Times New Roman" w:cs="Times New Roman"/>
          <w:bCs/>
          <w:lang w:val="ro-MD"/>
        </w:rPr>
        <w:t>despre acest fapt.</w:t>
      </w:r>
    </w:p>
    <w:p w14:paraId="0DC27638" w14:textId="77777777" w:rsidR="005F512C" w:rsidRPr="000508B6" w:rsidRDefault="005F512C" w:rsidP="008B530F">
      <w:pPr>
        <w:tabs>
          <w:tab w:val="left" w:pos="993"/>
        </w:tabs>
        <w:spacing w:after="0" w:line="240" w:lineRule="auto"/>
        <w:ind w:firstLine="426"/>
        <w:jc w:val="both"/>
        <w:rPr>
          <w:rFonts w:ascii="Times New Roman" w:eastAsia="Times New Roman" w:hAnsi="Times New Roman" w:cs="Times New Roman"/>
          <w:bCs/>
          <w:lang w:val="ro-MD"/>
        </w:rPr>
      </w:pPr>
    </w:p>
    <w:p w14:paraId="2D383DD0" w14:textId="50C63FE2"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5F512C" w:rsidRPr="000508B6">
        <w:rPr>
          <w:rFonts w:ascii="Times New Roman" w:eastAsia="Times New Roman" w:hAnsi="Times New Roman" w:cs="Times New Roman"/>
          <w:b/>
          <w:lang w:val="ro-MD"/>
        </w:rPr>
        <w:t>98</w:t>
      </w:r>
      <w:r w:rsidRPr="000508B6">
        <w:rPr>
          <w:rFonts w:ascii="Times New Roman" w:eastAsia="Times New Roman" w:hAnsi="Times New Roman" w:cs="Times New Roman"/>
          <w:lang w:val="ro-MD"/>
        </w:rPr>
        <w:t>. Transferul de portofoliu</w:t>
      </w:r>
      <w:r w:rsidR="007D2226" w:rsidRPr="000508B6">
        <w:rPr>
          <w:rFonts w:ascii="Times New Roman" w:eastAsia="Times New Roman" w:hAnsi="Times New Roman" w:cs="Times New Roman"/>
          <w:lang w:val="ro-MD"/>
        </w:rPr>
        <w:t xml:space="preserve"> al sucursale</w:t>
      </w:r>
      <w:r w:rsidR="009F73A7" w:rsidRPr="000508B6">
        <w:rPr>
          <w:rFonts w:ascii="Times New Roman" w:eastAsia="Times New Roman" w:hAnsi="Times New Roman" w:cs="Times New Roman"/>
          <w:lang w:val="ro-MD"/>
        </w:rPr>
        <w:t>i</w:t>
      </w:r>
      <w:r w:rsidR="00DB0441" w:rsidRPr="000508B6">
        <w:rPr>
          <w:rFonts w:ascii="Times New Roman" w:eastAsia="Times New Roman" w:hAnsi="Times New Roman" w:cs="Times New Roman"/>
          <w:lang w:val="ro-MD"/>
        </w:rPr>
        <w:t xml:space="preserve"> din stat terț</w:t>
      </w:r>
    </w:p>
    <w:p w14:paraId="61A82C4D" w14:textId="588FF16F" w:rsidR="00F95829" w:rsidRPr="000508B6" w:rsidRDefault="00F95829" w:rsidP="0032693F">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aprobă transferul de portofoliu al </w:t>
      </w:r>
      <w:r w:rsidR="009F73A7" w:rsidRPr="000508B6">
        <w:rPr>
          <w:rFonts w:ascii="Times New Roman" w:eastAsia="Times New Roman" w:hAnsi="Times New Roman" w:cs="Times New Roman"/>
          <w:lang w:val="ro-MD"/>
        </w:rPr>
        <w:t>sucursalei</w:t>
      </w:r>
      <w:r w:rsidR="00DB0441" w:rsidRPr="000508B6">
        <w:rPr>
          <w:rFonts w:ascii="Times New Roman" w:eastAsia="Times New Roman" w:hAnsi="Times New Roman" w:cs="Times New Roman"/>
          <w:lang w:val="ro-MD"/>
        </w:rPr>
        <w:t xml:space="preserve"> din statul terț</w:t>
      </w:r>
      <w:r w:rsidRPr="000508B6">
        <w:rPr>
          <w:rFonts w:ascii="Times New Roman" w:eastAsia="Times New Roman" w:hAnsi="Times New Roman" w:cs="Times New Roman"/>
          <w:lang w:val="ro-MD"/>
        </w:rPr>
        <w:t xml:space="preserve">, integral sau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către </w:t>
      </w:r>
      <w:r w:rsidR="00672B68" w:rsidRPr="000508B6">
        <w:rPr>
          <w:rFonts w:ascii="Times New Roman" w:eastAsia="Times New Roman" w:hAnsi="Times New Roman" w:cs="Times New Roman"/>
          <w:lang w:val="ro-MD"/>
        </w:rPr>
        <w:t>un asigurător</w:t>
      </w:r>
      <w:r w:rsidRPr="000508B6">
        <w:rPr>
          <w:rFonts w:ascii="Times New Roman" w:eastAsia="Times New Roman" w:hAnsi="Times New Roman" w:cs="Times New Roman"/>
          <w:lang w:val="ro-MD"/>
        </w:rPr>
        <w:t xml:space="preserve"> cesionar stabilit în Republica Moldova</w:t>
      </w:r>
      <w:r w:rsidR="00A90D2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numai dacă, după preluarea portofoliului respectiv, </w:t>
      </w:r>
      <w:r w:rsidR="00D068AA"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cesionar </w:t>
      </w:r>
      <w:proofErr w:type="spellStart"/>
      <w:r w:rsidRPr="000508B6">
        <w:rPr>
          <w:rFonts w:ascii="Times New Roman" w:eastAsia="Times New Roman" w:hAnsi="Times New Roman" w:cs="Times New Roman"/>
          <w:lang w:val="ro-MD"/>
        </w:rPr>
        <w:t>deţine</w:t>
      </w:r>
      <w:proofErr w:type="spellEnd"/>
      <w:r w:rsidRPr="000508B6">
        <w:rPr>
          <w:rFonts w:ascii="Times New Roman" w:eastAsia="Times New Roman" w:hAnsi="Times New Roman" w:cs="Times New Roman"/>
          <w:lang w:val="ro-MD"/>
        </w:rPr>
        <w:t xml:space="preserve"> fonduri proprii eligibile pentru acoperirea SCR. </w:t>
      </w:r>
    </w:p>
    <w:p w14:paraId="0BB87AB7" w14:textId="252E16CD" w:rsidR="00F95829" w:rsidRPr="000508B6" w:rsidRDefault="00F95829" w:rsidP="00DE4225">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aprobă transferul de portofoliu al </w:t>
      </w:r>
      <w:r w:rsidR="009F73A7" w:rsidRPr="000508B6">
        <w:rPr>
          <w:rFonts w:ascii="Times New Roman" w:eastAsia="Times New Roman" w:hAnsi="Times New Roman" w:cs="Times New Roman"/>
          <w:lang w:val="ro-MD"/>
        </w:rPr>
        <w:t>sucursalei</w:t>
      </w:r>
      <w:r w:rsidRPr="000508B6">
        <w:rPr>
          <w:rFonts w:ascii="Times New Roman" w:eastAsia="Times New Roman" w:hAnsi="Times New Roman" w:cs="Times New Roman"/>
          <w:lang w:val="ro-MD"/>
        </w:rPr>
        <w:t xml:space="preserve"> </w:t>
      </w:r>
      <w:r w:rsidR="00DB0441" w:rsidRPr="000508B6">
        <w:rPr>
          <w:rFonts w:ascii="Times New Roman" w:eastAsia="Times New Roman" w:hAnsi="Times New Roman" w:cs="Times New Roman"/>
          <w:lang w:val="ro-MD"/>
        </w:rPr>
        <w:t>din statul terț</w:t>
      </w:r>
      <w:r w:rsidR="00BD6779" w:rsidRPr="000508B6">
        <w:rPr>
          <w:rFonts w:ascii="Times New Roman" w:eastAsia="Times New Roman" w:hAnsi="Times New Roman" w:cs="Times New Roman"/>
          <w:lang w:val="ro-MD"/>
        </w:rPr>
        <w:t>,</w:t>
      </w:r>
      <w:r w:rsidR="00DB044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integral sau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către </w:t>
      </w:r>
      <w:r w:rsidR="0032693F" w:rsidRPr="000508B6">
        <w:rPr>
          <w:rFonts w:ascii="Times New Roman" w:eastAsia="Times New Roman" w:hAnsi="Times New Roman" w:cs="Times New Roman"/>
          <w:lang w:val="ro-MD"/>
        </w:rPr>
        <w:t xml:space="preserve">asigurătorul </w:t>
      </w:r>
      <w:r w:rsidR="000E3C58" w:rsidRPr="000508B6">
        <w:rPr>
          <w:rFonts w:ascii="Times New Roman" w:eastAsia="Times New Roman" w:hAnsi="Times New Roman" w:cs="Times New Roman"/>
          <w:lang w:val="ro-MD"/>
        </w:rPr>
        <w:t>cesionar stabilit în Republica Moldova</w:t>
      </w:r>
      <w:r w:rsidR="0059001A" w:rsidRPr="000508B6">
        <w:rPr>
          <w:rFonts w:ascii="Times New Roman" w:eastAsia="Times New Roman" w:hAnsi="Times New Roman" w:cs="Times New Roman"/>
          <w:lang w:val="ro-MD"/>
        </w:rPr>
        <w:t xml:space="preserve"> </w:t>
      </w:r>
      <w:r w:rsidR="004C73E3" w:rsidRPr="000508B6">
        <w:rPr>
          <w:rFonts w:ascii="Times New Roman" w:eastAsia="Times New Roman" w:hAnsi="Times New Roman" w:cs="Times New Roman"/>
          <w:lang w:val="ro-MD"/>
        </w:rPr>
        <w:t>față de care</w:t>
      </w:r>
      <w:r w:rsidR="0059001A" w:rsidRPr="000508B6">
        <w:rPr>
          <w:rFonts w:ascii="Times New Roman" w:eastAsia="Times New Roman" w:hAnsi="Times New Roman" w:cs="Times New Roman"/>
          <w:lang w:val="ro-MD"/>
        </w:rPr>
        <w:t xml:space="preserve"> se aplică prevederile art. 100</w:t>
      </w:r>
      <w:r w:rsidRPr="000508B6" w:rsidDel="0059001A">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numai dacă supraveghetorul din statul membru </w:t>
      </w:r>
      <w:r w:rsidR="0059001A" w:rsidRPr="000508B6">
        <w:rPr>
          <w:rFonts w:ascii="Times New Roman" w:eastAsia="Times New Roman" w:hAnsi="Times New Roman" w:cs="Times New Roman"/>
          <w:lang w:val="ro-MD"/>
        </w:rPr>
        <w:t xml:space="preserve">desemnat </w:t>
      </w:r>
      <w:r w:rsidR="002D38B8" w:rsidRPr="000508B6">
        <w:rPr>
          <w:rFonts w:ascii="Times New Roman" w:eastAsia="Times New Roman" w:hAnsi="Times New Roman" w:cs="Times New Roman"/>
          <w:lang w:val="ro-MD"/>
        </w:rPr>
        <w:t xml:space="preserve">supraveghetor responsabil </w:t>
      </w:r>
      <w:r w:rsidR="0059001A" w:rsidRPr="000508B6">
        <w:rPr>
          <w:rFonts w:ascii="Times New Roman" w:eastAsia="Times New Roman" w:hAnsi="Times New Roman" w:cs="Times New Roman"/>
          <w:lang w:val="ro-MD"/>
        </w:rPr>
        <w:t>potrivit art. 100</w:t>
      </w:r>
      <w:r w:rsidR="007017E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certifică</w:t>
      </w:r>
      <w:r w:rsidRPr="000508B6" w:rsidDel="00174FDB">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faptul că </w:t>
      </w:r>
      <w:r w:rsidR="00D068AA"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cesionar, după preluarea portofoliului, </w:t>
      </w:r>
      <w:proofErr w:type="spellStart"/>
      <w:r w:rsidRPr="000508B6">
        <w:rPr>
          <w:rFonts w:ascii="Times New Roman" w:eastAsia="Times New Roman" w:hAnsi="Times New Roman" w:cs="Times New Roman"/>
          <w:lang w:val="ro-MD"/>
        </w:rPr>
        <w:t>deţine</w:t>
      </w:r>
      <w:proofErr w:type="spellEnd"/>
      <w:r w:rsidRPr="000508B6">
        <w:rPr>
          <w:rFonts w:ascii="Times New Roman" w:eastAsia="Times New Roman" w:hAnsi="Times New Roman" w:cs="Times New Roman"/>
          <w:lang w:val="ro-MD"/>
        </w:rPr>
        <w:t xml:space="preserve"> fonduri proprii eligibile pentru acoperirea SCR. </w:t>
      </w:r>
    </w:p>
    <w:p w14:paraId="3F4871CF" w14:textId="122308F4" w:rsidR="00F95829" w:rsidRPr="000508B6" w:rsidRDefault="00F95829" w:rsidP="00DE4225">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În cazul în care o sucursală</w:t>
      </w:r>
      <w:r w:rsidR="00BD6779" w:rsidRPr="000508B6">
        <w:rPr>
          <w:rFonts w:ascii="Times New Roman" w:hAnsi="Times New Roman" w:cs="Times New Roman"/>
          <w:lang w:val="ro-MD"/>
        </w:rPr>
        <w:t xml:space="preserve"> </w:t>
      </w:r>
      <w:r w:rsidR="00BD6779" w:rsidRPr="000508B6">
        <w:rPr>
          <w:rFonts w:ascii="Times New Roman" w:eastAsia="Times New Roman" w:hAnsi="Times New Roman" w:cs="Times New Roman"/>
          <w:lang w:val="ro-MD"/>
        </w:rPr>
        <w:t>din statul terț</w:t>
      </w:r>
      <w:r w:rsidRPr="000508B6">
        <w:rPr>
          <w:rFonts w:ascii="Times New Roman" w:eastAsia="Times New Roman" w:hAnsi="Times New Roman" w:cs="Times New Roman"/>
          <w:lang w:val="ro-MD"/>
        </w:rPr>
        <w:t xml:space="preserve"> cedează portofoliul, integral sau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w:t>
      </w:r>
      <w:r w:rsidR="004C73E3" w:rsidRPr="000508B6">
        <w:rPr>
          <w:rFonts w:ascii="Times New Roman" w:eastAsia="Times New Roman" w:hAnsi="Times New Roman" w:cs="Times New Roman"/>
          <w:lang w:val="ro-MD"/>
        </w:rPr>
        <w:t xml:space="preserve">unui </w:t>
      </w:r>
      <w:r w:rsidR="00182681" w:rsidRPr="000508B6">
        <w:rPr>
          <w:rFonts w:ascii="Times New Roman" w:eastAsia="Times New Roman" w:hAnsi="Times New Roman" w:cs="Times New Roman"/>
          <w:lang w:val="ro-MD"/>
        </w:rPr>
        <w:t>asigurător</w:t>
      </w:r>
      <w:r w:rsidRPr="000508B6">
        <w:rPr>
          <w:rFonts w:ascii="Times New Roman" w:eastAsia="Times New Roman" w:hAnsi="Times New Roman" w:cs="Times New Roman"/>
          <w:lang w:val="ro-MD"/>
        </w:rPr>
        <w:t xml:space="preserve"> stabilit în</w:t>
      </w:r>
      <w:r w:rsidR="00313F5E" w:rsidRPr="000508B6">
        <w:rPr>
          <w:rFonts w:ascii="Times New Roman" w:eastAsia="Times New Roman" w:hAnsi="Times New Roman" w:cs="Times New Roman"/>
          <w:lang w:val="ro-MD"/>
        </w:rPr>
        <w:t>tr-un</w:t>
      </w:r>
      <w:r w:rsidRPr="000508B6">
        <w:rPr>
          <w:rFonts w:ascii="Times New Roman" w:eastAsia="Times New Roman" w:hAnsi="Times New Roman" w:cs="Times New Roman"/>
          <w:lang w:val="ro-MD"/>
        </w:rPr>
        <w:t xml:space="preserve"> alt stat membru, Banca Națională a Moldovei aprobă transferul de portofoliu, </w:t>
      </w:r>
      <w:r w:rsidR="00535FC1" w:rsidRPr="000508B6">
        <w:rPr>
          <w:rFonts w:ascii="Times New Roman" w:eastAsia="Times New Roman" w:hAnsi="Times New Roman" w:cs="Times New Roman"/>
          <w:lang w:val="ro-MD"/>
        </w:rPr>
        <w:t>în cazul în care se certifică următoarele</w:t>
      </w:r>
      <w:r w:rsidRPr="000508B6">
        <w:rPr>
          <w:rFonts w:ascii="Times New Roman" w:eastAsia="Times New Roman" w:hAnsi="Times New Roman" w:cs="Times New Roman"/>
          <w:lang w:val="ro-MD"/>
        </w:rPr>
        <w:t xml:space="preserve">:  </w:t>
      </w:r>
    </w:p>
    <w:p w14:paraId="5942D5EF" w14:textId="7DD66E18" w:rsidR="00F95829" w:rsidRPr="000508B6" w:rsidRDefault="00481B90" w:rsidP="00DE4225">
      <w:pPr>
        <w:pStyle w:val="Listparagraf"/>
        <w:numPr>
          <w:ilvl w:val="2"/>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faptul că </w:t>
      </w:r>
      <w:r w:rsidR="00D068AA"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cesionar, după acceptarea portofoliului, </w:t>
      </w:r>
      <w:proofErr w:type="spellStart"/>
      <w:r w:rsidR="00F95829" w:rsidRPr="000508B6">
        <w:rPr>
          <w:rFonts w:ascii="Times New Roman" w:eastAsia="Times New Roman" w:hAnsi="Times New Roman" w:cs="Times New Roman"/>
          <w:lang w:val="ro-MD"/>
        </w:rPr>
        <w:t>deţine</w:t>
      </w:r>
      <w:proofErr w:type="spellEnd"/>
      <w:r w:rsidR="00F95829" w:rsidRPr="000508B6">
        <w:rPr>
          <w:rFonts w:ascii="Times New Roman" w:eastAsia="Times New Roman" w:hAnsi="Times New Roman" w:cs="Times New Roman"/>
          <w:lang w:val="ro-MD"/>
        </w:rPr>
        <w:t xml:space="preserve"> fonduri proprii eligibile pentru acoperirea SCR;</w:t>
      </w:r>
    </w:p>
    <w:p w14:paraId="1052902A" w14:textId="678E7D68" w:rsidR="00BB6194" w:rsidRPr="000508B6" w:rsidRDefault="00BB6194" w:rsidP="00DE4225">
      <w:pPr>
        <w:pStyle w:val="Listparagraf"/>
        <w:numPr>
          <w:ilvl w:val="2"/>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bookmarkStart w:id="120" w:name="_Hlk219967615"/>
      <w:r w:rsidRPr="000508B6">
        <w:rPr>
          <w:rFonts w:ascii="Times New Roman" w:eastAsia="Times New Roman" w:hAnsi="Times New Roman" w:cs="Times New Roman"/>
          <w:lang w:val="ro-MD"/>
        </w:rPr>
        <w:t xml:space="preserve">legislația statului membru al </w:t>
      </w:r>
      <w:r w:rsidR="004125E8" w:rsidRPr="000508B6">
        <w:rPr>
          <w:rFonts w:ascii="Times New Roman" w:eastAsia="Times New Roman" w:hAnsi="Times New Roman" w:cs="Times New Roman"/>
          <w:lang w:val="ro-MD"/>
        </w:rPr>
        <w:t xml:space="preserve">asigurătorului </w:t>
      </w:r>
      <w:r w:rsidRPr="000508B6">
        <w:rPr>
          <w:rFonts w:ascii="Times New Roman" w:eastAsia="Times New Roman" w:hAnsi="Times New Roman" w:cs="Times New Roman"/>
          <w:lang w:val="ro-MD"/>
        </w:rPr>
        <w:t>cesionar permite un astfel de transfer</w:t>
      </w:r>
      <w:bookmarkEnd w:id="120"/>
      <w:r w:rsidR="000874E5" w:rsidRPr="000508B6">
        <w:rPr>
          <w:rFonts w:ascii="Times New Roman" w:eastAsia="Times New Roman" w:hAnsi="Times New Roman" w:cs="Times New Roman"/>
          <w:lang w:val="ro-MD"/>
        </w:rPr>
        <w:t>.</w:t>
      </w:r>
    </w:p>
    <w:p w14:paraId="14313C22" w14:textId="3CB8DD4E" w:rsidR="00F95829" w:rsidRPr="000508B6" w:rsidRDefault="00F95829" w:rsidP="00DE4225">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394D69" w:rsidRPr="000508B6">
        <w:rPr>
          <w:rFonts w:ascii="Times New Roman" w:eastAsia="Times New Roman" w:hAnsi="Times New Roman" w:cs="Times New Roman"/>
          <w:lang w:val="ro-MD"/>
        </w:rPr>
        <w:t xml:space="preserve">o </w:t>
      </w:r>
      <w:r w:rsidRPr="000508B6">
        <w:rPr>
          <w:rFonts w:ascii="Times New Roman" w:eastAsia="Times New Roman" w:hAnsi="Times New Roman" w:cs="Times New Roman"/>
          <w:lang w:val="ro-MD"/>
        </w:rPr>
        <w:t xml:space="preserve">sucursala </w:t>
      </w:r>
      <w:r w:rsidR="00394D69" w:rsidRPr="000508B6">
        <w:rPr>
          <w:rFonts w:ascii="Times New Roman" w:eastAsia="Times New Roman" w:hAnsi="Times New Roman" w:cs="Times New Roman"/>
          <w:lang w:val="ro-MD"/>
        </w:rPr>
        <w:t xml:space="preserve">din statul terț cedează portofoliul, integral sau </w:t>
      </w:r>
      <w:proofErr w:type="spellStart"/>
      <w:r w:rsidR="00394D69"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w:t>
      </w:r>
      <w:r w:rsidRPr="000508B6" w:rsidDel="00394D69">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unei sucursale</w:t>
      </w:r>
      <w:r w:rsidR="00BD6779" w:rsidRPr="000508B6">
        <w:rPr>
          <w:rFonts w:ascii="Times New Roman" w:hAnsi="Times New Roman" w:cs="Times New Roman"/>
          <w:lang w:val="ro-MD"/>
        </w:rPr>
        <w:t xml:space="preserve"> </w:t>
      </w:r>
      <w:r w:rsidR="00BD6779" w:rsidRPr="000508B6">
        <w:rPr>
          <w:rFonts w:ascii="Times New Roman" w:eastAsia="Times New Roman" w:hAnsi="Times New Roman" w:cs="Times New Roman"/>
          <w:lang w:val="ro-MD"/>
        </w:rPr>
        <w:t>din statul terț</w:t>
      </w:r>
      <w:r w:rsidRPr="000508B6">
        <w:rPr>
          <w:rFonts w:ascii="Times New Roman" w:eastAsia="Times New Roman" w:hAnsi="Times New Roman" w:cs="Times New Roman"/>
          <w:lang w:val="ro-MD"/>
        </w:rPr>
        <w:t xml:space="preserve"> stabilite în alt stat membru, Banca Națională a Moldovei</w:t>
      </w:r>
      <w:r w:rsidR="00BE28DC" w:rsidRPr="000508B6">
        <w:rPr>
          <w:rFonts w:ascii="Times New Roman" w:eastAsia="Times New Roman" w:hAnsi="Times New Roman" w:cs="Times New Roman"/>
          <w:lang w:val="ro-MD"/>
        </w:rPr>
        <w:t xml:space="preserve"> </w:t>
      </w:r>
      <w:r w:rsidR="007C6CB3" w:rsidRPr="000508B6">
        <w:rPr>
          <w:rFonts w:ascii="Times New Roman" w:eastAsia="Times New Roman" w:hAnsi="Times New Roman" w:cs="Times New Roman"/>
          <w:lang w:val="ro-MD"/>
        </w:rPr>
        <w:t>certifică</w:t>
      </w:r>
      <w:r w:rsidR="00D505AB" w:rsidRPr="000508B6">
        <w:rPr>
          <w:rFonts w:ascii="Times New Roman" w:eastAsia="Times New Roman" w:hAnsi="Times New Roman" w:cs="Times New Roman"/>
          <w:lang w:val="ro-MD"/>
        </w:rPr>
        <w:t xml:space="preserve"> transferul de portofoliu numai dacă supraveghetorul din statul membru al sucursalei cesionar</w:t>
      </w:r>
      <w:r w:rsidR="00394D69" w:rsidRPr="000508B6">
        <w:rPr>
          <w:rFonts w:ascii="Times New Roman" w:eastAsia="Times New Roman" w:hAnsi="Times New Roman" w:cs="Times New Roman"/>
          <w:lang w:val="ro-MD"/>
        </w:rPr>
        <w:t>e</w:t>
      </w:r>
      <w:r w:rsidR="00D505AB" w:rsidRPr="000508B6">
        <w:rPr>
          <w:rFonts w:ascii="Times New Roman" w:eastAsia="Times New Roman" w:hAnsi="Times New Roman" w:cs="Times New Roman"/>
          <w:lang w:val="ro-MD"/>
        </w:rPr>
        <w:t xml:space="preserve"> sau supraveghetorul din statul membru </w:t>
      </w:r>
      <w:r w:rsidR="00394D69" w:rsidRPr="000508B6">
        <w:rPr>
          <w:rFonts w:ascii="Times New Roman" w:eastAsia="Times New Roman" w:hAnsi="Times New Roman" w:cs="Times New Roman"/>
          <w:lang w:val="ro-MD"/>
        </w:rPr>
        <w:t>desemnat</w:t>
      </w:r>
      <w:r w:rsidR="002D38B8" w:rsidRPr="000508B6">
        <w:rPr>
          <w:rFonts w:ascii="Times New Roman" w:eastAsia="Times New Roman" w:hAnsi="Times New Roman" w:cs="Times New Roman"/>
          <w:lang w:val="ro-MD"/>
        </w:rPr>
        <w:t xml:space="preserve"> supraveghetor responsabil</w:t>
      </w:r>
      <w:r w:rsidR="00394D69" w:rsidRPr="000508B6">
        <w:rPr>
          <w:rFonts w:ascii="Times New Roman" w:eastAsia="Times New Roman" w:hAnsi="Times New Roman" w:cs="Times New Roman"/>
          <w:lang w:val="ro-MD"/>
        </w:rPr>
        <w:t xml:space="preserve"> potrivit </w:t>
      </w:r>
      <w:r w:rsidR="00D505AB" w:rsidRPr="000508B6">
        <w:rPr>
          <w:rFonts w:ascii="Times New Roman" w:eastAsia="Times New Roman" w:hAnsi="Times New Roman" w:cs="Times New Roman"/>
          <w:lang w:val="ro-MD"/>
        </w:rPr>
        <w:t>la art. 100 certifică</w:t>
      </w:r>
      <w:r w:rsidRPr="000508B6">
        <w:rPr>
          <w:rFonts w:ascii="Times New Roman" w:eastAsia="Times New Roman" w:hAnsi="Times New Roman" w:cs="Times New Roman"/>
          <w:lang w:val="ro-MD"/>
        </w:rPr>
        <w:t xml:space="preserve"> </w:t>
      </w:r>
      <w:r w:rsidR="004C73E3" w:rsidRPr="000508B6">
        <w:rPr>
          <w:rFonts w:ascii="Times New Roman" w:eastAsia="Times New Roman" w:hAnsi="Times New Roman" w:cs="Times New Roman"/>
          <w:lang w:val="ro-MD"/>
        </w:rPr>
        <w:t>următoarele</w:t>
      </w:r>
      <w:r w:rsidRPr="000508B6">
        <w:rPr>
          <w:rFonts w:ascii="Times New Roman" w:eastAsia="Times New Roman" w:hAnsi="Times New Roman" w:cs="Times New Roman"/>
          <w:lang w:val="ro-MD"/>
        </w:rPr>
        <w:t>:</w:t>
      </w:r>
    </w:p>
    <w:p w14:paraId="0D298CA6" w14:textId="7DAD66D0" w:rsidR="00F95829" w:rsidRPr="000508B6" w:rsidRDefault="001B109D" w:rsidP="00DE4225">
      <w:pPr>
        <w:pStyle w:val="Listparagraf"/>
        <w:numPr>
          <w:ilvl w:val="0"/>
          <w:numId w:val="199"/>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faptul că</w:t>
      </w:r>
      <w:r w:rsidR="00D068AA" w:rsidRPr="000508B6" w:rsidDel="00394D69">
        <w:rPr>
          <w:rFonts w:ascii="Times New Roman" w:eastAsia="Times New Roman" w:hAnsi="Times New Roman" w:cs="Times New Roman"/>
          <w:lang w:val="ro-MD"/>
        </w:rPr>
        <w:t xml:space="preserve"> </w:t>
      </w:r>
      <w:r w:rsidR="00394D69" w:rsidRPr="000508B6">
        <w:rPr>
          <w:rFonts w:ascii="Times New Roman" w:eastAsia="Times New Roman" w:hAnsi="Times New Roman" w:cs="Times New Roman"/>
          <w:lang w:val="ro-MD"/>
        </w:rPr>
        <w:t xml:space="preserve">sucursala </w:t>
      </w:r>
      <w:r w:rsidR="00F95829" w:rsidRPr="000508B6">
        <w:rPr>
          <w:rFonts w:ascii="Times New Roman" w:eastAsia="Times New Roman" w:hAnsi="Times New Roman" w:cs="Times New Roman"/>
          <w:lang w:val="ro-MD"/>
        </w:rPr>
        <w:t>cesionar</w:t>
      </w:r>
      <w:r w:rsidR="00394D69"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după acceptarea portofoliului, </w:t>
      </w:r>
      <w:proofErr w:type="spellStart"/>
      <w:r w:rsidR="00F95829" w:rsidRPr="000508B6">
        <w:rPr>
          <w:rFonts w:ascii="Times New Roman" w:eastAsia="Times New Roman" w:hAnsi="Times New Roman" w:cs="Times New Roman"/>
          <w:lang w:val="ro-MD"/>
        </w:rPr>
        <w:t>deţine</w:t>
      </w:r>
      <w:proofErr w:type="spellEnd"/>
      <w:r w:rsidR="00F95829" w:rsidRPr="000508B6">
        <w:rPr>
          <w:rFonts w:ascii="Times New Roman" w:eastAsia="Times New Roman" w:hAnsi="Times New Roman" w:cs="Times New Roman"/>
          <w:lang w:val="ro-MD"/>
        </w:rPr>
        <w:t xml:space="preserve"> sau nu </w:t>
      </w:r>
      <w:proofErr w:type="spellStart"/>
      <w:r w:rsidR="00F95829" w:rsidRPr="000508B6">
        <w:rPr>
          <w:rFonts w:ascii="Times New Roman" w:eastAsia="Times New Roman" w:hAnsi="Times New Roman" w:cs="Times New Roman"/>
          <w:lang w:val="ro-MD"/>
        </w:rPr>
        <w:t>deţine</w:t>
      </w:r>
      <w:proofErr w:type="spellEnd"/>
      <w:r w:rsidR="00F95829" w:rsidRPr="000508B6">
        <w:rPr>
          <w:rFonts w:ascii="Times New Roman" w:eastAsia="Times New Roman" w:hAnsi="Times New Roman" w:cs="Times New Roman"/>
          <w:lang w:val="ro-MD"/>
        </w:rPr>
        <w:t xml:space="preserve"> fonduri proprii eligibile pentru acoperirea SCR;</w:t>
      </w:r>
    </w:p>
    <w:p w14:paraId="2CB16053" w14:textId="01D413F8" w:rsidR="00F3645A" w:rsidRPr="000508B6" w:rsidRDefault="00F3645A" w:rsidP="00DE4225">
      <w:pPr>
        <w:pStyle w:val="Listparagraf"/>
        <w:numPr>
          <w:ilvl w:val="0"/>
          <w:numId w:val="199"/>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legislația statului membru al sucursalei cesionare permite un astfel de transfer</w:t>
      </w:r>
      <w:r w:rsidR="004C73E3" w:rsidRPr="000508B6">
        <w:rPr>
          <w:rFonts w:ascii="Times New Roman" w:eastAsia="Times New Roman" w:hAnsi="Times New Roman" w:cs="Times New Roman"/>
          <w:lang w:val="ro-MD"/>
        </w:rPr>
        <w:t>;</w:t>
      </w:r>
    </w:p>
    <w:p w14:paraId="00760AA7" w14:textId="651B3E66" w:rsidR="00F95829" w:rsidRPr="000508B6" w:rsidRDefault="00E1211C" w:rsidP="00DE4225">
      <w:pPr>
        <w:pStyle w:val="Listparagraf"/>
        <w:numPr>
          <w:ilvl w:val="0"/>
          <w:numId w:val="199"/>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acord</w:t>
      </w:r>
      <w:r w:rsidR="001B109D" w:rsidRPr="000508B6">
        <w:rPr>
          <w:rFonts w:ascii="Times New Roman" w:eastAsia="Times New Roman" w:hAnsi="Times New Roman" w:cs="Times New Roman"/>
          <w:lang w:val="ro-MD"/>
        </w:rPr>
        <w:t>ul</w:t>
      </w:r>
      <w:r w:rsidRPr="000508B6">
        <w:rPr>
          <w:rFonts w:ascii="Times New Roman" w:eastAsia="Times New Roman" w:hAnsi="Times New Roman" w:cs="Times New Roman"/>
          <w:lang w:val="ro-MD"/>
        </w:rPr>
        <w:t xml:space="preserve"> sau </w:t>
      </w:r>
      <w:r w:rsidR="001B109D" w:rsidRPr="000508B6">
        <w:rPr>
          <w:rFonts w:ascii="Times New Roman" w:eastAsia="Times New Roman" w:hAnsi="Times New Roman" w:cs="Times New Roman"/>
          <w:lang w:val="ro-MD"/>
        </w:rPr>
        <w:t>dezacordul</w:t>
      </w:r>
      <w:r w:rsidRPr="000508B6">
        <w:rPr>
          <w:rFonts w:ascii="Times New Roman" w:eastAsia="Times New Roman" w:hAnsi="Times New Roman" w:cs="Times New Roman"/>
          <w:lang w:val="ro-MD"/>
        </w:rPr>
        <w:t xml:space="preserve"> </w:t>
      </w:r>
      <w:r w:rsidR="001B109D" w:rsidRPr="000508B6">
        <w:rPr>
          <w:rFonts w:ascii="Times New Roman" w:eastAsia="Times New Roman" w:hAnsi="Times New Roman" w:cs="Times New Roman"/>
          <w:lang w:val="ro-MD"/>
        </w:rPr>
        <w:t>în legătură</w:t>
      </w:r>
      <w:r w:rsidRPr="000508B6">
        <w:rPr>
          <w:rFonts w:ascii="Times New Roman" w:eastAsia="Times New Roman" w:hAnsi="Times New Roman" w:cs="Times New Roman"/>
          <w:lang w:val="ro-MD"/>
        </w:rPr>
        <w:t xml:space="preserve"> cu transferul de portofoliu respectiv.</w:t>
      </w:r>
      <w:r w:rsidR="00893453" w:rsidRPr="000508B6">
        <w:rPr>
          <w:rFonts w:ascii="Times New Roman" w:eastAsia="Times New Roman" w:hAnsi="Times New Roman" w:cs="Times New Roman"/>
          <w:lang w:val="ro-MD"/>
        </w:rPr>
        <w:t xml:space="preserve">  </w:t>
      </w:r>
    </w:p>
    <w:p w14:paraId="4B835E2B" w14:textId="633B43C0" w:rsidR="00F95829" w:rsidRPr="000508B6" w:rsidRDefault="00F95829" w:rsidP="00DE4225">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cazu</w:t>
      </w:r>
      <w:r w:rsidR="00BE18C9" w:rsidRPr="000508B6">
        <w:rPr>
          <w:rFonts w:ascii="Times New Roman" w:eastAsia="Times New Roman" w:hAnsi="Times New Roman" w:cs="Times New Roman"/>
          <w:lang w:val="ro-MD"/>
        </w:rPr>
        <w:t xml:space="preserve">rile menționate la alin. </w:t>
      </w:r>
      <w:r w:rsidRPr="000508B6">
        <w:rPr>
          <w:rFonts w:ascii="Times New Roman" w:eastAsia="Times New Roman" w:hAnsi="Times New Roman" w:cs="Times New Roman"/>
          <w:lang w:val="ro-MD"/>
        </w:rPr>
        <w:t>(1)</w:t>
      </w:r>
      <w:r w:rsidR="00A638BE" w:rsidRPr="000508B6" w:rsidDel="00CD02EF">
        <w:rPr>
          <w:rFonts w:ascii="Times New Roman" w:eastAsia="Times New Roman" w:hAnsi="Times New Roman" w:cs="Times New Roman"/>
          <w:lang w:val="ro-MD"/>
        </w:rPr>
        <w:t xml:space="preserve"> </w:t>
      </w:r>
      <w:r w:rsidR="00CD02EF" w:rsidRPr="000508B6">
        <w:rPr>
          <w:rFonts w:ascii="Times New Roman" w:eastAsia="Times New Roman" w:hAnsi="Times New Roman" w:cs="Times New Roman"/>
          <w:lang w:val="ro-MD"/>
        </w:rPr>
        <w:t>-</w:t>
      </w:r>
      <w:r w:rsidR="00A638BE"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w:t>
      </w:r>
      <w:r w:rsidR="00BE18C9" w:rsidRPr="000508B6">
        <w:rPr>
          <w:rFonts w:ascii="Times New Roman" w:eastAsia="Times New Roman" w:hAnsi="Times New Roman" w:cs="Times New Roman"/>
          <w:lang w:val="ro-MD"/>
        </w:rPr>
        <w:t>Banca Națională a Moldovei aprobă transferul de portofoliu</w:t>
      </w:r>
      <w:r w:rsidRPr="000508B6">
        <w:rPr>
          <w:rFonts w:ascii="Times New Roman" w:eastAsia="Times New Roman" w:hAnsi="Times New Roman" w:cs="Times New Roman"/>
          <w:lang w:val="ro-MD"/>
        </w:rPr>
        <w:t xml:space="preserve"> după ce </w:t>
      </w:r>
      <w:proofErr w:type="spellStart"/>
      <w:r w:rsidRPr="000508B6">
        <w:rPr>
          <w:rFonts w:ascii="Times New Roman" w:eastAsia="Times New Roman" w:hAnsi="Times New Roman" w:cs="Times New Roman"/>
          <w:lang w:val="ro-MD"/>
        </w:rPr>
        <w:t>obţine</w:t>
      </w:r>
      <w:proofErr w:type="spellEnd"/>
      <w:r w:rsidRPr="000508B6">
        <w:rPr>
          <w:rFonts w:ascii="Times New Roman" w:eastAsia="Times New Roman" w:hAnsi="Times New Roman" w:cs="Times New Roman"/>
          <w:lang w:val="ro-MD"/>
        </w:rPr>
        <w:t xml:space="preserve"> acordul supraveghetorului din statul membru în care este situat riscul sau din statul membru al angajamentului. </w:t>
      </w:r>
    </w:p>
    <w:p w14:paraId="09C065A0" w14:textId="07C59A07" w:rsidR="00F95829" w:rsidRPr="000508B6" w:rsidRDefault="00174FDB" w:rsidP="0032693F">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Banca Națională a Moldovei aprobă</w:t>
      </w:r>
      <w:r w:rsidR="00D606D3" w:rsidRPr="000508B6">
        <w:rPr>
          <w:rFonts w:ascii="Times New Roman" w:eastAsia="Times New Roman" w:hAnsi="Times New Roman" w:cs="Times New Roman"/>
          <w:lang w:val="ro-MD"/>
        </w:rPr>
        <w:t xml:space="preserve"> sau certifică</w:t>
      </w:r>
      <w:r w:rsidRPr="000508B6">
        <w:rPr>
          <w:rFonts w:ascii="Times New Roman" w:eastAsia="Times New Roman" w:hAnsi="Times New Roman" w:cs="Times New Roman"/>
          <w:lang w:val="ro-MD"/>
        </w:rPr>
        <w:t xml:space="preserve"> transferul de portofoliu în termen de 3 luni de la data </w:t>
      </w:r>
      <w:r w:rsidR="00D606D3" w:rsidRPr="000508B6">
        <w:rPr>
          <w:rFonts w:ascii="Times New Roman" w:eastAsia="Times New Roman" w:hAnsi="Times New Roman" w:cs="Times New Roman"/>
          <w:lang w:val="ro-MD"/>
        </w:rPr>
        <w:t xml:space="preserve">transmiterii sau primirii </w:t>
      </w:r>
      <w:r w:rsidRPr="000508B6">
        <w:rPr>
          <w:rFonts w:ascii="Times New Roman" w:eastAsia="Times New Roman" w:hAnsi="Times New Roman" w:cs="Times New Roman"/>
          <w:lang w:val="ro-MD"/>
        </w:rPr>
        <w:t>solicităr</w:t>
      </w:r>
      <w:r w:rsidR="004C73E3" w:rsidRPr="000508B6">
        <w:rPr>
          <w:rFonts w:ascii="Times New Roman" w:eastAsia="Times New Roman" w:hAnsi="Times New Roman" w:cs="Times New Roman"/>
          <w:lang w:val="ro-MD"/>
        </w:rPr>
        <w:t>ii</w:t>
      </w:r>
      <w:r w:rsidRPr="000508B6">
        <w:rPr>
          <w:rFonts w:ascii="Times New Roman" w:eastAsia="Times New Roman" w:hAnsi="Times New Roman" w:cs="Times New Roman"/>
          <w:lang w:val="ro-MD"/>
        </w:rPr>
        <w:t xml:space="preserve"> </w:t>
      </w:r>
      <w:r w:rsidR="00D606D3" w:rsidRPr="000508B6">
        <w:rPr>
          <w:rFonts w:ascii="Times New Roman" w:eastAsia="Times New Roman" w:hAnsi="Times New Roman" w:cs="Times New Roman"/>
          <w:lang w:val="ro-MD"/>
        </w:rPr>
        <w:t xml:space="preserve">de </w:t>
      </w:r>
      <w:r w:rsidRPr="000508B6">
        <w:rPr>
          <w:rFonts w:ascii="Times New Roman" w:eastAsia="Times New Roman" w:hAnsi="Times New Roman" w:cs="Times New Roman"/>
          <w:lang w:val="ro-MD"/>
        </w:rPr>
        <w:t>informații prevăzute de prez</w:t>
      </w:r>
      <w:r w:rsidR="004C73E3"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ntul articol de la </w:t>
      </w:r>
      <w:proofErr w:type="spellStart"/>
      <w:r w:rsidRPr="000508B6">
        <w:rPr>
          <w:rFonts w:ascii="Times New Roman" w:eastAsia="Times New Roman" w:hAnsi="Times New Roman" w:cs="Times New Roman"/>
          <w:lang w:val="ro-MD"/>
        </w:rPr>
        <w:t>suparveghetorii</w:t>
      </w:r>
      <w:proofErr w:type="spellEnd"/>
      <w:r w:rsidRPr="000508B6">
        <w:rPr>
          <w:rFonts w:ascii="Times New Roman" w:eastAsia="Times New Roman" w:hAnsi="Times New Roman" w:cs="Times New Roman"/>
          <w:lang w:val="ro-MD"/>
        </w:rPr>
        <w:t xml:space="preserve"> din state membre. L</w:t>
      </w:r>
      <w:r w:rsidR="00F95829" w:rsidRPr="000508B6">
        <w:rPr>
          <w:rFonts w:ascii="Times New Roman" w:eastAsia="Times New Roman" w:hAnsi="Times New Roman" w:cs="Times New Roman"/>
          <w:lang w:val="ro-MD"/>
        </w:rPr>
        <w:t>ipsa unui răspuns</w:t>
      </w:r>
      <w:r w:rsidRPr="000508B6">
        <w:rPr>
          <w:rFonts w:ascii="Times New Roman" w:eastAsia="Times New Roman" w:hAnsi="Times New Roman" w:cs="Times New Roman"/>
          <w:lang w:val="ro-MD"/>
        </w:rPr>
        <w:t xml:space="preserve"> în termen de 3 luni</w:t>
      </w:r>
      <w:r w:rsidR="00F95829" w:rsidRPr="000508B6">
        <w:rPr>
          <w:rFonts w:ascii="Times New Roman" w:eastAsia="Times New Roman" w:hAnsi="Times New Roman" w:cs="Times New Roman"/>
          <w:lang w:val="ro-MD"/>
        </w:rPr>
        <w:t xml:space="preserve"> echival</w:t>
      </w:r>
      <w:r w:rsidRPr="000508B6">
        <w:rPr>
          <w:rFonts w:ascii="Times New Roman" w:eastAsia="Times New Roman" w:hAnsi="Times New Roman" w:cs="Times New Roman"/>
          <w:lang w:val="ro-MD"/>
        </w:rPr>
        <w:t>ează</w:t>
      </w:r>
      <w:r w:rsidR="00F95829" w:rsidRPr="000508B6">
        <w:rPr>
          <w:rFonts w:ascii="Times New Roman" w:eastAsia="Times New Roman" w:hAnsi="Times New Roman" w:cs="Times New Roman"/>
          <w:lang w:val="ro-MD"/>
        </w:rPr>
        <w:t xml:space="preserve"> cu acordul tacit. </w:t>
      </w:r>
    </w:p>
    <w:p w14:paraId="35076D70" w14:textId="42B2BCBC" w:rsidR="00F95829" w:rsidRPr="000508B6" w:rsidRDefault="000B5AC0" w:rsidP="00DA11F7">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I</w:t>
      </w:r>
      <w:r w:rsidR="00924A68" w:rsidRPr="000508B6">
        <w:rPr>
          <w:rFonts w:ascii="Times New Roman" w:eastAsia="Times New Roman" w:hAnsi="Times New Roman" w:cs="Times New Roman"/>
          <w:lang w:val="ro-MD"/>
        </w:rPr>
        <w:t xml:space="preserve">nformația </w:t>
      </w:r>
      <w:r w:rsidR="00D606D3" w:rsidRPr="000508B6">
        <w:rPr>
          <w:rFonts w:ascii="Times New Roman" w:eastAsia="Times New Roman" w:hAnsi="Times New Roman" w:cs="Times New Roman"/>
          <w:lang w:val="ro-MD"/>
        </w:rPr>
        <w:t xml:space="preserve">cu referire la </w:t>
      </w:r>
      <w:r w:rsidR="00924A68" w:rsidRPr="000508B6">
        <w:rPr>
          <w:rFonts w:ascii="Times New Roman" w:eastAsia="Times New Roman" w:hAnsi="Times New Roman" w:cs="Times New Roman"/>
          <w:lang w:val="ro-MD"/>
        </w:rPr>
        <w:t xml:space="preserve">decizia </w:t>
      </w:r>
      <w:r w:rsidR="00BF4AC0" w:rsidRPr="000508B6">
        <w:rPr>
          <w:rFonts w:ascii="Times New Roman" w:eastAsia="Times New Roman" w:hAnsi="Times New Roman" w:cs="Times New Roman"/>
          <w:lang w:val="ro-MD"/>
        </w:rPr>
        <w:t>privind</w:t>
      </w:r>
      <w:r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transferul de portofoliu, aprobat în </w:t>
      </w:r>
      <w:proofErr w:type="spellStart"/>
      <w:r w:rsidR="00F95829" w:rsidRPr="000508B6">
        <w:rPr>
          <w:rFonts w:ascii="Times New Roman" w:eastAsia="Times New Roman" w:hAnsi="Times New Roman" w:cs="Times New Roman"/>
          <w:lang w:val="ro-MD"/>
        </w:rPr>
        <w:t>condiţiile</w:t>
      </w:r>
      <w:proofErr w:type="spellEnd"/>
      <w:r w:rsidR="00F95829" w:rsidRPr="000508B6">
        <w:rPr>
          <w:rFonts w:ascii="Times New Roman" w:eastAsia="Times New Roman" w:hAnsi="Times New Roman" w:cs="Times New Roman"/>
          <w:lang w:val="ro-MD"/>
        </w:rPr>
        <w:t xml:space="preserve"> prezentul</w:t>
      </w:r>
      <w:r w:rsidRPr="000508B6">
        <w:rPr>
          <w:rFonts w:ascii="Times New Roman" w:eastAsia="Times New Roman" w:hAnsi="Times New Roman" w:cs="Times New Roman"/>
          <w:lang w:val="ro-MD"/>
        </w:rPr>
        <w:t>ui</w:t>
      </w:r>
      <w:r w:rsidR="00F95829" w:rsidRPr="000508B6">
        <w:rPr>
          <w:rFonts w:ascii="Times New Roman" w:eastAsia="Times New Roman" w:hAnsi="Times New Roman" w:cs="Times New Roman"/>
          <w:lang w:val="ro-MD"/>
        </w:rPr>
        <w:t xml:space="preserve"> articol, se publică </w:t>
      </w:r>
      <w:r w:rsidR="007C7A40" w:rsidRPr="000508B6">
        <w:rPr>
          <w:rFonts w:ascii="Times New Roman" w:eastAsia="Times New Roman" w:hAnsi="Times New Roman" w:cs="Times New Roman"/>
          <w:lang w:val="ro-MD"/>
        </w:rPr>
        <w:t>potrivit Legii nr. 548/1995</w:t>
      </w:r>
      <w:r w:rsidR="00F95829" w:rsidRPr="000508B6">
        <w:rPr>
          <w:rFonts w:ascii="Times New Roman" w:eastAsia="Times New Roman" w:hAnsi="Times New Roman" w:cs="Times New Roman"/>
          <w:lang w:val="ro-MD"/>
        </w:rPr>
        <w:t xml:space="preserve"> </w:t>
      </w:r>
      <w:r w:rsidR="00F205DD" w:rsidRPr="000508B6">
        <w:rPr>
          <w:rFonts w:ascii="Times New Roman" w:eastAsia="Times New Roman" w:hAnsi="Times New Roman" w:cs="Times New Roman"/>
          <w:lang w:val="ro-MD"/>
        </w:rPr>
        <w:t xml:space="preserve">cu privire la Banca Națională a Moldovei (în continuare – Legea nr. 548/1995). </w:t>
      </w:r>
    </w:p>
    <w:p w14:paraId="78FE3202" w14:textId="5DFF48FE" w:rsidR="00F95829" w:rsidRPr="000508B6" w:rsidRDefault="00F95829" w:rsidP="00DA11F7">
      <w:pPr>
        <w:pStyle w:val="Listparagraf"/>
        <w:numPr>
          <w:ilvl w:val="1"/>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Transferul de portofoliu aprobat conform prezentului articol este notificat de </w:t>
      </w:r>
      <w:r w:rsidR="004125E8"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cesionar </w:t>
      </w:r>
      <w:r w:rsidR="000316FD" w:rsidRPr="000508B6">
        <w:rPr>
          <w:rFonts w:ascii="Times New Roman" w:eastAsia="Times New Roman" w:hAnsi="Times New Roman" w:cs="Times New Roman"/>
          <w:lang w:val="ro-MD"/>
        </w:rPr>
        <w:t xml:space="preserve">asiguraților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altor persoane care au drepturi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obligaţii</w:t>
      </w:r>
      <w:proofErr w:type="spellEnd"/>
      <w:r w:rsidRPr="000508B6">
        <w:rPr>
          <w:rFonts w:ascii="Times New Roman" w:eastAsia="Times New Roman" w:hAnsi="Times New Roman" w:cs="Times New Roman"/>
          <w:lang w:val="ro-MD"/>
        </w:rPr>
        <w:t xml:space="preserve"> din contractele transferate în termenul stabilit prin decizia de aprobare a transferului de portofoliu, </w:t>
      </w:r>
      <w:r w:rsidR="000316FD" w:rsidRPr="000508B6">
        <w:rPr>
          <w:rFonts w:ascii="Times New Roman" w:eastAsia="Times New Roman" w:hAnsi="Times New Roman" w:cs="Times New Roman"/>
          <w:lang w:val="ro-MD"/>
        </w:rPr>
        <w:t xml:space="preserve">asigurații </w:t>
      </w:r>
      <w:r w:rsidRPr="000508B6">
        <w:rPr>
          <w:rFonts w:ascii="Times New Roman" w:eastAsia="Times New Roman" w:hAnsi="Times New Roman" w:cs="Times New Roman"/>
          <w:lang w:val="ro-MD"/>
        </w:rPr>
        <w:t xml:space="preserve">având dreptul să </w:t>
      </w:r>
      <w:proofErr w:type="spellStart"/>
      <w:r w:rsidRPr="000508B6">
        <w:rPr>
          <w:rFonts w:ascii="Times New Roman" w:eastAsia="Times New Roman" w:hAnsi="Times New Roman" w:cs="Times New Roman"/>
          <w:lang w:val="ro-MD"/>
        </w:rPr>
        <w:t>denunţe</w:t>
      </w:r>
      <w:proofErr w:type="spellEnd"/>
      <w:r w:rsidRPr="000508B6">
        <w:rPr>
          <w:rFonts w:ascii="Times New Roman" w:eastAsia="Times New Roman" w:hAnsi="Times New Roman" w:cs="Times New Roman"/>
          <w:lang w:val="ro-MD"/>
        </w:rPr>
        <w:t xml:space="preserve"> contractele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să solicite restituirea primelor plătite în avans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aferente perioadei neexpirate de valabilitate.</w:t>
      </w:r>
      <w:r w:rsidR="002D72FB" w:rsidRPr="000508B6">
        <w:rPr>
          <w:rFonts w:ascii="Times New Roman" w:eastAsia="Times New Roman" w:hAnsi="Times New Roman" w:cs="Times New Roman"/>
          <w:lang w:val="ro-MD"/>
        </w:rPr>
        <w:t xml:space="preserve"> </w:t>
      </w:r>
    </w:p>
    <w:p w14:paraId="4AD16C24" w14:textId="77777777"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p>
    <w:p w14:paraId="5F2E6CD4" w14:textId="32FCB305"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5F512C" w:rsidRPr="000508B6">
        <w:rPr>
          <w:rFonts w:ascii="Times New Roman" w:eastAsia="Times New Roman" w:hAnsi="Times New Roman" w:cs="Times New Roman"/>
          <w:b/>
          <w:lang w:val="ro-MD"/>
        </w:rPr>
        <w:t>99</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Rezerve tehnice și cerința de capital  </w:t>
      </w:r>
    </w:p>
    <w:p w14:paraId="1311F35C" w14:textId="25A02A2B" w:rsidR="00F95829" w:rsidRPr="000508B6" w:rsidRDefault="00F95829" w:rsidP="00DA11F7">
      <w:pPr>
        <w:pStyle w:val="Listparagraf"/>
        <w:numPr>
          <w:ilvl w:val="1"/>
          <w:numId w:val="2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Sucursala </w:t>
      </w:r>
      <w:r w:rsidR="004125E8" w:rsidRPr="000508B6">
        <w:rPr>
          <w:rFonts w:ascii="Times New Roman" w:hAnsi="Times New Roman" w:cs="Times New Roman"/>
          <w:lang w:val="ro-MD"/>
        </w:rPr>
        <w:t>asigurătorului</w:t>
      </w:r>
      <w:r w:rsidR="00780554" w:rsidRPr="000508B6">
        <w:rPr>
          <w:rFonts w:ascii="Times New Roman" w:hAnsi="Times New Roman" w:cs="Times New Roman"/>
          <w:lang w:val="ro-MD"/>
        </w:rPr>
        <w:t xml:space="preserve"> dintr-un stat terț </w:t>
      </w:r>
      <w:r w:rsidRPr="000508B6">
        <w:rPr>
          <w:rFonts w:ascii="Times New Roman" w:hAnsi="Times New Roman" w:cs="Times New Roman"/>
          <w:lang w:val="ro-MD"/>
        </w:rPr>
        <w:t xml:space="preserve">are </w:t>
      </w:r>
      <w:proofErr w:type="spellStart"/>
      <w:r w:rsidRPr="000508B6">
        <w:rPr>
          <w:rFonts w:ascii="Times New Roman" w:hAnsi="Times New Roman" w:cs="Times New Roman"/>
          <w:lang w:val="ro-MD"/>
        </w:rPr>
        <w:t>obligaţia</w:t>
      </w:r>
      <w:proofErr w:type="spellEnd"/>
      <w:r w:rsidRPr="000508B6">
        <w:rPr>
          <w:rFonts w:ascii="Times New Roman" w:hAnsi="Times New Roman" w:cs="Times New Roman"/>
          <w:lang w:val="ro-MD"/>
        </w:rPr>
        <w:t xml:space="preserve"> de a respecta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prevederilor </w:t>
      </w:r>
      <w:r w:rsidR="00F06D53" w:rsidRPr="000508B6">
        <w:rPr>
          <w:rFonts w:ascii="Times New Roman" w:hAnsi="Times New Roman" w:cs="Times New Roman"/>
          <w:lang w:val="ro-MD"/>
        </w:rPr>
        <w:t>art. 41-89</w:t>
      </w:r>
      <w:r w:rsidRPr="000508B6">
        <w:rPr>
          <w:rFonts w:ascii="Times New Roman" w:hAnsi="Times New Roman" w:cs="Times New Roman"/>
          <w:lang w:val="ro-MD"/>
        </w:rPr>
        <w:t xml:space="preserve">. </w:t>
      </w:r>
    </w:p>
    <w:p w14:paraId="32B1CAF1" w14:textId="0C7E6AB2" w:rsidR="00F95829" w:rsidRPr="000508B6" w:rsidRDefault="00F95829" w:rsidP="00DA11F7">
      <w:pPr>
        <w:pStyle w:val="Listparagraf"/>
        <w:numPr>
          <w:ilvl w:val="1"/>
          <w:numId w:val="2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calcularea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MCR, </w:t>
      </w:r>
      <w:r w:rsidR="00F353F5" w:rsidRPr="000508B6">
        <w:rPr>
          <w:rFonts w:ascii="Times New Roman" w:hAnsi="Times New Roman" w:cs="Times New Roman"/>
          <w:lang w:val="ro-MD"/>
        </w:rPr>
        <w:t xml:space="preserve">sucursala </w:t>
      </w:r>
      <w:r w:rsidRPr="000508B6">
        <w:rPr>
          <w:rFonts w:ascii="Times New Roman" w:hAnsi="Times New Roman" w:cs="Times New Roman"/>
          <w:lang w:val="ro-MD"/>
        </w:rPr>
        <w:t xml:space="preserve">ia în considerare numai activitatea </w:t>
      </w:r>
      <w:proofErr w:type="spellStart"/>
      <w:r w:rsidRPr="000508B6">
        <w:rPr>
          <w:rFonts w:ascii="Times New Roman" w:hAnsi="Times New Roman" w:cs="Times New Roman"/>
          <w:lang w:val="ro-MD"/>
        </w:rPr>
        <w:t>desfăşurată</w:t>
      </w:r>
      <w:proofErr w:type="spellEnd"/>
      <w:r w:rsidRPr="000508B6">
        <w:rPr>
          <w:rFonts w:ascii="Times New Roman" w:hAnsi="Times New Roman" w:cs="Times New Roman"/>
          <w:lang w:val="ro-MD"/>
        </w:rPr>
        <w:t xml:space="preserve"> de ace</w:t>
      </w:r>
      <w:r w:rsidR="00F353F5" w:rsidRPr="000508B6">
        <w:rPr>
          <w:rFonts w:ascii="Times New Roman" w:hAnsi="Times New Roman" w:cs="Times New Roman"/>
          <w:lang w:val="ro-MD"/>
        </w:rPr>
        <w:t>a</w:t>
      </w:r>
      <w:r w:rsidRPr="000508B6">
        <w:rPr>
          <w:rFonts w:ascii="Times New Roman" w:hAnsi="Times New Roman" w:cs="Times New Roman"/>
          <w:lang w:val="ro-MD"/>
        </w:rPr>
        <w:t xml:space="preserve">sta, atât pentru </w:t>
      </w:r>
      <w:r w:rsidR="0082102F" w:rsidRPr="000508B6">
        <w:rPr>
          <w:rFonts w:ascii="Times New Roman" w:hAnsi="Times New Roman" w:cs="Times New Roman"/>
          <w:lang w:val="ro-MD"/>
        </w:rPr>
        <w:t>asigurarea</w:t>
      </w:r>
      <w:r w:rsidRPr="000508B6">
        <w:rPr>
          <w:rFonts w:ascii="Times New Roman" w:hAnsi="Times New Roman" w:cs="Times New Roman"/>
          <w:lang w:val="ro-MD"/>
        </w:rPr>
        <w:t xml:space="preserve"> general</w:t>
      </w:r>
      <w:r w:rsidR="0082102F" w:rsidRPr="000508B6">
        <w:rPr>
          <w:rFonts w:ascii="Times New Roman" w:hAnsi="Times New Roman" w:cs="Times New Roman"/>
          <w:lang w:val="ro-MD"/>
        </w:rPr>
        <w:t>ă</w:t>
      </w:r>
      <w:r w:rsidRPr="000508B6">
        <w:rPr>
          <w:rFonts w:ascii="Times New Roman" w:hAnsi="Times New Roman" w:cs="Times New Roman"/>
          <w:lang w:val="ro-MD"/>
        </w:rPr>
        <w:t xml:space="preserve">,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pentru </w:t>
      </w:r>
      <w:r w:rsidR="0082102F" w:rsidRPr="000508B6">
        <w:rPr>
          <w:rFonts w:ascii="Times New Roman" w:hAnsi="Times New Roman" w:cs="Times New Roman"/>
          <w:lang w:val="ro-MD"/>
        </w:rPr>
        <w:t>cea</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deţin</w:t>
      </w:r>
      <w:r w:rsidR="00F353F5" w:rsidRPr="000508B6">
        <w:rPr>
          <w:rFonts w:ascii="Times New Roman" w:hAnsi="Times New Roman" w:cs="Times New Roman"/>
          <w:lang w:val="ro-MD"/>
        </w:rPr>
        <w:t>e</w:t>
      </w:r>
      <w:proofErr w:type="spellEnd"/>
      <w:r w:rsidRPr="000508B6">
        <w:rPr>
          <w:rFonts w:ascii="Times New Roman" w:hAnsi="Times New Roman" w:cs="Times New Roman"/>
          <w:lang w:val="ro-MD"/>
        </w:rPr>
        <w:t xml:space="preserve"> elementele de fonduri proprii eligibile conform art. </w:t>
      </w:r>
      <w:r w:rsidR="00EB4AB1" w:rsidRPr="000508B6">
        <w:rPr>
          <w:rFonts w:ascii="Times New Roman" w:hAnsi="Times New Roman" w:cs="Times New Roman"/>
          <w:lang w:val="ro-MD"/>
        </w:rPr>
        <w:t>63</w:t>
      </w:r>
      <w:r w:rsidRPr="000508B6">
        <w:rPr>
          <w:rFonts w:ascii="Times New Roman" w:hAnsi="Times New Roman" w:cs="Times New Roman"/>
          <w:lang w:val="ro-MD"/>
        </w:rPr>
        <w:t>.</w:t>
      </w:r>
      <w:r w:rsidR="000A54DA" w:rsidRPr="000508B6">
        <w:rPr>
          <w:rFonts w:ascii="Times New Roman" w:hAnsi="Times New Roman" w:cs="Times New Roman"/>
          <w:lang w:val="ro-MD"/>
        </w:rPr>
        <w:t xml:space="preserve"> </w:t>
      </w:r>
    </w:p>
    <w:p w14:paraId="69C35411" w14:textId="68CFF58B" w:rsidR="00F95829" w:rsidRPr="000508B6" w:rsidRDefault="00F95829" w:rsidP="001E46F1">
      <w:pPr>
        <w:pStyle w:val="Listparagraf"/>
        <w:numPr>
          <w:ilvl w:val="1"/>
          <w:numId w:val="2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fondurilor proprii de bază eligibile pentru a acoperi MCR, care nu poate fi mai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de 50% din pragul absolut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art. </w:t>
      </w:r>
      <w:r w:rsidR="00EB4AB1" w:rsidRPr="000508B6">
        <w:rPr>
          <w:rFonts w:ascii="Times New Roman" w:hAnsi="Times New Roman" w:cs="Times New Roman"/>
          <w:lang w:val="ro-MD"/>
        </w:rPr>
        <w:t xml:space="preserve">88 </w:t>
      </w:r>
      <w:r w:rsidRPr="000508B6">
        <w:rPr>
          <w:rFonts w:ascii="Times New Roman" w:hAnsi="Times New Roman" w:cs="Times New Roman"/>
          <w:lang w:val="ro-MD"/>
        </w:rPr>
        <w:t>alin. (</w:t>
      </w:r>
      <w:r w:rsidR="002C35B5" w:rsidRPr="000508B6">
        <w:rPr>
          <w:rFonts w:ascii="Times New Roman" w:hAnsi="Times New Roman" w:cs="Times New Roman"/>
          <w:lang w:val="ro-MD"/>
        </w:rPr>
        <w:t>2</w:t>
      </w:r>
      <w:r w:rsidRPr="000508B6">
        <w:rPr>
          <w:rFonts w:ascii="Times New Roman" w:hAnsi="Times New Roman" w:cs="Times New Roman"/>
          <w:lang w:val="ro-MD"/>
        </w:rPr>
        <w:t xml:space="preserve">) lit. d), se </w:t>
      </w:r>
      <w:proofErr w:type="spellStart"/>
      <w:r w:rsidRPr="000508B6">
        <w:rPr>
          <w:rFonts w:ascii="Times New Roman" w:hAnsi="Times New Roman" w:cs="Times New Roman"/>
          <w:lang w:val="ro-MD"/>
        </w:rPr>
        <w:t>stabileşte</w:t>
      </w:r>
      <w:proofErr w:type="spellEnd"/>
      <w:r w:rsidRPr="000508B6">
        <w:rPr>
          <w:rFonts w:ascii="Times New Roman" w:hAnsi="Times New Roman" w:cs="Times New Roman"/>
          <w:lang w:val="ro-MD"/>
        </w:rPr>
        <w:t xml:space="preserve"> conform prevederilor art. </w:t>
      </w:r>
      <w:r w:rsidR="00EB4AB1" w:rsidRPr="000508B6">
        <w:rPr>
          <w:rFonts w:ascii="Times New Roman" w:hAnsi="Times New Roman" w:cs="Times New Roman"/>
          <w:lang w:val="ro-MD"/>
        </w:rPr>
        <w:t xml:space="preserve">63 </w:t>
      </w:r>
      <w:r w:rsidRPr="000508B6">
        <w:rPr>
          <w:rFonts w:ascii="Times New Roman" w:hAnsi="Times New Roman" w:cs="Times New Roman"/>
          <w:lang w:val="ro-MD"/>
        </w:rPr>
        <w:t xml:space="preserve">alin. (4), iar depozitul constituit conform art. </w:t>
      </w:r>
      <w:r w:rsidR="00EB4AB1" w:rsidRPr="000508B6">
        <w:rPr>
          <w:rFonts w:ascii="Times New Roman" w:hAnsi="Times New Roman" w:cs="Times New Roman"/>
          <w:lang w:val="ro-MD"/>
        </w:rPr>
        <w:t xml:space="preserve">95 </w:t>
      </w:r>
      <w:r w:rsidRPr="000508B6">
        <w:rPr>
          <w:rFonts w:ascii="Times New Roman" w:hAnsi="Times New Roman" w:cs="Times New Roman"/>
          <w:lang w:val="ro-MD"/>
        </w:rPr>
        <w:t>alin. (</w:t>
      </w:r>
      <w:r w:rsidR="00775250" w:rsidRPr="000508B6">
        <w:rPr>
          <w:rFonts w:ascii="Times New Roman" w:hAnsi="Times New Roman" w:cs="Times New Roman"/>
          <w:lang w:val="ro-MD"/>
        </w:rPr>
        <w:t>2</w:t>
      </w:r>
      <w:r w:rsidRPr="000508B6">
        <w:rPr>
          <w:rFonts w:ascii="Times New Roman" w:hAnsi="Times New Roman" w:cs="Times New Roman"/>
          <w:lang w:val="ro-MD"/>
        </w:rPr>
        <w:t xml:space="preserve">) lit. </w:t>
      </w:r>
      <w:r w:rsidR="00F704B4" w:rsidRPr="000508B6">
        <w:rPr>
          <w:rFonts w:ascii="Times New Roman" w:hAnsi="Times New Roman" w:cs="Times New Roman"/>
          <w:lang w:val="ro-MD"/>
        </w:rPr>
        <w:t>e</w:t>
      </w:r>
      <w:r w:rsidRPr="000508B6">
        <w:rPr>
          <w:rFonts w:ascii="Times New Roman" w:hAnsi="Times New Roman" w:cs="Times New Roman"/>
          <w:lang w:val="ro-MD"/>
        </w:rPr>
        <w:t xml:space="preserve">) este eligibil pentru acoperirea MCR. </w:t>
      </w:r>
    </w:p>
    <w:p w14:paraId="057D0C30" w14:textId="4939E58D" w:rsidR="00F95829" w:rsidRPr="000508B6" w:rsidRDefault="00D53A02" w:rsidP="001E46F1">
      <w:pPr>
        <w:pStyle w:val="Listparagraf"/>
        <w:numPr>
          <w:ilvl w:val="1"/>
          <w:numId w:val="20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Activele care </w:t>
      </w:r>
      <w:r w:rsidR="00C2757F" w:rsidRPr="000508B6">
        <w:rPr>
          <w:rFonts w:ascii="Times New Roman" w:hAnsi="Times New Roman" w:cs="Times New Roman"/>
          <w:lang w:val="ro-MD"/>
        </w:rPr>
        <w:t>acoperă</w:t>
      </w:r>
      <w:r w:rsidRPr="000508B6">
        <w:rPr>
          <w:rFonts w:ascii="Times New Roman" w:hAnsi="Times New Roman" w:cs="Times New Roman"/>
          <w:lang w:val="ro-MD"/>
        </w:rPr>
        <w:t xml:space="preserve"> </w:t>
      </w:r>
      <w:r w:rsidR="002E11B7" w:rsidRPr="000508B6">
        <w:rPr>
          <w:rFonts w:ascii="Times New Roman" w:hAnsi="Times New Roman" w:cs="Times New Roman"/>
          <w:lang w:val="ro-MD"/>
        </w:rPr>
        <w:t>S</w:t>
      </w:r>
      <w:r w:rsidR="00210D4C" w:rsidRPr="000508B6">
        <w:rPr>
          <w:rFonts w:ascii="Times New Roman" w:hAnsi="Times New Roman" w:cs="Times New Roman"/>
          <w:lang w:val="ro-MD"/>
        </w:rPr>
        <w:t>CR</w:t>
      </w:r>
      <w:r w:rsidRPr="000508B6">
        <w:rPr>
          <w:rFonts w:ascii="Times New Roman" w:hAnsi="Times New Roman" w:cs="Times New Roman"/>
          <w:lang w:val="ro-MD"/>
        </w:rPr>
        <w:t xml:space="preserve"> se păstrează în Republica Moldova până la valoarea </w:t>
      </w:r>
      <w:r w:rsidR="00210D4C" w:rsidRPr="000508B6">
        <w:rPr>
          <w:rFonts w:ascii="Times New Roman" w:hAnsi="Times New Roman" w:cs="Times New Roman"/>
          <w:lang w:val="ro-MD"/>
        </w:rPr>
        <w:t>MCR</w:t>
      </w:r>
      <w:r w:rsidRPr="000508B6">
        <w:rPr>
          <w:rFonts w:ascii="Times New Roman" w:hAnsi="Times New Roman" w:cs="Times New Roman"/>
          <w:lang w:val="ro-MD"/>
        </w:rPr>
        <w:t xml:space="preserve">, iar </w:t>
      </w:r>
      <w:r w:rsidR="002E11B7" w:rsidRPr="000508B6">
        <w:rPr>
          <w:rFonts w:ascii="Times New Roman" w:hAnsi="Times New Roman" w:cs="Times New Roman"/>
          <w:lang w:val="ro-MD"/>
        </w:rPr>
        <w:t>excedentul</w:t>
      </w:r>
      <w:r w:rsidRPr="000508B6">
        <w:rPr>
          <w:rFonts w:ascii="Times New Roman" w:hAnsi="Times New Roman" w:cs="Times New Roman"/>
          <w:lang w:val="ro-MD"/>
        </w:rPr>
        <w:t xml:space="preserve"> </w:t>
      </w:r>
      <w:r w:rsidR="00C2757F" w:rsidRPr="000508B6">
        <w:rPr>
          <w:rFonts w:ascii="Times New Roman" w:hAnsi="Times New Roman" w:cs="Times New Roman"/>
          <w:lang w:val="ro-MD"/>
        </w:rPr>
        <w:t>pe teritoriul</w:t>
      </w:r>
      <w:r w:rsidRPr="000508B6">
        <w:rPr>
          <w:rFonts w:ascii="Times New Roman" w:hAnsi="Times New Roman" w:cs="Times New Roman"/>
          <w:lang w:val="ro-MD"/>
        </w:rPr>
        <w:t xml:space="preserve"> </w:t>
      </w:r>
      <w:r w:rsidR="00C2757F" w:rsidRPr="000508B6">
        <w:rPr>
          <w:rFonts w:ascii="Times New Roman" w:hAnsi="Times New Roman" w:cs="Times New Roman"/>
          <w:lang w:val="ro-MD"/>
        </w:rPr>
        <w:t>statelor membre</w:t>
      </w:r>
      <w:r w:rsidRPr="000508B6">
        <w:rPr>
          <w:rFonts w:ascii="Times New Roman" w:hAnsi="Times New Roman" w:cs="Times New Roman"/>
          <w:lang w:val="ro-MD"/>
        </w:rPr>
        <w:t>.</w:t>
      </w:r>
      <w:r w:rsidR="00F95829" w:rsidRPr="000508B6">
        <w:rPr>
          <w:rFonts w:ascii="Times New Roman" w:eastAsia="Times New Roman" w:hAnsi="Times New Roman" w:cs="Times New Roman"/>
          <w:lang w:val="ro-MD"/>
        </w:rPr>
        <w:t> </w:t>
      </w:r>
    </w:p>
    <w:p w14:paraId="29493227" w14:textId="77777777" w:rsidR="00F95829" w:rsidRPr="000508B6" w:rsidRDefault="00F95829" w:rsidP="008B530F">
      <w:pPr>
        <w:tabs>
          <w:tab w:val="left" w:pos="993"/>
        </w:tabs>
        <w:spacing w:after="0"/>
        <w:ind w:firstLine="426"/>
        <w:rPr>
          <w:rFonts w:ascii="Times New Roman" w:hAnsi="Times New Roman" w:cs="Times New Roman"/>
          <w:b/>
          <w:lang w:val="ro-MD"/>
        </w:rPr>
      </w:pPr>
    </w:p>
    <w:p w14:paraId="7815DC27" w14:textId="1A996331" w:rsidR="00F95829" w:rsidRPr="000508B6" w:rsidRDefault="00F95829" w:rsidP="008B530F">
      <w:pPr>
        <w:tabs>
          <w:tab w:val="left" w:pos="284"/>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5F512C" w:rsidRPr="000508B6">
        <w:rPr>
          <w:rFonts w:ascii="Times New Roman" w:hAnsi="Times New Roman" w:cs="Times New Roman"/>
          <w:b/>
          <w:lang w:val="ro-MD"/>
        </w:rPr>
        <w:t>100</w:t>
      </w:r>
      <w:r w:rsidR="006A041E" w:rsidRPr="000508B6">
        <w:rPr>
          <w:rFonts w:ascii="Times New Roman" w:hAnsi="Times New Roman" w:cs="Times New Roman"/>
          <w:b/>
          <w:lang w:val="ro-MD"/>
        </w:rPr>
        <w:t>.</w:t>
      </w:r>
      <w:r w:rsidRPr="000508B6">
        <w:rPr>
          <w:rFonts w:ascii="Times New Roman" w:hAnsi="Times New Roman" w:cs="Times New Roman"/>
          <w:lang w:val="ro-MD"/>
        </w:rPr>
        <w:t xml:space="preserve"> Avantajele </w:t>
      </w:r>
      <w:r w:rsidR="009E6D0D" w:rsidRPr="000508B6">
        <w:rPr>
          <w:rFonts w:ascii="Times New Roman" w:hAnsi="Times New Roman" w:cs="Times New Roman"/>
          <w:lang w:val="ro-MD"/>
        </w:rPr>
        <w:t xml:space="preserve">licențierii </w:t>
      </w:r>
      <w:r w:rsidRPr="000508B6">
        <w:rPr>
          <w:rFonts w:ascii="Times New Roman" w:hAnsi="Times New Roman" w:cs="Times New Roman"/>
          <w:lang w:val="ro-MD"/>
        </w:rPr>
        <w:t xml:space="preserve">în mai multe state membre  </w:t>
      </w:r>
    </w:p>
    <w:p w14:paraId="79ABCA23" w14:textId="6B221175" w:rsidR="00F95829" w:rsidRPr="000508B6" w:rsidRDefault="004125E8" w:rsidP="001E46F1">
      <w:pPr>
        <w:pStyle w:val="Listparagraf"/>
        <w:numPr>
          <w:ilvl w:val="1"/>
          <w:numId w:val="201"/>
        </w:numPr>
        <w:tabs>
          <w:tab w:val="left" w:pos="284"/>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Asigurătorul</w:t>
      </w:r>
      <w:r w:rsidR="00F95829" w:rsidRPr="000508B6">
        <w:rPr>
          <w:rFonts w:ascii="Times New Roman" w:hAnsi="Times New Roman" w:cs="Times New Roman"/>
          <w:lang w:val="ro-MD"/>
        </w:rPr>
        <w:t xml:space="preserve"> cu sediul central în</w:t>
      </w:r>
      <w:r w:rsidR="00F353F5" w:rsidRPr="000508B6">
        <w:rPr>
          <w:rFonts w:ascii="Times New Roman" w:hAnsi="Times New Roman" w:cs="Times New Roman"/>
          <w:lang w:val="ro-MD"/>
        </w:rPr>
        <w:t>tr-un</w:t>
      </w:r>
      <w:r w:rsidR="00F95829" w:rsidRPr="000508B6">
        <w:rPr>
          <w:rFonts w:ascii="Times New Roman" w:hAnsi="Times New Roman" w:cs="Times New Roman"/>
          <w:lang w:val="ro-MD"/>
        </w:rPr>
        <w:t xml:space="preserve"> stat </w:t>
      </w:r>
      <w:proofErr w:type="spellStart"/>
      <w:r w:rsidR="00F95829" w:rsidRPr="000508B6">
        <w:rPr>
          <w:rFonts w:ascii="Times New Roman" w:hAnsi="Times New Roman" w:cs="Times New Roman"/>
          <w:lang w:val="ro-MD"/>
        </w:rPr>
        <w:t>terţ</w:t>
      </w:r>
      <w:proofErr w:type="spellEnd"/>
      <w:r w:rsidR="00EE47AF" w:rsidRPr="000508B6">
        <w:rPr>
          <w:rFonts w:ascii="Times New Roman" w:hAnsi="Times New Roman" w:cs="Times New Roman"/>
          <w:lang w:val="ro-MD"/>
        </w:rPr>
        <w:t>,</w:t>
      </w:r>
      <w:r w:rsidR="00F95829" w:rsidRPr="000508B6">
        <w:rPr>
          <w:rFonts w:ascii="Times New Roman" w:hAnsi="Times New Roman" w:cs="Times New Roman"/>
          <w:lang w:val="ro-MD"/>
        </w:rPr>
        <w:t xml:space="preserve"> care </w:t>
      </w:r>
      <w:proofErr w:type="spellStart"/>
      <w:r w:rsidR="00F95829" w:rsidRPr="000508B6">
        <w:rPr>
          <w:rFonts w:ascii="Times New Roman" w:hAnsi="Times New Roman" w:cs="Times New Roman"/>
          <w:lang w:val="ro-MD"/>
        </w:rPr>
        <w:t>deţin</w:t>
      </w:r>
      <w:r w:rsidR="007E6E10" w:rsidRPr="000508B6">
        <w:rPr>
          <w:rFonts w:ascii="Times New Roman" w:hAnsi="Times New Roman" w:cs="Times New Roman"/>
          <w:lang w:val="ro-MD"/>
        </w:rPr>
        <w:t>e</w:t>
      </w:r>
      <w:proofErr w:type="spellEnd"/>
      <w:r w:rsidR="00F95829" w:rsidRPr="000508B6">
        <w:rPr>
          <w:rFonts w:ascii="Times New Roman" w:hAnsi="Times New Roman" w:cs="Times New Roman"/>
          <w:lang w:val="ro-MD"/>
        </w:rPr>
        <w:t xml:space="preserve"> sucursale în </w:t>
      </w:r>
      <w:r w:rsidR="00B61133" w:rsidRPr="000508B6">
        <w:rPr>
          <w:rFonts w:ascii="Times New Roman" w:hAnsi="Times New Roman" w:cs="Times New Roman"/>
          <w:lang w:val="ro-MD"/>
        </w:rPr>
        <w:t xml:space="preserve">Republica Moldova și în </w:t>
      </w:r>
      <w:r w:rsidR="00F95829" w:rsidRPr="000508B6">
        <w:rPr>
          <w:rFonts w:ascii="Times New Roman" w:hAnsi="Times New Roman" w:cs="Times New Roman"/>
          <w:lang w:val="ro-MD"/>
        </w:rPr>
        <w:t>statele membre</w:t>
      </w:r>
      <w:r w:rsidR="00EE47AF" w:rsidRPr="000508B6">
        <w:rPr>
          <w:rFonts w:ascii="Times New Roman" w:hAnsi="Times New Roman" w:cs="Times New Roman"/>
          <w:lang w:val="ro-MD"/>
        </w:rPr>
        <w:t xml:space="preserve"> </w:t>
      </w:r>
      <w:r w:rsidR="00F95829" w:rsidRPr="000508B6">
        <w:rPr>
          <w:rFonts w:ascii="Times New Roman" w:hAnsi="Times New Roman" w:cs="Times New Roman"/>
          <w:lang w:val="ro-MD"/>
        </w:rPr>
        <w:t>po</w:t>
      </w:r>
      <w:r w:rsidR="007E6E10" w:rsidRPr="000508B6">
        <w:rPr>
          <w:rFonts w:ascii="Times New Roman" w:hAnsi="Times New Roman" w:cs="Times New Roman"/>
          <w:lang w:val="ro-MD"/>
        </w:rPr>
        <w:t>a</w:t>
      </w:r>
      <w:r w:rsidR="00F95829" w:rsidRPr="000508B6">
        <w:rPr>
          <w:rFonts w:ascii="Times New Roman" w:hAnsi="Times New Roman" w:cs="Times New Roman"/>
          <w:lang w:val="ro-MD"/>
        </w:rPr>
        <w:t>t</w:t>
      </w:r>
      <w:r w:rsidR="007E6E10" w:rsidRPr="000508B6">
        <w:rPr>
          <w:rFonts w:ascii="Times New Roman" w:hAnsi="Times New Roman" w:cs="Times New Roman"/>
          <w:lang w:val="ro-MD"/>
        </w:rPr>
        <w:t>e</w:t>
      </w:r>
      <w:r w:rsidR="00F95829" w:rsidRPr="000508B6">
        <w:rPr>
          <w:rFonts w:ascii="Times New Roman" w:hAnsi="Times New Roman" w:cs="Times New Roman"/>
          <w:lang w:val="ro-MD"/>
        </w:rPr>
        <w:t xml:space="preserve"> solicita Băncii Naționale a Moldovei acordarea cumulativă a următoarelor avantaje:  </w:t>
      </w:r>
    </w:p>
    <w:p w14:paraId="4E76983A" w14:textId="63A1015F" w:rsidR="00F95829" w:rsidRPr="000508B6" w:rsidRDefault="00F95829" w:rsidP="001E46F1">
      <w:pPr>
        <w:numPr>
          <w:ilvl w:val="0"/>
          <w:numId w:val="202"/>
        </w:numPr>
        <w:tabs>
          <w:tab w:val="left" w:pos="284"/>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să se calculeze pentru </w:t>
      </w:r>
      <w:r w:rsidR="0045296E" w:rsidRPr="000508B6">
        <w:rPr>
          <w:rFonts w:ascii="Times New Roman" w:hAnsi="Times New Roman" w:cs="Times New Roman"/>
          <w:lang w:val="ro-MD"/>
        </w:rPr>
        <w:t xml:space="preserve">întreaga </w:t>
      </w:r>
      <w:r w:rsidRPr="000508B6">
        <w:rPr>
          <w:rFonts w:ascii="Times New Roman" w:hAnsi="Times New Roman" w:cs="Times New Roman"/>
          <w:lang w:val="ro-MD"/>
        </w:rPr>
        <w:t xml:space="preserve">activitatea </w:t>
      </w:r>
      <w:r w:rsidR="0045296E" w:rsidRPr="000508B6">
        <w:rPr>
          <w:rFonts w:ascii="Times New Roman" w:hAnsi="Times New Roman" w:cs="Times New Roman"/>
          <w:lang w:val="ro-MD"/>
        </w:rPr>
        <w:t xml:space="preserve">pe care o </w:t>
      </w:r>
      <w:r w:rsidR="00723671" w:rsidRPr="000508B6">
        <w:rPr>
          <w:rFonts w:ascii="Times New Roman" w:hAnsi="Times New Roman" w:cs="Times New Roman"/>
          <w:lang w:val="ro-MD"/>
        </w:rPr>
        <w:t>desfășoară</w:t>
      </w:r>
      <w:r w:rsidRPr="000508B6">
        <w:rPr>
          <w:rFonts w:ascii="Times New Roman" w:hAnsi="Times New Roman" w:cs="Times New Roman"/>
          <w:lang w:val="ro-MD"/>
        </w:rPr>
        <w:t xml:space="preserve"> în </w:t>
      </w:r>
      <w:r w:rsidR="00B61133" w:rsidRPr="000508B6">
        <w:rPr>
          <w:rFonts w:ascii="Times New Roman" w:hAnsi="Times New Roman" w:cs="Times New Roman"/>
          <w:lang w:val="ro-MD"/>
        </w:rPr>
        <w:t>Republica Moldova sau</w:t>
      </w:r>
      <w:r w:rsidRPr="000508B6">
        <w:rPr>
          <w:rFonts w:ascii="Times New Roman" w:hAnsi="Times New Roman" w:cs="Times New Roman"/>
          <w:lang w:val="ro-MD"/>
        </w:rPr>
        <w:t xml:space="preserve"> în statele membre;   </w:t>
      </w:r>
    </w:p>
    <w:p w14:paraId="36BAB81F" w14:textId="67993DED" w:rsidR="00F95829" w:rsidRPr="000508B6" w:rsidRDefault="00F95829" w:rsidP="001E46F1">
      <w:pPr>
        <w:numPr>
          <w:ilvl w:val="0"/>
          <w:numId w:val="202"/>
        </w:numPr>
        <w:tabs>
          <w:tab w:val="left" w:pos="284"/>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depozitul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art. </w:t>
      </w:r>
      <w:r w:rsidR="00EB4AB1" w:rsidRPr="000508B6">
        <w:rPr>
          <w:rFonts w:ascii="Times New Roman" w:hAnsi="Times New Roman" w:cs="Times New Roman"/>
          <w:lang w:val="ro-MD"/>
        </w:rPr>
        <w:t xml:space="preserve">95 </w:t>
      </w:r>
      <w:r w:rsidRPr="000508B6">
        <w:rPr>
          <w:rFonts w:ascii="Times New Roman" w:hAnsi="Times New Roman" w:cs="Times New Roman"/>
          <w:lang w:val="ro-MD"/>
        </w:rPr>
        <w:t>alin. (</w:t>
      </w:r>
      <w:r w:rsidR="00775250" w:rsidRPr="000508B6">
        <w:rPr>
          <w:rFonts w:ascii="Times New Roman" w:hAnsi="Times New Roman" w:cs="Times New Roman"/>
          <w:lang w:val="ro-MD"/>
        </w:rPr>
        <w:t>2</w:t>
      </w:r>
      <w:r w:rsidRPr="000508B6">
        <w:rPr>
          <w:rFonts w:ascii="Times New Roman" w:hAnsi="Times New Roman" w:cs="Times New Roman"/>
          <w:lang w:val="ro-MD"/>
        </w:rPr>
        <w:t xml:space="preserve">) lit. </w:t>
      </w:r>
      <w:r w:rsidR="00FA3D52" w:rsidRPr="000508B6">
        <w:rPr>
          <w:rFonts w:ascii="Times New Roman" w:hAnsi="Times New Roman" w:cs="Times New Roman"/>
          <w:lang w:val="ro-MD"/>
        </w:rPr>
        <w:t>e</w:t>
      </w:r>
      <w:r w:rsidRPr="000508B6">
        <w:rPr>
          <w:rFonts w:ascii="Times New Roman" w:hAnsi="Times New Roman" w:cs="Times New Roman"/>
          <w:lang w:val="ro-MD"/>
        </w:rPr>
        <w:t xml:space="preserve">) să fie constituit în </w:t>
      </w:r>
      <w:r w:rsidR="00B61133" w:rsidRPr="000508B6">
        <w:rPr>
          <w:rFonts w:ascii="Times New Roman" w:hAnsi="Times New Roman" w:cs="Times New Roman"/>
          <w:lang w:val="ro-MD"/>
        </w:rPr>
        <w:t xml:space="preserve">Republica Moldova sau </w:t>
      </w:r>
      <w:r w:rsidR="00EE47AF" w:rsidRPr="000508B6">
        <w:rPr>
          <w:rFonts w:ascii="Times New Roman" w:hAnsi="Times New Roman" w:cs="Times New Roman"/>
          <w:lang w:val="ro-MD"/>
        </w:rPr>
        <w:t xml:space="preserve">în </w:t>
      </w:r>
      <w:r w:rsidRPr="000508B6">
        <w:rPr>
          <w:rFonts w:ascii="Times New Roman" w:hAnsi="Times New Roman" w:cs="Times New Roman"/>
          <w:lang w:val="ro-MD"/>
        </w:rPr>
        <w:t>unul dintre statele membre</w:t>
      </w:r>
      <w:r w:rsidR="00723671" w:rsidRPr="000508B6">
        <w:rPr>
          <w:rFonts w:ascii="Times New Roman" w:hAnsi="Times New Roman" w:cs="Times New Roman"/>
          <w:lang w:val="ro-MD"/>
        </w:rPr>
        <w:t xml:space="preserve"> în cauză</w:t>
      </w:r>
      <w:r w:rsidRPr="000508B6">
        <w:rPr>
          <w:rFonts w:ascii="Times New Roman" w:hAnsi="Times New Roman" w:cs="Times New Roman"/>
          <w:lang w:val="ro-MD"/>
        </w:rPr>
        <w:t xml:space="preserve">;   </w:t>
      </w:r>
    </w:p>
    <w:p w14:paraId="343648F1" w14:textId="4D6FD2AF" w:rsidR="00F95829" w:rsidRPr="000508B6" w:rsidRDefault="00F95829" w:rsidP="001E46F1">
      <w:pPr>
        <w:numPr>
          <w:ilvl w:val="0"/>
          <w:numId w:val="202"/>
        </w:numPr>
        <w:tabs>
          <w:tab w:val="left" w:pos="284"/>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activele care acoperă MCR să fie localizate în </w:t>
      </w:r>
      <w:r w:rsidR="00B61133" w:rsidRPr="000508B6">
        <w:rPr>
          <w:rFonts w:ascii="Times New Roman" w:hAnsi="Times New Roman" w:cs="Times New Roman"/>
          <w:lang w:val="ro-MD"/>
        </w:rPr>
        <w:t xml:space="preserve">Republica Moldova </w:t>
      </w:r>
      <w:r w:rsidR="00BC2279" w:rsidRPr="000508B6">
        <w:rPr>
          <w:rFonts w:ascii="Times New Roman" w:hAnsi="Times New Roman" w:cs="Times New Roman"/>
          <w:lang w:val="ro-MD"/>
        </w:rPr>
        <w:t xml:space="preserve">sau </w:t>
      </w:r>
      <w:r w:rsidR="00443225">
        <w:rPr>
          <w:rFonts w:ascii="Times New Roman" w:hAnsi="Times New Roman" w:cs="Times New Roman"/>
          <w:lang w:val="ro-MD"/>
        </w:rPr>
        <w:t xml:space="preserve">în </w:t>
      </w:r>
      <w:r w:rsidR="00BC2279" w:rsidRPr="000508B6">
        <w:rPr>
          <w:rFonts w:ascii="Times New Roman" w:hAnsi="Times New Roman" w:cs="Times New Roman"/>
          <w:lang w:val="ro-MD"/>
        </w:rPr>
        <w:t xml:space="preserve">oricare </w:t>
      </w:r>
      <w:r w:rsidR="00AF70C9">
        <w:rPr>
          <w:rFonts w:ascii="Times New Roman" w:hAnsi="Times New Roman" w:cs="Times New Roman"/>
          <w:lang w:val="ro-MD"/>
        </w:rPr>
        <w:t xml:space="preserve">dintre </w:t>
      </w:r>
      <w:r w:rsidRPr="000508B6">
        <w:rPr>
          <w:rFonts w:ascii="Times New Roman" w:hAnsi="Times New Roman" w:cs="Times New Roman"/>
          <w:lang w:val="ro-MD"/>
        </w:rPr>
        <w:t>state</w:t>
      </w:r>
      <w:r w:rsidR="00AF70C9">
        <w:rPr>
          <w:rFonts w:ascii="Times New Roman" w:hAnsi="Times New Roman" w:cs="Times New Roman"/>
          <w:lang w:val="ro-MD"/>
        </w:rPr>
        <w:t>le</w:t>
      </w:r>
      <w:r w:rsidRPr="000508B6">
        <w:rPr>
          <w:rFonts w:ascii="Times New Roman" w:hAnsi="Times New Roman" w:cs="Times New Roman"/>
          <w:lang w:val="ro-MD"/>
        </w:rPr>
        <w:t xml:space="preserve"> membr</w:t>
      </w:r>
      <w:r w:rsidR="00AF70C9">
        <w:rPr>
          <w:rFonts w:ascii="Times New Roman" w:hAnsi="Times New Roman" w:cs="Times New Roman"/>
          <w:lang w:val="ro-MD"/>
        </w:rPr>
        <w:t>e</w:t>
      </w:r>
      <w:r w:rsidRPr="000508B6">
        <w:rPr>
          <w:rFonts w:ascii="Times New Roman" w:hAnsi="Times New Roman" w:cs="Times New Roman"/>
          <w:lang w:val="ro-MD"/>
        </w:rPr>
        <w:t xml:space="preserve"> în care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   </w:t>
      </w:r>
    </w:p>
    <w:p w14:paraId="21990A90" w14:textId="4F09CB24" w:rsidR="00F95829" w:rsidRPr="000508B6" w:rsidRDefault="00F95829" w:rsidP="001E46F1">
      <w:pPr>
        <w:pStyle w:val="Listparagraf"/>
        <w:numPr>
          <w:ilvl w:val="1"/>
          <w:numId w:val="201"/>
        </w:numPr>
        <w:tabs>
          <w:tab w:val="left" w:pos="284"/>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solicitarea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(1), </w:t>
      </w:r>
      <w:r w:rsidR="00D068AA" w:rsidRPr="000508B6">
        <w:rPr>
          <w:rFonts w:ascii="Times New Roman" w:hAnsi="Times New Roman" w:cs="Times New Roman"/>
          <w:lang w:val="ro-MD"/>
        </w:rPr>
        <w:t xml:space="preserve">asigurătorul </w:t>
      </w:r>
      <w:r w:rsidRPr="000508B6">
        <w:rPr>
          <w:rFonts w:ascii="Times New Roman" w:hAnsi="Times New Roman" w:cs="Times New Roman"/>
          <w:lang w:val="ro-MD"/>
        </w:rPr>
        <w:t xml:space="preserve">respectiv justifică temeinic desemnarea Băncii Naționale a Moldovei ca supraveghetor responsabil cu </w:t>
      </w:r>
      <w:r w:rsidR="008759CE" w:rsidRPr="000508B6">
        <w:rPr>
          <w:rFonts w:ascii="Times New Roman" w:hAnsi="Times New Roman" w:cs="Times New Roman"/>
          <w:lang w:val="ro-MD"/>
        </w:rPr>
        <w:t xml:space="preserve">verificarea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întregii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a sucursalelor sale </w:t>
      </w:r>
      <w:r w:rsidR="00B61133" w:rsidRPr="000508B6">
        <w:rPr>
          <w:rFonts w:ascii="Times New Roman" w:hAnsi="Times New Roman" w:cs="Times New Roman"/>
          <w:lang w:val="ro-MD"/>
        </w:rPr>
        <w:t xml:space="preserve">în Republica Moldova și </w:t>
      </w:r>
      <w:r w:rsidR="00223CC5" w:rsidRPr="000508B6">
        <w:rPr>
          <w:rFonts w:ascii="Times New Roman" w:hAnsi="Times New Roman" w:cs="Times New Roman"/>
          <w:lang w:val="ro-MD"/>
        </w:rPr>
        <w:t xml:space="preserve">în </w:t>
      </w:r>
      <w:r w:rsidRPr="000508B6">
        <w:rPr>
          <w:rFonts w:ascii="Times New Roman" w:hAnsi="Times New Roman" w:cs="Times New Roman"/>
          <w:lang w:val="ro-MD"/>
        </w:rPr>
        <w:t xml:space="preserve">statele membre. </w:t>
      </w:r>
    </w:p>
    <w:p w14:paraId="0736F4F5" w14:textId="45C2FC7E" w:rsidR="00F95829" w:rsidRPr="000508B6" w:rsidRDefault="00F95829" w:rsidP="001E46F1">
      <w:pPr>
        <w:pStyle w:val="Listparagraf"/>
        <w:numPr>
          <w:ilvl w:val="1"/>
          <w:numId w:val="201"/>
        </w:numPr>
        <w:tabs>
          <w:tab w:val="left" w:pos="284"/>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colaborează cu supraveghetorii din statele membre pentru a ajunge la un acord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acordarea avantajelor prevăzute la alin. (1). </w:t>
      </w:r>
    </w:p>
    <w:p w14:paraId="193DE030" w14:textId="645D5480" w:rsidR="00F95829" w:rsidRPr="000508B6" w:rsidRDefault="00F95829" w:rsidP="001E46F1">
      <w:pPr>
        <w:pStyle w:val="Listparagraf"/>
        <w:numPr>
          <w:ilvl w:val="1"/>
          <w:numId w:val="201"/>
        </w:numPr>
        <w:tabs>
          <w:tab w:val="left" w:pos="284"/>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este desemnată supraveghetor responsabil, conform alin. (2), aceasta:  </w:t>
      </w:r>
    </w:p>
    <w:p w14:paraId="75CE4AC1" w14:textId="5EA23CE6" w:rsidR="00F95829" w:rsidRPr="000508B6" w:rsidRDefault="00F95829" w:rsidP="001E46F1">
      <w:pPr>
        <w:numPr>
          <w:ilvl w:val="0"/>
          <w:numId w:val="203"/>
        </w:numPr>
        <w:tabs>
          <w:tab w:val="left" w:pos="284"/>
          <w:tab w:val="left" w:pos="709"/>
          <w:tab w:val="left" w:pos="786"/>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informează supraveghetorii </w:t>
      </w:r>
      <w:r w:rsidR="00130060">
        <w:rPr>
          <w:rFonts w:ascii="Times New Roman" w:hAnsi="Times New Roman" w:cs="Times New Roman"/>
          <w:lang w:val="ro-MD"/>
        </w:rPr>
        <w:t xml:space="preserve">din state membre </w:t>
      </w:r>
      <w:r w:rsidRPr="000508B6">
        <w:rPr>
          <w:rFonts w:ascii="Times New Roman" w:hAnsi="Times New Roman" w:cs="Times New Roman"/>
          <w:lang w:val="ro-MD"/>
        </w:rPr>
        <w:t xml:space="preserve">că este supraveghetorul </w:t>
      </w:r>
      <w:r w:rsidR="00F353F5" w:rsidRPr="000508B6">
        <w:rPr>
          <w:rFonts w:ascii="Times New Roman" w:hAnsi="Times New Roman" w:cs="Times New Roman"/>
          <w:lang w:val="ro-MD"/>
        </w:rPr>
        <w:t xml:space="preserve">responsabil </w:t>
      </w:r>
      <w:r w:rsidRPr="000508B6">
        <w:rPr>
          <w:rFonts w:ascii="Times New Roman" w:hAnsi="Times New Roman" w:cs="Times New Roman"/>
          <w:lang w:val="ro-MD"/>
        </w:rPr>
        <w:t xml:space="preserve">desemnat, dată </w:t>
      </w:r>
      <w:r w:rsidR="008554BB">
        <w:rPr>
          <w:rFonts w:ascii="Times New Roman" w:hAnsi="Times New Roman" w:cs="Times New Roman"/>
          <w:lang w:val="ro-MD"/>
        </w:rPr>
        <w:t xml:space="preserve">de </w:t>
      </w:r>
      <w:r w:rsidRPr="000508B6">
        <w:rPr>
          <w:rFonts w:ascii="Times New Roman" w:hAnsi="Times New Roman" w:cs="Times New Roman"/>
          <w:lang w:val="ro-MD"/>
        </w:rPr>
        <w:t xml:space="preserve">la care avantajele </w:t>
      </w:r>
      <w:proofErr w:type="spellStart"/>
      <w:r w:rsidRPr="000508B6">
        <w:rPr>
          <w:rFonts w:ascii="Times New Roman" w:hAnsi="Times New Roman" w:cs="Times New Roman"/>
          <w:lang w:val="ro-MD"/>
        </w:rPr>
        <w:t>menţionate</w:t>
      </w:r>
      <w:r w:rsidR="00610546">
        <w:rPr>
          <w:rFonts w:ascii="Times New Roman" w:hAnsi="Times New Roman" w:cs="Times New Roman"/>
          <w:lang w:val="ro-MD"/>
        </w:rPr>
        <w:t>la</w:t>
      </w:r>
      <w:proofErr w:type="spellEnd"/>
      <w:r w:rsidR="008554BB">
        <w:rPr>
          <w:rFonts w:ascii="Times New Roman" w:hAnsi="Times New Roman" w:cs="Times New Roman"/>
          <w:lang w:val="ro-MD"/>
        </w:rPr>
        <w:t xml:space="preserve"> alin. (1)</w:t>
      </w:r>
      <w:r w:rsidR="008554BB" w:rsidRPr="000508B6">
        <w:rPr>
          <w:rFonts w:ascii="Times New Roman" w:hAnsi="Times New Roman" w:cs="Times New Roman"/>
          <w:lang w:val="ro-MD"/>
        </w:rPr>
        <w:t xml:space="preserve"> </w:t>
      </w:r>
      <w:r w:rsidRPr="000508B6">
        <w:rPr>
          <w:rFonts w:ascii="Times New Roman" w:hAnsi="Times New Roman" w:cs="Times New Roman"/>
          <w:lang w:val="ro-MD"/>
        </w:rPr>
        <w:t xml:space="preserve">produc efecte;  </w:t>
      </w:r>
    </w:p>
    <w:p w14:paraId="0616CC99" w14:textId="6B7F8D76" w:rsidR="00F95829" w:rsidRPr="000508B6" w:rsidRDefault="00F95829" w:rsidP="001E46F1">
      <w:pPr>
        <w:numPr>
          <w:ilvl w:val="0"/>
          <w:numId w:val="203"/>
        </w:numPr>
        <w:tabs>
          <w:tab w:val="left" w:pos="284"/>
          <w:tab w:val="left" w:pos="709"/>
          <w:tab w:val="left" w:pos="786"/>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impune ca depozitul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(1) lit. b) să fie constituit în Republica Moldova;  </w:t>
      </w:r>
    </w:p>
    <w:p w14:paraId="10A7E658" w14:textId="1762D557" w:rsidR="000A4F06" w:rsidRPr="000508B6" w:rsidRDefault="00F95829" w:rsidP="00CF5AFA">
      <w:pPr>
        <w:numPr>
          <w:ilvl w:val="0"/>
          <w:numId w:val="203"/>
        </w:numPr>
        <w:tabs>
          <w:tab w:val="left" w:pos="284"/>
          <w:tab w:val="left" w:pos="786"/>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D068AA" w:rsidRPr="000508B6">
        <w:rPr>
          <w:rFonts w:ascii="Times New Roman" w:hAnsi="Times New Roman" w:cs="Times New Roman"/>
          <w:lang w:val="ro-MD"/>
        </w:rPr>
        <w:t xml:space="preserve">asigurătorul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(1) se află în dificultate, </w:t>
      </w:r>
      <w:bookmarkStart w:id="121" w:name="_Hlk190355233"/>
      <w:r w:rsidRPr="000508B6">
        <w:rPr>
          <w:rFonts w:ascii="Times New Roman" w:hAnsi="Times New Roman" w:cs="Times New Roman"/>
          <w:lang w:val="ro-MD"/>
        </w:rPr>
        <w:t xml:space="preserve">aplică acesteia prevederile art. </w:t>
      </w:r>
      <w:r w:rsidR="00494DFC" w:rsidRPr="000508B6">
        <w:rPr>
          <w:rFonts w:ascii="Times New Roman" w:hAnsi="Times New Roman" w:cs="Times New Roman"/>
          <w:lang w:val="ro-MD"/>
        </w:rPr>
        <w:t>156, art. 157 și art.</w:t>
      </w:r>
      <w:r w:rsidRPr="000508B6">
        <w:rPr>
          <w:rFonts w:ascii="Times New Roman" w:hAnsi="Times New Roman" w:cs="Times New Roman"/>
          <w:lang w:val="ro-MD"/>
        </w:rPr>
        <w:t xml:space="preserve"> </w:t>
      </w:r>
      <w:r w:rsidR="00ED416A" w:rsidRPr="000508B6">
        <w:rPr>
          <w:rFonts w:ascii="Times New Roman" w:hAnsi="Times New Roman" w:cs="Times New Roman"/>
          <w:lang w:val="ro-MD"/>
        </w:rPr>
        <w:t>188</w:t>
      </w:r>
      <w:r w:rsidR="005628C0" w:rsidRPr="000508B6">
        <w:rPr>
          <w:rFonts w:ascii="Times New Roman" w:hAnsi="Times New Roman" w:cs="Times New Roman"/>
          <w:lang w:val="ro-MD"/>
        </w:rPr>
        <w:t xml:space="preserve"> </w:t>
      </w:r>
      <w:r w:rsidRPr="000508B6">
        <w:rPr>
          <w:rFonts w:ascii="Times New Roman" w:hAnsi="Times New Roman" w:cs="Times New Roman"/>
          <w:lang w:val="ro-MD"/>
        </w:rPr>
        <w:t>alin. (1)</w:t>
      </w:r>
      <w:bookmarkEnd w:id="121"/>
      <w:r w:rsidRPr="000508B6">
        <w:rPr>
          <w:rFonts w:ascii="Times New Roman" w:hAnsi="Times New Roman" w:cs="Times New Roman"/>
          <w:lang w:val="ro-MD"/>
        </w:rPr>
        <w:t>.</w:t>
      </w:r>
      <w:r w:rsidR="004844E6" w:rsidRPr="000508B6">
        <w:rPr>
          <w:rFonts w:ascii="Times New Roman" w:hAnsi="Times New Roman" w:cs="Times New Roman"/>
          <w:lang w:val="ro-MD"/>
        </w:rPr>
        <w:t xml:space="preserve"> </w:t>
      </w:r>
    </w:p>
    <w:p w14:paraId="52B65685" w14:textId="2F78399B" w:rsidR="00F95829" w:rsidRPr="000508B6" w:rsidRDefault="00F95829" w:rsidP="001E46F1">
      <w:pPr>
        <w:pStyle w:val="Listparagraf"/>
        <w:numPr>
          <w:ilvl w:val="1"/>
          <w:numId w:val="201"/>
        </w:numPr>
        <w:tabs>
          <w:tab w:val="left" w:pos="284"/>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nu este supraveghetor </w:t>
      </w:r>
      <w:r w:rsidR="002B5B3E" w:rsidRPr="000508B6">
        <w:rPr>
          <w:rFonts w:ascii="Times New Roman" w:hAnsi="Times New Roman" w:cs="Times New Roman"/>
          <w:lang w:val="ro-MD"/>
        </w:rPr>
        <w:t xml:space="preserve">responsabil </w:t>
      </w:r>
      <w:r w:rsidRPr="000508B6">
        <w:rPr>
          <w:rFonts w:ascii="Times New Roman" w:hAnsi="Times New Roman" w:cs="Times New Roman"/>
          <w:lang w:val="ro-MD"/>
        </w:rPr>
        <w:t xml:space="preserve">desemnat, Banca Națională a Moldovei:   </w:t>
      </w:r>
    </w:p>
    <w:p w14:paraId="3821FC57" w14:textId="12405744" w:rsidR="00F95829" w:rsidRPr="000508B6" w:rsidRDefault="00F95829" w:rsidP="001E46F1">
      <w:pPr>
        <w:numPr>
          <w:ilvl w:val="0"/>
          <w:numId w:val="204"/>
        </w:numPr>
        <w:tabs>
          <w:tab w:val="left" w:pos="284"/>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acordă avantajele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 de la data la care este informat</w:t>
      </w:r>
      <w:r w:rsidR="002B5B3E" w:rsidRPr="000508B6">
        <w:rPr>
          <w:rFonts w:ascii="Times New Roman" w:hAnsi="Times New Roman" w:cs="Times New Roman"/>
          <w:lang w:val="ro-MD"/>
        </w:rPr>
        <w:t>ă</w:t>
      </w:r>
      <w:r w:rsidRPr="000508B6">
        <w:rPr>
          <w:rFonts w:ascii="Times New Roman" w:hAnsi="Times New Roman" w:cs="Times New Roman"/>
          <w:lang w:val="ro-MD"/>
        </w:rPr>
        <w:t xml:space="preserve"> asupra asumării </w:t>
      </w:r>
      <w:proofErr w:type="spellStart"/>
      <w:r w:rsidRPr="000508B6">
        <w:rPr>
          <w:rFonts w:ascii="Times New Roman" w:hAnsi="Times New Roman" w:cs="Times New Roman"/>
          <w:lang w:val="ro-MD"/>
        </w:rPr>
        <w:t>responsabilităţii</w:t>
      </w:r>
      <w:proofErr w:type="spellEnd"/>
      <w:r w:rsidRPr="000508B6">
        <w:rPr>
          <w:rFonts w:ascii="Times New Roman" w:hAnsi="Times New Roman" w:cs="Times New Roman"/>
          <w:lang w:val="ro-MD"/>
        </w:rPr>
        <w:t xml:space="preserve"> de către supraveghetorul </w:t>
      </w:r>
      <w:r w:rsidR="002B5B3E" w:rsidRPr="000508B6">
        <w:rPr>
          <w:rFonts w:ascii="Times New Roman" w:hAnsi="Times New Roman" w:cs="Times New Roman"/>
          <w:lang w:val="ro-MD"/>
        </w:rPr>
        <w:t xml:space="preserve">responsabil </w:t>
      </w:r>
      <w:r w:rsidRPr="000508B6">
        <w:rPr>
          <w:rFonts w:ascii="Times New Roman" w:hAnsi="Times New Roman" w:cs="Times New Roman"/>
          <w:lang w:val="ro-MD"/>
        </w:rPr>
        <w:t xml:space="preserve">desemnat privind </w:t>
      </w:r>
      <w:r w:rsidR="002F431D" w:rsidRPr="000508B6">
        <w:rPr>
          <w:rFonts w:ascii="Times New Roman" w:hAnsi="Times New Roman" w:cs="Times New Roman"/>
          <w:lang w:val="ro-MD"/>
        </w:rPr>
        <w:t xml:space="preserve">verificarea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întregii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a sucursalelor;   </w:t>
      </w:r>
    </w:p>
    <w:p w14:paraId="0ADA6F26" w14:textId="067F8437" w:rsidR="00F95829" w:rsidRPr="000508B6" w:rsidRDefault="00F95829" w:rsidP="001E46F1">
      <w:pPr>
        <w:numPr>
          <w:ilvl w:val="0"/>
          <w:numId w:val="204"/>
        </w:numPr>
        <w:tabs>
          <w:tab w:val="left" w:pos="284"/>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transmite supraveghetorului</w:t>
      </w:r>
      <w:r w:rsidR="002B5B3E" w:rsidRPr="000508B6">
        <w:rPr>
          <w:rFonts w:ascii="Times New Roman" w:hAnsi="Times New Roman" w:cs="Times New Roman"/>
          <w:lang w:val="ro-MD"/>
        </w:rPr>
        <w:t xml:space="preserve"> responsabil</w:t>
      </w:r>
      <w:r w:rsidRPr="000508B6">
        <w:rPr>
          <w:rFonts w:ascii="Times New Roman" w:hAnsi="Times New Roman" w:cs="Times New Roman"/>
          <w:lang w:val="ro-MD"/>
        </w:rPr>
        <w:t xml:space="preserve"> desemnat </w:t>
      </w:r>
      <w:proofErr w:type="spellStart"/>
      <w:r w:rsidRPr="000508B6">
        <w:rPr>
          <w:rFonts w:ascii="Times New Roman" w:hAnsi="Times New Roman" w:cs="Times New Roman"/>
          <w:lang w:val="ro-MD"/>
        </w:rPr>
        <w:t>informaţiil</w:t>
      </w:r>
      <w:r w:rsidR="0079259D" w:rsidRPr="000508B6">
        <w:rPr>
          <w:rFonts w:ascii="Times New Roman" w:hAnsi="Times New Roman" w:cs="Times New Roman"/>
          <w:lang w:val="ro-MD"/>
        </w:rPr>
        <w:t>e</w:t>
      </w:r>
      <w:proofErr w:type="spellEnd"/>
      <w:r w:rsidR="0079259D" w:rsidRPr="000508B6">
        <w:rPr>
          <w:rFonts w:ascii="Times New Roman" w:hAnsi="Times New Roman" w:cs="Times New Roman"/>
          <w:lang w:val="ro-MD"/>
        </w:rPr>
        <w:t xml:space="preserve"> solicitate de către acesta;</w:t>
      </w:r>
    </w:p>
    <w:p w14:paraId="78E6BA9A" w14:textId="4759866D" w:rsidR="00F95829" w:rsidRPr="000508B6" w:rsidRDefault="00576DCF" w:rsidP="001E46F1">
      <w:pPr>
        <w:pStyle w:val="Listparagraf"/>
        <w:numPr>
          <w:ilvl w:val="1"/>
          <w:numId w:val="201"/>
        </w:numPr>
        <w:tabs>
          <w:tab w:val="left" w:pos="284"/>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inițiativa </w:t>
      </w:r>
      <w:r w:rsidR="00223CC5" w:rsidRPr="000508B6">
        <w:rPr>
          <w:rFonts w:ascii="Times New Roman" w:hAnsi="Times New Roman" w:cs="Times New Roman"/>
          <w:lang w:val="ro-MD"/>
        </w:rPr>
        <w:t>Republicii Moldova și altor</w:t>
      </w:r>
      <w:r w:rsidRPr="000508B6">
        <w:rPr>
          <w:rFonts w:ascii="Times New Roman" w:hAnsi="Times New Roman" w:cs="Times New Roman"/>
          <w:lang w:val="ro-MD"/>
        </w:rPr>
        <w:t xml:space="preserve"> state membre în cauză, avantajele acordate în temeiul prezentului articol sunt retrase simultan de toate statele membre în cauză. </w:t>
      </w:r>
    </w:p>
    <w:p w14:paraId="4215D3FA" w14:textId="77777777" w:rsidR="00763FA3" w:rsidRPr="000508B6" w:rsidRDefault="00763FA3" w:rsidP="008B530F">
      <w:pPr>
        <w:tabs>
          <w:tab w:val="left" w:pos="993"/>
        </w:tabs>
        <w:spacing w:after="0"/>
        <w:ind w:firstLine="426"/>
        <w:jc w:val="both"/>
        <w:rPr>
          <w:rFonts w:ascii="Times New Roman" w:hAnsi="Times New Roman" w:cs="Times New Roman"/>
          <w:lang w:val="ro-MD"/>
        </w:rPr>
      </w:pPr>
    </w:p>
    <w:p w14:paraId="59473817" w14:textId="6370A642" w:rsidR="00F95829" w:rsidRPr="000508B6" w:rsidRDefault="00F95829" w:rsidP="008B530F">
      <w:pPr>
        <w:tabs>
          <w:tab w:val="left" w:pos="993"/>
        </w:tabs>
        <w:spacing w:after="0"/>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5F512C" w:rsidRPr="000508B6">
        <w:rPr>
          <w:rFonts w:ascii="Times New Roman" w:hAnsi="Times New Roman" w:cs="Times New Roman"/>
          <w:b/>
          <w:lang w:val="ro-MD"/>
        </w:rPr>
        <w:t>101</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w:t>
      </w:r>
      <w:r w:rsidR="008314B6" w:rsidRPr="000508B6">
        <w:rPr>
          <w:rFonts w:ascii="Times New Roman" w:hAnsi="Times New Roman" w:cs="Times New Roman"/>
          <w:lang w:val="ro-MD"/>
        </w:rPr>
        <w:t>Informații contabile, prudențiale și statistice și sucursale în dificultate</w:t>
      </w:r>
      <w:r w:rsidR="008314B6" w:rsidRPr="000508B6" w:rsidDel="008314B6">
        <w:rPr>
          <w:rFonts w:ascii="Times New Roman" w:hAnsi="Times New Roman" w:cs="Times New Roman"/>
          <w:lang w:val="ro-MD"/>
        </w:rPr>
        <w:t xml:space="preserve"> </w:t>
      </w:r>
      <w:r w:rsidR="00F10283" w:rsidRPr="000508B6">
        <w:rPr>
          <w:rFonts w:ascii="Times New Roman" w:hAnsi="Times New Roman" w:cs="Times New Roman"/>
          <w:lang w:val="ro-MD"/>
        </w:rPr>
        <w:t xml:space="preserve"> </w:t>
      </w:r>
    </w:p>
    <w:p w14:paraId="519637CF" w14:textId="160B260C" w:rsidR="00F95829" w:rsidRPr="000508B6" w:rsidRDefault="001E70E4"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art. </w:t>
      </w:r>
      <w:r w:rsidR="00494DFC" w:rsidRPr="000508B6">
        <w:rPr>
          <w:rFonts w:ascii="Times New Roman" w:eastAsia="Times New Roman" w:hAnsi="Times New Roman" w:cs="Times New Roman"/>
          <w:lang w:val="ro-MD"/>
        </w:rPr>
        <w:t xml:space="preserve">158, art. </w:t>
      </w:r>
      <w:r w:rsidR="00EB4AB1" w:rsidRPr="000508B6">
        <w:rPr>
          <w:rFonts w:ascii="Times New Roman" w:eastAsia="Times New Roman" w:hAnsi="Times New Roman" w:cs="Times New Roman"/>
          <w:lang w:val="ro-MD"/>
        </w:rPr>
        <w:t>17</w:t>
      </w:r>
      <w:r w:rsidR="004223E2"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 xml:space="preserve">, art. </w:t>
      </w:r>
      <w:r w:rsidR="004223E2" w:rsidRPr="000508B6">
        <w:rPr>
          <w:rFonts w:ascii="Times New Roman" w:eastAsia="Times New Roman" w:hAnsi="Times New Roman" w:cs="Times New Roman"/>
          <w:lang w:val="ro-MD"/>
        </w:rPr>
        <w:t>188</w:t>
      </w:r>
      <w:r w:rsidR="005628C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alin. (1)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(3)</w:t>
      </w:r>
      <w:r w:rsidR="00494DFC" w:rsidRPr="000508B6">
        <w:rPr>
          <w:rFonts w:ascii="Times New Roman" w:eastAsia="Times New Roman" w:hAnsi="Times New Roman" w:cs="Times New Roman"/>
          <w:lang w:val="ro-MD"/>
        </w:rPr>
        <w:t xml:space="preserve"> și ale</w:t>
      </w:r>
      <w:r w:rsidRPr="000508B6">
        <w:rPr>
          <w:rFonts w:ascii="Times New Roman" w:eastAsia="Times New Roman" w:hAnsi="Times New Roman" w:cs="Times New Roman"/>
          <w:lang w:val="ro-MD"/>
        </w:rPr>
        <w:t xml:space="preserve"> art. </w:t>
      </w:r>
      <w:r w:rsidR="004223E2" w:rsidRPr="000508B6">
        <w:rPr>
          <w:rFonts w:ascii="Times New Roman" w:eastAsia="Times New Roman" w:hAnsi="Times New Roman" w:cs="Times New Roman"/>
          <w:lang w:val="ro-MD"/>
        </w:rPr>
        <w:t>189</w:t>
      </w:r>
      <w:r w:rsidR="00270B34"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alin. (</w:t>
      </w:r>
      <w:r w:rsidR="00E200B4"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se aplică sucursale</w:t>
      </w:r>
      <w:r w:rsidR="00A60E1B"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 xml:space="preserve"> care fac</w:t>
      </w:r>
      <w:r w:rsidR="00A60E1B"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obiectul prezentului capitol.</w:t>
      </w:r>
    </w:p>
    <w:p w14:paraId="002FD305" w14:textId="77777777" w:rsidR="00B54232" w:rsidRPr="000508B6" w:rsidRDefault="00B54232" w:rsidP="008B530F">
      <w:pPr>
        <w:tabs>
          <w:tab w:val="left" w:pos="993"/>
        </w:tabs>
        <w:spacing w:after="0" w:line="240" w:lineRule="auto"/>
        <w:ind w:firstLine="426"/>
        <w:jc w:val="both"/>
        <w:rPr>
          <w:rFonts w:ascii="Times New Roman" w:eastAsia="Times New Roman" w:hAnsi="Times New Roman" w:cs="Times New Roman"/>
          <w:b/>
          <w:lang w:val="ro-MD"/>
        </w:rPr>
      </w:pPr>
    </w:p>
    <w:p w14:paraId="19BE355E" w14:textId="6F318C68" w:rsidR="00F95829" w:rsidRPr="000508B6" w:rsidRDefault="00F95829" w:rsidP="008B530F">
      <w:pPr>
        <w:tabs>
          <w:tab w:val="left" w:pos="993"/>
        </w:tabs>
        <w:spacing w:after="0"/>
        <w:ind w:firstLine="426"/>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102</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Separarea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w:t>
      </w:r>
    </w:p>
    <w:p w14:paraId="2B26A5B4" w14:textId="541B8819" w:rsidR="00BE4238" w:rsidRPr="000508B6" w:rsidRDefault="00F95829" w:rsidP="00D6366C">
      <w:pPr>
        <w:tabs>
          <w:tab w:val="left" w:pos="993"/>
        </w:tabs>
        <w:spacing w:after="0" w:line="240" w:lineRule="auto"/>
        <w:ind w:firstLine="425"/>
        <w:jc w:val="both"/>
        <w:rPr>
          <w:rFonts w:ascii="Times New Roman" w:hAnsi="Times New Roman" w:cs="Times New Roman"/>
          <w:lang w:val="ro-MD"/>
        </w:rPr>
      </w:pPr>
      <w:r w:rsidRPr="000508B6">
        <w:rPr>
          <w:rFonts w:ascii="Times New Roman" w:hAnsi="Times New Roman" w:cs="Times New Roman"/>
          <w:lang w:val="ro-MD"/>
        </w:rPr>
        <w:t>Sucursal</w:t>
      </w:r>
      <w:r w:rsidR="003E569E" w:rsidRPr="000508B6">
        <w:rPr>
          <w:rFonts w:ascii="Times New Roman" w:hAnsi="Times New Roman" w:cs="Times New Roman"/>
          <w:lang w:val="ro-MD"/>
        </w:rPr>
        <w:t>a</w:t>
      </w:r>
      <w:r w:rsidRPr="000508B6">
        <w:rPr>
          <w:rFonts w:ascii="Times New Roman" w:eastAsia="Times New Roman" w:hAnsi="Times New Roman" w:cs="Times New Roman"/>
          <w:lang w:val="ro-MD"/>
        </w:rPr>
        <w:t xml:space="preserve"> </w:t>
      </w:r>
      <w:r w:rsidR="00223CC5" w:rsidRPr="000508B6">
        <w:rPr>
          <w:rFonts w:ascii="Times New Roman" w:eastAsia="Times New Roman" w:hAnsi="Times New Roman" w:cs="Times New Roman"/>
          <w:lang w:val="ro-MD"/>
        </w:rPr>
        <w:t>unui asigurător</w:t>
      </w:r>
      <w:r w:rsidRPr="000508B6">
        <w:rPr>
          <w:rFonts w:ascii="Times New Roman" w:eastAsia="Times New Roman" w:hAnsi="Times New Roman" w:cs="Times New Roman"/>
          <w:lang w:val="ro-MD"/>
        </w:rPr>
        <w:t xml:space="preserve"> dintr-un stat </w:t>
      </w:r>
      <w:proofErr w:type="spellStart"/>
      <w:r w:rsidRPr="000508B6">
        <w:rPr>
          <w:rFonts w:ascii="Times New Roman" w:eastAsia="Times New Roman" w:hAnsi="Times New Roman" w:cs="Times New Roman"/>
          <w:lang w:val="ro-MD"/>
        </w:rPr>
        <w:t>terţ</w:t>
      </w:r>
      <w:proofErr w:type="spellEnd"/>
      <w:r w:rsidRPr="000508B6">
        <w:rPr>
          <w:rFonts w:ascii="Times New Roman" w:hAnsi="Times New Roman" w:cs="Times New Roman"/>
          <w:lang w:val="ro-MD"/>
        </w:rPr>
        <w:t xml:space="preserve"> </w:t>
      </w:r>
      <w:r w:rsidR="00723671" w:rsidRPr="000508B6">
        <w:rPr>
          <w:rFonts w:ascii="Times New Roman" w:hAnsi="Times New Roman" w:cs="Times New Roman"/>
          <w:lang w:val="ro-MD"/>
        </w:rPr>
        <w:t xml:space="preserve">licențiat </w:t>
      </w:r>
      <w:r w:rsidRPr="000508B6">
        <w:rPr>
          <w:rFonts w:ascii="Times New Roman" w:hAnsi="Times New Roman" w:cs="Times New Roman"/>
          <w:lang w:val="ro-MD"/>
        </w:rPr>
        <w:t>pe teritoriul Republicii Moldova nu po</w:t>
      </w:r>
      <w:r w:rsidR="003E569E" w:rsidRPr="000508B6">
        <w:rPr>
          <w:rFonts w:ascii="Times New Roman" w:hAnsi="Times New Roman" w:cs="Times New Roman"/>
          <w:lang w:val="ro-MD"/>
        </w:rPr>
        <w:t>a</w:t>
      </w:r>
      <w:r w:rsidRPr="000508B6">
        <w:rPr>
          <w:rFonts w:ascii="Times New Roman" w:hAnsi="Times New Roman" w:cs="Times New Roman"/>
          <w:lang w:val="ro-MD"/>
        </w:rPr>
        <w:t>t</w:t>
      </w:r>
      <w:r w:rsidR="003E569E" w:rsidRPr="000508B6">
        <w:rPr>
          <w:rFonts w:ascii="Times New Roman" w:hAnsi="Times New Roman" w:cs="Times New Roman"/>
          <w:lang w:val="ro-MD"/>
        </w:rPr>
        <w:t>e</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w:t>
      </w:r>
      <w:proofErr w:type="spellEnd"/>
      <w:r w:rsidRPr="000508B6">
        <w:rPr>
          <w:rFonts w:ascii="Times New Roman" w:hAnsi="Times New Roman" w:cs="Times New Roman"/>
          <w:lang w:val="ro-MD"/>
        </w:rPr>
        <w:t xml:space="preserve"> simultan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de </w:t>
      </w:r>
      <w:r w:rsidR="0082102F" w:rsidRPr="000508B6">
        <w:rPr>
          <w:rFonts w:ascii="Times New Roman" w:hAnsi="Times New Roman" w:cs="Times New Roman"/>
          <w:lang w:val="ro-MD"/>
        </w:rPr>
        <w:t>asigurare</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511A62" w:rsidRPr="000508B6">
        <w:rPr>
          <w:rFonts w:ascii="Times New Roman" w:hAnsi="Times New Roman" w:cs="Times New Roman"/>
          <w:lang w:val="ro-MD"/>
        </w:rPr>
        <w:t>asigurare generală</w:t>
      </w:r>
      <w:r w:rsidR="00775250" w:rsidRPr="000508B6">
        <w:rPr>
          <w:rFonts w:ascii="Times New Roman" w:hAnsi="Times New Roman" w:cs="Times New Roman"/>
          <w:lang w:val="ro-MD"/>
        </w:rPr>
        <w:t>.</w:t>
      </w:r>
      <w:r w:rsidR="0014711E" w:rsidRPr="000508B6">
        <w:rPr>
          <w:rFonts w:ascii="Times New Roman" w:hAnsi="Times New Roman" w:cs="Times New Roman"/>
          <w:lang w:val="ro-MD"/>
        </w:rPr>
        <w:t xml:space="preserve"> </w:t>
      </w:r>
    </w:p>
    <w:p w14:paraId="7944BB81" w14:textId="77777777" w:rsidR="000C6BF6" w:rsidRPr="000508B6" w:rsidRDefault="000C6BF6" w:rsidP="00D6366C">
      <w:pPr>
        <w:tabs>
          <w:tab w:val="left" w:pos="993"/>
        </w:tabs>
        <w:spacing w:after="0" w:line="240" w:lineRule="auto"/>
        <w:ind w:firstLine="425"/>
        <w:jc w:val="both"/>
        <w:rPr>
          <w:rFonts w:ascii="Times New Roman" w:eastAsia="Times New Roman" w:hAnsi="Times New Roman" w:cs="Times New Roman"/>
          <w:b/>
          <w:lang w:val="ro-MD"/>
        </w:rPr>
      </w:pPr>
    </w:p>
    <w:p w14:paraId="53B59AE6" w14:textId="06666EE2"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103</w:t>
      </w:r>
      <w:r w:rsidR="00B134A5"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sucursalei</w:t>
      </w:r>
      <w:r w:rsidR="000C6BF6" w:rsidRPr="000508B6">
        <w:rPr>
          <w:rFonts w:ascii="Times New Roman" w:eastAsia="Times New Roman" w:hAnsi="Times New Roman" w:cs="Times New Roman"/>
          <w:lang w:val="ro-MD"/>
        </w:rPr>
        <w:t xml:space="preserve"> </w:t>
      </w:r>
      <w:bookmarkStart w:id="122" w:name="_Hlk219453768"/>
      <w:r w:rsidR="0037230A" w:rsidRPr="000508B6">
        <w:rPr>
          <w:rFonts w:ascii="Times New Roman" w:eastAsia="Times New Roman" w:hAnsi="Times New Roman" w:cs="Times New Roman"/>
          <w:lang w:val="ro-MD"/>
        </w:rPr>
        <w:t>licențiate în mai multe state membre</w:t>
      </w:r>
      <w:r w:rsidR="000C6BF6" w:rsidRPr="000508B6">
        <w:rPr>
          <w:rFonts w:ascii="Times New Roman" w:eastAsia="Times New Roman" w:hAnsi="Times New Roman" w:cs="Times New Roman"/>
          <w:lang w:val="ro-MD"/>
        </w:rPr>
        <w:t xml:space="preserve"> </w:t>
      </w:r>
      <w:bookmarkEnd w:id="122"/>
    </w:p>
    <w:p w14:paraId="79045812" w14:textId="29F19038" w:rsidR="00F95829" w:rsidRPr="000508B6" w:rsidRDefault="00A21124" w:rsidP="00DA11F7">
      <w:pPr>
        <w:pStyle w:val="Listparagraf"/>
        <w:numPr>
          <w:ilvl w:val="1"/>
          <w:numId w:val="205"/>
        </w:numPr>
        <w:tabs>
          <w:tab w:val="left" w:pos="709"/>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L</w:t>
      </w:r>
      <w:r w:rsidR="00F95829" w:rsidRPr="000508B6">
        <w:rPr>
          <w:rFonts w:ascii="Times New Roman" w:eastAsia="Times New Roman" w:hAnsi="Times New Roman" w:cs="Times New Roman"/>
          <w:lang w:val="ro-MD"/>
        </w:rPr>
        <w:t>icenţa</w:t>
      </w:r>
      <w:proofErr w:type="spellEnd"/>
      <w:r w:rsidR="00F95829" w:rsidRPr="000508B6">
        <w:rPr>
          <w:rFonts w:ascii="Times New Roman" w:eastAsia="Times New Roman" w:hAnsi="Times New Roman" w:cs="Times New Roman"/>
          <w:lang w:val="ro-MD"/>
        </w:rPr>
        <w:t xml:space="preserve"> sucursalei </w:t>
      </w:r>
      <w:r w:rsidR="00223CC5" w:rsidRPr="000508B6">
        <w:rPr>
          <w:rFonts w:ascii="Times New Roman" w:eastAsia="Times New Roman" w:hAnsi="Times New Roman" w:cs="Times New Roman"/>
          <w:lang w:val="ro-MD"/>
        </w:rPr>
        <w:t>unui</w:t>
      </w:r>
      <w:r w:rsidR="00F95829" w:rsidRPr="000508B6">
        <w:rPr>
          <w:rFonts w:ascii="Times New Roman" w:eastAsia="Times New Roman" w:hAnsi="Times New Roman" w:cs="Times New Roman"/>
          <w:lang w:val="ro-MD"/>
        </w:rPr>
        <w:t xml:space="preserve"> </w:t>
      </w:r>
      <w:r w:rsidR="00223CC5" w:rsidRPr="000508B6">
        <w:rPr>
          <w:rFonts w:ascii="Times New Roman" w:eastAsia="Times New Roman" w:hAnsi="Times New Roman" w:cs="Times New Roman"/>
          <w:lang w:val="ro-MD"/>
        </w:rPr>
        <w:t xml:space="preserve">asigurător </w:t>
      </w:r>
      <w:r w:rsidR="00F95829" w:rsidRPr="000508B6">
        <w:rPr>
          <w:rFonts w:ascii="Times New Roman" w:eastAsia="Times New Roman" w:hAnsi="Times New Roman" w:cs="Times New Roman"/>
          <w:lang w:val="ro-MD"/>
        </w:rPr>
        <w:t xml:space="preserve">dintr-un stat </w:t>
      </w:r>
      <w:proofErr w:type="spellStart"/>
      <w:r w:rsidR="00F95829" w:rsidRPr="000508B6">
        <w:rPr>
          <w:rFonts w:ascii="Times New Roman" w:eastAsia="Times New Roman" w:hAnsi="Times New Roman" w:cs="Times New Roman"/>
          <w:lang w:val="ro-MD"/>
        </w:rPr>
        <w:t>terţ</w:t>
      </w:r>
      <w:proofErr w:type="spellEnd"/>
      <w:r w:rsidR="00F95829" w:rsidRPr="000508B6">
        <w:rPr>
          <w:rFonts w:ascii="Times New Roman" w:eastAsia="Times New Roman" w:hAnsi="Times New Roman" w:cs="Times New Roman"/>
          <w:lang w:val="ro-MD"/>
        </w:rPr>
        <w:t xml:space="preserve"> se retrage </w:t>
      </w:r>
      <w:r w:rsidR="00793169" w:rsidRPr="000508B6">
        <w:rPr>
          <w:rFonts w:ascii="Times New Roman" w:eastAsia="Times New Roman" w:hAnsi="Times New Roman" w:cs="Times New Roman"/>
          <w:lang w:val="ro-MD"/>
        </w:rPr>
        <w:t xml:space="preserve">în </w:t>
      </w:r>
      <w:r w:rsidRPr="000508B6">
        <w:rPr>
          <w:rFonts w:ascii="Times New Roman" w:eastAsia="Times New Roman" w:hAnsi="Times New Roman" w:cs="Times New Roman"/>
          <w:lang w:val="ro-MD"/>
        </w:rPr>
        <w:t>temeiurile prevăzute în art. 164</w:t>
      </w:r>
      <w:r w:rsidR="00793169" w:rsidRPr="000508B6">
        <w:rPr>
          <w:rFonts w:ascii="Times New Roman" w:eastAsia="Times New Roman" w:hAnsi="Times New Roman" w:cs="Times New Roman"/>
          <w:lang w:val="ro-MD"/>
        </w:rPr>
        <w:t>.</w:t>
      </w:r>
    </w:p>
    <w:p w14:paraId="7A660220" w14:textId="1D0DA0BE" w:rsidR="00F95829" w:rsidRPr="000508B6" w:rsidRDefault="00191B82" w:rsidP="001E46F1">
      <w:pPr>
        <w:pStyle w:val="Listparagraf"/>
        <w:numPr>
          <w:ilvl w:val="1"/>
          <w:numId w:val="205"/>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în calitate de supraveghetor </w:t>
      </w:r>
      <w:r w:rsidR="00B2065E" w:rsidRPr="000508B6">
        <w:rPr>
          <w:rFonts w:ascii="Times New Roman" w:eastAsia="Times New Roman" w:hAnsi="Times New Roman" w:cs="Times New Roman"/>
          <w:lang w:val="ro-MD"/>
        </w:rPr>
        <w:t xml:space="preserve">responsabil </w:t>
      </w:r>
      <w:r w:rsidRPr="000508B6">
        <w:rPr>
          <w:rFonts w:ascii="Times New Roman" w:eastAsia="Times New Roman" w:hAnsi="Times New Roman" w:cs="Times New Roman"/>
          <w:lang w:val="ro-MD"/>
        </w:rPr>
        <w:t>desemnat</w:t>
      </w:r>
      <w:r w:rsidR="00A94CF8" w:rsidRPr="000508B6">
        <w:rPr>
          <w:rFonts w:ascii="Times New Roman" w:eastAsia="Times New Roman" w:hAnsi="Times New Roman" w:cs="Times New Roman"/>
          <w:lang w:val="ro-MD"/>
        </w:rPr>
        <w:t xml:space="preserve"> potrivit art. 100</w:t>
      </w:r>
      <w:r w:rsidRPr="000508B6">
        <w:rPr>
          <w:rFonts w:ascii="Times New Roman" w:eastAsia="Times New Roman" w:hAnsi="Times New Roman" w:cs="Times New Roman"/>
          <w:lang w:val="ro-MD"/>
        </w:rPr>
        <w:t xml:space="preserve">, Banca Națională a Moldovei retrage licența sucursalei </w:t>
      </w:r>
      <w:r w:rsidR="0037230A" w:rsidRPr="000508B6">
        <w:rPr>
          <w:rFonts w:ascii="Times New Roman" w:eastAsia="Times New Roman" w:hAnsi="Times New Roman" w:cs="Times New Roman"/>
          <w:lang w:val="ro-MD"/>
        </w:rPr>
        <w:t>dintr-un stat terț</w:t>
      </w:r>
      <w:r w:rsidRPr="000508B6">
        <w:rPr>
          <w:rFonts w:ascii="Times New Roman" w:eastAsia="Times New Roman" w:hAnsi="Times New Roman" w:cs="Times New Roman"/>
          <w:lang w:val="ro-MD"/>
        </w:rPr>
        <w:t xml:space="preserve"> stabilite pe teritoriul Republicii Moldova, </w:t>
      </w:r>
      <w:r w:rsidR="00F41BE4" w:rsidRPr="000508B6">
        <w:rPr>
          <w:rFonts w:ascii="Times New Roman" w:eastAsia="Times New Roman" w:hAnsi="Times New Roman" w:cs="Times New Roman"/>
          <w:lang w:val="ro-MD"/>
        </w:rPr>
        <w:t>aceasta</w:t>
      </w:r>
      <w:r w:rsidRPr="000508B6">
        <w:rPr>
          <w:rFonts w:ascii="Times New Roman" w:eastAsia="Times New Roman" w:hAnsi="Times New Roman" w:cs="Times New Roman"/>
          <w:lang w:val="ro-MD"/>
        </w:rPr>
        <w:t xml:space="preserve"> notifică </w:t>
      </w:r>
      <w:r w:rsidR="00072F41" w:rsidRPr="000508B6">
        <w:rPr>
          <w:rFonts w:ascii="Times New Roman" w:eastAsia="Times New Roman" w:hAnsi="Times New Roman" w:cs="Times New Roman"/>
          <w:lang w:val="ro-MD"/>
        </w:rPr>
        <w:t>ceilalți supraveghetori</w:t>
      </w:r>
      <w:r w:rsidR="00D576A7" w:rsidRPr="000508B6">
        <w:rPr>
          <w:rFonts w:ascii="Times New Roman" w:eastAsia="Times New Roman" w:hAnsi="Times New Roman" w:cs="Times New Roman"/>
          <w:lang w:val="ro-MD"/>
        </w:rPr>
        <w:t>i</w:t>
      </w:r>
      <w:r w:rsidR="002C2FAB" w:rsidRPr="000508B6">
        <w:rPr>
          <w:rFonts w:ascii="Times New Roman" w:eastAsia="Times New Roman" w:hAnsi="Times New Roman" w:cs="Times New Roman"/>
          <w:lang w:val="ro-MD"/>
        </w:rPr>
        <w:t xml:space="preserve"> </w:t>
      </w:r>
      <w:r w:rsidR="00B2065E" w:rsidRPr="000508B6">
        <w:rPr>
          <w:rFonts w:ascii="Times New Roman" w:eastAsia="Times New Roman" w:hAnsi="Times New Roman" w:cs="Times New Roman"/>
          <w:lang w:val="ro-MD"/>
        </w:rPr>
        <w:t xml:space="preserve">din statele membre și </w:t>
      </w:r>
      <w:r w:rsidR="009D3E23" w:rsidRPr="000508B6">
        <w:rPr>
          <w:rFonts w:ascii="Times New Roman" w:eastAsia="Times New Roman" w:hAnsi="Times New Roman" w:cs="Times New Roman"/>
          <w:lang w:val="ro-MD"/>
        </w:rPr>
        <w:t xml:space="preserve">supraveghetorul din </w:t>
      </w:r>
      <w:r w:rsidR="002C2FAB" w:rsidRPr="000508B6">
        <w:rPr>
          <w:rFonts w:ascii="Times New Roman" w:eastAsia="Times New Roman" w:hAnsi="Times New Roman" w:cs="Times New Roman"/>
          <w:lang w:val="ro-MD"/>
        </w:rPr>
        <w:t xml:space="preserve">statul </w:t>
      </w:r>
      <w:proofErr w:type="spellStart"/>
      <w:r w:rsidR="002C2FAB" w:rsidRPr="000508B6">
        <w:rPr>
          <w:rFonts w:ascii="Times New Roman" w:eastAsia="Times New Roman" w:hAnsi="Times New Roman" w:cs="Times New Roman"/>
          <w:lang w:val="ro-MD"/>
        </w:rPr>
        <w:t>terţ</w:t>
      </w:r>
      <w:proofErr w:type="spellEnd"/>
      <w:r w:rsidRPr="000508B6">
        <w:rPr>
          <w:rFonts w:ascii="Times New Roman" w:eastAsia="Times New Roman" w:hAnsi="Times New Roman" w:cs="Times New Roman"/>
          <w:lang w:val="ro-MD"/>
        </w:rPr>
        <w:t>.</w:t>
      </w:r>
      <w:r w:rsidR="00A71FA0" w:rsidRPr="000508B6">
        <w:rPr>
          <w:rFonts w:ascii="Times New Roman" w:eastAsia="Times New Roman" w:hAnsi="Times New Roman" w:cs="Times New Roman"/>
          <w:lang w:val="ro-MD"/>
        </w:rPr>
        <w:t xml:space="preserve"> </w:t>
      </w:r>
    </w:p>
    <w:p w14:paraId="49582FD6" w14:textId="2599045C" w:rsidR="00191B82" w:rsidRPr="000508B6" w:rsidRDefault="00191B82" w:rsidP="001E46F1">
      <w:pPr>
        <w:pStyle w:val="Listparagraf"/>
        <w:numPr>
          <w:ilvl w:val="1"/>
          <w:numId w:val="205"/>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w:t>
      </w:r>
      <w:proofErr w:type="spellStart"/>
      <w:r w:rsidRPr="000508B6">
        <w:rPr>
          <w:rFonts w:ascii="Times New Roman" w:eastAsia="Times New Roman" w:hAnsi="Times New Roman" w:cs="Times New Roman"/>
          <w:lang w:val="ro-MD"/>
        </w:rPr>
        <w:t>situaţia</w:t>
      </w:r>
      <w:proofErr w:type="spellEnd"/>
      <w:r w:rsidRPr="000508B6">
        <w:rPr>
          <w:rFonts w:ascii="Times New Roman" w:eastAsia="Times New Roman" w:hAnsi="Times New Roman" w:cs="Times New Roman"/>
          <w:lang w:val="ro-MD"/>
        </w:rPr>
        <w:t xml:space="preserve"> în care Banca Națională a Moldovei nu este supraveghetor </w:t>
      </w:r>
      <w:r w:rsidR="00B2065E" w:rsidRPr="000508B6">
        <w:rPr>
          <w:rFonts w:ascii="Times New Roman" w:eastAsia="Times New Roman" w:hAnsi="Times New Roman" w:cs="Times New Roman"/>
          <w:lang w:val="ro-MD"/>
        </w:rPr>
        <w:t xml:space="preserve">responsabil </w:t>
      </w:r>
      <w:r w:rsidRPr="000508B6">
        <w:rPr>
          <w:rFonts w:ascii="Times New Roman" w:eastAsia="Times New Roman" w:hAnsi="Times New Roman" w:cs="Times New Roman"/>
          <w:lang w:val="ro-MD"/>
        </w:rPr>
        <w:t>desemnat</w:t>
      </w:r>
      <w:r w:rsidR="00A94CF8" w:rsidRPr="000508B6">
        <w:rPr>
          <w:rFonts w:ascii="Times New Roman" w:eastAsia="Times New Roman" w:hAnsi="Times New Roman" w:cs="Times New Roman"/>
          <w:lang w:val="ro-MD"/>
        </w:rPr>
        <w:t xml:space="preserve"> potrivit art. 100</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este notificată cu privire la retragerea </w:t>
      </w:r>
      <w:r w:rsidR="00A94CF8" w:rsidRPr="000508B6">
        <w:rPr>
          <w:rFonts w:ascii="Times New Roman" w:eastAsia="Times New Roman" w:hAnsi="Times New Roman" w:cs="Times New Roman"/>
          <w:lang w:val="ro-MD"/>
        </w:rPr>
        <w:t xml:space="preserve">licenței </w:t>
      </w:r>
      <w:r w:rsidRPr="000508B6">
        <w:rPr>
          <w:rFonts w:ascii="Times New Roman" w:eastAsia="Times New Roman" w:hAnsi="Times New Roman" w:cs="Times New Roman"/>
          <w:lang w:val="ro-MD"/>
        </w:rPr>
        <w:t xml:space="preserve">unei sucursale din </w:t>
      </w:r>
      <w:r w:rsidR="0037230A" w:rsidRPr="000508B6">
        <w:rPr>
          <w:rFonts w:ascii="Times New Roman" w:eastAsia="Times New Roman" w:hAnsi="Times New Roman" w:cs="Times New Roman"/>
          <w:lang w:val="ro-MD"/>
        </w:rPr>
        <w:t>stat terț aflată</w:t>
      </w:r>
      <w:r w:rsidRPr="000508B6">
        <w:rPr>
          <w:rFonts w:ascii="Times New Roman" w:eastAsia="Times New Roman" w:hAnsi="Times New Roman" w:cs="Times New Roman"/>
          <w:lang w:val="ro-MD"/>
        </w:rPr>
        <w:t xml:space="preserve"> </w:t>
      </w:r>
      <w:r w:rsidR="0037230A" w:rsidRPr="000508B6">
        <w:rPr>
          <w:rFonts w:ascii="Times New Roman" w:eastAsia="Times New Roman" w:hAnsi="Times New Roman" w:cs="Times New Roman"/>
          <w:lang w:val="ro-MD"/>
        </w:rPr>
        <w:t xml:space="preserve">în </w:t>
      </w:r>
      <w:r w:rsidRPr="000508B6">
        <w:rPr>
          <w:rFonts w:ascii="Times New Roman" w:eastAsia="Times New Roman" w:hAnsi="Times New Roman" w:cs="Times New Roman"/>
          <w:lang w:val="ro-MD"/>
        </w:rPr>
        <w:t>alt stat membru</w:t>
      </w:r>
      <w:r w:rsidR="00E5366B" w:rsidRPr="000508B6">
        <w:rPr>
          <w:rFonts w:ascii="Times New Roman" w:eastAsia="Times New Roman" w:hAnsi="Times New Roman" w:cs="Times New Roman"/>
          <w:lang w:val="ro-MD"/>
        </w:rPr>
        <w:t xml:space="preserve"> aceasta</w:t>
      </w:r>
      <w:r w:rsidRPr="000508B6">
        <w:rPr>
          <w:rFonts w:ascii="Times New Roman" w:eastAsia="Times New Roman" w:hAnsi="Times New Roman" w:cs="Times New Roman"/>
          <w:lang w:val="ro-MD"/>
        </w:rPr>
        <w:t>:</w:t>
      </w:r>
    </w:p>
    <w:p w14:paraId="5730076C" w14:textId="77777777" w:rsidR="00191B82" w:rsidRPr="000508B6" w:rsidRDefault="00191B82" w:rsidP="001E46F1">
      <w:pPr>
        <w:pStyle w:val="Listparagraf"/>
        <w:tabs>
          <w:tab w:val="left" w:pos="709"/>
          <w:tab w:val="left" w:pos="993"/>
        </w:tabs>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asigură supravegherea sucursalei; </w:t>
      </w:r>
    </w:p>
    <w:p w14:paraId="05263080" w14:textId="540B00B3" w:rsidR="00191B82" w:rsidRPr="000508B6" w:rsidRDefault="00191B82" w:rsidP="001E46F1">
      <w:pPr>
        <w:tabs>
          <w:tab w:val="left" w:pos="709"/>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retrage </w:t>
      </w:r>
      <w:r w:rsidR="00572C52" w:rsidRPr="000508B6">
        <w:rPr>
          <w:rFonts w:ascii="Times New Roman" w:eastAsia="Times New Roman" w:hAnsi="Times New Roman" w:cs="Times New Roman"/>
          <w:lang w:val="ro-MD"/>
        </w:rPr>
        <w:t>licența</w:t>
      </w:r>
      <w:r w:rsidRPr="000508B6">
        <w:rPr>
          <w:rFonts w:ascii="Times New Roman" w:eastAsia="Times New Roman" w:hAnsi="Times New Roman" w:cs="Times New Roman"/>
          <w:lang w:val="ro-MD"/>
        </w:rPr>
        <w:t xml:space="preserve"> sucursalei din Republica Moldova dacă decizia supraveghetorului </w:t>
      </w:r>
      <w:r w:rsidR="00B2065E" w:rsidRPr="000508B6">
        <w:rPr>
          <w:rFonts w:ascii="Times New Roman" w:eastAsia="Times New Roman" w:hAnsi="Times New Roman" w:cs="Times New Roman"/>
          <w:lang w:val="ro-MD"/>
        </w:rPr>
        <w:t xml:space="preserve">responsabil </w:t>
      </w:r>
      <w:r w:rsidRPr="000508B6">
        <w:rPr>
          <w:rFonts w:ascii="Times New Roman" w:eastAsia="Times New Roman" w:hAnsi="Times New Roman" w:cs="Times New Roman"/>
          <w:lang w:val="ro-MD"/>
        </w:rPr>
        <w:t>desemnat</w:t>
      </w:r>
      <w:r w:rsidR="00A94CF8" w:rsidRPr="000508B6">
        <w:rPr>
          <w:rFonts w:ascii="Times New Roman" w:eastAsia="Times New Roman" w:hAnsi="Times New Roman" w:cs="Times New Roman"/>
          <w:lang w:val="ro-MD"/>
        </w:rPr>
        <w:t xml:space="preserve"> potrivit art. 100</w:t>
      </w:r>
      <w:r w:rsidRPr="000508B6">
        <w:rPr>
          <w:rFonts w:ascii="Times New Roman" w:eastAsia="Times New Roman" w:hAnsi="Times New Roman" w:cs="Times New Roman"/>
          <w:lang w:val="ro-MD"/>
        </w:rPr>
        <w:t xml:space="preserve"> este motivată de încălcarea </w:t>
      </w:r>
      <w:proofErr w:type="spellStart"/>
      <w:r w:rsidRPr="000508B6">
        <w:rPr>
          <w:rFonts w:ascii="Times New Roman" w:eastAsia="Times New Roman" w:hAnsi="Times New Roman" w:cs="Times New Roman"/>
          <w:lang w:val="ro-MD"/>
        </w:rPr>
        <w:t>cerinţelor</w:t>
      </w:r>
      <w:proofErr w:type="spellEnd"/>
      <w:r w:rsidRPr="000508B6">
        <w:rPr>
          <w:rFonts w:ascii="Times New Roman" w:eastAsia="Times New Roman" w:hAnsi="Times New Roman" w:cs="Times New Roman"/>
          <w:lang w:val="ro-MD"/>
        </w:rPr>
        <w:t xml:space="preserve"> privind solvabilitatea globală.</w:t>
      </w:r>
      <w:r w:rsidR="00AD50E9" w:rsidRPr="000508B6">
        <w:rPr>
          <w:rFonts w:ascii="Times New Roman" w:eastAsia="Times New Roman" w:hAnsi="Times New Roman" w:cs="Times New Roman"/>
          <w:lang w:val="ro-MD"/>
        </w:rPr>
        <w:t xml:space="preserve"> </w:t>
      </w:r>
    </w:p>
    <w:p w14:paraId="37758CAA" w14:textId="7DFBD874" w:rsidR="006D1D87" w:rsidRPr="000508B6" w:rsidRDefault="006D1D87" w:rsidP="005A1CC0">
      <w:pPr>
        <w:pStyle w:val="Listparagraf"/>
        <w:tabs>
          <w:tab w:val="left" w:pos="993"/>
        </w:tabs>
        <w:spacing w:after="0" w:line="240" w:lineRule="auto"/>
        <w:ind w:left="426"/>
        <w:rPr>
          <w:rFonts w:ascii="Times New Roman" w:eastAsia="Times New Roman" w:hAnsi="Times New Roman" w:cs="Times New Roman"/>
          <w:b/>
          <w:lang w:val="ro-MD"/>
        </w:rPr>
      </w:pPr>
    </w:p>
    <w:p w14:paraId="78FB6E5A" w14:textId="0E5E8091" w:rsidR="00F95829" w:rsidRPr="000508B6" w:rsidRDefault="00F95829" w:rsidP="008B530F">
      <w:pPr>
        <w:tabs>
          <w:tab w:val="left" w:pos="993"/>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VI</w:t>
      </w:r>
    </w:p>
    <w:p w14:paraId="17F7BB11" w14:textId="77777777" w:rsidR="005A6396" w:rsidRPr="000508B6" w:rsidRDefault="005A6396" w:rsidP="008B530F">
      <w:pPr>
        <w:tabs>
          <w:tab w:val="left" w:pos="993"/>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CONDIŢIILE APLICABILE CONTRACTELOR DE ASIGURARE ŞI/SAU DE REASIGURARE</w:t>
      </w:r>
    </w:p>
    <w:p w14:paraId="1273CC44" w14:textId="77777777" w:rsidR="00F95829" w:rsidRPr="000508B6" w:rsidRDefault="00F95829" w:rsidP="008B530F">
      <w:pPr>
        <w:tabs>
          <w:tab w:val="left" w:pos="993"/>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1</w:t>
      </w:r>
    </w:p>
    <w:p w14:paraId="7F70112F" w14:textId="275D2D6C" w:rsidR="00F95829" w:rsidRPr="000508B6" w:rsidRDefault="00F95829" w:rsidP="008B530F">
      <w:pPr>
        <w:tabs>
          <w:tab w:val="left" w:pos="993"/>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Dispoziții generale</w:t>
      </w:r>
    </w:p>
    <w:p w14:paraId="65A88C3F" w14:textId="5867FE8C"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104</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772F22" w:rsidRPr="000508B6">
        <w:rPr>
          <w:rFonts w:ascii="Times New Roman" w:eastAsia="Times New Roman" w:hAnsi="Times New Roman" w:cs="Times New Roman"/>
          <w:lang w:val="ro-MD"/>
        </w:rPr>
        <w:t xml:space="preserve">Legea aplicabilă </w:t>
      </w:r>
      <w:proofErr w:type="spellStart"/>
      <w:r w:rsidR="00772F22" w:rsidRPr="000508B6">
        <w:rPr>
          <w:rFonts w:ascii="Times New Roman" w:eastAsia="Times New Roman" w:hAnsi="Times New Roman" w:cs="Times New Roman"/>
          <w:lang w:val="ro-MD"/>
        </w:rPr>
        <w:t>şi</w:t>
      </w:r>
      <w:proofErr w:type="spellEnd"/>
      <w:r w:rsidR="00772F22" w:rsidRPr="000508B6">
        <w:rPr>
          <w:rFonts w:ascii="Times New Roman" w:eastAsia="Times New Roman" w:hAnsi="Times New Roman" w:cs="Times New Roman"/>
          <w:lang w:val="ro-MD"/>
        </w:rPr>
        <w:t xml:space="preserve"> </w:t>
      </w:r>
      <w:proofErr w:type="spellStart"/>
      <w:r w:rsidR="00772F22" w:rsidRPr="000508B6">
        <w:rPr>
          <w:rFonts w:ascii="Times New Roman" w:eastAsia="Times New Roman" w:hAnsi="Times New Roman" w:cs="Times New Roman"/>
          <w:lang w:val="ro-MD"/>
        </w:rPr>
        <w:t>condiţiile</w:t>
      </w:r>
      <w:proofErr w:type="spellEnd"/>
      <w:r w:rsidR="00772F22" w:rsidRPr="000508B6">
        <w:rPr>
          <w:rFonts w:ascii="Times New Roman" w:eastAsia="Times New Roman" w:hAnsi="Times New Roman" w:cs="Times New Roman"/>
          <w:lang w:val="ro-MD"/>
        </w:rPr>
        <w:t xml:space="preserve"> de asigurare directă</w:t>
      </w:r>
    </w:p>
    <w:p w14:paraId="0E192A67" w14:textId="2081A1C8" w:rsidR="00F95829" w:rsidRPr="000508B6" w:rsidRDefault="005E7D73" w:rsidP="001E46F1">
      <w:pPr>
        <w:pStyle w:val="Listparagraf"/>
        <w:numPr>
          <w:ilvl w:val="1"/>
          <w:numId w:val="20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F95829" w:rsidRPr="000508B6">
        <w:rPr>
          <w:rFonts w:ascii="Times New Roman" w:eastAsia="Times New Roman" w:hAnsi="Times New Roman" w:cs="Times New Roman"/>
          <w:lang w:val="ro-MD"/>
        </w:rPr>
        <w:t xml:space="preserve"> oferă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încheie contracte de asigurare</w:t>
      </w:r>
      <w:r w:rsidR="00C60467" w:rsidRPr="000508B6">
        <w:rPr>
          <w:rFonts w:ascii="Times New Roman" w:eastAsia="Times New Roman" w:hAnsi="Times New Roman" w:cs="Times New Roman"/>
          <w:lang w:val="ro-MD"/>
        </w:rPr>
        <w:t xml:space="preserve"> </w:t>
      </w:r>
      <w:r w:rsidR="00FB19AE" w:rsidRPr="000508B6">
        <w:rPr>
          <w:rFonts w:ascii="Times New Roman" w:eastAsia="Times New Roman" w:hAnsi="Times New Roman" w:cs="Times New Roman"/>
          <w:lang w:val="ro-MD"/>
        </w:rPr>
        <w:t>cu</w:t>
      </w:r>
      <w:r w:rsidR="00F95829" w:rsidRPr="000508B6">
        <w:rPr>
          <w:rFonts w:ascii="Times New Roman" w:eastAsia="Times New Roman" w:hAnsi="Times New Roman" w:cs="Times New Roman"/>
          <w:lang w:val="ro-MD"/>
        </w:rPr>
        <w:t xml:space="preserve"> respect</w:t>
      </w:r>
      <w:r w:rsidR="00FB19AE" w:rsidRPr="000508B6">
        <w:rPr>
          <w:rFonts w:ascii="Times New Roman" w:eastAsia="Times New Roman" w:hAnsi="Times New Roman" w:cs="Times New Roman"/>
          <w:lang w:val="ro-MD"/>
        </w:rPr>
        <w:t>area</w:t>
      </w:r>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dispoziţiilor</w:t>
      </w:r>
      <w:proofErr w:type="spellEnd"/>
      <w:r w:rsidR="00F95829" w:rsidRPr="000508B6">
        <w:rPr>
          <w:rFonts w:ascii="Times New Roman" w:eastAsia="Times New Roman" w:hAnsi="Times New Roman" w:cs="Times New Roman"/>
          <w:lang w:val="ro-MD"/>
        </w:rPr>
        <w:t xml:space="preserve"> Codului civil, prezentei legi, </w:t>
      </w:r>
      <w:proofErr w:type="spellStart"/>
      <w:r w:rsidR="00F95829" w:rsidRPr="000508B6">
        <w:rPr>
          <w:rFonts w:ascii="Times New Roman" w:eastAsia="Times New Roman" w:hAnsi="Times New Roman" w:cs="Times New Roman"/>
          <w:lang w:val="ro-MD"/>
        </w:rPr>
        <w:t>legislaţiei</w:t>
      </w:r>
      <w:proofErr w:type="spellEnd"/>
      <w:r w:rsidR="00F95829" w:rsidRPr="000508B6">
        <w:rPr>
          <w:rFonts w:ascii="Times New Roman" w:eastAsia="Times New Roman" w:hAnsi="Times New Roman" w:cs="Times New Roman"/>
          <w:lang w:val="ro-MD"/>
        </w:rPr>
        <w:t xml:space="preserve"> cu privire la asigurările obligatorii</w:t>
      </w:r>
      <w:r w:rsidR="00366308" w:rsidRPr="000508B6">
        <w:rPr>
          <w:rFonts w:ascii="Times New Roman" w:eastAsia="Times New Roman" w:hAnsi="Times New Roman" w:cs="Times New Roman"/>
          <w:lang w:val="ro-MD"/>
        </w:rPr>
        <w:t>,</w:t>
      </w:r>
      <w:r w:rsidR="00F95829" w:rsidRPr="000508B6" w:rsidDel="00366308">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 xml:space="preserve">asigurările </w:t>
      </w:r>
      <w:proofErr w:type="spellStart"/>
      <w:r w:rsidR="00F95829" w:rsidRPr="000508B6">
        <w:rPr>
          <w:rFonts w:ascii="Times New Roman" w:eastAsia="Times New Roman" w:hAnsi="Times New Roman" w:cs="Times New Roman"/>
          <w:lang w:val="ro-MD"/>
        </w:rPr>
        <w:t>subvenţionate</w:t>
      </w:r>
      <w:proofErr w:type="spellEnd"/>
      <w:r w:rsidR="00AD33AF"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ale actelor normative ale Băncii Naționale a Moldovei</w:t>
      </w:r>
      <w:r w:rsidR="001F29D5" w:rsidRPr="000508B6">
        <w:rPr>
          <w:rFonts w:ascii="Times New Roman" w:eastAsia="Times New Roman" w:hAnsi="Times New Roman" w:cs="Times New Roman"/>
          <w:lang w:val="ro-MD"/>
        </w:rPr>
        <w:t xml:space="preserve"> și ale </w:t>
      </w:r>
      <w:r w:rsidR="00DA11F7" w:rsidRPr="000508B6">
        <w:rPr>
          <w:rFonts w:ascii="Times New Roman" w:eastAsia="Times New Roman" w:hAnsi="Times New Roman" w:cs="Times New Roman"/>
          <w:lang w:val="ro-MD"/>
        </w:rPr>
        <w:t>CNPF</w:t>
      </w:r>
      <w:r w:rsidR="00F95829" w:rsidRPr="000508B6">
        <w:rPr>
          <w:rFonts w:ascii="Times New Roman" w:eastAsia="Times New Roman" w:hAnsi="Times New Roman" w:cs="Times New Roman"/>
          <w:lang w:val="ro-MD"/>
        </w:rPr>
        <w:t>.</w:t>
      </w:r>
      <w:r w:rsidR="00DE5694" w:rsidRPr="000508B6">
        <w:rPr>
          <w:rFonts w:ascii="Times New Roman" w:eastAsia="Times New Roman" w:hAnsi="Times New Roman" w:cs="Times New Roman"/>
          <w:lang w:val="ro-MD"/>
        </w:rPr>
        <w:t xml:space="preserve"> </w:t>
      </w:r>
    </w:p>
    <w:p w14:paraId="6D85FAB6" w14:textId="6E03C8AD" w:rsidR="00772F22" w:rsidRPr="000508B6" w:rsidRDefault="004627AC" w:rsidP="001E46F1">
      <w:pPr>
        <w:pStyle w:val="Listparagraf"/>
        <w:numPr>
          <w:ilvl w:val="1"/>
          <w:numId w:val="20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CNPF</w:t>
      </w:r>
      <w:r w:rsidR="00A72B29" w:rsidRPr="000508B6">
        <w:rPr>
          <w:rFonts w:ascii="Times New Roman" w:eastAsia="Times New Roman" w:hAnsi="Times New Roman" w:cs="Times New Roman"/>
          <w:lang w:val="ro-MD"/>
        </w:rPr>
        <w:t xml:space="preserve"> </w:t>
      </w:r>
      <w:r w:rsidR="00772F22" w:rsidRPr="000508B6">
        <w:rPr>
          <w:rFonts w:ascii="Times New Roman" w:eastAsia="Times New Roman" w:hAnsi="Times New Roman" w:cs="Times New Roman"/>
          <w:lang w:val="ro-MD"/>
        </w:rPr>
        <w:t xml:space="preserve">transmite Comisiei Europene următoarele </w:t>
      </w:r>
      <w:proofErr w:type="spellStart"/>
      <w:r w:rsidR="00772F22" w:rsidRPr="000508B6">
        <w:rPr>
          <w:rFonts w:ascii="Times New Roman" w:eastAsia="Times New Roman" w:hAnsi="Times New Roman" w:cs="Times New Roman"/>
          <w:lang w:val="ro-MD"/>
        </w:rPr>
        <w:t>informaţii</w:t>
      </w:r>
      <w:proofErr w:type="spellEnd"/>
      <w:r w:rsidR="00772F22" w:rsidRPr="000508B6">
        <w:rPr>
          <w:rFonts w:ascii="Times New Roman" w:eastAsia="Times New Roman" w:hAnsi="Times New Roman" w:cs="Times New Roman"/>
          <w:lang w:val="ro-MD"/>
        </w:rPr>
        <w:t xml:space="preserve"> pentru fiecare tip de asigurare obligatorie: </w:t>
      </w:r>
    </w:p>
    <w:p w14:paraId="0520670A" w14:textId="0567382D" w:rsidR="00772F22" w:rsidRPr="000508B6" w:rsidRDefault="00772F22" w:rsidP="001E46F1">
      <w:pPr>
        <w:pStyle w:val="Listparagraf"/>
        <w:numPr>
          <w:ilvl w:val="2"/>
          <w:numId w:val="367"/>
        </w:numPr>
        <w:tabs>
          <w:tab w:val="left" w:pos="709"/>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dispoziţiile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w:t>
      </w:r>
      <w:r w:rsidR="003525DD" w:rsidRPr="000508B6">
        <w:rPr>
          <w:rFonts w:ascii="Times New Roman" w:eastAsia="Times New Roman" w:hAnsi="Times New Roman" w:cs="Times New Roman"/>
          <w:lang w:val="ro-MD"/>
        </w:rPr>
        <w:t>naționale</w:t>
      </w:r>
      <w:r w:rsidRPr="000508B6">
        <w:rPr>
          <w:rFonts w:ascii="Times New Roman" w:eastAsia="Times New Roman" w:hAnsi="Times New Roman" w:cs="Times New Roman"/>
          <w:lang w:val="ro-MD"/>
        </w:rPr>
        <w:t>;</w:t>
      </w:r>
    </w:p>
    <w:p w14:paraId="7685F2E6" w14:textId="2A7C2F78" w:rsidR="00772F22" w:rsidRPr="000508B6" w:rsidRDefault="00772F22" w:rsidP="001E46F1">
      <w:pPr>
        <w:pStyle w:val="Listparagraf"/>
        <w:numPr>
          <w:ilvl w:val="2"/>
          <w:numId w:val="367"/>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elementele </w:t>
      </w:r>
      <w:r w:rsidR="00FA256D" w:rsidRPr="000508B6">
        <w:rPr>
          <w:rFonts w:ascii="Times New Roman" w:eastAsia="Times New Roman" w:hAnsi="Times New Roman" w:cs="Times New Roman"/>
          <w:lang w:val="ro-MD"/>
        </w:rPr>
        <w:t>care trebuie să figureze în</w:t>
      </w:r>
      <w:r w:rsidRPr="000508B6">
        <w:rPr>
          <w:rFonts w:ascii="Times New Roman" w:eastAsia="Times New Roman" w:hAnsi="Times New Roman" w:cs="Times New Roman"/>
          <w:lang w:val="ro-MD"/>
        </w:rPr>
        <w:t xml:space="preserve"> atestarea </w:t>
      </w:r>
      <w:r w:rsidR="00FA256D" w:rsidRPr="000508B6">
        <w:rPr>
          <w:rFonts w:ascii="Times New Roman" w:eastAsia="Times New Roman" w:hAnsi="Times New Roman" w:cs="Times New Roman"/>
          <w:lang w:val="ro-MD"/>
        </w:rPr>
        <w:t xml:space="preserve">pe 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A9429E" w:rsidRPr="000508B6">
        <w:rPr>
          <w:rFonts w:ascii="Times New Roman" w:eastAsia="Times New Roman" w:hAnsi="Times New Roman" w:cs="Times New Roman"/>
          <w:lang w:val="ro-MD"/>
        </w:rPr>
        <w:t xml:space="preserve"> </w:t>
      </w:r>
      <w:r w:rsidR="00FA256D" w:rsidRPr="000508B6">
        <w:rPr>
          <w:rFonts w:ascii="Times New Roman" w:eastAsia="Times New Roman" w:hAnsi="Times New Roman" w:cs="Times New Roman"/>
          <w:lang w:val="ro-MD"/>
        </w:rPr>
        <w:t xml:space="preserve">trebuie să o dea asiguratului </w:t>
      </w:r>
      <w:r w:rsidRPr="000508B6">
        <w:rPr>
          <w:rFonts w:ascii="Times New Roman" w:eastAsia="Times New Roman" w:hAnsi="Times New Roman" w:cs="Times New Roman"/>
          <w:lang w:val="ro-MD"/>
        </w:rPr>
        <w:t>care reprezintă dovada faptului că asigurarea respectivă a fost încheiată.</w:t>
      </w:r>
    </w:p>
    <w:p w14:paraId="2669EBEE" w14:textId="77777777" w:rsidR="004C706F" w:rsidRPr="000508B6" w:rsidRDefault="004C706F" w:rsidP="0012597F">
      <w:pPr>
        <w:tabs>
          <w:tab w:val="left" w:pos="993"/>
        </w:tabs>
        <w:spacing w:after="0" w:line="240" w:lineRule="auto"/>
        <w:ind w:firstLine="426"/>
        <w:jc w:val="both"/>
        <w:rPr>
          <w:rFonts w:ascii="Times New Roman" w:eastAsia="Times New Roman" w:hAnsi="Times New Roman" w:cs="Times New Roman"/>
          <w:b/>
          <w:bCs/>
          <w:lang w:val="ro-MD"/>
        </w:rPr>
      </w:pPr>
      <w:bookmarkStart w:id="123" w:name="_Hlk214996166"/>
    </w:p>
    <w:p w14:paraId="12AE40D5" w14:textId="7146E3E3" w:rsidR="0075532D" w:rsidRPr="000508B6" w:rsidRDefault="0075532D" w:rsidP="0012597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bCs/>
          <w:lang w:val="ro-MD"/>
        </w:rPr>
        <w:t xml:space="preserve">Articolul 105. </w:t>
      </w:r>
      <w:r w:rsidRPr="000508B6">
        <w:rPr>
          <w:rFonts w:ascii="Times New Roman" w:eastAsia="Times New Roman" w:hAnsi="Times New Roman" w:cs="Times New Roman"/>
          <w:lang w:val="ro-MD"/>
        </w:rPr>
        <w:t>Condițiile de asigurare și tarifele pentru asigurările de viață</w:t>
      </w:r>
    </w:p>
    <w:bookmarkEnd w:id="123"/>
    <w:p w14:paraId="07D5A752" w14:textId="22DB0ABE" w:rsidR="00F95829" w:rsidRPr="000508B6" w:rsidRDefault="00F95829" w:rsidP="00DC58E9">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poate solicita </w:t>
      </w:r>
      <w:r w:rsidR="00910FDF" w:rsidRPr="000508B6">
        <w:rPr>
          <w:rFonts w:ascii="Times New Roman" w:eastAsia="Times New Roman" w:hAnsi="Times New Roman" w:cs="Times New Roman"/>
          <w:lang w:val="ro-MD"/>
        </w:rPr>
        <w:t xml:space="preserve">asigurătorului </w:t>
      </w:r>
      <w:r w:rsidR="0003551B" w:rsidRPr="000508B6">
        <w:rPr>
          <w:rFonts w:ascii="Times New Roman" w:eastAsia="Times New Roman" w:hAnsi="Times New Roman" w:cs="Times New Roman"/>
          <w:lang w:val="ro-MD"/>
        </w:rPr>
        <w:t xml:space="preserve">care desfășoară activitate </w:t>
      </w:r>
      <w:r w:rsidRPr="000508B6">
        <w:rPr>
          <w:rFonts w:ascii="Times New Roman" w:eastAsia="Times New Roman" w:hAnsi="Times New Roman" w:cs="Times New Roman"/>
          <w:lang w:val="ro-MD"/>
        </w:rPr>
        <w:t xml:space="preserve">de asigurare </w:t>
      </w:r>
      <w:r w:rsidR="006D2F26" w:rsidRPr="000508B6">
        <w:rPr>
          <w:rFonts w:ascii="Times New Roman" w:eastAsia="Times New Roman" w:hAnsi="Times New Roman" w:cs="Times New Roman"/>
          <w:lang w:val="ro-MD"/>
        </w:rPr>
        <w:t xml:space="preserve">de </w:t>
      </w:r>
      <w:proofErr w:type="spellStart"/>
      <w:r w:rsidR="006D2F26" w:rsidRPr="000508B6">
        <w:rPr>
          <w:rFonts w:ascii="Times New Roman" w:eastAsia="Times New Roman" w:hAnsi="Times New Roman" w:cs="Times New Roman"/>
          <w:lang w:val="ro-MD"/>
        </w:rPr>
        <w:t>viaţă</w:t>
      </w:r>
      <w:proofErr w:type="spellEnd"/>
      <w:r w:rsidR="006D2F2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transmiterea sistematică a </w:t>
      </w:r>
      <w:r w:rsidR="0075532D" w:rsidRPr="000508B6">
        <w:rPr>
          <w:rFonts w:ascii="Times New Roman" w:eastAsia="Times New Roman" w:hAnsi="Times New Roman" w:cs="Times New Roman"/>
          <w:lang w:val="ro-MD"/>
        </w:rPr>
        <w:t xml:space="preserve">bazelor </w:t>
      </w:r>
      <w:r w:rsidRPr="000508B6">
        <w:rPr>
          <w:rFonts w:ascii="Times New Roman" w:eastAsia="Times New Roman" w:hAnsi="Times New Roman" w:cs="Times New Roman"/>
          <w:lang w:val="ro-MD"/>
        </w:rPr>
        <w:t xml:space="preserve">tehnice utilizate în calcularea primelor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rezervelor tehnice, </w:t>
      </w:r>
      <w:r w:rsidR="00B92309" w:rsidRPr="000508B6">
        <w:rPr>
          <w:rFonts w:ascii="Times New Roman" w:eastAsia="Times New Roman" w:hAnsi="Times New Roman" w:cs="Times New Roman"/>
          <w:lang w:val="ro-MD"/>
        </w:rPr>
        <w:t xml:space="preserve">doar </w:t>
      </w:r>
      <w:r w:rsidRPr="000508B6">
        <w:rPr>
          <w:rFonts w:ascii="Times New Roman" w:eastAsia="Times New Roman" w:hAnsi="Times New Roman" w:cs="Times New Roman"/>
          <w:lang w:val="ro-MD"/>
        </w:rPr>
        <w:t>ca măsură de control al respectării principiilor actuariale.</w:t>
      </w:r>
    </w:p>
    <w:p w14:paraId="27A10966" w14:textId="30E99966"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w:t>
      </w:r>
    </w:p>
    <w:p w14:paraId="67F25862" w14:textId="651ED7AF"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75532D" w:rsidRPr="000508B6">
        <w:rPr>
          <w:rFonts w:ascii="Times New Roman" w:eastAsia="Times New Roman" w:hAnsi="Times New Roman" w:cs="Times New Roman"/>
          <w:b/>
          <w:lang w:val="ro-MD"/>
        </w:rPr>
        <w:t>106</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Informarea </w:t>
      </w:r>
      <w:r w:rsidR="00935368" w:rsidRPr="000508B6">
        <w:rPr>
          <w:rFonts w:ascii="Times New Roman" w:eastAsia="Times New Roman" w:hAnsi="Times New Roman" w:cs="Times New Roman"/>
          <w:lang w:val="ro-MD"/>
        </w:rPr>
        <w:t xml:space="preserve">asiguraților </w:t>
      </w:r>
    </w:p>
    <w:p w14:paraId="5C6F4F99" w14:textId="5DECAC80" w:rsidR="001638BE" w:rsidRPr="000508B6" w:rsidRDefault="001638BE" w:rsidP="00DA11F7">
      <w:pPr>
        <w:pStyle w:val="Listparagraf"/>
        <w:numPr>
          <w:ilvl w:val="1"/>
          <w:numId w:val="2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Înainte de încheierea unui contract de </w:t>
      </w:r>
      <w:r w:rsidR="002370D0"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general</w:t>
      </w:r>
      <w:r w:rsidR="002370D0"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w:t>
      </w:r>
      <w:bookmarkStart w:id="124" w:name="_Hlk208309189"/>
      <w:r w:rsidR="005E7D73" w:rsidRPr="000508B6">
        <w:rPr>
          <w:rFonts w:ascii="Times New Roman" w:eastAsia="Times New Roman" w:hAnsi="Times New Roman" w:cs="Times New Roman"/>
          <w:lang w:val="ro-MD"/>
        </w:rPr>
        <w:t>asigurătorul</w:t>
      </w:r>
      <w:r w:rsidR="007E6E10" w:rsidRPr="000508B6">
        <w:rPr>
          <w:rFonts w:ascii="Times New Roman" w:eastAsia="Times New Roman" w:hAnsi="Times New Roman" w:cs="Times New Roman"/>
          <w:lang w:val="ro-MD"/>
        </w:rPr>
        <w:t xml:space="preserve"> </w:t>
      </w:r>
      <w:bookmarkEnd w:id="124"/>
      <w:r w:rsidRPr="000508B6">
        <w:rPr>
          <w:rFonts w:ascii="Times New Roman" w:eastAsia="Times New Roman" w:hAnsi="Times New Roman" w:cs="Times New Roman"/>
          <w:lang w:val="ro-MD"/>
        </w:rPr>
        <w:t xml:space="preserve">informează </w:t>
      </w:r>
      <w:proofErr w:type="spellStart"/>
      <w:r w:rsidRPr="000508B6">
        <w:rPr>
          <w:rFonts w:ascii="Times New Roman" w:eastAsia="Times New Roman" w:hAnsi="Times New Roman" w:cs="Times New Roman"/>
          <w:lang w:val="ro-MD"/>
        </w:rPr>
        <w:t>potenţialii</w:t>
      </w:r>
      <w:proofErr w:type="spellEnd"/>
      <w:r w:rsidRPr="000508B6">
        <w:rPr>
          <w:rFonts w:ascii="Times New Roman" w:eastAsia="Times New Roman" w:hAnsi="Times New Roman" w:cs="Times New Roman"/>
          <w:lang w:val="ro-MD"/>
        </w:rPr>
        <w:t xml:space="preserve"> </w:t>
      </w:r>
      <w:r w:rsidR="00935368" w:rsidRPr="000508B6">
        <w:rPr>
          <w:rFonts w:ascii="Times New Roman" w:eastAsia="Times New Roman" w:hAnsi="Times New Roman" w:cs="Times New Roman"/>
          <w:lang w:val="ro-MD"/>
        </w:rPr>
        <w:t>asigurați</w:t>
      </w:r>
      <w:r w:rsidRPr="000508B6">
        <w:rPr>
          <w:rFonts w:ascii="Times New Roman" w:eastAsia="Times New Roman" w:hAnsi="Times New Roman" w:cs="Times New Roman"/>
          <w:lang w:val="ro-MD"/>
        </w:rPr>
        <w:t xml:space="preserve">, </w:t>
      </w:r>
      <w:r w:rsidR="002E34FE" w:rsidRPr="000508B6">
        <w:rPr>
          <w:rFonts w:ascii="Times New Roman" w:eastAsia="Times New Roman" w:hAnsi="Times New Roman" w:cs="Times New Roman"/>
          <w:lang w:val="ro-MD"/>
        </w:rPr>
        <w:t xml:space="preserve">persoane fizice </w:t>
      </w:r>
      <w:r w:rsidRPr="000508B6">
        <w:rPr>
          <w:rFonts w:ascii="Times New Roman" w:eastAsia="Times New Roman" w:hAnsi="Times New Roman" w:cs="Times New Roman"/>
          <w:lang w:val="ro-MD"/>
        </w:rPr>
        <w:t>cu privire la următoarele:</w:t>
      </w:r>
    </w:p>
    <w:p w14:paraId="354D85BC" w14:textId="21F52794" w:rsidR="001638BE" w:rsidRPr="000508B6" w:rsidRDefault="001638BE" w:rsidP="009D58DB">
      <w:pPr>
        <w:pStyle w:val="Listparagraf"/>
        <w:numPr>
          <w:ilvl w:val="0"/>
          <w:numId w:val="214"/>
        </w:numPr>
        <w:tabs>
          <w:tab w:val="left" w:pos="709"/>
          <w:tab w:val="left" w:pos="786"/>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legea aplicabilă contractului</w:t>
      </w:r>
      <w:r w:rsidR="005E038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în cazul în care </w:t>
      </w:r>
      <w:proofErr w:type="spellStart"/>
      <w:r w:rsidRPr="000508B6">
        <w:rPr>
          <w:rFonts w:ascii="Times New Roman" w:eastAsia="Times New Roman" w:hAnsi="Times New Roman" w:cs="Times New Roman"/>
          <w:lang w:val="ro-MD"/>
        </w:rPr>
        <w:t>părţile</w:t>
      </w:r>
      <w:proofErr w:type="spellEnd"/>
      <w:r w:rsidRPr="000508B6">
        <w:rPr>
          <w:rFonts w:ascii="Times New Roman" w:eastAsia="Times New Roman" w:hAnsi="Times New Roman" w:cs="Times New Roman"/>
          <w:lang w:val="ro-MD"/>
        </w:rPr>
        <w:t xml:space="preserve"> nu au libertatea de a</w:t>
      </w:r>
      <w:r w:rsidR="00363C09" w:rsidRPr="000508B6">
        <w:rPr>
          <w:rFonts w:ascii="Times New Roman" w:eastAsia="Times New Roman" w:hAnsi="Times New Roman" w:cs="Times New Roman"/>
          <w:lang w:val="ro-MD"/>
        </w:rPr>
        <w:t xml:space="preserve"> alege</w:t>
      </w:r>
      <w:r w:rsidRPr="000508B6">
        <w:rPr>
          <w:rFonts w:ascii="Times New Roman" w:eastAsia="Times New Roman" w:hAnsi="Times New Roman" w:cs="Times New Roman"/>
          <w:lang w:val="ro-MD"/>
        </w:rPr>
        <w:t>;</w:t>
      </w:r>
    </w:p>
    <w:p w14:paraId="6127DD29" w14:textId="33871F0B" w:rsidR="001638BE" w:rsidRPr="000508B6" w:rsidRDefault="001638BE" w:rsidP="009D58DB">
      <w:pPr>
        <w:pStyle w:val="Listparagraf"/>
        <w:numPr>
          <w:ilvl w:val="0"/>
          <w:numId w:val="214"/>
        </w:numPr>
        <w:tabs>
          <w:tab w:val="left" w:pos="709"/>
          <w:tab w:val="left" w:pos="786"/>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faptul că </w:t>
      </w:r>
      <w:proofErr w:type="spellStart"/>
      <w:r w:rsidRPr="000508B6">
        <w:rPr>
          <w:rFonts w:ascii="Times New Roman" w:eastAsia="Times New Roman" w:hAnsi="Times New Roman" w:cs="Times New Roman"/>
          <w:lang w:val="ro-MD"/>
        </w:rPr>
        <w:t>părţile</w:t>
      </w:r>
      <w:proofErr w:type="spellEnd"/>
      <w:r w:rsidRPr="000508B6">
        <w:rPr>
          <w:rFonts w:ascii="Times New Roman" w:eastAsia="Times New Roman" w:hAnsi="Times New Roman" w:cs="Times New Roman"/>
          <w:lang w:val="ro-MD"/>
        </w:rPr>
        <w:t xml:space="preserve"> au libertatea de a alege legea aplicabilă,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 acest caz, legea pe care </w:t>
      </w:r>
      <w:r w:rsidR="005E7D73" w:rsidRPr="000508B6">
        <w:rPr>
          <w:rFonts w:ascii="Times New Roman" w:eastAsia="Times New Roman" w:hAnsi="Times New Roman" w:cs="Times New Roman"/>
          <w:lang w:val="ro-MD"/>
        </w:rPr>
        <w:t xml:space="preserve">asigurătorul </w:t>
      </w:r>
      <w:proofErr w:type="spellStart"/>
      <w:r w:rsidRPr="000508B6">
        <w:rPr>
          <w:rFonts w:ascii="Times New Roman" w:eastAsia="Times New Roman" w:hAnsi="Times New Roman" w:cs="Times New Roman"/>
          <w:lang w:val="ro-MD"/>
        </w:rPr>
        <w:t>îşi</w:t>
      </w:r>
      <w:proofErr w:type="spellEnd"/>
      <w:r w:rsidRPr="000508B6">
        <w:rPr>
          <w:rFonts w:ascii="Times New Roman" w:eastAsia="Times New Roman" w:hAnsi="Times New Roman" w:cs="Times New Roman"/>
          <w:lang w:val="ro-MD"/>
        </w:rPr>
        <w:t xml:space="preserve"> propune să o aleagă;</w:t>
      </w:r>
    </w:p>
    <w:p w14:paraId="5D35BD96" w14:textId="6B4547A9" w:rsidR="001638BE" w:rsidRPr="000508B6" w:rsidRDefault="001638BE" w:rsidP="009D58DB">
      <w:pPr>
        <w:pStyle w:val="Listparagraf"/>
        <w:numPr>
          <w:ilvl w:val="0"/>
          <w:numId w:val="214"/>
        </w:numPr>
        <w:tabs>
          <w:tab w:val="left" w:pos="709"/>
          <w:tab w:val="left" w:pos="786"/>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modalitatea de </w:t>
      </w:r>
      <w:proofErr w:type="spellStart"/>
      <w:r w:rsidRPr="000508B6">
        <w:rPr>
          <w:rFonts w:ascii="Times New Roman" w:eastAsia="Times New Roman" w:hAnsi="Times New Roman" w:cs="Times New Roman"/>
          <w:lang w:val="ro-MD"/>
        </w:rPr>
        <w:t>soluţionare</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petiţiilor</w:t>
      </w:r>
      <w:proofErr w:type="spellEnd"/>
      <w:r w:rsidRPr="000508B6">
        <w:rPr>
          <w:rFonts w:ascii="Times New Roman" w:eastAsia="Times New Roman" w:hAnsi="Times New Roman" w:cs="Times New Roman"/>
          <w:lang w:val="ro-MD"/>
        </w:rPr>
        <w:t xml:space="preserve">, inclusiv cu privire la dreptul de a se adresa </w:t>
      </w:r>
      <w:r w:rsidR="00804A98" w:rsidRPr="000508B6">
        <w:rPr>
          <w:rFonts w:ascii="Times New Roman" w:eastAsia="Times New Roman" w:hAnsi="Times New Roman" w:cs="Times New Roman"/>
          <w:lang w:val="ro-MD"/>
        </w:rPr>
        <w:t>autorității competente</w:t>
      </w:r>
      <w:r w:rsidRPr="000508B6">
        <w:rPr>
          <w:rFonts w:ascii="Times New Roman" w:eastAsia="Times New Roman" w:hAnsi="Times New Roman" w:cs="Times New Roman"/>
          <w:lang w:val="ro-MD"/>
        </w:rPr>
        <w:t xml:space="preserve">, fără a aduce atingere dreptului de a sesiza </w:t>
      </w:r>
      <w:proofErr w:type="spellStart"/>
      <w:r w:rsidRPr="000508B6">
        <w:rPr>
          <w:rFonts w:ascii="Times New Roman" w:eastAsia="Times New Roman" w:hAnsi="Times New Roman" w:cs="Times New Roman"/>
          <w:lang w:val="ro-MD"/>
        </w:rPr>
        <w:t>instanţele</w:t>
      </w:r>
      <w:proofErr w:type="spellEnd"/>
      <w:r w:rsidRPr="000508B6">
        <w:rPr>
          <w:rFonts w:ascii="Times New Roman" w:eastAsia="Times New Roman" w:hAnsi="Times New Roman" w:cs="Times New Roman"/>
          <w:lang w:val="ro-MD"/>
        </w:rPr>
        <w:t xml:space="preserve"> </w:t>
      </w:r>
      <w:r w:rsidR="00E56D65" w:rsidRPr="000508B6">
        <w:rPr>
          <w:rFonts w:ascii="Times New Roman" w:eastAsia="Times New Roman" w:hAnsi="Times New Roman" w:cs="Times New Roman"/>
          <w:lang w:val="ro-MD"/>
        </w:rPr>
        <w:t>de judecată</w:t>
      </w:r>
      <w:r w:rsidRPr="000508B6">
        <w:rPr>
          <w:rFonts w:ascii="Times New Roman" w:eastAsia="Times New Roman" w:hAnsi="Times New Roman" w:cs="Times New Roman"/>
          <w:lang w:val="ro-MD"/>
        </w:rPr>
        <w:t>.</w:t>
      </w:r>
    </w:p>
    <w:p w14:paraId="7BECD732" w14:textId="61BEB9EB" w:rsidR="001638BE" w:rsidRPr="000508B6" w:rsidRDefault="001638BE" w:rsidP="009D58DB">
      <w:pPr>
        <w:pStyle w:val="Listparagraf"/>
        <w:numPr>
          <w:ilvl w:val="0"/>
          <w:numId w:val="2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5E7D73" w:rsidRPr="000508B6">
        <w:rPr>
          <w:rFonts w:ascii="Times New Roman" w:eastAsia="Times New Roman" w:hAnsi="Times New Roman" w:cs="Times New Roman"/>
          <w:lang w:val="ro-MD"/>
        </w:rPr>
        <w:t xml:space="preserve">asigurătorul </w:t>
      </w:r>
      <w:proofErr w:type="spellStart"/>
      <w:r w:rsidR="002370D0" w:rsidRPr="000508B6">
        <w:rPr>
          <w:rFonts w:ascii="Times New Roman" w:eastAsia="Times New Roman" w:hAnsi="Times New Roman" w:cs="Times New Roman"/>
          <w:lang w:val="ro-MD"/>
        </w:rPr>
        <w:t>defășoară</w:t>
      </w:r>
      <w:proofErr w:type="spellEnd"/>
      <w:r w:rsidRPr="000508B6">
        <w:rPr>
          <w:rFonts w:ascii="Times New Roman" w:eastAsia="Times New Roman" w:hAnsi="Times New Roman" w:cs="Times New Roman"/>
          <w:lang w:val="ro-MD"/>
        </w:rPr>
        <w:t xml:space="preserve"> </w:t>
      </w:r>
      <w:r w:rsidR="00267FF8" w:rsidRPr="000508B6">
        <w:rPr>
          <w:rFonts w:ascii="Times New Roman" w:eastAsia="Times New Roman" w:hAnsi="Times New Roman" w:cs="Times New Roman"/>
          <w:lang w:val="ro-MD"/>
        </w:rPr>
        <w:t xml:space="preserve">activitate de </w:t>
      </w:r>
      <w:r w:rsidR="002370D0"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general</w:t>
      </w:r>
      <w:r w:rsidR="002370D0"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în baza dreptului de stabilire</w:t>
      </w:r>
      <w:r w:rsidR="0003388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sau a </w:t>
      </w:r>
      <w:proofErr w:type="spellStart"/>
      <w:r w:rsidRPr="000508B6">
        <w:rPr>
          <w:rFonts w:ascii="Times New Roman" w:eastAsia="Times New Roman" w:hAnsi="Times New Roman" w:cs="Times New Roman"/>
          <w:lang w:val="ro-MD"/>
        </w:rPr>
        <w:t>libertăţii</w:t>
      </w:r>
      <w:proofErr w:type="spellEnd"/>
      <w:r w:rsidRPr="000508B6">
        <w:rPr>
          <w:rFonts w:ascii="Times New Roman" w:eastAsia="Times New Roman" w:hAnsi="Times New Roman" w:cs="Times New Roman"/>
          <w:lang w:val="ro-MD"/>
        </w:rPr>
        <w:t xml:space="preserve"> de a presta servicii, </w:t>
      </w:r>
      <w:r w:rsidR="0082360C" w:rsidRPr="000508B6">
        <w:rPr>
          <w:rFonts w:ascii="Times New Roman" w:eastAsia="Times New Roman" w:hAnsi="Times New Roman" w:cs="Times New Roman"/>
          <w:lang w:val="ro-MD"/>
        </w:rPr>
        <w:t xml:space="preserve">aceasta </w:t>
      </w:r>
      <w:r w:rsidRPr="000508B6">
        <w:rPr>
          <w:rFonts w:ascii="Times New Roman" w:eastAsia="Times New Roman" w:hAnsi="Times New Roman" w:cs="Times New Roman"/>
          <w:lang w:val="ro-MD"/>
        </w:rPr>
        <w:t xml:space="preserve">comunică </w:t>
      </w:r>
      <w:proofErr w:type="spellStart"/>
      <w:r w:rsidRPr="000508B6">
        <w:rPr>
          <w:rFonts w:ascii="Times New Roman" w:eastAsia="Times New Roman" w:hAnsi="Times New Roman" w:cs="Times New Roman"/>
          <w:lang w:val="ro-MD"/>
        </w:rPr>
        <w:t>potenţialilor</w:t>
      </w:r>
      <w:proofErr w:type="spellEnd"/>
      <w:r w:rsidRPr="000508B6">
        <w:rPr>
          <w:rFonts w:ascii="Times New Roman" w:eastAsia="Times New Roman" w:hAnsi="Times New Roman" w:cs="Times New Roman"/>
          <w:lang w:val="ro-MD"/>
        </w:rPr>
        <w:t xml:space="preserve"> </w:t>
      </w:r>
      <w:r w:rsidR="00DB47EE" w:rsidRPr="000508B6">
        <w:rPr>
          <w:rFonts w:ascii="Times New Roman" w:eastAsia="Times New Roman" w:hAnsi="Times New Roman" w:cs="Times New Roman"/>
          <w:lang w:val="ro-MD"/>
        </w:rPr>
        <w:t xml:space="preserve">asigurați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033885" w:rsidRPr="000508B6">
        <w:rPr>
          <w:rFonts w:ascii="Times New Roman" w:eastAsia="Times New Roman" w:hAnsi="Times New Roman" w:cs="Times New Roman"/>
          <w:lang w:val="ro-MD"/>
        </w:rPr>
        <w:t xml:space="preserve">include </w:t>
      </w:r>
      <w:r w:rsidRPr="000508B6">
        <w:rPr>
          <w:rFonts w:ascii="Times New Roman" w:eastAsia="Times New Roman" w:hAnsi="Times New Roman" w:cs="Times New Roman"/>
          <w:lang w:val="ro-MD"/>
        </w:rPr>
        <w:t xml:space="preserve">în documentele emise, inclusiv în oferta de asigurare, următoarele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w:t>
      </w:r>
    </w:p>
    <w:p w14:paraId="09E57FDF" w14:textId="1E72982A" w:rsidR="001638BE" w:rsidRPr="000508B6" w:rsidRDefault="001638BE" w:rsidP="009D58DB">
      <w:pPr>
        <w:pStyle w:val="Listparagraf"/>
        <w:numPr>
          <w:ilvl w:val="0"/>
          <w:numId w:val="215"/>
        </w:numPr>
        <w:tabs>
          <w:tab w:val="left" w:pos="709"/>
          <w:tab w:val="left" w:pos="786"/>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adresa sediului central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datele de contact ale sucursalei sau ale altor sedii</w:t>
      </w:r>
      <w:r w:rsidR="0010536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secundare care emit contractul de asigurare;</w:t>
      </w:r>
    </w:p>
    <w:p w14:paraId="48DAC37C" w14:textId="0031A555" w:rsidR="001638BE" w:rsidRPr="000508B6" w:rsidRDefault="001638BE" w:rsidP="009D58DB">
      <w:pPr>
        <w:pStyle w:val="Listparagraf"/>
        <w:numPr>
          <w:ilvl w:val="0"/>
          <w:numId w:val="215"/>
        </w:numPr>
        <w:tabs>
          <w:tab w:val="left" w:pos="709"/>
          <w:tab w:val="left" w:pos="786"/>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numele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adresa reprezentan</w:t>
      </w:r>
      <w:r w:rsidR="008106C2" w:rsidRPr="000508B6">
        <w:rPr>
          <w:rFonts w:ascii="Times New Roman" w:eastAsia="Times New Roman" w:hAnsi="Times New Roman" w:cs="Times New Roman"/>
          <w:lang w:val="ro-MD"/>
        </w:rPr>
        <w:t>tului</w:t>
      </w:r>
      <w:r w:rsidRPr="000508B6">
        <w:rPr>
          <w:rFonts w:ascii="Times New Roman" w:eastAsia="Times New Roman" w:hAnsi="Times New Roman" w:cs="Times New Roman"/>
          <w:lang w:val="ro-MD"/>
        </w:rPr>
        <w:t xml:space="preserve"> de despăgubiri în</w:t>
      </w:r>
      <w:r w:rsidR="0010536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stat</w:t>
      </w:r>
      <w:r w:rsidR="00DA469A" w:rsidRPr="000508B6">
        <w:rPr>
          <w:rFonts w:ascii="Times New Roman" w:eastAsia="Times New Roman" w:hAnsi="Times New Roman" w:cs="Times New Roman"/>
          <w:lang w:val="ro-MD"/>
        </w:rPr>
        <w:t>ul</w:t>
      </w:r>
      <w:r w:rsidRPr="000508B6">
        <w:rPr>
          <w:rFonts w:ascii="Times New Roman" w:eastAsia="Times New Roman" w:hAnsi="Times New Roman" w:cs="Times New Roman"/>
          <w:lang w:val="ro-MD"/>
        </w:rPr>
        <w:t xml:space="preserve"> memb</w:t>
      </w:r>
      <w:r w:rsidR="00FC7183" w:rsidRPr="000508B6">
        <w:rPr>
          <w:rFonts w:ascii="Times New Roman" w:eastAsia="Times New Roman" w:hAnsi="Times New Roman" w:cs="Times New Roman"/>
          <w:lang w:val="ro-MD"/>
        </w:rPr>
        <w:t>r</w:t>
      </w:r>
      <w:r w:rsidR="00DA469A" w:rsidRPr="000508B6">
        <w:rPr>
          <w:rFonts w:ascii="Times New Roman" w:eastAsia="Times New Roman" w:hAnsi="Times New Roman" w:cs="Times New Roman"/>
          <w:lang w:val="ro-MD"/>
        </w:rPr>
        <w:t>u</w:t>
      </w:r>
      <w:r w:rsidRPr="000508B6">
        <w:rPr>
          <w:rFonts w:ascii="Times New Roman" w:eastAsia="Times New Roman" w:hAnsi="Times New Roman" w:cs="Times New Roman"/>
          <w:lang w:val="ro-MD"/>
        </w:rPr>
        <w:t>.</w:t>
      </w:r>
    </w:p>
    <w:p w14:paraId="0B40729D" w14:textId="42743730" w:rsidR="001638BE" w:rsidRPr="000508B6" w:rsidRDefault="001638BE" w:rsidP="009D58DB">
      <w:pPr>
        <w:pStyle w:val="Listparagraf"/>
        <w:numPr>
          <w:ilvl w:val="0"/>
          <w:numId w:val="2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Comunicarea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prevăzute la alin. (3) lit. a) nu este obligatorie în</w:t>
      </w:r>
      <w:r w:rsidR="0010536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cazul subscrierii de riscuri majore.</w:t>
      </w:r>
      <w:r w:rsidR="005407DE" w:rsidRPr="000508B6">
        <w:rPr>
          <w:rFonts w:ascii="Times New Roman" w:eastAsia="Times New Roman" w:hAnsi="Times New Roman" w:cs="Times New Roman"/>
          <w:lang w:val="ro-MD"/>
        </w:rPr>
        <w:t xml:space="preserve"> </w:t>
      </w:r>
    </w:p>
    <w:p w14:paraId="39F4AFE4" w14:textId="6CEF4CCD" w:rsidR="001638BE" w:rsidRPr="000508B6" w:rsidRDefault="001638BE" w:rsidP="009D58DB">
      <w:pPr>
        <w:pStyle w:val="Listparagraf"/>
        <w:numPr>
          <w:ilvl w:val="0"/>
          <w:numId w:val="2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Înainte de încheierea unui contract de asigurare</w:t>
      </w:r>
      <w:r w:rsidR="006D2F26" w:rsidRPr="000508B6">
        <w:rPr>
          <w:rFonts w:ascii="Times New Roman" w:eastAsia="Times New Roman" w:hAnsi="Times New Roman" w:cs="Times New Roman"/>
          <w:lang w:val="ro-MD"/>
        </w:rPr>
        <w:t xml:space="preserve"> de viață</w:t>
      </w:r>
      <w:r w:rsidRPr="000508B6">
        <w:rPr>
          <w:rFonts w:ascii="Times New Roman" w:eastAsia="Times New Roman" w:hAnsi="Times New Roman" w:cs="Times New Roman"/>
          <w:lang w:val="ro-MD"/>
        </w:rPr>
        <w:t xml:space="preserve">, </w:t>
      </w:r>
      <w:r w:rsidR="005E7D73"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comunică</w:t>
      </w:r>
      <w:r w:rsidR="00105360" w:rsidRPr="000508B6">
        <w:rPr>
          <w:rFonts w:ascii="Times New Roman" w:eastAsia="Times New Roman" w:hAnsi="Times New Roman" w:cs="Times New Roman"/>
          <w:lang w:val="ro-MD"/>
        </w:rPr>
        <w:t xml:space="preserve"> </w:t>
      </w:r>
      <w:bookmarkStart w:id="125" w:name="_Hlk183176985"/>
      <w:r w:rsidR="00031B91" w:rsidRPr="000508B6">
        <w:rPr>
          <w:rFonts w:ascii="Times New Roman" w:eastAsia="Times New Roman" w:hAnsi="Times New Roman" w:cs="Times New Roman"/>
          <w:lang w:val="ro-MD"/>
        </w:rPr>
        <w:t>potențialilor</w:t>
      </w:r>
      <w:r w:rsidRPr="000508B6">
        <w:rPr>
          <w:rFonts w:ascii="Times New Roman" w:eastAsia="Times New Roman" w:hAnsi="Times New Roman" w:cs="Times New Roman"/>
          <w:lang w:val="ro-MD"/>
        </w:rPr>
        <w:t xml:space="preserve"> </w:t>
      </w:r>
      <w:r w:rsidR="00DB47EE" w:rsidRPr="000508B6">
        <w:rPr>
          <w:rFonts w:ascii="Times New Roman" w:eastAsia="Times New Roman" w:hAnsi="Times New Roman" w:cs="Times New Roman"/>
          <w:lang w:val="ro-MD"/>
        </w:rPr>
        <w:t xml:space="preserve">asigurați </w:t>
      </w:r>
      <w:bookmarkEnd w:id="125"/>
      <w:r w:rsidRPr="000508B6">
        <w:rPr>
          <w:rFonts w:ascii="Times New Roman" w:eastAsia="Times New Roman" w:hAnsi="Times New Roman" w:cs="Times New Roman"/>
          <w:lang w:val="ro-MD"/>
        </w:rPr>
        <w:t xml:space="preserve">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următoarele:</w:t>
      </w:r>
    </w:p>
    <w:p w14:paraId="2C00F9DB" w14:textId="43239979" w:rsidR="001638BE" w:rsidRPr="000508B6" w:rsidRDefault="001638BE" w:rsidP="009D58DB">
      <w:pPr>
        <w:pStyle w:val="Listparagraf"/>
        <w:numPr>
          <w:ilvl w:val="0"/>
          <w:numId w:val="216"/>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denumirea sa, forma </w:t>
      </w:r>
      <w:proofErr w:type="spellStart"/>
      <w:r w:rsidR="009D19A9" w:rsidRPr="000508B6">
        <w:rPr>
          <w:rFonts w:ascii="Times New Roman" w:eastAsia="Times New Roman" w:hAnsi="Times New Roman" w:cs="Times New Roman"/>
          <w:lang w:val="ro-MD"/>
        </w:rPr>
        <w:t>organizatorico</w:t>
      </w:r>
      <w:proofErr w:type="spellEnd"/>
      <w:r w:rsidR="009D19A9"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juridică, adresa sediului central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datele de contact ale</w:t>
      </w:r>
      <w:r w:rsidR="003F2BA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sucursalei sau ale altor sedii secundare care emit contractul de asigurare;</w:t>
      </w:r>
    </w:p>
    <w:p w14:paraId="4A535FED" w14:textId="7F760736" w:rsidR="001638BE" w:rsidRPr="000508B6" w:rsidRDefault="001638BE" w:rsidP="009D58DB">
      <w:pPr>
        <w:pStyle w:val="Listparagraf"/>
        <w:numPr>
          <w:ilvl w:val="0"/>
          <w:numId w:val="216"/>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modalitatea de accesare a raportului privind solvabilitatea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7B28F2" w:rsidRPr="000508B6">
        <w:rPr>
          <w:rFonts w:ascii="Times New Roman" w:eastAsia="Times New Roman" w:hAnsi="Times New Roman" w:cs="Times New Roman"/>
          <w:lang w:val="ro-MD"/>
        </w:rPr>
        <w:t xml:space="preserve">situația </w:t>
      </w:r>
      <w:r w:rsidRPr="000508B6">
        <w:rPr>
          <w:rFonts w:ascii="Times New Roman" w:eastAsia="Times New Roman" w:hAnsi="Times New Roman" w:cs="Times New Roman"/>
          <w:lang w:val="ro-MD"/>
        </w:rPr>
        <w:t xml:space="preserve">financiară, ce permite </w:t>
      </w:r>
      <w:proofErr w:type="spellStart"/>
      <w:r w:rsidR="00794E9D" w:rsidRPr="000508B6">
        <w:rPr>
          <w:rFonts w:ascii="Times New Roman" w:eastAsia="Times New Roman" w:hAnsi="Times New Roman" w:cs="Times New Roman"/>
          <w:lang w:val="ro-MD"/>
        </w:rPr>
        <w:t>potenţialilor</w:t>
      </w:r>
      <w:proofErr w:type="spellEnd"/>
      <w:r w:rsidR="00794E9D" w:rsidRPr="000508B6">
        <w:rPr>
          <w:rFonts w:ascii="Times New Roman" w:eastAsia="Times New Roman" w:hAnsi="Times New Roman" w:cs="Times New Roman"/>
          <w:lang w:val="ro-MD"/>
        </w:rPr>
        <w:t xml:space="preserve"> asigurați </w:t>
      </w:r>
      <w:r w:rsidRPr="000508B6">
        <w:rPr>
          <w:rFonts w:ascii="Times New Roman" w:eastAsia="Times New Roman" w:hAnsi="Times New Roman" w:cs="Times New Roman"/>
          <w:lang w:val="ro-MD"/>
        </w:rPr>
        <w:t>un acces</w:t>
      </w:r>
      <w:r w:rsidR="00033885"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uşor</w:t>
      </w:r>
      <w:proofErr w:type="spellEnd"/>
      <w:r w:rsidRPr="000508B6">
        <w:rPr>
          <w:rFonts w:ascii="Times New Roman" w:eastAsia="Times New Roman" w:hAnsi="Times New Roman" w:cs="Times New Roman"/>
          <w:lang w:val="ro-MD"/>
        </w:rPr>
        <w:t xml:space="preserve"> la aceste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w:t>
      </w:r>
      <w:r w:rsidR="005407DE" w:rsidRPr="000508B6">
        <w:rPr>
          <w:rFonts w:ascii="Times New Roman" w:eastAsia="Times New Roman" w:hAnsi="Times New Roman" w:cs="Times New Roman"/>
          <w:lang w:val="ro-MD"/>
        </w:rPr>
        <w:t xml:space="preserve"> </w:t>
      </w:r>
    </w:p>
    <w:p w14:paraId="7290CFB6" w14:textId="78AFD204" w:rsidR="001638BE" w:rsidRPr="000508B6" w:rsidRDefault="001638BE" w:rsidP="009D58DB">
      <w:pPr>
        <w:pStyle w:val="Listparagraf"/>
        <w:numPr>
          <w:ilvl w:val="0"/>
          <w:numId w:val="2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ceea ce </w:t>
      </w:r>
      <w:proofErr w:type="spellStart"/>
      <w:r w:rsidRPr="000508B6">
        <w:rPr>
          <w:rFonts w:ascii="Times New Roman" w:eastAsia="Times New Roman" w:hAnsi="Times New Roman" w:cs="Times New Roman"/>
          <w:lang w:val="ro-MD"/>
        </w:rPr>
        <w:t>priveşte</w:t>
      </w:r>
      <w:proofErr w:type="spellEnd"/>
      <w:r w:rsidRPr="000508B6">
        <w:rPr>
          <w:rFonts w:ascii="Times New Roman" w:eastAsia="Times New Roman" w:hAnsi="Times New Roman" w:cs="Times New Roman"/>
          <w:lang w:val="ro-MD"/>
        </w:rPr>
        <w:t xml:space="preserve"> contractul de asigurare</w:t>
      </w:r>
      <w:r w:rsidR="006D2F26" w:rsidRPr="000508B6">
        <w:rPr>
          <w:rFonts w:ascii="Times New Roman" w:eastAsia="Times New Roman" w:hAnsi="Times New Roman" w:cs="Times New Roman"/>
          <w:lang w:val="ro-MD"/>
        </w:rPr>
        <w:t xml:space="preserve"> de viață</w:t>
      </w:r>
      <w:r w:rsidRPr="000508B6">
        <w:rPr>
          <w:rFonts w:ascii="Times New Roman" w:eastAsia="Times New Roman" w:hAnsi="Times New Roman" w:cs="Times New Roman"/>
          <w:lang w:val="ro-MD"/>
        </w:rPr>
        <w:t xml:space="preserve">, </w:t>
      </w:r>
      <w:r w:rsidR="005E7D73"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comunică </w:t>
      </w:r>
      <w:proofErr w:type="spellStart"/>
      <w:r w:rsidRPr="000508B6">
        <w:rPr>
          <w:rFonts w:ascii="Times New Roman" w:eastAsia="Times New Roman" w:hAnsi="Times New Roman" w:cs="Times New Roman"/>
          <w:lang w:val="ro-MD"/>
        </w:rPr>
        <w:t>potenţialilor</w:t>
      </w:r>
      <w:proofErr w:type="spellEnd"/>
      <w:r w:rsidR="00033885" w:rsidRPr="000508B6">
        <w:rPr>
          <w:rFonts w:ascii="Times New Roman" w:eastAsia="Times New Roman" w:hAnsi="Times New Roman" w:cs="Times New Roman"/>
          <w:lang w:val="ro-MD"/>
        </w:rPr>
        <w:t xml:space="preserve"> </w:t>
      </w:r>
      <w:r w:rsidR="00CA7DC0" w:rsidRPr="000508B6">
        <w:rPr>
          <w:rFonts w:ascii="Times New Roman" w:eastAsia="Times New Roman" w:hAnsi="Times New Roman" w:cs="Times New Roman"/>
          <w:lang w:val="ro-MD"/>
        </w:rPr>
        <w:t xml:space="preserve">asigurați </w:t>
      </w:r>
      <w:r w:rsidRPr="000508B6">
        <w:rPr>
          <w:rFonts w:ascii="Times New Roman" w:eastAsia="Times New Roman" w:hAnsi="Times New Roman" w:cs="Times New Roman"/>
          <w:lang w:val="ro-MD"/>
        </w:rPr>
        <w:t>următoarele:</w:t>
      </w:r>
    </w:p>
    <w:p w14:paraId="387D6D2F" w14:textId="0967A004" w:rsidR="001638BE" w:rsidRPr="000508B6" w:rsidRDefault="001638BE" w:rsidP="009D58DB">
      <w:pPr>
        <w:pStyle w:val="Listparagraf"/>
        <w:numPr>
          <w:ilvl w:val="2"/>
          <w:numId w:val="2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descrierea fiecărei </w:t>
      </w:r>
      <w:proofErr w:type="spellStart"/>
      <w:r w:rsidRPr="000508B6">
        <w:rPr>
          <w:rFonts w:ascii="Times New Roman" w:eastAsia="Times New Roman" w:hAnsi="Times New Roman" w:cs="Times New Roman"/>
          <w:lang w:val="ro-MD"/>
        </w:rPr>
        <w:t>opţiuni</w:t>
      </w:r>
      <w:proofErr w:type="spellEnd"/>
      <w:r w:rsidRPr="000508B6">
        <w:rPr>
          <w:rFonts w:ascii="Times New Roman" w:eastAsia="Times New Roman" w:hAnsi="Times New Roman" w:cs="Times New Roman"/>
          <w:lang w:val="ro-MD"/>
        </w:rPr>
        <w:t xml:space="preserve"> contractuale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fiecărui beneficiu;</w:t>
      </w:r>
    </w:p>
    <w:p w14:paraId="67852B23" w14:textId="148955C0" w:rsidR="001638BE" w:rsidRPr="000508B6" w:rsidRDefault="001638BE" w:rsidP="009D58DB">
      <w:pPr>
        <w:pStyle w:val="Listparagraf"/>
        <w:numPr>
          <w:ilvl w:val="2"/>
          <w:numId w:val="213"/>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durata contractului;</w:t>
      </w:r>
    </w:p>
    <w:p w14:paraId="72864028" w14:textId="14CB01DC" w:rsidR="001638BE" w:rsidRPr="000508B6" w:rsidRDefault="009B3790"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dreptul la</w:t>
      </w:r>
      <w:r w:rsidR="001638BE" w:rsidRPr="000508B6">
        <w:rPr>
          <w:rFonts w:ascii="Times New Roman" w:hAnsi="Times New Roman" w:cs="Times New Roman"/>
          <w:lang w:val="ro-MD"/>
        </w:rPr>
        <w:t xml:space="preserve"> </w:t>
      </w:r>
      <w:r w:rsidR="00BC6B37" w:rsidRPr="000508B6">
        <w:rPr>
          <w:rFonts w:ascii="Times New Roman" w:hAnsi="Times New Roman" w:cs="Times New Roman"/>
          <w:lang w:val="ro-MD"/>
        </w:rPr>
        <w:t>rezoluțiunea asigurării</w:t>
      </w:r>
      <w:r w:rsidR="001638BE" w:rsidRPr="000508B6">
        <w:rPr>
          <w:rFonts w:ascii="Times New Roman" w:hAnsi="Times New Roman" w:cs="Times New Roman"/>
          <w:lang w:val="ro-MD"/>
        </w:rPr>
        <w:t>;</w:t>
      </w:r>
    </w:p>
    <w:p w14:paraId="23583ED0" w14:textId="7319279D"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modalităţile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termenele de plată a primelor;</w:t>
      </w:r>
    </w:p>
    <w:p w14:paraId="142DB89D" w14:textId="4C5771FF" w:rsidR="003F2BAD"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metoda de calcul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distribuire a beneficiilor;</w:t>
      </w:r>
    </w:p>
    <w:p w14:paraId="0029A57B" w14:textId="30219A6B"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de răscumpărare totală a sumelor asigurate reduse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nivelului până la</w:t>
      </w:r>
      <w:r w:rsidR="003F2BAD" w:rsidRPr="000508B6">
        <w:rPr>
          <w:rFonts w:ascii="Times New Roman" w:hAnsi="Times New Roman" w:cs="Times New Roman"/>
          <w:lang w:val="ro-MD"/>
        </w:rPr>
        <w:t xml:space="preserve"> </w:t>
      </w:r>
      <w:r w:rsidRPr="000508B6">
        <w:rPr>
          <w:rFonts w:ascii="Times New Roman" w:hAnsi="Times New Roman" w:cs="Times New Roman"/>
          <w:lang w:val="ro-MD"/>
        </w:rPr>
        <w:t>care acestea sunt garantate;</w:t>
      </w:r>
    </w:p>
    <w:p w14:paraId="58BE018D" w14:textId="7C3C29DE"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despre primele aferente beneficiilor principale sau suplimentare;</w:t>
      </w:r>
    </w:p>
    <w:p w14:paraId="352AB726" w14:textId="40151FF0"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pentru contractele unit-</w:t>
      </w:r>
      <w:proofErr w:type="spellStart"/>
      <w:r w:rsidRPr="000508B6">
        <w:rPr>
          <w:rFonts w:ascii="Times New Roman" w:hAnsi="Times New Roman" w:cs="Times New Roman"/>
          <w:lang w:val="ro-MD"/>
        </w:rPr>
        <w:t>linked</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definiţia</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unităţilor</w:t>
      </w:r>
      <w:proofErr w:type="spellEnd"/>
      <w:r w:rsidRPr="000508B6">
        <w:rPr>
          <w:rFonts w:ascii="Times New Roman" w:hAnsi="Times New Roman" w:cs="Times New Roman"/>
          <w:lang w:val="ro-MD"/>
        </w:rPr>
        <w:t xml:space="preserve"> care stau la baza beneficiilor </w:t>
      </w:r>
      <w:proofErr w:type="spellStart"/>
      <w:r w:rsidRPr="000508B6">
        <w:rPr>
          <w:rFonts w:ascii="Times New Roman" w:hAnsi="Times New Roman" w:cs="Times New Roman"/>
          <w:lang w:val="ro-MD"/>
        </w:rPr>
        <w:t>şi</w:t>
      </w:r>
      <w:proofErr w:type="spellEnd"/>
      <w:r w:rsidR="00033885"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privind natura activelor care le acoperă;</w:t>
      </w:r>
    </w:p>
    <w:p w14:paraId="42C0EAEC" w14:textId="5DAC32C8" w:rsidR="001638BE" w:rsidRPr="000508B6" w:rsidRDefault="007D2026"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clauza </w:t>
      </w:r>
      <w:r w:rsidR="001638BE" w:rsidRPr="000508B6">
        <w:rPr>
          <w:rFonts w:ascii="Times New Roman" w:hAnsi="Times New Roman" w:cs="Times New Roman"/>
          <w:lang w:val="ro-MD"/>
        </w:rPr>
        <w:t xml:space="preserve">privind </w:t>
      </w:r>
      <w:r w:rsidR="00C92B10" w:rsidRPr="000508B6">
        <w:rPr>
          <w:rFonts w:ascii="Times New Roman" w:hAnsi="Times New Roman" w:cs="Times New Roman"/>
          <w:lang w:val="ro-MD"/>
        </w:rPr>
        <w:t>revocarea contractului</w:t>
      </w:r>
      <w:r w:rsidR="001638BE" w:rsidRPr="000508B6">
        <w:rPr>
          <w:rFonts w:ascii="Times New Roman" w:hAnsi="Times New Roman" w:cs="Times New Roman"/>
          <w:lang w:val="ro-MD"/>
        </w:rPr>
        <w:t>;</w:t>
      </w:r>
    </w:p>
    <w:p w14:paraId="7E012976" w14:textId="5EA54F10" w:rsidR="001638BE" w:rsidRPr="000508B6" w:rsidRDefault="001638BE" w:rsidP="00DA11F7">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generale privind regimul fiscal aplicabil tipului de contract respectiv;</w:t>
      </w:r>
    </w:p>
    <w:p w14:paraId="62D659DF" w14:textId="3A6FB390" w:rsidR="001638BE" w:rsidRPr="000508B6" w:rsidRDefault="001638BE" w:rsidP="00DA11F7">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modalitatea de </w:t>
      </w:r>
      <w:proofErr w:type="spellStart"/>
      <w:r w:rsidRPr="000508B6">
        <w:rPr>
          <w:rFonts w:ascii="Times New Roman" w:hAnsi="Times New Roman" w:cs="Times New Roman"/>
          <w:lang w:val="ro-MD"/>
        </w:rPr>
        <w:t>soluţionare</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petiţiilor</w:t>
      </w:r>
      <w:proofErr w:type="spellEnd"/>
      <w:r w:rsidRPr="000508B6">
        <w:rPr>
          <w:rFonts w:ascii="Times New Roman" w:hAnsi="Times New Roman" w:cs="Times New Roman"/>
          <w:lang w:val="ro-MD"/>
        </w:rPr>
        <w:t>, inclusiv cu privire la dreptul de a se adresa</w:t>
      </w:r>
      <w:r w:rsidR="00033885" w:rsidRPr="000508B6">
        <w:rPr>
          <w:rFonts w:ascii="Times New Roman" w:hAnsi="Times New Roman" w:cs="Times New Roman"/>
          <w:lang w:val="ro-MD"/>
        </w:rPr>
        <w:t xml:space="preserve"> </w:t>
      </w:r>
      <w:r w:rsidR="00804A98" w:rsidRPr="000508B6">
        <w:rPr>
          <w:rFonts w:ascii="Times New Roman" w:hAnsi="Times New Roman" w:cs="Times New Roman"/>
          <w:lang w:val="ro-MD"/>
        </w:rPr>
        <w:t>autorității competente</w:t>
      </w:r>
      <w:r w:rsidRPr="000508B6">
        <w:rPr>
          <w:rFonts w:ascii="Times New Roman" w:hAnsi="Times New Roman" w:cs="Times New Roman"/>
          <w:lang w:val="ro-MD"/>
        </w:rPr>
        <w:t xml:space="preserve">, fără a aduce atingere dreptului de a sesiza </w:t>
      </w:r>
      <w:proofErr w:type="spellStart"/>
      <w:r w:rsidRPr="000508B6">
        <w:rPr>
          <w:rFonts w:ascii="Times New Roman" w:hAnsi="Times New Roman" w:cs="Times New Roman"/>
          <w:lang w:val="ro-MD"/>
        </w:rPr>
        <w:t>instanţele</w:t>
      </w:r>
      <w:proofErr w:type="spellEnd"/>
      <w:r w:rsidRPr="000508B6">
        <w:rPr>
          <w:rFonts w:ascii="Times New Roman" w:hAnsi="Times New Roman" w:cs="Times New Roman"/>
          <w:lang w:val="ro-MD"/>
        </w:rPr>
        <w:t xml:space="preserve"> </w:t>
      </w:r>
      <w:r w:rsidR="00E56D65" w:rsidRPr="000508B6">
        <w:rPr>
          <w:rFonts w:ascii="Times New Roman" w:hAnsi="Times New Roman" w:cs="Times New Roman"/>
          <w:lang w:val="ro-MD"/>
        </w:rPr>
        <w:t>de judecată</w:t>
      </w:r>
      <w:r w:rsidRPr="000508B6">
        <w:rPr>
          <w:rFonts w:ascii="Times New Roman" w:hAnsi="Times New Roman" w:cs="Times New Roman"/>
          <w:lang w:val="ro-MD"/>
        </w:rPr>
        <w:t>;</w:t>
      </w:r>
    </w:p>
    <w:p w14:paraId="33392728" w14:textId="08F498A6" w:rsidR="003F2BAD"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legea aplicabilă contractului în cazul în care </w:t>
      </w:r>
      <w:proofErr w:type="spellStart"/>
      <w:r w:rsidRPr="000508B6">
        <w:rPr>
          <w:rFonts w:ascii="Times New Roman" w:hAnsi="Times New Roman" w:cs="Times New Roman"/>
          <w:lang w:val="ro-MD"/>
        </w:rPr>
        <w:t>părţile</w:t>
      </w:r>
      <w:proofErr w:type="spellEnd"/>
      <w:r w:rsidRPr="000508B6">
        <w:rPr>
          <w:rFonts w:ascii="Times New Roman" w:hAnsi="Times New Roman" w:cs="Times New Roman"/>
          <w:lang w:val="ro-MD"/>
        </w:rPr>
        <w:t xml:space="preserve"> nu au libertatea de a</w:t>
      </w:r>
      <w:r w:rsidR="00363C09" w:rsidRPr="000508B6">
        <w:rPr>
          <w:rFonts w:ascii="Times New Roman" w:hAnsi="Times New Roman" w:cs="Times New Roman"/>
          <w:lang w:val="ro-MD"/>
        </w:rPr>
        <w:t xml:space="preserve"> a</w:t>
      </w:r>
      <w:r w:rsidRPr="000508B6">
        <w:rPr>
          <w:rFonts w:ascii="Times New Roman" w:hAnsi="Times New Roman" w:cs="Times New Roman"/>
          <w:lang w:val="ro-MD"/>
        </w:rPr>
        <w:t>lege;</w:t>
      </w:r>
    </w:p>
    <w:p w14:paraId="151A556A" w14:textId="0C18EB9A" w:rsidR="001638BE" w:rsidRPr="000508B6" w:rsidRDefault="001638BE" w:rsidP="009D58DB">
      <w:pPr>
        <w:pStyle w:val="Listparagraf"/>
        <w:numPr>
          <w:ilvl w:val="2"/>
          <w:numId w:val="213"/>
        </w:numPr>
        <w:tabs>
          <w:tab w:val="left" w:pos="709"/>
          <w:tab w:val="left" w:pos="851"/>
          <w:tab w:val="left" w:pos="993"/>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faptul că </w:t>
      </w:r>
      <w:proofErr w:type="spellStart"/>
      <w:r w:rsidRPr="000508B6">
        <w:rPr>
          <w:rFonts w:ascii="Times New Roman" w:hAnsi="Times New Roman" w:cs="Times New Roman"/>
          <w:lang w:val="ro-MD"/>
        </w:rPr>
        <w:t>părţile</w:t>
      </w:r>
      <w:proofErr w:type="spellEnd"/>
      <w:r w:rsidRPr="000508B6">
        <w:rPr>
          <w:rFonts w:ascii="Times New Roman" w:hAnsi="Times New Roman" w:cs="Times New Roman"/>
          <w:lang w:val="ro-MD"/>
        </w:rPr>
        <w:t xml:space="preserve"> au libertatea de a alege legea aplicabilă, precum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în acest caz, legea</w:t>
      </w:r>
      <w:r w:rsidR="00033885" w:rsidRPr="000508B6">
        <w:rPr>
          <w:rFonts w:ascii="Times New Roman" w:hAnsi="Times New Roman" w:cs="Times New Roman"/>
          <w:lang w:val="ro-MD"/>
        </w:rPr>
        <w:t xml:space="preserve"> </w:t>
      </w:r>
      <w:r w:rsidRPr="000508B6">
        <w:rPr>
          <w:rFonts w:ascii="Times New Roman" w:hAnsi="Times New Roman" w:cs="Times New Roman"/>
          <w:lang w:val="ro-MD"/>
        </w:rPr>
        <w:t xml:space="preserve">pe care </w:t>
      </w:r>
      <w:r w:rsidR="005E7D73" w:rsidRPr="000508B6">
        <w:rPr>
          <w:rFonts w:ascii="Times New Roman" w:hAnsi="Times New Roman" w:cs="Times New Roman"/>
          <w:lang w:val="ro-MD"/>
        </w:rPr>
        <w:t xml:space="preserve">asigurătorul </w:t>
      </w:r>
      <w:proofErr w:type="spellStart"/>
      <w:r w:rsidRPr="000508B6">
        <w:rPr>
          <w:rFonts w:ascii="Times New Roman" w:hAnsi="Times New Roman" w:cs="Times New Roman"/>
          <w:lang w:val="ro-MD"/>
        </w:rPr>
        <w:t>îşi</w:t>
      </w:r>
      <w:proofErr w:type="spellEnd"/>
      <w:r w:rsidRPr="000508B6">
        <w:rPr>
          <w:rFonts w:ascii="Times New Roman" w:hAnsi="Times New Roman" w:cs="Times New Roman"/>
          <w:lang w:val="ro-MD"/>
        </w:rPr>
        <w:t xml:space="preserve"> propune să o aleagă;</w:t>
      </w:r>
    </w:p>
    <w:p w14:paraId="238A4BE8" w14:textId="6DFF91CF"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specifice pentru </w:t>
      </w:r>
      <w:proofErr w:type="spellStart"/>
      <w:r w:rsidRPr="000508B6">
        <w:rPr>
          <w:rFonts w:ascii="Times New Roman" w:hAnsi="Times New Roman" w:cs="Times New Roman"/>
          <w:lang w:val="ro-MD"/>
        </w:rPr>
        <w:t>înţelegerea</w:t>
      </w:r>
      <w:proofErr w:type="spellEnd"/>
      <w:r w:rsidRPr="000508B6">
        <w:rPr>
          <w:rFonts w:ascii="Times New Roman" w:hAnsi="Times New Roman" w:cs="Times New Roman"/>
          <w:lang w:val="ro-MD"/>
        </w:rPr>
        <w:t xml:space="preserve"> adecvată a riscurilor incluse în</w:t>
      </w:r>
      <w:r w:rsidR="004A022E" w:rsidRPr="000508B6">
        <w:rPr>
          <w:rFonts w:ascii="Times New Roman" w:hAnsi="Times New Roman" w:cs="Times New Roman"/>
          <w:lang w:val="ro-MD"/>
        </w:rPr>
        <w:t xml:space="preserve"> </w:t>
      </w:r>
      <w:r w:rsidRPr="000508B6">
        <w:rPr>
          <w:rFonts w:ascii="Times New Roman" w:hAnsi="Times New Roman" w:cs="Times New Roman"/>
          <w:lang w:val="ro-MD"/>
        </w:rPr>
        <w:t xml:space="preserve">contractul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 care </w:t>
      </w:r>
      <w:proofErr w:type="spellStart"/>
      <w:r w:rsidRPr="000508B6">
        <w:rPr>
          <w:rFonts w:ascii="Times New Roman" w:hAnsi="Times New Roman" w:cs="Times New Roman"/>
          <w:lang w:val="ro-MD"/>
        </w:rPr>
        <w:t>potenţialii</w:t>
      </w:r>
      <w:proofErr w:type="spellEnd"/>
      <w:r w:rsidRPr="000508B6">
        <w:rPr>
          <w:rFonts w:ascii="Times New Roman" w:hAnsi="Times New Roman" w:cs="Times New Roman"/>
          <w:lang w:val="ro-MD"/>
        </w:rPr>
        <w:t xml:space="preserve"> </w:t>
      </w:r>
      <w:r w:rsidR="00CA7DC0" w:rsidRPr="000508B6">
        <w:rPr>
          <w:rFonts w:ascii="Times New Roman" w:hAnsi="Times New Roman" w:cs="Times New Roman"/>
          <w:lang w:val="ro-MD"/>
        </w:rPr>
        <w:t xml:space="preserve">asigurați </w:t>
      </w:r>
      <w:r w:rsidRPr="000508B6">
        <w:rPr>
          <w:rFonts w:ascii="Times New Roman" w:hAnsi="Times New Roman" w:cs="Times New Roman"/>
          <w:lang w:val="ro-MD"/>
        </w:rPr>
        <w:t xml:space="preserve">ar urma să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le asume.</w:t>
      </w:r>
      <w:r w:rsidR="005407DE" w:rsidRPr="000508B6">
        <w:rPr>
          <w:rFonts w:ascii="Times New Roman" w:hAnsi="Times New Roman" w:cs="Times New Roman"/>
          <w:lang w:val="ro-MD"/>
        </w:rPr>
        <w:t xml:space="preserve"> </w:t>
      </w:r>
    </w:p>
    <w:p w14:paraId="7EEEAC29" w14:textId="33132812" w:rsidR="001638BE" w:rsidRPr="000508B6" w:rsidRDefault="001638BE" w:rsidP="009D58DB">
      <w:pPr>
        <w:pStyle w:val="Listparagraf"/>
        <w:numPr>
          <w:ilvl w:val="0"/>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Pe întreaga durată a contractului</w:t>
      </w:r>
      <w:r w:rsidR="006D2F26" w:rsidRPr="000508B6">
        <w:rPr>
          <w:rFonts w:ascii="Times New Roman" w:hAnsi="Times New Roman" w:cs="Times New Roman"/>
          <w:lang w:val="ro-MD"/>
        </w:rPr>
        <w:t xml:space="preserve"> de </w:t>
      </w:r>
      <w:r w:rsidR="0082102F" w:rsidRPr="000508B6">
        <w:rPr>
          <w:rFonts w:ascii="Times New Roman" w:hAnsi="Times New Roman" w:cs="Times New Roman"/>
          <w:lang w:val="ro-MD"/>
        </w:rPr>
        <w:t xml:space="preserve">asigurare de </w:t>
      </w:r>
      <w:r w:rsidR="006D2F26" w:rsidRPr="000508B6">
        <w:rPr>
          <w:rFonts w:ascii="Times New Roman" w:hAnsi="Times New Roman" w:cs="Times New Roman"/>
          <w:lang w:val="ro-MD"/>
        </w:rPr>
        <w:t>viață</w:t>
      </w:r>
      <w:r w:rsidRPr="000508B6">
        <w:rPr>
          <w:rFonts w:ascii="Times New Roman" w:hAnsi="Times New Roman" w:cs="Times New Roman"/>
          <w:lang w:val="ro-MD"/>
        </w:rPr>
        <w:t xml:space="preserve">, </w:t>
      </w:r>
      <w:r w:rsidR="005E7D73" w:rsidRPr="000508B6">
        <w:rPr>
          <w:rFonts w:ascii="Times New Roman" w:eastAsia="Times New Roman" w:hAnsi="Times New Roman" w:cs="Times New Roman"/>
          <w:lang w:val="ro-MD"/>
        </w:rPr>
        <w:t xml:space="preserve">asigurătorul </w:t>
      </w:r>
      <w:r w:rsidRPr="000508B6">
        <w:rPr>
          <w:rFonts w:ascii="Times New Roman" w:hAnsi="Times New Roman" w:cs="Times New Roman"/>
          <w:lang w:val="ro-MD"/>
        </w:rPr>
        <w:t xml:space="preserve">comunică </w:t>
      </w:r>
      <w:r w:rsidR="00794E9D" w:rsidRPr="000508B6">
        <w:rPr>
          <w:rFonts w:ascii="Times New Roman" w:hAnsi="Times New Roman" w:cs="Times New Roman"/>
          <w:lang w:val="ro-MD"/>
        </w:rPr>
        <w:t xml:space="preserve">persoanelor asigurate </w:t>
      </w:r>
      <w:r w:rsidRPr="000508B6">
        <w:rPr>
          <w:rFonts w:ascii="Times New Roman" w:hAnsi="Times New Roman" w:cs="Times New Roman"/>
          <w:lang w:val="ro-MD"/>
        </w:rPr>
        <w:t>orice</w:t>
      </w:r>
      <w:r w:rsidR="003F2BAD" w:rsidRPr="000508B6">
        <w:rPr>
          <w:rFonts w:ascii="Times New Roman" w:hAnsi="Times New Roman" w:cs="Times New Roman"/>
          <w:lang w:val="ro-MD"/>
        </w:rPr>
        <w:t xml:space="preserve"> </w:t>
      </w:r>
      <w:r w:rsidRPr="000508B6">
        <w:rPr>
          <w:rFonts w:ascii="Times New Roman" w:hAnsi="Times New Roman" w:cs="Times New Roman"/>
          <w:lang w:val="ro-MD"/>
        </w:rPr>
        <w:t xml:space="preserve">schimbare cu privire la următoarele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w:t>
      </w:r>
    </w:p>
    <w:p w14:paraId="79519FEE" w14:textId="5AEEB84E"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denumirea, forma juridică, adresa sediului central </w:t>
      </w:r>
      <w:r w:rsidR="00E76BE1" w:rsidRPr="000508B6">
        <w:rPr>
          <w:rFonts w:ascii="Times New Roman" w:hAnsi="Times New Roman" w:cs="Times New Roman"/>
          <w:lang w:val="ro-MD"/>
        </w:rPr>
        <w:t xml:space="preserve">al </w:t>
      </w:r>
      <w:r w:rsidR="00806901" w:rsidRPr="000508B6">
        <w:rPr>
          <w:rFonts w:ascii="Times New Roman" w:hAnsi="Times New Roman" w:cs="Times New Roman"/>
          <w:lang w:val="ro-MD"/>
        </w:rPr>
        <w:t>asigurătorului</w:t>
      </w:r>
      <w:r w:rsidR="00E76BE1"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00E76BE1" w:rsidRPr="000508B6">
        <w:rPr>
          <w:rFonts w:ascii="Times New Roman" w:hAnsi="Times New Roman" w:cs="Times New Roman"/>
          <w:lang w:val="ro-MD"/>
        </w:rPr>
        <w:t>, după caz,</w:t>
      </w:r>
      <w:r w:rsidRPr="000508B6">
        <w:rPr>
          <w:rFonts w:ascii="Times New Roman" w:hAnsi="Times New Roman" w:cs="Times New Roman"/>
          <w:lang w:val="ro-MD"/>
        </w:rPr>
        <w:t xml:space="preserve"> datele de contact ale</w:t>
      </w:r>
      <w:r w:rsidR="003F2BAD" w:rsidRPr="000508B6">
        <w:rPr>
          <w:rFonts w:ascii="Times New Roman" w:hAnsi="Times New Roman" w:cs="Times New Roman"/>
          <w:lang w:val="ro-MD"/>
        </w:rPr>
        <w:t xml:space="preserve"> </w:t>
      </w:r>
      <w:r w:rsidRPr="000508B6">
        <w:rPr>
          <w:rFonts w:ascii="Times New Roman" w:hAnsi="Times New Roman" w:cs="Times New Roman"/>
          <w:lang w:val="ro-MD"/>
        </w:rPr>
        <w:t>sucursalei care emite contractul de asigurare;</w:t>
      </w:r>
    </w:p>
    <w:p w14:paraId="4B7175AE" w14:textId="7EFCF05D"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generale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specifice ale contractului;</w:t>
      </w:r>
    </w:p>
    <w:p w14:paraId="64356F2B" w14:textId="7A17730A" w:rsidR="00DE4496" w:rsidRPr="000508B6" w:rsidRDefault="00DE4496"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informațiile</w:t>
      </w:r>
      <w:r w:rsidR="001638BE" w:rsidRPr="000508B6">
        <w:rPr>
          <w:rFonts w:ascii="Times New Roman" w:hAnsi="Times New Roman" w:cs="Times New Roman"/>
          <w:lang w:val="ro-MD"/>
        </w:rPr>
        <w:t xml:space="preserve"> </w:t>
      </w:r>
      <w:proofErr w:type="spellStart"/>
      <w:r w:rsidR="001638BE" w:rsidRPr="000508B6">
        <w:rPr>
          <w:rFonts w:ascii="Times New Roman" w:hAnsi="Times New Roman" w:cs="Times New Roman"/>
          <w:lang w:val="ro-MD"/>
        </w:rPr>
        <w:t>menţionate</w:t>
      </w:r>
      <w:proofErr w:type="spellEnd"/>
      <w:r w:rsidR="001638BE" w:rsidRPr="000508B6">
        <w:rPr>
          <w:rFonts w:ascii="Times New Roman" w:hAnsi="Times New Roman" w:cs="Times New Roman"/>
          <w:lang w:val="ro-MD"/>
        </w:rPr>
        <w:t xml:space="preserve"> la alin. (</w:t>
      </w:r>
      <w:r w:rsidR="003843CF" w:rsidRPr="000508B6">
        <w:rPr>
          <w:rFonts w:ascii="Times New Roman" w:hAnsi="Times New Roman" w:cs="Times New Roman"/>
          <w:lang w:val="ro-MD"/>
        </w:rPr>
        <w:t>5</w:t>
      </w:r>
      <w:r w:rsidR="001638BE" w:rsidRPr="000508B6">
        <w:rPr>
          <w:rFonts w:ascii="Times New Roman" w:hAnsi="Times New Roman" w:cs="Times New Roman"/>
          <w:lang w:val="ro-MD"/>
        </w:rPr>
        <w:t xml:space="preserve">) lit. d) -i), în cazul în care se modifică </w:t>
      </w:r>
      <w:proofErr w:type="spellStart"/>
      <w:r w:rsidR="001638BE" w:rsidRPr="000508B6">
        <w:rPr>
          <w:rFonts w:ascii="Times New Roman" w:hAnsi="Times New Roman" w:cs="Times New Roman"/>
          <w:lang w:val="ro-MD"/>
        </w:rPr>
        <w:t>legislaţia</w:t>
      </w:r>
      <w:proofErr w:type="spellEnd"/>
      <w:r w:rsidR="00033885" w:rsidRPr="000508B6">
        <w:rPr>
          <w:rFonts w:ascii="Times New Roman" w:hAnsi="Times New Roman" w:cs="Times New Roman"/>
          <w:lang w:val="ro-MD"/>
        </w:rPr>
        <w:t xml:space="preserve"> </w:t>
      </w:r>
      <w:r w:rsidR="001638BE" w:rsidRPr="000508B6">
        <w:rPr>
          <w:rFonts w:ascii="Times New Roman" w:hAnsi="Times New Roman" w:cs="Times New Roman"/>
          <w:lang w:val="ro-MD"/>
        </w:rPr>
        <w:t xml:space="preserve">aplicabilă contractului sau </w:t>
      </w:r>
      <w:proofErr w:type="spellStart"/>
      <w:r w:rsidR="001638BE" w:rsidRPr="000508B6">
        <w:rPr>
          <w:rFonts w:ascii="Times New Roman" w:hAnsi="Times New Roman" w:cs="Times New Roman"/>
          <w:lang w:val="ro-MD"/>
        </w:rPr>
        <w:t>condiţiile</w:t>
      </w:r>
      <w:proofErr w:type="spellEnd"/>
      <w:r w:rsidR="001638BE" w:rsidRPr="000508B6">
        <w:rPr>
          <w:rFonts w:ascii="Times New Roman" w:hAnsi="Times New Roman" w:cs="Times New Roman"/>
          <w:lang w:val="ro-MD"/>
        </w:rPr>
        <w:t xml:space="preserve"> de asigurare;</w:t>
      </w:r>
    </w:p>
    <w:p w14:paraId="26CBB430" w14:textId="3AFE88A7" w:rsidR="001638BE" w:rsidRPr="000508B6" w:rsidRDefault="00FC7183"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anual</w:t>
      </w:r>
      <w:r w:rsidR="00DE4496" w:rsidRPr="000508B6">
        <w:rPr>
          <w:rFonts w:ascii="Times New Roman" w:hAnsi="Times New Roman" w:cs="Times New Roman"/>
          <w:lang w:val="ro-MD"/>
        </w:rPr>
        <w:t>, informații privind situația participării la beneficii</w:t>
      </w:r>
      <w:r w:rsidR="00DA11F7" w:rsidRPr="000508B6">
        <w:rPr>
          <w:rFonts w:ascii="Times New Roman" w:hAnsi="Times New Roman" w:cs="Times New Roman"/>
          <w:lang w:val="ro-MD"/>
        </w:rPr>
        <w:t>.</w:t>
      </w:r>
      <w:r w:rsidR="005407DE" w:rsidRPr="000508B6">
        <w:rPr>
          <w:rFonts w:ascii="Times New Roman" w:hAnsi="Times New Roman" w:cs="Times New Roman"/>
          <w:lang w:val="ro-MD"/>
        </w:rPr>
        <w:t xml:space="preserve"> </w:t>
      </w:r>
    </w:p>
    <w:p w14:paraId="7CDC1755" w14:textId="1C52B3F9" w:rsidR="001638BE" w:rsidRPr="000508B6" w:rsidRDefault="001638BE" w:rsidP="009D58DB">
      <w:pPr>
        <w:pStyle w:val="Listparagraf"/>
        <w:numPr>
          <w:ilvl w:val="0"/>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cazul prezentării unei oferte sau încheierii unui contract</w:t>
      </w:r>
      <w:r w:rsidR="006D2F26" w:rsidRPr="000508B6">
        <w:rPr>
          <w:rFonts w:ascii="Times New Roman" w:hAnsi="Times New Roman" w:cs="Times New Roman"/>
          <w:lang w:val="ro-MD"/>
        </w:rPr>
        <w:t xml:space="preserve"> de asigurare de viață</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însoţite</w:t>
      </w:r>
      <w:proofErr w:type="spellEnd"/>
      <w:r w:rsidRPr="000508B6">
        <w:rPr>
          <w:rFonts w:ascii="Times New Roman" w:hAnsi="Times New Roman" w:cs="Times New Roman"/>
          <w:lang w:val="ro-MD"/>
        </w:rPr>
        <w:t xml:space="preserve"> de cifre</w:t>
      </w:r>
      <w:r w:rsidR="003F2BAD" w:rsidRPr="000508B6">
        <w:rPr>
          <w:rFonts w:ascii="Times New Roman" w:hAnsi="Times New Roman" w:cs="Times New Roman"/>
          <w:lang w:val="ro-MD"/>
        </w:rPr>
        <w:t xml:space="preserve"> </w:t>
      </w:r>
      <w:r w:rsidRPr="000508B6">
        <w:rPr>
          <w:rFonts w:ascii="Times New Roman" w:hAnsi="Times New Roman" w:cs="Times New Roman"/>
          <w:lang w:val="ro-MD"/>
        </w:rPr>
        <w:t xml:space="preserve">privind valoarea eventualelor </w:t>
      </w:r>
      <w:proofErr w:type="spellStart"/>
      <w:r w:rsidRPr="000508B6">
        <w:rPr>
          <w:rFonts w:ascii="Times New Roman" w:hAnsi="Times New Roman" w:cs="Times New Roman"/>
          <w:lang w:val="ro-MD"/>
        </w:rPr>
        <w:t>plăţi</w:t>
      </w:r>
      <w:proofErr w:type="spellEnd"/>
      <w:r w:rsidRPr="000508B6">
        <w:rPr>
          <w:rFonts w:ascii="Times New Roman" w:hAnsi="Times New Roman" w:cs="Times New Roman"/>
          <w:lang w:val="ro-MD"/>
        </w:rPr>
        <w:t xml:space="preserve"> suplimentare, diferite de cele garantate prin</w:t>
      </w:r>
      <w:r w:rsidR="003F2BAD" w:rsidRPr="000508B6">
        <w:rPr>
          <w:rFonts w:ascii="Times New Roman" w:hAnsi="Times New Roman" w:cs="Times New Roman"/>
          <w:lang w:val="ro-MD"/>
        </w:rPr>
        <w:t xml:space="preserve"> </w:t>
      </w:r>
      <w:r w:rsidRPr="000508B6">
        <w:rPr>
          <w:rFonts w:ascii="Times New Roman" w:hAnsi="Times New Roman" w:cs="Times New Roman"/>
          <w:lang w:val="ro-MD"/>
        </w:rPr>
        <w:t xml:space="preserve">contract, </w:t>
      </w:r>
      <w:r w:rsidR="005E7D73" w:rsidRPr="000508B6">
        <w:rPr>
          <w:rFonts w:ascii="Times New Roman" w:eastAsia="Times New Roman" w:hAnsi="Times New Roman" w:cs="Times New Roman"/>
          <w:lang w:val="ro-MD"/>
        </w:rPr>
        <w:t>asigurătorul</w:t>
      </w:r>
      <w:r w:rsidRPr="000508B6">
        <w:rPr>
          <w:rFonts w:ascii="Times New Roman" w:hAnsi="Times New Roman" w:cs="Times New Roman"/>
          <w:lang w:val="ro-MD"/>
        </w:rPr>
        <w:t>:</w:t>
      </w:r>
    </w:p>
    <w:p w14:paraId="760F7A7A" w14:textId="4EBB3206" w:rsidR="001638BE" w:rsidRPr="000508B6" w:rsidRDefault="001638BE" w:rsidP="009D58DB">
      <w:pPr>
        <w:pStyle w:val="Listparagraf"/>
        <w:numPr>
          <w:ilvl w:val="0"/>
          <w:numId w:val="217"/>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prezintă o simulare de calcul al valorii </w:t>
      </w:r>
      <w:proofErr w:type="spellStart"/>
      <w:r w:rsidRPr="000508B6">
        <w:rPr>
          <w:rFonts w:ascii="Times New Roman" w:hAnsi="Times New Roman" w:cs="Times New Roman"/>
          <w:lang w:val="ro-MD"/>
        </w:rPr>
        <w:t>plăţilor</w:t>
      </w:r>
      <w:proofErr w:type="spellEnd"/>
      <w:r w:rsidRPr="000508B6">
        <w:rPr>
          <w:rFonts w:ascii="Times New Roman" w:hAnsi="Times New Roman" w:cs="Times New Roman"/>
          <w:lang w:val="ro-MD"/>
        </w:rPr>
        <w:t xml:space="preserve"> respective la datele scadente,</w:t>
      </w:r>
      <w:r w:rsidR="003F2BAD" w:rsidRPr="000508B6">
        <w:rPr>
          <w:rFonts w:ascii="Times New Roman" w:hAnsi="Times New Roman" w:cs="Times New Roman"/>
          <w:lang w:val="ro-MD"/>
        </w:rPr>
        <w:t xml:space="preserve"> </w:t>
      </w:r>
      <w:r w:rsidRPr="000508B6">
        <w:rPr>
          <w:rFonts w:ascii="Times New Roman" w:hAnsi="Times New Roman" w:cs="Times New Roman"/>
          <w:lang w:val="ro-MD"/>
        </w:rPr>
        <w:t>pornind de la 3 rate diferite ale dobânzii pentru baza de calcul al primelor;</w:t>
      </w:r>
    </w:p>
    <w:p w14:paraId="3DA38CCE" w14:textId="01999F47" w:rsidR="001638BE" w:rsidRPr="000508B6" w:rsidRDefault="001638BE" w:rsidP="009D58DB">
      <w:pPr>
        <w:pStyle w:val="Listparagraf"/>
        <w:numPr>
          <w:ilvl w:val="0"/>
          <w:numId w:val="217"/>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furnizează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clare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complete pentru ca </w:t>
      </w:r>
      <w:proofErr w:type="spellStart"/>
      <w:r w:rsidRPr="000508B6">
        <w:rPr>
          <w:rFonts w:ascii="Times New Roman" w:hAnsi="Times New Roman" w:cs="Times New Roman"/>
          <w:lang w:val="ro-MD"/>
        </w:rPr>
        <w:t>potenţialii</w:t>
      </w:r>
      <w:proofErr w:type="spellEnd"/>
      <w:r w:rsidRPr="000508B6">
        <w:rPr>
          <w:rFonts w:ascii="Times New Roman" w:hAnsi="Times New Roman" w:cs="Times New Roman"/>
          <w:lang w:val="ro-MD"/>
        </w:rPr>
        <w:t xml:space="preserve"> </w:t>
      </w:r>
      <w:r w:rsidR="00CA7DC0" w:rsidRPr="000508B6">
        <w:rPr>
          <w:rFonts w:ascii="Times New Roman" w:hAnsi="Times New Roman" w:cs="Times New Roman"/>
          <w:lang w:val="ro-MD"/>
        </w:rPr>
        <w:t xml:space="preserve">asigurați </w:t>
      </w:r>
      <w:r w:rsidRPr="000508B6">
        <w:rPr>
          <w:rFonts w:ascii="Times New Roman" w:hAnsi="Times New Roman" w:cs="Times New Roman"/>
          <w:lang w:val="ro-MD"/>
        </w:rPr>
        <w:t>să</w:t>
      </w:r>
      <w:r w:rsidR="003F2BAD"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înţeleagă</w:t>
      </w:r>
      <w:proofErr w:type="spellEnd"/>
      <w:r w:rsidRPr="000508B6">
        <w:rPr>
          <w:rFonts w:ascii="Times New Roman" w:hAnsi="Times New Roman" w:cs="Times New Roman"/>
          <w:lang w:val="ro-MD"/>
        </w:rPr>
        <w:t xml:space="preserve"> următoarele:</w:t>
      </w:r>
    </w:p>
    <w:p w14:paraId="105C942B" w14:textId="77C78D5D" w:rsidR="001638BE" w:rsidRPr="000508B6" w:rsidRDefault="001638BE" w:rsidP="009D58DB">
      <w:pPr>
        <w:pStyle w:val="Listparagraf"/>
        <w:numPr>
          <w:ilvl w:val="3"/>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simularea de calcul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lit. a) reprezintă aplicarea unui model bazat pe</w:t>
      </w:r>
      <w:r w:rsidR="00033885" w:rsidRPr="000508B6">
        <w:rPr>
          <w:rFonts w:ascii="Times New Roman" w:hAnsi="Times New Roman" w:cs="Times New Roman"/>
          <w:lang w:val="ro-MD"/>
        </w:rPr>
        <w:t xml:space="preserve">  </w:t>
      </w:r>
      <w:r w:rsidRPr="000508B6">
        <w:rPr>
          <w:rFonts w:ascii="Times New Roman" w:hAnsi="Times New Roman" w:cs="Times New Roman"/>
          <w:lang w:val="ro-MD"/>
        </w:rPr>
        <w:t xml:space="preserve">ipoteze </w:t>
      </w:r>
      <w:proofErr w:type="spellStart"/>
      <w:r w:rsidRPr="000508B6">
        <w:rPr>
          <w:rFonts w:ascii="Times New Roman" w:hAnsi="Times New Roman" w:cs="Times New Roman"/>
          <w:lang w:val="ro-MD"/>
        </w:rPr>
        <w:t>n</w:t>
      </w:r>
      <w:r w:rsidR="008F5E1C" w:rsidRPr="000508B6">
        <w:rPr>
          <w:rFonts w:ascii="Times New Roman" w:hAnsi="Times New Roman" w:cs="Times New Roman"/>
          <w:lang w:val="ro-MD"/>
        </w:rPr>
        <w:t>o</w:t>
      </w:r>
      <w:r w:rsidRPr="000508B6">
        <w:rPr>
          <w:rFonts w:ascii="Times New Roman" w:hAnsi="Times New Roman" w:cs="Times New Roman"/>
          <w:lang w:val="ro-MD"/>
        </w:rPr>
        <w:t>ţionale</w:t>
      </w:r>
      <w:proofErr w:type="spellEnd"/>
      <w:r w:rsidRPr="000508B6">
        <w:rPr>
          <w:rFonts w:ascii="Times New Roman" w:hAnsi="Times New Roman" w:cs="Times New Roman"/>
          <w:lang w:val="ro-MD"/>
        </w:rPr>
        <w:t>;</w:t>
      </w:r>
    </w:p>
    <w:p w14:paraId="4AACEB92" w14:textId="51CD3B8B" w:rsidR="001638BE" w:rsidRPr="000508B6" w:rsidRDefault="001638BE" w:rsidP="00DA11F7">
      <w:pPr>
        <w:pStyle w:val="Listparagraf"/>
        <w:numPr>
          <w:ilvl w:val="3"/>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rezultatele calculului respectiv nu reprezintă un drept contractual.</w:t>
      </w:r>
      <w:r w:rsidR="005407DE" w:rsidRPr="000508B6">
        <w:rPr>
          <w:rFonts w:ascii="Times New Roman" w:hAnsi="Times New Roman" w:cs="Times New Roman"/>
          <w:lang w:val="ro-MD"/>
        </w:rPr>
        <w:t xml:space="preserve"> </w:t>
      </w:r>
    </w:p>
    <w:p w14:paraId="1A1AA7C8" w14:textId="497236BC" w:rsidR="001638BE" w:rsidRPr="000508B6" w:rsidRDefault="005E7D73" w:rsidP="00DA11F7">
      <w:pPr>
        <w:pStyle w:val="Listparagraf"/>
        <w:numPr>
          <w:ilvl w:val="0"/>
          <w:numId w:val="213"/>
        </w:numPr>
        <w:tabs>
          <w:tab w:val="left" w:pos="709"/>
          <w:tab w:val="left" w:pos="851"/>
        </w:tabs>
        <w:autoSpaceDE w:val="0"/>
        <w:autoSpaceDN w:val="0"/>
        <w:adjustRightInd w:val="0"/>
        <w:spacing w:after="0" w:line="240" w:lineRule="auto"/>
        <w:ind w:left="0" w:firstLine="360"/>
        <w:jc w:val="both"/>
        <w:rPr>
          <w:rFonts w:ascii="Times New Roman" w:hAnsi="Times New Roman" w:cs="Times New Roman"/>
          <w:lang w:val="ro-MD"/>
        </w:rPr>
      </w:pPr>
      <w:r w:rsidRPr="000508B6">
        <w:rPr>
          <w:rFonts w:ascii="Times New Roman" w:eastAsia="Times New Roman" w:hAnsi="Times New Roman" w:cs="Times New Roman"/>
          <w:lang w:val="ro-MD"/>
        </w:rPr>
        <w:lastRenderedPageBreak/>
        <w:t xml:space="preserve">Asigurătorul </w:t>
      </w:r>
      <w:r w:rsidR="007E6E10" w:rsidRPr="000508B6">
        <w:rPr>
          <w:rFonts w:ascii="Times New Roman" w:hAnsi="Times New Roman" w:cs="Times New Roman"/>
          <w:lang w:val="ro-MD"/>
        </w:rPr>
        <w:t xml:space="preserve">este </w:t>
      </w:r>
      <w:r w:rsidR="005D32D0" w:rsidRPr="000508B6">
        <w:rPr>
          <w:rFonts w:ascii="Times New Roman" w:hAnsi="Times New Roman" w:cs="Times New Roman"/>
          <w:lang w:val="ro-MD"/>
        </w:rPr>
        <w:t>exonera</w:t>
      </w:r>
      <w:r w:rsidR="007E6E10" w:rsidRPr="000508B6">
        <w:rPr>
          <w:rFonts w:ascii="Times New Roman" w:hAnsi="Times New Roman" w:cs="Times New Roman"/>
          <w:lang w:val="ro-MD"/>
        </w:rPr>
        <w:t>t</w:t>
      </w:r>
      <w:r w:rsidR="005D32D0" w:rsidRPr="000508B6">
        <w:rPr>
          <w:rFonts w:ascii="Times New Roman" w:hAnsi="Times New Roman" w:cs="Times New Roman"/>
          <w:lang w:val="ro-MD"/>
        </w:rPr>
        <w:t xml:space="preserve"> de </w:t>
      </w:r>
      <w:proofErr w:type="spellStart"/>
      <w:r w:rsidR="005D32D0" w:rsidRPr="000508B6">
        <w:rPr>
          <w:rFonts w:ascii="Times New Roman" w:hAnsi="Times New Roman" w:cs="Times New Roman"/>
          <w:lang w:val="ro-MD"/>
        </w:rPr>
        <w:t>obligaţiile</w:t>
      </w:r>
      <w:proofErr w:type="spellEnd"/>
      <w:r w:rsidR="005D32D0" w:rsidRPr="000508B6">
        <w:rPr>
          <w:rFonts w:ascii="Times New Roman" w:hAnsi="Times New Roman" w:cs="Times New Roman"/>
          <w:lang w:val="ro-MD"/>
        </w:rPr>
        <w:t xml:space="preserve"> prevăzute la alin. (</w:t>
      </w:r>
      <w:r w:rsidR="003843CF" w:rsidRPr="000508B6">
        <w:rPr>
          <w:rFonts w:ascii="Times New Roman" w:hAnsi="Times New Roman" w:cs="Times New Roman"/>
          <w:lang w:val="ro-MD"/>
        </w:rPr>
        <w:t>7</w:t>
      </w:r>
      <w:r w:rsidR="005D32D0" w:rsidRPr="000508B6">
        <w:rPr>
          <w:rFonts w:ascii="Times New Roman" w:hAnsi="Times New Roman" w:cs="Times New Roman"/>
          <w:lang w:val="ro-MD"/>
        </w:rPr>
        <w:t xml:space="preserve">), în cazul </w:t>
      </w:r>
      <w:r w:rsidR="001638BE" w:rsidRPr="000508B6">
        <w:rPr>
          <w:rFonts w:ascii="Times New Roman" w:hAnsi="Times New Roman" w:cs="Times New Roman"/>
          <w:lang w:val="ro-MD"/>
        </w:rPr>
        <w:t xml:space="preserve">prezentării unei oferte sau încheierii unui contract de </w:t>
      </w:r>
      <w:r w:rsidR="0082102F" w:rsidRPr="000508B6">
        <w:rPr>
          <w:rFonts w:ascii="Times New Roman" w:hAnsi="Times New Roman" w:cs="Times New Roman"/>
          <w:lang w:val="ro-MD"/>
        </w:rPr>
        <w:t>asigurare</w:t>
      </w:r>
      <w:r w:rsidR="001638BE" w:rsidRPr="000508B6">
        <w:rPr>
          <w:rFonts w:ascii="Times New Roman" w:hAnsi="Times New Roman" w:cs="Times New Roman"/>
          <w:lang w:val="ro-MD"/>
        </w:rPr>
        <w:t xml:space="preserve"> de </w:t>
      </w:r>
      <w:proofErr w:type="spellStart"/>
      <w:r w:rsidR="001638BE" w:rsidRPr="000508B6">
        <w:rPr>
          <w:rFonts w:ascii="Times New Roman" w:hAnsi="Times New Roman" w:cs="Times New Roman"/>
          <w:lang w:val="ro-MD"/>
        </w:rPr>
        <w:t>viaţă</w:t>
      </w:r>
      <w:proofErr w:type="spellEnd"/>
      <w:r w:rsidR="001638BE" w:rsidRPr="000508B6">
        <w:rPr>
          <w:rFonts w:ascii="Times New Roman" w:hAnsi="Times New Roman" w:cs="Times New Roman"/>
          <w:lang w:val="ro-MD"/>
        </w:rPr>
        <w:t xml:space="preserve"> fără</w:t>
      </w:r>
      <w:r w:rsidR="003F2BAD" w:rsidRPr="000508B6">
        <w:rPr>
          <w:rFonts w:ascii="Times New Roman" w:hAnsi="Times New Roman" w:cs="Times New Roman"/>
          <w:lang w:val="ro-MD"/>
        </w:rPr>
        <w:t xml:space="preserve"> </w:t>
      </w:r>
      <w:r w:rsidR="001638BE" w:rsidRPr="000508B6">
        <w:rPr>
          <w:rFonts w:ascii="Times New Roman" w:hAnsi="Times New Roman" w:cs="Times New Roman"/>
          <w:lang w:val="ro-MD"/>
        </w:rPr>
        <w:t>componentă de acumulare.</w:t>
      </w:r>
      <w:r w:rsidR="005407DE" w:rsidRPr="000508B6">
        <w:rPr>
          <w:rFonts w:ascii="Times New Roman" w:hAnsi="Times New Roman" w:cs="Times New Roman"/>
          <w:lang w:val="ro-MD"/>
        </w:rPr>
        <w:t xml:space="preserve"> </w:t>
      </w:r>
    </w:p>
    <w:p w14:paraId="17CABD11" w14:textId="44AED8C9" w:rsidR="001638BE" w:rsidRPr="000508B6" w:rsidRDefault="001638BE" w:rsidP="009D58DB">
      <w:pPr>
        <w:pStyle w:val="Listparagraf"/>
        <w:numPr>
          <w:ilvl w:val="0"/>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contractelor </w:t>
      </w:r>
      <w:r w:rsidR="00A65417" w:rsidRPr="000508B6">
        <w:rPr>
          <w:rFonts w:ascii="Times New Roman" w:hAnsi="Times New Roman" w:cs="Times New Roman"/>
          <w:lang w:val="ro-MD"/>
        </w:rPr>
        <w:t xml:space="preserve">de </w:t>
      </w:r>
      <w:r w:rsidR="0082102F" w:rsidRPr="000508B6">
        <w:rPr>
          <w:rFonts w:ascii="Times New Roman" w:hAnsi="Times New Roman" w:cs="Times New Roman"/>
          <w:lang w:val="ro-MD"/>
        </w:rPr>
        <w:t>asigurare</w:t>
      </w:r>
      <w:r w:rsidR="00A65417" w:rsidRPr="000508B6">
        <w:rPr>
          <w:rFonts w:ascii="Times New Roman" w:hAnsi="Times New Roman" w:cs="Times New Roman"/>
          <w:lang w:val="ro-MD"/>
        </w:rPr>
        <w:t xml:space="preserve"> de viață </w:t>
      </w:r>
      <w:r w:rsidRPr="000508B6">
        <w:rPr>
          <w:rFonts w:ascii="Times New Roman" w:hAnsi="Times New Roman" w:cs="Times New Roman"/>
          <w:lang w:val="ro-MD"/>
        </w:rPr>
        <w:t xml:space="preserve">cu participare la profit, </w:t>
      </w:r>
      <w:r w:rsidR="00CA7DC0" w:rsidRPr="000508B6">
        <w:rPr>
          <w:rFonts w:ascii="Times New Roman" w:hAnsi="Times New Roman" w:cs="Times New Roman"/>
          <w:lang w:val="ro-MD"/>
        </w:rPr>
        <w:t xml:space="preserve">asigurații </w:t>
      </w:r>
      <w:r w:rsidRPr="000508B6">
        <w:rPr>
          <w:rFonts w:ascii="Times New Roman" w:hAnsi="Times New Roman" w:cs="Times New Roman"/>
          <w:lang w:val="ro-MD"/>
        </w:rPr>
        <w:t xml:space="preserve">sunt </w:t>
      </w:r>
      <w:proofErr w:type="spellStart"/>
      <w:r w:rsidRPr="000508B6">
        <w:rPr>
          <w:rFonts w:ascii="Times New Roman" w:hAnsi="Times New Roman" w:cs="Times New Roman"/>
          <w:lang w:val="ro-MD"/>
        </w:rPr>
        <w:t>informaţi</w:t>
      </w:r>
      <w:proofErr w:type="spellEnd"/>
      <w:r w:rsidRPr="000508B6">
        <w:rPr>
          <w:rFonts w:ascii="Times New Roman" w:hAnsi="Times New Roman" w:cs="Times New Roman"/>
          <w:lang w:val="ro-MD"/>
        </w:rPr>
        <w:t xml:space="preserve"> anual, în</w:t>
      </w:r>
      <w:r w:rsidR="00033885" w:rsidRPr="000508B6">
        <w:rPr>
          <w:rFonts w:ascii="Times New Roman" w:hAnsi="Times New Roman" w:cs="Times New Roman"/>
          <w:lang w:val="ro-MD"/>
        </w:rPr>
        <w:t xml:space="preserve"> </w:t>
      </w:r>
      <w:r w:rsidRPr="000508B6">
        <w:rPr>
          <w:rFonts w:ascii="Times New Roman" w:hAnsi="Times New Roman" w:cs="Times New Roman"/>
          <w:lang w:val="ro-MD"/>
        </w:rPr>
        <w:t xml:space="preserve">scris, de către </w:t>
      </w:r>
      <w:r w:rsidR="005E7D73" w:rsidRPr="000508B6">
        <w:rPr>
          <w:rFonts w:ascii="Times New Roman" w:eastAsia="Times New Roman" w:hAnsi="Times New Roman" w:cs="Times New Roman"/>
          <w:lang w:val="ro-MD"/>
        </w:rPr>
        <w:t xml:space="preserve">asigurătorul </w:t>
      </w:r>
      <w:r w:rsidRPr="000508B6">
        <w:rPr>
          <w:rFonts w:ascii="Times New Roman" w:hAnsi="Times New Roman" w:cs="Times New Roman"/>
          <w:lang w:val="ro-MD"/>
        </w:rPr>
        <w:t>cu privire la:</w:t>
      </w:r>
    </w:p>
    <w:p w14:paraId="57C3E0C8" w14:textId="5788A44D"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drepturilor 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participarea la profit;</w:t>
      </w:r>
    </w:p>
    <w:p w14:paraId="7E211479" w14:textId="587E4C55" w:rsidR="001638BE" w:rsidRPr="000508B6" w:rsidRDefault="001638BE" w:rsidP="009D58DB">
      <w:pPr>
        <w:pStyle w:val="Listparagraf"/>
        <w:numPr>
          <w:ilvl w:val="2"/>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diferenţa</w:t>
      </w:r>
      <w:proofErr w:type="spellEnd"/>
      <w:r w:rsidRPr="000508B6">
        <w:rPr>
          <w:rFonts w:ascii="Times New Roman" w:hAnsi="Times New Roman" w:cs="Times New Roman"/>
          <w:lang w:val="ro-MD"/>
        </w:rPr>
        <w:t xml:space="preserve"> dintre previziuni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evoluţia</w:t>
      </w:r>
      <w:proofErr w:type="spellEnd"/>
      <w:r w:rsidRPr="000508B6">
        <w:rPr>
          <w:rFonts w:ascii="Times New Roman" w:hAnsi="Times New Roman" w:cs="Times New Roman"/>
          <w:lang w:val="ro-MD"/>
        </w:rPr>
        <w:t xml:space="preserve"> reală, în cazul în care la încheierea</w:t>
      </w:r>
      <w:r w:rsidR="003F2BAD" w:rsidRPr="000508B6">
        <w:rPr>
          <w:rFonts w:ascii="Times New Roman" w:hAnsi="Times New Roman" w:cs="Times New Roman"/>
          <w:lang w:val="ro-MD"/>
        </w:rPr>
        <w:t xml:space="preserve"> </w:t>
      </w:r>
      <w:r w:rsidRPr="000508B6">
        <w:rPr>
          <w:rFonts w:ascii="Times New Roman" w:hAnsi="Times New Roman" w:cs="Times New Roman"/>
          <w:lang w:val="ro-MD"/>
        </w:rPr>
        <w:t xml:space="preserve">contractului li s-au prezentat cifre privind </w:t>
      </w:r>
      <w:proofErr w:type="spellStart"/>
      <w:r w:rsidRPr="000508B6">
        <w:rPr>
          <w:rFonts w:ascii="Times New Roman" w:hAnsi="Times New Roman" w:cs="Times New Roman"/>
          <w:lang w:val="ro-MD"/>
        </w:rPr>
        <w:t>evoluţia</w:t>
      </w:r>
      <w:proofErr w:type="spellEnd"/>
      <w:r w:rsidRPr="000508B6">
        <w:rPr>
          <w:rFonts w:ascii="Times New Roman" w:hAnsi="Times New Roman" w:cs="Times New Roman"/>
          <w:lang w:val="ro-MD"/>
        </w:rPr>
        <w:t xml:space="preserve"> participării respective.</w:t>
      </w:r>
      <w:r w:rsidR="005407DE" w:rsidRPr="000508B6">
        <w:rPr>
          <w:rFonts w:ascii="Times New Roman" w:hAnsi="Times New Roman" w:cs="Times New Roman"/>
          <w:lang w:val="ro-MD"/>
        </w:rPr>
        <w:t xml:space="preserve"> </w:t>
      </w:r>
    </w:p>
    <w:p w14:paraId="202F1B9D" w14:textId="00433306" w:rsidR="001638BE" w:rsidRPr="000508B6" w:rsidRDefault="001638BE" w:rsidP="009D58DB">
      <w:pPr>
        <w:pStyle w:val="Listparagraf"/>
        <w:numPr>
          <w:ilvl w:val="0"/>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prevăzute la alin. (</w:t>
      </w:r>
      <w:r w:rsidR="00033885" w:rsidRPr="000508B6">
        <w:rPr>
          <w:rFonts w:ascii="Times New Roman" w:hAnsi="Times New Roman" w:cs="Times New Roman"/>
          <w:lang w:val="ro-MD"/>
        </w:rPr>
        <w:t>6</w:t>
      </w:r>
      <w:r w:rsidRPr="000508B6">
        <w:rPr>
          <w:rFonts w:ascii="Times New Roman" w:hAnsi="Times New Roman" w:cs="Times New Roman"/>
          <w:lang w:val="ro-MD"/>
        </w:rPr>
        <w:t>) - (</w:t>
      </w:r>
      <w:r w:rsidR="00033885" w:rsidRPr="000508B6">
        <w:rPr>
          <w:rFonts w:ascii="Times New Roman" w:hAnsi="Times New Roman" w:cs="Times New Roman"/>
          <w:lang w:val="ro-MD"/>
        </w:rPr>
        <w:t>10</w:t>
      </w:r>
      <w:r w:rsidRPr="000508B6">
        <w:rPr>
          <w:rFonts w:ascii="Times New Roman" w:hAnsi="Times New Roman" w:cs="Times New Roman"/>
          <w:lang w:val="ro-MD"/>
        </w:rPr>
        <w:t>) sunt redactate</w:t>
      </w:r>
      <w:r w:rsidR="00B112D3" w:rsidRPr="000508B6">
        <w:rPr>
          <w:rFonts w:ascii="Times New Roman" w:hAnsi="Times New Roman" w:cs="Times New Roman"/>
          <w:lang w:val="ro-MD"/>
        </w:rPr>
        <w:t xml:space="preserve"> </w:t>
      </w:r>
      <w:r w:rsidR="00CB79ED" w:rsidRPr="000508B6">
        <w:rPr>
          <w:rFonts w:ascii="Times New Roman" w:hAnsi="Times New Roman" w:cs="Times New Roman"/>
          <w:lang w:val="ro-MD"/>
        </w:rPr>
        <w:t xml:space="preserve">în mod </w:t>
      </w:r>
      <w:r w:rsidR="00B112D3" w:rsidRPr="000508B6">
        <w:rPr>
          <w:rFonts w:ascii="Times New Roman" w:hAnsi="Times New Roman" w:cs="Times New Roman"/>
          <w:lang w:val="ro-MD"/>
        </w:rPr>
        <w:t>clar și exact</w:t>
      </w:r>
      <w:r w:rsidRPr="000508B6">
        <w:rPr>
          <w:rFonts w:ascii="Times New Roman" w:hAnsi="Times New Roman" w:cs="Times New Roman"/>
          <w:lang w:val="ro-MD"/>
        </w:rPr>
        <w:t xml:space="preserve"> în limba română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transmise </w:t>
      </w:r>
      <w:r w:rsidR="00CA7DC0" w:rsidRPr="000508B6">
        <w:rPr>
          <w:rFonts w:ascii="Times New Roman" w:hAnsi="Times New Roman" w:cs="Times New Roman"/>
          <w:lang w:val="ro-MD"/>
        </w:rPr>
        <w:t>asiguraților</w:t>
      </w:r>
      <w:r w:rsidR="00E13F75" w:rsidRPr="000508B6">
        <w:rPr>
          <w:rFonts w:ascii="Times New Roman" w:hAnsi="Times New Roman" w:cs="Times New Roman"/>
          <w:lang w:val="ro-MD"/>
        </w:rPr>
        <w:t xml:space="preserve">. </w:t>
      </w:r>
      <w:r w:rsidR="003C558D" w:rsidRPr="000508B6">
        <w:rPr>
          <w:rFonts w:ascii="Times New Roman" w:hAnsi="Times New Roman" w:cs="Times New Roman"/>
          <w:lang w:val="ro-MD"/>
        </w:rPr>
        <w:t xml:space="preserve">Informațiile pot fi redactate într-o altă limbă în cazul în care asiguratul solicită acest lucru sau în cazul în care are dreptul să aleagă legea aplicabilă. </w:t>
      </w:r>
    </w:p>
    <w:p w14:paraId="65DC8F03" w14:textId="71C6D8CF" w:rsidR="00F95829" w:rsidRPr="000508B6" w:rsidRDefault="001D3A16" w:rsidP="009D58DB">
      <w:pPr>
        <w:pStyle w:val="Listparagraf"/>
        <w:numPr>
          <w:ilvl w:val="0"/>
          <w:numId w:val="213"/>
        </w:numPr>
        <w:tabs>
          <w:tab w:val="left" w:pos="709"/>
          <w:tab w:val="left" w:pos="851"/>
        </w:tabs>
        <w:autoSpaceDE w:val="0"/>
        <w:autoSpaceDN w:val="0"/>
        <w:adjustRightInd w:val="0"/>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bookmarkStart w:id="126" w:name="_Hlk221292523"/>
      <w:r w:rsidRPr="000508B6">
        <w:rPr>
          <w:rFonts w:ascii="Times New Roman" w:hAnsi="Times New Roman" w:cs="Times New Roman"/>
          <w:lang w:val="ro-MD"/>
        </w:rPr>
        <w:t xml:space="preserve">Modalitatea de aplicare a alin. (1) și a alin. (5) - (10) se stabilește prin actele normative ale </w:t>
      </w:r>
      <w:bookmarkEnd w:id="126"/>
      <w:r w:rsidR="002A4D89">
        <w:rPr>
          <w:rFonts w:ascii="Times New Roman" w:hAnsi="Times New Roman" w:cs="Times New Roman"/>
          <w:lang w:val="ro-MD"/>
        </w:rPr>
        <w:t>CNPF</w:t>
      </w:r>
      <w:r w:rsidR="003408E7">
        <w:rPr>
          <w:rFonts w:ascii="Times New Roman" w:hAnsi="Times New Roman" w:cs="Times New Roman"/>
          <w:lang w:val="ro-MD"/>
        </w:rPr>
        <w:t>.</w:t>
      </w:r>
      <w:r w:rsidR="00507D21" w:rsidRPr="000508B6" w:rsidDel="00507D21">
        <w:rPr>
          <w:rFonts w:ascii="Times New Roman" w:hAnsi="Times New Roman" w:cs="Times New Roman"/>
          <w:lang w:val="ro-MD"/>
        </w:rPr>
        <w:t xml:space="preserve"> </w:t>
      </w:r>
    </w:p>
    <w:p w14:paraId="76F76379" w14:textId="77777777" w:rsidR="003D1477" w:rsidRPr="000508B6" w:rsidRDefault="003D1477" w:rsidP="008B530F">
      <w:pPr>
        <w:tabs>
          <w:tab w:val="left" w:pos="993"/>
        </w:tabs>
        <w:spacing w:after="0" w:line="240" w:lineRule="auto"/>
        <w:ind w:firstLine="426"/>
        <w:jc w:val="both"/>
        <w:rPr>
          <w:rFonts w:ascii="Times New Roman" w:eastAsia="Times New Roman" w:hAnsi="Times New Roman" w:cs="Times New Roman"/>
          <w:lang w:val="ro-MD"/>
        </w:rPr>
      </w:pPr>
    </w:p>
    <w:p w14:paraId="4FD31D24" w14:textId="4F6ADEE8" w:rsidR="00A65417" w:rsidRPr="000508B6" w:rsidRDefault="00A65417"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w:t>
      </w:r>
      <w:r w:rsidR="004B3C7E" w:rsidRPr="000508B6">
        <w:rPr>
          <w:rFonts w:ascii="Times New Roman" w:eastAsia="Times New Roman" w:hAnsi="Times New Roman" w:cs="Times New Roman"/>
          <w:b/>
          <w:lang w:val="ro-MD"/>
        </w:rPr>
        <w:t>icolul</w:t>
      </w:r>
      <w:r w:rsidRPr="000508B6">
        <w:rPr>
          <w:rFonts w:ascii="Times New Roman" w:eastAsia="Times New Roman" w:hAnsi="Times New Roman" w:cs="Times New Roman"/>
          <w:b/>
          <w:lang w:val="ro-MD"/>
        </w:rPr>
        <w:t xml:space="preserve"> </w:t>
      </w:r>
      <w:r w:rsidR="006A05E9" w:rsidRPr="000508B6">
        <w:rPr>
          <w:rFonts w:ascii="Times New Roman" w:eastAsia="Times New Roman" w:hAnsi="Times New Roman" w:cs="Times New Roman"/>
          <w:b/>
          <w:lang w:val="ro-MD"/>
        </w:rPr>
        <w:t>107</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51737B" w:rsidRPr="000508B6">
        <w:rPr>
          <w:rFonts w:ascii="Times New Roman" w:eastAsia="Times New Roman" w:hAnsi="Times New Roman" w:cs="Times New Roman"/>
          <w:lang w:val="ro-MD"/>
        </w:rPr>
        <w:t xml:space="preserve">Termenul de </w:t>
      </w:r>
      <w:r w:rsidR="00E663AA" w:rsidRPr="000508B6">
        <w:rPr>
          <w:rFonts w:ascii="Times New Roman" w:eastAsia="Times New Roman" w:hAnsi="Times New Roman" w:cs="Times New Roman"/>
          <w:lang w:val="ro-MD"/>
        </w:rPr>
        <w:t>revocare a</w:t>
      </w:r>
      <w:r w:rsidRPr="000508B6">
        <w:rPr>
          <w:rFonts w:ascii="Times New Roman" w:eastAsia="Times New Roman" w:hAnsi="Times New Roman" w:cs="Times New Roman"/>
          <w:lang w:val="ro-MD"/>
        </w:rPr>
        <w:t xml:space="preserve"> contractul</w:t>
      </w:r>
      <w:r w:rsidR="00E663AA" w:rsidRPr="000508B6">
        <w:rPr>
          <w:rFonts w:ascii="Times New Roman" w:eastAsia="Times New Roman" w:hAnsi="Times New Roman" w:cs="Times New Roman"/>
          <w:lang w:val="ro-MD"/>
        </w:rPr>
        <w:t>ui</w:t>
      </w:r>
      <w:r w:rsidRPr="000508B6">
        <w:rPr>
          <w:rFonts w:ascii="Times New Roman" w:eastAsia="Times New Roman" w:hAnsi="Times New Roman" w:cs="Times New Roman"/>
          <w:lang w:val="ro-MD"/>
        </w:rPr>
        <w:t xml:space="preserve"> de </w:t>
      </w:r>
      <w:r w:rsidR="0082102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w:t>
      </w:r>
    </w:p>
    <w:p w14:paraId="453A6B34" w14:textId="4CEADF19" w:rsidR="00A65417" w:rsidRPr="000508B6" w:rsidRDefault="00A65417" w:rsidP="00CF5AFA">
      <w:pPr>
        <w:pStyle w:val="Listparagraf"/>
        <w:numPr>
          <w:ilvl w:val="1"/>
          <w:numId w:val="368"/>
        </w:numPr>
        <w:tabs>
          <w:tab w:val="left" w:pos="786"/>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Clauza privind </w:t>
      </w:r>
      <w:r w:rsidR="004F0BA3" w:rsidRPr="000508B6">
        <w:rPr>
          <w:rFonts w:ascii="Times New Roman" w:eastAsia="Times New Roman" w:hAnsi="Times New Roman" w:cs="Times New Roman"/>
          <w:lang w:val="ro-MD"/>
        </w:rPr>
        <w:t>revocarea</w:t>
      </w:r>
      <w:r w:rsidRPr="000508B6">
        <w:rPr>
          <w:rFonts w:ascii="Times New Roman" w:eastAsia="Times New Roman" w:hAnsi="Times New Roman" w:cs="Times New Roman"/>
          <w:lang w:val="ro-MD"/>
        </w:rPr>
        <w:t xml:space="preserve"> contractul</w:t>
      </w:r>
      <w:r w:rsidR="00FC7183" w:rsidRPr="000508B6">
        <w:rPr>
          <w:rFonts w:ascii="Times New Roman" w:eastAsia="Times New Roman" w:hAnsi="Times New Roman" w:cs="Times New Roman"/>
          <w:lang w:val="ro-MD"/>
        </w:rPr>
        <w:t>ui</w:t>
      </w:r>
      <w:r w:rsidRPr="000508B6">
        <w:rPr>
          <w:rFonts w:ascii="Times New Roman" w:eastAsia="Times New Roman" w:hAnsi="Times New Roman" w:cs="Times New Roman"/>
          <w:lang w:val="ro-MD"/>
        </w:rPr>
        <w:t xml:space="preserve"> de </w:t>
      </w:r>
      <w:r w:rsidR="0082102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de viață fără penalizări prevede o perioadă de </w:t>
      </w:r>
      <w:proofErr w:type="spellStart"/>
      <w:r w:rsidR="00E5642F" w:rsidRPr="000508B6">
        <w:rPr>
          <w:rFonts w:ascii="Times New Roman" w:eastAsia="Times New Roman" w:hAnsi="Times New Roman" w:cs="Times New Roman"/>
          <w:lang w:val="ro-MD"/>
        </w:rPr>
        <w:t>pâ</w:t>
      </w:r>
      <w:proofErr w:type="spellEnd"/>
      <w:r w:rsidR="004D0808">
        <w:rPr>
          <w:rFonts w:ascii="Times New Roman" w:eastAsia="Times New Roman" w:hAnsi="Times New Roman" w:cs="Times New Roman"/>
          <w:lang w:val="ro-MD"/>
        </w:rPr>
        <w:t xml:space="preserve"> </w:t>
      </w:r>
      <w:r w:rsidR="00E5642F" w:rsidRPr="000508B6">
        <w:rPr>
          <w:rFonts w:ascii="Times New Roman" w:eastAsia="Times New Roman" w:hAnsi="Times New Roman" w:cs="Times New Roman"/>
          <w:lang w:val="ro-MD"/>
        </w:rPr>
        <w:t xml:space="preserve">nă la </w:t>
      </w:r>
      <w:r w:rsidR="00D14EBC" w:rsidRPr="000508B6">
        <w:rPr>
          <w:rFonts w:ascii="Times New Roman" w:eastAsia="Times New Roman" w:hAnsi="Times New Roman" w:cs="Times New Roman"/>
          <w:lang w:val="ro-MD"/>
        </w:rPr>
        <w:t>30</w:t>
      </w:r>
      <w:r w:rsidRPr="000508B6">
        <w:rPr>
          <w:rFonts w:ascii="Times New Roman" w:eastAsia="Times New Roman" w:hAnsi="Times New Roman" w:cs="Times New Roman"/>
          <w:lang w:val="ro-MD"/>
        </w:rPr>
        <w:t xml:space="preserve"> de zile de la data la care </w:t>
      </w:r>
      <w:r w:rsidR="00CA7DC0" w:rsidRPr="000508B6">
        <w:rPr>
          <w:rFonts w:ascii="Times New Roman" w:eastAsia="Times New Roman" w:hAnsi="Times New Roman" w:cs="Times New Roman"/>
          <w:lang w:val="ro-MD"/>
        </w:rPr>
        <w:t xml:space="preserve">asiguratul </w:t>
      </w:r>
      <w:r w:rsidRPr="000508B6">
        <w:rPr>
          <w:rFonts w:ascii="Times New Roman" w:eastAsia="Times New Roman" w:hAnsi="Times New Roman" w:cs="Times New Roman"/>
          <w:lang w:val="ro-MD"/>
        </w:rPr>
        <w:t xml:space="preserve">este informat de încheierea contractului, în care acesta poate înainta un preaviz de </w:t>
      </w:r>
      <w:r w:rsidR="004F0BA3" w:rsidRPr="000508B6">
        <w:rPr>
          <w:rFonts w:ascii="Times New Roman" w:eastAsia="Times New Roman" w:hAnsi="Times New Roman" w:cs="Times New Roman"/>
          <w:lang w:val="ro-MD"/>
        </w:rPr>
        <w:t xml:space="preserve">revocarea </w:t>
      </w:r>
      <w:r w:rsidRPr="000508B6">
        <w:rPr>
          <w:rFonts w:ascii="Times New Roman" w:eastAsia="Times New Roman" w:hAnsi="Times New Roman" w:cs="Times New Roman"/>
          <w:lang w:val="ro-MD"/>
        </w:rPr>
        <w:t xml:space="preserve">la contract, moment în care încetează orice </w:t>
      </w:r>
      <w:proofErr w:type="spellStart"/>
      <w:r w:rsidRPr="000508B6">
        <w:rPr>
          <w:rFonts w:ascii="Times New Roman" w:eastAsia="Times New Roman" w:hAnsi="Times New Roman" w:cs="Times New Roman"/>
          <w:lang w:val="ro-MD"/>
        </w:rPr>
        <w:t>obligaţie</w:t>
      </w:r>
      <w:proofErr w:type="spellEnd"/>
      <w:r w:rsidRPr="000508B6">
        <w:rPr>
          <w:rFonts w:ascii="Times New Roman" w:eastAsia="Times New Roman" w:hAnsi="Times New Roman" w:cs="Times New Roman"/>
          <w:lang w:val="ro-MD"/>
        </w:rPr>
        <w:t xml:space="preserve"> viitoare prevăzută de contract.</w:t>
      </w:r>
    </w:p>
    <w:p w14:paraId="7BEE65F8" w14:textId="7044038F" w:rsidR="00A65417" w:rsidRPr="000508B6" w:rsidRDefault="00A65417" w:rsidP="00CF5AFA">
      <w:pPr>
        <w:pStyle w:val="Listparagraf"/>
        <w:numPr>
          <w:ilvl w:val="1"/>
          <w:numId w:val="368"/>
        </w:numPr>
        <w:tabs>
          <w:tab w:val="left" w:pos="786"/>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w:t>
      </w:r>
      <w:proofErr w:type="spellStart"/>
      <w:r w:rsidRPr="000508B6">
        <w:rPr>
          <w:rFonts w:ascii="Times New Roman" w:eastAsia="Times New Roman" w:hAnsi="Times New Roman" w:cs="Times New Roman"/>
          <w:lang w:val="ro-MD"/>
        </w:rPr>
        <w:t>situaţia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menţionată</w:t>
      </w:r>
      <w:proofErr w:type="spellEnd"/>
      <w:r w:rsidRPr="000508B6">
        <w:rPr>
          <w:rFonts w:ascii="Times New Roman" w:eastAsia="Times New Roman" w:hAnsi="Times New Roman" w:cs="Times New Roman"/>
          <w:lang w:val="ro-MD"/>
        </w:rPr>
        <w:t xml:space="preserve"> la alin. (1), se respectă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de </w:t>
      </w:r>
      <w:r w:rsidR="004F0BA3" w:rsidRPr="000508B6">
        <w:rPr>
          <w:rFonts w:ascii="Times New Roman" w:eastAsia="Times New Roman" w:hAnsi="Times New Roman" w:cs="Times New Roman"/>
          <w:lang w:val="ro-MD"/>
        </w:rPr>
        <w:t xml:space="preserve">revocare </w:t>
      </w:r>
      <w:r w:rsidRPr="000508B6">
        <w:rPr>
          <w:rFonts w:ascii="Times New Roman" w:eastAsia="Times New Roman" w:hAnsi="Times New Roman" w:cs="Times New Roman"/>
          <w:lang w:val="ro-MD"/>
        </w:rPr>
        <w:t>prevăzute de legea aplicabilă contractului.</w:t>
      </w:r>
      <w:r w:rsidR="00402D9D" w:rsidRPr="000508B6">
        <w:rPr>
          <w:rFonts w:ascii="Times New Roman" w:eastAsia="Times New Roman" w:hAnsi="Times New Roman" w:cs="Times New Roman"/>
          <w:lang w:val="ro-MD"/>
        </w:rPr>
        <w:t xml:space="preserve"> </w:t>
      </w:r>
    </w:p>
    <w:p w14:paraId="5967483F" w14:textId="2ABFA3EA" w:rsidR="00F95829" w:rsidRPr="000508B6" w:rsidRDefault="00A65417" w:rsidP="00CF5AFA">
      <w:pPr>
        <w:pStyle w:val="Listparagraf"/>
        <w:numPr>
          <w:ilvl w:val="1"/>
          <w:numId w:val="368"/>
        </w:numPr>
        <w:tabs>
          <w:tab w:val="left" w:pos="786"/>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(1) nu se aplică în cazul în care contractul are o durată de până la 6 luni.</w:t>
      </w:r>
      <w:r w:rsidR="00402D9D" w:rsidRPr="000508B6">
        <w:rPr>
          <w:rFonts w:ascii="Times New Roman" w:eastAsia="Times New Roman" w:hAnsi="Times New Roman" w:cs="Times New Roman"/>
          <w:lang w:val="ro-MD"/>
        </w:rPr>
        <w:t xml:space="preserve"> </w:t>
      </w:r>
    </w:p>
    <w:p w14:paraId="066431C2" w14:textId="67C32F1B" w:rsidR="00F95829" w:rsidRPr="000508B6" w:rsidRDefault="00F95829" w:rsidP="00095660">
      <w:pPr>
        <w:tabs>
          <w:tab w:val="left" w:pos="786"/>
        </w:tabs>
        <w:spacing w:after="0" w:line="240" w:lineRule="auto"/>
        <w:ind w:firstLine="426"/>
        <w:jc w:val="both"/>
        <w:rPr>
          <w:rFonts w:ascii="Times New Roman" w:eastAsia="Times New Roman" w:hAnsi="Times New Roman" w:cs="Times New Roman"/>
          <w:lang w:val="ro-MD"/>
        </w:rPr>
      </w:pPr>
    </w:p>
    <w:p w14:paraId="4CD5A409" w14:textId="6B12F06E" w:rsidR="00F95829" w:rsidRPr="000508B6" w:rsidRDefault="00F95829" w:rsidP="008B530F">
      <w:pPr>
        <w:tabs>
          <w:tab w:val="left" w:pos="993"/>
        </w:tabs>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2-a</w:t>
      </w:r>
    </w:p>
    <w:p w14:paraId="3B02CED4" w14:textId="4A44B822" w:rsidR="00F95829" w:rsidRPr="000508B6" w:rsidRDefault="00F95829" w:rsidP="008B530F">
      <w:pPr>
        <w:tabs>
          <w:tab w:val="left" w:pos="993"/>
        </w:tabs>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Dispoziţii</w:t>
      </w:r>
      <w:proofErr w:type="spellEnd"/>
      <w:r w:rsidRPr="000508B6">
        <w:rPr>
          <w:rFonts w:ascii="Times New Roman" w:eastAsia="Times New Roman" w:hAnsi="Times New Roman" w:cs="Times New Roman"/>
          <w:b/>
          <w:lang w:val="ro-MD"/>
        </w:rPr>
        <w:t xml:space="preserve"> specifice</w:t>
      </w:r>
      <w:r w:rsidR="005A6396" w:rsidRPr="000508B6">
        <w:rPr>
          <w:rFonts w:ascii="Times New Roman" w:eastAsia="Times New Roman" w:hAnsi="Times New Roman" w:cs="Times New Roman"/>
          <w:b/>
          <w:lang w:val="ro-MD"/>
        </w:rPr>
        <w:t xml:space="preserve"> activității de</w:t>
      </w:r>
      <w:r w:rsidRPr="000508B6">
        <w:rPr>
          <w:rFonts w:ascii="Times New Roman" w:eastAsia="Times New Roman" w:hAnsi="Times New Roman" w:cs="Times New Roman"/>
          <w:b/>
          <w:lang w:val="ro-MD"/>
        </w:rPr>
        <w:t xml:space="preserve"> </w:t>
      </w:r>
      <w:r w:rsidR="005A6396" w:rsidRPr="000508B6">
        <w:rPr>
          <w:rFonts w:ascii="Times New Roman" w:eastAsia="Times New Roman" w:hAnsi="Times New Roman" w:cs="Times New Roman"/>
          <w:b/>
          <w:lang w:val="ro-MD"/>
        </w:rPr>
        <w:t>asigurare general</w:t>
      </w:r>
      <w:r w:rsidR="004D0808">
        <w:rPr>
          <w:rFonts w:ascii="Times New Roman" w:eastAsia="Times New Roman" w:hAnsi="Times New Roman" w:cs="Times New Roman"/>
          <w:b/>
          <w:lang w:val="ro-MD"/>
        </w:rPr>
        <w:t>ă</w:t>
      </w:r>
      <w:r w:rsidR="005A6396" w:rsidRPr="000508B6">
        <w:rPr>
          <w:rFonts w:ascii="Times New Roman" w:eastAsia="Times New Roman" w:hAnsi="Times New Roman" w:cs="Times New Roman"/>
          <w:b/>
          <w:lang w:val="ro-MD"/>
        </w:rPr>
        <w:t xml:space="preserve">, de </w:t>
      </w:r>
      <w:proofErr w:type="spellStart"/>
      <w:r w:rsidR="005A6396" w:rsidRPr="000508B6">
        <w:rPr>
          <w:rFonts w:ascii="Times New Roman" w:eastAsia="Times New Roman" w:hAnsi="Times New Roman" w:cs="Times New Roman"/>
          <w:b/>
          <w:lang w:val="ro-MD"/>
        </w:rPr>
        <w:t>viaţă</w:t>
      </w:r>
      <w:proofErr w:type="spellEnd"/>
      <w:r w:rsidR="005A6396" w:rsidRPr="000508B6">
        <w:rPr>
          <w:rFonts w:ascii="Times New Roman" w:eastAsia="Times New Roman" w:hAnsi="Times New Roman" w:cs="Times New Roman"/>
          <w:b/>
          <w:lang w:val="ro-MD"/>
        </w:rPr>
        <w:t xml:space="preserve"> și reasigurării</w:t>
      </w:r>
    </w:p>
    <w:p w14:paraId="08A8FB16" w14:textId="77777777" w:rsidR="00A378B6" w:rsidRPr="000508B6" w:rsidRDefault="00A378B6" w:rsidP="00A65417">
      <w:pPr>
        <w:tabs>
          <w:tab w:val="left" w:pos="993"/>
        </w:tabs>
        <w:spacing w:after="0" w:line="240" w:lineRule="auto"/>
        <w:ind w:firstLine="426"/>
        <w:jc w:val="both"/>
        <w:rPr>
          <w:rFonts w:ascii="Times New Roman" w:eastAsia="Times New Roman" w:hAnsi="Times New Roman" w:cs="Times New Roman"/>
          <w:b/>
          <w:lang w:val="ro-MD"/>
        </w:rPr>
      </w:pPr>
    </w:p>
    <w:p w14:paraId="5BE9A75B" w14:textId="19509EEB" w:rsidR="00A65417" w:rsidRPr="000508B6" w:rsidRDefault="00F95829" w:rsidP="00A65417">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05E9" w:rsidRPr="000508B6">
        <w:rPr>
          <w:rFonts w:ascii="Times New Roman" w:eastAsia="Times New Roman" w:hAnsi="Times New Roman" w:cs="Times New Roman"/>
          <w:b/>
          <w:lang w:val="ro-MD"/>
        </w:rPr>
        <w:t>108</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275A42" w:rsidRPr="000508B6">
        <w:rPr>
          <w:rFonts w:ascii="Times New Roman" w:eastAsia="Times New Roman" w:hAnsi="Times New Roman" w:cs="Times New Roman"/>
          <w:lang w:val="ro-MD"/>
        </w:rPr>
        <w:t>Asigurarea</w:t>
      </w:r>
      <w:r w:rsidR="00A65417" w:rsidRPr="000508B6">
        <w:rPr>
          <w:rFonts w:ascii="Times New Roman" w:eastAsia="Times New Roman" w:hAnsi="Times New Roman" w:cs="Times New Roman"/>
          <w:lang w:val="ro-MD"/>
        </w:rPr>
        <w:t xml:space="preserve"> general</w:t>
      </w:r>
      <w:r w:rsidR="00275A42" w:rsidRPr="000508B6">
        <w:rPr>
          <w:rFonts w:ascii="Times New Roman" w:eastAsia="Times New Roman" w:hAnsi="Times New Roman" w:cs="Times New Roman"/>
          <w:lang w:val="ro-MD"/>
        </w:rPr>
        <w:t>ă</w:t>
      </w:r>
      <w:r w:rsidR="00C20946" w:rsidRPr="000508B6">
        <w:rPr>
          <w:rFonts w:ascii="Times New Roman" w:eastAsia="Times New Roman" w:hAnsi="Times New Roman" w:cs="Times New Roman"/>
          <w:lang w:val="ro-MD"/>
        </w:rPr>
        <w:t xml:space="preserve"> </w:t>
      </w:r>
    </w:p>
    <w:p w14:paraId="43A78768" w14:textId="3FC66306" w:rsidR="00A65417" w:rsidRPr="000508B6" w:rsidRDefault="00A65417" w:rsidP="00DA11F7">
      <w:pPr>
        <w:pStyle w:val="Listparagraf"/>
        <w:numPr>
          <w:ilvl w:val="1"/>
          <w:numId w:val="27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Contractele de asigurare nu prevăd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w:t>
      </w:r>
      <w:r w:rsidR="00B35BF9" w:rsidRPr="000508B6">
        <w:rPr>
          <w:rFonts w:ascii="Times New Roman" w:eastAsia="Times New Roman" w:hAnsi="Times New Roman" w:cs="Times New Roman"/>
          <w:lang w:val="ro-MD"/>
        </w:rPr>
        <w:t>destinate să răspundă, într-un caz determinat, circumstanțelor speciale ale</w:t>
      </w:r>
      <w:r w:rsidRPr="000508B6">
        <w:rPr>
          <w:rFonts w:ascii="Times New Roman" w:eastAsia="Times New Roman" w:hAnsi="Times New Roman" w:cs="Times New Roman"/>
          <w:lang w:val="ro-MD"/>
        </w:rPr>
        <w:t xml:space="preserve"> riscului subscris.</w:t>
      </w:r>
      <w:r w:rsidR="00C20946" w:rsidRPr="000508B6">
        <w:rPr>
          <w:rFonts w:ascii="Times New Roman" w:hAnsi="Times New Roman" w:cs="Times New Roman"/>
          <w:lang w:val="ro-MD"/>
        </w:rPr>
        <w:t xml:space="preserve"> </w:t>
      </w:r>
    </w:p>
    <w:p w14:paraId="032C59AE" w14:textId="38D1B260" w:rsidR="00A65417" w:rsidRPr="000508B6" w:rsidRDefault="00E12BEF" w:rsidP="00574631">
      <w:pPr>
        <w:pStyle w:val="Listparagraf"/>
        <w:numPr>
          <w:ilvl w:val="1"/>
          <w:numId w:val="27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A65417" w:rsidRPr="000508B6">
        <w:rPr>
          <w:rFonts w:ascii="Times New Roman" w:eastAsia="Times New Roman" w:hAnsi="Times New Roman" w:cs="Times New Roman"/>
          <w:lang w:val="ro-MD"/>
        </w:rPr>
        <w:t>care subscri</w:t>
      </w:r>
      <w:r w:rsidR="007E6E10" w:rsidRPr="000508B6">
        <w:rPr>
          <w:rFonts w:ascii="Times New Roman" w:eastAsia="Times New Roman" w:hAnsi="Times New Roman" w:cs="Times New Roman"/>
          <w:lang w:val="ro-MD"/>
        </w:rPr>
        <w:t>e</w:t>
      </w:r>
      <w:r w:rsidR="00A65417" w:rsidRPr="000508B6">
        <w:rPr>
          <w:rFonts w:ascii="Times New Roman" w:eastAsia="Times New Roman" w:hAnsi="Times New Roman" w:cs="Times New Roman"/>
          <w:lang w:val="ro-MD"/>
        </w:rPr>
        <w:t xml:space="preserve"> riscuri din clasa 10 </w:t>
      </w:r>
      <w:proofErr w:type="spellStart"/>
      <w:r w:rsidR="00A65417" w:rsidRPr="000508B6">
        <w:rPr>
          <w:rFonts w:ascii="Times New Roman" w:eastAsia="Times New Roman" w:hAnsi="Times New Roman" w:cs="Times New Roman"/>
          <w:lang w:val="ro-MD"/>
        </w:rPr>
        <w:t>menţionată</w:t>
      </w:r>
      <w:proofErr w:type="spellEnd"/>
      <w:r w:rsidR="00A65417" w:rsidRPr="000508B6">
        <w:rPr>
          <w:rFonts w:ascii="Times New Roman" w:eastAsia="Times New Roman" w:hAnsi="Times New Roman" w:cs="Times New Roman"/>
          <w:lang w:val="ro-MD"/>
        </w:rPr>
        <w:t xml:space="preserve"> în </w:t>
      </w:r>
      <w:r w:rsidR="000A0659" w:rsidRPr="000508B6">
        <w:rPr>
          <w:rFonts w:ascii="Times New Roman" w:eastAsia="Times New Roman" w:hAnsi="Times New Roman" w:cs="Times New Roman"/>
          <w:lang w:val="ro-MD"/>
        </w:rPr>
        <w:t>A</w:t>
      </w:r>
      <w:r w:rsidR="00A65417" w:rsidRPr="000508B6">
        <w:rPr>
          <w:rFonts w:ascii="Times New Roman" w:eastAsia="Times New Roman" w:hAnsi="Times New Roman" w:cs="Times New Roman"/>
          <w:lang w:val="ro-MD"/>
        </w:rPr>
        <w:t>nexa nr. 1</w:t>
      </w:r>
      <w:r w:rsidR="00DA11F7" w:rsidRPr="000508B6">
        <w:rPr>
          <w:rFonts w:ascii="Times New Roman" w:eastAsia="Times New Roman" w:hAnsi="Times New Roman" w:cs="Times New Roman"/>
          <w:lang w:val="ro-MD"/>
        </w:rPr>
        <w:t>.</w:t>
      </w:r>
      <w:r w:rsidR="00A65417" w:rsidRPr="000508B6">
        <w:rPr>
          <w:rFonts w:ascii="Times New Roman" w:eastAsia="Times New Roman" w:hAnsi="Times New Roman" w:cs="Times New Roman"/>
          <w:lang w:val="ro-MD"/>
        </w:rPr>
        <w:t xml:space="preserve"> </w:t>
      </w:r>
      <w:proofErr w:type="spellStart"/>
      <w:r w:rsidR="000A0659" w:rsidRPr="000508B6">
        <w:rPr>
          <w:rFonts w:ascii="Times New Roman" w:eastAsia="Times New Roman" w:hAnsi="Times New Roman" w:cs="Times New Roman"/>
          <w:lang w:val="ro-MD"/>
        </w:rPr>
        <w:t>S</w:t>
      </w:r>
      <w:r w:rsidR="00A65417" w:rsidRPr="000508B6">
        <w:rPr>
          <w:rFonts w:ascii="Times New Roman" w:eastAsia="Times New Roman" w:hAnsi="Times New Roman" w:cs="Times New Roman"/>
          <w:lang w:val="ro-MD"/>
        </w:rPr>
        <w:t>ecţiunea</w:t>
      </w:r>
      <w:proofErr w:type="spellEnd"/>
      <w:r w:rsidR="00A65417" w:rsidRPr="000508B6">
        <w:rPr>
          <w:rFonts w:ascii="Times New Roman" w:eastAsia="Times New Roman" w:hAnsi="Times New Roman" w:cs="Times New Roman"/>
          <w:lang w:val="ro-MD"/>
        </w:rPr>
        <w:t xml:space="preserve"> A, cu </w:t>
      </w:r>
      <w:proofErr w:type="spellStart"/>
      <w:r w:rsidR="00A65417" w:rsidRPr="000508B6">
        <w:rPr>
          <w:rFonts w:ascii="Times New Roman" w:eastAsia="Times New Roman" w:hAnsi="Times New Roman" w:cs="Times New Roman"/>
          <w:lang w:val="ro-MD"/>
        </w:rPr>
        <w:t>excepţia</w:t>
      </w:r>
      <w:proofErr w:type="spellEnd"/>
      <w:r w:rsidR="00A65417" w:rsidRPr="000508B6">
        <w:rPr>
          <w:rFonts w:ascii="Times New Roman" w:eastAsia="Times New Roman" w:hAnsi="Times New Roman" w:cs="Times New Roman"/>
          <w:lang w:val="ro-MD"/>
        </w:rPr>
        <w:t xml:space="preserve"> răspunderii transportatorului, a</w:t>
      </w:r>
      <w:r w:rsidR="007E6E10" w:rsidRPr="000508B6">
        <w:rPr>
          <w:rFonts w:ascii="Times New Roman" w:eastAsia="Times New Roman" w:hAnsi="Times New Roman" w:cs="Times New Roman"/>
          <w:lang w:val="ro-MD"/>
        </w:rPr>
        <w:t>re</w:t>
      </w:r>
      <w:r w:rsidR="003B6053" w:rsidRPr="000508B6">
        <w:rPr>
          <w:rFonts w:ascii="Times New Roman" w:eastAsia="Times New Roman" w:hAnsi="Times New Roman" w:cs="Times New Roman"/>
          <w:lang w:val="ro-MD"/>
        </w:rPr>
        <w:t xml:space="preserve"> </w:t>
      </w:r>
      <w:proofErr w:type="spellStart"/>
      <w:r w:rsidR="00A65417" w:rsidRPr="000508B6">
        <w:rPr>
          <w:rFonts w:ascii="Times New Roman" w:eastAsia="Times New Roman" w:hAnsi="Times New Roman" w:cs="Times New Roman"/>
          <w:lang w:val="ro-MD"/>
        </w:rPr>
        <w:t>obligaţia</w:t>
      </w:r>
      <w:proofErr w:type="spellEnd"/>
      <w:r w:rsidR="00A65417" w:rsidRPr="000508B6">
        <w:rPr>
          <w:rFonts w:ascii="Times New Roman" w:eastAsia="Times New Roman" w:hAnsi="Times New Roman" w:cs="Times New Roman"/>
          <w:lang w:val="ro-MD"/>
        </w:rPr>
        <w:t xml:space="preserve"> de a fi membr</w:t>
      </w:r>
      <w:r w:rsidR="0090273F" w:rsidRPr="000508B6">
        <w:rPr>
          <w:rFonts w:ascii="Times New Roman" w:eastAsia="Times New Roman" w:hAnsi="Times New Roman" w:cs="Times New Roman"/>
          <w:lang w:val="ro-MD"/>
        </w:rPr>
        <w:t>u</w:t>
      </w:r>
      <w:r w:rsidR="000A7825" w:rsidRPr="000508B6">
        <w:rPr>
          <w:rFonts w:ascii="Times New Roman" w:eastAsia="Times New Roman" w:hAnsi="Times New Roman" w:cs="Times New Roman"/>
          <w:lang w:val="ro-MD"/>
        </w:rPr>
        <w:t xml:space="preserve"> a</w:t>
      </w:r>
      <w:r w:rsidR="00946022" w:rsidRPr="000508B6">
        <w:rPr>
          <w:rFonts w:ascii="Times New Roman" w:eastAsia="Times New Roman" w:hAnsi="Times New Roman" w:cs="Times New Roman"/>
          <w:lang w:val="ro-MD"/>
        </w:rPr>
        <w:t>l</w:t>
      </w:r>
      <w:r w:rsidR="00A65417" w:rsidRPr="000508B6">
        <w:rPr>
          <w:rFonts w:ascii="Times New Roman" w:eastAsia="Times New Roman" w:hAnsi="Times New Roman" w:cs="Times New Roman"/>
          <w:lang w:val="ro-MD"/>
        </w:rPr>
        <w:t xml:space="preserve"> </w:t>
      </w:r>
      <w:r w:rsidR="00AF284D" w:rsidRPr="000508B6">
        <w:rPr>
          <w:rFonts w:ascii="Times New Roman" w:eastAsia="Times New Roman" w:hAnsi="Times New Roman" w:cs="Times New Roman"/>
          <w:lang w:val="ro-MD"/>
        </w:rPr>
        <w:t>BNAA</w:t>
      </w:r>
      <w:r w:rsidR="00A65417" w:rsidRPr="000508B6">
        <w:rPr>
          <w:rFonts w:ascii="Times New Roman" w:eastAsia="Times New Roman" w:hAnsi="Times New Roman" w:cs="Times New Roman"/>
          <w:lang w:val="ro-MD"/>
        </w:rPr>
        <w:t>.</w:t>
      </w:r>
    </w:p>
    <w:p w14:paraId="4AACC424" w14:textId="5FB4D481" w:rsidR="00A65417" w:rsidRPr="000508B6" w:rsidRDefault="00E12BEF" w:rsidP="00574631">
      <w:pPr>
        <w:pStyle w:val="Listparagraf"/>
        <w:numPr>
          <w:ilvl w:val="1"/>
          <w:numId w:val="27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A65417" w:rsidRPr="000508B6">
        <w:rPr>
          <w:rFonts w:ascii="Times New Roman" w:eastAsia="Times New Roman" w:hAnsi="Times New Roman" w:cs="Times New Roman"/>
          <w:lang w:val="ro-MD"/>
        </w:rPr>
        <w:t xml:space="preserve">se afiliază la </w:t>
      </w:r>
      <w:r w:rsidR="00721B32" w:rsidRPr="000508B6">
        <w:rPr>
          <w:rFonts w:ascii="Times New Roman" w:eastAsia="Times New Roman" w:hAnsi="Times New Roman" w:cs="Times New Roman"/>
          <w:lang w:val="ro-MD"/>
        </w:rPr>
        <w:t xml:space="preserve">BNAA </w:t>
      </w:r>
      <w:r w:rsidR="00A65417" w:rsidRPr="000508B6">
        <w:rPr>
          <w:rFonts w:ascii="Times New Roman" w:eastAsia="Times New Roman" w:hAnsi="Times New Roman" w:cs="Times New Roman"/>
          <w:lang w:val="ro-MD"/>
        </w:rPr>
        <w:t xml:space="preserve">în </w:t>
      </w:r>
      <w:r w:rsidR="000A7825" w:rsidRPr="000508B6">
        <w:rPr>
          <w:rFonts w:ascii="Times New Roman" w:eastAsia="Times New Roman" w:hAnsi="Times New Roman" w:cs="Times New Roman"/>
          <w:lang w:val="ro-MD"/>
        </w:rPr>
        <w:t xml:space="preserve">termen de </w:t>
      </w:r>
      <w:r w:rsidR="00A65417" w:rsidRPr="000508B6">
        <w:rPr>
          <w:rFonts w:ascii="Times New Roman" w:eastAsia="Times New Roman" w:hAnsi="Times New Roman" w:cs="Times New Roman"/>
          <w:lang w:val="ro-MD"/>
        </w:rPr>
        <w:t xml:space="preserve">30 de zile de la primirea </w:t>
      </w:r>
      <w:r w:rsidR="00D6730E" w:rsidRPr="000508B6">
        <w:rPr>
          <w:rFonts w:ascii="Times New Roman" w:eastAsia="Times New Roman" w:hAnsi="Times New Roman" w:cs="Times New Roman"/>
          <w:lang w:val="ro-MD"/>
        </w:rPr>
        <w:t xml:space="preserve">licenței </w:t>
      </w:r>
      <w:r w:rsidR="00A65417" w:rsidRPr="000508B6">
        <w:rPr>
          <w:rFonts w:ascii="Times New Roman" w:eastAsia="Times New Roman" w:hAnsi="Times New Roman" w:cs="Times New Roman"/>
          <w:lang w:val="ro-MD"/>
        </w:rPr>
        <w:t xml:space="preserve">de a subscrie riscuri din clasa 10 </w:t>
      </w:r>
      <w:proofErr w:type="spellStart"/>
      <w:r w:rsidR="00A65417" w:rsidRPr="000508B6">
        <w:rPr>
          <w:rFonts w:ascii="Times New Roman" w:eastAsia="Times New Roman" w:hAnsi="Times New Roman" w:cs="Times New Roman"/>
          <w:lang w:val="ro-MD"/>
        </w:rPr>
        <w:t>menţionată</w:t>
      </w:r>
      <w:proofErr w:type="spellEnd"/>
      <w:r w:rsidR="00A65417" w:rsidRPr="000508B6">
        <w:rPr>
          <w:rFonts w:ascii="Times New Roman" w:eastAsia="Times New Roman" w:hAnsi="Times New Roman" w:cs="Times New Roman"/>
          <w:lang w:val="ro-MD"/>
        </w:rPr>
        <w:t xml:space="preserve"> în </w:t>
      </w:r>
      <w:r w:rsidR="000A0659" w:rsidRPr="000508B6">
        <w:rPr>
          <w:rFonts w:ascii="Times New Roman" w:eastAsia="Times New Roman" w:hAnsi="Times New Roman" w:cs="Times New Roman"/>
          <w:lang w:val="ro-MD"/>
        </w:rPr>
        <w:t>A</w:t>
      </w:r>
      <w:r w:rsidR="00A65417" w:rsidRPr="000508B6">
        <w:rPr>
          <w:rFonts w:ascii="Times New Roman" w:eastAsia="Times New Roman" w:hAnsi="Times New Roman" w:cs="Times New Roman"/>
          <w:lang w:val="ro-MD"/>
        </w:rPr>
        <w:t>nexa nr. 1</w:t>
      </w:r>
      <w:r w:rsidR="00DA11F7" w:rsidRPr="000508B6">
        <w:rPr>
          <w:rFonts w:ascii="Times New Roman" w:eastAsia="Times New Roman" w:hAnsi="Times New Roman" w:cs="Times New Roman"/>
          <w:lang w:val="ro-MD"/>
        </w:rPr>
        <w:t>.</w:t>
      </w:r>
      <w:r w:rsidR="00A65417" w:rsidRPr="000508B6">
        <w:rPr>
          <w:rFonts w:ascii="Times New Roman" w:eastAsia="Times New Roman" w:hAnsi="Times New Roman" w:cs="Times New Roman"/>
          <w:lang w:val="ro-MD"/>
        </w:rPr>
        <w:t xml:space="preserve"> </w:t>
      </w:r>
      <w:proofErr w:type="spellStart"/>
      <w:r w:rsidR="000A0659" w:rsidRPr="000508B6">
        <w:rPr>
          <w:rFonts w:ascii="Times New Roman" w:eastAsia="Times New Roman" w:hAnsi="Times New Roman" w:cs="Times New Roman"/>
          <w:lang w:val="ro-MD"/>
        </w:rPr>
        <w:t>S</w:t>
      </w:r>
      <w:r w:rsidR="00A65417" w:rsidRPr="000508B6">
        <w:rPr>
          <w:rFonts w:ascii="Times New Roman" w:eastAsia="Times New Roman" w:hAnsi="Times New Roman" w:cs="Times New Roman"/>
          <w:lang w:val="ro-MD"/>
        </w:rPr>
        <w:t>ecţiunea</w:t>
      </w:r>
      <w:proofErr w:type="spellEnd"/>
      <w:r w:rsidR="00A65417" w:rsidRPr="000508B6">
        <w:rPr>
          <w:rFonts w:ascii="Times New Roman" w:eastAsia="Times New Roman" w:hAnsi="Times New Roman" w:cs="Times New Roman"/>
          <w:lang w:val="ro-MD"/>
        </w:rPr>
        <w:t xml:space="preserve"> A, cu </w:t>
      </w:r>
      <w:proofErr w:type="spellStart"/>
      <w:r w:rsidR="00A65417" w:rsidRPr="000508B6">
        <w:rPr>
          <w:rFonts w:ascii="Times New Roman" w:eastAsia="Times New Roman" w:hAnsi="Times New Roman" w:cs="Times New Roman"/>
          <w:lang w:val="ro-MD"/>
        </w:rPr>
        <w:t>excepţia</w:t>
      </w:r>
      <w:proofErr w:type="spellEnd"/>
      <w:r w:rsidR="00A65417" w:rsidRPr="000508B6">
        <w:rPr>
          <w:rFonts w:ascii="Times New Roman" w:eastAsia="Times New Roman" w:hAnsi="Times New Roman" w:cs="Times New Roman"/>
          <w:lang w:val="ro-MD"/>
        </w:rPr>
        <w:t xml:space="preserve"> răspunderii transportatorului, </w:t>
      </w:r>
      <w:proofErr w:type="spellStart"/>
      <w:r w:rsidR="00A65417" w:rsidRPr="000508B6">
        <w:rPr>
          <w:rFonts w:ascii="Times New Roman" w:eastAsia="Times New Roman" w:hAnsi="Times New Roman" w:cs="Times New Roman"/>
          <w:lang w:val="ro-MD"/>
        </w:rPr>
        <w:t>şi</w:t>
      </w:r>
      <w:proofErr w:type="spellEnd"/>
      <w:r w:rsidR="00A65417" w:rsidRPr="000508B6">
        <w:rPr>
          <w:rFonts w:ascii="Times New Roman" w:eastAsia="Times New Roman" w:hAnsi="Times New Roman" w:cs="Times New Roman"/>
          <w:lang w:val="ro-MD"/>
        </w:rPr>
        <w:t xml:space="preserve"> a</w:t>
      </w:r>
      <w:r w:rsidR="000A7825" w:rsidRPr="000508B6">
        <w:rPr>
          <w:rFonts w:ascii="Times New Roman" w:eastAsia="Times New Roman" w:hAnsi="Times New Roman" w:cs="Times New Roman"/>
          <w:lang w:val="ro-MD"/>
        </w:rPr>
        <w:t>re</w:t>
      </w:r>
      <w:r w:rsidR="00A65417" w:rsidRPr="000508B6">
        <w:rPr>
          <w:rFonts w:ascii="Times New Roman" w:eastAsia="Times New Roman" w:hAnsi="Times New Roman" w:cs="Times New Roman"/>
          <w:lang w:val="ro-MD"/>
        </w:rPr>
        <w:t xml:space="preserve"> </w:t>
      </w:r>
      <w:proofErr w:type="spellStart"/>
      <w:r w:rsidR="00A65417" w:rsidRPr="000508B6">
        <w:rPr>
          <w:rFonts w:ascii="Times New Roman" w:eastAsia="Times New Roman" w:hAnsi="Times New Roman" w:cs="Times New Roman"/>
          <w:lang w:val="ro-MD"/>
        </w:rPr>
        <w:t>obligaţia</w:t>
      </w:r>
      <w:proofErr w:type="spellEnd"/>
      <w:r w:rsidR="00A65417" w:rsidRPr="000508B6">
        <w:rPr>
          <w:rFonts w:ascii="Times New Roman" w:eastAsia="Times New Roman" w:hAnsi="Times New Roman" w:cs="Times New Roman"/>
          <w:lang w:val="ro-MD"/>
        </w:rPr>
        <w:t xml:space="preserve"> de a </w:t>
      </w:r>
      <w:r w:rsidR="00394AD6" w:rsidRPr="000508B6">
        <w:rPr>
          <w:rFonts w:ascii="Times New Roman" w:eastAsia="Times New Roman" w:hAnsi="Times New Roman" w:cs="Times New Roman"/>
          <w:lang w:val="ro-MD"/>
        </w:rPr>
        <w:t xml:space="preserve">contribui la </w:t>
      </w:r>
      <w:r w:rsidR="00D317E7" w:rsidRPr="000508B6">
        <w:rPr>
          <w:rFonts w:ascii="Times New Roman" w:eastAsia="Times New Roman" w:hAnsi="Times New Roman" w:cs="Times New Roman"/>
          <w:lang w:val="ro-MD"/>
        </w:rPr>
        <w:t xml:space="preserve">fondul </w:t>
      </w:r>
      <w:r w:rsidR="007E6E10" w:rsidRPr="000508B6">
        <w:rPr>
          <w:rFonts w:ascii="Times New Roman" w:eastAsia="Times New Roman" w:hAnsi="Times New Roman" w:cs="Times New Roman"/>
          <w:lang w:val="ro-MD"/>
        </w:rPr>
        <w:t xml:space="preserve">de </w:t>
      </w:r>
      <w:r w:rsidR="000E57A5" w:rsidRPr="000508B6">
        <w:rPr>
          <w:rFonts w:ascii="Times New Roman" w:eastAsia="Times New Roman" w:hAnsi="Times New Roman" w:cs="Times New Roman"/>
          <w:lang w:val="ro-MD"/>
        </w:rPr>
        <w:t xml:space="preserve">compensare </w:t>
      </w:r>
      <w:r w:rsidR="007E6E10" w:rsidRPr="000508B6">
        <w:rPr>
          <w:rFonts w:ascii="Times New Roman" w:eastAsia="Times New Roman" w:hAnsi="Times New Roman" w:cs="Times New Roman"/>
          <w:lang w:val="ro-MD"/>
        </w:rPr>
        <w:t xml:space="preserve">și </w:t>
      </w:r>
      <w:r w:rsidR="00507D21" w:rsidRPr="000508B6">
        <w:rPr>
          <w:rFonts w:ascii="Times New Roman" w:eastAsia="Times New Roman" w:hAnsi="Times New Roman" w:cs="Times New Roman"/>
          <w:lang w:val="ro-MD"/>
        </w:rPr>
        <w:t xml:space="preserve">protecție </w:t>
      </w:r>
      <w:r w:rsidR="00A65417" w:rsidRPr="000508B6">
        <w:rPr>
          <w:rFonts w:ascii="Times New Roman" w:eastAsia="Times New Roman" w:hAnsi="Times New Roman" w:cs="Times New Roman"/>
          <w:lang w:val="ro-MD"/>
        </w:rPr>
        <w:t>de la data afilierii.</w:t>
      </w:r>
      <w:r w:rsidR="00C20946" w:rsidRPr="000508B6">
        <w:rPr>
          <w:rFonts w:ascii="Times New Roman" w:hAnsi="Times New Roman" w:cs="Times New Roman"/>
          <w:lang w:val="ro-MD"/>
        </w:rPr>
        <w:t xml:space="preserve"> </w:t>
      </w:r>
    </w:p>
    <w:p w14:paraId="5CE03431" w14:textId="77777777" w:rsidR="00B3214A" w:rsidRPr="000508B6" w:rsidRDefault="00B3214A" w:rsidP="008B530F">
      <w:pPr>
        <w:tabs>
          <w:tab w:val="left" w:pos="993"/>
        </w:tabs>
        <w:spacing w:after="0" w:line="240" w:lineRule="auto"/>
        <w:ind w:firstLine="426"/>
        <w:jc w:val="both"/>
        <w:rPr>
          <w:rFonts w:ascii="Times New Roman" w:eastAsia="Times New Roman" w:hAnsi="Times New Roman" w:cs="Times New Roman"/>
          <w:b/>
          <w:lang w:val="ro-MD"/>
        </w:rPr>
      </w:pPr>
    </w:p>
    <w:p w14:paraId="46FDAB84" w14:textId="44ED51AC"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05E9" w:rsidRPr="000508B6">
        <w:rPr>
          <w:rFonts w:ascii="Times New Roman" w:eastAsia="Times New Roman" w:hAnsi="Times New Roman" w:cs="Times New Roman"/>
          <w:b/>
          <w:lang w:val="ro-MD"/>
        </w:rPr>
        <w:t>109</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Coasigurarea</w:t>
      </w:r>
      <w:r w:rsidR="005A0852" w:rsidRPr="000508B6">
        <w:rPr>
          <w:rFonts w:ascii="Times New Roman" w:eastAsia="Times New Roman" w:hAnsi="Times New Roman" w:cs="Times New Roman"/>
          <w:lang w:val="ro-MD"/>
        </w:rPr>
        <w:t xml:space="preserve"> comunitară </w:t>
      </w:r>
    </w:p>
    <w:p w14:paraId="0CA9CC1C" w14:textId="245993E7" w:rsidR="00F95829" w:rsidRPr="000508B6" w:rsidRDefault="00A6476C" w:rsidP="00DA11F7">
      <w:pPr>
        <w:pStyle w:val="Listparagraf"/>
        <w:numPr>
          <w:ilvl w:val="1"/>
          <w:numId w:val="207"/>
        </w:numPr>
        <w:tabs>
          <w:tab w:val="left" w:pos="709"/>
          <w:tab w:val="left" w:pos="993"/>
        </w:tabs>
        <w:spacing w:after="0" w:line="240" w:lineRule="auto"/>
        <w:ind w:left="0" w:firstLine="426"/>
        <w:jc w:val="both"/>
        <w:rPr>
          <w:rFonts w:ascii="Times New Roman" w:eastAsia="Times New Roman" w:hAnsi="Times New Roman" w:cs="Times New Roman"/>
          <w:iCs/>
          <w:lang w:val="ro-MD"/>
        </w:rPr>
      </w:pPr>
      <w:r w:rsidRPr="000508B6">
        <w:rPr>
          <w:rFonts w:ascii="Times New Roman" w:eastAsia="Times New Roman" w:hAnsi="Times New Roman" w:cs="Times New Roman"/>
          <w:lang w:val="ro-MD"/>
        </w:rPr>
        <w:t xml:space="preserve">Asigurătorul </w:t>
      </w:r>
      <w:r w:rsidR="00E528B9" w:rsidRPr="000508B6">
        <w:rPr>
          <w:rFonts w:ascii="Times New Roman" w:eastAsia="Times New Roman" w:hAnsi="Times New Roman" w:cs="Times New Roman"/>
          <w:lang w:val="ro-MD"/>
        </w:rPr>
        <w:t>po</w:t>
      </w:r>
      <w:r w:rsidRPr="000508B6">
        <w:rPr>
          <w:rFonts w:ascii="Times New Roman" w:eastAsia="Times New Roman" w:hAnsi="Times New Roman" w:cs="Times New Roman"/>
          <w:lang w:val="ro-MD"/>
        </w:rPr>
        <w:t>a</w:t>
      </w:r>
      <w:r w:rsidR="00E528B9"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e</w:t>
      </w:r>
      <w:r w:rsidR="00E528B9" w:rsidRPr="000508B6">
        <w:rPr>
          <w:rFonts w:ascii="Times New Roman" w:eastAsia="Times New Roman" w:hAnsi="Times New Roman" w:cs="Times New Roman"/>
          <w:lang w:val="ro-MD"/>
        </w:rPr>
        <w:t xml:space="preserve"> participa la un contract de coasigurare comunitară numai în </w:t>
      </w:r>
      <w:proofErr w:type="spellStart"/>
      <w:r w:rsidR="00E528B9" w:rsidRPr="000508B6">
        <w:rPr>
          <w:rFonts w:ascii="Times New Roman" w:eastAsia="Times New Roman" w:hAnsi="Times New Roman" w:cs="Times New Roman"/>
          <w:lang w:val="ro-MD"/>
        </w:rPr>
        <w:t>condiţiile</w:t>
      </w:r>
      <w:proofErr w:type="spellEnd"/>
      <w:r w:rsidR="00E528B9" w:rsidRPr="000508B6">
        <w:rPr>
          <w:rFonts w:ascii="Times New Roman" w:eastAsia="Times New Roman" w:hAnsi="Times New Roman" w:cs="Times New Roman"/>
          <w:lang w:val="ro-MD"/>
        </w:rPr>
        <w:t xml:space="preserve"> prevăzute de prezentul articol</w:t>
      </w:r>
      <w:r w:rsidR="00F95829" w:rsidRPr="000508B6">
        <w:rPr>
          <w:rFonts w:ascii="Times New Roman" w:eastAsia="Times New Roman" w:hAnsi="Times New Roman" w:cs="Times New Roman"/>
          <w:iCs/>
          <w:lang w:val="ro-MD"/>
        </w:rPr>
        <w:t>.</w:t>
      </w:r>
    </w:p>
    <w:p w14:paraId="71E8F104" w14:textId="713305A0" w:rsidR="009272F4" w:rsidRPr="000508B6" w:rsidRDefault="009272F4" w:rsidP="00574631">
      <w:pPr>
        <w:pStyle w:val="Listparagraf"/>
        <w:numPr>
          <w:ilvl w:val="1"/>
          <w:numId w:val="207"/>
        </w:numPr>
        <w:tabs>
          <w:tab w:val="left" w:pos="709"/>
          <w:tab w:val="left" w:pos="993"/>
          <w:tab w:val="left" w:pos="1134"/>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Operaţiunile</w:t>
      </w:r>
      <w:proofErr w:type="spellEnd"/>
      <w:r w:rsidRPr="000508B6">
        <w:rPr>
          <w:rFonts w:ascii="Times New Roman" w:eastAsia="Times New Roman" w:hAnsi="Times New Roman" w:cs="Times New Roman"/>
          <w:lang w:val="ro-MD"/>
        </w:rPr>
        <w:t xml:space="preserve"> de coasigurare comunitară acoperă riscuri din clasele 3-16 din </w:t>
      </w:r>
      <w:r w:rsidR="000A0659"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nexa nr. 1</w:t>
      </w:r>
      <w:r w:rsidR="00DA11F7"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roofErr w:type="spellStart"/>
      <w:r w:rsidR="000A0659"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ecţiunea</w:t>
      </w:r>
      <w:proofErr w:type="spellEnd"/>
      <w:r w:rsidRPr="000508B6">
        <w:rPr>
          <w:rFonts w:ascii="Times New Roman" w:eastAsia="Times New Roman" w:hAnsi="Times New Roman" w:cs="Times New Roman"/>
          <w:lang w:val="ro-MD"/>
        </w:rPr>
        <w:t xml:space="preserve"> A, în următoarele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w:t>
      </w:r>
    </w:p>
    <w:p w14:paraId="10732A1B" w14:textId="77777777" w:rsidR="009272F4" w:rsidRPr="000508B6" w:rsidRDefault="009272F4" w:rsidP="00574631">
      <w:pPr>
        <w:pStyle w:val="Listparagraf"/>
        <w:numPr>
          <w:ilvl w:val="2"/>
          <w:numId w:val="21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sunt riscuri majore;   </w:t>
      </w:r>
    </w:p>
    <w:p w14:paraId="2D2306D5" w14:textId="5F630514" w:rsidR="009272F4" w:rsidRPr="000508B6" w:rsidRDefault="009272F4" w:rsidP="00574631">
      <w:pPr>
        <w:pStyle w:val="Listparagraf"/>
        <w:numPr>
          <w:ilvl w:val="2"/>
          <w:numId w:val="21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sunt riscuri acoperite de un singur contract, pentru o primă globală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pentru </w:t>
      </w:r>
      <w:proofErr w:type="spellStart"/>
      <w:r w:rsidRPr="000508B6">
        <w:rPr>
          <w:rFonts w:ascii="Times New Roman" w:eastAsia="Times New Roman" w:hAnsi="Times New Roman" w:cs="Times New Roman"/>
          <w:lang w:val="ro-MD"/>
        </w:rPr>
        <w:t>aceeaşi</w:t>
      </w:r>
      <w:proofErr w:type="spellEnd"/>
      <w:r w:rsidRPr="000508B6">
        <w:rPr>
          <w:rFonts w:ascii="Times New Roman" w:eastAsia="Times New Roman" w:hAnsi="Times New Roman" w:cs="Times New Roman"/>
          <w:lang w:val="ro-MD"/>
        </w:rPr>
        <w:t xml:space="preserve"> perioadă, încheiat cu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2 asigurători, în calitate de </w:t>
      </w:r>
      <w:proofErr w:type="spellStart"/>
      <w:r w:rsidRPr="000508B6">
        <w:rPr>
          <w:rFonts w:ascii="Times New Roman" w:eastAsia="Times New Roman" w:hAnsi="Times New Roman" w:cs="Times New Roman"/>
          <w:lang w:val="ro-MD"/>
        </w:rPr>
        <w:t>coasigurători</w:t>
      </w:r>
      <w:proofErr w:type="spellEnd"/>
      <w:r w:rsidRPr="000508B6">
        <w:rPr>
          <w:rFonts w:ascii="Times New Roman" w:eastAsia="Times New Roman" w:hAnsi="Times New Roman" w:cs="Times New Roman"/>
          <w:lang w:val="ro-MD"/>
        </w:rPr>
        <w:t>, dintre care unul este considerat asigurătorul principal</w:t>
      </w:r>
      <w:r w:rsidR="00701F6C" w:rsidRPr="000508B6">
        <w:rPr>
          <w:rFonts w:ascii="Times New Roman" w:eastAsia="Times New Roman" w:hAnsi="Times New Roman" w:cs="Times New Roman"/>
          <w:lang w:val="ro-MD"/>
        </w:rPr>
        <w:t xml:space="preserve">, fără să existe o solidaritate între aceștia </w:t>
      </w:r>
      <w:r w:rsidRPr="000508B6">
        <w:rPr>
          <w:rFonts w:ascii="Times New Roman" w:eastAsia="Times New Roman" w:hAnsi="Times New Roman" w:cs="Times New Roman"/>
          <w:lang w:val="ro-MD"/>
        </w:rPr>
        <w:t xml:space="preserve">;     </w:t>
      </w:r>
    </w:p>
    <w:p w14:paraId="33C9D59F" w14:textId="77777777" w:rsidR="009272F4" w:rsidRPr="000508B6" w:rsidRDefault="009272F4" w:rsidP="00574631">
      <w:pPr>
        <w:pStyle w:val="Listparagraf"/>
        <w:numPr>
          <w:ilvl w:val="2"/>
          <w:numId w:val="21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sunt riscuri situate în statele membre;   </w:t>
      </w:r>
    </w:p>
    <w:p w14:paraId="61151019" w14:textId="74C6C90C" w:rsidR="009272F4" w:rsidRPr="000508B6" w:rsidRDefault="009272F4" w:rsidP="00574631">
      <w:pPr>
        <w:pStyle w:val="Listparagraf"/>
        <w:numPr>
          <w:ilvl w:val="2"/>
          <w:numId w:val="21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scopul acoperirii riscurilor, asigurătorul principal este tratat ca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cum ar acoperi în totalitate riscurile respective;   </w:t>
      </w:r>
    </w:p>
    <w:p w14:paraId="00177909" w14:textId="0A23DFFF" w:rsidR="009272F4" w:rsidRPr="000508B6" w:rsidRDefault="009272F4" w:rsidP="00574631">
      <w:pPr>
        <w:pStyle w:val="Listparagraf"/>
        <w:numPr>
          <w:ilvl w:val="2"/>
          <w:numId w:val="21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asigurătorul, având calitatea de asigurător principal, este licențiat de Banca Națională a Moldovei,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unul dintre </w:t>
      </w:r>
      <w:proofErr w:type="spellStart"/>
      <w:r w:rsidRPr="000508B6">
        <w:rPr>
          <w:rFonts w:ascii="Times New Roman" w:eastAsia="Times New Roman" w:hAnsi="Times New Roman" w:cs="Times New Roman"/>
          <w:lang w:val="ro-MD"/>
        </w:rPr>
        <w:t>ceilalţi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coasigurători</w:t>
      </w:r>
      <w:proofErr w:type="spellEnd"/>
      <w:r w:rsidRPr="000508B6">
        <w:rPr>
          <w:rFonts w:ascii="Times New Roman" w:eastAsia="Times New Roman" w:hAnsi="Times New Roman" w:cs="Times New Roman"/>
          <w:lang w:val="ro-MD"/>
        </w:rPr>
        <w:t xml:space="preserve"> participă la contract prin sediul central sau o sucursală situată în</w:t>
      </w:r>
      <w:r w:rsidR="00AB05B2" w:rsidRPr="000508B6">
        <w:rPr>
          <w:rFonts w:ascii="Times New Roman" w:eastAsia="Times New Roman" w:hAnsi="Times New Roman" w:cs="Times New Roman"/>
          <w:lang w:val="ro-MD"/>
        </w:rPr>
        <w:t>tr-un</w:t>
      </w:r>
      <w:r w:rsidRPr="000508B6">
        <w:rPr>
          <w:rFonts w:ascii="Times New Roman" w:eastAsia="Times New Roman" w:hAnsi="Times New Roman" w:cs="Times New Roman"/>
          <w:lang w:val="ro-MD"/>
        </w:rPr>
        <w:t xml:space="preserve"> stat membru;   </w:t>
      </w:r>
    </w:p>
    <w:p w14:paraId="1F8AFB9A" w14:textId="1B8BDC70" w:rsidR="009272F4" w:rsidRPr="000508B6" w:rsidRDefault="009272F4" w:rsidP="00574631">
      <w:pPr>
        <w:pStyle w:val="Listparagraf"/>
        <w:numPr>
          <w:ilvl w:val="2"/>
          <w:numId w:val="21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principal </w:t>
      </w:r>
      <w:r w:rsidR="00434925" w:rsidRPr="000508B6">
        <w:rPr>
          <w:rFonts w:ascii="Times New Roman" w:eastAsia="Times New Roman" w:hAnsi="Times New Roman" w:cs="Times New Roman"/>
          <w:lang w:val="ro-MD"/>
        </w:rPr>
        <w:t xml:space="preserve">își asumă în totalitate rolul care îi revine în practicarea coasigurării și, în special, </w:t>
      </w:r>
      <w:r w:rsidR="00A67AAD" w:rsidRPr="000508B6">
        <w:rPr>
          <w:rFonts w:ascii="Times New Roman" w:eastAsia="Times New Roman" w:hAnsi="Times New Roman" w:cs="Times New Roman"/>
          <w:lang w:val="ro-MD"/>
        </w:rPr>
        <w:t>stabilește</w:t>
      </w:r>
      <w:r w:rsidRPr="000508B6">
        <w:rPr>
          <w:rFonts w:ascii="Times New Roman" w:eastAsia="Times New Roman" w:hAnsi="Times New Roman" w:cs="Times New Roman"/>
          <w:lang w:val="ro-MD"/>
        </w:rPr>
        <w:t xml:space="preserve"> termenii,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tarifele contractuale.  </w:t>
      </w:r>
    </w:p>
    <w:p w14:paraId="31E318AA" w14:textId="5C52DA95" w:rsidR="009272F4" w:rsidRPr="000508B6" w:rsidRDefault="009272F4" w:rsidP="00574631">
      <w:pPr>
        <w:pStyle w:val="Listparagraf"/>
        <w:numPr>
          <w:ilvl w:val="1"/>
          <w:numId w:val="207"/>
        </w:numPr>
        <w:tabs>
          <w:tab w:val="left" w:pos="709"/>
          <w:tab w:val="left" w:pos="993"/>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art. </w:t>
      </w:r>
      <w:r w:rsidR="00EB4AB1" w:rsidRPr="000508B6">
        <w:rPr>
          <w:rFonts w:ascii="Times New Roman" w:eastAsia="Times New Roman" w:hAnsi="Times New Roman" w:cs="Times New Roman"/>
          <w:lang w:val="ro-MD"/>
        </w:rPr>
        <w:t xml:space="preserve">93 </w:t>
      </w:r>
      <w:r w:rsidRPr="000508B6">
        <w:rPr>
          <w:rFonts w:ascii="Times New Roman" w:eastAsia="Times New Roman" w:hAnsi="Times New Roman" w:cs="Times New Roman"/>
          <w:lang w:val="ro-MD"/>
        </w:rPr>
        <w:t>alin. (1) - (</w:t>
      </w:r>
      <w:r w:rsidR="00E177F2"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art. </w:t>
      </w:r>
      <w:r w:rsidR="00EB4AB1" w:rsidRPr="000508B6">
        <w:rPr>
          <w:rFonts w:ascii="Times New Roman" w:eastAsia="Times New Roman" w:hAnsi="Times New Roman" w:cs="Times New Roman"/>
          <w:lang w:val="ro-MD"/>
        </w:rPr>
        <w:t xml:space="preserve">94 </w:t>
      </w:r>
      <w:r w:rsidRPr="000508B6">
        <w:rPr>
          <w:rFonts w:ascii="Times New Roman" w:eastAsia="Times New Roman" w:hAnsi="Times New Roman" w:cs="Times New Roman"/>
          <w:lang w:val="ro-MD"/>
        </w:rPr>
        <w:t xml:space="preserve">se aplică doar asigurătorului principal. </w:t>
      </w:r>
    </w:p>
    <w:p w14:paraId="70361170" w14:textId="6CC0247A" w:rsidR="009272F4" w:rsidRPr="000508B6" w:rsidRDefault="009272F4" w:rsidP="00574631">
      <w:pPr>
        <w:pStyle w:val="Listparagraf"/>
        <w:numPr>
          <w:ilvl w:val="1"/>
          <w:numId w:val="207"/>
        </w:numPr>
        <w:tabs>
          <w:tab w:val="left" w:pos="709"/>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Operaţiunile</w:t>
      </w:r>
      <w:proofErr w:type="spellEnd"/>
      <w:r w:rsidRPr="000508B6">
        <w:rPr>
          <w:rFonts w:ascii="Times New Roman" w:eastAsia="Times New Roman" w:hAnsi="Times New Roman" w:cs="Times New Roman"/>
          <w:lang w:val="ro-MD"/>
        </w:rPr>
        <w:t xml:space="preserve"> de coasigurare, care nu îndeplinesc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w:t>
      </w:r>
      <w:r w:rsidR="008976A0"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 xml:space="preserve">), nu sunt considerate </w:t>
      </w:r>
      <w:proofErr w:type="spellStart"/>
      <w:r w:rsidRPr="000508B6">
        <w:rPr>
          <w:rFonts w:ascii="Times New Roman" w:eastAsia="Times New Roman" w:hAnsi="Times New Roman" w:cs="Times New Roman"/>
          <w:lang w:val="ro-MD"/>
        </w:rPr>
        <w:t>operaţiuni</w:t>
      </w:r>
      <w:proofErr w:type="spellEnd"/>
      <w:r w:rsidRPr="000508B6">
        <w:rPr>
          <w:rFonts w:ascii="Times New Roman" w:eastAsia="Times New Roman" w:hAnsi="Times New Roman" w:cs="Times New Roman"/>
          <w:lang w:val="ro-MD"/>
        </w:rPr>
        <w:t xml:space="preserve"> de coasigurare comunitară. </w:t>
      </w:r>
    </w:p>
    <w:p w14:paraId="4A068D48" w14:textId="1D7B20A2" w:rsidR="00F95829" w:rsidRPr="000508B6" w:rsidRDefault="00F95829" w:rsidP="00574631">
      <w:pPr>
        <w:pStyle w:val="Listparagraf"/>
        <w:numPr>
          <w:ilvl w:val="1"/>
          <w:numId w:val="207"/>
        </w:numPr>
        <w:tabs>
          <w:tab w:val="left" w:pos="709"/>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Coasigurător</w:t>
      </w:r>
      <w:r w:rsidR="00A6476C" w:rsidRPr="000508B6">
        <w:rPr>
          <w:rFonts w:ascii="Times New Roman" w:eastAsia="Times New Roman" w:hAnsi="Times New Roman" w:cs="Times New Roman"/>
          <w:lang w:val="ro-MD"/>
        </w:rPr>
        <w:t>ul</w:t>
      </w:r>
      <w:proofErr w:type="spellEnd"/>
      <w:r w:rsidR="00A6476C"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ţin</w:t>
      </w:r>
      <w:r w:rsidR="00A6476C" w:rsidRPr="000508B6">
        <w:rPr>
          <w:rFonts w:ascii="Times New Roman" w:eastAsia="Times New Roman" w:hAnsi="Times New Roman" w:cs="Times New Roman"/>
          <w:lang w:val="ro-MD"/>
        </w:rPr>
        <w: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evidenţa</w:t>
      </w:r>
      <w:proofErr w:type="spellEnd"/>
      <w:r w:rsidRPr="000508B6">
        <w:rPr>
          <w:rFonts w:ascii="Times New Roman" w:eastAsia="Times New Roman" w:hAnsi="Times New Roman" w:cs="Times New Roman"/>
          <w:lang w:val="ro-MD"/>
        </w:rPr>
        <w:t xml:space="preserve"> datelor statistice cu privire la amploarea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importanţa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operaţiunilor</w:t>
      </w:r>
      <w:proofErr w:type="spellEnd"/>
      <w:r w:rsidRPr="000508B6">
        <w:rPr>
          <w:rFonts w:ascii="Times New Roman" w:eastAsia="Times New Roman" w:hAnsi="Times New Roman" w:cs="Times New Roman"/>
          <w:lang w:val="ro-MD"/>
        </w:rPr>
        <w:t xml:space="preserve"> de coasigurare la care participă</w:t>
      </w:r>
      <w:r w:rsidR="00D17B53" w:rsidRPr="000508B6">
        <w:rPr>
          <w:rFonts w:ascii="Times New Roman" w:hAnsi="Times New Roman" w:cs="Times New Roman"/>
          <w:lang w:val="ro-MD"/>
        </w:rPr>
        <w:t xml:space="preserve"> și </w:t>
      </w:r>
      <w:r w:rsidR="00D17B53" w:rsidRPr="000508B6">
        <w:rPr>
          <w:rFonts w:ascii="Times New Roman" w:eastAsia="Times New Roman" w:hAnsi="Times New Roman" w:cs="Times New Roman"/>
          <w:lang w:val="ro-MD"/>
        </w:rPr>
        <w:t xml:space="preserve">statele membre în care este situat riscul subscris. </w:t>
      </w:r>
    </w:p>
    <w:p w14:paraId="11F09FDF" w14:textId="179F98AF" w:rsidR="00E70877" w:rsidRPr="000508B6" w:rsidRDefault="00826577" w:rsidP="00574631">
      <w:pPr>
        <w:pStyle w:val="Listparagraf"/>
        <w:numPr>
          <w:ilvl w:val="1"/>
          <w:numId w:val="207"/>
        </w:numPr>
        <w:tabs>
          <w:tab w:val="left" w:pos="709"/>
          <w:tab w:val="left" w:pos="993"/>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Asigurător</w:t>
      </w:r>
      <w:r w:rsidR="00A6476C" w:rsidRPr="000508B6">
        <w:rPr>
          <w:rFonts w:ascii="Times New Roman" w:eastAsia="Times New Roman" w:hAnsi="Times New Roman" w:cs="Times New Roman"/>
          <w:lang w:val="ro-MD"/>
        </w:rPr>
        <w:t>ul</w:t>
      </w:r>
      <w:r w:rsidR="00A9116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care </w:t>
      </w:r>
      <w:r w:rsidR="00A6476C" w:rsidRPr="000508B6">
        <w:rPr>
          <w:rFonts w:ascii="Times New Roman" w:eastAsia="Times New Roman" w:hAnsi="Times New Roman" w:cs="Times New Roman"/>
          <w:lang w:val="ro-MD"/>
        </w:rPr>
        <w:t>este</w:t>
      </w:r>
      <w:r w:rsidRPr="000508B6">
        <w:rPr>
          <w:rFonts w:ascii="Times New Roman" w:eastAsia="Times New Roman" w:hAnsi="Times New Roman" w:cs="Times New Roman"/>
          <w:lang w:val="ro-MD"/>
        </w:rPr>
        <w:t xml:space="preserve"> parte </w:t>
      </w:r>
      <w:r w:rsidR="007F7D8E" w:rsidRPr="000508B6">
        <w:rPr>
          <w:rFonts w:ascii="Times New Roman" w:eastAsia="Times New Roman" w:hAnsi="Times New Roman" w:cs="Times New Roman"/>
          <w:lang w:val="ro-MD"/>
        </w:rPr>
        <w:t>a unui</w:t>
      </w:r>
      <w:r w:rsidRPr="000508B6">
        <w:rPr>
          <w:rFonts w:ascii="Times New Roman" w:eastAsia="Times New Roman" w:hAnsi="Times New Roman" w:cs="Times New Roman"/>
          <w:lang w:val="ro-MD"/>
        </w:rPr>
        <w:t xml:space="preserve"> contract de coasigurare</w:t>
      </w:r>
      <w:r w:rsidR="00A91164"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A6476C" w:rsidRPr="000508B6">
        <w:rPr>
          <w:rFonts w:ascii="Times New Roman" w:eastAsia="Times New Roman" w:hAnsi="Times New Roman" w:cs="Times New Roman"/>
          <w:lang w:val="ro-MD"/>
        </w:rPr>
        <w:t>are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obligaţia</w:t>
      </w:r>
      <w:proofErr w:type="spellEnd"/>
      <w:r w:rsidRPr="000508B6">
        <w:rPr>
          <w:rFonts w:ascii="Times New Roman" w:eastAsia="Times New Roman" w:hAnsi="Times New Roman" w:cs="Times New Roman"/>
          <w:lang w:val="ro-MD"/>
        </w:rPr>
        <w:t xml:space="preserve"> de a constitui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menţine</w:t>
      </w:r>
      <w:proofErr w:type="spellEnd"/>
      <w:r w:rsidRPr="000508B6">
        <w:rPr>
          <w:rFonts w:ascii="Times New Roman" w:eastAsia="Times New Roman" w:hAnsi="Times New Roman" w:cs="Times New Roman"/>
          <w:lang w:val="ro-MD"/>
        </w:rPr>
        <w:t xml:space="preserve"> rezerve tehnice la nivelul ponderii subscrise din riscul asigurat conform </w:t>
      </w:r>
      <w:bookmarkStart w:id="127" w:name="_Hlk192145019"/>
      <w:r w:rsidR="00B4465A" w:rsidRPr="000508B6">
        <w:rPr>
          <w:rFonts w:ascii="Times New Roman" w:eastAsia="Times New Roman" w:hAnsi="Times New Roman" w:cs="Times New Roman"/>
          <w:lang w:val="ro-MD"/>
        </w:rPr>
        <w:t>prezentei legi și a actelor normative ale Băncii Naționale a Moldovei</w:t>
      </w:r>
      <w:bookmarkEnd w:id="127"/>
      <w:r w:rsidRPr="000508B6">
        <w:rPr>
          <w:rFonts w:ascii="Times New Roman" w:eastAsia="Times New Roman" w:hAnsi="Times New Roman" w:cs="Times New Roman"/>
          <w:lang w:val="ro-MD"/>
        </w:rPr>
        <w:t xml:space="preserve">, dar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egale cu cele stabilite de către asigurătorul principal, conform </w:t>
      </w:r>
      <w:r w:rsidR="005F02B3" w:rsidRPr="000508B6">
        <w:rPr>
          <w:rFonts w:ascii="Times New Roman" w:eastAsia="Times New Roman" w:hAnsi="Times New Roman" w:cs="Times New Roman"/>
          <w:lang w:val="ro-MD"/>
        </w:rPr>
        <w:t>legislației</w:t>
      </w:r>
      <w:r w:rsidRPr="000508B6">
        <w:rPr>
          <w:rFonts w:ascii="Times New Roman" w:eastAsia="Times New Roman" w:hAnsi="Times New Roman" w:cs="Times New Roman"/>
          <w:lang w:val="ro-MD"/>
        </w:rPr>
        <w:t xml:space="preserve"> din statul membru de origine al acestuia. </w:t>
      </w:r>
    </w:p>
    <w:p w14:paraId="7AA6A180" w14:textId="5789FAC7" w:rsidR="00826577" w:rsidRPr="000508B6" w:rsidRDefault="00826577" w:rsidP="00574631">
      <w:pPr>
        <w:pStyle w:val="Listparagraf"/>
        <w:numPr>
          <w:ilvl w:val="1"/>
          <w:numId w:val="207"/>
        </w:numPr>
        <w:tabs>
          <w:tab w:val="left" w:pos="709"/>
          <w:tab w:val="left" w:pos="993"/>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asigurătorul, în calitate de asigurător principal, este </w:t>
      </w:r>
      <w:r w:rsidR="00A23B3A" w:rsidRPr="000508B6">
        <w:rPr>
          <w:rFonts w:ascii="Times New Roman" w:eastAsia="Times New Roman" w:hAnsi="Times New Roman" w:cs="Times New Roman"/>
          <w:lang w:val="ro-MD"/>
        </w:rPr>
        <w:t xml:space="preserve">licențiat </w:t>
      </w:r>
      <w:r w:rsidRPr="000508B6">
        <w:rPr>
          <w:rFonts w:ascii="Times New Roman" w:eastAsia="Times New Roman" w:hAnsi="Times New Roman" w:cs="Times New Roman"/>
          <w:lang w:val="ro-MD"/>
        </w:rPr>
        <w:t xml:space="preserve">de Banca Națională a Moldovei, nivelul rezervelor tehnice constituite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5F02B3" w:rsidRPr="000508B6">
        <w:rPr>
          <w:rFonts w:ascii="Times New Roman" w:eastAsia="Times New Roman" w:hAnsi="Times New Roman" w:cs="Times New Roman"/>
          <w:lang w:val="ro-MD"/>
        </w:rPr>
        <w:t>menținute</w:t>
      </w:r>
      <w:r w:rsidRPr="000508B6">
        <w:rPr>
          <w:rFonts w:ascii="Times New Roman" w:eastAsia="Times New Roman" w:hAnsi="Times New Roman" w:cs="Times New Roman"/>
          <w:lang w:val="ro-MD"/>
        </w:rPr>
        <w:t xml:space="preserve"> de fiecare </w:t>
      </w:r>
      <w:proofErr w:type="spellStart"/>
      <w:r w:rsidRPr="000508B6">
        <w:rPr>
          <w:rFonts w:ascii="Times New Roman" w:eastAsia="Times New Roman" w:hAnsi="Times New Roman" w:cs="Times New Roman"/>
          <w:lang w:val="ro-MD"/>
        </w:rPr>
        <w:t>coasigurător</w:t>
      </w:r>
      <w:proofErr w:type="spellEnd"/>
      <w:r w:rsidRPr="000508B6">
        <w:rPr>
          <w:rFonts w:ascii="Times New Roman" w:eastAsia="Times New Roman" w:hAnsi="Times New Roman" w:cs="Times New Roman"/>
          <w:lang w:val="ro-MD"/>
        </w:rPr>
        <w:t xml:space="preserve"> este stabilit de către acesta, conform </w:t>
      </w:r>
      <w:r w:rsidR="00B4465A" w:rsidRPr="000508B6">
        <w:rPr>
          <w:rFonts w:ascii="Times New Roman" w:eastAsia="Times New Roman" w:hAnsi="Times New Roman" w:cs="Times New Roman"/>
          <w:lang w:val="ro-MD"/>
        </w:rPr>
        <w:t>prezentei legi și a actelor normative ale Băncii Naționale a Moldovei</w:t>
      </w:r>
      <w:r w:rsidRPr="000508B6">
        <w:rPr>
          <w:rFonts w:ascii="Times New Roman" w:eastAsia="Times New Roman" w:hAnsi="Times New Roman" w:cs="Times New Roman"/>
          <w:lang w:val="ro-MD"/>
        </w:rPr>
        <w:t xml:space="preserve">. </w:t>
      </w:r>
    </w:p>
    <w:p w14:paraId="7D3C7C42" w14:textId="4ECEA4C3" w:rsidR="00826577" w:rsidRPr="000508B6" w:rsidRDefault="00826577" w:rsidP="00DA11F7">
      <w:pPr>
        <w:pStyle w:val="Listparagraf"/>
        <w:numPr>
          <w:ilvl w:val="1"/>
          <w:numId w:val="207"/>
        </w:numPr>
        <w:tabs>
          <w:tab w:val="left" w:pos="709"/>
          <w:tab w:val="left" w:pos="993"/>
          <w:tab w:val="left" w:pos="1134"/>
        </w:tabs>
        <w:spacing w:after="0" w:line="240" w:lineRule="auto"/>
        <w:ind w:left="0" w:firstLine="426"/>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Coasigurător</w:t>
      </w:r>
      <w:r w:rsidR="00A6476C" w:rsidRPr="000508B6">
        <w:rPr>
          <w:rFonts w:ascii="Times New Roman" w:eastAsia="Times New Roman" w:hAnsi="Times New Roman" w:cs="Times New Roman"/>
          <w:lang w:val="ro-MD"/>
        </w:rPr>
        <w:t>ul</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ţin</w:t>
      </w:r>
      <w:r w:rsidR="00A6476C" w:rsidRPr="000508B6">
        <w:rPr>
          <w:rFonts w:ascii="Times New Roman" w:eastAsia="Times New Roman" w:hAnsi="Times New Roman" w:cs="Times New Roman"/>
          <w:lang w:val="ro-MD"/>
        </w:rPr>
        <w: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evidenţa</w:t>
      </w:r>
      <w:proofErr w:type="spellEnd"/>
      <w:r w:rsidRPr="000508B6">
        <w:rPr>
          <w:rFonts w:ascii="Times New Roman" w:eastAsia="Times New Roman" w:hAnsi="Times New Roman" w:cs="Times New Roman"/>
          <w:lang w:val="ro-MD"/>
        </w:rPr>
        <w:t xml:space="preserve"> datelor statistice cu privire la:   </w:t>
      </w:r>
    </w:p>
    <w:p w14:paraId="1477FE1E" w14:textId="6BA596E9" w:rsidR="00826577" w:rsidRPr="000508B6" w:rsidRDefault="00826577" w:rsidP="00574631">
      <w:pPr>
        <w:pStyle w:val="Listparagraf"/>
        <w:numPr>
          <w:ilvl w:val="2"/>
          <w:numId w:val="219"/>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amploarea </w:t>
      </w:r>
      <w:proofErr w:type="spellStart"/>
      <w:r w:rsidRPr="000508B6">
        <w:rPr>
          <w:rFonts w:ascii="Times New Roman" w:eastAsia="Times New Roman" w:hAnsi="Times New Roman" w:cs="Times New Roman"/>
          <w:lang w:val="ro-MD"/>
        </w:rPr>
        <w:t>operaţiunilor</w:t>
      </w:r>
      <w:proofErr w:type="spellEnd"/>
      <w:r w:rsidRPr="000508B6">
        <w:rPr>
          <w:rFonts w:ascii="Times New Roman" w:eastAsia="Times New Roman" w:hAnsi="Times New Roman" w:cs="Times New Roman"/>
          <w:lang w:val="ro-MD"/>
        </w:rPr>
        <w:t xml:space="preserve"> de coasigurare comunitară la care participă;   </w:t>
      </w:r>
    </w:p>
    <w:p w14:paraId="4C27DFF2" w14:textId="2EDCD392" w:rsidR="00826577" w:rsidRPr="000508B6" w:rsidRDefault="00826577" w:rsidP="00574631">
      <w:pPr>
        <w:pStyle w:val="Listparagraf"/>
        <w:numPr>
          <w:ilvl w:val="2"/>
          <w:numId w:val="219"/>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statele membre în care este situat riscul subscris.</w:t>
      </w:r>
    </w:p>
    <w:p w14:paraId="3BD3615D" w14:textId="35DB491D" w:rsidR="00826577" w:rsidRPr="000508B6" w:rsidRDefault="00826577" w:rsidP="00574631">
      <w:pPr>
        <w:pStyle w:val="Listparagraf"/>
        <w:numPr>
          <w:ilvl w:val="1"/>
          <w:numId w:val="207"/>
        </w:numPr>
        <w:tabs>
          <w:tab w:val="left" w:pos="709"/>
          <w:tab w:val="left" w:pos="993"/>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cazul lichidării asigurător</w:t>
      </w:r>
      <w:r w:rsidR="0022247E" w:rsidRPr="000508B6">
        <w:rPr>
          <w:rFonts w:ascii="Times New Roman" w:eastAsia="Times New Roman" w:hAnsi="Times New Roman" w:cs="Times New Roman"/>
          <w:lang w:val="ro-MD"/>
        </w:rPr>
        <w:t>ului</w:t>
      </w:r>
      <w:r w:rsidRPr="000508B6">
        <w:rPr>
          <w:rFonts w:ascii="Times New Roman" w:eastAsia="Times New Roman" w:hAnsi="Times New Roman" w:cs="Times New Roman"/>
          <w:lang w:val="ro-MD"/>
        </w:rPr>
        <w:t xml:space="preserve"> care </w:t>
      </w:r>
      <w:r w:rsidR="00A6476C" w:rsidRPr="000508B6">
        <w:rPr>
          <w:rFonts w:ascii="Times New Roman" w:eastAsia="Times New Roman" w:hAnsi="Times New Roman" w:cs="Times New Roman"/>
          <w:lang w:val="ro-MD"/>
        </w:rPr>
        <w:t>este parte</w:t>
      </w:r>
      <w:r w:rsidRPr="000508B6">
        <w:rPr>
          <w:rFonts w:ascii="Times New Roman" w:eastAsia="Times New Roman" w:hAnsi="Times New Roman" w:cs="Times New Roman"/>
          <w:lang w:val="ro-MD"/>
        </w:rPr>
        <w:t xml:space="preserve"> la un contract de coasigurare comunitară, </w:t>
      </w:r>
      <w:proofErr w:type="spellStart"/>
      <w:r w:rsidRPr="000508B6">
        <w:rPr>
          <w:rFonts w:ascii="Times New Roman" w:eastAsia="Times New Roman" w:hAnsi="Times New Roman" w:cs="Times New Roman"/>
          <w:lang w:val="ro-MD"/>
        </w:rPr>
        <w:t>obligaţiile</w:t>
      </w:r>
      <w:proofErr w:type="spellEnd"/>
      <w:r w:rsidRPr="000508B6">
        <w:rPr>
          <w:rFonts w:ascii="Times New Roman" w:eastAsia="Times New Roman" w:hAnsi="Times New Roman" w:cs="Times New Roman"/>
          <w:lang w:val="ro-MD"/>
        </w:rPr>
        <w:t xml:space="preserve"> care decurg din contractul respectiv sunt onorate în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mod în care sunt onorate </w:t>
      </w:r>
      <w:proofErr w:type="spellStart"/>
      <w:r w:rsidRPr="000508B6">
        <w:rPr>
          <w:rFonts w:ascii="Times New Roman" w:eastAsia="Times New Roman" w:hAnsi="Times New Roman" w:cs="Times New Roman"/>
          <w:lang w:val="ro-MD"/>
        </w:rPr>
        <w:t>obligaţiile</w:t>
      </w:r>
      <w:proofErr w:type="spellEnd"/>
      <w:r w:rsidRPr="000508B6">
        <w:rPr>
          <w:rFonts w:ascii="Times New Roman" w:eastAsia="Times New Roman" w:hAnsi="Times New Roman" w:cs="Times New Roman"/>
          <w:lang w:val="ro-MD"/>
        </w:rPr>
        <w:t xml:space="preserve"> aferente celorlalte contracte de asigurare, indiferent de </w:t>
      </w:r>
      <w:proofErr w:type="spellStart"/>
      <w:r w:rsidRPr="000508B6">
        <w:rPr>
          <w:rFonts w:ascii="Times New Roman" w:eastAsia="Times New Roman" w:hAnsi="Times New Roman" w:cs="Times New Roman"/>
          <w:lang w:val="ro-MD"/>
        </w:rPr>
        <w:t>naţionalitatea</w:t>
      </w:r>
      <w:proofErr w:type="spellEnd"/>
      <w:r w:rsidRPr="000508B6">
        <w:rPr>
          <w:rFonts w:ascii="Times New Roman" w:eastAsia="Times New Roman" w:hAnsi="Times New Roman" w:cs="Times New Roman"/>
          <w:lang w:val="ro-MD"/>
        </w:rPr>
        <w:t xml:space="preserve"> sau </w:t>
      </w:r>
      <w:proofErr w:type="spellStart"/>
      <w:r w:rsidRPr="000508B6">
        <w:rPr>
          <w:rFonts w:ascii="Times New Roman" w:eastAsia="Times New Roman" w:hAnsi="Times New Roman" w:cs="Times New Roman"/>
          <w:lang w:val="ro-MD"/>
        </w:rPr>
        <w:t>cetăţenia</w:t>
      </w:r>
      <w:proofErr w:type="spellEnd"/>
      <w:r w:rsidRPr="000508B6">
        <w:rPr>
          <w:rFonts w:ascii="Times New Roman" w:eastAsia="Times New Roman" w:hAnsi="Times New Roman" w:cs="Times New Roman"/>
          <w:lang w:val="ro-MD"/>
        </w:rPr>
        <w:t xml:space="preserve"> </w:t>
      </w:r>
      <w:r w:rsidR="00CA7DC0" w:rsidRPr="000508B6">
        <w:rPr>
          <w:rFonts w:ascii="Times New Roman" w:eastAsia="Times New Roman" w:hAnsi="Times New Roman" w:cs="Times New Roman"/>
          <w:lang w:val="ro-MD"/>
        </w:rPr>
        <w:t xml:space="preserve">asiguraților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beneficiarilor</w:t>
      </w:r>
      <w:r w:rsidR="00F25BAD" w:rsidRPr="000508B6">
        <w:rPr>
          <w:rFonts w:ascii="Times New Roman" w:eastAsia="Times New Roman" w:hAnsi="Times New Roman" w:cs="Times New Roman"/>
          <w:lang w:val="ro-MD"/>
        </w:rPr>
        <w:t xml:space="preserve"> asigurării</w:t>
      </w:r>
      <w:r w:rsidRPr="000508B6">
        <w:rPr>
          <w:rFonts w:ascii="Times New Roman" w:eastAsia="Times New Roman" w:hAnsi="Times New Roman" w:cs="Times New Roman"/>
          <w:lang w:val="ro-MD"/>
        </w:rPr>
        <w:t>.</w:t>
      </w:r>
    </w:p>
    <w:p w14:paraId="2F50687E" w14:textId="77777777" w:rsidR="00826577" w:rsidRPr="000508B6" w:rsidRDefault="00826577" w:rsidP="008B530F">
      <w:pPr>
        <w:spacing w:after="0" w:line="240" w:lineRule="auto"/>
        <w:ind w:firstLine="426"/>
        <w:jc w:val="both"/>
        <w:rPr>
          <w:rFonts w:ascii="Times New Roman" w:eastAsia="Times New Roman" w:hAnsi="Times New Roman" w:cs="Times New Roman"/>
          <w:lang w:val="ro-MD"/>
        </w:rPr>
      </w:pPr>
    </w:p>
    <w:p w14:paraId="2A7EDE91" w14:textId="3890A9F6"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05E9" w:rsidRPr="000508B6">
        <w:rPr>
          <w:rFonts w:ascii="Times New Roman" w:eastAsia="Times New Roman" w:hAnsi="Times New Roman" w:cs="Times New Roman"/>
          <w:b/>
          <w:lang w:val="ro-MD"/>
        </w:rPr>
        <w:t>110</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2658DE" w:rsidRPr="000508B6">
        <w:rPr>
          <w:rFonts w:ascii="Times New Roman" w:eastAsia="Times New Roman" w:hAnsi="Times New Roman" w:cs="Times New Roman"/>
          <w:lang w:val="ro-MD"/>
        </w:rPr>
        <w:t>Activități similar</w:t>
      </w:r>
      <w:r w:rsidR="008976A0" w:rsidRPr="000508B6">
        <w:rPr>
          <w:rFonts w:ascii="Times New Roman" w:eastAsia="Times New Roman" w:hAnsi="Times New Roman" w:cs="Times New Roman"/>
          <w:lang w:val="ro-MD"/>
        </w:rPr>
        <w:t>e</w:t>
      </w:r>
      <w:r w:rsidR="002658DE" w:rsidRPr="000508B6">
        <w:rPr>
          <w:rFonts w:ascii="Times New Roman" w:eastAsia="Times New Roman" w:hAnsi="Times New Roman" w:cs="Times New Roman"/>
          <w:lang w:val="ro-MD"/>
        </w:rPr>
        <w:t xml:space="preserve"> asistenței </w:t>
      </w:r>
      <w:r w:rsidR="00B41B9A" w:rsidRPr="000508B6">
        <w:rPr>
          <w:rFonts w:ascii="Times New Roman" w:eastAsia="Times New Roman" w:hAnsi="Times New Roman" w:cs="Times New Roman"/>
          <w:lang w:val="ro-MD"/>
        </w:rPr>
        <w:t>turistice</w:t>
      </w:r>
    </w:p>
    <w:p w14:paraId="11F1A93F" w14:textId="64C428E7" w:rsidR="00361925" w:rsidRPr="000508B6" w:rsidRDefault="002658DE" w:rsidP="00BC044A">
      <w:pPr>
        <w:pStyle w:val="Listparagraf"/>
        <w:tabs>
          <w:tab w:val="left" w:pos="993"/>
        </w:tabs>
        <w:spacing w:after="0" w:line="240" w:lineRule="auto"/>
        <w:ind w:left="0" w:firstLine="426"/>
        <w:jc w:val="both"/>
        <w:rPr>
          <w:rFonts w:ascii="Times New Roman" w:eastAsia="Times New Roman" w:hAnsi="Times New Roman" w:cs="Times New Roman"/>
          <w:b/>
          <w:lang w:val="ro-MD"/>
        </w:rPr>
      </w:pP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asistenţă</w:t>
      </w:r>
      <w:proofErr w:type="spellEnd"/>
      <w:r w:rsidR="00FC7183"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acordate persoanelor în dificultate în alte </w:t>
      </w:r>
      <w:proofErr w:type="spellStart"/>
      <w:r w:rsidRPr="000508B6">
        <w:rPr>
          <w:rFonts w:ascii="Times New Roman" w:eastAsia="Times New Roman" w:hAnsi="Times New Roman" w:cs="Times New Roman"/>
          <w:lang w:val="ro-MD"/>
        </w:rPr>
        <w:t>circumstanţe</w:t>
      </w:r>
      <w:proofErr w:type="spellEnd"/>
      <w:r w:rsidRPr="000508B6">
        <w:rPr>
          <w:rFonts w:ascii="Times New Roman" w:eastAsia="Times New Roman" w:hAnsi="Times New Roman" w:cs="Times New Roman"/>
          <w:lang w:val="ro-MD"/>
        </w:rPr>
        <w:t xml:space="preserve"> decât cele prevăzute la art. 2 alin. (</w:t>
      </w:r>
      <w:r w:rsidR="002D2E63"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w:t>
      </w:r>
      <w:r w:rsidR="00FC7183"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se supun </w:t>
      </w:r>
      <w:proofErr w:type="spellStart"/>
      <w:r w:rsidRPr="000508B6">
        <w:rPr>
          <w:rFonts w:ascii="Times New Roman" w:eastAsia="Times New Roman" w:hAnsi="Times New Roman" w:cs="Times New Roman"/>
          <w:lang w:val="ro-MD"/>
        </w:rPr>
        <w:t>dispoziţiilor</w:t>
      </w:r>
      <w:proofErr w:type="spellEnd"/>
      <w:r w:rsidRPr="000508B6">
        <w:rPr>
          <w:rFonts w:ascii="Times New Roman" w:eastAsia="Times New Roman" w:hAnsi="Times New Roman" w:cs="Times New Roman"/>
          <w:lang w:val="ro-MD"/>
        </w:rPr>
        <w:t xml:space="preserve"> prezentei </w:t>
      </w:r>
      <w:r w:rsidR="00256A2D" w:rsidRPr="000508B6">
        <w:rPr>
          <w:rFonts w:ascii="Times New Roman" w:eastAsia="Times New Roman" w:hAnsi="Times New Roman" w:cs="Times New Roman"/>
          <w:lang w:val="ro-MD"/>
        </w:rPr>
        <w:t>legi</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sunt tratate ca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încadrate în clasa 18 din </w:t>
      </w:r>
      <w:r w:rsidR="000A0659"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nexa nr. 1</w:t>
      </w:r>
      <w:r w:rsidR="00DA11F7"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roofErr w:type="spellStart"/>
      <w:r w:rsidR="000A0659"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ecţiunea</w:t>
      </w:r>
      <w:proofErr w:type="spellEnd"/>
      <w:r w:rsidRPr="000508B6">
        <w:rPr>
          <w:rFonts w:ascii="Times New Roman" w:eastAsia="Times New Roman" w:hAnsi="Times New Roman" w:cs="Times New Roman"/>
          <w:lang w:val="ro-MD"/>
        </w:rPr>
        <w:t xml:space="preserve"> A. </w:t>
      </w:r>
    </w:p>
    <w:p w14:paraId="012CA828" w14:textId="77777777" w:rsidR="00D03854" w:rsidRPr="000508B6" w:rsidRDefault="00D03854" w:rsidP="008B530F">
      <w:pPr>
        <w:tabs>
          <w:tab w:val="left" w:pos="993"/>
        </w:tabs>
        <w:spacing w:after="0" w:line="240" w:lineRule="auto"/>
        <w:ind w:firstLine="426"/>
        <w:jc w:val="both"/>
        <w:rPr>
          <w:rFonts w:ascii="Times New Roman" w:eastAsia="Times New Roman" w:hAnsi="Times New Roman" w:cs="Times New Roman"/>
          <w:b/>
          <w:lang w:val="ro-MD"/>
        </w:rPr>
      </w:pPr>
    </w:p>
    <w:p w14:paraId="7EF69127" w14:textId="20D526B3"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6A05E9" w:rsidRPr="000508B6">
        <w:rPr>
          <w:rFonts w:ascii="Times New Roman" w:eastAsia="Times New Roman" w:hAnsi="Times New Roman" w:cs="Times New Roman"/>
          <w:b/>
          <w:lang w:val="ro-MD"/>
        </w:rPr>
        <w:t>1</w:t>
      </w:r>
      <w:r w:rsidR="002E6C72" w:rsidRPr="000508B6">
        <w:rPr>
          <w:rFonts w:ascii="Times New Roman" w:eastAsia="Times New Roman" w:hAnsi="Times New Roman" w:cs="Times New Roman"/>
          <w:b/>
          <w:lang w:val="ro-MD"/>
        </w:rPr>
        <w:t>1</w:t>
      </w:r>
      <w:r w:rsidR="006A05E9" w:rsidRPr="000508B6">
        <w:rPr>
          <w:rFonts w:ascii="Times New Roman" w:eastAsia="Times New Roman" w:hAnsi="Times New Roman" w:cs="Times New Roman"/>
          <w:b/>
          <w:lang w:val="ro-MD"/>
        </w:rPr>
        <w:t>1</w:t>
      </w:r>
      <w:r w:rsidRPr="000508B6">
        <w:rPr>
          <w:rFonts w:ascii="Times New Roman" w:eastAsia="Times New Roman" w:hAnsi="Times New Roman" w:cs="Times New Roman"/>
          <w:b/>
          <w:lang w:val="ro-MD"/>
        </w:rPr>
        <w:t>.</w:t>
      </w:r>
      <w:r w:rsidR="004A022E" w:rsidRPr="000508B6">
        <w:rPr>
          <w:rFonts w:ascii="Times New Roman" w:eastAsia="Times New Roman" w:hAnsi="Times New Roman" w:cs="Times New Roman"/>
          <w:b/>
          <w:lang w:val="ro-MD"/>
        </w:rPr>
        <w:t xml:space="preserve"> </w:t>
      </w:r>
      <w:r w:rsidR="00C73C46" w:rsidRPr="000508B6">
        <w:rPr>
          <w:rFonts w:ascii="Times New Roman" w:eastAsia="Times New Roman" w:hAnsi="Times New Roman" w:cs="Times New Roman"/>
          <w:lang w:val="ro-MD"/>
        </w:rPr>
        <w:t>Asigurări</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protecţie</w:t>
      </w:r>
      <w:proofErr w:type="spellEnd"/>
      <w:r w:rsidRPr="000508B6">
        <w:rPr>
          <w:rFonts w:ascii="Times New Roman" w:eastAsia="Times New Roman" w:hAnsi="Times New Roman" w:cs="Times New Roman"/>
          <w:lang w:val="ro-MD"/>
        </w:rPr>
        <w:t xml:space="preserve"> juridică  </w:t>
      </w:r>
    </w:p>
    <w:p w14:paraId="542B7902" w14:textId="2C3A5CD2" w:rsidR="00F95829" w:rsidRPr="000508B6" w:rsidRDefault="00F95829" w:rsidP="00DA11F7">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Prezentul articol se aplică </w:t>
      </w:r>
      <w:r w:rsidR="00F52670" w:rsidRPr="000508B6">
        <w:rPr>
          <w:rFonts w:ascii="Times New Roman" w:eastAsia="Times New Roman" w:hAnsi="Times New Roman" w:cs="Times New Roman"/>
          <w:lang w:val="ro-MD"/>
        </w:rPr>
        <w:t>asigurătorului</w:t>
      </w:r>
      <w:r w:rsidR="00CD55A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care încheie contracte de asigurare de </w:t>
      </w:r>
      <w:proofErr w:type="spellStart"/>
      <w:r w:rsidRPr="000508B6">
        <w:rPr>
          <w:rFonts w:ascii="Times New Roman" w:eastAsia="Times New Roman" w:hAnsi="Times New Roman" w:cs="Times New Roman"/>
          <w:lang w:val="ro-MD"/>
        </w:rPr>
        <w:t>protecţie</w:t>
      </w:r>
      <w:proofErr w:type="spellEnd"/>
      <w:r w:rsidRPr="000508B6">
        <w:rPr>
          <w:rFonts w:ascii="Times New Roman" w:eastAsia="Times New Roman" w:hAnsi="Times New Roman" w:cs="Times New Roman"/>
          <w:lang w:val="ro-MD"/>
        </w:rPr>
        <w:t xml:space="preserve"> juridică, </w:t>
      </w:r>
      <w:r w:rsidR="007F6557" w:rsidRPr="000508B6">
        <w:rPr>
          <w:rFonts w:ascii="Times New Roman" w:eastAsia="Times New Roman" w:hAnsi="Times New Roman" w:cs="Times New Roman"/>
          <w:lang w:val="ro-MD"/>
        </w:rPr>
        <w:t xml:space="preserve">prin care acesta se angajează, contra plății unei prime, să suporte cheltuielile procedurii judiciare și să furnizeze alte servicii legate direct de acoperirea dată de asigurare, </w:t>
      </w:r>
      <w:r w:rsidR="004B1CF4" w:rsidRPr="000508B6">
        <w:rPr>
          <w:rFonts w:ascii="Times New Roman" w:eastAsia="Times New Roman" w:hAnsi="Times New Roman" w:cs="Times New Roman"/>
          <w:lang w:val="ro-MD"/>
        </w:rPr>
        <w:t>în special cu scopul de</w:t>
      </w:r>
      <w:r w:rsidRPr="000508B6">
        <w:rPr>
          <w:rFonts w:ascii="Times New Roman" w:eastAsia="Times New Roman" w:hAnsi="Times New Roman" w:cs="Times New Roman"/>
          <w:lang w:val="ro-MD"/>
        </w:rPr>
        <w:t>:</w:t>
      </w:r>
      <w:r w:rsidR="00164173" w:rsidRPr="000508B6">
        <w:rPr>
          <w:rFonts w:ascii="Times New Roman" w:eastAsia="Times New Roman" w:hAnsi="Times New Roman" w:cs="Times New Roman"/>
          <w:lang w:val="ro-MD"/>
        </w:rPr>
        <w:t xml:space="preserve"> </w:t>
      </w:r>
    </w:p>
    <w:p w14:paraId="285F0B5D" w14:textId="0BDE2044" w:rsidR="007B5955" w:rsidRPr="000508B6" w:rsidRDefault="00FD4CA3" w:rsidP="00F83CE3">
      <w:pPr>
        <w:pStyle w:val="Listparagraf"/>
        <w:numPr>
          <w:ilvl w:val="0"/>
          <w:numId w:val="209"/>
        </w:numPr>
        <w:tabs>
          <w:tab w:val="left" w:pos="709"/>
          <w:tab w:val="left" w:pos="786"/>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4B1CF4" w:rsidRPr="000508B6">
        <w:rPr>
          <w:rFonts w:ascii="Times New Roman" w:eastAsia="Times New Roman" w:hAnsi="Times New Roman" w:cs="Times New Roman"/>
          <w:lang w:val="ro-MD"/>
        </w:rPr>
        <w:t>c</w:t>
      </w:r>
      <w:r w:rsidR="007B5955" w:rsidRPr="000508B6">
        <w:rPr>
          <w:rFonts w:ascii="Times New Roman" w:eastAsia="Times New Roman" w:hAnsi="Times New Roman" w:cs="Times New Roman"/>
          <w:lang w:val="ro-MD"/>
        </w:rPr>
        <w:t>ompensare</w:t>
      </w:r>
      <w:r w:rsidR="004B1CF4" w:rsidRPr="000508B6">
        <w:rPr>
          <w:rFonts w:ascii="Times New Roman" w:eastAsia="Times New Roman" w:hAnsi="Times New Roman" w:cs="Times New Roman"/>
          <w:lang w:val="ro-MD"/>
        </w:rPr>
        <w:t xml:space="preserve"> </w:t>
      </w:r>
      <w:r w:rsidR="007B5955" w:rsidRPr="000508B6">
        <w:rPr>
          <w:rFonts w:ascii="Times New Roman" w:eastAsia="Times New Roman" w:hAnsi="Times New Roman" w:cs="Times New Roman"/>
          <w:lang w:val="ro-MD"/>
        </w:rPr>
        <w:t>a prejudiciului suferit de asigurat, printr-o soluționare pe cale amiabilă sau printr-o procedură civilă sau penală;</w:t>
      </w:r>
    </w:p>
    <w:p w14:paraId="5ED33AC7" w14:textId="638892CA" w:rsidR="00F95829" w:rsidRPr="000508B6" w:rsidRDefault="00FD4CA3" w:rsidP="004417AC">
      <w:pPr>
        <w:pStyle w:val="Listparagraf"/>
        <w:numPr>
          <w:ilvl w:val="0"/>
          <w:numId w:val="209"/>
        </w:numPr>
        <w:tabs>
          <w:tab w:val="left" w:pos="709"/>
          <w:tab w:val="left" w:pos="786"/>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4B1CF4" w:rsidRPr="000508B6">
        <w:rPr>
          <w:rFonts w:ascii="Times New Roman" w:eastAsia="Times New Roman" w:hAnsi="Times New Roman" w:cs="Times New Roman"/>
          <w:lang w:val="ro-MD"/>
        </w:rPr>
        <w:t>a</w:t>
      </w:r>
      <w:r w:rsidR="007B5955" w:rsidRPr="000508B6">
        <w:rPr>
          <w:rFonts w:ascii="Times New Roman" w:eastAsia="Times New Roman" w:hAnsi="Times New Roman" w:cs="Times New Roman"/>
          <w:lang w:val="ro-MD"/>
        </w:rPr>
        <w:t>coperire</w:t>
      </w:r>
      <w:r w:rsidR="004B1CF4" w:rsidRPr="000508B6">
        <w:rPr>
          <w:rFonts w:ascii="Times New Roman" w:eastAsia="Times New Roman" w:hAnsi="Times New Roman" w:cs="Times New Roman"/>
          <w:lang w:val="ro-MD"/>
        </w:rPr>
        <w:t xml:space="preserve"> </w:t>
      </w:r>
      <w:r w:rsidR="007B5955" w:rsidRPr="000508B6">
        <w:rPr>
          <w:rFonts w:ascii="Times New Roman" w:eastAsia="Times New Roman" w:hAnsi="Times New Roman" w:cs="Times New Roman"/>
          <w:lang w:val="ro-MD"/>
        </w:rPr>
        <w:t>a cheltuielilor legate de apărarea sau reprezentarea asiguratului în proceduri civile, penale, administrative sau de altă natură sau în legătură cu orice plângere împotriva acestuia.</w:t>
      </w:r>
    </w:p>
    <w:p w14:paraId="6882C121" w14:textId="01CB0D07" w:rsidR="00F95829" w:rsidRPr="000508B6" w:rsidRDefault="00F95829" w:rsidP="00574631">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Asigurarea de </w:t>
      </w:r>
      <w:proofErr w:type="spellStart"/>
      <w:r w:rsidRPr="000508B6">
        <w:rPr>
          <w:rFonts w:ascii="Times New Roman" w:eastAsia="Times New Roman" w:hAnsi="Times New Roman" w:cs="Times New Roman"/>
          <w:lang w:val="ro-MD"/>
        </w:rPr>
        <w:t>protecţie</w:t>
      </w:r>
      <w:proofErr w:type="spellEnd"/>
      <w:r w:rsidRPr="000508B6">
        <w:rPr>
          <w:rFonts w:ascii="Times New Roman" w:eastAsia="Times New Roman" w:hAnsi="Times New Roman" w:cs="Times New Roman"/>
          <w:lang w:val="ro-MD"/>
        </w:rPr>
        <w:t xml:space="preserve"> juridică se acordă printr-un contract separat de cele încheiate pentru alte clase de </w:t>
      </w:r>
      <w:r w:rsidR="00275A42"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sau</w:t>
      </w:r>
      <w:r w:rsidR="005114DA" w:rsidRPr="000508B6">
        <w:rPr>
          <w:rFonts w:ascii="Times New Roman" w:eastAsia="Times New Roman" w:hAnsi="Times New Roman" w:cs="Times New Roman"/>
          <w:lang w:val="ro-MD"/>
        </w:rPr>
        <w:t xml:space="preserve"> al unui capitol separat al unei polițe unice, în care se precizează natura garanției de protecție juridică și valoarea primei aferente</w:t>
      </w:r>
      <w:r w:rsidRPr="000508B6">
        <w:rPr>
          <w:rFonts w:ascii="Times New Roman" w:eastAsia="Times New Roman" w:hAnsi="Times New Roman" w:cs="Times New Roman"/>
          <w:lang w:val="ro-MD"/>
        </w:rPr>
        <w:t xml:space="preserve">. </w:t>
      </w:r>
    </w:p>
    <w:p w14:paraId="7B37EAD9" w14:textId="7C5094F9" w:rsidR="00F95829" w:rsidRPr="000508B6" w:rsidRDefault="00E12BEF" w:rsidP="00574631">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care </w:t>
      </w:r>
      <w:proofErr w:type="spellStart"/>
      <w:r w:rsidR="00F95829" w:rsidRPr="000508B6">
        <w:rPr>
          <w:rFonts w:ascii="Times New Roman" w:eastAsia="Times New Roman" w:hAnsi="Times New Roman" w:cs="Times New Roman"/>
          <w:lang w:val="ro-MD"/>
        </w:rPr>
        <w:t>desfăşoară</w:t>
      </w:r>
      <w:proofErr w:type="spellEnd"/>
      <w:r w:rsidR="00F95829" w:rsidRPr="000508B6">
        <w:rPr>
          <w:rFonts w:ascii="Times New Roman" w:eastAsia="Times New Roman" w:hAnsi="Times New Roman" w:cs="Times New Roman"/>
          <w:lang w:val="ro-MD"/>
        </w:rPr>
        <w:t xml:space="preserve"> asigurarea de </w:t>
      </w:r>
      <w:proofErr w:type="spellStart"/>
      <w:r w:rsidR="00F95829" w:rsidRPr="000508B6">
        <w:rPr>
          <w:rFonts w:ascii="Times New Roman" w:eastAsia="Times New Roman" w:hAnsi="Times New Roman" w:cs="Times New Roman"/>
          <w:lang w:val="ro-MD"/>
        </w:rPr>
        <w:t>protecţie</w:t>
      </w:r>
      <w:proofErr w:type="spellEnd"/>
      <w:r w:rsidR="00F95829" w:rsidRPr="000508B6">
        <w:rPr>
          <w:rFonts w:ascii="Times New Roman" w:eastAsia="Times New Roman" w:hAnsi="Times New Roman" w:cs="Times New Roman"/>
          <w:lang w:val="ro-MD"/>
        </w:rPr>
        <w:t xml:space="preserve"> juridică optează</w:t>
      </w:r>
      <w:r w:rsidR="00AD66F2"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AD66F2" w:rsidRPr="000508B6">
        <w:rPr>
          <w:rFonts w:ascii="Times New Roman" w:eastAsia="Times New Roman" w:hAnsi="Times New Roman" w:cs="Times New Roman"/>
          <w:lang w:val="ro-MD"/>
        </w:rPr>
        <w:t xml:space="preserve">cel puțin, </w:t>
      </w:r>
      <w:r w:rsidR="00F95829" w:rsidRPr="000508B6">
        <w:rPr>
          <w:rFonts w:ascii="Times New Roman" w:eastAsia="Times New Roman" w:hAnsi="Times New Roman" w:cs="Times New Roman"/>
          <w:lang w:val="ro-MD"/>
        </w:rPr>
        <w:t xml:space="preserve">pentru una dintre următoarele metode de </w:t>
      </w:r>
      <w:r w:rsidR="00B916AF" w:rsidRPr="000508B6">
        <w:rPr>
          <w:rFonts w:ascii="Times New Roman" w:eastAsia="Times New Roman" w:hAnsi="Times New Roman" w:cs="Times New Roman"/>
          <w:lang w:val="ro-MD"/>
        </w:rPr>
        <w:t xml:space="preserve">instrumentare </w:t>
      </w:r>
      <w:r w:rsidR="00F95829" w:rsidRPr="000508B6">
        <w:rPr>
          <w:rFonts w:ascii="Times New Roman" w:eastAsia="Times New Roman" w:hAnsi="Times New Roman" w:cs="Times New Roman"/>
          <w:lang w:val="ro-MD"/>
        </w:rPr>
        <w:t xml:space="preserve">a daunelor: </w:t>
      </w:r>
    </w:p>
    <w:p w14:paraId="2B397B33" w14:textId="3A70060D" w:rsidR="00F95829" w:rsidRPr="000508B6" w:rsidRDefault="00AF1CFB" w:rsidP="00574631">
      <w:pPr>
        <w:pStyle w:val="Listparagraf"/>
        <w:numPr>
          <w:ilvl w:val="2"/>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personalul care instrumen</w:t>
      </w:r>
      <w:r w:rsidR="001D5AAE"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 xml:space="preserve">ează daunele aferente asigurărilor de protecție juridică sau oferă </w:t>
      </w:r>
      <w:proofErr w:type="spellStart"/>
      <w:r w:rsidRPr="000508B6">
        <w:rPr>
          <w:rFonts w:ascii="Times New Roman" w:eastAsia="Times New Roman" w:hAnsi="Times New Roman" w:cs="Times New Roman"/>
          <w:lang w:val="ro-MD"/>
        </w:rPr>
        <w:t>consultanţă</w:t>
      </w:r>
      <w:proofErr w:type="spellEnd"/>
      <w:r w:rsidRPr="000508B6">
        <w:rPr>
          <w:rFonts w:ascii="Times New Roman" w:eastAsia="Times New Roman" w:hAnsi="Times New Roman" w:cs="Times New Roman"/>
          <w:lang w:val="ro-MD"/>
        </w:rPr>
        <w:t xml:space="preserve"> în acest sens nu </w:t>
      </w:r>
      <w:proofErr w:type="spellStart"/>
      <w:r w:rsidRPr="000508B6">
        <w:rPr>
          <w:rFonts w:ascii="Times New Roman" w:eastAsia="Times New Roman" w:hAnsi="Times New Roman" w:cs="Times New Roman"/>
          <w:lang w:val="ro-MD"/>
        </w:rPr>
        <w:t>desfăşoară</w:t>
      </w:r>
      <w:proofErr w:type="spellEnd"/>
      <w:r w:rsidRPr="000508B6">
        <w:rPr>
          <w:rFonts w:ascii="Times New Roman" w:eastAsia="Times New Roman" w:hAnsi="Times New Roman" w:cs="Times New Roman"/>
          <w:lang w:val="ro-MD"/>
        </w:rPr>
        <w:t xml:space="preserve"> </w:t>
      </w:r>
      <w:r w:rsidR="00AD1006" w:rsidRPr="000508B6">
        <w:rPr>
          <w:rFonts w:ascii="Times New Roman" w:eastAsia="Times New Roman" w:hAnsi="Times New Roman" w:cs="Times New Roman"/>
          <w:lang w:val="ro-MD"/>
        </w:rPr>
        <w:t xml:space="preserve">în paralel </w:t>
      </w:r>
      <w:proofErr w:type="spellStart"/>
      <w:r w:rsidRPr="000508B6">
        <w:rPr>
          <w:rFonts w:ascii="Times New Roman" w:eastAsia="Times New Roman" w:hAnsi="Times New Roman" w:cs="Times New Roman"/>
          <w:lang w:val="ro-MD"/>
        </w:rPr>
        <w:t>acelaşi</w:t>
      </w:r>
      <w:proofErr w:type="spellEnd"/>
      <w:r w:rsidRPr="000508B6">
        <w:rPr>
          <w:rFonts w:ascii="Times New Roman" w:eastAsia="Times New Roman" w:hAnsi="Times New Roman" w:cs="Times New Roman"/>
          <w:lang w:val="ro-MD"/>
        </w:rPr>
        <w:t xml:space="preserve"> tip de activitate la alt asigurător care </w:t>
      </w:r>
      <w:r w:rsidR="00C30489" w:rsidRPr="000508B6">
        <w:rPr>
          <w:rFonts w:ascii="Times New Roman" w:eastAsia="Times New Roman" w:hAnsi="Times New Roman" w:cs="Times New Roman"/>
          <w:lang w:val="ro-MD"/>
        </w:rPr>
        <w:t>are</w:t>
      </w:r>
      <w:r w:rsidRPr="000508B6">
        <w:rPr>
          <w:rFonts w:ascii="Times New Roman" w:eastAsia="Times New Roman" w:hAnsi="Times New Roman" w:cs="Times New Roman"/>
          <w:lang w:val="ro-MD"/>
        </w:rPr>
        <w:t xml:space="preserve"> legături financiare, comerciale sau administrative cu primul și care </w:t>
      </w:r>
      <w:r w:rsidR="00661372" w:rsidRPr="000508B6">
        <w:rPr>
          <w:rFonts w:ascii="Times New Roman" w:eastAsia="Times New Roman" w:hAnsi="Times New Roman" w:cs="Times New Roman"/>
          <w:lang w:val="ro-MD"/>
        </w:rPr>
        <w:t>subscri</w:t>
      </w:r>
      <w:r w:rsidRPr="000508B6">
        <w:rPr>
          <w:rFonts w:ascii="Times New Roman" w:eastAsia="Times New Roman" w:hAnsi="Times New Roman" w:cs="Times New Roman"/>
          <w:lang w:val="ro-MD"/>
        </w:rPr>
        <w:t>e</w:t>
      </w:r>
      <w:r w:rsidR="00661372" w:rsidRPr="000508B6">
        <w:rPr>
          <w:rFonts w:ascii="Times New Roman" w:eastAsia="Times New Roman" w:hAnsi="Times New Roman" w:cs="Times New Roman"/>
          <w:lang w:val="ro-MD"/>
        </w:rPr>
        <w:t xml:space="preserve"> celelalte clase de asigurare prevăzute în anexa nr. 1</w:t>
      </w:r>
      <w:r w:rsidR="00DA11F7" w:rsidRPr="000508B6">
        <w:rPr>
          <w:rFonts w:ascii="Times New Roman" w:eastAsia="Times New Roman" w:hAnsi="Times New Roman" w:cs="Times New Roman"/>
          <w:lang w:val="ro-MD"/>
        </w:rPr>
        <w:t>.</w:t>
      </w:r>
      <w:r w:rsidR="00661372" w:rsidRPr="000508B6">
        <w:rPr>
          <w:rFonts w:ascii="Times New Roman" w:eastAsia="Times New Roman" w:hAnsi="Times New Roman" w:cs="Times New Roman"/>
          <w:lang w:val="ro-MD"/>
        </w:rPr>
        <w:t xml:space="preserve"> </w:t>
      </w:r>
      <w:proofErr w:type="spellStart"/>
      <w:r w:rsidR="00661372" w:rsidRPr="000508B6">
        <w:rPr>
          <w:rFonts w:ascii="Times New Roman" w:eastAsia="Times New Roman" w:hAnsi="Times New Roman" w:cs="Times New Roman"/>
          <w:lang w:val="ro-MD"/>
        </w:rPr>
        <w:t>secţiunea</w:t>
      </w:r>
      <w:proofErr w:type="spellEnd"/>
      <w:r w:rsidR="00661372" w:rsidRPr="000508B6">
        <w:rPr>
          <w:rFonts w:ascii="Times New Roman" w:eastAsia="Times New Roman" w:hAnsi="Times New Roman" w:cs="Times New Roman"/>
          <w:lang w:val="ro-MD"/>
        </w:rPr>
        <w:t xml:space="preserve"> A și B, , iar în cazul asigurătorului compozit</w:t>
      </w:r>
      <w:r w:rsidR="00F03D1B" w:rsidRPr="000508B6">
        <w:rPr>
          <w:rFonts w:ascii="Times New Roman" w:eastAsia="Times New Roman" w:hAnsi="Times New Roman" w:cs="Times New Roman"/>
          <w:lang w:val="ro-MD"/>
        </w:rPr>
        <w:t>,</w:t>
      </w:r>
      <w:r w:rsidR="00661372" w:rsidRPr="000508B6">
        <w:rPr>
          <w:rFonts w:ascii="Times New Roman" w:eastAsia="Times New Roman" w:hAnsi="Times New Roman" w:cs="Times New Roman"/>
          <w:lang w:val="ro-MD"/>
        </w:rPr>
        <w:t xml:space="preserve"> personalul respectiv este dedicat numai acestei clase de asigur</w:t>
      </w:r>
      <w:r w:rsidR="00946022" w:rsidRPr="000508B6">
        <w:rPr>
          <w:rFonts w:ascii="Times New Roman" w:eastAsia="Times New Roman" w:hAnsi="Times New Roman" w:cs="Times New Roman"/>
          <w:lang w:val="ro-MD"/>
        </w:rPr>
        <w:t>are</w:t>
      </w:r>
      <w:r w:rsidR="00F95829" w:rsidRPr="000508B6">
        <w:rPr>
          <w:rFonts w:ascii="Times New Roman" w:eastAsia="Times New Roman" w:hAnsi="Times New Roman" w:cs="Times New Roman"/>
          <w:lang w:val="ro-MD"/>
        </w:rPr>
        <w:t xml:space="preserve">;  </w:t>
      </w:r>
    </w:p>
    <w:p w14:paraId="57380A73" w14:textId="76A4E248" w:rsidR="00F95829" w:rsidRPr="000508B6" w:rsidRDefault="00F95829" w:rsidP="00574631">
      <w:pPr>
        <w:pStyle w:val="Listparagraf"/>
        <w:numPr>
          <w:ilvl w:val="2"/>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externalizează</w:t>
      </w:r>
      <w:proofErr w:type="spellEnd"/>
      <w:r w:rsidRPr="000508B6">
        <w:rPr>
          <w:rFonts w:ascii="Times New Roman" w:eastAsia="Times New Roman" w:hAnsi="Times New Roman" w:cs="Times New Roman"/>
          <w:lang w:val="ro-MD"/>
        </w:rPr>
        <w:t xml:space="preserve"> </w:t>
      </w:r>
      <w:r w:rsidR="00661372" w:rsidRPr="000508B6">
        <w:rPr>
          <w:rFonts w:ascii="Times New Roman" w:eastAsia="Times New Roman" w:hAnsi="Times New Roman" w:cs="Times New Roman"/>
          <w:lang w:val="ro-MD"/>
        </w:rPr>
        <w:t xml:space="preserve">instrumentarea </w:t>
      </w:r>
      <w:r w:rsidRPr="000508B6">
        <w:rPr>
          <w:rFonts w:ascii="Times New Roman" w:eastAsia="Times New Roman" w:hAnsi="Times New Roman" w:cs="Times New Roman"/>
          <w:lang w:val="ro-MD"/>
        </w:rPr>
        <w:t xml:space="preserve">daunelor sau </w:t>
      </w:r>
      <w:proofErr w:type="spellStart"/>
      <w:r w:rsidRPr="000508B6">
        <w:rPr>
          <w:rFonts w:ascii="Times New Roman" w:eastAsia="Times New Roman" w:hAnsi="Times New Roman" w:cs="Times New Roman"/>
          <w:lang w:val="ro-MD"/>
        </w:rPr>
        <w:t>consultanţa</w:t>
      </w:r>
      <w:proofErr w:type="spellEnd"/>
      <w:r w:rsidRPr="000508B6">
        <w:rPr>
          <w:rFonts w:ascii="Times New Roman" w:eastAsia="Times New Roman" w:hAnsi="Times New Roman" w:cs="Times New Roman"/>
          <w:lang w:val="ro-MD"/>
        </w:rPr>
        <w:t xml:space="preserve"> juridică în legătură cu </w:t>
      </w:r>
      <w:r w:rsidR="00F03D1B" w:rsidRPr="000508B6">
        <w:rPr>
          <w:rFonts w:ascii="Times New Roman" w:eastAsia="Times New Roman" w:hAnsi="Times New Roman" w:cs="Times New Roman"/>
          <w:lang w:val="ro-MD"/>
        </w:rPr>
        <w:t xml:space="preserve">instrumentarea </w:t>
      </w:r>
      <w:r w:rsidRPr="000508B6">
        <w:rPr>
          <w:rFonts w:ascii="Times New Roman" w:eastAsia="Times New Roman" w:hAnsi="Times New Roman" w:cs="Times New Roman"/>
          <w:lang w:val="ro-MD"/>
        </w:rPr>
        <w:t xml:space="preserve">daunelor unei </w:t>
      </w:r>
      <w:proofErr w:type="spellStart"/>
      <w:r w:rsidRPr="000508B6">
        <w:rPr>
          <w:rFonts w:ascii="Times New Roman" w:eastAsia="Times New Roman" w:hAnsi="Times New Roman" w:cs="Times New Roman"/>
          <w:lang w:val="ro-MD"/>
        </w:rPr>
        <w:t>entităţi</w:t>
      </w:r>
      <w:proofErr w:type="spellEnd"/>
      <w:r w:rsidR="005D1E3C"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a cărei denumire este </w:t>
      </w:r>
      <w:proofErr w:type="spellStart"/>
      <w:r w:rsidRPr="000508B6">
        <w:rPr>
          <w:rFonts w:ascii="Times New Roman" w:eastAsia="Times New Roman" w:hAnsi="Times New Roman" w:cs="Times New Roman"/>
          <w:lang w:val="ro-MD"/>
        </w:rPr>
        <w:t>menţionată</w:t>
      </w:r>
      <w:proofErr w:type="spellEnd"/>
      <w:r w:rsidRPr="000508B6">
        <w:rPr>
          <w:rFonts w:ascii="Times New Roman" w:eastAsia="Times New Roman" w:hAnsi="Times New Roman" w:cs="Times New Roman"/>
          <w:lang w:val="ro-MD"/>
        </w:rPr>
        <w:t xml:space="preserve"> în contractul sau în </w:t>
      </w:r>
      <w:proofErr w:type="spellStart"/>
      <w:r w:rsidRPr="000508B6">
        <w:rPr>
          <w:rFonts w:ascii="Times New Roman" w:eastAsia="Times New Roman" w:hAnsi="Times New Roman" w:cs="Times New Roman"/>
          <w:lang w:val="ro-MD"/>
        </w:rPr>
        <w:t>secţiunea</w:t>
      </w:r>
      <w:proofErr w:type="spellEnd"/>
      <w:r w:rsidRPr="000508B6">
        <w:rPr>
          <w:rFonts w:ascii="Times New Roman" w:eastAsia="Times New Roman" w:hAnsi="Times New Roman" w:cs="Times New Roman"/>
          <w:lang w:val="ro-MD"/>
        </w:rPr>
        <w:t xml:space="preserve"> distinctă prevăzută la alin. (2), entitate care alocă această sarcină unui personal special desemnat</w:t>
      </w:r>
      <w:r w:rsidR="007F004E" w:rsidRPr="000508B6">
        <w:rPr>
          <w:rFonts w:ascii="Times New Roman" w:eastAsia="Times New Roman" w:hAnsi="Times New Roman" w:cs="Times New Roman"/>
          <w:lang w:val="ro-MD"/>
        </w:rPr>
        <w:t xml:space="preserve">. Atât </w:t>
      </w:r>
      <w:r w:rsidRPr="000508B6">
        <w:rPr>
          <w:rFonts w:ascii="Times New Roman" w:eastAsia="Times New Roman" w:hAnsi="Times New Roman" w:cs="Times New Roman"/>
          <w:lang w:val="ro-MD"/>
        </w:rPr>
        <w:t xml:space="preserve">acest personal, cât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EC7901" w:rsidRPr="000508B6">
        <w:rPr>
          <w:rFonts w:ascii="Times New Roman" w:eastAsia="Times New Roman" w:hAnsi="Times New Roman" w:cs="Times New Roman"/>
          <w:lang w:val="ro-MD"/>
        </w:rPr>
        <w:t>organel</w:t>
      </w:r>
      <w:r w:rsidR="00881C02" w:rsidRPr="000508B6">
        <w:rPr>
          <w:rFonts w:ascii="Times New Roman" w:eastAsia="Times New Roman" w:hAnsi="Times New Roman" w:cs="Times New Roman"/>
          <w:lang w:val="ro-MD"/>
        </w:rPr>
        <w:t xml:space="preserve">e de </w:t>
      </w:r>
      <w:r w:rsidRPr="000508B6">
        <w:rPr>
          <w:rFonts w:ascii="Times New Roman" w:eastAsia="Times New Roman" w:hAnsi="Times New Roman" w:cs="Times New Roman"/>
          <w:lang w:val="ro-MD"/>
        </w:rPr>
        <w:t>conducere</w:t>
      </w:r>
      <w:r w:rsidR="00881C0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w:t>
      </w:r>
      <w:r w:rsidR="00881C02" w:rsidRPr="000508B6">
        <w:rPr>
          <w:rFonts w:ascii="Times New Roman" w:eastAsia="Times New Roman" w:hAnsi="Times New Roman" w:cs="Times New Roman"/>
          <w:lang w:val="ro-MD"/>
        </w:rPr>
        <w:t>le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entităţii</w:t>
      </w:r>
      <w:proofErr w:type="spellEnd"/>
      <w:r w:rsidRPr="000508B6">
        <w:rPr>
          <w:rFonts w:ascii="Times New Roman" w:eastAsia="Times New Roman" w:hAnsi="Times New Roman" w:cs="Times New Roman"/>
          <w:lang w:val="ro-MD"/>
        </w:rPr>
        <w:t xml:space="preserve"> respective nu pot </w:t>
      </w:r>
      <w:proofErr w:type="spellStart"/>
      <w:r w:rsidRPr="000508B6">
        <w:rPr>
          <w:rFonts w:ascii="Times New Roman" w:eastAsia="Times New Roman" w:hAnsi="Times New Roman" w:cs="Times New Roman"/>
          <w:lang w:val="ro-MD"/>
        </w:rPr>
        <w:t>desfăşura</w:t>
      </w:r>
      <w:proofErr w:type="spellEnd"/>
      <w:r w:rsidR="005D1E3C"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în paralel</w:t>
      </w:r>
      <w:r w:rsidR="005D1E3C"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similare la alt </w:t>
      </w:r>
      <w:r w:rsidR="00B73802" w:rsidRPr="000508B6">
        <w:rPr>
          <w:rFonts w:ascii="Times New Roman" w:eastAsia="Times New Roman" w:hAnsi="Times New Roman" w:cs="Times New Roman"/>
          <w:lang w:val="ro-MD"/>
        </w:rPr>
        <w:t xml:space="preserve">asigurător </w:t>
      </w:r>
      <w:r w:rsidRPr="000508B6">
        <w:rPr>
          <w:rFonts w:ascii="Times New Roman" w:eastAsia="Times New Roman" w:hAnsi="Times New Roman" w:cs="Times New Roman"/>
          <w:lang w:val="ro-MD"/>
        </w:rPr>
        <w:t xml:space="preserve">cu care entitatea respectivă are legături;  </w:t>
      </w:r>
    </w:p>
    <w:p w14:paraId="1BF5BD17" w14:textId="7AAB9382" w:rsidR="00F95829" w:rsidRPr="000508B6" w:rsidRDefault="00F95829" w:rsidP="00574631">
      <w:pPr>
        <w:pStyle w:val="Listparagraf"/>
        <w:numPr>
          <w:ilvl w:val="2"/>
          <w:numId w:val="196"/>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contractul sau </w:t>
      </w:r>
      <w:proofErr w:type="spellStart"/>
      <w:r w:rsidRPr="000508B6">
        <w:rPr>
          <w:rFonts w:ascii="Times New Roman" w:eastAsia="Times New Roman" w:hAnsi="Times New Roman" w:cs="Times New Roman"/>
          <w:lang w:val="ro-MD"/>
        </w:rPr>
        <w:t>secţiunea</w:t>
      </w:r>
      <w:proofErr w:type="spellEnd"/>
      <w:r w:rsidRPr="000508B6">
        <w:rPr>
          <w:rFonts w:ascii="Times New Roman" w:eastAsia="Times New Roman" w:hAnsi="Times New Roman" w:cs="Times New Roman"/>
          <w:lang w:val="ro-MD"/>
        </w:rPr>
        <w:t xml:space="preserve"> distinctă </w:t>
      </w:r>
      <w:proofErr w:type="spellStart"/>
      <w:r w:rsidRPr="000508B6">
        <w:rPr>
          <w:rFonts w:ascii="Times New Roman" w:eastAsia="Times New Roman" w:hAnsi="Times New Roman" w:cs="Times New Roman"/>
          <w:lang w:val="ro-MD"/>
        </w:rPr>
        <w:t>menţionată</w:t>
      </w:r>
      <w:proofErr w:type="spellEnd"/>
      <w:r w:rsidRPr="000508B6">
        <w:rPr>
          <w:rFonts w:ascii="Times New Roman" w:eastAsia="Times New Roman" w:hAnsi="Times New Roman" w:cs="Times New Roman"/>
          <w:lang w:val="ro-MD"/>
        </w:rPr>
        <w:t xml:space="preserve"> la alin. (2) stipulează dreptul </w:t>
      </w:r>
      <w:r w:rsidR="00CA7DC0" w:rsidRPr="000508B6">
        <w:rPr>
          <w:rFonts w:ascii="Times New Roman" w:eastAsia="Times New Roman" w:hAnsi="Times New Roman" w:cs="Times New Roman"/>
          <w:lang w:val="ro-MD"/>
        </w:rPr>
        <w:t xml:space="preserve">asiguratului </w:t>
      </w:r>
      <w:r w:rsidRPr="000508B6">
        <w:rPr>
          <w:rFonts w:ascii="Times New Roman" w:eastAsia="Times New Roman" w:hAnsi="Times New Roman" w:cs="Times New Roman"/>
          <w:lang w:val="ro-MD"/>
        </w:rPr>
        <w:t xml:space="preserve">de a alege un avocat sau </w:t>
      </w:r>
      <w:r w:rsidR="00F12EB6" w:rsidRPr="000508B6">
        <w:rPr>
          <w:rFonts w:ascii="Times New Roman" w:eastAsia="Times New Roman" w:hAnsi="Times New Roman" w:cs="Times New Roman"/>
          <w:lang w:val="ro-MD"/>
        </w:rPr>
        <w:t xml:space="preserve">un </w:t>
      </w:r>
      <w:r w:rsidRPr="000508B6">
        <w:rPr>
          <w:rFonts w:ascii="Times New Roman" w:eastAsia="Times New Roman" w:hAnsi="Times New Roman" w:cs="Times New Roman"/>
          <w:lang w:val="ro-MD"/>
        </w:rPr>
        <w:t xml:space="preserve">mediator conform </w:t>
      </w:r>
      <w:r w:rsidR="002D2E63" w:rsidRPr="000508B6">
        <w:rPr>
          <w:rFonts w:ascii="Times New Roman" w:eastAsia="Times New Roman" w:hAnsi="Times New Roman" w:cs="Times New Roman"/>
          <w:lang w:val="ro-MD"/>
        </w:rPr>
        <w:t>legislației</w:t>
      </w:r>
      <w:r w:rsidRPr="000508B6">
        <w:rPr>
          <w:rFonts w:ascii="Times New Roman" w:eastAsia="Times New Roman" w:hAnsi="Times New Roman" w:cs="Times New Roman"/>
          <w:lang w:val="ro-MD"/>
        </w:rPr>
        <w:t>.</w:t>
      </w:r>
    </w:p>
    <w:p w14:paraId="3D63D0A1" w14:textId="2346DE76" w:rsidR="00F95829" w:rsidRPr="000508B6" w:rsidRDefault="00204F2F" w:rsidP="00574631">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Contractul de asigurare de protecție juridică prevede în mod explicit că</w:t>
      </w:r>
      <w:r w:rsidR="00BB424E"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 cazul în care </w:t>
      </w:r>
      <w:r w:rsidR="00BB424E" w:rsidRPr="000508B6">
        <w:rPr>
          <w:rFonts w:ascii="Times New Roman" w:eastAsia="Times New Roman" w:hAnsi="Times New Roman" w:cs="Times New Roman"/>
          <w:lang w:val="ro-MD"/>
        </w:rPr>
        <w:t>apelează</w:t>
      </w:r>
      <w:r w:rsidRPr="000508B6">
        <w:rPr>
          <w:rFonts w:ascii="Times New Roman" w:eastAsia="Times New Roman" w:hAnsi="Times New Roman" w:cs="Times New Roman"/>
          <w:lang w:val="ro-MD"/>
        </w:rPr>
        <w:t xml:space="preserve"> la un avocat sau la un mediator, care să apere, să reprezinte interesele asiguratului în </w:t>
      </w:r>
      <w:r w:rsidR="00F95829" w:rsidRPr="000508B6">
        <w:rPr>
          <w:rFonts w:ascii="Times New Roman" w:eastAsia="Times New Roman" w:hAnsi="Times New Roman" w:cs="Times New Roman"/>
          <w:lang w:val="ro-MD"/>
        </w:rPr>
        <w:t>procedur</w:t>
      </w:r>
      <w:r w:rsidR="008B6ACB" w:rsidRPr="000508B6">
        <w:rPr>
          <w:rFonts w:ascii="Times New Roman" w:eastAsia="Times New Roman" w:hAnsi="Times New Roman" w:cs="Times New Roman"/>
          <w:lang w:val="ro-MD"/>
        </w:rPr>
        <w:t>a</w:t>
      </w:r>
      <w:r w:rsidR="00F95829" w:rsidRPr="000508B6">
        <w:rPr>
          <w:rFonts w:ascii="Times New Roman" w:eastAsia="Times New Roman" w:hAnsi="Times New Roman" w:cs="Times New Roman"/>
          <w:lang w:val="ro-MD"/>
        </w:rPr>
        <w:t xml:space="preserve"> judiciar</w:t>
      </w:r>
      <w:r w:rsidR="0021456B" w:rsidRPr="000508B6">
        <w:rPr>
          <w:rFonts w:ascii="Times New Roman" w:eastAsia="Times New Roman" w:hAnsi="Times New Roman" w:cs="Times New Roman"/>
          <w:lang w:val="ro-MD"/>
        </w:rPr>
        <w:t>ă</w:t>
      </w:r>
      <w:r w:rsidR="00F95829" w:rsidRPr="000508B6">
        <w:rPr>
          <w:rFonts w:ascii="Times New Roman" w:eastAsia="Times New Roman" w:hAnsi="Times New Roman" w:cs="Times New Roman"/>
          <w:lang w:val="ro-MD"/>
        </w:rPr>
        <w:t xml:space="preserve"> sau în cazul unui conflict de interese</w:t>
      </w:r>
      <w:r w:rsidR="00BB424E" w:rsidRPr="000508B6">
        <w:rPr>
          <w:rFonts w:ascii="Times New Roman" w:eastAsia="Times New Roman" w:hAnsi="Times New Roman" w:cs="Times New Roman"/>
          <w:lang w:val="ro-MD"/>
        </w:rPr>
        <w:t xml:space="preserve"> asiguratul are libertatea de a alege</w:t>
      </w:r>
      <w:r w:rsidR="00D66553" w:rsidRPr="000508B6">
        <w:rPr>
          <w:rFonts w:ascii="Times New Roman" w:eastAsia="Times New Roman" w:hAnsi="Times New Roman" w:cs="Times New Roman"/>
          <w:lang w:val="ro-MD"/>
        </w:rPr>
        <w:t xml:space="preserve"> respectivul avocat sau mediator</w:t>
      </w:r>
      <w:r w:rsidR="00F95829" w:rsidRPr="000508B6">
        <w:rPr>
          <w:rFonts w:ascii="Times New Roman" w:eastAsia="Times New Roman" w:hAnsi="Times New Roman" w:cs="Times New Roman"/>
          <w:lang w:val="ro-MD"/>
        </w:rPr>
        <w:t>.</w:t>
      </w:r>
    </w:p>
    <w:p w14:paraId="39478FF3" w14:textId="70D10EA2" w:rsidR="00F95829" w:rsidRPr="000508B6" w:rsidRDefault="00F95829" w:rsidP="00574631">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alin. (4) nu se aplică dacă sunt îndeplinite, cumulativ, următoarele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w:t>
      </w:r>
    </w:p>
    <w:p w14:paraId="096A207E" w14:textId="05254425" w:rsidR="00F95829" w:rsidRPr="000508B6" w:rsidRDefault="00F95829" w:rsidP="00574631">
      <w:pPr>
        <w:pStyle w:val="Listparagraf"/>
        <w:numPr>
          <w:ilvl w:val="2"/>
          <w:numId w:val="22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asigurarea se limitează la cazurile rezultate în urma utilizării vehiculelor rutiere pe teritoriul </w:t>
      </w:r>
      <w:r w:rsidR="00DA59C2" w:rsidRPr="000508B6">
        <w:rPr>
          <w:rFonts w:ascii="Times New Roman" w:eastAsia="Times New Roman" w:hAnsi="Times New Roman" w:cs="Times New Roman"/>
          <w:lang w:val="ro-MD"/>
        </w:rPr>
        <w:t>Republicii Moldova</w:t>
      </w:r>
      <w:r w:rsidRPr="000508B6">
        <w:rPr>
          <w:rFonts w:ascii="Times New Roman" w:eastAsia="Times New Roman" w:hAnsi="Times New Roman" w:cs="Times New Roman"/>
          <w:lang w:val="ro-MD"/>
        </w:rPr>
        <w:t xml:space="preserve">;   </w:t>
      </w:r>
    </w:p>
    <w:p w14:paraId="476D32A0" w14:textId="179DB641" w:rsidR="00F95829" w:rsidRPr="000508B6" w:rsidRDefault="00F95829" w:rsidP="00574631">
      <w:pPr>
        <w:pStyle w:val="Listparagraf"/>
        <w:numPr>
          <w:ilvl w:val="2"/>
          <w:numId w:val="22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asigurarea este asociată unui contract de </w:t>
      </w:r>
      <w:proofErr w:type="spellStart"/>
      <w:r w:rsidRPr="000508B6">
        <w:rPr>
          <w:rFonts w:ascii="Times New Roman" w:eastAsia="Times New Roman" w:hAnsi="Times New Roman" w:cs="Times New Roman"/>
          <w:lang w:val="ro-MD"/>
        </w:rPr>
        <w:t>asistenţă</w:t>
      </w:r>
      <w:proofErr w:type="spellEnd"/>
      <w:r w:rsidRPr="000508B6">
        <w:rPr>
          <w:rFonts w:ascii="Times New Roman" w:eastAsia="Times New Roman" w:hAnsi="Times New Roman" w:cs="Times New Roman"/>
          <w:lang w:val="ro-MD"/>
        </w:rPr>
        <w:t xml:space="preserve"> în caz de accident sau </w:t>
      </w:r>
      <w:proofErr w:type="spellStart"/>
      <w:r w:rsidRPr="000508B6">
        <w:rPr>
          <w:rFonts w:ascii="Times New Roman" w:eastAsia="Times New Roman" w:hAnsi="Times New Roman" w:cs="Times New Roman"/>
          <w:lang w:val="ro-MD"/>
        </w:rPr>
        <w:t>defecţiune</w:t>
      </w:r>
      <w:proofErr w:type="spellEnd"/>
      <w:r w:rsidRPr="000508B6">
        <w:rPr>
          <w:rFonts w:ascii="Times New Roman" w:eastAsia="Times New Roman" w:hAnsi="Times New Roman" w:cs="Times New Roman"/>
          <w:lang w:val="ro-MD"/>
        </w:rPr>
        <w:t xml:space="preserve"> a unui vehicul rutier;   </w:t>
      </w:r>
    </w:p>
    <w:p w14:paraId="433C0E73" w14:textId="7857AD34" w:rsidR="00F95829" w:rsidRPr="000508B6" w:rsidRDefault="00E12BEF" w:rsidP="00574631">
      <w:pPr>
        <w:pStyle w:val="Listparagraf"/>
        <w:numPr>
          <w:ilvl w:val="2"/>
          <w:numId w:val="22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care oferă </w:t>
      </w:r>
      <w:proofErr w:type="spellStart"/>
      <w:r w:rsidR="00F95829" w:rsidRPr="000508B6">
        <w:rPr>
          <w:rFonts w:ascii="Times New Roman" w:eastAsia="Times New Roman" w:hAnsi="Times New Roman" w:cs="Times New Roman"/>
          <w:lang w:val="ro-MD"/>
        </w:rPr>
        <w:t>protecţia</w:t>
      </w:r>
      <w:proofErr w:type="spellEnd"/>
      <w:r w:rsidR="00F95829" w:rsidRPr="000508B6">
        <w:rPr>
          <w:rFonts w:ascii="Times New Roman" w:eastAsia="Times New Roman" w:hAnsi="Times New Roman" w:cs="Times New Roman"/>
          <w:lang w:val="ro-MD"/>
        </w:rPr>
        <w:t xml:space="preserve"> juridică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asistenţa</w:t>
      </w:r>
      <w:proofErr w:type="spellEnd"/>
      <w:r w:rsidR="00F95829" w:rsidRPr="000508B6">
        <w:rPr>
          <w:rFonts w:ascii="Times New Roman" w:eastAsia="Times New Roman" w:hAnsi="Times New Roman" w:cs="Times New Roman"/>
          <w:lang w:val="ro-MD"/>
        </w:rPr>
        <w:t xml:space="preserve"> nu subscri</w:t>
      </w:r>
      <w:r w:rsidR="00B543EA" w:rsidRPr="000508B6">
        <w:rPr>
          <w:rFonts w:ascii="Times New Roman" w:eastAsia="Times New Roman" w:hAnsi="Times New Roman" w:cs="Times New Roman"/>
          <w:lang w:val="ro-MD"/>
        </w:rPr>
        <w:t>e</w:t>
      </w:r>
      <w:r w:rsidR="00F95829" w:rsidRPr="000508B6">
        <w:rPr>
          <w:rFonts w:ascii="Times New Roman" w:eastAsia="Times New Roman" w:hAnsi="Times New Roman" w:cs="Times New Roman"/>
          <w:lang w:val="ro-MD"/>
        </w:rPr>
        <w:t xml:space="preserve"> </w:t>
      </w:r>
      <w:r w:rsidR="00B972AB" w:rsidRPr="000508B6">
        <w:rPr>
          <w:rFonts w:ascii="Times New Roman" w:eastAsia="Times New Roman" w:hAnsi="Times New Roman" w:cs="Times New Roman"/>
          <w:lang w:val="ro-MD"/>
        </w:rPr>
        <w:t xml:space="preserve">riscuri din </w:t>
      </w:r>
      <w:r w:rsidR="00F95829" w:rsidRPr="000508B6">
        <w:rPr>
          <w:rFonts w:ascii="Times New Roman" w:eastAsia="Times New Roman" w:hAnsi="Times New Roman" w:cs="Times New Roman"/>
          <w:lang w:val="ro-MD"/>
        </w:rPr>
        <w:t xml:space="preserve">clase de </w:t>
      </w:r>
      <w:r w:rsidR="00B972AB" w:rsidRPr="000508B6">
        <w:rPr>
          <w:rFonts w:ascii="Times New Roman" w:eastAsia="Times New Roman" w:hAnsi="Times New Roman" w:cs="Times New Roman"/>
          <w:lang w:val="ro-MD"/>
        </w:rPr>
        <w:t>asigurare</w:t>
      </w:r>
      <w:r w:rsidR="00F95829" w:rsidRPr="000508B6">
        <w:rPr>
          <w:rFonts w:ascii="Times New Roman" w:eastAsia="Times New Roman" w:hAnsi="Times New Roman" w:cs="Times New Roman"/>
          <w:lang w:val="ro-MD"/>
        </w:rPr>
        <w:t xml:space="preserve"> de răspundere civilă;   </w:t>
      </w:r>
    </w:p>
    <w:p w14:paraId="720321F3" w14:textId="0359A692" w:rsidR="00F95829" w:rsidRPr="000508B6" w:rsidRDefault="00E12BEF" w:rsidP="00574631">
      <w:pPr>
        <w:pStyle w:val="Listparagraf"/>
        <w:numPr>
          <w:ilvl w:val="2"/>
          <w:numId w:val="22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asigurătorul </w:t>
      </w:r>
      <w:r w:rsidR="00F95829" w:rsidRPr="000508B6">
        <w:rPr>
          <w:rFonts w:ascii="Times New Roman" w:eastAsia="Times New Roman" w:hAnsi="Times New Roman" w:cs="Times New Roman"/>
          <w:lang w:val="ro-MD"/>
        </w:rPr>
        <w:t xml:space="preserve">adoptă măsuri conform cărora </w:t>
      </w:r>
      <w:proofErr w:type="spellStart"/>
      <w:r w:rsidR="00F95829" w:rsidRPr="000508B6">
        <w:rPr>
          <w:rFonts w:ascii="Times New Roman" w:eastAsia="Times New Roman" w:hAnsi="Times New Roman" w:cs="Times New Roman"/>
          <w:lang w:val="ro-MD"/>
        </w:rPr>
        <w:t>consultanţa</w:t>
      </w:r>
      <w:proofErr w:type="spellEnd"/>
      <w:r w:rsidR="00F95829" w:rsidRPr="000508B6">
        <w:rPr>
          <w:rFonts w:ascii="Times New Roman" w:eastAsia="Times New Roman" w:hAnsi="Times New Roman" w:cs="Times New Roman"/>
          <w:lang w:val="ro-MD"/>
        </w:rPr>
        <w:t xml:space="preserve"> juridică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reprezentarea fiecărei </w:t>
      </w:r>
      <w:proofErr w:type="spellStart"/>
      <w:r w:rsidR="00F95829" w:rsidRPr="000508B6">
        <w:rPr>
          <w:rFonts w:ascii="Times New Roman" w:eastAsia="Times New Roman" w:hAnsi="Times New Roman" w:cs="Times New Roman"/>
          <w:lang w:val="ro-MD"/>
        </w:rPr>
        <w:t>părţi</w:t>
      </w:r>
      <w:proofErr w:type="spellEnd"/>
      <w:r w:rsidR="00F95829" w:rsidRPr="000508B6">
        <w:rPr>
          <w:rFonts w:ascii="Times New Roman" w:eastAsia="Times New Roman" w:hAnsi="Times New Roman" w:cs="Times New Roman"/>
          <w:lang w:val="ro-MD"/>
        </w:rPr>
        <w:t xml:space="preserve"> aflate în litigiu se realizează de către </w:t>
      </w:r>
      <w:proofErr w:type="spellStart"/>
      <w:r w:rsidR="00F95829" w:rsidRPr="000508B6">
        <w:rPr>
          <w:rFonts w:ascii="Times New Roman" w:eastAsia="Times New Roman" w:hAnsi="Times New Roman" w:cs="Times New Roman"/>
          <w:lang w:val="ro-MD"/>
        </w:rPr>
        <w:t>avocaţi</w:t>
      </w:r>
      <w:proofErr w:type="spellEnd"/>
      <w:r w:rsidR="00F95829" w:rsidRPr="000508B6">
        <w:rPr>
          <w:rFonts w:ascii="Times New Roman" w:eastAsia="Times New Roman" w:hAnsi="Times New Roman" w:cs="Times New Roman"/>
          <w:lang w:val="ro-MD"/>
        </w:rPr>
        <w:t xml:space="preserve"> </w:t>
      </w:r>
      <w:proofErr w:type="spellStart"/>
      <w:r w:rsidR="00F95829" w:rsidRPr="000508B6">
        <w:rPr>
          <w:rFonts w:ascii="Times New Roman" w:eastAsia="Times New Roman" w:hAnsi="Times New Roman" w:cs="Times New Roman"/>
          <w:lang w:val="ro-MD"/>
        </w:rPr>
        <w:t>independenţi</w:t>
      </w:r>
      <w:proofErr w:type="spellEnd"/>
      <w:r w:rsidR="00F95829" w:rsidRPr="000508B6">
        <w:rPr>
          <w:rFonts w:ascii="Times New Roman" w:eastAsia="Times New Roman" w:hAnsi="Times New Roman" w:cs="Times New Roman"/>
          <w:lang w:val="ro-MD"/>
        </w:rPr>
        <w:t xml:space="preserve">, în cazul în care ambele </w:t>
      </w:r>
      <w:proofErr w:type="spellStart"/>
      <w:r w:rsidR="00F95829" w:rsidRPr="000508B6">
        <w:rPr>
          <w:rFonts w:ascii="Times New Roman" w:eastAsia="Times New Roman" w:hAnsi="Times New Roman" w:cs="Times New Roman"/>
          <w:lang w:val="ro-MD"/>
        </w:rPr>
        <w:t>părţi</w:t>
      </w:r>
      <w:proofErr w:type="spellEnd"/>
      <w:r w:rsidR="00F95829" w:rsidRPr="000508B6">
        <w:rPr>
          <w:rFonts w:ascii="Times New Roman" w:eastAsia="Times New Roman" w:hAnsi="Times New Roman" w:cs="Times New Roman"/>
          <w:lang w:val="ro-MD"/>
        </w:rPr>
        <w:t xml:space="preserve"> sunt asigurate pentru </w:t>
      </w:r>
      <w:proofErr w:type="spellStart"/>
      <w:r w:rsidR="00F95829" w:rsidRPr="000508B6">
        <w:rPr>
          <w:rFonts w:ascii="Times New Roman" w:eastAsia="Times New Roman" w:hAnsi="Times New Roman" w:cs="Times New Roman"/>
          <w:lang w:val="ro-MD"/>
        </w:rPr>
        <w:t>protecţie</w:t>
      </w:r>
      <w:proofErr w:type="spellEnd"/>
      <w:r w:rsidR="00F95829" w:rsidRPr="000508B6">
        <w:rPr>
          <w:rFonts w:ascii="Times New Roman" w:eastAsia="Times New Roman" w:hAnsi="Times New Roman" w:cs="Times New Roman"/>
          <w:lang w:val="ro-MD"/>
        </w:rPr>
        <w:t xml:space="preserve"> juridică de </w:t>
      </w:r>
      <w:r w:rsidR="00F96496" w:rsidRPr="000508B6">
        <w:rPr>
          <w:rFonts w:ascii="Times New Roman" w:eastAsia="Times New Roman" w:hAnsi="Times New Roman" w:cs="Times New Roman"/>
          <w:lang w:val="ro-MD"/>
        </w:rPr>
        <w:t xml:space="preserve">către </w:t>
      </w:r>
      <w:r w:rsidR="00B73802" w:rsidRPr="000508B6">
        <w:rPr>
          <w:rFonts w:ascii="Times New Roman" w:eastAsia="Times New Roman" w:hAnsi="Times New Roman" w:cs="Times New Roman"/>
          <w:lang w:val="ro-MD"/>
        </w:rPr>
        <w:t>același asigurător</w:t>
      </w:r>
      <w:r w:rsidR="00F95829" w:rsidRPr="000508B6">
        <w:rPr>
          <w:rFonts w:ascii="Times New Roman" w:eastAsia="Times New Roman" w:hAnsi="Times New Roman" w:cs="Times New Roman"/>
          <w:lang w:val="ro-MD"/>
        </w:rPr>
        <w:t xml:space="preserve">.     </w:t>
      </w:r>
    </w:p>
    <w:p w14:paraId="7D3A4EC0" w14:textId="1F2B5EC8" w:rsidR="00F95829" w:rsidRPr="000508B6" w:rsidRDefault="00F95829" w:rsidP="00AD65D7">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alin. (3) se aplică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 cazul exceptărilor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 (5). </w:t>
      </w:r>
    </w:p>
    <w:p w14:paraId="40EC161C" w14:textId="6E5F3617" w:rsidR="00F95829" w:rsidRPr="000508B6" w:rsidRDefault="00F95829" w:rsidP="00574631">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contractul de asigurare de </w:t>
      </w:r>
      <w:proofErr w:type="spellStart"/>
      <w:r w:rsidRPr="000508B6">
        <w:rPr>
          <w:rFonts w:ascii="Times New Roman" w:eastAsia="Times New Roman" w:hAnsi="Times New Roman" w:cs="Times New Roman"/>
          <w:lang w:val="ro-MD"/>
        </w:rPr>
        <w:t>protecţie</w:t>
      </w:r>
      <w:proofErr w:type="spellEnd"/>
      <w:r w:rsidRPr="000508B6">
        <w:rPr>
          <w:rFonts w:ascii="Times New Roman" w:eastAsia="Times New Roman" w:hAnsi="Times New Roman" w:cs="Times New Roman"/>
          <w:lang w:val="ro-MD"/>
        </w:rPr>
        <w:t xml:space="preserve"> juridică </w:t>
      </w:r>
      <w:proofErr w:type="spellStart"/>
      <w:r w:rsidRPr="000508B6">
        <w:rPr>
          <w:rFonts w:ascii="Times New Roman" w:eastAsia="Times New Roman" w:hAnsi="Times New Roman" w:cs="Times New Roman"/>
          <w:lang w:val="ro-MD"/>
        </w:rPr>
        <w:t>părţile</w:t>
      </w:r>
      <w:proofErr w:type="spellEnd"/>
      <w:r w:rsidRPr="000508B6">
        <w:rPr>
          <w:rFonts w:ascii="Times New Roman" w:eastAsia="Times New Roman" w:hAnsi="Times New Roman" w:cs="Times New Roman"/>
          <w:lang w:val="ro-MD"/>
        </w:rPr>
        <w:t xml:space="preserve"> stipulează procedura de </w:t>
      </w:r>
      <w:r w:rsidR="00ED7834" w:rsidRPr="000508B6">
        <w:rPr>
          <w:rFonts w:ascii="Times New Roman" w:eastAsia="Times New Roman" w:hAnsi="Times New Roman" w:cs="Times New Roman"/>
          <w:lang w:val="ro-MD"/>
        </w:rPr>
        <w:t>soluționare</w:t>
      </w:r>
      <w:r w:rsidRPr="000508B6">
        <w:rPr>
          <w:rFonts w:ascii="Times New Roman" w:eastAsia="Times New Roman" w:hAnsi="Times New Roman" w:cs="Times New Roman"/>
          <w:lang w:val="ro-MD"/>
        </w:rPr>
        <w:t xml:space="preserve"> a litigiilor dintre ele, prin mediere sau arbitraj,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dreptul asiguratului de a recurge la astfel de proceduri, fără a aduce atingere dreptului acestuia de a sesiza </w:t>
      </w:r>
      <w:proofErr w:type="spellStart"/>
      <w:r w:rsidRPr="000508B6">
        <w:rPr>
          <w:rFonts w:ascii="Times New Roman" w:eastAsia="Times New Roman" w:hAnsi="Times New Roman" w:cs="Times New Roman"/>
          <w:lang w:val="ro-MD"/>
        </w:rPr>
        <w:t>instanţele</w:t>
      </w:r>
      <w:proofErr w:type="spellEnd"/>
      <w:r w:rsidRPr="000508B6">
        <w:rPr>
          <w:rFonts w:ascii="Times New Roman" w:eastAsia="Times New Roman" w:hAnsi="Times New Roman" w:cs="Times New Roman"/>
          <w:lang w:val="ro-MD"/>
        </w:rPr>
        <w:t xml:space="preserve"> de judecată competente, potrivit </w:t>
      </w:r>
      <w:r w:rsidR="00B916AF" w:rsidRPr="000508B6">
        <w:rPr>
          <w:rFonts w:ascii="Times New Roman" w:eastAsia="Times New Roman" w:hAnsi="Times New Roman" w:cs="Times New Roman"/>
          <w:lang w:val="ro-MD"/>
        </w:rPr>
        <w:t>actelor normative</w:t>
      </w:r>
      <w:r w:rsidRPr="000508B6">
        <w:rPr>
          <w:rFonts w:ascii="Times New Roman" w:eastAsia="Times New Roman" w:hAnsi="Times New Roman" w:cs="Times New Roman"/>
          <w:lang w:val="ro-MD"/>
        </w:rPr>
        <w:t xml:space="preserve">. </w:t>
      </w:r>
    </w:p>
    <w:p w14:paraId="3C18FB7A" w14:textId="43457680" w:rsidR="00F95829" w:rsidRPr="000508B6" w:rsidRDefault="00F95829" w:rsidP="00574631">
      <w:pPr>
        <w:pStyle w:val="Listparagraf"/>
        <w:numPr>
          <w:ilvl w:val="1"/>
          <w:numId w:val="208"/>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Prezentul articol nu se aplică în următoarele cazuri:   </w:t>
      </w:r>
    </w:p>
    <w:p w14:paraId="25743FDA" w14:textId="46925D0A" w:rsidR="00F95829" w:rsidRPr="000508B6" w:rsidRDefault="00F95829" w:rsidP="00574631">
      <w:pPr>
        <w:pStyle w:val="Listparagraf"/>
        <w:numPr>
          <w:ilvl w:val="2"/>
          <w:numId w:val="22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asigurarea </w:t>
      </w:r>
      <w:r w:rsidR="00B6023A" w:rsidRPr="000508B6">
        <w:rPr>
          <w:rFonts w:ascii="Times New Roman" w:eastAsia="Times New Roman" w:hAnsi="Times New Roman" w:cs="Times New Roman"/>
          <w:lang w:val="ro-MD"/>
        </w:rPr>
        <w:t xml:space="preserve">de protecție juridică </w:t>
      </w:r>
      <w:r w:rsidRPr="000508B6">
        <w:rPr>
          <w:rFonts w:ascii="Times New Roman" w:eastAsia="Times New Roman" w:hAnsi="Times New Roman" w:cs="Times New Roman"/>
          <w:lang w:val="ro-MD"/>
        </w:rPr>
        <w:t xml:space="preserve">acoperă litigii sau riscuri legate de utilizarea navelor maritime;   </w:t>
      </w:r>
    </w:p>
    <w:p w14:paraId="77C26170" w14:textId="13E7EB8F" w:rsidR="00F95829" w:rsidRPr="000508B6" w:rsidRDefault="00F95829" w:rsidP="00574631">
      <w:pPr>
        <w:pStyle w:val="Listparagraf"/>
        <w:numPr>
          <w:ilvl w:val="2"/>
          <w:numId w:val="221"/>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activitatea </w:t>
      </w:r>
      <w:proofErr w:type="spellStart"/>
      <w:r w:rsidRPr="000508B6">
        <w:rPr>
          <w:rFonts w:ascii="Times New Roman" w:eastAsia="Times New Roman" w:hAnsi="Times New Roman" w:cs="Times New Roman"/>
          <w:lang w:val="ro-MD"/>
        </w:rPr>
        <w:t>desfăşurată</w:t>
      </w:r>
      <w:proofErr w:type="spellEnd"/>
      <w:r w:rsidRPr="000508B6">
        <w:rPr>
          <w:rFonts w:ascii="Times New Roman" w:eastAsia="Times New Roman" w:hAnsi="Times New Roman" w:cs="Times New Roman"/>
          <w:lang w:val="ro-MD"/>
        </w:rPr>
        <w:t xml:space="preserve"> de </w:t>
      </w:r>
      <w:r w:rsidR="00311422" w:rsidRPr="000508B6">
        <w:rPr>
          <w:rFonts w:ascii="Times New Roman" w:eastAsia="Times New Roman" w:hAnsi="Times New Roman" w:cs="Times New Roman"/>
          <w:lang w:val="ro-MD"/>
        </w:rPr>
        <w:t>un asigurător</w:t>
      </w:r>
      <w:r w:rsidRPr="000508B6">
        <w:rPr>
          <w:rFonts w:ascii="Times New Roman" w:eastAsia="Times New Roman" w:hAnsi="Times New Roman" w:cs="Times New Roman"/>
          <w:lang w:val="ro-MD"/>
        </w:rPr>
        <w:t xml:space="preserve"> care oferă acoperire de răspundere civilă în scopul apărării sau reprezentării </w:t>
      </w:r>
      <w:r w:rsidR="00CA7DC0" w:rsidRPr="000508B6">
        <w:rPr>
          <w:rFonts w:ascii="Times New Roman" w:eastAsia="Times New Roman" w:hAnsi="Times New Roman" w:cs="Times New Roman"/>
          <w:lang w:val="ro-MD"/>
        </w:rPr>
        <w:t xml:space="preserve">asiguratului </w:t>
      </w:r>
      <w:r w:rsidRPr="000508B6">
        <w:rPr>
          <w:rFonts w:ascii="Times New Roman" w:eastAsia="Times New Roman" w:hAnsi="Times New Roman" w:cs="Times New Roman"/>
          <w:lang w:val="ro-MD"/>
        </w:rPr>
        <w:t>într-o anchetă ori proces</w:t>
      </w:r>
      <w:r w:rsidR="005D1E3C"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în cazul în care aceasta este </w:t>
      </w:r>
      <w:proofErr w:type="spellStart"/>
      <w:r w:rsidRPr="000508B6">
        <w:rPr>
          <w:rFonts w:ascii="Times New Roman" w:eastAsia="Times New Roman" w:hAnsi="Times New Roman" w:cs="Times New Roman"/>
          <w:lang w:val="ro-MD"/>
        </w:rPr>
        <w:t>desfăşurată</w:t>
      </w:r>
      <w:proofErr w:type="spellEnd"/>
      <w:r w:rsidRPr="000508B6">
        <w:rPr>
          <w:rFonts w:ascii="Times New Roman" w:eastAsia="Times New Roman" w:hAnsi="Times New Roman" w:cs="Times New Roman"/>
          <w:lang w:val="ro-MD"/>
        </w:rPr>
        <w:t xml:space="preserve"> simultan în interesul propriu al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în cadrul acoperirii respective;   </w:t>
      </w:r>
    </w:p>
    <w:p w14:paraId="7720FE52" w14:textId="578024E7" w:rsidR="00F95829" w:rsidRPr="000508B6" w:rsidRDefault="00F95829" w:rsidP="00574631">
      <w:pPr>
        <w:pStyle w:val="Listparagraf"/>
        <w:numPr>
          <w:ilvl w:val="2"/>
          <w:numId w:val="221"/>
        </w:numPr>
        <w:tabs>
          <w:tab w:val="left" w:pos="709"/>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protecţia</w:t>
      </w:r>
      <w:proofErr w:type="spellEnd"/>
      <w:r w:rsidRPr="000508B6">
        <w:rPr>
          <w:rFonts w:ascii="Times New Roman" w:eastAsia="Times New Roman" w:hAnsi="Times New Roman" w:cs="Times New Roman"/>
          <w:lang w:val="ro-MD"/>
        </w:rPr>
        <w:t xml:space="preserve"> juridică este oferită de </w:t>
      </w:r>
      <w:r w:rsidR="00311422" w:rsidRPr="000508B6">
        <w:rPr>
          <w:rFonts w:ascii="Times New Roman" w:eastAsia="Times New Roman" w:hAnsi="Times New Roman" w:cs="Times New Roman"/>
          <w:lang w:val="ro-MD"/>
        </w:rPr>
        <w:t>un asigurător</w:t>
      </w:r>
      <w:r w:rsidR="00CD55A6"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care oferă </w:t>
      </w:r>
      <w:proofErr w:type="spellStart"/>
      <w:r w:rsidRPr="000508B6">
        <w:rPr>
          <w:rFonts w:ascii="Times New Roman" w:eastAsia="Times New Roman" w:hAnsi="Times New Roman" w:cs="Times New Roman"/>
          <w:lang w:val="ro-MD"/>
        </w:rPr>
        <w:t>protecţie</w:t>
      </w:r>
      <w:proofErr w:type="spellEnd"/>
      <w:r w:rsidRPr="000508B6">
        <w:rPr>
          <w:rFonts w:ascii="Times New Roman" w:eastAsia="Times New Roman" w:hAnsi="Times New Roman" w:cs="Times New Roman"/>
          <w:lang w:val="ro-MD"/>
        </w:rPr>
        <w:t xml:space="preserve"> conform clasei 18 din </w:t>
      </w:r>
      <w:r w:rsidR="000A0659"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nexa nr. 1</w:t>
      </w:r>
      <w:r w:rsidR="004417AC"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roofErr w:type="spellStart"/>
      <w:r w:rsidR="000A0659" w:rsidRPr="000508B6">
        <w:rPr>
          <w:rFonts w:ascii="Times New Roman" w:eastAsia="Times New Roman" w:hAnsi="Times New Roman" w:cs="Times New Roman"/>
          <w:lang w:val="ro-MD"/>
        </w:rPr>
        <w:t>S</w:t>
      </w:r>
      <w:r w:rsidRPr="000508B6">
        <w:rPr>
          <w:rFonts w:ascii="Times New Roman" w:eastAsia="Times New Roman" w:hAnsi="Times New Roman" w:cs="Times New Roman"/>
          <w:lang w:val="ro-MD"/>
        </w:rPr>
        <w:t>ecţiunea</w:t>
      </w:r>
      <w:proofErr w:type="spellEnd"/>
      <w:r w:rsidRPr="000508B6">
        <w:rPr>
          <w:rFonts w:ascii="Times New Roman" w:eastAsia="Times New Roman" w:hAnsi="Times New Roman" w:cs="Times New Roman"/>
          <w:lang w:val="ro-MD"/>
        </w:rPr>
        <w:t xml:space="preserve"> A, cu respectarea următoarelor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w:t>
      </w:r>
    </w:p>
    <w:p w14:paraId="47C97AB6" w14:textId="51BDD413" w:rsidR="00F95829" w:rsidRPr="000508B6" w:rsidRDefault="00F95829" w:rsidP="004417AC">
      <w:pPr>
        <w:pStyle w:val="Listparagraf"/>
        <w:numPr>
          <w:ilvl w:val="3"/>
          <w:numId w:val="210"/>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este acordată în alt stat membru decât cel în care se află </w:t>
      </w:r>
      <w:proofErr w:type="spellStart"/>
      <w:r w:rsidRPr="000508B6">
        <w:rPr>
          <w:rFonts w:ascii="Times New Roman" w:eastAsia="Times New Roman" w:hAnsi="Times New Roman" w:cs="Times New Roman"/>
          <w:lang w:val="ro-MD"/>
        </w:rPr>
        <w:t>reşedinţa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obişnuită</w:t>
      </w:r>
      <w:proofErr w:type="spellEnd"/>
      <w:r w:rsidRPr="000508B6">
        <w:rPr>
          <w:rFonts w:ascii="Times New Roman" w:eastAsia="Times New Roman" w:hAnsi="Times New Roman" w:cs="Times New Roman"/>
          <w:lang w:val="ro-MD"/>
        </w:rPr>
        <w:t xml:space="preserve"> a </w:t>
      </w:r>
      <w:r w:rsidR="00CA7DC0" w:rsidRPr="000508B6">
        <w:rPr>
          <w:rFonts w:ascii="Times New Roman" w:eastAsia="Times New Roman" w:hAnsi="Times New Roman" w:cs="Times New Roman"/>
          <w:lang w:val="ro-MD"/>
        </w:rPr>
        <w:t>asiguratului</w:t>
      </w:r>
      <w:r w:rsidRPr="000508B6">
        <w:rPr>
          <w:rFonts w:ascii="Times New Roman" w:eastAsia="Times New Roman" w:hAnsi="Times New Roman" w:cs="Times New Roman"/>
          <w:lang w:val="ro-MD"/>
        </w:rPr>
        <w:t xml:space="preserve">, cu precizarea clară în contract a acestui lucru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faptului că </w:t>
      </w:r>
      <w:proofErr w:type="spellStart"/>
      <w:r w:rsidRPr="000508B6">
        <w:rPr>
          <w:rFonts w:ascii="Times New Roman" w:eastAsia="Times New Roman" w:hAnsi="Times New Roman" w:cs="Times New Roman"/>
          <w:lang w:val="ro-MD"/>
        </w:rPr>
        <w:t>protecţia</w:t>
      </w:r>
      <w:proofErr w:type="spellEnd"/>
      <w:r w:rsidRPr="000508B6">
        <w:rPr>
          <w:rFonts w:ascii="Times New Roman" w:eastAsia="Times New Roman" w:hAnsi="Times New Roman" w:cs="Times New Roman"/>
          <w:lang w:val="ro-MD"/>
        </w:rPr>
        <w:t xml:space="preserve"> juridică este auxiliară </w:t>
      </w:r>
      <w:proofErr w:type="spellStart"/>
      <w:r w:rsidRPr="000508B6">
        <w:rPr>
          <w:rFonts w:ascii="Times New Roman" w:eastAsia="Times New Roman" w:hAnsi="Times New Roman" w:cs="Times New Roman"/>
          <w:lang w:val="ro-MD"/>
        </w:rPr>
        <w:t>asistenţei</w:t>
      </w:r>
      <w:proofErr w:type="spellEnd"/>
      <w:r w:rsidRPr="000508B6">
        <w:rPr>
          <w:rFonts w:ascii="Times New Roman" w:eastAsia="Times New Roman" w:hAnsi="Times New Roman" w:cs="Times New Roman"/>
          <w:lang w:val="ro-MD"/>
        </w:rPr>
        <w:t xml:space="preserve">;   </w:t>
      </w:r>
    </w:p>
    <w:p w14:paraId="177579C0" w14:textId="55AB0551" w:rsidR="00F95829" w:rsidRPr="000508B6" w:rsidRDefault="00F95829" w:rsidP="00574631">
      <w:pPr>
        <w:pStyle w:val="Listparagraf"/>
        <w:numPr>
          <w:ilvl w:val="3"/>
          <w:numId w:val="210"/>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este acordată într-un contract de asigurare de </w:t>
      </w:r>
      <w:proofErr w:type="spellStart"/>
      <w:r w:rsidRPr="000508B6">
        <w:rPr>
          <w:rFonts w:ascii="Times New Roman" w:eastAsia="Times New Roman" w:hAnsi="Times New Roman" w:cs="Times New Roman"/>
          <w:lang w:val="ro-MD"/>
        </w:rPr>
        <w:t>asistenţă</w:t>
      </w:r>
      <w:proofErr w:type="spellEnd"/>
      <w:r w:rsidRPr="000508B6">
        <w:rPr>
          <w:rFonts w:ascii="Times New Roman" w:eastAsia="Times New Roman" w:hAnsi="Times New Roman" w:cs="Times New Roman"/>
          <w:lang w:val="ro-MD"/>
        </w:rPr>
        <w:t xml:space="preserve"> a persoanelor aflate în dificultate în cursul deplasărilor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 timpul </w:t>
      </w:r>
      <w:proofErr w:type="spellStart"/>
      <w:r w:rsidRPr="000508B6">
        <w:rPr>
          <w:rFonts w:ascii="Times New Roman" w:eastAsia="Times New Roman" w:hAnsi="Times New Roman" w:cs="Times New Roman"/>
          <w:lang w:val="ro-MD"/>
        </w:rPr>
        <w:t>absenţelor</w:t>
      </w:r>
      <w:proofErr w:type="spellEnd"/>
      <w:r w:rsidRPr="000508B6">
        <w:rPr>
          <w:rFonts w:ascii="Times New Roman" w:eastAsia="Times New Roman" w:hAnsi="Times New Roman" w:cs="Times New Roman"/>
          <w:lang w:val="ro-MD"/>
        </w:rPr>
        <w:t xml:space="preserve"> de la domiciliu sau de la </w:t>
      </w:r>
      <w:proofErr w:type="spellStart"/>
      <w:r w:rsidRPr="000508B6">
        <w:rPr>
          <w:rFonts w:ascii="Times New Roman" w:eastAsia="Times New Roman" w:hAnsi="Times New Roman" w:cs="Times New Roman"/>
          <w:lang w:val="ro-MD"/>
        </w:rPr>
        <w:t>reşedinţa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obişnuită</w:t>
      </w:r>
      <w:proofErr w:type="spellEnd"/>
      <w:r w:rsidRPr="000508B6">
        <w:rPr>
          <w:rFonts w:ascii="Times New Roman" w:eastAsia="Times New Roman" w:hAnsi="Times New Roman" w:cs="Times New Roman"/>
          <w:lang w:val="ro-MD"/>
        </w:rPr>
        <w:t xml:space="preserve">.  </w:t>
      </w:r>
    </w:p>
    <w:p w14:paraId="10CC883B" w14:textId="6CCFF46C" w:rsidR="00F95829" w:rsidRPr="000508B6" w:rsidRDefault="00F95829" w:rsidP="00574631">
      <w:pPr>
        <w:pStyle w:val="Listparagraf"/>
        <w:numPr>
          <w:ilvl w:val="1"/>
          <w:numId w:val="208"/>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apare un conflict de interese sau în lipsa unui acord asupra </w:t>
      </w:r>
      <w:r w:rsidR="00ED7834" w:rsidRPr="000508B6">
        <w:rPr>
          <w:rFonts w:ascii="Times New Roman" w:eastAsia="Times New Roman" w:hAnsi="Times New Roman" w:cs="Times New Roman"/>
          <w:lang w:val="ro-MD"/>
        </w:rPr>
        <w:t>soluționării</w:t>
      </w:r>
      <w:r w:rsidRPr="000508B6">
        <w:rPr>
          <w:rFonts w:ascii="Times New Roman" w:eastAsia="Times New Roman" w:hAnsi="Times New Roman" w:cs="Times New Roman"/>
          <w:lang w:val="ro-MD"/>
        </w:rPr>
        <w:t xml:space="preserve"> unui litigiu, </w:t>
      </w:r>
      <w:r w:rsidR="00E12BEF"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ori personalul care </w:t>
      </w:r>
      <w:r w:rsidR="00F03D1B" w:rsidRPr="000508B6">
        <w:rPr>
          <w:rFonts w:ascii="Times New Roman" w:eastAsia="Times New Roman" w:hAnsi="Times New Roman" w:cs="Times New Roman"/>
          <w:lang w:val="ro-MD"/>
        </w:rPr>
        <w:t xml:space="preserve">instrumentează </w:t>
      </w:r>
      <w:r w:rsidRPr="000508B6">
        <w:rPr>
          <w:rFonts w:ascii="Times New Roman" w:eastAsia="Times New Roman" w:hAnsi="Times New Roman" w:cs="Times New Roman"/>
          <w:lang w:val="ro-MD"/>
        </w:rPr>
        <w:t xml:space="preserve">daunele informează </w:t>
      </w:r>
      <w:r w:rsidR="00CA7DC0" w:rsidRPr="000508B6">
        <w:rPr>
          <w:rFonts w:ascii="Times New Roman" w:eastAsia="Times New Roman" w:hAnsi="Times New Roman" w:cs="Times New Roman"/>
          <w:lang w:val="ro-MD"/>
        </w:rPr>
        <w:t xml:space="preserve">asiguratul </w:t>
      </w:r>
      <w:r w:rsidRPr="000508B6">
        <w:rPr>
          <w:rFonts w:ascii="Times New Roman" w:eastAsia="Times New Roman" w:hAnsi="Times New Roman" w:cs="Times New Roman"/>
          <w:lang w:val="ro-MD"/>
        </w:rPr>
        <w:t xml:space="preserve">cu privire la drepturile care decurg din alin. (4)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(7).  </w:t>
      </w:r>
    </w:p>
    <w:p w14:paraId="582CF37F" w14:textId="78A0BE7F" w:rsidR="002D2E63" w:rsidRPr="000508B6" w:rsidRDefault="002D2E63" w:rsidP="008B530F">
      <w:pPr>
        <w:tabs>
          <w:tab w:val="left" w:pos="993"/>
        </w:tabs>
        <w:spacing w:after="0" w:line="240" w:lineRule="auto"/>
        <w:ind w:firstLine="426"/>
        <w:jc w:val="both"/>
        <w:rPr>
          <w:rFonts w:ascii="Times New Roman" w:eastAsia="Times New Roman" w:hAnsi="Times New Roman" w:cs="Times New Roman"/>
          <w:b/>
          <w:lang w:val="ro-MD"/>
        </w:rPr>
      </w:pPr>
    </w:p>
    <w:p w14:paraId="4F863C9B" w14:textId="47147B5F"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112</w:t>
      </w:r>
      <w:r w:rsidRPr="000508B6">
        <w:rPr>
          <w:rFonts w:ascii="Times New Roman" w:eastAsia="Times New Roman" w:hAnsi="Times New Roman" w:cs="Times New Roman"/>
          <w:b/>
          <w:lang w:val="ro-MD"/>
        </w:rPr>
        <w:t>.</w:t>
      </w:r>
      <w:r w:rsidR="00FE7E83" w:rsidRPr="000508B6">
        <w:rPr>
          <w:rFonts w:ascii="Times New Roman" w:eastAsia="Times New Roman" w:hAnsi="Times New Roman" w:cs="Times New Roman"/>
          <w:b/>
          <w:lang w:val="ro-MD"/>
        </w:rPr>
        <w:t xml:space="preserve"> </w:t>
      </w:r>
      <w:r w:rsidR="00C87C03" w:rsidRPr="000508B6">
        <w:rPr>
          <w:rFonts w:ascii="Times New Roman" w:eastAsia="Times New Roman" w:hAnsi="Times New Roman" w:cs="Times New Roman"/>
          <w:lang w:val="ro-MD"/>
        </w:rPr>
        <w:t>Asigur</w:t>
      </w:r>
      <w:r w:rsidR="005A6396" w:rsidRPr="000508B6">
        <w:rPr>
          <w:rFonts w:ascii="Times New Roman" w:eastAsia="Times New Roman" w:hAnsi="Times New Roman" w:cs="Times New Roman"/>
          <w:lang w:val="ro-MD"/>
        </w:rPr>
        <w:t>ări</w:t>
      </w:r>
      <w:r w:rsidRPr="000508B6">
        <w:rPr>
          <w:rFonts w:ascii="Times New Roman" w:eastAsia="Times New Roman" w:hAnsi="Times New Roman" w:cs="Times New Roman"/>
          <w:lang w:val="ro-MD"/>
        </w:rPr>
        <w:t xml:space="preserve"> de accidente de muncă</w:t>
      </w:r>
      <w:r w:rsidR="009D14A6" w:rsidRPr="000508B6">
        <w:rPr>
          <w:rFonts w:ascii="Times New Roman" w:eastAsia="Times New Roman" w:hAnsi="Times New Roman" w:cs="Times New Roman"/>
          <w:lang w:val="ro-MD"/>
        </w:rPr>
        <w:t xml:space="preserve"> </w:t>
      </w:r>
    </w:p>
    <w:p w14:paraId="4FEDF71C" w14:textId="03765B4D" w:rsidR="00592A04" w:rsidRPr="000508B6" w:rsidRDefault="00E12BEF"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 xml:space="preserve">care oferă, pe propriile riscuri, asigurări obligatorii pentru accidente de muncă în baza dreptului de stabilire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a </w:t>
      </w:r>
      <w:proofErr w:type="spellStart"/>
      <w:r w:rsidR="00F95829" w:rsidRPr="000508B6">
        <w:rPr>
          <w:rFonts w:ascii="Times New Roman" w:eastAsia="Times New Roman" w:hAnsi="Times New Roman" w:cs="Times New Roman"/>
          <w:lang w:val="ro-MD"/>
        </w:rPr>
        <w:t>libertăţii</w:t>
      </w:r>
      <w:proofErr w:type="spellEnd"/>
      <w:r w:rsidR="00F95829" w:rsidRPr="000508B6">
        <w:rPr>
          <w:rFonts w:ascii="Times New Roman" w:eastAsia="Times New Roman" w:hAnsi="Times New Roman" w:cs="Times New Roman"/>
          <w:lang w:val="ro-MD"/>
        </w:rPr>
        <w:t xml:space="preserve"> de a presta servicii respectă </w:t>
      </w:r>
      <w:proofErr w:type="spellStart"/>
      <w:r w:rsidR="00F95829" w:rsidRPr="000508B6">
        <w:rPr>
          <w:rFonts w:ascii="Times New Roman" w:eastAsia="Times New Roman" w:hAnsi="Times New Roman" w:cs="Times New Roman"/>
          <w:lang w:val="ro-MD"/>
        </w:rPr>
        <w:t>dispoziţiile</w:t>
      </w:r>
      <w:proofErr w:type="spellEnd"/>
      <w:r w:rsidR="00F95829" w:rsidRPr="000508B6">
        <w:rPr>
          <w:rFonts w:ascii="Times New Roman" w:eastAsia="Times New Roman" w:hAnsi="Times New Roman" w:cs="Times New Roman"/>
          <w:lang w:val="ro-MD"/>
        </w:rPr>
        <w:t xml:space="preserve"> speciale prevăzute în </w:t>
      </w:r>
      <w:proofErr w:type="spellStart"/>
      <w:r w:rsidR="00F95829" w:rsidRPr="000508B6">
        <w:rPr>
          <w:rFonts w:ascii="Times New Roman" w:eastAsia="Times New Roman" w:hAnsi="Times New Roman" w:cs="Times New Roman"/>
          <w:lang w:val="ro-MD"/>
        </w:rPr>
        <w:t>legislaţia</w:t>
      </w:r>
      <w:proofErr w:type="spellEnd"/>
      <w:r w:rsidR="00F95829" w:rsidRPr="000508B6">
        <w:rPr>
          <w:rFonts w:ascii="Times New Roman" w:eastAsia="Times New Roman" w:hAnsi="Times New Roman" w:cs="Times New Roman"/>
          <w:lang w:val="ro-MD"/>
        </w:rPr>
        <w:t xml:space="preserve"> </w:t>
      </w:r>
      <w:r w:rsidR="00DF6C1C" w:rsidRPr="000508B6">
        <w:rPr>
          <w:rFonts w:ascii="Times New Roman" w:eastAsia="Times New Roman" w:hAnsi="Times New Roman" w:cs="Times New Roman"/>
          <w:lang w:val="ro-MD"/>
        </w:rPr>
        <w:t>Republicii Moldova</w:t>
      </w:r>
      <w:r w:rsidR="00F95829" w:rsidRPr="000508B6">
        <w:rPr>
          <w:rFonts w:ascii="Times New Roman" w:eastAsia="Times New Roman" w:hAnsi="Times New Roman" w:cs="Times New Roman"/>
          <w:lang w:val="ro-MD"/>
        </w:rPr>
        <w:t xml:space="preserve"> pentru acest tip de asigurare</w:t>
      </w:r>
      <w:r w:rsidR="00592A04" w:rsidRPr="000508B6">
        <w:rPr>
          <w:rFonts w:ascii="Times New Roman" w:eastAsia="Times New Roman" w:hAnsi="Times New Roman" w:cs="Times New Roman"/>
          <w:lang w:val="ro-MD"/>
        </w:rPr>
        <w:t>,</w:t>
      </w:r>
      <w:r w:rsidR="00592A04" w:rsidRPr="000508B6">
        <w:rPr>
          <w:rFonts w:ascii="Times New Roman" w:hAnsi="Times New Roman" w:cs="Times New Roman"/>
          <w:lang w:val="ro-MD"/>
        </w:rPr>
        <w:t xml:space="preserve"> </w:t>
      </w:r>
      <w:r w:rsidR="00592A04" w:rsidRPr="000508B6">
        <w:rPr>
          <w:rFonts w:ascii="Times New Roman" w:eastAsia="Times New Roman" w:hAnsi="Times New Roman" w:cs="Times New Roman"/>
          <w:lang w:val="ro-MD"/>
        </w:rPr>
        <w:t xml:space="preserve">cu excepția dispozițiilor privind supravegherea financiară, care </w:t>
      </w:r>
      <w:r w:rsidR="00F93C47" w:rsidRPr="000508B6">
        <w:rPr>
          <w:rFonts w:ascii="Times New Roman" w:eastAsia="Times New Roman" w:hAnsi="Times New Roman" w:cs="Times New Roman"/>
          <w:lang w:val="ro-MD"/>
        </w:rPr>
        <w:t>țin</w:t>
      </w:r>
      <w:r w:rsidR="00592A04" w:rsidRPr="000508B6">
        <w:rPr>
          <w:rFonts w:ascii="Times New Roman" w:eastAsia="Times New Roman" w:hAnsi="Times New Roman" w:cs="Times New Roman"/>
          <w:lang w:val="ro-MD"/>
        </w:rPr>
        <w:t xml:space="preserve"> </w:t>
      </w:r>
      <w:r w:rsidR="00F93C47" w:rsidRPr="000508B6">
        <w:rPr>
          <w:rFonts w:ascii="Times New Roman" w:eastAsia="Times New Roman" w:hAnsi="Times New Roman" w:cs="Times New Roman"/>
          <w:lang w:val="ro-MD"/>
        </w:rPr>
        <w:t xml:space="preserve">de competența </w:t>
      </w:r>
      <w:r w:rsidR="001F6E12" w:rsidRPr="000508B6">
        <w:rPr>
          <w:rFonts w:ascii="Times New Roman" w:eastAsia="Times New Roman" w:hAnsi="Times New Roman" w:cs="Times New Roman"/>
          <w:lang w:val="ro-MD"/>
        </w:rPr>
        <w:t xml:space="preserve">exclusivă a </w:t>
      </w:r>
      <w:r w:rsidR="00DF6C1C" w:rsidRPr="000508B6">
        <w:rPr>
          <w:rFonts w:ascii="Times New Roman" w:eastAsia="Times New Roman" w:hAnsi="Times New Roman" w:cs="Times New Roman"/>
          <w:lang w:val="ro-MD"/>
        </w:rPr>
        <w:t>statului membru de origine</w:t>
      </w:r>
      <w:r w:rsidR="00592A04" w:rsidRPr="000508B6">
        <w:rPr>
          <w:rFonts w:ascii="Times New Roman" w:eastAsia="Times New Roman" w:hAnsi="Times New Roman" w:cs="Times New Roman"/>
          <w:lang w:val="ro-MD"/>
        </w:rPr>
        <w:t>.</w:t>
      </w:r>
    </w:p>
    <w:p w14:paraId="2EE5DE41" w14:textId="77777777" w:rsidR="00FE7E83" w:rsidRPr="000508B6" w:rsidRDefault="00FE7E83" w:rsidP="008B530F">
      <w:pPr>
        <w:tabs>
          <w:tab w:val="left" w:pos="993"/>
        </w:tabs>
        <w:spacing w:after="0" w:line="240" w:lineRule="auto"/>
        <w:ind w:firstLine="426"/>
        <w:jc w:val="both"/>
        <w:rPr>
          <w:rFonts w:ascii="Times New Roman" w:eastAsia="Times New Roman" w:hAnsi="Times New Roman" w:cs="Times New Roman"/>
          <w:b/>
          <w:lang w:val="ro-MD"/>
        </w:rPr>
      </w:pPr>
    </w:p>
    <w:p w14:paraId="11F76DB0" w14:textId="2DCAF74E" w:rsidR="00F95829" w:rsidRPr="000508B6" w:rsidRDefault="00F95829" w:rsidP="007466E9">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113</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654BDF" w:rsidRPr="000508B6">
        <w:rPr>
          <w:rFonts w:ascii="Times New Roman" w:eastAsia="Times New Roman" w:hAnsi="Times New Roman" w:cs="Times New Roman"/>
          <w:lang w:val="ro-MD"/>
        </w:rPr>
        <w:t>Asigur</w:t>
      </w:r>
      <w:r w:rsidR="005A6396" w:rsidRPr="000508B6">
        <w:rPr>
          <w:rFonts w:ascii="Times New Roman" w:eastAsia="Times New Roman" w:hAnsi="Times New Roman" w:cs="Times New Roman"/>
          <w:lang w:val="ro-MD"/>
        </w:rPr>
        <w:t>ări</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00B812F2" w:rsidRPr="000508B6">
        <w:rPr>
          <w:rFonts w:ascii="Times New Roman" w:eastAsia="Times New Roman" w:hAnsi="Times New Roman" w:cs="Times New Roman"/>
          <w:lang w:val="ro-MD"/>
        </w:rPr>
        <w:t xml:space="preserve"> </w:t>
      </w:r>
    </w:p>
    <w:p w14:paraId="5C37A358" w14:textId="37727696" w:rsidR="00F95829" w:rsidRPr="000508B6" w:rsidRDefault="00E12BEF" w:rsidP="007466E9">
      <w:pPr>
        <w:pStyle w:val="Listparagraf"/>
        <w:tabs>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w:t>
      </w:r>
      <w:r w:rsidR="00F95829" w:rsidRPr="000508B6">
        <w:rPr>
          <w:rFonts w:ascii="Times New Roman" w:eastAsia="Times New Roman" w:hAnsi="Times New Roman" w:cs="Times New Roman"/>
          <w:lang w:val="ro-MD"/>
        </w:rPr>
        <w:t>stabile</w:t>
      </w:r>
      <w:r w:rsidR="00CD55A6" w:rsidRPr="000508B6">
        <w:rPr>
          <w:rFonts w:ascii="Times New Roman" w:eastAsia="Times New Roman" w:hAnsi="Times New Roman" w:cs="Times New Roman"/>
          <w:lang w:val="ro-MD"/>
        </w:rPr>
        <w:t>ște</w:t>
      </w:r>
      <w:r w:rsidR="00F95829" w:rsidRPr="000508B6">
        <w:rPr>
          <w:rFonts w:ascii="Times New Roman" w:eastAsia="Times New Roman" w:hAnsi="Times New Roman" w:cs="Times New Roman"/>
          <w:lang w:val="ro-MD"/>
        </w:rPr>
        <w:t xml:space="preserve"> nivelul primelor pentru produsele noi pe baza unor ipoteze actuariale rezonabile, astfel încât aceste prime să fie suficiente pentru acoperirea </w:t>
      </w:r>
      <w:r w:rsidR="007843F2" w:rsidRPr="000508B6">
        <w:rPr>
          <w:rFonts w:ascii="Times New Roman" w:eastAsia="Times New Roman" w:hAnsi="Times New Roman" w:cs="Times New Roman"/>
          <w:lang w:val="ro-MD"/>
        </w:rPr>
        <w:t xml:space="preserve">angajamentelor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în special, pentru constituirea rezervelor tehnice</w:t>
      </w:r>
      <w:r w:rsidR="007843F2" w:rsidRPr="000508B6">
        <w:rPr>
          <w:rFonts w:ascii="Times New Roman" w:eastAsia="Times New Roman" w:hAnsi="Times New Roman" w:cs="Times New Roman"/>
          <w:lang w:val="ro-MD"/>
        </w:rPr>
        <w:t xml:space="preserve"> adecvate</w:t>
      </w:r>
      <w:r w:rsidR="00822266"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822266" w:rsidRPr="000508B6">
        <w:rPr>
          <w:rFonts w:ascii="Times New Roman" w:eastAsia="Times New Roman" w:hAnsi="Times New Roman" w:cs="Times New Roman"/>
          <w:lang w:val="ro-MD"/>
        </w:rPr>
        <w:t>Î</w:t>
      </w:r>
      <w:r w:rsidR="00F95829" w:rsidRPr="000508B6">
        <w:rPr>
          <w:rFonts w:ascii="Times New Roman" w:eastAsia="Times New Roman" w:hAnsi="Times New Roman" w:cs="Times New Roman"/>
          <w:lang w:val="ro-MD"/>
        </w:rPr>
        <w:t xml:space="preserve">n acest scop, </w:t>
      </w:r>
      <w:r w:rsidR="00D74D75" w:rsidRPr="000508B6">
        <w:rPr>
          <w:rFonts w:ascii="Times New Roman" w:eastAsia="Times New Roman" w:hAnsi="Times New Roman" w:cs="Times New Roman"/>
          <w:lang w:val="ro-MD"/>
        </w:rPr>
        <w:t xml:space="preserve">asigurătorul </w:t>
      </w:r>
      <w:proofErr w:type="spellStart"/>
      <w:r w:rsidR="00F95829" w:rsidRPr="000508B6">
        <w:rPr>
          <w:rFonts w:ascii="Times New Roman" w:eastAsia="Times New Roman" w:hAnsi="Times New Roman" w:cs="Times New Roman"/>
          <w:lang w:val="ro-MD"/>
        </w:rPr>
        <w:t>ţin</w:t>
      </w:r>
      <w:r w:rsidR="00172F24" w:rsidRPr="000508B6">
        <w:rPr>
          <w:rFonts w:ascii="Times New Roman" w:eastAsia="Times New Roman" w:hAnsi="Times New Roman" w:cs="Times New Roman"/>
          <w:lang w:val="ro-MD"/>
        </w:rPr>
        <w:t>e</w:t>
      </w:r>
      <w:proofErr w:type="spellEnd"/>
      <w:r w:rsidR="00F95829" w:rsidRPr="000508B6">
        <w:rPr>
          <w:rFonts w:ascii="Times New Roman" w:eastAsia="Times New Roman" w:hAnsi="Times New Roman" w:cs="Times New Roman"/>
          <w:lang w:val="ro-MD"/>
        </w:rPr>
        <w:t xml:space="preserve"> cont de toate aspectele </w:t>
      </w:r>
      <w:r w:rsidR="007843F2" w:rsidRPr="000508B6">
        <w:rPr>
          <w:rFonts w:ascii="Times New Roman" w:eastAsia="Times New Roman" w:hAnsi="Times New Roman" w:cs="Times New Roman"/>
          <w:lang w:val="ro-MD"/>
        </w:rPr>
        <w:t>situați</w:t>
      </w:r>
      <w:r w:rsidR="000B7BD3" w:rsidRPr="000508B6">
        <w:rPr>
          <w:rFonts w:ascii="Times New Roman" w:eastAsia="Times New Roman" w:hAnsi="Times New Roman" w:cs="Times New Roman"/>
          <w:lang w:val="ro-MD"/>
        </w:rPr>
        <w:t>ei</w:t>
      </w:r>
      <w:r w:rsidR="00826A68" w:rsidRPr="000508B6">
        <w:rPr>
          <w:rFonts w:ascii="Times New Roman" w:eastAsia="Times New Roman" w:hAnsi="Times New Roman" w:cs="Times New Roman"/>
          <w:lang w:val="ro-MD"/>
        </w:rPr>
        <w:t xml:space="preserve"> </w:t>
      </w:r>
      <w:r w:rsidR="00F95829" w:rsidRPr="000508B6">
        <w:rPr>
          <w:rFonts w:ascii="Times New Roman" w:eastAsia="Times New Roman" w:hAnsi="Times New Roman" w:cs="Times New Roman"/>
          <w:lang w:val="ro-MD"/>
        </w:rPr>
        <w:t>financiare, fără ca aportul din resurse</w:t>
      </w:r>
      <w:r w:rsidR="005D1E3C"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w:t>
      </w:r>
      <w:r w:rsidR="000B7BD3" w:rsidRPr="000508B6">
        <w:rPr>
          <w:rFonts w:ascii="Times New Roman" w:eastAsia="Times New Roman" w:hAnsi="Times New Roman" w:cs="Times New Roman"/>
          <w:lang w:val="ro-MD"/>
        </w:rPr>
        <w:t xml:space="preserve">altele </w:t>
      </w:r>
      <w:r w:rsidR="00F95829" w:rsidRPr="000508B6">
        <w:rPr>
          <w:rFonts w:ascii="Times New Roman" w:eastAsia="Times New Roman" w:hAnsi="Times New Roman" w:cs="Times New Roman"/>
          <w:lang w:val="ro-MD"/>
        </w:rPr>
        <w:t xml:space="preserve">decât primele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veniturile rezultate din acestea</w:t>
      </w:r>
      <w:r w:rsidR="005D1E3C" w:rsidRPr="000508B6">
        <w:rPr>
          <w:rFonts w:ascii="Times New Roman" w:eastAsia="Times New Roman" w:hAnsi="Times New Roman" w:cs="Times New Roman"/>
          <w:lang w:val="ro-MD"/>
        </w:rPr>
        <w:t>,</w:t>
      </w:r>
      <w:r w:rsidR="00F95829" w:rsidRPr="000508B6">
        <w:rPr>
          <w:rFonts w:ascii="Times New Roman" w:eastAsia="Times New Roman" w:hAnsi="Times New Roman" w:cs="Times New Roman"/>
          <w:lang w:val="ro-MD"/>
        </w:rPr>
        <w:t xml:space="preserve"> să fie, sistematic </w:t>
      </w:r>
      <w:proofErr w:type="spellStart"/>
      <w:r w:rsidR="00F95829" w:rsidRPr="000508B6">
        <w:rPr>
          <w:rFonts w:ascii="Times New Roman" w:eastAsia="Times New Roman" w:hAnsi="Times New Roman" w:cs="Times New Roman"/>
          <w:lang w:val="ro-MD"/>
        </w:rPr>
        <w:t>şi</w:t>
      </w:r>
      <w:proofErr w:type="spellEnd"/>
      <w:r w:rsidR="00F95829" w:rsidRPr="000508B6">
        <w:rPr>
          <w:rFonts w:ascii="Times New Roman" w:eastAsia="Times New Roman" w:hAnsi="Times New Roman" w:cs="Times New Roman"/>
          <w:lang w:val="ro-MD"/>
        </w:rPr>
        <w:t xml:space="preserve"> permanent, de asemenea natură încât să le afecteze solvabilitatea pe termen lung. </w:t>
      </w:r>
    </w:p>
    <w:p w14:paraId="501DAFE1" w14:textId="77777777" w:rsidR="00BF415D" w:rsidRPr="000508B6" w:rsidRDefault="00BF415D" w:rsidP="008B530F">
      <w:pPr>
        <w:tabs>
          <w:tab w:val="left" w:pos="993"/>
        </w:tabs>
        <w:spacing w:after="0" w:line="240" w:lineRule="auto"/>
        <w:ind w:firstLine="426"/>
        <w:jc w:val="center"/>
        <w:rPr>
          <w:rFonts w:ascii="Times New Roman" w:eastAsia="Times New Roman" w:hAnsi="Times New Roman" w:cs="Times New Roman"/>
          <w:b/>
          <w:lang w:val="ro-MD"/>
        </w:rPr>
      </w:pPr>
    </w:p>
    <w:p w14:paraId="26428123" w14:textId="218613E2" w:rsidR="00F95829" w:rsidRPr="000508B6" w:rsidRDefault="00F95829" w:rsidP="008B530F">
      <w:pPr>
        <w:tabs>
          <w:tab w:val="left" w:pos="993"/>
        </w:tabs>
        <w:spacing w:after="0" w:line="240" w:lineRule="auto"/>
        <w:ind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b/>
          <w:color w:val="000000" w:themeColor="text1"/>
          <w:lang w:val="ro-MD"/>
        </w:rPr>
        <w:t xml:space="preserve">Articolul </w:t>
      </w:r>
      <w:r w:rsidR="00C8492A" w:rsidRPr="000508B6">
        <w:rPr>
          <w:rFonts w:ascii="Times New Roman" w:eastAsia="Times New Roman" w:hAnsi="Times New Roman" w:cs="Times New Roman"/>
          <w:b/>
          <w:color w:val="000000" w:themeColor="text1"/>
          <w:lang w:val="ro-MD"/>
        </w:rPr>
        <w:t>114</w:t>
      </w:r>
      <w:r w:rsidRPr="000508B6">
        <w:rPr>
          <w:rFonts w:ascii="Times New Roman" w:eastAsia="Times New Roman" w:hAnsi="Times New Roman" w:cs="Times New Roman"/>
          <w:b/>
          <w:color w:val="000000" w:themeColor="text1"/>
          <w:lang w:val="ro-MD"/>
        </w:rPr>
        <w:t>.</w:t>
      </w:r>
      <w:r w:rsidRPr="000508B6">
        <w:rPr>
          <w:rFonts w:ascii="Times New Roman" w:eastAsia="Times New Roman" w:hAnsi="Times New Roman" w:cs="Times New Roman"/>
          <w:color w:val="000000" w:themeColor="text1"/>
          <w:lang w:val="ro-MD"/>
        </w:rPr>
        <w:t xml:space="preserve"> Activitatea de reasigurare</w:t>
      </w:r>
    </w:p>
    <w:p w14:paraId="6060EBA9" w14:textId="2AACBDFD" w:rsidR="00F95829" w:rsidRPr="000508B6" w:rsidRDefault="00F95829" w:rsidP="00AD65D7">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În </w:t>
      </w:r>
      <w:proofErr w:type="spellStart"/>
      <w:r w:rsidRPr="000508B6">
        <w:rPr>
          <w:rFonts w:ascii="Times New Roman" w:eastAsia="Times New Roman" w:hAnsi="Times New Roman" w:cs="Times New Roman"/>
          <w:color w:val="000000" w:themeColor="text1"/>
          <w:lang w:val="ro-MD"/>
        </w:rPr>
        <w:t>operaţiunile</w:t>
      </w:r>
      <w:proofErr w:type="spellEnd"/>
      <w:r w:rsidRPr="000508B6">
        <w:rPr>
          <w:rFonts w:ascii="Times New Roman" w:eastAsia="Times New Roman" w:hAnsi="Times New Roman" w:cs="Times New Roman"/>
          <w:color w:val="000000" w:themeColor="text1"/>
          <w:lang w:val="ro-MD"/>
        </w:rPr>
        <w:t xml:space="preserve"> de reasigurare, raporturile dintre </w:t>
      </w:r>
      <w:r w:rsidR="00E12BEF"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color w:val="000000" w:themeColor="text1"/>
          <w:lang w:val="ro-MD"/>
        </w:rPr>
        <w:t>ceden</w:t>
      </w:r>
      <w:r w:rsidR="00F96E7F" w:rsidRPr="000508B6">
        <w:rPr>
          <w:rFonts w:ascii="Times New Roman" w:eastAsia="Times New Roman" w:hAnsi="Times New Roman" w:cs="Times New Roman"/>
          <w:color w:val="000000" w:themeColor="text1"/>
          <w:lang w:val="ro-MD"/>
        </w:rPr>
        <w:t>t</w:t>
      </w:r>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w:t>
      </w:r>
      <w:r w:rsidR="0011184F" w:rsidRPr="000508B6">
        <w:rPr>
          <w:rFonts w:ascii="Times New Roman" w:eastAsia="Times New Roman" w:hAnsi="Times New Roman" w:cs="Times New Roman"/>
          <w:color w:val="000000" w:themeColor="text1"/>
          <w:lang w:val="ro-MD"/>
        </w:rPr>
        <w:t>asigurător</w:t>
      </w:r>
      <w:r w:rsidR="0011184F" w:rsidRPr="000508B6" w:rsidDel="00AD65D7">
        <w:rPr>
          <w:rFonts w:ascii="Times New Roman" w:eastAsia="Times New Roman" w:hAnsi="Times New Roman" w:cs="Times New Roman"/>
          <w:color w:val="000000" w:themeColor="text1"/>
          <w:lang w:val="ro-MD"/>
        </w:rPr>
        <w:t>ul</w:t>
      </w:r>
      <w:r w:rsidR="0011184F" w:rsidRPr="000508B6">
        <w:rPr>
          <w:rFonts w:ascii="Times New Roman" w:eastAsia="Times New Roman" w:hAnsi="Times New Roman" w:cs="Times New Roman"/>
          <w:color w:val="000000" w:themeColor="text1"/>
          <w:lang w:val="ro-MD"/>
        </w:rPr>
        <w:t xml:space="preserve">, </w:t>
      </w:r>
      <w:proofErr w:type="spellStart"/>
      <w:r w:rsidR="00E12BEF" w:rsidRPr="000508B6">
        <w:rPr>
          <w:rFonts w:ascii="Times New Roman" w:eastAsia="Times New Roman" w:hAnsi="Times New Roman" w:cs="Times New Roman"/>
          <w:color w:val="000000" w:themeColor="text1"/>
          <w:lang w:val="ro-MD"/>
        </w:rPr>
        <w:t>reasigurător</w:t>
      </w:r>
      <w:r w:rsidR="00E12BEF" w:rsidRPr="000508B6" w:rsidDel="00AD65D7">
        <w:rPr>
          <w:rFonts w:ascii="Times New Roman" w:eastAsia="Times New Roman" w:hAnsi="Times New Roman" w:cs="Times New Roman"/>
          <w:color w:val="000000" w:themeColor="text1"/>
          <w:lang w:val="ro-MD"/>
        </w:rPr>
        <w:t>ul</w:t>
      </w:r>
      <w:proofErr w:type="spellEnd"/>
      <w:r w:rsidR="00CD55A6" w:rsidRPr="000508B6" w:rsidDel="00AD65D7">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 xml:space="preserve">sau vehiculul investițional cesionar, drepturile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obligaţiile</w:t>
      </w:r>
      <w:proofErr w:type="spellEnd"/>
      <w:r w:rsidRPr="000508B6">
        <w:rPr>
          <w:rFonts w:ascii="Times New Roman" w:eastAsia="Times New Roman" w:hAnsi="Times New Roman" w:cs="Times New Roman"/>
          <w:color w:val="000000" w:themeColor="text1"/>
          <w:lang w:val="ro-MD"/>
        </w:rPr>
        <w:t xml:space="preserve"> fiecărei </w:t>
      </w:r>
      <w:proofErr w:type="spellStart"/>
      <w:r w:rsidRPr="000508B6">
        <w:rPr>
          <w:rFonts w:ascii="Times New Roman" w:eastAsia="Times New Roman" w:hAnsi="Times New Roman" w:cs="Times New Roman"/>
          <w:color w:val="000000" w:themeColor="text1"/>
          <w:lang w:val="ro-MD"/>
        </w:rPr>
        <w:t>părţi</w:t>
      </w:r>
      <w:proofErr w:type="spellEnd"/>
      <w:r w:rsidRPr="000508B6">
        <w:rPr>
          <w:rFonts w:ascii="Times New Roman" w:eastAsia="Times New Roman" w:hAnsi="Times New Roman" w:cs="Times New Roman"/>
          <w:color w:val="000000" w:themeColor="text1"/>
          <w:lang w:val="ro-MD"/>
        </w:rPr>
        <w:t xml:space="preserve"> se stabilesc prin contractul de reasigurare</w:t>
      </w:r>
      <w:r w:rsidR="00D74D75" w:rsidRPr="000508B6">
        <w:rPr>
          <w:rFonts w:ascii="Times New Roman" w:eastAsia="Times New Roman" w:hAnsi="Times New Roman" w:cs="Times New Roman"/>
          <w:color w:val="000000" w:themeColor="text1"/>
          <w:lang w:val="ro-MD"/>
        </w:rPr>
        <w:t xml:space="preserve">. Cesionarul </w:t>
      </w:r>
      <w:r w:rsidRPr="000508B6">
        <w:rPr>
          <w:rFonts w:ascii="Times New Roman" w:eastAsia="Times New Roman" w:hAnsi="Times New Roman" w:cs="Times New Roman"/>
          <w:color w:val="000000" w:themeColor="text1"/>
          <w:lang w:val="ro-MD"/>
        </w:rPr>
        <w:t>poate fi rezident al Republicii Moldova ori autorizat într-un alt stat astfel cum este prevăzut la alin. (</w:t>
      </w:r>
      <w:r w:rsidR="00DF17C2" w:rsidRPr="000508B6">
        <w:rPr>
          <w:rFonts w:ascii="Times New Roman" w:eastAsia="Times New Roman" w:hAnsi="Times New Roman" w:cs="Times New Roman"/>
          <w:color w:val="000000" w:themeColor="text1"/>
          <w:lang w:val="ro-MD"/>
        </w:rPr>
        <w:t>7</w:t>
      </w:r>
      <w:r w:rsidRPr="000508B6">
        <w:rPr>
          <w:rFonts w:ascii="Times New Roman" w:eastAsia="Times New Roman" w:hAnsi="Times New Roman" w:cs="Times New Roman"/>
          <w:color w:val="000000" w:themeColor="text1"/>
          <w:lang w:val="ro-MD"/>
        </w:rPr>
        <w:t>) și (</w:t>
      </w:r>
      <w:r w:rsidR="00DF17C2" w:rsidRPr="000508B6">
        <w:rPr>
          <w:rFonts w:ascii="Times New Roman" w:eastAsia="Times New Roman" w:hAnsi="Times New Roman" w:cs="Times New Roman"/>
          <w:color w:val="000000" w:themeColor="text1"/>
          <w:lang w:val="ro-MD"/>
        </w:rPr>
        <w:t>8</w:t>
      </w:r>
      <w:r w:rsidRPr="000508B6">
        <w:rPr>
          <w:rFonts w:ascii="Times New Roman" w:eastAsia="Times New Roman" w:hAnsi="Times New Roman" w:cs="Times New Roman"/>
          <w:color w:val="000000" w:themeColor="text1"/>
          <w:lang w:val="ro-MD"/>
        </w:rPr>
        <w:t>)</w:t>
      </w:r>
      <w:r w:rsidR="003429FB" w:rsidRPr="000508B6">
        <w:rPr>
          <w:rFonts w:ascii="Times New Roman" w:eastAsia="Times New Roman" w:hAnsi="Times New Roman" w:cs="Times New Roman"/>
          <w:color w:val="000000" w:themeColor="text1"/>
          <w:lang w:val="ro-MD"/>
        </w:rPr>
        <w:t xml:space="preserve">. </w:t>
      </w:r>
    </w:p>
    <w:p w14:paraId="013DAB55" w14:textId="12009010" w:rsidR="00F95829" w:rsidRPr="000508B6" w:rsidRDefault="00F95829"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Reasigurarea </w:t>
      </w:r>
      <w:r w:rsidR="00DF41FD" w:rsidRPr="000508B6">
        <w:rPr>
          <w:rFonts w:ascii="Times New Roman" w:eastAsia="Times New Roman" w:hAnsi="Times New Roman" w:cs="Times New Roman"/>
          <w:color w:val="000000" w:themeColor="text1"/>
          <w:lang w:val="ro-MD"/>
        </w:rPr>
        <w:t>poate fi</w:t>
      </w:r>
      <w:r w:rsidRPr="000508B6">
        <w:rPr>
          <w:rFonts w:ascii="Times New Roman" w:eastAsia="Times New Roman" w:hAnsi="Times New Roman" w:cs="Times New Roman"/>
          <w:color w:val="000000" w:themeColor="text1"/>
          <w:lang w:val="ro-MD"/>
        </w:rPr>
        <w:t xml:space="preserve"> reasigurare </w:t>
      </w:r>
      <w:proofErr w:type="spellStart"/>
      <w:r w:rsidRPr="000508B6">
        <w:rPr>
          <w:rFonts w:ascii="Times New Roman" w:eastAsia="Times New Roman" w:hAnsi="Times New Roman" w:cs="Times New Roman"/>
          <w:color w:val="000000" w:themeColor="text1"/>
          <w:lang w:val="ro-MD"/>
        </w:rPr>
        <w:t>proporţională</w:t>
      </w:r>
      <w:proofErr w:type="spellEnd"/>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reasigurare </w:t>
      </w:r>
      <w:proofErr w:type="spellStart"/>
      <w:r w:rsidRPr="000508B6">
        <w:rPr>
          <w:rFonts w:ascii="Times New Roman" w:eastAsia="Times New Roman" w:hAnsi="Times New Roman" w:cs="Times New Roman"/>
          <w:color w:val="000000" w:themeColor="text1"/>
          <w:lang w:val="ro-MD"/>
        </w:rPr>
        <w:t>neproporţională</w:t>
      </w:r>
      <w:proofErr w:type="spellEnd"/>
      <w:r w:rsidR="009F4F06" w:rsidRPr="000508B6">
        <w:rPr>
          <w:rFonts w:ascii="Times New Roman" w:eastAsia="Times New Roman" w:hAnsi="Times New Roman" w:cs="Times New Roman"/>
          <w:color w:val="000000" w:themeColor="text1"/>
          <w:lang w:val="ro-MD"/>
        </w:rPr>
        <w:t xml:space="preserve">. Cesionarii </w:t>
      </w:r>
      <w:r w:rsidRPr="000508B6">
        <w:rPr>
          <w:rFonts w:ascii="Times New Roman" w:eastAsia="Times New Roman" w:hAnsi="Times New Roman" w:cs="Times New Roman"/>
          <w:color w:val="000000" w:themeColor="text1"/>
          <w:lang w:val="ro-MD"/>
        </w:rPr>
        <w:t>menționați la alin. (</w:t>
      </w:r>
      <w:r w:rsidR="00DF17C2" w:rsidRPr="000508B6">
        <w:rPr>
          <w:rFonts w:ascii="Times New Roman" w:eastAsia="Times New Roman" w:hAnsi="Times New Roman" w:cs="Times New Roman"/>
          <w:color w:val="000000" w:themeColor="text1"/>
          <w:lang w:val="ro-MD"/>
        </w:rPr>
        <w:t>1</w:t>
      </w:r>
      <w:r w:rsidRPr="000508B6">
        <w:rPr>
          <w:rFonts w:ascii="Times New Roman" w:eastAsia="Times New Roman" w:hAnsi="Times New Roman" w:cs="Times New Roman"/>
          <w:color w:val="000000" w:themeColor="text1"/>
          <w:lang w:val="ro-MD"/>
        </w:rPr>
        <w:t xml:space="preserve">) pot </w:t>
      </w:r>
      <w:proofErr w:type="spellStart"/>
      <w:r w:rsidRPr="000508B6">
        <w:rPr>
          <w:rFonts w:ascii="Times New Roman" w:eastAsia="Times New Roman" w:hAnsi="Times New Roman" w:cs="Times New Roman"/>
          <w:color w:val="000000" w:themeColor="text1"/>
          <w:lang w:val="ro-MD"/>
        </w:rPr>
        <w:t>desfăşura</w:t>
      </w:r>
      <w:proofErr w:type="spellEnd"/>
      <w:r w:rsidRPr="000508B6">
        <w:rPr>
          <w:rFonts w:ascii="Times New Roman" w:eastAsia="Times New Roman" w:hAnsi="Times New Roman" w:cs="Times New Roman"/>
          <w:color w:val="000000" w:themeColor="text1"/>
          <w:lang w:val="ro-MD"/>
        </w:rPr>
        <w:t xml:space="preserve"> atât activitate de reasigurare </w:t>
      </w:r>
      <w:proofErr w:type="spellStart"/>
      <w:r w:rsidRPr="000508B6">
        <w:rPr>
          <w:rFonts w:ascii="Times New Roman" w:eastAsia="Times New Roman" w:hAnsi="Times New Roman" w:cs="Times New Roman"/>
          <w:color w:val="000000" w:themeColor="text1"/>
          <w:lang w:val="ro-MD"/>
        </w:rPr>
        <w:t>proporţională</w:t>
      </w:r>
      <w:proofErr w:type="spellEnd"/>
      <w:r w:rsidRPr="000508B6">
        <w:rPr>
          <w:rFonts w:ascii="Times New Roman" w:eastAsia="Times New Roman" w:hAnsi="Times New Roman" w:cs="Times New Roman"/>
          <w:color w:val="000000" w:themeColor="text1"/>
          <w:lang w:val="ro-MD"/>
        </w:rPr>
        <w:t xml:space="preserve">, cât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activitate de reasigurare </w:t>
      </w:r>
      <w:proofErr w:type="spellStart"/>
      <w:r w:rsidRPr="000508B6">
        <w:rPr>
          <w:rFonts w:ascii="Times New Roman" w:eastAsia="Times New Roman" w:hAnsi="Times New Roman" w:cs="Times New Roman"/>
          <w:color w:val="000000" w:themeColor="text1"/>
          <w:lang w:val="ro-MD"/>
        </w:rPr>
        <w:t>neproporţională</w:t>
      </w:r>
      <w:proofErr w:type="spellEnd"/>
      <w:r w:rsidRPr="000508B6">
        <w:rPr>
          <w:rFonts w:ascii="Times New Roman" w:eastAsia="Times New Roman" w:hAnsi="Times New Roman" w:cs="Times New Roman"/>
          <w:color w:val="000000" w:themeColor="text1"/>
          <w:lang w:val="ro-MD"/>
        </w:rPr>
        <w:t xml:space="preserve">, conform </w:t>
      </w:r>
      <w:r w:rsidR="00796015" w:rsidRPr="000508B6">
        <w:rPr>
          <w:rFonts w:ascii="Times New Roman" w:eastAsia="Times New Roman" w:hAnsi="Times New Roman" w:cs="Times New Roman"/>
          <w:color w:val="000000" w:themeColor="text1"/>
          <w:lang w:val="ro-MD"/>
        </w:rPr>
        <w:t xml:space="preserve">activităților de </w:t>
      </w:r>
      <w:r w:rsidR="00654BDF" w:rsidRPr="000508B6">
        <w:rPr>
          <w:rFonts w:ascii="Times New Roman" w:eastAsia="Times New Roman" w:hAnsi="Times New Roman" w:cs="Times New Roman"/>
          <w:color w:val="000000" w:themeColor="text1"/>
          <w:lang w:val="ro-MD"/>
        </w:rPr>
        <w:t>asigurare</w:t>
      </w:r>
      <w:r w:rsidRPr="000508B6">
        <w:rPr>
          <w:rFonts w:ascii="Times New Roman" w:eastAsia="Times New Roman" w:hAnsi="Times New Roman" w:cs="Times New Roman"/>
          <w:color w:val="000000" w:themeColor="text1"/>
          <w:lang w:val="ro-MD"/>
        </w:rPr>
        <w:t xml:space="preserve"> general</w:t>
      </w:r>
      <w:r w:rsidR="003E6FE5" w:rsidRPr="000508B6">
        <w:rPr>
          <w:rFonts w:ascii="Times New Roman" w:eastAsia="Times New Roman" w:hAnsi="Times New Roman" w:cs="Times New Roman"/>
          <w:color w:val="000000" w:themeColor="text1"/>
          <w:lang w:val="ro-MD"/>
        </w:rPr>
        <w:t>ă</w:t>
      </w:r>
      <w:r w:rsidR="0098266D" w:rsidRPr="000508B6">
        <w:rPr>
          <w:rFonts w:ascii="Times New Roman" w:eastAsia="Times New Roman" w:hAnsi="Times New Roman" w:cs="Times New Roman"/>
          <w:color w:val="000000" w:themeColor="text1"/>
          <w:lang w:val="ro-MD"/>
        </w:rPr>
        <w:t xml:space="preserve"> </w:t>
      </w:r>
      <w:r w:rsidRPr="000508B6">
        <w:rPr>
          <w:rFonts w:ascii="Times New Roman" w:eastAsia="Times New Roman" w:hAnsi="Times New Roman" w:cs="Times New Roman"/>
          <w:color w:val="000000" w:themeColor="text1"/>
          <w:lang w:val="ro-MD"/>
        </w:rPr>
        <w:t xml:space="preserve">sau </w:t>
      </w:r>
      <w:r w:rsidR="00796015" w:rsidRPr="000508B6">
        <w:rPr>
          <w:rFonts w:ascii="Times New Roman" w:eastAsia="Times New Roman" w:hAnsi="Times New Roman" w:cs="Times New Roman"/>
          <w:color w:val="000000" w:themeColor="text1"/>
          <w:lang w:val="ro-MD"/>
        </w:rPr>
        <w:t xml:space="preserve">de </w:t>
      </w:r>
      <w:r w:rsidR="00654BDF" w:rsidRPr="000508B6">
        <w:rPr>
          <w:rFonts w:ascii="Times New Roman" w:eastAsia="Times New Roman" w:hAnsi="Times New Roman" w:cs="Times New Roman"/>
          <w:color w:val="000000" w:themeColor="text1"/>
          <w:lang w:val="ro-MD"/>
        </w:rPr>
        <w:t>asigurare</w:t>
      </w:r>
      <w:r w:rsidRPr="000508B6">
        <w:rPr>
          <w:rFonts w:ascii="Times New Roman" w:eastAsia="Times New Roman" w:hAnsi="Times New Roman" w:cs="Times New Roman"/>
          <w:color w:val="000000" w:themeColor="text1"/>
          <w:lang w:val="ro-MD"/>
        </w:rPr>
        <w:t xml:space="preserve"> de </w:t>
      </w:r>
      <w:proofErr w:type="spellStart"/>
      <w:r w:rsidRPr="000508B6">
        <w:rPr>
          <w:rFonts w:ascii="Times New Roman" w:eastAsia="Times New Roman" w:hAnsi="Times New Roman" w:cs="Times New Roman"/>
          <w:color w:val="000000" w:themeColor="text1"/>
          <w:lang w:val="ro-MD"/>
        </w:rPr>
        <w:t>viaţă</w:t>
      </w:r>
      <w:bookmarkStart w:id="128" w:name="_Hlk181018717"/>
      <w:proofErr w:type="spellEnd"/>
      <w:r w:rsidR="0098266D" w:rsidRPr="000508B6">
        <w:rPr>
          <w:rFonts w:ascii="Times New Roman" w:eastAsia="Times New Roman" w:hAnsi="Times New Roman" w:cs="Times New Roman"/>
          <w:color w:val="000000" w:themeColor="text1"/>
          <w:lang w:val="ro-MD"/>
        </w:rPr>
        <w:t>.</w:t>
      </w:r>
    </w:p>
    <w:bookmarkEnd w:id="128"/>
    <w:p w14:paraId="35E295CD" w14:textId="3AA370C8" w:rsidR="00F95829" w:rsidRPr="000508B6" w:rsidRDefault="00E12BEF"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Asigurătorul</w:t>
      </w:r>
      <w:r w:rsidR="00CD55A6" w:rsidRPr="000508B6">
        <w:rPr>
          <w:rFonts w:ascii="Times New Roman" w:eastAsia="Times New Roman" w:hAnsi="Times New Roman" w:cs="Times New Roman"/>
          <w:color w:val="000000" w:themeColor="text1"/>
          <w:lang w:val="ro-MD"/>
        </w:rPr>
        <w:t xml:space="preserve"> </w:t>
      </w:r>
      <w:r w:rsidR="00F95829" w:rsidRPr="000508B6">
        <w:rPr>
          <w:rFonts w:ascii="Times New Roman" w:eastAsia="Times New Roman" w:hAnsi="Times New Roman" w:cs="Times New Roman"/>
          <w:color w:val="000000" w:themeColor="text1"/>
          <w:lang w:val="ro-MD"/>
        </w:rPr>
        <w:t xml:space="preserve">cedent care transmite riscul în reasigurare este responsabil integral </w:t>
      </w:r>
      <w:proofErr w:type="spellStart"/>
      <w:r w:rsidR="00F95829" w:rsidRPr="000508B6">
        <w:rPr>
          <w:rFonts w:ascii="Times New Roman" w:eastAsia="Times New Roman" w:hAnsi="Times New Roman" w:cs="Times New Roman"/>
          <w:color w:val="000000" w:themeColor="text1"/>
          <w:lang w:val="ro-MD"/>
        </w:rPr>
        <w:t>faţă</w:t>
      </w:r>
      <w:proofErr w:type="spellEnd"/>
      <w:r w:rsidR="00F95829" w:rsidRPr="000508B6">
        <w:rPr>
          <w:rFonts w:ascii="Times New Roman" w:eastAsia="Times New Roman" w:hAnsi="Times New Roman" w:cs="Times New Roman"/>
          <w:color w:val="000000" w:themeColor="text1"/>
          <w:lang w:val="ro-MD"/>
        </w:rPr>
        <w:t xml:space="preserve"> de asigurat.</w:t>
      </w:r>
      <w:r w:rsidR="004A27F4" w:rsidRPr="000508B6">
        <w:rPr>
          <w:rFonts w:ascii="Times New Roman" w:eastAsia="Times New Roman" w:hAnsi="Times New Roman" w:cs="Times New Roman"/>
          <w:color w:val="000000" w:themeColor="text1"/>
          <w:lang w:val="ro-MD"/>
        </w:rPr>
        <w:t xml:space="preserve"> </w:t>
      </w:r>
    </w:p>
    <w:p w14:paraId="50999C9C" w14:textId="2B2A80A0" w:rsidR="00F95829" w:rsidRPr="000508B6" w:rsidRDefault="00E12BEF"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Asigurătorul</w:t>
      </w:r>
      <w:r w:rsidR="00F95829" w:rsidRPr="000508B6">
        <w:rPr>
          <w:rFonts w:ascii="Times New Roman" w:eastAsia="Times New Roman" w:hAnsi="Times New Roman" w:cs="Times New Roman"/>
          <w:color w:val="000000" w:themeColor="text1"/>
          <w:lang w:val="ro-MD"/>
        </w:rPr>
        <w:t xml:space="preserve"> este obligat să adopte un program privind </w:t>
      </w:r>
      <w:proofErr w:type="spellStart"/>
      <w:r w:rsidR="00F95829" w:rsidRPr="000508B6">
        <w:rPr>
          <w:rFonts w:ascii="Times New Roman" w:eastAsia="Times New Roman" w:hAnsi="Times New Roman" w:cs="Times New Roman"/>
          <w:color w:val="000000" w:themeColor="text1"/>
          <w:lang w:val="ro-MD"/>
        </w:rPr>
        <w:t>necesităţile</w:t>
      </w:r>
      <w:proofErr w:type="spellEnd"/>
      <w:r w:rsidR="00F95829" w:rsidRPr="000508B6">
        <w:rPr>
          <w:rFonts w:ascii="Times New Roman" w:eastAsia="Times New Roman" w:hAnsi="Times New Roman" w:cs="Times New Roman"/>
          <w:color w:val="000000" w:themeColor="text1"/>
          <w:lang w:val="ro-MD"/>
        </w:rPr>
        <w:t xml:space="preserve"> de reasigurare pentru fiecare an financiar, în conformitate cu </w:t>
      </w:r>
      <w:proofErr w:type="spellStart"/>
      <w:r w:rsidR="00F95829" w:rsidRPr="000508B6">
        <w:rPr>
          <w:rFonts w:ascii="Times New Roman" w:eastAsia="Times New Roman" w:hAnsi="Times New Roman" w:cs="Times New Roman"/>
          <w:color w:val="000000" w:themeColor="text1"/>
          <w:lang w:val="ro-MD"/>
        </w:rPr>
        <w:t>cerinţele</w:t>
      </w:r>
      <w:proofErr w:type="spellEnd"/>
      <w:r w:rsidR="00F95829" w:rsidRPr="000508B6">
        <w:rPr>
          <w:rFonts w:ascii="Times New Roman" w:eastAsia="Times New Roman" w:hAnsi="Times New Roman" w:cs="Times New Roman"/>
          <w:color w:val="000000" w:themeColor="text1"/>
          <w:lang w:val="ro-MD"/>
        </w:rPr>
        <w:t xml:space="preserve"> </w:t>
      </w:r>
      <w:r w:rsidR="00826A68" w:rsidRPr="000508B6">
        <w:rPr>
          <w:rFonts w:ascii="Times New Roman" w:eastAsia="Times New Roman" w:hAnsi="Times New Roman" w:cs="Times New Roman"/>
          <w:color w:val="000000" w:themeColor="text1"/>
          <w:lang w:val="ro-MD"/>
        </w:rPr>
        <w:t xml:space="preserve">față de </w:t>
      </w:r>
      <w:r w:rsidR="00F95829" w:rsidRPr="000508B6">
        <w:rPr>
          <w:rFonts w:ascii="Times New Roman" w:eastAsia="Times New Roman" w:hAnsi="Times New Roman" w:cs="Times New Roman"/>
          <w:color w:val="000000" w:themeColor="text1"/>
          <w:lang w:val="ro-MD"/>
        </w:rPr>
        <w:t xml:space="preserve">programul de reasigurare </w:t>
      </w:r>
      <w:proofErr w:type="spellStart"/>
      <w:r w:rsidR="00F95829" w:rsidRPr="000508B6">
        <w:rPr>
          <w:rFonts w:ascii="Times New Roman" w:eastAsia="Times New Roman" w:hAnsi="Times New Roman" w:cs="Times New Roman"/>
          <w:color w:val="000000" w:themeColor="text1"/>
          <w:lang w:val="ro-MD"/>
        </w:rPr>
        <w:t>şi</w:t>
      </w:r>
      <w:proofErr w:type="spellEnd"/>
      <w:r w:rsidR="00F95829" w:rsidRPr="000508B6">
        <w:rPr>
          <w:rFonts w:ascii="Times New Roman" w:eastAsia="Times New Roman" w:hAnsi="Times New Roman" w:cs="Times New Roman"/>
          <w:color w:val="000000" w:themeColor="text1"/>
          <w:lang w:val="ro-MD"/>
        </w:rPr>
        <w:t xml:space="preserve"> cu regulile de contractare a reasigurărilor stabilite prin actele normative ale Băncii Naționale a Moldovei.</w:t>
      </w:r>
    </w:p>
    <w:p w14:paraId="6CF4DE07" w14:textId="78703A4E" w:rsidR="00F95829" w:rsidRPr="000508B6" w:rsidRDefault="00F95829"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Cedarea de către asigurătorul sau </w:t>
      </w:r>
      <w:proofErr w:type="spellStart"/>
      <w:r w:rsidRPr="000508B6">
        <w:rPr>
          <w:rFonts w:ascii="Times New Roman" w:eastAsia="Times New Roman" w:hAnsi="Times New Roman" w:cs="Times New Roman"/>
          <w:color w:val="000000" w:themeColor="text1"/>
          <w:lang w:val="ro-MD"/>
        </w:rPr>
        <w:t>reasigurătorul</w:t>
      </w:r>
      <w:proofErr w:type="spellEnd"/>
      <w:r w:rsidRPr="000508B6">
        <w:rPr>
          <w:rFonts w:ascii="Times New Roman" w:eastAsia="Times New Roman" w:hAnsi="Times New Roman" w:cs="Times New Roman"/>
          <w:color w:val="000000" w:themeColor="text1"/>
          <w:lang w:val="ro-MD"/>
        </w:rPr>
        <w:t xml:space="preserve"> </w:t>
      </w:r>
      <w:r w:rsidR="00F26418" w:rsidRPr="000508B6">
        <w:rPr>
          <w:rFonts w:ascii="Times New Roman" w:eastAsia="Times New Roman" w:hAnsi="Times New Roman" w:cs="Times New Roman"/>
          <w:color w:val="000000" w:themeColor="text1"/>
          <w:lang w:val="ro-MD"/>
        </w:rPr>
        <w:t>licențiat în</w:t>
      </w:r>
      <w:r w:rsidRPr="000508B6">
        <w:rPr>
          <w:rFonts w:ascii="Times New Roman" w:eastAsia="Times New Roman" w:hAnsi="Times New Roman" w:cs="Times New Roman"/>
          <w:color w:val="000000" w:themeColor="text1"/>
          <w:lang w:val="ro-MD"/>
        </w:rPr>
        <w:t xml:space="preserve"> Republic</w:t>
      </w:r>
      <w:r w:rsidR="00F26418" w:rsidRPr="000508B6">
        <w:rPr>
          <w:rFonts w:ascii="Times New Roman" w:eastAsia="Times New Roman" w:hAnsi="Times New Roman" w:cs="Times New Roman"/>
          <w:color w:val="000000" w:themeColor="text1"/>
          <w:lang w:val="ro-MD"/>
        </w:rPr>
        <w:t>a</w:t>
      </w:r>
      <w:r w:rsidRPr="000508B6">
        <w:rPr>
          <w:rFonts w:ascii="Times New Roman" w:eastAsia="Times New Roman" w:hAnsi="Times New Roman" w:cs="Times New Roman"/>
          <w:color w:val="000000" w:themeColor="text1"/>
          <w:lang w:val="ro-MD"/>
        </w:rPr>
        <w:t xml:space="preserve"> Moldova a riscurilor în reasigurare în afara teritoriului ei poate fi efectuată nemijlocit către un </w:t>
      </w:r>
      <w:proofErr w:type="spellStart"/>
      <w:r w:rsidRPr="000508B6">
        <w:rPr>
          <w:rFonts w:ascii="Times New Roman" w:eastAsia="Times New Roman" w:hAnsi="Times New Roman" w:cs="Times New Roman"/>
          <w:color w:val="000000" w:themeColor="text1"/>
          <w:lang w:val="ro-MD"/>
        </w:rPr>
        <w:t>reasigurător</w:t>
      </w:r>
      <w:proofErr w:type="spellEnd"/>
      <w:r w:rsidRPr="000508B6">
        <w:rPr>
          <w:rFonts w:ascii="Times New Roman" w:eastAsia="Times New Roman" w:hAnsi="Times New Roman" w:cs="Times New Roman"/>
          <w:color w:val="000000" w:themeColor="text1"/>
          <w:lang w:val="ro-MD"/>
        </w:rPr>
        <w:t xml:space="preserve"> nerezident al Republicii Moldova dacă acesta este un </w:t>
      </w:r>
      <w:proofErr w:type="spellStart"/>
      <w:r w:rsidRPr="000508B6">
        <w:rPr>
          <w:rFonts w:ascii="Times New Roman" w:eastAsia="Times New Roman" w:hAnsi="Times New Roman" w:cs="Times New Roman"/>
          <w:color w:val="000000" w:themeColor="text1"/>
          <w:lang w:val="ro-MD"/>
        </w:rPr>
        <w:t>reasigurător</w:t>
      </w:r>
      <w:proofErr w:type="spellEnd"/>
      <w:r w:rsidRPr="000508B6">
        <w:rPr>
          <w:rFonts w:ascii="Times New Roman" w:eastAsia="Times New Roman" w:hAnsi="Times New Roman" w:cs="Times New Roman"/>
          <w:color w:val="000000" w:themeColor="text1"/>
          <w:lang w:val="ro-MD"/>
        </w:rPr>
        <w:t xml:space="preserve"> autorizat </w:t>
      </w:r>
      <w:proofErr w:type="spellStart"/>
      <w:r w:rsidRPr="000508B6">
        <w:rPr>
          <w:rFonts w:ascii="Times New Roman" w:eastAsia="Times New Roman" w:hAnsi="Times New Roman" w:cs="Times New Roman"/>
          <w:color w:val="000000" w:themeColor="text1"/>
          <w:lang w:val="ro-MD"/>
        </w:rPr>
        <w:t>şi</w:t>
      </w:r>
      <w:proofErr w:type="spellEnd"/>
      <w:r w:rsidRPr="000508B6">
        <w:rPr>
          <w:rFonts w:ascii="Times New Roman" w:eastAsia="Times New Roman" w:hAnsi="Times New Roman" w:cs="Times New Roman"/>
          <w:color w:val="000000" w:themeColor="text1"/>
          <w:lang w:val="ro-MD"/>
        </w:rPr>
        <w:t xml:space="preserve"> supravegheat în statul său de </w:t>
      </w:r>
      <w:proofErr w:type="spellStart"/>
      <w:r w:rsidRPr="000508B6">
        <w:rPr>
          <w:rFonts w:ascii="Times New Roman" w:eastAsia="Times New Roman" w:hAnsi="Times New Roman" w:cs="Times New Roman"/>
          <w:color w:val="000000" w:themeColor="text1"/>
          <w:lang w:val="ro-MD"/>
        </w:rPr>
        <w:t>reşedinţă</w:t>
      </w:r>
      <w:proofErr w:type="spellEnd"/>
      <w:r w:rsidRPr="000508B6">
        <w:rPr>
          <w:rFonts w:ascii="Times New Roman" w:eastAsia="Times New Roman" w:hAnsi="Times New Roman" w:cs="Times New Roman"/>
          <w:color w:val="000000" w:themeColor="text1"/>
          <w:lang w:val="ro-MD"/>
        </w:rPr>
        <w:t xml:space="preserve">. Cedarea de către asigurătorul sau </w:t>
      </w:r>
      <w:proofErr w:type="spellStart"/>
      <w:r w:rsidRPr="000508B6">
        <w:rPr>
          <w:rFonts w:ascii="Times New Roman" w:eastAsia="Times New Roman" w:hAnsi="Times New Roman" w:cs="Times New Roman"/>
          <w:color w:val="000000" w:themeColor="text1"/>
          <w:lang w:val="ro-MD"/>
        </w:rPr>
        <w:t>reasigurătorul</w:t>
      </w:r>
      <w:proofErr w:type="spellEnd"/>
      <w:r w:rsidRPr="000508B6">
        <w:rPr>
          <w:rFonts w:ascii="Times New Roman" w:eastAsia="Times New Roman" w:hAnsi="Times New Roman" w:cs="Times New Roman"/>
          <w:color w:val="000000" w:themeColor="text1"/>
          <w:lang w:val="ro-MD"/>
        </w:rPr>
        <w:t xml:space="preserve"> rezident al Republicii Moldova a riscurilor în reasigurare către </w:t>
      </w:r>
      <w:proofErr w:type="spellStart"/>
      <w:r w:rsidRPr="000508B6">
        <w:rPr>
          <w:rFonts w:ascii="Times New Roman" w:eastAsia="Times New Roman" w:hAnsi="Times New Roman" w:cs="Times New Roman"/>
          <w:color w:val="000000" w:themeColor="text1"/>
          <w:lang w:val="ro-MD"/>
        </w:rPr>
        <w:t>reasigurătorul</w:t>
      </w:r>
      <w:proofErr w:type="spellEnd"/>
      <w:r w:rsidRPr="000508B6">
        <w:rPr>
          <w:rFonts w:ascii="Times New Roman" w:eastAsia="Times New Roman" w:hAnsi="Times New Roman" w:cs="Times New Roman"/>
          <w:color w:val="000000" w:themeColor="text1"/>
          <w:lang w:val="ro-MD"/>
        </w:rPr>
        <w:t xml:space="preserve"> </w:t>
      </w:r>
      <w:proofErr w:type="spellStart"/>
      <w:r w:rsidRPr="000508B6">
        <w:rPr>
          <w:rFonts w:ascii="Times New Roman" w:eastAsia="Times New Roman" w:hAnsi="Times New Roman" w:cs="Times New Roman"/>
          <w:color w:val="000000" w:themeColor="text1"/>
          <w:lang w:val="ro-MD"/>
        </w:rPr>
        <w:t>menţionat</w:t>
      </w:r>
      <w:proofErr w:type="spellEnd"/>
      <w:r w:rsidRPr="000508B6">
        <w:rPr>
          <w:rFonts w:ascii="Times New Roman" w:eastAsia="Times New Roman" w:hAnsi="Times New Roman" w:cs="Times New Roman"/>
          <w:color w:val="000000" w:themeColor="text1"/>
          <w:lang w:val="ro-MD"/>
        </w:rPr>
        <w:t xml:space="preserve"> nerezident al Republicii Moldova poate fi efectuată și prin intermediul brokerului de asigurare</w:t>
      </w:r>
      <w:r w:rsidR="00473E3D" w:rsidRPr="000508B6">
        <w:rPr>
          <w:rFonts w:ascii="Times New Roman" w:eastAsia="Times New Roman" w:hAnsi="Times New Roman" w:cs="Times New Roman"/>
          <w:color w:val="000000" w:themeColor="text1"/>
          <w:lang w:val="ro-MD"/>
        </w:rPr>
        <w:t xml:space="preserve"> și/sau </w:t>
      </w:r>
      <w:r w:rsidRPr="000508B6">
        <w:rPr>
          <w:rFonts w:ascii="Times New Roman" w:eastAsia="Times New Roman" w:hAnsi="Times New Roman" w:cs="Times New Roman"/>
          <w:color w:val="000000" w:themeColor="text1"/>
          <w:lang w:val="ro-MD"/>
        </w:rPr>
        <w:t xml:space="preserve">reasigurare nerezident </w:t>
      </w:r>
      <w:r w:rsidR="00DC0C53" w:rsidRPr="000508B6">
        <w:rPr>
          <w:rFonts w:ascii="Times New Roman" w:eastAsia="Times New Roman" w:hAnsi="Times New Roman" w:cs="Times New Roman"/>
          <w:color w:val="000000" w:themeColor="text1"/>
          <w:lang w:val="ro-MD"/>
        </w:rPr>
        <w:t>înregistrat</w:t>
      </w:r>
      <w:r w:rsidR="00821161" w:rsidRPr="000508B6">
        <w:rPr>
          <w:rFonts w:ascii="Times New Roman" w:eastAsia="Times New Roman" w:hAnsi="Times New Roman" w:cs="Times New Roman"/>
          <w:color w:val="000000" w:themeColor="text1"/>
          <w:lang w:val="ro-MD"/>
        </w:rPr>
        <w:t xml:space="preserve"> și supravegheat în statul său de reședință </w:t>
      </w:r>
      <w:r w:rsidRPr="000508B6">
        <w:rPr>
          <w:rFonts w:ascii="Times New Roman" w:eastAsia="Times New Roman" w:hAnsi="Times New Roman" w:cs="Times New Roman"/>
          <w:color w:val="000000" w:themeColor="text1"/>
          <w:lang w:val="ro-MD"/>
        </w:rPr>
        <w:t>sau rezident al Republicii Moldova.</w:t>
      </w:r>
      <w:r w:rsidR="004759EA" w:rsidRPr="000508B6">
        <w:rPr>
          <w:rFonts w:ascii="Times New Roman" w:eastAsia="Times New Roman" w:hAnsi="Times New Roman" w:cs="Times New Roman"/>
          <w:color w:val="000000" w:themeColor="text1"/>
          <w:lang w:val="ro-MD"/>
        </w:rPr>
        <w:t xml:space="preserve"> </w:t>
      </w:r>
    </w:p>
    <w:p w14:paraId="7731E960" w14:textId="1895370B" w:rsidR="00F95829" w:rsidRPr="000508B6" w:rsidRDefault="00F95829"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color w:val="000000" w:themeColor="text1"/>
          <w:lang w:val="ro-MD"/>
        </w:rPr>
        <w:t xml:space="preserve">Cedarea de către asigurătorul sau </w:t>
      </w:r>
      <w:proofErr w:type="spellStart"/>
      <w:r w:rsidRPr="000508B6">
        <w:rPr>
          <w:rFonts w:ascii="Times New Roman" w:eastAsia="Times New Roman" w:hAnsi="Times New Roman" w:cs="Times New Roman"/>
          <w:color w:val="000000" w:themeColor="text1"/>
          <w:lang w:val="ro-MD"/>
        </w:rPr>
        <w:t>reasigurătorul</w:t>
      </w:r>
      <w:proofErr w:type="spellEnd"/>
      <w:r w:rsidRPr="000508B6">
        <w:rPr>
          <w:rFonts w:ascii="Times New Roman" w:eastAsia="Times New Roman" w:hAnsi="Times New Roman" w:cs="Times New Roman"/>
          <w:color w:val="000000" w:themeColor="text1"/>
          <w:lang w:val="ro-MD"/>
        </w:rPr>
        <w:t xml:space="preserve"> rezident al Republicii Moldova a riscurilor în reasigurare în afara teritoriului ei poate fi efectuată către asigurătorul sau </w:t>
      </w:r>
      <w:proofErr w:type="spellStart"/>
      <w:r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care este </w:t>
      </w:r>
      <w:r w:rsidR="00A66173" w:rsidRPr="000508B6">
        <w:rPr>
          <w:rFonts w:ascii="Times New Roman" w:eastAsia="Times New Roman" w:hAnsi="Times New Roman" w:cs="Times New Roman"/>
          <w:lang w:val="ro-MD"/>
        </w:rPr>
        <w:t>licențiat</w:t>
      </w:r>
      <w:r w:rsidRPr="000508B6">
        <w:rPr>
          <w:rFonts w:ascii="Times New Roman" w:eastAsia="Times New Roman" w:hAnsi="Times New Roman" w:cs="Times New Roman"/>
          <w:lang w:val="ro-MD"/>
        </w:rPr>
        <w:t>:</w:t>
      </w:r>
      <w:r w:rsidR="00467CCF" w:rsidRPr="000508B6">
        <w:rPr>
          <w:rFonts w:ascii="Times New Roman" w:eastAsia="Times New Roman" w:hAnsi="Times New Roman" w:cs="Times New Roman"/>
          <w:lang w:val="ro-MD"/>
        </w:rPr>
        <w:t xml:space="preserve"> </w:t>
      </w:r>
    </w:p>
    <w:p w14:paraId="50D2FC9D" w14:textId="6CC5694F" w:rsidR="00F95829" w:rsidRPr="000508B6" w:rsidRDefault="0098266D" w:rsidP="00574631">
      <w:pPr>
        <w:pStyle w:val="Listparagraf"/>
        <w:numPr>
          <w:ilvl w:val="0"/>
          <w:numId w:val="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într</w:t>
      </w:r>
      <w:r w:rsidR="00F95829" w:rsidRPr="000508B6">
        <w:rPr>
          <w:rFonts w:ascii="Times New Roman" w:eastAsia="Times New Roman" w:hAnsi="Times New Roman" w:cs="Times New Roman"/>
          <w:lang w:val="ro-MD"/>
        </w:rPr>
        <w:t xml:space="preserve">-un stat membru care aplică regimul </w:t>
      </w:r>
      <w:r w:rsidR="009810A6" w:rsidRPr="000508B6">
        <w:rPr>
          <w:rFonts w:ascii="Times New Roman" w:eastAsia="Times New Roman" w:hAnsi="Times New Roman" w:cs="Times New Roman"/>
          <w:lang w:val="ro-MD"/>
        </w:rPr>
        <w:t xml:space="preserve">de solvabilitate </w:t>
      </w:r>
      <w:r w:rsidR="00810AE9" w:rsidRPr="000508B6">
        <w:rPr>
          <w:rFonts w:ascii="Times New Roman" w:eastAsia="Times New Roman" w:hAnsi="Times New Roman" w:cs="Times New Roman"/>
          <w:lang w:val="ro-MD"/>
        </w:rPr>
        <w:t xml:space="preserve">și care îndeplinește </w:t>
      </w:r>
      <w:r w:rsidR="00821161" w:rsidRPr="000508B6">
        <w:rPr>
          <w:rFonts w:ascii="Times New Roman" w:eastAsia="Times New Roman" w:hAnsi="Times New Roman" w:cs="Times New Roman"/>
          <w:lang w:val="ro-MD"/>
        </w:rPr>
        <w:t>SCR</w:t>
      </w:r>
      <w:r w:rsidR="00F95829" w:rsidRPr="000508B6">
        <w:rPr>
          <w:rFonts w:ascii="Times New Roman" w:eastAsia="Times New Roman" w:hAnsi="Times New Roman" w:cs="Times New Roman"/>
          <w:lang w:val="ro-MD"/>
        </w:rPr>
        <w:t>;</w:t>
      </w:r>
    </w:p>
    <w:p w14:paraId="4931ECE0" w14:textId="2F6D6E53" w:rsidR="00F95829" w:rsidRPr="000508B6" w:rsidRDefault="00F95829" w:rsidP="003B26B4">
      <w:pPr>
        <w:pStyle w:val="Listparagraf"/>
        <w:numPr>
          <w:ilvl w:val="0"/>
          <w:numId w:val="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într-un stat terț al cărui regim de solvabilitate este considerat echivalent cu </w:t>
      </w:r>
      <w:r w:rsidR="009810A6" w:rsidRPr="000508B6">
        <w:rPr>
          <w:rFonts w:ascii="Times New Roman" w:eastAsia="Times New Roman" w:hAnsi="Times New Roman" w:cs="Times New Roman"/>
          <w:lang w:val="ro-MD"/>
        </w:rPr>
        <w:t xml:space="preserve">cel prevăzut în </w:t>
      </w:r>
      <w:r w:rsidR="00D80B3A" w:rsidRPr="000508B6">
        <w:rPr>
          <w:rFonts w:ascii="Times New Roman" w:eastAsia="Times New Roman" w:hAnsi="Times New Roman" w:cs="Times New Roman"/>
          <w:lang w:val="ro-MD"/>
        </w:rPr>
        <w:t>Directiva 2009/138/CE</w:t>
      </w:r>
      <w:r w:rsidR="00E55E28" w:rsidRPr="000508B6">
        <w:rPr>
          <w:rFonts w:ascii="Times New Roman" w:eastAsia="Times New Roman" w:hAnsi="Times New Roman" w:cs="Times New Roman"/>
          <w:lang w:val="ro-MD"/>
        </w:rPr>
        <w:t xml:space="preserve"> </w:t>
      </w:r>
      <w:r w:rsidR="00810AE9" w:rsidRPr="000508B6">
        <w:rPr>
          <w:rFonts w:ascii="Times New Roman" w:eastAsia="Times New Roman" w:hAnsi="Times New Roman" w:cs="Times New Roman"/>
          <w:lang w:val="ro-MD"/>
        </w:rPr>
        <w:t xml:space="preserve">și care respectă cerințele în materie de solvabilitate din </w:t>
      </w:r>
      <w:r w:rsidR="0010250D" w:rsidRPr="000508B6">
        <w:rPr>
          <w:rFonts w:ascii="Times New Roman" w:eastAsia="Times New Roman" w:hAnsi="Times New Roman" w:cs="Times New Roman"/>
          <w:lang w:val="ro-MD"/>
        </w:rPr>
        <w:t xml:space="preserve">statul </w:t>
      </w:r>
      <w:r w:rsidR="00810AE9" w:rsidRPr="000508B6">
        <w:rPr>
          <w:rFonts w:ascii="Times New Roman" w:eastAsia="Times New Roman" w:hAnsi="Times New Roman" w:cs="Times New Roman"/>
          <w:lang w:val="ro-MD"/>
        </w:rPr>
        <w:t>respectiv</w:t>
      </w:r>
      <w:r w:rsidRPr="000508B6">
        <w:rPr>
          <w:rFonts w:ascii="Times New Roman" w:eastAsia="Times New Roman" w:hAnsi="Times New Roman" w:cs="Times New Roman"/>
          <w:lang w:val="ro-MD"/>
        </w:rPr>
        <w:t>;</w:t>
      </w:r>
      <w:r w:rsidR="00467CCF" w:rsidRPr="000508B6">
        <w:rPr>
          <w:rFonts w:ascii="Times New Roman" w:hAnsi="Times New Roman" w:cs="Times New Roman"/>
          <w:lang w:val="ro-MD"/>
        </w:rPr>
        <w:t xml:space="preserve"> </w:t>
      </w:r>
    </w:p>
    <w:p w14:paraId="1B591F0D" w14:textId="4A34E928" w:rsidR="00F95829" w:rsidRPr="000508B6" w:rsidRDefault="00F95829" w:rsidP="003B26B4">
      <w:pPr>
        <w:pStyle w:val="Listparagraf"/>
        <w:numPr>
          <w:ilvl w:val="0"/>
          <w:numId w:val="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într-un stat terț al cărui regim </w:t>
      </w:r>
      <w:bookmarkStart w:id="129" w:name="_Hlk147996951"/>
      <w:r w:rsidRPr="000508B6">
        <w:rPr>
          <w:rFonts w:ascii="Times New Roman" w:eastAsia="Times New Roman" w:hAnsi="Times New Roman" w:cs="Times New Roman"/>
          <w:lang w:val="ro-MD"/>
        </w:rPr>
        <w:t xml:space="preserve">de solvabilitate nu este considerat echivalent, inclusiv în state membre ale </w:t>
      </w:r>
      <w:bookmarkEnd w:id="129"/>
      <w:r w:rsidR="00CF01DB" w:rsidRPr="000508B6">
        <w:rPr>
          <w:rFonts w:ascii="Times New Roman" w:eastAsia="Times New Roman" w:hAnsi="Times New Roman" w:cs="Times New Roman"/>
          <w:lang w:val="ro-MD"/>
        </w:rPr>
        <w:t>OCDE</w:t>
      </w:r>
      <w:r w:rsidRPr="000508B6">
        <w:rPr>
          <w:rFonts w:ascii="Times New Roman" w:eastAsia="Times New Roman" w:hAnsi="Times New Roman" w:cs="Times New Roman"/>
          <w:lang w:val="ro-MD"/>
        </w:rPr>
        <w:t xml:space="preserve">, și care are un nivel de calitate a creditului 3 sau un nivel mai bun ori furnizează contracte de </w:t>
      </w:r>
      <w:proofErr w:type="spellStart"/>
      <w:r w:rsidRPr="000508B6">
        <w:rPr>
          <w:rFonts w:ascii="Times New Roman" w:eastAsia="Times New Roman" w:hAnsi="Times New Roman" w:cs="Times New Roman"/>
          <w:lang w:val="ro-MD"/>
        </w:rPr>
        <w:t>garanţie</w:t>
      </w:r>
      <w:proofErr w:type="spellEnd"/>
      <w:r w:rsidRPr="000508B6">
        <w:rPr>
          <w:rFonts w:ascii="Times New Roman" w:eastAsia="Times New Roman" w:hAnsi="Times New Roman" w:cs="Times New Roman"/>
          <w:lang w:val="ro-MD"/>
        </w:rPr>
        <w:t xml:space="preserve"> reală</w:t>
      </w:r>
      <w:r w:rsidR="002156D4" w:rsidRPr="000508B6">
        <w:rPr>
          <w:rFonts w:ascii="Times New Roman" w:eastAsia="Times New Roman" w:hAnsi="Times New Roman" w:cs="Times New Roman"/>
          <w:lang w:val="ro-MD"/>
        </w:rPr>
        <w:t xml:space="preserve">. Contractele </w:t>
      </w:r>
      <w:r w:rsidRPr="000508B6">
        <w:rPr>
          <w:rFonts w:ascii="Times New Roman" w:eastAsia="Times New Roman" w:hAnsi="Times New Roman" w:cs="Times New Roman"/>
          <w:lang w:val="ro-MD"/>
        </w:rPr>
        <w:t xml:space="preserve">de reasigurare și contractele de garanție furnizate îndeplinesc criteriile stabilite prin </w:t>
      </w:r>
      <w:r w:rsidR="00CB569E" w:rsidRPr="000508B6">
        <w:rPr>
          <w:rFonts w:ascii="Times New Roman" w:eastAsia="Times New Roman" w:hAnsi="Times New Roman" w:cs="Times New Roman"/>
          <w:lang w:val="ro-MD"/>
        </w:rPr>
        <w:t>acte</w:t>
      </w:r>
      <w:r w:rsidR="00DF41FD" w:rsidRPr="000508B6">
        <w:rPr>
          <w:rFonts w:ascii="Times New Roman" w:eastAsia="Times New Roman" w:hAnsi="Times New Roman" w:cs="Times New Roman"/>
          <w:lang w:val="ro-MD"/>
        </w:rPr>
        <w:t>le</w:t>
      </w:r>
      <w:r w:rsidR="00CB569E" w:rsidRPr="000508B6">
        <w:rPr>
          <w:rFonts w:ascii="Times New Roman" w:eastAsia="Times New Roman" w:hAnsi="Times New Roman" w:cs="Times New Roman"/>
          <w:lang w:val="ro-MD"/>
        </w:rPr>
        <w:t xml:space="preserve"> normative</w:t>
      </w:r>
      <w:r w:rsidRPr="000508B6">
        <w:rPr>
          <w:rFonts w:ascii="Times New Roman" w:eastAsia="Times New Roman" w:hAnsi="Times New Roman" w:cs="Times New Roman"/>
          <w:lang w:val="ro-MD"/>
        </w:rPr>
        <w:t xml:space="preserve"> </w:t>
      </w:r>
      <w:r w:rsidR="00F26418" w:rsidRPr="000508B6">
        <w:rPr>
          <w:rFonts w:ascii="Times New Roman" w:eastAsia="Times New Roman" w:hAnsi="Times New Roman" w:cs="Times New Roman"/>
          <w:lang w:val="ro-MD"/>
        </w:rPr>
        <w:t>ale Băncii Naționale a Moldovei</w:t>
      </w:r>
      <w:r w:rsidR="004759EA" w:rsidRPr="000508B6">
        <w:rPr>
          <w:rFonts w:ascii="Times New Roman" w:eastAsia="Times New Roman" w:hAnsi="Times New Roman" w:cs="Times New Roman"/>
          <w:lang w:val="ro-MD"/>
        </w:rPr>
        <w:t>.</w:t>
      </w:r>
    </w:p>
    <w:p w14:paraId="4508E8C0" w14:textId="25E2FFC4" w:rsidR="00F95829" w:rsidRPr="000508B6" w:rsidRDefault="00F95829"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Cedarea de către asigurătorul sau </w:t>
      </w:r>
      <w:proofErr w:type="spellStart"/>
      <w:r w:rsidRPr="000508B6">
        <w:rPr>
          <w:rFonts w:ascii="Times New Roman" w:eastAsia="Times New Roman" w:hAnsi="Times New Roman" w:cs="Times New Roman"/>
          <w:color w:val="000000" w:themeColor="text1"/>
          <w:lang w:val="ro-MD"/>
        </w:rPr>
        <w:t>reasigurătorul</w:t>
      </w:r>
      <w:proofErr w:type="spellEnd"/>
      <w:r w:rsidRPr="000508B6">
        <w:rPr>
          <w:rFonts w:ascii="Times New Roman" w:eastAsia="Times New Roman" w:hAnsi="Times New Roman" w:cs="Times New Roman"/>
          <w:color w:val="000000" w:themeColor="text1"/>
          <w:lang w:val="ro-MD"/>
        </w:rPr>
        <w:t xml:space="preserve"> rezident al Republicii Moldova a riscurilor în reasigurare în afara teritoriului ei poate fi efectuată și către un vehicul investițional autorizat într-un stat membru.</w:t>
      </w:r>
    </w:p>
    <w:p w14:paraId="0464D194" w14:textId="34BFD614" w:rsidR="00F95829" w:rsidRPr="000508B6" w:rsidRDefault="00F95829"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color w:val="000000" w:themeColor="text1"/>
          <w:lang w:val="ro-MD"/>
        </w:rPr>
      </w:pPr>
      <w:r w:rsidRPr="000508B6">
        <w:rPr>
          <w:rFonts w:ascii="Times New Roman" w:eastAsia="Times New Roman" w:hAnsi="Times New Roman" w:cs="Times New Roman"/>
          <w:color w:val="000000" w:themeColor="text1"/>
          <w:lang w:val="ro-MD"/>
        </w:rPr>
        <w:t xml:space="preserve">Banca Națională a Moldovei stabilește prin </w:t>
      </w:r>
      <w:r w:rsidR="00CB569E" w:rsidRPr="000508B6">
        <w:rPr>
          <w:rFonts w:ascii="Times New Roman" w:eastAsia="Times New Roman" w:hAnsi="Times New Roman" w:cs="Times New Roman"/>
          <w:color w:val="000000" w:themeColor="text1"/>
          <w:lang w:val="ro-MD"/>
        </w:rPr>
        <w:t>acte</w:t>
      </w:r>
      <w:r w:rsidR="00DF41FD" w:rsidRPr="000508B6">
        <w:rPr>
          <w:rFonts w:ascii="Times New Roman" w:eastAsia="Times New Roman" w:hAnsi="Times New Roman" w:cs="Times New Roman"/>
          <w:color w:val="000000" w:themeColor="text1"/>
          <w:lang w:val="ro-MD"/>
        </w:rPr>
        <w:t>le</w:t>
      </w:r>
      <w:r w:rsidR="00CB569E" w:rsidRPr="000508B6">
        <w:rPr>
          <w:rFonts w:ascii="Times New Roman" w:eastAsia="Times New Roman" w:hAnsi="Times New Roman" w:cs="Times New Roman"/>
          <w:color w:val="000000" w:themeColor="text1"/>
          <w:lang w:val="ro-MD"/>
        </w:rPr>
        <w:t xml:space="preserve"> sale normative </w:t>
      </w:r>
      <w:r w:rsidRPr="000508B6">
        <w:rPr>
          <w:rFonts w:ascii="Times New Roman" w:eastAsia="Times New Roman" w:hAnsi="Times New Roman" w:cs="Times New Roman"/>
          <w:color w:val="000000" w:themeColor="text1"/>
          <w:lang w:val="ro-MD"/>
        </w:rPr>
        <w:t>nivelurile de calitate a creditului prevăzute la alin. (</w:t>
      </w:r>
      <w:r w:rsidR="009F4F06" w:rsidRPr="000508B6">
        <w:rPr>
          <w:rFonts w:ascii="Times New Roman" w:eastAsia="Times New Roman" w:hAnsi="Times New Roman" w:cs="Times New Roman"/>
          <w:color w:val="000000" w:themeColor="text1"/>
          <w:lang w:val="ro-MD"/>
        </w:rPr>
        <w:t>6</w:t>
      </w:r>
      <w:r w:rsidRPr="000508B6">
        <w:rPr>
          <w:rFonts w:ascii="Times New Roman" w:eastAsia="Times New Roman" w:hAnsi="Times New Roman" w:cs="Times New Roman"/>
          <w:color w:val="000000" w:themeColor="text1"/>
          <w:lang w:val="ro-MD"/>
        </w:rPr>
        <w:t xml:space="preserve">) lit. c) prin </w:t>
      </w:r>
      <w:r w:rsidR="002E31A2" w:rsidRPr="000508B6">
        <w:rPr>
          <w:rFonts w:ascii="Times New Roman" w:eastAsia="Times New Roman" w:hAnsi="Times New Roman" w:cs="Times New Roman"/>
          <w:color w:val="000000" w:themeColor="text1"/>
          <w:lang w:val="ro-MD"/>
        </w:rPr>
        <w:t>corespondență</w:t>
      </w:r>
      <w:r w:rsidRPr="000508B6">
        <w:rPr>
          <w:rFonts w:ascii="Times New Roman" w:eastAsia="Times New Roman" w:hAnsi="Times New Roman" w:cs="Times New Roman"/>
          <w:color w:val="000000" w:themeColor="text1"/>
          <w:lang w:val="ro-MD"/>
        </w:rPr>
        <w:t xml:space="preserve"> cu ratingurile acordate de </w:t>
      </w:r>
      <w:proofErr w:type="spellStart"/>
      <w:r w:rsidRPr="000508B6">
        <w:rPr>
          <w:rFonts w:ascii="Times New Roman" w:eastAsia="Times New Roman" w:hAnsi="Times New Roman" w:cs="Times New Roman"/>
          <w:color w:val="000000" w:themeColor="text1"/>
          <w:lang w:val="ro-MD"/>
        </w:rPr>
        <w:t>instituţiile</w:t>
      </w:r>
      <w:proofErr w:type="spellEnd"/>
      <w:r w:rsidRPr="000508B6">
        <w:rPr>
          <w:rFonts w:ascii="Times New Roman" w:eastAsia="Times New Roman" w:hAnsi="Times New Roman" w:cs="Times New Roman"/>
          <w:color w:val="000000" w:themeColor="text1"/>
          <w:lang w:val="ro-MD"/>
        </w:rPr>
        <w:t xml:space="preserve"> de evaluare externă a creditului care se aplică până la data </w:t>
      </w:r>
      <w:r w:rsidR="00E95759" w:rsidRPr="000508B6">
        <w:rPr>
          <w:rFonts w:ascii="Times New Roman" w:eastAsia="Times New Roman" w:hAnsi="Times New Roman" w:cs="Times New Roman"/>
          <w:color w:val="000000" w:themeColor="text1"/>
          <w:lang w:val="ro-MD"/>
        </w:rPr>
        <w:t>intrării în vigoare a Tratatului de aderare a</w:t>
      </w:r>
      <w:r w:rsidRPr="000508B6">
        <w:rPr>
          <w:rFonts w:ascii="Times New Roman" w:eastAsia="Times New Roman" w:hAnsi="Times New Roman" w:cs="Times New Roman"/>
          <w:color w:val="000000" w:themeColor="text1"/>
          <w:lang w:val="ro-MD"/>
        </w:rPr>
        <w:t xml:space="preserve"> Republicii Moldova la Uniunea Europeană. </w:t>
      </w:r>
    </w:p>
    <w:p w14:paraId="2AC8C062" w14:textId="67F532C9" w:rsidR="00F95829" w:rsidRPr="000508B6" w:rsidRDefault="00F95829" w:rsidP="00574631">
      <w:pPr>
        <w:pStyle w:val="Listparagraf"/>
        <w:numPr>
          <w:ilvl w:val="1"/>
          <w:numId w:val="22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w:t>
      </w:r>
      <w:r w:rsidR="00A6476C" w:rsidRPr="000508B6">
        <w:rPr>
          <w:rFonts w:ascii="Times New Roman" w:eastAsia="Times New Roman" w:hAnsi="Times New Roman" w:cs="Times New Roman"/>
          <w:lang w:val="ro-MD"/>
        </w:rPr>
        <w:t>ul</w:t>
      </w:r>
      <w:r w:rsidRPr="000508B6">
        <w:rPr>
          <w:rFonts w:ascii="Times New Roman" w:eastAsia="Times New Roman" w:hAnsi="Times New Roman" w:cs="Times New Roman"/>
          <w:lang w:val="ro-MD"/>
        </w:rPr>
        <w:t xml:space="preserve"> </w:t>
      </w:r>
      <w:r w:rsidR="0011184F" w:rsidRPr="000508B6">
        <w:rPr>
          <w:rFonts w:ascii="Times New Roman" w:eastAsia="Times New Roman" w:hAnsi="Times New Roman" w:cs="Times New Roman"/>
          <w:lang w:val="ro-MD"/>
        </w:rPr>
        <w:t xml:space="preserve">sau </w:t>
      </w:r>
      <w:proofErr w:type="spellStart"/>
      <w:r w:rsidR="0011184F" w:rsidRPr="000508B6">
        <w:rPr>
          <w:rFonts w:ascii="Times New Roman" w:eastAsia="Times New Roman" w:hAnsi="Times New Roman" w:cs="Times New Roman"/>
          <w:lang w:val="ro-MD"/>
        </w:rPr>
        <w:t>reasigurătorul</w:t>
      </w:r>
      <w:proofErr w:type="spellEnd"/>
      <w:r w:rsidR="0011184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care încheie contracte de reasigurare finită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reasigurător</w:t>
      </w:r>
      <w:r w:rsidR="00A6476C" w:rsidRPr="000508B6">
        <w:rPr>
          <w:rFonts w:ascii="Times New Roman" w:eastAsia="Times New Roman" w:hAnsi="Times New Roman" w:cs="Times New Roman"/>
          <w:lang w:val="ro-MD"/>
        </w:rPr>
        <w:t>ul</w:t>
      </w:r>
      <w:proofErr w:type="spellEnd"/>
      <w:r w:rsidRPr="000508B6">
        <w:rPr>
          <w:rFonts w:ascii="Times New Roman" w:eastAsia="Times New Roman" w:hAnsi="Times New Roman" w:cs="Times New Roman"/>
          <w:lang w:val="ro-MD"/>
        </w:rPr>
        <w:t xml:space="preserve"> care </w:t>
      </w:r>
      <w:proofErr w:type="spellStart"/>
      <w:r w:rsidRPr="000508B6">
        <w:rPr>
          <w:rFonts w:ascii="Times New Roman" w:eastAsia="Times New Roman" w:hAnsi="Times New Roman" w:cs="Times New Roman"/>
          <w:lang w:val="ro-MD"/>
        </w:rPr>
        <w:t>desfăşoară</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de reasigurare finită instituite proceduri </w:t>
      </w:r>
      <w:r w:rsidR="00821161" w:rsidRPr="000508B6">
        <w:rPr>
          <w:rFonts w:ascii="Times New Roman" w:eastAsia="Times New Roman" w:hAnsi="Times New Roman" w:cs="Times New Roman"/>
          <w:lang w:val="ro-MD"/>
        </w:rPr>
        <w:t xml:space="preserve">adecvate </w:t>
      </w:r>
      <w:r w:rsidRPr="000508B6">
        <w:rPr>
          <w:rFonts w:ascii="Times New Roman" w:eastAsia="Times New Roman" w:hAnsi="Times New Roman" w:cs="Times New Roman"/>
          <w:lang w:val="ro-MD"/>
        </w:rPr>
        <w:t xml:space="preserve">pentru </w:t>
      </w:r>
      <w:proofErr w:type="spellStart"/>
      <w:r w:rsidRPr="000508B6">
        <w:rPr>
          <w:rFonts w:ascii="Times New Roman" w:eastAsia="Times New Roman" w:hAnsi="Times New Roman" w:cs="Times New Roman"/>
          <w:lang w:val="ro-MD"/>
        </w:rPr>
        <w:t>indentificarea</w:t>
      </w:r>
      <w:proofErr w:type="spellEnd"/>
      <w:r w:rsidRPr="000508B6">
        <w:rPr>
          <w:rFonts w:ascii="Times New Roman" w:eastAsia="Times New Roman" w:hAnsi="Times New Roman" w:cs="Times New Roman"/>
          <w:lang w:val="ro-MD"/>
        </w:rPr>
        <w:t xml:space="preserve">, măsurarea, monitorizarea, gestionarea, controlul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raportarea, în mod adecvat, a riscurilor care decurg din </w:t>
      </w:r>
      <w:r w:rsidR="00D3314E" w:rsidRPr="000508B6">
        <w:rPr>
          <w:rFonts w:ascii="Times New Roman" w:eastAsia="Times New Roman" w:hAnsi="Times New Roman" w:cs="Times New Roman"/>
          <w:lang w:val="ro-MD"/>
        </w:rPr>
        <w:t xml:space="preserve">contractele sau </w:t>
      </w: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respective.</w:t>
      </w:r>
    </w:p>
    <w:p w14:paraId="7289411D" w14:textId="0215824E" w:rsidR="00F95829" w:rsidRPr="000508B6" w:rsidRDefault="00F95829" w:rsidP="00574631">
      <w:pPr>
        <w:pStyle w:val="Listparagraf"/>
        <w:numPr>
          <w:ilvl w:val="1"/>
          <w:numId w:val="222"/>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sensul prevederilor alin. (</w:t>
      </w:r>
      <w:r w:rsidR="00951BAF" w:rsidRPr="000508B6">
        <w:rPr>
          <w:rFonts w:ascii="Times New Roman" w:eastAsia="Times New Roman" w:hAnsi="Times New Roman" w:cs="Times New Roman"/>
          <w:lang w:val="ro-MD"/>
        </w:rPr>
        <w:t>9</w:t>
      </w:r>
      <w:r w:rsidRPr="000508B6">
        <w:rPr>
          <w:rFonts w:ascii="Times New Roman" w:eastAsia="Times New Roman" w:hAnsi="Times New Roman" w:cs="Times New Roman"/>
          <w:lang w:val="ro-MD"/>
        </w:rPr>
        <w:t xml:space="preserve">), reasigurarea finită reprezintă reasigurarea în cadrul căreia pierderea </w:t>
      </w:r>
      <w:proofErr w:type="spellStart"/>
      <w:r w:rsidRPr="000508B6">
        <w:rPr>
          <w:rFonts w:ascii="Times New Roman" w:eastAsia="Times New Roman" w:hAnsi="Times New Roman" w:cs="Times New Roman"/>
          <w:lang w:val="ro-MD"/>
        </w:rPr>
        <w:t>potenţială</w:t>
      </w:r>
      <w:proofErr w:type="spellEnd"/>
      <w:r w:rsidRPr="000508B6">
        <w:rPr>
          <w:rFonts w:ascii="Times New Roman" w:eastAsia="Times New Roman" w:hAnsi="Times New Roman" w:cs="Times New Roman"/>
          <w:lang w:val="ro-MD"/>
        </w:rPr>
        <w:t xml:space="preserve"> maximă, exprimată ca risc economic maxim cedat, ce decurge dintr-un transfer semnificativ al riscului de subscriere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 riscului de sincronizare, este mai mare decât prima de reasigurare aferentă întregului contract, cu un cuantum limitat, dar semnificativ, luând în considerare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una dintre următoarele caracteristici:</w:t>
      </w:r>
    </w:p>
    <w:p w14:paraId="1693D81B" w14:textId="7FBD2945" w:rsidR="00F95829" w:rsidRPr="000508B6" w:rsidRDefault="00F95829" w:rsidP="00574631">
      <w:pPr>
        <w:pStyle w:val="Listparagraf"/>
        <w:numPr>
          <w:ilvl w:val="2"/>
          <w:numId w:val="22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valoarea în timp a banilor </w:t>
      </w:r>
      <w:r w:rsidR="000461A1" w:rsidRPr="000508B6">
        <w:rPr>
          <w:rFonts w:ascii="Times New Roman" w:eastAsia="Times New Roman" w:hAnsi="Times New Roman" w:cs="Times New Roman"/>
          <w:lang w:val="ro-MD"/>
        </w:rPr>
        <w:t>cuveniți</w:t>
      </w:r>
      <w:r w:rsidRPr="000508B6">
        <w:rPr>
          <w:rFonts w:ascii="Times New Roman" w:eastAsia="Times New Roman" w:hAnsi="Times New Roman" w:cs="Times New Roman"/>
          <w:lang w:val="ro-MD"/>
        </w:rPr>
        <w:t xml:space="preserve"> pentru serviciile prestate este efectivă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explicit definită;</w:t>
      </w:r>
    </w:p>
    <w:p w14:paraId="40D64885" w14:textId="4FF68D59" w:rsidR="00F95829" w:rsidRPr="000508B6" w:rsidRDefault="00F95829" w:rsidP="00574631">
      <w:pPr>
        <w:pStyle w:val="Listparagraf"/>
        <w:numPr>
          <w:ilvl w:val="2"/>
          <w:numId w:val="223"/>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contractuale echilibrează în timp </w:t>
      </w:r>
      <w:proofErr w:type="spellStart"/>
      <w:r w:rsidRPr="000508B6">
        <w:rPr>
          <w:rFonts w:ascii="Times New Roman" w:eastAsia="Times New Roman" w:hAnsi="Times New Roman" w:cs="Times New Roman"/>
          <w:lang w:val="ro-MD"/>
        </w:rPr>
        <w:t>balanţa</w:t>
      </w:r>
      <w:proofErr w:type="spellEnd"/>
      <w:r w:rsidRPr="000508B6">
        <w:rPr>
          <w:rFonts w:ascii="Times New Roman" w:eastAsia="Times New Roman" w:hAnsi="Times New Roman" w:cs="Times New Roman"/>
          <w:lang w:val="ro-MD"/>
        </w:rPr>
        <w:t xml:space="preserve"> economică a </w:t>
      </w:r>
      <w:proofErr w:type="spellStart"/>
      <w:r w:rsidRPr="000508B6">
        <w:rPr>
          <w:rFonts w:ascii="Times New Roman" w:eastAsia="Times New Roman" w:hAnsi="Times New Roman" w:cs="Times New Roman"/>
          <w:lang w:val="ro-MD"/>
        </w:rPr>
        <w:t>relaţiilor</w:t>
      </w:r>
      <w:proofErr w:type="spellEnd"/>
      <w:r w:rsidRPr="000508B6">
        <w:rPr>
          <w:rFonts w:ascii="Times New Roman" w:eastAsia="Times New Roman" w:hAnsi="Times New Roman" w:cs="Times New Roman"/>
          <w:lang w:val="ro-MD"/>
        </w:rPr>
        <w:t xml:space="preserve"> dintre </w:t>
      </w:r>
      <w:proofErr w:type="spellStart"/>
      <w:r w:rsidRPr="000508B6">
        <w:rPr>
          <w:rFonts w:ascii="Times New Roman" w:eastAsia="Times New Roman" w:hAnsi="Times New Roman" w:cs="Times New Roman"/>
          <w:lang w:val="ro-MD"/>
        </w:rPr>
        <w:t>părţi</w:t>
      </w:r>
      <w:proofErr w:type="spellEnd"/>
      <w:r w:rsidRPr="000508B6">
        <w:rPr>
          <w:rFonts w:ascii="Times New Roman" w:eastAsia="Times New Roman" w:hAnsi="Times New Roman" w:cs="Times New Roman"/>
          <w:lang w:val="ro-MD"/>
        </w:rPr>
        <w:t>, astfel încât transferul riscului să atingă nivelul stabilit.</w:t>
      </w:r>
      <w:r w:rsidR="00FE2C55" w:rsidRPr="000508B6">
        <w:rPr>
          <w:rFonts w:ascii="Times New Roman" w:eastAsia="Times New Roman" w:hAnsi="Times New Roman" w:cs="Times New Roman"/>
          <w:lang w:val="ro-MD"/>
        </w:rPr>
        <w:t xml:space="preserve"> </w:t>
      </w:r>
    </w:p>
    <w:p w14:paraId="274AC0B8" w14:textId="40997CCD" w:rsidR="00A65F66" w:rsidRPr="000508B6" w:rsidRDefault="00631B69" w:rsidP="00574631">
      <w:pPr>
        <w:pStyle w:val="Listparagraf"/>
        <w:numPr>
          <w:ilvl w:val="1"/>
          <w:numId w:val="222"/>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cazul în care regimul de supraveghere dintr-un</w:t>
      </w:r>
      <w:r w:rsidR="006570F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stat </w:t>
      </w:r>
      <w:proofErr w:type="spellStart"/>
      <w:r w:rsidRPr="000508B6">
        <w:rPr>
          <w:rFonts w:ascii="Times New Roman" w:eastAsia="Times New Roman" w:hAnsi="Times New Roman" w:cs="Times New Roman"/>
          <w:lang w:val="ro-MD"/>
        </w:rPr>
        <w:t>terţ</w:t>
      </w:r>
      <w:proofErr w:type="spellEnd"/>
      <w:r w:rsidRPr="000508B6">
        <w:rPr>
          <w:rFonts w:ascii="Times New Roman" w:eastAsia="Times New Roman" w:hAnsi="Times New Roman" w:cs="Times New Roman"/>
          <w:lang w:val="ro-MD"/>
        </w:rPr>
        <w:t xml:space="preserve"> este declarat echivalent, de către Comisia</w:t>
      </w:r>
      <w:r w:rsidR="006570F9"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Europeană, contractele de reasigurare încheiate cu </w:t>
      </w:r>
      <w:r w:rsidR="00806901" w:rsidRPr="000508B6">
        <w:rPr>
          <w:rFonts w:ascii="Times New Roman" w:eastAsia="Times New Roman" w:hAnsi="Times New Roman" w:cs="Times New Roman"/>
          <w:lang w:val="ro-MD"/>
        </w:rPr>
        <w:t xml:space="preserve">asigurătorul sau </w:t>
      </w:r>
      <w:proofErr w:type="spellStart"/>
      <w:r w:rsidR="00806901" w:rsidRPr="000508B6">
        <w:rPr>
          <w:rFonts w:ascii="Times New Roman" w:eastAsia="Times New Roman" w:hAnsi="Times New Roman" w:cs="Times New Roman"/>
          <w:lang w:val="ro-MD"/>
        </w:rPr>
        <w:t>reasigurătorul</w:t>
      </w:r>
      <w:proofErr w:type="spellEnd"/>
      <w:r w:rsidR="0080690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cu sediul central </w:t>
      </w:r>
      <w:r w:rsidR="00E70C04" w:rsidRPr="000508B6">
        <w:rPr>
          <w:rFonts w:ascii="Times New Roman" w:eastAsia="Times New Roman" w:hAnsi="Times New Roman" w:cs="Times New Roman"/>
          <w:lang w:val="ro-MD"/>
        </w:rPr>
        <w:t>într-un stat</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terţ</w:t>
      </w:r>
      <w:proofErr w:type="spellEnd"/>
      <w:r w:rsidRPr="000508B6">
        <w:rPr>
          <w:rFonts w:ascii="Times New Roman" w:eastAsia="Times New Roman" w:hAnsi="Times New Roman" w:cs="Times New Roman"/>
          <w:lang w:val="ro-MD"/>
        </w:rPr>
        <w:t xml:space="preserve"> respectiv sunt tratate ca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cum ar fi încheiate cu</w:t>
      </w:r>
      <w:r w:rsidR="006570F9" w:rsidRPr="000508B6">
        <w:rPr>
          <w:rFonts w:ascii="Times New Roman" w:eastAsia="Times New Roman" w:hAnsi="Times New Roman" w:cs="Times New Roman"/>
          <w:lang w:val="ro-MD"/>
        </w:rPr>
        <w:t xml:space="preserve"> </w:t>
      </w:r>
      <w:r w:rsidR="00806901" w:rsidRPr="000508B6">
        <w:rPr>
          <w:rFonts w:ascii="Times New Roman" w:eastAsia="Times New Roman" w:hAnsi="Times New Roman" w:cs="Times New Roman"/>
          <w:lang w:val="ro-MD"/>
        </w:rPr>
        <w:t xml:space="preserve">asigurătorul sau </w:t>
      </w:r>
      <w:proofErr w:type="spellStart"/>
      <w:r w:rsidR="00806901"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cu sediul central în</w:t>
      </w:r>
      <w:r w:rsidR="00806901" w:rsidRPr="000508B6">
        <w:rPr>
          <w:rFonts w:ascii="Times New Roman" w:eastAsia="Times New Roman" w:hAnsi="Times New Roman" w:cs="Times New Roman"/>
          <w:lang w:val="ro-MD"/>
        </w:rPr>
        <w:t>tr-un</w:t>
      </w:r>
      <w:r w:rsidRPr="000508B6">
        <w:rPr>
          <w:rFonts w:ascii="Times New Roman" w:eastAsia="Times New Roman" w:hAnsi="Times New Roman" w:cs="Times New Roman"/>
          <w:lang w:val="ro-MD"/>
        </w:rPr>
        <w:t xml:space="preserve"> stat membr</w:t>
      </w:r>
      <w:r w:rsidR="00806901" w:rsidRPr="000508B6">
        <w:rPr>
          <w:rFonts w:ascii="Times New Roman" w:eastAsia="Times New Roman" w:hAnsi="Times New Roman" w:cs="Times New Roman"/>
          <w:lang w:val="ro-MD"/>
        </w:rPr>
        <w:t>u</w:t>
      </w:r>
      <w:r w:rsidRPr="000508B6">
        <w:rPr>
          <w:rFonts w:ascii="Times New Roman" w:eastAsia="Times New Roman" w:hAnsi="Times New Roman" w:cs="Times New Roman"/>
          <w:lang w:val="ro-MD"/>
        </w:rPr>
        <w:t>.</w:t>
      </w:r>
      <w:r w:rsidR="00FE2C55" w:rsidRPr="000508B6">
        <w:rPr>
          <w:rFonts w:ascii="Times New Roman" w:eastAsia="Times New Roman" w:hAnsi="Times New Roman" w:cs="Times New Roman"/>
          <w:lang w:val="ro-MD"/>
        </w:rPr>
        <w:t xml:space="preserve"> </w:t>
      </w:r>
    </w:p>
    <w:p w14:paraId="41279DFA" w14:textId="77777777" w:rsidR="00327230" w:rsidRPr="000508B6" w:rsidRDefault="00327230" w:rsidP="008B530F">
      <w:pPr>
        <w:tabs>
          <w:tab w:val="left" w:pos="993"/>
        </w:tabs>
        <w:spacing w:after="0" w:line="240" w:lineRule="auto"/>
        <w:ind w:firstLine="426"/>
        <w:jc w:val="both"/>
        <w:rPr>
          <w:rFonts w:ascii="Times New Roman" w:eastAsia="Times New Roman" w:hAnsi="Times New Roman" w:cs="Times New Roman"/>
          <w:lang w:val="ro-MD"/>
        </w:rPr>
      </w:pPr>
    </w:p>
    <w:p w14:paraId="694866BC" w14:textId="2A2DFBF5" w:rsidR="00F95829" w:rsidRPr="000508B6" w:rsidRDefault="00AC0A1A" w:rsidP="008B530F">
      <w:pPr>
        <w:tabs>
          <w:tab w:val="left" w:pos="993"/>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8492A" w:rsidRPr="000508B6">
        <w:rPr>
          <w:rFonts w:ascii="Times New Roman" w:eastAsia="Times New Roman" w:hAnsi="Times New Roman" w:cs="Times New Roman"/>
          <w:b/>
          <w:lang w:val="ro-MD"/>
        </w:rPr>
        <w:t>115</w:t>
      </w:r>
      <w:r w:rsidR="00F95829" w:rsidRPr="000508B6">
        <w:rPr>
          <w:rFonts w:ascii="Times New Roman" w:eastAsia="Times New Roman" w:hAnsi="Times New Roman" w:cs="Times New Roman"/>
          <w:b/>
          <w:lang w:val="ro-MD"/>
        </w:rPr>
        <w:t>.</w:t>
      </w:r>
      <w:r w:rsidR="00F95829" w:rsidRPr="000508B6">
        <w:rPr>
          <w:rFonts w:ascii="Times New Roman" w:eastAsia="Times New Roman" w:hAnsi="Times New Roman" w:cs="Times New Roman"/>
          <w:lang w:val="ro-MD"/>
        </w:rPr>
        <w:t xml:space="preserve"> Vehiculele </w:t>
      </w:r>
      <w:proofErr w:type="spellStart"/>
      <w:r w:rsidR="00F95829" w:rsidRPr="000508B6">
        <w:rPr>
          <w:rFonts w:ascii="Times New Roman" w:eastAsia="Times New Roman" w:hAnsi="Times New Roman" w:cs="Times New Roman"/>
          <w:lang w:val="ro-MD"/>
        </w:rPr>
        <w:t>investiţionale</w:t>
      </w:r>
      <w:proofErr w:type="spellEnd"/>
      <w:r w:rsidR="00F95829" w:rsidRPr="000508B6">
        <w:rPr>
          <w:rFonts w:ascii="Times New Roman" w:eastAsia="Times New Roman" w:hAnsi="Times New Roman" w:cs="Times New Roman"/>
          <w:lang w:val="ro-MD"/>
        </w:rPr>
        <w:t xml:space="preserve">  </w:t>
      </w:r>
    </w:p>
    <w:p w14:paraId="611BC39D" w14:textId="07F9868F" w:rsidR="009C4BFB" w:rsidRPr="000508B6" w:rsidRDefault="003917EF" w:rsidP="00CF01DB">
      <w:pPr>
        <w:pStyle w:val="Listparagraf"/>
        <w:numPr>
          <w:ilvl w:val="1"/>
          <w:numId w:val="21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Constituirea vehiculelor </w:t>
      </w:r>
      <w:proofErr w:type="spellStart"/>
      <w:r w:rsidRPr="000508B6">
        <w:rPr>
          <w:rFonts w:ascii="Times New Roman" w:eastAsia="Times New Roman" w:hAnsi="Times New Roman" w:cs="Times New Roman"/>
          <w:lang w:val="ro-MD"/>
        </w:rPr>
        <w:t>investiţionale</w:t>
      </w:r>
      <w:proofErr w:type="spellEnd"/>
      <w:r w:rsidRPr="000508B6">
        <w:rPr>
          <w:rFonts w:ascii="Times New Roman" w:eastAsia="Times New Roman" w:hAnsi="Times New Roman" w:cs="Times New Roman"/>
          <w:lang w:val="ro-MD"/>
        </w:rPr>
        <w:t xml:space="preserve"> pe teritoriul Republicii Moldova este aprobată de către Banca Națională a Moldovei prin acordarea licenței, în conformitate cu dispozițiile actelor normative referitoare la criteriile și procedura de aprobare adoptate de către Banca Națională a Moldovei</w:t>
      </w:r>
      <w:r w:rsidR="00F95829" w:rsidRPr="000508B6">
        <w:rPr>
          <w:rFonts w:ascii="Times New Roman" w:eastAsia="Times New Roman" w:hAnsi="Times New Roman" w:cs="Times New Roman"/>
          <w:lang w:val="ro-MD"/>
        </w:rPr>
        <w:t>.</w:t>
      </w:r>
    </w:p>
    <w:p w14:paraId="24365DDC" w14:textId="4F953B9B" w:rsidR="009C53B9" w:rsidRPr="000508B6" w:rsidRDefault="009C53B9" w:rsidP="00574631">
      <w:pPr>
        <w:pStyle w:val="Listparagraf"/>
        <w:numPr>
          <w:ilvl w:val="1"/>
          <w:numId w:val="212"/>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aplicarea prevederilor alin. (1) sunt respectate dispozițiile din actele adoptate de Banca Națională a Moldovei în care se precizează următoarele criterii conform cărora aceasta acordă licența:</w:t>
      </w:r>
    </w:p>
    <w:p w14:paraId="54BB7A8A" w14:textId="77777777" w:rsidR="009C53B9" w:rsidRPr="000508B6" w:rsidRDefault="009C53B9" w:rsidP="009C53B9">
      <w:pPr>
        <w:pStyle w:val="Listparagraf"/>
        <w:numPr>
          <w:ilvl w:val="0"/>
          <w:numId w:val="410"/>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condiții obligatorii care trebuie incluse în toate contractele încheiate;</w:t>
      </w:r>
    </w:p>
    <w:p w14:paraId="3758F41F" w14:textId="77777777" w:rsidR="009C53B9" w:rsidRPr="000508B6" w:rsidRDefault="009C53B9" w:rsidP="009C53B9">
      <w:pPr>
        <w:pStyle w:val="Listparagraf"/>
        <w:numPr>
          <w:ilvl w:val="0"/>
          <w:numId w:val="410"/>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cerințe de competență și onorabilitate menționate la art. 20 pentru persoanele care gestionează vehiculul investițional;</w:t>
      </w:r>
    </w:p>
    <w:p w14:paraId="6A9A29FE" w14:textId="77777777" w:rsidR="009C53B9" w:rsidRPr="000508B6" w:rsidRDefault="009C53B9" w:rsidP="009C53B9">
      <w:pPr>
        <w:pStyle w:val="Listparagraf"/>
        <w:numPr>
          <w:ilvl w:val="0"/>
          <w:numId w:val="410"/>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cerințe de competență și onorabilitate pentru acționarii și asociații care dețin o participație calificată în vehiculul investițional;</w:t>
      </w:r>
    </w:p>
    <w:p w14:paraId="3749E238" w14:textId="77777777" w:rsidR="009C53B9" w:rsidRPr="000508B6" w:rsidRDefault="009C53B9" w:rsidP="009C53B9">
      <w:pPr>
        <w:pStyle w:val="Listparagraf"/>
        <w:numPr>
          <w:ilvl w:val="0"/>
          <w:numId w:val="410"/>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proceduri administrative și contabile solide, mecanisme de control intern adecvate și cerințe în materie de management al riscurilor;</w:t>
      </w:r>
    </w:p>
    <w:p w14:paraId="28785C3B" w14:textId="77777777" w:rsidR="009C53B9" w:rsidRPr="000508B6" w:rsidRDefault="009C53B9" w:rsidP="009C53B9">
      <w:pPr>
        <w:pStyle w:val="Listparagraf"/>
        <w:numPr>
          <w:ilvl w:val="0"/>
          <w:numId w:val="410"/>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cerințe în domeniul contabil, prudențial și al informațiilor statistice;</w:t>
      </w:r>
    </w:p>
    <w:p w14:paraId="2C770DC4" w14:textId="77777777" w:rsidR="009C53B9" w:rsidRPr="000508B6" w:rsidRDefault="009C53B9" w:rsidP="009C53B9">
      <w:pPr>
        <w:pStyle w:val="Listparagraf"/>
        <w:numPr>
          <w:ilvl w:val="0"/>
          <w:numId w:val="410"/>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cerințe de solvabilitate.</w:t>
      </w:r>
    </w:p>
    <w:p w14:paraId="0C8A7F23" w14:textId="77777777" w:rsidR="00A548BD" w:rsidRPr="000508B6" w:rsidRDefault="00A548BD" w:rsidP="0061166B">
      <w:pPr>
        <w:tabs>
          <w:tab w:val="left" w:pos="993"/>
        </w:tabs>
        <w:spacing w:after="0" w:line="240" w:lineRule="auto"/>
        <w:jc w:val="center"/>
        <w:rPr>
          <w:rFonts w:ascii="Times New Roman" w:eastAsia="Times New Roman" w:hAnsi="Times New Roman" w:cs="Times New Roman"/>
          <w:lang w:val="ro-MD"/>
        </w:rPr>
      </w:pPr>
    </w:p>
    <w:p w14:paraId="3BE1D1EA" w14:textId="113D5966" w:rsidR="004320BF" w:rsidRPr="000508B6" w:rsidRDefault="004320BF" w:rsidP="00022EC4">
      <w:pPr>
        <w:tabs>
          <w:tab w:val="left" w:pos="993"/>
        </w:tabs>
        <w:spacing w:after="0" w:line="240" w:lineRule="auto"/>
        <w:jc w:val="center"/>
        <w:rPr>
          <w:rFonts w:ascii="Times New Roman" w:hAnsi="Times New Roman" w:cs="Times New Roman"/>
          <w:b/>
          <w:lang w:val="ro-MD"/>
        </w:rPr>
      </w:pPr>
      <w:r w:rsidRPr="000508B6">
        <w:rPr>
          <w:rFonts w:ascii="Times New Roman" w:hAnsi="Times New Roman" w:cs="Times New Roman"/>
          <w:b/>
          <w:lang w:val="ro-MD"/>
        </w:rPr>
        <w:t>CAPITOLUL VII</w:t>
      </w:r>
    </w:p>
    <w:p w14:paraId="5083E71D" w14:textId="577EF09E" w:rsidR="00F95829" w:rsidRPr="000508B6" w:rsidRDefault="004320BF" w:rsidP="00022EC4">
      <w:pPr>
        <w:tabs>
          <w:tab w:val="left" w:pos="993"/>
        </w:tabs>
        <w:spacing w:after="0" w:line="240" w:lineRule="auto"/>
        <w:jc w:val="center"/>
        <w:rPr>
          <w:rFonts w:ascii="Times New Roman" w:hAnsi="Times New Roman" w:cs="Times New Roman"/>
          <w:b/>
          <w:lang w:val="ro-MD"/>
        </w:rPr>
      </w:pPr>
      <w:r w:rsidRPr="000508B6">
        <w:rPr>
          <w:rFonts w:ascii="Times New Roman" w:hAnsi="Times New Roman" w:cs="Times New Roman"/>
          <w:b/>
          <w:lang w:val="ro-MD"/>
        </w:rPr>
        <w:t xml:space="preserve">GRUPURI  </w:t>
      </w:r>
      <w:r w:rsidR="00F95829" w:rsidRPr="000508B6">
        <w:rPr>
          <w:rFonts w:ascii="Times New Roman" w:hAnsi="Times New Roman" w:cs="Times New Roman"/>
          <w:b/>
          <w:lang w:val="ro-MD"/>
        </w:rPr>
        <w:t xml:space="preserve"> </w:t>
      </w:r>
    </w:p>
    <w:p w14:paraId="706037DB" w14:textId="77777777" w:rsidR="00F95829" w:rsidRPr="000508B6" w:rsidRDefault="00F95829" w:rsidP="00022EC4">
      <w:pPr>
        <w:tabs>
          <w:tab w:val="left" w:pos="993"/>
        </w:tabs>
        <w:spacing w:after="0" w:line="240" w:lineRule="auto"/>
        <w:jc w:val="center"/>
        <w:rPr>
          <w:rFonts w:ascii="Times New Roman" w:hAnsi="Times New Roman" w:cs="Times New Roman"/>
          <w:b/>
          <w:lang w:val="ro-MD"/>
        </w:rPr>
      </w:pPr>
      <w:r w:rsidRPr="000508B6">
        <w:rPr>
          <w:rFonts w:ascii="Times New Roman" w:hAnsi="Times New Roman" w:cs="Times New Roman"/>
          <w:b/>
          <w:lang w:val="ro-MD"/>
        </w:rPr>
        <w:t>Secțiunea 1</w:t>
      </w:r>
    </w:p>
    <w:p w14:paraId="364BB097" w14:textId="77777777" w:rsidR="00F95829" w:rsidRPr="000508B6" w:rsidRDefault="00F95829" w:rsidP="00022EC4">
      <w:pPr>
        <w:tabs>
          <w:tab w:val="left" w:pos="993"/>
        </w:tabs>
        <w:spacing w:after="0" w:line="240" w:lineRule="auto"/>
        <w:jc w:val="center"/>
        <w:rPr>
          <w:rFonts w:ascii="Times New Roman" w:hAnsi="Times New Roman" w:cs="Times New Roman"/>
          <w:b/>
          <w:lang w:val="ro-MD"/>
        </w:rPr>
      </w:pPr>
      <w:r w:rsidRPr="000508B6">
        <w:rPr>
          <w:rFonts w:ascii="Times New Roman" w:hAnsi="Times New Roman" w:cs="Times New Roman"/>
          <w:b/>
          <w:lang w:val="ro-MD"/>
        </w:rPr>
        <w:t xml:space="preserve">Domeniul de aplicare   </w:t>
      </w:r>
    </w:p>
    <w:p w14:paraId="0A98A1F7" w14:textId="41302AC9" w:rsidR="00F95829" w:rsidRPr="000508B6" w:rsidRDefault="00F95829" w:rsidP="00951BAF">
      <w:pPr>
        <w:tabs>
          <w:tab w:val="left" w:pos="993"/>
        </w:tabs>
        <w:spacing w:after="0" w:line="240" w:lineRule="auto"/>
        <w:ind w:firstLine="426"/>
        <w:rPr>
          <w:rFonts w:ascii="Times New Roman" w:hAnsi="Times New Roman" w:cs="Times New Roman"/>
          <w:lang w:val="ro-MD"/>
        </w:rPr>
      </w:pPr>
      <w:r w:rsidRPr="000508B6">
        <w:rPr>
          <w:rFonts w:ascii="Times New Roman" w:hAnsi="Times New Roman" w:cs="Times New Roman"/>
          <w:b/>
          <w:lang w:val="ro-MD"/>
        </w:rPr>
        <w:t xml:space="preserve">Articolul </w:t>
      </w:r>
      <w:r w:rsidR="00C8492A" w:rsidRPr="000508B6">
        <w:rPr>
          <w:rFonts w:ascii="Times New Roman" w:hAnsi="Times New Roman" w:cs="Times New Roman"/>
          <w:b/>
          <w:lang w:val="ro-MD"/>
        </w:rPr>
        <w:t>116</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Cazurile de aplicare a supravegherii la nivel de grup </w:t>
      </w:r>
    </w:p>
    <w:p w14:paraId="2274A788" w14:textId="00D1FBC7" w:rsidR="0044306F" w:rsidRPr="000508B6" w:rsidRDefault="0044306F" w:rsidP="00CF01DB">
      <w:pPr>
        <w:numPr>
          <w:ilvl w:val="0"/>
          <w:numId w:val="8"/>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supraveghează la nivel de grup, </w:t>
      </w:r>
      <w:r w:rsidR="00B93756" w:rsidRPr="000508B6">
        <w:rPr>
          <w:rFonts w:ascii="Times New Roman" w:hAnsi="Times New Roman" w:cs="Times New Roman"/>
          <w:lang w:val="ro-MD"/>
        </w:rPr>
        <w:t>î</w:t>
      </w:r>
      <w:r w:rsidRPr="000508B6">
        <w:rPr>
          <w:rFonts w:ascii="Times New Roman" w:hAnsi="Times New Roman" w:cs="Times New Roman"/>
          <w:lang w:val="ro-MD"/>
        </w:rPr>
        <w:t xml:space="preserve">n conformitate cu prevederile prezentului capitol, </w:t>
      </w:r>
      <w:r w:rsidR="00806901" w:rsidRPr="000508B6">
        <w:rPr>
          <w:rFonts w:ascii="Times New Roman" w:hAnsi="Times New Roman" w:cs="Times New Roman"/>
          <w:lang w:val="ro-MD"/>
        </w:rPr>
        <w:t xml:space="preserve">asigurătorii sau </w:t>
      </w:r>
      <w:proofErr w:type="spellStart"/>
      <w:r w:rsidR="00806901"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care fac parte dintr-un grup prevăzut la alin.</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w:t>
      </w:r>
      <w:r w:rsidR="00083573" w:rsidRPr="000508B6">
        <w:rPr>
          <w:rFonts w:ascii="Times New Roman" w:hAnsi="Times New Roman" w:cs="Times New Roman"/>
          <w:lang w:val="ro-MD"/>
        </w:rPr>
        <w:t>3</w:t>
      </w:r>
      <w:r w:rsidRPr="000508B6">
        <w:rPr>
          <w:rFonts w:ascii="Times New Roman" w:hAnsi="Times New Roman" w:cs="Times New Roman"/>
          <w:lang w:val="ro-MD"/>
        </w:rPr>
        <w:t>)</w:t>
      </w:r>
      <w:r w:rsidR="00B93756" w:rsidRPr="000508B6">
        <w:rPr>
          <w:rFonts w:ascii="Times New Roman" w:hAnsi="Times New Roman" w:cs="Times New Roman"/>
          <w:lang w:val="ro-MD"/>
        </w:rPr>
        <w:t xml:space="preserve">. </w:t>
      </w:r>
    </w:p>
    <w:p w14:paraId="13DA06CF" w14:textId="3B004A4C" w:rsidR="0065347E" w:rsidRPr="000508B6" w:rsidRDefault="0044306F" w:rsidP="00574631">
      <w:pPr>
        <w:pStyle w:val="Listparagraf"/>
        <w:numPr>
          <w:ilvl w:val="0"/>
          <w:numId w:val="8"/>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Prevederile </w:t>
      </w:r>
      <w:r w:rsidR="004978C9" w:rsidRPr="000508B6">
        <w:rPr>
          <w:rFonts w:ascii="Times New Roman" w:hAnsi="Times New Roman" w:cs="Times New Roman"/>
          <w:lang w:val="ro-MD"/>
        </w:rPr>
        <w:t>art.1-94</w:t>
      </w:r>
      <w:r w:rsidRPr="000508B6">
        <w:rPr>
          <w:rFonts w:ascii="Times New Roman" w:hAnsi="Times New Roman" w:cs="Times New Roman"/>
          <w:lang w:val="ro-MD"/>
        </w:rPr>
        <w:t xml:space="preserve"> continuă să se aplice </w:t>
      </w:r>
      <w:r w:rsidR="00B93756" w:rsidRPr="000508B6">
        <w:rPr>
          <w:rFonts w:ascii="Times New Roman" w:hAnsi="Times New Roman" w:cs="Times New Roman"/>
          <w:lang w:val="ro-MD"/>
        </w:rPr>
        <w:t xml:space="preserve">în mod individual și </w:t>
      </w:r>
      <w:r w:rsidR="00806901" w:rsidRPr="000508B6">
        <w:rPr>
          <w:rFonts w:ascii="Times New Roman" w:hAnsi="Times New Roman" w:cs="Times New Roman"/>
          <w:lang w:val="ro-MD"/>
        </w:rPr>
        <w:t xml:space="preserve">asigurătorilor sau </w:t>
      </w:r>
      <w:proofErr w:type="spellStart"/>
      <w:r w:rsidR="00806901" w:rsidRPr="000508B6">
        <w:rPr>
          <w:rFonts w:ascii="Times New Roman" w:hAnsi="Times New Roman" w:cs="Times New Roman"/>
          <w:lang w:val="ro-MD"/>
        </w:rPr>
        <w:t>reasigurătorilor</w:t>
      </w:r>
      <w:proofErr w:type="spellEnd"/>
      <w:r w:rsidR="00806901" w:rsidRPr="000508B6">
        <w:rPr>
          <w:rFonts w:ascii="Times New Roman" w:hAnsi="Times New Roman" w:cs="Times New Roman"/>
          <w:lang w:val="ro-MD"/>
        </w:rPr>
        <w:t xml:space="preserve"> </w:t>
      </w:r>
      <w:r w:rsidR="00B93756" w:rsidRPr="000508B6">
        <w:rPr>
          <w:rFonts w:ascii="Times New Roman" w:hAnsi="Times New Roman" w:cs="Times New Roman"/>
          <w:lang w:val="ro-MD"/>
        </w:rPr>
        <w:t xml:space="preserve">care fac parte dintr-un grup, cu excepția cazurilor în care nu se prevede altfel </w:t>
      </w:r>
      <w:r w:rsidR="00E1341A" w:rsidRPr="000508B6">
        <w:rPr>
          <w:rFonts w:ascii="Times New Roman" w:hAnsi="Times New Roman" w:cs="Times New Roman"/>
          <w:lang w:val="ro-MD"/>
        </w:rPr>
        <w:t>î</w:t>
      </w:r>
      <w:r w:rsidR="00B93756" w:rsidRPr="000508B6">
        <w:rPr>
          <w:rFonts w:ascii="Times New Roman" w:hAnsi="Times New Roman" w:cs="Times New Roman"/>
          <w:lang w:val="ro-MD"/>
        </w:rPr>
        <w:t>n prezentul capitol.</w:t>
      </w:r>
    </w:p>
    <w:p w14:paraId="31CD2B2B" w14:textId="77777777" w:rsidR="00083573" w:rsidRPr="000508B6" w:rsidRDefault="00083573" w:rsidP="00574631">
      <w:pPr>
        <w:numPr>
          <w:ilvl w:val="0"/>
          <w:numId w:val="8"/>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Supravegherea la nivel de grup se aplică atunci când un grup include oricare dintre următoarele:   </w:t>
      </w:r>
    </w:p>
    <w:p w14:paraId="26FDD2A3" w14:textId="02FA3945" w:rsidR="00083573" w:rsidRPr="000508B6" w:rsidRDefault="00CF01DB" w:rsidP="00574631">
      <w:pPr>
        <w:numPr>
          <w:ilvl w:val="0"/>
          <w:numId w:val="40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lastRenderedPageBreak/>
        <w:t xml:space="preserve">asigurători </w:t>
      </w:r>
      <w:r w:rsidR="008B5060"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083573" w:rsidRPr="000508B6">
        <w:rPr>
          <w:rFonts w:ascii="Times New Roman" w:hAnsi="Times New Roman" w:cs="Times New Roman"/>
          <w:lang w:val="ro-MD"/>
        </w:rPr>
        <w:t xml:space="preserve">care sunt </w:t>
      </w:r>
      <w:r w:rsidR="008649B8" w:rsidRPr="000508B6">
        <w:rPr>
          <w:rFonts w:ascii="Times New Roman" w:hAnsi="Times New Roman" w:cs="Times New Roman"/>
          <w:lang w:val="ro-MD"/>
        </w:rPr>
        <w:t xml:space="preserve">entități </w:t>
      </w:r>
      <w:r w:rsidR="00083573" w:rsidRPr="000508B6">
        <w:rPr>
          <w:rFonts w:ascii="Times New Roman" w:hAnsi="Times New Roman" w:cs="Times New Roman"/>
          <w:lang w:val="ro-MD"/>
        </w:rPr>
        <w:t xml:space="preserve">participative în cel </w:t>
      </w:r>
      <w:proofErr w:type="spellStart"/>
      <w:r w:rsidR="00083573" w:rsidRPr="000508B6">
        <w:rPr>
          <w:rFonts w:ascii="Times New Roman" w:hAnsi="Times New Roman" w:cs="Times New Roman"/>
          <w:lang w:val="ro-MD"/>
        </w:rPr>
        <w:t>puţin</w:t>
      </w:r>
      <w:proofErr w:type="spellEnd"/>
      <w:r w:rsidR="00083573" w:rsidRPr="000508B6">
        <w:rPr>
          <w:rFonts w:ascii="Times New Roman" w:hAnsi="Times New Roman" w:cs="Times New Roman"/>
          <w:lang w:val="ro-MD"/>
        </w:rPr>
        <w:t xml:space="preserve"> </w:t>
      </w:r>
      <w:r w:rsidR="008B5060" w:rsidRPr="000508B6">
        <w:rPr>
          <w:rFonts w:ascii="Times New Roman" w:hAnsi="Times New Roman" w:cs="Times New Roman"/>
          <w:lang w:val="ro-MD"/>
        </w:rPr>
        <w:t xml:space="preserve">un </w:t>
      </w:r>
      <w:r w:rsidRPr="000508B6">
        <w:rPr>
          <w:rFonts w:ascii="Times New Roman" w:hAnsi="Times New Roman" w:cs="Times New Roman"/>
          <w:lang w:val="ro-MD"/>
        </w:rPr>
        <w:t xml:space="preserve">asigurător </w:t>
      </w:r>
      <w:r w:rsidR="008B5060"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r w:rsidR="008B5060" w:rsidRPr="000508B6">
        <w:rPr>
          <w:rFonts w:ascii="Times New Roman" w:hAnsi="Times New Roman" w:cs="Times New Roman"/>
          <w:lang w:val="ro-MD"/>
        </w:rPr>
        <w:t>din Republica Moldova</w:t>
      </w:r>
      <w:r w:rsidR="00F324CE" w:rsidRPr="000508B6">
        <w:rPr>
          <w:rFonts w:ascii="Times New Roman" w:hAnsi="Times New Roman" w:cs="Times New Roman"/>
          <w:lang w:val="ro-MD"/>
        </w:rPr>
        <w:t>,</w:t>
      </w:r>
      <w:r w:rsidR="00083573" w:rsidRPr="000508B6">
        <w:rPr>
          <w:rFonts w:ascii="Times New Roman" w:hAnsi="Times New Roman" w:cs="Times New Roman"/>
          <w:lang w:val="ro-MD"/>
        </w:rPr>
        <w:t xml:space="preserve"> dintr-un stat membru</w:t>
      </w:r>
      <w:r w:rsidR="00D74D75" w:rsidRPr="000508B6">
        <w:rPr>
          <w:rFonts w:ascii="Times New Roman" w:hAnsi="Times New Roman" w:cs="Times New Roman"/>
          <w:lang w:val="ro-MD"/>
        </w:rPr>
        <w:t xml:space="preserve"> sau dintr-un stat </w:t>
      </w:r>
      <w:proofErr w:type="spellStart"/>
      <w:r w:rsidR="00D74D75" w:rsidRPr="000508B6">
        <w:rPr>
          <w:rFonts w:ascii="Times New Roman" w:hAnsi="Times New Roman" w:cs="Times New Roman"/>
          <w:lang w:val="ro-MD"/>
        </w:rPr>
        <w:t>terţ</w:t>
      </w:r>
      <w:proofErr w:type="spellEnd"/>
      <w:r w:rsidR="00560E11" w:rsidRPr="000508B6">
        <w:rPr>
          <w:rFonts w:ascii="Times New Roman" w:hAnsi="Times New Roman" w:cs="Times New Roman"/>
          <w:lang w:val="ro-MD"/>
        </w:rPr>
        <w:t>, în conformitate cu art.122-152</w:t>
      </w:r>
      <w:r w:rsidR="00083573" w:rsidRPr="000508B6">
        <w:rPr>
          <w:rFonts w:ascii="Times New Roman" w:hAnsi="Times New Roman" w:cs="Times New Roman"/>
          <w:lang w:val="ro-MD"/>
        </w:rPr>
        <w:t>;</w:t>
      </w:r>
    </w:p>
    <w:p w14:paraId="29DD384B" w14:textId="27102FB4" w:rsidR="00083573" w:rsidRPr="000508B6" w:rsidRDefault="00CF01DB" w:rsidP="00434D60">
      <w:pPr>
        <w:numPr>
          <w:ilvl w:val="0"/>
          <w:numId w:val="40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asigurători </w:t>
      </w:r>
      <w:r w:rsidR="00F324CE" w:rsidRPr="000508B6">
        <w:rPr>
          <w:rFonts w:ascii="Times New Roman" w:hAnsi="Times New Roman" w:cs="Times New Roman"/>
          <w:lang w:val="ro-MD"/>
        </w:rPr>
        <w:t>sau</w:t>
      </w:r>
      <w:r w:rsidR="00083573" w:rsidRPr="000508B6" w:rsidDel="00CF01DB">
        <w:rPr>
          <w:rFonts w:ascii="Times New Roman" w:hAnsi="Times New Roman" w:cs="Times New Roman"/>
          <w:lang w:val="ro-MD"/>
        </w:rPr>
        <w:t xml:space="preserve">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083573" w:rsidRPr="000508B6">
        <w:rPr>
          <w:rFonts w:ascii="Times New Roman" w:hAnsi="Times New Roman" w:cs="Times New Roman"/>
          <w:lang w:val="ro-MD"/>
        </w:rPr>
        <w:t>a căror societ</w:t>
      </w:r>
      <w:r w:rsidR="008D7602" w:rsidRPr="000508B6">
        <w:rPr>
          <w:rFonts w:ascii="Times New Roman" w:hAnsi="Times New Roman" w:cs="Times New Roman"/>
          <w:lang w:val="ro-MD"/>
        </w:rPr>
        <w:t>ate</w:t>
      </w:r>
      <w:r w:rsidR="00083573" w:rsidRPr="000508B6">
        <w:rPr>
          <w:rFonts w:ascii="Times New Roman" w:hAnsi="Times New Roman" w:cs="Times New Roman"/>
          <w:lang w:val="ro-MD"/>
        </w:rPr>
        <w:t xml:space="preserve">-mamă </w:t>
      </w:r>
      <w:r w:rsidR="008D7602" w:rsidRPr="000508B6">
        <w:rPr>
          <w:rFonts w:ascii="Times New Roman" w:hAnsi="Times New Roman" w:cs="Times New Roman"/>
          <w:lang w:val="ro-MD"/>
        </w:rPr>
        <w:t xml:space="preserve">este un </w:t>
      </w:r>
      <w:r w:rsidR="00083573" w:rsidRPr="000508B6">
        <w:rPr>
          <w:rFonts w:ascii="Times New Roman" w:hAnsi="Times New Roman" w:cs="Times New Roman"/>
          <w:lang w:val="ro-MD"/>
        </w:rPr>
        <w:t xml:space="preserve">holding de asigurare sau </w:t>
      </w:r>
      <w:r w:rsidR="008D7602" w:rsidRPr="000508B6">
        <w:rPr>
          <w:rFonts w:ascii="Times New Roman" w:hAnsi="Times New Roman" w:cs="Times New Roman"/>
          <w:lang w:val="ro-MD"/>
        </w:rPr>
        <w:t xml:space="preserve">un </w:t>
      </w:r>
      <w:r w:rsidR="00083573" w:rsidRPr="000508B6">
        <w:rPr>
          <w:rFonts w:ascii="Times New Roman" w:hAnsi="Times New Roman" w:cs="Times New Roman"/>
          <w:lang w:val="ro-MD"/>
        </w:rPr>
        <w:t xml:space="preserve">holding financiar mixt cu sediul central </w:t>
      </w:r>
      <w:r w:rsidR="00F324CE" w:rsidRPr="000508B6">
        <w:rPr>
          <w:rFonts w:ascii="Times New Roman" w:hAnsi="Times New Roman" w:cs="Times New Roman"/>
          <w:lang w:val="ro-MD"/>
        </w:rPr>
        <w:t xml:space="preserve">în Republica Moldova sau </w:t>
      </w:r>
      <w:r w:rsidR="00083573" w:rsidRPr="000508B6">
        <w:rPr>
          <w:rFonts w:ascii="Times New Roman" w:hAnsi="Times New Roman" w:cs="Times New Roman"/>
          <w:lang w:val="ro-MD"/>
        </w:rPr>
        <w:t>într-un stat membru</w:t>
      </w:r>
      <w:r w:rsidR="00560E11" w:rsidRPr="000508B6">
        <w:rPr>
          <w:rFonts w:ascii="Times New Roman" w:hAnsi="Times New Roman" w:cs="Times New Roman"/>
          <w:lang w:val="ro-MD"/>
        </w:rPr>
        <w:t>, în conformitate cu art.122-152</w:t>
      </w:r>
      <w:r w:rsidR="00083573" w:rsidRPr="000508B6">
        <w:rPr>
          <w:rFonts w:ascii="Times New Roman" w:hAnsi="Times New Roman" w:cs="Times New Roman"/>
          <w:lang w:val="ro-MD"/>
        </w:rPr>
        <w:t xml:space="preserve">;   </w:t>
      </w:r>
    </w:p>
    <w:p w14:paraId="26C55F80" w14:textId="048E6548" w:rsidR="00083573" w:rsidRPr="000508B6" w:rsidRDefault="00CF01DB" w:rsidP="00574631">
      <w:pPr>
        <w:numPr>
          <w:ilvl w:val="0"/>
          <w:numId w:val="40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asigurători </w:t>
      </w:r>
      <w:r w:rsidR="00F324CE"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083573" w:rsidRPr="000508B6">
        <w:rPr>
          <w:rFonts w:ascii="Times New Roman" w:hAnsi="Times New Roman" w:cs="Times New Roman"/>
          <w:lang w:val="ro-MD"/>
        </w:rPr>
        <w:t>a căror societ</w:t>
      </w:r>
      <w:r w:rsidR="008D7602" w:rsidRPr="000508B6">
        <w:rPr>
          <w:rFonts w:ascii="Times New Roman" w:hAnsi="Times New Roman" w:cs="Times New Roman"/>
          <w:lang w:val="ro-MD"/>
        </w:rPr>
        <w:t>ate</w:t>
      </w:r>
      <w:r w:rsidR="00083573" w:rsidRPr="000508B6">
        <w:rPr>
          <w:rFonts w:ascii="Times New Roman" w:hAnsi="Times New Roman" w:cs="Times New Roman"/>
          <w:lang w:val="ro-MD"/>
        </w:rPr>
        <w:t xml:space="preserve">-mamă </w:t>
      </w:r>
      <w:r w:rsidR="008D7602" w:rsidRPr="000508B6">
        <w:rPr>
          <w:rFonts w:ascii="Times New Roman" w:hAnsi="Times New Roman" w:cs="Times New Roman"/>
          <w:lang w:val="ro-MD"/>
        </w:rPr>
        <w:t xml:space="preserve">este un </w:t>
      </w:r>
      <w:r w:rsidR="00083573" w:rsidRPr="000508B6">
        <w:rPr>
          <w:rFonts w:ascii="Times New Roman" w:hAnsi="Times New Roman" w:cs="Times New Roman"/>
          <w:lang w:val="ro-MD"/>
        </w:rPr>
        <w:t xml:space="preserve">holding de asigurare sau holding financiar mixt dintr-un stat </w:t>
      </w:r>
      <w:proofErr w:type="spellStart"/>
      <w:r w:rsidR="00083573" w:rsidRPr="000508B6">
        <w:rPr>
          <w:rFonts w:ascii="Times New Roman" w:hAnsi="Times New Roman" w:cs="Times New Roman"/>
          <w:lang w:val="ro-MD"/>
        </w:rPr>
        <w:t>terţ</w:t>
      </w:r>
      <w:proofErr w:type="spellEnd"/>
      <w:r w:rsidR="008952EC" w:rsidRPr="000508B6">
        <w:rPr>
          <w:rFonts w:ascii="Times New Roman" w:hAnsi="Times New Roman" w:cs="Times New Roman"/>
          <w:lang w:val="ro-MD"/>
        </w:rPr>
        <w:t xml:space="preserve"> sau </w:t>
      </w:r>
      <w:r w:rsidRPr="000508B6">
        <w:rPr>
          <w:rFonts w:ascii="Times New Roman" w:hAnsi="Times New Roman" w:cs="Times New Roman"/>
          <w:lang w:val="ro-MD"/>
        </w:rPr>
        <w:t xml:space="preserve">asigurători </w:t>
      </w:r>
      <w:r w:rsidR="008952EC"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8952EC" w:rsidRPr="000508B6">
        <w:rPr>
          <w:rFonts w:ascii="Times New Roman" w:hAnsi="Times New Roman" w:cs="Times New Roman"/>
          <w:lang w:val="ro-MD"/>
        </w:rPr>
        <w:t>din</w:t>
      </w:r>
      <w:r w:rsidR="00574631" w:rsidRPr="000508B6">
        <w:rPr>
          <w:rFonts w:ascii="Times New Roman" w:hAnsi="Times New Roman" w:cs="Times New Roman"/>
          <w:lang w:val="ro-MD"/>
        </w:rPr>
        <w:t>tr-un</w:t>
      </w:r>
      <w:r w:rsidR="008952EC" w:rsidRPr="000508B6">
        <w:rPr>
          <w:rFonts w:ascii="Times New Roman" w:hAnsi="Times New Roman" w:cs="Times New Roman"/>
          <w:lang w:val="ro-MD"/>
        </w:rPr>
        <w:t xml:space="preserve"> stat terț</w:t>
      </w:r>
      <w:r w:rsidR="00560E11" w:rsidRPr="000508B6">
        <w:rPr>
          <w:rFonts w:ascii="Times New Roman" w:hAnsi="Times New Roman" w:cs="Times New Roman"/>
          <w:lang w:val="ro-MD"/>
        </w:rPr>
        <w:t>, în conformitate cu art.152 și art. 193 alin.(30)-(34)</w:t>
      </w:r>
      <w:r w:rsidR="00083573" w:rsidRPr="000508B6">
        <w:rPr>
          <w:rFonts w:ascii="Times New Roman" w:hAnsi="Times New Roman" w:cs="Times New Roman"/>
          <w:lang w:val="ro-MD"/>
        </w:rPr>
        <w:t>;</w:t>
      </w:r>
    </w:p>
    <w:p w14:paraId="7CED8B8F" w14:textId="152F27BB" w:rsidR="00083573" w:rsidRPr="000508B6" w:rsidRDefault="00CF01DB" w:rsidP="00574631">
      <w:pPr>
        <w:numPr>
          <w:ilvl w:val="0"/>
          <w:numId w:val="40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asigurători </w:t>
      </w:r>
      <w:r w:rsidR="008952EC"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083573" w:rsidRPr="000508B6">
        <w:rPr>
          <w:rFonts w:ascii="Times New Roman" w:hAnsi="Times New Roman" w:cs="Times New Roman"/>
          <w:lang w:val="ro-MD"/>
        </w:rPr>
        <w:t>a căror societ</w:t>
      </w:r>
      <w:r w:rsidR="008D7602" w:rsidRPr="000508B6">
        <w:rPr>
          <w:rFonts w:ascii="Times New Roman" w:hAnsi="Times New Roman" w:cs="Times New Roman"/>
          <w:lang w:val="ro-MD"/>
        </w:rPr>
        <w:t>ate</w:t>
      </w:r>
      <w:r w:rsidR="00083573" w:rsidRPr="000508B6">
        <w:rPr>
          <w:rFonts w:ascii="Times New Roman" w:hAnsi="Times New Roman" w:cs="Times New Roman"/>
          <w:lang w:val="ro-MD"/>
        </w:rPr>
        <w:t xml:space="preserve">-mamă </w:t>
      </w:r>
      <w:r w:rsidR="008D7602" w:rsidRPr="000508B6">
        <w:rPr>
          <w:rFonts w:ascii="Times New Roman" w:hAnsi="Times New Roman" w:cs="Times New Roman"/>
          <w:lang w:val="ro-MD"/>
        </w:rPr>
        <w:t xml:space="preserve">este un </w:t>
      </w:r>
      <w:r w:rsidR="00083573" w:rsidRPr="000508B6">
        <w:rPr>
          <w:rFonts w:ascii="Times New Roman" w:hAnsi="Times New Roman" w:cs="Times New Roman"/>
          <w:lang w:val="ro-MD"/>
        </w:rPr>
        <w:t>holding mixt de asigurare</w:t>
      </w:r>
      <w:r w:rsidR="007E1BC2" w:rsidRPr="000508B6">
        <w:rPr>
          <w:rFonts w:ascii="Times New Roman" w:hAnsi="Times New Roman" w:cs="Times New Roman"/>
          <w:lang w:val="ro-MD"/>
        </w:rPr>
        <w:t>, în conformitate cu art.145</w:t>
      </w:r>
      <w:r w:rsidR="00164FC2" w:rsidRPr="000508B6">
        <w:rPr>
          <w:rFonts w:ascii="Times New Roman" w:hAnsi="Times New Roman" w:cs="Times New Roman"/>
          <w:lang w:val="ro-MD"/>
        </w:rPr>
        <w:t xml:space="preserve"> alin. (4) și (5)</w:t>
      </w:r>
      <w:r w:rsidR="00083573" w:rsidRPr="000508B6">
        <w:rPr>
          <w:rFonts w:ascii="Times New Roman" w:hAnsi="Times New Roman" w:cs="Times New Roman"/>
          <w:lang w:val="ro-MD"/>
        </w:rPr>
        <w:t xml:space="preserve">. </w:t>
      </w:r>
    </w:p>
    <w:p w14:paraId="0FF8A91C" w14:textId="1B9F65C8" w:rsidR="00A85D52" w:rsidRPr="000508B6" w:rsidRDefault="00A175AF" w:rsidP="00574631">
      <w:pPr>
        <w:numPr>
          <w:ilvl w:val="0"/>
          <w:numId w:val="8"/>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 sensul prezentului </w:t>
      </w:r>
      <w:r w:rsidR="00B0697D" w:rsidRPr="000508B6">
        <w:rPr>
          <w:rFonts w:ascii="Times New Roman" w:hAnsi="Times New Roman" w:cs="Times New Roman"/>
          <w:lang w:val="ro-MD"/>
        </w:rPr>
        <w:t>capitol</w:t>
      </w:r>
      <w:r w:rsidRPr="000508B6">
        <w:rPr>
          <w:rFonts w:ascii="Times New Roman" w:hAnsi="Times New Roman" w:cs="Times New Roman"/>
          <w:lang w:val="ro-MD"/>
        </w:rPr>
        <w:t xml:space="preserve">, </w:t>
      </w:r>
      <w:r w:rsidR="00717994" w:rsidRPr="000508B6">
        <w:rPr>
          <w:rFonts w:ascii="Times New Roman" w:hAnsi="Times New Roman" w:cs="Times New Roman"/>
          <w:lang w:val="ro-MD"/>
        </w:rPr>
        <w:t>Banca Națională a Moldovei consideră:</w:t>
      </w:r>
      <w:r w:rsidRPr="000508B6">
        <w:rPr>
          <w:rFonts w:ascii="Times New Roman" w:hAnsi="Times New Roman" w:cs="Times New Roman"/>
          <w:lang w:val="ro-MD"/>
        </w:rPr>
        <w:t xml:space="preserve"> </w:t>
      </w:r>
    </w:p>
    <w:p w14:paraId="39EDB1BF" w14:textId="4D13F21F" w:rsidR="00F50CFC" w:rsidRPr="000508B6" w:rsidRDefault="00F50CFC" w:rsidP="00574631">
      <w:pPr>
        <w:pStyle w:val="Listparagraf"/>
        <w:numPr>
          <w:ilvl w:val="0"/>
          <w:numId w:val="365"/>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societate</w:t>
      </w:r>
      <w:r w:rsidR="00A85D52" w:rsidRPr="000508B6">
        <w:rPr>
          <w:rFonts w:ascii="Times New Roman" w:hAnsi="Times New Roman" w:cs="Times New Roman"/>
          <w:lang w:val="ro-MD"/>
        </w:rPr>
        <w:t xml:space="preserve">-mamă </w:t>
      </w:r>
      <w:r w:rsidR="00DF53EE" w:rsidRPr="000508B6">
        <w:rPr>
          <w:rFonts w:ascii="Times New Roman" w:hAnsi="Times New Roman" w:cs="Times New Roman"/>
          <w:lang w:val="ro-MD"/>
        </w:rPr>
        <w:t>-</w:t>
      </w:r>
      <w:r w:rsidRPr="000508B6">
        <w:rPr>
          <w:rFonts w:ascii="Times New Roman" w:hAnsi="Times New Roman" w:cs="Times New Roman"/>
          <w:lang w:val="ro-MD"/>
        </w:rPr>
        <w:t xml:space="preserve"> </w:t>
      </w:r>
      <w:r w:rsidR="003F7DD1" w:rsidRPr="000508B6">
        <w:rPr>
          <w:rFonts w:ascii="Times New Roman" w:hAnsi="Times New Roman" w:cs="Times New Roman"/>
          <w:lang w:val="ro-MD"/>
        </w:rPr>
        <w:t xml:space="preserve">entitatea </w:t>
      </w:r>
      <w:r w:rsidRPr="000508B6">
        <w:rPr>
          <w:rFonts w:ascii="Times New Roman" w:hAnsi="Times New Roman" w:cs="Times New Roman"/>
          <w:lang w:val="ro-MD"/>
        </w:rPr>
        <w:t xml:space="preserve">care </w:t>
      </w:r>
      <w:r w:rsidR="00A85D52" w:rsidRPr="000508B6">
        <w:rPr>
          <w:rFonts w:ascii="Times New Roman" w:hAnsi="Times New Roman" w:cs="Times New Roman"/>
          <w:lang w:val="ro-MD"/>
        </w:rPr>
        <w:t xml:space="preserve">exercită în mod efectiv o influență dominantă asupra altei </w:t>
      </w:r>
      <w:r w:rsidR="009733E5" w:rsidRPr="000508B6">
        <w:rPr>
          <w:rFonts w:ascii="Times New Roman" w:hAnsi="Times New Roman" w:cs="Times New Roman"/>
          <w:lang w:val="ro-MD"/>
        </w:rPr>
        <w:t>entități</w:t>
      </w:r>
      <w:r w:rsidR="00A85D52" w:rsidRPr="000508B6">
        <w:rPr>
          <w:rFonts w:ascii="Times New Roman" w:hAnsi="Times New Roman" w:cs="Times New Roman"/>
          <w:lang w:val="ro-MD"/>
        </w:rPr>
        <w:t xml:space="preserve">, inclusiv, în cazul în care această influență este exercitată prin coordonare centralizată, asupra deciziilor celeilalte </w:t>
      </w:r>
      <w:r w:rsidR="009733E5" w:rsidRPr="000508B6">
        <w:rPr>
          <w:rFonts w:ascii="Times New Roman" w:hAnsi="Times New Roman" w:cs="Times New Roman"/>
          <w:lang w:val="ro-MD"/>
        </w:rPr>
        <w:t>entități</w:t>
      </w:r>
      <w:r w:rsidRPr="000508B6">
        <w:rPr>
          <w:rFonts w:ascii="Times New Roman" w:hAnsi="Times New Roman" w:cs="Times New Roman"/>
          <w:lang w:val="ro-MD"/>
        </w:rPr>
        <w:t>;</w:t>
      </w:r>
      <w:r w:rsidR="008364A5" w:rsidRPr="000508B6">
        <w:rPr>
          <w:rFonts w:ascii="Times New Roman" w:hAnsi="Times New Roman" w:cs="Times New Roman"/>
          <w:lang w:val="ro-MD"/>
        </w:rPr>
        <w:t xml:space="preserve"> </w:t>
      </w:r>
    </w:p>
    <w:p w14:paraId="63202560" w14:textId="113C6A27" w:rsidR="007C2440" w:rsidRPr="000508B6" w:rsidRDefault="007C2440" w:rsidP="00775325">
      <w:pPr>
        <w:pStyle w:val="Listparagraf"/>
        <w:numPr>
          <w:ilvl w:val="0"/>
          <w:numId w:val="365"/>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grup </w:t>
      </w:r>
      <w:r w:rsidR="000427B6" w:rsidRPr="000508B6">
        <w:rPr>
          <w:rFonts w:ascii="Times New Roman" w:hAnsi="Times New Roman" w:cs="Times New Roman"/>
          <w:lang w:val="ro-MD"/>
        </w:rPr>
        <w:t>–în sensul art</w:t>
      </w:r>
      <w:r w:rsidR="00007F28" w:rsidRPr="000508B6">
        <w:rPr>
          <w:rFonts w:ascii="Times New Roman" w:hAnsi="Times New Roman" w:cs="Times New Roman"/>
          <w:lang w:val="ro-MD"/>
        </w:rPr>
        <w:t>.</w:t>
      </w:r>
      <w:r w:rsidR="00CF01DB" w:rsidRPr="000508B6">
        <w:rPr>
          <w:rFonts w:ascii="Times New Roman" w:hAnsi="Times New Roman" w:cs="Times New Roman"/>
          <w:lang w:val="ro-MD"/>
        </w:rPr>
        <w:t xml:space="preserve"> </w:t>
      </w:r>
      <w:r w:rsidR="000427B6" w:rsidRPr="000508B6">
        <w:rPr>
          <w:rFonts w:ascii="Times New Roman" w:hAnsi="Times New Roman" w:cs="Times New Roman"/>
          <w:lang w:val="ro-MD"/>
        </w:rPr>
        <w:t xml:space="preserve">3 pct. </w:t>
      </w:r>
      <w:r w:rsidR="00F936C8" w:rsidRPr="000508B6">
        <w:rPr>
          <w:rFonts w:ascii="Times New Roman" w:hAnsi="Times New Roman" w:cs="Times New Roman"/>
          <w:lang w:val="ro-MD"/>
        </w:rPr>
        <w:t>3</w:t>
      </w:r>
      <w:r w:rsidR="00C96119" w:rsidRPr="000508B6">
        <w:rPr>
          <w:rFonts w:ascii="Times New Roman" w:hAnsi="Times New Roman" w:cs="Times New Roman"/>
          <w:lang w:val="ro-MD"/>
        </w:rPr>
        <w:t>5</w:t>
      </w:r>
      <w:r w:rsidR="000427B6" w:rsidRPr="000508B6">
        <w:rPr>
          <w:rFonts w:ascii="Times New Roman" w:hAnsi="Times New Roman" w:cs="Times New Roman"/>
          <w:lang w:val="ro-MD"/>
        </w:rPr>
        <w:t>)</w:t>
      </w:r>
      <w:r w:rsidR="008D556C" w:rsidRPr="000508B6">
        <w:rPr>
          <w:rFonts w:ascii="Times New Roman" w:hAnsi="Times New Roman" w:cs="Times New Roman"/>
          <w:lang w:val="ro-MD"/>
        </w:rPr>
        <w:t>,</w:t>
      </w:r>
      <w:r w:rsidRPr="000508B6">
        <w:rPr>
          <w:rFonts w:ascii="Times New Roman" w:hAnsi="Times New Roman" w:cs="Times New Roman"/>
          <w:lang w:val="ro-MD"/>
        </w:rPr>
        <w:t xml:space="preserve"> două sau mai multe </w:t>
      </w:r>
      <w:r w:rsidR="00ED48D3" w:rsidRPr="000508B6">
        <w:rPr>
          <w:rFonts w:ascii="Times New Roman" w:hAnsi="Times New Roman" w:cs="Times New Roman"/>
          <w:lang w:val="ro-MD"/>
        </w:rPr>
        <w:t xml:space="preserve">entități </w:t>
      </w:r>
      <w:r w:rsidRPr="000508B6">
        <w:rPr>
          <w:rFonts w:ascii="Times New Roman" w:hAnsi="Times New Roman" w:cs="Times New Roman"/>
          <w:lang w:val="ro-MD"/>
        </w:rPr>
        <w:t>care sunt administrate pe o bază unitară</w:t>
      </w:r>
      <w:r w:rsidR="008364A5" w:rsidRPr="000508B6">
        <w:rPr>
          <w:rFonts w:ascii="Times New Roman" w:hAnsi="Times New Roman" w:cs="Times New Roman"/>
          <w:lang w:val="ro-MD"/>
        </w:rPr>
        <w:t xml:space="preserve">. </w:t>
      </w:r>
    </w:p>
    <w:p w14:paraId="2BA755E9" w14:textId="55C11A4E" w:rsidR="00F30DDE" w:rsidRPr="000508B6" w:rsidRDefault="00A714E2" w:rsidP="00A714E2">
      <w:pPr>
        <w:tabs>
          <w:tab w:val="left" w:pos="993"/>
        </w:tabs>
        <w:spacing w:after="0" w:line="240" w:lineRule="auto"/>
        <w:ind w:firstLine="567"/>
        <w:jc w:val="both"/>
        <w:rPr>
          <w:rFonts w:ascii="Times New Roman" w:hAnsi="Times New Roman" w:cs="Times New Roman"/>
          <w:lang w:val="ro-MD"/>
        </w:rPr>
      </w:pPr>
      <w:r w:rsidRPr="000508B6">
        <w:rPr>
          <w:rFonts w:ascii="Times New Roman" w:hAnsi="Times New Roman" w:cs="Times New Roman"/>
          <w:lang w:val="ro-MD"/>
        </w:rPr>
        <w:t xml:space="preserve">c) </w:t>
      </w:r>
      <w:r w:rsidR="00B93756" w:rsidRPr="000508B6">
        <w:rPr>
          <w:rFonts w:ascii="Times New Roman" w:hAnsi="Times New Roman" w:cs="Times New Roman"/>
          <w:lang w:val="ro-MD"/>
        </w:rPr>
        <w:t xml:space="preserve">filială - </w:t>
      </w:r>
      <w:r w:rsidR="00511BD8" w:rsidRPr="000508B6">
        <w:rPr>
          <w:rFonts w:ascii="Times New Roman" w:hAnsi="Times New Roman" w:cs="Times New Roman"/>
          <w:lang w:val="ro-MD"/>
        </w:rPr>
        <w:t xml:space="preserve">entitate </w:t>
      </w:r>
      <w:r w:rsidR="003F7DD1" w:rsidRPr="000508B6">
        <w:rPr>
          <w:rFonts w:ascii="Times New Roman" w:hAnsi="Times New Roman" w:cs="Times New Roman"/>
          <w:lang w:val="ro-MD"/>
        </w:rPr>
        <w:t xml:space="preserve">asupra căreia </w:t>
      </w:r>
      <w:r w:rsidR="00B93756" w:rsidRPr="000508B6">
        <w:rPr>
          <w:rFonts w:ascii="Times New Roman" w:hAnsi="Times New Roman" w:cs="Times New Roman"/>
          <w:lang w:val="ro-MD"/>
        </w:rPr>
        <w:t>o societate-mamă</w:t>
      </w:r>
      <w:r w:rsidR="003F7DD1" w:rsidRPr="000508B6">
        <w:rPr>
          <w:rFonts w:ascii="Times New Roman" w:hAnsi="Times New Roman" w:cs="Times New Roman"/>
          <w:lang w:val="ro-MD"/>
        </w:rPr>
        <w:t xml:space="preserve"> exercită în mod efectiv o influență dominantă</w:t>
      </w:r>
      <w:r w:rsidR="00B93756" w:rsidRPr="000508B6">
        <w:rPr>
          <w:rFonts w:ascii="Times New Roman" w:hAnsi="Times New Roman" w:cs="Times New Roman"/>
          <w:lang w:val="ro-MD"/>
        </w:rPr>
        <w:t xml:space="preserve">. </w:t>
      </w:r>
    </w:p>
    <w:p w14:paraId="34A41688" w14:textId="6C1B0EC1" w:rsidR="00B93756" w:rsidRPr="000508B6" w:rsidRDefault="00A714E2" w:rsidP="00A714E2">
      <w:pPr>
        <w:tabs>
          <w:tab w:val="left" w:pos="993"/>
        </w:tabs>
        <w:spacing w:after="0" w:line="240" w:lineRule="auto"/>
        <w:ind w:firstLine="567"/>
        <w:jc w:val="both"/>
        <w:rPr>
          <w:rFonts w:ascii="Times New Roman" w:hAnsi="Times New Roman" w:cs="Times New Roman"/>
          <w:lang w:val="ro-MD"/>
        </w:rPr>
      </w:pPr>
      <w:r w:rsidRPr="000508B6">
        <w:rPr>
          <w:rFonts w:ascii="Times New Roman" w:hAnsi="Times New Roman" w:cs="Times New Roman"/>
          <w:lang w:val="ro-MD"/>
        </w:rPr>
        <w:t xml:space="preserve">d) </w:t>
      </w:r>
      <w:proofErr w:type="spellStart"/>
      <w:r w:rsidR="000427B6" w:rsidRPr="000508B6">
        <w:rPr>
          <w:rFonts w:ascii="Times New Roman" w:hAnsi="Times New Roman" w:cs="Times New Roman"/>
          <w:lang w:val="ro-MD"/>
        </w:rPr>
        <w:t>participaţie</w:t>
      </w:r>
      <w:proofErr w:type="spellEnd"/>
      <w:r w:rsidR="000427B6" w:rsidRPr="000508B6">
        <w:rPr>
          <w:rFonts w:ascii="Times New Roman" w:hAnsi="Times New Roman" w:cs="Times New Roman"/>
          <w:lang w:val="ro-MD"/>
        </w:rPr>
        <w:t xml:space="preserve"> – </w:t>
      </w:r>
      <w:proofErr w:type="spellStart"/>
      <w:r w:rsidR="000427B6" w:rsidRPr="000508B6">
        <w:rPr>
          <w:rFonts w:ascii="Times New Roman" w:hAnsi="Times New Roman" w:cs="Times New Roman"/>
          <w:lang w:val="ro-MD"/>
        </w:rPr>
        <w:t>deţinere</w:t>
      </w:r>
      <w:proofErr w:type="spellEnd"/>
      <w:r w:rsidR="000427B6" w:rsidRPr="000508B6">
        <w:rPr>
          <w:rFonts w:ascii="Times New Roman" w:hAnsi="Times New Roman" w:cs="Times New Roman"/>
          <w:lang w:val="ro-MD"/>
        </w:rPr>
        <w:t xml:space="preserve">, </w:t>
      </w:r>
      <w:r w:rsidR="005E6D32" w:rsidRPr="000508B6">
        <w:rPr>
          <w:rFonts w:ascii="Times New Roman" w:hAnsi="Times New Roman" w:cs="Times New Roman"/>
          <w:lang w:val="ro-MD"/>
        </w:rPr>
        <w:t>directă sau indirectă, a drepturilor de vot sau de capital într-o entitate asupra căreia se exercită în mod efectiv o influență semnificativă.</w:t>
      </w:r>
    </w:p>
    <w:p w14:paraId="5304F6CC" w14:textId="6511FBF2" w:rsidR="00A175AF" w:rsidRPr="000508B6" w:rsidRDefault="00A175AF" w:rsidP="008B29E3">
      <w:pPr>
        <w:numPr>
          <w:ilvl w:val="0"/>
          <w:numId w:val="8"/>
        </w:numPr>
        <w:tabs>
          <w:tab w:val="left" w:pos="993"/>
        </w:tabs>
        <w:spacing w:after="0" w:line="240" w:lineRule="auto"/>
        <w:ind w:left="0" w:firstLine="567"/>
        <w:jc w:val="both"/>
        <w:rPr>
          <w:rFonts w:ascii="Times New Roman" w:hAnsi="Times New Roman" w:cs="Times New Roman"/>
          <w:lang w:val="ro-MD"/>
        </w:rPr>
      </w:pPr>
      <w:bookmarkStart w:id="130" w:name="_Hlk206493283"/>
      <w:r w:rsidRPr="000508B6">
        <w:rPr>
          <w:rFonts w:ascii="Times New Roman" w:hAnsi="Times New Roman" w:cs="Times New Roman"/>
          <w:lang w:val="ro-MD"/>
        </w:rPr>
        <w:t xml:space="preserve">În cazul în care nu toate </w:t>
      </w:r>
      <w:r w:rsidR="00ED48D3" w:rsidRPr="000508B6">
        <w:rPr>
          <w:rFonts w:ascii="Times New Roman" w:hAnsi="Times New Roman" w:cs="Times New Roman"/>
          <w:lang w:val="ro-MD"/>
        </w:rPr>
        <w:t xml:space="preserve">entitățile </w:t>
      </w:r>
      <w:r w:rsidRPr="000508B6">
        <w:rPr>
          <w:rFonts w:ascii="Times New Roman" w:hAnsi="Times New Roman" w:cs="Times New Roman"/>
          <w:lang w:val="ro-MD"/>
        </w:rPr>
        <w:t>menționate la alin.</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w:t>
      </w:r>
      <w:r w:rsidR="00083573" w:rsidRPr="000508B6">
        <w:rPr>
          <w:rFonts w:ascii="Times New Roman" w:hAnsi="Times New Roman" w:cs="Times New Roman"/>
          <w:lang w:val="ro-MD"/>
        </w:rPr>
        <w:t>4</w:t>
      </w:r>
      <w:r w:rsidRPr="000508B6">
        <w:rPr>
          <w:rFonts w:ascii="Times New Roman" w:hAnsi="Times New Roman" w:cs="Times New Roman"/>
          <w:lang w:val="ro-MD"/>
        </w:rPr>
        <w:t xml:space="preserve">) </w:t>
      </w:r>
      <w:r w:rsidR="008364A5" w:rsidRPr="000508B6">
        <w:rPr>
          <w:rFonts w:ascii="Times New Roman" w:hAnsi="Times New Roman" w:cs="Times New Roman"/>
          <w:lang w:val="ro-MD"/>
        </w:rPr>
        <w:t>lit.</w:t>
      </w:r>
      <w:r w:rsidR="0088531B" w:rsidRPr="000508B6">
        <w:rPr>
          <w:rFonts w:ascii="Times New Roman" w:hAnsi="Times New Roman" w:cs="Times New Roman"/>
          <w:lang w:val="ro-MD"/>
        </w:rPr>
        <w:t xml:space="preserve"> </w:t>
      </w:r>
      <w:r w:rsidR="008364A5" w:rsidRPr="000508B6">
        <w:rPr>
          <w:rFonts w:ascii="Times New Roman" w:hAnsi="Times New Roman" w:cs="Times New Roman"/>
          <w:lang w:val="ro-MD"/>
        </w:rPr>
        <w:t xml:space="preserve">b) </w:t>
      </w:r>
      <w:r w:rsidRPr="000508B6">
        <w:rPr>
          <w:rFonts w:ascii="Times New Roman" w:hAnsi="Times New Roman" w:cs="Times New Roman"/>
          <w:lang w:val="ro-MD"/>
        </w:rPr>
        <w:t xml:space="preserve">au sediul central în același stat membru, Banca </w:t>
      </w:r>
      <w:r w:rsidR="00B812F2" w:rsidRPr="000508B6">
        <w:rPr>
          <w:rFonts w:ascii="Times New Roman" w:hAnsi="Times New Roman" w:cs="Times New Roman"/>
          <w:lang w:val="ro-MD"/>
        </w:rPr>
        <w:t>N</w:t>
      </w:r>
      <w:r w:rsidRPr="000508B6">
        <w:rPr>
          <w:rFonts w:ascii="Times New Roman" w:hAnsi="Times New Roman" w:cs="Times New Roman"/>
          <w:lang w:val="ro-MD"/>
        </w:rPr>
        <w:t>ațională a Moldovei</w:t>
      </w:r>
      <w:r w:rsidR="00875EA4" w:rsidRPr="000508B6">
        <w:rPr>
          <w:rFonts w:ascii="Times New Roman" w:hAnsi="Times New Roman" w:cs="Times New Roman"/>
          <w:lang w:val="ro-MD"/>
        </w:rPr>
        <w:t>, în calitate de supraveghetor coordonator</w:t>
      </w:r>
      <w:r w:rsidRPr="000508B6">
        <w:rPr>
          <w:rFonts w:ascii="Times New Roman" w:hAnsi="Times New Roman" w:cs="Times New Roman"/>
          <w:lang w:val="ro-MD"/>
        </w:rPr>
        <w:t xml:space="preserve"> </w:t>
      </w:r>
      <w:r w:rsidR="009E6416" w:rsidRPr="000508B6">
        <w:rPr>
          <w:rFonts w:ascii="Times New Roman" w:hAnsi="Times New Roman" w:cs="Times New Roman"/>
          <w:lang w:val="ro-MD"/>
        </w:rPr>
        <w:t>desemnat în temeiul</w:t>
      </w:r>
      <w:r w:rsidR="00F936C8" w:rsidRPr="000508B6">
        <w:rPr>
          <w:rFonts w:ascii="Times New Roman" w:hAnsi="Times New Roman" w:cs="Times New Roman"/>
          <w:lang w:val="ro-MD"/>
        </w:rPr>
        <w:t xml:space="preserve"> </w:t>
      </w:r>
      <w:r w:rsidR="009E6416" w:rsidRPr="000508B6">
        <w:rPr>
          <w:rFonts w:ascii="Times New Roman" w:hAnsi="Times New Roman" w:cs="Times New Roman"/>
          <w:lang w:val="ro-MD"/>
        </w:rPr>
        <w:t xml:space="preserve">art. </w:t>
      </w:r>
      <w:r w:rsidR="005E4B61" w:rsidRPr="000508B6">
        <w:rPr>
          <w:rFonts w:ascii="Times New Roman" w:hAnsi="Times New Roman" w:cs="Times New Roman"/>
          <w:lang w:val="ro-MD"/>
        </w:rPr>
        <w:t>192 alin. (3) și (4) și art. 193 alin. (1) și alin. (3)-(5)</w:t>
      </w:r>
      <w:r w:rsidR="00D876B5" w:rsidRPr="000508B6">
        <w:rPr>
          <w:rFonts w:ascii="Times New Roman" w:hAnsi="Times New Roman" w:cs="Times New Roman"/>
          <w:lang w:val="ro-MD"/>
        </w:rPr>
        <w:t xml:space="preserve"> </w:t>
      </w:r>
      <w:r w:rsidRPr="000508B6">
        <w:rPr>
          <w:rFonts w:ascii="Times New Roman" w:hAnsi="Times New Roman" w:cs="Times New Roman"/>
          <w:lang w:val="ro-MD"/>
        </w:rPr>
        <w:t xml:space="preserve">poate concluziona, după consultarea </w:t>
      </w:r>
      <w:r w:rsidR="00492065" w:rsidRPr="000508B6">
        <w:rPr>
          <w:rFonts w:ascii="Times New Roman" w:hAnsi="Times New Roman" w:cs="Times New Roman"/>
          <w:lang w:val="ro-MD"/>
        </w:rPr>
        <w:t>celorlalți</w:t>
      </w:r>
      <w:r w:rsidR="0010363D" w:rsidRPr="000508B6">
        <w:rPr>
          <w:rFonts w:ascii="Times New Roman" w:hAnsi="Times New Roman" w:cs="Times New Roman"/>
          <w:lang w:val="ro-MD"/>
        </w:rPr>
        <w:t xml:space="preserve"> su</w:t>
      </w:r>
      <w:r w:rsidR="00DF53EE" w:rsidRPr="000508B6">
        <w:rPr>
          <w:rFonts w:ascii="Times New Roman" w:hAnsi="Times New Roman" w:cs="Times New Roman"/>
          <w:lang w:val="ro-MD"/>
        </w:rPr>
        <w:t>p</w:t>
      </w:r>
      <w:r w:rsidR="0010363D" w:rsidRPr="000508B6">
        <w:rPr>
          <w:rFonts w:ascii="Times New Roman" w:hAnsi="Times New Roman" w:cs="Times New Roman"/>
          <w:lang w:val="ro-MD"/>
        </w:rPr>
        <w:t>raveghetori</w:t>
      </w:r>
      <w:r w:rsidR="00ED48D3" w:rsidRPr="000508B6">
        <w:rPr>
          <w:rFonts w:ascii="Times New Roman" w:hAnsi="Times New Roman" w:cs="Times New Roman"/>
          <w:lang w:val="ro-MD"/>
        </w:rPr>
        <w:t xml:space="preserve"> implicați</w:t>
      </w:r>
      <w:r w:rsidRPr="000508B6">
        <w:rPr>
          <w:rFonts w:ascii="Times New Roman" w:hAnsi="Times New Roman" w:cs="Times New Roman"/>
          <w:lang w:val="ro-MD"/>
        </w:rPr>
        <w:t xml:space="preserve">, că </w:t>
      </w:r>
      <w:r w:rsidR="00ED48D3" w:rsidRPr="000508B6">
        <w:rPr>
          <w:rFonts w:ascii="Times New Roman" w:hAnsi="Times New Roman" w:cs="Times New Roman"/>
          <w:lang w:val="ro-MD"/>
        </w:rPr>
        <w:t xml:space="preserve">entitățile </w:t>
      </w:r>
      <w:r w:rsidRPr="000508B6">
        <w:rPr>
          <w:rFonts w:ascii="Times New Roman" w:hAnsi="Times New Roman" w:cs="Times New Roman"/>
          <w:lang w:val="ro-MD"/>
        </w:rPr>
        <w:t>respective sunt administrate pe o bază unitară</w:t>
      </w:r>
      <w:r w:rsidR="00ED48D3" w:rsidRPr="000508B6">
        <w:rPr>
          <w:rFonts w:ascii="Times New Roman" w:hAnsi="Times New Roman" w:cs="Times New Roman"/>
          <w:lang w:val="ro-MD"/>
        </w:rPr>
        <w:t xml:space="preserve"> și prin urmare formează un grup</w:t>
      </w:r>
      <w:r w:rsidRPr="000508B6">
        <w:rPr>
          <w:rFonts w:ascii="Times New Roman" w:hAnsi="Times New Roman" w:cs="Times New Roman"/>
          <w:lang w:val="ro-MD"/>
        </w:rPr>
        <w:t>.</w:t>
      </w:r>
      <w:r w:rsidR="008364A5" w:rsidRPr="000508B6">
        <w:rPr>
          <w:rFonts w:ascii="Times New Roman" w:hAnsi="Times New Roman" w:cs="Times New Roman"/>
          <w:lang w:val="ro-MD"/>
        </w:rPr>
        <w:t xml:space="preserve"> </w:t>
      </w:r>
      <w:bookmarkEnd w:id="130"/>
    </w:p>
    <w:p w14:paraId="4991CC40" w14:textId="4B22AECF" w:rsidR="00A175AF" w:rsidRPr="000508B6" w:rsidRDefault="00D31812" w:rsidP="008B29E3">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cazul în care</w:t>
      </w:r>
      <w:r w:rsidR="00A175AF" w:rsidRPr="000508B6">
        <w:rPr>
          <w:rFonts w:ascii="Times New Roman" w:hAnsi="Times New Roman" w:cs="Times New Roman"/>
          <w:lang w:val="ro-MD"/>
        </w:rPr>
        <w:t xml:space="preserve"> identifică o relație între cel puțin două </w:t>
      </w:r>
      <w:r w:rsidR="005E6D32" w:rsidRPr="000508B6">
        <w:rPr>
          <w:rFonts w:ascii="Times New Roman" w:hAnsi="Times New Roman" w:cs="Times New Roman"/>
          <w:lang w:val="ro-MD"/>
        </w:rPr>
        <w:t xml:space="preserve">entități </w:t>
      </w:r>
      <w:r w:rsidR="00A175AF" w:rsidRPr="000508B6">
        <w:rPr>
          <w:rFonts w:ascii="Times New Roman" w:hAnsi="Times New Roman" w:cs="Times New Roman"/>
          <w:lang w:val="ro-MD"/>
        </w:rPr>
        <w:t>menționate la alin. (</w:t>
      </w:r>
      <w:r w:rsidR="00083573" w:rsidRPr="000508B6">
        <w:rPr>
          <w:rFonts w:ascii="Times New Roman" w:hAnsi="Times New Roman" w:cs="Times New Roman"/>
          <w:lang w:val="ro-MD"/>
        </w:rPr>
        <w:t>4</w:t>
      </w:r>
      <w:r w:rsidR="00A175AF" w:rsidRPr="000508B6">
        <w:rPr>
          <w:rFonts w:ascii="Times New Roman" w:hAnsi="Times New Roman" w:cs="Times New Roman"/>
          <w:lang w:val="ro-MD"/>
        </w:rPr>
        <w:t xml:space="preserve">) </w:t>
      </w:r>
      <w:r w:rsidR="0054638D" w:rsidRPr="000508B6">
        <w:rPr>
          <w:rFonts w:ascii="Times New Roman" w:hAnsi="Times New Roman" w:cs="Times New Roman"/>
          <w:lang w:val="ro-MD"/>
        </w:rPr>
        <w:t xml:space="preserve">și </w:t>
      </w:r>
      <w:r w:rsidR="009E6416" w:rsidRPr="000508B6">
        <w:rPr>
          <w:rFonts w:ascii="Times New Roman" w:hAnsi="Times New Roman" w:cs="Times New Roman"/>
          <w:lang w:val="ro-MD"/>
        </w:rPr>
        <w:t xml:space="preserve">alin. </w:t>
      </w:r>
      <w:r w:rsidR="00F84E15" w:rsidRPr="000508B6">
        <w:rPr>
          <w:rFonts w:ascii="Times New Roman" w:hAnsi="Times New Roman" w:cs="Times New Roman"/>
          <w:lang w:val="ro-MD"/>
        </w:rPr>
        <w:t>(</w:t>
      </w:r>
      <w:r w:rsidR="00083573" w:rsidRPr="000508B6">
        <w:rPr>
          <w:rFonts w:ascii="Times New Roman" w:hAnsi="Times New Roman" w:cs="Times New Roman"/>
          <w:lang w:val="ro-MD"/>
        </w:rPr>
        <w:t>5</w:t>
      </w:r>
      <w:r w:rsidR="00F84E15" w:rsidRPr="000508B6">
        <w:rPr>
          <w:rFonts w:ascii="Times New Roman" w:hAnsi="Times New Roman" w:cs="Times New Roman"/>
          <w:lang w:val="ro-MD"/>
        </w:rPr>
        <w:t>)</w:t>
      </w:r>
      <w:r w:rsidR="00A175AF" w:rsidRPr="000508B6">
        <w:rPr>
          <w:rFonts w:ascii="Times New Roman" w:hAnsi="Times New Roman" w:cs="Times New Roman"/>
          <w:lang w:val="ro-MD"/>
        </w:rPr>
        <w:t>, Banca Națională a Moldovei ia în considerare următorii factori:</w:t>
      </w:r>
    </w:p>
    <w:p w14:paraId="79559EFE" w14:textId="33CF80AB" w:rsidR="00A175AF" w:rsidRPr="000508B6" w:rsidRDefault="00A175AF" w:rsidP="00574631">
      <w:pPr>
        <w:pStyle w:val="Listparagraf"/>
        <w:numPr>
          <w:ilvl w:val="0"/>
          <w:numId w:val="312"/>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controlul sau capacitatea unei persoane fizice sau a unei entități de a influența deciziile, inclusiv financiare, ale unei </w:t>
      </w:r>
      <w:r w:rsidR="008649B8" w:rsidRPr="000508B6">
        <w:rPr>
          <w:rFonts w:ascii="Times New Roman" w:hAnsi="Times New Roman" w:cs="Times New Roman"/>
          <w:lang w:val="ro-MD"/>
        </w:rPr>
        <w:t>entități</w:t>
      </w:r>
      <w:r w:rsidRPr="000508B6">
        <w:rPr>
          <w:rFonts w:ascii="Times New Roman" w:hAnsi="Times New Roman" w:cs="Times New Roman"/>
          <w:lang w:val="ro-MD"/>
        </w:rPr>
        <w:t>, în special ca urmare a deținerii de capital sau de drepturi de vot, a reprezentării în organ</w:t>
      </w:r>
      <w:r w:rsidR="005E6D32" w:rsidRPr="000508B6">
        <w:rPr>
          <w:rFonts w:ascii="Times New Roman" w:hAnsi="Times New Roman" w:cs="Times New Roman"/>
          <w:lang w:val="ro-MD"/>
        </w:rPr>
        <w:t>ele</w:t>
      </w:r>
      <w:r w:rsidRPr="000508B6">
        <w:rPr>
          <w:rFonts w:ascii="Times New Roman" w:hAnsi="Times New Roman" w:cs="Times New Roman"/>
          <w:lang w:val="ro-MD"/>
        </w:rPr>
        <w:t xml:space="preserve"> de conducere sau a faptului că se numără printre persoanele care conduc efectiv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sau care dețin alte funcții</w:t>
      </w:r>
      <w:r w:rsidR="00C94220" w:rsidRPr="000508B6">
        <w:rPr>
          <w:rFonts w:ascii="Times New Roman" w:hAnsi="Times New Roman" w:cs="Times New Roman"/>
          <w:lang w:val="ro-MD"/>
        </w:rPr>
        <w:t xml:space="preserve"> critice</w:t>
      </w:r>
      <w:r w:rsidRPr="000508B6">
        <w:rPr>
          <w:rFonts w:ascii="Times New Roman" w:hAnsi="Times New Roman" w:cs="Times New Roman"/>
          <w:lang w:val="ro-MD"/>
        </w:rPr>
        <w:t>;</w:t>
      </w:r>
    </w:p>
    <w:p w14:paraId="7D49B561" w14:textId="03BC66F6" w:rsidR="00A175AF" w:rsidRPr="000508B6" w:rsidRDefault="00A175AF" w:rsidP="00574631">
      <w:pPr>
        <w:pStyle w:val="Listparagraf"/>
        <w:numPr>
          <w:ilvl w:val="0"/>
          <w:numId w:val="312"/>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dependența puternică a unei </w:t>
      </w:r>
      <w:r w:rsidR="005E6D32" w:rsidRPr="000508B6">
        <w:rPr>
          <w:rFonts w:ascii="Times New Roman" w:hAnsi="Times New Roman" w:cs="Times New Roman"/>
          <w:lang w:val="ro-MD"/>
        </w:rPr>
        <w:t xml:space="preserve">entități </w:t>
      </w:r>
      <w:r w:rsidRPr="000508B6">
        <w:rPr>
          <w:rFonts w:ascii="Times New Roman" w:hAnsi="Times New Roman" w:cs="Times New Roman"/>
          <w:lang w:val="ro-MD"/>
        </w:rPr>
        <w:t>de o altă enti</w:t>
      </w:r>
      <w:r w:rsidR="00D4259E" w:rsidRPr="000508B6">
        <w:rPr>
          <w:rFonts w:ascii="Times New Roman" w:hAnsi="Times New Roman" w:cs="Times New Roman"/>
          <w:lang w:val="ro-MD"/>
        </w:rPr>
        <w:t>t</w:t>
      </w:r>
      <w:r w:rsidRPr="000508B6">
        <w:rPr>
          <w:rFonts w:ascii="Times New Roman" w:hAnsi="Times New Roman" w:cs="Times New Roman"/>
          <w:lang w:val="ro-MD"/>
        </w:rPr>
        <w:t xml:space="preserve">ate sau persoană juridică sau fizică, ca urmare a existenței unor tranzacții sau operațiuni financiare sau nefinanciare semnificative, inclusiv a externalizării și a partajării personalului între </w:t>
      </w:r>
      <w:r w:rsidR="005E6D32" w:rsidRPr="000508B6">
        <w:rPr>
          <w:rFonts w:ascii="Times New Roman" w:hAnsi="Times New Roman" w:cs="Times New Roman"/>
          <w:lang w:val="ro-MD"/>
        </w:rPr>
        <w:t>entități</w:t>
      </w:r>
      <w:r w:rsidRPr="000508B6">
        <w:rPr>
          <w:rFonts w:ascii="Times New Roman" w:hAnsi="Times New Roman" w:cs="Times New Roman"/>
          <w:lang w:val="ro-MD"/>
        </w:rPr>
        <w:t>;</w:t>
      </w:r>
    </w:p>
    <w:p w14:paraId="5C933E37" w14:textId="3228EBCB" w:rsidR="00A175AF" w:rsidRPr="000508B6" w:rsidRDefault="00A175AF" w:rsidP="00574631">
      <w:pPr>
        <w:pStyle w:val="Listparagraf"/>
        <w:numPr>
          <w:ilvl w:val="0"/>
          <w:numId w:val="312"/>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dovada coordonării deciziilor financiare sau de investire între două sau mai multe </w:t>
      </w:r>
      <w:r w:rsidR="005E6D32" w:rsidRPr="000508B6">
        <w:rPr>
          <w:rFonts w:ascii="Times New Roman" w:hAnsi="Times New Roman" w:cs="Times New Roman"/>
          <w:lang w:val="ro-MD"/>
        </w:rPr>
        <w:t>entități</w:t>
      </w:r>
      <w:r w:rsidRPr="000508B6">
        <w:rPr>
          <w:rFonts w:ascii="Times New Roman" w:hAnsi="Times New Roman" w:cs="Times New Roman"/>
          <w:lang w:val="ro-MD"/>
        </w:rPr>
        <w:t xml:space="preserve">, inclusiv în ceea ce privește investiții comune în </w:t>
      </w:r>
      <w:r w:rsidR="005E6D32" w:rsidRPr="000508B6">
        <w:rPr>
          <w:rFonts w:ascii="Times New Roman" w:hAnsi="Times New Roman" w:cs="Times New Roman"/>
          <w:lang w:val="ro-MD"/>
        </w:rPr>
        <w:t>entități</w:t>
      </w:r>
      <w:r w:rsidR="008649B8" w:rsidRPr="000508B6">
        <w:rPr>
          <w:rFonts w:ascii="Times New Roman" w:hAnsi="Times New Roman" w:cs="Times New Roman"/>
          <w:lang w:val="ro-MD"/>
        </w:rPr>
        <w:t>le</w:t>
      </w:r>
      <w:r w:rsidR="005E6D32" w:rsidRPr="000508B6">
        <w:rPr>
          <w:rFonts w:ascii="Times New Roman" w:hAnsi="Times New Roman" w:cs="Times New Roman"/>
          <w:lang w:val="ro-MD"/>
        </w:rPr>
        <w:t xml:space="preserve"> </w:t>
      </w:r>
      <w:r w:rsidRPr="000508B6">
        <w:rPr>
          <w:rFonts w:ascii="Times New Roman" w:hAnsi="Times New Roman" w:cs="Times New Roman"/>
          <w:lang w:val="ro-MD"/>
        </w:rPr>
        <w:t>afiliate;</w:t>
      </w:r>
    </w:p>
    <w:p w14:paraId="394DF6B6" w14:textId="260D6B3F" w:rsidR="00A175AF" w:rsidRPr="000508B6" w:rsidRDefault="00A175AF" w:rsidP="00574631">
      <w:pPr>
        <w:pStyle w:val="Listparagraf"/>
        <w:numPr>
          <w:ilvl w:val="0"/>
          <w:numId w:val="312"/>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dovada </w:t>
      </w:r>
      <w:r w:rsidR="00526634" w:rsidRPr="000508B6">
        <w:rPr>
          <w:rFonts w:ascii="Times New Roman" w:hAnsi="Times New Roman" w:cs="Times New Roman"/>
          <w:lang w:val="ro-MD"/>
        </w:rPr>
        <w:t xml:space="preserve">existenței </w:t>
      </w:r>
      <w:r w:rsidRPr="000508B6">
        <w:rPr>
          <w:rFonts w:ascii="Times New Roman" w:hAnsi="Times New Roman" w:cs="Times New Roman"/>
          <w:lang w:val="ro-MD"/>
        </w:rPr>
        <w:t xml:space="preserve">unor strategii, operațiuni sau procese coordonate și corelate între două sau mai multe </w:t>
      </w:r>
      <w:r w:rsidR="005E6D32" w:rsidRPr="000508B6">
        <w:rPr>
          <w:rFonts w:ascii="Times New Roman" w:hAnsi="Times New Roman" w:cs="Times New Roman"/>
          <w:lang w:val="ro-MD"/>
        </w:rPr>
        <w:t>entități</w:t>
      </w:r>
      <w:r w:rsidRPr="000508B6">
        <w:rPr>
          <w:rFonts w:ascii="Times New Roman" w:hAnsi="Times New Roman" w:cs="Times New Roman"/>
          <w:lang w:val="ro-MD"/>
        </w:rPr>
        <w:t xml:space="preserve">, inclusiv în ceea ce privește </w:t>
      </w:r>
      <w:r w:rsidR="00143423" w:rsidRPr="000508B6">
        <w:rPr>
          <w:rFonts w:ascii="Times New Roman" w:hAnsi="Times New Roman" w:cs="Times New Roman"/>
          <w:lang w:val="ro-MD"/>
        </w:rPr>
        <w:t xml:space="preserve">rețeaua </w:t>
      </w:r>
      <w:r w:rsidRPr="000508B6">
        <w:rPr>
          <w:rFonts w:ascii="Times New Roman" w:hAnsi="Times New Roman" w:cs="Times New Roman"/>
          <w:lang w:val="ro-MD"/>
        </w:rPr>
        <w:t xml:space="preserve">de distribuție a asigurărilor, produsele </w:t>
      </w:r>
      <w:r w:rsidR="0022561C" w:rsidRPr="000508B6">
        <w:rPr>
          <w:rFonts w:ascii="Times New Roman" w:hAnsi="Times New Roman" w:cs="Times New Roman"/>
          <w:lang w:val="ro-MD"/>
        </w:rPr>
        <w:t xml:space="preserve">sau mărcile </w:t>
      </w:r>
      <w:r w:rsidRPr="000508B6">
        <w:rPr>
          <w:rFonts w:ascii="Times New Roman" w:hAnsi="Times New Roman" w:cs="Times New Roman"/>
          <w:lang w:val="ro-MD"/>
        </w:rPr>
        <w:t>de asigurare, comunicarea sau marketingul.</w:t>
      </w:r>
      <w:r w:rsidR="008364A5" w:rsidRPr="000508B6">
        <w:rPr>
          <w:rFonts w:ascii="Times New Roman" w:hAnsi="Times New Roman" w:cs="Times New Roman"/>
          <w:lang w:val="ro-MD"/>
        </w:rPr>
        <w:t xml:space="preserve"> </w:t>
      </w:r>
    </w:p>
    <w:p w14:paraId="20B0A8CC" w14:textId="5D8F2435" w:rsidR="00A175AF" w:rsidRPr="000508B6" w:rsidRDefault="00A175AF" w:rsidP="008B29E3">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cazul în care un grup este identificat pe baza alin</w:t>
      </w:r>
      <w:r w:rsidR="005F5F20" w:rsidRPr="000508B6">
        <w:rPr>
          <w:rFonts w:ascii="Times New Roman" w:hAnsi="Times New Roman" w:cs="Times New Roman"/>
          <w:lang w:val="ro-MD"/>
        </w:rPr>
        <w:t>.</w:t>
      </w:r>
      <w:r w:rsidRPr="000508B6">
        <w:rPr>
          <w:rFonts w:ascii="Times New Roman" w:hAnsi="Times New Roman" w:cs="Times New Roman"/>
          <w:lang w:val="ro-MD"/>
        </w:rPr>
        <w:t xml:space="preserve"> </w:t>
      </w:r>
      <w:r w:rsidR="008E22E9" w:rsidRPr="000508B6">
        <w:rPr>
          <w:rFonts w:ascii="Times New Roman" w:hAnsi="Times New Roman" w:cs="Times New Roman"/>
          <w:lang w:val="ro-MD"/>
        </w:rPr>
        <w:t>(</w:t>
      </w:r>
      <w:r w:rsidR="00083573" w:rsidRPr="000508B6">
        <w:rPr>
          <w:rFonts w:ascii="Times New Roman" w:hAnsi="Times New Roman" w:cs="Times New Roman"/>
          <w:lang w:val="ro-MD"/>
        </w:rPr>
        <w:t>4</w:t>
      </w:r>
      <w:r w:rsidRPr="000508B6">
        <w:rPr>
          <w:rFonts w:ascii="Times New Roman" w:hAnsi="Times New Roman" w:cs="Times New Roman"/>
          <w:lang w:val="ro-MD"/>
        </w:rPr>
        <w:t>)</w:t>
      </w:r>
      <w:r w:rsidR="00DA1930" w:rsidRPr="000508B6">
        <w:rPr>
          <w:rFonts w:ascii="Times New Roman" w:hAnsi="Times New Roman" w:cs="Times New Roman"/>
          <w:lang w:val="ro-MD"/>
        </w:rPr>
        <w:t xml:space="preserve"> </w:t>
      </w:r>
      <w:r w:rsidR="000427B6" w:rsidRPr="000508B6">
        <w:rPr>
          <w:rFonts w:ascii="Times New Roman" w:hAnsi="Times New Roman" w:cs="Times New Roman"/>
          <w:lang w:val="ro-MD"/>
        </w:rPr>
        <w:t>sau</w:t>
      </w:r>
      <w:r w:rsidR="009E6416" w:rsidRPr="000508B6">
        <w:rPr>
          <w:rFonts w:ascii="Times New Roman" w:hAnsi="Times New Roman" w:cs="Times New Roman"/>
          <w:lang w:val="ro-MD"/>
        </w:rPr>
        <w:t xml:space="preserve"> alin.</w:t>
      </w:r>
      <w:r w:rsidR="00CF01DB" w:rsidRPr="000508B6">
        <w:rPr>
          <w:rFonts w:ascii="Times New Roman" w:hAnsi="Times New Roman" w:cs="Times New Roman"/>
          <w:lang w:val="ro-MD"/>
        </w:rPr>
        <w:t xml:space="preserve"> </w:t>
      </w:r>
      <w:r w:rsidR="009E6416" w:rsidRPr="000508B6">
        <w:rPr>
          <w:rFonts w:ascii="Times New Roman" w:hAnsi="Times New Roman" w:cs="Times New Roman"/>
          <w:lang w:val="ro-MD"/>
        </w:rPr>
        <w:t>(</w:t>
      </w:r>
      <w:r w:rsidR="00083573" w:rsidRPr="000508B6">
        <w:rPr>
          <w:rFonts w:ascii="Times New Roman" w:hAnsi="Times New Roman" w:cs="Times New Roman"/>
          <w:lang w:val="ro-MD"/>
        </w:rPr>
        <w:t>5</w:t>
      </w:r>
      <w:r w:rsidR="009E6416" w:rsidRPr="000508B6">
        <w:rPr>
          <w:rFonts w:ascii="Times New Roman" w:hAnsi="Times New Roman" w:cs="Times New Roman"/>
          <w:lang w:val="ro-MD"/>
        </w:rPr>
        <w:t>)</w:t>
      </w:r>
      <w:r w:rsidRPr="000508B6">
        <w:rPr>
          <w:rFonts w:ascii="Times New Roman" w:hAnsi="Times New Roman" w:cs="Times New Roman"/>
          <w:lang w:val="ro-MD"/>
        </w:rPr>
        <w:t>, Banca Națională a Moldovei</w:t>
      </w:r>
      <w:r w:rsidR="00ED48D3" w:rsidRPr="000508B6">
        <w:rPr>
          <w:rFonts w:ascii="Times New Roman" w:hAnsi="Times New Roman" w:cs="Times New Roman"/>
          <w:lang w:val="ro-MD"/>
        </w:rPr>
        <w:t xml:space="preserve"> în calitate de supraveghetor coordonator</w:t>
      </w:r>
      <w:r w:rsidR="005E1CD8" w:rsidRPr="000508B6">
        <w:rPr>
          <w:rFonts w:ascii="Times New Roman" w:hAnsi="Times New Roman" w:cs="Times New Roman"/>
          <w:lang w:val="ro-MD"/>
        </w:rPr>
        <w:t xml:space="preserve"> desemnat în temeiul art. </w:t>
      </w:r>
      <w:r w:rsidR="0005797B" w:rsidRPr="000508B6">
        <w:rPr>
          <w:rFonts w:ascii="Times New Roman" w:hAnsi="Times New Roman" w:cs="Times New Roman"/>
          <w:lang w:val="ro-MD"/>
        </w:rPr>
        <w:t>192</w:t>
      </w:r>
      <w:r w:rsidR="00FA09BD" w:rsidRPr="000508B6">
        <w:rPr>
          <w:rFonts w:ascii="Times New Roman" w:hAnsi="Times New Roman" w:cs="Times New Roman"/>
          <w:lang w:val="ro-MD"/>
        </w:rPr>
        <w:t xml:space="preserve"> alin. (</w:t>
      </w:r>
      <w:r w:rsidR="0005797B" w:rsidRPr="000508B6">
        <w:rPr>
          <w:rFonts w:ascii="Times New Roman" w:hAnsi="Times New Roman" w:cs="Times New Roman"/>
          <w:lang w:val="ro-MD"/>
        </w:rPr>
        <w:t>3</w:t>
      </w:r>
      <w:r w:rsidR="00FA09BD" w:rsidRPr="000508B6">
        <w:rPr>
          <w:rFonts w:ascii="Times New Roman" w:hAnsi="Times New Roman" w:cs="Times New Roman"/>
          <w:lang w:val="ro-MD"/>
        </w:rPr>
        <w:t>)</w:t>
      </w:r>
      <w:r w:rsidR="0005797B" w:rsidRPr="000508B6">
        <w:rPr>
          <w:rFonts w:ascii="Times New Roman" w:hAnsi="Times New Roman" w:cs="Times New Roman"/>
          <w:lang w:val="ro-MD"/>
        </w:rPr>
        <w:t xml:space="preserve"> și (4) și art. 193 alin. (1) și </w:t>
      </w:r>
      <w:r w:rsidR="005E4B61" w:rsidRPr="000508B6">
        <w:rPr>
          <w:rFonts w:ascii="Times New Roman" w:hAnsi="Times New Roman" w:cs="Times New Roman"/>
          <w:lang w:val="ro-MD"/>
        </w:rPr>
        <w:t>alin.</w:t>
      </w:r>
      <w:r w:rsidR="0005797B" w:rsidRPr="000508B6">
        <w:rPr>
          <w:rFonts w:ascii="Times New Roman" w:hAnsi="Times New Roman" w:cs="Times New Roman"/>
          <w:lang w:val="ro-MD"/>
        </w:rPr>
        <w:t xml:space="preserve"> (3)-(5)</w:t>
      </w:r>
      <w:r w:rsidR="00ED48D3" w:rsidRPr="000508B6">
        <w:rPr>
          <w:rFonts w:ascii="Times New Roman" w:hAnsi="Times New Roman" w:cs="Times New Roman"/>
          <w:lang w:val="ro-MD"/>
        </w:rPr>
        <w:t>,</w:t>
      </w:r>
      <w:r w:rsidRPr="000508B6">
        <w:rPr>
          <w:rFonts w:ascii="Times New Roman" w:hAnsi="Times New Roman" w:cs="Times New Roman"/>
          <w:lang w:val="ro-MD"/>
        </w:rPr>
        <w:t xml:space="preserve"> furnizează </w:t>
      </w:r>
      <w:r w:rsidR="00083573" w:rsidRPr="000508B6">
        <w:rPr>
          <w:rFonts w:ascii="Times New Roman" w:hAnsi="Times New Roman" w:cs="Times New Roman"/>
          <w:lang w:val="ro-MD"/>
        </w:rPr>
        <w:t xml:space="preserve">entității </w:t>
      </w:r>
      <w:r w:rsidRPr="000508B6">
        <w:rPr>
          <w:rFonts w:ascii="Times New Roman" w:hAnsi="Times New Roman" w:cs="Times New Roman"/>
          <w:lang w:val="ro-MD"/>
        </w:rPr>
        <w:t xml:space="preserve">desemnate drept societate-mamă </w:t>
      </w:r>
      <w:r w:rsidR="005E1CD8" w:rsidRPr="000508B6">
        <w:rPr>
          <w:rFonts w:ascii="Times New Roman" w:hAnsi="Times New Roman" w:cs="Times New Roman"/>
          <w:lang w:val="ro-MD"/>
        </w:rPr>
        <w:t>în temeiul alin. (</w:t>
      </w:r>
      <w:r w:rsidR="00083573" w:rsidRPr="000508B6">
        <w:rPr>
          <w:rFonts w:ascii="Times New Roman" w:hAnsi="Times New Roman" w:cs="Times New Roman"/>
          <w:lang w:val="ro-MD"/>
        </w:rPr>
        <w:t>2</w:t>
      </w:r>
      <w:r w:rsidR="004710F3" w:rsidRPr="000508B6">
        <w:rPr>
          <w:rFonts w:ascii="Times New Roman" w:hAnsi="Times New Roman" w:cs="Times New Roman"/>
          <w:lang w:val="ro-MD"/>
        </w:rPr>
        <w:t>1</w:t>
      </w:r>
      <w:r w:rsidR="005E1CD8" w:rsidRPr="000508B6">
        <w:rPr>
          <w:rFonts w:ascii="Times New Roman" w:hAnsi="Times New Roman" w:cs="Times New Roman"/>
          <w:lang w:val="ro-MD"/>
        </w:rPr>
        <w:t xml:space="preserve">) </w:t>
      </w:r>
      <w:r w:rsidR="004710F3" w:rsidRPr="000508B6">
        <w:rPr>
          <w:rFonts w:ascii="Times New Roman" w:hAnsi="Times New Roman" w:cs="Times New Roman"/>
          <w:lang w:val="ro-MD"/>
        </w:rPr>
        <w:t>sau</w:t>
      </w:r>
      <w:r w:rsidR="005E1CD8" w:rsidRPr="000508B6">
        <w:rPr>
          <w:rFonts w:ascii="Times New Roman" w:hAnsi="Times New Roman" w:cs="Times New Roman"/>
          <w:lang w:val="ro-MD"/>
        </w:rPr>
        <w:t xml:space="preserve"> alin.</w:t>
      </w:r>
      <w:r w:rsidR="00CF01DB" w:rsidRPr="000508B6">
        <w:rPr>
          <w:rFonts w:ascii="Times New Roman" w:hAnsi="Times New Roman" w:cs="Times New Roman"/>
          <w:lang w:val="ro-MD"/>
        </w:rPr>
        <w:t xml:space="preserve"> </w:t>
      </w:r>
      <w:r w:rsidR="005E1CD8" w:rsidRPr="000508B6">
        <w:rPr>
          <w:rFonts w:ascii="Times New Roman" w:hAnsi="Times New Roman" w:cs="Times New Roman"/>
          <w:lang w:val="ro-MD"/>
        </w:rPr>
        <w:t>(</w:t>
      </w:r>
      <w:r w:rsidR="004710F3" w:rsidRPr="000508B6">
        <w:rPr>
          <w:rFonts w:ascii="Times New Roman" w:hAnsi="Times New Roman" w:cs="Times New Roman"/>
          <w:lang w:val="ro-MD"/>
        </w:rPr>
        <w:t>22</w:t>
      </w:r>
      <w:r w:rsidR="005E1CD8" w:rsidRPr="000508B6">
        <w:rPr>
          <w:rFonts w:ascii="Times New Roman" w:hAnsi="Times New Roman" w:cs="Times New Roman"/>
          <w:lang w:val="ro-MD"/>
        </w:rPr>
        <w:t>)</w:t>
      </w:r>
      <w:r w:rsidR="004710F3" w:rsidRPr="000508B6">
        <w:rPr>
          <w:rFonts w:ascii="Times New Roman" w:hAnsi="Times New Roman" w:cs="Times New Roman"/>
          <w:lang w:val="ro-MD"/>
        </w:rPr>
        <w:t>-(25</w:t>
      </w:r>
      <w:r w:rsidR="005E1CD8" w:rsidRPr="000508B6">
        <w:rPr>
          <w:rFonts w:ascii="Times New Roman" w:hAnsi="Times New Roman" w:cs="Times New Roman"/>
          <w:lang w:val="ro-MD"/>
        </w:rPr>
        <w:t xml:space="preserve">) </w:t>
      </w:r>
      <w:r w:rsidRPr="000508B6">
        <w:rPr>
          <w:rFonts w:ascii="Times New Roman" w:hAnsi="Times New Roman" w:cs="Times New Roman"/>
          <w:lang w:val="ro-MD"/>
        </w:rPr>
        <w:t xml:space="preserve">și </w:t>
      </w:r>
      <w:r w:rsidR="0010363D" w:rsidRPr="000508B6">
        <w:rPr>
          <w:rFonts w:ascii="Times New Roman" w:hAnsi="Times New Roman" w:cs="Times New Roman"/>
          <w:lang w:val="ro-MD"/>
        </w:rPr>
        <w:t xml:space="preserve">supraveghetorilor </w:t>
      </w:r>
      <w:r w:rsidR="00ED48D3" w:rsidRPr="000508B6">
        <w:rPr>
          <w:rFonts w:ascii="Times New Roman" w:hAnsi="Times New Roman" w:cs="Times New Roman"/>
          <w:lang w:val="ro-MD"/>
        </w:rPr>
        <w:t xml:space="preserve">implicați </w:t>
      </w:r>
      <w:r w:rsidRPr="000508B6">
        <w:rPr>
          <w:rFonts w:ascii="Times New Roman" w:hAnsi="Times New Roman" w:cs="Times New Roman"/>
          <w:lang w:val="ro-MD"/>
        </w:rPr>
        <w:t xml:space="preserve">o explicație detaliată a </w:t>
      </w:r>
      <w:r w:rsidR="00ED48D3" w:rsidRPr="000508B6">
        <w:rPr>
          <w:rFonts w:ascii="Times New Roman" w:hAnsi="Times New Roman" w:cs="Times New Roman"/>
          <w:lang w:val="ro-MD"/>
        </w:rPr>
        <w:t xml:space="preserve">criteriilor </w:t>
      </w:r>
      <w:r w:rsidRPr="000508B6">
        <w:rPr>
          <w:rFonts w:ascii="Times New Roman" w:hAnsi="Times New Roman" w:cs="Times New Roman"/>
          <w:lang w:val="ro-MD"/>
        </w:rPr>
        <w:t xml:space="preserve">pe baza cărora </w:t>
      </w:r>
      <w:r w:rsidR="00ED48D3" w:rsidRPr="000508B6">
        <w:rPr>
          <w:rFonts w:ascii="Times New Roman" w:hAnsi="Times New Roman" w:cs="Times New Roman"/>
          <w:lang w:val="ro-MD"/>
        </w:rPr>
        <w:t>s-a realizat</w:t>
      </w:r>
      <w:r w:rsidRPr="000508B6">
        <w:rPr>
          <w:rFonts w:ascii="Times New Roman" w:hAnsi="Times New Roman" w:cs="Times New Roman"/>
          <w:lang w:val="ro-MD"/>
        </w:rPr>
        <w:t xml:space="preserve"> identificare</w:t>
      </w:r>
      <w:r w:rsidR="00ED48D3" w:rsidRPr="000508B6">
        <w:rPr>
          <w:rFonts w:ascii="Times New Roman" w:hAnsi="Times New Roman" w:cs="Times New Roman"/>
          <w:lang w:val="ro-MD"/>
        </w:rPr>
        <w:t>a</w:t>
      </w:r>
      <w:r w:rsidRPr="000508B6">
        <w:rPr>
          <w:rFonts w:ascii="Times New Roman" w:hAnsi="Times New Roman" w:cs="Times New Roman"/>
          <w:lang w:val="ro-MD"/>
        </w:rPr>
        <w:t>.</w:t>
      </w:r>
      <w:r w:rsidR="007B6608" w:rsidRPr="000508B6">
        <w:rPr>
          <w:rFonts w:ascii="Times New Roman" w:hAnsi="Times New Roman" w:cs="Times New Roman"/>
          <w:lang w:val="ro-MD"/>
        </w:rPr>
        <w:t xml:space="preserve"> </w:t>
      </w:r>
    </w:p>
    <w:p w14:paraId="24F1495B" w14:textId="576CF5DF" w:rsidR="00F95829" w:rsidRPr="000508B6" w:rsidRDefault="00F95829" w:rsidP="00CF01DB">
      <w:pPr>
        <w:numPr>
          <w:ilvl w:val="0"/>
          <w:numId w:val="8"/>
        </w:numPr>
        <w:tabs>
          <w:tab w:val="left" w:pos="709"/>
          <w:tab w:val="left" w:pos="993"/>
        </w:tabs>
        <w:spacing w:after="0" w:line="240" w:lineRule="auto"/>
        <w:ind w:left="0" w:firstLine="426"/>
        <w:jc w:val="both"/>
        <w:rPr>
          <w:rFonts w:ascii="Times New Roman" w:hAnsi="Times New Roman" w:cs="Times New Roman"/>
          <w:lang w:val="ro-MD"/>
        </w:rPr>
      </w:pPr>
      <w:bookmarkStart w:id="131" w:name="_Hlk205490757"/>
      <w:r w:rsidRPr="000508B6">
        <w:rPr>
          <w:rFonts w:ascii="Times New Roman" w:hAnsi="Times New Roman" w:cs="Times New Roman"/>
          <w:lang w:val="ro-MD"/>
        </w:rPr>
        <w:t xml:space="preserve">Banca Națională a Moldovei </w:t>
      </w:r>
      <w:bookmarkEnd w:id="131"/>
      <w:r w:rsidRPr="000508B6">
        <w:rPr>
          <w:rFonts w:ascii="Times New Roman" w:hAnsi="Times New Roman" w:cs="Times New Roman"/>
          <w:lang w:val="ro-MD"/>
        </w:rPr>
        <w:t xml:space="preserve">supraveghează </w:t>
      </w:r>
      <w:r w:rsidR="001B2CCF" w:rsidRPr="000508B6">
        <w:rPr>
          <w:rFonts w:ascii="Times New Roman" w:hAnsi="Times New Roman" w:cs="Times New Roman"/>
          <w:lang w:val="ro-MD"/>
        </w:rPr>
        <w:t xml:space="preserve">asigurătorii sau </w:t>
      </w:r>
      <w:proofErr w:type="spellStart"/>
      <w:r w:rsidR="001B2CCF" w:rsidRPr="000508B6">
        <w:rPr>
          <w:rFonts w:ascii="Times New Roman" w:hAnsi="Times New Roman" w:cs="Times New Roman"/>
          <w:lang w:val="ro-MD"/>
        </w:rPr>
        <w:t>reasigurătorii</w:t>
      </w:r>
      <w:proofErr w:type="spellEnd"/>
      <w:r w:rsidR="001B2CCF" w:rsidRPr="000508B6">
        <w:rPr>
          <w:rFonts w:ascii="Times New Roman" w:hAnsi="Times New Roman" w:cs="Times New Roman"/>
          <w:lang w:val="ro-MD"/>
        </w:rPr>
        <w:t xml:space="preserve"> </w:t>
      </w:r>
      <w:r w:rsidRPr="000508B6">
        <w:rPr>
          <w:rFonts w:ascii="Times New Roman" w:hAnsi="Times New Roman" w:cs="Times New Roman"/>
          <w:lang w:val="ro-MD"/>
        </w:rPr>
        <w:t xml:space="preserve">din state </w:t>
      </w:r>
      <w:r w:rsidR="00526634" w:rsidRPr="000508B6">
        <w:rPr>
          <w:rFonts w:ascii="Times New Roman" w:hAnsi="Times New Roman" w:cs="Times New Roman"/>
          <w:lang w:val="ro-MD"/>
        </w:rPr>
        <w:t>terțe</w:t>
      </w:r>
      <w:r w:rsidRPr="000508B6">
        <w:rPr>
          <w:rFonts w:ascii="Times New Roman" w:hAnsi="Times New Roman" w:cs="Times New Roman"/>
          <w:lang w:val="ro-MD"/>
        </w:rPr>
        <w:t xml:space="preserve">, </w:t>
      </w:r>
      <w:r w:rsidR="00F22120" w:rsidRPr="000508B6">
        <w:rPr>
          <w:rFonts w:ascii="Times New Roman" w:hAnsi="Times New Roman" w:cs="Times New Roman"/>
          <w:lang w:val="ro-MD"/>
        </w:rPr>
        <w:t>holdingurile</w:t>
      </w:r>
      <w:r w:rsidRPr="000508B6">
        <w:rPr>
          <w:rFonts w:ascii="Times New Roman" w:hAnsi="Times New Roman" w:cs="Times New Roman"/>
          <w:lang w:val="ro-MD"/>
        </w:rPr>
        <w:t xml:space="preserve"> de asigurare, </w:t>
      </w:r>
      <w:r w:rsidR="00F22120" w:rsidRPr="000508B6">
        <w:rPr>
          <w:rFonts w:ascii="Times New Roman" w:hAnsi="Times New Roman" w:cs="Times New Roman"/>
          <w:lang w:val="ro-MD"/>
        </w:rPr>
        <w:t>holdingurile</w:t>
      </w:r>
      <w:r w:rsidRPr="000508B6">
        <w:rPr>
          <w:rFonts w:ascii="Times New Roman" w:hAnsi="Times New Roman" w:cs="Times New Roman"/>
          <w:lang w:val="ro-MD"/>
        </w:rPr>
        <w:t xml:space="preserve"> mixte de asigurare numai la nivel de grup, iar în </w:t>
      </w:r>
      <w:r w:rsidR="00F22120" w:rsidRPr="000508B6">
        <w:rPr>
          <w:rFonts w:ascii="Times New Roman" w:hAnsi="Times New Roman" w:cs="Times New Roman"/>
          <w:lang w:val="ro-MD"/>
        </w:rPr>
        <w:t xml:space="preserve">scopul exclusiv de a asigura respectarea prezentului capitol, exercitarea supravegherii </w:t>
      </w:r>
      <w:r w:rsidR="00066D3E" w:rsidRPr="000508B6">
        <w:rPr>
          <w:rFonts w:ascii="Times New Roman" w:hAnsi="Times New Roman" w:cs="Times New Roman"/>
          <w:lang w:val="ro-MD"/>
        </w:rPr>
        <w:t xml:space="preserve">la nivel de grup de Banca Națională a Moldovei </w:t>
      </w:r>
      <w:r w:rsidR="00F22120" w:rsidRPr="000508B6">
        <w:rPr>
          <w:rFonts w:ascii="Times New Roman" w:hAnsi="Times New Roman" w:cs="Times New Roman"/>
          <w:lang w:val="ro-MD"/>
        </w:rPr>
        <w:t>poate implica supravegherea directă și exercitarea competențelor de supraveghere asupra</w:t>
      </w:r>
      <w:r w:rsidRPr="000508B6">
        <w:rPr>
          <w:rFonts w:ascii="Times New Roman" w:hAnsi="Times New Roman" w:cs="Times New Roman"/>
          <w:lang w:val="ro-MD"/>
        </w:rPr>
        <w:t xml:space="preserve"> holdingurilor de </w:t>
      </w:r>
      <w:r w:rsidR="00F26418" w:rsidRPr="000508B6">
        <w:rPr>
          <w:rFonts w:ascii="Times New Roman" w:hAnsi="Times New Roman" w:cs="Times New Roman"/>
          <w:lang w:val="ro-MD"/>
        </w:rPr>
        <w:t>asigurare</w:t>
      </w:r>
      <w:r w:rsidR="00F22120" w:rsidRPr="000508B6">
        <w:rPr>
          <w:rFonts w:ascii="Times New Roman" w:hAnsi="Times New Roman" w:cs="Times New Roman"/>
          <w:lang w:val="ro-MD"/>
        </w:rPr>
        <w:t xml:space="preserve"> și</w:t>
      </w:r>
      <w:r w:rsidRPr="000508B6">
        <w:rPr>
          <w:rFonts w:ascii="Times New Roman" w:hAnsi="Times New Roman" w:cs="Times New Roman"/>
          <w:lang w:val="ro-MD"/>
        </w:rPr>
        <w:t xml:space="preserve"> holdingurilor financiare mixte.  </w:t>
      </w:r>
    </w:p>
    <w:p w14:paraId="5797E13A" w14:textId="3BB7A160" w:rsidR="00F95829" w:rsidRPr="000508B6" w:rsidRDefault="00F95829" w:rsidP="009D58DB">
      <w:pPr>
        <w:numPr>
          <w:ilvl w:val="0"/>
          <w:numId w:val="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decide, de la caz la caz, să </w:t>
      </w:r>
      <w:r w:rsidR="002B4C27" w:rsidRPr="000508B6">
        <w:rPr>
          <w:rFonts w:ascii="Times New Roman" w:hAnsi="Times New Roman" w:cs="Times New Roman"/>
          <w:lang w:val="ro-MD"/>
        </w:rPr>
        <w:t>excludă</w:t>
      </w:r>
      <w:r w:rsidR="008A0E33" w:rsidRPr="000508B6">
        <w:rPr>
          <w:rFonts w:ascii="Times New Roman" w:hAnsi="Times New Roman" w:cs="Times New Roman"/>
          <w:lang w:val="ro-MD"/>
        </w:rPr>
        <w:t xml:space="preserve"> </w:t>
      </w:r>
      <w:r w:rsidRPr="000508B6">
        <w:rPr>
          <w:rFonts w:ascii="Times New Roman" w:hAnsi="Times New Roman" w:cs="Times New Roman"/>
          <w:lang w:val="ro-MD"/>
        </w:rPr>
        <w:t xml:space="preserve">o </w:t>
      </w:r>
      <w:r w:rsidR="00066D3E"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din supravegherea la nivel de grup, dacă:   </w:t>
      </w:r>
    </w:p>
    <w:p w14:paraId="78A85E9C" w14:textId="0A214614" w:rsidR="00F95829" w:rsidRPr="000508B6" w:rsidRDefault="00F7799D" w:rsidP="00CF5AFA">
      <w:pPr>
        <w:numPr>
          <w:ilvl w:val="0"/>
          <w:numId w:val="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aceasta </w:t>
      </w:r>
      <w:r w:rsidR="00F95829" w:rsidRPr="000508B6">
        <w:rPr>
          <w:rFonts w:ascii="Times New Roman" w:hAnsi="Times New Roman" w:cs="Times New Roman"/>
          <w:lang w:val="ro-MD"/>
        </w:rPr>
        <w:t xml:space="preserve">este stabilită într-un stat </w:t>
      </w:r>
      <w:proofErr w:type="spellStart"/>
      <w:r w:rsidR="00F95829" w:rsidRPr="000508B6">
        <w:rPr>
          <w:rFonts w:ascii="Times New Roman" w:hAnsi="Times New Roman" w:cs="Times New Roman"/>
          <w:lang w:val="ro-MD"/>
        </w:rPr>
        <w:t>terţ</w:t>
      </w:r>
      <w:proofErr w:type="spellEnd"/>
      <w:r w:rsidR="00F95829" w:rsidRPr="000508B6">
        <w:rPr>
          <w:rFonts w:ascii="Times New Roman" w:hAnsi="Times New Roman" w:cs="Times New Roman"/>
          <w:lang w:val="ro-MD"/>
        </w:rPr>
        <w:t xml:space="preserve"> unde există </w:t>
      </w:r>
      <w:proofErr w:type="spellStart"/>
      <w:r w:rsidR="00F95829" w:rsidRPr="000508B6">
        <w:rPr>
          <w:rFonts w:ascii="Times New Roman" w:hAnsi="Times New Roman" w:cs="Times New Roman"/>
          <w:lang w:val="ro-MD"/>
        </w:rPr>
        <w:t>restricţii</w:t>
      </w:r>
      <w:proofErr w:type="spellEnd"/>
      <w:r w:rsidR="00F95829" w:rsidRPr="000508B6">
        <w:rPr>
          <w:rFonts w:ascii="Times New Roman" w:hAnsi="Times New Roman" w:cs="Times New Roman"/>
          <w:lang w:val="ro-MD"/>
        </w:rPr>
        <w:t xml:space="preserve"> legale privind schimbul de </w:t>
      </w:r>
      <w:proofErr w:type="spellStart"/>
      <w:r w:rsidR="00F95829" w:rsidRPr="000508B6">
        <w:rPr>
          <w:rFonts w:ascii="Times New Roman" w:hAnsi="Times New Roman" w:cs="Times New Roman"/>
          <w:lang w:val="ro-MD"/>
        </w:rPr>
        <w:t>informaţii</w:t>
      </w:r>
      <w:proofErr w:type="spellEnd"/>
      <w:r w:rsidR="00F95829" w:rsidRPr="000508B6">
        <w:rPr>
          <w:rFonts w:ascii="Times New Roman" w:hAnsi="Times New Roman" w:cs="Times New Roman"/>
          <w:lang w:val="ro-MD"/>
        </w:rPr>
        <w:t xml:space="preserve">, fără a se aduce atingere art. </w:t>
      </w:r>
      <w:r w:rsidR="008975EE" w:rsidRPr="000508B6">
        <w:rPr>
          <w:rFonts w:ascii="Times New Roman" w:hAnsi="Times New Roman" w:cs="Times New Roman"/>
          <w:lang w:val="ro-MD"/>
        </w:rPr>
        <w:t>133</w:t>
      </w:r>
      <w:r w:rsidR="00F95829" w:rsidRPr="000508B6">
        <w:rPr>
          <w:rFonts w:ascii="Times New Roman" w:hAnsi="Times New Roman" w:cs="Times New Roman"/>
          <w:lang w:val="ro-MD"/>
        </w:rPr>
        <w:t xml:space="preserve">;   </w:t>
      </w:r>
    </w:p>
    <w:p w14:paraId="6E428021" w14:textId="44C2985C" w:rsidR="00F95829" w:rsidRPr="000508B6" w:rsidRDefault="002B4C27" w:rsidP="00CF5AFA">
      <w:pPr>
        <w:numPr>
          <w:ilvl w:val="0"/>
          <w:numId w:val="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excluderea </w:t>
      </w:r>
      <w:r w:rsidR="00F95829" w:rsidRPr="000508B6">
        <w:rPr>
          <w:rFonts w:ascii="Times New Roman" w:hAnsi="Times New Roman" w:cs="Times New Roman"/>
          <w:lang w:val="ro-MD"/>
        </w:rPr>
        <w:t xml:space="preserve">acesteia nu </w:t>
      </w:r>
      <w:r w:rsidR="00FB5312" w:rsidRPr="000508B6">
        <w:rPr>
          <w:rFonts w:ascii="Times New Roman" w:hAnsi="Times New Roman" w:cs="Times New Roman"/>
          <w:lang w:val="ro-MD"/>
        </w:rPr>
        <w:t>influențează</w:t>
      </w:r>
      <w:r w:rsidR="00F95829" w:rsidRPr="000508B6">
        <w:rPr>
          <w:rFonts w:ascii="Times New Roman" w:hAnsi="Times New Roman" w:cs="Times New Roman"/>
          <w:lang w:val="ro-MD"/>
        </w:rPr>
        <w:t xml:space="preserve"> semnificativ realizarea obiectivelor supravegherii la nivel de grup;   </w:t>
      </w:r>
    </w:p>
    <w:p w14:paraId="083A5CC4" w14:textId="77777777" w:rsidR="00F95829" w:rsidRPr="000508B6" w:rsidRDefault="00F95829" w:rsidP="00CF5AFA">
      <w:pPr>
        <w:numPr>
          <w:ilvl w:val="0"/>
          <w:numId w:val="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includerea acesteia este inadecvată sau ar determina concluzii eronate privind obiectivele supravegherii la nivel de grup.   </w:t>
      </w:r>
    </w:p>
    <w:p w14:paraId="295610C0" w14:textId="5BF8D977" w:rsidR="0037292F" w:rsidRPr="000508B6" w:rsidRDefault="0037292F" w:rsidP="00BF1C23">
      <w:pPr>
        <w:pStyle w:val="Listparagraf"/>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include în supravegherea la nivel de grup, </w:t>
      </w:r>
      <w:r w:rsidR="00C74621" w:rsidRPr="000508B6">
        <w:rPr>
          <w:rFonts w:ascii="Times New Roman" w:hAnsi="Times New Roman" w:cs="Times New Roman"/>
          <w:lang w:val="ro-MD"/>
        </w:rPr>
        <w:t>entitățile menționate la alin. (9) lit.</w:t>
      </w:r>
      <w:r w:rsidR="00CF01DB" w:rsidRPr="000508B6">
        <w:rPr>
          <w:rFonts w:ascii="Times New Roman" w:hAnsi="Times New Roman" w:cs="Times New Roman"/>
          <w:lang w:val="ro-MD"/>
        </w:rPr>
        <w:t xml:space="preserve"> </w:t>
      </w:r>
      <w:r w:rsidR="00C74621" w:rsidRPr="000508B6">
        <w:rPr>
          <w:rFonts w:ascii="Times New Roman" w:hAnsi="Times New Roman" w:cs="Times New Roman"/>
          <w:lang w:val="ro-MD"/>
        </w:rPr>
        <w:t xml:space="preserve">b), </w:t>
      </w:r>
      <w:r w:rsidR="00B52BBF" w:rsidRPr="000508B6">
        <w:rPr>
          <w:rFonts w:ascii="Times New Roman" w:hAnsi="Times New Roman" w:cs="Times New Roman"/>
          <w:lang w:val="ro-MD"/>
        </w:rPr>
        <w:t>dacă</w:t>
      </w:r>
      <w:r w:rsidRPr="000508B6">
        <w:rPr>
          <w:rFonts w:ascii="Times New Roman" w:hAnsi="Times New Roman" w:cs="Times New Roman"/>
          <w:lang w:val="ro-MD"/>
        </w:rPr>
        <w:t xml:space="preserve"> </w:t>
      </w:r>
      <w:r w:rsidR="00B52BBF" w:rsidRPr="000508B6">
        <w:rPr>
          <w:rFonts w:ascii="Times New Roman" w:hAnsi="Times New Roman" w:cs="Times New Roman"/>
          <w:lang w:val="ro-MD"/>
        </w:rPr>
        <w:t xml:space="preserve">considerate </w:t>
      </w:r>
      <w:r w:rsidRPr="000508B6">
        <w:rPr>
          <w:rFonts w:ascii="Times New Roman" w:hAnsi="Times New Roman" w:cs="Times New Roman"/>
          <w:lang w:val="ro-MD"/>
        </w:rPr>
        <w:t xml:space="preserve">colectiv, </w:t>
      </w:r>
      <w:r w:rsidR="00BF1C23" w:rsidRPr="000508B6">
        <w:rPr>
          <w:rFonts w:ascii="Times New Roman" w:hAnsi="Times New Roman" w:cs="Times New Roman"/>
          <w:lang w:val="ro-MD"/>
        </w:rPr>
        <w:t>ac</w:t>
      </w:r>
      <w:r w:rsidR="001E28B6" w:rsidRPr="000508B6">
        <w:rPr>
          <w:rFonts w:ascii="Times New Roman" w:hAnsi="Times New Roman" w:cs="Times New Roman"/>
          <w:lang w:val="ro-MD"/>
        </w:rPr>
        <w:t>e</w:t>
      </w:r>
      <w:r w:rsidR="00BF1C23" w:rsidRPr="000508B6">
        <w:rPr>
          <w:rFonts w:ascii="Times New Roman" w:hAnsi="Times New Roman" w:cs="Times New Roman"/>
          <w:lang w:val="ro-MD"/>
        </w:rPr>
        <w:t>st</w:t>
      </w:r>
      <w:r w:rsidR="001E28B6" w:rsidRPr="000508B6">
        <w:rPr>
          <w:rFonts w:ascii="Times New Roman" w:hAnsi="Times New Roman" w:cs="Times New Roman"/>
          <w:lang w:val="ro-MD"/>
        </w:rPr>
        <w:t>e</w:t>
      </w:r>
      <w:r w:rsidR="00BF1C23" w:rsidRPr="000508B6">
        <w:rPr>
          <w:rFonts w:ascii="Times New Roman" w:hAnsi="Times New Roman" w:cs="Times New Roman"/>
          <w:lang w:val="ro-MD"/>
        </w:rPr>
        <w:t xml:space="preserve">a </w:t>
      </w:r>
      <w:r w:rsidR="001E28B6" w:rsidRPr="000508B6">
        <w:rPr>
          <w:rFonts w:ascii="Times New Roman" w:hAnsi="Times New Roman" w:cs="Times New Roman"/>
          <w:lang w:val="ro-MD"/>
        </w:rPr>
        <w:t>au</w:t>
      </w:r>
      <w:r w:rsidR="00BF1C23" w:rsidRPr="000508B6">
        <w:rPr>
          <w:rFonts w:ascii="Times New Roman" w:hAnsi="Times New Roman" w:cs="Times New Roman"/>
          <w:lang w:val="ro-MD"/>
        </w:rPr>
        <w:t xml:space="preserve"> </w:t>
      </w:r>
      <w:r w:rsidRPr="000508B6">
        <w:rPr>
          <w:rFonts w:ascii="Times New Roman" w:hAnsi="Times New Roman" w:cs="Times New Roman"/>
          <w:lang w:val="ro-MD"/>
        </w:rPr>
        <w:t xml:space="preserve">un impact semnificativ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realizarea obiectivelor supravegherii la nivel de grup. </w:t>
      </w:r>
    </w:p>
    <w:p w14:paraId="4505E35F" w14:textId="4B637D4D" w:rsidR="00327086" w:rsidRPr="000508B6" w:rsidRDefault="00327086" w:rsidP="00BF1C23">
      <w:pPr>
        <w:numPr>
          <w:ilvl w:val="0"/>
          <w:numId w:val="8"/>
        </w:numPr>
        <w:tabs>
          <w:tab w:val="left" w:pos="426"/>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Atunci când evaluează</w:t>
      </w:r>
      <w:r w:rsidR="00F01839" w:rsidRPr="000508B6">
        <w:rPr>
          <w:rFonts w:ascii="Times New Roman" w:hAnsi="Times New Roman" w:cs="Times New Roman"/>
          <w:lang w:val="ro-MD"/>
        </w:rPr>
        <w:t>,</w:t>
      </w:r>
      <w:r w:rsidRPr="000508B6">
        <w:rPr>
          <w:rFonts w:ascii="Times New Roman" w:hAnsi="Times New Roman" w:cs="Times New Roman"/>
          <w:lang w:val="ro-MD"/>
        </w:rPr>
        <w:t xml:space="preserve"> dacă o </w:t>
      </w:r>
      <w:r w:rsidR="00BD0BBA" w:rsidRPr="000508B6">
        <w:rPr>
          <w:rFonts w:ascii="Times New Roman" w:hAnsi="Times New Roman" w:cs="Times New Roman"/>
          <w:lang w:val="ro-MD"/>
        </w:rPr>
        <w:t xml:space="preserve">entitate </w:t>
      </w:r>
      <w:r w:rsidR="005B3D6A" w:rsidRPr="000508B6">
        <w:rPr>
          <w:rFonts w:ascii="Times New Roman" w:hAnsi="Times New Roman" w:cs="Times New Roman"/>
          <w:lang w:val="ro-MD"/>
        </w:rPr>
        <w:t xml:space="preserve">nu </w:t>
      </w:r>
      <w:r w:rsidRPr="000508B6">
        <w:rPr>
          <w:rFonts w:ascii="Times New Roman" w:hAnsi="Times New Roman" w:cs="Times New Roman"/>
          <w:lang w:val="ro-MD"/>
        </w:rPr>
        <w:t>influențează semnificativ obiectivele supravegherii la nivel de grup în conformitate cu alin. (</w:t>
      </w:r>
      <w:r w:rsidR="005B3D6A" w:rsidRPr="000508B6">
        <w:rPr>
          <w:rFonts w:ascii="Times New Roman" w:hAnsi="Times New Roman" w:cs="Times New Roman"/>
          <w:lang w:val="ro-MD"/>
        </w:rPr>
        <w:t>9</w:t>
      </w:r>
      <w:r w:rsidRPr="000508B6">
        <w:rPr>
          <w:rFonts w:ascii="Times New Roman" w:hAnsi="Times New Roman" w:cs="Times New Roman"/>
          <w:lang w:val="ro-MD"/>
        </w:rPr>
        <w:t>) lit.</w:t>
      </w:r>
      <w:r w:rsidR="00CF01DB" w:rsidRPr="000508B6" w:rsidDel="00CF01DB">
        <w:rPr>
          <w:rFonts w:ascii="Times New Roman" w:hAnsi="Times New Roman" w:cs="Times New Roman"/>
          <w:lang w:val="ro-MD"/>
        </w:rPr>
        <w:t xml:space="preserve"> </w:t>
      </w:r>
      <w:r w:rsidRPr="000508B6">
        <w:rPr>
          <w:rFonts w:ascii="Times New Roman" w:hAnsi="Times New Roman" w:cs="Times New Roman"/>
          <w:lang w:val="ro-MD"/>
        </w:rPr>
        <w:t>b), Banca Națională a Moldovei se asigură că sunt îndeplinite următoarele condiții:</w:t>
      </w:r>
    </w:p>
    <w:p w14:paraId="0DF095F9" w14:textId="1D2647A3" w:rsidR="00327086" w:rsidRPr="000508B6" w:rsidRDefault="00327086" w:rsidP="00E05992">
      <w:pPr>
        <w:pStyle w:val="Listparagraf"/>
        <w:numPr>
          <w:ilvl w:val="0"/>
          <w:numId w:val="369"/>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dimensiunea </w:t>
      </w:r>
      <w:r w:rsidR="00142119" w:rsidRPr="000508B6">
        <w:rPr>
          <w:rFonts w:ascii="Times New Roman" w:hAnsi="Times New Roman" w:cs="Times New Roman"/>
          <w:lang w:val="ro-MD"/>
        </w:rPr>
        <w:t>entității</w:t>
      </w:r>
      <w:r w:rsidRPr="000508B6">
        <w:rPr>
          <w:rFonts w:ascii="Times New Roman" w:hAnsi="Times New Roman" w:cs="Times New Roman"/>
          <w:lang w:val="ro-MD"/>
        </w:rPr>
        <w:t xml:space="preserve">, în ceea ce privește activele totale și rezervele tehnice, este mică în comparație cu cea a altor </w:t>
      </w:r>
      <w:r w:rsidR="007B384B" w:rsidRPr="000508B6">
        <w:rPr>
          <w:rFonts w:ascii="Times New Roman" w:hAnsi="Times New Roman" w:cs="Times New Roman"/>
          <w:lang w:val="ro-MD"/>
        </w:rPr>
        <w:t xml:space="preserve">entități </w:t>
      </w:r>
      <w:r w:rsidRPr="000508B6">
        <w:rPr>
          <w:rFonts w:ascii="Times New Roman" w:hAnsi="Times New Roman" w:cs="Times New Roman"/>
          <w:lang w:val="ro-MD"/>
        </w:rPr>
        <w:t>ale grupului și a grupului în ansamblu;</w:t>
      </w:r>
    </w:p>
    <w:p w14:paraId="61B6187E" w14:textId="3F3F6CAB" w:rsidR="00327086" w:rsidRPr="000508B6" w:rsidRDefault="00327086" w:rsidP="00574631">
      <w:pPr>
        <w:pStyle w:val="Listparagraf"/>
        <w:numPr>
          <w:ilvl w:val="0"/>
          <w:numId w:val="369"/>
        </w:numPr>
        <w:tabs>
          <w:tab w:val="left" w:pos="426"/>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excluderea </w:t>
      </w:r>
      <w:r w:rsidR="007B384B" w:rsidRPr="000508B6">
        <w:rPr>
          <w:rFonts w:ascii="Times New Roman" w:hAnsi="Times New Roman" w:cs="Times New Roman"/>
          <w:lang w:val="ro-MD"/>
        </w:rPr>
        <w:t xml:space="preserve">entității </w:t>
      </w:r>
      <w:r w:rsidRPr="000508B6">
        <w:rPr>
          <w:rFonts w:ascii="Times New Roman" w:hAnsi="Times New Roman" w:cs="Times New Roman"/>
          <w:lang w:val="ro-MD"/>
        </w:rPr>
        <w:t xml:space="preserve">nu </w:t>
      </w:r>
      <w:r w:rsidR="00DF53EE" w:rsidRPr="000508B6">
        <w:rPr>
          <w:rFonts w:ascii="Times New Roman" w:hAnsi="Times New Roman" w:cs="Times New Roman"/>
          <w:lang w:val="ro-MD"/>
        </w:rPr>
        <w:t>influențează</w:t>
      </w:r>
      <w:r w:rsidRPr="000508B6">
        <w:rPr>
          <w:rFonts w:ascii="Times New Roman" w:hAnsi="Times New Roman" w:cs="Times New Roman"/>
          <w:lang w:val="ro-MD"/>
        </w:rPr>
        <w:t xml:space="preserve"> semnificativ realizarea obiectivelor supravegherii la nivel de grup</w:t>
      </w:r>
      <w:r w:rsidR="00F22120" w:rsidRPr="000508B6">
        <w:rPr>
          <w:rFonts w:ascii="Times New Roman" w:hAnsi="Times New Roman" w:cs="Times New Roman"/>
          <w:lang w:val="ro-MD"/>
        </w:rPr>
        <w:t xml:space="preserve"> și nu are un impact semnificativ asupra solvabilității grupului</w:t>
      </w:r>
      <w:r w:rsidRPr="000508B6">
        <w:rPr>
          <w:rFonts w:ascii="Times New Roman" w:hAnsi="Times New Roman" w:cs="Times New Roman"/>
          <w:lang w:val="ro-MD"/>
        </w:rPr>
        <w:t xml:space="preserve">; </w:t>
      </w:r>
    </w:p>
    <w:p w14:paraId="168BD99A" w14:textId="74BB91C7" w:rsidR="00327086" w:rsidRPr="000508B6" w:rsidRDefault="00327086" w:rsidP="00574631">
      <w:pPr>
        <w:pStyle w:val="Listparagraf"/>
        <w:numPr>
          <w:ilvl w:val="0"/>
          <w:numId w:val="369"/>
        </w:numPr>
        <w:tabs>
          <w:tab w:val="left" w:pos="426"/>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riscurile calitative și cantitative, inclusiv cele care decurg din tranzacțiile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pe care </w:t>
      </w:r>
      <w:r w:rsidR="007B384B" w:rsidRPr="000508B6">
        <w:rPr>
          <w:rFonts w:ascii="Times New Roman" w:hAnsi="Times New Roman" w:cs="Times New Roman"/>
          <w:lang w:val="ro-MD"/>
        </w:rPr>
        <w:t xml:space="preserve">entitatea </w:t>
      </w:r>
      <w:r w:rsidRPr="000508B6">
        <w:rPr>
          <w:rFonts w:ascii="Times New Roman" w:hAnsi="Times New Roman" w:cs="Times New Roman"/>
          <w:lang w:val="ro-MD"/>
        </w:rPr>
        <w:t>le prezintă sau le poate prezenta întregului grup, sunt nesemnificative</w:t>
      </w:r>
    </w:p>
    <w:p w14:paraId="3BEE3C36" w14:textId="5AD4808B" w:rsidR="002E7983" w:rsidRPr="000508B6" w:rsidRDefault="00066D3E" w:rsidP="00066D3E">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cazul în care excluderea uneia sau mai multor entități din supravegherea la nivel de grup în conformitate cu alin.</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w:t>
      </w:r>
      <w:r w:rsidR="005B3D6A" w:rsidRPr="000508B6">
        <w:rPr>
          <w:rFonts w:ascii="Times New Roman" w:hAnsi="Times New Roman" w:cs="Times New Roman"/>
          <w:lang w:val="ro-MD"/>
        </w:rPr>
        <w:t>9</w:t>
      </w:r>
      <w:r w:rsidR="00526634" w:rsidRPr="000508B6">
        <w:rPr>
          <w:rFonts w:ascii="Times New Roman" w:hAnsi="Times New Roman" w:cs="Times New Roman"/>
          <w:lang w:val="ro-MD"/>
        </w:rPr>
        <w:t>)</w:t>
      </w:r>
      <w:r w:rsidRPr="000508B6">
        <w:rPr>
          <w:rFonts w:ascii="Times New Roman" w:hAnsi="Times New Roman" w:cs="Times New Roman"/>
          <w:lang w:val="ro-MD"/>
        </w:rPr>
        <w:t xml:space="preserve"> ar avea ca rezultat </w:t>
      </w:r>
      <w:r w:rsidR="002E7983" w:rsidRPr="000508B6">
        <w:rPr>
          <w:rFonts w:ascii="Times New Roman" w:hAnsi="Times New Roman" w:cs="Times New Roman"/>
          <w:lang w:val="ro-MD"/>
        </w:rPr>
        <w:t>ne</w:t>
      </w:r>
      <w:r w:rsidRPr="000508B6">
        <w:rPr>
          <w:rFonts w:ascii="Times New Roman" w:hAnsi="Times New Roman" w:cs="Times New Roman"/>
          <w:lang w:val="ro-MD"/>
        </w:rPr>
        <w:t>aplicarea supravegherii la nivel de grup în temeiul alin.</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w:t>
      </w:r>
      <w:r w:rsidR="005B3D6A" w:rsidRPr="000508B6">
        <w:rPr>
          <w:rFonts w:ascii="Times New Roman" w:hAnsi="Times New Roman" w:cs="Times New Roman"/>
          <w:lang w:val="ro-MD"/>
        </w:rPr>
        <w:t>3</w:t>
      </w:r>
      <w:r w:rsidRPr="000508B6">
        <w:rPr>
          <w:rFonts w:ascii="Times New Roman" w:hAnsi="Times New Roman" w:cs="Times New Roman"/>
          <w:lang w:val="ro-MD"/>
        </w:rPr>
        <w:t xml:space="preserve">), </w:t>
      </w:r>
      <w:r w:rsidRPr="000508B6" w:rsidDel="002E7983">
        <w:rPr>
          <w:rFonts w:ascii="Times New Roman" w:hAnsi="Times New Roman" w:cs="Times New Roman"/>
          <w:lang w:val="ro-MD"/>
        </w:rPr>
        <w:t>lit.</w:t>
      </w:r>
      <w:r w:rsidR="00CF01DB" w:rsidRPr="000508B6">
        <w:rPr>
          <w:rFonts w:ascii="Times New Roman" w:hAnsi="Times New Roman" w:cs="Times New Roman"/>
          <w:lang w:val="ro-MD"/>
        </w:rPr>
        <w:t xml:space="preserve"> </w:t>
      </w:r>
      <w:r w:rsidR="005B3D6A" w:rsidRPr="000508B6">
        <w:rPr>
          <w:rFonts w:ascii="Times New Roman" w:hAnsi="Times New Roman" w:cs="Times New Roman"/>
          <w:lang w:val="ro-MD"/>
        </w:rPr>
        <w:t>a)-c)</w:t>
      </w:r>
      <w:r w:rsidRPr="000508B6">
        <w:rPr>
          <w:rFonts w:ascii="Times New Roman" w:hAnsi="Times New Roman" w:cs="Times New Roman"/>
          <w:lang w:val="ro-MD"/>
        </w:rPr>
        <w:t xml:space="preserve">, Banca Națională a Moldovei consultă EIOPA și, după caz, </w:t>
      </w:r>
      <w:r w:rsidR="002E7983" w:rsidRPr="000508B6">
        <w:rPr>
          <w:rFonts w:ascii="Times New Roman" w:hAnsi="Times New Roman" w:cs="Times New Roman"/>
          <w:lang w:val="ro-MD"/>
        </w:rPr>
        <w:t xml:space="preserve">alți supraveghetori implicați </w:t>
      </w:r>
      <w:r w:rsidRPr="000508B6">
        <w:rPr>
          <w:rFonts w:ascii="Times New Roman" w:hAnsi="Times New Roman" w:cs="Times New Roman"/>
          <w:lang w:val="ro-MD"/>
        </w:rPr>
        <w:t>înainte de a adopta decizia de excludere.</w:t>
      </w:r>
      <w:r w:rsidR="005B3B2A" w:rsidRPr="000508B6">
        <w:rPr>
          <w:rFonts w:ascii="Times New Roman" w:hAnsi="Times New Roman" w:cs="Times New Roman"/>
          <w:lang w:val="ro-MD"/>
        </w:rPr>
        <w:t xml:space="preserve"> </w:t>
      </w:r>
    </w:p>
    <w:p w14:paraId="79D6262B" w14:textId="04D4996A" w:rsidR="00066D3E" w:rsidRPr="000508B6" w:rsidRDefault="002E7983" w:rsidP="00BD0BBA">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r w:rsidR="00AB18A1" w:rsidRPr="000508B6">
        <w:rPr>
          <w:rFonts w:ascii="Times New Roman" w:hAnsi="Times New Roman" w:cs="Times New Roman"/>
          <w:lang w:val="ro-MD"/>
        </w:rPr>
        <w:t>adoptă decizia</w:t>
      </w:r>
      <w:r w:rsidRPr="000508B6">
        <w:rPr>
          <w:rFonts w:ascii="Times New Roman" w:hAnsi="Times New Roman" w:cs="Times New Roman"/>
          <w:lang w:val="ro-MD"/>
        </w:rPr>
        <w:t xml:space="preserve"> </w:t>
      </w:r>
      <w:r w:rsidR="00D219C2" w:rsidRPr="000508B6">
        <w:rPr>
          <w:rFonts w:ascii="Times New Roman" w:hAnsi="Times New Roman" w:cs="Times New Roman"/>
          <w:lang w:val="ro-MD"/>
        </w:rPr>
        <w:t xml:space="preserve">în </w:t>
      </w:r>
      <w:r w:rsidRPr="000508B6">
        <w:rPr>
          <w:rFonts w:ascii="Times New Roman" w:hAnsi="Times New Roman" w:cs="Times New Roman"/>
          <w:lang w:val="ro-MD"/>
        </w:rPr>
        <w:t>temeiul alin. (</w:t>
      </w:r>
      <w:r w:rsidR="005B3D6A" w:rsidRPr="000508B6">
        <w:rPr>
          <w:rFonts w:ascii="Times New Roman" w:hAnsi="Times New Roman" w:cs="Times New Roman"/>
          <w:lang w:val="ro-MD"/>
        </w:rPr>
        <w:t>12</w:t>
      </w:r>
      <w:r w:rsidRPr="000508B6">
        <w:rPr>
          <w:rFonts w:ascii="Times New Roman" w:hAnsi="Times New Roman" w:cs="Times New Roman"/>
          <w:lang w:val="ro-MD"/>
        </w:rPr>
        <w:t>)</w:t>
      </w:r>
      <w:r w:rsidR="00066D3E" w:rsidRPr="000508B6">
        <w:rPr>
          <w:rFonts w:ascii="Times New Roman" w:hAnsi="Times New Roman" w:cs="Times New Roman"/>
          <w:lang w:val="ro-MD"/>
        </w:rPr>
        <w:t xml:space="preserve"> numai în circumstanțe excepționale și justifică </w:t>
      </w:r>
      <w:r w:rsidR="00AB18A1" w:rsidRPr="000508B6">
        <w:rPr>
          <w:rFonts w:ascii="Times New Roman" w:hAnsi="Times New Roman" w:cs="Times New Roman"/>
          <w:lang w:val="ro-MD"/>
        </w:rPr>
        <w:t>acest lucru</w:t>
      </w:r>
      <w:r w:rsidR="00066D3E" w:rsidRPr="000508B6">
        <w:rPr>
          <w:rFonts w:ascii="Times New Roman" w:hAnsi="Times New Roman" w:cs="Times New Roman"/>
          <w:lang w:val="ro-MD"/>
        </w:rPr>
        <w:t xml:space="preserve"> în mod corespunzător față de EIOPA și, după caz, faț</w:t>
      </w:r>
      <w:r w:rsidRPr="000508B6">
        <w:rPr>
          <w:rFonts w:ascii="Times New Roman" w:hAnsi="Times New Roman" w:cs="Times New Roman"/>
          <w:lang w:val="ro-MD"/>
        </w:rPr>
        <w:t>ă</w:t>
      </w:r>
      <w:r w:rsidR="00066D3E" w:rsidRPr="000508B6">
        <w:rPr>
          <w:rFonts w:ascii="Times New Roman" w:hAnsi="Times New Roman" w:cs="Times New Roman"/>
          <w:lang w:val="ro-MD"/>
        </w:rPr>
        <w:t xml:space="preserve"> de </w:t>
      </w:r>
      <w:r w:rsidRPr="000508B6">
        <w:rPr>
          <w:rFonts w:ascii="Times New Roman" w:hAnsi="Times New Roman" w:cs="Times New Roman"/>
          <w:lang w:val="ro-MD"/>
        </w:rPr>
        <w:t>alți supraveghetori implicați</w:t>
      </w:r>
      <w:r w:rsidR="005B3B2A" w:rsidRPr="000508B6">
        <w:rPr>
          <w:rFonts w:ascii="Times New Roman" w:hAnsi="Times New Roman" w:cs="Times New Roman"/>
          <w:lang w:val="ro-MD"/>
        </w:rPr>
        <w:t>.</w:t>
      </w:r>
      <w:r w:rsidRPr="000508B6">
        <w:rPr>
          <w:rFonts w:ascii="Times New Roman" w:hAnsi="Times New Roman" w:cs="Times New Roman"/>
          <w:lang w:val="ro-MD"/>
        </w:rPr>
        <w:t xml:space="preserve"> </w:t>
      </w:r>
    </w:p>
    <w:p w14:paraId="3BA2B845" w14:textId="6B0E22D0" w:rsidR="002E7983" w:rsidRPr="000508B6" w:rsidRDefault="00066D3E" w:rsidP="00066D3E">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Banca Națională a Moldovei reevaluează cel puțin o dată pe an dacă decizia indicată la alin. (</w:t>
      </w:r>
      <w:r w:rsidR="00142119" w:rsidRPr="000508B6">
        <w:rPr>
          <w:rFonts w:ascii="Times New Roman" w:hAnsi="Times New Roman" w:cs="Times New Roman"/>
          <w:lang w:val="ro-MD"/>
        </w:rPr>
        <w:t>12</w:t>
      </w:r>
      <w:r w:rsidRPr="000508B6">
        <w:rPr>
          <w:rFonts w:ascii="Times New Roman" w:hAnsi="Times New Roman" w:cs="Times New Roman"/>
          <w:lang w:val="ro-MD"/>
        </w:rPr>
        <w:t xml:space="preserve">) continuă să fie </w:t>
      </w:r>
      <w:r w:rsidR="002E7983" w:rsidRPr="000508B6">
        <w:rPr>
          <w:rFonts w:ascii="Times New Roman" w:hAnsi="Times New Roman" w:cs="Times New Roman"/>
          <w:lang w:val="ro-MD"/>
        </w:rPr>
        <w:t>justificată</w:t>
      </w:r>
      <w:r w:rsidRPr="000508B6">
        <w:rPr>
          <w:rFonts w:ascii="Times New Roman" w:hAnsi="Times New Roman" w:cs="Times New Roman"/>
          <w:lang w:val="ro-MD"/>
        </w:rPr>
        <w:t>.</w:t>
      </w:r>
      <w:r w:rsidR="00FE5438" w:rsidRPr="000508B6">
        <w:rPr>
          <w:rFonts w:ascii="Times New Roman" w:hAnsi="Times New Roman" w:cs="Times New Roman"/>
          <w:lang w:val="ro-MD"/>
        </w:rPr>
        <w:t xml:space="preserve"> În cazul în care consideră că decizia nu mai este justificată, Banca Națională a Moldovei informează EIOPA și ceilalți supraveghetori</w:t>
      </w:r>
      <w:r w:rsidR="00B52334" w:rsidRPr="000508B6">
        <w:rPr>
          <w:rFonts w:ascii="Times New Roman" w:hAnsi="Times New Roman" w:cs="Times New Roman"/>
          <w:lang w:val="ro-MD"/>
        </w:rPr>
        <w:t xml:space="preserve"> despre</w:t>
      </w:r>
      <w:r w:rsidR="00FE5438" w:rsidRPr="000508B6">
        <w:rPr>
          <w:rFonts w:ascii="Times New Roman" w:hAnsi="Times New Roman" w:cs="Times New Roman"/>
          <w:lang w:val="ro-MD"/>
        </w:rPr>
        <w:t xml:space="preserve"> faptul că începe supravegherea la nivel de grup pentru entitățile respective. </w:t>
      </w:r>
    </w:p>
    <w:p w14:paraId="2783490B" w14:textId="42654CFF" w:rsidR="00066D3E" w:rsidRPr="000508B6" w:rsidRDefault="002B4C27" w:rsidP="00DB2BDB">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cazul în care în urma evaluării prevăzute la alin. (1</w:t>
      </w:r>
      <w:r w:rsidR="005B3D6A" w:rsidRPr="000508B6">
        <w:rPr>
          <w:rFonts w:ascii="Times New Roman" w:hAnsi="Times New Roman" w:cs="Times New Roman"/>
          <w:lang w:val="ro-MD"/>
        </w:rPr>
        <w:t>4</w:t>
      </w:r>
      <w:r w:rsidRPr="000508B6">
        <w:rPr>
          <w:rFonts w:ascii="Times New Roman" w:hAnsi="Times New Roman" w:cs="Times New Roman"/>
          <w:lang w:val="ro-MD"/>
        </w:rPr>
        <w:t>)</w:t>
      </w:r>
      <w:r w:rsidR="00066D3E" w:rsidRPr="000508B6">
        <w:rPr>
          <w:rFonts w:ascii="Times New Roman" w:hAnsi="Times New Roman" w:cs="Times New Roman"/>
          <w:lang w:val="ro-MD"/>
        </w:rPr>
        <w:t xml:space="preserve"> Banca Națională a Moldovei </w:t>
      </w:r>
      <w:r w:rsidRPr="000508B6">
        <w:rPr>
          <w:rFonts w:ascii="Times New Roman" w:hAnsi="Times New Roman" w:cs="Times New Roman"/>
          <w:lang w:val="ro-MD"/>
        </w:rPr>
        <w:t xml:space="preserve">decide să înceapă exercitarea supravegherii la nivel de grup, aceasta </w:t>
      </w:r>
      <w:r w:rsidR="00066D3E" w:rsidRPr="000508B6">
        <w:rPr>
          <w:rFonts w:ascii="Times New Roman" w:hAnsi="Times New Roman" w:cs="Times New Roman"/>
          <w:lang w:val="ro-MD"/>
        </w:rPr>
        <w:t xml:space="preserve">notifică EIOPA și, după caz, </w:t>
      </w:r>
      <w:r w:rsidRPr="000508B6">
        <w:rPr>
          <w:rFonts w:ascii="Times New Roman" w:hAnsi="Times New Roman" w:cs="Times New Roman"/>
          <w:lang w:val="ro-MD"/>
        </w:rPr>
        <w:t>alți supraveghetori implicați</w:t>
      </w:r>
      <w:r w:rsidR="005B3B2A" w:rsidRPr="000508B6">
        <w:rPr>
          <w:rFonts w:ascii="Times New Roman" w:hAnsi="Times New Roman" w:cs="Times New Roman"/>
          <w:lang w:val="ro-MD"/>
        </w:rPr>
        <w:t>.</w:t>
      </w:r>
      <w:r w:rsidRPr="000508B6">
        <w:rPr>
          <w:rFonts w:ascii="Times New Roman" w:hAnsi="Times New Roman" w:cs="Times New Roman"/>
          <w:lang w:val="ro-MD"/>
        </w:rPr>
        <w:t xml:space="preserve"> </w:t>
      </w:r>
    </w:p>
    <w:p w14:paraId="602D7D56" w14:textId="2E171A5E" w:rsidR="002B4C27" w:rsidRPr="000508B6" w:rsidRDefault="00066D3E" w:rsidP="00066D3E">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Înainte de a exclude societatea-mamă de cel mai înalt rang de la supravegherea la nivel de grup </w:t>
      </w:r>
      <w:bookmarkStart w:id="132" w:name="_Hlk205492289"/>
      <w:r w:rsidRPr="000508B6">
        <w:rPr>
          <w:rFonts w:ascii="Times New Roman" w:hAnsi="Times New Roman" w:cs="Times New Roman"/>
          <w:lang w:val="ro-MD"/>
        </w:rPr>
        <w:t>în temeiul alin.</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w:t>
      </w:r>
      <w:r w:rsidR="005B3D6A" w:rsidRPr="000508B6">
        <w:rPr>
          <w:rFonts w:ascii="Times New Roman" w:hAnsi="Times New Roman" w:cs="Times New Roman"/>
          <w:lang w:val="ro-MD"/>
        </w:rPr>
        <w:t>9</w:t>
      </w:r>
      <w:r w:rsidRPr="000508B6">
        <w:rPr>
          <w:rFonts w:ascii="Times New Roman" w:hAnsi="Times New Roman" w:cs="Times New Roman"/>
          <w:lang w:val="ro-MD"/>
        </w:rPr>
        <w:t>) lit.</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 xml:space="preserve">b), </w:t>
      </w:r>
      <w:bookmarkEnd w:id="132"/>
      <w:r w:rsidRPr="000508B6">
        <w:rPr>
          <w:rFonts w:ascii="Times New Roman" w:hAnsi="Times New Roman" w:cs="Times New Roman"/>
          <w:lang w:val="ro-MD"/>
        </w:rPr>
        <w:t xml:space="preserve">Banca Națională a Moldovei consultă EIOPA și, după caz, </w:t>
      </w:r>
      <w:r w:rsidR="002B4C27" w:rsidRPr="000508B6">
        <w:rPr>
          <w:rFonts w:ascii="Times New Roman" w:hAnsi="Times New Roman" w:cs="Times New Roman"/>
          <w:lang w:val="ro-MD"/>
        </w:rPr>
        <w:t xml:space="preserve">alți supraveghetori implicați </w:t>
      </w:r>
      <w:r w:rsidRPr="000508B6">
        <w:rPr>
          <w:rFonts w:ascii="Times New Roman" w:hAnsi="Times New Roman" w:cs="Times New Roman"/>
          <w:lang w:val="ro-MD"/>
        </w:rPr>
        <w:t xml:space="preserve">și evaluează impactul pe care exercitarea supravegherii de grup la nivelul unei societăți participative intermediare </w:t>
      </w:r>
      <w:proofErr w:type="spellStart"/>
      <w:r w:rsidR="00B52334" w:rsidRPr="000508B6">
        <w:rPr>
          <w:rFonts w:ascii="Times New Roman" w:hAnsi="Times New Roman" w:cs="Times New Roman"/>
          <w:lang w:val="ro-MD"/>
        </w:rPr>
        <w:t>il</w:t>
      </w:r>
      <w:proofErr w:type="spellEnd"/>
      <w:r w:rsidR="00B52334" w:rsidRPr="000508B6">
        <w:rPr>
          <w:rFonts w:ascii="Times New Roman" w:hAnsi="Times New Roman" w:cs="Times New Roman"/>
          <w:lang w:val="ro-MD"/>
        </w:rPr>
        <w:t xml:space="preserve"> are</w:t>
      </w:r>
      <w:r w:rsidRPr="000508B6">
        <w:rPr>
          <w:rFonts w:ascii="Times New Roman" w:hAnsi="Times New Roman" w:cs="Times New Roman"/>
          <w:lang w:val="ro-MD"/>
        </w:rPr>
        <w:t xml:space="preserve"> asupra solvabilității </w:t>
      </w:r>
      <w:r w:rsidR="00FB5312" w:rsidRPr="000508B6">
        <w:rPr>
          <w:rFonts w:ascii="Times New Roman" w:hAnsi="Times New Roman" w:cs="Times New Roman"/>
          <w:lang w:val="ro-MD"/>
        </w:rPr>
        <w:t>la nivel de grup</w:t>
      </w:r>
      <w:r w:rsidRPr="000508B6">
        <w:rPr>
          <w:rFonts w:ascii="Times New Roman" w:hAnsi="Times New Roman" w:cs="Times New Roman"/>
          <w:lang w:val="ro-MD"/>
        </w:rPr>
        <w:t xml:space="preserve">. </w:t>
      </w:r>
    </w:p>
    <w:p w14:paraId="7295EEF4" w14:textId="475B551A" w:rsidR="00066D3E" w:rsidRPr="000508B6" w:rsidRDefault="002B4C27" w:rsidP="00886E2C">
      <w:pPr>
        <w:numPr>
          <w:ilvl w:val="0"/>
          <w:numId w:val="8"/>
        </w:numPr>
        <w:tabs>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Banca Națională a Moldovei nu exclude societatea-mamă de cel mai înalt rang de la supravegherea la nivel de grup în temeiul alin.</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w:t>
      </w:r>
      <w:r w:rsidR="00C209F7" w:rsidRPr="000508B6">
        <w:rPr>
          <w:rFonts w:ascii="Times New Roman" w:hAnsi="Times New Roman" w:cs="Times New Roman"/>
          <w:lang w:val="ro-MD"/>
        </w:rPr>
        <w:t>9</w:t>
      </w:r>
      <w:r w:rsidRPr="000508B6">
        <w:rPr>
          <w:rFonts w:ascii="Times New Roman" w:hAnsi="Times New Roman" w:cs="Times New Roman"/>
          <w:lang w:val="ro-MD"/>
        </w:rPr>
        <w:t>) lit.</w:t>
      </w:r>
      <w:r w:rsidR="00CF01DB" w:rsidRPr="000508B6">
        <w:rPr>
          <w:rFonts w:ascii="Times New Roman" w:hAnsi="Times New Roman" w:cs="Times New Roman"/>
          <w:lang w:val="ro-MD"/>
        </w:rPr>
        <w:t xml:space="preserve"> </w:t>
      </w:r>
      <w:r w:rsidRPr="000508B6">
        <w:rPr>
          <w:rFonts w:ascii="Times New Roman" w:hAnsi="Times New Roman" w:cs="Times New Roman"/>
          <w:lang w:val="ro-MD"/>
        </w:rPr>
        <w:t>b), în cazul în care e</w:t>
      </w:r>
      <w:r w:rsidR="00066D3E" w:rsidRPr="000508B6">
        <w:rPr>
          <w:rFonts w:ascii="Times New Roman" w:hAnsi="Times New Roman" w:cs="Times New Roman"/>
          <w:lang w:val="ro-MD"/>
        </w:rPr>
        <w:t xml:space="preserve">xcluderea dată conduce la o îmbunătățire semnificativă a solvabilității </w:t>
      </w:r>
      <w:r w:rsidR="00FB5312" w:rsidRPr="000508B6">
        <w:rPr>
          <w:rFonts w:ascii="Times New Roman" w:hAnsi="Times New Roman" w:cs="Times New Roman"/>
          <w:lang w:val="ro-MD"/>
        </w:rPr>
        <w:t>la nivel de grup</w:t>
      </w:r>
      <w:r w:rsidR="00066D3E" w:rsidRPr="000508B6">
        <w:rPr>
          <w:rFonts w:ascii="Times New Roman" w:hAnsi="Times New Roman" w:cs="Times New Roman"/>
          <w:lang w:val="ro-MD"/>
        </w:rPr>
        <w:t xml:space="preserve">. </w:t>
      </w:r>
    </w:p>
    <w:p w14:paraId="7D6907F9" w14:textId="7C764B32" w:rsidR="00992266" w:rsidRPr="000508B6" w:rsidRDefault="00992266" w:rsidP="00574631">
      <w:pPr>
        <w:numPr>
          <w:ilvl w:val="0"/>
          <w:numId w:val="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Fără a aduce atingere alin.</w:t>
      </w:r>
      <w:r w:rsidR="00E05992" w:rsidRPr="000508B6">
        <w:rPr>
          <w:rFonts w:ascii="Times New Roman" w:hAnsi="Times New Roman" w:cs="Times New Roman"/>
          <w:lang w:val="ro-MD"/>
        </w:rPr>
        <w:t xml:space="preserve"> </w:t>
      </w:r>
      <w:r w:rsidRPr="000508B6">
        <w:rPr>
          <w:rFonts w:ascii="Times New Roman" w:hAnsi="Times New Roman" w:cs="Times New Roman"/>
          <w:lang w:val="ro-MD"/>
        </w:rPr>
        <w:t>(</w:t>
      </w:r>
      <w:r w:rsidR="00C209F7" w:rsidRPr="000508B6">
        <w:rPr>
          <w:rFonts w:ascii="Times New Roman" w:hAnsi="Times New Roman" w:cs="Times New Roman"/>
          <w:lang w:val="ro-MD"/>
        </w:rPr>
        <w:t>9</w:t>
      </w:r>
      <w:r w:rsidRPr="000508B6">
        <w:rPr>
          <w:rFonts w:ascii="Times New Roman" w:hAnsi="Times New Roman" w:cs="Times New Roman"/>
          <w:lang w:val="ro-MD"/>
        </w:rPr>
        <w:t>) - (</w:t>
      </w:r>
      <w:r w:rsidR="0037292F" w:rsidRPr="000508B6">
        <w:rPr>
          <w:rFonts w:ascii="Times New Roman" w:hAnsi="Times New Roman" w:cs="Times New Roman"/>
          <w:lang w:val="ro-MD"/>
        </w:rPr>
        <w:t>1</w:t>
      </w:r>
      <w:r w:rsidR="00C209F7" w:rsidRPr="000508B6">
        <w:rPr>
          <w:rFonts w:ascii="Times New Roman" w:hAnsi="Times New Roman" w:cs="Times New Roman"/>
          <w:lang w:val="ro-MD"/>
        </w:rPr>
        <w:t>7</w:t>
      </w:r>
      <w:r w:rsidRPr="000508B6">
        <w:rPr>
          <w:rFonts w:ascii="Times New Roman" w:hAnsi="Times New Roman" w:cs="Times New Roman"/>
          <w:lang w:val="ro-MD"/>
        </w:rPr>
        <w:t xml:space="preserve">), </w:t>
      </w:r>
      <w:r w:rsidR="0037292F" w:rsidRPr="000508B6">
        <w:rPr>
          <w:rFonts w:ascii="Times New Roman" w:hAnsi="Times New Roman" w:cs="Times New Roman"/>
          <w:lang w:val="ro-MD"/>
        </w:rPr>
        <w:t xml:space="preserve">Banca Națională a Moldovei </w:t>
      </w:r>
      <w:r w:rsidRPr="000508B6">
        <w:rPr>
          <w:rFonts w:ascii="Times New Roman" w:hAnsi="Times New Roman" w:cs="Times New Roman"/>
          <w:lang w:val="ro-MD"/>
        </w:rPr>
        <w:t xml:space="preserve">identifică în conformitate cu </w:t>
      </w:r>
      <w:r w:rsidR="001C4367" w:rsidRPr="000508B6">
        <w:rPr>
          <w:rFonts w:ascii="Times New Roman" w:hAnsi="Times New Roman" w:cs="Times New Roman"/>
          <w:lang w:val="ro-MD"/>
        </w:rPr>
        <w:t xml:space="preserve">prezentul </w:t>
      </w:r>
      <w:r w:rsidRPr="000508B6">
        <w:rPr>
          <w:rFonts w:ascii="Times New Roman" w:hAnsi="Times New Roman" w:cs="Times New Roman"/>
          <w:lang w:val="ro-MD"/>
        </w:rPr>
        <w:t>articol</w:t>
      </w:r>
      <w:r w:rsidR="0037292F" w:rsidRPr="000508B6">
        <w:rPr>
          <w:rFonts w:ascii="Times New Roman" w:hAnsi="Times New Roman" w:cs="Times New Roman"/>
          <w:lang w:val="ro-MD"/>
        </w:rPr>
        <w:t xml:space="preserve"> sfera grupului căruia i se aplică supravegherea la nivel de grup </w:t>
      </w:r>
      <w:r w:rsidR="00C209F7" w:rsidRPr="000508B6">
        <w:rPr>
          <w:rFonts w:ascii="Times New Roman" w:hAnsi="Times New Roman" w:cs="Times New Roman"/>
          <w:lang w:val="ro-MD"/>
        </w:rPr>
        <w:t>î</w:t>
      </w:r>
      <w:r w:rsidR="00F84E15" w:rsidRPr="000508B6">
        <w:rPr>
          <w:rFonts w:ascii="Times New Roman" w:hAnsi="Times New Roman" w:cs="Times New Roman"/>
          <w:lang w:val="ro-MD"/>
        </w:rPr>
        <w:t>n conformitate cu alin.</w:t>
      </w:r>
      <w:r w:rsidR="005D44CC" w:rsidRPr="000508B6">
        <w:rPr>
          <w:rFonts w:ascii="Times New Roman" w:hAnsi="Times New Roman" w:cs="Times New Roman"/>
          <w:lang w:val="ro-MD"/>
        </w:rPr>
        <w:t xml:space="preserve"> </w:t>
      </w:r>
      <w:r w:rsidR="00F84E15" w:rsidRPr="000508B6">
        <w:rPr>
          <w:rFonts w:ascii="Times New Roman" w:hAnsi="Times New Roman" w:cs="Times New Roman"/>
          <w:lang w:val="ro-MD"/>
        </w:rPr>
        <w:t>(</w:t>
      </w:r>
      <w:r w:rsidR="00C209F7" w:rsidRPr="000508B6">
        <w:rPr>
          <w:rFonts w:ascii="Times New Roman" w:hAnsi="Times New Roman" w:cs="Times New Roman"/>
          <w:lang w:val="ro-MD"/>
        </w:rPr>
        <w:t>3</w:t>
      </w:r>
      <w:r w:rsidR="00F84E15" w:rsidRPr="000508B6">
        <w:rPr>
          <w:rFonts w:ascii="Times New Roman" w:hAnsi="Times New Roman" w:cs="Times New Roman"/>
          <w:lang w:val="ro-MD"/>
        </w:rPr>
        <w:t>)</w:t>
      </w:r>
      <w:r w:rsidRPr="000508B6">
        <w:rPr>
          <w:rFonts w:ascii="Times New Roman" w:hAnsi="Times New Roman" w:cs="Times New Roman"/>
          <w:lang w:val="ro-MD"/>
        </w:rPr>
        <w:t>.</w:t>
      </w:r>
      <w:r w:rsidR="005B3B2A" w:rsidRPr="000508B6">
        <w:rPr>
          <w:rFonts w:ascii="Times New Roman" w:hAnsi="Times New Roman" w:cs="Times New Roman"/>
          <w:lang w:val="ro-MD"/>
        </w:rPr>
        <w:t xml:space="preserve"> </w:t>
      </w:r>
    </w:p>
    <w:p w14:paraId="1CD4C709" w14:textId="4FE3A164" w:rsidR="00992266" w:rsidRPr="000508B6" w:rsidRDefault="00992266" w:rsidP="00574631">
      <w:pPr>
        <w:numPr>
          <w:ilvl w:val="0"/>
          <w:numId w:val="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cazul în care un grup supus supravegherii la nivel de grup în temeiul alin.</w:t>
      </w:r>
      <w:r w:rsidR="00E05992" w:rsidRPr="000508B6">
        <w:rPr>
          <w:rFonts w:ascii="Times New Roman" w:hAnsi="Times New Roman" w:cs="Times New Roman"/>
          <w:lang w:val="ro-MD"/>
        </w:rPr>
        <w:t xml:space="preserve"> </w:t>
      </w:r>
      <w:r w:rsidRPr="000508B6">
        <w:rPr>
          <w:rFonts w:ascii="Times New Roman" w:hAnsi="Times New Roman" w:cs="Times New Roman"/>
          <w:lang w:val="ro-MD"/>
        </w:rPr>
        <w:t>(</w:t>
      </w:r>
      <w:r w:rsidR="00C209F7" w:rsidRPr="000508B6">
        <w:rPr>
          <w:rFonts w:ascii="Times New Roman" w:hAnsi="Times New Roman" w:cs="Times New Roman"/>
          <w:lang w:val="ro-MD"/>
        </w:rPr>
        <w:t>3</w:t>
      </w:r>
      <w:r w:rsidRPr="000508B6">
        <w:rPr>
          <w:rFonts w:ascii="Times New Roman" w:hAnsi="Times New Roman" w:cs="Times New Roman"/>
          <w:lang w:val="ro-MD"/>
        </w:rPr>
        <w:t xml:space="preserve">) lit. a) </w:t>
      </w:r>
      <w:r w:rsidR="00142119" w:rsidRPr="000508B6">
        <w:rPr>
          <w:rFonts w:ascii="Times New Roman" w:hAnsi="Times New Roman" w:cs="Times New Roman"/>
          <w:lang w:val="ro-MD"/>
        </w:rPr>
        <w:t>-</w:t>
      </w:r>
      <w:r w:rsidRPr="000508B6">
        <w:rPr>
          <w:rFonts w:ascii="Times New Roman" w:hAnsi="Times New Roman" w:cs="Times New Roman"/>
          <w:lang w:val="ro-MD"/>
        </w:rPr>
        <w:t xml:space="preserve"> c) este identificat </w:t>
      </w:r>
      <w:r w:rsidR="00F84E15" w:rsidRPr="000508B6">
        <w:rPr>
          <w:rFonts w:ascii="Times New Roman" w:hAnsi="Times New Roman" w:cs="Times New Roman"/>
          <w:lang w:val="ro-MD"/>
        </w:rPr>
        <w:t xml:space="preserve">de </w:t>
      </w:r>
      <w:r w:rsidR="00726B54" w:rsidRPr="000508B6">
        <w:rPr>
          <w:rFonts w:ascii="Times New Roman" w:hAnsi="Times New Roman" w:cs="Times New Roman"/>
          <w:lang w:val="ro-MD"/>
        </w:rPr>
        <w:t xml:space="preserve">către </w:t>
      </w:r>
      <w:r w:rsidR="00F84E15" w:rsidRPr="000508B6">
        <w:rPr>
          <w:rFonts w:ascii="Times New Roman" w:hAnsi="Times New Roman" w:cs="Times New Roman"/>
          <w:lang w:val="ro-MD"/>
        </w:rPr>
        <w:t xml:space="preserve">Banca Națională a Moldovei </w:t>
      </w:r>
      <w:r w:rsidRPr="000508B6">
        <w:rPr>
          <w:rFonts w:ascii="Times New Roman" w:hAnsi="Times New Roman" w:cs="Times New Roman"/>
          <w:lang w:val="ro-MD"/>
        </w:rPr>
        <w:t>în conformitate cu alin. (</w:t>
      </w:r>
      <w:r w:rsidR="00C209F7" w:rsidRPr="000508B6">
        <w:rPr>
          <w:rFonts w:ascii="Times New Roman" w:hAnsi="Times New Roman" w:cs="Times New Roman"/>
          <w:lang w:val="ro-MD"/>
        </w:rPr>
        <w:t>4</w:t>
      </w:r>
      <w:r w:rsidRPr="000508B6">
        <w:rPr>
          <w:rFonts w:ascii="Times New Roman" w:hAnsi="Times New Roman" w:cs="Times New Roman"/>
          <w:lang w:val="ro-MD"/>
        </w:rPr>
        <w:t xml:space="preserve">) </w:t>
      </w:r>
      <w:r w:rsidR="00F84E15" w:rsidRPr="000508B6">
        <w:rPr>
          <w:rFonts w:ascii="Times New Roman" w:hAnsi="Times New Roman" w:cs="Times New Roman"/>
          <w:lang w:val="ro-MD"/>
        </w:rPr>
        <w:t>și (</w:t>
      </w:r>
      <w:r w:rsidR="00C209F7" w:rsidRPr="000508B6">
        <w:rPr>
          <w:rFonts w:ascii="Times New Roman" w:hAnsi="Times New Roman" w:cs="Times New Roman"/>
          <w:lang w:val="ro-MD"/>
        </w:rPr>
        <w:t>5</w:t>
      </w:r>
      <w:r w:rsidR="00F84E15" w:rsidRPr="000508B6">
        <w:rPr>
          <w:rFonts w:ascii="Times New Roman" w:hAnsi="Times New Roman" w:cs="Times New Roman"/>
          <w:lang w:val="ro-MD"/>
        </w:rPr>
        <w:t>)</w:t>
      </w:r>
      <w:r w:rsidRPr="000508B6">
        <w:rPr>
          <w:rFonts w:ascii="Times New Roman" w:hAnsi="Times New Roman" w:cs="Times New Roman"/>
          <w:lang w:val="ro-MD"/>
        </w:rPr>
        <w:t xml:space="preserve"> și în cazul în care o </w:t>
      </w:r>
      <w:r w:rsidR="004F4A54" w:rsidRPr="000508B6">
        <w:rPr>
          <w:rFonts w:ascii="Times New Roman" w:hAnsi="Times New Roman" w:cs="Times New Roman"/>
          <w:lang w:val="ro-MD"/>
        </w:rPr>
        <w:t>societate</w:t>
      </w:r>
      <w:r w:rsidRPr="000508B6">
        <w:rPr>
          <w:rFonts w:ascii="Times New Roman" w:hAnsi="Times New Roman" w:cs="Times New Roman"/>
          <w:lang w:val="ro-MD"/>
        </w:rPr>
        <w:t xml:space="preserve">-mamă sau o filială a grupului respectiv este și </w:t>
      </w:r>
      <w:r w:rsidR="004F4A54" w:rsidRPr="000508B6">
        <w:rPr>
          <w:rFonts w:ascii="Times New Roman" w:hAnsi="Times New Roman" w:cs="Times New Roman"/>
          <w:lang w:val="ro-MD"/>
        </w:rPr>
        <w:t>societatea</w:t>
      </w:r>
      <w:r w:rsidRPr="000508B6">
        <w:rPr>
          <w:rFonts w:ascii="Times New Roman" w:hAnsi="Times New Roman" w:cs="Times New Roman"/>
          <w:lang w:val="ro-MD"/>
        </w:rPr>
        <w:t xml:space="preserve"> participativă de cel mai înalt rang a unui alt grup</w:t>
      </w:r>
      <w:r w:rsidR="00C209F7" w:rsidRPr="000508B6">
        <w:rPr>
          <w:rFonts w:ascii="Times New Roman" w:hAnsi="Times New Roman" w:cs="Times New Roman"/>
          <w:lang w:val="ro-MD"/>
        </w:rPr>
        <w:t xml:space="preserve"> definit la </w:t>
      </w:r>
      <w:r w:rsidR="00064B87" w:rsidRPr="000508B6">
        <w:rPr>
          <w:rFonts w:ascii="Times New Roman" w:hAnsi="Times New Roman" w:cs="Times New Roman"/>
          <w:lang w:val="ro-MD"/>
        </w:rPr>
        <w:t>alin.</w:t>
      </w:r>
      <w:r w:rsidR="00E05992" w:rsidRPr="000508B6">
        <w:rPr>
          <w:rFonts w:ascii="Times New Roman" w:hAnsi="Times New Roman" w:cs="Times New Roman"/>
          <w:lang w:val="ro-MD"/>
        </w:rPr>
        <w:t xml:space="preserve"> (</w:t>
      </w:r>
      <w:r w:rsidR="00064B87" w:rsidRPr="000508B6">
        <w:rPr>
          <w:rFonts w:ascii="Times New Roman" w:hAnsi="Times New Roman" w:cs="Times New Roman"/>
          <w:lang w:val="ro-MD"/>
        </w:rPr>
        <w:t>4</w:t>
      </w:r>
      <w:r w:rsidR="00E05992" w:rsidRPr="000508B6">
        <w:rPr>
          <w:rFonts w:ascii="Times New Roman" w:hAnsi="Times New Roman" w:cs="Times New Roman"/>
          <w:lang w:val="ro-MD"/>
        </w:rPr>
        <w:t>)</w:t>
      </w:r>
      <w:r w:rsidR="00064B87" w:rsidRPr="000508B6">
        <w:rPr>
          <w:rFonts w:ascii="Times New Roman" w:hAnsi="Times New Roman" w:cs="Times New Roman"/>
          <w:lang w:val="ro-MD"/>
        </w:rPr>
        <w:t xml:space="preserve"> lit.</w:t>
      </w:r>
      <w:r w:rsidR="00E05992" w:rsidRPr="000508B6">
        <w:rPr>
          <w:rFonts w:ascii="Times New Roman" w:hAnsi="Times New Roman" w:cs="Times New Roman"/>
          <w:lang w:val="ro-MD"/>
        </w:rPr>
        <w:t xml:space="preserve"> </w:t>
      </w:r>
      <w:r w:rsidR="00064B87" w:rsidRPr="000508B6">
        <w:rPr>
          <w:rFonts w:ascii="Times New Roman" w:hAnsi="Times New Roman" w:cs="Times New Roman"/>
          <w:lang w:val="ro-MD"/>
        </w:rPr>
        <w:t>b)</w:t>
      </w:r>
      <w:r w:rsidRPr="000508B6">
        <w:rPr>
          <w:rFonts w:ascii="Times New Roman" w:hAnsi="Times New Roman" w:cs="Times New Roman"/>
          <w:lang w:val="ro-MD"/>
        </w:rPr>
        <w:t xml:space="preserve">, </w:t>
      </w:r>
      <w:r w:rsidR="00C209F7" w:rsidRPr="000508B6">
        <w:rPr>
          <w:rFonts w:ascii="Times New Roman" w:hAnsi="Times New Roman" w:cs="Times New Roman"/>
          <w:lang w:val="ro-MD"/>
        </w:rPr>
        <w:t>Banca Națională a Moldovei</w:t>
      </w:r>
      <w:r w:rsidR="004223E2" w:rsidRPr="000508B6">
        <w:rPr>
          <w:rFonts w:ascii="Times New Roman" w:hAnsi="Times New Roman" w:cs="Times New Roman"/>
          <w:lang w:val="ro-MD"/>
        </w:rPr>
        <w:t xml:space="preserve"> </w:t>
      </w:r>
      <w:r w:rsidR="00C209F7" w:rsidRPr="000508B6">
        <w:rPr>
          <w:rFonts w:ascii="Times New Roman" w:hAnsi="Times New Roman" w:cs="Times New Roman"/>
          <w:lang w:val="ro-MD"/>
        </w:rPr>
        <w:t>co</w:t>
      </w:r>
      <w:r w:rsidR="004223E2" w:rsidRPr="000508B6">
        <w:rPr>
          <w:rFonts w:ascii="Times New Roman" w:hAnsi="Times New Roman" w:cs="Times New Roman"/>
          <w:lang w:val="ro-MD"/>
        </w:rPr>
        <w:t>n</w:t>
      </w:r>
      <w:r w:rsidR="00C209F7" w:rsidRPr="000508B6">
        <w:rPr>
          <w:rFonts w:ascii="Times New Roman" w:hAnsi="Times New Roman" w:cs="Times New Roman"/>
          <w:lang w:val="ro-MD"/>
        </w:rPr>
        <w:t>sideră</w:t>
      </w:r>
      <w:r w:rsidRPr="000508B6">
        <w:rPr>
          <w:rFonts w:ascii="Times New Roman" w:hAnsi="Times New Roman" w:cs="Times New Roman"/>
          <w:lang w:val="ro-MD"/>
        </w:rPr>
        <w:t xml:space="preserve"> că acest alt grup este inclus în sfera grupului identificat în conformitate cu alin. (</w:t>
      </w:r>
      <w:r w:rsidR="00064B87" w:rsidRPr="000508B6">
        <w:rPr>
          <w:rFonts w:ascii="Times New Roman" w:hAnsi="Times New Roman" w:cs="Times New Roman"/>
          <w:lang w:val="ro-MD"/>
        </w:rPr>
        <w:t>4</w:t>
      </w:r>
      <w:r w:rsidRPr="000508B6">
        <w:rPr>
          <w:rFonts w:ascii="Times New Roman" w:hAnsi="Times New Roman" w:cs="Times New Roman"/>
          <w:lang w:val="ro-MD"/>
        </w:rPr>
        <w:t xml:space="preserve">) </w:t>
      </w:r>
      <w:r w:rsidR="00BF1C23" w:rsidRPr="000508B6">
        <w:rPr>
          <w:rFonts w:ascii="Times New Roman" w:hAnsi="Times New Roman" w:cs="Times New Roman"/>
          <w:lang w:val="ro-MD"/>
        </w:rPr>
        <w:t xml:space="preserve">- </w:t>
      </w:r>
      <w:r w:rsidR="00F84E15" w:rsidRPr="000508B6">
        <w:rPr>
          <w:rFonts w:ascii="Times New Roman" w:hAnsi="Times New Roman" w:cs="Times New Roman"/>
          <w:lang w:val="ro-MD"/>
        </w:rPr>
        <w:t>(</w:t>
      </w:r>
      <w:r w:rsidR="00BF1C23" w:rsidRPr="000508B6">
        <w:rPr>
          <w:rFonts w:ascii="Times New Roman" w:hAnsi="Times New Roman" w:cs="Times New Roman"/>
          <w:lang w:val="ro-MD"/>
        </w:rPr>
        <w:t>5</w:t>
      </w:r>
      <w:r w:rsidR="00F84E15" w:rsidRPr="000508B6">
        <w:rPr>
          <w:rFonts w:ascii="Times New Roman" w:hAnsi="Times New Roman" w:cs="Times New Roman"/>
          <w:lang w:val="ro-MD"/>
        </w:rPr>
        <w:t>)</w:t>
      </w:r>
      <w:r w:rsidRPr="000508B6">
        <w:rPr>
          <w:rFonts w:ascii="Times New Roman" w:hAnsi="Times New Roman" w:cs="Times New Roman"/>
          <w:lang w:val="ro-MD"/>
        </w:rPr>
        <w:t>.</w:t>
      </w:r>
      <w:r w:rsidR="005B3B2A" w:rsidRPr="000508B6">
        <w:rPr>
          <w:rFonts w:ascii="Times New Roman" w:hAnsi="Times New Roman" w:cs="Times New Roman"/>
          <w:lang w:val="ro-MD"/>
        </w:rPr>
        <w:t xml:space="preserve"> </w:t>
      </w:r>
    </w:p>
    <w:p w14:paraId="380F700C" w14:textId="35DD0F63" w:rsidR="00992266" w:rsidRPr="000508B6" w:rsidRDefault="00992266" w:rsidP="00574631">
      <w:pPr>
        <w:numPr>
          <w:ilvl w:val="0"/>
          <w:numId w:val="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 poate aplica alin. (</w:t>
      </w:r>
      <w:r w:rsidR="00064B87" w:rsidRPr="000508B6">
        <w:rPr>
          <w:rFonts w:ascii="Times New Roman" w:hAnsi="Times New Roman" w:cs="Times New Roman"/>
          <w:lang w:val="ro-MD"/>
        </w:rPr>
        <w:t>4</w:t>
      </w:r>
      <w:r w:rsidRPr="000508B6">
        <w:rPr>
          <w:rFonts w:ascii="Times New Roman" w:hAnsi="Times New Roman" w:cs="Times New Roman"/>
          <w:lang w:val="ro-MD"/>
        </w:rPr>
        <w:t xml:space="preserve">) </w:t>
      </w:r>
      <w:r w:rsidR="00064B87" w:rsidRPr="000508B6">
        <w:rPr>
          <w:rFonts w:ascii="Times New Roman" w:hAnsi="Times New Roman" w:cs="Times New Roman"/>
          <w:lang w:val="ro-MD"/>
        </w:rPr>
        <w:t xml:space="preserve">și </w:t>
      </w:r>
      <w:r w:rsidR="00F84E15" w:rsidRPr="000508B6">
        <w:rPr>
          <w:rFonts w:ascii="Times New Roman" w:hAnsi="Times New Roman" w:cs="Times New Roman"/>
          <w:lang w:val="ro-MD"/>
        </w:rPr>
        <w:t>(</w:t>
      </w:r>
      <w:r w:rsidR="00C209F7" w:rsidRPr="000508B6">
        <w:rPr>
          <w:rFonts w:ascii="Times New Roman" w:hAnsi="Times New Roman" w:cs="Times New Roman"/>
          <w:lang w:val="ro-MD"/>
        </w:rPr>
        <w:t>5</w:t>
      </w:r>
      <w:r w:rsidR="00F84E15" w:rsidRPr="000508B6">
        <w:rPr>
          <w:rFonts w:ascii="Times New Roman" w:hAnsi="Times New Roman" w:cs="Times New Roman"/>
          <w:lang w:val="ro-MD"/>
        </w:rPr>
        <w:t>)</w:t>
      </w:r>
      <w:r w:rsidR="00E05992" w:rsidRPr="000508B6">
        <w:rPr>
          <w:rFonts w:ascii="Times New Roman" w:hAnsi="Times New Roman" w:cs="Times New Roman"/>
          <w:lang w:val="ro-MD"/>
        </w:rPr>
        <w:t xml:space="preserve"> </w:t>
      </w:r>
      <w:r w:rsidRPr="000508B6">
        <w:rPr>
          <w:rFonts w:ascii="Times New Roman" w:hAnsi="Times New Roman" w:cs="Times New Roman"/>
          <w:lang w:val="ro-MD"/>
        </w:rPr>
        <w:t xml:space="preserve">pentru a extinde sfera unui grup în înțelesul </w:t>
      </w:r>
      <w:r w:rsidR="00AB18A1" w:rsidRPr="000508B6">
        <w:rPr>
          <w:rFonts w:ascii="Times New Roman" w:hAnsi="Times New Roman" w:cs="Times New Roman"/>
          <w:lang w:val="ro-MD"/>
        </w:rPr>
        <w:t>art.</w:t>
      </w:r>
      <w:r w:rsidR="00E05992" w:rsidRPr="000508B6">
        <w:rPr>
          <w:rFonts w:ascii="Times New Roman" w:hAnsi="Times New Roman" w:cs="Times New Roman"/>
          <w:lang w:val="ro-MD"/>
        </w:rPr>
        <w:t xml:space="preserve"> </w:t>
      </w:r>
      <w:r w:rsidR="00AB18A1" w:rsidRPr="000508B6">
        <w:rPr>
          <w:rFonts w:ascii="Times New Roman" w:hAnsi="Times New Roman" w:cs="Times New Roman"/>
          <w:lang w:val="ro-MD"/>
        </w:rPr>
        <w:t>3 pct. 3</w:t>
      </w:r>
      <w:r w:rsidR="00C96119" w:rsidRPr="000508B6">
        <w:rPr>
          <w:rFonts w:ascii="Times New Roman" w:hAnsi="Times New Roman" w:cs="Times New Roman"/>
          <w:lang w:val="ro-MD"/>
        </w:rPr>
        <w:t>5</w:t>
      </w:r>
      <w:r w:rsidR="00AB18A1" w:rsidRPr="000508B6">
        <w:rPr>
          <w:rFonts w:ascii="Times New Roman" w:hAnsi="Times New Roman" w:cs="Times New Roman"/>
          <w:lang w:val="ro-MD"/>
        </w:rPr>
        <w:t>)</w:t>
      </w:r>
      <w:r w:rsidRPr="000508B6">
        <w:rPr>
          <w:rFonts w:ascii="Times New Roman" w:hAnsi="Times New Roman" w:cs="Times New Roman"/>
          <w:lang w:val="ro-MD"/>
        </w:rPr>
        <w:t>.</w:t>
      </w:r>
      <w:r w:rsidR="002E4CCF" w:rsidRPr="000508B6">
        <w:rPr>
          <w:rFonts w:ascii="Times New Roman" w:hAnsi="Times New Roman" w:cs="Times New Roman"/>
          <w:lang w:val="ro-MD"/>
        </w:rPr>
        <w:t xml:space="preserve"> </w:t>
      </w:r>
    </w:p>
    <w:p w14:paraId="1350116E" w14:textId="2BA75775" w:rsidR="00992266" w:rsidRPr="000508B6" w:rsidRDefault="00992266" w:rsidP="00574631">
      <w:pPr>
        <w:numPr>
          <w:ilvl w:val="0"/>
          <w:numId w:val="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732A0E" w:rsidRPr="000508B6">
        <w:rPr>
          <w:rFonts w:ascii="Times New Roman" w:hAnsi="Times New Roman" w:cs="Times New Roman"/>
          <w:lang w:val="ro-MD"/>
        </w:rPr>
        <w:t xml:space="preserve">Banca Națională a Moldovei </w:t>
      </w:r>
      <w:r w:rsidR="00AB18A1" w:rsidRPr="000508B6">
        <w:rPr>
          <w:rFonts w:ascii="Times New Roman" w:hAnsi="Times New Roman" w:cs="Times New Roman"/>
          <w:lang w:val="ro-MD"/>
        </w:rPr>
        <w:t>identifică un</w:t>
      </w:r>
      <w:r w:rsidRPr="000508B6">
        <w:rPr>
          <w:rFonts w:ascii="Times New Roman" w:hAnsi="Times New Roman" w:cs="Times New Roman"/>
          <w:lang w:val="ro-MD"/>
        </w:rPr>
        <w:t xml:space="preserve"> grup în conformitate cu alin. </w:t>
      </w:r>
      <w:r w:rsidR="00732A0E" w:rsidRPr="000508B6">
        <w:rPr>
          <w:rFonts w:ascii="Times New Roman" w:hAnsi="Times New Roman" w:cs="Times New Roman"/>
          <w:lang w:val="ro-MD"/>
        </w:rPr>
        <w:t>(4) lit. b) și alin. (5)</w:t>
      </w:r>
      <w:r w:rsidR="004B0C8B" w:rsidRPr="000508B6">
        <w:rPr>
          <w:rFonts w:ascii="Times New Roman" w:hAnsi="Times New Roman" w:cs="Times New Roman"/>
          <w:lang w:val="ro-MD"/>
        </w:rPr>
        <w:t xml:space="preserve"> </w:t>
      </w:r>
      <w:r w:rsidR="006914DC" w:rsidRPr="000508B6">
        <w:rPr>
          <w:rFonts w:ascii="Times New Roman" w:hAnsi="Times New Roman" w:cs="Times New Roman"/>
          <w:lang w:val="ro-MD"/>
        </w:rPr>
        <w:t>pe care îl supraveghează</w:t>
      </w:r>
      <w:r w:rsidRPr="000508B6">
        <w:rPr>
          <w:rFonts w:ascii="Times New Roman" w:hAnsi="Times New Roman" w:cs="Times New Roman"/>
          <w:lang w:val="ro-MD"/>
        </w:rPr>
        <w:t xml:space="preserve"> în conformitate cu alin. (</w:t>
      </w:r>
      <w:r w:rsidR="00864BFC" w:rsidRPr="000508B6">
        <w:rPr>
          <w:rFonts w:ascii="Times New Roman" w:hAnsi="Times New Roman" w:cs="Times New Roman"/>
          <w:lang w:val="ro-MD"/>
        </w:rPr>
        <w:t>3</w:t>
      </w:r>
      <w:r w:rsidRPr="000508B6">
        <w:rPr>
          <w:rFonts w:ascii="Times New Roman" w:hAnsi="Times New Roman" w:cs="Times New Roman"/>
          <w:lang w:val="ro-MD"/>
        </w:rPr>
        <w:t xml:space="preserve">) lit. a), b) și c), grupul </w:t>
      </w:r>
      <w:r w:rsidR="00864BFC" w:rsidRPr="000508B6">
        <w:rPr>
          <w:rFonts w:ascii="Times New Roman" w:hAnsi="Times New Roman" w:cs="Times New Roman"/>
          <w:lang w:val="ro-MD"/>
        </w:rPr>
        <w:t xml:space="preserve">respectiv </w:t>
      </w:r>
      <w:r w:rsidRPr="000508B6">
        <w:rPr>
          <w:rFonts w:ascii="Times New Roman" w:hAnsi="Times New Roman" w:cs="Times New Roman"/>
          <w:lang w:val="ro-MD"/>
        </w:rPr>
        <w:t xml:space="preserve">desemnează una dintre </w:t>
      </w:r>
      <w:r w:rsidR="00864BFC" w:rsidRPr="000508B6">
        <w:rPr>
          <w:rFonts w:ascii="Times New Roman" w:hAnsi="Times New Roman" w:cs="Times New Roman"/>
          <w:lang w:val="ro-MD"/>
        </w:rPr>
        <w:t xml:space="preserve">entitățile </w:t>
      </w:r>
      <w:r w:rsidRPr="000508B6">
        <w:rPr>
          <w:rFonts w:ascii="Times New Roman" w:hAnsi="Times New Roman" w:cs="Times New Roman"/>
          <w:lang w:val="ro-MD"/>
        </w:rPr>
        <w:t xml:space="preserve">administrate pe o bază unitară drept societate-mamă responsabilă cu respectarea prezentului capitol. Celelalte </w:t>
      </w:r>
      <w:r w:rsidR="00864BFC" w:rsidRPr="000508B6">
        <w:rPr>
          <w:rFonts w:ascii="Times New Roman" w:hAnsi="Times New Roman" w:cs="Times New Roman"/>
          <w:lang w:val="ro-MD"/>
        </w:rPr>
        <w:t xml:space="preserve">entități </w:t>
      </w:r>
      <w:r w:rsidRPr="000508B6">
        <w:rPr>
          <w:rFonts w:ascii="Times New Roman" w:hAnsi="Times New Roman" w:cs="Times New Roman"/>
          <w:lang w:val="ro-MD"/>
        </w:rPr>
        <w:t>menționate la alin. (</w:t>
      </w:r>
      <w:r w:rsidR="00864BFC" w:rsidRPr="000508B6">
        <w:rPr>
          <w:rFonts w:ascii="Times New Roman" w:hAnsi="Times New Roman" w:cs="Times New Roman"/>
          <w:lang w:val="ro-MD"/>
        </w:rPr>
        <w:t>4</w:t>
      </w:r>
      <w:r w:rsidRPr="000508B6">
        <w:rPr>
          <w:rFonts w:ascii="Times New Roman" w:hAnsi="Times New Roman" w:cs="Times New Roman"/>
          <w:lang w:val="ro-MD"/>
        </w:rPr>
        <w:t xml:space="preserve">) </w:t>
      </w:r>
      <w:r w:rsidR="00E9267E" w:rsidRPr="000508B6">
        <w:rPr>
          <w:rFonts w:ascii="Times New Roman" w:hAnsi="Times New Roman" w:cs="Times New Roman"/>
          <w:lang w:val="ro-MD"/>
        </w:rPr>
        <w:t xml:space="preserve">lit. </w:t>
      </w:r>
      <w:r w:rsidR="00864BFC" w:rsidRPr="000508B6">
        <w:rPr>
          <w:rFonts w:ascii="Times New Roman" w:hAnsi="Times New Roman" w:cs="Times New Roman"/>
          <w:lang w:val="ro-MD"/>
        </w:rPr>
        <w:t>b</w:t>
      </w:r>
      <w:r w:rsidR="00E9267E" w:rsidRPr="000508B6">
        <w:rPr>
          <w:rFonts w:ascii="Times New Roman" w:hAnsi="Times New Roman" w:cs="Times New Roman"/>
          <w:lang w:val="ro-MD"/>
        </w:rPr>
        <w:t xml:space="preserve">) </w:t>
      </w:r>
      <w:r w:rsidRPr="000508B6">
        <w:rPr>
          <w:rFonts w:ascii="Times New Roman" w:hAnsi="Times New Roman" w:cs="Times New Roman"/>
          <w:lang w:val="ro-MD"/>
        </w:rPr>
        <w:t>sunt considerate filiale.</w:t>
      </w:r>
    </w:p>
    <w:p w14:paraId="72407D8F" w14:textId="0B03BCBC" w:rsidR="006914DC" w:rsidRPr="000508B6" w:rsidRDefault="006914DC" w:rsidP="00574631">
      <w:pPr>
        <w:numPr>
          <w:ilvl w:val="0"/>
          <w:numId w:val="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în calitate de supraveghetor coordonator desemnat în temeiul art. 192 alin. (3) și (4) și art. 193 alin. (1) și </w:t>
      </w:r>
      <w:r w:rsidR="009B363C" w:rsidRPr="000508B6">
        <w:rPr>
          <w:rFonts w:ascii="Times New Roman" w:hAnsi="Times New Roman" w:cs="Times New Roman"/>
          <w:lang w:val="ro-MD"/>
        </w:rPr>
        <w:t>alin.</w:t>
      </w:r>
      <w:r w:rsidRPr="000508B6">
        <w:rPr>
          <w:rFonts w:ascii="Times New Roman" w:hAnsi="Times New Roman" w:cs="Times New Roman"/>
          <w:lang w:val="ro-MD"/>
        </w:rPr>
        <w:t>(3)-(5) impune grupului, după consultarea cu alți supraveghetori implicați, desemnarea unei alte societăți-mamă, în următoarele cazuri:</w:t>
      </w:r>
    </w:p>
    <w:p w14:paraId="234BBA89" w14:textId="157B4B74" w:rsidR="006914DC" w:rsidRPr="000508B6" w:rsidRDefault="00992266" w:rsidP="00574631">
      <w:pPr>
        <w:pStyle w:val="Listparagraf"/>
        <w:numPr>
          <w:ilvl w:val="2"/>
          <w:numId w:val="213"/>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desemnarea societății-mamă în conformitate cu alin.</w:t>
      </w:r>
      <w:r w:rsidR="00E05992" w:rsidRPr="000508B6">
        <w:rPr>
          <w:rFonts w:ascii="Times New Roman" w:hAnsi="Times New Roman" w:cs="Times New Roman"/>
          <w:lang w:val="ro-MD"/>
        </w:rPr>
        <w:t xml:space="preserve"> </w:t>
      </w:r>
      <w:r w:rsidRPr="000508B6">
        <w:rPr>
          <w:rFonts w:ascii="Times New Roman" w:hAnsi="Times New Roman" w:cs="Times New Roman"/>
          <w:lang w:val="ro-MD"/>
        </w:rPr>
        <w:t>(</w:t>
      </w:r>
      <w:r w:rsidR="00E82E0E" w:rsidRPr="000508B6">
        <w:rPr>
          <w:rFonts w:ascii="Times New Roman" w:hAnsi="Times New Roman" w:cs="Times New Roman"/>
          <w:lang w:val="ro-MD"/>
        </w:rPr>
        <w:t>2</w:t>
      </w:r>
      <w:r w:rsidR="00864BFC" w:rsidRPr="000508B6">
        <w:rPr>
          <w:rFonts w:ascii="Times New Roman" w:hAnsi="Times New Roman" w:cs="Times New Roman"/>
          <w:lang w:val="ro-MD"/>
        </w:rPr>
        <w:t>1</w:t>
      </w:r>
      <w:r w:rsidRPr="000508B6">
        <w:rPr>
          <w:rFonts w:ascii="Times New Roman" w:hAnsi="Times New Roman" w:cs="Times New Roman"/>
          <w:lang w:val="ro-MD"/>
        </w:rPr>
        <w:t xml:space="preserve">) ar implica dificultăți semnificative în vederea exercitării supravegherii la nivel de grup, în special în cazurile în care sediul central al </w:t>
      </w:r>
      <w:r w:rsidR="002F6CA1" w:rsidRPr="000508B6">
        <w:rPr>
          <w:rFonts w:ascii="Times New Roman" w:hAnsi="Times New Roman" w:cs="Times New Roman"/>
          <w:lang w:val="ro-MD"/>
        </w:rPr>
        <w:t xml:space="preserve">entității </w:t>
      </w:r>
      <w:r w:rsidRPr="000508B6">
        <w:rPr>
          <w:rFonts w:ascii="Times New Roman" w:hAnsi="Times New Roman" w:cs="Times New Roman"/>
          <w:lang w:val="ro-MD"/>
        </w:rPr>
        <w:t>nu este stabilit pe teritoriul Republicii Moldova</w:t>
      </w:r>
      <w:r w:rsidR="006914DC" w:rsidRPr="000508B6">
        <w:rPr>
          <w:rFonts w:ascii="Times New Roman" w:hAnsi="Times New Roman" w:cs="Times New Roman"/>
          <w:lang w:val="ro-MD"/>
        </w:rPr>
        <w:t>;</w:t>
      </w:r>
    </w:p>
    <w:p w14:paraId="42D1E308" w14:textId="5B28BB3C" w:rsidR="006B7DB6" w:rsidRPr="000508B6" w:rsidRDefault="00992266" w:rsidP="00574631">
      <w:pPr>
        <w:pStyle w:val="Listparagraf"/>
        <w:numPr>
          <w:ilvl w:val="2"/>
          <w:numId w:val="213"/>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desemnarea ar duce la incapacitatea grupului de a respecta efectiv prezentul capitol</w:t>
      </w:r>
      <w:r w:rsidR="006914DC" w:rsidRPr="000508B6">
        <w:rPr>
          <w:rFonts w:ascii="Times New Roman" w:hAnsi="Times New Roman" w:cs="Times New Roman"/>
          <w:lang w:val="ro-MD"/>
        </w:rPr>
        <w:t>.</w:t>
      </w:r>
      <w:r w:rsidRPr="000508B6">
        <w:rPr>
          <w:rFonts w:ascii="Times New Roman" w:hAnsi="Times New Roman" w:cs="Times New Roman"/>
          <w:lang w:val="ro-MD"/>
        </w:rPr>
        <w:t xml:space="preserve"> </w:t>
      </w:r>
    </w:p>
    <w:p w14:paraId="05CB9C0D" w14:textId="512FFFC0" w:rsidR="006B7DB6" w:rsidRPr="000508B6" w:rsidRDefault="006B7DB6" w:rsidP="00574631">
      <w:pPr>
        <w:numPr>
          <w:ilvl w:val="0"/>
          <w:numId w:val="8"/>
        </w:numPr>
        <w:tabs>
          <w:tab w:val="left" w:pos="709"/>
          <w:tab w:val="left" w:pos="851"/>
          <w:tab w:val="left" w:pos="993"/>
        </w:tabs>
        <w:spacing w:after="0" w:line="240" w:lineRule="auto"/>
        <w:ind w:left="0" w:firstLine="426"/>
        <w:jc w:val="both"/>
        <w:rPr>
          <w:rFonts w:ascii="Times New Roman" w:hAnsi="Times New Roman" w:cs="Times New Roman"/>
          <w:lang w:val="ro-MD"/>
        </w:rPr>
      </w:pPr>
      <w:bookmarkStart w:id="133" w:name="_Hlk214997501"/>
      <w:r w:rsidRPr="000508B6">
        <w:rPr>
          <w:rFonts w:ascii="Times New Roman" w:hAnsi="Times New Roman" w:cs="Times New Roman"/>
          <w:lang w:val="ro-MD"/>
        </w:rPr>
        <w:lastRenderedPageBreak/>
        <w:t xml:space="preserve">Atunci </w:t>
      </w:r>
      <w:r w:rsidR="00E05992" w:rsidRPr="000508B6">
        <w:rPr>
          <w:rFonts w:ascii="Times New Roman" w:hAnsi="Times New Roman" w:cs="Times New Roman"/>
          <w:lang w:val="ro-MD"/>
        </w:rPr>
        <w:t>când</w:t>
      </w:r>
      <w:r w:rsidRPr="000508B6">
        <w:rPr>
          <w:rFonts w:ascii="Times New Roman" w:hAnsi="Times New Roman" w:cs="Times New Roman"/>
          <w:lang w:val="ro-MD"/>
        </w:rPr>
        <w:t xml:space="preserve"> impune unui </w:t>
      </w:r>
      <w:r w:rsidR="006E2A2E" w:rsidRPr="000508B6">
        <w:rPr>
          <w:rFonts w:ascii="Times New Roman" w:hAnsi="Times New Roman" w:cs="Times New Roman"/>
          <w:lang w:val="ro-MD"/>
        </w:rPr>
        <w:t>g</w:t>
      </w:r>
      <w:r w:rsidRPr="000508B6">
        <w:rPr>
          <w:rFonts w:ascii="Times New Roman" w:hAnsi="Times New Roman" w:cs="Times New Roman"/>
          <w:lang w:val="ro-MD"/>
        </w:rPr>
        <w:t xml:space="preserve">rup desemnarea unei societăți-mamă în conformitate cu alin. (22) Banca Națională a Moldovei transmite grupului și supraveghetorilor implicați, motivele avute în vedere atunci </w:t>
      </w:r>
      <w:r w:rsidR="00E05992" w:rsidRPr="000508B6">
        <w:rPr>
          <w:rFonts w:ascii="Times New Roman" w:hAnsi="Times New Roman" w:cs="Times New Roman"/>
          <w:lang w:val="ro-MD"/>
        </w:rPr>
        <w:t>când</w:t>
      </w:r>
      <w:r w:rsidRPr="000508B6">
        <w:rPr>
          <w:rFonts w:ascii="Times New Roman" w:hAnsi="Times New Roman" w:cs="Times New Roman"/>
          <w:lang w:val="ro-MD"/>
        </w:rPr>
        <w:t xml:space="preserve"> adoptă decizia respectivă.</w:t>
      </w:r>
    </w:p>
    <w:p w14:paraId="17BF285F" w14:textId="5EC25670" w:rsidR="002E4CCF" w:rsidRPr="000508B6" w:rsidRDefault="002E4CCF" w:rsidP="00574631">
      <w:pPr>
        <w:pStyle w:val="Listparagraf"/>
        <w:numPr>
          <w:ilvl w:val="0"/>
          <w:numId w:val="8"/>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bookmarkEnd w:id="133"/>
      <w:r w:rsidRPr="000508B6">
        <w:rPr>
          <w:rFonts w:ascii="Times New Roman" w:hAnsi="Times New Roman" w:cs="Times New Roman"/>
          <w:lang w:val="ro-MD"/>
        </w:rPr>
        <w:t>un grup nu desemnează o societate-mamă în conformitate cu alin.</w:t>
      </w:r>
      <w:r w:rsidR="00E05992" w:rsidRPr="000508B6">
        <w:rPr>
          <w:rFonts w:ascii="Times New Roman" w:hAnsi="Times New Roman" w:cs="Times New Roman"/>
          <w:lang w:val="ro-MD"/>
        </w:rPr>
        <w:t xml:space="preserve"> </w:t>
      </w:r>
      <w:r w:rsidRPr="000508B6">
        <w:rPr>
          <w:rFonts w:ascii="Times New Roman" w:hAnsi="Times New Roman" w:cs="Times New Roman"/>
          <w:lang w:val="ro-MD"/>
        </w:rPr>
        <w:t>(</w:t>
      </w:r>
      <w:r w:rsidR="00864BFC" w:rsidRPr="000508B6">
        <w:rPr>
          <w:rFonts w:ascii="Times New Roman" w:hAnsi="Times New Roman" w:cs="Times New Roman"/>
          <w:lang w:val="ro-MD"/>
        </w:rPr>
        <w:t>21</w:t>
      </w:r>
      <w:r w:rsidRPr="000508B6">
        <w:rPr>
          <w:rFonts w:ascii="Times New Roman" w:hAnsi="Times New Roman" w:cs="Times New Roman"/>
          <w:lang w:val="ro-MD"/>
        </w:rPr>
        <w:t xml:space="preserve">), Banca Națională a Moldovei </w:t>
      </w:r>
      <w:r w:rsidR="00373CA1" w:rsidRPr="000508B6">
        <w:rPr>
          <w:rFonts w:ascii="Times New Roman" w:hAnsi="Times New Roman" w:cs="Times New Roman"/>
          <w:lang w:val="ro-MD"/>
        </w:rPr>
        <w:t>în calitate de supraveghetor coordonator</w:t>
      </w:r>
      <w:r w:rsidR="004B0C8B" w:rsidRPr="000508B6">
        <w:rPr>
          <w:rFonts w:ascii="Times New Roman" w:hAnsi="Times New Roman" w:cs="Times New Roman"/>
          <w:lang w:val="ro-MD"/>
        </w:rPr>
        <w:t xml:space="preserve"> desemnat în temeiul art. </w:t>
      </w:r>
      <w:r w:rsidR="009B363C" w:rsidRPr="000508B6">
        <w:rPr>
          <w:rFonts w:ascii="Times New Roman" w:hAnsi="Times New Roman" w:cs="Times New Roman"/>
          <w:lang w:val="ro-MD"/>
        </w:rPr>
        <w:t>192 alin. (3) și (4) și art. 193 alin. (1) și alin.(3)-(5)</w:t>
      </w:r>
      <w:r w:rsidR="00373CA1" w:rsidRPr="000508B6">
        <w:rPr>
          <w:rFonts w:ascii="Times New Roman" w:hAnsi="Times New Roman" w:cs="Times New Roman"/>
          <w:lang w:val="ro-MD"/>
        </w:rPr>
        <w:t xml:space="preserve">, </w:t>
      </w:r>
      <w:r w:rsidRPr="000508B6">
        <w:rPr>
          <w:rFonts w:ascii="Times New Roman" w:hAnsi="Times New Roman" w:cs="Times New Roman"/>
          <w:lang w:val="ro-MD"/>
        </w:rPr>
        <w:t xml:space="preserve">desemnează, după consultarea </w:t>
      </w:r>
      <w:r w:rsidR="00373CA1" w:rsidRPr="000508B6">
        <w:rPr>
          <w:rFonts w:ascii="Times New Roman" w:hAnsi="Times New Roman" w:cs="Times New Roman"/>
          <w:lang w:val="ro-MD"/>
        </w:rPr>
        <w:t>cu alți supraveghetori implicați</w:t>
      </w:r>
      <w:r w:rsidRPr="000508B6">
        <w:rPr>
          <w:rFonts w:ascii="Times New Roman" w:hAnsi="Times New Roman" w:cs="Times New Roman"/>
          <w:lang w:val="ro-MD"/>
        </w:rPr>
        <w:t xml:space="preserve">, o societate-mamă care urmează să fie responsabilă de respectarea prezentului capitol. Celelalte </w:t>
      </w:r>
      <w:r w:rsidR="00707865" w:rsidRPr="000508B6">
        <w:rPr>
          <w:rFonts w:ascii="Times New Roman" w:hAnsi="Times New Roman" w:cs="Times New Roman"/>
          <w:lang w:val="ro-MD"/>
        </w:rPr>
        <w:t xml:space="preserve">entități </w:t>
      </w:r>
      <w:r w:rsidRPr="000508B6">
        <w:rPr>
          <w:rFonts w:ascii="Times New Roman" w:hAnsi="Times New Roman" w:cs="Times New Roman"/>
          <w:lang w:val="ro-MD"/>
        </w:rPr>
        <w:t>din grupul respectiv sunt considerate filiale.</w:t>
      </w:r>
    </w:p>
    <w:p w14:paraId="19B1246B" w14:textId="77777777" w:rsidR="002E4CCF" w:rsidRPr="000508B6" w:rsidRDefault="005B6D54" w:rsidP="00574631">
      <w:pPr>
        <w:numPr>
          <w:ilvl w:val="0"/>
          <w:numId w:val="8"/>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2E4CCF" w:rsidRPr="000508B6">
        <w:rPr>
          <w:rFonts w:ascii="Times New Roman" w:hAnsi="Times New Roman" w:cs="Times New Roman"/>
          <w:lang w:val="ro-MD"/>
        </w:rPr>
        <w:t>desemnează o societate-mamă în conformitate alin. (</w:t>
      </w:r>
      <w:r w:rsidR="009E4094" w:rsidRPr="000508B6">
        <w:rPr>
          <w:rFonts w:ascii="Times New Roman" w:hAnsi="Times New Roman" w:cs="Times New Roman"/>
          <w:lang w:val="ro-MD"/>
        </w:rPr>
        <w:t>2</w:t>
      </w:r>
      <w:r w:rsidR="00B34CAE" w:rsidRPr="000508B6">
        <w:rPr>
          <w:rFonts w:ascii="Times New Roman" w:hAnsi="Times New Roman" w:cs="Times New Roman"/>
          <w:lang w:val="ro-MD"/>
        </w:rPr>
        <w:t>2</w:t>
      </w:r>
      <w:r w:rsidR="002E4CCF" w:rsidRPr="000508B6">
        <w:rPr>
          <w:rFonts w:ascii="Times New Roman" w:hAnsi="Times New Roman" w:cs="Times New Roman"/>
          <w:lang w:val="ro-MD"/>
        </w:rPr>
        <w:t>) și (</w:t>
      </w:r>
      <w:r w:rsidR="009E4094" w:rsidRPr="000508B6">
        <w:rPr>
          <w:rFonts w:ascii="Times New Roman" w:hAnsi="Times New Roman" w:cs="Times New Roman"/>
          <w:lang w:val="ro-MD"/>
        </w:rPr>
        <w:t>2</w:t>
      </w:r>
      <w:r w:rsidR="00B34CAE" w:rsidRPr="000508B6">
        <w:rPr>
          <w:rFonts w:ascii="Times New Roman" w:hAnsi="Times New Roman" w:cs="Times New Roman"/>
          <w:lang w:val="ro-MD"/>
        </w:rPr>
        <w:t>3</w:t>
      </w:r>
      <w:r w:rsidR="002E4CCF" w:rsidRPr="000508B6">
        <w:rPr>
          <w:rFonts w:ascii="Times New Roman" w:hAnsi="Times New Roman" w:cs="Times New Roman"/>
          <w:lang w:val="ro-MD"/>
        </w:rPr>
        <w:t>), Banca Națională a Moldovei ia în considerare următorii factori:</w:t>
      </w:r>
    </w:p>
    <w:p w14:paraId="3BCED046" w14:textId="77777777" w:rsidR="002E4CCF" w:rsidRPr="000508B6" w:rsidRDefault="002E4CCF" w:rsidP="00574631">
      <w:pPr>
        <w:pStyle w:val="Listparagraf"/>
        <w:numPr>
          <w:ilvl w:val="0"/>
          <w:numId w:val="370"/>
        </w:numPr>
        <w:tabs>
          <w:tab w:val="left" w:pos="567"/>
          <w:tab w:val="left" w:pos="786"/>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rezervelor tehnice ale fiecărei </w:t>
      </w:r>
      <w:r w:rsidR="009E4094" w:rsidRPr="000508B6">
        <w:rPr>
          <w:rFonts w:ascii="Times New Roman" w:hAnsi="Times New Roman" w:cs="Times New Roman"/>
          <w:lang w:val="ro-MD"/>
        </w:rPr>
        <w:t>entități</w:t>
      </w:r>
      <w:r w:rsidRPr="000508B6">
        <w:rPr>
          <w:rFonts w:ascii="Times New Roman" w:hAnsi="Times New Roman" w:cs="Times New Roman"/>
          <w:lang w:val="ro-MD"/>
        </w:rPr>
        <w:t>;</w:t>
      </w:r>
    </w:p>
    <w:p w14:paraId="0818D823" w14:textId="77777777" w:rsidR="002E4CCF" w:rsidRPr="000508B6" w:rsidRDefault="00AA2EC8" w:rsidP="00574631">
      <w:pPr>
        <w:pStyle w:val="Listparagraf"/>
        <w:numPr>
          <w:ilvl w:val="0"/>
          <w:numId w:val="370"/>
        </w:numPr>
        <w:tabs>
          <w:tab w:val="left" w:pos="567"/>
          <w:tab w:val="left" w:pos="786"/>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PBS</w:t>
      </w:r>
      <w:r w:rsidRPr="000508B6" w:rsidDel="00AA2EC8">
        <w:rPr>
          <w:rFonts w:ascii="Times New Roman" w:hAnsi="Times New Roman" w:cs="Times New Roman"/>
          <w:lang w:val="ro-MD"/>
        </w:rPr>
        <w:t xml:space="preserve"> </w:t>
      </w:r>
      <w:r w:rsidR="002E4CCF" w:rsidRPr="000508B6">
        <w:rPr>
          <w:rFonts w:ascii="Times New Roman" w:hAnsi="Times New Roman" w:cs="Times New Roman"/>
          <w:lang w:val="ro-MD"/>
        </w:rPr>
        <w:t xml:space="preserve">anuale ale fiecărei </w:t>
      </w:r>
      <w:r w:rsidR="009E4094" w:rsidRPr="000508B6">
        <w:rPr>
          <w:rFonts w:ascii="Times New Roman" w:hAnsi="Times New Roman" w:cs="Times New Roman"/>
          <w:lang w:val="ro-MD"/>
        </w:rPr>
        <w:t>entități</w:t>
      </w:r>
      <w:r w:rsidR="002E4CCF" w:rsidRPr="000508B6">
        <w:rPr>
          <w:rFonts w:ascii="Times New Roman" w:hAnsi="Times New Roman" w:cs="Times New Roman"/>
          <w:lang w:val="ro-MD"/>
        </w:rPr>
        <w:t>;</w:t>
      </w:r>
    </w:p>
    <w:p w14:paraId="3C286DDD" w14:textId="253E4C8F" w:rsidR="002E4CCF" w:rsidRPr="000508B6" w:rsidRDefault="002E4CCF" w:rsidP="00574631">
      <w:pPr>
        <w:pStyle w:val="Listparagraf"/>
        <w:numPr>
          <w:ilvl w:val="0"/>
          <w:numId w:val="370"/>
        </w:numPr>
        <w:tabs>
          <w:tab w:val="left" w:pos="567"/>
          <w:tab w:val="left" w:pos="786"/>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numărul de </w:t>
      </w:r>
      <w:r w:rsidR="00E05992" w:rsidRPr="000508B6">
        <w:rPr>
          <w:rFonts w:ascii="Times New Roman" w:hAnsi="Times New Roman" w:cs="Times New Roman"/>
          <w:lang w:val="ro-MD"/>
        </w:rPr>
        <w:t xml:space="preserve">asigurători </w:t>
      </w:r>
      <w:r w:rsidR="00B52334" w:rsidRPr="000508B6">
        <w:rPr>
          <w:rFonts w:ascii="Times New Roman" w:hAnsi="Times New Roman" w:cs="Times New Roman"/>
          <w:lang w:val="ro-MD"/>
        </w:rPr>
        <w:t xml:space="preserve">sau </w:t>
      </w:r>
      <w:proofErr w:type="spellStart"/>
      <w:r w:rsidR="00E05992" w:rsidRPr="000508B6">
        <w:rPr>
          <w:rFonts w:ascii="Times New Roman" w:hAnsi="Times New Roman" w:cs="Times New Roman"/>
          <w:lang w:val="ro-MD"/>
        </w:rPr>
        <w:t>reasigurători</w:t>
      </w:r>
      <w:proofErr w:type="spellEnd"/>
      <w:r w:rsidR="00E05992" w:rsidRPr="000508B6">
        <w:rPr>
          <w:rFonts w:ascii="Times New Roman" w:hAnsi="Times New Roman" w:cs="Times New Roman"/>
          <w:lang w:val="ro-MD"/>
        </w:rPr>
        <w:t xml:space="preserve"> </w:t>
      </w:r>
      <w:r w:rsidR="00B52334" w:rsidRPr="000508B6">
        <w:rPr>
          <w:rFonts w:ascii="Times New Roman" w:hAnsi="Times New Roman" w:cs="Times New Roman"/>
          <w:lang w:val="ro-MD"/>
        </w:rPr>
        <w:t xml:space="preserve">afiliați </w:t>
      </w:r>
      <w:r w:rsidRPr="000508B6">
        <w:rPr>
          <w:rFonts w:ascii="Times New Roman" w:hAnsi="Times New Roman" w:cs="Times New Roman"/>
          <w:lang w:val="ro-MD"/>
        </w:rPr>
        <w:t xml:space="preserve">fiecărei </w:t>
      </w:r>
      <w:r w:rsidR="009E4094" w:rsidRPr="000508B6">
        <w:rPr>
          <w:rFonts w:ascii="Times New Roman" w:hAnsi="Times New Roman" w:cs="Times New Roman"/>
          <w:lang w:val="ro-MD"/>
        </w:rPr>
        <w:t>entități</w:t>
      </w:r>
      <w:r w:rsidRPr="000508B6">
        <w:rPr>
          <w:rFonts w:ascii="Times New Roman" w:hAnsi="Times New Roman" w:cs="Times New Roman"/>
          <w:lang w:val="ro-MD"/>
        </w:rPr>
        <w:t>.</w:t>
      </w:r>
    </w:p>
    <w:p w14:paraId="6BCB5E65" w14:textId="607AFDD2" w:rsidR="002E4CCF" w:rsidRPr="000508B6" w:rsidRDefault="005B6D54" w:rsidP="00E05992">
      <w:pPr>
        <w:numPr>
          <w:ilvl w:val="0"/>
          <w:numId w:val="8"/>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 evaluează</w:t>
      </w:r>
      <w:r w:rsidR="00F01839" w:rsidRPr="000508B6">
        <w:rPr>
          <w:rFonts w:ascii="Times New Roman" w:hAnsi="Times New Roman" w:cs="Times New Roman"/>
          <w:lang w:val="ro-MD"/>
        </w:rPr>
        <w:t>,</w:t>
      </w:r>
      <w:r w:rsidRPr="000508B6">
        <w:rPr>
          <w:rFonts w:ascii="Times New Roman" w:hAnsi="Times New Roman" w:cs="Times New Roman"/>
          <w:lang w:val="ro-MD"/>
        </w:rPr>
        <w:t xml:space="preserve"> cel puțin anual</w:t>
      </w:r>
      <w:r w:rsidR="00F01839" w:rsidRPr="000508B6">
        <w:rPr>
          <w:rFonts w:ascii="Times New Roman" w:hAnsi="Times New Roman" w:cs="Times New Roman"/>
          <w:lang w:val="ro-MD"/>
        </w:rPr>
        <w:t>,</w:t>
      </w:r>
      <w:r w:rsidRPr="000508B6">
        <w:rPr>
          <w:rFonts w:ascii="Times New Roman" w:hAnsi="Times New Roman" w:cs="Times New Roman"/>
          <w:lang w:val="ro-MD"/>
        </w:rPr>
        <w:t xml:space="preserve"> dacă desemnarea societății-mamă în conformitate alin. (22) și (23) continuă să fie adecvată, iar în cazul în care </w:t>
      </w:r>
      <w:r w:rsidR="00E05992" w:rsidRPr="000508B6">
        <w:rPr>
          <w:rFonts w:ascii="Times New Roman" w:hAnsi="Times New Roman" w:cs="Times New Roman"/>
          <w:lang w:val="ro-MD"/>
        </w:rPr>
        <w:t>concluzionează</w:t>
      </w:r>
      <w:r w:rsidRPr="000508B6">
        <w:rPr>
          <w:rFonts w:ascii="Times New Roman" w:hAnsi="Times New Roman" w:cs="Times New Roman"/>
          <w:lang w:val="ro-MD"/>
        </w:rPr>
        <w:t xml:space="preserve"> că desemnarea nu mai este adecvată, desemnează o altă societate-mamă responsabilă cu respectarea prezentului capitol, după consultarea altor supraveghetori implicați.</w:t>
      </w:r>
      <w:r w:rsidR="00315D1D" w:rsidRPr="000508B6">
        <w:rPr>
          <w:rFonts w:ascii="Times New Roman" w:hAnsi="Times New Roman" w:cs="Times New Roman"/>
          <w:lang w:val="ro-MD"/>
        </w:rPr>
        <w:t xml:space="preserve"> </w:t>
      </w:r>
    </w:p>
    <w:p w14:paraId="2334EEE0" w14:textId="77777777" w:rsidR="004375CC" w:rsidRPr="000508B6" w:rsidRDefault="00315D1D" w:rsidP="00574631">
      <w:pPr>
        <w:pStyle w:val="Listparagraf"/>
        <w:numPr>
          <w:ilvl w:val="0"/>
          <w:numId w:val="8"/>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aplicarea prevederilor prezentului articol</w:t>
      </w:r>
      <w:r w:rsidR="004375CC" w:rsidRPr="000508B6">
        <w:rPr>
          <w:rFonts w:ascii="Times New Roman" w:hAnsi="Times New Roman" w:cs="Times New Roman"/>
          <w:lang w:val="ro-MD"/>
        </w:rPr>
        <w:t>,</w:t>
      </w:r>
      <w:r w:rsidRPr="000508B6">
        <w:rPr>
          <w:rFonts w:ascii="Times New Roman" w:hAnsi="Times New Roman" w:cs="Times New Roman"/>
          <w:lang w:val="ro-MD"/>
        </w:rPr>
        <w:t xml:space="preserve"> </w:t>
      </w:r>
      <w:r w:rsidR="004375CC" w:rsidRPr="000508B6">
        <w:rPr>
          <w:rFonts w:ascii="Times New Roman" w:hAnsi="Times New Roman" w:cs="Times New Roman"/>
          <w:lang w:val="ro-MD"/>
        </w:rPr>
        <w:t>dispozițiile</w:t>
      </w:r>
      <w:r w:rsidR="006E2A2E" w:rsidRPr="000508B6">
        <w:rPr>
          <w:rFonts w:ascii="Times New Roman" w:hAnsi="Times New Roman" w:cs="Times New Roman"/>
          <w:lang w:val="ro-MD"/>
        </w:rPr>
        <w:t xml:space="preserve"> </w:t>
      </w:r>
      <w:r w:rsidRPr="000508B6">
        <w:rPr>
          <w:rFonts w:ascii="Times New Roman" w:hAnsi="Times New Roman" w:cs="Times New Roman"/>
          <w:lang w:val="ro-MD"/>
        </w:rPr>
        <w:t>referitoare la criteriile pe baza cărora sunt identificate grupurile</w:t>
      </w:r>
      <w:r w:rsidR="004375CC" w:rsidRPr="000508B6">
        <w:rPr>
          <w:rFonts w:ascii="Times New Roman" w:hAnsi="Times New Roman" w:cs="Times New Roman"/>
          <w:lang w:val="ro-MD"/>
        </w:rPr>
        <w:t xml:space="preserve"> se stabilesc prin actele normative ale Băncii Naționale a Moldovei.</w:t>
      </w:r>
    </w:p>
    <w:p w14:paraId="471F8D61" w14:textId="77777777" w:rsidR="00315D1D" w:rsidRPr="000508B6" w:rsidRDefault="00315D1D" w:rsidP="00A87D5A">
      <w:pPr>
        <w:tabs>
          <w:tab w:val="left" w:pos="993"/>
        </w:tabs>
        <w:spacing w:after="0" w:line="240" w:lineRule="auto"/>
        <w:ind w:left="426"/>
        <w:jc w:val="both"/>
        <w:rPr>
          <w:rFonts w:ascii="Times New Roman" w:hAnsi="Times New Roman" w:cs="Times New Roman"/>
          <w:lang w:val="ro-MD"/>
        </w:rPr>
      </w:pPr>
    </w:p>
    <w:p w14:paraId="3428AF3D" w14:textId="69685A25" w:rsidR="00037DB7" w:rsidRPr="000508B6" w:rsidRDefault="00037DB7" w:rsidP="00037DB7">
      <w:pPr>
        <w:tabs>
          <w:tab w:val="left" w:pos="993"/>
        </w:tabs>
        <w:spacing w:after="0" w:line="240" w:lineRule="auto"/>
        <w:ind w:firstLine="426"/>
        <w:jc w:val="both"/>
        <w:rPr>
          <w:rFonts w:ascii="Times New Roman" w:hAnsi="Times New Roman" w:cs="Times New Roman"/>
          <w:b/>
          <w:bCs/>
          <w:lang w:val="ro-MD"/>
        </w:rPr>
      </w:pPr>
      <w:r w:rsidRPr="000508B6">
        <w:rPr>
          <w:rFonts w:ascii="Times New Roman" w:hAnsi="Times New Roman" w:cs="Times New Roman"/>
          <w:b/>
          <w:bCs/>
          <w:lang w:val="ro-MD"/>
        </w:rPr>
        <w:t xml:space="preserve">Articolul </w:t>
      </w:r>
      <w:r w:rsidR="007C2440" w:rsidRPr="000508B6">
        <w:rPr>
          <w:rFonts w:ascii="Times New Roman" w:hAnsi="Times New Roman" w:cs="Times New Roman"/>
          <w:b/>
          <w:bCs/>
          <w:lang w:val="ro-MD"/>
        </w:rPr>
        <w:t>117</w:t>
      </w:r>
      <w:r w:rsidR="00F13C72" w:rsidRPr="000508B6">
        <w:rPr>
          <w:rFonts w:ascii="Times New Roman" w:hAnsi="Times New Roman" w:cs="Times New Roman"/>
          <w:b/>
          <w:bCs/>
          <w:lang w:val="ro-MD"/>
        </w:rPr>
        <w:t>.</w:t>
      </w:r>
      <w:r w:rsidR="00A87D5A" w:rsidRPr="000508B6">
        <w:rPr>
          <w:rFonts w:ascii="Times New Roman" w:hAnsi="Times New Roman" w:cs="Times New Roman"/>
          <w:b/>
          <w:bCs/>
          <w:lang w:val="ro-MD"/>
        </w:rPr>
        <w:t xml:space="preserve"> </w:t>
      </w:r>
      <w:r w:rsidRPr="000508B6">
        <w:rPr>
          <w:rFonts w:ascii="Times New Roman" w:hAnsi="Times New Roman" w:cs="Times New Roman"/>
          <w:b/>
          <w:bCs/>
          <w:lang w:val="ro-MD"/>
        </w:rPr>
        <w:t xml:space="preserve"> </w:t>
      </w:r>
      <w:r w:rsidRPr="000508B6">
        <w:rPr>
          <w:rFonts w:ascii="Times New Roman" w:hAnsi="Times New Roman" w:cs="Times New Roman"/>
          <w:lang w:val="ro-MD"/>
        </w:rPr>
        <w:t>Utilizarea măsurilor de proporționalitate la nivel</w:t>
      </w:r>
      <w:r w:rsidR="007C2440" w:rsidRPr="000508B6">
        <w:rPr>
          <w:rFonts w:ascii="Times New Roman" w:hAnsi="Times New Roman" w:cs="Times New Roman"/>
          <w:lang w:val="ro-MD"/>
        </w:rPr>
        <w:t xml:space="preserve"> de</w:t>
      </w:r>
      <w:r w:rsidRPr="000508B6">
        <w:rPr>
          <w:rFonts w:ascii="Times New Roman" w:hAnsi="Times New Roman" w:cs="Times New Roman"/>
          <w:lang w:val="ro-MD"/>
        </w:rPr>
        <w:t xml:space="preserve"> grup</w:t>
      </w:r>
      <w:r w:rsidR="00F120BA" w:rsidRPr="000508B6">
        <w:rPr>
          <w:rFonts w:ascii="Times New Roman" w:hAnsi="Times New Roman" w:cs="Times New Roman"/>
          <w:lang w:val="ro-MD"/>
        </w:rPr>
        <w:t xml:space="preserve"> </w:t>
      </w:r>
    </w:p>
    <w:p w14:paraId="41503C4A" w14:textId="7AC628FE" w:rsidR="00037DB7" w:rsidRPr="000508B6" w:rsidRDefault="00844B13" w:rsidP="00E05992">
      <w:pPr>
        <w:pStyle w:val="Listparagraf"/>
        <w:numPr>
          <w:ilvl w:val="1"/>
          <w:numId w:val="3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Grupurile identificate conform </w:t>
      </w:r>
      <w:r w:rsidR="00C12998" w:rsidRPr="000508B6">
        <w:rPr>
          <w:rFonts w:ascii="Times New Roman" w:hAnsi="Times New Roman" w:cs="Times New Roman"/>
          <w:lang w:val="ro-MD"/>
        </w:rPr>
        <w:t xml:space="preserve">art. 116 </w:t>
      </w:r>
      <w:r w:rsidRPr="000508B6">
        <w:rPr>
          <w:rFonts w:ascii="Times New Roman" w:hAnsi="Times New Roman" w:cs="Times New Roman"/>
          <w:lang w:val="ro-MD"/>
        </w:rPr>
        <w:t>alin.</w:t>
      </w:r>
      <w:r w:rsidR="00E05992" w:rsidRPr="000508B6">
        <w:rPr>
          <w:rFonts w:ascii="Times New Roman" w:hAnsi="Times New Roman" w:cs="Times New Roman"/>
          <w:lang w:val="ro-MD"/>
        </w:rPr>
        <w:t xml:space="preserve"> </w:t>
      </w:r>
      <w:r w:rsidR="00C12998" w:rsidRPr="000508B6">
        <w:rPr>
          <w:rFonts w:ascii="Times New Roman" w:hAnsi="Times New Roman" w:cs="Times New Roman"/>
          <w:lang w:val="ro-MD"/>
        </w:rPr>
        <w:t>(4)-(7) și</w:t>
      </w:r>
      <w:r w:rsidRPr="000508B6">
        <w:rPr>
          <w:rFonts w:ascii="Times New Roman" w:hAnsi="Times New Roman" w:cs="Times New Roman"/>
          <w:lang w:val="ro-MD"/>
        </w:rPr>
        <w:t xml:space="preserve"> </w:t>
      </w:r>
      <w:r w:rsidR="00A87D5A" w:rsidRPr="000508B6">
        <w:rPr>
          <w:rFonts w:ascii="Times New Roman" w:hAnsi="Times New Roman" w:cs="Times New Roman"/>
          <w:lang w:val="ro-MD"/>
        </w:rPr>
        <w:t>care fac obiectul supravegherii la nivel de grup în conformitate cu art.</w:t>
      </w:r>
      <w:r w:rsidR="00E05992" w:rsidRPr="000508B6">
        <w:rPr>
          <w:rFonts w:ascii="Times New Roman" w:hAnsi="Times New Roman" w:cs="Times New Roman"/>
          <w:lang w:val="ro-MD"/>
        </w:rPr>
        <w:t xml:space="preserve"> </w:t>
      </w:r>
      <w:r w:rsidR="00563CD9" w:rsidRPr="000508B6">
        <w:rPr>
          <w:rFonts w:ascii="Times New Roman" w:hAnsi="Times New Roman" w:cs="Times New Roman"/>
          <w:lang w:val="ro-MD"/>
        </w:rPr>
        <w:t>116</w:t>
      </w:r>
      <w:r w:rsidR="00A87D5A" w:rsidRPr="000508B6">
        <w:rPr>
          <w:rFonts w:ascii="Times New Roman" w:hAnsi="Times New Roman" w:cs="Times New Roman"/>
          <w:lang w:val="ro-MD"/>
        </w:rPr>
        <w:t xml:space="preserve"> alin.</w:t>
      </w:r>
      <w:r w:rsidR="00E05992" w:rsidRPr="000508B6">
        <w:rPr>
          <w:rFonts w:ascii="Times New Roman" w:hAnsi="Times New Roman" w:cs="Times New Roman"/>
          <w:lang w:val="ro-MD"/>
        </w:rPr>
        <w:t xml:space="preserve"> </w:t>
      </w:r>
      <w:r w:rsidR="00A87D5A" w:rsidRPr="000508B6">
        <w:rPr>
          <w:rFonts w:ascii="Times New Roman" w:hAnsi="Times New Roman" w:cs="Times New Roman"/>
          <w:lang w:val="ro-MD"/>
        </w:rPr>
        <w:t>(</w:t>
      </w:r>
      <w:r w:rsidR="009A555F" w:rsidRPr="000508B6">
        <w:rPr>
          <w:rFonts w:ascii="Times New Roman" w:hAnsi="Times New Roman" w:cs="Times New Roman"/>
          <w:lang w:val="ro-MD"/>
        </w:rPr>
        <w:t>3</w:t>
      </w:r>
      <w:r w:rsidR="00A87D5A" w:rsidRPr="000508B6">
        <w:rPr>
          <w:rFonts w:ascii="Times New Roman" w:hAnsi="Times New Roman" w:cs="Times New Roman"/>
          <w:lang w:val="ro-MD"/>
        </w:rPr>
        <w:t xml:space="preserve">) lit. a) și b) </w:t>
      </w:r>
      <w:r w:rsidR="00C12998" w:rsidRPr="000508B6">
        <w:rPr>
          <w:rFonts w:ascii="Times New Roman" w:hAnsi="Times New Roman" w:cs="Times New Roman"/>
          <w:lang w:val="ro-MD"/>
        </w:rPr>
        <w:t>pot solicita Băncii Naționale a Moldovei, în calitate de supraveghetor coordonator să fie încadrate</w:t>
      </w:r>
      <w:r w:rsidR="002E0606" w:rsidRPr="000508B6">
        <w:rPr>
          <w:rFonts w:ascii="Times New Roman" w:hAnsi="Times New Roman" w:cs="Times New Roman"/>
          <w:lang w:val="ro-MD"/>
        </w:rPr>
        <w:t xml:space="preserve"> </w:t>
      </w:r>
      <w:r w:rsidR="00E13423" w:rsidRPr="000508B6">
        <w:rPr>
          <w:rFonts w:ascii="Times New Roman" w:hAnsi="Times New Roman" w:cs="Times New Roman"/>
          <w:lang w:val="ro-MD"/>
        </w:rPr>
        <w:t xml:space="preserve">în categoria </w:t>
      </w:r>
      <w:r w:rsidR="00A87D5A" w:rsidRPr="000508B6">
        <w:rPr>
          <w:rFonts w:ascii="Times New Roman" w:hAnsi="Times New Roman" w:cs="Times New Roman"/>
          <w:lang w:val="ro-MD"/>
        </w:rPr>
        <w:t>grup mic și cu un grad redus de complexitate, conform procedurii prevăzute la alin.</w:t>
      </w:r>
      <w:r w:rsidR="00E05992" w:rsidRPr="000508B6">
        <w:rPr>
          <w:rFonts w:ascii="Times New Roman" w:hAnsi="Times New Roman" w:cs="Times New Roman"/>
          <w:lang w:val="ro-MD"/>
        </w:rPr>
        <w:t xml:space="preserve"> </w:t>
      </w:r>
      <w:r w:rsidR="00A87D5A" w:rsidRPr="000508B6">
        <w:rPr>
          <w:rFonts w:ascii="Times New Roman" w:hAnsi="Times New Roman" w:cs="Times New Roman"/>
          <w:lang w:val="ro-MD"/>
        </w:rPr>
        <w:t>(</w:t>
      </w:r>
      <w:r w:rsidR="00F120BA" w:rsidRPr="000508B6">
        <w:rPr>
          <w:rFonts w:ascii="Times New Roman" w:hAnsi="Times New Roman" w:cs="Times New Roman"/>
          <w:lang w:val="ro-MD"/>
        </w:rPr>
        <w:t>3</w:t>
      </w:r>
      <w:r w:rsidR="00A87D5A" w:rsidRPr="000508B6">
        <w:rPr>
          <w:rFonts w:ascii="Times New Roman" w:hAnsi="Times New Roman" w:cs="Times New Roman"/>
          <w:lang w:val="ro-MD"/>
        </w:rPr>
        <w:t xml:space="preserve">), în cazul în care îndeplinesc următoarele criterii la nivel de grup pentru ultimele două exerciții financiare imediat anterioare </w:t>
      </w:r>
      <w:r w:rsidR="00E13423" w:rsidRPr="000508B6">
        <w:rPr>
          <w:rFonts w:ascii="Times New Roman" w:hAnsi="Times New Roman" w:cs="Times New Roman"/>
          <w:lang w:val="ro-MD"/>
        </w:rPr>
        <w:t xml:space="preserve">încadrării </w:t>
      </w:r>
      <w:r w:rsidR="00A87D5A" w:rsidRPr="000508B6">
        <w:rPr>
          <w:rFonts w:ascii="Times New Roman" w:hAnsi="Times New Roman" w:cs="Times New Roman"/>
          <w:lang w:val="ro-MD"/>
        </w:rPr>
        <w:t>în cauză</w:t>
      </w:r>
      <w:r w:rsidR="00037DB7" w:rsidRPr="000508B6">
        <w:rPr>
          <w:rFonts w:ascii="Times New Roman" w:hAnsi="Times New Roman" w:cs="Times New Roman"/>
          <w:lang w:val="ro-MD"/>
        </w:rPr>
        <w:t>:</w:t>
      </w:r>
    </w:p>
    <w:p w14:paraId="04C80834" w14:textId="7F1338AA" w:rsidR="00037DB7" w:rsidRPr="000508B6" w:rsidRDefault="00037DB7" w:rsidP="00574631">
      <w:pPr>
        <w:pStyle w:val="Listparagraf"/>
        <w:numPr>
          <w:ilvl w:val="3"/>
          <w:numId w:val="35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cel puțin </w:t>
      </w:r>
      <w:r w:rsidR="0041626A" w:rsidRPr="000508B6">
        <w:rPr>
          <w:rFonts w:ascii="Times New Roman" w:hAnsi="Times New Roman" w:cs="Times New Roman"/>
          <w:lang w:val="ro-MD"/>
        </w:rPr>
        <w:t xml:space="preserve">un </w:t>
      </w:r>
      <w:r w:rsidR="00E05992" w:rsidRPr="000508B6">
        <w:rPr>
          <w:rFonts w:ascii="Times New Roman" w:hAnsi="Times New Roman" w:cs="Times New Roman"/>
          <w:lang w:val="ro-MD"/>
        </w:rPr>
        <w:t xml:space="preserve">asigurător </w:t>
      </w:r>
      <w:r w:rsidR="0041626A" w:rsidRPr="000508B6">
        <w:rPr>
          <w:rFonts w:ascii="Times New Roman" w:hAnsi="Times New Roman" w:cs="Times New Roman"/>
          <w:lang w:val="ro-MD"/>
        </w:rPr>
        <w:t xml:space="preserve">sau </w:t>
      </w:r>
      <w:proofErr w:type="spellStart"/>
      <w:r w:rsidR="00E05992" w:rsidRPr="000508B6">
        <w:rPr>
          <w:rFonts w:ascii="Times New Roman" w:hAnsi="Times New Roman" w:cs="Times New Roman"/>
          <w:lang w:val="ro-MD"/>
        </w:rPr>
        <w:t>reasigurător</w:t>
      </w:r>
      <w:proofErr w:type="spellEnd"/>
      <w:r w:rsidR="00E05992" w:rsidRPr="000508B6">
        <w:rPr>
          <w:rFonts w:ascii="Times New Roman" w:hAnsi="Times New Roman" w:cs="Times New Roman"/>
          <w:lang w:val="ro-MD"/>
        </w:rPr>
        <w:t xml:space="preserve"> </w:t>
      </w:r>
      <w:r w:rsidRPr="000508B6">
        <w:rPr>
          <w:rFonts w:ascii="Times New Roman" w:hAnsi="Times New Roman" w:cs="Times New Roman"/>
          <w:lang w:val="ro-MD"/>
        </w:rPr>
        <w:t xml:space="preserve">din cadrul grupului este </w:t>
      </w:r>
      <w:r w:rsidR="0041626A" w:rsidRPr="000508B6">
        <w:rPr>
          <w:rFonts w:ascii="Times New Roman" w:hAnsi="Times New Roman" w:cs="Times New Roman"/>
          <w:lang w:val="ro-MD"/>
        </w:rPr>
        <w:t xml:space="preserve">un </w:t>
      </w:r>
      <w:r w:rsidR="00E05992" w:rsidRPr="000508B6">
        <w:rPr>
          <w:rFonts w:ascii="Times New Roman" w:hAnsi="Times New Roman" w:cs="Times New Roman"/>
          <w:lang w:val="ro-MD"/>
        </w:rPr>
        <w:t xml:space="preserve">asigurător </w:t>
      </w:r>
      <w:r w:rsidR="0041626A" w:rsidRPr="000508B6">
        <w:rPr>
          <w:rFonts w:ascii="Times New Roman" w:hAnsi="Times New Roman" w:cs="Times New Roman"/>
          <w:lang w:val="ro-MD"/>
        </w:rPr>
        <w:t xml:space="preserve">sau </w:t>
      </w:r>
      <w:proofErr w:type="spellStart"/>
      <w:r w:rsidR="00E05992" w:rsidRPr="000508B6">
        <w:rPr>
          <w:rFonts w:ascii="Times New Roman" w:hAnsi="Times New Roman" w:cs="Times New Roman"/>
          <w:lang w:val="ro-MD"/>
        </w:rPr>
        <w:t>reasigurător</w:t>
      </w:r>
      <w:proofErr w:type="spellEnd"/>
      <w:r w:rsidR="00E05992" w:rsidRPr="000508B6">
        <w:rPr>
          <w:rFonts w:ascii="Times New Roman" w:hAnsi="Times New Roman" w:cs="Times New Roman"/>
          <w:lang w:val="ro-MD"/>
        </w:rPr>
        <w:t xml:space="preserve"> </w:t>
      </w:r>
      <w:r w:rsidR="00BA23CA" w:rsidRPr="000508B6">
        <w:rPr>
          <w:rFonts w:ascii="Times New Roman" w:hAnsi="Times New Roman" w:cs="Times New Roman"/>
          <w:lang w:val="ro-MD"/>
        </w:rPr>
        <w:t xml:space="preserve">care desfășoară activitate </w:t>
      </w:r>
      <w:r w:rsidR="00C67265" w:rsidRPr="000508B6">
        <w:rPr>
          <w:rFonts w:ascii="Times New Roman" w:hAnsi="Times New Roman" w:cs="Times New Roman"/>
          <w:lang w:val="ro-MD"/>
        </w:rPr>
        <w:t xml:space="preserve">de asigurare </w:t>
      </w:r>
      <w:r w:rsidR="003D7A66" w:rsidRPr="000508B6">
        <w:rPr>
          <w:rFonts w:ascii="Times New Roman" w:hAnsi="Times New Roman" w:cs="Times New Roman"/>
          <w:lang w:val="ro-MD"/>
        </w:rPr>
        <w:t>de viață</w:t>
      </w:r>
      <w:r w:rsidRPr="000508B6">
        <w:rPr>
          <w:rFonts w:ascii="Times New Roman" w:hAnsi="Times New Roman" w:cs="Times New Roman"/>
          <w:lang w:val="ro-MD"/>
        </w:rPr>
        <w:t xml:space="preserve">, trebuie </w:t>
      </w:r>
      <w:r w:rsidR="00707865" w:rsidRPr="000508B6">
        <w:rPr>
          <w:rFonts w:ascii="Times New Roman" w:hAnsi="Times New Roman" w:cs="Times New Roman"/>
          <w:lang w:val="ro-MD"/>
        </w:rPr>
        <w:t xml:space="preserve">întrunite </w:t>
      </w:r>
      <w:r w:rsidR="0041626A" w:rsidRPr="000508B6">
        <w:rPr>
          <w:rFonts w:ascii="Times New Roman" w:hAnsi="Times New Roman" w:cs="Times New Roman"/>
          <w:lang w:val="ro-MD"/>
        </w:rPr>
        <w:t xml:space="preserve">cumulativ </w:t>
      </w:r>
      <w:r w:rsidR="00AD5A03" w:rsidRPr="000508B6">
        <w:rPr>
          <w:rFonts w:ascii="Times New Roman" w:hAnsi="Times New Roman" w:cs="Times New Roman"/>
          <w:lang w:val="ro-MD"/>
        </w:rPr>
        <w:t xml:space="preserve">următoarele  </w:t>
      </w:r>
      <w:r w:rsidRPr="000508B6">
        <w:rPr>
          <w:rFonts w:ascii="Times New Roman" w:hAnsi="Times New Roman" w:cs="Times New Roman"/>
          <w:lang w:val="ro-MD"/>
        </w:rPr>
        <w:t>criterii:</w:t>
      </w:r>
    </w:p>
    <w:p w14:paraId="08EF586F" w14:textId="58EAD9E8" w:rsidR="00037DB7" w:rsidRPr="000508B6" w:rsidRDefault="00037DB7" w:rsidP="00E05992">
      <w:pPr>
        <w:pStyle w:val="Listparagraf"/>
        <w:numPr>
          <w:ilvl w:val="3"/>
          <w:numId w:val="352"/>
        </w:numPr>
        <w:tabs>
          <w:tab w:val="left" w:pos="709"/>
          <w:tab w:val="left" w:pos="993"/>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rată a dobânzii menționat la art. </w:t>
      </w:r>
      <w:r w:rsidR="00E5326A" w:rsidRPr="000508B6">
        <w:rPr>
          <w:rFonts w:ascii="Times New Roman" w:hAnsi="Times New Roman" w:cs="Times New Roman"/>
          <w:lang w:val="ro-MD"/>
        </w:rPr>
        <w:t>68</w:t>
      </w:r>
      <w:r w:rsidRPr="000508B6">
        <w:rPr>
          <w:rFonts w:ascii="Times New Roman" w:hAnsi="Times New Roman" w:cs="Times New Roman"/>
          <w:lang w:val="ro-MD"/>
        </w:rPr>
        <w:t xml:space="preserve"> alin. (8) lit. a), calculat pe baza datelor consolidate, nu depășește 5 % din rezervele tehnice consolidate ale grupului, înainte de deducerea sumelor recuperabile din contractele de reasigurare și din vehiculele investiționale, astfel cum sunt menționate la art.</w:t>
      </w:r>
      <w:r w:rsidR="00E05992" w:rsidRPr="000508B6">
        <w:rPr>
          <w:rFonts w:ascii="Times New Roman" w:hAnsi="Times New Roman" w:cs="Times New Roman"/>
          <w:lang w:val="ro-MD"/>
        </w:rPr>
        <w:t xml:space="preserve"> </w:t>
      </w:r>
      <w:r w:rsidR="00876398" w:rsidRPr="000508B6">
        <w:rPr>
          <w:rFonts w:ascii="Times New Roman" w:hAnsi="Times New Roman" w:cs="Times New Roman"/>
          <w:lang w:val="ro-MD"/>
        </w:rPr>
        <w:t>42</w:t>
      </w:r>
      <w:r w:rsidRPr="000508B6">
        <w:rPr>
          <w:rFonts w:ascii="Times New Roman" w:hAnsi="Times New Roman" w:cs="Times New Roman"/>
          <w:lang w:val="ro-MD"/>
        </w:rPr>
        <w:t xml:space="preserve">, cu excepția </w:t>
      </w:r>
      <w:r w:rsidR="00934913" w:rsidRPr="000508B6">
        <w:rPr>
          <w:rFonts w:ascii="Times New Roman" w:hAnsi="Times New Roman" w:cs="Times New Roman"/>
          <w:lang w:val="ro-MD"/>
        </w:rPr>
        <w:t xml:space="preserve">entităților </w:t>
      </w:r>
      <w:r w:rsidRPr="000508B6">
        <w:rPr>
          <w:rFonts w:ascii="Times New Roman" w:hAnsi="Times New Roman" w:cs="Times New Roman"/>
          <w:lang w:val="ro-MD"/>
        </w:rPr>
        <w:t xml:space="preserve">cărora li se aplică metoda </w:t>
      </w:r>
      <w:r w:rsidR="00230ADD" w:rsidRPr="000508B6">
        <w:rPr>
          <w:rFonts w:ascii="Times New Roman" w:hAnsi="Times New Roman" w:cs="Times New Roman"/>
          <w:lang w:val="ro-MD"/>
        </w:rPr>
        <w:t>de calcul</w:t>
      </w:r>
      <w:r w:rsidRPr="000508B6">
        <w:rPr>
          <w:rFonts w:ascii="Times New Roman" w:hAnsi="Times New Roman" w:cs="Times New Roman"/>
          <w:lang w:val="ro-MD"/>
        </w:rPr>
        <w:t xml:space="preserve"> nr.</w:t>
      </w:r>
      <w:r w:rsidR="00E05992" w:rsidRPr="000508B6">
        <w:rPr>
          <w:rFonts w:ascii="Times New Roman" w:hAnsi="Times New Roman" w:cs="Times New Roman"/>
          <w:lang w:val="ro-MD"/>
        </w:rPr>
        <w:t xml:space="preserve"> </w:t>
      </w:r>
      <w:r w:rsidRPr="000508B6">
        <w:rPr>
          <w:rFonts w:ascii="Times New Roman" w:hAnsi="Times New Roman" w:cs="Times New Roman"/>
          <w:lang w:val="ro-MD"/>
        </w:rPr>
        <w:t xml:space="preserve">2 prevăzută la art. </w:t>
      </w:r>
      <w:r w:rsidR="00644D74" w:rsidRPr="000508B6">
        <w:rPr>
          <w:rFonts w:ascii="Times New Roman" w:hAnsi="Times New Roman" w:cs="Times New Roman"/>
          <w:lang w:val="ro-MD"/>
        </w:rPr>
        <w:t>136</w:t>
      </w:r>
      <w:r w:rsidRPr="000508B6">
        <w:rPr>
          <w:rFonts w:ascii="Times New Roman" w:hAnsi="Times New Roman" w:cs="Times New Roman"/>
          <w:lang w:val="ro-MD"/>
        </w:rPr>
        <w:t>;</w:t>
      </w:r>
    </w:p>
    <w:p w14:paraId="6CDB65B8" w14:textId="6D4DCA7F" w:rsidR="00037DB7" w:rsidRPr="000508B6" w:rsidRDefault="00037DB7" w:rsidP="00574631">
      <w:pPr>
        <w:pStyle w:val="Listparagraf"/>
        <w:numPr>
          <w:ilvl w:val="3"/>
          <w:numId w:val="352"/>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cuantumul total al rezervelor tehnice consolidate din activitatea de asigurare de viață ale grupului, înainte de deducerea sumelor recuperabile din contractele de reasigurare și din vehiculele investiționale, nu depășește</w:t>
      </w:r>
      <w:r w:rsidR="00FF17C8" w:rsidRPr="000508B6">
        <w:rPr>
          <w:rFonts w:ascii="Times New Roman" w:hAnsi="Times New Roman" w:cs="Times New Roman"/>
          <w:lang w:val="ro-MD"/>
        </w:rPr>
        <w:t xml:space="preserve"> echivalentul în lei a</w:t>
      </w:r>
      <w:r w:rsidRPr="000508B6">
        <w:rPr>
          <w:rFonts w:ascii="Times New Roman" w:hAnsi="Times New Roman" w:cs="Times New Roman"/>
          <w:lang w:val="ro-MD"/>
        </w:rPr>
        <w:t xml:space="preserve"> 1 000 000 000 EUR;</w:t>
      </w:r>
    </w:p>
    <w:p w14:paraId="49C22581" w14:textId="7F6B9791" w:rsidR="00037DB7" w:rsidRPr="000508B6" w:rsidRDefault="00037DB7" w:rsidP="00574631">
      <w:pPr>
        <w:pStyle w:val="Listparagraf"/>
        <w:numPr>
          <w:ilvl w:val="3"/>
          <w:numId w:val="351"/>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cel puțin </w:t>
      </w:r>
      <w:r w:rsidR="00934913" w:rsidRPr="000508B6">
        <w:rPr>
          <w:rFonts w:ascii="Times New Roman" w:hAnsi="Times New Roman" w:cs="Times New Roman"/>
          <w:lang w:val="ro-MD"/>
        </w:rPr>
        <w:t xml:space="preserve">un </w:t>
      </w:r>
      <w:r w:rsidR="00E05992" w:rsidRPr="000508B6">
        <w:rPr>
          <w:rFonts w:ascii="Times New Roman" w:hAnsi="Times New Roman" w:cs="Times New Roman"/>
          <w:lang w:val="ro-MD"/>
        </w:rPr>
        <w:t xml:space="preserve">asigurător </w:t>
      </w:r>
      <w:r w:rsidR="00934913" w:rsidRPr="000508B6">
        <w:rPr>
          <w:rFonts w:ascii="Times New Roman" w:hAnsi="Times New Roman" w:cs="Times New Roman"/>
          <w:lang w:val="ro-MD"/>
        </w:rPr>
        <w:t xml:space="preserve">sau </w:t>
      </w:r>
      <w:proofErr w:type="spellStart"/>
      <w:r w:rsidR="00E05992" w:rsidRPr="000508B6">
        <w:rPr>
          <w:rFonts w:ascii="Times New Roman" w:hAnsi="Times New Roman" w:cs="Times New Roman"/>
          <w:lang w:val="ro-MD"/>
        </w:rPr>
        <w:t>reasigurător</w:t>
      </w:r>
      <w:proofErr w:type="spellEnd"/>
      <w:r w:rsidR="00E05992" w:rsidRPr="000508B6">
        <w:rPr>
          <w:rFonts w:ascii="Times New Roman" w:hAnsi="Times New Roman" w:cs="Times New Roman"/>
          <w:lang w:val="ro-MD"/>
        </w:rPr>
        <w:t xml:space="preserve"> </w:t>
      </w:r>
      <w:r w:rsidRPr="000508B6">
        <w:rPr>
          <w:rFonts w:ascii="Times New Roman" w:hAnsi="Times New Roman" w:cs="Times New Roman"/>
          <w:lang w:val="ro-MD"/>
        </w:rPr>
        <w:t xml:space="preserve">din sfera grupului este </w:t>
      </w:r>
      <w:r w:rsidR="00934913" w:rsidRPr="000508B6">
        <w:rPr>
          <w:rFonts w:ascii="Times New Roman" w:hAnsi="Times New Roman" w:cs="Times New Roman"/>
          <w:lang w:val="ro-MD"/>
        </w:rPr>
        <w:t xml:space="preserve">un </w:t>
      </w:r>
      <w:r w:rsidR="00E05992" w:rsidRPr="000508B6">
        <w:rPr>
          <w:rFonts w:ascii="Times New Roman" w:hAnsi="Times New Roman" w:cs="Times New Roman"/>
          <w:lang w:val="ro-MD"/>
        </w:rPr>
        <w:t xml:space="preserve">asigurător </w:t>
      </w:r>
      <w:r w:rsidR="00934913" w:rsidRPr="000508B6">
        <w:rPr>
          <w:rFonts w:ascii="Times New Roman" w:hAnsi="Times New Roman" w:cs="Times New Roman"/>
          <w:lang w:val="ro-MD"/>
        </w:rPr>
        <w:t xml:space="preserve">sau </w:t>
      </w:r>
      <w:proofErr w:type="spellStart"/>
      <w:r w:rsidR="00E05992" w:rsidRPr="000508B6">
        <w:rPr>
          <w:rFonts w:ascii="Times New Roman" w:hAnsi="Times New Roman" w:cs="Times New Roman"/>
          <w:lang w:val="ro-MD"/>
        </w:rPr>
        <w:t>reasigurător</w:t>
      </w:r>
      <w:proofErr w:type="spellEnd"/>
      <w:r w:rsidR="00E05992" w:rsidRPr="000508B6">
        <w:rPr>
          <w:rFonts w:ascii="Times New Roman" w:hAnsi="Times New Roman" w:cs="Times New Roman"/>
          <w:lang w:val="ro-MD"/>
        </w:rPr>
        <w:t xml:space="preserve"> </w:t>
      </w:r>
      <w:r w:rsidR="00AA2EC8" w:rsidRPr="000508B6">
        <w:rPr>
          <w:rFonts w:ascii="Times New Roman" w:hAnsi="Times New Roman" w:cs="Times New Roman"/>
          <w:lang w:val="ro-MD"/>
        </w:rPr>
        <w:t xml:space="preserve">care desfășoară activitate de </w:t>
      </w:r>
      <w:r w:rsidR="003F1636" w:rsidRPr="000508B6">
        <w:rPr>
          <w:rFonts w:ascii="Times New Roman" w:hAnsi="Times New Roman" w:cs="Times New Roman"/>
          <w:lang w:val="ro-MD"/>
        </w:rPr>
        <w:t>asigurare</w:t>
      </w:r>
      <w:r w:rsidR="00AA2EC8" w:rsidRPr="000508B6">
        <w:rPr>
          <w:rFonts w:ascii="Times New Roman" w:hAnsi="Times New Roman" w:cs="Times New Roman"/>
          <w:lang w:val="ro-MD"/>
        </w:rPr>
        <w:t xml:space="preserve"> </w:t>
      </w:r>
      <w:r w:rsidR="003D7A66" w:rsidRPr="000508B6">
        <w:rPr>
          <w:rFonts w:ascii="Times New Roman" w:hAnsi="Times New Roman" w:cs="Times New Roman"/>
          <w:lang w:val="ro-MD"/>
        </w:rPr>
        <w:t>general</w:t>
      </w:r>
      <w:r w:rsidR="003F1636" w:rsidRPr="000508B6">
        <w:rPr>
          <w:rFonts w:ascii="Times New Roman" w:hAnsi="Times New Roman" w:cs="Times New Roman"/>
          <w:lang w:val="ro-MD"/>
        </w:rPr>
        <w:t>ă</w:t>
      </w:r>
      <w:r w:rsidRPr="000508B6">
        <w:rPr>
          <w:rFonts w:ascii="Times New Roman" w:hAnsi="Times New Roman" w:cs="Times New Roman"/>
          <w:lang w:val="ro-MD"/>
        </w:rPr>
        <w:t>, trebuie îndeplinite următoarele criterii:</w:t>
      </w:r>
    </w:p>
    <w:p w14:paraId="180D5B50" w14:textId="1CA4479C" w:rsidR="00037DB7" w:rsidRPr="000508B6" w:rsidRDefault="00037DB7" w:rsidP="00E05992">
      <w:pPr>
        <w:pStyle w:val="Listparagraf"/>
        <w:numPr>
          <w:ilvl w:val="0"/>
          <w:numId w:val="35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rata combinată medie pentru activitățile de asigurare generală, după deducerea reasigurării, din ultimele trei exerciții financiare este mai mică de 100 %;</w:t>
      </w:r>
    </w:p>
    <w:p w14:paraId="43436784" w14:textId="265CB560" w:rsidR="00037DB7" w:rsidRPr="000508B6" w:rsidRDefault="00AA2EC8" w:rsidP="00574631">
      <w:pPr>
        <w:pStyle w:val="Listparagraf"/>
        <w:numPr>
          <w:ilvl w:val="0"/>
          <w:numId w:val="353"/>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PBS</w:t>
      </w:r>
      <w:r w:rsidR="00EF6564" w:rsidRPr="000508B6">
        <w:rPr>
          <w:rFonts w:ascii="Times New Roman" w:hAnsi="Times New Roman" w:cs="Times New Roman"/>
          <w:lang w:val="ro-MD"/>
        </w:rPr>
        <w:t xml:space="preserve"> anuale ale grupului</w:t>
      </w:r>
      <w:r w:rsidRPr="000508B6" w:rsidDel="00AA2EC8">
        <w:rPr>
          <w:rFonts w:ascii="Times New Roman" w:hAnsi="Times New Roman" w:cs="Times New Roman"/>
          <w:lang w:val="ro-MD"/>
        </w:rPr>
        <w:t xml:space="preserve"> </w:t>
      </w:r>
      <w:r w:rsidR="00037DB7" w:rsidRPr="000508B6">
        <w:rPr>
          <w:rFonts w:ascii="Times New Roman" w:hAnsi="Times New Roman" w:cs="Times New Roman"/>
          <w:lang w:val="ro-MD"/>
        </w:rPr>
        <w:t>nu depășe</w:t>
      </w:r>
      <w:r w:rsidR="00EF6564" w:rsidRPr="000508B6">
        <w:rPr>
          <w:rFonts w:ascii="Times New Roman" w:hAnsi="Times New Roman" w:cs="Times New Roman"/>
          <w:lang w:val="ro-MD"/>
        </w:rPr>
        <w:t>sc</w:t>
      </w:r>
      <w:r w:rsidR="00FF17C8" w:rsidRPr="000508B6">
        <w:rPr>
          <w:rFonts w:ascii="Times New Roman" w:hAnsi="Times New Roman" w:cs="Times New Roman"/>
          <w:lang w:val="ro-MD"/>
        </w:rPr>
        <w:t xml:space="preserve"> echivalentul în lei</w:t>
      </w:r>
      <w:r w:rsidR="00EF6564" w:rsidRPr="000508B6">
        <w:rPr>
          <w:rFonts w:ascii="Times New Roman" w:hAnsi="Times New Roman" w:cs="Times New Roman"/>
          <w:lang w:val="ro-MD"/>
        </w:rPr>
        <w:t xml:space="preserve"> moldovenești</w:t>
      </w:r>
      <w:r w:rsidR="00FF17C8" w:rsidRPr="000508B6">
        <w:rPr>
          <w:rFonts w:ascii="Times New Roman" w:hAnsi="Times New Roman" w:cs="Times New Roman"/>
          <w:lang w:val="ro-MD"/>
        </w:rPr>
        <w:t xml:space="preserve"> a</w:t>
      </w:r>
      <w:r w:rsidR="00037DB7" w:rsidRPr="000508B6">
        <w:rPr>
          <w:rFonts w:ascii="Times New Roman" w:hAnsi="Times New Roman" w:cs="Times New Roman"/>
          <w:lang w:val="ro-MD"/>
        </w:rPr>
        <w:t xml:space="preserve"> 100 000 000 EUR;</w:t>
      </w:r>
    </w:p>
    <w:p w14:paraId="3BBCE414" w14:textId="391C7AD2" w:rsidR="00037DB7" w:rsidRPr="000508B6" w:rsidRDefault="00037DB7" w:rsidP="00CF5AFA">
      <w:pPr>
        <w:pStyle w:val="Listparagraf"/>
        <w:numPr>
          <w:ilvl w:val="0"/>
          <w:numId w:val="35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suma </w:t>
      </w:r>
      <w:r w:rsidR="00AA2EC8" w:rsidRPr="000508B6">
        <w:rPr>
          <w:rFonts w:ascii="Times New Roman" w:hAnsi="Times New Roman" w:cs="Times New Roman"/>
          <w:lang w:val="ro-MD"/>
        </w:rPr>
        <w:t>PBS</w:t>
      </w:r>
      <w:r w:rsidR="00AA2EC8" w:rsidRPr="000508B6" w:rsidDel="00AA2EC8">
        <w:rPr>
          <w:rFonts w:ascii="Times New Roman" w:hAnsi="Times New Roman" w:cs="Times New Roman"/>
          <w:lang w:val="ro-MD"/>
        </w:rPr>
        <w:t xml:space="preserve"> </w:t>
      </w:r>
      <w:r w:rsidRPr="000508B6">
        <w:rPr>
          <w:rFonts w:ascii="Times New Roman" w:hAnsi="Times New Roman" w:cs="Times New Roman"/>
          <w:lang w:val="ro-MD"/>
        </w:rPr>
        <w:t xml:space="preserve">anuale din clasele 5-7, 11, 12, 14 și 15 din </w:t>
      </w:r>
      <w:r w:rsidR="002D076B" w:rsidRPr="000508B6">
        <w:rPr>
          <w:rFonts w:ascii="Times New Roman" w:hAnsi="Times New Roman" w:cs="Times New Roman"/>
          <w:lang w:val="ro-MD"/>
        </w:rPr>
        <w:t>A</w:t>
      </w:r>
      <w:r w:rsidRPr="000508B6">
        <w:rPr>
          <w:rFonts w:ascii="Times New Roman" w:hAnsi="Times New Roman" w:cs="Times New Roman"/>
          <w:lang w:val="ro-MD"/>
        </w:rPr>
        <w:t xml:space="preserve">nexa </w:t>
      </w:r>
      <w:r w:rsidR="00E81DE7" w:rsidRPr="000508B6">
        <w:rPr>
          <w:rFonts w:ascii="Times New Roman" w:hAnsi="Times New Roman" w:cs="Times New Roman"/>
          <w:lang w:val="ro-MD"/>
        </w:rPr>
        <w:t>nr.</w:t>
      </w:r>
      <w:r w:rsidR="00E05992" w:rsidRPr="000508B6">
        <w:rPr>
          <w:rFonts w:ascii="Times New Roman" w:hAnsi="Times New Roman" w:cs="Times New Roman"/>
          <w:lang w:val="ro-MD"/>
        </w:rPr>
        <w:t xml:space="preserve"> </w:t>
      </w:r>
      <w:r w:rsidR="00E81DE7" w:rsidRPr="000508B6">
        <w:rPr>
          <w:rFonts w:ascii="Times New Roman" w:hAnsi="Times New Roman" w:cs="Times New Roman"/>
          <w:lang w:val="ro-MD"/>
        </w:rPr>
        <w:t>1</w:t>
      </w:r>
      <w:r w:rsidR="00E05992" w:rsidRPr="000508B6">
        <w:rPr>
          <w:rFonts w:ascii="Times New Roman" w:hAnsi="Times New Roman" w:cs="Times New Roman"/>
          <w:lang w:val="ro-MD"/>
        </w:rPr>
        <w:t>.</w:t>
      </w:r>
      <w:r w:rsidR="003B43A7" w:rsidRPr="000508B6">
        <w:rPr>
          <w:rFonts w:ascii="Times New Roman" w:hAnsi="Times New Roman" w:cs="Times New Roman"/>
          <w:lang w:val="ro-MD"/>
        </w:rPr>
        <w:t>,</w:t>
      </w:r>
      <w:r w:rsidRPr="000508B6">
        <w:rPr>
          <w:rFonts w:ascii="Times New Roman" w:hAnsi="Times New Roman" w:cs="Times New Roman"/>
          <w:lang w:val="ro-MD"/>
        </w:rPr>
        <w:t xml:space="preserve"> </w:t>
      </w:r>
      <w:r w:rsidR="002D076B" w:rsidRPr="000508B6">
        <w:rPr>
          <w:rFonts w:ascii="Times New Roman" w:hAnsi="Times New Roman" w:cs="Times New Roman"/>
          <w:lang w:val="ro-MD"/>
        </w:rPr>
        <w:t xml:space="preserve">Secțiunea </w:t>
      </w:r>
      <w:r w:rsidRPr="000508B6">
        <w:rPr>
          <w:rFonts w:ascii="Times New Roman" w:hAnsi="Times New Roman" w:cs="Times New Roman"/>
          <w:lang w:val="ro-MD"/>
        </w:rPr>
        <w:t>A nu depășește 30 % din totalul primelor subscrise anuale aferente activităților de asigurare generală ale grupului;</w:t>
      </w:r>
    </w:p>
    <w:p w14:paraId="432FC506" w14:textId="4EC4AA3A" w:rsidR="00037DB7" w:rsidRPr="000508B6" w:rsidRDefault="00AA2EC8" w:rsidP="00E05992">
      <w:pPr>
        <w:pStyle w:val="Listparagraf"/>
        <w:numPr>
          <w:ilvl w:val="3"/>
          <w:numId w:val="35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PBS</w:t>
      </w:r>
      <w:r w:rsidRPr="000508B6" w:rsidDel="00AA2EC8">
        <w:rPr>
          <w:rFonts w:ascii="Times New Roman" w:hAnsi="Times New Roman" w:cs="Times New Roman"/>
          <w:lang w:val="ro-MD"/>
        </w:rPr>
        <w:t xml:space="preserve"> </w:t>
      </w:r>
      <w:r w:rsidR="00EF6564" w:rsidRPr="000508B6">
        <w:rPr>
          <w:rFonts w:ascii="Times New Roman" w:hAnsi="Times New Roman" w:cs="Times New Roman"/>
          <w:lang w:val="ro-MD"/>
        </w:rPr>
        <w:t xml:space="preserve">anuale </w:t>
      </w:r>
      <w:r w:rsidR="00037DB7" w:rsidRPr="000508B6">
        <w:rPr>
          <w:rFonts w:ascii="Times New Roman" w:hAnsi="Times New Roman" w:cs="Times New Roman"/>
          <w:lang w:val="ro-MD"/>
        </w:rPr>
        <w:t xml:space="preserve">din subscrierile realizate de </w:t>
      </w:r>
      <w:r w:rsidR="00E05992" w:rsidRPr="000508B6">
        <w:rPr>
          <w:rFonts w:ascii="Times New Roman" w:hAnsi="Times New Roman" w:cs="Times New Roman"/>
          <w:lang w:val="ro-MD"/>
        </w:rPr>
        <w:t xml:space="preserve">asigurătorii </w:t>
      </w:r>
      <w:r w:rsidR="00934913" w:rsidRPr="000508B6">
        <w:rPr>
          <w:rFonts w:ascii="Times New Roman" w:hAnsi="Times New Roman" w:cs="Times New Roman"/>
          <w:lang w:val="ro-MD"/>
        </w:rPr>
        <w:t xml:space="preserve">sau </w:t>
      </w:r>
      <w:proofErr w:type="spellStart"/>
      <w:r w:rsidR="00E05992" w:rsidRPr="000508B6">
        <w:rPr>
          <w:rFonts w:ascii="Times New Roman" w:hAnsi="Times New Roman" w:cs="Times New Roman"/>
          <w:lang w:val="ro-MD"/>
        </w:rPr>
        <w:t>reasigurătorii</w:t>
      </w:r>
      <w:proofErr w:type="spellEnd"/>
      <w:r w:rsidR="00E05992" w:rsidRPr="000508B6">
        <w:rPr>
          <w:rFonts w:ascii="Times New Roman" w:hAnsi="Times New Roman" w:cs="Times New Roman"/>
          <w:lang w:val="ro-MD"/>
        </w:rPr>
        <w:t xml:space="preserve"> </w:t>
      </w:r>
      <w:r w:rsidR="00037DB7" w:rsidRPr="000508B6">
        <w:rPr>
          <w:rFonts w:ascii="Times New Roman" w:hAnsi="Times New Roman" w:cs="Times New Roman"/>
          <w:lang w:val="ro-MD"/>
        </w:rPr>
        <w:t xml:space="preserve">din sfera grupului care au sediul central în alte state membre </w:t>
      </w:r>
      <w:r w:rsidR="00E05992" w:rsidRPr="000508B6">
        <w:rPr>
          <w:rFonts w:ascii="Times New Roman" w:hAnsi="Times New Roman" w:cs="Times New Roman"/>
          <w:lang w:val="ro-MD"/>
        </w:rPr>
        <w:t>decât</w:t>
      </w:r>
      <w:r w:rsidR="002B2C8F" w:rsidRPr="000508B6">
        <w:rPr>
          <w:rFonts w:ascii="Times New Roman" w:hAnsi="Times New Roman" w:cs="Times New Roman"/>
          <w:lang w:val="ro-MD"/>
        </w:rPr>
        <w:t xml:space="preserve"> Republica Moldova </w:t>
      </w:r>
      <w:r w:rsidR="00037DB7" w:rsidRPr="000508B6">
        <w:rPr>
          <w:rFonts w:ascii="Times New Roman" w:hAnsi="Times New Roman" w:cs="Times New Roman"/>
          <w:lang w:val="ro-MD"/>
        </w:rPr>
        <w:t>este mai mic decât oricare dintre următoarele praguri:</w:t>
      </w:r>
    </w:p>
    <w:p w14:paraId="768B007F" w14:textId="081B2C93" w:rsidR="00037DB7" w:rsidRPr="000508B6" w:rsidRDefault="00FF17C8" w:rsidP="00E05992">
      <w:pPr>
        <w:pStyle w:val="Listparagraf"/>
        <w:numPr>
          <w:ilvl w:val="0"/>
          <w:numId w:val="35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echivalentul în lei</w:t>
      </w:r>
      <w:r w:rsidR="00EF6564" w:rsidRPr="000508B6">
        <w:rPr>
          <w:rFonts w:ascii="Times New Roman" w:hAnsi="Times New Roman" w:cs="Times New Roman"/>
          <w:lang w:val="ro-MD"/>
        </w:rPr>
        <w:t xml:space="preserve"> moldovenești</w:t>
      </w:r>
      <w:r w:rsidRPr="000508B6">
        <w:rPr>
          <w:rFonts w:ascii="Times New Roman" w:hAnsi="Times New Roman" w:cs="Times New Roman"/>
          <w:lang w:val="ro-MD"/>
        </w:rPr>
        <w:t xml:space="preserve"> a </w:t>
      </w:r>
      <w:r w:rsidR="00037DB7" w:rsidRPr="000508B6">
        <w:rPr>
          <w:rFonts w:ascii="Times New Roman" w:hAnsi="Times New Roman" w:cs="Times New Roman"/>
          <w:lang w:val="ro-MD"/>
        </w:rPr>
        <w:t>20 000 000 EUR;</w:t>
      </w:r>
    </w:p>
    <w:p w14:paraId="4D9F118E" w14:textId="195D25E3" w:rsidR="00037DB7" w:rsidRPr="000508B6" w:rsidRDefault="00037DB7" w:rsidP="00574631">
      <w:pPr>
        <w:pStyle w:val="Listparagraf"/>
        <w:numPr>
          <w:ilvl w:val="0"/>
          <w:numId w:val="354"/>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10 % din </w:t>
      </w:r>
      <w:r w:rsidR="00AA2EC8" w:rsidRPr="000508B6">
        <w:rPr>
          <w:rFonts w:ascii="Times New Roman" w:hAnsi="Times New Roman" w:cs="Times New Roman"/>
          <w:lang w:val="ro-MD"/>
        </w:rPr>
        <w:t>PBS</w:t>
      </w:r>
      <w:r w:rsidR="002B2C8F" w:rsidRPr="000508B6">
        <w:rPr>
          <w:rFonts w:ascii="Times New Roman" w:hAnsi="Times New Roman" w:cs="Times New Roman"/>
          <w:lang w:val="ro-MD"/>
        </w:rPr>
        <w:t xml:space="preserve"> totale anuale ale grupului</w:t>
      </w:r>
      <w:r w:rsidRPr="000508B6">
        <w:rPr>
          <w:rFonts w:ascii="Times New Roman" w:hAnsi="Times New Roman" w:cs="Times New Roman"/>
          <w:lang w:val="ro-MD"/>
        </w:rPr>
        <w:t>;</w:t>
      </w:r>
    </w:p>
    <w:p w14:paraId="189DF47A" w14:textId="59E5B8B1" w:rsidR="00037DB7" w:rsidRPr="000508B6" w:rsidRDefault="00AA2EC8" w:rsidP="00381BD6">
      <w:pPr>
        <w:pStyle w:val="Listparagraf"/>
        <w:numPr>
          <w:ilvl w:val="3"/>
          <w:numId w:val="35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PBS</w:t>
      </w:r>
      <w:r w:rsidRPr="000508B6" w:rsidDel="00AA2EC8">
        <w:rPr>
          <w:rFonts w:ascii="Times New Roman" w:hAnsi="Times New Roman" w:cs="Times New Roman"/>
          <w:lang w:val="ro-MD"/>
        </w:rPr>
        <w:t xml:space="preserve"> </w:t>
      </w:r>
      <w:r w:rsidR="002B2C8F" w:rsidRPr="000508B6">
        <w:rPr>
          <w:rFonts w:ascii="Times New Roman" w:hAnsi="Times New Roman" w:cs="Times New Roman"/>
          <w:lang w:val="ro-MD"/>
        </w:rPr>
        <w:t xml:space="preserve">anuale ale grupului </w:t>
      </w:r>
      <w:r w:rsidR="00037DB7" w:rsidRPr="000508B6">
        <w:rPr>
          <w:rFonts w:ascii="Times New Roman" w:hAnsi="Times New Roman" w:cs="Times New Roman"/>
          <w:lang w:val="ro-MD"/>
        </w:rPr>
        <w:t xml:space="preserve">în alte state membre decât </w:t>
      </w:r>
      <w:r w:rsidR="002B2C8F" w:rsidRPr="000508B6">
        <w:rPr>
          <w:rFonts w:ascii="Times New Roman" w:hAnsi="Times New Roman" w:cs="Times New Roman"/>
          <w:lang w:val="ro-MD"/>
        </w:rPr>
        <w:t>Republica Moldova</w:t>
      </w:r>
      <w:r w:rsidR="00037DB7" w:rsidRPr="000508B6">
        <w:rPr>
          <w:rFonts w:ascii="Times New Roman" w:hAnsi="Times New Roman" w:cs="Times New Roman"/>
          <w:lang w:val="ro-MD"/>
        </w:rPr>
        <w:t xml:space="preserve"> este mai mic decât oricare dintre următoarele praguri:</w:t>
      </w:r>
    </w:p>
    <w:p w14:paraId="7EB8BA04" w14:textId="510246B3" w:rsidR="00037DB7" w:rsidRPr="000508B6" w:rsidRDefault="00FF17C8" w:rsidP="00381BD6">
      <w:pPr>
        <w:pStyle w:val="Listparagraf"/>
        <w:numPr>
          <w:ilvl w:val="0"/>
          <w:numId w:val="35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echivalentul în lei a </w:t>
      </w:r>
      <w:r w:rsidR="00037DB7" w:rsidRPr="000508B6">
        <w:rPr>
          <w:rFonts w:ascii="Times New Roman" w:hAnsi="Times New Roman" w:cs="Times New Roman"/>
          <w:lang w:val="ro-MD"/>
        </w:rPr>
        <w:t>20 000 000 EUR;</w:t>
      </w:r>
    </w:p>
    <w:p w14:paraId="0FC53985" w14:textId="5CEB34C4" w:rsidR="00037DB7" w:rsidRPr="000508B6" w:rsidRDefault="00037DB7" w:rsidP="00574631">
      <w:pPr>
        <w:pStyle w:val="Listparagraf"/>
        <w:numPr>
          <w:ilvl w:val="0"/>
          <w:numId w:val="355"/>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10 % din </w:t>
      </w:r>
      <w:r w:rsidR="00AA2EC8" w:rsidRPr="000508B6">
        <w:rPr>
          <w:rFonts w:ascii="Times New Roman" w:hAnsi="Times New Roman" w:cs="Times New Roman"/>
          <w:lang w:val="ro-MD"/>
        </w:rPr>
        <w:t>PBS</w:t>
      </w:r>
      <w:r w:rsidR="002B2C8F" w:rsidRPr="000508B6">
        <w:rPr>
          <w:rFonts w:ascii="Times New Roman" w:hAnsi="Times New Roman" w:cs="Times New Roman"/>
          <w:lang w:val="ro-MD"/>
        </w:rPr>
        <w:t xml:space="preserve"> totale anuale ale grupului</w:t>
      </w:r>
      <w:r w:rsidRPr="000508B6">
        <w:rPr>
          <w:rFonts w:ascii="Times New Roman" w:hAnsi="Times New Roman" w:cs="Times New Roman"/>
          <w:lang w:val="ro-MD"/>
        </w:rPr>
        <w:t>;</w:t>
      </w:r>
    </w:p>
    <w:p w14:paraId="5419618D" w14:textId="4A82B3F7" w:rsidR="00037DB7" w:rsidRPr="000508B6" w:rsidRDefault="00037DB7" w:rsidP="00574631">
      <w:pPr>
        <w:pStyle w:val="Listparagraf"/>
        <w:numPr>
          <w:ilvl w:val="3"/>
          <w:numId w:val="35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suma următoarelor elemente nu depășește 20 % din investițiile totale calculate pe baza datelor consolidate:</w:t>
      </w:r>
    </w:p>
    <w:p w14:paraId="6CC04B64" w14:textId="54F70572" w:rsidR="00037DB7" w:rsidRPr="000508B6" w:rsidRDefault="00037DB7" w:rsidP="00381BD6">
      <w:pPr>
        <w:pStyle w:val="Listparagraf"/>
        <w:numPr>
          <w:ilvl w:val="0"/>
          <w:numId w:val="356"/>
        </w:numPr>
        <w:tabs>
          <w:tab w:val="left" w:pos="709"/>
          <w:tab w:val="left" w:pos="993"/>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modulul risc de piață menționat la art. </w:t>
      </w:r>
      <w:r w:rsidR="008A6AFA" w:rsidRPr="000508B6">
        <w:rPr>
          <w:rFonts w:ascii="Times New Roman" w:hAnsi="Times New Roman" w:cs="Times New Roman"/>
          <w:lang w:val="ro-MD"/>
        </w:rPr>
        <w:t>68</w:t>
      </w:r>
      <w:r w:rsidRPr="000508B6">
        <w:rPr>
          <w:rFonts w:ascii="Times New Roman" w:hAnsi="Times New Roman" w:cs="Times New Roman"/>
          <w:lang w:val="ro-MD"/>
        </w:rPr>
        <w:t xml:space="preserve"> alin.</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(7);</w:t>
      </w:r>
    </w:p>
    <w:p w14:paraId="690B193A" w14:textId="10DFC0D0" w:rsidR="00037DB7" w:rsidRPr="000508B6" w:rsidRDefault="00037DB7" w:rsidP="00574631">
      <w:pPr>
        <w:pStyle w:val="Listparagraf"/>
        <w:numPr>
          <w:ilvl w:val="0"/>
          <w:numId w:val="356"/>
        </w:numPr>
        <w:tabs>
          <w:tab w:val="left" w:pos="709"/>
          <w:tab w:val="left" w:pos="993"/>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lastRenderedPageBreak/>
        <w:t xml:space="preserve">partea din modulul risc de contrapartidă menționat la art. </w:t>
      </w:r>
      <w:r w:rsidR="00BE36A9" w:rsidRPr="000508B6">
        <w:rPr>
          <w:rFonts w:ascii="Times New Roman" w:hAnsi="Times New Roman" w:cs="Times New Roman"/>
          <w:lang w:val="ro-MD"/>
        </w:rPr>
        <w:t>68</w:t>
      </w:r>
      <w:r w:rsidRPr="000508B6">
        <w:rPr>
          <w:rFonts w:ascii="Times New Roman" w:hAnsi="Times New Roman" w:cs="Times New Roman"/>
          <w:lang w:val="ro-MD"/>
        </w:rPr>
        <w:t xml:space="preserve"> alin. (10) care corespunde expunerilor la securitizări, instrumente financiare derivate, creanțe de la intermediari și alte investiții care nu sunt acoperite de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marjă de credit</w:t>
      </w:r>
      <w:r w:rsidR="002B2C8F" w:rsidRPr="000508B6">
        <w:rPr>
          <w:rFonts w:ascii="Times New Roman" w:hAnsi="Times New Roman" w:cs="Times New Roman"/>
          <w:lang w:val="ro-MD"/>
        </w:rPr>
        <w:t xml:space="preserve"> prevăzută la art</w:t>
      </w:r>
      <w:r w:rsidR="00381BD6" w:rsidRPr="000508B6">
        <w:rPr>
          <w:rFonts w:ascii="Times New Roman" w:hAnsi="Times New Roman" w:cs="Times New Roman"/>
          <w:lang w:val="ro-MD"/>
        </w:rPr>
        <w:t>.</w:t>
      </w:r>
      <w:r w:rsidR="002B2C8F" w:rsidRPr="000508B6">
        <w:rPr>
          <w:rFonts w:ascii="Times New Roman" w:hAnsi="Times New Roman" w:cs="Times New Roman"/>
          <w:lang w:val="ro-MD"/>
        </w:rPr>
        <w:t xml:space="preserve"> 68 alin. (8) lit. d)</w:t>
      </w:r>
      <w:r w:rsidRPr="000508B6">
        <w:rPr>
          <w:rFonts w:ascii="Times New Roman" w:hAnsi="Times New Roman" w:cs="Times New Roman"/>
          <w:lang w:val="ro-MD"/>
        </w:rPr>
        <w:t>;</w:t>
      </w:r>
    </w:p>
    <w:p w14:paraId="566B09AE" w14:textId="101CB2FE" w:rsidR="00037DB7" w:rsidRPr="000508B6" w:rsidRDefault="00037DB7" w:rsidP="00574631">
      <w:pPr>
        <w:pStyle w:val="Listparagraf"/>
        <w:numPr>
          <w:ilvl w:val="0"/>
          <w:numId w:val="356"/>
        </w:numPr>
        <w:tabs>
          <w:tab w:val="left" w:pos="567"/>
          <w:tab w:val="left" w:pos="709"/>
          <w:tab w:val="left" w:pos="851"/>
          <w:tab w:val="left" w:pos="993"/>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cerinț</w:t>
      </w:r>
      <w:r w:rsidR="00841AF8" w:rsidRPr="000508B6">
        <w:rPr>
          <w:rFonts w:ascii="Times New Roman" w:hAnsi="Times New Roman" w:cs="Times New Roman"/>
          <w:lang w:val="ro-MD"/>
        </w:rPr>
        <w:t>ele</w:t>
      </w:r>
      <w:r w:rsidRPr="000508B6">
        <w:rPr>
          <w:rFonts w:ascii="Times New Roman" w:hAnsi="Times New Roman" w:cs="Times New Roman"/>
          <w:lang w:val="ro-MD"/>
        </w:rPr>
        <w:t xml:space="preserve"> de capital aplicabil</w:t>
      </w:r>
      <w:r w:rsidR="00841AF8" w:rsidRPr="000508B6">
        <w:rPr>
          <w:rFonts w:ascii="Times New Roman" w:hAnsi="Times New Roman" w:cs="Times New Roman"/>
          <w:lang w:val="ro-MD"/>
        </w:rPr>
        <w:t>e</w:t>
      </w:r>
      <w:r w:rsidRPr="000508B6">
        <w:rPr>
          <w:rFonts w:ascii="Times New Roman" w:hAnsi="Times New Roman" w:cs="Times New Roman"/>
          <w:lang w:val="ro-MD"/>
        </w:rPr>
        <w:t xml:space="preserve"> investițiilor în active necorporale care nu sunt acoperite de modulele risc de piață și risc de contrapartidă</w:t>
      </w:r>
      <w:r w:rsidR="00841AF8" w:rsidRPr="000508B6">
        <w:rPr>
          <w:rFonts w:ascii="Times New Roman" w:hAnsi="Times New Roman" w:cs="Times New Roman"/>
          <w:lang w:val="ro-MD"/>
        </w:rPr>
        <w:t xml:space="preserve"> prevăzute la art. 68 alin. (8) și </w:t>
      </w:r>
      <w:r w:rsidR="008E1F78">
        <w:rPr>
          <w:rFonts w:ascii="Times New Roman" w:hAnsi="Times New Roman" w:cs="Times New Roman"/>
          <w:lang w:val="ro-MD"/>
        </w:rPr>
        <w:t>(</w:t>
      </w:r>
      <w:r w:rsidR="00841AF8" w:rsidRPr="000508B6">
        <w:rPr>
          <w:rFonts w:ascii="Times New Roman" w:hAnsi="Times New Roman" w:cs="Times New Roman"/>
          <w:lang w:val="ro-MD"/>
        </w:rPr>
        <w:t>10</w:t>
      </w:r>
      <w:r w:rsidR="008E1F78">
        <w:rPr>
          <w:rFonts w:ascii="Times New Roman" w:hAnsi="Times New Roman" w:cs="Times New Roman"/>
          <w:lang w:val="ro-MD"/>
        </w:rPr>
        <w:t>)</w:t>
      </w:r>
      <w:r w:rsidRPr="000508B6">
        <w:rPr>
          <w:rFonts w:ascii="Times New Roman" w:hAnsi="Times New Roman" w:cs="Times New Roman"/>
          <w:lang w:val="ro-MD"/>
        </w:rPr>
        <w:t>;</w:t>
      </w:r>
    </w:p>
    <w:p w14:paraId="635F29A8" w14:textId="1476FCE3" w:rsidR="00037DB7" w:rsidRPr="000508B6" w:rsidRDefault="00037DB7" w:rsidP="00574631">
      <w:pPr>
        <w:pStyle w:val="Listparagraf"/>
        <w:numPr>
          <w:ilvl w:val="3"/>
          <w:numId w:val="351"/>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acceptările în reasigurare de către </w:t>
      </w:r>
      <w:r w:rsidR="00934913" w:rsidRPr="000508B6">
        <w:rPr>
          <w:rFonts w:ascii="Times New Roman" w:hAnsi="Times New Roman" w:cs="Times New Roman"/>
          <w:lang w:val="ro-MD"/>
        </w:rPr>
        <w:t xml:space="preserve">asigurătorii sau </w:t>
      </w:r>
      <w:proofErr w:type="spellStart"/>
      <w:r w:rsidR="00934913" w:rsidRPr="000508B6">
        <w:rPr>
          <w:rFonts w:ascii="Times New Roman" w:hAnsi="Times New Roman" w:cs="Times New Roman"/>
          <w:lang w:val="ro-MD"/>
        </w:rPr>
        <w:t>reasigurătorii</w:t>
      </w:r>
      <w:proofErr w:type="spellEnd"/>
      <w:r w:rsidR="00934913" w:rsidRPr="000508B6">
        <w:rPr>
          <w:rFonts w:ascii="Times New Roman" w:hAnsi="Times New Roman" w:cs="Times New Roman"/>
          <w:lang w:val="ro-MD"/>
        </w:rPr>
        <w:t xml:space="preserve"> </w:t>
      </w:r>
      <w:r w:rsidRPr="000508B6">
        <w:rPr>
          <w:rFonts w:ascii="Times New Roman" w:hAnsi="Times New Roman" w:cs="Times New Roman"/>
          <w:lang w:val="ro-MD"/>
        </w:rPr>
        <w:t>grupului nu depășește 50 % din total</w:t>
      </w:r>
      <w:r w:rsidR="00841AF8" w:rsidRPr="000508B6">
        <w:rPr>
          <w:rFonts w:ascii="Times New Roman" w:hAnsi="Times New Roman" w:cs="Times New Roman"/>
          <w:lang w:val="ro-MD"/>
        </w:rPr>
        <w:t>ul</w:t>
      </w:r>
      <w:r w:rsidRPr="000508B6">
        <w:rPr>
          <w:rFonts w:ascii="Times New Roman" w:hAnsi="Times New Roman" w:cs="Times New Roman"/>
          <w:lang w:val="ro-MD"/>
        </w:rPr>
        <w:t xml:space="preserve"> </w:t>
      </w:r>
      <w:r w:rsidR="00AA2EC8" w:rsidRPr="000508B6">
        <w:rPr>
          <w:rFonts w:ascii="Times New Roman" w:hAnsi="Times New Roman" w:cs="Times New Roman"/>
          <w:lang w:val="ro-MD"/>
        </w:rPr>
        <w:t>PBS</w:t>
      </w:r>
      <w:r w:rsidR="00AA2EC8" w:rsidRPr="000508B6" w:rsidDel="00AA2EC8">
        <w:rPr>
          <w:rFonts w:ascii="Times New Roman" w:hAnsi="Times New Roman" w:cs="Times New Roman"/>
          <w:lang w:val="ro-MD"/>
        </w:rPr>
        <w:t xml:space="preserve"> </w:t>
      </w:r>
      <w:r w:rsidR="00841AF8" w:rsidRPr="000508B6">
        <w:rPr>
          <w:rFonts w:ascii="Times New Roman" w:hAnsi="Times New Roman" w:cs="Times New Roman"/>
          <w:lang w:val="ro-MD"/>
        </w:rPr>
        <w:t xml:space="preserve">anuale </w:t>
      </w:r>
      <w:r w:rsidRPr="000508B6">
        <w:rPr>
          <w:rFonts w:ascii="Times New Roman" w:hAnsi="Times New Roman" w:cs="Times New Roman"/>
          <w:lang w:val="ro-MD"/>
        </w:rPr>
        <w:t>al</w:t>
      </w:r>
      <w:r w:rsidR="00841AF8" w:rsidRPr="000508B6">
        <w:rPr>
          <w:rFonts w:ascii="Times New Roman" w:hAnsi="Times New Roman" w:cs="Times New Roman"/>
          <w:lang w:val="ro-MD"/>
        </w:rPr>
        <w:t>e</w:t>
      </w:r>
      <w:r w:rsidRPr="000508B6">
        <w:rPr>
          <w:rFonts w:ascii="Times New Roman" w:hAnsi="Times New Roman" w:cs="Times New Roman"/>
          <w:lang w:val="ro-MD"/>
        </w:rPr>
        <w:t xml:space="preserve"> grupului;</w:t>
      </w:r>
    </w:p>
    <w:p w14:paraId="54CDFCE1" w14:textId="3A430BCA" w:rsidR="00037DB7" w:rsidRPr="000508B6" w:rsidRDefault="001961FB" w:rsidP="00574631">
      <w:pPr>
        <w:pStyle w:val="Listparagraf"/>
        <w:numPr>
          <w:ilvl w:val="3"/>
          <w:numId w:val="351"/>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este pozitivă </w:t>
      </w:r>
      <w:r w:rsidR="00037DB7" w:rsidRPr="000508B6">
        <w:rPr>
          <w:rFonts w:ascii="Times New Roman" w:hAnsi="Times New Roman" w:cs="Times New Roman"/>
          <w:lang w:val="ro-MD"/>
        </w:rPr>
        <w:t xml:space="preserve">diferența menționată la art. </w:t>
      </w:r>
      <w:r w:rsidR="003834F2" w:rsidRPr="000508B6">
        <w:rPr>
          <w:rFonts w:ascii="Times New Roman" w:hAnsi="Times New Roman" w:cs="Times New Roman"/>
          <w:lang w:val="ro-MD"/>
        </w:rPr>
        <w:t xml:space="preserve">134 </w:t>
      </w:r>
      <w:r w:rsidR="00037DB7" w:rsidRPr="000508B6">
        <w:rPr>
          <w:rFonts w:ascii="Times New Roman" w:hAnsi="Times New Roman" w:cs="Times New Roman"/>
          <w:lang w:val="ro-MD"/>
        </w:rPr>
        <w:t xml:space="preserve">alin. (2), în cazul în care se utilizează metoda </w:t>
      </w:r>
      <w:r w:rsidR="00230ADD" w:rsidRPr="000508B6">
        <w:rPr>
          <w:rFonts w:ascii="Times New Roman" w:hAnsi="Times New Roman" w:cs="Times New Roman"/>
          <w:lang w:val="ro-MD"/>
        </w:rPr>
        <w:t xml:space="preserve">de calcul </w:t>
      </w:r>
      <w:r w:rsidR="00037DB7" w:rsidRPr="000508B6">
        <w:rPr>
          <w:rFonts w:ascii="Times New Roman" w:hAnsi="Times New Roman" w:cs="Times New Roman"/>
          <w:lang w:val="ro-MD"/>
        </w:rPr>
        <w:t>nr.</w:t>
      </w:r>
      <w:r w:rsidR="00381BD6" w:rsidRPr="000508B6">
        <w:rPr>
          <w:rFonts w:ascii="Times New Roman" w:hAnsi="Times New Roman" w:cs="Times New Roman"/>
          <w:lang w:val="ro-MD"/>
        </w:rPr>
        <w:t xml:space="preserve"> </w:t>
      </w:r>
      <w:r w:rsidR="00037DB7" w:rsidRPr="000508B6">
        <w:rPr>
          <w:rFonts w:ascii="Times New Roman" w:hAnsi="Times New Roman" w:cs="Times New Roman"/>
          <w:lang w:val="ro-MD"/>
        </w:rPr>
        <w:t xml:space="preserve">1, </w:t>
      </w:r>
      <w:r w:rsidR="00841AF8" w:rsidRPr="000508B6">
        <w:rPr>
          <w:rFonts w:ascii="Times New Roman" w:hAnsi="Times New Roman" w:cs="Times New Roman"/>
          <w:lang w:val="ro-MD"/>
        </w:rPr>
        <w:t xml:space="preserve">diferența menționată </w:t>
      </w:r>
      <w:r w:rsidR="00037DB7" w:rsidRPr="000508B6">
        <w:rPr>
          <w:rFonts w:ascii="Times New Roman" w:hAnsi="Times New Roman" w:cs="Times New Roman"/>
          <w:lang w:val="ro-MD"/>
        </w:rPr>
        <w:t>la art.</w:t>
      </w:r>
      <w:r w:rsidR="00381BD6" w:rsidRPr="000508B6">
        <w:rPr>
          <w:rFonts w:ascii="Times New Roman" w:hAnsi="Times New Roman" w:cs="Times New Roman"/>
          <w:lang w:val="ro-MD"/>
        </w:rPr>
        <w:t xml:space="preserve"> </w:t>
      </w:r>
      <w:r w:rsidR="00660AFC" w:rsidRPr="000508B6">
        <w:rPr>
          <w:rFonts w:ascii="Times New Roman" w:hAnsi="Times New Roman" w:cs="Times New Roman"/>
          <w:lang w:val="ro-MD"/>
        </w:rPr>
        <w:t xml:space="preserve">136 </w:t>
      </w:r>
      <w:r w:rsidR="00037DB7" w:rsidRPr="000508B6">
        <w:rPr>
          <w:rFonts w:ascii="Times New Roman" w:hAnsi="Times New Roman" w:cs="Times New Roman"/>
          <w:lang w:val="ro-MD"/>
        </w:rPr>
        <w:t xml:space="preserve">alin. (1), în cazul în care se utilizează metoda </w:t>
      </w:r>
      <w:r w:rsidR="00230ADD" w:rsidRPr="000508B6">
        <w:rPr>
          <w:rFonts w:ascii="Times New Roman" w:hAnsi="Times New Roman" w:cs="Times New Roman"/>
          <w:lang w:val="ro-MD"/>
        </w:rPr>
        <w:t xml:space="preserve">de calcul </w:t>
      </w:r>
      <w:r w:rsidR="00037DB7" w:rsidRPr="000508B6">
        <w:rPr>
          <w:rFonts w:ascii="Times New Roman" w:hAnsi="Times New Roman" w:cs="Times New Roman"/>
          <w:lang w:val="ro-MD"/>
        </w:rPr>
        <w:t>nr.</w:t>
      </w:r>
      <w:r w:rsidR="00381BD6" w:rsidRPr="000508B6">
        <w:rPr>
          <w:rFonts w:ascii="Times New Roman" w:hAnsi="Times New Roman" w:cs="Times New Roman"/>
          <w:lang w:val="ro-MD"/>
        </w:rPr>
        <w:t xml:space="preserve"> </w:t>
      </w:r>
      <w:r w:rsidR="00037DB7" w:rsidRPr="000508B6">
        <w:rPr>
          <w:rFonts w:ascii="Times New Roman" w:hAnsi="Times New Roman" w:cs="Times New Roman"/>
          <w:lang w:val="ro-MD"/>
        </w:rPr>
        <w:t xml:space="preserve">2, sau </w:t>
      </w:r>
      <w:r w:rsidR="00841AF8" w:rsidRPr="000508B6">
        <w:rPr>
          <w:rFonts w:ascii="Times New Roman" w:hAnsi="Times New Roman" w:cs="Times New Roman"/>
          <w:lang w:val="ro-MD"/>
        </w:rPr>
        <w:t xml:space="preserve">diferența menționată </w:t>
      </w:r>
      <w:r w:rsidR="00037DB7" w:rsidRPr="000508B6">
        <w:rPr>
          <w:rFonts w:ascii="Times New Roman" w:hAnsi="Times New Roman" w:cs="Times New Roman"/>
          <w:lang w:val="ro-MD"/>
        </w:rPr>
        <w:t xml:space="preserve">la art. </w:t>
      </w:r>
      <w:r w:rsidR="00FF123A" w:rsidRPr="000508B6">
        <w:rPr>
          <w:rFonts w:ascii="Times New Roman" w:hAnsi="Times New Roman" w:cs="Times New Roman"/>
          <w:lang w:val="ro-MD"/>
        </w:rPr>
        <w:t xml:space="preserve">137 </w:t>
      </w:r>
      <w:r w:rsidR="00037DB7" w:rsidRPr="000508B6">
        <w:rPr>
          <w:rFonts w:ascii="Times New Roman" w:hAnsi="Times New Roman" w:cs="Times New Roman"/>
          <w:lang w:val="ro-MD"/>
        </w:rPr>
        <w:t xml:space="preserve">alin. (1), în cazul în care se utilizează o combinație </w:t>
      </w:r>
      <w:r w:rsidR="00C96119" w:rsidRPr="000508B6">
        <w:rPr>
          <w:rFonts w:ascii="Times New Roman" w:hAnsi="Times New Roman" w:cs="Times New Roman"/>
          <w:lang w:val="ro-MD"/>
        </w:rPr>
        <w:t>a metodelor de calcul nr.1 și nr.2</w:t>
      </w:r>
      <w:r w:rsidR="00037DB7" w:rsidRPr="000508B6">
        <w:rPr>
          <w:rFonts w:ascii="Times New Roman" w:hAnsi="Times New Roman" w:cs="Times New Roman"/>
          <w:lang w:val="ro-MD"/>
        </w:rPr>
        <w:t>;</w:t>
      </w:r>
    </w:p>
    <w:p w14:paraId="11774726" w14:textId="13B6B86F" w:rsidR="00037DB7" w:rsidRPr="000508B6" w:rsidRDefault="00037DB7" w:rsidP="00574631">
      <w:pPr>
        <w:pStyle w:val="Listparagraf"/>
        <w:numPr>
          <w:ilvl w:val="3"/>
          <w:numId w:val="351"/>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se utilizează metoda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nr.</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 xml:space="preserve">2 sau o combinație a metodelor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nr.</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1 și nr.</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 xml:space="preserve">2, </w:t>
      </w:r>
      <w:r w:rsidR="00841AF8" w:rsidRPr="000508B6">
        <w:rPr>
          <w:rFonts w:ascii="Times New Roman" w:hAnsi="Times New Roman" w:cs="Times New Roman"/>
          <w:lang w:val="ro-MD"/>
        </w:rPr>
        <w:t xml:space="preserve">fiecărui </w:t>
      </w:r>
      <w:r w:rsidR="00934913" w:rsidRPr="000508B6">
        <w:rPr>
          <w:rFonts w:ascii="Times New Roman" w:hAnsi="Times New Roman" w:cs="Times New Roman"/>
          <w:lang w:val="ro-MD"/>
        </w:rPr>
        <w:t xml:space="preserve">asigurător sau </w:t>
      </w:r>
      <w:proofErr w:type="spellStart"/>
      <w:r w:rsidR="00934913" w:rsidRPr="000508B6">
        <w:rPr>
          <w:rFonts w:ascii="Times New Roman" w:hAnsi="Times New Roman" w:cs="Times New Roman"/>
          <w:lang w:val="ro-MD"/>
        </w:rPr>
        <w:t>reasigurător</w:t>
      </w:r>
      <w:proofErr w:type="spellEnd"/>
      <w:r w:rsidR="00934913" w:rsidRPr="000508B6">
        <w:rPr>
          <w:rFonts w:ascii="Times New Roman" w:hAnsi="Times New Roman" w:cs="Times New Roman"/>
          <w:lang w:val="ro-MD"/>
        </w:rPr>
        <w:t xml:space="preserve"> </w:t>
      </w:r>
      <w:r w:rsidRPr="000508B6">
        <w:rPr>
          <w:rFonts w:ascii="Times New Roman" w:hAnsi="Times New Roman" w:cs="Times New Roman"/>
          <w:lang w:val="ro-MD"/>
        </w:rPr>
        <w:t xml:space="preserve">căreia i se aplică metoda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nr.</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 xml:space="preserve">2 este </w:t>
      </w:r>
      <w:r w:rsidR="00934913" w:rsidRPr="000508B6">
        <w:rPr>
          <w:rFonts w:ascii="Times New Roman" w:hAnsi="Times New Roman" w:cs="Times New Roman"/>
          <w:lang w:val="ro-MD"/>
        </w:rPr>
        <w:t xml:space="preserve">încadrat în categoria asigurător sau </w:t>
      </w:r>
      <w:proofErr w:type="spellStart"/>
      <w:r w:rsidR="0093491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mic și cu un grad redus de complexitate.</w:t>
      </w:r>
      <w:r w:rsidR="00F120BA" w:rsidRPr="000508B6">
        <w:rPr>
          <w:rFonts w:ascii="Times New Roman" w:hAnsi="Times New Roman" w:cs="Times New Roman"/>
          <w:lang w:val="ro-MD"/>
        </w:rPr>
        <w:t xml:space="preserve"> </w:t>
      </w:r>
    </w:p>
    <w:p w14:paraId="6B37A9D4" w14:textId="2FE1C0BC" w:rsidR="00EC1E52" w:rsidRPr="000508B6" w:rsidRDefault="00EC1E52" w:rsidP="00574631">
      <w:pPr>
        <w:pStyle w:val="Listparagraf"/>
        <w:numPr>
          <w:ilvl w:val="3"/>
          <w:numId w:val="351"/>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din grup fac parte în același timp asigurători și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care desfășoară activitate de </w:t>
      </w:r>
      <w:r w:rsidR="00256BD8" w:rsidRPr="000508B6">
        <w:rPr>
          <w:rFonts w:ascii="Times New Roman" w:hAnsi="Times New Roman" w:cs="Times New Roman"/>
          <w:lang w:val="ro-MD"/>
        </w:rPr>
        <w:t>asigurare</w:t>
      </w:r>
      <w:r w:rsidRPr="000508B6">
        <w:rPr>
          <w:rFonts w:ascii="Times New Roman" w:hAnsi="Times New Roman" w:cs="Times New Roman"/>
          <w:lang w:val="ro-MD"/>
        </w:rPr>
        <w:t xml:space="preserve"> de viață, asigurători și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care desfășoară activitate de </w:t>
      </w:r>
      <w:r w:rsidR="00256BD8"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256BD8" w:rsidRPr="000508B6">
        <w:rPr>
          <w:rFonts w:ascii="Times New Roman" w:hAnsi="Times New Roman" w:cs="Times New Roman"/>
          <w:lang w:val="ro-MD"/>
        </w:rPr>
        <w:t>ă</w:t>
      </w:r>
      <w:r w:rsidRPr="000508B6">
        <w:rPr>
          <w:rFonts w:ascii="Times New Roman" w:hAnsi="Times New Roman" w:cs="Times New Roman"/>
          <w:lang w:val="ro-MD"/>
        </w:rPr>
        <w:t xml:space="preserve"> și asigurători compoziți, în oricare combinație, se iau în considerare atât criteriile de la lit. a), cât și criteriile de la lit. b).</w:t>
      </w:r>
      <w:r w:rsidR="003D317E" w:rsidRPr="000508B6">
        <w:rPr>
          <w:rFonts w:ascii="Times New Roman" w:hAnsi="Times New Roman" w:cs="Times New Roman"/>
          <w:color w:val="FF0000"/>
          <w:lang w:val="ro-MD"/>
        </w:rPr>
        <w:t xml:space="preserve"> </w:t>
      </w:r>
    </w:p>
    <w:p w14:paraId="6A579184" w14:textId="46891350" w:rsidR="00037DB7" w:rsidRPr="000508B6" w:rsidRDefault="00037DB7" w:rsidP="00381BD6">
      <w:pPr>
        <w:pStyle w:val="Listparagraf"/>
        <w:numPr>
          <w:ilvl w:val="1"/>
          <w:numId w:val="3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Criteriile prevăzute la alin. (1) lit.</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 xml:space="preserve">a) </w:t>
      </w:r>
      <w:r w:rsidR="00381BD6" w:rsidRPr="000508B6">
        <w:rPr>
          <w:rFonts w:ascii="Times New Roman" w:hAnsi="Times New Roman" w:cs="Times New Roman"/>
          <w:lang w:val="ro-MD"/>
        </w:rPr>
        <w:t xml:space="preserve">pct. </w:t>
      </w:r>
      <w:r w:rsidRPr="000508B6">
        <w:rPr>
          <w:rFonts w:ascii="Times New Roman" w:hAnsi="Times New Roman" w:cs="Times New Roman"/>
          <w:lang w:val="ro-MD"/>
        </w:rPr>
        <w:t>(i) și la lit.</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 xml:space="preserve">e) nu se aplică grupurilor în care se utilizează numai metoda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nr.</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2.</w:t>
      </w:r>
      <w:r w:rsidR="00F120BA" w:rsidRPr="000508B6">
        <w:rPr>
          <w:rFonts w:ascii="Times New Roman" w:hAnsi="Times New Roman" w:cs="Times New Roman"/>
          <w:lang w:val="ro-MD"/>
        </w:rPr>
        <w:t xml:space="preserve"> </w:t>
      </w:r>
    </w:p>
    <w:p w14:paraId="25D5A416" w14:textId="0BBF5769" w:rsidR="00037DB7" w:rsidRPr="000508B6" w:rsidRDefault="00037DB7" w:rsidP="00574631">
      <w:pPr>
        <w:pStyle w:val="Listparagraf"/>
        <w:numPr>
          <w:ilvl w:val="1"/>
          <w:numId w:val="3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841AF8" w:rsidRPr="000508B6">
        <w:rPr>
          <w:rFonts w:ascii="Times New Roman" w:hAnsi="Times New Roman" w:cs="Times New Roman"/>
          <w:lang w:val="ro-MD"/>
        </w:rPr>
        <w:t>Prevederile art.</w:t>
      </w:r>
      <w:r w:rsidR="00381BD6" w:rsidRPr="000508B6">
        <w:rPr>
          <w:rFonts w:ascii="Times New Roman" w:hAnsi="Times New Roman" w:cs="Times New Roman"/>
          <w:lang w:val="ro-MD"/>
        </w:rPr>
        <w:t xml:space="preserve"> </w:t>
      </w:r>
      <w:r w:rsidR="00841AF8" w:rsidRPr="000508B6">
        <w:rPr>
          <w:rFonts w:ascii="Times New Roman" w:hAnsi="Times New Roman" w:cs="Times New Roman"/>
          <w:lang w:val="ro-MD"/>
        </w:rPr>
        <w:t xml:space="preserve">171 se aplică în mod corespunzător </w:t>
      </w:r>
      <w:r w:rsidR="0054020A" w:rsidRPr="000508B6">
        <w:rPr>
          <w:rFonts w:ascii="Times New Roman" w:hAnsi="Times New Roman" w:cs="Times New Roman"/>
          <w:lang w:val="ro-MD"/>
        </w:rPr>
        <w:t xml:space="preserve">la </w:t>
      </w:r>
      <w:r w:rsidRPr="000508B6">
        <w:rPr>
          <w:rFonts w:ascii="Times New Roman" w:hAnsi="Times New Roman" w:cs="Times New Roman"/>
          <w:lang w:val="ro-MD"/>
        </w:rPr>
        <w:t xml:space="preserve">nivelul societății-mamă </w:t>
      </w:r>
      <w:r w:rsidR="00B74737" w:rsidRPr="000508B6">
        <w:rPr>
          <w:rFonts w:ascii="Times New Roman" w:hAnsi="Times New Roman" w:cs="Times New Roman"/>
          <w:lang w:val="ro-MD"/>
        </w:rPr>
        <w:t xml:space="preserve">de asigurare sau de reasigurare </w:t>
      </w:r>
      <w:r w:rsidRPr="000508B6">
        <w:rPr>
          <w:rFonts w:ascii="Times New Roman" w:hAnsi="Times New Roman" w:cs="Times New Roman"/>
          <w:lang w:val="ro-MD"/>
        </w:rPr>
        <w:t>de cel mai înalt rang, al holdingului de asigurare sau al holdingului financiar mixt.</w:t>
      </w:r>
      <w:r w:rsidR="00F120BA" w:rsidRPr="000508B6">
        <w:rPr>
          <w:rFonts w:ascii="Times New Roman" w:hAnsi="Times New Roman" w:cs="Times New Roman"/>
          <w:lang w:val="ro-MD"/>
        </w:rPr>
        <w:t xml:space="preserve"> </w:t>
      </w:r>
    </w:p>
    <w:p w14:paraId="5772387B" w14:textId="38861ACF" w:rsidR="00037DB7" w:rsidRPr="000508B6" w:rsidRDefault="00037DB7" w:rsidP="00574631">
      <w:pPr>
        <w:pStyle w:val="Listparagraf"/>
        <w:numPr>
          <w:ilvl w:val="1"/>
          <w:numId w:val="350"/>
        </w:numPr>
        <w:tabs>
          <w:tab w:val="left" w:pos="709"/>
          <w:tab w:val="left" w:pos="851"/>
        </w:tabs>
        <w:spacing w:after="0" w:line="240" w:lineRule="auto"/>
        <w:ind w:left="0" w:firstLine="426"/>
        <w:jc w:val="both"/>
        <w:rPr>
          <w:rFonts w:ascii="Times New Roman" w:hAnsi="Times New Roman" w:cs="Times New Roman"/>
          <w:color w:val="FF0000"/>
          <w:lang w:val="ro-MD"/>
        </w:rPr>
      </w:pPr>
      <w:r w:rsidRPr="000508B6">
        <w:rPr>
          <w:rFonts w:ascii="Times New Roman" w:hAnsi="Times New Roman" w:cs="Times New Roman"/>
          <w:lang w:val="ro-MD"/>
        </w:rPr>
        <w:t xml:space="preserve"> Grupurile care fac obiectul supravegherii la nivel de grup în conformitate cu art.</w:t>
      </w:r>
      <w:r w:rsidR="00381BD6" w:rsidRPr="000508B6">
        <w:rPr>
          <w:rFonts w:ascii="Times New Roman" w:hAnsi="Times New Roman" w:cs="Times New Roman"/>
          <w:lang w:val="ro-MD"/>
        </w:rPr>
        <w:t xml:space="preserve"> </w:t>
      </w:r>
      <w:r w:rsidR="00BE36A9" w:rsidRPr="000508B6">
        <w:rPr>
          <w:rFonts w:ascii="Times New Roman" w:hAnsi="Times New Roman" w:cs="Times New Roman"/>
          <w:lang w:val="ro-MD"/>
        </w:rPr>
        <w:t>116</w:t>
      </w:r>
      <w:r w:rsidRPr="000508B6">
        <w:rPr>
          <w:rFonts w:ascii="Times New Roman" w:hAnsi="Times New Roman" w:cs="Times New Roman"/>
          <w:lang w:val="ro-MD"/>
        </w:rPr>
        <w:t xml:space="preserve"> alin</w:t>
      </w:r>
      <w:r w:rsidR="00A87D5A" w:rsidRPr="000508B6">
        <w:rPr>
          <w:rFonts w:ascii="Times New Roman" w:hAnsi="Times New Roman" w:cs="Times New Roman"/>
          <w:lang w:val="ro-MD"/>
        </w:rPr>
        <w:t>.</w:t>
      </w:r>
      <w:r w:rsidRPr="000508B6">
        <w:rPr>
          <w:rFonts w:ascii="Times New Roman" w:hAnsi="Times New Roman" w:cs="Times New Roman"/>
          <w:lang w:val="ro-MD"/>
        </w:rPr>
        <w:t xml:space="preserve"> (</w:t>
      </w:r>
      <w:r w:rsidR="00C12998" w:rsidRPr="000508B6">
        <w:rPr>
          <w:rFonts w:ascii="Times New Roman" w:hAnsi="Times New Roman" w:cs="Times New Roman"/>
          <w:lang w:val="ro-MD"/>
        </w:rPr>
        <w:t>3</w:t>
      </w:r>
      <w:r w:rsidRPr="000508B6">
        <w:rPr>
          <w:rFonts w:ascii="Times New Roman" w:hAnsi="Times New Roman" w:cs="Times New Roman"/>
          <w:lang w:val="ro-MD"/>
        </w:rPr>
        <w:t>) lit. a) și b) de mai puțin de doi ani iau în considerare numai ultimul exercițiu financiar atunci când evaluează dacă îndeplinesc criteriile prevăzute la alin.</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(1).</w:t>
      </w:r>
      <w:r w:rsidR="00F120BA" w:rsidRPr="000508B6">
        <w:rPr>
          <w:rFonts w:ascii="Times New Roman" w:hAnsi="Times New Roman" w:cs="Times New Roman"/>
          <w:lang w:val="ro-MD"/>
        </w:rPr>
        <w:t xml:space="preserve"> </w:t>
      </w:r>
    </w:p>
    <w:p w14:paraId="5E876299" w14:textId="391559BF" w:rsidR="00037DB7" w:rsidRPr="000508B6" w:rsidRDefault="00037DB7" w:rsidP="00574631">
      <w:pPr>
        <w:pStyle w:val="Listparagraf"/>
        <w:numPr>
          <w:ilvl w:val="1"/>
          <w:numId w:val="3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Următoarele grupuri nu sunt niciodată </w:t>
      </w:r>
      <w:r w:rsidR="00D71553" w:rsidRPr="000508B6">
        <w:rPr>
          <w:rFonts w:ascii="Times New Roman" w:hAnsi="Times New Roman" w:cs="Times New Roman"/>
          <w:lang w:val="ro-MD"/>
        </w:rPr>
        <w:t>încadrate</w:t>
      </w:r>
      <w:r w:rsidRPr="000508B6">
        <w:rPr>
          <w:rFonts w:ascii="Times New Roman" w:hAnsi="Times New Roman" w:cs="Times New Roman"/>
          <w:lang w:val="ro-MD"/>
        </w:rPr>
        <w:t xml:space="preserve"> </w:t>
      </w:r>
      <w:r w:rsidR="000F155E" w:rsidRPr="000508B6">
        <w:rPr>
          <w:rFonts w:ascii="Times New Roman" w:hAnsi="Times New Roman" w:cs="Times New Roman"/>
          <w:lang w:val="ro-MD"/>
        </w:rPr>
        <w:t>î</w:t>
      </w:r>
      <w:r w:rsidR="00D71553" w:rsidRPr="000508B6">
        <w:rPr>
          <w:rFonts w:ascii="Times New Roman" w:hAnsi="Times New Roman" w:cs="Times New Roman"/>
          <w:lang w:val="ro-MD"/>
        </w:rPr>
        <w:t xml:space="preserve">n categoria </w:t>
      </w:r>
      <w:r w:rsidRPr="000508B6">
        <w:rPr>
          <w:rFonts w:ascii="Times New Roman" w:hAnsi="Times New Roman" w:cs="Times New Roman"/>
          <w:lang w:val="ro-MD"/>
        </w:rPr>
        <w:t>grupuri mici și cu un grad redus de complexitate:</w:t>
      </w:r>
    </w:p>
    <w:p w14:paraId="64E2ABCC" w14:textId="3C2E0D7C" w:rsidR="00037DB7" w:rsidRPr="000508B6" w:rsidRDefault="00037DB7" w:rsidP="00574631">
      <w:pPr>
        <w:pStyle w:val="Listparagraf"/>
        <w:numPr>
          <w:ilvl w:val="0"/>
          <w:numId w:val="35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grupurile care sunt conglomerate financiare în înțelesul Legii nr. 250/2017;</w:t>
      </w:r>
    </w:p>
    <w:p w14:paraId="66E58D58" w14:textId="6185F5A4" w:rsidR="00037DB7" w:rsidRPr="000508B6" w:rsidRDefault="00037DB7" w:rsidP="00CE1105">
      <w:pPr>
        <w:pStyle w:val="Listparagraf"/>
        <w:numPr>
          <w:ilvl w:val="0"/>
          <w:numId w:val="35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grupurile în care cel puțin o filială este </w:t>
      </w:r>
      <w:r w:rsidR="00ED46CB" w:rsidRPr="000508B6">
        <w:rPr>
          <w:rFonts w:ascii="Times New Roman" w:hAnsi="Times New Roman" w:cs="Times New Roman"/>
          <w:lang w:val="ro-MD"/>
        </w:rPr>
        <w:t xml:space="preserve">un asigurător sau </w:t>
      </w:r>
      <w:proofErr w:type="spellStart"/>
      <w:r w:rsidR="00ED46CB" w:rsidRPr="000508B6">
        <w:rPr>
          <w:rFonts w:ascii="Times New Roman" w:hAnsi="Times New Roman" w:cs="Times New Roman"/>
          <w:lang w:val="ro-MD"/>
        </w:rPr>
        <w:t>reasigurător</w:t>
      </w:r>
      <w:proofErr w:type="spellEnd"/>
      <w:r w:rsidR="00ED46CB" w:rsidRPr="000508B6">
        <w:rPr>
          <w:rFonts w:ascii="Times New Roman" w:hAnsi="Times New Roman" w:cs="Times New Roman"/>
          <w:lang w:val="ro-MD"/>
        </w:rPr>
        <w:t xml:space="preserve"> participativ</w:t>
      </w:r>
      <w:r w:rsidR="00C12998" w:rsidRPr="000508B6">
        <w:rPr>
          <w:rFonts w:ascii="Times New Roman" w:hAnsi="Times New Roman" w:cs="Times New Roman"/>
          <w:lang w:val="ro-MD"/>
        </w:rPr>
        <w:t xml:space="preserve"> </w:t>
      </w:r>
      <w:r w:rsidRPr="000508B6">
        <w:rPr>
          <w:rFonts w:ascii="Times New Roman" w:hAnsi="Times New Roman" w:cs="Times New Roman"/>
          <w:lang w:val="ro-MD"/>
        </w:rPr>
        <w:t>menționat la art.</w:t>
      </w:r>
      <w:r w:rsidR="00381BD6" w:rsidRPr="000508B6">
        <w:rPr>
          <w:rFonts w:ascii="Times New Roman" w:hAnsi="Times New Roman" w:cs="Times New Roman"/>
          <w:lang w:val="ro-MD"/>
        </w:rPr>
        <w:t xml:space="preserve"> </w:t>
      </w:r>
      <w:r w:rsidR="00BE36A9"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381BD6" w:rsidRPr="000508B6">
        <w:rPr>
          <w:rFonts w:ascii="Times New Roman" w:hAnsi="Times New Roman" w:cs="Times New Roman"/>
          <w:lang w:val="ro-MD"/>
        </w:rPr>
        <w:t xml:space="preserve"> </w:t>
      </w:r>
      <w:r w:rsidRPr="000508B6">
        <w:rPr>
          <w:rFonts w:ascii="Times New Roman" w:hAnsi="Times New Roman" w:cs="Times New Roman"/>
          <w:lang w:val="ro-MD"/>
        </w:rPr>
        <w:t>(1);</w:t>
      </w:r>
    </w:p>
    <w:p w14:paraId="4ABE492B" w14:textId="09E1DA73" w:rsidR="00037DB7" w:rsidRPr="000508B6" w:rsidRDefault="00037DB7" w:rsidP="00574631">
      <w:pPr>
        <w:pStyle w:val="Listparagraf"/>
        <w:numPr>
          <w:ilvl w:val="0"/>
          <w:numId w:val="35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grupurile care utilizează un model intern parțial sau integral aprobat pentru a-și calcula SCR </w:t>
      </w:r>
      <w:r w:rsidR="00702CCB" w:rsidRPr="000508B6">
        <w:rPr>
          <w:rFonts w:ascii="Times New Roman" w:hAnsi="Times New Roman" w:cs="Times New Roman"/>
          <w:lang w:val="ro-MD"/>
        </w:rPr>
        <w:t xml:space="preserve">la nivel </w:t>
      </w:r>
      <w:r w:rsidRPr="000508B6">
        <w:rPr>
          <w:rFonts w:ascii="Times New Roman" w:hAnsi="Times New Roman" w:cs="Times New Roman"/>
          <w:lang w:val="ro-MD"/>
        </w:rPr>
        <w:t>de grup.</w:t>
      </w:r>
      <w:r w:rsidR="00F120BA" w:rsidRPr="000508B6">
        <w:rPr>
          <w:rFonts w:ascii="Times New Roman" w:hAnsi="Times New Roman" w:cs="Times New Roman"/>
          <w:lang w:val="ro-MD"/>
        </w:rPr>
        <w:t xml:space="preserve"> </w:t>
      </w:r>
    </w:p>
    <w:p w14:paraId="3B1DF997" w14:textId="655F08CF" w:rsidR="00037DB7" w:rsidRPr="000508B6" w:rsidRDefault="00037DB7" w:rsidP="00574631">
      <w:pPr>
        <w:pStyle w:val="Listparagraf"/>
        <w:numPr>
          <w:ilvl w:val="1"/>
          <w:numId w:val="3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5104CA" w:rsidRPr="000508B6">
        <w:rPr>
          <w:rFonts w:ascii="Times New Roman" w:hAnsi="Times New Roman" w:cs="Times New Roman"/>
          <w:lang w:val="ro-MD"/>
        </w:rPr>
        <w:t xml:space="preserve">La utilizarea măsurilor de proporționalitate la nivel de grup prevederile </w:t>
      </w:r>
      <w:r w:rsidR="007E104F" w:rsidRPr="000508B6">
        <w:rPr>
          <w:rFonts w:ascii="Times New Roman" w:hAnsi="Times New Roman" w:cs="Times New Roman"/>
          <w:lang w:val="ro-MD"/>
        </w:rPr>
        <w:t>art.</w:t>
      </w:r>
      <w:r w:rsidRPr="000508B6">
        <w:rPr>
          <w:rFonts w:ascii="Times New Roman" w:hAnsi="Times New Roman" w:cs="Times New Roman"/>
          <w:lang w:val="ro-MD"/>
        </w:rPr>
        <w:t xml:space="preserve"> </w:t>
      </w:r>
      <w:r w:rsidR="004F4CB0" w:rsidRPr="000508B6">
        <w:rPr>
          <w:rFonts w:ascii="Times New Roman" w:hAnsi="Times New Roman" w:cs="Times New Roman"/>
          <w:lang w:val="ro-MD"/>
        </w:rPr>
        <w:t>172</w:t>
      </w:r>
      <w:r w:rsidR="00F1654C" w:rsidRPr="000508B6">
        <w:rPr>
          <w:rFonts w:ascii="Times New Roman" w:hAnsi="Times New Roman" w:cs="Times New Roman"/>
          <w:lang w:val="ro-MD"/>
        </w:rPr>
        <w:t xml:space="preserve">, </w:t>
      </w:r>
      <w:r w:rsidR="004B7D70" w:rsidRPr="000508B6">
        <w:rPr>
          <w:rFonts w:ascii="Times New Roman" w:hAnsi="Times New Roman" w:cs="Times New Roman"/>
          <w:lang w:val="ro-MD"/>
        </w:rPr>
        <w:t xml:space="preserve">173 </w:t>
      </w:r>
      <w:r w:rsidR="00F1654C" w:rsidRPr="000508B6">
        <w:rPr>
          <w:rFonts w:ascii="Times New Roman" w:hAnsi="Times New Roman" w:cs="Times New Roman"/>
          <w:lang w:val="ro-MD"/>
        </w:rPr>
        <w:t xml:space="preserve">și </w:t>
      </w:r>
      <w:r w:rsidR="004B7D70" w:rsidRPr="000508B6">
        <w:rPr>
          <w:rFonts w:ascii="Times New Roman" w:hAnsi="Times New Roman" w:cs="Times New Roman"/>
          <w:lang w:val="ro-MD"/>
        </w:rPr>
        <w:t xml:space="preserve">174 </w:t>
      </w:r>
      <w:r w:rsidRPr="000508B6">
        <w:rPr>
          <w:rFonts w:ascii="Times New Roman" w:hAnsi="Times New Roman" w:cs="Times New Roman"/>
          <w:lang w:val="ro-MD"/>
        </w:rPr>
        <w:t>se aplică în mod corespunzător.</w:t>
      </w:r>
      <w:r w:rsidR="00F120BA" w:rsidRPr="000508B6">
        <w:rPr>
          <w:rFonts w:ascii="Times New Roman" w:hAnsi="Times New Roman" w:cs="Times New Roman"/>
          <w:lang w:val="ro-MD"/>
        </w:rPr>
        <w:t xml:space="preserve"> </w:t>
      </w:r>
    </w:p>
    <w:p w14:paraId="6E1BE6B8" w14:textId="12EB9CE0" w:rsidR="0085251A" w:rsidRPr="000508B6" w:rsidRDefault="00830407" w:rsidP="00574631">
      <w:pPr>
        <w:pStyle w:val="Listparagraf"/>
        <w:numPr>
          <w:ilvl w:val="1"/>
          <w:numId w:val="350"/>
        </w:numPr>
        <w:tabs>
          <w:tab w:val="left" w:pos="709"/>
          <w:tab w:val="left" w:pos="851"/>
        </w:tabs>
        <w:spacing w:after="0" w:line="240" w:lineRule="auto"/>
        <w:ind w:left="0" w:firstLine="426"/>
        <w:jc w:val="both"/>
        <w:rPr>
          <w:rFonts w:ascii="Times New Roman" w:hAnsi="Times New Roman" w:cs="Times New Roman"/>
          <w:lang w:val="ro-MD"/>
        </w:rPr>
      </w:pPr>
      <w:bookmarkStart w:id="134" w:name="_Hlk220931367"/>
      <w:r w:rsidRPr="000508B6">
        <w:rPr>
          <w:rFonts w:ascii="Times New Roman" w:hAnsi="Times New Roman" w:cs="Times New Roman"/>
          <w:lang w:val="ro-MD"/>
        </w:rPr>
        <w:t>C</w:t>
      </w:r>
      <w:r w:rsidR="0085251A" w:rsidRPr="000508B6">
        <w:rPr>
          <w:rFonts w:ascii="Times New Roman" w:hAnsi="Times New Roman" w:cs="Times New Roman"/>
          <w:lang w:val="ro-MD"/>
        </w:rPr>
        <w:t>riteriile prevăzute la alin. (2), inclusiv metoda de calcul a sumei menționate la lit. e) de la alineatul respectiv</w:t>
      </w:r>
      <w:r w:rsidRPr="000508B6">
        <w:rPr>
          <w:rFonts w:ascii="Times New Roman" w:hAnsi="Times New Roman" w:cs="Times New Roman"/>
          <w:lang w:val="ro-MD"/>
        </w:rPr>
        <w:t xml:space="preserve">, </w:t>
      </w:r>
      <w:r w:rsidR="0085251A" w:rsidRPr="000508B6">
        <w:rPr>
          <w:rFonts w:ascii="Times New Roman" w:hAnsi="Times New Roman" w:cs="Times New Roman"/>
          <w:lang w:val="ro-MD"/>
        </w:rPr>
        <w:t xml:space="preserve">metodologia utilizată la </w:t>
      </w:r>
      <w:r w:rsidR="00B74AD4" w:rsidRPr="000508B6">
        <w:rPr>
          <w:rFonts w:ascii="Times New Roman" w:hAnsi="Times New Roman" w:cs="Times New Roman"/>
          <w:lang w:val="ro-MD"/>
        </w:rPr>
        <w:t>încadrarea</w:t>
      </w:r>
      <w:r w:rsidR="0085251A" w:rsidRPr="000508B6">
        <w:rPr>
          <w:rFonts w:ascii="Times New Roman" w:hAnsi="Times New Roman" w:cs="Times New Roman"/>
          <w:lang w:val="ro-MD"/>
        </w:rPr>
        <w:t xml:space="preserve"> grupurilor în categoria grup mic și cu grad redus de complexitate</w:t>
      </w:r>
      <w:r w:rsidRPr="000508B6">
        <w:rPr>
          <w:rFonts w:ascii="Times New Roman" w:hAnsi="Times New Roman" w:cs="Times New Roman"/>
          <w:lang w:val="ro-MD"/>
        </w:rPr>
        <w:t xml:space="preserve">, </w:t>
      </w:r>
      <w:r w:rsidR="0085251A" w:rsidRPr="000508B6">
        <w:rPr>
          <w:rFonts w:ascii="Times New Roman" w:hAnsi="Times New Roman" w:cs="Times New Roman"/>
          <w:lang w:val="ro-MD"/>
        </w:rPr>
        <w:t>condițiile de acordare sau de retragere a aprobării pentru măsurile de proporționalitate utilizate de grupurile care nu sunt încadrate în categoria grup mic și cu grad redus de complexitate</w:t>
      </w:r>
      <w:r w:rsidRPr="000508B6">
        <w:rPr>
          <w:rFonts w:ascii="Times New Roman" w:hAnsi="Times New Roman" w:cs="Times New Roman"/>
          <w:lang w:val="ro-MD"/>
        </w:rPr>
        <w:t xml:space="preserve"> se stabilesc prin acele normative ale Băncii Naționale a Moldovei.</w:t>
      </w:r>
    </w:p>
    <w:bookmarkEnd w:id="134"/>
    <w:p w14:paraId="1B6D8A24" w14:textId="77777777" w:rsidR="00830407" w:rsidRPr="000508B6" w:rsidRDefault="00830407" w:rsidP="00830407">
      <w:pPr>
        <w:pStyle w:val="Listparagraf"/>
        <w:tabs>
          <w:tab w:val="left" w:pos="851"/>
        </w:tabs>
        <w:spacing w:after="0" w:line="240" w:lineRule="auto"/>
        <w:ind w:left="426"/>
        <w:jc w:val="both"/>
        <w:rPr>
          <w:rFonts w:ascii="Times New Roman" w:hAnsi="Times New Roman" w:cs="Times New Roman"/>
          <w:lang w:val="ro-MD"/>
        </w:rPr>
      </w:pPr>
    </w:p>
    <w:p w14:paraId="1FF883EC" w14:textId="4F7562E0" w:rsidR="004F70CB" w:rsidRPr="000508B6" w:rsidRDefault="004F70CB" w:rsidP="004F70CB">
      <w:pPr>
        <w:tabs>
          <w:tab w:val="left" w:pos="993"/>
        </w:tabs>
        <w:spacing w:after="0" w:line="240" w:lineRule="auto"/>
        <w:ind w:firstLine="426"/>
        <w:jc w:val="both"/>
        <w:rPr>
          <w:rFonts w:ascii="Times New Roman" w:hAnsi="Times New Roman" w:cs="Times New Roman"/>
          <w:b/>
          <w:bCs/>
          <w:lang w:val="ro-MD"/>
        </w:rPr>
      </w:pPr>
      <w:r w:rsidRPr="000508B6">
        <w:rPr>
          <w:rFonts w:ascii="Times New Roman" w:hAnsi="Times New Roman" w:cs="Times New Roman"/>
          <w:b/>
          <w:bCs/>
          <w:lang w:val="ro-MD"/>
        </w:rPr>
        <w:t>Articolul</w:t>
      </w:r>
      <w:r w:rsidR="00A87D5A" w:rsidRPr="000508B6">
        <w:rPr>
          <w:rFonts w:ascii="Times New Roman" w:hAnsi="Times New Roman" w:cs="Times New Roman"/>
          <w:b/>
          <w:bCs/>
          <w:lang w:val="ro-MD"/>
        </w:rPr>
        <w:t xml:space="preserve"> </w:t>
      </w:r>
      <w:r w:rsidR="007C2440" w:rsidRPr="000508B6">
        <w:rPr>
          <w:rFonts w:ascii="Times New Roman" w:hAnsi="Times New Roman" w:cs="Times New Roman"/>
          <w:b/>
          <w:bCs/>
          <w:lang w:val="ro-MD"/>
        </w:rPr>
        <w:t>118</w:t>
      </w:r>
      <w:r w:rsidR="002E6393" w:rsidRPr="000508B6">
        <w:rPr>
          <w:rFonts w:ascii="Times New Roman" w:hAnsi="Times New Roman" w:cs="Times New Roman"/>
          <w:b/>
          <w:bCs/>
          <w:lang w:val="ro-MD"/>
        </w:rPr>
        <w:t>.</w:t>
      </w:r>
      <w:r w:rsidRPr="000508B6">
        <w:rPr>
          <w:rFonts w:ascii="Times New Roman" w:hAnsi="Times New Roman" w:cs="Times New Roman"/>
          <w:b/>
          <w:bCs/>
          <w:lang w:val="ro-MD"/>
        </w:rPr>
        <w:t xml:space="preserve"> </w:t>
      </w:r>
      <w:r w:rsidRPr="000508B6">
        <w:rPr>
          <w:rFonts w:ascii="Times New Roman" w:hAnsi="Times New Roman" w:cs="Times New Roman"/>
          <w:lang w:val="ro-MD"/>
        </w:rPr>
        <w:t>Dificultăți privind supravegherea la nivel de grup</w:t>
      </w:r>
      <w:r w:rsidR="00F120BA" w:rsidRPr="000508B6">
        <w:rPr>
          <w:rFonts w:ascii="Times New Roman" w:hAnsi="Times New Roman" w:cs="Times New Roman"/>
          <w:b/>
          <w:bCs/>
          <w:lang w:val="ro-MD"/>
        </w:rPr>
        <w:t xml:space="preserve"> </w:t>
      </w:r>
    </w:p>
    <w:p w14:paraId="1BE9C835" w14:textId="5F80861F" w:rsidR="004F70CB" w:rsidRPr="000508B6" w:rsidRDefault="004F70CB"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cazul menționat la art.</w:t>
      </w:r>
      <w:r w:rsidR="00381BD6" w:rsidRPr="000508B6">
        <w:rPr>
          <w:rFonts w:ascii="Times New Roman" w:hAnsi="Times New Roman" w:cs="Times New Roman"/>
          <w:lang w:val="ro-MD"/>
        </w:rPr>
        <w:t xml:space="preserve"> </w:t>
      </w:r>
      <w:r w:rsidR="0053319E" w:rsidRPr="000508B6">
        <w:rPr>
          <w:rFonts w:ascii="Times New Roman" w:hAnsi="Times New Roman" w:cs="Times New Roman"/>
          <w:lang w:val="ro-MD"/>
        </w:rPr>
        <w:t>116</w:t>
      </w:r>
      <w:r w:rsidRPr="000508B6">
        <w:rPr>
          <w:rFonts w:ascii="Times New Roman" w:hAnsi="Times New Roman" w:cs="Times New Roman"/>
          <w:lang w:val="ro-MD"/>
        </w:rPr>
        <w:t xml:space="preserve"> alin</w:t>
      </w:r>
      <w:r w:rsidR="00A87D5A" w:rsidRPr="000508B6">
        <w:rPr>
          <w:rFonts w:ascii="Times New Roman" w:hAnsi="Times New Roman" w:cs="Times New Roman"/>
          <w:lang w:val="ro-MD"/>
        </w:rPr>
        <w:t>.</w:t>
      </w:r>
      <w:r w:rsidRPr="000508B6">
        <w:rPr>
          <w:rFonts w:ascii="Times New Roman" w:hAnsi="Times New Roman" w:cs="Times New Roman"/>
          <w:lang w:val="ro-MD"/>
        </w:rPr>
        <w:t xml:space="preserve"> (</w:t>
      </w:r>
      <w:r w:rsidR="00561131" w:rsidRPr="000508B6">
        <w:rPr>
          <w:rFonts w:ascii="Times New Roman" w:hAnsi="Times New Roman" w:cs="Times New Roman"/>
          <w:lang w:val="ro-MD"/>
        </w:rPr>
        <w:t>3</w:t>
      </w:r>
      <w:r w:rsidRPr="000508B6">
        <w:rPr>
          <w:rFonts w:ascii="Times New Roman" w:hAnsi="Times New Roman" w:cs="Times New Roman"/>
          <w:lang w:val="ro-MD"/>
        </w:rPr>
        <w:t xml:space="preserve">) </w:t>
      </w:r>
      <w:r w:rsidR="00381BD6" w:rsidRPr="000508B6">
        <w:rPr>
          <w:rFonts w:ascii="Times New Roman" w:hAnsi="Times New Roman" w:cs="Times New Roman"/>
          <w:lang w:val="ro-MD"/>
        </w:rPr>
        <w:t xml:space="preserve">lit. </w:t>
      </w:r>
      <w:r w:rsidRPr="000508B6">
        <w:rPr>
          <w:rFonts w:ascii="Times New Roman" w:hAnsi="Times New Roman" w:cs="Times New Roman"/>
          <w:lang w:val="ro-MD"/>
        </w:rPr>
        <w:t>b), holdingul de asigurare sau holdingul financiar mixt se asigură că:</w:t>
      </w:r>
    </w:p>
    <w:p w14:paraId="72B25A10" w14:textId="433381E6" w:rsidR="004F70CB" w:rsidRPr="000508B6" w:rsidRDefault="004F70CB" w:rsidP="00574631">
      <w:pPr>
        <w:pStyle w:val="Listparagraf"/>
        <w:numPr>
          <w:ilvl w:val="2"/>
          <w:numId w:val="31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mecanismele interne și repartizarea atribuțiilor în interiorul grupului sunt adecvate pentru respectarea prezentului </w:t>
      </w:r>
      <w:r w:rsidR="00DA576C" w:rsidRPr="000508B6">
        <w:rPr>
          <w:rFonts w:ascii="Times New Roman" w:hAnsi="Times New Roman" w:cs="Times New Roman"/>
          <w:lang w:val="ro-MD"/>
        </w:rPr>
        <w:t>capitol</w:t>
      </w:r>
      <w:r w:rsidRPr="000508B6">
        <w:rPr>
          <w:rFonts w:ascii="Times New Roman" w:hAnsi="Times New Roman" w:cs="Times New Roman"/>
          <w:lang w:val="ro-MD"/>
        </w:rPr>
        <w:t xml:space="preserve"> și, în special, sunt eficace pentru:</w:t>
      </w:r>
    </w:p>
    <w:p w14:paraId="19F37B3D" w14:textId="266C1DC1" w:rsidR="004F70CB" w:rsidRPr="000508B6" w:rsidRDefault="004F70CB" w:rsidP="00574631">
      <w:pPr>
        <w:pStyle w:val="Listparagraf"/>
        <w:numPr>
          <w:ilvl w:val="0"/>
          <w:numId w:val="318"/>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coordonarea tuturor filialelor holdingului de asigurare sau ale holdingului financiar mixt, inclusiv, în situațiile în care este necesar, prin intermediul unei repartizări adecvate a atribuțiilor între respectivele </w:t>
      </w:r>
      <w:r w:rsidR="00C67265" w:rsidRPr="000508B6">
        <w:rPr>
          <w:rFonts w:ascii="Times New Roman" w:hAnsi="Times New Roman" w:cs="Times New Roman"/>
          <w:lang w:val="ro-MD"/>
        </w:rPr>
        <w:t>entități</w:t>
      </w:r>
      <w:r w:rsidRPr="000508B6">
        <w:rPr>
          <w:rFonts w:ascii="Times New Roman" w:hAnsi="Times New Roman" w:cs="Times New Roman"/>
          <w:lang w:val="ro-MD"/>
        </w:rPr>
        <w:t>;</w:t>
      </w:r>
    </w:p>
    <w:p w14:paraId="2CCB9759" w14:textId="50CFD525" w:rsidR="004F70CB" w:rsidRPr="000508B6" w:rsidRDefault="00381BD6" w:rsidP="00574631">
      <w:pPr>
        <w:pStyle w:val="Listparagraf"/>
        <w:numPr>
          <w:ilvl w:val="0"/>
          <w:numId w:val="318"/>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 </w:t>
      </w:r>
      <w:r w:rsidR="004F70CB" w:rsidRPr="000508B6">
        <w:rPr>
          <w:rFonts w:ascii="Times New Roman" w:hAnsi="Times New Roman" w:cs="Times New Roman"/>
          <w:lang w:val="ro-MD"/>
        </w:rPr>
        <w:t>preîntâmpinarea sau gestionarea conflictelor din interiorul grupului; și</w:t>
      </w:r>
    </w:p>
    <w:p w14:paraId="1979F00D" w14:textId="48C17374" w:rsidR="004F70CB" w:rsidRPr="000508B6" w:rsidRDefault="004F70CB" w:rsidP="00574631">
      <w:pPr>
        <w:pStyle w:val="Listparagraf"/>
        <w:numPr>
          <w:ilvl w:val="0"/>
          <w:numId w:val="318"/>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asigurarea respectării în cadrul grupului a politicilor stabilite pentru întregul grup de către holdingul de asigurare sau de către holdingul financiar mixt;</w:t>
      </w:r>
    </w:p>
    <w:p w14:paraId="75FAD778" w14:textId="464FAA1C" w:rsidR="004F70CB" w:rsidRPr="000508B6" w:rsidRDefault="004F70CB" w:rsidP="00574631">
      <w:pPr>
        <w:pStyle w:val="Listparagraf"/>
        <w:numPr>
          <w:ilvl w:val="2"/>
          <w:numId w:val="317"/>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organizarea structurală a grupului din care face parte holdingul de asigurare sau holdingul financiar mixt nu obstrucționează și nu împiedică supravegherea eficace a grupului și a filialelor din cadrul său, ținând seama, în special, de:</w:t>
      </w:r>
    </w:p>
    <w:p w14:paraId="49A46A22" w14:textId="389612F6" w:rsidR="004F70CB" w:rsidRPr="000508B6" w:rsidRDefault="004F70CB" w:rsidP="00CF5AFA">
      <w:pPr>
        <w:pStyle w:val="Listparagraf"/>
        <w:numPr>
          <w:ilvl w:val="0"/>
          <w:numId w:val="319"/>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poziția holdingului de asigurare sau a holdingului financiar mixt într-un grup cu mai multe niveluri;</w:t>
      </w:r>
    </w:p>
    <w:p w14:paraId="438875EA" w14:textId="4EDC52FE" w:rsidR="004F70CB" w:rsidRPr="000508B6" w:rsidRDefault="00282D4C" w:rsidP="00CF5AFA">
      <w:pPr>
        <w:pStyle w:val="Listparagraf"/>
        <w:numPr>
          <w:ilvl w:val="0"/>
          <w:numId w:val="319"/>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 </w:t>
      </w:r>
      <w:r w:rsidR="004F70CB" w:rsidRPr="000508B6">
        <w:rPr>
          <w:rFonts w:ascii="Times New Roman" w:hAnsi="Times New Roman" w:cs="Times New Roman"/>
          <w:lang w:val="ro-MD"/>
        </w:rPr>
        <w:t>structura acționariatului;</w:t>
      </w:r>
    </w:p>
    <w:p w14:paraId="65206A7F" w14:textId="52F9AD2C" w:rsidR="004F70CB" w:rsidRPr="000508B6" w:rsidRDefault="004F70CB" w:rsidP="00CF5AFA">
      <w:pPr>
        <w:pStyle w:val="Listparagraf"/>
        <w:numPr>
          <w:ilvl w:val="0"/>
          <w:numId w:val="319"/>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lastRenderedPageBreak/>
        <w:t>rolul holdingului de asigurare sau al holdingului financiar mixt în cadrul grupului.</w:t>
      </w:r>
      <w:r w:rsidR="00973288" w:rsidRPr="000508B6">
        <w:rPr>
          <w:rFonts w:ascii="Times New Roman" w:hAnsi="Times New Roman" w:cs="Times New Roman"/>
          <w:lang w:val="ro-MD"/>
        </w:rPr>
        <w:t xml:space="preserve"> </w:t>
      </w:r>
    </w:p>
    <w:p w14:paraId="1EDBFD39" w14:textId="512D53EE" w:rsidR="004F70CB" w:rsidRPr="000508B6" w:rsidRDefault="004F70CB"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cazul în care condițiile prevăzute la alin.</w:t>
      </w:r>
      <w:r w:rsidR="00CE1105" w:rsidRPr="000508B6">
        <w:rPr>
          <w:rFonts w:ascii="Times New Roman" w:hAnsi="Times New Roman" w:cs="Times New Roman"/>
          <w:lang w:val="ro-MD"/>
        </w:rPr>
        <w:t xml:space="preserve"> </w:t>
      </w:r>
      <w:r w:rsidRPr="000508B6">
        <w:rPr>
          <w:rFonts w:ascii="Times New Roman" w:hAnsi="Times New Roman" w:cs="Times New Roman"/>
          <w:lang w:val="ro-MD"/>
        </w:rPr>
        <w:t>(1) lit. a) nu sunt îndeplinite, Banca Națională a Moldovei</w:t>
      </w:r>
      <w:r w:rsidR="00886E2C" w:rsidRPr="000508B6">
        <w:rPr>
          <w:rFonts w:ascii="Times New Roman" w:hAnsi="Times New Roman" w:cs="Times New Roman"/>
          <w:lang w:val="ro-MD"/>
        </w:rPr>
        <w:t>, în calitate de supraveghetor coordonator</w:t>
      </w:r>
      <w:r w:rsidR="00D219C2" w:rsidRPr="000508B6">
        <w:rPr>
          <w:rFonts w:ascii="Times New Roman" w:hAnsi="Times New Roman" w:cs="Times New Roman"/>
          <w:lang w:val="ro-MD"/>
        </w:rPr>
        <w:t>,</w:t>
      </w:r>
      <w:r w:rsidRPr="000508B6">
        <w:rPr>
          <w:rFonts w:ascii="Times New Roman" w:hAnsi="Times New Roman" w:cs="Times New Roman"/>
          <w:lang w:val="ro-MD"/>
        </w:rPr>
        <w:t xml:space="preserve"> solicită holdingului de asigurare sau holdingu</w:t>
      </w:r>
      <w:r w:rsidR="00987639" w:rsidRPr="000508B6">
        <w:rPr>
          <w:rFonts w:ascii="Times New Roman" w:hAnsi="Times New Roman" w:cs="Times New Roman"/>
          <w:lang w:val="ro-MD"/>
        </w:rPr>
        <w:t>lui</w:t>
      </w:r>
      <w:r w:rsidRPr="000508B6">
        <w:rPr>
          <w:rFonts w:ascii="Times New Roman" w:hAnsi="Times New Roman" w:cs="Times New Roman"/>
          <w:lang w:val="ro-MD"/>
        </w:rPr>
        <w:t xml:space="preserve"> financiar mixt să modifice mecanismele interne și repartizarea atribuțiilor în interiorul grupului.</w:t>
      </w:r>
      <w:r w:rsidR="00973288" w:rsidRPr="000508B6">
        <w:rPr>
          <w:rFonts w:ascii="Times New Roman" w:hAnsi="Times New Roman" w:cs="Times New Roman"/>
          <w:lang w:val="ro-MD"/>
        </w:rPr>
        <w:t xml:space="preserve"> </w:t>
      </w:r>
    </w:p>
    <w:p w14:paraId="122D05C4" w14:textId="5543DE05" w:rsidR="00A54EA3" w:rsidRPr="000508B6" w:rsidRDefault="004F70CB"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 cazul în care condițiile stabilite la alin. (1) lit. b) nu sunt îndeplinite, holdingul de asigurare sau holdingul financiar mixt </w:t>
      </w:r>
      <w:r w:rsidR="00282D4C" w:rsidRPr="000508B6">
        <w:rPr>
          <w:rFonts w:ascii="Times New Roman" w:hAnsi="Times New Roman" w:cs="Times New Roman"/>
          <w:lang w:val="ro-MD"/>
        </w:rPr>
        <w:t>supravegheat de Banca Națională a Moldovei</w:t>
      </w:r>
      <w:r w:rsidR="00D219C2" w:rsidRPr="000508B6">
        <w:rPr>
          <w:rFonts w:ascii="Times New Roman" w:hAnsi="Times New Roman" w:cs="Times New Roman"/>
          <w:lang w:val="ro-MD"/>
        </w:rPr>
        <w:t>,</w:t>
      </w:r>
      <w:r w:rsidR="00282D4C" w:rsidRPr="000508B6">
        <w:rPr>
          <w:rFonts w:ascii="Times New Roman" w:hAnsi="Times New Roman" w:cs="Times New Roman"/>
          <w:lang w:val="ro-MD"/>
        </w:rPr>
        <w:t xml:space="preserve"> </w:t>
      </w:r>
      <w:r w:rsidR="00B70F28" w:rsidRPr="000508B6">
        <w:rPr>
          <w:rFonts w:ascii="Times New Roman" w:hAnsi="Times New Roman" w:cs="Times New Roman"/>
          <w:lang w:val="ro-MD"/>
        </w:rPr>
        <w:t>în calitate de supraveghetor coordonator</w:t>
      </w:r>
      <w:r w:rsidR="00D219C2" w:rsidRPr="000508B6">
        <w:rPr>
          <w:rFonts w:ascii="Times New Roman" w:hAnsi="Times New Roman" w:cs="Times New Roman"/>
          <w:lang w:val="ro-MD"/>
        </w:rPr>
        <w:t>,</w:t>
      </w:r>
      <w:r w:rsidR="00282D4C" w:rsidRPr="000508B6">
        <w:rPr>
          <w:rFonts w:ascii="Times New Roman" w:hAnsi="Times New Roman" w:cs="Times New Roman"/>
          <w:lang w:val="ro-MD"/>
        </w:rPr>
        <w:t xml:space="preserve"> </w:t>
      </w:r>
      <w:r w:rsidRPr="000508B6">
        <w:rPr>
          <w:rFonts w:ascii="Times New Roman" w:hAnsi="Times New Roman" w:cs="Times New Roman"/>
          <w:lang w:val="ro-MD"/>
        </w:rPr>
        <w:t xml:space="preserve">este supus unor măsuri de supraveghere adecvate pentru asigurarea sau restabilirea, după caz, a continuității și integrității supravegherii la nivel de grup și a respectării cerințelor stabilite în prezentul </w:t>
      </w:r>
      <w:r w:rsidR="00DA576C" w:rsidRPr="000508B6">
        <w:rPr>
          <w:rFonts w:ascii="Times New Roman" w:hAnsi="Times New Roman" w:cs="Times New Roman"/>
          <w:lang w:val="ro-MD"/>
        </w:rPr>
        <w:t>capitol</w:t>
      </w:r>
      <w:r w:rsidRPr="000508B6">
        <w:rPr>
          <w:rFonts w:ascii="Times New Roman" w:hAnsi="Times New Roman" w:cs="Times New Roman"/>
          <w:lang w:val="ro-MD"/>
        </w:rPr>
        <w:t xml:space="preserve">. </w:t>
      </w:r>
    </w:p>
    <w:p w14:paraId="1AE074A9" w14:textId="01A5D01B" w:rsidR="004F70CB" w:rsidRPr="000508B6" w:rsidRDefault="004F70CB"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 </w:t>
      </w:r>
      <w:r w:rsidR="00A54EA3" w:rsidRPr="000508B6">
        <w:rPr>
          <w:rFonts w:ascii="Times New Roman" w:hAnsi="Times New Roman" w:cs="Times New Roman"/>
          <w:lang w:val="ro-MD"/>
        </w:rPr>
        <w:t>sensul alin. (3)</w:t>
      </w:r>
      <w:r w:rsidRPr="000508B6">
        <w:rPr>
          <w:rFonts w:ascii="Times New Roman" w:hAnsi="Times New Roman" w:cs="Times New Roman"/>
          <w:lang w:val="ro-MD"/>
        </w:rPr>
        <w:t xml:space="preserve"> Banca Națională a Moldovei</w:t>
      </w:r>
      <w:r w:rsidR="00D219C2" w:rsidRPr="000508B6">
        <w:rPr>
          <w:rFonts w:ascii="Times New Roman" w:hAnsi="Times New Roman" w:cs="Times New Roman"/>
          <w:lang w:val="ro-MD"/>
        </w:rPr>
        <w:t>,</w:t>
      </w:r>
      <w:r w:rsidR="00B70F28" w:rsidRPr="000508B6">
        <w:rPr>
          <w:rFonts w:ascii="Times New Roman" w:hAnsi="Times New Roman" w:cs="Times New Roman"/>
          <w:lang w:val="ro-MD"/>
        </w:rPr>
        <w:t xml:space="preserve"> în calitate de supraveghetor coordonator</w:t>
      </w:r>
      <w:r w:rsidR="00A54EA3" w:rsidRPr="000508B6">
        <w:rPr>
          <w:rFonts w:ascii="Times New Roman" w:hAnsi="Times New Roman" w:cs="Times New Roman"/>
          <w:lang w:val="ro-MD"/>
        </w:rPr>
        <w:t>,</w:t>
      </w:r>
      <w:r w:rsidRPr="000508B6">
        <w:rPr>
          <w:rFonts w:ascii="Times New Roman" w:hAnsi="Times New Roman" w:cs="Times New Roman"/>
          <w:lang w:val="ro-MD"/>
        </w:rPr>
        <w:t xml:space="preserve"> impune holdingului de asigurare sau holdingului financiar mixt </w:t>
      </w:r>
      <w:r w:rsidR="00282D4C" w:rsidRPr="000508B6">
        <w:rPr>
          <w:rFonts w:ascii="Times New Roman" w:hAnsi="Times New Roman" w:cs="Times New Roman"/>
          <w:lang w:val="ro-MD"/>
        </w:rPr>
        <w:t xml:space="preserve">supravegheat </w:t>
      </w:r>
      <w:r w:rsidRPr="000508B6">
        <w:rPr>
          <w:rFonts w:ascii="Times New Roman" w:hAnsi="Times New Roman" w:cs="Times New Roman"/>
          <w:lang w:val="ro-MD"/>
        </w:rPr>
        <w:t xml:space="preserve">să structureze grupul într-un mod care să îi permită </w:t>
      </w:r>
      <w:r w:rsidR="006A476B" w:rsidRPr="000508B6">
        <w:rPr>
          <w:rFonts w:ascii="Times New Roman" w:hAnsi="Times New Roman" w:cs="Times New Roman"/>
          <w:lang w:val="ro-MD"/>
        </w:rPr>
        <w:t xml:space="preserve">acesteia </w:t>
      </w:r>
      <w:r w:rsidRPr="000508B6">
        <w:rPr>
          <w:rFonts w:ascii="Times New Roman" w:hAnsi="Times New Roman" w:cs="Times New Roman"/>
          <w:lang w:val="ro-MD"/>
        </w:rPr>
        <w:t xml:space="preserve">să exercite cu eficacitate supravegherea la nivel de grup, iar exercitarea competenței în cauză are loc numai în circumstanțe excepționale, după consultarea EIOPA și, după caz, a altor </w:t>
      </w:r>
      <w:r w:rsidR="00304D81" w:rsidRPr="000508B6">
        <w:rPr>
          <w:rFonts w:ascii="Times New Roman" w:hAnsi="Times New Roman" w:cs="Times New Roman"/>
          <w:lang w:val="ro-MD"/>
        </w:rPr>
        <w:t>supraveghetori implicați</w:t>
      </w:r>
      <w:r w:rsidRPr="000508B6">
        <w:rPr>
          <w:rFonts w:ascii="Times New Roman" w:hAnsi="Times New Roman" w:cs="Times New Roman"/>
          <w:lang w:val="ro-MD"/>
        </w:rPr>
        <w:t xml:space="preserve"> și pun la dispoziția holdingului de asigurare sau a holdingului financiar mixt o </w:t>
      </w:r>
      <w:r w:rsidR="00B70F28" w:rsidRPr="000508B6">
        <w:rPr>
          <w:rFonts w:ascii="Times New Roman" w:hAnsi="Times New Roman" w:cs="Times New Roman"/>
          <w:lang w:val="ro-MD"/>
        </w:rPr>
        <w:t xml:space="preserve">decizie motivată </w:t>
      </w:r>
      <w:r w:rsidRPr="000508B6">
        <w:rPr>
          <w:rFonts w:ascii="Times New Roman" w:hAnsi="Times New Roman" w:cs="Times New Roman"/>
          <w:lang w:val="ro-MD"/>
        </w:rPr>
        <w:t>în acest sens.</w:t>
      </w:r>
      <w:r w:rsidR="00973288" w:rsidRPr="000508B6">
        <w:rPr>
          <w:rFonts w:ascii="Times New Roman" w:hAnsi="Times New Roman" w:cs="Times New Roman"/>
          <w:lang w:val="ro-MD"/>
        </w:rPr>
        <w:t xml:space="preserve"> </w:t>
      </w:r>
    </w:p>
    <w:p w14:paraId="672F7B2F" w14:textId="2C2EEC8A" w:rsidR="006E6A25" w:rsidRPr="000508B6" w:rsidRDefault="005115E5"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 </w:t>
      </w:r>
      <w:r w:rsidR="00F31DCC" w:rsidRPr="000508B6">
        <w:rPr>
          <w:rFonts w:ascii="Times New Roman" w:hAnsi="Times New Roman" w:cs="Times New Roman"/>
          <w:lang w:val="ro-MD"/>
        </w:rPr>
        <w:t>În cazurile menționate la art.</w:t>
      </w:r>
      <w:r w:rsidR="00CE1105" w:rsidRPr="000508B6">
        <w:rPr>
          <w:rFonts w:ascii="Times New Roman" w:hAnsi="Times New Roman" w:cs="Times New Roman"/>
          <w:lang w:val="ro-MD"/>
        </w:rPr>
        <w:t xml:space="preserve"> </w:t>
      </w:r>
      <w:r w:rsidR="0053319E" w:rsidRPr="000508B6">
        <w:rPr>
          <w:rFonts w:ascii="Times New Roman" w:hAnsi="Times New Roman" w:cs="Times New Roman"/>
          <w:lang w:val="ro-MD"/>
        </w:rPr>
        <w:t>116</w:t>
      </w:r>
      <w:r w:rsidR="00F31DCC" w:rsidRPr="000508B6">
        <w:rPr>
          <w:rFonts w:ascii="Times New Roman" w:hAnsi="Times New Roman" w:cs="Times New Roman"/>
          <w:lang w:val="ro-MD"/>
        </w:rPr>
        <w:t xml:space="preserve"> alin. (</w:t>
      </w:r>
      <w:r w:rsidR="00B70F28" w:rsidRPr="000508B6">
        <w:rPr>
          <w:rFonts w:ascii="Times New Roman" w:hAnsi="Times New Roman" w:cs="Times New Roman"/>
          <w:lang w:val="ro-MD"/>
        </w:rPr>
        <w:t>3</w:t>
      </w:r>
      <w:r w:rsidR="00F31DCC" w:rsidRPr="000508B6">
        <w:rPr>
          <w:rFonts w:ascii="Times New Roman" w:hAnsi="Times New Roman" w:cs="Times New Roman"/>
          <w:lang w:val="ro-MD"/>
        </w:rPr>
        <w:t xml:space="preserve">) </w:t>
      </w:r>
      <w:r w:rsidR="00CE1105" w:rsidRPr="000508B6">
        <w:rPr>
          <w:rFonts w:ascii="Times New Roman" w:hAnsi="Times New Roman" w:cs="Times New Roman"/>
          <w:lang w:val="ro-MD"/>
        </w:rPr>
        <w:t>lit. a)</w:t>
      </w:r>
      <w:r w:rsidR="00F31DCC" w:rsidRPr="000508B6">
        <w:rPr>
          <w:rFonts w:ascii="Times New Roman" w:hAnsi="Times New Roman" w:cs="Times New Roman"/>
          <w:lang w:val="ro-MD"/>
        </w:rPr>
        <w:t xml:space="preserve"> și b), dacă un grup </w:t>
      </w:r>
      <w:r w:rsidR="00B70F28" w:rsidRPr="000508B6">
        <w:rPr>
          <w:rFonts w:ascii="Times New Roman" w:hAnsi="Times New Roman" w:cs="Times New Roman"/>
          <w:lang w:val="ro-MD"/>
        </w:rPr>
        <w:t xml:space="preserve">format din entități legate între ele printr-o relație în înțelesul </w:t>
      </w:r>
      <w:r w:rsidR="00C67265" w:rsidRPr="000508B6">
        <w:rPr>
          <w:rFonts w:ascii="Times New Roman" w:hAnsi="Times New Roman" w:cs="Times New Roman"/>
          <w:lang w:val="ro-MD"/>
        </w:rPr>
        <w:t>Legii nr.</w:t>
      </w:r>
      <w:r w:rsidR="0039026F" w:rsidRPr="000508B6">
        <w:rPr>
          <w:rFonts w:ascii="Times New Roman" w:hAnsi="Times New Roman" w:cs="Times New Roman"/>
          <w:lang w:val="ro-MD"/>
        </w:rPr>
        <w:t xml:space="preserve"> </w:t>
      </w:r>
      <w:r w:rsidR="00C67265" w:rsidRPr="000508B6">
        <w:rPr>
          <w:rFonts w:ascii="Times New Roman" w:hAnsi="Times New Roman" w:cs="Times New Roman"/>
          <w:lang w:val="ro-MD"/>
        </w:rPr>
        <w:t>287/2017</w:t>
      </w:r>
      <w:r w:rsidR="00327FA6" w:rsidRPr="000508B6">
        <w:rPr>
          <w:rFonts w:ascii="Times New Roman" w:hAnsi="Times New Roman" w:cs="Times New Roman"/>
          <w:lang w:val="ro-MD"/>
        </w:rPr>
        <w:t xml:space="preserve"> </w:t>
      </w:r>
      <w:r w:rsidR="00B70F28" w:rsidRPr="000508B6">
        <w:rPr>
          <w:rFonts w:ascii="Times New Roman" w:hAnsi="Times New Roman" w:cs="Times New Roman"/>
          <w:lang w:val="ro-MD"/>
        </w:rPr>
        <w:t>și din entitățile lor afiliate sau unui grup identificat în temeiul art. 116 alin</w:t>
      </w:r>
      <w:r w:rsidR="00B31B21" w:rsidRPr="000508B6">
        <w:rPr>
          <w:rFonts w:ascii="Times New Roman" w:hAnsi="Times New Roman" w:cs="Times New Roman"/>
          <w:lang w:val="ro-MD"/>
        </w:rPr>
        <w:t>.</w:t>
      </w:r>
      <w:r w:rsidR="00CE1105" w:rsidRPr="000508B6">
        <w:rPr>
          <w:rFonts w:ascii="Times New Roman" w:hAnsi="Times New Roman" w:cs="Times New Roman"/>
          <w:lang w:val="ro-MD"/>
        </w:rPr>
        <w:t xml:space="preserve"> </w:t>
      </w:r>
      <w:r w:rsidR="00B31B21" w:rsidRPr="000508B6">
        <w:rPr>
          <w:rFonts w:ascii="Times New Roman" w:hAnsi="Times New Roman" w:cs="Times New Roman"/>
          <w:lang w:val="ro-MD"/>
        </w:rPr>
        <w:t>(4) lit.</w:t>
      </w:r>
      <w:r w:rsidR="00607CD3" w:rsidRPr="000508B6">
        <w:rPr>
          <w:rFonts w:ascii="Times New Roman" w:hAnsi="Times New Roman" w:cs="Times New Roman"/>
          <w:lang w:val="ro-MD"/>
        </w:rPr>
        <w:t xml:space="preserve"> </w:t>
      </w:r>
      <w:r w:rsidR="00B31B21" w:rsidRPr="000508B6">
        <w:rPr>
          <w:rFonts w:ascii="Times New Roman" w:hAnsi="Times New Roman" w:cs="Times New Roman"/>
          <w:lang w:val="ro-MD"/>
        </w:rPr>
        <w:t>b) și alin.(5)</w:t>
      </w:r>
      <w:r w:rsidR="00B70F28" w:rsidRPr="000508B6">
        <w:rPr>
          <w:rFonts w:ascii="Times New Roman" w:hAnsi="Times New Roman" w:cs="Times New Roman"/>
          <w:lang w:val="ro-MD"/>
        </w:rPr>
        <w:t xml:space="preserve"> </w:t>
      </w:r>
      <w:r w:rsidR="006E6A25" w:rsidRPr="000508B6">
        <w:rPr>
          <w:rFonts w:ascii="Times New Roman" w:hAnsi="Times New Roman" w:cs="Times New Roman"/>
          <w:lang w:val="ro-MD"/>
        </w:rPr>
        <w:t>are organizarea structurală de natură să obstrucționeze sau să împiedice supravegherea eficace a acestuia sau împiedică grupul respectiv să respecte prezentul capitol, Banca Națională a Moldovei impune acestuia prin decizie motivată, măsuri de supraveghere adecvate pentru asigurarea sau restabilirea, după caz, a continuității și a integrității supravegherii la nivel de grup și a respectării prezentului capitol</w:t>
      </w:r>
      <w:r w:rsidR="00F31DCC" w:rsidRPr="000508B6">
        <w:rPr>
          <w:rFonts w:ascii="Times New Roman" w:hAnsi="Times New Roman" w:cs="Times New Roman"/>
          <w:lang w:val="ro-MD"/>
        </w:rPr>
        <w:t>.</w:t>
      </w:r>
      <w:r w:rsidR="005B3B2A" w:rsidRPr="000508B6">
        <w:rPr>
          <w:rFonts w:ascii="Times New Roman" w:hAnsi="Times New Roman" w:cs="Times New Roman"/>
          <w:lang w:val="ro-MD"/>
        </w:rPr>
        <w:t xml:space="preserve"> </w:t>
      </w:r>
    </w:p>
    <w:p w14:paraId="1247A0C4" w14:textId="384B5162" w:rsidR="00AC0A1A" w:rsidRPr="000508B6" w:rsidRDefault="001B5AAA"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 sensul alin. (5) </w:t>
      </w:r>
      <w:r w:rsidR="00F31DCC" w:rsidRPr="000508B6">
        <w:rPr>
          <w:rFonts w:ascii="Times New Roman" w:hAnsi="Times New Roman" w:cs="Times New Roman"/>
          <w:lang w:val="ro-MD"/>
        </w:rPr>
        <w:t>Banca Națională a Moldovei</w:t>
      </w:r>
      <w:r w:rsidR="006E6A25" w:rsidRPr="000508B6">
        <w:rPr>
          <w:rFonts w:ascii="Times New Roman" w:hAnsi="Times New Roman" w:cs="Times New Roman"/>
          <w:lang w:val="ro-MD"/>
        </w:rPr>
        <w:t>, în calitate de supraveghetor coordonator,</w:t>
      </w:r>
      <w:r w:rsidR="00F31DCC" w:rsidRPr="000508B6">
        <w:rPr>
          <w:rFonts w:ascii="Times New Roman" w:hAnsi="Times New Roman" w:cs="Times New Roman"/>
          <w:lang w:val="ro-MD"/>
        </w:rPr>
        <w:t xml:space="preserve"> impune</w:t>
      </w:r>
      <w:r w:rsidR="006E6A25" w:rsidRPr="000508B6">
        <w:rPr>
          <w:rFonts w:ascii="Times New Roman" w:hAnsi="Times New Roman" w:cs="Times New Roman"/>
          <w:lang w:val="ro-MD"/>
        </w:rPr>
        <w:t>,</w:t>
      </w:r>
      <w:r w:rsidR="00F31DCC" w:rsidRPr="000508B6">
        <w:rPr>
          <w:rFonts w:ascii="Times New Roman" w:hAnsi="Times New Roman" w:cs="Times New Roman"/>
          <w:lang w:val="ro-MD"/>
        </w:rPr>
        <w:t xml:space="preserve"> </w:t>
      </w:r>
      <w:r w:rsidR="006E6A25" w:rsidRPr="000508B6">
        <w:rPr>
          <w:rFonts w:ascii="Times New Roman" w:hAnsi="Times New Roman" w:cs="Times New Roman"/>
          <w:lang w:val="ro-MD"/>
        </w:rPr>
        <w:t xml:space="preserve">prin decizie motivată, </w:t>
      </w:r>
      <w:r w:rsidR="00F31DCC" w:rsidRPr="000508B6">
        <w:rPr>
          <w:rFonts w:ascii="Times New Roman" w:hAnsi="Times New Roman" w:cs="Times New Roman"/>
          <w:lang w:val="ro-MD"/>
        </w:rPr>
        <w:t xml:space="preserve">înființarea unui holding de asigurare sau a unui holding financiar mixt cu sediul central în </w:t>
      </w:r>
      <w:r w:rsidR="00136A35" w:rsidRPr="000508B6">
        <w:rPr>
          <w:rFonts w:ascii="Times New Roman" w:hAnsi="Times New Roman" w:cs="Times New Roman"/>
          <w:lang w:val="ro-MD"/>
        </w:rPr>
        <w:t>Republica Moldova</w:t>
      </w:r>
      <w:r w:rsidR="00F31DCC" w:rsidRPr="000508B6">
        <w:rPr>
          <w:rFonts w:ascii="Times New Roman" w:hAnsi="Times New Roman" w:cs="Times New Roman"/>
          <w:lang w:val="ro-MD"/>
        </w:rPr>
        <w:t xml:space="preserve"> în </w:t>
      </w:r>
      <w:r w:rsidR="006E6A25" w:rsidRPr="000508B6">
        <w:rPr>
          <w:rFonts w:ascii="Times New Roman" w:hAnsi="Times New Roman" w:cs="Times New Roman"/>
          <w:lang w:val="ro-MD"/>
        </w:rPr>
        <w:t xml:space="preserve">statele membre </w:t>
      </w:r>
      <w:r w:rsidR="00F31DCC" w:rsidRPr="000508B6">
        <w:rPr>
          <w:rFonts w:ascii="Times New Roman" w:hAnsi="Times New Roman" w:cs="Times New Roman"/>
          <w:lang w:val="ro-MD"/>
        </w:rPr>
        <w:t xml:space="preserve">sau </w:t>
      </w:r>
      <w:r w:rsidR="006E6A25" w:rsidRPr="000508B6">
        <w:rPr>
          <w:rFonts w:ascii="Times New Roman" w:hAnsi="Times New Roman" w:cs="Times New Roman"/>
          <w:lang w:val="ro-MD"/>
        </w:rPr>
        <w:t xml:space="preserve">înființarea </w:t>
      </w:r>
      <w:r w:rsidR="00136A35" w:rsidRPr="000508B6">
        <w:rPr>
          <w:rFonts w:ascii="Times New Roman" w:hAnsi="Times New Roman" w:cs="Times New Roman"/>
          <w:lang w:val="ro-MD"/>
        </w:rPr>
        <w:t>în Republica Moldova sau</w:t>
      </w:r>
      <w:r w:rsidR="006E6A25" w:rsidRPr="000508B6">
        <w:rPr>
          <w:rFonts w:ascii="Times New Roman" w:hAnsi="Times New Roman" w:cs="Times New Roman"/>
          <w:lang w:val="ro-MD"/>
        </w:rPr>
        <w:t xml:space="preserve"> </w:t>
      </w:r>
      <w:proofErr w:type="spellStart"/>
      <w:r w:rsidR="00B21B31" w:rsidRPr="000508B6">
        <w:rPr>
          <w:rFonts w:ascii="Times New Roman" w:hAnsi="Times New Roman" w:cs="Times New Roman"/>
          <w:lang w:val="ro-MD"/>
        </w:rPr>
        <w:t>într</w:t>
      </w:r>
      <w:proofErr w:type="spellEnd"/>
      <w:r w:rsidR="00B21B31" w:rsidRPr="000508B6">
        <w:rPr>
          <w:rFonts w:ascii="Times New Roman" w:hAnsi="Times New Roman" w:cs="Times New Roman"/>
          <w:lang w:val="ro-MD"/>
        </w:rPr>
        <w:t>-unul din statele membre</w:t>
      </w:r>
      <w:r w:rsidR="00F31DCC" w:rsidRPr="000508B6">
        <w:rPr>
          <w:rFonts w:ascii="Times New Roman" w:hAnsi="Times New Roman" w:cs="Times New Roman"/>
          <w:lang w:val="ro-MD"/>
        </w:rPr>
        <w:t xml:space="preserve"> a unei </w:t>
      </w:r>
      <w:r w:rsidR="00B21B31" w:rsidRPr="000508B6">
        <w:rPr>
          <w:rFonts w:ascii="Times New Roman" w:hAnsi="Times New Roman" w:cs="Times New Roman"/>
          <w:lang w:val="ro-MD"/>
        </w:rPr>
        <w:t>entități</w:t>
      </w:r>
      <w:r w:rsidR="004F4CB0" w:rsidRPr="000508B6">
        <w:rPr>
          <w:rFonts w:ascii="Times New Roman" w:hAnsi="Times New Roman" w:cs="Times New Roman"/>
          <w:lang w:val="ro-MD"/>
        </w:rPr>
        <w:t xml:space="preserve"> </w:t>
      </w:r>
      <w:r w:rsidR="00F31DCC" w:rsidRPr="000508B6">
        <w:rPr>
          <w:rFonts w:ascii="Times New Roman" w:hAnsi="Times New Roman" w:cs="Times New Roman"/>
          <w:lang w:val="ro-MD"/>
        </w:rPr>
        <w:t xml:space="preserve">care </w:t>
      </w:r>
      <w:r w:rsidR="00B21B31" w:rsidRPr="000508B6">
        <w:rPr>
          <w:rFonts w:ascii="Times New Roman" w:hAnsi="Times New Roman" w:cs="Times New Roman"/>
          <w:lang w:val="ro-MD"/>
        </w:rPr>
        <w:t xml:space="preserve">are responsabilitate pentru respectarea prezentului capitol și care </w:t>
      </w:r>
      <w:r w:rsidR="00F31DCC" w:rsidRPr="000508B6">
        <w:rPr>
          <w:rFonts w:ascii="Times New Roman" w:hAnsi="Times New Roman" w:cs="Times New Roman"/>
          <w:lang w:val="ro-MD"/>
        </w:rPr>
        <w:t>exercit</w:t>
      </w:r>
      <w:r w:rsidR="00B21B31" w:rsidRPr="000508B6">
        <w:rPr>
          <w:rFonts w:ascii="Times New Roman" w:hAnsi="Times New Roman" w:cs="Times New Roman"/>
          <w:lang w:val="ro-MD"/>
        </w:rPr>
        <w:t>ă</w:t>
      </w:r>
      <w:r w:rsidR="00F31DCC" w:rsidRPr="000508B6">
        <w:rPr>
          <w:rFonts w:ascii="Times New Roman" w:hAnsi="Times New Roman" w:cs="Times New Roman"/>
          <w:lang w:val="ro-MD"/>
        </w:rPr>
        <w:t xml:space="preserve"> efectiv, prin coordonare centralizată, o influență dominantă asupra deciziilor, inclusiv financiare, ale </w:t>
      </w:r>
      <w:r w:rsidR="00460DBC" w:rsidRPr="000508B6">
        <w:rPr>
          <w:rFonts w:ascii="Times New Roman" w:hAnsi="Times New Roman" w:cs="Times New Roman"/>
          <w:lang w:val="ro-MD"/>
        </w:rPr>
        <w:t xml:space="preserve">asigurătorilor sau </w:t>
      </w:r>
      <w:proofErr w:type="spellStart"/>
      <w:r w:rsidR="00460DBC" w:rsidRPr="000508B6">
        <w:rPr>
          <w:rFonts w:ascii="Times New Roman" w:hAnsi="Times New Roman" w:cs="Times New Roman"/>
          <w:lang w:val="ro-MD"/>
        </w:rPr>
        <w:t>reasigurătorilor</w:t>
      </w:r>
      <w:proofErr w:type="spellEnd"/>
      <w:r w:rsidR="00460DBC" w:rsidRPr="000508B6">
        <w:rPr>
          <w:rFonts w:ascii="Times New Roman" w:hAnsi="Times New Roman" w:cs="Times New Roman"/>
          <w:lang w:val="ro-MD"/>
        </w:rPr>
        <w:t xml:space="preserve"> </w:t>
      </w:r>
      <w:r w:rsidR="00F31DCC" w:rsidRPr="000508B6">
        <w:rPr>
          <w:rFonts w:ascii="Times New Roman" w:hAnsi="Times New Roman" w:cs="Times New Roman"/>
          <w:lang w:val="ro-MD"/>
        </w:rPr>
        <w:t>care fac parte din grup.</w:t>
      </w:r>
      <w:r w:rsidR="00973288" w:rsidRPr="000508B6">
        <w:rPr>
          <w:rFonts w:ascii="Times New Roman" w:hAnsi="Times New Roman" w:cs="Times New Roman"/>
          <w:lang w:val="ro-MD"/>
        </w:rPr>
        <w:t xml:space="preserve"> </w:t>
      </w:r>
    </w:p>
    <w:p w14:paraId="65A88BB2" w14:textId="73EC1DF4" w:rsidR="00C42953" w:rsidRPr="000508B6" w:rsidRDefault="00C42953"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a decis că nu sunt sau nu mai sunt îndeplinite condițiile prevăzute la alin. (1), holdingul de asigurare sau holdingul financiar mixt este supus măsurilor de supraveghere prevăzute la alin. (2) și (3), iar în cazul unui holding financiar mixt, măsurile de supraveghere țin seama, în special, de efectele asupra conglomeratului financiar în ansamblu, precum și asupra </w:t>
      </w:r>
      <w:r w:rsidR="004610B7" w:rsidRPr="000508B6">
        <w:rPr>
          <w:rFonts w:ascii="Times New Roman" w:hAnsi="Times New Roman" w:cs="Times New Roman"/>
          <w:lang w:val="ro-MD"/>
        </w:rPr>
        <w:t xml:space="preserve">entităților </w:t>
      </w:r>
      <w:r w:rsidRPr="000508B6">
        <w:rPr>
          <w:rFonts w:ascii="Times New Roman" w:hAnsi="Times New Roman" w:cs="Times New Roman"/>
          <w:lang w:val="ro-MD"/>
        </w:rPr>
        <w:t xml:space="preserve">afiliate ale acestuia. </w:t>
      </w:r>
    </w:p>
    <w:p w14:paraId="0FA79F66" w14:textId="1EC8956B" w:rsidR="00C42953" w:rsidRPr="000508B6" w:rsidRDefault="00CB0050" w:rsidP="00574631">
      <w:pPr>
        <w:pStyle w:val="Listparagraf"/>
        <w:numPr>
          <w:ilvl w:val="1"/>
          <w:numId w:val="316"/>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eastAsia="Calibri" w:hAnsi="Times New Roman" w:cs="Times New Roman"/>
          <w:lang w:val="ro-MD"/>
        </w:rPr>
        <w:t>În sensul alin. (7), art. 193 alin. (25)-(28) și art. 194 alin. (13) -(16), măsurile de supraveghere care pot fi aplicate holdingurilor de asigurare și holdingurilor financiare mixte de către Banca Națională a Moldovei includ cel puțin următoarele</w:t>
      </w:r>
      <w:r w:rsidR="00C42953" w:rsidRPr="000508B6">
        <w:rPr>
          <w:rFonts w:ascii="Times New Roman" w:hAnsi="Times New Roman" w:cs="Times New Roman"/>
          <w:lang w:val="ro-MD"/>
        </w:rPr>
        <w:t>:</w:t>
      </w:r>
    </w:p>
    <w:p w14:paraId="2C9AB591" w14:textId="56D69E84" w:rsidR="00C42953" w:rsidRPr="000508B6" w:rsidRDefault="00C42953" w:rsidP="00574631">
      <w:pPr>
        <w:pStyle w:val="Listparagraf"/>
        <w:numPr>
          <w:ilvl w:val="0"/>
          <w:numId w:val="324"/>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suspendarea exercitării drepturilor de vot aferente acțiunilor filialei </w:t>
      </w:r>
      <w:r w:rsidR="004C2B89" w:rsidRPr="000508B6">
        <w:rPr>
          <w:rFonts w:ascii="Times New Roman" w:hAnsi="Times New Roman" w:cs="Times New Roman"/>
          <w:lang w:val="ro-MD"/>
        </w:rPr>
        <w:t xml:space="preserve">de asigurare sau de reasigurare </w:t>
      </w:r>
      <w:r w:rsidRPr="000508B6">
        <w:rPr>
          <w:rFonts w:ascii="Times New Roman" w:hAnsi="Times New Roman" w:cs="Times New Roman"/>
          <w:lang w:val="ro-MD"/>
        </w:rPr>
        <w:t>deținute de holdingul de asigurare sau de holdingul financiar mixt;</w:t>
      </w:r>
    </w:p>
    <w:p w14:paraId="46344747" w14:textId="1EE69389" w:rsidR="00C42953" w:rsidRPr="000508B6" w:rsidRDefault="00C42953" w:rsidP="00574631">
      <w:pPr>
        <w:pStyle w:val="Listparagraf"/>
        <w:numPr>
          <w:ilvl w:val="0"/>
          <w:numId w:val="324"/>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aplicarea de sancțiuni </w:t>
      </w:r>
      <w:r w:rsidR="00B21B31" w:rsidRPr="000508B6">
        <w:rPr>
          <w:rFonts w:ascii="Times New Roman" w:hAnsi="Times New Roman" w:cs="Times New Roman"/>
          <w:lang w:val="ro-MD"/>
        </w:rPr>
        <w:t>potrivit art.</w:t>
      </w:r>
      <w:r w:rsidR="00F9341B" w:rsidRPr="000508B6">
        <w:rPr>
          <w:rFonts w:ascii="Times New Roman" w:hAnsi="Times New Roman" w:cs="Times New Roman"/>
          <w:lang w:val="ro-MD"/>
        </w:rPr>
        <w:t xml:space="preserve"> </w:t>
      </w:r>
      <w:r w:rsidR="006F0C26" w:rsidRPr="000508B6">
        <w:rPr>
          <w:rFonts w:ascii="Times New Roman" w:hAnsi="Times New Roman" w:cs="Times New Roman"/>
          <w:lang w:val="ro-MD"/>
        </w:rPr>
        <w:t xml:space="preserve">198 </w:t>
      </w:r>
      <w:r w:rsidRPr="000508B6">
        <w:rPr>
          <w:rFonts w:ascii="Times New Roman" w:hAnsi="Times New Roman" w:cs="Times New Roman"/>
          <w:lang w:val="ro-MD"/>
        </w:rPr>
        <w:t xml:space="preserve">împotriva holdingului de asigurare, a holdingului financiar mixt sau persoanelor care conduc efectiv </w:t>
      </w:r>
      <w:r w:rsidR="004610B7" w:rsidRPr="000508B6">
        <w:rPr>
          <w:rFonts w:ascii="Times New Roman" w:hAnsi="Times New Roman" w:cs="Times New Roman"/>
          <w:lang w:val="ro-MD"/>
        </w:rPr>
        <w:t xml:space="preserve">entitățile </w:t>
      </w:r>
      <w:r w:rsidRPr="000508B6">
        <w:rPr>
          <w:rFonts w:ascii="Times New Roman" w:hAnsi="Times New Roman" w:cs="Times New Roman"/>
          <w:lang w:val="ro-MD"/>
        </w:rPr>
        <w:t>respective;</w:t>
      </w:r>
    </w:p>
    <w:p w14:paraId="5E9F5332" w14:textId="1F075735" w:rsidR="00C42953" w:rsidRPr="000508B6" w:rsidRDefault="009971F0" w:rsidP="00574631">
      <w:pPr>
        <w:pStyle w:val="Listparagraf"/>
        <w:numPr>
          <w:ilvl w:val="0"/>
          <w:numId w:val="324"/>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emiterea unor recomandări către </w:t>
      </w:r>
      <w:r w:rsidR="00C42953" w:rsidRPr="000508B6">
        <w:rPr>
          <w:rFonts w:ascii="Times New Roman" w:hAnsi="Times New Roman" w:cs="Times New Roman"/>
          <w:lang w:val="ro-MD"/>
        </w:rPr>
        <w:t xml:space="preserve">holdingul de asigurare sau a holdingului financiar mixt de a transfera acționarilor </w:t>
      </w:r>
      <w:r w:rsidRPr="000508B6">
        <w:rPr>
          <w:rFonts w:ascii="Times New Roman" w:hAnsi="Times New Roman" w:cs="Times New Roman"/>
          <w:lang w:val="ro-MD"/>
        </w:rPr>
        <w:t xml:space="preserve">proprii </w:t>
      </w:r>
      <w:r w:rsidR="00C42953" w:rsidRPr="000508B6">
        <w:rPr>
          <w:rFonts w:ascii="Times New Roman" w:hAnsi="Times New Roman" w:cs="Times New Roman"/>
          <w:lang w:val="ro-MD"/>
        </w:rPr>
        <w:t xml:space="preserve">participațiile </w:t>
      </w:r>
      <w:r w:rsidR="00061812" w:rsidRPr="000508B6">
        <w:rPr>
          <w:rFonts w:ascii="Times New Roman" w:hAnsi="Times New Roman" w:cs="Times New Roman"/>
          <w:lang w:val="ro-MD"/>
        </w:rPr>
        <w:t>deținute</w:t>
      </w:r>
      <w:r w:rsidRPr="000508B6">
        <w:rPr>
          <w:rFonts w:ascii="Times New Roman" w:hAnsi="Times New Roman" w:cs="Times New Roman"/>
          <w:lang w:val="ro-MD"/>
        </w:rPr>
        <w:t xml:space="preserve"> </w:t>
      </w:r>
      <w:r w:rsidR="00C42953" w:rsidRPr="000508B6">
        <w:rPr>
          <w:rFonts w:ascii="Times New Roman" w:hAnsi="Times New Roman" w:cs="Times New Roman"/>
          <w:lang w:val="ro-MD"/>
        </w:rPr>
        <w:t>în filialele sale</w:t>
      </w:r>
      <w:r w:rsidRPr="000508B6">
        <w:rPr>
          <w:rFonts w:ascii="Times New Roman" w:hAnsi="Times New Roman" w:cs="Times New Roman"/>
          <w:lang w:val="ro-MD"/>
        </w:rPr>
        <w:t xml:space="preserve"> de asigurare sau de reasigurare</w:t>
      </w:r>
      <w:r w:rsidR="00C42953" w:rsidRPr="000508B6">
        <w:rPr>
          <w:rFonts w:ascii="Times New Roman" w:hAnsi="Times New Roman" w:cs="Times New Roman"/>
          <w:lang w:val="ro-MD"/>
        </w:rPr>
        <w:t>;</w:t>
      </w:r>
    </w:p>
    <w:p w14:paraId="21478E4A" w14:textId="2318D82E" w:rsidR="00C42953" w:rsidRPr="000508B6" w:rsidRDefault="00C42953" w:rsidP="00574631">
      <w:pPr>
        <w:pStyle w:val="Listparagraf"/>
        <w:numPr>
          <w:ilvl w:val="0"/>
          <w:numId w:val="324"/>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desemnarea temporară a altui holding de asigurare, a altui holding financiar mixt sau a </w:t>
      </w:r>
      <w:r w:rsidR="004610B7" w:rsidRPr="000508B6">
        <w:rPr>
          <w:rFonts w:ascii="Times New Roman" w:hAnsi="Times New Roman" w:cs="Times New Roman"/>
          <w:lang w:val="ro-MD"/>
        </w:rPr>
        <w:t xml:space="preserve">altui asigurător sau </w:t>
      </w:r>
      <w:proofErr w:type="spellStart"/>
      <w:r w:rsidR="004610B7"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din cadrul grupului responsabil</w:t>
      </w:r>
      <w:r w:rsidR="004610B7" w:rsidRPr="000508B6">
        <w:rPr>
          <w:rFonts w:ascii="Times New Roman" w:hAnsi="Times New Roman" w:cs="Times New Roman"/>
          <w:lang w:val="ro-MD"/>
        </w:rPr>
        <w:t>,</w:t>
      </w:r>
      <w:r w:rsidRPr="000508B6">
        <w:rPr>
          <w:rFonts w:ascii="Times New Roman" w:hAnsi="Times New Roman" w:cs="Times New Roman"/>
          <w:lang w:val="ro-MD"/>
        </w:rPr>
        <w:t xml:space="preserve"> pentru asigurarea respectării cerințelor prevăzute în prezentul capitol;</w:t>
      </w:r>
    </w:p>
    <w:p w14:paraId="512A80A7" w14:textId="12A341B0" w:rsidR="00C42953" w:rsidRPr="000508B6" w:rsidRDefault="00C42953" w:rsidP="00574631">
      <w:pPr>
        <w:pStyle w:val="Listparagraf"/>
        <w:numPr>
          <w:ilvl w:val="0"/>
          <w:numId w:val="324"/>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restricționarea sau interzicerea plății dividendelor către acționari;</w:t>
      </w:r>
    </w:p>
    <w:p w14:paraId="6696635A" w14:textId="349C0E13" w:rsidR="00C42953" w:rsidRPr="000508B6" w:rsidRDefault="00C42953" w:rsidP="00574631">
      <w:pPr>
        <w:pStyle w:val="Listparagraf"/>
        <w:numPr>
          <w:ilvl w:val="0"/>
          <w:numId w:val="324"/>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obligarea holdingurilor de asigurare sau a holdingurilor financiare mixte să cesioneze sau să își reducă participațiile în </w:t>
      </w:r>
      <w:r w:rsidR="004978C9" w:rsidRPr="000508B6">
        <w:rPr>
          <w:rFonts w:ascii="Times New Roman" w:hAnsi="Times New Roman" w:cs="Times New Roman"/>
          <w:lang w:val="ro-MD"/>
        </w:rPr>
        <w:t xml:space="preserve">entități </w:t>
      </w:r>
      <w:r w:rsidRPr="000508B6">
        <w:rPr>
          <w:rFonts w:ascii="Times New Roman" w:hAnsi="Times New Roman" w:cs="Times New Roman"/>
          <w:lang w:val="ro-MD"/>
        </w:rPr>
        <w:t xml:space="preserve">sau în alte entități afiliate menționate la art. </w:t>
      </w:r>
      <w:r w:rsidR="006922C3" w:rsidRPr="000508B6">
        <w:rPr>
          <w:rFonts w:ascii="Times New Roman" w:hAnsi="Times New Roman" w:cs="Times New Roman"/>
          <w:lang w:val="ro-MD"/>
        </w:rPr>
        <w:t>132</w:t>
      </w:r>
      <w:r w:rsidRPr="000508B6">
        <w:rPr>
          <w:rFonts w:ascii="Times New Roman" w:hAnsi="Times New Roman" w:cs="Times New Roman"/>
          <w:lang w:val="ro-MD"/>
        </w:rPr>
        <w:t xml:space="preserve"> alin. (1);</w:t>
      </w:r>
    </w:p>
    <w:p w14:paraId="326E67FC" w14:textId="451C90CF" w:rsidR="00C42953" w:rsidRPr="000508B6" w:rsidRDefault="00C42953" w:rsidP="00F9341B">
      <w:pPr>
        <w:pStyle w:val="Listparagraf"/>
        <w:numPr>
          <w:ilvl w:val="0"/>
          <w:numId w:val="324"/>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obligarea holdingurilor de asigurare sau a holdingurilor financiare mixte să prezinte un plan privind revenirea, fără întârziere, la conformitate. </w:t>
      </w:r>
    </w:p>
    <w:p w14:paraId="1768B7C6" w14:textId="77777777" w:rsidR="004A75A4" w:rsidRPr="000508B6" w:rsidRDefault="004A75A4" w:rsidP="00987639">
      <w:pPr>
        <w:tabs>
          <w:tab w:val="left" w:pos="993"/>
        </w:tabs>
        <w:spacing w:after="0" w:line="240" w:lineRule="auto"/>
        <w:ind w:firstLine="567"/>
        <w:jc w:val="both"/>
        <w:rPr>
          <w:rFonts w:ascii="Times New Roman" w:hAnsi="Times New Roman" w:cs="Times New Roman"/>
          <w:lang w:val="ro-MD"/>
        </w:rPr>
      </w:pPr>
    </w:p>
    <w:p w14:paraId="66EDF57C" w14:textId="53823651" w:rsidR="00F95829" w:rsidRPr="000508B6" w:rsidRDefault="00AC0A1A"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119</w:t>
      </w:r>
      <w:r w:rsidR="00F95829" w:rsidRPr="000508B6">
        <w:rPr>
          <w:rFonts w:ascii="Times New Roman" w:hAnsi="Times New Roman" w:cs="Times New Roman"/>
          <w:b/>
          <w:lang w:val="ro-MD"/>
        </w:rPr>
        <w:t xml:space="preserve">. </w:t>
      </w:r>
      <w:r w:rsidR="00861D68" w:rsidRPr="000508B6">
        <w:rPr>
          <w:rFonts w:ascii="Times New Roman" w:hAnsi="Times New Roman" w:cs="Times New Roman"/>
          <w:lang w:val="ro-MD"/>
        </w:rPr>
        <w:t>Societatea</w:t>
      </w:r>
      <w:r w:rsidR="00F95829" w:rsidRPr="000508B6">
        <w:rPr>
          <w:rFonts w:ascii="Times New Roman" w:hAnsi="Times New Roman" w:cs="Times New Roman"/>
          <w:lang w:val="ro-MD"/>
        </w:rPr>
        <w:t xml:space="preserve">-mamă de cel mai înalt rang  </w:t>
      </w:r>
    </w:p>
    <w:p w14:paraId="51EF8E75" w14:textId="6B235263" w:rsidR="00F95829" w:rsidRPr="000508B6" w:rsidRDefault="00F95829" w:rsidP="00574631">
      <w:pPr>
        <w:pStyle w:val="Listparagraf"/>
        <w:numPr>
          <w:ilvl w:val="0"/>
          <w:numId w:val="22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Prevederile art. </w:t>
      </w:r>
      <w:r w:rsidR="00045BB1" w:rsidRPr="000508B6">
        <w:rPr>
          <w:rFonts w:ascii="Times New Roman" w:hAnsi="Times New Roman" w:cs="Times New Roman"/>
          <w:lang w:val="ro-MD"/>
        </w:rPr>
        <w:t>192</w:t>
      </w:r>
      <w:r w:rsidR="001B069B" w:rsidRPr="000508B6">
        <w:rPr>
          <w:rFonts w:ascii="Times New Roman" w:hAnsi="Times New Roman" w:cs="Times New Roman"/>
          <w:lang w:val="ro-MD"/>
        </w:rPr>
        <w:t>-</w:t>
      </w:r>
      <w:r w:rsidR="00045BB1" w:rsidRPr="000508B6">
        <w:rPr>
          <w:rFonts w:ascii="Times New Roman" w:hAnsi="Times New Roman" w:cs="Times New Roman"/>
          <w:lang w:val="ro-MD"/>
        </w:rPr>
        <w:t>195</w:t>
      </w:r>
      <w:r w:rsidR="00CA2D64"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045BB1" w:rsidRPr="000508B6">
        <w:rPr>
          <w:rFonts w:ascii="Times New Roman" w:hAnsi="Times New Roman" w:cs="Times New Roman"/>
          <w:lang w:val="ro-MD"/>
        </w:rPr>
        <w:t>122</w:t>
      </w:r>
      <w:r w:rsidRPr="000508B6">
        <w:rPr>
          <w:rFonts w:ascii="Times New Roman" w:hAnsi="Times New Roman" w:cs="Times New Roman"/>
          <w:lang w:val="ro-MD"/>
        </w:rPr>
        <w:t>-</w:t>
      </w:r>
      <w:r w:rsidR="006F2B76" w:rsidRPr="000508B6">
        <w:rPr>
          <w:rFonts w:ascii="Times New Roman" w:hAnsi="Times New Roman" w:cs="Times New Roman"/>
          <w:lang w:val="ro-MD"/>
        </w:rPr>
        <w:t>149</w:t>
      </w:r>
      <w:r w:rsidR="00CA2D64" w:rsidRPr="000508B6">
        <w:rPr>
          <w:rFonts w:ascii="Times New Roman" w:hAnsi="Times New Roman" w:cs="Times New Roman"/>
          <w:lang w:val="ro-MD"/>
        </w:rPr>
        <w:t xml:space="preserve"> </w:t>
      </w:r>
      <w:r w:rsidRPr="000508B6">
        <w:rPr>
          <w:rFonts w:ascii="Times New Roman" w:hAnsi="Times New Roman" w:cs="Times New Roman"/>
          <w:lang w:val="ro-MD"/>
        </w:rPr>
        <w:t xml:space="preserve">se aplică la nivelul </w:t>
      </w:r>
      <w:r w:rsidR="00EB2110" w:rsidRPr="000508B6">
        <w:rPr>
          <w:rFonts w:ascii="Times New Roman" w:hAnsi="Times New Roman" w:cs="Times New Roman"/>
          <w:lang w:val="ro-MD"/>
        </w:rPr>
        <w:t>societății</w:t>
      </w:r>
      <w:r w:rsidRPr="000508B6">
        <w:rPr>
          <w:rFonts w:ascii="Times New Roman" w:hAnsi="Times New Roman" w:cs="Times New Roman"/>
          <w:lang w:val="ro-MD"/>
        </w:rPr>
        <w:t>-mamă</w:t>
      </w:r>
      <w:r w:rsidR="00BC4E84" w:rsidRPr="000508B6">
        <w:rPr>
          <w:rFonts w:ascii="Times New Roman" w:hAnsi="Times New Roman" w:cs="Times New Roman"/>
          <w:lang w:val="ro-MD"/>
        </w:rPr>
        <w:t xml:space="preserve"> de cel mai înalt rang</w:t>
      </w:r>
      <w:r w:rsidR="004978C9" w:rsidRPr="000508B6">
        <w:rPr>
          <w:rFonts w:ascii="Times New Roman" w:hAnsi="Times New Roman" w:cs="Times New Roman"/>
          <w:lang w:val="ro-MD"/>
        </w:rPr>
        <w:t xml:space="preserve"> de asigurare sau de reasigurare</w:t>
      </w:r>
      <w:r w:rsidRPr="000508B6">
        <w:rPr>
          <w:rFonts w:ascii="Times New Roman" w:hAnsi="Times New Roman" w:cs="Times New Roman"/>
          <w:lang w:val="ro-MD"/>
        </w:rPr>
        <w:t xml:space="preserve">, holdingului de asigurare sau holdingului financiar mixt de cel mai înalt </w:t>
      </w:r>
      <w:r w:rsidR="00BC4E84" w:rsidRPr="000508B6">
        <w:rPr>
          <w:rFonts w:ascii="Times New Roman" w:hAnsi="Times New Roman" w:cs="Times New Roman"/>
          <w:lang w:val="ro-MD"/>
        </w:rPr>
        <w:t xml:space="preserve">rang </w:t>
      </w:r>
      <w:r w:rsidRPr="000508B6">
        <w:rPr>
          <w:rFonts w:ascii="Times New Roman" w:hAnsi="Times New Roman" w:cs="Times New Roman"/>
          <w:lang w:val="ro-MD"/>
        </w:rPr>
        <w:t>cu sediul central într-un stat membru, atunci când</w:t>
      </w:r>
      <w:r w:rsidRPr="000508B6">
        <w:rPr>
          <w:rFonts w:ascii="Times New Roman" w:hAnsi="Times New Roman" w:cs="Times New Roman"/>
          <w:i/>
          <w:lang w:val="ro-MD"/>
        </w:rPr>
        <w:t xml:space="preserve">:   </w:t>
      </w:r>
    </w:p>
    <w:p w14:paraId="6E38F45F" w14:textId="4D93BC01" w:rsidR="00F95829" w:rsidRPr="000508B6" w:rsidRDefault="00F9341B" w:rsidP="00574631">
      <w:pPr>
        <w:numPr>
          <w:ilvl w:val="0"/>
          <w:numId w:val="22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asigurătorii </w:t>
      </w:r>
      <w:r w:rsidR="008F4C28" w:rsidRPr="000508B6">
        <w:rPr>
          <w:rFonts w:ascii="Times New Roman" w:hAnsi="Times New Roman" w:cs="Times New Roman"/>
          <w:lang w:val="ro-MD"/>
        </w:rPr>
        <w:t>sau</w:t>
      </w:r>
      <w:r w:rsidR="00ED2C1C" w:rsidRPr="000508B6" w:rsidDel="00F9341B">
        <w:rPr>
          <w:rFonts w:ascii="Times New Roman" w:hAnsi="Times New Roman" w:cs="Times New Roman"/>
          <w:lang w:val="ro-MD"/>
        </w:rPr>
        <w:t xml:space="preserve"> </w:t>
      </w:r>
      <w:proofErr w:type="spellStart"/>
      <w:r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w:t>
      </w:r>
      <w:r w:rsidR="008F4C28" w:rsidRPr="000508B6">
        <w:rPr>
          <w:rFonts w:ascii="Times New Roman" w:hAnsi="Times New Roman" w:cs="Times New Roman"/>
          <w:lang w:val="ro-MD"/>
        </w:rPr>
        <w:t xml:space="preserve">participativi </w:t>
      </w:r>
      <w:r w:rsidR="003B43A7" w:rsidRPr="000508B6">
        <w:rPr>
          <w:rFonts w:ascii="Times New Roman" w:hAnsi="Times New Roman" w:cs="Times New Roman"/>
          <w:lang w:val="ro-MD"/>
        </w:rPr>
        <w:t>menționați</w:t>
      </w:r>
      <w:r w:rsidR="008F4C28"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la art. </w:t>
      </w:r>
      <w:r w:rsidR="006F2B76" w:rsidRPr="000508B6">
        <w:rPr>
          <w:rFonts w:ascii="Times New Roman" w:hAnsi="Times New Roman" w:cs="Times New Roman"/>
          <w:lang w:val="ro-MD"/>
        </w:rPr>
        <w:t xml:space="preserve">116 </w:t>
      </w:r>
      <w:r w:rsidR="00F95829" w:rsidRPr="000508B6">
        <w:rPr>
          <w:rFonts w:ascii="Times New Roman" w:hAnsi="Times New Roman" w:cs="Times New Roman"/>
          <w:lang w:val="ro-MD"/>
        </w:rPr>
        <w:t>alin. (</w:t>
      </w:r>
      <w:r w:rsidR="00FE14A7" w:rsidRPr="000508B6">
        <w:rPr>
          <w:rFonts w:ascii="Times New Roman" w:hAnsi="Times New Roman" w:cs="Times New Roman"/>
          <w:lang w:val="ro-MD"/>
        </w:rPr>
        <w:t>3</w:t>
      </w:r>
      <w:r w:rsidR="00F95829" w:rsidRPr="000508B6">
        <w:rPr>
          <w:rFonts w:ascii="Times New Roman" w:hAnsi="Times New Roman" w:cs="Times New Roman"/>
          <w:lang w:val="ro-MD"/>
        </w:rPr>
        <w:t xml:space="preserve">) lit. a) sunt filiale ale unor </w:t>
      </w:r>
      <w:r w:rsidR="00EB2110" w:rsidRPr="000508B6">
        <w:rPr>
          <w:rFonts w:ascii="Times New Roman" w:hAnsi="Times New Roman" w:cs="Times New Roman"/>
          <w:lang w:val="ro-MD"/>
        </w:rPr>
        <w:t xml:space="preserve">asigurători sau </w:t>
      </w:r>
      <w:proofErr w:type="spellStart"/>
      <w:r w:rsidR="00EB2110" w:rsidRPr="000508B6">
        <w:rPr>
          <w:rFonts w:ascii="Times New Roman" w:hAnsi="Times New Roman" w:cs="Times New Roman"/>
          <w:lang w:val="ro-MD"/>
        </w:rPr>
        <w:t>reasigurători</w:t>
      </w:r>
      <w:proofErr w:type="spellEnd"/>
      <w:r w:rsidR="00EB2110"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cu sediul central </w:t>
      </w:r>
      <w:r w:rsidR="008F4C28" w:rsidRPr="000508B6">
        <w:rPr>
          <w:rFonts w:ascii="Times New Roman" w:hAnsi="Times New Roman" w:cs="Times New Roman"/>
          <w:lang w:val="ro-MD"/>
        </w:rPr>
        <w:t>în Republica Moldova sau</w:t>
      </w:r>
      <w:r w:rsidR="00F95829" w:rsidRPr="000508B6">
        <w:rPr>
          <w:rFonts w:ascii="Times New Roman" w:hAnsi="Times New Roman" w:cs="Times New Roman"/>
          <w:lang w:val="ro-MD"/>
        </w:rPr>
        <w:t xml:space="preserve"> într-un stat membru;   </w:t>
      </w:r>
    </w:p>
    <w:p w14:paraId="1A03C07F" w14:textId="35518B5A" w:rsidR="00F95829" w:rsidRPr="000508B6" w:rsidRDefault="00F95829" w:rsidP="00574631">
      <w:pPr>
        <w:numPr>
          <w:ilvl w:val="0"/>
          <w:numId w:val="22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un holding de asigurare sau holdingul financiar mixt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art. </w:t>
      </w:r>
      <w:r w:rsidR="006F2B76" w:rsidRPr="000508B6">
        <w:rPr>
          <w:rFonts w:ascii="Times New Roman" w:hAnsi="Times New Roman" w:cs="Times New Roman"/>
          <w:lang w:val="ro-MD"/>
        </w:rPr>
        <w:t>116</w:t>
      </w:r>
      <w:r w:rsidR="00BF05D5"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FE14A7" w:rsidRPr="000508B6">
        <w:rPr>
          <w:rFonts w:ascii="Times New Roman" w:hAnsi="Times New Roman" w:cs="Times New Roman"/>
          <w:lang w:val="ro-MD"/>
        </w:rPr>
        <w:t>3</w:t>
      </w:r>
      <w:r w:rsidRPr="000508B6">
        <w:rPr>
          <w:rFonts w:ascii="Times New Roman" w:hAnsi="Times New Roman" w:cs="Times New Roman"/>
          <w:lang w:val="ro-MD"/>
        </w:rPr>
        <w:t xml:space="preserve">) lit. b) este filiala unui alt holding de asigurare sau a unui alt holding financiar mixt cu sediul </w:t>
      </w:r>
      <w:r w:rsidR="008F4C28" w:rsidRPr="000508B6">
        <w:rPr>
          <w:rFonts w:ascii="Times New Roman" w:hAnsi="Times New Roman" w:cs="Times New Roman"/>
          <w:lang w:val="ro-MD"/>
        </w:rPr>
        <w:t xml:space="preserve">în Republica Moldova sau </w:t>
      </w:r>
      <w:r w:rsidRPr="000508B6">
        <w:rPr>
          <w:rFonts w:ascii="Times New Roman" w:hAnsi="Times New Roman" w:cs="Times New Roman"/>
          <w:lang w:val="ro-MD"/>
        </w:rPr>
        <w:t xml:space="preserve">într-un stat membru.   </w:t>
      </w:r>
    </w:p>
    <w:p w14:paraId="71D73ED6" w14:textId="06C5BE54" w:rsidR="00EB2110" w:rsidRPr="000508B6" w:rsidRDefault="00EB2110" w:rsidP="00574631">
      <w:pPr>
        <w:pStyle w:val="Listparagraf"/>
        <w:numPr>
          <w:ilvl w:val="0"/>
          <w:numId w:val="224"/>
        </w:numPr>
        <w:tabs>
          <w:tab w:val="left" w:pos="709"/>
          <w:tab w:val="left" w:pos="851"/>
          <w:tab w:val="left" w:pos="993"/>
        </w:tabs>
        <w:spacing w:after="0" w:line="240" w:lineRule="auto"/>
        <w:ind w:left="0" w:firstLine="426"/>
        <w:jc w:val="both"/>
        <w:rPr>
          <w:rFonts w:ascii="Times New Roman" w:hAnsi="Times New Roman" w:cs="Times New Roman"/>
          <w:b/>
          <w:lang w:val="ro-MD"/>
        </w:rPr>
      </w:pPr>
      <w:r w:rsidRPr="000508B6">
        <w:rPr>
          <w:rFonts w:ascii="Times New Roman" w:hAnsi="Times New Roman" w:cs="Times New Roman"/>
          <w:lang w:val="ro-MD"/>
        </w:rPr>
        <w:t>În cazul în care o societate-mamă</w:t>
      </w:r>
      <w:r w:rsidR="004978C9" w:rsidRPr="000508B6">
        <w:rPr>
          <w:rFonts w:ascii="Times New Roman" w:hAnsi="Times New Roman" w:cs="Times New Roman"/>
          <w:lang w:val="ro-MD"/>
        </w:rPr>
        <w:t xml:space="preserve"> </w:t>
      </w:r>
      <w:r w:rsidR="002A35E2" w:rsidRPr="000508B6">
        <w:rPr>
          <w:rFonts w:ascii="Times New Roman" w:hAnsi="Times New Roman" w:cs="Times New Roman"/>
          <w:lang w:val="ro-MD"/>
        </w:rPr>
        <w:t>de</w:t>
      </w:r>
      <w:r w:rsidRPr="000508B6">
        <w:rPr>
          <w:rFonts w:ascii="Times New Roman" w:hAnsi="Times New Roman" w:cs="Times New Roman"/>
          <w:lang w:val="ro-MD"/>
        </w:rPr>
        <w:t xml:space="preserve"> asigurare sau de reasigurare</w:t>
      </w:r>
      <w:r w:rsidR="0085251A" w:rsidRPr="000508B6">
        <w:rPr>
          <w:rFonts w:ascii="Times New Roman" w:hAnsi="Times New Roman" w:cs="Times New Roman"/>
          <w:lang w:val="ro-MD"/>
        </w:rPr>
        <w:t xml:space="preserve"> de cel mai înalt rang</w:t>
      </w:r>
      <w:r w:rsidRPr="000508B6">
        <w:rPr>
          <w:rFonts w:ascii="Times New Roman" w:hAnsi="Times New Roman" w:cs="Times New Roman"/>
          <w:lang w:val="ro-MD"/>
        </w:rPr>
        <w:t xml:space="preserve">, un holding-mamă de asigurare sau </w:t>
      </w:r>
      <w:r w:rsidR="00D0612D" w:rsidRPr="000508B6">
        <w:rPr>
          <w:rFonts w:ascii="Times New Roman" w:hAnsi="Times New Roman" w:cs="Times New Roman"/>
          <w:lang w:val="ro-MD"/>
        </w:rPr>
        <w:t>de reasigurare</w:t>
      </w:r>
      <w:r w:rsidR="00F95829" w:rsidRPr="000508B6">
        <w:rPr>
          <w:rFonts w:ascii="Times New Roman" w:hAnsi="Times New Roman" w:cs="Times New Roman"/>
          <w:lang w:val="ro-MD"/>
        </w:rPr>
        <w:t xml:space="preserve"> sau </w:t>
      </w:r>
      <w:r w:rsidRPr="000508B6">
        <w:rPr>
          <w:rFonts w:ascii="Times New Roman" w:hAnsi="Times New Roman" w:cs="Times New Roman"/>
          <w:lang w:val="ro-MD"/>
        </w:rPr>
        <w:t xml:space="preserve">un holding-mamă financiar mixt de cel mai înalt rang este o filială a unei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care face obiectul supravegherii suplimentare, în sensul Legii nr. 250/2017, Banca Națională a Moldovei poate decide, după consultarea </w:t>
      </w:r>
      <w:r w:rsidR="00D0612D" w:rsidRPr="000508B6">
        <w:rPr>
          <w:rFonts w:ascii="Times New Roman" w:hAnsi="Times New Roman" w:cs="Times New Roman"/>
          <w:lang w:val="ro-MD"/>
        </w:rPr>
        <w:t>celorlalți</w:t>
      </w:r>
      <w:r w:rsidRPr="000508B6">
        <w:rPr>
          <w:rFonts w:ascii="Times New Roman" w:hAnsi="Times New Roman" w:cs="Times New Roman"/>
          <w:lang w:val="ro-MD"/>
        </w:rPr>
        <w:t xml:space="preserve"> supraveghetori </w:t>
      </w:r>
      <w:proofErr w:type="spellStart"/>
      <w:r w:rsidRPr="000508B6">
        <w:rPr>
          <w:rFonts w:ascii="Times New Roman" w:hAnsi="Times New Roman" w:cs="Times New Roman"/>
          <w:lang w:val="ro-MD"/>
        </w:rPr>
        <w:t>implicaţi</w:t>
      </w:r>
      <w:proofErr w:type="spellEnd"/>
      <w:r w:rsidRPr="000508B6">
        <w:rPr>
          <w:rFonts w:ascii="Times New Roman" w:hAnsi="Times New Roman" w:cs="Times New Roman"/>
          <w:lang w:val="ro-MD"/>
        </w:rPr>
        <w:t xml:space="preserve">, să nu supravegheze fie concentrarea riscurilor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art. 144 sau </w:t>
      </w:r>
      <w:proofErr w:type="spellStart"/>
      <w:r w:rsidRPr="000508B6">
        <w:rPr>
          <w:rFonts w:ascii="Times New Roman" w:hAnsi="Times New Roman" w:cs="Times New Roman"/>
          <w:lang w:val="ro-MD"/>
        </w:rPr>
        <w:t>tranzacţiile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145, fie niciunul dintre aceste elemente.  </w:t>
      </w:r>
    </w:p>
    <w:p w14:paraId="1352DC11" w14:textId="77777777" w:rsidR="00A227B9" w:rsidRPr="000508B6" w:rsidRDefault="00A227B9" w:rsidP="00A227B9">
      <w:pPr>
        <w:pStyle w:val="Listparagraf"/>
        <w:tabs>
          <w:tab w:val="left" w:pos="993"/>
        </w:tabs>
        <w:spacing w:after="0" w:line="240" w:lineRule="auto"/>
        <w:ind w:left="426"/>
        <w:jc w:val="both"/>
        <w:rPr>
          <w:rFonts w:ascii="Times New Roman" w:hAnsi="Times New Roman" w:cs="Times New Roman"/>
          <w:b/>
          <w:lang w:val="ro-MD"/>
        </w:rPr>
      </w:pPr>
    </w:p>
    <w:p w14:paraId="210D1A72" w14:textId="1CAEB409" w:rsidR="00F95829" w:rsidRPr="000508B6" w:rsidRDefault="0005617E"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120</w:t>
      </w:r>
      <w:r w:rsidRPr="000508B6">
        <w:rPr>
          <w:rFonts w:ascii="Times New Roman" w:hAnsi="Times New Roman" w:cs="Times New Roman"/>
          <w:b/>
          <w:lang w:val="ro-MD"/>
        </w:rPr>
        <w:t xml:space="preserve">. </w:t>
      </w:r>
      <w:r w:rsidR="00F95829" w:rsidRPr="000508B6">
        <w:rPr>
          <w:rFonts w:ascii="Times New Roman" w:hAnsi="Times New Roman" w:cs="Times New Roman"/>
          <w:lang w:val="ro-MD"/>
        </w:rPr>
        <w:t xml:space="preserve"> Societatea-mamă de cel mai înalt rang la nivel </w:t>
      </w:r>
      <w:proofErr w:type="spellStart"/>
      <w:r w:rsidR="00F95829" w:rsidRPr="000508B6">
        <w:rPr>
          <w:rFonts w:ascii="Times New Roman" w:hAnsi="Times New Roman" w:cs="Times New Roman"/>
          <w:lang w:val="ro-MD"/>
        </w:rPr>
        <w:t>naţional</w:t>
      </w:r>
      <w:proofErr w:type="spellEnd"/>
      <w:r w:rsidR="00F95829" w:rsidRPr="000508B6">
        <w:rPr>
          <w:rFonts w:ascii="Times New Roman" w:hAnsi="Times New Roman" w:cs="Times New Roman"/>
          <w:lang w:val="ro-MD"/>
        </w:rPr>
        <w:t xml:space="preserve">  </w:t>
      </w:r>
    </w:p>
    <w:p w14:paraId="686AF4A2" w14:textId="18476A4D" w:rsidR="00F95829" w:rsidRPr="000508B6" w:rsidRDefault="00F95829" w:rsidP="00574631">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color w:val="FF0000"/>
          <w:lang w:val="ro-MD"/>
        </w:rPr>
      </w:pPr>
      <w:r w:rsidRPr="000508B6">
        <w:rPr>
          <w:rFonts w:ascii="Times New Roman" w:hAnsi="Times New Roman" w:cs="Times New Roman"/>
          <w:lang w:val="ro-MD"/>
        </w:rPr>
        <w:t xml:space="preserve">Pentru </w:t>
      </w:r>
      <w:r w:rsidR="00F9341B" w:rsidRPr="000508B6">
        <w:rPr>
          <w:rFonts w:ascii="Times New Roman" w:hAnsi="Times New Roman" w:cs="Times New Roman"/>
          <w:lang w:val="ro-MD"/>
        </w:rPr>
        <w:t xml:space="preserve">asigurătorii </w:t>
      </w:r>
      <w:r w:rsidR="00D0612D" w:rsidRPr="000508B6">
        <w:rPr>
          <w:rFonts w:ascii="Times New Roman" w:hAnsi="Times New Roman" w:cs="Times New Roman"/>
          <w:lang w:val="ro-MD"/>
        </w:rPr>
        <w:t xml:space="preserve">sau </w:t>
      </w:r>
      <w:proofErr w:type="spellStart"/>
      <w:r w:rsidR="00F9341B" w:rsidRPr="000508B6">
        <w:rPr>
          <w:rFonts w:ascii="Times New Roman" w:hAnsi="Times New Roman" w:cs="Times New Roman"/>
          <w:lang w:val="ro-MD"/>
        </w:rPr>
        <w:t>reasigurătorii</w:t>
      </w:r>
      <w:proofErr w:type="spellEnd"/>
      <w:r w:rsidR="00F9341B" w:rsidRPr="000508B6">
        <w:rPr>
          <w:rFonts w:ascii="Times New Roman" w:hAnsi="Times New Roman" w:cs="Times New Roman"/>
          <w:lang w:val="ro-MD"/>
        </w:rPr>
        <w:t xml:space="preserve"> </w:t>
      </w:r>
      <w:r w:rsidR="00D0612D" w:rsidRPr="000508B6">
        <w:rPr>
          <w:rFonts w:ascii="Times New Roman" w:hAnsi="Times New Roman" w:cs="Times New Roman"/>
          <w:lang w:val="ro-MD"/>
        </w:rPr>
        <w:t>participativi</w:t>
      </w:r>
      <w:r w:rsidR="00ED2C1C" w:rsidRPr="000508B6">
        <w:rPr>
          <w:rFonts w:ascii="Times New Roman" w:hAnsi="Times New Roman" w:cs="Times New Roman"/>
          <w:lang w:val="ro-MD"/>
        </w:rPr>
        <w:t xml:space="preserve"> </w:t>
      </w:r>
      <w:r w:rsidRPr="000508B6">
        <w:rPr>
          <w:rFonts w:ascii="Times New Roman" w:hAnsi="Times New Roman" w:cs="Times New Roman"/>
          <w:lang w:val="ro-MD"/>
        </w:rPr>
        <w:t>prevăzu</w:t>
      </w:r>
      <w:r w:rsidR="00AC4BCB" w:rsidRPr="000508B6">
        <w:rPr>
          <w:rFonts w:ascii="Times New Roman" w:hAnsi="Times New Roman" w:cs="Times New Roman"/>
          <w:lang w:val="ro-MD"/>
        </w:rPr>
        <w:t>ți</w:t>
      </w:r>
      <w:r w:rsidRPr="000508B6">
        <w:rPr>
          <w:rFonts w:ascii="Times New Roman" w:hAnsi="Times New Roman" w:cs="Times New Roman"/>
          <w:lang w:val="ro-MD"/>
        </w:rPr>
        <w:t xml:space="preserve"> la art. </w:t>
      </w:r>
      <w:r w:rsidR="004007EB" w:rsidRPr="000508B6">
        <w:rPr>
          <w:rFonts w:ascii="Times New Roman" w:hAnsi="Times New Roman" w:cs="Times New Roman"/>
          <w:lang w:val="ro-MD"/>
        </w:rPr>
        <w:t xml:space="preserve">116 </w:t>
      </w:r>
      <w:r w:rsidRPr="000508B6">
        <w:rPr>
          <w:rFonts w:ascii="Times New Roman" w:hAnsi="Times New Roman" w:cs="Times New Roman"/>
          <w:lang w:val="ro-MD"/>
        </w:rPr>
        <w:t>alin. (</w:t>
      </w:r>
      <w:r w:rsidR="00FE14A7" w:rsidRPr="000508B6">
        <w:rPr>
          <w:rFonts w:ascii="Times New Roman" w:hAnsi="Times New Roman" w:cs="Times New Roman"/>
          <w:lang w:val="ro-MD"/>
        </w:rPr>
        <w:t>3</w:t>
      </w:r>
      <w:r w:rsidRPr="000508B6">
        <w:rPr>
          <w:rFonts w:ascii="Times New Roman" w:hAnsi="Times New Roman" w:cs="Times New Roman"/>
          <w:lang w:val="ro-MD"/>
        </w:rPr>
        <w:t xml:space="preserve">) lit. 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 </w:t>
      </w:r>
      <w:r w:rsidR="00CD7CE4" w:rsidRPr="000508B6">
        <w:rPr>
          <w:rFonts w:ascii="Times New Roman" w:hAnsi="Times New Roman" w:cs="Times New Roman"/>
          <w:lang w:val="ro-MD"/>
        </w:rPr>
        <w:t xml:space="preserve">sau holdingul de asigurare sau holdingul financiar mixt </w:t>
      </w:r>
      <w:r w:rsidRPr="000508B6">
        <w:rPr>
          <w:rFonts w:ascii="Times New Roman" w:hAnsi="Times New Roman" w:cs="Times New Roman"/>
          <w:lang w:val="ro-MD"/>
        </w:rPr>
        <w:t xml:space="preserve">cu sediul central în Republica Moldova </w:t>
      </w:r>
      <w:r w:rsidR="00CD7CE4" w:rsidRPr="000508B6">
        <w:rPr>
          <w:rFonts w:ascii="Times New Roman" w:hAnsi="Times New Roman" w:cs="Times New Roman"/>
          <w:lang w:val="ro-MD"/>
        </w:rPr>
        <w:t>sau în statele membre</w:t>
      </w:r>
      <w:r w:rsidRPr="000508B6">
        <w:rPr>
          <w:rFonts w:ascii="Times New Roman" w:hAnsi="Times New Roman" w:cs="Times New Roman"/>
          <w:lang w:val="ro-MD"/>
        </w:rPr>
        <w:t xml:space="preserve"> </w:t>
      </w:r>
      <w:r w:rsidR="002648F2" w:rsidRPr="000508B6">
        <w:rPr>
          <w:rFonts w:ascii="Times New Roman" w:hAnsi="Times New Roman" w:cs="Times New Roman"/>
          <w:lang w:val="ro-MD"/>
        </w:rPr>
        <w:t xml:space="preserve">nu are sediul central în același stat </w:t>
      </w:r>
      <w:r w:rsidR="00CD7CE4" w:rsidRPr="000508B6">
        <w:rPr>
          <w:rFonts w:ascii="Times New Roman" w:hAnsi="Times New Roman" w:cs="Times New Roman"/>
          <w:lang w:val="ro-MD"/>
        </w:rPr>
        <w:t>ca și</w:t>
      </w:r>
      <w:r w:rsidRPr="000508B6">
        <w:rPr>
          <w:rFonts w:ascii="Times New Roman" w:hAnsi="Times New Roman" w:cs="Times New Roman"/>
          <w:lang w:val="ro-MD"/>
        </w:rPr>
        <w:t xml:space="preserve"> societatea-mamă de cel mai înalt </w:t>
      </w:r>
      <w:r w:rsidR="00BC4E84" w:rsidRPr="000508B6">
        <w:rPr>
          <w:rFonts w:ascii="Times New Roman" w:hAnsi="Times New Roman" w:cs="Times New Roman"/>
          <w:lang w:val="ro-MD"/>
        </w:rPr>
        <w:t>rang</w:t>
      </w:r>
      <w:r w:rsidRPr="000508B6">
        <w:rPr>
          <w:rFonts w:ascii="Times New Roman" w:hAnsi="Times New Roman" w:cs="Times New Roman"/>
          <w:lang w:val="ro-MD"/>
        </w:rPr>
        <w:t xml:space="preserve"> </w:t>
      </w:r>
      <w:r w:rsidR="002648F2" w:rsidRPr="000508B6">
        <w:rPr>
          <w:rFonts w:ascii="Times New Roman" w:hAnsi="Times New Roman" w:cs="Times New Roman"/>
          <w:lang w:val="ro-MD"/>
        </w:rPr>
        <w:t>prevăzută la art. 119</w:t>
      </w:r>
      <w:r w:rsidRPr="000508B6">
        <w:rPr>
          <w:rFonts w:ascii="Times New Roman" w:hAnsi="Times New Roman" w:cs="Times New Roman"/>
          <w:lang w:val="ro-MD"/>
        </w:rPr>
        <w:t xml:space="preserve">, </w:t>
      </w:r>
      <w:r w:rsidR="00C35F22" w:rsidRPr="000508B6">
        <w:rPr>
          <w:rFonts w:ascii="Times New Roman" w:hAnsi="Times New Roman" w:cs="Times New Roman"/>
          <w:lang w:val="ro-MD"/>
        </w:rPr>
        <w:t xml:space="preserve">Banca </w:t>
      </w:r>
      <w:r w:rsidRPr="000508B6">
        <w:rPr>
          <w:rFonts w:ascii="Times New Roman" w:hAnsi="Times New Roman" w:cs="Times New Roman"/>
          <w:lang w:val="ro-MD"/>
        </w:rPr>
        <w:t xml:space="preserve">Națională a Moldovei, după consultarea supraveghetorului coordonator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de cel mai înalt rang, </w:t>
      </w:r>
      <w:r w:rsidR="002648F2" w:rsidRPr="000508B6">
        <w:rPr>
          <w:rFonts w:ascii="Times New Roman" w:hAnsi="Times New Roman" w:cs="Times New Roman"/>
          <w:lang w:val="ro-MD"/>
        </w:rPr>
        <w:t xml:space="preserve">poate </w:t>
      </w:r>
      <w:r w:rsidRPr="000508B6">
        <w:rPr>
          <w:rFonts w:ascii="Times New Roman" w:hAnsi="Times New Roman" w:cs="Times New Roman"/>
          <w:lang w:val="ro-MD"/>
        </w:rPr>
        <w:t xml:space="preserve">decide să supună supravegherii la nivel de grup societatea-mamă de cel mai înalt </w:t>
      </w:r>
      <w:r w:rsidR="00BC4E84" w:rsidRPr="000508B6">
        <w:rPr>
          <w:rFonts w:ascii="Times New Roman" w:hAnsi="Times New Roman" w:cs="Times New Roman"/>
          <w:lang w:val="ro-MD"/>
        </w:rPr>
        <w:t>rang</w:t>
      </w:r>
      <w:r w:rsidRPr="000508B6">
        <w:rPr>
          <w:rFonts w:ascii="Times New Roman" w:hAnsi="Times New Roman" w:cs="Times New Roman"/>
          <w:lang w:val="ro-MD"/>
        </w:rPr>
        <w:t xml:space="preserve"> la nivel </w:t>
      </w:r>
      <w:proofErr w:type="spellStart"/>
      <w:r w:rsidRPr="000508B6">
        <w:rPr>
          <w:rFonts w:ascii="Times New Roman" w:hAnsi="Times New Roman" w:cs="Times New Roman"/>
          <w:lang w:val="ro-MD"/>
        </w:rPr>
        <w:t>naţional</w:t>
      </w:r>
      <w:proofErr w:type="spellEnd"/>
      <w:r w:rsidR="004978C9" w:rsidRPr="000508B6">
        <w:rPr>
          <w:rFonts w:ascii="Times New Roman" w:hAnsi="Times New Roman" w:cs="Times New Roman"/>
          <w:lang w:val="ro-MD"/>
        </w:rPr>
        <w:t xml:space="preserve"> de asigurare sau de reasigurare</w:t>
      </w:r>
      <w:r w:rsidRPr="000508B6">
        <w:rPr>
          <w:rFonts w:ascii="Times New Roman" w:hAnsi="Times New Roman" w:cs="Times New Roman"/>
          <w:lang w:val="ro-MD"/>
        </w:rPr>
        <w:t xml:space="preserve">, </w:t>
      </w:r>
      <w:r w:rsidR="009617C2" w:rsidRPr="000508B6">
        <w:rPr>
          <w:rFonts w:ascii="Times New Roman" w:hAnsi="Times New Roman" w:cs="Times New Roman"/>
          <w:lang w:val="ro-MD"/>
        </w:rPr>
        <w:t>motivându-și</w:t>
      </w:r>
      <w:r w:rsidRPr="000508B6">
        <w:rPr>
          <w:rFonts w:ascii="Times New Roman" w:hAnsi="Times New Roman" w:cs="Times New Roman"/>
          <w:lang w:val="ro-MD"/>
        </w:rPr>
        <w:t xml:space="preserve"> decizia în </w:t>
      </w:r>
      <w:proofErr w:type="spellStart"/>
      <w:r w:rsidRPr="000508B6">
        <w:rPr>
          <w:rFonts w:ascii="Times New Roman" w:hAnsi="Times New Roman" w:cs="Times New Roman"/>
          <w:lang w:val="ro-MD"/>
        </w:rPr>
        <w:t>faţa</w:t>
      </w:r>
      <w:proofErr w:type="spellEnd"/>
      <w:r w:rsidRPr="000508B6">
        <w:rPr>
          <w:rFonts w:ascii="Times New Roman" w:hAnsi="Times New Roman" w:cs="Times New Roman"/>
          <w:lang w:val="ro-MD"/>
        </w:rPr>
        <w:t xml:space="preserve"> supraveghetorului coordonator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de cel mai înalt rang </w:t>
      </w:r>
      <w:r w:rsidR="002648F2" w:rsidRPr="000508B6">
        <w:rPr>
          <w:rFonts w:ascii="Times New Roman" w:hAnsi="Times New Roman" w:cs="Times New Roman"/>
          <w:lang w:val="ro-MD"/>
        </w:rPr>
        <w:t>prevăzută la art. 119</w:t>
      </w:r>
      <w:r w:rsidRPr="000508B6">
        <w:rPr>
          <w:rFonts w:ascii="Times New Roman" w:hAnsi="Times New Roman" w:cs="Times New Roman"/>
          <w:lang w:val="ro-MD"/>
        </w:rPr>
        <w:t>.</w:t>
      </w:r>
      <w:r w:rsidRPr="000508B6">
        <w:rPr>
          <w:rFonts w:ascii="Times New Roman" w:hAnsi="Times New Roman" w:cs="Times New Roman"/>
          <w:color w:val="FF0000"/>
          <w:lang w:val="ro-MD"/>
        </w:rPr>
        <w:t xml:space="preserve">   </w:t>
      </w:r>
    </w:p>
    <w:p w14:paraId="6A37D805" w14:textId="36FCB8B9" w:rsidR="00F95829" w:rsidRPr="000508B6" w:rsidRDefault="00F95829" w:rsidP="00574631">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(1), prevederile art. </w:t>
      </w:r>
      <w:r w:rsidR="00E83C36" w:rsidRPr="000508B6">
        <w:rPr>
          <w:rFonts w:ascii="Times New Roman" w:hAnsi="Times New Roman" w:cs="Times New Roman"/>
          <w:lang w:val="ro-MD"/>
        </w:rPr>
        <w:t>192</w:t>
      </w:r>
      <w:r w:rsidR="00AF64BF" w:rsidRPr="000508B6">
        <w:rPr>
          <w:rFonts w:ascii="Times New Roman" w:hAnsi="Times New Roman" w:cs="Times New Roman"/>
          <w:lang w:val="ro-MD"/>
        </w:rPr>
        <w:t>-</w:t>
      </w:r>
      <w:r w:rsidR="00E83C36" w:rsidRPr="000508B6">
        <w:rPr>
          <w:rFonts w:ascii="Times New Roman" w:hAnsi="Times New Roman" w:cs="Times New Roman"/>
          <w:lang w:val="ro-MD"/>
        </w:rPr>
        <w:t>195</w:t>
      </w:r>
      <w:r w:rsidR="00CA2D64"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E83C36" w:rsidRPr="000508B6">
        <w:rPr>
          <w:rFonts w:ascii="Times New Roman" w:hAnsi="Times New Roman" w:cs="Times New Roman"/>
          <w:lang w:val="ro-MD"/>
        </w:rPr>
        <w:t>122</w:t>
      </w:r>
      <w:r w:rsidR="00AF64BF" w:rsidRPr="000508B6">
        <w:rPr>
          <w:rFonts w:ascii="Times New Roman" w:hAnsi="Times New Roman" w:cs="Times New Roman"/>
          <w:lang w:val="ro-MD"/>
        </w:rPr>
        <w:t>-</w:t>
      </w:r>
      <w:r w:rsidR="00E83C36" w:rsidRPr="000508B6">
        <w:rPr>
          <w:rFonts w:ascii="Times New Roman" w:hAnsi="Times New Roman" w:cs="Times New Roman"/>
          <w:lang w:val="ro-MD"/>
        </w:rPr>
        <w:t>149</w:t>
      </w:r>
      <w:r w:rsidR="00CA2D64" w:rsidRPr="000508B6">
        <w:rPr>
          <w:rFonts w:ascii="Times New Roman" w:hAnsi="Times New Roman" w:cs="Times New Roman"/>
          <w:lang w:val="ro-MD"/>
        </w:rPr>
        <w:t xml:space="preserve"> </w:t>
      </w:r>
      <w:r w:rsidRPr="000508B6">
        <w:rPr>
          <w:rFonts w:ascii="Times New Roman" w:hAnsi="Times New Roman" w:cs="Times New Roman"/>
          <w:lang w:val="ro-MD"/>
        </w:rPr>
        <w:t>se aplică în mod corespunzător, conform prevederilor alin. (3) - (9).</w:t>
      </w:r>
      <w:r w:rsidRPr="000508B6">
        <w:rPr>
          <w:rFonts w:ascii="Times New Roman" w:hAnsi="Times New Roman" w:cs="Times New Roman"/>
          <w:color w:val="FF0000"/>
          <w:lang w:val="ro-MD"/>
        </w:rPr>
        <w:t xml:space="preserve">   </w:t>
      </w:r>
    </w:p>
    <w:p w14:paraId="7B672A9A" w14:textId="4877D34D" w:rsidR="00F95829" w:rsidRPr="000508B6" w:rsidRDefault="00F95829" w:rsidP="00574631">
      <w:pPr>
        <w:numPr>
          <w:ilvl w:val="0"/>
          <w:numId w:val="10"/>
        </w:numPr>
        <w:tabs>
          <w:tab w:val="left" w:pos="709"/>
          <w:tab w:val="left" w:pos="851"/>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limita supravegherea la nivel de grup a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de cel mai înalt </w:t>
      </w:r>
      <w:r w:rsidR="008774CE" w:rsidRPr="000508B6">
        <w:rPr>
          <w:rFonts w:ascii="Times New Roman" w:hAnsi="Times New Roman" w:cs="Times New Roman"/>
          <w:lang w:val="ro-MD"/>
        </w:rPr>
        <w:t xml:space="preserve">rang </w:t>
      </w:r>
      <w:r w:rsidRPr="000508B6">
        <w:rPr>
          <w:rFonts w:ascii="Times New Roman" w:hAnsi="Times New Roman" w:cs="Times New Roman"/>
          <w:lang w:val="ro-MD"/>
        </w:rPr>
        <w:t xml:space="preserve">la nivel </w:t>
      </w:r>
      <w:proofErr w:type="spellStart"/>
      <w:r w:rsidRPr="000508B6">
        <w:rPr>
          <w:rFonts w:ascii="Times New Roman" w:hAnsi="Times New Roman" w:cs="Times New Roman"/>
          <w:lang w:val="ro-MD"/>
        </w:rPr>
        <w:t>naţional</w:t>
      </w:r>
      <w:proofErr w:type="spellEnd"/>
      <w:r w:rsidRPr="000508B6">
        <w:rPr>
          <w:rFonts w:ascii="Times New Roman" w:hAnsi="Times New Roman" w:cs="Times New Roman"/>
          <w:lang w:val="ro-MD"/>
        </w:rPr>
        <w:t xml:space="preserve"> la:      </w:t>
      </w:r>
    </w:p>
    <w:p w14:paraId="3FDA60A3" w14:textId="2C258787" w:rsidR="00F95829" w:rsidRPr="000508B6" w:rsidRDefault="00F95829" w:rsidP="00574631">
      <w:pPr>
        <w:pStyle w:val="Listparagraf"/>
        <w:numPr>
          <w:ilvl w:val="0"/>
          <w:numId w:val="11"/>
        </w:numPr>
        <w:tabs>
          <w:tab w:val="left" w:pos="709"/>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prevederile </w:t>
      </w:r>
      <w:r w:rsidR="009C5AFD" w:rsidRPr="000508B6">
        <w:rPr>
          <w:rFonts w:ascii="Times New Roman" w:hAnsi="Times New Roman" w:cs="Times New Roman"/>
          <w:lang w:val="ro-MD"/>
        </w:rPr>
        <w:t>art. 122-143</w:t>
      </w:r>
      <w:r w:rsidRPr="000508B6">
        <w:rPr>
          <w:rFonts w:ascii="Times New Roman" w:hAnsi="Times New Roman" w:cs="Times New Roman"/>
          <w:lang w:val="ro-MD"/>
        </w:rPr>
        <w:t xml:space="preserve">;   </w:t>
      </w:r>
    </w:p>
    <w:p w14:paraId="37BA2F72" w14:textId="7F9BEF2B" w:rsidR="00F95829" w:rsidRPr="000508B6" w:rsidRDefault="00F95829" w:rsidP="00574631">
      <w:pPr>
        <w:pStyle w:val="Listparagraf"/>
        <w:numPr>
          <w:ilvl w:val="0"/>
          <w:numId w:val="11"/>
        </w:numPr>
        <w:tabs>
          <w:tab w:val="left" w:pos="709"/>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prevederile art. </w:t>
      </w:r>
      <w:r w:rsidR="00B528F9" w:rsidRPr="000508B6">
        <w:rPr>
          <w:rFonts w:ascii="Times New Roman" w:hAnsi="Times New Roman" w:cs="Times New Roman"/>
          <w:lang w:val="ro-MD"/>
        </w:rPr>
        <w:t xml:space="preserve">144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B528F9" w:rsidRPr="000508B6">
        <w:rPr>
          <w:rFonts w:ascii="Times New Roman" w:hAnsi="Times New Roman" w:cs="Times New Roman"/>
          <w:lang w:val="ro-MD"/>
        </w:rPr>
        <w:t>145</w:t>
      </w:r>
      <w:r w:rsidRPr="000508B6">
        <w:rPr>
          <w:rFonts w:ascii="Times New Roman" w:hAnsi="Times New Roman" w:cs="Times New Roman"/>
          <w:lang w:val="ro-MD"/>
        </w:rPr>
        <w:t xml:space="preserve">;   </w:t>
      </w:r>
    </w:p>
    <w:p w14:paraId="7CBB0745" w14:textId="6DD68BF8" w:rsidR="00F95829" w:rsidRPr="000508B6" w:rsidRDefault="00F95829" w:rsidP="00574631">
      <w:pPr>
        <w:pStyle w:val="Listparagraf"/>
        <w:numPr>
          <w:ilvl w:val="0"/>
          <w:numId w:val="11"/>
        </w:numPr>
        <w:tabs>
          <w:tab w:val="left" w:pos="709"/>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prevederile art. </w:t>
      </w:r>
      <w:r w:rsidR="00B528F9" w:rsidRPr="000508B6">
        <w:rPr>
          <w:rFonts w:ascii="Times New Roman" w:hAnsi="Times New Roman" w:cs="Times New Roman"/>
          <w:lang w:val="ro-MD"/>
        </w:rPr>
        <w:t>146</w:t>
      </w:r>
      <w:r w:rsidRPr="000508B6">
        <w:rPr>
          <w:rFonts w:ascii="Times New Roman" w:hAnsi="Times New Roman" w:cs="Times New Roman"/>
          <w:lang w:val="ro-MD"/>
        </w:rPr>
        <w:t xml:space="preserve">;   </w:t>
      </w:r>
    </w:p>
    <w:p w14:paraId="2E12E09F" w14:textId="70A9A3C5" w:rsidR="00F95829" w:rsidRPr="000508B6" w:rsidRDefault="00F95829" w:rsidP="00574631">
      <w:pPr>
        <w:pStyle w:val="Listparagraf"/>
        <w:numPr>
          <w:ilvl w:val="0"/>
          <w:numId w:val="11"/>
        </w:numPr>
        <w:tabs>
          <w:tab w:val="left" w:pos="709"/>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o </w:t>
      </w:r>
      <w:proofErr w:type="spellStart"/>
      <w:r w:rsidRPr="000508B6">
        <w:rPr>
          <w:rFonts w:ascii="Times New Roman" w:hAnsi="Times New Roman" w:cs="Times New Roman"/>
          <w:lang w:val="ro-MD"/>
        </w:rPr>
        <w:t>combinaţie</w:t>
      </w:r>
      <w:proofErr w:type="spellEnd"/>
      <w:r w:rsidRPr="000508B6">
        <w:rPr>
          <w:rFonts w:ascii="Times New Roman" w:hAnsi="Times New Roman" w:cs="Times New Roman"/>
          <w:lang w:val="ro-MD"/>
        </w:rPr>
        <w:t xml:space="preserve"> între prevederile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a)-c)</w:t>
      </w:r>
      <w:r w:rsidR="00703E1A" w:rsidRPr="000508B6">
        <w:rPr>
          <w:rFonts w:ascii="Times New Roman" w:hAnsi="Times New Roman" w:cs="Times New Roman"/>
          <w:lang w:val="ro-MD"/>
        </w:rPr>
        <w:t xml:space="preserve"> </w:t>
      </w:r>
      <w:r w:rsidRPr="000508B6">
        <w:rPr>
          <w:rFonts w:ascii="Times New Roman" w:hAnsi="Times New Roman" w:cs="Times New Roman"/>
          <w:lang w:val="ro-MD"/>
        </w:rPr>
        <w:t xml:space="preserve">. </w:t>
      </w:r>
    </w:p>
    <w:p w14:paraId="254005A9" w14:textId="7512E35F" w:rsidR="00F95829" w:rsidRPr="000508B6" w:rsidRDefault="00F95829" w:rsidP="00F9341B">
      <w:pPr>
        <w:numPr>
          <w:ilvl w:val="0"/>
          <w:numId w:val="10"/>
        </w:numPr>
        <w:tabs>
          <w:tab w:val="left" w:pos="709"/>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decide să aplice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w:t>
      </w:r>
      <w:r w:rsidR="00703E1A" w:rsidRPr="000508B6">
        <w:rPr>
          <w:rFonts w:ascii="Times New Roman" w:hAnsi="Times New Roman" w:cs="Times New Roman"/>
          <w:lang w:val="ro-MD"/>
        </w:rPr>
        <w:t>art. 122-143</w:t>
      </w:r>
      <w:r w:rsidRPr="000508B6">
        <w:rPr>
          <w:rFonts w:ascii="Times New Roman" w:hAnsi="Times New Roman" w:cs="Times New Roman"/>
          <w:lang w:val="ro-MD"/>
        </w:rPr>
        <w:t xml:space="preserve"> </w:t>
      </w:r>
      <w:r w:rsidR="00C076B2" w:rsidRPr="000508B6">
        <w:rPr>
          <w:rFonts w:ascii="Times New Roman" w:hAnsi="Times New Roman" w:cs="Times New Roman"/>
          <w:lang w:val="ro-MD"/>
        </w:rPr>
        <w:t>societății</w:t>
      </w:r>
      <w:r w:rsidR="000B629A" w:rsidRPr="000508B6">
        <w:rPr>
          <w:rFonts w:ascii="Times New Roman" w:hAnsi="Times New Roman" w:cs="Times New Roman"/>
          <w:lang w:val="ro-MD"/>
        </w:rPr>
        <w:t>-</w:t>
      </w:r>
      <w:r w:rsidR="00C076B2" w:rsidRPr="000508B6">
        <w:rPr>
          <w:rFonts w:ascii="Times New Roman" w:hAnsi="Times New Roman" w:cs="Times New Roman"/>
          <w:lang w:val="ro-MD"/>
        </w:rPr>
        <w:t>mamă de cel mai înal</w:t>
      </w:r>
      <w:r w:rsidR="00E82DFE" w:rsidRPr="000508B6">
        <w:rPr>
          <w:rFonts w:ascii="Times New Roman" w:hAnsi="Times New Roman" w:cs="Times New Roman"/>
          <w:lang w:val="ro-MD"/>
        </w:rPr>
        <w:t>t</w:t>
      </w:r>
      <w:r w:rsidR="00C076B2" w:rsidRPr="000508B6">
        <w:rPr>
          <w:rFonts w:ascii="Times New Roman" w:hAnsi="Times New Roman" w:cs="Times New Roman"/>
          <w:lang w:val="ro-MD"/>
        </w:rPr>
        <w:t xml:space="preserve"> rang </w:t>
      </w:r>
      <w:r w:rsidR="004610B7" w:rsidRPr="000508B6">
        <w:rPr>
          <w:rFonts w:ascii="Times New Roman" w:hAnsi="Times New Roman" w:cs="Times New Roman"/>
          <w:lang w:val="ro-MD"/>
        </w:rPr>
        <w:t>la</w:t>
      </w:r>
      <w:r w:rsidR="00C076B2" w:rsidRPr="000508B6">
        <w:rPr>
          <w:rFonts w:ascii="Times New Roman" w:hAnsi="Times New Roman" w:cs="Times New Roman"/>
          <w:lang w:val="ro-MD"/>
        </w:rPr>
        <w:t xml:space="preserve"> nivel național</w:t>
      </w:r>
      <w:r w:rsidRPr="000508B6">
        <w:rPr>
          <w:rFonts w:ascii="Times New Roman" w:hAnsi="Times New Roman" w:cs="Times New Roman"/>
          <w:lang w:val="ro-MD"/>
        </w:rPr>
        <w:t xml:space="preserve">, decizia supraveghetorului coordonator privind metoda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 xml:space="preserve">aleasă de către supraveghetorul coordonator pentru societatea-mamă de rangul cel mai înalt la nivelul statelor membre, conform art. </w:t>
      </w:r>
      <w:r w:rsidR="000F561A" w:rsidRPr="000508B6">
        <w:rPr>
          <w:rFonts w:ascii="Times New Roman" w:hAnsi="Times New Roman" w:cs="Times New Roman"/>
          <w:lang w:val="ro-MD"/>
        </w:rPr>
        <w:t>119</w:t>
      </w:r>
      <w:r w:rsidRPr="000508B6">
        <w:rPr>
          <w:rFonts w:ascii="Times New Roman" w:hAnsi="Times New Roman" w:cs="Times New Roman"/>
          <w:lang w:val="ro-MD"/>
        </w:rPr>
        <w:t xml:space="preserve">, este definitivă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este aplicată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w:t>
      </w:r>
      <w:r w:rsidR="00E260C5" w:rsidRPr="000508B6">
        <w:rPr>
          <w:rFonts w:ascii="Times New Roman" w:hAnsi="Times New Roman" w:cs="Times New Roman"/>
          <w:lang w:val="ro-MD"/>
        </w:rPr>
        <w:t xml:space="preserve">către </w:t>
      </w:r>
      <w:r w:rsidRPr="000508B6">
        <w:rPr>
          <w:rFonts w:ascii="Times New Roman" w:hAnsi="Times New Roman" w:cs="Times New Roman"/>
          <w:lang w:val="ro-MD"/>
        </w:rPr>
        <w:t xml:space="preserve">Banca Națională a Moldovei.  </w:t>
      </w:r>
    </w:p>
    <w:p w14:paraId="2425EC54" w14:textId="1381C944" w:rsidR="00F95829" w:rsidRPr="000508B6" w:rsidRDefault="00F95829" w:rsidP="00574631">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decide să aplice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w:t>
      </w:r>
      <w:r w:rsidR="00C076B2" w:rsidRPr="000508B6">
        <w:rPr>
          <w:rFonts w:ascii="Times New Roman" w:hAnsi="Times New Roman" w:cs="Times New Roman"/>
          <w:lang w:val="ro-MD"/>
        </w:rPr>
        <w:t>art. 122-143</w:t>
      </w:r>
      <w:r w:rsidR="007954E3"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de cel mai înalt </w:t>
      </w:r>
      <w:r w:rsidR="00BC4E84" w:rsidRPr="000508B6">
        <w:rPr>
          <w:rFonts w:ascii="Times New Roman" w:hAnsi="Times New Roman" w:cs="Times New Roman"/>
          <w:lang w:val="ro-MD"/>
        </w:rPr>
        <w:t xml:space="preserve">rang </w:t>
      </w:r>
      <w:r w:rsidRPr="000508B6">
        <w:rPr>
          <w:rFonts w:ascii="Times New Roman" w:hAnsi="Times New Roman" w:cs="Times New Roman"/>
          <w:lang w:val="ro-MD"/>
        </w:rPr>
        <w:t xml:space="preserve">la nivel </w:t>
      </w:r>
      <w:proofErr w:type="spellStart"/>
      <w:r w:rsidRPr="000508B6">
        <w:rPr>
          <w:rFonts w:ascii="Times New Roman" w:hAnsi="Times New Roman" w:cs="Times New Roman"/>
          <w:lang w:val="ro-MD"/>
        </w:rPr>
        <w:t>naţional</w:t>
      </w:r>
      <w:proofErr w:type="spellEnd"/>
      <w:r w:rsidRPr="000508B6">
        <w:rPr>
          <w:rFonts w:ascii="Times New Roman" w:hAnsi="Times New Roman" w:cs="Times New Roman"/>
          <w:lang w:val="ro-MD"/>
        </w:rPr>
        <w:t xml:space="preserve">, dar societatea-mamă de cel mai înalt </w:t>
      </w:r>
      <w:r w:rsidR="00BC4E84" w:rsidRPr="000508B6">
        <w:rPr>
          <w:rFonts w:ascii="Times New Roman" w:hAnsi="Times New Roman" w:cs="Times New Roman"/>
          <w:lang w:val="ro-MD"/>
        </w:rPr>
        <w:t>rang</w:t>
      </w:r>
      <w:r w:rsidRPr="000508B6">
        <w:rPr>
          <w:rFonts w:ascii="Times New Roman" w:hAnsi="Times New Roman" w:cs="Times New Roman"/>
          <w:lang w:val="ro-MD"/>
        </w:rPr>
        <w:t xml:space="preserve"> la nivelul statelor membre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permisiunea de a calcula SCR prin model intern, atât la nivel de grup,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la nivelul </w:t>
      </w:r>
      <w:r w:rsidR="002278F0" w:rsidRPr="000508B6">
        <w:rPr>
          <w:rFonts w:ascii="Times New Roman" w:hAnsi="Times New Roman" w:cs="Times New Roman"/>
          <w:lang w:val="ro-MD"/>
        </w:rPr>
        <w:t xml:space="preserve">asigurătorilor sau </w:t>
      </w:r>
      <w:proofErr w:type="spellStart"/>
      <w:r w:rsidR="002278F0"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w:t>
      </w:r>
      <w:r w:rsidR="0090497D" w:rsidRPr="000508B6">
        <w:rPr>
          <w:rFonts w:ascii="Times New Roman" w:hAnsi="Times New Roman" w:cs="Times New Roman"/>
          <w:lang w:val="ro-MD"/>
        </w:rPr>
        <w:t>care fac parte din</w:t>
      </w:r>
      <w:r w:rsidRPr="000508B6">
        <w:rPr>
          <w:rFonts w:ascii="Times New Roman" w:hAnsi="Times New Roman" w:cs="Times New Roman"/>
          <w:lang w:val="ro-MD"/>
        </w:rPr>
        <w:t xml:space="preserve"> grup, decizia supraveghetorului coordonator este </w:t>
      </w:r>
      <w:r w:rsidR="0090497D" w:rsidRPr="000508B6">
        <w:rPr>
          <w:rFonts w:ascii="Times New Roman" w:hAnsi="Times New Roman" w:cs="Times New Roman"/>
          <w:lang w:val="ro-MD"/>
        </w:rPr>
        <w:t xml:space="preserve">determinantă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este aplicată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Banca Națională a Moldovei.   </w:t>
      </w:r>
    </w:p>
    <w:p w14:paraId="5DE81460" w14:textId="09F23CC1" w:rsidR="00F95829" w:rsidRPr="000508B6" w:rsidRDefault="00F95829" w:rsidP="00574631">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(5), dacă Banca Națională a Moldovei consideră că profilul de risc al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de cel mai înalt </w:t>
      </w:r>
      <w:r w:rsidR="00BC4E84" w:rsidRPr="000508B6">
        <w:rPr>
          <w:rFonts w:ascii="Times New Roman" w:hAnsi="Times New Roman" w:cs="Times New Roman"/>
          <w:lang w:val="ro-MD"/>
        </w:rPr>
        <w:t>rang</w:t>
      </w:r>
      <w:r w:rsidRPr="000508B6">
        <w:rPr>
          <w:rFonts w:ascii="Times New Roman" w:hAnsi="Times New Roman" w:cs="Times New Roman"/>
          <w:lang w:val="ro-MD"/>
        </w:rPr>
        <w:t xml:space="preserve"> la nivel </w:t>
      </w:r>
      <w:proofErr w:type="spellStart"/>
      <w:r w:rsidRPr="000508B6">
        <w:rPr>
          <w:rFonts w:ascii="Times New Roman" w:hAnsi="Times New Roman" w:cs="Times New Roman"/>
          <w:lang w:val="ro-MD"/>
        </w:rPr>
        <w:t>naţional</w:t>
      </w:r>
      <w:proofErr w:type="spellEnd"/>
      <w:r w:rsidRPr="000508B6">
        <w:rPr>
          <w:rFonts w:ascii="Times New Roman" w:hAnsi="Times New Roman" w:cs="Times New Roman"/>
          <w:lang w:val="ro-MD"/>
        </w:rPr>
        <w:t xml:space="preserve"> se abate semnificativ de la modelul intern aprobat la nivelul statelor membre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2278F0" w:rsidRPr="000508B6">
        <w:rPr>
          <w:rFonts w:ascii="Times New Roman" w:hAnsi="Times New Roman" w:cs="Times New Roman"/>
          <w:lang w:val="ro-MD"/>
        </w:rPr>
        <w:t xml:space="preserve">asigurătorul sau </w:t>
      </w:r>
      <w:proofErr w:type="spellStart"/>
      <w:r w:rsidR="002278F0"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respectiv nu remediază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Banca Națională a Moldovei poate:   </w:t>
      </w:r>
    </w:p>
    <w:p w14:paraId="2B629A1E" w14:textId="69BD8986" w:rsidR="00F95829" w:rsidRPr="000508B6" w:rsidRDefault="00F95829" w:rsidP="00F9341B">
      <w:pPr>
        <w:numPr>
          <w:ilvl w:val="0"/>
          <w:numId w:val="1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impună o majorare de capital </w:t>
      </w:r>
      <w:proofErr w:type="spellStart"/>
      <w:r w:rsidRPr="000508B6">
        <w:rPr>
          <w:rFonts w:ascii="Times New Roman" w:hAnsi="Times New Roman" w:cs="Times New Roman"/>
          <w:lang w:val="ro-MD"/>
        </w:rPr>
        <w:t>faţă</w:t>
      </w:r>
      <w:proofErr w:type="spellEnd"/>
      <w:r w:rsidRPr="000508B6">
        <w:rPr>
          <w:rFonts w:ascii="Times New Roman" w:hAnsi="Times New Roman" w:cs="Times New Roman"/>
          <w:lang w:val="ro-MD"/>
        </w:rPr>
        <w:t xml:space="preserve"> de SCR rezultată din utilizarea modelului respectiv;   </w:t>
      </w:r>
    </w:p>
    <w:p w14:paraId="00BF3251" w14:textId="002E83C5" w:rsidR="00F95829" w:rsidRPr="000508B6" w:rsidRDefault="00F95829" w:rsidP="00CF5AFA">
      <w:pPr>
        <w:numPr>
          <w:ilvl w:val="0"/>
          <w:numId w:val="12"/>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impună calcularea SCR la nivel de grup cu formula standard dacă majorarea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lit. a) se </w:t>
      </w:r>
      <w:proofErr w:type="spellStart"/>
      <w:r w:rsidRPr="000508B6">
        <w:rPr>
          <w:rFonts w:ascii="Times New Roman" w:hAnsi="Times New Roman" w:cs="Times New Roman"/>
          <w:lang w:val="ro-MD"/>
        </w:rPr>
        <w:t>dovedeşte</w:t>
      </w:r>
      <w:proofErr w:type="spellEnd"/>
      <w:r w:rsidR="0090497D" w:rsidRPr="000508B6">
        <w:rPr>
          <w:rFonts w:ascii="Times New Roman" w:hAnsi="Times New Roman" w:cs="Times New Roman"/>
          <w:lang w:val="ro-MD"/>
        </w:rPr>
        <w:t xml:space="preserve"> a fi</w:t>
      </w:r>
      <w:r w:rsidRPr="000508B6">
        <w:rPr>
          <w:rFonts w:ascii="Times New Roman" w:hAnsi="Times New Roman" w:cs="Times New Roman"/>
          <w:lang w:val="ro-MD"/>
        </w:rPr>
        <w:t xml:space="preserve"> inadecvată.   </w:t>
      </w:r>
    </w:p>
    <w:p w14:paraId="41F9F07E" w14:textId="13BE2217" w:rsidR="00F95829" w:rsidRPr="000508B6" w:rsidRDefault="00F95829" w:rsidP="00574631">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motivează decizia adoptată pentru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prevăzută la alin. (6), atât </w:t>
      </w:r>
      <w:proofErr w:type="spellStart"/>
      <w:r w:rsidRPr="000508B6">
        <w:rPr>
          <w:rFonts w:ascii="Times New Roman" w:hAnsi="Times New Roman" w:cs="Times New Roman"/>
          <w:lang w:val="ro-MD"/>
        </w:rPr>
        <w:t>faţă</w:t>
      </w:r>
      <w:proofErr w:type="spellEnd"/>
      <w:r w:rsidRPr="000508B6">
        <w:rPr>
          <w:rFonts w:ascii="Times New Roman" w:hAnsi="Times New Roman" w:cs="Times New Roman"/>
          <w:lang w:val="ro-MD"/>
        </w:rPr>
        <w:t xml:space="preserve"> de supraveghetorul coordonator,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faţă</w:t>
      </w:r>
      <w:proofErr w:type="spellEnd"/>
      <w:r w:rsidRPr="000508B6">
        <w:rPr>
          <w:rFonts w:ascii="Times New Roman" w:hAnsi="Times New Roman" w:cs="Times New Roman"/>
          <w:lang w:val="ro-MD"/>
        </w:rPr>
        <w:t xml:space="preserve"> de societatea-mamă de cel mai înalt </w:t>
      </w:r>
      <w:r w:rsidR="00BC4E84" w:rsidRPr="000508B6">
        <w:rPr>
          <w:rFonts w:ascii="Times New Roman" w:hAnsi="Times New Roman" w:cs="Times New Roman"/>
          <w:lang w:val="ro-MD"/>
        </w:rPr>
        <w:t xml:space="preserve">rang </w:t>
      </w:r>
      <w:r w:rsidRPr="000508B6">
        <w:rPr>
          <w:rFonts w:ascii="Times New Roman" w:hAnsi="Times New Roman" w:cs="Times New Roman"/>
          <w:lang w:val="ro-MD"/>
        </w:rPr>
        <w:t xml:space="preserve">la nivel </w:t>
      </w:r>
      <w:proofErr w:type="spellStart"/>
      <w:r w:rsidRPr="000508B6">
        <w:rPr>
          <w:rFonts w:ascii="Times New Roman" w:hAnsi="Times New Roman" w:cs="Times New Roman"/>
          <w:lang w:val="ro-MD"/>
        </w:rPr>
        <w:t>naţional</w:t>
      </w:r>
      <w:proofErr w:type="spellEnd"/>
      <w:r w:rsidRPr="000508B6">
        <w:rPr>
          <w:rFonts w:ascii="Times New Roman" w:hAnsi="Times New Roman" w:cs="Times New Roman"/>
          <w:lang w:val="ro-MD"/>
        </w:rPr>
        <w:t xml:space="preserve">.   </w:t>
      </w:r>
    </w:p>
    <w:p w14:paraId="2C8BEBEA" w14:textId="285D060E" w:rsidR="00F95829" w:rsidRPr="000508B6" w:rsidRDefault="00F95829" w:rsidP="00574631">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decide să aplice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w:t>
      </w:r>
      <w:r w:rsidR="00C076B2" w:rsidRPr="000508B6">
        <w:rPr>
          <w:rFonts w:ascii="Times New Roman" w:hAnsi="Times New Roman" w:cs="Times New Roman"/>
          <w:lang w:val="ro-MD"/>
        </w:rPr>
        <w:t>art. 122-143</w:t>
      </w:r>
      <w:r w:rsidRPr="000508B6">
        <w:rPr>
          <w:rFonts w:ascii="Times New Roman" w:hAnsi="Times New Roman" w:cs="Times New Roman"/>
          <w:lang w:val="ro-MD"/>
        </w:rPr>
        <w:t xml:space="preserve">, filialele </w:t>
      </w:r>
      <w:proofErr w:type="spellStart"/>
      <w:r w:rsidRPr="000508B6">
        <w:rPr>
          <w:rFonts w:ascii="Times New Roman" w:hAnsi="Times New Roman" w:cs="Times New Roman"/>
          <w:lang w:val="ro-MD"/>
        </w:rPr>
        <w:t>societăţii</w:t>
      </w:r>
      <w:proofErr w:type="spellEnd"/>
      <w:r w:rsidR="00AF6F6D" w:rsidRPr="000508B6">
        <w:rPr>
          <w:rFonts w:ascii="Times New Roman" w:hAnsi="Times New Roman" w:cs="Times New Roman"/>
          <w:lang w:val="ro-MD"/>
        </w:rPr>
        <w:t>-</w:t>
      </w:r>
      <w:r w:rsidRPr="000508B6">
        <w:rPr>
          <w:rFonts w:ascii="Times New Roman" w:hAnsi="Times New Roman" w:cs="Times New Roman"/>
          <w:lang w:val="ro-MD"/>
        </w:rPr>
        <w:t xml:space="preserve">mamă de cel mai înalt </w:t>
      </w:r>
      <w:r w:rsidR="00BC4E84" w:rsidRPr="000508B6">
        <w:rPr>
          <w:rFonts w:ascii="Times New Roman" w:hAnsi="Times New Roman" w:cs="Times New Roman"/>
          <w:lang w:val="ro-MD"/>
        </w:rPr>
        <w:t xml:space="preserve">rang </w:t>
      </w:r>
      <w:r w:rsidRPr="000508B6">
        <w:rPr>
          <w:rFonts w:ascii="Times New Roman" w:hAnsi="Times New Roman" w:cs="Times New Roman"/>
          <w:lang w:val="ro-MD"/>
        </w:rPr>
        <w:t xml:space="preserve">la nivel </w:t>
      </w:r>
      <w:proofErr w:type="spellStart"/>
      <w:r w:rsidRPr="000508B6">
        <w:rPr>
          <w:rFonts w:ascii="Times New Roman" w:hAnsi="Times New Roman" w:cs="Times New Roman"/>
          <w:lang w:val="ro-MD"/>
        </w:rPr>
        <w:t>naţional</w:t>
      </w:r>
      <w:proofErr w:type="spellEnd"/>
      <w:r w:rsidRPr="000508B6">
        <w:rPr>
          <w:rFonts w:ascii="Times New Roman" w:hAnsi="Times New Roman" w:cs="Times New Roman"/>
          <w:lang w:val="ro-MD"/>
        </w:rPr>
        <w:t xml:space="preserve"> nu sunt supuse prevederilor art. </w:t>
      </w:r>
      <w:r w:rsidR="00BF3E1D" w:rsidRPr="000508B6">
        <w:rPr>
          <w:rFonts w:ascii="Times New Roman" w:hAnsi="Times New Roman" w:cs="Times New Roman"/>
          <w:lang w:val="ro-MD"/>
        </w:rPr>
        <w:t>142</w:t>
      </w:r>
      <w:r w:rsidRPr="000508B6">
        <w:rPr>
          <w:rFonts w:ascii="Times New Roman" w:hAnsi="Times New Roman" w:cs="Times New Roman"/>
          <w:lang w:val="ro-MD"/>
        </w:rPr>
        <w:t xml:space="preserve">, chiar dacă sunt îndeplinite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prevăzute la art. </w:t>
      </w:r>
      <w:r w:rsidR="00BF3E1D" w:rsidRPr="000508B6">
        <w:rPr>
          <w:rFonts w:ascii="Times New Roman" w:hAnsi="Times New Roman" w:cs="Times New Roman"/>
          <w:lang w:val="ro-MD"/>
        </w:rPr>
        <w:t>141</w:t>
      </w:r>
      <w:r w:rsidR="00CA2D64" w:rsidRPr="000508B6">
        <w:rPr>
          <w:rFonts w:ascii="Times New Roman" w:hAnsi="Times New Roman" w:cs="Times New Roman"/>
          <w:lang w:val="ro-MD"/>
        </w:rPr>
        <w:t xml:space="preserve"> </w:t>
      </w:r>
      <w:r w:rsidRPr="000508B6">
        <w:rPr>
          <w:rFonts w:ascii="Times New Roman" w:hAnsi="Times New Roman" w:cs="Times New Roman"/>
          <w:lang w:val="ro-MD"/>
        </w:rPr>
        <w:t xml:space="preserve">sau </w:t>
      </w:r>
      <w:r w:rsidR="00BF3E1D" w:rsidRPr="000508B6">
        <w:rPr>
          <w:rFonts w:ascii="Times New Roman" w:hAnsi="Times New Roman" w:cs="Times New Roman"/>
          <w:lang w:val="ro-MD"/>
        </w:rPr>
        <w:t>143</w:t>
      </w:r>
      <w:r w:rsidRPr="000508B6">
        <w:rPr>
          <w:rFonts w:ascii="Times New Roman" w:hAnsi="Times New Roman" w:cs="Times New Roman"/>
          <w:lang w:val="ro-MD"/>
        </w:rPr>
        <w:t xml:space="preserve">.   </w:t>
      </w:r>
    </w:p>
    <w:p w14:paraId="3297E7EC" w14:textId="297C8091" w:rsidR="00F95829" w:rsidRPr="000508B6" w:rsidRDefault="00F95829" w:rsidP="00574631">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Prevederile alin. (1) nu se aplică în cazul în care societatea-mamă de cel mai înalt </w:t>
      </w:r>
      <w:r w:rsidR="00BC4E84" w:rsidRPr="000508B6">
        <w:rPr>
          <w:rFonts w:ascii="Times New Roman" w:hAnsi="Times New Roman" w:cs="Times New Roman"/>
          <w:lang w:val="ro-MD"/>
        </w:rPr>
        <w:t>rang</w:t>
      </w:r>
      <w:r w:rsidRPr="000508B6">
        <w:rPr>
          <w:rFonts w:ascii="Times New Roman" w:hAnsi="Times New Roman" w:cs="Times New Roman"/>
          <w:lang w:val="ro-MD"/>
        </w:rPr>
        <w:t xml:space="preserve"> la nivelul statelor membre a </w:t>
      </w:r>
      <w:proofErr w:type="spellStart"/>
      <w:r w:rsidRPr="000508B6">
        <w:rPr>
          <w:rFonts w:ascii="Times New Roman" w:hAnsi="Times New Roman" w:cs="Times New Roman"/>
          <w:lang w:val="ro-MD"/>
        </w:rPr>
        <w:t>obţinut</w:t>
      </w:r>
      <w:proofErr w:type="spellEnd"/>
      <w:r w:rsidRPr="000508B6">
        <w:rPr>
          <w:rFonts w:ascii="Times New Roman" w:hAnsi="Times New Roman" w:cs="Times New Roman"/>
          <w:lang w:val="ro-MD"/>
        </w:rPr>
        <w:t xml:space="preserve"> aprobarea de a calcula cu modelul intern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MCR la nivel de grup pentru filialele sale, în conformitate cu art. </w:t>
      </w:r>
      <w:r w:rsidR="00BF3E1D" w:rsidRPr="000508B6">
        <w:rPr>
          <w:rFonts w:ascii="Times New Roman" w:hAnsi="Times New Roman" w:cs="Times New Roman"/>
          <w:lang w:val="ro-MD"/>
        </w:rPr>
        <w:t>193</w:t>
      </w:r>
      <w:r w:rsidR="00120178"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(9).     </w:t>
      </w:r>
    </w:p>
    <w:p w14:paraId="4AA727D9" w14:textId="4CB8954F" w:rsidR="00016371" w:rsidRPr="000508B6" w:rsidRDefault="00F9426D" w:rsidP="00F9426D">
      <w:pPr>
        <w:numPr>
          <w:ilvl w:val="0"/>
          <w:numId w:val="1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w:t>
      </w:r>
      <w:r w:rsidR="008C4240" w:rsidRPr="000508B6">
        <w:rPr>
          <w:rFonts w:ascii="Times New Roman" w:hAnsi="Times New Roman" w:cs="Times New Roman"/>
          <w:lang w:val="ro-MD"/>
        </w:rPr>
        <w:t xml:space="preserve">ondițiile </w:t>
      </w:r>
      <w:r w:rsidRPr="000508B6">
        <w:rPr>
          <w:rFonts w:ascii="Times New Roman" w:hAnsi="Times New Roman" w:cs="Times New Roman"/>
          <w:lang w:val="ro-MD"/>
        </w:rPr>
        <w:t>î</w:t>
      </w:r>
      <w:r w:rsidR="008C4240" w:rsidRPr="000508B6">
        <w:rPr>
          <w:rFonts w:ascii="Times New Roman" w:hAnsi="Times New Roman" w:cs="Times New Roman"/>
          <w:lang w:val="ro-MD"/>
        </w:rPr>
        <w:t xml:space="preserve">n care se adoptă deciziile similare </w:t>
      </w:r>
      <w:r w:rsidRPr="000508B6">
        <w:rPr>
          <w:rFonts w:ascii="Times New Roman" w:hAnsi="Times New Roman" w:cs="Times New Roman"/>
          <w:lang w:val="ro-MD"/>
        </w:rPr>
        <w:t xml:space="preserve">celei prevăzute la alin. (1), </w:t>
      </w:r>
      <w:r w:rsidR="008C4240" w:rsidRPr="000508B6">
        <w:rPr>
          <w:rFonts w:ascii="Times New Roman" w:hAnsi="Times New Roman" w:cs="Times New Roman"/>
          <w:lang w:val="ro-MD"/>
        </w:rPr>
        <w:t>se stabilesc prin actele normative ale Băncii Naționale a Moldovei.</w:t>
      </w:r>
    </w:p>
    <w:p w14:paraId="21CE7001" w14:textId="77777777" w:rsidR="00F9426D" w:rsidRPr="000508B6" w:rsidRDefault="00F9426D" w:rsidP="008B530F">
      <w:pPr>
        <w:tabs>
          <w:tab w:val="left" w:pos="993"/>
        </w:tabs>
        <w:spacing w:after="0" w:line="240" w:lineRule="auto"/>
        <w:ind w:firstLine="426"/>
        <w:jc w:val="both"/>
        <w:rPr>
          <w:rFonts w:ascii="Times New Roman" w:hAnsi="Times New Roman" w:cs="Times New Roman"/>
          <w:b/>
          <w:lang w:val="ro-MD"/>
        </w:rPr>
      </w:pPr>
    </w:p>
    <w:p w14:paraId="08A907C1" w14:textId="01801399" w:rsidR="00F95829" w:rsidRPr="000508B6" w:rsidRDefault="0005617E"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121</w:t>
      </w:r>
      <w:r w:rsidR="00F95829" w:rsidRPr="000508B6">
        <w:rPr>
          <w:rFonts w:ascii="Times New Roman" w:hAnsi="Times New Roman" w:cs="Times New Roman"/>
          <w:b/>
          <w:lang w:val="ro-MD"/>
        </w:rPr>
        <w:t xml:space="preserve">. </w:t>
      </w:r>
      <w:r w:rsidR="00F95829" w:rsidRPr="000508B6">
        <w:rPr>
          <w:rFonts w:ascii="Times New Roman" w:hAnsi="Times New Roman" w:cs="Times New Roman"/>
          <w:lang w:val="ro-MD"/>
        </w:rPr>
        <w:t xml:space="preserve"> Supravegherea la nivel de subgrup  </w:t>
      </w:r>
    </w:p>
    <w:p w14:paraId="579B215F" w14:textId="74126A2C" w:rsidR="00F95829" w:rsidRPr="000508B6" w:rsidRDefault="00F95829" w:rsidP="00574631">
      <w:pPr>
        <w:numPr>
          <w:ilvl w:val="0"/>
          <w:numId w:val="13"/>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aplicării prevederilor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46436C" w:rsidRPr="000508B6">
        <w:rPr>
          <w:rFonts w:ascii="Times New Roman" w:hAnsi="Times New Roman" w:cs="Times New Roman"/>
          <w:lang w:val="ro-MD"/>
        </w:rPr>
        <w:t>120</w:t>
      </w:r>
      <w:r w:rsidRPr="000508B6">
        <w:rPr>
          <w:rFonts w:ascii="Times New Roman" w:hAnsi="Times New Roman" w:cs="Times New Roman"/>
          <w:lang w:val="ro-MD"/>
        </w:rPr>
        <w:t xml:space="preserve">, Banca Națională a Moldovei poate încheia un acord cu </w:t>
      </w:r>
      <w:r w:rsidR="00072F41" w:rsidRPr="000508B6">
        <w:rPr>
          <w:rFonts w:ascii="Times New Roman" w:hAnsi="Times New Roman" w:cs="Times New Roman"/>
          <w:lang w:val="ro-MD"/>
        </w:rPr>
        <w:t>supraveghetorii</w:t>
      </w:r>
      <w:r w:rsidR="00B6214D" w:rsidRPr="000508B6">
        <w:rPr>
          <w:rFonts w:ascii="Times New Roman" w:hAnsi="Times New Roman" w:cs="Times New Roman"/>
          <w:lang w:val="ro-MD"/>
        </w:rPr>
        <w:t xml:space="preserve"> din alte</w:t>
      </w:r>
      <w:r w:rsidRPr="000508B6">
        <w:rPr>
          <w:rFonts w:ascii="Times New Roman" w:hAnsi="Times New Roman" w:cs="Times New Roman"/>
          <w:lang w:val="ro-MD"/>
        </w:rPr>
        <w:t xml:space="preserve"> state membre în care este prezentă o filială a grupului tratată ca </w:t>
      </w:r>
      <w:r w:rsidRPr="000508B6">
        <w:rPr>
          <w:rFonts w:ascii="Times New Roman" w:hAnsi="Times New Roman" w:cs="Times New Roman"/>
          <w:lang w:val="ro-MD"/>
        </w:rPr>
        <w:lastRenderedPageBreak/>
        <w:t xml:space="preserve">societate-mamă de cel mai înalt </w:t>
      </w:r>
      <w:r w:rsidR="00BC4E84" w:rsidRPr="000508B6">
        <w:rPr>
          <w:rFonts w:ascii="Times New Roman" w:hAnsi="Times New Roman" w:cs="Times New Roman"/>
          <w:lang w:val="ro-MD"/>
        </w:rPr>
        <w:t>rang</w:t>
      </w:r>
      <w:r w:rsidRPr="000508B6">
        <w:rPr>
          <w:rFonts w:ascii="Times New Roman" w:hAnsi="Times New Roman" w:cs="Times New Roman"/>
          <w:lang w:val="ro-MD"/>
        </w:rPr>
        <w:t xml:space="preserve"> la nivel </w:t>
      </w:r>
      <w:proofErr w:type="spellStart"/>
      <w:r w:rsidRPr="000508B6">
        <w:rPr>
          <w:rFonts w:ascii="Times New Roman" w:hAnsi="Times New Roman" w:cs="Times New Roman"/>
          <w:lang w:val="ro-MD"/>
        </w:rPr>
        <w:t>naţional</w:t>
      </w:r>
      <w:proofErr w:type="spellEnd"/>
      <w:r w:rsidRPr="000508B6">
        <w:rPr>
          <w:rFonts w:ascii="Times New Roman" w:hAnsi="Times New Roman" w:cs="Times New Roman"/>
          <w:lang w:val="ro-MD"/>
        </w:rPr>
        <w:t xml:space="preserve">, cu scopul de a se realiza supravegherea de grup la nivel de subgrup situat în </w:t>
      </w:r>
      <w:r w:rsidR="002A606D" w:rsidRPr="000508B6">
        <w:rPr>
          <w:rFonts w:ascii="Times New Roman" w:hAnsi="Times New Roman" w:cs="Times New Roman"/>
          <w:lang w:val="ro-MD"/>
        </w:rPr>
        <w:t>Republica Moldova</w:t>
      </w:r>
      <w:r w:rsidRPr="000508B6">
        <w:rPr>
          <w:rFonts w:ascii="Times New Roman" w:hAnsi="Times New Roman" w:cs="Times New Roman"/>
          <w:lang w:val="ro-MD"/>
        </w:rPr>
        <w:t xml:space="preserve"> </w:t>
      </w:r>
      <w:r w:rsidR="002A606D" w:rsidRPr="000508B6">
        <w:rPr>
          <w:rFonts w:ascii="Times New Roman" w:hAnsi="Times New Roman" w:cs="Times New Roman"/>
          <w:lang w:val="ro-MD"/>
        </w:rPr>
        <w:t xml:space="preserve">și </w:t>
      </w:r>
      <w:r w:rsidRPr="000508B6">
        <w:rPr>
          <w:rFonts w:ascii="Times New Roman" w:hAnsi="Times New Roman" w:cs="Times New Roman"/>
          <w:lang w:val="ro-MD"/>
        </w:rPr>
        <w:t xml:space="preserve">mai multe state membre. </w:t>
      </w:r>
    </w:p>
    <w:p w14:paraId="755C246E" w14:textId="7CCA32F9" w:rsidR="00F95829" w:rsidRPr="000508B6" w:rsidRDefault="00F95829" w:rsidP="00574631">
      <w:pPr>
        <w:numPr>
          <w:ilvl w:val="0"/>
          <w:numId w:val="13"/>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nu poate aplica supravegherea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art. </w:t>
      </w:r>
      <w:r w:rsidR="00BD6586" w:rsidRPr="000508B6">
        <w:rPr>
          <w:rFonts w:ascii="Times New Roman" w:hAnsi="Times New Roman" w:cs="Times New Roman"/>
          <w:lang w:val="ro-MD"/>
        </w:rPr>
        <w:t xml:space="preserve">120 </w:t>
      </w:r>
      <w:r w:rsidR="00120178" w:rsidRPr="000508B6">
        <w:rPr>
          <w:rFonts w:ascii="Times New Roman" w:hAnsi="Times New Roman" w:cs="Times New Roman"/>
          <w:lang w:val="ro-MD"/>
        </w:rPr>
        <w:t xml:space="preserve"> </w:t>
      </w:r>
      <w:r w:rsidRPr="000508B6">
        <w:rPr>
          <w:rFonts w:ascii="Times New Roman" w:hAnsi="Times New Roman" w:cs="Times New Roman"/>
          <w:lang w:val="ro-MD"/>
        </w:rPr>
        <w:t>pentru o filială a unui grup</w:t>
      </w:r>
      <w:r w:rsidR="003B43A7" w:rsidRPr="000508B6">
        <w:rPr>
          <w:rFonts w:ascii="Times New Roman" w:hAnsi="Times New Roman" w:cs="Times New Roman"/>
          <w:lang w:val="ro-MD"/>
        </w:rPr>
        <w:t>,</w:t>
      </w:r>
      <w:r w:rsidRPr="000508B6">
        <w:rPr>
          <w:rFonts w:ascii="Times New Roman" w:hAnsi="Times New Roman" w:cs="Times New Roman"/>
          <w:lang w:val="ro-MD"/>
        </w:rPr>
        <w:t xml:space="preserve"> dacă alte </w:t>
      </w:r>
      <w:proofErr w:type="spellStart"/>
      <w:r w:rsidRPr="000508B6">
        <w:rPr>
          <w:rFonts w:ascii="Times New Roman" w:hAnsi="Times New Roman" w:cs="Times New Roman"/>
          <w:lang w:val="ro-MD"/>
        </w:rPr>
        <w:t>autorităţi</w:t>
      </w:r>
      <w:proofErr w:type="spellEnd"/>
      <w:r w:rsidRPr="000508B6">
        <w:rPr>
          <w:rFonts w:ascii="Times New Roman" w:hAnsi="Times New Roman" w:cs="Times New Roman"/>
          <w:lang w:val="ro-MD"/>
        </w:rPr>
        <w:t xml:space="preserve"> încheie un acord în sensul alin. (1) pentru alte filiale ale grupului respectiv</w:t>
      </w:r>
      <w:r w:rsidR="00B4552F" w:rsidRPr="000508B6">
        <w:rPr>
          <w:rFonts w:ascii="Times New Roman" w:hAnsi="Times New Roman" w:cs="Times New Roman"/>
          <w:lang w:val="ro-MD"/>
        </w:rPr>
        <w:t>.</w:t>
      </w:r>
      <w:r w:rsidRPr="000508B6">
        <w:rPr>
          <w:rFonts w:ascii="Times New Roman" w:hAnsi="Times New Roman" w:cs="Times New Roman"/>
          <w:lang w:val="ro-MD"/>
        </w:rPr>
        <w:t xml:space="preserve">   </w:t>
      </w:r>
    </w:p>
    <w:p w14:paraId="6D21F111" w14:textId="42988F44" w:rsidR="00AC706A" w:rsidRPr="000508B6" w:rsidRDefault="00AC706A" w:rsidP="00574631">
      <w:pPr>
        <w:numPr>
          <w:ilvl w:val="0"/>
          <w:numId w:val="13"/>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Prevederile art. 120 alin. (2) - (9) se aplică în mod corespunzător</w:t>
      </w:r>
      <w:r w:rsidR="00153F0B" w:rsidRPr="000508B6">
        <w:rPr>
          <w:rFonts w:ascii="Times New Roman" w:hAnsi="Times New Roman" w:cs="Times New Roman"/>
          <w:lang w:val="ro-MD"/>
        </w:rPr>
        <w:t xml:space="preserve">. </w:t>
      </w:r>
    </w:p>
    <w:p w14:paraId="7B014485" w14:textId="2AB37B93" w:rsidR="00DD3BDE" w:rsidRPr="000508B6" w:rsidRDefault="00DD3BDE" w:rsidP="00574631">
      <w:pPr>
        <w:numPr>
          <w:ilvl w:val="0"/>
          <w:numId w:val="13"/>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prezintă supraveghetorului coordonator și </w:t>
      </w:r>
      <w:r w:rsidR="007D20BC" w:rsidRPr="000508B6">
        <w:rPr>
          <w:rFonts w:ascii="Times New Roman" w:hAnsi="Times New Roman" w:cs="Times New Roman"/>
          <w:lang w:val="ro-MD"/>
        </w:rPr>
        <w:t>societății</w:t>
      </w:r>
      <w:r w:rsidRPr="000508B6">
        <w:rPr>
          <w:rFonts w:ascii="Times New Roman" w:hAnsi="Times New Roman" w:cs="Times New Roman"/>
          <w:lang w:val="ro-MD"/>
        </w:rPr>
        <w:t>-mamă</w:t>
      </w:r>
      <w:r w:rsidR="007D20BC" w:rsidRPr="000508B6">
        <w:rPr>
          <w:rFonts w:ascii="Times New Roman" w:hAnsi="Times New Roman" w:cs="Times New Roman"/>
          <w:lang w:val="ro-MD"/>
        </w:rPr>
        <w:t xml:space="preserve"> de cel mai înalt rang la nivelul statelor membre,</w:t>
      </w:r>
      <w:r w:rsidRPr="000508B6">
        <w:rPr>
          <w:rFonts w:ascii="Times New Roman" w:hAnsi="Times New Roman" w:cs="Times New Roman"/>
          <w:lang w:val="ro-MD"/>
        </w:rPr>
        <w:t xml:space="preserve"> motive</w:t>
      </w:r>
      <w:r w:rsidR="007D20BC" w:rsidRPr="000508B6">
        <w:rPr>
          <w:rFonts w:ascii="Times New Roman" w:hAnsi="Times New Roman" w:cs="Times New Roman"/>
          <w:lang w:val="ro-MD"/>
        </w:rPr>
        <w:t>le încheierii acordului prevăzut la alin. (1).</w:t>
      </w:r>
      <w:r w:rsidR="004F785C" w:rsidRPr="000508B6">
        <w:rPr>
          <w:rFonts w:ascii="Times New Roman" w:hAnsi="Times New Roman" w:cs="Times New Roman"/>
          <w:lang w:val="ro-MD"/>
        </w:rPr>
        <w:t xml:space="preserve"> </w:t>
      </w:r>
    </w:p>
    <w:p w14:paraId="138864AA" w14:textId="73ABEAC1" w:rsidR="008F3B7D" w:rsidRPr="000508B6" w:rsidRDefault="008F3B7D" w:rsidP="00574631">
      <w:pPr>
        <w:numPr>
          <w:ilvl w:val="0"/>
          <w:numId w:val="13"/>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Circumstanțele în care se poate încheia acordul menționat la alineatul (1) de la prezentul articol se stabilesc prin actele normative ale Băncii Naționale a Moldovei.</w:t>
      </w:r>
    </w:p>
    <w:p w14:paraId="7F0CF1F1" w14:textId="77777777" w:rsidR="00A548BD" w:rsidRPr="000508B6" w:rsidRDefault="00A548BD" w:rsidP="008B530F">
      <w:pPr>
        <w:tabs>
          <w:tab w:val="left" w:pos="993"/>
        </w:tabs>
        <w:spacing w:after="0" w:line="240" w:lineRule="auto"/>
        <w:ind w:firstLine="426"/>
        <w:jc w:val="center"/>
        <w:rPr>
          <w:rFonts w:ascii="Times New Roman" w:hAnsi="Times New Roman" w:cs="Times New Roman"/>
          <w:lang w:val="ro-MD"/>
        </w:rPr>
      </w:pPr>
    </w:p>
    <w:p w14:paraId="2B431A68" w14:textId="77777777" w:rsidR="00F95829" w:rsidRPr="000508B6" w:rsidRDefault="00F95829" w:rsidP="008B530F">
      <w:pPr>
        <w:tabs>
          <w:tab w:val="left" w:pos="993"/>
        </w:tabs>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Secțiunea a 2-a</w:t>
      </w:r>
    </w:p>
    <w:p w14:paraId="4858D4F5" w14:textId="77777777" w:rsidR="00F95829" w:rsidRPr="000508B6" w:rsidRDefault="00F95829" w:rsidP="008B530F">
      <w:pPr>
        <w:tabs>
          <w:tab w:val="left" w:pos="993"/>
        </w:tabs>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Solvabilitatea la nivel de grup</w:t>
      </w:r>
    </w:p>
    <w:p w14:paraId="12EE984B" w14:textId="77777777" w:rsidR="00F95829" w:rsidRPr="000508B6" w:rsidRDefault="00F95829" w:rsidP="008B530F">
      <w:pPr>
        <w:tabs>
          <w:tab w:val="left" w:pos="993"/>
        </w:tabs>
        <w:spacing w:after="0" w:line="240" w:lineRule="auto"/>
        <w:ind w:firstLine="426"/>
        <w:jc w:val="center"/>
        <w:rPr>
          <w:rFonts w:ascii="Times New Roman" w:hAnsi="Times New Roman" w:cs="Times New Roman"/>
          <w:b/>
          <w:lang w:val="ro-MD"/>
        </w:rPr>
      </w:pPr>
    </w:p>
    <w:p w14:paraId="66552E31" w14:textId="77777777" w:rsidR="00F95829" w:rsidRPr="000508B6" w:rsidRDefault="00F95829" w:rsidP="008B530F">
      <w:pPr>
        <w:tabs>
          <w:tab w:val="left" w:pos="993"/>
        </w:tabs>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Subsecțiunea 2.1 </w:t>
      </w:r>
    </w:p>
    <w:p w14:paraId="6CD9E970" w14:textId="77777777" w:rsidR="00F95829" w:rsidRPr="000508B6" w:rsidRDefault="00F95829" w:rsidP="008B530F">
      <w:pPr>
        <w:tabs>
          <w:tab w:val="left" w:pos="993"/>
        </w:tabs>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Fondurile proprii </w:t>
      </w:r>
      <w:proofErr w:type="spellStart"/>
      <w:r w:rsidRPr="000508B6">
        <w:rPr>
          <w:rFonts w:ascii="Times New Roman" w:hAnsi="Times New Roman" w:cs="Times New Roman"/>
          <w:b/>
          <w:lang w:val="ro-MD"/>
        </w:rPr>
        <w:t>şi</w:t>
      </w:r>
      <w:proofErr w:type="spellEnd"/>
      <w:r w:rsidRPr="000508B6">
        <w:rPr>
          <w:rFonts w:ascii="Times New Roman" w:hAnsi="Times New Roman" w:cs="Times New Roman"/>
          <w:b/>
          <w:lang w:val="ro-MD"/>
        </w:rPr>
        <w:t xml:space="preserve"> calcularea </w:t>
      </w:r>
      <w:proofErr w:type="spellStart"/>
      <w:r w:rsidRPr="000508B6">
        <w:rPr>
          <w:rFonts w:ascii="Times New Roman" w:hAnsi="Times New Roman" w:cs="Times New Roman"/>
          <w:b/>
          <w:lang w:val="ro-MD"/>
        </w:rPr>
        <w:t>solvabilităţii</w:t>
      </w:r>
      <w:proofErr w:type="spellEnd"/>
      <w:r w:rsidRPr="000508B6">
        <w:rPr>
          <w:rFonts w:ascii="Times New Roman" w:hAnsi="Times New Roman" w:cs="Times New Roman"/>
          <w:b/>
          <w:lang w:val="ro-MD"/>
        </w:rPr>
        <w:t xml:space="preserve"> la nivel de grup</w:t>
      </w:r>
    </w:p>
    <w:p w14:paraId="7EDD4D25" w14:textId="77777777" w:rsidR="00F95829" w:rsidRPr="000508B6" w:rsidRDefault="00F95829" w:rsidP="008B530F">
      <w:pPr>
        <w:tabs>
          <w:tab w:val="left" w:pos="993"/>
        </w:tabs>
        <w:spacing w:after="0" w:line="240" w:lineRule="auto"/>
        <w:ind w:firstLine="426"/>
        <w:jc w:val="center"/>
        <w:rPr>
          <w:rFonts w:ascii="Times New Roman" w:hAnsi="Times New Roman" w:cs="Times New Roman"/>
          <w:lang w:val="ro-MD"/>
        </w:rPr>
      </w:pPr>
    </w:p>
    <w:p w14:paraId="0AE56E2B" w14:textId="0988D2D3"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122</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Prevederi generale  </w:t>
      </w:r>
    </w:p>
    <w:p w14:paraId="1EC0267D" w14:textId="1E0E6E8B" w:rsidR="00F95829" w:rsidRPr="000508B6" w:rsidRDefault="00F9341B" w:rsidP="00574631">
      <w:pPr>
        <w:numPr>
          <w:ilvl w:val="0"/>
          <w:numId w:val="1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w:t>
      </w:r>
      <w:r w:rsidR="002A606D" w:rsidRPr="000508B6">
        <w:rPr>
          <w:rFonts w:ascii="Times New Roman" w:hAnsi="Times New Roman" w:cs="Times New Roman"/>
          <w:lang w:val="ro-MD"/>
        </w:rPr>
        <w:t>sau</w:t>
      </w:r>
      <w:r w:rsidR="00ED2C1C" w:rsidRPr="000508B6" w:rsidDel="00F9341B">
        <w:rPr>
          <w:rFonts w:ascii="Times New Roman" w:hAnsi="Times New Roman" w:cs="Times New Roman"/>
          <w:lang w:val="ro-MD"/>
        </w:rPr>
        <w:t xml:space="preserve">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F95829" w:rsidRPr="000508B6">
        <w:rPr>
          <w:rFonts w:ascii="Times New Roman" w:hAnsi="Times New Roman" w:cs="Times New Roman"/>
          <w:lang w:val="ro-MD"/>
        </w:rPr>
        <w:t>participativ</w:t>
      </w:r>
      <w:r w:rsidR="00B30AEE"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r w:rsidR="00B127DE" w:rsidRPr="000508B6">
        <w:rPr>
          <w:rFonts w:ascii="Times New Roman" w:hAnsi="Times New Roman" w:cs="Times New Roman"/>
          <w:lang w:val="ro-MD"/>
        </w:rPr>
        <w:t>menționat</w:t>
      </w:r>
      <w:r w:rsidR="00F95829" w:rsidRPr="000508B6">
        <w:rPr>
          <w:rFonts w:ascii="Times New Roman" w:hAnsi="Times New Roman" w:cs="Times New Roman"/>
          <w:lang w:val="ro-MD"/>
        </w:rPr>
        <w:t xml:space="preserve"> la art. </w:t>
      </w:r>
      <w:r w:rsidR="00A640B0" w:rsidRPr="000508B6">
        <w:rPr>
          <w:rFonts w:ascii="Times New Roman" w:hAnsi="Times New Roman" w:cs="Times New Roman"/>
          <w:lang w:val="ro-MD"/>
        </w:rPr>
        <w:t xml:space="preserve">116 </w:t>
      </w:r>
      <w:r w:rsidR="00F95829" w:rsidRPr="000508B6">
        <w:rPr>
          <w:rFonts w:ascii="Times New Roman" w:hAnsi="Times New Roman" w:cs="Times New Roman"/>
          <w:lang w:val="ro-MD"/>
        </w:rPr>
        <w:t>alin. (</w:t>
      </w:r>
      <w:r w:rsidR="00410A40" w:rsidRPr="000508B6">
        <w:rPr>
          <w:rFonts w:ascii="Times New Roman" w:hAnsi="Times New Roman" w:cs="Times New Roman"/>
          <w:lang w:val="ro-MD"/>
        </w:rPr>
        <w:t>3</w:t>
      </w:r>
      <w:r w:rsidR="00F95829" w:rsidRPr="000508B6">
        <w:rPr>
          <w:rFonts w:ascii="Times New Roman" w:hAnsi="Times New Roman" w:cs="Times New Roman"/>
          <w:lang w:val="ro-MD"/>
        </w:rPr>
        <w:t>) lit. a)</w:t>
      </w:r>
      <w:r w:rsidR="00B30AEE" w:rsidRPr="000508B6">
        <w:rPr>
          <w:rFonts w:ascii="Times New Roman" w:hAnsi="Times New Roman" w:cs="Times New Roman"/>
          <w:lang w:val="ro-MD"/>
        </w:rPr>
        <w:t>,</w:t>
      </w:r>
      <w:r w:rsidR="00F95829" w:rsidRPr="000508B6">
        <w:rPr>
          <w:rFonts w:ascii="Times New Roman" w:hAnsi="Times New Roman" w:cs="Times New Roman"/>
          <w:lang w:val="ro-MD"/>
        </w:rPr>
        <w:t xml:space="preserve"> se asigură în </w:t>
      </w:r>
      <w:r w:rsidR="00B127DE" w:rsidRPr="000508B6">
        <w:rPr>
          <w:rFonts w:ascii="Times New Roman" w:hAnsi="Times New Roman" w:cs="Times New Roman"/>
          <w:lang w:val="ro-MD"/>
        </w:rPr>
        <w:t>permanență</w:t>
      </w:r>
      <w:r w:rsidR="00F95829" w:rsidRPr="000508B6">
        <w:rPr>
          <w:rFonts w:ascii="Times New Roman" w:hAnsi="Times New Roman" w:cs="Times New Roman"/>
          <w:lang w:val="ro-MD"/>
        </w:rPr>
        <w:t xml:space="preserve"> că grupul dispune de fonduri proprii eligibile cel </w:t>
      </w:r>
      <w:proofErr w:type="spellStart"/>
      <w:r w:rsidR="00F95829" w:rsidRPr="000508B6">
        <w:rPr>
          <w:rFonts w:ascii="Times New Roman" w:hAnsi="Times New Roman" w:cs="Times New Roman"/>
          <w:lang w:val="ro-MD"/>
        </w:rPr>
        <w:t>puţin</w:t>
      </w:r>
      <w:proofErr w:type="spellEnd"/>
      <w:r w:rsidR="00F95829" w:rsidRPr="000508B6">
        <w:rPr>
          <w:rFonts w:ascii="Times New Roman" w:hAnsi="Times New Roman" w:cs="Times New Roman"/>
          <w:lang w:val="ro-MD"/>
        </w:rPr>
        <w:t xml:space="preserve"> egale cu SCR la nivel de grup calculată în conformitate cu prevederile art. </w:t>
      </w:r>
      <w:r w:rsidR="00A640B0" w:rsidRPr="000508B6">
        <w:rPr>
          <w:rFonts w:ascii="Times New Roman" w:hAnsi="Times New Roman" w:cs="Times New Roman"/>
          <w:lang w:val="ro-MD"/>
        </w:rPr>
        <w:t>124</w:t>
      </w:r>
      <w:r w:rsidR="00CF01EA" w:rsidRPr="000508B6">
        <w:rPr>
          <w:rFonts w:ascii="Times New Roman" w:hAnsi="Times New Roman" w:cs="Times New Roman"/>
          <w:lang w:val="ro-MD"/>
        </w:rPr>
        <w:t>-</w:t>
      </w:r>
      <w:r w:rsidR="00A640B0" w:rsidRPr="000508B6">
        <w:rPr>
          <w:rFonts w:ascii="Times New Roman" w:hAnsi="Times New Roman" w:cs="Times New Roman"/>
          <w:lang w:val="ro-MD"/>
        </w:rPr>
        <w:t>139</w:t>
      </w:r>
      <w:r w:rsidR="00F95829" w:rsidRPr="000508B6">
        <w:rPr>
          <w:rFonts w:ascii="Times New Roman" w:hAnsi="Times New Roman" w:cs="Times New Roman"/>
          <w:lang w:val="ro-MD"/>
        </w:rPr>
        <w:t xml:space="preserve">.   </w:t>
      </w:r>
    </w:p>
    <w:p w14:paraId="4C914C19" w14:textId="0BD24E31" w:rsidR="00F95829" w:rsidRPr="000508B6" w:rsidRDefault="00F95829" w:rsidP="00574631">
      <w:pPr>
        <w:numPr>
          <w:ilvl w:val="0"/>
          <w:numId w:val="1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este informată de către </w:t>
      </w:r>
      <w:r w:rsidR="002A606D" w:rsidRPr="000508B6">
        <w:rPr>
          <w:rFonts w:ascii="Times New Roman" w:hAnsi="Times New Roman" w:cs="Times New Roman"/>
          <w:lang w:val="ro-MD"/>
        </w:rPr>
        <w:t>asigurător</w:t>
      </w:r>
      <w:r w:rsidR="00200158" w:rsidRPr="000508B6">
        <w:rPr>
          <w:rFonts w:ascii="Times New Roman" w:hAnsi="Times New Roman" w:cs="Times New Roman"/>
          <w:lang w:val="ro-MD"/>
        </w:rPr>
        <w:t>ul</w:t>
      </w:r>
      <w:r w:rsidR="002A606D" w:rsidRPr="000508B6">
        <w:rPr>
          <w:rFonts w:ascii="Times New Roman" w:hAnsi="Times New Roman" w:cs="Times New Roman"/>
          <w:lang w:val="ro-MD"/>
        </w:rPr>
        <w:t xml:space="preserve"> sau </w:t>
      </w:r>
      <w:proofErr w:type="spellStart"/>
      <w:r w:rsidR="00B36665" w:rsidRPr="000508B6">
        <w:rPr>
          <w:rFonts w:ascii="Times New Roman" w:hAnsi="Times New Roman" w:cs="Times New Roman"/>
          <w:lang w:val="ro-MD"/>
        </w:rPr>
        <w:t>reasigurătorul</w:t>
      </w:r>
      <w:proofErr w:type="spellEnd"/>
      <w:r w:rsidR="00B36665"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că SCR la nivel de grup nu mai este respectată sau că există riscul nerespectării acesteia în următoarele 3 luni, </w:t>
      </w:r>
      <w:r w:rsidR="00D63C28"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informează </w:t>
      </w:r>
      <w:r w:rsidR="003C4C71" w:rsidRPr="000508B6">
        <w:rPr>
          <w:rFonts w:ascii="Times New Roman" w:hAnsi="Times New Roman" w:cs="Times New Roman"/>
          <w:lang w:val="ro-MD"/>
        </w:rPr>
        <w:t>ceilalți membri ai</w:t>
      </w:r>
      <w:r w:rsidRPr="000508B6">
        <w:rPr>
          <w:rFonts w:ascii="Times New Roman" w:hAnsi="Times New Roman" w:cs="Times New Roman"/>
          <w:lang w:val="ro-MD"/>
        </w:rPr>
        <w:t xml:space="preserve"> colegiului supraveghetorilor în vederea adoptării măsurilor adecvate.   </w:t>
      </w:r>
    </w:p>
    <w:p w14:paraId="62ECA521" w14:textId="4AC5F164" w:rsidR="005B799C" w:rsidRPr="000508B6" w:rsidRDefault="005B799C" w:rsidP="00574631">
      <w:pPr>
        <w:numPr>
          <w:ilvl w:val="0"/>
          <w:numId w:val="1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Holdingul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art. 116 alin. (3) lit. b) se asigură în </w:t>
      </w:r>
      <w:r w:rsidR="00B90BC5" w:rsidRPr="000508B6">
        <w:rPr>
          <w:rFonts w:ascii="Times New Roman" w:hAnsi="Times New Roman" w:cs="Times New Roman"/>
          <w:lang w:val="ro-MD"/>
        </w:rPr>
        <w:t>permanență</w:t>
      </w:r>
      <w:r w:rsidRPr="000508B6">
        <w:rPr>
          <w:rFonts w:ascii="Times New Roman" w:hAnsi="Times New Roman" w:cs="Times New Roman"/>
          <w:lang w:val="ro-MD"/>
        </w:rPr>
        <w:t xml:space="preserve"> că </w:t>
      </w:r>
      <w:r w:rsidR="002A606D" w:rsidRPr="000508B6">
        <w:rPr>
          <w:rFonts w:ascii="Times New Roman" w:hAnsi="Times New Roman" w:cs="Times New Roman"/>
          <w:lang w:val="ro-MD"/>
        </w:rPr>
        <w:t xml:space="preserve">asigurătorii sau </w:t>
      </w:r>
      <w:proofErr w:type="spellStart"/>
      <w:r w:rsidR="002A606D" w:rsidRPr="000508B6">
        <w:rPr>
          <w:rFonts w:ascii="Times New Roman" w:hAnsi="Times New Roman" w:cs="Times New Roman"/>
          <w:lang w:val="ro-MD"/>
        </w:rPr>
        <w:t>reasigurătorii</w:t>
      </w:r>
      <w:proofErr w:type="spellEnd"/>
      <w:r w:rsidR="00B90BC5" w:rsidRPr="000508B6">
        <w:rPr>
          <w:rFonts w:ascii="Times New Roman" w:hAnsi="Times New Roman" w:cs="Times New Roman"/>
          <w:lang w:val="ro-MD"/>
        </w:rPr>
        <w:t xml:space="preserve"> dintr-un grup </w:t>
      </w:r>
      <w:r w:rsidRPr="000508B6">
        <w:rPr>
          <w:rFonts w:ascii="Times New Roman" w:hAnsi="Times New Roman" w:cs="Times New Roman"/>
          <w:lang w:val="ro-MD"/>
        </w:rPr>
        <w:t xml:space="preserve">dispun de fonduri proprii eligibile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egale cu SCR la nivel de grup calculată în conformitate cu prevederile art. </w:t>
      </w:r>
      <w:r w:rsidR="00B90BC5" w:rsidRPr="000508B6">
        <w:rPr>
          <w:rFonts w:ascii="Times New Roman" w:hAnsi="Times New Roman" w:cs="Times New Roman"/>
          <w:lang w:val="ro-MD"/>
        </w:rPr>
        <w:t>140.</w:t>
      </w:r>
    </w:p>
    <w:p w14:paraId="663185B7" w14:textId="77777777" w:rsidR="0005617E" w:rsidRPr="000508B6" w:rsidRDefault="00F95829" w:rsidP="00574631">
      <w:pPr>
        <w:tabs>
          <w:tab w:val="left" w:pos="709"/>
          <w:tab w:val="left" w:pos="851"/>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  </w:t>
      </w:r>
    </w:p>
    <w:p w14:paraId="7D2127E1" w14:textId="487D5929" w:rsidR="00F95829" w:rsidRPr="000508B6" w:rsidRDefault="0005617E" w:rsidP="00574631">
      <w:pPr>
        <w:tabs>
          <w:tab w:val="left" w:pos="709"/>
          <w:tab w:val="left" w:pos="851"/>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123</w:t>
      </w:r>
      <w:r w:rsidR="00F95829" w:rsidRPr="000508B6">
        <w:rPr>
          <w:rFonts w:ascii="Times New Roman" w:hAnsi="Times New Roman" w:cs="Times New Roman"/>
          <w:b/>
          <w:lang w:val="ro-MD"/>
        </w:rPr>
        <w:t xml:space="preserve">. </w:t>
      </w:r>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Frecvenţa</w:t>
      </w:r>
      <w:proofErr w:type="spellEnd"/>
      <w:r w:rsidR="00F95829" w:rsidRPr="000508B6">
        <w:rPr>
          <w:rFonts w:ascii="Times New Roman" w:hAnsi="Times New Roman" w:cs="Times New Roman"/>
          <w:lang w:val="ro-MD"/>
        </w:rPr>
        <w:t xml:space="preserve"> calculării  </w:t>
      </w:r>
    </w:p>
    <w:p w14:paraId="7C03E9E8" w14:textId="66619426" w:rsidR="00F95829" w:rsidRPr="000508B6" w:rsidRDefault="002A606D" w:rsidP="00574631">
      <w:pPr>
        <w:numPr>
          <w:ilvl w:val="0"/>
          <w:numId w:val="1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w:t>
      </w:r>
      <w:r w:rsidR="00D5508F" w:rsidRPr="000508B6">
        <w:rPr>
          <w:rFonts w:ascii="Times New Roman" w:hAnsi="Times New Roman" w:cs="Times New Roman"/>
          <w:lang w:val="ro-MD"/>
        </w:rPr>
        <w:t>ul</w:t>
      </w:r>
      <w:r w:rsidRPr="000508B6">
        <w:rPr>
          <w:rFonts w:ascii="Times New Roman" w:hAnsi="Times New Roman" w:cs="Times New Roman"/>
          <w:lang w:val="ro-MD"/>
        </w:rPr>
        <w:t xml:space="preserve"> sau</w:t>
      </w:r>
      <w:r w:rsidR="00C822B4" w:rsidRPr="000508B6" w:rsidDel="00F9341B">
        <w:rPr>
          <w:rFonts w:ascii="Times New Roman" w:hAnsi="Times New Roman" w:cs="Times New Roman"/>
          <w:lang w:val="ro-MD"/>
        </w:rPr>
        <w:t xml:space="preserve"> </w:t>
      </w:r>
      <w:proofErr w:type="spellStart"/>
      <w:r w:rsidR="00F9341B" w:rsidRPr="000508B6">
        <w:rPr>
          <w:rFonts w:ascii="Times New Roman" w:hAnsi="Times New Roman" w:cs="Times New Roman"/>
          <w:lang w:val="ro-MD"/>
        </w:rPr>
        <w:t>reasigurătorul</w:t>
      </w:r>
      <w:proofErr w:type="spellEnd"/>
      <w:r w:rsidR="00F9341B"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participativ, holdingul de asigurare sau holdingul financiar mixt determină cel </w:t>
      </w:r>
      <w:proofErr w:type="spellStart"/>
      <w:r w:rsidR="00F95829" w:rsidRPr="000508B6">
        <w:rPr>
          <w:rFonts w:ascii="Times New Roman" w:hAnsi="Times New Roman" w:cs="Times New Roman"/>
          <w:lang w:val="ro-MD"/>
        </w:rPr>
        <w:t>puţin</w:t>
      </w:r>
      <w:proofErr w:type="spellEnd"/>
      <w:r w:rsidR="00F95829" w:rsidRPr="000508B6">
        <w:rPr>
          <w:rFonts w:ascii="Times New Roman" w:hAnsi="Times New Roman" w:cs="Times New Roman"/>
          <w:lang w:val="ro-MD"/>
        </w:rPr>
        <w:t xml:space="preserve"> anual nivelul fondurilor proprii eligibile prevăzut la art. </w:t>
      </w:r>
      <w:r w:rsidR="00EF2C3D" w:rsidRPr="000508B6">
        <w:rPr>
          <w:rFonts w:ascii="Times New Roman" w:hAnsi="Times New Roman" w:cs="Times New Roman"/>
          <w:lang w:val="ro-MD"/>
        </w:rPr>
        <w:t>122</w:t>
      </w:r>
      <w:r w:rsidR="00120178"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alin. (1).  </w:t>
      </w:r>
    </w:p>
    <w:p w14:paraId="3D315D32" w14:textId="04059CEB" w:rsidR="00F95829" w:rsidRPr="000508B6" w:rsidRDefault="00F95829" w:rsidP="00574631">
      <w:pPr>
        <w:numPr>
          <w:ilvl w:val="0"/>
          <w:numId w:val="1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Datele relevante pe baza cărora se determină fondurile proprii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rezultatele determinării sunt transmise Băncii Naționale a Moldovei de către </w:t>
      </w:r>
      <w:r w:rsidR="002A606D" w:rsidRPr="000508B6">
        <w:rPr>
          <w:rFonts w:ascii="Times New Roman" w:hAnsi="Times New Roman" w:cs="Times New Roman"/>
          <w:lang w:val="ro-MD"/>
        </w:rPr>
        <w:t xml:space="preserve">asigurător sau </w:t>
      </w:r>
      <w:proofErr w:type="spellStart"/>
      <w:r w:rsidR="00BD4745" w:rsidRPr="000508B6">
        <w:rPr>
          <w:rFonts w:ascii="Times New Roman" w:hAnsi="Times New Roman" w:cs="Times New Roman"/>
          <w:lang w:val="ro-MD"/>
        </w:rPr>
        <w:t>reasigurător</w:t>
      </w:r>
      <w:proofErr w:type="spellEnd"/>
      <w:r w:rsidR="00BD4745"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de holdingul de asigurare, de holdingul financiar mixt sau de </w:t>
      </w:r>
      <w:r w:rsidR="002A606D" w:rsidRPr="000508B6">
        <w:rPr>
          <w:rFonts w:ascii="Times New Roman" w:hAnsi="Times New Roman" w:cs="Times New Roman"/>
          <w:lang w:val="ro-MD"/>
        </w:rPr>
        <w:t xml:space="preserve">entitatea </w:t>
      </w:r>
      <w:r w:rsidRPr="000508B6">
        <w:rPr>
          <w:rFonts w:ascii="Times New Roman" w:hAnsi="Times New Roman" w:cs="Times New Roman"/>
          <w:lang w:val="ro-MD"/>
        </w:rPr>
        <w:t xml:space="preserve">din cadrul grupului desemnată de </w:t>
      </w:r>
      <w:bookmarkStart w:id="135" w:name="_Hlk204696566"/>
      <w:r w:rsidRPr="000508B6">
        <w:rPr>
          <w:rFonts w:ascii="Times New Roman" w:hAnsi="Times New Roman" w:cs="Times New Roman"/>
          <w:lang w:val="ro-MD"/>
        </w:rPr>
        <w:t xml:space="preserve">Banca Națională a Moldovei </w:t>
      </w:r>
      <w:bookmarkEnd w:id="135"/>
      <w:r w:rsidRPr="000508B6">
        <w:rPr>
          <w:rFonts w:ascii="Times New Roman" w:hAnsi="Times New Roman" w:cs="Times New Roman"/>
          <w:lang w:val="ro-MD"/>
        </w:rPr>
        <w:t xml:space="preserve">după consultarea grupului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r w:rsidR="00876310" w:rsidRPr="000508B6">
        <w:rPr>
          <w:rFonts w:ascii="Times New Roman" w:hAnsi="Times New Roman" w:cs="Times New Roman"/>
          <w:lang w:val="ro-MD"/>
        </w:rPr>
        <w:t xml:space="preserve">celorlalți supraveghetori </w:t>
      </w:r>
      <w:r w:rsidRPr="000508B6">
        <w:rPr>
          <w:rFonts w:ascii="Times New Roman" w:hAnsi="Times New Roman" w:cs="Times New Roman"/>
          <w:lang w:val="ro-MD"/>
        </w:rPr>
        <w:t>implica</w:t>
      </w:r>
      <w:r w:rsidR="00876310" w:rsidRPr="000508B6">
        <w:rPr>
          <w:rFonts w:ascii="Times New Roman" w:hAnsi="Times New Roman" w:cs="Times New Roman"/>
          <w:lang w:val="ro-MD"/>
        </w:rPr>
        <w:t>ți.</w:t>
      </w:r>
      <w:r w:rsidRPr="000508B6">
        <w:rPr>
          <w:rFonts w:ascii="Times New Roman" w:hAnsi="Times New Roman" w:cs="Times New Roman"/>
          <w:lang w:val="ro-MD"/>
        </w:rPr>
        <w:t xml:space="preserve">   </w:t>
      </w:r>
    </w:p>
    <w:p w14:paraId="29D12101" w14:textId="646271D1" w:rsidR="00F95829" w:rsidRPr="000508B6" w:rsidRDefault="000E4B4C" w:rsidP="00574631">
      <w:pPr>
        <w:numPr>
          <w:ilvl w:val="0"/>
          <w:numId w:val="1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w:t>
      </w:r>
      <w:r w:rsidR="009B656E" w:rsidRPr="000508B6">
        <w:rPr>
          <w:rFonts w:ascii="Times New Roman" w:hAnsi="Times New Roman" w:cs="Times New Roman"/>
          <w:lang w:val="ro-MD"/>
        </w:rPr>
        <w:t>sau</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holdingul de asigurare sau holdingul financiar mixt monitorizează permanent SCR la nivel de grup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r w:rsidR="00885FDD" w:rsidRPr="000508B6">
        <w:rPr>
          <w:rFonts w:ascii="Times New Roman" w:hAnsi="Times New Roman" w:cs="Times New Roman"/>
          <w:lang w:val="ro-MD"/>
        </w:rPr>
        <w:t xml:space="preserve">o </w:t>
      </w:r>
      <w:r w:rsidR="00F95829" w:rsidRPr="000508B6">
        <w:rPr>
          <w:rFonts w:ascii="Times New Roman" w:hAnsi="Times New Roman" w:cs="Times New Roman"/>
          <w:lang w:val="ro-MD"/>
        </w:rPr>
        <w:t xml:space="preserve">recalculează, </w:t>
      </w:r>
      <w:r w:rsidR="002A606D" w:rsidRPr="000508B6">
        <w:rPr>
          <w:rFonts w:ascii="Times New Roman" w:hAnsi="Times New Roman" w:cs="Times New Roman"/>
          <w:lang w:val="ro-MD"/>
        </w:rPr>
        <w:t>transmițând</w:t>
      </w:r>
      <w:r w:rsidR="00F95829" w:rsidRPr="000508B6">
        <w:rPr>
          <w:rFonts w:ascii="Times New Roman" w:hAnsi="Times New Roman" w:cs="Times New Roman"/>
          <w:lang w:val="ro-MD"/>
        </w:rPr>
        <w:t xml:space="preserve"> rezultatele Băncii Naționale a Moldovei, dacă de la ultima raportare:   </w:t>
      </w:r>
    </w:p>
    <w:p w14:paraId="56EBF509" w14:textId="7C037D26" w:rsidR="00F95829" w:rsidRPr="000508B6" w:rsidRDefault="00F95829" w:rsidP="00BD4745">
      <w:pPr>
        <w:numPr>
          <w:ilvl w:val="0"/>
          <w:numId w:val="1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profilul de risc </w:t>
      </w:r>
      <w:r w:rsidR="006A59FF" w:rsidRPr="000508B6">
        <w:rPr>
          <w:rFonts w:ascii="Times New Roman" w:hAnsi="Times New Roman" w:cs="Times New Roman"/>
          <w:lang w:val="ro-MD"/>
        </w:rPr>
        <w:t>al grupului</w:t>
      </w:r>
      <w:r w:rsidRPr="000508B6">
        <w:rPr>
          <w:rFonts w:ascii="Times New Roman" w:hAnsi="Times New Roman" w:cs="Times New Roman"/>
          <w:lang w:val="ro-MD"/>
        </w:rPr>
        <w:t xml:space="preserve"> se abate semnificativ de la ipotezele care stau la baza calculului;   </w:t>
      </w:r>
    </w:p>
    <w:p w14:paraId="352433A9" w14:textId="4D448EB0" w:rsidR="00F95829" w:rsidRPr="000508B6" w:rsidRDefault="00F95829" w:rsidP="00574631">
      <w:pPr>
        <w:numPr>
          <w:ilvl w:val="0"/>
          <w:numId w:val="1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profilul de risc </w:t>
      </w:r>
      <w:r w:rsidR="006A59FF" w:rsidRPr="000508B6">
        <w:rPr>
          <w:rFonts w:ascii="Times New Roman" w:hAnsi="Times New Roman" w:cs="Times New Roman"/>
          <w:lang w:val="ro-MD"/>
        </w:rPr>
        <w:t xml:space="preserve">al grupului </w:t>
      </w:r>
      <w:r w:rsidRPr="000508B6">
        <w:rPr>
          <w:rFonts w:ascii="Times New Roman" w:hAnsi="Times New Roman" w:cs="Times New Roman"/>
          <w:lang w:val="ro-MD"/>
        </w:rPr>
        <w:t xml:space="preserve">este modificat semnificativ. </w:t>
      </w:r>
    </w:p>
    <w:p w14:paraId="14885057" w14:textId="7850C28D" w:rsidR="00226BE4" w:rsidRPr="000508B6" w:rsidRDefault="00226BE4" w:rsidP="00574631">
      <w:pPr>
        <w:numPr>
          <w:ilvl w:val="0"/>
          <w:numId w:val="15"/>
        </w:numPr>
        <w:tabs>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lang w:val="ro-MD"/>
        </w:rPr>
        <w:t>În cazul în care profilul de risc al grupului este modificat semnificativ de la ultima</w:t>
      </w:r>
      <w:r w:rsidRPr="000508B6">
        <w:rPr>
          <w:rFonts w:ascii="Times New Roman" w:hAnsi="Times New Roman" w:cs="Times New Roman"/>
          <w:bCs/>
          <w:lang w:val="ro-MD"/>
        </w:rPr>
        <w:t xml:space="preserve"> raportare a SCR la nivel de grup, Banca Națională a Moldovei poate solicita o recalculare a acesteia</w:t>
      </w:r>
      <w:r w:rsidR="006A3E7D" w:rsidRPr="000508B6">
        <w:rPr>
          <w:rFonts w:ascii="Times New Roman" w:hAnsi="Times New Roman" w:cs="Times New Roman"/>
          <w:lang w:val="ro-MD"/>
        </w:rPr>
        <w:t>.</w:t>
      </w:r>
      <w:r w:rsidR="00F9341B" w:rsidRPr="000508B6">
        <w:rPr>
          <w:rFonts w:ascii="Times New Roman" w:hAnsi="Times New Roman" w:cs="Times New Roman"/>
          <w:bCs/>
          <w:color w:val="FF0000"/>
          <w:lang w:val="ro-MD"/>
        </w:rPr>
        <w:t xml:space="preserve"> </w:t>
      </w:r>
    </w:p>
    <w:p w14:paraId="43FA2518" w14:textId="4C7EDE8A" w:rsidR="000F155E" w:rsidRPr="000508B6" w:rsidRDefault="000F155E" w:rsidP="00761199">
      <w:pPr>
        <w:tabs>
          <w:tab w:val="left" w:pos="993"/>
        </w:tabs>
        <w:spacing w:after="0" w:line="240" w:lineRule="auto"/>
        <w:ind w:left="426"/>
        <w:jc w:val="both"/>
        <w:rPr>
          <w:rFonts w:ascii="Times New Roman" w:hAnsi="Times New Roman" w:cs="Times New Roman"/>
          <w:lang w:val="ro-MD"/>
        </w:rPr>
      </w:pPr>
    </w:p>
    <w:p w14:paraId="20F7A784" w14:textId="5EBC4931" w:rsidR="00F95829" w:rsidRPr="000508B6" w:rsidRDefault="0005617E"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124</w:t>
      </w:r>
      <w:r w:rsidR="00C4342C" w:rsidRPr="000508B6">
        <w:rPr>
          <w:rFonts w:ascii="Times New Roman" w:hAnsi="Times New Roman" w:cs="Times New Roman"/>
          <w:b/>
          <w:lang w:val="ro-MD"/>
        </w:rPr>
        <w:t>.</w:t>
      </w:r>
      <w:r w:rsidR="007C2440" w:rsidRPr="000508B6">
        <w:rPr>
          <w:rFonts w:ascii="Times New Roman" w:hAnsi="Times New Roman" w:cs="Times New Roman"/>
          <w:b/>
          <w:lang w:val="ro-MD"/>
        </w:rPr>
        <w:t xml:space="preserve"> </w:t>
      </w:r>
      <w:r w:rsidR="007C2440"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Alegerea metodei de calcul  </w:t>
      </w:r>
    </w:p>
    <w:p w14:paraId="1C3DB169" w14:textId="050CE58D" w:rsidR="007C39AB" w:rsidRPr="000508B6" w:rsidRDefault="00F95829" w:rsidP="00574631">
      <w:pPr>
        <w:numPr>
          <w:ilvl w:val="0"/>
          <w:numId w:val="1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Calcularea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pentru </w:t>
      </w:r>
      <w:r w:rsidR="00601746" w:rsidRPr="000508B6">
        <w:rPr>
          <w:rFonts w:ascii="Times New Roman" w:hAnsi="Times New Roman" w:cs="Times New Roman"/>
          <w:lang w:val="ro-MD"/>
        </w:rPr>
        <w:t xml:space="preserve">asigurătorii sau </w:t>
      </w:r>
      <w:proofErr w:type="spellStart"/>
      <w:r w:rsidR="00601746"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participativ</w:t>
      </w:r>
      <w:r w:rsidR="00601746" w:rsidRPr="000508B6">
        <w:rPr>
          <w:rFonts w:ascii="Times New Roman" w:hAnsi="Times New Roman" w:cs="Times New Roman"/>
          <w:lang w:val="ro-MD"/>
        </w:rPr>
        <w:t>i</w:t>
      </w:r>
      <w:r w:rsidRPr="000508B6">
        <w:rPr>
          <w:rFonts w:ascii="Times New Roman" w:hAnsi="Times New Roman" w:cs="Times New Roman"/>
          <w:lang w:val="ro-MD"/>
        </w:rPr>
        <w:t xml:space="preserve"> </w:t>
      </w:r>
      <w:r w:rsidR="00E009AA" w:rsidRPr="000508B6">
        <w:rPr>
          <w:rFonts w:ascii="Times New Roman" w:hAnsi="Times New Roman" w:cs="Times New Roman"/>
          <w:lang w:val="ro-MD"/>
        </w:rPr>
        <w:t>prevăzu</w:t>
      </w:r>
      <w:r w:rsidR="00601746" w:rsidRPr="000508B6">
        <w:rPr>
          <w:rFonts w:ascii="Times New Roman" w:hAnsi="Times New Roman" w:cs="Times New Roman"/>
          <w:lang w:val="ro-MD"/>
        </w:rPr>
        <w:t>ți</w:t>
      </w:r>
      <w:r w:rsidR="00E009AA" w:rsidRPr="000508B6">
        <w:rPr>
          <w:rFonts w:ascii="Times New Roman" w:hAnsi="Times New Roman" w:cs="Times New Roman"/>
          <w:lang w:val="ro-MD"/>
        </w:rPr>
        <w:t xml:space="preserve"> la art. 116 alin. (3) lit</w:t>
      </w:r>
      <w:r w:rsidR="004B0132" w:rsidRPr="000508B6">
        <w:rPr>
          <w:rFonts w:ascii="Times New Roman" w:hAnsi="Times New Roman" w:cs="Times New Roman"/>
          <w:lang w:val="ro-MD"/>
        </w:rPr>
        <w:t xml:space="preserve">. </w:t>
      </w:r>
      <w:r w:rsidR="00E009AA" w:rsidRPr="000508B6">
        <w:rPr>
          <w:rFonts w:ascii="Times New Roman" w:hAnsi="Times New Roman" w:cs="Times New Roman"/>
          <w:lang w:val="ro-MD"/>
        </w:rPr>
        <w:t xml:space="preserve">a) </w:t>
      </w:r>
      <w:r w:rsidRPr="000508B6">
        <w:rPr>
          <w:rFonts w:ascii="Times New Roman" w:hAnsi="Times New Roman" w:cs="Times New Roman"/>
          <w:lang w:val="ro-MD"/>
        </w:rPr>
        <w:t xml:space="preserve">se realizează </w:t>
      </w:r>
      <w:r w:rsidR="002D3274" w:rsidRPr="000508B6">
        <w:rPr>
          <w:rFonts w:ascii="Times New Roman" w:hAnsi="Times New Roman" w:cs="Times New Roman"/>
          <w:lang w:val="ro-MD"/>
        </w:rPr>
        <w:t>pe baza principiilor tehnice și a uneia dintre metodele</w:t>
      </w:r>
      <w:r w:rsidR="002D7361" w:rsidRPr="000508B6">
        <w:rPr>
          <w:rFonts w:ascii="Times New Roman" w:hAnsi="Times New Roman" w:cs="Times New Roman"/>
          <w:lang w:val="ro-MD"/>
        </w:rPr>
        <w:t xml:space="preserve"> de calcul </w:t>
      </w:r>
      <w:r w:rsidR="002D3274" w:rsidRPr="000508B6">
        <w:rPr>
          <w:rFonts w:ascii="Times New Roman" w:hAnsi="Times New Roman" w:cs="Times New Roman"/>
          <w:lang w:val="ro-MD"/>
        </w:rPr>
        <w:t xml:space="preserve"> prevăzute </w:t>
      </w:r>
      <w:r w:rsidRPr="000508B6">
        <w:rPr>
          <w:rFonts w:ascii="Times New Roman" w:hAnsi="Times New Roman" w:cs="Times New Roman"/>
          <w:lang w:val="ro-MD"/>
        </w:rPr>
        <w:t xml:space="preserve">la art. </w:t>
      </w:r>
      <w:r w:rsidR="006336DA" w:rsidRPr="000508B6">
        <w:rPr>
          <w:rFonts w:ascii="Times New Roman" w:hAnsi="Times New Roman" w:cs="Times New Roman"/>
          <w:lang w:val="ro-MD"/>
        </w:rPr>
        <w:t xml:space="preserve">125 </w:t>
      </w:r>
      <w:r w:rsidR="00E775B1" w:rsidRPr="000508B6">
        <w:rPr>
          <w:rFonts w:ascii="Times New Roman" w:hAnsi="Times New Roman" w:cs="Times New Roman"/>
          <w:lang w:val="ro-MD"/>
        </w:rPr>
        <w:t>–</w:t>
      </w:r>
      <w:r w:rsidR="006336DA" w:rsidRPr="000508B6">
        <w:rPr>
          <w:rFonts w:ascii="Times New Roman" w:hAnsi="Times New Roman" w:cs="Times New Roman"/>
          <w:lang w:val="ro-MD"/>
        </w:rPr>
        <w:t xml:space="preserve"> </w:t>
      </w:r>
      <w:r w:rsidR="00FF123A" w:rsidRPr="000508B6">
        <w:rPr>
          <w:rFonts w:ascii="Times New Roman" w:hAnsi="Times New Roman" w:cs="Times New Roman"/>
          <w:lang w:val="ro-MD"/>
        </w:rPr>
        <w:t>137</w:t>
      </w:r>
      <w:r w:rsidR="006A59FF" w:rsidRPr="000508B6">
        <w:rPr>
          <w:rFonts w:ascii="Times New Roman" w:hAnsi="Times New Roman" w:cs="Times New Roman"/>
          <w:lang w:val="ro-MD"/>
        </w:rPr>
        <w:t xml:space="preserve">. </w:t>
      </w:r>
    </w:p>
    <w:p w14:paraId="57E23EEE" w14:textId="16087D51" w:rsidR="00F95829" w:rsidRPr="000508B6" w:rsidRDefault="006A59FF" w:rsidP="00574631">
      <w:pPr>
        <w:numPr>
          <w:ilvl w:val="0"/>
          <w:numId w:val="1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Metoda </w:t>
      </w:r>
      <w:r w:rsidR="00230ADD" w:rsidRPr="000508B6">
        <w:rPr>
          <w:rFonts w:ascii="Times New Roman" w:hAnsi="Times New Roman" w:cs="Times New Roman"/>
          <w:lang w:val="ro-MD"/>
        </w:rPr>
        <w:t>de calcul</w:t>
      </w:r>
      <w:r w:rsidRPr="000508B6">
        <w:rPr>
          <w:rFonts w:ascii="Times New Roman" w:hAnsi="Times New Roman" w:cs="Times New Roman"/>
          <w:lang w:val="ro-MD"/>
        </w:rPr>
        <w:t xml:space="preserve"> implicită pentru calcularea solvabilității la nivel de grup pentru asigurătorii sau </w:t>
      </w:r>
      <w:proofErr w:type="spellStart"/>
      <w:r w:rsidR="00B36665" w:rsidRPr="000508B6">
        <w:rPr>
          <w:rFonts w:ascii="Times New Roman" w:hAnsi="Times New Roman" w:cs="Times New Roman"/>
          <w:lang w:val="ro-MD"/>
        </w:rPr>
        <w:t>reasigurătorii</w:t>
      </w:r>
      <w:proofErr w:type="spellEnd"/>
      <w:r w:rsidR="00B36665" w:rsidRPr="000508B6">
        <w:rPr>
          <w:rFonts w:ascii="Times New Roman" w:hAnsi="Times New Roman" w:cs="Times New Roman"/>
          <w:lang w:val="ro-MD"/>
        </w:rPr>
        <w:t xml:space="preserve"> </w:t>
      </w:r>
      <w:r w:rsidRPr="000508B6">
        <w:rPr>
          <w:rFonts w:ascii="Times New Roman" w:hAnsi="Times New Roman" w:cs="Times New Roman"/>
          <w:lang w:val="ro-MD"/>
        </w:rPr>
        <w:t>participativi este</w:t>
      </w:r>
      <w:r w:rsidR="002D3274" w:rsidRPr="000508B6">
        <w:rPr>
          <w:rFonts w:ascii="Times New Roman" w:hAnsi="Times New Roman" w:cs="Times New Roman"/>
          <w:lang w:val="ro-MD"/>
        </w:rPr>
        <w:t xml:space="preserve"> </w:t>
      </w:r>
      <w:r w:rsidRPr="000508B6">
        <w:rPr>
          <w:rFonts w:ascii="Times New Roman" w:hAnsi="Times New Roman" w:cs="Times New Roman"/>
          <w:lang w:val="ro-MD"/>
        </w:rPr>
        <w:t xml:space="preserve">metoda </w:t>
      </w:r>
      <w:r w:rsidR="00230ADD" w:rsidRPr="000508B6">
        <w:rPr>
          <w:rFonts w:ascii="Times New Roman" w:hAnsi="Times New Roman" w:cs="Times New Roman"/>
          <w:lang w:val="ro-MD"/>
        </w:rPr>
        <w:t>de calcul</w:t>
      </w:r>
      <w:r w:rsidRPr="000508B6">
        <w:rPr>
          <w:rFonts w:ascii="Times New Roman" w:hAnsi="Times New Roman" w:cs="Times New Roman"/>
          <w:lang w:val="ro-MD"/>
        </w:rPr>
        <w:t xml:space="preserve"> </w:t>
      </w:r>
      <w:r w:rsidR="002D3274" w:rsidRPr="000508B6">
        <w:rPr>
          <w:rFonts w:ascii="Times New Roman" w:hAnsi="Times New Roman" w:cs="Times New Roman"/>
          <w:lang w:val="ro-MD"/>
        </w:rPr>
        <w:t>nr.</w:t>
      </w:r>
      <w:r w:rsidR="00BD4745" w:rsidRPr="000508B6">
        <w:rPr>
          <w:rFonts w:ascii="Times New Roman" w:hAnsi="Times New Roman" w:cs="Times New Roman"/>
          <w:lang w:val="ro-MD"/>
        </w:rPr>
        <w:t xml:space="preserve"> </w:t>
      </w:r>
      <w:r w:rsidR="002D3274" w:rsidRPr="000508B6">
        <w:rPr>
          <w:rFonts w:ascii="Times New Roman" w:hAnsi="Times New Roman" w:cs="Times New Roman"/>
          <w:lang w:val="ro-MD"/>
        </w:rPr>
        <w:t>1</w:t>
      </w:r>
      <w:r w:rsidR="00BD4745" w:rsidRPr="000508B6">
        <w:rPr>
          <w:rFonts w:ascii="Times New Roman" w:hAnsi="Times New Roman" w:cs="Times New Roman"/>
          <w:lang w:val="ro-MD"/>
        </w:rPr>
        <w:t>.</w:t>
      </w:r>
      <w:r w:rsidR="002D3274" w:rsidRPr="000508B6">
        <w:rPr>
          <w:rFonts w:ascii="Times New Roman" w:hAnsi="Times New Roman" w:cs="Times New Roman"/>
          <w:lang w:val="ro-MD"/>
        </w:rPr>
        <w:t xml:space="preserve"> </w:t>
      </w:r>
      <w:r w:rsidR="004B0132" w:rsidRPr="000508B6">
        <w:rPr>
          <w:rFonts w:ascii="Times New Roman" w:hAnsi="Times New Roman" w:cs="Times New Roman"/>
          <w:lang w:val="ro-MD"/>
        </w:rPr>
        <w:t xml:space="preserve">prevăzută la art. </w:t>
      </w:r>
      <w:r w:rsidR="00FF123A" w:rsidRPr="000508B6">
        <w:rPr>
          <w:rFonts w:ascii="Times New Roman" w:hAnsi="Times New Roman" w:cs="Times New Roman"/>
          <w:lang w:val="ro-MD"/>
        </w:rPr>
        <w:t>134</w:t>
      </w:r>
      <w:r w:rsidR="00E775B1" w:rsidRPr="000508B6">
        <w:rPr>
          <w:rFonts w:ascii="Times New Roman" w:hAnsi="Times New Roman" w:cs="Times New Roman"/>
          <w:lang w:val="ro-MD"/>
        </w:rPr>
        <w:t>.</w:t>
      </w:r>
      <w:r w:rsidR="00120178" w:rsidRPr="000508B6">
        <w:rPr>
          <w:rFonts w:ascii="Times New Roman" w:hAnsi="Times New Roman" w:cs="Times New Roman"/>
          <w:lang w:val="ro-MD"/>
        </w:rPr>
        <w:t xml:space="preserve"> </w:t>
      </w:r>
    </w:p>
    <w:p w14:paraId="1D951158" w14:textId="5878314F" w:rsidR="00F95829" w:rsidRPr="000508B6" w:rsidRDefault="009B656E" w:rsidP="00574631">
      <w:pPr>
        <w:numPr>
          <w:ilvl w:val="0"/>
          <w:numId w:val="1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Fără a aduce atingere alin.</w:t>
      </w:r>
      <w:r w:rsidR="00BD4745" w:rsidRPr="000508B6">
        <w:rPr>
          <w:rFonts w:ascii="Times New Roman" w:hAnsi="Times New Roman" w:cs="Times New Roman"/>
          <w:lang w:val="ro-MD"/>
        </w:rPr>
        <w:t xml:space="preserve"> </w:t>
      </w:r>
      <w:r w:rsidRPr="000508B6">
        <w:rPr>
          <w:rFonts w:ascii="Times New Roman" w:hAnsi="Times New Roman" w:cs="Times New Roman"/>
          <w:lang w:val="ro-MD"/>
        </w:rPr>
        <w:t xml:space="preserve">(2), </w:t>
      </w:r>
      <w:r w:rsidR="002A3188" w:rsidRPr="000508B6">
        <w:rPr>
          <w:rFonts w:ascii="Times New Roman" w:hAnsi="Times New Roman" w:cs="Times New Roman"/>
          <w:lang w:val="ro-MD"/>
        </w:rPr>
        <w:t>Banca Națională a Moldovei</w:t>
      </w:r>
      <w:r w:rsidR="00F95829" w:rsidRPr="000508B6">
        <w:rPr>
          <w:rFonts w:ascii="Times New Roman" w:hAnsi="Times New Roman" w:cs="Times New Roman"/>
          <w:lang w:val="ro-MD"/>
        </w:rPr>
        <w:t xml:space="preserve"> poate aproba, după consultarea </w:t>
      </w:r>
      <w:r w:rsidR="003C4C71" w:rsidRPr="000508B6">
        <w:rPr>
          <w:rFonts w:ascii="Times New Roman" w:hAnsi="Times New Roman" w:cs="Times New Roman"/>
          <w:lang w:val="ro-MD"/>
        </w:rPr>
        <w:t>celorla</w:t>
      </w:r>
      <w:r w:rsidR="00EA15AD" w:rsidRPr="000508B6">
        <w:rPr>
          <w:rFonts w:ascii="Times New Roman" w:hAnsi="Times New Roman" w:cs="Times New Roman"/>
          <w:lang w:val="ro-MD"/>
        </w:rPr>
        <w:t>l</w:t>
      </w:r>
      <w:r w:rsidR="003C4C71" w:rsidRPr="000508B6">
        <w:rPr>
          <w:rFonts w:ascii="Times New Roman" w:hAnsi="Times New Roman" w:cs="Times New Roman"/>
          <w:lang w:val="ro-MD"/>
        </w:rPr>
        <w:t xml:space="preserve">ți membri ai </w:t>
      </w:r>
      <w:r w:rsidR="00F95829" w:rsidRPr="000508B6">
        <w:rPr>
          <w:rFonts w:ascii="Times New Roman" w:hAnsi="Times New Roman" w:cs="Times New Roman"/>
          <w:lang w:val="ro-MD"/>
        </w:rPr>
        <w:t xml:space="preserve">colegiului supraveghetorilor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 grupului respectiv, utilizarea </w:t>
      </w:r>
      <w:r w:rsidR="002D3274" w:rsidRPr="000508B6">
        <w:rPr>
          <w:rFonts w:ascii="Times New Roman" w:hAnsi="Times New Roman" w:cs="Times New Roman"/>
          <w:lang w:val="ro-MD"/>
        </w:rPr>
        <w:t xml:space="preserve">la nivelul grupului a </w:t>
      </w:r>
      <w:r w:rsidR="00F95829" w:rsidRPr="000508B6">
        <w:rPr>
          <w:rFonts w:ascii="Times New Roman" w:hAnsi="Times New Roman" w:cs="Times New Roman"/>
          <w:lang w:val="ro-MD"/>
        </w:rPr>
        <w:t xml:space="preserve">metodei </w:t>
      </w:r>
      <w:r w:rsidR="00230ADD" w:rsidRPr="000508B6">
        <w:rPr>
          <w:rFonts w:ascii="Times New Roman" w:hAnsi="Times New Roman" w:cs="Times New Roman"/>
          <w:lang w:val="ro-MD"/>
        </w:rPr>
        <w:t xml:space="preserve">de calcul </w:t>
      </w:r>
      <w:r w:rsidR="00F95829" w:rsidRPr="000508B6">
        <w:rPr>
          <w:rFonts w:ascii="Times New Roman" w:hAnsi="Times New Roman" w:cs="Times New Roman"/>
          <w:lang w:val="ro-MD"/>
        </w:rPr>
        <w:t>nr. 2 prevăzut</w:t>
      </w:r>
      <w:r w:rsidR="005F5843" w:rsidRPr="000508B6">
        <w:rPr>
          <w:rFonts w:ascii="Times New Roman" w:hAnsi="Times New Roman" w:cs="Times New Roman"/>
          <w:lang w:val="ro-MD"/>
        </w:rPr>
        <w:t>ă</w:t>
      </w:r>
      <w:r w:rsidR="00F95829" w:rsidRPr="000508B6">
        <w:rPr>
          <w:rFonts w:ascii="Times New Roman" w:hAnsi="Times New Roman" w:cs="Times New Roman"/>
          <w:lang w:val="ro-MD"/>
        </w:rPr>
        <w:t xml:space="preserve"> la art. </w:t>
      </w:r>
      <w:r w:rsidR="002E125C" w:rsidRPr="000508B6">
        <w:rPr>
          <w:rFonts w:ascii="Times New Roman" w:hAnsi="Times New Roman" w:cs="Times New Roman"/>
          <w:lang w:val="ro-MD"/>
        </w:rPr>
        <w:t>136</w:t>
      </w:r>
      <w:r w:rsidR="00120178"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sau </w:t>
      </w:r>
      <w:r w:rsidR="00633AD6" w:rsidRPr="000508B6">
        <w:rPr>
          <w:rFonts w:ascii="Times New Roman" w:hAnsi="Times New Roman" w:cs="Times New Roman"/>
          <w:lang w:val="ro-MD"/>
        </w:rPr>
        <w:t>dacă aplicarea exclusivă a metodei nr. 1 este inadecvată,</w:t>
      </w:r>
      <w:r w:rsidR="00F95829" w:rsidRPr="000508B6">
        <w:rPr>
          <w:rFonts w:ascii="Times New Roman" w:hAnsi="Times New Roman" w:cs="Times New Roman"/>
          <w:lang w:val="ro-MD"/>
        </w:rPr>
        <w:t xml:space="preserve"> utilizarea unei </w:t>
      </w:r>
      <w:r w:rsidR="00633AD6" w:rsidRPr="000508B6">
        <w:rPr>
          <w:rFonts w:ascii="Times New Roman" w:hAnsi="Times New Roman" w:cs="Times New Roman"/>
          <w:lang w:val="ro-MD"/>
        </w:rPr>
        <w:t>combinații</w:t>
      </w:r>
      <w:r w:rsidR="00F95829" w:rsidRPr="000508B6">
        <w:rPr>
          <w:rFonts w:ascii="Times New Roman" w:hAnsi="Times New Roman" w:cs="Times New Roman"/>
          <w:lang w:val="ro-MD"/>
        </w:rPr>
        <w:t xml:space="preserve"> a celor două metode</w:t>
      </w:r>
      <w:r w:rsidR="002D7361" w:rsidRPr="000508B6">
        <w:rPr>
          <w:rFonts w:ascii="Times New Roman" w:hAnsi="Times New Roman" w:cs="Times New Roman"/>
          <w:lang w:val="ro-MD"/>
        </w:rPr>
        <w:t xml:space="preserve"> de calcul</w:t>
      </w:r>
      <w:r w:rsidR="00477C54" w:rsidRPr="000508B6">
        <w:rPr>
          <w:rFonts w:ascii="Times New Roman" w:hAnsi="Times New Roman" w:cs="Times New Roman"/>
          <w:lang w:val="ro-MD"/>
        </w:rPr>
        <w:t xml:space="preserve"> în conformitate cu art</w:t>
      </w:r>
      <w:r w:rsidR="0086499A" w:rsidRPr="000508B6">
        <w:rPr>
          <w:rFonts w:ascii="Times New Roman" w:hAnsi="Times New Roman" w:cs="Times New Roman"/>
          <w:lang w:val="ro-MD"/>
        </w:rPr>
        <w:t>.</w:t>
      </w:r>
      <w:r w:rsidR="00477C54" w:rsidRPr="000508B6">
        <w:rPr>
          <w:rFonts w:ascii="Times New Roman" w:hAnsi="Times New Roman" w:cs="Times New Roman"/>
          <w:lang w:val="ro-MD"/>
        </w:rPr>
        <w:t xml:space="preserve"> </w:t>
      </w:r>
      <w:r w:rsidR="00FF123A" w:rsidRPr="000508B6">
        <w:rPr>
          <w:rFonts w:ascii="Times New Roman" w:hAnsi="Times New Roman" w:cs="Times New Roman"/>
          <w:lang w:val="ro-MD"/>
        </w:rPr>
        <w:t>137</w:t>
      </w:r>
      <w:r w:rsidR="00987963" w:rsidRPr="000508B6">
        <w:rPr>
          <w:rFonts w:ascii="Times New Roman" w:hAnsi="Times New Roman" w:cs="Times New Roman"/>
          <w:lang w:val="ro-MD"/>
        </w:rPr>
        <w:t>.</w:t>
      </w:r>
      <w:r w:rsidR="00FF123A" w:rsidRPr="000508B6">
        <w:rPr>
          <w:rFonts w:ascii="Times New Roman" w:hAnsi="Times New Roman" w:cs="Times New Roman"/>
          <w:lang w:val="ro-MD"/>
        </w:rPr>
        <w:t xml:space="preserve"> </w:t>
      </w:r>
    </w:p>
    <w:p w14:paraId="6E135D60" w14:textId="4A1310CC" w:rsidR="00525EDB" w:rsidRPr="000508B6" w:rsidRDefault="00525EDB" w:rsidP="00574631">
      <w:pPr>
        <w:numPr>
          <w:ilvl w:val="0"/>
          <w:numId w:val="1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tratamentului aplicat entităților menționate la art. </w:t>
      </w:r>
      <w:r w:rsidR="006336DA"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BD4745" w:rsidRPr="000508B6">
        <w:rPr>
          <w:rFonts w:ascii="Times New Roman" w:hAnsi="Times New Roman" w:cs="Times New Roman"/>
          <w:lang w:val="ro-MD"/>
        </w:rPr>
        <w:t xml:space="preserve"> </w:t>
      </w:r>
      <w:r w:rsidRPr="000508B6">
        <w:rPr>
          <w:rFonts w:ascii="Times New Roman" w:hAnsi="Times New Roman" w:cs="Times New Roman"/>
          <w:lang w:val="ro-MD"/>
        </w:rPr>
        <w:t xml:space="preserve">(1), Banca Națională a Moldovei poate decide să aplice metoda </w:t>
      </w:r>
      <w:r w:rsidR="00230ADD" w:rsidRPr="000508B6">
        <w:rPr>
          <w:rFonts w:ascii="Times New Roman" w:hAnsi="Times New Roman" w:cs="Times New Roman"/>
          <w:lang w:val="ro-MD"/>
        </w:rPr>
        <w:t xml:space="preserve">de calcul </w:t>
      </w:r>
      <w:r w:rsidR="008E5F82" w:rsidRPr="000508B6">
        <w:rPr>
          <w:rFonts w:ascii="Times New Roman" w:hAnsi="Times New Roman" w:cs="Times New Roman"/>
          <w:lang w:val="ro-MD"/>
        </w:rPr>
        <w:t>nr.</w:t>
      </w:r>
      <w:r w:rsidR="00AB02F7" w:rsidRPr="000508B6">
        <w:rPr>
          <w:rFonts w:ascii="Times New Roman" w:hAnsi="Times New Roman" w:cs="Times New Roman"/>
          <w:lang w:val="ro-MD"/>
        </w:rPr>
        <w:t xml:space="preserve"> </w:t>
      </w:r>
      <w:r w:rsidRPr="000508B6">
        <w:rPr>
          <w:rFonts w:ascii="Times New Roman" w:hAnsi="Times New Roman" w:cs="Times New Roman"/>
          <w:lang w:val="ro-MD"/>
        </w:rPr>
        <w:t>2 în temeiul alin.</w:t>
      </w:r>
      <w:r w:rsidR="00BD4745" w:rsidRPr="000508B6">
        <w:rPr>
          <w:rFonts w:ascii="Times New Roman" w:hAnsi="Times New Roman" w:cs="Times New Roman"/>
          <w:lang w:val="ro-MD"/>
        </w:rPr>
        <w:t xml:space="preserve"> </w:t>
      </w:r>
      <w:r w:rsidRPr="000508B6">
        <w:rPr>
          <w:rFonts w:ascii="Times New Roman" w:hAnsi="Times New Roman" w:cs="Times New Roman"/>
          <w:lang w:val="ro-MD"/>
        </w:rPr>
        <w:t xml:space="preserve">(2) numai </w:t>
      </w:r>
      <w:r w:rsidR="0062225C" w:rsidRPr="000508B6">
        <w:rPr>
          <w:rFonts w:ascii="Times New Roman" w:hAnsi="Times New Roman" w:cs="Times New Roman"/>
          <w:lang w:val="ro-MD"/>
        </w:rPr>
        <w:t xml:space="preserve">asigurătorului sau </w:t>
      </w:r>
      <w:proofErr w:type="spellStart"/>
      <w:r w:rsidR="0062225C"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r w:rsidR="00C25013" w:rsidRPr="000508B6">
        <w:rPr>
          <w:rFonts w:ascii="Times New Roman" w:hAnsi="Times New Roman" w:cs="Times New Roman"/>
          <w:lang w:val="ro-MD"/>
        </w:rPr>
        <w:t>cu sediul central î</w:t>
      </w:r>
      <w:r w:rsidR="002D3274" w:rsidRPr="000508B6">
        <w:rPr>
          <w:rFonts w:ascii="Times New Roman" w:hAnsi="Times New Roman" w:cs="Times New Roman"/>
          <w:lang w:val="ro-MD"/>
        </w:rPr>
        <w:t xml:space="preserve">n </w:t>
      </w:r>
      <w:r w:rsidR="00AB02F7" w:rsidRPr="000508B6">
        <w:rPr>
          <w:rFonts w:ascii="Times New Roman" w:hAnsi="Times New Roman" w:cs="Times New Roman"/>
          <w:lang w:val="ro-MD"/>
        </w:rPr>
        <w:t>Republica Moldova</w:t>
      </w:r>
      <w:r w:rsidR="00D5508F" w:rsidRPr="000508B6">
        <w:rPr>
          <w:rFonts w:ascii="Times New Roman" w:hAnsi="Times New Roman" w:cs="Times New Roman"/>
          <w:lang w:val="ro-MD"/>
        </w:rPr>
        <w:t>,</w:t>
      </w:r>
      <w:r w:rsidR="00AB02F7" w:rsidRPr="000508B6">
        <w:rPr>
          <w:rFonts w:ascii="Times New Roman" w:hAnsi="Times New Roman" w:cs="Times New Roman"/>
          <w:lang w:val="ro-MD"/>
        </w:rPr>
        <w:t xml:space="preserve"> în</w:t>
      </w:r>
      <w:r w:rsidR="002D3274" w:rsidRPr="000508B6">
        <w:rPr>
          <w:rFonts w:ascii="Times New Roman" w:hAnsi="Times New Roman" w:cs="Times New Roman"/>
          <w:lang w:val="ro-MD"/>
        </w:rPr>
        <w:t xml:space="preserve"> statele membre</w:t>
      </w:r>
      <w:r w:rsidR="0062225C" w:rsidRPr="000508B6">
        <w:rPr>
          <w:rFonts w:ascii="Times New Roman" w:hAnsi="Times New Roman" w:cs="Times New Roman"/>
          <w:lang w:val="ro-MD"/>
        </w:rPr>
        <w:t xml:space="preserve"> sau</w:t>
      </w:r>
      <w:r w:rsidRPr="000508B6">
        <w:rPr>
          <w:rFonts w:ascii="Times New Roman" w:hAnsi="Times New Roman" w:cs="Times New Roman"/>
          <w:lang w:val="ro-MD"/>
        </w:rPr>
        <w:t xml:space="preserve"> </w:t>
      </w:r>
      <w:r w:rsidR="00AB02F7" w:rsidRPr="000508B6">
        <w:rPr>
          <w:rFonts w:ascii="Times New Roman" w:hAnsi="Times New Roman" w:cs="Times New Roman"/>
          <w:lang w:val="ro-MD"/>
        </w:rPr>
        <w:t xml:space="preserve">în </w:t>
      </w:r>
      <w:r w:rsidR="00D7706F" w:rsidRPr="000508B6">
        <w:rPr>
          <w:rFonts w:ascii="Times New Roman" w:hAnsi="Times New Roman" w:cs="Times New Roman"/>
          <w:lang w:val="ro-MD"/>
        </w:rPr>
        <w:t>state</w:t>
      </w:r>
      <w:r w:rsidR="00601746" w:rsidRPr="000508B6">
        <w:rPr>
          <w:rFonts w:ascii="Times New Roman" w:hAnsi="Times New Roman" w:cs="Times New Roman"/>
          <w:lang w:val="ro-MD"/>
        </w:rPr>
        <w:t>le</w:t>
      </w:r>
      <w:r w:rsidRPr="000508B6">
        <w:rPr>
          <w:rFonts w:ascii="Times New Roman" w:hAnsi="Times New Roman" w:cs="Times New Roman"/>
          <w:lang w:val="ro-MD"/>
        </w:rPr>
        <w:t xml:space="preserve"> </w:t>
      </w:r>
      <w:r w:rsidRPr="000508B6">
        <w:rPr>
          <w:rFonts w:ascii="Times New Roman" w:hAnsi="Times New Roman" w:cs="Times New Roman"/>
          <w:lang w:val="ro-MD"/>
        </w:rPr>
        <w:lastRenderedPageBreak/>
        <w:t>terțe, holdingu</w:t>
      </w:r>
      <w:r w:rsidR="00830407" w:rsidRPr="000508B6">
        <w:rPr>
          <w:rFonts w:ascii="Times New Roman" w:hAnsi="Times New Roman" w:cs="Times New Roman"/>
          <w:lang w:val="ro-MD"/>
        </w:rPr>
        <w:t>lui</w:t>
      </w:r>
      <w:r w:rsidRPr="000508B6">
        <w:rPr>
          <w:rFonts w:ascii="Times New Roman" w:hAnsi="Times New Roman" w:cs="Times New Roman"/>
          <w:lang w:val="ro-MD"/>
        </w:rPr>
        <w:t xml:space="preserve"> de asigurare, holdingu</w:t>
      </w:r>
      <w:r w:rsidR="00830407" w:rsidRPr="000508B6">
        <w:rPr>
          <w:rFonts w:ascii="Times New Roman" w:hAnsi="Times New Roman" w:cs="Times New Roman"/>
          <w:lang w:val="ro-MD"/>
        </w:rPr>
        <w:t>lui</w:t>
      </w:r>
      <w:r w:rsidRPr="000508B6">
        <w:rPr>
          <w:rFonts w:ascii="Times New Roman" w:hAnsi="Times New Roman" w:cs="Times New Roman"/>
          <w:lang w:val="ro-MD"/>
        </w:rPr>
        <w:t xml:space="preserve"> financiar mixt și holdingu</w:t>
      </w:r>
      <w:r w:rsidR="00830407" w:rsidRPr="000508B6">
        <w:rPr>
          <w:rFonts w:ascii="Times New Roman" w:hAnsi="Times New Roman" w:cs="Times New Roman"/>
          <w:lang w:val="ro-MD"/>
        </w:rPr>
        <w:t>lui</w:t>
      </w:r>
      <w:r w:rsidRPr="000508B6">
        <w:rPr>
          <w:rFonts w:ascii="Times New Roman" w:hAnsi="Times New Roman" w:cs="Times New Roman"/>
          <w:lang w:val="ro-MD"/>
        </w:rPr>
        <w:t xml:space="preserve"> </w:t>
      </w:r>
      <w:r w:rsidR="00601746" w:rsidRPr="000508B6">
        <w:rPr>
          <w:rFonts w:ascii="Times New Roman" w:hAnsi="Times New Roman" w:cs="Times New Roman"/>
          <w:lang w:val="ro-MD"/>
        </w:rPr>
        <w:t>asigurător</w:t>
      </w:r>
      <w:r w:rsidR="00830407" w:rsidRPr="000508B6">
        <w:rPr>
          <w:rFonts w:ascii="Times New Roman" w:hAnsi="Times New Roman" w:cs="Times New Roman"/>
          <w:lang w:val="ro-MD"/>
        </w:rPr>
        <w:t>ului</w:t>
      </w:r>
      <w:r w:rsidR="00601746" w:rsidRPr="000508B6">
        <w:rPr>
          <w:rFonts w:ascii="Times New Roman" w:hAnsi="Times New Roman" w:cs="Times New Roman"/>
          <w:lang w:val="ro-MD"/>
        </w:rPr>
        <w:t xml:space="preserve"> sau </w:t>
      </w:r>
      <w:proofErr w:type="spellStart"/>
      <w:r w:rsidR="00601746" w:rsidRPr="000508B6">
        <w:rPr>
          <w:rFonts w:ascii="Times New Roman" w:hAnsi="Times New Roman" w:cs="Times New Roman"/>
          <w:lang w:val="ro-MD"/>
        </w:rPr>
        <w:t>reasigurător</w:t>
      </w:r>
      <w:r w:rsidR="00830407" w:rsidRPr="000508B6">
        <w:rPr>
          <w:rFonts w:ascii="Times New Roman" w:hAnsi="Times New Roman" w:cs="Times New Roman"/>
          <w:lang w:val="ro-MD"/>
        </w:rPr>
        <w:t>ului</w:t>
      </w:r>
      <w:proofErr w:type="spellEnd"/>
      <w:r w:rsidR="00601746" w:rsidRPr="000508B6">
        <w:rPr>
          <w:rFonts w:ascii="Times New Roman" w:hAnsi="Times New Roman" w:cs="Times New Roman"/>
          <w:lang w:val="ro-MD"/>
        </w:rPr>
        <w:t xml:space="preserve"> </w:t>
      </w:r>
      <w:r w:rsidRPr="000508B6">
        <w:rPr>
          <w:rFonts w:ascii="Times New Roman" w:hAnsi="Times New Roman" w:cs="Times New Roman"/>
          <w:lang w:val="ro-MD"/>
        </w:rPr>
        <w:t xml:space="preserve">din </w:t>
      </w:r>
      <w:proofErr w:type="spellStart"/>
      <w:r w:rsidR="00D7706F" w:rsidRPr="000508B6">
        <w:rPr>
          <w:rFonts w:ascii="Times New Roman" w:hAnsi="Times New Roman" w:cs="Times New Roman"/>
          <w:lang w:val="ro-MD"/>
        </w:rPr>
        <w:t>stat</w:t>
      </w:r>
      <w:r w:rsidR="00830407" w:rsidRPr="000508B6">
        <w:rPr>
          <w:rFonts w:ascii="Times New Roman" w:hAnsi="Times New Roman" w:cs="Times New Roman"/>
          <w:lang w:val="ro-MD"/>
        </w:rPr>
        <w:t>atul</w:t>
      </w:r>
      <w:proofErr w:type="spellEnd"/>
      <w:r w:rsidRPr="000508B6">
        <w:rPr>
          <w:rFonts w:ascii="Times New Roman" w:hAnsi="Times New Roman" w:cs="Times New Roman"/>
          <w:lang w:val="ro-MD"/>
        </w:rPr>
        <w:t xml:space="preserve"> terț. </w:t>
      </w:r>
    </w:p>
    <w:p w14:paraId="7AC7317C" w14:textId="77777777"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   </w:t>
      </w:r>
    </w:p>
    <w:p w14:paraId="46C25E0E" w14:textId="6F2719BB"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125</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Includerea cotei </w:t>
      </w:r>
      <w:proofErr w:type="spellStart"/>
      <w:r w:rsidRPr="000508B6">
        <w:rPr>
          <w:rFonts w:ascii="Times New Roman" w:hAnsi="Times New Roman" w:cs="Times New Roman"/>
          <w:lang w:val="ro-MD"/>
        </w:rPr>
        <w:t>proporţionale</w:t>
      </w:r>
      <w:proofErr w:type="spellEnd"/>
      <w:r w:rsidRPr="000508B6">
        <w:rPr>
          <w:rFonts w:ascii="Times New Roman" w:hAnsi="Times New Roman" w:cs="Times New Roman"/>
          <w:lang w:val="ro-MD"/>
        </w:rPr>
        <w:t xml:space="preserve"> </w:t>
      </w:r>
    </w:p>
    <w:p w14:paraId="299F0A3E" w14:textId="72F750DA" w:rsidR="00F95829" w:rsidRPr="000508B6" w:rsidRDefault="00F95829" w:rsidP="00BD4745">
      <w:pPr>
        <w:pStyle w:val="Listparagraf"/>
        <w:numPr>
          <w:ilvl w:val="0"/>
          <w:numId w:val="41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Calculul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cont de cota </w:t>
      </w:r>
      <w:proofErr w:type="spellStart"/>
      <w:r w:rsidRPr="000508B6">
        <w:rPr>
          <w:rFonts w:ascii="Times New Roman" w:hAnsi="Times New Roman" w:cs="Times New Roman"/>
          <w:lang w:val="ro-MD"/>
        </w:rPr>
        <w:t>proporţională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deţinută</w:t>
      </w:r>
      <w:proofErr w:type="spellEnd"/>
      <w:r w:rsidRPr="000508B6">
        <w:rPr>
          <w:rFonts w:ascii="Times New Roman" w:hAnsi="Times New Roman" w:cs="Times New Roman"/>
          <w:lang w:val="ro-MD"/>
        </w:rPr>
        <w:t xml:space="preserve"> de </w:t>
      </w:r>
      <w:r w:rsidR="00601746" w:rsidRPr="000508B6">
        <w:rPr>
          <w:rFonts w:ascii="Times New Roman" w:hAnsi="Times New Roman" w:cs="Times New Roman"/>
          <w:lang w:val="ro-MD"/>
        </w:rPr>
        <w:t xml:space="preserve">entitatea </w:t>
      </w:r>
      <w:r w:rsidRPr="000508B6">
        <w:rPr>
          <w:rFonts w:ascii="Times New Roman" w:hAnsi="Times New Roman" w:cs="Times New Roman"/>
          <w:lang w:val="ro-MD"/>
        </w:rPr>
        <w:t xml:space="preserve">participativă în </w:t>
      </w:r>
      <w:proofErr w:type="spellStart"/>
      <w:r w:rsidRPr="000508B6">
        <w:rPr>
          <w:rFonts w:ascii="Times New Roman" w:hAnsi="Times New Roman" w:cs="Times New Roman"/>
          <w:lang w:val="ro-MD"/>
        </w:rPr>
        <w:t>entităţile</w:t>
      </w:r>
      <w:proofErr w:type="spellEnd"/>
      <w:r w:rsidRPr="000508B6">
        <w:rPr>
          <w:rFonts w:ascii="Times New Roman" w:hAnsi="Times New Roman" w:cs="Times New Roman"/>
          <w:lang w:val="ro-MD"/>
        </w:rPr>
        <w:t xml:space="preserve"> afiliate, cotă care include:   </w:t>
      </w:r>
    </w:p>
    <w:p w14:paraId="5558A71E" w14:textId="14E59EB4" w:rsidR="00F95829" w:rsidRPr="000508B6" w:rsidRDefault="00F95829" w:rsidP="00574631">
      <w:pPr>
        <w:pStyle w:val="Listparagraf"/>
        <w:numPr>
          <w:ilvl w:val="0"/>
          <w:numId w:val="41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procentele utilizate pentru întocmirea </w:t>
      </w:r>
      <w:r w:rsidR="00AB02F7" w:rsidRPr="000508B6">
        <w:rPr>
          <w:rFonts w:ascii="Times New Roman" w:hAnsi="Times New Roman" w:cs="Times New Roman"/>
          <w:lang w:val="ro-MD"/>
        </w:rPr>
        <w:t xml:space="preserve">datelor </w:t>
      </w:r>
      <w:r w:rsidRPr="000508B6">
        <w:rPr>
          <w:rFonts w:ascii="Times New Roman" w:hAnsi="Times New Roman" w:cs="Times New Roman"/>
          <w:lang w:val="ro-MD"/>
        </w:rPr>
        <w:t xml:space="preserve">consolidate, în cazul aplicării metodei nr. 1;   </w:t>
      </w:r>
    </w:p>
    <w:p w14:paraId="45100563" w14:textId="6EA29B27" w:rsidR="00F95829" w:rsidRPr="000508B6" w:rsidRDefault="00F95829" w:rsidP="00574631">
      <w:pPr>
        <w:pStyle w:val="Listparagraf"/>
        <w:numPr>
          <w:ilvl w:val="0"/>
          <w:numId w:val="419"/>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proporţia</w:t>
      </w:r>
      <w:proofErr w:type="spellEnd"/>
      <w:r w:rsidRPr="000508B6">
        <w:rPr>
          <w:rFonts w:ascii="Times New Roman" w:hAnsi="Times New Roman" w:cs="Times New Roman"/>
          <w:lang w:val="ro-MD"/>
        </w:rPr>
        <w:t xml:space="preserve"> </w:t>
      </w:r>
      <w:r w:rsidR="00423AE2" w:rsidRPr="000508B6">
        <w:rPr>
          <w:rFonts w:ascii="Times New Roman" w:hAnsi="Times New Roman" w:cs="Times New Roman"/>
          <w:lang w:val="ro-MD"/>
        </w:rPr>
        <w:t>din</w:t>
      </w:r>
      <w:r w:rsidRPr="000508B6">
        <w:rPr>
          <w:rFonts w:ascii="Times New Roman" w:hAnsi="Times New Roman" w:cs="Times New Roman"/>
          <w:lang w:val="ro-MD"/>
        </w:rPr>
        <w:t xml:space="preserve"> capitalul subscris </w:t>
      </w:r>
      <w:proofErr w:type="spellStart"/>
      <w:r w:rsidRPr="000508B6">
        <w:rPr>
          <w:rFonts w:ascii="Times New Roman" w:hAnsi="Times New Roman" w:cs="Times New Roman"/>
          <w:lang w:val="ro-MD"/>
        </w:rPr>
        <w:t>deţinut</w:t>
      </w:r>
      <w:proofErr w:type="spellEnd"/>
      <w:r w:rsidRPr="000508B6">
        <w:rPr>
          <w:rFonts w:ascii="Times New Roman" w:hAnsi="Times New Roman" w:cs="Times New Roman"/>
          <w:lang w:val="ro-MD"/>
        </w:rPr>
        <w:t xml:space="preserve"> direct sau indirect </w:t>
      </w:r>
      <w:r w:rsidR="00D050E0" w:rsidRPr="000508B6">
        <w:rPr>
          <w:rFonts w:ascii="Times New Roman" w:hAnsi="Times New Roman" w:cs="Times New Roman"/>
          <w:lang w:val="ro-MD"/>
        </w:rPr>
        <w:t xml:space="preserve">de către entitatea participativă </w:t>
      </w:r>
      <w:r w:rsidRPr="000508B6">
        <w:rPr>
          <w:rFonts w:ascii="Times New Roman" w:hAnsi="Times New Roman" w:cs="Times New Roman"/>
          <w:lang w:val="ro-MD"/>
        </w:rPr>
        <w:t xml:space="preserve">în cazul aplicării metodei nr. 2.   </w:t>
      </w:r>
    </w:p>
    <w:p w14:paraId="12AB787D" w14:textId="6A703B5F" w:rsidR="00F95829" w:rsidRPr="000508B6" w:rsidRDefault="0005617E" w:rsidP="00574631">
      <w:pPr>
        <w:pStyle w:val="Listparagraf"/>
        <w:numPr>
          <w:ilvl w:val="0"/>
          <w:numId w:val="41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În cazul în care entitatea afiliată este o filială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nu </w:t>
      </w:r>
      <w:proofErr w:type="spellStart"/>
      <w:r w:rsidR="00F95829" w:rsidRPr="000508B6">
        <w:rPr>
          <w:rFonts w:ascii="Times New Roman" w:hAnsi="Times New Roman" w:cs="Times New Roman"/>
          <w:lang w:val="ro-MD"/>
        </w:rPr>
        <w:t>deţine</w:t>
      </w:r>
      <w:proofErr w:type="spellEnd"/>
      <w:r w:rsidR="00F95829" w:rsidRPr="000508B6">
        <w:rPr>
          <w:rFonts w:ascii="Times New Roman" w:hAnsi="Times New Roman" w:cs="Times New Roman"/>
          <w:lang w:val="ro-MD"/>
        </w:rPr>
        <w:t xml:space="preserve"> suficiente fonduri proprii eligibile pentru a</w:t>
      </w:r>
      <w:r w:rsidR="00A05E9F" w:rsidRPr="000508B6">
        <w:rPr>
          <w:rFonts w:ascii="Times New Roman" w:hAnsi="Times New Roman" w:cs="Times New Roman"/>
          <w:lang w:val="ro-MD"/>
        </w:rPr>
        <w:t>-și</w:t>
      </w:r>
      <w:r w:rsidR="00F95829" w:rsidRPr="000508B6">
        <w:rPr>
          <w:rFonts w:ascii="Times New Roman" w:hAnsi="Times New Roman" w:cs="Times New Roman"/>
          <w:lang w:val="ro-MD"/>
        </w:rPr>
        <w:t xml:space="preserve"> acoperi SCR</w:t>
      </w:r>
      <w:r w:rsidR="00AB02F7" w:rsidRPr="000508B6">
        <w:rPr>
          <w:rFonts w:ascii="Times New Roman" w:hAnsi="Times New Roman" w:cs="Times New Roman"/>
          <w:lang w:val="ro-MD"/>
        </w:rPr>
        <w:t xml:space="preserve"> proprie</w:t>
      </w:r>
      <w:r w:rsidR="00F95829" w:rsidRPr="000508B6">
        <w:rPr>
          <w:rFonts w:ascii="Times New Roman" w:hAnsi="Times New Roman" w:cs="Times New Roman"/>
          <w:lang w:val="ro-MD"/>
        </w:rPr>
        <w:t xml:space="preserve">, indiferent de metoda </w:t>
      </w:r>
      <w:r w:rsidR="00230ADD" w:rsidRPr="000508B6">
        <w:rPr>
          <w:rFonts w:ascii="Times New Roman" w:hAnsi="Times New Roman" w:cs="Times New Roman"/>
          <w:lang w:val="ro-MD"/>
        </w:rPr>
        <w:t xml:space="preserve">de calcul </w:t>
      </w:r>
      <w:r w:rsidR="00F95829" w:rsidRPr="000508B6">
        <w:rPr>
          <w:rFonts w:ascii="Times New Roman" w:hAnsi="Times New Roman" w:cs="Times New Roman"/>
          <w:lang w:val="ro-MD"/>
        </w:rPr>
        <w:t xml:space="preserve">aplicată, în calcularea SCR la nivel de grup se </w:t>
      </w:r>
      <w:proofErr w:type="spellStart"/>
      <w:r w:rsidR="00F95829" w:rsidRPr="000508B6">
        <w:rPr>
          <w:rFonts w:ascii="Times New Roman" w:hAnsi="Times New Roman" w:cs="Times New Roman"/>
          <w:lang w:val="ro-MD"/>
        </w:rPr>
        <w:t>ţine</w:t>
      </w:r>
      <w:proofErr w:type="spellEnd"/>
      <w:r w:rsidR="00F95829" w:rsidRPr="000508B6">
        <w:rPr>
          <w:rFonts w:ascii="Times New Roman" w:hAnsi="Times New Roman" w:cs="Times New Roman"/>
          <w:lang w:val="ro-MD"/>
        </w:rPr>
        <w:t xml:space="preserve"> cont de deficitul de solvabilitate total al filialei, iar în cazul în care Banca Națională a Moldovei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colegiul supraveghetorilor consideră că răspunderea </w:t>
      </w:r>
      <w:proofErr w:type="spellStart"/>
      <w:r w:rsidR="00F95829" w:rsidRPr="000508B6">
        <w:rPr>
          <w:rFonts w:ascii="Times New Roman" w:hAnsi="Times New Roman" w:cs="Times New Roman"/>
          <w:lang w:val="ro-MD"/>
        </w:rPr>
        <w:t>societăţii</w:t>
      </w:r>
      <w:proofErr w:type="spellEnd"/>
      <w:r w:rsidR="00601746" w:rsidRPr="000508B6">
        <w:rPr>
          <w:rFonts w:ascii="Times New Roman" w:hAnsi="Times New Roman" w:cs="Times New Roman"/>
          <w:lang w:val="ro-MD"/>
        </w:rPr>
        <w:t>-mamă</w:t>
      </w:r>
      <w:r w:rsidR="00F95829" w:rsidRPr="000508B6">
        <w:rPr>
          <w:rFonts w:ascii="Times New Roman" w:hAnsi="Times New Roman" w:cs="Times New Roman"/>
          <w:lang w:val="ro-MD"/>
        </w:rPr>
        <w:t xml:space="preserve"> este limitată strict la </w:t>
      </w:r>
      <w:proofErr w:type="spellStart"/>
      <w:r w:rsidR="00F95829" w:rsidRPr="000508B6">
        <w:rPr>
          <w:rFonts w:ascii="Times New Roman" w:hAnsi="Times New Roman" w:cs="Times New Roman"/>
          <w:lang w:val="ro-MD"/>
        </w:rPr>
        <w:t>proporţia</w:t>
      </w:r>
      <w:proofErr w:type="spellEnd"/>
      <w:r w:rsidR="00F95829" w:rsidRPr="000508B6">
        <w:rPr>
          <w:rFonts w:ascii="Times New Roman" w:hAnsi="Times New Roman" w:cs="Times New Roman"/>
          <w:lang w:val="ro-MD"/>
        </w:rPr>
        <w:t xml:space="preserve"> de capital </w:t>
      </w:r>
      <w:proofErr w:type="spellStart"/>
      <w:r w:rsidR="00F95829" w:rsidRPr="000508B6">
        <w:rPr>
          <w:rFonts w:ascii="Times New Roman" w:hAnsi="Times New Roman" w:cs="Times New Roman"/>
          <w:lang w:val="ro-MD"/>
        </w:rPr>
        <w:t>deţinut</w:t>
      </w:r>
      <w:proofErr w:type="spellEnd"/>
      <w:r w:rsidR="00F95829" w:rsidRPr="000508B6">
        <w:rPr>
          <w:rFonts w:ascii="Times New Roman" w:hAnsi="Times New Roman" w:cs="Times New Roman"/>
          <w:lang w:val="ro-MD"/>
        </w:rPr>
        <w:t xml:space="preserve">, poate aproba luarea în considerare a deficitului respectiv pe o bază </w:t>
      </w:r>
      <w:proofErr w:type="spellStart"/>
      <w:r w:rsidR="00F95829" w:rsidRPr="000508B6">
        <w:rPr>
          <w:rFonts w:ascii="Times New Roman" w:hAnsi="Times New Roman" w:cs="Times New Roman"/>
          <w:lang w:val="ro-MD"/>
        </w:rPr>
        <w:t>proporţională</w:t>
      </w:r>
      <w:proofErr w:type="spellEnd"/>
      <w:r w:rsidR="00F95829" w:rsidRPr="000508B6">
        <w:rPr>
          <w:rFonts w:ascii="Times New Roman" w:hAnsi="Times New Roman" w:cs="Times New Roman"/>
          <w:lang w:val="ro-MD"/>
        </w:rPr>
        <w:t xml:space="preserve">.  </w:t>
      </w:r>
    </w:p>
    <w:p w14:paraId="2CD590AC" w14:textId="075F3490" w:rsidR="00525EDB" w:rsidRPr="000508B6" w:rsidRDefault="00525EDB" w:rsidP="00574631">
      <w:pPr>
        <w:pStyle w:val="Listparagraf"/>
        <w:numPr>
          <w:ilvl w:val="0"/>
          <w:numId w:val="41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Prin derogare de la alin. (1) și (2), exclusiv în sensul art. </w:t>
      </w:r>
      <w:r w:rsidR="008A7BAB" w:rsidRPr="000508B6">
        <w:rPr>
          <w:rFonts w:ascii="Times New Roman" w:hAnsi="Times New Roman" w:cs="Times New Roman"/>
          <w:lang w:val="ro-MD"/>
        </w:rPr>
        <w:t>132</w:t>
      </w:r>
      <w:r w:rsidRPr="000508B6">
        <w:rPr>
          <w:rFonts w:ascii="Times New Roman" w:hAnsi="Times New Roman" w:cs="Times New Roman"/>
          <w:lang w:val="ro-MD"/>
        </w:rPr>
        <w:t xml:space="preserve">, indiferent dacă se utilizează metoda </w:t>
      </w:r>
      <w:r w:rsidR="00230ADD" w:rsidRPr="000508B6">
        <w:rPr>
          <w:rFonts w:ascii="Times New Roman" w:hAnsi="Times New Roman" w:cs="Times New Roman"/>
          <w:lang w:val="ro-MD"/>
        </w:rPr>
        <w:t xml:space="preserve">de calcul </w:t>
      </w:r>
      <w:r w:rsidR="008E5F82" w:rsidRPr="000508B6">
        <w:rPr>
          <w:rFonts w:ascii="Times New Roman" w:hAnsi="Times New Roman" w:cs="Times New Roman"/>
          <w:lang w:val="ro-MD"/>
        </w:rPr>
        <w:t>nr.</w:t>
      </w:r>
      <w:r w:rsidR="00BD4745" w:rsidRPr="000508B6">
        <w:rPr>
          <w:rFonts w:ascii="Times New Roman" w:hAnsi="Times New Roman" w:cs="Times New Roman"/>
          <w:lang w:val="ro-MD"/>
        </w:rPr>
        <w:t xml:space="preserve"> </w:t>
      </w:r>
      <w:r w:rsidRPr="000508B6">
        <w:rPr>
          <w:rFonts w:ascii="Times New Roman" w:hAnsi="Times New Roman" w:cs="Times New Roman"/>
          <w:lang w:val="ro-MD"/>
        </w:rPr>
        <w:t xml:space="preserve">1 sau metoda </w:t>
      </w:r>
      <w:r w:rsidR="00230ADD" w:rsidRPr="000508B6">
        <w:rPr>
          <w:rFonts w:ascii="Times New Roman" w:hAnsi="Times New Roman" w:cs="Times New Roman"/>
          <w:lang w:val="ro-MD"/>
        </w:rPr>
        <w:t xml:space="preserve">de calcul </w:t>
      </w:r>
      <w:r w:rsidR="008E5F82" w:rsidRPr="000508B6">
        <w:rPr>
          <w:rFonts w:ascii="Times New Roman" w:hAnsi="Times New Roman" w:cs="Times New Roman"/>
          <w:lang w:val="ro-MD"/>
        </w:rPr>
        <w:t>nr.</w:t>
      </w:r>
      <w:r w:rsidR="00BD4745" w:rsidRPr="000508B6">
        <w:rPr>
          <w:rFonts w:ascii="Times New Roman" w:hAnsi="Times New Roman" w:cs="Times New Roman"/>
          <w:lang w:val="ro-MD"/>
        </w:rPr>
        <w:t xml:space="preserve"> </w:t>
      </w:r>
      <w:r w:rsidRPr="000508B6">
        <w:rPr>
          <w:rFonts w:ascii="Times New Roman" w:hAnsi="Times New Roman" w:cs="Times New Roman"/>
          <w:lang w:val="ro-MD"/>
        </w:rPr>
        <w:t xml:space="preserve">2, „cotă proporțională” înseamnă partea din capitalul subscris care este deținută, direct sau indirect, de </w:t>
      </w:r>
      <w:r w:rsidR="00601746" w:rsidRPr="000508B6">
        <w:rPr>
          <w:rFonts w:ascii="Times New Roman" w:hAnsi="Times New Roman" w:cs="Times New Roman"/>
          <w:lang w:val="ro-MD"/>
        </w:rPr>
        <w:t xml:space="preserve">entitatea </w:t>
      </w:r>
      <w:r w:rsidRPr="000508B6">
        <w:rPr>
          <w:rFonts w:ascii="Times New Roman" w:hAnsi="Times New Roman" w:cs="Times New Roman"/>
          <w:lang w:val="ro-MD"/>
        </w:rPr>
        <w:t xml:space="preserve">participativă în cadrul </w:t>
      </w:r>
      <w:r w:rsidR="00601746" w:rsidRPr="000508B6">
        <w:rPr>
          <w:rFonts w:ascii="Times New Roman" w:hAnsi="Times New Roman" w:cs="Times New Roman"/>
          <w:lang w:val="ro-MD"/>
        </w:rPr>
        <w:t xml:space="preserve">entității </w:t>
      </w:r>
      <w:r w:rsidRPr="000508B6">
        <w:rPr>
          <w:rFonts w:ascii="Times New Roman" w:hAnsi="Times New Roman" w:cs="Times New Roman"/>
          <w:lang w:val="ro-MD"/>
        </w:rPr>
        <w:t>afiliate.</w:t>
      </w:r>
      <w:r w:rsidR="00002619" w:rsidRPr="000508B6">
        <w:rPr>
          <w:rFonts w:ascii="Times New Roman" w:hAnsi="Times New Roman" w:cs="Times New Roman"/>
          <w:color w:val="FF0000"/>
          <w:lang w:val="ro-MD"/>
        </w:rPr>
        <w:t xml:space="preserve"> </w:t>
      </w:r>
    </w:p>
    <w:p w14:paraId="573A1EDD" w14:textId="7AD50A13" w:rsidR="00F95829" w:rsidRPr="000508B6" w:rsidRDefault="00F95829" w:rsidP="00574631">
      <w:pPr>
        <w:pStyle w:val="Listparagraf"/>
        <w:numPr>
          <w:ilvl w:val="0"/>
          <w:numId w:val="41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Cota </w:t>
      </w:r>
      <w:proofErr w:type="spellStart"/>
      <w:r w:rsidRPr="000508B6">
        <w:rPr>
          <w:rFonts w:ascii="Times New Roman" w:hAnsi="Times New Roman" w:cs="Times New Roman"/>
          <w:lang w:val="ro-MD"/>
        </w:rPr>
        <w:t>proporţională</w:t>
      </w:r>
      <w:proofErr w:type="spellEnd"/>
      <w:r w:rsidRPr="000508B6">
        <w:rPr>
          <w:rFonts w:ascii="Times New Roman" w:hAnsi="Times New Roman" w:cs="Times New Roman"/>
          <w:lang w:val="ro-MD"/>
        </w:rPr>
        <w:t xml:space="preserve"> este determinată de Banca Națională a Moldovei, după consultarea </w:t>
      </w:r>
      <w:r w:rsidR="003C4C71" w:rsidRPr="000508B6">
        <w:rPr>
          <w:rFonts w:ascii="Times New Roman" w:hAnsi="Times New Roman" w:cs="Times New Roman"/>
          <w:lang w:val="ro-MD"/>
        </w:rPr>
        <w:t xml:space="preserve">celorlalți membri ai </w:t>
      </w:r>
      <w:r w:rsidRPr="000508B6">
        <w:rPr>
          <w:rFonts w:ascii="Times New Roman" w:hAnsi="Times New Roman" w:cs="Times New Roman"/>
          <w:lang w:val="ro-MD"/>
        </w:rPr>
        <w:t>colegiului supraveghetorilor</w:t>
      </w:r>
      <w:r w:rsidR="00716051" w:rsidRPr="000508B6">
        <w:rPr>
          <w:rFonts w:ascii="Times New Roman" w:hAnsi="Times New Roman" w:cs="Times New Roman"/>
          <w:lang w:val="ro-MD"/>
        </w:rPr>
        <w:t xml:space="preserve"> și a grupului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este luată în calcul atunci când:   </w:t>
      </w:r>
    </w:p>
    <w:p w14:paraId="6BBEDAC0" w14:textId="77777777" w:rsidR="00F95829" w:rsidRPr="000508B6" w:rsidRDefault="00F95829" w:rsidP="00574631">
      <w:pPr>
        <w:numPr>
          <w:ilvl w:val="0"/>
          <w:numId w:val="42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nu există legături de capital între unele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ale grupului;   </w:t>
      </w:r>
    </w:p>
    <w:p w14:paraId="13DAE91F" w14:textId="77777777" w:rsidR="00F95829" w:rsidRPr="000508B6" w:rsidRDefault="00F95829" w:rsidP="00574631">
      <w:pPr>
        <w:numPr>
          <w:ilvl w:val="0"/>
          <w:numId w:val="42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unul dintre supraveghetori consideră că </w:t>
      </w:r>
      <w:proofErr w:type="spellStart"/>
      <w:r w:rsidRPr="000508B6">
        <w:rPr>
          <w:rFonts w:ascii="Times New Roman" w:hAnsi="Times New Roman" w:cs="Times New Roman"/>
          <w:lang w:val="ro-MD"/>
        </w:rPr>
        <w:t>deţinerea</w:t>
      </w:r>
      <w:proofErr w:type="spellEnd"/>
      <w:r w:rsidRPr="000508B6">
        <w:rPr>
          <w:rFonts w:ascii="Times New Roman" w:hAnsi="Times New Roman" w:cs="Times New Roman"/>
          <w:lang w:val="ro-MD"/>
        </w:rPr>
        <w:t xml:space="preserve">, directă sau indirectă, de capital sau de drepturi de vot într-o entitate se califică drept </w:t>
      </w:r>
      <w:proofErr w:type="spellStart"/>
      <w:r w:rsidRPr="000508B6">
        <w:rPr>
          <w:rFonts w:ascii="Times New Roman" w:hAnsi="Times New Roman" w:cs="Times New Roman"/>
          <w:lang w:val="ro-MD"/>
        </w:rPr>
        <w:t>participaţie</w:t>
      </w:r>
      <w:proofErr w:type="spellEnd"/>
      <w:r w:rsidRPr="000508B6">
        <w:rPr>
          <w:rFonts w:ascii="Times New Roman" w:hAnsi="Times New Roman" w:cs="Times New Roman"/>
          <w:lang w:val="ro-MD"/>
        </w:rPr>
        <w:t xml:space="preserve"> deoarece se exercită efectiv o </w:t>
      </w:r>
      <w:proofErr w:type="spellStart"/>
      <w:r w:rsidRPr="000508B6">
        <w:rPr>
          <w:rFonts w:ascii="Times New Roman" w:hAnsi="Times New Roman" w:cs="Times New Roman"/>
          <w:lang w:val="ro-MD"/>
        </w:rPr>
        <w:t>influenţă</w:t>
      </w:r>
      <w:proofErr w:type="spellEnd"/>
      <w:r w:rsidRPr="000508B6">
        <w:rPr>
          <w:rFonts w:ascii="Times New Roman" w:hAnsi="Times New Roman" w:cs="Times New Roman"/>
          <w:lang w:val="ro-MD"/>
        </w:rPr>
        <w:t xml:space="preserve"> semnificativă asupra acelei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w:t>
      </w:r>
    </w:p>
    <w:p w14:paraId="502DF6FE" w14:textId="2C96B269" w:rsidR="00F95829" w:rsidRPr="000508B6" w:rsidRDefault="00F95829" w:rsidP="00574631">
      <w:pPr>
        <w:numPr>
          <w:ilvl w:val="0"/>
          <w:numId w:val="42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unul dintre supraveghetori consideră că o entitate este societate-mamă pentru o altă entitate, deoarece exercită efectiv o </w:t>
      </w:r>
      <w:proofErr w:type="spellStart"/>
      <w:r w:rsidRPr="000508B6">
        <w:rPr>
          <w:rFonts w:ascii="Times New Roman" w:hAnsi="Times New Roman" w:cs="Times New Roman"/>
          <w:lang w:val="ro-MD"/>
        </w:rPr>
        <w:t>influenţă</w:t>
      </w:r>
      <w:proofErr w:type="spellEnd"/>
      <w:r w:rsidRPr="000508B6">
        <w:rPr>
          <w:rFonts w:ascii="Times New Roman" w:hAnsi="Times New Roman" w:cs="Times New Roman"/>
          <w:lang w:val="ro-MD"/>
        </w:rPr>
        <w:t xml:space="preserve"> dominantă asupra acesteia din urmă. </w:t>
      </w:r>
    </w:p>
    <w:p w14:paraId="1B003AAB" w14:textId="31C90204" w:rsidR="00525EDB" w:rsidRPr="000508B6" w:rsidRDefault="00525EDB" w:rsidP="00574631">
      <w:pPr>
        <w:numPr>
          <w:ilvl w:val="0"/>
          <w:numId w:val="42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unul dintre supraveghetori a stabilit că </w:t>
      </w:r>
      <w:r w:rsidR="00102942" w:rsidRPr="000508B6">
        <w:rPr>
          <w:rFonts w:ascii="Times New Roman" w:hAnsi="Times New Roman" w:cs="Times New Roman"/>
          <w:lang w:val="ro-MD"/>
        </w:rPr>
        <w:t xml:space="preserve">doi sau mai mulți asigurători sau </w:t>
      </w:r>
      <w:proofErr w:type="spellStart"/>
      <w:r w:rsidR="00102942" w:rsidRPr="000508B6">
        <w:rPr>
          <w:rFonts w:ascii="Times New Roman" w:hAnsi="Times New Roman" w:cs="Times New Roman"/>
          <w:lang w:val="ro-MD"/>
        </w:rPr>
        <w:t>reasi</w:t>
      </w:r>
      <w:r w:rsidR="00000EEF" w:rsidRPr="000508B6">
        <w:rPr>
          <w:rFonts w:ascii="Times New Roman" w:hAnsi="Times New Roman" w:cs="Times New Roman"/>
          <w:lang w:val="ro-MD"/>
        </w:rPr>
        <w:t>g</w:t>
      </w:r>
      <w:r w:rsidR="00102942" w:rsidRPr="000508B6">
        <w:rPr>
          <w:rFonts w:ascii="Times New Roman" w:hAnsi="Times New Roman" w:cs="Times New Roman"/>
          <w:lang w:val="ro-MD"/>
        </w:rPr>
        <w:t>urători</w:t>
      </w:r>
      <w:proofErr w:type="spellEnd"/>
      <w:r w:rsidRPr="000508B6">
        <w:rPr>
          <w:rFonts w:ascii="Times New Roman" w:hAnsi="Times New Roman" w:cs="Times New Roman"/>
          <w:lang w:val="ro-MD"/>
        </w:rPr>
        <w:t xml:space="preserve"> formează un grup în temeiul art. </w:t>
      </w:r>
      <w:r w:rsidR="008A7BAB" w:rsidRPr="000508B6">
        <w:rPr>
          <w:rFonts w:ascii="Times New Roman" w:hAnsi="Times New Roman" w:cs="Times New Roman"/>
          <w:lang w:val="ro-MD"/>
        </w:rPr>
        <w:t>116</w:t>
      </w:r>
      <w:r w:rsidRPr="000508B6">
        <w:rPr>
          <w:rFonts w:ascii="Times New Roman" w:hAnsi="Times New Roman" w:cs="Times New Roman"/>
          <w:lang w:val="ro-MD"/>
        </w:rPr>
        <w:t xml:space="preserve"> alin.</w:t>
      </w:r>
      <w:r w:rsidR="00BD4745" w:rsidRPr="000508B6">
        <w:rPr>
          <w:rFonts w:ascii="Times New Roman" w:hAnsi="Times New Roman" w:cs="Times New Roman"/>
          <w:lang w:val="ro-MD"/>
        </w:rPr>
        <w:t xml:space="preserve"> </w:t>
      </w:r>
      <w:r w:rsidRPr="000508B6">
        <w:rPr>
          <w:rFonts w:ascii="Times New Roman" w:hAnsi="Times New Roman" w:cs="Times New Roman"/>
          <w:lang w:val="ro-MD"/>
        </w:rPr>
        <w:t>(</w:t>
      </w:r>
      <w:r w:rsidR="00F824E2" w:rsidRPr="000508B6">
        <w:rPr>
          <w:rFonts w:ascii="Times New Roman" w:hAnsi="Times New Roman" w:cs="Times New Roman"/>
          <w:lang w:val="ro-MD"/>
        </w:rPr>
        <w:t>4</w:t>
      </w:r>
      <w:r w:rsidRPr="000508B6">
        <w:rPr>
          <w:rFonts w:ascii="Times New Roman" w:hAnsi="Times New Roman" w:cs="Times New Roman"/>
          <w:lang w:val="ro-MD"/>
        </w:rPr>
        <w:t>)</w:t>
      </w:r>
      <w:r w:rsidR="00625FD5" w:rsidRPr="000508B6">
        <w:rPr>
          <w:rFonts w:ascii="Times New Roman" w:hAnsi="Times New Roman" w:cs="Times New Roman"/>
          <w:lang w:val="ro-MD"/>
        </w:rPr>
        <w:t xml:space="preserve"> lit.</w:t>
      </w:r>
      <w:r w:rsidR="00BD4745" w:rsidRPr="000508B6">
        <w:rPr>
          <w:rFonts w:ascii="Times New Roman" w:hAnsi="Times New Roman" w:cs="Times New Roman"/>
          <w:lang w:val="ro-MD"/>
        </w:rPr>
        <w:t xml:space="preserve"> </w:t>
      </w:r>
      <w:r w:rsidR="009778DE" w:rsidRPr="000508B6">
        <w:rPr>
          <w:rFonts w:ascii="Times New Roman" w:hAnsi="Times New Roman" w:cs="Times New Roman"/>
          <w:lang w:val="ro-MD"/>
        </w:rPr>
        <w:t>b</w:t>
      </w:r>
      <w:r w:rsidR="00625FD5" w:rsidRPr="000508B6">
        <w:rPr>
          <w:rFonts w:ascii="Times New Roman" w:hAnsi="Times New Roman" w:cs="Times New Roman"/>
          <w:lang w:val="ro-MD"/>
        </w:rPr>
        <w:t>)</w:t>
      </w:r>
      <w:r w:rsidR="00F824E2" w:rsidRPr="000508B6">
        <w:rPr>
          <w:rFonts w:ascii="Times New Roman" w:hAnsi="Times New Roman" w:cs="Times New Roman"/>
          <w:lang w:val="ro-MD"/>
        </w:rPr>
        <w:t xml:space="preserve"> și alin.</w:t>
      </w:r>
      <w:r w:rsidR="008C232F" w:rsidRPr="000508B6">
        <w:rPr>
          <w:rFonts w:ascii="Times New Roman" w:hAnsi="Times New Roman" w:cs="Times New Roman"/>
          <w:lang w:val="ro-MD"/>
        </w:rPr>
        <w:t>(</w:t>
      </w:r>
      <w:r w:rsidR="00F824E2" w:rsidRPr="000508B6">
        <w:rPr>
          <w:rFonts w:ascii="Times New Roman" w:hAnsi="Times New Roman" w:cs="Times New Roman"/>
          <w:lang w:val="ro-MD"/>
        </w:rPr>
        <w:t>5</w:t>
      </w:r>
      <w:r w:rsidR="008C232F" w:rsidRPr="000508B6">
        <w:rPr>
          <w:rFonts w:ascii="Times New Roman" w:hAnsi="Times New Roman" w:cs="Times New Roman"/>
          <w:lang w:val="ro-MD"/>
        </w:rPr>
        <w:t>)</w:t>
      </w:r>
      <w:r w:rsidRPr="000508B6">
        <w:rPr>
          <w:rFonts w:ascii="Times New Roman" w:hAnsi="Times New Roman" w:cs="Times New Roman"/>
          <w:lang w:val="ro-MD"/>
        </w:rPr>
        <w:t xml:space="preserve">, întrucât sunt </w:t>
      </w:r>
      <w:r w:rsidR="00716051" w:rsidRPr="000508B6">
        <w:rPr>
          <w:rFonts w:ascii="Times New Roman" w:hAnsi="Times New Roman" w:cs="Times New Roman"/>
          <w:lang w:val="ro-MD"/>
        </w:rPr>
        <w:t xml:space="preserve">administrați </w:t>
      </w:r>
      <w:r w:rsidRPr="000508B6">
        <w:rPr>
          <w:rFonts w:ascii="Times New Roman" w:hAnsi="Times New Roman" w:cs="Times New Roman"/>
          <w:lang w:val="ro-MD"/>
        </w:rPr>
        <w:t>pe bază unitară.</w:t>
      </w:r>
      <w:r w:rsidR="002555DC" w:rsidRPr="000508B6">
        <w:rPr>
          <w:rFonts w:ascii="Times New Roman" w:hAnsi="Times New Roman" w:cs="Times New Roman"/>
          <w:lang w:val="ro-MD"/>
        </w:rPr>
        <w:t xml:space="preserve"> </w:t>
      </w:r>
    </w:p>
    <w:p w14:paraId="0E6958FA" w14:textId="77777777"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p>
    <w:p w14:paraId="7A87151B" w14:textId="630E2C5E" w:rsidR="00F95829" w:rsidRPr="000508B6" w:rsidRDefault="0005617E"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126</w:t>
      </w:r>
      <w:r w:rsidRPr="000508B6">
        <w:rPr>
          <w:rFonts w:ascii="Times New Roman" w:hAnsi="Times New Roman" w:cs="Times New Roman"/>
          <w:b/>
          <w:lang w:val="ro-MD"/>
        </w:rPr>
        <w:t xml:space="preserve">. </w:t>
      </w:r>
      <w:r w:rsidR="00F95829" w:rsidRPr="000508B6">
        <w:rPr>
          <w:rFonts w:ascii="Times New Roman" w:hAnsi="Times New Roman" w:cs="Times New Roman"/>
          <w:lang w:val="ro-MD"/>
        </w:rPr>
        <w:t xml:space="preserve"> Dubla utilizare a fondurilor proprii  </w:t>
      </w:r>
    </w:p>
    <w:p w14:paraId="2B41A60B" w14:textId="362FCE68" w:rsidR="00F95829" w:rsidRPr="000508B6" w:rsidRDefault="00A25245" w:rsidP="00BD4745">
      <w:pPr>
        <w:numPr>
          <w:ilvl w:val="0"/>
          <w:numId w:val="1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Se interzice dubla utilizare a fondurilor proprii eligibile pentru </w:t>
      </w:r>
      <w:r w:rsidR="007C6C65" w:rsidRPr="000508B6">
        <w:rPr>
          <w:rFonts w:ascii="Times New Roman" w:hAnsi="Times New Roman" w:cs="Times New Roman"/>
          <w:lang w:val="ro-MD"/>
        </w:rPr>
        <w:t xml:space="preserve">calcularea </w:t>
      </w:r>
      <w:r w:rsidRPr="000508B6">
        <w:rPr>
          <w:rFonts w:ascii="Times New Roman" w:hAnsi="Times New Roman" w:cs="Times New Roman"/>
          <w:lang w:val="ro-MD"/>
        </w:rPr>
        <w:t xml:space="preserve">SCR între diferiți asigurători sau </w:t>
      </w:r>
      <w:proofErr w:type="spellStart"/>
      <w:r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lua</w:t>
      </w:r>
      <w:r w:rsidR="00FE42E9" w:rsidRPr="000508B6">
        <w:rPr>
          <w:rFonts w:ascii="Times New Roman" w:hAnsi="Times New Roman" w:cs="Times New Roman"/>
          <w:lang w:val="ro-MD"/>
        </w:rPr>
        <w:t>ți</w:t>
      </w:r>
      <w:r w:rsidRPr="000508B6">
        <w:rPr>
          <w:rFonts w:ascii="Times New Roman" w:hAnsi="Times New Roman" w:cs="Times New Roman"/>
          <w:lang w:val="ro-MD"/>
        </w:rPr>
        <w:t xml:space="preserve"> în considerare la acest calcul.</w:t>
      </w:r>
      <w:r w:rsidR="00F95829" w:rsidRPr="000508B6">
        <w:rPr>
          <w:rFonts w:ascii="Times New Roman" w:hAnsi="Times New Roman" w:cs="Times New Roman"/>
          <w:lang w:val="ro-MD"/>
        </w:rPr>
        <w:t xml:space="preserve">   </w:t>
      </w:r>
    </w:p>
    <w:p w14:paraId="108BC9F1" w14:textId="4AABA6EE" w:rsidR="00F95829" w:rsidRPr="000508B6" w:rsidRDefault="00F95829" w:rsidP="00574631">
      <w:pPr>
        <w:numPr>
          <w:ilvl w:val="0"/>
          <w:numId w:val="1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calcularea SCR la nivel de grup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cazul în care metodele </w:t>
      </w:r>
      <w:r w:rsidR="00D406DB" w:rsidRPr="000508B6">
        <w:rPr>
          <w:rFonts w:ascii="Times New Roman" w:hAnsi="Times New Roman" w:cs="Times New Roman"/>
          <w:lang w:val="ro-MD"/>
        </w:rPr>
        <w:t xml:space="preserve">de clacul </w:t>
      </w:r>
      <w:r w:rsidRPr="000508B6">
        <w:rPr>
          <w:rFonts w:ascii="Times New Roman" w:hAnsi="Times New Roman" w:cs="Times New Roman"/>
          <w:lang w:val="ro-MD"/>
        </w:rPr>
        <w:t xml:space="preserve">prevăzute la art. </w:t>
      </w:r>
      <w:r w:rsidR="00716051" w:rsidRPr="000508B6">
        <w:rPr>
          <w:rFonts w:ascii="Times New Roman" w:hAnsi="Times New Roman" w:cs="Times New Roman"/>
          <w:lang w:val="ro-MD"/>
        </w:rPr>
        <w:t>134</w:t>
      </w:r>
      <w:r w:rsidRPr="000508B6">
        <w:rPr>
          <w:rFonts w:ascii="Times New Roman" w:hAnsi="Times New Roman" w:cs="Times New Roman"/>
          <w:lang w:val="ro-MD"/>
        </w:rPr>
        <w:t>-</w:t>
      </w:r>
      <w:r w:rsidR="00B773CD" w:rsidRPr="000508B6">
        <w:rPr>
          <w:rFonts w:ascii="Times New Roman" w:hAnsi="Times New Roman" w:cs="Times New Roman"/>
          <w:lang w:val="ro-MD"/>
        </w:rPr>
        <w:t>137</w:t>
      </w:r>
      <w:r w:rsidR="00120178" w:rsidRPr="000508B6">
        <w:rPr>
          <w:rFonts w:ascii="Times New Roman" w:hAnsi="Times New Roman" w:cs="Times New Roman"/>
          <w:lang w:val="ro-MD"/>
        </w:rPr>
        <w:t xml:space="preserve"> </w:t>
      </w:r>
      <w:r w:rsidRPr="000508B6">
        <w:rPr>
          <w:rFonts w:ascii="Times New Roman" w:hAnsi="Times New Roman" w:cs="Times New Roman"/>
          <w:lang w:val="ro-MD"/>
        </w:rPr>
        <w:t xml:space="preserve">nu prevăd altfel, se exclud următoarele valori:   </w:t>
      </w:r>
    </w:p>
    <w:p w14:paraId="5DCEE323" w14:textId="57CC2696" w:rsidR="00F95829" w:rsidRPr="000508B6" w:rsidRDefault="00561803" w:rsidP="00574631">
      <w:pPr>
        <w:numPr>
          <w:ilvl w:val="0"/>
          <w:numId w:val="1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oricărui </w:t>
      </w:r>
      <w:r w:rsidR="00F95829" w:rsidRPr="000508B6">
        <w:rPr>
          <w:rFonts w:ascii="Times New Roman" w:hAnsi="Times New Roman" w:cs="Times New Roman"/>
          <w:lang w:val="ro-MD"/>
        </w:rPr>
        <w:t xml:space="preserve">activ </w:t>
      </w:r>
      <w:proofErr w:type="spellStart"/>
      <w:r w:rsidR="00F95829" w:rsidRPr="000508B6">
        <w:rPr>
          <w:rFonts w:ascii="Times New Roman" w:hAnsi="Times New Roman" w:cs="Times New Roman"/>
          <w:lang w:val="ro-MD"/>
        </w:rPr>
        <w:t>deţinut</w:t>
      </w:r>
      <w:proofErr w:type="spellEnd"/>
      <w:r w:rsidR="00F95829" w:rsidRPr="000508B6">
        <w:rPr>
          <w:rFonts w:ascii="Times New Roman" w:hAnsi="Times New Roman" w:cs="Times New Roman"/>
          <w:lang w:val="ro-MD"/>
        </w:rPr>
        <w:t xml:space="preserve"> de </w:t>
      </w:r>
      <w:r w:rsidR="00102942" w:rsidRPr="000508B6">
        <w:rPr>
          <w:rFonts w:ascii="Times New Roman" w:hAnsi="Times New Roman" w:cs="Times New Roman"/>
          <w:lang w:val="ro-MD"/>
        </w:rPr>
        <w:t xml:space="preserve">asigurătorii sau </w:t>
      </w:r>
      <w:proofErr w:type="spellStart"/>
      <w:r w:rsidR="00102942" w:rsidRPr="000508B6">
        <w:rPr>
          <w:rFonts w:ascii="Times New Roman" w:hAnsi="Times New Roman" w:cs="Times New Roman"/>
          <w:lang w:val="ro-MD"/>
        </w:rPr>
        <w:t>reasi</w:t>
      </w:r>
      <w:r w:rsidR="0077452F" w:rsidRPr="000508B6">
        <w:rPr>
          <w:rFonts w:ascii="Times New Roman" w:hAnsi="Times New Roman" w:cs="Times New Roman"/>
          <w:lang w:val="ro-MD"/>
        </w:rPr>
        <w:t>g</w:t>
      </w:r>
      <w:r w:rsidR="00102942" w:rsidRPr="000508B6">
        <w:rPr>
          <w:rFonts w:ascii="Times New Roman" w:hAnsi="Times New Roman" w:cs="Times New Roman"/>
          <w:lang w:val="ro-MD"/>
        </w:rPr>
        <w:t>urătorii</w:t>
      </w:r>
      <w:proofErr w:type="spellEnd"/>
      <w:r w:rsidR="00102942" w:rsidRPr="000508B6">
        <w:rPr>
          <w:rFonts w:ascii="Times New Roman" w:hAnsi="Times New Roman" w:cs="Times New Roman"/>
          <w:lang w:val="ro-MD"/>
        </w:rPr>
        <w:t xml:space="preserve"> </w:t>
      </w:r>
      <w:r w:rsidR="00F95829" w:rsidRPr="000508B6">
        <w:rPr>
          <w:rFonts w:ascii="Times New Roman" w:hAnsi="Times New Roman" w:cs="Times New Roman"/>
          <w:lang w:val="ro-MD"/>
        </w:rPr>
        <w:t>participativ</w:t>
      </w:r>
      <w:r w:rsidR="00102942" w:rsidRPr="000508B6">
        <w:rPr>
          <w:rFonts w:ascii="Times New Roman" w:hAnsi="Times New Roman" w:cs="Times New Roman"/>
          <w:lang w:val="ro-MD"/>
        </w:rPr>
        <w:t>i</w:t>
      </w:r>
      <w:r w:rsidR="00F95829" w:rsidRPr="000508B6">
        <w:rPr>
          <w:rFonts w:ascii="Times New Roman" w:hAnsi="Times New Roman" w:cs="Times New Roman"/>
          <w:lang w:val="ro-MD"/>
        </w:rPr>
        <w:t xml:space="preserve">, </w:t>
      </w:r>
      <w:r w:rsidR="006D64B5" w:rsidRPr="000508B6">
        <w:rPr>
          <w:rFonts w:ascii="Times New Roman" w:hAnsi="Times New Roman" w:cs="Times New Roman"/>
          <w:lang w:val="ro-MD"/>
        </w:rPr>
        <w:t>care reprezintă fina</w:t>
      </w:r>
      <w:r w:rsidR="007C6C65" w:rsidRPr="000508B6">
        <w:rPr>
          <w:rFonts w:ascii="Times New Roman" w:hAnsi="Times New Roman" w:cs="Times New Roman"/>
          <w:lang w:val="ro-MD"/>
        </w:rPr>
        <w:t>n</w:t>
      </w:r>
      <w:r w:rsidR="006D64B5" w:rsidRPr="000508B6">
        <w:rPr>
          <w:rFonts w:ascii="Times New Roman" w:hAnsi="Times New Roman" w:cs="Times New Roman"/>
          <w:lang w:val="ro-MD"/>
        </w:rPr>
        <w:t>țarea</w:t>
      </w:r>
      <w:r w:rsidR="00F95829" w:rsidRPr="000508B6">
        <w:rPr>
          <w:rFonts w:ascii="Times New Roman" w:hAnsi="Times New Roman" w:cs="Times New Roman"/>
          <w:lang w:val="ro-MD"/>
        </w:rPr>
        <w:t xml:space="preserve"> fondurilor proprii eligibile </w:t>
      </w:r>
      <w:r w:rsidR="006D64B5" w:rsidRPr="000508B6">
        <w:rPr>
          <w:rFonts w:ascii="Times New Roman" w:hAnsi="Times New Roman" w:cs="Times New Roman"/>
          <w:lang w:val="ro-MD"/>
        </w:rPr>
        <w:t>pentru</w:t>
      </w:r>
      <w:r w:rsidR="00F95829" w:rsidRPr="000508B6">
        <w:rPr>
          <w:rFonts w:ascii="Times New Roman" w:hAnsi="Times New Roman" w:cs="Times New Roman"/>
          <w:lang w:val="ro-MD"/>
        </w:rPr>
        <w:t xml:space="preserve"> SCR a </w:t>
      </w:r>
      <w:r w:rsidR="00716051" w:rsidRPr="000508B6">
        <w:rPr>
          <w:rFonts w:ascii="Times New Roman" w:hAnsi="Times New Roman" w:cs="Times New Roman"/>
          <w:lang w:val="ro-MD"/>
        </w:rPr>
        <w:t>unui</w:t>
      </w:r>
      <w:r w:rsidR="006D64B5" w:rsidRPr="000508B6">
        <w:rPr>
          <w:rFonts w:ascii="Times New Roman" w:hAnsi="Times New Roman" w:cs="Times New Roman"/>
          <w:lang w:val="ro-MD"/>
        </w:rPr>
        <w:t>a dintre</w:t>
      </w:r>
      <w:r w:rsidR="00716051" w:rsidRPr="000508B6">
        <w:rPr>
          <w:rFonts w:ascii="Times New Roman" w:hAnsi="Times New Roman" w:cs="Times New Roman"/>
          <w:lang w:val="ro-MD"/>
        </w:rPr>
        <w:t xml:space="preserve"> asigurător</w:t>
      </w:r>
      <w:r w:rsidR="006D64B5" w:rsidRPr="000508B6">
        <w:rPr>
          <w:rFonts w:ascii="Times New Roman" w:hAnsi="Times New Roman" w:cs="Times New Roman"/>
          <w:lang w:val="ro-MD"/>
        </w:rPr>
        <w:t>ul</w:t>
      </w:r>
      <w:r w:rsidR="00716051" w:rsidRPr="000508B6">
        <w:rPr>
          <w:rFonts w:ascii="Times New Roman" w:hAnsi="Times New Roman" w:cs="Times New Roman"/>
          <w:lang w:val="ro-MD"/>
        </w:rPr>
        <w:t xml:space="preserve"> sau </w:t>
      </w:r>
      <w:proofErr w:type="spellStart"/>
      <w:r w:rsidR="00716051" w:rsidRPr="000508B6">
        <w:rPr>
          <w:rFonts w:ascii="Times New Roman" w:hAnsi="Times New Roman" w:cs="Times New Roman"/>
          <w:lang w:val="ro-MD"/>
        </w:rPr>
        <w:t>reasigurător</w:t>
      </w:r>
      <w:r w:rsidR="006D64B5" w:rsidRPr="000508B6">
        <w:rPr>
          <w:rFonts w:ascii="Times New Roman" w:hAnsi="Times New Roman" w:cs="Times New Roman"/>
          <w:lang w:val="ro-MD"/>
        </w:rPr>
        <w:t>ul</w:t>
      </w:r>
      <w:proofErr w:type="spellEnd"/>
      <w:r w:rsidR="00716051" w:rsidRPr="000508B6">
        <w:rPr>
          <w:rFonts w:ascii="Times New Roman" w:hAnsi="Times New Roman" w:cs="Times New Roman"/>
          <w:lang w:val="ro-MD"/>
        </w:rPr>
        <w:t xml:space="preserve"> afiliat</w:t>
      </w:r>
      <w:r w:rsidR="00F95829" w:rsidRPr="000508B6">
        <w:rPr>
          <w:rFonts w:ascii="Times New Roman" w:hAnsi="Times New Roman" w:cs="Times New Roman"/>
          <w:lang w:val="ro-MD"/>
        </w:rPr>
        <w:t xml:space="preserve">;   </w:t>
      </w:r>
    </w:p>
    <w:p w14:paraId="253E3606" w14:textId="001FD0CD" w:rsidR="006D64B5" w:rsidRPr="000508B6" w:rsidRDefault="00F95829" w:rsidP="00574631">
      <w:pPr>
        <w:numPr>
          <w:ilvl w:val="0"/>
          <w:numId w:val="1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w:t>
      </w:r>
      <w:r w:rsidR="006D64B5" w:rsidRPr="000508B6">
        <w:rPr>
          <w:rFonts w:ascii="Times New Roman" w:hAnsi="Times New Roman" w:cs="Times New Roman"/>
          <w:lang w:val="ro-MD"/>
        </w:rPr>
        <w:t>oricărui</w:t>
      </w:r>
      <w:r w:rsidRPr="000508B6">
        <w:rPr>
          <w:rFonts w:ascii="Times New Roman" w:hAnsi="Times New Roman" w:cs="Times New Roman"/>
          <w:lang w:val="ro-MD"/>
        </w:rPr>
        <w:t xml:space="preserve"> activ </w:t>
      </w:r>
      <w:proofErr w:type="spellStart"/>
      <w:r w:rsidRPr="000508B6">
        <w:rPr>
          <w:rFonts w:ascii="Times New Roman" w:hAnsi="Times New Roman" w:cs="Times New Roman"/>
          <w:lang w:val="ro-MD"/>
        </w:rPr>
        <w:t>deţinut</w:t>
      </w:r>
      <w:proofErr w:type="spellEnd"/>
      <w:r w:rsidRPr="000508B6">
        <w:rPr>
          <w:rFonts w:ascii="Times New Roman" w:hAnsi="Times New Roman" w:cs="Times New Roman"/>
          <w:lang w:val="ro-MD"/>
        </w:rPr>
        <w:t xml:space="preserve"> de </w:t>
      </w:r>
      <w:r w:rsidR="00716051" w:rsidRPr="000508B6">
        <w:rPr>
          <w:rFonts w:ascii="Times New Roman" w:hAnsi="Times New Roman" w:cs="Times New Roman"/>
          <w:lang w:val="ro-MD"/>
        </w:rPr>
        <w:t xml:space="preserve">un asigurător sau </w:t>
      </w:r>
      <w:proofErr w:type="spellStart"/>
      <w:r w:rsidR="00716051" w:rsidRPr="000508B6">
        <w:rPr>
          <w:rFonts w:ascii="Times New Roman" w:hAnsi="Times New Roman" w:cs="Times New Roman"/>
          <w:lang w:val="ro-MD"/>
        </w:rPr>
        <w:t>reasigurător</w:t>
      </w:r>
      <w:proofErr w:type="spellEnd"/>
      <w:r w:rsidR="006E08D0"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w:t>
      </w:r>
      <w:r w:rsidR="00102942" w:rsidRPr="000508B6">
        <w:rPr>
          <w:rFonts w:ascii="Times New Roman" w:hAnsi="Times New Roman" w:cs="Times New Roman"/>
          <w:lang w:val="ro-MD"/>
        </w:rPr>
        <w:t xml:space="preserve">asigurătorului sau </w:t>
      </w:r>
      <w:proofErr w:type="spellStart"/>
      <w:r w:rsidR="00102942" w:rsidRPr="000508B6">
        <w:rPr>
          <w:rFonts w:ascii="Times New Roman" w:hAnsi="Times New Roman" w:cs="Times New Roman"/>
          <w:lang w:val="ro-MD"/>
        </w:rPr>
        <w:t>reasi</w:t>
      </w:r>
      <w:r w:rsidR="0077452F" w:rsidRPr="000508B6">
        <w:rPr>
          <w:rFonts w:ascii="Times New Roman" w:hAnsi="Times New Roman" w:cs="Times New Roman"/>
          <w:lang w:val="ro-MD"/>
        </w:rPr>
        <w:t>g</w:t>
      </w:r>
      <w:r w:rsidR="00102942" w:rsidRPr="000508B6">
        <w:rPr>
          <w:rFonts w:ascii="Times New Roman" w:hAnsi="Times New Roman" w:cs="Times New Roman"/>
          <w:lang w:val="ro-MD"/>
        </w:rPr>
        <w:t>urătorului</w:t>
      </w:r>
      <w:proofErr w:type="spellEnd"/>
      <w:r w:rsidR="00102942" w:rsidRPr="000508B6">
        <w:rPr>
          <w:rFonts w:ascii="Times New Roman" w:hAnsi="Times New Roman" w:cs="Times New Roman"/>
          <w:lang w:val="ro-MD"/>
        </w:rPr>
        <w:t xml:space="preserve"> </w:t>
      </w:r>
      <w:r w:rsidR="008C4BA1" w:rsidRPr="000508B6">
        <w:rPr>
          <w:rFonts w:ascii="Times New Roman" w:hAnsi="Times New Roman" w:cs="Times New Roman"/>
          <w:lang w:val="ro-MD"/>
        </w:rPr>
        <w:t xml:space="preserve">participativ </w:t>
      </w:r>
      <w:r w:rsidR="006D64B5" w:rsidRPr="000508B6">
        <w:rPr>
          <w:rFonts w:ascii="Times New Roman" w:hAnsi="Times New Roman" w:cs="Times New Roman"/>
          <w:lang w:val="ro-MD"/>
        </w:rPr>
        <w:t>care reprezintă finanțarea</w:t>
      </w:r>
      <w:r w:rsidRPr="000508B6">
        <w:rPr>
          <w:rFonts w:ascii="Times New Roman" w:hAnsi="Times New Roman" w:cs="Times New Roman"/>
          <w:lang w:val="ro-MD"/>
        </w:rPr>
        <w:t xml:space="preserve"> fondurilor proprii eligibile </w:t>
      </w:r>
      <w:r w:rsidR="006D64B5" w:rsidRPr="000508B6">
        <w:rPr>
          <w:rFonts w:ascii="Times New Roman" w:hAnsi="Times New Roman" w:cs="Times New Roman"/>
          <w:lang w:val="ro-MD"/>
        </w:rPr>
        <w:t>pentru</w:t>
      </w:r>
      <w:r w:rsidRPr="000508B6">
        <w:rPr>
          <w:rFonts w:ascii="Times New Roman" w:hAnsi="Times New Roman" w:cs="Times New Roman"/>
          <w:lang w:val="ro-MD"/>
        </w:rPr>
        <w:t xml:space="preserve"> SCR a</w:t>
      </w:r>
      <w:r w:rsidR="006D64B5" w:rsidRPr="000508B6">
        <w:rPr>
          <w:rFonts w:ascii="Times New Roman" w:hAnsi="Times New Roman" w:cs="Times New Roman"/>
          <w:lang w:val="ro-MD"/>
        </w:rPr>
        <w:t xml:space="preserve"> respectivului</w:t>
      </w:r>
      <w:r w:rsidR="00716051" w:rsidRPr="000508B6">
        <w:rPr>
          <w:rFonts w:ascii="Times New Roman" w:hAnsi="Times New Roman" w:cs="Times New Roman"/>
          <w:lang w:val="ro-MD"/>
        </w:rPr>
        <w:t xml:space="preserve"> asigurător sau </w:t>
      </w:r>
      <w:proofErr w:type="spellStart"/>
      <w:r w:rsidR="00716051"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participativ. </w:t>
      </w:r>
    </w:p>
    <w:p w14:paraId="64ECA595" w14:textId="5F99F0A2" w:rsidR="00F95829" w:rsidRPr="000508B6" w:rsidRDefault="006D64B5" w:rsidP="00574631">
      <w:pPr>
        <w:numPr>
          <w:ilvl w:val="0"/>
          <w:numId w:val="1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oricărui activ deținut de un asigurător sau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afiliat asigurătorului sau </w:t>
      </w:r>
      <w:proofErr w:type="spellStart"/>
      <w:r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care reprezintă finanțarea fondurilor proprii eligibile pentru SCR a oricărui alt asigurător sau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afiliat respectivului asigurător sau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participativ.</w:t>
      </w:r>
    </w:p>
    <w:p w14:paraId="6599263C" w14:textId="3494C739" w:rsidR="00F95829" w:rsidRPr="000508B6" w:rsidRDefault="00F95829" w:rsidP="00574631">
      <w:pPr>
        <w:numPr>
          <w:ilvl w:val="0"/>
          <w:numId w:val="1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alin. (1), pot fi incluse în calcularea SCR la nivel de grup, numai în măsura în care sunt eligibile pentru acoperirea SCR a </w:t>
      </w:r>
      <w:proofErr w:type="spellStart"/>
      <w:r w:rsidRPr="000508B6">
        <w:rPr>
          <w:rFonts w:ascii="Times New Roman" w:hAnsi="Times New Roman" w:cs="Times New Roman"/>
          <w:lang w:val="ro-MD"/>
        </w:rPr>
        <w:t>entităţilor</w:t>
      </w:r>
      <w:proofErr w:type="spellEnd"/>
      <w:r w:rsidRPr="000508B6">
        <w:rPr>
          <w:rFonts w:ascii="Times New Roman" w:hAnsi="Times New Roman" w:cs="Times New Roman"/>
          <w:lang w:val="ro-MD"/>
        </w:rPr>
        <w:t xml:space="preserve"> afiliate, următoarele valori: </w:t>
      </w:r>
    </w:p>
    <w:p w14:paraId="3F5CB539" w14:textId="774F40F2" w:rsidR="00F95829" w:rsidRPr="000508B6" w:rsidRDefault="00F95829" w:rsidP="00574631">
      <w:pPr>
        <w:numPr>
          <w:ilvl w:val="0"/>
          <w:numId w:val="2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fondurile surplus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B773CD" w:rsidRPr="000508B6">
        <w:rPr>
          <w:rFonts w:ascii="Times New Roman" w:hAnsi="Times New Roman" w:cs="Times New Roman"/>
          <w:lang w:val="ro-MD"/>
        </w:rPr>
        <w:t>58</w:t>
      </w:r>
      <w:r w:rsidRPr="000508B6">
        <w:rPr>
          <w:rFonts w:ascii="Times New Roman" w:hAnsi="Times New Roman" w:cs="Times New Roman"/>
          <w:lang w:val="ro-MD"/>
        </w:rPr>
        <w:t xml:space="preserve">, înregistrate de </w:t>
      </w:r>
      <w:r w:rsidR="00E12BEF" w:rsidRPr="000508B6">
        <w:rPr>
          <w:rFonts w:ascii="Times New Roman" w:hAnsi="Times New Roman" w:cs="Times New Roman"/>
          <w:lang w:val="ro-MD"/>
        </w:rPr>
        <w:t>asigurătorul</w:t>
      </w:r>
      <w:r w:rsidR="00102942" w:rsidRPr="000508B6">
        <w:rPr>
          <w:rFonts w:ascii="Times New Roman" w:hAnsi="Times New Roman" w:cs="Times New Roman"/>
          <w:lang w:val="ro-MD"/>
        </w:rPr>
        <w:t xml:space="preserve"> sau </w:t>
      </w:r>
      <w:proofErr w:type="spellStart"/>
      <w:r w:rsidR="00102942" w:rsidRPr="000508B6">
        <w:rPr>
          <w:rFonts w:ascii="Times New Roman" w:hAnsi="Times New Roman" w:cs="Times New Roman"/>
          <w:lang w:val="ro-MD"/>
        </w:rPr>
        <w:t>reasigurătorul</w:t>
      </w:r>
      <w:proofErr w:type="spellEnd"/>
      <w:r w:rsidR="00E12BEF" w:rsidRPr="000508B6">
        <w:rPr>
          <w:rFonts w:ascii="Times New Roman" w:hAnsi="Times New Roman" w:cs="Times New Roman"/>
          <w:lang w:val="ro-MD"/>
        </w:rPr>
        <w:t xml:space="preserve"> care desfășoară activitate de asigurare</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afiliat </w:t>
      </w:r>
      <w:r w:rsidR="00102942" w:rsidRPr="000508B6">
        <w:rPr>
          <w:rFonts w:ascii="Times New Roman" w:hAnsi="Times New Roman" w:cs="Times New Roman"/>
          <w:lang w:val="ro-MD"/>
        </w:rPr>
        <w:t xml:space="preserve">asigurătorului sau </w:t>
      </w:r>
      <w:proofErr w:type="spellStart"/>
      <w:r w:rsidR="00102942" w:rsidRPr="000508B6">
        <w:rPr>
          <w:rFonts w:ascii="Times New Roman" w:hAnsi="Times New Roman" w:cs="Times New Roman"/>
          <w:lang w:val="ro-MD"/>
        </w:rPr>
        <w:t>reasi</w:t>
      </w:r>
      <w:r w:rsidR="0077452F" w:rsidRPr="000508B6">
        <w:rPr>
          <w:rFonts w:ascii="Times New Roman" w:hAnsi="Times New Roman" w:cs="Times New Roman"/>
          <w:lang w:val="ro-MD"/>
        </w:rPr>
        <w:t>g</w:t>
      </w:r>
      <w:r w:rsidR="00102942" w:rsidRPr="000508B6">
        <w:rPr>
          <w:rFonts w:ascii="Times New Roman" w:hAnsi="Times New Roman" w:cs="Times New Roman"/>
          <w:lang w:val="ro-MD"/>
        </w:rPr>
        <w:t>urătorului</w:t>
      </w:r>
      <w:bookmarkStart w:id="136" w:name="_Hlk194498155"/>
      <w:bookmarkStart w:id="137" w:name="_Hlk211956326"/>
      <w:proofErr w:type="spellEnd"/>
      <w:r w:rsidR="001D5704" w:rsidRPr="000508B6">
        <w:rPr>
          <w:rFonts w:ascii="Times New Roman" w:hAnsi="Times New Roman" w:cs="Times New Roman"/>
          <w:lang w:val="ro-MD"/>
        </w:rPr>
        <w:t xml:space="preserve"> </w:t>
      </w:r>
      <w:bookmarkEnd w:id="136"/>
      <w:bookmarkEnd w:id="137"/>
      <w:r w:rsidRPr="000508B6">
        <w:rPr>
          <w:rFonts w:ascii="Times New Roman" w:hAnsi="Times New Roman" w:cs="Times New Roman"/>
          <w:lang w:val="ro-MD"/>
        </w:rPr>
        <w:t xml:space="preserve">participativ pentru care se calculează </w:t>
      </w:r>
      <w:r w:rsidR="00716051" w:rsidRPr="000508B6">
        <w:rPr>
          <w:rFonts w:ascii="Times New Roman" w:hAnsi="Times New Roman" w:cs="Times New Roman"/>
          <w:lang w:val="ro-MD"/>
        </w:rPr>
        <w:t xml:space="preserve">SCR </w:t>
      </w:r>
      <w:r w:rsidRPr="000508B6">
        <w:rPr>
          <w:rFonts w:ascii="Times New Roman" w:hAnsi="Times New Roman" w:cs="Times New Roman"/>
          <w:lang w:val="ro-MD"/>
        </w:rPr>
        <w:t xml:space="preserve">la nivel de grup;   </w:t>
      </w:r>
    </w:p>
    <w:p w14:paraId="62A114FC" w14:textId="57B45475" w:rsidR="00F95829" w:rsidRPr="000508B6" w:rsidRDefault="00F95829" w:rsidP="00574631">
      <w:pPr>
        <w:numPr>
          <w:ilvl w:val="0"/>
          <w:numId w:val="20"/>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capitalul social subscris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nevărsat</w:t>
      </w:r>
      <w:proofErr w:type="spellEnd"/>
      <w:r w:rsidRPr="000508B6">
        <w:rPr>
          <w:rFonts w:ascii="Times New Roman" w:hAnsi="Times New Roman" w:cs="Times New Roman"/>
          <w:lang w:val="ro-MD"/>
        </w:rPr>
        <w:t xml:space="preserve"> al </w:t>
      </w:r>
      <w:r w:rsidR="000F42FA" w:rsidRPr="000508B6">
        <w:rPr>
          <w:rFonts w:ascii="Times New Roman" w:hAnsi="Times New Roman" w:cs="Times New Roman"/>
          <w:lang w:val="ro-MD"/>
        </w:rPr>
        <w:t xml:space="preserve">entității </w:t>
      </w:r>
      <w:r w:rsidRPr="000508B6">
        <w:rPr>
          <w:rFonts w:ascii="Times New Roman" w:hAnsi="Times New Roman" w:cs="Times New Roman"/>
          <w:lang w:val="ro-MD"/>
        </w:rPr>
        <w:t xml:space="preserve">afiliate </w:t>
      </w:r>
      <w:r w:rsidR="000F42FA" w:rsidRPr="000508B6">
        <w:rPr>
          <w:rFonts w:ascii="Times New Roman" w:hAnsi="Times New Roman" w:cs="Times New Roman"/>
          <w:lang w:val="ro-MD"/>
        </w:rPr>
        <w:t xml:space="preserve">asigurătorului sau </w:t>
      </w:r>
      <w:proofErr w:type="spellStart"/>
      <w:r w:rsidR="000F42FA" w:rsidRPr="000508B6">
        <w:rPr>
          <w:rFonts w:ascii="Times New Roman" w:hAnsi="Times New Roman" w:cs="Times New Roman"/>
          <w:lang w:val="ro-MD"/>
        </w:rPr>
        <w:t>reasiurătorului</w:t>
      </w:r>
      <w:proofErr w:type="spellEnd"/>
      <w:r w:rsidR="001D5704"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pentru care se calculează </w:t>
      </w:r>
      <w:r w:rsidR="00716051" w:rsidRPr="000508B6">
        <w:rPr>
          <w:rFonts w:ascii="Times New Roman" w:hAnsi="Times New Roman" w:cs="Times New Roman"/>
          <w:lang w:val="ro-MD"/>
        </w:rPr>
        <w:t xml:space="preserve">SCR </w:t>
      </w:r>
      <w:r w:rsidRPr="000508B6">
        <w:rPr>
          <w:rFonts w:ascii="Times New Roman" w:hAnsi="Times New Roman" w:cs="Times New Roman"/>
          <w:lang w:val="ro-MD"/>
        </w:rPr>
        <w:t xml:space="preserve">la nivel de grup.   </w:t>
      </w:r>
    </w:p>
    <w:p w14:paraId="58AEFA1C" w14:textId="36EC57CC" w:rsidR="00F95829" w:rsidRPr="000508B6" w:rsidRDefault="00F95829" w:rsidP="00574631">
      <w:pPr>
        <w:numPr>
          <w:ilvl w:val="0"/>
          <w:numId w:val="1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alin. (3), următoarele valori se exclud din calcularea SCR la nivel de grup:   </w:t>
      </w:r>
    </w:p>
    <w:p w14:paraId="4BBDF9F5" w14:textId="3C18FBFF" w:rsidR="00F95829" w:rsidRPr="000508B6" w:rsidRDefault="00F95829" w:rsidP="00574631">
      <w:pPr>
        <w:numPr>
          <w:ilvl w:val="0"/>
          <w:numId w:val="21"/>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capitalul social subscris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nevărsat</w:t>
      </w:r>
      <w:proofErr w:type="spellEnd"/>
      <w:r w:rsidRPr="000508B6">
        <w:rPr>
          <w:rFonts w:ascii="Times New Roman" w:hAnsi="Times New Roman" w:cs="Times New Roman"/>
          <w:lang w:val="ro-MD"/>
        </w:rPr>
        <w:t xml:space="preserve"> care reprezintă o </w:t>
      </w:r>
      <w:proofErr w:type="spellStart"/>
      <w:r w:rsidRPr="000508B6">
        <w:rPr>
          <w:rFonts w:ascii="Times New Roman" w:hAnsi="Times New Roman" w:cs="Times New Roman"/>
          <w:lang w:val="ro-MD"/>
        </w:rPr>
        <w:t>obligaţie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potenţială</w:t>
      </w:r>
      <w:proofErr w:type="spellEnd"/>
      <w:r w:rsidRPr="000508B6">
        <w:rPr>
          <w:rFonts w:ascii="Times New Roman" w:hAnsi="Times New Roman" w:cs="Times New Roman"/>
          <w:lang w:val="ro-MD"/>
        </w:rPr>
        <w:t xml:space="preserve"> în numele </w:t>
      </w:r>
      <w:r w:rsidR="00716051" w:rsidRPr="000508B6">
        <w:rPr>
          <w:rFonts w:ascii="Times New Roman" w:hAnsi="Times New Roman" w:cs="Times New Roman"/>
          <w:lang w:val="ro-MD"/>
        </w:rPr>
        <w:t xml:space="preserve">entității </w:t>
      </w:r>
      <w:r w:rsidRPr="000508B6">
        <w:rPr>
          <w:rFonts w:ascii="Times New Roman" w:hAnsi="Times New Roman" w:cs="Times New Roman"/>
          <w:lang w:val="ro-MD"/>
        </w:rPr>
        <w:t xml:space="preserve">participative;   </w:t>
      </w:r>
    </w:p>
    <w:p w14:paraId="522B1A86" w14:textId="22F6C1FE" w:rsidR="00F95829" w:rsidRPr="000508B6" w:rsidRDefault="00F95829" w:rsidP="00574631">
      <w:pPr>
        <w:numPr>
          <w:ilvl w:val="0"/>
          <w:numId w:val="21"/>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capitalul social subscris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nevărsat</w:t>
      </w:r>
      <w:proofErr w:type="spellEnd"/>
      <w:r w:rsidRPr="000508B6">
        <w:rPr>
          <w:rFonts w:ascii="Times New Roman" w:hAnsi="Times New Roman" w:cs="Times New Roman"/>
          <w:lang w:val="ro-MD"/>
        </w:rPr>
        <w:t xml:space="preserve"> al </w:t>
      </w:r>
      <w:r w:rsidR="0077452F" w:rsidRPr="000508B6">
        <w:rPr>
          <w:rFonts w:ascii="Times New Roman" w:hAnsi="Times New Roman" w:cs="Times New Roman"/>
          <w:lang w:val="ro-MD"/>
        </w:rPr>
        <w:t xml:space="preserve">asigurătorului sau </w:t>
      </w:r>
      <w:proofErr w:type="spellStart"/>
      <w:r w:rsidR="0077452F" w:rsidRPr="000508B6">
        <w:rPr>
          <w:rFonts w:ascii="Times New Roman" w:hAnsi="Times New Roman" w:cs="Times New Roman"/>
          <w:lang w:val="ro-MD"/>
        </w:rPr>
        <w:t>reasiurătorului</w:t>
      </w:r>
      <w:proofErr w:type="spellEnd"/>
      <w:r w:rsidR="00417413"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care reprezintă o </w:t>
      </w:r>
      <w:proofErr w:type="spellStart"/>
      <w:r w:rsidRPr="000508B6">
        <w:rPr>
          <w:rFonts w:ascii="Times New Roman" w:hAnsi="Times New Roman" w:cs="Times New Roman"/>
          <w:lang w:val="ro-MD"/>
        </w:rPr>
        <w:t>obligaţie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potenţială</w:t>
      </w:r>
      <w:proofErr w:type="spellEnd"/>
      <w:r w:rsidRPr="000508B6">
        <w:rPr>
          <w:rFonts w:ascii="Times New Roman" w:hAnsi="Times New Roman" w:cs="Times New Roman"/>
          <w:lang w:val="ro-MD"/>
        </w:rPr>
        <w:t xml:space="preserve"> în numele </w:t>
      </w:r>
      <w:r w:rsidR="00160B3F" w:rsidRPr="000508B6">
        <w:rPr>
          <w:rFonts w:ascii="Times New Roman" w:hAnsi="Times New Roman" w:cs="Times New Roman"/>
          <w:lang w:val="ro-MD"/>
        </w:rPr>
        <w:t xml:space="preserve">unui asigurător sau </w:t>
      </w:r>
      <w:proofErr w:type="spellStart"/>
      <w:r w:rsidR="00160B3F" w:rsidRPr="000508B6">
        <w:rPr>
          <w:rFonts w:ascii="Times New Roman" w:hAnsi="Times New Roman" w:cs="Times New Roman"/>
          <w:lang w:val="ro-MD"/>
        </w:rPr>
        <w:t>reasigurător</w:t>
      </w:r>
      <w:proofErr w:type="spellEnd"/>
      <w:r w:rsidR="006E08D0"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w:t>
      </w:r>
    </w:p>
    <w:p w14:paraId="5AA55D72" w14:textId="5D2A2330" w:rsidR="00F95829" w:rsidRPr="000508B6" w:rsidRDefault="00F95829" w:rsidP="00574631">
      <w:pPr>
        <w:numPr>
          <w:ilvl w:val="0"/>
          <w:numId w:val="21"/>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capitalul social subscris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nevărsat</w:t>
      </w:r>
      <w:proofErr w:type="spellEnd"/>
      <w:r w:rsidRPr="000508B6">
        <w:rPr>
          <w:rFonts w:ascii="Times New Roman" w:hAnsi="Times New Roman" w:cs="Times New Roman"/>
          <w:lang w:val="ro-MD"/>
        </w:rPr>
        <w:t xml:space="preserve"> al </w:t>
      </w:r>
      <w:r w:rsidR="00160B3F" w:rsidRPr="000508B6">
        <w:rPr>
          <w:rFonts w:ascii="Times New Roman" w:hAnsi="Times New Roman" w:cs="Times New Roman"/>
          <w:lang w:val="ro-MD"/>
        </w:rPr>
        <w:t xml:space="preserve">unui asigurător sau </w:t>
      </w:r>
      <w:proofErr w:type="spellStart"/>
      <w:r w:rsidR="00160B3F" w:rsidRPr="000508B6">
        <w:rPr>
          <w:rFonts w:ascii="Times New Roman" w:hAnsi="Times New Roman" w:cs="Times New Roman"/>
          <w:lang w:val="ro-MD"/>
        </w:rPr>
        <w:t>reasigurător</w:t>
      </w:r>
      <w:proofErr w:type="spellEnd"/>
      <w:r w:rsidR="00053159"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care reprezintă o </w:t>
      </w:r>
      <w:proofErr w:type="spellStart"/>
      <w:r w:rsidRPr="000508B6">
        <w:rPr>
          <w:rFonts w:ascii="Times New Roman" w:hAnsi="Times New Roman" w:cs="Times New Roman"/>
          <w:lang w:val="ro-MD"/>
        </w:rPr>
        <w:t>obligaţie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potenţială</w:t>
      </w:r>
      <w:proofErr w:type="spellEnd"/>
      <w:r w:rsidRPr="000508B6">
        <w:rPr>
          <w:rFonts w:ascii="Times New Roman" w:hAnsi="Times New Roman" w:cs="Times New Roman"/>
          <w:lang w:val="ro-MD"/>
        </w:rPr>
        <w:t xml:space="preserve"> </w:t>
      </w:r>
      <w:r w:rsidR="00160B3F" w:rsidRPr="000508B6">
        <w:rPr>
          <w:rFonts w:ascii="Times New Roman" w:hAnsi="Times New Roman" w:cs="Times New Roman"/>
          <w:lang w:val="ro-MD"/>
        </w:rPr>
        <w:t xml:space="preserve">în numele altui asigurător sau </w:t>
      </w:r>
      <w:proofErr w:type="spellStart"/>
      <w:r w:rsidR="00160B3F" w:rsidRPr="000508B6">
        <w:rPr>
          <w:rFonts w:ascii="Times New Roman" w:hAnsi="Times New Roman" w:cs="Times New Roman"/>
          <w:lang w:val="ro-MD"/>
        </w:rPr>
        <w:t>reasigurător</w:t>
      </w:r>
      <w:proofErr w:type="spellEnd"/>
      <w:r w:rsidR="00160B3F" w:rsidRPr="000508B6">
        <w:rPr>
          <w:rFonts w:ascii="Times New Roman" w:hAnsi="Times New Roman" w:cs="Times New Roman"/>
          <w:lang w:val="ro-MD"/>
        </w:rPr>
        <w:t xml:space="preserve"> afiliat</w:t>
      </w:r>
      <w:r w:rsidR="00053159" w:rsidRPr="000508B6">
        <w:rPr>
          <w:rFonts w:ascii="Times New Roman" w:hAnsi="Times New Roman" w:cs="Times New Roman"/>
          <w:lang w:val="ro-MD"/>
        </w:rPr>
        <w:t xml:space="preserve"> </w:t>
      </w:r>
      <w:r w:rsidR="00160B3F" w:rsidRPr="000508B6">
        <w:rPr>
          <w:rFonts w:ascii="Times New Roman" w:hAnsi="Times New Roman" w:cs="Times New Roman"/>
          <w:lang w:val="ro-MD"/>
        </w:rPr>
        <w:t>din grup</w:t>
      </w:r>
      <w:r w:rsidRPr="000508B6">
        <w:rPr>
          <w:rFonts w:ascii="Times New Roman" w:hAnsi="Times New Roman" w:cs="Times New Roman"/>
          <w:lang w:val="ro-MD"/>
        </w:rPr>
        <w:t xml:space="preserve">. </w:t>
      </w:r>
    </w:p>
    <w:p w14:paraId="14FEC54B" w14:textId="6A3DBA8A" w:rsidR="00F95829" w:rsidRPr="000508B6" w:rsidRDefault="00F95829" w:rsidP="00574631">
      <w:pPr>
        <w:numPr>
          <w:ilvl w:val="0"/>
          <w:numId w:val="1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În cazul în care Banca Națională a Moldovei consideră că anumite fonduri proprii eligibile pentru SCR a </w:t>
      </w:r>
      <w:r w:rsidR="00B54D7B" w:rsidRPr="000508B6">
        <w:rPr>
          <w:rFonts w:ascii="Times New Roman" w:hAnsi="Times New Roman" w:cs="Times New Roman"/>
          <w:lang w:val="ro-MD"/>
        </w:rPr>
        <w:t xml:space="preserve">unui asigurător sau </w:t>
      </w:r>
      <w:proofErr w:type="spellStart"/>
      <w:r w:rsidR="00B54D7B" w:rsidRPr="000508B6">
        <w:rPr>
          <w:rFonts w:ascii="Times New Roman" w:hAnsi="Times New Roman" w:cs="Times New Roman"/>
          <w:lang w:val="ro-MD"/>
        </w:rPr>
        <w:t>reasigurător</w:t>
      </w:r>
      <w:proofErr w:type="spellEnd"/>
      <w:r w:rsidR="006E08D0"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w:t>
      </w:r>
      <w:r w:rsidR="00B54D7B" w:rsidRPr="000508B6">
        <w:rPr>
          <w:rFonts w:ascii="Times New Roman" w:hAnsi="Times New Roman" w:cs="Times New Roman"/>
          <w:lang w:val="ro-MD"/>
        </w:rPr>
        <w:t xml:space="preserve">alții </w:t>
      </w:r>
      <w:r w:rsidRPr="000508B6">
        <w:rPr>
          <w:rFonts w:ascii="Times New Roman" w:hAnsi="Times New Roman" w:cs="Times New Roman"/>
          <w:lang w:val="ro-MD"/>
        </w:rPr>
        <w:t xml:space="preserve">decât </w:t>
      </w:r>
      <w:r w:rsidR="00B54D7B" w:rsidRPr="000508B6">
        <w:rPr>
          <w:rFonts w:ascii="Times New Roman" w:hAnsi="Times New Roman" w:cs="Times New Roman"/>
          <w:lang w:val="ro-MD"/>
        </w:rPr>
        <w:t xml:space="preserve">cei </w:t>
      </w:r>
      <w:proofErr w:type="spellStart"/>
      <w:r w:rsidR="00B54D7B" w:rsidRPr="000508B6">
        <w:rPr>
          <w:rFonts w:ascii="Times New Roman" w:hAnsi="Times New Roman" w:cs="Times New Roman"/>
          <w:lang w:val="ro-MD"/>
        </w:rPr>
        <w:t>menţionați</w:t>
      </w:r>
      <w:proofErr w:type="spellEnd"/>
      <w:r w:rsidR="00B54D7B" w:rsidRPr="000508B6">
        <w:rPr>
          <w:rFonts w:ascii="Times New Roman" w:hAnsi="Times New Roman" w:cs="Times New Roman"/>
          <w:lang w:val="ro-MD"/>
        </w:rPr>
        <w:t xml:space="preserve"> </w:t>
      </w:r>
      <w:r w:rsidRPr="000508B6">
        <w:rPr>
          <w:rFonts w:ascii="Times New Roman" w:hAnsi="Times New Roman" w:cs="Times New Roman"/>
          <w:lang w:val="ro-MD"/>
        </w:rPr>
        <w:t xml:space="preserve">la alin. (3), nu </w:t>
      </w:r>
      <w:r w:rsidR="008A0013" w:rsidRPr="000508B6">
        <w:rPr>
          <w:rFonts w:ascii="Times New Roman" w:hAnsi="Times New Roman" w:cs="Times New Roman"/>
          <w:lang w:val="ro-MD"/>
        </w:rPr>
        <w:t>pot fi</w:t>
      </w:r>
      <w:r w:rsidRPr="000508B6">
        <w:rPr>
          <w:rFonts w:ascii="Times New Roman" w:hAnsi="Times New Roman" w:cs="Times New Roman"/>
          <w:lang w:val="ro-MD"/>
        </w:rPr>
        <w:t xml:space="preserve"> efectiv disponibile pentru a acoperi SCR a </w:t>
      </w:r>
      <w:r w:rsidR="00B54D7B" w:rsidRPr="000508B6">
        <w:rPr>
          <w:rFonts w:ascii="Times New Roman" w:hAnsi="Times New Roman" w:cs="Times New Roman"/>
          <w:lang w:val="ro-MD"/>
        </w:rPr>
        <w:t xml:space="preserve">asigurătorului sau </w:t>
      </w:r>
      <w:proofErr w:type="spellStart"/>
      <w:r w:rsidR="00B54D7B" w:rsidRPr="000508B6">
        <w:rPr>
          <w:rFonts w:ascii="Times New Roman" w:hAnsi="Times New Roman" w:cs="Times New Roman"/>
          <w:lang w:val="ro-MD"/>
        </w:rPr>
        <w:t>reasigurătorului</w:t>
      </w:r>
      <w:proofErr w:type="spellEnd"/>
      <w:r w:rsidR="00053159"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la nivel de grup, atunci fondurile respective sunt luate în calcul numai în măsura în care sunt eligibile pentru acoperirea SCR a </w:t>
      </w:r>
      <w:r w:rsidR="00B54D7B" w:rsidRPr="000508B6">
        <w:rPr>
          <w:rFonts w:ascii="Times New Roman" w:hAnsi="Times New Roman" w:cs="Times New Roman"/>
          <w:lang w:val="ro-MD"/>
        </w:rPr>
        <w:t xml:space="preserve">entităților </w:t>
      </w:r>
      <w:r w:rsidRPr="000508B6">
        <w:rPr>
          <w:rFonts w:ascii="Times New Roman" w:hAnsi="Times New Roman" w:cs="Times New Roman"/>
          <w:lang w:val="ro-MD"/>
        </w:rPr>
        <w:t>afiliate</w:t>
      </w:r>
      <w:r w:rsidR="006E08D0" w:rsidRPr="000508B6">
        <w:rPr>
          <w:rFonts w:ascii="Times New Roman" w:hAnsi="Times New Roman" w:cs="Times New Roman"/>
          <w:lang w:val="ro-MD"/>
        </w:rPr>
        <w:t xml:space="preserve"> respective</w:t>
      </w:r>
      <w:r w:rsidRPr="000508B6">
        <w:rPr>
          <w:rFonts w:ascii="Times New Roman" w:hAnsi="Times New Roman" w:cs="Times New Roman"/>
          <w:lang w:val="ro-MD"/>
        </w:rPr>
        <w:t xml:space="preserve">. </w:t>
      </w:r>
    </w:p>
    <w:p w14:paraId="0CE390C9" w14:textId="6016EAE2" w:rsidR="00F95829" w:rsidRPr="000508B6" w:rsidRDefault="006E08D0" w:rsidP="00574631">
      <w:pPr>
        <w:numPr>
          <w:ilvl w:val="0"/>
          <w:numId w:val="1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Suma </w:t>
      </w:r>
      <w:r w:rsidR="00F95829" w:rsidRPr="000508B6">
        <w:rPr>
          <w:rFonts w:ascii="Times New Roman" w:hAnsi="Times New Roman" w:cs="Times New Roman"/>
          <w:lang w:val="ro-MD"/>
        </w:rPr>
        <w:t xml:space="preserve">fondurilor proprii </w:t>
      </w:r>
      <w:proofErr w:type="spellStart"/>
      <w:r w:rsidR="00F95829" w:rsidRPr="000508B6">
        <w:rPr>
          <w:rFonts w:ascii="Times New Roman" w:hAnsi="Times New Roman" w:cs="Times New Roman"/>
          <w:lang w:val="ro-MD"/>
        </w:rPr>
        <w:t>menţionate</w:t>
      </w:r>
      <w:proofErr w:type="spellEnd"/>
      <w:r w:rsidR="00F95829" w:rsidRPr="000508B6">
        <w:rPr>
          <w:rFonts w:ascii="Times New Roman" w:hAnsi="Times New Roman" w:cs="Times New Roman"/>
          <w:lang w:val="ro-MD"/>
        </w:rPr>
        <w:t xml:space="preserve"> la alin. (3) </w:t>
      </w:r>
      <w:r w:rsidR="000F06D4" w:rsidRPr="000508B6">
        <w:rPr>
          <w:rFonts w:ascii="Times New Roman" w:hAnsi="Times New Roman" w:cs="Times New Roman"/>
          <w:lang w:val="ro-MD"/>
        </w:rPr>
        <w:t>-</w:t>
      </w:r>
      <w:r w:rsidR="00F95829" w:rsidRPr="000508B6">
        <w:rPr>
          <w:rFonts w:ascii="Times New Roman" w:hAnsi="Times New Roman" w:cs="Times New Roman"/>
          <w:lang w:val="ro-MD"/>
        </w:rPr>
        <w:t xml:space="preserve"> (5) nu trebuie să </w:t>
      </w:r>
      <w:proofErr w:type="spellStart"/>
      <w:r w:rsidR="00F95829" w:rsidRPr="000508B6">
        <w:rPr>
          <w:rFonts w:ascii="Times New Roman" w:hAnsi="Times New Roman" w:cs="Times New Roman"/>
          <w:lang w:val="ro-MD"/>
        </w:rPr>
        <w:t>depăşească</w:t>
      </w:r>
      <w:proofErr w:type="spellEnd"/>
      <w:r w:rsidR="00F95829" w:rsidRPr="000508B6">
        <w:rPr>
          <w:rFonts w:ascii="Times New Roman" w:hAnsi="Times New Roman" w:cs="Times New Roman"/>
          <w:lang w:val="ro-MD"/>
        </w:rPr>
        <w:t xml:space="preserve"> </w:t>
      </w:r>
      <w:r w:rsidR="006047A5" w:rsidRPr="000508B6">
        <w:rPr>
          <w:rFonts w:ascii="Times New Roman" w:hAnsi="Times New Roman" w:cs="Times New Roman"/>
          <w:lang w:val="ro-MD"/>
        </w:rPr>
        <w:t xml:space="preserve">contribuția </w:t>
      </w:r>
      <w:r w:rsidR="00615619" w:rsidRPr="000508B6">
        <w:rPr>
          <w:rFonts w:ascii="Times New Roman" w:hAnsi="Times New Roman" w:cs="Times New Roman"/>
          <w:lang w:val="ro-MD"/>
        </w:rPr>
        <w:t xml:space="preserve">asigurătorului sau </w:t>
      </w:r>
      <w:proofErr w:type="spellStart"/>
      <w:r w:rsidR="00615619" w:rsidRPr="000508B6">
        <w:rPr>
          <w:rFonts w:ascii="Times New Roman" w:hAnsi="Times New Roman" w:cs="Times New Roman"/>
          <w:lang w:val="ro-MD"/>
        </w:rPr>
        <w:t>reasigurătorului</w:t>
      </w:r>
      <w:proofErr w:type="spellEnd"/>
      <w:r w:rsidR="0077452F" w:rsidRPr="000508B6">
        <w:rPr>
          <w:rFonts w:ascii="Times New Roman" w:hAnsi="Times New Roman" w:cs="Times New Roman"/>
          <w:lang w:val="ro-MD"/>
        </w:rPr>
        <w:t xml:space="preserve"> </w:t>
      </w:r>
      <w:r w:rsidR="006047A5" w:rsidRPr="000508B6">
        <w:rPr>
          <w:rFonts w:ascii="Times New Roman" w:hAnsi="Times New Roman" w:cs="Times New Roman"/>
          <w:lang w:val="ro-MD"/>
        </w:rPr>
        <w:t xml:space="preserve">afiliat la </w:t>
      </w:r>
      <w:r w:rsidR="00F95829" w:rsidRPr="000508B6">
        <w:rPr>
          <w:rFonts w:ascii="Times New Roman" w:hAnsi="Times New Roman" w:cs="Times New Roman"/>
          <w:lang w:val="ro-MD"/>
        </w:rPr>
        <w:t xml:space="preserve">SCR </w:t>
      </w:r>
      <w:r w:rsidR="009C0389" w:rsidRPr="000508B6">
        <w:rPr>
          <w:rFonts w:ascii="Times New Roman" w:hAnsi="Times New Roman" w:cs="Times New Roman"/>
          <w:lang w:val="ro-MD"/>
        </w:rPr>
        <w:t>l</w:t>
      </w:r>
      <w:r w:rsidR="00F95829" w:rsidRPr="000508B6">
        <w:rPr>
          <w:rFonts w:ascii="Times New Roman" w:hAnsi="Times New Roman" w:cs="Times New Roman"/>
          <w:lang w:val="ro-MD"/>
        </w:rPr>
        <w:t xml:space="preserve">a </w:t>
      </w:r>
      <w:r w:rsidR="009C0389" w:rsidRPr="000508B6">
        <w:rPr>
          <w:rFonts w:ascii="Times New Roman" w:hAnsi="Times New Roman" w:cs="Times New Roman"/>
          <w:lang w:val="ro-MD"/>
        </w:rPr>
        <w:t xml:space="preserve">nivel de </w:t>
      </w:r>
      <w:r w:rsidR="006047A5" w:rsidRPr="000508B6">
        <w:rPr>
          <w:rFonts w:ascii="Times New Roman" w:hAnsi="Times New Roman" w:cs="Times New Roman"/>
          <w:lang w:val="ro-MD"/>
        </w:rPr>
        <w:t>grup</w:t>
      </w:r>
      <w:r w:rsidR="00F95829" w:rsidRPr="000508B6">
        <w:rPr>
          <w:rFonts w:ascii="Times New Roman" w:hAnsi="Times New Roman" w:cs="Times New Roman"/>
          <w:lang w:val="ro-MD"/>
        </w:rPr>
        <w:t xml:space="preserve">.  </w:t>
      </w:r>
    </w:p>
    <w:p w14:paraId="2FF34A3D" w14:textId="612EEBBF" w:rsidR="00D67344" w:rsidRPr="000508B6" w:rsidRDefault="00F95829" w:rsidP="00574631">
      <w:pPr>
        <w:numPr>
          <w:ilvl w:val="0"/>
          <w:numId w:val="1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Fondurile proprii auxiliare</w:t>
      </w:r>
      <w:r w:rsidR="0067360E" w:rsidRPr="000508B6">
        <w:rPr>
          <w:rFonts w:ascii="Times New Roman" w:hAnsi="Times New Roman" w:cs="Times New Roman"/>
          <w:lang w:val="ro-MD"/>
        </w:rPr>
        <w:t xml:space="preserve"> </w:t>
      </w:r>
      <w:r w:rsidRPr="000508B6">
        <w:rPr>
          <w:rFonts w:ascii="Times New Roman" w:hAnsi="Times New Roman" w:cs="Times New Roman"/>
          <w:lang w:val="ro-MD"/>
        </w:rPr>
        <w:t xml:space="preserve">eligibile ale </w:t>
      </w:r>
      <w:r w:rsidR="0067360E" w:rsidRPr="000508B6">
        <w:rPr>
          <w:rFonts w:ascii="Times New Roman" w:hAnsi="Times New Roman" w:cs="Times New Roman"/>
          <w:lang w:val="ro-MD"/>
        </w:rPr>
        <w:t>unui</w:t>
      </w:r>
      <w:r w:rsidRPr="000508B6">
        <w:rPr>
          <w:rFonts w:ascii="Times New Roman" w:hAnsi="Times New Roman" w:cs="Times New Roman"/>
          <w:lang w:val="ro-MD"/>
        </w:rPr>
        <w:t xml:space="preserve"> </w:t>
      </w:r>
      <w:r w:rsidR="0067360E" w:rsidRPr="000508B6">
        <w:rPr>
          <w:rFonts w:ascii="Times New Roman" w:hAnsi="Times New Roman" w:cs="Times New Roman"/>
          <w:lang w:val="ro-MD"/>
        </w:rPr>
        <w:t xml:space="preserve">asigurător sau </w:t>
      </w:r>
      <w:proofErr w:type="spellStart"/>
      <w:r w:rsidR="0067360E" w:rsidRPr="000508B6">
        <w:rPr>
          <w:rFonts w:ascii="Times New Roman" w:hAnsi="Times New Roman" w:cs="Times New Roman"/>
          <w:lang w:val="ro-MD"/>
        </w:rPr>
        <w:t>reasigurător</w:t>
      </w:r>
      <w:proofErr w:type="spellEnd"/>
      <w:r w:rsidR="0077452F"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w:t>
      </w:r>
      <w:r w:rsidR="0077452F" w:rsidRPr="000508B6">
        <w:rPr>
          <w:rFonts w:ascii="Times New Roman" w:hAnsi="Times New Roman" w:cs="Times New Roman"/>
          <w:lang w:val="ro-MD"/>
        </w:rPr>
        <w:t xml:space="preserve">unui asigurător sau </w:t>
      </w:r>
      <w:proofErr w:type="spellStart"/>
      <w:r w:rsidR="0077452F" w:rsidRPr="000508B6">
        <w:rPr>
          <w:rFonts w:ascii="Times New Roman" w:hAnsi="Times New Roman" w:cs="Times New Roman"/>
          <w:lang w:val="ro-MD"/>
        </w:rPr>
        <w:t>reasi</w:t>
      </w:r>
      <w:r w:rsidR="0067360E" w:rsidRPr="000508B6">
        <w:rPr>
          <w:rFonts w:ascii="Times New Roman" w:hAnsi="Times New Roman" w:cs="Times New Roman"/>
          <w:lang w:val="ro-MD"/>
        </w:rPr>
        <w:t>g</w:t>
      </w:r>
      <w:r w:rsidR="0077452F" w:rsidRPr="000508B6">
        <w:rPr>
          <w:rFonts w:ascii="Times New Roman" w:hAnsi="Times New Roman" w:cs="Times New Roman"/>
          <w:lang w:val="ro-MD"/>
        </w:rPr>
        <w:t>urător</w:t>
      </w:r>
      <w:proofErr w:type="spellEnd"/>
      <w:r w:rsidR="00053159"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pentru care se calculează </w:t>
      </w:r>
      <w:r w:rsidR="0067360E" w:rsidRPr="000508B6">
        <w:rPr>
          <w:rFonts w:ascii="Times New Roman" w:hAnsi="Times New Roman" w:cs="Times New Roman"/>
          <w:lang w:val="ro-MD"/>
        </w:rPr>
        <w:t xml:space="preserve">SCR </w:t>
      </w:r>
      <w:r w:rsidRPr="000508B6">
        <w:rPr>
          <w:rFonts w:ascii="Times New Roman" w:hAnsi="Times New Roman" w:cs="Times New Roman"/>
          <w:lang w:val="ro-MD"/>
        </w:rPr>
        <w:t xml:space="preserve">la nivel de grup sunt incluse în calcularea SCR la nivel de grup după aprobarea de către </w:t>
      </w:r>
      <w:r w:rsidR="0067360E" w:rsidRPr="000508B6">
        <w:rPr>
          <w:rFonts w:ascii="Times New Roman" w:hAnsi="Times New Roman" w:cs="Times New Roman"/>
          <w:lang w:val="ro-MD"/>
        </w:rPr>
        <w:t xml:space="preserve">supraveghetorul asigurătorului sau </w:t>
      </w:r>
      <w:proofErr w:type="spellStart"/>
      <w:r w:rsidR="0067360E" w:rsidRPr="000508B6">
        <w:rPr>
          <w:rFonts w:ascii="Times New Roman" w:hAnsi="Times New Roman" w:cs="Times New Roman"/>
          <w:lang w:val="ro-MD"/>
        </w:rPr>
        <w:t>reasigurătorului</w:t>
      </w:r>
      <w:proofErr w:type="spellEnd"/>
      <w:r w:rsidR="0077452F"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respectiv sau </w:t>
      </w:r>
      <w:r w:rsidR="0067360E" w:rsidRPr="000508B6">
        <w:rPr>
          <w:rFonts w:ascii="Times New Roman" w:hAnsi="Times New Roman" w:cs="Times New Roman"/>
          <w:lang w:val="ro-MD"/>
        </w:rPr>
        <w:t>a</w:t>
      </w:r>
      <w:r w:rsidR="002654B2" w:rsidRPr="000508B6">
        <w:rPr>
          <w:rFonts w:ascii="Times New Roman" w:hAnsi="Times New Roman" w:cs="Times New Roman"/>
          <w:lang w:val="ro-MD"/>
        </w:rPr>
        <w:t xml:space="preserve"> </w:t>
      </w:r>
      <w:r w:rsidRPr="000508B6">
        <w:rPr>
          <w:rFonts w:ascii="Times New Roman" w:hAnsi="Times New Roman" w:cs="Times New Roman"/>
          <w:lang w:val="ro-MD"/>
        </w:rPr>
        <w:t xml:space="preserve">Băncii Naționale a Moldovei în conformitate cu art. </w:t>
      </w:r>
      <w:r w:rsidR="000F06D4" w:rsidRPr="000508B6">
        <w:rPr>
          <w:rFonts w:ascii="Times New Roman" w:hAnsi="Times New Roman" w:cs="Times New Roman"/>
          <w:lang w:val="ro-MD"/>
        </w:rPr>
        <w:t>57</w:t>
      </w:r>
      <w:r w:rsidRPr="000508B6">
        <w:rPr>
          <w:rFonts w:ascii="Times New Roman" w:hAnsi="Times New Roman" w:cs="Times New Roman"/>
          <w:lang w:val="ro-MD"/>
        </w:rPr>
        <w:t xml:space="preserve">, în cazul </w:t>
      </w:r>
      <w:r w:rsidR="0067360E" w:rsidRPr="000508B6">
        <w:rPr>
          <w:rFonts w:ascii="Times New Roman" w:hAnsi="Times New Roman" w:cs="Times New Roman"/>
          <w:lang w:val="ro-MD"/>
        </w:rPr>
        <w:t xml:space="preserve">asigurătorului sau </w:t>
      </w:r>
      <w:proofErr w:type="spellStart"/>
      <w:r w:rsidR="0067360E" w:rsidRPr="000508B6">
        <w:rPr>
          <w:rFonts w:ascii="Times New Roman" w:hAnsi="Times New Roman" w:cs="Times New Roman"/>
          <w:lang w:val="ro-MD"/>
        </w:rPr>
        <w:t>reasigurătorului</w:t>
      </w:r>
      <w:proofErr w:type="spellEnd"/>
      <w:r w:rsidR="0077452F"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aflat pe teritoriul </w:t>
      </w:r>
      <w:r w:rsidR="00531AE6" w:rsidRPr="000508B6">
        <w:rPr>
          <w:rFonts w:ascii="Times New Roman" w:hAnsi="Times New Roman" w:cs="Times New Roman"/>
          <w:lang w:val="ro-MD"/>
        </w:rPr>
        <w:t>Republicii Moldova</w:t>
      </w:r>
      <w:r w:rsidRPr="000508B6">
        <w:rPr>
          <w:rFonts w:ascii="Times New Roman" w:hAnsi="Times New Roman" w:cs="Times New Roman"/>
          <w:lang w:val="ro-MD"/>
        </w:rPr>
        <w:t xml:space="preserve">.  </w:t>
      </w:r>
    </w:p>
    <w:p w14:paraId="201937DA" w14:textId="299F593B" w:rsidR="001E5697" w:rsidRPr="000508B6" w:rsidRDefault="00D67344" w:rsidP="00574631">
      <w:pPr>
        <w:numPr>
          <w:ilvl w:val="0"/>
          <w:numId w:val="1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art.</w:t>
      </w:r>
      <w:r w:rsidR="00BD4745" w:rsidRPr="000508B6">
        <w:rPr>
          <w:rFonts w:ascii="Times New Roman" w:hAnsi="Times New Roman" w:cs="Times New Roman"/>
          <w:lang w:val="ro-MD"/>
        </w:rPr>
        <w:t xml:space="preserve"> </w:t>
      </w:r>
      <w:r w:rsidR="00B773CD" w:rsidRPr="000508B6">
        <w:rPr>
          <w:rFonts w:ascii="Times New Roman" w:hAnsi="Times New Roman" w:cs="Times New Roman"/>
          <w:lang w:val="ro-MD"/>
        </w:rPr>
        <w:t>13</w:t>
      </w:r>
      <w:r w:rsidR="00E112C9" w:rsidRPr="000508B6">
        <w:rPr>
          <w:rFonts w:ascii="Times New Roman" w:hAnsi="Times New Roman" w:cs="Times New Roman"/>
          <w:lang w:val="ro-MD"/>
        </w:rPr>
        <w:t>4</w:t>
      </w:r>
      <w:r w:rsidRPr="000508B6">
        <w:rPr>
          <w:rFonts w:ascii="Times New Roman" w:hAnsi="Times New Roman" w:cs="Times New Roman"/>
          <w:lang w:val="ro-MD"/>
        </w:rPr>
        <w:t xml:space="preserve"> alin. (1), al art</w:t>
      </w:r>
      <w:r w:rsidR="00B773CD" w:rsidRPr="000508B6">
        <w:rPr>
          <w:rFonts w:ascii="Times New Roman" w:hAnsi="Times New Roman" w:cs="Times New Roman"/>
          <w:lang w:val="ro-MD"/>
        </w:rPr>
        <w:t>.</w:t>
      </w:r>
      <w:r w:rsidRPr="000508B6">
        <w:rPr>
          <w:rFonts w:ascii="Times New Roman" w:hAnsi="Times New Roman" w:cs="Times New Roman"/>
          <w:lang w:val="ro-MD"/>
        </w:rPr>
        <w:t xml:space="preserve"> </w:t>
      </w:r>
      <w:r w:rsidR="00B773CD" w:rsidRPr="000508B6">
        <w:rPr>
          <w:rFonts w:ascii="Times New Roman" w:hAnsi="Times New Roman" w:cs="Times New Roman"/>
          <w:lang w:val="ro-MD"/>
        </w:rPr>
        <w:t>136</w:t>
      </w:r>
      <w:r w:rsidRPr="000508B6">
        <w:rPr>
          <w:rFonts w:ascii="Times New Roman" w:hAnsi="Times New Roman" w:cs="Times New Roman"/>
          <w:lang w:val="ro-MD"/>
        </w:rPr>
        <w:t xml:space="preserve"> alin</w:t>
      </w:r>
      <w:r w:rsidR="00B773CD" w:rsidRPr="000508B6">
        <w:rPr>
          <w:rFonts w:ascii="Times New Roman" w:hAnsi="Times New Roman" w:cs="Times New Roman"/>
          <w:lang w:val="ro-MD"/>
        </w:rPr>
        <w:t>.</w:t>
      </w:r>
      <w:r w:rsidRPr="000508B6">
        <w:rPr>
          <w:rFonts w:ascii="Times New Roman" w:hAnsi="Times New Roman" w:cs="Times New Roman"/>
          <w:lang w:val="ro-MD"/>
        </w:rPr>
        <w:t xml:space="preserve"> (2) și al art</w:t>
      </w:r>
      <w:r w:rsidR="00B773CD" w:rsidRPr="000508B6">
        <w:rPr>
          <w:rFonts w:ascii="Times New Roman" w:hAnsi="Times New Roman" w:cs="Times New Roman"/>
          <w:lang w:val="ro-MD"/>
        </w:rPr>
        <w:t>.</w:t>
      </w:r>
      <w:r w:rsidRPr="000508B6">
        <w:rPr>
          <w:rFonts w:ascii="Times New Roman" w:hAnsi="Times New Roman" w:cs="Times New Roman"/>
          <w:lang w:val="ro-MD"/>
        </w:rPr>
        <w:t xml:space="preserve"> </w:t>
      </w:r>
      <w:r w:rsidR="00B773CD" w:rsidRPr="000508B6">
        <w:rPr>
          <w:rFonts w:ascii="Times New Roman" w:hAnsi="Times New Roman" w:cs="Times New Roman"/>
          <w:lang w:val="ro-MD"/>
        </w:rPr>
        <w:t>138</w:t>
      </w:r>
      <w:r w:rsidRPr="000508B6">
        <w:rPr>
          <w:rFonts w:ascii="Times New Roman" w:hAnsi="Times New Roman" w:cs="Times New Roman"/>
          <w:lang w:val="ro-MD"/>
        </w:rPr>
        <w:t xml:space="preserve"> alin</w:t>
      </w:r>
      <w:r w:rsidR="00B773CD" w:rsidRPr="000508B6">
        <w:rPr>
          <w:rFonts w:ascii="Times New Roman" w:hAnsi="Times New Roman" w:cs="Times New Roman"/>
          <w:lang w:val="ro-MD"/>
        </w:rPr>
        <w:t>.</w:t>
      </w:r>
      <w:r w:rsidRPr="000508B6">
        <w:rPr>
          <w:rFonts w:ascii="Times New Roman" w:hAnsi="Times New Roman" w:cs="Times New Roman"/>
          <w:lang w:val="ro-MD"/>
        </w:rPr>
        <w:t xml:space="preserve"> (1) lit</w:t>
      </w:r>
      <w:r w:rsidR="00B773CD" w:rsidRPr="000508B6">
        <w:rPr>
          <w:rFonts w:ascii="Times New Roman" w:hAnsi="Times New Roman" w:cs="Times New Roman"/>
          <w:lang w:val="ro-MD"/>
        </w:rPr>
        <w:t>.</w:t>
      </w:r>
      <w:r w:rsidRPr="000508B6">
        <w:rPr>
          <w:rFonts w:ascii="Times New Roman" w:hAnsi="Times New Roman" w:cs="Times New Roman"/>
          <w:lang w:val="ro-MD"/>
        </w:rPr>
        <w:t xml:space="preserve"> a), un element al fondurilor proprii emis de o </w:t>
      </w:r>
      <w:r w:rsidR="002654B2"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participativă nu este considerat ca fiind liber de sarcini în înțelesul art. </w:t>
      </w:r>
      <w:r w:rsidR="00B773CD" w:rsidRPr="000508B6">
        <w:rPr>
          <w:rFonts w:ascii="Times New Roman" w:hAnsi="Times New Roman" w:cs="Times New Roman"/>
          <w:lang w:val="ro-MD"/>
        </w:rPr>
        <w:t>59 alin.</w:t>
      </w:r>
      <w:r w:rsidRPr="000508B6">
        <w:rPr>
          <w:rFonts w:ascii="Times New Roman" w:hAnsi="Times New Roman" w:cs="Times New Roman"/>
          <w:lang w:val="ro-MD"/>
        </w:rPr>
        <w:t xml:space="preserve"> (2) </w:t>
      </w:r>
      <w:r w:rsidR="00B773CD" w:rsidRPr="000508B6">
        <w:rPr>
          <w:rFonts w:ascii="Times New Roman" w:hAnsi="Times New Roman" w:cs="Times New Roman"/>
          <w:lang w:val="ro-MD"/>
        </w:rPr>
        <w:t>lit. e</w:t>
      </w:r>
      <w:r w:rsidRPr="000508B6">
        <w:rPr>
          <w:rFonts w:ascii="Times New Roman" w:hAnsi="Times New Roman" w:cs="Times New Roman"/>
          <w:lang w:val="ro-MD"/>
        </w:rPr>
        <w:t>)</w:t>
      </w:r>
      <w:r w:rsidR="002654B2" w:rsidRPr="000508B6">
        <w:rPr>
          <w:rFonts w:ascii="Times New Roman" w:hAnsi="Times New Roman" w:cs="Times New Roman"/>
          <w:lang w:val="ro-MD"/>
        </w:rPr>
        <w:t>,</w:t>
      </w:r>
      <w:r w:rsidRPr="000508B6">
        <w:rPr>
          <w:rFonts w:ascii="Times New Roman" w:hAnsi="Times New Roman" w:cs="Times New Roman"/>
          <w:lang w:val="ro-MD"/>
        </w:rPr>
        <w:t xml:space="preserve"> dacă rambursarea acestui element nu poate fi refuzată deținătorului atunci când </w:t>
      </w:r>
      <w:r w:rsidR="002654B2" w:rsidRPr="000508B6">
        <w:rPr>
          <w:rFonts w:ascii="Times New Roman" w:hAnsi="Times New Roman" w:cs="Times New Roman"/>
          <w:lang w:val="ro-MD"/>
        </w:rPr>
        <w:t xml:space="preserve">un asigurător sau </w:t>
      </w:r>
      <w:proofErr w:type="spellStart"/>
      <w:r w:rsidR="002654B2" w:rsidRPr="000508B6">
        <w:rPr>
          <w:rFonts w:ascii="Times New Roman" w:hAnsi="Times New Roman" w:cs="Times New Roman"/>
          <w:lang w:val="ro-MD"/>
        </w:rPr>
        <w:t>reasigurător</w:t>
      </w:r>
      <w:proofErr w:type="spellEnd"/>
      <w:r w:rsidR="00EA1B8B" w:rsidRPr="000508B6">
        <w:rPr>
          <w:rFonts w:ascii="Times New Roman" w:hAnsi="Times New Roman" w:cs="Times New Roman"/>
          <w:lang w:val="ro-MD"/>
        </w:rPr>
        <w:t xml:space="preserve"> </w:t>
      </w:r>
      <w:r w:rsidRPr="000508B6">
        <w:rPr>
          <w:rFonts w:ascii="Times New Roman" w:hAnsi="Times New Roman" w:cs="Times New Roman"/>
          <w:lang w:val="ro-MD"/>
        </w:rPr>
        <w:t>afiliat este lichidat.</w:t>
      </w:r>
      <w:r w:rsidR="002555DC" w:rsidRPr="000508B6">
        <w:rPr>
          <w:rFonts w:ascii="Times New Roman" w:hAnsi="Times New Roman" w:cs="Times New Roman"/>
          <w:lang w:val="ro-MD"/>
        </w:rPr>
        <w:t xml:space="preserve">   </w:t>
      </w:r>
    </w:p>
    <w:p w14:paraId="6B448A3F" w14:textId="77777777" w:rsidR="00912523" w:rsidRPr="000508B6" w:rsidRDefault="00912523" w:rsidP="008B530F">
      <w:pPr>
        <w:tabs>
          <w:tab w:val="left" w:pos="993"/>
        </w:tabs>
        <w:spacing w:after="0" w:line="240" w:lineRule="auto"/>
        <w:ind w:firstLine="426"/>
        <w:jc w:val="both"/>
        <w:rPr>
          <w:rFonts w:ascii="Times New Roman" w:hAnsi="Times New Roman" w:cs="Times New Roman"/>
          <w:b/>
          <w:lang w:val="ro-MD"/>
        </w:rPr>
      </w:pPr>
    </w:p>
    <w:p w14:paraId="025D44F9" w14:textId="25EDA9FF"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127</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Capitalul </w:t>
      </w:r>
      <w:proofErr w:type="spellStart"/>
      <w:r w:rsidRPr="000508B6">
        <w:rPr>
          <w:rFonts w:ascii="Times New Roman" w:hAnsi="Times New Roman" w:cs="Times New Roman"/>
          <w:lang w:val="ro-MD"/>
        </w:rPr>
        <w:t>intragrup</w:t>
      </w:r>
      <w:proofErr w:type="spellEnd"/>
      <w:r w:rsidR="00794054" w:rsidRPr="000508B6">
        <w:rPr>
          <w:rFonts w:ascii="Times New Roman" w:hAnsi="Times New Roman" w:cs="Times New Roman"/>
          <w:lang w:val="ro-MD"/>
        </w:rPr>
        <w:t xml:space="preserve">      </w:t>
      </w:r>
    </w:p>
    <w:p w14:paraId="4F2BBEE7" w14:textId="1819841A" w:rsidR="00F95829" w:rsidRPr="000508B6" w:rsidRDefault="00F95829" w:rsidP="00574631">
      <w:pPr>
        <w:pStyle w:val="Listparagraf"/>
        <w:numPr>
          <w:ilvl w:val="1"/>
          <w:numId w:val="226"/>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4B20AA" w:rsidRPr="000508B6">
        <w:rPr>
          <w:rFonts w:ascii="Times New Roman" w:hAnsi="Times New Roman" w:cs="Times New Roman"/>
          <w:lang w:val="ro-MD"/>
        </w:rPr>
        <w:t xml:space="preserve">un asigurător sau </w:t>
      </w:r>
      <w:proofErr w:type="spellStart"/>
      <w:r w:rsidR="004B20AA" w:rsidRPr="000508B6">
        <w:rPr>
          <w:rFonts w:ascii="Times New Roman" w:hAnsi="Times New Roman" w:cs="Times New Roman"/>
          <w:lang w:val="ro-MD"/>
        </w:rPr>
        <w:t>reasi</w:t>
      </w:r>
      <w:r w:rsidR="002654B2" w:rsidRPr="000508B6">
        <w:rPr>
          <w:rFonts w:ascii="Times New Roman" w:hAnsi="Times New Roman" w:cs="Times New Roman"/>
          <w:lang w:val="ro-MD"/>
        </w:rPr>
        <w:t>g</w:t>
      </w:r>
      <w:r w:rsidR="004B20AA" w:rsidRPr="000508B6">
        <w:rPr>
          <w:rFonts w:ascii="Times New Roman" w:hAnsi="Times New Roman" w:cs="Times New Roman"/>
          <w:lang w:val="ro-MD"/>
        </w:rPr>
        <w:t>urător</w:t>
      </w:r>
      <w:proofErr w:type="spellEnd"/>
      <w:r w:rsidR="00FE257A" w:rsidRPr="000508B6">
        <w:rPr>
          <w:rFonts w:ascii="Times New Roman" w:hAnsi="Times New Roman" w:cs="Times New Roman"/>
          <w:lang w:val="ro-MD"/>
        </w:rPr>
        <w:t xml:space="preserve"> </w:t>
      </w:r>
      <w:r w:rsidRPr="000508B6">
        <w:rPr>
          <w:rFonts w:ascii="Times New Roman" w:hAnsi="Times New Roman" w:cs="Times New Roman"/>
          <w:lang w:val="ro-MD"/>
        </w:rPr>
        <w:t xml:space="preserve">sau </w:t>
      </w:r>
      <w:r w:rsidR="00490CBB" w:rsidRPr="000508B6">
        <w:rPr>
          <w:rFonts w:ascii="Times New Roman" w:hAnsi="Times New Roman" w:cs="Times New Roman"/>
          <w:lang w:val="ro-MD"/>
        </w:rPr>
        <w:t>entitățile</w:t>
      </w:r>
      <w:r w:rsidR="005B7C25"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afiliate </w:t>
      </w:r>
      <w:r w:rsidR="002654B2" w:rsidRPr="000508B6">
        <w:rPr>
          <w:rFonts w:ascii="Times New Roman" w:hAnsi="Times New Roman" w:cs="Times New Roman"/>
          <w:lang w:val="ro-MD"/>
        </w:rPr>
        <w:t xml:space="preserve">acestuia </w:t>
      </w:r>
      <w:proofErr w:type="spellStart"/>
      <w:r w:rsidRPr="000508B6">
        <w:rPr>
          <w:rFonts w:ascii="Times New Roman" w:hAnsi="Times New Roman" w:cs="Times New Roman"/>
          <w:lang w:val="ro-MD"/>
        </w:rPr>
        <w:t>deţin</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acţiuni</w:t>
      </w:r>
      <w:proofErr w:type="spellEnd"/>
      <w:r w:rsidRPr="000508B6">
        <w:rPr>
          <w:rFonts w:ascii="Times New Roman" w:hAnsi="Times New Roman" w:cs="Times New Roman"/>
          <w:lang w:val="ro-MD"/>
        </w:rPr>
        <w:t xml:space="preserve"> ori acordă împrumuturi unei alte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care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direct sau indirect fonduri proprii eligibile pentru acoperirea SCR </w:t>
      </w:r>
      <w:r w:rsidR="002654B2" w:rsidRPr="000508B6">
        <w:rPr>
          <w:rFonts w:ascii="Times New Roman" w:hAnsi="Times New Roman" w:cs="Times New Roman"/>
          <w:lang w:val="ro-MD"/>
        </w:rPr>
        <w:t xml:space="preserve">a asigurătorului sau </w:t>
      </w:r>
      <w:proofErr w:type="spellStart"/>
      <w:r w:rsidR="002654B2"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acest lucru se consideră </w:t>
      </w:r>
      <w:proofErr w:type="spellStart"/>
      <w:r w:rsidRPr="000508B6">
        <w:rPr>
          <w:rFonts w:ascii="Times New Roman" w:hAnsi="Times New Roman" w:cs="Times New Roman"/>
          <w:lang w:val="ro-MD"/>
        </w:rPr>
        <w:t>finanţare</w:t>
      </w:r>
      <w:proofErr w:type="spellEnd"/>
      <w:r w:rsidRPr="000508B6">
        <w:rPr>
          <w:rFonts w:ascii="Times New Roman" w:hAnsi="Times New Roman" w:cs="Times New Roman"/>
          <w:lang w:val="ro-MD"/>
        </w:rPr>
        <w:t xml:space="preserve"> reciprocă.     </w:t>
      </w:r>
    </w:p>
    <w:p w14:paraId="5C477178" w14:textId="1C221F39" w:rsidR="00F95829" w:rsidRPr="000508B6" w:rsidRDefault="00F95829" w:rsidP="00574631">
      <w:pPr>
        <w:pStyle w:val="Listparagraf"/>
        <w:numPr>
          <w:ilvl w:val="1"/>
          <w:numId w:val="226"/>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calcularea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nu se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cont de fondurile proprii eligibile </w:t>
      </w:r>
      <w:r w:rsidR="005B7C25" w:rsidRPr="000508B6">
        <w:rPr>
          <w:rFonts w:ascii="Times New Roman" w:hAnsi="Times New Roman" w:cs="Times New Roman"/>
          <w:lang w:val="ro-MD"/>
        </w:rPr>
        <w:t xml:space="preserve">pentru SCR </w:t>
      </w:r>
      <w:r w:rsidRPr="000508B6">
        <w:rPr>
          <w:rFonts w:ascii="Times New Roman" w:hAnsi="Times New Roman" w:cs="Times New Roman"/>
          <w:lang w:val="ro-MD"/>
        </w:rPr>
        <w:t xml:space="preserve">provenite din </w:t>
      </w:r>
      <w:proofErr w:type="spellStart"/>
      <w:r w:rsidRPr="000508B6">
        <w:rPr>
          <w:rFonts w:ascii="Times New Roman" w:hAnsi="Times New Roman" w:cs="Times New Roman"/>
          <w:lang w:val="ro-MD"/>
        </w:rPr>
        <w:t>finanţarea</w:t>
      </w:r>
      <w:proofErr w:type="spellEnd"/>
      <w:r w:rsidRPr="000508B6">
        <w:rPr>
          <w:rFonts w:ascii="Times New Roman" w:hAnsi="Times New Roman" w:cs="Times New Roman"/>
          <w:lang w:val="ro-MD"/>
        </w:rPr>
        <w:t xml:space="preserve"> reciprocă dintre </w:t>
      </w:r>
      <w:r w:rsidR="0062225C" w:rsidRPr="000508B6">
        <w:rPr>
          <w:rFonts w:ascii="Times New Roman" w:hAnsi="Times New Roman" w:cs="Times New Roman"/>
          <w:lang w:val="ro-MD"/>
        </w:rPr>
        <w:t xml:space="preserve">asigurătorul sau </w:t>
      </w:r>
      <w:proofErr w:type="spellStart"/>
      <w:r w:rsidR="0062225C" w:rsidRPr="000508B6">
        <w:rPr>
          <w:rFonts w:ascii="Times New Roman" w:hAnsi="Times New Roman" w:cs="Times New Roman"/>
          <w:lang w:val="ro-MD"/>
        </w:rPr>
        <w:t>reasigurătorul</w:t>
      </w:r>
      <w:proofErr w:type="spellEnd"/>
      <w:r w:rsidR="0062225C"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
    <w:p w14:paraId="3BD8F95D" w14:textId="7936FFAF" w:rsidR="00F95829" w:rsidRPr="000508B6" w:rsidRDefault="006D1875" w:rsidP="00574631">
      <w:pPr>
        <w:pStyle w:val="Listparagraf"/>
        <w:numPr>
          <w:ilvl w:val="0"/>
          <w:numId w:val="227"/>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304D22" w:rsidRPr="000508B6">
        <w:rPr>
          <w:rFonts w:ascii="Times New Roman" w:hAnsi="Times New Roman" w:cs="Times New Roman"/>
          <w:lang w:val="ro-MD"/>
        </w:rPr>
        <w:t>entitate</w:t>
      </w:r>
      <w:r w:rsidR="004B20AA" w:rsidRPr="000508B6">
        <w:rPr>
          <w:rFonts w:ascii="Times New Roman" w:hAnsi="Times New Roman" w:cs="Times New Roman"/>
          <w:lang w:val="ro-MD"/>
        </w:rPr>
        <w:t>a</w:t>
      </w:r>
      <w:r w:rsidR="00304D22" w:rsidRPr="000508B6">
        <w:rPr>
          <w:rFonts w:ascii="Times New Roman" w:hAnsi="Times New Roman" w:cs="Times New Roman"/>
          <w:lang w:val="ro-MD"/>
        </w:rPr>
        <w:t xml:space="preserve"> </w:t>
      </w:r>
      <w:r w:rsidR="00F95829" w:rsidRPr="000508B6">
        <w:rPr>
          <w:rFonts w:ascii="Times New Roman" w:hAnsi="Times New Roman" w:cs="Times New Roman"/>
          <w:lang w:val="ro-MD"/>
        </w:rPr>
        <w:t>afiliat</w:t>
      </w:r>
      <w:r w:rsidRPr="000508B6">
        <w:rPr>
          <w:rFonts w:ascii="Times New Roman" w:hAnsi="Times New Roman" w:cs="Times New Roman"/>
          <w:lang w:val="ro-MD"/>
        </w:rPr>
        <w:t>ă</w:t>
      </w:r>
      <w:r w:rsidR="00F95829" w:rsidRPr="000508B6">
        <w:rPr>
          <w:rFonts w:ascii="Times New Roman" w:hAnsi="Times New Roman" w:cs="Times New Roman"/>
          <w:lang w:val="ro-MD"/>
        </w:rPr>
        <w:t xml:space="preserve">;   </w:t>
      </w:r>
    </w:p>
    <w:p w14:paraId="0DE3266D" w14:textId="4DFBCF97" w:rsidR="00F95829" w:rsidRPr="000508B6" w:rsidRDefault="003E0E9E" w:rsidP="00574631">
      <w:pPr>
        <w:numPr>
          <w:ilvl w:val="0"/>
          <w:numId w:val="22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entitate</w:t>
      </w:r>
      <w:r w:rsidR="004B20AA" w:rsidRPr="000508B6">
        <w:rPr>
          <w:rFonts w:ascii="Times New Roman" w:hAnsi="Times New Roman" w:cs="Times New Roman"/>
          <w:lang w:val="ro-MD"/>
        </w:rPr>
        <w:t>a</w:t>
      </w:r>
      <w:r w:rsidRPr="000508B6">
        <w:rPr>
          <w:rFonts w:ascii="Times New Roman" w:hAnsi="Times New Roman" w:cs="Times New Roman"/>
          <w:lang w:val="ro-MD"/>
        </w:rPr>
        <w:t xml:space="preserve"> </w:t>
      </w:r>
      <w:r w:rsidR="00F95829" w:rsidRPr="000508B6">
        <w:rPr>
          <w:rFonts w:ascii="Times New Roman" w:hAnsi="Times New Roman" w:cs="Times New Roman"/>
          <w:lang w:val="ro-MD"/>
        </w:rPr>
        <w:t>participativ</w:t>
      </w:r>
      <w:r w:rsidR="006D1875" w:rsidRPr="000508B6">
        <w:rPr>
          <w:rFonts w:ascii="Times New Roman" w:hAnsi="Times New Roman" w:cs="Times New Roman"/>
          <w:lang w:val="ro-MD"/>
        </w:rPr>
        <w:t>ă</w:t>
      </w:r>
      <w:r w:rsidR="00F95829" w:rsidRPr="000508B6">
        <w:rPr>
          <w:rFonts w:ascii="Times New Roman" w:hAnsi="Times New Roman" w:cs="Times New Roman"/>
          <w:lang w:val="ro-MD"/>
        </w:rPr>
        <w:t xml:space="preserve">;   </w:t>
      </w:r>
    </w:p>
    <w:p w14:paraId="5E45DB91" w14:textId="0C7473BC" w:rsidR="00F95829" w:rsidRPr="000508B6" w:rsidRDefault="004B20AA" w:rsidP="00574631">
      <w:pPr>
        <w:numPr>
          <w:ilvl w:val="0"/>
          <w:numId w:val="22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alte</w:t>
      </w:r>
      <w:r w:rsidR="00F52194" w:rsidRPr="000508B6">
        <w:rPr>
          <w:rFonts w:ascii="Times New Roman" w:hAnsi="Times New Roman" w:cs="Times New Roman"/>
          <w:lang w:val="ro-MD"/>
        </w:rPr>
        <w:t xml:space="preserve"> </w:t>
      </w:r>
      <w:r w:rsidRPr="000508B6">
        <w:rPr>
          <w:rFonts w:ascii="Times New Roman" w:hAnsi="Times New Roman" w:cs="Times New Roman"/>
          <w:lang w:val="ro-MD"/>
        </w:rPr>
        <w:t xml:space="preserve">entități afiliate </w:t>
      </w:r>
      <w:proofErr w:type="spellStart"/>
      <w:r w:rsidRPr="000508B6">
        <w:rPr>
          <w:rFonts w:ascii="Times New Roman" w:hAnsi="Times New Roman" w:cs="Times New Roman"/>
          <w:lang w:val="ro-MD"/>
        </w:rPr>
        <w:t>entitățlor</w:t>
      </w:r>
      <w:proofErr w:type="spellEnd"/>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sale participative.  </w:t>
      </w:r>
    </w:p>
    <w:p w14:paraId="39053DD1" w14:textId="7296562A" w:rsidR="00F95829" w:rsidRPr="000508B6" w:rsidRDefault="00F95829" w:rsidP="00574631">
      <w:pPr>
        <w:pStyle w:val="Listparagraf"/>
        <w:numPr>
          <w:ilvl w:val="1"/>
          <w:numId w:val="226"/>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calcularea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nu se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cont de fondurile proprii </w:t>
      </w:r>
      <w:r w:rsidR="002654B2" w:rsidRPr="000508B6">
        <w:rPr>
          <w:rFonts w:ascii="Times New Roman" w:hAnsi="Times New Roman" w:cs="Times New Roman"/>
          <w:lang w:val="ro-MD"/>
        </w:rPr>
        <w:t>eligibile</w:t>
      </w:r>
      <w:r w:rsidRPr="000508B6">
        <w:rPr>
          <w:rFonts w:ascii="Times New Roman" w:hAnsi="Times New Roman" w:cs="Times New Roman"/>
          <w:lang w:val="ro-MD"/>
        </w:rPr>
        <w:t xml:space="preserve"> care acoperă SCR a </w:t>
      </w:r>
      <w:r w:rsidR="002654B2" w:rsidRPr="000508B6">
        <w:rPr>
          <w:rFonts w:ascii="Times New Roman" w:hAnsi="Times New Roman" w:cs="Times New Roman"/>
          <w:lang w:val="ro-MD"/>
        </w:rPr>
        <w:t xml:space="preserve">unui asigurător sau </w:t>
      </w:r>
      <w:proofErr w:type="spellStart"/>
      <w:r w:rsidR="002654B2" w:rsidRPr="000508B6">
        <w:rPr>
          <w:rFonts w:ascii="Times New Roman" w:hAnsi="Times New Roman" w:cs="Times New Roman"/>
          <w:lang w:val="ro-MD"/>
        </w:rPr>
        <w:t>reasigurător</w:t>
      </w:r>
      <w:proofErr w:type="spellEnd"/>
      <w:r w:rsidR="002654B2" w:rsidRPr="000508B6">
        <w:rPr>
          <w:rFonts w:ascii="Times New Roman" w:hAnsi="Times New Roman" w:cs="Times New Roman"/>
          <w:lang w:val="ro-MD"/>
        </w:rPr>
        <w:t xml:space="preserve"> afiliat</w:t>
      </w:r>
      <w:r w:rsidR="00FE257A" w:rsidRPr="000508B6">
        <w:rPr>
          <w:rFonts w:ascii="Times New Roman" w:hAnsi="Times New Roman" w:cs="Times New Roman"/>
          <w:lang w:val="ro-MD"/>
        </w:rPr>
        <w:t xml:space="preserve"> </w:t>
      </w:r>
      <w:r w:rsidR="00D7056C" w:rsidRPr="000508B6">
        <w:rPr>
          <w:rFonts w:ascii="Times New Roman" w:hAnsi="Times New Roman" w:cs="Times New Roman"/>
          <w:lang w:val="ro-MD"/>
        </w:rPr>
        <w:t xml:space="preserve">unui asigurător sau </w:t>
      </w:r>
      <w:proofErr w:type="spellStart"/>
      <w:r w:rsidR="00D7056C" w:rsidRPr="000508B6">
        <w:rPr>
          <w:rFonts w:ascii="Times New Roman" w:hAnsi="Times New Roman" w:cs="Times New Roman"/>
          <w:lang w:val="ro-MD"/>
        </w:rPr>
        <w:t>reasigurător</w:t>
      </w:r>
      <w:proofErr w:type="spellEnd"/>
      <w:r w:rsidR="006B0992"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pentru care se calculează SCR la nivel de grup, în cazul în care acestea provin din </w:t>
      </w:r>
      <w:proofErr w:type="spellStart"/>
      <w:r w:rsidRPr="000508B6">
        <w:rPr>
          <w:rFonts w:ascii="Times New Roman" w:hAnsi="Times New Roman" w:cs="Times New Roman"/>
          <w:lang w:val="ro-MD"/>
        </w:rPr>
        <w:t>finanţare</w:t>
      </w:r>
      <w:proofErr w:type="spellEnd"/>
      <w:r w:rsidRPr="000508B6">
        <w:rPr>
          <w:rFonts w:ascii="Times New Roman" w:hAnsi="Times New Roman" w:cs="Times New Roman"/>
          <w:lang w:val="ro-MD"/>
        </w:rPr>
        <w:t xml:space="preserve"> reciprocă cu </w:t>
      </w:r>
      <w:r w:rsidR="005B7C25" w:rsidRPr="000508B6">
        <w:rPr>
          <w:rFonts w:ascii="Times New Roman" w:hAnsi="Times New Roman" w:cs="Times New Roman"/>
          <w:lang w:val="ro-MD"/>
        </w:rPr>
        <w:t>altă entitate</w:t>
      </w:r>
      <w:r w:rsidRPr="000508B6">
        <w:rPr>
          <w:rFonts w:ascii="Times New Roman" w:hAnsi="Times New Roman" w:cs="Times New Roman"/>
          <w:lang w:val="ro-MD"/>
        </w:rPr>
        <w:t xml:space="preserve"> </w:t>
      </w:r>
      <w:r w:rsidR="00304D22" w:rsidRPr="000508B6">
        <w:rPr>
          <w:rFonts w:ascii="Times New Roman" w:hAnsi="Times New Roman" w:cs="Times New Roman"/>
          <w:lang w:val="ro-MD"/>
        </w:rPr>
        <w:t xml:space="preserve">afiliată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respectiv</w:t>
      </w:r>
      <w:r w:rsidR="00172C4A" w:rsidRPr="000508B6">
        <w:rPr>
          <w:rFonts w:ascii="Times New Roman" w:hAnsi="Times New Roman" w:cs="Times New Roman"/>
          <w:lang w:val="ro-MD"/>
        </w:rPr>
        <w:t xml:space="preserve">. </w:t>
      </w:r>
    </w:p>
    <w:p w14:paraId="13BF5411" w14:textId="77777777" w:rsidR="00473E3D" w:rsidRPr="000508B6" w:rsidRDefault="00473E3D" w:rsidP="008B530F">
      <w:pPr>
        <w:tabs>
          <w:tab w:val="left" w:pos="993"/>
        </w:tabs>
        <w:spacing w:after="0" w:line="240" w:lineRule="auto"/>
        <w:ind w:firstLine="426"/>
        <w:jc w:val="both"/>
        <w:rPr>
          <w:rFonts w:ascii="Times New Roman" w:hAnsi="Times New Roman" w:cs="Times New Roman"/>
          <w:b/>
          <w:lang w:val="ro-MD"/>
        </w:rPr>
      </w:pPr>
    </w:p>
    <w:p w14:paraId="1921433C" w14:textId="78EB367D"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128</w:t>
      </w:r>
      <w:r w:rsidRPr="000508B6">
        <w:rPr>
          <w:rFonts w:ascii="Times New Roman" w:hAnsi="Times New Roman" w:cs="Times New Roman"/>
          <w:b/>
          <w:lang w:val="ro-MD"/>
        </w:rPr>
        <w:t>.</w:t>
      </w:r>
      <w:r w:rsidR="00531AE6" w:rsidRPr="000508B6">
        <w:rPr>
          <w:rFonts w:ascii="Times New Roman" w:hAnsi="Times New Roman" w:cs="Times New Roman"/>
          <w:b/>
          <w:lang w:val="ro-MD"/>
        </w:rPr>
        <w:t xml:space="preserve"> </w:t>
      </w:r>
      <w:r w:rsidRPr="000508B6">
        <w:rPr>
          <w:rFonts w:ascii="Times New Roman" w:hAnsi="Times New Roman" w:cs="Times New Roman"/>
          <w:lang w:val="ro-MD"/>
        </w:rPr>
        <w:t xml:space="preserve"> Evaluarea</w:t>
      </w:r>
      <w:r w:rsidR="00874EEF" w:rsidRPr="000508B6">
        <w:rPr>
          <w:rFonts w:ascii="Times New Roman" w:hAnsi="Times New Roman" w:cs="Times New Roman"/>
          <w:lang w:val="ro-MD"/>
        </w:rPr>
        <w:t xml:space="preserve"> activelor și </w:t>
      </w:r>
      <w:r w:rsidR="00FA320A" w:rsidRPr="000508B6">
        <w:rPr>
          <w:rFonts w:ascii="Times New Roman" w:hAnsi="Times New Roman" w:cs="Times New Roman"/>
          <w:lang w:val="ro-MD"/>
        </w:rPr>
        <w:t xml:space="preserve">obligațiilor </w:t>
      </w:r>
      <w:r w:rsidR="00874EEF" w:rsidRPr="000508B6">
        <w:rPr>
          <w:rFonts w:ascii="Times New Roman" w:hAnsi="Times New Roman" w:cs="Times New Roman"/>
          <w:lang w:val="ro-MD"/>
        </w:rPr>
        <w:t>la nivel de grup</w:t>
      </w:r>
      <w:r w:rsidRPr="000508B6">
        <w:rPr>
          <w:rFonts w:ascii="Times New Roman" w:hAnsi="Times New Roman" w:cs="Times New Roman"/>
          <w:lang w:val="ro-MD"/>
        </w:rPr>
        <w:t xml:space="preserve">   </w:t>
      </w:r>
    </w:p>
    <w:p w14:paraId="2C1D1324" w14:textId="384581DB"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Evaluarea activelor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r w:rsidR="00FA320A" w:rsidRPr="000508B6">
        <w:rPr>
          <w:rFonts w:ascii="Times New Roman" w:hAnsi="Times New Roman" w:cs="Times New Roman"/>
          <w:lang w:val="ro-MD"/>
        </w:rPr>
        <w:t xml:space="preserve">obligațiilor </w:t>
      </w:r>
      <w:r w:rsidRPr="000508B6">
        <w:rPr>
          <w:rFonts w:ascii="Times New Roman" w:hAnsi="Times New Roman" w:cs="Times New Roman"/>
          <w:lang w:val="ro-MD"/>
        </w:rPr>
        <w:t xml:space="preserve">se realizează în conformitate cu prevederile art. </w:t>
      </w:r>
      <w:r w:rsidR="00B773CD" w:rsidRPr="000508B6">
        <w:rPr>
          <w:rFonts w:ascii="Times New Roman" w:hAnsi="Times New Roman" w:cs="Times New Roman"/>
          <w:lang w:val="ro-MD"/>
        </w:rPr>
        <w:t>41</w:t>
      </w:r>
      <w:r w:rsidR="00EF3937" w:rsidRPr="000508B6">
        <w:rPr>
          <w:rFonts w:ascii="Times New Roman" w:hAnsi="Times New Roman" w:cs="Times New Roman"/>
          <w:lang w:val="ro-MD"/>
        </w:rPr>
        <w:t>.</w:t>
      </w:r>
    </w:p>
    <w:p w14:paraId="33C9DDA4" w14:textId="77777777" w:rsidR="00463478" w:rsidRPr="000508B6" w:rsidRDefault="00463478" w:rsidP="00C36626">
      <w:pPr>
        <w:tabs>
          <w:tab w:val="left" w:pos="709"/>
        </w:tabs>
        <w:spacing w:after="0" w:line="240" w:lineRule="auto"/>
        <w:ind w:firstLine="426"/>
        <w:jc w:val="both"/>
        <w:rPr>
          <w:rFonts w:ascii="Times New Roman" w:hAnsi="Times New Roman" w:cs="Times New Roman"/>
          <w:b/>
          <w:lang w:val="ro-MD"/>
        </w:rPr>
      </w:pPr>
    </w:p>
    <w:p w14:paraId="33AD49C5" w14:textId="0475BC6A" w:rsidR="00794054" w:rsidRPr="000508B6" w:rsidRDefault="00531AE6" w:rsidP="00C36626">
      <w:pPr>
        <w:tabs>
          <w:tab w:val="left" w:pos="709"/>
        </w:tabs>
        <w:spacing w:after="0" w:line="240" w:lineRule="auto"/>
        <w:ind w:firstLine="426"/>
        <w:jc w:val="both"/>
        <w:rPr>
          <w:rFonts w:ascii="Times New Roman" w:hAnsi="Times New Roman" w:cs="Times New Roman"/>
          <w:color w:val="FF0000"/>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129</w:t>
      </w:r>
      <w:r w:rsidR="00F52194" w:rsidRPr="000508B6">
        <w:rPr>
          <w:rFonts w:ascii="Times New Roman" w:hAnsi="Times New Roman" w:cs="Times New Roman"/>
          <w:b/>
          <w:lang w:val="ro-MD"/>
        </w:rPr>
        <w:t>.</w:t>
      </w:r>
      <w:r w:rsidR="00F95829" w:rsidRPr="000508B6">
        <w:rPr>
          <w:rFonts w:ascii="Times New Roman" w:hAnsi="Times New Roman" w:cs="Times New Roman"/>
          <w:lang w:val="ro-MD"/>
        </w:rPr>
        <w:t xml:space="preserve"> </w:t>
      </w:r>
      <w:r w:rsidR="00FE257A" w:rsidRPr="000508B6">
        <w:rPr>
          <w:rFonts w:ascii="Times New Roman" w:hAnsi="Times New Roman" w:cs="Times New Roman"/>
          <w:lang w:val="ro-MD"/>
        </w:rPr>
        <w:t>Metoda de calcul pentru a</w:t>
      </w:r>
      <w:r w:rsidR="002654B2" w:rsidRPr="000508B6">
        <w:rPr>
          <w:rFonts w:ascii="Times New Roman" w:hAnsi="Times New Roman" w:cs="Times New Roman"/>
          <w:lang w:val="ro-MD"/>
        </w:rPr>
        <w:t>sigurător</w:t>
      </w:r>
      <w:r w:rsidR="008E106F" w:rsidRPr="000508B6">
        <w:rPr>
          <w:rFonts w:ascii="Times New Roman" w:hAnsi="Times New Roman" w:cs="Times New Roman"/>
          <w:lang w:val="ro-MD"/>
        </w:rPr>
        <w:t>i</w:t>
      </w:r>
      <w:r w:rsidR="002654B2" w:rsidRPr="000508B6">
        <w:rPr>
          <w:rFonts w:ascii="Times New Roman" w:hAnsi="Times New Roman" w:cs="Times New Roman"/>
          <w:lang w:val="ro-MD"/>
        </w:rPr>
        <w:t xml:space="preserve">i sau </w:t>
      </w:r>
      <w:proofErr w:type="spellStart"/>
      <w:r w:rsidR="002654B2" w:rsidRPr="000508B6">
        <w:rPr>
          <w:rFonts w:ascii="Times New Roman" w:hAnsi="Times New Roman" w:cs="Times New Roman"/>
          <w:lang w:val="ro-MD"/>
        </w:rPr>
        <w:t>reasigurător</w:t>
      </w:r>
      <w:r w:rsidR="008E106F" w:rsidRPr="000508B6">
        <w:rPr>
          <w:rFonts w:ascii="Times New Roman" w:hAnsi="Times New Roman" w:cs="Times New Roman"/>
          <w:lang w:val="ro-MD"/>
        </w:rPr>
        <w:t>i</w:t>
      </w:r>
      <w:r w:rsidR="002654B2" w:rsidRPr="000508B6">
        <w:rPr>
          <w:rFonts w:ascii="Times New Roman" w:hAnsi="Times New Roman" w:cs="Times New Roman"/>
          <w:lang w:val="ro-MD"/>
        </w:rPr>
        <w:t>i</w:t>
      </w:r>
      <w:proofErr w:type="spellEnd"/>
      <w:r w:rsidR="005B7C25" w:rsidRPr="000508B6">
        <w:rPr>
          <w:rFonts w:ascii="Times New Roman" w:hAnsi="Times New Roman" w:cs="Times New Roman"/>
          <w:lang w:val="ro-MD"/>
        </w:rPr>
        <w:t xml:space="preserve"> </w:t>
      </w:r>
      <w:r w:rsidR="002654B2" w:rsidRPr="000508B6">
        <w:rPr>
          <w:rFonts w:ascii="Times New Roman" w:hAnsi="Times New Roman" w:cs="Times New Roman"/>
          <w:lang w:val="ro-MD"/>
        </w:rPr>
        <w:t xml:space="preserve">afiliați </w:t>
      </w:r>
    </w:p>
    <w:p w14:paraId="59208284" w14:textId="3482A3B5" w:rsidR="00F95829" w:rsidRPr="000508B6" w:rsidRDefault="00F95829" w:rsidP="00CF5AFA">
      <w:pPr>
        <w:numPr>
          <w:ilvl w:val="0"/>
          <w:numId w:val="22"/>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D7056C" w:rsidRPr="000508B6">
        <w:rPr>
          <w:rFonts w:ascii="Times New Roman" w:hAnsi="Times New Roman" w:cs="Times New Roman"/>
          <w:lang w:val="ro-MD"/>
        </w:rPr>
        <w:t xml:space="preserve">asigurătorul sau </w:t>
      </w:r>
      <w:proofErr w:type="spellStart"/>
      <w:r w:rsidR="00D7056C"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E12BEF" w:rsidRPr="000508B6">
        <w:rPr>
          <w:rFonts w:ascii="Times New Roman" w:hAnsi="Times New Roman" w:cs="Times New Roman"/>
          <w:lang w:val="ro-MD"/>
        </w:rPr>
        <w:t xml:space="preserve">are </w:t>
      </w:r>
      <w:r w:rsidRPr="000508B6">
        <w:rPr>
          <w:rFonts w:ascii="Times New Roman" w:hAnsi="Times New Roman" w:cs="Times New Roman"/>
          <w:lang w:val="ro-MD"/>
        </w:rPr>
        <w:t xml:space="preserve">mai mult de </w:t>
      </w:r>
      <w:r w:rsidR="002654B2" w:rsidRPr="000508B6">
        <w:rPr>
          <w:rFonts w:ascii="Times New Roman" w:hAnsi="Times New Roman" w:cs="Times New Roman"/>
          <w:lang w:val="ro-MD"/>
        </w:rPr>
        <w:t xml:space="preserve">un asigurător sau </w:t>
      </w:r>
      <w:proofErr w:type="spellStart"/>
      <w:r w:rsidR="002654B2" w:rsidRPr="000508B6">
        <w:rPr>
          <w:rFonts w:ascii="Times New Roman" w:hAnsi="Times New Roman" w:cs="Times New Roman"/>
          <w:lang w:val="ro-MD"/>
        </w:rPr>
        <w:t>reasigurător</w:t>
      </w:r>
      <w:proofErr w:type="spellEnd"/>
      <w:r w:rsidR="005B7C25"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solvabilitatea la nivel de grup se calculează prin includerea </w:t>
      </w:r>
      <w:r w:rsidR="002654B2" w:rsidRPr="000508B6">
        <w:rPr>
          <w:rFonts w:ascii="Times New Roman" w:hAnsi="Times New Roman" w:cs="Times New Roman"/>
          <w:lang w:val="ro-MD"/>
        </w:rPr>
        <w:t xml:space="preserve">tuturor asigurătorilor sau </w:t>
      </w:r>
      <w:proofErr w:type="spellStart"/>
      <w:r w:rsidR="002654B2" w:rsidRPr="000508B6">
        <w:rPr>
          <w:rFonts w:ascii="Times New Roman" w:hAnsi="Times New Roman" w:cs="Times New Roman"/>
          <w:lang w:val="ro-MD"/>
        </w:rPr>
        <w:t>reasigurătorilor</w:t>
      </w:r>
      <w:proofErr w:type="spellEnd"/>
      <w:r w:rsidR="002654B2" w:rsidRPr="000508B6">
        <w:rPr>
          <w:rFonts w:ascii="Times New Roman" w:hAnsi="Times New Roman" w:cs="Times New Roman"/>
          <w:lang w:val="ro-MD"/>
        </w:rPr>
        <w:t xml:space="preserve"> afiliați</w:t>
      </w:r>
      <w:r w:rsidRPr="000508B6">
        <w:rPr>
          <w:rFonts w:ascii="Times New Roman" w:hAnsi="Times New Roman" w:cs="Times New Roman"/>
          <w:lang w:val="ro-MD"/>
        </w:rPr>
        <w:t xml:space="preserve">.   </w:t>
      </w:r>
    </w:p>
    <w:p w14:paraId="5988D4C7" w14:textId="1C8FC41B" w:rsidR="00794054" w:rsidRPr="000508B6" w:rsidRDefault="00F95829" w:rsidP="00CF5AFA">
      <w:pPr>
        <w:numPr>
          <w:ilvl w:val="0"/>
          <w:numId w:val="22"/>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în care </w:t>
      </w:r>
      <w:r w:rsidR="002654B2" w:rsidRPr="000508B6">
        <w:rPr>
          <w:rFonts w:ascii="Times New Roman" w:hAnsi="Times New Roman" w:cs="Times New Roman"/>
          <w:lang w:val="ro-MD"/>
        </w:rPr>
        <w:t xml:space="preserve">un asigurător sau </w:t>
      </w:r>
      <w:proofErr w:type="spellStart"/>
      <w:r w:rsidR="002654B2"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afiliat </w:t>
      </w:r>
      <w:r w:rsidR="00D7056C" w:rsidRPr="000508B6">
        <w:rPr>
          <w:rFonts w:ascii="Times New Roman" w:hAnsi="Times New Roman" w:cs="Times New Roman"/>
          <w:lang w:val="ro-MD"/>
        </w:rPr>
        <w:t xml:space="preserve">unui asigurător sau </w:t>
      </w:r>
      <w:proofErr w:type="spellStart"/>
      <w:r w:rsidR="00D7056C"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pentru care se calculează solvabilitatea la nivel de grup are sediul central în alt stat membru decât </w:t>
      </w:r>
      <w:r w:rsidR="002D3A23" w:rsidRPr="000508B6">
        <w:rPr>
          <w:rFonts w:ascii="Times New Roman" w:hAnsi="Times New Roman" w:cs="Times New Roman"/>
          <w:lang w:val="ro-MD"/>
        </w:rPr>
        <w:t>Republica Moldova</w:t>
      </w:r>
      <w:r w:rsidRPr="000508B6">
        <w:rPr>
          <w:rFonts w:ascii="Times New Roman" w:hAnsi="Times New Roman" w:cs="Times New Roman"/>
          <w:lang w:val="ro-MD"/>
        </w:rPr>
        <w:t xml:space="preserve">, calcularea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evaluarea fondurilor proprii pentru </w:t>
      </w:r>
      <w:r w:rsidR="002D3A23" w:rsidRPr="000508B6">
        <w:rPr>
          <w:rFonts w:ascii="Times New Roman" w:hAnsi="Times New Roman" w:cs="Times New Roman"/>
          <w:lang w:val="ro-MD"/>
        </w:rPr>
        <w:t xml:space="preserve">asigurătorul sau </w:t>
      </w:r>
      <w:proofErr w:type="spellStart"/>
      <w:r w:rsidR="002D3A23" w:rsidRPr="000508B6">
        <w:rPr>
          <w:rFonts w:ascii="Times New Roman" w:hAnsi="Times New Roman" w:cs="Times New Roman"/>
          <w:lang w:val="ro-MD"/>
        </w:rPr>
        <w:t>reasigurătorul</w:t>
      </w:r>
      <w:proofErr w:type="spellEnd"/>
      <w:r w:rsidR="002D3A23"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se realizează în conformitate cu </w:t>
      </w:r>
      <w:proofErr w:type="spellStart"/>
      <w:r w:rsidRPr="000508B6">
        <w:rPr>
          <w:rFonts w:ascii="Times New Roman" w:hAnsi="Times New Roman" w:cs="Times New Roman"/>
          <w:lang w:val="ro-MD"/>
        </w:rPr>
        <w:t>legislaţia</w:t>
      </w:r>
      <w:proofErr w:type="spellEnd"/>
      <w:r w:rsidRPr="000508B6">
        <w:rPr>
          <w:rFonts w:ascii="Times New Roman" w:hAnsi="Times New Roman" w:cs="Times New Roman"/>
          <w:lang w:val="ro-MD"/>
        </w:rPr>
        <w:t xml:space="preserve"> din statul membru respectiv</w:t>
      </w:r>
      <w:r w:rsidR="000323D9" w:rsidRPr="000508B6">
        <w:rPr>
          <w:rFonts w:ascii="Times New Roman" w:hAnsi="Times New Roman" w:cs="Times New Roman"/>
          <w:lang w:val="ro-MD"/>
        </w:rPr>
        <w:t>.</w:t>
      </w:r>
      <w:r w:rsidRPr="000508B6">
        <w:rPr>
          <w:rFonts w:ascii="Times New Roman" w:hAnsi="Times New Roman" w:cs="Times New Roman"/>
          <w:lang w:val="ro-MD"/>
        </w:rPr>
        <w:t xml:space="preserve"> </w:t>
      </w:r>
    </w:p>
    <w:p w14:paraId="3A3B10C8" w14:textId="77777777" w:rsidR="00912523" w:rsidRPr="000508B6" w:rsidRDefault="00912523" w:rsidP="00794054">
      <w:pPr>
        <w:tabs>
          <w:tab w:val="left" w:pos="709"/>
        </w:tabs>
        <w:spacing w:after="0" w:line="240" w:lineRule="auto"/>
        <w:ind w:left="426"/>
        <w:jc w:val="both"/>
        <w:rPr>
          <w:rFonts w:ascii="Times New Roman" w:hAnsi="Times New Roman" w:cs="Times New Roman"/>
          <w:b/>
          <w:lang w:val="ro-MD"/>
        </w:rPr>
      </w:pPr>
    </w:p>
    <w:p w14:paraId="63192DE2" w14:textId="68830F05" w:rsidR="00F95829" w:rsidRPr="000508B6" w:rsidRDefault="00F95829" w:rsidP="00794054">
      <w:pPr>
        <w:tabs>
          <w:tab w:val="left" w:pos="709"/>
        </w:tabs>
        <w:spacing w:after="0" w:line="240" w:lineRule="auto"/>
        <w:ind w:left="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130</w:t>
      </w:r>
      <w:r w:rsidRPr="000508B6">
        <w:rPr>
          <w:rFonts w:ascii="Times New Roman" w:hAnsi="Times New Roman" w:cs="Times New Roman"/>
          <w:b/>
          <w:lang w:val="ro-MD"/>
        </w:rPr>
        <w:t xml:space="preserve">. </w:t>
      </w:r>
      <w:r w:rsidR="00DE1E2C" w:rsidRPr="000508B6">
        <w:rPr>
          <w:rFonts w:ascii="Times New Roman" w:hAnsi="Times New Roman" w:cs="Times New Roman"/>
          <w:bCs/>
          <w:lang w:val="ro-MD"/>
        </w:rPr>
        <w:t>Metoda de calcul pentru</w:t>
      </w:r>
      <w:r w:rsidR="00DE1E2C" w:rsidRPr="000508B6">
        <w:rPr>
          <w:rFonts w:ascii="Times New Roman" w:hAnsi="Times New Roman" w:cs="Times New Roman"/>
          <w:b/>
          <w:lang w:val="ro-MD"/>
        </w:rPr>
        <w:t xml:space="preserve"> </w:t>
      </w:r>
      <w:r w:rsidR="002D3E78" w:rsidRPr="000508B6">
        <w:rPr>
          <w:rFonts w:ascii="Times New Roman" w:hAnsi="Times New Roman" w:cs="Times New Roman"/>
          <w:lang w:val="ro-MD"/>
        </w:rPr>
        <w:t xml:space="preserve">holdingurile de asigurare intermediare </w:t>
      </w:r>
    </w:p>
    <w:p w14:paraId="580215BC" w14:textId="4432B629" w:rsidR="00F95829" w:rsidRPr="000508B6" w:rsidRDefault="00F95829" w:rsidP="00CF5AFA">
      <w:pPr>
        <w:numPr>
          <w:ilvl w:val="0"/>
          <w:numId w:val="23"/>
        </w:numPr>
        <w:tabs>
          <w:tab w:val="left" w:pos="567"/>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La calcularea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pentru </w:t>
      </w:r>
      <w:r w:rsidR="003B3626" w:rsidRPr="000508B6">
        <w:rPr>
          <w:rFonts w:ascii="Times New Roman" w:hAnsi="Times New Roman" w:cs="Times New Roman"/>
          <w:lang w:val="ro-MD"/>
        </w:rPr>
        <w:t xml:space="preserve">un asigurător sau </w:t>
      </w:r>
      <w:proofErr w:type="spellStart"/>
      <w:r w:rsidR="003B3626" w:rsidRPr="000508B6">
        <w:rPr>
          <w:rFonts w:ascii="Times New Roman" w:hAnsi="Times New Roman" w:cs="Times New Roman"/>
          <w:lang w:val="ro-MD"/>
        </w:rPr>
        <w:t>reasiurător</w:t>
      </w:r>
      <w:proofErr w:type="spellEnd"/>
      <w:r w:rsidR="002076E5"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participaţii</w:t>
      </w:r>
      <w:proofErr w:type="spellEnd"/>
      <w:r w:rsidRPr="000508B6">
        <w:rPr>
          <w:rFonts w:ascii="Times New Roman" w:hAnsi="Times New Roman" w:cs="Times New Roman"/>
          <w:lang w:val="ro-MD"/>
        </w:rPr>
        <w:t xml:space="preserve"> </w:t>
      </w:r>
      <w:r w:rsidR="002D3A23" w:rsidRPr="000508B6">
        <w:rPr>
          <w:rFonts w:ascii="Times New Roman" w:hAnsi="Times New Roman" w:cs="Times New Roman"/>
          <w:lang w:val="ro-MD"/>
        </w:rPr>
        <w:t xml:space="preserve">într-un asigurător sau </w:t>
      </w:r>
      <w:proofErr w:type="spellStart"/>
      <w:r w:rsidR="002D3A23" w:rsidRPr="000508B6">
        <w:rPr>
          <w:rFonts w:ascii="Times New Roman" w:hAnsi="Times New Roman" w:cs="Times New Roman"/>
          <w:lang w:val="ro-MD"/>
        </w:rPr>
        <w:t>reasigurător</w:t>
      </w:r>
      <w:proofErr w:type="spellEnd"/>
      <w:r w:rsidR="005B7C25" w:rsidRPr="000508B6">
        <w:rPr>
          <w:rFonts w:ascii="Times New Roman" w:hAnsi="Times New Roman" w:cs="Times New Roman"/>
          <w:lang w:val="ro-MD"/>
        </w:rPr>
        <w:t xml:space="preserve"> </w:t>
      </w:r>
      <w:r w:rsidRPr="000508B6">
        <w:rPr>
          <w:rFonts w:ascii="Times New Roman" w:hAnsi="Times New Roman" w:cs="Times New Roman"/>
          <w:lang w:val="ro-MD"/>
        </w:rPr>
        <w:t>afiliat din</w:t>
      </w:r>
      <w:r w:rsidR="000323D9" w:rsidRPr="000508B6">
        <w:rPr>
          <w:rFonts w:ascii="Times New Roman" w:hAnsi="Times New Roman" w:cs="Times New Roman"/>
          <w:lang w:val="ro-MD"/>
        </w:rPr>
        <w:t>tr-un</w:t>
      </w:r>
      <w:r w:rsidRPr="000508B6">
        <w:rPr>
          <w:rFonts w:ascii="Times New Roman" w:hAnsi="Times New Roman" w:cs="Times New Roman"/>
          <w:lang w:val="ro-MD"/>
        </w:rPr>
        <w:t xml:space="preserve"> stat membr</w:t>
      </w:r>
      <w:r w:rsidR="000323D9" w:rsidRPr="000508B6">
        <w:rPr>
          <w:rFonts w:ascii="Times New Roman" w:hAnsi="Times New Roman" w:cs="Times New Roman"/>
          <w:lang w:val="ro-MD"/>
        </w:rPr>
        <w:t>u</w:t>
      </w:r>
      <w:r w:rsidRPr="000508B6">
        <w:rPr>
          <w:rFonts w:ascii="Times New Roman" w:hAnsi="Times New Roman" w:cs="Times New Roman"/>
          <w:lang w:val="ro-MD"/>
        </w:rPr>
        <w:t xml:space="preserve"> sau în</w:t>
      </w:r>
      <w:r w:rsidR="000323D9" w:rsidRPr="000508B6">
        <w:rPr>
          <w:rFonts w:ascii="Times New Roman" w:hAnsi="Times New Roman" w:cs="Times New Roman"/>
          <w:lang w:val="ro-MD"/>
        </w:rPr>
        <w:t>tr-</w:t>
      </w:r>
      <w:r w:rsidR="003B3626" w:rsidRPr="000508B6">
        <w:rPr>
          <w:rFonts w:ascii="Times New Roman" w:hAnsi="Times New Roman" w:cs="Times New Roman"/>
          <w:lang w:val="ro-MD"/>
        </w:rPr>
        <w:t xml:space="preserve">un asigurător sau </w:t>
      </w:r>
      <w:proofErr w:type="spellStart"/>
      <w:r w:rsidR="00BD4745" w:rsidRPr="000508B6">
        <w:rPr>
          <w:rFonts w:ascii="Times New Roman" w:hAnsi="Times New Roman" w:cs="Times New Roman"/>
          <w:lang w:val="ro-MD"/>
        </w:rPr>
        <w:t>reasigurător</w:t>
      </w:r>
      <w:proofErr w:type="spellEnd"/>
      <w:r w:rsidR="00BD4745" w:rsidRPr="000508B6">
        <w:rPr>
          <w:rFonts w:ascii="Times New Roman" w:hAnsi="Times New Roman" w:cs="Times New Roman"/>
          <w:lang w:val="ro-MD"/>
        </w:rPr>
        <w:t xml:space="preserve"> </w:t>
      </w:r>
      <w:r w:rsidRPr="000508B6">
        <w:rPr>
          <w:rFonts w:ascii="Times New Roman" w:hAnsi="Times New Roman" w:cs="Times New Roman"/>
          <w:lang w:val="ro-MD"/>
        </w:rPr>
        <w:t>din</w:t>
      </w:r>
      <w:r w:rsidR="000323D9" w:rsidRPr="000508B6">
        <w:rPr>
          <w:rFonts w:ascii="Times New Roman" w:hAnsi="Times New Roman" w:cs="Times New Roman"/>
          <w:lang w:val="ro-MD"/>
        </w:rPr>
        <w:t>tr-un</w:t>
      </w:r>
      <w:r w:rsidRPr="000508B6">
        <w:rPr>
          <w:rFonts w:ascii="Times New Roman" w:hAnsi="Times New Roman" w:cs="Times New Roman"/>
          <w:lang w:val="ro-MD"/>
        </w:rPr>
        <w:t xml:space="preserve">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prin intermediul unui holding de asigurare sau al unui holding financiar mixt, se ia în considerare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w:t>
      </w:r>
      <w:r w:rsidR="002D3A23" w:rsidRPr="000508B6">
        <w:rPr>
          <w:rFonts w:ascii="Times New Roman" w:hAnsi="Times New Roman" w:cs="Times New Roman"/>
          <w:lang w:val="ro-MD"/>
        </w:rPr>
        <w:t xml:space="preserve">holdingului </w:t>
      </w:r>
      <w:r w:rsidRPr="000508B6">
        <w:rPr>
          <w:rFonts w:ascii="Times New Roman" w:hAnsi="Times New Roman" w:cs="Times New Roman"/>
          <w:lang w:val="ro-MD"/>
        </w:rPr>
        <w:t>respectiv, denumit holding intermediar</w:t>
      </w:r>
      <w:r w:rsidR="00473E3D" w:rsidRPr="000508B6">
        <w:rPr>
          <w:rFonts w:ascii="Times New Roman" w:hAnsi="Times New Roman" w:cs="Times New Roman"/>
          <w:lang w:val="ro-MD"/>
        </w:rPr>
        <w:t xml:space="preserve">. Exclusiv </w:t>
      </w:r>
      <w:r w:rsidRPr="000508B6">
        <w:rPr>
          <w:rFonts w:ascii="Times New Roman" w:hAnsi="Times New Roman" w:cs="Times New Roman"/>
          <w:lang w:val="ro-MD"/>
        </w:rPr>
        <w:t xml:space="preserve">în scopul acestui calcul, holdingul intermediar este tratat ca </w:t>
      </w:r>
      <w:r w:rsidR="002D3A23" w:rsidRPr="000508B6">
        <w:rPr>
          <w:rFonts w:ascii="Times New Roman" w:hAnsi="Times New Roman" w:cs="Times New Roman"/>
          <w:lang w:val="ro-MD"/>
        </w:rPr>
        <w:t xml:space="preserve">un asigurător sau </w:t>
      </w:r>
      <w:proofErr w:type="spellStart"/>
      <w:r w:rsidR="002D3A2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reglementat conform prevederilor </w:t>
      </w:r>
      <w:r w:rsidR="00E82DFE" w:rsidRPr="000508B6">
        <w:rPr>
          <w:rFonts w:ascii="Times New Roman" w:hAnsi="Times New Roman" w:cs="Times New Roman"/>
          <w:lang w:val="ro-MD"/>
        </w:rPr>
        <w:t>art. 54-87</w:t>
      </w:r>
      <w:r w:rsidRPr="000508B6">
        <w:rPr>
          <w:rFonts w:ascii="Times New Roman" w:hAnsi="Times New Roman" w:cs="Times New Roman"/>
          <w:lang w:val="ro-MD"/>
        </w:rPr>
        <w:t xml:space="preserve">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fondurile proprii eligibile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SCR.</w:t>
      </w:r>
      <w:r w:rsidRPr="000508B6">
        <w:rPr>
          <w:rFonts w:ascii="Times New Roman" w:hAnsi="Times New Roman" w:cs="Times New Roman"/>
          <w:color w:val="FF0000"/>
          <w:lang w:val="ro-MD"/>
        </w:rPr>
        <w:t xml:space="preserve">  </w:t>
      </w:r>
    </w:p>
    <w:p w14:paraId="235CC04A" w14:textId="2060FF66" w:rsidR="00B462F7" w:rsidRPr="000508B6" w:rsidRDefault="00B462F7" w:rsidP="00CF5AFA">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lang w:val="ro-MD"/>
        </w:rPr>
      </w:pPr>
      <w:r w:rsidRPr="000508B6">
        <w:rPr>
          <w:rFonts w:ascii="Times New Roman" w:hAnsi="Times New Roman" w:cs="Times New Roman"/>
          <w:lang w:val="ro-MD"/>
        </w:rPr>
        <w:t xml:space="preserve">Dacă holdingul intermediar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(1)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împrumuturi subordonate sau alte fonduri proprii eligibile cărora li se aplică limitele prevăzute la art. </w:t>
      </w:r>
      <w:r w:rsidR="00B07EEF" w:rsidRPr="000508B6">
        <w:rPr>
          <w:rFonts w:ascii="Times New Roman" w:hAnsi="Times New Roman" w:cs="Times New Roman"/>
          <w:lang w:val="ro-MD"/>
        </w:rPr>
        <w:t>63</w:t>
      </w:r>
      <w:r w:rsidRPr="000508B6">
        <w:rPr>
          <w:rFonts w:ascii="Times New Roman" w:hAnsi="Times New Roman" w:cs="Times New Roman"/>
          <w:lang w:val="ro-MD"/>
        </w:rPr>
        <w:t xml:space="preserve">, acestea sunt recunoscute numai până la valoarea rezultată prin aplicarea acestor limite la totalul fondurilor proprii eligibile la nivel de grup în </w:t>
      </w:r>
      <w:proofErr w:type="spellStart"/>
      <w:r w:rsidRPr="000508B6">
        <w:rPr>
          <w:rFonts w:ascii="Times New Roman" w:hAnsi="Times New Roman" w:cs="Times New Roman"/>
          <w:lang w:val="ro-MD"/>
        </w:rPr>
        <w:t>comparaţie</w:t>
      </w:r>
      <w:proofErr w:type="spellEnd"/>
      <w:r w:rsidRPr="000508B6">
        <w:rPr>
          <w:rFonts w:ascii="Times New Roman" w:hAnsi="Times New Roman" w:cs="Times New Roman"/>
          <w:lang w:val="ro-MD"/>
        </w:rPr>
        <w:t xml:space="preserve"> cu SCR la nivel de grup. Fondurile proprii auxiliare</w:t>
      </w:r>
      <w:r w:rsidR="002D3A23" w:rsidRPr="000508B6">
        <w:rPr>
          <w:rFonts w:ascii="Times New Roman" w:hAnsi="Times New Roman" w:cs="Times New Roman"/>
          <w:lang w:val="ro-MD"/>
        </w:rPr>
        <w:t xml:space="preserve"> eligibile</w:t>
      </w:r>
      <w:r w:rsidRPr="000508B6">
        <w:rPr>
          <w:rFonts w:ascii="Times New Roman" w:hAnsi="Times New Roman" w:cs="Times New Roman"/>
          <w:lang w:val="ro-MD"/>
        </w:rPr>
        <w:t xml:space="preserve"> pot fi luate în calculul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numai după aprobarea Băncii Naționale a Moldovei în conformitate cu prevederile art. </w:t>
      </w:r>
      <w:r w:rsidR="00B07EEF" w:rsidRPr="000508B6">
        <w:rPr>
          <w:rFonts w:ascii="Times New Roman" w:hAnsi="Times New Roman" w:cs="Times New Roman"/>
          <w:lang w:val="ro-MD"/>
        </w:rPr>
        <w:t>57</w:t>
      </w:r>
      <w:r w:rsidR="00491936" w:rsidRPr="000508B6">
        <w:rPr>
          <w:rFonts w:ascii="Times New Roman" w:hAnsi="Times New Roman" w:cs="Times New Roman"/>
          <w:lang w:val="ro-MD"/>
        </w:rPr>
        <w:t>.</w:t>
      </w:r>
      <w:r w:rsidRPr="000508B6">
        <w:rPr>
          <w:rFonts w:ascii="Times New Roman" w:hAnsi="Times New Roman" w:cs="Times New Roman"/>
          <w:lang w:val="ro-MD"/>
        </w:rPr>
        <w:t xml:space="preserve"> </w:t>
      </w:r>
    </w:p>
    <w:p w14:paraId="46458462" w14:textId="3E175692" w:rsidR="00002619" w:rsidRPr="000508B6" w:rsidRDefault="00002619" w:rsidP="00CF5AFA">
      <w:pPr>
        <w:numPr>
          <w:ilvl w:val="0"/>
          <w:numId w:val="23"/>
        </w:numPr>
        <w:tabs>
          <w:tab w:val="left" w:pos="851"/>
        </w:tabs>
        <w:spacing w:after="0" w:line="240" w:lineRule="auto"/>
        <w:ind w:left="0" w:firstLine="567"/>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În sensul alin. (1) și (2), holdingu</w:t>
      </w:r>
      <w:r w:rsidR="005B7C25" w:rsidRPr="000508B6">
        <w:rPr>
          <w:rFonts w:ascii="Times New Roman" w:eastAsia="Times New Roman" w:hAnsi="Times New Roman" w:cs="Times New Roman"/>
          <w:lang w:val="ro-MD"/>
        </w:rPr>
        <w:t xml:space="preserve">rile </w:t>
      </w:r>
      <w:r w:rsidR="003B3626" w:rsidRPr="000508B6">
        <w:rPr>
          <w:rFonts w:ascii="Times New Roman" w:eastAsia="Times New Roman" w:hAnsi="Times New Roman" w:cs="Times New Roman"/>
          <w:lang w:val="ro-MD"/>
        </w:rPr>
        <w:t xml:space="preserve">asigurătorilor sau </w:t>
      </w:r>
      <w:proofErr w:type="spellStart"/>
      <w:r w:rsidR="00810982" w:rsidRPr="000508B6">
        <w:rPr>
          <w:rFonts w:ascii="Times New Roman" w:eastAsia="Times New Roman" w:hAnsi="Times New Roman" w:cs="Times New Roman"/>
          <w:lang w:val="ro-MD"/>
        </w:rPr>
        <w:t>reasigurătorilor</w:t>
      </w:r>
      <w:proofErr w:type="spellEnd"/>
      <w:r w:rsidR="0081098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w:t>
      </w:r>
      <w:r w:rsidR="00724494" w:rsidRPr="000508B6">
        <w:rPr>
          <w:rFonts w:ascii="Times New Roman" w:eastAsia="Times New Roman" w:hAnsi="Times New Roman" w:cs="Times New Roman"/>
          <w:lang w:val="ro-MD"/>
        </w:rPr>
        <w:t xml:space="preserve">statele </w:t>
      </w:r>
      <w:r w:rsidRPr="000508B6">
        <w:rPr>
          <w:rFonts w:ascii="Times New Roman" w:eastAsia="Times New Roman" w:hAnsi="Times New Roman" w:cs="Times New Roman"/>
          <w:lang w:val="ro-MD"/>
        </w:rPr>
        <w:t>terț</w:t>
      </w:r>
      <w:r w:rsidR="00724494"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w:t>
      </w:r>
      <w:r w:rsidR="005B7C25" w:rsidRPr="000508B6">
        <w:rPr>
          <w:rFonts w:ascii="Times New Roman" w:eastAsia="Times New Roman" w:hAnsi="Times New Roman" w:cs="Times New Roman"/>
          <w:lang w:val="ro-MD"/>
        </w:rPr>
        <w:t xml:space="preserve">sunt </w:t>
      </w:r>
      <w:r w:rsidRPr="000508B6">
        <w:rPr>
          <w:rFonts w:ascii="Times New Roman" w:eastAsia="Times New Roman" w:hAnsi="Times New Roman" w:cs="Times New Roman"/>
          <w:lang w:val="ro-MD"/>
        </w:rPr>
        <w:t>tratat</w:t>
      </w:r>
      <w:r w:rsidR="005B7C25"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ca </w:t>
      </w:r>
      <w:r w:rsidR="003B3626" w:rsidRPr="000508B6">
        <w:rPr>
          <w:rFonts w:ascii="Times New Roman" w:eastAsia="Times New Roman" w:hAnsi="Times New Roman" w:cs="Times New Roman"/>
          <w:lang w:val="ro-MD"/>
        </w:rPr>
        <w:t xml:space="preserve">asigurători sau </w:t>
      </w:r>
      <w:proofErr w:type="spellStart"/>
      <w:r w:rsidR="003B3626" w:rsidRPr="000508B6">
        <w:rPr>
          <w:rFonts w:ascii="Times New Roman" w:eastAsia="Times New Roman" w:hAnsi="Times New Roman" w:cs="Times New Roman"/>
          <w:lang w:val="ro-MD"/>
        </w:rPr>
        <w:t>reasi</w:t>
      </w:r>
      <w:r w:rsidR="002D3A23" w:rsidRPr="000508B6">
        <w:rPr>
          <w:rFonts w:ascii="Times New Roman" w:eastAsia="Times New Roman" w:hAnsi="Times New Roman" w:cs="Times New Roman"/>
          <w:lang w:val="ro-MD"/>
        </w:rPr>
        <w:t>g</w:t>
      </w:r>
      <w:r w:rsidR="003B3626" w:rsidRPr="000508B6">
        <w:rPr>
          <w:rFonts w:ascii="Times New Roman" w:eastAsia="Times New Roman" w:hAnsi="Times New Roman" w:cs="Times New Roman"/>
          <w:lang w:val="ro-MD"/>
        </w:rPr>
        <w:t>urători</w:t>
      </w:r>
      <w:proofErr w:type="spellEnd"/>
      <w:r w:rsidRPr="000508B6">
        <w:rPr>
          <w:rFonts w:ascii="Times New Roman" w:eastAsia="Times New Roman" w:hAnsi="Times New Roman" w:cs="Times New Roman"/>
          <w:lang w:val="ro-MD"/>
        </w:rPr>
        <w:t>.</w:t>
      </w:r>
      <w:r w:rsidRPr="000508B6">
        <w:rPr>
          <w:rFonts w:ascii="Times New Roman" w:hAnsi="Times New Roman" w:cs="Times New Roman"/>
          <w:lang w:val="ro-MD"/>
        </w:rPr>
        <w:t xml:space="preserve"> </w:t>
      </w:r>
    </w:p>
    <w:p w14:paraId="6748D133" w14:textId="77777777" w:rsidR="00002619" w:rsidRPr="000508B6" w:rsidRDefault="00002619" w:rsidP="00002619">
      <w:pPr>
        <w:spacing w:after="0" w:line="240" w:lineRule="auto"/>
        <w:ind w:left="558"/>
        <w:contextualSpacing/>
        <w:jc w:val="both"/>
        <w:rPr>
          <w:rFonts w:ascii="Times New Roman" w:eastAsia="Times New Roman" w:hAnsi="Times New Roman" w:cs="Times New Roman"/>
          <w:lang w:val="ro-MD"/>
        </w:rPr>
      </w:pPr>
    </w:p>
    <w:p w14:paraId="412AE549" w14:textId="18E25659"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131</w:t>
      </w:r>
      <w:r w:rsidRPr="000508B6">
        <w:rPr>
          <w:rFonts w:ascii="Times New Roman" w:hAnsi="Times New Roman" w:cs="Times New Roman"/>
          <w:b/>
          <w:lang w:val="ro-MD"/>
        </w:rPr>
        <w:t xml:space="preserve">. </w:t>
      </w:r>
      <w:r w:rsidR="00C53BF6" w:rsidRPr="000508B6">
        <w:rPr>
          <w:rFonts w:ascii="Times New Roman" w:hAnsi="Times New Roman" w:cs="Times New Roman"/>
          <w:lang w:val="ro-MD"/>
        </w:rPr>
        <w:t xml:space="preserve">Metoda de calcul pentru </w:t>
      </w:r>
      <w:r w:rsidR="00DE1E2C" w:rsidRPr="000508B6">
        <w:rPr>
          <w:rFonts w:ascii="Times New Roman" w:hAnsi="Times New Roman" w:cs="Times New Roman"/>
          <w:lang w:val="ro-MD"/>
        </w:rPr>
        <w:t xml:space="preserve">asigurătorii sau </w:t>
      </w:r>
      <w:proofErr w:type="spellStart"/>
      <w:r w:rsidR="00DE1E2C" w:rsidRPr="000508B6">
        <w:rPr>
          <w:rFonts w:ascii="Times New Roman" w:hAnsi="Times New Roman" w:cs="Times New Roman"/>
          <w:lang w:val="ro-MD"/>
        </w:rPr>
        <w:t>reasigurătorii</w:t>
      </w:r>
      <w:proofErr w:type="spellEnd"/>
      <w:r w:rsidR="00C53BF6" w:rsidRPr="000508B6">
        <w:rPr>
          <w:rFonts w:ascii="Times New Roman" w:hAnsi="Times New Roman" w:cs="Times New Roman"/>
          <w:lang w:val="ro-MD"/>
        </w:rPr>
        <w:t xml:space="preserve"> afilia</w:t>
      </w:r>
      <w:r w:rsidR="00DE1E2C" w:rsidRPr="000508B6">
        <w:rPr>
          <w:rFonts w:ascii="Times New Roman" w:hAnsi="Times New Roman" w:cs="Times New Roman"/>
          <w:lang w:val="ro-MD"/>
        </w:rPr>
        <w:t>ți</w:t>
      </w:r>
      <w:r w:rsidR="00C53BF6" w:rsidRPr="000508B6">
        <w:rPr>
          <w:rFonts w:ascii="Times New Roman" w:hAnsi="Times New Roman" w:cs="Times New Roman"/>
          <w:lang w:val="ro-MD"/>
        </w:rPr>
        <w:t xml:space="preserve"> din state </w:t>
      </w:r>
      <w:proofErr w:type="spellStart"/>
      <w:r w:rsidR="00C53BF6" w:rsidRPr="000508B6">
        <w:rPr>
          <w:rFonts w:ascii="Times New Roman" w:hAnsi="Times New Roman" w:cs="Times New Roman"/>
          <w:lang w:val="ro-MD"/>
        </w:rPr>
        <w:t>terţe</w:t>
      </w:r>
      <w:proofErr w:type="spellEnd"/>
      <w:r w:rsidR="00C53BF6" w:rsidRPr="000508B6">
        <w:rPr>
          <w:rFonts w:ascii="Times New Roman" w:hAnsi="Times New Roman" w:cs="Times New Roman"/>
          <w:lang w:val="ro-MD"/>
        </w:rPr>
        <w:t xml:space="preserve">  </w:t>
      </w:r>
    </w:p>
    <w:p w14:paraId="25AAF212" w14:textId="024E821D" w:rsidR="00F95829" w:rsidRPr="000508B6" w:rsidRDefault="00F95829" w:rsidP="00574631">
      <w:pPr>
        <w:numPr>
          <w:ilvl w:val="0"/>
          <w:numId w:val="2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calcularea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prin metoda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 xml:space="preserve">nr. 2 </w:t>
      </w:r>
      <w:r w:rsidR="00F808AE" w:rsidRPr="000508B6">
        <w:rPr>
          <w:rFonts w:ascii="Times New Roman" w:hAnsi="Times New Roman" w:cs="Times New Roman"/>
          <w:lang w:val="ro-MD"/>
        </w:rPr>
        <w:t xml:space="preserve">și prin combinarea metodelor </w:t>
      </w:r>
      <w:r w:rsidR="00230ADD" w:rsidRPr="000508B6">
        <w:rPr>
          <w:rFonts w:ascii="Times New Roman" w:hAnsi="Times New Roman" w:cs="Times New Roman"/>
          <w:lang w:val="ro-MD"/>
        </w:rPr>
        <w:t xml:space="preserve">de calcul </w:t>
      </w:r>
      <w:r w:rsidR="00F808AE" w:rsidRPr="000508B6">
        <w:rPr>
          <w:rFonts w:ascii="Times New Roman" w:hAnsi="Times New Roman" w:cs="Times New Roman"/>
          <w:lang w:val="ro-MD"/>
        </w:rPr>
        <w:t>nr.</w:t>
      </w:r>
      <w:r w:rsidR="00810982" w:rsidRPr="000508B6">
        <w:rPr>
          <w:rFonts w:ascii="Times New Roman" w:hAnsi="Times New Roman" w:cs="Times New Roman"/>
          <w:lang w:val="ro-MD"/>
        </w:rPr>
        <w:t xml:space="preserve"> </w:t>
      </w:r>
      <w:r w:rsidR="00F808AE" w:rsidRPr="000508B6">
        <w:rPr>
          <w:rFonts w:ascii="Times New Roman" w:hAnsi="Times New Roman" w:cs="Times New Roman"/>
          <w:lang w:val="ro-MD"/>
        </w:rPr>
        <w:t>1 și nr.</w:t>
      </w:r>
      <w:r w:rsidR="00810982" w:rsidRPr="000508B6">
        <w:rPr>
          <w:rFonts w:ascii="Times New Roman" w:hAnsi="Times New Roman" w:cs="Times New Roman"/>
          <w:lang w:val="ro-MD"/>
        </w:rPr>
        <w:t xml:space="preserve"> </w:t>
      </w:r>
      <w:r w:rsidRPr="000508B6">
        <w:rPr>
          <w:rFonts w:ascii="Times New Roman" w:hAnsi="Times New Roman" w:cs="Times New Roman"/>
          <w:lang w:val="ro-MD"/>
        </w:rPr>
        <w:t xml:space="preserve">2 </w:t>
      </w:r>
      <w:r w:rsidR="002A6C27" w:rsidRPr="000508B6">
        <w:rPr>
          <w:rFonts w:ascii="Times New Roman" w:hAnsi="Times New Roman" w:cs="Times New Roman"/>
          <w:lang w:val="ro-MD"/>
        </w:rPr>
        <w:t xml:space="preserve">prevăzute la art. 134-137 </w:t>
      </w:r>
      <w:r w:rsidRPr="000508B6">
        <w:rPr>
          <w:rFonts w:ascii="Times New Roman" w:hAnsi="Times New Roman" w:cs="Times New Roman"/>
          <w:lang w:val="ro-MD"/>
        </w:rPr>
        <w:t xml:space="preserve">pentru </w:t>
      </w:r>
      <w:r w:rsidR="003B3626" w:rsidRPr="000508B6">
        <w:rPr>
          <w:rFonts w:ascii="Times New Roman" w:hAnsi="Times New Roman" w:cs="Times New Roman"/>
          <w:lang w:val="ro-MD"/>
        </w:rPr>
        <w:t xml:space="preserve">un asigurător sau </w:t>
      </w:r>
      <w:proofErr w:type="spellStart"/>
      <w:r w:rsidR="00810982" w:rsidRPr="000508B6">
        <w:rPr>
          <w:rFonts w:ascii="Times New Roman" w:hAnsi="Times New Roman" w:cs="Times New Roman"/>
          <w:lang w:val="ro-MD"/>
        </w:rPr>
        <w:t>reasigurător</w:t>
      </w:r>
      <w:proofErr w:type="spellEnd"/>
      <w:r w:rsidR="00810982" w:rsidRPr="000508B6">
        <w:rPr>
          <w:rFonts w:ascii="Times New Roman" w:hAnsi="Times New Roman" w:cs="Times New Roman"/>
          <w:lang w:val="ro-MD"/>
        </w:rPr>
        <w:t xml:space="preserve"> </w:t>
      </w:r>
      <w:r w:rsidR="00DC710A" w:rsidRPr="000508B6">
        <w:rPr>
          <w:rFonts w:ascii="Times New Roman" w:hAnsi="Times New Roman" w:cs="Times New Roman"/>
          <w:lang w:val="ro-MD"/>
        </w:rPr>
        <w:t xml:space="preserve">participativ </w:t>
      </w:r>
      <w:r w:rsidR="00E60DA3" w:rsidRPr="000508B6">
        <w:rPr>
          <w:rFonts w:ascii="Times New Roman" w:hAnsi="Times New Roman" w:cs="Times New Roman"/>
          <w:lang w:val="ro-MD"/>
        </w:rPr>
        <w:t xml:space="preserve">care </w:t>
      </w:r>
      <w:r w:rsidR="00DC710A" w:rsidRPr="000508B6">
        <w:rPr>
          <w:rFonts w:ascii="Times New Roman" w:hAnsi="Times New Roman" w:cs="Times New Roman"/>
          <w:lang w:val="ro-MD"/>
        </w:rPr>
        <w:t>deține participații</w:t>
      </w:r>
      <w:r w:rsidR="00465669" w:rsidRPr="000508B6">
        <w:rPr>
          <w:rFonts w:ascii="Times New Roman" w:hAnsi="Times New Roman" w:cs="Times New Roman"/>
          <w:lang w:val="ro-MD"/>
        </w:rPr>
        <w:t xml:space="preserve"> </w:t>
      </w:r>
      <w:r w:rsidRPr="000508B6">
        <w:rPr>
          <w:rFonts w:ascii="Times New Roman" w:hAnsi="Times New Roman" w:cs="Times New Roman"/>
          <w:lang w:val="ro-MD"/>
        </w:rPr>
        <w:t>într-</w:t>
      </w:r>
      <w:r w:rsidR="003B3626" w:rsidRPr="000508B6">
        <w:rPr>
          <w:rFonts w:ascii="Times New Roman" w:hAnsi="Times New Roman" w:cs="Times New Roman"/>
          <w:lang w:val="ro-MD"/>
        </w:rPr>
        <w:t xml:space="preserve">un asigurător sau </w:t>
      </w:r>
      <w:proofErr w:type="spellStart"/>
      <w:r w:rsidR="00810982" w:rsidRPr="000508B6">
        <w:rPr>
          <w:rFonts w:ascii="Times New Roman" w:hAnsi="Times New Roman" w:cs="Times New Roman"/>
          <w:lang w:val="ro-MD"/>
        </w:rPr>
        <w:t>reasigurător</w:t>
      </w:r>
      <w:proofErr w:type="spellEnd"/>
      <w:r w:rsidR="00810982" w:rsidRPr="000508B6">
        <w:rPr>
          <w:rFonts w:ascii="Times New Roman" w:hAnsi="Times New Roman" w:cs="Times New Roman"/>
          <w:lang w:val="ro-MD"/>
        </w:rPr>
        <w:t xml:space="preserve"> </w:t>
      </w:r>
      <w:r w:rsidRPr="000508B6">
        <w:rPr>
          <w:rFonts w:ascii="Times New Roman" w:hAnsi="Times New Roman" w:cs="Times New Roman"/>
          <w:lang w:val="ro-MD"/>
        </w:rPr>
        <w:t xml:space="preserve">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acesta din urmă este tratat, exclusiv în acest scop, drept </w:t>
      </w:r>
      <w:r w:rsidR="0062172E" w:rsidRPr="000508B6">
        <w:rPr>
          <w:rFonts w:ascii="Times New Roman" w:hAnsi="Times New Roman" w:cs="Times New Roman"/>
          <w:lang w:val="ro-MD"/>
        </w:rPr>
        <w:t xml:space="preserve">asigurător sau </w:t>
      </w:r>
      <w:proofErr w:type="spellStart"/>
      <w:r w:rsidR="0062172E" w:rsidRPr="000508B6">
        <w:rPr>
          <w:rFonts w:ascii="Times New Roman" w:hAnsi="Times New Roman" w:cs="Times New Roman"/>
          <w:lang w:val="ro-MD"/>
        </w:rPr>
        <w:t>reasigurător</w:t>
      </w:r>
      <w:proofErr w:type="spellEnd"/>
      <w:r w:rsidR="00465669"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w:t>
      </w:r>
    </w:p>
    <w:p w14:paraId="2A155A22" w14:textId="2E515C4B" w:rsidR="00F95829" w:rsidRPr="000508B6" w:rsidRDefault="00F95829" w:rsidP="00574631">
      <w:pPr>
        <w:numPr>
          <w:ilvl w:val="0"/>
          <w:numId w:val="2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957D42" w:rsidRPr="000508B6">
        <w:rPr>
          <w:rFonts w:ascii="Times New Roman" w:hAnsi="Times New Roman" w:cs="Times New Roman"/>
          <w:lang w:val="ro-MD"/>
        </w:rPr>
        <w:t xml:space="preserve">legislația </w:t>
      </w:r>
      <w:r w:rsidRPr="000508B6">
        <w:rPr>
          <w:rFonts w:ascii="Times New Roman" w:hAnsi="Times New Roman" w:cs="Times New Roman"/>
          <w:lang w:val="ro-MD"/>
        </w:rPr>
        <w:t>statul</w:t>
      </w:r>
      <w:r w:rsidR="00574631" w:rsidRPr="000508B6">
        <w:rPr>
          <w:rFonts w:ascii="Times New Roman" w:hAnsi="Times New Roman" w:cs="Times New Roman"/>
          <w:lang w:val="ro-MD"/>
        </w:rPr>
        <w:t>ui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prevede </w:t>
      </w:r>
      <w:r w:rsidR="00957D42" w:rsidRPr="000508B6">
        <w:rPr>
          <w:rFonts w:ascii="Times New Roman" w:hAnsi="Times New Roman" w:cs="Times New Roman"/>
          <w:lang w:val="ro-MD"/>
        </w:rPr>
        <w:t xml:space="preserve">licențierea asigurătorului sau </w:t>
      </w:r>
      <w:proofErr w:type="spellStart"/>
      <w:r w:rsidR="00957D42" w:rsidRPr="000508B6">
        <w:rPr>
          <w:rFonts w:ascii="Times New Roman" w:hAnsi="Times New Roman" w:cs="Times New Roman"/>
          <w:lang w:val="ro-MD"/>
        </w:rPr>
        <w:t>reasigurătorului</w:t>
      </w:r>
      <w:proofErr w:type="spellEnd"/>
      <w:r w:rsidR="00E60DA3" w:rsidRPr="000508B6">
        <w:rPr>
          <w:rFonts w:ascii="Times New Roman" w:hAnsi="Times New Roman" w:cs="Times New Roman"/>
          <w:lang w:val="ro-MD"/>
        </w:rPr>
        <w:t xml:space="preserve"> </w:t>
      </w:r>
      <w:proofErr w:type="spellStart"/>
      <w:r w:rsidR="00957D42" w:rsidRPr="000508B6">
        <w:rPr>
          <w:rFonts w:ascii="Times New Roman" w:hAnsi="Times New Roman" w:cs="Times New Roman"/>
          <w:lang w:val="ro-MD"/>
        </w:rPr>
        <w:t>menţionat</w:t>
      </w:r>
      <w:proofErr w:type="spellEnd"/>
      <w:r w:rsidR="00957D42" w:rsidRPr="000508B6">
        <w:rPr>
          <w:rFonts w:ascii="Times New Roman" w:hAnsi="Times New Roman" w:cs="Times New Roman"/>
          <w:lang w:val="ro-MD"/>
        </w:rPr>
        <w:t xml:space="preserve"> la alin. (1)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aplică un regim de solvabilitate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echivalent celui prevăzut la </w:t>
      </w:r>
      <w:r w:rsidR="00371ABC" w:rsidRPr="000508B6">
        <w:rPr>
          <w:rFonts w:ascii="Times New Roman" w:hAnsi="Times New Roman" w:cs="Times New Roman"/>
          <w:lang w:val="ro-MD"/>
        </w:rPr>
        <w:t>art.</w:t>
      </w:r>
      <w:r w:rsidR="00810982" w:rsidRPr="000508B6">
        <w:rPr>
          <w:rFonts w:ascii="Times New Roman" w:hAnsi="Times New Roman" w:cs="Times New Roman"/>
          <w:lang w:val="ro-MD"/>
        </w:rPr>
        <w:t xml:space="preserve"> </w:t>
      </w:r>
      <w:r w:rsidR="009D458B" w:rsidRPr="000508B6">
        <w:rPr>
          <w:rFonts w:ascii="Times New Roman" w:hAnsi="Times New Roman" w:cs="Times New Roman"/>
          <w:lang w:val="ro-MD"/>
        </w:rPr>
        <w:t>41-90</w:t>
      </w:r>
      <w:r w:rsidRPr="000508B6">
        <w:rPr>
          <w:rFonts w:ascii="Times New Roman" w:hAnsi="Times New Roman" w:cs="Times New Roman"/>
          <w:lang w:val="ro-MD"/>
        </w:rPr>
        <w:t xml:space="preserve">, fondurile proprii eligibile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SCR ale </w:t>
      </w:r>
      <w:r w:rsidR="00957D42" w:rsidRPr="000508B6">
        <w:rPr>
          <w:rFonts w:ascii="Times New Roman" w:hAnsi="Times New Roman" w:cs="Times New Roman"/>
          <w:lang w:val="ro-MD"/>
        </w:rPr>
        <w:t xml:space="preserve">asigurătorului sau </w:t>
      </w:r>
      <w:proofErr w:type="spellStart"/>
      <w:r w:rsidR="00957D42" w:rsidRPr="000508B6">
        <w:rPr>
          <w:rFonts w:ascii="Times New Roman" w:hAnsi="Times New Roman" w:cs="Times New Roman"/>
          <w:lang w:val="ro-MD"/>
        </w:rPr>
        <w:t>reasigurătorului</w:t>
      </w:r>
      <w:proofErr w:type="spellEnd"/>
      <w:r w:rsidR="00E60DA3" w:rsidRPr="000508B6">
        <w:rPr>
          <w:rFonts w:ascii="Times New Roman" w:hAnsi="Times New Roman" w:cs="Times New Roman"/>
          <w:lang w:val="ro-MD"/>
        </w:rPr>
        <w:t xml:space="preserve"> </w:t>
      </w:r>
      <w:r w:rsidRPr="000508B6">
        <w:rPr>
          <w:rFonts w:ascii="Times New Roman" w:hAnsi="Times New Roman" w:cs="Times New Roman"/>
          <w:lang w:val="ro-MD"/>
        </w:rPr>
        <w:t xml:space="preserve">respectiv sunt </w:t>
      </w:r>
      <w:r w:rsidR="00EF24AD" w:rsidRPr="000508B6">
        <w:rPr>
          <w:rFonts w:ascii="Times New Roman" w:hAnsi="Times New Roman" w:cs="Times New Roman"/>
          <w:lang w:val="ro-MD"/>
        </w:rPr>
        <w:t xml:space="preserve">calculate </w:t>
      </w:r>
      <w:r w:rsidRPr="000508B6">
        <w:rPr>
          <w:rFonts w:ascii="Times New Roman" w:hAnsi="Times New Roman" w:cs="Times New Roman"/>
          <w:lang w:val="ro-MD"/>
        </w:rPr>
        <w:t xml:space="preserve">în conformitate cu </w:t>
      </w:r>
      <w:proofErr w:type="spellStart"/>
      <w:r w:rsidRPr="000508B6">
        <w:rPr>
          <w:rFonts w:ascii="Times New Roman" w:hAnsi="Times New Roman" w:cs="Times New Roman"/>
          <w:lang w:val="ro-MD"/>
        </w:rPr>
        <w:t>legislaţia</w:t>
      </w:r>
      <w:proofErr w:type="spellEnd"/>
      <w:r w:rsidRPr="000508B6">
        <w:rPr>
          <w:rFonts w:ascii="Times New Roman" w:hAnsi="Times New Roman" w:cs="Times New Roman"/>
          <w:lang w:val="ro-MD"/>
        </w:rPr>
        <w:t xml:space="preserve"> statului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în care a</w:t>
      </w:r>
      <w:r w:rsidR="00ED62F2" w:rsidRPr="000508B6">
        <w:rPr>
          <w:rFonts w:ascii="Times New Roman" w:hAnsi="Times New Roman" w:cs="Times New Roman"/>
          <w:lang w:val="ro-MD"/>
        </w:rPr>
        <w:t xml:space="preserve">ceasta are sediul central.  </w:t>
      </w:r>
    </w:p>
    <w:p w14:paraId="102F89AB" w14:textId="08DD56A3" w:rsidR="00F95829" w:rsidRPr="000508B6" w:rsidRDefault="00E60DA3" w:rsidP="00936CFD">
      <w:pPr>
        <w:numPr>
          <w:ilvl w:val="0"/>
          <w:numId w:val="2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Prevederile alin.</w:t>
      </w:r>
      <w:r w:rsidR="00810982" w:rsidRPr="000508B6">
        <w:rPr>
          <w:rFonts w:ascii="Times New Roman" w:hAnsi="Times New Roman" w:cs="Times New Roman"/>
          <w:lang w:val="ro-MD"/>
        </w:rPr>
        <w:t xml:space="preserve"> </w:t>
      </w:r>
      <w:r w:rsidRPr="000508B6">
        <w:rPr>
          <w:rFonts w:ascii="Times New Roman" w:hAnsi="Times New Roman" w:cs="Times New Roman"/>
          <w:lang w:val="ro-MD"/>
        </w:rPr>
        <w:t xml:space="preserve">(2) se aplică și în cazul în care, Comisia Europeană adoptă un act delegat care stabilește că regimul de supraveghere al unui stat terț este echivalent </w:t>
      </w:r>
      <w:r w:rsidR="009D458B" w:rsidRPr="000508B6">
        <w:rPr>
          <w:rFonts w:ascii="Times New Roman" w:hAnsi="Times New Roman" w:cs="Times New Roman"/>
          <w:lang w:val="ro-MD"/>
        </w:rPr>
        <w:t>pentru o perioadă determinată</w:t>
      </w:r>
      <w:r w:rsidRPr="000508B6">
        <w:rPr>
          <w:rFonts w:ascii="Times New Roman" w:hAnsi="Times New Roman" w:cs="Times New Roman"/>
          <w:lang w:val="ro-MD"/>
        </w:rPr>
        <w:t xml:space="preserve">. </w:t>
      </w:r>
    </w:p>
    <w:p w14:paraId="413E3905" w14:textId="77777777" w:rsidR="00644019" w:rsidRPr="000508B6" w:rsidRDefault="00644019" w:rsidP="008B530F">
      <w:pPr>
        <w:tabs>
          <w:tab w:val="left" w:pos="993"/>
        </w:tabs>
        <w:spacing w:after="0" w:line="240" w:lineRule="auto"/>
        <w:ind w:firstLine="426"/>
        <w:jc w:val="both"/>
        <w:rPr>
          <w:rFonts w:ascii="Times New Roman" w:hAnsi="Times New Roman" w:cs="Times New Roman"/>
          <w:b/>
          <w:lang w:val="ro-MD"/>
        </w:rPr>
      </w:pPr>
    </w:p>
    <w:p w14:paraId="0AC12B42" w14:textId="274B2529" w:rsidR="00F95829" w:rsidRPr="000508B6" w:rsidRDefault="00ED62F2"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132</w:t>
      </w:r>
      <w:r w:rsidR="00F95829" w:rsidRPr="000508B6">
        <w:rPr>
          <w:rFonts w:ascii="Times New Roman" w:hAnsi="Times New Roman" w:cs="Times New Roman"/>
          <w:b/>
          <w:lang w:val="ro-MD"/>
        </w:rPr>
        <w:t>.</w:t>
      </w:r>
      <w:r w:rsidR="00F95829" w:rsidRPr="000508B6">
        <w:rPr>
          <w:rFonts w:ascii="Times New Roman" w:hAnsi="Times New Roman" w:cs="Times New Roman"/>
          <w:lang w:val="ro-MD"/>
        </w:rPr>
        <w:t xml:space="preserve"> </w:t>
      </w:r>
      <w:r w:rsidR="00E60DA3" w:rsidRPr="000508B6">
        <w:rPr>
          <w:rFonts w:ascii="Times New Roman" w:hAnsi="Times New Roman" w:cs="Times New Roman"/>
          <w:lang w:val="ro-MD"/>
        </w:rPr>
        <w:t>Tratamentul anumitor entități afiliate din alte sectoare financiare</w:t>
      </w:r>
      <w:r w:rsidR="00B4552F" w:rsidRPr="000508B6">
        <w:rPr>
          <w:rFonts w:ascii="Times New Roman" w:hAnsi="Times New Roman" w:cs="Times New Roman"/>
          <w:lang w:val="ro-MD"/>
        </w:rPr>
        <w:t xml:space="preserve"> </w:t>
      </w:r>
    </w:p>
    <w:p w14:paraId="7FA44B7B" w14:textId="603CB22D" w:rsidR="00A0227B" w:rsidRPr="000508B6" w:rsidRDefault="00E65ABA" w:rsidP="00CF5AFA">
      <w:pPr>
        <w:pStyle w:val="Listparagraf"/>
        <w:numPr>
          <w:ilvl w:val="1"/>
          <w:numId w:val="334"/>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Indiferent de metoda </w:t>
      </w:r>
      <w:r w:rsidR="00230ADD" w:rsidRPr="000508B6">
        <w:rPr>
          <w:rFonts w:ascii="Times New Roman" w:hAnsi="Times New Roman" w:cs="Times New Roman"/>
          <w:lang w:val="ro-MD"/>
        </w:rPr>
        <w:t>de calcul</w:t>
      </w:r>
      <w:r w:rsidRPr="000508B6">
        <w:rPr>
          <w:rFonts w:ascii="Times New Roman" w:hAnsi="Times New Roman" w:cs="Times New Roman"/>
          <w:lang w:val="ro-MD"/>
        </w:rPr>
        <w:t xml:space="preserve"> utilizată pentru calcularea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w:t>
      </w:r>
      <w:r w:rsidR="00033524" w:rsidRPr="000508B6">
        <w:rPr>
          <w:rFonts w:ascii="Times New Roman" w:hAnsi="Times New Roman" w:cs="Times New Roman"/>
          <w:lang w:val="ro-MD"/>
        </w:rPr>
        <w:t xml:space="preserve">asigurătorul sau </w:t>
      </w:r>
      <w:proofErr w:type="spellStart"/>
      <w:r w:rsidR="00033524" w:rsidRPr="000508B6">
        <w:rPr>
          <w:rFonts w:ascii="Times New Roman" w:hAnsi="Times New Roman" w:cs="Times New Roman"/>
          <w:lang w:val="ro-MD"/>
        </w:rPr>
        <w:t>reasigurătorul</w:t>
      </w:r>
      <w:proofErr w:type="spellEnd"/>
      <w:r w:rsidR="002D2A54"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ia în considerare contribuția următoarelor </w:t>
      </w:r>
      <w:r w:rsidR="000E5A44" w:rsidRPr="000508B6">
        <w:rPr>
          <w:rFonts w:ascii="Times New Roman" w:hAnsi="Times New Roman" w:cs="Times New Roman"/>
          <w:lang w:val="ro-MD"/>
        </w:rPr>
        <w:t>entități</w:t>
      </w:r>
      <w:r w:rsidRPr="000508B6">
        <w:rPr>
          <w:rFonts w:ascii="Times New Roman" w:hAnsi="Times New Roman" w:cs="Times New Roman"/>
          <w:lang w:val="ro-MD"/>
        </w:rPr>
        <w:t xml:space="preserve"> la fondurile proprii eligibile </w:t>
      </w:r>
      <w:r w:rsidR="006613A0" w:rsidRPr="000508B6">
        <w:rPr>
          <w:rFonts w:ascii="Times New Roman" w:hAnsi="Times New Roman" w:cs="Times New Roman"/>
          <w:lang w:val="ro-MD"/>
        </w:rPr>
        <w:t xml:space="preserve">ale grupului și la </w:t>
      </w:r>
      <w:r w:rsidRPr="000508B6">
        <w:rPr>
          <w:rFonts w:ascii="Times New Roman" w:hAnsi="Times New Roman" w:cs="Times New Roman"/>
          <w:lang w:val="ro-MD"/>
        </w:rPr>
        <w:t xml:space="preserve">SCR la nivel de grup: </w:t>
      </w:r>
      <w:r w:rsidR="00A0227B" w:rsidRPr="000508B6">
        <w:rPr>
          <w:rFonts w:ascii="Times New Roman" w:hAnsi="Times New Roman" w:cs="Times New Roman"/>
          <w:lang w:val="ro-MD"/>
        </w:rPr>
        <w:t xml:space="preserve"> </w:t>
      </w:r>
    </w:p>
    <w:p w14:paraId="32451A4B" w14:textId="110729AF" w:rsidR="00E65ABA" w:rsidRPr="000508B6" w:rsidRDefault="00033524" w:rsidP="00CF5AFA">
      <w:pPr>
        <w:pStyle w:val="Listparagraf"/>
        <w:numPr>
          <w:ilvl w:val="2"/>
          <w:numId w:val="33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instituții de credit </w:t>
      </w:r>
      <w:r w:rsidR="00E65ABA" w:rsidRPr="000508B6">
        <w:rPr>
          <w:rFonts w:ascii="Times New Roman" w:hAnsi="Times New Roman" w:cs="Times New Roman"/>
          <w:lang w:val="ro-MD"/>
        </w:rPr>
        <w:t xml:space="preserve">sau </w:t>
      </w:r>
      <w:r w:rsidR="00061D63">
        <w:rPr>
          <w:rFonts w:ascii="Times New Roman" w:hAnsi="Times New Roman" w:cs="Times New Roman"/>
          <w:lang w:val="ro-MD"/>
        </w:rPr>
        <w:t>firme</w:t>
      </w:r>
      <w:r w:rsidR="00061D63" w:rsidRPr="000508B6">
        <w:rPr>
          <w:rFonts w:ascii="Times New Roman" w:hAnsi="Times New Roman" w:cs="Times New Roman"/>
          <w:lang w:val="ro-MD"/>
        </w:rPr>
        <w:t xml:space="preserve"> </w:t>
      </w:r>
      <w:r w:rsidR="00E65ABA" w:rsidRPr="000508B6">
        <w:rPr>
          <w:rFonts w:ascii="Times New Roman" w:hAnsi="Times New Roman" w:cs="Times New Roman"/>
          <w:lang w:val="ro-MD"/>
        </w:rPr>
        <w:t>de investiții</w:t>
      </w:r>
      <w:r w:rsidR="00061812" w:rsidRPr="000508B6">
        <w:rPr>
          <w:rFonts w:ascii="Times New Roman" w:hAnsi="Times New Roman" w:cs="Times New Roman"/>
          <w:lang w:val="ro-MD"/>
        </w:rPr>
        <w:t xml:space="preserve"> </w:t>
      </w:r>
      <w:r w:rsidR="00EF4989" w:rsidRPr="000508B6">
        <w:rPr>
          <w:rFonts w:ascii="Times New Roman" w:hAnsi="Times New Roman" w:cs="Times New Roman"/>
          <w:lang w:val="ro-MD"/>
        </w:rPr>
        <w:t>astfel cum sunt definite la art. 3 din Legea</w:t>
      </w:r>
      <w:r w:rsidR="00F205DD" w:rsidRPr="000508B6">
        <w:rPr>
          <w:rFonts w:ascii="Times New Roman" w:hAnsi="Times New Roman" w:cs="Times New Roman"/>
          <w:lang w:val="ro-MD"/>
        </w:rPr>
        <w:t xml:space="preserve"> nr.</w:t>
      </w:r>
      <w:r w:rsidR="00EF4989" w:rsidRPr="000508B6">
        <w:rPr>
          <w:rFonts w:ascii="Times New Roman" w:hAnsi="Times New Roman" w:cs="Times New Roman"/>
          <w:lang w:val="ro-MD"/>
        </w:rPr>
        <w:t xml:space="preserve"> 202/2017</w:t>
      </w:r>
      <w:r w:rsidR="00DA1BB1">
        <w:rPr>
          <w:rFonts w:ascii="Times New Roman" w:hAnsi="Times New Roman" w:cs="Times New Roman"/>
          <w:lang w:val="ro-MD"/>
        </w:rPr>
        <w:t xml:space="preserve"> și respectiv art.6 din </w:t>
      </w:r>
      <w:r w:rsidR="00DA1BB1" w:rsidRPr="00DA1BB1">
        <w:rPr>
          <w:rFonts w:ascii="Times New Roman" w:hAnsi="Times New Roman" w:cs="Times New Roman"/>
          <w:lang w:val="ro-MD"/>
        </w:rPr>
        <w:t>Legea nr.171/2012</w:t>
      </w:r>
      <w:r w:rsidR="003448AC" w:rsidRPr="000508B6">
        <w:rPr>
          <w:rFonts w:ascii="Times New Roman" w:hAnsi="Times New Roman" w:cs="Times New Roman"/>
          <w:lang w:val="ro-MD"/>
        </w:rPr>
        <w:t>.</w:t>
      </w:r>
      <w:r w:rsidR="00EF4989" w:rsidRPr="000508B6">
        <w:rPr>
          <w:rFonts w:ascii="Times New Roman" w:hAnsi="Times New Roman" w:cs="Times New Roman"/>
          <w:lang w:val="ro-MD"/>
        </w:rPr>
        <w:t xml:space="preserve">  </w:t>
      </w:r>
    </w:p>
    <w:p w14:paraId="200E8844" w14:textId="5756717E" w:rsidR="00E65ABA" w:rsidRPr="000508B6" w:rsidRDefault="00035366" w:rsidP="00CF5AFA">
      <w:pPr>
        <w:pStyle w:val="Listparagraf"/>
        <w:numPr>
          <w:ilvl w:val="2"/>
          <w:numId w:val="33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societăți </w:t>
      </w:r>
      <w:r w:rsidR="00E65ABA" w:rsidRPr="000508B6">
        <w:rPr>
          <w:rFonts w:ascii="Times New Roman" w:hAnsi="Times New Roman" w:cs="Times New Roman"/>
          <w:lang w:val="ro-MD"/>
        </w:rPr>
        <w:t xml:space="preserve">de administrare fiduciară a </w:t>
      </w:r>
      <w:r w:rsidR="00975CC5" w:rsidRPr="000508B6">
        <w:rPr>
          <w:rFonts w:ascii="Times New Roman" w:hAnsi="Times New Roman" w:cs="Times New Roman"/>
          <w:lang w:val="ro-MD"/>
        </w:rPr>
        <w:t>investițiilor</w:t>
      </w:r>
      <w:r w:rsidR="00994D1E" w:rsidRPr="000508B6">
        <w:rPr>
          <w:rFonts w:ascii="Times New Roman" w:hAnsi="Times New Roman" w:cs="Times New Roman"/>
          <w:lang w:val="ro-MD"/>
        </w:rPr>
        <w:t xml:space="preserve"> în OPCVM</w:t>
      </w:r>
      <w:r w:rsidR="003A4B20" w:rsidRPr="000508B6">
        <w:rPr>
          <w:rFonts w:ascii="Times New Roman" w:hAnsi="Times New Roman" w:cs="Times New Roman"/>
          <w:lang w:val="ro-MD"/>
        </w:rPr>
        <w:t xml:space="preserve"> cu condiția ca respectivele societăți să nu fi desemnat o societate de administrare</w:t>
      </w:r>
      <w:r w:rsidR="00EF4989" w:rsidRPr="000508B6">
        <w:rPr>
          <w:rFonts w:ascii="Times New Roman" w:hAnsi="Times New Roman" w:cs="Times New Roman"/>
          <w:lang w:val="ro-MD"/>
        </w:rPr>
        <w:t xml:space="preserve"> în conformitate cu art. 6 din Legea nr. 171/2012</w:t>
      </w:r>
      <w:r w:rsidR="003A4B20" w:rsidRPr="000508B6">
        <w:rPr>
          <w:rFonts w:ascii="Times New Roman" w:hAnsi="Times New Roman" w:cs="Times New Roman"/>
          <w:lang w:val="ro-MD"/>
        </w:rPr>
        <w:t>;</w:t>
      </w:r>
    </w:p>
    <w:p w14:paraId="688E4F96" w14:textId="73F1FDB7" w:rsidR="00E65ABA" w:rsidRPr="000508B6" w:rsidRDefault="00035366" w:rsidP="00CF5AFA">
      <w:pPr>
        <w:pStyle w:val="Listparagraf"/>
        <w:numPr>
          <w:ilvl w:val="2"/>
          <w:numId w:val="33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societăți </w:t>
      </w:r>
      <w:r w:rsidR="00994D1E" w:rsidRPr="000508B6">
        <w:rPr>
          <w:rFonts w:ascii="Times New Roman" w:hAnsi="Times New Roman" w:cs="Times New Roman"/>
          <w:lang w:val="ro-MD"/>
        </w:rPr>
        <w:t>de administrare a investițiilor în fonduri de investiții alternative</w:t>
      </w:r>
      <w:r w:rsidR="00061812" w:rsidRPr="000508B6">
        <w:rPr>
          <w:rFonts w:ascii="Times New Roman" w:hAnsi="Times New Roman" w:cs="Times New Roman"/>
          <w:lang w:val="ro-MD"/>
        </w:rPr>
        <w:t xml:space="preserve"> </w:t>
      </w:r>
      <w:r w:rsidR="00EF4989" w:rsidRPr="000508B6">
        <w:rPr>
          <w:rFonts w:ascii="Times New Roman" w:hAnsi="Times New Roman" w:cs="Times New Roman"/>
          <w:lang w:val="ro-MD"/>
        </w:rPr>
        <w:t xml:space="preserve">definite în </w:t>
      </w:r>
      <w:r w:rsidR="00E87C5D" w:rsidRPr="000508B6">
        <w:rPr>
          <w:rFonts w:ascii="Times New Roman" w:hAnsi="Times New Roman" w:cs="Times New Roman"/>
          <w:lang w:val="ro-MD"/>
        </w:rPr>
        <w:t>art.2 din L</w:t>
      </w:r>
      <w:r w:rsidR="00EF4989" w:rsidRPr="000508B6">
        <w:rPr>
          <w:rFonts w:ascii="Times New Roman" w:hAnsi="Times New Roman" w:cs="Times New Roman"/>
          <w:lang w:val="ro-MD"/>
        </w:rPr>
        <w:t>egea nr. 2/2020</w:t>
      </w:r>
      <w:r w:rsidR="006474A9" w:rsidRPr="000508B6">
        <w:rPr>
          <w:rFonts w:ascii="Times New Roman" w:hAnsi="Times New Roman" w:cs="Times New Roman"/>
          <w:lang w:val="ro-MD"/>
        </w:rPr>
        <w:t xml:space="preserve"> privind organismele de plasament colectiv alternative (în continuare – Legea nr.</w:t>
      </w:r>
      <w:r w:rsidR="00F31489" w:rsidRPr="000508B6">
        <w:rPr>
          <w:rFonts w:ascii="Times New Roman" w:hAnsi="Times New Roman" w:cs="Times New Roman"/>
          <w:lang w:val="ro-MD"/>
        </w:rPr>
        <w:t xml:space="preserve"> </w:t>
      </w:r>
      <w:r w:rsidR="006474A9" w:rsidRPr="000508B6">
        <w:rPr>
          <w:rFonts w:ascii="Times New Roman" w:hAnsi="Times New Roman" w:cs="Times New Roman"/>
          <w:lang w:val="ro-MD"/>
        </w:rPr>
        <w:t>2/2020)</w:t>
      </w:r>
      <w:r w:rsidR="00E65ABA" w:rsidRPr="000508B6">
        <w:rPr>
          <w:rFonts w:ascii="Times New Roman" w:hAnsi="Times New Roman" w:cs="Times New Roman"/>
          <w:lang w:val="ro-MD"/>
        </w:rPr>
        <w:t>;</w:t>
      </w:r>
    </w:p>
    <w:p w14:paraId="36901C80" w14:textId="70B7D43F" w:rsidR="00E65ABA" w:rsidRPr="000508B6" w:rsidRDefault="00FB6169" w:rsidP="00CF5AFA">
      <w:pPr>
        <w:pStyle w:val="Listparagraf"/>
        <w:numPr>
          <w:ilvl w:val="2"/>
          <w:numId w:val="33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entități altele decât entitățile reglementate care desfășoară una sau mai multe activități menționate în Legea nr. 202/2017 în cazul în care activitățile respective constituie o parte semnificativă a ansamblului activităților;</w:t>
      </w:r>
      <w:r w:rsidR="00061812" w:rsidRPr="000508B6">
        <w:rPr>
          <w:rFonts w:ascii="Times New Roman" w:hAnsi="Times New Roman" w:cs="Times New Roman"/>
          <w:lang w:val="ro-MD"/>
        </w:rPr>
        <w:t xml:space="preserve"> </w:t>
      </w:r>
    </w:p>
    <w:p w14:paraId="716C6CB8" w14:textId="65DBCF5E" w:rsidR="00A0227B" w:rsidRPr="000508B6" w:rsidRDefault="00E65ABA" w:rsidP="00CF5AFA">
      <w:pPr>
        <w:pStyle w:val="Listparagraf"/>
        <w:numPr>
          <w:ilvl w:val="2"/>
          <w:numId w:val="33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fond</w:t>
      </w:r>
      <w:r w:rsidR="00035366" w:rsidRPr="000508B6">
        <w:rPr>
          <w:rFonts w:ascii="Times New Roman" w:hAnsi="Times New Roman" w:cs="Times New Roman"/>
          <w:lang w:val="ro-MD"/>
        </w:rPr>
        <w:t>uri</w:t>
      </w:r>
      <w:r w:rsidRPr="000508B6">
        <w:rPr>
          <w:rFonts w:ascii="Times New Roman" w:hAnsi="Times New Roman" w:cs="Times New Roman"/>
          <w:lang w:val="ro-MD"/>
        </w:rPr>
        <w:t xml:space="preserve"> de pensii </w:t>
      </w:r>
      <w:r w:rsidR="00FB6169" w:rsidRPr="000508B6">
        <w:rPr>
          <w:rFonts w:ascii="Times New Roman" w:hAnsi="Times New Roman" w:cs="Times New Roman"/>
          <w:lang w:val="ro-MD"/>
        </w:rPr>
        <w:t xml:space="preserve">ocupaționale definite în </w:t>
      </w:r>
      <w:r w:rsidR="00E87C5D" w:rsidRPr="000508B6">
        <w:rPr>
          <w:rFonts w:ascii="Times New Roman" w:hAnsi="Times New Roman" w:cs="Times New Roman"/>
          <w:lang w:val="ro-MD"/>
        </w:rPr>
        <w:t xml:space="preserve">art. </w:t>
      </w:r>
      <w:r w:rsidR="00C31C69" w:rsidRPr="000508B6">
        <w:rPr>
          <w:rFonts w:ascii="Times New Roman" w:hAnsi="Times New Roman" w:cs="Times New Roman"/>
          <w:lang w:val="ro-MD"/>
        </w:rPr>
        <w:t xml:space="preserve">2 din </w:t>
      </w:r>
      <w:r w:rsidR="00FB6169" w:rsidRPr="000508B6">
        <w:rPr>
          <w:rFonts w:ascii="Times New Roman" w:hAnsi="Times New Roman" w:cs="Times New Roman"/>
          <w:lang w:val="ro-MD"/>
        </w:rPr>
        <w:t>Legea</w:t>
      </w:r>
      <w:r w:rsidR="00F205DD" w:rsidRPr="000508B6">
        <w:rPr>
          <w:rFonts w:ascii="Times New Roman" w:hAnsi="Times New Roman" w:cs="Times New Roman"/>
          <w:lang w:val="ro-MD"/>
        </w:rPr>
        <w:t xml:space="preserve"> nr.</w:t>
      </w:r>
      <w:r w:rsidR="00FB6169" w:rsidRPr="000508B6">
        <w:rPr>
          <w:rFonts w:ascii="Times New Roman" w:hAnsi="Times New Roman" w:cs="Times New Roman"/>
          <w:lang w:val="ro-MD"/>
        </w:rPr>
        <w:t xml:space="preserve"> 198/2020</w:t>
      </w:r>
      <w:r w:rsidR="00B4552F" w:rsidRPr="000508B6">
        <w:rPr>
          <w:rFonts w:ascii="Times New Roman" w:hAnsi="Times New Roman" w:cs="Times New Roman"/>
          <w:lang w:val="ro-MD"/>
        </w:rPr>
        <w:t>.</w:t>
      </w:r>
      <w:r w:rsidR="00FB6169" w:rsidRPr="000508B6">
        <w:rPr>
          <w:rFonts w:ascii="Times New Roman" w:hAnsi="Times New Roman" w:cs="Times New Roman"/>
          <w:lang w:val="ro-MD"/>
        </w:rPr>
        <w:t xml:space="preserve"> </w:t>
      </w:r>
    </w:p>
    <w:p w14:paraId="590CC980" w14:textId="7229D313" w:rsidR="00850199" w:rsidRPr="000508B6" w:rsidRDefault="00850199" w:rsidP="00CF5AFA">
      <w:pPr>
        <w:pStyle w:val="Listparagraf"/>
        <w:numPr>
          <w:ilvl w:val="1"/>
          <w:numId w:val="334"/>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Contribuția entităților menționate la alin. (1) la fondurile proprii eligibile ale grupului se calculează ca suma cotelor proporționale din fondurile proprii ale tuturor entităților, calculându-se după cum urmează:</w:t>
      </w:r>
    </w:p>
    <w:p w14:paraId="5A9B0B64" w14:textId="34A61264" w:rsidR="00850199" w:rsidRPr="000508B6" w:rsidRDefault="00850199" w:rsidP="00CF5AFA">
      <w:pPr>
        <w:pStyle w:val="Listparagraf"/>
        <w:numPr>
          <w:ilvl w:val="0"/>
          <w:numId w:val="33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FA6703"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afiliată menționată la alin. (1) lit. a), în conformitate cu </w:t>
      </w:r>
      <w:r w:rsidR="00203BF4" w:rsidRPr="000508B6">
        <w:rPr>
          <w:rFonts w:ascii="Times New Roman" w:hAnsi="Times New Roman" w:cs="Times New Roman"/>
          <w:lang w:val="ro-MD"/>
        </w:rPr>
        <w:t xml:space="preserve">Legea </w:t>
      </w:r>
      <w:r w:rsidR="00C31C69" w:rsidRPr="000508B6">
        <w:rPr>
          <w:rFonts w:ascii="Times New Roman" w:hAnsi="Times New Roman" w:cs="Times New Roman"/>
          <w:lang w:val="ro-MD"/>
        </w:rPr>
        <w:t>nr.</w:t>
      </w:r>
      <w:r w:rsidR="00F205DD" w:rsidRPr="000508B6">
        <w:rPr>
          <w:rFonts w:ascii="Times New Roman" w:hAnsi="Times New Roman" w:cs="Times New Roman"/>
          <w:lang w:val="ro-MD"/>
        </w:rPr>
        <w:t xml:space="preserve"> </w:t>
      </w:r>
      <w:r w:rsidR="00203BF4" w:rsidRPr="000508B6">
        <w:rPr>
          <w:rFonts w:ascii="Times New Roman" w:hAnsi="Times New Roman" w:cs="Times New Roman"/>
          <w:lang w:val="ro-MD"/>
        </w:rPr>
        <w:t>250/2017</w:t>
      </w:r>
      <w:r w:rsidRPr="000508B6">
        <w:rPr>
          <w:rFonts w:ascii="Times New Roman" w:hAnsi="Times New Roman" w:cs="Times New Roman"/>
          <w:lang w:val="ro-MD"/>
        </w:rPr>
        <w:t>;</w:t>
      </w:r>
    </w:p>
    <w:p w14:paraId="0910D7A5" w14:textId="5F8C697B" w:rsidR="00850199" w:rsidRPr="000508B6" w:rsidRDefault="00850199" w:rsidP="00CF5AFA">
      <w:pPr>
        <w:pStyle w:val="Listparagraf"/>
        <w:numPr>
          <w:ilvl w:val="0"/>
          <w:numId w:val="33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FA6703"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afiliată menționată la alin. (1) lit. b), în conformitate cu </w:t>
      </w:r>
      <w:r w:rsidR="00C51C8A" w:rsidRPr="000508B6">
        <w:rPr>
          <w:rFonts w:ascii="Times New Roman" w:hAnsi="Times New Roman" w:cs="Times New Roman"/>
          <w:lang w:val="ro-MD"/>
        </w:rPr>
        <w:t>Legea nr.</w:t>
      </w:r>
      <w:r w:rsidR="00F205DD" w:rsidRPr="000508B6">
        <w:rPr>
          <w:rFonts w:ascii="Times New Roman" w:hAnsi="Times New Roman" w:cs="Times New Roman"/>
          <w:lang w:val="ro-MD"/>
        </w:rPr>
        <w:t xml:space="preserve"> </w:t>
      </w:r>
      <w:r w:rsidR="00394D4F" w:rsidRPr="000508B6">
        <w:rPr>
          <w:rFonts w:ascii="Times New Roman" w:hAnsi="Times New Roman" w:cs="Times New Roman"/>
          <w:lang w:val="ro-MD"/>
        </w:rPr>
        <w:t>171</w:t>
      </w:r>
      <w:r w:rsidR="00C51C8A" w:rsidRPr="000508B6">
        <w:rPr>
          <w:rFonts w:ascii="Times New Roman" w:hAnsi="Times New Roman" w:cs="Times New Roman"/>
          <w:lang w:val="ro-MD"/>
        </w:rPr>
        <w:t>/20</w:t>
      </w:r>
      <w:r w:rsidR="00394D4F" w:rsidRPr="000508B6">
        <w:rPr>
          <w:rFonts w:ascii="Times New Roman" w:hAnsi="Times New Roman" w:cs="Times New Roman"/>
          <w:lang w:val="ro-MD"/>
        </w:rPr>
        <w:t>12</w:t>
      </w:r>
      <w:r w:rsidRPr="000508B6">
        <w:rPr>
          <w:rFonts w:ascii="Times New Roman" w:hAnsi="Times New Roman" w:cs="Times New Roman"/>
          <w:lang w:val="ro-MD"/>
        </w:rPr>
        <w:t>;</w:t>
      </w:r>
    </w:p>
    <w:p w14:paraId="662D8006" w14:textId="35179FF1" w:rsidR="00850199" w:rsidRPr="000508B6" w:rsidRDefault="00850199" w:rsidP="00CF5AFA">
      <w:pPr>
        <w:pStyle w:val="Listparagraf"/>
        <w:numPr>
          <w:ilvl w:val="0"/>
          <w:numId w:val="33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FA6703"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afiliată menționată la alin. (1) lit. c), în conformitate cu </w:t>
      </w:r>
      <w:r w:rsidR="00872936" w:rsidRPr="000508B6">
        <w:rPr>
          <w:rFonts w:ascii="Times New Roman" w:hAnsi="Times New Roman" w:cs="Times New Roman"/>
          <w:lang w:val="ro-MD"/>
        </w:rPr>
        <w:t xml:space="preserve">Legea nr. </w:t>
      </w:r>
      <w:r w:rsidR="00394D4F" w:rsidRPr="000508B6">
        <w:rPr>
          <w:rFonts w:ascii="Times New Roman" w:hAnsi="Times New Roman" w:cs="Times New Roman"/>
          <w:lang w:val="ro-MD"/>
        </w:rPr>
        <w:t>2</w:t>
      </w:r>
      <w:r w:rsidR="00872936" w:rsidRPr="000508B6">
        <w:rPr>
          <w:rFonts w:ascii="Times New Roman" w:hAnsi="Times New Roman" w:cs="Times New Roman"/>
          <w:lang w:val="ro-MD"/>
        </w:rPr>
        <w:t>/202</w:t>
      </w:r>
      <w:r w:rsidR="00394D4F" w:rsidRPr="000508B6">
        <w:rPr>
          <w:rFonts w:ascii="Times New Roman" w:hAnsi="Times New Roman" w:cs="Times New Roman"/>
          <w:lang w:val="ro-MD"/>
        </w:rPr>
        <w:t>0</w:t>
      </w:r>
      <w:r w:rsidRPr="000508B6">
        <w:rPr>
          <w:rFonts w:ascii="Times New Roman" w:hAnsi="Times New Roman" w:cs="Times New Roman"/>
          <w:lang w:val="ro-MD"/>
        </w:rPr>
        <w:t>;</w:t>
      </w:r>
    </w:p>
    <w:p w14:paraId="7A955106" w14:textId="76B5DEAB" w:rsidR="00850199" w:rsidRPr="000508B6" w:rsidRDefault="00850199" w:rsidP="009156C3">
      <w:pPr>
        <w:pStyle w:val="Listparagraf"/>
        <w:numPr>
          <w:ilvl w:val="0"/>
          <w:numId w:val="33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B65FD6"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afiliată menționată la alin. (1) lit. d), în conformitate cu </w:t>
      </w:r>
      <w:r w:rsidR="006F512A" w:rsidRPr="000508B6">
        <w:rPr>
          <w:rFonts w:ascii="Times New Roman" w:hAnsi="Times New Roman" w:cs="Times New Roman"/>
          <w:lang w:val="ro-MD"/>
        </w:rPr>
        <w:t xml:space="preserve"> normele sectoriale relevante, astfel cum sunt definite </w:t>
      </w:r>
      <w:r w:rsidR="002A6891" w:rsidRPr="000508B6">
        <w:rPr>
          <w:rFonts w:ascii="Times New Roman" w:hAnsi="Times New Roman" w:cs="Times New Roman"/>
          <w:lang w:val="ro-MD"/>
        </w:rPr>
        <w:t>în Legea nr.</w:t>
      </w:r>
      <w:r w:rsidR="009156C3" w:rsidRPr="000508B6">
        <w:rPr>
          <w:rFonts w:ascii="Times New Roman" w:hAnsi="Times New Roman" w:cs="Times New Roman"/>
          <w:lang w:val="ro-MD"/>
        </w:rPr>
        <w:t xml:space="preserve"> </w:t>
      </w:r>
      <w:r w:rsidR="002A6891" w:rsidRPr="000508B6">
        <w:rPr>
          <w:rFonts w:ascii="Times New Roman" w:hAnsi="Times New Roman" w:cs="Times New Roman"/>
          <w:lang w:val="ro-MD"/>
        </w:rPr>
        <w:t>202/2017</w:t>
      </w:r>
      <w:r w:rsidR="006F512A" w:rsidRPr="000508B6">
        <w:rPr>
          <w:rFonts w:ascii="Times New Roman" w:hAnsi="Times New Roman" w:cs="Times New Roman"/>
          <w:lang w:val="ro-MD"/>
        </w:rPr>
        <w:t>, dacă ar fi entități reglementate în înțelesul art</w:t>
      </w:r>
      <w:r w:rsidR="002A6891" w:rsidRPr="000508B6">
        <w:rPr>
          <w:rFonts w:ascii="Times New Roman" w:hAnsi="Times New Roman" w:cs="Times New Roman"/>
          <w:lang w:val="ro-MD"/>
        </w:rPr>
        <w:t>.</w:t>
      </w:r>
      <w:r w:rsidR="006F512A" w:rsidRPr="000508B6">
        <w:rPr>
          <w:rFonts w:ascii="Times New Roman" w:hAnsi="Times New Roman" w:cs="Times New Roman"/>
          <w:lang w:val="ro-MD"/>
        </w:rPr>
        <w:t xml:space="preserve"> 2 </w:t>
      </w:r>
      <w:r w:rsidR="002A6891" w:rsidRPr="000508B6">
        <w:rPr>
          <w:rFonts w:ascii="Times New Roman" w:hAnsi="Times New Roman" w:cs="Times New Roman"/>
          <w:lang w:val="ro-MD"/>
        </w:rPr>
        <w:t>pct</w:t>
      </w:r>
      <w:r w:rsidR="009156C3" w:rsidRPr="000508B6">
        <w:rPr>
          <w:rFonts w:ascii="Times New Roman" w:hAnsi="Times New Roman" w:cs="Times New Roman"/>
          <w:lang w:val="ro-MD"/>
        </w:rPr>
        <w:t>.</w:t>
      </w:r>
      <w:r w:rsidR="006F512A" w:rsidRPr="000508B6">
        <w:rPr>
          <w:rFonts w:ascii="Times New Roman" w:hAnsi="Times New Roman" w:cs="Times New Roman"/>
          <w:lang w:val="ro-MD"/>
        </w:rPr>
        <w:t xml:space="preserve"> 4</w:t>
      </w:r>
      <w:r w:rsidR="009156C3" w:rsidRPr="000508B6">
        <w:rPr>
          <w:rFonts w:ascii="Times New Roman" w:hAnsi="Times New Roman" w:cs="Times New Roman"/>
          <w:lang w:val="ro-MD"/>
        </w:rPr>
        <w:t>)</w:t>
      </w:r>
      <w:r w:rsidR="006F512A" w:rsidRPr="000508B6">
        <w:rPr>
          <w:rFonts w:ascii="Times New Roman" w:hAnsi="Times New Roman" w:cs="Times New Roman"/>
          <w:lang w:val="ro-MD"/>
        </w:rPr>
        <w:t xml:space="preserve"> din </w:t>
      </w:r>
      <w:r w:rsidR="00872936" w:rsidRPr="000508B6">
        <w:rPr>
          <w:rFonts w:ascii="Times New Roman" w:hAnsi="Times New Roman" w:cs="Times New Roman"/>
          <w:lang w:val="ro-MD"/>
        </w:rPr>
        <w:t>Legea nr.</w:t>
      </w:r>
      <w:r w:rsidR="009156C3" w:rsidRPr="000508B6">
        <w:rPr>
          <w:rFonts w:ascii="Times New Roman" w:hAnsi="Times New Roman" w:cs="Times New Roman"/>
          <w:lang w:val="ro-MD"/>
        </w:rPr>
        <w:t xml:space="preserve"> </w:t>
      </w:r>
      <w:r w:rsidR="008C0822" w:rsidRPr="000508B6">
        <w:rPr>
          <w:rFonts w:ascii="Times New Roman" w:hAnsi="Times New Roman" w:cs="Times New Roman"/>
          <w:lang w:val="ro-MD"/>
        </w:rPr>
        <w:t>250</w:t>
      </w:r>
      <w:r w:rsidR="00872936" w:rsidRPr="000508B6">
        <w:rPr>
          <w:rFonts w:ascii="Times New Roman" w:hAnsi="Times New Roman" w:cs="Times New Roman"/>
          <w:lang w:val="ro-MD"/>
        </w:rPr>
        <w:t>/</w:t>
      </w:r>
      <w:r w:rsidR="00394D4F" w:rsidRPr="000508B6">
        <w:rPr>
          <w:rFonts w:ascii="Times New Roman" w:hAnsi="Times New Roman" w:cs="Times New Roman"/>
          <w:lang w:val="ro-MD"/>
        </w:rPr>
        <w:t>2017</w:t>
      </w:r>
      <w:r w:rsidRPr="000508B6">
        <w:rPr>
          <w:rFonts w:ascii="Times New Roman" w:hAnsi="Times New Roman" w:cs="Times New Roman"/>
          <w:lang w:val="ro-MD"/>
        </w:rPr>
        <w:t>;</w:t>
      </w:r>
    </w:p>
    <w:p w14:paraId="4D525421" w14:textId="6EC513D3" w:rsidR="00850199" w:rsidRPr="000508B6" w:rsidRDefault="00850199" w:rsidP="009156C3">
      <w:pPr>
        <w:pStyle w:val="Listparagraf"/>
        <w:numPr>
          <w:ilvl w:val="0"/>
          <w:numId w:val="33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B65FD6"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afiliată menționată la alin. (1) lit. e) de la prezentul articol, marja de solvabilitate disponibilă calculată în conformitate Legea </w:t>
      </w:r>
      <w:r w:rsidR="00DE1E2C" w:rsidRPr="000508B6">
        <w:rPr>
          <w:rFonts w:ascii="Times New Roman" w:hAnsi="Times New Roman" w:cs="Times New Roman"/>
          <w:lang w:val="ro-MD"/>
        </w:rPr>
        <w:t>nr.</w:t>
      </w:r>
      <w:r w:rsidR="009156C3" w:rsidRPr="000508B6">
        <w:rPr>
          <w:rFonts w:ascii="Times New Roman" w:hAnsi="Times New Roman" w:cs="Times New Roman"/>
          <w:lang w:val="ro-MD"/>
        </w:rPr>
        <w:t xml:space="preserve"> </w:t>
      </w:r>
      <w:r w:rsidRPr="000508B6">
        <w:rPr>
          <w:rFonts w:ascii="Times New Roman" w:hAnsi="Times New Roman" w:cs="Times New Roman"/>
          <w:lang w:val="ro-MD"/>
        </w:rPr>
        <w:t>198/2020.</w:t>
      </w:r>
      <w:r w:rsidR="009E5452" w:rsidRPr="000508B6">
        <w:rPr>
          <w:rFonts w:ascii="Times New Roman" w:hAnsi="Times New Roman" w:cs="Times New Roman"/>
          <w:lang w:val="ro-MD"/>
        </w:rPr>
        <w:t xml:space="preserve"> </w:t>
      </w:r>
    </w:p>
    <w:p w14:paraId="2235F6F0" w14:textId="362ECFFB" w:rsidR="00C50043" w:rsidRPr="000508B6" w:rsidRDefault="00A0227B" w:rsidP="00574631">
      <w:pPr>
        <w:pStyle w:val="Listparagraf"/>
        <w:numPr>
          <w:ilvl w:val="1"/>
          <w:numId w:val="33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alin</w:t>
      </w:r>
      <w:r w:rsidR="00872936" w:rsidRPr="000508B6">
        <w:rPr>
          <w:rFonts w:ascii="Times New Roman" w:hAnsi="Times New Roman" w:cs="Times New Roman"/>
          <w:lang w:val="ro-MD"/>
        </w:rPr>
        <w:t>. (</w:t>
      </w:r>
      <w:r w:rsidR="00C50043" w:rsidRPr="000508B6">
        <w:rPr>
          <w:rFonts w:ascii="Times New Roman" w:hAnsi="Times New Roman" w:cs="Times New Roman"/>
          <w:lang w:val="ro-MD"/>
        </w:rPr>
        <w:t>2</w:t>
      </w:r>
      <w:r w:rsidR="00872936" w:rsidRPr="000508B6">
        <w:rPr>
          <w:rFonts w:ascii="Times New Roman" w:hAnsi="Times New Roman" w:cs="Times New Roman"/>
          <w:lang w:val="ro-MD"/>
        </w:rPr>
        <w:t>)</w:t>
      </w:r>
      <w:r w:rsidRPr="000508B6">
        <w:rPr>
          <w:rFonts w:ascii="Times New Roman" w:hAnsi="Times New Roman" w:cs="Times New Roman"/>
          <w:lang w:val="ro-MD"/>
        </w:rPr>
        <w:t xml:space="preserve">, </w:t>
      </w:r>
      <w:r w:rsidR="00DE1E2C" w:rsidRPr="000508B6">
        <w:rPr>
          <w:rFonts w:ascii="Times New Roman" w:hAnsi="Times New Roman" w:cs="Times New Roman"/>
          <w:lang w:val="ro-MD"/>
        </w:rPr>
        <w:t xml:space="preserve">asigurătorii sau </w:t>
      </w:r>
      <w:proofErr w:type="spellStart"/>
      <w:r w:rsidR="00DE1E2C" w:rsidRPr="000508B6">
        <w:rPr>
          <w:rFonts w:ascii="Times New Roman" w:hAnsi="Times New Roman" w:cs="Times New Roman"/>
          <w:lang w:val="ro-MD"/>
        </w:rPr>
        <w:t>reasigurătorii</w:t>
      </w:r>
      <w:proofErr w:type="spellEnd"/>
      <w:r w:rsidR="00DE1E2C" w:rsidRPr="000508B6">
        <w:rPr>
          <w:rFonts w:ascii="Times New Roman" w:hAnsi="Times New Roman" w:cs="Times New Roman"/>
          <w:lang w:val="ro-MD"/>
        </w:rPr>
        <w:t xml:space="preserve"> participativi pot lua în considerare elementele de </w:t>
      </w:r>
      <w:r w:rsidRPr="000508B6">
        <w:rPr>
          <w:rFonts w:ascii="Times New Roman" w:hAnsi="Times New Roman" w:cs="Times New Roman"/>
          <w:lang w:val="ro-MD"/>
        </w:rPr>
        <w:t xml:space="preserve">fonduri proprii </w:t>
      </w:r>
      <w:r w:rsidR="00DE1E2C" w:rsidRPr="000508B6">
        <w:rPr>
          <w:rFonts w:ascii="Times New Roman" w:hAnsi="Times New Roman" w:cs="Times New Roman"/>
          <w:lang w:val="ro-MD"/>
        </w:rPr>
        <w:t>prevăzute la alin. (4), incluse în fondurile proprii care depășesc cerin</w:t>
      </w:r>
      <w:r w:rsidR="00AC0339" w:rsidRPr="000508B6">
        <w:rPr>
          <w:rFonts w:ascii="Times New Roman" w:hAnsi="Times New Roman" w:cs="Times New Roman"/>
          <w:lang w:val="ro-MD"/>
        </w:rPr>
        <w:t>ț</w:t>
      </w:r>
      <w:r w:rsidR="00DE1E2C" w:rsidRPr="000508B6">
        <w:rPr>
          <w:rFonts w:ascii="Times New Roman" w:hAnsi="Times New Roman" w:cs="Times New Roman"/>
          <w:lang w:val="ro-MD"/>
        </w:rPr>
        <w:t xml:space="preserve">ele de capital calculate </w:t>
      </w:r>
      <w:r w:rsidR="00AC0339" w:rsidRPr="000508B6">
        <w:rPr>
          <w:rFonts w:ascii="Times New Roman" w:hAnsi="Times New Roman" w:cs="Times New Roman"/>
          <w:lang w:val="ro-MD"/>
        </w:rPr>
        <w:t>î</w:t>
      </w:r>
      <w:r w:rsidR="00DE1E2C" w:rsidRPr="000508B6">
        <w:rPr>
          <w:rFonts w:ascii="Times New Roman" w:hAnsi="Times New Roman" w:cs="Times New Roman"/>
          <w:lang w:val="ro-MD"/>
        </w:rPr>
        <w:t>n conformitate cu alin. (6)-(12), numai în cazul în care justific</w:t>
      </w:r>
      <w:r w:rsidR="00AC0339" w:rsidRPr="000508B6">
        <w:rPr>
          <w:rFonts w:ascii="Times New Roman" w:hAnsi="Times New Roman" w:cs="Times New Roman"/>
          <w:lang w:val="ro-MD"/>
        </w:rPr>
        <w:t>ă</w:t>
      </w:r>
      <w:r w:rsidR="00DE1E2C" w:rsidRPr="000508B6">
        <w:rPr>
          <w:rFonts w:ascii="Times New Roman" w:hAnsi="Times New Roman" w:cs="Times New Roman"/>
          <w:lang w:val="ro-MD"/>
        </w:rPr>
        <w:t>, într-un mod considerat convingător de Banca Națională a Moldovei, că elementele respective pot fi puse la dispoziție pentru acoperirea SCR la nivel de grup</w:t>
      </w:r>
      <w:r w:rsidRPr="000508B6">
        <w:rPr>
          <w:rFonts w:ascii="Times New Roman" w:hAnsi="Times New Roman" w:cs="Times New Roman"/>
          <w:lang w:val="ro-MD"/>
        </w:rPr>
        <w:t>.</w:t>
      </w:r>
      <w:r w:rsidR="00696D73" w:rsidRPr="000508B6">
        <w:rPr>
          <w:rFonts w:ascii="Times New Roman" w:hAnsi="Times New Roman" w:cs="Times New Roman"/>
          <w:lang w:val="ro-MD"/>
        </w:rPr>
        <w:t xml:space="preserve"> </w:t>
      </w:r>
    </w:p>
    <w:p w14:paraId="1B395C75" w14:textId="0B9D9978" w:rsidR="00DE1E2C" w:rsidRPr="000508B6" w:rsidRDefault="00DE1E2C" w:rsidP="00382433">
      <w:pPr>
        <w:pStyle w:val="Listparagraf"/>
        <w:numPr>
          <w:ilvl w:val="1"/>
          <w:numId w:val="33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Elementele de fonduri proprii menționate la alin. (3) sunt următoarele:</w:t>
      </w:r>
    </w:p>
    <w:p w14:paraId="44DC08D7" w14:textId="2AD9999B" w:rsidR="00DE1E2C" w:rsidRPr="000508B6" w:rsidRDefault="00AC0339" w:rsidP="00382433">
      <w:pPr>
        <w:pStyle w:val="Listparagraf"/>
        <w:numPr>
          <w:ilvl w:val="2"/>
          <w:numId w:val="21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v</w:t>
      </w:r>
      <w:r w:rsidR="00DE1E2C" w:rsidRPr="000508B6">
        <w:rPr>
          <w:rFonts w:ascii="Times New Roman" w:hAnsi="Times New Roman" w:cs="Times New Roman"/>
          <w:lang w:val="ro-MD"/>
        </w:rPr>
        <w:t>aloarea fondurilor proprii ale fiecărei entități afiliate care corespund rezervelor nedistribuibile;</w:t>
      </w:r>
    </w:p>
    <w:p w14:paraId="4343E0EF" w14:textId="77777777" w:rsidR="00DE1E2C" w:rsidRPr="000508B6" w:rsidRDefault="00DE1E2C" w:rsidP="00382433">
      <w:pPr>
        <w:pStyle w:val="Listparagraf"/>
        <w:numPr>
          <w:ilvl w:val="2"/>
          <w:numId w:val="21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valoarea elementelor identificate de Banca Națională a Moldovei ca având o capacitate redusă de a acoperi pierderile;</w:t>
      </w:r>
    </w:p>
    <w:p w14:paraId="177BFA47" w14:textId="2B810DE8" w:rsidR="00DE1E2C" w:rsidRPr="000508B6" w:rsidRDefault="00DE1E2C" w:rsidP="00382433">
      <w:pPr>
        <w:pStyle w:val="Listparagraf"/>
        <w:numPr>
          <w:ilvl w:val="2"/>
          <w:numId w:val="21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valoarea acțiunilor preferențiale;</w:t>
      </w:r>
    </w:p>
    <w:p w14:paraId="14FFC835" w14:textId="1E549679" w:rsidR="00DE1E2C" w:rsidRPr="000508B6" w:rsidRDefault="00DE1E2C" w:rsidP="00382433">
      <w:pPr>
        <w:pStyle w:val="Listparagraf"/>
        <w:numPr>
          <w:ilvl w:val="2"/>
          <w:numId w:val="21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valoarea datoriilor subordonate;</w:t>
      </w:r>
    </w:p>
    <w:p w14:paraId="084B30FB" w14:textId="13FDA30E" w:rsidR="00DE1E2C" w:rsidRPr="000508B6" w:rsidRDefault="00DE1E2C" w:rsidP="00382433">
      <w:pPr>
        <w:pStyle w:val="Listparagraf"/>
        <w:numPr>
          <w:ilvl w:val="2"/>
          <w:numId w:val="217"/>
        </w:numPr>
        <w:tabs>
          <w:tab w:val="left" w:pos="709"/>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valoarea creanțelor privind impozitul amânat.</w:t>
      </w:r>
      <w:r w:rsidR="003605E4" w:rsidRPr="000508B6">
        <w:rPr>
          <w:rFonts w:ascii="Times New Roman" w:hAnsi="Times New Roman" w:cs="Times New Roman"/>
          <w:lang w:val="ro-MD"/>
        </w:rPr>
        <w:t xml:space="preserve"> </w:t>
      </w:r>
    </w:p>
    <w:p w14:paraId="69D5CF8B" w14:textId="7625676C" w:rsidR="00A0227B" w:rsidRPr="000508B6" w:rsidRDefault="00A0227B" w:rsidP="00382433">
      <w:pPr>
        <w:pStyle w:val="Listparagraf"/>
        <w:numPr>
          <w:ilvl w:val="1"/>
          <w:numId w:val="33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stabilirea componenței fondurilor proprii </w:t>
      </w:r>
      <w:r w:rsidR="00DC2B7B" w:rsidRPr="000508B6">
        <w:rPr>
          <w:rFonts w:ascii="Times New Roman" w:hAnsi="Times New Roman" w:cs="Times New Roman"/>
          <w:lang w:val="ro-MD"/>
        </w:rPr>
        <w:t>excedente</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2A6891"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ține seama de faptul că anumite cerințe ale unor </w:t>
      </w:r>
      <w:r w:rsidR="009C501D" w:rsidRPr="000508B6">
        <w:rPr>
          <w:rFonts w:ascii="Times New Roman" w:hAnsi="Times New Roman" w:cs="Times New Roman"/>
          <w:lang w:val="ro-MD"/>
        </w:rPr>
        <w:t xml:space="preserve">entități </w:t>
      </w:r>
      <w:r w:rsidRPr="000508B6">
        <w:rPr>
          <w:rFonts w:ascii="Times New Roman" w:hAnsi="Times New Roman" w:cs="Times New Roman"/>
          <w:lang w:val="ro-MD"/>
        </w:rPr>
        <w:t xml:space="preserve">afiliate pot fi îndeplinite numai cu fonduri proprii de nivel 1 de bază sau cu fonduri proprii de nivel 1 suplimentar în înțelesul </w:t>
      </w:r>
      <w:r w:rsidR="00AD4F8F" w:rsidRPr="000508B6">
        <w:rPr>
          <w:rFonts w:ascii="Times New Roman" w:hAnsi="Times New Roman" w:cs="Times New Roman"/>
          <w:bCs/>
          <w:lang w:val="ro-MD"/>
        </w:rPr>
        <w:t>reglementărilor</w:t>
      </w:r>
      <w:r w:rsidR="008C5B4F" w:rsidRPr="000508B6">
        <w:rPr>
          <w:rFonts w:ascii="Times New Roman" w:hAnsi="Times New Roman" w:cs="Times New Roman"/>
          <w:bCs/>
          <w:lang w:val="ro-MD"/>
        </w:rPr>
        <w:t xml:space="preserve"> cu privire la fondurile proprii </w:t>
      </w:r>
      <w:r w:rsidR="003B4543" w:rsidRPr="000508B6">
        <w:rPr>
          <w:rFonts w:ascii="Times New Roman" w:hAnsi="Times New Roman" w:cs="Times New Roman"/>
          <w:bCs/>
          <w:lang w:val="ro-MD"/>
        </w:rPr>
        <w:t>și cerințele de capital</w:t>
      </w:r>
      <w:r w:rsidR="008C5B4F" w:rsidRPr="000508B6">
        <w:rPr>
          <w:rFonts w:ascii="Times New Roman" w:hAnsi="Times New Roman" w:cs="Times New Roman"/>
          <w:bCs/>
          <w:lang w:val="ro-MD"/>
        </w:rPr>
        <w:t xml:space="preserve"> </w:t>
      </w:r>
      <w:r w:rsidR="00A63438" w:rsidRPr="000508B6">
        <w:rPr>
          <w:rFonts w:ascii="Times New Roman" w:hAnsi="Times New Roman" w:cs="Times New Roman"/>
          <w:bCs/>
          <w:lang w:val="ro-MD"/>
        </w:rPr>
        <w:t xml:space="preserve">prevăzute de </w:t>
      </w:r>
      <w:r w:rsidR="008C5B4F" w:rsidRPr="000508B6">
        <w:rPr>
          <w:rFonts w:ascii="Times New Roman" w:hAnsi="Times New Roman" w:cs="Times New Roman"/>
          <w:bCs/>
          <w:lang w:val="ro-MD"/>
        </w:rPr>
        <w:t xml:space="preserve">cadrul normativ aplicabil </w:t>
      </w:r>
      <w:r w:rsidR="00AC0339" w:rsidRPr="000508B6">
        <w:rPr>
          <w:rFonts w:ascii="Times New Roman" w:hAnsi="Times New Roman" w:cs="Times New Roman"/>
          <w:bCs/>
          <w:lang w:val="ro-MD"/>
        </w:rPr>
        <w:t>instituțiilor de credit</w:t>
      </w:r>
      <w:r w:rsidR="002C6BBB" w:rsidRPr="000508B6">
        <w:rPr>
          <w:rFonts w:ascii="Times New Roman" w:hAnsi="Times New Roman" w:cs="Times New Roman"/>
          <w:lang w:val="ro-MD"/>
        </w:rPr>
        <w:t>.</w:t>
      </w:r>
      <w:r w:rsidRPr="000508B6" w:rsidDel="008C5B4F">
        <w:rPr>
          <w:rFonts w:ascii="Times New Roman" w:hAnsi="Times New Roman" w:cs="Times New Roman"/>
          <w:lang w:val="ro-MD"/>
        </w:rPr>
        <w:t xml:space="preserve"> </w:t>
      </w:r>
    </w:p>
    <w:p w14:paraId="1B331FB3" w14:textId="19EE1A94" w:rsidR="00CB15BE" w:rsidRPr="000508B6" w:rsidRDefault="00DE1E2C" w:rsidP="00382433">
      <w:pPr>
        <w:pStyle w:val="Listparagraf"/>
        <w:numPr>
          <w:ilvl w:val="1"/>
          <w:numId w:val="33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Asigurătorul sau </w:t>
      </w:r>
      <w:proofErr w:type="spellStart"/>
      <w:r w:rsidRPr="000508B6">
        <w:rPr>
          <w:rFonts w:ascii="Times New Roman" w:hAnsi="Times New Roman" w:cs="Times New Roman"/>
          <w:lang w:val="ro-MD"/>
        </w:rPr>
        <w:t>reasigurătorul</w:t>
      </w:r>
      <w:proofErr w:type="spellEnd"/>
      <w:r w:rsidR="00CB15BE" w:rsidRPr="000508B6">
        <w:rPr>
          <w:rFonts w:ascii="Times New Roman" w:hAnsi="Times New Roman" w:cs="Times New Roman"/>
          <w:lang w:val="ro-MD"/>
        </w:rPr>
        <w:t xml:space="preserve"> participativ calculează c</w:t>
      </w:r>
      <w:r w:rsidR="00A0227B" w:rsidRPr="000508B6">
        <w:rPr>
          <w:rFonts w:ascii="Times New Roman" w:hAnsi="Times New Roman" w:cs="Times New Roman"/>
          <w:lang w:val="ro-MD"/>
        </w:rPr>
        <w:t xml:space="preserve">ontribuția </w:t>
      </w:r>
      <w:r w:rsidR="009C501D" w:rsidRPr="000508B6">
        <w:rPr>
          <w:rFonts w:ascii="Times New Roman" w:hAnsi="Times New Roman" w:cs="Times New Roman"/>
          <w:lang w:val="ro-MD"/>
        </w:rPr>
        <w:t xml:space="preserve">entităților </w:t>
      </w:r>
      <w:r w:rsidR="00A0227B" w:rsidRPr="000508B6">
        <w:rPr>
          <w:rFonts w:ascii="Times New Roman" w:hAnsi="Times New Roman" w:cs="Times New Roman"/>
          <w:lang w:val="ro-MD"/>
        </w:rPr>
        <w:t>afiliate menționate la alin</w:t>
      </w:r>
      <w:r w:rsidR="00C61034" w:rsidRPr="000508B6">
        <w:rPr>
          <w:rFonts w:ascii="Times New Roman" w:hAnsi="Times New Roman" w:cs="Times New Roman"/>
          <w:lang w:val="ro-MD"/>
        </w:rPr>
        <w:t xml:space="preserve">. </w:t>
      </w:r>
      <w:r w:rsidR="00A0227B" w:rsidRPr="000508B6">
        <w:rPr>
          <w:rFonts w:ascii="Times New Roman" w:hAnsi="Times New Roman" w:cs="Times New Roman"/>
          <w:lang w:val="ro-MD"/>
        </w:rPr>
        <w:t>(1</w:t>
      </w:r>
      <w:r w:rsidR="00644019" w:rsidRPr="000508B6">
        <w:rPr>
          <w:rFonts w:ascii="Times New Roman" w:hAnsi="Times New Roman" w:cs="Times New Roman"/>
          <w:lang w:val="ro-MD"/>
        </w:rPr>
        <w:t xml:space="preserve">) </w:t>
      </w:r>
      <w:r w:rsidR="00A0227B" w:rsidRPr="000508B6">
        <w:rPr>
          <w:rFonts w:ascii="Times New Roman" w:hAnsi="Times New Roman" w:cs="Times New Roman"/>
          <w:lang w:val="ro-MD"/>
        </w:rPr>
        <w:t xml:space="preserve">la </w:t>
      </w:r>
      <w:r w:rsidR="00C61034" w:rsidRPr="000508B6">
        <w:rPr>
          <w:rFonts w:ascii="Times New Roman" w:hAnsi="Times New Roman" w:cs="Times New Roman"/>
          <w:lang w:val="ro-MD"/>
        </w:rPr>
        <w:t xml:space="preserve">SCR </w:t>
      </w:r>
      <w:r w:rsidR="00702CCB" w:rsidRPr="000508B6">
        <w:rPr>
          <w:rFonts w:ascii="Times New Roman" w:hAnsi="Times New Roman" w:cs="Times New Roman"/>
          <w:lang w:val="ro-MD"/>
        </w:rPr>
        <w:t>la nivel</w:t>
      </w:r>
      <w:r w:rsidR="00C61034" w:rsidRPr="000508B6">
        <w:rPr>
          <w:rFonts w:ascii="Times New Roman" w:hAnsi="Times New Roman" w:cs="Times New Roman"/>
          <w:lang w:val="ro-MD"/>
        </w:rPr>
        <w:t xml:space="preserve"> de grup</w:t>
      </w:r>
      <w:r w:rsidR="00A0227B" w:rsidRPr="000508B6">
        <w:rPr>
          <w:rFonts w:ascii="Times New Roman" w:hAnsi="Times New Roman" w:cs="Times New Roman"/>
          <w:lang w:val="ro-MD"/>
        </w:rPr>
        <w:t xml:space="preserve"> ca suma cotelor proporționale din cerința de capital sau din cerința de capital noțională ale tuturor </w:t>
      </w:r>
      <w:r w:rsidR="009C501D" w:rsidRPr="000508B6">
        <w:rPr>
          <w:rFonts w:ascii="Times New Roman" w:hAnsi="Times New Roman" w:cs="Times New Roman"/>
          <w:lang w:val="ro-MD"/>
        </w:rPr>
        <w:t xml:space="preserve">entităților </w:t>
      </w:r>
      <w:r w:rsidR="00A0227B" w:rsidRPr="000508B6">
        <w:rPr>
          <w:rFonts w:ascii="Times New Roman" w:hAnsi="Times New Roman" w:cs="Times New Roman"/>
          <w:lang w:val="ro-MD"/>
        </w:rPr>
        <w:t>afiliate.</w:t>
      </w:r>
    </w:p>
    <w:p w14:paraId="5D3DC1FD" w14:textId="5AD6E827" w:rsidR="00A0227B" w:rsidRPr="000508B6" w:rsidRDefault="00266315" w:rsidP="00382433">
      <w:pPr>
        <w:pStyle w:val="Listparagraf"/>
        <w:numPr>
          <w:ilvl w:val="1"/>
          <w:numId w:val="33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DA1BB1">
        <w:rPr>
          <w:rFonts w:ascii="Times New Roman" w:hAnsi="Times New Roman" w:cs="Times New Roman"/>
          <w:lang w:val="ro-MD"/>
        </w:rPr>
        <w:t>firmă</w:t>
      </w:r>
      <w:r w:rsidR="00DA1BB1" w:rsidRPr="000508B6">
        <w:rPr>
          <w:rFonts w:ascii="Times New Roman" w:hAnsi="Times New Roman" w:cs="Times New Roman"/>
          <w:lang w:val="ro-MD"/>
        </w:rPr>
        <w:t xml:space="preserve"> </w:t>
      </w:r>
      <w:r w:rsidRPr="000508B6">
        <w:rPr>
          <w:rFonts w:ascii="Times New Roman" w:hAnsi="Times New Roman" w:cs="Times New Roman"/>
          <w:lang w:val="ro-MD"/>
        </w:rPr>
        <w:t xml:space="preserve">de investiții </w:t>
      </w:r>
      <w:r w:rsidR="001276C8" w:rsidRPr="000508B6">
        <w:rPr>
          <w:rFonts w:ascii="Times New Roman" w:hAnsi="Times New Roman" w:cs="Times New Roman"/>
          <w:lang w:val="ro-MD"/>
        </w:rPr>
        <w:t xml:space="preserve">prevăzută la alin. (1) lit. a), </w:t>
      </w:r>
      <w:r w:rsidRPr="000508B6">
        <w:rPr>
          <w:rFonts w:ascii="Times New Roman" w:hAnsi="Times New Roman" w:cs="Times New Roman"/>
          <w:lang w:val="ro-MD"/>
        </w:rPr>
        <w:t xml:space="preserve">supusă cerințelor de fonduri proprii în conformitate cu cadru normativ privind cerințele prudențiale aferente </w:t>
      </w:r>
      <w:r w:rsidR="00662B1E" w:rsidRPr="000508B6">
        <w:rPr>
          <w:rFonts w:ascii="Times New Roman" w:hAnsi="Times New Roman" w:cs="Times New Roman"/>
          <w:lang w:val="ro-MD"/>
        </w:rPr>
        <w:t>firmelor</w:t>
      </w:r>
      <w:r w:rsidRPr="000508B6">
        <w:rPr>
          <w:rFonts w:ascii="Times New Roman" w:hAnsi="Times New Roman" w:cs="Times New Roman"/>
          <w:lang w:val="ro-MD"/>
        </w:rPr>
        <w:t xml:space="preserve"> de investiții, </w:t>
      </w:r>
      <w:bookmarkStart w:id="138" w:name="_Hlk214020816"/>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CB15BE" w:rsidRPr="000508B6">
        <w:rPr>
          <w:rFonts w:ascii="Times New Roman" w:hAnsi="Times New Roman" w:cs="Times New Roman"/>
          <w:lang w:val="ro-MD"/>
        </w:rPr>
        <w:t xml:space="preserve"> participativ calculează </w:t>
      </w:r>
      <w:r w:rsidR="00A0227B" w:rsidRPr="000508B6">
        <w:rPr>
          <w:rFonts w:ascii="Times New Roman" w:hAnsi="Times New Roman" w:cs="Times New Roman"/>
          <w:lang w:val="ro-MD"/>
        </w:rPr>
        <w:t xml:space="preserve">cerință de capital sau cerință de capital noțională </w:t>
      </w:r>
      <w:r w:rsidR="00CB15BE" w:rsidRPr="000508B6">
        <w:rPr>
          <w:rFonts w:ascii="Times New Roman" w:hAnsi="Times New Roman" w:cs="Times New Roman"/>
          <w:lang w:val="ro-MD"/>
        </w:rPr>
        <w:t>prevăzută la alin. (</w:t>
      </w:r>
      <w:r w:rsidR="00184FE0" w:rsidRPr="000508B6">
        <w:rPr>
          <w:rFonts w:ascii="Times New Roman" w:hAnsi="Times New Roman" w:cs="Times New Roman"/>
          <w:lang w:val="ro-MD"/>
        </w:rPr>
        <w:t>6</w:t>
      </w:r>
      <w:r w:rsidR="00CB15BE" w:rsidRPr="000508B6">
        <w:rPr>
          <w:rFonts w:ascii="Times New Roman" w:hAnsi="Times New Roman" w:cs="Times New Roman"/>
          <w:lang w:val="ro-MD"/>
        </w:rPr>
        <w:t xml:space="preserve">) </w:t>
      </w:r>
      <w:bookmarkEnd w:id="138"/>
      <w:r w:rsidR="00E11F37" w:rsidRPr="000508B6">
        <w:rPr>
          <w:rFonts w:ascii="Times New Roman" w:hAnsi="Times New Roman" w:cs="Times New Roman"/>
          <w:lang w:val="ro-MD"/>
        </w:rPr>
        <w:t>ca fiind</w:t>
      </w:r>
      <w:r w:rsidR="00A0227B" w:rsidRPr="000508B6">
        <w:rPr>
          <w:rFonts w:ascii="Times New Roman" w:hAnsi="Times New Roman" w:cs="Times New Roman"/>
          <w:lang w:val="ro-MD"/>
        </w:rPr>
        <w:t>:</w:t>
      </w:r>
    </w:p>
    <w:p w14:paraId="4F7D5FDE" w14:textId="4D6A17D3" w:rsidR="00266315" w:rsidRPr="000508B6" w:rsidRDefault="00A0227B" w:rsidP="00382433">
      <w:pPr>
        <w:pStyle w:val="Listparagraf"/>
        <w:numPr>
          <w:ilvl w:val="0"/>
          <w:numId w:val="45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DA1BB1">
        <w:rPr>
          <w:rFonts w:ascii="Times New Roman" w:hAnsi="Times New Roman" w:cs="Times New Roman"/>
          <w:lang w:val="ro-MD"/>
        </w:rPr>
        <w:t>firma</w:t>
      </w:r>
      <w:r w:rsidR="00DA1BB1" w:rsidRPr="000508B6">
        <w:rPr>
          <w:rFonts w:ascii="Times New Roman" w:hAnsi="Times New Roman" w:cs="Times New Roman"/>
          <w:lang w:val="ro-MD"/>
        </w:rPr>
        <w:t xml:space="preserve"> </w:t>
      </w:r>
      <w:r w:rsidR="00266315" w:rsidRPr="000508B6">
        <w:rPr>
          <w:rFonts w:ascii="Times New Roman" w:hAnsi="Times New Roman" w:cs="Times New Roman"/>
          <w:lang w:val="ro-MD"/>
        </w:rPr>
        <w:t>de investiții cu sediul central în Republica Moldova</w:t>
      </w:r>
      <w:r w:rsidR="00184FE0" w:rsidRPr="000508B6">
        <w:rPr>
          <w:rFonts w:ascii="Times New Roman" w:hAnsi="Times New Roman" w:cs="Times New Roman"/>
          <w:lang w:val="ro-MD"/>
        </w:rPr>
        <w:t>,</w:t>
      </w:r>
      <w:r w:rsidR="00266315" w:rsidRPr="000508B6">
        <w:rPr>
          <w:rFonts w:ascii="Times New Roman" w:hAnsi="Times New Roman" w:cs="Times New Roman"/>
          <w:lang w:val="ro-MD"/>
        </w:rPr>
        <w:t xml:space="preserve"> suma cerinței</w:t>
      </w:r>
      <w:r w:rsidR="009B20C5" w:rsidRPr="000508B6">
        <w:rPr>
          <w:rFonts w:ascii="Times New Roman" w:hAnsi="Times New Roman" w:cs="Times New Roman"/>
          <w:lang w:val="ro-MD"/>
        </w:rPr>
        <w:t xml:space="preserve"> </w:t>
      </w:r>
      <w:r w:rsidR="00905576" w:rsidRPr="000508B6">
        <w:rPr>
          <w:rFonts w:ascii="Times New Roman" w:hAnsi="Times New Roman" w:cs="Times New Roman"/>
          <w:lang w:val="ro-MD"/>
        </w:rPr>
        <w:t>de fonduri proprii</w:t>
      </w:r>
      <w:r w:rsidR="00266315" w:rsidRPr="000508B6">
        <w:rPr>
          <w:rFonts w:ascii="Times New Roman" w:hAnsi="Times New Roman" w:cs="Times New Roman"/>
          <w:lang w:val="ro-MD"/>
        </w:rPr>
        <w:t xml:space="preserve"> </w:t>
      </w:r>
      <w:r w:rsidR="00905576" w:rsidRPr="000508B6">
        <w:rPr>
          <w:rFonts w:ascii="Times New Roman" w:hAnsi="Times New Roman" w:cs="Times New Roman"/>
          <w:lang w:val="ro-MD"/>
        </w:rPr>
        <w:t xml:space="preserve">prevăzută în cadru normativ privind cerințele prudențiale aferente firmelor de investiții </w:t>
      </w:r>
      <w:r w:rsidR="00266315" w:rsidRPr="000508B6">
        <w:rPr>
          <w:rFonts w:ascii="Times New Roman" w:hAnsi="Times New Roman" w:cs="Times New Roman"/>
          <w:lang w:val="ro-MD"/>
        </w:rPr>
        <w:t>și cerința specifică de fonduri proprii menționat</w:t>
      </w:r>
      <w:r w:rsidR="00905576" w:rsidRPr="000508B6">
        <w:rPr>
          <w:rFonts w:ascii="Times New Roman" w:hAnsi="Times New Roman" w:cs="Times New Roman"/>
          <w:lang w:val="ro-MD"/>
        </w:rPr>
        <w:t>ă</w:t>
      </w:r>
      <w:r w:rsidR="00266315" w:rsidRPr="000508B6">
        <w:rPr>
          <w:rFonts w:ascii="Times New Roman" w:hAnsi="Times New Roman" w:cs="Times New Roman"/>
          <w:lang w:val="ro-MD"/>
        </w:rPr>
        <w:t xml:space="preserve"> </w:t>
      </w:r>
      <w:r w:rsidR="00905576" w:rsidRPr="000508B6">
        <w:rPr>
          <w:rFonts w:ascii="Times New Roman" w:hAnsi="Times New Roman" w:cs="Times New Roman"/>
          <w:lang w:val="ro-MD"/>
        </w:rPr>
        <w:t xml:space="preserve">în </w:t>
      </w:r>
      <w:r w:rsidR="00266315" w:rsidRPr="000508B6">
        <w:rPr>
          <w:rFonts w:ascii="Times New Roman" w:hAnsi="Times New Roman" w:cs="Times New Roman"/>
          <w:lang w:val="ro-MD"/>
        </w:rPr>
        <w:t>Legea nr.</w:t>
      </w:r>
      <w:r w:rsidR="009156C3" w:rsidRPr="000508B6">
        <w:rPr>
          <w:rFonts w:ascii="Times New Roman" w:hAnsi="Times New Roman" w:cs="Times New Roman"/>
          <w:lang w:val="ro-MD"/>
        </w:rPr>
        <w:t xml:space="preserve"> </w:t>
      </w:r>
      <w:r w:rsidR="00266315" w:rsidRPr="000508B6">
        <w:rPr>
          <w:rFonts w:ascii="Times New Roman" w:hAnsi="Times New Roman" w:cs="Times New Roman"/>
          <w:lang w:val="ro-MD"/>
        </w:rPr>
        <w:t>171/2012;</w:t>
      </w:r>
    </w:p>
    <w:p w14:paraId="0328B747" w14:textId="7BE0CCE9" w:rsidR="00266315" w:rsidRPr="000508B6" w:rsidRDefault="00266315" w:rsidP="00382433">
      <w:pPr>
        <w:pStyle w:val="Listparagraf"/>
        <w:numPr>
          <w:ilvl w:val="0"/>
          <w:numId w:val="45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2A4D89">
        <w:rPr>
          <w:rFonts w:ascii="Times New Roman" w:hAnsi="Times New Roman" w:cs="Times New Roman"/>
          <w:lang w:val="ro-MD"/>
        </w:rPr>
        <w:t>firma</w:t>
      </w:r>
      <w:r w:rsidR="002A4D89" w:rsidRPr="000508B6">
        <w:rPr>
          <w:rFonts w:ascii="Times New Roman" w:hAnsi="Times New Roman" w:cs="Times New Roman"/>
          <w:lang w:val="ro-MD"/>
        </w:rPr>
        <w:t xml:space="preserve"> </w:t>
      </w:r>
      <w:r w:rsidRPr="000508B6">
        <w:rPr>
          <w:rFonts w:ascii="Times New Roman" w:hAnsi="Times New Roman" w:cs="Times New Roman"/>
          <w:lang w:val="ro-MD"/>
        </w:rPr>
        <w:t>de investiții</w:t>
      </w:r>
      <w:r w:rsidR="000F7500" w:rsidRPr="000508B6">
        <w:rPr>
          <w:rFonts w:ascii="Times New Roman" w:hAnsi="Times New Roman" w:cs="Times New Roman"/>
          <w:lang w:val="ro-MD"/>
        </w:rPr>
        <w:t xml:space="preserve"> cu sediul central în state</w:t>
      </w:r>
      <w:r w:rsidR="000B198B" w:rsidRPr="000508B6">
        <w:rPr>
          <w:rFonts w:ascii="Times New Roman" w:hAnsi="Times New Roman" w:cs="Times New Roman"/>
          <w:lang w:val="ro-MD"/>
        </w:rPr>
        <w:t>le</w:t>
      </w:r>
      <w:r w:rsidR="000F7500" w:rsidRPr="000508B6">
        <w:rPr>
          <w:rFonts w:ascii="Times New Roman" w:hAnsi="Times New Roman" w:cs="Times New Roman"/>
          <w:lang w:val="ro-MD"/>
        </w:rPr>
        <w:t xml:space="preserve"> membre</w:t>
      </w:r>
      <w:r w:rsidR="00184FE0" w:rsidRPr="000508B6">
        <w:rPr>
          <w:rFonts w:ascii="Times New Roman" w:hAnsi="Times New Roman" w:cs="Times New Roman"/>
          <w:lang w:val="ro-MD"/>
        </w:rPr>
        <w:t>,</w:t>
      </w:r>
      <w:r w:rsidR="000F7500" w:rsidRPr="000508B6">
        <w:rPr>
          <w:rFonts w:ascii="Times New Roman" w:hAnsi="Times New Roman" w:cs="Times New Roman"/>
          <w:lang w:val="ro-MD"/>
        </w:rPr>
        <w:t xml:space="preserve"> suma cerințelor prevăzute de</w:t>
      </w:r>
      <w:r w:rsidRPr="000508B6">
        <w:rPr>
          <w:rFonts w:ascii="Times New Roman" w:hAnsi="Times New Roman" w:cs="Times New Roman"/>
          <w:lang w:val="ro-MD"/>
        </w:rPr>
        <w:t xml:space="preserve"> </w:t>
      </w:r>
      <w:r w:rsidR="00915176" w:rsidRPr="000508B6">
        <w:rPr>
          <w:rFonts w:ascii="Times New Roman" w:hAnsi="Times New Roman" w:cs="Times New Roman"/>
          <w:lang w:val="ro-MD"/>
        </w:rPr>
        <w:t xml:space="preserve"> art. 11 din Regulamentul (UE) 2019/2033</w:t>
      </w:r>
      <w:r w:rsidR="00915176">
        <w:rPr>
          <w:rFonts w:ascii="Times New Roman" w:hAnsi="Times New Roman" w:cs="Times New Roman"/>
          <w:lang w:val="ro-MD"/>
        </w:rPr>
        <w:t xml:space="preserve"> și </w:t>
      </w:r>
      <w:r w:rsidR="007B00A6">
        <w:rPr>
          <w:rFonts w:ascii="Times New Roman" w:hAnsi="Times New Roman" w:cs="Times New Roman"/>
          <w:lang w:val="ro-MD"/>
        </w:rPr>
        <w:t>cerința specifică de fonduri proprii menționat</w:t>
      </w:r>
      <w:r w:rsidR="005756BD">
        <w:rPr>
          <w:rFonts w:ascii="Times New Roman" w:hAnsi="Times New Roman" w:cs="Times New Roman"/>
          <w:lang w:val="ro-MD"/>
        </w:rPr>
        <w:t>ă</w:t>
      </w:r>
      <w:r w:rsidR="007B00A6">
        <w:rPr>
          <w:rFonts w:ascii="Times New Roman" w:hAnsi="Times New Roman" w:cs="Times New Roman"/>
          <w:lang w:val="ro-MD"/>
        </w:rPr>
        <w:t xml:space="preserve"> în </w:t>
      </w:r>
      <w:r w:rsidR="00915176">
        <w:rPr>
          <w:rFonts w:ascii="Times New Roman" w:hAnsi="Times New Roman" w:cs="Times New Roman"/>
          <w:lang w:val="ro-MD"/>
        </w:rPr>
        <w:t>actul</w:t>
      </w:r>
      <w:r w:rsidR="001356BF">
        <w:rPr>
          <w:rFonts w:ascii="Times New Roman" w:hAnsi="Times New Roman" w:cs="Times New Roman"/>
          <w:lang w:val="ro-MD"/>
        </w:rPr>
        <w:t xml:space="preserve"> normativ</w:t>
      </w:r>
      <w:r w:rsidR="00915176">
        <w:rPr>
          <w:rFonts w:ascii="Times New Roman" w:hAnsi="Times New Roman" w:cs="Times New Roman"/>
          <w:lang w:val="ro-MD"/>
        </w:rPr>
        <w:t xml:space="preserve"> din statul membru respectiv</w:t>
      </w:r>
      <w:r w:rsidR="007B00A6">
        <w:rPr>
          <w:rFonts w:ascii="Times New Roman" w:hAnsi="Times New Roman" w:cs="Times New Roman"/>
          <w:lang w:val="ro-MD"/>
        </w:rPr>
        <w:t xml:space="preserve">, care transpune prevederile  art.39 alin.(2) </w:t>
      </w:r>
      <w:proofErr w:type="spellStart"/>
      <w:r w:rsidR="007B00A6">
        <w:rPr>
          <w:rFonts w:ascii="Times New Roman" w:hAnsi="Times New Roman" w:cs="Times New Roman"/>
          <w:lang w:val="ro-MD"/>
        </w:rPr>
        <w:t>lit.a</w:t>
      </w:r>
      <w:proofErr w:type="spellEnd"/>
      <w:r w:rsidR="007B00A6">
        <w:rPr>
          <w:rFonts w:ascii="Times New Roman" w:hAnsi="Times New Roman" w:cs="Times New Roman"/>
          <w:lang w:val="ro-MD"/>
        </w:rPr>
        <w:t>) din Directiva (UE) 2019/2034 a Parlamentului European și a Consiliului</w:t>
      </w:r>
      <w:r w:rsidRPr="000508B6">
        <w:rPr>
          <w:rFonts w:ascii="Times New Roman" w:hAnsi="Times New Roman" w:cs="Times New Roman"/>
          <w:lang w:val="ro-MD"/>
        </w:rPr>
        <w:t>;</w:t>
      </w:r>
      <w:r w:rsidR="00915176">
        <w:rPr>
          <w:rFonts w:ascii="Times New Roman" w:hAnsi="Times New Roman" w:cs="Times New Roman"/>
          <w:lang w:val="ro-MD"/>
        </w:rPr>
        <w:t xml:space="preserve"> </w:t>
      </w:r>
    </w:p>
    <w:p w14:paraId="15FD418C" w14:textId="050634D3" w:rsidR="00266315" w:rsidRPr="000508B6" w:rsidRDefault="000F7500" w:rsidP="004610B7">
      <w:pPr>
        <w:pStyle w:val="Listparagraf"/>
        <w:numPr>
          <w:ilvl w:val="0"/>
          <w:numId w:val="459"/>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061D63">
        <w:rPr>
          <w:rFonts w:ascii="Times New Roman" w:hAnsi="Times New Roman" w:cs="Times New Roman"/>
          <w:lang w:val="ro-MD"/>
        </w:rPr>
        <w:t>firma</w:t>
      </w:r>
      <w:r w:rsidR="00061D63" w:rsidRPr="000508B6">
        <w:rPr>
          <w:rFonts w:ascii="Times New Roman" w:hAnsi="Times New Roman" w:cs="Times New Roman"/>
          <w:lang w:val="ro-MD"/>
        </w:rPr>
        <w:t xml:space="preserve"> </w:t>
      </w:r>
      <w:r w:rsidRPr="000508B6">
        <w:rPr>
          <w:rFonts w:ascii="Times New Roman" w:hAnsi="Times New Roman" w:cs="Times New Roman"/>
          <w:lang w:val="ro-MD"/>
        </w:rPr>
        <w:t>de investiții cu sediul central în statele terțe, suma cerințelor locale de fonduri proprii</w:t>
      </w:r>
      <w:r w:rsidR="00741B79" w:rsidRPr="000508B6">
        <w:rPr>
          <w:rFonts w:ascii="Times New Roman" w:hAnsi="Times New Roman" w:cs="Times New Roman"/>
          <w:lang w:val="ro-MD"/>
        </w:rPr>
        <w:t xml:space="preserve"> din statele terțe</w:t>
      </w:r>
      <w:r w:rsidRPr="000508B6">
        <w:rPr>
          <w:rFonts w:ascii="Times New Roman" w:hAnsi="Times New Roman" w:cs="Times New Roman"/>
          <w:lang w:val="ro-MD"/>
        </w:rPr>
        <w:t>.</w:t>
      </w:r>
    </w:p>
    <w:p w14:paraId="01C454D0" w14:textId="4854FE38" w:rsidR="007B684F" w:rsidRPr="000508B6" w:rsidRDefault="008254BF" w:rsidP="006474A9">
      <w:pPr>
        <w:pStyle w:val="Listparagraf"/>
        <w:numPr>
          <w:ilvl w:val="1"/>
          <w:numId w:val="33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bookmarkStart w:id="139" w:name="_Hlk214376488"/>
      <w:r w:rsidR="00E3231C" w:rsidRPr="000508B6">
        <w:rPr>
          <w:rFonts w:ascii="Times New Roman" w:hAnsi="Times New Roman" w:cs="Times New Roman"/>
          <w:lang w:val="ro-MD"/>
        </w:rPr>
        <w:t>instituți</w:t>
      </w:r>
      <w:r w:rsidR="002A6891" w:rsidRPr="000508B6">
        <w:rPr>
          <w:rFonts w:ascii="Times New Roman" w:hAnsi="Times New Roman" w:cs="Times New Roman"/>
          <w:lang w:val="ro-MD"/>
        </w:rPr>
        <w:t>a</w:t>
      </w:r>
      <w:r w:rsidR="00E3231C" w:rsidRPr="000508B6">
        <w:rPr>
          <w:rFonts w:ascii="Times New Roman" w:hAnsi="Times New Roman" w:cs="Times New Roman"/>
          <w:lang w:val="ro-MD"/>
        </w:rPr>
        <w:t xml:space="preserve"> de credit</w:t>
      </w:r>
      <w:bookmarkEnd w:id="139"/>
      <w:r w:rsidR="00184FE0" w:rsidRPr="000508B6">
        <w:rPr>
          <w:rFonts w:ascii="Times New Roman" w:hAnsi="Times New Roman" w:cs="Times New Roman"/>
          <w:lang w:val="ro-MD"/>
        </w:rPr>
        <w:t xml:space="preserve"> prevăzută la alin. (1) lit. a)</w:t>
      </w:r>
      <w:r w:rsidR="007B684F"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F80B77" w:rsidRPr="000508B6">
        <w:rPr>
          <w:rFonts w:ascii="Times New Roman" w:hAnsi="Times New Roman" w:cs="Times New Roman"/>
          <w:lang w:val="ro-MD"/>
        </w:rPr>
        <w:t xml:space="preserve"> participativ calculează </w:t>
      </w:r>
      <w:r w:rsidR="00741B79" w:rsidRPr="000508B6">
        <w:rPr>
          <w:rFonts w:ascii="Times New Roman" w:hAnsi="Times New Roman" w:cs="Times New Roman"/>
          <w:lang w:val="ro-MD"/>
        </w:rPr>
        <w:t>cerința de capital sau cerința de capital noțională prevăzută la alin. (</w:t>
      </w:r>
      <w:r w:rsidR="00184FE0" w:rsidRPr="000508B6">
        <w:rPr>
          <w:rFonts w:ascii="Times New Roman" w:hAnsi="Times New Roman" w:cs="Times New Roman"/>
          <w:lang w:val="ro-MD"/>
        </w:rPr>
        <w:t>6</w:t>
      </w:r>
      <w:r w:rsidR="00741B79" w:rsidRPr="000508B6">
        <w:rPr>
          <w:rFonts w:ascii="Times New Roman" w:hAnsi="Times New Roman" w:cs="Times New Roman"/>
          <w:lang w:val="ro-MD"/>
        </w:rPr>
        <w:t xml:space="preserve">) ca fiind </w:t>
      </w:r>
      <w:r w:rsidR="007B684F" w:rsidRPr="000508B6">
        <w:rPr>
          <w:rFonts w:ascii="Times New Roman" w:hAnsi="Times New Roman" w:cs="Times New Roman"/>
          <w:lang w:val="ro-MD"/>
        </w:rPr>
        <w:t>cea mai mare dintre valori</w:t>
      </w:r>
      <w:r w:rsidR="00741B79" w:rsidRPr="000508B6">
        <w:rPr>
          <w:rFonts w:ascii="Times New Roman" w:hAnsi="Times New Roman" w:cs="Times New Roman"/>
          <w:lang w:val="ro-MD"/>
        </w:rPr>
        <w:t>le prevăzute la lit.</w:t>
      </w:r>
      <w:r w:rsidR="009156C3" w:rsidRPr="000508B6">
        <w:rPr>
          <w:rFonts w:ascii="Times New Roman" w:hAnsi="Times New Roman" w:cs="Times New Roman"/>
          <w:lang w:val="ro-MD"/>
        </w:rPr>
        <w:t xml:space="preserve"> </w:t>
      </w:r>
      <w:r w:rsidR="00741B79" w:rsidRPr="000508B6">
        <w:rPr>
          <w:rFonts w:ascii="Times New Roman" w:hAnsi="Times New Roman" w:cs="Times New Roman"/>
          <w:lang w:val="ro-MD"/>
        </w:rPr>
        <w:t>a) și b)</w:t>
      </w:r>
      <w:r w:rsidR="007B684F" w:rsidRPr="000508B6">
        <w:rPr>
          <w:rFonts w:ascii="Times New Roman" w:hAnsi="Times New Roman" w:cs="Times New Roman"/>
          <w:lang w:val="ro-MD"/>
        </w:rPr>
        <w:t>:</w:t>
      </w:r>
    </w:p>
    <w:p w14:paraId="22ABC2DC" w14:textId="412F863C" w:rsidR="00741B79" w:rsidRPr="000508B6" w:rsidRDefault="00741B79" w:rsidP="00382433">
      <w:pPr>
        <w:pStyle w:val="Listparagraf"/>
        <w:numPr>
          <w:ilvl w:val="2"/>
          <w:numId w:val="193"/>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suma dintre:</w:t>
      </w:r>
    </w:p>
    <w:p w14:paraId="6A7C3F82" w14:textId="081A93F1" w:rsidR="00C300F6" w:rsidRPr="000508B6" w:rsidRDefault="00F80B77" w:rsidP="00382433">
      <w:pPr>
        <w:pStyle w:val="Listparagraf"/>
        <w:numPr>
          <w:ilvl w:val="0"/>
          <w:numId w:val="451"/>
        </w:numPr>
        <w:tabs>
          <w:tab w:val="left" w:pos="567"/>
          <w:tab w:val="left" w:pos="709"/>
          <w:tab w:val="left" w:pos="851"/>
          <w:tab w:val="left" w:pos="993"/>
          <w:tab w:val="left" w:pos="1276"/>
        </w:tabs>
        <w:spacing w:after="0" w:line="240" w:lineRule="auto"/>
        <w:ind w:left="142" w:firstLine="567"/>
        <w:jc w:val="both"/>
        <w:rPr>
          <w:rFonts w:ascii="Times New Roman" w:hAnsi="Times New Roman" w:cs="Times New Roman"/>
          <w:lang w:val="ro-MD"/>
        </w:rPr>
      </w:pPr>
      <w:r w:rsidRPr="000508B6">
        <w:rPr>
          <w:rFonts w:ascii="Times New Roman" w:hAnsi="Times New Roman" w:cs="Times New Roman"/>
          <w:lang w:val="ro-MD"/>
        </w:rPr>
        <w:t xml:space="preserve">pentru </w:t>
      </w:r>
      <w:r w:rsidR="00E3231C" w:rsidRPr="000508B6">
        <w:rPr>
          <w:rFonts w:ascii="Times New Roman" w:hAnsi="Times New Roman" w:cs="Times New Roman"/>
          <w:lang w:val="ro-MD"/>
        </w:rPr>
        <w:t xml:space="preserve">instituția de credit </w:t>
      </w:r>
      <w:r w:rsidRPr="000508B6">
        <w:rPr>
          <w:rFonts w:ascii="Times New Roman" w:hAnsi="Times New Roman" w:cs="Times New Roman"/>
          <w:lang w:val="ro-MD"/>
        </w:rPr>
        <w:t xml:space="preserve">cu sediul central în Republica Moldova, </w:t>
      </w:r>
      <w:r w:rsidR="00A0227B" w:rsidRPr="000508B6">
        <w:rPr>
          <w:rFonts w:ascii="Times New Roman" w:hAnsi="Times New Roman" w:cs="Times New Roman"/>
          <w:lang w:val="ro-MD"/>
        </w:rPr>
        <w:t xml:space="preserve">suma cerinței </w:t>
      </w:r>
      <w:r w:rsidR="00B00D7E" w:rsidRPr="000508B6">
        <w:rPr>
          <w:rFonts w:ascii="Times New Roman" w:hAnsi="Times New Roman" w:cs="Times New Roman"/>
          <w:lang w:val="ro-MD"/>
        </w:rPr>
        <w:t xml:space="preserve">prevăzută </w:t>
      </w:r>
      <w:r w:rsidR="00AC063D">
        <w:rPr>
          <w:rFonts w:ascii="Times New Roman" w:hAnsi="Times New Roman" w:cs="Times New Roman"/>
          <w:lang w:val="ro-MD"/>
        </w:rPr>
        <w:t>de actele normative ale Băncii Naționale a Moldovei</w:t>
      </w:r>
      <w:r w:rsidR="00395918" w:rsidRPr="000508B6">
        <w:rPr>
          <w:rFonts w:ascii="Times New Roman" w:hAnsi="Times New Roman" w:cs="Times New Roman"/>
          <w:lang w:val="ro-MD"/>
        </w:rPr>
        <w:t>,</w:t>
      </w:r>
      <w:r w:rsidR="00A0227B" w:rsidRPr="000508B6">
        <w:rPr>
          <w:rFonts w:ascii="Times New Roman" w:hAnsi="Times New Roman" w:cs="Times New Roman"/>
          <w:lang w:val="ro-MD"/>
        </w:rPr>
        <w:t xml:space="preserve"> a </w:t>
      </w:r>
      <w:r w:rsidR="00B00D7E" w:rsidRPr="000508B6">
        <w:rPr>
          <w:rFonts w:ascii="Times New Roman" w:hAnsi="Times New Roman" w:cs="Times New Roman"/>
          <w:lang w:val="ro-MD"/>
        </w:rPr>
        <w:t>cerinței</w:t>
      </w:r>
      <w:r w:rsidR="00A0227B" w:rsidRPr="000508B6">
        <w:rPr>
          <w:rFonts w:ascii="Times New Roman" w:hAnsi="Times New Roman" w:cs="Times New Roman"/>
          <w:lang w:val="ro-MD"/>
        </w:rPr>
        <w:t xml:space="preserve"> specifice de fonduri proprii pentru acoperirea altor riscuri decât riscul asociat folosirii excesive a efectului de levier menționate </w:t>
      </w:r>
      <w:r w:rsidR="003D185E" w:rsidRPr="000508B6">
        <w:rPr>
          <w:rFonts w:ascii="Times New Roman" w:hAnsi="Times New Roman" w:cs="Times New Roman"/>
          <w:lang w:val="ro-MD"/>
        </w:rPr>
        <w:t>în</w:t>
      </w:r>
      <w:r w:rsidR="00A0227B" w:rsidRPr="000508B6">
        <w:rPr>
          <w:rFonts w:ascii="Times New Roman" w:hAnsi="Times New Roman" w:cs="Times New Roman"/>
          <w:lang w:val="ro-MD"/>
        </w:rPr>
        <w:t xml:space="preserve"> </w:t>
      </w:r>
      <w:r w:rsidR="00AE0E6C" w:rsidRPr="000508B6">
        <w:rPr>
          <w:rFonts w:ascii="Times New Roman" w:hAnsi="Times New Roman" w:cs="Times New Roman"/>
          <w:lang w:val="ro-MD"/>
        </w:rPr>
        <w:t xml:space="preserve">art. 139 din </w:t>
      </w:r>
      <w:r w:rsidR="001B3B14" w:rsidRPr="000508B6">
        <w:rPr>
          <w:rFonts w:ascii="Times New Roman" w:hAnsi="Times New Roman" w:cs="Times New Roman"/>
          <w:lang w:val="ro-MD"/>
        </w:rPr>
        <w:t>Legea nr.</w:t>
      </w:r>
      <w:r w:rsidR="006474A9" w:rsidRPr="000508B6">
        <w:rPr>
          <w:rFonts w:ascii="Times New Roman" w:hAnsi="Times New Roman" w:cs="Times New Roman"/>
          <w:lang w:val="ro-MD"/>
        </w:rPr>
        <w:t xml:space="preserve"> </w:t>
      </w:r>
      <w:r w:rsidR="001B3B14" w:rsidRPr="000508B6">
        <w:rPr>
          <w:rFonts w:ascii="Times New Roman" w:hAnsi="Times New Roman" w:cs="Times New Roman"/>
          <w:lang w:val="ro-MD"/>
        </w:rPr>
        <w:t>202/2017</w:t>
      </w:r>
      <w:r w:rsidR="00A0227B" w:rsidRPr="000508B6">
        <w:rPr>
          <w:rFonts w:ascii="Times New Roman" w:hAnsi="Times New Roman" w:cs="Times New Roman"/>
          <w:lang w:val="ro-MD"/>
        </w:rPr>
        <w:t xml:space="preserve">, a cerinței de amortizor combinat </w:t>
      </w:r>
      <w:r w:rsidR="00B00D7E" w:rsidRPr="000508B6">
        <w:rPr>
          <w:rFonts w:ascii="Times New Roman" w:hAnsi="Times New Roman" w:cs="Times New Roman"/>
          <w:lang w:val="ro-MD"/>
        </w:rPr>
        <w:t xml:space="preserve">astfel cum este </w:t>
      </w:r>
      <w:r w:rsidR="00A0227B" w:rsidRPr="000508B6">
        <w:rPr>
          <w:rFonts w:ascii="Times New Roman" w:hAnsi="Times New Roman" w:cs="Times New Roman"/>
          <w:lang w:val="ro-MD"/>
        </w:rPr>
        <w:t>definit</w:t>
      </w:r>
      <w:r w:rsidR="001B3B14" w:rsidRPr="000508B6">
        <w:rPr>
          <w:rFonts w:ascii="Times New Roman" w:hAnsi="Times New Roman" w:cs="Times New Roman"/>
          <w:lang w:val="ro-MD"/>
        </w:rPr>
        <w:t xml:space="preserve"> </w:t>
      </w:r>
      <w:r w:rsidR="009B549C" w:rsidRPr="000508B6">
        <w:rPr>
          <w:rFonts w:ascii="Times New Roman" w:hAnsi="Times New Roman" w:cs="Times New Roman"/>
          <w:lang w:val="ro-MD"/>
        </w:rPr>
        <w:t xml:space="preserve">în </w:t>
      </w:r>
      <w:r w:rsidR="00AC063D">
        <w:rPr>
          <w:rFonts w:ascii="Times New Roman" w:hAnsi="Times New Roman" w:cs="Times New Roman"/>
          <w:lang w:val="ro-MD"/>
        </w:rPr>
        <w:t>actele normative ale Băncii Naționale a Moldovei</w:t>
      </w:r>
      <w:r w:rsidR="00C300F6" w:rsidRPr="000508B6">
        <w:rPr>
          <w:rFonts w:ascii="Times New Roman" w:hAnsi="Times New Roman" w:cs="Times New Roman"/>
          <w:lang w:val="ro-MD"/>
        </w:rPr>
        <w:t>;</w:t>
      </w:r>
    </w:p>
    <w:p w14:paraId="70979DD9" w14:textId="62DE9D00" w:rsidR="00BD41BC" w:rsidRPr="000508B6" w:rsidRDefault="00371ABC" w:rsidP="00382433">
      <w:pPr>
        <w:pStyle w:val="Listparagraf"/>
        <w:numPr>
          <w:ilvl w:val="0"/>
          <w:numId w:val="451"/>
        </w:numPr>
        <w:tabs>
          <w:tab w:val="left" w:pos="567"/>
          <w:tab w:val="left" w:pos="709"/>
          <w:tab w:val="left" w:pos="851"/>
          <w:tab w:val="left" w:pos="993"/>
          <w:tab w:val="left" w:pos="1276"/>
        </w:tabs>
        <w:spacing w:after="0" w:line="240" w:lineRule="auto"/>
        <w:ind w:left="142" w:firstLine="567"/>
        <w:jc w:val="both"/>
        <w:rPr>
          <w:rFonts w:ascii="Times New Roman" w:hAnsi="Times New Roman" w:cs="Times New Roman"/>
          <w:lang w:val="ro-MD"/>
        </w:rPr>
      </w:pPr>
      <w:r w:rsidRPr="000508B6">
        <w:rPr>
          <w:rFonts w:ascii="Times New Roman" w:hAnsi="Times New Roman" w:cs="Times New Roman"/>
          <w:lang w:val="ro-MD"/>
        </w:rPr>
        <w:t>p</w:t>
      </w:r>
      <w:r w:rsidR="00C300F6" w:rsidRPr="000508B6">
        <w:rPr>
          <w:rFonts w:ascii="Times New Roman" w:hAnsi="Times New Roman" w:cs="Times New Roman"/>
          <w:lang w:val="ro-MD"/>
        </w:rPr>
        <w:t xml:space="preserve">entru </w:t>
      </w:r>
      <w:r w:rsidR="00E3231C" w:rsidRPr="000508B6">
        <w:rPr>
          <w:rFonts w:ascii="Times New Roman" w:hAnsi="Times New Roman" w:cs="Times New Roman"/>
          <w:lang w:val="ro-MD"/>
        </w:rPr>
        <w:t xml:space="preserve">instituția de credit </w:t>
      </w:r>
      <w:r w:rsidR="00C300F6" w:rsidRPr="000508B6">
        <w:rPr>
          <w:rFonts w:ascii="Times New Roman" w:hAnsi="Times New Roman" w:cs="Times New Roman"/>
          <w:lang w:val="ro-MD"/>
        </w:rPr>
        <w:t>cu sediul central în alte state membre</w:t>
      </w:r>
      <w:r w:rsidR="00395918" w:rsidRPr="000508B6">
        <w:rPr>
          <w:rFonts w:ascii="Times New Roman" w:hAnsi="Times New Roman" w:cs="Times New Roman"/>
          <w:lang w:val="ro-MD"/>
        </w:rPr>
        <w:t>,</w:t>
      </w:r>
      <w:r w:rsidR="00C300F6" w:rsidRPr="000508B6">
        <w:rPr>
          <w:rFonts w:ascii="Times New Roman" w:hAnsi="Times New Roman" w:cs="Times New Roman"/>
          <w:lang w:val="ro-MD"/>
        </w:rPr>
        <w:t xml:space="preserve"> suma cerinței stabilite la art</w:t>
      </w:r>
      <w:r w:rsidR="002A6891" w:rsidRPr="000508B6">
        <w:rPr>
          <w:rFonts w:ascii="Times New Roman" w:hAnsi="Times New Roman" w:cs="Times New Roman"/>
          <w:lang w:val="ro-MD"/>
        </w:rPr>
        <w:t>.</w:t>
      </w:r>
      <w:r w:rsidR="00C300F6" w:rsidRPr="000508B6">
        <w:rPr>
          <w:rFonts w:ascii="Times New Roman" w:hAnsi="Times New Roman" w:cs="Times New Roman"/>
          <w:lang w:val="ro-MD"/>
        </w:rPr>
        <w:t xml:space="preserve"> 92 alin</w:t>
      </w:r>
      <w:r w:rsidR="002A6891" w:rsidRPr="000508B6">
        <w:rPr>
          <w:rFonts w:ascii="Times New Roman" w:hAnsi="Times New Roman" w:cs="Times New Roman"/>
          <w:lang w:val="ro-MD"/>
        </w:rPr>
        <w:t>.</w:t>
      </w:r>
      <w:r w:rsidR="00C300F6" w:rsidRPr="000508B6">
        <w:rPr>
          <w:rFonts w:ascii="Times New Roman" w:hAnsi="Times New Roman" w:cs="Times New Roman"/>
          <w:lang w:val="ro-MD"/>
        </w:rPr>
        <w:t xml:space="preserve"> (1) lit</w:t>
      </w:r>
      <w:r w:rsidR="002A6891" w:rsidRPr="000508B6">
        <w:rPr>
          <w:rFonts w:ascii="Times New Roman" w:hAnsi="Times New Roman" w:cs="Times New Roman"/>
          <w:lang w:val="ro-MD"/>
        </w:rPr>
        <w:t xml:space="preserve">. </w:t>
      </w:r>
      <w:r w:rsidR="00C300F6" w:rsidRPr="000508B6">
        <w:rPr>
          <w:rFonts w:ascii="Times New Roman" w:hAnsi="Times New Roman" w:cs="Times New Roman"/>
          <w:lang w:val="ro-MD"/>
        </w:rPr>
        <w:t xml:space="preserve">c) din Regulamentul (UE) nr. 575/2013, inclusiv a măsurilor menționate la </w:t>
      </w:r>
      <w:r w:rsidR="006474A9" w:rsidRPr="000508B6">
        <w:rPr>
          <w:rFonts w:ascii="Times New Roman" w:hAnsi="Times New Roman" w:cs="Times New Roman"/>
          <w:lang w:val="ro-MD"/>
        </w:rPr>
        <w:t xml:space="preserve">art. </w:t>
      </w:r>
      <w:r w:rsidR="00C300F6" w:rsidRPr="000508B6">
        <w:rPr>
          <w:rFonts w:ascii="Times New Roman" w:hAnsi="Times New Roman" w:cs="Times New Roman"/>
          <w:lang w:val="ro-MD"/>
        </w:rPr>
        <w:t xml:space="preserve">458 și 459 din regulamentul respectiv, a cerințelor specifice de fonduri proprii pentru acoperirea altor riscuri decât riscul asociat folosirii excesive a efectului de levier menționate la </w:t>
      </w:r>
      <w:r w:rsidR="001356BF">
        <w:rPr>
          <w:rFonts w:ascii="Times New Roman" w:hAnsi="Times New Roman" w:cs="Times New Roman"/>
          <w:lang w:val="ro-MD"/>
        </w:rPr>
        <w:t xml:space="preserve">actul normativ din statul membru respectiv care transpune </w:t>
      </w:r>
      <w:r w:rsidR="005756BD" w:rsidRPr="000508B6">
        <w:rPr>
          <w:rFonts w:ascii="Times New Roman" w:hAnsi="Times New Roman" w:cs="Times New Roman"/>
          <w:lang w:val="ro-MD"/>
        </w:rPr>
        <w:t xml:space="preserve">art. 104 din </w:t>
      </w:r>
      <w:r w:rsidR="00C300F6" w:rsidRPr="000508B6">
        <w:rPr>
          <w:rFonts w:ascii="Times New Roman" w:hAnsi="Times New Roman" w:cs="Times New Roman"/>
          <w:lang w:val="ro-MD"/>
        </w:rPr>
        <w:t xml:space="preserve">Directiva 2013/36/UE, a cerinței de amortizor combinat definite la </w:t>
      </w:r>
      <w:r w:rsidR="006474A9" w:rsidRPr="000508B6">
        <w:rPr>
          <w:rFonts w:ascii="Times New Roman" w:hAnsi="Times New Roman" w:cs="Times New Roman"/>
          <w:lang w:val="ro-MD"/>
        </w:rPr>
        <w:t xml:space="preserve">art. </w:t>
      </w:r>
      <w:r w:rsidR="00C300F6" w:rsidRPr="000508B6">
        <w:rPr>
          <w:rFonts w:ascii="Times New Roman" w:hAnsi="Times New Roman" w:cs="Times New Roman"/>
          <w:lang w:val="ro-MD"/>
        </w:rPr>
        <w:t xml:space="preserve">128 </w:t>
      </w:r>
      <w:r w:rsidR="006474A9" w:rsidRPr="000508B6">
        <w:rPr>
          <w:rFonts w:ascii="Times New Roman" w:hAnsi="Times New Roman" w:cs="Times New Roman"/>
          <w:lang w:val="ro-MD"/>
        </w:rPr>
        <w:t xml:space="preserve">pct. </w:t>
      </w:r>
      <w:r w:rsidR="00C300F6" w:rsidRPr="000508B6">
        <w:rPr>
          <w:rFonts w:ascii="Times New Roman" w:hAnsi="Times New Roman" w:cs="Times New Roman"/>
          <w:lang w:val="ro-MD"/>
        </w:rPr>
        <w:t>6 din respectiv</w:t>
      </w:r>
      <w:r w:rsidR="001356BF">
        <w:rPr>
          <w:rFonts w:ascii="Times New Roman" w:hAnsi="Times New Roman" w:cs="Times New Roman"/>
          <w:lang w:val="ro-MD"/>
        </w:rPr>
        <w:t>ul</w:t>
      </w:r>
      <w:r w:rsidR="00C300F6" w:rsidRPr="000508B6">
        <w:rPr>
          <w:rFonts w:ascii="Times New Roman" w:hAnsi="Times New Roman" w:cs="Times New Roman"/>
          <w:lang w:val="ro-MD"/>
        </w:rPr>
        <w:t xml:space="preserve"> </w:t>
      </w:r>
      <w:r w:rsidR="001356BF">
        <w:rPr>
          <w:rFonts w:ascii="Times New Roman" w:hAnsi="Times New Roman" w:cs="Times New Roman"/>
          <w:lang w:val="ro-MD"/>
        </w:rPr>
        <w:t>act</w:t>
      </w:r>
      <w:r w:rsidR="00A0227B" w:rsidRPr="000508B6">
        <w:rPr>
          <w:rFonts w:ascii="Times New Roman" w:hAnsi="Times New Roman" w:cs="Times New Roman"/>
          <w:lang w:val="ro-MD"/>
        </w:rPr>
        <w:t>;</w:t>
      </w:r>
    </w:p>
    <w:p w14:paraId="33D9C110" w14:textId="1F818D35" w:rsidR="00A0227B" w:rsidRPr="000508B6" w:rsidRDefault="00C300F6" w:rsidP="00382433">
      <w:pPr>
        <w:pStyle w:val="Listparagraf"/>
        <w:numPr>
          <w:ilvl w:val="0"/>
          <w:numId w:val="451"/>
        </w:numPr>
        <w:tabs>
          <w:tab w:val="left" w:pos="567"/>
          <w:tab w:val="left" w:pos="709"/>
          <w:tab w:val="left" w:pos="851"/>
          <w:tab w:val="left" w:pos="993"/>
          <w:tab w:val="left" w:pos="1276"/>
        </w:tabs>
        <w:spacing w:after="0" w:line="240" w:lineRule="auto"/>
        <w:ind w:left="142" w:firstLine="567"/>
        <w:jc w:val="both"/>
        <w:rPr>
          <w:rFonts w:ascii="Times New Roman" w:hAnsi="Times New Roman" w:cs="Times New Roman"/>
          <w:lang w:val="ro-MD"/>
        </w:rPr>
      </w:pPr>
      <w:r w:rsidRPr="000508B6">
        <w:rPr>
          <w:rFonts w:ascii="Times New Roman" w:hAnsi="Times New Roman" w:cs="Times New Roman"/>
          <w:lang w:val="ro-MD"/>
        </w:rPr>
        <w:t xml:space="preserve">pentru </w:t>
      </w:r>
      <w:r w:rsidR="00E3231C" w:rsidRPr="000508B6">
        <w:rPr>
          <w:rFonts w:ascii="Times New Roman" w:hAnsi="Times New Roman" w:cs="Times New Roman"/>
          <w:lang w:val="ro-MD"/>
        </w:rPr>
        <w:t xml:space="preserve">instituția de credit </w:t>
      </w:r>
      <w:r w:rsidRPr="000508B6">
        <w:rPr>
          <w:rFonts w:ascii="Times New Roman" w:hAnsi="Times New Roman" w:cs="Times New Roman"/>
          <w:lang w:val="ro-MD"/>
        </w:rPr>
        <w:t>cu sediul central în statele terțe, suma cerințelor locale de fonduri proprii</w:t>
      </w:r>
      <w:r w:rsidR="00741B79" w:rsidRPr="000508B6">
        <w:rPr>
          <w:rFonts w:ascii="Times New Roman" w:hAnsi="Times New Roman" w:cs="Times New Roman"/>
          <w:lang w:val="ro-MD"/>
        </w:rPr>
        <w:t xml:space="preserve"> din statele terțe</w:t>
      </w:r>
      <w:r w:rsidRPr="000508B6">
        <w:rPr>
          <w:rFonts w:ascii="Times New Roman" w:hAnsi="Times New Roman" w:cs="Times New Roman"/>
          <w:lang w:val="ro-MD"/>
        </w:rPr>
        <w:t>.</w:t>
      </w:r>
    </w:p>
    <w:p w14:paraId="4040FD1B" w14:textId="1E45ED22" w:rsidR="00395918" w:rsidRPr="000508B6" w:rsidRDefault="00741B79" w:rsidP="00382433">
      <w:pPr>
        <w:pStyle w:val="Listparagraf"/>
        <w:numPr>
          <w:ilvl w:val="2"/>
          <w:numId w:val="193"/>
        </w:numPr>
        <w:tabs>
          <w:tab w:val="left" w:pos="567"/>
          <w:tab w:val="left" w:pos="709"/>
          <w:tab w:val="left" w:pos="851"/>
        </w:tabs>
        <w:spacing w:after="0" w:line="240" w:lineRule="auto"/>
        <w:ind w:left="0" w:firstLine="284"/>
        <w:jc w:val="both"/>
        <w:rPr>
          <w:rFonts w:ascii="Times New Roman" w:hAnsi="Times New Roman" w:cs="Times New Roman"/>
          <w:lang w:val="ro-MD"/>
        </w:rPr>
      </w:pPr>
      <w:r w:rsidRPr="000508B6">
        <w:rPr>
          <w:rFonts w:ascii="Times New Roman" w:hAnsi="Times New Roman" w:cs="Times New Roman"/>
          <w:lang w:val="ro-MD"/>
        </w:rPr>
        <w:t>suma dintre:</w:t>
      </w:r>
      <w:r w:rsidR="00C300F6" w:rsidRPr="000508B6">
        <w:rPr>
          <w:rFonts w:ascii="Times New Roman" w:hAnsi="Times New Roman" w:cs="Times New Roman"/>
          <w:lang w:val="ro-MD"/>
        </w:rPr>
        <w:t xml:space="preserve"> </w:t>
      </w:r>
    </w:p>
    <w:p w14:paraId="0D8B8015" w14:textId="0FA379BA" w:rsidR="008254BF" w:rsidRPr="00240B71" w:rsidRDefault="00C300F6" w:rsidP="00382433">
      <w:pPr>
        <w:pStyle w:val="Listparagraf"/>
        <w:numPr>
          <w:ilvl w:val="0"/>
          <w:numId w:val="453"/>
        </w:numPr>
        <w:tabs>
          <w:tab w:val="left" w:pos="567"/>
          <w:tab w:val="left" w:pos="709"/>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pentru </w:t>
      </w:r>
      <w:r w:rsidR="00E3231C" w:rsidRPr="000508B6">
        <w:rPr>
          <w:rFonts w:ascii="Times New Roman" w:hAnsi="Times New Roman" w:cs="Times New Roman"/>
          <w:lang w:val="ro-MD"/>
        </w:rPr>
        <w:t xml:space="preserve">instituția de credit </w:t>
      </w:r>
      <w:r w:rsidRPr="000508B6">
        <w:rPr>
          <w:rFonts w:ascii="Times New Roman" w:hAnsi="Times New Roman" w:cs="Times New Roman"/>
          <w:lang w:val="ro-MD"/>
        </w:rPr>
        <w:t>cu sediul central în Republica Moldova, suma cerinței prevăzută la p</w:t>
      </w:r>
      <w:r w:rsidR="006474A9" w:rsidRPr="000508B6">
        <w:rPr>
          <w:rFonts w:ascii="Times New Roman" w:hAnsi="Times New Roman" w:cs="Times New Roman"/>
          <w:lang w:val="ro-MD"/>
        </w:rPr>
        <w:t>ct</w:t>
      </w:r>
      <w:r w:rsidRPr="000508B6">
        <w:rPr>
          <w:rFonts w:ascii="Times New Roman" w:hAnsi="Times New Roman" w:cs="Times New Roman"/>
          <w:lang w:val="ro-MD"/>
        </w:rPr>
        <w:t xml:space="preserve">.130 </w:t>
      </w:r>
      <w:r w:rsidR="006474A9" w:rsidRPr="000508B6">
        <w:rPr>
          <w:rFonts w:ascii="Times New Roman" w:hAnsi="Times New Roman" w:cs="Times New Roman"/>
          <w:lang w:val="ro-MD"/>
        </w:rPr>
        <w:t>sub</w:t>
      </w:r>
      <w:r w:rsidRPr="000508B6">
        <w:rPr>
          <w:rFonts w:ascii="Times New Roman" w:hAnsi="Times New Roman" w:cs="Times New Roman"/>
          <w:lang w:val="ro-MD"/>
        </w:rPr>
        <w:t>.4 din Regulamentul privind fondurile proprii nr.</w:t>
      </w:r>
      <w:r w:rsidR="006474A9" w:rsidRPr="000508B6">
        <w:rPr>
          <w:rFonts w:ascii="Times New Roman" w:hAnsi="Times New Roman" w:cs="Times New Roman"/>
          <w:lang w:val="ro-MD"/>
        </w:rPr>
        <w:t xml:space="preserve"> </w:t>
      </w:r>
      <w:r w:rsidRPr="000508B6">
        <w:rPr>
          <w:rFonts w:ascii="Times New Roman" w:hAnsi="Times New Roman" w:cs="Times New Roman"/>
          <w:lang w:val="ro-MD"/>
        </w:rPr>
        <w:t>109/2018</w:t>
      </w:r>
      <w:r w:rsidR="00395918" w:rsidRPr="000508B6">
        <w:rPr>
          <w:rFonts w:ascii="Times New Roman" w:hAnsi="Times New Roman" w:cs="Times New Roman"/>
          <w:lang w:val="ro-MD"/>
        </w:rPr>
        <w:t>,</w:t>
      </w:r>
      <w:r w:rsidRPr="000508B6">
        <w:rPr>
          <w:rFonts w:ascii="Times New Roman" w:hAnsi="Times New Roman" w:cs="Times New Roman"/>
          <w:lang w:val="ro-MD"/>
        </w:rPr>
        <w:t xml:space="preserve"> a cerinței specifice de fonduri proprii pentru acoperirea altor riscuri decât riscul asociat folosirii excesive a efectului de levier menționate </w:t>
      </w:r>
      <w:r w:rsidRPr="00240B71">
        <w:rPr>
          <w:rFonts w:ascii="Times New Roman" w:hAnsi="Times New Roman" w:cs="Times New Roman"/>
          <w:lang w:val="ro-MD"/>
        </w:rPr>
        <w:t>în art. 139 din Legea nr.</w:t>
      </w:r>
      <w:r w:rsidR="006474A9" w:rsidRPr="00240B71">
        <w:rPr>
          <w:rFonts w:ascii="Times New Roman" w:hAnsi="Times New Roman" w:cs="Times New Roman"/>
          <w:lang w:val="ro-MD"/>
        </w:rPr>
        <w:t xml:space="preserve"> </w:t>
      </w:r>
      <w:r w:rsidRPr="00240B71">
        <w:rPr>
          <w:rFonts w:ascii="Times New Roman" w:hAnsi="Times New Roman" w:cs="Times New Roman"/>
          <w:lang w:val="ro-MD"/>
        </w:rPr>
        <w:t xml:space="preserve">202/2017, </w:t>
      </w:r>
      <w:r w:rsidR="00395918" w:rsidRPr="00240B71">
        <w:rPr>
          <w:rFonts w:ascii="Times New Roman" w:hAnsi="Times New Roman" w:cs="Times New Roman"/>
          <w:lang w:val="ro-MD"/>
        </w:rPr>
        <w:t>a cerinței amortizorului pentru indicatorul efectului de levier, stabilită la pct.130</w:t>
      </w:r>
      <w:r w:rsidR="00395918" w:rsidRPr="00240B71">
        <w:rPr>
          <w:rFonts w:ascii="Times New Roman" w:hAnsi="Times New Roman" w:cs="Times New Roman"/>
          <w:vertAlign w:val="superscript"/>
          <w:lang w:val="ro-MD"/>
        </w:rPr>
        <w:t>1</w:t>
      </w:r>
      <w:r w:rsidR="00395918" w:rsidRPr="00240B71">
        <w:rPr>
          <w:rFonts w:ascii="Times New Roman" w:hAnsi="Times New Roman" w:cs="Times New Roman"/>
          <w:lang w:val="ro-MD"/>
        </w:rPr>
        <w:t xml:space="preserve"> din Regulamentul privind fondurile proprii nr.</w:t>
      </w:r>
      <w:r w:rsidR="006474A9" w:rsidRPr="00240B71">
        <w:rPr>
          <w:rFonts w:ascii="Times New Roman" w:hAnsi="Times New Roman" w:cs="Times New Roman"/>
          <w:lang w:val="ro-MD"/>
        </w:rPr>
        <w:t xml:space="preserve"> </w:t>
      </w:r>
      <w:r w:rsidR="00395918" w:rsidRPr="00240B71">
        <w:rPr>
          <w:rFonts w:ascii="Times New Roman" w:hAnsi="Times New Roman" w:cs="Times New Roman"/>
          <w:lang w:val="ro-MD"/>
        </w:rPr>
        <w:t xml:space="preserve">109/2018; </w:t>
      </w:r>
    </w:p>
    <w:p w14:paraId="294B299D" w14:textId="5A731255" w:rsidR="00C300F6" w:rsidRPr="00240B71" w:rsidRDefault="00395918" w:rsidP="006474A9">
      <w:pPr>
        <w:pStyle w:val="Listparagraf"/>
        <w:numPr>
          <w:ilvl w:val="0"/>
          <w:numId w:val="453"/>
        </w:numPr>
        <w:tabs>
          <w:tab w:val="left" w:pos="709"/>
          <w:tab w:val="left" w:pos="851"/>
        </w:tabs>
        <w:spacing w:after="0" w:line="240" w:lineRule="auto"/>
        <w:ind w:left="0" w:firstLine="567"/>
        <w:jc w:val="both"/>
        <w:rPr>
          <w:rFonts w:ascii="Times New Roman" w:hAnsi="Times New Roman" w:cs="Times New Roman"/>
          <w:lang w:val="ro-MD"/>
        </w:rPr>
      </w:pPr>
      <w:r w:rsidRPr="00240B71">
        <w:rPr>
          <w:rFonts w:ascii="Times New Roman" w:hAnsi="Times New Roman" w:cs="Times New Roman"/>
          <w:lang w:val="ro-MD"/>
        </w:rPr>
        <w:t xml:space="preserve">pentru </w:t>
      </w:r>
      <w:r w:rsidR="00E3231C" w:rsidRPr="00240B71">
        <w:rPr>
          <w:rFonts w:ascii="Times New Roman" w:hAnsi="Times New Roman" w:cs="Times New Roman"/>
          <w:lang w:val="ro-MD"/>
        </w:rPr>
        <w:t xml:space="preserve">instituția de credit </w:t>
      </w:r>
      <w:r w:rsidRPr="00240B71">
        <w:rPr>
          <w:rFonts w:ascii="Times New Roman" w:hAnsi="Times New Roman" w:cs="Times New Roman"/>
          <w:lang w:val="ro-MD"/>
        </w:rPr>
        <w:t>cu sediul central în state</w:t>
      </w:r>
      <w:r w:rsidR="000B198B" w:rsidRPr="00240B71">
        <w:rPr>
          <w:rFonts w:ascii="Times New Roman" w:hAnsi="Times New Roman" w:cs="Times New Roman"/>
          <w:lang w:val="ro-MD"/>
        </w:rPr>
        <w:t>le</w:t>
      </w:r>
      <w:r w:rsidRPr="00240B71">
        <w:rPr>
          <w:rFonts w:ascii="Times New Roman" w:hAnsi="Times New Roman" w:cs="Times New Roman"/>
          <w:lang w:val="ro-MD"/>
        </w:rPr>
        <w:t xml:space="preserve"> membre, </w:t>
      </w:r>
      <w:r w:rsidR="00C300F6" w:rsidRPr="00240B71">
        <w:rPr>
          <w:rFonts w:ascii="Times New Roman" w:hAnsi="Times New Roman" w:cs="Times New Roman"/>
          <w:lang w:val="ro-MD"/>
        </w:rPr>
        <w:t>suma cerințelor prevăzute la art</w:t>
      </w:r>
      <w:r w:rsidR="002A6891" w:rsidRPr="00240B71">
        <w:rPr>
          <w:rFonts w:ascii="Times New Roman" w:hAnsi="Times New Roman" w:cs="Times New Roman"/>
          <w:lang w:val="ro-MD"/>
        </w:rPr>
        <w:t>.</w:t>
      </w:r>
      <w:r w:rsidR="00C300F6" w:rsidRPr="00240B71">
        <w:rPr>
          <w:rFonts w:ascii="Times New Roman" w:hAnsi="Times New Roman" w:cs="Times New Roman"/>
          <w:lang w:val="ro-MD"/>
        </w:rPr>
        <w:t xml:space="preserve"> 92 alin</w:t>
      </w:r>
      <w:r w:rsidR="002A6891" w:rsidRPr="00240B71">
        <w:rPr>
          <w:rFonts w:ascii="Times New Roman" w:hAnsi="Times New Roman" w:cs="Times New Roman"/>
          <w:lang w:val="ro-MD"/>
        </w:rPr>
        <w:t>.</w:t>
      </w:r>
      <w:r w:rsidR="00C300F6" w:rsidRPr="00240B71">
        <w:rPr>
          <w:rFonts w:ascii="Times New Roman" w:hAnsi="Times New Roman" w:cs="Times New Roman"/>
          <w:lang w:val="ro-MD"/>
        </w:rPr>
        <w:t xml:space="preserve"> (1) lit</w:t>
      </w:r>
      <w:r w:rsidR="002A6891" w:rsidRPr="00240B71">
        <w:rPr>
          <w:rFonts w:ascii="Times New Roman" w:hAnsi="Times New Roman" w:cs="Times New Roman"/>
          <w:lang w:val="ro-MD"/>
        </w:rPr>
        <w:t xml:space="preserve">. </w:t>
      </w:r>
      <w:r w:rsidR="00C300F6" w:rsidRPr="00240B71">
        <w:rPr>
          <w:rFonts w:ascii="Times New Roman" w:hAnsi="Times New Roman" w:cs="Times New Roman"/>
          <w:lang w:val="ro-MD"/>
        </w:rPr>
        <w:t>d) din Regulamentul (UE) nr. 575/2013, inclusiv a măsurilor menționate la art</w:t>
      </w:r>
      <w:r w:rsidR="002A6891" w:rsidRPr="00240B71">
        <w:rPr>
          <w:rFonts w:ascii="Times New Roman" w:hAnsi="Times New Roman" w:cs="Times New Roman"/>
          <w:lang w:val="ro-MD"/>
        </w:rPr>
        <w:t>.</w:t>
      </w:r>
      <w:r w:rsidR="00C300F6" w:rsidRPr="00240B71">
        <w:rPr>
          <w:rFonts w:ascii="Times New Roman" w:hAnsi="Times New Roman" w:cs="Times New Roman"/>
          <w:lang w:val="ro-MD"/>
        </w:rPr>
        <w:t xml:space="preserve"> 458 și 459 din regulamentul respectiv, a cerințelor specifice de fonduri proprii pentru acoperirea riscului asociat folosirii excesive a efectului de levier menționate </w:t>
      </w:r>
      <w:r w:rsidR="00DB64D5" w:rsidRPr="00240B71">
        <w:rPr>
          <w:rFonts w:ascii="Times New Roman" w:hAnsi="Times New Roman" w:cs="Times New Roman"/>
          <w:lang w:val="ro-MD"/>
        </w:rPr>
        <w:t>în</w:t>
      </w:r>
      <w:r w:rsidR="00C300F6" w:rsidRPr="00240B71">
        <w:rPr>
          <w:rFonts w:ascii="Times New Roman" w:hAnsi="Times New Roman" w:cs="Times New Roman"/>
          <w:lang w:val="ro-MD"/>
        </w:rPr>
        <w:t xml:space="preserve"> </w:t>
      </w:r>
      <w:r w:rsidR="001356BF" w:rsidRPr="00240B71">
        <w:rPr>
          <w:rFonts w:ascii="Times New Roman" w:hAnsi="Times New Roman" w:cs="Times New Roman"/>
          <w:lang w:val="ro-MD"/>
        </w:rPr>
        <w:t xml:space="preserve">actul normativ al statului membru respectiv care transpune </w:t>
      </w:r>
      <w:r w:rsidR="00DC1800" w:rsidRPr="00240B71">
        <w:rPr>
          <w:rFonts w:ascii="Times New Roman" w:hAnsi="Times New Roman" w:cs="Times New Roman"/>
          <w:lang w:val="ro-MD"/>
        </w:rPr>
        <w:t xml:space="preserve">prevederile </w:t>
      </w:r>
      <w:r w:rsidR="00DB64D5" w:rsidRPr="00240B71">
        <w:rPr>
          <w:rFonts w:ascii="Times New Roman" w:hAnsi="Times New Roman" w:cs="Times New Roman"/>
          <w:lang w:val="ro-MD"/>
        </w:rPr>
        <w:t xml:space="preserve">art. 104 din </w:t>
      </w:r>
      <w:r w:rsidR="00C300F6" w:rsidRPr="00240B71">
        <w:rPr>
          <w:rFonts w:ascii="Times New Roman" w:hAnsi="Times New Roman" w:cs="Times New Roman"/>
          <w:lang w:val="ro-MD"/>
        </w:rPr>
        <w:t>Directiva 2013/36/UE, a cerinței amortizorului pentru indicatorul efectului de levier, stabilită la art</w:t>
      </w:r>
      <w:r w:rsidR="002A6891" w:rsidRPr="00240B71">
        <w:rPr>
          <w:rFonts w:ascii="Times New Roman" w:hAnsi="Times New Roman" w:cs="Times New Roman"/>
          <w:lang w:val="ro-MD"/>
        </w:rPr>
        <w:t>.</w:t>
      </w:r>
      <w:r w:rsidR="00C300F6" w:rsidRPr="00240B71">
        <w:rPr>
          <w:rFonts w:ascii="Times New Roman" w:hAnsi="Times New Roman" w:cs="Times New Roman"/>
          <w:lang w:val="ro-MD"/>
        </w:rPr>
        <w:t xml:space="preserve"> 92 alin</w:t>
      </w:r>
      <w:r w:rsidR="002A6891" w:rsidRPr="00240B71">
        <w:rPr>
          <w:rFonts w:ascii="Times New Roman" w:hAnsi="Times New Roman" w:cs="Times New Roman"/>
          <w:lang w:val="ro-MD"/>
        </w:rPr>
        <w:t xml:space="preserve">. </w:t>
      </w:r>
      <w:r w:rsidR="00C300F6" w:rsidRPr="00240B71">
        <w:rPr>
          <w:rFonts w:ascii="Times New Roman" w:hAnsi="Times New Roman" w:cs="Times New Roman"/>
          <w:lang w:val="ro-MD"/>
        </w:rPr>
        <w:t>1</w:t>
      </w:r>
      <w:r w:rsidR="006474A9" w:rsidRPr="00240B71">
        <w:rPr>
          <w:rFonts w:ascii="Times New Roman" w:hAnsi="Times New Roman" w:cs="Times New Roman"/>
          <w:lang w:val="ro-MD"/>
        </w:rPr>
        <w:t>(</w:t>
      </w:r>
      <w:r w:rsidR="00C300F6" w:rsidRPr="00240B71">
        <w:rPr>
          <w:rFonts w:ascii="Times New Roman" w:hAnsi="Times New Roman" w:cs="Times New Roman"/>
          <w:lang w:val="ro-MD"/>
        </w:rPr>
        <w:t>a) din Regulamentul (UE) nr. 575/2013;</w:t>
      </w:r>
    </w:p>
    <w:p w14:paraId="2FC475C1" w14:textId="73CADFD2" w:rsidR="00395918" w:rsidRPr="00240B71" w:rsidRDefault="00395918" w:rsidP="006474A9">
      <w:pPr>
        <w:pStyle w:val="Listparagraf"/>
        <w:numPr>
          <w:ilvl w:val="0"/>
          <w:numId w:val="453"/>
        </w:numPr>
        <w:tabs>
          <w:tab w:val="left" w:pos="709"/>
          <w:tab w:val="left" w:pos="851"/>
        </w:tabs>
        <w:spacing w:after="0" w:line="240" w:lineRule="auto"/>
        <w:ind w:left="0" w:firstLine="567"/>
        <w:jc w:val="both"/>
        <w:rPr>
          <w:rFonts w:ascii="Times New Roman" w:hAnsi="Times New Roman" w:cs="Times New Roman"/>
          <w:lang w:val="ro-MD"/>
        </w:rPr>
      </w:pPr>
      <w:r w:rsidRPr="00240B71">
        <w:rPr>
          <w:rFonts w:ascii="Times New Roman" w:hAnsi="Times New Roman" w:cs="Times New Roman"/>
          <w:lang w:val="ro-MD"/>
        </w:rPr>
        <w:t xml:space="preserve">pentru </w:t>
      </w:r>
      <w:r w:rsidR="00E3231C" w:rsidRPr="00240B71">
        <w:rPr>
          <w:rFonts w:ascii="Times New Roman" w:hAnsi="Times New Roman" w:cs="Times New Roman"/>
          <w:lang w:val="ro-MD"/>
        </w:rPr>
        <w:t xml:space="preserve">instituția de credit </w:t>
      </w:r>
      <w:r w:rsidRPr="00240B71">
        <w:rPr>
          <w:rFonts w:ascii="Times New Roman" w:hAnsi="Times New Roman" w:cs="Times New Roman"/>
          <w:lang w:val="ro-MD"/>
        </w:rPr>
        <w:t>cu sediul central în statele terțe, cerințele locale de fonduri proprii, în măsura în care cerințele respective trebuie îndeplinite cu fonduri proprii de nivel 1;</w:t>
      </w:r>
    </w:p>
    <w:p w14:paraId="646D48C6" w14:textId="6AFC9A5E" w:rsidR="001A0DE6" w:rsidRPr="00240B71" w:rsidRDefault="00916829" w:rsidP="00382433">
      <w:pPr>
        <w:pStyle w:val="Listparagraf"/>
        <w:numPr>
          <w:ilvl w:val="1"/>
          <w:numId w:val="334"/>
        </w:numPr>
        <w:tabs>
          <w:tab w:val="left" w:pos="709"/>
          <w:tab w:val="left" w:pos="993"/>
        </w:tabs>
        <w:spacing w:after="0" w:line="240" w:lineRule="auto"/>
        <w:ind w:left="0" w:firstLine="426"/>
        <w:jc w:val="both"/>
        <w:rPr>
          <w:rFonts w:ascii="Times New Roman" w:hAnsi="Times New Roman" w:cs="Times New Roman"/>
          <w:lang w:val="ro-MD"/>
        </w:rPr>
      </w:pPr>
      <w:r w:rsidRPr="00240B71">
        <w:rPr>
          <w:rFonts w:ascii="Times New Roman" w:hAnsi="Times New Roman" w:cs="Times New Roman"/>
          <w:lang w:val="ro-MD"/>
        </w:rPr>
        <w:t>P</w:t>
      </w:r>
      <w:r w:rsidR="00A0227B" w:rsidRPr="00240B71">
        <w:rPr>
          <w:rFonts w:ascii="Times New Roman" w:hAnsi="Times New Roman" w:cs="Times New Roman"/>
          <w:lang w:val="ro-MD"/>
        </w:rPr>
        <w:t xml:space="preserve">entru fiecare </w:t>
      </w:r>
      <w:bookmarkStart w:id="140" w:name="_Hlk208581743"/>
      <w:r w:rsidR="009C501D" w:rsidRPr="00240B71">
        <w:rPr>
          <w:rFonts w:ascii="Times New Roman" w:hAnsi="Times New Roman" w:cs="Times New Roman"/>
          <w:lang w:val="ro-MD"/>
        </w:rPr>
        <w:t xml:space="preserve">entitate </w:t>
      </w:r>
      <w:bookmarkEnd w:id="140"/>
      <w:r w:rsidR="00A0227B" w:rsidRPr="00240B71">
        <w:rPr>
          <w:rFonts w:ascii="Times New Roman" w:hAnsi="Times New Roman" w:cs="Times New Roman"/>
          <w:lang w:val="ro-MD"/>
        </w:rPr>
        <w:t>afiliată menționată la alin</w:t>
      </w:r>
      <w:r w:rsidR="002A6891" w:rsidRPr="00240B71">
        <w:rPr>
          <w:rFonts w:ascii="Times New Roman" w:hAnsi="Times New Roman" w:cs="Times New Roman"/>
          <w:lang w:val="ro-MD"/>
        </w:rPr>
        <w:t xml:space="preserve">. </w:t>
      </w:r>
      <w:r w:rsidR="00A0227B" w:rsidRPr="00240B71">
        <w:rPr>
          <w:rFonts w:ascii="Times New Roman" w:hAnsi="Times New Roman" w:cs="Times New Roman"/>
          <w:lang w:val="ro-MD"/>
        </w:rPr>
        <w:t>(1) lit</w:t>
      </w:r>
      <w:r w:rsidR="002A6891" w:rsidRPr="00240B71">
        <w:rPr>
          <w:rFonts w:ascii="Times New Roman" w:hAnsi="Times New Roman" w:cs="Times New Roman"/>
          <w:lang w:val="ro-MD"/>
        </w:rPr>
        <w:t xml:space="preserve">. </w:t>
      </w:r>
      <w:r w:rsidR="00A0227B" w:rsidRPr="00240B71">
        <w:rPr>
          <w:rFonts w:ascii="Times New Roman" w:hAnsi="Times New Roman" w:cs="Times New Roman"/>
          <w:lang w:val="ro-MD"/>
        </w:rPr>
        <w:t xml:space="preserve">b), </w:t>
      </w:r>
      <w:r w:rsidR="004125E8" w:rsidRPr="00240B71">
        <w:rPr>
          <w:rFonts w:ascii="Times New Roman" w:hAnsi="Times New Roman" w:cs="Times New Roman"/>
          <w:lang w:val="ro-MD"/>
        </w:rPr>
        <w:t xml:space="preserve">asigurătorul sau </w:t>
      </w:r>
      <w:proofErr w:type="spellStart"/>
      <w:r w:rsidR="004125E8" w:rsidRPr="00240B71">
        <w:rPr>
          <w:rFonts w:ascii="Times New Roman" w:hAnsi="Times New Roman" w:cs="Times New Roman"/>
          <w:lang w:val="ro-MD"/>
        </w:rPr>
        <w:t>reasigurătorul</w:t>
      </w:r>
      <w:proofErr w:type="spellEnd"/>
      <w:r w:rsidRPr="00240B71">
        <w:rPr>
          <w:rFonts w:ascii="Times New Roman" w:hAnsi="Times New Roman" w:cs="Times New Roman"/>
          <w:lang w:val="ro-MD"/>
        </w:rPr>
        <w:t xml:space="preserve"> participativ </w:t>
      </w:r>
      <w:r w:rsidR="00746CB8" w:rsidRPr="00240B71">
        <w:rPr>
          <w:rFonts w:ascii="Times New Roman" w:hAnsi="Times New Roman" w:cs="Times New Roman"/>
          <w:lang w:val="ro-MD"/>
        </w:rPr>
        <w:t>consideră</w:t>
      </w:r>
      <w:r w:rsidRPr="00240B71">
        <w:rPr>
          <w:rFonts w:ascii="Times New Roman" w:hAnsi="Times New Roman" w:cs="Times New Roman"/>
          <w:lang w:val="ro-MD"/>
        </w:rPr>
        <w:t xml:space="preserve"> cerință de capital sau cerință de capital noțională prevăzută la alin. (</w:t>
      </w:r>
      <w:r w:rsidR="001276C8" w:rsidRPr="00240B71">
        <w:rPr>
          <w:rFonts w:ascii="Times New Roman" w:hAnsi="Times New Roman" w:cs="Times New Roman"/>
          <w:lang w:val="ro-MD"/>
        </w:rPr>
        <w:t>6</w:t>
      </w:r>
      <w:r w:rsidRPr="00240B71">
        <w:rPr>
          <w:rFonts w:ascii="Times New Roman" w:hAnsi="Times New Roman" w:cs="Times New Roman"/>
          <w:lang w:val="ro-MD"/>
        </w:rPr>
        <w:t xml:space="preserve">) </w:t>
      </w:r>
      <w:r w:rsidR="00741B79" w:rsidRPr="00240B71">
        <w:rPr>
          <w:rFonts w:ascii="Times New Roman" w:hAnsi="Times New Roman" w:cs="Times New Roman"/>
          <w:lang w:val="ro-MD"/>
        </w:rPr>
        <w:t>ca fiind</w:t>
      </w:r>
      <w:r w:rsidR="001A0DE6" w:rsidRPr="00240B71">
        <w:rPr>
          <w:rFonts w:ascii="Times New Roman" w:hAnsi="Times New Roman" w:cs="Times New Roman"/>
          <w:lang w:val="ro-MD"/>
        </w:rPr>
        <w:t>:</w:t>
      </w:r>
    </w:p>
    <w:p w14:paraId="4974D993" w14:textId="44CE03F3" w:rsidR="00916829" w:rsidRPr="00240B71" w:rsidRDefault="001A0DE6" w:rsidP="00382433">
      <w:pPr>
        <w:pStyle w:val="Listparagraf"/>
        <w:numPr>
          <w:ilvl w:val="2"/>
          <w:numId w:val="454"/>
        </w:numPr>
        <w:tabs>
          <w:tab w:val="left" w:pos="709"/>
          <w:tab w:val="left" w:pos="851"/>
        </w:tabs>
        <w:spacing w:after="0" w:line="240" w:lineRule="auto"/>
        <w:ind w:left="0" w:firstLine="426"/>
        <w:jc w:val="both"/>
        <w:rPr>
          <w:rFonts w:ascii="Times New Roman" w:hAnsi="Times New Roman" w:cs="Times New Roman"/>
          <w:lang w:val="ro-MD"/>
        </w:rPr>
      </w:pPr>
      <w:r w:rsidRPr="00240B71">
        <w:rPr>
          <w:rFonts w:ascii="Times New Roman" w:hAnsi="Times New Roman" w:cs="Times New Roman"/>
          <w:lang w:val="ro-MD"/>
        </w:rPr>
        <w:t xml:space="preserve">pentru entitățile </w:t>
      </w:r>
      <w:r w:rsidR="006A004C" w:rsidRPr="00240B71">
        <w:rPr>
          <w:rFonts w:ascii="Times New Roman" w:hAnsi="Times New Roman" w:cs="Times New Roman"/>
          <w:lang w:val="ro-MD"/>
        </w:rPr>
        <w:t>afiliate</w:t>
      </w:r>
      <w:r w:rsidRPr="00240B71">
        <w:rPr>
          <w:rFonts w:ascii="Times New Roman" w:hAnsi="Times New Roman" w:cs="Times New Roman"/>
          <w:lang w:val="ro-MD"/>
        </w:rPr>
        <w:t xml:space="preserve"> cu sediul central în Republica Moldova, cerința prevăzută </w:t>
      </w:r>
      <w:r w:rsidR="00662B1E" w:rsidRPr="00240B71">
        <w:rPr>
          <w:rFonts w:ascii="Times New Roman" w:hAnsi="Times New Roman" w:cs="Times New Roman"/>
          <w:lang w:val="ro-MD"/>
        </w:rPr>
        <w:t xml:space="preserve">în </w:t>
      </w:r>
      <w:r w:rsidR="00A0227B" w:rsidRPr="00240B71">
        <w:rPr>
          <w:rFonts w:ascii="Times New Roman" w:hAnsi="Times New Roman" w:cs="Times New Roman"/>
          <w:lang w:val="ro-MD"/>
        </w:rPr>
        <w:t xml:space="preserve"> </w:t>
      </w:r>
      <w:r w:rsidR="00C500AE" w:rsidRPr="00240B71">
        <w:rPr>
          <w:rFonts w:ascii="Times New Roman" w:hAnsi="Times New Roman" w:cs="Times New Roman"/>
          <w:lang w:val="ro-MD"/>
        </w:rPr>
        <w:t>Legea nr.</w:t>
      </w:r>
      <w:r w:rsidR="006474A9" w:rsidRPr="00240B71">
        <w:rPr>
          <w:rFonts w:ascii="Times New Roman" w:hAnsi="Times New Roman" w:cs="Times New Roman"/>
          <w:lang w:val="ro-MD"/>
        </w:rPr>
        <w:t xml:space="preserve"> </w:t>
      </w:r>
      <w:r w:rsidR="00C500AE" w:rsidRPr="00240B71">
        <w:rPr>
          <w:rFonts w:ascii="Times New Roman" w:hAnsi="Times New Roman" w:cs="Times New Roman"/>
          <w:lang w:val="ro-MD"/>
        </w:rPr>
        <w:t>171/2012</w:t>
      </w:r>
      <w:r w:rsidR="00A0227B" w:rsidRPr="00240B71">
        <w:rPr>
          <w:rFonts w:ascii="Times New Roman" w:hAnsi="Times New Roman" w:cs="Times New Roman"/>
          <w:lang w:val="ro-MD"/>
        </w:rPr>
        <w:t>;</w:t>
      </w:r>
      <w:r w:rsidR="00AD19C3" w:rsidRPr="00240B71">
        <w:rPr>
          <w:rFonts w:ascii="Times New Roman" w:hAnsi="Times New Roman" w:cs="Times New Roman"/>
          <w:lang w:val="ro-MD"/>
        </w:rPr>
        <w:t xml:space="preserve"> </w:t>
      </w:r>
    </w:p>
    <w:p w14:paraId="196EED1E" w14:textId="0B9322D2" w:rsidR="00A0227B" w:rsidRPr="00240B71" w:rsidRDefault="001A0DE6" w:rsidP="00382433">
      <w:pPr>
        <w:pStyle w:val="Listparagraf"/>
        <w:numPr>
          <w:ilvl w:val="2"/>
          <w:numId w:val="454"/>
        </w:numPr>
        <w:tabs>
          <w:tab w:val="left" w:pos="709"/>
          <w:tab w:val="left" w:pos="851"/>
        </w:tabs>
        <w:spacing w:after="0" w:line="240" w:lineRule="auto"/>
        <w:ind w:left="0" w:firstLine="426"/>
        <w:jc w:val="both"/>
        <w:rPr>
          <w:rFonts w:ascii="Times New Roman" w:hAnsi="Times New Roman" w:cs="Times New Roman"/>
          <w:lang w:val="ro-MD"/>
        </w:rPr>
      </w:pPr>
      <w:r w:rsidRPr="00240B71">
        <w:rPr>
          <w:rFonts w:ascii="Times New Roman" w:hAnsi="Times New Roman" w:cs="Times New Roman"/>
          <w:lang w:val="ro-MD"/>
        </w:rPr>
        <w:t xml:space="preserve">pentru entitățile afiliate cu sediul central în alte state membre, cerința </w:t>
      </w:r>
      <w:r w:rsidR="00662B1E" w:rsidRPr="00240B71">
        <w:rPr>
          <w:rFonts w:ascii="Times New Roman" w:hAnsi="Times New Roman" w:cs="Times New Roman"/>
          <w:lang w:val="ro-MD"/>
        </w:rPr>
        <w:t>prevăzută</w:t>
      </w:r>
      <w:r w:rsidRPr="00240B71">
        <w:rPr>
          <w:rFonts w:ascii="Times New Roman" w:hAnsi="Times New Roman" w:cs="Times New Roman"/>
          <w:lang w:val="ro-MD"/>
        </w:rPr>
        <w:t xml:space="preserve"> </w:t>
      </w:r>
      <w:r w:rsidR="00DC1800" w:rsidRPr="00240B71">
        <w:rPr>
          <w:rFonts w:ascii="Times New Roman" w:hAnsi="Times New Roman" w:cs="Times New Roman"/>
          <w:lang w:val="ro-MD"/>
        </w:rPr>
        <w:t xml:space="preserve">în actul normativ al statului membru respectiv care transpune prevederile </w:t>
      </w:r>
      <w:r w:rsidR="00AD19C3" w:rsidRPr="00240B71">
        <w:rPr>
          <w:rFonts w:ascii="Times New Roman" w:hAnsi="Times New Roman" w:cs="Times New Roman"/>
          <w:lang w:val="ro-MD"/>
        </w:rPr>
        <w:t xml:space="preserve"> art</w:t>
      </w:r>
      <w:r w:rsidR="002A6891" w:rsidRPr="00240B71">
        <w:rPr>
          <w:rFonts w:ascii="Times New Roman" w:hAnsi="Times New Roman" w:cs="Times New Roman"/>
          <w:lang w:val="ro-MD"/>
        </w:rPr>
        <w:t>.</w:t>
      </w:r>
      <w:r w:rsidR="00AD19C3" w:rsidRPr="00240B71">
        <w:rPr>
          <w:rFonts w:ascii="Times New Roman" w:hAnsi="Times New Roman" w:cs="Times New Roman"/>
          <w:lang w:val="ro-MD"/>
        </w:rPr>
        <w:t xml:space="preserve"> 7 alin</w:t>
      </w:r>
      <w:r w:rsidR="002A6891" w:rsidRPr="00240B71">
        <w:rPr>
          <w:rFonts w:ascii="Times New Roman" w:hAnsi="Times New Roman" w:cs="Times New Roman"/>
          <w:lang w:val="ro-MD"/>
        </w:rPr>
        <w:t>.</w:t>
      </w:r>
      <w:r w:rsidR="00AD19C3" w:rsidRPr="00240B71">
        <w:rPr>
          <w:rFonts w:ascii="Times New Roman" w:hAnsi="Times New Roman" w:cs="Times New Roman"/>
          <w:lang w:val="ro-MD"/>
        </w:rPr>
        <w:t xml:space="preserve"> (1) lit</w:t>
      </w:r>
      <w:r w:rsidR="002A6891" w:rsidRPr="00240B71">
        <w:rPr>
          <w:rFonts w:ascii="Times New Roman" w:hAnsi="Times New Roman" w:cs="Times New Roman"/>
          <w:lang w:val="ro-MD"/>
        </w:rPr>
        <w:t xml:space="preserve">. </w:t>
      </w:r>
      <w:r w:rsidR="00AD19C3" w:rsidRPr="00240B71">
        <w:rPr>
          <w:rFonts w:ascii="Times New Roman" w:hAnsi="Times New Roman" w:cs="Times New Roman"/>
          <w:lang w:val="ro-MD"/>
        </w:rPr>
        <w:t>a) din Directiva 2009/65/CE</w:t>
      </w:r>
      <w:r w:rsidR="001276C8" w:rsidRPr="00240B71">
        <w:rPr>
          <w:rFonts w:ascii="Times New Roman" w:hAnsi="Times New Roman" w:cs="Times New Roman"/>
          <w:lang w:val="ro-MD"/>
        </w:rPr>
        <w:t>.</w:t>
      </w:r>
    </w:p>
    <w:p w14:paraId="26C2B2AB" w14:textId="00A5EC87" w:rsidR="001A0DE6" w:rsidRPr="00240B71" w:rsidRDefault="001A0DE6" w:rsidP="00382433">
      <w:pPr>
        <w:pStyle w:val="Listparagraf"/>
        <w:numPr>
          <w:ilvl w:val="1"/>
          <w:numId w:val="33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240B71">
        <w:rPr>
          <w:rFonts w:ascii="Times New Roman" w:hAnsi="Times New Roman" w:cs="Times New Roman"/>
          <w:lang w:val="ro-MD"/>
        </w:rPr>
        <w:t>P</w:t>
      </w:r>
      <w:r w:rsidR="00A0227B" w:rsidRPr="00240B71">
        <w:rPr>
          <w:rFonts w:ascii="Times New Roman" w:hAnsi="Times New Roman" w:cs="Times New Roman"/>
          <w:lang w:val="ro-MD"/>
        </w:rPr>
        <w:t xml:space="preserve">entru fiecare </w:t>
      </w:r>
      <w:r w:rsidR="009C501D" w:rsidRPr="00240B71">
        <w:rPr>
          <w:rFonts w:ascii="Times New Roman" w:hAnsi="Times New Roman" w:cs="Times New Roman"/>
          <w:lang w:val="ro-MD"/>
        </w:rPr>
        <w:t xml:space="preserve">entitate </w:t>
      </w:r>
      <w:r w:rsidR="00A0227B" w:rsidRPr="00240B71">
        <w:rPr>
          <w:rFonts w:ascii="Times New Roman" w:hAnsi="Times New Roman" w:cs="Times New Roman"/>
          <w:lang w:val="ro-MD"/>
        </w:rPr>
        <w:t>afiliată menționată la alin</w:t>
      </w:r>
      <w:r w:rsidR="00424F06" w:rsidRPr="00240B71">
        <w:rPr>
          <w:rFonts w:ascii="Times New Roman" w:hAnsi="Times New Roman" w:cs="Times New Roman"/>
          <w:lang w:val="ro-MD"/>
        </w:rPr>
        <w:t>.</w:t>
      </w:r>
      <w:r w:rsidR="00A0227B" w:rsidRPr="00240B71">
        <w:rPr>
          <w:rFonts w:ascii="Times New Roman" w:hAnsi="Times New Roman" w:cs="Times New Roman"/>
          <w:lang w:val="ro-MD"/>
        </w:rPr>
        <w:t xml:space="preserve"> (1) lit</w:t>
      </w:r>
      <w:r w:rsidR="00424F06" w:rsidRPr="00240B71">
        <w:rPr>
          <w:rFonts w:ascii="Times New Roman" w:hAnsi="Times New Roman" w:cs="Times New Roman"/>
          <w:lang w:val="ro-MD"/>
        </w:rPr>
        <w:t>.</w:t>
      </w:r>
      <w:r w:rsidR="00A0227B" w:rsidRPr="00240B71">
        <w:rPr>
          <w:rFonts w:ascii="Times New Roman" w:hAnsi="Times New Roman" w:cs="Times New Roman"/>
          <w:lang w:val="ro-MD"/>
        </w:rPr>
        <w:t xml:space="preserve"> c), </w:t>
      </w:r>
      <w:r w:rsidR="004125E8" w:rsidRPr="00240B71">
        <w:rPr>
          <w:rFonts w:ascii="Times New Roman" w:hAnsi="Times New Roman" w:cs="Times New Roman"/>
          <w:lang w:val="ro-MD"/>
        </w:rPr>
        <w:t xml:space="preserve">asigurătorul sau </w:t>
      </w:r>
      <w:proofErr w:type="spellStart"/>
      <w:r w:rsidR="004125E8" w:rsidRPr="00240B71">
        <w:rPr>
          <w:rFonts w:ascii="Times New Roman" w:hAnsi="Times New Roman" w:cs="Times New Roman"/>
          <w:lang w:val="ro-MD"/>
        </w:rPr>
        <w:t>reasigurătorul</w:t>
      </w:r>
      <w:proofErr w:type="spellEnd"/>
      <w:r w:rsidRPr="00240B71">
        <w:rPr>
          <w:rFonts w:ascii="Times New Roman" w:hAnsi="Times New Roman" w:cs="Times New Roman"/>
          <w:lang w:val="ro-MD"/>
        </w:rPr>
        <w:t xml:space="preserve"> participativ </w:t>
      </w:r>
      <w:r w:rsidR="00746CB8" w:rsidRPr="00240B71">
        <w:rPr>
          <w:rFonts w:ascii="Times New Roman" w:hAnsi="Times New Roman" w:cs="Times New Roman"/>
          <w:lang w:val="ro-MD"/>
        </w:rPr>
        <w:t>consideră</w:t>
      </w:r>
      <w:r w:rsidRPr="00240B71">
        <w:rPr>
          <w:rFonts w:ascii="Times New Roman" w:hAnsi="Times New Roman" w:cs="Times New Roman"/>
          <w:lang w:val="ro-MD"/>
        </w:rPr>
        <w:t xml:space="preserve"> cerință de capital sau cerință de capital noțională prevăzută la alin. (5) </w:t>
      </w:r>
      <w:r w:rsidR="00741B79" w:rsidRPr="00240B71">
        <w:rPr>
          <w:rFonts w:ascii="Times New Roman" w:hAnsi="Times New Roman" w:cs="Times New Roman"/>
          <w:lang w:val="ro-MD"/>
        </w:rPr>
        <w:t>ca fiind</w:t>
      </w:r>
      <w:r w:rsidRPr="00240B71">
        <w:rPr>
          <w:rFonts w:ascii="Times New Roman" w:hAnsi="Times New Roman" w:cs="Times New Roman"/>
          <w:lang w:val="ro-MD"/>
        </w:rPr>
        <w:t>:</w:t>
      </w:r>
    </w:p>
    <w:p w14:paraId="3FDCEDC7" w14:textId="709846FD" w:rsidR="001A0DE6" w:rsidRPr="00240B71" w:rsidRDefault="001A0DE6" w:rsidP="00382433">
      <w:pPr>
        <w:pStyle w:val="Listparagraf"/>
        <w:numPr>
          <w:ilvl w:val="2"/>
          <w:numId w:val="455"/>
        </w:numPr>
        <w:tabs>
          <w:tab w:val="left" w:pos="709"/>
          <w:tab w:val="left" w:pos="851"/>
        </w:tabs>
        <w:spacing w:after="0" w:line="240" w:lineRule="auto"/>
        <w:ind w:left="0" w:firstLine="426"/>
        <w:jc w:val="both"/>
        <w:rPr>
          <w:rFonts w:ascii="Times New Roman" w:hAnsi="Times New Roman" w:cs="Times New Roman"/>
          <w:lang w:val="ro-MD"/>
        </w:rPr>
      </w:pPr>
      <w:r w:rsidRPr="00240B71">
        <w:rPr>
          <w:rFonts w:ascii="Times New Roman" w:hAnsi="Times New Roman" w:cs="Times New Roman"/>
          <w:lang w:val="ro-MD"/>
        </w:rPr>
        <w:t xml:space="preserve">pentru entitățile </w:t>
      </w:r>
      <w:r w:rsidR="00861A41" w:rsidRPr="00240B71">
        <w:rPr>
          <w:rFonts w:ascii="Times New Roman" w:hAnsi="Times New Roman" w:cs="Times New Roman"/>
          <w:lang w:val="ro-MD"/>
        </w:rPr>
        <w:t>afiliate</w:t>
      </w:r>
      <w:r w:rsidRPr="00240B71">
        <w:rPr>
          <w:rFonts w:ascii="Times New Roman" w:hAnsi="Times New Roman" w:cs="Times New Roman"/>
          <w:lang w:val="ro-MD"/>
        </w:rPr>
        <w:t xml:space="preserve"> cu sediul central în Republica Moldova </w:t>
      </w:r>
      <w:r w:rsidR="00394D4F" w:rsidRPr="00240B71">
        <w:rPr>
          <w:rFonts w:ascii="Times New Roman" w:hAnsi="Times New Roman" w:cs="Times New Roman"/>
          <w:lang w:val="ro-MD"/>
        </w:rPr>
        <w:t xml:space="preserve">cerința </w:t>
      </w:r>
      <w:r w:rsidRPr="00240B71">
        <w:rPr>
          <w:rFonts w:ascii="Times New Roman" w:hAnsi="Times New Roman" w:cs="Times New Roman"/>
          <w:lang w:val="ro-MD"/>
        </w:rPr>
        <w:t>prevăzută în</w:t>
      </w:r>
      <w:r w:rsidR="00394D4F" w:rsidRPr="00240B71">
        <w:rPr>
          <w:rFonts w:ascii="Times New Roman" w:hAnsi="Times New Roman" w:cs="Times New Roman"/>
          <w:lang w:val="ro-MD"/>
        </w:rPr>
        <w:t xml:space="preserve"> Leg</w:t>
      </w:r>
      <w:r w:rsidR="00861A41" w:rsidRPr="00240B71">
        <w:rPr>
          <w:rFonts w:ascii="Times New Roman" w:hAnsi="Times New Roman" w:cs="Times New Roman"/>
          <w:lang w:val="ro-MD"/>
        </w:rPr>
        <w:t>ea</w:t>
      </w:r>
      <w:r w:rsidR="00394D4F" w:rsidRPr="00240B71">
        <w:rPr>
          <w:rFonts w:ascii="Times New Roman" w:hAnsi="Times New Roman" w:cs="Times New Roman"/>
          <w:lang w:val="ro-MD"/>
        </w:rPr>
        <w:t xml:space="preserve"> nr.</w:t>
      </w:r>
      <w:r w:rsidR="006474A9" w:rsidRPr="00240B71">
        <w:rPr>
          <w:rFonts w:ascii="Times New Roman" w:hAnsi="Times New Roman" w:cs="Times New Roman"/>
          <w:lang w:val="ro-MD"/>
        </w:rPr>
        <w:t xml:space="preserve"> </w:t>
      </w:r>
      <w:r w:rsidR="00394D4F" w:rsidRPr="00240B71">
        <w:rPr>
          <w:rFonts w:ascii="Times New Roman" w:hAnsi="Times New Roman" w:cs="Times New Roman"/>
          <w:lang w:val="ro-MD"/>
        </w:rPr>
        <w:t>2/2020</w:t>
      </w:r>
      <w:r w:rsidR="00A0227B" w:rsidRPr="00240B71">
        <w:rPr>
          <w:rFonts w:ascii="Times New Roman" w:hAnsi="Times New Roman" w:cs="Times New Roman"/>
          <w:lang w:val="ro-MD"/>
        </w:rPr>
        <w:t>;</w:t>
      </w:r>
      <w:r w:rsidR="00AD19C3" w:rsidRPr="00240B71">
        <w:rPr>
          <w:rFonts w:ascii="Times New Roman" w:hAnsi="Times New Roman" w:cs="Times New Roman"/>
          <w:lang w:val="ro-MD"/>
        </w:rPr>
        <w:t xml:space="preserve"> </w:t>
      </w:r>
    </w:p>
    <w:p w14:paraId="648EF487" w14:textId="32339B40" w:rsidR="00A0227B" w:rsidRPr="00240B71" w:rsidRDefault="001A0DE6" w:rsidP="00382433">
      <w:pPr>
        <w:pStyle w:val="Listparagraf"/>
        <w:numPr>
          <w:ilvl w:val="2"/>
          <w:numId w:val="455"/>
        </w:numPr>
        <w:tabs>
          <w:tab w:val="left" w:pos="709"/>
          <w:tab w:val="left" w:pos="851"/>
        </w:tabs>
        <w:spacing w:after="0" w:line="240" w:lineRule="auto"/>
        <w:ind w:left="0" w:firstLine="426"/>
        <w:jc w:val="both"/>
        <w:rPr>
          <w:rFonts w:ascii="Times New Roman" w:hAnsi="Times New Roman" w:cs="Times New Roman"/>
          <w:lang w:val="ro-MD"/>
        </w:rPr>
      </w:pPr>
      <w:bookmarkStart w:id="141" w:name="_Hlk214023526"/>
      <w:r w:rsidRPr="00240B71">
        <w:rPr>
          <w:rFonts w:ascii="Times New Roman" w:hAnsi="Times New Roman" w:cs="Times New Roman"/>
          <w:lang w:val="ro-MD"/>
        </w:rPr>
        <w:lastRenderedPageBreak/>
        <w:t>pentru entitățile afiliate cu sediul central în alte state membre</w:t>
      </w:r>
      <w:bookmarkEnd w:id="141"/>
      <w:r w:rsidRPr="00240B71">
        <w:rPr>
          <w:rFonts w:ascii="Times New Roman" w:hAnsi="Times New Roman" w:cs="Times New Roman"/>
          <w:lang w:val="ro-MD"/>
        </w:rPr>
        <w:t xml:space="preserve">, cerința prevăzută </w:t>
      </w:r>
      <w:r w:rsidR="00DB64D5" w:rsidRPr="00240B71">
        <w:rPr>
          <w:rFonts w:ascii="Times New Roman" w:hAnsi="Times New Roman" w:cs="Times New Roman"/>
          <w:lang w:val="ro-MD"/>
        </w:rPr>
        <w:t xml:space="preserve">în </w:t>
      </w:r>
      <w:r w:rsidR="001356BF" w:rsidRPr="00240B71">
        <w:rPr>
          <w:rFonts w:ascii="Times New Roman" w:hAnsi="Times New Roman" w:cs="Times New Roman"/>
          <w:lang w:val="ro-MD"/>
        </w:rPr>
        <w:t>actul normativ al statului membru respectiv care transpune</w:t>
      </w:r>
      <w:r w:rsidR="00DB64D5" w:rsidRPr="00240B71">
        <w:rPr>
          <w:lang w:val="ro-MD"/>
        </w:rPr>
        <w:t xml:space="preserve"> </w:t>
      </w:r>
      <w:r w:rsidR="00DB64D5" w:rsidRPr="00240B71">
        <w:rPr>
          <w:rFonts w:ascii="Times New Roman" w:hAnsi="Times New Roman" w:cs="Times New Roman"/>
          <w:lang w:val="ro-MD"/>
        </w:rPr>
        <w:t>prevederile</w:t>
      </w:r>
      <w:r w:rsidR="00DB64D5" w:rsidRPr="00240B71">
        <w:rPr>
          <w:lang w:val="ro-MD"/>
        </w:rPr>
        <w:t xml:space="preserve"> </w:t>
      </w:r>
      <w:r w:rsidR="00DB64D5" w:rsidRPr="00240B71">
        <w:rPr>
          <w:rFonts w:ascii="Times New Roman" w:hAnsi="Times New Roman" w:cs="Times New Roman"/>
          <w:lang w:val="ro-MD"/>
        </w:rPr>
        <w:t>art. 9 din</w:t>
      </w:r>
      <w:r w:rsidR="001356BF" w:rsidRPr="00240B71">
        <w:rPr>
          <w:rFonts w:ascii="Times New Roman" w:hAnsi="Times New Roman" w:cs="Times New Roman"/>
          <w:lang w:val="ro-MD"/>
        </w:rPr>
        <w:t xml:space="preserve"> </w:t>
      </w:r>
      <w:r w:rsidR="00AD19C3" w:rsidRPr="00240B71">
        <w:rPr>
          <w:rFonts w:ascii="Times New Roman" w:hAnsi="Times New Roman" w:cs="Times New Roman"/>
          <w:lang w:val="ro-MD"/>
        </w:rPr>
        <w:t>Directiva 2011/61/UE</w:t>
      </w:r>
      <w:r w:rsidR="006474A9" w:rsidRPr="00240B71">
        <w:rPr>
          <w:rFonts w:ascii="Times New Roman" w:hAnsi="Times New Roman" w:cs="Times New Roman"/>
          <w:lang w:val="ro-MD"/>
        </w:rPr>
        <w:t>.</w:t>
      </w:r>
    </w:p>
    <w:p w14:paraId="53180291" w14:textId="20A1C451" w:rsidR="00861A41" w:rsidRPr="00240B71" w:rsidRDefault="001A0DE6" w:rsidP="00382433">
      <w:pPr>
        <w:pStyle w:val="Listparagraf"/>
        <w:numPr>
          <w:ilvl w:val="1"/>
          <w:numId w:val="334"/>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240B71">
        <w:rPr>
          <w:rFonts w:ascii="Times New Roman" w:hAnsi="Times New Roman" w:cs="Times New Roman"/>
          <w:lang w:val="ro-MD"/>
        </w:rPr>
        <w:t xml:space="preserve"> P</w:t>
      </w:r>
      <w:r w:rsidR="00A0227B" w:rsidRPr="00240B71">
        <w:rPr>
          <w:rFonts w:ascii="Times New Roman" w:hAnsi="Times New Roman" w:cs="Times New Roman"/>
          <w:lang w:val="ro-MD"/>
        </w:rPr>
        <w:t xml:space="preserve">entru fiecare </w:t>
      </w:r>
      <w:r w:rsidR="009C501D" w:rsidRPr="00240B71">
        <w:rPr>
          <w:rFonts w:ascii="Times New Roman" w:hAnsi="Times New Roman" w:cs="Times New Roman"/>
          <w:lang w:val="ro-MD"/>
        </w:rPr>
        <w:t xml:space="preserve">entitate </w:t>
      </w:r>
      <w:r w:rsidR="00A0227B" w:rsidRPr="00240B71">
        <w:rPr>
          <w:rFonts w:ascii="Times New Roman" w:hAnsi="Times New Roman" w:cs="Times New Roman"/>
          <w:lang w:val="ro-MD"/>
        </w:rPr>
        <w:t>menționată la alin</w:t>
      </w:r>
      <w:r w:rsidR="0023087D" w:rsidRPr="00240B71">
        <w:rPr>
          <w:rFonts w:ascii="Times New Roman" w:hAnsi="Times New Roman" w:cs="Times New Roman"/>
          <w:lang w:val="ro-MD"/>
        </w:rPr>
        <w:t>.</w:t>
      </w:r>
      <w:r w:rsidR="00A0227B" w:rsidRPr="00240B71">
        <w:rPr>
          <w:rFonts w:ascii="Times New Roman" w:hAnsi="Times New Roman" w:cs="Times New Roman"/>
          <w:lang w:val="ro-MD"/>
        </w:rPr>
        <w:t xml:space="preserve"> (1) lit</w:t>
      </w:r>
      <w:r w:rsidR="0023087D" w:rsidRPr="00240B71">
        <w:rPr>
          <w:rFonts w:ascii="Times New Roman" w:hAnsi="Times New Roman" w:cs="Times New Roman"/>
          <w:lang w:val="ro-MD"/>
        </w:rPr>
        <w:t>.</w:t>
      </w:r>
      <w:r w:rsidR="00A0227B" w:rsidRPr="00240B71">
        <w:rPr>
          <w:rFonts w:ascii="Times New Roman" w:hAnsi="Times New Roman" w:cs="Times New Roman"/>
          <w:lang w:val="ro-MD"/>
        </w:rPr>
        <w:t xml:space="preserve"> d), </w:t>
      </w:r>
      <w:r w:rsidR="004125E8" w:rsidRPr="00240B71">
        <w:rPr>
          <w:rFonts w:ascii="Times New Roman" w:hAnsi="Times New Roman" w:cs="Times New Roman"/>
          <w:lang w:val="ro-MD"/>
        </w:rPr>
        <w:t xml:space="preserve">asigurătorul sau </w:t>
      </w:r>
      <w:proofErr w:type="spellStart"/>
      <w:r w:rsidR="004125E8" w:rsidRPr="00240B71">
        <w:rPr>
          <w:rFonts w:ascii="Times New Roman" w:hAnsi="Times New Roman" w:cs="Times New Roman"/>
          <w:lang w:val="ro-MD"/>
        </w:rPr>
        <w:t>reasigurătorul</w:t>
      </w:r>
      <w:proofErr w:type="spellEnd"/>
      <w:r w:rsidRPr="00240B71">
        <w:rPr>
          <w:rFonts w:ascii="Times New Roman" w:hAnsi="Times New Roman" w:cs="Times New Roman"/>
          <w:lang w:val="ro-MD"/>
        </w:rPr>
        <w:t xml:space="preserve"> participativ consideră cerință de capital sau cerință de capital noțională prevăzută la alin. (</w:t>
      </w:r>
      <w:r w:rsidR="00E93E0E" w:rsidRPr="00240B71">
        <w:rPr>
          <w:rFonts w:ascii="Times New Roman" w:hAnsi="Times New Roman" w:cs="Times New Roman"/>
          <w:lang w:val="ro-MD"/>
        </w:rPr>
        <w:t>6</w:t>
      </w:r>
      <w:r w:rsidRPr="00240B71">
        <w:rPr>
          <w:rFonts w:ascii="Times New Roman" w:hAnsi="Times New Roman" w:cs="Times New Roman"/>
          <w:lang w:val="ro-MD"/>
        </w:rPr>
        <w:t xml:space="preserve">) </w:t>
      </w:r>
      <w:r w:rsidR="00861A41" w:rsidRPr="00240B71">
        <w:rPr>
          <w:rFonts w:ascii="Times New Roman" w:hAnsi="Times New Roman" w:cs="Times New Roman"/>
          <w:lang w:val="ro-MD"/>
        </w:rPr>
        <w:t xml:space="preserve">după </w:t>
      </w:r>
      <w:r w:rsidR="00741B79" w:rsidRPr="00240B71">
        <w:rPr>
          <w:rFonts w:ascii="Times New Roman" w:hAnsi="Times New Roman" w:cs="Times New Roman"/>
          <w:lang w:val="ro-MD"/>
        </w:rPr>
        <w:t>ca fiind</w:t>
      </w:r>
      <w:r w:rsidR="00861A41" w:rsidRPr="00240B71">
        <w:rPr>
          <w:rFonts w:ascii="Times New Roman" w:hAnsi="Times New Roman" w:cs="Times New Roman"/>
          <w:lang w:val="ro-MD"/>
        </w:rPr>
        <w:t>:</w:t>
      </w:r>
    </w:p>
    <w:p w14:paraId="50F8BE45" w14:textId="38F7975F" w:rsidR="00746CB8" w:rsidRPr="00240B71" w:rsidRDefault="00861A41" w:rsidP="00371ABC">
      <w:pPr>
        <w:pStyle w:val="Listparagraf"/>
        <w:numPr>
          <w:ilvl w:val="2"/>
          <w:numId w:val="456"/>
        </w:numPr>
        <w:tabs>
          <w:tab w:val="left" w:pos="851"/>
        </w:tabs>
        <w:spacing w:after="0" w:line="240" w:lineRule="auto"/>
        <w:ind w:left="0" w:firstLine="567"/>
        <w:jc w:val="both"/>
        <w:rPr>
          <w:rFonts w:ascii="Times New Roman" w:hAnsi="Times New Roman" w:cs="Times New Roman"/>
          <w:lang w:val="ro-MD"/>
        </w:rPr>
      </w:pPr>
      <w:bookmarkStart w:id="142" w:name="_Hlk214024271"/>
      <w:r w:rsidRPr="00240B71">
        <w:rPr>
          <w:rFonts w:ascii="Times New Roman" w:hAnsi="Times New Roman" w:cs="Times New Roman"/>
          <w:lang w:val="ro-MD"/>
        </w:rPr>
        <w:t xml:space="preserve">pentru entitățile </w:t>
      </w:r>
      <w:r w:rsidR="0089542F" w:rsidRPr="00240B71">
        <w:rPr>
          <w:rFonts w:ascii="Times New Roman" w:hAnsi="Times New Roman" w:cs="Times New Roman"/>
          <w:lang w:val="ro-MD"/>
        </w:rPr>
        <w:t>afiliate</w:t>
      </w:r>
      <w:r w:rsidRPr="00240B71">
        <w:rPr>
          <w:rFonts w:ascii="Times New Roman" w:hAnsi="Times New Roman" w:cs="Times New Roman"/>
          <w:lang w:val="ro-MD"/>
        </w:rPr>
        <w:t xml:space="preserve"> cu sediul central în Republica Moldova, </w:t>
      </w:r>
      <w:bookmarkEnd w:id="142"/>
      <w:r w:rsidR="00A0227B" w:rsidRPr="00240B71">
        <w:rPr>
          <w:rFonts w:ascii="Times New Roman" w:hAnsi="Times New Roman" w:cs="Times New Roman"/>
          <w:lang w:val="ro-MD"/>
        </w:rPr>
        <w:t xml:space="preserve">cerința </w:t>
      </w:r>
      <w:r w:rsidRPr="00240B71">
        <w:rPr>
          <w:rFonts w:ascii="Times New Roman" w:hAnsi="Times New Roman" w:cs="Times New Roman"/>
          <w:lang w:val="ro-MD"/>
        </w:rPr>
        <w:t>prevăzută la</w:t>
      </w:r>
      <w:r w:rsidR="00DF6A2D" w:rsidRPr="00240B71">
        <w:rPr>
          <w:rFonts w:ascii="Times New Roman" w:hAnsi="Times New Roman" w:cs="Times New Roman"/>
          <w:lang w:val="ro-MD"/>
        </w:rPr>
        <w:t xml:space="preserve"> Leg</w:t>
      </w:r>
      <w:r w:rsidR="00746CB8" w:rsidRPr="00240B71">
        <w:rPr>
          <w:rFonts w:ascii="Times New Roman" w:hAnsi="Times New Roman" w:cs="Times New Roman"/>
          <w:lang w:val="ro-MD"/>
        </w:rPr>
        <w:t>ea</w:t>
      </w:r>
      <w:r w:rsidR="00DF6A2D" w:rsidRPr="00240B71">
        <w:rPr>
          <w:rFonts w:ascii="Times New Roman" w:hAnsi="Times New Roman" w:cs="Times New Roman"/>
          <w:lang w:val="ro-MD"/>
        </w:rPr>
        <w:t xml:space="preserve"> nr.</w:t>
      </w:r>
      <w:r w:rsidR="006474A9" w:rsidRPr="00240B71">
        <w:rPr>
          <w:rFonts w:ascii="Times New Roman" w:hAnsi="Times New Roman" w:cs="Times New Roman"/>
          <w:lang w:val="ro-MD"/>
        </w:rPr>
        <w:t xml:space="preserve"> </w:t>
      </w:r>
      <w:r w:rsidR="00A05AED" w:rsidRPr="00240B71">
        <w:rPr>
          <w:rFonts w:ascii="Times New Roman" w:hAnsi="Times New Roman" w:cs="Times New Roman"/>
          <w:lang w:val="ro-MD"/>
        </w:rPr>
        <w:t>250</w:t>
      </w:r>
      <w:r w:rsidR="00DF6A2D" w:rsidRPr="00240B71">
        <w:rPr>
          <w:rFonts w:ascii="Times New Roman" w:hAnsi="Times New Roman" w:cs="Times New Roman"/>
          <w:lang w:val="ro-MD"/>
        </w:rPr>
        <w:t>/</w:t>
      </w:r>
      <w:r w:rsidR="00BE2EE4" w:rsidRPr="00240B71">
        <w:rPr>
          <w:rFonts w:ascii="Times New Roman" w:hAnsi="Times New Roman" w:cs="Times New Roman"/>
          <w:lang w:val="ro-MD"/>
        </w:rPr>
        <w:t>2017</w:t>
      </w:r>
      <w:r w:rsidR="00A0227B" w:rsidRPr="00240B71">
        <w:rPr>
          <w:rFonts w:ascii="Times New Roman" w:hAnsi="Times New Roman" w:cs="Times New Roman"/>
          <w:lang w:val="ro-MD"/>
        </w:rPr>
        <w:t>;</w:t>
      </w:r>
      <w:r w:rsidR="00AD19C3" w:rsidRPr="00240B71">
        <w:rPr>
          <w:rFonts w:ascii="Times New Roman" w:hAnsi="Times New Roman" w:cs="Times New Roman"/>
          <w:lang w:val="ro-MD"/>
        </w:rPr>
        <w:t xml:space="preserve"> </w:t>
      </w:r>
    </w:p>
    <w:p w14:paraId="6A231334" w14:textId="7CB05EA1" w:rsidR="00A0227B" w:rsidRPr="000508B6" w:rsidRDefault="00861A41" w:rsidP="00371ABC">
      <w:pPr>
        <w:pStyle w:val="Listparagraf"/>
        <w:numPr>
          <w:ilvl w:val="2"/>
          <w:numId w:val="456"/>
        </w:numPr>
        <w:tabs>
          <w:tab w:val="left" w:pos="851"/>
        </w:tabs>
        <w:spacing w:after="0" w:line="240" w:lineRule="auto"/>
        <w:ind w:left="0" w:firstLine="567"/>
        <w:jc w:val="both"/>
        <w:rPr>
          <w:rFonts w:ascii="Times New Roman" w:hAnsi="Times New Roman" w:cs="Times New Roman"/>
          <w:lang w:val="ro-MD"/>
        </w:rPr>
      </w:pPr>
      <w:r w:rsidRPr="00240B71">
        <w:rPr>
          <w:rFonts w:ascii="Times New Roman" w:hAnsi="Times New Roman" w:cs="Times New Roman"/>
          <w:lang w:val="ro-MD"/>
        </w:rPr>
        <w:t>pentru entitățile afiliate cu sediul central în alte state membre</w:t>
      </w:r>
      <w:r w:rsidR="00746CB8" w:rsidRPr="00240B71">
        <w:rPr>
          <w:rFonts w:ascii="Times New Roman" w:hAnsi="Times New Roman" w:cs="Times New Roman"/>
          <w:lang w:val="ro-MD"/>
        </w:rPr>
        <w:t>,</w:t>
      </w:r>
      <w:r w:rsidRPr="00240B71">
        <w:rPr>
          <w:rFonts w:ascii="Times New Roman" w:hAnsi="Times New Roman" w:cs="Times New Roman"/>
          <w:lang w:val="ro-MD"/>
        </w:rPr>
        <w:t xml:space="preserve"> </w:t>
      </w:r>
      <w:r w:rsidR="0089542F" w:rsidRPr="00240B71">
        <w:rPr>
          <w:rFonts w:ascii="Times New Roman" w:hAnsi="Times New Roman" w:cs="Times New Roman"/>
          <w:lang w:val="ro-MD"/>
        </w:rPr>
        <w:t xml:space="preserve">cerința </w:t>
      </w:r>
      <w:r w:rsidRPr="00240B71">
        <w:rPr>
          <w:rFonts w:ascii="Times New Roman" w:hAnsi="Times New Roman" w:cs="Times New Roman"/>
          <w:lang w:val="ro-MD"/>
        </w:rPr>
        <w:t>stabilită în</w:t>
      </w:r>
      <w:r w:rsidR="00AD19C3" w:rsidRPr="00240B71">
        <w:rPr>
          <w:rFonts w:ascii="Times New Roman" w:hAnsi="Times New Roman" w:cs="Times New Roman"/>
          <w:lang w:val="ro-MD"/>
        </w:rPr>
        <w:t xml:space="preserve"> normel</w:t>
      </w:r>
      <w:r w:rsidRPr="00240B71">
        <w:rPr>
          <w:rFonts w:ascii="Times New Roman" w:hAnsi="Times New Roman" w:cs="Times New Roman"/>
          <w:lang w:val="ro-MD"/>
        </w:rPr>
        <w:t>e</w:t>
      </w:r>
      <w:r w:rsidR="00AD19C3" w:rsidRPr="00240B71">
        <w:rPr>
          <w:rFonts w:ascii="Times New Roman" w:hAnsi="Times New Roman" w:cs="Times New Roman"/>
          <w:lang w:val="ro-MD"/>
        </w:rPr>
        <w:t xml:space="preserve"> sectoriale relevante, astfel cum sunt definite </w:t>
      </w:r>
      <w:r w:rsidR="00DB64D5" w:rsidRPr="00240B71">
        <w:rPr>
          <w:rFonts w:ascii="Times New Roman" w:hAnsi="Times New Roman" w:cs="Times New Roman"/>
          <w:lang w:val="ro-MD"/>
        </w:rPr>
        <w:t xml:space="preserve">în </w:t>
      </w:r>
      <w:r w:rsidR="001356BF" w:rsidRPr="00240B71">
        <w:rPr>
          <w:rFonts w:ascii="Times New Roman" w:hAnsi="Times New Roman" w:cs="Times New Roman"/>
          <w:lang w:val="ro-MD"/>
        </w:rPr>
        <w:t xml:space="preserve">actul normativ al statului membru respectiv care transpune </w:t>
      </w:r>
      <w:r w:rsidR="00DB64D5" w:rsidRPr="00240B71">
        <w:rPr>
          <w:rFonts w:ascii="Times New Roman" w:hAnsi="Times New Roman" w:cs="Times New Roman"/>
          <w:lang w:val="ro-MD"/>
        </w:rPr>
        <w:t xml:space="preserve">prevederile art. 2 pct. 7) din </w:t>
      </w:r>
      <w:r w:rsidR="00AD19C3" w:rsidRPr="00240B71">
        <w:rPr>
          <w:rFonts w:ascii="Times New Roman" w:hAnsi="Times New Roman" w:cs="Times New Roman"/>
          <w:lang w:val="ro-MD"/>
        </w:rPr>
        <w:t>Directiva 2002/87/CE, dacă ar fi o entitate reglementată în înțelesul art</w:t>
      </w:r>
      <w:r w:rsidR="002A6891" w:rsidRPr="00240B71">
        <w:rPr>
          <w:rFonts w:ascii="Times New Roman" w:hAnsi="Times New Roman" w:cs="Times New Roman"/>
          <w:lang w:val="ro-MD"/>
        </w:rPr>
        <w:t>.</w:t>
      </w:r>
      <w:r w:rsidR="00AD19C3" w:rsidRPr="00240B71">
        <w:rPr>
          <w:rFonts w:ascii="Times New Roman" w:hAnsi="Times New Roman" w:cs="Times New Roman"/>
          <w:lang w:val="ro-MD"/>
        </w:rPr>
        <w:t xml:space="preserve"> 2 </w:t>
      </w:r>
      <w:r w:rsidR="002A6891" w:rsidRPr="00240B71">
        <w:rPr>
          <w:rFonts w:ascii="Times New Roman" w:hAnsi="Times New Roman" w:cs="Times New Roman"/>
          <w:lang w:val="ro-MD"/>
        </w:rPr>
        <w:t>pct.</w:t>
      </w:r>
      <w:r w:rsidR="00AD19C3" w:rsidRPr="000508B6">
        <w:rPr>
          <w:rFonts w:ascii="Times New Roman" w:hAnsi="Times New Roman" w:cs="Times New Roman"/>
          <w:lang w:val="ro-MD"/>
        </w:rPr>
        <w:t xml:space="preserve"> 4</w:t>
      </w:r>
      <w:r w:rsidR="006474A9" w:rsidRPr="000508B6">
        <w:rPr>
          <w:rFonts w:ascii="Times New Roman" w:hAnsi="Times New Roman" w:cs="Times New Roman"/>
          <w:lang w:val="ro-MD"/>
        </w:rPr>
        <w:t>)</w:t>
      </w:r>
      <w:r w:rsidR="00AD19C3" w:rsidRPr="000508B6">
        <w:rPr>
          <w:rFonts w:ascii="Times New Roman" w:hAnsi="Times New Roman" w:cs="Times New Roman"/>
          <w:lang w:val="ro-MD"/>
        </w:rPr>
        <w:t xml:space="preserve"> din </w:t>
      </w:r>
      <w:r w:rsidR="001356BF">
        <w:rPr>
          <w:rFonts w:ascii="Times New Roman" w:hAnsi="Times New Roman" w:cs="Times New Roman"/>
          <w:lang w:val="ro-MD"/>
        </w:rPr>
        <w:t>actul</w:t>
      </w:r>
      <w:r w:rsidR="001356BF" w:rsidRPr="000508B6">
        <w:rPr>
          <w:rFonts w:ascii="Times New Roman" w:hAnsi="Times New Roman" w:cs="Times New Roman"/>
          <w:lang w:val="ro-MD"/>
        </w:rPr>
        <w:t xml:space="preserve"> </w:t>
      </w:r>
      <w:r w:rsidR="00AD19C3" w:rsidRPr="000508B6">
        <w:rPr>
          <w:rFonts w:ascii="Times New Roman" w:hAnsi="Times New Roman" w:cs="Times New Roman"/>
          <w:lang w:val="ro-MD"/>
        </w:rPr>
        <w:t>respectiv.</w:t>
      </w:r>
    </w:p>
    <w:p w14:paraId="58526F5A" w14:textId="5576701F" w:rsidR="00E93E0E" w:rsidRPr="000508B6" w:rsidRDefault="00861A41" w:rsidP="004610B7">
      <w:pPr>
        <w:pStyle w:val="Listparagraf"/>
        <w:numPr>
          <w:ilvl w:val="1"/>
          <w:numId w:val="3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w:t>
      </w:r>
      <w:r w:rsidR="00A0227B" w:rsidRPr="000508B6">
        <w:rPr>
          <w:rFonts w:ascii="Times New Roman" w:hAnsi="Times New Roman" w:cs="Times New Roman"/>
          <w:lang w:val="ro-MD"/>
        </w:rPr>
        <w:t xml:space="preserve">entru fiecare </w:t>
      </w:r>
      <w:r w:rsidR="009C501D" w:rsidRPr="000508B6">
        <w:rPr>
          <w:rFonts w:ascii="Times New Roman" w:hAnsi="Times New Roman" w:cs="Times New Roman"/>
          <w:lang w:val="ro-MD"/>
        </w:rPr>
        <w:t xml:space="preserve">entitate </w:t>
      </w:r>
      <w:r w:rsidR="00A0227B" w:rsidRPr="000508B6">
        <w:rPr>
          <w:rFonts w:ascii="Times New Roman" w:hAnsi="Times New Roman" w:cs="Times New Roman"/>
          <w:lang w:val="ro-MD"/>
        </w:rPr>
        <w:t>afiliată menționată la alin</w:t>
      </w:r>
      <w:r w:rsidR="0023087D" w:rsidRPr="000508B6">
        <w:rPr>
          <w:rFonts w:ascii="Times New Roman" w:hAnsi="Times New Roman" w:cs="Times New Roman"/>
          <w:lang w:val="ro-MD"/>
        </w:rPr>
        <w:t>.</w:t>
      </w:r>
      <w:r w:rsidR="00A0227B" w:rsidRPr="000508B6">
        <w:rPr>
          <w:rFonts w:ascii="Times New Roman" w:hAnsi="Times New Roman" w:cs="Times New Roman"/>
          <w:lang w:val="ro-MD"/>
        </w:rPr>
        <w:t xml:space="preserve"> (1) lit</w:t>
      </w:r>
      <w:r w:rsidR="00424F06" w:rsidRPr="000508B6">
        <w:rPr>
          <w:rFonts w:ascii="Times New Roman" w:hAnsi="Times New Roman" w:cs="Times New Roman"/>
          <w:lang w:val="ro-MD"/>
        </w:rPr>
        <w:t>.</w:t>
      </w:r>
      <w:r w:rsidR="006474A9" w:rsidRPr="000508B6">
        <w:rPr>
          <w:rFonts w:ascii="Times New Roman" w:hAnsi="Times New Roman" w:cs="Times New Roman"/>
          <w:lang w:val="ro-MD"/>
        </w:rPr>
        <w:t xml:space="preserve"> </w:t>
      </w:r>
      <w:r w:rsidR="00A0227B" w:rsidRPr="000508B6">
        <w:rPr>
          <w:rFonts w:ascii="Times New Roman" w:hAnsi="Times New Roman" w:cs="Times New Roman"/>
          <w:lang w:val="ro-MD"/>
        </w:rPr>
        <w:t xml:space="preserve">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participativ consideră cerință de capital sau cerință de capital noțională prevăzută la alin. (</w:t>
      </w:r>
      <w:r w:rsidR="0000372E" w:rsidRPr="000508B6">
        <w:rPr>
          <w:rFonts w:ascii="Times New Roman" w:hAnsi="Times New Roman" w:cs="Times New Roman"/>
          <w:lang w:val="ro-MD"/>
        </w:rPr>
        <w:t>6</w:t>
      </w:r>
      <w:r w:rsidRPr="000508B6">
        <w:rPr>
          <w:rFonts w:ascii="Times New Roman" w:hAnsi="Times New Roman" w:cs="Times New Roman"/>
          <w:lang w:val="ro-MD"/>
        </w:rPr>
        <w:t xml:space="preserve">) </w:t>
      </w:r>
      <w:r w:rsidR="0089542F" w:rsidRPr="000508B6">
        <w:rPr>
          <w:rFonts w:ascii="Times New Roman" w:hAnsi="Times New Roman" w:cs="Times New Roman"/>
          <w:lang w:val="ro-MD"/>
        </w:rPr>
        <w:t xml:space="preserve">ca fiind </w:t>
      </w:r>
      <w:r w:rsidR="00A0227B" w:rsidRPr="000508B6">
        <w:rPr>
          <w:rFonts w:ascii="Times New Roman" w:hAnsi="Times New Roman" w:cs="Times New Roman"/>
          <w:lang w:val="ro-MD"/>
        </w:rPr>
        <w:t xml:space="preserve">valoarea cea mai mare dintre marja de solvabilitate minimă calculată în conformitate cu </w:t>
      </w:r>
      <w:r w:rsidR="00424F06" w:rsidRPr="000508B6">
        <w:rPr>
          <w:rFonts w:ascii="Times New Roman" w:hAnsi="Times New Roman" w:cs="Times New Roman"/>
          <w:lang w:val="ro-MD"/>
        </w:rPr>
        <w:t xml:space="preserve">Legea </w:t>
      </w:r>
      <w:r w:rsidR="00BE2EE4" w:rsidRPr="000508B6">
        <w:rPr>
          <w:rFonts w:ascii="Times New Roman" w:hAnsi="Times New Roman" w:cs="Times New Roman"/>
          <w:lang w:val="ro-MD"/>
        </w:rPr>
        <w:t>nr.</w:t>
      </w:r>
      <w:r w:rsidR="00E86F8F" w:rsidRPr="000508B6">
        <w:rPr>
          <w:rFonts w:ascii="Times New Roman" w:hAnsi="Times New Roman" w:cs="Times New Roman"/>
          <w:lang w:val="ro-MD"/>
        </w:rPr>
        <w:t xml:space="preserve"> </w:t>
      </w:r>
      <w:r w:rsidR="00424F06" w:rsidRPr="000508B6">
        <w:rPr>
          <w:rFonts w:ascii="Times New Roman" w:hAnsi="Times New Roman" w:cs="Times New Roman"/>
          <w:lang w:val="ro-MD"/>
        </w:rPr>
        <w:t xml:space="preserve">198/2020 </w:t>
      </w:r>
      <w:r w:rsidR="00A0227B" w:rsidRPr="000508B6">
        <w:rPr>
          <w:rFonts w:ascii="Times New Roman" w:hAnsi="Times New Roman" w:cs="Times New Roman"/>
          <w:lang w:val="ro-MD"/>
        </w:rPr>
        <w:t>și totalul cerințe</w:t>
      </w:r>
      <w:r w:rsidR="00424F06" w:rsidRPr="000508B6">
        <w:rPr>
          <w:rFonts w:ascii="Times New Roman" w:hAnsi="Times New Roman" w:cs="Times New Roman"/>
          <w:lang w:val="ro-MD"/>
        </w:rPr>
        <w:t>i</w:t>
      </w:r>
      <w:r w:rsidR="00A0227B" w:rsidRPr="000508B6">
        <w:rPr>
          <w:rFonts w:ascii="Times New Roman" w:hAnsi="Times New Roman" w:cs="Times New Roman"/>
          <w:lang w:val="ro-MD"/>
        </w:rPr>
        <w:t xml:space="preserve"> de capital impuse în temeiul </w:t>
      </w:r>
      <w:r w:rsidR="00AD19C3" w:rsidRPr="000508B6">
        <w:rPr>
          <w:rFonts w:ascii="Times New Roman" w:hAnsi="Times New Roman" w:cs="Times New Roman"/>
          <w:lang w:val="ro-MD"/>
        </w:rPr>
        <w:t xml:space="preserve">dreptului intern al statelor membre în care </w:t>
      </w:r>
      <w:r w:rsidR="0089542F" w:rsidRPr="000508B6">
        <w:rPr>
          <w:rFonts w:ascii="Times New Roman" w:hAnsi="Times New Roman" w:cs="Times New Roman"/>
          <w:lang w:val="ro-MD"/>
        </w:rPr>
        <w:t xml:space="preserve">entitatea </w:t>
      </w:r>
      <w:r w:rsidR="00AD19C3" w:rsidRPr="000508B6">
        <w:rPr>
          <w:rFonts w:ascii="Times New Roman" w:hAnsi="Times New Roman" w:cs="Times New Roman"/>
          <w:lang w:val="ro-MD"/>
        </w:rPr>
        <w:t xml:space="preserve">afiliată este înregistrată sau </w:t>
      </w:r>
      <w:r w:rsidR="0047413F" w:rsidRPr="000508B6">
        <w:rPr>
          <w:rFonts w:ascii="Times New Roman" w:hAnsi="Times New Roman" w:cs="Times New Roman"/>
          <w:lang w:val="ro-MD"/>
        </w:rPr>
        <w:t>licențiată</w:t>
      </w:r>
      <w:r w:rsidR="0089542F" w:rsidRPr="000508B6">
        <w:rPr>
          <w:rFonts w:ascii="Times New Roman" w:hAnsi="Times New Roman" w:cs="Times New Roman"/>
          <w:lang w:val="ro-MD"/>
        </w:rPr>
        <w:t xml:space="preserve">, </w:t>
      </w:r>
      <w:r w:rsidR="00E86F8F" w:rsidRPr="000508B6">
        <w:rPr>
          <w:rFonts w:ascii="Times New Roman" w:hAnsi="Times New Roman" w:cs="Times New Roman"/>
          <w:lang w:val="ro-MD"/>
        </w:rPr>
        <w:t>atât</w:t>
      </w:r>
      <w:r w:rsidR="0089542F" w:rsidRPr="000508B6">
        <w:rPr>
          <w:rFonts w:ascii="Times New Roman" w:hAnsi="Times New Roman" w:cs="Times New Roman"/>
          <w:lang w:val="ro-MD"/>
        </w:rPr>
        <w:t xml:space="preserve"> pentru entitățile afiliate cu sediul central în </w:t>
      </w:r>
      <w:r w:rsidR="0000372E" w:rsidRPr="000508B6">
        <w:rPr>
          <w:rFonts w:ascii="Times New Roman" w:hAnsi="Times New Roman" w:cs="Times New Roman"/>
          <w:lang w:val="ro-MD"/>
        </w:rPr>
        <w:t>Republica Moldova</w:t>
      </w:r>
      <w:r w:rsidR="0047413F" w:rsidRPr="000508B6">
        <w:rPr>
          <w:rFonts w:ascii="Times New Roman" w:hAnsi="Times New Roman" w:cs="Times New Roman"/>
          <w:lang w:val="ro-MD"/>
        </w:rPr>
        <w:t>,</w:t>
      </w:r>
      <w:r w:rsidR="0089542F" w:rsidRPr="000508B6">
        <w:rPr>
          <w:rFonts w:ascii="Times New Roman" w:hAnsi="Times New Roman" w:cs="Times New Roman"/>
          <w:lang w:val="ro-MD"/>
        </w:rPr>
        <w:t xml:space="preserve"> </w:t>
      </w:r>
      <w:r w:rsidR="00FC18AC" w:rsidRPr="000508B6">
        <w:rPr>
          <w:rFonts w:ascii="Times New Roman" w:hAnsi="Times New Roman" w:cs="Times New Roman"/>
          <w:lang w:val="ro-MD"/>
        </w:rPr>
        <w:t>cât</w:t>
      </w:r>
      <w:r w:rsidR="0089542F" w:rsidRPr="000508B6">
        <w:rPr>
          <w:rFonts w:ascii="Times New Roman" w:hAnsi="Times New Roman" w:cs="Times New Roman"/>
          <w:lang w:val="ro-MD"/>
        </w:rPr>
        <w:t xml:space="preserve"> și a </w:t>
      </w:r>
      <w:r w:rsidR="0047413F" w:rsidRPr="000508B6">
        <w:rPr>
          <w:rFonts w:ascii="Times New Roman" w:hAnsi="Times New Roman" w:cs="Times New Roman"/>
          <w:lang w:val="ro-MD"/>
        </w:rPr>
        <w:t>celor</w:t>
      </w:r>
      <w:r w:rsidR="0089542F" w:rsidRPr="000508B6">
        <w:rPr>
          <w:rFonts w:ascii="Times New Roman" w:hAnsi="Times New Roman" w:cs="Times New Roman"/>
          <w:lang w:val="ro-MD"/>
        </w:rPr>
        <w:t xml:space="preserve"> cu sediul central în </w:t>
      </w:r>
      <w:r w:rsidR="0047413F" w:rsidRPr="000508B6">
        <w:rPr>
          <w:rFonts w:ascii="Times New Roman" w:hAnsi="Times New Roman" w:cs="Times New Roman"/>
          <w:lang w:val="ro-MD"/>
        </w:rPr>
        <w:t>state</w:t>
      </w:r>
      <w:r w:rsidR="003905F7" w:rsidRPr="000508B6">
        <w:rPr>
          <w:rFonts w:ascii="Times New Roman" w:hAnsi="Times New Roman" w:cs="Times New Roman"/>
          <w:lang w:val="ro-MD"/>
        </w:rPr>
        <w:t>le</w:t>
      </w:r>
      <w:r w:rsidR="0047413F" w:rsidRPr="000508B6">
        <w:rPr>
          <w:rFonts w:ascii="Times New Roman" w:hAnsi="Times New Roman" w:cs="Times New Roman"/>
          <w:lang w:val="ro-MD"/>
        </w:rPr>
        <w:t xml:space="preserve"> membre</w:t>
      </w:r>
      <w:r w:rsidR="0089542F" w:rsidRPr="000508B6">
        <w:rPr>
          <w:rFonts w:ascii="Times New Roman" w:hAnsi="Times New Roman" w:cs="Times New Roman"/>
          <w:lang w:val="ro-MD"/>
        </w:rPr>
        <w:t>.</w:t>
      </w:r>
    </w:p>
    <w:p w14:paraId="7D923A08" w14:textId="3842CFA9" w:rsidR="00A45680" w:rsidRPr="000508B6" w:rsidRDefault="00A0227B" w:rsidP="003905F7">
      <w:pPr>
        <w:pStyle w:val="Listparagraf"/>
        <w:numPr>
          <w:ilvl w:val="1"/>
          <w:numId w:val="3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mai multe </w:t>
      </w:r>
      <w:r w:rsidR="009C501D" w:rsidRPr="000508B6">
        <w:rPr>
          <w:rFonts w:ascii="Times New Roman" w:hAnsi="Times New Roman" w:cs="Times New Roman"/>
          <w:lang w:val="ro-MD"/>
        </w:rPr>
        <w:t xml:space="preserve">entități </w:t>
      </w:r>
      <w:r w:rsidRPr="000508B6">
        <w:rPr>
          <w:rFonts w:ascii="Times New Roman" w:hAnsi="Times New Roman" w:cs="Times New Roman"/>
          <w:lang w:val="ro-MD"/>
        </w:rPr>
        <w:t>afiliate menționate la alin</w:t>
      </w:r>
      <w:r w:rsidR="008A33E9" w:rsidRPr="000508B6">
        <w:rPr>
          <w:rFonts w:ascii="Times New Roman" w:hAnsi="Times New Roman" w:cs="Times New Roman"/>
          <w:lang w:val="ro-MD"/>
        </w:rPr>
        <w:t>.</w:t>
      </w:r>
      <w:r w:rsidRPr="000508B6">
        <w:rPr>
          <w:rFonts w:ascii="Times New Roman" w:hAnsi="Times New Roman" w:cs="Times New Roman"/>
          <w:lang w:val="ro-MD"/>
        </w:rPr>
        <w:t xml:space="preserve"> (1) formează un subgrup supus unei cerințe de capital pe bază consolidată în conformitate cu unul dintre </w:t>
      </w:r>
      <w:r w:rsidR="001B3B14" w:rsidRPr="000508B6">
        <w:rPr>
          <w:rFonts w:ascii="Times New Roman" w:hAnsi="Times New Roman" w:cs="Times New Roman"/>
          <w:lang w:val="ro-MD"/>
        </w:rPr>
        <w:t xml:space="preserve">actele enumerate </w:t>
      </w:r>
      <w:r w:rsidRPr="000508B6">
        <w:rPr>
          <w:rFonts w:ascii="Times New Roman" w:hAnsi="Times New Roman" w:cs="Times New Roman"/>
          <w:lang w:val="ro-MD"/>
        </w:rPr>
        <w:t>la alin</w:t>
      </w:r>
      <w:r w:rsidR="008A33E9" w:rsidRPr="000508B6">
        <w:rPr>
          <w:rFonts w:ascii="Times New Roman" w:hAnsi="Times New Roman" w:cs="Times New Roman"/>
          <w:lang w:val="ro-MD"/>
        </w:rPr>
        <w:t>.</w:t>
      </w:r>
      <w:r w:rsidRPr="000508B6">
        <w:rPr>
          <w:rFonts w:ascii="Times New Roman" w:hAnsi="Times New Roman" w:cs="Times New Roman"/>
          <w:lang w:val="ro-MD"/>
        </w:rPr>
        <w:t xml:space="preserve"> (</w:t>
      </w:r>
      <w:r w:rsidR="00FB30C3" w:rsidRPr="000508B6">
        <w:rPr>
          <w:rFonts w:ascii="Times New Roman" w:hAnsi="Times New Roman" w:cs="Times New Roman"/>
          <w:lang w:val="ro-MD"/>
        </w:rPr>
        <w:t>6</w:t>
      </w:r>
      <w:r w:rsidRPr="000508B6">
        <w:rPr>
          <w:rFonts w:ascii="Times New Roman" w:hAnsi="Times New Roman" w:cs="Times New Roman"/>
          <w:lang w:val="ro-MD"/>
        </w:rPr>
        <w:t>)</w:t>
      </w:r>
      <w:r w:rsidR="00FB30C3" w:rsidRPr="000508B6">
        <w:rPr>
          <w:rFonts w:ascii="Times New Roman" w:hAnsi="Times New Roman" w:cs="Times New Roman"/>
          <w:lang w:val="ro-MD"/>
        </w:rPr>
        <w:t>-(12)</w:t>
      </w:r>
      <w:r w:rsidRPr="000508B6">
        <w:rPr>
          <w:rFonts w:ascii="Times New Roman" w:hAnsi="Times New Roman" w:cs="Times New Roman"/>
          <w:lang w:val="ro-MD"/>
        </w:rPr>
        <w:t xml:space="preserve">, inclusiv în cazul în care </w:t>
      </w:r>
      <w:r w:rsidR="0092617B" w:rsidRPr="000508B6">
        <w:rPr>
          <w:rFonts w:ascii="Times New Roman" w:hAnsi="Times New Roman" w:cs="Times New Roman"/>
          <w:lang w:val="ro-MD"/>
        </w:rPr>
        <w:t>o</w:t>
      </w:r>
      <w:r w:rsidRPr="000508B6">
        <w:rPr>
          <w:rFonts w:ascii="Times New Roman" w:hAnsi="Times New Roman" w:cs="Times New Roman"/>
          <w:lang w:val="ro-MD"/>
        </w:rPr>
        <w:t xml:space="preserve"> </w:t>
      </w:r>
      <w:r w:rsidR="002F124E" w:rsidRPr="000508B6">
        <w:rPr>
          <w:rFonts w:ascii="Times New Roman" w:hAnsi="Times New Roman" w:cs="Times New Roman"/>
          <w:lang w:val="ro-MD"/>
        </w:rPr>
        <w:t xml:space="preserve">entitate din sectorul financiar </w:t>
      </w:r>
      <w:r w:rsidR="0092617B" w:rsidRPr="000508B6">
        <w:rPr>
          <w:rFonts w:ascii="Times New Roman" w:hAnsi="Times New Roman" w:cs="Times New Roman"/>
          <w:lang w:val="ro-MD"/>
        </w:rPr>
        <w:t xml:space="preserve">holding </w:t>
      </w:r>
      <w:r w:rsidRPr="000508B6">
        <w:rPr>
          <w:rFonts w:ascii="Times New Roman" w:hAnsi="Times New Roman" w:cs="Times New Roman"/>
          <w:lang w:val="ro-MD"/>
        </w:rPr>
        <w:t>în înțelesul art</w:t>
      </w:r>
      <w:r w:rsidR="0092617B" w:rsidRPr="000508B6">
        <w:rPr>
          <w:rFonts w:ascii="Times New Roman" w:hAnsi="Times New Roman" w:cs="Times New Roman"/>
          <w:lang w:val="ro-MD"/>
        </w:rPr>
        <w:t>.</w:t>
      </w:r>
      <w:r w:rsidRPr="000508B6">
        <w:rPr>
          <w:rFonts w:ascii="Times New Roman" w:hAnsi="Times New Roman" w:cs="Times New Roman"/>
          <w:lang w:val="ro-MD"/>
        </w:rPr>
        <w:t xml:space="preserve"> </w:t>
      </w:r>
      <w:r w:rsidR="0092617B" w:rsidRPr="000508B6">
        <w:rPr>
          <w:rFonts w:ascii="Times New Roman" w:hAnsi="Times New Roman" w:cs="Times New Roman"/>
          <w:lang w:val="ro-MD"/>
        </w:rPr>
        <w:t>3</w:t>
      </w:r>
      <w:r w:rsidRPr="000508B6">
        <w:rPr>
          <w:rFonts w:ascii="Times New Roman" w:hAnsi="Times New Roman" w:cs="Times New Roman"/>
          <w:lang w:val="ro-MD"/>
        </w:rPr>
        <w:t xml:space="preserve"> din </w:t>
      </w:r>
      <w:r w:rsidR="0092617B" w:rsidRPr="000508B6">
        <w:rPr>
          <w:rFonts w:ascii="Times New Roman" w:hAnsi="Times New Roman" w:cs="Times New Roman"/>
          <w:lang w:val="ro-MD"/>
        </w:rPr>
        <w:t>Legea nr.</w:t>
      </w:r>
      <w:r w:rsidR="00E86F8F" w:rsidRPr="000508B6">
        <w:rPr>
          <w:rFonts w:ascii="Times New Roman" w:hAnsi="Times New Roman" w:cs="Times New Roman"/>
          <w:lang w:val="ro-MD"/>
        </w:rPr>
        <w:t xml:space="preserve"> </w:t>
      </w:r>
      <w:r w:rsidR="0092617B" w:rsidRPr="000508B6">
        <w:rPr>
          <w:rFonts w:ascii="Times New Roman" w:hAnsi="Times New Roman" w:cs="Times New Roman"/>
          <w:lang w:val="ro-MD"/>
        </w:rPr>
        <w:t>202/2017</w:t>
      </w:r>
      <w:r w:rsidRPr="000508B6">
        <w:rPr>
          <w:rFonts w:ascii="Times New Roman" w:hAnsi="Times New Roman" w:cs="Times New Roman"/>
          <w:lang w:val="ro-MD"/>
        </w:rPr>
        <w:t xml:space="preserve"> sau </w:t>
      </w:r>
      <w:r w:rsidR="0092617B" w:rsidRPr="000508B6">
        <w:rPr>
          <w:rFonts w:ascii="Times New Roman" w:hAnsi="Times New Roman" w:cs="Times New Roman"/>
          <w:lang w:val="ro-MD"/>
        </w:rPr>
        <w:t xml:space="preserve">o </w:t>
      </w:r>
      <w:r w:rsidR="002F124E" w:rsidRPr="000508B6">
        <w:rPr>
          <w:rFonts w:ascii="Times New Roman" w:hAnsi="Times New Roman" w:cs="Times New Roman"/>
          <w:lang w:val="ro-MD"/>
        </w:rPr>
        <w:t>entitate din sectorul financiar</w:t>
      </w:r>
      <w:r w:rsidR="0092617B" w:rsidRPr="000508B6" w:rsidDel="002F124E">
        <w:rPr>
          <w:rFonts w:ascii="Times New Roman" w:hAnsi="Times New Roman" w:cs="Times New Roman"/>
          <w:lang w:val="ro-MD"/>
        </w:rPr>
        <w:t xml:space="preserve"> </w:t>
      </w:r>
      <w:r w:rsidR="0092617B" w:rsidRPr="000508B6">
        <w:rPr>
          <w:rFonts w:ascii="Times New Roman" w:hAnsi="Times New Roman" w:cs="Times New Roman"/>
          <w:lang w:val="ro-MD"/>
        </w:rPr>
        <w:t>holding mixtă</w:t>
      </w:r>
      <w:r w:rsidRPr="000508B6">
        <w:rPr>
          <w:rFonts w:ascii="Times New Roman" w:hAnsi="Times New Roman" w:cs="Times New Roman"/>
          <w:lang w:val="ro-MD"/>
        </w:rPr>
        <w:t xml:space="preserve"> este o filială a unui grup, </w:t>
      </w:r>
      <w:r w:rsidR="008A33E9" w:rsidRPr="000508B6">
        <w:rPr>
          <w:rFonts w:ascii="Times New Roman" w:hAnsi="Times New Roman" w:cs="Times New Roman"/>
          <w:lang w:val="ro-MD"/>
        </w:rPr>
        <w:t xml:space="preserve">Banca Națională a Moldovei </w:t>
      </w:r>
      <w:r w:rsidRPr="000508B6">
        <w:rPr>
          <w:rFonts w:ascii="Times New Roman" w:hAnsi="Times New Roman" w:cs="Times New Roman"/>
          <w:lang w:val="ro-MD"/>
        </w:rPr>
        <w:t xml:space="preserve">poate impune calcularea contribuției respectivelor </w:t>
      </w:r>
      <w:r w:rsidR="009C501D" w:rsidRPr="000508B6">
        <w:rPr>
          <w:rFonts w:ascii="Times New Roman" w:hAnsi="Times New Roman" w:cs="Times New Roman"/>
          <w:lang w:val="ro-MD"/>
        </w:rPr>
        <w:t xml:space="preserve">entități </w:t>
      </w:r>
      <w:r w:rsidRPr="000508B6">
        <w:rPr>
          <w:rFonts w:ascii="Times New Roman" w:hAnsi="Times New Roman" w:cs="Times New Roman"/>
          <w:lang w:val="ro-MD"/>
        </w:rPr>
        <w:t>afiliate la fondurile proprii eligibile ale grupului ca fiind cota proporțională din fondurile proprii ale subgrupului respectiv, în locul aplicării alin</w:t>
      </w:r>
      <w:r w:rsidR="008A33E9" w:rsidRPr="000508B6">
        <w:rPr>
          <w:rFonts w:ascii="Times New Roman" w:hAnsi="Times New Roman" w:cs="Times New Roman"/>
          <w:lang w:val="ro-MD"/>
        </w:rPr>
        <w:t>.</w:t>
      </w:r>
      <w:r w:rsidRPr="000508B6">
        <w:rPr>
          <w:rFonts w:ascii="Times New Roman" w:hAnsi="Times New Roman" w:cs="Times New Roman"/>
          <w:lang w:val="ro-MD"/>
        </w:rPr>
        <w:t xml:space="preserve"> (2) lit</w:t>
      </w:r>
      <w:r w:rsidR="008A33E9" w:rsidRPr="000508B6">
        <w:rPr>
          <w:rFonts w:ascii="Times New Roman" w:hAnsi="Times New Roman" w:cs="Times New Roman"/>
          <w:lang w:val="ro-MD"/>
        </w:rPr>
        <w:t>.</w:t>
      </w:r>
      <w:r w:rsidR="00E86F8F" w:rsidRPr="000508B6" w:rsidDel="00E86F8F">
        <w:rPr>
          <w:rFonts w:ascii="Times New Roman" w:hAnsi="Times New Roman" w:cs="Times New Roman"/>
          <w:lang w:val="ro-MD"/>
        </w:rPr>
        <w:t xml:space="preserve"> </w:t>
      </w:r>
      <w:r w:rsidRPr="000508B6">
        <w:rPr>
          <w:rFonts w:ascii="Times New Roman" w:hAnsi="Times New Roman" w:cs="Times New Roman"/>
          <w:lang w:val="ro-MD"/>
        </w:rPr>
        <w:t>a)-</w:t>
      </w:r>
      <w:r w:rsidR="00E86F8F" w:rsidRPr="000508B6" w:rsidDel="00E86F8F">
        <w:rPr>
          <w:rFonts w:ascii="Times New Roman" w:hAnsi="Times New Roman" w:cs="Times New Roman"/>
          <w:lang w:val="ro-MD"/>
        </w:rPr>
        <w:t xml:space="preserve"> </w:t>
      </w:r>
      <w:r w:rsidRPr="000508B6">
        <w:rPr>
          <w:rFonts w:ascii="Times New Roman" w:hAnsi="Times New Roman" w:cs="Times New Roman"/>
          <w:lang w:val="ro-MD"/>
        </w:rPr>
        <w:t xml:space="preserve">e) pentru fiecare </w:t>
      </w:r>
      <w:r w:rsidR="00B65FD6" w:rsidRPr="000508B6">
        <w:rPr>
          <w:rFonts w:ascii="Times New Roman" w:hAnsi="Times New Roman" w:cs="Times New Roman"/>
          <w:lang w:val="ro-MD"/>
        </w:rPr>
        <w:t xml:space="preserve">entitate </w:t>
      </w:r>
      <w:r w:rsidRPr="000508B6">
        <w:rPr>
          <w:rFonts w:ascii="Times New Roman" w:hAnsi="Times New Roman" w:cs="Times New Roman"/>
          <w:lang w:val="ro-MD"/>
        </w:rPr>
        <w:t xml:space="preserve">care aparține subgrupului respectiv. </w:t>
      </w:r>
    </w:p>
    <w:p w14:paraId="7F10C22F" w14:textId="56027B58" w:rsidR="00A45680" w:rsidRPr="000508B6" w:rsidRDefault="00A0227B" w:rsidP="00C82EBE">
      <w:pPr>
        <w:pStyle w:val="Listparagraf"/>
        <w:numPr>
          <w:ilvl w:val="1"/>
          <w:numId w:val="3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w:t>
      </w:r>
      <w:r w:rsidR="00A45680" w:rsidRPr="000508B6">
        <w:rPr>
          <w:rFonts w:ascii="Times New Roman" w:hAnsi="Times New Roman" w:cs="Times New Roman"/>
          <w:lang w:val="ro-MD"/>
        </w:rPr>
        <w:t>sensul alin.</w:t>
      </w:r>
      <w:r w:rsidR="00E86F8F" w:rsidRPr="000508B6">
        <w:rPr>
          <w:rFonts w:ascii="Times New Roman" w:hAnsi="Times New Roman" w:cs="Times New Roman"/>
          <w:lang w:val="ro-MD"/>
        </w:rPr>
        <w:t xml:space="preserve"> </w:t>
      </w:r>
      <w:r w:rsidR="00A45680" w:rsidRPr="000508B6">
        <w:rPr>
          <w:rFonts w:ascii="Times New Roman" w:hAnsi="Times New Roman" w:cs="Times New Roman"/>
          <w:lang w:val="ro-MD"/>
        </w:rPr>
        <w:t>(</w:t>
      </w:r>
      <w:r w:rsidR="003E72D5" w:rsidRPr="000508B6">
        <w:rPr>
          <w:rFonts w:ascii="Times New Roman" w:hAnsi="Times New Roman" w:cs="Times New Roman"/>
          <w:lang w:val="ro-MD"/>
        </w:rPr>
        <w:t>13</w:t>
      </w:r>
      <w:r w:rsidR="00A45680" w:rsidRPr="000508B6">
        <w:rPr>
          <w:rFonts w:ascii="Times New Roman" w:hAnsi="Times New Roman" w:cs="Times New Roman"/>
          <w:lang w:val="ro-MD"/>
        </w:rPr>
        <w:t>)</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950050"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calculează, de asemenea, contribuția respectivelor </w:t>
      </w:r>
      <w:r w:rsidR="00950050" w:rsidRPr="000508B6">
        <w:rPr>
          <w:rFonts w:ascii="Times New Roman" w:hAnsi="Times New Roman" w:cs="Times New Roman"/>
          <w:lang w:val="ro-MD"/>
        </w:rPr>
        <w:t xml:space="preserve">entități </w:t>
      </w:r>
      <w:r w:rsidRPr="000508B6">
        <w:rPr>
          <w:rFonts w:ascii="Times New Roman" w:hAnsi="Times New Roman" w:cs="Times New Roman"/>
          <w:lang w:val="ro-MD"/>
        </w:rPr>
        <w:t xml:space="preserve">afiliate la </w:t>
      </w:r>
      <w:r w:rsidR="009E29C2" w:rsidRPr="000508B6">
        <w:rPr>
          <w:rFonts w:ascii="Times New Roman" w:hAnsi="Times New Roman" w:cs="Times New Roman"/>
          <w:lang w:val="ro-MD"/>
        </w:rPr>
        <w:t xml:space="preserve">SCR </w:t>
      </w:r>
      <w:r w:rsidR="00702CCB" w:rsidRPr="000508B6">
        <w:rPr>
          <w:rFonts w:ascii="Times New Roman" w:hAnsi="Times New Roman" w:cs="Times New Roman"/>
          <w:lang w:val="ro-MD"/>
        </w:rPr>
        <w:t xml:space="preserve">la nivel </w:t>
      </w:r>
      <w:r w:rsidR="009E29C2" w:rsidRPr="000508B6">
        <w:rPr>
          <w:rFonts w:ascii="Times New Roman" w:hAnsi="Times New Roman" w:cs="Times New Roman"/>
          <w:lang w:val="ro-MD"/>
        </w:rPr>
        <w:t xml:space="preserve">de </w:t>
      </w:r>
      <w:r w:rsidRPr="000508B6">
        <w:rPr>
          <w:rFonts w:ascii="Times New Roman" w:hAnsi="Times New Roman" w:cs="Times New Roman"/>
          <w:lang w:val="ro-MD"/>
        </w:rPr>
        <w:t xml:space="preserve">grup ca fiind cota proporțională din cerința de capital a subgrupului respectiv, </w:t>
      </w:r>
      <w:r w:rsidR="009E29C2" w:rsidRPr="000508B6">
        <w:rPr>
          <w:rFonts w:ascii="Times New Roman" w:hAnsi="Times New Roman" w:cs="Times New Roman"/>
          <w:lang w:val="ro-MD"/>
        </w:rPr>
        <w:t xml:space="preserve">fără a </w:t>
      </w:r>
      <w:r w:rsidRPr="000508B6">
        <w:rPr>
          <w:rFonts w:ascii="Times New Roman" w:hAnsi="Times New Roman" w:cs="Times New Roman"/>
          <w:lang w:val="ro-MD"/>
        </w:rPr>
        <w:t>aplic</w:t>
      </w:r>
      <w:r w:rsidR="009E29C2" w:rsidRPr="000508B6">
        <w:rPr>
          <w:rFonts w:ascii="Times New Roman" w:hAnsi="Times New Roman" w:cs="Times New Roman"/>
          <w:lang w:val="ro-MD"/>
        </w:rPr>
        <w:t>a</w:t>
      </w:r>
      <w:r w:rsidRPr="000508B6">
        <w:rPr>
          <w:rFonts w:ascii="Times New Roman" w:hAnsi="Times New Roman" w:cs="Times New Roman"/>
          <w:lang w:val="ro-MD"/>
        </w:rPr>
        <w:t xml:space="preserve"> alin</w:t>
      </w:r>
      <w:r w:rsidR="009E29C2" w:rsidRPr="000508B6">
        <w:rPr>
          <w:rFonts w:ascii="Times New Roman" w:hAnsi="Times New Roman" w:cs="Times New Roman"/>
          <w:lang w:val="ro-MD"/>
        </w:rPr>
        <w:t>.</w:t>
      </w:r>
      <w:r w:rsidRPr="000508B6">
        <w:rPr>
          <w:rFonts w:ascii="Times New Roman" w:hAnsi="Times New Roman" w:cs="Times New Roman"/>
          <w:lang w:val="ro-MD"/>
        </w:rPr>
        <w:t xml:space="preserve"> (</w:t>
      </w:r>
      <w:r w:rsidR="003E72D5" w:rsidRPr="000508B6">
        <w:rPr>
          <w:rFonts w:ascii="Times New Roman" w:hAnsi="Times New Roman" w:cs="Times New Roman"/>
          <w:lang w:val="ro-MD"/>
        </w:rPr>
        <w:t>6</w:t>
      </w:r>
      <w:r w:rsidRPr="000508B6">
        <w:rPr>
          <w:rFonts w:ascii="Times New Roman" w:hAnsi="Times New Roman" w:cs="Times New Roman"/>
          <w:lang w:val="ro-MD"/>
        </w:rPr>
        <w:t>)</w:t>
      </w:r>
      <w:r w:rsidR="003E72D5" w:rsidRPr="000508B6">
        <w:rPr>
          <w:rFonts w:ascii="Times New Roman" w:hAnsi="Times New Roman" w:cs="Times New Roman"/>
          <w:lang w:val="ro-MD"/>
        </w:rPr>
        <w:t>-(12)</w:t>
      </w:r>
      <w:r w:rsidRPr="000508B6">
        <w:rPr>
          <w:rFonts w:ascii="Times New Roman" w:hAnsi="Times New Roman" w:cs="Times New Roman"/>
          <w:lang w:val="ro-MD"/>
        </w:rPr>
        <w:t xml:space="preserve"> fiecărei </w:t>
      </w:r>
      <w:r w:rsidR="009C501D" w:rsidRPr="000508B6">
        <w:rPr>
          <w:rFonts w:ascii="Times New Roman" w:hAnsi="Times New Roman" w:cs="Times New Roman"/>
          <w:lang w:val="ro-MD"/>
        </w:rPr>
        <w:t xml:space="preserve">entități </w:t>
      </w:r>
      <w:r w:rsidRPr="000508B6">
        <w:rPr>
          <w:rFonts w:ascii="Times New Roman" w:hAnsi="Times New Roman" w:cs="Times New Roman"/>
          <w:lang w:val="ro-MD"/>
        </w:rPr>
        <w:t xml:space="preserve">care aparține subgrupului respectiv. </w:t>
      </w:r>
    </w:p>
    <w:p w14:paraId="1DCAECCC" w14:textId="1CB48FEF" w:rsidR="00A0227B" w:rsidRPr="000508B6" w:rsidRDefault="004125E8" w:rsidP="00C82EBE">
      <w:pPr>
        <w:pStyle w:val="Listparagraf"/>
        <w:numPr>
          <w:ilvl w:val="1"/>
          <w:numId w:val="3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B72E83" w:rsidRPr="000508B6">
        <w:rPr>
          <w:rFonts w:ascii="Times New Roman" w:hAnsi="Times New Roman" w:cs="Times New Roman"/>
          <w:lang w:val="ro-MD"/>
        </w:rPr>
        <w:t xml:space="preserve"> participativ includ</w:t>
      </w:r>
      <w:r w:rsidR="00443B63" w:rsidRPr="000508B6">
        <w:rPr>
          <w:rFonts w:ascii="Times New Roman" w:hAnsi="Times New Roman" w:cs="Times New Roman"/>
          <w:lang w:val="ro-MD"/>
        </w:rPr>
        <w:t>e</w:t>
      </w:r>
      <w:r w:rsidR="00B72E83" w:rsidRPr="000508B6">
        <w:rPr>
          <w:rFonts w:ascii="Times New Roman" w:hAnsi="Times New Roman" w:cs="Times New Roman"/>
          <w:lang w:val="ro-MD"/>
        </w:rPr>
        <w:t xml:space="preserve"> în calculul cerințel</w:t>
      </w:r>
      <w:r w:rsidR="00443B63" w:rsidRPr="000508B6">
        <w:rPr>
          <w:rFonts w:ascii="Times New Roman" w:hAnsi="Times New Roman" w:cs="Times New Roman"/>
          <w:lang w:val="ro-MD"/>
        </w:rPr>
        <w:t>e</w:t>
      </w:r>
      <w:r w:rsidR="00B72E83" w:rsidRPr="000508B6">
        <w:rPr>
          <w:rFonts w:ascii="Times New Roman" w:hAnsi="Times New Roman" w:cs="Times New Roman"/>
          <w:lang w:val="ro-MD"/>
        </w:rPr>
        <w:t xml:space="preserve"> de fonduri proprii și de capital ale subgrupului prevăzut la alin.</w:t>
      </w:r>
      <w:r w:rsidR="00E86F8F" w:rsidRPr="000508B6">
        <w:rPr>
          <w:rFonts w:ascii="Times New Roman" w:hAnsi="Times New Roman" w:cs="Times New Roman"/>
          <w:lang w:val="ro-MD"/>
        </w:rPr>
        <w:t xml:space="preserve"> </w:t>
      </w:r>
      <w:r w:rsidR="00B72E83" w:rsidRPr="000508B6">
        <w:rPr>
          <w:rFonts w:ascii="Times New Roman" w:hAnsi="Times New Roman" w:cs="Times New Roman"/>
          <w:lang w:val="ro-MD"/>
        </w:rPr>
        <w:t>(</w:t>
      </w:r>
      <w:r w:rsidR="003E72D5" w:rsidRPr="000508B6">
        <w:rPr>
          <w:rFonts w:ascii="Times New Roman" w:hAnsi="Times New Roman" w:cs="Times New Roman"/>
          <w:lang w:val="ro-MD"/>
        </w:rPr>
        <w:t>13</w:t>
      </w:r>
      <w:r w:rsidR="00B72E83" w:rsidRPr="000508B6">
        <w:rPr>
          <w:rFonts w:ascii="Times New Roman" w:hAnsi="Times New Roman" w:cs="Times New Roman"/>
          <w:lang w:val="ro-MD"/>
        </w:rPr>
        <w:t>) toate e</w:t>
      </w:r>
      <w:r w:rsidR="00257164" w:rsidRPr="000508B6">
        <w:rPr>
          <w:rFonts w:ascii="Times New Roman" w:hAnsi="Times New Roman" w:cs="Times New Roman"/>
          <w:lang w:val="ro-MD"/>
        </w:rPr>
        <w:t xml:space="preserve">ntitățile din sectorul financiar și </w:t>
      </w:r>
      <w:r w:rsidR="00E45D87" w:rsidRPr="000508B6">
        <w:rPr>
          <w:rFonts w:ascii="Times New Roman" w:hAnsi="Times New Roman" w:cs="Times New Roman"/>
          <w:lang w:val="ro-MD"/>
        </w:rPr>
        <w:t>cele</w:t>
      </w:r>
      <w:r w:rsidR="00257164" w:rsidRPr="000508B6">
        <w:rPr>
          <w:rFonts w:ascii="Times New Roman" w:hAnsi="Times New Roman" w:cs="Times New Roman"/>
          <w:lang w:val="ro-MD"/>
        </w:rPr>
        <w:t xml:space="preserve"> prestatoare de servicii auxiliare </w:t>
      </w:r>
      <w:r w:rsidR="00A0227B" w:rsidRPr="000508B6">
        <w:rPr>
          <w:rFonts w:ascii="Times New Roman" w:hAnsi="Times New Roman" w:cs="Times New Roman"/>
          <w:lang w:val="ro-MD"/>
        </w:rPr>
        <w:t>în înțelesul art</w:t>
      </w:r>
      <w:r w:rsidR="00257164" w:rsidRPr="000508B6">
        <w:rPr>
          <w:rFonts w:ascii="Times New Roman" w:hAnsi="Times New Roman" w:cs="Times New Roman"/>
          <w:lang w:val="ro-MD"/>
        </w:rPr>
        <w:t>.</w:t>
      </w:r>
      <w:r w:rsidR="00E86F8F" w:rsidRPr="000508B6">
        <w:rPr>
          <w:rFonts w:ascii="Times New Roman" w:hAnsi="Times New Roman" w:cs="Times New Roman"/>
          <w:lang w:val="ro-MD"/>
        </w:rPr>
        <w:t xml:space="preserve"> </w:t>
      </w:r>
      <w:r w:rsidR="00257164" w:rsidRPr="000508B6">
        <w:rPr>
          <w:rFonts w:ascii="Times New Roman" w:hAnsi="Times New Roman" w:cs="Times New Roman"/>
          <w:lang w:val="ro-MD"/>
        </w:rPr>
        <w:t>3</w:t>
      </w:r>
      <w:r w:rsidR="00A0227B" w:rsidRPr="000508B6">
        <w:rPr>
          <w:rFonts w:ascii="Times New Roman" w:hAnsi="Times New Roman" w:cs="Times New Roman"/>
          <w:lang w:val="ro-MD"/>
        </w:rPr>
        <w:t xml:space="preserve"> din </w:t>
      </w:r>
      <w:r w:rsidR="00257164" w:rsidRPr="000508B6">
        <w:rPr>
          <w:rFonts w:ascii="Times New Roman" w:hAnsi="Times New Roman" w:cs="Times New Roman"/>
          <w:lang w:val="ro-MD"/>
        </w:rPr>
        <w:t>Legea nr.</w:t>
      </w:r>
      <w:r w:rsidR="00E86F8F" w:rsidRPr="000508B6">
        <w:rPr>
          <w:rFonts w:ascii="Times New Roman" w:hAnsi="Times New Roman" w:cs="Times New Roman"/>
          <w:lang w:val="ro-MD"/>
        </w:rPr>
        <w:t xml:space="preserve"> </w:t>
      </w:r>
      <w:r w:rsidR="00257164" w:rsidRPr="000508B6">
        <w:rPr>
          <w:rFonts w:ascii="Times New Roman" w:hAnsi="Times New Roman" w:cs="Times New Roman"/>
          <w:lang w:val="ro-MD"/>
        </w:rPr>
        <w:t>202/2017</w:t>
      </w:r>
      <w:r w:rsidR="00A0227B" w:rsidRPr="000508B6">
        <w:rPr>
          <w:rFonts w:ascii="Times New Roman" w:hAnsi="Times New Roman" w:cs="Times New Roman"/>
          <w:lang w:val="ro-MD"/>
        </w:rPr>
        <w:t>.</w:t>
      </w:r>
      <w:r w:rsidR="009E5452" w:rsidRPr="000508B6">
        <w:rPr>
          <w:rFonts w:ascii="Times New Roman" w:hAnsi="Times New Roman" w:cs="Times New Roman"/>
          <w:lang w:val="ro-MD"/>
        </w:rPr>
        <w:t xml:space="preserve"> </w:t>
      </w:r>
    </w:p>
    <w:p w14:paraId="775CBEDB" w14:textId="409E872D" w:rsidR="007B684F" w:rsidRPr="000508B6" w:rsidRDefault="007B684F" w:rsidP="00C82EBE">
      <w:pPr>
        <w:pStyle w:val="Listparagraf"/>
        <w:numPr>
          <w:ilvl w:val="1"/>
          <w:numId w:val="3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alin.</w:t>
      </w:r>
      <w:r w:rsidR="00E86F8F" w:rsidRPr="000508B6">
        <w:rPr>
          <w:rFonts w:ascii="Times New Roman" w:hAnsi="Times New Roman" w:cs="Times New Roman"/>
          <w:lang w:val="ro-MD"/>
        </w:rPr>
        <w:t xml:space="preserve"> </w:t>
      </w:r>
      <w:r w:rsidRPr="000508B6">
        <w:rPr>
          <w:rFonts w:ascii="Times New Roman" w:hAnsi="Times New Roman" w:cs="Times New Roman"/>
          <w:lang w:val="ro-MD"/>
        </w:rPr>
        <w:t>(</w:t>
      </w:r>
      <w:r w:rsidR="003E72D5" w:rsidRPr="000508B6">
        <w:rPr>
          <w:rFonts w:ascii="Times New Roman" w:hAnsi="Times New Roman" w:cs="Times New Roman"/>
          <w:lang w:val="ro-MD"/>
        </w:rPr>
        <w:t>13</w:t>
      </w:r>
      <w:r w:rsidRPr="000508B6">
        <w:rPr>
          <w:rFonts w:ascii="Times New Roman" w:hAnsi="Times New Roman" w:cs="Times New Roman"/>
          <w:lang w:val="ro-MD"/>
        </w:rPr>
        <w:t>), prevederile alin.</w:t>
      </w:r>
      <w:r w:rsidR="00E86F8F" w:rsidRPr="000508B6">
        <w:rPr>
          <w:rFonts w:ascii="Times New Roman" w:hAnsi="Times New Roman" w:cs="Times New Roman"/>
          <w:lang w:val="ro-MD"/>
        </w:rPr>
        <w:t xml:space="preserve"> </w:t>
      </w:r>
      <w:r w:rsidRPr="000508B6">
        <w:rPr>
          <w:rFonts w:ascii="Times New Roman" w:hAnsi="Times New Roman" w:cs="Times New Roman"/>
          <w:lang w:val="ro-MD"/>
        </w:rPr>
        <w:t xml:space="preserve">(2) </w:t>
      </w:r>
      <w:r w:rsidR="009E5452" w:rsidRPr="000508B6">
        <w:rPr>
          <w:rFonts w:ascii="Times New Roman" w:hAnsi="Times New Roman" w:cs="Times New Roman"/>
          <w:lang w:val="ro-MD"/>
        </w:rPr>
        <w:t>-</w:t>
      </w:r>
      <w:r w:rsidRPr="000508B6">
        <w:rPr>
          <w:rFonts w:ascii="Times New Roman" w:hAnsi="Times New Roman" w:cs="Times New Roman"/>
          <w:lang w:val="ro-MD"/>
        </w:rPr>
        <w:t xml:space="preserve"> (</w:t>
      </w:r>
      <w:r w:rsidR="003E72D5" w:rsidRPr="000508B6">
        <w:rPr>
          <w:rFonts w:ascii="Times New Roman" w:hAnsi="Times New Roman" w:cs="Times New Roman"/>
          <w:lang w:val="ro-MD"/>
        </w:rPr>
        <w:t>12</w:t>
      </w:r>
      <w:r w:rsidRPr="000508B6">
        <w:rPr>
          <w:rFonts w:ascii="Times New Roman" w:hAnsi="Times New Roman" w:cs="Times New Roman"/>
          <w:lang w:val="ro-MD"/>
        </w:rPr>
        <w:t xml:space="preserve">) se aplică subgrupului, pe baza </w:t>
      </w:r>
      <w:r w:rsidR="00950050" w:rsidRPr="000508B6">
        <w:rPr>
          <w:rFonts w:ascii="Times New Roman" w:hAnsi="Times New Roman" w:cs="Times New Roman"/>
          <w:lang w:val="ro-MD"/>
        </w:rPr>
        <w:t>datelor</w:t>
      </w:r>
      <w:r w:rsidRPr="000508B6">
        <w:rPr>
          <w:rFonts w:ascii="Times New Roman" w:hAnsi="Times New Roman" w:cs="Times New Roman"/>
          <w:lang w:val="ro-MD"/>
        </w:rPr>
        <w:t xml:space="preserve"> consolidate</w:t>
      </w:r>
      <w:r w:rsidR="003E72D5" w:rsidRPr="000508B6">
        <w:rPr>
          <w:rFonts w:ascii="Times New Roman" w:hAnsi="Times New Roman" w:cs="Times New Roman"/>
          <w:lang w:val="ro-MD"/>
        </w:rPr>
        <w:t>, fie</w:t>
      </w:r>
      <w:r w:rsidRPr="000508B6">
        <w:rPr>
          <w:rFonts w:ascii="Times New Roman" w:hAnsi="Times New Roman" w:cs="Times New Roman"/>
          <w:lang w:val="ro-MD"/>
        </w:rPr>
        <w:t xml:space="preserve"> în înțelesul</w:t>
      </w:r>
      <w:r w:rsidR="00791AC7" w:rsidRPr="000508B6">
        <w:rPr>
          <w:rFonts w:ascii="Times New Roman" w:hAnsi="Times New Roman" w:cs="Times New Roman"/>
          <w:lang w:val="ro-MD"/>
        </w:rPr>
        <w:t xml:space="preserve"> </w:t>
      </w:r>
      <w:r w:rsidRPr="000508B6">
        <w:rPr>
          <w:rFonts w:ascii="Times New Roman" w:hAnsi="Times New Roman" w:cs="Times New Roman"/>
          <w:lang w:val="ro-MD"/>
        </w:rPr>
        <w:t>art. 3 din Legea nr.</w:t>
      </w:r>
      <w:r w:rsidR="00E86F8F" w:rsidRPr="000508B6">
        <w:rPr>
          <w:rFonts w:ascii="Times New Roman" w:hAnsi="Times New Roman" w:cs="Times New Roman"/>
          <w:lang w:val="ro-MD"/>
        </w:rPr>
        <w:t xml:space="preserve"> </w:t>
      </w:r>
      <w:r w:rsidRPr="000508B6">
        <w:rPr>
          <w:rFonts w:ascii="Times New Roman" w:hAnsi="Times New Roman" w:cs="Times New Roman"/>
          <w:lang w:val="ro-MD"/>
        </w:rPr>
        <w:t xml:space="preserve">202/2017, fie </w:t>
      </w:r>
      <w:r w:rsidR="00A05AED" w:rsidRPr="000508B6">
        <w:rPr>
          <w:rFonts w:ascii="Times New Roman" w:hAnsi="Times New Roman" w:cs="Times New Roman"/>
          <w:lang w:val="ro-MD"/>
        </w:rPr>
        <w:t>în înțelesul cadru</w:t>
      </w:r>
      <w:r w:rsidR="00EF03B3" w:rsidRPr="000508B6">
        <w:rPr>
          <w:rFonts w:ascii="Times New Roman" w:hAnsi="Times New Roman" w:cs="Times New Roman"/>
          <w:lang w:val="ro-MD"/>
        </w:rPr>
        <w:t>lui</w:t>
      </w:r>
      <w:r w:rsidR="00A05AED" w:rsidRPr="000508B6">
        <w:rPr>
          <w:rFonts w:ascii="Times New Roman" w:hAnsi="Times New Roman" w:cs="Times New Roman"/>
          <w:lang w:val="ro-MD"/>
        </w:rPr>
        <w:t xml:space="preserve"> normativ privind cerințele prudențiale aferente firmelor de investiții, </w:t>
      </w:r>
      <w:r w:rsidRPr="000508B6">
        <w:rPr>
          <w:rFonts w:ascii="Times New Roman" w:hAnsi="Times New Roman" w:cs="Times New Roman"/>
          <w:lang w:val="ro-MD"/>
        </w:rPr>
        <w:t>fie pe baza poziției sale consolidate, după caz.</w:t>
      </w:r>
      <w:r w:rsidR="009E5452" w:rsidRPr="000508B6">
        <w:rPr>
          <w:rFonts w:ascii="Times New Roman" w:hAnsi="Times New Roman" w:cs="Times New Roman"/>
          <w:lang w:val="ro-MD"/>
        </w:rPr>
        <w:t xml:space="preserve"> </w:t>
      </w:r>
    </w:p>
    <w:p w14:paraId="4F1AF854" w14:textId="1D64D726" w:rsidR="007B684F" w:rsidRPr="000508B6" w:rsidRDefault="007B684F" w:rsidP="00C82EBE">
      <w:pPr>
        <w:pStyle w:val="Listparagraf"/>
        <w:numPr>
          <w:ilvl w:val="1"/>
          <w:numId w:val="3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Prin derogare de la alin. (1)-(</w:t>
      </w:r>
      <w:r w:rsidR="003E72D5" w:rsidRPr="000508B6">
        <w:rPr>
          <w:rFonts w:ascii="Times New Roman" w:hAnsi="Times New Roman" w:cs="Times New Roman"/>
          <w:lang w:val="ro-MD"/>
        </w:rPr>
        <w:t>16</w:t>
      </w:r>
      <w:r w:rsidRPr="000508B6">
        <w:rPr>
          <w:rFonts w:ascii="Times New Roman" w:hAnsi="Times New Roman" w:cs="Times New Roman"/>
          <w:lang w:val="ro-MD"/>
        </w:rPr>
        <w:t xml:space="preserve">), Banca Națională a Moldovei </w:t>
      </w:r>
      <w:r w:rsidR="009C501D" w:rsidRPr="000508B6">
        <w:rPr>
          <w:rFonts w:ascii="Times New Roman" w:hAnsi="Times New Roman" w:cs="Times New Roman"/>
          <w:lang w:val="ro-MD"/>
        </w:rPr>
        <w:t>în calitate de supraveghetor</w:t>
      </w:r>
      <w:r w:rsidR="003E72D5" w:rsidRPr="000508B6">
        <w:rPr>
          <w:rFonts w:ascii="Times New Roman" w:hAnsi="Times New Roman" w:cs="Times New Roman"/>
          <w:lang w:val="ro-MD"/>
        </w:rPr>
        <w:t xml:space="preserve"> coordonator</w:t>
      </w:r>
      <w:r w:rsidR="009C501D" w:rsidRPr="000508B6">
        <w:rPr>
          <w:rFonts w:ascii="Times New Roman" w:hAnsi="Times New Roman" w:cs="Times New Roman"/>
          <w:lang w:val="ro-MD"/>
        </w:rPr>
        <w:t xml:space="preserve"> </w:t>
      </w:r>
      <w:r w:rsidR="00950050" w:rsidRPr="000508B6">
        <w:rPr>
          <w:rFonts w:ascii="Times New Roman" w:hAnsi="Times New Roman" w:cs="Times New Roman"/>
          <w:lang w:val="ro-MD"/>
        </w:rPr>
        <w:t>aprobă</w:t>
      </w:r>
      <w:r w:rsidRPr="000508B6">
        <w:rPr>
          <w:rFonts w:ascii="Times New Roman" w:hAnsi="Times New Roman" w:cs="Times New Roman"/>
          <w:lang w:val="ro-MD"/>
        </w:rPr>
        <w:t xml:space="preserve">, la cererea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w:t>
      </w:r>
      <w:r w:rsidR="00F46E61" w:rsidRPr="000508B6">
        <w:rPr>
          <w:rFonts w:ascii="Times New Roman" w:hAnsi="Times New Roman" w:cs="Times New Roman"/>
          <w:lang w:val="ro-MD"/>
        </w:rPr>
        <w:t>i</w:t>
      </w:r>
      <w:proofErr w:type="spellEnd"/>
      <w:r w:rsidR="00F46E61" w:rsidRPr="000508B6">
        <w:rPr>
          <w:rFonts w:ascii="Times New Roman" w:hAnsi="Times New Roman" w:cs="Times New Roman"/>
          <w:lang w:val="ro-MD"/>
        </w:rPr>
        <w:t xml:space="preserve"> </w:t>
      </w:r>
      <w:r w:rsidRPr="000508B6">
        <w:rPr>
          <w:rFonts w:ascii="Times New Roman" w:hAnsi="Times New Roman" w:cs="Times New Roman"/>
          <w:lang w:val="ro-MD"/>
        </w:rPr>
        <w:t>participativ sau din proprie inițiativă, deducerea oricărei participații în conformitate cu alin.</w:t>
      </w:r>
      <w:r w:rsidR="00E86F8F" w:rsidRPr="000508B6">
        <w:rPr>
          <w:rFonts w:ascii="Times New Roman" w:hAnsi="Times New Roman" w:cs="Times New Roman"/>
          <w:lang w:val="ro-MD"/>
        </w:rPr>
        <w:t xml:space="preserve"> </w:t>
      </w:r>
      <w:r w:rsidRPr="000508B6">
        <w:rPr>
          <w:rFonts w:ascii="Times New Roman" w:hAnsi="Times New Roman" w:cs="Times New Roman"/>
          <w:lang w:val="ro-MD"/>
        </w:rPr>
        <w:t>(1) lit. a)-</w:t>
      </w:r>
      <w:r w:rsidR="00E86F8F" w:rsidRPr="000508B6" w:rsidDel="00E86F8F">
        <w:rPr>
          <w:rFonts w:ascii="Times New Roman" w:hAnsi="Times New Roman" w:cs="Times New Roman"/>
          <w:lang w:val="ro-MD"/>
        </w:rPr>
        <w:t xml:space="preserve"> </w:t>
      </w:r>
      <w:r w:rsidRPr="000508B6">
        <w:rPr>
          <w:rFonts w:ascii="Times New Roman" w:hAnsi="Times New Roman" w:cs="Times New Roman"/>
          <w:lang w:val="ro-MD"/>
        </w:rPr>
        <w:t xml:space="preserve">d) din fondurile proprii eligibile pentru solvabilitatea la nivel de grup a </w:t>
      </w:r>
      <w:r w:rsidR="003E72D5" w:rsidRPr="000508B6">
        <w:rPr>
          <w:rFonts w:ascii="Times New Roman" w:hAnsi="Times New Roman" w:cs="Times New Roman"/>
          <w:lang w:val="ro-MD"/>
        </w:rPr>
        <w:t xml:space="preserve">asigurătorului sau </w:t>
      </w:r>
      <w:proofErr w:type="spellStart"/>
      <w:r w:rsidR="003E72D5" w:rsidRPr="000508B6">
        <w:rPr>
          <w:rFonts w:ascii="Times New Roman" w:hAnsi="Times New Roman" w:cs="Times New Roman"/>
          <w:lang w:val="ro-MD"/>
        </w:rPr>
        <w:t>reasiurătorului</w:t>
      </w:r>
      <w:proofErr w:type="spellEnd"/>
      <w:r w:rsidR="003E72D5" w:rsidRPr="000508B6">
        <w:rPr>
          <w:rFonts w:ascii="Times New Roman" w:hAnsi="Times New Roman" w:cs="Times New Roman"/>
          <w:lang w:val="ro-MD"/>
        </w:rPr>
        <w:t xml:space="preserve"> </w:t>
      </w:r>
      <w:r w:rsidRPr="000508B6">
        <w:rPr>
          <w:rFonts w:ascii="Times New Roman" w:hAnsi="Times New Roman" w:cs="Times New Roman"/>
          <w:lang w:val="ro-MD"/>
        </w:rPr>
        <w:t>participativ</w:t>
      </w:r>
      <w:r w:rsidR="009E5452" w:rsidRPr="000508B6">
        <w:rPr>
          <w:rFonts w:ascii="Times New Roman" w:hAnsi="Times New Roman" w:cs="Times New Roman"/>
          <w:lang w:val="ro-MD"/>
        </w:rPr>
        <w:t xml:space="preserve">. </w:t>
      </w:r>
    </w:p>
    <w:p w14:paraId="089DF4F6" w14:textId="77777777" w:rsidR="00902B43" w:rsidRPr="000508B6" w:rsidRDefault="00902B43" w:rsidP="008B530F">
      <w:pPr>
        <w:tabs>
          <w:tab w:val="left" w:pos="993"/>
        </w:tabs>
        <w:spacing w:after="0" w:line="240" w:lineRule="auto"/>
        <w:ind w:firstLine="426"/>
        <w:jc w:val="both"/>
        <w:rPr>
          <w:rFonts w:ascii="Times New Roman" w:hAnsi="Times New Roman" w:cs="Times New Roman"/>
          <w:b/>
          <w:lang w:val="ro-MD"/>
        </w:rPr>
      </w:pPr>
    </w:p>
    <w:p w14:paraId="42F06D90" w14:textId="750A0B6A" w:rsidR="00F95829" w:rsidRPr="000508B6" w:rsidRDefault="00531AE6"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133</w:t>
      </w:r>
      <w:r w:rsidR="00F95829" w:rsidRPr="000508B6">
        <w:rPr>
          <w:rFonts w:ascii="Times New Roman" w:hAnsi="Times New Roman" w:cs="Times New Roman"/>
          <w:b/>
          <w:lang w:val="ro-MD"/>
        </w:rPr>
        <w:t xml:space="preserve">. </w:t>
      </w:r>
      <w:r w:rsidR="005879DF" w:rsidRPr="000508B6">
        <w:rPr>
          <w:rFonts w:ascii="Times New Roman" w:hAnsi="Times New Roman" w:cs="Times New Roman"/>
          <w:lang w:val="ro-MD"/>
        </w:rPr>
        <w:t xml:space="preserve">Lipsa </w:t>
      </w:r>
      <w:proofErr w:type="spellStart"/>
      <w:r w:rsidR="00F95829" w:rsidRPr="000508B6">
        <w:rPr>
          <w:rFonts w:ascii="Times New Roman" w:hAnsi="Times New Roman" w:cs="Times New Roman"/>
          <w:lang w:val="ro-MD"/>
        </w:rPr>
        <w:t>informaţiilor</w:t>
      </w:r>
      <w:proofErr w:type="spellEnd"/>
      <w:r w:rsidR="00F95829" w:rsidRPr="000508B6">
        <w:rPr>
          <w:rFonts w:ascii="Times New Roman" w:hAnsi="Times New Roman" w:cs="Times New Roman"/>
          <w:lang w:val="ro-MD"/>
        </w:rPr>
        <w:t xml:space="preserve"> </w:t>
      </w:r>
    </w:p>
    <w:p w14:paraId="1CA80A3A" w14:textId="453A0120" w:rsidR="00F95829" w:rsidRPr="000508B6" w:rsidRDefault="00F95829" w:rsidP="00CF5AFA">
      <w:pPr>
        <w:pStyle w:val="Listparagraf"/>
        <w:numPr>
          <w:ilvl w:val="0"/>
          <w:numId w:val="309"/>
        </w:numPr>
        <w:tabs>
          <w:tab w:val="left" w:pos="720"/>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nu dispune de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necesare cu privire la </w:t>
      </w:r>
      <w:r w:rsidR="009D0CBD" w:rsidRPr="000508B6">
        <w:rPr>
          <w:rFonts w:ascii="Times New Roman" w:hAnsi="Times New Roman" w:cs="Times New Roman"/>
          <w:lang w:val="ro-MD"/>
        </w:rPr>
        <w:t xml:space="preserve">calcularea </w:t>
      </w:r>
      <w:r w:rsidR="009B20C5" w:rsidRPr="000508B6">
        <w:rPr>
          <w:rFonts w:ascii="Times New Roman" w:hAnsi="Times New Roman" w:cs="Times New Roman"/>
          <w:lang w:val="ro-MD"/>
        </w:rPr>
        <w:t>solvabilității</w:t>
      </w:r>
      <w:r w:rsidR="009D0CBD" w:rsidRPr="000508B6">
        <w:rPr>
          <w:rFonts w:ascii="Times New Roman" w:hAnsi="Times New Roman" w:cs="Times New Roman"/>
          <w:lang w:val="ro-MD"/>
        </w:rPr>
        <w:t xml:space="preserve"> la nivel de grup a </w:t>
      </w:r>
      <w:r w:rsidR="00950050" w:rsidRPr="000508B6">
        <w:rPr>
          <w:rFonts w:ascii="Times New Roman" w:hAnsi="Times New Roman" w:cs="Times New Roman"/>
          <w:lang w:val="ro-MD"/>
        </w:rPr>
        <w:t>unui</w:t>
      </w:r>
      <w:r w:rsidR="009D0CBD"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 sau </w:t>
      </w:r>
      <w:proofErr w:type="spellStart"/>
      <w:r w:rsidR="004125E8" w:rsidRPr="000508B6">
        <w:rPr>
          <w:rFonts w:ascii="Times New Roman" w:hAnsi="Times New Roman" w:cs="Times New Roman"/>
          <w:lang w:val="ro-MD"/>
        </w:rPr>
        <w:t>reasigur</w:t>
      </w:r>
      <w:r w:rsidR="00746CB8" w:rsidRPr="000508B6">
        <w:rPr>
          <w:rFonts w:ascii="Times New Roman" w:hAnsi="Times New Roman" w:cs="Times New Roman"/>
          <w:lang w:val="ro-MD"/>
        </w:rPr>
        <w:t>ător</w:t>
      </w:r>
      <w:proofErr w:type="spellEnd"/>
      <w:r w:rsidR="009D0CBD" w:rsidRPr="000508B6">
        <w:rPr>
          <w:rFonts w:ascii="Times New Roman" w:hAnsi="Times New Roman" w:cs="Times New Roman"/>
          <w:lang w:val="ro-MD"/>
        </w:rPr>
        <w:t xml:space="preserve"> referitoare la </w:t>
      </w:r>
      <w:r w:rsidRPr="000508B6">
        <w:rPr>
          <w:rFonts w:ascii="Times New Roman" w:hAnsi="Times New Roman" w:cs="Times New Roman"/>
          <w:lang w:val="ro-MD"/>
        </w:rPr>
        <w:t xml:space="preserve">o </w:t>
      </w:r>
      <w:r w:rsidR="009D0CBD" w:rsidRPr="000508B6">
        <w:rPr>
          <w:rFonts w:ascii="Times New Roman" w:hAnsi="Times New Roman" w:cs="Times New Roman"/>
          <w:lang w:val="ro-MD"/>
        </w:rPr>
        <w:t>entitate</w:t>
      </w:r>
      <w:r w:rsidRPr="000508B6">
        <w:rPr>
          <w:rFonts w:ascii="Times New Roman" w:hAnsi="Times New Roman" w:cs="Times New Roman"/>
          <w:lang w:val="ro-MD"/>
        </w:rPr>
        <w:t xml:space="preserve"> afiliată cu sediul central </w:t>
      </w:r>
      <w:r w:rsidR="00950050" w:rsidRPr="000508B6">
        <w:rPr>
          <w:rFonts w:ascii="Times New Roman" w:hAnsi="Times New Roman" w:cs="Times New Roman"/>
          <w:lang w:val="ro-MD"/>
        </w:rPr>
        <w:t>în Republica Moldova sau</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într</w:t>
      </w:r>
      <w:proofErr w:type="spellEnd"/>
      <w:r w:rsidRPr="000508B6">
        <w:rPr>
          <w:rFonts w:ascii="Times New Roman" w:hAnsi="Times New Roman" w:cs="Times New Roman"/>
          <w:lang w:val="ro-MD"/>
        </w:rPr>
        <w:t>-</w:t>
      </w:r>
      <w:r w:rsidR="007948C9" w:rsidRPr="000508B6" w:rsidDel="007948C9">
        <w:rPr>
          <w:rFonts w:ascii="Times New Roman" w:hAnsi="Times New Roman" w:cs="Times New Roman"/>
          <w:lang w:val="ro-MD"/>
        </w:rPr>
        <w:t xml:space="preserve"> </w:t>
      </w:r>
      <w:r w:rsidR="00AB05B2" w:rsidRPr="000508B6">
        <w:rPr>
          <w:rFonts w:ascii="Times New Roman" w:hAnsi="Times New Roman" w:cs="Times New Roman"/>
          <w:lang w:val="ro-MD"/>
        </w:rPr>
        <w:t>un</w:t>
      </w:r>
      <w:r w:rsidRPr="000508B6">
        <w:rPr>
          <w:rFonts w:ascii="Times New Roman" w:hAnsi="Times New Roman" w:cs="Times New Roman"/>
          <w:lang w:val="ro-MD"/>
        </w:rPr>
        <w:t xml:space="preserve"> stat membru sau într-un stat </w:t>
      </w:r>
      <w:r w:rsidR="009B20C5" w:rsidRPr="000508B6">
        <w:rPr>
          <w:rFonts w:ascii="Times New Roman" w:hAnsi="Times New Roman" w:cs="Times New Roman"/>
          <w:lang w:val="ro-MD"/>
        </w:rPr>
        <w:t>terț</w:t>
      </w:r>
      <w:r w:rsidRPr="000508B6">
        <w:rPr>
          <w:rFonts w:ascii="Times New Roman" w:hAnsi="Times New Roman" w:cs="Times New Roman"/>
          <w:lang w:val="ro-MD"/>
        </w:rPr>
        <w:t xml:space="preserve">, valoarea contabilă a </w:t>
      </w:r>
      <w:r w:rsidR="009B20C5" w:rsidRPr="000508B6">
        <w:rPr>
          <w:rFonts w:ascii="Times New Roman" w:hAnsi="Times New Roman" w:cs="Times New Roman"/>
          <w:lang w:val="ro-MD"/>
        </w:rPr>
        <w:t>participației</w:t>
      </w:r>
      <w:r w:rsidRPr="000508B6">
        <w:rPr>
          <w:rFonts w:ascii="Times New Roman" w:hAnsi="Times New Roman" w:cs="Times New Roman"/>
          <w:lang w:val="ro-MD"/>
        </w:rPr>
        <w:t xml:space="preserve"> </w:t>
      </w:r>
      <w:r w:rsidR="00FF4C2D" w:rsidRPr="000508B6">
        <w:rPr>
          <w:rFonts w:ascii="Times New Roman" w:hAnsi="Times New Roman" w:cs="Times New Roman"/>
          <w:lang w:val="ro-MD"/>
        </w:rPr>
        <w:t>aferente</w:t>
      </w:r>
      <w:r w:rsidRPr="000508B6">
        <w:rPr>
          <w:rFonts w:ascii="Times New Roman" w:hAnsi="Times New Roman" w:cs="Times New Roman"/>
          <w:lang w:val="ro-MD"/>
        </w:rPr>
        <w:t xml:space="preserve"> entit</w:t>
      </w:r>
      <w:r w:rsidR="009D0CBD" w:rsidRPr="000508B6">
        <w:rPr>
          <w:rFonts w:ascii="Times New Roman" w:hAnsi="Times New Roman" w:cs="Times New Roman"/>
          <w:lang w:val="ro-MD"/>
        </w:rPr>
        <w:t>ății</w:t>
      </w:r>
      <w:r w:rsidRPr="000508B6">
        <w:rPr>
          <w:rFonts w:ascii="Times New Roman" w:hAnsi="Times New Roman" w:cs="Times New Roman"/>
          <w:lang w:val="ro-MD"/>
        </w:rPr>
        <w:t xml:space="preserve"> respectiv</w:t>
      </w:r>
      <w:r w:rsidR="009D0CBD" w:rsidRPr="000508B6">
        <w:rPr>
          <w:rFonts w:ascii="Times New Roman" w:hAnsi="Times New Roman" w:cs="Times New Roman"/>
          <w:lang w:val="ro-MD"/>
        </w:rPr>
        <w:t>e</w:t>
      </w:r>
      <w:r w:rsidRPr="000508B6">
        <w:rPr>
          <w:rFonts w:ascii="Times New Roman" w:hAnsi="Times New Roman" w:cs="Times New Roman"/>
          <w:lang w:val="ro-MD"/>
        </w:rPr>
        <w:t xml:space="preserve"> </w:t>
      </w:r>
      <w:r w:rsidR="009D0CBD" w:rsidRPr="000508B6">
        <w:rPr>
          <w:rFonts w:ascii="Times New Roman" w:hAnsi="Times New Roman" w:cs="Times New Roman"/>
          <w:lang w:val="ro-MD"/>
        </w:rPr>
        <w:t xml:space="preserve">în </w:t>
      </w:r>
      <w:r w:rsidR="007948C9" w:rsidRPr="000508B6">
        <w:rPr>
          <w:rFonts w:ascii="Times New Roman" w:hAnsi="Times New Roman" w:cs="Times New Roman"/>
          <w:lang w:val="ro-MD"/>
        </w:rPr>
        <w:t xml:space="preserve">asigurătorul </w:t>
      </w:r>
      <w:r w:rsidR="00950050" w:rsidRPr="000508B6">
        <w:rPr>
          <w:rFonts w:ascii="Times New Roman" w:hAnsi="Times New Roman" w:cs="Times New Roman"/>
          <w:lang w:val="ro-MD"/>
        </w:rPr>
        <w:t>sau</w:t>
      </w:r>
      <w:r w:rsidR="00FF4C2D" w:rsidRPr="000508B6" w:rsidDel="007948C9">
        <w:rPr>
          <w:rFonts w:ascii="Times New Roman" w:hAnsi="Times New Roman" w:cs="Times New Roman"/>
          <w:lang w:val="ro-MD"/>
        </w:rPr>
        <w:t xml:space="preserve"> </w:t>
      </w:r>
      <w:proofErr w:type="spellStart"/>
      <w:r w:rsidR="007948C9" w:rsidRPr="000508B6">
        <w:rPr>
          <w:rFonts w:ascii="Times New Roman" w:hAnsi="Times New Roman" w:cs="Times New Roman"/>
          <w:lang w:val="ro-MD"/>
        </w:rPr>
        <w:t>reasigurătorul</w:t>
      </w:r>
      <w:proofErr w:type="spellEnd"/>
      <w:r w:rsidR="007948C9" w:rsidRPr="000508B6">
        <w:rPr>
          <w:rFonts w:ascii="Times New Roman" w:hAnsi="Times New Roman" w:cs="Times New Roman"/>
          <w:lang w:val="ro-MD"/>
        </w:rPr>
        <w:t xml:space="preserve"> </w:t>
      </w:r>
      <w:r w:rsidR="00FF4C2D" w:rsidRPr="000508B6">
        <w:rPr>
          <w:rFonts w:ascii="Times New Roman" w:hAnsi="Times New Roman" w:cs="Times New Roman"/>
          <w:lang w:val="ro-MD"/>
        </w:rPr>
        <w:t>participativ</w:t>
      </w:r>
      <w:r w:rsidRPr="000508B6">
        <w:rPr>
          <w:rFonts w:ascii="Times New Roman" w:hAnsi="Times New Roman" w:cs="Times New Roman"/>
          <w:lang w:val="ro-MD"/>
        </w:rPr>
        <w:t xml:space="preserve"> se deduce din valoarea fondurilor proprii eligibile care acoperă solvabilitatea la nivel de grup, iar </w:t>
      </w:r>
      <w:r w:rsidR="009D0CBD" w:rsidRPr="000508B6">
        <w:rPr>
          <w:rFonts w:ascii="Times New Roman" w:hAnsi="Times New Roman" w:cs="Times New Roman"/>
          <w:lang w:val="ro-MD"/>
        </w:rPr>
        <w:t>câștigurile nerealizate</w:t>
      </w:r>
      <w:r w:rsidRPr="000508B6">
        <w:rPr>
          <w:rFonts w:ascii="Times New Roman" w:hAnsi="Times New Roman" w:cs="Times New Roman"/>
          <w:lang w:val="ro-MD"/>
        </w:rPr>
        <w:t xml:space="preserve"> a</w:t>
      </w:r>
      <w:r w:rsidR="009D0CBD" w:rsidRPr="000508B6">
        <w:rPr>
          <w:rFonts w:ascii="Times New Roman" w:hAnsi="Times New Roman" w:cs="Times New Roman"/>
          <w:lang w:val="ro-MD"/>
        </w:rPr>
        <w:t>ferente</w:t>
      </w:r>
      <w:r w:rsidRPr="000508B6">
        <w:rPr>
          <w:rFonts w:ascii="Times New Roman" w:hAnsi="Times New Roman" w:cs="Times New Roman"/>
          <w:lang w:val="ro-MD"/>
        </w:rPr>
        <w:t xml:space="preserve"> acestei </w:t>
      </w:r>
      <w:r w:rsidR="004B0132" w:rsidRPr="000508B6">
        <w:rPr>
          <w:rFonts w:ascii="Times New Roman" w:hAnsi="Times New Roman" w:cs="Times New Roman"/>
          <w:lang w:val="ro-MD"/>
        </w:rPr>
        <w:t>participații</w:t>
      </w:r>
      <w:r w:rsidRPr="000508B6">
        <w:rPr>
          <w:rFonts w:ascii="Times New Roman" w:hAnsi="Times New Roman" w:cs="Times New Roman"/>
          <w:lang w:val="ro-MD"/>
        </w:rPr>
        <w:t xml:space="preserve"> nu </w:t>
      </w:r>
      <w:r w:rsidR="001147B1" w:rsidRPr="000508B6">
        <w:rPr>
          <w:rFonts w:ascii="Times New Roman" w:hAnsi="Times New Roman" w:cs="Times New Roman"/>
          <w:lang w:val="ro-MD"/>
        </w:rPr>
        <w:t xml:space="preserve">sunt </w:t>
      </w:r>
      <w:r w:rsidR="00FF4C2D" w:rsidRPr="000508B6">
        <w:rPr>
          <w:rFonts w:ascii="Times New Roman" w:hAnsi="Times New Roman" w:cs="Times New Roman"/>
          <w:lang w:val="ro-MD"/>
        </w:rPr>
        <w:t xml:space="preserve">recunoscute </w:t>
      </w:r>
      <w:r w:rsidRPr="000508B6">
        <w:rPr>
          <w:rFonts w:ascii="Times New Roman" w:hAnsi="Times New Roman" w:cs="Times New Roman"/>
          <w:lang w:val="ro-MD"/>
        </w:rPr>
        <w:t xml:space="preserve">ca fonduri proprii </w:t>
      </w:r>
      <w:r w:rsidR="009D0CBD" w:rsidRPr="000508B6">
        <w:rPr>
          <w:rFonts w:ascii="Times New Roman" w:hAnsi="Times New Roman" w:cs="Times New Roman"/>
          <w:lang w:val="ro-MD"/>
        </w:rPr>
        <w:t xml:space="preserve">eligibile </w:t>
      </w:r>
      <w:r w:rsidRPr="000508B6">
        <w:rPr>
          <w:rFonts w:ascii="Times New Roman" w:hAnsi="Times New Roman" w:cs="Times New Roman"/>
          <w:lang w:val="ro-MD"/>
        </w:rPr>
        <w:t xml:space="preserve">care acoperă solvabilitatea la nivel de grup.      </w:t>
      </w:r>
    </w:p>
    <w:p w14:paraId="79F04875" w14:textId="69909D5B" w:rsidR="00313FE9" w:rsidRPr="000508B6" w:rsidRDefault="00902B43" w:rsidP="00CF5AFA">
      <w:pPr>
        <w:pStyle w:val="Listparagraf"/>
        <w:numPr>
          <w:ilvl w:val="0"/>
          <w:numId w:val="309"/>
        </w:numPr>
        <w:tabs>
          <w:tab w:val="left" w:pos="720"/>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Deducerea</w:t>
      </w:r>
      <w:r w:rsidR="006D2F04" w:rsidRPr="000508B6">
        <w:rPr>
          <w:rFonts w:ascii="Times New Roman" w:hAnsi="Times New Roman" w:cs="Times New Roman"/>
          <w:bCs/>
          <w:lang w:val="ro-MD"/>
        </w:rPr>
        <w:t xml:space="preserve"> menționată la </w:t>
      </w:r>
      <w:r w:rsidR="00C029B0" w:rsidRPr="000508B6">
        <w:rPr>
          <w:rFonts w:ascii="Times New Roman" w:hAnsi="Times New Roman" w:cs="Times New Roman"/>
          <w:bCs/>
          <w:lang w:val="ro-MD"/>
        </w:rPr>
        <w:t xml:space="preserve">alin. </w:t>
      </w:r>
      <w:r w:rsidRPr="000508B6">
        <w:rPr>
          <w:rFonts w:ascii="Times New Roman" w:hAnsi="Times New Roman" w:cs="Times New Roman"/>
          <w:bCs/>
          <w:lang w:val="ro-MD"/>
        </w:rPr>
        <w:t>(1) nu se aplică în cazul în care aceasta</w:t>
      </w:r>
      <w:r w:rsidR="006D2F04" w:rsidRPr="000508B6">
        <w:rPr>
          <w:rFonts w:ascii="Times New Roman" w:hAnsi="Times New Roman" w:cs="Times New Roman"/>
          <w:bCs/>
          <w:lang w:val="ro-MD"/>
        </w:rPr>
        <w:t xml:space="preserve"> ar îmbunătăți poziția de solvabilitate a grupului în comparație cu poziția </w:t>
      </w:r>
      <w:r w:rsidRPr="000508B6">
        <w:rPr>
          <w:rFonts w:ascii="Times New Roman" w:hAnsi="Times New Roman" w:cs="Times New Roman"/>
          <w:bCs/>
          <w:lang w:val="ro-MD"/>
        </w:rPr>
        <w:t>în</w:t>
      </w:r>
      <w:r w:rsidR="006D2F04" w:rsidRPr="000508B6">
        <w:rPr>
          <w:rFonts w:ascii="Times New Roman" w:hAnsi="Times New Roman" w:cs="Times New Roman"/>
          <w:bCs/>
          <w:lang w:val="ro-MD"/>
        </w:rPr>
        <w:t xml:space="preserve"> care </w:t>
      </w:r>
      <w:r w:rsidR="009D0CBD" w:rsidRPr="000508B6">
        <w:rPr>
          <w:rFonts w:ascii="Times New Roman" w:hAnsi="Times New Roman" w:cs="Times New Roman"/>
          <w:bCs/>
          <w:lang w:val="ro-MD"/>
        </w:rPr>
        <w:t>entita</w:t>
      </w:r>
      <w:r w:rsidR="00F07FAA" w:rsidRPr="000508B6">
        <w:rPr>
          <w:rFonts w:ascii="Times New Roman" w:hAnsi="Times New Roman" w:cs="Times New Roman"/>
          <w:bCs/>
          <w:lang w:val="ro-MD"/>
        </w:rPr>
        <w:t>t</w:t>
      </w:r>
      <w:r w:rsidR="009D0CBD" w:rsidRPr="000508B6">
        <w:rPr>
          <w:rFonts w:ascii="Times New Roman" w:hAnsi="Times New Roman" w:cs="Times New Roman"/>
          <w:bCs/>
          <w:lang w:val="ro-MD"/>
        </w:rPr>
        <w:t xml:space="preserve">ea </w:t>
      </w:r>
      <w:r w:rsidR="006D2F04" w:rsidRPr="000508B6">
        <w:rPr>
          <w:rFonts w:ascii="Times New Roman" w:hAnsi="Times New Roman" w:cs="Times New Roman"/>
          <w:bCs/>
          <w:lang w:val="ro-MD"/>
        </w:rPr>
        <w:t xml:space="preserve">este menținută în sfera </w:t>
      </w:r>
      <w:r w:rsidRPr="000508B6">
        <w:rPr>
          <w:rFonts w:ascii="Times New Roman" w:hAnsi="Times New Roman" w:cs="Times New Roman"/>
          <w:bCs/>
          <w:lang w:val="ro-MD"/>
        </w:rPr>
        <w:t xml:space="preserve">de aplicare a </w:t>
      </w:r>
      <w:r w:rsidR="006D2F04" w:rsidRPr="000508B6">
        <w:rPr>
          <w:rFonts w:ascii="Times New Roman" w:hAnsi="Times New Roman" w:cs="Times New Roman"/>
          <w:bCs/>
          <w:lang w:val="ro-MD"/>
        </w:rPr>
        <w:t>calculului solvabilității la nivel de grup.</w:t>
      </w:r>
    </w:p>
    <w:p w14:paraId="37590759" w14:textId="77777777" w:rsidR="00C029B0" w:rsidRPr="000508B6" w:rsidRDefault="00C029B0" w:rsidP="003869F6">
      <w:pPr>
        <w:tabs>
          <w:tab w:val="left" w:pos="851"/>
        </w:tabs>
        <w:spacing w:after="0" w:line="240" w:lineRule="auto"/>
        <w:ind w:firstLine="426"/>
        <w:jc w:val="both"/>
        <w:rPr>
          <w:rFonts w:ascii="Times New Roman" w:hAnsi="Times New Roman" w:cs="Times New Roman"/>
          <w:bCs/>
          <w:lang w:val="ro-MD"/>
        </w:rPr>
      </w:pPr>
    </w:p>
    <w:p w14:paraId="759D0F89" w14:textId="0DF3B923" w:rsidR="00F95829" w:rsidRPr="000508B6" w:rsidRDefault="00531AE6"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4024A2" w:rsidRPr="000508B6">
        <w:rPr>
          <w:rFonts w:ascii="Times New Roman" w:hAnsi="Times New Roman" w:cs="Times New Roman"/>
          <w:b/>
          <w:lang w:val="ro-MD"/>
        </w:rPr>
        <w:t>134</w:t>
      </w:r>
      <w:r w:rsidR="00F95829" w:rsidRPr="000508B6">
        <w:rPr>
          <w:rFonts w:ascii="Times New Roman" w:hAnsi="Times New Roman" w:cs="Times New Roman"/>
          <w:b/>
          <w:lang w:val="ro-MD"/>
        </w:rPr>
        <w:t xml:space="preserve">. </w:t>
      </w:r>
      <w:r w:rsidR="00F95829" w:rsidRPr="000508B6">
        <w:rPr>
          <w:rFonts w:ascii="Times New Roman" w:hAnsi="Times New Roman" w:cs="Times New Roman"/>
          <w:lang w:val="ro-MD"/>
        </w:rPr>
        <w:t xml:space="preserve"> </w:t>
      </w:r>
      <w:r w:rsidR="00F95829" w:rsidRPr="000508B6">
        <w:rPr>
          <w:rFonts w:ascii="Times New Roman" w:hAnsi="Times New Roman" w:cs="Times New Roman"/>
          <w:bCs/>
          <w:lang w:val="ro-MD"/>
        </w:rPr>
        <w:t>Metoda de calcul nr. 1</w:t>
      </w:r>
      <w:r w:rsidR="00795A51" w:rsidRPr="000508B6">
        <w:rPr>
          <w:rFonts w:ascii="Times New Roman" w:hAnsi="Times New Roman" w:cs="Times New Roman"/>
          <w:bCs/>
          <w:lang w:val="ro-MD"/>
        </w:rPr>
        <w:t>: metoda bazată pe consolidarea contabilă</w:t>
      </w:r>
      <w:r w:rsidR="00F95829" w:rsidRPr="000508B6">
        <w:rPr>
          <w:rFonts w:ascii="Times New Roman" w:hAnsi="Times New Roman" w:cs="Times New Roman"/>
          <w:lang w:val="ro-MD"/>
        </w:rPr>
        <w:t xml:space="preserve">  </w:t>
      </w:r>
    </w:p>
    <w:p w14:paraId="203C7DB1" w14:textId="5CF318C4" w:rsidR="003869F6" w:rsidRPr="000508B6" w:rsidRDefault="00D068AA" w:rsidP="007948C9">
      <w:pPr>
        <w:numPr>
          <w:ilvl w:val="0"/>
          <w:numId w:val="25"/>
        </w:numPr>
        <w:tabs>
          <w:tab w:val="left" w:pos="709"/>
          <w:tab w:val="left" w:pos="993"/>
        </w:tabs>
        <w:spacing w:after="0" w:line="240" w:lineRule="auto"/>
        <w:ind w:firstLine="41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3F7D4D" w:rsidRPr="000508B6">
        <w:rPr>
          <w:rFonts w:ascii="Times New Roman" w:hAnsi="Times New Roman" w:cs="Times New Roman"/>
          <w:lang w:val="ro-MD"/>
        </w:rPr>
        <w:t xml:space="preserve"> </w:t>
      </w:r>
      <w:r w:rsidR="00B53407" w:rsidRPr="000508B6">
        <w:rPr>
          <w:rFonts w:ascii="Times New Roman" w:hAnsi="Times New Roman" w:cs="Times New Roman"/>
          <w:lang w:val="ro-MD"/>
        </w:rPr>
        <w:t xml:space="preserve">participativ calculează </w:t>
      </w:r>
      <w:r w:rsidR="003869F6" w:rsidRPr="000508B6">
        <w:rPr>
          <w:rFonts w:ascii="Times New Roman" w:hAnsi="Times New Roman" w:cs="Times New Roman"/>
          <w:lang w:val="ro-MD"/>
        </w:rPr>
        <w:t>solvabilit</w:t>
      </w:r>
      <w:r w:rsidR="00B53407" w:rsidRPr="000508B6">
        <w:rPr>
          <w:rFonts w:ascii="Times New Roman" w:hAnsi="Times New Roman" w:cs="Times New Roman"/>
          <w:lang w:val="ro-MD"/>
        </w:rPr>
        <w:t>atea</w:t>
      </w:r>
      <w:r w:rsidR="003869F6" w:rsidRPr="000508B6">
        <w:rPr>
          <w:rFonts w:ascii="Times New Roman" w:hAnsi="Times New Roman" w:cs="Times New Roman"/>
          <w:lang w:val="ro-MD"/>
        </w:rPr>
        <w:t xml:space="preserve"> la nivel de grup pe baza </w:t>
      </w:r>
      <w:r w:rsidR="00B53407" w:rsidRPr="000508B6">
        <w:rPr>
          <w:rFonts w:ascii="Times New Roman" w:hAnsi="Times New Roman" w:cs="Times New Roman"/>
          <w:lang w:val="ro-MD"/>
        </w:rPr>
        <w:t>datelor</w:t>
      </w:r>
      <w:r w:rsidR="003869F6" w:rsidRPr="000508B6">
        <w:rPr>
          <w:rFonts w:ascii="Times New Roman" w:hAnsi="Times New Roman" w:cs="Times New Roman"/>
          <w:lang w:val="ro-MD"/>
        </w:rPr>
        <w:t xml:space="preserve"> consolidate.</w:t>
      </w:r>
      <w:r w:rsidR="007F79AE" w:rsidRPr="000508B6">
        <w:rPr>
          <w:rFonts w:ascii="Times New Roman" w:hAnsi="Times New Roman" w:cs="Times New Roman"/>
          <w:lang w:val="ro-MD"/>
        </w:rPr>
        <w:t xml:space="preserve"> </w:t>
      </w:r>
    </w:p>
    <w:p w14:paraId="0781C8A1" w14:textId="4D80B02A" w:rsidR="003869F6" w:rsidRPr="000508B6" w:rsidRDefault="003869F6" w:rsidP="00230ADD">
      <w:pPr>
        <w:numPr>
          <w:ilvl w:val="0"/>
          <w:numId w:val="25"/>
        </w:numPr>
        <w:tabs>
          <w:tab w:val="left" w:pos="709"/>
          <w:tab w:val="left" w:pos="993"/>
        </w:tabs>
        <w:spacing w:after="0" w:line="240" w:lineRule="auto"/>
        <w:ind w:firstLine="416"/>
        <w:jc w:val="both"/>
        <w:rPr>
          <w:rFonts w:ascii="Times New Roman" w:hAnsi="Times New Roman" w:cs="Times New Roman"/>
          <w:lang w:val="ro-MD"/>
        </w:rPr>
      </w:pPr>
      <w:r w:rsidRPr="000508B6">
        <w:rPr>
          <w:rFonts w:ascii="Times New Roman" w:hAnsi="Times New Roman" w:cs="Times New Roman"/>
          <w:lang w:val="ro-MD"/>
        </w:rPr>
        <w:t xml:space="preserve">Solvabilitatea la nivel de grup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este egală cu diferența dintre următoarele:</w:t>
      </w:r>
      <w:r w:rsidR="007F79AE" w:rsidRPr="000508B6">
        <w:rPr>
          <w:rFonts w:ascii="Times New Roman" w:hAnsi="Times New Roman" w:cs="Times New Roman"/>
          <w:lang w:val="ro-MD"/>
        </w:rPr>
        <w:t xml:space="preserve"> </w:t>
      </w:r>
    </w:p>
    <w:p w14:paraId="01BDEACD" w14:textId="3AAE3A04" w:rsidR="005A4686" w:rsidRPr="000508B6" w:rsidRDefault="003869F6" w:rsidP="00230ADD">
      <w:pPr>
        <w:pStyle w:val="Listparagraf"/>
        <w:numPr>
          <w:ilvl w:val="0"/>
          <w:numId w:val="457"/>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suma fondurilor proprii eligibile pentru acoperirea </w:t>
      </w:r>
      <w:r w:rsidR="00F2786E" w:rsidRPr="000508B6">
        <w:rPr>
          <w:rFonts w:ascii="Times New Roman" w:hAnsi="Times New Roman" w:cs="Times New Roman"/>
          <w:lang w:val="ro-MD"/>
        </w:rPr>
        <w:t>SCR</w:t>
      </w:r>
      <w:r w:rsidRPr="000508B6">
        <w:rPr>
          <w:rFonts w:ascii="Times New Roman" w:hAnsi="Times New Roman" w:cs="Times New Roman"/>
          <w:lang w:val="ro-MD"/>
        </w:rPr>
        <w:t xml:space="preserve">, </w:t>
      </w:r>
      <w:r w:rsidR="00702CCB" w:rsidRPr="000508B6">
        <w:rPr>
          <w:rFonts w:ascii="Times New Roman" w:hAnsi="Times New Roman" w:cs="Times New Roman"/>
          <w:lang w:val="ro-MD"/>
        </w:rPr>
        <w:t>calculată</w:t>
      </w:r>
      <w:r w:rsidRPr="000508B6">
        <w:rPr>
          <w:rFonts w:ascii="Times New Roman" w:hAnsi="Times New Roman" w:cs="Times New Roman"/>
          <w:lang w:val="ro-MD"/>
        </w:rPr>
        <w:t xml:space="preserve"> pe baza datelor consolidate și a contribuției </w:t>
      </w:r>
      <w:r w:rsidR="00795A51" w:rsidRPr="000508B6">
        <w:rPr>
          <w:rFonts w:ascii="Times New Roman" w:hAnsi="Times New Roman" w:cs="Times New Roman"/>
          <w:lang w:val="ro-MD"/>
        </w:rPr>
        <w:t xml:space="preserve">entităților </w:t>
      </w:r>
      <w:r w:rsidRPr="000508B6">
        <w:rPr>
          <w:rFonts w:ascii="Times New Roman" w:hAnsi="Times New Roman" w:cs="Times New Roman"/>
          <w:lang w:val="ro-MD"/>
        </w:rPr>
        <w:t>afiliate menționate la art</w:t>
      </w:r>
      <w:r w:rsidR="00283157" w:rsidRPr="000508B6">
        <w:rPr>
          <w:rFonts w:ascii="Times New Roman" w:hAnsi="Times New Roman" w:cs="Times New Roman"/>
          <w:lang w:val="ro-MD"/>
        </w:rPr>
        <w:t>.</w:t>
      </w:r>
      <w:r w:rsidRPr="000508B6">
        <w:rPr>
          <w:rFonts w:ascii="Times New Roman" w:hAnsi="Times New Roman" w:cs="Times New Roman"/>
          <w:lang w:val="ro-MD"/>
        </w:rPr>
        <w:t xml:space="preserve"> </w:t>
      </w:r>
      <w:r w:rsidR="009A6E75"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283157" w:rsidRPr="000508B6">
        <w:rPr>
          <w:rFonts w:ascii="Times New Roman" w:hAnsi="Times New Roman" w:cs="Times New Roman"/>
          <w:lang w:val="ro-MD"/>
        </w:rPr>
        <w:t>.</w:t>
      </w:r>
      <w:r w:rsidRPr="000508B6">
        <w:rPr>
          <w:rFonts w:ascii="Times New Roman" w:hAnsi="Times New Roman" w:cs="Times New Roman"/>
          <w:lang w:val="ro-MD"/>
        </w:rPr>
        <w:t xml:space="preserve"> (1) la fondurile proprii eligibile ale grupului, contribuția respectivă calculându-se în conformitate cu art</w:t>
      </w:r>
      <w:r w:rsidR="00283157" w:rsidRPr="000508B6">
        <w:rPr>
          <w:rFonts w:ascii="Times New Roman" w:hAnsi="Times New Roman" w:cs="Times New Roman"/>
          <w:lang w:val="ro-MD"/>
        </w:rPr>
        <w:t>.</w:t>
      </w:r>
      <w:r w:rsidRPr="000508B6">
        <w:rPr>
          <w:rFonts w:ascii="Times New Roman" w:hAnsi="Times New Roman" w:cs="Times New Roman"/>
          <w:lang w:val="ro-MD"/>
        </w:rPr>
        <w:t xml:space="preserve"> </w:t>
      </w:r>
      <w:r w:rsidR="009A6E75"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283157" w:rsidRPr="000508B6">
        <w:rPr>
          <w:rFonts w:ascii="Times New Roman" w:hAnsi="Times New Roman" w:cs="Times New Roman"/>
          <w:lang w:val="ro-MD"/>
        </w:rPr>
        <w:t>.</w:t>
      </w:r>
      <w:r w:rsidRPr="000508B6">
        <w:rPr>
          <w:rFonts w:ascii="Times New Roman" w:hAnsi="Times New Roman" w:cs="Times New Roman"/>
          <w:lang w:val="ro-MD"/>
        </w:rPr>
        <w:t xml:space="preserve"> (2) sau (4);</w:t>
      </w:r>
    </w:p>
    <w:p w14:paraId="55F43A95" w14:textId="323ABEAF" w:rsidR="003869F6" w:rsidRPr="000508B6" w:rsidRDefault="003869F6" w:rsidP="00230ADD">
      <w:pPr>
        <w:pStyle w:val="Listparagraf"/>
        <w:numPr>
          <w:ilvl w:val="0"/>
          <w:numId w:val="457"/>
        </w:numPr>
        <w:tabs>
          <w:tab w:val="left" w:pos="709"/>
          <w:tab w:val="left" w:pos="78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suma </w:t>
      </w:r>
      <w:r w:rsidR="00F2786E" w:rsidRPr="000508B6">
        <w:rPr>
          <w:rFonts w:ascii="Times New Roman" w:hAnsi="Times New Roman" w:cs="Times New Roman"/>
          <w:lang w:val="ro-MD"/>
        </w:rPr>
        <w:t>SCR</w:t>
      </w:r>
      <w:r w:rsidRPr="000508B6">
        <w:rPr>
          <w:rFonts w:ascii="Times New Roman" w:hAnsi="Times New Roman" w:cs="Times New Roman"/>
          <w:lang w:val="ro-MD"/>
        </w:rPr>
        <w:t xml:space="preserve"> la nivel de grup, calculată pe baza datelor consolidate și a contribuției </w:t>
      </w:r>
      <w:r w:rsidR="00795A51" w:rsidRPr="000508B6">
        <w:rPr>
          <w:rFonts w:ascii="Times New Roman" w:hAnsi="Times New Roman" w:cs="Times New Roman"/>
          <w:lang w:val="ro-MD"/>
        </w:rPr>
        <w:t xml:space="preserve">entităților </w:t>
      </w:r>
      <w:r w:rsidRPr="000508B6">
        <w:rPr>
          <w:rFonts w:ascii="Times New Roman" w:hAnsi="Times New Roman" w:cs="Times New Roman"/>
          <w:lang w:val="ro-MD"/>
        </w:rPr>
        <w:t>afiliate menționate la art</w:t>
      </w:r>
      <w:r w:rsidR="0086499A" w:rsidRPr="000508B6">
        <w:rPr>
          <w:rFonts w:ascii="Times New Roman" w:hAnsi="Times New Roman" w:cs="Times New Roman"/>
          <w:lang w:val="ro-MD"/>
        </w:rPr>
        <w:t>.</w:t>
      </w:r>
      <w:r w:rsidRPr="000508B6">
        <w:rPr>
          <w:rFonts w:ascii="Times New Roman" w:hAnsi="Times New Roman" w:cs="Times New Roman"/>
          <w:lang w:val="ro-MD"/>
        </w:rPr>
        <w:t xml:space="preserve"> </w:t>
      </w:r>
      <w:r w:rsidR="009A6E75"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283157" w:rsidRPr="000508B6">
        <w:rPr>
          <w:rFonts w:ascii="Times New Roman" w:hAnsi="Times New Roman" w:cs="Times New Roman"/>
          <w:lang w:val="ro-MD"/>
        </w:rPr>
        <w:t>.</w:t>
      </w:r>
      <w:r w:rsidRPr="000508B6">
        <w:rPr>
          <w:rFonts w:ascii="Times New Roman" w:hAnsi="Times New Roman" w:cs="Times New Roman"/>
          <w:lang w:val="ro-MD"/>
        </w:rPr>
        <w:t xml:space="preserve"> (1) la </w:t>
      </w:r>
      <w:r w:rsidR="00F2786E" w:rsidRPr="000508B6">
        <w:rPr>
          <w:rFonts w:ascii="Times New Roman" w:hAnsi="Times New Roman" w:cs="Times New Roman"/>
          <w:lang w:val="ro-MD"/>
        </w:rPr>
        <w:t>SCR</w:t>
      </w:r>
      <w:r w:rsidRPr="000508B6">
        <w:rPr>
          <w:rFonts w:ascii="Times New Roman" w:hAnsi="Times New Roman" w:cs="Times New Roman"/>
          <w:lang w:val="ro-MD"/>
        </w:rPr>
        <w:t xml:space="preserve"> a grupului, contribuția respectivă calculându-se în conformitate cu art</w:t>
      </w:r>
      <w:r w:rsidR="0086499A" w:rsidRPr="000508B6">
        <w:rPr>
          <w:rFonts w:ascii="Times New Roman" w:hAnsi="Times New Roman" w:cs="Times New Roman"/>
          <w:lang w:val="ro-MD"/>
        </w:rPr>
        <w:t>.</w:t>
      </w:r>
      <w:r w:rsidRPr="000508B6">
        <w:rPr>
          <w:rFonts w:ascii="Times New Roman" w:hAnsi="Times New Roman" w:cs="Times New Roman"/>
          <w:lang w:val="ro-MD"/>
        </w:rPr>
        <w:t xml:space="preserve"> </w:t>
      </w:r>
      <w:r w:rsidR="009A6E75"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283157" w:rsidRPr="000508B6">
        <w:rPr>
          <w:rFonts w:ascii="Times New Roman" w:hAnsi="Times New Roman" w:cs="Times New Roman"/>
          <w:lang w:val="ro-MD"/>
        </w:rPr>
        <w:t>.</w:t>
      </w:r>
      <w:r w:rsidRPr="000508B6">
        <w:rPr>
          <w:rFonts w:ascii="Times New Roman" w:hAnsi="Times New Roman" w:cs="Times New Roman"/>
          <w:lang w:val="ro-MD"/>
        </w:rPr>
        <w:t xml:space="preserve"> (3) sau (4).</w:t>
      </w:r>
    </w:p>
    <w:p w14:paraId="435186B6" w14:textId="44B777EE" w:rsidR="003869F6" w:rsidRPr="000508B6" w:rsidRDefault="003869F6" w:rsidP="00230ADD">
      <w:pPr>
        <w:numPr>
          <w:ilvl w:val="0"/>
          <w:numId w:val="2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sensul </w:t>
      </w:r>
      <w:r w:rsidR="00283157" w:rsidRPr="000508B6">
        <w:rPr>
          <w:rFonts w:ascii="Times New Roman" w:hAnsi="Times New Roman" w:cs="Times New Roman"/>
          <w:lang w:val="ro-MD"/>
        </w:rPr>
        <w:t>alin.</w:t>
      </w:r>
      <w:r w:rsidR="007948C9" w:rsidRPr="000508B6">
        <w:rPr>
          <w:rFonts w:ascii="Times New Roman" w:hAnsi="Times New Roman" w:cs="Times New Roman"/>
          <w:lang w:val="ro-MD"/>
        </w:rPr>
        <w:t xml:space="preserve"> </w:t>
      </w:r>
      <w:r w:rsidR="00283157" w:rsidRPr="000508B6">
        <w:rPr>
          <w:rFonts w:ascii="Times New Roman" w:hAnsi="Times New Roman" w:cs="Times New Roman"/>
          <w:lang w:val="ro-MD"/>
        </w:rPr>
        <w:t>(2)</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3F7D4D" w:rsidRPr="000508B6">
        <w:rPr>
          <w:rFonts w:ascii="Times New Roman" w:hAnsi="Times New Roman" w:cs="Times New Roman"/>
          <w:lang w:val="ro-MD"/>
        </w:rPr>
        <w:t xml:space="preserve"> </w:t>
      </w:r>
      <w:r w:rsidR="00B53407" w:rsidRPr="000508B6">
        <w:rPr>
          <w:rFonts w:ascii="Times New Roman" w:hAnsi="Times New Roman" w:cs="Times New Roman"/>
          <w:lang w:val="ro-MD"/>
        </w:rPr>
        <w:t xml:space="preserve">participativ nu include în datele consolidate </w:t>
      </w:r>
      <w:r w:rsidRPr="000508B6">
        <w:rPr>
          <w:rFonts w:ascii="Times New Roman" w:hAnsi="Times New Roman" w:cs="Times New Roman"/>
          <w:lang w:val="ro-MD"/>
        </w:rPr>
        <w:t xml:space="preserve">participațiile în </w:t>
      </w:r>
      <w:r w:rsidR="00795A51" w:rsidRPr="000508B6">
        <w:rPr>
          <w:rFonts w:ascii="Times New Roman" w:hAnsi="Times New Roman" w:cs="Times New Roman"/>
          <w:lang w:val="ro-MD"/>
        </w:rPr>
        <w:t xml:space="preserve">entitățile </w:t>
      </w:r>
      <w:r w:rsidRPr="000508B6">
        <w:rPr>
          <w:rFonts w:ascii="Times New Roman" w:hAnsi="Times New Roman" w:cs="Times New Roman"/>
          <w:lang w:val="ro-MD"/>
        </w:rPr>
        <w:t>afiliate</w:t>
      </w:r>
      <w:r w:rsidR="00A616AB" w:rsidRPr="000508B6">
        <w:rPr>
          <w:rFonts w:ascii="Times New Roman" w:hAnsi="Times New Roman" w:cs="Times New Roman"/>
          <w:lang w:val="ro-MD"/>
        </w:rPr>
        <w:t>,</w:t>
      </w:r>
      <w:r w:rsidRPr="000508B6">
        <w:rPr>
          <w:rFonts w:ascii="Times New Roman" w:hAnsi="Times New Roman" w:cs="Times New Roman"/>
          <w:lang w:val="ro-MD"/>
        </w:rPr>
        <w:t xml:space="preserve"> astfel cum sunt menționate la art</w:t>
      </w:r>
      <w:r w:rsidR="0086499A" w:rsidRPr="000508B6">
        <w:rPr>
          <w:rFonts w:ascii="Times New Roman" w:hAnsi="Times New Roman" w:cs="Times New Roman"/>
          <w:lang w:val="ro-MD"/>
        </w:rPr>
        <w:t>.</w:t>
      </w:r>
      <w:r w:rsidRPr="000508B6">
        <w:rPr>
          <w:rFonts w:ascii="Times New Roman" w:hAnsi="Times New Roman" w:cs="Times New Roman"/>
          <w:lang w:val="ro-MD"/>
        </w:rPr>
        <w:t xml:space="preserve"> </w:t>
      </w:r>
      <w:r w:rsidR="00946082" w:rsidRPr="000508B6">
        <w:rPr>
          <w:rFonts w:ascii="Times New Roman" w:hAnsi="Times New Roman" w:cs="Times New Roman"/>
          <w:lang w:val="ro-MD"/>
        </w:rPr>
        <w:t xml:space="preserve">132 </w:t>
      </w:r>
      <w:r w:rsidRPr="000508B6">
        <w:rPr>
          <w:rFonts w:ascii="Times New Roman" w:hAnsi="Times New Roman" w:cs="Times New Roman"/>
          <w:lang w:val="ro-MD"/>
        </w:rPr>
        <w:t>alin</w:t>
      </w:r>
      <w:r w:rsidR="00283157" w:rsidRPr="000508B6">
        <w:rPr>
          <w:rFonts w:ascii="Times New Roman" w:hAnsi="Times New Roman" w:cs="Times New Roman"/>
          <w:lang w:val="ro-MD"/>
        </w:rPr>
        <w:t>.</w:t>
      </w:r>
      <w:r w:rsidRPr="000508B6">
        <w:rPr>
          <w:rFonts w:ascii="Times New Roman" w:hAnsi="Times New Roman" w:cs="Times New Roman"/>
          <w:lang w:val="ro-MD"/>
        </w:rPr>
        <w:t xml:space="preserve"> (1).</w:t>
      </w:r>
      <w:r w:rsidR="007F79AE" w:rsidRPr="000508B6">
        <w:rPr>
          <w:rFonts w:ascii="Times New Roman" w:hAnsi="Times New Roman" w:cs="Times New Roman"/>
          <w:lang w:val="ro-MD"/>
        </w:rPr>
        <w:t xml:space="preserve"> </w:t>
      </w:r>
    </w:p>
    <w:p w14:paraId="2569EB04" w14:textId="4BBDA032" w:rsidR="00F95829" w:rsidRPr="000508B6" w:rsidRDefault="00B53407" w:rsidP="00230ADD">
      <w:pPr>
        <w:numPr>
          <w:ilvl w:val="0"/>
          <w:numId w:val="2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3869F6" w:rsidRPr="000508B6">
        <w:rPr>
          <w:rFonts w:ascii="Times New Roman" w:hAnsi="Times New Roman" w:cs="Times New Roman"/>
          <w:lang w:val="ro-MD"/>
        </w:rPr>
        <w:t xml:space="preserve">calcularea fondurilor proprii eligibile pentru </w:t>
      </w:r>
      <w:r w:rsidR="00F2786E" w:rsidRPr="000508B6">
        <w:rPr>
          <w:rFonts w:ascii="Times New Roman" w:hAnsi="Times New Roman" w:cs="Times New Roman"/>
          <w:lang w:val="ro-MD"/>
        </w:rPr>
        <w:t>SCR</w:t>
      </w:r>
      <w:r w:rsidR="003869F6" w:rsidRPr="000508B6">
        <w:rPr>
          <w:rFonts w:ascii="Times New Roman" w:hAnsi="Times New Roman" w:cs="Times New Roman"/>
          <w:lang w:val="ro-MD"/>
        </w:rPr>
        <w:t xml:space="preserve"> și pentru </w:t>
      </w:r>
      <w:r w:rsidR="00F2786E" w:rsidRPr="000508B6">
        <w:rPr>
          <w:rFonts w:ascii="Times New Roman" w:hAnsi="Times New Roman" w:cs="Times New Roman"/>
          <w:lang w:val="ro-MD"/>
        </w:rPr>
        <w:t>SCR</w:t>
      </w:r>
      <w:r w:rsidR="003869F6" w:rsidRPr="000508B6">
        <w:rPr>
          <w:rFonts w:ascii="Times New Roman" w:hAnsi="Times New Roman" w:cs="Times New Roman"/>
          <w:lang w:val="ro-MD"/>
        </w:rPr>
        <w:t xml:space="preserve"> la nivel de grup pe baza datelor consolidate se aplică </w:t>
      </w:r>
      <w:r w:rsidR="00D10602" w:rsidRPr="000508B6">
        <w:rPr>
          <w:rFonts w:ascii="Times New Roman" w:hAnsi="Times New Roman" w:cs="Times New Roman"/>
          <w:lang w:val="ro-MD"/>
        </w:rPr>
        <w:t>art.</w:t>
      </w:r>
      <w:r w:rsidR="007948C9" w:rsidRPr="000508B6">
        <w:rPr>
          <w:rFonts w:ascii="Times New Roman" w:hAnsi="Times New Roman" w:cs="Times New Roman"/>
          <w:lang w:val="ro-MD"/>
        </w:rPr>
        <w:t xml:space="preserve"> </w:t>
      </w:r>
      <w:r w:rsidR="00D10602" w:rsidRPr="000508B6">
        <w:rPr>
          <w:rFonts w:ascii="Times New Roman" w:hAnsi="Times New Roman" w:cs="Times New Roman"/>
          <w:lang w:val="ro-MD"/>
        </w:rPr>
        <w:t>54-87</w:t>
      </w:r>
      <w:r w:rsidR="00F95829" w:rsidRPr="000508B6">
        <w:rPr>
          <w:rFonts w:ascii="Times New Roman" w:hAnsi="Times New Roman" w:cs="Times New Roman"/>
          <w:lang w:val="ro-MD"/>
        </w:rPr>
        <w:t xml:space="preserve">.   </w:t>
      </w:r>
    </w:p>
    <w:p w14:paraId="077EB27A" w14:textId="611708E8" w:rsidR="00812BC2" w:rsidRPr="000508B6" w:rsidRDefault="00812BC2" w:rsidP="00230ADD">
      <w:pPr>
        <w:numPr>
          <w:ilvl w:val="0"/>
          <w:numId w:val="2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la nivel de grup bazată pe date consolidate, numită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SCR consolidată</w:t>
      </w:r>
      <w:r w:rsidR="00795A51" w:rsidRPr="000508B6">
        <w:rPr>
          <w:rFonts w:ascii="Times New Roman" w:hAnsi="Times New Roman" w:cs="Times New Roman"/>
          <w:lang w:val="ro-MD"/>
        </w:rPr>
        <w:t xml:space="preserve"> a grupului</w:t>
      </w:r>
      <w:r w:rsidRPr="000508B6">
        <w:rPr>
          <w:rFonts w:ascii="Times New Roman" w:hAnsi="Times New Roman" w:cs="Times New Roman"/>
          <w:lang w:val="ro-MD"/>
        </w:rPr>
        <w:t xml:space="preserve">, se calculează </w:t>
      </w:r>
      <w:r w:rsidR="00795A51" w:rsidRPr="000508B6">
        <w:rPr>
          <w:rFonts w:ascii="Times New Roman" w:hAnsi="Times New Roman" w:cs="Times New Roman"/>
          <w:lang w:val="ro-MD"/>
        </w:rPr>
        <w:t xml:space="preserve">fie pe baza unei formule standard, fie a unui model intern aprobat, într-un mod compatibil cu principiile generale cuprinse </w:t>
      </w:r>
      <w:r w:rsidRPr="000508B6">
        <w:rPr>
          <w:rFonts w:ascii="Times New Roman" w:hAnsi="Times New Roman" w:cs="Times New Roman"/>
          <w:lang w:val="ro-MD"/>
        </w:rPr>
        <w:t xml:space="preserve">în </w:t>
      </w:r>
      <w:r w:rsidR="00D10602" w:rsidRPr="000508B6">
        <w:rPr>
          <w:rFonts w:ascii="Times New Roman" w:hAnsi="Times New Roman" w:cs="Times New Roman"/>
          <w:lang w:val="ro-MD"/>
        </w:rPr>
        <w:t>art.</w:t>
      </w:r>
      <w:r w:rsidR="007948C9" w:rsidRPr="000508B6">
        <w:rPr>
          <w:rFonts w:ascii="Times New Roman" w:hAnsi="Times New Roman" w:cs="Times New Roman"/>
          <w:lang w:val="ro-MD"/>
        </w:rPr>
        <w:t xml:space="preserve"> </w:t>
      </w:r>
      <w:r w:rsidR="00D10602" w:rsidRPr="000508B6">
        <w:rPr>
          <w:rFonts w:ascii="Times New Roman" w:hAnsi="Times New Roman" w:cs="Times New Roman"/>
          <w:lang w:val="ro-MD"/>
        </w:rPr>
        <w:t>64-87</w:t>
      </w:r>
      <w:r w:rsidRPr="000508B6">
        <w:rPr>
          <w:rFonts w:ascii="Times New Roman" w:hAnsi="Times New Roman" w:cs="Times New Roman"/>
          <w:lang w:val="ro-MD"/>
        </w:rPr>
        <w:t xml:space="preserve">.   </w:t>
      </w:r>
    </w:p>
    <w:p w14:paraId="69D8AA12" w14:textId="2353642B" w:rsidR="00812BC2" w:rsidRPr="000508B6" w:rsidRDefault="00812BC2" w:rsidP="00230ADD">
      <w:pPr>
        <w:numPr>
          <w:ilvl w:val="0"/>
          <w:numId w:val="2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SCR consolidată</w:t>
      </w:r>
      <w:r w:rsidR="00795A51" w:rsidRPr="000508B6">
        <w:rPr>
          <w:rFonts w:ascii="Times New Roman" w:hAnsi="Times New Roman" w:cs="Times New Roman"/>
          <w:lang w:val="ro-MD"/>
        </w:rPr>
        <w:t xml:space="preserve"> a grupului</w:t>
      </w:r>
      <w:r w:rsidRPr="000508B6">
        <w:rPr>
          <w:rFonts w:ascii="Times New Roman" w:hAnsi="Times New Roman" w:cs="Times New Roman"/>
          <w:lang w:val="ro-MD"/>
        </w:rPr>
        <w:t xml:space="preserve">, acoperită de fonduri proprii eligibile în conformitate cu art. </w:t>
      </w:r>
      <w:r w:rsidR="007D088B" w:rsidRPr="000508B6">
        <w:rPr>
          <w:rFonts w:ascii="Times New Roman" w:hAnsi="Times New Roman" w:cs="Times New Roman"/>
          <w:lang w:val="ro-MD"/>
        </w:rPr>
        <w:t xml:space="preserve">63 </w:t>
      </w:r>
      <w:r w:rsidRPr="000508B6">
        <w:rPr>
          <w:rFonts w:ascii="Times New Roman" w:hAnsi="Times New Roman" w:cs="Times New Roman"/>
          <w:lang w:val="ro-MD"/>
        </w:rPr>
        <w:t xml:space="preserve">alin. (4), reprezintă cel </w:t>
      </w:r>
      <w:r w:rsidR="009B20C5" w:rsidRPr="000508B6">
        <w:rPr>
          <w:rFonts w:ascii="Times New Roman" w:hAnsi="Times New Roman" w:cs="Times New Roman"/>
          <w:lang w:val="ro-MD"/>
        </w:rPr>
        <w:t>puțin</w:t>
      </w:r>
      <w:r w:rsidRPr="000508B6">
        <w:rPr>
          <w:rFonts w:ascii="Times New Roman" w:hAnsi="Times New Roman" w:cs="Times New Roman"/>
          <w:lang w:val="ro-MD"/>
        </w:rPr>
        <w:t xml:space="preserve"> suma dintre:      </w:t>
      </w:r>
    </w:p>
    <w:p w14:paraId="38016BCF" w14:textId="29325059" w:rsidR="00812BC2" w:rsidRPr="000508B6" w:rsidRDefault="00812BC2" w:rsidP="00230ADD">
      <w:pPr>
        <w:pStyle w:val="Listparagraf"/>
        <w:numPr>
          <w:ilvl w:val="2"/>
          <w:numId w:val="22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MCR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w:t>
      </w:r>
    </w:p>
    <w:p w14:paraId="2991A623" w14:textId="72BB60AC" w:rsidR="00812BC2" w:rsidRPr="000508B6" w:rsidRDefault="00812BC2" w:rsidP="00230ADD">
      <w:pPr>
        <w:pStyle w:val="Listparagraf"/>
        <w:numPr>
          <w:ilvl w:val="2"/>
          <w:numId w:val="22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cotele </w:t>
      </w:r>
      <w:r w:rsidR="009B20C5" w:rsidRPr="000508B6">
        <w:rPr>
          <w:rFonts w:ascii="Times New Roman" w:hAnsi="Times New Roman" w:cs="Times New Roman"/>
          <w:lang w:val="ro-MD"/>
        </w:rPr>
        <w:t>proporționale</w:t>
      </w:r>
      <w:r w:rsidRPr="000508B6">
        <w:rPr>
          <w:rFonts w:ascii="Times New Roman" w:hAnsi="Times New Roman" w:cs="Times New Roman"/>
          <w:lang w:val="ro-MD"/>
        </w:rPr>
        <w:t xml:space="preserve"> din </w:t>
      </w:r>
      <w:r w:rsidR="00484E36" w:rsidRPr="000508B6">
        <w:rPr>
          <w:rFonts w:ascii="Times New Roman" w:hAnsi="Times New Roman" w:cs="Times New Roman"/>
          <w:lang w:val="ro-MD"/>
        </w:rPr>
        <w:t>S</w:t>
      </w:r>
      <w:r w:rsidRPr="000508B6">
        <w:rPr>
          <w:rFonts w:ascii="Times New Roman" w:hAnsi="Times New Roman" w:cs="Times New Roman"/>
          <w:lang w:val="ro-MD"/>
        </w:rPr>
        <w:t xml:space="preserve">CR ale </w:t>
      </w:r>
      <w:r w:rsidR="007948C9" w:rsidRPr="000508B6">
        <w:rPr>
          <w:rFonts w:ascii="Times New Roman" w:hAnsi="Times New Roman" w:cs="Times New Roman"/>
          <w:lang w:val="ro-MD"/>
        </w:rPr>
        <w:t xml:space="preserve">asigurătorilor </w:t>
      </w:r>
      <w:r w:rsidR="00886F95" w:rsidRPr="000508B6">
        <w:rPr>
          <w:rFonts w:ascii="Times New Roman" w:hAnsi="Times New Roman" w:cs="Times New Roman"/>
          <w:lang w:val="ro-MD"/>
        </w:rPr>
        <w:t xml:space="preserve">sau </w:t>
      </w:r>
      <w:proofErr w:type="spellStart"/>
      <w:r w:rsidR="007948C9" w:rsidRPr="000508B6">
        <w:rPr>
          <w:rFonts w:ascii="Times New Roman" w:hAnsi="Times New Roman" w:cs="Times New Roman"/>
          <w:lang w:val="ro-MD"/>
        </w:rPr>
        <w:t>reasigurătorilor</w:t>
      </w:r>
      <w:proofErr w:type="spellEnd"/>
      <w:r w:rsidR="007948C9" w:rsidRPr="000508B6">
        <w:rPr>
          <w:rFonts w:ascii="Times New Roman" w:hAnsi="Times New Roman" w:cs="Times New Roman"/>
          <w:lang w:val="ro-MD"/>
        </w:rPr>
        <w:t xml:space="preserve"> </w:t>
      </w:r>
      <w:r w:rsidR="00886F95" w:rsidRPr="000508B6">
        <w:rPr>
          <w:rFonts w:ascii="Times New Roman" w:hAnsi="Times New Roman" w:cs="Times New Roman"/>
          <w:lang w:val="ro-MD"/>
        </w:rPr>
        <w:t>afiliați</w:t>
      </w:r>
      <w:r w:rsidRPr="000508B6">
        <w:rPr>
          <w:rFonts w:ascii="Times New Roman" w:hAnsi="Times New Roman" w:cs="Times New Roman"/>
          <w:lang w:val="ro-MD"/>
        </w:rPr>
        <w:t xml:space="preserve">. </w:t>
      </w:r>
    </w:p>
    <w:p w14:paraId="539F608F" w14:textId="7930D2E1" w:rsidR="00812BC2" w:rsidRPr="000508B6" w:rsidRDefault="00812BC2" w:rsidP="00230ADD">
      <w:pPr>
        <w:pStyle w:val="Listparagraf"/>
        <w:numPr>
          <w:ilvl w:val="2"/>
          <w:numId w:val="22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cota proporțională din cerințele de capital </w:t>
      </w:r>
      <w:r w:rsidR="002157FB" w:rsidRPr="000508B6">
        <w:rPr>
          <w:rFonts w:ascii="Times New Roman" w:hAnsi="Times New Roman" w:cs="Times New Roman"/>
          <w:lang w:val="ro-MD"/>
        </w:rPr>
        <w:t>locale</w:t>
      </w:r>
      <w:r w:rsidRPr="000508B6">
        <w:rPr>
          <w:rFonts w:ascii="Times New Roman" w:hAnsi="Times New Roman" w:cs="Times New Roman"/>
          <w:lang w:val="ro-MD"/>
        </w:rPr>
        <w:t xml:space="preserve">, la care </w:t>
      </w:r>
      <w:r w:rsidR="0098419D" w:rsidRPr="000508B6">
        <w:rPr>
          <w:rFonts w:ascii="Times New Roman" w:hAnsi="Times New Roman" w:cs="Times New Roman"/>
          <w:lang w:val="ro-MD"/>
        </w:rPr>
        <w:t xml:space="preserve">este </w:t>
      </w:r>
      <w:r w:rsidRPr="000508B6">
        <w:rPr>
          <w:rFonts w:ascii="Times New Roman" w:hAnsi="Times New Roman" w:cs="Times New Roman"/>
          <w:lang w:val="ro-MD"/>
        </w:rPr>
        <w:t xml:space="preserve">retrasă </w:t>
      </w:r>
      <w:r w:rsidR="00161BC1" w:rsidRPr="000508B6">
        <w:rPr>
          <w:rFonts w:ascii="Times New Roman" w:hAnsi="Times New Roman" w:cs="Times New Roman"/>
          <w:lang w:val="ro-MD"/>
        </w:rPr>
        <w:t>licența</w:t>
      </w:r>
      <w:r w:rsidRPr="000508B6">
        <w:rPr>
          <w:rFonts w:ascii="Times New Roman" w:hAnsi="Times New Roman" w:cs="Times New Roman"/>
          <w:lang w:val="ro-MD"/>
        </w:rPr>
        <w:t xml:space="preserve">, pentru </w:t>
      </w:r>
      <w:r w:rsidR="007948C9" w:rsidRPr="000508B6">
        <w:rPr>
          <w:rFonts w:ascii="Times New Roman" w:hAnsi="Times New Roman" w:cs="Times New Roman"/>
          <w:lang w:val="ro-MD"/>
        </w:rPr>
        <w:t xml:space="preserve">asigurătorii </w:t>
      </w:r>
      <w:r w:rsidR="00161BC1" w:rsidRPr="000508B6">
        <w:rPr>
          <w:rFonts w:ascii="Times New Roman" w:hAnsi="Times New Roman" w:cs="Times New Roman"/>
          <w:lang w:val="ro-MD"/>
        </w:rPr>
        <w:t xml:space="preserve">sau </w:t>
      </w:r>
      <w:proofErr w:type="spellStart"/>
      <w:r w:rsidR="007948C9" w:rsidRPr="000508B6">
        <w:rPr>
          <w:rFonts w:ascii="Times New Roman" w:hAnsi="Times New Roman" w:cs="Times New Roman"/>
          <w:lang w:val="ro-MD"/>
        </w:rPr>
        <w:t>reasigurătorii</w:t>
      </w:r>
      <w:proofErr w:type="spellEnd"/>
      <w:r w:rsidR="007948C9" w:rsidRPr="000508B6">
        <w:rPr>
          <w:rFonts w:ascii="Times New Roman" w:hAnsi="Times New Roman" w:cs="Times New Roman"/>
          <w:lang w:val="ro-MD"/>
        </w:rPr>
        <w:t xml:space="preserve"> </w:t>
      </w:r>
      <w:r w:rsidR="00161BC1" w:rsidRPr="000508B6">
        <w:rPr>
          <w:rFonts w:ascii="Times New Roman" w:hAnsi="Times New Roman" w:cs="Times New Roman"/>
          <w:lang w:val="ro-MD"/>
        </w:rPr>
        <w:t xml:space="preserve">afiliați </w:t>
      </w:r>
      <w:r w:rsidRPr="000508B6">
        <w:rPr>
          <w:rFonts w:ascii="Times New Roman" w:hAnsi="Times New Roman" w:cs="Times New Roman"/>
          <w:lang w:val="ro-MD"/>
        </w:rPr>
        <w:t xml:space="preserve">din </w:t>
      </w:r>
      <w:r w:rsidR="00E45D87" w:rsidRPr="000508B6">
        <w:rPr>
          <w:rFonts w:ascii="Times New Roman" w:hAnsi="Times New Roman" w:cs="Times New Roman"/>
          <w:lang w:val="ro-MD"/>
        </w:rPr>
        <w:t>state</w:t>
      </w:r>
      <w:r w:rsidR="00746CB8" w:rsidRPr="000508B6">
        <w:rPr>
          <w:rFonts w:ascii="Times New Roman" w:hAnsi="Times New Roman" w:cs="Times New Roman"/>
          <w:lang w:val="ro-MD"/>
        </w:rPr>
        <w:t>le</w:t>
      </w:r>
      <w:r w:rsidRPr="000508B6">
        <w:rPr>
          <w:rFonts w:ascii="Times New Roman" w:hAnsi="Times New Roman" w:cs="Times New Roman"/>
          <w:lang w:val="ro-MD"/>
        </w:rPr>
        <w:t xml:space="preserve"> terțe. </w:t>
      </w:r>
    </w:p>
    <w:p w14:paraId="04E8E514" w14:textId="03850D2A" w:rsidR="00531AE6" w:rsidRPr="000508B6" w:rsidRDefault="00795A51" w:rsidP="00230ADD">
      <w:pPr>
        <w:pStyle w:val="Listparagraf"/>
        <w:numPr>
          <w:ilvl w:val="0"/>
          <w:numId w:val="25"/>
        </w:numPr>
        <w:tabs>
          <w:tab w:val="left" w:pos="709"/>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Cs/>
          <w:lang w:val="ro-MD"/>
        </w:rPr>
        <w:t>În scopul</w:t>
      </w:r>
      <w:r w:rsidRPr="000508B6">
        <w:rPr>
          <w:rFonts w:ascii="Times New Roman" w:hAnsi="Times New Roman" w:cs="Times New Roman"/>
          <w:lang w:val="ro-MD"/>
        </w:rPr>
        <w:t xml:space="preserve"> determin</w:t>
      </w:r>
      <w:r w:rsidRPr="000508B6">
        <w:rPr>
          <w:rFonts w:ascii="Times New Roman" w:hAnsi="Times New Roman" w:cs="Times New Roman"/>
          <w:bCs/>
          <w:lang w:val="ro-MD"/>
        </w:rPr>
        <w:t>ării</w:t>
      </w:r>
      <w:r w:rsidRPr="000508B6">
        <w:rPr>
          <w:rFonts w:ascii="Times New Roman" w:hAnsi="Times New Roman" w:cs="Times New Roman"/>
          <w:lang w:val="ro-MD"/>
        </w:rPr>
        <w:t xml:space="preserve"> dacă fondurile proprii eligibile menționate sunt admisibile pentru a acoperi </w:t>
      </w:r>
      <w:r w:rsidR="0074588C" w:rsidRPr="000508B6">
        <w:rPr>
          <w:rFonts w:ascii="Times New Roman" w:hAnsi="Times New Roman" w:cs="Times New Roman"/>
          <w:bCs/>
          <w:lang w:val="ro-MD"/>
        </w:rPr>
        <w:t>SCR</w:t>
      </w:r>
      <w:r w:rsidRPr="000508B6">
        <w:rPr>
          <w:rFonts w:ascii="Times New Roman" w:hAnsi="Times New Roman" w:cs="Times New Roman"/>
          <w:lang w:val="ro-MD"/>
        </w:rPr>
        <w:t xml:space="preserve"> consolidată a grupului, se aplică prin analogie principiile enunțate la </w:t>
      </w:r>
      <w:r w:rsidRPr="000508B6">
        <w:rPr>
          <w:rFonts w:ascii="Times New Roman" w:hAnsi="Times New Roman" w:cs="Times New Roman"/>
          <w:bCs/>
          <w:lang w:val="ro-MD"/>
        </w:rPr>
        <w:t>art</w:t>
      </w:r>
      <w:r w:rsidR="006E0261"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6E0261" w:rsidRPr="000508B6">
        <w:rPr>
          <w:rFonts w:ascii="Times New Roman" w:hAnsi="Times New Roman" w:cs="Times New Roman"/>
          <w:bCs/>
          <w:lang w:val="ro-MD"/>
        </w:rPr>
        <w:t>125</w:t>
      </w:r>
      <w:r w:rsidRPr="000508B6">
        <w:rPr>
          <w:rFonts w:ascii="Times New Roman" w:hAnsi="Times New Roman" w:cs="Times New Roman"/>
          <w:bCs/>
          <w:lang w:val="ro-MD"/>
        </w:rPr>
        <w:t>-</w:t>
      </w:r>
      <w:r w:rsidR="006E0261" w:rsidRPr="000508B6">
        <w:rPr>
          <w:rFonts w:ascii="Times New Roman" w:hAnsi="Times New Roman" w:cs="Times New Roman"/>
          <w:bCs/>
          <w:lang w:val="ro-MD"/>
        </w:rPr>
        <w:t>133</w:t>
      </w:r>
      <w:r w:rsidR="004024A2" w:rsidRPr="000508B6">
        <w:rPr>
          <w:rFonts w:ascii="Times New Roman" w:hAnsi="Times New Roman" w:cs="Times New Roman"/>
          <w:bCs/>
          <w:lang w:val="ro-MD"/>
        </w:rPr>
        <w:t xml:space="preserve"> și art. 157 alin. (1) și (2)</w:t>
      </w:r>
      <w:r w:rsidRPr="000508B6">
        <w:rPr>
          <w:rFonts w:ascii="Times New Roman" w:hAnsi="Times New Roman" w:cs="Times New Roman"/>
          <w:lang w:val="ro-MD"/>
        </w:rPr>
        <w:t>.</w:t>
      </w:r>
    </w:p>
    <w:p w14:paraId="191225A0" w14:textId="0BA01756" w:rsidR="006E0261" w:rsidRPr="000508B6" w:rsidRDefault="00C764B4" w:rsidP="008B530F">
      <w:pPr>
        <w:tabs>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 xml:space="preserve">(8) În cazul în care fondurile proprii eligibile pentru a acoperi SCR consolidată, depășesc SCR la nivel de grup calculată pe baza datelor consolidate, iar </w:t>
      </w:r>
      <w:r w:rsidR="0097468F" w:rsidRPr="000508B6">
        <w:rPr>
          <w:rFonts w:ascii="Times New Roman" w:hAnsi="Times New Roman" w:cs="Times New Roman"/>
          <w:bCs/>
          <w:lang w:val="ro-MD"/>
        </w:rPr>
        <w:t>M</w:t>
      </w:r>
      <w:r w:rsidR="00213D3D" w:rsidRPr="000508B6">
        <w:rPr>
          <w:rFonts w:ascii="Times New Roman" w:hAnsi="Times New Roman" w:cs="Times New Roman"/>
          <w:bCs/>
          <w:lang w:val="ro-MD"/>
        </w:rPr>
        <w:t>CR pe bază</w:t>
      </w:r>
      <w:r w:rsidRPr="000508B6">
        <w:rPr>
          <w:rFonts w:ascii="Times New Roman" w:hAnsi="Times New Roman" w:cs="Times New Roman"/>
          <w:bCs/>
          <w:lang w:val="ro-MD"/>
        </w:rPr>
        <w:t xml:space="preserve"> consolidată </w:t>
      </w:r>
      <w:r w:rsidR="00923814" w:rsidRPr="000508B6">
        <w:rPr>
          <w:rFonts w:ascii="Times New Roman" w:hAnsi="Times New Roman" w:cs="Times New Roman"/>
          <w:bCs/>
          <w:lang w:val="ro-MD"/>
        </w:rPr>
        <w:t>la nivel de grup</w:t>
      </w:r>
      <w:r w:rsidRPr="000508B6">
        <w:rPr>
          <w:rFonts w:ascii="Times New Roman" w:hAnsi="Times New Roman" w:cs="Times New Roman"/>
          <w:bCs/>
          <w:lang w:val="ro-MD"/>
        </w:rPr>
        <w:t xml:space="preserve"> nu este respectată, prevederile art. 156 alin. (1)-(4) se aplică în mod corespunzător și nu se aplică prevederile art. </w:t>
      </w:r>
      <w:r w:rsidR="004024A2" w:rsidRPr="000508B6">
        <w:rPr>
          <w:rFonts w:ascii="Times New Roman" w:hAnsi="Times New Roman" w:cs="Times New Roman"/>
          <w:bCs/>
          <w:lang w:val="ro-MD"/>
        </w:rPr>
        <w:t>157 alin. (1) și (2)</w:t>
      </w:r>
      <w:r w:rsidRPr="000508B6">
        <w:rPr>
          <w:rFonts w:ascii="Times New Roman" w:hAnsi="Times New Roman" w:cs="Times New Roman"/>
          <w:bCs/>
          <w:lang w:val="ro-MD"/>
        </w:rPr>
        <w:t>. În sensul prezentului alineat, trimiterea la „SCR” de la art.</w:t>
      </w:r>
      <w:r w:rsidR="007948C9" w:rsidRPr="000508B6">
        <w:rPr>
          <w:rFonts w:ascii="Times New Roman" w:hAnsi="Times New Roman" w:cs="Times New Roman"/>
          <w:bCs/>
          <w:lang w:val="ro-MD"/>
        </w:rPr>
        <w:t xml:space="preserve"> </w:t>
      </w:r>
      <w:r w:rsidRPr="000508B6">
        <w:rPr>
          <w:rFonts w:ascii="Times New Roman" w:hAnsi="Times New Roman" w:cs="Times New Roman"/>
          <w:bCs/>
          <w:lang w:val="ro-MD"/>
        </w:rPr>
        <w:t>156 se interpretează ca „</w:t>
      </w:r>
      <w:r w:rsidR="004024A2" w:rsidRPr="000508B6">
        <w:rPr>
          <w:rFonts w:ascii="Times New Roman" w:hAnsi="Times New Roman" w:cs="Times New Roman"/>
          <w:bCs/>
          <w:lang w:val="ro-MD"/>
        </w:rPr>
        <w:t xml:space="preserve">cerință minimă de </w:t>
      </w:r>
      <w:r w:rsidRPr="000508B6">
        <w:rPr>
          <w:rFonts w:ascii="Times New Roman" w:hAnsi="Times New Roman" w:cs="Times New Roman"/>
          <w:bCs/>
          <w:lang w:val="ro-MD"/>
        </w:rPr>
        <w:t>SCR consolidată”.</w:t>
      </w:r>
    </w:p>
    <w:p w14:paraId="1F9A6C13" w14:textId="77777777" w:rsidR="004024A2" w:rsidRPr="000508B6" w:rsidRDefault="004024A2" w:rsidP="004024A2">
      <w:pPr>
        <w:tabs>
          <w:tab w:val="left" w:pos="993"/>
        </w:tabs>
        <w:spacing w:after="0" w:line="240" w:lineRule="auto"/>
        <w:ind w:firstLine="426"/>
        <w:jc w:val="both"/>
        <w:rPr>
          <w:rFonts w:ascii="Times New Roman" w:hAnsi="Times New Roman" w:cs="Times New Roman"/>
          <w:bCs/>
          <w:lang w:val="ro-MD"/>
        </w:rPr>
      </w:pPr>
    </w:p>
    <w:p w14:paraId="543F29F3" w14:textId="592EF318" w:rsidR="004024A2" w:rsidRPr="000508B6" w:rsidRDefault="004024A2" w:rsidP="004024A2">
      <w:pPr>
        <w:tabs>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
          <w:lang w:val="ro-MD"/>
        </w:rPr>
        <w:t>Articolul 135.</w:t>
      </w:r>
      <w:r w:rsidRPr="000508B6">
        <w:rPr>
          <w:rFonts w:ascii="Times New Roman" w:hAnsi="Times New Roman" w:cs="Times New Roman"/>
          <w:bCs/>
          <w:lang w:val="ro-MD"/>
        </w:rPr>
        <w:t xml:space="preserve"> Calcule simplificate </w:t>
      </w:r>
    </w:p>
    <w:p w14:paraId="16391FD4" w14:textId="6EA2088D" w:rsidR="004024A2" w:rsidRPr="000508B6" w:rsidRDefault="004024A2" w:rsidP="007948C9">
      <w:pPr>
        <w:tabs>
          <w:tab w:val="left" w:pos="709"/>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Cs/>
          <w:lang w:val="ro-MD"/>
        </w:rPr>
        <w:t>(1)</w:t>
      </w:r>
      <w:r w:rsidRPr="000508B6">
        <w:rPr>
          <w:rFonts w:ascii="Times New Roman" w:hAnsi="Times New Roman" w:cs="Times New Roman"/>
          <w:bCs/>
          <w:lang w:val="ro-MD"/>
        </w:rPr>
        <w:tab/>
        <w:t xml:space="preserve">În sensul art. </w:t>
      </w:r>
      <w:r w:rsidR="00A86062" w:rsidRPr="000508B6">
        <w:rPr>
          <w:rFonts w:ascii="Times New Roman" w:hAnsi="Times New Roman" w:cs="Times New Roman"/>
          <w:bCs/>
          <w:lang w:val="ro-MD"/>
        </w:rPr>
        <w:t>134</w:t>
      </w:r>
      <w:r w:rsidRPr="000508B6">
        <w:rPr>
          <w:rFonts w:ascii="Times New Roman" w:hAnsi="Times New Roman" w:cs="Times New Roman"/>
          <w:bCs/>
          <w:lang w:val="ro-MD"/>
        </w:rPr>
        <w:t xml:space="preserve">, Banca Națională a Moldovei, după consultarea celorlalți supraveghetori, poate permite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 xml:space="preserve"> participativ să aplice o abordare simplificată participațiilor deținute în entități afiliate nesemnificative</w:t>
      </w:r>
      <w:r w:rsidR="00506C9F" w:rsidRPr="000508B6">
        <w:rPr>
          <w:rFonts w:ascii="Times New Roman" w:hAnsi="Times New Roman" w:cs="Times New Roman"/>
          <w:bCs/>
          <w:lang w:val="ro-MD"/>
        </w:rPr>
        <w:t>, identificate conform alin. (7)</w:t>
      </w:r>
      <w:r w:rsidRPr="000508B6">
        <w:rPr>
          <w:rFonts w:ascii="Times New Roman" w:hAnsi="Times New Roman" w:cs="Times New Roman"/>
          <w:bCs/>
          <w:lang w:val="ro-MD"/>
        </w:rPr>
        <w:t xml:space="preserve">. </w:t>
      </w:r>
    </w:p>
    <w:p w14:paraId="2886C59C" w14:textId="34F9CFB4" w:rsidR="004024A2" w:rsidRPr="000508B6" w:rsidRDefault="004024A2" w:rsidP="00230ADD">
      <w:pPr>
        <w:tabs>
          <w:tab w:val="left" w:pos="709"/>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(2)</w:t>
      </w:r>
      <w:r w:rsidRPr="000508B6">
        <w:rPr>
          <w:rFonts w:ascii="Times New Roman" w:hAnsi="Times New Roman" w:cs="Times New Roman"/>
          <w:bCs/>
          <w:lang w:val="ro-MD"/>
        </w:rPr>
        <w:tab/>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3F7D4D" w:rsidRPr="000508B6">
        <w:rPr>
          <w:rFonts w:ascii="Times New Roman" w:hAnsi="Times New Roman" w:cs="Times New Roman"/>
          <w:bCs/>
          <w:lang w:val="ro-MD"/>
        </w:rPr>
        <w:t xml:space="preserve"> </w:t>
      </w:r>
      <w:r w:rsidR="00E85F55" w:rsidRPr="000508B6">
        <w:rPr>
          <w:rFonts w:ascii="Times New Roman" w:hAnsi="Times New Roman" w:cs="Times New Roman"/>
          <w:bCs/>
          <w:lang w:val="ro-MD"/>
        </w:rPr>
        <w:t xml:space="preserve">participativ, având în vedere natura, amploarea și complexitatea riscurilor acesteia sau a entităților afiliate, </w:t>
      </w:r>
      <w:r w:rsidRPr="000508B6">
        <w:rPr>
          <w:rFonts w:ascii="Times New Roman" w:hAnsi="Times New Roman" w:cs="Times New Roman"/>
          <w:bCs/>
          <w:lang w:val="ro-MD"/>
        </w:rPr>
        <w:t xml:space="preserve">justifică în mod corespunzător Băncii Naționale a Moldovei </w:t>
      </w:r>
      <w:r w:rsidR="00E85F55" w:rsidRPr="000508B6">
        <w:rPr>
          <w:rFonts w:ascii="Times New Roman" w:hAnsi="Times New Roman" w:cs="Times New Roman"/>
          <w:bCs/>
          <w:lang w:val="ro-MD"/>
        </w:rPr>
        <w:t>aplicarea abordării simplificate menționate la alin. (1).</w:t>
      </w:r>
      <w:r w:rsidR="00696D73" w:rsidRPr="000508B6">
        <w:rPr>
          <w:rFonts w:ascii="Times New Roman" w:hAnsi="Times New Roman" w:cs="Times New Roman"/>
          <w:bCs/>
          <w:lang w:val="ro-MD"/>
        </w:rPr>
        <w:t xml:space="preserve"> </w:t>
      </w:r>
    </w:p>
    <w:p w14:paraId="5557B0FC" w14:textId="7CEADD2C" w:rsidR="004024A2" w:rsidRPr="000508B6" w:rsidRDefault="004024A2" w:rsidP="00230ADD">
      <w:pPr>
        <w:tabs>
          <w:tab w:val="left" w:pos="709"/>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(3)</w:t>
      </w:r>
      <w:r w:rsidRPr="000508B6">
        <w:rPr>
          <w:rFonts w:ascii="Times New Roman" w:hAnsi="Times New Roman" w:cs="Times New Roman"/>
          <w:bCs/>
          <w:lang w:val="ro-MD"/>
        </w:rPr>
        <w:tab/>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3F7D4D"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participativ trebuie să evalueze anual dacă utilizarea abordării simplificate este în continuare justificată și să publice, în raportul privind solvabilitatea și situația financiară la nivel de grup, astfel cum se menționează la art. 148 alin. (1), lista și mărimea entităților afiliate care fac obiectul abordării simplificate respective. </w:t>
      </w:r>
    </w:p>
    <w:p w14:paraId="202DA00C" w14:textId="7CF92419" w:rsidR="004024A2" w:rsidRPr="000508B6" w:rsidRDefault="004024A2" w:rsidP="00230ADD">
      <w:pPr>
        <w:tabs>
          <w:tab w:val="left" w:pos="709"/>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Cs/>
          <w:lang w:val="ro-MD"/>
        </w:rPr>
        <w:t>(4)</w:t>
      </w:r>
      <w:r w:rsidRPr="000508B6">
        <w:rPr>
          <w:rFonts w:ascii="Times New Roman" w:hAnsi="Times New Roman" w:cs="Times New Roman"/>
          <w:bCs/>
          <w:lang w:val="ro-MD"/>
        </w:rPr>
        <w:tab/>
        <w:t>În sensul alin. (1)</w:t>
      </w:r>
      <w:r w:rsidR="00506C9F" w:rsidRPr="000508B6">
        <w:rPr>
          <w:rFonts w:ascii="Times New Roman" w:hAnsi="Times New Roman" w:cs="Times New Roman"/>
          <w:bCs/>
          <w:lang w:val="ro-MD"/>
        </w:rPr>
        <w:t xml:space="preserve"> și (2)</w:t>
      </w:r>
      <w:r w:rsidRPr="000508B6">
        <w:rPr>
          <w:rFonts w:ascii="Times New Roman" w:hAnsi="Times New Roman" w:cs="Times New Roman"/>
          <w:bCs/>
          <w:lang w:val="ro-MD"/>
        </w:rPr>
        <w:t xml:space="preserv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3F7D4D"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participativ demonstrează, într-un mod considerat convingător de către Banca Națională a Moldovei, că aplicarea abordării simplificate în cazul participațiilor în una sau mai multe entități afiliate este suficient de prudentă pentru a se evita o subestimare a riscurilor </w:t>
      </w:r>
      <w:r w:rsidR="003F7D4D" w:rsidRPr="000508B6">
        <w:rPr>
          <w:rFonts w:ascii="Times New Roman" w:hAnsi="Times New Roman" w:cs="Times New Roman"/>
          <w:bCs/>
          <w:lang w:val="ro-MD"/>
        </w:rPr>
        <w:t xml:space="preserve">aferente </w:t>
      </w:r>
      <w:r w:rsidR="007948C9" w:rsidRPr="000508B6">
        <w:rPr>
          <w:rFonts w:ascii="Times New Roman" w:hAnsi="Times New Roman" w:cs="Times New Roman"/>
          <w:bCs/>
          <w:lang w:val="ro-MD"/>
        </w:rPr>
        <w:t xml:space="preserve">asigurătorului </w:t>
      </w:r>
      <w:r w:rsidR="003F7D4D" w:rsidRPr="000508B6">
        <w:rPr>
          <w:rFonts w:ascii="Times New Roman" w:hAnsi="Times New Roman" w:cs="Times New Roman"/>
          <w:bCs/>
          <w:lang w:val="ro-MD"/>
        </w:rPr>
        <w:t xml:space="preserve">sau </w:t>
      </w:r>
      <w:proofErr w:type="spellStart"/>
      <w:r w:rsidR="007948C9" w:rsidRPr="000508B6">
        <w:rPr>
          <w:rFonts w:ascii="Times New Roman" w:hAnsi="Times New Roman" w:cs="Times New Roman"/>
          <w:bCs/>
          <w:lang w:val="ro-MD"/>
        </w:rPr>
        <w:t>reasigurătorului</w:t>
      </w:r>
      <w:proofErr w:type="spellEnd"/>
      <w:r w:rsidR="007948C9" w:rsidRPr="000508B6">
        <w:rPr>
          <w:rFonts w:ascii="Times New Roman" w:hAnsi="Times New Roman" w:cs="Times New Roman"/>
          <w:bCs/>
          <w:lang w:val="ro-MD"/>
        </w:rPr>
        <w:t xml:space="preserve"> </w:t>
      </w:r>
      <w:r w:rsidR="003F7D4D" w:rsidRPr="000508B6">
        <w:rPr>
          <w:rFonts w:ascii="Times New Roman" w:hAnsi="Times New Roman" w:cs="Times New Roman"/>
          <w:bCs/>
          <w:lang w:val="ro-MD"/>
        </w:rPr>
        <w:t xml:space="preserve">participativ </w:t>
      </w:r>
      <w:r w:rsidRPr="000508B6">
        <w:rPr>
          <w:rFonts w:ascii="Times New Roman" w:hAnsi="Times New Roman" w:cs="Times New Roman"/>
          <w:bCs/>
          <w:lang w:val="ro-MD"/>
        </w:rPr>
        <w:t xml:space="preserve">sau </w:t>
      </w:r>
      <w:r w:rsidR="003F7D4D" w:rsidRPr="000508B6">
        <w:rPr>
          <w:rFonts w:ascii="Times New Roman" w:hAnsi="Times New Roman" w:cs="Times New Roman"/>
          <w:bCs/>
          <w:lang w:val="ro-MD"/>
        </w:rPr>
        <w:t xml:space="preserve">entităților afiliate </w:t>
      </w:r>
      <w:r w:rsidRPr="000508B6">
        <w:rPr>
          <w:rFonts w:ascii="Times New Roman" w:hAnsi="Times New Roman" w:cs="Times New Roman"/>
          <w:bCs/>
          <w:lang w:val="ro-MD"/>
        </w:rPr>
        <w:t xml:space="preserve">la calcularea solvabilității la nivel de grup. </w:t>
      </w:r>
    </w:p>
    <w:p w14:paraId="1161A070" w14:textId="4B9DBA19" w:rsidR="004024A2" w:rsidRPr="000508B6" w:rsidRDefault="004024A2" w:rsidP="00230ADD">
      <w:pPr>
        <w:tabs>
          <w:tab w:val="left" w:pos="709"/>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(5)</w:t>
      </w:r>
      <w:r w:rsidRPr="000508B6">
        <w:rPr>
          <w:rFonts w:ascii="Times New Roman" w:hAnsi="Times New Roman" w:cs="Times New Roman"/>
          <w:bCs/>
          <w:lang w:val="ro-MD"/>
        </w:rPr>
        <w:tab/>
        <w:t xml:space="preserve">Atunci când se aplică </w:t>
      </w:r>
      <w:r w:rsidR="003F7D4D" w:rsidRPr="000508B6">
        <w:rPr>
          <w:rFonts w:ascii="Times New Roman" w:hAnsi="Times New Roman" w:cs="Times New Roman"/>
          <w:bCs/>
          <w:lang w:val="ro-MD"/>
        </w:rPr>
        <w:t xml:space="preserve">unui </w:t>
      </w:r>
      <w:r w:rsidR="007948C9" w:rsidRPr="000508B6">
        <w:rPr>
          <w:rFonts w:ascii="Times New Roman" w:hAnsi="Times New Roman" w:cs="Times New Roman"/>
          <w:bCs/>
          <w:lang w:val="ro-MD"/>
        </w:rPr>
        <w:t xml:space="preserve">asigurător </w:t>
      </w:r>
      <w:r w:rsidR="003F7D4D" w:rsidRPr="000508B6">
        <w:rPr>
          <w:rFonts w:ascii="Times New Roman" w:hAnsi="Times New Roman" w:cs="Times New Roman"/>
          <w:bCs/>
          <w:lang w:val="ro-MD"/>
        </w:rPr>
        <w:t>sau</w:t>
      </w:r>
      <w:r w:rsidRPr="000508B6" w:rsidDel="007948C9">
        <w:rPr>
          <w:rFonts w:ascii="Times New Roman" w:hAnsi="Times New Roman" w:cs="Times New Roman"/>
          <w:bCs/>
          <w:lang w:val="ro-MD"/>
        </w:rPr>
        <w:t xml:space="preserve"> </w:t>
      </w:r>
      <w:proofErr w:type="spellStart"/>
      <w:r w:rsidR="007948C9" w:rsidRPr="000508B6">
        <w:rPr>
          <w:rFonts w:ascii="Times New Roman" w:hAnsi="Times New Roman" w:cs="Times New Roman"/>
          <w:bCs/>
          <w:lang w:val="ro-MD"/>
        </w:rPr>
        <w:t>reasigurător</w:t>
      </w:r>
      <w:proofErr w:type="spellEnd"/>
      <w:r w:rsidR="007948C9"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dintr-un stat terț care </w:t>
      </w:r>
      <w:r w:rsidR="00D10602" w:rsidRPr="000508B6">
        <w:rPr>
          <w:rFonts w:ascii="Times New Roman" w:hAnsi="Times New Roman" w:cs="Times New Roman"/>
          <w:bCs/>
          <w:lang w:val="ro-MD"/>
        </w:rPr>
        <w:t xml:space="preserve">nu are regimul declarat echivalent în </w:t>
      </w:r>
      <w:r w:rsidRPr="000508B6">
        <w:rPr>
          <w:rFonts w:ascii="Times New Roman" w:hAnsi="Times New Roman" w:cs="Times New Roman"/>
          <w:bCs/>
          <w:lang w:val="ro-MD"/>
        </w:rPr>
        <w:t xml:space="preserve">înțelesul art. 131, abordarea simplificată nu poate avea drept rezultat o contribuție a entității afiliate la SCR a grupului mai mică decât cerința de capital a entității afiliate respective, </w:t>
      </w:r>
      <w:r w:rsidR="00506C9F" w:rsidRPr="000508B6">
        <w:rPr>
          <w:rFonts w:ascii="Times New Roman" w:hAnsi="Times New Roman" w:cs="Times New Roman"/>
          <w:bCs/>
          <w:lang w:val="ro-MD"/>
        </w:rPr>
        <w:t>determinată conform cerințelor din statele terțe respective</w:t>
      </w:r>
      <w:r w:rsidRPr="000508B6">
        <w:rPr>
          <w:rFonts w:ascii="Times New Roman" w:hAnsi="Times New Roman" w:cs="Times New Roman"/>
          <w:bCs/>
          <w:lang w:val="ro-MD"/>
        </w:rPr>
        <w:t xml:space="preserve">. </w:t>
      </w:r>
    </w:p>
    <w:p w14:paraId="6954A561" w14:textId="053489F9" w:rsidR="004024A2" w:rsidRPr="000508B6" w:rsidRDefault="004024A2" w:rsidP="00230ADD">
      <w:pPr>
        <w:tabs>
          <w:tab w:val="left" w:pos="709"/>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(6)</w:t>
      </w:r>
      <w:r w:rsidRPr="000508B6">
        <w:rPr>
          <w:rFonts w:ascii="Times New Roman" w:hAnsi="Times New Roman" w:cs="Times New Roman"/>
          <w:bCs/>
          <w:lang w:val="ro-MD"/>
        </w:rPr>
        <w:tab/>
        <w:t xml:space="preserve">Abordarea simplificată nu se aplică </w:t>
      </w:r>
      <w:r w:rsidR="00966CF9" w:rsidRPr="000508B6">
        <w:rPr>
          <w:rFonts w:ascii="Times New Roman" w:hAnsi="Times New Roman" w:cs="Times New Roman"/>
          <w:bCs/>
          <w:lang w:val="ro-MD"/>
        </w:rPr>
        <w:t xml:space="preserve">unui </w:t>
      </w:r>
      <w:r w:rsidR="007948C9" w:rsidRPr="000508B6">
        <w:rPr>
          <w:rFonts w:ascii="Times New Roman" w:hAnsi="Times New Roman" w:cs="Times New Roman"/>
          <w:bCs/>
          <w:lang w:val="ro-MD"/>
        </w:rPr>
        <w:t xml:space="preserve">asigurător </w:t>
      </w:r>
      <w:r w:rsidR="00966CF9" w:rsidRPr="000508B6">
        <w:rPr>
          <w:rFonts w:ascii="Times New Roman" w:hAnsi="Times New Roman" w:cs="Times New Roman"/>
          <w:bCs/>
          <w:lang w:val="ro-MD"/>
        </w:rPr>
        <w:t>sau</w:t>
      </w:r>
      <w:r w:rsidRPr="000508B6" w:rsidDel="007948C9">
        <w:rPr>
          <w:rFonts w:ascii="Times New Roman" w:hAnsi="Times New Roman" w:cs="Times New Roman"/>
          <w:bCs/>
          <w:lang w:val="ro-MD"/>
        </w:rPr>
        <w:t xml:space="preserve"> </w:t>
      </w:r>
      <w:proofErr w:type="spellStart"/>
      <w:r w:rsidR="007948C9" w:rsidRPr="000508B6">
        <w:rPr>
          <w:rFonts w:ascii="Times New Roman" w:hAnsi="Times New Roman" w:cs="Times New Roman"/>
          <w:bCs/>
          <w:lang w:val="ro-MD"/>
        </w:rPr>
        <w:t>reasigurător</w:t>
      </w:r>
      <w:proofErr w:type="spellEnd"/>
      <w:r w:rsidR="007948C9"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afiliat dintr-un stat terț în cazul în care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966CF9"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participativ nu dispune de informații fiabile cu privire la cerința de capital prevăzută în statul terț respectiv. </w:t>
      </w:r>
    </w:p>
    <w:p w14:paraId="29C5C751" w14:textId="3E1FCD4D" w:rsidR="00C764B4" w:rsidRPr="000508B6" w:rsidRDefault="004024A2" w:rsidP="00230ADD">
      <w:pPr>
        <w:tabs>
          <w:tab w:val="left" w:pos="709"/>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(7)</w:t>
      </w:r>
      <w:r w:rsidRPr="000508B6">
        <w:rPr>
          <w:rFonts w:ascii="Times New Roman" w:hAnsi="Times New Roman" w:cs="Times New Roman"/>
          <w:bCs/>
          <w:lang w:val="ro-MD"/>
        </w:rPr>
        <w:tab/>
        <w:t>În sensul alin. (1)</w:t>
      </w:r>
      <w:r w:rsidR="00506C9F" w:rsidRPr="000508B6">
        <w:rPr>
          <w:rFonts w:ascii="Times New Roman" w:hAnsi="Times New Roman" w:cs="Times New Roman"/>
          <w:bCs/>
          <w:lang w:val="ro-MD"/>
        </w:rPr>
        <w:t xml:space="preserve"> și (2)</w:t>
      </w:r>
      <w:r w:rsidRPr="000508B6">
        <w:rPr>
          <w:rFonts w:ascii="Times New Roman" w:hAnsi="Times New Roman" w:cs="Times New Roman"/>
          <w:bCs/>
          <w:lang w:val="ro-MD"/>
        </w:rPr>
        <w:t xml:space="preserve">, </w:t>
      </w:r>
      <w:r w:rsidR="00506C9F" w:rsidRPr="000508B6">
        <w:rPr>
          <w:rFonts w:ascii="Times New Roman" w:hAnsi="Times New Roman" w:cs="Times New Roman"/>
          <w:bCs/>
          <w:lang w:val="ro-MD"/>
        </w:rPr>
        <w:t xml:space="preserve">asigurătorul sau </w:t>
      </w:r>
      <w:proofErr w:type="spellStart"/>
      <w:r w:rsidR="00506C9F" w:rsidRPr="000508B6">
        <w:rPr>
          <w:rFonts w:ascii="Times New Roman" w:hAnsi="Times New Roman" w:cs="Times New Roman"/>
          <w:bCs/>
          <w:lang w:val="ro-MD"/>
        </w:rPr>
        <w:t>reasigurătorul</w:t>
      </w:r>
      <w:proofErr w:type="spellEnd"/>
      <w:r w:rsidR="00506C9F" w:rsidRPr="000508B6">
        <w:rPr>
          <w:rFonts w:ascii="Times New Roman" w:hAnsi="Times New Roman" w:cs="Times New Roman"/>
          <w:bCs/>
          <w:lang w:val="ro-MD"/>
        </w:rPr>
        <w:t xml:space="preserve"> participativ identifică fiecare entitate afiliată</w:t>
      </w:r>
      <w:r w:rsidRPr="000508B6">
        <w:rPr>
          <w:rFonts w:ascii="Times New Roman" w:hAnsi="Times New Roman" w:cs="Times New Roman"/>
          <w:bCs/>
          <w:lang w:val="ro-MD"/>
        </w:rPr>
        <w:t xml:space="preserve"> nesemnificativ</w:t>
      </w:r>
      <w:r w:rsidR="00506C9F" w:rsidRPr="000508B6">
        <w:rPr>
          <w:rFonts w:ascii="Times New Roman" w:hAnsi="Times New Roman" w:cs="Times New Roman"/>
          <w:bCs/>
          <w:lang w:val="ro-MD"/>
        </w:rPr>
        <w:t xml:space="preserve">ă a cărei </w:t>
      </w:r>
      <w:r w:rsidRPr="000508B6">
        <w:rPr>
          <w:rFonts w:ascii="Times New Roman" w:hAnsi="Times New Roman" w:cs="Times New Roman"/>
          <w:bCs/>
          <w:lang w:val="ro-MD"/>
        </w:rPr>
        <w:t xml:space="preserve">valoare contabilă reprezintă mai puțin de 0,2 % din activele grupului calculate pe baza datelor consolidate, iar suma valorilor contabile ale tuturor </w:t>
      </w:r>
      <w:r w:rsidR="00193C12" w:rsidRPr="000508B6">
        <w:rPr>
          <w:rFonts w:ascii="Times New Roman" w:hAnsi="Times New Roman" w:cs="Times New Roman"/>
          <w:bCs/>
          <w:lang w:val="ro-MD"/>
        </w:rPr>
        <w:t xml:space="preserve">entităților afiliate </w:t>
      </w:r>
      <w:proofErr w:type="spellStart"/>
      <w:r w:rsidR="00193C12" w:rsidRPr="000508B6">
        <w:rPr>
          <w:rFonts w:ascii="Times New Roman" w:hAnsi="Times New Roman" w:cs="Times New Roman"/>
          <w:bCs/>
          <w:lang w:val="ro-MD"/>
        </w:rPr>
        <w:t>nesimnificative</w:t>
      </w:r>
      <w:proofErr w:type="spellEnd"/>
      <w:r w:rsidR="00193C12" w:rsidRPr="000508B6">
        <w:rPr>
          <w:rFonts w:ascii="Times New Roman" w:hAnsi="Times New Roman" w:cs="Times New Roman"/>
          <w:bCs/>
          <w:lang w:val="ro-MD"/>
        </w:rPr>
        <w:t xml:space="preserve"> trebuie să</w:t>
      </w:r>
      <w:r w:rsidRPr="000508B6">
        <w:rPr>
          <w:rFonts w:ascii="Times New Roman" w:hAnsi="Times New Roman" w:cs="Times New Roman"/>
          <w:bCs/>
          <w:lang w:val="ro-MD"/>
        </w:rPr>
        <w:t xml:space="preserve"> reprezint</w:t>
      </w:r>
      <w:r w:rsidR="00193C12" w:rsidRPr="000508B6">
        <w:rPr>
          <w:rFonts w:ascii="Times New Roman" w:hAnsi="Times New Roman" w:cs="Times New Roman"/>
          <w:bCs/>
          <w:lang w:val="ro-MD"/>
        </w:rPr>
        <w:t>e</w:t>
      </w:r>
      <w:r w:rsidRPr="000508B6">
        <w:rPr>
          <w:rFonts w:ascii="Times New Roman" w:hAnsi="Times New Roman" w:cs="Times New Roman"/>
          <w:bCs/>
          <w:lang w:val="ro-MD"/>
        </w:rPr>
        <w:t xml:space="preserve"> mai puțin de 0,5 % din activele grupului calculate pe baza datelor consolidate. </w:t>
      </w:r>
    </w:p>
    <w:p w14:paraId="607FA2CF" w14:textId="77777777" w:rsidR="00E85F55" w:rsidRPr="000508B6" w:rsidRDefault="00E85F55" w:rsidP="008B530F">
      <w:pPr>
        <w:tabs>
          <w:tab w:val="left" w:pos="993"/>
        </w:tabs>
        <w:spacing w:after="0" w:line="240" w:lineRule="auto"/>
        <w:ind w:firstLine="426"/>
        <w:jc w:val="both"/>
        <w:rPr>
          <w:rFonts w:ascii="Times New Roman" w:hAnsi="Times New Roman" w:cs="Times New Roman"/>
          <w:b/>
          <w:lang w:val="ro-MD"/>
        </w:rPr>
      </w:pPr>
    </w:p>
    <w:p w14:paraId="5B4C7B23" w14:textId="70A1FAE5"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lastRenderedPageBreak/>
        <w:t xml:space="preserve">Articolul </w:t>
      </w:r>
      <w:r w:rsidR="007C2440" w:rsidRPr="000508B6">
        <w:rPr>
          <w:rFonts w:ascii="Times New Roman" w:hAnsi="Times New Roman" w:cs="Times New Roman"/>
          <w:b/>
          <w:lang w:val="ro-MD"/>
        </w:rPr>
        <w:t>136</w:t>
      </w:r>
      <w:r w:rsidRPr="000508B6">
        <w:rPr>
          <w:rFonts w:ascii="Times New Roman" w:hAnsi="Times New Roman" w:cs="Times New Roman"/>
          <w:b/>
          <w:lang w:val="ro-MD"/>
        </w:rPr>
        <w:t xml:space="preserve">. </w:t>
      </w:r>
      <w:r w:rsidRPr="000508B6">
        <w:rPr>
          <w:rFonts w:ascii="Times New Roman" w:hAnsi="Times New Roman" w:cs="Times New Roman"/>
          <w:lang w:val="ro-MD"/>
        </w:rPr>
        <w:t>Metoda de calcul nr. 2</w:t>
      </w:r>
      <w:r w:rsidR="006E0261" w:rsidRPr="000508B6">
        <w:rPr>
          <w:rFonts w:ascii="Times New Roman" w:hAnsi="Times New Roman" w:cs="Times New Roman"/>
          <w:lang w:val="ro-MD"/>
        </w:rPr>
        <w:t>: metoda deducerii și agregării</w:t>
      </w:r>
      <w:r w:rsidRPr="000508B6">
        <w:rPr>
          <w:rFonts w:ascii="Times New Roman" w:hAnsi="Times New Roman" w:cs="Times New Roman"/>
          <w:lang w:val="ro-MD"/>
        </w:rPr>
        <w:t xml:space="preserve">  </w:t>
      </w:r>
    </w:p>
    <w:p w14:paraId="201CDF29" w14:textId="2567FD7C" w:rsidR="00F95829" w:rsidRPr="000508B6" w:rsidRDefault="00F95829" w:rsidP="00230ADD">
      <w:pPr>
        <w:pStyle w:val="Listparagraf"/>
        <w:numPr>
          <w:ilvl w:val="1"/>
          <w:numId w:val="22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Solvabilitatea la nivel de grup a </w:t>
      </w:r>
      <w:r w:rsidR="005B352A" w:rsidRPr="000508B6">
        <w:rPr>
          <w:rFonts w:ascii="Times New Roman" w:hAnsi="Times New Roman" w:cs="Times New Roman"/>
          <w:lang w:val="ro-MD"/>
        </w:rPr>
        <w:t xml:space="preserve">unui </w:t>
      </w:r>
      <w:r w:rsidR="00801C09" w:rsidRPr="000508B6">
        <w:rPr>
          <w:rFonts w:ascii="Times New Roman" w:hAnsi="Times New Roman" w:cs="Times New Roman"/>
          <w:lang w:val="ro-MD"/>
        </w:rPr>
        <w:t xml:space="preserve">asigurător </w:t>
      </w:r>
      <w:r w:rsidR="005B352A" w:rsidRPr="000508B6">
        <w:rPr>
          <w:rFonts w:ascii="Times New Roman" w:hAnsi="Times New Roman" w:cs="Times New Roman"/>
          <w:lang w:val="ro-MD"/>
        </w:rPr>
        <w:t xml:space="preserve">sau </w:t>
      </w:r>
      <w:proofErr w:type="spellStart"/>
      <w:r w:rsidR="00801C09" w:rsidRPr="000508B6">
        <w:rPr>
          <w:rFonts w:ascii="Times New Roman" w:hAnsi="Times New Roman" w:cs="Times New Roman"/>
          <w:lang w:val="ro-MD"/>
        </w:rPr>
        <w:t>reasigurător</w:t>
      </w:r>
      <w:proofErr w:type="spellEnd"/>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este calculată ca </w:t>
      </w:r>
      <w:proofErr w:type="spellStart"/>
      <w:r w:rsidRPr="000508B6">
        <w:rPr>
          <w:rFonts w:ascii="Times New Roman" w:hAnsi="Times New Roman" w:cs="Times New Roman"/>
          <w:lang w:val="ro-MD"/>
        </w:rPr>
        <w:t>diferenţa</w:t>
      </w:r>
      <w:proofErr w:type="spellEnd"/>
      <w:r w:rsidRPr="000508B6">
        <w:rPr>
          <w:rFonts w:ascii="Times New Roman" w:hAnsi="Times New Roman" w:cs="Times New Roman"/>
          <w:lang w:val="ro-MD"/>
        </w:rPr>
        <w:t xml:space="preserve"> dintre</w:t>
      </w:r>
      <w:r w:rsidR="00696D73" w:rsidRPr="000508B6">
        <w:rPr>
          <w:rFonts w:ascii="Times New Roman" w:hAnsi="Times New Roman" w:cs="Times New Roman"/>
          <w:lang w:val="ro-MD"/>
        </w:rPr>
        <w:t>:</w:t>
      </w:r>
      <w:r w:rsidRPr="000508B6">
        <w:rPr>
          <w:rFonts w:ascii="Times New Roman" w:hAnsi="Times New Roman" w:cs="Times New Roman"/>
          <w:color w:val="FF0000"/>
          <w:lang w:val="ro-MD"/>
        </w:rPr>
        <w:t xml:space="preserve">   </w:t>
      </w:r>
    </w:p>
    <w:p w14:paraId="0EA9DB86" w14:textId="77777777" w:rsidR="00F95829" w:rsidRPr="000508B6" w:rsidRDefault="00F95829" w:rsidP="00230ADD">
      <w:pPr>
        <w:numPr>
          <w:ilvl w:val="0"/>
          <w:numId w:val="26"/>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fondurile proprii eligibile agregate la nivel de grup,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   </w:t>
      </w:r>
    </w:p>
    <w:p w14:paraId="25575CED" w14:textId="2B055908" w:rsidR="00F95829" w:rsidRPr="000508B6" w:rsidRDefault="00C94E21" w:rsidP="00230ADD">
      <w:pPr>
        <w:numPr>
          <w:ilvl w:val="0"/>
          <w:numId w:val="26"/>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valoarea </w:t>
      </w:r>
      <w:r w:rsidR="006E0261" w:rsidRPr="000508B6">
        <w:rPr>
          <w:rFonts w:ascii="Times New Roman" w:hAnsi="Times New Roman" w:cs="Times New Roman"/>
          <w:lang w:val="ro-MD"/>
        </w:rPr>
        <w:t xml:space="preserve">entităților </w:t>
      </w:r>
      <w:r w:rsidRPr="000508B6">
        <w:rPr>
          <w:rFonts w:ascii="Times New Roman" w:hAnsi="Times New Roman" w:cs="Times New Roman"/>
          <w:lang w:val="ro-MD"/>
        </w:rPr>
        <w:t xml:space="preserve">afiliate astfel cum sunt menționate la art. </w:t>
      </w:r>
      <w:r w:rsidR="009E58BF" w:rsidRPr="000508B6">
        <w:rPr>
          <w:rFonts w:ascii="Times New Roman" w:hAnsi="Times New Roman" w:cs="Times New Roman"/>
          <w:lang w:val="ro-MD"/>
        </w:rPr>
        <w:t>124</w:t>
      </w:r>
      <w:r w:rsidRPr="000508B6">
        <w:rPr>
          <w:rFonts w:ascii="Times New Roman" w:hAnsi="Times New Roman" w:cs="Times New Roman"/>
          <w:lang w:val="ro-MD"/>
        </w:rPr>
        <w:t xml:space="preserve"> alin. (3) și la art. </w:t>
      </w:r>
      <w:r w:rsidR="009E58BF" w:rsidRPr="000508B6">
        <w:rPr>
          <w:rFonts w:ascii="Times New Roman" w:hAnsi="Times New Roman" w:cs="Times New Roman"/>
          <w:lang w:val="ro-MD"/>
        </w:rPr>
        <w:t>132</w:t>
      </w:r>
      <w:r w:rsidRPr="000508B6">
        <w:rPr>
          <w:rFonts w:ascii="Times New Roman" w:hAnsi="Times New Roman" w:cs="Times New Roman"/>
          <w:lang w:val="ro-MD"/>
        </w:rPr>
        <w:t xml:space="preserve"> alin. (1) în </w:t>
      </w:r>
      <w:r w:rsidR="009D0EB8" w:rsidRPr="000508B6">
        <w:rPr>
          <w:rFonts w:ascii="Times New Roman" w:hAnsi="Times New Roman" w:cs="Times New Roman"/>
          <w:lang w:val="ro-MD"/>
        </w:rPr>
        <w:t xml:space="preserve">asigurătorul sau </w:t>
      </w:r>
      <w:proofErr w:type="spellStart"/>
      <w:r w:rsidR="009D0EB8" w:rsidRPr="000508B6">
        <w:rPr>
          <w:rFonts w:ascii="Times New Roman" w:hAnsi="Times New Roman" w:cs="Times New Roman"/>
          <w:lang w:val="ro-MD"/>
        </w:rPr>
        <w:t>reasigurătorul</w:t>
      </w:r>
      <w:proofErr w:type="spellEnd"/>
      <w:r w:rsidR="00453A45" w:rsidRPr="000508B6">
        <w:rPr>
          <w:rFonts w:ascii="Times New Roman" w:hAnsi="Times New Roman" w:cs="Times New Roman"/>
          <w:lang w:val="ro-MD"/>
        </w:rPr>
        <w:t xml:space="preserve"> </w:t>
      </w:r>
      <w:r w:rsidRPr="000508B6">
        <w:rPr>
          <w:rFonts w:ascii="Times New Roman" w:hAnsi="Times New Roman" w:cs="Times New Roman"/>
          <w:lang w:val="ro-MD"/>
        </w:rPr>
        <w:t>participativ și SCR pe bază agregată a grupului, astfel cum este prevăzută la alin. (3).</w:t>
      </w:r>
    </w:p>
    <w:p w14:paraId="2394C13F" w14:textId="197BEEFC" w:rsidR="00F95829" w:rsidRPr="000508B6" w:rsidRDefault="00F95829" w:rsidP="00230ADD">
      <w:pPr>
        <w:pStyle w:val="Listparagraf"/>
        <w:numPr>
          <w:ilvl w:val="1"/>
          <w:numId w:val="22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Fondurile proprii eligibile </w:t>
      </w:r>
      <w:r w:rsidR="006E0261" w:rsidRPr="000508B6">
        <w:rPr>
          <w:rFonts w:ascii="Times New Roman" w:hAnsi="Times New Roman" w:cs="Times New Roman"/>
          <w:lang w:val="ro-MD"/>
        </w:rPr>
        <w:t>ale întregului</w:t>
      </w:r>
      <w:r w:rsidRPr="000508B6">
        <w:rPr>
          <w:rFonts w:ascii="Times New Roman" w:hAnsi="Times New Roman" w:cs="Times New Roman"/>
          <w:lang w:val="ro-MD"/>
        </w:rPr>
        <w:t xml:space="preserve"> grup reprezintă suma dintre:   </w:t>
      </w:r>
    </w:p>
    <w:p w14:paraId="1CC65CDD" w14:textId="2D04A601" w:rsidR="00F95829" w:rsidRPr="000508B6" w:rsidRDefault="00F95829" w:rsidP="00230ADD">
      <w:pPr>
        <w:numPr>
          <w:ilvl w:val="0"/>
          <w:numId w:val="2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fondurile proprii eligibile pentru SCR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w:t>
      </w:r>
    </w:p>
    <w:p w14:paraId="3DC6E7DE" w14:textId="05C7B97D" w:rsidR="00C94E21" w:rsidRPr="000508B6" w:rsidRDefault="00C94E21" w:rsidP="00230ADD">
      <w:pPr>
        <w:numPr>
          <w:ilvl w:val="0"/>
          <w:numId w:val="2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cot</w:t>
      </w:r>
      <w:r w:rsidR="007A1079" w:rsidRPr="000508B6">
        <w:rPr>
          <w:rFonts w:ascii="Times New Roman" w:hAnsi="Times New Roman" w:cs="Times New Roman"/>
          <w:lang w:val="ro-MD"/>
        </w:rPr>
        <w:t>a</w:t>
      </w:r>
      <w:r w:rsidRPr="000508B6">
        <w:rPr>
          <w:rFonts w:ascii="Times New Roman" w:hAnsi="Times New Roman" w:cs="Times New Roman"/>
          <w:lang w:val="ro-MD"/>
        </w:rPr>
        <w:t xml:space="preserve"> proporțional</w:t>
      </w:r>
      <w:r w:rsidR="007A1079" w:rsidRPr="000508B6">
        <w:rPr>
          <w:rFonts w:ascii="Times New Roman" w:hAnsi="Times New Roman" w:cs="Times New Roman"/>
          <w:lang w:val="ro-MD"/>
        </w:rPr>
        <w:t>ă</w:t>
      </w:r>
      <w:r w:rsidRPr="000508B6">
        <w:rPr>
          <w:rFonts w:ascii="Times New Roman" w:hAnsi="Times New Roman" w:cs="Times New Roman"/>
          <w:lang w:val="ro-MD"/>
        </w:rPr>
        <w:t xml:space="preserve">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r w:rsidR="00453A45" w:rsidRPr="000508B6">
        <w:rPr>
          <w:rFonts w:ascii="Times New Roman" w:hAnsi="Times New Roman" w:cs="Times New Roman"/>
          <w:lang w:val="ro-MD"/>
        </w:rPr>
        <w:t xml:space="preserve">de asigurare sau de reasigurare </w:t>
      </w:r>
      <w:r w:rsidRPr="000508B6">
        <w:rPr>
          <w:rFonts w:ascii="Times New Roman" w:hAnsi="Times New Roman" w:cs="Times New Roman"/>
          <w:lang w:val="ro-MD"/>
        </w:rPr>
        <w:t xml:space="preserve">participativ din fondurile proprii eligibile pentru SCR a </w:t>
      </w:r>
      <w:r w:rsidR="00193C12" w:rsidRPr="000508B6">
        <w:rPr>
          <w:rFonts w:ascii="Times New Roman" w:hAnsi="Times New Roman" w:cs="Times New Roman"/>
          <w:lang w:val="ro-MD"/>
        </w:rPr>
        <w:t xml:space="preserve">fiecărui asigurător sau </w:t>
      </w:r>
      <w:proofErr w:type="spellStart"/>
      <w:r w:rsidR="00193C12" w:rsidRPr="000508B6">
        <w:rPr>
          <w:rFonts w:ascii="Times New Roman" w:hAnsi="Times New Roman" w:cs="Times New Roman"/>
          <w:lang w:val="ro-MD"/>
        </w:rPr>
        <w:t>reasigurător</w:t>
      </w:r>
      <w:proofErr w:type="spellEnd"/>
      <w:r w:rsidR="00743960" w:rsidRPr="000508B6">
        <w:rPr>
          <w:rFonts w:ascii="Times New Roman" w:hAnsi="Times New Roman" w:cs="Times New Roman"/>
          <w:lang w:val="ro-MD"/>
        </w:rPr>
        <w:t xml:space="preserve"> </w:t>
      </w:r>
      <w:r w:rsidRPr="000508B6">
        <w:rPr>
          <w:rFonts w:ascii="Times New Roman" w:hAnsi="Times New Roman" w:cs="Times New Roman"/>
          <w:lang w:val="ro-MD"/>
        </w:rPr>
        <w:t>afiliat.</w:t>
      </w:r>
    </w:p>
    <w:p w14:paraId="00E54F00" w14:textId="63815FA5" w:rsidR="00F95829" w:rsidRPr="000508B6" w:rsidRDefault="00C94E21" w:rsidP="00230ADD">
      <w:pPr>
        <w:numPr>
          <w:ilvl w:val="0"/>
          <w:numId w:val="2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contribuția </w:t>
      </w:r>
      <w:r w:rsidR="006E0261" w:rsidRPr="000508B6">
        <w:rPr>
          <w:rFonts w:ascii="Times New Roman" w:hAnsi="Times New Roman" w:cs="Times New Roman"/>
          <w:lang w:val="ro-MD"/>
        </w:rPr>
        <w:t xml:space="preserve">entităților </w:t>
      </w:r>
      <w:r w:rsidRPr="000508B6">
        <w:rPr>
          <w:rFonts w:ascii="Times New Roman" w:hAnsi="Times New Roman" w:cs="Times New Roman"/>
          <w:lang w:val="ro-MD"/>
        </w:rPr>
        <w:t>afiliate menționate la art</w:t>
      </w:r>
      <w:r w:rsidR="00F2786E" w:rsidRPr="000508B6">
        <w:rPr>
          <w:rFonts w:ascii="Times New Roman" w:hAnsi="Times New Roman" w:cs="Times New Roman"/>
          <w:lang w:val="ro-MD"/>
        </w:rPr>
        <w:t>.</w:t>
      </w:r>
      <w:r w:rsidRPr="000508B6">
        <w:rPr>
          <w:rFonts w:ascii="Times New Roman" w:hAnsi="Times New Roman" w:cs="Times New Roman"/>
          <w:lang w:val="ro-MD"/>
        </w:rPr>
        <w:t xml:space="preserve"> </w:t>
      </w:r>
      <w:r w:rsidR="009E58BF"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F2786E" w:rsidRPr="000508B6">
        <w:rPr>
          <w:rFonts w:ascii="Times New Roman" w:hAnsi="Times New Roman" w:cs="Times New Roman"/>
          <w:lang w:val="ro-MD"/>
        </w:rPr>
        <w:t>.</w:t>
      </w:r>
      <w:r w:rsidRPr="000508B6">
        <w:rPr>
          <w:rFonts w:ascii="Times New Roman" w:hAnsi="Times New Roman" w:cs="Times New Roman"/>
          <w:lang w:val="ro-MD"/>
        </w:rPr>
        <w:t xml:space="preserve"> (1) la fondurile proprii eligibile ale grupului, contribuția respectivă calculându-se în conformitate cu art</w:t>
      </w:r>
      <w:r w:rsidR="00204990" w:rsidRPr="000508B6">
        <w:rPr>
          <w:rFonts w:ascii="Times New Roman" w:hAnsi="Times New Roman" w:cs="Times New Roman"/>
          <w:lang w:val="ro-MD"/>
        </w:rPr>
        <w:t>.</w:t>
      </w:r>
      <w:r w:rsidRPr="000508B6">
        <w:rPr>
          <w:rFonts w:ascii="Times New Roman" w:hAnsi="Times New Roman" w:cs="Times New Roman"/>
          <w:lang w:val="ro-MD"/>
        </w:rPr>
        <w:t xml:space="preserve"> </w:t>
      </w:r>
      <w:r w:rsidR="009E58BF" w:rsidRPr="000508B6">
        <w:rPr>
          <w:rFonts w:ascii="Times New Roman" w:hAnsi="Times New Roman" w:cs="Times New Roman"/>
          <w:lang w:val="ro-MD"/>
        </w:rPr>
        <w:t>132</w:t>
      </w:r>
      <w:r w:rsidRPr="000508B6">
        <w:rPr>
          <w:rFonts w:ascii="Times New Roman" w:hAnsi="Times New Roman" w:cs="Times New Roman"/>
          <w:lang w:val="ro-MD"/>
        </w:rPr>
        <w:t xml:space="preserve"> alin</w:t>
      </w:r>
      <w:r w:rsidR="00F2786E" w:rsidRPr="000508B6">
        <w:rPr>
          <w:rFonts w:ascii="Times New Roman" w:hAnsi="Times New Roman" w:cs="Times New Roman"/>
          <w:lang w:val="ro-MD"/>
        </w:rPr>
        <w:t>.</w:t>
      </w:r>
      <w:r w:rsidRPr="000508B6">
        <w:rPr>
          <w:rFonts w:ascii="Times New Roman" w:hAnsi="Times New Roman" w:cs="Times New Roman"/>
          <w:lang w:val="ro-MD"/>
        </w:rPr>
        <w:t xml:space="preserve"> (2)</w:t>
      </w:r>
      <w:r w:rsidR="00FF1EA5" w:rsidRPr="000508B6">
        <w:rPr>
          <w:rFonts w:ascii="Times New Roman" w:hAnsi="Times New Roman" w:cs="Times New Roman"/>
          <w:lang w:val="ro-MD"/>
        </w:rPr>
        <w:t>-(5)</w:t>
      </w:r>
      <w:r w:rsidRPr="000508B6">
        <w:rPr>
          <w:rFonts w:ascii="Times New Roman" w:hAnsi="Times New Roman" w:cs="Times New Roman"/>
          <w:lang w:val="ro-MD"/>
        </w:rPr>
        <w:t xml:space="preserve"> sau </w:t>
      </w:r>
      <w:r w:rsidR="00FF1EA5" w:rsidRPr="000508B6">
        <w:rPr>
          <w:rFonts w:ascii="Times New Roman" w:hAnsi="Times New Roman" w:cs="Times New Roman"/>
          <w:lang w:val="ro-MD"/>
        </w:rPr>
        <w:t xml:space="preserve">cu art. 132 </w:t>
      </w:r>
      <w:r w:rsidR="00E915A7" w:rsidRPr="000508B6">
        <w:rPr>
          <w:rFonts w:ascii="Times New Roman" w:hAnsi="Times New Roman" w:cs="Times New Roman"/>
          <w:lang w:val="ro-MD"/>
        </w:rPr>
        <w:t>alin.</w:t>
      </w:r>
      <w:r w:rsidR="00FF1EA5" w:rsidRPr="000508B6">
        <w:rPr>
          <w:rFonts w:ascii="Times New Roman" w:hAnsi="Times New Roman" w:cs="Times New Roman"/>
          <w:lang w:val="ro-MD"/>
        </w:rPr>
        <w:t xml:space="preserve"> </w:t>
      </w:r>
      <w:r w:rsidRPr="000508B6">
        <w:rPr>
          <w:rFonts w:ascii="Times New Roman" w:hAnsi="Times New Roman" w:cs="Times New Roman"/>
          <w:lang w:val="ro-MD"/>
        </w:rPr>
        <w:t>(</w:t>
      </w:r>
      <w:r w:rsidR="00BB6355" w:rsidRPr="000508B6">
        <w:rPr>
          <w:rFonts w:ascii="Times New Roman" w:hAnsi="Times New Roman" w:cs="Times New Roman"/>
          <w:lang w:val="ro-MD"/>
        </w:rPr>
        <w:t>13</w:t>
      </w:r>
      <w:r w:rsidRPr="000508B6">
        <w:rPr>
          <w:rFonts w:ascii="Times New Roman" w:hAnsi="Times New Roman" w:cs="Times New Roman"/>
          <w:lang w:val="ro-MD"/>
        </w:rPr>
        <w:t>)</w:t>
      </w:r>
      <w:r w:rsidR="00BB6355" w:rsidRPr="000508B6">
        <w:rPr>
          <w:rFonts w:ascii="Times New Roman" w:hAnsi="Times New Roman" w:cs="Times New Roman"/>
          <w:lang w:val="ro-MD"/>
        </w:rPr>
        <w:t>-(16)</w:t>
      </w:r>
      <w:r w:rsidRPr="000508B6">
        <w:rPr>
          <w:rFonts w:ascii="Times New Roman" w:hAnsi="Times New Roman" w:cs="Times New Roman"/>
          <w:lang w:val="ro-MD"/>
        </w:rPr>
        <w:t>.</w:t>
      </w:r>
      <w:r w:rsidR="00F95829" w:rsidRPr="000508B6">
        <w:rPr>
          <w:rFonts w:ascii="Times New Roman" w:hAnsi="Times New Roman" w:cs="Times New Roman"/>
          <w:color w:val="FF0000"/>
          <w:lang w:val="ro-MD"/>
        </w:rPr>
        <w:t xml:space="preserve">   </w:t>
      </w:r>
    </w:p>
    <w:p w14:paraId="781455C3" w14:textId="081FB142" w:rsidR="00F95829" w:rsidRPr="000508B6" w:rsidRDefault="00F95829" w:rsidP="00230ADD">
      <w:pPr>
        <w:pStyle w:val="Listparagraf"/>
        <w:numPr>
          <w:ilvl w:val="1"/>
          <w:numId w:val="22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agregată la nivel de grup este </w:t>
      </w:r>
      <w:r w:rsidR="002B02B6" w:rsidRPr="000508B6">
        <w:rPr>
          <w:rFonts w:ascii="Times New Roman" w:hAnsi="Times New Roman" w:cs="Times New Roman"/>
          <w:lang w:val="ro-MD"/>
        </w:rPr>
        <w:t>reprezentată</w:t>
      </w:r>
      <w:r w:rsidR="0097628E" w:rsidRPr="000508B6">
        <w:rPr>
          <w:rFonts w:ascii="Times New Roman" w:hAnsi="Times New Roman" w:cs="Times New Roman"/>
          <w:lang w:val="ro-MD"/>
        </w:rPr>
        <w:t xml:space="preserve"> </w:t>
      </w:r>
      <w:r w:rsidRPr="000508B6">
        <w:rPr>
          <w:rFonts w:ascii="Times New Roman" w:hAnsi="Times New Roman" w:cs="Times New Roman"/>
          <w:lang w:val="ro-MD"/>
        </w:rPr>
        <w:t xml:space="preserve">de suma dintre:   </w:t>
      </w:r>
    </w:p>
    <w:p w14:paraId="3F2B24D5" w14:textId="07354281" w:rsidR="00F95829" w:rsidRPr="000508B6" w:rsidRDefault="00F95829" w:rsidP="00230ADD">
      <w:pPr>
        <w:numPr>
          <w:ilvl w:val="0"/>
          <w:numId w:val="2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w:t>
      </w:r>
    </w:p>
    <w:p w14:paraId="344D68DD" w14:textId="53553D4C" w:rsidR="00F2786E" w:rsidRPr="000508B6" w:rsidRDefault="00F95829" w:rsidP="00230ADD">
      <w:pPr>
        <w:numPr>
          <w:ilvl w:val="0"/>
          <w:numId w:val="2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cot</w:t>
      </w:r>
      <w:r w:rsidR="0097628E" w:rsidRPr="000508B6">
        <w:rPr>
          <w:rFonts w:ascii="Times New Roman" w:hAnsi="Times New Roman" w:cs="Times New Roman"/>
          <w:lang w:val="ro-MD"/>
        </w:rPr>
        <w:t>a</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proporţional</w:t>
      </w:r>
      <w:r w:rsidR="0097628E" w:rsidRPr="000508B6">
        <w:rPr>
          <w:rFonts w:ascii="Times New Roman" w:hAnsi="Times New Roman" w:cs="Times New Roman"/>
          <w:lang w:val="ro-MD"/>
        </w:rPr>
        <w:t>ă</w:t>
      </w:r>
      <w:proofErr w:type="spellEnd"/>
      <w:r w:rsidRPr="000508B6">
        <w:rPr>
          <w:rFonts w:ascii="Times New Roman" w:hAnsi="Times New Roman" w:cs="Times New Roman"/>
          <w:lang w:val="ro-MD"/>
        </w:rPr>
        <w:t xml:space="preserve"> din SCR a </w:t>
      </w:r>
      <w:r w:rsidR="00F2786E" w:rsidRPr="000508B6">
        <w:rPr>
          <w:rFonts w:ascii="Times New Roman" w:hAnsi="Times New Roman" w:cs="Times New Roman"/>
          <w:lang w:val="ro-MD"/>
        </w:rPr>
        <w:t>fiecăr</w:t>
      </w:r>
      <w:r w:rsidR="00FF1EA5" w:rsidRPr="000508B6">
        <w:rPr>
          <w:rFonts w:ascii="Times New Roman" w:hAnsi="Times New Roman" w:cs="Times New Roman"/>
          <w:lang w:val="ro-MD"/>
        </w:rPr>
        <w:t>ui</w:t>
      </w:r>
      <w:r w:rsidR="00F2786E" w:rsidRPr="000508B6">
        <w:rPr>
          <w:rFonts w:ascii="Times New Roman" w:hAnsi="Times New Roman" w:cs="Times New Roman"/>
          <w:lang w:val="ro-MD"/>
        </w:rPr>
        <w:t xml:space="preserve"> </w:t>
      </w:r>
      <w:r w:rsidR="00FF1EA5" w:rsidRPr="000508B6">
        <w:rPr>
          <w:rFonts w:ascii="Times New Roman" w:hAnsi="Times New Roman" w:cs="Times New Roman"/>
          <w:lang w:val="ro-MD"/>
        </w:rPr>
        <w:t xml:space="preserve">asigurător sau </w:t>
      </w:r>
      <w:proofErr w:type="spellStart"/>
      <w:r w:rsidR="00FF1EA5" w:rsidRPr="000508B6">
        <w:rPr>
          <w:rFonts w:ascii="Times New Roman" w:hAnsi="Times New Roman" w:cs="Times New Roman"/>
          <w:lang w:val="ro-MD"/>
        </w:rPr>
        <w:t>reasigurător</w:t>
      </w:r>
      <w:proofErr w:type="spellEnd"/>
      <w:r w:rsidR="006E0261" w:rsidRPr="000508B6">
        <w:rPr>
          <w:rFonts w:ascii="Times New Roman" w:hAnsi="Times New Roman" w:cs="Times New Roman"/>
          <w:lang w:val="ro-MD"/>
        </w:rPr>
        <w:t xml:space="preserve"> </w:t>
      </w:r>
      <w:r w:rsidRPr="000508B6">
        <w:rPr>
          <w:rFonts w:ascii="Times New Roman" w:hAnsi="Times New Roman" w:cs="Times New Roman"/>
          <w:lang w:val="ro-MD"/>
        </w:rPr>
        <w:t>afiliat.</w:t>
      </w:r>
      <w:r w:rsidR="00912523" w:rsidRPr="000508B6">
        <w:rPr>
          <w:rFonts w:ascii="Times New Roman" w:hAnsi="Times New Roman" w:cs="Times New Roman"/>
          <w:lang w:val="ro-MD"/>
        </w:rPr>
        <w:t xml:space="preserve"> </w:t>
      </w:r>
    </w:p>
    <w:p w14:paraId="7530E2A8" w14:textId="2A218894" w:rsidR="00F95829" w:rsidRPr="000508B6" w:rsidRDefault="00F2786E" w:rsidP="00230ADD">
      <w:pPr>
        <w:numPr>
          <w:ilvl w:val="0"/>
          <w:numId w:val="2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contribuția </w:t>
      </w:r>
      <w:r w:rsidR="00AE3501" w:rsidRPr="000508B6">
        <w:rPr>
          <w:rFonts w:ascii="Times New Roman" w:hAnsi="Times New Roman" w:cs="Times New Roman"/>
          <w:lang w:val="ro-MD"/>
        </w:rPr>
        <w:t xml:space="preserve">entităților </w:t>
      </w:r>
      <w:r w:rsidRPr="000508B6">
        <w:rPr>
          <w:rFonts w:ascii="Times New Roman" w:hAnsi="Times New Roman" w:cs="Times New Roman"/>
          <w:lang w:val="ro-MD"/>
        </w:rPr>
        <w:t xml:space="preserve">afiliate menționate la art. </w:t>
      </w:r>
      <w:r w:rsidR="00407966" w:rsidRPr="000508B6">
        <w:rPr>
          <w:rFonts w:ascii="Times New Roman" w:hAnsi="Times New Roman" w:cs="Times New Roman"/>
          <w:lang w:val="ro-MD"/>
        </w:rPr>
        <w:t>132</w:t>
      </w:r>
      <w:r w:rsidRPr="000508B6">
        <w:rPr>
          <w:rFonts w:ascii="Times New Roman" w:hAnsi="Times New Roman" w:cs="Times New Roman"/>
          <w:lang w:val="ro-MD"/>
        </w:rPr>
        <w:t xml:space="preserve"> alin. (1) la SCR a grupului, contribuția respectivă calculându-se în conformitate cu art. </w:t>
      </w:r>
      <w:r w:rsidR="00407966" w:rsidRPr="000508B6">
        <w:rPr>
          <w:rFonts w:ascii="Times New Roman" w:hAnsi="Times New Roman" w:cs="Times New Roman"/>
          <w:lang w:val="ro-MD"/>
        </w:rPr>
        <w:t>132</w:t>
      </w:r>
      <w:r w:rsidRPr="000508B6">
        <w:rPr>
          <w:rFonts w:ascii="Times New Roman" w:hAnsi="Times New Roman" w:cs="Times New Roman"/>
          <w:lang w:val="ro-MD"/>
        </w:rPr>
        <w:t xml:space="preserve"> alin. (</w:t>
      </w:r>
      <w:r w:rsidR="00FF1EA5" w:rsidRPr="000508B6">
        <w:rPr>
          <w:rFonts w:ascii="Times New Roman" w:hAnsi="Times New Roman" w:cs="Times New Roman"/>
          <w:lang w:val="ro-MD"/>
        </w:rPr>
        <w:t>6</w:t>
      </w:r>
      <w:r w:rsidRPr="000508B6">
        <w:rPr>
          <w:rFonts w:ascii="Times New Roman" w:hAnsi="Times New Roman" w:cs="Times New Roman"/>
          <w:lang w:val="ro-MD"/>
        </w:rPr>
        <w:t>)</w:t>
      </w:r>
      <w:r w:rsidR="00FF1EA5" w:rsidRPr="000508B6">
        <w:rPr>
          <w:rFonts w:ascii="Times New Roman" w:hAnsi="Times New Roman" w:cs="Times New Roman"/>
          <w:lang w:val="ro-MD"/>
        </w:rPr>
        <w:t>-(12)</w:t>
      </w:r>
      <w:r w:rsidRPr="000508B6">
        <w:rPr>
          <w:rFonts w:ascii="Times New Roman" w:hAnsi="Times New Roman" w:cs="Times New Roman"/>
          <w:lang w:val="ro-MD"/>
        </w:rPr>
        <w:t xml:space="preserve"> sau </w:t>
      </w:r>
      <w:r w:rsidR="00E915A7" w:rsidRPr="000508B6">
        <w:rPr>
          <w:rFonts w:ascii="Times New Roman" w:hAnsi="Times New Roman" w:cs="Times New Roman"/>
          <w:lang w:val="ro-MD"/>
        </w:rPr>
        <w:t xml:space="preserve">cu </w:t>
      </w:r>
      <w:r w:rsidR="00FF1EA5" w:rsidRPr="000508B6">
        <w:rPr>
          <w:rFonts w:ascii="Times New Roman" w:hAnsi="Times New Roman" w:cs="Times New Roman"/>
          <w:lang w:val="ro-MD"/>
        </w:rPr>
        <w:t xml:space="preserve">art. 132 </w:t>
      </w:r>
      <w:r w:rsidR="00E915A7" w:rsidRPr="000508B6">
        <w:rPr>
          <w:rFonts w:ascii="Times New Roman" w:hAnsi="Times New Roman" w:cs="Times New Roman"/>
          <w:lang w:val="ro-MD"/>
        </w:rPr>
        <w:t xml:space="preserve">alin. </w:t>
      </w:r>
      <w:r w:rsidRPr="000508B6">
        <w:rPr>
          <w:rFonts w:ascii="Times New Roman" w:hAnsi="Times New Roman" w:cs="Times New Roman"/>
          <w:lang w:val="ro-MD"/>
        </w:rPr>
        <w:t>(</w:t>
      </w:r>
      <w:r w:rsidR="00FF1EA5" w:rsidRPr="000508B6">
        <w:rPr>
          <w:rFonts w:ascii="Times New Roman" w:hAnsi="Times New Roman" w:cs="Times New Roman"/>
          <w:lang w:val="ro-MD"/>
        </w:rPr>
        <w:t>13</w:t>
      </w:r>
      <w:r w:rsidRPr="000508B6">
        <w:rPr>
          <w:rFonts w:ascii="Times New Roman" w:hAnsi="Times New Roman" w:cs="Times New Roman"/>
          <w:lang w:val="ro-MD"/>
        </w:rPr>
        <w:t>)</w:t>
      </w:r>
      <w:r w:rsidR="00FF1EA5" w:rsidRPr="000508B6">
        <w:rPr>
          <w:rFonts w:ascii="Times New Roman" w:hAnsi="Times New Roman" w:cs="Times New Roman"/>
          <w:lang w:val="ro-MD"/>
        </w:rPr>
        <w:t>-(16)</w:t>
      </w:r>
      <w:r w:rsidRPr="000508B6">
        <w:rPr>
          <w:rFonts w:ascii="Times New Roman" w:hAnsi="Times New Roman" w:cs="Times New Roman"/>
          <w:lang w:val="ro-MD"/>
        </w:rPr>
        <w:t xml:space="preserve">. </w:t>
      </w:r>
    </w:p>
    <w:p w14:paraId="6F743AB8" w14:textId="5BB782CB" w:rsidR="00F95829" w:rsidRPr="000508B6" w:rsidRDefault="00F95829" w:rsidP="00230ADD">
      <w:pPr>
        <w:pStyle w:val="Listparagraf"/>
        <w:numPr>
          <w:ilvl w:val="1"/>
          <w:numId w:val="22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proofErr w:type="spellStart"/>
      <w:r w:rsidRPr="000508B6">
        <w:rPr>
          <w:rFonts w:ascii="Times New Roman" w:hAnsi="Times New Roman" w:cs="Times New Roman"/>
          <w:lang w:val="ro-MD"/>
        </w:rPr>
        <w:t>participaţia</w:t>
      </w:r>
      <w:proofErr w:type="spellEnd"/>
      <w:r w:rsidRPr="000508B6">
        <w:rPr>
          <w:rFonts w:ascii="Times New Roman" w:hAnsi="Times New Roman" w:cs="Times New Roman"/>
          <w:lang w:val="ro-MD"/>
        </w:rPr>
        <w:t xml:space="preserve"> în </w:t>
      </w:r>
      <w:r w:rsidR="00D10602" w:rsidRPr="000508B6">
        <w:rPr>
          <w:rFonts w:ascii="Times New Roman" w:hAnsi="Times New Roman" w:cs="Times New Roman"/>
          <w:lang w:val="ro-MD"/>
        </w:rPr>
        <w:t xml:space="preserve">asigurătorii sau </w:t>
      </w:r>
      <w:proofErr w:type="spellStart"/>
      <w:r w:rsidR="00D10602" w:rsidRPr="000508B6">
        <w:rPr>
          <w:rFonts w:ascii="Times New Roman" w:hAnsi="Times New Roman" w:cs="Times New Roman"/>
          <w:lang w:val="ro-MD"/>
        </w:rPr>
        <w:t>reasigurătorii</w:t>
      </w:r>
      <w:proofErr w:type="spellEnd"/>
      <w:r w:rsidR="00453A45" w:rsidRPr="000508B6">
        <w:rPr>
          <w:rFonts w:ascii="Times New Roman" w:hAnsi="Times New Roman" w:cs="Times New Roman"/>
          <w:lang w:val="ro-MD"/>
        </w:rPr>
        <w:t xml:space="preserve"> </w:t>
      </w:r>
      <w:r w:rsidRPr="000508B6">
        <w:rPr>
          <w:rFonts w:ascii="Times New Roman" w:hAnsi="Times New Roman" w:cs="Times New Roman"/>
          <w:lang w:val="ro-MD"/>
        </w:rPr>
        <w:t>afilia</w:t>
      </w:r>
      <w:r w:rsidR="00BC7A1B" w:rsidRPr="000508B6">
        <w:rPr>
          <w:rFonts w:ascii="Times New Roman" w:hAnsi="Times New Roman" w:cs="Times New Roman"/>
          <w:lang w:val="ro-MD"/>
        </w:rPr>
        <w:t>ți</w:t>
      </w:r>
      <w:r w:rsidRPr="000508B6">
        <w:rPr>
          <w:rFonts w:ascii="Times New Roman" w:hAnsi="Times New Roman" w:cs="Times New Roman"/>
          <w:lang w:val="ro-MD"/>
        </w:rPr>
        <w:t xml:space="preserve"> constă într-o </w:t>
      </w:r>
      <w:proofErr w:type="spellStart"/>
      <w:r w:rsidRPr="000508B6">
        <w:rPr>
          <w:rFonts w:ascii="Times New Roman" w:hAnsi="Times New Roman" w:cs="Times New Roman"/>
          <w:lang w:val="ro-MD"/>
        </w:rPr>
        <w:t>deţinere</w:t>
      </w:r>
      <w:proofErr w:type="spellEnd"/>
      <w:r w:rsidRPr="000508B6">
        <w:rPr>
          <w:rFonts w:ascii="Times New Roman" w:hAnsi="Times New Roman" w:cs="Times New Roman"/>
          <w:lang w:val="ro-MD"/>
        </w:rPr>
        <w:t xml:space="preserve"> indirectă, integrală sau </w:t>
      </w:r>
      <w:proofErr w:type="spellStart"/>
      <w:r w:rsidRPr="000508B6">
        <w:rPr>
          <w:rFonts w:ascii="Times New Roman" w:hAnsi="Times New Roman" w:cs="Times New Roman"/>
          <w:lang w:val="ro-MD"/>
        </w:rPr>
        <w:t>parţială</w:t>
      </w:r>
      <w:proofErr w:type="spellEnd"/>
      <w:r w:rsidRPr="000508B6">
        <w:rPr>
          <w:rFonts w:ascii="Times New Roman" w:hAnsi="Times New Roman" w:cs="Times New Roman"/>
          <w:lang w:val="ro-MD"/>
        </w:rPr>
        <w:t xml:space="preserve">, </w:t>
      </w:r>
      <w:r w:rsidR="00AE3501" w:rsidRPr="000508B6">
        <w:rPr>
          <w:rFonts w:ascii="Times New Roman" w:hAnsi="Times New Roman" w:cs="Times New Roman"/>
          <w:lang w:val="ro-MD"/>
        </w:rPr>
        <w:t xml:space="preserve">atunci </w:t>
      </w:r>
      <w:r w:rsidRPr="000508B6">
        <w:rPr>
          <w:rFonts w:ascii="Times New Roman" w:hAnsi="Times New Roman" w:cs="Times New Roman"/>
          <w:lang w:val="ro-MD"/>
        </w:rPr>
        <w:t xml:space="preserve">valoarea </w:t>
      </w:r>
      <w:proofErr w:type="spellStart"/>
      <w:r w:rsidRPr="000508B6">
        <w:rPr>
          <w:rFonts w:ascii="Times New Roman" w:hAnsi="Times New Roman" w:cs="Times New Roman"/>
          <w:lang w:val="ro-MD"/>
        </w:rPr>
        <w:t>participaţiei</w:t>
      </w:r>
      <w:proofErr w:type="spellEnd"/>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AE3501" w:rsidRPr="000508B6">
        <w:rPr>
          <w:rFonts w:ascii="Times New Roman" w:hAnsi="Times New Roman" w:cs="Times New Roman"/>
          <w:lang w:val="ro-MD"/>
        </w:rPr>
        <w:t xml:space="preserve"> participativ în </w:t>
      </w:r>
      <w:r w:rsidR="00BC7A1B" w:rsidRPr="000508B6">
        <w:rPr>
          <w:rFonts w:ascii="Times New Roman" w:hAnsi="Times New Roman" w:cs="Times New Roman"/>
          <w:lang w:val="ro-MD"/>
        </w:rPr>
        <w:t xml:space="preserve">asigurătorii sau </w:t>
      </w:r>
      <w:proofErr w:type="spellStart"/>
      <w:r w:rsidR="00BC7A1B" w:rsidRPr="000508B6">
        <w:rPr>
          <w:rFonts w:ascii="Times New Roman" w:hAnsi="Times New Roman" w:cs="Times New Roman"/>
          <w:lang w:val="ro-MD"/>
        </w:rPr>
        <w:t>reasigurătorii</w:t>
      </w:r>
      <w:proofErr w:type="spellEnd"/>
      <w:r w:rsidR="00AE3501" w:rsidRPr="000508B6">
        <w:rPr>
          <w:rFonts w:ascii="Times New Roman" w:hAnsi="Times New Roman" w:cs="Times New Roman"/>
          <w:lang w:val="ro-MD"/>
        </w:rPr>
        <w:t xml:space="preserve"> afilia</w:t>
      </w:r>
      <w:r w:rsidR="00BC7A1B" w:rsidRPr="000508B6">
        <w:rPr>
          <w:rFonts w:ascii="Times New Roman" w:hAnsi="Times New Roman" w:cs="Times New Roman"/>
          <w:lang w:val="ro-MD"/>
        </w:rPr>
        <w:t>ți</w:t>
      </w:r>
      <w:r w:rsidR="00AE3501" w:rsidRPr="000508B6">
        <w:rPr>
          <w:rFonts w:ascii="Times New Roman" w:hAnsi="Times New Roman" w:cs="Times New Roman"/>
          <w:lang w:val="ro-MD"/>
        </w:rPr>
        <w:t xml:space="preserve"> </w:t>
      </w:r>
      <w:r w:rsidRPr="000508B6">
        <w:rPr>
          <w:rFonts w:ascii="Times New Roman" w:hAnsi="Times New Roman" w:cs="Times New Roman"/>
          <w:lang w:val="ro-MD"/>
        </w:rPr>
        <w:t xml:space="preserve">include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valoarea </w:t>
      </w:r>
      <w:proofErr w:type="spellStart"/>
      <w:r w:rsidRPr="000508B6">
        <w:rPr>
          <w:rFonts w:ascii="Times New Roman" w:hAnsi="Times New Roman" w:cs="Times New Roman"/>
          <w:lang w:val="ro-MD"/>
        </w:rPr>
        <w:t>deţinerii</w:t>
      </w:r>
      <w:proofErr w:type="spellEnd"/>
      <w:r w:rsidRPr="000508B6">
        <w:rPr>
          <w:rFonts w:ascii="Times New Roman" w:hAnsi="Times New Roman" w:cs="Times New Roman"/>
          <w:lang w:val="ro-MD"/>
        </w:rPr>
        <w:t xml:space="preserve"> indirecte,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interesele succesive relevante, </w:t>
      </w:r>
      <w:r w:rsidR="00AE3501" w:rsidRPr="000508B6">
        <w:rPr>
          <w:rFonts w:ascii="Times New Roman" w:hAnsi="Times New Roman" w:cs="Times New Roman"/>
          <w:lang w:val="ro-MD"/>
        </w:rPr>
        <w:t xml:space="preserve">iar </w:t>
      </w:r>
      <w:r w:rsidR="00CB2414" w:rsidRPr="000508B6">
        <w:rPr>
          <w:rFonts w:ascii="Times New Roman" w:hAnsi="Times New Roman" w:cs="Times New Roman"/>
          <w:lang w:val="ro-MD"/>
        </w:rPr>
        <w:t xml:space="preserve">cotele proporționale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alin. (3) lit. b) </w:t>
      </w:r>
      <w:r w:rsidR="00CB2414" w:rsidRPr="000508B6">
        <w:rPr>
          <w:rFonts w:ascii="Times New Roman" w:hAnsi="Times New Roman" w:cs="Times New Roman"/>
          <w:lang w:val="ro-MD"/>
        </w:rPr>
        <w:t xml:space="preserve">modificându-se în consecință. </w:t>
      </w:r>
    </w:p>
    <w:p w14:paraId="58FD9011" w14:textId="0313369D" w:rsidR="00F95829" w:rsidRPr="000508B6" w:rsidRDefault="00F95829" w:rsidP="00230ADD">
      <w:pPr>
        <w:pStyle w:val="Listparagraf"/>
        <w:numPr>
          <w:ilvl w:val="1"/>
          <w:numId w:val="22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a determina </w:t>
      </w:r>
      <w:r w:rsidR="00FA6BEB" w:rsidRPr="000508B6">
        <w:rPr>
          <w:rFonts w:ascii="Times New Roman" w:hAnsi="Times New Roman" w:cs="Times New Roman"/>
          <w:lang w:val="ro-MD"/>
        </w:rPr>
        <w:t xml:space="preserve">dacă </w:t>
      </w:r>
      <w:r w:rsidRPr="000508B6">
        <w:rPr>
          <w:rFonts w:ascii="Times New Roman" w:hAnsi="Times New Roman" w:cs="Times New Roman"/>
          <w:lang w:val="ro-MD"/>
        </w:rPr>
        <w:t xml:space="preserve">SCR agregate la nivel de grup </w:t>
      </w:r>
      <w:r w:rsidR="00FA6BEB" w:rsidRPr="000508B6">
        <w:rPr>
          <w:rFonts w:ascii="Times New Roman" w:hAnsi="Times New Roman" w:cs="Times New Roman"/>
          <w:lang w:val="ro-MD"/>
        </w:rPr>
        <w:t>calculată astfel cum se stabilește la alin. (3), reflectă în mod corespunzător</w:t>
      </w:r>
      <w:r w:rsidRPr="000508B6">
        <w:rPr>
          <w:rFonts w:ascii="Times New Roman" w:hAnsi="Times New Roman" w:cs="Times New Roman"/>
          <w:lang w:val="ro-MD"/>
        </w:rPr>
        <w:t xml:space="preserve"> profilul de risc la nivel de grup, </w:t>
      </w:r>
      <w:r w:rsidR="0071476D"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supraveghetori </w:t>
      </w:r>
      <w:r w:rsidR="00FA6BEB" w:rsidRPr="000508B6">
        <w:rPr>
          <w:rFonts w:ascii="Times New Roman" w:hAnsi="Times New Roman" w:cs="Times New Roman"/>
          <w:lang w:val="ro-MD"/>
        </w:rPr>
        <w:t xml:space="preserve">implicați </w:t>
      </w:r>
      <w:r w:rsidRPr="000508B6">
        <w:rPr>
          <w:rFonts w:ascii="Times New Roman" w:hAnsi="Times New Roman" w:cs="Times New Roman"/>
          <w:lang w:val="ro-MD"/>
        </w:rPr>
        <w:t xml:space="preserve">iau în considerare toate riscurile specifice existente la nivel de grup care ar putea fi insuficient acoperite deoarece sunt dificil de cuantificat, iar în cazul constatării unei devieri semnificative a profilului de risc la nivel de grup de la ipotezele care stau la baza SCR agregate la nivel de grup, pot impune o majorare </w:t>
      </w:r>
      <w:r w:rsidR="00240EB4" w:rsidRPr="000508B6">
        <w:rPr>
          <w:rFonts w:ascii="Times New Roman" w:hAnsi="Times New Roman" w:cs="Times New Roman"/>
          <w:lang w:val="ro-MD"/>
        </w:rPr>
        <w:t>a SCR</w:t>
      </w:r>
      <w:r w:rsidRPr="000508B6">
        <w:rPr>
          <w:rFonts w:ascii="Times New Roman" w:hAnsi="Times New Roman" w:cs="Times New Roman"/>
          <w:lang w:val="ro-MD"/>
        </w:rPr>
        <w:t xml:space="preserve"> în conformitate cu art. </w:t>
      </w:r>
      <w:r w:rsidR="000C68FD" w:rsidRPr="000508B6">
        <w:rPr>
          <w:rFonts w:ascii="Times New Roman" w:hAnsi="Times New Roman" w:cs="Times New Roman"/>
          <w:lang w:val="ro-MD"/>
        </w:rPr>
        <w:t>18</w:t>
      </w:r>
      <w:r w:rsidR="00D10F3D" w:rsidRPr="000508B6">
        <w:rPr>
          <w:rFonts w:ascii="Times New Roman" w:hAnsi="Times New Roman" w:cs="Times New Roman"/>
          <w:lang w:val="ro-MD"/>
        </w:rPr>
        <w:t>3</w:t>
      </w:r>
      <w:r w:rsidRPr="000508B6">
        <w:rPr>
          <w:rFonts w:ascii="Times New Roman" w:hAnsi="Times New Roman" w:cs="Times New Roman"/>
          <w:lang w:val="ro-MD"/>
        </w:rPr>
        <w:t>.</w:t>
      </w:r>
      <w:r w:rsidR="0061503A" w:rsidRPr="000508B6">
        <w:rPr>
          <w:rFonts w:ascii="Times New Roman" w:hAnsi="Times New Roman" w:cs="Times New Roman"/>
          <w:lang w:val="ro-MD"/>
        </w:rPr>
        <w:t xml:space="preserve"> </w:t>
      </w:r>
    </w:p>
    <w:p w14:paraId="128CB352" w14:textId="77777777" w:rsidR="00F95829" w:rsidRPr="000508B6" w:rsidRDefault="00F95829" w:rsidP="008B530F">
      <w:pPr>
        <w:tabs>
          <w:tab w:val="left" w:pos="993"/>
        </w:tabs>
        <w:spacing w:after="0" w:line="240" w:lineRule="auto"/>
        <w:ind w:firstLine="426"/>
        <w:jc w:val="both"/>
        <w:rPr>
          <w:rFonts w:ascii="Times New Roman" w:hAnsi="Times New Roman" w:cs="Times New Roman"/>
          <w:b/>
          <w:lang w:val="ro-MD"/>
        </w:rPr>
      </w:pPr>
    </w:p>
    <w:p w14:paraId="0FA66392" w14:textId="7040DAB5" w:rsidR="007955C6" w:rsidRPr="000508B6" w:rsidRDefault="007955C6" w:rsidP="007955C6">
      <w:pPr>
        <w:tabs>
          <w:tab w:val="left" w:pos="993"/>
        </w:tabs>
        <w:spacing w:after="0" w:line="240" w:lineRule="auto"/>
        <w:ind w:firstLine="426"/>
        <w:jc w:val="both"/>
        <w:rPr>
          <w:rFonts w:ascii="Times New Roman" w:hAnsi="Times New Roman" w:cs="Times New Roman"/>
          <w:b/>
          <w:bCs/>
          <w:lang w:val="ro-MD"/>
        </w:rPr>
      </w:pPr>
      <w:r w:rsidRPr="000508B6">
        <w:rPr>
          <w:rFonts w:ascii="Times New Roman" w:hAnsi="Times New Roman" w:cs="Times New Roman"/>
          <w:b/>
          <w:bCs/>
          <w:lang w:val="ro-MD"/>
        </w:rPr>
        <w:t xml:space="preserve">Articolul 137 </w:t>
      </w:r>
      <w:r w:rsidRPr="000508B6">
        <w:rPr>
          <w:rFonts w:ascii="Times New Roman" w:hAnsi="Times New Roman" w:cs="Times New Roman"/>
          <w:lang w:val="ro-MD"/>
        </w:rPr>
        <w:t>Combinarea metodelor de calcul 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1 și 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2</w:t>
      </w:r>
      <w:r w:rsidRPr="000508B6">
        <w:rPr>
          <w:rFonts w:ascii="Times New Roman" w:hAnsi="Times New Roman" w:cs="Times New Roman"/>
          <w:b/>
          <w:bCs/>
          <w:lang w:val="ro-MD"/>
        </w:rPr>
        <w:t xml:space="preserve"> </w:t>
      </w:r>
    </w:p>
    <w:p w14:paraId="7D469122" w14:textId="2177EB36" w:rsidR="007955C6" w:rsidRPr="000508B6" w:rsidRDefault="007955C6" w:rsidP="00F001EE">
      <w:pPr>
        <w:pStyle w:val="Listparagraf"/>
        <w:numPr>
          <w:ilvl w:val="1"/>
          <w:numId w:val="31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Solvabilitatea la nivel de grup a </w:t>
      </w:r>
      <w:r w:rsidR="009D0EB8" w:rsidRPr="000508B6">
        <w:rPr>
          <w:rFonts w:ascii="Times New Roman" w:hAnsi="Times New Roman" w:cs="Times New Roman"/>
          <w:lang w:val="ro-MD"/>
        </w:rPr>
        <w:t xml:space="preserve">unui asigurător sau </w:t>
      </w:r>
      <w:proofErr w:type="spellStart"/>
      <w:r w:rsidR="009D0EB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participativ</w:t>
      </w:r>
      <w:r w:rsidR="009D0EB8" w:rsidRPr="000508B6">
        <w:rPr>
          <w:rFonts w:ascii="Times New Roman" w:hAnsi="Times New Roman" w:cs="Times New Roman"/>
          <w:lang w:val="ro-MD"/>
        </w:rPr>
        <w:t>,</w:t>
      </w:r>
      <w:r w:rsidRPr="000508B6">
        <w:rPr>
          <w:rFonts w:ascii="Times New Roman" w:hAnsi="Times New Roman" w:cs="Times New Roman"/>
          <w:lang w:val="ro-MD"/>
        </w:rPr>
        <w:t xml:space="preserve"> este reprezentată de diferența dintre:</w:t>
      </w:r>
    </w:p>
    <w:p w14:paraId="173AAEEE" w14:textId="77777777" w:rsidR="007955C6" w:rsidRPr="000508B6" w:rsidRDefault="007955C6" w:rsidP="007955C6">
      <w:pPr>
        <w:pStyle w:val="Listparagraf"/>
        <w:numPr>
          <w:ilvl w:val="0"/>
          <w:numId w:val="347"/>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suma următoarelor elemente:</w:t>
      </w:r>
    </w:p>
    <w:p w14:paraId="41559164" w14:textId="3B5AEFA9" w:rsidR="007955C6" w:rsidRPr="000508B6" w:rsidRDefault="007955C6" w:rsidP="007955C6">
      <w:pPr>
        <w:pStyle w:val="Listparagraf"/>
        <w:numPr>
          <w:ilvl w:val="3"/>
          <w:numId w:val="34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BB6355" w:rsidRPr="000508B6">
        <w:rPr>
          <w:rFonts w:ascii="Times New Roman" w:hAnsi="Times New Roman" w:cs="Times New Roman"/>
          <w:lang w:val="ro-MD"/>
        </w:rPr>
        <w:t xml:space="preserve">entitățile </w:t>
      </w:r>
      <w:r w:rsidRPr="000508B6">
        <w:rPr>
          <w:rFonts w:ascii="Times New Roman" w:hAnsi="Times New Roman" w:cs="Times New Roman"/>
          <w:lang w:val="ro-MD"/>
        </w:rPr>
        <w:t>cărora li se aplică metoda de calcul 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1, fondurile proprii eligibile pentru acoperirea SCR consolidată;</w:t>
      </w:r>
    </w:p>
    <w:p w14:paraId="0AB77443" w14:textId="4954515F" w:rsidR="007955C6" w:rsidRPr="000508B6" w:rsidRDefault="007955C6" w:rsidP="007955C6">
      <w:pPr>
        <w:pStyle w:val="Listparagraf"/>
        <w:numPr>
          <w:ilvl w:val="3"/>
          <w:numId w:val="34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BB6355" w:rsidRPr="000508B6">
        <w:rPr>
          <w:rFonts w:ascii="Times New Roman" w:hAnsi="Times New Roman" w:cs="Times New Roman"/>
          <w:lang w:val="ro-MD"/>
        </w:rPr>
        <w:t xml:space="preserve">asigurător sau </w:t>
      </w:r>
      <w:proofErr w:type="spellStart"/>
      <w:r w:rsidR="00BB6355" w:rsidRPr="000508B6">
        <w:rPr>
          <w:rFonts w:ascii="Times New Roman" w:hAnsi="Times New Roman" w:cs="Times New Roman"/>
          <w:lang w:val="ro-MD"/>
        </w:rPr>
        <w:t>reasigurător</w:t>
      </w:r>
      <w:proofErr w:type="spellEnd"/>
      <w:r w:rsidR="00BB6355"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w:t>
      </w:r>
      <w:r w:rsidR="009D0EB8" w:rsidRPr="000508B6">
        <w:rPr>
          <w:rFonts w:ascii="Times New Roman" w:hAnsi="Times New Roman" w:cs="Times New Roman"/>
          <w:lang w:val="ro-MD"/>
        </w:rPr>
        <w:t xml:space="preserve">căruia </w:t>
      </w:r>
      <w:r w:rsidRPr="000508B6">
        <w:rPr>
          <w:rFonts w:ascii="Times New Roman" w:hAnsi="Times New Roman" w:cs="Times New Roman"/>
          <w:lang w:val="ro-MD"/>
        </w:rPr>
        <w:t xml:space="preserve">i se aplică metoda </w:t>
      </w:r>
      <w:bookmarkStart w:id="143" w:name="_Hlk221542518"/>
      <w:r w:rsidRPr="000508B6">
        <w:rPr>
          <w:rFonts w:ascii="Times New Roman" w:hAnsi="Times New Roman" w:cs="Times New Roman"/>
          <w:lang w:val="ro-MD"/>
        </w:rPr>
        <w:t xml:space="preserve">de calcul </w:t>
      </w:r>
      <w:bookmarkEnd w:id="143"/>
      <w:r w:rsidRPr="000508B6">
        <w:rPr>
          <w:rFonts w:ascii="Times New Roman" w:hAnsi="Times New Roman" w:cs="Times New Roman"/>
          <w:lang w:val="ro-MD"/>
        </w:rPr>
        <w:t>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2, cota proporțională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din fondurile proprii eligibile pentru SCR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afiliat;</w:t>
      </w:r>
    </w:p>
    <w:p w14:paraId="3AF3D408" w14:textId="3CCB44C3" w:rsidR="007955C6" w:rsidRPr="000508B6" w:rsidRDefault="007955C6" w:rsidP="007955C6">
      <w:pPr>
        <w:pStyle w:val="Listparagraf"/>
        <w:numPr>
          <w:ilvl w:val="3"/>
          <w:numId w:val="348"/>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contribuția entităților afiliate menționate la art. 132 alin. (1), calculată în conformitate cu art. </w:t>
      </w:r>
      <w:r w:rsidR="00B866E4" w:rsidRPr="000508B6">
        <w:rPr>
          <w:rFonts w:ascii="Times New Roman" w:hAnsi="Times New Roman" w:cs="Times New Roman"/>
          <w:lang w:val="ro-MD"/>
        </w:rPr>
        <w:t>132 alin.</w:t>
      </w:r>
      <w:r w:rsidR="00801C09" w:rsidRPr="000508B6">
        <w:rPr>
          <w:rFonts w:ascii="Times New Roman" w:hAnsi="Times New Roman" w:cs="Times New Roman"/>
          <w:lang w:val="ro-MD"/>
        </w:rPr>
        <w:t xml:space="preserve"> </w:t>
      </w:r>
      <w:r w:rsidR="00BB6355" w:rsidRPr="000508B6">
        <w:rPr>
          <w:rFonts w:ascii="Times New Roman" w:hAnsi="Times New Roman" w:cs="Times New Roman"/>
          <w:lang w:val="ro-MD"/>
        </w:rPr>
        <w:t xml:space="preserve">(2)-(5) sau cu art. 132 </w:t>
      </w:r>
      <w:r w:rsidR="00B866E4" w:rsidRPr="000508B6">
        <w:rPr>
          <w:rFonts w:ascii="Times New Roman" w:hAnsi="Times New Roman" w:cs="Times New Roman"/>
          <w:lang w:val="ro-MD"/>
        </w:rPr>
        <w:t>alin.</w:t>
      </w:r>
      <w:r w:rsidR="00801C09" w:rsidRPr="000508B6">
        <w:rPr>
          <w:rFonts w:ascii="Times New Roman" w:hAnsi="Times New Roman" w:cs="Times New Roman"/>
          <w:lang w:val="ro-MD"/>
        </w:rPr>
        <w:t xml:space="preserve"> </w:t>
      </w:r>
      <w:r w:rsidR="00BB6355" w:rsidRPr="000508B6">
        <w:rPr>
          <w:rFonts w:ascii="Times New Roman" w:hAnsi="Times New Roman" w:cs="Times New Roman"/>
          <w:lang w:val="ro-MD"/>
        </w:rPr>
        <w:t xml:space="preserve">(13)-(16). </w:t>
      </w:r>
      <w:r w:rsidRPr="000508B6">
        <w:rPr>
          <w:rFonts w:ascii="Times New Roman" w:hAnsi="Times New Roman" w:cs="Times New Roman"/>
          <w:lang w:val="ro-MD"/>
        </w:rPr>
        <w:t>și</w:t>
      </w:r>
    </w:p>
    <w:p w14:paraId="3719F865" w14:textId="77777777" w:rsidR="007955C6" w:rsidRPr="000508B6" w:rsidRDefault="007955C6" w:rsidP="00801C09">
      <w:pPr>
        <w:pStyle w:val="Listparagraf"/>
        <w:numPr>
          <w:ilvl w:val="0"/>
          <w:numId w:val="34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suma următoarelor elemente:</w:t>
      </w:r>
    </w:p>
    <w:p w14:paraId="7A5B0B16" w14:textId="4E2414FE" w:rsidR="007955C6" w:rsidRPr="000508B6" w:rsidRDefault="007955C6" w:rsidP="00230ADD">
      <w:pPr>
        <w:pStyle w:val="Listparagraf"/>
        <w:numPr>
          <w:ilvl w:val="3"/>
          <w:numId w:val="34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B866E4" w:rsidRPr="000508B6">
        <w:rPr>
          <w:rFonts w:ascii="Times New Roman" w:hAnsi="Times New Roman" w:cs="Times New Roman"/>
          <w:lang w:val="ro-MD"/>
        </w:rPr>
        <w:t xml:space="preserve">asigurătorii sau </w:t>
      </w:r>
      <w:proofErr w:type="spellStart"/>
      <w:r w:rsidR="00B866E4" w:rsidRPr="000508B6">
        <w:rPr>
          <w:rFonts w:ascii="Times New Roman" w:hAnsi="Times New Roman" w:cs="Times New Roman"/>
          <w:lang w:val="ro-MD"/>
        </w:rPr>
        <w:t>reasigurătorii</w:t>
      </w:r>
      <w:proofErr w:type="spellEnd"/>
      <w:r w:rsidR="00B866E4" w:rsidRPr="000508B6">
        <w:rPr>
          <w:rFonts w:ascii="Times New Roman" w:hAnsi="Times New Roman" w:cs="Times New Roman"/>
          <w:lang w:val="ro-MD"/>
        </w:rPr>
        <w:t xml:space="preserve"> </w:t>
      </w:r>
      <w:r w:rsidRPr="000508B6">
        <w:rPr>
          <w:rFonts w:ascii="Times New Roman" w:hAnsi="Times New Roman" w:cs="Times New Roman"/>
          <w:lang w:val="ro-MD"/>
        </w:rPr>
        <w:t xml:space="preserve">cărora li se aplică metoda </w:t>
      </w:r>
      <w:r w:rsidR="00230ADD" w:rsidRPr="000508B6">
        <w:rPr>
          <w:rFonts w:ascii="Times New Roman" w:hAnsi="Times New Roman" w:cs="Times New Roman"/>
          <w:lang w:val="ro-MD"/>
        </w:rPr>
        <w:t>de calcul</w:t>
      </w:r>
      <w:r w:rsidRPr="000508B6">
        <w:rPr>
          <w:rFonts w:ascii="Times New Roman" w:hAnsi="Times New Roman" w:cs="Times New Roman"/>
          <w:lang w:val="ro-MD"/>
        </w:rPr>
        <w:t xml:space="preserve"> </w:t>
      </w:r>
      <w:r w:rsidR="00801C09" w:rsidRPr="000508B6">
        <w:rPr>
          <w:rFonts w:ascii="Times New Roman" w:hAnsi="Times New Roman" w:cs="Times New Roman"/>
          <w:lang w:val="ro-MD"/>
        </w:rPr>
        <w:t xml:space="preserve">nr. </w:t>
      </w:r>
      <w:r w:rsidRPr="000508B6">
        <w:rPr>
          <w:rFonts w:ascii="Times New Roman" w:hAnsi="Times New Roman" w:cs="Times New Roman"/>
          <w:lang w:val="ro-MD"/>
        </w:rPr>
        <w:t xml:space="preserve">1, SCR consolidată, calculată în conformitate cu art. </w:t>
      </w:r>
      <w:r w:rsidR="004E6DB0" w:rsidRPr="000508B6">
        <w:rPr>
          <w:rFonts w:ascii="Times New Roman" w:hAnsi="Times New Roman" w:cs="Times New Roman"/>
          <w:lang w:val="ro-MD"/>
        </w:rPr>
        <w:t xml:space="preserve">134 </w:t>
      </w:r>
      <w:r w:rsidRPr="000508B6">
        <w:rPr>
          <w:rFonts w:ascii="Times New Roman" w:hAnsi="Times New Roman" w:cs="Times New Roman"/>
          <w:lang w:val="ro-MD"/>
        </w:rPr>
        <w:t>alin. (2) pe baza datelor consolidate;</w:t>
      </w:r>
    </w:p>
    <w:p w14:paraId="11C54760" w14:textId="502983E3" w:rsidR="007955C6" w:rsidRPr="000508B6" w:rsidRDefault="007955C6" w:rsidP="00230ADD">
      <w:pPr>
        <w:pStyle w:val="Listparagraf"/>
        <w:numPr>
          <w:ilvl w:val="3"/>
          <w:numId w:val="34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fiecare </w:t>
      </w:r>
      <w:r w:rsidR="009D0EB8" w:rsidRPr="000508B6">
        <w:rPr>
          <w:rFonts w:ascii="Times New Roman" w:hAnsi="Times New Roman" w:cs="Times New Roman"/>
          <w:lang w:val="ro-MD"/>
        </w:rPr>
        <w:t xml:space="preserve">asigurător sau </w:t>
      </w:r>
      <w:proofErr w:type="spellStart"/>
      <w:r w:rsidR="009D0EB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afiliat</w:t>
      </w:r>
      <w:r w:rsidR="009D0EB8" w:rsidRPr="000508B6">
        <w:rPr>
          <w:rFonts w:ascii="Times New Roman" w:hAnsi="Times New Roman" w:cs="Times New Roman"/>
          <w:lang w:val="ro-MD"/>
        </w:rPr>
        <w:t>,</w:t>
      </w:r>
      <w:r w:rsidRPr="000508B6">
        <w:rPr>
          <w:rFonts w:ascii="Times New Roman" w:hAnsi="Times New Roman" w:cs="Times New Roman"/>
          <w:lang w:val="ro-MD"/>
        </w:rPr>
        <w:t xml:space="preserve"> căreia i se aplică metoda de calcul 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2, cota proporțională din SCR proprie;</w:t>
      </w:r>
    </w:p>
    <w:p w14:paraId="584FF56E" w14:textId="56936970" w:rsidR="007955C6" w:rsidRPr="000508B6" w:rsidRDefault="007955C6" w:rsidP="00230ADD">
      <w:pPr>
        <w:pStyle w:val="Listparagraf"/>
        <w:numPr>
          <w:ilvl w:val="3"/>
          <w:numId w:val="349"/>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contribuția entităților afiliate menționate la art. 132 alin. (1), calculată în conformitate cu </w:t>
      </w:r>
      <w:r w:rsidR="00B866E4" w:rsidRPr="000508B6">
        <w:rPr>
          <w:rFonts w:ascii="Times New Roman" w:hAnsi="Times New Roman" w:cs="Times New Roman"/>
          <w:lang w:val="ro-MD"/>
        </w:rPr>
        <w:t xml:space="preserve">art. </w:t>
      </w:r>
      <w:r w:rsidR="00BB6355" w:rsidRPr="000508B6">
        <w:rPr>
          <w:rFonts w:ascii="Times New Roman" w:hAnsi="Times New Roman" w:cs="Times New Roman"/>
          <w:lang w:val="ro-MD"/>
        </w:rPr>
        <w:t xml:space="preserve">132 alin. (6)-(12) sau art. 132 </w:t>
      </w:r>
      <w:r w:rsidR="00B866E4" w:rsidRPr="000508B6">
        <w:rPr>
          <w:rFonts w:ascii="Times New Roman" w:hAnsi="Times New Roman" w:cs="Times New Roman"/>
          <w:lang w:val="ro-MD"/>
        </w:rPr>
        <w:t>alin.</w:t>
      </w:r>
      <w:r w:rsidR="00801C09" w:rsidRPr="000508B6">
        <w:rPr>
          <w:rFonts w:ascii="Times New Roman" w:hAnsi="Times New Roman" w:cs="Times New Roman"/>
          <w:lang w:val="ro-MD"/>
        </w:rPr>
        <w:t xml:space="preserve"> </w:t>
      </w:r>
      <w:r w:rsidR="00BB6355" w:rsidRPr="000508B6">
        <w:rPr>
          <w:rFonts w:ascii="Times New Roman" w:hAnsi="Times New Roman" w:cs="Times New Roman"/>
          <w:lang w:val="ro-MD"/>
        </w:rPr>
        <w:t xml:space="preserve">(13)-(16). </w:t>
      </w:r>
    </w:p>
    <w:p w14:paraId="0E8768B6" w14:textId="30E7DB8F" w:rsidR="007955C6" w:rsidRPr="000508B6" w:rsidRDefault="007955C6">
      <w:pPr>
        <w:pStyle w:val="Listparagraf"/>
        <w:numPr>
          <w:ilvl w:val="1"/>
          <w:numId w:val="311"/>
        </w:numPr>
        <w:tabs>
          <w:tab w:val="left" w:pos="709"/>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sensul alin. (1) lit.</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a) punctul (i) și al alin. (1) lit.</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b) punctul (i), </w:t>
      </w:r>
      <w:r w:rsidR="00BB6355" w:rsidRPr="000508B6">
        <w:rPr>
          <w:rFonts w:ascii="Times New Roman" w:hAnsi="Times New Roman" w:cs="Times New Roman"/>
          <w:lang w:val="ro-MD"/>
        </w:rPr>
        <w:t xml:space="preserve">asigurătorii sau </w:t>
      </w:r>
      <w:proofErr w:type="spellStart"/>
      <w:r w:rsidR="00BB6355" w:rsidRPr="000508B6">
        <w:rPr>
          <w:rFonts w:ascii="Times New Roman" w:hAnsi="Times New Roman" w:cs="Times New Roman"/>
          <w:lang w:val="ro-MD"/>
        </w:rPr>
        <w:t>reasigurătorii</w:t>
      </w:r>
      <w:proofErr w:type="spellEnd"/>
      <w:r w:rsidR="00BB6355" w:rsidRPr="000508B6">
        <w:rPr>
          <w:rFonts w:ascii="Times New Roman" w:hAnsi="Times New Roman" w:cs="Times New Roman"/>
          <w:lang w:val="ro-MD"/>
        </w:rPr>
        <w:t xml:space="preserve"> </w:t>
      </w:r>
      <w:r w:rsidRPr="000508B6">
        <w:rPr>
          <w:rFonts w:ascii="Times New Roman" w:hAnsi="Times New Roman" w:cs="Times New Roman"/>
          <w:lang w:val="ro-MD"/>
        </w:rPr>
        <w:t>nu includ în datele consolidate;</w:t>
      </w:r>
    </w:p>
    <w:p w14:paraId="7BC8C93B" w14:textId="71DA1638" w:rsidR="007955C6" w:rsidRPr="000508B6" w:rsidRDefault="007955C6" w:rsidP="00230ADD">
      <w:pPr>
        <w:pStyle w:val="Listparagraf"/>
        <w:numPr>
          <w:ilvl w:val="2"/>
          <w:numId w:val="412"/>
        </w:numPr>
        <w:tabs>
          <w:tab w:val="left" w:pos="709"/>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participațiile deținute în entitățile afiliate menționate la art. 132 alin.</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(1)</w:t>
      </w:r>
      <w:r w:rsidR="00696D73" w:rsidRPr="000508B6">
        <w:rPr>
          <w:rFonts w:ascii="Times New Roman" w:hAnsi="Times New Roman" w:cs="Times New Roman"/>
          <w:lang w:val="ro-MD"/>
        </w:rPr>
        <w:t>.</w:t>
      </w:r>
      <w:r w:rsidRPr="000508B6">
        <w:rPr>
          <w:rFonts w:ascii="Times New Roman" w:hAnsi="Times New Roman" w:cs="Times New Roman"/>
          <w:color w:val="FF0000"/>
          <w:lang w:val="ro-MD"/>
        </w:rPr>
        <w:t xml:space="preserve"> </w:t>
      </w:r>
    </w:p>
    <w:p w14:paraId="60DCE8B3" w14:textId="528C5938" w:rsidR="007955C6" w:rsidRPr="000508B6" w:rsidRDefault="007955C6" w:rsidP="00230ADD">
      <w:pPr>
        <w:pStyle w:val="Listparagraf"/>
        <w:numPr>
          <w:ilvl w:val="2"/>
          <w:numId w:val="412"/>
        </w:numPr>
        <w:tabs>
          <w:tab w:val="left" w:pos="709"/>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participațiile deținute în entitățile afiliate menționate la art.</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124 alin. (3) cărora li se aplică metoda de calcul nr.</w:t>
      </w:r>
      <w:r w:rsidR="00F001EE" w:rsidRPr="000508B6">
        <w:rPr>
          <w:rFonts w:ascii="Times New Roman" w:hAnsi="Times New Roman" w:cs="Times New Roman"/>
          <w:lang w:val="ro-MD"/>
        </w:rPr>
        <w:t xml:space="preserve"> </w:t>
      </w:r>
      <w:r w:rsidRPr="000508B6">
        <w:rPr>
          <w:rFonts w:ascii="Times New Roman" w:hAnsi="Times New Roman" w:cs="Times New Roman"/>
          <w:lang w:val="ro-MD"/>
        </w:rPr>
        <w:t>2</w:t>
      </w:r>
      <w:r w:rsidR="00696D73" w:rsidRPr="000508B6">
        <w:rPr>
          <w:rFonts w:ascii="Times New Roman" w:hAnsi="Times New Roman" w:cs="Times New Roman"/>
          <w:lang w:val="ro-MD"/>
        </w:rPr>
        <w:t>.</w:t>
      </w:r>
      <w:r w:rsidRPr="000508B6">
        <w:rPr>
          <w:rFonts w:ascii="Times New Roman" w:hAnsi="Times New Roman" w:cs="Times New Roman"/>
          <w:lang w:val="ro-MD"/>
        </w:rPr>
        <w:t xml:space="preserve"> </w:t>
      </w:r>
    </w:p>
    <w:p w14:paraId="15D7F611" w14:textId="2F0CCDEB" w:rsidR="007955C6" w:rsidRPr="000508B6" w:rsidRDefault="007955C6" w:rsidP="00230ADD">
      <w:pPr>
        <w:pStyle w:val="Listparagraf"/>
        <w:numPr>
          <w:ilvl w:val="1"/>
          <w:numId w:val="31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sensul alin.</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(1) lit.</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b) punctul (i), dacă valoarea participațiilor deținute în </w:t>
      </w:r>
      <w:proofErr w:type="spellStart"/>
      <w:r w:rsidR="00BB6355" w:rsidRPr="000508B6">
        <w:rPr>
          <w:rFonts w:ascii="Times New Roman" w:hAnsi="Times New Roman" w:cs="Times New Roman"/>
          <w:lang w:val="ro-MD"/>
        </w:rPr>
        <w:t>entitățle</w:t>
      </w:r>
      <w:proofErr w:type="spellEnd"/>
      <w:r w:rsidR="00BB6355" w:rsidRPr="000508B6">
        <w:rPr>
          <w:rFonts w:ascii="Times New Roman" w:hAnsi="Times New Roman" w:cs="Times New Roman"/>
          <w:lang w:val="ro-MD"/>
        </w:rPr>
        <w:t xml:space="preserve"> </w:t>
      </w:r>
      <w:r w:rsidRPr="000508B6">
        <w:rPr>
          <w:rFonts w:ascii="Times New Roman" w:hAnsi="Times New Roman" w:cs="Times New Roman"/>
          <w:lang w:val="ro-MD"/>
        </w:rPr>
        <w:t>menționate la art. 124 alin. (3) cărora li se aplică metoda de calcul 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2 depășește cota proporțională din SCR a </w:t>
      </w:r>
      <w:r w:rsidR="00BB6355" w:rsidRPr="000508B6">
        <w:rPr>
          <w:rFonts w:ascii="Times New Roman" w:hAnsi="Times New Roman" w:cs="Times New Roman"/>
          <w:lang w:val="ro-MD"/>
        </w:rPr>
        <w:t xml:space="preserve">entităților </w:t>
      </w:r>
      <w:r w:rsidRPr="000508B6">
        <w:rPr>
          <w:rFonts w:ascii="Times New Roman" w:hAnsi="Times New Roman" w:cs="Times New Roman"/>
          <w:lang w:val="ro-MD"/>
        </w:rPr>
        <w:t xml:space="preserve">respective, </w:t>
      </w:r>
      <w:r w:rsidR="009B4C52" w:rsidRPr="000508B6">
        <w:rPr>
          <w:rFonts w:ascii="Times New Roman" w:hAnsi="Times New Roman" w:cs="Times New Roman"/>
          <w:lang w:val="ro-MD"/>
        </w:rPr>
        <w:t xml:space="preserve">asigurătorii sau </w:t>
      </w:r>
      <w:proofErr w:type="spellStart"/>
      <w:r w:rsidR="009B4C52"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participativ</w:t>
      </w:r>
      <w:r w:rsidR="009B4C52" w:rsidRPr="000508B6">
        <w:rPr>
          <w:rFonts w:ascii="Times New Roman" w:hAnsi="Times New Roman" w:cs="Times New Roman"/>
          <w:lang w:val="ro-MD"/>
        </w:rPr>
        <w:t>i</w:t>
      </w:r>
      <w:r w:rsidRPr="000508B6">
        <w:rPr>
          <w:rFonts w:ascii="Times New Roman" w:hAnsi="Times New Roman" w:cs="Times New Roman"/>
          <w:lang w:val="ro-MD"/>
        </w:rPr>
        <w:t xml:space="preserve"> includ excedentul în datele consolidate </w:t>
      </w:r>
      <w:r w:rsidRPr="000508B6">
        <w:rPr>
          <w:rFonts w:ascii="Times New Roman" w:hAnsi="Times New Roman" w:cs="Times New Roman"/>
          <w:lang w:val="ro-MD"/>
        </w:rPr>
        <w:lastRenderedPageBreak/>
        <w:t>atunci când calculează risc</w:t>
      </w:r>
      <w:r w:rsidR="00BB6355" w:rsidRPr="000508B6">
        <w:rPr>
          <w:rFonts w:ascii="Times New Roman" w:hAnsi="Times New Roman" w:cs="Times New Roman"/>
          <w:lang w:val="ro-MD"/>
        </w:rPr>
        <w:t>ul</w:t>
      </w:r>
      <w:r w:rsidRPr="000508B6">
        <w:rPr>
          <w:rFonts w:ascii="Times New Roman" w:hAnsi="Times New Roman" w:cs="Times New Roman"/>
          <w:lang w:val="ro-MD"/>
        </w:rPr>
        <w:t xml:space="preserve"> de modificare a ratei de schimb valutar</w:t>
      </w:r>
      <w:r w:rsidR="00BB6355" w:rsidRPr="000508B6">
        <w:rPr>
          <w:rFonts w:ascii="Times New Roman" w:hAnsi="Times New Roman" w:cs="Times New Roman"/>
          <w:lang w:val="ro-MD"/>
        </w:rPr>
        <w:t xml:space="preserve"> reprezentat de </w:t>
      </w:r>
      <w:proofErr w:type="spellStart"/>
      <w:r w:rsidR="00BB6355" w:rsidRPr="000508B6">
        <w:rPr>
          <w:rFonts w:ascii="Times New Roman" w:hAnsi="Times New Roman" w:cs="Times New Roman"/>
          <w:lang w:val="ro-MD"/>
        </w:rPr>
        <w:t>senzitivitatea</w:t>
      </w:r>
      <w:proofErr w:type="spellEnd"/>
      <w:r w:rsidR="00BB6355" w:rsidRPr="000508B6">
        <w:rPr>
          <w:rFonts w:ascii="Times New Roman" w:hAnsi="Times New Roman" w:cs="Times New Roman"/>
          <w:lang w:val="ro-MD"/>
        </w:rPr>
        <w:t xml:space="preserve"> activelor și obligațiilor la variațiile nivelului sau volatilității cursurilor de schimb valutar</w:t>
      </w:r>
      <w:r w:rsidRPr="000508B6">
        <w:rPr>
          <w:rFonts w:ascii="Times New Roman" w:hAnsi="Times New Roman" w:cs="Times New Roman"/>
          <w:lang w:val="ro-MD"/>
        </w:rPr>
        <w:t xml:space="preserve">, fără a lua în calcul riscul de devalorizare a acțiunilor reprezentat de </w:t>
      </w:r>
      <w:proofErr w:type="spellStart"/>
      <w:r w:rsidRPr="000508B6">
        <w:rPr>
          <w:rFonts w:ascii="Times New Roman" w:hAnsi="Times New Roman" w:cs="Times New Roman"/>
          <w:lang w:val="ro-MD"/>
        </w:rPr>
        <w:t>senzit</w:t>
      </w:r>
      <w:r w:rsidR="00061D63">
        <w:rPr>
          <w:rFonts w:ascii="Times New Roman" w:hAnsi="Times New Roman" w:cs="Times New Roman"/>
          <w:lang w:val="ro-MD"/>
        </w:rPr>
        <w:t>i</w:t>
      </w:r>
      <w:r w:rsidRPr="000508B6">
        <w:rPr>
          <w:rFonts w:ascii="Times New Roman" w:hAnsi="Times New Roman" w:cs="Times New Roman"/>
          <w:lang w:val="ro-MD"/>
        </w:rPr>
        <w:t>vitatea</w:t>
      </w:r>
      <w:proofErr w:type="spellEnd"/>
      <w:r w:rsidRPr="000508B6">
        <w:rPr>
          <w:rFonts w:ascii="Times New Roman" w:hAnsi="Times New Roman" w:cs="Times New Roman"/>
          <w:lang w:val="ro-MD"/>
        </w:rPr>
        <w:t xml:space="preserve"> participaților acestora la variațiile nivelului sau volatilității prețurilor pe piață ale acțiunilor („risc de devalorizare a acțiunilor”). </w:t>
      </w:r>
    </w:p>
    <w:p w14:paraId="1907B841" w14:textId="5A430D16" w:rsidR="007955C6" w:rsidRPr="000508B6" w:rsidRDefault="007955C6" w:rsidP="007955C6">
      <w:pPr>
        <w:pStyle w:val="Listparagraf"/>
        <w:numPr>
          <w:ilvl w:val="1"/>
          <w:numId w:val="311"/>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sensul alin. (1) lit. a) punctul (ii) și lit. b) punctul (ii) </w:t>
      </w:r>
      <w:r w:rsidR="009B4C52" w:rsidRPr="000508B6">
        <w:rPr>
          <w:rFonts w:ascii="Times New Roman" w:hAnsi="Times New Roman" w:cs="Times New Roman"/>
          <w:lang w:val="ro-MD"/>
        </w:rPr>
        <w:t xml:space="preserve">asigurătorii sau </w:t>
      </w:r>
      <w:proofErr w:type="spellStart"/>
      <w:r w:rsidR="009B4C52" w:rsidRPr="000508B6">
        <w:rPr>
          <w:rFonts w:ascii="Times New Roman" w:hAnsi="Times New Roman" w:cs="Times New Roman"/>
          <w:lang w:val="ro-MD"/>
        </w:rPr>
        <w:t>reasigurătorii</w:t>
      </w:r>
      <w:proofErr w:type="spellEnd"/>
      <w:r w:rsidR="009B4C52" w:rsidRPr="000508B6">
        <w:rPr>
          <w:rFonts w:ascii="Times New Roman" w:hAnsi="Times New Roman" w:cs="Times New Roman"/>
          <w:lang w:val="ro-MD"/>
        </w:rPr>
        <w:t xml:space="preserve"> </w:t>
      </w:r>
      <w:r w:rsidRPr="000508B6">
        <w:rPr>
          <w:rFonts w:ascii="Times New Roman" w:hAnsi="Times New Roman" w:cs="Times New Roman"/>
          <w:lang w:val="ro-MD"/>
        </w:rPr>
        <w:t>participativ</w:t>
      </w:r>
      <w:r w:rsidR="009B4C52" w:rsidRPr="000508B6">
        <w:rPr>
          <w:rFonts w:ascii="Times New Roman" w:hAnsi="Times New Roman" w:cs="Times New Roman"/>
          <w:lang w:val="ro-MD"/>
        </w:rPr>
        <w:t>i</w:t>
      </w:r>
      <w:r w:rsidRPr="000508B6">
        <w:rPr>
          <w:rFonts w:ascii="Times New Roman" w:hAnsi="Times New Roman" w:cs="Times New Roman"/>
          <w:lang w:val="ro-MD"/>
        </w:rPr>
        <w:t xml:space="preserve"> aplică prevederile art. 136 alin.</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(4) în mod corespunzător</w:t>
      </w:r>
      <w:r w:rsidR="00696D73" w:rsidRPr="000508B6">
        <w:rPr>
          <w:rFonts w:ascii="Times New Roman" w:hAnsi="Times New Roman" w:cs="Times New Roman"/>
          <w:lang w:val="ro-MD"/>
        </w:rPr>
        <w:t>.</w:t>
      </w:r>
      <w:r w:rsidRPr="000508B6">
        <w:rPr>
          <w:rFonts w:ascii="Times New Roman" w:hAnsi="Times New Roman" w:cs="Times New Roman"/>
          <w:lang w:val="ro-MD"/>
        </w:rPr>
        <w:t xml:space="preserve"> </w:t>
      </w:r>
    </w:p>
    <w:p w14:paraId="5834536E" w14:textId="7EA189B6" w:rsidR="007955C6" w:rsidRPr="000508B6" w:rsidRDefault="007955C6" w:rsidP="007955C6">
      <w:pPr>
        <w:pStyle w:val="Listparagraf"/>
        <w:numPr>
          <w:ilvl w:val="1"/>
          <w:numId w:val="311"/>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Prevederile art. </w:t>
      </w:r>
      <w:r w:rsidR="003834F2" w:rsidRPr="000508B6">
        <w:rPr>
          <w:rFonts w:ascii="Times New Roman" w:hAnsi="Times New Roman" w:cs="Times New Roman"/>
          <w:lang w:val="ro-MD"/>
        </w:rPr>
        <w:t xml:space="preserve">138 </w:t>
      </w:r>
      <w:r w:rsidRPr="000508B6">
        <w:rPr>
          <w:rFonts w:ascii="Times New Roman" w:hAnsi="Times New Roman" w:cs="Times New Roman"/>
          <w:lang w:val="ro-MD"/>
        </w:rPr>
        <w:t xml:space="preserve">se aplică în mod corespunzător în cazul în care </w:t>
      </w:r>
      <w:r w:rsidR="009B4C52" w:rsidRPr="000508B6">
        <w:rPr>
          <w:rFonts w:ascii="Times New Roman" w:hAnsi="Times New Roman" w:cs="Times New Roman"/>
          <w:lang w:val="ro-MD"/>
        </w:rPr>
        <w:t xml:space="preserve">asigurătorii sau </w:t>
      </w:r>
      <w:proofErr w:type="spellStart"/>
      <w:r w:rsidR="009B4C52" w:rsidRPr="000508B6">
        <w:rPr>
          <w:rFonts w:ascii="Times New Roman" w:hAnsi="Times New Roman" w:cs="Times New Roman"/>
          <w:lang w:val="ro-MD"/>
        </w:rPr>
        <w:t>reasigurătorii</w:t>
      </w:r>
      <w:proofErr w:type="spellEnd"/>
      <w:r w:rsidR="009B4C52" w:rsidRPr="000508B6">
        <w:rPr>
          <w:rFonts w:ascii="Times New Roman" w:hAnsi="Times New Roman" w:cs="Times New Roman"/>
          <w:lang w:val="ro-MD"/>
        </w:rPr>
        <w:t xml:space="preserve"> </w:t>
      </w:r>
      <w:r w:rsidRPr="000508B6">
        <w:rPr>
          <w:rFonts w:ascii="Times New Roman" w:hAnsi="Times New Roman" w:cs="Times New Roman"/>
          <w:lang w:val="ro-MD"/>
        </w:rPr>
        <w:t>și entitățile afiliate acest</w:t>
      </w:r>
      <w:r w:rsidR="009B4C52" w:rsidRPr="000508B6">
        <w:rPr>
          <w:rFonts w:ascii="Times New Roman" w:hAnsi="Times New Roman" w:cs="Times New Roman"/>
          <w:lang w:val="ro-MD"/>
        </w:rPr>
        <w:t>ora</w:t>
      </w:r>
      <w:r w:rsidR="00D91F9D" w:rsidRPr="000508B6">
        <w:rPr>
          <w:rFonts w:ascii="Times New Roman" w:hAnsi="Times New Roman" w:cs="Times New Roman"/>
          <w:lang w:val="ro-MD"/>
        </w:rPr>
        <w:t>,</w:t>
      </w:r>
      <w:r w:rsidRPr="000508B6">
        <w:rPr>
          <w:rFonts w:ascii="Times New Roman" w:hAnsi="Times New Roman" w:cs="Times New Roman"/>
          <w:lang w:val="ro-MD"/>
        </w:rPr>
        <w:t xml:space="preserve"> ori, în comun entitățile afiliate ale unui holding de asigurare solicită Băncii Naționale a Moldovei permisiunea de a calcula SCR consolidată, precum și SCR</w:t>
      </w:r>
      <w:r w:rsidR="00412B8C" w:rsidRPr="000508B6">
        <w:rPr>
          <w:rFonts w:ascii="Times New Roman" w:hAnsi="Times New Roman" w:cs="Times New Roman"/>
          <w:lang w:val="ro-MD"/>
        </w:rPr>
        <w:t xml:space="preserve"> individuală</w:t>
      </w:r>
      <w:r w:rsidRPr="000508B6">
        <w:rPr>
          <w:rFonts w:ascii="Times New Roman" w:hAnsi="Times New Roman" w:cs="Times New Roman"/>
          <w:lang w:val="ro-MD"/>
        </w:rPr>
        <w:t xml:space="preserve"> a </w:t>
      </w:r>
      <w:r w:rsidR="005C205B" w:rsidRPr="000508B6">
        <w:rPr>
          <w:rFonts w:ascii="Times New Roman" w:hAnsi="Times New Roman" w:cs="Times New Roman"/>
          <w:lang w:val="ro-MD"/>
        </w:rPr>
        <w:t xml:space="preserve">fiecărui asigurător sau </w:t>
      </w:r>
      <w:proofErr w:type="spellStart"/>
      <w:r w:rsidR="005C205B" w:rsidRPr="000508B6">
        <w:rPr>
          <w:rFonts w:ascii="Times New Roman" w:hAnsi="Times New Roman" w:cs="Times New Roman"/>
          <w:lang w:val="ro-MD"/>
        </w:rPr>
        <w:t>reasigurător</w:t>
      </w:r>
      <w:proofErr w:type="spellEnd"/>
      <w:r w:rsidR="005C205B" w:rsidRPr="000508B6">
        <w:rPr>
          <w:rFonts w:ascii="Times New Roman" w:hAnsi="Times New Roman" w:cs="Times New Roman"/>
          <w:lang w:val="ro-MD"/>
        </w:rPr>
        <w:t xml:space="preserve"> </w:t>
      </w:r>
      <w:r w:rsidRPr="000508B6">
        <w:rPr>
          <w:rFonts w:ascii="Times New Roman" w:hAnsi="Times New Roman" w:cs="Times New Roman"/>
          <w:lang w:val="ro-MD"/>
        </w:rPr>
        <w:t xml:space="preserve">din grup pe baza unui model intern. </w:t>
      </w:r>
    </w:p>
    <w:p w14:paraId="6A71772E" w14:textId="7BBC3747" w:rsidR="007955C6" w:rsidRPr="000508B6" w:rsidRDefault="00412B8C" w:rsidP="007955C6">
      <w:pPr>
        <w:pStyle w:val="Listparagraf"/>
        <w:numPr>
          <w:ilvl w:val="1"/>
          <w:numId w:val="311"/>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Cerința minimă de </w:t>
      </w:r>
      <w:r w:rsidR="007955C6" w:rsidRPr="000508B6">
        <w:rPr>
          <w:rFonts w:ascii="Times New Roman" w:hAnsi="Times New Roman" w:cs="Times New Roman"/>
          <w:lang w:val="ro-MD"/>
        </w:rPr>
        <w:t xml:space="preserve">SCR consolidată se calculează în conformitate cu art. </w:t>
      </w:r>
      <w:r w:rsidR="004E6DB0" w:rsidRPr="000508B6">
        <w:rPr>
          <w:rFonts w:ascii="Times New Roman" w:hAnsi="Times New Roman" w:cs="Times New Roman"/>
          <w:lang w:val="ro-MD"/>
        </w:rPr>
        <w:t xml:space="preserve">134 </w:t>
      </w:r>
      <w:r w:rsidR="007955C6" w:rsidRPr="000508B6">
        <w:rPr>
          <w:rFonts w:ascii="Times New Roman" w:hAnsi="Times New Roman" w:cs="Times New Roman"/>
          <w:lang w:val="ro-MD"/>
        </w:rPr>
        <w:t>alin. (5)</w:t>
      </w:r>
      <w:r w:rsidR="005C205B" w:rsidRPr="000508B6">
        <w:rPr>
          <w:rFonts w:ascii="Times New Roman" w:hAnsi="Times New Roman" w:cs="Times New Roman"/>
          <w:lang w:val="ro-MD"/>
        </w:rPr>
        <w:t>-(8)</w:t>
      </w:r>
      <w:r w:rsidR="007955C6" w:rsidRPr="000508B6">
        <w:rPr>
          <w:rFonts w:ascii="Times New Roman" w:hAnsi="Times New Roman" w:cs="Times New Roman"/>
          <w:lang w:val="ro-MD"/>
        </w:rPr>
        <w:t xml:space="preserve"> iar fondurile proprii de bază eligibile pentru acoperirea acesteia sunt determinate în conformitate cu art. 63 alin. (4) și calculate pe baza datelor consolidate fără includerea  participațiilor în entitățile afiliate menționate la art. 132 alin.(1). </w:t>
      </w:r>
    </w:p>
    <w:p w14:paraId="1DF5FFD9" w14:textId="252446C8" w:rsidR="007955C6" w:rsidRPr="000508B6" w:rsidRDefault="007955C6" w:rsidP="0064573C">
      <w:pPr>
        <w:pStyle w:val="Listparagraf"/>
        <w:numPr>
          <w:ilvl w:val="1"/>
          <w:numId w:val="31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a determina dacă fondurile proprii eligibile menționate sunt admisibile pentru acoperirea </w:t>
      </w:r>
      <w:r w:rsidR="00E2790E" w:rsidRPr="000508B6">
        <w:rPr>
          <w:rFonts w:ascii="Times New Roman" w:hAnsi="Times New Roman" w:cs="Times New Roman"/>
          <w:lang w:val="ro-MD"/>
        </w:rPr>
        <w:t xml:space="preserve">cerinței minime de </w:t>
      </w:r>
      <w:r w:rsidRPr="000508B6">
        <w:rPr>
          <w:rFonts w:ascii="Times New Roman" w:hAnsi="Times New Roman" w:cs="Times New Roman"/>
          <w:lang w:val="ro-MD"/>
        </w:rPr>
        <w:t>SCR consolidată, se aplică în mod corespunzător principiile enunțate la art. 125-</w:t>
      </w:r>
      <w:r w:rsidR="003834F2" w:rsidRPr="000508B6">
        <w:rPr>
          <w:rFonts w:ascii="Times New Roman" w:hAnsi="Times New Roman" w:cs="Times New Roman"/>
          <w:lang w:val="ro-MD"/>
        </w:rPr>
        <w:t>133</w:t>
      </w:r>
      <w:r w:rsidR="00B56A85" w:rsidRPr="000508B6">
        <w:rPr>
          <w:rFonts w:ascii="Times New Roman" w:hAnsi="Times New Roman" w:cs="Times New Roman"/>
          <w:lang w:val="ro-MD"/>
        </w:rPr>
        <w:t>,</w:t>
      </w:r>
      <w:r w:rsidR="003834F2" w:rsidRPr="000508B6">
        <w:rPr>
          <w:rFonts w:ascii="Times New Roman" w:hAnsi="Times New Roman" w:cs="Times New Roman"/>
          <w:lang w:val="ro-MD"/>
        </w:rPr>
        <w:t xml:space="preserve"> </w:t>
      </w:r>
      <w:r w:rsidR="00B56A85" w:rsidRPr="000508B6">
        <w:rPr>
          <w:rFonts w:ascii="Times New Roman" w:hAnsi="Times New Roman" w:cs="Times New Roman"/>
          <w:lang w:val="ro-MD"/>
        </w:rPr>
        <w:t xml:space="preserve">art. </w:t>
      </w:r>
      <w:r w:rsidR="003834F2" w:rsidRPr="000508B6">
        <w:rPr>
          <w:rFonts w:ascii="Times New Roman" w:hAnsi="Times New Roman" w:cs="Times New Roman"/>
          <w:lang w:val="ro-MD"/>
        </w:rPr>
        <w:t xml:space="preserve">135 </w:t>
      </w:r>
      <w:r w:rsidRPr="000508B6">
        <w:rPr>
          <w:rFonts w:ascii="Times New Roman" w:hAnsi="Times New Roman" w:cs="Times New Roman"/>
          <w:lang w:val="ro-MD"/>
        </w:rPr>
        <w:t xml:space="preserve">și art. 157. </w:t>
      </w:r>
    </w:p>
    <w:p w14:paraId="244FAB2B" w14:textId="2CB133FD" w:rsidR="00213D3D" w:rsidRPr="000508B6" w:rsidRDefault="00E2790E" w:rsidP="00230ADD">
      <w:pPr>
        <w:pStyle w:val="Listparagraf"/>
        <w:numPr>
          <w:ilvl w:val="1"/>
          <w:numId w:val="31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fondurile proprii eligibile pentru a acoperi SCR, depășesc SCR la nivel de grup, ambele calculate pe baza datelor consolidate, iar MCR pe bază consolidată </w:t>
      </w:r>
      <w:r w:rsidR="00A4341C" w:rsidRPr="000508B6">
        <w:rPr>
          <w:rFonts w:ascii="Times New Roman" w:hAnsi="Times New Roman" w:cs="Times New Roman"/>
          <w:lang w:val="ro-MD"/>
        </w:rPr>
        <w:t xml:space="preserve">a grupului </w:t>
      </w:r>
      <w:r w:rsidRPr="000508B6">
        <w:rPr>
          <w:rFonts w:ascii="Times New Roman" w:hAnsi="Times New Roman" w:cs="Times New Roman"/>
          <w:lang w:val="ro-MD"/>
        </w:rPr>
        <w:t>nu este respectată, prevederile art. 156 alin. (1)-(4) se aplică în mod corespunzător</w:t>
      </w:r>
      <w:r w:rsidR="00A4341C" w:rsidRPr="000508B6">
        <w:rPr>
          <w:rFonts w:ascii="Times New Roman" w:hAnsi="Times New Roman" w:cs="Times New Roman"/>
          <w:lang w:val="ro-MD"/>
        </w:rPr>
        <w:t>, iar art. 157 nu se aplică</w:t>
      </w:r>
      <w:r w:rsidRPr="000508B6">
        <w:rPr>
          <w:rFonts w:ascii="Times New Roman" w:hAnsi="Times New Roman" w:cs="Times New Roman"/>
          <w:lang w:val="ro-MD"/>
        </w:rPr>
        <w:t>. În sensul prezentului alineat, trimiterea la „SCR” de la art.</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156 se interpretează ca trimitere la „</w:t>
      </w:r>
      <w:r w:rsidR="00213D3D" w:rsidRPr="000508B6">
        <w:rPr>
          <w:rFonts w:ascii="Times New Roman" w:hAnsi="Times New Roman" w:cs="Times New Roman"/>
          <w:lang w:val="ro-MD"/>
        </w:rPr>
        <w:t xml:space="preserve">cerință minimă de </w:t>
      </w:r>
      <w:r w:rsidRPr="000508B6">
        <w:rPr>
          <w:rFonts w:ascii="Times New Roman" w:hAnsi="Times New Roman" w:cs="Times New Roman"/>
          <w:lang w:val="ro-MD"/>
        </w:rPr>
        <w:t>SCR consolidată”.</w:t>
      </w:r>
    </w:p>
    <w:p w14:paraId="0164DD09" w14:textId="02AFC8A6" w:rsidR="007955C6" w:rsidRPr="000508B6" w:rsidRDefault="007955C6" w:rsidP="00230ADD">
      <w:pPr>
        <w:pStyle w:val="Listparagraf"/>
        <w:numPr>
          <w:ilvl w:val="1"/>
          <w:numId w:val="31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Pentru a se determina dacă valoarea calculată la alin. (1) lit.</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b) punctul (ii) reflectă în mod corespunzător profilul de risc al grupului în ceea ce privește </w:t>
      </w:r>
      <w:r w:rsidR="00620BDC" w:rsidRPr="000508B6">
        <w:rPr>
          <w:rFonts w:ascii="Times New Roman" w:hAnsi="Times New Roman" w:cs="Times New Roman"/>
          <w:lang w:val="ro-MD"/>
        </w:rPr>
        <w:t xml:space="preserve">entitățile </w:t>
      </w:r>
      <w:r w:rsidRPr="000508B6">
        <w:rPr>
          <w:rFonts w:ascii="Times New Roman" w:hAnsi="Times New Roman" w:cs="Times New Roman"/>
          <w:lang w:val="ro-MD"/>
        </w:rPr>
        <w:t xml:space="preserve">menționate la art. 124 alin. (3) cărora li se aplică metoda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2, Banca Națională a Moldovei ține cont în mod adecvat de riscurile specifice existente la nivel de grup care, fiind dificil de cuantificat, nu ar fi acoperite suficient. </w:t>
      </w:r>
    </w:p>
    <w:p w14:paraId="1E61EDA0" w14:textId="6DA233F2" w:rsidR="00BE52D9" w:rsidRPr="000508B6" w:rsidRDefault="007955C6" w:rsidP="00230ADD">
      <w:pPr>
        <w:pStyle w:val="Listparagraf"/>
        <w:numPr>
          <w:ilvl w:val="1"/>
          <w:numId w:val="31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profilul de risc al grupului în ceea ce privește </w:t>
      </w:r>
      <w:r w:rsidR="00C4342C" w:rsidRPr="000508B6">
        <w:rPr>
          <w:rFonts w:ascii="Times New Roman" w:hAnsi="Times New Roman" w:cs="Times New Roman"/>
          <w:lang w:val="ro-MD"/>
        </w:rPr>
        <w:t xml:space="preserve">entitățile </w:t>
      </w:r>
      <w:r w:rsidRPr="000508B6">
        <w:rPr>
          <w:rFonts w:ascii="Times New Roman" w:hAnsi="Times New Roman" w:cs="Times New Roman"/>
          <w:lang w:val="ro-MD"/>
        </w:rPr>
        <w:t>menționate la art. 124 alin. (3) cărora li se aplică metoda de calcul 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 xml:space="preserve">2 se abate în mod semnificativ de la ipotezele care stau la baza SCR pe bază agregată a grupului, menționată la art. 136 alin. (3), Banca Națională a Moldovei poate impune o majorare </w:t>
      </w:r>
      <w:r w:rsidR="00240EB4" w:rsidRPr="000508B6">
        <w:rPr>
          <w:rFonts w:ascii="Times New Roman" w:hAnsi="Times New Roman" w:cs="Times New Roman"/>
          <w:lang w:val="ro-MD"/>
        </w:rPr>
        <w:t>a SCR</w:t>
      </w:r>
      <w:r w:rsidRPr="000508B6">
        <w:rPr>
          <w:rFonts w:ascii="Times New Roman" w:hAnsi="Times New Roman" w:cs="Times New Roman"/>
          <w:lang w:val="ro-MD"/>
        </w:rPr>
        <w:t xml:space="preserve"> față de valoarea calculată în conformitate cu alin. (1) lit. b) punctul (ii). </w:t>
      </w:r>
    </w:p>
    <w:p w14:paraId="77329462" w14:textId="2EC8EFBF" w:rsidR="007955C6" w:rsidRPr="000508B6" w:rsidRDefault="007955C6" w:rsidP="00230ADD">
      <w:pPr>
        <w:pStyle w:val="Listparagraf"/>
        <w:numPr>
          <w:ilvl w:val="1"/>
          <w:numId w:val="311"/>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E11F37" w:rsidRPr="000508B6">
        <w:rPr>
          <w:rFonts w:ascii="Times New Roman" w:hAnsi="Times New Roman" w:cs="Times New Roman"/>
          <w:lang w:val="ro-MD"/>
        </w:rPr>
        <w:t xml:space="preserve">asigurătorii sau </w:t>
      </w:r>
      <w:proofErr w:type="spellStart"/>
      <w:r w:rsidR="00E11F37"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participativ</w:t>
      </w:r>
      <w:r w:rsidR="00E11F37" w:rsidRPr="000508B6">
        <w:rPr>
          <w:rFonts w:ascii="Times New Roman" w:hAnsi="Times New Roman" w:cs="Times New Roman"/>
          <w:lang w:val="ro-MD"/>
        </w:rPr>
        <w:t>i</w:t>
      </w:r>
      <w:r w:rsidRPr="000508B6">
        <w:rPr>
          <w:rFonts w:ascii="Times New Roman" w:hAnsi="Times New Roman" w:cs="Times New Roman"/>
          <w:lang w:val="ro-MD"/>
        </w:rPr>
        <w:t>, holdingurile de asigurare și holdingurile financiare mixte utilizează metoda de calcul nr.</w:t>
      </w:r>
      <w:r w:rsidR="00801C09" w:rsidRPr="000508B6">
        <w:rPr>
          <w:rFonts w:ascii="Times New Roman" w:hAnsi="Times New Roman" w:cs="Times New Roman"/>
          <w:lang w:val="ro-MD"/>
        </w:rPr>
        <w:t xml:space="preserve"> </w:t>
      </w:r>
      <w:r w:rsidRPr="000508B6">
        <w:rPr>
          <w:rFonts w:ascii="Times New Roman" w:hAnsi="Times New Roman" w:cs="Times New Roman"/>
          <w:lang w:val="ro-MD"/>
        </w:rPr>
        <w:t>1 sau o combinație de metode de clacul, acestora li se permite să aplice art. 69 unui subset de investiții în acțiuni.</w:t>
      </w:r>
      <w:r w:rsidRPr="000508B6">
        <w:rPr>
          <w:rFonts w:ascii="Times New Roman" w:hAnsi="Times New Roman" w:cs="Times New Roman"/>
          <w:b/>
          <w:lang w:val="ro-MD"/>
        </w:rPr>
        <w:t xml:space="preserve"> </w:t>
      </w:r>
    </w:p>
    <w:p w14:paraId="65CC2C0D" w14:textId="77777777" w:rsidR="00FB7B3A" w:rsidRPr="000508B6" w:rsidRDefault="00FB7B3A" w:rsidP="008B530F">
      <w:pPr>
        <w:tabs>
          <w:tab w:val="left" w:pos="993"/>
        </w:tabs>
        <w:spacing w:after="0" w:line="240" w:lineRule="auto"/>
        <w:ind w:firstLine="426"/>
        <w:jc w:val="both"/>
        <w:rPr>
          <w:rFonts w:ascii="Times New Roman" w:hAnsi="Times New Roman" w:cs="Times New Roman"/>
          <w:b/>
          <w:lang w:val="ro-MD"/>
        </w:rPr>
      </w:pPr>
    </w:p>
    <w:p w14:paraId="3AC80DC8" w14:textId="3103471F" w:rsidR="00F95829" w:rsidRPr="000508B6" w:rsidRDefault="00531AE6"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955C6" w:rsidRPr="000508B6">
        <w:rPr>
          <w:rFonts w:ascii="Times New Roman" w:hAnsi="Times New Roman" w:cs="Times New Roman"/>
          <w:b/>
          <w:lang w:val="ro-MD"/>
        </w:rPr>
        <w:t>138</w:t>
      </w:r>
      <w:r w:rsidR="00F95829" w:rsidRPr="000508B6">
        <w:rPr>
          <w:rFonts w:ascii="Times New Roman" w:hAnsi="Times New Roman" w:cs="Times New Roman"/>
          <w:b/>
          <w:lang w:val="ro-MD"/>
        </w:rPr>
        <w:t xml:space="preserve">. </w:t>
      </w:r>
      <w:r w:rsidR="00F95829" w:rsidRPr="000508B6">
        <w:rPr>
          <w:rFonts w:ascii="Times New Roman" w:hAnsi="Times New Roman" w:cs="Times New Roman"/>
          <w:lang w:val="ro-MD"/>
        </w:rPr>
        <w:t xml:space="preserve">Modelul intern de grup  </w:t>
      </w:r>
    </w:p>
    <w:p w14:paraId="5BCECAE1" w14:textId="3298E654" w:rsidR="0048397A" w:rsidRPr="000508B6" w:rsidRDefault="00A20012" w:rsidP="00CF5AFA">
      <w:pPr>
        <w:numPr>
          <w:ilvl w:val="0"/>
          <w:numId w:val="2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Calcularea de către </w:t>
      </w:r>
      <w:r w:rsidR="00620BDC" w:rsidRPr="000508B6">
        <w:rPr>
          <w:rFonts w:ascii="Times New Roman" w:hAnsi="Times New Roman" w:cs="Times New Roman"/>
          <w:lang w:val="ro-MD"/>
        </w:rPr>
        <w:t xml:space="preserve">un asigurător sau </w:t>
      </w:r>
      <w:proofErr w:type="spellStart"/>
      <w:r w:rsidR="00620BDC"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entităţile</w:t>
      </w:r>
      <w:proofErr w:type="spellEnd"/>
      <w:r w:rsidRPr="000508B6">
        <w:rPr>
          <w:rFonts w:ascii="Times New Roman" w:hAnsi="Times New Roman" w:cs="Times New Roman"/>
          <w:lang w:val="ro-MD"/>
        </w:rPr>
        <w:t xml:space="preserve"> afiliate </w:t>
      </w:r>
      <w:r w:rsidR="00620BDC" w:rsidRPr="000508B6">
        <w:rPr>
          <w:rFonts w:ascii="Times New Roman" w:hAnsi="Times New Roman" w:cs="Times New Roman"/>
          <w:lang w:val="ro-MD"/>
        </w:rPr>
        <w:t xml:space="preserve">acestuia </w:t>
      </w:r>
      <w:r w:rsidRPr="000508B6">
        <w:rPr>
          <w:rFonts w:ascii="Times New Roman" w:hAnsi="Times New Roman" w:cs="Times New Roman"/>
          <w:lang w:val="ro-MD"/>
        </w:rPr>
        <w:t xml:space="preserve">ori de </w:t>
      </w:r>
      <w:r w:rsidR="0099750D" w:rsidRPr="000508B6">
        <w:rPr>
          <w:rFonts w:ascii="Times New Roman" w:hAnsi="Times New Roman" w:cs="Times New Roman"/>
          <w:lang w:val="ro-MD"/>
        </w:rPr>
        <w:t>către</w:t>
      </w:r>
      <w:r w:rsidR="0057323D" w:rsidRPr="000508B6">
        <w:rPr>
          <w:rFonts w:ascii="Times New Roman" w:hAnsi="Times New Roman" w:cs="Times New Roman"/>
          <w:lang w:val="ro-MD"/>
        </w:rPr>
        <w:t xml:space="preserve"> entitățile afiliate </w:t>
      </w:r>
      <w:r w:rsidRPr="000508B6">
        <w:rPr>
          <w:rFonts w:ascii="Times New Roman" w:hAnsi="Times New Roman" w:cs="Times New Roman"/>
          <w:lang w:val="ro-MD"/>
        </w:rPr>
        <w:t>un</w:t>
      </w:r>
      <w:r w:rsidR="0057323D" w:rsidRPr="000508B6">
        <w:rPr>
          <w:rFonts w:ascii="Times New Roman" w:hAnsi="Times New Roman" w:cs="Times New Roman"/>
          <w:lang w:val="ro-MD"/>
        </w:rPr>
        <w:t>ui</w:t>
      </w:r>
      <w:r w:rsidRPr="000508B6">
        <w:rPr>
          <w:rFonts w:ascii="Times New Roman" w:hAnsi="Times New Roman" w:cs="Times New Roman"/>
          <w:lang w:val="ro-MD"/>
        </w:rPr>
        <w:t xml:space="preserve"> holding de asigurare sau un holding financiar mixt a SCR agregată la nivel de grup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SCR ale </w:t>
      </w:r>
      <w:r w:rsidR="00620BDC" w:rsidRPr="000508B6">
        <w:rPr>
          <w:rFonts w:ascii="Times New Roman" w:hAnsi="Times New Roman" w:cs="Times New Roman"/>
          <w:lang w:val="ro-MD"/>
        </w:rPr>
        <w:t xml:space="preserve">asigurătorului sau </w:t>
      </w:r>
      <w:proofErr w:type="spellStart"/>
      <w:r w:rsidR="00620BDC" w:rsidRPr="000508B6">
        <w:rPr>
          <w:rFonts w:ascii="Times New Roman" w:hAnsi="Times New Roman" w:cs="Times New Roman"/>
          <w:lang w:val="ro-MD"/>
        </w:rPr>
        <w:t>reasigurătorului</w:t>
      </w:r>
      <w:proofErr w:type="spellEnd"/>
      <w:r w:rsidR="00620BDC" w:rsidRPr="000508B6">
        <w:rPr>
          <w:rFonts w:ascii="Times New Roman" w:hAnsi="Times New Roman" w:cs="Times New Roman"/>
          <w:lang w:val="ro-MD"/>
        </w:rPr>
        <w:t xml:space="preserve"> </w:t>
      </w:r>
      <w:r w:rsidRPr="000508B6">
        <w:rPr>
          <w:rFonts w:ascii="Times New Roman" w:hAnsi="Times New Roman" w:cs="Times New Roman"/>
          <w:lang w:val="ro-MD"/>
        </w:rPr>
        <w:t xml:space="preserve">din cadrul grupului pe baza unui model intern se efectuează cu </w:t>
      </w:r>
      <w:r w:rsidR="008A715F" w:rsidRPr="000508B6">
        <w:rPr>
          <w:rFonts w:ascii="Times New Roman" w:hAnsi="Times New Roman" w:cs="Times New Roman"/>
          <w:lang w:val="ro-MD"/>
        </w:rPr>
        <w:t>aprobarea</w:t>
      </w:r>
      <w:r w:rsidRPr="000508B6">
        <w:rPr>
          <w:rFonts w:ascii="Times New Roman" w:hAnsi="Times New Roman" w:cs="Times New Roman"/>
          <w:lang w:val="ro-MD"/>
        </w:rPr>
        <w:t xml:space="preserve">  Băncii Naționale a Moldovei. Pentru obținerea </w:t>
      </w:r>
      <w:r w:rsidR="000A597C" w:rsidRPr="000508B6">
        <w:rPr>
          <w:rFonts w:ascii="Times New Roman" w:hAnsi="Times New Roman" w:cs="Times New Roman"/>
          <w:lang w:val="ro-MD"/>
        </w:rPr>
        <w:t>aprobării</w:t>
      </w: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0A597C" w:rsidRPr="000508B6">
        <w:rPr>
          <w:rFonts w:ascii="Times New Roman" w:hAnsi="Times New Roman" w:cs="Times New Roman"/>
          <w:lang w:val="ro-MD"/>
        </w:rPr>
        <w:t>depune</w:t>
      </w:r>
      <w:r w:rsidRPr="000508B6">
        <w:rPr>
          <w:rFonts w:ascii="Times New Roman" w:hAnsi="Times New Roman" w:cs="Times New Roman"/>
          <w:lang w:val="ro-MD"/>
        </w:rPr>
        <w:t xml:space="preserve"> la Banca Națională a Moldovei o cerere, </w:t>
      </w:r>
      <w:proofErr w:type="spellStart"/>
      <w:r w:rsidRPr="000508B6">
        <w:rPr>
          <w:rFonts w:ascii="Times New Roman" w:hAnsi="Times New Roman" w:cs="Times New Roman"/>
          <w:lang w:val="ro-MD"/>
        </w:rPr>
        <w:t>însoţită</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documentaţia</w:t>
      </w:r>
      <w:proofErr w:type="spellEnd"/>
      <w:r w:rsidRPr="000508B6">
        <w:rPr>
          <w:rFonts w:ascii="Times New Roman" w:hAnsi="Times New Roman" w:cs="Times New Roman"/>
          <w:lang w:val="ro-MD"/>
        </w:rPr>
        <w:t xml:space="preserve"> completă</w:t>
      </w:r>
      <w:r w:rsidR="00E57225" w:rsidRPr="000508B6">
        <w:rPr>
          <w:rFonts w:ascii="Times New Roman" w:hAnsi="Times New Roman" w:cs="Times New Roman"/>
          <w:lang w:val="ro-MD"/>
        </w:rPr>
        <w:t>,</w:t>
      </w:r>
      <w:r w:rsidR="006C6408" w:rsidRPr="000508B6">
        <w:rPr>
          <w:rFonts w:ascii="Times New Roman" w:hAnsi="Times New Roman" w:cs="Times New Roman"/>
          <w:lang w:val="ro-MD"/>
        </w:rPr>
        <w:t xml:space="preserve"> </w:t>
      </w:r>
      <w:r w:rsidR="00D748E8" w:rsidRPr="000508B6">
        <w:rPr>
          <w:rFonts w:ascii="Times New Roman" w:hAnsi="Times New Roman" w:cs="Times New Roman"/>
          <w:lang w:val="ro-MD"/>
        </w:rPr>
        <w:t xml:space="preserve">care </w:t>
      </w:r>
      <w:r w:rsidR="006C6408" w:rsidRPr="000508B6">
        <w:rPr>
          <w:rFonts w:ascii="Times New Roman" w:hAnsi="Times New Roman" w:cs="Times New Roman"/>
          <w:lang w:val="ro-MD"/>
        </w:rPr>
        <w:t>se</w:t>
      </w:r>
      <w:r w:rsidR="00D748E8" w:rsidRPr="000508B6">
        <w:rPr>
          <w:rFonts w:ascii="Times New Roman" w:hAnsi="Times New Roman" w:cs="Times New Roman"/>
          <w:lang w:val="ro-MD"/>
        </w:rPr>
        <w:t xml:space="preserve"> examin</w:t>
      </w:r>
      <w:r w:rsidR="006C6408" w:rsidRPr="000508B6">
        <w:rPr>
          <w:rFonts w:ascii="Times New Roman" w:hAnsi="Times New Roman" w:cs="Times New Roman"/>
          <w:lang w:val="ro-MD"/>
        </w:rPr>
        <w:t>eaz</w:t>
      </w:r>
      <w:r w:rsidR="00D748E8" w:rsidRPr="000508B6">
        <w:rPr>
          <w:rFonts w:ascii="Times New Roman" w:hAnsi="Times New Roman" w:cs="Times New Roman"/>
          <w:lang w:val="ro-MD"/>
        </w:rPr>
        <w:t xml:space="preserve">ă </w:t>
      </w:r>
      <w:r w:rsidR="00D23C67" w:rsidRPr="000508B6">
        <w:rPr>
          <w:rFonts w:ascii="Times New Roman" w:hAnsi="Times New Roman" w:cs="Times New Roman"/>
          <w:lang w:val="ro-MD"/>
        </w:rPr>
        <w:t>în condițiile art. 193 alin.</w:t>
      </w:r>
      <w:r w:rsidR="00801C09" w:rsidRPr="000508B6">
        <w:rPr>
          <w:rFonts w:ascii="Times New Roman" w:hAnsi="Times New Roman" w:cs="Times New Roman"/>
          <w:lang w:val="ro-MD"/>
        </w:rPr>
        <w:t xml:space="preserve"> </w:t>
      </w:r>
      <w:r w:rsidR="00D23C67" w:rsidRPr="000508B6">
        <w:rPr>
          <w:rFonts w:ascii="Times New Roman" w:hAnsi="Times New Roman" w:cs="Times New Roman"/>
          <w:lang w:val="ro-MD"/>
        </w:rPr>
        <w:t>(9) –(15).</w:t>
      </w:r>
      <w:r w:rsidR="00F95829" w:rsidRPr="000508B6">
        <w:rPr>
          <w:rFonts w:ascii="Times New Roman" w:hAnsi="Times New Roman" w:cs="Times New Roman"/>
          <w:lang w:val="ro-MD"/>
        </w:rPr>
        <w:t xml:space="preserve"> </w:t>
      </w:r>
    </w:p>
    <w:p w14:paraId="5FB0A261" w14:textId="2095EC59" w:rsidR="00F95829" w:rsidRPr="000508B6" w:rsidRDefault="00F95829" w:rsidP="00CF5AFA">
      <w:pPr>
        <w:numPr>
          <w:ilvl w:val="0"/>
          <w:numId w:val="2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w:t>
      </w:r>
      <w:proofErr w:type="spellStart"/>
      <w:r w:rsidRPr="000508B6">
        <w:rPr>
          <w:rFonts w:ascii="Times New Roman" w:hAnsi="Times New Roman" w:cs="Times New Roman"/>
          <w:lang w:val="ro-MD"/>
        </w:rPr>
        <w:t>solicitanţilor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menţionaţi</w:t>
      </w:r>
      <w:proofErr w:type="spellEnd"/>
      <w:r w:rsidRPr="000508B6">
        <w:rPr>
          <w:rFonts w:ascii="Times New Roman" w:hAnsi="Times New Roman" w:cs="Times New Roman"/>
          <w:lang w:val="ro-MD"/>
        </w:rPr>
        <w:t xml:space="preserve"> la alin. (1) decizia privind aprobarea sau respingerea utilizării modelului intern la nivel de grup, </w:t>
      </w:r>
      <w:proofErr w:type="spellStart"/>
      <w:r w:rsidRPr="000508B6">
        <w:rPr>
          <w:rFonts w:ascii="Times New Roman" w:hAnsi="Times New Roman" w:cs="Times New Roman"/>
          <w:lang w:val="ro-MD"/>
        </w:rPr>
        <w:t>însoţită</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motivaţia</w:t>
      </w:r>
      <w:proofErr w:type="spellEnd"/>
      <w:r w:rsidRPr="000508B6">
        <w:rPr>
          <w:rFonts w:ascii="Times New Roman" w:hAnsi="Times New Roman" w:cs="Times New Roman"/>
          <w:lang w:val="ro-MD"/>
        </w:rPr>
        <w:t xml:space="preserve"> aferentă. </w:t>
      </w:r>
    </w:p>
    <w:p w14:paraId="16523AAF" w14:textId="4D7F1D5A" w:rsidR="00F95829" w:rsidRPr="000508B6" w:rsidRDefault="00F95829" w:rsidP="00CF5AFA">
      <w:pPr>
        <w:numPr>
          <w:ilvl w:val="0"/>
          <w:numId w:val="2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constată că profilul de risc al </w:t>
      </w:r>
      <w:r w:rsidR="00620BDC" w:rsidRPr="000508B6">
        <w:rPr>
          <w:rFonts w:ascii="Times New Roman" w:hAnsi="Times New Roman" w:cs="Times New Roman"/>
          <w:lang w:val="ro-MD"/>
        </w:rPr>
        <w:t xml:space="preserve">asigurătorului sau </w:t>
      </w:r>
      <w:proofErr w:type="spellStart"/>
      <w:r w:rsidR="00620BDC"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care calculează SCR cu modelul intern </w:t>
      </w:r>
      <w:r w:rsidR="00757637" w:rsidRPr="000508B6">
        <w:rPr>
          <w:rFonts w:ascii="Times New Roman" w:hAnsi="Times New Roman" w:cs="Times New Roman"/>
          <w:lang w:val="ro-MD"/>
        </w:rPr>
        <w:t>aprobat la nivel de grup</w:t>
      </w:r>
      <w:r w:rsidRPr="000508B6">
        <w:rPr>
          <w:rFonts w:ascii="Times New Roman" w:hAnsi="Times New Roman" w:cs="Times New Roman"/>
          <w:lang w:val="ro-MD"/>
        </w:rPr>
        <w:t xml:space="preserve"> se abate </w:t>
      </w:r>
      <w:r w:rsidR="00757637" w:rsidRPr="000508B6">
        <w:rPr>
          <w:rFonts w:ascii="Times New Roman" w:hAnsi="Times New Roman" w:cs="Times New Roman"/>
          <w:lang w:val="ro-MD"/>
        </w:rPr>
        <w:t xml:space="preserve">semnificativ </w:t>
      </w:r>
      <w:r w:rsidRPr="000508B6">
        <w:rPr>
          <w:rFonts w:ascii="Times New Roman" w:hAnsi="Times New Roman" w:cs="Times New Roman"/>
          <w:lang w:val="ro-MD"/>
        </w:rPr>
        <w:t>de la ipotezele care stau la baza modelului respectiv</w:t>
      </w:r>
      <w:r w:rsidR="00620BDC" w:rsidRPr="000508B6">
        <w:rPr>
          <w:rFonts w:ascii="Times New Roman" w:hAnsi="Times New Roman" w:cs="Times New Roman"/>
          <w:lang w:val="ro-MD"/>
        </w:rPr>
        <w:t xml:space="preserve"> și asigurătorul sau </w:t>
      </w:r>
      <w:proofErr w:type="spellStart"/>
      <w:r w:rsidR="00620BDC" w:rsidRPr="000508B6">
        <w:rPr>
          <w:rFonts w:ascii="Times New Roman" w:hAnsi="Times New Roman" w:cs="Times New Roman"/>
          <w:lang w:val="ro-MD"/>
        </w:rPr>
        <w:t>reasigurătorul</w:t>
      </w:r>
      <w:proofErr w:type="spellEnd"/>
      <w:r w:rsidR="00620BDC" w:rsidRPr="000508B6">
        <w:rPr>
          <w:rFonts w:ascii="Times New Roman" w:hAnsi="Times New Roman" w:cs="Times New Roman"/>
          <w:lang w:val="ro-MD"/>
        </w:rPr>
        <w:t xml:space="preserve"> nu remediază situația</w:t>
      </w:r>
      <w:r w:rsidRPr="000508B6">
        <w:rPr>
          <w:rFonts w:ascii="Times New Roman" w:hAnsi="Times New Roman" w:cs="Times New Roman"/>
          <w:lang w:val="ro-MD"/>
        </w:rPr>
        <w:t xml:space="preserve">, Banca Națională a Moldovei poate impune o majorare </w:t>
      </w:r>
      <w:r w:rsidR="00C444CF" w:rsidRPr="000508B6">
        <w:rPr>
          <w:rFonts w:ascii="Times New Roman" w:hAnsi="Times New Roman" w:cs="Times New Roman"/>
          <w:lang w:val="ro-MD"/>
        </w:rPr>
        <w:t>a SCR</w:t>
      </w:r>
      <w:r w:rsidRPr="000508B6">
        <w:rPr>
          <w:rFonts w:ascii="Times New Roman" w:hAnsi="Times New Roman" w:cs="Times New Roman"/>
          <w:lang w:val="ro-MD"/>
        </w:rPr>
        <w:t xml:space="preserve"> în conformitate cu prevederile art. </w:t>
      </w:r>
      <w:r w:rsidR="000C68FD" w:rsidRPr="000508B6">
        <w:rPr>
          <w:rFonts w:ascii="Times New Roman" w:hAnsi="Times New Roman" w:cs="Times New Roman"/>
          <w:lang w:val="ro-MD"/>
        </w:rPr>
        <w:t>18</w:t>
      </w:r>
      <w:r w:rsidR="00D10F3D" w:rsidRPr="000508B6">
        <w:rPr>
          <w:rFonts w:ascii="Times New Roman" w:hAnsi="Times New Roman" w:cs="Times New Roman"/>
          <w:lang w:val="ro-MD"/>
        </w:rPr>
        <w:t>3</w:t>
      </w:r>
      <w:r w:rsidR="000C68FD" w:rsidRPr="000508B6">
        <w:rPr>
          <w:rFonts w:ascii="Times New Roman" w:hAnsi="Times New Roman" w:cs="Times New Roman"/>
          <w:lang w:val="ro-MD"/>
        </w:rPr>
        <w:t xml:space="preserve"> </w:t>
      </w:r>
      <w:r w:rsidRPr="000508B6">
        <w:rPr>
          <w:rFonts w:ascii="Times New Roman" w:hAnsi="Times New Roman" w:cs="Times New Roman"/>
          <w:lang w:val="ro-MD"/>
        </w:rPr>
        <w:t xml:space="preserve">sau, în cazul în care </w:t>
      </w:r>
      <w:r w:rsidR="00757637" w:rsidRPr="000508B6">
        <w:rPr>
          <w:rFonts w:ascii="Times New Roman" w:hAnsi="Times New Roman" w:cs="Times New Roman"/>
          <w:lang w:val="ro-MD"/>
        </w:rPr>
        <w:t>impunerea unei majorări de capital nu este adecvată</w:t>
      </w:r>
      <w:r w:rsidRPr="000508B6">
        <w:rPr>
          <w:rFonts w:ascii="Times New Roman" w:hAnsi="Times New Roman" w:cs="Times New Roman"/>
          <w:lang w:val="ro-MD"/>
        </w:rPr>
        <w:t xml:space="preserve">, </w:t>
      </w:r>
      <w:r w:rsidR="00757637" w:rsidRPr="000508B6">
        <w:rPr>
          <w:rFonts w:ascii="Times New Roman" w:hAnsi="Times New Roman" w:cs="Times New Roman"/>
          <w:lang w:val="ro-MD"/>
        </w:rPr>
        <w:t xml:space="preserve">Banca </w:t>
      </w:r>
      <w:r w:rsidR="0057323D" w:rsidRPr="000508B6">
        <w:rPr>
          <w:rFonts w:ascii="Times New Roman" w:hAnsi="Times New Roman" w:cs="Times New Roman"/>
          <w:lang w:val="ro-MD"/>
        </w:rPr>
        <w:t xml:space="preserve">Națională </w:t>
      </w:r>
      <w:r w:rsidR="00757637" w:rsidRPr="000508B6">
        <w:rPr>
          <w:rFonts w:ascii="Times New Roman" w:hAnsi="Times New Roman" w:cs="Times New Roman"/>
          <w:lang w:val="ro-MD"/>
        </w:rPr>
        <w:t xml:space="preserve">a Moldovei poate impune </w:t>
      </w:r>
      <w:r w:rsidRPr="000508B6">
        <w:rPr>
          <w:rFonts w:ascii="Times New Roman" w:hAnsi="Times New Roman" w:cs="Times New Roman"/>
          <w:lang w:val="ro-MD"/>
        </w:rPr>
        <w:t xml:space="preserve">calcularea SCR cu formula standard.   </w:t>
      </w:r>
    </w:p>
    <w:p w14:paraId="6BA1FE13" w14:textId="30A538C1" w:rsidR="00F95829" w:rsidRPr="000508B6" w:rsidRDefault="00E0032C" w:rsidP="00CF5AFA">
      <w:pPr>
        <w:numPr>
          <w:ilvl w:val="0"/>
          <w:numId w:val="2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circumstanțe excepționale în care majorarea de capital este inadecvată, </w:t>
      </w:r>
      <w:r w:rsidR="00F95829" w:rsidRPr="000508B6">
        <w:rPr>
          <w:rFonts w:ascii="Times New Roman" w:hAnsi="Times New Roman" w:cs="Times New Roman"/>
          <w:lang w:val="ro-MD"/>
        </w:rPr>
        <w:t xml:space="preserve">Banca Națională a Moldovei poate </w:t>
      </w:r>
      <w:r w:rsidR="00757637" w:rsidRPr="000508B6">
        <w:rPr>
          <w:rFonts w:ascii="Times New Roman" w:hAnsi="Times New Roman" w:cs="Times New Roman"/>
          <w:lang w:val="ro-MD"/>
        </w:rPr>
        <w:t>impune</w:t>
      </w:r>
      <w:r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o majorare </w:t>
      </w:r>
      <w:r w:rsidR="00C444CF" w:rsidRPr="000508B6">
        <w:rPr>
          <w:rFonts w:ascii="Times New Roman" w:hAnsi="Times New Roman" w:cs="Times New Roman"/>
          <w:lang w:val="ro-MD"/>
        </w:rPr>
        <w:t>a SCR</w:t>
      </w:r>
      <w:r w:rsidR="00F95829" w:rsidRPr="000508B6">
        <w:rPr>
          <w:rFonts w:ascii="Times New Roman" w:hAnsi="Times New Roman" w:cs="Times New Roman"/>
          <w:lang w:val="ro-MD"/>
        </w:rPr>
        <w:t xml:space="preserve"> conform prevederilor alin. (3)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în cazul în care SCR a </w:t>
      </w:r>
      <w:r w:rsidR="009D0EB8" w:rsidRPr="000508B6">
        <w:rPr>
          <w:rFonts w:ascii="Times New Roman" w:hAnsi="Times New Roman" w:cs="Times New Roman"/>
          <w:lang w:val="ro-MD"/>
        </w:rPr>
        <w:t xml:space="preserve">unui asigurător sau </w:t>
      </w:r>
      <w:proofErr w:type="spellStart"/>
      <w:r w:rsidR="009D0EB8" w:rsidRPr="000508B6">
        <w:rPr>
          <w:rFonts w:ascii="Times New Roman" w:hAnsi="Times New Roman" w:cs="Times New Roman"/>
          <w:lang w:val="ro-MD"/>
        </w:rPr>
        <w:t>reasigurător</w:t>
      </w:r>
      <w:proofErr w:type="spellEnd"/>
      <w:r w:rsidR="00C444CF"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este calculată cu formula standard.   </w:t>
      </w:r>
    </w:p>
    <w:p w14:paraId="409D0913" w14:textId="3A45C745" w:rsidR="00F95829" w:rsidRPr="000508B6" w:rsidRDefault="00F95829" w:rsidP="00CF5AFA">
      <w:pPr>
        <w:numPr>
          <w:ilvl w:val="0"/>
          <w:numId w:val="2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Decizia motivată privind majorarea </w:t>
      </w:r>
      <w:r w:rsidR="00C444CF" w:rsidRPr="000508B6">
        <w:rPr>
          <w:rFonts w:ascii="Times New Roman" w:hAnsi="Times New Roman" w:cs="Times New Roman"/>
          <w:lang w:val="ro-MD"/>
        </w:rPr>
        <w:t>SCR</w:t>
      </w:r>
      <w:r w:rsidRPr="000508B6">
        <w:rPr>
          <w:rFonts w:ascii="Times New Roman" w:hAnsi="Times New Roman" w:cs="Times New Roman"/>
          <w:lang w:val="ro-MD"/>
        </w:rPr>
        <w:t xml:space="preserve">, adoptată în cazurile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(3)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(4), se comunică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respectiv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B10B49" w:rsidRPr="000508B6">
        <w:rPr>
          <w:rFonts w:ascii="Times New Roman" w:hAnsi="Times New Roman" w:cs="Times New Roman"/>
          <w:lang w:val="ro-MD"/>
        </w:rPr>
        <w:t xml:space="preserve">celorlalți membri ai </w:t>
      </w:r>
      <w:r w:rsidRPr="000508B6">
        <w:rPr>
          <w:rFonts w:ascii="Times New Roman" w:hAnsi="Times New Roman" w:cs="Times New Roman"/>
          <w:lang w:val="ro-MD"/>
        </w:rPr>
        <w:t xml:space="preserve">colegiului supraveghetorilor.   </w:t>
      </w:r>
    </w:p>
    <w:p w14:paraId="75633301" w14:textId="77777777" w:rsidR="001379E3" w:rsidRPr="000508B6" w:rsidRDefault="001379E3" w:rsidP="00CC0C7B">
      <w:pPr>
        <w:tabs>
          <w:tab w:val="left" w:pos="709"/>
        </w:tabs>
        <w:spacing w:after="0" w:line="240" w:lineRule="auto"/>
        <w:ind w:firstLine="426"/>
        <w:jc w:val="both"/>
        <w:rPr>
          <w:rFonts w:ascii="Times New Roman" w:hAnsi="Times New Roman" w:cs="Times New Roman"/>
          <w:lang w:val="ro-MD"/>
        </w:rPr>
      </w:pPr>
    </w:p>
    <w:p w14:paraId="28732C17" w14:textId="2818E43E"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w:t>
      </w:r>
      <w:r w:rsidR="00531AE6" w:rsidRPr="000508B6">
        <w:rPr>
          <w:rFonts w:ascii="Times New Roman" w:hAnsi="Times New Roman" w:cs="Times New Roman"/>
          <w:b/>
          <w:lang w:val="ro-MD"/>
        </w:rPr>
        <w:t>rticolul</w:t>
      </w:r>
      <w:r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139</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Majorarea </w:t>
      </w:r>
      <w:r w:rsidR="002D3E78" w:rsidRPr="000508B6">
        <w:rPr>
          <w:rFonts w:ascii="Times New Roman" w:hAnsi="Times New Roman" w:cs="Times New Roman"/>
          <w:lang w:val="ro-MD"/>
        </w:rPr>
        <w:t xml:space="preserve">de capital de solvabilitate </w:t>
      </w:r>
      <w:r w:rsidRPr="000508B6">
        <w:rPr>
          <w:rFonts w:ascii="Times New Roman" w:hAnsi="Times New Roman" w:cs="Times New Roman"/>
          <w:lang w:val="ro-MD"/>
        </w:rPr>
        <w:t xml:space="preserve">la nivel de grup </w:t>
      </w:r>
    </w:p>
    <w:p w14:paraId="656F3D67" w14:textId="3D63E3BC" w:rsidR="00F95829" w:rsidRPr="000508B6" w:rsidRDefault="00F95829" w:rsidP="007F0466">
      <w:pPr>
        <w:pStyle w:val="Listparagraf"/>
        <w:numPr>
          <w:ilvl w:val="1"/>
          <w:numId w:val="23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Pentru a determina dacă SCR la nivel de grup reflectă </w:t>
      </w:r>
      <w:r w:rsidR="00B75AA5" w:rsidRPr="000508B6">
        <w:rPr>
          <w:rFonts w:ascii="Times New Roman" w:hAnsi="Times New Roman" w:cs="Times New Roman"/>
          <w:lang w:val="ro-MD"/>
        </w:rPr>
        <w:t xml:space="preserve">în mod corespunzător </w:t>
      </w:r>
      <w:r w:rsidRPr="000508B6">
        <w:rPr>
          <w:rFonts w:ascii="Times New Roman" w:hAnsi="Times New Roman" w:cs="Times New Roman"/>
          <w:lang w:val="ro-MD"/>
        </w:rPr>
        <w:t xml:space="preserve">profilul de risc al grupului, Banca Națională a Moldovei are în vedere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0C68FD" w:rsidRPr="000508B6">
        <w:rPr>
          <w:rFonts w:ascii="Times New Roman" w:hAnsi="Times New Roman" w:cs="Times New Roman"/>
          <w:lang w:val="ro-MD"/>
        </w:rPr>
        <w:t>18</w:t>
      </w:r>
      <w:r w:rsidR="00D10F3D" w:rsidRPr="000508B6">
        <w:rPr>
          <w:rFonts w:ascii="Times New Roman" w:hAnsi="Times New Roman" w:cs="Times New Roman"/>
          <w:lang w:val="ro-MD"/>
        </w:rPr>
        <w:t>3</w:t>
      </w:r>
      <w:r w:rsidR="000C68FD" w:rsidRPr="000508B6">
        <w:rPr>
          <w:rFonts w:ascii="Times New Roman" w:hAnsi="Times New Roman" w:cs="Times New Roman"/>
          <w:lang w:val="ro-MD"/>
        </w:rPr>
        <w:t xml:space="preserve"> </w:t>
      </w:r>
      <w:r w:rsidRPr="000508B6">
        <w:rPr>
          <w:rFonts w:ascii="Times New Roman" w:hAnsi="Times New Roman" w:cs="Times New Roman"/>
          <w:lang w:val="ro-MD"/>
        </w:rPr>
        <w:t>alin. (1) lit. a) -</w:t>
      </w:r>
      <w:r w:rsidR="0064573C" w:rsidRPr="000508B6">
        <w:rPr>
          <w:rFonts w:ascii="Times New Roman" w:hAnsi="Times New Roman" w:cs="Times New Roman"/>
          <w:lang w:val="ro-MD"/>
        </w:rPr>
        <w:t xml:space="preserve"> </w:t>
      </w:r>
      <w:r w:rsidR="00E112C9" w:rsidRPr="000508B6">
        <w:rPr>
          <w:rFonts w:ascii="Times New Roman" w:hAnsi="Times New Roman" w:cs="Times New Roman"/>
          <w:lang w:val="ro-MD"/>
        </w:rPr>
        <w:t>d</w:t>
      </w:r>
      <w:r w:rsidRPr="000508B6">
        <w:rPr>
          <w:rFonts w:ascii="Times New Roman" w:hAnsi="Times New Roman" w:cs="Times New Roman"/>
          <w:lang w:val="ro-MD"/>
        </w:rPr>
        <w:t xml:space="preserve">) care se pot manifesta la nivel de grup, în special dacă:   </w:t>
      </w:r>
    </w:p>
    <w:p w14:paraId="77938A75" w14:textId="77777777" w:rsidR="00F95829" w:rsidRPr="000508B6" w:rsidRDefault="00F95829" w:rsidP="0064573C">
      <w:pPr>
        <w:numPr>
          <w:ilvl w:val="0"/>
          <w:numId w:val="30"/>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există riscuri specifice la nivel de grup care nu sunt captate suficient de formula standard sau de modelul intern, deoarece sunt dificil de cuantificat;   </w:t>
      </w:r>
    </w:p>
    <w:p w14:paraId="723395E0" w14:textId="263DB36B" w:rsidR="00F95829" w:rsidRPr="000508B6" w:rsidRDefault="00F95829" w:rsidP="0064573C">
      <w:pPr>
        <w:numPr>
          <w:ilvl w:val="0"/>
          <w:numId w:val="30"/>
        </w:numPr>
        <w:tabs>
          <w:tab w:val="left" w:pos="709"/>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supraveghetori au impus o majorare </w:t>
      </w:r>
      <w:r w:rsidR="00C444CF" w:rsidRPr="000508B6">
        <w:rPr>
          <w:rFonts w:ascii="Times New Roman" w:hAnsi="Times New Roman" w:cs="Times New Roman"/>
          <w:lang w:val="ro-MD"/>
        </w:rPr>
        <w:t>a SCR</w:t>
      </w:r>
      <w:r w:rsidRPr="000508B6">
        <w:rPr>
          <w:rFonts w:ascii="Times New Roman" w:hAnsi="Times New Roman" w:cs="Times New Roman"/>
          <w:lang w:val="ro-MD"/>
        </w:rPr>
        <w:t xml:space="preserve"> </w:t>
      </w:r>
      <w:r w:rsidR="00011DBC" w:rsidRPr="000508B6">
        <w:rPr>
          <w:rFonts w:ascii="Times New Roman" w:hAnsi="Times New Roman" w:cs="Times New Roman"/>
          <w:lang w:val="ro-MD"/>
        </w:rPr>
        <w:t xml:space="preserve">filialelor </w:t>
      </w:r>
      <w:r w:rsidR="00DC6A2F" w:rsidRPr="000508B6">
        <w:rPr>
          <w:rFonts w:ascii="Times New Roman" w:hAnsi="Times New Roman" w:cs="Times New Roman"/>
          <w:lang w:val="ro-MD"/>
        </w:rPr>
        <w:t xml:space="preserve">asigurătorilor sau </w:t>
      </w:r>
      <w:proofErr w:type="spellStart"/>
      <w:r w:rsidR="00DC6A2F" w:rsidRPr="000508B6">
        <w:rPr>
          <w:rFonts w:ascii="Times New Roman" w:hAnsi="Times New Roman" w:cs="Times New Roman"/>
          <w:lang w:val="ro-MD"/>
        </w:rPr>
        <w:t>reasigurătorilor</w:t>
      </w:r>
      <w:proofErr w:type="spellEnd"/>
      <w:r w:rsidR="00BF728C" w:rsidRPr="000508B6">
        <w:rPr>
          <w:rFonts w:ascii="Times New Roman" w:hAnsi="Times New Roman" w:cs="Times New Roman"/>
          <w:lang w:val="ro-MD"/>
        </w:rPr>
        <w:t xml:space="preserve"> </w:t>
      </w:r>
      <w:r w:rsidRPr="000508B6">
        <w:rPr>
          <w:rFonts w:ascii="Times New Roman" w:hAnsi="Times New Roman" w:cs="Times New Roman"/>
          <w:lang w:val="ro-MD"/>
        </w:rPr>
        <w:t>afilia</w:t>
      </w:r>
      <w:r w:rsidR="00DC6A2F" w:rsidRPr="000508B6">
        <w:rPr>
          <w:rFonts w:ascii="Times New Roman" w:hAnsi="Times New Roman" w:cs="Times New Roman"/>
          <w:lang w:val="ro-MD"/>
        </w:rPr>
        <w:t>ți</w:t>
      </w:r>
      <w:r w:rsidRPr="000508B6">
        <w:rPr>
          <w:rFonts w:ascii="Times New Roman" w:hAnsi="Times New Roman" w:cs="Times New Roman"/>
          <w:lang w:val="ro-MD"/>
        </w:rPr>
        <w:t xml:space="preserve">.   </w:t>
      </w:r>
    </w:p>
    <w:p w14:paraId="7256F3F1" w14:textId="5D0EF735" w:rsidR="0095267B" w:rsidRPr="000508B6" w:rsidRDefault="00F95829" w:rsidP="00230ADD">
      <w:pPr>
        <w:pStyle w:val="Listparagraf"/>
        <w:numPr>
          <w:ilvl w:val="1"/>
          <w:numId w:val="23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SCR la nivel de grup nu reflectă </w:t>
      </w:r>
      <w:r w:rsidR="00B75AA5" w:rsidRPr="000508B6">
        <w:rPr>
          <w:rFonts w:ascii="Times New Roman" w:hAnsi="Times New Roman" w:cs="Times New Roman"/>
          <w:lang w:val="ro-MD"/>
        </w:rPr>
        <w:t xml:space="preserve">în mod corespunzător </w:t>
      </w:r>
      <w:r w:rsidRPr="000508B6">
        <w:rPr>
          <w:rFonts w:ascii="Times New Roman" w:hAnsi="Times New Roman" w:cs="Times New Roman"/>
          <w:lang w:val="ro-MD"/>
        </w:rPr>
        <w:t xml:space="preserve">profilul de risc al grupului, Banca Națională a Moldovei </w:t>
      </w:r>
      <w:r w:rsidR="009A27A6" w:rsidRPr="000508B6">
        <w:rPr>
          <w:rFonts w:ascii="Times New Roman" w:hAnsi="Times New Roman" w:cs="Times New Roman"/>
          <w:lang w:val="ro-MD"/>
        </w:rPr>
        <w:t xml:space="preserve">poate </w:t>
      </w:r>
      <w:r w:rsidRPr="000508B6">
        <w:rPr>
          <w:rFonts w:ascii="Times New Roman" w:hAnsi="Times New Roman" w:cs="Times New Roman"/>
          <w:lang w:val="ro-MD"/>
        </w:rPr>
        <w:t xml:space="preserve">impune o majorare </w:t>
      </w:r>
      <w:r w:rsidR="00C444CF" w:rsidRPr="000508B6">
        <w:rPr>
          <w:rFonts w:ascii="Times New Roman" w:hAnsi="Times New Roman" w:cs="Times New Roman"/>
          <w:lang w:val="ro-MD"/>
        </w:rPr>
        <w:t>a SCR</w:t>
      </w:r>
      <w:r w:rsidR="00BF728C" w:rsidRPr="000508B6">
        <w:rPr>
          <w:rFonts w:ascii="Times New Roman" w:hAnsi="Times New Roman" w:cs="Times New Roman"/>
          <w:lang w:val="ro-MD"/>
        </w:rPr>
        <w:t xml:space="preserve"> pe bază consolidată a grupului</w:t>
      </w:r>
      <w:r w:rsidR="00030A69" w:rsidRPr="000508B6">
        <w:rPr>
          <w:rFonts w:ascii="Times New Roman" w:hAnsi="Times New Roman" w:cs="Times New Roman"/>
          <w:lang w:val="ro-MD"/>
        </w:rPr>
        <w:t xml:space="preserve"> </w:t>
      </w:r>
      <w:r w:rsidR="00352358" w:rsidRPr="000508B6">
        <w:rPr>
          <w:rFonts w:ascii="Times New Roman" w:hAnsi="Times New Roman" w:cs="Times New Roman"/>
          <w:lang w:val="ro-MD"/>
        </w:rPr>
        <w:t>în</w:t>
      </w:r>
      <w:r w:rsidR="00011DBC" w:rsidRPr="000508B6">
        <w:rPr>
          <w:rFonts w:ascii="Times New Roman" w:hAnsi="Times New Roman" w:cs="Times New Roman"/>
          <w:lang w:val="ro-MD"/>
        </w:rPr>
        <w:t xml:space="preserve"> conformitate cu art. </w:t>
      </w:r>
      <w:r w:rsidR="003834F2" w:rsidRPr="000508B6">
        <w:rPr>
          <w:rFonts w:ascii="Times New Roman" w:hAnsi="Times New Roman" w:cs="Times New Roman"/>
          <w:lang w:val="ro-MD"/>
        </w:rPr>
        <w:t xml:space="preserve">138 </w:t>
      </w:r>
      <w:r w:rsidR="00011DBC" w:rsidRPr="000508B6">
        <w:rPr>
          <w:rFonts w:ascii="Times New Roman" w:hAnsi="Times New Roman" w:cs="Times New Roman"/>
          <w:lang w:val="ro-MD"/>
        </w:rPr>
        <w:t xml:space="preserve">alin. (3) și </w:t>
      </w:r>
      <w:r w:rsidR="00F633AF" w:rsidRPr="000508B6">
        <w:rPr>
          <w:rFonts w:ascii="Times New Roman" w:hAnsi="Times New Roman" w:cs="Times New Roman"/>
          <w:lang w:val="ro-MD"/>
        </w:rPr>
        <w:t>art.</w:t>
      </w:r>
      <w:r w:rsidR="0064573C" w:rsidRPr="000508B6">
        <w:rPr>
          <w:rFonts w:ascii="Times New Roman" w:hAnsi="Times New Roman" w:cs="Times New Roman"/>
          <w:lang w:val="ro-MD"/>
        </w:rPr>
        <w:t xml:space="preserve"> </w:t>
      </w:r>
      <w:r w:rsidR="00011DBC" w:rsidRPr="000508B6">
        <w:rPr>
          <w:rFonts w:ascii="Times New Roman" w:hAnsi="Times New Roman" w:cs="Times New Roman"/>
          <w:lang w:val="ro-MD"/>
        </w:rPr>
        <w:t xml:space="preserve">183. </w:t>
      </w:r>
    </w:p>
    <w:p w14:paraId="283F8467" w14:textId="447C6383" w:rsidR="00A9251F" w:rsidRPr="000508B6" w:rsidRDefault="00AC4F20" w:rsidP="00230ADD">
      <w:pPr>
        <w:tabs>
          <w:tab w:val="left" w:pos="709"/>
          <w:tab w:val="left" w:pos="993"/>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bCs/>
          <w:lang w:val="ro-MD"/>
        </w:rPr>
        <w:t>(3</w:t>
      </w:r>
      <w:r w:rsidR="00C03720" w:rsidRPr="000508B6">
        <w:rPr>
          <w:rFonts w:ascii="Times New Roman" w:hAnsi="Times New Roman" w:cs="Times New Roman"/>
          <w:bCs/>
          <w:lang w:val="ro-MD"/>
        </w:rPr>
        <w:t>)</w:t>
      </w:r>
      <w:r w:rsidR="00C03720" w:rsidRPr="000508B6">
        <w:rPr>
          <w:rFonts w:ascii="Times New Roman" w:hAnsi="Times New Roman" w:cs="Times New Roman"/>
          <w:bCs/>
          <w:lang w:val="ro-MD"/>
        </w:rPr>
        <w:tab/>
        <w:t xml:space="preserve">În aplicarea prevederilor </w:t>
      </w:r>
      <w:r w:rsidRPr="000508B6">
        <w:rPr>
          <w:rFonts w:ascii="Times New Roman" w:hAnsi="Times New Roman" w:cs="Times New Roman"/>
          <w:bCs/>
          <w:lang w:val="ro-MD"/>
        </w:rPr>
        <w:t xml:space="preserve">prezentului </w:t>
      </w:r>
      <w:r w:rsidR="00C03720" w:rsidRPr="000508B6">
        <w:rPr>
          <w:rFonts w:ascii="Times New Roman" w:hAnsi="Times New Roman" w:cs="Times New Roman"/>
          <w:bCs/>
          <w:lang w:val="ro-MD"/>
        </w:rPr>
        <w:t>articol</w:t>
      </w:r>
      <w:r w:rsidR="00C3248E" w:rsidRPr="000508B6">
        <w:rPr>
          <w:rFonts w:ascii="Times New Roman" w:hAnsi="Times New Roman" w:cs="Times New Roman"/>
          <w:bCs/>
          <w:lang w:val="ro-MD"/>
        </w:rPr>
        <w:t xml:space="preserve"> și ale art. 136</w:t>
      </w:r>
      <w:r w:rsidR="005B1408" w:rsidRPr="000508B6">
        <w:rPr>
          <w:rFonts w:ascii="Times New Roman" w:hAnsi="Times New Roman" w:cs="Times New Roman"/>
          <w:bCs/>
          <w:lang w:val="ro-MD"/>
        </w:rPr>
        <w:t>–</w:t>
      </w:r>
      <w:r w:rsidR="00C3248E" w:rsidRPr="000508B6">
        <w:rPr>
          <w:rFonts w:ascii="Times New Roman" w:hAnsi="Times New Roman" w:cs="Times New Roman"/>
          <w:bCs/>
          <w:lang w:val="ro-MD"/>
        </w:rPr>
        <w:t>138</w:t>
      </w:r>
      <w:r w:rsidR="00C03720" w:rsidRPr="000508B6">
        <w:rPr>
          <w:rFonts w:ascii="Times New Roman" w:hAnsi="Times New Roman" w:cs="Times New Roman"/>
          <w:bCs/>
          <w:lang w:val="ro-MD"/>
        </w:rPr>
        <w:t xml:space="preserve">, sunt respectate dispozițiile din actele normative ale Băncii Naționale a Moldovei referitoare la circumstanțele în care se pot impune majorări de </w:t>
      </w:r>
      <w:r w:rsidR="001E1ACF" w:rsidRPr="000508B6">
        <w:rPr>
          <w:rFonts w:ascii="Times New Roman" w:hAnsi="Times New Roman" w:cs="Times New Roman"/>
          <w:bCs/>
          <w:lang w:val="ro-MD"/>
        </w:rPr>
        <w:t>SCR</w:t>
      </w:r>
      <w:r w:rsidR="00C03720" w:rsidRPr="000508B6">
        <w:rPr>
          <w:rFonts w:ascii="Times New Roman" w:hAnsi="Times New Roman" w:cs="Times New Roman"/>
          <w:bCs/>
          <w:lang w:val="ro-MD"/>
        </w:rPr>
        <w:t xml:space="preserve"> și metodologiile de calculare a acestora, precum și la stabilirea, calcularea și eliminarea majorărilor </w:t>
      </w:r>
      <w:r w:rsidR="001E1ACF" w:rsidRPr="000508B6">
        <w:rPr>
          <w:rFonts w:ascii="Times New Roman" w:hAnsi="Times New Roman" w:cs="Times New Roman"/>
          <w:bCs/>
          <w:lang w:val="ro-MD"/>
        </w:rPr>
        <w:t>de SCR</w:t>
      </w:r>
      <w:r w:rsidR="00C03720" w:rsidRPr="000508B6">
        <w:rPr>
          <w:rFonts w:ascii="Times New Roman" w:hAnsi="Times New Roman" w:cs="Times New Roman"/>
          <w:bCs/>
          <w:lang w:val="ro-MD"/>
        </w:rPr>
        <w:t>, iar prevederile art. 183, se aplică corespunzător.</w:t>
      </w:r>
      <w:r w:rsidR="00C03720" w:rsidRPr="000508B6">
        <w:rPr>
          <w:rFonts w:ascii="Times New Roman" w:hAnsi="Times New Roman" w:cs="Times New Roman"/>
          <w:bCs/>
          <w:lang w:val="ro-MD"/>
        </w:rPr>
        <w:tab/>
      </w:r>
    </w:p>
    <w:p w14:paraId="38B2F4F0" w14:textId="77777777" w:rsidR="00531AE6" w:rsidRPr="000508B6" w:rsidRDefault="00531AE6" w:rsidP="008B530F">
      <w:pPr>
        <w:tabs>
          <w:tab w:val="left" w:pos="993"/>
        </w:tabs>
        <w:spacing w:after="0" w:line="240" w:lineRule="auto"/>
        <w:ind w:firstLine="426"/>
        <w:jc w:val="both"/>
        <w:rPr>
          <w:rFonts w:ascii="Times New Roman" w:hAnsi="Times New Roman" w:cs="Times New Roman"/>
          <w:b/>
          <w:lang w:val="ro-MD"/>
        </w:rPr>
      </w:pPr>
    </w:p>
    <w:p w14:paraId="40099774" w14:textId="4B635E5D"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140</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Solvabilitatea la nivel de grup a unui holding de asigurare sau a unui holding financiar mixt   </w:t>
      </w:r>
    </w:p>
    <w:p w14:paraId="42B7A711" w14:textId="64B442D8" w:rsidR="00AD2258" w:rsidRPr="000508B6" w:rsidRDefault="00F95829" w:rsidP="00CF5AFA">
      <w:pPr>
        <w:pStyle w:val="Listparagraf"/>
        <w:numPr>
          <w:ilvl w:val="0"/>
          <w:numId w:val="413"/>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În cazul </w:t>
      </w:r>
      <w:r w:rsidR="006E1ABA" w:rsidRPr="000508B6">
        <w:rPr>
          <w:rFonts w:ascii="Times New Roman" w:hAnsi="Times New Roman" w:cs="Times New Roman"/>
          <w:lang w:val="ro-MD"/>
        </w:rPr>
        <w:t xml:space="preserve">în care </w:t>
      </w:r>
      <w:r w:rsidR="00D068AA" w:rsidRPr="000508B6">
        <w:rPr>
          <w:rFonts w:ascii="Times New Roman" w:hAnsi="Times New Roman" w:cs="Times New Roman"/>
          <w:lang w:val="ro-MD"/>
        </w:rPr>
        <w:t>asigurător</w:t>
      </w:r>
      <w:r w:rsidR="00D1141F" w:rsidRPr="000508B6">
        <w:rPr>
          <w:rFonts w:ascii="Times New Roman" w:hAnsi="Times New Roman" w:cs="Times New Roman"/>
          <w:lang w:val="ro-MD"/>
        </w:rPr>
        <w:t>ii</w:t>
      </w:r>
      <w:r w:rsidR="00D068AA" w:rsidRPr="000508B6">
        <w:rPr>
          <w:rFonts w:ascii="Times New Roman" w:hAnsi="Times New Roman" w:cs="Times New Roman"/>
          <w:lang w:val="ro-MD"/>
        </w:rPr>
        <w:t xml:space="preserve"> sau </w:t>
      </w:r>
      <w:proofErr w:type="spellStart"/>
      <w:r w:rsidR="00D068AA" w:rsidRPr="000508B6">
        <w:rPr>
          <w:rFonts w:ascii="Times New Roman" w:hAnsi="Times New Roman" w:cs="Times New Roman"/>
          <w:lang w:val="ro-MD"/>
        </w:rPr>
        <w:t>reasigurător</w:t>
      </w:r>
      <w:r w:rsidR="00D1141F" w:rsidRPr="000508B6">
        <w:rPr>
          <w:rFonts w:ascii="Times New Roman" w:hAnsi="Times New Roman" w:cs="Times New Roman"/>
          <w:lang w:val="ro-MD"/>
        </w:rPr>
        <w:t>ii</w:t>
      </w:r>
      <w:proofErr w:type="spellEnd"/>
      <w:r w:rsidR="006E1ABA" w:rsidRPr="000508B6">
        <w:rPr>
          <w:rFonts w:ascii="Times New Roman" w:hAnsi="Times New Roman" w:cs="Times New Roman"/>
          <w:lang w:val="ro-MD"/>
        </w:rPr>
        <w:t xml:space="preserve"> </w:t>
      </w:r>
      <w:r w:rsidR="00D1141F" w:rsidRPr="000508B6">
        <w:rPr>
          <w:rFonts w:ascii="Times New Roman" w:hAnsi="Times New Roman" w:cs="Times New Roman"/>
          <w:lang w:val="ro-MD"/>
        </w:rPr>
        <w:t>sunt</w:t>
      </w:r>
      <w:r w:rsidR="006E1ABA" w:rsidRPr="000508B6" w:rsidDel="00D1141F">
        <w:rPr>
          <w:rFonts w:ascii="Times New Roman" w:hAnsi="Times New Roman" w:cs="Times New Roman"/>
          <w:lang w:val="ro-MD"/>
        </w:rPr>
        <w:t xml:space="preserve"> </w:t>
      </w:r>
      <w:r w:rsidR="00D1141F" w:rsidRPr="000508B6">
        <w:rPr>
          <w:rFonts w:ascii="Times New Roman" w:hAnsi="Times New Roman" w:cs="Times New Roman"/>
          <w:lang w:val="ro-MD"/>
        </w:rPr>
        <w:t xml:space="preserve">filiale </w:t>
      </w:r>
      <w:r w:rsidR="006E1ABA" w:rsidRPr="000508B6">
        <w:rPr>
          <w:rFonts w:ascii="Times New Roman" w:hAnsi="Times New Roman" w:cs="Times New Roman"/>
          <w:lang w:val="ro-MD"/>
        </w:rPr>
        <w:t>a</w:t>
      </w:r>
      <w:r w:rsidR="00D1141F" w:rsidRPr="000508B6">
        <w:rPr>
          <w:rFonts w:ascii="Times New Roman" w:hAnsi="Times New Roman" w:cs="Times New Roman"/>
          <w:lang w:val="ro-MD"/>
        </w:rPr>
        <w:t>le</w:t>
      </w:r>
      <w:r w:rsidR="006E1ABA" w:rsidRPr="000508B6">
        <w:rPr>
          <w:rFonts w:ascii="Times New Roman" w:hAnsi="Times New Roman" w:cs="Times New Roman"/>
          <w:lang w:val="ro-MD"/>
        </w:rPr>
        <w:t xml:space="preserve"> </w:t>
      </w:r>
      <w:r w:rsidRPr="000508B6">
        <w:rPr>
          <w:rFonts w:ascii="Times New Roman" w:hAnsi="Times New Roman" w:cs="Times New Roman"/>
          <w:lang w:val="ro-MD"/>
        </w:rPr>
        <w:t xml:space="preserve">unui holding de asigurare sau al unui holding financiar mixt, </w:t>
      </w:r>
      <w:r w:rsidR="006E1ABA" w:rsidRPr="000508B6">
        <w:rPr>
          <w:rFonts w:ascii="Times New Roman" w:hAnsi="Times New Roman" w:cs="Times New Roman"/>
          <w:lang w:val="ro-MD"/>
        </w:rPr>
        <w:t xml:space="preserve">Banca Națională a Moldovei se asigură că </w:t>
      </w:r>
      <w:r w:rsidRPr="000508B6">
        <w:rPr>
          <w:rFonts w:ascii="Times New Roman" w:hAnsi="Times New Roman" w:cs="Times New Roman"/>
          <w:lang w:val="ro-MD"/>
        </w:rPr>
        <w:t xml:space="preserve">calcularea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se efectuează la nivelul holdingului respectiv, cu aplicarea prevederilor art. </w:t>
      </w:r>
      <w:r w:rsidR="00575F0B" w:rsidRPr="000508B6">
        <w:rPr>
          <w:rFonts w:ascii="Times New Roman" w:hAnsi="Times New Roman" w:cs="Times New Roman"/>
          <w:lang w:val="ro-MD"/>
        </w:rPr>
        <w:t>124 alin. (1) și (2) și ale art.</w:t>
      </w:r>
      <w:r w:rsidR="0064573C" w:rsidRPr="000508B6">
        <w:rPr>
          <w:rFonts w:ascii="Times New Roman" w:hAnsi="Times New Roman" w:cs="Times New Roman"/>
          <w:lang w:val="ro-MD"/>
        </w:rPr>
        <w:t xml:space="preserve"> </w:t>
      </w:r>
      <w:r w:rsidR="00575F0B" w:rsidRPr="000508B6">
        <w:rPr>
          <w:rFonts w:ascii="Times New Roman" w:hAnsi="Times New Roman" w:cs="Times New Roman"/>
          <w:lang w:val="ro-MD"/>
        </w:rPr>
        <w:t>125</w:t>
      </w:r>
      <w:r w:rsidR="005B1408" w:rsidRPr="000508B6">
        <w:rPr>
          <w:rFonts w:ascii="Times New Roman" w:hAnsi="Times New Roman" w:cs="Times New Roman"/>
          <w:lang w:val="ro-MD"/>
        </w:rPr>
        <w:t xml:space="preserve"> – </w:t>
      </w:r>
      <w:r w:rsidR="00575F0B" w:rsidRPr="000508B6">
        <w:rPr>
          <w:rFonts w:ascii="Times New Roman" w:hAnsi="Times New Roman" w:cs="Times New Roman"/>
          <w:lang w:val="ro-MD"/>
        </w:rPr>
        <w:t>138</w:t>
      </w:r>
      <w:r w:rsidR="00AD2258" w:rsidRPr="000508B6">
        <w:rPr>
          <w:rFonts w:ascii="Times New Roman" w:hAnsi="Times New Roman" w:cs="Times New Roman"/>
          <w:lang w:val="ro-MD"/>
        </w:rPr>
        <w:t>.</w:t>
      </w:r>
    </w:p>
    <w:p w14:paraId="4B041854" w14:textId="57FE97B6" w:rsidR="00F95829" w:rsidRPr="000508B6" w:rsidRDefault="00AD2258" w:rsidP="00CF5AFA">
      <w:pPr>
        <w:pStyle w:val="Listparagraf"/>
        <w:numPr>
          <w:ilvl w:val="0"/>
          <w:numId w:val="413"/>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În aplicarea alin.</w:t>
      </w:r>
      <w:r w:rsidR="0064573C" w:rsidRPr="000508B6">
        <w:rPr>
          <w:rFonts w:ascii="Times New Roman" w:hAnsi="Times New Roman" w:cs="Times New Roman"/>
          <w:lang w:val="ro-MD"/>
        </w:rPr>
        <w:t xml:space="preserve"> </w:t>
      </w:r>
      <w:r w:rsidRPr="000508B6">
        <w:rPr>
          <w:rFonts w:ascii="Times New Roman" w:hAnsi="Times New Roman" w:cs="Times New Roman"/>
          <w:lang w:val="ro-MD"/>
        </w:rPr>
        <w:t>(1)</w:t>
      </w:r>
      <w:r w:rsidR="00F95829" w:rsidRPr="000508B6">
        <w:rPr>
          <w:rFonts w:ascii="Times New Roman" w:hAnsi="Times New Roman" w:cs="Times New Roman"/>
          <w:lang w:val="ro-MD"/>
        </w:rPr>
        <w:t xml:space="preserve">, </w:t>
      </w:r>
      <w:r w:rsidR="00FB0F94" w:rsidRPr="000508B6">
        <w:rPr>
          <w:rFonts w:ascii="Times New Roman" w:hAnsi="Times New Roman" w:cs="Times New Roman"/>
          <w:lang w:val="ro-MD"/>
        </w:rPr>
        <w:t xml:space="preserve">societatea-mamă este tratată ca </w:t>
      </w:r>
      <w:r w:rsidR="00D1141F" w:rsidRPr="000508B6">
        <w:rPr>
          <w:rFonts w:ascii="Times New Roman" w:hAnsi="Times New Roman" w:cs="Times New Roman"/>
          <w:lang w:val="ro-MD"/>
        </w:rPr>
        <w:t xml:space="preserve">asigurător sau </w:t>
      </w:r>
      <w:proofErr w:type="spellStart"/>
      <w:r w:rsidR="00D1141F" w:rsidRPr="000508B6">
        <w:rPr>
          <w:rFonts w:ascii="Times New Roman" w:hAnsi="Times New Roman" w:cs="Times New Roman"/>
          <w:lang w:val="ro-MD"/>
        </w:rPr>
        <w:t>reasigurător</w:t>
      </w:r>
      <w:proofErr w:type="spellEnd"/>
      <w:r w:rsidR="00FB0F94" w:rsidRPr="000508B6">
        <w:rPr>
          <w:rFonts w:ascii="Times New Roman" w:hAnsi="Times New Roman" w:cs="Times New Roman"/>
          <w:lang w:val="ro-MD"/>
        </w:rPr>
        <w:t xml:space="preserve"> căreia i se aplică prevederile </w:t>
      </w:r>
      <w:r w:rsidR="00D1141F" w:rsidRPr="000508B6">
        <w:rPr>
          <w:rFonts w:ascii="Times New Roman" w:hAnsi="Times New Roman" w:cs="Times New Roman"/>
          <w:lang w:val="ro-MD"/>
        </w:rPr>
        <w:t>art.</w:t>
      </w:r>
      <w:r w:rsidR="0064573C" w:rsidRPr="000508B6">
        <w:rPr>
          <w:rFonts w:ascii="Times New Roman" w:hAnsi="Times New Roman" w:cs="Times New Roman"/>
          <w:lang w:val="ro-MD"/>
        </w:rPr>
        <w:t xml:space="preserve"> </w:t>
      </w:r>
      <w:r w:rsidR="00D1141F" w:rsidRPr="000508B6">
        <w:rPr>
          <w:rFonts w:ascii="Times New Roman" w:hAnsi="Times New Roman" w:cs="Times New Roman"/>
          <w:lang w:val="ro-MD"/>
        </w:rPr>
        <w:t>54</w:t>
      </w:r>
      <w:r w:rsidR="005B1408" w:rsidRPr="000508B6">
        <w:rPr>
          <w:rFonts w:ascii="Times New Roman" w:hAnsi="Times New Roman" w:cs="Times New Roman"/>
          <w:lang w:val="ro-MD"/>
        </w:rPr>
        <w:t xml:space="preserve"> – </w:t>
      </w:r>
      <w:r w:rsidR="00D1141F" w:rsidRPr="000508B6">
        <w:rPr>
          <w:rFonts w:ascii="Times New Roman" w:hAnsi="Times New Roman" w:cs="Times New Roman"/>
          <w:lang w:val="ro-MD"/>
        </w:rPr>
        <w:t>87</w:t>
      </w:r>
      <w:r w:rsidR="00B84B27"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r w:rsidR="00F95829" w:rsidRPr="000508B6">
        <w:rPr>
          <w:rFonts w:ascii="Times New Roman" w:hAnsi="Times New Roman" w:cs="Times New Roman"/>
          <w:color w:val="FF0000"/>
          <w:lang w:val="ro-MD"/>
        </w:rPr>
        <w:t xml:space="preserve">  </w:t>
      </w:r>
    </w:p>
    <w:p w14:paraId="1BCD475F" w14:textId="77777777" w:rsidR="00C35F22" w:rsidRPr="000508B6" w:rsidRDefault="00C35F22" w:rsidP="00FB0F94">
      <w:pPr>
        <w:tabs>
          <w:tab w:val="left" w:pos="851"/>
        </w:tabs>
        <w:spacing w:after="0" w:line="240" w:lineRule="auto"/>
        <w:ind w:firstLine="567"/>
        <w:jc w:val="center"/>
        <w:rPr>
          <w:rFonts w:ascii="Times New Roman" w:hAnsi="Times New Roman" w:cs="Times New Roman"/>
          <w:lang w:val="ro-MD"/>
        </w:rPr>
      </w:pPr>
    </w:p>
    <w:p w14:paraId="0E3A58FC" w14:textId="450F91BE" w:rsidR="00F95829" w:rsidRPr="000508B6" w:rsidRDefault="00F95829" w:rsidP="0072287B">
      <w:pPr>
        <w:tabs>
          <w:tab w:val="left" w:pos="993"/>
        </w:tabs>
        <w:spacing w:after="0" w:line="240" w:lineRule="auto"/>
        <w:jc w:val="center"/>
        <w:rPr>
          <w:rFonts w:ascii="Times New Roman" w:hAnsi="Times New Roman" w:cs="Times New Roman"/>
          <w:lang w:val="ro-MD"/>
        </w:rPr>
      </w:pPr>
      <w:r w:rsidRPr="000508B6">
        <w:rPr>
          <w:rFonts w:ascii="Times New Roman" w:hAnsi="Times New Roman" w:cs="Times New Roman"/>
          <w:lang w:val="ro-MD"/>
        </w:rPr>
        <w:t xml:space="preserve"> </w:t>
      </w:r>
      <w:r w:rsidRPr="000508B6">
        <w:rPr>
          <w:rFonts w:ascii="Times New Roman" w:hAnsi="Times New Roman" w:cs="Times New Roman"/>
          <w:b/>
          <w:lang w:val="ro-MD"/>
        </w:rPr>
        <w:t>Subsecțiunea 2.2</w:t>
      </w:r>
    </w:p>
    <w:p w14:paraId="6F746A3A" w14:textId="7F040038" w:rsidR="00F95829" w:rsidRPr="000508B6" w:rsidRDefault="003C777C" w:rsidP="0072287B">
      <w:pPr>
        <w:tabs>
          <w:tab w:val="left" w:pos="993"/>
        </w:tabs>
        <w:spacing w:after="0" w:line="240" w:lineRule="auto"/>
        <w:jc w:val="center"/>
        <w:rPr>
          <w:rFonts w:ascii="Times New Roman" w:hAnsi="Times New Roman" w:cs="Times New Roman"/>
          <w:b/>
          <w:lang w:val="ro-MD"/>
        </w:rPr>
      </w:pPr>
      <w:r w:rsidRPr="000508B6">
        <w:rPr>
          <w:rFonts w:ascii="Times New Roman" w:hAnsi="Times New Roman" w:cs="Times New Roman"/>
          <w:b/>
          <w:lang w:val="ro-MD"/>
        </w:rPr>
        <w:t>Supravegherea s</w:t>
      </w:r>
      <w:r w:rsidR="00F95829" w:rsidRPr="000508B6">
        <w:rPr>
          <w:rFonts w:ascii="Times New Roman" w:hAnsi="Times New Roman" w:cs="Times New Roman"/>
          <w:b/>
          <w:lang w:val="ro-MD"/>
        </w:rPr>
        <w:t>olvabilit</w:t>
      </w:r>
      <w:r w:rsidRPr="000508B6">
        <w:rPr>
          <w:rFonts w:ascii="Times New Roman" w:hAnsi="Times New Roman" w:cs="Times New Roman"/>
          <w:b/>
          <w:lang w:val="ro-MD"/>
        </w:rPr>
        <w:t>ății</w:t>
      </w:r>
      <w:r w:rsidR="00F95829" w:rsidRPr="000508B6">
        <w:rPr>
          <w:rFonts w:ascii="Times New Roman" w:hAnsi="Times New Roman" w:cs="Times New Roman"/>
          <w:b/>
          <w:lang w:val="ro-MD"/>
        </w:rPr>
        <w:t xml:space="preserve"> la nivel de grup pentru grupurile cu managementul riscului centralizat</w:t>
      </w:r>
    </w:p>
    <w:p w14:paraId="07F60447" w14:textId="77777777" w:rsidR="0072287B" w:rsidRPr="000508B6" w:rsidRDefault="0072287B" w:rsidP="008B530F">
      <w:pPr>
        <w:tabs>
          <w:tab w:val="left" w:pos="993"/>
        </w:tabs>
        <w:spacing w:after="0" w:line="240" w:lineRule="auto"/>
        <w:ind w:firstLine="426"/>
        <w:jc w:val="both"/>
        <w:rPr>
          <w:rFonts w:ascii="Times New Roman" w:hAnsi="Times New Roman" w:cs="Times New Roman"/>
          <w:b/>
          <w:lang w:val="ro-MD"/>
        </w:rPr>
      </w:pPr>
    </w:p>
    <w:p w14:paraId="601C1320" w14:textId="0D0817AE" w:rsidR="00F95829" w:rsidRPr="000508B6" w:rsidRDefault="0089249A"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141</w:t>
      </w:r>
      <w:r w:rsidR="00F95829" w:rsidRPr="000508B6">
        <w:rPr>
          <w:rFonts w:ascii="Times New Roman" w:hAnsi="Times New Roman" w:cs="Times New Roman"/>
          <w:b/>
          <w:lang w:val="ro-MD"/>
        </w:rPr>
        <w:t>.</w:t>
      </w:r>
      <w:r w:rsidR="00F95829" w:rsidRPr="000508B6">
        <w:rPr>
          <w:rFonts w:ascii="Times New Roman" w:hAnsi="Times New Roman" w:cs="Times New Roman"/>
          <w:lang w:val="ro-MD"/>
        </w:rPr>
        <w:t xml:space="preserve"> </w:t>
      </w:r>
      <w:r w:rsidR="00381032" w:rsidRPr="000508B6">
        <w:rPr>
          <w:rFonts w:ascii="Times New Roman" w:hAnsi="Times New Roman" w:cs="Times New Roman"/>
          <w:lang w:val="ro-MD"/>
        </w:rPr>
        <w:t>Condițiile f</w:t>
      </w:r>
      <w:r w:rsidR="0072287B" w:rsidRPr="000508B6">
        <w:rPr>
          <w:rFonts w:ascii="Times New Roman" w:hAnsi="Times New Roman" w:cs="Times New Roman"/>
          <w:lang w:val="ro-MD"/>
        </w:rPr>
        <w:t>ilialel</w:t>
      </w:r>
      <w:r w:rsidR="00381032" w:rsidRPr="000508B6">
        <w:rPr>
          <w:rFonts w:ascii="Times New Roman" w:hAnsi="Times New Roman" w:cs="Times New Roman"/>
          <w:lang w:val="ro-MD"/>
        </w:rPr>
        <w:t>or</w:t>
      </w:r>
      <w:r w:rsidR="0072287B" w:rsidRPr="000508B6">
        <w:rPr>
          <w:rFonts w:ascii="Times New Roman" w:hAnsi="Times New Roman" w:cs="Times New Roman"/>
          <w:lang w:val="ro-MD"/>
        </w:rPr>
        <w:t xml:space="preserve"> </w:t>
      </w:r>
      <w:r w:rsidR="006D5D94" w:rsidRPr="000508B6">
        <w:rPr>
          <w:rFonts w:ascii="Times New Roman" w:hAnsi="Times New Roman" w:cs="Times New Roman"/>
          <w:lang w:val="ro-MD"/>
        </w:rPr>
        <w:t xml:space="preserve">unui asigurător sau </w:t>
      </w:r>
      <w:proofErr w:type="spellStart"/>
      <w:r w:rsidR="006D5D94" w:rsidRPr="000508B6">
        <w:rPr>
          <w:rFonts w:ascii="Times New Roman" w:hAnsi="Times New Roman" w:cs="Times New Roman"/>
          <w:lang w:val="ro-MD"/>
        </w:rPr>
        <w:t>reasigurător</w:t>
      </w:r>
      <w:proofErr w:type="spellEnd"/>
    </w:p>
    <w:p w14:paraId="3016ADBC" w14:textId="17F7B144" w:rsidR="00F95829" w:rsidRPr="000508B6" w:rsidRDefault="00F95829" w:rsidP="00CF5AFA">
      <w:pPr>
        <w:pStyle w:val="Listparagraf"/>
        <w:numPr>
          <w:ilvl w:val="1"/>
          <w:numId w:val="231"/>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Prevederile art. </w:t>
      </w:r>
      <w:r w:rsidR="00BB44D4" w:rsidRPr="000508B6">
        <w:rPr>
          <w:rFonts w:ascii="Times New Roman" w:hAnsi="Times New Roman" w:cs="Times New Roman"/>
          <w:lang w:val="ro-MD"/>
        </w:rPr>
        <w:t>142</w:t>
      </w:r>
      <w:r w:rsidR="00921AB4"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w:t>
      </w:r>
      <w:r w:rsidR="005B1408" w:rsidRPr="000508B6">
        <w:rPr>
          <w:rFonts w:ascii="Times New Roman" w:hAnsi="Times New Roman" w:cs="Times New Roman"/>
          <w:lang w:val="ro-MD"/>
        </w:rPr>
        <w:t>–</w:t>
      </w:r>
      <w:r w:rsidRPr="000508B6">
        <w:rPr>
          <w:rFonts w:ascii="Times New Roman" w:hAnsi="Times New Roman" w:cs="Times New Roman"/>
          <w:lang w:val="ro-MD"/>
        </w:rPr>
        <w:t xml:space="preserve"> (3) se aplică </w:t>
      </w:r>
      <w:r w:rsidR="006D5D94" w:rsidRPr="000508B6">
        <w:rPr>
          <w:rFonts w:ascii="Times New Roman" w:hAnsi="Times New Roman" w:cs="Times New Roman"/>
          <w:lang w:val="ro-MD"/>
        </w:rPr>
        <w:t>asigu</w:t>
      </w:r>
      <w:r w:rsidR="008465EA" w:rsidRPr="000508B6">
        <w:rPr>
          <w:rFonts w:ascii="Times New Roman" w:hAnsi="Times New Roman" w:cs="Times New Roman"/>
          <w:lang w:val="ro-MD"/>
        </w:rPr>
        <w:t>r</w:t>
      </w:r>
      <w:r w:rsidR="006D5D94" w:rsidRPr="000508B6">
        <w:rPr>
          <w:rFonts w:ascii="Times New Roman" w:hAnsi="Times New Roman" w:cs="Times New Roman"/>
          <w:lang w:val="ro-MD"/>
        </w:rPr>
        <w:t xml:space="preserve">ătorilor sau </w:t>
      </w:r>
      <w:proofErr w:type="spellStart"/>
      <w:r w:rsidR="006D5D94" w:rsidRPr="000508B6">
        <w:rPr>
          <w:rFonts w:ascii="Times New Roman" w:hAnsi="Times New Roman" w:cs="Times New Roman"/>
          <w:lang w:val="ro-MD"/>
        </w:rPr>
        <w:t>reasigurătorilor</w:t>
      </w:r>
      <w:proofErr w:type="spellEnd"/>
      <w:r w:rsidR="00381032"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sunt filiale ale </w:t>
      </w:r>
      <w:r w:rsidR="006D5D94" w:rsidRPr="000508B6">
        <w:rPr>
          <w:rFonts w:ascii="Times New Roman" w:hAnsi="Times New Roman" w:cs="Times New Roman"/>
          <w:lang w:val="ro-MD"/>
        </w:rPr>
        <w:t xml:space="preserve">unui asigurător sau </w:t>
      </w:r>
      <w:proofErr w:type="spellStart"/>
      <w:r w:rsidR="006D5D94"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dacă sunt îndeplinite, cumulativ, următoarele </w:t>
      </w:r>
      <w:proofErr w:type="spellStart"/>
      <w:r w:rsidRPr="000508B6">
        <w:rPr>
          <w:rFonts w:ascii="Times New Roman" w:hAnsi="Times New Roman" w:cs="Times New Roman"/>
          <w:lang w:val="ro-MD"/>
        </w:rPr>
        <w:t>condiţii</w:t>
      </w:r>
      <w:proofErr w:type="spellEnd"/>
      <w:r w:rsidRPr="000508B6">
        <w:rPr>
          <w:rFonts w:ascii="Times New Roman" w:hAnsi="Times New Roman" w:cs="Times New Roman"/>
          <w:lang w:val="ro-MD"/>
        </w:rPr>
        <w:t xml:space="preserve">:   </w:t>
      </w:r>
    </w:p>
    <w:p w14:paraId="7113C97B" w14:textId="7ED9150E" w:rsidR="00F95829" w:rsidRPr="000508B6" w:rsidRDefault="00F95829" w:rsidP="00CF5AFA">
      <w:pPr>
        <w:numPr>
          <w:ilvl w:val="0"/>
          <w:numId w:val="31"/>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filiala este inclusă în supravegherea la nivel de grup, </w:t>
      </w:r>
      <w:r w:rsidR="00B15E68" w:rsidRPr="000508B6">
        <w:rPr>
          <w:rFonts w:ascii="Times New Roman" w:hAnsi="Times New Roman" w:cs="Times New Roman"/>
          <w:lang w:val="ro-MD"/>
        </w:rPr>
        <w:t xml:space="preserve">realizată de Banca Națională a Moldovei la nivelul </w:t>
      </w:r>
      <w:r w:rsidR="00B15E68" w:rsidRPr="000508B6" w:rsidDel="004125E8">
        <w:rPr>
          <w:rFonts w:ascii="Times New Roman" w:hAnsi="Times New Roman" w:cs="Times New Roman"/>
          <w:lang w:val="ro-MD"/>
        </w:rPr>
        <w:t>societății</w:t>
      </w:r>
      <w:r w:rsidR="0064573C" w:rsidRPr="000508B6">
        <w:rPr>
          <w:rFonts w:ascii="Times New Roman" w:hAnsi="Times New Roman" w:cs="Times New Roman"/>
          <w:lang w:val="ro-MD"/>
        </w:rPr>
        <w:t xml:space="preserve"> </w:t>
      </w:r>
      <w:r w:rsidR="00B15E68" w:rsidRPr="000508B6">
        <w:rPr>
          <w:rFonts w:ascii="Times New Roman" w:hAnsi="Times New Roman" w:cs="Times New Roman"/>
          <w:lang w:val="ro-MD"/>
        </w:rPr>
        <w:t xml:space="preserve">mamă, </w:t>
      </w: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prezentului </w:t>
      </w:r>
      <w:r w:rsidR="0043053C" w:rsidRPr="000508B6">
        <w:rPr>
          <w:rFonts w:ascii="Times New Roman" w:hAnsi="Times New Roman" w:cs="Times New Roman"/>
          <w:lang w:val="ro-MD"/>
        </w:rPr>
        <w:t>capitol</w:t>
      </w:r>
      <w:r w:rsidRPr="000508B6">
        <w:rPr>
          <w:rFonts w:ascii="Times New Roman" w:hAnsi="Times New Roman" w:cs="Times New Roman"/>
          <w:lang w:val="ro-MD"/>
        </w:rPr>
        <w:t xml:space="preserve">;   </w:t>
      </w:r>
    </w:p>
    <w:p w14:paraId="1F2558C4" w14:textId="5B2DE091" w:rsidR="00F95829" w:rsidRPr="000508B6" w:rsidRDefault="00F95829" w:rsidP="00CF5AFA">
      <w:pPr>
        <w:numPr>
          <w:ilvl w:val="0"/>
          <w:numId w:val="31"/>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procesele de management</w:t>
      </w:r>
      <w:r w:rsidR="00BC6159" w:rsidRPr="000508B6">
        <w:rPr>
          <w:rFonts w:ascii="Times New Roman" w:hAnsi="Times New Roman" w:cs="Times New Roman"/>
          <w:lang w:val="ro-MD"/>
        </w:rPr>
        <w:t xml:space="preserve"> a</w:t>
      </w:r>
      <w:r w:rsidRPr="000508B6">
        <w:rPr>
          <w:rFonts w:ascii="Times New Roman" w:hAnsi="Times New Roman" w:cs="Times New Roman"/>
          <w:lang w:val="ro-MD"/>
        </w:rPr>
        <w:t xml:space="preserve">l riscului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mecanismele de control intern ale </w:t>
      </w:r>
      <w:proofErr w:type="spellStart"/>
      <w:r w:rsidRPr="000508B6" w:rsidDel="004125E8">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acoperă filiala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sunt considerate de către </w:t>
      </w:r>
      <w:r w:rsidR="00876310" w:rsidRPr="000508B6">
        <w:rPr>
          <w:rFonts w:ascii="Times New Roman" w:hAnsi="Times New Roman" w:cs="Times New Roman"/>
          <w:lang w:val="ro-MD"/>
        </w:rPr>
        <w:t>supraveghetorii</w:t>
      </w:r>
      <w:r w:rsidRPr="000508B6">
        <w:rPr>
          <w:rFonts w:ascii="Times New Roman" w:hAnsi="Times New Roman" w:cs="Times New Roman"/>
          <w:lang w:val="ro-MD"/>
        </w:rPr>
        <w:t xml:space="preserve"> implica</w:t>
      </w:r>
      <w:r w:rsidR="00876310" w:rsidRPr="000508B6">
        <w:rPr>
          <w:rFonts w:ascii="Times New Roman" w:hAnsi="Times New Roman" w:cs="Times New Roman"/>
          <w:lang w:val="ro-MD"/>
        </w:rPr>
        <w:t>ți</w:t>
      </w:r>
      <w:r w:rsidRPr="000508B6">
        <w:rPr>
          <w:rFonts w:ascii="Times New Roman" w:hAnsi="Times New Roman" w:cs="Times New Roman"/>
          <w:lang w:val="ro-MD"/>
        </w:rPr>
        <w:t xml:space="preserve"> ca fiind adecvate pentru exercitarea unui management prudent al filialei;   </w:t>
      </w:r>
    </w:p>
    <w:p w14:paraId="76CB0C06" w14:textId="10045C71" w:rsidR="00F95829" w:rsidRPr="000508B6" w:rsidRDefault="00F95829" w:rsidP="00CF5AFA">
      <w:pPr>
        <w:numPr>
          <w:ilvl w:val="0"/>
          <w:numId w:val="31"/>
        </w:numPr>
        <w:tabs>
          <w:tab w:val="left" w:pos="709"/>
        </w:tabs>
        <w:spacing w:after="0" w:line="240" w:lineRule="auto"/>
        <w:ind w:left="0" w:firstLine="426"/>
        <w:jc w:val="both"/>
        <w:rPr>
          <w:rFonts w:ascii="Times New Roman" w:hAnsi="Times New Roman" w:cs="Times New Roman"/>
          <w:lang w:val="ro-MD"/>
        </w:rPr>
      </w:pPr>
      <w:r w:rsidRPr="000508B6" w:rsidDel="004125E8">
        <w:rPr>
          <w:rFonts w:ascii="Times New Roman" w:hAnsi="Times New Roman" w:cs="Times New Roman"/>
          <w:lang w:val="ro-MD"/>
        </w:rPr>
        <w:t>societatea</w:t>
      </w:r>
      <w:r w:rsidR="005B1408" w:rsidRPr="000508B6">
        <w:rPr>
          <w:rFonts w:ascii="Times New Roman" w:hAnsi="Times New Roman" w:cs="Times New Roman"/>
          <w:lang w:val="ro-MD"/>
        </w:rPr>
        <w:t>–</w:t>
      </w:r>
      <w:r w:rsidRPr="000508B6">
        <w:rPr>
          <w:rFonts w:ascii="Times New Roman" w:hAnsi="Times New Roman" w:cs="Times New Roman"/>
          <w:lang w:val="ro-MD"/>
        </w:rPr>
        <w:t xml:space="preserve">mamă a primit aprobarea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art. </w:t>
      </w:r>
      <w:r w:rsidR="00BB44D4" w:rsidRPr="000508B6">
        <w:rPr>
          <w:rFonts w:ascii="Times New Roman" w:hAnsi="Times New Roman" w:cs="Times New Roman"/>
          <w:lang w:val="ro-MD"/>
        </w:rPr>
        <w:t>146</w:t>
      </w:r>
      <w:r w:rsidR="00921AB4"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BF16D7" w:rsidRPr="000508B6" w:rsidDel="0048099D">
        <w:rPr>
          <w:rFonts w:ascii="Times New Roman" w:hAnsi="Times New Roman" w:cs="Times New Roman"/>
          <w:lang w:val="ro-MD"/>
        </w:rPr>
        <w:t>10</w:t>
      </w:r>
      <w:r w:rsidRPr="000508B6">
        <w:rPr>
          <w:rFonts w:ascii="Times New Roman" w:hAnsi="Times New Roman" w:cs="Times New Roman"/>
          <w:lang w:val="ro-MD"/>
        </w:rPr>
        <w:t xml:space="preserve">);   </w:t>
      </w:r>
    </w:p>
    <w:p w14:paraId="6699448E" w14:textId="2DB85CAA" w:rsidR="00F95829" w:rsidRPr="000508B6" w:rsidRDefault="00F95829" w:rsidP="00CF5AFA">
      <w:pPr>
        <w:numPr>
          <w:ilvl w:val="0"/>
          <w:numId w:val="31"/>
        </w:numPr>
        <w:tabs>
          <w:tab w:val="left" w:pos="709"/>
        </w:tabs>
        <w:spacing w:after="0" w:line="240" w:lineRule="auto"/>
        <w:ind w:left="0" w:firstLine="426"/>
        <w:jc w:val="both"/>
        <w:rPr>
          <w:rFonts w:ascii="Times New Roman" w:hAnsi="Times New Roman" w:cs="Times New Roman"/>
          <w:lang w:val="ro-MD"/>
        </w:rPr>
      </w:pPr>
      <w:r w:rsidRPr="000508B6" w:rsidDel="004125E8">
        <w:rPr>
          <w:rFonts w:ascii="Times New Roman" w:hAnsi="Times New Roman" w:cs="Times New Roman"/>
          <w:lang w:val="ro-MD"/>
        </w:rPr>
        <w:t>societatea</w:t>
      </w:r>
      <w:r w:rsidR="005B1408" w:rsidRPr="000508B6">
        <w:rPr>
          <w:rFonts w:ascii="Times New Roman" w:hAnsi="Times New Roman" w:cs="Times New Roman"/>
          <w:lang w:val="ro-MD"/>
        </w:rPr>
        <w:t>–</w:t>
      </w:r>
      <w:r w:rsidRPr="000508B6">
        <w:rPr>
          <w:rFonts w:ascii="Times New Roman" w:hAnsi="Times New Roman" w:cs="Times New Roman"/>
          <w:lang w:val="ro-MD"/>
        </w:rPr>
        <w:t xml:space="preserve">mamă a primit aprobarea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art. </w:t>
      </w:r>
      <w:r w:rsidR="00BB44D4" w:rsidRPr="000508B6">
        <w:rPr>
          <w:rFonts w:ascii="Times New Roman" w:hAnsi="Times New Roman" w:cs="Times New Roman"/>
          <w:lang w:val="ro-MD"/>
        </w:rPr>
        <w:t>193</w:t>
      </w:r>
      <w:r w:rsidR="00921AB4"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(24);   </w:t>
      </w:r>
    </w:p>
    <w:p w14:paraId="20E7D786" w14:textId="4CEDC07F" w:rsidR="00F95829" w:rsidRPr="000508B6" w:rsidRDefault="00F95829" w:rsidP="00CF5AFA">
      <w:pPr>
        <w:numPr>
          <w:ilvl w:val="0"/>
          <w:numId w:val="31"/>
        </w:numPr>
        <w:tabs>
          <w:tab w:val="left" w:pos="709"/>
        </w:tabs>
        <w:spacing w:after="0" w:line="240" w:lineRule="auto"/>
        <w:ind w:left="0" w:firstLine="426"/>
        <w:jc w:val="both"/>
        <w:rPr>
          <w:rFonts w:ascii="Times New Roman" w:hAnsi="Times New Roman" w:cs="Times New Roman"/>
          <w:lang w:val="ro-MD"/>
        </w:rPr>
      </w:pPr>
      <w:r w:rsidRPr="000508B6" w:rsidDel="004125E8">
        <w:rPr>
          <w:rFonts w:ascii="Times New Roman" w:hAnsi="Times New Roman" w:cs="Times New Roman"/>
          <w:lang w:val="ro-MD"/>
        </w:rPr>
        <w:t>societatea</w:t>
      </w:r>
      <w:r w:rsidR="005B1408" w:rsidRPr="000508B6">
        <w:rPr>
          <w:rFonts w:ascii="Times New Roman" w:hAnsi="Times New Roman" w:cs="Times New Roman"/>
          <w:lang w:val="ro-MD"/>
        </w:rPr>
        <w:t>–</w:t>
      </w:r>
      <w:r w:rsidRPr="000508B6">
        <w:rPr>
          <w:rFonts w:ascii="Times New Roman" w:hAnsi="Times New Roman" w:cs="Times New Roman"/>
          <w:lang w:val="ro-MD"/>
        </w:rPr>
        <w:t xml:space="preserve">mamă </w:t>
      </w:r>
      <w:r w:rsidR="00BC6159" w:rsidRPr="000508B6">
        <w:rPr>
          <w:rFonts w:ascii="Times New Roman" w:hAnsi="Times New Roman" w:cs="Times New Roman"/>
          <w:lang w:val="ro-MD"/>
        </w:rPr>
        <w:t xml:space="preserve">a </w:t>
      </w:r>
      <w:r w:rsidRPr="000508B6">
        <w:rPr>
          <w:rFonts w:ascii="Times New Roman" w:hAnsi="Times New Roman" w:cs="Times New Roman"/>
          <w:lang w:val="ro-MD"/>
        </w:rPr>
        <w:t>depu</w:t>
      </w:r>
      <w:r w:rsidR="00BC6159" w:rsidRPr="000508B6">
        <w:rPr>
          <w:rFonts w:ascii="Times New Roman" w:hAnsi="Times New Roman" w:cs="Times New Roman"/>
          <w:lang w:val="ro-MD"/>
        </w:rPr>
        <w:t>s</w:t>
      </w:r>
      <w:r w:rsidRPr="000508B6">
        <w:rPr>
          <w:rFonts w:ascii="Times New Roman" w:hAnsi="Times New Roman" w:cs="Times New Roman"/>
          <w:lang w:val="ro-MD"/>
        </w:rPr>
        <w:t xml:space="preserve"> o cerere privind aplicarea sistemului de management al riscului centralizat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02533D"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w:t>
      </w:r>
      <w:r w:rsidR="00BC6159" w:rsidRPr="000508B6">
        <w:rPr>
          <w:rFonts w:ascii="Times New Roman" w:hAnsi="Times New Roman" w:cs="Times New Roman"/>
          <w:lang w:val="ro-MD"/>
        </w:rPr>
        <w:t xml:space="preserve">a </w:t>
      </w:r>
      <w:r w:rsidRPr="000508B6">
        <w:rPr>
          <w:rFonts w:ascii="Times New Roman" w:hAnsi="Times New Roman" w:cs="Times New Roman"/>
          <w:lang w:val="ro-MD"/>
        </w:rPr>
        <w:t>aprob</w:t>
      </w:r>
      <w:r w:rsidR="00BC6159" w:rsidRPr="000508B6">
        <w:rPr>
          <w:rFonts w:ascii="Times New Roman" w:hAnsi="Times New Roman" w:cs="Times New Roman"/>
          <w:lang w:val="ro-MD"/>
        </w:rPr>
        <w:t>at</w:t>
      </w:r>
      <w:r w:rsidRPr="000508B6">
        <w:rPr>
          <w:rFonts w:ascii="Times New Roman" w:hAnsi="Times New Roman" w:cs="Times New Roman"/>
          <w:lang w:val="ro-MD"/>
        </w:rPr>
        <w:t xml:space="preserve"> cererea respectivă, urmând procedura aplicabilă prevăzută la art. </w:t>
      </w:r>
      <w:r w:rsidR="00BB44D4" w:rsidRPr="000508B6">
        <w:rPr>
          <w:rFonts w:ascii="Times New Roman" w:hAnsi="Times New Roman" w:cs="Times New Roman"/>
          <w:lang w:val="ro-MD"/>
        </w:rPr>
        <w:t>192</w:t>
      </w:r>
      <w:r w:rsidR="005B1408" w:rsidRPr="000508B6">
        <w:rPr>
          <w:rFonts w:ascii="Times New Roman" w:hAnsi="Times New Roman" w:cs="Times New Roman"/>
          <w:lang w:val="ro-MD"/>
        </w:rPr>
        <w:t>–</w:t>
      </w:r>
      <w:r w:rsidR="00BB44D4" w:rsidRPr="000508B6">
        <w:rPr>
          <w:rFonts w:ascii="Times New Roman" w:hAnsi="Times New Roman" w:cs="Times New Roman"/>
          <w:lang w:val="ro-MD"/>
        </w:rPr>
        <w:t>195</w:t>
      </w:r>
      <w:r w:rsidRPr="000508B6">
        <w:rPr>
          <w:rFonts w:ascii="Times New Roman" w:hAnsi="Times New Roman" w:cs="Times New Roman"/>
          <w:lang w:val="ro-MD"/>
        </w:rPr>
        <w:t xml:space="preserve">.   </w:t>
      </w:r>
    </w:p>
    <w:p w14:paraId="794404A5" w14:textId="3C6D6CA5" w:rsidR="00F95829" w:rsidRPr="000508B6" w:rsidRDefault="00F95829" w:rsidP="00230ADD">
      <w:pPr>
        <w:pStyle w:val="Listparagraf"/>
        <w:numPr>
          <w:ilvl w:val="1"/>
          <w:numId w:val="231"/>
        </w:numPr>
        <w:tabs>
          <w:tab w:val="left" w:pos="709"/>
          <w:tab w:val="left" w:pos="993"/>
        </w:tabs>
        <w:spacing w:after="0" w:line="240" w:lineRule="auto"/>
        <w:ind w:left="0" w:firstLine="426"/>
        <w:jc w:val="both"/>
        <w:rPr>
          <w:rFonts w:ascii="Times New Roman" w:hAnsi="Times New Roman" w:cs="Times New Roman"/>
          <w:lang w:val="ro-MD"/>
        </w:rPr>
      </w:pPr>
      <w:proofErr w:type="spellStart"/>
      <w:r w:rsidRPr="000508B6" w:rsidDel="004125E8">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îi revine </w:t>
      </w:r>
      <w:proofErr w:type="spellStart"/>
      <w:r w:rsidRPr="000508B6">
        <w:rPr>
          <w:rFonts w:ascii="Times New Roman" w:hAnsi="Times New Roman" w:cs="Times New Roman"/>
          <w:lang w:val="ro-MD"/>
        </w:rPr>
        <w:t>obligaţia</w:t>
      </w:r>
      <w:proofErr w:type="spellEnd"/>
      <w:r w:rsidRPr="000508B6">
        <w:rPr>
          <w:rFonts w:ascii="Times New Roman" w:hAnsi="Times New Roman" w:cs="Times New Roman"/>
          <w:lang w:val="ro-MD"/>
        </w:rPr>
        <w:t xml:space="preserve"> de a asigura respectarea în </w:t>
      </w:r>
      <w:proofErr w:type="spellStart"/>
      <w:r w:rsidRPr="000508B6">
        <w:rPr>
          <w:rFonts w:ascii="Times New Roman" w:hAnsi="Times New Roman" w:cs="Times New Roman"/>
          <w:lang w:val="ro-MD"/>
        </w:rPr>
        <w:t>permanenţă</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condiţiilor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 lit. b) </w:t>
      </w:r>
      <w:r w:rsidR="005B1408" w:rsidRPr="000508B6">
        <w:rPr>
          <w:rFonts w:ascii="Times New Roman" w:hAnsi="Times New Roman" w:cs="Times New Roman"/>
          <w:lang w:val="ro-MD"/>
        </w:rPr>
        <w:t>–</w:t>
      </w:r>
      <w:r w:rsidR="007F0466" w:rsidRPr="000508B6">
        <w:rPr>
          <w:rFonts w:ascii="Times New Roman" w:hAnsi="Times New Roman" w:cs="Times New Roman"/>
          <w:lang w:val="ro-MD"/>
        </w:rPr>
        <w:t xml:space="preserve"> </w:t>
      </w:r>
      <w:r w:rsidRPr="000508B6">
        <w:rPr>
          <w:rFonts w:ascii="Times New Roman" w:hAnsi="Times New Roman" w:cs="Times New Roman"/>
          <w:lang w:val="ro-MD"/>
        </w:rPr>
        <w:t>d</w:t>
      </w:r>
      <w:r w:rsidR="007F004E" w:rsidRPr="000508B6">
        <w:rPr>
          <w:rFonts w:ascii="Times New Roman" w:hAnsi="Times New Roman" w:cs="Times New Roman"/>
          <w:lang w:val="ro-MD"/>
        </w:rPr>
        <w:t>). Î</w:t>
      </w:r>
      <w:r w:rsidRPr="000508B6">
        <w:rPr>
          <w:rFonts w:ascii="Times New Roman" w:hAnsi="Times New Roman" w:cs="Times New Roman"/>
          <w:lang w:val="ro-MD"/>
        </w:rPr>
        <w:t xml:space="preserve">n cazul în care acestea nu mai sunt respectate, </w:t>
      </w:r>
      <w:r w:rsidRPr="000508B6" w:rsidDel="004125E8">
        <w:rPr>
          <w:rFonts w:ascii="Times New Roman" w:hAnsi="Times New Roman" w:cs="Times New Roman"/>
          <w:lang w:val="ro-MD"/>
        </w:rPr>
        <w:t>societatea</w:t>
      </w:r>
      <w:r w:rsidRPr="000508B6">
        <w:rPr>
          <w:rFonts w:ascii="Times New Roman" w:hAnsi="Times New Roman" w:cs="Times New Roman"/>
          <w:lang w:val="ro-MD"/>
        </w:rPr>
        <w:t xml:space="preserve">-mamă informează </w:t>
      </w:r>
      <w:r w:rsidR="00A23344" w:rsidRPr="000508B6">
        <w:rPr>
          <w:rFonts w:ascii="Times New Roman" w:hAnsi="Times New Roman" w:cs="Times New Roman"/>
          <w:lang w:val="ro-MD"/>
        </w:rPr>
        <w:t>imediat</w:t>
      </w:r>
      <w:r w:rsidRPr="000508B6">
        <w:rPr>
          <w:rFonts w:ascii="Times New Roman" w:hAnsi="Times New Roman" w:cs="Times New Roman"/>
          <w:lang w:val="ro-MD"/>
        </w:rPr>
        <w:t xml:space="preserve"> Banca Națională a Moldovei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A23344" w:rsidRPr="000508B6">
        <w:rPr>
          <w:rFonts w:ascii="Times New Roman" w:hAnsi="Times New Roman" w:cs="Times New Roman"/>
          <w:lang w:val="ro-MD"/>
        </w:rPr>
        <w:t>supraveghetor</w:t>
      </w:r>
      <w:r w:rsidR="00EC50C2" w:rsidRPr="000508B6">
        <w:rPr>
          <w:rFonts w:ascii="Times New Roman" w:hAnsi="Times New Roman" w:cs="Times New Roman"/>
          <w:lang w:val="ro-MD"/>
        </w:rPr>
        <w:t>ii</w:t>
      </w:r>
      <w:r w:rsidR="00A23344" w:rsidRPr="000508B6">
        <w:rPr>
          <w:rFonts w:ascii="Times New Roman" w:hAnsi="Times New Roman" w:cs="Times New Roman"/>
          <w:lang w:val="ro-MD"/>
        </w:rPr>
        <w:t xml:space="preserve"> </w:t>
      </w:r>
      <w:r w:rsidRPr="000508B6">
        <w:rPr>
          <w:rFonts w:ascii="Times New Roman" w:hAnsi="Times New Roman" w:cs="Times New Roman"/>
          <w:lang w:val="ro-MD"/>
        </w:rPr>
        <w:t>filial</w:t>
      </w:r>
      <w:r w:rsidR="00EC50C2" w:rsidRPr="000508B6">
        <w:rPr>
          <w:rFonts w:ascii="Times New Roman" w:hAnsi="Times New Roman" w:cs="Times New Roman"/>
          <w:lang w:val="ro-MD"/>
        </w:rPr>
        <w:t>elor</w:t>
      </w:r>
      <w:r w:rsidRPr="000508B6">
        <w:rPr>
          <w:rFonts w:ascii="Times New Roman" w:hAnsi="Times New Roman" w:cs="Times New Roman"/>
          <w:lang w:val="ro-MD"/>
        </w:rPr>
        <w:t xml:space="preserve"> despre acest </w:t>
      </w:r>
      <w:r w:rsidR="00BC6159" w:rsidRPr="000508B6">
        <w:rPr>
          <w:rFonts w:ascii="Times New Roman" w:hAnsi="Times New Roman" w:cs="Times New Roman"/>
          <w:lang w:val="ro-MD"/>
        </w:rPr>
        <w:t>fapt</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transmiţând</w:t>
      </w:r>
      <w:proofErr w:type="spellEnd"/>
      <w:r w:rsidRPr="000508B6">
        <w:rPr>
          <w:rFonts w:ascii="Times New Roman" w:hAnsi="Times New Roman" w:cs="Times New Roman"/>
          <w:lang w:val="ro-MD"/>
        </w:rPr>
        <w:t xml:space="preserve"> un plan de remediere a </w:t>
      </w:r>
      <w:proofErr w:type="spellStart"/>
      <w:r w:rsidRPr="000508B6">
        <w:rPr>
          <w:rFonts w:ascii="Times New Roman" w:hAnsi="Times New Roman" w:cs="Times New Roman"/>
          <w:lang w:val="ro-MD"/>
        </w:rPr>
        <w:t>situaţiei</w:t>
      </w:r>
      <w:proofErr w:type="spellEnd"/>
      <w:r w:rsidRPr="000508B6">
        <w:rPr>
          <w:rFonts w:ascii="Times New Roman" w:hAnsi="Times New Roman" w:cs="Times New Roman"/>
          <w:lang w:val="ro-MD"/>
        </w:rPr>
        <w:t xml:space="preserve">.   </w:t>
      </w:r>
    </w:p>
    <w:p w14:paraId="7AA1547A" w14:textId="717BFB87" w:rsidR="00F95829" w:rsidRPr="000508B6" w:rsidRDefault="00F95829" w:rsidP="00230ADD">
      <w:pPr>
        <w:pStyle w:val="Listparagraf"/>
        <w:numPr>
          <w:ilvl w:val="1"/>
          <w:numId w:val="231"/>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constată nerespectarea </w:t>
      </w:r>
      <w:proofErr w:type="spellStart"/>
      <w:r w:rsidRPr="000508B6">
        <w:rPr>
          <w:rFonts w:ascii="Times New Roman" w:hAnsi="Times New Roman" w:cs="Times New Roman"/>
          <w:lang w:val="ro-MD"/>
        </w:rPr>
        <w:t>condiţiilor</w:t>
      </w:r>
      <w:proofErr w:type="spellEnd"/>
      <w:r w:rsidRPr="000508B6">
        <w:rPr>
          <w:rFonts w:ascii="Times New Roman" w:hAnsi="Times New Roman" w:cs="Times New Roman"/>
          <w:lang w:val="ro-MD"/>
        </w:rPr>
        <w:t xml:space="preserve"> prevăzute la alin. (1) lit. b)</w:t>
      </w:r>
      <w:r w:rsidR="00A23344" w:rsidRPr="000508B6">
        <w:rPr>
          <w:rFonts w:ascii="Times New Roman" w:hAnsi="Times New Roman" w:cs="Times New Roman"/>
          <w:lang w:val="ro-MD"/>
        </w:rPr>
        <w:t xml:space="preserve"> </w:t>
      </w:r>
      <w:r w:rsidR="005B1408" w:rsidRPr="000508B6">
        <w:rPr>
          <w:rFonts w:ascii="Times New Roman" w:hAnsi="Times New Roman" w:cs="Times New Roman"/>
          <w:lang w:val="ro-MD"/>
        </w:rPr>
        <w:t>–</w:t>
      </w:r>
      <w:r w:rsidR="00A23344" w:rsidRPr="000508B6">
        <w:rPr>
          <w:rFonts w:ascii="Times New Roman" w:hAnsi="Times New Roman" w:cs="Times New Roman"/>
          <w:lang w:val="ro-MD"/>
        </w:rPr>
        <w:t xml:space="preserve"> </w:t>
      </w:r>
      <w:r w:rsidRPr="000508B6">
        <w:rPr>
          <w:rFonts w:ascii="Times New Roman" w:hAnsi="Times New Roman" w:cs="Times New Roman"/>
          <w:lang w:val="ro-MD"/>
        </w:rPr>
        <w:t>d)</w:t>
      </w:r>
      <w:r w:rsidR="00A51479" w:rsidRPr="000508B6">
        <w:rPr>
          <w:rFonts w:ascii="Times New Roman" w:hAnsi="Times New Roman" w:cs="Times New Roman"/>
          <w:lang w:val="ro-MD"/>
        </w:rPr>
        <w:t xml:space="preserve"> sau în urma notificării primite de la supraveghetorii filialelor </w:t>
      </w:r>
      <w:r w:rsidR="00B15E68" w:rsidRPr="000508B6">
        <w:rPr>
          <w:rFonts w:ascii="Times New Roman" w:hAnsi="Times New Roman" w:cs="Times New Roman"/>
          <w:lang w:val="ro-MD"/>
        </w:rPr>
        <w:t>care consideră că</w:t>
      </w:r>
      <w:r w:rsidR="00A51479" w:rsidRPr="000508B6">
        <w:rPr>
          <w:rFonts w:ascii="Times New Roman" w:hAnsi="Times New Roman" w:cs="Times New Roman"/>
          <w:lang w:val="ro-MD"/>
        </w:rPr>
        <w:t xml:space="preserve"> nu mai sunt îndeplinite</w:t>
      </w:r>
      <w:r w:rsidRPr="000508B6">
        <w:rPr>
          <w:rFonts w:ascii="Times New Roman" w:hAnsi="Times New Roman" w:cs="Times New Roman"/>
          <w:lang w:val="ro-MD"/>
        </w:rPr>
        <w:t xml:space="preserve"> </w:t>
      </w:r>
      <w:r w:rsidR="00B15E68" w:rsidRPr="000508B6">
        <w:rPr>
          <w:rFonts w:ascii="Times New Roman" w:hAnsi="Times New Roman" w:cs="Times New Roman"/>
          <w:lang w:val="ro-MD"/>
        </w:rPr>
        <w:t xml:space="preserve">condițiile respective, </w:t>
      </w:r>
      <w:r w:rsidR="00535DF9" w:rsidRPr="000508B6">
        <w:rPr>
          <w:rFonts w:ascii="Times New Roman" w:hAnsi="Times New Roman" w:cs="Times New Roman"/>
          <w:lang w:val="ro-MD"/>
        </w:rPr>
        <w:t>societatea-mamă prezintă</w:t>
      </w:r>
      <w:r w:rsidRPr="000508B6">
        <w:rPr>
          <w:rFonts w:ascii="Times New Roman" w:hAnsi="Times New Roman" w:cs="Times New Roman"/>
          <w:lang w:val="ro-MD"/>
        </w:rPr>
        <w:t xml:space="preserve"> un</w:t>
      </w:r>
      <w:r w:rsidR="00C61492" w:rsidRPr="000508B6">
        <w:rPr>
          <w:rFonts w:ascii="Times New Roman" w:hAnsi="Times New Roman" w:cs="Times New Roman"/>
          <w:lang w:val="ro-MD"/>
        </w:rPr>
        <w:t>ui</w:t>
      </w:r>
      <w:r w:rsidRPr="000508B6">
        <w:rPr>
          <w:rFonts w:ascii="Times New Roman" w:hAnsi="Times New Roman" w:cs="Times New Roman"/>
          <w:lang w:val="ro-MD"/>
        </w:rPr>
        <w:t xml:space="preserve"> plan </w:t>
      </w:r>
      <w:r w:rsidR="00A23344" w:rsidRPr="000508B6">
        <w:rPr>
          <w:rFonts w:ascii="Times New Roman" w:hAnsi="Times New Roman" w:cs="Times New Roman"/>
          <w:lang w:val="ro-MD"/>
        </w:rPr>
        <w:t xml:space="preserve">de restabilire a conformității cu respectivele condiții într-un termen </w:t>
      </w:r>
      <w:r w:rsidR="00C61492" w:rsidRPr="000508B6">
        <w:rPr>
          <w:rFonts w:ascii="Times New Roman" w:hAnsi="Times New Roman" w:cs="Times New Roman"/>
          <w:lang w:val="ro-MD"/>
        </w:rPr>
        <w:t>rezonabil</w:t>
      </w:r>
      <w:r w:rsidRPr="000508B6">
        <w:rPr>
          <w:rFonts w:ascii="Times New Roman" w:hAnsi="Times New Roman" w:cs="Times New Roman"/>
          <w:lang w:val="ro-MD"/>
        </w:rPr>
        <w:t xml:space="preserve">.   </w:t>
      </w:r>
    </w:p>
    <w:p w14:paraId="48C63693" w14:textId="77777777" w:rsidR="0089249A" w:rsidRPr="000508B6" w:rsidRDefault="00F95829" w:rsidP="008B530F">
      <w:pPr>
        <w:spacing w:after="0"/>
        <w:ind w:firstLine="426"/>
        <w:rPr>
          <w:rFonts w:ascii="Times New Roman" w:hAnsi="Times New Roman" w:cs="Times New Roman"/>
          <w:lang w:val="ro-MD"/>
        </w:rPr>
      </w:pPr>
      <w:r w:rsidRPr="000508B6">
        <w:rPr>
          <w:rFonts w:ascii="Times New Roman" w:hAnsi="Times New Roman" w:cs="Times New Roman"/>
          <w:lang w:val="ro-MD"/>
        </w:rPr>
        <w:t xml:space="preserve">  </w:t>
      </w:r>
    </w:p>
    <w:p w14:paraId="1A32D5E4" w14:textId="061BBF06"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142</w:t>
      </w:r>
      <w:r w:rsidRPr="000508B6">
        <w:rPr>
          <w:rFonts w:ascii="Times New Roman" w:hAnsi="Times New Roman" w:cs="Times New Roman"/>
          <w:b/>
          <w:lang w:val="ro-MD"/>
        </w:rPr>
        <w:t>.</w:t>
      </w:r>
      <w:r w:rsidR="0089249A" w:rsidRPr="000508B6">
        <w:rPr>
          <w:rFonts w:ascii="Times New Roman" w:hAnsi="Times New Roman" w:cs="Times New Roman"/>
          <w:b/>
          <w:lang w:val="ro-MD"/>
        </w:rPr>
        <w:t xml:space="preserve"> </w:t>
      </w:r>
      <w:r w:rsidRPr="000508B6">
        <w:rPr>
          <w:rFonts w:ascii="Times New Roman" w:hAnsi="Times New Roman" w:cs="Times New Roman"/>
          <w:lang w:val="ro-MD"/>
        </w:rPr>
        <w:t xml:space="preserve"> </w:t>
      </w:r>
      <w:r w:rsidR="00052993" w:rsidRPr="000508B6">
        <w:rPr>
          <w:rFonts w:ascii="Times New Roman" w:hAnsi="Times New Roman" w:cs="Times New Roman"/>
          <w:lang w:val="ro-MD"/>
        </w:rPr>
        <w:t xml:space="preserve">Determinarea </w:t>
      </w:r>
      <w:r w:rsidRPr="000508B6">
        <w:rPr>
          <w:rFonts w:ascii="Times New Roman" w:hAnsi="Times New Roman" w:cs="Times New Roman"/>
          <w:lang w:val="ro-MD"/>
        </w:rPr>
        <w:t xml:space="preserve">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MCR </w:t>
      </w:r>
      <w:r w:rsidR="00A23344" w:rsidRPr="000508B6">
        <w:rPr>
          <w:rFonts w:ascii="Times New Roman" w:hAnsi="Times New Roman" w:cs="Times New Roman"/>
          <w:lang w:val="ro-MD"/>
        </w:rPr>
        <w:t xml:space="preserve">a filialelor </w:t>
      </w:r>
      <w:r w:rsidR="00535DF9" w:rsidRPr="000508B6">
        <w:rPr>
          <w:rFonts w:ascii="Times New Roman" w:hAnsi="Times New Roman" w:cs="Times New Roman"/>
          <w:lang w:val="ro-MD"/>
        </w:rPr>
        <w:t xml:space="preserve">unui asigurător sau </w:t>
      </w:r>
      <w:proofErr w:type="spellStart"/>
      <w:r w:rsidR="00535DF9" w:rsidRPr="000508B6">
        <w:rPr>
          <w:rFonts w:ascii="Times New Roman" w:hAnsi="Times New Roman" w:cs="Times New Roman"/>
          <w:lang w:val="ro-MD"/>
        </w:rPr>
        <w:t>reasigurător</w:t>
      </w:r>
      <w:proofErr w:type="spellEnd"/>
      <w:r w:rsidR="00535DF9" w:rsidRPr="000508B6" w:rsidDel="00535DF9">
        <w:rPr>
          <w:rFonts w:ascii="Times New Roman" w:hAnsi="Times New Roman" w:cs="Times New Roman"/>
          <w:lang w:val="ro-MD"/>
        </w:rPr>
        <w:t xml:space="preserve"> </w:t>
      </w:r>
    </w:p>
    <w:p w14:paraId="2B445230" w14:textId="11EE82C7" w:rsidR="00F95829" w:rsidRPr="000508B6" w:rsidRDefault="00F95829" w:rsidP="007F0466">
      <w:pPr>
        <w:numPr>
          <w:ilvl w:val="0"/>
          <w:numId w:val="32"/>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SCR a filialelor </w:t>
      </w:r>
      <w:r w:rsidR="00A23B3A" w:rsidRPr="000508B6">
        <w:rPr>
          <w:rFonts w:ascii="Times New Roman" w:hAnsi="Times New Roman" w:cs="Times New Roman"/>
          <w:lang w:val="ro-MD"/>
        </w:rPr>
        <w:t xml:space="preserve">licențiate </w:t>
      </w:r>
      <w:r w:rsidRPr="000508B6">
        <w:rPr>
          <w:rFonts w:ascii="Times New Roman" w:hAnsi="Times New Roman" w:cs="Times New Roman"/>
          <w:lang w:val="ro-MD"/>
        </w:rPr>
        <w:t xml:space="preserve">de Banca Națională a Moldovei incluse în supravegherea la nivel de grup se calculează conform prevederilor art. </w:t>
      </w:r>
      <w:r w:rsidR="003834F2" w:rsidRPr="000508B6">
        <w:rPr>
          <w:rFonts w:ascii="Times New Roman" w:hAnsi="Times New Roman" w:cs="Times New Roman"/>
          <w:lang w:val="ro-MD"/>
        </w:rPr>
        <w:t xml:space="preserve">138 </w:t>
      </w:r>
      <w:r w:rsidRPr="000508B6">
        <w:rPr>
          <w:rFonts w:ascii="Times New Roman" w:hAnsi="Times New Roman" w:cs="Times New Roman"/>
          <w:lang w:val="ro-MD"/>
        </w:rPr>
        <w:t xml:space="preserve">alin. (1)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profilul de risc se abate semnificativ de la ipotezele care stau la baza modelului respectiv, Banca Națională a Moldovei</w:t>
      </w:r>
      <w:r w:rsidR="008224D9" w:rsidRPr="000508B6">
        <w:rPr>
          <w:rFonts w:ascii="Times New Roman" w:hAnsi="Times New Roman" w:cs="Times New Roman"/>
          <w:lang w:val="ro-MD"/>
        </w:rPr>
        <w:t xml:space="preserve"> </w:t>
      </w:r>
      <w:r w:rsidRPr="000508B6">
        <w:rPr>
          <w:rFonts w:ascii="Times New Roman" w:hAnsi="Times New Roman" w:cs="Times New Roman"/>
          <w:lang w:val="ro-MD"/>
        </w:rPr>
        <w:t xml:space="preserve">poate impune măsurile prevăzute la art. </w:t>
      </w:r>
      <w:r w:rsidR="003834F2" w:rsidRPr="000508B6">
        <w:rPr>
          <w:rFonts w:ascii="Times New Roman" w:hAnsi="Times New Roman" w:cs="Times New Roman"/>
          <w:lang w:val="ro-MD"/>
        </w:rPr>
        <w:t xml:space="preserve">138 </w:t>
      </w:r>
      <w:r w:rsidRPr="000508B6">
        <w:rPr>
          <w:rFonts w:ascii="Times New Roman" w:hAnsi="Times New Roman" w:cs="Times New Roman"/>
          <w:lang w:val="ro-MD"/>
        </w:rPr>
        <w:t xml:space="preserve">alin. (3).   </w:t>
      </w:r>
    </w:p>
    <w:p w14:paraId="7711C46A" w14:textId="0D200A07" w:rsidR="00F95829" w:rsidRPr="000508B6" w:rsidRDefault="00F95829" w:rsidP="00230ADD">
      <w:pPr>
        <w:numPr>
          <w:ilvl w:val="0"/>
          <w:numId w:val="32"/>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În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în care SCR a filialelor este calculată cu formula standard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profilul de risc deviază semnificativ de la ipotezele care stau la baza acesteia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dacă filialele nu remediază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w:t>
      </w:r>
      <w:r w:rsidR="00B611FC" w:rsidRPr="000508B6">
        <w:rPr>
          <w:rFonts w:ascii="Times New Roman" w:hAnsi="Times New Roman" w:cs="Times New Roman"/>
          <w:lang w:val="ro-MD"/>
        </w:rPr>
        <w:t xml:space="preserve">în </w:t>
      </w:r>
      <w:r w:rsidR="003D14EE" w:rsidRPr="000508B6">
        <w:rPr>
          <w:rFonts w:ascii="Times New Roman" w:hAnsi="Times New Roman" w:cs="Times New Roman"/>
          <w:lang w:val="ro-MD"/>
        </w:rPr>
        <w:t>cazuri</w:t>
      </w:r>
      <w:r w:rsidR="00B611FC" w:rsidRPr="000508B6">
        <w:rPr>
          <w:rFonts w:ascii="Times New Roman" w:hAnsi="Times New Roman" w:cs="Times New Roman"/>
          <w:lang w:val="ro-MD"/>
        </w:rPr>
        <w:t xml:space="preserve"> excepționale, </w:t>
      </w:r>
      <w:r w:rsidRPr="000508B6">
        <w:rPr>
          <w:rFonts w:ascii="Times New Roman" w:hAnsi="Times New Roman" w:cs="Times New Roman"/>
          <w:lang w:val="ro-MD"/>
        </w:rPr>
        <w:t xml:space="preserve">Banca Națională a Moldovei poate impune acestora, prin decizie motivată:   </w:t>
      </w:r>
    </w:p>
    <w:p w14:paraId="7FA9138F" w14:textId="72A196DC" w:rsidR="00F95829" w:rsidRPr="000508B6" w:rsidRDefault="00F95829" w:rsidP="00230ADD">
      <w:pPr>
        <w:numPr>
          <w:ilvl w:val="0"/>
          <w:numId w:val="3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înlocuiască în formula standard subseturi de parametri cu parametri specifici filialei pentru modulele de risc de subscriere </w:t>
      </w:r>
      <w:r w:rsidR="00654BDF" w:rsidRPr="000508B6">
        <w:rPr>
          <w:rFonts w:ascii="Times New Roman" w:hAnsi="Times New Roman" w:cs="Times New Roman"/>
          <w:lang w:val="ro-MD"/>
        </w:rPr>
        <w:t xml:space="preserve">pentru </w:t>
      </w:r>
      <w:r w:rsidR="00BA23CA" w:rsidRPr="000508B6">
        <w:rPr>
          <w:rFonts w:ascii="Times New Roman" w:hAnsi="Times New Roman" w:cs="Times New Roman"/>
          <w:lang w:val="ro-MD"/>
        </w:rPr>
        <w:t xml:space="preserve">activități de </w:t>
      </w:r>
      <w:r w:rsidR="00654BDF" w:rsidRPr="000508B6">
        <w:rPr>
          <w:rFonts w:ascii="Times New Roman" w:hAnsi="Times New Roman" w:cs="Times New Roman"/>
          <w:lang w:val="ro-MD"/>
        </w:rPr>
        <w:t>asigurare</w:t>
      </w:r>
      <w:r w:rsidRPr="000508B6">
        <w:rPr>
          <w:rFonts w:ascii="Times New Roman" w:hAnsi="Times New Roman" w:cs="Times New Roman"/>
          <w:lang w:val="ro-MD"/>
        </w:rPr>
        <w:t xml:space="preserve"> general</w:t>
      </w:r>
      <w:r w:rsidR="00654BDF" w:rsidRPr="000508B6">
        <w:rPr>
          <w:rFonts w:ascii="Times New Roman" w:hAnsi="Times New Roman" w:cs="Times New Roman"/>
          <w:lang w:val="ro-MD"/>
        </w:rPr>
        <w:t>ă</w:t>
      </w:r>
      <w:r w:rsidRPr="000508B6">
        <w:rPr>
          <w:rFonts w:ascii="Times New Roman" w:hAnsi="Times New Roman" w:cs="Times New Roman"/>
          <w:lang w:val="ro-MD"/>
        </w:rPr>
        <w:t xml:space="preserve">, </w:t>
      </w:r>
      <w:r w:rsidR="00654BDF" w:rsidRPr="000508B6">
        <w:rPr>
          <w:rFonts w:ascii="Times New Roman" w:hAnsi="Times New Roman" w:cs="Times New Roman"/>
          <w:lang w:val="ro-MD"/>
        </w:rPr>
        <w:t>asigurare</w:t>
      </w:r>
      <w:r w:rsidR="00C87C03" w:rsidRPr="000508B6">
        <w:rPr>
          <w:rFonts w:ascii="Times New Roman" w:hAnsi="Times New Roman" w:cs="Times New Roman"/>
          <w:lang w:val="ro-MD"/>
        </w:rPr>
        <w:t>a</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654BDF" w:rsidRPr="000508B6">
        <w:rPr>
          <w:rFonts w:ascii="Times New Roman" w:hAnsi="Times New Roman" w:cs="Times New Roman"/>
          <w:lang w:val="ro-MD"/>
        </w:rPr>
        <w:t>asigurare</w:t>
      </w:r>
      <w:r w:rsidR="00C87C03" w:rsidRPr="000508B6">
        <w:rPr>
          <w:rFonts w:ascii="Times New Roman" w:hAnsi="Times New Roman" w:cs="Times New Roman"/>
          <w:lang w:val="ro-MD"/>
        </w:rPr>
        <w:t>a</w:t>
      </w:r>
      <w:r w:rsidRPr="000508B6">
        <w:rPr>
          <w:rFonts w:ascii="Times New Roman" w:hAnsi="Times New Roman" w:cs="Times New Roman"/>
          <w:lang w:val="ro-MD"/>
        </w:rPr>
        <w:t xml:space="preserve"> de sănătate, conform prevederilor art. </w:t>
      </w:r>
      <w:r w:rsidR="00AE1080" w:rsidRPr="000508B6">
        <w:rPr>
          <w:rFonts w:ascii="Times New Roman" w:hAnsi="Times New Roman" w:cs="Times New Roman"/>
          <w:lang w:val="ro-MD"/>
        </w:rPr>
        <w:t>74</w:t>
      </w:r>
      <w:r w:rsidRPr="000508B6">
        <w:rPr>
          <w:rFonts w:ascii="Times New Roman" w:hAnsi="Times New Roman" w:cs="Times New Roman"/>
          <w:lang w:val="ro-MD"/>
        </w:rPr>
        <w:t xml:space="preserve">;   </w:t>
      </w:r>
    </w:p>
    <w:p w14:paraId="14605B4C" w14:textId="25142C26" w:rsidR="00F95829" w:rsidRPr="000508B6" w:rsidRDefault="00F95829" w:rsidP="00230ADD">
      <w:pPr>
        <w:numPr>
          <w:ilvl w:val="0"/>
          <w:numId w:val="3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majoreze </w:t>
      </w:r>
      <w:r w:rsidR="00307E4F" w:rsidRPr="000508B6">
        <w:rPr>
          <w:rFonts w:ascii="Times New Roman" w:hAnsi="Times New Roman" w:cs="Times New Roman"/>
          <w:lang w:val="ro-MD"/>
        </w:rPr>
        <w:t>SCR</w:t>
      </w:r>
      <w:r w:rsidRPr="000508B6">
        <w:rPr>
          <w:rFonts w:ascii="Times New Roman" w:hAnsi="Times New Roman" w:cs="Times New Roman"/>
          <w:lang w:val="ro-MD"/>
        </w:rPr>
        <w:t xml:space="preserve">, </w:t>
      </w:r>
      <w:r w:rsidR="00A71EB4" w:rsidRPr="000508B6">
        <w:rPr>
          <w:rFonts w:ascii="Times New Roman" w:hAnsi="Times New Roman" w:cs="Times New Roman"/>
          <w:lang w:val="ro-MD"/>
        </w:rPr>
        <w:t xml:space="preserve">în </w:t>
      </w:r>
      <w:r w:rsidR="00535DF9" w:rsidRPr="000508B6">
        <w:rPr>
          <w:rFonts w:ascii="Times New Roman" w:hAnsi="Times New Roman" w:cs="Times New Roman"/>
          <w:lang w:val="ro-MD"/>
        </w:rPr>
        <w:t xml:space="preserve">conformitate cu </w:t>
      </w:r>
      <w:r w:rsidR="003D14EE" w:rsidRPr="000508B6">
        <w:rPr>
          <w:rFonts w:ascii="Times New Roman" w:hAnsi="Times New Roman" w:cs="Times New Roman"/>
          <w:lang w:val="ro-MD"/>
        </w:rPr>
        <w:t>prevederile</w:t>
      </w:r>
      <w:r w:rsidRPr="000508B6">
        <w:rPr>
          <w:rFonts w:ascii="Times New Roman" w:hAnsi="Times New Roman" w:cs="Times New Roman"/>
          <w:lang w:val="ro-MD"/>
        </w:rPr>
        <w:t xml:space="preserve"> art. </w:t>
      </w:r>
      <w:r w:rsidR="000C68FD" w:rsidRPr="000508B6">
        <w:rPr>
          <w:rFonts w:ascii="Times New Roman" w:hAnsi="Times New Roman" w:cs="Times New Roman"/>
          <w:lang w:val="ro-MD"/>
        </w:rPr>
        <w:t>18</w:t>
      </w:r>
      <w:r w:rsidR="00D10F3D" w:rsidRPr="000508B6">
        <w:rPr>
          <w:rFonts w:ascii="Times New Roman" w:hAnsi="Times New Roman" w:cs="Times New Roman"/>
          <w:lang w:val="ro-MD"/>
        </w:rPr>
        <w:t>3</w:t>
      </w:r>
      <w:r w:rsidRPr="000508B6">
        <w:rPr>
          <w:rFonts w:ascii="Times New Roman" w:hAnsi="Times New Roman" w:cs="Times New Roman"/>
          <w:lang w:val="ro-MD"/>
        </w:rPr>
        <w:t xml:space="preserve">.   </w:t>
      </w:r>
    </w:p>
    <w:p w14:paraId="4F9B404F" w14:textId="2A6D70DD" w:rsidR="00F95829" w:rsidRPr="000508B6" w:rsidRDefault="00F95829" w:rsidP="00230ADD">
      <w:pPr>
        <w:numPr>
          <w:ilvl w:val="0"/>
          <w:numId w:val="32"/>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SCR sau MCR nu este respectată, filialele sunt supuse prevederilor art. </w:t>
      </w:r>
      <w:r w:rsidR="00AE1080" w:rsidRPr="000508B6">
        <w:rPr>
          <w:rFonts w:ascii="Times New Roman" w:hAnsi="Times New Roman" w:cs="Times New Roman"/>
          <w:lang w:val="ro-MD"/>
        </w:rPr>
        <w:t>156</w:t>
      </w:r>
      <w:r w:rsidR="008163DB" w:rsidRPr="000508B6">
        <w:rPr>
          <w:rFonts w:ascii="Times New Roman" w:hAnsi="Times New Roman" w:cs="Times New Roman"/>
          <w:lang w:val="ro-MD"/>
        </w:rPr>
        <w:t xml:space="preserve"> </w:t>
      </w:r>
      <w:r w:rsidRPr="000508B6">
        <w:rPr>
          <w:rFonts w:ascii="Times New Roman" w:hAnsi="Times New Roman" w:cs="Times New Roman"/>
          <w:lang w:val="ro-MD"/>
        </w:rPr>
        <w:t xml:space="preserve">sau </w:t>
      </w:r>
      <w:r w:rsidR="007F0466" w:rsidRPr="000508B6">
        <w:rPr>
          <w:rFonts w:ascii="Times New Roman" w:hAnsi="Times New Roman" w:cs="Times New Roman"/>
          <w:lang w:val="ro-MD"/>
        </w:rPr>
        <w:t xml:space="preserve">art. </w:t>
      </w:r>
      <w:r w:rsidR="00AE1080" w:rsidRPr="000508B6">
        <w:rPr>
          <w:rFonts w:ascii="Times New Roman" w:hAnsi="Times New Roman" w:cs="Times New Roman"/>
          <w:lang w:val="ro-MD"/>
        </w:rPr>
        <w:t>157</w:t>
      </w:r>
      <w:r w:rsidRPr="000508B6">
        <w:rPr>
          <w:rFonts w:ascii="Times New Roman" w:hAnsi="Times New Roman" w:cs="Times New Roman"/>
          <w:lang w:val="ro-MD"/>
        </w:rPr>
        <w:t xml:space="preserve">, după caz.   </w:t>
      </w:r>
    </w:p>
    <w:p w14:paraId="11FEFE67" w14:textId="6C0B0EF5" w:rsidR="00F95829" w:rsidRPr="000508B6" w:rsidRDefault="00F95829" w:rsidP="00230ADD">
      <w:pPr>
        <w:numPr>
          <w:ilvl w:val="0"/>
          <w:numId w:val="32"/>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Prevederile alin. (1) </w:t>
      </w:r>
      <w:r w:rsidR="005B1408" w:rsidRPr="000508B6">
        <w:rPr>
          <w:rFonts w:ascii="Times New Roman" w:hAnsi="Times New Roman" w:cs="Times New Roman"/>
          <w:lang w:val="ro-MD"/>
        </w:rPr>
        <w:t>–</w:t>
      </w:r>
      <w:r w:rsidRPr="000508B6">
        <w:rPr>
          <w:rFonts w:ascii="Times New Roman" w:hAnsi="Times New Roman" w:cs="Times New Roman"/>
          <w:lang w:val="ro-MD"/>
        </w:rPr>
        <w:t xml:space="preserve"> (3) încetează a se aplica în următoarele </w:t>
      </w:r>
      <w:proofErr w:type="spellStart"/>
      <w:r w:rsidRPr="000508B6">
        <w:rPr>
          <w:rFonts w:ascii="Times New Roman" w:hAnsi="Times New Roman" w:cs="Times New Roman"/>
          <w:lang w:val="ro-MD"/>
        </w:rPr>
        <w:t>situaţii</w:t>
      </w:r>
      <w:proofErr w:type="spellEnd"/>
      <w:r w:rsidRPr="000508B6">
        <w:rPr>
          <w:rFonts w:ascii="Times New Roman" w:hAnsi="Times New Roman" w:cs="Times New Roman"/>
          <w:lang w:val="ro-MD"/>
        </w:rPr>
        <w:t xml:space="preserve">:   </w:t>
      </w:r>
    </w:p>
    <w:p w14:paraId="7E7277E0" w14:textId="275F15B0" w:rsidR="00F95829" w:rsidRPr="000508B6" w:rsidRDefault="00F95829" w:rsidP="00230ADD">
      <w:pPr>
        <w:numPr>
          <w:ilvl w:val="0"/>
          <w:numId w:val="34"/>
        </w:numPr>
        <w:tabs>
          <w:tab w:val="left" w:pos="709"/>
          <w:tab w:val="left" w:pos="993"/>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AE1080" w:rsidRPr="000508B6">
        <w:rPr>
          <w:rFonts w:ascii="Times New Roman" w:hAnsi="Times New Roman" w:cs="Times New Roman"/>
          <w:lang w:val="ro-MD"/>
        </w:rPr>
        <w:t xml:space="preserve">141 </w:t>
      </w:r>
      <w:r w:rsidRPr="000508B6">
        <w:rPr>
          <w:rFonts w:ascii="Times New Roman" w:hAnsi="Times New Roman" w:cs="Times New Roman"/>
          <w:lang w:val="ro-MD"/>
        </w:rPr>
        <w:t xml:space="preserve">alin. (1) lit. a), c)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 nu mai sunt îndeplinite;   </w:t>
      </w:r>
    </w:p>
    <w:p w14:paraId="086DD100" w14:textId="6AB461AD" w:rsidR="00F95829" w:rsidRPr="000508B6" w:rsidRDefault="00F95829" w:rsidP="00230ADD">
      <w:pPr>
        <w:numPr>
          <w:ilvl w:val="0"/>
          <w:numId w:val="34"/>
        </w:numPr>
        <w:tabs>
          <w:tab w:val="left" w:pos="709"/>
          <w:tab w:val="left" w:pos="993"/>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AE1080" w:rsidRPr="000508B6">
        <w:rPr>
          <w:rFonts w:ascii="Times New Roman" w:hAnsi="Times New Roman" w:cs="Times New Roman"/>
          <w:lang w:val="ro-MD"/>
        </w:rPr>
        <w:t xml:space="preserve">141 </w:t>
      </w:r>
      <w:r w:rsidRPr="000508B6">
        <w:rPr>
          <w:rFonts w:ascii="Times New Roman" w:hAnsi="Times New Roman" w:cs="Times New Roman"/>
          <w:lang w:val="ro-MD"/>
        </w:rPr>
        <w:t xml:space="preserve">alin. (1) lit. b) nu mai sunt îndeplinite, iar grupul nu ia măsurile necesare pentru ca respectivele </w:t>
      </w:r>
      <w:proofErr w:type="spellStart"/>
      <w:r w:rsidRPr="000508B6">
        <w:rPr>
          <w:rFonts w:ascii="Times New Roman" w:hAnsi="Times New Roman" w:cs="Times New Roman"/>
          <w:lang w:val="ro-MD"/>
        </w:rPr>
        <w:t>condiţii</w:t>
      </w:r>
      <w:proofErr w:type="spellEnd"/>
      <w:r w:rsidRPr="000508B6">
        <w:rPr>
          <w:rFonts w:ascii="Times New Roman" w:hAnsi="Times New Roman" w:cs="Times New Roman"/>
          <w:lang w:val="ro-MD"/>
        </w:rPr>
        <w:t xml:space="preserve"> să fie din nou îndeplinite într</w:t>
      </w:r>
      <w:r w:rsidR="00CC5022" w:rsidRPr="000508B6">
        <w:rPr>
          <w:rFonts w:ascii="Times New Roman" w:hAnsi="Times New Roman" w:cs="Times New Roman"/>
          <w:lang w:val="ro-MD"/>
        </w:rPr>
        <w:t>-</w:t>
      </w:r>
      <w:r w:rsidRPr="000508B6">
        <w:rPr>
          <w:rFonts w:ascii="Times New Roman" w:hAnsi="Times New Roman" w:cs="Times New Roman"/>
          <w:lang w:val="ro-MD"/>
        </w:rPr>
        <w:t xml:space="preserve">un timp rezonabil.   </w:t>
      </w:r>
    </w:p>
    <w:p w14:paraId="77F7B3F4" w14:textId="46028BA7" w:rsidR="00F95829" w:rsidRPr="000508B6" w:rsidRDefault="00F95829" w:rsidP="00230ADD">
      <w:pPr>
        <w:numPr>
          <w:ilvl w:val="0"/>
          <w:numId w:val="32"/>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Prevederile alin. (1) </w:t>
      </w:r>
      <w:r w:rsidR="005B1408" w:rsidRPr="000508B6">
        <w:rPr>
          <w:rFonts w:ascii="Times New Roman" w:hAnsi="Times New Roman" w:cs="Times New Roman"/>
          <w:lang w:val="ro-MD"/>
        </w:rPr>
        <w:t>–</w:t>
      </w:r>
      <w:r w:rsidRPr="000508B6">
        <w:rPr>
          <w:rFonts w:ascii="Times New Roman" w:hAnsi="Times New Roman" w:cs="Times New Roman"/>
          <w:lang w:val="ro-MD"/>
        </w:rPr>
        <w:t xml:space="preserve"> (3) sunt din nou aplicabile dacă societatea-mamă solicită acest lucru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aprobare, în conformitate cu procedura aplicabilă prevăzută la art. </w:t>
      </w:r>
      <w:r w:rsidR="006C7611" w:rsidRPr="000508B6">
        <w:rPr>
          <w:rFonts w:ascii="Times New Roman" w:hAnsi="Times New Roman" w:cs="Times New Roman"/>
          <w:lang w:val="ro-MD"/>
        </w:rPr>
        <w:t>193  alin. (</w:t>
      </w:r>
      <w:r w:rsidR="00F97218" w:rsidRPr="000508B6">
        <w:rPr>
          <w:rFonts w:ascii="Times New Roman" w:hAnsi="Times New Roman" w:cs="Times New Roman"/>
          <w:lang w:val="ro-MD"/>
        </w:rPr>
        <w:t>40</w:t>
      </w:r>
      <w:r w:rsidR="006C7611" w:rsidRPr="000508B6">
        <w:rPr>
          <w:rFonts w:ascii="Times New Roman" w:hAnsi="Times New Roman" w:cs="Times New Roman"/>
          <w:lang w:val="ro-MD"/>
        </w:rPr>
        <w:t>)</w:t>
      </w:r>
      <w:r w:rsidR="005B1408" w:rsidRPr="000508B6">
        <w:rPr>
          <w:rFonts w:ascii="Times New Roman" w:hAnsi="Times New Roman" w:cs="Times New Roman"/>
          <w:lang w:val="ro-MD"/>
        </w:rPr>
        <w:t xml:space="preserve"> – </w:t>
      </w:r>
      <w:r w:rsidR="006C7611" w:rsidRPr="000508B6">
        <w:rPr>
          <w:rFonts w:ascii="Times New Roman" w:hAnsi="Times New Roman" w:cs="Times New Roman"/>
          <w:lang w:val="ro-MD"/>
        </w:rPr>
        <w:t>(</w:t>
      </w:r>
      <w:r w:rsidR="00F97218" w:rsidRPr="000508B6">
        <w:rPr>
          <w:rFonts w:ascii="Times New Roman" w:hAnsi="Times New Roman" w:cs="Times New Roman"/>
          <w:lang w:val="ro-MD"/>
        </w:rPr>
        <w:t>43</w:t>
      </w:r>
      <w:r w:rsidR="006C7611" w:rsidRPr="000508B6">
        <w:rPr>
          <w:rFonts w:ascii="Times New Roman" w:hAnsi="Times New Roman" w:cs="Times New Roman"/>
          <w:lang w:val="ro-MD"/>
        </w:rPr>
        <w:t xml:space="preserve">) și </w:t>
      </w:r>
      <w:r w:rsidR="007F0466" w:rsidRPr="000508B6">
        <w:rPr>
          <w:rFonts w:ascii="Times New Roman" w:hAnsi="Times New Roman" w:cs="Times New Roman"/>
          <w:lang w:val="ro-MD"/>
        </w:rPr>
        <w:t xml:space="preserve">art. </w:t>
      </w:r>
      <w:r w:rsidR="00247382" w:rsidRPr="000508B6">
        <w:rPr>
          <w:rFonts w:ascii="Times New Roman" w:hAnsi="Times New Roman" w:cs="Times New Roman"/>
          <w:lang w:val="ro-MD"/>
        </w:rPr>
        <w:t>194 alin. (</w:t>
      </w:r>
      <w:r w:rsidR="006E4118" w:rsidRPr="000508B6">
        <w:rPr>
          <w:rFonts w:ascii="Times New Roman" w:hAnsi="Times New Roman" w:cs="Times New Roman"/>
          <w:lang w:val="ro-MD"/>
        </w:rPr>
        <w:t>17</w:t>
      </w:r>
      <w:r w:rsidR="00247382" w:rsidRPr="000508B6">
        <w:rPr>
          <w:rFonts w:ascii="Times New Roman" w:hAnsi="Times New Roman" w:cs="Times New Roman"/>
          <w:lang w:val="ro-MD"/>
        </w:rPr>
        <w:t>) și (</w:t>
      </w:r>
      <w:r w:rsidR="006E4118" w:rsidRPr="000508B6">
        <w:rPr>
          <w:rFonts w:ascii="Times New Roman" w:hAnsi="Times New Roman" w:cs="Times New Roman"/>
          <w:lang w:val="ro-MD"/>
        </w:rPr>
        <w:t>20</w:t>
      </w:r>
      <w:r w:rsidR="00247382" w:rsidRPr="000508B6">
        <w:rPr>
          <w:rFonts w:ascii="Times New Roman" w:hAnsi="Times New Roman" w:cs="Times New Roman"/>
          <w:lang w:val="ro-MD"/>
        </w:rPr>
        <w:t>)</w:t>
      </w:r>
      <w:r w:rsidRPr="000508B6">
        <w:rPr>
          <w:rFonts w:ascii="Times New Roman" w:hAnsi="Times New Roman" w:cs="Times New Roman"/>
          <w:lang w:val="ro-MD"/>
        </w:rPr>
        <w:t xml:space="preserve">.   </w:t>
      </w:r>
    </w:p>
    <w:p w14:paraId="2B0C4D22" w14:textId="77777777" w:rsidR="0089249A"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   </w:t>
      </w:r>
    </w:p>
    <w:p w14:paraId="68166A99" w14:textId="77777777" w:rsidR="001B6B24" w:rsidRPr="000508B6" w:rsidRDefault="0089249A"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143</w:t>
      </w:r>
      <w:r w:rsidR="00F95829" w:rsidRPr="000508B6">
        <w:rPr>
          <w:rFonts w:ascii="Times New Roman" w:hAnsi="Times New Roman" w:cs="Times New Roman"/>
          <w:b/>
          <w:lang w:val="ro-MD"/>
        </w:rPr>
        <w:t xml:space="preserve">. </w:t>
      </w:r>
      <w:r w:rsidR="00F95829" w:rsidRPr="000508B6">
        <w:rPr>
          <w:rFonts w:ascii="Times New Roman" w:hAnsi="Times New Roman" w:cs="Times New Roman"/>
          <w:lang w:val="ro-MD"/>
        </w:rPr>
        <w:t>Filialele unui holding de asigurare sau ale unui holding financiar mixt</w:t>
      </w:r>
    </w:p>
    <w:p w14:paraId="74BF985D" w14:textId="640F9CE3" w:rsidR="00F95829" w:rsidRPr="000508B6" w:rsidRDefault="00F95829" w:rsidP="001B6B24">
      <w:pPr>
        <w:pStyle w:val="Listparagraf"/>
        <w:numPr>
          <w:ilvl w:val="1"/>
          <w:numId w:val="46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Prevederile art. </w:t>
      </w:r>
      <w:r w:rsidR="0083535A" w:rsidRPr="000508B6">
        <w:rPr>
          <w:rFonts w:ascii="Times New Roman" w:hAnsi="Times New Roman" w:cs="Times New Roman"/>
          <w:lang w:val="ro-MD"/>
        </w:rPr>
        <w:t xml:space="preserve">141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7F0466" w:rsidRPr="000508B6">
        <w:rPr>
          <w:rFonts w:ascii="Times New Roman" w:hAnsi="Times New Roman" w:cs="Times New Roman"/>
          <w:lang w:val="ro-MD"/>
        </w:rPr>
        <w:t xml:space="preserve">art. </w:t>
      </w:r>
      <w:r w:rsidR="0083535A" w:rsidRPr="000508B6">
        <w:rPr>
          <w:rFonts w:ascii="Times New Roman" w:hAnsi="Times New Roman" w:cs="Times New Roman"/>
          <w:lang w:val="ro-MD"/>
        </w:rPr>
        <w:t>142</w:t>
      </w:r>
      <w:r w:rsidR="008163DB" w:rsidRPr="000508B6">
        <w:rPr>
          <w:rFonts w:ascii="Times New Roman" w:hAnsi="Times New Roman" w:cs="Times New Roman"/>
          <w:lang w:val="ro-MD"/>
        </w:rPr>
        <w:t xml:space="preserve"> </w:t>
      </w:r>
      <w:r w:rsidRPr="000508B6">
        <w:rPr>
          <w:rFonts w:ascii="Times New Roman" w:hAnsi="Times New Roman" w:cs="Times New Roman"/>
          <w:lang w:val="ro-MD"/>
        </w:rPr>
        <w:t xml:space="preserve">se aplică în mod corespunzător </w:t>
      </w:r>
      <w:r w:rsidR="00535DF9" w:rsidRPr="000508B6">
        <w:rPr>
          <w:rFonts w:ascii="Times New Roman" w:hAnsi="Times New Roman" w:cs="Times New Roman"/>
          <w:lang w:val="ro-MD"/>
        </w:rPr>
        <w:t xml:space="preserve">asigurătorilor sau </w:t>
      </w:r>
      <w:proofErr w:type="spellStart"/>
      <w:r w:rsidR="00535DF9" w:rsidRPr="000508B6">
        <w:rPr>
          <w:rFonts w:ascii="Times New Roman" w:hAnsi="Times New Roman" w:cs="Times New Roman"/>
          <w:lang w:val="ro-MD"/>
        </w:rPr>
        <w:t>reasigurătorilor</w:t>
      </w:r>
      <w:proofErr w:type="spellEnd"/>
      <w:r w:rsidR="00535DF9"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sunt filiale ale unui holding de asigurare sau ale unui holding financiar mixt.   </w:t>
      </w:r>
    </w:p>
    <w:p w14:paraId="74B9C1E1" w14:textId="653064CC" w:rsidR="001B6B24" w:rsidRPr="000508B6" w:rsidRDefault="00313E2C" w:rsidP="001B6B24">
      <w:pPr>
        <w:pStyle w:val="Listparagraf"/>
        <w:numPr>
          <w:ilvl w:val="1"/>
          <w:numId w:val="46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aplicarea prevederilor prezentei secțiuni, sunt respectate dispozițiile din acte</w:t>
      </w:r>
      <w:r w:rsidR="001B6B24" w:rsidRPr="000508B6">
        <w:rPr>
          <w:rFonts w:ascii="Times New Roman" w:hAnsi="Times New Roman" w:cs="Times New Roman"/>
          <w:lang w:val="ro-MD"/>
        </w:rPr>
        <w:t>le normative ale Băncii Naționale a Moldovei</w:t>
      </w:r>
      <w:r w:rsidRPr="000508B6">
        <w:rPr>
          <w:rFonts w:ascii="Times New Roman" w:hAnsi="Times New Roman" w:cs="Times New Roman"/>
          <w:lang w:val="ro-MD"/>
        </w:rPr>
        <w:t xml:space="preserve">, </w:t>
      </w:r>
      <w:r w:rsidR="001B6B24" w:rsidRPr="000508B6">
        <w:rPr>
          <w:rFonts w:ascii="Times New Roman" w:hAnsi="Times New Roman" w:cs="Times New Roman"/>
          <w:lang w:val="ro-MD"/>
        </w:rPr>
        <w:t>referitoare la:</w:t>
      </w:r>
    </w:p>
    <w:p w14:paraId="096C9E54" w14:textId="22A2BE45" w:rsidR="00313E2C" w:rsidRPr="000508B6" w:rsidRDefault="00313E2C" w:rsidP="00230ADD">
      <w:pPr>
        <w:pStyle w:val="Listparagraf"/>
        <w:numPr>
          <w:ilvl w:val="2"/>
          <w:numId w:val="46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abordarea evaluării conformității cu condițiile prevăzute la art. </w:t>
      </w:r>
      <w:r w:rsidR="006161BB" w:rsidRPr="000508B6">
        <w:rPr>
          <w:rFonts w:ascii="Times New Roman" w:hAnsi="Times New Roman" w:cs="Times New Roman"/>
          <w:lang w:val="ro-MD"/>
        </w:rPr>
        <w:t>69</w:t>
      </w:r>
      <w:r w:rsidRPr="000508B6">
        <w:rPr>
          <w:rFonts w:ascii="Times New Roman" w:hAnsi="Times New Roman" w:cs="Times New Roman"/>
          <w:lang w:val="ro-MD"/>
        </w:rPr>
        <w:t xml:space="preserve"> alin. (2);</w:t>
      </w:r>
    </w:p>
    <w:p w14:paraId="2702B2D7" w14:textId="64508B42"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metoda </w:t>
      </w:r>
      <w:r w:rsidR="00230ADD" w:rsidRPr="000508B6">
        <w:rPr>
          <w:rFonts w:ascii="Times New Roman" w:hAnsi="Times New Roman" w:cs="Times New Roman"/>
          <w:lang w:val="ro-MD"/>
        </w:rPr>
        <w:t>de calcul</w:t>
      </w:r>
      <w:r w:rsidRPr="000508B6">
        <w:rPr>
          <w:rFonts w:ascii="Times New Roman" w:hAnsi="Times New Roman" w:cs="Times New Roman"/>
          <w:lang w:val="ro-MD"/>
        </w:rPr>
        <w:t xml:space="preserve"> utilizată pentru calcularea valorii acțiunilor care sunt tratate ca investiții pe termen lung în acțiuni, în cazul în care se utilizează metoda </w:t>
      </w:r>
      <w:r w:rsidR="00230ADD" w:rsidRPr="000508B6">
        <w:rPr>
          <w:rFonts w:ascii="Times New Roman" w:hAnsi="Times New Roman" w:cs="Times New Roman"/>
          <w:lang w:val="ro-MD"/>
        </w:rPr>
        <w:t>de calcul</w:t>
      </w:r>
      <w:r w:rsidRPr="000508B6">
        <w:rPr>
          <w:rFonts w:ascii="Times New Roman" w:hAnsi="Times New Roman" w:cs="Times New Roman"/>
          <w:lang w:val="ro-MD"/>
        </w:rPr>
        <w:t xml:space="preserve"> nr. 1 prevăzută la art. </w:t>
      </w:r>
      <w:r w:rsidR="006161BB" w:rsidRPr="000508B6">
        <w:rPr>
          <w:rFonts w:ascii="Times New Roman" w:hAnsi="Times New Roman" w:cs="Times New Roman"/>
          <w:lang w:val="ro-MD"/>
        </w:rPr>
        <w:t>134</w:t>
      </w:r>
      <w:r w:rsidRPr="000508B6">
        <w:rPr>
          <w:rFonts w:ascii="Times New Roman" w:hAnsi="Times New Roman" w:cs="Times New Roman"/>
          <w:lang w:val="ro-MD"/>
        </w:rPr>
        <w:t xml:space="preserve"> sau combinația de metode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 xml:space="preserve">prevăzută la art. </w:t>
      </w:r>
      <w:r w:rsidR="006161BB" w:rsidRPr="000508B6">
        <w:rPr>
          <w:rFonts w:ascii="Times New Roman" w:hAnsi="Times New Roman" w:cs="Times New Roman"/>
          <w:lang w:val="ro-MD"/>
        </w:rPr>
        <w:t>137</w:t>
      </w:r>
      <w:r w:rsidRPr="000508B6">
        <w:rPr>
          <w:rFonts w:ascii="Times New Roman" w:hAnsi="Times New Roman" w:cs="Times New Roman"/>
          <w:lang w:val="ro-MD"/>
        </w:rPr>
        <w:t>;</w:t>
      </w:r>
    </w:p>
    <w:p w14:paraId="2D93B008" w14:textId="16CEFC44"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principiile tehnice și metodele prevăzute la art. </w:t>
      </w:r>
      <w:r w:rsidR="006161BB" w:rsidRPr="000508B6">
        <w:rPr>
          <w:rFonts w:ascii="Times New Roman" w:hAnsi="Times New Roman" w:cs="Times New Roman"/>
          <w:lang w:val="ro-MD"/>
        </w:rPr>
        <w:t>124</w:t>
      </w:r>
      <w:r w:rsidRPr="000508B6">
        <w:rPr>
          <w:rFonts w:ascii="Times New Roman" w:hAnsi="Times New Roman" w:cs="Times New Roman"/>
          <w:lang w:val="ro-MD"/>
        </w:rPr>
        <w:t xml:space="preserve"> – </w:t>
      </w:r>
      <w:r w:rsidR="006161BB" w:rsidRPr="000508B6">
        <w:rPr>
          <w:rFonts w:ascii="Times New Roman" w:hAnsi="Times New Roman" w:cs="Times New Roman"/>
          <w:lang w:val="ro-MD"/>
        </w:rPr>
        <w:t>133</w:t>
      </w:r>
      <w:r w:rsidRPr="000508B6">
        <w:rPr>
          <w:rFonts w:ascii="Times New Roman" w:hAnsi="Times New Roman" w:cs="Times New Roman"/>
          <w:lang w:val="ro-MD"/>
        </w:rPr>
        <w:t>;</w:t>
      </w:r>
    </w:p>
    <w:p w14:paraId="15D4F927" w14:textId="33900538"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detaliile tehnice ale abordării simplificate prevăzute la art. </w:t>
      </w:r>
      <w:r w:rsidR="006161BB" w:rsidRPr="000508B6">
        <w:rPr>
          <w:rFonts w:ascii="Times New Roman" w:hAnsi="Times New Roman" w:cs="Times New Roman"/>
          <w:lang w:val="ro-MD"/>
        </w:rPr>
        <w:t>135</w:t>
      </w:r>
      <w:r w:rsidRPr="000508B6">
        <w:rPr>
          <w:rFonts w:ascii="Times New Roman" w:hAnsi="Times New Roman" w:cs="Times New Roman"/>
          <w:lang w:val="ro-MD"/>
        </w:rPr>
        <w:t xml:space="preserve"> și criteriile pe baza cărora </w:t>
      </w:r>
      <w:r w:rsidR="006161BB" w:rsidRPr="000508B6">
        <w:rPr>
          <w:rFonts w:ascii="Times New Roman" w:hAnsi="Times New Roman" w:cs="Times New Roman"/>
          <w:lang w:val="ro-MD"/>
        </w:rPr>
        <w:t xml:space="preserve">Banca Națională a Moldovei </w:t>
      </w:r>
      <w:r w:rsidRPr="000508B6">
        <w:rPr>
          <w:rFonts w:ascii="Times New Roman" w:hAnsi="Times New Roman" w:cs="Times New Roman"/>
          <w:lang w:val="ro-MD"/>
        </w:rPr>
        <w:t>poate aproba utilizarea abordării resp</w:t>
      </w:r>
      <w:r w:rsidR="006161BB" w:rsidRPr="000508B6">
        <w:rPr>
          <w:rFonts w:ascii="Times New Roman" w:hAnsi="Times New Roman" w:cs="Times New Roman"/>
          <w:lang w:val="ro-MD"/>
        </w:rPr>
        <w:t>e</w:t>
      </w:r>
      <w:r w:rsidRPr="000508B6">
        <w:rPr>
          <w:rFonts w:ascii="Times New Roman" w:hAnsi="Times New Roman" w:cs="Times New Roman"/>
          <w:lang w:val="ro-MD"/>
        </w:rPr>
        <w:t>ctive;</w:t>
      </w:r>
    </w:p>
    <w:p w14:paraId="58F52716" w14:textId="32BDFBC6"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natura economică specifică a structurilor juridice prevăzute la art. </w:t>
      </w:r>
      <w:r w:rsidR="00152366" w:rsidRPr="000508B6">
        <w:rPr>
          <w:rFonts w:ascii="Times New Roman" w:hAnsi="Times New Roman" w:cs="Times New Roman"/>
          <w:lang w:val="ro-MD"/>
        </w:rPr>
        <w:t>134 – 140</w:t>
      </w:r>
      <w:r w:rsidRPr="000508B6">
        <w:rPr>
          <w:rFonts w:ascii="Times New Roman" w:hAnsi="Times New Roman" w:cs="Times New Roman"/>
          <w:lang w:val="ro-MD"/>
        </w:rPr>
        <w:t>;</w:t>
      </w:r>
    </w:p>
    <w:p w14:paraId="4FE95999" w14:textId="431CCCA6"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eliminarea dublei utilizări a fondurilor proprii eligibile și crearea de capital intra-grup prevăzute la art. </w:t>
      </w:r>
      <w:r w:rsidR="00152366" w:rsidRPr="000508B6">
        <w:rPr>
          <w:rFonts w:ascii="Times New Roman" w:hAnsi="Times New Roman" w:cs="Times New Roman"/>
          <w:lang w:val="ro-MD"/>
        </w:rPr>
        <w:t>126</w:t>
      </w:r>
      <w:r w:rsidRPr="000508B6">
        <w:rPr>
          <w:rFonts w:ascii="Times New Roman" w:hAnsi="Times New Roman" w:cs="Times New Roman"/>
          <w:lang w:val="ro-MD"/>
        </w:rPr>
        <w:t xml:space="preserve"> și art. </w:t>
      </w:r>
      <w:r w:rsidR="00152366" w:rsidRPr="000508B6">
        <w:rPr>
          <w:rFonts w:ascii="Times New Roman" w:hAnsi="Times New Roman" w:cs="Times New Roman"/>
          <w:lang w:val="ro-MD"/>
        </w:rPr>
        <w:t>127</w:t>
      </w:r>
      <w:r w:rsidRPr="000508B6">
        <w:rPr>
          <w:rFonts w:ascii="Times New Roman" w:hAnsi="Times New Roman" w:cs="Times New Roman"/>
          <w:lang w:val="ro-MD"/>
        </w:rPr>
        <w:t xml:space="preserve">; </w:t>
      </w:r>
    </w:p>
    <w:p w14:paraId="461F1DEB" w14:textId="10FAA78F"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metodele de evaluare a activelor și obligațiilor conform art. </w:t>
      </w:r>
      <w:r w:rsidR="00152366" w:rsidRPr="000508B6">
        <w:rPr>
          <w:rFonts w:ascii="Times New Roman" w:hAnsi="Times New Roman" w:cs="Times New Roman"/>
          <w:lang w:val="ro-MD"/>
        </w:rPr>
        <w:t>128</w:t>
      </w:r>
      <w:r w:rsidRPr="000508B6">
        <w:rPr>
          <w:rFonts w:ascii="Times New Roman" w:hAnsi="Times New Roman" w:cs="Times New Roman"/>
          <w:lang w:val="ro-MD"/>
        </w:rPr>
        <w:t xml:space="preserve">; </w:t>
      </w:r>
    </w:p>
    <w:p w14:paraId="32CBAA52" w14:textId="7566BBDC"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aplicarea metodelor de calcul prevăzute la art. </w:t>
      </w:r>
      <w:r w:rsidR="00152366" w:rsidRPr="000508B6">
        <w:rPr>
          <w:rFonts w:ascii="Times New Roman" w:hAnsi="Times New Roman" w:cs="Times New Roman"/>
          <w:lang w:val="ro-MD"/>
        </w:rPr>
        <w:t>129</w:t>
      </w:r>
      <w:r w:rsidRPr="000508B6">
        <w:rPr>
          <w:rFonts w:ascii="Times New Roman" w:hAnsi="Times New Roman" w:cs="Times New Roman"/>
          <w:lang w:val="ro-MD"/>
        </w:rPr>
        <w:t xml:space="preserve"> și </w:t>
      </w:r>
      <w:r w:rsidR="007F0466" w:rsidRPr="000508B6">
        <w:rPr>
          <w:rFonts w:ascii="Times New Roman" w:hAnsi="Times New Roman" w:cs="Times New Roman"/>
          <w:lang w:val="ro-MD"/>
        </w:rPr>
        <w:t xml:space="preserve">art. </w:t>
      </w:r>
      <w:r w:rsidR="00152366" w:rsidRPr="000508B6">
        <w:rPr>
          <w:rFonts w:ascii="Times New Roman" w:hAnsi="Times New Roman" w:cs="Times New Roman"/>
          <w:lang w:val="ro-MD"/>
        </w:rPr>
        <w:t>130</w:t>
      </w:r>
      <w:r w:rsidRPr="000508B6">
        <w:rPr>
          <w:rFonts w:ascii="Times New Roman" w:hAnsi="Times New Roman" w:cs="Times New Roman"/>
          <w:lang w:val="ro-MD"/>
        </w:rPr>
        <w:t xml:space="preserve">; </w:t>
      </w:r>
    </w:p>
    <w:p w14:paraId="4A51DF7C" w14:textId="613CD4AF"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calcularea solvabilității la nivel de grup conform art. </w:t>
      </w:r>
      <w:r w:rsidR="001B6B24" w:rsidRPr="000508B6">
        <w:rPr>
          <w:rFonts w:ascii="Times New Roman" w:hAnsi="Times New Roman" w:cs="Times New Roman"/>
          <w:lang w:val="ro-MD"/>
        </w:rPr>
        <w:t>134, 135</w:t>
      </w:r>
      <w:r w:rsidRPr="000508B6">
        <w:rPr>
          <w:rFonts w:ascii="Times New Roman" w:hAnsi="Times New Roman" w:cs="Times New Roman"/>
          <w:lang w:val="ro-MD"/>
        </w:rPr>
        <w:t xml:space="preserve"> și </w:t>
      </w:r>
      <w:r w:rsidR="0066353C" w:rsidRPr="000508B6">
        <w:rPr>
          <w:rFonts w:ascii="Times New Roman" w:hAnsi="Times New Roman" w:cs="Times New Roman"/>
          <w:lang w:val="ro-MD"/>
        </w:rPr>
        <w:t xml:space="preserve">art. </w:t>
      </w:r>
      <w:r w:rsidR="001B6B24" w:rsidRPr="000508B6">
        <w:rPr>
          <w:rFonts w:ascii="Times New Roman" w:hAnsi="Times New Roman" w:cs="Times New Roman"/>
          <w:lang w:val="ro-MD"/>
        </w:rPr>
        <w:t>136</w:t>
      </w:r>
      <w:r w:rsidRPr="000508B6">
        <w:rPr>
          <w:rFonts w:ascii="Times New Roman" w:hAnsi="Times New Roman" w:cs="Times New Roman"/>
          <w:lang w:val="ro-MD"/>
        </w:rPr>
        <w:t xml:space="preserve">; </w:t>
      </w:r>
    </w:p>
    <w:p w14:paraId="41F76DC4" w14:textId="6EDEBEAF" w:rsidR="00313E2C"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impunerea SCR suplimentare conform art. </w:t>
      </w:r>
      <w:r w:rsidR="001B6B24" w:rsidRPr="000508B6">
        <w:rPr>
          <w:rFonts w:ascii="Times New Roman" w:hAnsi="Times New Roman" w:cs="Times New Roman"/>
          <w:lang w:val="ro-MD"/>
        </w:rPr>
        <w:t>139</w:t>
      </w:r>
      <w:r w:rsidRPr="000508B6">
        <w:rPr>
          <w:rFonts w:ascii="Times New Roman" w:hAnsi="Times New Roman" w:cs="Times New Roman"/>
          <w:lang w:val="ro-MD"/>
        </w:rPr>
        <w:t xml:space="preserve">; </w:t>
      </w:r>
    </w:p>
    <w:p w14:paraId="75452A62" w14:textId="0A5DA3D2" w:rsidR="00F95829" w:rsidRPr="000508B6" w:rsidRDefault="00313E2C" w:rsidP="00230ADD">
      <w:pPr>
        <w:pStyle w:val="Listparagraf"/>
        <w:numPr>
          <w:ilvl w:val="2"/>
          <w:numId w:val="463"/>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principiile referitoare la calcularea SCR conform art. </w:t>
      </w:r>
      <w:r w:rsidR="001B6B24" w:rsidRPr="000508B6">
        <w:rPr>
          <w:rFonts w:ascii="Times New Roman" w:hAnsi="Times New Roman" w:cs="Times New Roman"/>
          <w:lang w:val="ro-MD"/>
        </w:rPr>
        <w:t>149</w:t>
      </w:r>
      <w:r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p>
    <w:p w14:paraId="22FDCBCD" w14:textId="77777777" w:rsidR="001B6B24" w:rsidRPr="000508B6" w:rsidRDefault="001B6B24" w:rsidP="008B530F">
      <w:pPr>
        <w:tabs>
          <w:tab w:val="left" w:pos="993"/>
        </w:tabs>
        <w:spacing w:after="0" w:line="240" w:lineRule="auto"/>
        <w:ind w:firstLine="426"/>
        <w:jc w:val="center"/>
        <w:rPr>
          <w:rFonts w:ascii="Times New Roman" w:hAnsi="Times New Roman" w:cs="Times New Roman"/>
          <w:b/>
          <w:lang w:val="ro-MD"/>
        </w:rPr>
      </w:pPr>
    </w:p>
    <w:p w14:paraId="7977E284" w14:textId="77777777" w:rsidR="00F95829" w:rsidRPr="000508B6" w:rsidRDefault="00F95829" w:rsidP="008B530F">
      <w:pPr>
        <w:tabs>
          <w:tab w:val="left" w:pos="993"/>
        </w:tabs>
        <w:spacing w:after="0" w:line="240" w:lineRule="auto"/>
        <w:ind w:firstLine="426"/>
        <w:jc w:val="center"/>
        <w:rPr>
          <w:rFonts w:ascii="Times New Roman" w:hAnsi="Times New Roman" w:cs="Times New Roman"/>
          <w:lang w:val="ro-MD"/>
        </w:rPr>
      </w:pPr>
      <w:r w:rsidRPr="000508B6">
        <w:rPr>
          <w:rFonts w:ascii="Times New Roman" w:hAnsi="Times New Roman" w:cs="Times New Roman"/>
          <w:b/>
          <w:lang w:val="ro-MD"/>
        </w:rPr>
        <w:t>Secțiunea a 3-a</w:t>
      </w:r>
    </w:p>
    <w:p w14:paraId="0739D7F8" w14:textId="75A6CDB2" w:rsidR="00F95829" w:rsidRPr="000508B6" w:rsidRDefault="00F95829" w:rsidP="008B530F">
      <w:pPr>
        <w:tabs>
          <w:tab w:val="left" w:pos="993"/>
        </w:tabs>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Supravegherea concentrării riscurilor la nivel de grup, a </w:t>
      </w:r>
      <w:proofErr w:type="spellStart"/>
      <w:r w:rsidRPr="000508B6">
        <w:rPr>
          <w:rFonts w:ascii="Times New Roman" w:hAnsi="Times New Roman" w:cs="Times New Roman"/>
          <w:b/>
          <w:lang w:val="ro-MD"/>
        </w:rPr>
        <w:t>tranzacţiilor</w:t>
      </w:r>
      <w:proofErr w:type="spellEnd"/>
      <w:r w:rsidRPr="000508B6">
        <w:rPr>
          <w:rFonts w:ascii="Times New Roman" w:hAnsi="Times New Roman" w:cs="Times New Roman"/>
          <w:b/>
          <w:lang w:val="ro-MD"/>
        </w:rPr>
        <w:t xml:space="preserve"> </w:t>
      </w:r>
      <w:proofErr w:type="spellStart"/>
      <w:r w:rsidRPr="000508B6">
        <w:rPr>
          <w:rFonts w:ascii="Times New Roman" w:hAnsi="Times New Roman" w:cs="Times New Roman"/>
          <w:b/>
          <w:lang w:val="ro-MD"/>
        </w:rPr>
        <w:t>intragrup</w:t>
      </w:r>
      <w:proofErr w:type="spellEnd"/>
      <w:r w:rsidRPr="000508B6">
        <w:rPr>
          <w:rFonts w:ascii="Times New Roman" w:hAnsi="Times New Roman" w:cs="Times New Roman"/>
          <w:b/>
          <w:lang w:val="ro-MD"/>
        </w:rPr>
        <w:t xml:space="preserve"> </w:t>
      </w:r>
      <w:proofErr w:type="spellStart"/>
      <w:r w:rsidRPr="000508B6">
        <w:rPr>
          <w:rFonts w:ascii="Times New Roman" w:hAnsi="Times New Roman" w:cs="Times New Roman"/>
          <w:b/>
          <w:lang w:val="ro-MD"/>
        </w:rPr>
        <w:t>şi</w:t>
      </w:r>
      <w:proofErr w:type="spellEnd"/>
      <w:r w:rsidRPr="000508B6">
        <w:rPr>
          <w:rFonts w:ascii="Times New Roman" w:hAnsi="Times New Roman" w:cs="Times New Roman"/>
          <w:b/>
          <w:lang w:val="ro-MD"/>
        </w:rPr>
        <w:t xml:space="preserve"> a sistemului de </w:t>
      </w:r>
      <w:proofErr w:type="spellStart"/>
      <w:r w:rsidRPr="000508B6">
        <w:rPr>
          <w:rFonts w:ascii="Times New Roman" w:hAnsi="Times New Roman" w:cs="Times New Roman"/>
          <w:b/>
          <w:lang w:val="ro-MD"/>
        </w:rPr>
        <w:t>guvernanţă</w:t>
      </w:r>
      <w:proofErr w:type="spellEnd"/>
      <w:r w:rsidR="0069348E" w:rsidRPr="000508B6">
        <w:rPr>
          <w:rFonts w:ascii="Times New Roman" w:hAnsi="Times New Roman" w:cs="Times New Roman"/>
          <w:b/>
          <w:lang w:val="ro-MD"/>
        </w:rPr>
        <w:t xml:space="preserve">. Norme </w:t>
      </w:r>
      <w:proofErr w:type="spellStart"/>
      <w:r w:rsidR="0069348E" w:rsidRPr="000508B6">
        <w:rPr>
          <w:rFonts w:ascii="Times New Roman" w:hAnsi="Times New Roman" w:cs="Times New Roman"/>
          <w:b/>
          <w:lang w:val="ro-MD"/>
        </w:rPr>
        <w:t>macroprudențiale</w:t>
      </w:r>
      <w:proofErr w:type="spellEnd"/>
      <w:r w:rsidR="0069348E" w:rsidRPr="000508B6">
        <w:rPr>
          <w:rFonts w:ascii="Times New Roman" w:hAnsi="Times New Roman" w:cs="Times New Roman"/>
          <w:b/>
          <w:lang w:val="ro-MD"/>
        </w:rPr>
        <w:t xml:space="preserve"> la nivel de grup</w:t>
      </w:r>
    </w:p>
    <w:p w14:paraId="7DFADFF7" w14:textId="77777777" w:rsidR="00A13CAA" w:rsidRPr="000508B6" w:rsidRDefault="00A13CAA" w:rsidP="008B530F">
      <w:pPr>
        <w:tabs>
          <w:tab w:val="left" w:pos="993"/>
        </w:tabs>
        <w:spacing w:after="0" w:line="240" w:lineRule="auto"/>
        <w:ind w:firstLine="426"/>
        <w:jc w:val="both"/>
        <w:rPr>
          <w:rFonts w:ascii="Times New Roman" w:hAnsi="Times New Roman" w:cs="Times New Roman"/>
          <w:b/>
          <w:lang w:val="ro-MD"/>
        </w:rPr>
      </w:pPr>
    </w:p>
    <w:p w14:paraId="2CB14506" w14:textId="05608D0B" w:rsidR="00F95829" w:rsidRPr="000508B6" w:rsidRDefault="00F95829" w:rsidP="008B530F">
      <w:pPr>
        <w:tabs>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144</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Supravegherea concentrării riscurilor  </w:t>
      </w:r>
    </w:p>
    <w:p w14:paraId="27B1B4B3" w14:textId="1D41EE52" w:rsidR="00F95829" w:rsidRPr="000508B6" w:rsidRDefault="00751B41" w:rsidP="00CF5AFA">
      <w:pPr>
        <w:numPr>
          <w:ilvl w:val="0"/>
          <w:numId w:val="23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w:t>
      </w:r>
      <w:r w:rsidR="00F95829" w:rsidRPr="000508B6">
        <w:rPr>
          <w:rFonts w:ascii="Times New Roman" w:hAnsi="Times New Roman" w:cs="Times New Roman"/>
          <w:lang w:val="ro-MD"/>
        </w:rPr>
        <w:t xml:space="preserve">upravegherea concentrării riscurilor la nivel de grup se realizează  în conformitate cu procedura aplicabilă prevăzută la art. </w:t>
      </w:r>
      <w:r w:rsidR="0083535A" w:rsidRPr="000508B6">
        <w:rPr>
          <w:rFonts w:ascii="Times New Roman" w:hAnsi="Times New Roman" w:cs="Times New Roman"/>
          <w:lang w:val="ro-MD"/>
        </w:rPr>
        <w:t>192</w:t>
      </w:r>
      <w:r w:rsidR="00DC134A" w:rsidRPr="000508B6">
        <w:rPr>
          <w:rFonts w:ascii="Times New Roman" w:hAnsi="Times New Roman" w:cs="Times New Roman"/>
          <w:lang w:val="ro-MD"/>
        </w:rPr>
        <w:t>-</w:t>
      </w:r>
      <w:r w:rsidR="0083535A" w:rsidRPr="000508B6">
        <w:rPr>
          <w:rFonts w:ascii="Times New Roman" w:hAnsi="Times New Roman" w:cs="Times New Roman"/>
          <w:lang w:val="ro-MD"/>
        </w:rPr>
        <w:t xml:space="preserve">195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cu prevederile art. </w:t>
      </w:r>
      <w:r w:rsidR="0083535A" w:rsidRPr="000508B6">
        <w:rPr>
          <w:rFonts w:ascii="Times New Roman" w:hAnsi="Times New Roman" w:cs="Times New Roman"/>
          <w:lang w:val="ro-MD"/>
        </w:rPr>
        <w:t>146</w:t>
      </w:r>
      <w:r w:rsidR="00F95829" w:rsidRPr="000508B6">
        <w:rPr>
          <w:rFonts w:ascii="Times New Roman" w:hAnsi="Times New Roman" w:cs="Times New Roman"/>
          <w:lang w:val="ro-MD"/>
        </w:rPr>
        <w:t xml:space="preserve">.  </w:t>
      </w:r>
    </w:p>
    <w:p w14:paraId="676DEF5F" w14:textId="1776913C" w:rsidR="00F95829" w:rsidRPr="000508B6" w:rsidRDefault="00592695" w:rsidP="00CF5AFA">
      <w:pPr>
        <w:numPr>
          <w:ilvl w:val="0"/>
          <w:numId w:val="23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w:t>
      </w:r>
      <w:r w:rsidR="00986FCF" w:rsidRPr="000508B6">
        <w:rPr>
          <w:rFonts w:ascii="Times New Roman" w:hAnsi="Times New Roman" w:cs="Times New Roman"/>
          <w:lang w:val="ro-MD"/>
        </w:rPr>
        <w:t>ul</w:t>
      </w:r>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reasigurător</w:t>
      </w:r>
      <w:r w:rsidR="00986FCF" w:rsidRPr="000508B6">
        <w:rPr>
          <w:rFonts w:ascii="Times New Roman" w:hAnsi="Times New Roman" w:cs="Times New Roman"/>
          <w:lang w:val="ro-MD"/>
        </w:rPr>
        <w:t>ul</w:t>
      </w:r>
      <w:proofErr w:type="spellEnd"/>
      <w:r w:rsidR="00F95829" w:rsidRPr="000508B6">
        <w:rPr>
          <w:rFonts w:ascii="Times New Roman" w:hAnsi="Times New Roman" w:cs="Times New Roman"/>
          <w:lang w:val="ro-MD"/>
        </w:rPr>
        <w:t xml:space="preserve"> coordonator a</w:t>
      </w:r>
      <w:r w:rsidR="00986FCF" w:rsidRPr="000508B6">
        <w:rPr>
          <w:rFonts w:ascii="Times New Roman" w:hAnsi="Times New Roman" w:cs="Times New Roman"/>
          <w:lang w:val="ro-MD"/>
        </w:rPr>
        <w:t>l</w:t>
      </w:r>
      <w:r w:rsidR="00F95829" w:rsidRPr="000508B6">
        <w:rPr>
          <w:rFonts w:ascii="Times New Roman" w:hAnsi="Times New Roman" w:cs="Times New Roman"/>
          <w:lang w:val="ro-MD"/>
        </w:rPr>
        <w:t xml:space="preserve"> grupu</w:t>
      </w:r>
      <w:r w:rsidR="00F816DD" w:rsidRPr="000508B6">
        <w:rPr>
          <w:rFonts w:ascii="Times New Roman" w:hAnsi="Times New Roman" w:cs="Times New Roman"/>
          <w:lang w:val="ro-MD"/>
        </w:rPr>
        <w:t>lui</w:t>
      </w:r>
      <w:r w:rsidR="00F95829" w:rsidRPr="000508B6">
        <w:rPr>
          <w:rFonts w:ascii="Times New Roman" w:hAnsi="Times New Roman" w:cs="Times New Roman"/>
          <w:lang w:val="ro-MD"/>
        </w:rPr>
        <w:t xml:space="preserve"> sau, dacă este cazul, holdingu</w:t>
      </w:r>
      <w:r w:rsidR="00F816DD" w:rsidRPr="000508B6">
        <w:rPr>
          <w:rFonts w:ascii="Times New Roman" w:hAnsi="Times New Roman" w:cs="Times New Roman"/>
          <w:lang w:val="ro-MD"/>
        </w:rPr>
        <w:t>l</w:t>
      </w:r>
      <w:r w:rsidR="00F95829" w:rsidRPr="000508B6">
        <w:rPr>
          <w:rFonts w:ascii="Times New Roman" w:hAnsi="Times New Roman" w:cs="Times New Roman"/>
          <w:lang w:val="ro-MD"/>
        </w:rPr>
        <w:t xml:space="preserve"> de asigurare </w:t>
      </w:r>
      <w:r w:rsidR="00E55B46">
        <w:rPr>
          <w:rFonts w:ascii="Times New Roman" w:hAnsi="Times New Roman" w:cs="Times New Roman"/>
          <w:lang w:val="ro-MD"/>
        </w:rPr>
        <w:t xml:space="preserve">sau </w:t>
      </w:r>
      <w:r w:rsidR="00F95829" w:rsidRPr="000508B6">
        <w:rPr>
          <w:rFonts w:ascii="Times New Roman" w:hAnsi="Times New Roman" w:cs="Times New Roman"/>
          <w:lang w:val="ro-MD"/>
        </w:rPr>
        <w:t>holdingu</w:t>
      </w:r>
      <w:r w:rsidR="00F816DD" w:rsidRPr="000508B6">
        <w:rPr>
          <w:rFonts w:ascii="Times New Roman" w:hAnsi="Times New Roman" w:cs="Times New Roman"/>
          <w:lang w:val="ro-MD"/>
        </w:rPr>
        <w:t>l</w:t>
      </w:r>
      <w:r w:rsidR="00F95829" w:rsidRPr="000508B6">
        <w:rPr>
          <w:rFonts w:ascii="Times New Roman" w:hAnsi="Times New Roman" w:cs="Times New Roman"/>
          <w:lang w:val="ro-MD"/>
        </w:rPr>
        <w:t xml:space="preserve"> financiar mixt</w:t>
      </w:r>
      <w:r w:rsidR="000A0543" w:rsidRPr="000508B6">
        <w:rPr>
          <w:rFonts w:ascii="Times New Roman" w:hAnsi="Times New Roman" w:cs="Times New Roman"/>
          <w:lang w:val="ro-MD"/>
        </w:rPr>
        <w:t xml:space="preserve"> </w:t>
      </w:r>
      <w:r w:rsidR="00E55B46">
        <w:rPr>
          <w:rFonts w:ascii="Times New Roman" w:hAnsi="Times New Roman" w:cs="Times New Roman"/>
          <w:lang w:val="ro-MD"/>
        </w:rPr>
        <w:t xml:space="preserve">ori </w:t>
      </w:r>
      <w:r w:rsidR="009A1B4A" w:rsidRPr="000508B6">
        <w:rPr>
          <w:rFonts w:ascii="Times New Roman" w:hAnsi="Times New Roman" w:cs="Times New Roman"/>
          <w:lang w:val="ro-MD"/>
        </w:rPr>
        <w:t xml:space="preserve">asigurătorul sau </w:t>
      </w:r>
      <w:proofErr w:type="spellStart"/>
      <w:r w:rsidR="009A1B4A" w:rsidRPr="000508B6">
        <w:rPr>
          <w:rFonts w:ascii="Times New Roman" w:hAnsi="Times New Roman" w:cs="Times New Roman"/>
          <w:lang w:val="ro-MD"/>
        </w:rPr>
        <w:t>reasigurătorul</w:t>
      </w:r>
      <w:proofErr w:type="spellEnd"/>
      <w:r w:rsidR="000A0543" w:rsidRPr="000508B6">
        <w:rPr>
          <w:rFonts w:ascii="Times New Roman" w:hAnsi="Times New Roman" w:cs="Times New Roman"/>
          <w:lang w:val="ro-MD"/>
        </w:rPr>
        <w:t xml:space="preserve"> aparținând grupului</w:t>
      </w:r>
      <w:r w:rsidR="00F95829" w:rsidRPr="000508B6">
        <w:rPr>
          <w:rFonts w:ascii="Times New Roman" w:hAnsi="Times New Roman" w:cs="Times New Roman"/>
          <w:lang w:val="ro-MD"/>
        </w:rPr>
        <w:t xml:space="preserve"> transmit</w:t>
      </w:r>
      <w:r w:rsidR="00F816DD" w:rsidRPr="000508B6">
        <w:rPr>
          <w:rFonts w:ascii="Times New Roman" w:hAnsi="Times New Roman" w:cs="Times New Roman"/>
          <w:lang w:val="ro-MD"/>
        </w:rPr>
        <w:t>e</w:t>
      </w:r>
      <w:r w:rsidR="00F95829" w:rsidRPr="000508B6">
        <w:rPr>
          <w:rFonts w:ascii="Times New Roman" w:hAnsi="Times New Roman" w:cs="Times New Roman"/>
          <w:lang w:val="ro-MD"/>
        </w:rPr>
        <w:t xml:space="preserve"> Băncii Naționale a Moldovei, cel </w:t>
      </w:r>
      <w:proofErr w:type="spellStart"/>
      <w:r w:rsidR="00F95829" w:rsidRPr="000508B6">
        <w:rPr>
          <w:rFonts w:ascii="Times New Roman" w:hAnsi="Times New Roman" w:cs="Times New Roman"/>
          <w:lang w:val="ro-MD"/>
        </w:rPr>
        <w:t>puţin</w:t>
      </w:r>
      <w:proofErr w:type="spellEnd"/>
      <w:r w:rsidR="00F95829" w:rsidRPr="000508B6">
        <w:rPr>
          <w:rFonts w:ascii="Times New Roman" w:hAnsi="Times New Roman" w:cs="Times New Roman"/>
          <w:lang w:val="ro-MD"/>
        </w:rPr>
        <w:t xml:space="preserve"> anual, un raport privind concentrarea semnificativă a riscurilor la nivel de grup, identificate conform art. </w:t>
      </w:r>
      <w:r w:rsidR="0083535A" w:rsidRPr="000508B6">
        <w:rPr>
          <w:rFonts w:ascii="Times New Roman" w:hAnsi="Times New Roman" w:cs="Times New Roman"/>
          <w:lang w:val="ro-MD"/>
        </w:rPr>
        <w:t>193</w:t>
      </w:r>
      <w:r w:rsidR="00603B60" w:rsidRPr="000508B6">
        <w:rPr>
          <w:rFonts w:ascii="Times New Roman" w:hAnsi="Times New Roman" w:cs="Times New Roman"/>
          <w:lang w:val="ro-MD"/>
        </w:rPr>
        <w:t xml:space="preserve"> </w:t>
      </w:r>
      <w:r w:rsidR="00F95829" w:rsidRPr="000508B6">
        <w:rPr>
          <w:rFonts w:ascii="Times New Roman" w:hAnsi="Times New Roman" w:cs="Times New Roman"/>
          <w:lang w:val="ro-MD"/>
        </w:rPr>
        <w:t xml:space="preserve">alin. (21)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(22). </w:t>
      </w:r>
    </w:p>
    <w:p w14:paraId="53E2EE30" w14:textId="50C475EF" w:rsidR="0089249A" w:rsidRPr="000508B6" w:rsidRDefault="0089249A" w:rsidP="008B530F">
      <w:pPr>
        <w:spacing w:after="0" w:line="240" w:lineRule="auto"/>
        <w:ind w:firstLine="426"/>
        <w:jc w:val="both"/>
        <w:rPr>
          <w:rFonts w:ascii="Times New Roman" w:hAnsi="Times New Roman" w:cs="Times New Roman"/>
          <w:lang w:val="ro-MD"/>
        </w:rPr>
      </w:pPr>
    </w:p>
    <w:p w14:paraId="2C62CC0E" w14:textId="5F0DF7E0"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145</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Supravegherea </w:t>
      </w:r>
      <w:proofErr w:type="spellStart"/>
      <w:r w:rsidRPr="000508B6">
        <w:rPr>
          <w:rFonts w:ascii="Times New Roman" w:hAnsi="Times New Roman" w:cs="Times New Roman"/>
          <w:lang w:val="ro-MD"/>
        </w:rPr>
        <w:t>tranzacţiilor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w:t>
      </w:r>
    </w:p>
    <w:p w14:paraId="653AF573" w14:textId="41B3ACF6" w:rsidR="00F95829" w:rsidRPr="000508B6" w:rsidRDefault="00F95829" w:rsidP="00CF5AFA">
      <w:pPr>
        <w:numPr>
          <w:ilvl w:val="0"/>
          <w:numId w:val="23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cadrul procesului de supraveghere exercitat de Banca Națională a Moldovei, supravegherea </w:t>
      </w:r>
      <w:proofErr w:type="spellStart"/>
      <w:r w:rsidRPr="000508B6">
        <w:rPr>
          <w:rFonts w:ascii="Times New Roman" w:hAnsi="Times New Roman" w:cs="Times New Roman"/>
          <w:lang w:val="ro-MD"/>
        </w:rPr>
        <w:t>tranzacţiilor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se realizează în conformitate cu procedura aplicabilă prevăzută la art. </w:t>
      </w:r>
      <w:r w:rsidR="0083535A" w:rsidRPr="000508B6">
        <w:rPr>
          <w:rFonts w:ascii="Times New Roman" w:hAnsi="Times New Roman" w:cs="Times New Roman"/>
          <w:lang w:val="ro-MD"/>
        </w:rPr>
        <w:t>192</w:t>
      </w:r>
      <w:r w:rsidR="00DC134A" w:rsidRPr="000508B6">
        <w:rPr>
          <w:rFonts w:ascii="Times New Roman" w:hAnsi="Times New Roman" w:cs="Times New Roman"/>
          <w:lang w:val="ro-MD"/>
        </w:rPr>
        <w:t>-</w:t>
      </w:r>
      <w:r w:rsidR="0083535A" w:rsidRPr="000508B6">
        <w:rPr>
          <w:rFonts w:ascii="Times New Roman" w:hAnsi="Times New Roman" w:cs="Times New Roman"/>
          <w:lang w:val="ro-MD"/>
        </w:rPr>
        <w:t xml:space="preserve">195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prevederile art. </w:t>
      </w:r>
      <w:r w:rsidR="0083535A" w:rsidRPr="000508B6">
        <w:rPr>
          <w:rFonts w:ascii="Times New Roman" w:hAnsi="Times New Roman" w:cs="Times New Roman"/>
          <w:lang w:val="ro-MD"/>
        </w:rPr>
        <w:t>146</w:t>
      </w:r>
      <w:r w:rsidRPr="000508B6">
        <w:rPr>
          <w:rFonts w:ascii="Times New Roman" w:hAnsi="Times New Roman" w:cs="Times New Roman"/>
          <w:lang w:val="ro-MD"/>
        </w:rPr>
        <w:t xml:space="preserve">.   </w:t>
      </w:r>
    </w:p>
    <w:p w14:paraId="21E717BE" w14:textId="1E768B73" w:rsidR="00F95829" w:rsidRPr="000508B6" w:rsidRDefault="00592695" w:rsidP="00CF5AFA">
      <w:pPr>
        <w:numPr>
          <w:ilvl w:val="0"/>
          <w:numId w:val="23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w:t>
      </w:r>
      <w:r w:rsidR="00986FCF" w:rsidRPr="000508B6">
        <w:rPr>
          <w:rFonts w:ascii="Times New Roman" w:hAnsi="Times New Roman" w:cs="Times New Roman"/>
          <w:lang w:val="ro-MD"/>
        </w:rPr>
        <w:t>ul</w:t>
      </w:r>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reasigurător</w:t>
      </w:r>
      <w:r w:rsidR="00986FCF" w:rsidRPr="000508B6">
        <w:rPr>
          <w:rFonts w:ascii="Times New Roman" w:hAnsi="Times New Roman" w:cs="Times New Roman"/>
          <w:lang w:val="ro-MD"/>
        </w:rPr>
        <w:t>ul</w:t>
      </w:r>
      <w:proofErr w:type="spellEnd"/>
      <w:r w:rsidRPr="000508B6">
        <w:rPr>
          <w:rFonts w:ascii="Times New Roman" w:hAnsi="Times New Roman" w:cs="Times New Roman"/>
          <w:lang w:val="ro-MD"/>
        </w:rPr>
        <w:t xml:space="preserve"> </w:t>
      </w:r>
      <w:r w:rsidR="00F95829" w:rsidRPr="000508B6">
        <w:rPr>
          <w:rFonts w:ascii="Times New Roman" w:hAnsi="Times New Roman" w:cs="Times New Roman"/>
          <w:lang w:val="ro-MD"/>
        </w:rPr>
        <w:t>coordonator a</w:t>
      </w:r>
      <w:r w:rsidR="00986FCF" w:rsidRPr="000508B6">
        <w:rPr>
          <w:rFonts w:ascii="Times New Roman" w:hAnsi="Times New Roman" w:cs="Times New Roman"/>
          <w:lang w:val="ro-MD"/>
        </w:rPr>
        <w:t>l</w:t>
      </w:r>
      <w:r w:rsidR="00F95829" w:rsidRPr="000508B6">
        <w:rPr>
          <w:rFonts w:ascii="Times New Roman" w:hAnsi="Times New Roman" w:cs="Times New Roman"/>
          <w:lang w:val="ro-MD"/>
        </w:rPr>
        <w:t xml:space="preserve"> </w:t>
      </w:r>
      <w:r w:rsidR="001A1E7A" w:rsidRPr="000508B6">
        <w:rPr>
          <w:rFonts w:ascii="Times New Roman" w:hAnsi="Times New Roman" w:cs="Times New Roman"/>
          <w:lang w:val="ro-MD"/>
        </w:rPr>
        <w:t xml:space="preserve">grupului </w:t>
      </w:r>
      <w:r w:rsidR="00F95829" w:rsidRPr="000508B6">
        <w:rPr>
          <w:rFonts w:ascii="Times New Roman" w:hAnsi="Times New Roman" w:cs="Times New Roman"/>
          <w:lang w:val="ro-MD"/>
        </w:rPr>
        <w:t xml:space="preserve">sau, dacă este cazul, </w:t>
      </w:r>
      <w:r w:rsidR="001A1E7A"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de asigurare ori </w:t>
      </w:r>
      <w:r w:rsidR="001A1E7A"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financiar mixt transmit</w:t>
      </w:r>
      <w:r w:rsidR="001A1E7A" w:rsidRPr="000508B6">
        <w:rPr>
          <w:rFonts w:ascii="Times New Roman" w:hAnsi="Times New Roman" w:cs="Times New Roman"/>
          <w:lang w:val="ro-MD"/>
        </w:rPr>
        <w:t>e</w:t>
      </w:r>
      <w:r w:rsidR="00F95829" w:rsidRPr="000508B6">
        <w:rPr>
          <w:rFonts w:ascii="Times New Roman" w:hAnsi="Times New Roman" w:cs="Times New Roman"/>
          <w:lang w:val="ro-MD"/>
        </w:rPr>
        <w:t xml:space="preserve"> Băncii Naționale a Moldovei, cel </w:t>
      </w:r>
      <w:proofErr w:type="spellStart"/>
      <w:r w:rsidR="00F95829" w:rsidRPr="000508B6">
        <w:rPr>
          <w:rFonts w:ascii="Times New Roman" w:hAnsi="Times New Roman" w:cs="Times New Roman"/>
          <w:lang w:val="ro-MD"/>
        </w:rPr>
        <w:t>puţin</w:t>
      </w:r>
      <w:proofErr w:type="spellEnd"/>
      <w:r w:rsidR="00F95829" w:rsidRPr="000508B6">
        <w:rPr>
          <w:rFonts w:ascii="Times New Roman" w:hAnsi="Times New Roman" w:cs="Times New Roman"/>
          <w:lang w:val="ro-MD"/>
        </w:rPr>
        <w:t xml:space="preserve"> anual, un raport </w:t>
      </w:r>
      <w:r w:rsidR="00F95829" w:rsidRPr="000508B6">
        <w:rPr>
          <w:rFonts w:ascii="Times New Roman" w:hAnsi="Times New Roman" w:cs="Times New Roman"/>
          <w:lang w:val="ro-MD"/>
        </w:rPr>
        <w:lastRenderedPageBreak/>
        <w:t xml:space="preserve">privind toate </w:t>
      </w:r>
      <w:proofErr w:type="spellStart"/>
      <w:r w:rsidR="00F95829" w:rsidRPr="000508B6">
        <w:rPr>
          <w:rFonts w:ascii="Times New Roman" w:hAnsi="Times New Roman" w:cs="Times New Roman"/>
          <w:lang w:val="ro-MD"/>
        </w:rPr>
        <w:t>tranzacţiile</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intragrup</w:t>
      </w:r>
      <w:proofErr w:type="spellEnd"/>
      <w:r w:rsidR="00F95829" w:rsidRPr="000508B6">
        <w:rPr>
          <w:rFonts w:ascii="Times New Roman" w:hAnsi="Times New Roman" w:cs="Times New Roman"/>
          <w:lang w:val="ro-MD"/>
        </w:rPr>
        <w:t xml:space="preserve"> semnificative efectuate de </w:t>
      </w:r>
      <w:r w:rsidR="00977980" w:rsidRPr="000508B6">
        <w:rPr>
          <w:rFonts w:ascii="Times New Roman" w:hAnsi="Times New Roman" w:cs="Times New Roman"/>
          <w:lang w:val="ro-MD"/>
        </w:rPr>
        <w:t xml:space="preserve">asigurători sau </w:t>
      </w:r>
      <w:proofErr w:type="spellStart"/>
      <w:r w:rsidR="00977980" w:rsidRPr="000508B6">
        <w:rPr>
          <w:rFonts w:ascii="Times New Roman" w:hAnsi="Times New Roman" w:cs="Times New Roman"/>
          <w:lang w:val="ro-MD"/>
        </w:rPr>
        <w:t>reasigurători</w:t>
      </w:r>
      <w:proofErr w:type="spellEnd"/>
      <w:r w:rsidR="00F95829" w:rsidRPr="000508B6">
        <w:rPr>
          <w:rFonts w:ascii="Times New Roman" w:hAnsi="Times New Roman" w:cs="Times New Roman"/>
          <w:lang w:val="ro-MD"/>
        </w:rPr>
        <w:t xml:space="preserve">, inclusiv cu persoane fizice care au legături strânse cu oricare entitate din cadrul grupului, identificate conform art. </w:t>
      </w:r>
      <w:r w:rsidR="0083535A" w:rsidRPr="000508B6">
        <w:rPr>
          <w:rFonts w:ascii="Times New Roman" w:hAnsi="Times New Roman" w:cs="Times New Roman"/>
          <w:lang w:val="ro-MD"/>
        </w:rPr>
        <w:t xml:space="preserve">193 </w:t>
      </w:r>
      <w:r w:rsidR="00F95829" w:rsidRPr="000508B6">
        <w:rPr>
          <w:rFonts w:ascii="Times New Roman" w:hAnsi="Times New Roman" w:cs="Times New Roman"/>
          <w:lang w:val="ro-MD"/>
        </w:rPr>
        <w:t>alin. (21</w:t>
      </w:r>
      <w:r w:rsidR="001133AD" w:rsidRPr="000508B6">
        <w:rPr>
          <w:rFonts w:ascii="Times New Roman" w:hAnsi="Times New Roman" w:cs="Times New Roman"/>
          <w:lang w:val="ro-MD"/>
        </w:rPr>
        <w:t>)</w:t>
      </w:r>
      <w:r w:rsidR="00786604" w:rsidRPr="000508B6">
        <w:rPr>
          <w:rFonts w:ascii="Times New Roman" w:hAnsi="Times New Roman" w:cs="Times New Roman"/>
          <w:lang w:val="ro-MD"/>
        </w:rPr>
        <w:t xml:space="preserve"> lit.</w:t>
      </w:r>
      <w:r w:rsidR="0066353C" w:rsidRPr="000508B6">
        <w:rPr>
          <w:rFonts w:ascii="Times New Roman" w:hAnsi="Times New Roman" w:cs="Times New Roman"/>
          <w:lang w:val="ro-MD"/>
        </w:rPr>
        <w:t xml:space="preserve"> </w:t>
      </w:r>
      <w:r w:rsidR="00786604" w:rsidRPr="000508B6">
        <w:rPr>
          <w:rFonts w:ascii="Times New Roman" w:hAnsi="Times New Roman" w:cs="Times New Roman"/>
          <w:lang w:val="ro-MD"/>
        </w:rPr>
        <w:t>a)</w:t>
      </w:r>
      <w:r w:rsidR="001133AD" w:rsidRPr="000508B6">
        <w:rPr>
          <w:rFonts w:ascii="Times New Roman" w:hAnsi="Times New Roman" w:cs="Times New Roman"/>
          <w:lang w:val="ro-MD"/>
        </w:rPr>
        <w:t xml:space="preserve">. Raportul </w:t>
      </w:r>
      <w:r w:rsidR="00F95829" w:rsidRPr="000508B6">
        <w:rPr>
          <w:rFonts w:ascii="Times New Roman" w:hAnsi="Times New Roman" w:cs="Times New Roman"/>
          <w:lang w:val="ro-MD"/>
        </w:rPr>
        <w:t xml:space="preserve">privind </w:t>
      </w:r>
      <w:proofErr w:type="spellStart"/>
      <w:r w:rsidR="00F95829" w:rsidRPr="000508B6">
        <w:rPr>
          <w:rFonts w:ascii="Times New Roman" w:hAnsi="Times New Roman" w:cs="Times New Roman"/>
          <w:lang w:val="ro-MD"/>
        </w:rPr>
        <w:t>tranzacţiile</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intragrup</w:t>
      </w:r>
      <w:proofErr w:type="spellEnd"/>
      <w:r w:rsidR="00F95829" w:rsidRPr="000508B6">
        <w:rPr>
          <w:rFonts w:ascii="Times New Roman" w:hAnsi="Times New Roman" w:cs="Times New Roman"/>
          <w:lang w:val="ro-MD"/>
        </w:rPr>
        <w:t xml:space="preserve"> cu grad ridicat de </w:t>
      </w:r>
      <w:proofErr w:type="spellStart"/>
      <w:r w:rsidR="00F95829" w:rsidRPr="000508B6">
        <w:rPr>
          <w:rFonts w:ascii="Times New Roman" w:hAnsi="Times New Roman" w:cs="Times New Roman"/>
          <w:lang w:val="ro-MD"/>
        </w:rPr>
        <w:t>semnificaţie</w:t>
      </w:r>
      <w:proofErr w:type="spellEnd"/>
      <w:r w:rsidR="00F95829" w:rsidRPr="000508B6">
        <w:rPr>
          <w:rFonts w:ascii="Times New Roman" w:hAnsi="Times New Roman" w:cs="Times New Roman"/>
          <w:lang w:val="ro-MD"/>
        </w:rPr>
        <w:t xml:space="preserve"> se transmite de îndată ce acest lucru este posibil.   </w:t>
      </w:r>
    </w:p>
    <w:p w14:paraId="39869B22" w14:textId="78909E18" w:rsidR="00F95829" w:rsidRPr="000508B6" w:rsidRDefault="00BE3B32" w:rsidP="00CF5AFA">
      <w:pPr>
        <w:pStyle w:val="Listparagraf"/>
        <w:numPr>
          <w:ilvl w:val="0"/>
          <w:numId w:val="233"/>
        </w:num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În sensul alin. (1) și (2) Banca Națională a Moldovei, după consulta</w:t>
      </w:r>
      <w:r w:rsidR="00450044" w:rsidRPr="000508B6">
        <w:rPr>
          <w:rFonts w:ascii="Times New Roman" w:hAnsi="Times New Roman" w:cs="Times New Roman"/>
          <w:lang w:val="ro-MD"/>
        </w:rPr>
        <w:t>re</w:t>
      </w:r>
      <w:r w:rsidRPr="000508B6">
        <w:rPr>
          <w:rFonts w:ascii="Times New Roman" w:hAnsi="Times New Roman" w:cs="Times New Roman"/>
          <w:lang w:val="ro-MD"/>
        </w:rPr>
        <w:t>a efectuată conform art.</w:t>
      </w:r>
      <w:r w:rsidR="00E60961" w:rsidRPr="000508B6">
        <w:rPr>
          <w:rFonts w:ascii="Times New Roman" w:hAnsi="Times New Roman" w:cs="Times New Roman"/>
          <w:lang w:val="ro-MD"/>
        </w:rPr>
        <w:t xml:space="preserve"> </w:t>
      </w:r>
      <w:r w:rsidR="008B44ED" w:rsidRPr="000508B6">
        <w:rPr>
          <w:rFonts w:ascii="Times New Roman" w:hAnsi="Times New Roman" w:cs="Times New Roman"/>
          <w:lang w:val="ro-MD"/>
        </w:rPr>
        <w:t>193</w:t>
      </w:r>
      <w:r w:rsidRPr="000508B6">
        <w:rPr>
          <w:rFonts w:ascii="Times New Roman" w:hAnsi="Times New Roman" w:cs="Times New Roman"/>
          <w:lang w:val="ro-MD"/>
        </w:rPr>
        <w:t xml:space="preserve"> alin.</w:t>
      </w:r>
      <w:r w:rsidR="00E60961" w:rsidRPr="000508B6">
        <w:rPr>
          <w:rFonts w:ascii="Times New Roman" w:hAnsi="Times New Roman" w:cs="Times New Roman"/>
          <w:lang w:val="ro-MD"/>
        </w:rPr>
        <w:t xml:space="preserve"> </w:t>
      </w:r>
      <w:r w:rsidRPr="000508B6">
        <w:rPr>
          <w:rFonts w:ascii="Times New Roman" w:hAnsi="Times New Roman" w:cs="Times New Roman"/>
          <w:lang w:val="ro-MD"/>
        </w:rPr>
        <w:t>(21) lit.</w:t>
      </w:r>
      <w:r w:rsidR="0066353C" w:rsidRPr="000508B6">
        <w:rPr>
          <w:rFonts w:ascii="Times New Roman" w:hAnsi="Times New Roman" w:cs="Times New Roman"/>
          <w:lang w:val="ro-MD"/>
        </w:rPr>
        <w:t xml:space="preserve"> </w:t>
      </w:r>
      <w:r w:rsidRPr="000508B6">
        <w:rPr>
          <w:rFonts w:ascii="Times New Roman" w:hAnsi="Times New Roman" w:cs="Times New Roman"/>
          <w:lang w:val="ro-MD"/>
        </w:rPr>
        <w:t xml:space="preserve">c) poate impune grupurilor, prin decizie motivată, să raporteze </w:t>
      </w:r>
      <w:r w:rsidR="009C1592" w:rsidRPr="000508B6">
        <w:rPr>
          <w:rFonts w:ascii="Times New Roman" w:hAnsi="Times New Roman" w:cs="Times New Roman"/>
          <w:lang w:val="ro-MD"/>
        </w:rPr>
        <w:t xml:space="preserve">pe </w:t>
      </w:r>
      <w:proofErr w:type="spellStart"/>
      <w:r w:rsidR="009C1592" w:rsidRPr="000508B6">
        <w:rPr>
          <w:rFonts w:ascii="Times New Roman" w:hAnsi="Times New Roman" w:cs="Times New Roman"/>
          <w:lang w:val="ro-MD"/>
        </w:rPr>
        <w:t>lîngă</w:t>
      </w:r>
      <w:proofErr w:type="spellEnd"/>
      <w:r w:rsidR="009C1592" w:rsidRPr="000508B6">
        <w:rPr>
          <w:rFonts w:ascii="Times New Roman" w:hAnsi="Times New Roman" w:cs="Times New Roman"/>
          <w:lang w:val="ro-MD"/>
        </w:rPr>
        <w:t xml:space="preserve"> </w:t>
      </w:r>
      <w:proofErr w:type="spellStart"/>
      <w:r w:rsidR="009C1592" w:rsidRPr="000508B6">
        <w:rPr>
          <w:rFonts w:ascii="Times New Roman" w:hAnsi="Times New Roman" w:cs="Times New Roman"/>
          <w:lang w:val="ro-MD"/>
        </w:rPr>
        <w:t>tranzațiile</w:t>
      </w:r>
      <w:proofErr w:type="spellEnd"/>
      <w:r w:rsidR="009C1592" w:rsidRPr="000508B6">
        <w:rPr>
          <w:rFonts w:ascii="Times New Roman" w:hAnsi="Times New Roman" w:cs="Times New Roman"/>
          <w:lang w:val="ro-MD"/>
        </w:rPr>
        <w:t xml:space="preserve"> prevăzute la art.</w:t>
      </w:r>
      <w:r w:rsidR="0066353C" w:rsidRPr="000508B6">
        <w:rPr>
          <w:rFonts w:ascii="Times New Roman" w:hAnsi="Times New Roman" w:cs="Times New Roman"/>
          <w:lang w:val="ro-MD"/>
        </w:rPr>
        <w:t xml:space="preserve"> </w:t>
      </w:r>
      <w:r w:rsidR="009C1592" w:rsidRPr="000508B6">
        <w:rPr>
          <w:rFonts w:ascii="Times New Roman" w:hAnsi="Times New Roman" w:cs="Times New Roman"/>
          <w:lang w:val="ro-MD"/>
        </w:rPr>
        <w:t xml:space="preserve">3 pct. </w:t>
      </w:r>
      <w:r w:rsidR="0088104E" w:rsidRPr="000508B6">
        <w:rPr>
          <w:rFonts w:ascii="Times New Roman" w:hAnsi="Times New Roman" w:cs="Times New Roman"/>
          <w:lang w:val="ro-MD"/>
        </w:rPr>
        <w:t>88</w:t>
      </w:r>
      <w:r w:rsidR="0004006F" w:rsidRPr="000508B6">
        <w:rPr>
          <w:rFonts w:ascii="Times New Roman" w:hAnsi="Times New Roman" w:cs="Times New Roman"/>
          <w:lang w:val="ro-MD"/>
        </w:rPr>
        <w:t>)</w:t>
      </w:r>
      <w:r w:rsidR="009C1592" w:rsidRPr="000508B6">
        <w:rPr>
          <w:rFonts w:ascii="Times New Roman" w:hAnsi="Times New Roman" w:cs="Times New Roman"/>
          <w:lang w:val="ro-MD"/>
        </w:rPr>
        <w:t xml:space="preserve"> </w:t>
      </w:r>
      <w:r w:rsidRPr="000508B6">
        <w:rPr>
          <w:rFonts w:ascii="Times New Roman" w:hAnsi="Times New Roman" w:cs="Times New Roman"/>
          <w:lang w:val="ro-MD"/>
        </w:rPr>
        <w:t xml:space="preserve">și tranzacțiile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care implică alte </w:t>
      </w:r>
      <w:r w:rsidR="00E10570" w:rsidRPr="000508B6">
        <w:rPr>
          <w:rFonts w:ascii="Times New Roman" w:hAnsi="Times New Roman" w:cs="Times New Roman"/>
          <w:lang w:val="ro-MD"/>
        </w:rPr>
        <w:t>entități</w:t>
      </w:r>
      <w:r w:rsidRPr="000508B6">
        <w:rPr>
          <w:rFonts w:ascii="Times New Roman" w:hAnsi="Times New Roman" w:cs="Times New Roman"/>
          <w:lang w:val="ro-MD"/>
        </w:rPr>
        <w:t xml:space="preserve"> decât </w:t>
      </w:r>
      <w:r w:rsidR="00977980" w:rsidRPr="000508B6">
        <w:rPr>
          <w:rFonts w:ascii="Times New Roman" w:hAnsi="Times New Roman" w:cs="Times New Roman"/>
          <w:lang w:val="ro-MD"/>
        </w:rPr>
        <w:t xml:space="preserve">asigurători sau </w:t>
      </w:r>
      <w:proofErr w:type="spellStart"/>
      <w:r w:rsidR="00977980"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977980" w:rsidRPr="000508B6">
        <w:rPr>
          <w:rFonts w:ascii="Times New Roman" w:hAnsi="Times New Roman" w:cs="Times New Roman"/>
          <w:lang w:val="ro-MD"/>
        </w:rPr>
        <w:t xml:space="preserve">asigurători sau </w:t>
      </w:r>
      <w:proofErr w:type="spellStart"/>
      <w:r w:rsidR="00977980"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din țări terțe, holdingurile de asigurare și holdingurile financiare mixte. </w:t>
      </w:r>
    </w:p>
    <w:p w14:paraId="6B54DFAB" w14:textId="77777777" w:rsidR="00963013" w:rsidRPr="000508B6" w:rsidRDefault="00963013" w:rsidP="005166FF">
      <w:pPr>
        <w:pStyle w:val="Listparagraf"/>
        <w:numPr>
          <w:ilvl w:val="0"/>
          <w:numId w:val="233"/>
        </w:numPr>
        <w:tabs>
          <w:tab w:val="left" w:pos="709"/>
          <w:tab w:val="left" w:pos="851"/>
          <w:tab w:val="left" w:pos="993"/>
        </w:tabs>
        <w:spacing w:after="0" w:line="240" w:lineRule="auto"/>
        <w:ind w:firstLine="41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solicita, atunci când consideră necesar,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despre: </w:t>
      </w:r>
    </w:p>
    <w:p w14:paraId="32158E92" w14:textId="4738F49E" w:rsidR="00963013" w:rsidRPr="000508B6" w:rsidRDefault="00963013" w:rsidP="005166FF">
      <w:pPr>
        <w:pStyle w:val="Listparagraf"/>
        <w:numPr>
          <w:ilvl w:val="2"/>
          <w:numId w:val="414"/>
        </w:numPr>
        <w:tabs>
          <w:tab w:val="left" w:pos="709"/>
          <w:tab w:val="left" w:pos="851"/>
          <w:tab w:val="left" w:pos="993"/>
        </w:tabs>
        <w:spacing w:after="0" w:line="240" w:lineRule="auto"/>
        <w:ind w:left="0" w:firstLine="567"/>
        <w:jc w:val="both"/>
        <w:rPr>
          <w:rFonts w:ascii="Times New Roman" w:hAnsi="Times New Roman" w:cs="Times New Roman"/>
          <w:lang w:val="ro-MD"/>
        </w:rPr>
      </w:pPr>
      <w:proofErr w:type="spellStart"/>
      <w:r w:rsidRPr="000508B6">
        <w:rPr>
          <w:rFonts w:ascii="Times New Roman" w:hAnsi="Times New Roman" w:cs="Times New Roman"/>
          <w:lang w:val="ro-MD"/>
        </w:rPr>
        <w:t>tranzacţiile</w:t>
      </w:r>
      <w:proofErr w:type="spellEnd"/>
      <w:r w:rsidRPr="000508B6">
        <w:rPr>
          <w:rFonts w:ascii="Times New Roman" w:hAnsi="Times New Roman" w:cs="Times New Roman"/>
          <w:lang w:val="ro-MD"/>
        </w:rPr>
        <w:t xml:space="preserve"> dintre </w:t>
      </w:r>
      <w:r w:rsidR="00977980" w:rsidRPr="000508B6">
        <w:rPr>
          <w:rFonts w:ascii="Times New Roman" w:hAnsi="Times New Roman" w:cs="Times New Roman"/>
          <w:lang w:val="ro-MD"/>
        </w:rPr>
        <w:t xml:space="preserve">asigurători sau </w:t>
      </w:r>
      <w:proofErr w:type="spellStart"/>
      <w:r w:rsidR="00977980"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societatea-mamă care este un holding mixt de asigurare; </w:t>
      </w:r>
    </w:p>
    <w:p w14:paraId="5E837B38" w14:textId="32FEEB2B" w:rsidR="0004006F" w:rsidRPr="000508B6" w:rsidRDefault="0004006F" w:rsidP="005166FF">
      <w:pPr>
        <w:pStyle w:val="Listparagraf"/>
        <w:numPr>
          <w:ilvl w:val="2"/>
          <w:numId w:val="414"/>
        </w:numPr>
        <w:tabs>
          <w:tab w:val="left" w:pos="709"/>
          <w:tab w:val="left" w:pos="851"/>
          <w:tab w:val="left" w:pos="993"/>
        </w:tabs>
        <w:spacing w:after="0" w:line="240" w:lineRule="auto"/>
        <w:ind w:left="0" w:firstLine="567"/>
        <w:jc w:val="both"/>
        <w:rPr>
          <w:rFonts w:ascii="Times New Roman" w:hAnsi="Times New Roman" w:cs="Times New Roman"/>
          <w:lang w:val="ro-MD"/>
        </w:rPr>
      </w:pPr>
      <w:proofErr w:type="spellStart"/>
      <w:r w:rsidRPr="000508B6">
        <w:rPr>
          <w:rFonts w:ascii="Times New Roman" w:hAnsi="Times New Roman" w:cs="Times New Roman"/>
          <w:lang w:val="ro-MD"/>
        </w:rPr>
        <w:t>tranzacţiile</w:t>
      </w:r>
      <w:proofErr w:type="spellEnd"/>
      <w:r w:rsidRPr="000508B6">
        <w:rPr>
          <w:rFonts w:ascii="Times New Roman" w:hAnsi="Times New Roman" w:cs="Times New Roman"/>
          <w:lang w:val="ro-MD"/>
        </w:rPr>
        <w:t xml:space="preserve"> dintre </w:t>
      </w:r>
      <w:r w:rsidR="009A3B22" w:rsidRPr="000508B6">
        <w:rPr>
          <w:rFonts w:ascii="Times New Roman" w:hAnsi="Times New Roman" w:cs="Times New Roman"/>
          <w:lang w:val="ro-MD"/>
        </w:rPr>
        <w:t xml:space="preserve">asigurători sau </w:t>
      </w:r>
      <w:proofErr w:type="spellStart"/>
      <w:r w:rsidR="009A3B22" w:rsidRPr="000508B6">
        <w:rPr>
          <w:rFonts w:ascii="Times New Roman" w:hAnsi="Times New Roman" w:cs="Times New Roman"/>
          <w:lang w:val="ro-MD"/>
        </w:rPr>
        <w:t>reasigurători</w:t>
      </w:r>
      <w:proofErr w:type="spellEnd"/>
      <w:r w:rsidR="009A3B22" w:rsidRPr="000508B6">
        <w:rPr>
          <w:rFonts w:ascii="Times New Roman" w:hAnsi="Times New Roman" w:cs="Times New Roman"/>
          <w:lang w:val="ro-MD"/>
        </w:rPr>
        <w:t xml:space="preserve"> afiliați </w:t>
      </w:r>
      <w:r w:rsidRPr="000508B6">
        <w:rPr>
          <w:rFonts w:ascii="Times New Roman" w:hAnsi="Times New Roman" w:cs="Times New Roman"/>
          <w:lang w:val="ro-MD"/>
        </w:rPr>
        <w:t xml:space="preserve">holdingului respectiv. </w:t>
      </w:r>
    </w:p>
    <w:p w14:paraId="51671B2F" w14:textId="70E04956" w:rsidR="00963013" w:rsidRPr="000508B6" w:rsidRDefault="00963013" w:rsidP="005166FF">
      <w:pPr>
        <w:pStyle w:val="Listparagraf"/>
        <w:numPr>
          <w:ilvl w:val="0"/>
          <w:numId w:val="233"/>
        </w:numPr>
        <w:tabs>
          <w:tab w:val="left" w:pos="709"/>
          <w:tab w:val="left" w:pos="851"/>
          <w:tab w:val="left" w:pos="993"/>
        </w:tabs>
        <w:spacing w:after="0" w:line="240" w:lineRule="auto"/>
        <w:ind w:firstLine="416"/>
        <w:jc w:val="both"/>
        <w:rPr>
          <w:rFonts w:ascii="Times New Roman" w:hAnsi="Times New Roman" w:cs="Times New Roman"/>
          <w:lang w:val="ro-MD"/>
        </w:rPr>
      </w:pPr>
      <w:r w:rsidRPr="000508B6">
        <w:rPr>
          <w:rFonts w:ascii="Times New Roman" w:hAnsi="Times New Roman" w:cs="Times New Roman"/>
          <w:lang w:val="ro-MD"/>
        </w:rPr>
        <w:t xml:space="preserve">În cazul în care societatea-mamă a uneia sau mai multor </w:t>
      </w:r>
      <w:r w:rsidR="00592695" w:rsidRPr="000508B6">
        <w:rPr>
          <w:rFonts w:ascii="Times New Roman" w:hAnsi="Times New Roman" w:cs="Times New Roman"/>
          <w:lang w:val="ro-MD"/>
        </w:rPr>
        <w:t xml:space="preserve">asigurători sau </w:t>
      </w:r>
      <w:proofErr w:type="spellStart"/>
      <w:r w:rsidR="00592695"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este o entitate menționată la art. 132 alin. (1) sau o entitate nereglementată care desfășoară una sau mai multe dintre activitățile menționate în </w:t>
      </w:r>
      <w:r w:rsidR="009A1B4A" w:rsidRPr="000508B6">
        <w:rPr>
          <w:rFonts w:ascii="Times New Roman" w:hAnsi="Times New Roman" w:cs="Times New Roman"/>
          <w:lang w:val="ro-MD"/>
        </w:rPr>
        <w:t>art. 16 din</w:t>
      </w:r>
      <w:r w:rsidR="00791AC7" w:rsidRPr="000508B6">
        <w:rPr>
          <w:rFonts w:ascii="Times New Roman" w:hAnsi="Times New Roman" w:cs="Times New Roman"/>
          <w:lang w:val="ro-MD"/>
        </w:rPr>
        <w:t xml:space="preserve"> </w:t>
      </w:r>
      <w:r w:rsidRPr="000508B6">
        <w:rPr>
          <w:rFonts w:ascii="Times New Roman" w:hAnsi="Times New Roman" w:cs="Times New Roman"/>
          <w:lang w:val="ro-MD"/>
        </w:rPr>
        <w:t xml:space="preserve">Legea nr. 202/2017 și </w:t>
      </w:r>
      <w:r w:rsidR="0066353C" w:rsidRPr="000508B6">
        <w:rPr>
          <w:rFonts w:ascii="Times New Roman" w:hAnsi="Times New Roman" w:cs="Times New Roman"/>
          <w:lang w:val="ro-MD"/>
        </w:rPr>
        <w:t xml:space="preserve">în </w:t>
      </w:r>
      <w:r w:rsidRPr="000508B6">
        <w:rPr>
          <w:rFonts w:ascii="Times New Roman" w:hAnsi="Times New Roman" w:cs="Times New Roman"/>
          <w:lang w:val="ro-MD"/>
        </w:rPr>
        <w:t xml:space="preserve">Legea nr. 171/2012, în cazul în care activitățile respective constituie o parte semnificativă a activității sale generale, Banca Națională a Moldovei poate solicita </w:t>
      </w:r>
      <w:r w:rsidR="00592695" w:rsidRPr="000508B6">
        <w:rPr>
          <w:rFonts w:ascii="Times New Roman" w:hAnsi="Times New Roman" w:cs="Times New Roman"/>
          <w:lang w:val="ro-MD"/>
        </w:rPr>
        <w:t xml:space="preserve">asigurătorilor sau </w:t>
      </w:r>
      <w:proofErr w:type="spellStart"/>
      <w:r w:rsidR="00592695" w:rsidRPr="000508B6">
        <w:rPr>
          <w:rFonts w:ascii="Times New Roman" w:hAnsi="Times New Roman" w:cs="Times New Roman"/>
          <w:lang w:val="ro-MD"/>
        </w:rPr>
        <w:t>reasigurătorilor</w:t>
      </w:r>
      <w:proofErr w:type="spellEnd"/>
      <w:r w:rsidR="00592695" w:rsidRPr="000508B6">
        <w:rPr>
          <w:rFonts w:ascii="Times New Roman" w:hAnsi="Times New Roman" w:cs="Times New Roman"/>
          <w:lang w:val="ro-MD"/>
        </w:rPr>
        <w:t xml:space="preserve"> </w:t>
      </w:r>
      <w:r w:rsidRPr="000508B6">
        <w:rPr>
          <w:rFonts w:ascii="Times New Roman" w:hAnsi="Times New Roman" w:cs="Times New Roman"/>
          <w:lang w:val="ro-MD"/>
        </w:rPr>
        <w:t>respectiv</w:t>
      </w:r>
      <w:r w:rsidR="00592695" w:rsidRPr="000508B6">
        <w:rPr>
          <w:rFonts w:ascii="Times New Roman" w:hAnsi="Times New Roman" w:cs="Times New Roman"/>
          <w:lang w:val="ro-MD"/>
        </w:rPr>
        <w:t>i</w:t>
      </w:r>
      <w:r w:rsidRPr="000508B6">
        <w:rPr>
          <w:rFonts w:ascii="Times New Roman" w:hAnsi="Times New Roman" w:cs="Times New Roman"/>
          <w:lang w:val="ro-MD"/>
        </w:rPr>
        <w:t xml:space="preserve"> informații despre</w:t>
      </w:r>
      <w:r w:rsidR="005A3C50" w:rsidRPr="000508B6">
        <w:rPr>
          <w:rFonts w:ascii="Times New Roman" w:hAnsi="Times New Roman" w:cs="Times New Roman"/>
          <w:lang w:val="ro-MD"/>
        </w:rPr>
        <w:t>:</w:t>
      </w:r>
    </w:p>
    <w:p w14:paraId="1591CDC0" w14:textId="1194095C" w:rsidR="00963013" w:rsidRPr="000508B6" w:rsidRDefault="005A3C50" w:rsidP="005166FF">
      <w:pPr>
        <w:tabs>
          <w:tab w:val="left" w:pos="709"/>
          <w:tab w:val="left" w:pos="851"/>
          <w:tab w:val="left" w:pos="993"/>
        </w:tabs>
        <w:spacing w:after="0" w:line="240" w:lineRule="auto"/>
        <w:ind w:firstLine="567"/>
        <w:jc w:val="both"/>
        <w:rPr>
          <w:rFonts w:ascii="Times New Roman" w:hAnsi="Times New Roman" w:cs="Times New Roman"/>
          <w:lang w:val="ro-MD"/>
        </w:rPr>
      </w:pPr>
      <w:r w:rsidRPr="000508B6">
        <w:rPr>
          <w:rFonts w:ascii="Times New Roman" w:hAnsi="Times New Roman" w:cs="Times New Roman"/>
          <w:lang w:val="ro-MD"/>
        </w:rPr>
        <w:t>a)</w:t>
      </w:r>
      <w:r w:rsidR="00963013" w:rsidRPr="000508B6">
        <w:rPr>
          <w:rFonts w:ascii="Times New Roman" w:hAnsi="Times New Roman" w:cs="Times New Roman"/>
          <w:lang w:val="ro-MD"/>
        </w:rPr>
        <w:t xml:space="preserve"> tranzacțiile dintre </w:t>
      </w:r>
      <w:r w:rsidR="00592695" w:rsidRPr="000508B6">
        <w:rPr>
          <w:rFonts w:ascii="Times New Roman" w:hAnsi="Times New Roman" w:cs="Times New Roman"/>
          <w:lang w:val="ro-MD"/>
        </w:rPr>
        <w:t xml:space="preserve">acei asigurători sau </w:t>
      </w:r>
      <w:proofErr w:type="spellStart"/>
      <w:r w:rsidR="00592695" w:rsidRPr="000508B6">
        <w:rPr>
          <w:rFonts w:ascii="Times New Roman" w:hAnsi="Times New Roman" w:cs="Times New Roman"/>
          <w:lang w:val="ro-MD"/>
        </w:rPr>
        <w:t>reasigurători</w:t>
      </w:r>
      <w:proofErr w:type="spellEnd"/>
      <w:r w:rsidR="00963013" w:rsidRPr="000508B6">
        <w:rPr>
          <w:rFonts w:ascii="Times New Roman" w:hAnsi="Times New Roman" w:cs="Times New Roman"/>
          <w:lang w:val="ro-MD"/>
        </w:rPr>
        <w:t xml:space="preserve"> și societatea-mamă</w:t>
      </w:r>
      <w:r w:rsidR="007D0C34" w:rsidRPr="000508B6">
        <w:rPr>
          <w:rFonts w:ascii="Times New Roman" w:hAnsi="Times New Roman" w:cs="Times New Roman"/>
          <w:lang w:val="ro-MD"/>
        </w:rPr>
        <w:t>;</w:t>
      </w:r>
      <w:r w:rsidR="00963013" w:rsidRPr="000508B6">
        <w:rPr>
          <w:rFonts w:ascii="Times New Roman" w:hAnsi="Times New Roman" w:cs="Times New Roman"/>
          <w:lang w:val="ro-MD"/>
        </w:rPr>
        <w:t xml:space="preserve"> </w:t>
      </w:r>
    </w:p>
    <w:p w14:paraId="4A283C12" w14:textId="2947651E" w:rsidR="00963013" w:rsidRPr="000508B6" w:rsidRDefault="005A3C50" w:rsidP="005166FF">
      <w:pPr>
        <w:tabs>
          <w:tab w:val="left" w:pos="709"/>
          <w:tab w:val="left" w:pos="851"/>
          <w:tab w:val="left" w:pos="993"/>
        </w:tabs>
        <w:spacing w:after="0" w:line="240" w:lineRule="auto"/>
        <w:ind w:firstLine="567"/>
        <w:jc w:val="both"/>
        <w:rPr>
          <w:rFonts w:ascii="Times New Roman" w:hAnsi="Times New Roman" w:cs="Times New Roman"/>
          <w:lang w:val="ro-MD"/>
        </w:rPr>
      </w:pPr>
      <w:r w:rsidRPr="000508B6">
        <w:rPr>
          <w:rFonts w:ascii="Times New Roman" w:hAnsi="Times New Roman" w:cs="Times New Roman"/>
          <w:lang w:val="ro-MD"/>
        </w:rPr>
        <w:t>b)</w:t>
      </w:r>
      <w:r w:rsidR="00070004" w:rsidRPr="000508B6">
        <w:rPr>
          <w:rFonts w:ascii="Times New Roman" w:hAnsi="Times New Roman" w:cs="Times New Roman"/>
          <w:lang w:val="ro-MD"/>
        </w:rPr>
        <w:t xml:space="preserve">tranzacțiile </w:t>
      </w:r>
      <w:r w:rsidR="00963013" w:rsidRPr="000508B6">
        <w:rPr>
          <w:rFonts w:ascii="Times New Roman" w:hAnsi="Times New Roman" w:cs="Times New Roman"/>
          <w:lang w:val="ro-MD"/>
        </w:rPr>
        <w:t xml:space="preserve">dintre </w:t>
      </w:r>
      <w:r w:rsidR="00592695" w:rsidRPr="000508B6">
        <w:rPr>
          <w:rFonts w:ascii="Times New Roman" w:hAnsi="Times New Roman" w:cs="Times New Roman"/>
          <w:lang w:val="ro-MD"/>
        </w:rPr>
        <w:t xml:space="preserve">asigurători sau </w:t>
      </w:r>
      <w:proofErr w:type="spellStart"/>
      <w:r w:rsidR="00592695" w:rsidRPr="000508B6">
        <w:rPr>
          <w:rFonts w:ascii="Times New Roman" w:hAnsi="Times New Roman" w:cs="Times New Roman"/>
          <w:lang w:val="ro-MD"/>
        </w:rPr>
        <w:t>reasigurători</w:t>
      </w:r>
      <w:proofErr w:type="spellEnd"/>
      <w:r w:rsidR="00963013" w:rsidRPr="000508B6">
        <w:rPr>
          <w:rFonts w:ascii="Times New Roman" w:hAnsi="Times New Roman" w:cs="Times New Roman"/>
          <w:lang w:val="ro-MD"/>
        </w:rPr>
        <w:t xml:space="preserve"> și </w:t>
      </w:r>
      <w:r w:rsidR="00070004" w:rsidRPr="000508B6">
        <w:rPr>
          <w:rFonts w:ascii="Times New Roman" w:hAnsi="Times New Roman" w:cs="Times New Roman"/>
          <w:lang w:val="ro-MD"/>
        </w:rPr>
        <w:t xml:space="preserve">entitățile </w:t>
      </w:r>
      <w:r w:rsidR="00963013" w:rsidRPr="000508B6">
        <w:rPr>
          <w:rFonts w:ascii="Times New Roman" w:hAnsi="Times New Roman" w:cs="Times New Roman"/>
          <w:lang w:val="ro-MD"/>
        </w:rPr>
        <w:t xml:space="preserve">afiliate acesteia. </w:t>
      </w:r>
    </w:p>
    <w:p w14:paraId="4236EDFF" w14:textId="62F68667" w:rsidR="00E10570" w:rsidRPr="000508B6" w:rsidRDefault="00E10570" w:rsidP="00963013">
      <w:pPr>
        <w:pStyle w:val="Listparagraf"/>
        <w:spacing w:after="0" w:line="240" w:lineRule="auto"/>
        <w:ind w:left="436"/>
        <w:jc w:val="both"/>
        <w:rPr>
          <w:rFonts w:ascii="Times New Roman" w:hAnsi="Times New Roman" w:cs="Times New Roman"/>
          <w:lang w:val="ro-MD"/>
        </w:rPr>
      </w:pPr>
    </w:p>
    <w:p w14:paraId="7BFA2949" w14:textId="04AE2ED5"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146</w:t>
      </w:r>
      <w:r w:rsidRPr="000508B6">
        <w:rPr>
          <w:rFonts w:ascii="Times New Roman" w:hAnsi="Times New Roman" w:cs="Times New Roman"/>
          <w:b/>
          <w:lang w:val="ro-MD"/>
        </w:rPr>
        <w:t>.</w:t>
      </w:r>
      <w:r w:rsidRPr="000508B6">
        <w:rPr>
          <w:rFonts w:ascii="Times New Roman" w:hAnsi="Times New Roman" w:cs="Times New Roman"/>
          <w:lang w:val="ro-MD"/>
        </w:rPr>
        <w:t xml:space="preserve"> Supravegherea sistemului de </w:t>
      </w:r>
      <w:proofErr w:type="spellStart"/>
      <w:r w:rsidRPr="000508B6">
        <w:rPr>
          <w:rFonts w:ascii="Times New Roman" w:hAnsi="Times New Roman" w:cs="Times New Roman"/>
          <w:lang w:val="ro-MD"/>
        </w:rPr>
        <w:t>guvernanţă</w:t>
      </w:r>
      <w:proofErr w:type="spellEnd"/>
      <w:r w:rsidRPr="000508B6">
        <w:rPr>
          <w:rFonts w:ascii="Times New Roman" w:hAnsi="Times New Roman" w:cs="Times New Roman"/>
          <w:lang w:val="ro-MD"/>
        </w:rPr>
        <w:t xml:space="preserve">  </w:t>
      </w:r>
    </w:p>
    <w:p w14:paraId="47D11E74" w14:textId="5E8A8F74" w:rsidR="00DE6053" w:rsidRPr="000508B6" w:rsidRDefault="00DE6053" w:rsidP="0066353C">
      <w:pPr>
        <w:numPr>
          <w:ilvl w:val="0"/>
          <w:numId w:val="23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Cerințele enunțate în </w:t>
      </w:r>
      <w:r w:rsidR="00F06D53" w:rsidRPr="000508B6">
        <w:rPr>
          <w:rFonts w:ascii="Times New Roman" w:hAnsi="Times New Roman" w:cs="Times New Roman"/>
          <w:lang w:val="ro-MD"/>
        </w:rPr>
        <w:t xml:space="preserve">art. </w:t>
      </w:r>
      <w:r w:rsidR="009658BD" w:rsidRPr="000508B6">
        <w:rPr>
          <w:rFonts w:ascii="Times New Roman" w:hAnsi="Times New Roman" w:cs="Times New Roman"/>
          <w:lang w:val="ro-MD"/>
        </w:rPr>
        <w:t>19</w:t>
      </w:r>
      <w:r w:rsidR="001B4A19" w:rsidRPr="000508B6">
        <w:rPr>
          <w:rFonts w:ascii="Times New Roman" w:hAnsi="Times New Roman" w:cs="Times New Roman"/>
          <w:lang w:val="ro-MD"/>
        </w:rPr>
        <w:t xml:space="preserve">, art. 20, art. 25, art. 27 </w:t>
      </w:r>
      <w:r w:rsidR="005A5795" w:rsidRPr="000508B6">
        <w:rPr>
          <w:rFonts w:ascii="Times New Roman" w:hAnsi="Times New Roman" w:cs="Times New Roman"/>
          <w:lang w:val="ro-MD"/>
        </w:rPr>
        <w:t>-</w:t>
      </w:r>
      <w:r w:rsidR="001B4A19" w:rsidRPr="000508B6">
        <w:rPr>
          <w:rFonts w:ascii="Times New Roman" w:hAnsi="Times New Roman" w:cs="Times New Roman"/>
          <w:lang w:val="ro-MD"/>
        </w:rPr>
        <w:t xml:space="preserve"> </w:t>
      </w:r>
      <w:r w:rsidR="00F06D53" w:rsidRPr="000508B6">
        <w:rPr>
          <w:rFonts w:ascii="Times New Roman" w:hAnsi="Times New Roman" w:cs="Times New Roman"/>
          <w:lang w:val="ro-MD"/>
        </w:rPr>
        <w:t>31</w:t>
      </w:r>
      <w:r w:rsidRPr="000508B6">
        <w:rPr>
          <w:rFonts w:ascii="Times New Roman" w:hAnsi="Times New Roman" w:cs="Times New Roman"/>
          <w:lang w:val="ro-MD"/>
        </w:rPr>
        <w:t xml:space="preserve"> </w:t>
      </w:r>
      <w:r w:rsidR="00DF0BB1" w:rsidRPr="000508B6">
        <w:rPr>
          <w:rFonts w:ascii="Times New Roman" w:hAnsi="Times New Roman" w:cs="Times New Roman"/>
          <w:lang w:val="ro-MD"/>
        </w:rPr>
        <w:t xml:space="preserve">privind sistemul de guvernanță </w:t>
      </w:r>
      <w:r w:rsidRPr="000508B6">
        <w:rPr>
          <w:rFonts w:ascii="Times New Roman" w:hAnsi="Times New Roman" w:cs="Times New Roman"/>
          <w:lang w:val="ro-MD"/>
        </w:rPr>
        <w:t xml:space="preserve">se aplică </w:t>
      </w:r>
      <w:r w:rsidR="00CE4B52" w:rsidRPr="000508B6">
        <w:rPr>
          <w:rFonts w:ascii="Times New Roman" w:hAnsi="Times New Roman" w:cs="Times New Roman"/>
          <w:lang w:val="ro-MD"/>
        </w:rPr>
        <w:t>în mod corespunzător</w:t>
      </w:r>
      <w:r w:rsidRPr="000508B6">
        <w:rPr>
          <w:rFonts w:ascii="Times New Roman" w:hAnsi="Times New Roman" w:cs="Times New Roman"/>
          <w:lang w:val="ro-MD"/>
        </w:rPr>
        <w:t xml:space="preserve"> la nivel de grup</w:t>
      </w:r>
      <w:r w:rsidR="00DF0BB1" w:rsidRPr="000508B6">
        <w:rPr>
          <w:rFonts w:ascii="Times New Roman" w:hAnsi="Times New Roman" w:cs="Times New Roman"/>
          <w:lang w:val="ro-MD"/>
        </w:rPr>
        <w:t xml:space="preserve"> și</w:t>
      </w:r>
      <w:r w:rsidRPr="000508B6">
        <w:rPr>
          <w:rFonts w:ascii="Times New Roman" w:hAnsi="Times New Roman" w:cs="Times New Roman"/>
          <w:lang w:val="ro-MD"/>
        </w:rPr>
        <w:t xml:space="preserve"> acoperă </w:t>
      </w:r>
      <w:r w:rsidR="009A1B4A" w:rsidRPr="000508B6">
        <w:rPr>
          <w:rFonts w:ascii="Times New Roman" w:hAnsi="Times New Roman" w:cs="Times New Roman"/>
          <w:lang w:val="ro-MD"/>
        </w:rPr>
        <w:t xml:space="preserve">asigurătorul sau </w:t>
      </w:r>
      <w:proofErr w:type="spellStart"/>
      <w:r w:rsidR="009A1B4A" w:rsidRPr="000508B6">
        <w:rPr>
          <w:rFonts w:ascii="Times New Roman" w:hAnsi="Times New Roman" w:cs="Times New Roman"/>
          <w:lang w:val="ro-MD"/>
        </w:rPr>
        <w:t>reasigurătorul</w:t>
      </w:r>
      <w:proofErr w:type="spellEnd"/>
      <w:r w:rsidR="009A1B4A"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w:t>
      </w:r>
      <w:r w:rsidR="002D3633" w:rsidRPr="000508B6">
        <w:rPr>
          <w:rFonts w:ascii="Times New Roman" w:hAnsi="Times New Roman" w:cs="Times New Roman"/>
          <w:lang w:val="ro-MD"/>
        </w:rPr>
        <w:t>holdingul</w:t>
      </w:r>
      <w:r w:rsidRPr="000508B6">
        <w:rPr>
          <w:rFonts w:ascii="Times New Roman" w:hAnsi="Times New Roman" w:cs="Times New Roman"/>
          <w:lang w:val="ro-MD"/>
        </w:rPr>
        <w:t xml:space="preserve">-mamă de asigurare sau </w:t>
      </w:r>
      <w:r w:rsidR="002D3633" w:rsidRPr="000508B6">
        <w:rPr>
          <w:rFonts w:ascii="Times New Roman" w:hAnsi="Times New Roman" w:cs="Times New Roman"/>
          <w:lang w:val="ro-MD"/>
        </w:rPr>
        <w:t>holdingul</w:t>
      </w:r>
      <w:r w:rsidRPr="000508B6">
        <w:rPr>
          <w:rFonts w:ascii="Times New Roman" w:hAnsi="Times New Roman" w:cs="Times New Roman"/>
          <w:lang w:val="ro-MD"/>
        </w:rPr>
        <w:t xml:space="preserve">-mamă financiar mixt, precum și toate </w:t>
      </w:r>
      <w:r w:rsidR="00070004" w:rsidRPr="000508B6">
        <w:rPr>
          <w:rFonts w:ascii="Times New Roman" w:hAnsi="Times New Roman" w:cs="Times New Roman"/>
          <w:lang w:val="ro-MD"/>
        </w:rPr>
        <w:t xml:space="preserve">entitățile </w:t>
      </w:r>
      <w:r w:rsidRPr="000508B6">
        <w:rPr>
          <w:rFonts w:ascii="Times New Roman" w:hAnsi="Times New Roman" w:cs="Times New Roman"/>
          <w:lang w:val="ro-MD"/>
        </w:rPr>
        <w:t>afiliate din sfera grupului în înțelesul art</w:t>
      </w:r>
      <w:r w:rsidR="00CE4B52" w:rsidRPr="000508B6">
        <w:rPr>
          <w:rFonts w:ascii="Times New Roman" w:hAnsi="Times New Roman" w:cs="Times New Roman"/>
          <w:lang w:val="ro-MD"/>
        </w:rPr>
        <w:t>.</w:t>
      </w:r>
      <w:r w:rsidRPr="000508B6">
        <w:rPr>
          <w:rFonts w:ascii="Times New Roman" w:hAnsi="Times New Roman" w:cs="Times New Roman"/>
          <w:lang w:val="ro-MD"/>
        </w:rPr>
        <w:t xml:space="preserve"> </w:t>
      </w:r>
      <w:r w:rsidR="00C712B2" w:rsidRPr="000508B6">
        <w:rPr>
          <w:rFonts w:ascii="Times New Roman" w:hAnsi="Times New Roman" w:cs="Times New Roman"/>
          <w:lang w:val="ro-MD"/>
        </w:rPr>
        <w:t xml:space="preserve">3 pct. 35) </w:t>
      </w:r>
      <w:r w:rsidRPr="000508B6">
        <w:rPr>
          <w:rFonts w:ascii="Times New Roman" w:hAnsi="Times New Roman" w:cs="Times New Roman"/>
          <w:lang w:val="ro-MD"/>
        </w:rPr>
        <w:t>care face obiectul supravegherii la nivel de grup în conformitate cu art</w:t>
      </w:r>
      <w:r w:rsidR="002021FE" w:rsidRPr="000508B6">
        <w:rPr>
          <w:rFonts w:ascii="Times New Roman" w:hAnsi="Times New Roman" w:cs="Times New Roman"/>
          <w:lang w:val="ro-MD"/>
        </w:rPr>
        <w:t>.</w:t>
      </w:r>
      <w:r w:rsidRPr="000508B6">
        <w:rPr>
          <w:rFonts w:ascii="Times New Roman" w:hAnsi="Times New Roman" w:cs="Times New Roman"/>
          <w:lang w:val="ro-MD"/>
        </w:rPr>
        <w:t xml:space="preserve"> </w:t>
      </w:r>
      <w:r w:rsidR="00B60015" w:rsidRPr="000508B6">
        <w:rPr>
          <w:rFonts w:ascii="Times New Roman" w:hAnsi="Times New Roman" w:cs="Times New Roman"/>
          <w:lang w:val="ro-MD"/>
        </w:rPr>
        <w:t>116</w:t>
      </w:r>
      <w:r w:rsidRPr="000508B6">
        <w:rPr>
          <w:rFonts w:ascii="Times New Roman" w:hAnsi="Times New Roman" w:cs="Times New Roman"/>
          <w:lang w:val="ro-MD"/>
        </w:rPr>
        <w:t xml:space="preserve"> alin</w:t>
      </w:r>
      <w:r w:rsidR="00B60015" w:rsidRPr="000508B6">
        <w:rPr>
          <w:rFonts w:ascii="Times New Roman" w:hAnsi="Times New Roman" w:cs="Times New Roman"/>
          <w:lang w:val="ro-MD"/>
        </w:rPr>
        <w:t xml:space="preserve">. </w:t>
      </w:r>
      <w:r w:rsidRPr="000508B6">
        <w:rPr>
          <w:rFonts w:ascii="Times New Roman" w:hAnsi="Times New Roman" w:cs="Times New Roman"/>
          <w:lang w:val="ro-MD"/>
        </w:rPr>
        <w:t>(</w:t>
      </w:r>
      <w:r w:rsidR="006F2501" w:rsidRPr="000508B6">
        <w:rPr>
          <w:rFonts w:ascii="Times New Roman" w:hAnsi="Times New Roman" w:cs="Times New Roman"/>
          <w:lang w:val="ro-MD"/>
        </w:rPr>
        <w:t>3</w:t>
      </w:r>
      <w:r w:rsidRPr="000508B6">
        <w:rPr>
          <w:rFonts w:ascii="Times New Roman" w:hAnsi="Times New Roman" w:cs="Times New Roman"/>
          <w:lang w:val="ro-MD"/>
        </w:rPr>
        <w:t>) lit</w:t>
      </w:r>
      <w:r w:rsidR="00B60015" w:rsidRPr="000508B6">
        <w:rPr>
          <w:rFonts w:ascii="Times New Roman" w:hAnsi="Times New Roman" w:cs="Times New Roman"/>
          <w:lang w:val="ro-MD"/>
        </w:rPr>
        <w:t>.</w:t>
      </w:r>
      <w:r w:rsidR="0066353C" w:rsidRPr="000508B6">
        <w:rPr>
          <w:rFonts w:ascii="Times New Roman" w:hAnsi="Times New Roman" w:cs="Times New Roman"/>
          <w:lang w:val="ro-MD"/>
        </w:rPr>
        <w:t xml:space="preserve"> </w:t>
      </w:r>
      <w:r w:rsidRPr="000508B6">
        <w:rPr>
          <w:rFonts w:ascii="Times New Roman" w:hAnsi="Times New Roman" w:cs="Times New Roman"/>
          <w:lang w:val="ro-MD"/>
        </w:rPr>
        <w:t>a), b) și c)</w:t>
      </w:r>
      <w:r w:rsidR="00DF0BB1" w:rsidRPr="000508B6">
        <w:rPr>
          <w:rFonts w:ascii="Times New Roman" w:hAnsi="Times New Roman" w:cs="Times New Roman"/>
          <w:lang w:val="ro-MD"/>
        </w:rPr>
        <w:t xml:space="preserve">, precum și </w:t>
      </w:r>
      <w:r w:rsidRPr="000508B6">
        <w:rPr>
          <w:rFonts w:ascii="Times New Roman" w:hAnsi="Times New Roman" w:cs="Times New Roman"/>
          <w:lang w:val="ro-MD"/>
        </w:rPr>
        <w:t xml:space="preserve"> </w:t>
      </w:r>
      <w:r w:rsidR="009A1B4A" w:rsidRPr="000508B6">
        <w:rPr>
          <w:rFonts w:ascii="Times New Roman" w:hAnsi="Times New Roman" w:cs="Times New Roman"/>
          <w:lang w:val="ro-MD"/>
        </w:rPr>
        <w:t xml:space="preserve">toți asigurătorii sau </w:t>
      </w:r>
      <w:proofErr w:type="spellStart"/>
      <w:r w:rsidR="009A1B4A"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w:t>
      </w:r>
      <w:r w:rsidR="009A1B4A" w:rsidRPr="000508B6">
        <w:rPr>
          <w:rFonts w:ascii="Times New Roman" w:hAnsi="Times New Roman" w:cs="Times New Roman"/>
          <w:lang w:val="ro-MD"/>
        </w:rPr>
        <w:t xml:space="preserve">administrați </w:t>
      </w:r>
      <w:r w:rsidRPr="000508B6">
        <w:rPr>
          <w:rFonts w:ascii="Times New Roman" w:hAnsi="Times New Roman" w:cs="Times New Roman"/>
          <w:lang w:val="ro-MD"/>
        </w:rPr>
        <w:t xml:space="preserve">de </w:t>
      </w:r>
      <w:r w:rsidR="009A1B4A" w:rsidRPr="000508B6">
        <w:rPr>
          <w:rFonts w:ascii="Times New Roman" w:hAnsi="Times New Roman" w:cs="Times New Roman"/>
          <w:lang w:val="ro-MD"/>
        </w:rPr>
        <w:t xml:space="preserve">asigurătorul sau </w:t>
      </w:r>
      <w:proofErr w:type="spellStart"/>
      <w:r w:rsidR="009A1B4A" w:rsidRPr="000508B6">
        <w:rPr>
          <w:rFonts w:ascii="Times New Roman" w:hAnsi="Times New Roman" w:cs="Times New Roman"/>
          <w:lang w:val="ro-MD"/>
        </w:rPr>
        <w:t>reasigurătorul</w:t>
      </w:r>
      <w:proofErr w:type="spellEnd"/>
      <w:r w:rsidR="009A1B4A"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sau de filialele acesteia împreună cu una sau mai </w:t>
      </w:r>
      <w:r w:rsidR="009A1B4A" w:rsidRPr="000508B6">
        <w:rPr>
          <w:rFonts w:ascii="Times New Roman" w:hAnsi="Times New Roman" w:cs="Times New Roman"/>
          <w:lang w:val="ro-MD"/>
        </w:rPr>
        <w:t xml:space="preserve">mulți asigurători sau </w:t>
      </w:r>
      <w:proofErr w:type="spellStart"/>
      <w:r w:rsidR="009A1B4A"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care nu fac parte din același grup.</w:t>
      </w:r>
      <w:r w:rsidR="006B3E29" w:rsidRPr="000508B6">
        <w:rPr>
          <w:rFonts w:ascii="Times New Roman" w:hAnsi="Times New Roman" w:cs="Times New Roman"/>
          <w:lang w:val="ro-MD"/>
        </w:rPr>
        <w:t xml:space="preserve"> </w:t>
      </w:r>
    </w:p>
    <w:p w14:paraId="1B5D3F50" w14:textId="762758E7" w:rsidR="00DE6053" w:rsidRPr="000508B6" w:rsidRDefault="00DE6053" w:rsidP="005B0C4D">
      <w:pPr>
        <w:numPr>
          <w:ilvl w:val="0"/>
          <w:numId w:val="23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Prin derogare de la prevederile alin. (1), sistemele de management al riscului și de control intern și procedurile de raportare se pun în aplicare în mod consecvent în </w:t>
      </w:r>
      <w:r w:rsidR="009A1B4A" w:rsidRPr="000508B6">
        <w:rPr>
          <w:rFonts w:ascii="Times New Roman" w:hAnsi="Times New Roman" w:cs="Times New Roman"/>
          <w:lang w:val="ro-MD"/>
        </w:rPr>
        <w:t>toți</w:t>
      </w:r>
      <w:r w:rsidRPr="000508B6" w:rsidDel="009A1B4A">
        <w:rPr>
          <w:rFonts w:ascii="Times New Roman" w:hAnsi="Times New Roman" w:cs="Times New Roman"/>
          <w:lang w:val="ro-MD"/>
        </w:rPr>
        <w:t xml:space="preserve"> </w:t>
      </w:r>
      <w:r w:rsidR="009A1B4A" w:rsidRPr="000508B6">
        <w:rPr>
          <w:rFonts w:ascii="Times New Roman" w:hAnsi="Times New Roman" w:cs="Times New Roman"/>
          <w:lang w:val="ro-MD"/>
        </w:rPr>
        <w:t xml:space="preserve">asigurătorii sau </w:t>
      </w:r>
      <w:proofErr w:type="spellStart"/>
      <w:r w:rsidR="009A1B4A" w:rsidRPr="000508B6">
        <w:rPr>
          <w:rFonts w:ascii="Times New Roman" w:hAnsi="Times New Roman" w:cs="Times New Roman"/>
          <w:lang w:val="ro-MD"/>
        </w:rPr>
        <w:t>reasigurătorii</w:t>
      </w:r>
      <w:proofErr w:type="spellEnd"/>
      <w:r w:rsidR="009A1B4A" w:rsidRPr="000508B6">
        <w:rPr>
          <w:rFonts w:ascii="Times New Roman" w:hAnsi="Times New Roman" w:cs="Times New Roman"/>
          <w:lang w:val="ro-MD"/>
        </w:rPr>
        <w:t xml:space="preserve"> </w:t>
      </w:r>
      <w:r w:rsidRPr="000508B6">
        <w:rPr>
          <w:rFonts w:ascii="Times New Roman" w:hAnsi="Times New Roman" w:cs="Times New Roman"/>
          <w:lang w:val="ro-MD"/>
        </w:rPr>
        <w:t>inclu</w:t>
      </w:r>
      <w:r w:rsidR="009A1B4A" w:rsidRPr="000508B6">
        <w:rPr>
          <w:rFonts w:ascii="Times New Roman" w:hAnsi="Times New Roman" w:cs="Times New Roman"/>
          <w:lang w:val="ro-MD"/>
        </w:rPr>
        <w:t>și</w:t>
      </w:r>
      <w:r w:rsidRPr="000508B6">
        <w:rPr>
          <w:rFonts w:ascii="Times New Roman" w:hAnsi="Times New Roman" w:cs="Times New Roman"/>
          <w:lang w:val="ro-MD"/>
        </w:rPr>
        <w:t xml:space="preserve"> în domeniul de aplicare al supravegherii la nivel de grup în temeiul art</w:t>
      </w:r>
      <w:r w:rsidR="00B60015" w:rsidRPr="000508B6">
        <w:rPr>
          <w:rFonts w:ascii="Times New Roman" w:hAnsi="Times New Roman" w:cs="Times New Roman"/>
          <w:lang w:val="ro-MD"/>
        </w:rPr>
        <w:t>.</w:t>
      </w:r>
      <w:r w:rsidR="0066353C" w:rsidRPr="000508B6">
        <w:rPr>
          <w:rFonts w:ascii="Times New Roman" w:hAnsi="Times New Roman" w:cs="Times New Roman"/>
          <w:lang w:val="ro-MD"/>
        </w:rPr>
        <w:t xml:space="preserve"> </w:t>
      </w:r>
      <w:r w:rsidR="00B60015" w:rsidRPr="000508B6">
        <w:rPr>
          <w:rFonts w:ascii="Times New Roman" w:hAnsi="Times New Roman" w:cs="Times New Roman"/>
          <w:lang w:val="ro-MD"/>
        </w:rPr>
        <w:t>116</w:t>
      </w:r>
      <w:r w:rsidRPr="000508B6">
        <w:rPr>
          <w:rFonts w:ascii="Times New Roman" w:hAnsi="Times New Roman" w:cs="Times New Roman"/>
          <w:lang w:val="ro-MD"/>
        </w:rPr>
        <w:t xml:space="preserve"> alin</w:t>
      </w:r>
      <w:r w:rsidR="00B60015" w:rsidRPr="000508B6">
        <w:rPr>
          <w:rFonts w:ascii="Times New Roman" w:hAnsi="Times New Roman" w:cs="Times New Roman"/>
          <w:lang w:val="ro-MD"/>
        </w:rPr>
        <w:t>.</w:t>
      </w:r>
      <w:r w:rsidRPr="000508B6">
        <w:rPr>
          <w:rFonts w:ascii="Times New Roman" w:hAnsi="Times New Roman" w:cs="Times New Roman"/>
          <w:lang w:val="ro-MD"/>
        </w:rPr>
        <w:t xml:space="preserve"> (</w:t>
      </w:r>
      <w:r w:rsidR="00FE14A7" w:rsidRPr="000508B6">
        <w:rPr>
          <w:rFonts w:ascii="Times New Roman" w:hAnsi="Times New Roman" w:cs="Times New Roman"/>
          <w:lang w:val="ro-MD"/>
        </w:rPr>
        <w:t>3</w:t>
      </w:r>
      <w:r w:rsidRPr="000508B6">
        <w:rPr>
          <w:rFonts w:ascii="Times New Roman" w:hAnsi="Times New Roman" w:cs="Times New Roman"/>
          <w:lang w:val="ro-MD"/>
        </w:rPr>
        <w:t>) lit</w:t>
      </w:r>
      <w:r w:rsidR="00B60015" w:rsidRPr="000508B6">
        <w:rPr>
          <w:rFonts w:ascii="Times New Roman" w:hAnsi="Times New Roman" w:cs="Times New Roman"/>
          <w:lang w:val="ro-MD"/>
        </w:rPr>
        <w:t>.</w:t>
      </w:r>
      <w:r w:rsidRPr="000508B6">
        <w:rPr>
          <w:rFonts w:ascii="Times New Roman" w:hAnsi="Times New Roman" w:cs="Times New Roman"/>
          <w:lang w:val="ro-MD"/>
        </w:rPr>
        <w:t xml:space="preserve"> a) și b), astfel încât respectivele sisteme și proceduri de raportare să poată fi controlate la nivel de grup.</w:t>
      </w:r>
      <w:r w:rsidR="006B3E29" w:rsidRPr="000508B6">
        <w:rPr>
          <w:rFonts w:ascii="Times New Roman" w:hAnsi="Times New Roman" w:cs="Times New Roman"/>
          <w:lang w:val="ro-MD"/>
        </w:rPr>
        <w:t xml:space="preserve"> </w:t>
      </w:r>
    </w:p>
    <w:p w14:paraId="7537612B" w14:textId="00451AF2" w:rsidR="00DE6053" w:rsidRPr="000508B6" w:rsidRDefault="00F51BEC" w:rsidP="005166FF">
      <w:pPr>
        <w:numPr>
          <w:ilvl w:val="0"/>
          <w:numId w:val="23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O</w:t>
      </w:r>
      <w:r w:rsidR="00DE6053" w:rsidRPr="000508B6">
        <w:rPr>
          <w:rFonts w:ascii="Times New Roman" w:hAnsi="Times New Roman" w:cs="Times New Roman"/>
          <w:lang w:val="ro-MD"/>
        </w:rPr>
        <w:t>rgan</w:t>
      </w:r>
      <w:r w:rsidR="00B20E41" w:rsidRPr="000508B6">
        <w:rPr>
          <w:rFonts w:ascii="Times New Roman" w:hAnsi="Times New Roman" w:cs="Times New Roman"/>
          <w:lang w:val="ro-MD"/>
        </w:rPr>
        <w:t>elor</w:t>
      </w:r>
      <w:r w:rsidR="00DE6053" w:rsidRPr="000508B6">
        <w:rPr>
          <w:rFonts w:ascii="Times New Roman" w:hAnsi="Times New Roman" w:cs="Times New Roman"/>
          <w:lang w:val="ro-MD"/>
        </w:rPr>
        <w:t xml:space="preserve"> de conducere al </w:t>
      </w:r>
      <w:r w:rsidR="00687A96" w:rsidRPr="000508B6">
        <w:rPr>
          <w:rFonts w:ascii="Times New Roman" w:hAnsi="Times New Roman" w:cs="Times New Roman"/>
          <w:lang w:val="ro-MD"/>
        </w:rPr>
        <w:t>societății</w:t>
      </w:r>
      <w:r w:rsidR="00DE6053" w:rsidRPr="000508B6">
        <w:rPr>
          <w:rFonts w:ascii="Times New Roman" w:hAnsi="Times New Roman" w:cs="Times New Roman"/>
          <w:lang w:val="ro-MD"/>
        </w:rPr>
        <w:t xml:space="preserve">-mamă de cel mai înalt rang, al holdingului de asigurare sau al holdingului financiar mixt cu sediul central în </w:t>
      </w:r>
      <w:r w:rsidR="002021FE" w:rsidRPr="000508B6">
        <w:rPr>
          <w:rFonts w:ascii="Times New Roman" w:hAnsi="Times New Roman" w:cs="Times New Roman"/>
          <w:lang w:val="ro-MD"/>
        </w:rPr>
        <w:t xml:space="preserve">unul din statele membre </w:t>
      </w:r>
      <w:r w:rsidR="00DE6053" w:rsidRPr="000508B6">
        <w:rPr>
          <w:rFonts w:ascii="Times New Roman" w:hAnsi="Times New Roman" w:cs="Times New Roman"/>
          <w:lang w:val="ro-MD"/>
        </w:rPr>
        <w:t>sau al societății-mamă desemnate în conformitate cu art</w:t>
      </w:r>
      <w:r w:rsidR="00D11B73" w:rsidRPr="000508B6">
        <w:rPr>
          <w:rFonts w:ascii="Times New Roman" w:hAnsi="Times New Roman" w:cs="Times New Roman"/>
          <w:lang w:val="ro-MD"/>
        </w:rPr>
        <w:t>.</w:t>
      </w:r>
      <w:r w:rsidR="00DE6053" w:rsidRPr="000508B6">
        <w:rPr>
          <w:rFonts w:ascii="Times New Roman" w:hAnsi="Times New Roman" w:cs="Times New Roman"/>
          <w:lang w:val="ro-MD"/>
        </w:rPr>
        <w:t xml:space="preserve"> </w:t>
      </w:r>
      <w:r w:rsidR="00D11B73" w:rsidRPr="000508B6">
        <w:rPr>
          <w:rFonts w:ascii="Times New Roman" w:hAnsi="Times New Roman" w:cs="Times New Roman"/>
          <w:lang w:val="ro-MD"/>
        </w:rPr>
        <w:t>116</w:t>
      </w:r>
      <w:r w:rsidR="00DE6053" w:rsidRPr="000508B6">
        <w:rPr>
          <w:rFonts w:ascii="Times New Roman" w:hAnsi="Times New Roman" w:cs="Times New Roman"/>
          <w:lang w:val="ro-MD"/>
        </w:rPr>
        <w:t xml:space="preserve"> alin</w:t>
      </w:r>
      <w:r w:rsidR="00D11B73" w:rsidRPr="000508B6">
        <w:rPr>
          <w:rFonts w:ascii="Times New Roman" w:hAnsi="Times New Roman" w:cs="Times New Roman"/>
          <w:lang w:val="ro-MD"/>
        </w:rPr>
        <w:t>.</w:t>
      </w:r>
      <w:r w:rsidR="00DE6053" w:rsidRPr="000508B6">
        <w:rPr>
          <w:rFonts w:ascii="Times New Roman" w:hAnsi="Times New Roman" w:cs="Times New Roman"/>
          <w:lang w:val="ro-MD"/>
        </w:rPr>
        <w:t xml:space="preserve"> (</w:t>
      </w:r>
      <w:r w:rsidR="002E7DB6" w:rsidRPr="000508B6">
        <w:rPr>
          <w:rFonts w:ascii="Times New Roman" w:hAnsi="Times New Roman" w:cs="Times New Roman"/>
          <w:lang w:val="ro-MD"/>
        </w:rPr>
        <w:t>21</w:t>
      </w:r>
      <w:r w:rsidR="00DE6053" w:rsidRPr="000508B6">
        <w:rPr>
          <w:rFonts w:ascii="Times New Roman" w:hAnsi="Times New Roman" w:cs="Times New Roman"/>
          <w:lang w:val="ro-MD"/>
        </w:rPr>
        <w:t>) sau (</w:t>
      </w:r>
      <w:r w:rsidR="002E7DB6" w:rsidRPr="000508B6">
        <w:rPr>
          <w:rFonts w:ascii="Times New Roman" w:hAnsi="Times New Roman" w:cs="Times New Roman"/>
          <w:lang w:val="ro-MD"/>
        </w:rPr>
        <w:t>22</w:t>
      </w:r>
      <w:r w:rsidR="00DE6053" w:rsidRPr="000508B6">
        <w:rPr>
          <w:rFonts w:ascii="Times New Roman" w:hAnsi="Times New Roman" w:cs="Times New Roman"/>
          <w:lang w:val="ro-MD"/>
        </w:rPr>
        <w:t xml:space="preserve">) </w:t>
      </w:r>
      <w:r w:rsidR="00B20E41" w:rsidRPr="000508B6">
        <w:rPr>
          <w:rFonts w:ascii="Times New Roman" w:hAnsi="Times New Roman" w:cs="Times New Roman"/>
          <w:lang w:val="ro-MD"/>
        </w:rPr>
        <w:t xml:space="preserve">le </w:t>
      </w:r>
      <w:r w:rsidR="00DE6053" w:rsidRPr="000508B6">
        <w:rPr>
          <w:rFonts w:ascii="Times New Roman" w:hAnsi="Times New Roman" w:cs="Times New Roman"/>
          <w:lang w:val="ro-MD"/>
        </w:rPr>
        <w:t>revine răspunderea finală pentru respectarea, de către grupul căruia i se aplică supravegherea la nivel de grup în conformitate cu art</w:t>
      </w:r>
      <w:r w:rsidR="00616A71" w:rsidRPr="000508B6">
        <w:rPr>
          <w:rFonts w:ascii="Times New Roman" w:hAnsi="Times New Roman" w:cs="Times New Roman"/>
          <w:lang w:val="ro-MD"/>
        </w:rPr>
        <w:t>.</w:t>
      </w:r>
      <w:r w:rsidR="00DE6053" w:rsidRPr="000508B6">
        <w:rPr>
          <w:rFonts w:ascii="Times New Roman" w:hAnsi="Times New Roman" w:cs="Times New Roman"/>
          <w:lang w:val="ro-MD"/>
        </w:rPr>
        <w:t xml:space="preserve"> </w:t>
      </w:r>
      <w:r w:rsidR="00D11B73" w:rsidRPr="000508B6">
        <w:rPr>
          <w:rFonts w:ascii="Times New Roman" w:hAnsi="Times New Roman" w:cs="Times New Roman"/>
          <w:lang w:val="ro-MD"/>
        </w:rPr>
        <w:t>116</w:t>
      </w:r>
      <w:r w:rsidR="00DE6053" w:rsidRPr="000508B6">
        <w:rPr>
          <w:rFonts w:ascii="Times New Roman" w:hAnsi="Times New Roman" w:cs="Times New Roman"/>
          <w:lang w:val="ro-MD"/>
        </w:rPr>
        <w:t xml:space="preserve"> alin</w:t>
      </w:r>
      <w:r w:rsidR="00D11B73" w:rsidRPr="000508B6">
        <w:rPr>
          <w:rFonts w:ascii="Times New Roman" w:hAnsi="Times New Roman" w:cs="Times New Roman"/>
          <w:lang w:val="ro-MD"/>
        </w:rPr>
        <w:t>.</w:t>
      </w:r>
      <w:r w:rsidR="00DE6053" w:rsidRPr="000508B6">
        <w:rPr>
          <w:rFonts w:ascii="Times New Roman" w:hAnsi="Times New Roman" w:cs="Times New Roman"/>
          <w:lang w:val="ro-MD"/>
        </w:rPr>
        <w:t xml:space="preserve"> (</w:t>
      </w:r>
      <w:r w:rsidR="002E7DB6" w:rsidRPr="000508B6">
        <w:rPr>
          <w:rFonts w:ascii="Times New Roman" w:hAnsi="Times New Roman" w:cs="Times New Roman"/>
          <w:lang w:val="ro-MD"/>
        </w:rPr>
        <w:t>3</w:t>
      </w:r>
      <w:r w:rsidR="00DE6053" w:rsidRPr="000508B6">
        <w:rPr>
          <w:rFonts w:ascii="Times New Roman" w:hAnsi="Times New Roman" w:cs="Times New Roman"/>
          <w:lang w:val="ro-MD"/>
        </w:rPr>
        <w:t>) lit</w:t>
      </w:r>
      <w:r w:rsidR="00D11B73" w:rsidRPr="000508B6">
        <w:rPr>
          <w:rFonts w:ascii="Times New Roman" w:hAnsi="Times New Roman" w:cs="Times New Roman"/>
          <w:lang w:val="ro-MD"/>
        </w:rPr>
        <w:t>.</w:t>
      </w:r>
      <w:r w:rsidR="00DE6053" w:rsidRPr="000508B6">
        <w:rPr>
          <w:rFonts w:ascii="Times New Roman" w:hAnsi="Times New Roman" w:cs="Times New Roman"/>
          <w:lang w:val="ro-MD"/>
        </w:rPr>
        <w:t xml:space="preserve"> a), b) și c), </w:t>
      </w:r>
      <w:r w:rsidR="00070004" w:rsidRPr="000508B6">
        <w:rPr>
          <w:rFonts w:ascii="Times New Roman" w:hAnsi="Times New Roman" w:cs="Times New Roman"/>
          <w:lang w:val="ro-MD"/>
        </w:rPr>
        <w:t xml:space="preserve">precum și </w:t>
      </w:r>
      <w:r w:rsidR="00DE6053" w:rsidRPr="000508B6">
        <w:rPr>
          <w:rFonts w:ascii="Times New Roman" w:hAnsi="Times New Roman" w:cs="Times New Roman"/>
          <w:lang w:val="ro-MD"/>
        </w:rPr>
        <w:t>a cadrului normativ. Organ</w:t>
      </w:r>
      <w:r w:rsidR="00B20E41" w:rsidRPr="000508B6">
        <w:rPr>
          <w:rFonts w:ascii="Times New Roman" w:hAnsi="Times New Roman" w:cs="Times New Roman"/>
          <w:lang w:val="ro-MD"/>
        </w:rPr>
        <w:t>ele</w:t>
      </w:r>
      <w:r w:rsidR="00DE6053" w:rsidRPr="000508B6">
        <w:rPr>
          <w:rFonts w:ascii="Times New Roman" w:hAnsi="Times New Roman" w:cs="Times New Roman"/>
          <w:lang w:val="ro-MD"/>
        </w:rPr>
        <w:t xml:space="preserve"> de conducere al</w:t>
      </w:r>
      <w:r w:rsidR="00DE6053" w:rsidRPr="000508B6" w:rsidDel="002417E8">
        <w:rPr>
          <w:rFonts w:ascii="Times New Roman" w:hAnsi="Times New Roman" w:cs="Times New Roman"/>
          <w:lang w:val="ro-MD"/>
        </w:rPr>
        <w:t xml:space="preserve"> </w:t>
      </w:r>
      <w:r w:rsidR="002417E8" w:rsidRPr="000508B6">
        <w:rPr>
          <w:rFonts w:ascii="Times New Roman" w:hAnsi="Times New Roman" w:cs="Times New Roman"/>
          <w:lang w:val="ro-MD"/>
        </w:rPr>
        <w:t>fiecărui</w:t>
      </w:r>
      <w:r w:rsidR="00DE6053" w:rsidRPr="000508B6">
        <w:rPr>
          <w:rFonts w:ascii="Times New Roman" w:hAnsi="Times New Roman" w:cs="Times New Roman"/>
          <w:lang w:val="ro-MD"/>
        </w:rPr>
        <w:t xml:space="preserve"> </w:t>
      </w:r>
      <w:r w:rsidR="002417E8" w:rsidRPr="000508B6">
        <w:rPr>
          <w:rFonts w:ascii="Times New Roman" w:hAnsi="Times New Roman" w:cs="Times New Roman"/>
          <w:lang w:val="ro-MD"/>
        </w:rPr>
        <w:t xml:space="preserve">asigurător sau </w:t>
      </w:r>
      <w:proofErr w:type="spellStart"/>
      <w:r w:rsidR="002417E8" w:rsidRPr="000508B6">
        <w:rPr>
          <w:rFonts w:ascii="Times New Roman" w:hAnsi="Times New Roman" w:cs="Times New Roman"/>
          <w:lang w:val="ro-MD"/>
        </w:rPr>
        <w:t>reasigurător</w:t>
      </w:r>
      <w:proofErr w:type="spellEnd"/>
      <w:r w:rsidR="002417E8" w:rsidRPr="000508B6">
        <w:rPr>
          <w:rFonts w:ascii="Times New Roman" w:hAnsi="Times New Roman" w:cs="Times New Roman"/>
          <w:lang w:val="ro-MD"/>
        </w:rPr>
        <w:t xml:space="preserve"> </w:t>
      </w:r>
      <w:r w:rsidR="00DE6053" w:rsidRPr="000508B6">
        <w:rPr>
          <w:rFonts w:ascii="Times New Roman" w:hAnsi="Times New Roman" w:cs="Times New Roman"/>
          <w:lang w:val="ro-MD"/>
        </w:rPr>
        <w:t>din cadrul grupului continuă să fie responsabil</w:t>
      </w:r>
      <w:r w:rsidR="00B20E41" w:rsidRPr="000508B6">
        <w:rPr>
          <w:rFonts w:ascii="Times New Roman" w:hAnsi="Times New Roman" w:cs="Times New Roman"/>
          <w:lang w:val="ro-MD"/>
        </w:rPr>
        <w:t>i</w:t>
      </w:r>
      <w:r w:rsidR="00DE6053" w:rsidRPr="000508B6">
        <w:rPr>
          <w:rFonts w:ascii="Times New Roman" w:hAnsi="Times New Roman" w:cs="Times New Roman"/>
          <w:lang w:val="ro-MD"/>
        </w:rPr>
        <w:t xml:space="preserve"> </w:t>
      </w:r>
      <w:r w:rsidR="000F6948" w:rsidRPr="000508B6">
        <w:rPr>
          <w:rFonts w:ascii="Times New Roman" w:hAnsi="Times New Roman" w:cs="Times New Roman"/>
          <w:lang w:val="ro-MD"/>
        </w:rPr>
        <w:t>pentru</w:t>
      </w:r>
      <w:r w:rsidR="00DE6053" w:rsidRPr="000508B6">
        <w:rPr>
          <w:rFonts w:ascii="Times New Roman" w:hAnsi="Times New Roman" w:cs="Times New Roman"/>
          <w:lang w:val="ro-MD"/>
        </w:rPr>
        <w:t xml:space="preserve"> respectarea tuturor cerințelor de către </w:t>
      </w:r>
      <w:r w:rsidR="002417E8" w:rsidRPr="000508B6">
        <w:rPr>
          <w:rFonts w:ascii="Times New Roman" w:hAnsi="Times New Roman" w:cs="Times New Roman"/>
          <w:lang w:val="ro-MD"/>
        </w:rPr>
        <w:t xml:space="preserve">asigurătorul sau </w:t>
      </w:r>
      <w:proofErr w:type="spellStart"/>
      <w:r w:rsidR="002417E8" w:rsidRPr="000508B6">
        <w:rPr>
          <w:rFonts w:ascii="Times New Roman" w:hAnsi="Times New Roman" w:cs="Times New Roman"/>
          <w:lang w:val="ro-MD"/>
        </w:rPr>
        <w:t>reasigurătorul</w:t>
      </w:r>
      <w:proofErr w:type="spellEnd"/>
      <w:r w:rsidR="002417E8" w:rsidRPr="000508B6">
        <w:rPr>
          <w:rFonts w:ascii="Times New Roman" w:hAnsi="Times New Roman" w:cs="Times New Roman"/>
          <w:lang w:val="ro-MD"/>
        </w:rPr>
        <w:t xml:space="preserve"> </w:t>
      </w:r>
      <w:r w:rsidR="00DE6053" w:rsidRPr="000508B6">
        <w:rPr>
          <w:rFonts w:ascii="Times New Roman" w:hAnsi="Times New Roman" w:cs="Times New Roman"/>
          <w:lang w:val="ro-MD"/>
        </w:rPr>
        <w:t>respectiv, astfel cum se specifică la art</w:t>
      </w:r>
      <w:r w:rsidR="000043BB" w:rsidRPr="000508B6">
        <w:rPr>
          <w:rFonts w:ascii="Times New Roman" w:hAnsi="Times New Roman" w:cs="Times New Roman"/>
          <w:lang w:val="ro-MD"/>
        </w:rPr>
        <w:t xml:space="preserve">. </w:t>
      </w:r>
      <w:r w:rsidR="00450837" w:rsidRPr="000508B6">
        <w:rPr>
          <w:rFonts w:ascii="Times New Roman" w:hAnsi="Times New Roman" w:cs="Times New Roman"/>
          <w:lang w:val="ro-MD"/>
        </w:rPr>
        <w:t>20</w:t>
      </w:r>
      <w:r w:rsidR="00461696" w:rsidRPr="000508B6">
        <w:rPr>
          <w:rFonts w:ascii="Times New Roman" w:hAnsi="Times New Roman" w:cs="Times New Roman"/>
          <w:lang w:val="ro-MD"/>
        </w:rPr>
        <w:t xml:space="preserve"> </w:t>
      </w:r>
      <w:r w:rsidR="00070004" w:rsidRPr="000508B6">
        <w:rPr>
          <w:rFonts w:ascii="Times New Roman" w:hAnsi="Times New Roman" w:cs="Times New Roman"/>
          <w:lang w:val="ro-MD"/>
        </w:rPr>
        <w:t>- 22</w:t>
      </w:r>
      <w:r w:rsidR="00450837" w:rsidRPr="000508B6">
        <w:rPr>
          <w:rFonts w:ascii="Times New Roman" w:hAnsi="Times New Roman" w:cs="Times New Roman"/>
          <w:lang w:val="ro-MD"/>
        </w:rPr>
        <w:t xml:space="preserve"> </w:t>
      </w:r>
      <w:r w:rsidR="00DE6053" w:rsidRPr="000508B6">
        <w:rPr>
          <w:rFonts w:ascii="Times New Roman" w:hAnsi="Times New Roman" w:cs="Times New Roman"/>
          <w:lang w:val="ro-MD"/>
        </w:rPr>
        <w:t>și la art</w:t>
      </w:r>
      <w:r w:rsidR="00D11B73" w:rsidRPr="000508B6">
        <w:rPr>
          <w:rFonts w:ascii="Times New Roman" w:hAnsi="Times New Roman" w:cs="Times New Roman"/>
          <w:lang w:val="ro-MD"/>
        </w:rPr>
        <w:t>.</w:t>
      </w:r>
      <w:r w:rsidR="005B0C4D" w:rsidRPr="000508B6">
        <w:rPr>
          <w:rFonts w:ascii="Times New Roman" w:hAnsi="Times New Roman" w:cs="Times New Roman"/>
          <w:lang w:val="ro-MD"/>
        </w:rPr>
        <w:t xml:space="preserve"> </w:t>
      </w:r>
      <w:r w:rsidR="00D11B73" w:rsidRPr="000508B6">
        <w:rPr>
          <w:rFonts w:ascii="Times New Roman" w:hAnsi="Times New Roman" w:cs="Times New Roman"/>
          <w:lang w:val="ro-MD"/>
        </w:rPr>
        <w:t>116</w:t>
      </w:r>
      <w:r w:rsidR="00DE6053" w:rsidRPr="000508B6">
        <w:rPr>
          <w:rFonts w:ascii="Times New Roman" w:hAnsi="Times New Roman" w:cs="Times New Roman"/>
          <w:lang w:val="ro-MD"/>
        </w:rPr>
        <w:t xml:space="preserve"> alin</w:t>
      </w:r>
      <w:r w:rsidR="00194CFD" w:rsidRPr="000508B6">
        <w:rPr>
          <w:rFonts w:ascii="Times New Roman" w:hAnsi="Times New Roman" w:cs="Times New Roman"/>
          <w:lang w:val="ro-MD"/>
        </w:rPr>
        <w:t>.</w:t>
      </w:r>
      <w:r w:rsidR="00DE6053" w:rsidRPr="000508B6">
        <w:rPr>
          <w:rFonts w:ascii="Times New Roman" w:hAnsi="Times New Roman" w:cs="Times New Roman"/>
          <w:lang w:val="ro-MD"/>
        </w:rPr>
        <w:t xml:space="preserve"> </w:t>
      </w:r>
      <w:r w:rsidR="00194CFD" w:rsidRPr="000508B6">
        <w:rPr>
          <w:rFonts w:ascii="Times New Roman" w:hAnsi="Times New Roman" w:cs="Times New Roman"/>
          <w:lang w:val="ro-MD"/>
        </w:rPr>
        <w:t>(</w:t>
      </w:r>
      <w:r w:rsidR="002E7DB6" w:rsidRPr="000508B6">
        <w:rPr>
          <w:rFonts w:ascii="Times New Roman" w:hAnsi="Times New Roman" w:cs="Times New Roman"/>
          <w:lang w:val="ro-MD"/>
        </w:rPr>
        <w:t>2</w:t>
      </w:r>
      <w:r w:rsidR="00194CFD" w:rsidRPr="000508B6">
        <w:rPr>
          <w:rFonts w:ascii="Times New Roman" w:hAnsi="Times New Roman" w:cs="Times New Roman"/>
          <w:lang w:val="ro-MD"/>
        </w:rPr>
        <w:t>)</w:t>
      </w:r>
      <w:r w:rsidR="00DE6053" w:rsidRPr="000508B6">
        <w:rPr>
          <w:rFonts w:ascii="Times New Roman" w:hAnsi="Times New Roman" w:cs="Times New Roman"/>
          <w:lang w:val="ro-MD"/>
        </w:rPr>
        <w:t>.</w:t>
      </w:r>
      <w:r w:rsidR="009C243C" w:rsidRPr="000508B6">
        <w:rPr>
          <w:rFonts w:ascii="Times New Roman" w:hAnsi="Times New Roman" w:cs="Times New Roman"/>
          <w:lang w:val="ro-MD"/>
        </w:rPr>
        <w:t xml:space="preserve"> </w:t>
      </w:r>
    </w:p>
    <w:p w14:paraId="54A36F07" w14:textId="77777777" w:rsidR="000F6948" w:rsidRPr="000508B6" w:rsidRDefault="00DE6053" w:rsidP="005166FF">
      <w:pPr>
        <w:numPr>
          <w:ilvl w:val="0"/>
          <w:numId w:val="23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Sistemul de management al riscului acoperă cel puțin</w:t>
      </w:r>
      <w:r w:rsidR="000F6948" w:rsidRPr="000508B6">
        <w:rPr>
          <w:rFonts w:ascii="Times New Roman" w:hAnsi="Times New Roman" w:cs="Times New Roman"/>
          <w:lang w:val="ro-MD"/>
        </w:rPr>
        <w:t>:</w:t>
      </w:r>
    </w:p>
    <w:p w14:paraId="00D12CF8" w14:textId="77777777" w:rsidR="000F6948" w:rsidRPr="000508B6" w:rsidRDefault="00DE6053" w:rsidP="005B0C4D">
      <w:pPr>
        <w:pStyle w:val="Listparagraf"/>
        <w:numPr>
          <w:ilvl w:val="0"/>
          <w:numId w:val="42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toate activitățile de asigurare și de reasigurare desfășurate în cadrul grupului</w:t>
      </w:r>
      <w:r w:rsidR="000F6948" w:rsidRPr="000508B6">
        <w:rPr>
          <w:rFonts w:ascii="Times New Roman" w:hAnsi="Times New Roman" w:cs="Times New Roman"/>
          <w:lang w:val="ro-MD"/>
        </w:rPr>
        <w:t>;</w:t>
      </w:r>
    </w:p>
    <w:p w14:paraId="216D2856" w14:textId="18D00EB6" w:rsidR="000F6948" w:rsidRPr="000508B6" w:rsidRDefault="00DE6053" w:rsidP="005166FF">
      <w:pPr>
        <w:pStyle w:val="Listparagraf"/>
        <w:numPr>
          <w:ilvl w:val="0"/>
          <w:numId w:val="423"/>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activitățile semnificative care nu sunt legate de asigurări</w:t>
      </w:r>
      <w:r w:rsidR="000F6948" w:rsidRPr="000508B6">
        <w:rPr>
          <w:rFonts w:ascii="Times New Roman" w:hAnsi="Times New Roman" w:cs="Times New Roman"/>
          <w:lang w:val="ro-MD"/>
        </w:rPr>
        <w:t>;</w:t>
      </w:r>
    </w:p>
    <w:p w14:paraId="470ECFBA" w14:textId="55B44843" w:rsidR="00F95829" w:rsidRPr="000508B6" w:rsidRDefault="00DE6053" w:rsidP="005B0C4D">
      <w:pPr>
        <w:pStyle w:val="Listparagraf"/>
        <w:numPr>
          <w:ilvl w:val="0"/>
          <w:numId w:val="42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riscurile care decurg din respectivele activități și la care grupul este sau ar putea fi expus, precum și interdependențele acestora</w:t>
      </w:r>
      <w:r w:rsidR="000B0302"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p>
    <w:p w14:paraId="1E43F64D" w14:textId="77777777" w:rsidR="00F95829" w:rsidRPr="000508B6" w:rsidRDefault="00F95829" w:rsidP="005166FF">
      <w:pPr>
        <w:numPr>
          <w:ilvl w:val="0"/>
          <w:numId w:val="23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Sistemul de control intern cuprinde următoarele:   </w:t>
      </w:r>
    </w:p>
    <w:p w14:paraId="304CB8BF" w14:textId="208AE9EA" w:rsidR="00F95829" w:rsidRPr="000508B6" w:rsidRDefault="00674849" w:rsidP="005166FF">
      <w:pPr>
        <w:numPr>
          <w:ilvl w:val="0"/>
          <w:numId w:val="23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proceduri </w:t>
      </w:r>
      <w:r w:rsidR="00F95829" w:rsidRPr="000508B6">
        <w:rPr>
          <w:rFonts w:ascii="Times New Roman" w:hAnsi="Times New Roman" w:cs="Times New Roman"/>
          <w:lang w:val="ro-MD"/>
        </w:rPr>
        <w:t xml:space="preserve">adecvate privind solvabilitatea la nivel de grup, astfel încât toate riscurile semnificative să fie identificate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cuantificate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să fie alocate fondurile proprii eligibile necesare acoperirii acestora;   </w:t>
      </w:r>
    </w:p>
    <w:p w14:paraId="78173C6A" w14:textId="40000AAA" w:rsidR="00F95829" w:rsidRPr="000508B6" w:rsidRDefault="00F95829" w:rsidP="005166FF">
      <w:pPr>
        <w:numPr>
          <w:ilvl w:val="0"/>
          <w:numId w:val="23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proceduri</w:t>
      </w:r>
      <w:r w:rsidR="00FB63F3" w:rsidRPr="000508B6">
        <w:rPr>
          <w:rFonts w:ascii="Times New Roman" w:hAnsi="Times New Roman" w:cs="Times New Roman"/>
          <w:lang w:val="ro-MD"/>
        </w:rPr>
        <w:t xml:space="preserve"> </w:t>
      </w:r>
      <w:r w:rsidR="00A82FE8" w:rsidRPr="000508B6">
        <w:rPr>
          <w:rFonts w:ascii="Times New Roman" w:hAnsi="Times New Roman" w:cs="Times New Roman"/>
          <w:lang w:val="ro-MD"/>
        </w:rPr>
        <w:t xml:space="preserve">contabile și </w:t>
      </w:r>
      <w:r w:rsidRPr="000508B6">
        <w:rPr>
          <w:rFonts w:ascii="Times New Roman" w:hAnsi="Times New Roman" w:cs="Times New Roman"/>
          <w:lang w:val="ro-MD"/>
        </w:rPr>
        <w:t xml:space="preserve">de raportare pentru monitorizarea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gestionarea </w:t>
      </w:r>
      <w:proofErr w:type="spellStart"/>
      <w:r w:rsidRPr="000508B6">
        <w:rPr>
          <w:rFonts w:ascii="Times New Roman" w:hAnsi="Times New Roman" w:cs="Times New Roman"/>
          <w:lang w:val="ro-MD"/>
        </w:rPr>
        <w:t>tranzacţiilor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concentrării riscurilor;      </w:t>
      </w:r>
    </w:p>
    <w:p w14:paraId="2E759C21" w14:textId="459DE703" w:rsidR="00F95829" w:rsidRPr="000508B6" w:rsidRDefault="00F95829" w:rsidP="005166FF">
      <w:pPr>
        <w:pStyle w:val="Listparagraf"/>
        <w:numPr>
          <w:ilvl w:val="0"/>
          <w:numId w:val="23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cadrul general de control intern.   </w:t>
      </w:r>
    </w:p>
    <w:p w14:paraId="06C6C929" w14:textId="376F585E" w:rsidR="00F83035" w:rsidRPr="000508B6" w:rsidRDefault="002417E8" w:rsidP="005166FF">
      <w:pPr>
        <w:numPr>
          <w:ilvl w:val="0"/>
          <w:numId w:val="234"/>
        </w:numPr>
        <w:tabs>
          <w:tab w:val="left" w:pos="709"/>
          <w:tab w:val="left" w:pos="851"/>
        </w:tabs>
        <w:spacing w:after="0" w:line="240" w:lineRule="auto"/>
        <w:ind w:left="0" w:firstLine="426"/>
        <w:jc w:val="both"/>
        <w:rPr>
          <w:rFonts w:ascii="Times New Roman" w:hAnsi="Times New Roman" w:cs="Times New Roman"/>
          <w:color w:val="FF0000"/>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F83035" w:rsidRPr="000508B6">
        <w:rPr>
          <w:rFonts w:ascii="Times New Roman" w:hAnsi="Times New Roman" w:cs="Times New Roman"/>
          <w:lang w:val="ro-MD"/>
        </w:rPr>
        <w:t xml:space="preserve">participativ, holdingul de asigurare sau holdingul financiar mixt monitorizează periodic activitățile </w:t>
      </w:r>
      <w:r w:rsidRPr="000508B6">
        <w:rPr>
          <w:rFonts w:ascii="Times New Roman" w:hAnsi="Times New Roman" w:cs="Times New Roman"/>
          <w:lang w:val="ro-MD"/>
        </w:rPr>
        <w:t xml:space="preserve">asigurătorului sau </w:t>
      </w:r>
      <w:proofErr w:type="spellStart"/>
      <w:r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său</w:t>
      </w:r>
      <w:r w:rsidR="00F83035" w:rsidRPr="000508B6">
        <w:rPr>
          <w:rFonts w:ascii="Times New Roman" w:hAnsi="Times New Roman" w:cs="Times New Roman"/>
          <w:lang w:val="ro-MD"/>
        </w:rPr>
        <w:t xml:space="preserve"> afiliat, inclusiv ale </w:t>
      </w:r>
      <w:r w:rsidRPr="000508B6">
        <w:rPr>
          <w:rFonts w:ascii="Times New Roman" w:hAnsi="Times New Roman" w:cs="Times New Roman"/>
          <w:lang w:val="ro-MD"/>
        </w:rPr>
        <w:t xml:space="preserve">asigurătorilor sau </w:t>
      </w:r>
      <w:proofErr w:type="spellStart"/>
      <w:r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afiliați menționați </w:t>
      </w:r>
      <w:r w:rsidR="00F83035" w:rsidRPr="000508B6">
        <w:rPr>
          <w:rFonts w:ascii="Times New Roman" w:hAnsi="Times New Roman" w:cs="Times New Roman"/>
          <w:lang w:val="ro-MD"/>
        </w:rPr>
        <w:t>la art</w:t>
      </w:r>
      <w:r w:rsidR="00534F46" w:rsidRPr="000508B6">
        <w:rPr>
          <w:rFonts w:ascii="Times New Roman" w:hAnsi="Times New Roman" w:cs="Times New Roman"/>
          <w:lang w:val="ro-MD"/>
        </w:rPr>
        <w:t>.</w:t>
      </w:r>
      <w:r w:rsidR="00F83035" w:rsidRPr="000508B6">
        <w:rPr>
          <w:rFonts w:ascii="Times New Roman" w:hAnsi="Times New Roman" w:cs="Times New Roman"/>
          <w:lang w:val="ro-MD"/>
        </w:rPr>
        <w:t xml:space="preserve"> </w:t>
      </w:r>
      <w:r w:rsidR="00534F46" w:rsidRPr="000508B6">
        <w:rPr>
          <w:rFonts w:ascii="Times New Roman" w:hAnsi="Times New Roman" w:cs="Times New Roman"/>
          <w:lang w:val="ro-MD"/>
        </w:rPr>
        <w:t>132</w:t>
      </w:r>
      <w:r w:rsidR="00F83035" w:rsidRPr="000508B6">
        <w:rPr>
          <w:rFonts w:ascii="Times New Roman" w:hAnsi="Times New Roman" w:cs="Times New Roman"/>
          <w:lang w:val="ro-MD"/>
        </w:rPr>
        <w:t xml:space="preserve"> </w:t>
      </w:r>
      <w:r w:rsidR="00534F46" w:rsidRPr="000508B6">
        <w:rPr>
          <w:rFonts w:ascii="Times New Roman" w:hAnsi="Times New Roman" w:cs="Times New Roman"/>
          <w:lang w:val="ro-MD"/>
        </w:rPr>
        <w:t>alin.</w:t>
      </w:r>
      <w:r w:rsidR="00F83035" w:rsidRPr="000508B6">
        <w:rPr>
          <w:rFonts w:ascii="Times New Roman" w:hAnsi="Times New Roman" w:cs="Times New Roman"/>
          <w:lang w:val="ro-MD"/>
        </w:rPr>
        <w:t xml:space="preserve"> (1) și ale</w:t>
      </w:r>
      <w:r w:rsidR="00F83035" w:rsidRPr="000508B6" w:rsidDel="00F521F2">
        <w:rPr>
          <w:rFonts w:ascii="Times New Roman" w:hAnsi="Times New Roman" w:cs="Times New Roman"/>
          <w:lang w:val="ro-MD"/>
        </w:rPr>
        <w:t xml:space="preserve"> </w:t>
      </w:r>
      <w:r w:rsidR="00F521F2" w:rsidRPr="000508B6">
        <w:rPr>
          <w:rFonts w:ascii="Times New Roman" w:hAnsi="Times New Roman" w:cs="Times New Roman"/>
          <w:lang w:val="ro-MD"/>
        </w:rPr>
        <w:t xml:space="preserve">entităților </w:t>
      </w:r>
      <w:r w:rsidR="00F83035" w:rsidRPr="000508B6">
        <w:rPr>
          <w:rFonts w:ascii="Times New Roman" w:hAnsi="Times New Roman" w:cs="Times New Roman"/>
          <w:lang w:val="ro-MD"/>
        </w:rPr>
        <w:t xml:space="preserve">nereglementate. Această monitorizare este proporțională cu natura, amploarea și complexitatea riscurilor pe care </w:t>
      </w:r>
      <w:r w:rsidRPr="000508B6">
        <w:rPr>
          <w:rFonts w:ascii="Times New Roman" w:hAnsi="Times New Roman" w:cs="Times New Roman"/>
          <w:lang w:val="ro-MD"/>
        </w:rPr>
        <w:t xml:space="preserve">asigurătorii sau </w:t>
      </w:r>
      <w:proofErr w:type="spellStart"/>
      <w:r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afiliați </w:t>
      </w:r>
      <w:r w:rsidR="00F83035" w:rsidRPr="000508B6">
        <w:rPr>
          <w:rFonts w:ascii="Times New Roman" w:hAnsi="Times New Roman" w:cs="Times New Roman"/>
          <w:lang w:val="ro-MD"/>
        </w:rPr>
        <w:t>le generează sau le-ar putea genera la nivelul grupului</w:t>
      </w:r>
      <w:r w:rsidR="00696D73" w:rsidRPr="000508B6">
        <w:rPr>
          <w:rFonts w:ascii="Times New Roman" w:hAnsi="Times New Roman" w:cs="Times New Roman"/>
          <w:lang w:val="ro-MD"/>
        </w:rPr>
        <w:t>.</w:t>
      </w:r>
    </w:p>
    <w:p w14:paraId="4D502955" w14:textId="47BED8FD" w:rsidR="00CF5AFA" w:rsidRPr="000508B6" w:rsidRDefault="002417E8" w:rsidP="005166FF">
      <w:pPr>
        <w:numPr>
          <w:ilvl w:val="0"/>
          <w:numId w:val="234"/>
        </w:numPr>
        <w:tabs>
          <w:tab w:val="left" w:pos="709"/>
          <w:tab w:val="left" w:pos="851"/>
        </w:tabs>
        <w:spacing w:after="0" w:line="240" w:lineRule="auto"/>
        <w:ind w:left="0" w:firstLine="367"/>
        <w:jc w:val="both"/>
        <w:rPr>
          <w:rFonts w:ascii="Times New Roman" w:hAnsi="Times New Roman" w:cs="Times New Roman"/>
          <w:lang w:val="ro-MD"/>
        </w:rPr>
      </w:pPr>
      <w:r w:rsidRPr="000508B6">
        <w:rPr>
          <w:rFonts w:ascii="Times New Roman" w:hAnsi="Times New Roman" w:cs="Times New Roman"/>
          <w:lang w:val="ro-MD"/>
        </w:rPr>
        <w:lastRenderedPageBreak/>
        <w:t xml:space="preserve">Asigurătorul sau </w:t>
      </w:r>
      <w:proofErr w:type="spellStart"/>
      <w:r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F83035" w:rsidRPr="000508B6">
        <w:rPr>
          <w:rFonts w:ascii="Times New Roman" w:hAnsi="Times New Roman" w:cs="Times New Roman"/>
          <w:lang w:val="ro-MD"/>
        </w:rPr>
        <w:t>participativ, holdingul de asigurare sau holdingul financiar mixt dețin politici scrise la nivel de grup și asigură</w:t>
      </w:r>
      <w:r w:rsidR="00CF5AFA" w:rsidRPr="000508B6">
        <w:rPr>
          <w:rFonts w:ascii="Times New Roman" w:hAnsi="Times New Roman" w:cs="Times New Roman"/>
          <w:lang w:val="ro-MD"/>
        </w:rPr>
        <w:t>:</w:t>
      </w:r>
    </w:p>
    <w:p w14:paraId="126A0C43" w14:textId="4FB3FDC7" w:rsidR="00CF5AFA" w:rsidRPr="000508B6" w:rsidRDefault="00F83035" w:rsidP="005166FF">
      <w:pPr>
        <w:numPr>
          <w:ilvl w:val="0"/>
          <w:numId w:val="42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corelarea politicilor scrise ale tuturor </w:t>
      </w:r>
      <w:r w:rsidR="00F521F2" w:rsidRPr="000508B6">
        <w:rPr>
          <w:rFonts w:ascii="Times New Roman" w:hAnsi="Times New Roman" w:cs="Times New Roman"/>
          <w:lang w:val="ro-MD"/>
        </w:rPr>
        <w:t xml:space="preserve">entităților </w:t>
      </w:r>
      <w:r w:rsidRPr="000508B6">
        <w:rPr>
          <w:rFonts w:ascii="Times New Roman" w:hAnsi="Times New Roman" w:cs="Times New Roman"/>
          <w:lang w:val="ro-MD"/>
        </w:rPr>
        <w:t>reglementate din sfera grupului cu politicile grupului</w:t>
      </w:r>
      <w:r w:rsidR="00CF5AFA" w:rsidRPr="000508B6">
        <w:rPr>
          <w:rFonts w:ascii="Times New Roman" w:hAnsi="Times New Roman" w:cs="Times New Roman"/>
          <w:lang w:val="ro-MD"/>
        </w:rPr>
        <w:t>;</w:t>
      </w:r>
    </w:p>
    <w:p w14:paraId="75A83578" w14:textId="471B8E63" w:rsidR="00DE6053" w:rsidRPr="000508B6" w:rsidRDefault="00F83035" w:rsidP="005166FF">
      <w:pPr>
        <w:numPr>
          <w:ilvl w:val="0"/>
          <w:numId w:val="42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aplicare</w:t>
      </w:r>
      <w:r w:rsidR="00CF5AFA" w:rsidRPr="000508B6">
        <w:rPr>
          <w:rFonts w:ascii="Times New Roman" w:hAnsi="Times New Roman" w:cs="Times New Roman"/>
          <w:lang w:val="ro-MD"/>
        </w:rPr>
        <w:t>a</w:t>
      </w:r>
      <w:r w:rsidRPr="000508B6">
        <w:rPr>
          <w:rFonts w:ascii="Times New Roman" w:hAnsi="Times New Roman" w:cs="Times New Roman"/>
          <w:lang w:val="ro-MD"/>
        </w:rPr>
        <w:t xml:space="preserve"> </w:t>
      </w:r>
      <w:r w:rsidR="00CF5AFA" w:rsidRPr="000508B6">
        <w:rPr>
          <w:rFonts w:ascii="Times New Roman" w:hAnsi="Times New Roman" w:cs="Times New Roman"/>
          <w:lang w:val="ro-MD"/>
        </w:rPr>
        <w:t xml:space="preserve">unitară a politicilor </w:t>
      </w:r>
      <w:r w:rsidRPr="000508B6">
        <w:rPr>
          <w:rFonts w:ascii="Times New Roman" w:hAnsi="Times New Roman" w:cs="Times New Roman"/>
          <w:lang w:val="ro-MD"/>
        </w:rPr>
        <w:t xml:space="preserve">de către toate </w:t>
      </w:r>
      <w:r w:rsidR="00F521F2" w:rsidRPr="000508B6">
        <w:rPr>
          <w:rFonts w:ascii="Times New Roman" w:hAnsi="Times New Roman" w:cs="Times New Roman"/>
          <w:lang w:val="ro-MD"/>
        </w:rPr>
        <w:t xml:space="preserve">entitățile </w:t>
      </w:r>
      <w:r w:rsidRPr="000508B6">
        <w:rPr>
          <w:rFonts w:ascii="Times New Roman" w:hAnsi="Times New Roman" w:cs="Times New Roman"/>
          <w:lang w:val="ro-MD"/>
        </w:rPr>
        <w:t>reglementate din sfera grupului</w:t>
      </w:r>
      <w:r w:rsidR="008939A6" w:rsidRPr="000508B6">
        <w:rPr>
          <w:rFonts w:ascii="Times New Roman" w:hAnsi="Times New Roman" w:cs="Times New Roman"/>
          <w:lang w:val="ro-MD"/>
        </w:rPr>
        <w:t>.</w:t>
      </w:r>
    </w:p>
    <w:p w14:paraId="79858305" w14:textId="79C6CE23" w:rsidR="00AA492E" w:rsidRPr="000508B6" w:rsidRDefault="00AA492E" w:rsidP="005166FF">
      <w:pPr>
        <w:numPr>
          <w:ilvl w:val="0"/>
          <w:numId w:val="23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supraveghează procedurile de raportare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sistemele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(1)-(7) în conformitate cu prezenta secțiune. </w:t>
      </w:r>
    </w:p>
    <w:p w14:paraId="555ABBA0" w14:textId="4FA55FA1" w:rsidR="00CF5AFA" w:rsidRPr="000508B6" w:rsidRDefault="002417E8" w:rsidP="005B0C4D">
      <w:pPr>
        <w:numPr>
          <w:ilvl w:val="0"/>
          <w:numId w:val="23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AC0985" w:rsidRPr="000508B6">
        <w:rPr>
          <w:rFonts w:ascii="Times New Roman" w:hAnsi="Times New Roman" w:cs="Times New Roman"/>
          <w:lang w:val="ro-MD"/>
        </w:rPr>
        <w:t>participativ</w:t>
      </w:r>
      <w:r w:rsidR="00F95829" w:rsidRPr="000508B6">
        <w:rPr>
          <w:rFonts w:ascii="Times New Roman" w:hAnsi="Times New Roman" w:cs="Times New Roman"/>
          <w:lang w:val="ro-MD"/>
        </w:rPr>
        <w:t xml:space="preserve">, </w:t>
      </w:r>
      <w:r w:rsidR="00AC0985"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de asigurare sau </w:t>
      </w:r>
      <w:r w:rsidR="00AC0985"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financiar mixt realizează ORSA la nivel de grup, în conformitate cu prevederile art. </w:t>
      </w:r>
      <w:r w:rsidR="000301B2" w:rsidRPr="000508B6">
        <w:rPr>
          <w:rFonts w:ascii="Times New Roman" w:hAnsi="Times New Roman" w:cs="Times New Roman"/>
          <w:lang w:val="ro-MD"/>
        </w:rPr>
        <w:t>27</w:t>
      </w:r>
      <w:r w:rsidR="00F95829" w:rsidRPr="000508B6">
        <w:rPr>
          <w:rFonts w:ascii="Times New Roman" w:hAnsi="Times New Roman" w:cs="Times New Roman"/>
          <w:lang w:val="ro-MD"/>
        </w:rPr>
        <w:t>, care este supusă procesului de supraveghere de către Banca Națională a Moldovei în calitate de supraveghetor coordonator</w:t>
      </w:r>
      <w:r w:rsidR="00CF5AFA" w:rsidRPr="000508B6">
        <w:rPr>
          <w:rFonts w:ascii="Times New Roman" w:hAnsi="Times New Roman" w:cs="Times New Roman"/>
          <w:lang w:val="ro-MD"/>
        </w:rPr>
        <w:t xml:space="preserve"> și</w:t>
      </w:r>
      <w:r w:rsidR="00F83035" w:rsidRPr="000508B6">
        <w:rPr>
          <w:rFonts w:ascii="Times New Roman" w:hAnsi="Times New Roman" w:cs="Times New Roman"/>
          <w:lang w:val="ro-MD"/>
        </w:rPr>
        <w:t xml:space="preserve"> acoperă cel puțin</w:t>
      </w:r>
      <w:r w:rsidR="00CF5AFA" w:rsidRPr="000508B6">
        <w:rPr>
          <w:rFonts w:ascii="Times New Roman" w:hAnsi="Times New Roman" w:cs="Times New Roman"/>
          <w:lang w:val="ro-MD"/>
        </w:rPr>
        <w:t>:</w:t>
      </w:r>
    </w:p>
    <w:p w14:paraId="751C04CB" w14:textId="4670D18E" w:rsidR="00CF5AFA" w:rsidRPr="000508B6" w:rsidRDefault="00F83035" w:rsidP="005B0C4D">
      <w:pPr>
        <w:numPr>
          <w:ilvl w:val="0"/>
          <w:numId w:val="42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toate activitățile de asigurare și de reasigurare desfășurate în cadrul grupului</w:t>
      </w:r>
      <w:r w:rsidR="00CF5AFA" w:rsidRPr="000508B6">
        <w:rPr>
          <w:rFonts w:ascii="Times New Roman" w:hAnsi="Times New Roman" w:cs="Times New Roman"/>
          <w:lang w:val="ro-MD"/>
        </w:rPr>
        <w:t>;</w:t>
      </w:r>
      <w:r w:rsidRPr="000508B6">
        <w:rPr>
          <w:rFonts w:ascii="Times New Roman" w:hAnsi="Times New Roman" w:cs="Times New Roman"/>
          <w:lang w:val="ro-MD"/>
        </w:rPr>
        <w:t xml:space="preserve"> </w:t>
      </w:r>
    </w:p>
    <w:p w14:paraId="0AD4B321" w14:textId="39E69AA0" w:rsidR="00CF5AFA" w:rsidRPr="000508B6" w:rsidRDefault="00F83035" w:rsidP="005166FF">
      <w:pPr>
        <w:numPr>
          <w:ilvl w:val="0"/>
          <w:numId w:val="42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activitățile semnificative care nu sunt legate de asigurări</w:t>
      </w:r>
      <w:r w:rsidR="00B974D5" w:rsidRPr="000508B6">
        <w:rPr>
          <w:rFonts w:ascii="Times New Roman" w:hAnsi="Times New Roman" w:cs="Times New Roman"/>
          <w:lang w:val="ro-MD"/>
        </w:rPr>
        <w:t>;</w:t>
      </w:r>
      <w:r w:rsidRPr="000508B6" w:rsidDel="00B974D5">
        <w:rPr>
          <w:rFonts w:ascii="Times New Roman" w:hAnsi="Times New Roman" w:cs="Times New Roman"/>
          <w:lang w:val="ro-MD"/>
        </w:rPr>
        <w:t xml:space="preserve"> </w:t>
      </w:r>
    </w:p>
    <w:p w14:paraId="70F36DEF" w14:textId="538393B8" w:rsidR="00F95829" w:rsidRPr="000508B6" w:rsidRDefault="00F83035" w:rsidP="005166FF">
      <w:pPr>
        <w:numPr>
          <w:ilvl w:val="0"/>
          <w:numId w:val="42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riscurile care decurg din activități</w:t>
      </w:r>
      <w:r w:rsidR="00CF5AFA" w:rsidRPr="000508B6">
        <w:rPr>
          <w:rFonts w:ascii="Times New Roman" w:hAnsi="Times New Roman" w:cs="Times New Roman"/>
          <w:lang w:val="ro-MD"/>
        </w:rPr>
        <w:t>le prevăzute la lit. a) și b)</w:t>
      </w:r>
      <w:r w:rsidRPr="000508B6">
        <w:rPr>
          <w:rFonts w:ascii="Times New Roman" w:hAnsi="Times New Roman" w:cs="Times New Roman"/>
          <w:lang w:val="ro-MD"/>
        </w:rPr>
        <w:t xml:space="preserve"> la care grupul este sau ar putea fi expus, precum și interdependențele acestora. </w:t>
      </w:r>
    </w:p>
    <w:p w14:paraId="45CD62C2" w14:textId="28941202" w:rsidR="00F95829" w:rsidRPr="000508B6" w:rsidRDefault="00F95829" w:rsidP="00CF5AFA">
      <w:pPr>
        <w:numPr>
          <w:ilvl w:val="0"/>
          <w:numId w:val="2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2417E8" w:rsidRPr="000508B6">
        <w:rPr>
          <w:rFonts w:ascii="Times New Roman" w:hAnsi="Times New Roman" w:cs="Times New Roman"/>
          <w:lang w:val="ro-MD"/>
        </w:rPr>
        <w:t xml:space="preserve">asigurătorul sau </w:t>
      </w:r>
      <w:proofErr w:type="spellStart"/>
      <w:r w:rsidR="002417E8"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CE7874" w:rsidRPr="000508B6">
        <w:rPr>
          <w:rFonts w:ascii="Times New Roman" w:hAnsi="Times New Roman" w:cs="Times New Roman"/>
          <w:lang w:val="ro-MD"/>
        </w:rPr>
        <w:t>participativ</w:t>
      </w:r>
      <w:r w:rsidRPr="000508B6">
        <w:rPr>
          <w:rFonts w:ascii="Times New Roman" w:hAnsi="Times New Roman" w:cs="Times New Roman"/>
          <w:lang w:val="ro-MD"/>
        </w:rPr>
        <w:t xml:space="preserve">, </w:t>
      </w:r>
      <w:r w:rsidR="00CE7874" w:rsidRPr="000508B6">
        <w:rPr>
          <w:rFonts w:ascii="Times New Roman" w:hAnsi="Times New Roman" w:cs="Times New Roman"/>
          <w:lang w:val="ro-MD"/>
        </w:rPr>
        <w:t xml:space="preserve">holdingul </w:t>
      </w:r>
      <w:r w:rsidRPr="000508B6">
        <w:rPr>
          <w:rFonts w:ascii="Times New Roman" w:hAnsi="Times New Roman" w:cs="Times New Roman"/>
          <w:lang w:val="ro-MD"/>
        </w:rPr>
        <w:t xml:space="preserve">de asigurare sau </w:t>
      </w:r>
      <w:r w:rsidR="00CE7874" w:rsidRPr="000508B6">
        <w:rPr>
          <w:rFonts w:ascii="Times New Roman" w:hAnsi="Times New Roman" w:cs="Times New Roman"/>
          <w:lang w:val="ro-MD"/>
        </w:rPr>
        <w:t xml:space="preserve">holdingul </w:t>
      </w:r>
      <w:r w:rsidRPr="000508B6">
        <w:rPr>
          <w:rFonts w:ascii="Times New Roman" w:hAnsi="Times New Roman" w:cs="Times New Roman"/>
          <w:lang w:val="ro-MD"/>
        </w:rPr>
        <w:t>financiar mixt decid</w:t>
      </w:r>
      <w:r w:rsidR="00CE7874" w:rsidRPr="000508B6">
        <w:rPr>
          <w:rFonts w:ascii="Times New Roman" w:hAnsi="Times New Roman" w:cs="Times New Roman"/>
          <w:lang w:val="ro-MD"/>
        </w:rPr>
        <w:t>e</w:t>
      </w:r>
      <w:r w:rsidRPr="000508B6">
        <w:rPr>
          <w:rFonts w:ascii="Times New Roman" w:hAnsi="Times New Roman" w:cs="Times New Roman"/>
          <w:lang w:val="ro-MD"/>
        </w:rPr>
        <w:t xml:space="preserve"> să calculeze solvabilitatea la nivel de grup cu metoda </w:t>
      </w:r>
      <w:r w:rsidR="00230ADD" w:rsidRPr="000508B6">
        <w:rPr>
          <w:rFonts w:ascii="Times New Roman" w:hAnsi="Times New Roman" w:cs="Times New Roman"/>
          <w:lang w:val="ro-MD"/>
        </w:rPr>
        <w:t xml:space="preserve">de calcul </w:t>
      </w:r>
      <w:r w:rsidRPr="000508B6">
        <w:rPr>
          <w:rFonts w:ascii="Times New Roman" w:hAnsi="Times New Roman" w:cs="Times New Roman"/>
          <w:lang w:val="ro-MD"/>
        </w:rPr>
        <w:t xml:space="preserve">nr. 1,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art. </w:t>
      </w:r>
      <w:r w:rsidR="00EF3BB6" w:rsidRPr="000508B6">
        <w:rPr>
          <w:rFonts w:ascii="Times New Roman" w:hAnsi="Times New Roman" w:cs="Times New Roman"/>
          <w:lang w:val="ro-MD"/>
        </w:rPr>
        <w:t>135</w:t>
      </w:r>
      <w:r w:rsidRPr="000508B6">
        <w:rPr>
          <w:rFonts w:ascii="Times New Roman" w:hAnsi="Times New Roman" w:cs="Times New Roman"/>
          <w:lang w:val="ro-MD"/>
        </w:rPr>
        <w:t>, ace</w:t>
      </w:r>
      <w:r w:rsidR="00C14FEE" w:rsidRPr="000508B6">
        <w:rPr>
          <w:rFonts w:ascii="Times New Roman" w:hAnsi="Times New Roman" w:cs="Times New Roman"/>
          <w:lang w:val="ro-MD"/>
        </w:rPr>
        <w:t>a</w:t>
      </w:r>
      <w:r w:rsidRPr="000508B6">
        <w:rPr>
          <w:rFonts w:ascii="Times New Roman" w:hAnsi="Times New Roman" w:cs="Times New Roman"/>
          <w:lang w:val="ro-MD"/>
        </w:rPr>
        <w:t xml:space="preserve">sta demonstrează Băncii Naționale a Moldovei că </w:t>
      </w:r>
      <w:proofErr w:type="spellStart"/>
      <w:r w:rsidRPr="000508B6">
        <w:rPr>
          <w:rFonts w:ascii="Times New Roman" w:hAnsi="Times New Roman" w:cs="Times New Roman"/>
          <w:lang w:val="ro-MD"/>
        </w:rPr>
        <w:t>diferenţa</w:t>
      </w:r>
      <w:proofErr w:type="spellEnd"/>
      <w:r w:rsidRPr="000508B6">
        <w:rPr>
          <w:rFonts w:ascii="Times New Roman" w:hAnsi="Times New Roman" w:cs="Times New Roman"/>
          <w:lang w:val="ro-MD"/>
        </w:rPr>
        <w:t xml:space="preserve"> dintre suma SCR a tuturor </w:t>
      </w:r>
      <w:r w:rsidR="002417E8" w:rsidRPr="000508B6">
        <w:rPr>
          <w:rFonts w:ascii="Times New Roman" w:hAnsi="Times New Roman" w:cs="Times New Roman"/>
          <w:lang w:val="ro-MD"/>
        </w:rPr>
        <w:t xml:space="preserve">asigurătorilor sau </w:t>
      </w:r>
      <w:proofErr w:type="spellStart"/>
      <w:r w:rsidR="002417E8" w:rsidRPr="000508B6">
        <w:rPr>
          <w:rFonts w:ascii="Times New Roman" w:hAnsi="Times New Roman" w:cs="Times New Roman"/>
          <w:lang w:val="ro-MD"/>
        </w:rPr>
        <w:t>reasigurătorilor</w:t>
      </w:r>
      <w:proofErr w:type="spellEnd"/>
      <w:r w:rsidR="002417E8" w:rsidRPr="000508B6">
        <w:rPr>
          <w:rFonts w:ascii="Times New Roman" w:hAnsi="Times New Roman" w:cs="Times New Roman"/>
          <w:lang w:val="ro-MD"/>
        </w:rPr>
        <w:t xml:space="preserve"> afiliați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cea agregată la nivel de grup este corectă.  </w:t>
      </w:r>
    </w:p>
    <w:p w14:paraId="73528CE8" w14:textId="13791E82" w:rsidR="00F95829" w:rsidRPr="000508B6" w:rsidRDefault="002417E8" w:rsidP="005B0C4D">
      <w:pPr>
        <w:numPr>
          <w:ilvl w:val="0"/>
          <w:numId w:val="23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62016D" w:rsidRPr="000508B6">
        <w:rPr>
          <w:rFonts w:ascii="Times New Roman" w:hAnsi="Times New Roman" w:cs="Times New Roman"/>
          <w:lang w:val="ro-MD"/>
        </w:rPr>
        <w:t>participativ</w:t>
      </w:r>
      <w:r w:rsidR="00F95829" w:rsidRPr="000508B6">
        <w:rPr>
          <w:rFonts w:ascii="Times New Roman" w:hAnsi="Times New Roman" w:cs="Times New Roman"/>
          <w:lang w:val="ro-MD"/>
        </w:rPr>
        <w:t xml:space="preserve">, </w:t>
      </w:r>
      <w:r w:rsidR="0062016D"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de asigurare sau </w:t>
      </w:r>
      <w:r w:rsidR="0062016D" w:rsidRPr="000508B6">
        <w:rPr>
          <w:rFonts w:ascii="Times New Roman" w:hAnsi="Times New Roman" w:cs="Times New Roman"/>
          <w:lang w:val="ro-MD"/>
        </w:rPr>
        <w:t>holdingul</w:t>
      </w:r>
      <w:r w:rsidR="00F95829" w:rsidRPr="000508B6">
        <w:rPr>
          <w:rFonts w:ascii="Times New Roman" w:hAnsi="Times New Roman" w:cs="Times New Roman"/>
          <w:lang w:val="ro-MD"/>
        </w:rPr>
        <w:t xml:space="preserve"> financiar mixt solicită Băncii Naționale a Moldovei aprobarea de a efectua ORSA la nivel de grup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la nivel de filială în </w:t>
      </w:r>
      <w:proofErr w:type="spellStart"/>
      <w:r w:rsidR="00F95829" w:rsidRPr="000508B6">
        <w:rPr>
          <w:rFonts w:ascii="Times New Roman" w:hAnsi="Times New Roman" w:cs="Times New Roman"/>
          <w:lang w:val="ro-MD"/>
        </w:rPr>
        <w:t>acelaşi</w:t>
      </w:r>
      <w:proofErr w:type="spellEnd"/>
      <w:r w:rsidR="00F95829" w:rsidRPr="000508B6">
        <w:rPr>
          <w:rFonts w:ascii="Times New Roman" w:hAnsi="Times New Roman" w:cs="Times New Roman"/>
          <w:lang w:val="ro-MD"/>
        </w:rPr>
        <w:t xml:space="preserve"> timp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de a transmite un raport unic către Banca Națională a Moldovei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r w:rsidR="00942C9B" w:rsidRPr="000508B6">
        <w:rPr>
          <w:rFonts w:ascii="Times New Roman" w:hAnsi="Times New Roman" w:cs="Times New Roman"/>
          <w:lang w:val="ro-MD"/>
        </w:rPr>
        <w:t>supraveghetorii</w:t>
      </w:r>
      <w:r w:rsidR="00F95829" w:rsidRPr="000508B6">
        <w:rPr>
          <w:rFonts w:ascii="Times New Roman" w:hAnsi="Times New Roman" w:cs="Times New Roman"/>
          <w:lang w:val="ro-MD"/>
        </w:rPr>
        <w:t xml:space="preserve"> filialelor respective.   </w:t>
      </w:r>
    </w:p>
    <w:p w14:paraId="229782F4" w14:textId="35442CD8" w:rsidR="00D72FA8" w:rsidRPr="000508B6" w:rsidRDefault="00F95829" w:rsidP="005166FF">
      <w:pPr>
        <w:numPr>
          <w:ilvl w:val="0"/>
          <w:numId w:val="23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Exercitarea de către grup a </w:t>
      </w:r>
      <w:proofErr w:type="spellStart"/>
      <w:r w:rsidRPr="000508B6">
        <w:rPr>
          <w:rFonts w:ascii="Times New Roman" w:hAnsi="Times New Roman" w:cs="Times New Roman"/>
          <w:lang w:val="ro-MD"/>
        </w:rPr>
        <w:t>opţiunii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(5) nu exonerează filialele de respectarea prevederilor art. </w:t>
      </w:r>
      <w:r w:rsidR="00E11F37" w:rsidRPr="000508B6">
        <w:rPr>
          <w:rFonts w:ascii="Times New Roman" w:hAnsi="Times New Roman" w:cs="Times New Roman"/>
          <w:lang w:val="ro-MD"/>
        </w:rPr>
        <w:t>27</w:t>
      </w:r>
      <w:r w:rsidRPr="000508B6">
        <w:rPr>
          <w:rFonts w:ascii="Times New Roman" w:hAnsi="Times New Roman" w:cs="Times New Roman"/>
          <w:lang w:val="ro-MD"/>
        </w:rPr>
        <w:t xml:space="preserve">.   </w:t>
      </w:r>
    </w:p>
    <w:p w14:paraId="4E483AE7" w14:textId="4A6598D6" w:rsidR="00531F17" w:rsidRPr="000508B6" w:rsidRDefault="00C346E6" w:rsidP="005166FF">
      <w:pPr>
        <w:numPr>
          <w:ilvl w:val="0"/>
          <w:numId w:val="234"/>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2417E8" w:rsidRPr="000508B6">
        <w:rPr>
          <w:rFonts w:ascii="Times New Roman" w:hAnsi="Times New Roman" w:cs="Times New Roman"/>
          <w:lang w:val="ro-MD"/>
        </w:rPr>
        <w:t xml:space="preserve">Asigurătorul sau </w:t>
      </w:r>
      <w:proofErr w:type="spellStart"/>
      <w:r w:rsidR="002417E8"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2D3633" w:rsidRPr="000508B6">
        <w:rPr>
          <w:rFonts w:ascii="Times New Roman" w:hAnsi="Times New Roman" w:cs="Times New Roman"/>
          <w:lang w:val="ro-MD"/>
        </w:rPr>
        <w:t>participativ</w:t>
      </w:r>
      <w:r w:rsidRPr="000508B6">
        <w:rPr>
          <w:rFonts w:ascii="Times New Roman" w:hAnsi="Times New Roman" w:cs="Times New Roman"/>
          <w:lang w:val="ro-MD"/>
        </w:rPr>
        <w:t>, holdingul de asigurare sau holdingul financiar mixt se asigur</w:t>
      </w:r>
      <w:r w:rsidR="007A443F" w:rsidRPr="000508B6">
        <w:rPr>
          <w:rFonts w:ascii="Times New Roman" w:hAnsi="Times New Roman" w:cs="Times New Roman"/>
          <w:lang w:val="ro-MD"/>
        </w:rPr>
        <w:t>ă</w:t>
      </w:r>
      <w:r w:rsidRPr="000508B6">
        <w:rPr>
          <w:rFonts w:ascii="Times New Roman" w:hAnsi="Times New Roman" w:cs="Times New Roman"/>
          <w:lang w:val="ro-MD"/>
        </w:rPr>
        <w:t xml:space="preserve"> că grupul dispune de mecanisme de guvernanță adecvate, care includ</w:t>
      </w:r>
      <w:r w:rsidR="00531F17" w:rsidRPr="000508B6">
        <w:rPr>
          <w:rFonts w:ascii="Times New Roman" w:hAnsi="Times New Roman" w:cs="Times New Roman"/>
          <w:lang w:val="ro-MD"/>
        </w:rPr>
        <w:t>:</w:t>
      </w:r>
    </w:p>
    <w:p w14:paraId="162F4DF0" w14:textId="7E74CC0B" w:rsidR="00531F17" w:rsidRPr="000508B6" w:rsidRDefault="00C346E6" w:rsidP="001F3F47">
      <w:pPr>
        <w:numPr>
          <w:ilvl w:val="0"/>
          <w:numId w:val="426"/>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o structură organizațională clară, cu responsabilități bine definite, transparente și consecvente</w:t>
      </w:r>
      <w:r w:rsidR="00926824" w:rsidRPr="000508B6">
        <w:rPr>
          <w:rFonts w:ascii="Times New Roman" w:hAnsi="Times New Roman" w:cs="Times New Roman"/>
          <w:lang w:val="ro-MD"/>
        </w:rPr>
        <w:t>;</w:t>
      </w:r>
      <w:r w:rsidRPr="000508B6">
        <w:rPr>
          <w:rFonts w:ascii="Times New Roman" w:hAnsi="Times New Roman" w:cs="Times New Roman"/>
          <w:lang w:val="ro-MD"/>
        </w:rPr>
        <w:t xml:space="preserve"> </w:t>
      </w:r>
    </w:p>
    <w:p w14:paraId="4518715D" w14:textId="7243F321" w:rsidR="00531F17" w:rsidRPr="000508B6" w:rsidRDefault="00C346E6" w:rsidP="005166FF">
      <w:pPr>
        <w:numPr>
          <w:ilvl w:val="0"/>
          <w:numId w:val="426"/>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separarea atribuțiilor în cadrul grupului</w:t>
      </w:r>
      <w:r w:rsidR="00926824" w:rsidRPr="000508B6">
        <w:rPr>
          <w:rFonts w:ascii="Times New Roman" w:hAnsi="Times New Roman" w:cs="Times New Roman"/>
          <w:lang w:val="ro-MD"/>
        </w:rPr>
        <w:t>;</w:t>
      </w:r>
      <w:r w:rsidRPr="000508B6">
        <w:rPr>
          <w:rFonts w:ascii="Times New Roman" w:hAnsi="Times New Roman" w:cs="Times New Roman"/>
          <w:lang w:val="ro-MD"/>
        </w:rPr>
        <w:t xml:space="preserve"> </w:t>
      </w:r>
    </w:p>
    <w:p w14:paraId="39250058" w14:textId="1671BD0F" w:rsidR="00C346E6" w:rsidRPr="000508B6" w:rsidRDefault="00C346E6" w:rsidP="005166FF">
      <w:pPr>
        <w:numPr>
          <w:ilvl w:val="0"/>
          <w:numId w:val="426"/>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preveni</w:t>
      </w:r>
      <w:r w:rsidR="00531F17" w:rsidRPr="000508B6">
        <w:rPr>
          <w:rFonts w:ascii="Times New Roman" w:hAnsi="Times New Roman" w:cs="Times New Roman"/>
          <w:lang w:val="ro-MD"/>
        </w:rPr>
        <w:t>rea</w:t>
      </w:r>
      <w:r w:rsidRPr="000508B6">
        <w:rPr>
          <w:rFonts w:ascii="Times New Roman" w:hAnsi="Times New Roman" w:cs="Times New Roman"/>
          <w:lang w:val="ro-MD"/>
        </w:rPr>
        <w:t xml:space="preserve"> </w:t>
      </w:r>
      <w:r w:rsidR="00926824" w:rsidRPr="000508B6">
        <w:rPr>
          <w:rFonts w:ascii="Times New Roman" w:hAnsi="Times New Roman" w:cs="Times New Roman"/>
          <w:lang w:val="ro-MD"/>
        </w:rPr>
        <w:t xml:space="preserve">conflictelor </w:t>
      </w:r>
      <w:r w:rsidRPr="000508B6">
        <w:rPr>
          <w:rFonts w:ascii="Times New Roman" w:hAnsi="Times New Roman" w:cs="Times New Roman"/>
          <w:lang w:val="ro-MD"/>
        </w:rPr>
        <w:t>de interese și gestion</w:t>
      </w:r>
      <w:r w:rsidR="00531F17" w:rsidRPr="000508B6">
        <w:rPr>
          <w:rFonts w:ascii="Times New Roman" w:hAnsi="Times New Roman" w:cs="Times New Roman"/>
          <w:lang w:val="ro-MD"/>
        </w:rPr>
        <w:t>area</w:t>
      </w:r>
      <w:r w:rsidRPr="000508B6">
        <w:rPr>
          <w:rFonts w:ascii="Times New Roman" w:hAnsi="Times New Roman" w:cs="Times New Roman"/>
          <w:lang w:val="ro-MD"/>
        </w:rPr>
        <w:t xml:space="preserve"> </w:t>
      </w:r>
      <w:r w:rsidR="00926824" w:rsidRPr="000508B6">
        <w:rPr>
          <w:rFonts w:ascii="Times New Roman" w:hAnsi="Times New Roman" w:cs="Times New Roman"/>
          <w:lang w:val="ro-MD"/>
        </w:rPr>
        <w:t xml:space="preserve">conflictelor </w:t>
      </w:r>
      <w:r w:rsidRPr="000508B6">
        <w:rPr>
          <w:rFonts w:ascii="Times New Roman" w:hAnsi="Times New Roman" w:cs="Times New Roman"/>
          <w:lang w:val="ro-MD"/>
        </w:rPr>
        <w:t>de interese care nu pot fi prevenite.</w:t>
      </w:r>
    </w:p>
    <w:p w14:paraId="00A7F481" w14:textId="29919840" w:rsidR="00C346E6" w:rsidRPr="000508B6" w:rsidRDefault="00C346E6" w:rsidP="005166FF">
      <w:pPr>
        <w:numPr>
          <w:ilvl w:val="0"/>
          <w:numId w:val="23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Persoanele care conduc efectiv un grup de asigurare sau de reasigurare sunt considerate a fi persoanele care conduc efectiv </w:t>
      </w:r>
      <w:r w:rsidR="00F43528" w:rsidRPr="000508B6">
        <w:rPr>
          <w:rFonts w:ascii="Times New Roman" w:hAnsi="Times New Roman" w:cs="Times New Roman"/>
          <w:lang w:val="ro-MD"/>
        </w:rPr>
        <w:t>societatea</w:t>
      </w:r>
      <w:r w:rsidRPr="000508B6">
        <w:rPr>
          <w:rFonts w:ascii="Times New Roman" w:hAnsi="Times New Roman" w:cs="Times New Roman"/>
          <w:lang w:val="ro-MD"/>
        </w:rPr>
        <w:t>-mamă menționată la alin</w:t>
      </w:r>
      <w:r w:rsidR="00534F46" w:rsidRPr="000508B6">
        <w:rPr>
          <w:rFonts w:ascii="Times New Roman" w:hAnsi="Times New Roman" w:cs="Times New Roman"/>
          <w:lang w:val="ro-MD"/>
        </w:rPr>
        <w:t>.</w:t>
      </w:r>
      <w:r w:rsidRPr="000508B6">
        <w:rPr>
          <w:rFonts w:ascii="Times New Roman" w:hAnsi="Times New Roman" w:cs="Times New Roman"/>
          <w:lang w:val="ro-MD"/>
        </w:rPr>
        <w:t xml:space="preserve"> (</w:t>
      </w:r>
      <w:r w:rsidR="00534F46" w:rsidRPr="000508B6">
        <w:rPr>
          <w:rFonts w:ascii="Times New Roman" w:hAnsi="Times New Roman" w:cs="Times New Roman"/>
          <w:lang w:val="ro-MD"/>
        </w:rPr>
        <w:t>1</w:t>
      </w:r>
      <w:r w:rsidRPr="000508B6">
        <w:rPr>
          <w:rFonts w:ascii="Times New Roman" w:hAnsi="Times New Roman" w:cs="Times New Roman"/>
          <w:lang w:val="ro-MD"/>
        </w:rPr>
        <w:t>).</w:t>
      </w:r>
    </w:p>
    <w:p w14:paraId="45290034" w14:textId="358F1EDC" w:rsidR="00C346E6" w:rsidRPr="000508B6" w:rsidRDefault="00FA161A" w:rsidP="005166FF">
      <w:pPr>
        <w:numPr>
          <w:ilvl w:val="0"/>
          <w:numId w:val="23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Asigurătorul</w:t>
      </w:r>
      <w:r w:rsidR="009D5914"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participativ</w:t>
      </w:r>
      <w:r w:rsidR="00C346E6" w:rsidRPr="000508B6">
        <w:rPr>
          <w:rFonts w:ascii="Times New Roman" w:hAnsi="Times New Roman" w:cs="Times New Roman"/>
          <w:lang w:val="ro-MD"/>
        </w:rPr>
        <w:t>, holding</w:t>
      </w:r>
      <w:r w:rsidR="007A443F" w:rsidRPr="000508B6">
        <w:rPr>
          <w:rFonts w:ascii="Times New Roman" w:hAnsi="Times New Roman" w:cs="Times New Roman"/>
          <w:lang w:val="ro-MD"/>
        </w:rPr>
        <w:t>ul</w:t>
      </w:r>
      <w:r w:rsidR="00C346E6" w:rsidRPr="000508B6">
        <w:rPr>
          <w:rFonts w:ascii="Times New Roman" w:hAnsi="Times New Roman" w:cs="Times New Roman"/>
          <w:lang w:val="ro-MD"/>
        </w:rPr>
        <w:t xml:space="preserve"> de asigurare sau holdingul financiar mixt identific</w:t>
      </w:r>
      <w:r w:rsidR="007A443F" w:rsidRPr="000508B6">
        <w:rPr>
          <w:rFonts w:ascii="Times New Roman" w:hAnsi="Times New Roman" w:cs="Times New Roman"/>
          <w:lang w:val="ro-MD"/>
        </w:rPr>
        <w:t>ă</w:t>
      </w:r>
      <w:r w:rsidR="00C346E6" w:rsidRPr="000508B6">
        <w:rPr>
          <w:rFonts w:ascii="Times New Roman" w:hAnsi="Times New Roman" w:cs="Times New Roman"/>
          <w:lang w:val="ro-MD"/>
        </w:rPr>
        <w:t xml:space="preserve"> persoanele care dețin alte funcții-cheie în cadrul grupului de asigurare sau de reasigurare care face obiectul supravegherii la nivel de grup în conformitate cu art</w:t>
      </w:r>
      <w:r w:rsidR="00534F46" w:rsidRPr="000508B6">
        <w:rPr>
          <w:rFonts w:ascii="Times New Roman" w:hAnsi="Times New Roman" w:cs="Times New Roman"/>
          <w:lang w:val="ro-MD"/>
        </w:rPr>
        <w:t>.</w:t>
      </w:r>
      <w:r w:rsidR="00C346E6" w:rsidRPr="000508B6">
        <w:rPr>
          <w:rFonts w:ascii="Times New Roman" w:hAnsi="Times New Roman" w:cs="Times New Roman"/>
          <w:lang w:val="ro-MD"/>
        </w:rPr>
        <w:t xml:space="preserve"> </w:t>
      </w:r>
      <w:r w:rsidR="00534F46" w:rsidRPr="000508B6">
        <w:rPr>
          <w:rFonts w:ascii="Times New Roman" w:hAnsi="Times New Roman" w:cs="Times New Roman"/>
          <w:lang w:val="ro-MD"/>
        </w:rPr>
        <w:t>116</w:t>
      </w:r>
      <w:r w:rsidR="00C346E6" w:rsidRPr="000508B6">
        <w:rPr>
          <w:rFonts w:ascii="Times New Roman" w:hAnsi="Times New Roman" w:cs="Times New Roman"/>
          <w:lang w:val="ro-MD"/>
        </w:rPr>
        <w:t xml:space="preserve"> alin</w:t>
      </w:r>
      <w:r w:rsidR="00534F46" w:rsidRPr="000508B6">
        <w:rPr>
          <w:rFonts w:ascii="Times New Roman" w:hAnsi="Times New Roman" w:cs="Times New Roman"/>
          <w:lang w:val="ro-MD"/>
        </w:rPr>
        <w:t>.</w:t>
      </w:r>
      <w:r w:rsidR="00C346E6" w:rsidRPr="000508B6">
        <w:rPr>
          <w:rFonts w:ascii="Times New Roman" w:hAnsi="Times New Roman" w:cs="Times New Roman"/>
          <w:lang w:val="ro-MD"/>
        </w:rPr>
        <w:t xml:space="preserve"> (</w:t>
      </w:r>
      <w:r w:rsidR="002E7DB6" w:rsidRPr="000508B6">
        <w:rPr>
          <w:rFonts w:ascii="Times New Roman" w:hAnsi="Times New Roman" w:cs="Times New Roman"/>
          <w:lang w:val="ro-MD"/>
        </w:rPr>
        <w:t>3</w:t>
      </w:r>
      <w:r w:rsidR="00C346E6" w:rsidRPr="000508B6">
        <w:rPr>
          <w:rFonts w:ascii="Times New Roman" w:hAnsi="Times New Roman" w:cs="Times New Roman"/>
          <w:lang w:val="ro-MD"/>
        </w:rPr>
        <w:t>) lit</w:t>
      </w:r>
      <w:r w:rsidR="00534F46" w:rsidRPr="000508B6">
        <w:rPr>
          <w:rFonts w:ascii="Times New Roman" w:hAnsi="Times New Roman" w:cs="Times New Roman"/>
          <w:lang w:val="ro-MD"/>
        </w:rPr>
        <w:t>.</w:t>
      </w:r>
      <w:r w:rsidR="00C346E6" w:rsidRPr="000508B6">
        <w:rPr>
          <w:rFonts w:ascii="Times New Roman" w:hAnsi="Times New Roman" w:cs="Times New Roman"/>
          <w:lang w:val="ro-MD"/>
        </w:rPr>
        <w:t xml:space="preserve"> a), b) și c). Organul de conducere menționat la alin</w:t>
      </w:r>
      <w:r w:rsidR="00534F46" w:rsidRPr="000508B6">
        <w:rPr>
          <w:rFonts w:ascii="Times New Roman" w:hAnsi="Times New Roman" w:cs="Times New Roman"/>
          <w:lang w:val="ro-MD"/>
        </w:rPr>
        <w:t>.</w:t>
      </w:r>
      <w:r w:rsidR="00C346E6" w:rsidRPr="000508B6">
        <w:rPr>
          <w:rFonts w:ascii="Times New Roman" w:hAnsi="Times New Roman" w:cs="Times New Roman"/>
          <w:lang w:val="ro-MD"/>
        </w:rPr>
        <w:t xml:space="preserve"> (</w:t>
      </w:r>
      <w:r w:rsidR="00534F46" w:rsidRPr="000508B6">
        <w:rPr>
          <w:rFonts w:ascii="Times New Roman" w:hAnsi="Times New Roman" w:cs="Times New Roman"/>
          <w:lang w:val="ro-MD"/>
        </w:rPr>
        <w:t>3</w:t>
      </w:r>
      <w:r w:rsidR="00C346E6" w:rsidRPr="000508B6">
        <w:rPr>
          <w:rFonts w:ascii="Times New Roman" w:hAnsi="Times New Roman" w:cs="Times New Roman"/>
          <w:lang w:val="ro-MD"/>
        </w:rPr>
        <w:t>) este responsabil pentru activitățile desfășurate de persoanele respective.</w:t>
      </w:r>
    </w:p>
    <w:p w14:paraId="455AB88F" w14:textId="20AA030F" w:rsidR="00D72FA8" w:rsidRPr="000508B6" w:rsidRDefault="00C346E6" w:rsidP="00CF5AFA">
      <w:pPr>
        <w:numPr>
          <w:ilvl w:val="0"/>
          <w:numId w:val="234"/>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persoanele care conduc efectiv un grup de asigurare sau de reasigurare sau dețin alte funcții-cheie sunt, de asemenea, persoanele care conduc efectiv </w:t>
      </w:r>
      <w:r w:rsidR="002417E8" w:rsidRPr="000508B6">
        <w:rPr>
          <w:rFonts w:ascii="Times New Roman" w:hAnsi="Times New Roman" w:cs="Times New Roman"/>
          <w:lang w:val="ro-MD"/>
        </w:rPr>
        <w:t xml:space="preserve">unul </w:t>
      </w:r>
      <w:r w:rsidRPr="000508B6">
        <w:rPr>
          <w:rFonts w:ascii="Times New Roman" w:hAnsi="Times New Roman" w:cs="Times New Roman"/>
          <w:lang w:val="ro-MD"/>
        </w:rPr>
        <w:t>sau mai</w:t>
      </w:r>
      <w:r w:rsidRPr="000508B6" w:rsidDel="002417E8">
        <w:rPr>
          <w:rFonts w:ascii="Times New Roman" w:hAnsi="Times New Roman" w:cs="Times New Roman"/>
          <w:lang w:val="ro-MD"/>
        </w:rPr>
        <w:t xml:space="preserve"> </w:t>
      </w:r>
      <w:r w:rsidR="002417E8" w:rsidRPr="000508B6">
        <w:rPr>
          <w:rFonts w:ascii="Times New Roman" w:hAnsi="Times New Roman" w:cs="Times New Roman"/>
          <w:lang w:val="ro-MD"/>
        </w:rPr>
        <w:t>mulți</w:t>
      </w:r>
      <w:r w:rsidRPr="000508B6">
        <w:rPr>
          <w:rFonts w:ascii="Times New Roman" w:hAnsi="Times New Roman" w:cs="Times New Roman"/>
          <w:lang w:val="ro-MD"/>
        </w:rPr>
        <w:t xml:space="preserve"> </w:t>
      </w:r>
      <w:r w:rsidR="002417E8" w:rsidRPr="000508B6">
        <w:rPr>
          <w:rFonts w:ascii="Times New Roman" w:hAnsi="Times New Roman" w:cs="Times New Roman"/>
          <w:lang w:val="ro-MD"/>
        </w:rPr>
        <w:t xml:space="preserve">asigurători sau </w:t>
      </w:r>
      <w:proofErr w:type="spellStart"/>
      <w:r w:rsidR="002417E8" w:rsidRPr="000508B6">
        <w:rPr>
          <w:rFonts w:ascii="Times New Roman" w:hAnsi="Times New Roman" w:cs="Times New Roman"/>
          <w:lang w:val="ro-MD"/>
        </w:rPr>
        <w:t>reasigurători</w:t>
      </w:r>
      <w:proofErr w:type="spellEnd"/>
      <w:r w:rsidR="002417E8" w:rsidRPr="000508B6">
        <w:rPr>
          <w:rFonts w:ascii="Times New Roman" w:hAnsi="Times New Roman" w:cs="Times New Roman"/>
          <w:lang w:val="ro-MD"/>
        </w:rPr>
        <w:t xml:space="preserve"> </w:t>
      </w:r>
      <w:r w:rsidRPr="000508B6">
        <w:rPr>
          <w:rFonts w:ascii="Times New Roman" w:hAnsi="Times New Roman" w:cs="Times New Roman"/>
          <w:lang w:val="ro-MD"/>
        </w:rPr>
        <w:t xml:space="preserve">sau </w:t>
      </w:r>
      <w:r w:rsidR="002417E8" w:rsidRPr="000508B6">
        <w:rPr>
          <w:rFonts w:ascii="Times New Roman" w:hAnsi="Times New Roman" w:cs="Times New Roman"/>
          <w:lang w:val="ro-MD"/>
        </w:rPr>
        <w:t xml:space="preserve">alți asigurători sau </w:t>
      </w:r>
      <w:proofErr w:type="spellStart"/>
      <w:r w:rsidR="002417E8" w:rsidRPr="000508B6">
        <w:rPr>
          <w:rFonts w:ascii="Times New Roman" w:hAnsi="Times New Roman" w:cs="Times New Roman"/>
          <w:lang w:val="ro-MD"/>
        </w:rPr>
        <w:t>reasigurători</w:t>
      </w:r>
      <w:proofErr w:type="spellEnd"/>
      <w:r w:rsidR="002417E8" w:rsidRPr="000508B6">
        <w:rPr>
          <w:rFonts w:ascii="Times New Roman" w:hAnsi="Times New Roman" w:cs="Times New Roman"/>
          <w:lang w:val="ro-MD"/>
        </w:rPr>
        <w:t xml:space="preserve"> afiliați </w:t>
      </w:r>
      <w:r w:rsidRPr="000508B6">
        <w:rPr>
          <w:rFonts w:ascii="Times New Roman" w:hAnsi="Times New Roman" w:cs="Times New Roman"/>
          <w:lang w:val="ro-MD"/>
        </w:rPr>
        <w:t xml:space="preserve">ori care dețin alte funcții-cheie în cadrul oricăreia dintre </w:t>
      </w:r>
      <w:r w:rsidR="002417E8" w:rsidRPr="000508B6">
        <w:rPr>
          <w:rFonts w:ascii="Times New Roman" w:hAnsi="Times New Roman" w:cs="Times New Roman"/>
          <w:lang w:val="ro-MD"/>
        </w:rPr>
        <w:t xml:space="preserve">acești asigurători sau </w:t>
      </w:r>
      <w:proofErr w:type="spellStart"/>
      <w:r w:rsidR="002417E8"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2417E8" w:rsidRPr="000508B6">
        <w:rPr>
          <w:rFonts w:ascii="Times New Roman" w:hAnsi="Times New Roman" w:cs="Times New Roman"/>
          <w:lang w:val="ro-MD"/>
        </w:rPr>
        <w:t xml:space="preserve">asigurătorul sau </w:t>
      </w:r>
      <w:proofErr w:type="spellStart"/>
      <w:r w:rsidR="002417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participativ se asigură că rolurile și responsabilitățile la nivel de grup sunt separate în mod clar de cele aplicabile la nivelul </w:t>
      </w:r>
      <w:r w:rsidR="002417E8" w:rsidRPr="000508B6">
        <w:rPr>
          <w:rFonts w:ascii="Times New Roman" w:hAnsi="Times New Roman" w:cs="Times New Roman"/>
          <w:lang w:val="ro-MD"/>
        </w:rPr>
        <w:t>fiecărui</w:t>
      </w:r>
      <w:r w:rsidRPr="000508B6" w:rsidDel="002417E8">
        <w:rPr>
          <w:rFonts w:ascii="Times New Roman" w:hAnsi="Times New Roman" w:cs="Times New Roman"/>
          <w:lang w:val="ro-MD"/>
        </w:rPr>
        <w:t xml:space="preserve"> </w:t>
      </w:r>
      <w:r w:rsidR="002417E8" w:rsidRPr="000508B6">
        <w:rPr>
          <w:rFonts w:ascii="Times New Roman" w:hAnsi="Times New Roman" w:cs="Times New Roman"/>
          <w:lang w:val="ro-MD"/>
        </w:rPr>
        <w:t xml:space="preserve">asigurător sau </w:t>
      </w:r>
      <w:proofErr w:type="spellStart"/>
      <w:r w:rsidR="002417E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în parte</w:t>
      </w:r>
      <w:r w:rsidR="000671A4" w:rsidRPr="000508B6">
        <w:rPr>
          <w:rFonts w:ascii="Times New Roman" w:hAnsi="Times New Roman" w:cs="Times New Roman"/>
          <w:lang w:val="ro-MD"/>
        </w:rPr>
        <w:t>.</w:t>
      </w:r>
      <w:r w:rsidR="00427441" w:rsidRPr="000508B6">
        <w:rPr>
          <w:rFonts w:ascii="Times New Roman" w:hAnsi="Times New Roman" w:cs="Times New Roman"/>
          <w:lang w:val="ro-MD"/>
        </w:rPr>
        <w:t xml:space="preserve"> </w:t>
      </w:r>
    </w:p>
    <w:p w14:paraId="177C0105" w14:textId="77777777" w:rsidR="00C346E6" w:rsidRPr="000508B6" w:rsidRDefault="00C346E6">
      <w:pPr>
        <w:tabs>
          <w:tab w:val="left" w:pos="851"/>
          <w:tab w:val="left" w:pos="993"/>
        </w:tabs>
        <w:spacing w:after="0" w:line="240" w:lineRule="auto"/>
        <w:jc w:val="both"/>
        <w:rPr>
          <w:rFonts w:ascii="Times New Roman" w:hAnsi="Times New Roman" w:cs="Times New Roman"/>
          <w:lang w:val="ro-MD"/>
        </w:rPr>
      </w:pPr>
    </w:p>
    <w:p w14:paraId="44B846DE" w14:textId="15881568" w:rsidR="00D72FA8" w:rsidRPr="000508B6" w:rsidRDefault="005115E5" w:rsidP="0069120B">
      <w:pPr>
        <w:tabs>
          <w:tab w:val="left" w:pos="426"/>
          <w:tab w:val="left" w:pos="567"/>
        </w:tabs>
        <w:spacing w:after="0" w:line="240" w:lineRule="auto"/>
        <w:jc w:val="both"/>
        <w:rPr>
          <w:rFonts w:ascii="Times New Roman" w:hAnsi="Times New Roman" w:cs="Times New Roman"/>
          <w:lang w:val="ro-MD"/>
        </w:rPr>
      </w:pPr>
      <w:r w:rsidRPr="000508B6">
        <w:rPr>
          <w:rFonts w:ascii="Times New Roman" w:hAnsi="Times New Roman" w:cs="Times New Roman"/>
          <w:lang w:val="ro-MD"/>
        </w:rPr>
        <w:tab/>
      </w:r>
      <w:r w:rsidR="00D72FA8"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147</w:t>
      </w:r>
      <w:r w:rsidR="00AF5CBD" w:rsidRPr="000508B6">
        <w:rPr>
          <w:rFonts w:ascii="Times New Roman" w:hAnsi="Times New Roman" w:cs="Times New Roman"/>
          <w:lang w:val="ro-MD"/>
        </w:rPr>
        <w:t>.</w:t>
      </w:r>
      <w:r w:rsidR="00D72FA8" w:rsidRPr="000508B6">
        <w:rPr>
          <w:rFonts w:ascii="Times New Roman" w:hAnsi="Times New Roman" w:cs="Times New Roman"/>
          <w:lang w:val="ro-MD"/>
        </w:rPr>
        <w:t xml:space="preserve">   </w:t>
      </w:r>
      <w:r w:rsidR="00DB11C6" w:rsidRPr="000508B6">
        <w:rPr>
          <w:rFonts w:ascii="Times New Roman" w:hAnsi="Times New Roman" w:cs="Times New Roman"/>
          <w:lang w:val="ro-MD"/>
        </w:rPr>
        <w:t xml:space="preserve">Norme </w:t>
      </w:r>
      <w:proofErr w:type="spellStart"/>
      <w:r w:rsidR="00DB11C6" w:rsidRPr="000508B6">
        <w:rPr>
          <w:rFonts w:ascii="Times New Roman" w:hAnsi="Times New Roman" w:cs="Times New Roman"/>
          <w:lang w:val="ro-MD"/>
        </w:rPr>
        <w:t>macroprudențiale</w:t>
      </w:r>
      <w:proofErr w:type="spellEnd"/>
      <w:r w:rsidR="00DB11C6" w:rsidRPr="000508B6">
        <w:rPr>
          <w:rFonts w:ascii="Times New Roman" w:hAnsi="Times New Roman" w:cs="Times New Roman"/>
          <w:lang w:val="ro-MD"/>
        </w:rPr>
        <w:t xml:space="preserve"> la nivel de grup.</w:t>
      </w:r>
      <w:r w:rsidR="00D72FA8" w:rsidRPr="000508B6">
        <w:rPr>
          <w:rFonts w:ascii="Times New Roman" w:hAnsi="Times New Roman" w:cs="Times New Roman"/>
          <w:lang w:val="ro-MD"/>
        </w:rPr>
        <w:t xml:space="preserve"> Managementul riscului de lichiditate la nivel de grup</w:t>
      </w:r>
      <w:r w:rsidR="005E72BA" w:rsidRPr="000508B6">
        <w:rPr>
          <w:rFonts w:ascii="Times New Roman" w:hAnsi="Times New Roman" w:cs="Times New Roman"/>
          <w:lang w:val="ro-MD"/>
        </w:rPr>
        <w:t xml:space="preserve"> </w:t>
      </w:r>
    </w:p>
    <w:p w14:paraId="374A390E" w14:textId="78895DEE" w:rsidR="005333FA" w:rsidRPr="000508B6" w:rsidRDefault="00AF1A65" w:rsidP="005166FF">
      <w:pPr>
        <w:tabs>
          <w:tab w:val="left" w:pos="567"/>
          <w:tab w:val="left" w:pos="709"/>
          <w:tab w:val="left" w:pos="851"/>
          <w:tab w:val="left" w:pos="993"/>
          <w:tab w:val="left" w:pos="1276"/>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         </w:t>
      </w:r>
      <w:r w:rsidR="005333FA" w:rsidRPr="000508B6">
        <w:rPr>
          <w:rFonts w:ascii="Times New Roman" w:hAnsi="Times New Roman" w:cs="Times New Roman"/>
          <w:lang w:val="ro-MD"/>
        </w:rPr>
        <w:t xml:space="preserve">(1) </w:t>
      </w:r>
      <w:r w:rsidR="005333FA" w:rsidRPr="000508B6" w:rsidDel="001F3F47">
        <w:rPr>
          <w:rFonts w:ascii="Times New Roman" w:hAnsi="Times New Roman" w:cs="Times New Roman"/>
          <w:lang w:val="ro-MD"/>
        </w:rPr>
        <w:t xml:space="preserve"> </w:t>
      </w:r>
      <w:r w:rsidR="002417E8" w:rsidRPr="000508B6">
        <w:rPr>
          <w:rFonts w:ascii="Times New Roman" w:hAnsi="Times New Roman" w:cs="Times New Roman"/>
          <w:lang w:val="ro-MD"/>
        </w:rPr>
        <w:t xml:space="preserve">Asigurătorul sau </w:t>
      </w:r>
      <w:proofErr w:type="spellStart"/>
      <w:r w:rsidR="002417E8"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5333FA" w:rsidRPr="000508B6">
        <w:rPr>
          <w:rFonts w:ascii="Times New Roman" w:hAnsi="Times New Roman" w:cs="Times New Roman"/>
          <w:lang w:val="ro-MD"/>
        </w:rPr>
        <w:t>participativ, holdingu</w:t>
      </w:r>
      <w:r w:rsidR="00794628" w:rsidRPr="000508B6">
        <w:rPr>
          <w:rFonts w:ascii="Times New Roman" w:hAnsi="Times New Roman" w:cs="Times New Roman"/>
          <w:lang w:val="ro-MD"/>
        </w:rPr>
        <w:t>l</w:t>
      </w:r>
      <w:r w:rsidR="005333FA" w:rsidRPr="000508B6">
        <w:rPr>
          <w:rFonts w:ascii="Times New Roman" w:hAnsi="Times New Roman" w:cs="Times New Roman"/>
          <w:lang w:val="ro-MD"/>
        </w:rPr>
        <w:t xml:space="preserve"> de asigurare și holdingu</w:t>
      </w:r>
      <w:r w:rsidR="00794628" w:rsidRPr="000508B6">
        <w:rPr>
          <w:rFonts w:ascii="Times New Roman" w:hAnsi="Times New Roman" w:cs="Times New Roman"/>
          <w:lang w:val="ro-MD"/>
        </w:rPr>
        <w:t>l</w:t>
      </w:r>
      <w:r w:rsidR="005333FA" w:rsidRPr="000508B6">
        <w:rPr>
          <w:rFonts w:ascii="Times New Roman" w:hAnsi="Times New Roman" w:cs="Times New Roman"/>
          <w:lang w:val="ro-MD"/>
        </w:rPr>
        <w:t xml:space="preserve"> financiar mixt </w:t>
      </w:r>
      <w:r w:rsidR="00794628" w:rsidRPr="000508B6">
        <w:rPr>
          <w:rFonts w:ascii="Times New Roman" w:hAnsi="Times New Roman" w:cs="Times New Roman"/>
          <w:lang w:val="ro-MD"/>
        </w:rPr>
        <w:t>întocmește</w:t>
      </w:r>
      <w:r w:rsidR="005333FA" w:rsidRPr="000508B6">
        <w:rPr>
          <w:rFonts w:ascii="Times New Roman" w:hAnsi="Times New Roman" w:cs="Times New Roman"/>
          <w:lang w:val="ro-MD"/>
        </w:rPr>
        <w:t xml:space="preserve"> și </w:t>
      </w:r>
      <w:r w:rsidR="00133129" w:rsidRPr="000508B6">
        <w:rPr>
          <w:rFonts w:ascii="Times New Roman" w:hAnsi="Times New Roman" w:cs="Times New Roman"/>
          <w:lang w:val="ro-MD"/>
        </w:rPr>
        <w:t>actualizează</w:t>
      </w:r>
      <w:r w:rsidR="005333FA" w:rsidRPr="000508B6">
        <w:rPr>
          <w:rFonts w:ascii="Times New Roman" w:hAnsi="Times New Roman" w:cs="Times New Roman"/>
          <w:lang w:val="ro-MD"/>
        </w:rPr>
        <w:t xml:space="preserve"> un plan de management al riscului de lichiditate la nivel de grup care să acopere analiza lichidității pe termen scurt și, la solicitarea </w:t>
      </w:r>
      <w:r w:rsidR="00427441" w:rsidRPr="000508B6">
        <w:rPr>
          <w:rFonts w:ascii="Times New Roman" w:hAnsi="Times New Roman" w:cs="Times New Roman"/>
          <w:lang w:val="ro-MD"/>
        </w:rPr>
        <w:t>Băncii Naționale a Moldovei</w:t>
      </w:r>
      <w:r w:rsidR="005333FA" w:rsidRPr="000508B6">
        <w:rPr>
          <w:rFonts w:ascii="Times New Roman" w:hAnsi="Times New Roman" w:cs="Times New Roman"/>
          <w:lang w:val="ro-MD"/>
        </w:rPr>
        <w:t xml:space="preserve">, să acopere și analiza lichidității pe termen mediu și lung. </w:t>
      </w:r>
      <w:r w:rsidR="00CC0C7B" w:rsidRPr="000508B6">
        <w:rPr>
          <w:rFonts w:ascii="Times New Roman" w:hAnsi="Times New Roman" w:cs="Times New Roman"/>
          <w:lang w:val="ro-MD"/>
        </w:rPr>
        <w:t>Prevederile a</w:t>
      </w:r>
      <w:r w:rsidR="005333FA" w:rsidRPr="000508B6">
        <w:rPr>
          <w:rFonts w:ascii="Times New Roman" w:hAnsi="Times New Roman" w:cs="Times New Roman"/>
          <w:lang w:val="ro-MD"/>
        </w:rPr>
        <w:t>rt</w:t>
      </w:r>
      <w:r w:rsidR="00E51CF0" w:rsidRPr="000508B6">
        <w:rPr>
          <w:rFonts w:ascii="Times New Roman" w:hAnsi="Times New Roman" w:cs="Times New Roman"/>
          <w:lang w:val="ro-MD"/>
        </w:rPr>
        <w:t>.</w:t>
      </w:r>
      <w:r w:rsidR="005333FA" w:rsidRPr="000508B6">
        <w:rPr>
          <w:rFonts w:ascii="Times New Roman" w:hAnsi="Times New Roman" w:cs="Times New Roman"/>
          <w:lang w:val="ro-MD"/>
        </w:rPr>
        <w:t xml:space="preserve"> </w:t>
      </w:r>
      <w:r w:rsidR="00022EC4" w:rsidRPr="000508B6">
        <w:rPr>
          <w:rFonts w:ascii="Times New Roman" w:hAnsi="Times New Roman" w:cs="Times New Roman"/>
          <w:lang w:val="ro-MD"/>
        </w:rPr>
        <w:t>25</w:t>
      </w:r>
      <w:r w:rsidR="00027FD4" w:rsidRPr="000508B6">
        <w:rPr>
          <w:rFonts w:ascii="Times New Roman" w:hAnsi="Times New Roman" w:cs="Times New Roman"/>
          <w:lang w:val="ro-MD"/>
        </w:rPr>
        <w:t xml:space="preserve"> </w:t>
      </w:r>
      <w:r w:rsidR="005333FA" w:rsidRPr="000508B6">
        <w:rPr>
          <w:rFonts w:ascii="Times New Roman" w:hAnsi="Times New Roman" w:cs="Times New Roman"/>
          <w:lang w:val="ro-MD"/>
        </w:rPr>
        <w:t xml:space="preserve">se aplică </w:t>
      </w:r>
      <w:r w:rsidR="00E51CF0" w:rsidRPr="000508B6">
        <w:rPr>
          <w:rFonts w:ascii="Times New Roman" w:hAnsi="Times New Roman" w:cs="Times New Roman"/>
          <w:lang w:val="ro-MD"/>
        </w:rPr>
        <w:t>în mod corespunzător</w:t>
      </w:r>
      <w:r w:rsidR="005333FA" w:rsidRPr="000508B6">
        <w:rPr>
          <w:rFonts w:ascii="Times New Roman" w:hAnsi="Times New Roman" w:cs="Times New Roman"/>
          <w:lang w:val="ro-MD"/>
        </w:rPr>
        <w:t>.</w:t>
      </w:r>
    </w:p>
    <w:p w14:paraId="0F1C5C9D" w14:textId="4FCDEEE6" w:rsidR="005333FA" w:rsidRPr="000508B6" w:rsidRDefault="00AF1A65" w:rsidP="005166FF">
      <w:pPr>
        <w:tabs>
          <w:tab w:val="left" w:pos="567"/>
          <w:tab w:val="left" w:pos="709"/>
          <w:tab w:val="left" w:pos="851"/>
          <w:tab w:val="left" w:pos="993"/>
          <w:tab w:val="left" w:pos="1276"/>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        </w:t>
      </w:r>
      <w:r w:rsidR="005333FA" w:rsidRPr="000508B6">
        <w:rPr>
          <w:rFonts w:ascii="Times New Roman" w:hAnsi="Times New Roman" w:cs="Times New Roman"/>
          <w:lang w:val="ro-MD"/>
        </w:rPr>
        <w:t>(2)   Prin derogare de la art</w:t>
      </w:r>
      <w:r w:rsidR="00E51CF0" w:rsidRPr="000508B6">
        <w:rPr>
          <w:rFonts w:ascii="Times New Roman" w:hAnsi="Times New Roman" w:cs="Times New Roman"/>
          <w:lang w:val="ro-MD"/>
        </w:rPr>
        <w:t>.</w:t>
      </w:r>
      <w:r w:rsidR="005333FA" w:rsidRPr="000508B6">
        <w:rPr>
          <w:rFonts w:ascii="Times New Roman" w:hAnsi="Times New Roman" w:cs="Times New Roman"/>
          <w:lang w:val="ro-MD"/>
        </w:rPr>
        <w:t xml:space="preserve"> </w:t>
      </w:r>
      <w:r w:rsidR="00022EC4" w:rsidRPr="000508B6">
        <w:rPr>
          <w:rFonts w:ascii="Times New Roman" w:hAnsi="Times New Roman" w:cs="Times New Roman"/>
          <w:lang w:val="ro-MD"/>
        </w:rPr>
        <w:t>25</w:t>
      </w:r>
      <w:r w:rsidR="00C712B2" w:rsidRPr="000508B6">
        <w:rPr>
          <w:rFonts w:ascii="Times New Roman" w:hAnsi="Times New Roman" w:cs="Times New Roman"/>
          <w:lang w:val="ro-MD"/>
        </w:rPr>
        <w:t xml:space="preserve"> alin. (5) și art. 26</w:t>
      </w:r>
      <w:r w:rsidR="005333FA" w:rsidRPr="000508B6">
        <w:rPr>
          <w:rFonts w:ascii="Times New Roman" w:hAnsi="Times New Roman" w:cs="Times New Roman"/>
          <w:lang w:val="ro-MD"/>
        </w:rPr>
        <w:t>, filialele incluse în domeniul de aplicare al supravegherii la nivel de grup în conformitate cu art</w:t>
      </w:r>
      <w:r w:rsidR="00E51CF0" w:rsidRPr="000508B6">
        <w:rPr>
          <w:rFonts w:ascii="Times New Roman" w:hAnsi="Times New Roman" w:cs="Times New Roman"/>
          <w:lang w:val="ro-MD"/>
        </w:rPr>
        <w:t>.</w:t>
      </w:r>
      <w:r w:rsidR="005333FA" w:rsidRPr="000508B6">
        <w:rPr>
          <w:rFonts w:ascii="Times New Roman" w:hAnsi="Times New Roman" w:cs="Times New Roman"/>
          <w:lang w:val="ro-MD"/>
        </w:rPr>
        <w:t xml:space="preserve"> </w:t>
      </w:r>
      <w:r w:rsidR="00E51CF0" w:rsidRPr="000508B6">
        <w:rPr>
          <w:rFonts w:ascii="Times New Roman" w:hAnsi="Times New Roman" w:cs="Times New Roman"/>
          <w:lang w:val="ro-MD"/>
        </w:rPr>
        <w:t>116</w:t>
      </w:r>
      <w:r w:rsidR="005333FA" w:rsidRPr="000508B6">
        <w:rPr>
          <w:rFonts w:ascii="Times New Roman" w:hAnsi="Times New Roman" w:cs="Times New Roman"/>
          <w:lang w:val="ro-MD"/>
        </w:rPr>
        <w:t xml:space="preserve"> alin</w:t>
      </w:r>
      <w:r w:rsidR="00E51CF0" w:rsidRPr="000508B6">
        <w:rPr>
          <w:rFonts w:ascii="Times New Roman" w:hAnsi="Times New Roman" w:cs="Times New Roman"/>
          <w:lang w:val="ro-MD"/>
        </w:rPr>
        <w:t>.</w:t>
      </w:r>
      <w:r w:rsidR="005333FA" w:rsidRPr="000508B6">
        <w:rPr>
          <w:rFonts w:ascii="Times New Roman" w:hAnsi="Times New Roman" w:cs="Times New Roman"/>
          <w:lang w:val="ro-MD"/>
        </w:rPr>
        <w:t xml:space="preserve"> (</w:t>
      </w:r>
      <w:r w:rsidR="002E7DB6" w:rsidRPr="000508B6">
        <w:rPr>
          <w:rFonts w:ascii="Times New Roman" w:hAnsi="Times New Roman" w:cs="Times New Roman"/>
          <w:lang w:val="ro-MD"/>
        </w:rPr>
        <w:t>3</w:t>
      </w:r>
      <w:r w:rsidR="005333FA" w:rsidRPr="000508B6">
        <w:rPr>
          <w:rFonts w:ascii="Times New Roman" w:hAnsi="Times New Roman" w:cs="Times New Roman"/>
          <w:lang w:val="ro-MD"/>
        </w:rPr>
        <w:t>) lit</w:t>
      </w:r>
      <w:r w:rsidR="00E51CF0" w:rsidRPr="000508B6">
        <w:rPr>
          <w:rFonts w:ascii="Times New Roman" w:hAnsi="Times New Roman" w:cs="Times New Roman"/>
          <w:lang w:val="ro-MD"/>
        </w:rPr>
        <w:t>.</w:t>
      </w:r>
      <w:r w:rsidR="005333FA" w:rsidRPr="000508B6">
        <w:rPr>
          <w:rFonts w:ascii="Times New Roman" w:hAnsi="Times New Roman" w:cs="Times New Roman"/>
          <w:lang w:val="ro-MD"/>
        </w:rPr>
        <w:t xml:space="preserve"> a) și b) sunt exonerate de obligația de întocmire și actualizare a unui plan de management al riscului de lichiditate la nivel individual ori de câte ori planul de management al riscului de lichiditate prevăzut la alin</w:t>
      </w:r>
      <w:r w:rsidR="00133129" w:rsidRPr="000508B6">
        <w:rPr>
          <w:rFonts w:ascii="Times New Roman" w:hAnsi="Times New Roman" w:cs="Times New Roman"/>
          <w:lang w:val="ro-MD"/>
        </w:rPr>
        <w:t xml:space="preserve">. </w:t>
      </w:r>
      <w:r w:rsidR="005333FA" w:rsidRPr="000508B6">
        <w:rPr>
          <w:rFonts w:ascii="Times New Roman" w:hAnsi="Times New Roman" w:cs="Times New Roman"/>
          <w:lang w:val="ro-MD"/>
        </w:rPr>
        <w:t>(1) acoperă managementul lichidității și necesitățile de lichiditate pentru filialele în cauză.</w:t>
      </w:r>
      <w:r w:rsidR="00133129" w:rsidRPr="000508B6">
        <w:rPr>
          <w:rFonts w:ascii="Times New Roman" w:hAnsi="Times New Roman" w:cs="Times New Roman"/>
          <w:lang w:val="ro-MD"/>
        </w:rPr>
        <w:t xml:space="preserve"> </w:t>
      </w:r>
      <w:r w:rsidR="002417E8" w:rsidRPr="000508B6">
        <w:rPr>
          <w:rFonts w:ascii="Times New Roman" w:hAnsi="Times New Roman" w:cs="Times New Roman"/>
          <w:lang w:val="ro-MD"/>
        </w:rPr>
        <w:t xml:space="preserve">Asigurătorul sau </w:t>
      </w:r>
      <w:proofErr w:type="spellStart"/>
      <w:r w:rsidR="002417E8" w:rsidRPr="000508B6">
        <w:rPr>
          <w:rFonts w:ascii="Times New Roman" w:hAnsi="Times New Roman" w:cs="Times New Roman"/>
          <w:lang w:val="ro-MD"/>
        </w:rPr>
        <w:t>reasigurătorul</w:t>
      </w:r>
      <w:proofErr w:type="spellEnd"/>
      <w:r w:rsidR="005333FA" w:rsidRPr="000508B6">
        <w:rPr>
          <w:rFonts w:ascii="Times New Roman" w:hAnsi="Times New Roman" w:cs="Times New Roman"/>
          <w:lang w:val="ro-MD"/>
        </w:rPr>
        <w:t xml:space="preserve"> care beneficiază de exonerare prezint</w:t>
      </w:r>
      <w:r w:rsidR="007A443F" w:rsidRPr="000508B6">
        <w:rPr>
          <w:rFonts w:ascii="Times New Roman" w:hAnsi="Times New Roman" w:cs="Times New Roman"/>
          <w:lang w:val="ro-MD"/>
        </w:rPr>
        <w:t>ă</w:t>
      </w:r>
      <w:r w:rsidR="005333FA" w:rsidRPr="000508B6">
        <w:rPr>
          <w:rFonts w:ascii="Times New Roman" w:hAnsi="Times New Roman" w:cs="Times New Roman"/>
          <w:lang w:val="ro-MD"/>
        </w:rPr>
        <w:t xml:space="preserve"> </w:t>
      </w:r>
      <w:r w:rsidR="00133129" w:rsidRPr="000508B6">
        <w:rPr>
          <w:rFonts w:ascii="Times New Roman" w:hAnsi="Times New Roman" w:cs="Times New Roman"/>
          <w:lang w:val="ro-MD"/>
        </w:rPr>
        <w:t>Băncii Naționale a Moldovei</w:t>
      </w:r>
      <w:r w:rsidR="005333FA" w:rsidRPr="000508B6">
        <w:rPr>
          <w:rFonts w:ascii="Times New Roman" w:hAnsi="Times New Roman" w:cs="Times New Roman"/>
          <w:lang w:val="ro-MD"/>
        </w:rPr>
        <w:t xml:space="preserve"> secțiunile din planul de management al riscului de lichiditate care acoperă situația întregului grup și situația proprie.</w:t>
      </w:r>
    </w:p>
    <w:p w14:paraId="263836F6" w14:textId="4C20AB02" w:rsidR="005333FA" w:rsidRPr="000508B6" w:rsidRDefault="0023173E" w:rsidP="0004006F">
      <w:pPr>
        <w:tabs>
          <w:tab w:val="left" w:pos="851"/>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lastRenderedPageBreak/>
        <w:t xml:space="preserve">        </w:t>
      </w:r>
      <w:r w:rsidR="0004006F" w:rsidRPr="000508B6">
        <w:rPr>
          <w:rFonts w:ascii="Times New Roman" w:hAnsi="Times New Roman" w:cs="Times New Roman"/>
          <w:lang w:val="ro-MD"/>
        </w:rPr>
        <w:t>(3)</w:t>
      </w:r>
      <w:r w:rsidRPr="000508B6">
        <w:rPr>
          <w:rFonts w:ascii="Times New Roman" w:hAnsi="Times New Roman" w:cs="Times New Roman"/>
          <w:lang w:val="ro-MD"/>
        </w:rPr>
        <w:t xml:space="preserve"> </w:t>
      </w:r>
      <w:r w:rsidR="005333FA" w:rsidRPr="000508B6">
        <w:rPr>
          <w:rFonts w:ascii="Times New Roman" w:hAnsi="Times New Roman" w:cs="Times New Roman"/>
          <w:lang w:val="ro-MD"/>
        </w:rPr>
        <w:t xml:space="preserve">Prin derogare de la alin. (2), Banca Națională a Moldovei poate impune unei filiale să întocmească și să actualizeze un plan de management al riscului de lichiditate la nivel individual de fiecare dată când constată o anumită vulnerabilitate în materie de lichiditate sau când planul de </w:t>
      </w:r>
      <w:r w:rsidR="00926824" w:rsidRPr="000508B6">
        <w:rPr>
          <w:rFonts w:ascii="Times New Roman" w:hAnsi="Times New Roman" w:cs="Times New Roman"/>
          <w:lang w:val="ro-MD"/>
        </w:rPr>
        <w:t xml:space="preserve">management </w:t>
      </w:r>
      <w:r w:rsidR="005333FA" w:rsidRPr="000508B6">
        <w:rPr>
          <w:rFonts w:ascii="Times New Roman" w:hAnsi="Times New Roman" w:cs="Times New Roman"/>
          <w:lang w:val="ro-MD"/>
        </w:rPr>
        <w:t xml:space="preserve">a lichidității la nivel de grup nu include informații adecvate </w:t>
      </w:r>
      <w:r w:rsidR="00DC27EA" w:rsidRPr="000508B6">
        <w:rPr>
          <w:rFonts w:ascii="Times New Roman" w:hAnsi="Times New Roman" w:cs="Times New Roman"/>
          <w:lang w:val="ro-MD"/>
        </w:rPr>
        <w:t xml:space="preserve">solicitate de </w:t>
      </w:r>
      <w:r w:rsidR="000D48CE" w:rsidRPr="000508B6">
        <w:rPr>
          <w:rFonts w:ascii="Times New Roman" w:hAnsi="Times New Roman" w:cs="Times New Roman"/>
          <w:lang w:val="ro-MD"/>
        </w:rPr>
        <w:t xml:space="preserve">la </w:t>
      </w:r>
      <w:r w:rsidR="002E6616" w:rsidRPr="000508B6">
        <w:rPr>
          <w:rFonts w:ascii="Times New Roman" w:hAnsi="Times New Roman" w:cs="Times New Roman"/>
          <w:lang w:val="ro-MD"/>
        </w:rPr>
        <w:t xml:space="preserve">asigurătorul sau </w:t>
      </w:r>
      <w:proofErr w:type="spellStart"/>
      <w:r w:rsidR="002E6616" w:rsidRPr="000508B6">
        <w:rPr>
          <w:rFonts w:ascii="Times New Roman" w:hAnsi="Times New Roman" w:cs="Times New Roman"/>
          <w:lang w:val="ro-MD"/>
        </w:rPr>
        <w:t>reasigurătorul</w:t>
      </w:r>
      <w:proofErr w:type="spellEnd"/>
      <w:r w:rsidR="002E6616" w:rsidRPr="000508B6">
        <w:rPr>
          <w:rFonts w:ascii="Times New Roman" w:hAnsi="Times New Roman" w:cs="Times New Roman"/>
          <w:lang w:val="ro-MD"/>
        </w:rPr>
        <w:t xml:space="preserve"> </w:t>
      </w:r>
      <w:r w:rsidR="00DC27EA" w:rsidRPr="000508B6">
        <w:rPr>
          <w:rFonts w:ascii="Times New Roman" w:hAnsi="Times New Roman" w:cs="Times New Roman"/>
          <w:lang w:val="ro-MD"/>
        </w:rPr>
        <w:t>comparabil</w:t>
      </w:r>
      <w:r w:rsidR="005333FA" w:rsidRPr="000508B6">
        <w:rPr>
          <w:rFonts w:ascii="Times New Roman" w:hAnsi="Times New Roman" w:cs="Times New Roman"/>
          <w:lang w:val="ro-MD"/>
        </w:rPr>
        <w:t xml:space="preserve"> în scopul monitorizării poziției lichidității</w:t>
      </w:r>
      <w:r w:rsidR="00A113C7" w:rsidRPr="000508B6">
        <w:rPr>
          <w:rFonts w:ascii="Times New Roman" w:hAnsi="Times New Roman" w:cs="Times New Roman"/>
          <w:lang w:val="ro-MD"/>
        </w:rPr>
        <w:t xml:space="preserve"> ei</w:t>
      </w:r>
      <w:r w:rsidR="005333FA" w:rsidRPr="000508B6">
        <w:rPr>
          <w:rFonts w:ascii="Times New Roman" w:hAnsi="Times New Roman" w:cs="Times New Roman"/>
          <w:lang w:val="ro-MD"/>
        </w:rPr>
        <w:t>.</w:t>
      </w:r>
    </w:p>
    <w:p w14:paraId="026D3601" w14:textId="608BED3A" w:rsidR="00F95829" w:rsidRPr="000508B6" w:rsidRDefault="0023173E" w:rsidP="0004006F">
      <w:pPr>
        <w:tabs>
          <w:tab w:val="left" w:pos="851"/>
          <w:tab w:val="left" w:pos="993"/>
        </w:tabs>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        </w:t>
      </w:r>
      <w:r w:rsidR="0004006F" w:rsidRPr="000508B6">
        <w:rPr>
          <w:rFonts w:ascii="Times New Roman" w:hAnsi="Times New Roman" w:cs="Times New Roman"/>
          <w:lang w:val="ro-MD"/>
        </w:rPr>
        <w:t>(4)</w:t>
      </w:r>
      <w:r w:rsidRPr="000508B6">
        <w:rPr>
          <w:rFonts w:ascii="Times New Roman" w:hAnsi="Times New Roman" w:cs="Times New Roman"/>
          <w:lang w:val="ro-MD"/>
        </w:rPr>
        <w:t xml:space="preserve"> </w:t>
      </w:r>
      <w:r w:rsidR="006C77A3" w:rsidRPr="000508B6">
        <w:rPr>
          <w:rFonts w:ascii="Times New Roman" w:hAnsi="Times New Roman" w:cs="Times New Roman"/>
          <w:lang w:val="ro-MD"/>
        </w:rPr>
        <w:t>Prevederile a</w:t>
      </w:r>
      <w:r w:rsidR="005333FA" w:rsidRPr="000508B6">
        <w:rPr>
          <w:rFonts w:ascii="Times New Roman" w:hAnsi="Times New Roman" w:cs="Times New Roman"/>
          <w:lang w:val="ro-MD"/>
        </w:rPr>
        <w:t>rt</w:t>
      </w:r>
      <w:r w:rsidR="00183FC3" w:rsidRPr="000508B6">
        <w:rPr>
          <w:rFonts w:ascii="Times New Roman" w:hAnsi="Times New Roman" w:cs="Times New Roman"/>
          <w:lang w:val="ro-MD"/>
        </w:rPr>
        <w:t>.</w:t>
      </w:r>
      <w:r w:rsidR="005333FA" w:rsidRPr="000508B6">
        <w:rPr>
          <w:rFonts w:ascii="Times New Roman" w:hAnsi="Times New Roman" w:cs="Times New Roman"/>
          <w:lang w:val="ro-MD"/>
        </w:rPr>
        <w:t xml:space="preserve"> </w:t>
      </w:r>
      <w:r w:rsidR="008B3E38" w:rsidRPr="000508B6">
        <w:rPr>
          <w:rFonts w:ascii="Times New Roman" w:hAnsi="Times New Roman" w:cs="Times New Roman"/>
          <w:lang w:val="ro-MD"/>
        </w:rPr>
        <w:t>181</w:t>
      </w:r>
      <w:r w:rsidR="00027FD4" w:rsidRPr="000508B6">
        <w:rPr>
          <w:rFonts w:ascii="Times New Roman" w:hAnsi="Times New Roman" w:cs="Times New Roman"/>
          <w:lang w:val="ro-MD"/>
        </w:rPr>
        <w:t xml:space="preserve"> </w:t>
      </w:r>
      <w:r w:rsidR="005333FA" w:rsidRPr="000508B6">
        <w:rPr>
          <w:rFonts w:ascii="Times New Roman" w:hAnsi="Times New Roman" w:cs="Times New Roman"/>
          <w:lang w:val="ro-MD"/>
        </w:rPr>
        <w:t xml:space="preserve">și </w:t>
      </w:r>
      <w:r w:rsidR="008B3E38" w:rsidRPr="000508B6">
        <w:rPr>
          <w:rFonts w:ascii="Times New Roman" w:hAnsi="Times New Roman" w:cs="Times New Roman"/>
          <w:lang w:val="ro-MD"/>
        </w:rPr>
        <w:t>182</w:t>
      </w:r>
      <w:r w:rsidR="00027FD4" w:rsidRPr="000508B6">
        <w:rPr>
          <w:rFonts w:ascii="Times New Roman" w:hAnsi="Times New Roman" w:cs="Times New Roman"/>
          <w:lang w:val="ro-MD"/>
        </w:rPr>
        <w:t xml:space="preserve"> </w:t>
      </w:r>
      <w:r w:rsidR="005333FA" w:rsidRPr="000508B6">
        <w:rPr>
          <w:rFonts w:ascii="Times New Roman" w:hAnsi="Times New Roman" w:cs="Times New Roman"/>
          <w:lang w:val="ro-MD"/>
        </w:rPr>
        <w:t xml:space="preserve">se aplică </w:t>
      </w:r>
      <w:r w:rsidR="00E51CF0" w:rsidRPr="000508B6">
        <w:rPr>
          <w:rFonts w:ascii="Times New Roman" w:hAnsi="Times New Roman" w:cs="Times New Roman"/>
          <w:lang w:val="ro-MD"/>
        </w:rPr>
        <w:t>în mod corespunzător</w:t>
      </w:r>
      <w:r w:rsidR="005333FA" w:rsidRPr="000508B6">
        <w:rPr>
          <w:rFonts w:ascii="Times New Roman" w:hAnsi="Times New Roman" w:cs="Times New Roman"/>
          <w:lang w:val="ro-MD"/>
        </w:rPr>
        <w:t xml:space="preserve"> la nivelul </w:t>
      </w:r>
      <w:r w:rsidR="002E6616" w:rsidRPr="000508B6">
        <w:rPr>
          <w:rFonts w:ascii="Times New Roman" w:hAnsi="Times New Roman" w:cs="Times New Roman"/>
          <w:lang w:val="ro-MD"/>
        </w:rPr>
        <w:t xml:space="preserve">asigurătorului sau </w:t>
      </w:r>
      <w:proofErr w:type="spellStart"/>
      <w:r w:rsidR="002E6616" w:rsidRPr="000508B6">
        <w:rPr>
          <w:rFonts w:ascii="Times New Roman" w:hAnsi="Times New Roman" w:cs="Times New Roman"/>
          <w:lang w:val="ro-MD"/>
        </w:rPr>
        <w:t>reasigurătorului</w:t>
      </w:r>
      <w:proofErr w:type="spellEnd"/>
      <w:r w:rsidR="009D5914" w:rsidRPr="000508B6">
        <w:rPr>
          <w:rFonts w:ascii="Times New Roman" w:hAnsi="Times New Roman" w:cs="Times New Roman"/>
          <w:lang w:val="ro-MD"/>
        </w:rPr>
        <w:t xml:space="preserve"> </w:t>
      </w:r>
      <w:r w:rsidR="005333FA" w:rsidRPr="000508B6">
        <w:rPr>
          <w:rFonts w:ascii="Times New Roman" w:hAnsi="Times New Roman" w:cs="Times New Roman"/>
          <w:lang w:val="ro-MD"/>
        </w:rPr>
        <w:t>participativ, al holdingului de asigurare sau al holdingului financiar mixt</w:t>
      </w:r>
      <w:r w:rsidR="005E118D" w:rsidRPr="000508B6">
        <w:rPr>
          <w:rFonts w:ascii="Times New Roman" w:hAnsi="Times New Roman" w:cs="Times New Roman"/>
          <w:lang w:val="ro-MD"/>
        </w:rPr>
        <w:t>.</w:t>
      </w:r>
      <w:r w:rsidR="00686930" w:rsidRPr="000508B6">
        <w:rPr>
          <w:rFonts w:ascii="Times New Roman" w:hAnsi="Times New Roman" w:cs="Times New Roman"/>
          <w:lang w:val="ro-MD"/>
        </w:rPr>
        <w:t xml:space="preserve"> </w:t>
      </w:r>
    </w:p>
    <w:p w14:paraId="14016B8F" w14:textId="77777777" w:rsidR="00696D73" w:rsidRPr="000508B6" w:rsidRDefault="00696D73" w:rsidP="008B530F">
      <w:pPr>
        <w:spacing w:after="0" w:line="240" w:lineRule="auto"/>
        <w:ind w:firstLine="426"/>
        <w:jc w:val="center"/>
        <w:rPr>
          <w:rFonts w:ascii="Times New Roman" w:hAnsi="Times New Roman" w:cs="Times New Roman"/>
          <w:b/>
          <w:lang w:val="ro-MD"/>
        </w:rPr>
      </w:pPr>
    </w:p>
    <w:p w14:paraId="32BD74C5" w14:textId="77777777"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Secțiunea a 4-a</w:t>
      </w:r>
    </w:p>
    <w:p w14:paraId="29356A15" w14:textId="254A44DF" w:rsidR="00F95829" w:rsidRPr="000508B6" w:rsidRDefault="00F95829" w:rsidP="008B530F">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Raportul </w:t>
      </w:r>
      <w:r w:rsidR="00612A67" w:rsidRPr="000508B6">
        <w:rPr>
          <w:rFonts w:ascii="Times New Roman" w:hAnsi="Times New Roman" w:cs="Times New Roman"/>
          <w:b/>
          <w:lang w:val="ro-MD"/>
        </w:rPr>
        <w:t xml:space="preserve">public </w:t>
      </w:r>
      <w:r w:rsidR="001E724D" w:rsidRPr="000508B6">
        <w:rPr>
          <w:rFonts w:ascii="Times New Roman" w:hAnsi="Times New Roman" w:cs="Times New Roman"/>
          <w:b/>
          <w:lang w:val="ro-MD"/>
        </w:rPr>
        <w:t xml:space="preserve">privind solvabilitatea </w:t>
      </w:r>
      <w:proofErr w:type="spellStart"/>
      <w:r w:rsidR="001E724D" w:rsidRPr="000508B6">
        <w:rPr>
          <w:rFonts w:ascii="Times New Roman" w:hAnsi="Times New Roman" w:cs="Times New Roman"/>
          <w:b/>
          <w:lang w:val="ro-MD"/>
        </w:rPr>
        <w:t>şi</w:t>
      </w:r>
      <w:proofErr w:type="spellEnd"/>
      <w:r w:rsidR="001E724D" w:rsidRPr="000508B6">
        <w:rPr>
          <w:rFonts w:ascii="Times New Roman" w:hAnsi="Times New Roman" w:cs="Times New Roman"/>
          <w:b/>
          <w:lang w:val="ro-MD"/>
        </w:rPr>
        <w:t xml:space="preserve"> </w:t>
      </w:r>
      <w:proofErr w:type="spellStart"/>
      <w:r w:rsidR="001E724D" w:rsidRPr="000508B6">
        <w:rPr>
          <w:rFonts w:ascii="Times New Roman" w:hAnsi="Times New Roman" w:cs="Times New Roman"/>
          <w:b/>
          <w:lang w:val="ro-MD"/>
        </w:rPr>
        <w:t>situaţia</w:t>
      </w:r>
      <w:proofErr w:type="spellEnd"/>
      <w:r w:rsidR="001E724D" w:rsidRPr="000508B6">
        <w:rPr>
          <w:rFonts w:ascii="Times New Roman" w:hAnsi="Times New Roman" w:cs="Times New Roman"/>
          <w:b/>
          <w:lang w:val="ro-MD"/>
        </w:rPr>
        <w:t xml:space="preserve"> financiară la nivel de grup</w:t>
      </w:r>
    </w:p>
    <w:p w14:paraId="64AFAF2B" w14:textId="77777777" w:rsidR="007C2440" w:rsidRPr="000508B6" w:rsidRDefault="007C2440" w:rsidP="008B530F">
      <w:pPr>
        <w:spacing w:after="0" w:line="240" w:lineRule="auto"/>
        <w:ind w:firstLine="426"/>
        <w:jc w:val="both"/>
        <w:rPr>
          <w:rFonts w:ascii="Times New Roman" w:hAnsi="Times New Roman" w:cs="Times New Roman"/>
          <w:b/>
          <w:lang w:val="ro-MD"/>
        </w:rPr>
      </w:pPr>
    </w:p>
    <w:p w14:paraId="2FEF2AC9" w14:textId="1BF4049B"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148</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Solvabilitatea la nivel de grup  </w:t>
      </w:r>
    </w:p>
    <w:p w14:paraId="05492489" w14:textId="6CE32193" w:rsidR="00F95829" w:rsidRPr="000508B6" w:rsidRDefault="002E6616" w:rsidP="00CF5AFA">
      <w:pPr>
        <w:numPr>
          <w:ilvl w:val="0"/>
          <w:numId w:val="23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6B0C9F" w:rsidRPr="000508B6">
        <w:rPr>
          <w:rFonts w:ascii="Times New Roman" w:hAnsi="Times New Roman" w:cs="Times New Roman"/>
          <w:lang w:val="ro-MD"/>
        </w:rPr>
        <w:t>participativ</w:t>
      </w:r>
      <w:r w:rsidR="00F95829" w:rsidRPr="000508B6">
        <w:rPr>
          <w:rFonts w:ascii="Times New Roman" w:hAnsi="Times New Roman" w:cs="Times New Roman"/>
          <w:lang w:val="ro-MD"/>
        </w:rPr>
        <w:t xml:space="preserve">, </w:t>
      </w:r>
      <w:r w:rsidR="006B0C9F"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de asigurare sau </w:t>
      </w:r>
      <w:r w:rsidR="006B0C9F"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financiar mixt publică anual un raport privind solvabilitatea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situaţia</w:t>
      </w:r>
      <w:proofErr w:type="spellEnd"/>
      <w:r w:rsidR="00F95829" w:rsidRPr="000508B6">
        <w:rPr>
          <w:rFonts w:ascii="Times New Roman" w:hAnsi="Times New Roman" w:cs="Times New Roman"/>
          <w:lang w:val="ro-MD"/>
        </w:rPr>
        <w:t xml:space="preserve"> financiară la nivel de grup, cu respectarea prevederilor art. </w:t>
      </w:r>
      <w:r w:rsidR="00622CE2" w:rsidRPr="000508B6">
        <w:rPr>
          <w:rFonts w:ascii="Times New Roman" w:hAnsi="Times New Roman" w:cs="Times New Roman"/>
          <w:lang w:val="ro-MD"/>
        </w:rPr>
        <w:t>32</w:t>
      </w:r>
      <w:r w:rsidR="00A42033" w:rsidRPr="000508B6">
        <w:rPr>
          <w:rFonts w:ascii="Times New Roman" w:hAnsi="Times New Roman" w:cs="Times New Roman"/>
          <w:lang w:val="ro-MD"/>
        </w:rPr>
        <w:t xml:space="preserve">, </w:t>
      </w:r>
      <w:r w:rsidR="001F3F47" w:rsidRPr="000508B6">
        <w:rPr>
          <w:rFonts w:ascii="Times New Roman" w:hAnsi="Times New Roman" w:cs="Times New Roman"/>
          <w:lang w:val="ro-MD"/>
        </w:rPr>
        <w:t xml:space="preserve">art. </w:t>
      </w:r>
      <w:r w:rsidR="00622CE2" w:rsidRPr="000508B6">
        <w:rPr>
          <w:rFonts w:ascii="Times New Roman" w:hAnsi="Times New Roman" w:cs="Times New Roman"/>
          <w:lang w:val="ro-MD"/>
        </w:rPr>
        <w:t>34</w:t>
      </w:r>
      <w:r w:rsidR="00F95829" w:rsidRPr="000508B6">
        <w:rPr>
          <w:rFonts w:ascii="Times New Roman" w:hAnsi="Times New Roman" w:cs="Times New Roman"/>
          <w:lang w:val="ro-MD"/>
        </w:rPr>
        <w:t>-</w:t>
      </w:r>
      <w:r w:rsidR="006277E2" w:rsidRPr="000508B6">
        <w:rPr>
          <w:rFonts w:ascii="Times New Roman" w:hAnsi="Times New Roman" w:cs="Times New Roman"/>
          <w:lang w:val="ro-MD"/>
        </w:rPr>
        <w:t>36</w:t>
      </w:r>
      <w:r w:rsidR="00F95829" w:rsidRPr="000508B6">
        <w:rPr>
          <w:rFonts w:ascii="Times New Roman" w:hAnsi="Times New Roman" w:cs="Times New Roman"/>
          <w:lang w:val="ro-MD"/>
        </w:rPr>
        <w:t xml:space="preserve">. </w:t>
      </w:r>
      <w:r w:rsidR="003D0F56" w:rsidRPr="000508B6">
        <w:rPr>
          <w:rFonts w:ascii="Times New Roman" w:hAnsi="Times New Roman" w:cs="Times New Roman"/>
          <w:lang w:val="ro-MD"/>
        </w:rPr>
        <w:t>Respectivul raport conține informații referitoare la grup adresate profesioniști</w:t>
      </w:r>
      <w:r w:rsidR="005E5536" w:rsidRPr="000508B6">
        <w:rPr>
          <w:rFonts w:ascii="Times New Roman" w:hAnsi="Times New Roman" w:cs="Times New Roman"/>
          <w:lang w:val="ro-MD"/>
        </w:rPr>
        <w:t>lor</w:t>
      </w:r>
      <w:r w:rsidR="003D0F56" w:rsidRPr="000508B6">
        <w:rPr>
          <w:rFonts w:ascii="Times New Roman" w:hAnsi="Times New Roman" w:cs="Times New Roman"/>
          <w:lang w:val="ro-MD"/>
        </w:rPr>
        <w:t xml:space="preserve"> din piață, astfel cum se menționează la art</w:t>
      </w:r>
      <w:r w:rsidR="00313F45" w:rsidRPr="000508B6">
        <w:rPr>
          <w:rFonts w:ascii="Times New Roman" w:hAnsi="Times New Roman" w:cs="Times New Roman"/>
          <w:lang w:val="ro-MD"/>
        </w:rPr>
        <w:t>.</w:t>
      </w:r>
      <w:r w:rsidR="004742DA" w:rsidRPr="000508B6">
        <w:rPr>
          <w:rFonts w:ascii="Times New Roman" w:hAnsi="Times New Roman" w:cs="Times New Roman"/>
          <w:lang w:val="ro-MD"/>
        </w:rPr>
        <w:t>32</w:t>
      </w:r>
      <w:r w:rsidR="003D0F56" w:rsidRPr="000508B6">
        <w:rPr>
          <w:rFonts w:ascii="Times New Roman" w:hAnsi="Times New Roman" w:cs="Times New Roman"/>
          <w:lang w:val="ro-MD"/>
        </w:rPr>
        <w:t xml:space="preserve"> alin</w:t>
      </w:r>
      <w:r w:rsidR="00313F45" w:rsidRPr="000508B6">
        <w:rPr>
          <w:rFonts w:ascii="Times New Roman" w:hAnsi="Times New Roman" w:cs="Times New Roman"/>
          <w:lang w:val="ro-MD"/>
        </w:rPr>
        <w:t>.</w:t>
      </w:r>
      <w:r w:rsidR="003D0F56" w:rsidRPr="000508B6">
        <w:rPr>
          <w:rFonts w:ascii="Times New Roman" w:hAnsi="Times New Roman" w:cs="Times New Roman"/>
          <w:lang w:val="ro-MD"/>
        </w:rPr>
        <w:t xml:space="preserve"> (</w:t>
      </w:r>
      <w:r w:rsidR="004742DA" w:rsidRPr="000508B6">
        <w:rPr>
          <w:rFonts w:ascii="Times New Roman" w:hAnsi="Times New Roman" w:cs="Times New Roman"/>
          <w:lang w:val="ro-MD"/>
        </w:rPr>
        <w:t>4</w:t>
      </w:r>
      <w:r w:rsidR="003D0F56" w:rsidRPr="000508B6">
        <w:rPr>
          <w:rFonts w:ascii="Times New Roman" w:hAnsi="Times New Roman" w:cs="Times New Roman"/>
          <w:lang w:val="ro-MD"/>
        </w:rPr>
        <w:t>)</w:t>
      </w:r>
      <w:r w:rsidR="001A30B0" w:rsidRPr="000508B6">
        <w:rPr>
          <w:rFonts w:ascii="Times New Roman" w:hAnsi="Times New Roman" w:cs="Times New Roman"/>
          <w:lang w:val="ro-MD"/>
        </w:rPr>
        <w:t>.</w:t>
      </w:r>
      <w:r w:rsidR="00F95829" w:rsidRPr="000508B6">
        <w:rPr>
          <w:rFonts w:ascii="Times New Roman" w:hAnsi="Times New Roman" w:cs="Times New Roman"/>
          <w:lang w:val="ro-MD"/>
        </w:rPr>
        <w:t xml:space="preserve">  </w:t>
      </w:r>
    </w:p>
    <w:p w14:paraId="7E98E7B5" w14:textId="3FDBC360" w:rsidR="003C3F62" w:rsidRPr="000508B6" w:rsidRDefault="002E6616" w:rsidP="00CF5AFA">
      <w:pPr>
        <w:numPr>
          <w:ilvl w:val="0"/>
          <w:numId w:val="23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3C3F62" w:rsidRPr="000508B6">
        <w:rPr>
          <w:rFonts w:ascii="Times New Roman" w:hAnsi="Times New Roman" w:cs="Times New Roman"/>
          <w:lang w:val="ro-MD"/>
        </w:rPr>
        <w:t xml:space="preserve">participativ, </w:t>
      </w:r>
      <w:r w:rsidR="005E5536" w:rsidRPr="000508B6">
        <w:rPr>
          <w:rFonts w:ascii="Times New Roman" w:hAnsi="Times New Roman" w:cs="Times New Roman"/>
          <w:lang w:val="ro-MD"/>
        </w:rPr>
        <w:t xml:space="preserve">holdingul </w:t>
      </w:r>
      <w:r w:rsidR="003C3F62" w:rsidRPr="000508B6">
        <w:rPr>
          <w:rFonts w:ascii="Times New Roman" w:hAnsi="Times New Roman" w:cs="Times New Roman"/>
          <w:lang w:val="ro-MD"/>
        </w:rPr>
        <w:t xml:space="preserve">de asigurare sau </w:t>
      </w:r>
      <w:r w:rsidR="005E5536" w:rsidRPr="000508B6">
        <w:rPr>
          <w:rFonts w:ascii="Times New Roman" w:hAnsi="Times New Roman" w:cs="Times New Roman"/>
          <w:lang w:val="ro-MD"/>
        </w:rPr>
        <w:t xml:space="preserve">holdingul </w:t>
      </w:r>
      <w:r w:rsidR="003C3F62" w:rsidRPr="000508B6">
        <w:rPr>
          <w:rFonts w:ascii="Times New Roman" w:hAnsi="Times New Roman" w:cs="Times New Roman"/>
          <w:lang w:val="ro-MD"/>
        </w:rPr>
        <w:t xml:space="preserve">financiar mixt publică informațiile din alin. (1) în termen de 24 de săptămâni de la </w:t>
      </w:r>
      <w:r w:rsidR="004045CD" w:rsidRPr="000508B6">
        <w:rPr>
          <w:rFonts w:ascii="Times New Roman" w:hAnsi="Times New Roman" w:cs="Times New Roman"/>
          <w:lang w:val="ro-MD"/>
        </w:rPr>
        <w:t xml:space="preserve">încheierea </w:t>
      </w:r>
      <w:r w:rsidR="003C3F62" w:rsidRPr="000508B6">
        <w:rPr>
          <w:rFonts w:ascii="Times New Roman" w:hAnsi="Times New Roman" w:cs="Times New Roman"/>
          <w:lang w:val="ro-MD"/>
        </w:rPr>
        <w:t>exercițiului financiar.</w:t>
      </w:r>
      <w:r w:rsidR="00ED7929" w:rsidRPr="000508B6">
        <w:rPr>
          <w:rFonts w:ascii="Times New Roman" w:hAnsi="Times New Roman" w:cs="Times New Roman"/>
          <w:lang w:val="ro-MD"/>
        </w:rPr>
        <w:t xml:space="preserve"> </w:t>
      </w:r>
    </w:p>
    <w:p w14:paraId="620B4DA2" w14:textId="718D7289" w:rsidR="00F95829" w:rsidRPr="000508B6" w:rsidRDefault="00F95829" w:rsidP="00CF5AFA">
      <w:pPr>
        <w:numPr>
          <w:ilvl w:val="0"/>
          <w:numId w:val="23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2E6616" w:rsidRPr="000508B6">
        <w:rPr>
          <w:rFonts w:ascii="Times New Roman" w:hAnsi="Times New Roman" w:cs="Times New Roman"/>
          <w:lang w:val="ro-MD"/>
        </w:rPr>
        <w:t xml:space="preserve">asigurătorul sau </w:t>
      </w:r>
      <w:proofErr w:type="spellStart"/>
      <w:r w:rsidR="002E6616"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2F4A81" w:rsidRPr="000508B6">
        <w:rPr>
          <w:rFonts w:ascii="Times New Roman" w:hAnsi="Times New Roman" w:cs="Times New Roman"/>
          <w:lang w:val="ro-MD"/>
        </w:rPr>
        <w:t>participativ</w:t>
      </w:r>
      <w:r w:rsidRPr="000508B6">
        <w:rPr>
          <w:rFonts w:ascii="Times New Roman" w:hAnsi="Times New Roman" w:cs="Times New Roman"/>
          <w:lang w:val="ro-MD"/>
        </w:rPr>
        <w:t xml:space="preserve">, </w:t>
      </w:r>
      <w:r w:rsidR="002F4A81" w:rsidRPr="000508B6">
        <w:rPr>
          <w:rFonts w:ascii="Times New Roman" w:hAnsi="Times New Roman" w:cs="Times New Roman"/>
          <w:lang w:val="ro-MD"/>
        </w:rPr>
        <w:t xml:space="preserve">holdingul </w:t>
      </w:r>
      <w:r w:rsidRPr="000508B6">
        <w:rPr>
          <w:rFonts w:ascii="Times New Roman" w:hAnsi="Times New Roman" w:cs="Times New Roman"/>
          <w:lang w:val="ro-MD"/>
        </w:rPr>
        <w:t xml:space="preserve">de asigurare sau </w:t>
      </w:r>
      <w:r w:rsidR="002F4A81" w:rsidRPr="000508B6">
        <w:rPr>
          <w:rFonts w:ascii="Times New Roman" w:hAnsi="Times New Roman" w:cs="Times New Roman"/>
          <w:lang w:val="ro-MD"/>
        </w:rPr>
        <w:t xml:space="preserve">holdingul </w:t>
      </w:r>
      <w:r w:rsidRPr="000508B6">
        <w:rPr>
          <w:rFonts w:ascii="Times New Roman" w:hAnsi="Times New Roman" w:cs="Times New Roman"/>
          <w:lang w:val="ro-MD"/>
        </w:rPr>
        <w:t xml:space="preserve">financiar mixt solicită aprobarea Băncii Naționale a Moldovei privind publicarea </w:t>
      </w:r>
      <w:r w:rsidR="00C6547E" w:rsidRPr="000508B6">
        <w:rPr>
          <w:rFonts w:ascii="Times New Roman" w:hAnsi="Times New Roman" w:cs="Times New Roman"/>
          <w:lang w:val="ro-MD"/>
        </w:rPr>
        <w:t>ambelor secțiuni ale</w:t>
      </w:r>
      <w:r w:rsidRPr="000508B6">
        <w:rPr>
          <w:rFonts w:ascii="Times New Roman" w:hAnsi="Times New Roman" w:cs="Times New Roman"/>
          <w:lang w:val="ro-MD"/>
        </w:rPr>
        <w:t xml:space="preserve"> raport</w:t>
      </w:r>
      <w:r w:rsidR="00C6547E" w:rsidRPr="000508B6">
        <w:rPr>
          <w:rFonts w:ascii="Times New Roman" w:hAnsi="Times New Roman" w:cs="Times New Roman"/>
          <w:lang w:val="ro-MD"/>
        </w:rPr>
        <w:t>ului</w:t>
      </w:r>
      <w:r w:rsidRPr="000508B6">
        <w:rPr>
          <w:rFonts w:ascii="Times New Roman" w:hAnsi="Times New Roman" w:cs="Times New Roman"/>
          <w:lang w:val="ro-MD"/>
        </w:rPr>
        <w:t xml:space="preserve"> privind solvabilitatea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financiară, acesta </w:t>
      </w:r>
      <w:proofErr w:type="spellStart"/>
      <w:r w:rsidRPr="000508B6">
        <w:rPr>
          <w:rFonts w:ascii="Times New Roman" w:hAnsi="Times New Roman" w:cs="Times New Roman"/>
          <w:lang w:val="ro-MD"/>
        </w:rPr>
        <w:t>conţine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prevăzute la art. </w:t>
      </w:r>
      <w:r w:rsidR="00783C0D" w:rsidRPr="000508B6">
        <w:rPr>
          <w:rFonts w:ascii="Times New Roman" w:hAnsi="Times New Roman" w:cs="Times New Roman"/>
          <w:lang w:val="ro-MD"/>
        </w:rPr>
        <w:t>32</w:t>
      </w:r>
      <w:r w:rsidR="00A42033" w:rsidRPr="000508B6">
        <w:rPr>
          <w:rFonts w:ascii="Times New Roman" w:hAnsi="Times New Roman" w:cs="Times New Roman"/>
          <w:lang w:val="ro-MD"/>
        </w:rPr>
        <w:t xml:space="preserve">, </w:t>
      </w:r>
      <w:r w:rsidR="006C0143" w:rsidRPr="000508B6">
        <w:rPr>
          <w:rFonts w:ascii="Times New Roman" w:hAnsi="Times New Roman" w:cs="Times New Roman"/>
          <w:lang w:val="ro-MD"/>
        </w:rPr>
        <w:t xml:space="preserve">art. </w:t>
      </w:r>
      <w:r w:rsidR="00A42033" w:rsidRPr="000508B6">
        <w:rPr>
          <w:rFonts w:ascii="Times New Roman" w:hAnsi="Times New Roman" w:cs="Times New Roman"/>
          <w:lang w:val="ro-MD"/>
        </w:rPr>
        <w:t>34</w:t>
      </w:r>
      <w:r w:rsidR="00B15BA7" w:rsidRPr="000508B6">
        <w:rPr>
          <w:rFonts w:ascii="Times New Roman" w:hAnsi="Times New Roman" w:cs="Times New Roman"/>
          <w:lang w:val="ro-MD"/>
        </w:rPr>
        <w:t>-</w:t>
      </w:r>
      <w:r w:rsidR="00404370" w:rsidRPr="000508B6">
        <w:rPr>
          <w:rFonts w:ascii="Times New Roman" w:hAnsi="Times New Roman" w:cs="Times New Roman"/>
          <w:lang w:val="ro-MD"/>
        </w:rPr>
        <w:t>36</w:t>
      </w:r>
      <w:r w:rsidRPr="000508B6">
        <w:rPr>
          <w:rFonts w:ascii="Times New Roman" w:hAnsi="Times New Roman" w:cs="Times New Roman"/>
          <w:lang w:val="ro-MD"/>
        </w:rPr>
        <w:t xml:space="preserve">, astfel:   </w:t>
      </w:r>
    </w:p>
    <w:p w14:paraId="66AE2856" w14:textId="77777777" w:rsidR="00F95829" w:rsidRPr="000508B6" w:rsidRDefault="00F95829" w:rsidP="001F3F47">
      <w:pPr>
        <w:numPr>
          <w:ilvl w:val="0"/>
          <w:numId w:val="3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nivel de grup;   </w:t>
      </w:r>
    </w:p>
    <w:p w14:paraId="424E63BA" w14:textId="68347790" w:rsidR="00F95829" w:rsidRPr="000508B6" w:rsidRDefault="00F95829" w:rsidP="005166FF">
      <w:pPr>
        <w:numPr>
          <w:ilvl w:val="0"/>
          <w:numId w:val="3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la nivel de filial</w:t>
      </w:r>
      <w:r w:rsidR="00E827BA" w:rsidRPr="000508B6">
        <w:rPr>
          <w:rFonts w:ascii="Times New Roman" w:hAnsi="Times New Roman" w:cs="Times New Roman"/>
          <w:lang w:val="ro-MD"/>
        </w:rPr>
        <w:t>ă</w:t>
      </w:r>
      <w:r w:rsidR="00860A81" w:rsidRPr="000508B6">
        <w:rPr>
          <w:rFonts w:ascii="Times New Roman" w:hAnsi="Times New Roman" w:cs="Times New Roman"/>
          <w:lang w:val="ro-MD"/>
        </w:rPr>
        <w:t xml:space="preserve"> din cadrul grupului</w:t>
      </w:r>
      <w:r w:rsidRPr="000508B6">
        <w:rPr>
          <w:rFonts w:ascii="Times New Roman" w:hAnsi="Times New Roman" w:cs="Times New Roman"/>
          <w:lang w:val="ro-MD"/>
        </w:rPr>
        <w:t xml:space="preserve">, </w:t>
      </w:r>
      <w:r w:rsidR="00860A81" w:rsidRPr="000508B6">
        <w:rPr>
          <w:rFonts w:ascii="Times New Roman" w:eastAsia="Calibri" w:hAnsi="Times New Roman" w:cs="Times New Roman"/>
          <w:lang w:val="ro-MD"/>
        </w:rPr>
        <w:t>inclusiv ambele secțiuni ale raportului privind solvabilitatea și situația financiară</w:t>
      </w:r>
      <w:r w:rsidRPr="000508B6">
        <w:rPr>
          <w:rFonts w:ascii="Times New Roman" w:eastAsia="Calibri" w:hAnsi="Times New Roman" w:cs="Times New Roman"/>
          <w:lang w:val="ro-MD"/>
        </w:rPr>
        <w:t>,</w:t>
      </w:r>
      <w:r w:rsidRPr="000508B6">
        <w:rPr>
          <w:rFonts w:ascii="Times New Roman" w:hAnsi="Times New Roman" w:cs="Times New Roman"/>
          <w:lang w:val="ro-MD"/>
        </w:rPr>
        <w:t xml:space="preserve"> astfel încât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acestora să fie </w:t>
      </w:r>
      <w:proofErr w:type="spellStart"/>
      <w:r w:rsidRPr="000508B6">
        <w:rPr>
          <w:rFonts w:ascii="Times New Roman" w:hAnsi="Times New Roman" w:cs="Times New Roman"/>
          <w:lang w:val="ro-MD"/>
        </w:rPr>
        <w:t>uşor</w:t>
      </w:r>
      <w:proofErr w:type="spellEnd"/>
      <w:r w:rsidRPr="000508B6">
        <w:rPr>
          <w:rFonts w:ascii="Times New Roman" w:hAnsi="Times New Roman" w:cs="Times New Roman"/>
          <w:lang w:val="ro-MD"/>
        </w:rPr>
        <w:t xml:space="preserve"> identificată.  </w:t>
      </w:r>
    </w:p>
    <w:p w14:paraId="14FD8B7B" w14:textId="77777777" w:rsidR="00F95829" w:rsidRPr="000508B6" w:rsidRDefault="00F95829" w:rsidP="008B530F">
      <w:pPr>
        <w:spacing w:after="0" w:line="240" w:lineRule="auto"/>
        <w:ind w:firstLine="426"/>
        <w:jc w:val="both"/>
        <w:rPr>
          <w:rFonts w:ascii="Times New Roman" w:hAnsi="Times New Roman" w:cs="Times New Roman"/>
          <w:b/>
          <w:lang w:val="ro-MD"/>
        </w:rPr>
      </w:pPr>
    </w:p>
    <w:p w14:paraId="507378A5" w14:textId="30DEA388" w:rsidR="00F95829" w:rsidRPr="000508B6" w:rsidRDefault="00F95829"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149</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 Structura grupului   </w:t>
      </w:r>
    </w:p>
    <w:p w14:paraId="78E81FF0" w14:textId="14F86C31" w:rsidR="00F95829" w:rsidRPr="000508B6" w:rsidRDefault="002E6616"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95829" w:rsidRPr="000508B6">
        <w:rPr>
          <w:rFonts w:ascii="Times New Roman" w:hAnsi="Times New Roman" w:cs="Times New Roman"/>
          <w:lang w:val="ro-MD"/>
        </w:rPr>
        <w:t xml:space="preserve">, </w:t>
      </w:r>
      <w:r w:rsidR="00A2403C"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de asigurare sau </w:t>
      </w:r>
      <w:r w:rsidR="00A2403C" w:rsidRPr="000508B6">
        <w:rPr>
          <w:rFonts w:ascii="Times New Roman" w:hAnsi="Times New Roman" w:cs="Times New Roman"/>
          <w:lang w:val="ro-MD"/>
        </w:rPr>
        <w:t xml:space="preserve">holdingul </w:t>
      </w:r>
      <w:r w:rsidR="00F95829" w:rsidRPr="000508B6">
        <w:rPr>
          <w:rFonts w:ascii="Times New Roman" w:hAnsi="Times New Roman" w:cs="Times New Roman"/>
          <w:lang w:val="ro-MD"/>
        </w:rPr>
        <w:t xml:space="preserve">financiar mixt publică anual </w:t>
      </w:r>
      <w:proofErr w:type="spellStart"/>
      <w:r w:rsidR="00F95829" w:rsidRPr="000508B6">
        <w:rPr>
          <w:rFonts w:ascii="Times New Roman" w:hAnsi="Times New Roman" w:cs="Times New Roman"/>
          <w:lang w:val="ro-MD"/>
        </w:rPr>
        <w:t>informaţii</w:t>
      </w:r>
      <w:proofErr w:type="spellEnd"/>
      <w:r w:rsidR="00F95829" w:rsidRPr="000508B6">
        <w:rPr>
          <w:rFonts w:ascii="Times New Roman" w:hAnsi="Times New Roman" w:cs="Times New Roman"/>
          <w:lang w:val="ro-MD"/>
        </w:rPr>
        <w:t xml:space="preserve"> la nivel de grup referitoare la structura juridică, </w:t>
      </w:r>
      <w:proofErr w:type="spellStart"/>
      <w:r w:rsidR="00F95829" w:rsidRPr="000508B6">
        <w:rPr>
          <w:rFonts w:ascii="Times New Roman" w:hAnsi="Times New Roman" w:cs="Times New Roman"/>
          <w:lang w:val="ro-MD"/>
        </w:rPr>
        <w:t>guvernanţa</w:t>
      </w:r>
      <w:proofErr w:type="spellEnd"/>
      <w:r w:rsidR="00F95829"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structura organizatorică, inclusiv descrierea filialelor, descrierea sucursalelor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 </w:t>
      </w:r>
      <w:proofErr w:type="spellStart"/>
      <w:r w:rsidR="00F95829" w:rsidRPr="000508B6">
        <w:rPr>
          <w:rFonts w:ascii="Times New Roman" w:hAnsi="Times New Roman" w:cs="Times New Roman"/>
          <w:lang w:val="ro-MD"/>
        </w:rPr>
        <w:t>entităţilor</w:t>
      </w:r>
      <w:proofErr w:type="spellEnd"/>
      <w:r w:rsidR="00F95829" w:rsidRPr="000508B6">
        <w:rPr>
          <w:rFonts w:ascii="Times New Roman" w:hAnsi="Times New Roman" w:cs="Times New Roman"/>
          <w:lang w:val="ro-MD"/>
        </w:rPr>
        <w:t xml:space="preserve"> afiliate semnificative</w:t>
      </w:r>
      <w:r w:rsidR="000D2EC3" w:rsidRPr="000508B6">
        <w:rPr>
          <w:rFonts w:ascii="Times New Roman" w:hAnsi="Times New Roman" w:cs="Times New Roman"/>
          <w:lang w:val="ro-MD"/>
        </w:rPr>
        <w:t xml:space="preserve"> care aparțin grupului</w:t>
      </w:r>
      <w:r w:rsidR="00F95829" w:rsidRPr="000508B6">
        <w:rPr>
          <w:rFonts w:ascii="Times New Roman" w:hAnsi="Times New Roman" w:cs="Times New Roman"/>
          <w:lang w:val="ro-MD"/>
        </w:rPr>
        <w:t xml:space="preserve">.   </w:t>
      </w:r>
    </w:p>
    <w:p w14:paraId="6B63E846" w14:textId="77777777" w:rsidR="00CE7400" w:rsidRPr="000508B6" w:rsidRDefault="00CE7400" w:rsidP="008B530F">
      <w:pPr>
        <w:spacing w:after="0" w:line="240" w:lineRule="auto"/>
        <w:ind w:firstLine="426"/>
        <w:jc w:val="both"/>
        <w:rPr>
          <w:rFonts w:ascii="Times New Roman" w:hAnsi="Times New Roman" w:cs="Times New Roman"/>
          <w:lang w:val="ro-MD"/>
        </w:rPr>
      </w:pPr>
    </w:p>
    <w:p w14:paraId="5BC49A86" w14:textId="32A64CD7" w:rsidR="00CE7400" w:rsidRPr="000508B6" w:rsidRDefault="00CE7400"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bCs/>
          <w:lang w:val="ro-MD"/>
        </w:rPr>
        <w:t>150</w:t>
      </w:r>
      <w:r w:rsidR="00636E3C" w:rsidRPr="000508B6">
        <w:rPr>
          <w:rFonts w:ascii="Times New Roman" w:hAnsi="Times New Roman" w:cs="Times New Roman"/>
          <w:lang w:val="ro-MD"/>
        </w:rPr>
        <w:t>.</w:t>
      </w:r>
      <w:r w:rsidRPr="000508B6">
        <w:rPr>
          <w:rFonts w:ascii="Times New Roman" w:hAnsi="Times New Roman" w:cs="Times New Roman"/>
          <w:lang w:val="ro-MD"/>
        </w:rPr>
        <w:t xml:space="preserve">    Raportul periodic de supraveghere la nivel de grup</w:t>
      </w:r>
      <w:r w:rsidR="000F38D3" w:rsidRPr="000508B6">
        <w:rPr>
          <w:rFonts w:ascii="Times New Roman" w:hAnsi="Times New Roman" w:cs="Times New Roman"/>
          <w:lang w:val="ro-MD"/>
        </w:rPr>
        <w:t xml:space="preserve"> </w:t>
      </w:r>
    </w:p>
    <w:p w14:paraId="3152BB6E" w14:textId="78E5C39A"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(1)</w:t>
      </w:r>
      <w:r w:rsidRPr="000508B6" w:rsidDel="001F3F47">
        <w:rPr>
          <w:rFonts w:ascii="Times New Roman" w:hAnsi="Times New Roman" w:cs="Times New Roman"/>
          <w:lang w:val="ro-MD"/>
        </w:rPr>
        <w:t xml:space="preserve"> </w:t>
      </w:r>
      <w:r w:rsidR="002E6616" w:rsidRPr="000508B6">
        <w:rPr>
          <w:rFonts w:ascii="Times New Roman" w:hAnsi="Times New Roman" w:cs="Times New Roman"/>
          <w:lang w:val="ro-MD"/>
        </w:rPr>
        <w:t xml:space="preserve">Asigurătorul sau </w:t>
      </w:r>
      <w:proofErr w:type="spellStart"/>
      <w:r w:rsidR="002E6616"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C54475" w:rsidRPr="000508B6">
        <w:rPr>
          <w:rFonts w:ascii="Times New Roman" w:hAnsi="Times New Roman" w:cs="Times New Roman"/>
          <w:lang w:val="ro-MD"/>
        </w:rPr>
        <w:t>participativ</w:t>
      </w:r>
      <w:r w:rsidRPr="000508B6">
        <w:rPr>
          <w:rFonts w:ascii="Times New Roman" w:hAnsi="Times New Roman" w:cs="Times New Roman"/>
          <w:lang w:val="ro-MD"/>
        </w:rPr>
        <w:t xml:space="preserve">, </w:t>
      </w:r>
      <w:r w:rsidR="00C54475" w:rsidRPr="000508B6">
        <w:rPr>
          <w:rFonts w:ascii="Times New Roman" w:hAnsi="Times New Roman" w:cs="Times New Roman"/>
          <w:lang w:val="ro-MD"/>
        </w:rPr>
        <w:t xml:space="preserve">holdingul </w:t>
      </w:r>
      <w:r w:rsidRPr="000508B6">
        <w:rPr>
          <w:rFonts w:ascii="Times New Roman" w:hAnsi="Times New Roman" w:cs="Times New Roman"/>
          <w:lang w:val="ro-MD"/>
        </w:rPr>
        <w:t xml:space="preserve">de asigurare și </w:t>
      </w:r>
      <w:r w:rsidR="00AE048F" w:rsidRPr="000508B6">
        <w:rPr>
          <w:rFonts w:ascii="Times New Roman" w:hAnsi="Times New Roman" w:cs="Times New Roman"/>
          <w:lang w:val="ro-MD"/>
        </w:rPr>
        <w:t xml:space="preserve">holdingul </w:t>
      </w:r>
      <w:r w:rsidRPr="000508B6">
        <w:rPr>
          <w:rFonts w:ascii="Times New Roman" w:hAnsi="Times New Roman" w:cs="Times New Roman"/>
          <w:lang w:val="ro-MD"/>
        </w:rPr>
        <w:t xml:space="preserve">financiar mixt prezintă anual </w:t>
      </w:r>
      <w:r w:rsidR="00E320D5"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un raport periodic de supraveghere la nivel de grup. </w:t>
      </w:r>
      <w:r w:rsidR="00590CD6" w:rsidRPr="000508B6">
        <w:rPr>
          <w:rFonts w:ascii="Times New Roman" w:hAnsi="Times New Roman" w:cs="Times New Roman"/>
          <w:lang w:val="ro-MD"/>
        </w:rPr>
        <w:t>Prevederile art</w:t>
      </w:r>
      <w:r w:rsidR="00966DD7" w:rsidRPr="000508B6">
        <w:rPr>
          <w:rFonts w:ascii="Times New Roman" w:hAnsi="Times New Roman" w:cs="Times New Roman"/>
          <w:lang w:val="ro-MD"/>
        </w:rPr>
        <w:t>.</w:t>
      </w:r>
      <w:r w:rsidRPr="000508B6">
        <w:rPr>
          <w:rFonts w:ascii="Times New Roman" w:hAnsi="Times New Roman" w:cs="Times New Roman"/>
          <w:lang w:val="ro-MD"/>
        </w:rPr>
        <w:t xml:space="preserve"> </w:t>
      </w:r>
      <w:r w:rsidR="008B44ED" w:rsidRPr="000508B6">
        <w:rPr>
          <w:rFonts w:ascii="Times New Roman" w:hAnsi="Times New Roman" w:cs="Times New Roman"/>
          <w:lang w:val="ro-MD"/>
        </w:rPr>
        <w:t>179</w:t>
      </w:r>
      <w:r w:rsidRPr="000508B6">
        <w:rPr>
          <w:rFonts w:ascii="Times New Roman" w:hAnsi="Times New Roman" w:cs="Times New Roman"/>
          <w:lang w:val="ro-MD"/>
        </w:rPr>
        <w:t xml:space="preserve"> alin</w:t>
      </w:r>
      <w:r w:rsidR="00966DD7" w:rsidRPr="000508B6">
        <w:rPr>
          <w:rFonts w:ascii="Times New Roman" w:hAnsi="Times New Roman" w:cs="Times New Roman"/>
          <w:lang w:val="ro-MD"/>
        </w:rPr>
        <w:t>.</w:t>
      </w:r>
      <w:r w:rsidRPr="000508B6">
        <w:rPr>
          <w:rFonts w:ascii="Times New Roman" w:hAnsi="Times New Roman" w:cs="Times New Roman"/>
          <w:lang w:val="ro-MD"/>
        </w:rPr>
        <w:t xml:space="preserve"> </w:t>
      </w:r>
      <w:r w:rsidR="00470468" w:rsidRPr="000508B6">
        <w:rPr>
          <w:rFonts w:ascii="Times New Roman" w:hAnsi="Times New Roman" w:cs="Times New Roman"/>
          <w:lang w:val="ro-MD"/>
        </w:rPr>
        <w:t>(7)</w:t>
      </w:r>
      <w:r w:rsidR="002F4F00" w:rsidRPr="000508B6">
        <w:rPr>
          <w:rFonts w:ascii="Times New Roman" w:hAnsi="Times New Roman" w:cs="Times New Roman"/>
          <w:lang w:val="ro-MD"/>
        </w:rPr>
        <w:t xml:space="preserve"> și </w:t>
      </w:r>
      <w:r w:rsidRPr="000508B6">
        <w:rPr>
          <w:rFonts w:ascii="Times New Roman" w:hAnsi="Times New Roman" w:cs="Times New Roman"/>
          <w:lang w:val="ro-MD"/>
        </w:rPr>
        <w:t>(</w:t>
      </w:r>
      <w:r w:rsidR="00966DD7" w:rsidRPr="000508B6">
        <w:rPr>
          <w:rFonts w:ascii="Times New Roman" w:hAnsi="Times New Roman" w:cs="Times New Roman"/>
          <w:lang w:val="ro-MD"/>
        </w:rPr>
        <w:t>9</w:t>
      </w:r>
      <w:r w:rsidRPr="000508B6">
        <w:rPr>
          <w:rFonts w:ascii="Times New Roman" w:hAnsi="Times New Roman" w:cs="Times New Roman"/>
          <w:lang w:val="ro-MD"/>
        </w:rPr>
        <w:t xml:space="preserve">)  se aplică </w:t>
      </w:r>
      <w:r w:rsidR="00966DD7" w:rsidRPr="000508B6">
        <w:rPr>
          <w:rFonts w:ascii="Times New Roman" w:hAnsi="Times New Roman" w:cs="Times New Roman"/>
          <w:lang w:val="ro-MD"/>
        </w:rPr>
        <w:t>în mod corespunzător</w:t>
      </w:r>
      <w:r w:rsidRPr="000508B6">
        <w:rPr>
          <w:rFonts w:ascii="Times New Roman" w:hAnsi="Times New Roman" w:cs="Times New Roman"/>
          <w:lang w:val="ro-MD"/>
        </w:rPr>
        <w:t>.</w:t>
      </w:r>
    </w:p>
    <w:p w14:paraId="21A92754" w14:textId="43CA5457"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(2)</w:t>
      </w:r>
      <w:r w:rsidR="0088281F" w:rsidRPr="000508B6">
        <w:rPr>
          <w:rFonts w:ascii="Times New Roman" w:hAnsi="Times New Roman" w:cs="Times New Roman"/>
          <w:lang w:val="ro-MD"/>
        </w:rPr>
        <w:t xml:space="preserve"> </w:t>
      </w:r>
      <w:r w:rsidR="002E6616" w:rsidRPr="000508B6">
        <w:rPr>
          <w:rFonts w:ascii="Times New Roman" w:hAnsi="Times New Roman" w:cs="Times New Roman"/>
          <w:lang w:val="ro-MD"/>
        </w:rPr>
        <w:t xml:space="preserve">Asigurătorul sau </w:t>
      </w:r>
      <w:proofErr w:type="spellStart"/>
      <w:r w:rsidR="002E6616"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002A55C7" w:rsidRPr="000508B6">
        <w:rPr>
          <w:rFonts w:ascii="Times New Roman" w:hAnsi="Times New Roman" w:cs="Times New Roman"/>
          <w:lang w:val="ro-MD"/>
        </w:rPr>
        <w:t xml:space="preserve">participativ, holdingul de asigurare și holdingul financiar mixt </w:t>
      </w:r>
      <w:r w:rsidRPr="000508B6">
        <w:rPr>
          <w:rFonts w:ascii="Times New Roman" w:hAnsi="Times New Roman" w:cs="Times New Roman"/>
          <w:lang w:val="ro-MD"/>
        </w:rPr>
        <w:t xml:space="preserve">transmit informațiile menționate la alin. (1) la intervale de un an sau mai mari, în termen de 24 de săptămâni de la </w:t>
      </w:r>
      <w:r w:rsidR="004045CD" w:rsidRPr="000508B6">
        <w:rPr>
          <w:rFonts w:ascii="Times New Roman" w:hAnsi="Times New Roman" w:cs="Times New Roman"/>
          <w:lang w:val="ro-MD"/>
        </w:rPr>
        <w:t xml:space="preserve">încheierea </w:t>
      </w:r>
      <w:r w:rsidRPr="000508B6">
        <w:rPr>
          <w:rFonts w:ascii="Times New Roman" w:hAnsi="Times New Roman" w:cs="Times New Roman"/>
          <w:lang w:val="ro-MD"/>
        </w:rPr>
        <w:t xml:space="preserve">exercițiului financiar al </w:t>
      </w:r>
      <w:r w:rsidR="002E6616" w:rsidRPr="000508B6">
        <w:rPr>
          <w:rFonts w:ascii="Times New Roman" w:hAnsi="Times New Roman" w:cs="Times New Roman"/>
          <w:lang w:val="ro-MD"/>
        </w:rPr>
        <w:t xml:space="preserve">asigurătorului sau </w:t>
      </w:r>
      <w:proofErr w:type="spellStart"/>
      <w:r w:rsidR="002E6616" w:rsidRPr="000508B6">
        <w:rPr>
          <w:rFonts w:ascii="Times New Roman" w:hAnsi="Times New Roman" w:cs="Times New Roman"/>
          <w:lang w:val="ro-MD"/>
        </w:rPr>
        <w:t>reasigurătorului</w:t>
      </w:r>
      <w:proofErr w:type="spellEnd"/>
      <w:r w:rsidR="002E6616" w:rsidRPr="000508B6">
        <w:rPr>
          <w:rFonts w:ascii="Times New Roman" w:hAnsi="Times New Roman" w:cs="Times New Roman"/>
          <w:lang w:val="ro-MD"/>
        </w:rPr>
        <w:t xml:space="preserve"> </w:t>
      </w:r>
      <w:r w:rsidR="002A55C7" w:rsidRPr="000508B6">
        <w:rPr>
          <w:rFonts w:ascii="Times New Roman" w:hAnsi="Times New Roman" w:cs="Times New Roman"/>
          <w:lang w:val="ro-MD"/>
        </w:rPr>
        <w:t>sau holdingului</w:t>
      </w:r>
      <w:r w:rsidRPr="000508B6">
        <w:rPr>
          <w:rFonts w:ascii="Times New Roman" w:hAnsi="Times New Roman" w:cs="Times New Roman"/>
          <w:lang w:val="ro-MD"/>
        </w:rPr>
        <w:t>.</w:t>
      </w:r>
    </w:p>
    <w:p w14:paraId="205C7D36" w14:textId="0869DC6F"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(3)   </w:t>
      </w:r>
      <w:r w:rsidR="00DA3805" w:rsidRPr="000508B6">
        <w:rPr>
          <w:rFonts w:ascii="Times New Roman" w:hAnsi="Times New Roman" w:cs="Times New Roman"/>
          <w:lang w:val="ro-MD"/>
        </w:rPr>
        <w:t xml:space="preserve">Asigurătorul sau </w:t>
      </w:r>
      <w:proofErr w:type="spellStart"/>
      <w:r w:rsidR="00DA3805" w:rsidRPr="000508B6">
        <w:rPr>
          <w:rFonts w:ascii="Times New Roman" w:hAnsi="Times New Roman" w:cs="Times New Roman"/>
          <w:lang w:val="ro-MD"/>
        </w:rPr>
        <w:t>reasigurătorul</w:t>
      </w:r>
      <w:proofErr w:type="spellEnd"/>
      <w:r w:rsidR="009D5914" w:rsidRPr="000508B6">
        <w:rPr>
          <w:rFonts w:ascii="Times New Roman" w:hAnsi="Times New Roman" w:cs="Times New Roman"/>
          <w:lang w:val="ro-MD"/>
        </w:rPr>
        <w:t xml:space="preserve"> </w:t>
      </w:r>
      <w:r w:rsidRPr="000508B6">
        <w:rPr>
          <w:rFonts w:ascii="Times New Roman" w:hAnsi="Times New Roman" w:cs="Times New Roman"/>
          <w:lang w:val="ro-MD"/>
        </w:rPr>
        <w:t>participativ, holding</w:t>
      </w:r>
      <w:r w:rsidR="002A55C7" w:rsidRPr="000508B6">
        <w:rPr>
          <w:rFonts w:ascii="Times New Roman" w:hAnsi="Times New Roman" w:cs="Times New Roman"/>
          <w:lang w:val="ro-MD"/>
        </w:rPr>
        <w:t>ul</w:t>
      </w:r>
      <w:r w:rsidRPr="000508B6">
        <w:rPr>
          <w:rFonts w:ascii="Times New Roman" w:hAnsi="Times New Roman" w:cs="Times New Roman"/>
          <w:lang w:val="ro-MD"/>
        </w:rPr>
        <w:t xml:space="preserve"> de asigurare sau holding</w:t>
      </w:r>
      <w:r w:rsidR="002A55C7" w:rsidRPr="000508B6">
        <w:rPr>
          <w:rFonts w:ascii="Times New Roman" w:hAnsi="Times New Roman" w:cs="Times New Roman"/>
          <w:lang w:val="ro-MD"/>
        </w:rPr>
        <w:t>ul</w:t>
      </w:r>
      <w:r w:rsidRPr="000508B6">
        <w:rPr>
          <w:rFonts w:ascii="Times New Roman" w:hAnsi="Times New Roman" w:cs="Times New Roman"/>
          <w:lang w:val="ro-MD"/>
        </w:rPr>
        <w:t xml:space="preserve"> financiar mixt </w:t>
      </w:r>
      <w:r w:rsidR="00DA3805" w:rsidRPr="000508B6">
        <w:rPr>
          <w:rFonts w:ascii="Times New Roman" w:hAnsi="Times New Roman" w:cs="Times New Roman"/>
          <w:lang w:val="ro-MD"/>
        </w:rPr>
        <w:t>po</w:t>
      </w:r>
      <w:r w:rsidR="00C51453" w:rsidRPr="000508B6">
        <w:rPr>
          <w:rFonts w:ascii="Times New Roman" w:hAnsi="Times New Roman" w:cs="Times New Roman"/>
          <w:lang w:val="ro-MD"/>
        </w:rPr>
        <w:t>ate</w:t>
      </w:r>
      <w:r w:rsidRPr="000508B6">
        <w:rPr>
          <w:rFonts w:ascii="Times New Roman" w:hAnsi="Times New Roman" w:cs="Times New Roman"/>
          <w:lang w:val="ro-MD"/>
        </w:rPr>
        <w:t xml:space="preserve">, </w:t>
      </w:r>
      <w:r w:rsidR="00EC4A0A" w:rsidRPr="000508B6">
        <w:rPr>
          <w:rFonts w:ascii="Times New Roman" w:hAnsi="Times New Roman" w:cs="Times New Roman"/>
          <w:lang w:val="ro-MD"/>
        </w:rPr>
        <w:t>cu aprobarea</w:t>
      </w:r>
      <w:r w:rsidRPr="000508B6">
        <w:rPr>
          <w:rFonts w:ascii="Times New Roman" w:hAnsi="Times New Roman" w:cs="Times New Roman"/>
          <w:lang w:val="ro-MD"/>
        </w:rPr>
        <w:t xml:space="preserve"> </w:t>
      </w:r>
      <w:r w:rsidR="00E320D5" w:rsidRPr="000508B6">
        <w:rPr>
          <w:rFonts w:ascii="Times New Roman" w:hAnsi="Times New Roman" w:cs="Times New Roman"/>
          <w:lang w:val="ro-MD"/>
        </w:rPr>
        <w:t>Băncii Naționale a Moldovei</w:t>
      </w:r>
      <w:r w:rsidRPr="000508B6">
        <w:rPr>
          <w:rFonts w:ascii="Times New Roman" w:hAnsi="Times New Roman" w:cs="Times New Roman"/>
          <w:lang w:val="ro-MD"/>
        </w:rPr>
        <w:t>, să prezinte un raport periodic unic de supraveghere, care să cuprindă următoarele:</w:t>
      </w:r>
    </w:p>
    <w:p w14:paraId="7C87844D" w14:textId="2AD7FF02"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 informațiile la nivel de grup care trebuie raportate în conformitate cu alin</w:t>
      </w:r>
      <w:r w:rsidR="00D94C7B" w:rsidRPr="000508B6">
        <w:rPr>
          <w:rFonts w:ascii="Times New Roman" w:hAnsi="Times New Roman" w:cs="Times New Roman"/>
          <w:lang w:val="ro-MD"/>
        </w:rPr>
        <w:t>.</w:t>
      </w:r>
      <w:r w:rsidRPr="000508B6">
        <w:rPr>
          <w:rFonts w:ascii="Times New Roman" w:hAnsi="Times New Roman" w:cs="Times New Roman"/>
          <w:lang w:val="ro-MD"/>
        </w:rPr>
        <w:t xml:space="preserve"> (1);</w:t>
      </w:r>
    </w:p>
    <w:p w14:paraId="7D64E4BA" w14:textId="5A7D61F2" w:rsidR="00CC6D5C" w:rsidRPr="000508B6" w:rsidRDefault="00CC6D5C" w:rsidP="001F3F47">
      <w:pPr>
        <w:tabs>
          <w:tab w:val="left" w:pos="709"/>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(b) informațiile pentru fiecare filială din cadrul grupului, care trebuie să fie identificabilă individual, se raportează în conformitate cu art</w:t>
      </w:r>
      <w:r w:rsidR="00966DD7" w:rsidRPr="000508B6">
        <w:rPr>
          <w:rFonts w:ascii="Times New Roman" w:hAnsi="Times New Roman" w:cs="Times New Roman"/>
          <w:lang w:val="ro-MD"/>
        </w:rPr>
        <w:t>.</w:t>
      </w:r>
      <w:r w:rsidRPr="000508B6">
        <w:rPr>
          <w:rFonts w:ascii="Times New Roman" w:hAnsi="Times New Roman" w:cs="Times New Roman"/>
          <w:lang w:val="ro-MD"/>
        </w:rPr>
        <w:t xml:space="preserve"> </w:t>
      </w:r>
      <w:r w:rsidR="008B44ED" w:rsidRPr="000508B6">
        <w:rPr>
          <w:rFonts w:ascii="Times New Roman" w:hAnsi="Times New Roman" w:cs="Times New Roman"/>
          <w:lang w:val="ro-MD"/>
        </w:rPr>
        <w:t>179</w:t>
      </w:r>
      <w:r w:rsidR="00966DD7" w:rsidRPr="000508B6">
        <w:rPr>
          <w:rFonts w:ascii="Times New Roman" w:hAnsi="Times New Roman" w:cs="Times New Roman"/>
          <w:lang w:val="ro-MD"/>
        </w:rPr>
        <w:t xml:space="preserve"> alin. (</w:t>
      </w:r>
      <w:r w:rsidR="00F82637" w:rsidRPr="000508B6">
        <w:rPr>
          <w:rFonts w:ascii="Times New Roman" w:hAnsi="Times New Roman" w:cs="Times New Roman"/>
          <w:lang w:val="ro-MD"/>
        </w:rPr>
        <w:t>7</w:t>
      </w:r>
      <w:r w:rsidRPr="000508B6">
        <w:rPr>
          <w:rFonts w:ascii="Times New Roman" w:hAnsi="Times New Roman" w:cs="Times New Roman"/>
          <w:lang w:val="ro-MD"/>
        </w:rPr>
        <w:t xml:space="preserve">) și nu pot să fie mai reduse decât cele care ar fi transmise de </w:t>
      </w:r>
      <w:r w:rsidR="00DA3805" w:rsidRPr="000508B6">
        <w:rPr>
          <w:rFonts w:ascii="Times New Roman" w:hAnsi="Times New Roman" w:cs="Times New Roman"/>
          <w:lang w:val="ro-MD"/>
        </w:rPr>
        <w:t xml:space="preserve">asigurător sau </w:t>
      </w:r>
      <w:proofErr w:type="spellStart"/>
      <w:r w:rsidR="00DA3805" w:rsidRPr="000508B6">
        <w:rPr>
          <w:rFonts w:ascii="Times New Roman" w:hAnsi="Times New Roman" w:cs="Times New Roman"/>
          <w:lang w:val="ro-MD"/>
        </w:rPr>
        <w:t>reasigurător</w:t>
      </w:r>
      <w:proofErr w:type="spellEnd"/>
      <w:r w:rsidR="00DA3805" w:rsidRPr="000508B6">
        <w:rPr>
          <w:rFonts w:ascii="Times New Roman" w:hAnsi="Times New Roman" w:cs="Times New Roman"/>
          <w:lang w:val="ro-MD"/>
        </w:rPr>
        <w:t xml:space="preserve"> </w:t>
      </w:r>
      <w:r w:rsidRPr="000508B6">
        <w:rPr>
          <w:rFonts w:ascii="Times New Roman" w:hAnsi="Times New Roman" w:cs="Times New Roman"/>
          <w:lang w:val="ro-MD"/>
        </w:rPr>
        <w:t>care prezintă un raport periodic de supraveghere în conformitate cu art</w:t>
      </w:r>
      <w:r w:rsidR="00966DD7" w:rsidRPr="000508B6">
        <w:rPr>
          <w:rFonts w:ascii="Times New Roman" w:hAnsi="Times New Roman" w:cs="Times New Roman"/>
          <w:lang w:val="ro-MD"/>
        </w:rPr>
        <w:t>.</w:t>
      </w:r>
      <w:r w:rsidRPr="000508B6">
        <w:rPr>
          <w:rFonts w:ascii="Times New Roman" w:hAnsi="Times New Roman" w:cs="Times New Roman"/>
          <w:lang w:val="ro-MD"/>
        </w:rPr>
        <w:t xml:space="preserve"> </w:t>
      </w:r>
      <w:r w:rsidR="008B44ED" w:rsidRPr="000508B6">
        <w:rPr>
          <w:rFonts w:ascii="Times New Roman" w:hAnsi="Times New Roman" w:cs="Times New Roman"/>
          <w:lang w:val="ro-MD"/>
        </w:rPr>
        <w:t>179</w:t>
      </w:r>
      <w:r w:rsidR="00966DD7" w:rsidRPr="000508B6">
        <w:rPr>
          <w:rFonts w:ascii="Times New Roman" w:hAnsi="Times New Roman" w:cs="Times New Roman"/>
          <w:lang w:val="ro-MD"/>
        </w:rPr>
        <w:t xml:space="preserve"> alin. (</w:t>
      </w:r>
      <w:r w:rsidR="00F82637" w:rsidRPr="000508B6">
        <w:rPr>
          <w:rFonts w:ascii="Times New Roman" w:hAnsi="Times New Roman" w:cs="Times New Roman"/>
          <w:lang w:val="ro-MD"/>
        </w:rPr>
        <w:t>7</w:t>
      </w:r>
      <w:r w:rsidRPr="000508B6">
        <w:rPr>
          <w:rFonts w:ascii="Times New Roman" w:hAnsi="Times New Roman" w:cs="Times New Roman"/>
          <w:lang w:val="ro-MD"/>
        </w:rPr>
        <w:t>).</w:t>
      </w:r>
    </w:p>
    <w:p w14:paraId="1688E607" w14:textId="2782E4AD"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(4)</w:t>
      </w:r>
      <w:r w:rsidR="00656C7A" w:rsidRPr="000508B6">
        <w:rPr>
          <w:rFonts w:ascii="Times New Roman" w:hAnsi="Times New Roman" w:cs="Times New Roman"/>
          <w:lang w:val="ro-MD"/>
        </w:rPr>
        <w:t xml:space="preserve"> </w:t>
      </w:r>
      <w:r w:rsidRPr="000508B6">
        <w:rPr>
          <w:rFonts w:ascii="Times New Roman" w:hAnsi="Times New Roman" w:cs="Times New Roman"/>
          <w:lang w:val="ro-MD"/>
        </w:rPr>
        <w:t xml:space="preserve">Până </w:t>
      </w:r>
      <w:r w:rsidR="00EC4A0A" w:rsidRPr="000508B6">
        <w:rPr>
          <w:rFonts w:ascii="Times New Roman" w:hAnsi="Times New Roman" w:cs="Times New Roman"/>
          <w:lang w:val="ro-MD"/>
        </w:rPr>
        <w:t>la aprobarea</w:t>
      </w:r>
      <w:r w:rsidRPr="000508B6">
        <w:rPr>
          <w:rFonts w:ascii="Times New Roman" w:hAnsi="Times New Roman" w:cs="Times New Roman"/>
          <w:lang w:val="ro-MD"/>
        </w:rPr>
        <w:t xml:space="preserve"> </w:t>
      </w:r>
      <w:r w:rsidR="00CF1878" w:rsidRPr="000508B6">
        <w:rPr>
          <w:rFonts w:ascii="Times New Roman" w:hAnsi="Times New Roman" w:cs="Times New Roman"/>
          <w:lang w:val="ro-MD"/>
        </w:rPr>
        <w:t xml:space="preserve">prevăzută la </w:t>
      </w:r>
      <w:r w:rsidRPr="000508B6">
        <w:rPr>
          <w:rFonts w:ascii="Times New Roman" w:hAnsi="Times New Roman" w:cs="Times New Roman"/>
          <w:lang w:val="ro-MD"/>
        </w:rPr>
        <w:t xml:space="preserve">alin. (3), </w:t>
      </w:r>
      <w:r w:rsidR="00D94C7B"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îi consultă pe membrii colegiului supraveghetorilor și ține seama de toate punctele de vedere și rezervele acestora. Lipsa unui acord din partea </w:t>
      </w:r>
      <w:r w:rsidR="0053758A" w:rsidRPr="000508B6">
        <w:rPr>
          <w:rFonts w:ascii="Times New Roman" w:hAnsi="Times New Roman" w:cs="Times New Roman"/>
          <w:lang w:val="ro-MD"/>
        </w:rPr>
        <w:t>acestora</w:t>
      </w:r>
      <w:r w:rsidRPr="000508B6">
        <w:rPr>
          <w:rFonts w:ascii="Times New Roman" w:hAnsi="Times New Roman" w:cs="Times New Roman"/>
          <w:lang w:val="ro-MD"/>
        </w:rPr>
        <w:t xml:space="preserve"> se justifică în mod corespunzător. În cazul în care raportul periodic unic de supraveghere prezentat în conformitate cu prezentul alineat este aprobat de colegiul supraveghetorilor, </w:t>
      </w:r>
      <w:r w:rsidR="00DA3805" w:rsidRPr="000508B6">
        <w:rPr>
          <w:rFonts w:ascii="Times New Roman" w:hAnsi="Times New Roman" w:cs="Times New Roman"/>
          <w:lang w:val="ro-MD"/>
        </w:rPr>
        <w:t xml:space="preserve">asigurătorul sau </w:t>
      </w:r>
      <w:proofErr w:type="spellStart"/>
      <w:r w:rsidR="00DA3805" w:rsidRPr="000508B6">
        <w:rPr>
          <w:rFonts w:ascii="Times New Roman" w:hAnsi="Times New Roman" w:cs="Times New Roman"/>
          <w:lang w:val="ro-MD"/>
        </w:rPr>
        <w:t>reasigurătorul</w:t>
      </w:r>
      <w:proofErr w:type="spellEnd"/>
      <w:r w:rsidR="00DA3805" w:rsidRPr="000508B6">
        <w:rPr>
          <w:rFonts w:ascii="Times New Roman" w:hAnsi="Times New Roman" w:cs="Times New Roman"/>
          <w:lang w:val="ro-MD"/>
        </w:rPr>
        <w:t xml:space="preserve"> </w:t>
      </w:r>
      <w:r w:rsidRPr="000508B6">
        <w:rPr>
          <w:rFonts w:ascii="Times New Roman" w:hAnsi="Times New Roman" w:cs="Times New Roman"/>
          <w:lang w:val="ro-MD"/>
        </w:rPr>
        <w:t xml:space="preserve">în parte transmite raportul periodic unic de supraveghere </w:t>
      </w:r>
      <w:r w:rsidR="00636E3C"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Fiecare </w:t>
      </w:r>
      <w:r w:rsidR="00CF1878" w:rsidRPr="000508B6">
        <w:rPr>
          <w:rFonts w:ascii="Times New Roman" w:hAnsi="Times New Roman" w:cs="Times New Roman"/>
          <w:lang w:val="ro-MD"/>
        </w:rPr>
        <w:t>supraveghetor</w:t>
      </w:r>
      <w:r w:rsidRPr="000508B6">
        <w:rPr>
          <w:rFonts w:ascii="Times New Roman" w:hAnsi="Times New Roman" w:cs="Times New Roman"/>
          <w:lang w:val="ro-MD"/>
        </w:rPr>
        <w:t xml:space="preserve"> are competența de a supraveghea partea din raportul periodic unic de supraveghere care este specifică filialei relevante.</w:t>
      </w:r>
    </w:p>
    <w:p w14:paraId="57D0FC3C" w14:textId="0BBBDDF2"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(5) În cazul în care raportul periodic unic de supraveghere prezentat nu este considerat adecvat de către </w:t>
      </w:r>
      <w:r w:rsidR="002E6052"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w:t>
      </w:r>
      <w:r w:rsidR="00CF1878" w:rsidRPr="000508B6">
        <w:rPr>
          <w:rFonts w:ascii="Times New Roman" w:hAnsi="Times New Roman" w:cs="Times New Roman"/>
          <w:lang w:val="ro-MD"/>
        </w:rPr>
        <w:t xml:space="preserve">aprobarea </w:t>
      </w:r>
      <w:r w:rsidRPr="000508B6">
        <w:rPr>
          <w:rFonts w:ascii="Times New Roman" w:hAnsi="Times New Roman" w:cs="Times New Roman"/>
          <w:lang w:val="ro-MD"/>
        </w:rPr>
        <w:t>menționat</w:t>
      </w:r>
      <w:r w:rsidR="00CF1878" w:rsidRPr="000508B6">
        <w:rPr>
          <w:rFonts w:ascii="Times New Roman" w:hAnsi="Times New Roman" w:cs="Times New Roman"/>
          <w:lang w:val="ro-MD"/>
        </w:rPr>
        <w:t>ă</w:t>
      </w:r>
      <w:r w:rsidRPr="000508B6">
        <w:rPr>
          <w:rFonts w:ascii="Times New Roman" w:hAnsi="Times New Roman" w:cs="Times New Roman"/>
          <w:lang w:val="ro-MD"/>
        </w:rPr>
        <w:t xml:space="preserve"> la alin</w:t>
      </w:r>
      <w:r w:rsidR="00EC0DBB" w:rsidRPr="000508B6">
        <w:rPr>
          <w:rFonts w:ascii="Times New Roman" w:hAnsi="Times New Roman" w:cs="Times New Roman"/>
          <w:lang w:val="ro-MD"/>
        </w:rPr>
        <w:t>.</w:t>
      </w:r>
      <w:r w:rsidRPr="000508B6">
        <w:rPr>
          <w:rFonts w:ascii="Times New Roman" w:hAnsi="Times New Roman" w:cs="Times New Roman"/>
          <w:lang w:val="ro-MD"/>
        </w:rPr>
        <w:t xml:space="preserve"> (</w:t>
      </w:r>
      <w:r w:rsidR="00403DA3" w:rsidRPr="000508B6">
        <w:rPr>
          <w:rFonts w:ascii="Times New Roman" w:hAnsi="Times New Roman" w:cs="Times New Roman"/>
          <w:lang w:val="ro-MD"/>
        </w:rPr>
        <w:t>3</w:t>
      </w:r>
      <w:r w:rsidRPr="000508B6">
        <w:rPr>
          <w:rFonts w:ascii="Times New Roman" w:hAnsi="Times New Roman" w:cs="Times New Roman"/>
          <w:lang w:val="ro-MD"/>
        </w:rPr>
        <w:t>) poate fi retras</w:t>
      </w:r>
      <w:r w:rsidR="00CF1878" w:rsidRPr="000508B6">
        <w:rPr>
          <w:rFonts w:ascii="Times New Roman" w:hAnsi="Times New Roman" w:cs="Times New Roman"/>
          <w:lang w:val="ro-MD"/>
        </w:rPr>
        <w:t>ă</w:t>
      </w:r>
      <w:r w:rsidRPr="000508B6">
        <w:rPr>
          <w:rFonts w:ascii="Times New Roman" w:hAnsi="Times New Roman" w:cs="Times New Roman"/>
          <w:lang w:val="ro-MD"/>
        </w:rPr>
        <w:t>.</w:t>
      </w:r>
    </w:p>
    <w:p w14:paraId="74D1EB56" w14:textId="7A8CA835"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(6) În cazul în care raportul menționat la alin. (3) nu include informațiile pe care </w:t>
      </w:r>
      <w:r w:rsidR="002E6052" w:rsidRPr="000508B6">
        <w:rPr>
          <w:rFonts w:ascii="Times New Roman" w:hAnsi="Times New Roman" w:cs="Times New Roman"/>
          <w:lang w:val="ro-MD"/>
        </w:rPr>
        <w:t>Banca Națională</w:t>
      </w:r>
      <w:r w:rsidRPr="000508B6">
        <w:rPr>
          <w:rFonts w:ascii="Times New Roman" w:hAnsi="Times New Roman" w:cs="Times New Roman"/>
          <w:lang w:val="ro-MD"/>
        </w:rPr>
        <w:t xml:space="preserve"> a </w:t>
      </w:r>
      <w:r w:rsidR="002E6052" w:rsidRPr="000508B6">
        <w:rPr>
          <w:rFonts w:ascii="Times New Roman" w:hAnsi="Times New Roman" w:cs="Times New Roman"/>
          <w:lang w:val="ro-MD"/>
        </w:rPr>
        <w:t>Moldovei</w:t>
      </w:r>
      <w:r w:rsidRPr="000508B6">
        <w:rPr>
          <w:rFonts w:ascii="Times New Roman" w:hAnsi="Times New Roman" w:cs="Times New Roman"/>
          <w:lang w:val="ro-MD"/>
        </w:rPr>
        <w:t xml:space="preserve"> le solicită </w:t>
      </w:r>
      <w:r w:rsidR="00DA3805" w:rsidRPr="000508B6">
        <w:rPr>
          <w:rFonts w:ascii="Times New Roman" w:hAnsi="Times New Roman" w:cs="Times New Roman"/>
          <w:lang w:val="ro-MD"/>
        </w:rPr>
        <w:t xml:space="preserve">asigurătorilor sau </w:t>
      </w:r>
      <w:proofErr w:type="spellStart"/>
      <w:r w:rsidR="00DA3805" w:rsidRPr="000508B6">
        <w:rPr>
          <w:rFonts w:ascii="Times New Roman" w:hAnsi="Times New Roman" w:cs="Times New Roman"/>
          <w:lang w:val="ro-MD"/>
        </w:rPr>
        <w:t>reasigurătorilor</w:t>
      </w:r>
      <w:proofErr w:type="spellEnd"/>
      <w:r w:rsidR="00DA3805" w:rsidRPr="000508B6">
        <w:rPr>
          <w:rFonts w:ascii="Times New Roman" w:hAnsi="Times New Roman" w:cs="Times New Roman"/>
          <w:lang w:val="ro-MD"/>
        </w:rPr>
        <w:t xml:space="preserve"> </w:t>
      </w:r>
      <w:r w:rsidRPr="000508B6">
        <w:rPr>
          <w:rFonts w:ascii="Times New Roman" w:hAnsi="Times New Roman" w:cs="Times New Roman"/>
          <w:lang w:val="ro-MD"/>
        </w:rPr>
        <w:t>comparabil</w:t>
      </w:r>
      <w:r w:rsidR="00DA3805" w:rsidRPr="000508B6">
        <w:rPr>
          <w:rFonts w:ascii="Times New Roman" w:hAnsi="Times New Roman" w:cs="Times New Roman"/>
          <w:lang w:val="ro-MD"/>
        </w:rPr>
        <w:t>i</w:t>
      </w:r>
      <w:r w:rsidRPr="000508B6">
        <w:rPr>
          <w:rFonts w:ascii="Times New Roman" w:hAnsi="Times New Roman" w:cs="Times New Roman"/>
          <w:lang w:val="ro-MD"/>
        </w:rPr>
        <w:t xml:space="preserve"> și în cazul în care omisiunea este </w:t>
      </w:r>
      <w:r w:rsidRPr="000508B6">
        <w:rPr>
          <w:rFonts w:ascii="Times New Roman" w:hAnsi="Times New Roman" w:cs="Times New Roman"/>
          <w:lang w:val="ro-MD"/>
        </w:rPr>
        <w:lastRenderedPageBreak/>
        <w:t xml:space="preserve">semnificativă, </w:t>
      </w:r>
      <w:r w:rsidR="002E6052"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are competența să impună filialei să raporteze informațiile suplimentare necesare.</w:t>
      </w:r>
    </w:p>
    <w:p w14:paraId="343E34E2" w14:textId="357A55DE" w:rsidR="00CC6D5C" w:rsidRPr="000508B6" w:rsidRDefault="00CC6D5C" w:rsidP="00CC6D5C">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(7) În cazul în care </w:t>
      </w:r>
      <w:r w:rsidR="002E6052" w:rsidRPr="000508B6">
        <w:rPr>
          <w:rFonts w:ascii="Times New Roman" w:hAnsi="Times New Roman" w:cs="Times New Roman"/>
          <w:lang w:val="ro-MD"/>
        </w:rPr>
        <w:t>Banca Națională</w:t>
      </w:r>
      <w:r w:rsidRPr="000508B6">
        <w:rPr>
          <w:rFonts w:ascii="Times New Roman" w:hAnsi="Times New Roman" w:cs="Times New Roman"/>
          <w:lang w:val="ro-MD"/>
        </w:rPr>
        <w:t xml:space="preserve"> a </w:t>
      </w:r>
      <w:r w:rsidR="002E6052" w:rsidRPr="000508B6">
        <w:rPr>
          <w:rFonts w:ascii="Times New Roman" w:hAnsi="Times New Roman" w:cs="Times New Roman"/>
          <w:lang w:val="ro-MD"/>
        </w:rPr>
        <w:t>Moldovei</w:t>
      </w:r>
      <w:r w:rsidRPr="000508B6">
        <w:rPr>
          <w:rFonts w:ascii="Times New Roman" w:hAnsi="Times New Roman" w:cs="Times New Roman"/>
          <w:lang w:val="ro-MD"/>
        </w:rPr>
        <w:t xml:space="preserve"> identifică vreo neconformitate cu art</w:t>
      </w:r>
      <w:r w:rsidR="00783CA5" w:rsidRPr="000508B6">
        <w:rPr>
          <w:rFonts w:ascii="Times New Roman" w:hAnsi="Times New Roman" w:cs="Times New Roman"/>
          <w:lang w:val="ro-MD"/>
        </w:rPr>
        <w:t>.</w:t>
      </w:r>
      <w:r w:rsidR="00C33E5E" w:rsidRPr="000508B6">
        <w:rPr>
          <w:rFonts w:ascii="Times New Roman" w:hAnsi="Times New Roman" w:cs="Times New Roman"/>
          <w:lang w:val="ro-MD"/>
        </w:rPr>
        <w:t xml:space="preserve"> </w:t>
      </w:r>
      <w:r w:rsidR="008B44ED" w:rsidRPr="000508B6">
        <w:rPr>
          <w:rFonts w:ascii="Times New Roman" w:hAnsi="Times New Roman" w:cs="Times New Roman"/>
          <w:lang w:val="ro-MD"/>
        </w:rPr>
        <w:t>179</w:t>
      </w:r>
      <w:r w:rsidRPr="000508B6">
        <w:rPr>
          <w:rFonts w:ascii="Times New Roman" w:hAnsi="Times New Roman" w:cs="Times New Roman"/>
          <w:lang w:val="ro-MD"/>
        </w:rPr>
        <w:t xml:space="preserve"> alin</w:t>
      </w:r>
      <w:r w:rsidR="00783CA5" w:rsidRPr="000508B6">
        <w:rPr>
          <w:rFonts w:ascii="Times New Roman" w:hAnsi="Times New Roman" w:cs="Times New Roman"/>
          <w:lang w:val="ro-MD"/>
        </w:rPr>
        <w:t>.</w:t>
      </w:r>
      <w:r w:rsidRPr="000508B6">
        <w:rPr>
          <w:rFonts w:ascii="Times New Roman" w:hAnsi="Times New Roman" w:cs="Times New Roman"/>
          <w:lang w:val="ro-MD"/>
        </w:rPr>
        <w:t xml:space="preserve"> (</w:t>
      </w:r>
      <w:r w:rsidR="00A4571E" w:rsidRPr="000508B6">
        <w:rPr>
          <w:rFonts w:ascii="Times New Roman" w:hAnsi="Times New Roman" w:cs="Times New Roman"/>
          <w:lang w:val="ro-MD"/>
        </w:rPr>
        <w:t>7</w:t>
      </w:r>
      <w:r w:rsidRPr="000508B6">
        <w:rPr>
          <w:rFonts w:ascii="Times New Roman" w:hAnsi="Times New Roman" w:cs="Times New Roman"/>
          <w:lang w:val="ro-MD"/>
        </w:rPr>
        <w:t xml:space="preserve">) sau solicită vreo modificare ori clarificare cu privire la raportul periodic unic de supraveghere, </w:t>
      </w:r>
      <w:r w:rsidR="002E6052"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informează, de asemenea, colegiul supraveghetorilor </w:t>
      </w:r>
      <w:r w:rsidR="002E6052" w:rsidRPr="000508B6">
        <w:rPr>
          <w:rFonts w:ascii="Times New Roman" w:hAnsi="Times New Roman" w:cs="Times New Roman"/>
          <w:lang w:val="ro-MD"/>
        </w:rPr>
        <w:t>și</w:t>
      </w:r>
      <w:r w:rsidRPr="000508B6">
        <w:rPr>
          <w:rFonts w:ascii="Times New Roman" w:hAnsi="Times New Roman" w:cs="Times New Roman"/>
          <w:lang w:val="ro-MD"/>
        </w:rPr>
        <w:t xml:space="preserve"> transmite aceeași solicitare </w:t>
      </w:r>
      <w:r w:rsidR="00DA3805" w:rsidRPr="000508B6">
        <w:rPr>
          <w:rFonts w:ascii="Times New Roman" w:hAnsi="Times New Roman" w:cs="Times New Roman"/>
          <w:lang w:val="ro-MD"/>
        </w:rPr>
        <w:t xml:space="preserve">asigurătorului sau </w:t>
      </w:r>
      <w:proofErr w:type="spellStart"/>
      <w:r w:rsidR="00DA3805" w:rsidRPr="000508B6">
        <w:rPr>
          <w:rFonts w:ascii="Times New Roman" w:hAnsi="Times New Roman" w:cs="Times New Roman"/>
          <w:lang w:val="ro-MD"/>
        </w:rPr>
        <w:t>reasigurătorului</w:t>
      </w:r>
      <w:proofErr w:type="spellEnd"/>
      <w:r w:rsidR="00403D10" w:rsidRPr="000508B6">
        <w:rPr>
          <w:rFonts w:ascii="Times New Roman" w:hAnsi="Times New Roman" w:cs="Times New Roman"/>
          <w:lang w:val="ro-MD"/>
        </w:rPr>
        <w:t xml:space="preserve"> </w:t>
      </w:r>
      <w:r w:rsidRPr="000508B6">
        <w:rPr>
          <w:rFonts w:ascii="Times New Roman" w:hAnsi="Times New Roman" w:cs="Times New Roman"/>
          <w:lang w:val="ro-MD"/>
        </w:rPr>
        <w:t>participativ, holdingului de asigurare sau holdingului financiar mixt.</w:t>
      </w:r>
    </w:p>
    <w:p w14:paraId="517F98A5" w14:textId="77777777" w:rsidR="00CC6D5C" w:rsidRPr="000508B6" w:rsidRDefault="00CC6D5C" w:rsidP="00CC6D5C">
      <w:pPr>
        <w:spacing w:after="0" w:line="240" w:lineRule="auto"/>
        <w:ind w:firstLine="426"/>
        <w:jc w:val="both"/>
        <w:rPr>
          <w:rFonts w:ascii="Times New Roman" w:hAnsi="Times New Roman" w:cs="Times New Roman"/>
          <w:lang w:val="ro-MD"/>
        </w:rPr>
      </w:pPr>
    </w:p>
    <w:p w14:paraId="7B183044" w14:textId="0237D300" w:rsidR="00F95829" w:rsidRPr="000508B6" w:rsidRDefault="00745523" w:rsidP="00B27897">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151</w:t>
      </w:r>
      <w:r w:rsidR="000A1D56" w:rsidRPr="000508B6">
        <w:rPr>
          <w:rFonts w:ascii="Times New Roman" w:hAnsi="Times New Roman" w:cs="Times New Roman"/>
          <w:lang w:val="ro-MD"/>
        </w:rPr>
        <w:t>.</w:t>
      </w:r>
      <w:r w:rsidRPr="000508B6">
        <w:rPr>
          <w:rFonts w:ascii="Times New Roman" w:hAnsi="Times New Roman" w:cs="Times New Roman"/>
          <w:lang w:val="ro-MD"/>
        </w:rPr>
        <w:t xml:space="preserve">   Raportul privind solvabilitatea și situația financiară: cerința de audit</w:t>
      </w:r>
      <w:r w:rsidR="008D30F4" w:rsidRPr="000508B6">
        <w:rPr>
          <w:rFonts w:ascii="Times New Roman" w:hAnsi="Times New Roman" w:cs="Times New Roman"/>
          <w:lang w:val="ro-MD"/>
        </w:rPr>
        <w:t xml:space="preserve"> </w:t>
      </w:r>
    </w:p>
    <w:p w14:paraId="2A03B80B" w14:textId="426A4723" w:rsidR="00985AA9" w:rsidRPr="000508B6" w:rsidRDefault="00985AA9" w:rsidP="001F3F47">
      <w:pPr>
        <w:tabs>
          <w:tab w:val="left" w:pos="709"/>
        </w:tabs>
        <w:spacing w:after="0" w:line="240" w:lineRule="auto"/>
        <w:ind w:firstLine="426"/>
        <w:jc w:val="both"/>
        <w:rPr>
          <w:rFonts w:ascii="Times New Roman" w:hAnsi="Times New Roman" w:cs="Times New Roman"/>
          <w:bCs/>
          <w:lang w:val="ro-MD"/>
        </w:rPr>
      </w:pPr>
      <w:r w:rsidRPr="000508B6">
        <w:rPr>
          <w:rFonts w:ascii="Times New Roman" w:hAnsi="Times New Roman" w:cs="Times New Roman"/>
          <w:lang w:val="ro-MD"/>
        </w:rPr>
        <w:t>(1)</w:t>
      </w:r>
      <w:r w:rsidRPr="000508B6" w:rsidDel="001F3F47">
        <w:rPr>
          <w:rFonts w:ascii="Times New Roman" w:hAnsi="Times New Roman" w:cs="Times New Roman"/>
          <w:lang w:val="ro-MD"/>
        </w:rPr>
        <w:t xml:space="preserve"> </w:t>
      </w:r>
      <w:r w:rsidR="00DA3805" w:rsidRPr="000508B6">
        <w:rPr>
          <w:rFonts w:ascii="Times New Roman" w:hAnsi="Times New Roman" w:cs="Times New Roman"/>
          <w:lang w:val="ro-MD"/>
        </w:rPr>
        <w:t xml:space="preserve">Asigurătorul sau </w:t>
      </w:r>
      <w:proofErr w:type="spellStart"/>
      <w:r w:rsidR="00DA3805" w:rsidRPr="000508B6">
        <w:rPr>
          <w:rFonts w:ascii="Times New Roman" w:hAnsi="Times New Roman" w:cs="Times New Roman"/>
          <w:lang w:val="ro-MD"/>
        </w:rPr>
        <w:t>reasigurătorul</w:t>
      </w:r>
      <w:proofErr w:type="spellEnd"/>
      <w:r w:rsidR="00403D10" w:rsidRPr="000508B6">
        <w:rPr>
          <w:rFonts w:ascii="Times New Roman" w:hAnsi="Times New Roman" w:cs="Times New Roman"/>
          <w:lang w:val="ro-MD"/>
        </w:rPr>
        <w:t xml:space="preserve"> </w:t>
      </w:r>
      <w:r w:rsidRPr="000508B6">
        <w:rPr>
          <w:rFonts w:ascii="Times New Roman" w:hAnsi="Times New Roman" w:cs="Times New Roman"/>
          <w:lang w:val="ro-MD"/>
        </w:rPr>
        <w:t>participativ, holding</w:t>
      </w:r>
      <w:r w:rsidR="00656C7A" w:rsidRPr="000508B6">
        <w:rPr>
          <w:rFonts w:ascii="Times New Roman" w:hAnsi="Times New Roman" w:cs="Times New Roman"/>
          <w:lang w:val="ro-MD"/>
        </w:rPr>
        <w:t>ul</w:t>
      </w:r>
      <w:r w:rsidRPr="000508B6">
        <w:rPr>
          <w:rFonts w:ascii="Times New Roman" w:hAnsi="Times New Roman" w:cs="Times New Roman"/>
          <w:lang w:val="ro-MD"/>
        </w:rPr>
        <w:t xml:space="preserve"> de asigurare sau holding</w:t>
      </w:r>
      <w:r w:rsidR="00656C7A" w:rsidRPr="000508B6">
        <w:rPr>
          <w:rFonts w:ascii="Times New Roman" w:hAnsi="Times New Roman" w:cs="Times New Roman"/>
          <w:lang w:val="ro-MD"/>
        </w:rPr>
        <w:t>ul</w:t>
      </w:r>
      <w:r w:rsidRPr="000508B6">
        <w:rPr>
          <w:rFonts w:ascii="Times New Roman" w:hAnsi="Times New Roman" w:cs="Times New Roman"/>
          <w:lang w:val="ro-MD"/>
        </w:rPr>
        <w:t xml:space="preserve"> financiar mixt este supus unei cerințe de audit cu privire la bilanțul grupului publicat în cadrul raportului privind solvabilitatea și situația financiară la nivel de grup menționat la art</w:t>
      </w:r>
      <w:r w:rsidR="000B1D8C" w:rsidRPr="000508B6">
        <w:rPr>
          <w:rFonts w:ascii="Times New Roman" w:hAnsi="Times New Roman" w:cs="Times New Roman"/>
          <w:bCs/>
          <w:lang w:val="ro-MD"/>
        </w:rPr>
        <w:t>.</w:t>
      </w:r>
      <w:r w:rsidRPr="000508B6">
        <w:rPr>
          <w:rFonts w:ascii="Times New Roman" w:hAnsi="Times New Roman" w:cs="Times New Roman"/>
          <w:lang w:val="ro-MD"/>
        </w:rPr>
        <w:t xml:space="preserve"> </w:t>
      </w:r>
      <w:r w:rsidR="000B1D8C" w:rsidRPr="000508B6">
        <w:rPr>
          <w:rFonts w:ascii="Times New Roman" w:hAnsi="Times New Roman" w:cs="Times New Roman"/>
          <w:bCs/>
          <w:lang w:val="ro-MD"/>
        </w:rPr>
        <w:t>148</w:t>
      </w:r>
      <w:r w:rsidRPr="000508B6">
        <w:rPr>
          <w:rFonts w:ascii="Times New Roman" w:hAnsi="Times New Roman" w:cs="Times New Roman"/>
          <w:lang w:val="ro-MD"/>
        </w:rPr>
        <w:t xml:space="preserve"> alin</w:t>
      </w:r>
      <w:r w:rsidR="000B1D8C" w:rsidRPr="000508B6">
        <w:rPr>
          <w:rFonts w:ascii="Times New Roman" w:hAnsi="Times New Roman" w:cs="Times New Roman"/>
          <w:bCs/>
          <w:lang w:val="ro-MD"/>
        </w:rPr>
        <w:t>.</w:t>
      </w:r>
      <w:r w:rsidRPr="000508B6">
        <w:rPr>
          <w:rFonts w:ascii="Times New Roman" w:hAnsi="Times New Roman" w:cs="Times New Roman"/>
          <w:lang w:val="ro-MD"/>
        </w:rPr>
        <w:t xml:space="preserve"> (1)</w:t>
      </w:r>
      <w:r w:rsidR="003E5EB2" w:rsidRPr="000508B6">
        <w:rPr>
          <w:rFonts w:ascii="Times New Roman" w:hAnsi="Times New Roman" w:cs="Times New Roman"/>
          <w:bCs/>
          <w:lang w:val="ro-MD"/>
        </w:rPr>
        <w:t xml:space="preserve"> și ali</w:t>
      </w:r>
      <w:r w:rsidR="000A1D56" w:rsidRPr="000508B6">
        <w:rPr>
          <w:rFonts w:ascii="Times New Roman" w:hAnsi="Times New Roman" w:cs="Times New Roman"/>
          <w:bCs/>
          <w:lang w:val="ro-MD"/>
        </w:rPr>
        <w:t>n</w:t>
      </w:r>
      <w:r w:rsidR="003E5EB2" w:rsidRPr="000508B6">
        <w:rPr>
          <w:rFonts w:ascii="Times New Roman" w:hAnsi="Times New Roman" w:cs="Times New Roman"/>
          <w:bCs/>
          <w:lang w:val="ro-MD"/>
        </w:rPr>
        <w:t xml:space="preserve">. (2) </w:t>
      </w:r>
      <w:r w:rsidRPr="000508B6">
        <w:rPr>
          <w:rFonts w:ascii="Times New Roman" w:hAnsi="Times New Roman" w:cs="Times New Roman"/>
          <w:lang w:val="ro-MD"/>
        </w:rPr>
        <w:t>sau în cadrul raportului unic privind solvabilitatea și situația financiară menționat la art</w:t>
      </w:r>
      <w:r w:rsidR="000B1D8C"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3C3F62" w:rsidRPr="000508B6">
        <w:rPr>
          <w:rFonts w:ascii="Times New Roman" w:hAnsi="Times New Roman" w:cs="Times New Roman"/>
          <w:bCs/>
          <w:lang w:val="ro-MD"/>
        </w:rPr>
        <w:t>148</w:t>
      </w:r>
      <w:r w:rsidRPr="000508B6">
        <w:rPr>
          <w:rFonts w:ascii="Times New Roman" w:hAnsi="Times New Roman" w:cs="Times New Roman"/>
          <w:bCs/>
          <w:lang w:val="ro-MD"/>
        </w:rPr>
        <w:t xml:space="preserve"> alin</w:t>
      </w:r>
      <w:r w:rsidR="000B1D8C"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3C3F62" w:rsidRPr="000508B6">
        <w:rPr>
          <w:rFonts w:ascii="Times New Roman" w:hAnsi="Times New Roman" w:cs="Times New Roman"/>
          <w:bCs/>
          <w:lang w:val="ro-MD"/>
        </w:rPr>
        <w:t>3</w:t>
      </w:r>
      <w:r w:rsidR="0073355D" w:rsidRPr="000508B6">
        <w:rPr>
          <w:rFonts w:ascii="Times New Roman" w:hAnsi="Times New Roman" w:cs="Times New Roman"/>
          <w:bCs/>
          <w:lang w:val="ro-MD"/>
        </w:rPr>
        <w:t>).</w:t>
      </w:r>
      <w:r w:rsidR="00194CFD" w:rsidRPr="000508B6">
        <w:rPr>
          <w:rFonts w:ascii="Times New Roman" w:hAnsi="Times New Roman" w:cs="Times New Roman"/>
          <w:bCs/>
          <w:lang w:val="ro-MD"/>
        </w:rPr>
        <w:t xml:space="preserve"> </w:t>
      </w:r>
    </w:p>
    <w:p w14:paraId="16822749" w14:textId="2536CD2F" w:rsidR="00985AA9" w:rsidRPr="000508B6" w:rsidRDefault="00985AA9" w:rsidP="00B27897">
      <w:pPr>
        <w:tabs>
          <w:tab w:val="left" w:pos="709"/>
        </w:tabs>
        <w:spacing w:after="0" w:line="240" w:lineRule="auto"/>
        <w:ind w:firstLine="426"/>
        <w:jc w:val="both"/>
        <w:rPr>
          <w:rFonts w:ascii="Times New Roman" w:hAnsi="Times New Roman" w:cs="Times New Roman"/>
          <w:lang w:val="ro-MD"/>
        </w:rPr>
      </w:pPr>
      <w:r w:rsidRPr="000508B6">
        <w:rPr>
          <w:rFonts w:ascii="Times New Roman" w:hAnsi="Times New Roman" w:cs="Times New Roman"/>
          <w:bCs/>
          <w:lang w:val="ro-MD"/>
        </w:rPr>
        <w:t>(2)</w:t>
      </w:r>
      <w:r w:rsidRPr="000508B6" w:rsidDel="001F3F47">
        <w:rPr>
          <w:rFonts w:ascii="Times New Roman" w:hAnsi="Times New Roman" w:cs="Times New Roman"/>
          <w:bCs/>
          <w:lang w:val="ro-MD"/>
        </w:rPr>
        <w:t xml:space="preserve"> </w:t>
      </w:r>
      <w:r w:rsidRPr="000508B6">
        <w:rPr>
          <w:rFonts w:ascii="Times New Roman" w:hAnsi="Times New Roman" w:cs="Times New Roman"/>
          <w:bCs/>
          <w:lang w:val="ro-MD"/>
        </w:rPr>
        <w:t xml:space="preserve">Un raport separat, care include identificarea nivelului de asigurare, precum și rezultatele auditului și care este întocmit de entitatea de audit, se prezintă </w:t>
      </w:r>
      <w:r w:rsidR="0010410A" w:rsidRPr="000508B6">
        <w:rPr>
          <w:rFonts w:ascii="Times New Roman" w:hAnsi="Times New Roman" w:cs="Times New Roman"/>
          <w:bCs/>
          <w:lang w:val="ro-MD"/>
        </w:rPr>
        <w:t>Băncii Naționale</w:t>
      </w:r>
      <w:r w:rsidRPr="000508B6">
        <w:rPr>
          <w:rFonts w:ascii="Times New Roman" w:hAnsi="Times New Roman" w:cs="Times New Roman"/>
          <w:lang w:val="ro-MD"/>
        </w:rPr>
        <w:t xml:space="preserve"> a </w:t>
      </w:r>
      <w:r w:rsidR="0010410A" w:rsidRPr="000508B6">
        <w:rPr>
          <w:rFonts w:ascii="Times New Roman" w:hAnsi="Times New Roman" w:cs="Times New Roman"/>
          <w:bCs/>
          <w:lang w:val="ro-MD"/>
        </w:rPr>
        <w:t>Moldovei</w:t>
      </w:r>
      <w:r w:rsidRPr="000508B6">
        <w:rPr>
          <w:rFonts w:ascii="Times New Roman" w:hAnsi="Times New Roman" w:cs="Times New Roman"/>
          <w:bCs/>
          <w:lang w:val="ro-MD"/>
        </w:rPr>
        <w:t xml:space="preserve"> împreună cu raportul privind solvabilitatea și situația financiară la nivel de grup menționat la art</w:t>
      </w:r>
      <w:r w:rsidR="003E5EB2" w:rsidRPr="000508B6">
        <w:rPr>
          <w:rFonts w:ascii="Times New Roman" w:hAnsi="Times New Roman" w:cs="Times New Roman"/>
          <w:bCs/>
          <w:lang w:val="ro-MD"/>
        </w:rPr>
        <w:t xml:space="preserve">. 148 alin. (1) și </w:t>
      </w:r>
      <w:r w:rsidR="008326E3" w:rsidRPr="000508B6">
        <w:rPr>
          <w:rFonts w:ascii="Times New Roman" w:hAnsi="Times New Roman" w:cs="Times New Roman"/>
          <w:bCs/>
          <w:lang w:val="ro-MD"/>
        </w:rPr>
        <w:t>alin</w:t>
      </w:r>
      <w:r w:rsidR="003E5EB2" w:rsidRPr="000508B6">
        <w:rPr>
          <w:rFonts w:ascii="Times New Roman" w:hAnsi="Times New Roman" w:cs="Times New Roman"/>
          <w:bCs/>
          <w:lang w:val="ro-MD"/>
        </w:rPr>
        <w:t xml:space="preserve">. (2) </w:t>
      </w:r>
      <w:r w:rsidRPr="000508B6">
        <w:rPr>
          <w:rFonts w:ascii="Times New Roman" w:hAnsi="Times New Roman" w:cs="Times New Roman"/>
          <w:bCs/>
          <w:lang w:val="ro-MD"/>
        </w:rPr>
        <w:t>sau raportul unic privind solvabilitatea și situația financiară menționat la art</w:t>
      </w:r>
      <w:r w:rsidR="003E5EB2" w:rsidRPr="000508B6">
        <w:rPr>
          <w:rFonts w:ascii="Times New Roman" w:hAnsi="Times New Roman" w:cs="Times New Roman"/>
          <w:bCs/>
          <w:lang w:val="ro-MD"/>
        </w:rPr>
        <w:t>. 148 alin. (3</w:t>
      </w:r>
      <w:r w:rsidRPr="000508B6">
        <w:rPr>
          <w:rFonts w:ascii="Times New Roman" w:hAnsi="Times New Roman" w:cs="Times New Roman"/>
          <w:lang w:val="ro-MD"/>
        </w:rPr>
        <w:t xml:space="preserve">) </w:t>
      </w:r>
      <w:r w:rsidRPr="000508B6">
        <w:rPr>
          <w:rFonts w:ascii="Times New Roman" w:hAnsi="Times New Roman" w:cs="Times New Roman"/>
          <w:bCs/>
          <w:lang w:val="ro-MD"/>
        </w:rPr>
        <w:t xml:space="preserve">întocmit de </w:t>
      </w:r>
      <w:r w:rsidR="00DA3805" w:rsidRPr="000508B6">
        <w:rPr>
          <w:rFonts w:ascii="Times New Roman" w:hAnsi="Times New Roman" w:cs="Times New Roman"/>
          <w:bCs/>
          <w:lang w:val="ro-MD"/>
        </w:rPr>
        <w:t xml:space="preserve">asigurător sau </w:t>
      </w:r>
      <w:proofErr w:type="spellStart"/>
      <w:r w:rsidR="00DA3805" w:rsidRPr="000508B6">
        <w:rPr>
          <w:rFonts w:ascii="Times New Roman" w:hAnsi="Times New Roman" w:cs="Times New Roman"/>
          <w:bCs/>
          <w:lang w:val="ro-MD"/>
        </w:rPr>
        <w:t>reasigurător</w:t>
      </w:r>
      <w:proofErr w:type="spellEnd"/>
      <w:r w:rsidR="00403D10" w:rsidRPr="000508B6">
        <w:rPr>
          <w:rFonts w:ascii="Times New Roman" w:hAnsi="Times New Roman" w:cs="Times New Roman"/>
          <w:bCs/>
          <w:lang w:val="ro-MD"/>
        </w:rPr>
        <w:t xml:space="preserve"> </w:t>
      </w:r>
      <w:r w:rsidRPr="000508B6">
        <w:rPr>
          <w:rFonts w:ascii="Times New Roman" w:hAnsi="Times New Roman" w:cs="Times New Roman"/>
          <w:bCs/>
          <w:lang w:val="ro-MD"/>
        </w:rPr>
        <w:t>participativ, holdingul de asigurare sau holdingul financiar mixt.</w:t>
      </w:r>
      <w:r w:rsidR="00194CFD" w:rsidRPr="000508B6">
        <w:rPr>
          <w:rFonts w:ascii="Times New Roman" w:hAnsi="Times New Roman" w:cs="Times New Roman"/>
          <w:bCs/>
          <w:lang w:val="ro-MD"/>
        </w:rPr>
        <w:t xml:space="preserve"> </w:t>
      </w:r>
    </w:p>
    <w:p w14:paraId="107E0884" w14:textId="7E082EDE" w:rsidR="00985AA9" w:rsidRPr="000508B6" w:rsidRDefault="00985AA9" w:rsidP="00B27897">
      <w:pPr>
        <w:tabs>
          <w:tab w:val="left" w:pos="709"/>
        </w:tabs>
        <w:spacing w:after="0" w:line="240" w:lineRule="auto"/>
        <w:ind w:firstLine="426"/>
        <w:jc w:val="both"/>
        <w:rPr>
          <w:rFonts w:ascii="Times New Roman" w:hAnsi="Times New Roman" w:cs="Times New Roman"/>
          <w:lang w:val="ro-MD"/>
        </w:rPr>
      </w:pPr>
      <w:r w:rsidRPr="000508B6">
        <w:rPr>
          <w:rFonts w:ascii="Times New Roman" w:hAnsi="Times New Roman" w:cs="Times New Roman"/>
          <w:bCs/>
          <w:lang w:val="ro-MD"/>
        </w:rPr>
        <w:t>(3)</w:t>
      </w:r>
      <w:r w:rsidRPr="000508B6" w:rsidDel="001F3F47">
        <w:rPr>
          <w:rFonts w:ascii="Times New Roman" w:hAnsi="Times New Roman" w:cs="Times New Roman"/>
          <w:bCs/>
          <w:lang w:val="ro-MD"/>
        </w:rPr>
        <w:t xml:space="preserve"> </w:t>
      </w:r>
      <w:r w:rsidRPr="000508B6">
        <w:rPr>
          <w:rFonts w:ascii="Times New Roman" w:hAnsi="Times New Roman" w:cs="Times New Roman"/>
          <w:bCs/>
          <w:lang w:val="ro-MD"/>
        </w:rPr>
        <w:t>În cazul în care există un raport unic privind solvabilitatea și situația financiară menționat la art</w:t>
      </w:r>
      <w:r w:rsidR="0073355D"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73355D" w:rsidRPr="000508B6">
        <w:rPr>
          <w:rFonts w:ascii="Times New Roman" w:hAnsi="Times New Roman" w:cs="Times New Roman"/>
          <w:bCs/>
          <w:lang w:val="ro-MD"/>
        </w:rPr>
        <w:t>148</w:t>
      </w:r>
      <w:r w:rsidRPr="000508B6">
        <w:rPr>
          <w:rFonts w:ascii="Times New Roman" w:hAnsi="Times New Roman" w:cs="Times New Roman"/>
          <w:bCs/>
          <w:lang w:val="ro-MD"/>
        </w:rPr>
        <w:t xml:space="preserve"> alin</w:t>
      </w:r>
      <w:r w:rsidR="0073355D"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73355D" w:rsidRPr="000508B6">
        <w:rPr>
          <w:rFonts w:ascii="Times New Roman" w:hAnsi="Times New Roman" w:cs="Times New Roman"/>
          <w:bCs/>
          <w:lang w:val="ro-MD"/>
        </w:rPr>
        <w:t>3</w:t>
      </w:r>
      <w:r w:rsidRPr="000508B6">
        <w:rPr>
          <w:rFonts w:ascii="Times New Roman" w:hAnsi="Times New Roman" w:cs="Times New Roman"/>
          <w:bCs/>
          <w:lang w:val="ro-MD"/>
        </w:rPr>
        <w:t xml:space="preserve">), se respectă cerințele de audit impuse </w:t>
      </w:r>
      <w:r w:rsidR="00DA3805" w:rsidRPr="000508B6">
        <w:rPr>
          <w:rFonts w:ascii="Times New Roman" w:hAnsi="Times New Roman" w:cs="Times New Roman"/>
          <w:bCs/>
          <w:lang w:val="ro-MD"/>
        </w:rPr>
        <w:t xml:space="preserve">unui asigurător sau </w:t>
      </w:r>
      <w:proofErr w:type="spellStart"/>
      <w:r w:rsidR="00DA3805" w:rsidRPr="000508B6">
        <w:rPr>
          <w:rFonts w:ascii="Times New Roman" w:hAnsi="Times New Roman" w:cs="Times New Roman"/>
          <w:bCs/>
          <w:lang w:val="ro-MD"/>
        </w:rPr>
        <w:t>reasigurător</w:t>
      </w:r>
      <w:proofErr w:type="spellEnd"/>
      <w:r w:rsidR="00DA3805" w:rsidRPr="000508B6">
        <w:rPr>
          <w:rFonts w:ascii="Times New Roman" w:hAnsi="Times New Roman" w:cs="Times New Roman"/>
          <w:bCs/>
          <w:lang w:val="ro-MD"/>
        </w:rPr>
        <w:t xml:space="preserve"> </w:t>
      </w:r>
      <w:r w:rsidRPr="000508B6">
        <w:rPr>
          <w:rFonts w:ascii="Times New Roman" w:hAnsi="Times New Roman" w:cs="Times New Roman"/>
          <w:bCs/>
          <w:lang w:val="ro-MD"/>
        </w:rPr>
        <w:t>afiliat, iar raportul menționat la art</w:t>
      </w:r>
      <w:r w:rsidR="0073355D"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73355D" w:rsidRPr="000508B6">
        <w:rPr>
          <w:rFonts w:ascii="Times New Roman" w:hAnsi="Times New Roman" w:cs="Times New Roman"/>
          <w:bCs/>
          <w:lang w:val="ro-MD"/>
        </w:rPr>
        <w:t>3</w:t>
      </w:r>
      <w:r w:rsidR="00B375BC" w:rsidRPr="000508B6">
        <w:rPr>
          <w:rFonts w:ascii="Times New Roman" w:hAnsi="Times New Roman" w:cs="Times New Roman"/>
          <w:bCs/>
          <w:lang w:val="ro-MD"/>
        </w:rPr>
        <w:t>3</w:t>
      </w:r>
      <w:r w:rsidRPr="000508B6">
        <w:rPr>
          <w:rFonts w:ascii="Times New Roman" w:hAnsi="Times New Roman" w:cs="Times New Roman"/>
          <w:bCs/>
          <w:lang w:val="ro-MD"/>
        </w:rPr>
        <w:t xml:space="preserve"> alin</w:t>
      </w:r>
      <w:r w:rsidR="0073355D"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834520" w:rsidRPr="000508B6">
        <w:rPr>
          <w:rFonts w:ascii="Times New Roman" w:hAnsi="Times New Roman" w:cs="Times New Roman"/>
          <w:bCs/>
          <w:lang w:val="ro-MD"/>
        </w:rPr>
        <w:t>5</w:t>
      </w:r>
      <w:r w:rsidRPr="000508B6">
        <w:rPr>
          <w:rFonts w:ascii="Times New Roman" w:hAnsi="Times New Roman" w:cs="Times New Roman"/>
          <w:bCs/>
          <w:lang w:val="ro-MD"/>
        </w:rPr>
        <w:t xml:space="preserve">) se prezintă </w:t>
      </w:r>
      <w:r w:rsidR="00CF1878" w:rsidRPr="000508B6">
        <w:rPr>
          <w:rFonts w:ascii="Times New Roman" w:hAnsi="Times New Roman" w:cs="Times New Roman"/>
          <w:bCs/>
          <w:lang w:val="ro-MD"/>
        </w:rPr>
        <w:t xml:space="preserve">supraveghetorului </w:t>
      </w:r>
      <w:r w:rsidRPr="000508B6">
        <w:rPr>
          <w:rFonts w:ascii="Times New Roman" w:hAnsi="Times New Roman" w:cs="Times New Roman"/>
          <w:bCs/>
          <w:lang w:val="ro-MD"/>
        </w:rPr>
        <w:t xml:space="preserve"> respectiv</w:t>
      </w:r>
      <w:r w:rsidR="00FA6661" w:rsidRPr="000508B6">
        <w:rPr>
          <w:rFonts w:ascii="Times New Roman" w:hAnsi="Times New Roman" w:cs="Times New Roman"/>
          <w:bCs/>
          <w:lang w:val="ro-MD"/>
        </w:rPr>
        <w:t xml:space="preserve">ului asigurător sau </w:t>
      </w:r>
      <w:proofErr w:type="spellStart"/>
      <w:r w:rsidR="00FA6661"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 xml:space="preserve"> de către </w:t>
      </w:r>
      <w:r w:rsidR="00DA3805" w:rsidRPr="000508B6">
        <w:rPr>
          <w:rFonts w:ascii="Times New Roman" w:hAnsi="Times New Roman" w:cs="Times New Roman"/>
          <w:bCs/>
          <w:lang w:val="ro-MD"/>
        </w:rPr>
        <w:t xml:space="preserve">asigurător sau </w:t>
      </w:r>
      <w:proofErr w:type="spellStart"/>
      <w:r w:rsidR="00DA3805" w:rsidRPr="000508B6">
        <w:rPr>
          <w:rFonts w:ascii="Times New Roman" w:hAnsi="Times New Roman" w:cs="Times New Roman"/>
          <w:bCs/>
          <w:lang w:val="ro-MD"/>
        </w:rPr>
        <w:t>reasigurător</w:t>
      </w:r>
      <w:proofErr w:type="spellEnd"/>
      <w:r w:rsidR="00403D10" w:rsidRPr="000508B6">
        <w:rPr>
          <w:rFonts w:ascii="Times New Roman" w:hAnsi="Times New Roman" w:cs="Times New Roman"/>
          <w:bCs/>
          <w:lang w:val="ro-MD"/>
        </w:rPr>
        <w:t xml:space="preserve"> </w:t>
      </w:r>
      <w:r w:rsidRPr="000508B6">
        <w:rPr>
          <w:rFonts w:ascii="Times New Roman" w:hAnsi="Times New Roman" w:cs="Times New Roman"/>
          <w:bCs/>
          <w:lang w:val="ro-MD"/>
        </w:rPr>
        <w:t>participativ, holdingul de asigurare sau holdingul financiar mixt.</w:t>
      </w:r>
      <w:r w:rsidR="006C77A3" w:rsidRPr="000508B6">
        <w:rPr>
          <w:rFonts w:ascii="Times New Roman" w:hAnsi="Times New Roman" w:cs="Times New Roman"/>
          <w:bCs/>
          <w:lang w:val="ro-MD"/>
        </w:rPr>
        <w:t xml:space="preserve"> Prevederile a</w:t>
      </w:r>
      <w:r w:rsidRPr="000508B6">
        <w:rPr>
          <w:rFonts w:ascii="Times New Roman" w:hAnsi="Times New Roman" w:cs="Times New Roman"/>
          <w:bCs/>
          <w:lang w:val="ro-MD"/>
        </w:rPr>
        <w:t>rt</w:t>
      </w:r>
      <w:r w:rsidR="00B375BC"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B375BC" w:rsidRPr="000508B6">
        <w:rPr>
          <w:rFonts w:ascii="Times New Roman" w:hAnsi="Times New Roman" w:cs="Times New Roman"/>
          <w:bCs/>
          <w:lang w:val="ro-MD"/>
        </w:rPr>
        <w:t>33</w:t>
      </w:r>
      <w:r w:rsidRPr="000508B6">
        <w:rPr>
          <w:rFonts w:ascii="Times New Roman" w:hAnsi="Times New Roman" w:cs="Times New Roman"/>
          <w:bCs/>
          <w:lang w:val="ro-MD"/>
        </w:rPr>
        <w:t xml:space="preserve"> se aplică </w:t>
      </w:r>
      <w:r w:rsidR="00B375BC" w:rsidRPr="000508B6">
        <w:rPr>
          <w:rFonts w:ascii="Times New Roman" w:hAnsi="Times New Roman" w:cs="Times New Roman"/>
          <w:bCs/>
          <w:lang w:val="ro-MD"/>
        </w:rPr>
        <w:t>în mod corespunzător.</w:t>
      </w:r>
      <w:r w:rsidR="00194CFD" w:rsidRPr="000508B6">
        <w:rPr>
          <w:rFonts w:ascii="Times New Roman" w:hAnsi="Times New Roman" w:cs="Times New Roman"/>
          <w:bCs/>
          <w:lang w:val="ro-MD"/>
        </w:rPr>
        <w:t xml:space="preserve"> </w:t>
      </w:r>
    </w:p>
    <w:p w14:paraId="75025BDD" w14:textId="77777777" w:rsidR="00DD55E1" w:rsidRPr="000508B6" w:rsidRDefault="00DD55E1" w:rsidP="00985AA9">
      <w:pPr>
        <w:spacing w:after="0" w:line="240" w:lineRule="auto"/>
        <w:ind w:firstLine="426"/>
        <w:jc w:val="center"/>
        <w:rPr>
          <w:rFonts w:ascii="Times New Roman" w:hAnsi="Times New Roman" w:cs="Times New Roman"/>
          <w:b/>
          <w:lang w:val="ro-MD"/>
        </w:rPr>
      </w:pPr>
    </w:p>
    <w:p w14:paraId="2F343A2F" w14:textId="5304AA34" w:rsidR="00F95829" w:rsidRPr="000508B6" w:rsidRDefault="00F95829" w:rsidP="008B530F">
      <w:pPr>
        <w:spacing w:after="0" w:line="240" w:lineRule="auto"/>
        <w:ind w:firstLine="426"/>
        <w:jc w:val="center"/>
        <w:rPr>
          <w:rFonts w:ascii="Times New Roman" w:hAnsi="Times New Roman" w:cs="Times New Roman"/>
          <w:lang w:val="ro-MD"/>
        </w:rPr>
      </w:pPr>
      <w:r w:rsidRPr="000508B6">
        <w:rPr>
          <w:rFonts w:ascii="Times New Roman" w:hAnsi="Times New Roman" w:cs="Times New Roman"/>
          <w:b/>
          <w:lang w:val="ro-MD"/>
        </w:rPr>
        <w:t>Secțiunea a 5-a</w:t>
      </w:r>
    </w:p>
    <w:p w14:paraId="01A8D68C" w14:textId="77777777" w:rsidR="00F95829" w:rsidRPr="000508B6" w:rsidRDefault="00F95829" w:rsidP="008B530F">
      <w:pPr>
        <w:spacing w:after="0" w:line="240" w:lineRule="auto"/>
        <w:ind w:firstLine="426"/>
        <w:jc w:val="center"/>
        <w:rPr>
          <w:rFonts w:ascii="Times New Roman" w:hAnsi="Times New Roman" w:cs="Times New Roman"/>
          <w:b/>
          <w:lang w:val="ro-MD"/>
        </w:rPr>
      </w:pPr>
      <w:proofErr w:type="spellStart"/>
      <w:r w:rsidRPr="000508B6">
        <w:rPr>
          <w:rFonts w:ascii="Times New Roman" w:hAnsi="Times New Roman" w:cs="Times New Roman"/>
          <w:b/>
          <w:lang w:val="ro-MD"/>
        </w:rPr>
        <w:t>Societăţile</w:t>
      </w:r>
      <w:proofErr w:type="spellEnd"/>
      <w:r w:rsidRPr="000508B6">
        <w:rPr>
          <w:rFonts w:ascii="Times New Roman" w:hAnsi="Times New Roman" w:cs="Times New Roman"/>
          <w:b/>
          <w:lang w:val="ro-MD"/>
        </w:rPr>
        <w:t xml:space="preserve">-mamă cu sediul central în state </w:t>
      </w:r>
      <w:proofErr w:type="spellStart"/>
      <w:r w:rsidRPr="000508B6">
        <w:rPr>
          <w:rFonts w:ascii="Times New Roman" w:hAnsi="Times New Roman" w:cs="Times New Roman"/>
          <w:b/>
          <w:lang w:val="ro-MD"/>
        </w:rPr>
        <w:t>terţe</w:t>
      </w:r>
      <w:proofErr w:type="spellEnd"/>
    </w:p>
    <w:p w14:paraId="158C7BD7" w14:textId="055737E6" w:rsidR="00F95829" w:rsidRPr="000508B6" w:rsidRDefault="0089249A" w:rsidP="008B530F">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w:t>
      </w:r>
      <w:r w:rsidR="002F01DE" w:rsidRPr="000508B6">
        <w:rPr>
          <w:rFonts w:ascii="Times New Roman" w:hAnsi="Times New Roman" w:cs="Times New Roman"/>
          <w:b/>
          <w:lang w:val="ro-MD"/>
        </w:rPr>
        <w:t>icolul</w:t>
      </w:r>
      <w:r w:rsidR="00F95829" w:rsidRPr="000508B6">
        <w:rPr>
          <w:rFonts w:ascii="Times New Roman" w:hAnsi="Times New Roman" w:cs="Times New Roman"/>
          <w:b/>
          <w:lang w:val="ro-MD"/>
        </w:rPr>
        <w:t xml:space="preserve"> </w:t>
      </w:r>
      <w:r w:rsidR="007C2440" w:rsidRPr="000508B6">
        <w:rPr>
          <w:rFonts w:ascii="Times New Roman" w:hAnsi="Times New Roman" w:cs="Times New Roman"/>
          <w:b/>
          <w:lang w:val="ro-MD"/>
        </w:rPr>
        <w:t>152</w:t>
      </w:r>
      <w:r w:rsidR="00F95829" w:rsidRPr="000508B6">
        <w:rPr>
          <w:rFonts w:ascii="Times New Roman" w:hAnsi="Times New Roman" w:cs="Times New Roman"/>
          <w:b/>
          <w:lang w:val="ro-MD"/>
        </w:rPr>
        <w:t xml:space="preserve">. </w:t>
      </w:r>
      <w:r w:rsidR="00F95829" w:rsidRPr="000508B6">
        <w:rPr>
          <w:rFonts w:ascii="Times New Roman" w:hAnsi="Times New Roman" w:cs="Times New Roman"/>
          <w:lang w:val="ro-MD"/>
        </w:rPr>
        <w:t xml:space="preserve"> Lipsa </w:t>
      </w:r>
      <w:proofErr w:type="spellStart"/>
      <w:r w:rsidR="00F95829" w:rsidRPr="000508B6">
        <w:rPr>
          <w:rFonts w:ascii="Times New Roman" w:hAnsi="Times New Roman" w:cs="Times New Roman"/>
          <w:lang w:val="ro-MD"/>
        </w:rPr>
        <w:t>echivalenţei</w:t>
      </w:r>
      <w:proofErr w:type="spellEnd"/>
      <w:r w:rsidR="00F95829" w:rsidRPr="000508B6">
        <w:rPr>
          <w:rFonts w:ascii="Times New Roman" w:hAnsi="Times New Roman" w:cs="Times New Roman"/>
          <w:lang w:val="ro-MD"/>
        </w:rPr>
        <w:t xml:space="preserve"> regimului de supraveghere  </w:t>
      </w:r>
    </w:p>
    <w:p w14:paraId="4977920A" w14:textId="4EDCBD4E" w:rsidR="00F95829" w:rsidRPr="000508B6" w:rsidRDefault="00F95829" w:rsidP="00B27897">
      <w:pPr>
        <w:pStyle w:val="Listparagraf"/>
        <w:numPr>
          <w:ilvl w:val="1"/>
          <w:numId w:val="23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Dacă regimul de supraveghere 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nu este declarat echivalent, Banca Națională a Moldovei aplică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882097" w:rsidRPr="000508B6">
        <w:rPr>
          <w:rFonts w:ascii="Times New Roman" w:hAnsi="Times New Roman" w:cs="Times New Roman"/>
          <w:lang w:val="ro-MD"/>
        </w:rPr>
        <w:t xml:space="preserve"> </w:t>
      </w:r>
      <w:r w:rsidRPr="000508B6">
        <w:rPr>
          <w:rFonts w:ascii="Times New Roman" w:hAnsi="Times New Roman" w:cs="Times New Roman"/>
          <w:lang w:val="ro-MD"/>
        </w:rPr>
        <w:t xml:space="preserve">din statul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w:t>
      </w:r>
      <w:r w:rsidR="00A72782" w:rsidRPr="000508B6">
        <w:rPr>
          <w:rFonts w:ascii="Times New Roman" w:hAnsi="Times New Roman" w:cs="Times New Roman"/>
          <w:lang w:val="ro-MD"/>
        </w:rPr>
        <w:t xml:space="preserve">cărora li se aplică supravegherea de grup în conformitate cu art. 116 alin. (3) lit. c) </w:t>
      </w:r>
      <w:r w:rsidRPr="000508B6">
        <w:rPr>
          <w:rFonts w:ascii="Times New Roman" w:hAnsi="Times New Roman" w:cs="Times New Roman"/>
          <w:lang w:val="ro-MD"/>
        </w:rPr>
        <w:t xml:space="preserve">oricare dintre următoarele prevederi:  </w:t>
      </w:r>
    </w:p>
    <w:p w14:paraId="0B2A668C" w14:textId="2D210B7C" w:rsidR="00F95829" w:rsidRPr="000508B6" w:rsidRDefault="00E31F28" w:rsidP="00B27897">
      <w:pPr>
        <w:numPr>
          <w:ilvl w:val="0"/>
          <w:numId w:val="3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mod corespunzător </w:t>
      </w:r>
      <w:r w:rsidR="00F95829" w:rsidRPr="000508B6">
        <w:rPr>
          <w:rFonts w:ascii="Times New Roman" w:hAnsi="Times New Roman" w:cs="Times New Roman"/>
          <w:lang w:val="ro-MD"/>
        </w:rPr>
        <w:t xml:space="preserve">art. </w:t>
      </w:r>
      <w:r w:rsidR="00B375BC" w:rsidRPr="000508B6">
        <w:rPr>
          <w:rFonts w:ascii="Times New Roman" w:hAnsi="Times New Roman" w:cs="Times New Roman"/>
          <w:lang w:val="ro-MD"/>
        </w:rPr>
        <w:t>122</w:t>
      </w:r>
      <w:r w:rsidR="00F95829" w:rsidRPr="000508B6">
        <w:rPr>
          <w:rFonts w:ascii="Times New Roman" w:hAnsi="Times New Roman" w:cs="Times New Roman"/>
          <w:lang w:val="ro-MD"/>
        </w:rPr>
        <w:t>-</w:t>
      </w:r>
      <w:r w:rsidR="00B375BC" w:rsidRPr="000508B6">
        <w:rPr>
          <w:rFonts w:ascii="Times New Roman" w:hAnsi="Times New Roman" w:cs="Times New Roman"/>
          <w:lang w:val="ro-MD"/>
        </w:rPr>
        <w:t>1</w:t>
      </w:r>
      <w:r w:rsidR="002F4E76" w:rsidRPr="000508B6">
        <w:rPr>
          <w:rFonts w:ascii="Times New Roman" w:hAnsi="Times New Roman" w:cs="Times New Roman"/>
          <w:lang w:val="ro-MD"/>
        </w:rPr>
        <w:t>40</w:t>
      </w:r>
      <w:r w:rsidR="00B375BC" w:rsidRPr="000508B6">
        <w:rPr>
          <w:rFonts w:ascii="Times New Roman" w:hAnsi="Times New Roman" w:cs="Times New Roman"/>
          <w:lang w:val="ro-MD"/>
        </w:rPr>
        <w:t xml:space="preserve"> </w:t>
      </w:r>
      <w:proofErr w:type="spellStart"/>
      <w:r w:rsidR="00F95829" w:rsidRPr="000508B6">
        <w:rPr>
          <w:rFonts w:ascii="Times New Roman" w:hAnsi="Times New Roman" w:cs="Times New Roman"/>
          <w:lang w:val="ro-MD"/>
        </w:rPr>
        <w:t>şi</w:t>
      </w:r>
      <w:proofErr w:type="spellEnd"/>
      <w:r w:rsidR="00F95829" w:rsidRPr="000508B6">
        <w:rPr>
          <w:rFonts w:ascii="Times New Roman" w:hAnsi="Times New Roman" w:cs="Times New Roman"/>
          <w:lang w:val="ro-MD"/>
        </w:rPr>
        <w:t xml:space="preserve"> art. </w:t>
      </w:r>
      <w:r w:rsidR="00B375BC" w:rsidRPr="000508B6">
        <w:rPr>
          <w:rFonts w:ascii="Times New Roman" w:hAnsi="Times New Roman" w:cs="Times New Roman"/>
          <w:lang w:val="ro-MD"/>
        </w:rPr>
        <w:t>144</w:t>
      </w:r>
      <w:r w:rsidR="00F95829" w:rsidRPr="000508B6">
        <w:rPr>
          <w:rFonts w:ascii="Times New Roman" w:hAnsi="Times New Roman" w:cs="Times New Roman"/>
          <w:lang w:val="ro-MD"/>
        </w:rPr>
        <w:t>-</w:t>
      </w:r>
      <w:r w:rsidR="00B375BC" w:rsidRPr="000508B6">
        <w:rPr>
          <w:rFonts w:ascii="Times New Roman" w:hAnsi="Times New Roman" w:cs="Times New Roman"/>
          <w:lang w:val="ro-MD"/>
        </w:rPr>
        <w:t>1</w:t>
      </w:r>
      <w:r w:rsidR="002F4E76" w:rsidRPr="000508B6">
        <w:rPr>
          <w:rFonts w:ascii="Times New Roman" w:hAnsi="Times New Roman" w:cs="Times New Roman"/>
          <w:lang w:val="ro-MD"/>
        </w:rPr>
        <w:t>51</w:t>
      </w:r>
      <w:r w:rsidR="00F95829" w:rsidRPr="000508B6">
        <w:rPr>
          <w:rFonts w:ascii="Times New Roman" w:hAnsi="Times New Roman" w:cs="Times New Roman"/>
          <w:lang w:val="ro-MD"/>
        </w:rPr>
        <w:t xml:space="preserve">, în conformitate cu procedurile aplicabile prevăzute la art. </w:t>
      </w:r>
      <w:r w:rsidR="00B15BA7" w:rsidRPr="000508B6">
        <w:rPr>
          <w:rFonts w:ascii="Times New Roman" w:hAnsi="Times New Roman" w:cs="Times New Roman"/>
          <w:lang w:val="ro-MD"/>
        </w:rPr>
        <w:t>19</w:t>
      </w:r>
      <w:r w:rsidRPr="000508B6">
        <w:rPr>
          <w:rFonts w:ascii="Times New Roman" w:hAnsi="Times New Roman" w:cs="Times New Roman"/>
          <w:lang w:val="ro-MD"/>
        </w:rPr>
        <w:t>2</w:t>
      </w:r>
      <w:r w:rsidR="00B15BA7" w:rsidRPr="000508B6">
        <w:rPr>
          <w:rFonts w:ascii="Times New Roman" w:hAnsi="Times New Roman" w:cs="Times New Roman"/>
          <w:lang w:val="ro-MD"/>
        </w:rPr>
        <w:t>-</w:t>
      </w:r>
      <w:r w:rsidRPr="000508B6">
        <w:rPr>
          <w:rFonts w:ascii="Times New Roman" w:hAnsi="Times New Roman" w:cs="Times New Roman"/>
          <w:lang w:val="ro-MD"/>
        </w:rPr>
        <w:t>195</w:t>
      </w:r>
      <w:r w:rsidR="00F95829" w:rsidRPr="000508B6">
        <w:rPr>
          <w:rFonts w:ascii="Times New Roman" w:hAnsi="Times New Roman" w:cs="Times New Roman"/>
          <w:lang w:val="ro-MD"/>
        </w:rPr>
        <w:t xml:space="preserve">;   </w:t>
      </w:r>
    </w:p>
    <w:p w14:paraId="74ACC553" w14:textId="428A123A" w:rsidR="00F95829" w:rsidRPr="000508B6" w:rsidRDefault="00F95829" w:rsidP="00B27897">
      <w:pPr>
        <w:numPr>
          <w:ilvl w:val="0"/>
          <w:numId w:val="3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una dintre metodele prevăzute la a</w:t>
      </w:r>
      <w:r w:rsidR="0018745D" w:rsidRPr="000508B6">
        <w:rPr>
          <w:rFonts w:ascii="Times New Roman" w:hAnsi="Times New Roman" w:cs="Times New Roman"/>
          <w:lang w:val="ro-MD"/>
        </w:rPr>
        <w:t>lin. (7</w:t>
      </w:r>
      <w:r w:rsidRPr="000508B6" w:rsidDel="0018745D">
        <w:rPr>
          <w:rFonts w:ascii="Times New Roman" w:hAnsi="Times New Roman" w:cs="Times New Roman"/>
          <w:lang w:val="ro-MD"/>
        </w:rPr>
        <w:t>)</w:t>
      </w:r>
      <w:r w:rsidRPr="000508B6">
        <w:rPr>
          <w:rFonts w:ascii="Times New Roman" w:hAnsi="Times New Roman" w:cs="Times New Roman"/>
          <w:lang w:val="ro-MD"/>
        </w:rPr>
        <w:t xml:space="preserve">.   </w:t>
      </w:r>
    </w:p>
    <w:p w14:paraId="024E79F6" w14:textId="2E174C74" w:rsidR="00736143" w:rsidRPr="000508B6" w:rsidRDefault="00F95829" w:rsidP="00B27897">
      <w:pPr>
        <w:pStyle w:val="Listparagraf"/>
        <w:numPr>
          <w:ilvl w:val="1"/>
          <w:numId w:val="23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736143" w:rsidRPr="000508B6">
        <w:rPr>
          <w:rFonts w:ascii="Times New Roman" w:hAnsi="Times New Roman" w:cs="Times New Roman"/>
          <w:lang w:val="ro-MD"/>
        </w:rPr>
        <w:t>Principiile generale și metodele prevăzute la art</w:t>
      </w:r>
      <w:r w:rsidR="00A72782" w:rsidRPr="000508B6">
        <w:rPr>
          <w:rFonts w:ascii="Times New Roman" w:hAnsi="Times New Roman" w:cs="Times New Roman"/>
          <w:lang w:val="ro-MD"/>
        </w:rPr>
        <w:t>. 122-1</w:t>
      </w:r>
      <w:r w:rsidR="002F4E76" w:rsidRPr="000508B6">
        <w:rPr>
          <w:rFonts w:ascii="Times New Roman" w:hAnsi="Times New Roman" w:cs="Times New Roman"/>
          <w:lang w:val="ro-MD"/>
        </w:rPr>
        <w:t>51</w:t>
      </w:r>
      <w:r w:rsidR="00736143" w:rsidRPr="000508B6">
        <w:rPr>
          <w:rFonts w:ascii="Times New Roman" w:hAnsi="Times New Roman" w:cs="Times New Roman"/>
          <w:lang w:val="ro-MD"/>
        </w:rPr>
        <w:t xml:space="preserve"> se aplică la nivelul holdingului de asigurare, al holdingului financiar mixt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736143" w:rsidRPr="000508B6">
        <w:rPr>
          <w:rFonts w:ascii="Times New Roman" w:hAnsi="Times New Roman" w:cs="Times New Roman"/>
          <w:lang w:val="ro-MD"/>
        </w:rPr>
        <w:t xml:space="preserve"> dintr-un stat terț.</w:t>
      </w:r>
      <w:r w:rsidR="005B09FF" w:rsidRPr="000508B6">
        <w:rPr>
          <w:rFonts w:ascii="Times New Roman" w:hAnsi="Times New Roman" w:cs="Times New Roman"/>
          <w:lang w:val="ro-MD"/>
        </w:rPr>
        <w:t xml:space="preserve"> </w:t>
      </w:r>
    </w:p>
    <w:p w14:paraId="54FA0583" w14:textId="330295C1" w:rsidR="005B09FF" w:rsidRPr="000508B6" w:rsidRDefault="005B09FF" w:rsidP="00B27897">
      <w:pPr>
        <w:pStyle w:val="Listparagraf"/>
        <w:numPr>
          <w:ilvl w:val="1"/>
          <w:numId w:val="23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Exclusiv în scopul calculării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w:t>
      </w:r>
      <w:r w:rsidRPr="000508B6" w:rsidDel="004125E8">
        <w:rPr>
          <w:rFonts w:ascii="Times New Roman" w:hAnsi="Times New Roman" w:cs="Times New Roman"/>
          <w:lang w:val="ro-MD"/>
        </w:rPr>
        <w:t>societatea</w:t>
      </w:r>
      <w:r w:rsidRPr="000508B6">
        <w:rPr>
          <w:rFonts w:ascii="Times New Roman" w:hAnsi="Times New Roman" w:cs="Times New Roman"/>
          <w:lang w:val="ro-MD"/>
        </w:rPr>
        <w:t xml:space="preserve">-mamă respectă prevederile </w:t>
      </w:r>
      <w:r w:rsidR="00F06D53" w:rsidRPr="000508B6">
        <w:rPr>
          <w:rFonts w:ascii="Times New Roman" w:hAnsi="Times New Roman" w:cs="Times New Roman"/>
          <w:lang w:val="ro-MD"/>
        </w:rPr>
        <w:t>art. 54-63</w:t>
      </w:r>
      <w:r w:rsidRPr="000508B6">
        <w:rPr>
          <w:rFonts w:ascii="Times New Roman" w:hAnsi="Times New Roman" w:cs="Times New Roman"/>
          <w:lang w:val="ro-MD"/>
        </w:rPr>
        <w:t xml:space="preserve"> în ceea ce privește fondurile proprii eligibile pentru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una dintre următoarele:   </w:t>
      </w:r>
    </w:p>
    <w:p w14:paraId="16B247F0" w14:textId="77777777" w:rsidR="005B09FF" w:rsidRPr="000508B6" w:rsidRDefault="005B09FF" w:rsidP="00B27897">
      <w:pPr>
        <w:pStyle w:val="Listparagraf"/>
        <w:numPr>
          <w:ilvl w:val="0"/>
          <w:numId w:val="41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SCR determinată în conformitate cu prevederile art. 130, dacă este holding de asigurare sau holding financiar mixt;</w:t>
      </w:r>
    </w:p>
    <w:p w14:paraId="507E7164" w14:textId="7376C2AD" w:rsidR="005B09FF" w:rsidRPr="000508B6" w:rsidRDefault="005B09FF" w:rsidP="001F3F47">
      <w:pPr>
        <w:pStyle w:val="Listparagraf"/>
        <w:numPr>
          <w:ilvl w:val="0"/>
          <w:numId w:val="416"/>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SCR determinată în conformitate cu principiile prevăzute la art. 131, dacă este </w:t>
      </w:r>
      <w:r w:rsidR="00B36665" w:rsidRPr="000508B6">
        <w:rPr>
          <w:rFonts w:ascii="Times New Roman" w:hAnsi="Times New Roman" w:cs="Times New Roman"/>
          <w:lang w:val="ro-MD"/>
        </w:rPr>
        <w:t xml:space="preserve">asigurător </w:t>
      </w:r>
      <w:r w:rsidR="00195A19" w:rsidRPr="000508B6">
        <w:rPr>
          <w:rFonts w:ascii="Times New Roman" w:hAnsi="Times New Roman" w:cs="Times New Roman"/>
          <w:lang w:val="ro-MD"/>
        </w:rPr>
        <w:t xml:space="preserve">sau </w:t>
      </w:r>
      <w:proofErr w:type="spellStart"/>
      <w:r w:rsidR="00B36665" w:rsidRPr="000508B6">
        <w:rPr>
          <w:rFonts w:ascii="Times New Roman" w:hAnsi="Times New Roman" w:cs="Times New Roman"/>
          <w:lang w:val="ro-MD"/>
        </w:rPr>
        <w:t>reasigurător</w:t>
      </w:r>
      <w:proofErr w:type="spellEnd"/>
      <w:r w:rsidR="00B36665" w:rsidRPr="000508B6">
        <w:rPr>
          <w:rFonts w:ascii="Times New Roman" w:hAnsi="Times New Roman" w:cs="Times New Roman"/>
          <w:lang w:val="ro-MD"/>
        </w:rPr>
        <w:t xml:space="preserve"> </w:t>
      </w:r>
      <w:r w:rsidRPr="000508B6">
        <w:rPr>
          <w:rFonts w:ascii="Times New Roman" w:hAnsi="Times New Roman" w:cs="Times New Roman"/>
          <w:lang w:val="ro-MD"/>
        </w:rPr>
        <w:t xml:space="preserve">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w:t>
      </w:r>
      <w:r w:rsidR="002172AE" w:rsidRPr="000508B6">
        <w:rPr>
          <w:rFonts w:ascii="Times New Roman" w:hAnsi="Times New Roman" w:cs="Times New Roman"/>
          <w:lang w:val="ro-MD"/>
        </w:rPr>
        <w:t xml:space="preserve"> </w:t>
      </w:r>
    </w:p>
    <w:p w14:paraId="398C7CBA" w14:textId="1B06EB1F" w:rsidR="00687D9D" w:rsidRPr="000508B6" w:rsidRDefault="00687D9D" w:rsidP="001F3F47">
      <w:pPr>
        <w:pStyle w:val="Listparagraf"/>
        <w:numPr>
          <w:ilvl w:val="1"/>
          <w:numId w:val="23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primește de la alți supraveghetori implicați în supravegherea unui grup o solicitare de aprobare cu privire la aplicarea altor metode care asigură o supraveghere adecvată a </w:t>
      </w:r>
      <w:r w:rsidR="00195A19" w:rsidRPr="000508B6">
        <w:rPr>
          <w:rFonts w:ascii="Times New Roman" w:hAnsi="Times New Roman" w:cs="Times New Roman"/>
          <w:lang w:val="ro-MD"/>
        </w:rPr>
        <w:t xml:space="preserve">asigurătorilor sau </w:t>
      </w:r>
      <w:proofErr w:type="spellStart"/>
      <w:r w:rsidR="00B36665" w:rsidRPr="000508B6">
        <w:rPr>
          <w:rFonts w:ascii="Times New Roman" w:hAnsi="Times New Roman" w:cs="Times New Roman"/>
          <w:lang w:val="ro-MD"/>
        </w:rPr>
        <w:t>reasigurătorilor</w:t>
      </w:r>
      <w:proofErr w:type="spellEnd"/>
      <w:r w:rsidR="00B36665" w:rsidRPr="000508B6">
        <w:rPr>
          <w:rFonts w:ascii="Times New Roman" w:hAnsi="Times New Roman" w:cs="Times New Roman"/>
          <w:lang w:val="ro-MD"/>
        </w:rPr>
        <w:t xml:space="preserve"> </w:t>
      </w:r>
      <w:r w:rsidRPr="000508B6">
        <w:rPr>
          <w:rFonts w:ascii="Times New Roman" w:hAnsi="Times New Roman" w:cs="Times New Roman"/>
          <w:lang w:val="ro-MD"/>
        </w:rPr>
        <w:t>cărora li se aplică supravegherea la nivel de grup în conformitate cu art.</w:t>
      </w:r>
      <w:r w:rsidR="00556591" w:rsidRPr="000508B6">
        <w:rPr>
          <w:rFonts w:ascii="Times New Roman" w:hAnsi="Times New Roman" w:cs="Times New Roman"/>
          <w:lang w:val="ro-MD"/>
        </w:rPr>
        <w:t xml:space="preserve"> </w:t>
      </w:r>
      <w:r w:rsidRPr="000508B6">
        <w:rPr>
          <w:rFonts w:ascii="Times New Roman" w:hAnsi="Times New Roman" w:cs="Times New Roman"/>
          <w:lang w:val="ro-MD"/>
        </w:rPr>
        <w:t xml:space="preserve">116 alin. (3) lit. c), Banca Națională a Moldovei, după consultarea celorlalți supraveghetori implicați decide să aprobe metodele respective în vederea îndeplinirii obiectivelor de supraveghere. </w:t>
      </w:r>
    </w:p>
    <w:p w14:paraId="5D99B539" w14:textId="42F0BCCD" w:rsidR="00687D9D" w:rsidRPr="000508B6" w:rsidRDefault="00687D9D" w:rsidP="00B27897">
      <w:pPr>
        <w:pStyle w:val="Listparagraf"/>
        <w:numPr>
          <w:ilvl w:val="1"/>
          <w:numId w:val="23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Obiectivele de supraveghere menționate la alin. (4) includ următoarele: </w:t>
      </w:r>
    </w:p>
    <w:p w14:paraId="6CCA3AC0" w14:textId="49C0BA15" w:rsidR="00687D9D" w:rsidRPr="000508B6" w:rsidRDefault="00B27897" w:rsidP="00B27897">
      <w:pPr>
        <w:tabs>
          <w:tab w:val="left" w:pos="709"/>
          <w:tab w:val="left" w:pos="851"/>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w:t>
      </w:r>
      <w:r w:rsidR="00687D9D" w:rsidRPr="000508B6">
        <w:rPr>
          <w:rFonts w:ascii="Times New Roman" w:hAnsi="Times New Roman" w:cs="Times New Roman"/>
          <w:lang w:val="ro-MD"/>
        </w:rPr>
        <w:t xml:space="preserve">menținerea alocării capitalului și a componenței fondurilor proprii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687D9D" w:rsidRPr="000508B6">
        <w:rPr>
          <w:rFonts w:ascii="Times New Roman" w:hAnsi="Times New Roman" w:cs="Times New Roman"/>
          <w:lang w:val="ro-MD"/>
        </w:rPr>
        <w:t xml:space="preserve"> și prevenirea creării semnificative de capital </w:t>
      </w:r>
      <w:proofErr w:type="spellStart"/>
      <w:r w:rsidR="00687D9D" w:rsidRPr="000508B6">
        <w:rPr>
          <w:rFonts w:ascii="Times New Roman" w:hAnsi="Times New Roman" w:cs="Times New Roman"/>
          <w:lang w:val="ro-MD"/>
        </w:rPr>
        <w:t>intragrup</w:t>
      </w:r>
      <w:proofErr w:type="spellEnd"/>
      <w:r w:rsidR="00687D9D" w:rsidRPr="000508B6">
        <w:rPr>
          <w:rFonts w:ascii="Times New Roman" w:hAnsi="Times New Roman" w:cs="Times New Roman"/>
          <w:lang w:val="ro-MD"/>
        </w:rPr>
        <w:t xml:space="preserve">, în cazul în care respectiva creare de capital </w:t>
      </w:r>
      <w:proofErr w:type="spellStart"/>
      <w:r w:rsidR="00687D9D" w:rsidRPr="000508B6">
        <w:rPr>
          <w:rFonts w:ascii="Times New Roman" w:hAnsi="Times New Roman" w:cs="Times New Roman"/>
          <w:lang w:val="ro-MD"/>
        </w:rPr>
        <w:t>intragrup</w:t>
      </w:r>
      <w:proofErr w:type="spellEnd"/>
      <w:r w:rsidR="00687D9D" w:rsidRPr="000508B6">
        <w:rPr>
          <w:rFonts w:ascii="Times New Roman" w:hAnsi="Times New Roman" w:cs="Times New Roman"/>
          <w:lang w:val="ro-MD"/>
        </w:rPr>
        <w:t xml:space="preserve"> este finanțată de către </w:t>
      </w:r>
      <w:r w:rsidR="00687D9D" w:rsidRPr="000508B6" w:rsidDel="004125E8">
        <w:rPr>
          <w:rFonts w:ascii="Times New Roman" w:hAnsi="Times New Roman" w:cs="Times New Roman"/>
          <w:lang w:val="ro-MD"/>
        </w:rPr>
        <w:t>societatea</w:t>
      </w:r>
      <w:r w:rsidR="00687D9D" w:rsidRPr="000508B6">
        <w:rPr>
          <w:rFonts w:ascii="Times New Roman" w:hAnsi="Times New Roman" w:cs="Times New Roman"/>
          <w:lang w:val="ro-MD"/>
        </w:rPr>
        <w:t>-mamă din încasările din datorii sau alte instrumente financiare care nu îndeplinesc criteriile pentru a fi considerate elemente ale fondurilor proprii;</w:t>
      </w:r>
    </w:p>
    <w:p w14:paraId="253CB8EF" w14:textId="166AD1FF" w:rsidR="00687D9D" w:rsidRPr="000508B6" w:rsidRDefault="00B27897" w:rsidP="00B27897">
      <w:pPr>
        <w:tabs>
          <w:tab w:val="left" w:pos="709"/>
          <w:tab w:val="left" w:pos="851"/>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b)</w:t>
      </w:r>
      <w:r w:rsidR="00687D9D" w:rsidRPr="000508B6">
        <w:rPr>
          <w:rFonts w:ascii="Times New Roman" w:hAnsi="Times New Roman" w:cs="Times New Roman"/>
          <w:lang w:val="ro-MD"/>
        </w:rPr>
        <w:t xml:space="preserve">evaluarea și monitorizarea riscurilor prezentate de </w:t>
      </w:r>
      <w:bookmarkStart w:id="144" w:name="_Hlk215419026"/>
      <w:r w:rsidR="00640872" w:rsidRPr="000508B6">
        <w:rPr>
          <w:rFonts w:ascii="Times New Roman" w:hAnsi="Times New Roman" w:cs="Times New Roman"/>
          <w:lang w:val="ro-MD"/>
        </w:rPr>
        <w:t xml:space="preserve">asigurători sau </w:t>
      </w:r>
      <w:proofErr w:type="spellStart"/>
      <w:r w:rsidR="00640872" w:rsidRPr="000508B6">
        <w:rPr>
          <w:rFonts w:ascii="Times New Roman" w:hAnsi="Times New Roman" w:cs="Times New Roman"/>
          <w:lang w:val="ro-MD"/>
        </w:rPr>
        <w:t>reasigurători</w:t>
      </w:r>
      <w:bookmarkEnd w:id="144"/>
      <w:proofErr w:type="spellEnd"/>
      <w:r w:rsidR="00640872" w:rsidRPr="000508B6">
        <w:rPr>
          <w:rFonts w:ascii="Times New Roman" w:hAnsi="Times New Roman" w:cs="Times New Roman"/>
          <w:lang w:val="ro-MD"/>
        </w:rPr>
        <w:t xml:space="preserve"> </w:t>
      </w:r>
      <w:r w:rsidR="00687D9D" w:rsidRPr="000508B6">
        <w:rPr>
          <w:rFonts w:ascii="Times New Roman" w:hAnsi="Times New Roman" w:cs="Times New Roman"/>
          <w:lang w:val="ro-MD"/>
        </w:rPr>
        <w:t xml:space="preserve">atât din statele membre, cât și din statele terțe și limitarea riscului de contagiune de la </w:t>
      </w:r>
      <w:r w:rsidR="00640872" w:rsidRPr="000508B6">
        <w:rPr>
          <w:rFonts w:ascii="Times New Roman" w:hAnsi="Times New Roman" w:cs="Times New Roman"/>
          <w:lang w:val="ro-MD"/>
        </w:rPr>
        <w:t>respectiv</w:t>
      </w:r>
      <w:r w:rsidR="009A278C" w:rsidRPr="000508B6">
        <w:rPr>
          <w:rFonts w:ascii="Times New Roman" w:hAnsi="Times New Roman" w:cs="Times New Roman"/>
          <w:lang w:val="ro-MD"/>
        </w:rPr>
        <w:t>i</w:t>
      </w:r>
      <w:r w:rsidR="00640872" w:rsidRPr="000508B6">
        <w:rPr>
          <w:rFonts w:ascii="Times New Roman" w:hAnsi="Times New Roman" w:cs="Times New Roman"/>
          <w:lang w:val="ro-MD"/>
        </w:rPr>
        <w:t xml:space="preserve">i asigurători sau </w:t>
      </w:r>
      <w:proofErr w:type="spellStart"/>
      <w:r w:rsidR="00640872" w:rsidRPr="000508B6">
        <w:rPr>
          <w:rFonts w:ascii="Times New Roman" w:hAnsi="Times New Roman" w:cs="Times New Roman"/>
          <w:lang w:val="ro-MD"/>
        </w:rPr>
        <w:t>reasigurători</w:t>
      </w:r>
      <w:proofErr w:type="spellEnd"/>
      <w:r w:rsidR="00687D9D" w:rsidRPr="000508B6">
        <w:rPr>
          <w:rFonts w:ascii="Times New Roman" w:hAnsi="Times New Roman" w:cs="Times New Roman"/>
          <w:lang w:val="ro-MD"/>
        </w:rPr>
        <w:t xml:space="preserve"> și alte entități nereglementate din cadrul grupului și la subgrupul a cărui societate-mamă de cel mai înalt rang este </w:t>
      </w:r>
      <w:r w:rsidR="00640872" w:rsidRPr="000508B6">
        <w:rPr>
          <w:rFonts w:ascii="Times New Roman" w:hAnsi="Times New Roman" w:cs="Times New Roman"/>
          <w:lang w:val="ro-MD"/>
        </w:rPr>
        <w:t>un</w:t>
      </w:r>
      <w:r w:rsidR="00687D9D" w:rsidRPr="000508B6">
        <w:rPr>
          <w:rFonts w:ascii="Times New Roman" w:hAnsi="Times New Roman" w:cs="Times New Roman"/>
          <w:lang w:val="ro-MD"/>
        </w:rPr>
        <w:t xml:space="preserve"> </w:t>
      </w:r>
      <w:r w:rsidR="00640872" w:rsidRPr="000508B6">
        <w:rPr>
          <w:rFonts w:ascii="Times New Roman" w:hAnsi="Times New Roman" w:cs="Times New Roman"/>
          <w:lang w:val="ro-MD"/>
        </w:rPr>
        <w:t xml:space="preserve">asigurător sau </w:t>
      </w:r>
      <w:proofErr w:type="spellStart"/>
      <w:r w:rsidR="00640872" w:rsidRPr="000508B6">
        <w:rPr>
          <w:rFonts w:ascii="Times New Roman" w:hAnsi="Times New Roman" w:cs="Times New Roman"/>
          <w:lang w:val="ro-MD"/>
        </w:rPr>
        <w:t>reasigurător</w:t>
      </w:r>
      <w:proofErr w:type="spellEnd"/>
      <w:r w:rsidR="00640872" w:rsidRPr="000508B6" w:rsidDel="00640872">
        <w:rPr>
          <w:rFonts w:ascii="Times New Roman" w:hAnsi="Times New Roman" w:cs="Times New Roman"/>
          <w:lang w:val="ro-MD"/>
        </w:rPr>
        <w:t xml:space="preserve"> </w:t>
      </w:r>
      <w:r w:rsidR="00687D9D" w:rsidRPr="000508B6">
        <w:rPr>
          <w:rFonts w:ascii="Times New Roman" w:hAnsi="Times New Roman" w:cs="Times New Roman"/>
          <w:lang w:val="ro-MD"/>
        </w:rPr>
        <w:t xml:space="preserve">, un holding de asigurare sau un holding financiar mixt cu sediul central </w:t>
      </w:r>
      <w:proofErr w:type="spellStart"/>
      <w:r w:rsidR="00687D9D" w:rsidRPr="000508B6">
        <w:rPr>
          <w:rFonts w:ascii="Times New Roman" w:hAnsi="Times New Roman" w:cs="Times New Roman"/>
          <w:lang w:val="ro-MD"/>
        </w:rPr>
        <w:t>într</w:t>
      </w:r>
      <w:proofErr w:type="spellEnd"/>
      <w:r w:rsidR="00687D9D" w:rsidRPr="000508B6">
        <w:rPr>
          <w:rFonts w:ascii="Times New Roman" w:hAnsi="Times New Roman" w:cs="Times New Roman"/>
          <w:lang w:val="ro-MD"/>
        </w:rPr>
        <w:t>-unul din statele membre, astfel cum se menționează la art. 119, în cazul în care există un astfel de subgrup.</w:t>
      </w:r>
      <w:r w:rsidR="002172AE" w:rsidRPr="000508B6">
        <w:rPr>
          <w:rFonts w:ascii="Times New Roman" w:hAnsi="Times New Roman" w:cs="Times New Roman"/>
          <w:lang w:val="ro-MD"/>
        </w:rPr>
        <w:t xml:space="preserve"> </w:t>
      </w:r>
    </w:p>
    <w:p w14:paraId="258F72EE" w14:textId="6D361855" w:rsidR="00687D9D" w:rsidRPr="000508B6" w:rsidRDefault="00687D9D" w:rsidP="00B27897">
      <w:pPr>
        <w:pStyle w:val="Listparagraf"/>
        <w:numPr>
          <w:ilvl w:val="1"/>
          <w:numId w:val="23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Banca Națională a Moldovei justifică în mod corespunzător, documentează și notifică ceilalți supraveghetori, EIOPA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Comisia Europeană despre metodele menționate la alin. (</w:t>
      </w:r>
      <w:r w:rsidR="0018745D" w:rsidRPr="000508B6">
        <w:rPr>
          <w:rFonts w:ascii="Times New Roman" w:hAnsi="Times New Roman" w:cs="Times New Roman"/>
          <w:lang w:val="ro-MD"/>
        </w:rPr>
        <w:t>7</w:t>
      </w:r>
      <w:r w:rsidRPr="000508B6">
        <w:rPr>
          <w:rFonts w:ascii="Times New Roman" w:hAnsi="Times New Roman" w:cs="Times New Roman"/>
          <w:lang w:val="ro-MD"/>
        </w:rPr>
        <w:t>)</w:t>
      </w:r>
      <w:r w:rsidR="007C4D19" w:rsidRPr="000508B6">
        <w:rPr>
          <w:rFonts w:ascii="Times New Roman" w:hAnsi="Times New Roman" w:cs="Times New Roman"/>
          <w:lang w:val="ro-MD"/>
        </w:rPr>
        <w:t>.</w:t>
      </w:r>
      <w:r w:rsidRPr="000508B6">
        <w:rPr>
          <w:rFonts w:ascii="Times New Roman" w:hAnsi="Times New Roman" w:cs="Times New Roman"/>
          <w:lang w:val="ro-MD"/>
        </w:rPr>
        <w:t xml:space="preserve">  </w:t>
      </w:r>
    </w:p>
    <w:p w14:paraId="0B97D94E" w14:textId="1D508B31" w:rsidR="00A964EA" w:rsidRPr="000508B6" w:rsidRDefault="00A964EA" w:rsidP="00B27897">
      <w:pPr>
        <w:pStyle w:val="Listparagraf"/>
        <w:numPr>
          <w:ilvl w:val="1"/>
          <w:numId w:val="23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sensul alin. (4) Banca Națională a Moldovei poate să aplice </w:t>
      </w:r>
      <w:r w:rsidR="004C3D33" w:rsidRPr="000508B6">
        <w:rPr>
          <w:rFonts w:ascii="Times New Roman" w:hAnsi="Times New Roman" w:cs="Times New Roman"/>
          <w:lang w:val="ro-MD"/>
        </w:rPr>
        <w:t xml:space="preserve">asigurătorilor sau </w:t>
      </w:r>
      <w:proofErr w:type="spellStart"/>
      <w:r w:rsidR="004C3D33"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holdingurilor de asigurare și holdingurilor financiare mixte care fac obiectul supravegherii la nivel de grup în conformitate cu art.116 alin. (3) litera c) următoarele metode: </w:t>
      </w:r>
    </w:p>
    <w:p w14:paraId="5B783FDB" w14:textId="168CD187" w:rsidR="00A964EA" w:rsidRPr="000508B6" w:rsidRDefault="00A964EA" w:rsidP="00B27897">
      <w:pPr>
        <w:pStyle w:val="Listparagraf"/>
        <w:numPr>
          <w:ilvl w:val="2"/>
          <w:numId w:val="17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desemnarea </w:t>
      </w:r>
      <w:r w:rsidR="004C3D33" w:rsidRPr="000508B6">
        <w:rPr>
          <w:rFonts w:ascii="Times New Roman" w:hAnsi="Times New Roman" w:cs="Times New Roman"/>
          <w:lang w:val="ro-MD"/>
        </w:rPr>
        <w:t>unui a</w:t>
      </w:r>
      <w:r w:rsidR="009A278C" w:rsidRPr="000508B6">
        <w:rPr>
          <w:rFonts w:ascii="Times New Roman" w:hAnsi="Times New Roman" w:cs="Times New Roman"/>
          <w:lang w:val="ro-MD"/>
        </w:rPr>
        <w:t>s</w:t>
      </w:r>
      <w:r w:rsidR="004C3D33" w:rsidRPr="000508B6">
        <w:rPr>
          <w:rFonts w:ascii="Times New Roman" w:hAnsi="Times New Roman" w:cs="Times New Roman"/>
          <w:lang w:val="ro-MD"/>
        </w:rPr>
        <w:t xml:space="preserve">igurător sau </w:t>
      </w:r>
      <w:proofErr w:type="spellStart"/>
      <w:r w:rsidR="004C3D3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care să fie responsabil cu respectarea cerințelor prevăzute în </w:t>
      </w:r>
      <w:r w:rsidR="00120B04" w:rsidRPr="000508B6">
        <w:rPr>
          <w:rFonts w:ascii="Times New Roman" w:hAnsi="Times New Roman" w:cs="Times New Roman"/>
          <w:lang w:val="ro-MD"/>
        </w:rPr>
        <w:t>prezenta</w:t>
      </w:r>
      <w:r w:rsidRPr="000508B6">
        <w:rPr>
          <w:rFonts w:ascii="Times New Roman" w:hAnsi="Times New Roman" w:cs="Times New Roman"/>
          <w:lang w:val="ro-MD"/>
        </w:rPr>
        <w:t xml:space="preserve"> </w:t>
      </w:r>
      <w:r w:rsidR="00120B04" w:rsidRPr="000508B6">
        <w:rPr>
          <w:rFonts w:ascii="Times New Roman" w:hAnsi="Times New Roman" w:cs="Times New Roman"/>
          <w:lang w:val="ro-MD"/>
        </w:rPr>
        <w:t>secțiune</w:t>
      </w:r>
      <w:r w:rsidRPr="000508B6">
        <w:rPr>
          <w:rFonts w:ascii="Times New Roman" w:hAnsi="Times New Roman" w:cs="Times New Roman"/>
          <w:lang w:val="ro-MD"/>
        </w:rPr>
        <w:t xml:space="preserve">, în cazul în care </w:t>
      </w:r>
      <w:r w:rsidR="004C3D33" w:rsidRPr="000508B6">
        <w:rPr>
          <w:rFonts w:ascii="Times New Roman" w:hAnsi="Times New Roman" w:cs="Times New Roman"/>
          <w:lang w:val="ro-MD"/>
        </w:rPr>
        <w:t xml:space="preserve">asigurătorii sau </w:t>
      </w:r>
      <w:proofErr w:type="spellStart"/>
      <w:r w:rsidR="004C3D33"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care fac parte din grup nu au o societate-mamă comună în statele membre;</w:t>
      </w:r>
    </w:p>
    <w:p w14:paraId="2F368914" w14:textId="3B7F5806" w:rsidR="00A964EA" w:rsidRPr="000508B6" w:rsidRDefault="00A964EA" w:rsidP="001F3F47">
      <w:pPr>
        <w:pStyle w:val="Listparagraf"/>
        <w:numPr>
          <w:ilvl w:val="2"/>
          <w:numId w:val="17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impunerea înființării unui holding de asigurare cu sediul central </w:t>
      </w:r>
      <w:proofErr w:type="spellStart"/>
      <w:r w:rsidRPr="000508B6">
        <w:rPr>
          <w:rFonts w:ascii="Times New Roman" w:hAnsi="Times New Roman" w:cs="Times New Roman"/>
          <w:lang w:val="ro-MD"/>
        </w:rPr>
        <w:t>într</w:t>
      </w:r>
      <w:proofErr w:type="spellEnd"/>
      <w:r w:rsidRPr="000508B6">
        <w:rPr>
          <w:rFonts w:ascii="Times New Roman" w:hAnsi="Times New Roman" w:cs="Times New Roman"/>
          <w:lang w:val="ro-MD"/>
        </w:rPr>
        <w:t xml:space="preserve">-unul din statele membre sau a unui holding financiar mixt cu sediul central </w:t>
      </w:r>
      <w:proofErr w:type="spellStart"/>
      <w:r w:rsidRPr="000508B6">
        <w:rPr>
          <w:rFonts w:ascii="Times New Roman" w:hAnsi="Times New Roman" w:cs="Times New Roman"/>
          <w:lang w:val="ro-MD"/>
        </w:rPr>
        <w:t>într</w:t>
      </w:r>
      <w:proofErr w:type="spellEnd"/>
      <w:r w:rsidRPr="000508B6">
        <w:rPr>
          <w:rFonts w:ascii="Times New Roman" w:hAnsi="Times New Roman" w:cs="Times New Roman"/>
          <w:lang w:val="ro-MD"/>
        </w:rPr>
        <w:t xml:space="preserve">-unul din statele membre, în cazul în care </w:t>
      </w:r>
      <w:r w:rsidR="004C3D33" w:rsidRPr="000508B6">
        <w:rPr>
          <w:rFonts w:ascii="Times New Roman" w:hAnsi="Times New Roman" w:cs="Times New Roman"/>
          <w:lang w:val="ro-MD"/>
        </w:rPr>
        <w:t xml:space="preserve">asigurătorii sau </w:t>
      </w:r>
      <w:proofErr w:type="spellStart"/>
      <w:r w:rsidR="004C3D33" w:rsidRPr="000508B6">
        <w:rPr>
          <w:rFonts w:ascii="Times New Roman" w:hAnsi="Times New Roman" w:cs="Times New Roman"/>
          <w:lang w:val="ro-MD"/>
        </w:rPr>
        <w:t>reasigurătorii</w:t>
      </w:r>
      <w:proofErr w:type="spellEnd"/>
      <w:r w:rsidRPr="000508B6">
        <w:rPr>
          <w:rFonts w:ascii="Times New Roman" w:hAnsi="Times New Roman" w:cs="Times New Roman"/>
          <w:lang w:val="ro-MD"/>
        </w:rPr>
        <w:t xml:space="preserve"> care fac parte din grup nu au o societate-mamă comună </w:t>
      </w:r>
      <w:proofErr w:type="spellStart"/>
      <w:r w:rsidRPr="000508B6">
        <w:rPr>
          <w:rFonts w:ascii="Times New Roman" w:hAnsi="Times New Roman" w:cs="Times New Roman"/>
          <w:lang w:val="ro-MD"/>
        </w:rPr>
        <w:t>într</w:t>
      </w:r>
      <w:proofErr w:type="spellEnd"/>
      <w:r w:rsidRPr="000508B6">
        <w:rPr>
          <w:rFonts w:ascii="Times New Roman" w:hAnsi="Times New Roman" w:cs="Times New Roman"/>
          <w:lang w:val="ro-MD"/>
        </w:rPr>
        <w:t>-unul din statele membre, și aplicarea prezent</w:t>
      </w:r>
      <w:r w:rsidR="00120B04" w:rsidRPr="000508B6">
        <w:rPr>
          <w:rFonts w:ascii="Times New Roman" w:hAnsi="Times New Roman" w:cs="Times New Roman"/>
          <w:lang w:val="ro-MD"/>
        </w:rPr>
        <w:t>ei</w:t>
      </w:r>
      <w:r w:rsidRPr="000508B6">
        <w:rPr>
          <w:rFonts w:ascii="Times New Roman" w:hAnsi="Times New Roman" w:cs="Times New Roman"/>
          <w:lang w:val="ro-MD"/>
        </w:rPr>
        <w:t xml:space="preserve"> </w:t>
      </w:r>
      <w:r w:rsidR="00120B04" w:rsidRPr="000508B6">
        <w:rPr>
          <w:rFonts w:ascii="Times New Roman" w:hAnsi="Times New Roman" w:cs="Times New Roman"/>
          <w:lang w:val="ro-MD"/>
        </w:rPr>
        <w:t>secțiuni</w:t>
      </w:r>
      <w:r w:rsidRPr="000508B6">
        <w:rPr>
          <w:rFonts w:ascii="Times New Roman" w:hAnsi="Times New Roman" w:cs="Times New Roman"/>
          <w:lang w:val="ro-MD"/>
        </w:rPr>
        <w:t xml:space="preserve"> în cazul </w:t>
      </w:r>
      <w:r w:rsidR="004C3D33" w:rsidRPr="000508B6">
        <w:rPr>
          <w:rFonts w:ascii="Times New Roman" w:hAnsi="Times New Roman" w:cs="Times New Roman"/>
          <w:lang w:val="ro-MD"/>
        </w:rPr>
        <w:t xml:space="preserve">asigurătorilor sau </w:t>
      </w:r>
      <w:proofErr w:type="spellStart"/>
      <w:r w:rsidR="004C3D33" w:rsidRPr="000508B6">
        <w:rPr>
          <w:rFonts w:ascii="Times New Roman" w:hAnsi="Times New Roman" w:cs="Times New Roman"/>
          <w:lang w:val="ro-MD"/>
        </w:rPr>
        <w:t>reasigurătorilor</w:t>
      </w:r>
      <w:proofErr w:type="spellEnd"/>
      <w:r w:rsidR="004C3D33" w:rsidRPr="000508B6" w:rsidDel="004C3D33">
        <w:rPr>
          <w:rFonts w:ascii="Times New Roman" w:hAnsi="Times New Roman" w:cs="Times New Roman"/>
          <w:lang w:val="ro-MD"/>
        </w:rPr>
        <w:t xml:space="preserve"> </w:t>
      </w:r>
      <w:r w:rsidRPr="000508B6">
        <w:rPr>
          <w:rFonts w:ascii="Times New Roman" w:hAnsi="Times New Roman" w:cs="Times New Roman"/>
          <w:lang w:val="ro-MD"/>
        </w:rPr>
        <w:t>din grupul condus de respectivul holding de asigurare sau holding financiar mixt;</w:t>
      </w:r>
    </w:p>
    <w:p w14:paraId="5A3599E8" w14:textId="11BDD616" w:rsidR="00A964EA" w:rsidRPr="000508B6" w:rsidRDefault="00A964EA" w:rsidP="001F3F47">
      <w:pPr>
        <w:pStyle w:val="Listparagraf"/>
        <w:numPr>
          <w:ilvl w:val="2"/>
          <w:numId w:val="17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mai </w:t>
      </w:r>
      <w:r w:rsidR="004C3D33" w:rsidRPr="000508B6">
        <w:rPr>
          <w:rFonts w:ascii="Times New Roman" w:hAnsi="Times New Roman" w:cs="Times New Roman"/>
          <w:lang w:val="ro-MD"/>
        </w:rPr>
        <w:t xml:space="preserve">mulți asigurători sau </w:t>
      </w:r>
      <w:proofErr w:type="spellStart"/>
      <w:r w:rsidR="004C3D33"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care fac parte din grup formează un subgrup a cărui societate-mamă are sediul central </w:t>
      </w:r>
      <w:proofErr w:type="spellStart"/>
      <w:r w:rsidRPr="000508B6">
        <w:rPr>
          <w:rFonts w:ascii="Times New Roman" w:hAnsi="Times New Roman" w:cs="Times New Roman"/>
          <w:lang w:val="ro-MD"/>
        </w:rPr>
        <w:t>într</w:t>
      </w:r>
      <w:proofErr w:type="spellEnd"/>
      <w:r w:rsidRPr="000508B6">
        <w:rPr>
          <w:rFonts w:ascii="Times New Roman" w:hAnsi="Times New Roman" w:cs="Times New Roman"/>
          <w:lang w:val="ro-MD"/>
        </w:rPr>
        <w:t xml:space="preserve">-unul din statele membre, pe lângă aplicarea prezentului capitol în cazul acestui subgrup, adoptarea de măsuri suplimentare sau impunerea de cerințe suplimentare, inclusiv cerințele menționate la lit. d), e) și f) și supravegherea consolidată a concentrării riscurilor și a tranzacțiilor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cu scopul atingerii obiectivului menționat la alin.(</w:t>
      </w:r>
      <w:r w:rsidR="00120B04" w:rsidRPr="000508B6">
        <w:rPr>
          <w:rFonts w:ascii="Times New Roman" w:hAnsi="Times New Roman" w:cs="Times New Roman"/>
          <w:lang w:val="ro-MD"/>
        </w:rPr>
        <w:t>5</w:t>
      </w:r>
      <w:r w:rsidRPr="000508B6">
        <w:rPr>
          <w:rFonts w:ascii="Times New Roman" w:hAnsi="Times New Roman" w:cs="Times New Roman"/>
          <w:lang w:val="ro-MD"/>
        </w:rPr>
        <w:t>) lit. b);</w:t>
      </w:r>
    </w:p>
    <w:p w14:paraId="555E4AB9" w14:textId="23A5470E" w:rsidR="00A964EA" w:rsidRPr="000508B6" w:rsidRDefault="00A964EA" w:rsidP="001D499F">
      <w:pPr>
        <w:pStyle w:val="Listparagraf"/>
        <w:numPr>
          <w:ilvl w:val="2"/>
          <w:numId w:val="17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impunerea cerinței ca membrii organ</w:t>
      </w:r>
      <w:r w:rsidR="00B20E41" w:rsidRPr="000508B6">
        <w:rPr>
          <w:rFonts w:ascii="Times New Roman" w:hAnsi="Times New Roman" w:cs="Times New Roman"/>
          <w:lang w:val="ro-MD"/>
        </w:rPr>
        <w:t>elor</w:t>
      </w:r>
      <w:r w:rsidRPr="000508B6">
        <w:rPr>
          <w:rFonts w:ascii="Times New Roman" w:hAnsi="Times New Roman" w:cs="Times New Roman"/>
          <w:lang w:val="ro-MD"/>
        </w:rPr>
        <w:t xml:space="preserve"> de conducere al </w:t>
      </w:r>
      <w:r w:rsidRPr="000508B6" w:rsidDel="004125E8">
        <w:rPr>
          <w:rFonts w:ascii="Times New Roman" w:hAnsi="Times New Roman" w:cs="Times New Roman"/>
          <w:lang w:val="ro-MD"/>
        </w:rPr>
        <w:t>societății</w:t>
      </w:r>
      <w:r w:rsidRPr="000508B6">
        <w:rPr>
          <w:rFonts w:ascii="Times New Roman" w:hAnsi="Times New Roman" w:cs="Times New Roman"/>
          <w:lang w:val="ro-MD"/>
        </w:rPr>
        <w:t xml:space="preserve">-mamă de cel mai înalt rang dintr-un stat membru să fie independenți față de </w:t>
      </w:r>
      <w:r w:rsidRPr="000508B6" w:rsidDel="004125E8">
        <w:rPr>
          <w:rFonts w:ascii="Times New Roman" w:hAnsi="Times New Roman" w:cs="Times New Roman"/>
          <w:lang w:val="ro-MD"/>
        </w:rPr>
        <w:t>societatea</w:t>
      </w:r>
      <w:r w:rsidRPr="000508B6">
        <w:rPr>
          <w:rFonts w:ascii="Times New Roman" w:hAnsi="Times New Roman" w:cs="Times New Roman"/>
          <w:lang w:val="ro-MD"/>
        </w:rPr>
        <w:t>-mamă de cel mai înalt rang dintr-un stat terț;</w:t>
      </w:r>
    </w:p>
    <w:p w14:paraId="1D657533" w14:textId="3A6E3C25" w:rsidR="00A964EA" w:rsidRPr="000508B6" w:rsidRDefault="00A964EA" w:rsidP="001D499F">
      <w:pPr>
        <w:pStyle w:val="Listparagraf"/>
        <w:numPr>
          <w:ilvl w:val="2"/>
          <w:numId w:val="17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interzicerea, limitarea, restricționarea, monitorizarea sau impunerea notificării prealabile a tranzacțiilor, inclusiv a plăților dividendelor și a principalului aferent datoriilor subordonate, în cazul în care astfel de tranzacții constituie sau ar putea pune în pericol poziția financiară sau solvabilitatea </w:t>
      </w:r>
      <w:r w:rsidR="004C3D33" w:rsidRPr="000508B6">
        <w:rPr>
          <w:rFonts w:ascii="Times New Roman" w:hAnsi="Times New Roman" w:cs="Times New Roman"/>
          <w:lang w:val="ro-MD"/>
        </w:rPr>
        <w:t xml:space="preserve">asigurătorilor sau </w:t>
      </w:r>
      <w:proofErr w:type="spellStart"/>
      <w:r w:rsidR="004C3D33"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din cadrul grupului și implică, pe de o parte, </w:t>
      </w:r>
      <w:r w:rsidR="004C3D33" w:rsidRPr="000508B6">
        <w:rPr>
          <w:rFonts w:ascii="Times New Roman" w:hAnsi="Times New Roman" w:cs="Times New Roman"/>
          <w:lang w:val="ro-MD"/>
        </w:rPr>
        <w:t>un</w:t>
      </w:r>
      <w:r w:rsidR="001F3F47" w:rsidRPr="000508B6">
        <w:rPr>
          <w:rFonts w:ascii="Times New Roman" w:hAnsi="Times New Roman" w:cs="Times New Roman"/>
          <w:lang w:val="ro-MD"/>
        </w:rPr>
        <w:t xml:space="preserve"> </w:t>
      </w:r>
      <w:r w:rsidR="004C3D33" w:rsidRPr="000508B6">
        <w:rPr>
          <w:rFonts w:ascii="Times New Roman" w:hAnsi="Times New Roman" w:cs="Times New Roman"/>
          <w:lang w:val="ro-MD"/>
        </w:rPr>
        <w:t xml:space="preserve">asigurător sau </w:t>
      </w:r>
      <w:proofErr w:type="spellStart"/>
      <w:r w:rsidR="004C3D3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un holding de asigurare cu sediul central într-un stat membru sau un holding financiar mixt cu sediul central într-un stat membru și, pe de altă parte, </w:t>
      </w:r>
      <w:r w:rsidR="004C3D33" w:rsidRPr="000508B6">
        <w:rPr>
          <w:rFonts w:ascii="Times New Roman" w:hAnsi="Times New Roman" w:cs="Times New Roman"/>
          <w:lang w:val="ro-MD"/>
        </w:rPr>
        <w:t xml:space="preserve">un asigurător sau </w:t>
      </w:r>
      <w:proofErr w:type="spellStart"/>
      <w:r w:rsidR="004C3D3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care aparține grupului și care are sediul central într-un stat terț. În cazul în care supraveghetorul grupului dintr-un stat terț nu este </w:t>
      </w:r>
      <w:r w:rsidR="00120B04" w:rsidRPr="000508B6">
        <w:rPr>
          <w:rFonts w:ascii="Times New Roman" w:hAnsi="Times New Roman" w:cs="Times New Roman"/>
          <w:lang w:val="ro-MD"/>
        </w:rPr>
        <w:t>unul</w:t>
      </w:r>
      <w:r w:rsidRPr="000508B6">
        <w:rPr>
          <w:rFonts w:ascii="Times New Roman" w:hAnsi="Times New Roman" w:cs="Times New Roman"/>
          <w:lang w:val="ro-MD"/>
        </w:rPr>
        <w:t xml:space="preserve"> dintre supraveghetorii din statul membru în care are sediul central </w:t>
      </w:r>
      <w:r w:rsidR="004C3D33" w:rsidRPr="000508B6">
        <w:rPr>
          <w:rFonts w:ascii="Times New Roman" w:hAnsi="Times New Roman" w:cs="Times New Roman"/>
          <w:lang w:val="ro-MD"/>
        </w:rPr>
        <w:t xml:space="preserve">un asigurător sau </w:t>
      </w:r>
      <w:proofErr w:type="spellStart"/>
      <w:r w:rsidR="004C3D3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afiliat, Banca Naționala a Moldovei informează respectivii supraveghetori cu privire la constatările sale, pentru ca acestea să poată lua măsurile corespunzătoare;</w:t>
      </w:r>
    </w:p>
    <w:p w14:paraId="584DDEC5" w14:textId="19E58416" w:rsidR="00A964EA" w:rsidRPr="000508B6" w:rsidRDefault="00A964EA" w:rsidP="001D499F">
      <w:pPr>
        <w:pStyle w:val="Listparagraf"/>
        <w:numPr>
          <w:ilvl w:val="2"/>
          <w:numId w:val="17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solicitarea de informații privind solvabilitatea și poziția financiară, profilul de risc și limitele de toleranță la risc ale societăților-mamă care au sediul central în într-un stat terț, inclusiv, după caz, rapoarte cu privire la aceste subiecte, care sunt prezentate organ</w:t>
      </w:r>
      <w:r w:rsidR="00B20E41" w:rsidRPr="000508B6">
        <w:rPr>
          <w:rFonts w:ascii="Times New Roman" w:hAnsi="Times New Roman" w:cs="Times New Roman"/>
          <w:lang w:val="ro-MD"/>
        </w:rPr>
        <w:t>elor</w:t>
      </w:r>
      <w:r w:rsidRPr="000508B6">
        <w:rPr>
          <w:rFonts w:ascii="Times New Roman" w:hAnsi="Times New Roman" w:cs="Times New Roman"/>
          <w:lang w:val="ro-MD"/>
        </w:rPr>
        <w:t xml:space="preserve"> de conducere ori supraveghetorilor respectivelor societăți-mamă din state terțe. </w:t>
      </w:r>
    </w:p>
    <w:p w14:paraId="7ED684DF" w14:textId="77777777" w:rsidR="00AC4E00" w:rsidRPr="000508B6" w:rsidRDefault="00AC4E00" w:rsidP="00AC4E00">
      <w:pPr>
        <w:spacing w:after="0" w:line="240" w:lineRule="auto"/>
        <w:ind w:firstLine="426"/>
        <w:jc w:val="center"/>
        <w:rPr>
          <w:rFonts w:ascii="Times New Roman" w:hAnsi="Times New Roman" w:cs="Times New Roman"/>
          <w:lang w:val="ro-MD"/>
        </w:rPr>
      </w:pPr>
    </w:p>
    <w:p w14:paraId="1783A7EC" w14:textId="14F39884" w:rsidR="00F558C2" w:rsidRPr="000508B6" w:rsidRDefault="00F558C2" w:rsidP="00F558C2">
      <w:pPr>
        <w:spacing w:after="0" w:line="240" w:lineRule="auto"/>
        <w:ind w:firstLine="425"/>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V</w:t>
      </w:r>
      <w:r w:rsidR="007C2440" w:rsidRPr="000508B6">
        <w:rPr>
          <w:rFonts w:ascii="Times New Roman" w:eastAsia="Times New Roman" w:hAnsi="Times New Roman" w:cs="Times New Roman"/>
          <w:b/>
          <w:lang w:val="ro-MD"/>
        </w:rPr>
        <w:t>III</w:t>
      </w:r>
      <w:r w:rsidRPr="000508B6">
        <w:rPr>
          <w:rFonts w:ascii="Times New Roman" w:eastAsia="Times New Roman" w:hAnsi="Times New Roman" w:cs="Times New Roman"/>
          <w:b/>
          <w:lang w:val="ro-MD"/>
        </w:rPr>
        <w:t xml:space="preserve"> </w:t>
      </w:r>
    </w:p>
    <w:p w14:paraId="30CDCF9E" w14:textId="47CA1AEC" w:rsidR="00F558C2" w:rsidRPr="000508B6" w:rsidRDefault="00B36665" w:rsidP="00F558C2">
      <w:pPr>
        <w:spacing w:after="0" w:line="240" w:lineRule="auto"/>
        <w:ind w:firstLine="425"/>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ASIGURĂTORII </w:t>
      </w:r>
      <w:r w:rsidR="00AA5A0C" w:rsidRPr="000508B6">
        <w:rPr>
          <w:rFonts w:ascii="Times New Roman" w:eastAsia="Times New Roman" w:hAnsi="Times New Roman" w:cs="Times New Roman"/>
          <w:b/>
          <w:lang w:val="ro-MD"/>
        </w:rPr>
        <w:t xml:space="preserve">ȘI </w:t>
      </w:r>
      <w:r w:rsidRPr="000508B6">
        <w:rPr>
          <w:rFonts w:ascii="Times New Roman" w:eastAsia="Times New Roman" w:hAnsi="Times New Roman" w:cs="Times New Roman"/>
          <w:b/>
          <w:lang w:val="ro-MD"/>
        </w:rPr>
        <w:t xml:space="preserve">REASIGURĂTORII </w:t>
      </w:r>
      <w:r w:rsidR="00AA5A0C" w:rsidRPr="000508B6">
        <w:rPr>
          <w:rFonts w:ascii="Times New Roman" w:eastAsia="Times New Roman" w:hAnsi="Times New Roman" w:cs="Times New Roman"/>
          <w:b/>
          <w:lang w:val="ro-MD"/>
        </w:rPr>
        <w:t xml:space="preserve">AFLAȚI </w:t>
      </w:r>
      <w:r w:rsidR="00F558C2" w:rsidRPr="000508B6">
        <w:rPr>
          <w:rFonts w:ascii="Times New Roman" w:eastAsia="Times New Roman" w:hAnsi="Times New Roman" w:cs="Times New Roman"/>
          <w:b/>
          <w:lang w:val="ro-MD"/>
        </w:rPr>
        <w:t xml:space="preserve">ÎN DIFICULTATE. </w:t>
      </w:r>
      <w:r w:rsidR="002624DE" w:rsidRPr="000508B6">
        <w:rPr>
          <w:rFonts w:ascii="Times New Roman" w:eastAsia="Times New Roman" w:hAnsi="Times New Roman" w:cs="Times New Roman"/>
          <w:b/>
          <w:lang w:val="ro-MD"/>
        </w:rPr>
        <w:t xml:space="preserve">FUZIUNEA ȘI </w:t>
      </w:r>
      <w:r w:rsidR="008440C9" w:rsidRPr="000508B6">
        <w:rPr>
          <w:rFonts w:ascii="Times New Roman" w:eastAsia="Times New Roman" w:hAnsi="Times New Roman" w:cs="Times New Roman"/>
          <w:b/>
          <w:lang w:val="ro-MD"/>
        </w:rPr>
        <w:t>DEZMEMBRAREA</w:t>
      </w:r>
      <w:r w:rsidR="00AA5A0C" w:rsidRPr="000508B6">
        <w:rPr>
          <w:rFonts w:ascii="Times New Roman" w:eastAsia="Times New Roman" w:hAnsi="Times New Roman" w:cs="Times New Roman"/>
          <w:b/>
          <w:lang w:val="ro-MD"/>
        </w:rPr>
        <w:t>.</w:t>
      </w:r>
      <w:r w:rsidR="002624DE" w:rsidRPr="000508B6">
        <w:rPr>
          <w:rFonts w:ascii="Times New Roman" w:eastAsia="Times New Roman" w:hAnsi="Times New Roman" w:cs="Times New Roman"/>
          <w:b/>
          <w:lang w:val="ro-MD"/>
        </w:rPr>
        <w:t xml:space="preserve"> </w:t>
      </w:r>
      <w:r w:rsidR="00F558C2" w:rsidRPr="000508B6">
        <w:rPr>
          <w:rFonts w:ascii="Times New Roman" w:eastAsia="Times New Roman" w:hAnsi="Times New Roman" w:cs="Times New Roman"/>
          <w:b/>
          <w:lang w:val="ro-MD"/>
        </w:rPr>
        <w:t>LICHIDAREA</w:t>
      </w:r>
      <w:r w:rsidR="001C561D" w:rsidRPr="000508B6">
        <w:rPr>
          <w:rFonts w:ascii="Times New Roman" w:eastAsia="Times New Roman" w:hAnsi="Times New Roman" w:cs="Times New Roman"/>
          <w:b/>
          <w:lang w:val="ro-MD"/>
        </w:rPr>
        <w:t xml:space="preserve"> </w:t>
      </w:r>
      <w:r w:rsidR="004125E8" w:rsidRPr="000508B6">
        <w:rPr>
          <w:rFonts w:ascii="Times New Roman" w:eastAsia="Times New Roman" w:hAnsi="Times New Roman" w:cs="Times New Roman"/>
          <w:b/>
          <w:lang w:val="ro-MD"/>
        </w:rPr>
        <w:t xml:space="preserve">ASIGURĂTORULUI </w:t>
      </w:r>
    </w:p>
    <w:p w14:paraId="62A2B3CB" w14:textId="77777777" w:rsidR="00F558C2" w:rsidRPr="000508B6" w:rsidRDefault="00F558C2" w:rsidP="00F558C2">
      <w:pPr>
        <w:spacing w:after="0" w:line="240" w:lineRule="auto"/>
        <w:ind w:firstLine="426"/>
        <w:jc w:val="center"/>
        <w:rPr>
          <w:rFonts w:ascii="Times New Roman" w:eastAsia="Times New Roman" w:hAnsi="Times New Roman" w:cs="Times New Roman"/>
          <w:b/>
          <w:lang w:val="ro-MD"/>
        </w:rPr>
      </w:pPr>
    </w:p>
    <w:p w14:paraId="16D852F5" w14:textId="77777777" w:rsidR="00F558C2" w:rsidRPr="000508B6" w:rsidRDefault="00F558C2" w:rsidP="00F558C2">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1</w:t>
      </w:r>
    </w:p>
    <w:p w14:paraId="03F33D2D" w14:textId="77777777" w:rsidR="00F558C2" w:rsidRPr="000508B6" w:rsidRDefault="00F558C2" w:rsidP="00F558C2">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 Dispoziții generale</w:t>
      </w:r>
    </w:p>
    <w:p w14:paraId="257E955B" w14:textId="578CE7EF" w:rsidR="00F558C2" w:rsidRPr="000508B6" w:rsidRDefault="00F558C2" w:rsidP="00F558C2">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Articolul </w:t>
      </w:r>
      <w:r w:rsidR="007C2440" w:rsidRPr="000508B6">
        <w:rPr>
          <w:rFonts w:ascii="Times New Roman" w:eastAsia="Times New Roman" w:hAnsi="Times New Roman" w:cs="Times New Roman"/>
          <w:b/>
          <w:lang w:val="ro-MD"/>
        </w:rPr>
        <w:t>153</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bCs/>
          <w:lang w:val="ro-MD"/>
        </w:rPr>
        <w:t>Domeniul de aplicare și noțiuni</w:t>
      </w:r>
      <w:r w:rsidRPr="000508B6">
        <w:rPr>
          <w:rFonts w:ascii="Times New Roman" w:eastAsia="Times New Roman" w:hAnsi="Times New Roman" w:cs="Times New Roman"/>
          <w:b/>
          <w:lang w:val="ro-MD"/>
        </w:rPr>
        <w:t xml:space="preserve"> </w:t>
      </w:r>
    </w:p>
    <w:p w14:paraId="2918C277" w14:textId="0A167079" w:rsidR="00711833" w:rsidRPr="000508B6" w:rsidRDefault="00F558C2" w:rsidP="001F3F47">
      <w:pPr>
        <w:pStyle w:val="Listparagraf"/>
        <w:numPr>
          <w:ilvl w:val="0"/>
          <w:numId w:val="273"/>
        </w:numPr>
        <w:tabs>
          <w:tab w:val="left" w:pos="426"/>
          <w:tab w:val="left" w:pos="709"/>
        </w:tabs>
        <w:spacing w:after="0" w:line="240" w:lineRule="auto"/>
        <w:ind w:left="0" w:firstLine="284"/>
        <w:jc w:val="both"/>
        <w:rPr>
          <w:rFonts w:ascii="Times New Roman" w:hAnsi="Times New Roman" w:cs="Times New Roman"/>
          <w:lang w:val="ro-MD"/>
        </w:rPr>
      </w:pPr>
      <w:r w:rsidRPr="000508B6">
        <w:rPr>
          <w:rFonts w:ascii="Times New Roman" w:hAnsi="Times New Roman" w:cs="Times New Roman"/>
          <w:lang w:val="ro-MD"/>
        </w:rPr>
        <w:t xml:space="preserve">Prezentul capitol se aplică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r w:rsidR="00711833" w:rsidRPr="000508B6">
        <w:rPr>
          <w:rFonts w:ascii="Times New Roman" w:hAnsi="Times New Roman" w:cs="Times New Roman"/>
          <w:lang w:val="ro-MD"/>
        </w:rPr>
        <w:t>aflați în dificultate, precum și asigurătorului</w:t>
      </w:r>
      <w:r w:rsidRPr="000508B6">
        <w:rPr>
          <w:rFonts w:ascii="Times New Roman" w:hAnsi="Times New Roman" w:cs="Times New Roman"/>
          <w:lang w:val="ro-MD"/>
        </w:rPr>
        <w:t xml:space="preserve"> și sucursalei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din stat terț </w:t>
      </w:r>
      <w:r w:rsidR="00711833" w:rsidRPr="000508B6">
        <w:rPr>
          <w:rFonts w:ascii="Times New Roman" w:hAnsi="Times New Roman" w:cs="Times New Roman"/>
          <w:lang w:val="ro-MD"/>
        </w:rPr>
        <w:t>față de care se aplică măsuri de reorganizare sau aflați în lichidare</w:t>
      </w:r>
      <w:r w:rsidRPr="000508B6">
        <w:rPr>
          <w:rFonts w:ascii="Times New Roman" w:hAnsi="Times New Roman" w:cs="Times New Roman"/>
          <w:lang w:val="ro-MD"/>
        </w:rPr>
        <w:t xml:space="preserve">. </w:t>
      </w:r>
    </w:p>
    <w:p w14:paraId="40FA4525" w14:textId="149D1913" w:rsidR="00195A19" w:rsidRPr="000508B6" w:rsidRDefault="00195A19" w:rsidP="001D499F">
      <w:pPr>
        <w:pStyle w:val="Listparagraf"/>
        <w:numPr>
          <w:ilvl w:val="0"/>
          <w:numId w:val="273"/>
        </w:numPr>
        <w:tabs>
          <w:tab w:val="left" w:pos="426"/>
          <w:tab w:val="left" w:pos="709"/>
        </w:tabs>
        <w:spacing w:after="0" w:line="240" w:lineRule="auto"/>
        <w:ind w:left="0" w:firstLine="284"/>
        <w:jc w:val="both"/>
        <w:rPr>
          <w:rFonts w:ascii="Times New Roman" w:hAnsi="Times New Roman" w:cs="Times New Roman"/>
          <w:lang w:val="ro-MD"/>
        </w:rPr>
      </w:pPr>
      <w:r w:rsidRPr="000508B6">
        <w:rPr>
          <w:rFonts w:ascii="Times New Roman" w:hAnsi="Times New Roman" w:cs="Times New Roman"/>
          <w:lang w:val="ro-MD"/>
        </w:rPr>
        <w:t xml:space="preserve">În sensul </w:t>
      </w:r>
      <w:r w:rsidR="00711833" w:rsidRPr="000508B6">
        <w:rPr>
          <w:rFonts w:ascii="Times New Roman" w:hAnsi="Times New Roman" w:cs="Times New Roman"/>
          <w:lang w:val="ro-MD"/>
        </w:rPr>
        <w:t>legislației privind redresarea și rezoluția în asigurări</w:t>
      </w:r>
      <w:r w:rsidRPr="000508B6">
        <w:rPr>
          <w:rFonts w:ascii="Times New Roman" w:hAnsi="Times New Roman" w:cs="Times New Roman"/>
          <w:lang w:val="ro-MD"/>
        </w:rPr>
        <w:t xml:space="preserve">, în cazul aplicării instrumentelor de rezoluție și al exercitării competențelor de rezoluție </w:t>
      </w:r>
      <w:r w:rsidR="00711833" w:rsidRPr="000508B6">
        <w:rPr>
          <w:rFonts w:ascii="Times New Roman" w:hAnsi="Times New Roman" w:cs="Times New Roman"/>
          <w:lang w:val="ro-MD"/>
        </w:rPr>
        <w:t>prevăzute în legislația respectivă</w:t>
      </w:r>
      <w:r w:rsidRPr="000508B6">
        <w:rPr>
          <w:rFonts w:ascii="Times New Roman" w:hAnsi="Times New Roman" w:cs="Times New Roman"/>
          <w:lang w:val="ro-MD"/>
        </w:rPr>
        <w:t xml:space="preserve">, </w:t>
      </w:r>
      <w:r w:rsidR="00284213" w:rsidRPr="000508B6">
        <w:rPr>
          <w:rFonts w:ascii="Times New Roman" w:hAnsi="Times New Roman" w:cs="Times New Roman"/>
          <w:lang w:val="ro-MD"/>
        </w:rPr>
        <w:t xml:space="preserve">prevederile art. 153, art. 161-163, </w:t>
      </w:r>
      <w:r w:rsidR="00284213" w:rsidRPr="000508B6" w:rsidDel="00C703F5">
        <w:rPr>
          <w:rFonts w:ascii="Times New Roman" w:hAnsi="Times New Roman" w:cs="Times New Roman"/>
          <w:lang w:val="ro-MD"/>
        </w:rPr>
        <w:t xml:space="preserve">art. </w:t>
      </w:r>
      <w:r w:rsidR="00284213" w:rsidRPr="000508B6">
        <w:rPr>
          <w:rFonts w:ascii="Times New Roman" w:hAnsi="Times New Roman" w:cs="Times New Roman"/>
          <w:lang w:val="ro-MD"/>
        </w:rPr>
        <w:t xml:space="preserve">167 alin. </w:t>
      </w:r>
      <w:r w:rsidR="00C703F5" w:rsidRPr="000508B6">
        <w:rPr>
          <w:rFonts w:ascii="Times New Roman" w:hAnsi="Times New Roman" w:cs="Times New Roman"/>
          <w:lang w:val="ro-MD"/>
        </w:rPr>
        <w:t xml:space="preserve">(9)-(11) și alin. </w:t>
      </w:r>
      <w:r w:rsidR="00284213" w:rsidRPr="000508B6">
        <w:rPr>
          <w:rFonts w:ascii="Times New Roman" w:hAnsi="Times New Roman" w:cs="Times New Roman"/>
          <w:lang w:val="ro-MD"/>
        </w:rPr>
        <w:t>(</w:t>
      </w:r>
      <w:r w:rsidR="00C703F5" w:rsidRPr="000508B6">
        <w:rPr>
          <w:rFonts w:ascii="Times New Roman" w:hAnsi="Times New Roman" w:cs="Times New Roman"/>
          <w:lang w:val="ro-MD"/>
        </w:rPr>
        <w:t>19</w:t>
      </w:r>
      <w:r w:rsidR="00284213" w:rsidRPr="000508B6">
        <w:rPr>
          <w:rFonts w:ascii="Times New Roman" w:hAnsi="Times New Roman" w:cs="Times New Roman"/>
          <w:lang w:val="ro-MD"/>
        </w:rPr>
        <w:t xml:space="preserve">) </w:t>
      </w:r>
      <w:r w:rsidRPr="000508B6">
        <w:rPr>
          <w:rFonts w:ascii="Times New Roman" w:hAnsi="Times New Roman" w:cs="Times New Roman"/>
          <w:lang w:val="ro-MD"/>
        </w:rPr>
        <w:t xml:space="preserve">se aplică </w:t>
      </w:r>
      <w:proofErr w:type="spellStart"/>
      <w:r w:rsidR="00711833"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și </w:t>
      </w:r>
      <w:r w:rsidR="00A174AE" w:rsidRPr="000508B6">
        <w:rPr>
          <w:rFonts w:ascii="Times New Roman" w:hAnsi="Times New Roman" w:cs="Times New Roman"/>
          <w:lang w:val="ro-MD"/>
        </w:rPr>
        <w:t>societății-mamă de asigurare sau reasigurare, holdingului de asigurare și holdingului financiar mixt, holdingului-mamă de asigurare și holdingului-mamă financiar mixt, toate stabil</w:t>
      </w:r>
      <w:r w:rsidR="00993250" w:rsidRPr="000508B6">
        <w:rPr>
          <w:rFonts w:ascii="Times New Roman" w:hAnsi="Times New Roman" w:cs="Times New Roman"/>
          <w:lang w:val="ro-MD"/>
        </w:rPr>
        <w:t>i</w:t>
      </w:r>
      <w:r w:rsidR="00A174AE" w:rsidRPr="000508B6">
        <w:rPr>
          <w:rFonts w:ascii="Times New Roman" w:hAnsi="Times New Roman" w:cs="Times New Roman"/>
          <w:lang w:val="ro-MD"/>
        </w:rPr>
        <w:t xml:space="preserve">te în Uniunea Europeană, precum și holdingului-mamă de asigurare și holdingurile-mamă financiare mixte din Republica Moldova sau dintr-un stat membru. </w:t>
      </w:r>
    </w:p>
    <w:p w14:paraId="66DDE09F" w14:textId="2C0F5868" w:rsidR="00993250" w:rsidRPr="000508B6" w:rsidRDefault="00875AF2" w:rsidP="001D499F">
      <w:pPr>
        <w:pStyle w:val="Listparagraf"/>
        <w:numPr>
          <w:ilvl w:val="0"/>
          <w:numId w:val="273"/>
        </w:numPr>
        <w:tabs>
          <w:tab w:val="left" w:pos="426"/>
          <w:tab w:val="left" w:pos="709"/>
        </w:tabs>
        <w:spacing w:after="0" w:line="240" w:lineRule="auto"/>
        <w:ind w:left="0" w:firstLine="284"/>
        <w:jc w:val="both"/>
        <w:rPr>
          <w:rFonts w:ascii="Times New Roman" w:hAnsi="Times New Roman" w:cs="Times New Roman"/>
          <w:lang w:val="ro-MD"/>
        </w:rPr>
      </w:pPr>
      <w:r w:rsidRPr="000508B6">
        <w:rPr>
          <w:rFonts w:ascii="Times New Roman" w:hAnsi="Times New Roman" w:cs="Times New Roman"/>
          <w:lang w:val="ro-MD"/>
        </w:rPr>
        <w:t xml:space="preserve">Prevederile art. 160 alin. (6) nu se aplică în cazul în care organele de conducere ale </w:t>
      </w:r>
      <w:r w:rsidR="00B36665" w:rsidRPr="000508B6">
        <w:rPr>
          <w:rFonts w:ascii="Times New Roman" w:hAnsi="Times New Roman" w:cs="Times New Roman"/>
          <w:lang w:val="ro-MD"/>
        </w:rPr>
        <w:t xml:space="preserve">asigurătorului </w:t>
      </w:r>
      <w:r w:rsidRPr="000508B6">
        <w:rPr>
          <w:rFonts w:ascii="Times New Roman" w:hAnsi="Times New Roman" w:cs="Times New Roman"/>
          <w:lang w:val="ro-MD"/>
        </w:rPr>
        <w:t>sau</w:t>
      </w:r>
      <w:r w:rsidRPr="000508B6" w:rsidDel="00B36665">
        <w:rPr>
          <w:rFonts w:ascii="Times New Roman" w:hAnsi="Times New Roman" w:cs="Times New Roman"/>
          <w:lang w:val="ro-MD"/>
        </w:rPr>
        <w:t xml:space="preserve"> </w:t>
      </w:r>
      <w:proofErr w:type="spellStart"/>
      <w:r w:rsidR="00B36665" w:rsidRPr="000508B6">
        <w:rPr>
          <w:rFonts w:ascii="Times New Roman" w:hAnsi="Times New Roman" w:cs="Times New Roman"/>
          <w:lang w:val="ro-MD"/>
        </w:rPr>
        <w:t>reasigurătorului</w:t>
      </w:r>
      <w:proofErr w:type="spellEnd"/>
      <w:r w:rsidR="00B36665" w:rsidRPr="000508B6">
        <w:rPr>
          <w:rFonts w:ascii="Times New Roman" w:hAnsi="Times New Roman" w:cs="Times New Roman"/>
          <w:lang w:val="ro-MD"/>
        </w:rPr>
        <w:t xml:space="preserve"> </w:t>
      </w:r>
      <w:r w:rsidRPr="000508B6">
        <w:rPr>
          <w:rFonts w:ascii="Times New Roman" w:hAnsi="Times New Roman" w:cs="Times New Roman"/>
          <w:lang w:val="ro-MD"/>
        </w:rPr>
        <w:t xml:space="preserve">au, conform legislației privind redresarea și rezoluția în asigurări, obligația să notifice Banca Națională a Moldovei în cazul în care consideră că </w:t>
      </w:r>
      <w:r w:rsidR="003741CA" w:rsidRPr="000508B6">
        <w:rPr>
          <w:rFonts w:ascii="Times New Roman" w:hAnsi="Times New Roman" w:cs="Times New Roman"/>
          <w:lang w:val="ro-MD"/>
        </w:rPr>
        <w:t>sunt</w:t>
      </w:r>
      <w:r w:rsidRPr="000508B6">
        <w:rPr>
          <w:rFonts w:ascii="Times New Roman" w:hAnsi="Times New Roman" w:cs="Times New Roman"/>
          <w:lang w:val="ro-MD"/>
        </w:rPr>
        <w:t xml:space="preserve"> în curs </w:t>
      </w:r>
      <w:r w:rsidR="003741CA" w:rsidRPr="000508B6">
        <w:rPr>
          <w:rFonts w:ascii="Times New Roman" w:hAnsi="Times New Roman" w:cs="Times New Roman"/>
          <w:lang w:val="ro-MD"/>
        </w:rPr>
        <w:t xml:space="preserve">sau sunt susceptibile </w:t>
      </w:r>
      <w:r w:rsidRPr="000508B6">
        <w:rPr>
          <w:rFonts w:ascii="Times New Roman" w:hAnsi="Times New Roman" w:cs="Times New Roman"/>
          <w:lang w:val="ro-MD"/>
        </w:rPr>
        <w:t>de a intra în dificultate în sensul legislației privind redresarea și rezoluția în asigurări</w:t>
      </w:r>
      <w:r w:rsidR="003741CA" w:rsidRPr="000508B6">
        <w:rPr>
          <w:rFonts w:ascii="Times New Roman" w:hAnsi="Times New Roman" w:cs="Times New Roman"/>
          <w:lang w:val="ro-MD"/>
        </w:rPr>
        <w:t>.</w:t>
      </w:r>
    </w:p>
    <w:p w14:paraId="6EE2B185" w14:textId="219FCA09" w:rsidR="00F558C2" w:rsidRPr="000508B6" w:rsidRDefault="00F558C2" w:rsidP="001D499F">
      <w:pPr>
        <w:pStyle w:val="Listparagraf"/>
        <w:numPr>
          <w:ilvl w:val="0"/>
          <w:numId w:val="273"/>
        </w:numPr>
        <w:tabs>
          <w:tab w:val="left" w:pos="426"/>
        </w:tabs>
        <w:spacing w:after="0" w:line="240" w:lineRule="auto"/>
        <w:ind w:left="0" w:firstLine="284"/>
        <w:jc w:val="both"/>
        <w:rPr>
          <w:rFonts w:ascii="Times New Roman" w:hAnsi="Times New Roman" w:cs="Times New Roman"/>
          <w:lang w:val="ro-MD"/>
        </w:rPr>
      </w:pPr>
      <w:r w:rsidRPr="000508B6">
        <w:rPr>
          <w:rFonts w:ascii="Times New Roman" w:hAnsi="Times New Roman" w:cs="Times New Roman"/>
          <w:lang w:val="ro-MD"/>
        </w:rPr>
        <w:t xml:space="preserve">În sensul prezentului capitol, se aplică următoarele definiții: </w:t>
      </w:r>
    </w:p>
    <w:p w14:paraId="09C13AEC" w14:textId="05545C7B"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lastRenderedPageBreak/>
        <w:t>administrator interimar</w:t>
      </w:r>
      <w:r w:rsidRPr="000508B6">
        <w:rPr>
          <w:rFonts w:ascii="Times New Roman" w:eastAsia="Times New Roman" w:hAnsi="Times New Roman" w:cs="Times New Roman"/>
          <w:lang w:val="ro-MD"/>
        </w:rPr>
        <w:t xml:space="preserve"> – persoană fizică sau juridică, inclusiv </w:t>
      </w:r>
      <w:r w:rsidR="00F75C8B" w:rsidRPr="000508B6">
        <w:rPr>
          <w:rFonts w:ascii="Times New Roman" w:eastAsia="Times New Roman" w:hAnsi="Times New Roman" w:cs="Times New Roman"/>
          <w:lang w:val="ro-MD"/>
        </w:rPr>
        <w:t xml:space="preserve">Fondul de garantare a depozitelor în sistemul bancar (în continuare – </w:t>
      </w:r>
      <w:proofErr w:type="spellStart"/>
      <w:r w:rsidR="00F75C8B" w:rsidRPr="000508B6">
        <w:rPr>
          <w:rFonts w:ascii="Times New Roman" w:eastAsia="Times New Roman" w:hAnsi="Times New Roman" w:cs="Times New Roman"/>
          <w:lang w:val="ro-MD"/>
        </w:rPr>
        <w:t>şi</w:t>
      </w:r>
      <w:proofErr w:type="spellEnd"/>
      <w:r w:rsidR="00F75C8B" w:rsidRPr="000508B6">
        <w:rPr>
          <w:rFonts w:ascii="Times New Roman" w:eastAsia="Times New Roman" w:hAnsi="Times New Roman" w:cs="Times New Roman"/>
          <w:lang w:val="ro-MD"/>
        </w:rPr>
        <w:t xml:space="preserve"> </w:t>
      </w:r>
      <w:bookmarkStart w:id="145" w:name="_Hlk220997989"/>
      <w:r w:rsidR="00F75C8B" w:rsidRPr="000508B6">
        <w:rPr>
          <w:rFonts w:ascii="Times New Roman" w:eastAsia="Times New Roman" w:hAnsi="Times New Roman" w:cs="Times New Roman"/>
          <w:lang w:val="ro-MD"/>
        </w:rPr>
        <w:t>FGDSB), sau altă persoană juridică care administrează</w:t>
      </w:r>
      <w:bookmarkEnd w:id="145"/>
      <w:r w:rsidR="00F75C8B" w:rsidRPr="000508B6">
        <w:rPr>
          <w:rFonts w:ascii="Times New Roman" w:eastAsia="Times New Roman" w:hAnsi="Times New Roman" w:cs="Times New Roman"/>
          <w:lang w:val="ro-MD"/>
        </w:rPr>
        <w:t xml:space="preserve"> </w:t>
      </w:r>
      <w:r w:rsidR="0008471D" w:rsidRPr="000508B6">
        <w:rPr>
          <w:rFonts w:ascii="Times New Roman" w:eastAsia="Times New Roman" w:hAnsi="Times New Roman" w:cs="Times New Roman"/>
          <w:lang w:val="ro-MD"/>
        </w:rPr>
        <w:t>F</w:t>
      </w:r>
      <w:r w:rsidRPr="000508B6">
        <w:rPr>
          <w:rFonts w:ascii="Times New Roman" w:eastAsia="Times New Roman" w:hAnsi="Times New Roman" w:cs="Times New Roman"/>
          <w:lang w:val="ro-MD"/>
        </w:rPr>
        <w:t xml:space="preserve">ondul de </w:t>
      </w:r>
      <w:r w:rsidR="00382436" w:rsidRPr="000508B6">
        <w:rPr>
          <w:rFonts w:ascii="Times New Roman" w:eastAsia="Times New Roman" w:hAnsi="Times New Roman" w:cs="Times New Roman"/>
          <w:lang w:val="ro-MD"/>
        </w:rPr>
        <w:t>G</w:t>
      </w:r>
      <w:r w:rsidRPr="000508B6">
        <w:rPr>
          <w:rFonts w:ascii="Times New Roman" w:eastAsia="Times New Roman" w:hAnsi="Times New Roman" w:cs="Times New Roman"/>
          <w:lang w:val="ro-MD"/>
        </w:rPr>
        <w:t>arantare</w:t>
      </w:r>
      <w:r w:rsidR="0008471D" w:rsidRPr="000508B6">
        <w:rPr>
          <w:rFonts w:ascii="Times New Roman" w:eastAsia="Times New Roman" w:hAnsi="Times New Roman" w:cs="Times New Roman"/>
          <w:lang w:val="ro-MD"/>
        </w:rPr>
        <w:t xml:space="preserve"> în </w:t>
      </w:r>
      <w:r w:rsidR="00382436" w:rsidRPr="000508B6">
        <w:rPr>
          <w:rFonts w:ascii="Times New Roman" w:eastAsia="Times New Roman" w:hAnsi="Times New Roman" w:cs="Times New Roman"/>
          <w:lang w:val="ro-MD"/>
        </w:rPr>
        <w:t>A</w:t>
      </w:r>
      <w:r w:rsidR="0008471D" w:rsidRPr="000508B6">
        <w:rPr>
          <w:rFonts w:ascii="Times New Roman" w:eastAsia="Times New Roman" w:hAnsi="Times New Roman" w:cs="Times New Roman"/>
          <w:lang w:val="ro-MD"/>
        </w:rPr>
        <w:t>sigurări</w:t>
      </w:r>
      <w:r w:rsidRPr="000508B6">
        <w:rPr>
          <w:rFonts w:ascii="Times New Roman" w:eastAsia="Times New Roman" w:hAnsi="Times New Roman" w:cs="Times New Roman"/>
          <w:lang w:val="ro-MD"/>
        </w:rPr>
        <w:t xml:space="preserve">, numită prin decizia Băncii Naționale a Moldovei să asigure administrarea și conducerea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pentru care Banca Națională a Moldovei dispune </w:t>
      </w:r>
      <w:r w:rsidR="00556985" w:rsidRPr="000508B6">
        <w:rPr>
          <w:rFonts w:ascii="Times New Roman" w:eastAsia="Times New Roman" w:hAnsi="Times New Roman" w:cs="Times New Roman"/>
          <w:lang w:val="ro-MD"/>
        </w:rPr>
        <w:t>retragerea licenței</w:t>
      </w:r>
      <w:r w:rsidRPr="000508B6">
        <w:rPr>
          <w:rFonts w:ascii="Times New Roman" w:eastAsia="Times New Roman" w:hAnsi="Times New Roman" w:cs="Times New Roman"/>
          <w:lang w:val="ro-MD"/>
        </w:rPr>
        <w:t xml:space="preserve">. </w:t>
      </w:r>
    </w:p>
    <w:p w14:paraId="54FE3019" w14:textId="2EE1BC9D"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i/>
          <w:iCs/>
          <w:lang w:val="ro-MD"/>
        </w:rPr>
        <w:t>administrator</w:t>
      </w:r>
      <w:r w:rsidRPr="000508B6" w:rsidDel="00840A42">
        <w:rPr>
          <w:rFonts w:ascii="Times New Roman" w:eastAsia="Times New Roman" w:hAnsi="Times New Roman" w:cs="Times New Roman"/>
          <w:i/>
          <w:lang w:val="ro-MD"/>
        </w:rPr>
        <w:t xml:space="preserve"> </w:t>
      </w:r>
      <w:r w:rsidRPr="000508B6">
        <w:rPr>
          <w:rFonts w:ascii="Times New Roman" w:eastAsia="Times New Roman" w:hAnsi="Times New Roman" w:cs="Times New Roman"/>
          <w:lang w:val="ro-MD"/>
        </w:rPr>
        <w:t xml:space="preserve">- persoană fizică sau juridică, inclusiv </w:t>
      </w:r>
      <w:r w:rsidR="00F75C8B" w:rsidRPr="000508B6">
        <w:rPr>
          <w:rFonts w:ascii="Times New Roman" w:eastAsia="Times New Roman" w:hAnsi="Times New Roman" w:cs="Times New Roman"/>
          <w:lang w:val="ro-MD"/>
        </w:rPr>
        <w:t xml:space="preserve">FGDSB, sau altă persoană juridică care administrează </w:t>
      </w:r>
      <w:r w:rsidR="0008471D" w:rsidRPr="000508B6">
        <w:rPr>
          <w:rFonts w:ascii="Times New Roman" w:eastAsia="Times New Roman" w:hAnsi="Times New Roman" w:cs="Times New Roman"/>
          <w:lang w:val="ro-MD"/>
        </w:rPr>
        <w:t xml:space="preserve">Fondul </w:t>
      </w:r>
      <w:r w:rsidRPr="000508B6">
        <w:rPr>
          <w:rFonts w:ascii="Times New Roman" w:eastAsia="Times New Roman" w:hAnsi="Times New Roman" w:cs="Times New Roman"/>
          <w:lang w:val="ro-MD"/>
        </w:rPr>
        <w:t xml:space="preserve">de </w:t>
      </w:r>
      <w:r w:rsidR="00382436" w:rsidRPr="000508B6">
        <w:rPr>
          <w:rFonts w:ascii="Times New Roman" w:eastAsia="Times New Roman" w:hAnsi="Times New Roman" w:cs="Times New Roman"/>
          <w:lang w:val="ro-MD"/>
        </w:rPr>
        <w:t>G</w:t>
      </w:r>
      <w:r w:rsidRPr="000508B6">
        <w:rPr>
          <w:rFonts w:ascii="Times New Roman" w:eastAsia="Times New Roman" w:hAnsi="Times New Roman" w:cs="Times New Roman"/>
          <w:lang w:val="ro-MD"/>
        </w:rPr>
        <w:t>arantare</w:t>
      </w:r>
      <w:r w:rsidR="0008471D" w:rsidRPr="000508B6">
        <w:rPr>
          <w:rFonts w:ascii="Times New Roman" w:eastAsia="Times New Roman" w:hAnsi="Times New Roman" w:cs="Times New Roman"/>
          <w:lang w:val="ro-MD"/>
        </w:rPr>
        <w:t xml:space="preserve"> în </w:t>
      </w:r>
      <w:r w:rsidR="00382436" w:rsidRPr="000508B6">
        <w:rPr>
          <w:rFonts w:ascii="Times New Roman" w:eastAsia="Times New Roman" w:hAnsi="Times New Roman" w:cs="Times New Roman"/>
          <w:lang w:val="ro-MD"/>
        </w:rPr>
        <w:t>A</w:t>
      </w:r>
      <w:r w:rsidR="0008471D" w:rsidRPr="000508B6">
        <w:rPr>
          <w:rFonts w:ascii="Times New Roman" w:eastAsia="Times New Roman" w:hAnsi="Times New Roman" w:cs="Times New Roman"/>
          <w:lang w:val="ro-MD"/>
        </w:rPr>
        <w:t>sigurări</w:t>
      </w:r>
      <w:r w:rsidRPr="000508B6">
        <w:rPr>
          <w:rFonts w:ascii="Times New Roman" w:eastAsia="Times New Roman" w:hAnsi="Times New Roman" w:cs="Times New Roman"/>
          <w:lang w:val="ro-MD"/>
        </w:rPr>
        <w:t xml:space="preserve">, numită prin decizia Băncii Naționale a Moldovei </w:t>
      </w:r>
      <w:r w:rsidR="00E8571A" w:rsidRPr="000508B6">
        <w:rPr>
          <w:rFonts w:ascii="Times New Roman" w:eastAsia="Times New Roman" w:hAnsi="Times New Roman" w:cs="Times New Roman"/>
          <w:lang w:val="ro-MD"/>
        </w:rPr>
        <w:t xml:space="preserve">în vederea gestionării măsurilor de </w:t>
      </w:r>
      <w:r w:rsidR="00853F0E" w:rsidRPr="000508B6">
        <w:rPr>
          <w:rFonts w:ascii="Times New Roman" w:eastAsia="Times New Roman" w:hAnsi="Times New Roman" w:cs="Times New Roman"/>
          <w:lang w:val="ro-MD"/>
        </w:rPr>
        <w:t>reorganizare</w:t>
      </w:r>
      <w:r w:rsidRPr="000508B6">
        <w:rPr>
          <w:rFonts w:ascii="Times New Roman" w:eastAsia="Times New Roman" w:hAnsi="Times New Roman" w:cs="Times New Roman"/>
          <w:lang w:val="ro-MD"/>
        </w:rPr>
        <w:t>;</w:t>
      </w:r>
    </w:p>
    <w:p w14:paraId="1BF63578" w14:textId="2CA35865" w:rsidR="00F558C2" w:rsidRPr="000508B6" w:rsidRDefault="00F558C2" w:rsidP="009A0CCB">
      <w:pPr>
        <w:spacing w:after="0" w:line="240" w:lineRule="auto"/>
        <w:ind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i/>
          <w:lang w:val="ro-MD"/>
        </w:rPr>
        <w:t>creanţă</w:t>
      </w:r>
      <w:proofErr w:type="spellEnd"/>
      <w:r w:rsidRPr="000508B6">
        <w:rPr>
          <w:rFonts w:ascii="Times New Roman" w:eastAsia="Times New Roman" w:hAnsi="Times New Roman" w:cs="Times New Roman"/>
          <w:i/>
          <w:lang w:val="ro-MD"/>
        </w:rPr>
        <w:t xml:space="preserve"> de asigurare</w:t>
      </w:r>
      <w:r w:rsidRPr="000508B6">
        <w:rPr>
          <w:rFonts w:ascii="Times New Roman" w:eastAsia="Times New Roman" w:hAnsi="Times New Roman" w:cs="Times New Roman"/>
          <w:lang w:val="ro-MD"/>
        </w:rPr>
        <w:t xml:space="preserve"> –</w:t>
      </w:r>
      <w:r w:rsidR="003A6FE3"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creanţă</w:t>
      </w:r>
      <w:proofErr w:type="spellEnd"/>
      <w:r w:rsidRPr="000508B6">
        <w:rPr>
          <w:rFonts w:ascii="Times New Roman" w:eastAsia="Times New Roman" w:hAnsi="Times New Roman" w:cs="Times New Roman"/>
          <w:lang w:val="ro-MD"/>
        </w:rPr>
        <w:t xml:space="preserve"> a creditorilor de asigurări, care rezultă dintr-un contract de asigurare, inclusiv sumele rezervate pentru </w:t>
      </w:r>
      <w:proofErr w:type="spellStart"/>
      <w:r w:rsidRPr="000508B6">
        <w:rPr>
          <w:rFonts w:ascii="Times New Roman" w:eastAsia="Times New Roman" w:hAnsi="Times New Roman" w:cs="Times New Roman"/>
          <w:lang w:val="ro-MD"/>
        </w:rPr>
        <w:t>aceşti</w:t>
      </w:r>
      <w:proofErr w:type="spellEnd"/>
      <w:r w:rsidRPr="000508B6">
        <w:rPr>
          <w:rFonts w:ascii="Times New Roman" w:eastAsia="Times New Roman" w:hAnsi="Times New Roman" w:cs="Times New Roman"/>
          <w:lang w:val="ro-MD"/>
        </w:rPr>
        <w:t xml:space="preserve"> creditori atunci când unele elemente ale datoriei nu sunt cunoscute încă</w:t>
      </w:r>
      <w:r w:rsidR="006A2E5F"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Se consideră </w:t>
      </w:r>
      <w:proofErr w:type="spellStart"/>
      <w:r w:rsidRPr="000508B6">
        <w:rPr>
          <w:rFonts w:ascii="Times New Roman" w:eastAsia="Times New Roman" w:hAnsi="Times New Roman" w:cs="Times New Roman"/>
          <w:lang w:val="ro-MD"/>
        </w:rPr>
        <w:t>creanţă</w:t>
      </w:r>
      <w:proofErr w:type="spellEnd"/>
      <w:r w:rsidRPr="000508B6">
        <w:rPr>
          <w:rFonts w:ascii="Times New Roman" w:eastAsia="Times New Roman" w:hAnsi="Times New Roman" w:cs="Times New Roman"/>
          <w:lang w:val="ro-MD"/>
        </w:rPr>
        <w:t xml:space="preserve"> de asigurare </w:t>
      </w:r>
      <w:proofErr w:type="spellStart"/>
      <w:r w:rsidRPr="000508B6">
        <w:rPr>
          <w:rFonts w:ascii="Times New Roman" w:eastAsia="Times New Roman" w:hAnsi="Times New Roman" w:cs="Times New Roman"/>
          <w:lang w:val="ro-MD"/>
        </w:rPr>
        <w:t>creanţele</w:t>
      </w:r>
      <w:proofErr w:type="spellEnd"/>
      <w:r w:rsidRPr="000508B6">
        <w:rPr>
          <w:rFonts w:ascii="Times New Roman" w:eastAsia="Times New Roman" w:hAnsi="Times New Roman" w:cs="Times New Roman"/>
          <w:lang w:val="ro-MD"/>
        </w:rPr>
        <w:t xml:space="preserve"> </w:t>
      </w:r>
      <w:r w:rsidR="0008471D" w:rsidRPr="000508B6">
        <w:rPr>
          <w:rFonts w:ascii="Times New Roman" w:eastAsia="Times New Roman" w:hAnsi="Times New Roman" w:cs="Times New Roman"/>
          <w:lang w:val="ro-MD"/>
        </w:rPr>
        <w:t xml:space="preserve">Fondului </w:t>
      </w:r>
      <w:r w:rsidRPr="000508B6">
        <w:rPr>
          <w:rFonts w:ascii="Times New Roman" w:eastAsia="Times New Roman" w:hAnsi="Times New Roman" w:cs="Times New Roman"/>
          <w:lang w:val="ro-MD"/>
        </w:rPr>
        <w:t>de garantare</w:t>
      </w:r>
      <w:r w:rsidR="00A230C4" w:rsidRPr="000508B6">
        <w:rPr>
          <w:rFonts w:ascii="Times New Roman" w:eastAsia="Times New Roman" w:hAnsi="Times New Roman" w:cs="Times New Roman"/>
          <w:lang w:val="ro-MD"/>
        </w:rPr>
        <w:t xml:space="preserve"> în asigurări</w:t>
      </w:r>
      <w:r w:rsidRPr="000508B6">
        <w:rPr>
          <w:rFonts w:ascii="Times New Roman" w:eastAsia="Times New Roman" w:hAnsi="Times New Roman" w:cs="Times New Roman"/>
          <w:lang w:val="ro-MD"/>
        </w:rPr>
        <w:t xml:space="preserv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primele datorate de către </w:t>
      </w:r>
      <w:r w:rsidR="006A2E5F" w:rsidRPr="000508B6">
        <w:rPr>
          <w:rFonts w:ascii="Times New Roman" w:eastAsia="Times New Roman" w:hAnsi="Times New Roman" w:cs="Times New Roman"/>
          <w:lang w:val="ro-MD"/>
        </w:rPr>
        <w:t>asigurătorul</w:t>
      </w:r>
      <w:r w:rsidR="00DB728E" w:rsidRPr="000508B6">
        <w:rPr>
          <w:rFonts w:ascii="Times New Roman" w:eastAsia="Times New Roman" w:hAnsi="Times New Roman" w:cs="Times New Roman"/>
          <w:lang w:val="ro-MD"/>
        </w:rPr>
        <w:t xml:space="preserve"> debitor</w:t>
      </w:r>
      <w:r w:rsidRPr="000508B6">
        <w:rPr>
          <w:rFonts w:ascii="Times New Roman" w:eastAsia="Times New Roman" w:hAnsi="Times New Roman" w:cs="Times New Roman"/>
          <w:lang w:val="ro-MD"/>
        </w:rPr>
        <w:t xml:space="preserve"> rezultate din încetarea ori, după caz, din anularea</w:t>
      </w:r>
      <w:r w:rsidR="00A230C4" w:rsidRPr="000508B6">
        <w:rPr>
          <w:rFonts w:ascii="Times New Roman" w:eastAsia="Times New Roman" w:hAnsi="Times New Roman" w:cs="Times New Roman"/>
          <w:lang w:val="ro-MD"/>
        </w:rPr>
        <w:t xml:space="preserve"> sau rezoluțiunea</w:t>
      </w:r>
      <w:r w:rsidRPr="000508B6">
        <w:rPr>
          <w:rFonts w:ascii="Times New Roman" w:eastAsia="Times New Roman" w:hAnsi="Times New Roman" w:cs="Times New Roman"/>
          <w:lang w:val="ro-MD"/>
        </w:rPr>
        <w:t xml:space="preserve"> contractelor de asigurare sau </w:t>
      </w:r>
      <w:proofErr w:type="spellStart"/>
      <w:r w:rsidRPr="000508B6">
        <w:rPr>
          <w:rFonts w:ascii="Times New Roman" w:eastAsia="Times New Roman" w:hAnsi="Times New Roman" w:cs="Times New Roman"/>
          <w:lang w:val="ro-MD"/>
        </w:rPr>
        <w:t>operaţiunilor</w:t>
      </w:r>
      <w:proofErr w:type="spellEnd"/>
      <w:r w:rsidRPr="000508B6">
        <w:rPr>
          <w:rFonts w:ascii="Times New Roman" w:eastAsia="Times New Roman" w:hAnsi="Times New Roman" w:cs="Times New Roman"/>
          <w:lang w:val="ro-MD"/>
        </w:rPr>
        <w:t xml:space="preserve"> efectuate, conform legii aplicabile acestora, înainte de intrarea în procedura </w:t>
      </w:r>
      <w:r w:rsidR="00DB728E" w:rsidRPr="000508B6">
        <w:rPr>
          <w:rFonts w:ascii="Times New Roman" w:eastAsia="Times New Roman" w:hAnsi="Times New Roman" w:cs="Times New Roman"/>
          <w:lang w:val="ro-MD"/>
        </w:rPr>
        <w:t>de insolvabilitate</w:t>
      </w:r>
      <w:r w:rsidRPr="000508B6">
        <w:rPr>
          <w:rFonts w:ascii="Times New Roman" w:eastAsia="Times New Roman" w:hAnsi="Times New Roman" w:cs="Times New Roman"/>
          <w:lang w:val="ro-MD"/>
        </w:rPr>
        <w:t>;</w:t>
      </w:r>
    </w:p>
    <w:p w14:paraId="4F6DFE88" w14:textId="42DC1BB5"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creditor de asigurare</w:t>
      </w:r>
      <w:r w:rsidRPr="000508B6">
        <w:rPr>
          <w:rFonts w:ascii="Times New Roman" w:eastAsia="Times New Roman" w:hAnsi="Times New Roman" w:cs="Times New Roman"/>
          <w:lang w:val="ro-MD"/>
        </w:rPr>
        <w:t xml:space="preserve"> -</w:t>
      </w:r>
      <w:r w:rsidRPr="000508B6" w:rsidDel="002D7A8B">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 asigurați, beneficiari ai asigurării, precum și oricare alte terțe persoane prejudiciate prin nerespectarea condițiilor de asigurare ale contractelor, ale căror creanțe nu au fost plătite de </w:t>
      </w:r>
      <w:r w:rsidR="004B4482" w:rsidRPr="000508B6">
        <w:rPr>
          <w:rFonts w:ascii="Times New Roman" w:eastAsia="Times New Roman" w:hAnsi="Times New Roman" w:cs="Times New Roman"/>
          <w:lang w:val="ro-MD"/>
        </w:rPr>
        <w:t>asigurător</w:t>
      </w:r>
      <w:r w:rsidRPr="000508B6">
        <w:rPr>
          <w:rFonts w:ascii="Times New Roman" w:eastAsia="Times New Roman" w:hAnsi="Times New Roman" w:cs="Times New Roman"/>
          <w:lang w:val="ro-MD"/>
        </w:rPr>
        <w:t>;</w:t>
      </w:r>
    </w:p>
    <w:p w14:paraId="49CA7B40" w14:textId="7880E884"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măsuri de</w:t>
      </w:r>
      <w:r w:rsidRPr="000508B6" w:rsidDel="00FB5515">
        <w:rPr>
          <w:rFonts w:ascii="Times New Roman" w:eastAsia="Times New Roman" w:hAnsi="Times New Roman" w:cs="Times New Roman"/>
          <w:i/>
          <w:lang w:val="ro-MD"/>
        </w:rPr>
        <w:t xml:space="preserve"> </w:t>
      </w:r>
      <w:r w:rsidR="00FB5515" w:rsidRPr="000508B6">
        <w:rPr>
          <w:rFonts w:ascii="Times New Roman" w:eastAsia="Times New Roman" w:hAnsi="Times New Roman" w:cs="Times New Roman"/>
          <w:i/>
          <w:lang w:val="ro-MD"/>
        </w:rPr>
        <w:t>reorganizare</w:t>
      </w:r>
      <w:r w:rsidRPr="000508B6">
        <w:rPr>
          <w:rFonts w:ascii="Times New Roman" w:eastAsia="Times New Roman" w:hAnsi="Times New Roman" w:cs="Times New Roman"/>
          <w:i/>
          <w:lang w:val="ro-MD"/>
        </w:rPr>
        <w:t xml:space="preserve"> </w:t>
      </w:r>
      <w:r w:rsidRPr="000508B6">
        <w:rPr>
          <w:rFonts w:ascii="Times New Roman" w:eastAsia="Times New Roman" w:hAnsi="Times New Roman" w:cs="Times New Roman"/>
          <w:lang w:val="ro-MD"/>
        </w:rPr>
        <w:t xml:space="preserve">- măsuri care implică orice intervenție din partea </w:t>
      </w:r>
      <w:r w:rsidR="00FB786B" w:rsidRPr="000508B6">
        <w:rPr>
          <w:rFonts w:ascii="Times New Roman" w:eastAsia="Times New Roman" w:hAnsi="Times New Roman" w:cs="Times New Roman"/>
          <w:lang w:val="ro-MD"/>
        </w:rPr>
        <w:t>Băncii Naționale a Moldovei</w:t>
      </w:r>
      <w:r w:rsidR="00FB786B" w:rsidRPr="000508B6" w:rsidDel="00843DDD">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care sunt destinate să mențină sau să </w:t>
      </w:r>
      <w:r w:rsidR="00FB786B" w:rsidRPr="000508B6">
        <w:rPr>
          <w:rFonts w:ascii="Times New Roman" w:eastAsia="Times New Roman" w:hAnsi="Times New Roman" w:cs="Times New Roman"/>
          <w:lang w:val="ro-MD"/>
        </w:rPr>
        <w:t xml:space="preserve">restabilească </w:t>
      </w:r>
      <w:r w:rsidRPr="000508B6">
        <w:rPr>
          <w:rFonts w:ascii="Times New Roman" w:eastAsia="Times New Roman" w:hAnsi="Times New Roman" w:cs="Times New Roman"/>
          <w:lang w:val="ro-MD"/>
        </w:rPr>
        <w:t xml:space="preserve">situația financiară a </w:t>
      </w:r>
      <w:r w:rsidR="00592695" w:rsidRPr="000508B6">
        <w:rPr>
          <w:rFonts w:ascii="Times New Roman" w:eastAsia="Times New Roman" w:hAnsi="Times New Roman" w:cs="Times New Roman"/>
          <w:lang w:val="ro-MD"/>
        </w:rPr>
        <w:t>unui</w:t>
      </w:r>
      <w:r w:rsidRPr="000508B6" w:rsidDel="00592695">
        <w:rPr>
          <w:rFonts w:ascii="Times New Roman" w:eastAsia="Times New Roman" w:hAnsi="Times New Roman" w:cs="Times New Roman"/>
          <w:lang w:val="ro-MD"/>
        </w:rPr>
        <w:t xml:space="preserve"> </w:t>
      </w:r>
      <w:r w:rsidR="00592695" w:rsidRPr="000508B6">
        <w:rPr>
          <w:rFonts w:ascii="Times New Roman" w:eastAsia="Times New Roman" w:hAnsi="Times New Roman" w:cs="Times New Roman"/>
          <w:lang w:val="ro-MD"/>
        </w:rPr>
        <w:t>asigurător</w:t>
      </w:r>
      <w:r w:rsidRPr="000508B6">
        <w:rPr>
          <w:rFonts w:ascii="Times New Roman" w:eastAsia="Times New Roman" w:hAnsi="Times New Roman" w:cs="Times New Roman"/>
          <w:lang w:val="ro-MD"/>
        </w:rPr>
        <w:t xml:space="preserve"> și care afectează drepturile preexistente ale părților, altele decât </w:t>
      </w:r>
      <w:r w:rsidR="00D068AA" w:rsidRPr="000508B6">
        <w:rPr>
          <w:rFonts w:ascii="Times New Roman" w:eastAsia="Times New Roman" w:hAnsi="Times New Roman" w:cs="Times New Roman"/>
          <w:lang w:val="ro-MD"/>
        </w:rPr>
        <w:t>asigurătorul</w:t>
      </w:r>
      <w:r w:rsidRPr="000508B6">
        <w:rPr>
          <w:rFonts w:ascii="Times New Roman" w:eastAsia="Times New Roman" w:hAnsi="Times New Roman" w:cs="Times New Roman"/>
          <w:lang w:val="ro-MD"/>
        </w:rPr>
        <w:t xml:space="preserve"> însuși, inclusiv, suspend</w:t>
      </w:r>
      <w:r w:rsidR="00D72264" w:rsidRPr="000508B6">
        <w:rPr>
          <w:rFonts w:ascii="Times New Roman" w:eastAsia="Times New Roman" w:hAnsi="Times New Roman" w:cs="Times New Roman"/>
          <w:lang w:val="ro-MD"/>
        </w:rPr>
        <w:t>area</w:t>
      </w:r>
      <w:r w:rsidRPr="000508B6">
        <w:rPr>
          <w:rFonts w:ascii="Times New Roman" w:eastAsia="Times New Roman" w:hAnsi="Times New Roman" w:cs="Times New Roman"/>
          <w:lang w:val="ro-MD"/>
        </w:rPr>
        <w:t xml:space="preserve"> plăților, </w:t>
      </w:r>
      <w:r w:rsidR="00D72264" w:rsidRPr="000508B6">
        <w:rPr>
          <w:rFonts w:ascii="Times New Roman" w:eastAsia="Times New Roman" w:hAnsi="Times New Roman" w:cs="Times New Roman"/>
          <w:lang w:val="ro-MD"/>
        </w:rPr>
        <w:t xml:space="preserve">impunerea anumitor măsuri </w:t>
      </w:r>
      <w:r w:rsidRPr="000508B6">
        <w:rPr>
          <w:rFonts w:ascii="Times New Roman" w:eastAsia="Times New Roman" w:hAnsi="Times New Roman" w:cs="Times New Roman"/>
          <w:lang w:val="ro-MD"/>
        </w:rPr>
        <w:t xml:space="preserve">sau </w:t>
      </w:r>
      <w:r w:rsidR="00D72264" w:rsidRPr="000508B6">
        <w:rPr>
          <w:rFonts w:ascii="Times New Roman" w:eastAsia="Times New Roman" w:hAnsi="Times New Roman" w:cs="Times New Roman"/>
          <w:lang w:val="ro-MD"/>
        </w:rPr>
        <w:t>reducerea</w:t>
      </w:r>
      <w:r w:rsidRPr="000508B6">
        <w:rPr>
          <w:rFonts w:ascii="Times New Roman" w:eastAsia="Times New Roman" w:hAnsi="Times New Roman" w:cs="Times New Roman"/>
          <w:lang w:val="ro-MD"/>
        </w:rPr>
        <w:t xml:space="preserve"> creanțelor</w:t>
      </w:r>
      <w:r w:rsidR="00A916DA"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FB786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aplicarea </w:t>
      </w:r>
      <w:r w:rsidR="00D72264" w:rsidRPr="000508B6">
        <w:rPr>
          <w:rFonts w:ascii="Times New Roman" w:eastAsia="Times New Roman" w:hAnsi="Times New Roman" w:cs="Times New Roman"/>
          <w:lang w:val="ro-MD"/>
        </w:rPr>
        <w:t>instrumentelor de rezoluție și exercitarea competențelor</w:t>
      </w:r>
      <w:r w:rsidRPr="000508B6">
        <w:rPr>
          <w:rFonts w:ascii="Times New Roman" w:eastAsia="Times New Roman" w:hAnsi="Times New Roman" w:cs="Times New Roman"/>
          <w:lang w:val="ro-MD"/>
        </w:rPr>
        <w:t xml:space="preserve"> de rezoluție prevăzute în </w:t>
      </w:r>
      <w:r w:rsidR="00F17822" w:rsidRPr="000508B6">
        <w:rPr>
          <w:rFonts w:ascii="Times New Roman" w:eastAsia="Times New Roman" w:hAnsi="Times New Roman" w:cs="Times New Roman"/>
          <w:lang w:val="ro-MD"/>
        </w:rPr>
        <w:t xml:space="preserve">legislația </w:t>
      </w:r>
      <w:r w:rsidRPr="000508B6">
        <w:rPr>
          <w:rFonts w:ascii="Times New Roman" w:eastAsia="Times New Roman" w:hAnsi="Times New Roman" w:cs="Times New Roman"/>
          <w:lang w:val="ro-MD"/>
        </w:rPr>
        <w:t>privind redresarea și rezoluția în asigurări;</w:t>
      </w:r>
    </w:p>
    <w:p w14:paraId="7A3F7315" w14:textId="3729C272"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i/>
          <w:lang w:val="ro-MD"/>
        </w:rPr>
        <w:t>proceduri de lichidare</w:t>
      </w:r>
      <w:r w:rsidRPr="000508B6">
        <w:rPr>
          <w:rFonts w:ascii="Times New Roman" w:eastAsia="Times New Roman" w:hAnsi="Times New Roman" w:cs="Times New Roman"/>
          <w:lang w:val="ro-MD"/>
        </w:rPr>
        <w:t xml:space="preserve"> - proceduri care implică </w:t>
      </w:r>
      <w:r w:rsidR="001316F4" w:rsidRPr="000508B6">
        <w:rPr>
          <w:rFonts w:ascii="Times New Roman" w:eastAsia="Times New Roman" w:hAnsi="Times New Roman" w:cs="Times New Roman"/>
          <w:lang w:val="ro-MD"/>
        </w:rPr>
        <w:t xml:space="preserve">lichidarea </w:t>
      </w:r>
      <w:r w:rsidRPr="000508B6">
        <w:rPr>
          <w:rFonts w:ascii="Times New Roman" w:eastAsia="Times New Roman" w:hAnsi="Times New Roman" w:cs="Times New Roman"/>
          <w:lang w:val="ro-MD"/>
        </w:rPr>
        <w:t xml:space="preserve">activelor </w:t>
      </w:r>
      <w:r w:rsidR="00DB728E" w:rsidRPr="000508B6">
        <w:rPr>
          <w:rFonts w:ascii="Times New Roman" w:eastAsia="Times New Roman" w:hAnsi="Times New Roman" w:cs="Times New Roman"/>
          <w:lang w:val="ro-MD"/>
        </w:rPr>
        <w:t>unui</w:t>
      </w:r>
      <w:r w:rsidRPr="000508B6">
        <w:rPr>
          <w:rFonts w:ascii="Times New Roman" w:eastAsia="Times New Roman" w:hAnsi="Times New Roman" w:cs="Times New Roman"/>
          <w:lang w:val="ro-MD"/>
        </w:rPr>
        <w:t xml:space="preserve"> </w:t>
      </w:r>
      <w:r w:rsidR="00DB728E" w:rsidRPr="000508B6">
        <w:rPr>
          <w:rFonts w:ascii="Times New Roman" w:eastAsia="Times New Roman" w:hAnsi="Times New Roman" w:cs="Times New Roman"/>
          <w:lang w:val="ro-MD"/>
        </w:rPr>
        <w:t>asigur</w:t>
      </w:r>
      <w:r w:rsidR="00CF694A" w:rsidRPr="000508B6">
        <w:rPr>
          <w:rFonts w:ascii="Times New Roman" w:eastAsia="Times New Roman" w:hAnsi="Times New Roman" w:cs="Times New Roman"/>
          <w:lang w:val="ro-MD"/>
        </w:rPr>
        <w:t>ă</w:t>
      </w:r>
      <w:r w:rsidR="00DB728E" w:rsidRPr="000508B6">
        <w:rPr>
          <w:rFonts w:ascii="Times New Roman" w:eastAsia="Times New Roman" w:hAnsi="Times New Roman" w:cs="Times New Roman"/>
          <w:lang w:val="ro-MD"/>
        </w:rPr>
        <w:t xml:space="preserve">tor </w:t>
      </w:r>
      <w:r w:rsidRPr="000508B6">
        <w:rPr>
          <w:rFonts w:ascii="Times New Roman" w:eastAsia="Times New Roman" w:hAnsi="Times New Roman" w:cs="Times New Roman"/>
          <w:lang w:val="ro-MD"/>
        </w:rPr>
        <w:t xml:space="preserve">în vederea </w:t>
      </w:r>
      <w:proofErr w:type="spellStart"/>
      <w:r w:rsidRPr="000508B6">
        <w:rPr>
          <w:rFonts w:ascii="Times New Roman" w:eastAsia="Times New Roman" w:hAnsi="Times New Roman" w:cs="Times New Roman"/>
          <w:lang w:val="ro-MD"/>
        </w:rPr>
        <w:t>obţinerii</w:t>
      </w:r>
      <w:proofErr w:type="spellEnd"/>
      <w:r w:rsidRPr="000508B6">
        <w:rPr>
          <w:rFonts w:ascii="Times New Roman" w:eastAsia="Times New Roman" w:hAnsi="Times New Roman" w:cs="Times New Roman"/>
          <w:lang w:val="ro-MD"/>
        </w:rPr>
        <w:t xml:space="preserve"> de mijloace </w:t>
      </w:r>
      <w:proofErr w:type="spellStart"/>
      <w:r w:rsidRPr="000508B6">
        <w:rPr>
          <w:rFonts w:ascii="Times New Roman" w:eastAsia="Times New Roman" w:hAnsi="Times New Roman" w:cs="Times New Roman"/>
          <w:lang w:val="ro-MD"/>
        </w:rPr>
        <w:t>băneşti</w:t>
      </w:r>
      <w:proofErr w:type="spellEnd"/>
      <w:r w:rsidRPr="000508B6">
        <w:rPr>
          <w:rFonts w:ascii="Times New Roman" w:eastAsia="Times New Roman" w:hAnsi="Times New Roman" w:cs="Times New Roman"/>
          <w:lang w:val="ro-MD"/>
        </w:rPr>
        <w:t xml:space="preserve"> </w:t>
      </w:r>
      <w:r w:rsidR="001316F4" w:rsidRPr="000508B6">
        <w:rPr>
          <w:rFonts w:ascii="Times New Roman" w:eastAsia="Times New Roman" w:hAnsi="Times New Roman" w:cs="Times New Roman"/>
          <w:lang w:val="ro-MD"/>
        </w:rPr>
        <w:t>și achitarea datoriilor/obligațiilor creditorilor</w:t>
      </w:r>
      <w:r w:rsidRPr="000508B6">
        <w:rPr>
          <w:rFonts w:ascii="Times New Roman" w:eastAsia="Times New Roman" w:hAnsi="Times New Roman" w:cs="Times New Roman"/>
          <w:lang w:val="ro-MD"/>
        </w:rPr>
        <w:t>.</w:t>
      </w:r>
    </w:p>
    <w:p w14:paraId="496150EA" w14:textId="640295CF" w:rsidR="002637FD" w:rsidRPr="000508B6" w:rsidRDefault="002637FD" w:rsidP="00A65BC7">
      <w:pPr>
        <w:pStyle w:val="Listparagraf"/>
        <w:numPr>
          <w:ilvl w:val="0"/>
          <w:numId w:val="273"/>
        </w:numPr>
        <w:tabs>
          <w:tab w:val="left" w:pos="426"/>
          <w:tab w:val="left" w:pos="709"/>
        </w:tabs>
        <w:spacing w:after="0" w:line="240" w:lineRule="auto"/>
        <w:ind w:left="0"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Prevederile alin. (2) se aplică în mod corespunzător și procedurilor de lichidare privind o sucursală situată în Republica Moldova a unui </w:t>
      </w:r>
      <w:r w:rsidR="00B36665" w:rsidRPr="000508B6">
        <w:rPr>
          <w:rFonts w:ascii="Times New Roman" w:eastAsia="Times New Roman" w:hAnsi="Times New Roman" w:cs="Times New Roman"/>
          <w:lang w:val="ro-MD"/>
        </w:rPr>
        <w:t xml:space="preserve">asigurător </w:t>
      </w:r>
      <w:r w:rsidRPr="000508B6">
        <w:rPr>
          <w:rFonts w:ascii="Times New Roman" w:eastAsia="Times New Roman" w:hAnsi="Times New Roman" w:cs="Times New Roman"/>
          <w:lang w:val="ro-MD"/>
        </w:rPr>
        <w:t>dintr-un stat terț.</w:t>
      </w:r>
    </w:p>
    <w:p w14:paraId="6CFFB7F6" w14:textId="77777777" w:rsidR="00FC6075" w:rsidRPr="000508B6" w:rsidRDefault="00FC6075" w:rsidP="00F558C2">
      <w:pPr>
        <w:spacing w:after="0" w:line="240" w:lineRule="auto"/>
        <w:ind w:firstLine="426"/>
        <w:jc w:val="both"/>
        <w:rPr>
          <w:rFonts w:ascii="Times New Roman" w:eastAsia="Times New Roman" w:hAnsi="Times New Roman" w:cs="Times New Roman"/>
          <w:b/>
          <w:lang w:val="ro-MD"/>
        </w:rPr>
      </w:pPr>
    </w:p>
    <w:p w14:paraId="66EC3996" w14:textId="43AB671E"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7C2440" w:rsidRPr="000508B6">
        <w:rPr>
          <w:rFonts w:ascii="Times New Roman" w:eastAsia="Times New Roman" w:hAnsi="Times New Roman" w:cs="Times New Roman"/>
          <w:b/>
          <w:lang w:val="ro-MD"/>
        </w:rPr>
        <w:t>154</w:t>
      </w:r>
      <w:r w:rsidRPr="000508B6">
        <w:rPr>
          <w:rFonts w:ascii="Times New Roman" w:eastAsia="Times New Roman" w:hAnsi="Times New Roman" w:cs="Times New Roman"/>
          <w:b/>
          <w:lang w:val="ro-MD"/>
        </w:rPr>
        <w:t xml:space="preserve">. </w:t>
      </w:r>
      <w:bookmarkStart w:id="146" w:name="_Hlk220072600"/>
      <w:r w:rsidRPr="000508B6">
        <w:rPr>
          <w:rFonts w:ascii="Times New Roman" w:eastAsia="Times New Roman" w:hAnsi="Times New Roman" w:cs="Times New Roman"/>
          <w:lang w:val="ro-MD"/>
        </w:rPr>
        <w:t xml:space="preserve">Identificarea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notificarea deteriorării </w:t>
      </w:r>
      <w:proofErr w:type="spellStart"/>
      <w:r w:rsidRPr="000508B6">
        <w:rPr>
          <w:rFonts w:ascii="Times New Roman" w:eastAsia="Times New Roman" w:hAnsi="Times New Roman" w:cs="Times New Roman"/>
          <w:lang w:val="ro-MD"/>
        </w:rPr>
        <w:t>situaţiei</w:t>
      </w:r>
      <w:proofErr w:type="spellEnd"/>
      <w:r w:rsidRPr="000508B6">
        <w:rPr>
          <w:rFonts w:ascii="Times New Roman" w:eastAsia="Times New Roman" w:hAnsi="Times New Roman" w:cs="Times New Roman"/>
          <w:lang w:val="ro-MD"/>
        </w:rPr>
        <w:t xml:space="preserve"> financiare</w:t>
      </w:r>
      <w:bookmarkEnd w:id="146"/>
      <w:r w:rsidRPr="000508B6">
        <w:rPr>
          <w:rFonts w:ascii="Times New Roman" w:eastAsia="Times New Roman" w:hAnsi="Times New Roman" w:cs="Times New Roman"/>
          <w:b/>
          <w:lang w:val="ro-MD"/>
        </w:rPr>
        <w:t xml:space="preserve">. </w:t>
      </w:r>
    </w:p>
    <w:p w14:paraId="0F6A1D0A" w14:textId="38CC5805" w:rsidR="00F558C2" w:rsidRPr="000508B6" w:rsidRDefault="000A74D5" w:rsidP="000A74D5">
      <w:pPr>
        <w:pStyle w:val="Listparagraf"/>
        <w:tabs>
          <w:tab w:val="left" w:pos="426"/>
        </w:tabs>
        <w:spacing w:after="0" w:line="240" w:lineRule="auto"/>
        <w:ind w:left="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b/>
      </w:r>
      <w:r w:rsidR="00F558C2" w:rsidRPr="000508B6">
        <w:rPr>
          <w:rFonts w:ascii="Times New Roman" w:eastAsia="Times New Roman" w:hAnsi="Times New Roman" w:cs="Times New Roman"/>
          <w:lang w:val="ro-MD"/>
        </w:rPr>
        <w:t xml:space="preserve">La momentul constatării deteriorării </w:t>
      </w:r>
      <w:proofErr w:type="spellStart"/>
      <w:r w:rsidR="00F558C2" w:rsidRPr="000508B6">
        <w:rPr>
          <w:rFonts w:ascii="Times New Roman" w:eastAsia="Times New Roman" w:hAnsi="Times New Roman" w:cs="Times New Roman"/>
          <w:lang w:val="ro-MD"/>
        </w:rPr>
        <w:t>situaţiei</w:t>
      </w:r>
      <w:proofErr w:type="spellEnd"/>
      <w:r w:rsidR="00F558C2" w:rsidRPr="000508B6">
        <w:rPr>
          <w:rFonts w:ascii="Times New Roman" w:eastAsia="Times New Roman" w:hAnsi="Times New Roman" w:cs="Times New Roman"/>
          <w:lang w:val="ro-MD"/>
        </w:rPr>
        <w:t xml:space="preserve"> financiare, identificată conform procedurilor instituite de </w:t>
      </w:r>
      <w:r w:rsidR="00BE7004" w:rsidRPr="000508B6">
        <w:rPr>
          <w:rFonts w:ascii="Times New Roman" w:eastAsia="Times New Roman" w:hAnsi="Times New Roman" w:cs="Times New Roman"/>
          <w:lang w:val="ro-MD"/>
        </w:rPr>
        <w:t xml:space="preserve">asigurător sau </w:t>
      </w:r>
      <w:proofErr w:type="spellStart"/>
      <w:r w:rsidR="00BE7004" w:rsidRPr="000508B6">
        <w:rPr>
          <w:rFonts w:ascii="Times New Roman" w:eastAsia="Times New Roman" w:hAnsi="Times New Roman" w:cs="Times New Roman"/>
          <w:lang w:val="ro-MD"/>
        </w:rPr>
        <w:t>reasigurător</w:t>
      </w:r>
      <w:proofErr w:type="spellEnd"/>
      <w:r w:rsidR="00F558C2" w:rsidRPr="000508B6">
        <w:rPr>
          <w:rFonts w:ascii="Times New Roman" w:eastAsia="Times New Roman" w:hAnsi="Times New Roman" w:cs="Times New Roman"/>
          <w:lang w:val="ro-MD"/>
        </w:rPr>
        <w:t xml:space="preserve">, </w:t>
      </w:r>
      <w:r w:rsidR="004125E8" w:rsidRPr="000508B6" w:rsidDel="00DB728E">
        <w:rPr>
          <w:rFonts w:ascii="Times New Roman" w:eastAsia="Times New Roman" w:hAnsi="Times New Roman" w:cs="Times New Roman"/>
          <w:lang w:val="ro-MD"/>
        </w:rPr>
        <w:t>asigurătorul</w:t>
      </w:r>
      <w:r w:rsidR="004125E8" w:rsidRPr="000508B6">
        <w:rPr>
          <w:rFonts w:ascii="Times New Roman" w:eastAsia="Times New Roman" w:hAnsi="Times New Roman" w:cs="Times New Roman"/>
          <w:lang w:val="ro-MD"/>
        </w:rPr>
        <w:t xml:space="preserve"> sau </w:t>
      </w:r>
      <w:proofErr w:type="spellStart"/>
      <w:r w:rsidR="004125E8" w:rsidRPr="000508B6">
        <w:rPr>
          <w:rFonts w:ascii="Times New Roman" w:eastAsia="Times New Roman" w:hAnsi="Times New Roman" w:cs="Times New Roman"/>
          <w:lang w:val="ro-MD"/>
        </w:rPr>
        <w:t>reasigurătorul</w:t>
      </w:r>
      <w:proofErr w:type="spellEnd"/>
      <w:r w:rsidR="00F558C2" w:rsidRPr="000508B6">
        <w:rPr>
          <w:rFonts w:ascii="Times New Roman" w:eastAsia="Times New Roman" w:hAnsi="Times New Roman" w:cs="Times New Roman"/>
          <w:lang w:val="ro-MD"/>
        </w:rPr>
        <w:t xml:space="preserve"> notifică </w:t>
      </w:r>
      <w:r w:rsidR="00F731DF" w:rsidRPr="000508B6">
        <w:rPr>
          <w:rFonts w:ascii="Times New Roman" w:eastAsia="Times New Roman" w:hAnsi="Times New Roman" w:cs="Times New Roman"/>
          <w:lang w:val="ro-MD"/>
        </w:rPr>
        <w:t xml:space="preserve">imediat </w:t>
      </w:r>
      <w:r w:rsidR="00F558C2" w:rsidRPr="000508B6">
        <w:rPr>
          <w:rFonts w:ascii="Times New Roman" w:eastAsia="Times New Roman" w:hAnsi="Times New Roman" w:cs="Times New Roman"/>
          <w:lang w:val="ro-MD"/>
        </w:rPr>
        <w:t xml:space="preserve">Banca Națională a Moldovei despre acest lucru. </w:t>
      </w:r>
    </w:p>
    <w:p w14:paraId="74E8D189" w14:textId="77777777" w:rsidR="00F558C2" w:rsidRPr="000508B6" w:rsidRDefault="00F558C2" w:rsidP="00F558C2">
      <w:pPr>
        <w:spacing w:after="0" w:line="240" w:lineRule="auto"/>
        <w:ind w:firstLine="426"/>
        <w:jc w:val="both"/>
        <w:rPr>
          <w:rFonts w:ascii="Times New Roman" w:hAnsi="Times New Roman" w:cs="Times New Roman"/>
          <w:b/>
          <w:bCs/>
          <w:lang w:val="ro-MD"/>
        </w:rPr>
      </w:pPr>
    </w:p>
    <w:p w14:paraId="0AFF3797" w14:textId="72B9241D"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b/>
          <w:bCs/>
          <w:lang w:val="ro-MD"/>
        </w:rPr>
        <w:t xml:space="preserve">Articolul </w:t>
      </w:r>
      <w:r w:rsidR="007C2440" w:rsidRPr="000508B6">
        <w:rPr>
          <w:rFonts w:ascii="Times New Roman" w:hAnsi="Times New Roman" w:cs="Times New Roman"/>
          <w:b/>
          <w:bCs/>
          <w:lang w:val="ro-MD"/>
        </w:rPr>
        <w:t>155</w:t>
      </w:r>
      <w:r w:rsidR="00611CCB" w:rsidRPr="000508B6">
        <w:rPr>
          <w:rFonts w:ascii="Times New Roman" w:hAnsi="Times New Roman" w:cs="Times New Roman"/>
          <w:b/>
          <w:bCs/>
          <w:lang w:val="ro-MD"/>
        </w:rPr>
        <w:t>.</w:t>
      </w:r>
      <w:r w:rsidRPr="000508B6">
        <w:rPr>
          <w:rFonts w:ascii="Times New Roman" w:hAnsi="Times New Roman" w:cs="Times New Roman"/>
          <w:b/>
          <w:bCs/>
          <w:lang w:val="ro-MD"/>
        </w:rPr>
        <w:t xml:space="preserve"> </w:t>
      </w:r>
      <w:r w:rsidRPr="000508B6">
        <w:rPr>
          <w:rFonts w:ascii="Times New Roman" w:hAnsi="Times New Roman" w:cs="Times New Roman"/>
          <w:lang w:val="ro-MD"/>
        </w:rPr>
        <w:t>Deteriorarea  solvabilității</w:t>
      </w:r>
      <w:r w:rsidRPr="000508B6">
        <w:rPr>
          <w:rFonts w:ascii="Times New Roman" w:hAnsi="Times New Roman" w:cs="Times New Roman"/>
          <w:b/>
          <w:bCs/>
          <w:lang w:val="ro-MD"/>
        </w:rPr>
        <w:t xml:space="preserve"> </w:t>
      </w:r>
    </w:p>
    <w:p w14:paraId="4F35C117" w14:textId="21E87DC9"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(1) În urma notificări</w:t>
      </w:r>
      <w:r w:rsidR="00A0166A" w:rsidRPr="000508B6">
        <w:rPr>
          <w:rFonts w:ascii="Times New Roman" w:hAnsi="Times New Roman" w:cs="Times New Roman"/>
          <w:lang w:val="ro-MD"/>
        </w:rPr>
        <w:t>i recepționate</w:t>
      </w:r>
      <w:r w:rsidRPr="000508B6">
        <w:rPr>
          <w:rFonts w:ascii="Times New Roman" w:hAnsi="Times New Roman" w:cs="Times New Roman"/>
          <w:lang w:val="ro-MD"/>
        </w:rPr>
        <w:t xml:space="preserve"> în temeiul art. </w:t>
      </w:r>
      <w:r w:rsidR="00540FB4" w:rsidRPr="000508B6">
        <w:rPr>
          <w:rFonts w:ascii="Times New Roman" w:hAnsi="Times New Roman" w:cs="Times New Roman"/>
          <w:lang w:val="ro-MD"/>
        </w:rPr>
        <w:t>154</w:t>
      </w:r>
      <w:r w:rsidRPr="000508B6">
        <w:rPr>
          <w:rFonts w:ascii="Times New Roman" w:hAnsi="Times New Roman" w:cs="Times New Roman"/>
          <w:lang w:val="ro-MD"/>
        </w:rPr>
        <w:t xml:space="preserve"> sau în urma identificării unei deteriorări a condițiilor financiare în temeiul art. </w:t>
      </w:r>
      <w:r w:rsidR="00E00C25" w:rsidRPr="000508B6">
        <w:rPr>
          <w:rFonts w:ascii="Times New Roman" w:hAnsi="Times New Roman" w:cs="Times New Roman"/>
          <w:lang w:val="ro-MD"/>
        </w:rPr>
        <w:t xml:space="preserve">178 </w:t>
      </w:r>
      <w:r w:rsidRPr="000508B6">
        <w:rPr>
          <w:rFonts w:ascii="Times New Roman" w:hAnsi="Times New Roman" w:cs="Times New Roman"/>
          <w:lang w:val="ro-MD"/>
        </w:rPr>
        <w:t xml:space="preserve">alin. (3), atunci când solvabilitatea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se deteriorează, Banca Națională a Moldovei </w:t>
      </w:r>
      <w:r w:rsidR="00843F6C" w:rsidRPr="000508B6">
        <w:rPr>
          <w:rFonts w:ascii="Times New Roman" w:hAnsi="Times New Roman" w:cs="Times New Roman"/>
          <w:lang w:val="ro-MD"/>
        </w:rPr>
        <w:t xml:space="preserve">are </w:t>
      </w:r>
      <w:r w:rsidRPr="000508B6">
        <w:rPr>
          <w:rFonts w:ascii="Times New Roman" w:hAnsi="Times New Roman" w:cs="Times New Roman"/>
          <w:lang w:val="ro-MD"/>
        </w:rPr>
        <w:t>competența de a lua măsurile necesare pentru a remedia această deteriorare.</w:t>
      </w:r>
    </w:p>
    <w:p w14:paraId="5C3D6A3E" w14:textId="0A53B8B9"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(2) Măsurile menționate la alin. (1) sunt proporționale cu riscul și cu importanța deteriorării condițiilor</w:t>
      </w:r>
      <w:r w:rsidR="00FC00EF" w:rsidRPr="000508B6">
        <w:rPr>
          <w:rFonts w:ascii="Times New Roman" w:hAnsi="Times New Roman" w:cs="Times New Roman"/>
          <w:lang w:val="ro-MD"/>
        </w:rPr>
        <w:t xml:space="preserve"> financiare</w:t>
      </w:r>
      <w:r w:rsidR="00843F6C" w:rsidRPr="000508B6">
        <w:rPr>
          <w:rFonts w:ascii="Times New Roman" w:hAnsi="Times New Roman" w:cs="Times New Roman"/>
          <w:lang w:val="ro-MD"/>
        </w:rPr>
        <w:t xml:space="preserve"> </w:t>
      </w:r>
      <w:r w:rsidR="00FC00EF" w:rsidRPr="000508B6">
        <w:rPr>
          <w:rFonts w:ascii="Times New Roman" w:hAnsi="Times New Roman" w:cs="Times New Roman"/>
          <w:lang w:val="ro-MD"/>
        </w:rPr>
        <w:t xml:space="preserv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p>
    <w:p w14:paraId="16DDD99B" w14:textId="4D5CD8DA"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(3) În condițiile alin. (1) și alin. (2), Banca Națională a Moldovei poate</w:t>
      </w:r>
      <w:r w:rsidR="00811490" w:rsidRPr="000508B6">
        <w:rPr>
          <w:rFonts w:ascii="Times New Roman" w:hAnsi="Times New Roman" w:cs="Times New Roman"/>
          <w:lang w:val="ro-MD"/>
        </w:rPr>
        <w:t>,</w:t>
      </w:r>
      <w:r w:rsidRPr="000508B6">
        <w:rPr>
          <w:rFonts w:ascii="Times New Roman" w:hAnsi="Times New Roman" w:cs="Times New Roman"/>
          <w:lang w:val="ro-MD"/>
        </w:rPr>
        <w:t xml:space="preserve"> cel puțin</w:t>
      </w:r>
      <w:r w:rsidR="00811490" w:rsidRPr="000508B6">
        <w:rPr>
          <w:rFonts w:ascii="Times New Roman" w:hAnsi="Times New Roman" w:cs="Times New Roman"/>
          <w:lang w:val="ro-MD"/>
        </w:rPr>
        <w:t>,</w:t>
      </w:r>
      <w:r w:rsidRPr="000508B6">
        <w:rPr>
          <w:rFonts w:ascii="Times New Roman" w:hAnsi="Times New Roman" w:cs="Times New Roman"/>
          <w:lang w:val="ro-MD"/>
        </w:rPr>
        <w:t xml:space="preserve"> </w:t>
      </w:r>
      <w:r w:rsidR="00005412" w:rsidRPr="000508B6">
        <w:rPr>
          <w:rFonts w:ascii="Times New Roman" w:hAnsi="Times New Roman" w:cs="Times New Roman"/>
          <w:lang w:val="ro-MD"/>
        </w:rPr>
        <w:t>de a impune organ</w:t>
      </w:r>
      <w:r w:rsidR="00B20E41" w:rsidRPr="000508B6">
        <w:rPr>
          <w:rFonts w:ascii="Times New Roman" w:hAnsi="Times New Roman" w:cs="Times New Roman"/>
          <w:lang w:val="ro-MD"/>
        </w:rPr>
        <w:t>elor</w:t>
      </w:r>
      <w:r w:rsidR="00005412" w:rsidRPr="000508B6">
        <w:rPr>
          <w:rFonts w:ascii="Times New Roman" w:hAnsi="Times New Roman" w:cs="Times New Roman"/>
          <w:lang w:val="ro-MD"/>
        </w:rPr>
        <w:t xml:space="preserve"> de conducere al</w:t>
      </w:r>
      <w:r w:rsidR="00B20E41" w:rsidRPr="000508B6">
        <w:rPr>
          <w:rFonts w:ascii="Times New Roman" w:hAnsi="Times New Roman" w:cs="Times New Roman"/>
          <w:lang w:val="ro-MD"/>
        </w:rPr>
        <w:t>e</w:t>
      </w:r>
      <w:r w:rsidR="00005412"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6FD615AE" w14:textId="6323D5FB" w:rsidR="00F558C2" w:rsidRPr="000508B6" w:rsidRDefault="00F558C2" w:rsidP="00AC3A4D">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 să actualizeze planul preventiv de redresare, elaborat în conformitate cu </w:t>
      </w:r>
      <w:r w:rsidR="007F48EB" w:rsidRPr="000508B6">
        <w:rPr>
          <w:rFonts w:ascii="Times New Roman" w:hAnsi="Times New Roman" w:cs="Times New Roman"/>
          <w:lang w:val="ro-MD"/>
        </w:rPr>
        <w:t xml:space="preserve">legislația </w:t>
      </w:r>
      <w:r w:rsidRPr="000508B6">
        <w:rPr>
          <w:rFonts w:ascii="Times New Roman" w:hAnsi="Times New Roman" w:cs="Times New Roman"/>
          <w:lang w:val="ro-MD"/>
        </w:rPr>
        <w:t>privind redresarea și rezoluția în asigurări, în cazul în care circumstanțele sunt diferite de ipotezele prevăzute în planul respectiv;</w:t>
      </w:r>
    </w:p>
    <w:p w14:paraId="4D67704A" w14:textId="587ECB9C"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(b) să ia măsurile prevăzute în planul preventiv de redresare elaborat în conformitate cu </w:t>
      </w:r>
      <w:r w:rsidR="007F48EB" w:rsidRPr="000508B6">
        <w:rPr>
          <w:rFonts w:ascii="Times New Roman" w:hAnsi="Times New Roman" w:cs="Times New Roman"/>
          <w:lang w:val="ro-MD"/>
        </w:rPr>
        <w:t xml:space="preserve">legislația </w:t>
      </w:r>
      <w:r w:rsidRPr="000508B6">
        <w:rPr>
          <w:rFonts w:ascii="Times New Roman" w:hAnsi="Times New Roman" w:cs="Times New Roman"/>
          <w:lang w:val="ro-MD"/>
        </w:rPr>
        <w:t>privind redresarea și rezoluția în asigurări, în cazul în care planul este actualizat în temeiul lit</w:t>
      </w:r>
      <w:r w:rsidR="00200A4E" w:rsidRPr="000508B6">
        <w:rPr>
          <w:rFonts w:ascii="Times New Roman" w:hAnsi="Times New Roman" w:cs="Times New Roman"/>
          <w:lang w:val="ro-MD"/>
        </w:rPr>
        <w:t>.</w:t>
      </w:r>
      <w:r w:rsidRPr="000508B6">
        <w:rPr>
          <w:rFonts w:ascii="Times New Roman" w:hAnsi="Times New Roman" w:cs="Times New Roman"/>
          <w:lang w:val="ro-MD"/>
        </w:rPr>
        <w:t xml:space="preserve"> a), măsurile luate includ și eventualele măsuri actualizate;</w:t>
      </w:r>
    </w:p>
    <w:p w14:paraId="36E2C50B" w14:textId="33784CEF"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(c) </w:t>
      </w:r>
      <w:r w:rsidR="00005412" w:rsidRPr="000508B6">
        <w:rPr>
          <w:rFonts w:ascii="Times New Roman" w:hAnsi="Times New Roman" w:cs="Times New Roman"/>
          <w:lang w:val="ro-MD"/>
        </w:rPr>
        <w:t xml:space="preserve">în cazul în </w:t>
      </w:r>
      <w:r w:rsidRPr="000508B6">
        <w:rPr>
          <w:rFonts w:ascii="Times New Roman" w:hAnsi="Times New Roman" w:cs="Times New Roman"/>
          <w:lang w:val="ro-MD"/>
        </w:rPr>
        <w:t xml:space="preserve">care nu dispune de un plan preventiv de redresare, astfel cum se menționează în </w:t>
      </w:r>
      <w:r w:rsidR="007F48EB" w:rsidRPr="000508B6">
        <w:rPr>
          <w:rFonts w:ascii="Times New Roman" w:hAnsi="Times New Roman" w:cs="Times New Roman"/>
          <w:lang w:val="ro-MD"/>
        </w:rPr>
        <w:t xml:space="preserve">legislația </w:t>
      </w:r>
      <w:r w:rsidRPr="000508B6">
        <w:rPr>
          <w:rFonts w:ascii="Times New Roman" w:hAnsi="Times New Roman" w:cs="Times New Roman"/>
          <w:lang w:val="ro-MD"/>
        </w:rPr>
        <w:t xml:space="preserve">privind redresarea și rezoluția în asigurări, să identifice cauzele nerespectării efective sau probabile a cerințelor de reglementare și să identifice măsuri </w:t>
      </w:r>
      <w:r w:rsidR="00843F6C" w:rsidRPr="000508B6">
        <w:rPr>
          <w:rFonts w:ascii="Times New Roman" w:hAnsi="Times New Roman" w:cs="Times New Roman"/>
          <w:lang w:val="ro-MD"/>
        </w:rPr>
        <w:t xml:space="preserve">și un termen </w:t>
      </w:r>
      <w:r w:rsidRPr="000508B6">
        <w:rPr>
          <w:rFonts w:ascii="Times New Roman" w:hAnsi="Times New Roman" w:cs="Times New Roman"/>
          <w:lang w:val="ro-MD"/>
        </w:rPr>
        <w:t>adecvate pentru îndeplinirea respectivelor cerințe de reglementare;</w:t>
      </w:r>
    </w:p>
    <w:p w14:paraId="34AE090B" w14:textId="31FE4BBE" w:rsidR="00F558C2" w:rsidRPr="000508B6" w:rsidRDefault="00F558C2" w:rsidP="00F558C2">
      <w:pPr>
        <w:spacing w:after="0" w:line="240" w:lineRule="auto"/>
        <w:ind w:firstLine="426"/>
        <w:jc w:val="both"/>
        <w:rPr>
          <w:rFonts w:ascii="Times New Roman" w:hAnsi="Times New Roman" w:cs="Times New Roman"/>
          <w:b/>
          <w:lang w:val="ro-MD"/>
        </w:rPr>
      </w:pPr>
      <w:r w:rsidRPr="000508B6">
        <w:rPr>
          <w:rFonts w:ascii="Times New Roman" w:hAnsi="Times New Roman" w:cs="Times New Roman"/>
          <w:lang w:val="ro-MD"/>
        </w:rPr>
        <w:t xml:space="preserve">(d) să suspende sau să limiteze remunerația variabilă și participarea la beneficii, </w:t>
      </w:r>
      <w:bookmarkStart w:id="147" w:name="_Hlk193895314"/>
      <w:r w:rsidRPr="000508B6">
        <w:rPr>
          <w:rFonts w:ascii="Times New Roman" w:hAnsi="Times New Roman" w:cs="Times New Roman"/>
          <w:lang w:val="ro-MD"/>
        </w:rPr>
        <w:t xml:space="preserve">distribuirile aferente instrumentelor de fonduri proprii </w:t>
      </w:r>
      <w:r w:rsidR="007C0EC5" w:rsidRPr="000508B6">
        <w:rPr>
          <w:rFonts w:ascii="Times New Roman" w:hAnsi="Times New Roman" w:cs="Times New Roman"/>
          <w:lang w:val="ro-MD"/>
        </w:rPr>
        <w:t xml:space="preserve">ori </w:t>
      </w:r>
      <w:r w:rsidRPr="000508B6">
        <w:rPr>
          <w:rFonts w:ascii="Times New Roman" w:hAnsi="Times New Roman" w:cs="Times New Roman"/>
          <w:lang w:val="ro-MD"/>
        </w:rPr>
        <w:t>rambursarea sau răscumpărarea elementelor de fonduri proprii</w:t>
      </w:r>
      <w:bookmarkEnd w:id="147"/>
      <w:r w:rsidRPr="000508B6">
        <w:rPr>
          <w:rFonts w:ascii="Times New Roman" w:hAnsi="Times New Roman" w:cs="Times New Roman"/>
          <w:lang w:val="ro-MD"/>
        </w:rPr>
        <w:t>.</w:t>
      </w:r>
    </w:p>
    <w:p w14:paraId="139DC0DE" w14:textId="77777777" w:rsidR="00F558C2" w:rsidRPr="000508B6" w:rsidRDefault="00F558C2" w:rsidP="00F558C2">
      <w:pPr>
        <w:spacing w:after="0" w:line="240" w:lineRule="auto"/>
        <w:ind w:firstLine="426"/>
        <w:jc w:val="both"/>
        <w:rPr>
          <w:rFonts w:ascii="Times New Roman" w:hAnsi="Times New Roman" w:cs="Times New Roman"/>
          <w:b/>
          <w:lang w:val="ro-MD"/>
        </w:rPr>
      </w:pPr>
    </w:p>
    <w:p w14:paraId="6C1C2AB1" w14:textId="76A11215"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156</w:t>
      </w:r>
      <w:r w:rsidRPr="000508B6">
        <w:rPr>
          <w:rFonts w:ascii="Times New Roman" w:hAnsi="Times New Roman" w:cs="Times New Roman"/>
          <w:b/>
          <w:lang w:val="ro-MD"/>
        </w:rPr>
        <w:t xml:space="preserve">. </w:t>
      </w:r>
      <w:bookmarkStart w:id="148" w:name="_Hlk220072618"/>
      <w:r w:rsidRPr="000508B6">
        <w:rPr>
          <w:rFonts w:ascii="Times New Roman" w:hAnsi="Times New Roman" w:cs="Times New Roman"/>
          <w:lang w:val="ro-MD"/>
        </w:rPr>
        <w:t>Nerespectarea SCR</w:t>
      </w:r>
    </w:p>
    <w:bookmarkEnd w:id="148"/>
    <w:p w14:paraId="0F9EA909" w14:textId="1CFB60B1" w:rsidR="00F558C2" w:rsidRPr="000508B6" w:rsidRDefault="004125E8" w:rsidP="00CF5AFA">
      <w:pPr>
        <w:pStyle w:val="Listparagraf"/>
        <w:numPr>
          <w:ilvl w:val="0"/>
          <w:numId w:val="180"/>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558C2" w:rsidRPr="000508B6">
        <w:rPr>
          <w:rFonts w:ascii="Times New Roman" w:hAnsi="Times New Roman" w:cs="Times New Roman"/>
          <w:lang w:val="ro-MD"/>
        </w:rPr>
        <w:t xml:space="preserve"> informează Banca Națională a Moldovei, </w:t>
      </w:r>
      <w:r w:rsidR="002B4E63" w:rsidRPr="000508B6">
        <w:rPr>
          <w:rFonts w:ascii="Times New Roman" w:hAnsi="Times New Roman" w:cs="Times New Roman"/>
          <w:lang w:val="ro-MD"/>
        </w:rPr>
        <w:t xml:space="preserve"> </w:t>
      </w:r>
      <w:r w:rsidR="001600FD" w:rsidRPr="000508B6">
        <w:rPr>
          <w:rFonts w:ascii="Times New Roman" w:hAnsi="Times New Roman" w:cs="Times New Roman"/>
          <w:lang w:val="ro-MD"/>
        </w:rPr>
        <w:t>de îndată ce</w:t>
      </w:r>
      <w:r w:rsidR="00F558C2" w:rsidRPr="000508B6">
        <w:rPr>
          <w:rFonts w:ascii="Times New Roman" w:hAnsi="Times New Roman" w:cs="Times New Roman"/>
          <w:lang w:val="ro-MD"/>
        </w:rPr>
        <w:t xml:space="preserve"> constată, cu privire la faptul că SCR nu mai este respectată sau </w:t>
      </w:r>
      <w:r w:rsidR="002B4E63" w:rsidRPr="000508B6">
        <w:rPr>
          <w:rFonts w:ascii="Times New Roman" w:hAnsi="Times New Roman" w:cs="Times New Roman"/>
          <w:lang w:val="ro-MD"/>
        </w:rPr>
        <w:t xml:space="preserve">în cazul în care </w:t>
      </w:r>
      <w:r w:rsidR="00F558C2" w:rsidRPr="000508B6">
        <w:rPr>
          <w:rFonts w:ascii="Times New Roman" w:hAnsi="Times New Roman" w:cs="Times New Roman"/>
          <w:lang w:val="ro-MD"/>
        </w:rPr>
        <w:t xml:space="preserve">există </w:t>
      </w:r>
      <w:r w:rsidR="002B4E63" w:rsidRPr="000508B6">
        <w:rPr>
          <w:rFonts w:ascii="Times New Roman" w:hAnsi="Times New Roman" w:cs="Times New Roman"/>
          <w:lang w:val="ro-MD"/>
        </w:rPr>
        <w:t xml:space="preserve">un </w:t>
      </w:r>
      <w:r w:rsidR="00F558C2" w:rsidRPr="000508B6">
        <w:rPr>
          <w:rFonts w:ascii="Times New Roman" w:hAnsi="Times New Roman" w:cs="Times New Roman"/>
          <w:lang w:val="ro-MD"/>
        </w:rPr>
        <w:t>risc</w:t>
      </w:r>
      <w:r w:rsidR="007C2F6E" w:rsidRPr="000508B6">
        <w:rPr>
          <w:rFonts w:ascii="Times New Roman" w:hAnsi="Times New Roman" w:cs="Times New Roman"/>
          <w:lang w:val="ro-MD"/>
        </w:rPr>
        <w:t xml:space="preserve"> </w:t>
      </w:r>
      <w:r w:rsidR="002B4E63" w:rsidRPr="000508B6">
        <w:rPr>
          <w:rFonts w:ascii="Times New Roman" w:hAnsi="Times New Roman" w:cs="Times New Roman"/>
          <w:lang w:val="ro-MD"/>
        </w:rPr>
        <w:t>de ne</w:t>
      </w:r>
      <w:r w:rsidR="00F558C2" w:rsidRPr="000508B6">
        <w:rPr>
          <w:rFonts w:ascii="Times New Roman" w:hAnsi="Times New Roman" w:cs="Times New Roman"/>
          <w:lang w:val="ro-MD"/>
        </w:rPr>
        <w:t>respecta</w:t>
      </w:r>
      <w:r w:rsidR="002B4E63" w:rsidRPr="000508B6">
        <w:rPr>
          <w:rFonts w:ascii="Times New Roman" w:hAnsi="Times New Roman" w:cs="Times New Roman"/>
          <w:lang w:val="ro-MD"/>
        </w:rPr>
        <w:t>re a acesteia</w:t>
      </w:r>
      <w:r w:rsidR="00F558C2" w:rsidRPr="000508B6">
        <w:rPr>
          <w:rFonts w:ascii="Times New Roman" w:hAnsi="Times New Roman" w:cs="Times New Roman"/>
          <w:lang w:val="ro-MD"/>
        </w:rPr>
        <w:t xml:space="preserve"> în următoarele 3 luni. </w:t>
      </w:r>
    </w:p>
    <w:p w14:paraId="54C784ED" w14:textId="10E0D942" w:rsidR="00F558C2" w:rsidRPr="000508B6" w:rsidRDefault="00F558C2" w:rsidP="00CF5AFA">
      <w:pPr>
        <w:pStyle w:val="Listparagraf"/>
        <w:numPr>
          <w:ilvl w:val="0"/>
          <w:numId w:val="180"/>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În termen de două luni de la data constatării</w:t>
      </w:r>
      <w:r w:rsidR="004073E7" w:rsidRPr="000508B6">
        <w:rPr>
          <w:rFonts w:ascii="Times New Roman" w:hAnsi="Times New Roman" w:cs="Times New Roman"/>
          <w:lang w:val="ro-MD"/>
        </w:rPr>
        <w:t xml:space="preserve"> </w:t>
      </w:r>
      <w:r w:rsidR="00410915" w:rsidRPr="000508B6">
        <w:rPr>
          <w:rFonts w:ascii="Times New Roman" w:hAnsi="Times New Roman" w:cs="Times New Roman"/>
          <w:lang w:val="ro-MD"/>
        </w:rPr>
        <w:t>nerespectării SCR</w:t>
      </w:r>
      <w:r w:rsidRPr="000508B6">
        <w:rPr>
          <w:rFonts w:ascii="Times New Roman" w:hAnsi="Times New Roman" w:cs="Times New Roman"/>
          <w:lang w:val="ro-MD"/>
        </w:rPr>
        <w:t xml:space="preserve">, </w:t>
      </w:r>
      <w:r w:rsidR="004125E8" w:rsidRPr="000508B6" w:rsidDel="005F69A1">
        <w:rPr>
          <w:rFonts w:ascii="Times New Roman" w:hAnsi="Times New Roman" w:cs="Times New Roman"/>
          <w:lang w:val="ro-MD"/>
        </w:rPr>
        <w:t>asigurătorul</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transmite Băncii Naționale a Moldovei</w:t>
      </w:r>
      <w:r w:rsidR="00410915" w:rsidRPr="000508B6">
        <w:rPr>
          <w:rFonts w:ascii="Times New Roman" w:hAnsi="Times New Roman" w:cs="Times New Roman"/>
          <w:lang w:val="ro-MD"/>
        </w:rPr>
        <w:t xml:space="preserve">, </w:t>
      </w:r>
      <w:r w:rsidRPr="000508B6">
        <w:rPr>
          <w:rFonts w:ascii="Times New Roman" w:hAnsi="Times New Roman" w:cs="Times New Roman"/>
          <w:lang w:val="ro-MD"/>
        </w:rPr>
        <w:t xml:space="preserve">spre aprobare un plan </w:t>
      </w:r>
      <w:r w:rsidR="002B4E63" w:rsidRPr="000508B6">
        <w:rPr>
          <w:rFonts w:ascii="Times New Roman" w:hAnsi="Times New Roman" w:cs="Times New Roman"/>
          <w:lang w:val="ro-MD"/>
        </w:rPr>
        <w:t xml:space="preserve">realist </w:t>
      </w:r>
      <w:r w:rsidRPr="000508B6">
        <w:rPr>
          <w:rFonts w:ascii="Times New Roman" w:hAnsi="Times New Roman" w:cs="Times New Roman"/>
          <w:lang w:val="ro-MD"/>
        </w:rPr>
        <w:t xml:space="preserve">de redresare, cu măsuri pentru restabilirea nivelului fondurilor proprii eligibile care acoperă SCR sau pentru modificarea profilului de risc, astfel încât în termen de 6 luni SCR să fie din nou respectată. </w:t>
      </w:r>
    </w:p>
    <w:p w14:paraId="05435CF4" w14:textId="09AEC5A4" w:rsidR="00F558C2" w:rsidRPr="000508B6" w:rsidRDefault="00F558C2" w:rsidP="00CF5AFA">
      <w:pPr>
        <w:pStyle w:val="Listparagraf"/>
        <w:numPr>
          <w:ilvl w:val="0"/>
          <w:numId w:val="180"/>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aproba prelungirea cu maximum 3 luni a aplicării măsurilor din planul de redresare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(2). </w:t>
      </w:r>
    </w:p>
    <w:p w14:paraId="0451C2DA" w14:textId="01DC3AAE" w:rsidR="00F558C2" w:rsidRPr="000508B6" w:rsidRDefault="00C61DD0" w:rsidP="00CF5AFA">
      <w:pPr>
        <w:pStyle w:val="Listparagraf"/>
        <w:numPr>
          <w:ilvl w:val="0"/>
          <w:numId w:val="180"/>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F558C2" w:rsidRPr="000508B6">
        <w:rPr>
          <w:rFonts w:ascii="Times New Roman" w:hAnsi="Times New Roman" w:cs="Times New Roman"/>
          <w:lang w:val="ro-MD"/>
        </w:rPr>
        <w:t xml:space="preserve">În cazul unor situații nefavorabile excepționale, astfel cum sunt declarate de EIOPA, care afectează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F558C2" w:rsidRPr="000508B6">
        <w:rPr>
          <w:rFonts w:ascii="Times New Roman" w:hAnsi="Times New Roman" w:cs="Times New Roman"/>
          <w:lang w:val="ro-MD"/>
        </w:rPr>
        <w:t xml:space="preserve"> care reprezintă o cotă de piață importantă sau un procentaj semnificativ din liniile de </w:t>
      </w:r>
      <w:r w:rsidR="00304021" w:rsidRPr="000508B6">
        <w:rPr>
          <w:rFonts w:ascii="Times New Roman" w:hAnsi="Times New Roman" w:cs="Times New Roman"/>
          <w:lang w:val="ro-MD"/>
        </w:rPr>
        <w:t xml:space="preserve">activitate </w:t>
      </w:r>
      <w:r w:rsidR="00F558C2" w:rsidRPr="000508B6">
        <w:rPr>
          <w:rFonts w:ascii="Times New Roman" w:hAnsi="Times New Roman" w:cs="Times New Roman"/>
          <w:lang w:val="ro-MD"/>
        </w:rPr>
        <w:t>afectate, Banca Națională a Moldovei</w:t>
      </w:r>
      <w:r w:rsidR="002D0226" w:rsidRPr="000508B6">
        <w:rPr>
          <w:rFonts w:ascii="Times New Roman" w:hAnsi="Times New Roman" w:cs="Times New Roman"/>
          <w:lang w:val="ro-MD"/>
        </w:rPr>
        <w:t xml:space="preserve"> </w:t>
      </w:r>
      <w:r w:rsidR="00F558C2" w:rsidRPr="000508B6">
        <w:rPr>
          <w:rFonts w:ascii="Times New Roman" w:hAnsi="Times New Roman" w:cs="Times New Roman"/>
          <w:lang w:val="ro-MD"/>
        </w:rPr>
        <w:t xml:space="preserve"> poate prelungi, pentru </w:t>
      </w:r>
      <w:r w:rsidR="005F69A1" w:rsidRPr="000508B6">
        <w:rPr>
          <w:rFonts w:ascii="Times New Roman" w:hAnsi="Times New Roman" w:cs="Times New Roman"/>
          <w:lang w:val="ro-MD"/>
        </w:rPr>
        <w:t xml:space="preserve"> </w:t>
      </w:r>
      <w:r w:rsidR="004125E8" w:rsidRPr="000508B6">
        <w:rPr>
          <w:rFonts w:ascii="Times New Roman" w:hAnsi="Times New Roman" w:cs="Times New Roman"/>
          <w:lang w:val="ro-MD"/>
        </w:rPr>
        <w:t>asigurătorul</w:t>
      </w:r>
      <w:r w:rsidR="00D068AA" w:rsidRPr="000508B6">
        <w:rPr>
          <w:rFonts w:ascii="Times New Roman" w:hAnsi="Times New Roman" w:cs="Times New Roman"/>
          <w:lang w:val="ro-MD"/>
        </w:rPr>
        <w:t xml:space="preserve"> sau </w:t>
      </w:r>
      <w:proofErr w:type="spellStart"/>
      <w:r w:rsidR="00D068AA" w:rsidRPr="000508B6" w:rsidDel="005F69A1">
        <w:rPr>
          <w:rFonts w:ascii="Times New Roman" w:hAnsi="Times New Roman" w:cs="Times New Roman"/>
          <w:lang w:val="ro-MD"/>
        </w:rPr>
        <w:t>reasigurătorul</w:t>
      </w:r>
      <w:proofErr w:type="spellEnd"/>
      <w:r w:rsidR="00F558C2" w:rsidRPr="000508B6">
        <w:rPr>
          <w:rFonts w:ascii="Times New Roman" w:hAnsi="Times New Roman" w:cs="Times New Roman"/>
          <w:lang w:val="ro-MD"/>
        </w:rPr>
        <w:t xml:space="preserve"> afectat, perioada prevăzută la </w:t>
      </w:r>
      <w:r w:rsidR="00603107" w:rsidRPr="000508B6">
        <w:rPr>
          <w:rFonts w:ascii="Times New Roman" w:hAnsi="Times New Roman" w:cs="Times New Roman"/>
          <w:lang w:val="ro-MD"/>
        </w:rPr>
        <w:t>alin.</w:t>
      </w:r>
      <w:r w:rsidR="00F558C2" w:rsidRPr="000508B6">
        <w:rPr>
          <w:rFonts w:ascii="Times New Roman" w:hAnsi="Times New Roman" w:cs="Times New Roman"/>
          <w:lang w:val="ro-MD"/>
        </w:rPr>
        <w:t xml:space="preserve"> (3) cu o perioadă maximă de șapte ani, ținând seama de toți factorii relevanți, inclusiv de durata medie a </w:t>
      </w:r>
      <w:r w:rsidR="00F558C2" w:rsidRPr="000508B6" w:rsidDel="00894B56">
        <w:rPr>
          <w:rFonts w:ascii="Times New Roman" w:hAnsi="Times New Roman" w:cs="Times New Roman"/>
          <w:lang w:val="ro-MD"/>
        </w:rPr>
        <w:t>rezervelor tehnice</w:t>
      </w:r>
      <w:r w:rsidR="00F558C2" w:rsidRPr="000508B6">
        <w:rPr>
          <w:rFonts w:ascii="Times New Roman" w:hAnsi="Times New Roman" w:cs="Times New Roman"/>
          <w:lang w:val="ro-MD"/>
        </w:rPr>
        <w:t xml:space="preserve">.  </w:t>
      </w:r>
    </w:p>
    <w:p w14:paraId="4FACE03D" w14:textId="51C61625" w:rsidR="00F558C2" w:rsidRPr="000508B6" w:rsidRDefault="004125E8" w:rsidP="00CF5AFA">
      <w:pPr>
        <w:pStyle w:val="Listparagraf"/>
        <w:numPr>
          <w:ilvl w:val="0"/>
          <w:numId w:val="180"/>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C61DD0" w:rsidRPr="000508B6">
        <w:rPr>
          <w:rFonts w:ascii="Times New Roman" w:hAnsi="Times New Roman" w:cs="Times New Roman"/>
          <w:lang w:val="ro-MD"/>
        </w:rPr>
        <w:t xml:space="preserve"> aflat </w:t>
      </w:r>
      <w:r w:rsidR="00F558C2" w:rsidRPr="000508B6">
        <w:rPr>
          <w:rFonts w:ascii="Times New Roman" w:hAnsi="Times New Roman" w:cs="Times New Roman"/>
          <w:lang w:val="ro-MD"/>
        </w:rPr>
        <w:t xml:space="preserve">în </w:t>
      </w:r>
      <w:proofErr w:type="spellStart"/>
      <w:r w:rsidR="00F558C2" w:rsidRPr="000508B6">
        <w:rPr>
          <w:rFonts w:ascii="Times New Roman" w:hAnsi="Times New Roman" w:cs="Times New Roman"/>
          <w:lang w:val="ro-MD"/>
        </w:rPr>
        <w:t>situaţiile</w:t>
      </w:r>
      <w:proofErr w:type="spellEnd"/>
      <w:r w:rsidR="00F558C2" w:rsidRPr="000508B6">
        <w:rPr>
          <w:rFonts w:ascii="Times New Roman" w:hAnsi="Times New Roman" w:cs="Times New Roman"/>
          <w:lang w:val="ro-MD"/>
        </w:rPr>
        <w:t xml:space="preserve"> prevăzute la alin. (4) transmit</w:t>
      </w:r>
      <w:r w:rsidR="00C61DD0" w:rsidRPr="000508B6">
        <w:rPr>
          <w:rFonts w:ascii="Times New Roman" w:hAnsi="Times New Roman" w:cs="Times New Roman"/>
          <w:lang w:val="ro-MD"/>
        </w:rPr>
        <w:t>e</w:t>
      </w:r>
      <w:r w:rsidR="00F558C2" w:rsidRPr="000508B6">
        <w:rPr>
          <w:rFonts w:ascii="Times New Roman" w:hAnsi="Times New Roman" w:cs="Times New Roman"/>
          <w:lang w:val="ro-MD"/>
        </w:rPr>
        <w:t xml:space="preserve"> Băncii Naționale a Moldovei, o dată la 3 luni, un raport de activitate </w:t>
      </w:r>
      <w:proofErr w:type="spellStart"/>
      <w:r w:rsidR="00F558C2" w:rsidRPr="000508B6">
        <w:rPr>
          <w:rFonts w:ascii="Times New Roman" w:hAnsi="Times New Roman" w:cs="Times New Roman"/>
          <w:lang w:val="ro-MD"/>
        </w:rPr>
        <w:t>şi</w:t>
      </w:r>
      <w:proofErr w:type="spellEnd"/>
      <w:r w:rsidR="00F558C2" w:rsidRPr="000508B6">
        <w:rPr>
          <w:rFonts w:ascii="Times New Roman" w:hAnsi="Times New Roman" w:cs="Times New Roman"/>
          <w:lang w:val="ro-MD"/>
        </w:rPr>
        <w:t xml:space="preserve"> progresele înregistrate în respectarea măsurilor din planul de redresare </w:t>
      </w:r>
      <w:proofErr w:type="spellStart"/>
      <w:r w:rsidR="00F558C2" w:rsidRPr="000508B6">
        <w:rPr>
          <w:rFonts w:ascii="Times New Roman" w:hAnsi="Times New Roman" w:cs="Times New Roman"/>
          <w:lang w:val="ro-MD"/>
        </w:rPr>
        <w:t>şi</w:t>
      </w:r>
      <w:proofErr w:type="spellEnd"/>
      <w:r w:rsidR="00F558C2" w:rsidRPr="000508B6">
        <w:rPr>
          <w:rFonts w:ascii="Times New Roman" w:hAnsi="Times New Roman" w:cs="Times New Roman"/>
          <w:lang w:val="ro-MD"/>
        </w:rPr>
        <w:t xml:space="preserve"> în cazul în care din raportul respectiv reiese că </w:t>
      </w: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C61DD0" w:rsidRPr="000508B6">
        <w:rPr>
          <w:rFonts w:ascii="Times New Roman" w:hAnsi="Times New Roman" w:cs="Times New Roman"/>
          <w:lang w:val="ro-MD"/>
        </w:rPr>
        <w:t xml:space="preserve"> </w:t>
      </w:r>
      <w:r w:rsidR="00F558C2" w:rsidRPr="000508B6">
        <w:rPr>
          <w:rFonts w:ascii="Times New Roman" w:hAnsi="Times New Roman" w:cs="Times New Roman"/>
          <w:lang w:val="ro-MD"/>
        </w:rPr>
        <w:t xml:space="preserve">nu a înregistrat progrese, Banca Națională a Moldovei retrage prelungirea perioadei </w:t>
      </w:r>
      <w:r w:rsidR="00C61DD0" w:rsidRPr="000508B6">
        <w:rPr>
          <w:rFonts w:ascii="Times New Roman" w:hAnsi="Times New Roman" w:cs="Times New Roman"/>
          <w:lang w:val="ro-MD"/>
        </w:rPr>
        <w:t>acordate în baza alin. (4)</w:t>
      </w:r>
      <w:r w:rsidR="00F558C2" w:rsidRPr="000508B6">
        <w:rPr>
          <w:rFonts w:ascii="Times New Roman" w:hAnsi="Times New Roman" w:cs="Times New Roman"/>
          <w:lang w:val="ro-MD"/>
        </w:rPr>
        <w:t xml:space="preserve">. </w:t>
      </w:r>
    </w:p>
    <w:p w14:paraId="36236318" w14:textId="0E75A19F" w:rsidR="00F558C2" w:rsidRPr="000508B6" w:rsidRDefault="00F558C2" w:rsidP="00A749F2">
      <w:pPr>
        <w:pStyle w:val="Listparagraf"/>
        <w:numPr>
          <w:ilvl w:val="0"/>
          <w:numId w:val="18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circumstanţe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excepţionale</w:t>
      </w:r>
      <w:proofErr w:type="spellEnd"/>
      <w:r w:rsidRPr="000508B6">
        <w:rPr>
          <w:rFonts w:ascii="Times New Roman" w:hAnsi="Times New Roman" w:cs="Times New Roman"/>
          <w:lang w:val="ro-MD"/>
        </w:rPr>
        <w:t>, în cazul în care Banca Națională a Moldovei</w:t>
      </w:r>
      <w:r w:rsidR="002D0226" w:rsidRPr="000508B6">
        <w:rPr>
          <w:rFonts w:ascii="Times New Roman" w:hAnsi="Times New Roman" w:cs="Times New Roman"/>
          <w:lang w:val="ro-MD"/>
        </w:rPr>
        <w:t xml:space="preserve">, </w:t>
      </w:r>
      <w:r w:rsidRPr="000508B6">
        <w:rPr>
          <w:rFonts w:ascii="Times New Roman" w:hAnsi="Times New Roman" w:cs="Times New Roman"/>
          <w:lang w:val="ro-MD"/>
        </w:rPr>
        <w:t xml:space="preserve">consideră că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financiară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r w:rsidR="00D4340A" w:rsidRPr="000508B6">
        <w:rPr>
          <w:rFonts w:ascii="Times New Roman" w:hAnsi="Times New Roman" w:cs="Times New Roman"/>
          <w:lang w:val="ro-MD"/>
        </w:rPr>
        <w:t xml:space="preserve">prevăzută </w:t>
      </w:r>
      <w:r w:rsidRPr="000508B6">
        <w:rPr>
          <w:rFonts w:ascii="Times New Roman" w:hAnsi="Times New Roman" w:cs="Times New Roman"/>
          <w:lang w:val="ro-MD"/>
        </w:rPr>
        <w:t xml:space="preserve">la alin. (2) urmează </w:t>
      </w:r>
      <w:r w:rsidR="009406E6" w:rsidRPr="000508B6">
        <w:rPr>
          <w:rFonts w:ascii="Times New Roman" w:hAnsi="Times New Roman" w:cs="Times New Roman"/>
          <w:lang w:val="ro-MD"/>
        </w:rPr>
        <w:t>să</w:t>
      </w:r>
      <w:r w:rsidRPr="000508B6">
        <w:rPr>
          <w:rFonts w:ascii="Times New Roman" w:hAnsi="Times New Roman" w:cs="Times New Roman"/>
          <w:lang w:val="ro-MD"/>
        </w:rPr>
        <w:t xml:space="preserve"> se </w:t>
      </w:r>
      <w:r w:rsidR="009406E6" w:rsidRPr="000508B6">
        <w:rPr>
          <w:rFonts w:ascii="Times New Roman" w:hAnsi="Times New Roman" w:cs="Times New Roman"/>
          <w:lang w:val="ro-MD"/>
        </w:rPr>
        <w:t>deterioreze</w:t>
      </w:r>
      <w:r w:rsidRPr="000508B6">
        <w:rPr>
          <w:rFonts w:ascii="Times New Roman" w:hAnsi="Times New Roman" w:cs="Times New Roman"/>
          <w:lang w:val="ro-MD"/>
        </w:rPr>
        <w:t xml:space="preserve">, </w:t>
      </w:r>
      <w:r w:rsidR="00F64114" w:rsidRPr="000508B6">
        <w:rPr>
          <w:rFonts w:ascii="Times New Roman" w:hAnsi="Times New Roman" w:cs="Times New Roman"/>
          <w:lang w:val="ro-MD"/>
        </w:rPr>
        <w:t xml:space="preserve"> Banca Națională a Moldovei</w:t>
      </w:r>
      <w:r w:rsidRPr="000508B6">
        <w:rPr>
          <w:rFonts w:ascii="Times New Roman" w:hAnsi="Times New Roman" w:cs="Times New Roman"/>
          <w:lang w:val="ro-MD"/>
        </w:rPr>
        <w:t xml:space="preserve"> aplică măsurile prevăzute la art. </w:t>
      </w:r>
      <w:r w:rsidR="008B44ED" w:rsidRPr="000508B6">
        <w:rPr>
          <w:rFonts w:ascii="Times New Roman" w:hAnsi="Times New Roman" w:cs="Times New Roman"/>
          <w:lang w:val="ro-MD"/>
        </w:rPr>
        <w:t>188</w:t>
      </w:r>
      <w:r w:rsidRPr="000508B6">
        <w:rPr>
          <w:rFonts w:ascii="Times New Roman" w:hAnsi="Times New Roman" w:cs="Times New Roman"/>
          <w:lang w:val="ro-MD"/>
        </w:rPr>
        <w:t xml:space="preserve"> alin. (1)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(3)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8B44ED" w:rsidRPr="000508B6">
        <w:rPr>
          <w:rFonts w:ascii="Times New Roman" w:hAnsi="Times New Roman" w:cs="Times New Roman"/>
          <w:lang w:val="ro-MD"/>
        </w:rPr>
        <w:t>189</w:t>
      </w:r>
      <w:r w:rsidRPr="000508B6">
        <w:rPr>
          <w:rFonts w:ascii="Times New Roman" w:hAnsi="Times New Roman" w:cs="Times New Roman"/>
          <w:lang w:val="ro-MD"/>
        </w:rPr>
        <w:t xml:space="preserve"> alin. (</w:t>
      </w:r>
      <w:r w:rsidR="004D7F4B" w:rsidRPr="000508B6">
        <w:rPr>
          <w:rFonts w:ascii="Times New Roman" w:hAnsi="Times New Roman" w:cs="Times New Roman"/>
          <w:lang w:val="ro-MD"/>
        </w:rPr>
        <w:t>1</w:t>
      </w:r>
      <w:r w:rsidRPr="000508B6">
        <w:rPr>
          <w:rFonts w:ascii="Times New Roman" w:hAnsi="Times New Roman" w:cs="Times New Roman"/>
          <w:lang w:val="ro-MD"/>
        </w:rPr>
        <w:t xml:space="preserve">). </w:t>
      </w:r>
    </w:p>
    <w:p w14:paraId="50F3E3F4" w14:textId="4FA8814F" w:rsidR="00EB3592" w:rsidRPr="000508B6" w:rsidRDefault="00AE45DF" w:rsidP="00A65BC7">
      <w:pPr>
        <w:pStyle w:val="Listparagraf"/>
        <w:numPr>
          <w:ilvl w:val="0"/>
          <w:numId w:val="18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w:t>
      </w:r>
      <w:r w:rsidR="00EB3592" w:rsidRPr="000508B6">
        <w:rPr>
          <w:rFonts w:ascii="Times New Roman" w:hAnsi="Times New Roman" w:cs="Times New Roman"/>
          <w:lang w:val="ro-MD"/>
        </w:rPr>
        <w:t>entru prelungirea perioadei menționate la alin. (4) și pentru determinarea duratei acesteia</w:t>
      </w:r>
      <w:r w:rsidR="00EC0989" w:rsidRPr="000508B6">
        <w:rPr>
          <w:rFonts w:ascii="Times New Roman" w:hAnsi="Times New Roman" w:cs="Times New Roman"/>
          <w:lang w:val="ro-MD"/>
        </w:rPr>
        <w:t>,</w:t>
      </w:r>
      <w:r w:rsidR="00EB3592" w:rsidRPr="000508B6">
        <w:rPr>
          <w:rFonts w:ascii="Times New Roman" w:hAnsi="Times New Roman" w:cs="Times New Roman"/>
          <w:lang w:val="ro-MD"/>
        </w:rPr>
        <w:t xml:space="preserve"> în cazul </w:t>
      </w:r>
      <w:r w:rsidR="00592695" w:rsidRPr="000508B6">
        <w:rPr>
          <w:rFonts w:ascii="Times New Roman" w:hAnsi="Times New Roman" w:cs="Times New Roman"/>
          <w:lang w:val="ro-MD"/>
        </w:rPr>
        <w:t xml:space="preserve">unui </w:t>
      </w:r>
      <w:r w:rsidR="00EB3592" w:rsidRPr="000508B6">
        <w:rPr>
          <w:rFonts w:ascii="Times New Roman" w:hAnsi="Times New Roman" w:cs="Times New Roman"/>
          <w:lang w:val="ro-MD"/>
        </w:rPr>
        <w:t xml:space="preserve">anumit </w:t>
      </w:r>
      <w:r w:rsidR="00592695" w:rsidRPr="000508B6">
        <w:rPr>
          <w:rFonts w:ascii="Times New Roman" w:hAnsi="Times New Roman" w:cs="Times New Roman"/>
          <w:lang w:val="ro-MD"/>
        </w:rPr>
        <w:t xml:space="preserve">asigurător sau </w:t>
      </w:r>
      <w:proofErr w:type="spellStart"/>
      <w:r w:rsidR="00592695" w:rsidRPr="000508B6">
        <w:rPr>
          <w:rFonts w:ascii="Times New Roman" w:hAnsi="Times New Roman" w:cs="Times New Roman"/>
          <w:lang w:val="ro-MD"/>
        </w:rPr>
        <w:t>reasigurător</w:t>
      </w:r>
      <w:proofErr w:type="spellEnd"/>
      <w:r w:rsidR="00EC0989" w:rsidRPr="000508B6">
        <w:rPr>
          <w:rFonts w:ascii="Times New Roman" w:hAnsi="Times New Roman" w:cs="Times New Roman"/>
          <w:lang w:val="ro-MD"/>
        </w:rPr>
        <w:t>,</w:t>
      </w:r>
      <w:r w:rsidR="00EB3592" w:rsidRPr="000508B6">
        <w:rPr>
          <w:rFonts w:ascii="Times New Roman" w:hAnsi="Times New Roman" w:cs="Times New Roman"/>
          <w:lang w:val="ro-MD"/>
        </w:rPr>
        <w:t xml:space="preserve"> </w:t>
      </w:r>
      <w:r w:rsidRPr="000508B6">
        <w:rPr>
          <w:rFonts w:ascii="Times New Roman" w:hAnsi="Times New Roman" w:cs="Times New Roman"/>
          <w:lang w:val="ro-MD"/>
        </w:rPr>
        <w:t xml:space="preserve">Banca Națională a Moldovei </w:t>
      </w:r>
      <w:r w:rsidR="00EB3592" w:rsidRPr="000508B6">
        <w:rPr>
          <w:rFonts w:ascii="Times New Roman" w:hAnsi="Times New Roman" w:cs="Times New Roman"/>
          <w:lang w:val="ro-MD"/>
        </w:rPr>
        <w:t xml:space="preserve">ține seama de factorii și criteriile specifice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EC0989" w:rsidRPr="000508B6">
        <w:rPr>
          <w:rFonts w:ascii="Times New Roman" w:hAnsi="Times New Roman" w:cs="Times New Roman"/>
          <w:lang w:val="ro-MD"/>
        </w:rPr>
        <w:t>,</w:t>
      </w:r>
      <w:r w:rsidR="00EB3592" w:rsidRPr="000508B6">
        <w:rPr>
          <w:rFonts w:ascii="Times New Roman" w:hAnsi="Times New Roman" w:cs="Times New Roman"/>
          <w:lang w:val="ro-MD"/>
        </w:rPr>
        <w:t xml:space="preserve"> după cum urmează:</w:t>
      </w:r>
      <w:r w:rsidR="00EB3592" w:rsidRPr="000508B6">
        <w:rPr>
          <w:rFonts w:ascii="Times New Roman" w:hAnsi="Times New Roman" w:cs="Times New Roman"/>
          <w:color w:val="FF0000"/>
          <w:lang w:val="ro-MD"/>
        </w:rPr>
        <w:t xml:space="preserve"> </w:t>
      </w:r>
    </w:p>
    <w:p w14:paraId="377CDD96" w14:textId="0C598407"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impactul unei eventuale prelungiri asupra asiguraților și a beneficiarilor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4C4D8414" w14:textId="7C3EF093"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măsura în care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este afectat de situația nefavorabilă excepțională;</w:t>
      </w:r>
    </w:p>
    <w:p w14:paraId="54D0E322" w14:textId="4297206B"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mijloacele pe care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le are la dispoziție pentru a restabili conformitatea cu SCR și existența unui plan de recuperare realist;</w:t>
      </w:r>
    </w:p>
    <w:p w14:paraId="6CA67075" w14:textId="4D8AAA8D"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cauzele și gradul neconformității cu SCR;</w:t>
      </w:r>
    </w:p>
    <w:p w14:paraId="483521EE" w14:textId="70314378"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structura fondurilor proprii deținute de </w:t>
      </w:r>
      <w:r w:rsidR="00592695" w:rsidRPr="000508B6">
        <w:rPr>
          <w:rFonts w:ascii="Times New Roman" w:hAnsi="Times New Roman" w:cs="Times New Roman"/>
          <w:lang w:val="ro-MD"/>
        </w:rPr>
        <w:t xml:space="preserve">asigurător sau </w:t>
      </w:r>
      <w:proofErr w:type="spellStart"/>
      <w:r w:rsidR="00592695" w:rsidRPr="000508B6">
        <w:rPr>
          <w:rFonts w:ascii="Times New Roman" w:hAnsi="Times New Roman" w:cs="Times New Roman"/>
          <w:lang w:val="ro-MD"/>
        </w:rPr>
        <w:t>reasigurător</w:t>
      </w:r>
      <w:proofErr w:type="spellEnd"/>
      <w:r w:rsidRPr="000508B6">
        <w:rPr>
          <w:rFonts w:ascii="Times New Roman" w:hAnsi="Times New Roman" w:cs="Times New Roman"/>
          <w:lang w:val="ro-MD"/>
        </w:rPr>
        <w:t>;</w:t>
      </w:r>
    </w:p>
    <w:p w14:paraId="396370D1" w14:textId="2CF63952"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structura activelor deținute de </w:t>
      </w:r>
      <w:r w:rsidR="00592695" w:rsidRPr="000508B6">
        <w:rPr>
          <w:rFonts w:ascii="Times New Roman" w:hAnsi="Times New Roman" w:cs="Times New Roman"/>
          <w:lang w:val="ro-MD"/>
        </w:rPr>
        <w:t xml:space="preserve">asigurător sau </w:t>
      </w:r>
      <w:proofErr w:type="spellStart"/>
      <w:r w:rsidR="00592695" w:rsidRPr="000508B6">
        <w:rPr>
          <w:rFonts w:ascii="Times New Roman" w:hAnsi="Times New Roman" w:cs="Times New Roman"/>
          <w:lang w:val="ro-MD"/>
        </w:rPr>
        <w:t>reasigurător</w:t>
      </w:r>
      <w:proofErr w:type="spellEnd"/>
      <w:r w:rsidRPr="000508B6">
        <w:rPr>
          <w:rFonts w:ascii="Times New Roman" w:hAnsi="Times New Roman" w:cs="Times New Roman"/>
          <w:lang w:val="ro-MD"/>
        </w:rPr>
        <w:t>;</w:t>
      </w:r>
    </w:p>
    <w:p w14:paraId="36EBD519" w14:textId="3AC376A6"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natura și durata rezervelor tehnice și a obligațiilor de alt tip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105AEB63" w14:textId="06B55BD3" w:rsidR="00EB3592" w:rsidRPr="000508B6" w:rsidRDefault="00EB3592" w:rsidP="00A65BC7">
      <w:pPr>
        <w:pStyle w:val="Listparagraf"/>
        <w:numPr>
          <w:ilvl w:val="2"/>
          <w:numId w:val="400"/>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atunci când este cazul, disponibilitatea asistenței financiare din partea altor </w:t>
      </w:r>
      <w:r w:rsidR="00493595" w:rsidRPr="000508B6">
        <w:rPr>
          <w:rFonts w:ascii="Times New Roman" w:hAnsi="Times New Roman" w:cs="Times New Roman"/>
          <w:lang w:val="ro-MD"/>
        </w:rPr>
        <w:t>entități</w:t>
      </w:r>
      <w:r w:rsidRPr="000508B6">
        <w:rPr>
          <w:rFonts w:ascii="Times New Roman" w:hAnsi="Times New Roman" w:cs="Times New Roman"/>
          <w:lang w:val="ro-MD"/>
        </w:rPr>
        <w:t xml:space="preserve"> ale grupului căruia îi aparține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w:t>
      </w:r>
    </w:p>
    <w:p w14:paraId="0B04FD80" w14:textId="4B0E6817" w:rsidR="00AE45DF" w:rsidRPr="000508B6" w:rsidRDefault="00EB3592" w:rsidP="00CF5AFA">
      <w:pPr>
        <w:pStyle w:val="Listparagraf"/>
        <w:numPr>
          <w:ilvl w:val="2"/>
          <w:numId w:val="400"/>
        </w:numPr>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 eventualele măsuri luate de </w:t>
      </w:r>
      <w:r w:rsidR="003459E1" w:rsidRPr="000508B6">
        <w:rPr>
          <w:rFonts w:ascii="Times New Roman" w:hAnsi="Times New Roman" w:cs="Times New Roman"/>
          <w:lang w:val="ro-MD"/>
        </w:rPr>
        <w:t xml:space="preserve">asigurător sau </w:t>
      </w:r>
      <w:proofErr w:type="spellStart"/>
      <w:r w:rsidR="003459E1" w:rsidRPr="000508B6">
        <w:rPr>
          <w:rFonts w:ascii="Times New Roman" w:hAnsi="Times New Roman" w:cs="Times New Roman"/>
          <w:lang w:val="ro-MD"/>
        </w:rPr>
        <w:t>reasigurător</w:t>
      </w:r>
      <w:proofErr w:type="spellEnd"/>
      <w:r w:rsidR="003459E1" w:rsidRPr="000508B6">
        <w:rPr>
          <w:rFonts w:ascii="Times New Roman" w:hAnsi="Times New Roman" w:cs="Times New Roman"/>
          <w:lang w:val="ro-MD"/>
        </w:rPr>
        <w:t xml:space="preserve"> </w:t>
      </w:r>
      <w:r w:rsidRPr="000508B6">
        <w:rPr>
          <w:rFonts w:ascii="Times New Roman" w:hAnsi="Times New Roman" w:cs="Times New Roman"/>
          <w:lang w:val="ro-MD"/>
        </w:rPr>
        <w:t>pentru a limita ieșirea de capital și deteriorarea solvabilității sale.</w:t>
      </w:r>
    </w:p>
    <w:p w14:paraId="3E07F0A4" w14:textId="34ECD32C" w:rsidR="00AE45DF" w:rsidRPr="000508B6" w:rsidRDefault="00AE45DF" w:rsidP="00A749F2">
      <w:pPr>
        <w:pStyle w:val="Listparagraf"/>
        <w:numPr>
          <w:ilvl w:val="2"/>
          <w:numId w:val="400"/>
        </w:numPr>
        <w:tabs>
          <w:tab w:val="left" w:pos="709"/>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posibilele efecte </w:t>
      </w:r>
      <w:proofErr w:type="spellStart"/>
      <w:r w:rsidRPr="000508B6">
        <w:rPr>
          <w:rFonts w:ascii="Times New Roman" w:hAnsi="Times New Roman" w:cs="Times New Roman"/>
          <w:lang w:val="ro-MD"/>
        </w:rPr>
        <w:t>prociclice</w:t>
      </w:r>
      <w:proofErr w:type="spellEnd"/>
      <w:r w:rsidRPr="000508B6">
        <w:rPr>
          <w:rFonts w:ascii="Times New Roman" w:hAnsi="Times New Roman" w:cs="Times New Roman"/>
          <w:lang w:val="ro-MD"/>
        </w:rPr>
        <w:t xml:space="preserve"> ale restabilirii conformității cu SCR, inclusiv vânzarea în regim de urgență a activelor pe piețele financiare;</w:t>
      </w:r>
      <w:r w:rsidR="001801A0" w:rsidRPr="000508B6">
        <w:rPr>
          <w:rFonts w:ascii="Times New Roman" w:hAnsi="Times New Roman" w:cs="Times New Roman"/>
          <w:lang w:val="ro-MD"/>
        </w:rPr>
        <w:t xml:space="preserve"> </w:t>
      </w:r>
    </w:p>
    <w:p w14:paraId="51A79254" w14:textId="5A21CCE0" w:rsidR="00AE45DF" w:rsidRPr="000508B6" w:rsidRDefault="00AE45DF" w:rsidP="00A65BC7">
      <w:pPr>
        <w:pStyle w:val="Listparagraf"/>
        <w:numPr>
          <w:ilvl w:val="2"/>
          <w:numId w:val="400"/>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posibilitatea ca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să atragă fonduri proprii suplimentare de pe piețele financiare;</w:t>
      </w:r>
    </w:p>
    <w:p w14:paraId="24A576AF" w14:textId="11A2696F" w:rsidR="00AE45DF" w:rsidRPr="000508B6" w:rsidRDefault="00AE45DF" w:rsidP="00A65BC7">
      <w:pPr>
        <w:pStyle w:val="Listparagraf"/>
        <w:numPr>
          <w:ilvl w:val="2"/>
          <w:numId w:val="400"/>
        </w:numPr>
        <w:tabs>
          <w:tab w:val="left" w:pos="709"/>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disponibilitatea unei piețe active pentru activele deținute de </w:t>
      </w:r>
      <w:r w:rsidR="003459E1" w:rsidRPr="000508B6">
        <w:rPr>
          <w:rFonts w:ascii="Times New Roman" w:hAnsi="Times New Roman" w:cs="Times New Roman"/>
          <w:lang w:val="ro-MD"/>
        </w:rPr>
        <w:t xml:space="preserve">asigurător sau </w:t>
      </w:r>
      <w:proofErr w:type="spellStart"/>
      <w:r w:rsidR="003459E1" w:rsidRPr="000508B6">
        <w:rPr>
          <w:rFonts w:ascii="Times New Roman" w:hAnsi="Times New Roman" w:cs="Times New Roman"/>
          <w:lang w:val="ro-MD"/>
        </w:rPr>
        <w:t>reasigurător</w:t>
      </w:r>
      <w:proofErr w:type="spellEnd"/>
      <w:r w:rsidR="003459E1" w:rsidRPr="000508B6">
        <w:rPr>
          <w:rFonts w:ascii="Times New Roman" w:hAnsi="Times New Roman" w:cs="Times New Roman"/>
          <w:lang w:val="ro-MD"/>
        </w:rPr>
        <w:t xml:space="preserve"> </w:t>
      </w:r>
      <w:r w:rsidRPr="000508B6">
        <w:rPr>
          <w:rFonts w:ascii="Times New Roman" w:hAnsi="Times New Roman" w:cs="Times New Roman"/>
          <w:lang w:val="ro-MD"/>
        </w:rPr>
        <w:t>și lichiditatea pieței respective;</w:t>
      </w:r>
    </w:p>
    <w:p w14:paraId="7AC6ED10" w14:textId="77777777" w:rsidR="00AE45DF" w:rsidRPr="000508B6" w:rsidRDefault="00AE45DF" w:rsidP="00A65BC7">
      <w:pPr>
        <w:pStyle w:val="Listparagraf"/>
        <w:numPr>
          <w:ilvl w:val="2"/>
          <w:numId w:val="400"/>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capacitatea pieței de reasigurare să furnizeze polițe de reasigurare sau retrocesiune;</w:t>
      </w:r>
    </w:p>
    <w:p w14:paraId="3C8188AE" w14:textId="6045FDF3" w:rsidR="00AE45DF" w:rsidRPr="000508B6" w:rsidRDefault="00AE45DF" w:rsidP="00A65BC7">
      <w:pPr>
        <w:pStyle w:val="Listparagraf"/>
        <w:numPr>
          <w:ilvl w:val="2"/>
          <w:numId w:val="400"/>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disponibilitatea pe piețele financiare a unor tehnici adecvate de </w:t>
      </w:r>
      <w:r w:rsidR="00DD0FF7" w:rsidRPr="000508B6">
        <w:rPr>
          <w:rFonts w:ascii="Times New Roman" w:hAnsi="Times New Roman" w:cs="Times New Roman"/>
          <w:lang w:val="ro-MD"/>
        </w:rPr>
        <w:t>minimizare</w:t>
      </w:r>
      <w:r w:rsidRPr="000508B6">
        <w:rPr>
          <w:rFonts w:ascii="Times New Roman" w:hAnsi="Times New Roman" w:cs="Times New Roman"/>
          <w:lang w:val="ro-MD"/>
        </w:rPr>
        <w:t xml:space="preserve"> a riscurilor, inclusiv instrumente financiare;</w:t>
      </w:r>
    </w:p>
    <w:p w14:paraId="50655D71" w14:textId="5DBD8BB5" w:rsidR="00AE45DF" w:rsidRPr="000508B6" w:rsidRDefault="00AE45DF" w:rsidP="00A65BC7">
      <w:pPr>
        <w:pStyle w:val="Listparagraf"/>
        <w:numPr>
          <w:ilvl w:val="2"/>
          <w:numId w:val="400"/>
        </w:numPr>
        <w:tabs>
          <w:tab w:val="left" w:pos="709"/>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disponibilitatea pe piețele financiare a altor mijloace de reducere a expunerii la risc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069D6EE2" w14:textId="77777777" w:rsidR="00F558C2" w:rsidRPr="000508B6" w:rsidRDefault="00F558C2" w:rsidP="00F558C2">
      <w:pPr>
        <w:spacing w:after="0" w:line="240" w:lineRule="auto"/>
        <w:ind w:firstLine="426"/>
        <w:jc w:val="both"/>
        <w:rPr>
          <w:rFonts w:ascii="Times New Roman" w:hAnsi="Times New Roman" w:cs="Times New Roman"/>
          <w:b/>
          <w:lang w:val="ro-MD"/>
        </w:rPr>
      </w:pPr>
    </w:p>
    <w:p w14:paraId="60B37B70" w14:textId="49113A0D"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157</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Nerespectarea MCR </w:t>
      </w:r>
    </w:p>
    <w:p w14:paraId="60935F63" w14:textId="2A012380" w:rsidR="00F558C2" w:rsidRPr="000508B6" w:rsidRDefault="004125E8" w:rsidP="00CF5AFA">
      <w:pPr>
        <w:pStyle w:val="Listparagraf"/>
        <w:numPr>
          <w:ilvl w:val="1"/>
          <w:numId w:val="181"/>
        </w:numPr>
        <w:spacing w:after="0" w:line="240" w:lineRule="auto"/>
        <w:ind w:left="-142" w:firstLine="568"/>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F558C2" w:rsidRPr="000508B6">
        <w:rPr>
          <w:rFonts w:ascii="Times New Roman" w:hAnsi="Times New Roman" w:cs="Times New Roman"/>
          <w:lang w:val="ro-MD"/>
        </w:rPr>
        <w:t xml:space="preserve"> informează imediat Banca Națională a Moldovei, la momentul constatării, cu privire la faptul că MCR nu mai este respectată sau că există riscul ca aceasta să nu fie respectată în următoarele 3 luni. </w:t>
      </w:r>
    </w:p>
    <w:p w14:paraId="10BF41CB" w14:textId="21894DBE" w:rsidR="00F558C2" w:rsidRPr="000508B6" w:rsidRDefault="00F558C2" w:rsidP="00CF5AFA">
      <w:pPr>
        <w:pStyle w:val="Listparagraf"/>
        <w:numPr>
          <w:ilvl w:val="1"/>
          <w:numId w:val="181"/>
        </w:numPr>
        <w:spacing w:after="0" w:line="240" w:lineRule="auto"/>
        <w:ind w:left="-142" w:firstLine="568"/>
        <w:jc w:val="both"/>
        <w:rPr>
          <w:rFonts w:ascii="Times New Roman" w:hAnsi="Times New Roman" w:cs="Times New Roman"/>
          <w:lang w:val="ro-MD"/>
        </w:rPr>
      </w:pPr>
      <w:r w:rsidRPr="000508B6">
        <w:rPr>
          <w:rFonts w:ascii="Times New Roman" w:hAnsi="Times New Roman" w:cs="Times New Roman"/>
          <w:lang w:val="ro-MD"/>
        </w:rPr>
        <w:t xml:space="preserve">În sensul alin. (1), cerința de informare a Băncii Naționale a Moldovei se aplică indiferent dacă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constată nerespectarea MCR sau riscul de nerespectare în timpul calculului MCR în conformitate cu art. </w:t>
      </w:r>
      <w:r w:rsidR="00B87AEA" w:rsidRPr="000508B6">
        <w:rPr>
          <w:rFonts w:ascii="Times New Roman" w:hAnsi="Times New Roman" w:cs="Times New Roman"/>
          <w:lang w:val="ro-MD"/>
        </w:rPr>
        <w:t>89</w:t>
      </w:r>
      <w:r w:rsidRPr="000508B6">
        <w:rPr>
          <w:rFonts w:ascii="Times New Roman" w:hAnsi="Times New Roman" w:cs="Times New Roman"/>
          <w:lang w:val="ro-MD"/>
        </w:rPr>
        <w:t xml:space="preserve"> sau în timpul unui calcul al MCR între două date în care calculul este raportat Băncii Naționale a Moldovei.</w:t>
      </w:r>
    </w:p>
    <w:p w14:paraId="144BC0A5" w14:textId="3DA1F5E2" w:rsidR="00F558C2" w:rsidRPr="000508B6" w:rsidRDefault="00F558C2" w:rsidP="00CF5AFA">
      <w:pPr>
        <w:pStyle w:val="Listparagraf"/>
        <w:numPr>
          <w:ilvl w:val="1"/>
          <w:numId w:val="181"/>
        </w:numPr>
        <w:spacing w:after="0" w:line="240" w:lineRule="auto"/>
        <w:ind w:left="-142" w:firstLine="568"/>
        <w:jc w:val="both"/>
        <w:rPr>
          <w:rFonts w:ascii="Times New Roman" w:hAnsi="Times New Roman" w:cs="Times New Roman"/>
          <w:lang w:val="ro-MD"/>
        </w:rPr>
      </w:pPr>
      <w:r w:rsidRPr="000508B6">
        <w:rPr>
          <w:rFonts w:ascii="Times New Roman" w:hAnsi="Times New Roman" w:cs="Times New Roman"/>
          <w:lang w:val="ro-MD"/>
        </w:rPr>
        <w:t xml:space="preserve">În termen de o lună de la constatarea nerespectării MCR sau de la constatarea riscului de nerespectare,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transmite spre aprobare Băncii Naționale a Moldovei un plan de finanțare pe termen scurt realist pentru a readuce, în termen de trei luni de la respectiva constatare, </w:t>
      </w:r>
      <w:r w:rsidRPr="000508B6">
        <w:rPr>
          <w:rFonts w:ascii="Times New Roman" w:hAnsi="Times New Roman" w:cs="Times New Roman"/>
          <w:lang w:val="ro-MD"/>
        </w:rPr>
        <w:lastRenderedPageBreak/>
        <w:t>fondurile proprii de bază eligibile cel puțin la nivelul MCR sau pentru a-și reduce profilul de risc în vederea respectării MCR.</w:t>
      </w:r>
    </w:p>
    <w:p w14:paraId="392A40C0" w14:textId="77777777" w:rsidR="00F558C2" w:rsidRPr="000508B6" w:rsidRDefault="00F558C2" w:rsidP="00F558C2">
      <w:pPr>
        <w:spacing w:after="0" w:line="240" w:lineRule="auto"/>
        <w:ind w:firstLine="426"/>
        <w:jc w:val="both"/>
        <w:rPr>
          <w:rFonts w:ascii="Times New Roman" w:eastAsia="Times New Roman" w:hAnsi="Times New Roman" w:cs="Times New Roman"/>
          <w:b/>
          <w:lang w:val="ro-MD"/>
        </w:rPr>
      </w:pPr>
    </w:p>
    <w:p w14:paraId="2502D22E" w14:textId="7AA93989"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eastAsia="Times New Roman" w:hAnsi="Times New Roman" w:cs="Times New Roman"/>
          <w:b/>
          <w:lang w:val="ro-MD"/>
        </w:rPr>
        <w:t xml:space="preserve">Articolul </w:t>
      </w:r>
      <w:r w:rsidR="007C2440" w:rsidRPr="000508B6">
        <w:rPr>
          <w:rFonts w:ascii="Times New Roman" w:eastAsia="Times New Roman" w:hAnsi="Times New Roman" w:cs="Times New Roman"/>
          <w:b/>
          <w:lang w:val="ro-MD"/>
        </w:rPr>
        <w:t>158</w:t>
      </w:r>
      <w:r w:rsidRPr="000508B6">
        <w:rPr>
          <w:rFonts w:ascii="Times New Roman" w:eastAsia="Times New Roman" w:hAnsi="Times New Roman" w:cs="Times New Roman"/>
          <w:b/>
          <w:lang w:val="ro-MD"/>
        </w:rPr>
        <w:t xml:space="preserve">. </w:t>
      </w:r>
      <w:r w:rsidRPr="000508B6">
        <w:rPr>
          <w:rStyle w:val="l5def1"/>
          <w:rFonts w:ascii="Times New Roman" w:hAnsi="Times New Roman" w:cs="Times New Roman"/>
          <w:sz w:val="22"/>
          <w:szCs w:val="22"/>
          <w:lang w:val="ro-MD"/>
        </w:rPr>
        <w:t xml:space="preserve"> Competențe de supraveghere în cazul deteriorării condițiilor financiare </w:t>
      </w:r>
    </w:p>
    <w:p w14:paraId="0D4804C2" w14:textId="4CE0C5D0" w:rsidR="00893802" w:rsidRPr="000508B6" w:rsidRDefault="00893802" w:rsidP="00376C13">
      <w:pPr>
        <w:tabs>
          <w:tab w:val="left" w:pos="709"/>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(1) În cazul în care Banca Națională a Moldovei consideră că oricare dintre măsurile menționate la articolele 15</w:t>
      </w:r>
      <w:r w:rsidR="002F4E76" w:rsidRPr="000508B6">
        <w:rPr>
          <w:rFonts w:ascii="Times New Roman" w:hAnsi="Times New Roman" w:cs="Times New Roman"/>
          <w:lang w:val="ro-MD"/>
        </w:rPr>
        <w:t>5</w:t>
      </w:r>
      <w:r w:rsidRPr="000508B6">
        <w:rPr>
          <w:rFonts w:ascii="Times New Roman" w:hAnsi="Times New Roman" w:cs="Times New Roman"/>
          <w:lang w:val="ro-MD"/>
        </w:rPr>
        <w:t xml:space="preserve">, 156 și 157 sunt ineficiente sau insuficiente pentru a remedia deteriorarea solvabilității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Banca Națională a Moldovei are competența de a lua toate măsurile necesare pentru a proteja interesele asiguraților în cazul contractelor de asigurare sau obligațiile care decurg din contractele de reasigurare.</w:t>
      </w:r>
    </w:p>
    <w:p w14:paraId="7845ECAC" w14:textId="420FFEA8" w:rsidR="00F558C2" w:rsidRPr="000508B6" w:rsidRDefault="00893802" w:rsidP="00A65BC7">
      <w:pPr>
        <w:tabs>
          <w:tab w:val="left" w:pos="567"/>
          <w:tab w:val="left" w:pos="709"/>
          <w:tab w:val="left" w:pos="851"/>
          <w:tab w:val="left" w:pos="993"/>
        </w:tabs>
        <w:spacing w:after="0" w:line="240" w:lineRule="auto"/>
        <w:ind w:firstLine="426"/>
        <w:jc w:val="both"/>
        <w:rPr>
          <w:rFonts w:ascii="Times New Roman" w:hAnsi="Times New Roman" w:cs="Times New Roman"/>
          <w:b/>
          <w:lang w:val="ro-MD"/>
        </w:rPr>
      </w:pPr>
      <w:r w:rsidRPr="000508B6">
        <w:rPr>
          <w:rFonts w:ascii="Times New Roman" w:hAnsi="Times New Roman" w:cs="Times New Roman"/>
          <w:lang w:val="ro-MD"/>
        </w:rPr>
        <w:t xml:space="preserve">(2)Aceste măsuri sunt proporționate și reflectă nivelul și durata deteriorării solvabilității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în cauză.</w:t>
      </w:r>
      <w:r w:rsidR="00F558C2" w:rsidRPr="000508B6">
        <w:rPr>
          <w:rFonts w:ascii="Times New Roman" w:hAnsi="Times New Roman" w:cs="Times New Roman"/>
          <w:lang w:val="ro-MD"/>
        </w:rPr>
        <w:t xml:space="preserve"> </w:t>
      </w:r>
    </w:p>
    <w:p w14:paraId="2D958B01" w14:textId="77777777" w:rsidR="00F558C2" w:rsidRPr="000508B6" w:rsidRDefault="00F558C2" w:rsidP="00F558C2">
      <w:pPr>
        <w:spacing w:after="0" w:line="240" w:lineRule="auto"/>
        <w:ind w:firstLine="426"/>
        <w:jc w:val="both"/>
        <w:rPr>
          <w:rFonts w:ascii="Times New Roman" w:hAnsi="Times New Roman" w:cs="Times New Roman"/>
          <w:lang w:val="ro-MD"/>
        </w:rPr>
      </w:pPr>
    </w:p>
    <w:p w14:paraId="5D027D67" w14:textId="34126DED" w:rsidR="00F558C2" w:rsidRPr="000508B6" w:rsidRDefault="00F558C2" w:rsidP="00F558C2">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159</w:t>
      </w:r>
      <w:r w:rsidRPr="000508B6">
        <w:rPr>
          <w:rFonts w:ascii="Times New Roman" w:hAnsi="Times New Roman" w:cs="Times New Roman"/>
          <w:b/>
          <w:lang w:val="ro-MD"/>
        </w:rPr>
        <w:t xml:space="preserve">. </w:t>
      </w:r>
      <w:r w:rsidRPr="000508B6">
        <w:rPr>
          <w:rFonts w:ascii="Times New Roman" w:hAnsi="Times New Roman" w:cs="Times New Roman"/>
          <w:lang w:val="ro-MD"/>
        </w:rPr>
        <w:t>Planul</w:t>
      </w:r>
      <w:r w:rsidR="00683F89" w:rsidRPr="000508B6">
        <w:rPr>
          <w:rFonts w:ascii="Times New Roman" w:hAnsi="Times New Roman" w:cs="Times New Roman"/>
          <w:lang w:val="ro-MD"/>
        </w:rPr>
        <w:t xml:space="preserve"> </w:t>
      </w:r>
      <w:r w:rsidRPr="000508B6">
        <w:rPr>
          <w:rFonts w:ascii="Times New Roman" w:hAnsi="Times New Roman" w:cs="Times New Roman"/>
          <w:lang w:val="ro-MD"/>
        </w:rPr>
        <w:t xml:space="preserve">de redresare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planul de </w:t>
      </w:r>
      <w:proofErr w:type="spellStart"/>
      <w:r w:rsidRPr="000508B6">
        <w:rPr>
          <w:rFonts w:ascii="Times New Roman" w:hAnsi="Times New Roman" w:cs="Times New Roman"/>
          <w:lang w:val="ro-MD"/>
        </w:rPr>
        <w:t>finanţare</w:t>
      </w:r>
      <w:proofErr w:type="spellEnd"/>
      <w:r w:rsidRPr="000508B6">
        <w:rPr>
          <w:rFonts w:ascii="Times New Roman" w:hAnsi="Times New Roman" w:cs="Times New Roman"/>
          <w:lang w:val="ro-MD"/>
        </w:rPr>
        <w:t xml:space="preserve"> </w:t>
      </w:r>
    </w:p>
    <w:p w14:paraId="4391C2AB" w14:textId="3A28210E" w:rsidR="00F558C2" w:rsidRPr="000508B6" w:rsidRDefault="00F558C2" w:rsidP="00A749F2">
      <w:pPr>
        <w:pStyle w:val="Listparagraf"/>
        <w:numPr>
          <w:ilvl w:val="1"/>
          <w:numId w:val="184"/>
        </w:numPr>
        <w:tabs>
          <w:tab w:val="left" w:pos="709"/>
          <w:tab w:val="left" w:pos="851"/>
        </w:tabs>
        <w:spacing w:after="0" w:line="240" w:lineRule="auto"/>
        <w:ind w:left="0" w:firstLine="426"/>
        <w:jc w:val="both"/>
        <w:rPr>
          <w:rFonts w:ascii="Times New Roman" w:hAnsi="Times New Roman" w:cs="Times New Roman"/>
          <w:lang w:val="ro-MD"/>
        </w:rPr>
      </w:pPr>
      <w:r w:rsidRPr="000508B6">
        <w:rPr>
          <w:rStyle w:val="l5def2"/>
          <w:rFonts w:ascii="Times New Roman" w:hAnsi="Times New Roman" w:cs="Times New Roman"/>
          <w:sz w:val="22"/>
          <w:szCs w:val="22"/>
          <w:lang w:val="ro-MD"/>
        </w:rPr>
        <w:t xml:space="preserve">Planul de redresare </w:t>
      </w:r>
      <w:proofErr w:type="spellStart"/>
      <w:r w:rsidRPr="000508B6">
        <w:rPr>
          <w:rStyle w:val="l5def2"/>
          <w:rFonts w:ascii="Times New Roman" w:hAnsi="Times New Roman" w:cs="Times New Roman"/>
          <w:sz w:val="22"/>
          <w:szCs w:val="22"/>
          <w:lang w:val="ro-MD"/>
        </w:rPr>
        <w:t>menţionat</w:t>
      </w:r>
      <w:proofErr w:type="spellEnd"/>
      <w:r w:rsidRPr="000508B6">
        <w:rPr>
          <w:rStyle w:val="l5def2"/>
          <w:rFonts w:ascii="Times New Roman" w:hAnsi="Times New Roman" w:cs="Times New Roman"/>
          <w:sz w:val="22"/>
          <w:szCs w:val="22"/>
          <w:lang w:val="ro-MD"/>
        </w:rPr>
        <w:t xml:space="preserve"> la art. </w:t>
      </w:r>
      <w:r w:rsidR="00B87AEA" w:rsidRPr="000508B6">
        <w:rPr>
          <w:rStyle w:val="l5def2"/>
          <w:rFonts w:ascii="Times New Roman" w:hAnsi="Times New Roman" w:cs="Times New Roman"/>
          <w:sz w:val="22"/>
          <w:szCs w:val="22"/>
          <w:lang w:val="ro-MD"/>
        </w:rPr>
        <w:t>156</w:t>
      </w:r>
      <w:r w:rsidRPr="000508B6">
        <w:rPr>
          <w:rStyle w:val="l5def2"/>
          <w:rFonts w:ascii="Times New Roman" w:hAnsi="Times New Roman" w:cs="Times New Roman"/>
          <w:sz w:val="22"/>
          <w:szCs w:val="22"/>
          <w:lang w:val="ro-MD"/>
        </w:rPr>
        <w:t xml:space="preserve"> alin. (2) </w:t>
      </w:r>
      <w:proofErr w:type="spellStart"/>
      <w:r w:rsidRPr="000508B6">
        <w:rPr>
          <w:rStyle w:val="l5def2"/>
          <w:rFonts w:ascii="Times New Roman" w:hAnsi="Times New Roman" w:cs="Times New Roman"/>
          <w:sz w:val="22"/>
          <w:szCs w:val="22"/>
          <w:lang w:val="ro-MD"/>
        </w:rPr>
        <w:t>şi</w:t>
      </w:r>
      <w:proofErr w:type="spellEnd"/>
      <w:r w:rsidRPr="000508B6">
        <w:rPr>
          <w:rStyle w:val="l5def2"/>
          <w:rFonts w:ascii="Times New Roman" w:hAnsi="Times New Roman" w:cs="Times New Roman"/>
          <w:sz w:val="22"/>
          <w:szCs w:val="22"/>
          <w:lang w:val="ro-MD"/>
        </w:rPr>
        <w:t xml:space="preserve"> planul de </w:t>
      </w:r>
      <w:proofErr w:type="spellStart"/>
      <w:r w:rsidRPr="000508B6">
        <w:rPr>
          <w:rStyle w:val="l5def2"/>
          <w:rFonts w:ascii="Times New Roman" w:hAnsi="Times New Roman" w:cs="Times New Roman"/>
          <w:sz w:val="22"/>
          <w:szCs w:val="22"/>
          <w:lang w:val="ro-MD"/>
        </w:rPr>
        <w:t>finanţare</w:t>
      </w:r>
      <w:proofErr w:type="spellEnd"/>
      <w:r w:rsidRPr="000508B6">
        <w:rPr>
          <w:rStyle w:val="l5def2"/>
          <w:rFonts w:ascii="Times New Roman" w:hAnsi="Times New Roman" w:cs="Times New Roman"/>
          <w:sz w:val="22"/>
          <w:szCs w:val="22"/>
          <w:lang w:val="ro-MD"/>
        </w:rPr>
        <w:t xml:space="preserve"> menționat la art. </w:t>
      </w:r>
      <w:r w:rsidR="00B87AEA" w:rsidRPr="000508B6">
        <w:rPr>
          <w:rStyle w:val="l5def2"/>
          <w:rFonts w:ascii="Times New Roman" w:hAnsi="Times New Roman" w:cs="Times New Roman"/>
          <w:sz w:val="22"/>
          <w:szCs w:val="22"/>
          <w:lang w:val="ro-MD"/>
        </w:rPr>
        <w:t>157</w:t>
      </w:r>
      <w:r w:rsidRPr="000508B6">
        <w:rPr>
          <w:rStyle w:val="l5def2"/>
          <w:rFonts w:ascii="Times New Roman" w:hAnsi="Times New Roman" w:cs="Times New Roman"/>
          <w:sz w:val="22"/>
          <w:szCs w:val="22"/>
          <w:lang w:val="ro-MD"/>
        </w:rPr>
        <w:t xml:space="preserve"> alin. (</w:t>
      </w:r>
      <w:r w:rsidR="00F7484C" w:rsidRPr="000508B6">
        <w:rPr>
          <w:rStyle w:val="l5def2"/>
          <w:rFonts w:ascii="Times New Roman" w:hAnsi="Times New Roman" w:cs="Times New Roman"/>
          <w:sz w:val="22"/>
          <w:szCs w:val="22"/>
          <w:lang w:val="ro-MD"/>
        </w:rPr>
        <w:t>3</w:t>
      </w:r>
      <w:r w:rsidRPr="000508B6">
        <w:rPr>
          <w:rStyle w:val="l5def2"/>
          <w:rFonts w:ascii="Times New Roman" w:hAnsi="Times New Roman" w:cs="Times New Roman"/>
          <w:sz w:val="22"/>
          <w:szCs w:val="22"/>
          <w:lang w:val="ro-MD"/>
        </w:rPr>
        <w:t>) reflectă în mod documentat următoarele:</w:t>
      </w:r>
    </w:p>
    <w:p w14:paraId="49E5E353" w14:textId="77777777" w:rsidR="00F558C2" w:rsidRPr="000508B6" w:rsidRDefault="00F558C2" w:rsidP="00A65BC7">
      <w:pPr>
        <w:pStyle w:val="Listparagraf"/>
        <w:numPr>
          <w:ilvl w:val="2"/>
          <w:numId w:val="184"/>
        </w:numPr>
        <w:tabs>
          <w:tab w:val="left" w:pos="709"/>
          <w:tab w:val="left" w:pos="851"/>
        </w:tabs>
        <w:spacing w:after="0" w:line="240" w:lineRule="auto"/>
        <w:ind w:left="0" w:firstLine="426"/>
        <w:jc w:val="both"/>
        <w:rPr>
          <w:rFonts w:ascii="Times New Roman" w:hAnsi="Times New Roman" w:cs="Times New Roman"/>
          <w:lang w:val="ro-MD"/>
        </w:rPr>
      </w:pPr>
      <w:r w:rsidRPr="000508B6">
        <w:rPr>
          <w:rStyle w:val="l5def3"/>
          <w:rFonts w:ascii="Times New Roman" w:hAnsi="Times New Roman" w:cs="Times New Roman"/>
          <w:sz w:val="22"/>
          <w:szCs w:val="22"/>
          <w:lang w:val="ro-MD"/>
        </w:rPr>
        <w:t xml:space="preserve">estimarea cheltuielilor de administrare, în special a cheltuielilor generale curente </w:t>
      </w:r>
      <w:proofErr w:type="spellStart"/>
      <w:r w:rsidRPr="000508B6">
        <w:rPr>
          <w:rStyle w:val="l5def3"/>
          <w:rFonts w:ascii="Times New Roman" w:hAnsi="Times New Roman" w:cs="Times New Roman"/>
          <w:sz w:val="22"/>
          <w:szCs w:val="22"/>
          <w:lang w:val="ro-MD"/>
        </w:rPr>
        <w:t>şi</w:t>
      </w:r>
      <w:proofErr w:type="spellEnd"/>
      <w:r w:rsidRPr="000508B6">
        <w:rPr>
          <w:rStyle w:val="l5def3"/>
          <w:rFonts w:ascii="Times New Roman" w:hAnsi="Times New Roman" w:cs="Times New Roman"/>
          <w:sz w:val="22"/>
          <w:szCs w:val="22"/>
          <w:lang w:val="ro-MD"/>
        </w:rPr>
        <w:t xml:space="preserve"> a comisioanelor;</w:t>
      </w:r>
    </w:p>
    <w:p w14:paraId="134ED2C1" w14:textId="77777777" w:rsidR="00F558C2" w:rsidRPr="000508B6" w:rsidRDefault="00F558C2" w:rsidP="00A65BC7">
      <w:pPr>
        <w:pStyle w:val="Listparagraf"/>
        <w:numPr>
          <w:ilvl w:val="2"/>
          <w:numId w:val="184"/>
        </w:numPr>
        <w:tabs>
          <w:tab w:val="left" w:pos="709"/>
          <w:tab w:val="left" w:pos="851"/>
        </w:tabs>
        <w:spacing w:after="0" w:line="240" w:lineRule="auto"/>
        <w:ind w:left="0" w:firstLine="426"/>
        <w:jc w:val="both"/>
        <w:rPr>
          <w:rFonts w:ascii="Times New Roman" w:hAnsi="Times New Roman" w:cs="Times New Roman"/>
          <w:lang w:val="ro-MD"/>
        </w:rPr>
      </w:pPr>
      <w:r w:rsidRPr="000508B6">
        <w:rPr>
          <w:rStyle w:val="l5def4"/>
          <w:rFonts w:ascii="Times New Roman" w:hAnsi="Times New Roman" w:cs="Times New Roman"/>
          <w:sz w:val="22"/>
          <w:szCs w:val="22"/>
          <w:lang w:val="ro-MD"/>
        </w:rPr>
        <w:t xml:space="preserve">estimarea veniturilor </w:t>
      </w:r>
      <w:proofErr w:type="spellStart"/>
      <w:r w:rsidRPr="000508B6">
        <w:rPr>
          <w:rStyle w:val="l5def4"/>
          <w:rFonts w:ascii="Times New Roman" w:hAnsi="Times New Roman" w:cs="Times New Roman"/>
          <w:sz w:val="22"/>
          <w:szCs w:val="22"/>
          <w:lang w:val="ro-MD"/>
        </w:rPr>
        <w:t>şi</w:t>
      </w:r>
      <w:proofErr w:type="spellEnd"/>
      <w:r w:rsidRPr="000508B6">
        <w:rPr>
          <w:rStyle w:val="l5def4"/>
          <w:rFonts w:ascii="Times New Roman" w:hAnsi="Times New Roman" w:cs="Times New Roman"/>
          <w:sz w:val="22"/>
          <w:szCs w:val="22"/>
          <w:lang w:val="ro-MD"/>
        </w:rPr>
        <w:t xml:space="preserve"> a cheltuielilor legate de activitatea directă, de acceptările </w:t>
      </w:r>
      <w:proofErr w:type="spellStart"/>
      <w:r w:rsidRPr="000508B6">
        <w:rPr>
          <w:rStyle w:val="l5def4"/>
          <w:rFonts w:ascii="Times New Roman" w:hAnsi="Times New Roman" w:cs="Times New Roman"/>
          <w:sz w:val="22"/>
          <w:szCs w:val="22"/>
          <w:lang w:val="ro-MD"/>
        </w:rPr>
        <w:t>şi</w:t>
      </w:r>
      <w:proofErr w:type="spellEnd"/>
      <w:r w:rsidRPr="000508B6">
        <w:rPr>
          <w:rStyle w:val="l5def4"/>
          <w:rFonts w:ascii="Times New Roman" w:hAnsi="Times New Roman" w:cs="Times New Roman"/>
          <w:sz w:val="22"/>
          <w:szCs w:val="22"/>
          <w:lang w:val="ro-MD"/>
        </w:rPr>
        <w:t xml:space="preserve"> de cedările în reasigurare;</w:t>
      </w:r>
    </w:p>
    <w:p w14:paraId="51F7E34B" w14:textId="77777777" w:rsidR="00F558C2" w:rsidRPr="000508B6" w:rsidRDefault="00F558C2" w:rsidP="00A65BC7">
      <w:pPr>
        <w:pStyle w:val="Listparagraf"/>
        <w:numPr>
          <w:ilvl w:val="2"/>
          <w:numId w:val="184"/>
        </w:numPr>
        <w:tabs>
          <w:tab w:val="left" w:pos="709"/>
          <w:tab w:val="left" w:pos="851"/>
        </w:tabs>
        <w:spacing w:after="0" w:line="240" w:lineRule="auto"/>
        <w:ind w:left="0" w:firstLine="426"/>
        <w:jc w:val="both"/>
        <w:rPr>
          <w:rFonts w:ascii="Times New Roman" w:hAnsi="Times New Roman" w:cs="Times New Roman"/>
          <w:lang w:val="ro-MD"/>
        </w:rPr>
      </w:pPr>
      <w:r w:rsidRPr="000508B6">
        <w:rPr>
          <w:rStyle w:val="l5def5"/>
          <w:rFonts w:ascii="Times New Roman" w:hAnsi="Times New Roman" w:cs="Times New Roman"/>
          <w:color w:val="auto"/>
          <w:sz w:val="22"/>
          <w:szCs w:val="22"/>
          <w:lang w:val="ro-MD"/>
        </w:rPr>
        <w:t xml:space="preserve">un </w:t>
      </w:r>
      <w:proofErr w:type="spellStart"/>
      <w:r w:rsidRPr="000508B6">
        <w:rPr>
          <w:rStyle w:val="l5def5"/>
          <w:rFonts w:ascii="Times New Roman" w:hAnsi="Times New Roman" w:cs="Times New Roman"/>
          <w:color w:val="auto"/>
          <w:sz w:val="22"/>
          <w:szCs w:val="22"/>
          <w:lang w:val="ro-MD"/>
        </w:rPr>
        <w:t>bilanţ</w:t>
      </w:r>
      <w:proofErr w:type="spellEnd"/>
      <w:r w:rsidRPr="000508B6">
        <w:rPr>
          <w:rStyle w:val="l5def5"/>
          <w:rFonts w:ascii="Times New Roman" w:hAnsi="Times New Roman" w:cs="Times New Roman"/>
          <w:color w:val="auto"/>
          <w:sz w:val="22"/>
          <w:szCs w:val="22"/>
          <w:lang w:val="ro-MD"/>
        </w:rPr>
        <w:t xml:space="preserve"> previzional;</w:t>
      </w:r>
    </w:p>
    <w:p w14:paraId="2DD7A264" w14:textId="77777777" w:rsidR="00F558C2" w:rsidRPr="000508B6" w:rsidRDefault="00F558C2" w:rsidP="00A65BC7">
      <w:pPr>
        <w:pStyle w:val="Listparagraf"/>
        <w:numPr>
          <w:ilvl w:val="2"/>
          <w:numId w:val="184"/>
        </w:numPr>
        <w:tabs>
          <w:tab w:val="left" w:pos="709"/>
          <w:tab w:val="left" w:pos="851"/>
        </w:tabs>
        <w:spacing w:after="0" w:line="240" w:lineRule="auto"/>
        <w:ind w:left="0" w:firstLine="426"/>
        <w:jc w:val="both"/>
        <w:rPr>
          <w:rFonts w:ascii="Times New Roman" w:hAnsi="Times New Roman" w:cs="Times New Roman"/>
          <w:lang w:val="ro-MD"/>
        </w:rPr>
      </w:pPr>
      <w:r w:rsidRPr="000508B6">
        <w:rPr>
          <w:rStyle w:val="l5def6"/>
          <w:rFonts w:ascii="Times New Roman" w:hAnsi="Times New Roman" w:cs="Times New Roman"/>
          <w:sz w:val="22"/>
          <w:szCs w:val="22"/>
          <w:lang w:val="ro-MD"/>
        </w:rPr>
        <w:t xml:space="preserve">estimarea resurselor financiare care urmează să </w:t>
      </w:r>
      <w:r w:rsidRPr="000508B6">
        <w:rPr>
          <w:rStyle w:val="l5def6"/>
          <w:rFonts w:ascii="Times New Roman" w:hAnsi="Times New Roman" w:cs="Times New Roman"/>
          <w:color w:val="auto"/>
          <w:sz w:val="22"/>
          <w:szCs w:val="22"/>
          <w:lang w:val="ro-MD"/>
        </w:rPr>
        <w:t xml:space="preserve">acopere rezervele tehnice, SCR </w:t>
      </w:r>
      <w:proofErr w:type="spellStart"/>
      <w:r w:rsidRPr="000508B6">
        <w:rPr>
          <w:rStyle w:val="l5def6"/>
          <w:rFonts w:ascii="Times New Roman" w:hAnsi="Times New Roman" w:cs="Times New Roman"/>
          <w:color w:val="auto"/>
          <w:sz w:val="22"/>
          <w:szCs w:val="22"/>
          <w:lang w:val="ro-MD"/>
        </w:rPr>
        <w:t>şi</w:t>
      </w:r>
      <w:proofErr w:type="spellEnd"/>
      <w:r w:rsidRPr="000508B6">
        <w:rPr>
          <w:rStyle w:val="l5def6"/>
          <w:rFonts w:ascii="Times New Roman" w:hAnsi="Times New Roman" w:cs="Times New Roman"/>
          <w:color w:val="auto"/>
          <w:sz w:val="22"/>
          <w:szCs w:val="22"/>
          <w:lang w:val="ro-MD"/>
        </w:rPr>
        <w:t xml:space="preserve"> MCR;</w:t>
      </w:r>
    </w:p>
    <w:p w14:paraId="447DB09E" w14:textId="77777777" w:rsidR="00F558C2" w:rsidRPr="000508B6" w:rsidRDefault="00F558C2" w:rsidP="00A65BC7">
      <w:pPr>
        <w:pStyle w:val="Listparagraf"/>
        <w:numPr>
          <w:ilvl w:val="2"/>
          <w:numId w:val="184"/>
        </w:numPr>
        <w:tabs>
          <w:tab w:val="left" w:pos="709"/>
          <w:tab w:val="left" w:pos="851"/>
        </w:tabs>
        <w:spacing w:after="0" w:line="240" w:lineRule="auto"/>
        <w:ind w:left="0" w:firstLine="426"/>
        <w:jc w:val="both"/>
        <w:rPr>
          <w:rStyle w:val="l5def7"/>
          <w:rFonts w:ascii="Times New Roman" w:hAnsi="Times New Roman" w:cs="Times New Roman"/>
          <w:color w:val="auto"/>
          <w:sz w:val="22"/>
          <w:szCs w:val="22"/>
          <w:lang w:val="ro-MD"/>
        </w:rPr>
      </w:pPr>
      <w:r w:rsidRPr="000508B6">
        <w:rPr>
          <w:rStyle w:val="l5def7"/>
          <w:rFonts w:ascii="Times New Roman" w:hAnsi="Times New Roman" w:cs="Times New Roman"/>
          <w:color w:val="auto"/>
          <w:sz w:val="22"/>
          <w:szCs w:val="22"/>
          <w:lang w:val="ro-MD"/>
        </w:rPr>
        <w:t>politica privind reasigurarea;</w:t>
      </w:r>
    </w:p>
    <w:p w14:paraId="24ED7285" w14:textId="2B3F3CF6" w:rsidR="00F558C2" w:rsidRPr="000508B6" w:rsidRDefault="00F558C2" w:rsidP="00A65BC7">
      <w:pPr>
        <w:pStyle w:val="Listparagraf"/>
        <w:numPr>
          <w:ilvl w:val="2"/>
          <w:numId w:val="184"/>
        </w:numPr>
        <w:tabs>
          <w:tab w:val="left" w:pos="709"/>
          <w:tab w:val="left" w:pos="851"/>
        </w:tabs>
        <w:spacing w:after="0" w:line="240" w:lineRule="auto"/>
        <w:ind w:left="0" w:firstLine="426"/>
        <w:jc w:val="both"/>
        <w:rPr>
          <w:rFonts w:ascii="Times New Roman" w:hAnsi="Times New Roman" w:cs="Times New Roman"/>
          <w:lang w:val="ro-MD"/>
        </w:rPr>
      </w:pPr>
      <w:r w:rsidRPr="000508B6">
        <w:rPr>
          <w:rStyle w:val="l5def7"/>
          <w:rFonts w:ascii="Times New Roman" w:hAnsi="Times New Roman" w:cs="Times New Roman"/>
          <w:color w:val="auto"/>
          <w:sz w:val="22"/>
          <w:szCs w:val="22"/>
          <w:lang w:val="ro-MD"/>
        </w:rPr>
        <w:t xml:space="preserve">alte elemente stabilite prin prevederile legale. </w:t>
      </w:r>
    </w:p>
    <w:p w14:paraId="444F18FB" w14:textId="06551640" w:rsidR="00F558C2" w:rsidRPr="000508B6" w:rsidRDefault="00AA4B35" w:rsidP="00A65BC7">
      <w:pPr>
        <w:pStyle w:val="Listparagraf"/>
        <w:numPr>
          <w:ilvl w:val="1"/>
          <w:numId w:val="184"/>
        </w:numPr>
        <w:tabs>
          <w:tab w:val="left" w:pos="709"/>
          <w:tab w:val="left" w:pos="851"/>
        </w:tabs>
        <w:spacing w:after="0" w:line="240" w:lineRule="auto"/>
        <w:ind w:left="0" w:firstLine="426"/>
        <w:jc w:val="both"/>
        <w:rPr>
          <w:rFonts w:ascii="Times New Roman" w:hAnsi="Times New Roman" w:cs="Times New Roman"/>
          <w:b/>
          <w:lang w:val="ro-MD"/>
        </w:rPr>
      </w:pPr>
      <w:r w:rsidRPr="000508B6">
        <w:rPr>
          <w:rFonts w:ascii="Times New Roman" w:hAnsi="Times New Roman" w:cs="Times New Roman"/>
          <w:lang w:val="ro-MD"/>
        </w:rPr>
        <w:t>Î</w:t>
      </w:r>
      <w:r w:rsidR="001C79D9" w:rsidRPr="000508B6">
        <w:rPr>
          <w:rFonts w:ascii="Times New Roman" w:hAnsi="Times New Roman" w:cs="Times New Roman"/>
          <w:lang w:val="ro-MD"/>
        </w:rPr>
        <w:t xml:space="preserve">n cazul in care, în cadrul procesului de supraveghere, </w:t>
      </w:r>
      <w:r w:rsidRPr="000508B6">
        <w:rPr>
          <w:rFonts w:ascii="Times New Roman" w:hAnsi="Times New Roman" w:cs="Times New Roman"/>
          <w:lang w:val="ro-MD"/>
        </w:rPr>
        <w:t xml:space="preserve">Banca Națională a Moldovei </w:t>
      </w:r>
      <w:r w:rsidR="001C79D9" w:rsidRPr="000508B6">
        <w:rPr>
          <w:rFonts w:ascii="Times New Roman" w:hAnsi="Times New Roman" w:cs="Times New Roman"/>
          <w:lang w:val="ro-MD"/>
        </w:rPr>
        <w:t>constată o situație de nerespectare a SCR/MCR, aceasta emite o decizie</w:t>
      </w:r>
      <w:r w:rsidR="00F558C2" w:rsidRPr="000508B6">
        <w:rPr>
          <w:rFonts w:ascii="Times New Roman" w:hAnsi="Times New Roman" w:cs="Times New Roman"/>
          <w:lang w:val="ro-MD"/>
        </w:rPr>
        <w:t>,</w:t>
      </w:r>
      <w:r w:rsidR="00F558C2" w:rsidRPr="000508B6" w:rsidDel="001C79D9">
        <w:rPr>
          <w:rFonts w:ascii="Times New Roman" w:hAnsi="Times New Roman" w:cs="Times New Roman"/>
          <w:lang w:val="ro-MD"/>
        </w:rPr>
        <w:t xml:space="preserve"> </w:t>
      </w:r>
      <w:r w:rsidRPr="000508B6">
        <w:rPr>
          <w:rFonts w:ascii="Times New Roman" w:hAnsi="Times New Roman" w:cs="Times New Roman"/>
          <w:lang w:val="ro-MD"/>
        </w:rPr>
        <w:t xml:space="preserve">în </w:t>
      </w:r>
      <w:r w:rsidR="00F558C2" w:rsidRPr="000508B6">
        <w:rPr>
          <w:rFonts w:ascii="Times New Roman" w:hAnsi="Times New Roman" w:cs="Times New Roman"/>
          <w:lang w:val="ro-MD"/>
        </w:rPr>
        <w:t xml:space="preserve">acest sens, iar data constatării situației, menționată la art. </w:t>
      </w:r>
      <w:r w:rsidR="00B87AEA" w:rsidRPr="000508B6">
        <w:rPr>
          <w:rStyle w:val="l5def2"/>
          <w:rFonts w:ascii="Times New Roman" w:hAnsi="Times New Roman" w:cs="Times New Roman"/>
          <w:sz w:val="22"/>
          <w:szCs w:val="22"/>
          <w:lang w:val="ro-MD"/>
        </w:rPr>
        <w:t>156</w:t>
      </w:r>
      <w:r w:rsidR="00F558C2" w:rsidRPr="000508B6">
        <w:rPr>
          <w:rFonts w:ascii="Times New Roman" w:hAnsi="Times New Roman" w:cs="Times New Roman"/>
          <w:lang w:val="ro-MD"/>
        </w:rPr>
        <w:t xml:space="preserve"> alin. (2) și art. </w:t>
      </w:r>
      <w:r w:rsidR="00B87AEA" w:rsidRPr="000508B6">
        <w:rPr>
          <w:rStyle w:val="l5def2"/>
          <w:rFonts w:ascii="Times New Roman" w:hAnsi="Times New Roman" w:cs="Times New Roman"/>
          <w:sz w:val="22"/>
          <w:szCs w:val="22"/>
          <w:lang w:val="ro-MD"/>
        </w:rPr>
        <w:t>157</w:t>
      </w:r>
      <w:r w:rsidR="00F558C2" w:rsidRPr="000508B6">
        <w:rPr>
          <w:rFonts w:ascii="Times New Roman" w:hAnsi="Times New Roman" w:cs="Times New Roman"/>
          <w:lang w:val="ro-MD"/>
        </w:rPr>
        <w:t xml:space="preserve"> alin. (</w:t>
      </w:r>
      <w:r w:rsidR="005E178E" w:rsidRPr="000508B6">
        <w:rPr>
          <w:rFonts w:ascii="Times New Roman" w:hAnsi="Times New Roman" w:cs="Times New Roman"/>
          <w:lang w:val="ro-MD"/>
        </w:rPr>
        <w:t>3</w:t>
      </w:r>
      <w:r w:rsidR="00F558C2" w:rsidRPr="000508B6">
        <w:rPr>
          <w:rFonts w:ascii="Times New Roman" w:hAnsi="Times New Roman" w:cs="Times New Roman"/>
          <w:lang w:val="ro-MD"/>
        </w:rPr>
        <w:t xml:space="preserve">), de la care începe să curgă termenul de transmitere la Banca Națională a Moldovei a planului de redresare și/sau a planului de finanțare pe termen scurt este data comunicării către </w:t>
      </w:r>
      <w:r w:rsidR="00CA4D95" w:rsidRPr="000508B6">
        <w:rPr>
          <w:rFonts w:ascii="Times New Roman" w:hAnsi="Times New Roman" w:cs="Times New Roman"/>
          <w:lang w:val="ro-MD"/>
        </w:rPr>
        <w:t xml:space="preserve">asigurătorul sau </w:t>
      </w:r>
      <w:proofErr w:type="spellStart"/>
      <w:r w:rsidR="00CA4D95" w:rsidRPr="000508B6">
        <w:rPr>
          <w:rFonts w:ascii="Times New Roman" w:hAnsi="Times New Roman" w:cs="Times New Roman"/>
          <w:lang w:val="ro-MD"/>
        </w:rPr>
        <w:t>reasigurătorul</w:t>
      </w:r>
      <w:proofErr w:type="spellEnd"/>
      <w:r w:rsidR="00CA4D95" w:rsidRPr="000508B6">
        <w:rPr>
          <w:rFonts w:ascii="Times New Roman" w:hAnsi="Times New Roman" w:cs="Times New Roman"/>
          <w:lang w:val="ro-MD"/>
        </w:rPr>
        <w:t xml:space="preserve"> </w:t>
      </w:r>
      <w:r w:rsidR="00F558C2" w:rsidRPr="000508B6">
        <w:rPr>
          <w:rFonts w:ascii="Times New Roman" w:hAnsi="Times New Roman" w:cs="Times New Roman"/>
          <w:lang w:val="ro-MD"/>
        </w:rPr>
        <w:t>a deciziei respective.</w:t>
      </w:r>
    </w:p>
    <w:p w14:paraId="297E25A9" w14:textId="77777777" w:rsidR="00F558C2" w:rsidRPr="000508B6" w:rsidRDefault="00F558C2" w:rsidP="00A65BC7">
      <w:pPr>
        <w:pStyle w:val="Listparagraf"/>
        <w:numPr>
          <w:ilvl w:val="1"/>
          <w:numId w:val="184"/>
        </w:numPr>
        <w:tabs>
          <w:tab w:val="left" w:pos="709"/>
          <w:tab w:val="left" w:pos="851"/>
        </w:tabs>
        <w:spacing w:after="0" w:line="240" w:lineRule="auto"/>
        <w:ind w:left="0" w:firstLine="426"/>
        <w:jc w:val="both"/>
        <w:rPr>
          <w:rFonts w:ascii="Times New Roman" w:hAnsi="Times New Roman" w:cs="Times New Roman"/>
          <w:b/>
          <w:lang w:val="ro-MD"/>
        </w:rPr>
      </w:pPr>
      <w:r w:rsidRPr="000508B6">
        <w:rPr>
          <w:rFonts w:ascii="Times New Roman" w:hAnsi="Times New Roman" w:cs="Times New Roman"/>
          <w:lang w:val="ro-MD"/>
        </w:rPr>
        <w:t>Banca Națională a Moldovei respinge planul de redresare și/sau planul de finanțare, prin decizie motivată, în situația în care apreciază că nu există perspective rezonabile pentru ca implementarea acestuia să aibă ca rezultat restabilirea durabilă a situației de respectare a SCR sau, după caz, a MCR ori dacă estimările, informațiile și/sau măsurile prezentate sunt nerealiste, incomplete sau insuficient documentate și astfel planul este neadecvat.</w:t>
      </w:r>
    </w:p>
    <w:p w14:paraId="67777B04" w14:textId="51C7755E" w:rsidR="00F558C2" w:rsidRPr="000508B6" w:rsidRDefault="00F558C2" w:rsidP="00A65BC7">
      <w:pPr>
        <w:pStyle w:val="Listparagraf"/>
        <w:numPr>
          <w:ilvl w:val="1"/>
          <w:numId w:val="184"/>
        </w:numPr>
        <w:tabs>
          <w:tab w:val="left" w:pos="709"/>
          <w:tab w:val="left" w:pos="851"/>
          <w:tab w:val="left" w:pos="993"/>
        </w:tabs>
        <w:spacing w:after="0" w:line="240" w:lineRule="auto"/>
        <w:ind w:left="0" w:firstLine="426"/>
        <w:jc w:val="both"/>
        <w:rPr>
          <w:rFonts w:ascii="Times New Roman" w:hAnsi="Times New Roman" w:cs="Times New Roman"/>
          <w:b/>
          <w:lang w:val="ro-MD"/>
        </w:rPr>
      </w:pPr>
      <w:r w:rsidRPr="000508B6">
        <w:rPr>
          <w:rFonts w:ascii="Times New Roman" w:hAnsi="Times New Roman" w:cs="Times New Roman"/>
          <w:lang w:val="ro-MD"/>
        </w:rPr>
        <w:t xml:space="preserve">În situația în care Banca Națională a Moldovei respinge planul,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poate solicita aprobarea unui nou plan, cu condiția ca acesta să fie depus în termenul de două luni prevăzut la art. </w:t>
      </w:r>
      <w:r w:rsidR="00D14063" w:rsidRPr="000508B6">
        <w:rPr>
          <w:rStyle w:val="l5def2"/>
          <w:rFonts w:ascii="Times New Roman" w:hAnsi="Times New Roman" w:cs="Times New Roman"/>
          <w:sz w:val="22"/>
          <w:szCs w:val="22"/>
          <w:lang w:val="ro-MD"/>
        </w:rPr>
        <w:t>156</w:t>
      </w:r>
      <w:r w:rsidR="00D14063" w:rsidRPr="000508B6">
        <w:rPr>
          <w:rStyle w:val="l5def2"/>
          <w:rFonts w:ascii="Times New Roman" w:hAnsi="Times New Roman" w:cs="Times New Roman"/>
          <w:sz w:val="22"/>
          <w:szCs w:val="22"/>
          <w:vertAlign w:val="superscript"/>
          <w:lang w:val="ro-MD"/>
        </w:rPr>
        <w:t xml:space="preserve"> </w:t>
      </w:r>
      <w:r w:rsidRPr="000508B6">
        <w:rPr>
          <w:rFonts w:ascii="Times New Roman" w:hAnsi="Times New Roman" w:cs="Times New Roman"/>
          <w:lang w:val="ro-MD"/>
        </w:rPr>
        <w:t xml:space="preserve">alin. (2), respectiv în termenul de o lună prevăzut la art. </w:t>
      </w:r>
      <w:r w:rsidR="00D14063" w:rsidRPr="000508B6">
        <w:rPr>
          <w:rStyle w:val="l5def2"/>
          <w:rFonts w:ascii="Times New Roman" w:hAnsi="Times New Roman" w:cs="Times New Roman"/>
          <w:sz w:val="22"/>
          <w:szCs w:val="22"/>
          <w:lang w:val="ro-MD"/>
        </w:rPr>
        <w:t>157</w:t>
      </w:r>
      <w:r w:rsidR="00D14063" w:rsidRPr="000508B6">
        <w:rPr>
          <w:rStyle w:val="l5def2"/>
          <w:rFonts w:ascii="Times New Roman" w:hAnsi="Times New Roman" w:cs="Times New Roman"/>
          <w:sz w:val="22"/>
          <w:szCs w:val="22"/>
          <w:vertAlign w:val="superscript"/>
          <w:lang w:val="ro-MD"/>
        </w:rPr>
        <w:t xml:space="preserve"> </w:t>
      </w:r>
      <w:r w:rsidRPr="000508B6">
        <w:rPr>
          <w:rFonts w:ascii="Times New Roman" w:hAnsi="Times New Roman" w:cs="Times New Roman"/>
          <w:lang w:val="ro-MD"/>
        </w:rPr>
        <w:t>alin. (</w:t>
      </w:r>
      <w:r w:rsidR="00D14063" w:rsidRPr="000508B6">
        <w:rPr>
          <w:rFonts w:ascii="Times New Roman" w:hAnsi="Times New Roman" w:cs="Times New Roman"/>
          <w:lang w:val="ro-MD"/>
        </w:rPr>
        <w:t>3</w:t>
      </w:r>
      <w:r w:rsidRPr="000508B6">
        <w:rPr>
          <w:rFonts w:ascii="Times New Roman" w:hAnsi="Times New Roman" w:cs="Times New Roman"/>
          <w:lang w:val="ro-MD"/>
        </w:rPr>
        <w:t>), după caz</w:t>
      </w:r>
      <w:r w:rsidR="006C77A3" w:rsidRPr="000508B6">
        <w:rPr>
          <w:rFonts w:ascii="Times New Roman" w:hAnsi="Times New Roman" w:cs="Times New Roman"/>
          <w:lang w:val="ro-MD"/>
        </w:rPr>
        <w:t xml:space="preserve">. Prevederile </w:t>
      </w:r>
      <w:r w:rsidRPr="000508B6">
        <w:rPr>
          <w:rFonts w:ascii="Times New Roman" w:hAnsi="Times New Roman" w:cs="Times New Roman"/>
          <w:lang w:val="ro-MD"/>
        </w:rPr>
        <w:t>alin. (1) și (3) se aplică în mod corespunzător și în ceea ce privește noul plan.</w:t>
      </w:r>
    </w:p>
    <w:p w14:paraId="280FAD60" w14:textId="77777777" w:rsidR="00F558C2" w:rsidRPr="000508B6" w:rsidRDefault="00F558C2" w:rsidP="00612A67">
      <w:pPr>
        <w:spacing w:after="0" w:line="240" w:lineRule="auto"/>
        <w:rPr>
          <w:rFonts w:ascii="Times New Roman" w:eastAsia="Times New Roman" w:hAnsi="Times New Roman" w:cs="Times New Roman"/>
          <w:b/>
          <w:lang w:val="ro-MD"/>
        </w:rPr>
      </w:pPr>
    </w:p>
    <w:p w14:paraId="13DE1A21" w14:textId="77777777" w:rsidR="00F558C2" w:rsidRPr="000508B6" w:rsidRDefault="00F558C2" w:rsidP="00F558C2">
      <w:pPr>
        <w:spacing w:after="0" w:line="240" w:lineRule="auto"/>
        <w:ind w:firstLine="426"/>
        <w:contextualSpacing/>
        <w:jc w:val="center"/>
        <w:rPr>
          <w:rFonts w:ascii="Times New Roman" w:hAnsi="Times New Roman" w:cs="Times New Roman"/>
          <w:b/>
          <w:lang w:val="ro-MD"/>
        </w:rPr>
      </w:pPr>
      <w:r w:rsidRPr="000508B6">
        <w:rPr>
          <w:rFonts w:ascii="Times New Roman" w:hAnsi="Times New Roman" w:cs="Times New Roman"/>
          <w:b/>
          <w:lang w:val="ro-MD"/>
        </w:rPr>
        <w:t>Secțiunea a 2-a</w:t>
      </w:r>
    </w:p>
    <w:p w14:paraId="4A9D1691" w14:textId="7FB05D7E" w:rsidR="00F558C2" w:rsidRPr="000508B6" w:rsidRDefault="00F558C2" w:rsidP="00F558C2">
      <w:pPr>
        <w:spacing w:after="0" w:line="240" w:lineRule="auto"/>
        <w:ind w:firstLine="426"/>
        <w:contextualSpacing/>
        <w:jc w:val="center"/>
        <w:rPr>
          <w:rFonts w:ascii="Times New Roman" w:hAnsi="Times New Roman" w:cs="Times New Roman"/>
          <w:b/>
          <w:lang w:val="ro-MD"/>
        </w:rPr>
      </w:pPr>
      <w:r w:rsidRPr="000508B6">
        <w:rPr>
          <w:rFonts w:ascii="Times New Roman" w:hAnsi="Times New Roman" w:cs="Times New Roman"/>
          <w:b/>
          <w:lang w:val="ro-MD"/>
        </w:rPr>
        <w:t xml:space="preserve">Măsuri de </w:t>
      </w:r>
      <w:r w:rsidR="00FB5515" w:rsidRPr="000508B6">
        <w:rPr>
          <w:rFonts w:ascii="Times New Roman" w:hAnsi="Times New Roman" w:cs="Times New Roman"/>
          <w:b/>
          <w:lang w:val="ro-MD"/>
        </w:rPr>
        <w:t>reorganizare</w:t>
      </w:r>
    </w:p>
    <w:p w14:paraId="07778375" w14:textId="77777777" w:rsidR="00F558C2" w:rsidRPr="000508B6" w:rsidRDefault="00F558C2" w:rsidP="00F558C2">
      <w:pPr>
        <w:spacing w:after="0" w:line="240" w:lineRule="auto"/>
        <w:ind w:firstLine="426"/>
        <w:contextualSpacing/>
        <w:jc w:val="center"/>
        <w:rPr>
          <w:rFonts w:ascii="Times New Roman" w:hAnsi="Times New Roman" w:cs="Times New Roman"/>
          <w:b/>
          <w:lang w:val="ro-MD"/>
        </w:rPr>
      </w:pPr>
    </w:p>
    <w:p w14:paraId="0EFADD9F" w14:textId="7E33FB5E" w:rsidR="00F558C2" w:rsidRPr="000508B6" w:rsidRDefault="00F558C2" w:rsidP="00F558C2">
      <w:pPr>
        <w:spacing w:after="0" w:line="240" w:lineRule="auto"/>
        <w:ind w:firstLine="426"/>
        <w:contextualSpacing/>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7C2440" w:rsidRPr="000508B6">
        <w:rPr>
          <w:rFonts w:ascii="Times New Roman" w:hAnsi="Times New Roman" w:cs="Times New Roman"/>
          <w:b/>
          <w:lang w:val="ro-MD"/>
        </w:rPr>
        <w:t>160</w:t>
      </w:r>
      <w:r w:rsidR="00A749F2" w:rsidRPr="000508B6">
        <w:rPr>
          <w:rFonts w:ascii="Times New Roman" w:hAnsi="Times New Roman" w:cs="Times New Roman"/>
          <w:b/>
          <w:lang w:val="ro-MD"/>
        </w:rPr>
        <w:t>.</w:t>
      </w:r>
      <w:r w:rsidR="007C2440" w:rsidRPr="000508B6">
        <w:rPr>
          <w:rFonts w:ascii="Times New Roman" w:hAnsi="Times New Roman" w:cs="Times New Roman"/>
          <w:b/>
          <w:lang w:val="ro-MD"/>
        </w:rPr>
        <w:t xml:space="preserve"> </w:t>
      </w:r>
      <w:r w:rsidRPr="000508B6">
        <w:rPr>
          <w:rFonts w:ascii="Times New Roman" w:hAnsi="Times New Roman" w:cs="Times New Roman"/>
          <w:lang w:val="ro-MD"/>
        </w:rPr>
        <w:t xml:space="preserve">Adoptarea măsurilor de </w:t>
      </w:r>
      <w:r w:rsidR="003F47B6" w:rsidRPr="000508B6">
        <w:rPr>
          <w:rFonts w:ascii="Times New Roman" w:hAnsi="Times New Roman" w:cs="Times New Roman"/>
          <w:lang w:val="ro-MD"/>
        </w:rPr>
        <w:t>reorganizare</w:t>
      </w:r>
      <w:r w:rsidR="003F47B6" w:rsidRPr="000508B6">
        <w:rPr>
          <w:rFonts w:ascii="Times New Roman" w:hAnsi="Times New Roman" w:cs="Times New Roman"/>
          <w:b/>
          <w:lang w:val="ro-MD"/>
        </w:rPr>
        <w:t xml:space="preserve"> </w:t>
      </w:r>
    </w:p>
    <w:p w14:paraId="4914E67E" w14:textId="316C7629" w:rsidR="00F558C2" w:rsidRPr="000508B6" w:rsidRDefault="00F558C2" w:rsidP="00CF5AFA">
      <w:pPr>
        <w:pStyle w:val="Listparagraf"/>
        <w:numPr>
          <w:ilvl w:val="1"/>
          <w:numId w:val="18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este </w:t>
      </w:r>
      <w:r w:rsidR="00EA79F2" w:rsidRPr="000508B6">
        <w:rPr>
          <w:rFonts w:ascii="Times New Roman" w:hAnsi="Times New Roman" w:cs="Times New Roman"/>
          <w:lang w:val="ro-MD"/>
        </w:rPr>
        <w:t>autoritatea care</w:t>
      </w:r>
      <w:r w:rsidRPr="000508B6">
        <w:rPr>
          <w:rFonts w:ascii="Times New Roman" w:hAnsi="Times New Roman" w:cs="Times New Roman"/>
          <w:lang w:val="ro-MD"/>
        </w:rPr>
        <w:t xml:space="preserve"> </w:t>
      </w:r>
      <w:r w:rsidR="00DB728E" w:rsidRPr="000508B6">
        <w:rPr>
          <w:rFonts w:ascii="Times New Roman" w:hAnsi="Times New Roman" w:cs="Times New Roman"/>
          <w:lang w:val="ro-MD"/>
        </w:rPr>
        <w:t xml:space="preserve">decide în cazul unui </w:t>
      </w:r>
      <w:r w:rsidR="00A749F2" w:rsidRPr="000508B6">
        <w:rPr>
          <w:rFonts w:ascii="Times New Roman" w:hAnsi="Times New Roman" w:cs="Times New Roman"/>
          <w:lang w:val="ro-MD"/>
        </w:rPr>
        <w:t>asigurător</w:t>
      </w:r>
      <w:r w:rsidR="00DB728E" w:rsidRPr="000508B6">
        <w:rPr>
          <w:rFonts w:ascii="Times New Roman" w:hAnsi="Times New Roman" w:cs="Times New Roman"/>
          <w:lang w:val="ro-MD"/>
        </w:rPr>
        <w:t xml:space="preserve">, inclusiv al sucursalelor sale, </w:t>
      </w:r>
      <w:r w:rsidRPr="000508B6">
        <w:rPr>
          <w:rFonts w:ascii="Times New Roman" w:hAnsi="Times New Roman" w:cs="Times New Roman"/>
          <w:lang w:val="ro-MD"/>
        </w:rPr>
        <w:t xml:space="preserve">aplicarea măsurilor de </w:t>
      </w:r>
      <w:r w:rsidR="003F47B6" w:rsidRPr="000508B6">
        <w:rPr>
          <w:rFonts w:ascii="Times New Roman" w:hAnsi="Times New Roman" w:cs="Times New Roman"/>
          <w:lang w:val="ro-MD"/>
        </w:rPr>
        <w:t>reorganizare</w:t>
      </w:r>
      <w:r w:rsidRPr="000508B6">
        <w:rPr>
          <w:rFonts w:ascii="Times New Roman" w:hAnsi="Times New Roman" w:cs="Times New Roman"/>
          <w:lang w:val="ro-MD"/>
        </w:rPr>
        <w:t xml:space="preserve">, </w:t>
      </w:r>
      <w:r w:rsidR="00DF1661" w:rsidRPr="000508B6">
        <w:rPr>
          <w:rFonts w:ascii="Times New Roman" w:hAnsi="Times New Roman" w:cs="Times New Roman"/>
          <w:lang w:val="ro-MD"/>
        </w:rPr>
        <w:t xml:space="preserve">monitorizează </w:t>
      </w:r>
      <w:r w:rsidRPr="000508B6">
        <w:rPr>
          <w:rFonts w:ascii="Times New Roman" w:hAnsi="Times New Roman" w:cs="Times New Roman"/>
          <w:lang w:val="ro-MD"/>
        </w:rPr>
        <w:t xml:space="preserve">stadiul implementării măsurilor și evoluția situației financiare a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precum și  decid</w:t>
      </w:r>
      <w:r w:rsidR="00120095" w:rsidRPr="000508B6">
        <w:rPr>
          <w:rFonts w:ascii="Times New Roman" w:hAnsi="Times New Roman" w:cs="Times New Roman"/>
          <w:lang w:val="ro-MD"/>
        </w:rPr>
        <w:t>e</w:t>
      </w:r>
      <w:r w:rsidRPr="000508B6">
        <w:rPr>
          <w:rFonts w:ascii="Times New Roman" w:hAnsi="Times New Roman" w:cs="Times New Roman"/>
          <w:lang w:val="ro-MD"/>
        </w:rPr>
        <w:t xml:space="preserve"> cu privire la încetarea acestora</w:t>
      </w:r>
      <w:r w:rsidR="00710AE6" w:rsidRPr="000508B6">
        <w:rPr>
          <w:rFonts w:ascii="Times New Roman" w:hAnsi="Times New Roman" w:cs="Times New Roman"/>
          <w:lang w:val="ro-MD"/>
        </w:rPr>
        <w:t>.</w:t>
      </w:r>
    </w:p>
    <w:p w14:paraId="41DB3F6C" w14:textId="403F71F0" w:rsidR="00F558C2" w:rsidRPr="000508B6" w:rsidRDefault="00F558C2" w:rsidP="00CF5AFA">
      <w:pPr>
        <w:pStyle w:val="Listparagraf"/>
        <w:numPr>
          <w:ilvl w:val="1"/>
          <w:numId w:val="18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lang w:val="ro-MD"/>
        </w:rPr>
        <w:t xml:space="preserve">Măsurile de </w:t>
      </w:r>
      <w:r w:rsidR="003F47B6" w:rsidRPr="000508B6">
        <w:rPr>
          <w:rFonts w:ascii="Times New Roman" w:hAnsi="Times New Roman" w:cs="Times New Roman"/>
          <w:bCs/>
          <w:lang w:val="ro-MD"/>
        </w:rPr>
        <w:t xml:space="preserve">reorganizare </w:t>
      </w:r>
      <w:r w:rsidRPr="000508B6">
        <w:rPr>
          <w:rFonts w:ascii="Times New Roman" w:hAnsi="Times New Roman" w:cs="Times New Roman"/>
          <w:bCs/>
          <w:lang w:val="ro-MD"/>
        </w:rPr>
        <w:t xml:space="preserve">nu împiedică deschiderea unei proceduri de lichidare a </w:t>
      </w:r>
      <w:r w:rsidR="004125E8" w:rsidRPr="000508B6">
        <w:rPr>
          <w:rFonts w:ascii="Times New Roman" w:hAnsi="Times New Roman" w:cs="Times New Roman"/>
          <w:bCs/>
          <w:lang w:val="ro-MD"/>
        </w:rPr>
        <w:t>asigurătorului</w:t>
      </w:r>
      <w:r w:rsidRPr="000508B6">
        <w:rPr>
          <w:rFonts w:ascii="Times New Roman" w:hAnsi="Times New Roman" w:cs="Times New Roman"/>
          <w:bCs/>
          <w:lang w:val="ro-MD"/>
        </w:rPr>
        <w:t>.</w:t>
      </w:r>
    </w:p>
    <w:p w14:paraId="3DCE4C80" w14:textId="6FA678B4" w:rsidR="008A7B33" w:rsidRPr="000508B6" w:rsidRDefault="004B4210" w:rsidP="00CF5AFA">
      <w:pPr>
        <w:pStyle w:val="Listparagraf"/>
        <w:numPr>
          <w:ilvl w:val="1"/>
          <w:numId w:val="18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lang w:val="ro-MD"/>
        </w:rPr>
        <w:t xml:space="preserve">Măsurile de reorganizare sunt reglementate de </w:t>
      </w:r>
      <w:r w:rsidR="008A7B33" w:rsidRPr="000508B6">
        <w:rPr>
          <w:rFonts w:ascii="Times New Roman" w:hAnsi="Times New Roman" w:cs="Times New Roman"/>
          <w:lang w:val="ro-MD"/>
        </w:rPr>
        <w:t>prezenta</w:t>
      </w:r>
      <w:r w:rsidRPr="000508B6">
        <w:rPr>
          <w:rFonts w:ascii="Times New Roman" w:hAnsi="Times New Roman" w:cs="Times New Roman"/>
          <w:lang w:val="ro-MD"/>
        </w:rPr>
        <w:t xml:space="preserve"> lege, cu excepția unei </w:t>
      </w:r>
      <w:r w:rsidR="008A7B33" w:rsidRPr="000508B6">
        <w:rPr>
          <w:rFonts w:ascii="Times New Roman" w:hAnsi="Times New Roman" w:cs="Times New Roman"/>
          <w:lang w:val="ro-MD"/>
        </w:rPr>
        <w:t>prevederi</w:t>
      </w:r>
      <w:r w:rsidRPr="000508B6">
        <w:rPr>
          <w:rFonts w:ascii="Times New Roman" w:hAnsi="Times New Roman" w:cs="Times New Roman"/>
          <w:lang w:val="ro-MD"/>
        </w:rPr>
        <w:t xml:space="preserve"> contrare prevăzute la art</w:t>
      </w:r>
      <w:r w:rsidR="002C0070" w:rsidRPr="000508B6">
        <w:rPr>
          <w:rFonts w:ascii="Times New Roman" w:hAnsi="Times New Roman" w:cs="Times New Roman"/>
          <w:lang w:val="ro-MD"/>
        </w:rPr>
        <w:t>.</w:t>
      </w:r>
      <w:r w:rsidRPr="000508B6">
        <w:rPr>
          <w:rFonts w:ascii="Times New Roman" w:hAnsi="Times New Roman" w:cs="Times New Roman"/>
          <w:lang w:val="ro-MD"/>
        </w:rPr>
        <w:t xml:space="preserve"> </w:t>
      </w:r>
      <w:r w:rsidR="002C0070" w:rsidRPr="000508B6">
        <w:rPr>
          <w:rFonts w:ascii="Times New Roman" w:hAnsi="Times New Roman" w:cs="Times New Roman"/>
          <w:lang w:val="ro-MD"/>
        </w:rPr>
        <w:t>162, art. 163 și art. 167 alin. (</w:t>
      </w:r>
      <w:r w:rsidR="00C703F5" w:rsidRPr="000508B6">
        <w:rPr>
          <w:rFonts w:ascii="Times New Roman" w:hAnsi="Times New Roman" w:cs="Times New Roman"/>
          <w:lang w:val="ro-MD"/>
        </w:rPr>
        <w:t>2</w:t>
      </w:r>
      <w:r w:rsidR="00A178B4" w:rsidRPr="000508B6">
        <w:rPr>
          <w:rFonts w:ascii="Times New Roman" w:hAnsi="Times New Roman" w:cs="Times New Roman"/>
          <w:lang w:val="ro-MD"/>
        </w:rPr>
        <w:t>1</w:t>
      </w:r>
      <w:r w:rsidR="002C0070" w:rsidRPr="000508B6">
        <w:rPr>
          <w:rFonts w:ascii="Times New Roman" w:hAnsi="Times New Roman" w:cs="Times New Roman"/>
          <w:lang w:val="ro-MD"/>
        </w:rPr>
        <w:t>)</w:t>
      </w:r>
      <w:r w:rsidRPr="000508B6">
        <w:rPr>
          <w:rFonts w:ascii="Times New Roman" w:hAnsi="Times New Roman" w:cs="Times New Roman"/>
          <w:lang w:val="ro-MD"/>
        </w:rPr>
        <w:t>.</w:t>
      </w:r>
    </w:p>
    <w:p w14:paraId="58150103" w14:textId="5D02CE37" w:rsidR="00F558C2" w:rsidRPr="000508B6" w:rsidRDefault="00F558C2" w:rsidP="00CF5AFA">
      <w:pPr>
        <w:pStyle w:val="Listparagraf"/>
        <w:numPr>
          <w:ilvl w:val="1"/>
          <w:numId w:val="18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lang w:val="ro-MD"/>
        </w:rPr>
        <w:t>Măsurile de</w:t>
      </w:r>
      <w:r w:rsidRPr="000508B6" w:rsidDel="003F47B6">
        <w:rPr>
          <w:rFonts w:ascii="Times New Roman" w:hAnsi="Times New Roman" w:cs="Times New Roman"/>
          <w:bCs/>
          <w:lang w:val="ro-MD"/>
        </w:rPr>
        <w:t xml:space="preserve"> </w:t>
      </w:r>
      <w:r w:rsidR="003F47B6" w:rsidRPr="000508B6">
        <w:rPr>
          <w:rFonts w:ascii="Times New Roman" w:hAnsi="Times New Roman" w:cs="Times New Roman"/>
          <w:bCs/>
          <w:lang w:val="ro-MD"/>
        </w:rPr>
        <w:t>reorganizare</w:t>
      </w:r>
      <w:r w:rsidRPr="000508B6">
        <w:rPr>
          <w:rFonts w:ascii="Times New Roman" w:hAnsi="Times New Roman" w:cs="Times New Roman"/>
          <w:bCs/>
          <w:lang w:val="ro-MD"/>
        </w:rPr>
        <w:t xml:space="preserve"> luate în conformitate cu legislația </w:t>
      </w:r>
      <w:r w:rsidR="00DB728E" w:rsidRPr="000508B6">
        <w:rPr>
          <w:rFonts w:ascii="Times New Roman" w:hAnsi="Times New Roman" w:cs="Times New Roman"/>
          <w:bCs/>
          <w:lang w:val="ro-MD"/>
        </w:rPr>
        <w:t>națională</w:t>
      </w:r>
      <w:r w:rsidRPr="000508B6">
        <w:rPr>
          <w:rFonts w:ascii="Times New Roman" w:hAnsi="Times New Roman" w:cs="Times New Roman"/>
          <w:bCs/>
          <w:lang w:val="ro-MD"/>
        </w:rPr>
        <w:t xml:space="preserve"> au efect în întreaga </w:t>
      </w:r>
      <w:r w:rsidR="00CD78F1" w:rsidRPr="000508B6">
        <w:rPr>
          <w:rFonts w:ascii="Times New Roman" w:hAnsi="Times New Roman" w:cs="Times New Roman"/>
          <w:bCs/>
          <w:lang w:val="ro-MD"/>
        </w:rPr>
        <w:t xml:space="preserve">Uniune Europeană </w:t>
      </w:r>
      <w:r w:rsidRPr="000508B6">
        <w:rPr>
          <w:rFonts w:ascii="Times New Roman" w:hAnsi="Times New Roman" w:cs="Times New Roman"/>
          <w:bCs/>
          <w:lang w:val="ro-MD"/>
        </w:rPr>
        <w:t>fără alte formalități, inclusiv în ceea ce privește terții din alte state membre, chiar dacă legislația acelor state membre nu prevede astfel de măsuri de reorganizare sau subordonează aplicarea lor unor condiții care nu sunt îndeplinite.</w:t>
      </w:r>
    </w:p>
    <w:p w14:paraId="38D4B817" w14:textId="4FADFF80" w:rsidR="00F558C2" w:rsidRPr="000508B6" w:rsidRDefault="00F558C2" w:rsidP="00CF5AFA">
      <w:pPr>
        <w:pStyle w:val="Listparagraf"/>
        <w:numPr>
          <w:ilvl w:val="1"/>
          <w:numId w:val="18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lang w:val="ro-MD"/>
        </w:rPr>
        <w:t xml:space="preserve">Măsurile de </w:t>
      </w:r>
      <w:r w:rsidR="003F47B6" w:rsidRPr="000508B6">
        <w:rPr>
          <w:rFonts w:ascii="Times New Roman" w:hAnsi="Times New Roman" w:cs="Times New Roman"/>
          <w:bCs/>
          <w:lang w:val="ro-MD"/>
        </w:rPr>
        <w:t xml:space="preserve">reorganizare </w:t>
      </w:r>
      <w:r w:rsidRPr="000508B6">
        <w:rPr>
          <w:rFonts w:ascii="Times New Roman" w:hAnsi="Times New Roman" w:cs="Times New Roman"/>
          <w:bCs/>
          <w:lang w:val="ro-MD"/>
        </w:rPr>
        <w:t xml:space="preserve">au efect în întreaga </w:t>
      </w:r>
      <w:r w:rsidR="00CD78F1" w:rsidRPr="000508B6">
        <w:rPr>
          <w:rFonts w:ascii="Times New Roman" w:hAnsi="Times New Roman" w:cs="Times New Roman"/>
          <w:bCs/>
          <w:lang w:val="ro-MD"/>
        </w:rPr>
        <w:t xml:space="preserve">Uniune Europeană </w:t>
      </w:r>
      <w:r w:rsidRPr="000508B6">
        <w:rPr>
          <w:rFonts w:ascii="Times New Roman" w:hAnsi="Times New Roman" w:cs="Times New Roman"/>
          <w:bCs/>
          <w:lang w:val="ro-MD"/>
        </w:rPr>
        <w:t xml:space="preserve">din momentul în care acestea au efect în </w:t>
      </w:r>
      <w:r w:rsidR="004B4210" w:rsidRPr="000508B6">
        <w:rPr>
          <w:rFonts w:ascii="Times New Roman" w:hAnsi="Times New Roman" w:cs="Times New Roman"/>
          <w:bCs/>
          <w:lang w:val="ro-MD"/>
        </w:rPr>
        <w:t>Republica Moldova</w:t>
      </w:r>
      <w:r w:rsidRPr="000508B6">
        <w:rPr>
          <w:rFonts w:ascii="Times New Roman" w:hAnsi="Times New Roman" w:cs="Times New Roman"/>
          <w:bCs/>
          <w:lang w:val="ro-MD"/>
        </w:rPr>
        <w:t>.</w:t>
      </w:r>
    </w:p>
    <w:p w14:paraId="7263BF92" w14:textId="536FAC5B" w:rsidR="000D1EFA" w:rsidRPr="000508B6" w:rsidRDefault="00AF103E" w:rsidP="00CF5AFA">
      <w:pPr>
        <w:pStyle w:val="Listparagraf"/>
        <w:numPr>
          <w:ilvl w:val="1"/>
          <w:numId w:val="18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Banca Națională a Moldovei informează de urgență supraveghetorii din state</w:t>
      </w:r>
      <w:r w:rsidR="0004349B" w:rsidRPr="000508B6">
        <w:rPr>
          <w:rFonts w:ascii="Times New Roman" w:hAnsi="Times New Roman" w:cs="Times New Roman"/>
          <w:bCs/>
          <w:lang w:val="ro-MD"/>
        </w:rPr>
        <w:t>le</w:t>
      </w:r>
      <w:r w:rsidRPr="000508B6">
        <w:rPr>
          <w:rFonts w:ascii="Times New Roman" w:hAnsi="Times New Roman" w:cs="Times New Roman"/>
          <w:bCs/>
          <w:lang w:val="ro-MD"/>
        </w:rPr>
        <w:t xml:space="preserve">  membre  cu privire la decizia de a adopta măsuri de reorganizare față de un asigurător, inclusiv efectele concrete posibile ale unor astfel de măsuri</w:t>
      </w:r>
      <w:r w:rsidR="000D1EFA" w:rsidRPr="000508B6">
        <w:rPr>
          <w:rFonts w:ascii="Times New Roman" w:hAnsi="Times New Roman" w:cs="Times New Roman"/>
          <w:bCs/>
          <w:lang w:val="ro-MD"/>
        </w:rPr>
        <w:t xml:space="preserve">. </w:t>
      </w:r>
    </w:p>
    <w:p w14:paraId="012609B2" w14:textId="77777777" w:rsidR="0019003C" w:rsidRPr="0090557B" w:rsidRDefault="0019003C" w:rsidP="0019003C">
      <w:pPr>
        <w:pStyle w:val="Listparagraf"/>
        <w:numPr>
          <w:ilvl w:val="1"/>
          <w:numId w:val="180"/>
        </w:numPr>
        <w:spacing w:after="0" w:line="240" w:lineRule="auto"/>
        <w:ind w:left="0" w:firstLine="426"/>
        <w:jc w:val="both"/>
        <w:rPr>
          <w:rFonts w:ascii="Times New Roman" w:hAnsi="Times New Roman" w:cs="Times New Roman"/>
          <w:lang w:val="ro-MD"/>
        </w:rPr>
      </w:pPr>
      <w:r w:rsidRPr="0090557B">
        <w:rPr>
          <w:rFonts w:ascii="Times New Roman" w:hAnsi="Times New Roman" w:cs="Times New Roman"/>
          <w:lang w:val="ro-MD"/>
        </w:rPr>
        <w:lastRenderedPageBreak/>
        <w:t xml:space="preserve">Cerințele față administrator numit de către Banca Națională a Moldovei în vederea gestionării măsurilor de reorganizare sunt stabilite în actele normative ale Băncii Naționale a Moldovei.  </w:t>
      </w:r>
    </w:p>
    <w:p w14:paraId="0E8B310E" w14:textId="77777777" w:rsidR="0019003C" w:rsidRPr="000508B6" w:rsidRDefault="0019003C" w:rsidP="0019003C">
      <w:pPr>
        <w:pStyle w:val="Listparagraf"/>
        <w:spacing w:after="0" w:line="240" w:lineRule="auto"/>
        <w:ind w:left="426"/>
        <w:jc w:val="both"/>
        <w:rPr>
          <w:rFonts w:ascii="Times New Roman" w:hAnsi="Times New Roman" w:cs="Times New Roman"/>
          <w:lang w:val="ro-MD"/>
        </w:rPr>
      </w:pPr>
    </w:p>
    <w:p w14:paraId="084B73A9" w14:textId="77777777" w:rsidR="00F558C2" w:rsidRPr="000508B6" w:rsidRDefault="00F558C2" w:rsidP="00EF7697">
      <w:pPr>
        <w:spacing w:after="0" w:line="240" w:lineRule="auto"/>
        <w:contextualSpacing/>
        <w:rPr>
          <w:rFonts w:ascii="Times New Roman" w:hAnsi="Times New Roman" w:cs="Times New Roman"/>
          <w:b/>
          <w:lang w:val="ro-MD"/>
        </w:rPr>
      </w:pPr>
    </w:p>
    <w:p w14:paraId="51A0DDC1" w14:textId="199710E4" w:rsidR="00F558C2" w:rsidRPr="000508B6" w:rsidRDefault="00F558C2" w:rsidP="00D54150">
      <w:pPr>
        <w:spacing w:after="0" w:line="240" w:lineRule="auto"/>
        <w:ind w:firstLine="426"/>
        <w:contextualSpacing/>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562D38" w:rsidRPr="000508B6">
        <w:rPr>
          <w:rFonts w:ascii="Times New Roman" w:hAnsi="Times New Roman" w:cs="Times New Roman"/>
          <w:b/>
          <w:lang w:val="ro-MD"/>
        </w:rPr>
        <w:t>161</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Publicarea deciziilor privind măsurile de </w:t>
      </w:r>
      <w:r w:rsidR="00224A4B" w:rsidRPr="000508B6">
        <w:rPr>
          <w:rFonts w:ascii="Times New Roman" w:hAnsi="Times New Roman" w:cs="Times New Roman"/>
          <w:lang w:val="ro-MD"/>
        </w:rPr>
        <w:t>reorganizare</w:t>
      </w:r>
      <w:r w:rsidR="00E2485F" w:rsidRPr="000508B6">
        <w:rPr>
          <w:rFonts w:ascii="Times New Roman" w:hAnsi="Times New Roman" w:cs="Times New Roman"/>
          <w:lang w:val="ro-MD"/>
        </w:rPr>
        <w:t>. Informarea creditorilor cunoscuți</w:t>
      </w:r>
      <w:r w:rsidR="00224A4B" w:rsidRPr="000508B6">
        <w:rPr>
          <w:rFonts w:ascii="Times New Roman" w:hAnsi="Times New Roman" w:cs="Times New Roman"/>
          <w:lang w:val="ro-MD"/>
        </w:rPr>
        <w:t xml:space="preserve">  </w:t>
      </w:r>
    </w:p>
    <w:p w14:paraId="23681A45" w14:textId="2660BD50" w:rsidR="00F558C2" w:rsidRPr="000508B6" w:rsidRDefault="00F558C2" w:rsidP="00CF5AFA">
      <w:pPr>
        <w:pStyle w:val="Listparagraf"/>
        <w:numPr>
          <w:ilvl w:val="1"/>
          <w:numId w:val="187"/>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Deciziile de aplicare a măsurilor de </w:t>
      </w:r>
      <w:r w:rsidR="00224A4B" w:rsidRPr="000508B6">
        <w:rPr>
          <w:rFonts w:ascii="Times New Roman" w:hAnsi="Times New Roman" w:cs="Times New Roman"/>
          <w:lang w:val="ro-MD"/>
        </w:rPr>
        <w:t>reorganizare</w:t>
      </w:r>
      <w:r w:rsidRPr="000508B6">
        <w:rPr>
          <w:rFonts w:ascii="Times New Roman" w:hAnsi="Times New Roman" w:cs="Times New Roman"/>
          <w:lang w:val="ro-MD"/>
        </w:rPr>
        <w:t xml:space="preserve">, de numire a administratorului, respectiv de încetare a mandatului acestuia, se publică </w:t>
      </w:r>
      <w:r w:rsidR="00031BF9" w:rsidRPr="000508B6">
        <w:rPr>
          <w:rFonts w:ascii="Times New Roman" w:hAnsi="Times New Roman" w:cs="Times New Roman"/>
          <w:lang w:val="ro-MD"/>
        </w:rPr>
        <w:t>potrivit prevederilor art. 11</w:t>
      </w:r>
      <w:r w:rsidR="00031BF9" w:rsidRPr="000508B6">
        <w:rPr>
          <w:rFonts w:ascii="Times New Roman" w:hAnsi="Times New Roman" w:cs="Times New Roman"/>
          <w:vertAlign w:val="superscript"/>
          <w:lang w:val="ro-MD"/>
        </w:rPr>
        <w:t>2</w:t>
      </w:r>
      <w:r w:rsidR="00031BF9" w:rsidRPr="000508B6">
        <w:rPr>
          <w:rFonts w:ascii="Times New Roman" w:hAnsi="Times New Roman" w:cs="Times New Roman"/>
          <w:lang w:val="ro-MD"/>
        </w:rPr>
        <w:t xml:space="preserve"> din Legea nr. 548/1995</w:t>
      </w:r>
      <w:r w:rsidRPr="000508B6">
        <w:rPr>
          <w:rFonts w:ascii="Times New Roman" w:hAnsi="Times New Roman" w:cs="Times New Roman"/>
          <w:lang w:val="ro-MD"/>
        </w:rPr>
        <w:t xml:space="preserve">. </w:t>
      </w:r>
    </w:p>
    <w:p w14:paraId="6BC484C8" w14:textId="17F127F8" w:rsidR="00F558C2" w:rsidRPr="000508B6" w:rsidRDefault="00F558C2" w:rsidP="00CF5AFA">
      <w:pPr>
        <w:pStyle w:val="Listparagraf"/>
        <w:numPr>
          <w:ilvl w:val="1"/>
          <w:numId w:val="187"/>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w:t>
      </w:r>
      <w:r w:rsidR="0079573A" w:rsidRPr="000508B6">
        <w:rPr>
          <w:rFonts w:ascii="Times New Roman" w:hAnsi="Times New Roman" w:cs="Times New Roman"/>
          <w:lang w:val="ro-MD"/>
        </w:rPr>
        <w:t xml:space="preserve">cât mai repede posibil </w:t>
      </w:r>
      <w:r w:rsidRPr="000508B6">
        <w:rPr>
          <w:rFonts w:ascii="Times New Roman" w:hAnsi="Times New Roman" w:cs="Times New Roman"/>
          <w:lang w:val="ro-MD"/>
        </w:rPr>
        <w:t xml:space="preserve">spre publicare în Jurnalul Oficial al Uniunii Europene, în limba română, un extras din deciziile menționate la alin. (1). Extrasul menționează ca Banca Națională a Moldovei este autoritatea </w:t>
      </w:r>
      <w:r w:rsidR="0079573A" w:rsidRPr="000508B6">
        <w:rPr>
          <w:rFonts w:ascii="Times New Roman" w:hAnsi="Times New Roman" w:cs="Times New Roman"/>
          <w:lang w:val="ro-MD"/>
        </w:rPr>
        <w:t>care a emis</w:t>
      </w:r>
      <w:r w:rsidRPr="000508B6">
        <w:rPr>
          <w:rFonts w:ascii="Times New Roman" w:hAnsi="Times New Roman" w:cs="Times New Roman"/>
          <w:lang w:val="ro-MD"/>
        </w:rPr>
        <w:t xml:space="preserve"> </w:t>
      </w:r>
      <w:r w:rsidR="0079573A" w:rsidRPr="000508B6">
        <w:rPr>
          <w:rFonts w:ascii="Times New Roman" w:hAnsi="Times New Roman" w:cs="Times New Roman"/>
          <w:lang w:val="ro-MD"/>
        </w:rPr>
        <w:t>decizia</w:t>
      </w:r>
      <w:r w:rsidRPr="000508B6">
        <w:rPr>
          <w:rFonts w:ascii="Times New Roman" w:hAnsi="Times New Roman" w:cs="Times New Roman"/>
          <w:lang w:val="ro-MD"/>
        </w:rPr>
        <w:t xml:space="preserve"> în cauză, legea aplicabilă </w:t>
      </w:r>
      <w:r w:rsidR="00F6739C" w:rsidRPr="000508B6">
        <w:rPr>
          <w:rFonts w:ascii="Times New Roman" w:hAnsi="Times New Roman" w:cs="Times New Roman"/>
          <w:lang w:val="ro-MD"/>
        </w:rPr>
        <w:t xml:space="preserve">măsurii </w:t>
      </w:r>
      <w:r w:rsidRPr="000508B6">
        <w:rPr>
          <w:rFonts w:ascii="Times New Roman" w:hAnsi="Times New Roman" w:cs="Times New Roman"/>
          <w:lang w:val="ro-MD"/>
        </w:rPr>
        <w:t xml:space="preserve">de </w:t>
      </w:r>
      <w:r w:rsidR="00224A4B" w:rsidRPr="000508B6">
        <w:rPr>
          <w:rFonts w:ascii="Times New Roman" w:hAnsi="Times New Roman" w:cs="Times New Roman"/>
          <w:lang w:val="ro-MD"/>
        </w:rPr>
        <w:t xml:space="preserve">reorganizare </w:t>
      </w:r>
      <w:r w:rsidRPr="000508B6">
        <w:rPr>
          <w:rFonts w:ascii="Times New Roman" w:hAnsi="Times New Roman" w:cs="Times New Roman"/>
          <w:lang w:val="ro-MD"/>
        </w:rPr>
        <w:t xml:space="preserve">și denumirea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la care s-a dispus această procedură, precum și, dacă este cazul, administratorul numit la </w:t>
      </w:r>
      <w:r w:rsidR="003459E1" w:rsidRPr="000508B6">
        <w:rPr>
          <w:rFonts w:ascii="Times New Roman" w:hAnsi="Times New Roman" w:cs="Times New Roman"/>
          <w:lang w:val="ro-MD"/>
        </w:rPr>
        <w:t>asigurător</w:t>
      </w:r>
      <w:r w:rsidRPr="000508B6">
        <w:rPr>
          <w:rFonts w:ascii="Times New Roman" w:hAnsi="Times New Roman" w:cs="Times New Roman"/>
          <w:lang w:val="ro-MD"/>
        </w:rPr>
        <w:t xml:space="preserve">. </w:t>
      </w:r>
    </w:p>
    <w:p w14:paraId="6D26E3F1" w14:textId="601B71FF" w:rsidR="00F558C2" w:rsidRPr="000508B6" w:rsidRDefault="00F558C2" w:rsidP="00A749F2">
      <w:pPr>
        <w:pStyle w:val="Listparagraf"/>
        <w:numPr>
          <w:ilvl w:val="1"/>
          <w:numId w:val="18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este informată cu privire la adoptarea de către </w:t>
      </w:r>
      <w:r w:rsidR="00A1743E" w:rsidRPr="000508B6">
        <w:rPr>
          <w:rFonts w:ascii="Times New Roman" w:hAnsi="Times New Roman" w:cs="Times New Roman"/>
          <w:lang w:val="ro-MD"/>
        </w:rPr>
        <w:t xml:space="preserve">supraveghetorii </w:t>
      </w:r>
      <w:r w:rsidRPr="000508B6">
        <w:rPr>
          <w:rFonts w:ascii="Times New Roman" w:hAnsi="Times New Roman" w:cs="Times New Roman"/>
          <w:lang w:val="ro-MD"/>
        </w:rPr>
        <w:t xml:space="preserve">din statele membre a unor măsuri de </w:t>
      </w:r>
      <w:r w:rsidR="00224A4B" w:rsidRPr="000508B6">
        <w:rPr>
          <w:rFonts w:ascii="Times New Roman" w:hAnsi="Times New Roman" w:cs="Times New Roman"/>
          <w:lang w:val="ro-MD"/>
        </w:rPr>
        <w:t xml:space="preserve">reorganizare </w:t>
      </w:r>
      <w:r w:rsidRPr="000508B6">
        <w:rPr>
          <w:rFonts w:ascii="Times New Roman" w:hAnsi="Times New Roman" w:cs="Times New Roman"/>
          <w:lang w:val="ro-MD"/>
        </w:rPr>
        <w:t xml:space="preserve">la </w:t>
      </w:r>
      <w:r w:rsidR="00B36665" w:rsidRPr="000508B6">
        <w:rPr>
          <w:rFonts w:ascii="Times New Roman" w:hAnsi="Times New Roman" w:cs="Times New Roman"/>
          <w:lang w:val="ro-MD"/>
        </w:rPr>
        <w:t xml:space="preserve">asigurătorii </w:t>
      </w:r>
      <w:r w:rsidRPr="000508B6">
        <w:rPr>
          <w:rFonts w:ascii="Times New Roman" w:hAnsi="Times New Roman" w:cs="Times New Roman"/>
          <w:lang w:val="ro-MD"/>
        </w:rPr>
        <w:t xml:space="preserve">din acele state membre, în mod similar prevederilor alin. (1), Banca Națională a Moldovei asigură publicarea pe </w:t>
      </w:r>
      <w:r w:rsidR="006547EE" w:rsidRPr="000508B6">
        <w:rPr>
          <w:rFonts w:ascii="Times New Roman" w:hAnsi="Times New Roman" w:cs="Times New Roman"/>
          <w:lang w:val="ro-MD"/>
        </w:rPr>
        <w:t>pagina web oficială</w:t>
      </w:r>
      <w:r w:rsidRPr="000508B6">
        <w:rPr>
          <w:rFonts w:ascii="Times New Roman" w:hAnsi="Times New Roman" w:cs="Times New Roman"/>
          <w:lang w:val="ro-MD"/>
        </w:rPr>
        <w:t xml:space="preserve"> a respectivelor măsuri. </w:t>
      </w:r>
    </w:p>
    <w:p w14:paraId="080374FD" w14:textId="741B8DCA" w:rsidR="00F558C2" w:rsidRPr="000508B6" w:rsidRDefault="00F558C2" w:rsidP="00CF5AFA">
      <w:pPr>
        <w:pStyle w:val="Listparagraf"/>
        <w:numPr>
          <w:ilvl w:val="1"/>
          <w:numId w:val="187"/>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Măsurile de </w:t>
      </w:r>
      <w:r w:rsidR="00224A4B" w:rsidRPr="000508B6">
        <w:rPr>
          <w:rFonts w:ascii="Times New Roman" w:hAnsi="Times New Roman" w:cs="Times New Roman"/>
          <w:lang w:val="ro-MD"/>
        </w:rPr>
        <w:t xml:space="preserve">reorganizare </w:t>
      </w:r>
      <w:r w:rsidRPr="000508B6">
        <w:rPr>
          <w:rFonts w:ascii="Times New Roman" w:hAnsi="Times New Roman" w:cs="Times New Roman"/>
          <w:lang w:val="ro-MD"/>
        </w:rPr>
        <w:t xml:space="preserve">se aplică indiferent de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privind publicarea prevăzute la alin. (1) și (2)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îşi</w:t>
      </w:r>
      <w:proofErr w:type="spellEnd"/>
      <w:r w:rsidRPr="000508B6">
        <w:rPr>
          <w:rFonts w:ascii="Times New Roman" w:hAnsi="Times New Roman" w:cs="Times New Roman"/>
          <w:lang w:val="ro-MD"/>
        </w:rPr>
        <w:t xml:space="preserve"> produc toate efectele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creditorii. </w:t>
      </w:r>
    </w:p>
    <w:p w14:paraId="66E4CF88" w14:textId="740B6481" w:rsidR="00557126" w:rsidRPr="000508B6" w:rsidRDefault="00F558C2" w:rsidP="006547EE">
      <w:pPr>
        <w:pStyle w:val="Listparagraf"/>
        <w:numPr>
          <w:ilvl w:val="1"/>
          <w:numId w:val="187"/>
        </w:numPr>
        <w:tabs>
          <w:tab w:val="left" w:pos="284"/>
          <w:tab w:val="left" w:pos="426"/>
          <w:tab w:val="left" w:pos="709"/>
        </w:tabs>
        <w:ind w:left="0" w:firstLine="426"/>
        <w:rPr>
          <w:rFonts w:ascii="Times New Roman" w:hAnsi="Times New Roman" w:cs="Times New Roman"/>
          <w:lang w:val="ro-MD"/>
        </w:rPr>
      </w:pPr>
      <w:r w:rsidRPr="000508B6">
        <w:rPr>
          <w:rFonts w:ascii="Times New Roman" w:hAnsi="Times New Roman" w:cs="Times New Roman"/>
          <w:lang w:val="ro-MD"/>
        </w:rPr>
        <w:t xml:space="preserve">În cazul în care măsurile de </w:t>
      </w:r>
      <w:r w:rsidR="00224A4B" w:rsidRPr="000508B6">
        <w:rPr>
          <w:rFonts w:ascii="Times New Roman" w:hAnsi="Times New Roman" w:cs="Times New Roman"/>
          <w:lang w:val="ro-MD"/>
        </w:rPr>
        <w:t xml:space="preserve">reorganizare </w:t>
      </w:r>
      <w:r w:rsidRPr="000508B6">
        <w:rPr>
          <w:rFonts w:ascii="Times New Roman" w:hAnsi="Times New Roman" w:cs="Times New Roman"/>
          <w:lang w:val="ro-MD"/>
        </w:rPr>
        <w:t xml:space="preserve">afectează exclusiv drepturile acționarilor și/ sau angajaților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prevederile  </w:t>
      </w:r>
      <w:r w:rsidR="006F507D" w:rsidRPr="000508B6">
        <w:rPr>
          <w:rFonts w:ascii="Times New Roman" w:hAnsi="Times New Roman" w:cs="Times New Roman"/>
          <w:lang w:val="ro-MD"/>
        </w:rPr>
        <w:t>alin.</w:t>
      </w:r>
      <w:r w:rsidRPr="000508B6">
        <w:rPr>
          <w:rFonts w:ascii="Times New Roman" w:hAnsi="Times New Roman" w:cs="Times New Roman"/>
          <w:lang w:val="ro-MD"/>
        </w:rPr>
        <w:t xml:space="preserve"> (1), (2) și (3) nu se aplică</w:t>
      </w:r>
      <w:r w:rsidR="00406E3D" w:rsidRPr="000508B6">
        <w:rPr>
          <w:rFonts w:ascii="Times New Roman" w:hAnsi="Times New Roman" w:cs="Times New Roman"/>
          <w:lang w:val="ro-MD"/>
        </w:rPr>
        <w:t xml:space="preserve"> cu excepția cazului în care legea prevede altfel</w:t>
      </w:r>
      <w:r w:rsidRPr="000508B6">
        <w:rPr>
          <w:rFonts w:ascii="Times New Roman" w:hAnsi="Times New Roman" w:cs="Times New Roman"/>
          <w:lang w:val="ro-MD"/>
        </w:rPr>
        <w:t xml:space="preserve">. </w:t>
      </w:r>
    </w:p>
    <w:p w14:paraId="07ABB8B3" w14:textId="33D4569C" w:rsidR="00F558C2" w:rsidRPr="000508B6" w:rsidRDefault="00557126" w:rsidP="006547EE">
      <w:pPr>
        <w:pStyle w:val="Listparagraf"/>
        <w:numPr>
          <w:ilvl w:val="1"/>
          <w:numId w:val="187"/>
        </w:numPr>
        <w:tabs>
          <w:tab w:val="left" w:pos="284"/>
          <w:tab w:val="left" w:pos="426"/>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Despre cazurile prevăzute în alin. (5), asigurătorul publică informația pe pagina web oficiala sau face dovada  informării fiecărui acționar și/sau angajat al său. </w:t>
      </w:r>
    </w:p>
    <w:p w14:paraId="3EBBD9BB" w14:textId="41E2C60A" w:rsidR="00E2485F" w:rsidRPr="000508B6" w:rsidRDefault="004424F7" w:rsidP="006547EE">
      <w:pPr>
        <w:pStyle w:val="Listparagraf"/>
        <w:numPr>
          <w:ilvl w:val="1"/>
          <w:numId w:val="187"/>
        </w:numPr>
        <w:tabs>
          <w:tab w:val="left" w:pos="284"/>
          <w:tab w:val="left" w:pos="426"/>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Despre aplicarea măsurilor de reorganizare, asigurătorul informează fără întârziere printr-o notificare fiecare creditor cunoscut care are reședința obișnuită, domiciliul sau sediul central în Republica Moldova sau alt stat membru</w:t>
      </w:r>
      <w:r w:rsidR="008F74C0" w:rsidRPr="000508B6">
        <w:rPr>
          <w:rFonts w:ascii="Times New Roman" w:hAnsi="Times New Roman" w:cs="Times New Roman"/>
          <w:lang w:val="ro-MD"/>
        </w:rPr>
        <w:t xml:space="preserve">, în conformitate cu </w:t>
      </w:r>
      <w:r w:rsidR="004D3C96" w:rsidRPr="000508B6" w:rsidDel="00C703F5">
        <w:rPr>
          <w:rFonts w:ascii="Times New Roman" w:hAnsi="Times New Roman" w:cs="Times New Roman"/>
          <w:lang w:val="ro-MD"/>
        </w:rPr>
        <w:t xml:space="preserve">art. </w:t>
      </w:r>
      <w:r w:rsidR="004D3C96" w:rsidRPr="000508B6">
        <w:rPr>
          <w:rFonts w:ascii="Times New Roman" w:hAnsi="Times New Roman" w:cs="Times New Roman"/>
          <w:lang w:val="ro-MD"/>
        </w:rPr>
        <w:t>167</w:t>
      </w:r>
      <w:r w:rsidR="004D3C96" w:rsidRPr="000508B6" w:rsidDel="00C703F5">
        <w:rPr>
          <w:rFonts w:ascii="Times New Roman" w:hAnsi="Times New Roman" w:cs="Times New Roman"/>
          <w:lang w:val="ro-MD"/>
        </w:rPr>
        <w:t xml:space="preserve"> alin. </w:t>
      </w:r>
      <w:r w:rsidR="004D3C96" w:rsidRPr="000508B6">
        <w:rPr>
          <w:rFonts w:ascii="Times New Roman" w:hAnsi="Times New Roman" w:cs="Times New Roman"/>
          <w:lang w:val="ro-MD"/>
        </w:rPr>
        <w:t>(</w:t>
      </w:r>
      <w:r w:rsidR="00C703F5" w:rsidRPr="000508B6">
        <w:rPr>
          <w:rFonts w:ascii="Times New Roman" w:hAnsi="Times New Roman" w:cs="Times New Roman"/>
          <w:lang w:val="ro-MD"/>
        </w:rPr>
        <w:t>12</w:t>
      </w:r>
      <w:r w:rsidR="003C6290" w:rsidRPr="000508B6">
        <w:rPr>
          <w:rFonts w:ascii="Times New Roman" w:hAnsi="Times New Roman" w:cs="Times New Roman"/>
          <w:lang w:val="ro-MD"/>
        </w:rPr>
        <w:t>)</w:t>
      </w:r>
      <w:r w:rsidR="008F74C0" w:rsidRPr="000508B6">
        <w:rPr>
          <w:rFonts w:ascii="Times New Roman" w:hAnsi="Times New Roman" w:cs="Times New Roman"/>
          <w:lang w:val="ro-MD"/>
        </w:rPr>
        <w:t>.</w:t>
      </w:r>
      <w:r w:rsidR="003C6290" w:rsidRPr="000508B6">
        <w:rPr>
          <w:rFonts w:ascii="Times New Roman" w:hAnsi="Times New Roman" w:cs="Times New Roman"/>
          <w:lang w:val="ro-MD"/>
        </w:rPr>
        <w:t xml:space="preserve"> </w:t>
      </w:r>
    </w:p>
    <w:p w14:paraId="61D953A3" w14:textId="2871EA60" w:rsidR="00F558C2" w:rsidRPr="000508B6" w:rsidRDefault="004424F7" w:rsidP="00AF70C9">
      <w:pPr>
        <w:pStyle w:val="Listparagraf"/>
        <w:numPr>
          <w:ilvl w:val="1"/>
          <w:numId w:val="187"/>
        </w:numPr>
        <w:tabs>
          <w:tab w:val="left" w:pos="284"/>
          <w:tab w:val="left" w:pos="426"/>
          <w:tab w:val="left" w:pos="709"/>
        </w:tabs>
        <w:spacing w:after="0" w:line="240" w:lineRule="auto"/>
        <w:ind w:left="0" w:firstLine="426"/>
        <w:jc w:val="both"/>
        <w:rPr>
          <w:rFonts w:ascii="Times New Roman" w:hAnsi="Times New Roman" w:cs="Times New Roman"/>
          <w:b/>
          <w:lang w:val="ro-MD"/>
        </w:rPr>
      </w:pPr>
      <w:r w:rsidRPr="000508B6">
        <w:rPr>
          <w:rFonts w:ascii="Times New Roman" w:hAnsi="Times New Roman" w:cs="Times New Roman"/>
          <w:lang w:val="ro-MD"/>
        </w:rPr>
        <w:t xml:space="preserve">Orice creditor a cărui reședință obișnuită, domiciliu sau sediu central este situat într-un stat membru altul decât Republica Moldova, are dreptul de a prezenta creanțe sau de a prezenta observații scrise referitoare la creanțe în </w:t>
      </w:r>
      <w:r w:rsidR="008F74C0" w:rsidRPr="000508B6">
        <w:rPr>
          <w:rFonts w:ascii="Times New Roman" w:hAnsi="Times New Roman" w:cs="Times New Roman"/>
          <w:lang w:val="ro-MD"/>
        </w:rPr>
        <w:t xml:space="preserve">conformitate cu </w:t>
      </w:r>
      <w:r w:rsidR="004D3C96" w:rsidRPr="000508B6">
        <w:rPr>
          <w:rFonts w:ascii="Times New Roman" w:hAnsi="Times New Roman" w:cs="Times New Roman"/>
          <w:lang w:val="ro-MD"/>
        </w:rPr>
        <w:t>art.  167 alin. (</w:t>
      </w:r>
      <w:r w:rsidR="00C703F5" w:rsidRPr="000508B6">
        <w:rPr>
          <w:rFonts w:ascii="Times New Roman" w:hAnsi="Times New Roman" w:cs="Times New Roman"/>
          <w:lang w:val="ro-MD"/>
        </w:rPr>
        <w:t>13</w:t>
      </w:r>
      <w:r w:rsidR="004D3C96" w:rsidRPr="000508B6">
        <w:rPr>
          <w:rFonts w:ascii="Times New Roman" w:hAnsi="Times New Roman" w:cs="Times New Roman"/>
          <w:lang w:val="ro-MD"/>
        </w:rPr>
        <w:t>)</w:t>
      </w:r>
      <w:r w:rsidR="008F74C0" w:rsidRPr="000508B6">
        <w:rPr>
          <w:rFonts w:ascii="Times New Roman" w:hAnsi="Times New Roman" w:cs="Times New Roman"/>
          <w:lang w:val="ro-MD"/>
        </w:rPr>
        <w:t>.</w:t>
      </w:r>
      <w:r w:rsidR="003C6290" w:rsidRPr="000508B6">
        <w:rPr>
          <w:rFonts w:ascii="Times New Roman" w:hAnsi="Times New Roman" w:cs="Times New Roman"/>
          <w:lang w:val="ro-MD"/>
        </w:rPr>
        <w:t xml:space="preserve"> </w:t>
      </w:r>
    </w:p>
    <w:p w14:paraId="0F64B7AC" w14:textId="77777777" w:rsidR="00686795" w:rsidRPr="000508B6" w:rsidRDefault="00686795" w:rsidP="00F558C2">
      <w:pPr>
        <w:spacing w:after="0" w:line="240" w:lineRule="auto"/>
        <w:ind w:firstLine="426"/>
        <w:contextualSpacing/>
        <w:jc w:val="both"/>
        <w:rPr>
          <w:rFonts w:ascii="Times New Roman" w:hAnsi="Times New Roman" w:cs="Times New Roman"/>
          <w:b/>
          <w:lang w:val="ro-MD"/>
        </w:rPr>
      </w:pPr>
    </w:p>
    <w:p w14:paraId="696A7F49" w14:textId="5EFA9DC6" w:rsidR="00F558C2" w:rsidRPr="000508B6" w:rsidRDefault="00F558C2" w:rsidP="00F558C2">
      <w:pPr>
        <w:spacing w:after="0" w:line="240" w:lineRule="auto"/>
        <w:ind w:firstLine="426"/>
        <w:contextualSpacing/>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562D38" w:rsidRPr="000508B6">
        <w:rPr>
          <w:rFonts w:ascii="Times New Roman" w:hAnsi="Times New Roman" w:cs="Times New Roman"/>
          <w:b/>
          <w:lang w:val="ro-MD"/>
        </w:rPr>
        <w:t>162</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Efectele </w:t>
      </w:r>
      <w:r w:rsidR="000D1EFA" w:rsidRPr="000508B6">
        <w:rPr>
          <w:rFonts w:ascii="Times New Roman" w:hAnsi="Times New Roman" w:cs="Times New Roman"/>
          <w:lang w:val="ro-MD"/>
        </w:rPr>
        <w:t>asupra unor contracte sau drepturi</w:t>
      </w:r>
      <w:r w:rsidR="00562D38" w:rsidRPr="000508B6">
        <w:rPr>
          <w:rFonts w:ascii="Times New Roman" w:hAnsi="Times New Roman" w:cs="Times New Roman"/>
          <w:lang w:val="ro-MD"/>
        </w:rPr>
        <w:t>. Acte prejudiciabile</w:t>
      </w:r>
      <w:r w:rsidR="000D1EFA" w:rsidRPr="000508B6">
        <w:rPr>
          <w:rFonts w:ascii="Times New Roman" w:hAnsi="Times New Roman" w:cs="Times New Roman"/>
          <w:lang w:val="ro-MD"/>
        </w:rPr>
        <w:t xml:space="preserve"> </w:t>
      </w:r>
      <w:r w:rsidRPr="000508B6">
        <w:rPr>
          <w:rFonts w:ascii="Times New Roman" w:hAnsi="Times New Roman" w:cs="Times New Roman"/>
          <w:lang w:val="ro-MD"/>
        </w:rPr>
        <w:t xml:space="preserve"> </w:t>
      </w:r>
    </w:p>
    <w:p w14:paraId="35A20304" w14:textId="7E5BAC2E" w:rsidR="00F558C2" w:rsidRPr="000508B6" w:rsidRDefault="009A20BE" w:rsidP="006547EE">
      <w:pPr>
        <w:pStyle w:val="Listparagraf"/>
        <w:numPr>
          <w:ilvl w:val="1"/>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Prin derogare de la art. 160 alin. (1) –</w:t>
      </w:r>
      <w:r w:rsidR="0084770B" w:rsidRPr="000508B6">
        <w:rPr>
          <w:rFonts w:ascii="Times New Roman" w:hAnsi="Times New Roman" w:cs="Times New Roman"/>
          <w:lang w:val="ro-MD"/>
        </w:rPr>
        <w:t xml:space="preserve"> </w:t>
      </w:r>
      <w:r w:rsidRPr="000508B6">
        <w:rPr>
          <w:rFonts w:ascii="Times New Roman" w:hAnsi="Times New Roman" w:cs="Times New Roman"/>
          <w:lang w:val="ro-MD"/>
        </w:rPr>
        <w:t>(</w:t>
      </w:r>
      <w:r w:rsidR="00040F6B" w:rsidRPr="000508B6">
        <w:rPr>
          <w:rFonts w:ascii="Times New Roman" w:hAnsi="Times New Roman" w:cs="Times New Roman"/>
          <w:lang w:val="ro-MD"/>
        </w:rPr>
        <w:t>5</w:t>
      </w:r>
      <w:r w:rsidRPr="000508B6">
        <w:rPr>
          <w:rFonts w:ascii="Times New Roman" w:hAnsi="Times New Roman" w:cs="Times New Roman"/>
          <w:lang w:val="ro-MD"/>
        </w:rPr>
        <w:t>)</w:t>
      </w:r>
      <w:r w:rsidR="00565288" w:rsidRPr="000508B6">
        <w:rPr>
          <w:rFonts w:ascii="Times New Roman" w:hAnsi="Times New Roman" w:cs="Times New Roman"/>
          <w:lang w:val="ro-MD"/>
        </w:rPr>
        <w:t xml:space="preserve"> și</w:t>
      </w:r>
      <w:r w:rsidRPr="000508B6">
        <w:rPr>
          <w:rFonts w:ascii="Times New Roman" w:hAnsi="Times New Roman" w:cs="Times New Roman"/>
          <w:lang w:val="ro-MD"/>
        </w:rPr>
        <w:t xml:space="preserve"> art. 164 alin. (</w:t>
      </w:r>
      <w:r w:rsidR="00565288" w:rsidRPr="000508B6">
        <w:rPr>
          <w:rFonts w:ascii="Times New Roman" w:hAnsi="Times New Roman" w:cs="Times New Roman"/>
          <w:lang w:val="ro-MD"/>
        </w:rPr>
        <w:t>9</w:t>
      </w:r>
      <w:r w:rsidRPr="000508B6">
        <w:rPr>
          <w:rFonts w:ascii="Times New Roman" w:hAnsi="Times New Roman" w:cs="Times New Roman"/>
          <w:lang w:val="ro-MD"/>
        </w:rPr>
        <w:t>)</w:t>
      </w:r>
      <w:r w:rsidR="00565288" w:rsidRPr="000508B6">
        <w:rPr>
          <w:rFonts w:ascii="Times New Roman" w:hAnsi="Times New Roman" w:cs="Times New Roman"/>
          <w:lang w:val="ro-MD"/>
        </w:rPr>
        <w:t>,</w:t>
      </w:r>
      <w:r w:rsidRPr="000508B6">
        <w:rPr>
          <w:rFonts w:ascii="Times New Roman" w:hAnsi="Times New Roman" w:cs="Times New Roman"/>
          <w:lang w:val="ro-MD"/>
        </w:rPr>
        <w:t xml:space="preserve"> efectele adoptării măsurilor de </w:t>
      </w:r>
      <w:r w:rsidR="00224A4B" w:rsidRPr="000508B6">
        <w:rPr>
          <w:rFonts w:ascii="Times New Roman" w:hAnsi="Times New Roman" w:cs="Times New Roman"/>
          <w:lang w:val="ro-MD"/>
        </w:rPr>
        <w:t>reorganizare</w:t>
      </w:r>
      <w:r w:rsidRPr="000508B6">
        <w:rPr>
          <w:rFonts w:ascii="Times New Roman" w:hAnsi="Times New Roman" w:cs="Times New Roman"/>
          <w:lang w:val="ro-MD"/>
        </w:rPr>
        <w:t xml:space="preserve"> sunt reglementate după cum urmează</w:t>
      </w:r>
      <w:r w:rsidR="00F558C2" w:rsidRPr="000508B6">
        <w:rPr>
          <w:rFonts w:ascii="Times New Roman" w:hAnsi="Times New Roman" w:cs="Times New Roman"/>
          <w:lang w:val="ro-MD"/>
        </w:rPr>
        <w:t>:</w:t>
      </w:r>
    </w:p>
    <w:p w14:paraId="235A6EB8" w14:textId="77777777" w:rsidR="00F558C2" w:rsidRPr="000508B6" w:rsidRDefault="00F558C2" w:rsidP="006547EE">
      <w:pPr>
        <w:pStyle w:val="Listparagraf"/>
        <w:numPr>
          <w:ilvl w:val="2"/>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contractele individuale de muncă și raporturile de muncă sunt reglementate numai de legea statului membru aplicabilă acestora;</w:t>
      </w:r>
    </w:p>
    <w:p w14:paraId="5F566082" w14:textId="77777777" w:rsidR="00F558C2" w:rsidRPr="000508B6" w:rsidRDefault="00F558C2" w:rsidP="006547EE">
      <w:pPr>
        <w:pStyle w:val="Listparagraf"/>
        <w:numPr>
          <w:ilvl w:val="2"/>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contractul care conferă un drept de folosință sau prin care se dobândește proprietatea asupra unui bun imobil este reglementat doar de legea statului membru pe al cărui teritoriu este situat acest bun;</w:t>
      </w:r>
    </w:p>
    <w:p w14:paraId="0FC14900" w14:textId="1473B52E" w:rsidR="00F558C2" w:rsidRPr="000508B6" w:rsidRDefault="00F558C2" w:rsidP="006547EE">
      <w:pPr>
        <w:pStyle w:val="Listparagraf"/>
        <w:numPr>
          <w:ilvl w:val="2"/>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drepturile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asupra unei proprietăți imobiliare, a unei nave sau aeronave, supuse înscrierii într-un registru public, sunt reglementate doar de legea statului membru sub a cărui autoritate se ține registrul respectiv. </w:t>
      </w:r>
    </w:p>
    <w:p w14:paraId="051A3C73" w14:textId="4E93BAD7" w:rsidR="00F558C2" w:rsidRPr="000508B6" w:rsidRDefault="00F558C2" w:rsidP="006547EE">
      <w:pPr>
        <w:pStyle w:val="Listparagraf"/>
        <w:numPr>
          <w:ilvl w:val="1"/>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Aplicarea măsurilor de </w:t>
      </w:r>
      <w:r w:rsidR="00224A4B" w:rsidRPr="000508B6">
        <w:rPr>
          <w:rFonts w:ascii="Times New Roman" w:hAnsi="Times New Roman" w:cs="Times New Roman"/>
          <w:lang w:val="ro-MD"/>
        </w:rPr>
        <w:t xml:space="preserve">reorganizare </w:t>
      </w:r>
      <w:r w:rsidRPr="000508B6">
        <w:rPr>
          <w:rFonts w:ascii="Times New Roman" w:hAnsi="Times New Roman" w:cs="Times New Roman"/>
          <w:lang w:val="ro-MD"/>
        </w:rPr>
        <w:t>nu afectează drepturile reale ale creditorilor sau terților asupra</w:t>
      </w:r>
      <w:r w:rsidR="00701533" w:rsidRPr="000508B6">
        <w:rPr>
          <w:rFonts w:ascii="Times New Roman" w:hAnsi="Times New Roman" w:cs="Times New Roman"/>
          <w:lang w:val="ro-MD"/>
        </w:rPr>
        <w:t xml:space="preserve"> bunurilor corporale sau necorporale,</w:t>
      </w:r>
      <w:r w:rsidRPr="000508B6">
        <w:rPr>
          <w:rFonts w:ascii="Times New Roman" w:hAnsi="Times New Roman" w:cs="Times New Roman"/>
          <w:lang w:val="ro-MD"/>
        </w:rPr>
        <w:t xml:space="preserve"> activelor mobiliare sau imobiliare  atât bunuri determinate, cât și ansambluri de bunuri nedeterminate</w:t>
      </w:r>
      <w:r w:rsidR="00E672E2" w:rsidRPr="000508B6">
        <w:rPr>
          <w:rFonts w:ascii="Times New Roman" w:hAnsi="Times New Roman" w:cs="Times New Roman"/>
          <w:lang w:val="ro-MD"/>
        </w:rPr>
        <w:t>, a căror compoziție se schimbă din timp în timp,</w:t>
      </w:r>
      <w:r w:rsidRPr="000508B6">
        <w:rPr>
          <w:rFonts w:ascii="Times New Roman" w:hAnsi="Times New Roman" w:cs="Times New Roman"/>
          <w:lang w:val="ro-MD"/>
        </w:rPr>
        <w:t xml:space="preserve"> care aparțin </w:t>
      </w:r>
      <w:r w:rsidR="004125E8" w:rsidRPr="000508B6">
        <w:rPr>
          <w:rFonts w:ascii="Times New Roman" w:hAnsi="Times New Roman" w:cs="Times New Roman"/>
          <w:lang w:val="ro-MD"/>
        </w:rPr>
        <w:t>asigurătorului</w:t>
      </w:r>
      <w:r w:rsidRPr="000508B6" w:rsidDel="00DB0B01">
        <w:rPr>
          <w:rFonts w:ascii="Times New Roman" w:hAnsi="Times New Roman" w:cs="Times New Roman"/>
          <w:lang w:val="ro-MD"/>
        </w:rPr>
        <w:t xml:space="preserve"> </w:t>
      </w:r>
      <w:r w:rsidRPr="000508B6">
        <w:rPr>
          <w:rFonts w:ascii="Times New Roman" w:hAnsi="Times New Roman" w:cs="Times New Roman"/>
          <w:lang w:val="ro-MD"/>
        </w:rPr>
        <w:t xml:space="preserve">și care sunt situate pe teritoriul </w:t>
      </w:r>
      <w:r w:rsidR="00DB0B01" w:rsidRPr="000508B6">
        <w:rPr>
          <w:rFonts w:ascii="Times New Roman" w:hAnsi="Times New Roman" w:cs="Times New Roman"/>
          <w:lang w:val="ro-MD"/>
        </w:rPr>
        <w:t xml:space="preserve">unui </w:t>
      </w:r>
      <w:r w:rsidRPr="000508B6">
        <w:rPr>
          <w:rFonts w:ascii="Times New Roman" w:hAnsi="Times New Roman" w:cs="Times New Roman"/>
          <w:lang w:val="ro-MD"/>
        </w:rPr>
        <w:t xml:space="preserve">stat membru în momentul deschiderii procedurii. </w:t>
      </w:r>
    </w:p>
    <w:p w14:paraId="5A8DCB23" w14:textId="77777777" w:rsidR="00F558C2" w:rsidRPr="000508B6" w:rsidRDefault="00F558C2" w:rsidP="006547EE">
      <w:pPr>
        <w:pStyle w:val="Listparagraf"/>
        <w:numPr>
          <w:ilvl w:val="1"/>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Drepturile reale ale creditorilor sau terților, menționate la alin. (2), constau, în special, în:</w:t>
      </w:r>
    </w:p>
    <w:p w14:paraId="0CB6E2DF" w14:textId="77777777" w:rsidR="00F558C2" w:rsidRPr="000508B6" w:rsidRDefault="00F558C2" w:rsidP="006547EE">
      <w:pPr>
        <w:pStyle w:val="Listparagraf"/>
        <w:numPr>
          <w:ilvl w:val="2"/>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dreptul de a valorifica bunul sau de a asigura valorificarea acestuia și de a beneficia de profitul ori de venitul generat, în special pe baza unui gaj sau a unei ipoteci;</w:t>
      </w:r>
    </w:p>
    <w:p w14:paraId="5F2A40BA" w14:textId="77777777" w:rsidR="00F558C2" w:rsidRPr="000508B6" w:rsidRDefault="00F558C2" w:rsidP="006547EE">
      <w:pPr>
        <w:pStyle w:val="Listparagraf"/>
        <w:numPr>
          <w:ilvl w:val="2"/>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dreptul exclusiv de a recupera o creanță, în special un drept garantat prin constituirea unui gaj sau cesiunea acestei creanțe cu titlu de garanție;</w:t>
      </w:r>
    </w:p>
    <w:p w14:paraId="730216DA" w14:textId="77777777" w:rsidR="00F558C2" w:rsidRPr="000508B6" w:rsidRDefault="00F558C2" w:rsidP="006547EE">
      <w:pPr>
        <w:pStyle w:val="Listparagraf"/>
        <w:numPr>
          <w:ilvl w:val="2"/>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dreptul de revendicare a bunului și/sau de restituire a acestuia de la oricine îl posedă și/sau îl folosește împotriva voinței titularului de drept;</w:t>
      </w:r>
    </w:p>
    <w:p w14:paraId="3233AFFE" w14:textId="6EB27086" w:rsidR="00F558C2" w:rsidRPr="000508B6" w:rsidRDefault="00F558C2" w:rsidP="006547EE">
      <w:pPr>
        <w:pStyle w:val="Listparagraf"/>
        <w:numPr>
          <w:ilvl w:val="2"/>
          <w:numId w:val="188"/>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dreptul real de a culege fructele unui bun</w:t>
      </w:r>
      <w:r w:rsidR="00F32753" w:rsidRPr="000508B6">
        <w:rPr>
          <w:rFonts w:ascii="Times New Roman" w:hAnsi="Times New Roman" w:cs="Times New Roman"/>
          <w:lang w:val="ro-MD"/>
        </w:rPr>
        <w:t>.</w:t>
      </w:r>
      <w:r w:rsidRPr="000508B6">
        <w:rPr>
          <w:rFonts w:ascii="Times New Roman" w:hAnsi="Times New Roman" w:cs="Times New Roman"/>
          <w:lang w:val="ro-MD"/>
        </w:rPr>
        <w:t xml:space="preserve"> </w:t>
      </w:r>
    </w:p>
    <w:p w14:paraId="03F3746D" w14:textId="264EB359" w:rsidR="00F558C2" w:rsidRPr="000508B6" w:rsidRDefault="00F558C2" w:rsidP="006547EE">
      <w:pPr>
        <w:pStyle w:val="Listparagraf"/>
        <w:numPr>
          <w:ilvl w:val="1"/>
          <w:numId w:val="18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Dreptul, înscris într-un registru public și opozabil terților, în temeiul căruia se poate obține un drept real în sensul alin. (2), este asimilat dreptului real. </w:t>
      </w:r>
    </w:p>
    <w:p w14:paraId="3503830F" w14:textId="598A3637" w:rsidR="00EE0FA4" w:rsidRPr="000508B6" w:rsidRDefault="00F558C2" w:rsidP="00546BEC">
      <w:pPr>
        <w:pStyle w:val="Listparagraf"/>
        <w:numPr>
          <w:ilvl w:val="1"/>
          <w:numId w:val="18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Dispozițiile alin. (2)</w:t>
      </w:r>
      <w:r w:rsidR="00A345F8" w:rsidRPr="000508B6">
        <w:rPr>
          <w:rFonts w:ascii="Times New Roman" w:hAnsi="Times New Roman" w:cs="Times New Roman"/>
          <w:lang w:val="ro-MD"/>
        </w:rPr>
        <w:t xml:space="preserve"> – </w:t>
      </w:r>
      <w:r w:rsidRPr="000508B6">
        <w:rPr>
          <w:rFonts w:ascii="Times New Roman" w:hAnsi="Times New Roman" w:cs="Times New Roman"/>
          <w:lang w:val="ro-MD"/>
        </w:rPr>
        <w:t xml:space="preserve">(4) nu împiedică exercitarea acțiunilor privind nulitatea, anularea și/sau inopozabilitatea actelor prejudiciabile tuturor creditorilor, prevăzute </w:t>
      </w:r>
      <w:r w:rsidR="00040F6B" w:rsidRPr="000508B6">
        <w:rPr>
          <w:rFonts w:ascii="Times New Roman" w:hAnsi="Times New Roman" w:cs="Times New Roman"/>
          <w:lang w:val="ro-MD"/>
        </w:rPr>
        <w:t xml:space="preserve">de legislația </w:t>
      </w:r>
      <w:r w:rsidR="009C1845" w:rsidRPr="000508B6">
        <w:rPr>
          <w:rFonts w:ascii="Times New Roman" w:hAnsi="Times New Roman" w:cs="Times New Roman"/>
          <w:lang w:val="ro-MD"/>
        </w:rPr>
        <w:t>națională</w:t>
      </w:r>
      <w:r w:rsidRPr="000508B6">
        <w:rPr>
          <w:rFonts w:ascii="Times New Roman" w:hAnsi="Times New Roman" w:cs="Times New Roman"/>
          <w:lang w:val="ro-MD"/>
        </w:rPr>
        <w:t xml:space="preserve">. </w:t>
      </w:r>
    </w:p>
    <w:p w14:paraId="2DC62236" w14:textId="15EE73AF" w:rsidR="00F558C2" w:rsidRPr="000508B6" w:rsidRDefault="00F558C2" w:rsidP="001A3365">
      <w:pPr>
        <w:pStyle w:val="Listparagraf"/>
        <w:numPr>
          <w:ilvl w:val="1"/>
          <w:numId w:val="18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Cu toate acestea, </w:t>
      </w:r>
      <w:r w:rsidR="003D4480" w:rsidRPr="000508B6">
        <w:rPr>
          <w:rFonts w:ascii="Times New Roman" w:hAnsi="Times New Roman" w:cs="Times New Roman"/>
          <w:lang w:val="ro-MD"/>
        </w:rPr>
        <w:t xml:space="preserve"> </w:t>
      </w:r>
      <w:r w:rsidR="00EE0FA4" w:rsidRPr="000508B6">
        <w:rPr>
          <w:rFonts w:ascii="Times New Roman" w:hAnsi="Times New Roman" w:cs="Times New Roman"/>
          <w:lang w:val="ro-MD"/>
        </w:rPr>
        <w:t>prevederile alin. (5</w:t>
      </w:r>
      <w:r w:rsidR="0000419B" w:rsidRPr="000508B6">
        <w:rPr>
          <w:rFonts w:ascii="Times New Roman" w:hAnsi="Times New Roman" w:cs="Times New Roman"/>
          <w:lang w:val="ro-MD"/>
        </w:rPr>
        <w:t>)</w:t>
      </w:r>
      <w:r w:rsidRPr="000508B6">
        <w:rPr>
          <w:rFonts w:ascii="Times New Roman" w:hAnsi="Times New Roman" w:cs="Times New Roman"/>
          <w:lang w:val="ro-MD"/>
        </w:rPr>
        <w:t xml:space="preserve"> nu se v</w:t>
      </w:r>
      <w:r w:rsidR="00C40B86" w:rsidRPr="000508B6">
        <w:rPr>
          <w:rFonts w:ascii="Times New Roman" w:hAnsi="Times New Roman" w:cs="Times New Roman"/>
          <w:lang w:val="ro-MD"/>
        </w:rPr>
        <w:t>or</w:t>
      </w:r>
      <w:r w:rsidRPr="000508B6">
        <w:rPr>
          <w:rFonts w:ascii="Times New Roman" w:hAnsi="Times New Roman" w:cs="Times New Roman"/>
          <w:lang w:val="ro-MD"/>
        </w:rPr>
        <w:t xml:space="preserve"> aplica atunci când persoana care a beneficiat de un act juridic prejudiciabil tuturor creditorilor face dovada că sunt îndeplinite cumulativ următoarele condiții:</w:t>
      </w:r>
    </w:p>
    <w:p w14:paraId="251B3654" w14:textId="18939045" w:rsidR="00F558C2" w:rsidRPr="000508B6" w:rsidRDefault="00F558C2" w:rsidP="006547EE">
      <w:pPr>
        <w:pStyle w:val="Listparagraf"/>
        <w:numPr>
          <w:ilvl w:val="2"/>
          <w:numId w:val="18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actul menționat se află sub incidența legislației unui stat membru;</w:t>
      </w:r>
    </w:p>
    <w:p w14:paraId="1FFFFDA6" w14:textId="478BCED2" w:rsidR="00F558C2" w:rsidRPr="000508B6" w:rsidRDefault="00F558C2" w:rsidP="006547EE">
      <w:pPr>
        <w:pStyle w:val="Listparagraf"/>
        <w:numPr>
          <w:ilvl w:val="2"/>
          <w:numId w:val="18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legislația statului prevăzut la lit. a) nu prevede nici o cale de atac a actului respectiv. </w:t>
      </w:r>
    </w:p>
    <w:p w14:paraId="2F9058AB" w14:textId="77777777" w:rsidR="00562D38" w:rsidRPr="000508B6" w:rsidRDefault="00562D38" w:rsidP="002D29E8">
      <w:pPr>
        <w:pStyle w:val="Listparagraf"/>
        <w:tabs>
          <w:tab w:val="left" w:pos="851"/>
          <w:tab w:val="left" w:pos="993"/>
          <w:tab w:val="left" w:pos="1276"/>
        </w:tabs>
        <w:spacing w:after="0" w:line="240" w:lineRule="auto"/>
        <w:ind w:left="426"/>
        <w:jc w:val="both"/>
        <w:rPr>
          <w:rFonts w:ascii="Times New Roman" w:hAnsi="Times New Roman" w:cs="Times New Roman"/>
          <w:lang w:val="ro-MD"/>
        </w:rPr>
      </w:pPr>
    </w:p>
    <w:p w14:paraId="72C8FBFD" w14:textId="6ADF4B0A" w:rsidR="00562D38" w:rsidRPr="000508B6" w:rsidRDefault="00562D38" w:rsidP="00872E04">
      <w:pPr>
        <w:pStyle w:val="Listparagraf"/>
        <w:tabs>
          <w:tab w:val="left" w:pos="1276"/>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b/>
          <w:bCs/>
          <w:lang w:val="ro-MD"/>
        </w:rPr>
        <w:t>Articolul 163.</w:t>
      </w:r>
      <w:r w:rsidRPr="000508B6">
        <w:rPr>
          <w:rFonts w:ascii="Times New Roman" w:hAnsi="Times New Roman" w:cs="Times New Roman"/>
          <w:lang w:val="ro-MD"/>
        </w:rPr>
        <w:t xml:space="preserve"> Efectele procedurii</w:t>
      </w:r>
      <w:r w:rsidR="002F6004" w:rsidRPr="000508B6">
        <w:rPr>
          <w:rFonts w:ascii="Times New Roman" w:hAnsi="Times New Roman" w:cs="Times New Roman"/>
          <w:lang w:val="ro-MD"/>
        </w:rPr>
        <w:t>: rezerva de proprietate, compensarea, piețele reglementate</w:t>
      </w:r>
    </w:p>
    <w:p w14:paraId="3AB28792" w14:textId="75E59DD2" w:rsidR="00F558C2" w:rsidRPr="000508B6" w:rsidRDefault="008B6849" w:rsidP="006547EE">
      <w:pPr>
        <w:pStyle w:val="Listparagraf"/>
        <w:numPr>
          <w:ilvl w:val="0"/>
          <w:numId w:val="359"/>
        </w:numPr>
        <w:tabs>
          <w:tab w:val="left" w:pos="426"/>
          <w:tab w:val="left" w:pos="709"/>
          <w:tab w:val="left" w:pos="851"/>
          <w:tab w:val="left" w:pos="993"/>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Efectele aplicării măsurilor de reorganizare asupra unui proces civil în curs privind un bun sau un drept de care a fost deposedat asigurătorul sunt reglementate de </w:t>
      </w:r>
      <w:r w:rsidR="006547EE" w:rsidRPr="000508B6">
        <w:rPr>
          <w:rFonts w:ascii="Times New Roman" w:hAnsi="Times New Roman" w:cs="Times New Roman"/>
          <w:lang w:val="ro-MD"/>
        </w:rPr>
        <w:t>legislația națională</w:t>
      </w:r>
      <w:r w:rsidRPr="000508B6">
        <w:rPr>
          <w:rFonts w:ascii="Times New Roman" w:hAnsi="Times New Roman" w:cs="Times New Roman"/>
          <w:lang w:val="ro-MD"/>
        </w:rPr>
        <w:t>, dac</w:t>
      </w:r>
      <w:r w:rsidR="007A757F">
        <w:rPr>
          <w:rFonts w:ascii="Times New Roman" w:hAnsi="Times New Roman" w:cs="Times New Roman"/>
          <w:lang w:val="ro-RO"/>
        </w:rPr>
        <w:t>ă</w:t>
      </w:r>
      <w:r w:rsidRPr="000508B6">
        <w:rPr>
          <w:rFonts w:ascii="Times New Roman" w:hAnsi="Times New Roman" w:cs="Times New Roman"/>
          <w:lang w:val="ro-MD"/>
        </w:rPr>
        <w:t xml:space="preserve"> procesul respectiv derulează în Republica Moldova. În cazul în care procesul civil în curs privind un bun sau un drept de care a fost deposedat asigurătorul derulează în alt stat membru, acesta este reglementat de legea statului în cauză.</w:t>
      </w:r>
      <w:r w:rsidR="00F558C2" w:rsidRPr="000508B6">
        <w:rPr>
          <w:rFonts w:ascii="Times New Roman" w:hAnsi="Times New Roman" w:cs="Times New Roman"/>
          <w:lang w:val="ro-MD"/>
        </w:rPr>
        <w:t xml:space="preserve"> </w:t>
      </w:r>
    </w:p>
    <w:p w14:paraId="6E07C3B4" w14:textId="2E5FCCCD" w:rsidR="00F558C2" w:rsidRPr="000508B6" w:rsidRDefault="00D953C7" w:rsidP="006547EE">
      <w:pPr>
        <w:pStyle w:val="Listparagraf"/>
        <w:numPr>
          <w:ilvl w:val="0"/>
          <w:numId w:val="359"/>
        </w:numPr>
        <w:tabs>
          <w:tab w:val="left" w:pos="426"/>
          <w:tab w:val="left" w:pos="709"/>
          <w:tab w:val="left" w:pos="851"/>
          <w:tab w:val="left" w:pos="993"/>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Măsura</w:t>
      </w:r>
      <w:r w:rsidR="00F558C2" w:rsidRPr="000508B6">
        <w:rPr>
          <w:rFonts w:ascii="Times New Roman" w:hAnsi="Times New Roman" w:cs="Times New Roman"/>
          <w:lang w:val="ro-MD"/>
        </w:rPr>
        <w:t xml:space="preserve"> de</w:t>
      </w:r>
      <w:r w:rsidR="00F558C2" w:rsidRPr="000508B6" w:rsidDel="00C60181">
        <w:rPr>
          <w:rFonts w:ascii="Times New Roman" w:hAnsi="Times New Roman" w:cs="Times New Roman"/>
          <w:lang w:val="ro-MD"/>
        </w:rPr>
        <w:t xml:space="preserve"> </w:t>
      </w:r>
      <w:r w:rsidR="00C60181" w:rsidRPr="000508B6">
        <w:rPr>
          <w:rFonts w:ascii="Times New Roman" w:hAnsi="Times New Roman" w:cs="Times New Roman"/>
          <w:lang w:val="ro-MD"/>
        </w:rPr>
        <w:t>reorganizare</w:t>
      </w:r>
      <w:r w:rsidR="00F558C2" w:rsidRPr="000508B6">
        <w:rPr>
          <w:rFonts w:ascii="Times New Roman" w:hAnsi="Times New Roman" w:cs="Times New Roman"/>
          <w:lang w:val="ro-MD"/>
        </w:rPr>
        <w:t xml:space="preserve"> deschis</w:t>
      </w:r>
      <w:r w:rsidR="00F534C5" w:rsidRPr="000508B6">
        <w:rPr>
          <w:rFonts w:ascii="Times New Roman" w:hAnsi="Times New Roman" w:cs="Times New Roman"/>
          <w:lang w:val="ro-MD"/>
        </w:rPr>
        <w:t>ă</w:t>
      </w:r>
      <w:r w:rsidR="00F558C2" w:rsidRPr="000508B6">
        <w:rPr>
          <w:rFonts w:ascii="Times New Roman" w:hAnsi="Times New Roman" w:cs="Times New Roman"/>
          <w:lang w:val="ro-MD"/>
        </w:rPr>
        <w:t xml:space="preserve"> la </w:t>
      </w:r>
      <w:r w:rsidR="00DB0B01" w:rsidRPr="000508B6">
        <w:rPr>
          <w:rFonts w:ascii="Times New Roman" w:hAnsi="Times New Roman" w:cs="Times New Roman"/>
          <w:lang w:val="ro-MD"/>
        </w:rPr>
        <w:t>un asigurător</w:t>
      </w:r>
      <w:r w:rsidR="00F558C2" w:rsidRPr="000508B6">
        <w:rPr>
          <w:rFonts w:ascii="Times New Roman" w:hAnsi="Times New Roman" w:cs="Times New Roman"/>
          <w:lang w:val="ro-MD"/>
        </w:rPr>
        <w:t xml:space="preserve"> care cumpără un bun nu afectează drepturile garantate ale vânzătorului atunci când, în momentul deschiderii procedurii, bunul respectiv este situat pe teritoriul unui stat membru </w:t>
      </w:r>
      <w:r w:rsidR="00DC6E68" w:rsidRPr="000508B6">
        <w:rPr>
          <w:rFonts w:ascii="Times New Roman" w:hAnsi="Times New Roman" w:cs="Times New Roman"/>
          <w:lang w:val="ro-MD"/>
        </w:rPr>
        <w:t>diferit de</w:t>
      </w:r>
      <w:r w:rsidR="00F558C2" w:rsidRPr="000508B6">
        <w:rPr>
          <w:rFonts w:ascii="Times New Roman" w:hAnsi="Times New Roman" w:cs="Times New Roman"/>
          <w:lang w:val="ro-MD"/>
        </w:rPr>
        <w:t xml:space="preserve"> Republica Moldova. </w:t>
      </w:r>
    </w:p>
    <w:p w14:paraId="3AEBBE29" w14:textId="286B105F" w:rsidR="00F558C2" w:rsidRPr="000508B6" w:rsidRDefault="00F558C2" w:rsidP="006547EE">
      <w:pPr>
        <w:pStyle w:val="Listparagraf"/>
        <w:numPr>
          <w:ilvl w:val="0"/>
          <w:numId w:val="359"/>
        </w:numPr>
        <w:tabs>
          <w:tab w:val="left" w:pos="426"/>
          <w:tab w:val="left" w:pos="709"/>
          <w:tab w:val="left" w:pos="851"/>
          <w:tab w:val="left" w:pos="993"/>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Măsura de </w:t>
      </w:r>
      <w:r w:rsidR="00C60181" w:rsidRPr="000508B6">
        <w:rPr>
          <w:rFonts w:ascii="Times New Roman" w:hAnsi="Times New Roman" w:cs="Times New Roman"/>
          <w:lang w:val="ro-MD"/>
        </w:rPr>
        <w:t>reorganizare</w:t>
      </w:r>
      <w:r w:rsidRPr="000508B6">
        <w:rPr>
          <w:rFonts w:ascii="Times New Roman" w:hAnsi="Times New Roman" w:cs="Times New Roman"/>
          <w:lang w:val="ro-MD"/>
        </w:rPr>
        <w:t xml:space="preserve"> </w:t>
      </w:r>
      <w:r w:rsidR="00463601" w:rsidRPr="000508B6">
        <w:rPr>
          <w:rFonts w:ascii="Times New Roman" w:hAnsi="Times New Roman" w:cs="Times New Roman"/>
          <w:lang w:val="ro-MD"/>
        </w:rPr>
        <w:t>deschis</w:t>
      </w:r>
      <w:r w:rsidR="0088635B" w:rsidRPr="000508B6">
        <w:rPr>
          <w:rFonts w:ascii="Times New Roman" w:hAnsi="Times New Roman" w:cs="Times New Roman"/>
          <w:lang w:val="ro-MD"/>
        </w:rPr>
        <w:t>ă</w:t>
      </w:r>
      <w:r w:rsidRPr="000508B6">
        <w:rPr>
          <w:rFonts w:ascii="Times New Roman" w:hAnsi="Times New Roman" w:cs="Times New Roman"/>
          <w:lang w:val="ro-MD"/>
        </w:rPr>
        <w:t xml:space="preserve"> la </w:t>
      </w:r>
      <w:r w:rsidR="003459E1" w:rsidRPr="000508B6">
        <w:rPr>
          <w:rFonts w:ascii="Times New Roman" w:hAnsi="Times New Roman" w:cs="Times New Roman"/>
          <w:lang w:val="ro-MD"/>
        </w:rPr>
        <w:t>un asigurător</w:t>
      </w:r>
      <w:r w:rsidRPr="000508B6">
        <w:rPr>
          <w:rFonts w:ascii="Times New Roman" w:hAnsi="Times New Roman" w:cs="Times New Roman"/>
          <w:lang w:val="ro-MD"/>
        </w:rPr>
        <w:t xml:space="preserve"> care vinde un bun, după livrarea acestuia, nu constituie o cauză de rezoluțiune sau de denunțare a vânzării și nu împiedică dobândirea de către cumpărător a proprietății, dacă bunul respectiv se află, la momentul </w:t>
      </w:r>
      <w:r w:rsidR="00463601" w:rsidRPr="000508B6">
        <w:rPr>
          <w:rFonts w:ascii="Times New Roman" w:hAnsi="Times New Roman" w:cs="Times New Roman"/>
          <w:lang w:val="ro-MD"/>
        </w:rPr>
        <w:t>aplicării măsurii de reorganizare</w:t>
      </w:r>
      <w:r w:rsidRPr="000508B6">
        <w:rPr>
          <w:rFonts w:ascii="Times New Roman" w:hAnsi="Times New Roman" w:cs="Times New Roman"/>
          <w:lang w:val="ro-MD"/>
        </w:rPr>
        <w:t>, pe teritoriul</w:t>
      </w:r>
      <w:r w:rsidR="006E335A" w:rsidRPr="000508B6">
        <w:rPr>
          <w:rFonts w:ascii="Times New Roman" w:hAnsi="Times New Roman" w:cs="Times New Roman"/>
          <w:lang w:val="ro-MD"/>
        </w:rPr>
        <w:t xml:space="preserve"> Republicii Moldova sau</w:t>
      </w:r>
      <w:r w:rsidRPr="000508B6">
        <w:rPr>
          <w:rFonts w:ascii="Times New Roman" w:hAnsi="Times New Roman" w:cs="Times New Roman"/>
          <w:lang w:val="ro-MD"/>
        </w:rPr>
        <w:t xml:space="preserve"> unui stat membru. În cazul în care, printr-un act încheiat după deschiderea procedurii de </w:t>
      </w:r>
      <w:r w:rsidR="00C60181" w:rsidRPr="000508B6">
        <w:rPr>
          <w:rFonts w:ascii="Times New Roman" w:hAnsi="Times New Roman" w:cs="Times New Roman"/>
          <w:lang w:val="ro-MD"/>
        </w:rPr>
        <w:t>reorganizare</w:t>
      </w:r>
      <w:r w:rsidRPr="000508B6">
        <w:rPr>
          <w:rFonts w:ascii="Times New Roman" w:hAnsi="Times New Roman" w:cs="Times New Roman"/>
          <w:lang w:val="ro-MD"/>
        </w:rPr>
        <w:t xml:space="preserve">, </w:t>
      </w:r>
      <w:r w:rsidR="003459E1" w:rsidRPr="000508B6">
        <w:rPr>
          <w:rFonts w:ascii="Times New Roman" w:hAnsi="Times New Roman" w:cs="Times New Roman"/>
          <w:lang w:val="ro-MD"/>
        </w:rPr>
        <w:t>un asigurător</w:t>
      </w:r>
      <w:r w:rsidRPr="000508B6">
        <w:rPr>
          <w:rFonts w:ascii="Times New Roman" w:hAnsi="Times New Roman" w:cs="Times New Roman"/>
          <w:lang w:val="ro-MD"/>
        </w:rPr>
        <w:t xml:space="preserve"> înstrăinează, cu titlu oneros, un bun imobiliar, o navă sau o aeronavă supuse înscrierii într-un registru public sau înstrăinează valori mobiliare ori titluri a căror existență sau transfer presupun înscrierea într-un registru ori cont, stabilit prin lege, sau care sunt plasate într-un sistem central de depozite reglementat de </w:t>
      </w:r>
      <w:r w:rsidR="009C1845" w:rsidRPr="000508B6">
        <w:rPr>
          <w:rFonts w:ascii="Times New Roman" w:hAnsi="Times New Roman" w:cs="Times New Roman"/>
          <w:lang w:val="ro-MD"/>
        </w:rPr>
        <w:t>legislația națională</w:t>
      </w:r>
      <w:r w:rsidR="006E335A" w:rsidRPr="000508B6">
        <w:rPr>
          <w:rFonts w:ascii="Times New Roman" w:hAnsi="Times New Roman" w:cs="Times New Roman"/>
          <w:lang w:val="ro-MD"/>
        </w:rPr>
        <w:t xml:space="preserve"> sau </w:t>
      </w:r>
      <w:r w:rsidRPr="000508B6">
        <w:rPr>
          <w:rFonts w:ascii="Times New Roman" w:hAnsi="Times New Roman" w:cs="Times New Roman"/>
          <w:lang w:val="ro-MD"/>
        </w:rPr>
        <w:t>unui stat membru, validitatea actului respectiv se află sub incidența legii</w:t>
      </w:r>
      <w:r w:rsidR="006E335A" w:rsidRPr="000508B6">
        <w:rPr>
          <w:rFonts w:ascii="Times New Roman" w:hAnsi="Times New Roman" w:cs="Times New Roman"/>
          <w:lang w:val="ro-MD"/>
        </w:rPr>
        <w:t xml:space="preserve"> pe al cărui teritoriu se află activul imobiliar sau sub a cărui autoritate se ține registrul, contul ori sistemul respectiv </w:t>
      </w:r>
      <w:r w:rsidR="00C80041" w:rsidRPr="000508B6">
        <w:rPr>
          <w:rFonts w:ascii="Times New Roman" w:hAnsi="Times New Roman" w:cs="Times New Roman"/>
          <w:lang w:val="ro-MD"/>
        </w:rPr>
        <w:t>după caz</w:t>
      </w:r>
      <w:r w:rsidR="006E335A" w:rsidRPr="000508B6">
        <w:rPr>
          <w:rFonts w:ascii="Times New Roman" w:hAnsi="Times New Roman" w:cs="Times New Roman"/>
          <w:lang w:val="ro-MD"/>
        </w:rPr>
        <w:t xml:space="preserve"> al Republicii Moldova sau a</w:t>
      </w:r>
      <w:r w:rsidR="00C80041" w:rsidRPr="000508B6">
        <w:rPr>
          <w:rFonts w:ascii="Times New Roman" w:hAnsi="Times New Roman" w:cs="Times New Roman"/>
          <w:lang w:val="ro-MD"/>
        </w:rPr>
        <w:t>l</w:t>
      </w:r>
      <w:r w:rsidRPr="000508B6">
        <w:rPr>
          <w:rFonts w:ascii="Times New Roman" w:hAnsi="Times New Roman" w:cs="Times New Roman"/>
          <w:lang w:val="ro-MD"/>
        </w:rPr>
        <w:t xml:space="preserve"> statului membru. </w:t>
      </w:r>
    </w:p>
    <w:p w14:paraId="00EB08C9" w14:textId="47C33F95" w:rsidR="00F558C2" w:rsidRPr="000508B6" w:rsidRDefault="009D1325" w:rsidP="006547EE">
      <w:pPr>
        <w:pStyle w:val="Listparagraf"/>
        <w:numPr>
          <w:ilvl w:val="0"/>
          <w:numId w:val="359"/>
        </w:numPr>
        <w:tabs>
          <w:tab w:val="left" w:pos="426"/>
          <w:tab w:val="left" w:pos="709"/>
          <w:tab w:val="left" w:pos="851"/>
          <w:tab w:val="left" w:pos="993"/>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Măsura de reorganizare nu împiedică și nu afectează exercitarea drepturilor creditorilor privind compensarea creanțelor lor cu cele ale asigurătorului supuse acestei proceduri,  în cazul în care o asemenea compensare este permisă de legea aplicabilă pentru creanța asigurătorului.</w:t>
      </w:r>
      <w:r w:rsidR="00F558C2" w:rsidRPr="000508B6">
        <w:rPr>
          <w:rFonts w:ascii="Times New Roman" w:hAnsi="Times New Roman" w:cs="Times New Roman"/>
          <w:lang w:val="ro-MD"/>
        </w:rPr>
        <w:t xml:space="preserve"> </w:t>
      </w:r>
    </w:p>
    <w:p w14:paraId="53BCAAFC" w14:textId="25EE731F" w:rsidR="00F558C2" w:rsidRPr="000508B6" w:rsidRDefault="00F558C2" w:rsidP="006547EE">
      <w:pPr>
        <w:pStyle w:val="Listparagraf"/>
        <w:numPr>
          <w:ilvl w:val="0"/>
          <w:numId w:val="359"/>
        </w:numPr>
        <w:tabs>
          <w:tab w:val="left" w:pos="426"/>
          <w:tab w:val="left" w:pos="709"/>
          <w:tab w:val="left" w:pos="851"/>
          <w:tab w:val="left" w:pos="993"/>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Prevederile alin. (</w:t>
      </w:r>
      <w:r w:rsidR="00C27CA4" w:rsidRPr="000508B6">
        <w:rPr>
          <w:rFonts w:ascii="Times New Roman" w:hAnsi="Times New Roman" w:cs="Times New Roman"/>
          <w:lang w:val="ro-MD"/>
        </w:rPr>
        <w:t>2</w:t>
      </w:r>
      <w:r w:rsidRPr="000508B6">
        <w:rPr>
          <w:rFonts w:ascii="Times New Roman" w:hAnsi="Times New Roman" w:cs="Times New Roman"/>
          <w:lang w:val="ro-MD"/>
        </w:rPr>
        <w:t xml:space="preserve">) </w:t>
      </w:r>
      <w:r w:rsidR="00164C09" w:rsidRPr="000508B6">
        <w:rPr>
          <w:rFonts w:ascii="Times New Roman" w:hAnsi="Times New Roman" w:cs="Times New Roman"/>
          <w:lang w:val="ro-MD"/>
        </w:rPr>
        <w:t>–</w:t>
      </w:r>
      <w:r w:rsidRPr="000508B6">
        <w:rPr>
          <w:rFonts w:ascii="Times New Roman" w:hAnsi="Times New Roman" w:cs="Times New Roman"/>
          <w:lang w:val="ro-MD"/>
        </w:rPr>
        <w:t xml:space="preserve"> (</w:t>
      </w:r>
      <w:r w:rsidR="00C27CA4" w:rsidRPr="000508B6">
        <w:rPr>
          <w:rFonts w:ascii="Times New Roman" w:hAnsi="Times New Roman" w:cs="Times New Roman"/>
          <w:lang w:val="ro-MD"/>
        </w:rPr>
        <w:t>3</w:t>
      </w:r>
      <w:r w:rsidRPr="000508B6">
        <w:rPr>
          <w:rFonts w:ascii="Times New Roman" w:hAnsi="Times New Roman" w:cs="Times New Roman"/>
          <w:lang w:val="ro-MD"/>
        </w:rPr>
        <w:t xml:space="preserve">) nu împiedică exercitarea acțiunilor privind nulitatea, anularea și/sau inopozabilitatea, reglementate de legislația națională. </w:t>
      </w:r>
    </w:p>
    <w:p w14:paraId="07F86695" w14:textId="411D8E72" w:rsidR="00F558C2" w:rsidRPr="000508B6" w:rsidRDefault="00F558C2" w:rsidP="006547EE">
      <w:pPr>
        <w:pStyle w:val="Listparagraf"/>
        <w:numPr>
          <w:ilvl w:val="0"/>
          <w:numId w:val="359"/>
        </w:numPr>
        <w:tabs>
          <w:tab w:val="left" w:pos="426"/>
          <w:tab w:val="left" w:pos="709"/>
          <w:tab w:val="left" w:pos="851"/>
          <w:tab w:val="left" w:pos="993"/>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dispozițiilor </w:t>
      </w:r>
      <w:r w:rsidR="00C27CA4" w:rsidRPr="000508B6">
        <w:rPr>
          <w:rFonts w:ascii="Times New Roman" w:hAnsi="Times New Roman" w:cs="Times New Roman"/>
          <w:lang w:val="ro-MD"/>
        </w:rPr>
        <w:t>art. 162</w:t>
      </w:r>
      <w:r w:rsidRPr="000508B6">
        <w:rPr>
          <w:rFonts w:ascii="Times New Roman" w:hAnsi="Times New Roman" w:cs="Times New Roman"/>
          <w:lang w:val="ro-MD"/>
        </w:rPr>
        <w:t xml:space="preserve"> alin. (2) </w:t>
      </w:r>
      <w:r w:rsidR="00164C09" w:rsidRPr="000508B6">
        <w:rPr>
          <w:rFonts w:ascii="Times New Roman" w:hAnsi="Times New Roman" w:cs="Times New Roman"/>
          <w:lang w:val="ro-MD"/>
        </w:rPr>
        <w:t>–</w:t>
      </w:r>
      <w:r w:rsidRPr="000508B6">
        <w:rPr>
          <w:rFonts w:ascii="Times New Roman" w:hAnsi="Times New Roman" w:cs="Times New Roman"/>
          <w:lang w:val="ro-MD"/>
        </w:rPr>
        <w:t xml:space="preserve"> (</w:t>
      </w:r>
      <w:r w:rsidR="00A604C0" w:rsidRPr="000508B6">
        <w:rPr>
          <w:rFonts w:ascii="Times New Roman" w:hAnsi="Times New Roman" w:cs="Times New Roman"/>
          <w:lang w:val="ro-MD"/>
        </w:rPr>
        <w:t>5</w:t>
      </w:r>
      <w:r w:rsidRPr="000508B6">
        <w:rPr>
          <w:rFonts w:ascii="Times New Roman" w:hAnsi="Times New Roman" w:cs="Times New Roman"/>
          <w:lang w:val="ro-MD"/>
        </w:rPr>
        <w:t>), efectele măsurii de</w:t>
      </w:r>
      <w:r w:rsidRPr="000508B6" w:rsidDel="00C60181">
        <w:rPr>
          <w:rFonts w:ascii="Times New Roman" w:hAnsi="Times New Roman" w:cs="Times New Roman"/>
          <w:lang w:val="ro-MD"/>
        </w:rPr>
        <w:t xml:space="preserve"> </w:t>
      </w:r>
      <w:r w:rsidR="00C60181" w:rsidRPr="000508B6">
        <w:rPr>
          <w:rFonts w:ascii="Times New Roman" w:hAnsi="Times New Roman" w:cs="Times New Roman"/>
          <w:lang w:val="ro-MD"/>
        </w:rPr>
        <w:t>reorganizare</w:t>
      </w:r>
      <w:r w:rsidRPr="000508B6">
        <w:rPr>
          <w:rFonts w:ascii="Times New Roman" w:hAnsi="Times New Roman" w:cs="Times New Roman"/>
          <w:lang w:val="ro-MD"/>
        </w:rPr>
        <w:t xml:space="preserve"> asupra drepturilor și obligațiilor participanților la o piață reglementată se află numai sub incidența legii aplicabile pieței respective; aceasta nu împiedică acțiunile privind nulitatea, anularea și/sau inopozabilitatea, reglementate de legislația </w:t>
      </w:r>
      <w:r w:rsidR="002648D3" w:rsidRPr="000508B6">
        <w:rPr>
          <w:rFonts w:ascii="Times New Roman" w:hAnsi="Times New Roman" w:cs="Times New Roman"/>
          <w:lang w:val="ro-MD"/>
        </w:rPr>
        <w:t>națională</w:t>
      </w:r>
      <w:r w:rsidRPr="000508B6">
        <w:rPr>
          <w:rFonts w:ascii="Times New Roman" w:hAnsi="Times New Roman" w:cs="Times New Roman"/>
          <w:lang w:val="ro-MD"/>
        </w:rPr>
        <w:t xml:space="preserve">, care se pot exercita pentru a nu ține seama de plățile sau de tranzacțiile efectuate în conformitate cu legea aplicabilă pieței respective. </w:t>
      </w:r>
    </w:p>
    <w:p w14:paraId="098C601E" w14:textId="12577B30" w:rsidR="0092385E" w:rsidRPr="000508B6" w:rsidRDefault="00F558C2" w:rsidP="006547EE">
      <w:pPr>
        <w:pStyle w:val="Listparagraf"/>
        <w:numPr>
          <w:ilvl w:val="0"/>
          <w:numId w:val="359"/>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B101E9" w:rsidRPr="000508B6">
        <w:rPr>
          <w:rFonts w:ascii="Times New Roman" w:hAnsi="Times New Roman" w:cs="Times New Roman"/>
          <w:lang w:val="ro-MD"/>
        </w:rPr>
        <w:t>asigurătorul</w:t>
      </w:r>
      <w:r w:rsidRPr="000508B6">
        <w:rPr>
          <w:rFonts w:ascii="Times New Roman" w:hAnsi="Times New Roman" w:cs="Times New Roman"/>
          <w:lang w:val="ro-MD"/>
        </w:rPr>
        <w:t xml:space="preserve"> dintr-un stat terț are sucursale stabilite în </w:t>
      </w:r>
      <w:r w:rsidR="00BE39C8" w:rsidRPr="000508B6">
        <w:rPr>
          <w:rFonts w:ascii="Times New Roman" w:hAnsi="Times New Roman" w:cs="Times New Roman"/>
          <w:lang w:val="ro-MD"/>
        </w:rPr>
        <w:t xml:space="preserve">Republica Moldova și cel puțin într-un </w:t>
      </w:r>
      <w:r w:rsidRPr="000508B6">
        <w:rPr>
          <w:rFonts w:ascii="Times New Roman" w:hAnsi="Times New Roman" w:cs="Times New Roman"/>
          <w:lang w:val="ro-MD"/>
        </w:rPr>
        <w:t xml:space="preserve">stat membru, fiecare sucursală beneficiază de un tratament independent în ceea ce privește aplicarea prezentei secțiuni. </w:t>
      </w:r>
      <w:r w:rsidR="0092385E" w:rsidRPr="000508B6">
        <w:rPr>
          <w:rFonts w:ascii="Times New Roman" w:hAnsi="Times New Roman" w:cs="Times New Roman"/>
          <w:lang w:val="ro-MD"/>
        </w:rPr>
        <w:t>Autoritățile competente și autoritățile de supraveghere ale respectivelor state membre depun eforturi pentru a-și coordona acțiunile.</w:t>
      </w:r>
      <w:r w:rsidR="00174458" w:rsidRPr="000508B6">
        <w:rPr>
          <w:rFonts w:ascii="Times New Roman" w:hAnsi="Times New Roman" w:cs="Times New Roman"/>
          <w:lang w:val="ro-MD"/>
        </w:rPr>
        <w:t xml:space="preserve"> De asemenea, administratorii sau lichidatorii depun eforturi pentru a-și coordona acțiunile. </w:t>
      </w:r>
    </w:p>
    <w:p w14:paraId="6B47B60B" w14:textId="5FF342D3" w:rsidR="00F558C2" w:rsidRPr="000508B6" w:rsidRDefault="00F558C2" w:rsidP="006547EE">
      <w:pPr>
        <w:pStyle w:val="Listparagraf"/>
        <w:numPr>
          <w:ilvl w:val="0"/>
          <w:numId w:val="359"/>
        </w:numPr>
        <w:tabs>
          <w:tab w:val="left" w:pos="426"/>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Tuturor persoanelor care trebuie să primească sau să transmită informații în cadrul procedurilor prevăzute </w:t>
      </w:r>
      <w:r w:rsidR="00151BE2" w:rsidRPr="000508B6">
        <w:rPr>
          <w:rFonts w:ascii="Times New Roman" w:hAnsi="Times New Roman" w:cs="Times New Roman"/>
          <w:lang w:val="ro-MD"/>
        </w:rPr>
        <w:t>de prezenta secțiune</w:t>
      </w:r>
      <w:r w:rsidRPr="000508B6">
        <w:rPr>
          <w:rFonts w:ascii="Times New Roman" w:hAnsi="Times New Roman" w:cs="Times New Roman"/>
          <w:lang w:val="ro-MD"/>
        </w:rPr>
        <w:t xml:space="preserve"> le revine obligația prevăzută de dispozițiile privind secretul profesional, prevăzută la art. </w:t>
      </w:r>
      <w:r w:rsidR="00FA560A" w:rsidRPr="000508B6">
        <w:rPr>
          <w:rFonts w:ascii="Times New Roman" w:hAnsi="Times New Roman" w:cs="Times New Roman"/>
          <w:lang w:val="ro-MD"/>
        </w:rPr>
        <w:t>196</w:t>
      </w:r>
      <w:r w:rsidRPr="000508B6">
        <w:rPr>
          <w:rFonts w:ascii="Times New Roman" w:hAnsi="Times New Roman" w:cs="Times New Roman"/>
          <w:lang w:val="ro-MD"/>
        </w:rPr>
        <w:t xml:space="preserve">.  </w:t>
      </w:r>
    </w:p>
    <w:p w14:paraId="391FA614" w14:textId="77777777" w:rsidR="00F558C2" w:rsidRPr="000508B6" w:rsidRDefault="00F558C2" w:rsidP="00F558C2">
      <w:pPr>
        <w:pStyle w:val="Listparagraf"/>
        <w:tabs>
          <w:tab w:val="left" w:pos="851"/>
          <w:tab w:val="left" w:pos="3969"/>
        </w:tabs>
        <w:spacing w:after="0" w:line="240" w:lineRule="auto"/>
        <w:ind w:left="0" w:firstLine="426"/>
        <w:jc w:val="center"/>
        <w:rPr>
          <w:rFonts w:ascii="Times New Roman" w:eastAsia="Times New Roman" w:hAnsi="Times New Roman" w:cs="Times New Roman"/>
          <w:b/>
          <w:lang w:val="ro-MD"/>
        </w:rPr>
      </w:pPr>
    </w:p>
    <w:p w14:paraId="0E331E44" w14:textId="77777777" w:rsidR="00F558C2" w:rsidRPr="000508B6" w:rsidRDefault="00F558C2" w:rsidP="00F558C2">
      <w:pPr>
        <w:pStyle w:val="Listparagraf"/>
        <w:tabs>
          <w:tab w:val="left" w:pos="851"/>
          <w:tab w:val="left" w:pos="3969"/>
        </w:tabs>
        <w:spacing w:after="0" w:line="240" w:lineRule="auto"/>
        <w:ind w:left="0"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3-a</w:t>
      </w:r>
    </w:p>
    <w:p w14:paraId="5A1CD7BD" w14:textId="466ADB05" w:rsidR="00F558C2" w:rsidRPr="000508B6" w:rsidRDefault="00F558C2" w:rsidP="00F558C2">
      <w:pPr>
        <w:tabs>
          <w:tab w:val="left" w:pos="3969"/>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Retragerea licenței </w:t>
      </w:r>
      <w:r w:rsidR="00612A67" w:rsidRPr="000508B6">
        <w:rPr>
          <w:rFonts w:ascii="Times New Roman" w:eastAsia="Times New Roman" w:hAnsi="Times New Roman" w:cs="Times New Roman"/>
          <w:b/>
          <w:lang w:val="ro-MD"/>
        </w:rPr>
        <w:t xml:space="preserve">asigurătorului sau </w:t>
      </w:r>
      <w:proofErr w:type="spellStart"/>
      <w:r w:rsidR="00612A67" w:rsidRPr="000508B6">
        <w:rPr>
          <w:rFonts w:ascii="Times New Roman" w:eastAsia="Times New Roman" w:hAnsi="Times New Roman" w:cs="Times New Roman"/>
          <w:b/>
          <w:lang w:val="ro-MD"/>
        </w:rPr>
        <w:t>reasigurătorului</w:t>
      </w:r>
      <w:proofErr w:type="spellEnd"/>
    </w:p>
    <w:p w14:paraId="1F8D60FA" w14:textId="77777777" w:rsidR="00F558C2" w:rsidRPr="000508B6" w:rsidRDefault="00F558C2" w:rsidP="00F558C2">
      <w:pPr>
        <w:pStyle w:val="Listparagraf"/>
        <w:tabs>
          <w:tab w:val="left" w:pos="851"/>
          <w:tab w:val="left" w:pos="3969"/>
        </w:tabs>
        <w:spacing w:after="0" w:line="240" w:lineRule="auto"/>
        <w:ind w:left="0" w:firstLine="426"/>
        <w:jc w:val="center"/>
        <w:rPr>
          <w:rFonts w:ascii="Times New Roman" w:eastAsia="Times New Roman" w:hAnsi="Times New Roman" w:cs="Times New Roman"/>
          <w:b/>
          <w:lang w:val="ro-MD"/>
        </w:rPr>
      </w:pPr>
    </w:p>
    <w:p w14:paraId="0DCE1F34" w14:textId="1C533A73"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CA6B02" w:rsidRPr="000508B6">
        <w:rPr>
          <w:rFonts w:ascii="Times New Roman" w:eastAsia="Times New Roman" w:hAnsi="Times New Roman" w:cs="Times New Roman"/>
          <w:b/>
          <w:lang w:val="ro-MD"/>
        </w:rPr>
        <w:t>164</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p>
    <w:p w14:paraId="11E81BD7" w14:textId="3A7CC736" w:rsidR="00203D77" w:rsidRPr="000508B6" w:rsidRDefault="00203D77" w:rsidP="00E16A77">
      <w:pPr>
        <w:numPr>
          <w:ilvl w:val="0"/>
          <w:numId w:val="97"/>
        </w:numPr>
        <w:tabs>
          <w:tab w:val="left" w:pos="284"/>
          <w:tab w:val="left" w:pos="709"/>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poate retrage licența acordată </w:t>
      </w:r>
      <w:r w:rsidR="003459E1" w:rsidRPr="000508B6">
        <w:rPr>
          <w:rFonts w:ascii="Times New Roman" w:eastAsia="Times New Roman" w:hAnsi="Times New Roman" w:cs="Times New Roman"/>
          <w:lang w:val="ro-MD"/>
        </w:rPr>
        <w:t>unui</w:t>
      </w:r>
      <w:r w:rsidRPr="000508B6">
        <w:rPr>
          <w:rFonts w:ascii="Times New Roman" w:eastAsia="Times New Roman" w:hAnsi="Times New Roman" w:cs="Times New Roman"/>
          <w:lang w:val="ro-MD"/>
        </w:rPr>
        <w:t xml:space="preserve"> </w:t>
      </w:r>
      <w:r w:rsidR="003459E1" w:rsidRPr="000508B6">
        <w:rPr>
          <w:rFonts w:ascii="Times New Roman" w:eastAsia="Times New Roman" w:hAnsi="Times New Roman" w:cs="Times New Roman"/>
          <w:lang w:val="ro-MD"/>
        </w:rPr>
        <w:t xml:space="preserve">asigurător sau </w:t>
      </w:r>
      <w:proofErr w:type="spellStart"/>
      <w:r w:rsidR="003459E1" w:rsidRPr="000508B6">
        <w:rPr>
          <w:rFonts w:ascii="Times New Roman" w:eastAsia="Times New Roman" w:hAnsi="Times New Roman" w:cs="Times New Roman"/>
          <w:lang w:val="ro-MD"/>
        </w:rPr>
        <w:t>reasigurător</w:t>
      </w:r>
      <w:proofErr w:type="spellEnd"/>
      <w:r w:rsidR="003459E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prin decizie motivată, în cazul în care:  </w:t>
      </w:r>
    </w:p>
    <w:p w14:paraId="1080C60C" w14:textId="4950C405" w:rsidR="00203D77" w:rsidRPr="000508B6" w:rsidRDefault="00D068AA" w:rsidP="001A3365">
      <w:pPr>
        <w:numPr>
          <w:ilvl w:val="2"/>
          <w:numId w:val="98"/>
        </w:numPr>
        <w:tabs>
          <w:tab w:val="left" w:pos="284"/>
          <w:tab w:val="left" w:pos="709"/>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D31306" w:rsidRPr="000508B6">
        <w:rPr>
          <w:rFonts w:ascii="Times New Roman" w:eastAsia="Times New Roman" w:hAnsi="Times New Roman" w:cs="Times New Roman"/>
          <w:lang w:val="ro-MD"/>
        </w:rPr>
        <w:t xml:space="preserve"> </w:t>
      </w:r>
      <w:r w:rsidR="00203D77" w:rsidRPr="000508B6">
        <w:rPr>
          <w:rFonts w:ascii="Times New Roman" w:eastAsia="Times New Roman" w:hAnsi="Times New Roman" w:cs="Times New Roman"/>
          <w:lang w:val="ro-MD"/>
        </w:rPr>
        <w:t xml:space="preserve">nu desfășoară activitate de asigurare </w:t>
      </w:r>
      <w:r w:rsidR="005968D4" w:rsidRPr="000508B6">
        <w:rPr>
          <w:rFonts w:ascii="Times New Roman" w:eastAsia="Times New Roman" w:hAnsi="Times New Roman" w:cs="Times New Roman"/>
          <w:lang w:val="ro-MD"/>
        </w:rPr>
        <w:t>sau de reasigurare</w:t>
      </w:r>
      <w:r w:rsidR="00203D77" w:rsidRPr="000508B6">
        <w:rPr>
          <w:rFonts w:ascii="Times New Roman" w:eastAsia="Times New Roman" w:hAnsi="Times New Roman" w:cs="Times New Roman"/>
          <w:lang w:val="ro-MD"/>
        </w:rPr>
        <w:t xml:space="preserve"> 12 luni consecutiv de la data obținerii licenței sau încetează să își mai desfășoare activitatea de asigurare pentru o perioadă de peste 6 luni consecutiv;</w:t>
      </w:r>
      <w:r w:rsidR="00203D77" w:rsidRPr="000508B6">
        <w:rPr>
          <w:rFonts w:ascii="Times New Roman" w:eastAsia="Times New Roman" w:hAnsi="Times New Roman" w:cs="Times New Roman"/>
          <w:i/>
          <w:lang w:val="ro-MD"/>
        </w:rPr>
        <w:t xml:space="preserve"> </w:t>
      </w:r>
    </w:p>
    <w:p w14:paraId="373A8404" w14:textId="4D5B797E" w:rsidR="00203D77" w:rsidRPr="000508B6" w:rsidRDefault="00D068AA" w:rsidP="001A3365">
      <w:pPr>
        <w:numPr>
          <w:ilvl w:val="2"/>
          <w:numId w:val="98"/>
        </w:numPr>
        <w:tabs>
          <w:tab w:val="left" w:pos="709"/>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D31306" w:rsidRPr="000508B6">
        <w:rPr>
          <w:rFonts w:ascii="Times New Roman" w:eastAsia="Times New Roman" w:hAnsi="Times New Roman" w:cs="Times New Roman"/>
          <w:lang w:val="ro-MD"/>
        </w:rPr>
        <w:t xml:space="preserve"> </w:t>
      </w:r>
      <w:r w:rsidR="00203D77" w:rsidRPr="000508B6">
        <w:rPr>
          <w:rFonts w:ascii="Times New Roman" w:eastAsia="Times New Roman" w:hAnsi="Times New Roman" w:cs="Times New Roman"/>
          <w:lang w:val="ro-MD"/>
        </w:rPr>
        <w:t xml:space="preserve">nu mai îndeplinește </w:t>
      </w:r>
      <w:proofErr w:type="spellStart"/>
      <w:r w:rsidR="00203D77" w:rsidRPr="000508B6">
        <w:rPr>
          <w:rFonts w:ascii="Times New Roman" w:eastAsia="Times New Roman" w:hAnsi="Times New Roman" w:cs="Times New Roman"/>
          <w:lang w:val="ro-MD"/>
        </w:rPr>
        <w:t>condiţiile</w:t>
      </w:r>
      <w:proofErr w:type="spellEnd"/>
      <w:r w:rsidR="00203D77" w:rsidRPr="000508B6">
        <w:rPr>
          <w:rFonts w:ascii="Times New Roman" w:eastAsia="Times New Roman" w:hAnsi="Times New Roman" w:cs="Times New Roman"/>
          <w:lang w:val="ro-MD"/>
        </w:rPr>
        <w:t xml:space="preserve"> de licențiere;</w:t>
      </w:r>
      <w:r w:rsidR="00203D77" w:rsidRPr="000508B6" w:rsidDel="00034CD4">
        <w:rPr>
          <w:rFonts w:ascii="Times New Roman" w:eastAsia="Times New Roman" w:hAnsi="Times New Roman" w:cs="Times New Roman"/>
          <w:lang w:val="ro-MD"/>
        </w:rPr>
        <w:t xml:space="preserve"> </w:t>
      </w:r>
    </w:p>
    <w:p w14:paraId="5AE75622" w14:textId="08234D5C" w:rsidR="00203D77" w:rsidRPr="000508B6" w:rsidRDefault="00D068AA" w:rsidP="001A3365">
      <w:pPr>
        <w:numPr>
          <w:ilvl w:val="2"/>
          <w:numId w:val="98"/>
        </w:numPr>
        <w:tabs>
          <w:tab w:val="left" w:pos="709"/>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asigurătorul sau </w:t>
      </w:r>
      <w:proofErr w:type="spellStart"/>
      <w:r w:rsidRPr="000508B6">
        <w:rPr>
          <w:rFonts w:ascii="Times New Roman" w:eastAsia="Times New Roman" w:hAnsi="Times New Roman" w:cs="Times New Roman"/>
          <w:lang w:val="ro-MD"/>
        </w:rPr>
        <w:t>reasigurătorul</w:t>
      </w:r>
      <w:proofErr w:type="spellEnd"/>
      <w:r w:rsidR="008A651F" w:rsidRPr="000508B6">
        <w:rPr>
          <w:rFonts w:ascii="Times New Roman" w:eastAsia="Times New Roman" w:hAnsi="Times New Roman" w:cs="Times New Roman"/>
          <w:lang w:val="ro-MD"/>
        </w:rPr>
        <w:t xml:space="preserve"> își</w:t>
      </w:r>
      <w:r w:rsidR="00D31306" w:rsidRPr="000508B6">
        <w:rPr>
          <w:rFonts w:ascii="Times New Roman" w:eastAsia="Times New Roman" w:hAnsi="Times New Roman" w:cs="Times New Roman"/>
          <w:lang w:val="ro-MD"/>
        </w:rPr>
        <w:t xml:space="preserve"> </w:t>
      </w:r>
      <w:r w:rsidR="00203D77" w:rsidRPr="000508B6">
        <w:rPr>
          <w:rFonts w:ascii="Times New Roman" w:eastAsia="Times New Roman" w:hAnsi="Times New Roman" w:cs="Times New Roman"/>
          <w:lang w:val="ro-MD"/>
        </w:rPr>
        <w:t xml:space="preserve">încalcă grav </w:t>
      </w:r>
      <w:proofErr w:type="spellStart"/>
      <w:r w:rsidR="00203D77" w:rsidRPr="000508B6">
        <w:rPr>
          <w:rFonts w:ascii="Times New Roman" w:eastAsia="Times New Roman" w:hAnsi="Times New Roman" w:cs="Times New Roman"/>
          <w:lang w:val="ro-MD"/>
        </w:rPr>
        <w:t>obligaţiile</w:t>
      </w:r>
      <w:proofErr w:type="spellEnd"/>
      <w:r w:rsidR="00203D77" w:rsidRPr="000508B6">
        <w:rPr>
          <w:rFonts w:ascii="Times New Roman" w:eastAsia="Times New Roman" w:hAnsi="Times New Roman" w:cs="Times New Roman"/>
          <w:lang w:val="ro-MD"/>
        </w:rPr>
        <w:t xml:space="preserve"> care decurg din prevederile legale; </w:t>
      </w:r>
    </w:p>
    <w:p w14:paraId="77E03788" w14:textId="73143A88" w:rsidR="00203D77" w:rsidRPr="000508B6" w:rsidRDefault="00D068AA" w:rsidP="001A3365">
      <w:pPr>
        <w:numPr>
          <w:ilvl w:val="2"/>
          <w:numId w:val="98"/>
        </w:numPr>
        <w:tabs>
          <w:tab w:val="left" w:pos="709"/>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D31306" w:rsidRPr="000508B6">
        <w:rPr>
          <w:rFonts w:ascii="Times New Roman" w:eastAsia="Times New Roman" w:hAnsi="Times New Roman" w:cs="Times New Roman"/>
          <w:lang w:val="ro-MD"/>
        </w:rPr>
        <w:t xml:space="preserve"> </w:t>
      </w:r>
      <w:r w:rsidR="00203D77" w:rsidRPr="000508B6">
        <w:rPr>
          <w:rFonts w:ascii="Times New Roman" w:eastAsia="Times New Roman" w:hAnsi="Times New Roman" w:cs="Times New Roman"/>
          <w:lang w:val="ro-MD"/>
        </w:rPr>
        <w:t xml:space="preserve">a obținut </w:t>
      </w:r>
      <w:proofErr w:type="spellStart"/>
      <w:r w:rsidR="00203D77" w:rsidRPr="000508B6">
        <w:rPr>
          <w:rFonts w:ascii="Times New Roman" w:eastAsia="Times New Roman" w:hAnsi="Times New Roman" w:cs="Times New Roman"/>
          <w:lang w:val="ro-MD"/>
        </w:rPr>
        <w:t>licenţa</w:t>
      </w:r>
      <w:proofErr w:type="spellEnd"/>
      <w:r w:rsidR="00203D77" w:rsidRPr="000508B6">
        <w:rPr>
          <w:rFonts w:ascii="Times New Roman" w:eastAsia="Times New Roman" w:hAnsi="Times New Roman" w:cs="Times New Roman"/>
          <w:lang w:val="ro-MD"/>
        </w:rPr>
        <w:t xml:space="preserve"> pe baza unor </w:t>
      </w:r>
      <w:proofErr w:type="spellStart"/>
      <w:r w:rsidR="00203D77" w:rsidRPr="000508B6">
        <w:rPr>
          <w:rFonts w:ascii="Times New Roman" w:eastAsia="Times New Roman" w:hAnsi="Times New Roman" w:cs="Times New Roman"/>
          <w:lang w:val="ro-MD"/>
        </w:rPr>
        <w:t>informaţii</w:t>
      </w:r>
      <w:proofErr w:type="spellEnd"/>
      <w:r w:rsidR="00203D77" w:rsidRPr="000508B6">
        <w:rPr>
          <w:rFonts w:ascii="Times New Roman" w:eastAsia="Times New Roman" w:hAnsi="Times New Roman" w:cs="Times New Roman"/>
          <w:lang w:val="ro-MD"/>
        </w:rPr>
        <w:t xml:space="preserve"> false sau prin alte mijloace ilegale;</w:t>
      </w:r>
    </w:p>
    <w:p w14:paraId="18F219A2" w14:textId="2BF243E4" w:rsidR="00203D77" w:rsidRPr="000508B6" w:rsidRDefault="00203D77" w:rsidP="001A3365">
      <w:pPr>
        <w:numPr>
          <w:ilvl w:val="2"/>
          <w:numId w:val="98"/>
        </w:numPr>
        <w:tabs>
          <w:tab w:val="left" w:pos="709"/>
        </w:tabs>
        <w:spacing w:after="0" w:line="240" w:lineRule="auto"/>
        <w:ind w:left="0" w:firstLine="426"/>
        <w:contextualSpacing/>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instanţa</w:t>
      </w:r>
      <w:proofErr w:type="spellEnd"/>
      <w:r w:rsidRPr="000508B6">
        <w:rPr>
          <w:rFonts w:ascii="Times New Roman" w:eastAsia="Times New Roman" w:hAnsi="Times New Roman" w:cs="Times New Roman"/>
          <w:lang w:val="ro-MD"/>
        </w:rPr>
        <w:t xml:space="preserve"> de judecată a emis o hotărâre de </w:t>
      </w:r>
      <w:r w:rsidR="0023136A" w:rsidRPr="000508B6">
        <w:rPr>
          <w:rFonts w:ascii="Times New Roman" w:eastAsia="Times New Roman" w:hAnsi="Times New Roman" w:cs="Times New Roman"/>
          <w:lang w:val="ro-MD"/>
        </w:rPr>
        <w:t>intentare</w:t>
      </w:r>
      <w:r w:rsidRPr="000508B6">
        <w:rPr>
          <w:rFonts w:ascii="Times New Roman" w:eastAsia="Times New Roman" w:hAnsi="Times New Roman" w:cs="Times New Roman"/>
          <w:lang w:val="ro-MD"/>
        </w:rPr>
        <w:t xml:space="preserve"> a procesului de insolvabilitate sau de dizolvare a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w:t>
      </w:r>
    </w:p>
    <w:p w14:paraId="1ACE2881" w14:textId="4A0D5230" w:rsidR="00203D77" w:rsidRPr="000508B6" w:rsidRDefault="00203D77" w:rsidP="001A3365">
      <w:pPr>
        <w:numPr>
          <w:ilvl w:val="2"/>
          <w:numId w:val="98"/>
        </w:numPr>
        <w:tabs>
          <w:tab w:val="left" w:pos="709"/>
          <w:tab w:val="left" w:pos="851"/>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se solicită de către </w:t>
      </w:r>
      <w:r w:rsidR="00EA24E5" w:rsidRPr="000508B6">
        <w:rPr>
          <w:rFonts w:ascii="Times New Roman" w:eastAsia="Times New Roman" w:hAnsi="Times New Roman" w:cs="Times New Roman"/>
          <w:lang w:val="ro-MD"/>
        </w:rPr>
        <w:t>asigurător</w:t>
      </w:r>
      <w:r w:rsidR="0083165C" w:rsidRPr="000508B6">
        <w:rPr>
          <w:rFonts w:ascii="Times New Roman" w:eastAsia="Times New Roman" w:hAnsi="Times New Roman" w:cs="Times New Roman"/>
          <w:lang w:val="ro-MD"/>
        </w:rPr>
        <w:t>.</w:t>
      </w:r>
    </w:p>
    <w:p w14:paraId="3786DFC6" w14:textId="61198AE4" w:rsidR="00C943C1" w:rsidRPr="000508B6" w:rsidRDefault="00C943C1" w:rsidP="006547EE">
      <w:pPr>
        <w:numPr>
          <w:ilvl w:val="0"/>
          <w:numId w:val="97"/>
        </w:numPr>
        <w:tabs>
          <w:tab w:val="left" w:pos="709"/>
          <w:tab w:val="left" w:pos="851"/>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retrage licența </w:t>
      </w:r>
      <w:r w:rsidR="00E16A77" w:rsidRPr="000508B6">
        <w:rPr>
          <w:rFonts w:ascii="Times New Roman" w:eastAsia="Times New Roman" w:hAnsi="Times New Roman" w:cs="Times New Roman"/>
          <w:lang w:val="ro-MD"/>
        </w:rPr>
        <w:t xml:space="preserve">asigurătorului </w:t>
      </w:r>
      <w:r w:rsidRPr="000508B6">
        <w:rPr>
          <w:rFonts w:ascii="Times New Roman" w:eastAsia="Times New Roman" w:hAnsi="Times New Roman" w:cs="Times New Roman"/>
          <w:lang w:val="ro-MD"/>
        </w:rPr>
        <w:t xml:space="preserve">sau </w:t>
      </w:r>
      <w:proofErr w:type="spellStart"/>
      <w:r w:rsidR="00E16A77" w:rsidRPr="000508B6">
        <w:rPr>
          <w:rFonts w:ascii="Times New Roman" w:eastAsia="Times New Roman" w:hAnsi="Times New Roman" w:cs="Times New Roman"/>
          <w:lang w:val="ro-MD"/>
        </w:rPr>
        <w:t>reasigurătorului</w:t>
      </w:r>
      <w:proofErr w:type="spellEnd"/>
      <w:r w:rsidR="00E16A7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 cazul  în care acesta nu respectă MCR, iar Banca Națională a Moldovei consideră că  planul de finanțare prezentat este în mod evident inadecvat sau </w:t>
      </w:r>
      <w:r w:rsidR="00E16A77"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sau </w:t>
      </w:r>
      <w:proofErr w:type="spellStart"/>
      <w:r w:rsidR="00E16A77" w:rsidRPr="000508B6">
        <w:rPr>
          <w:rFonts w:ascii="Times New Roman" w:eastAsia="Times New Roman" w:hAnsi="Times New Roman" w:cs="Times New Roman"/>
          <w:lang w:val="ro-MD"/>
        </w:rPr>
        <w:t>reasigurătorul</w:t>
      </w:r>
      <w:proofErr w:type="spellEnd"/>
      <w:r w:rsidR="00E16A7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nu se conformează planului aprobat în termen de trei luni de la data constatării nerespectării MCR.</w:t>
      </w:r>
      <w:r w:rsidR="009F209F" w:rsidRPr="000508B6">
        <w:rPr>
          <w:rFonts w:ascii="Times New Roman" w:hAnsi="Times New Roman" w:cs="Times New Roman"/>
          <w:lang w:val="ro-MD"/>
        </w:rPr>
        <w:t xml:space="preserve"> </w:t>
      </w:r>
    </w:p>
    <w:p w14:paraId="53069517" w14:textId="3BDB3116" w:rsidR="00203D77" w:rsidRPr="000508B6" w:rsidRDefault="00203D77" w:rsidP="006547EE">
      <w:pPr>
        <w:numPr>
          <w:ilvl w:val="0"/>
          <w:numId w:val="97"/>
        </w:numPr>
        <w:tabs>
          <w:tab w:val="left" w:pos="709"/>
          <w:tab w:val="left" w:pos="851"/>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Nu este admisă retragerea licenței conform alin. (1) lit. </w:t>
      </w:r>
      <w:r w:rsidR="00FB1920" w:rsidRPr="000508B6">
        <w:rPr>
          <w:rFonts w:ascii="Times New Roman" w:eastAsia="Times New Roman" w:hAnsi="Times New Roman" w:cs="Times New Roman"/>
          <w:lang w:val="ro-MD"/>
        </w:rPr>
        <w:t>f</w:t>
      </w:r>
      <w:r w:rsidRPr="000508B6">
        <w:rPr>
          <w:rFonts w:ascii="Times New Roman" w:eastAsia="Times New Roman" w:hAnsi="Times New Roman" w:cs="Times New Roman"/>
          <w:lang w:val="ro-MD"/>
        </w:rPr>
        <w:t xml:space="preserve">) în cazul în 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deține portofoliu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de reasigurare cu contracte în vigoare și/sau obligații neexecutate asumate în baza contractelor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de reasigurare încheiate.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conform alin. (1) lit. </w:t>
      </w:r>
      <w:r w:rsidR="00FB1920" w:rsidRPr="000508B6">
        <w:rPr>
          <w:rFonts w:ascii="Times New Roman" w:eastAsia="Times New Roman" w:hAnsi="Times New Roman" w:cs="Times New Roman"/>
          <w:lang w:val="ro-MD"/>
        </w:rPr>
        <w:t>f</w:t>
      </w:r>
      <w:r w:rsidRPr="000508B6">
        <w:rPr>
          <w:rFonts w:ascii="Times New Roman" w:eastAsia="Times New Roman" w:hAnsi="Times New Roman" w:cs="Times New Roman"/>
          <w:lang w:val="ro-MD"/>
        </w:rPr>
        <w:t xml:space="preserve">) se efectuează în baza cererii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însoţită</w:t>
      </w:r>
      <w:proofErr w:type="spellEnd"/>
      <w:r w:rsidRPr="000508B6">
        <w:rPr>
          <w:rFonts w:ascii="Times New Roman" w:eastAsia="Times New Roman" w:hAnsi="Times New Roman" w:cs="Times New Roman"/>
          <w:lang w:val="ro-MD"/>
        </w:rPr>
        <w:t xml:space="preserve"> de următoarele documente:</w:t>
      </w:r>
    </w:p>
    <w:p w14:paraId="3E926C72" w14:textId="7F74AA0C" w:rsidR="00203D77" w:rsidRPr="000508B6" w:rsidRDefault="00203D77" w:rsidP="006547EE">
      <w:pPr>
        <w:tabs>
          <w:tab w:val="left" w:pos="426"/>
          <w:tab w:val="left" w:pos="709"/>
        </w:tabs>
        <w:spacing w:after="0" w:line="240" w:lineRule="auto"/>
        <w:ind w:firstLine="284"/>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b/>
        <w:t xml:space="preserve">a) decizia organului competent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cu privire la  încetarea activității;  </w:t>
      </w:r>
    </w:p>
    <w:p w14:paraId="34F8103A" w14:textId="57D16769" w:rsidR="00203D77" w:rsidRPr="000508B6" w:rsidRDefault="00203D77" w:rsidP="00203D77">
      <w:pPr>
        <w:tabs>
          <w:tab w:val="left" w:pos="426"/>
        </w:tabs>
        <w:spacing w:after="0" w:line="240" w:lineRule="auto"/>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b/>
        <w:t xml:space="preserve">b) dovada transferului portofoliului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/sau de reasigurare efectuat conform art. 18</w:t>
      </w:r>
      <w:r w:rsidR="008B44ED"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și </w:t>
      </w:r>
      <w:r w:rsidR="0023136A" w:rsidRPr="000508B6">
        <w:rPr>
          <w:rFonts w:ascii="Times New Roman" w:eastAsia="Times New Roman" w:hAnsi="Times New Roman" w:cs="Times New Roman"/>
          <w:lang w:val="ro-MD"/>
        </w:rPr>
        <w:t>actelor normative ale</w:t>
      </w:r>
      <w:r w:rsidRPr="000508B6">
        <w:rPr>
          <w:rFonts w:ascii="Times New Roman" w:eastAsia="Times New Roman" w:hAnsi="Times New Roman" w:cs="Times New Roman"/>
          <w:lang w:val="ro-MD"/>
        </w:rPr>
        <w:t xml:space="preserve"> </w:t>
      </w:r>
      <w:r w:rsidR="0023136A" w:rsidRPr="000508B6">
        <w:rPr>
          <w:rFonts w:ascii="Times New Roman" w:eastAsia="Times New Roman" w:hAnsi="Times New Roman" w:cs="Times New Roman"/>
          <w:lang w:val="ro-MD"/>
        </w:rPr>
        <w:t>Băncii Naționale a Moldovei</w:t>
      </w:r>
      <w:r w:rsidRPr="000508B6">
        <w:rPr>
          <w:rFonts w:ascii="Times New Roman" w:eastAsia="Times New Roman" w:hAnsi="Times New Roman" w:cs="Times New Roman"/>
          <w:lang w:val="ro-MD"/>
        </w:rPr>
        <w:t xml:space="preserve"> și/sau dovada executării tuturor obligațiilor asumate în baza contractelor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/sau de reasigurare încheiate.</w:t>
      </w:r>
    </w:p>
    <w:p w14:paraId="2B934B8D" w14:textId="31DF5DAD" w:rsidR="00203D77" w:rsidRPr="000508B6" w:rsidRDefault="00203D77" w:rsidP="006547EE">
      <w:pPr>
        <w:numPr>
          <w:ilvl w:val="0"/>
          <w:numId w:val="97"/>
        </w:numPr>
        <w:tabs>
          <w:tab w:val="left" w:pos="709"/>
          <w:tab w:val="left" w:pos="851"/>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Licența poate fi retrasă pentru toate clasele sau </w:t>
      </w: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incluse în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sau pe clase de asigurare sau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de reasigurare separate (retragere parțială).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pe clase de asigurare sau </w:t>
      </w:r>
      <w:proofErr w:type="spellStart"/>
      <w:r w:rsidRPr="000508B6">
        <w:rPr>
          <w:rFonts w:ascii="Times New Roman" w:eastAsia="Times New Roman" w:hAnsi="Times New Roman" w:cs="Times New Roman"/>
          <w:lang w:val="ro-MD"/>
        </w:rPr>
        <w:t>activităţi</w:t>
      </w:r>
      <w:proofErr w:type="spellEnd"/>
      <w:r w:rsidRPr="000508B6">
        <w:rPr>
          <w:rFonts w:ascii="Times New Roman" w:eastAsia="Times New Roman" w:hAnsi="Times New Roman" w:cs="Times New Roman"/>
          <w:lang w:val="ro-MD"/>
        </w:rPr>
        <w:t xml:space="preserve"> de reasigurare separat are drept efect excluderea acestora din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Decizia cu privire la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cuprinde motivele de retragere a acesteia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se comunică în scris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respectiv. </w:t>
      </w:r>
    </w:p>
    <w:p w14:paraId="4CC628D4" w14:textId="02BD43D1" w:rsidR="00203D77" w:rsidRPr="000508B6" w:rsidRDefault="00203D77" w:rsidP="00CF5AFA">
      <w:pPr>
        <w:pStyle w:val="Listparagraf"/>
        <w:numPr>
          <w:ilvl w:val="0"/>
          <w:numId w:val="97"/>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Retragerea licenței</w:t>
      </w:r>
      <w:r w:rsidR="00414CB3" w:rsidRPr="000508B6">
        <w:rPr>
          <w:rFonts w:ascii="Times New Roman" w:eastAsia="Times New Roman" w:hAnsi="Times New Roman" w:cs="Times New Roman"/>
          <w:lang w:val="ro-MD"/>
        </w:rPr>
        <w:t xml:space="preserve">, cu excepția </w:t>
      </w:r>
      <w:r w:rsidR="00040F73" w:rsidRPr="000508B6">
        <w:rPr>
          <w:rFonts w:ascii="Times New Roman" w:eastAsia="Times New Roman" w:hAnsi="Times New Roman" w:cs="Times New Roman"/>
          <w:lang w:val="ro-MD"/>
        </w:rPr>
        <w:t>temeiului</w:t>
      </w:r>
      <w:r w:rsidR="00414CB3" w:rsidRPr="000508B6">
        <w:rPr>
          <w:rFonts w:ascii="Times New Roman" w:eastAsia="Times New Roman" w:hAnsi="Times New Roman" w:cs="Times New Roman"/>
          <w:lang w:val="ro-MD"/>
        </w:rPr>
        <w:t xml:space="preserve"> </w:t>
      </w:r>
      <w:r w:rsidR="00A604C0" w:rsidRPr="000508B6">
        <w:rPr>
          <w:rFonts w:ascii="Times New Roman" w:eastAsia="Times New Roman" w:hAnsi="Times New Roman" w:cs="Times New Roman"/>
          <w:lang w:val="ro-MD"/>
        </w:rPr>
        <w:t xml:space="preserve">prevăzut la </w:t>
      </w:r>
      <w:r w:rsidR="00414CB3" w:rsidRPr="000508B6">
        <w:rPr>
          <w:rFonts w:ascii="Times New Roman" w:eastAsia="Times New Roman" w:hAnsi="Times New Roman" w:cs="Times New Roman"/>
          <w:lang w:val="ro-MD"/>
        </w:rPr>
        <w:t>alin. (1) lit. f),</w:t>
      </w:r>
      <w:r w:rsidRPr="000508B6">
        <w:rPr>
          <w:rFonts w:ascii="Times New Roman" w:eastAsia="Times New Roman" w:hAnsi="Times New Roman" w:cs="Times New Roman"/>
          <w:lang w:val="ro-MD"/>
        </w:rPr>
        <w:t xml:space="preserve"> nu absolvă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de o ulterioară supraveghere de către Banca Națională a Moldovei și  continuă să fie supus regulilor și obiectivelor generale ale supravegherii asigurărilor licențiate, cel puțin până la </w:t>
      </w:r>
      <w:r w:rsidR="00184836" w:rsidRPr="000508B6">
        <w:rPr>
          <w:rFonts w:ascii="Times New Roman" w:eastAsia="Times New Roman" w:hAnsi="Times New Roman" w:cs="Times New Roman"/>
          <w:lang w:val="ro-MD"/>
        </w:rPr>
        <w:t xml:space="preserve">intentarea </w:t>
      </w:r>
      <w:r w:rsidRPr="000508B6">
        <w:rPr>
          <w:rFonts w:ascii="Times New Roman" w:eastAsia="Times New Roman" w:hAnsi="Times New Roman" w:cs="Times New Roman"/>
          <w:lang w:val="ro-MD"/>
        </w:rPr>
        <w:t>unei eventuale proceduri de insolvabilitate/</w:t>
      </w:r>
      <w:r w:rsidR="005930CC" w:rsidRPr="000508B6">
        <w:rPr>
          <w:rFonts w:ascii="Times New Roman" w:eastAsia="Times New Roman" w:hAnsi="Times New Roman" w:cs="Times New Roman"/>
          <w:lang w:val="ro-MD"/>
        </w:rPr>
        <w:t>dizolvare</w:t>
      </w:r>
      <w:r w:rsidRPr="000508B6">
        <w:rPr>
          <w:rFonts w:ascii="Times New Roman" w:eastAsia="Times New Roman" w:hAnsi="Times New Roman" w:cs="Times New Roman"/>
          <w:lang w:val="ro-MD"/>
        </w:rPr>
        <w:t>.</w:t>
      </w:r>
      <w:r w:rsidRPr="000508B6">
        <w:rPr>
          <w:rFonts w:ascii="Times New Roman" w:eastAsia="Times New Roman" w:hAnsi="Times New Roman" w:cs="Times New Roman"/>
          <w:i/>
          <w:color w:val="FF0000"/>
          <w:lang w:val="ro-MD"/>
        </w:rPr>
        <w:t xml:space="preserve"> </w:t>
      </w:r>
      <w:r w:rsidR="004B0E47" w:rsidRPr="000508B6">
        <w:rPr>
          <w:rFonts w:ascii="Times New Roman" w:eastAsia="Times New Roman" w:hAnsi="Times New Roman" w:cs="Times New Roman"/>
          <w:lang w:val="ro-MD"/>
        </w:rPr>
        <w:t>Banca Națională a Moldovei</w:t>
      </w:r>
      <w:r w:rsidRPr="000508B6">
        <w:rPr>
          <w:rFonts w:ascii="Times New Roman" w:eastAsia="Times New Roman" w:hAnsi="Times New Roman" w:cs="Times New Roman"/>
          <w:lang w:val="ro-MD"/>
        </w:rPr>
        <w:t xml:space="preserve"> emite </w:t>
      </w:r>
      <w:r w:rsidR="004B0E47" w:rsidRPr="000508B6">
        <w:rPr>
          <w:rFonts w:ascii="Times New Roman" w:eastAsia="Times New Roman" w:hAnsi="Times New Roman" w:cs="Times New Roman"/>
          <w:lang w:val="ro-MD"/>
        </w:rPr>
        <w:t>acte normative</w:t>
      </w:r>
      <w:r w:rsidRPr="000508B6">
        <w:rPr>
          <w:rFonts w:ascii="Times New Roman" w:eastAsia="Times New Roman" w:hAnsi="Times New Roman" w:cs="Times New Roman"/>
          <w:lang w:val="ro-MD"/>
        </w:rPr>
        <w:t xml:space="preserve"> privind forma și conținutul raportărilor periodice ale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în cadrul procesului de supraveghere cu dreptul de a efectua următoarele: </w:t>
      </w:r>
    </w:p>
    <w:p w14:paraId="6919273A" w14:textId="6A4854DE" w:rsidR="00203D77" w:rsidRPr="000508B6" w:rsidRDefault="00203D77" w:rsidP="00203D77">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analiza situației financiare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cu dreptul de a  accesa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documentele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registrele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0502D096" w14:textId="728A8477" w:rsidR="00203D77" w:rsidRPr="000508B6" w:rsidRDefault="00203D77" w:rsidP="00203D77">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suspendarea oricăror </w:t>
      </w:r>
      <w:proofErr w:type="spellStart"/>
      <w:r w:rsidRPr="000508B6">
        <w:rPr>
          <w:rFonts w:ascii="Times New Roman" w:eastAsia="Times New Roman" w:hAnsi="Times New Roman" w:cs="Times New Roman"/>
          <w:lang w:val="ro-MD"/>
        </w:rPr>
        <w:t>tranzacţii</w:t>
      </w:r>
      <w:proofErr w:type="spellEnd"/>
      <w:r w:rsidRPr="000508B6">
        <w:rPr>
          <w:rFonts w:ascii="Times New Roman" w:eastAsia="Times New Roman" w:hAnsi="Times New Roman" w:cs="Times New Roman"/>
          <w:lang w:val="ro-MD"/>
        </w:rPr>
        <w:t xml:space="preserve"> cu activele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cu excepția plății despăgubirilor și/sau îndemnizațiilor de asigurare, a sumelor de răscumpărare pentru contractele de asigurare și/sau de reasigurare  încheiate anterior retragerii licenței;</w:t>
      </w:r>
    </w:p>
    <w:p w14:paraId="5808CF46" w14:textId="7BE77FB7" w:rsidR="00203D77" w:rsidRPr="000508B6" w:rsidRDefault="00203D77" w:rsidP="00203D77">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 aplicarea </w:t>
      </w:r>
      <w:proofErr w:type="spellStart"/>
      <w:r w:rsidRPr="000508B6">
        <w:rPr>
          <w:rFonts w:ascii="Times New Roman" w:eastAsia="Times New Roman" w:hAnsi="Times New Roman" w:cs="Times New Roman"/>
          <w:lang w:val="ro-MD"/>
        </w:rPr>
        <w:t>sancţiunilor</w:t>
      </w:r>
      <w:proofErr w:type="spellEnd"/>
      <w:r w:rsidR="004B0E47" w:rsidRPr="000508B6">
        <w:rPr>
          <w:rFonts w:ascii="Times New Roman" w:eastAsia="Times New Roman" w:hAnsi="Times New Roman" w:cs="Times New Roman"/>
          <w:lang w:val="ro-MD"/>
        </w:rPr>
        <w:t xml:space="preserve"> și altor m</w:t>
      </w:r>
      <w:r w:rsidRPr="000508B6">
        <w:rPr>
          <w:rFonts w:ascii="Times New Roman" w:eastAsia="Times New Roman" w:hAnsi="Times New Roman" w:cs="Times New Roman"/>
          <w:lang w:val="ro-MD"/>
        </w:rPr>
        <w:t xml:space="preserve">ăsuri </w:t>
      </w:r>
      <w:r w:rsidR="004B0E47" w:rsidRPr="000508B6">
        <w:rPr>
          <w:rFonts w:ascii="Times New Roman" w:eastAsia="Times New Roman" w:hAnsi="Times New Roman" w:cs="Times New Roman"/>
          <w:lang w:val="ro-MD"/>
        </w:rPr>
        <w:t xml:space="preserve">potrivit </w:t>
      </w:r>
      <w:r w:rsidRPr="000508B6">
        <w:rPr>
          <w:rFonts w:ascii="Times New Roman" w:eastAsia="Times New Roman" w:hAnsi="Times New Roman" w:cs="Times New Roman"/>
          <w:lang w:val="ro-MD"/>
        </w:rPr>
        <w:t xml:space="preserve"> prezentei legi;</w:t>
      </w:r>
    </w:p>
    <w:p w14:paraId="6504A6E4" w14:textId="26F34147" w:rsidR="00203D77" w:rsidRPr="000508B6" w:rsidRDefault="00203D77" w:rsidP="00203D77">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 </w:t>
      </w:r>
      <w:r w:rsidR="00A10D87" w:rsidRPr="000508B6">
        <w:rPr>
          <w:rFonts w:ascii="Times New Roman" w:eastAsia="Times New Roman" w:hAnsi="Times New Roman" w:cs="Times New Roman"/>
          <w:lang w:val="ro-MD"/>
        </w:rPr>
        <w:t>inițierea</w:t>
      </w:r>
      <w:r w:rsidRPr="000508B6">
        <w:rPr>
          <w:rFonts w:ascii="Times New Roman" w:eastAsia="Times New Roman" w:hAnsi="Times New Roman" w:cs="Times New Roman"/>
          <w:lang w:val="ro-MD"/>
        </w:rPr>
        <w:t xml:space="preserve"> procedurilor de </w:t>
      </w:r>
      <w:r w:rsidR="007D4839" w:rsidRPr="000508B6">
        <w:rPr>
          <w:rFonts w:ascii="Times New Roman" w:eastAsia="Times New Roman" w:hAnsi="Times New Roman" w:cs="Times New Roman"/>
          <w:lang w:val="ro-MD"/>
        </w:rPr>
        <w:t>dizolvare</w:t>
      </w:r>
      <w:r w:rsidRPr="000508B6">
        <w:rPr>
          <w:rFonts w:ascii="Times New Roman" w:eastAsia="Times New Roman" w:hAnsi="Times New Roman" w:cs="Times New Roman"/>
          <w:lang w:val="ro-MD"/>
        </w:rPr>
        <w:t xml:space="preserve"> silită;</w:t>
      </w:r>
    </w:p>
    <w:p w14:paraId="7E835955" w14:textId="482185CF" w:rsidR="00203D77" w:rsidRPr="000508B6" w:rsidRDefault="00203D77" w:rsidP="00203D77">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 </w:t>
      </w:r>
      <w:r w:rsidR="00A10D87" w:rsidRPr="000508B6">
        <w:rPr>
          <w:rFonts w:ascii="Times New Roman" w:eastAsia="Times New Roman" w:hAnsi="Times New Roman" w:cs="Times New Roman"/>
          <w:lang w:val="ro-MD"/>
        </w:rPr>
        <w:t>intentarea</w:t>
      </w:r>
      <w:r w:rsidRPr="000508B6">
        <w:rPr>
          <w:rFonts w:ascii="Times New Roman" w:eastAsia="Times New Roman" w:hAnsi="Times New Roman" w:cs="Times New Roman"/>
          <w:lang w:val="ro-MD"/>
        </w:rPr>
        <w:t xml:space="preserve"> procedurilor de insolvabilitate</w:t>
      </w:r>
      <w:r w:rsidR="00BD5BE8" w:rsidRPr="000508B6">
        <w:rPr>
          <w:rFonts w:ascii="Times New Roman" w:eastAsia="Times New Roman" w:hAnsi="Times New Roman" w:cs="Times New Roman"/>
          <w:lang w:val="ro-MD"/>
        </w:rPr>
        <w:t>.</w:t>
      </w:r>
      <w:r w:rsidRPr="000508B6">
        <w:rPr>
          <w:rFonts w:ascii="Times New Roman" w:hAnsi="Times New Roman" w:cs="Times New Roman"/>
          <w:lang w:val="ro-MD"/>
        </w:rPr>
        <w:t xml:space="preserve"> </w:t>
      </w:r>
    </w:p>
    <w:p w14:paraId="10071049" w14:textId="33AC411C" w:rsidR="00203D77" w:rsidRPr="000508B6" w:rsidRDefault="004125E8" w:rsidP="00D513EC">
      <w:pPr>
        <w:pStyle w:val="Listparagraf"/>
        <w:numPr>
          <w:ilvl w:val="0"/>
          <w:numId w:val="97"/>
        </w:numPr>
        <w:spacing w:after="0" w:line="240" w:lineRule="auto"/>
        <w:ind w:left="284" w:firstLine="142"/>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203D77" w:rsidRPr="000508B6">
        <w:rPr>
          <w:rFonts w:ascii="Times New Roman" w:eastAsia="Times New Roman" w:hAnsi="Times New Roman" w:cs="Times New Roman"/>
          <w:lang w:val="ro-MD"/>
        </w:rPr>
        <w:t xml:space="preserve"> </w:t>
      </w:r>
      <w:proofErr w:type="spellStart"/>
      <w:r w:rsidR="00203D77" w:rsidRPr="000508B6">
        <w:rPr>
          <w:rFonts w:ascii="Times New Roman" w:eastAsia="Times New Roman" w:hAnsi="Times New Roman" w:cs="Times New Roman"/>
          <w:lang w:val="ro-MD"/>
        </w:rPr>
        <w:t>faţă</w:t>
      </w:r>
      <w:proofErr w:type="spellEnd"/>
      <w:r w:rsidR="00203D77" w:rsidRPr="000508B6">
        <w:rPr>
          <w:rFonts w:ascii="Times New Roman" w:eastAsia="Times New Roman" w:hAnsi="Times New Roman" w:cs="Times New Roman"/>
          <w:lang w:val="ro-MD"/>
        </w:rPr>
        <w:t xml:space="preserve"> de care a fost adoptată hotărârea cu privire la retragerea </w:t>
      </w:r>
      <w:proofErr w:type="spellStart"/>
      <w:r w:rsidR="00203D77" w:rsidRPr="000508B6">
        <w:rPr>
          <w:rFonts w:ascii="Times New Roman" w:eastAsia="Times New Roman" w:hAnsi="Times New Roman" w:cs="Times New Roman"/>
          <w:lang w:val="ro-MD"/>
        </w:rPr>
        <w:t>licenţei</w:t>
      </w:r>
      <w:proofErr w:type="spellEnd"/>
      <w:r w:rsidR="00203D77" w:rsidRPr="000508B6">
        <w:rPr>
          <w:rFonts w:ascii="Times New Roman" w:eastAsia="Times New Roman" w:hAnsi="Times New Roman" w:cs="Times New Roman"/>
          <w:lang w:val="ro-MD"/>
        </w:rPr>
        <w:t>:</w:t>
      </w:r>
    </w:p>
    <w:p w14:paraId="7A08847A" w14:textId="77777777" w:rsidR="00203D77" w:rsidRPr="000508B6" w:rsidRDefault="00203D77" w:rsidP="00203D77">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desfășoară activitatea de asigurare în măsura în care acest lucru este necesar sau adecvat în scopul transferului portofoliului și executării obligațiilor rezultate din contractele de asigurare, cu excepția încheierii de noi contracte de asigurare sau de reasigurare, reînnoirii, prelungirii, modificării contractelor de asigurare sau de reasigurare în vigoare în ceea ce privește suma asigurată, limitele de răspundere, riscurile acoperite, perioada de valabilitate, limitele teritoriale de valabilitate; </w:t>
      </w:r>
    </w:p>
    <w:p w14:paraId="33CF32DC" w14:textId="16996DC4" w:rsidR="00203D77" w:rsidRPr="000508B6" w:rsidRDefault="00203D77" w:rsidP="00C8656E">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w:t>
      </w:r>
      <w:r w:rsidR="005930CC" w:rsidRPr="000508B6">
        <w:rPr>
          <w:rFonts w:ascii="Times New Roman" w:eastAsia="Times New Roman" w:hAnsi="Times New Roman" w:cs="Times New Roman"/>
          <w:lang w:val="ro-MD"/>
        </w:rPr>
        <w:t xml:space="preserve">notifică toți creditori cunoscuți despre retragerea licenței și dreptul de a rezoluționa contractele, în termen de 30 de zile din momentul notificării, de a solicita restituirea primelor calculate conform cadrului legal și condițiilor de asigurare pentru perioada cuprinsă între semnarea acordului de rezoluțiune a contractului de asigurare  și data expirării termenului prevăzut de contract, și/sau a sumelor de răscumpărare a contractului de asigurare de viață echivalente cu valoarea rezervelor tehnice constituite pentru contract la data </w:t>
      </w:r>
      <w:r w:rsidR="00D71533" w:rsidRPr="000508B6">
        <w:rPr>
          <w:rFonts w:ascii="Times New Roman" w:eastAsia="Times New Roman" w:hAnsi="Times New Roman" w:cs="Times New Roman"/>
          <w:lang w:val="ro-MD"/>
        </w:rPr>
        <w:t>semnării</w:t>
      </w:r>
      <w:r w:rsidR="005930CC" w:rsidRPr="000508B6">
        <w:rPr>
          <w:rFonts w:ascii="Times New Roman" w:eastAsia="Times New Roman" w:hAnsi="Times New Roman" w:cs="Times New Roman"/>
          <w:lang w:val="ro-MD"/>
        </w:rPr>
        <w:t xml:space="preserve"> acordului de rezoluțiune. Informațiile privind retragerea licenței și drepturile asiguraților și beneficiarilor de asigurări, de asemenea, aduse la cunoștința publicului larg prin publicare în cel puțin 2 ediții succesive ale Monitorului Oficial </w:t>
      </w:r>
      <w:r w:rsidR="00A829F3" w:rsidRPr="000508B6">
        <w:rPr>
          <w:rFonts w:ascii="Times New Roman" w:eastAsia="Times New Roman" w:hAnsi="Times New Roman" w:cs="Times New Roman"/>
          <w:lang w:val="ro-MD"/>
        </w:rPr>
        <w:t>al Republicii Moldova</w:t>
      </w:r>
      <w:r w:rsidR="005930CC" w:rsidRPr="000508B6">
        <w:rPr>
          <w:rFonts w:ascii="Times New Roman" w:eastAsia="Times New Roman" w:hAnsi="Times New Roman" w:cs="Times New Roman"/>
          <w:lang w:val="ro-MD"/>
        </w:rPr>
        <w:t>, în alte surse de presă scrisă sau online cu acoperire națională și pe pagina web oficială a asigurătorului</w:t>
      </w:r>
      <w:r w:rsidRPr="000508B6">
        <w:rPr>
          <w:rFonts w:ascii="Times New Roman" w:eastAsia="Times New Roman" w:hAnsi="Times New Roman" w:cs="Times New Roman"/>
          <w:lang w:val="ro-MD"/>
        </w:rPr>
        <w:t>;</w:t>
      </w:r>
    </w:p>
    <w:p w14:paraId="0F73124C" w14:textId="77777777" w:rsidR="00D71533" w:rsidRPr="000508B6" w:rsidRDefault="00203D77" w:rsidP="00D513EC">
      <w:pPr>
        <w:tabs>
          <w:tab w:val="left" w:pos="426"/>
          <w:tab w:val="left" w:pos="709"/>
        </w:tabs>
        <w:spacing w:after="0" w:line="240" w:lineRule="auto"/>
        <w:ind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c) întreprinde toate măsurile necesare întru asigurarea executării obligațiilor </w:t>
      </w:r>
      <w:r w:rsidR="00303ED5" w:rsidRPr="000508B6">
        <w:rPr>
          <w:rFonts w:ascii="Times New Roman" w:eastAsia="Times New Roman" w:hAnsi="Times New Roman" w:cs="Times New Roman"/>
          <w:lang w:val="ro-MD"/>
        </w:rPr>
        <w:t>contractuale</w:t>
      </w:r>
      <w:r w:rsidRPr="000508B6">
        <w:rPr>
          <w:rFonts w:ascii="Times New Roman" w:eastAsia="Times New Roman" w:hAnsi="Times New Roman" w:cs="Times New Roman"/>
          <w:lang w:val="ro-MD"/>
        </w:rPr>
        <w:t xml:space="preserve">, inclusiv efectuarea transferului portofoliului de asigurare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/sau de reasigurare, după caz</w:t>
      </w:r>
      <w:r w:rsidR="00D71533" w:rsidRPr="000508B6">
        <w:rPr>
          <w:rFonts w:ascii="Times New Roman" w:eastAsia="Times New Roman" w:hAnsi="Times New Roman" w:cs="Times New Roman"/>
          <w:lang w:val="ro-MD"/>
        </w:rPr>
        <w:t>;</w:t>
      </w:r>
    </w:p>
    <w:p w14:paraId="2EDEE330" w14:textId="08BF755F" w:rsidR="00203D77" w:rsidRPr="000508B6" w:rsidRDefault="00D71533" w:rsidP="00CE694D">
      <w:pPr>
        <w:spacing w:after="0" w:line="240" w:lineRule="auto"/>
        <w:ind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   d) restituie licența Băncii Naționale a Moldovei în termen de 2 zile lucrătoare de la data comunicării hotărârii cu privire la retragerea licenței, iar nerespectarea termenului prevăzut atrage aplicarea sancțiunilor conform prezentei legi</w:t>
      </w:r>
      <w:r w:rsidR="00203D77" w:rsidRPr="000508B6" w:rsidDel="00D71533">
        <w:rPr>
          <w:rFonts w:ascii="Times New Roman" w:eastAsia="Times New Roman" w:hAnsi="Times New Roman" w:cs="Times New Roman"/>
          <w:lang w:val="ro-MD"/>
        </w:rPr>
        <w:t>.</w:t>
      </w:r>
    </w:p>
    <w:p w14:paraId="37BE63EE" w14:textId="44F6F4E6" w:rsidR="00203D77" w:rsidRPr="000508B6" w:rsidRDefault="00203D77" w:rsidP="00CE694D">
      <w:pPr>
        <w:pStyle w:val="Listparagraf"/>
        <w:numPr>
          <w:ilvl w:val="0"/>
          <w:numId w:val="97"/>
        </w:numPr>
        <w:spacing w:after="0"/>
        <w:ind w:left="0" w:firstLine="426"/>
        <w:jc w:val="both"/>
        <w:rPr>
          <w:rFonts w:ascii="Times New Roman" w:hAnsi="Times New Roman" w:cs="Times New Roman"/>
          <w:lang w:val="ro-MD"/>
        </w:rPr>
      </w:pPr>
      <w:r w:rsidRPr="000508B6">
        <w:rPr>
          <w:rFonts w:ascii="Times New Roman" w:hAnsi="Times New Roman" w:cs="Times New Roman"/>
          <w:lang w:val="ro-MD"/>
        </w:rPr>
        <w:t>În situațiile de retragere a licenței, în temeiuri</w:t>
      </w:r>
      <w:r w:rsidR="00B40A4F" w:rsidRPr="000508B6">
        <w:rPr>
          <w:rFonts w:ascii="Times New Roman" w:hAnsi="Times New Roman" w:cs="Times New Roman"/>
          <w:lang w:val="ro-MD"/>
        </w:rPr>
        <w:t>le</w:t>
      </w:r>
      <w:r w:rsidRPr="000508B6">
        <w:rPr>
          <w:rFonts w:ascii="Times New Roman" w:hAnsi="Times New Roman" w:cs="Times New Roman"/>
          <w:lang w:val="ro-MD"/>
        </w:rPr>
        <w:t xml:space="preserve"> prevăzute la alin. (1) lit.</w:t>
      </w:r>
      <w:r w:rsidR="00D513EC" w:rsidRPr="000508B6">
        <w:rPr>
          <w:rFonts w:ascii="Times New Roman" w:hAnsi="Times New Roman" w:cs="Times New Roman"/>
          <w:lang w:val="ro-MD"/>
        </w:rPr>
        <w:t xml:space="preserve"> </w:t>
      </w:r>
      <w:r w:rsidR="00B40A4F" w:rsidRPr="000508B6">
        <w:rPr>
          <w:rFonts w:ascii="Times New Roman" w:hAnsi="Times New Roman" w:cs="Times New Roman"/>
          <w:lang w:val="ro-MD"/>
        </w:rPr>
        <w:t>a</w:t>
      </w:r>
      <w:r w:rsidRPr="000508B6">
        <w:rPr>
          <w:rFonts w:ascii="Times New Roman" w:hAnsi="Times New Roman" w:cs="Times New Roman"/>
          <w:lang w:val="ro-MD"/>
        </w:rPr>
        <w:t>)</w:t>
      </w:r>
      <w:r w:rsidR="00B40A4F" w:rsidRPr="000508B6">
        <w:rPr>
          <w:rFonts w:ascii="Times New Roman" w:hAnsi="Times New Roman" w:cs="Times New Roman"/>
          <w:lang w:val="ro-MD"/>
        </w:rPr>
        <w:t xml:space="preserve"> – d</w:t>
      </w:r>
      <w:r w:rsidRPr="000508B6">
        <w:rPr>
          <w:rFonts w:ascii="Times New Roman" w:hAnsi="Times New Roman" w:cs="Times New Roman"/>
          <w:lang w:val="ro-MD"/>
        </w:rPr>
        <w:t xml:space="preserve">), în termen de până la 180 de zile de la retragerea licenței,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B81334" w:rsidRPr="000508B6">
        <w:rPr>
          <w:rFonts w:ascii="Times New Roman" w:hAnsi="Times New Roman" w:cs="Times New Roman"/>
          <w:lang w:val="ro-MD"/>
        </w:rPr>
        <w:t xml:space="preserve"> </w:t>
      </w:r>
      <w:r w:rsidRPr="000508B6">
        <w:rPr>
          <w:rFonts w:ascii="Times New Roman" w:hAnsi="Times New Roman" w:cs="Times New Roman"/>
          <w:lang w:val="ro-MD"/>
        </w:rPr>
        <w:t xml:space="preserve">prezintă Băncii </w:t>
      </w:r>
      <w:proofErr w:type="spellStart"/>
      <w:r w:rsidRPr="000508B6">
        <w:rPr>
          <w:rFonts w:ascii="Times New Roman" w:hAnsi="Times New Roman" w:cs="Times New Roman"/>
          <w:lang w:val="ro-MD"/>
        </w:rPr>
        <w:t>Naţionale</w:t>
      </w:r>
      <w:proofErr w:type="spellEnd"/>
      <w:r w:rsidRPr="000508B6">
        <w:rPr>
          <w:rFonts w:ascii="Times New Roman" w:hAnsi="Times New Roman" w:cs="Times New Roman"/>
          <w:lang w:val="ro-MD"/>
        </w:rPr>
        <w:t xml:space="preserve"> a Moldovei documentele prevăzute la alin. (</w:t>
      </w:r>
      <w:r w:rsidR="00761D15" w:rsidRPr="000508B6">
        <w:rPr>
          <w:rFonts w:ascii="Times New Roman" w:hAnsi="Times New Roman" w:cs="Times New Roman"/>
          <w:lang w:val="ro-MD"/>
        </w:rPr>
        <w:t>3</w:t>
      </w:r>
      <w:r w:rsidRPr="000508B6">
        <w:rPr>
          <w:rFonts w:ascii="Times New Roman" w:hAnsi="Times New Roman" w:cs="Times New Roman"/>
          <w:lang w:val="ro-MD"/>
        </w:rPr>
        <w:t>)</w:t>
      </w:r>
      <w:r w:rsidR="005D5A2A" w:rsidRPr="000508B6">
        <w:rPr>
          <w:rFonts w:ascii="Times New Roman" w:hAnsi="Times New Roman" w:cs="Times New Roman"/>
          <w:lang w:val="ro-MD"/>
        </w:rPr>
        <w:t xml:space="preserve"> </w:t>
      </w:r>
      <w:r w:rsidRPr="000508B6">
        <w:rPr>
          <w:rFonts w:ascii="Times New Roman" w:hAnsi="Times New Roman" w:cs="Times New Roman"/>
          <w:lang w:val="ro-MD"/>
        </w:rPr>
        <w:t xml:space="preserve"> și cererea cu privire la </w:t>
      </w:r>
      <w:r w:rsidR="00B65D77" w:rsidRPr="000508B6">
        <w:rPr>
          <w:rFonts w:ascii="Times New Roman" w:hAnsi="Times New Roman" w:cs="Times New Roman"/>
          <w:lang w:val="ro-MD"/>
        </w:rPr>
        <w:t xml:space="preserve">încetarea </w:t>
      </w:r>
      <w:r w:rsidRPr="000508B6">
        <w:rPr>
          <w:rFonts w:ascii="Times New Roman" w:hAnsi="Times New Roman" w:cs="Times New Roman"/>
          <w:lang w:val="ro-MD"/>
        </w:rPr>
        <w:t xml:space="preserve"> activității de asigurare</w:t>
      </w:r>
      <w:r w:rsidR="005968D4" w:rsidRPr="000508B6">
        <w:rPr>
          <w:rFonts w:ascii="Times New Roman" w:hAnsi="Times New Roman" w:cs="Times New Roman"/>
          <w:lang w:val="ro-MD"/>
        </w:rPr>
        <w:t xml:space="preserve"> sau </w:t>
      </w:r>
      <w:r w:rsidRPr="000508B6">
        <w:rPr>
          <w:rFonts w:ascii="Times New Roman" w:hAnsi="Times New Roman" w:cs="Times New Roman"/>
          <w:lang w:val="ro-MD"/>
        </w:rPr>
        <w:t xml:space="preserve">reasigurare. </w:t>
      </w:r>
    </w:p>
    <w:p w14:paraId="1E0C83D8" w14:textId="68072D10" w:rsidR="00203D77" w:rsidRPr="000508B6" w:rsidRDefault="00203D77" w:rsidP="00CF5AFA">
      <w:pPr>
        <w:pStyle w:val="Listparagraf"/>
        <w:numPr>
          <w:ilvl w:val="0"/>
          <w:numId w:val="97"/>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Prin decizia de retragere a licenței Banca Națională a Moldovei</w:t>
      </w:r>
      <w:r w:rsidR="00DD1576" w:rsidRPr="000508B6">
        <w:rPr>
          <w:rFonts w:ascii="Times New Roman" w:eastAsia="Times New Roman" w:hAnsi="Times New Roman" w:cs="Times New Roman"/>
          <w:lang w:val="ro-MD"/>
        </w:rPr>
        <w:t>, după caz,</w:t>
      </w:r>
      <w:r w:rsidR="00CE4E6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poate numi </w:t>
      </w:r>
      <w:r w:rsidR="006D1C45" w:rsidRPr="000508B6">
        <w:rPr>
          <w:rFonts w:ascii="Times New Roman" w:eastAsia="Times New Roman" w:hAnsi="Times New Roman" w:cs="Times New Roman"/>
          <w:lang w:val="ro-MD"/>
        </w:rPr>
        <w:t xml:space="preserve">la asigurător sau </w:t>
      </w:r>
      <w:proofErr w:type="spellStart"/>
      <w:r w:rsidR="006D1C45" w:rsidRPr="000508B6">
        <w:rPr>
          <w:rFonts w:ascii="Times New Roman" w:eastAsia="Times New Roman" w:hAnsi="Times New Roman" w:cs="Times New Roman"/>
          <w:lang w:val="ro-MD"/>
        </w:rPr>
        <w:t>reasigurător</w:t>
      </w:r>
      <w:proofErr w:type="spellEnd"/>
      <w:r w:rsidR="006D1C4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un administrator interimar</w:t>
      </w:r>
      <w:r w:rsidR="006D1C45"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48432C" w:rsidRPr="000508B6">
        <w:rPr>
          <w:rFonts w:ascii="Times New Roman" w:eastAsia="Times New Roman" w:hAnsi="Times New Roman" w:cs="Times New Roman"/>
          <w:lang w:val="ro-MD"/>
        </w:rPr>
        <w:t xml:space="preserve">care corespunde cerințelor actelor normative ale Băncii </w:t>
      </w:r>
      <w:r w:rsidR="006D1C45" w:rsidRPr="000508B6">
        <w:rPr>
          <w:rFonts w:ascii="Times New Roman" w:eastAsia="Times New Roman" w:hAnsi="Times New Roman" w:cs="Times New Roman"/>
          <w:lang w:val="ro-MD"/>
        </w:rPr>
        <w:t>N</w:t>
      </w:r>
      <w:r w:rsidR="0048432C" w:rsidRPr="000508B6">
        <w:rPr>
          <w:rFonts w:ascii="Times New Roman" w:eastAsia="Times New Roman" w:hAnsi="Times New Roman" w:cs="Times New Roman"/>
          <w:lang w:val="ro-MD"/>
        </w:rPr>
        <w:t>aționale a Moldovei și</w:t>
      </w:r>
      <w:r w:rsidRPr="000508B6">
        <w:rPr>
          <w:rFonts w:ascii="Times New Roman" w:eastAsia="Times New Roman" w:hAnsi="Times New Roman" w:cs="Times New Roman"/>
          <w:lang w:val="ro-MD"/>
        </w:rPr>
        <w:t xml:space="preserve"> își exercită atribuțiile conform prevederilor art. 165.</w:t>
      </w:r>
    </w:p>
    <w:p w14:paraId="612ABBE6" w14:textId="34CEF5ED" w:rsidR="00203D77" w:rsidRPr="000508B6" w:rsidRDefault="00203D77" w:rsidP="00CF5AFA">
      <w:pPr>
        <w:pStyle w:val="Listparagraf"/>
        <w:numPr>
          <w:ilvl w:val="0"/>
          <w:numId w:val="97"/>
        </w:numPr>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situația în care </w:t>
      </w:r>
      <w:r w:rsidR="00D068AA" w:rsidRPr="000508B6">
        <w:rPr>
          <w:rFonts w:ascii="Times New Roman" w:eastAsia="Times New Roman" w:hAnsi="Times New Roman" w:cs="Times New Roman"/>
          <w:lang w:val="ro-MD"/>
        </w:rPr>
        <w:t>asigurătorul</w:t>
      </w:r>
      <w:r w:rsidR="000A4A82"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nu se conformează cerințelor prevăzute în alin. (</w:t>
      </w:r>
      <w:r w:rsidR="009F209F"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 în termenul stabilit, Banca Națională a Moldovei</w:t>
      </w:r>
      <w:r w:rsidR="00CE4E6F" w:rsidRPr="000508B6">
        <w:rPr>
          <w:rFonts w:ascii="Times New Roman" w:eastAsia="Times New Roman" w:hAnsi="Times New Roman" w:cs="Times New Roman"/>
          <w:lang w:val="ro-MD"/>
        </w:rPr>
        <w:t>,</w:t>
      </w:r>
      <w:r w:rsidR="00AE0EF6" w:rsidRPr="000508B6">
        <w:rPr>
          <w:rFonts w:ascii="Times New Roman" w:eastAsia="Times New Roman" w:hAnsi="Times New Roman" w:cs="Times New Roman"/>
          <w:lang w:val="ro-MD"/>
        </w:rPr>
        <w:t xml:space="preserve"> </w:t>
      </w:r>
      <w:r w:rsidR="002F24B0" w:rsidRPr="000508B6">
        <w:rPr>
          <w:rFonts w:ascii="Times New Roman" w:eastAsia="Times New Roman" w:hAnsi="Times New Roman" w:cs="Times New Roman"/>
          <w:lang w:val="ro-MD"/>
        </w:rPr>
        <w:t>depune cerere privind</w:t>
      </w:r>
      <w:r w:rsidRPr="000508B6">
        <w:rPr>
          <w:rFonts w:ascii="Times New Roman" w:eastAsia="Times New Roman" w:hAnsi="Times New Roman" w:cs="Times New Roman"/>
          <w:lang w:val="ro-MD"/>
        </w:rPr>
        <w:t xml:space="preserve"> </w:t>
      </w:r>
      <w:r w:rsidR="0039328C" w:rsidRPr="000508B6">
        <w:rPr>
          <w:rFonts w:ascii="Times New Roman" w:eastAsia="Times New Roman" w:hAnsi="Times New Roman" w:cs="Times New Roman"/>
          <w:lang w:val="ro-MD"/>
        </w:rPr>
        <w:t>dizolvarea</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inclusiv a sucursalelor </w:t>
      </w:r>
      <w:r w:rsidR="00CE4E6F" w:rsidRPr="000508B6">
        <w:rPr>
          <w:rFonts w:ascii="Times New Roman" w:eastAsia="Times New Roman" w:hAnsi="Times New Roman" w:cs="Times New Roman"/>
          <w:lang w:val="ro-MD"/>
        </w:rPr>
        <w:t xml:space="preserve">acestuia </w:t>
      </w:r>
      <w:r w:rsidRPr="000508B6">
        <w:rPr>
          <w:rFonts w:ascii="Times New Roman" w:eastAsia="Times New Roman" w:hAnsi="Times New Roman" w:cs="Times New Roman"/>
          <w:lang w:val="ro-MD"/>
        </w:rPr>
        <w:t xml:space="preserve">din alte state membre, potrivit prevederilor legislației civile, prin depunerea cererii de </w:t>
      </w:r>
      <w:r w:rsidR="0039328C" w:rsidRPr="000508B6">
        <w:rPr>
          <w:rFonts w:ascii="Times New Roman" w:eastAsia="Times New Roman" w:hAnsi="Times New Roman" w:cs="Times New Roman"/>
          <w:lang w:val="ro-MD"/>
        </w:rPr>
        <w:t xml:space="preserve">dizolvare </w:t>
      </w:r>
      <w:r w:rsidRPr="000508B6">
        <w:rPr>
          <w:rFonts w:ascii="Times New Roman" w:eastAsia="Times New Roman" w:hAnsi="Times New Roman" w:cs="Times New Roman"/>
          <w:lang w:val="ro-MD"/>
        </w:rPr>
        <w:t xml:space="preserve">în instanța de judecată competentă. </w:t>
      </w:r>
      <w:r w:rsidR="006A3B80" w:rsidRPr="000508B6">
        <w:rPr>
          <w:rFonts w:ascii="Times New Roman" w:eastAsia="Times New Roman" w:hAnsi="Times New Roman" w:cs="Times New Roman"/>
          <w:lang w:val="ro-MD"/>
        </w:rPr>
        <w:t xml:space="preserve">Prezenta decizie se poate adopta în absența sau în urma adoptării măsurilor de reorganizare. </w:t>
      </w:r>
    </w:p>
    <w:p w14:paraId="3F775CDE" w14:textId="76890044" w:rsidR="00203D77" w:rsidRPr="000508B6" w:rsidRDefault="00203D77" w:rsidP="006547EE">
      <w:pPr>
        <w:pStyle w:val="Listparagraf"/>
        <w:numPr>
          <w:ilvl w:val="0"/>
          <w:numId w:val="97"/>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La data intentării procesului </w:t>
      </w:r>
      <w:r w:rsidR="00684771" w:rsidRPr="000508B6">
        <w:rPr>
          <w:rFonts w:ascii="Times New Roman" w:eastAsia="Times New Roman" w:hAnsi="Times New Roman" w:cs="Times New Roman"/>
          <w:lang w:val="ro-MD"/>
        </w:rPr>
        <w:t xml:space="preserve">judecătoresc </w:t>
      </w:r>
      <w:r w:rsidRPr="000508B6">
        <w:rPr>
          <w:rFonts w:ascii="Times New Roman" w:eastAsia="Times New Roman" w:hAnsi="Times New Roman" w:cs="Times New Roman"/>
          <w:lang w:val="ro-MD"/>
        </w:rPr>
        <w:t xml:space="preserve">de </w:t>
      </w:r>
      <w:r w:rsidR="00684771" w:rsidRPr="000508B6">
        <w:rPr>
          <w:rFonts w:ascii="Times New Roman" w:eastAsia="Times New Roman" w:hAnsi="Times New Roman" w:cs="Times New Roman"/>
          <w:lang w:val="ro-MD"/>
        </w:rPr>
        <w:t>lichidare silită</w:t>
      </w:r>
      <w:r w:rsidR="00C55E99" w:rsidRPr="000508B6">
        <w:rPr>
          <w:rFonts w:ascii="Times New Roman" w:eastAsia="Times New Roman" w:hAnsi="Times New Roman" w:cs="Times New Roman"/>
          <w:lang w:val="ro-MD"/>
        </w:rPr>
        <w:t xml:space="preserve"> </w:t>
      </w:r>
      <w:r w:rsidR="00A60957" w:rsidRPr="000508B6">
        <w:rPr>
          <w:rFonts w:ascii="Times New Roman" w:eastAsia="Times New Roman" w:hAnsi="Times New Roman" w:cs="Times New Roman"/>
          <w:lang w:val="ro-MD"/>
        </w:rPr>
        <w:t xml:space="preserve">a </w:t>
      </w:r>
      <w:r w:rsidR="00684771" w:rsidRPr="000508B6">
        <w:rPr>
          <w:rFonts w:ascii="Times New Roman" w:eastAsia="Times New Roman" w:hAnsi="Times New Roman" w:cs="Times New Roman"/>
          <w:lang w:val="ro-MD"/>
        </w:rPr>
        <w:t>asiguratorului față de care</w:t>
      </w:r>
      <w:r w:rsidR="00A60957" w:rsidRPr="000508B6">
        <w:rPr>
          <w:rFonts w:ascii="Times New Roman" w:eastAsia="Times New Roman" w:hAnsi="Times New Roman" w:cs="Times New Roman"/>
          <w:lang w:val="ro-MD"/>
        </w:rPr>
        <w:t xml:space="preserve"> a fost </w:t>
      </w:r>
      <w:r w:rsidR="00684771" w:rsidRPr="000508B6">
        <w:rPr>
          <w:rFonts w:ascii="Times New Roman" w:eastAsia="Times New Roman" w:hAnsi="Times New Roman" w:cs="Times New Roman"/>
          <w:lang w:val="ro-MD"/>
        </w:rPr>
        <w:t>adoptată decizia</w:t>
      </w:r>
      <w:r w:rsidR="00A60957" w:rsidRPr="000508B6">
        <w:rPr>
          <w:rFonts w:ascii="Times New Roman" w:eastAsia="Times New Roman" w:hAnsi="Times New Roman" w:cs="Times New Roman"/>
          <w:lang w:val="ro-MD"/>
        </w:rPr>
        <w:t xml:space="preserve"> de </w:t>
      </w:r>
      <w:r w:rsidR="00684771" w:rsidRPr="000508B6">
        <w:rPr>
          <w:rFonts w:ascii="Times New Roman" w:eastAsia="Times New Roman" w:hAnsi="Times New Roman" w:cs="Times New Roman"/>
          <w:lang w:val="ro-MD"/>
        </w:rPr>
        <w:t>retragere a licenței</w:t>
      </w:r>
      <w:r w:rsidRPr="000508B6">
        <w:rPr>
          <w:rFonts w:ascii="Times New Roman" w:eastAsia="Times New Roman" w:hAnsi="Times New Roman" w:cs="Times New Roman"/>
          <w:lang w:val="ro-MD"/>
        </w:rPr>
        <w:t xml:space="preserve">, contractele de asigurare </w:t>
      </w:r>
      <w:r w:rsidR="00684771" w:rsidRPr="000508B6">
        <w:rPr>
          <w:rFonts w:ascii="Times New Roman" w:eastAsia="Times New Roman" w:hAnsi="Times New Roman" w:cs="Times New Roman"/>
          <w:lang w:val="ro-MD"/>
        </w:rPr>
        <w:t>semnate</w:t>
      </w:r>
      <w:r w:rsidRPr="000508B6">
        <w:rPr>
          <w:rFonts w:ascii="Times New Roman" w:eastAsia="Times New Roman" w:hAnsi="Times New Roman" w:cs="Times New Roman"/>
          <w:lang w:val="ro-MD"/>
        </w:rPr>
        <w:t xml:space="preserve"> de </w:t>
      </w:r>
      <w:r w:rsidR="00684771" w:rsidRPr="000508B6">
        <w:rPr>
          <w:rFonts w:ascii="Times New Roman" w:eastAsia="Times New Roman" w:hAnsi="Times New Roman" w:cs="Times New Roman"/>
          <w:lang w:val="ro-MD"/>
        </w:rPr>
        <w:t>acesta</w:t>
      </w:r>
      <w:r w:rsidR="003459E1"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încetează de drept. Pentru contractele de asigurări generale, creanța creditorilor este egală cu partea din prima de asigurare aferentă lunilor complete rămase până la expirarea contractului. În cazul contractelor de asigurare de viață, creanța este echivalentă cu rezerva constituită (suma de răscumpărare) aferentă fiecărui contract. </w:t>
      </w:r>
    </w:p>
    <w:p w14:paraId="61328338" w14:textId="7868409B" w:rsidR="00203D77" w:rsidRPr="000508B6" w:rsidRDefault="00A60957" w:rsidP="006547EE">
      <w:pPr>
        <w:pStyle w:val="Listparagraf"/>
        <w:numPr>
          <w:ilvl w:val="0"/>
          <w:numId w:val="97"/>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Banca Națională a Moldovei</w:t>
      </w:r>
      <w:r w:rsidR="00203D77" w:rsidRPr="000508B6">
        <w:rPr>
          <w:rFonts w:ascii="Times New Roman" w:eastAsia="Times New Roman" w:hAnsi="Times New Roman" w:cs="Times New Roman"/>
          <w:lang w:val="ro-MD"/>
        </w:rPr>
        <w:t xml:space="preserve"> retrage </w:t>
      </w:r>
      <w:proofErr w:type="spellStart"/>
      <w:r w:rsidR="00203D77" w:rsidRPr="000508B6">
        <w:rPr>
          <w:rFonts w:ascii="Times New Roman" w:eastAsia="Times New Roman" w:hAnsi="Times New Roman" w:cs="Times New Roman"/>
          <w:lang w:val="ro-MD"/>
        </w:rPr>
        <w:t>licenţa</w:t>
      </w:r>
      <w:proofErr w:type="spellEnd"/>
      <w:r w:rsidR="00203D77" w:rsidRPr="000508B6">
        <w:rPr>
          <w:rFonts w:ascii="Times New Roman" w:eastAsia="Times New Roman" w:hAnsi="Times New Roman" w:cs="Times New Roman"/>
          <w:lang w:val="ro-MD"/>
        </w:rPr>
        <w:t xml:space="preserve"> </w:t>
      </w:r>
      <w:proofErr w:type="spellStart"/>
      <w:r w:rsidR="00203D77" w:rsidRPr="000508B6">
        <w:rPr>
          <w:rFonts w:ascii="Times New Roman" w:eastAsia="Times New Roman" w:hAnsi="Times New Roman" w:cs="Times New Roman"/>
          <w:lang w:val="ro-MD"/>
        </w:rPr>
        <w:t>şi</w:t>
      </w:r>
      <w:proofErr w:type="spellEnd"/>
      <w:r w:rsidR="00203D77" w:rsidRPr="000508B6">
        <w:rPr>
          <w:rFonts w:ascii="Times New Roman" w:eastAsia="Times New Roman" w:hAnsi="Times New Roman" w:cs="Times New Roman"/>
          <w:lang w:val="ro-MD"/>
        </w:rPr>
        <w:t xml:space="preserve"> </w:t>
      </w:r>
      <w:r w:rsidR="0062671C" w:rsidRPr="000508B6">
        <w:rPr>
          <w:rFonts w:ascii="Times New Roman" w:eastAsia="Times New Roman" w:hAnsi="Times New Roman" w:cs="Times New Roman"/>
          <w:lang w:val="ro-MD"/>
        </w:rPr>
        <w:t>depune cererea introductivă privind</w:t>
      </w:r>
      <w:r w:rsidR="00203D77" w:rsidRPr="000508B6">
        <w:rPr>
          <w:rFonts w:ascii="Times New Roman" w:eastAsia="Times New Roman" w:hAnsi="Times New Roman" w:cs="Times New Roman"/>
          <w:lang w:val="ro-MD"/>
        </w:rPr>
        <w:t xml:space="preserve"> insolvabilitatea </w:t>
      </w:r>
      <w:r w:rsidR="004125E8" w:rsidRPr="000508B6">
        <w:rPr>
          <w:rFonts w:ascii="Times New Roman" w:eastAsia="Times New Roman" w:hAnsi="Times New Roman" w:cs="Times New Roman"/>
          <w:lang w:val="ro-MD"/>
        </w:rPr>
        <w:t>asigurătorului</w:t>
      </w:r>
      <w:r w:rsidR="00203D77" w:rsidRPr="000508B6">
        <w:rPr>
          <w:rFonts w:ascii="Times New Roman" w:eastAsia="Times New Roman" w:hAnsi="Times New Roman" w:cs="Times New Roman"/>
          <w:lang w:val="ro-MD"/>
        </w:rPr>
        <w:t xml:space="preserve"> în cazul în care constată că </w:t>
      </w:r>
      <w:r w:rsidR="002D4C66" w:rsidRPr="000508B6">
        <w:rPr>
          <w:rFonts w:ascii="Times New Roman" w:eastAsia="Times New Roman" w:hAnsi="Times New Roman" w:cs="Times New Roman"/>
          <w:lang w:val="ro-MD"/>
        </w:rPr>
        <w:t>acesta</w:t>
      </w:r>
      <w:r w:rsidR="00203D77" w:rsidRPr="000508B6">
        <w:rPr>
          <w:rFonts w:ascii="Times New Roman" w:eastAsia="Times New Roman" w:hAnsi="Times New Roman" w:cs="Times New Roman"/>
          <w:lang w:val="ro-MD"/>
        </w:rPr>
        <w:t xml:space="preserve"> se află în una dintre </w:t>
      </w:r>
      <w:proofErr w:type="spellStart"/>
      <w:r w:rsidR="00203D77" w:rsidRPr="000508B6">
        <w:rPr>
          <w:rFonts w:ascii="Times New Roman" w:eastAsia="Times New Roman" w:hAnsi="Times New Roman" w:cs="Times New Roman"/>
          <w:lang w:val="ro-MD"/>
        </w:rPr>
        <w:t>situaţiile</w:t>
      </w:r>
      <w:proofErr w:type="spellEnd"/>
      <w:r w:rsidR="00203D77" w:rsidRPr="000508B6">
        <w:rPr>
          <w:rFonts w:ascii="Times New Roman" w:eastAsia="Times New Roman" w:hAnsi="Times New Roman" w:cs="Times New Roman"/>
          <w:lang w:val="ro-MD"/>
        </w:rPr>
        <w:t xml:space="preserve"> de insolvabilitate prevăzute </w:t>
      </w:r>
      <w:r w:rsidR="00A829F3" w:rsidRPr="000508B6">
        <w:rPr>
          <w:rFonts w:ascii="Times New Roman" w:eastAsia="Times New Roman" w:hAnsi="Times New Roman" w:cs="Times New Roman"/>
          <w:lang w:val="ro-MD"/>
        </w:rPr>
        <w:t xml:space="preserve">la </w:t>
      </w:r>
      <w:r w:rsidR="00C50F2E" w:rsidRPr="000508B6">
        <w:rPr>
          <w:rFonts w:ascii="Times New Roman" w:eastAsia="Times New Roman" w:hAnsi="Times New Roman" w:cs="Times New Roman"/>
          <w:lang w:val="ro-MD"/>
        </w:rPr>
        <w:t>prezentul alineat</w:t>
      </w:r>
      <w:r w:rsidR="00203D77" w:rsidRPr="000508B6">
        <w:rPr>
          <w:rFonts w:ascii="Times New Roman" w:eastAsia="Times New Roman" w:hAnsi="Times New Roman" w:cs="Times New Roman"/>
          <w:lang w:val="ro-MD"/>
        </w:rPr>
        <w:t xml:space="preserve"> </w:t>
      </w:r>
      <w:proofErr w:type="spellStart"/>
      <w:r w:rsidR="00203D77" w:rsidRPr="000508B6">
        <w:rPr>
          <w:rFonts w:ascii="Times New Roman" w:eastAsia="Times New Roman" w:hAnsi="Times New Roman" w:cs="Times New Roman"/>
          <w:lang w:val="ro-MD"/>
        </w:rPr>
        <w:t>şi</w:t>
      </w:r>
      <w:proofErr w:type="spellEnd"/>
      <w:r w:rsidR="00203D77" w:rsidRPr="000508B6">
        <w:rPr>
          <w:rFonts w:ascii="Times New Roman" w:eastAsia="Times New Roman" w:hAnsi="Times New Roman" w:cs="Times New Roman"/>
          <w:lang w:val="ro-MD"/>
        </w:rPr>
        <w:t xml:space="preserve"> nu </w:t>
      </w:r>
      <w:proofErr w:type="spellStart"/>
      <w:r w:rsidR="00203D77" w:rsidRPr="000508B6">
        <w:rPr>
          <w:rFonts w:ascii="Times New Roman" w:eastAsia="Times New Roman" w:hAnsi="Times New Roman" w:cs="Times New Roman"/>
          <w:lang w:val="ro-MD"/>
        </w:rPr>
        <w:t>întruneşte</w:t>
      </w:r>
      <w:proofErr w:type="spellEnd"/>
      <w:r w:rsidR="00203D77" w:rsidRPr="000508B6">
        <w:rPr>
          <w:rFonts w:ascii="Times New Roman" w:eastAsia="Times New Roman" w:hAnsi="Times New Roman" w:cs="Times New Roman"/>
          <w:lang w:val="ro-MD"/>
        </w:rPr>
        <w:t xml:space="preserve"> </w:t>
      </w:r>
      <w:proofErr w:type="spellStart"/>
      <w:r w:rsidR="00203D77" w:rsidRPr="000508B6">
        <w:rPr>
          <w:rFonts w:ascii="Times New Roman" w:eastAsia="Times New Roman" w:hAnsi="Times New Roman" w:cs="Times New Roman"/>
          <w:lang w:val="ro-MD"/>
        </w:rPr>
        <w:t>condiţiile</w:t>
      </w:r>
      <w:proofErr w:type="spellEnd"/>
      <w:r w:rsidR="00203D77" w:rsidRPr="000508B6">
        <w:rPr>
          <w:rFonts w:ascii="Times New Roman" w:eastAsia="Times New Roman" w:hAnsi="Times New Roman" w:cs="Times New Roman"/>
          <w:lang w:val="ro-MD"/>
        </w:rPr>
        <w:t xml:space="preserve"> de </w:t>
      </w:r>
      <w:proofErr w:type="spellStart"/>
      <w:r w:rsidR="00203D77" w:rsidRPr="000508B6">
        <w:rPr>
          <w:rFonts w:ascii="Times New Roman" w:eastAsia="Times New Roman" w:hAnsi="Times New Roman" w:cs="Times New Roman"/>
          <w:lang w:val="ro-MD"/>
        </w:rPr>
        <w:t>declanşare</w:t>
      </w:r>
      <w:proofErr w:type="spellEnd"/>
      <w:r w:rsidR="00203D77" w:rsidRPr="000508B6">
        <w:rPr>
          <w:rFonts w:ascii="Times New Roman" w:eastAsia="Times New Roman" w:hAnsi="Times New Roman" w:cs="Times New Roman"/>
          <w:lang w:val="ro-MD"/>
        </w:rPr>
        <w:t xml:space="preserve"> a procedurii de </w:t>
      </w:r>
      <w:proofErr w:type="spellStart"/>
      <w:r w:rsidR="00203D77" w:rsidRPr="000508B6">
        <w:rPr>
          <w:rFonts w:ascii="Times New Roman" w:eastAsia="Times New Roman" w:hAnsi="Times New Roman" w:cs="Times New Roman"/>
          <w:lang w:val="ro-MD"/>
        </w:rPr>
        <w:t>rezoluţie</w:t>
      </w:r>
      <w:proofErr w:type="spellEnd"/>
      <w:r w:rsidR="00203D77" w:rsidRPr="000508B6">
        <w:rPr>
          <w:rFonts w:ascii="Times New Roman" w:eastAsia="Times New Roman" w:hAnsi="Times New Roman" w:cs="Times New Roman"/>
          <w:lang w:val="ro-MD"/>
        </w:rPr>
        <w:t xml:space="preserve">. În sensul prezentului alineat, </w:t>
      </w:r>
      <w:proofErr w:type="spellStart"/>
      <w:r w:rsidR="00203D77" w:rsidRPr="000508B6">
        <w:rPr>
          <w:rFonts w:ascii="Times New Roman" w:eastAsia="Times New Roman" w:hAnsi="Times New Roman" w:cs="Times New Roman"/>
          <w:lang w:val="ro-MD"/>
        </w:rPr>
        <w:t>situaţiile</w:t>
      </w:r>
      <w:proofErr w:type="spellEnd"/>
      <w:r w:rsidR="00203D77" w:rsidRPr="000508B6">
        <w:rPr>
          <w:rFonts w:ascii="Times New Roman" w:eastAsia="Times New Roman" w:hAnsi="Times New Roman" w:cs="Times New Roman"/>
          <w:lang w:val="ro-MD"/>
        </w:rPr>
        <w:t xml:space="preserve"> de insolvabilitate sunt următoarele:</w:t>
      </w:r>
    </w:p>
    <w:p w14:paraId="69E0DBA0" w14:textId="00988C9A" w:rsidR="00203D77" w:rsidRPr="000508B6" w:rsidRDefault="00203D77" w:rsidP="006803FE">
      <w:pPr>
        <w:spacing w:after="0" w:line="240" w:lineRule="auto"/>
        <w:ind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w:t>
      </w:r>
      <w:r w:rsidR="004125E8" w:rsidRPr="000508B6">
        <w:rPr>
          <w:rFonts w:ascii="Times New Roman" w:eastAsia="Times New Roman" w:hAnsi="Times New Roman" w:cs="Times New Roman"/>
          <w:lang w:val="ro-MD"/>
        </w:rPr>
        <w:t>asigurătorul</w:t>
      </w:r>
      <w:r w:rsidRPr="000508B6">
        <w:rPr>
          <w:rFonts w:ascii="Times New Roman" w:eastAsia="Times New Roman" w:hAnsi="Times New Roman" w:cs="Times New Roman"/>
          <w:lang w:val="ro-MD"/>
        </w:rPr>
        <w:t xml:space="preserve"> nu este capabil să execute cererile </w:t>
      </w:r>
      <w:proofErr w:type="spellStart"/>
      <w:r w:rsidRPr="000508B6">
        <w:rPr>
          <w:rFonts w:ascii="Times New Roman" w:eastAsia="Times New Roman" w:hAnsi="Times New Roman" w:cs="Times New Roman"/>
          <w:lang w:val="ro-MD"/>
        </w:rPr>
        <w:t>asiguraţilor</w:t>
      </w:r>
      <w:proofErr w:type="spellEnd"/>
      <w:r w:rsidR="00C50F2E" w:rsidRPr="000508B6">
        <w:rPr>
          <w:rFonts w:ascii="Times New Roman" w:eastAsia="Times New Roman" w:hAnsi="Times New Roman" w:cs="Times New Roman"/>
          <w:lang w:val="ro-MD"/>
        </w:rPr>
        <w:t xml:space="preserve"> și</w:t>
      </w:r>
      <w:r w:rsidRPr="000508B6">
        <w:rPr>
          <w:rFonts w:ascii="Times New Roman" w:eastAsia="Times New Roman" w:hAnsi="Times New Roman" w:cs="Times New Roman"/>
          <w:lang w:val="ro-MD"/>
        </w:rPr>
        <w:t xml:space="preserve"> beneficiarilor asigurării privind plata despăgubirilor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w:t>
      </w:r>
      <w:proofErr w:type="spellStart"/>
      <w:r w:rsidRPr="000508B6">
        <w:rPr>
          <w:rFonts w:ascii="Times New Roman" w:eastAsia="Times New Roman" w:hAnsi="Times New Roman" w:cs="Times New Roman"/>
          <w:lang w:val="ro-MD"/>
        </w:rPr>
        <w:t>indemnizaţiilor</w:t>
      </w:r>
      <w:proofErr w:type="spellEnd"/>
      <w:r w:rsidRPr="000508B6">
        <w:rPr>
          <w:rFonts w:ascii="Times New Roman" w:eastAsia="Times New Roman" w:hAnsi="Times New Roman" w:cs="Times New Roman"/>
          <w:lang w:val="ro-MD"/>
        </w:rPr>
        <w:t xml:space="preserve"> de asigurare (incapacitate de plată);</w:t>
      </w:r>
    </w:p>
    <w:p w14:paraId="7256729F" w14:textId="71F932C8" w:rsidR="00203D77" w:rsidRPr="000508B6" w:rsidRDefault="00203D77" w:rsidP="006803FE">
      <w:pPr>
        <w:spacing w:after="0" w:line="240" w:lineRule="auto"/>
        <w:ind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 activele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nu mai acoperă obligațiile </w:t>
      </w:r>
      <w:r w:rsidR="00A86022" w:rsidRPr="000508B6">
        <w:rPr>
          <w:rFonts w:ascii="Times New Roman" w:eastAsia="Times New Roman" w:hAnsi="Times New Roman" w:cs="Times New Roman"/>
          <w:lang w:val="ro-MD"/>
        </w:rPr>
        <w:t xml:space="preserve">acestuia </w:t>
      </w:r>
      <w:r w:rsidRPr="000508B6">
        <w:rPr>
          <w:rFonts w:ascii="Times New Roman" w:eastAsia="Times New Roman" w:hAnsi="Times New Roman" w:cs="Times New Roman"/>
          <w:lang w:val="ro-MD"/>
        </w:rPr>
        <w:t>(</w:t>
      </w:r>
      <w:proofErr w:type="spellStart"/>
      <w:r w:rsidRPr="000508B6">
        <w:rPr>
          <w:rFonts w:ascii="Times New Roman" w:eastAsia="Times New Roman" w:hAnsi="Times New Roman" w:cs="Times New Roman"/>
          <w:lang w:val="ro-MD"/>
        </w:rPr>
        <w:t>supraîndatorarea</w:t>
      </w:r>
      <w:proofErr w:type="spellEnd"/>
      <w:r w:rsidRPr="000508B6">
        <w:rPr>
          <w:rFonts w:ascii="Times New Roman" w:eastAsia="Times New Roman" w:hAnsi="Times New Roman" w:cs="Times New Roman"/>
          <w:lang w:val="ro-MD"/>
        </w:rPr>
        <w:t>);</w:t>
      </w:r>
    </w:p>
    <w:p w14:paraId="7978345F" w14:textId="41EA8DF5" w:rsidR="00203D77" w:rsidRPr="000508B6" w:rsidRDefault="00203D77" w:rsidP="006803FE">
      <w:pPr>
        <w:tabs>
          <w:tab w:val="left" w:pos="993"/>
        </w:tabs>
        <w:spacing w:after="0" w:line="240" w:lineRule="auto"/>
        <w:ind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 valoarea fondurilor proprii ale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este mai mică decât </w:t>
      </w:r>
      <w:r w:rsidR="00C50F2E" w:rsidRPr="000508B6">
        <w:rPr>
          <w:rFonts w:ascii="Times New Roman" w:eastAsia="Times New Roman" w:hAnsi="Times New Roman" w:cs="Times New Roman"/>
          <w:lang w:val="ro-MD"/>
        </w:rPr>
        <w:t>MCR</w:t>
      </w:r>
      <w:r w:rsidRPr="000508B6">
        <w:rPr>
          <w:rFonts w:ascii="Times New Roman" w:eastAsia="Times New Roman" w:hAnsi="Times New Roman" w:cs="Times New Roman"/>
          <w:lang w:val="ro-MD"/>
        </w:rPr>
        <w:t xml:space="preserve"> stabilită de prezenta lege.</w:t>
      </w:r>
    </w:p>
    <w:p w14:paraId="4934F77A" w14:textId="436120B5" w:rsidR="00214C46" w:rsidRPr="000508B6" w:rsidRDefault="00214C46" w:rsidP="006803FE">
      <w:pPr>
        <w:tabs>
          <w:tab w:val="left" w:pos="709"/>
          <w:tab w:val="left" w:pos="851"/>
          <w:tab w:val="left" w:pos="993"/>
        </w:tabs>
        <w:spacing w:after="0" w:line="240" w:lineRule="auto"/>
        <w:ind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    față de asigurătorul sau </w:t>
      </w:r>
      <w:proofErr w:type="spellStart"/>
      <w:r w:rsidR="00B36665" w:rsidRPr="000508B6">
        <w:rPr>
          <w:rFonts w:ascii="Times New Roman" w:eastAsia="Times New Roman" w:hAnsi="Times New Roman" w:cs="Times New Roman"/>
          <w:lang w:val="ro-MD"/>
        </w:rPr>
        <w:t>reasigurătorul</w:t>
      </w:r>
      <w:proofErr w:type="spellEnd"/>
      <w:r w:rsidR="00B3666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rezidual au fost aplicate unul sau mai multe instrumente de rezoluție în situațiile prevăzute în legislația privind redresarea și rezoluția în asigurări</w:t>
      </w:r>
      <w:r w:rsidR="000A6C1E" w:rsidRPr="000508B6">
        <w:rPr>
          <w:rFonts w:ascii="Times New Roman" w:eastAsia="Times New Roman" w:hAnsi="Times New Roman" w:cs="Times New Roman"/>
          <w:lang w:val="ro-MD"/>
        </w:rPr>
        <w:t xml:space="preserve"> și aceste instrumente de rezoluție</w:t>
      </w:r>
      <w:r w:rsidR="0010775B" w:rsidRPr="000508B6">
        <w:rPr>
          <w:rFonts w:ascii="Times New Roman" w:eastAsia="Times New Roman" w:hAnsi="Times New Roman" w:cs="Times New Roman"/>
          <w:lang w:val="ro-MD"/>
        </w:rPr>
        <w:t xml:space="preserve"> nu au fost soluționate</w:t>
      </w:r>
      <w:r w:rsidRPr="000508B6">
        <w:rPr>
          <w:rFonts w:ascii="Times New Roman" w:eastAsia="Times New Roman" w:hAnsi="Times New Roman" w:cs="Times New Roman"/>
          <w:lang w:val="ro-MD"/>
        </w:rPr>
        <w:t>.</w:t>
      </w:r>
    </w:p>
    <w:p w14:paraId="137E0F09" w14:textId="60EEEB81" w:rsidR="00203D77" w:rsidRPr="000508B6" w:rsidRDefault="00203D77" w:rsidP="006803FE">
      <w:pPr>
        <w:pStyle w:val="Listparagraf"/>
        <w:numPr>
          <w:ilvl w:val="0"/>
          <w:numId w:val="97"/>
        </w:numPr>
        <w:tabs>
          <w:tab w:val="left" w:pos="567"/>
          <w:tab w:val="left" w:pos="709"/>
          <w:tab w:val="left" w:pos="851"/>
          <w:tab w:val="left" w:pos="993"/>
        </w:tabs>
        <w:spacing w:after="0" w:line="240" w:lineRule="auto"/>
        <w:ind w:left="0" w:firstLine="425"/>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Informaţia</w:t>
      </w:r>
      <w:proofErr w:type="spellEnd"/>
      <w:r w:rsidRPr="000508B6">
        <w:rPr>
          <w:rFonts w:ascii="Times New Roman" w:eastAsia="Times New Roman" w:hAnsi="Times New Roman" w:cs="Times New Roman"/>
          <w:lang w:val="ro-MD"/>
        </w:rPr>
        <w:t xml:space="preserve"> privind retragerea </w:t>
      </w:r>
      <w:proofErr w:type="spellStart"/>
      <w:r w:rsidRPr="000508B6">
        <w:rPr>
          <w:rFonts w:ascii="Times New Roman" w:eastAsia="Times New Roman" w:hAnsi="Times New Roman" w:cs="Times New Roman"/>
          <w:lang w:val="ro-MD"/>
        </w:rPr>
        <w:t>licenţelor</w:t>
      </w:r>
      <w:proofErr w:type="spellEnd"/>
      <w:r w:rsidRPr="000508B6">
        <w:rPr>
          <w:rFonts w:ascii="Times New Roman" w:eastAsia="Times New Roman" w:hAnsi="Times New Roman" w:cs="Times New Roman"/>
          <w:lang w:val="ro-MD"/>
        </w:rPr>
        <w:t xml:space="preserve"> se publică</w:t>
      </w:r>
      <w:r w:rsidR="007B362C"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r w:rsidR="00031BF9" w:rsidRPr="000508B6">
        <w:rPr>
          <w:rFonts w:ascii="Times New Roman" w:eastAsia="Times New Roman" w:hAnsi="Times New Roman" w:cs="Times New Roman"/>
          <w:lang w:val="ro-MD"/>
        </w:rPr>
        <w:t>potrivit prevederilor art. 11</w:t>
      </w:r>
      <w:r w:rsidR="00031BF9" w:rsidRPr="000508B6">
        <w:rPr>
          <w:rFonts w:ascii="Times New Roman" w:eastAsia="Times New Roman" w:hAnsi="Times New Roman" w:cs="Times New Roman"/>
          <w:vertAlign w:val="superscript"/>
          <w:lang w:val="ro-MD"/>
        </w:rPr>
        <w:t>2</w:t>
      </w:r>
      <w:r w:rsidR="00031BF9" w:rsidRPr="000508B6">
        <w:rPr>
          <w:rFonts w:ascii="Times New Roman" w:eastAsia="Times New Roman" w:hAnsi="Times New Roman" w:cs="Times New Roman"/>
          <w:lang w:val="ro-MD"/>
        </w:rPr>
        <w:t xml:space="preserve"> din Legea nr. 548/1995</w:t>
      </w:r>
      <w:r w:rsidRPr="000508B6">
        <w:rPr>
          <w:rFonts w:ascii="Times New Roman" w:eastAsia="Times New Roman" w:hAnsi="Times New Roman" w:cs="Times New Roman"/>
          <w:lang w:val="ro-MD"/>
        </w:rPr>
        <w:t xml:space="preserve">, pe pagina web oficială a Băncii Naționale a Moldovei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se păstrează timp de 7 ani. </w:t>
      </w:r>
      <w:proofErr w:type="spellStart"/>
      <w:r w:rsidRPr="000508B6">
        <w:rPr>
          <w:rFonts w:ascii="Times New Roman" w:eastAsia="Times New Roman" w:hAnsi="Times New Roman" w:cs="Times New Roman"/>
          <w:lang w:val="ro-MD"/>
        </w:rPr>
        <w:t>Menţiunea</w:t>
      </w:r>
      <w:proofErr w:type="spellEnd"/>
      <w:r w:rsidRPr="000508B6">
        <w:rPr>
          <w:rFonts w:ascii="Times New Roman" w:eastAsia="Times New Roman" w:hAnsi="Times New Roman" w:cs="Times New Roman"/>
          <w:lang w:val="ro-MD"/>
        </w:rPr>
        <w:t xml:space="preserve"> referitoare la data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numărul deciziei privind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se consemnează în Registrul </w:t>
      </w:r>
      <w:r w:rsidR="007B362C" w:rsidRPr="000508B6">
        <w:rPr>
          <w:rFonts w:ascii="Times New Roman" w:eastAsia="Times New Roman" w:hAnsi="Times New Roman" w:cs="Times New Roman"/>
          <w:lang w:val="ro-MD"/>
        </w:rPr>
        <w:t xml:space="preserve">asigurătorilor </w:t>
      </w:r>
      <w:r w:rsidR="00C35E1B" w:rsidRPr="000508B6">
        <w:rPr>
          <w:rFonts w:ascii="Times New Roman" w:eastAsia="Times New Roman" w:hAnsi="Times New Roman" w:cs="Times New Roman"/>
          <w:lang w:val="ro-MD"/>
        </w:rPr>
        <w:t xml:space="preserve">și </w:t>
      </w:r>
      <w:proofErr w:type="spellStart"/>
      <w:r w:rsidR="007B362C" w:rsidRPr="000508B6">
        <w:rPr>
          <w:rFonts w:ascii="Times New Roman" w:eastAsia="Times New Roman" w:hAnsi="Times New Roman" w:cs="Times New Roman"/>
          <w:lang w:val="ro-MD"/>
        </w:rPr>
        <w:t>reasigurătorilor</w:t>
      </w:r>
      <w:proofErr w:type="spellEnd"/>
      <w:r w:rsidRPr="000508B6">
        <w:rPr>
          <w:rFonts w:ascii="Times New Roman" w:eastAsia="Times New Roman" w:hAnsi="Times New Roman" w:cs="Times New Roman"/>
          <w:lang w:val="ro-MD"/>
        </w:rPr>
        <w:t>.</w:t>
      </w:r>
      <w:r w:rsidRPr="000508B6">
        <w:rPr>
          <w:rFonts w:ascii="Times New Roman" w:hAnsi="Times New Roman" w:cs="Times New Roman"/>
          <w:lang w:val="ro-MD"/>
        </w:rPr>
        <w:t xml:space="preserve"> </w:t>
      </w:r>
      <w:r w:rsidRPr="000508B6">
        <w:rPr>
          <w:rFonts w:ascii="Times New Roman" w:eastAsia="Times New Roman" w:hAnsi="Times New Roman" w:cs="Times New Roman"/>
          <w:lang w:val="ro-MD"/>
        </w:rPr>
        <w:t xml:space="preserve">După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toate </w:t>
      </w:r>
      <w:proofErr w:type="spellStart"/>
      <w:r w:rsidRPr="000508B6">
        <w:rPr>
          <w:rFonts w:ascii="Times New Roman" w:eastAsia="Times New Roman" w:hAnsi="Times New Roman" w:cs="Times New Roman"/>
          <w:lang w:val="ro-MD"/>
        </w:rPr>
        <w:t>evidenţele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înregistrările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referitoare la serviciile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desfăşurate</w:t>
      </w:r>
      <w:proofErr w:type="spellEnd"/>
      <w:r w:rsidRPr="000508B6">
        <w:rPr>
          <w:rFonts w:ascii="Times New Roman" w:eastAsia="Times New Roman" w:hAnsi="Times New Roman" w:cs="Times New Roman"/>
          <w:lang w:val="ro-MD"/>
        </w:rPr>
        <w:t xml:space="preserve"> se efectuează conform </w:t>
      </w:r>
      <w:r w:rsidR="00CC1611" w:rsidRPr="000508B6">
        <w:rPr>
          <w:rFonts w:ascii="Times New Roman" w:eastAsia="Times New Roman" w:hAnsi="Times New Roman" w:cs="Times New Roman"/>
          <w:lang w:val="ro-MD"/>
        </w:rPr>
        <w:t>actelor normative ale Băncii Naționale a Moldovei</w:t>
      </w:r>
      <w:r w:rsidRPr="000508B6">
        <w:rPr>
          <w:rFonts w:ascii="Times New Roman" w:eastAsia="Times New Roman" w:hAnsi="Times New Roman" w:cs="Times New Roman"/>
          <w:lang w:val="ro-MD"/>
        </w:rPr>
        <w:t>.</w:t>
      </w:r>
    </w:p>
    <w:p w14:paraId="66137CBF" w14:textId="301EFE2A" w:rsidR="00203D77" w:rsidRPr="000508B6" w:rsidRDefault="00203D77" w:rsidP="006803FE">
      <w:pPr>
        <w:pStyle w:val="Listparagraf"/>
        <w:numPr>
          <w:ilvl w:val="0"/>
          <w:numId w:val="97"/>
        </w:numPr>
        <w:tabs>
          <w:tab w:val="left" w:pos="567"/>
          <w:tab w:val="left" w:pos="709"/>
          <w:tab w:val="left" w:pos="851"/>
          <w:tab w:val="left" w:pos="993"/>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retragerii </w:t>
      </w:r>
      <w:proofErr w:type="spellStart"/>
      <w:r w:rsidRPr="000508B6">
        <w:rPr>
          <w:rFonts w:ascii="Times New Roman" w:eastAsia="Times New Roman" w:hAnsi="Times New Roman" w:cs="Times New Roman"/>
          <w:lang w:val="ro-MD"/>
        </w:rPr>
        <w:t>parţiale</w:t>
      </w:r>
      <w:proofErr w:type="spellEnd"/>
      <w:r w:rsidRPr="000508B6">
        <w:rPr>
          <w:rFonts w:ascii="Times New Roman" w:eastAsia="Times New Roman" w:hAnsi="Times New Roman" w:cs="Times New Roman"/>
          <w:lang w:val="ro-MD"/>
        </w:rPr>
        <w:t xml:space="preserve"> 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nu poate solicita o nouă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în limitele clasei sau claselor de asigurare ori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sau </w:t>
      </w:r>
      <w:proofErr w:type="spellStart"/>
      <w:r w:rsidRPr="000508B6">
        <w:rPr>
          <w:rFonts w:ascii="Times New Roman" w:eastAsia="Times New Roman" w:hAnsi="Times New Roman" w:cs="Times New Roman"/>
          <w:lang w:val="ro-MD"/>
        </w:rPr>
        <w:t>activităţilor</w:t>
      </w:r>
      <w:proofErr w:type="spellEnd"/>
      <w:r w:rsidRPr="000508B6">
        <w:rPr>
          <w:rFonts w:ascii="Times New Roman" w:eastAsia="Times New Roman" w:hAnsi="Times New Roman" w:cs="Times New Roman"/>
          <w:lang w:val="ro-MD"/>
        </w:rPr>
        <w:t xml:space="preserve"> de reasigurare pentru care </w:t>
      </w: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 xml:space="preserve"> a fost retrasă pentru o perioadă de un an din data retragerii acesteia.</w:t>
      </w:r>
    </w:p>
    <w:p w14:paraId="6926F0ED" w14:textId="77777777" w:rsidR="00F558C2" w:rsidRPr="000508B6" w:rsidRDefault="00F558C2" w:rsidP="00F558C2">
      <w:pPr>
        <w:spacing w:after="0" w:line="240" w:lineRule="auto"/>
        <w:ind w:firstLine="426"/>
        <w:contextualSpacing/>
        <w:rPr>
          <w:rFonts w:ascii="Times New Roman" w:hAnsi="Times New Roman" w:cs="Times New Roman"/>
          <w:b/>
          <w:lang w:val="ro-MD"/>
        </w:rPr>
      </w:pPr>
    </w:p>
    <w:p w14:paraId="15F5A64B" w14:textId="25C5C7E4" w:rsidR="00F558C2" w:rsidRPr="000508B6" w:rsidRDefault="00F558C2" w:rsidP="00F558C2">
      <w:pPr>
        <w:spacing w:after="0" w:line="240" w:lineRule="auto"/>
        <w:ind w:firstLine="426"/>
        <w:contextualSpacing/>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165</w:t>
      </w:r>
      <w:r w:rsidRPr="000508B6">
        <w:rPr>
          <w:rFonts w:ascii="Times New Roman" w:eastAsia="Times New Roman" w:hAnsi="Times New Roman" w:cs="Times New Roman"/>
          <w:lang w:val="ro-MD"/>
        </w:rPr>
        <w:t>.</w:t>
      </w:r>
      <w:r w:rsidRPr="000508B6">
        <w:rPr>
          <w:rFonts w:ascii="Times New Roman" w:eastAsia="Times New Roman" w:hAnsi="Times New Roman" w:cs="Times New Roman"/>
          <w:vertAlign w:val="superscript"/>
          <w:lang w:val="ro-MD"/>
        </w:rPr>
        <w:t xml:space="preserve">  </w:t>
      </w:r>
      <w:r w:rsidRPr="000508B6">
        <w:rPr>
          <w:rFonts w:ascii="Times New Roman" w:hAnsi="Times New Roman" w:cs="Times New Roman"/>
          <w:lang w:val="ro-MD"/>
        </w:rPr>
        <w:t xml:space="preserve">Administratorul interimar </w:t>
      </w:r>
    </w:p>
    <w:p w14:paraId="0BF937D5" w14:textId="6A720FA4" w:rsidR="00F558C2" w:rsidRPr="000508B6" w:rsidRDefault="006A6127" w:rsidP="00CF5AFA">
      <w:pPr>
        <w:numPr>
          <w:ilvl w:val="1"/>
          <w:numId w:val="191"/>
        </w:numPr>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Administratorul interimar, cu acordul și sub supravegherea Băncii Naționale a Moldovei, asigură administrarea și conducerea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w:t>
      </w:r>
      <w:r w:rsidR="00AB7087" w:rsidRPr="000508B6">
        <w:rPr>
          <w:rFonts w:ascii="Times New Roman" w:hAnsi="Times New Roman" w:cs="Times New Roman"/>
          <w:lang w:val="ro-MD"/>
        </w:rPr>
        <w:t xml:space="preserve">căruia </w:t>
      </w:r>
      <w:r w:rsidRPr="000508B6">
        <w:rPr>
          <w:rFonts w:ascii="Times New Roman" w:hAnsi="Times New Roman" w:cs="Times New Roman"/>
          <w:lang w:val="ro-MD"/>
        </w:rPr>
        <w:t xml:space="preserve">i s-a retras licența în măsura în care acest lucru este necesar sau adecvat în scopul lichidării </w:t>
      </w:r>
      <w:r w:rsidR="00AB7087" w:rsidRPr="000508B6">
        <w:rPr>
          <w:rFonts w:ascii="Times New Roman" w:hAnsi="Times New Roman" w:cs="Times New Roman"/>
          <w:lang w:val="ro-MD"/>
        </w:rPr>
        <w:t>acestuia</w:t>
      </w:r>
      <w:r w:rsidR="00F558C2" w:rsidRPr="000508B6">
        <w:rPr>
          <w:rFonts w:ascii="Times New Roman" w:hAnsi="Times New Roman" w:cs="Times New Roman"/>
          <w:lang w:val="ro-MD"/>
        </w:rPr>
        <w:t xml:space="preserve">. </w:t>
      </w:r>
    </w:p>
    <w:p w14:paraId="72DF9CC6" w14:textId="33F26418" w:rsidR="00F558C2" w:rsidRPr="000508B6" w:rsidRDefault="00F558C2" w:rsidP="00CF5AFA">
      <w:pPr>
        <w:numPr>
          <w:ilvl w:val="1"/>
          <w:numId w:val="191"/>
        </w:numPr>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Administratorul interimar are acces la toate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documentele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registrele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fiind obligat să păstreze </w:t>
      </w:r>
      <w:proofErr w:type="spellStart"/>
      <w:r w:rsidRPr="000508B6">
        <w:rPr>
          <w:rFonts w:ascii="Times New Roman" w:hAnsi="Times New Roman" w:cs="Times New Roman"/>
          <w:lang w:val="ro-MD"/>
        </w:rPr>
        <w:t>confidenţialitatea</w:t>
      </w:r>
      <w:proofErr w:type="spellEnd"/>
      <w:r w:rsidRPr="000508B6">
        <w:rPr>
          <w:rFonts w:ascii="Times New Roman" w:hAnsi="Times New Roman" w:cs="Times New Roman"/>
          <w:lang w:val="ro-MD"/>
        </w:rPr>
        <w:t xml:space="preserve"> tuturor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care i-au devenit cunoscute în virtutea </w:t>
      </w:r>
      <w:proofErr w:type="spellStart"/>
      <w:r w:rsidRPr="000508B6">
        <w:rPr>
          <w:rFonts w:ascii="Times New Roman" w:hAnsi="Times New Roman" w:cs="Times New Roman"/>
          <w:lang w:val="ro-MD"/>
        </w:rPr>
        <w:t>atribuţiilor</w:t>
      </w:r>
      <w:proofErr w:type="spellEnd"/>
      <w:r w:rsidRPr="000508B6">
        <w:rPr>
          <w:rFonts w:ascii="Times New Roman" w:hAnsi="Times New Roman" w:cs="Times New Roman"/>
          <w:lang w:val="ro-MD"/>
        </w:rPr>
        <w:t xml:space="preserve"> delegate.</w:t>
      </w:r>
    </w:p>
    <w:p w14:paraId="078E5331" w14:textId="67E5D1A4" w:rsidR="00F558C2" w:rsidRPr="000508B6" w:rsidDel="00482018" w:rsidRDefault="00F558C2" w:rsidP="00CF5AFA">
      <w:pPr>
        <w:numPr>
          <w:ilvl w:val="1"/>
          <w:numId w:val="191"/>
        </w:numPr>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Mandatul de administrator interimar </w:t>
      </w:r>
      <w:r w:rsidR="00812B9B" w:rsidRPr="000508B6">
        <w:rPr>
          <w:rFonts w:ascii="Times New Roman" w:hAnsi="Times New Roman" w:cs="Times New Roman"/>
          <w:lang w:val="ro-MD"/>
        </w:rPr>
        <w:t xml:space="preserve">încetează prin decizia </w:t>
      </w:r>
      <w:r w:rsidR="00CE4E6F" w:rsidRPr="000508B6">
        <w:rPr>
          <w:rFonts w:ascii="Times New Roman" w:hAnsi="Times New Roman" w:cs="Times New Roman"/>
          <w:lang w:val="ro-MD"/>
        </w:rPr>
        <w:t xml:space="preserve">Băncii Naționale a Moldovei </w:t>
      </w:r>
      <w:r w:rsidR="00812B9B" w:rsidRPr="000508B6">
        <w:rPr>
          <w:rFonts w:ascii="Times New Roman" w:hAnsi="Times New Roman" w:cs="Times New Roman"/>
          <w:lang w:val="ro-MD"/>
        </w:rPr>
        <w:t xml:space="preserve">sau </w:t>
      </w:r>
      <w:r w:rsidRPr="000508B6">
        <w:rPr>
          <w:rFonts w:ascii="Times New Roman" w:hAnsi="Times New Roman" w:cs="Times New Roman"/>
          <w:lang w:val="ro-MD"/>
        </w:rPr>
        <w:t>încetează de drept la data numirii de către instanța de judecată a lichidatorului</w:t>
      </w:r>
      <w:r w:rsidR="001F3164" w:rsidRPr="000508B6">
        <w:rPr>
          <w:rFonts w:ascii="Times New Roman" w:hAnsi="Times New Roman" w:cs="Times New Roman"/>
          <w:lang w:val="ro-MD"/>
        </w:rPr>
        <w:t>, care corespunde actelor normative ale Băncii Naționale a Moldovei</w:t>
      </w:r>
      <w:r w:rsidRPr="000508B6" w:rsidDel="0087573E">
        <w:rPr>
          <w:rFonts w:ascii="Times New Roman" w:hAnsi="Times New Roman" w:cs="Times New Roman"/>
          <w:lang w:val="ro-MD"/>
        </w:rPr>
        <w:t>.</w:t>
      </w:r>
    </w:p>
    <w:p w14:paraId="7A1A2AA1" w14:textId="7841F355" w:rsidR="00F558C2" w:rsidRPr="000508B6" w:rsidRDefault="00F558C2" w:rsidP="00CF5AFA">
      <w:pPr>
        <w:numPr>
          <w:ilvl w:val="1"/>
          <w:numId w:val="191"/>
        </w:numPr>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De la data comunicării deciziei de numire a administratorului interimar și până la încetarea mandatului acestuia, atribuțiile organelor de conducere ale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se suspendă de plin drept cu excepția atribuției de</w:t>
      </w:r>
      <w:r w:rsidR="00A84AAC" w:rsidRPr="000508B6">
        <w:rPr>
          <w:rFonts w:ascii="Times New Roman" w:hAnsi="Times New Roman" w:cs="Times New Roman"/>
          <w:lang w:val="ro-MD"/>
        </w:rPr>
        <w:t xml:space="preserve"> </w:t>
      </w:r>
      <w:r w:rsidR="002D4E4F" w:rsidRPr="000508B6">
        <w:rPr>
          <w:rFonts w:ascii="Times New Roman" w:hAnsi="Times New Roman" w:cs="Times New Roman"/>
          <w:lang w:val="ro-MD"/>
        </w:rPr>
        <w:t xml:space="preserve">transfer </w:t>
      </w:r>
      <w:r w:rsidR="00A84AAC" w:rsidRPr="000508B6">
        <w:rPr>
          <w:rFonts w:ascii="Times New Roman" w:hAnsi="Times New Roman" w:cs="Times New Roman"/>
          <w:lang w:val="ro-MD"/>
        </w:rPr>
        <w:t xml:space="preserve">a portofoliului, adoptarea deciziei de lichidare benevolă și desemnarea lichidatorului, precum și obligației de înaintare </w:t>
      </w:r>
      <w:r w:rsidRPr="000508B6">
        <w:rPr>
          <w:rFonts w:ascii="Times New Roman" w:hAnsi="Times New Roman" w:cs="Times New Roman"/>
          <w:lang w:val="ro-MD"/>
        </w:rPr>
        <w:t>a cererii</w:t>
      </w:r>
      <w:r w:rsidR="00A84AAC" w:rsidRPr="000508B6">
        <w:rPr>
          <w:rFonts w:ascii="Times New Roman" w:hAnsi="Times New Roman" w:cs="Times New Roman"/>
          <w:lang w:val="ro-MD"/>
        </w:rPr>
        <w:t xml:space="preserve"> către instanța de judecată privind intentarea </w:t>
      </w:r>
      <w:r w:rsidR="00A84AAC" w:rsidRPr="000508B6">
        <w:rPr>
          <w:rFonts w:ascii="Times New Roman" w:hAnsi="Times New Roman" w:cs="Times New Roman"/>
          <w:lang w:val="ro-MD"/>
        </w:rPr>
        <w:lastRenderedPageBreak/>
        <w:t>procesului</w:t>
      </w:r>
      <w:r w:rsidRPr="000508B6">
        <w:rPr>
          <w:rFonts w:ascii="Times New Roman" w:hAnsi="Times New Roman" w:cs="Times New Roman"/>
          <w:lang w:val="ro-MD"/>
        </w:rPr>
        <w:t xml:space="preserve"> de insolvabilitate</w:t>
      </w:r>
      <w:r w:rsidR="00A84AAC" w:rsidRPr="000508B6">
        <w:rPr>
          <w:rFonts w:ascii="Times New Roman" w:hAnsi="Times New Roman" w:cs="Times New Roman"/>
          <w:lang w:val="ro-MD"/>
        </w:rPr>
        <w:t xml:space="preserve"> sau privind </w:t>
      </w:r>
      <w:r w:rsidR="002D4E4F" w:rsidRPr="000508B6">
        <w:rPr>
          <w:rFonts w:ascii="Times New Roman" w:hAnsi="Times New Roman" w:cs="Times New Roman"/>
          <w:lang w:val="ro-MD"/>
        </w:rPr>
        <w:t xml:space="preserve">lichidarea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și a </w:t>
      </w:r>
      <w:r w:rsidR="00A84AAC" w:rsidRPr="000508B6">
        <w:rPr>
          <w:rFonts w:ascii="Times New Roman" w:hAnsi="Times New Roman" w:cs="Times New Roman"/>
          <w:lang w:val="ro-MD"/>
        </w:rPr>
        <w:t xml:space="preserve">obligației </w:t>
      </w:r>
      <w:r w:rsidRPr="000508B6">
        <w:rPr>
          <w:rFonts w:ascii="Times New Roman" w:hAnsi="Times New Roman" w:cs="Times New Roman"/>
          <w:lang w:val="ro-MD"/>
        </w:rPr>
        <w:t xml:space="preserve">de predare a documentelor, pentru îndeplinirea cărora rămân răspunzătoare organele de conducere ale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w:t>
      </w:r>
    </w:p>
    <w:p w14:paraId="58E26CA8" w14:textId="721F48AB" w:rsidR="00F558C2" w:rsidRPr="000508B6" w:rsidRDefault="00F558C2" w:rsidP="00CF5AFA">
      <w:pPr>
        <w:numPr>
          <w:ilvl w:val="1"/>
          <w:numId w:val="191"/>
        </w:numPr>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Cheltuielile legate de administrarea interimară se suportă de către </w:t>
      </w:r>
      <w:r w:rsidR="00D068AA" w:rsidRPr="000508B6">
        <w:rPr>
          <w:rFonts w:ascii="Times New Roman" w:hAnsi="Times New Roman" w:cs="Times New Roman"/>
          <w:lang w:val="ro-MD"/>
        </w:rPr>
        <w:t>asigurătorul</w:t>
      </w:r>
      <w:r w:rsidRPr="000508B6">
        <w:rPr>
          <w:rFonts w:ascii="Times New Roman" w:hAnsi="Times New Roman" w:cs="Times New Roman"/>
          <w:lang w:val="ro-MD"/>
        </w:rPr>
        <w:t xml:space="preserve"> la care a fost numit</w:t>
      </w:r>
      <w:r w:rsidR="006109B9" w:rsidRPr="000508B6">
        <w:rPr>
          <w:rFonts w:ascii="Times New Roman" w:hAnsi="Times New Roman" w:cs="Times New Roman"/>
          <w:lang w:val="ro-MD"/>
        </w:rPr>
        <w:t xml:space="preserve"> administratorul interimar</w:t>
      </w:r>
      <w:r w:rsidRPr="000508B6">
        <w:rPr>
          <w:rFonts w:ascii="Times New Roman" w:hAnsi="Times New Roman" w:cs="Times New Roman"/>
          <w:lang w:val="ro-MD"/>
        </w:rPr>
        <w:t xml:space="preserve">. Onorariul administratorului </w:t>
      </w:r>
      <w:r w:rsidR="006109B9" w:rsidRPr="000508B6">
        <w:rPr>
          <w:rFonts w:ascii="Times New Roman" w:hAnsi="Times New Roman" w:cs="Times New Roman"/>
          <w:lang w:val="ro-MD"/>
        </w:rPr>
        <w:t xml:space="preserve">interimar </w:t>
      </w:r>
      <w:r w:rsidRPr="000508B6">
        <w:rPr>
          <w:rFonts w:ascii="Times New Roman" w:hAnsi="Times New Roman" w:cs="Times New Roman"/>
          <w:lang w:val="ro-MD"/>
        </w:rPr>
        <w:t xml:space="preserve">este stabilit de Banca Națională a Moldovei prin decizia de numire, fără a depăși remunerația acordată organelor de conducere ale </w:t>
      </w:r>
      <w:r w:rsidR="004125E8" w:rsidRPr="000508B6">
        <w:rPr>
          <w:rFonts w:ascii="Times New Roman" w:hAnsi="Times New Roman" w:cs="Times New Roman"/>
          <w:lang w:val="ro-MD"/>
        </w:rPr>
        <w:t>asigurătorului</w:t>
      </w:r>
      <w:r w:rsidRPr="000508B6">
        <w:rPr>
          <w:rFonts w:ascii="Times New Roman" w:hAnsi="Times New Roman" w:cs="Times New Roman"/>
          <w:lang w:val="ro-MD"/>
        </w:rPr>
        <w:t>.</w:t>
      </w:r>
    </w:p>
    <w:p w14:paraId="016F40C7" w14:textId="11D9B4EF" w:rsidR="00F558C2" w:rsidRPr="000508B6" w:rsidRDefault="00F558C2" w:rsidP="00CF5AFA">
      <w:pPr>
        <w:numPr>
          <w:ilvl w:val="1"/>
          <w:numId w:val="191"/>
        </w:numPr>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 Pentru motive întemeiate, Banca Națională a Moldovei  emite decizie de înlocuire a administratorului interimar sau de încetare a mandatului acordat acestuia. </w:t>
      </w:r>
    </w:p>
    <w:p w14:paraId="2414BA4F" w14:textId="331C9A26" w:rsidR="00F558C2" w:rsidRPr="000508B6" w:rsidRDefault="00F558C2" w:rsidP="00CF5AFA">
      <w:pPr>
        <w:numPr>
          <w:ilvl w:val="1"/>
          <w:numId w:val="191"/>
        </w:numPr>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Administratorul interimar furnizează Băncii Naționale a Moldovei</w:t>
      </w:r>
      <w:r w:rsidRPr="000508B6" w:rsidDel="002D4E4F">
        <w:rPr>
          <w:rFonts w:ascii="Times New Roman" w:hAnsi="Times New Roman" w:cs="Times New Roman"/>
          <w:lang w:val="ro-MD"/>
        </w:rPr>
        <w:t xml:space="preserve"> </w:t>
      </w:r>
      <w:r w:rsidRPr="000508B6">
        <w:rPr>
          <w:rFonts w:ascii="Times New Roman" w:hAnsi="Times New Roman" w:cs="Times New Roman"/>
          <w:lang w:val="ro-MD"/>
        </w:rPr>
        <w:t xml:space="preserve">la cerere, orice informații și documente relevante privind exercitarea mandatului și îndeplinește orice alte </w:t>
      </w:r>
      <w:proofErr w:type="spellStart"/>
      <w:r w:rsidRPr="000508B6">
        <w:rPr>
          <w:rFonts w:ascii="Times New Roman" w:hAnsi="Times New Roman" w:cs="Times New Roman"/>
          <w:lang w:val="ro-MD"/>
        </w:rPr>
        <w:t>dispoziţii</w:t>
      </w:r>
      <w:proofErr w:type="spellEnd"/>
      <w:r w:rsidRPr="000508B6">
        <w:rPr>
          <w:rFonts w:ascii="Times New Roman" w:hAnsi="Times New Roman" w:cs="Times New Roman"/>
          <w:lang w:val="ro-MD"/>
        </w:rPr>
        <w:t xml:space="preserve"> ale Băncii Naționale a Moldovei</w:t>
      </w:r>
      <w:r w:rsidR="001176ED" w:rsidRPr="000508B6">
        <w:rPr>
          <w:rFonts w:ascii="Times New Roman" w:hAnsi="Times New Roman" w:cs="Times New Roman"/>
          <w:lang w:val="ro-MD"/>
        </w:rPr>
        <w:t xml:space="preserve">, </w:t>
      </w:r>
      <w:r w:rsidRPr="000508B6">
        <w:rPr>
          <w:rFonts w:ascii="Times New Roman" w:hAnsi="Times New Roman" w:cs="Times New Roman"/>
          <w:lang w:val="ro-MD"/>
        </w:rPr>
        <w:t xml:space="preserve"> necesare </w:t>
      </w:r>
      <w:r w:rsidR="006B47E8" w:rsidRPr="000508B6">
        <w:rPr>
          <w:rFonts w:ascii="Times New Roman" w:hAnsi="Times New Roman" w:cs="Times New Roman"/>
          <w:lang w:val="ro-MD"/>
        </w:rPr>
        <w:t>îndeplinirii atribuțiilor sale</w:t>
      </w:r>
      <w:r w:rsidRPr="000508B6">
        <w:rPr>
          <w:rFonts w:ascii="Times New Roman" w:hAnsi="Times New Roman" w:cs="Times New Roman"/>
          <w:lang w:val="ro-MD"/>
        </w:rPr>
        <w:t>.</w:t>
      </w:r>
    </w:p>
    <w:p w14:paraId="4A3C1C07" w14:textId="005C27DE" w:rsidR="00F558C2" w:rsidRPr="000508B6" w:rsidRDefault="00F558C2" w:rsidP="00CF5AFA">
      <w:pPr>
        <w:numPr>
          <w:ilvl w:val="1"/>
          <w:numId w:val="191"/>
        </w:numPr>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Administratorul interimar desemnat de </w:t>
      </w:r>
      <w:r w:rsidR="00D752B4" w:rsidRPr="000508B6">
        <w:rPr>
          <w:rFonts w:ascii="Times New Roman" w:eastAsia="Times New Roman" w:hAnsi="Times New Roman" w:cs="Times New Roman"/>
          <w:lang w:val="ro-MD"/>
        </w:rPr>
        <w:t>Banca Națională a Moldovei</w:t>
      </w:r>
      <w:r w:rsidRPr="000508B6">
        <w:rPr>
          <w:rFonts w:ascii="Times New Roman" w:eastAsia="Times New Roman" w:hAnsi="Times New Roman" w:cs="Times New Roman"/>
          <w:lang w:val="ro-MD"/>
        </w:rPr>
        <w:t xml:space="preserve"> poate acționa fără nicio altă formalitate pe teritoriul Republicii Moldova, în baza unei copii </w:t>
      </w:r>
      <w:r w:rsidR="00122DF7" w:rsidRPr="000508B6">
        <w:rPr>
          <w:rFonts w:ascii="Times New Roman" w:eastAsia="Times New Roman" w:hAnsi="Times New Roman" w:cs="Times New Roman"/>
          <w:lang w:val="ro-MD"/>
        </w:rPr>
        <w:t>legalizate</w:t>
      </w:r>
      <w:r w:rsidR="00D752B4" w:rsidRPr="000508B6">
        <w:rPr>
          <w:rFonts w:ascii="Times New Roman" w:eastAsia="Times New Roman" w:hAnsi="Times New Roman" w:cs="Times New Roman"/>
          <w:lang w:val="ro-MD"/>
        </w:rPr>
        <w:t xml:space="preserve"> a deciziei</w:t>
      </w:r>
      <w:r w:rsidRPr="000508B6">
        <w:rPr>
          <w:rFonts w:ascii="Times New Roman" w:eastAsia="Times New Roman" w:hAnsi="Times New Roman" w:cs="Times New Roman"/>
          <w:lang w:val="ro-MD"/>
        </w:rPr>
        <w:t xml:space="preserve">. </w:t>
      </w:r>
    </w:p>
    <w:p w14:paraId="7F0C07C7" w14:textId="32C9BCC9" w:rsidR="00F558C2" w:rsidRPr="000508B6" w:rsidRDefault="005652AD" w:rsidP="00CF5AFA">
      <w:pPr>
        <w:numPr>
          <w:ilvl w:val="1"/>
          <w:numId w:val="191"/>
        </w:numPr>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Administratorul interimar este abilitat să exercite pe teritoriul tuturor statelor membre toate competențele pe care a fost abilitat să le exercite în </w:t>
      </w:r>
      <w:r w:rsidR="00D752B4" w:rsidRPr="000508B6">
        <w:rPr>
          <w:rFonts w:ascii="Times New Roman" w:eastAsia="Times New Roman" w:hAnsi="Times New Roman" w:cs="Times New Roman"/>
          <w:lang w:val="ro-MD"/>
        </w:rPr>
        <w:t>Republica Moldova</w:t>
      </w:r>
      <w:r w:rsidRPr="000508B6">
        <w:rPr>
          <w:rFonts w:ascii="Times New Roman" w:eastAsia="Times New Roman" w:hAnsi="Times New Roman" w:cs="Times New Roman"/>
          <w:lang w:val="ro-MD"/>
        </w:rPr>
        <w:t>. Se pot desemna persoane care să îl asiste sau să îl reprezinte pe administrator</w:t>
      </w:r>
      <w:r w:rsidR="00122DF7" w:rsidRPr="000508B6">
        <w:rPr>
          <w:rFonts w:ascii="Times New Roman" w:eastAsia="Times New Roman" w:hAnsi="Times New Roman" w:cs="Times New Roman"/>
          <w:lang w:val="ro-MD"/>
        </w:rPr>
        <w:t>ul interimar</w:t>
      </w:r>
      <w:r w:rsidRPr="000508B6">
        <w:rPr>
          <w:rFonts w:ascii="Times New Roman" w:eastAsia="Times New Roman" w:hAnsi="Times New Roman" w:cs="Times New Roman"/>
          <w:lang w:val="ro-MD"/>
        </w:rPr>
        <w:t xml:space="preserve">,  în conformitate cu legislația </w:t>
      </w:r>
      <w:r w:rsidR="00D752B4" w:rsidRPr="000508B6">
        <w:rPr>
          <w:rFonts w:ascii="Times New Roman" w:eastAsia="Times New Roman" w:hAnsi="Times New Roman" w:cs="Times New Roman"/>
          <w:lang w:val="ro-MD"/>
        </w:rPr>
        <w:t>națională</w:t>
      </w:r>
      <w:r w:rsidRPr="000508B6">
        <w:rPr>
          <w:rFonts w:ascii="Times New Roman" w:eastAsia="Times New Roman" w:hAnsi="Times New Roman" w:cs="Times New Roman"/>
          <w:lang w:val="ro-MD"/>
        </w:rPr>
        <w:t>, mai ales în statele membre gazd</w:t>
      </w:r>
      <w:r w:rsidR="00D752B4"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și, în special, pentru a ajuta la rezolvarea dificultăților întâmpinate de creditori în statele respective</w:t>
      </w:r>
      <w:r w:rsidR="00F558C2" w:rsidRPr="000508B6">
        <w:rPr>
          <w:rFonts w:ascii="Times New Roman" w:eastAsia="Times New Roman" w:hAnsi="Times New Roman" w:cs="Times New Roman"/>
          <w:lang w:val="ro-MD"/>
        </w:rPr>
        <w:t xml:space="preserve">. </w:t>
      </w:r>
    </w:p>
    <w:p w14:paraId="0B934D8A" w14:textId="04D67817" w:rsidR="00F558C2" w:rsidRPr="000508B6" w:rsidRDefault="00F558C2" w:rsidP="006F2893">
      <w:pPr>
        <w:numPr>
          <w:ilvl w:val="1"/>
          <w:numId w:val="191"/>
        </w:numPr>
        <w:tabs>
          <w:tab w:val="left" w:pos="567"/>
          <w:tab w:val="left" w:pos="709"/>
          <w:tab w:val="left" w:pos="851"/>
          <w:tab w:val="left" w:pos="993"/>
        </w:tabs>
        <w:spacing w:after="0" w:line="240" w:lineRule="auto"/>
        <w:ind w:left="0" w:firstLine="426"/>
        <w:contextualSpacing/>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exercitarea competențelor pe teritoriul Republicii Moldova în conformitate cu legislația </w:t>
      </w:r>
      <w:r w:rsidR="00233361" w:rsidRPr="000508B6">
        <w:rPr>
          <w:rFonts w:ascii="Times New Roman" w:eastAsia="Times New Roman" w:hAnsi="Times New Roman" w:cs="Times New Roman"/>
          <w:lang w:val="ro-MD"/>
        </w:rPr>
        <w:t>națională</w:t>
      </w:r>
      <w:r w:rsidRPr="000508B6">
        <w:rPr>
          <w:rFonts w:ascii="Times New Roman" w:eastAsia="Times New Roman" w:hAnsi="Times New Roman" w:cs="Times New Roman"/>
          <w:lang w:val="ro-MD"/>
        </w:rPr>
        <w:t>, administratorul interimar respect</w:t>
      </w:r>
      <w:r w:rsidR="00233361" w:rsidRPr="000508B6">
        <w:rPr>
          <w:rFonts w:ascii="Times New Roman" w:eastAsia="Times New Roman" w:hAnsi="Times New Roman" w:cs="Times New Roman"/>
          <w:lang w:val="ro-MD"/>
        </w:rPr>
        <w:t>ă legea statelor membre pe teritoriul cărora a fost desemnat să funcționeze</w:t>
      </w:r>
      <w:r w:rsidRPr="000508B6">
        <w:rPr>
          <w:rFonts w:ascii="Times New Roman" w:eastAsia="Times New Roman" w:hAnsi="Times New Roman" w:cs="Times New Roman"/>
          <w:lang w:val="ro-MD"/>
        </w:rPr>
        <w:t xml:space="preserve">, în special cu privire la procedurile de valorificare a activelor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la furnizarea de informații </w:t>
      </w:r>
      <w:r w:rsidR="00233361" w:rsidRPr="000508B6">
        <w:rPr>
          <w:rFonts w:ascii="Times New Roman" w:eastAsia="Times New Roman" w:hAnsi="Times New Roman" w:cs="Times New Roman"/>
          <w:lang w:val="ro-MD"/>
        </w:rPr>
        <w:t xml:space="preserve">către </w:t>
      </w:r>
      <w:r w:rsidRPr="000508B6">
        <w:rPr>
          <w:rFonts w:ascii="Times New Roman" w:eastAsia="Times New Roman" w:hAnsi="Times New Roman" w:cs="Times New Roman"/>
          <w:lang w:val="ro-MD"/>
        </w:rPr>
        <w:t xml:space="preserve">angajați. </w:t>
      </w:r>
      <w:r w:rsidR="00937EF9" w:rsidRPr="000508B6">
        <w:rPr>
          <w:rFonts w:ascii="Times New Roman" w:eastAsia="Times New Roman" w:hAnsi="Times New Roman" w:cs="Times New Roman"/>
          <w:lang w:val="ro-MD"/>
        </w:rPr>
        <w:t>Competențele respective nu includ folosirea forței sau dreptul de a hotărî într-un litigiu sau diferend</w:t>
      </w:r>
      <w:r w:rsidR="00E00191" w:rsidRPr="000508B6">
        <w:rPr>
          <w:rFonts w:ascii="Times New Roman" w:eastAsia="Times New Roman" w:hAnsi="Times New Roman" w:cs="Times New Roman"/>
          <w:lang w:val="ro-MD"/>
        </w:rPr>
        <w:t>.</w:t>
      </w:r>
      <w:r w:rsidR="00937EF9" w:rsidRPr="000508B6">
        <w:rPr>
          <w:rFonts w:ascii="Times New Roman" w:eastAsia="Times New Roman" w:hAnsi="Times New Roman" w:cs="Times New Roman"/>
          <w:lang w:val="ro-MD"/>
        </w:rPr>
        <w:t xml:space="preserve"> </w:t>
      </w:r>
    </w:p>
    <w:p w14:paraId="7080EBE8" w14:textId="77777777" w:rsidR="00B3166F" w:rsidRPr="000508B6" w:rsidRDefault="00B3166F" w:rsidP="00B3166F">
      <w:pPr>
        <w:pStyle w:val="Listparagraf"/>
        <w:spacing w:after="0" w:line="240" w:lineRule="auto"/>
        <w:ind w:left="2868"/>
        <w:jc w:val="both"/>
        <w:rPr>
          <w:rFonts w:ascii="Times New Roman" w:eastAsia="Times New Roman" w:hAnsi="Times New Roman" w:cs="Times New Roman"/>
          <w:lang w:val="ro-MD"/>
        </w:rPr>
      </w:pPr>
    </w:p>
    <w:p w14:paraId="34C05D9F" w14:textId="116640EB" w:rsidR="00F558C2" w:rsidRPr="000508B6" w:rsidRDefault="00F558C2" w:rsidP="00F558C2">
      <w:pPr>
        <w:pStyle w:val="Listparagraf"/>
        <w:tabs>
          <w:tab w:val="left" w:pos="851"/>
          <w:tab w:val="left" w:pos="3969"/>
        </w:tabs>
        <w:spacing w:after="0" w:line="240" w:lineRule="auto"/>
        <w:ind w:left="0"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 </w:t>
      </w:r>
      <w:r w:rsidR="0096064B" w:rsidRPr="000508B6">
        <w:rPr>
          <w:rFonts w:ascii="Times New Roman" w:eastAsia="Times New Roman" w:hAnsi="Times New Roman" w:cs="Times New Roman"/>
          <w:b/>
          <w:lang w:val="ro-MD"/>
        </w:rPr>
        <w:t>4</w:t>
      </w:r>
      <w:r w:rsidRPr="000508B6">
        <w:rPr>
          <w:rFonts w:ascii="Times New Roman" w:eastAsia="Times New Roman" w:hAnsi="Times New Roman" w:cs="Times New Roman"/>
          <w:b/>
          <w:lang w:val="ro-MD"/>
        </w:rPr>
        <w:t>-a</w:t>
      </w:r>
    </w:p>
    <w:p w14:paraId="38672B31" w14:textId="3B030C35" w:rsidR="00F558C2" w:rsidRPr="000508B6" w:rsidRDefault="000F5D07" w:rsidP="00F558C2">
      <w:pPr>
        <w:tabs>
          <w:tab w:val="left" w:pos="3969"/>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Fuziunea și </w:t>
      </w:r>
      <w:r w:rsidR="002A3FA0" w:rsidRPr="000508B6">
        <w:rPr>
          <w:rFonts w:ascii="Times New Roman" w:eastAsia="Times New Roman" w:hAnsi="Times New Roman" w:cs="Times New Roman"/>
          <w:b/>
          <w:lang w:val="ro-MD"/>
        </w:rPr>
        <w:t>dezmembrarea</w:t>
      </w:r>
    </w:p>
    <w:p w14:paraId="68F0CB3E" w14:textId="5A803DFA"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hAnsi="Times New Roman" w:cs="Times New Roman"/>
          <w:b/>
          <w:lang w:val="ro-MD"/>
        </w:rPr>
        <w:t xml:space="preserve">Articolul </w:t>
      </w:r>
      <w:r w:rsidR="00A479FC" w:rsidRPr="000508B6">
        <w:rPr>
          <w:rFonts w:ascii="Times New Roman" w:hAnsi="Times New Roman" w:cs="Times New Roman"/>
          <w:b/>
          <w:lang w:val="ro-MD"/>
        </w:rPr>
        <w:t>166</w:t>
      </w:r>
      <w:r w:rsidRPr="000508B6">
        <w:rPr>
          <w:rFonts w:ascii="Times New Roman" w:hAnsi="Times New Roman" w:cs="Times New Roman"/>
          <w:b/>
          <w:lang w:val="ro-MD"/>
        </w:rPr>
        <w:t xml:space="preserve">. </w:t>
      </w:r>
      <w:r w:rsidR="000F5D07" w:rsidRPr="000508B6">
        <w:rPr>
          <w:rFonts w:ascii="Times New Roman" w:eastAsia="Times New Roman" w:hAnsi="Times New Roman" w:cs="Times New Roman"/>
          <w:lang w:val="ro-MD"/>
        </w:rPr>
        <w:t xml:space="preserve">Fuziunea și </w:t>
      </w:r>
      <w:r w:rsidR="002A3FA0" w:rsidRPr="000508B6">
        <w:rPr>
          <w:rFonts w:ascii="Times New Roman" w:eastAsia="Times New Roman" w:hAnsi="Times New Roman" w:cs="Times New Roman"/>
          <w:lang w:val="ro-MD"/>
        </w:rPr>
        <w:t xml:space="preserve">dezmembrarea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
    <w:p w14:paraId="78B1FE8F" w14:textId="04C68B55" w:rsidR="00F558C2" w:rsidRPr="000508B6" w:rsidRDefault="00366C1D" w:rsidP="00CF5AFA">
      <w:pPr>
        <w:pStyle w:val="Listparagraf"/>
        <w:numPr>
          <w:ilvl w:val="1"/>
          <w:numId w:val="1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w:t>
      </w:r>
      <w:r w:rsidR="000F5D07" w:rsidRPr="000508B6">
        <w:rPr>
          <w:rFonts w:ascii="Times New Roman" w:eastAsia="Times New Roman" w:hAnsi="Times New Roman" w:cs="Times New Roman"/>
          <w:lang w:val="ro-MD"/>
        </w:rPr>
        <w:t>uziunea sau</w:t>
      </w:r>
      <w:r w:rsidR="00F558C2" w:rsidRPr="000508B6">
        <w:rPr>
          <w:rFonts w:ascii="Times New Roman" w:eastAsia="Times New Roman" w:hAnsi="Times New Roman" w:cs="Times New Roman"/>
          <w:lang w:val="ro-MD"/>
        </w:rPr>
        <w:t xml:space="preserve"> </w:t>
      </w:r>
      <w:r w:rsidR="002A3FA0" w:rsidRPr="000508B6">
        <w:rPr>
          <w:rFonts w:ascii="Times New Roman" w:eastAsia="Times New Roman" w:hAnsi="Times New Roman" w:cs="Times New Roman"/>
          <w:lang w:val="ro-MD"/>
        </w:rPr>
        <w:t xml:space="preserve">dezmembrarea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F558C2" w:rsidRPr="000508B6">
        <w:rPr>
          <w:rFonts w:ascii="Times New Roman" w:eastAsia="Times New Roman" w:hAnsi="Times New Roman" w:cs="Times New Roman"/>
          <w:lang w:val="ro-MD"/>
        </w:rPr>
        <w:t xml:space="preserve"> se </w:t>
      </w:r>
      <w:r w:rsidR="00F667AC" w:rsidRPr="000508B6">
        <w:rPr>
          <w:rFonts w:ascii="Times New Roman" w:eastAsia="Times New Roman" w:hAnsi="Times New Roman" w:cs="Times New Roman"/>
          <w:lang w:val="ro-MD"/>
        </w:rPr>
        <w:t xml:space="preserve">efectuează potrivit </w:t>
      </w:r>
      <w:proofErr w:type="spellStart"/>
      <w:r w:rsidR="00F667AC" w:rsidRPr="000508B6">
        <w:rPr>
          <w:rFonts w:ascii="Times New Roman" w:eastAsia="Times New Roman" w:hAnsi="Times New Roman" w:cs="Times New Roman"/>
          <w:lang w:val="ro-MD"/>
        </w:rPr>
        <w:t>dispoziţiilor</w:t>
      </w:r>
      <w:proofErr w:type="spellEnd"/>
      <w:r w:rsidR="00F667AC" w:rsidRPr="000508B6">
        <w:rPr>
          <w:rFonts w:ascii="Times New Roman" w:eastAsia="Times New Roman" w:hAnsi="Times New Roman" w:cs="Times New Roman"/>
          <w:lang w:val="ro-MD"/>
        </w:rPr>
        <w:t xml:space="preserve"> legale în domeniu </w:t>
      </w:r>
      <w:proofErr w:type="spellStart"/>
      <w:r w:rsidR="00F667AC" w:rsidRPr="000508B6">
        <w:rPr>
          <w:rFonts w:ascii="Times New Roman" w:eastAsia="Times New Roman" w:hAnsi="Times New Roman" w:cs="Times New Roman"/>
          <w:lang w:val="ro-MD"/>
        </w:rPr>
        <w:t>şi</w:t>
      </w:r>
      <w:proofErr w:type="spellEnd"/>
      <w:r w:rsidR="00F667AC" w:rsidRPr="000508B6">
        <w:rPr>
          <w:rFonts w:ascii="Times New Roman" w:eastAsia="Times New Roman" w:hAnsi="Times New Roman" w:cs="Times New Roman"/>
          <w:lang w:val="ro-MD"/>
        </w:rPr>
        <w:t xml:space="preserve"> cu respectarea actelor normative ale Băncii </w:t>
      </w:r>
      <w:proofErr w:type="spellStart"/>
      <w:r w:rsidR="00F667AC" w:rsidRPr="000508B6">
        <w:rPr>
          <w:rFonts w:ascii="Times New Roman" w:eastAsia="Times New Roman" w:hAnsi="Times New Roman" w:cs="Times New Roman"/>
          <w:lang w:val="ro-MD"/>
        </w:rPr>
        <w:t>Naţionale</w:t>
      </w:r>
      <w:proofErr w:type="spellEnd"/>
      <w:r w:rsidR="00F667AC" w:rsidRPr="000508B6">
        <w:rPr>
          <w:rFonts w:ascii="Times New Roman" w:eastAsia="Times New Roman" w:hAnsi="Times New Roman" w:cs="Times New Roman"/>
          <w:lang w:val="ro-MD"/>
        </w:rPr>
        <w:t xml:space="preserve"> a Moldovei</w:t>
      </w:r>
      <w:r w:rsidR="00F558C2" w:rsidRPr="000508B6" w:rsidDel="00DD18CF">
        <w:rPr>
          <w:rFonts w:ascii="Times New Roman" w:eastAsia="Times New Roman" w:hAnsi="Times New Roman" w:cs="Times New Roman"/>
          <w:lang w:val="ro-MD"/>
        </w:rPr>
        <w:t>.</w:t>
      </w:r>
    </w:p>
    <w:p w14:paraId="5F7FA983" w14:textId="4FDBDE32" w:rsidR="00F558C2" w:rsidRPr="000508B6" w:rsidRDefault="000F5D07" w:rsidP="00CF5AFA">
      <w:pPr>
        <w:pStyle w:val="Listparagraf"/>
        <w:numPr>
          <w:ilvl w:val="1"/>
          <w:numId w:val="1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Fuziunea sau</w:t>
      </w:r>
      <w:r w:rsidR="00F558C2" w:rsidRPr="000508B6" w:rsidDel="002A3FA0">
        <w:rPr>
          <w:rFonts w:ascii="Times New Roman" w:eastAsia="Times New Roman" w:hAnsi="Times New Roman" w:cs="Times New Roman"/>
          <w:lang w:val="ro-MD"/>
        </w:rPr>
        <w:t xml:space="preserve"> </w:t>
      </w:r>
      <w:r w:rsidR="002A3FA0" w:rsidRPr="000508B6">
        <w:rPr>
          <w:rFonts w:ascii="Times New Roman" w:eastAsia="Times New Roman" w:hAnsi="Times New Roman" w:cs="Times New Roman"/>
          <w:lang w:val="ro-MD"/>
        </w:rPr>
        <w:t>dezmembrarea</w:t>
      </w:r>
      <w:r w:rsidR="00F558C2"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F558C2" w:rsidRPr="000508B6">
        <w:rPr>
          <w:rFonts w:ascii="Times New Roman" w:eastAsia="Times New Roman" w:hAnsi="Times New Roman" w:cs="Times New Roman"/>
          <w:lang w:val="ro-MD"/>
        </w:rPr>
        <w:t xml:space="preserve"> se efectuează cu aprobarea al Băncii Naționale a Moldovei </w:t>
      </w:r>
      <w:proofErr w:type="spellStart"/>
      <w:r w:rsidR="00F558C2" w:rsidRPr="000508B6">
        <w:rPr>
          <w:rFonts w:ascii="Times New Roman" w:eastAsia="Times New Roman" w:hAnsi="Times New Roman" w:cs="Times New Roman"/>
          <w:lang w:val="ro-MD"/>
        </w:rPr>
        <w:t>şi</w:t>
      </w:r>
      <w:proofErr w:type="spellEnd"/>
      <w:r w:rsidR="00F558C2" w:rsidRPr="000508B6">
        <w:rPr>
          <w:rFonts w:ascii="Times New Roman" w:eastAsia="Times New Roman" w:hAnsi="Times New Roman" w:cs="Times New Roman"/>
          <w:lang w:val="ro-MD"/>
        </w:rPr>
        <w:t xml:space="preserve"> se înregistrează de către </w:t>
      </w:r>
      <w:proofErr w:type="spellStart"/>
      <w:r w:rsidR="00F558C2" w:rsidRPr="000508B6">
        <w:rPr>
          <w:rFonts w:ascii="Times New Roman" w:eastAsia="Times New Roman" w:hAnsi="Times New Roman" w:cs="Times New Roman"/>
          <w:lang w:val="ro-MD"/>
        </w:rPr>
        <w:t>Agenţia</w:t>
      </w:r>
      <w:proofErr w:type="spellEnd"/>
      <w:r w:rsidR="00F558C2" w:rsidRPr="000508B6">
        <w:rPr>
          <w:rFonts w:ascii="Times New Roman" w:eastAsia="Times New Roman" w:hAnsi="Times New Roman" w:cs="Times New Roman"/>
          <w:lang w:val="ro-MD"/>
        </w:rPr>
        <w:t xml:space="preserve"> Servicii Publice numai după </w:t>
      </w:r>
      <w:proofErr w:type="spellStart"/>
      <w:r w:rsidR="00F558C2" w:rsidRPr="000508B6">
        <w:rPr>
          <w:rFonts w:ascii="Times New Roman" w:eastAsia="Times New Roman" w:hAnsi="Times New Roman" w:cs="Times New Roman"/>
          <w:lang w:val="ro-MD"/>
        </w:rPr>
        <w:t>obţinerea</w:t>
      </w:r>
      <w:proofErr w:type="spellEnd"/>
      <w:r w:rsidR="00F558C2" w:rsidRPr="000508B6">
        <w:rPr>
          <w:rFonts w:ascii="Times New Roman" w:eastAsia="Times New Roman" w:hAnsi="Times New Roman" w:cs="Times New Roman"/>
          <w:lang w:val="ro-MD"/>
        </w:rPr>
        <w:t xml:space="preserve"> de către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F558C2" w:rsidRPr="000508B6">
        <w:rPr>
          <w:rFonts w:ascii="Times New Roman" w:eastAsia="Times New Roman" w:hAnsi="Times New Roman" w:cs="Times New Roman"/>
          <w:lang w:val="ro-MD"/>
        </w:rPr>
        <w:t xml:space="preserve"> respectiv a aprobării din partea Băncii Naționale a Moldovei.</w:t>
      </w:r>
    </w:p>
    <w:p w14:paraId="3F96E048" w14:textId="26887286" w:rsidR="00F558C2" w:rsidRPr="000508B6" w:rsidRDefault="00D068AA" w:rsidP="00CF5AFA">
      <w:pPr>
        <w:pStyle w:val="Listparagraf"/>
        <w:numPr>
          <w:ilvl w:val="1"/>
          <w:numId w:val="1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F558C2" w:rsidRPr="000508B6">
        <w:rPr>
          <w:rFonts w:ascii="Times New Roman" w:eastAsia="Times New Roman" w:hAnsi="Times New Roman" w:cs="Times New Roman"/>
          <w:lang w:val="ro-MD"/>
        </w:rPr>
        <w:t xml:space="preserve"> constituit prin </w:t>
      </w:r>
      <w:r w:rsidR="000F5D07" w:rsidRPr="000508B6">
        <w:rPr>
          <w:rFonts w:ascii="Times New Roman" w:eastAsia="Times New Roman" w:hAnsi="Times New Roman" w:cs="Times New Roman"/>
          <w:lang w:val="ro-MD"/>
        </w:rPr>
        <w:t xml:space="preserve">fuziune sau </w:t>
      </w:r>
      <w:r w:rsidR="008440C9" w:rsidRPr="000508B6">
        <w:rPr>
          <w:rFonts w:ascii="Times New Roman" w:eastAsia="Times New Roman" w:hAnsi="Times New Roman" w:cs="Times New Roman"/>
          <w:lang w:val="ro-MD"/>
        </w:rPr>
        <w:t xml:space="preserve">dezmembrare </w:t>
      </w:r>
      <w:proofErr w:type="spellStart"/>
      <w:r w:rsidR="00F558C2" w:rsidRPr="000508B6">
        <w:rPr>
          <w:rFonts w:ascii="Times New Roman" w:eastAsia="Times New Roman" w:hAnsi="Times New Roman" w:cs="Times New Roman"/>
          <w:lang w:val="ro-MD"/>
        </w:rPr>
        <w:t>îşi</w:t>
      </w:r>
      <w:proofErr w:type="spellEnd"/>
      <w:r w:rsidR="00F558C2" w:rsidRPr="000508B6">
        <w:rPr>
          <w:rFonts w:ascii="Times New Roman" w:eastAsia="Times New Roman" w:hAnsi="Times New Roman" w:cs="Times New Roman"/>
          <w:lang w:val="ro-MD"/>
        </w:rPr>
        <w:t xml:space="preserve"> începe activitatea numai după </w:t>
      </w:r>
      <w:proofErr w:type="spellStart"/>
      <w:r w:rsidR="00F558C2" w:rsidRPr="000508B6">
        <w:rPr>
          <w:rFonts w:ascii="Times New Roman" w:eastAsia="Times New Roman" w:hAnsi="Times New Roman" w:cs="Times New Roman"/>
          <w:lang w:val="ro-MD"/>
        </w:rPr>
        <w:t>obţinerea</w:t>
      </w:r>
      <w:proofErr w:type="spellEnd"/>
      <w:r w:rsidR="00F558C2" w:rsidRPr="000508B6">
        <w:rPr>
          <w:rFonts w:ascii="Times New Roman" w:eastAsia="Times New Roman" w:hAnsi="Times New Roman" w:cs="Times New Roman"/>
          <w:lang w:val="ro-MD"/>
        </w:rPr>
        <w:t xml:space="preserve"> </w:t>
      </w:r>
      <w:proofErr w:type="spellStart"/>
      <w:r w:rsidR="00F558C2" w:rsidRPr="000508B6">
        <w:rPr>
          <w:rFonts w:ascii="Times New Roman" w:eastAsia="Times New Roman" w:hAnsi="Times New Roman" w:cs="Times New Roman"/>
          <w:lang w:val="ro-MD"/>
        </w:rPr>
        <w:t>licenţei</w:t>
      </w:r>
      <w:proofErr w:type="spellEnd"/>
      <w:r w:rsidR="00F558C2" w:rsidRPr="000508B6">
        <w:rPr>
          <w:rFonts w:ascii="Times New Roman" w:eastAsia="Times New Roman" w:hAnsi="Times New Roman" w:cs="Times New Roman"/>
          <w:lang w:val="ro-MD"/>
        </w:rPr>
        <w:t xml:space="preserve"> în </w:t>
      </w:r>
      <w:proofErr w:type="spellStart"/>
      <w:r w:rsidR="00F558C2" w:rsidRPr="000508B6">
        <w:rPr>
          <w:rFonts w:ascii="Times New Roman" w:eastAsia="Times New Roman" w:hAnsi="Times New Roman" w:cs="Times New Roman"/>
          <w:lang w:val="ro-MD"/>
        </w:rPr>
        <w:t>condiţiile</w:t>
      </w:r>
      <w:proofErr w:type="spellEnd"/>
      <w:r w:rsidR="00F558C2" w:rsidRPr="000508B6">
        <w:rPr>
          <w:rFonts w:ascii="Times New Roman" w:eastAsia="Times New Roman" w:hAnsi="Times New Roman" w:cs="Times New Roman"/>
          <w:lang w:val="ro-MD"/>
        </w:rPr>
        <w:t xml:space="preserve"> prezentei legi.</w:t>
      </w:r>
    </w:p>
    <w:p w14:paraId="1A26EDE5" w14:textId="78E74F6B" w:rsidR="00F558C2" w:rsidRPr="000508B6" w:rsidRDefault="000F5D07" w:rsidP="00CF5AFA">
      <w:pPr>
        <w:pStyle w:val="Listparagraf"/>
        <w:numPr>
          <w:ilvl w:val="1"/>
          <w:numId w:val="1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Fuziunea sau </w:t>
      </w:r>
      <w:r w:rsidR="008440C9" w:rsidRPr="000508B6">
        <w:rPr>
          <w:rFonts w:ascii="Times New Roman" w:eastAsia="Times New Roman" w:hAnsi="Times New Roman" w:cs="Times New Roman"/>
          <w:lang w:val="ro-MD"/>
        </w:rPr>
        <w:t>dezmembrare</w:t>
      </w: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00F558C2" w:rsidRPr="000508B6">
        <w:rPr>
          <w:rFonts w:ascii="Times New Roman" w:eastAsia="Times New Roman" w:hAnsi="Times New Roman" w:cs="Times New Roman"/>
          <w:lang w:val="ro-MD"/>
        </w:rPr>
        <w:t xml:space="preserve"> nu împiedică deschiderea unei proceduri de lichidare a </w:t>
      </w:r>
      <w:r w:rsidRPr="000508B6">
        <w:rPr>
          <w:rFonts w:ascii="Times New Roman" w:eastAsia="Times New Roman" w:hAnsi="Times New Roman" w:cs="Times New Roman"/>
          <w:lang w:val="ro-MD"/>
        </w:rPr>
        <w:t xml:space="preserve">acesteia </w:t>
      </w:r>
      <w:r w:rsidR="00F558C2" w:rsidRPr="000508B6">
        <w:rPr>
          <w:rFonts w:ascii="Times New Roman" w:eastAsia="Times New Roman" w:hAnsi="Times New Roman" w:cs="Times New Roman"/>
          <w:lang w:val="ro-MD"/>
        </w:rPr>
        <w:t>de către Banca Națională a Moldovei.</w:t>
      </w:r>
    </w:p>
    <w:p w14:paraId="62812575" w14:textId="5B9E4CD4" w:rsidR="00F558C2" w:rsidRPr="000508B6" w:rsidRDefault="00F558C2" w:rsidP="00CF5AFA">
      <w:pPr>
        <w:pStyle w:val="Listparagraf"/>
        <w:numPr>
          <w:ilvl w:val="1"/>
          <w:numId w:val="1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Prin </w:t>
      </w:r>
      <w:r w:rsidR="000F5D07" w:rsidRPr="000508B6">
        <w:rPr>
          <w:rFonts w:ascii="Times New Roman" w:eastAsia="Times New Roman" w:hAnsi="Times New Roman" w:cs="Times New Roman"/>
          <w:lang w:val="ro-MD"/>
        </w:rPr>
        <w:t xml:space="preserve">fuziune sau </w:t>
      </w:r>
      <w:r w:rsidR="008440C9" w:rsidRPr="000508B6">
        <w:rPr>
          <w:rFonts w:ascii="Times New Roman" w:eastAsia="Times New Roman" w:hAnsi="Times New Roman" w:cs="Times New Roman"/>
          <w:lang w:val="ro-MD"/>
        </w:rPr>
        <w:t>dezmembrare</w:t>
      </w:r>
      <w:r w:rsidR="000F5D07" w:rsidRPr="000508B6">
        <w:rPr>
          <w:rFonts w:ascii="Times New Roman" w:eastAsia="Times New Roman" w:hAnsi="Times New Roman" w:cs="Times New Roman"/>
          <w:lang w:val="ro-MD"/>
        </w:rPr>
        <w:t xml:space="preserve">a </w:t>
      </w:r>
      <w:r w:rsidR="00367127" w:rsidRPr="000508B6">
        <w:rPr>
          <w:rFonts w:ascii="Times New Roman" w:eastAsia="Times New Roman" w:hAnsi="Times New Roman" w:cs="Times New Roman"/>
          <w:lang w:val="ro-MD"/>
        </w:rPr>
        <w:t xml:space="preserve">asigurătorului sau </w:t>
      </w:r>
      <w:proofErr w:type="spellStart"/>
      <w:r w:rsidR="00367127" w:rsidRPr="000508B6">
        <w:rPr>
          <w:rFonts w:ascii="Times New Roman" w:eastAsia="Times New Roman" w:hAnsi="Times New Roman" w:cs="Times New Roman"/>
          <w:lang w:val="ro-MD"/>
        </w:rPr>
        <w:t>reasigurătorului</w:t>
      </w:r>
      <w:proofErr w:type="spellEnd"/>
      <w:r w:rsidR="0036712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poate fi creat doar </w:t>
      </w:r>
      <w:r w:rsidR="00367127" w:rsidRPr="000508B6">
        <w:rPr>
          <w:rFonts w:ascii="Times New Roman" w:eastAsia="Times New Roman" w:hAnsi="Times New Roman" w:cs="Times New Roman"/>
          <w:lang w:val="ro-MD"/>
        </w:rPr>
        <w:t xml:space="preserve">un asigurător sau </w:t>
      </w:r>
      <w:proofErr w:type="spellStart"/>
      <w:r w:rsidR="00367127"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w:t>
      </w:r>
    </w:p>
    <w:p w14:paraId="40289687" w14:textId="62F64C29" w:rsidR="00F558C2" w:rsidRPr="000508B6" w:rsidDel="0037046F" w:rsidRDefault="00F558C2" w:rsidP="00CF5AFA">
      <w:pPr>
        <w:pStyle w:val="Listparagraf"/>
        <w:numPr>
          <w:ilvl w:val="1"/>
          <w:numId w:val="1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w:t>
      </w:r>
      <w:r w:rsidR="000F5D07" w:rsidRPr="000508B6">
        <w:rPr>
          <w:rFonts w:ascii="Times New Roman" w:eastAsia="Times New Roman" w:hAnsi="Times New Roman" w:cs="Times New Roman"/>
          <w:lang w:val="ro-MD"/>
        </w:rPr>
        <w:t xml:space="preserve">fuziunii sau </w:t>
      </w:r>
      <w:r w:rsidR="008440C9" w:rsidRPr="000508B6">
        <w:rPr>
          <w:rFonts w:ascii="Times New Roman" w:eastAsia="Times New Roman" w:hAnsi="Times New Roman" w:cs="Times New Roman"/>
          <w:lang w:val="ro-MD"/>
        </w:rPr>
        <w:t>dezmembrării</w:t>
      </w:r>
      <w:r w:rsidR="000F5D07"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care </w:t>
      </w:r>
      <w:r w:rsidR="00B5384B" w:rsidRPr="000508B6">
        <w:rPr>
          <w:rFonts w:ascii="Times New Roman" w:eastAsia="Times New Roman" w:hAnsi="Times New Roman" w:cs="Times New Roman"/>
          <w:lang w:val="ro-MD"/>
        </w:rPr>
        <w:t xml:space="preserve">desfășoară activități sau </w:t>
      </w:r>
      <w:r w:rsidRPr="000508B6">
        <w:rPr>
          <w:rFonts w:ascii="Times New Roman" w:eastAsia="Times New Roman" w:hAnsi="Times New Roman" w:cs="Times New Roman"/>
          <w:lang w:val="ro-MD"/>
        </w:rPr>
        <w:t xml:space="preserve">are sucursale în </w:t>
      </w:r>
      <w:r w:rsidR="00B5384B" w:rsidRPr="000508B6">
        <w:rPr>
          <w:rFonts w:ascii="Times New Roman" w:eastAsia="Times New Roman" w:hAnsi="Times New Roman" w:cs="Times New Roman"/>
          <w:lang w:val="ro-MD"/>
        </w:rPr>
        <w:t xml:space="preserve">alte state membre sau </w:t>
      </w:r>
      <w:r w:rsidRPr="000508B6">
        <w:rPr>
          <w:rFonts w:ascii="Times New Roman" w:eastAsia="Times New Roman" w:hAnsi="Times New Roman" w:cs="Times New Roman"/>
          <w:lang w:val="ro-MD"/>
        </w:rPr>
        <w:t xml:space="preserve">statele </w:t>
      </w:r>
      <w:proofErr w:type="spellStart"/>
      <w:r w:rsidRPr="000508B6">
        <w:rPr>
          <w:rFonts w:ascii="Times New Roman" w:eastAsia="Times New Roman" w:hAnsi="Times New Roman" w:cs="Times New Roman"/>
          <w:lang w:val="ro-MD"/>
        </w:rPr>
        <w:t>terţe</w:t>
      </w:r>
      <w:proofErr w:type="spellEnd"/>
      <w:r w:rsidRPr="000508B6">
        <w:rPr>
          <w:rFonts w:ascii="Times New Roman" w:eastAsia="Times New Roman" w:hAnsi="Times New Roman" w:cs="Times New Roman"/>
          <w:lang w:val="ro-MD"/>
        </w:rPr>
        <w:t xml:space="preserve">, informarea obligatorie a creditorilor privind </w:t>
      </w:r>
      <w:r w:rsidR="000F5D07" w:rsidRPr="000508B6">
        <w:rPr>
          <w:rFonts w:ascii="Times New Roman" w:eastAsia="Times New Roman" w:hAnsi="Times New Roman" w:cs="Times New Roman"/>
          <w:lang w:val="ro-MD"/>
        </w:rPr>
        <w:t xml:space="preserve">fuziunea sau </w:t>
      </w:r>
      <w:r w:rsidR="008440C9" w:rsidRPr="000508B6">
        <w:rPr>
          <w:rFonts w:ascii="Times New Roman" w:eastAsia="Times New Roman" w:hAnsi="Times New Roman" w:cs="Times New Roman"/>
          <w:lang w:val="ro-MD"/>
        </w:rPr>
        <w:t>dezmembrare</w:t>
      </w:r>
      <w:r w:rsidR="00DD18CF"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dreptul de a prezenta </w:t>
      </w:r>
      <w:r w:rsidR="00A242A0" w:rsidRPr="000508B6">
        <w:rPr>
          <w:rFonts w:ascii="Times New Roman" w:eastAsia="Times New Roman" w:hAnsi="Times New Roman" w:cs="Times New Roman"/>
          <w:lang w:val="ro-MD"/>
        </w:rPr>
        <w:t>cereri de admitere a creanțelor</w:t>
      </w:r>
      <w:r w:rsidRPr="000508B6">
        <w:rPr>
          <w:rFonts w:ascii="Times New Roman" w:eastAsia="Times New Roman" w:hAnsi="Times New Roman" w:cs="Times New Roman"/>
          <w:lang w:val="ro-MD"/>
        </w:rPr>
        <w:t xml:space="preserve"> se aplică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creditorilor </w:t>
      </w:r>
      <w:r w:rsidR="00B5384B"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sucursalei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w:t>
      </w:r>
      <w:r w:rsidR="00B5384B" w:rsidRPr="000508B6">
        <w:rPr>
          <w:rFonts w:ascii="Times New Roman" w:eastAsia="Times New Roman" w:hAnsi="Times New Roman" w:cs="Times New Roman"/>
          <w:lang w:val="ro-MD"/>
        </w:rPr>
        <w:t xml:space="preserve">aflați </w:t>
      </w:r>
      <w:r w:rsidRPr="000508B6">
        <w:rPr>
          <w:rFonts w:ascii="Times New Roman" w:eastAsia="Times New Roman" w:hAnsi="Times New Roman" w:cs="Times New Roman"/>
          <w:lang w:val="ro-MD"/>
        </w:rPr>
        <w:t xml:space="preserve">în </w:t>
      </w:r>
      <w:r w:rsidR="00B5384B" w:rsidRPr="000508B6">
        <w:rPr>
          <w:rFonts w:ascii="Times New Roman" w:eastAsia="Times New Roman" w:hAnsi="Times New Roman" w:cs="Times New Roman"/>
          <w:lang w:val="ro-MD"/>
        </w:rPr>
        <w:t xml:space="preserve">alte state membre sau state </w:t>
      </w:r>
      <w:proofErr w:type="spellStart"/>
      <w:r w:rsidRPr="000508B6">
        <w:rPr>
          <w:rFonts w:ascii="Times New Roman" w:eastAsia="Times New Roman" w:hAnsi="Times New Roman" w:cs="Times New Roman"/>
          <w:lang w:val="ro-MD"/>
        </w:rPr>
        <w:t>terţ</w:t>
      </w:r>
      <w:r w:rsidR="00B5384B" w:rsidRPr="000508B6">
        <w:rPr>
          <w:rFonts w:ascii="Times New Roman" w:eastAsia="Times New Roman" w:hAnsi="Times New Roman" w:cs="Times New Roman"/>
          <w:lang w:val="ro-MD"/>
        </w:rPr>
        <w:t>e</w:t>
      </w:r>
      <w:proofErr w:type="spellEnd"/>
      <w:r w:rsidRPr="000508B6">
        <w:rPr>
          <w:rFonts w:ascii="Times New Roman" w:eastAsia="Times New Roman" w:hAnsi="Times New Roman" w:cs="Times New Roman"/>
          <w:lang w:val="ro-MD"/>
        </w:rPr>
        <w:t>.</w:t>
      </w:r>
    </w:p>
    <w:p w14:paraId="160B3F4F" w14:textId="2A953FD5" w:rsidR="003466B5" w:rsidRPr="000508B6" w:rsidRDefault="003466B5" w:rsidP="00CF5AFA">
      <w:pPr>
        <w:pStyle w:val="Listparagraf"/>
        <w:numPr>
          <w:ilvl w:val="1"/>
          <w:numId w:val="1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La evaluarea fuziun</w:t>
      </w:r>
      <w:r w:rsidR="000F5D07" w:rsidRPr="000508B6">
        <w:rPr>
          <w:rFonts w:ascii="Times New Roman" w:eastAsia="Times New Roman" w:hAnsi="Times New Roman" w:cs="Times New Roman"/>
          <w:lang w:val="ro-MD"/>
        </w:rPr>
        <w:t>ii</w:t>
      </w:r>
      <w:r w:rsidRPr="000508B6">
        <w:rPr>
          <w:rFonts w:ascii="Times New Roman" w:eastAsia="Times New Roman" w:hAnsi="Times New Roman" w:cs="Times New Roman"/>
          <w:lang w:val="ro-MD"/>
        </w:rPr>
        <w:t xml:space="preserve"> sau </w:t>
      </w:r>
      <w:r w:rsidR="008440C9" w:rsidRPr="000508B6">
        <w:rPr>
          <w:rFonts w:ascii="Times New Roman" w:eastAsia="Times New Roman" w:hAnsi="Times New Roman" w:cs="Times New Roman"/>
          <w:lang w:val="ro-MD"/>
        </w:rPr>
        <w:t>dezmembrării</w:t>
      </w:r>
      <w:r w:rsidRPr="000508B6">
        <w:rPr>
          <w:rFonts w:ascii="Times New Roman" w:eastAsia="Times New Roman" w:hAnsi="Times New Roman" w:cs="Times New Roman"/>
          <w:lang w:val="ro-MD"/>
        </w:rPr>
        <w:t xml:space="preserve"> se au în vedere, fără a fi limitative, următoarele:</w:t>
      </w:r>
    </w:p>
    <w:p w14:paraId="488872DF" w14:textId="0FBC294E" w:rsidR="003466B5" w:rsidRPr="000508B6" w:rsidRDefault="00323D06" w:rsidP="00323D06">
      <w:pPr>
        <w:spacing w:after="0" w:line="240" w:lineRule="auto"/>
        <w:ind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00DD18CF" w:rsidRPr="000508B6">
        <w:rPr>
          <w:rFonts w:ascii="Times New Roman" w:eastAsia="Times New Roman" w:hAnsi="Times New Roman" w:cs="Times New Roman"/>
          <w:lang w:val="ro-MD"/>
        </w:rPr>
        <w:t xml:space="preserve"> </w:t>
      </w:r>
      <w:r w:rsidR="003466B5" w:rsidRPr="000508B6">
        <w:rPr>
          <w:rFonts w:ascii="Times New Roman" w:eastAsia="Times New Roman" w:hAnsi="Times New Roman" w:cs="Times New Roman"/>
          <w:lang w:val="ro-MD"/>
        </w:rPr>
        <w:t xml:space="preserve">îndeplinirea </w:t>
      </w:r>
      <w:proofErr w:type="spellStart"/>
      <w:r w:rsidR="003466B5" w:rsidRPr="000508B6">
        <w:rPr>
          <w:rFonts w:ascii="Times New Roman" w:eastAsia="Times New Roman" w:hAnsi="Times New Roman" w:cs="Times New Roman"/>
          <w:lang w:val="ro-MD"/>
        </w:rPr>
        <w:t>cerinţelor</w:t>
      </w:r>
      <w:proofErr w:type="spellEnd"/>
      <w:r w:rsidR="003466B5" w:rsidRPr="000508B6">
        <w:rPr>
          <w:rFonts w:ascii="Times New Roman" w:eastAsia="Times New Roman" w:hAnsi="Times New Roman" w:cs="Times New Roman"/>
          <w:lang w:val="ro-MD"/>
        </w:rPr>
        <w:t xml:space="preserve"> pentru </w:t>
      </w:r>
      <w:proofErr w:type="spellStart"/>
      <w:r w:rsidR="003466B5" w:rsidRPr="000508B6">
        <w:rPr>
          <w:rFonts w:ascii="Times New Roman" w:eastAsia="Times New Roman" w:hAnsi="Times New Roman" w:cs="Times New Roman"/>
          <w:lang w:val="ro-MD"/>
        </w:rPr>
        <w:t>licenţierea</w:t>
      </w:r>
      <w:proofErr w:type="spellEnd"/>
      <w:r w:rsidR="003466B5" w:rsidRPr="000508B6">
        <w:rPr>
          <w:rFonts w:ascii="Times New Roman" w:eastAsia="Times New Roman" w:hAnsi="Times New Roman" w:cs="Times New Roman"/>
          <w:lang w:val="ro-MD"/>
        </w:rPr>
        <w:t xml:space="preserve"> </w:t>
      </w:r>
      <w:r w:rsidR="00367127" w:rsidRPr="000508B6">
        <w:rPr>
          <w:rFonts w:ascii="Times New Roman" w:eastAsia="Times New Roman" w:hAnsi="Times New Roman" w:cs="Times New Roman"/>
          <w:lang w:val="ro-MD"/>
        </w:rPr>
        <w:t xml:space="preserve">unui asigurător sau </w:t>
      </w:r>
      <w:proofErr w:type="spellStart"/>
      <w:r w:rsidR="00367127" w:rsidRPr="000508B6">
        <w:rPr>
          <w:rFonts w:ascii="Times New Roman" w:eastAsia="Times New Roman" w:hAnsi="Times New Roman" w:cs="Times New Roman"/>
          <w:lang w:val="ro-MD"/>
        </w:rPr>
        <w:t>reasigurător</w:t>
      </w:r>
      <w:proofErr w:type="spellEnd"/>
      <w:r w:rsidR="003466B5" w:rsidRPr="000508B6">
        <w:rPr>
          <w:rFonts w:ascii="Times New Roman" w:eastAsia="Times New Roman" w:hAnsi="Times New Roman" w:cs="Times New Roman"/>
          <w:lang w:val="ro-MD"/>
        </w:rPr>
        <w:t xml:space="preserve">, inclusiv cu privire la respectarea MCR </w:t>
      </w:r>
      <w:r w:rsidR="005E55BB" w:rsidRPr="000508B6">
        <w:rPr>
          <w:rFonts w:ascii="Times New Roman" w:eastAsia="Times New Roman" w:hAnsi="Times New Roman" w:cs="Times New Roman"/>
          <w:lang w:val="ro-MD"/>
        </w:rPr>
        <w:t>și SCR</w:t>
      </w:r>
      <w:r w:rsidR="003466B5" w:rsidRPr="000508B6">
        <w:rPr>
          <w:rFonts w:ascii="Times New Roman" w:eastAsia="Times New Roman" w:hAnsi="Times New Roman" w:cs="Times New Roman"/>
          <w:lang w:val="ro-MD"/>
        </w:rPr>
        <w:t>;</w:t>
      </w:r>
    </w:p>
    <w:p w14:paraId="35AB9F31" w14:textId="3236F49A" w:rsidR="003466B5" w:rsidRPr="000508B6" w:rsidRDefault="00323D06" w:rsidP="00323D06">
      <w:pPr>
        <w:spacing w:after="0" w:line="240" w:lineRule="auto"/>
        <w:ind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00DD18CF" w:rsidRPr="000508B6">
        <w:rPr>
          <w:rFonts w:ascii="Times New Roman" w:eastAsia="Times New Roman" w:hAnsi="Times New Roman" w:cs="Times New Roman"/>
          <w:lang w:val="ro-MD"/>
        </w:rPr>
        <w:t xml:space="preserve"> </w:t>
      </w:r>
      <w:proofErr w:type="spellStart"/>
      <w:r w:rsidR="003466B5" w:rsidRPr="000508B6">
        <w:rPr>
          <w:rFonts w:ascii="Times New Roman" w:eastAsia="Times New Roman" w:hAnsi="Times New Roman" w:cs="Times New Roman"/>
          <w:lang w:val="ro-MD"/>
        </w:rPr>
        <w:t>transparenţa</w:t>
      </w:r>
      <w:proofErr w:type="spellEnd"/>
      <w:r w:rsidR="003466B5" w:rsidRPr="000508B6">
        <w:rPr>
          <w:rFonts w:ascii="Times New Roman" w:eastAsia="Times New Roman" w:hAnsi="Times New Roman" w:cs="Times New Roman"/>
          <w:lang w:val="ro-MD"/>
        </w:rPr>
        <w:t xml:space="preserve"> structurii </w:t>
      </w:r>
      <w:r w:rsidR="00A52706" w:rsidRPr="000508B6">
        <w:rPr>
          <w:rFonts w:ascii="Times New Roman" w:eastAsia="Times New Roman" w:hAnsi="Times New Roman" w:cs="Times New Roman"/>
          <w:lang w:val="ro-MD"/>
        </w:rPr>
        <w:t>acționariatului</w:t>
      </w:r>
      <w:r w:rsidR="003466B5"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3466B5" w:rsidRPr="000508B6">
        <w:rPr>
          <w:rFonts w:ascii="Times New Roman" w:eastAsia="Times New Roman" w:hAnsi="Times New Roman" w:cs="Times New Roman"/>
          <w:lang w:val="ro-MD"/>
        </w:rPr>
        <w:t xml:space="preserve"> rezultat, astfel </w:t>
      </w:r>
      <w:r w:rsidRPr="000508B6">
        <w:rPr>
          <w:rFonts w:ascii="Times New Roman" w:eastAsia="Times New Roman" w:hAnsi="Times New Roman" w:cs="Times New Roman"/>
          <w:lang w:val="ro-MD"/>
        </w:rPr>
        <w:t>încât</w:t>
      </w:r>
      <w:r w:rsidR="003466B5" w:rsidRPr="000508B6">
        <w:rPr>
          <w:rFonts w:ascii="Times New Roman" w:eastAsia="Times New Roman" w:hAnsi="Times New Roman" w:cs="Times New Roman"/>
          <w:lang w:val="ro-MD"/>
        </w:rPr>
        <w:t xml:space="preserve"> aceasta să permită </w:t>
      </w:r>
      <w:proofErr w:type="spellStart"/>
      <w:r w:rsidR="003466B5" w:rsidRPr="000508B6">
        <w:rPr>
          <w:rFonts w:ascii="Times New Roman" w:eastAsia="Times New Roman" w:hAnsi="Times New Roman" w:cs="Times New Roman"/>
          <w:lang w:val="ro-MD"/>
        </w:rPr>
        <w:t>desfăşurarea</w:t>
      </w:r>
      <w:proofErr w:type="spellEnd"/>
      <w:r w:rsidR="003466B5" w:rsidRPr="000508B6">
        <w:rPr>
          <w:rFonts w:ascii="Times New Roman" w:eastAsia="Times New Roman" w:hAnsi="Times New Roman" w:cs="Times New Roman"/>
          <w:lang w:val="ro-MD"/>
        </w:rPr>
        <w:t xml:space="preserve"> unei supravegheri eficiente;</w:t>
      </w:r>
    </w:p>
    <w:p w14:paraId="3165209C" w14:textId="3322F9C5" w:rsidR="00E267D9" w:rsidRPr="000508B6" w:rsidRDefault="00323D06" w:rsidP="00323D06">
      <w:pPr>
        <w:spacing w:after="0" w:line="240" w:lineRule="auto"/>
        <w:ind w:firstLine="284"/>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003466B5" w:rsidRPr="000508B6">
        <w:rPr>
          <w:rFonts w:ascii="Times New Roman" w:eastAsia="Times New Roman" w:hAnsi="Times New Roman" w:cs="Times New Roman"/>
          <w:lang w:val="ro-MD"/>
        </w:rPr>
        <w:t xml:space="preserve"> calitatea persoanelor care asigură conducerea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3466B5" w:rsidRPr="000508B6">
        <w:rPr>
          <w:rFonts w:ascii="Times New Roman" w:eastAsia="Times New Roman" w:hAnsi="Times New Roman" w:cs="Times New Roman"/>
          <w:lang w:val="ro-MD"/>
        </w:rPr>
        <w:t xml:space="preserve"> rezultat.</w:t>
      </w:r>
    </w:p>
    <w:p w14:paraId="17DF3405" w14:textId="2CFA7D25" w:rsidR="00E267D9" w:rsidRPr="000508B6" w:rsidRDefault="00E267D9" w:rsidP="00E267D9">
      <w:pPr>
        <w:pStyle w:val="Listparagraf"/>
        <w:spacing w:after="0" w:line="240" w:lineRule="auto"/>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Secțiunea a 5-a</w:t>
      </w:r>
    </w:p>
    <w:p w14:paraId="68E154E3" w14:textId="6519F28E" w:rsidR="003466B5" w:rsidRPr="000508B6" w:rsidRDefault="00E267D9" w:rsidP="00853F42">
      <w:pPr>
        <w:pStyle w:val="Listparagraf"/>
        <w:spacing w:after="0" w:line="240" w:lineRule="auto"/>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Dizolvarea </w:t>
      </w:r>
      <w:proofErr w:type="spellStart"/>
      <w:r w:rsidRPr="000508B6">
        <w:rPr>
          <w:rFonts w:ascii="Times New Roman" w:eastAsia="Times New Roman" w:hAnsi="Times New Roman" w:cs="Times New Roman"/>
          <w:b/>
          <w:lang w:val="ro-MD"/>
        </w:rPr>
        <w:t>şi</w:t>
      </w:r>
      <w:proofErr w:type="spellEnd"/>
      <w:r w:rsidRPr="000508B6">
        <w:rPr>
          <w:rFonts w:ascii="Times New Roman" w:eastAsia="Times New Roman" w:hAnsi="Times New Roman" w:cs="Times New Roman"/>
          <w:b/>
          <w:lang w:val="ro-MD"/>
        </w:rPr>
        <w:t xml:space="preserve"> lichidarea </w:t>
      </w:r>
      <w:r w:rsidR="00643D85" w:rsidRPr="000508B6">
        <w:rPr>
          <w:rFonts w:ascii="Times New Roman" w:eastAsia="Times New Roman" w:hAnsi="Times New Roman" w:cs="Times New Roman"/>
          <w:b/>
          <w:lang w:val="ro-MD"/>
        </w:rPr>
        <w:t>asigurătorului</w:t>
      </w:r>
    </w:p>
    <w:p w14:paraId="163E0A14" w14:textId="77777777" w:rsidR="00FF5F69" w:rsidRPr="000508B6" w:rsidRDefault="00FF5F69" w:rsidP="00F558C2">
      <w:pPr>
        <w:spacing w:after="0" w:line="240" w:lineRule="auto"/>
        <w:ind w:firstLine="426"/>
        <w:jc w:val="both"/>
        <w:rPr>
          <w:rFonts w:ascii="Times New Roman" w:hAnsi="Times New Roman" w:cs="Times New Roman"/>
          <w:b/>
          <w:lang w:val="ro-MD"/>
        </w:rPr>
      </w:pPr>
    </w:p>
    <w:p w14:paraId="42E4D2AE" w14:textId="624899B8"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hAnsi="Times New Roman" w:cs="Times New Roman"/>
          <w:b/>
          <w:lang w:val="ro-MD"/>
        </w:rPr>
        <w:t xml:space="preserve">Articolul </w:t>
      </w:r>
      <w:r w:rsidR="008A5007" w:rsidRPr="000508B6">
        <w:rPr>
          <w:rFonts w:ascii="Times New Roman" w:hAnsi="Times New Roman" w:cs="Times New Roman"/>
          <w:b/>
          <w:lang w:val="ro-MD"/>
        </w:rPr>
        <w:t>167</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Procedura de dizolvare </w:t>
      </w:r>
    </w:p>
    <w:p w14:paraId="5F732EA8" w14:textId="71209D9B" w:rsidR="00F558C2" w:rsidRPr="000508B6" w:rsidRDefault="004125E8" w:rsidP="00CF5AFA">
      <w:pPr>
        <w:pStyle w:val="Listparagraf"/>
        <w:numPr>
          <w:ilvl w:val="1"/>
          <w:numId w:val="19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Asigurătorul</w:t>
      </w:r>
      <w:r w:rsidR="00F558C2" w:rsidRPr="000508B6" w:rsidDel="00362340">
        <w:rPr>
          <w:rFonts w:ascii="Times New Roman" w:eastAsia="Times New Roman" w:hAnsi="Times New Roman" w:cs="Times New Roman"/>
          <w:lang w:val="ro-MD"/>
        </w:rPr>
        <w:t xml:space="preserve"> </w:t>
      </w:r>
      <w:r w:rsidR="00F558C2" w:rsidRPr="000508B6">
        <w:rPr>
          <w:rFonts w:ascii="Times New Roman" w:eastAsia="Times New Roman" w:hAnsi="Times New Roman" w:cs="Times New Roman"/>
          <w:lang w:val="ro-MD"/>
        </w:rPr>
        <w:t xml:space="preserve">se dizolvă </w:t>
      </w:r>
      <w:r w:rsidR="00631FFC" w:rsidRPr="000508B6">
        <w:rPr>
          <w:rFonts w:ascii="Times New Roman" w:eastAsia="Times New Roman" w:hAnsi="Times New Roman" w:cs="Times New Roman"/>
          <w:lang w:val="ro-MD"/>
        </w:rPr>
        <w:t xml:space="preserve">în </w:t>
      </w:r>
      <w:r w:rsidR="00B6606E" w:rsidRPr="000508B6">
        <w:rPr>
          <w:rFonts w:ascii="Times New Roman" w:eastAsia="Times New Roman" w:hAnsi="Times New Roman" w:cs="Times New Roman"/>
          <w:lang w:val="ro-MD"/>
        </w:rPr>
        <w:t>temeiul</w:t>
      </w:r>
      <w:r w:rsidR="00F558C2" w:rsidRPr="000508B6">
        <w:rPr>
          <w:rFonts w:ascii="Times New Roman" w:eastAsia="Times New Roman" w:hAnsi="Times New Roman" w:cs="Times New Roman"/>
          <w:lang w:val="ro-MD"/>
        </w:rPr>
        <w:t>:</w:t>
      </w:r>
    </w:p>
    <w:p w14:paraId="60D1CDE1" w14:textId="296CB4A3" w:rsidR="00F558C2" w:rsidRPr="000508B6" w:rsidRDefault="00B6606E" w:rsidP="00CF5AFA">
      <w:pPr>
        <w:pStyle w:val="Listparagraf"/>
        <w:numPr>
          <w:ilvl w:val="2"/>
          <w:numId w:val="19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hotărârii </w:t>
      </w:r>
      <w:r w:rsidR="00F558C2" w:rsidRPr="000508B6">
        <w:rPr>
          <w:rFonts w:ascii="Times New Roman" w:eastAsia="Times New Roman" w:hAnsi="Times New Roman" w:cs="Times New Roman"/>
          <w:lang w:val="ro-MD"/>
        </w:rPr>
        <w:t xml:space="preserve">adunării generale a </w:t>
      </w:r>
      <w:proofErr w:type="spellStart"/>
      <w:r w:rsidR="00F558C2" w:rsidRPr="000508B6">
        <w:rPr>
          <w:rFonts w:ascii="Times New Roman" w:eastAsia="Times New Roman" w:hAnsi="Times New Roman" w:cs="Times New Roman"/>
          <w:lang w:val="ro-MD"/>
        </w:rPr>
        <w:t>acţionarilor</w:t>
      </w:r>
      <w:proofErr w:type="spellEnd"/>
      <w:r w:rsidR="00F558C2" w:rsidRPr="000508B6">
        <w:rPr>
          <w:rFonts w:ascii="Times New Roman" w:eastAsia="Times New Roman" w:hAnsi="Times New Roman" w:cs="Times New Roman"/>
          <w:lang w:val="ro-MD"/>
        </w:rPr>
        <w:t>;</w:t>
      </w:r>
    </w:p>
    <w:p w14:paraId="6BD40B53" w14:textId="4082838F" w:rsidR="00F558C2" w:rsidRPr="000508B6" w:rsidRDefault="00B6606E" w:rsidP="00CF5AFA">
      <w:pPr>
        <w:pStyle w:val="Listparagraf"/>
        <w:numPr>
          <w:ilvl w:val="2"/>
          <w:numId w:val="19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hotărârii judecătorești irevocabile</w:t>
      </w:r>
      <w:r w:rsidR="00F558C2" w:rsidRPr="000508B6">
        <w:rPr>
          <w:rFonts w:ascii="Times New Roman" w:eastAsia="Times New Roman" w:hAnsi="Times New Roman" w:cs="Times New Roman"/>
          <w:lang w:val="ro-MD"/>
        </w:rPr>
        <w:t>;</w:t>
      </w:r>
    </w:p>
    <w:p w14:paraId="40C36025" w14:textId="46322D6D" w:rsidR="00F558C2" w:rsidRPr="000508B6" w:rsidRDefault="00B6606E" w:rsidP="00CF5AFA">
      <w:pPr>
        <w:pStyle w:val="Listparagraf"/>
        <w:numPr>
          <w:ilvl w:val="2"/>
          <w:numId w:val="19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retragerii </w:t>
      </w:r>
      <w:proofErr w:type="spellStart"/>
      <w:r w:rsidR="00F558C2" w:rsidRPr="000508B6">
        <w:rPr>
          <w:rFonts w:ascii="Times New Roman" w:eastAsia="Times New Roman" w:hAnsi="Times New Roman" w:cs="Times New Roman"/>
          <w:lang w:val="ro-MD"/>
        </w:rPr>
        <w:t>licenţei</w:t>
      </w:r>
      <w:proofErr w:type="spellEnd"/>
      <w:r w:rsidR="00F558C2" w:rsidRPr="000508B6">
        <w:rPr>
          <w:rFonts w:ascii="Times New Roman" w:eastAsia="Times New Roman" w:hAnsi="Times New Roman" w:cs="Times New Roman"/>
          <w:lang w:val="ro-MD"/>
        </w:rPr>
        <w:t xml:space="preserve"> privind </w:t>
      </w:r>
      <w:proofErr w:type="spellStart"/>
      <w:r w:rsidR="00F558C2" w:rsidRPr="000508B6">
        <w:rPr>
          <w:rFonts w:ascii="Times New Roman" w:eastAsia="Times New Roman" w:hAnsi="Times New Roman" w:cs="Times New Roman"/>
          <w:lang w:val="ro-MD"/>
        </w:rPr>
        <w:t>desfăşurarea</w:t>
      </w:r>
      <w:proofErr w:type="spellEnd"/>
      <w:r w:rsidR="00F558C2" w:rsidRPr="000508B6">
        <w:rPr>
          <w:rFonts w:ascii="Times New Roman" w:eastAsia="Times New Roman" w:hAnsi="Times New Roman" w:cs="Times New Roman"/>
          <w:lang w:val="ro-MD"/>
        </w:rPr>
        <w:t xml:space="preserve"> </w:t>
      </w:r>
      <w:proofErr w:type="spellStart"/>
      <w:r w:rsidR="00F558C2" w:rsidRPr="000508B6">
        <w:rPr>
          <w:rFonts w:ascii="Times New Roman" w:eastAsia="Times New Roman" w:hAnsi="Times New Roman" w:cs="Times New Roman"/>
          <w:lang w:val="ro-MD"/>
        </w:rPr>
        <w:t>activităţii</w:t>
      </w:r>
      <w:proofErr w:type="spellEnd"/>
      <w:r w:rsidR="00F558C2" w:rsidRPr="000508B6">
        <w:rPr>
          <w:rFonts w:ascii="Times New Roman" w:eastAsia="Times New Roman" w:hAnsi="Times New Roman" w:cs="Times New Roman"/>
          <w:lang w:val="ro-MD"/>
        </w:rPr>
        <w:t xml:space="preserve"> de asigurare sau de reasigurare conform art.</w:t>
      </w:r>
      <w:r w:rsidR="00F9438E" w:rsidRPr="000508B6">
        <w:rPr>
          <w:rFonts w:ascii="Times New Roman" w:eastAsia="Times New Roman" w:hAnsi="Times New Roman" w:cs="Times New Roman"/>
          <w:lang w:val="ro-MD"/>
        </w:rPr>
        <w:t>164</w:t>
      </w:r>
    </w:p>
    <w:p w14:paraId="2D6522DA" w14:textId="1DD4B75C" w:rsidR="00F54F03" w:rsidRPr="000508B6" w:rsidRDefault="00C55E99" w:rsidP="00701CD5">
      <w:pPr>
        <w:pStyle w:val="Listparagraf"/>
        <w:numPr>
          <w:ilvl w:val="1"/>
          <w:numId w:val="190"/>
        </w:numPr>
        <w:tabs>
          <w:tab w:val="left" w:pos="567"/>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Dizolvarea</w:t>
      </w:r>
      <w:r w:rsidR="00F54F03" w:rsidRPr="000508B6">
        <w:rPr>
          <w:rFonts w:ascii="Times New Roman" w:eastAsia="Times New Roman" w:hAnsi="Times New Roman" w:cs="Times New Roman"/>
          <w:lang w:val="ro-MD"/>
        </w:rPr>
        <w:t xml:space="preserve">  asigurătorului în cazul prevăzut la alin. (1) lit. a) nu este admisă în cazul deținerii portofoliului de asigurare și/sau de reasigurare și/sau a obligațiilor neexecutate asumate în baza contractelor de asigurare </w:t>
      </w:r>
      <w:proofErr w:type="spellStart"/>
      <w:r w:rsidR="00F54F03" w:rsidRPr="000508B6">
        <w:rPr>
          <w:rFonts w:ascii="Times New Roman" w:eastAsia="Times New Roman" w:hAnsi="Times New Roman" w:cs="Times New Roman"/>
          <w:lang w:val="ro-MD"/>
        </w:rPr>
        <w:t>şi</w:t>
      </w:r>
      <w:proofErr w:type="spellEnd"/>
      <w:r w:rsidR="00F54F03" w:rsidRPr="000508B6">
        <w:rPr>
          <w:rFonts w:ascii="Times New Roman" w:eastAsia="Times New Roman" w:hAnsi="Times New Roman" w:cs="Times New Roman"/>
          <w:lang w:val="ro-MD"/>
        </w:rPr>
        <w:t>/sau de reasigurare.</w:t>
      </w:r>
    </w:p>
    <w:p w14:paraId="76FE4BC1" w14:textId="617A9FBD" w:rsidR="00F54F03" w:rsidRPr="000508B6" w:rsidRDefault="00F54F03" w:rsidP="00701CD5">
      <w:pPr>
        <w:pStyle w:val="Listparagraf"/>
        <w:numPr>
          <w:ilvl w:val="1"/>
          <w:numId w:val="190"/>
        </w:numPr>
        <w:tabs>
          <w:tab w:val="left" w:pos="567"/>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Prin derogare de la alin. (1) lit. c), asigurătorul care a transferat portofoliul de asigurări și și-a onorat toate obligațiile contractuale în termenele prevăzute la art. 164, are dreptul de a nu iniția procedura de </w:t>
      </w:r>
      <w:r w:rsidR="00C55E99" w:rsidRPr="000508B6">
        <w:rPr>
          <w:rFonts w:ascii="Times New Roman" w:eastAsia="Times New Roman" w:hAnsi="Times New Roman" w:cs="Times New Roman"/>
          <w:lang w:val="ro-MD"/>
        </w:rPr>
        <w:t>dizolvare prin lichidare</w:t>
      </w:r>
      <w:r w:rsidRPr="000508B6">
        <w:rPr>
          <w:rFonts w:ascii="Times New Roman" w:eastAsia="Times New Roman" w:hAnsi="Times New Roman" w:cs="Times New Roman"/>
          <w:lang w:val="ro-MD"/>
        </w:rPr>
        <w:t xml:space="preserve">. În acest caz, asigurătorul este obligat să publice în Monitorul Oficial </w:t>
      </w:r>
      <w:r w:rsidR="00F10E2F" w:rsidRPr="000508B6">
        <w:rPr>
          <w:rFonts w:ascii="Times New Roman" w:eastAsia="Times New Roman" w:hAnsi="Times New Roman" w:cs="Times New Roman"/>
          <w:lang w:val="ro-MD"/>
        </w:rPr>
        <w:t xml:space="preserve">al Republicii Moldova </w:t>
      </w:r>
      <w:r w:rsidRPr="000508B6">
        <w:rPr>
          <w:rFonts w:ascii="Times New Roman" w:eastAsia="Times New Roman" w:hAnsi="Times New Roman" w:cs="Times New Roman"/>
          <w:lang w:val="ro-MD"/>
        </w:rPr>
        <w:t>o notificare cu privire la încetarea activității.</w:t>
      </w:r>
    </w:p>
    <w:p w14:paraId="224C41FC" w14:textId="3B236B51" w:rsidR="00F558C2" w:rsidRPr="000508B6" w:rsidRDefault="00F558C2" w:rsidP="00CF5AFA">
      <w:pPr>
        <w:pStyle w:val="Listparagraf"/>
        <w:numPr>
          <w:ilvl w:val="1"/>
          <w:numId w:val="190"/>
        </w:numPr>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Iniţierea</w:t>
      </w:r>
      <w:proofErr w:type="spellEnd"/>
      <w:r w:rsidRPr="000508B6">
        <w:rPr>
          <w:rFonts w:ascii="Times New Roman" w:eastAsia="Times New Roman" w:hAnsi="Times New Roman" w:cs="Times New Roman"/>
          <w:lang w:val="ro-MD"/>
        </w:rPr>
        <w:t xml:space="preserve"> procedurii de dizolvare în cazurile prevăzute la alin.</w:t>
      </w:r>
      <w:r w:rsidR="001B41F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(1) lit.</w:t>
      </w:r>
      <w:r w:rsidR="001B41F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b) atrage după sine retragerea </w:t>
      </w:r>
      <w:proofErr w:type="spellStart"/>
      <w:r w:rsidRPr="000508B6">
        <w:rPr>
          <w:rFonts w:ascii="Times New Roman" w:eastAsia="Times New Roman" w:hAnsi="Times New Roman" w:cs="Times New Roman"/>
          <w:lang w:val="ro-MD"/>
        </w:rPr>
        <w:t>licenţei</w:t>
      </w:r>
      <w:proofErr w:type="spellEnd"/>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Pr="000508B6" w:rsidDel="00362340">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și inițierea procedurii de lichidare. </w:t>
      </w:r>
    </w:p>
    <w:p w14:paraId="628C3284" w14:textId="6B0B21E5" w:rsidR="00F558C2" w:rsidRPr="000508B6" w:rsidRDefault="00F558C2" w:rsidP="00CF5AFA">
      <w:pPr>
        <w:pStyle w:val="Listparagraf"/>
        <w:numPr>
          <w:ilvl w:val="1"/>
          <w:numId w:val="19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Dizolvarea și lichidarea </w:t>
      </w:r>
      <w:r w:rsidR="004125E8" w:rsidRPr="000508B6">
        <w:rPr>
          <w:rFonts w:ascii="Times New Roman" w:eastAsia="Times New Roman" w:hAnsi="Times New Roman" w:cs="Times New Roman"/>
          <w:lang w:val="ro-MD"/>
        </w:rPr>
        <w:t>asigurătorului</w:t>
      </w:r>
      <w:r w:rsidRPr="000508B6" w:rsidDel="00362340">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se realizează conform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civile, insolvabilității, legislației privind </w:t>
      </w:r>
      <w:proofErr w:type="spellStart"/>
      <w:r w:rsidRPr="000508B6">
        <w:rPr>
          <w:rFonts w:ascii="Times New Roman" w:eastAsia="Times New Roman" w:hAnsi="Times New Roman" w:cs="Times New Roman"/>
          <w:lang w:val="ro-MD"/>
        </w:rPr>
        <w:t>societăţile</w:t>
      </w:r>
      <w:proofErr w:type="spellEnd"/>
      <w:r w:rsidRPr="000508B6">
        <w:rPr>
          <w:rFonts w:ascii="Times New Roman" w:eastAsia="Times New Roman" w:hAnsi="Times New Roman" w:cs="Times New Roman"/>
          <w:lang w:val="ro-MD"/>
        </w:rPr>
        <w:t xml:space="preserve"> pe </w:t>
      </w:r>
      <w:proofErr w:type="spellStart"/>
      <w:r w:rsidRPr="000508B6">
        <w:rPr>
          <w:rFonts w:ascii="Times New Roman" w:eastAsia="Times New Roman" w:hAnsi="Times New Roman" w:cs="Times New Roman"/>
          <w:lang w:val="ro-MD"/>
        </w:rPr>
        <w:t>acţiuni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dispoziţiilor</w:t>
      </w:r>
      <w:proofErr w:type="spellEnd"/>
      <w:r w:rsidRPr="000508B6">
        <w:rPr>
          <w:rFonts w:ascii="Times New Roman" w:eastAsia="Times New Roman" w:hAnsi="Times New Roman" w:cs="Times New Roman"/>
          <w:lang w:val="ro-MD"/>
        </w:rPr>
        <w:t xml:space="preserve"> prezentei legi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ale actelor normative ale Băncii Naționale a Moldovei. </w:t>
      </w:r>
    </w:p>
    <w:p w14:paraId="58395A40" w14:textId="3EA9A524" w:rsidR="00631FFC" w:rsidRPr="000508B6" w:rsidRDefault="00631FFC" w:rsidP="00CF5AFA">
      <w:pPr>
        <w:pStyle w:val="Listparagraf"/>
        <w:numPr>
          <w:ilvl w:val="1"/>
          <w:numId w:val="190"/>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Dizolvarea și lichidarea </w:t>
      </w:r>
      <w:r w:rsidR="004125E8" w:rsidRPr="000508B6">
        <w:rPr>
          <w:rFonts w:ascii="Times New Roman" w:eastAsia="Times New Roman" w:hAnsi="Times New Roman" w:cs="Times New Roman"/>
          <w:lang w:val="ro-MD"/>
        </w:rPr>
        <w:t>asigurătorului</w:t>
      </w:r>
      <w:r w:rsidRPr="000508B6" w:rsidDel="00362340">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nu împiedică </w:t>
      </w:r>
      <w:proofErr w:type="spellStart"/>
      <w:r w:rsidRPr="000508B6">
        <w:rPr>
          <w:rFonts w:ascii="Times New Roman" w:eastAsia="Times New Roman" w:hAnsi="Times New Roman" w:cs="Times New Roman"/>
          <w:lang w:val="ro-MD"/>
        </w:rPr>
        <w:t>iniţierea</w:t>
      </w:r>
      <w:proofErr w:type="spellEnd"/>
      <w:r w:rsidRPr="000508B6">
        <w:rPr>
          <w:rFonts w:ascii="Times New Roman" w:eastAsia="Times New Roman" w:hAnsi="Times New Roman" w:cs="Times New Roman"/>
          <w:lang w:val="ro-MD"/>
        </w:rPr>
        <w:t xml:space="preserve"> procesului de insolvabilitate a acest</w:t>
      </w:r>
      <w:r w:rsidR="00EA6E7C">
        <w:rPr>
          <w:rFonts w:ascii="Times New Roman" w:eastAsia="Times New Roman" w:hAnsi="Times New Roman" w:cs="Times New Roman"/>
          <w:lang w:val="ro-MD"/>
        </w:rPr>
        <w:t>uia</w:t>
      </w:r>
      <w:r w:rsidRPr="000508B6">
        <w:rPr>
          <w:rFonts w:ascii="Times New Roman" w:eastAsia="Times New Roman" w:hAnsi="Times New Roman" w:cs="Times New Roman"/>
          <w:lang w:val="ro-MD"/>
        </w:rPr>
        <w:t xml:space="preserve"> dacă în procesul de lichidare se constată că acesta se află în una din situațiile de insolvabilitate stabilite de </w:t>
      </w:r>
      <w:r w:rsidR="00FC0649" w:rsidRPr="000508B6">
        <w:rPr>
          <w:rFonts w:ascii="Times New Roman" w:eastAsia="Times New Roman" w:hAnsi="Times New Roman" w:cs="Times New Roman"/>
          <w:lang w:val="ro-MD"/>
        </w:rPr>
        <w:t>Legea insolvabilității nr. 149/2012</w:t>
      </w:r>
      <w:r w:rsidRPr="000508B6">
        <w:rPr>
          <w:rFonts w:ascii="Times New Roman" w:eastAsia="Times New Roman" w:hAnsi="Times New Roman" w:cs="Times New Roman"/>
          <w:lang w:val="ro-MD"/>
        </w:rPr>
        <w:t xml:space="preserve">. </w:t>
      </w:r>
    </w:p>
    <w:p w14:paraId="2037B989" w14:textId="3875782D" w:rsidR="00631FFC" w:rsidRPr="000508B6" w:rsidRDefault="000B3CFC" w:rsidP="00CF5AFA">
      <w:pPr>
        <w:pStyle w:val="Listparagraf"/>
        <w:numPr>
          <w:ilvl w:val="1"/>
          <w:numId w:val="190"/>
        </w:numPr>
        <w:spacing w:after="0" w:line="240" w:lineRule="auto"/>
        <w:ind w:left="0" w:firstLine="426"/>
        <w:jc w:val="both"/>
        <w:rPr>
          <w:rFonts w:ascii="Times New Roman" w:hAnsi="Times New Roman" w:cs="Times New Roman"/>
          <w:lang w:val="ro-MD"/>
        </w:rPr>
      </w:pPr>
      <w:r w:rsidRPr="000508B6">
        <w:rPr>
          <w:rFonts w:ascii="Times New Roman" w:eastAsia="Times New Roman" w:hAnsi="Times New Roman" w:cs="Times New Roman"/>
          <w:lang w:val="ro-MD"/>
        </w:rPr>
        <w:t xml:space="preserve">În cazul în care se constată că </w:t>
      </w:r>
      <w:r w:rsidR="00D068AA" w:rsidRPr="000508B6">
        <w:rPr>
          <w:rFonts w:ascii="Times New Roman" w:eastAsia="Times New Roman" w:hAnsi="Times New Roman" w:cs="Times New Roman"/>
          <w:lang w:val="ro-MD"/>
        </w:rPr>
        <w:t>asigurătorul</w:t>
      </w:r>
      <w:r w:rsidRPr="000508B6" w:rsidDel="00362340">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se află în </w:t>
      </w:r>
      <w:proofErr w:type="spellStart"/>
      <w:r w:rsidRPr="000508B6">
        <w:rPr>
          <w:rFonts w:ascii="Times New Roman" w:eastAsia="Times New Roman" w:hAnsi="Times New Roman" w:cs="Times New Roman"/>
          <w:lang w:val="ro-MD"/>
        </w:rPr>
        <w:t>situaţie</w:t>
      </w:r>
      <w:proofErr w:type="spellEnd"/>
      <w:r w:rsidRPr="000508B6">
        <w:rPr>
          <w:rFonts w:ascii="Times New Roman" w:eastAsia="Times New Roman" w:hAnsi="Times New Roman" w:cs="Times New Roman"/>
          <w:lang w:val="ro-MD"/>
        </w:rPr>
        <w:t xml:space="preserve"> de insolvabilitate, lichidatorul, după caz, Banca Națională a Moldovei înaintează cererea introductivă pentru </w:t>
      </w:r>
      <w:r w:rsidR="00727F50" w:rsidRPr="000508B6">
        <w:rPr>
          <w:rFonts w:ascii="Times New Roman" w:eastAsia="Times New Roman" w:hAnsi="Times New Roman" w:cs="Times New Roman"/>
          <w:lang w:val="ro-MD"/>
        </w:rPr>
        <w:t>intentarea</w:t>
      </w:r>
      <w:r w:rsidRPr="000508B6">
        <w:rPr>
          <w:rFonts w:ascii="Times New Roman" w:eastAsia="Times New Roman" w:hAnsi="Times New Roman" w:cs="Times New Roman"/>
          <w:lang w:val="ro-MD"/>
        </w:rPr>
        <w:t xml:space="preserve"> procesului de insolvabilitate</w:t>
      </w:r>
      <w:r w:rsidR="00196297" w:rsidRPr="000508B6">
        <w:rPr>
          <w:rFonts w:ascii="Times New Roman" w:eastAsia="Times New Roman" w:hAnsi="Times New Roman" w:cs="Times New Roman"/>
          <w:lang w:val="ro-MD"/>
        </w:rPr>
        <w:t>.</w:t>
      </w:r>
    </w:p>
    <w:p w14:paraId="78547D72" w14:textId="490EDEA5" w:rsidR="007A797F" w:rsidRPr="000508B6" w:rsidRDefault="007A797F" w:rsidP="00CF5AFA">
      <w:pPr>
        <w:pStyle w:val="Listparagraf"/>
        <w:numPr>
          <w:ilvl w:val="1"/>
          <w:numId w:val="190"/>
        </w:numPr>
        <w:spacing w:after="0" w:line="240" w:lineRule="auto"/>
        <w:ind w:left="0" w:firstLine="426"/>
        <w:jc w:val="both"/>
        <w:rPr>
          <w:rFonts w:ascii="Times New Roman" w:eastAsia="Times New Roman" w:hAnsi="Times New Roman" w:cs="Times New Roman"/>
          <w:color w:val="333333"/>
          <w:lang w:val="ro-MD" w:eastAsia="ro-MD"/>
        </w:rPr>
      </w:pPr>
      <w:r w:rsidRPr="000508B6">
        <w:rPr>
          <w:rFonts w:ascii="Times New Roman" w:eastAsia="Times New Roman" w:hAnsi="Times New Roman" w:cs="Times New Roman"/>
          <w:lang w:val="ro-MD"/>
        </w:rPr>
        <w:t xml:space="preserve">Creanțele de asigurare au prioritate față de alte creanțe asupra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w:t>
      </w:r>
      <w:r w:rsidRPr="000508B6">
        <w:rPr>
          <w:rFonts w:ascii="Times New Roman" w:eastAsia="Times New Roman" w:hAnsi="Times New Roman" w:cs="Times New Roman"/>
          <w:color w:val="333333"/>
          <w:lang w:val="ro-MD" w:eastAsia="ro-MD"/>
        </w:rPr>
        <w:t xml:space="preserve"> în următorul mod: </w:t>
      </w:r>
    </w:p>
    <w:p w14:paraId="5C5D6643" w14:textId="4744327A" w:rsidR="007A797F" w:rsidRPr="000508B6" w:rsidRDefault="007A797F" w:rsidP="00CF5AFA">
      <w:pPr>
        <w:pStyle w:val="Listparagraf"/>
        <w:numPr>
          <w:ilvl w:val="0"/>
          <w:numId w:val="401"/>
        </w:numPr>
        <w:shd w:val="clear" w:color="auto" w:fill="FFFFFF"/>
        <w:spacing w:after="0" w:line="312" w:lineRule="atLeast"/>
        <w:ind w:left="0" w:firstLine="426"/>
        <w:jc w:val="both"/>
        <w:rPr>
          <w:rFonts w:ascii="Times New Roman" w:eastAsia="Times New Roman" w:hAnsi="Times New Roman" w:cs="Times New Roman"/>
          <w:color w:val="333333"/>
          <w:lang w:val="ro-MD" w:eastAsia="ro-MD"/>
        </w:rPr>
      </w:pPr>
      <w:r w:rsidRPr="000508B6">
        <w:rPr>
          <w:rFonts w:ascii="Times New Roman" w:eastAsia="Times New Roman" w:hAnsi="Times New Roman" w:cs="Times New Roman"/>
          <w:color w:val="333333"/>
          <w:lang w:val="ro-MD" w:eastAsia="ro-MD"/>
        </w:rPr>
        <w:t xml:space="preserve">în ceea ce privește activele reprezentând rezerve tehnice, creanțele de asigurare au prioritate absolută față de alte creanțe asupra </w:t>
      </w:r>
      <w:r w:rsidR="004125E8" w:rsidRPr="000508B6">
        <w:rPr>
          <w:rFonts w:ascii="Times New Roman" w:eastAsia="Times New Roman" w:hAnsi="Times New Roman" w:cs="Times New Roman"/>
          <w:color w:val="333333"/>
          <w:lang w:val="ro-MD" w:eastAsia="ro-MD"/>
        </w:rPr>
        <w:t>asigurătorului</w:t>
      </w:r>
      <w:r w:rsidRPr="000508B6">
        <w:rPr>
          <w:rFonts w:ascii="Times New Roman" w:eastAsia="Times New Roman" w:hAnsi="Times New Roman" w:cs="Times New Roman"/>
          <w:color w:val="333333"/>
          <w:lang w:val="ro-MD" w:eastAsia="ro-MD"/>
        </w:rPr>
        <w:t>; și/sau</w:t>
      </w:r>
    </w:p>
    <w:p w14:paraId="06290F41" w14:textId="30033125" w:rsidR="007A797F" w:rsidRPr="000508B6" w:rsidRDefault="007A797F" w:rsidP="00CF5AFA">
      <w:pPr>
        <w:pStyle w:val="Listparagraf"/>
        <w:numPr>
          <w:ilvl w:val="0"/>
          <w:numId w:val="401"/>
        </w:numPr>
        <w:shd w:val="clear" w:color="auto" w:fill="FFFFFF"/>
        <w:spacing w:after="0" w:line="240" w:lineRule="auto"/>
        <w:ind w:left="0" w:firstLine="426"/>
        <w:jc w:val="both"/>
        <w:rPr>
          <w:rFonts w:ascii="Times New Roman" w:eastAsia="Times New Roman" w:hAnsi="Times New Roman" w:cs="Times New Roman"/>
          <w:color w:val="333333"/>
          <w:lang w:val="ro-MD" w:eastAsia="ro-MD"/>
        </w:rPr>
      </w:pPr>
      <w:r w:rsidRPr="000508B6">
        <w:rPr>
          <w:rFonts w:ascii="Times New Roman" w:eastAsia="Times New Roman" w:hAnsi="Times New Roman" w:cs="Times New Roman"/>
          <w:color w:val="333333"/>
          <w:lang w:val="ro-MD" w:eastAsia="ro-MD"/>
        </w:rPr>
        <w:t xml:space="preserve">în ceea ce privește totalitatea activelor </w:t>
      </w:r>
      <w:r w:rsidR="004125E8" w:rsidRPr="000508B6">
        <w:rPr>
          <w:rFonts w:ascii="Times New Roman" w:eastAsia="Times New Roman" w:hAnsi="Times New Roman" w:cs="Times New Roman"/>
          <w:color w:val="333333"/>
          <w:lang w:val="ro-MD" w:eastAsia="ro-MD"/>
        </w:rPr>
        <w:t>asigurătorului</w:t>
      </w:r>
      <w:r w:rsidRPr="000508B6">
        <w:rPr>
          <w:rFonts w:ascii="Times New Roman" w:eastAsia="Times New Roman" w:hAnsi="Times New Roman" w:cs="Times New Roman"/>
          <w:color w:val="333333"/>
          <w:lang w:val="ro-MD" w:eastAsia="ro-MD"/>
        </w:rPr>
        <w:t xml:space="preserve">, creanțele de asigurare au prioritate față de orice altă creanță asupra </w:t>
      </w:r>
      <w:r w:rsidR="004125E8" w:rsidRPr="000508B6">
        <w:rPr>
          <w:rFonts w:ascii="Times New Roman" w:eastAsia="Times New Roman" w:hAnsi="Times New Roman" w:cs="Times New Roman"/>
          <w:color w:val="333333"/>
          <w:lang w:val="ro-MD" w:eastAsia="ro-MD"/>
        </w:rPr>
        <w:t>asigurătorului</w:t>
      </w:r>
      <w:r w:rsidRPr="000508B6">
        <w:rPr>
          <w:rFonts w:ascii="Times New Roman" w:eastAsia="Times New Roman" w:hAnsi="Times New Roman" w:cs="Times New Roman"/>
          <w:color w:val="333333"/>
          <w:lang w:val="ro-MD" w:eastAsia="ro-MD"/>
        </w:rPr>
        <w:t xml:space="preserve"> cu singura excepție a: </w:t>
      </w:r>
    </w:p>
    <w:p w14:paraId="703AEE34" w14:textId="77777777" w:rsidR="007A797F" w:rsidRPr="000508B6" w:rsidRDefault="007A797F" w:rsidP="00CF5AFA">
      <w:pPr>
        <w:pStyle w:val="Listparagraf"/>
        <w:numPr>
          <w:ilvl w:val="0"/>
          <w:numId w:val="402"/>
        </w:numPr>
        <w:shd w:val="clear" w:color="auto" w:fill="FFFFFF"/>
        <w:spacing w:after="0" w:line="240" w:lineRule="auto"/>
        <w:ind w:left="0" w:firstLine="426"/>
        <w:jc w:val="both"/>
        <w:rPr>
          <w:rFonts w:ascii="Times New Roman" w:eastAsia="Times New Roman" w:hAnsi="Times New Roman" w:cs="Times New Roman"/>
          <w:color w:val="333333"/>
          <w:lang w:val="ro-MD" w:eastAsia="ro-MD"/>
        </w:rPr>
      </w:pPr>
      <w:r w:rsidRPr="000508B6">
        <w:rPr>
          <w:rFonts w:ascii="Times New Roman" w:eastAsia="Times New Roman" w:hAnsi="Times New Roman" w:cs="Times New Roman"/>
          <w:color w:val="333333"/>
          <w:lang w:val="ro-MD" w:eastAsia="ro-MD"/>
        </w:rPr>
        <w:t>creanțelor angajaților rezultate din contractele de muncă și relațiile de muncă;</w:t>
      </w:r>
    </w:p>
    <w:p w14:paraId="35C1753F" w14:textId="1356920F" w:rsidR="007A797F" w:rsidRPr="000508B6" w:rsidRDefault="007A797F" w:rsidP="00CF5AFA">
      <w:pPr>
        <w:pStyle w:val="Listparagraf"/>
        <w:numPr>
          <w:ilvl w:val="0"/>
          <w:numId w:val="402"/>
        </w:numPr>
        <w:shd w:val="clear" w:color="auto" w:fill="FFFFFF"/>
        <w:spacing w:after="0" w:line="312" w:lineRule="atLeast"/>
        <w:ind w:left="0" w:firstLine="426"/>
        <w:jc w:val="both"/>
        <w:rPr>
          <w:rFonts w:ascii="Times New Roman" w:eastAsia="Times New Roman" w:hAnsi="Times New Roman" w:cs="Times New Roman"/>
          <w:color w:val="333333"/>
          <w:lang w:val="ro-MD" w:eastAsia="ro-MD"/>
        </w:rPr>
      </w:pPr>
      <w:r w:rsidRPr="000508B6">
        <w:rPr>
          <w:rFonts w:ascii="Times New Roman" w:eastAsia="Times New Roman" w:hAnsi="Times New Roman" w:cs="Times New Roman"/>
          <w:color w:val="333333"/>
          <w:lang w:val="ro-MD" w:eastAsia="ro-MD"/>
        </w:rPr>
        <w:t xml:space="preserve">creanțelor privind </w:t>
      </w:r>
      <w:r w:rsidR="00AE0DAC" w:rsidRPr="000508B6">
        <w:rPr>
          <w:rFonts w:ascii="Times New Roman" w:eastAsia="Times New Roman" w:hAnsi="Times New Roman" w:cs="Times New Roman"/>
          <w:color w:val="333333"/>
          <w:lang w:val="ro-MD" w:eastAsia="ro-MD"/>
        </w:rPr>
        <w:t>bugetul public național</w:t>
      </w:r>
      <w:r w:rsidRPr="000508B6">
        <w:rPr>
          <w:rFonts w:ascii="Times New Roman" w:eastAsia="Times New Roman" w:hAnsi="Times New Roman" w:cs="Times New Roman"/>
          <w:color w:val="333333"/>
          <w:lang w:val="ro-MD" w:eastAsia="ro-MD"/>
        </w:rPr>
        <w:t>;</w:t>
      </w:r>
    </w:p>
    <w:p w14:paraId="15A5C32F" w14:textId="77777777" w:rsidR="007A797F" w:rsidRPr="000508B6" w:rsidRDefault="007A797F" w:rsidP="008B3E38">
      <w:pPr>
        <w:pStyle w:val="Listparagraf"/>
        <w:numPr>
          <w:ilvl w:val="0"/>
          <w:numId w:val="402"/>
        </w:numPr>
        <w:shd w:val="clear" w:color="auto" w:fill="FFFFFF"/>
        <w:tabs>
          <w:tab w:val="left" w:pos="851"/>
        </w:tabs>
        <w:spacing w:after="0" w:line="312" w:lineRule="atLeast"/>
        <w:ind w:left="0" w:firstLine="426"/>
        <w:jc w:val="both"/>
        <w:rPr>
          <w:rFonts w:ascii="Times New Roman" w:eastAsia="Times New Roman" w:hAnsi="Times New Roman" w:cs="Times New Roman"/>
          <w:color w:val="333333"/>
          <w:lang w:val="ro-MD" w:eastAsia="ro-MD"/>
        </w:rPr>
      </w:pPr>
      <w:r w:rsidRPr="000508B6">
        <w:rPr>
          <w:rFonts w:ascii="Times New Roman" w:eastAsia="Times New Roman" w:hAnsi="Times New Roman" w:cs="Times New Roman"/>
          <w:color w:val="333333"/>
          <w:lang w:val="ro-MD" w:eastAsia="ro-MD"/>
        </w:rPr>
        <w:t>creanțelor deținute de sistemele de asigurare socială;</w:t>
      </w:r>
    </w:p>
    <w:p w14:paraId="62F37CA5" w14:textId="486CE6F0" w:rsidR="00F558C2" w:rsidRPr="000508B6" w:rsidRDefault="007A797F" w:rsidP="00853F42">
      <w:pPr>
        <w:pStyle w:val="Listparagraf"/>
        <w:numPr>
          <w:ilvl w:val="0"/>
          <w:numId w:val="402"/>
        </w:numPr>
        <w:shd w:val="clear" w:color="auto" w:fill="FFFFFF"/>
        <w:tabs>
          <w:tab w:val="left" w:pos="851"/>
        </w:tabs>
        <w:spacing w:after="0" w:line="312" w:lineRule="atLeast"/>
        <w:ind w:left="0" w:firstLine="426"/>
        <w:jc w:val="both"/>
        <w:rPr>
          <w:rFonts w:ascii="Times New Roman" w:eastAsia="Times New Roman" w:hAnsi="Times New Roman" w:cs="Times New Roman"/>
          <w:color w:val="333333"/>
          <w:lang w:val="ro-MD" w:eastAsia="ro-MD"/>
        </w:rPr>
      </w:pPr>
      <w:r w:rsidRPr="000508B6">
        <w:rPr>
          <w:rFonts w:ascii="Times New Roman" w:eastAsia="Times New Roman" w:hAnsi="Times New Roman" w:cs="Times New Roman"/>
          <w:color w:val="333333"/>
          <w:lang w:val="ro-MD" w:eastAsia="ro-MD"/>
        </w:rPr>
        <w:t>creanțelor pe activele subordonate drepturilor reale.</w:t>
      </w:r>
    </w:p>
    <w:p w14:paraId="0015C1FA" w14:textId="732AB92D" w:rsidR="0069699F" w:rsidRPr="000508B6" w:rsidRDefault="0069699F" w:rsidP="006F2893">
      <w:pPr>
        <w:pStyle w:val="Listparagraf"/>
        <w:numPr>
          <w:ilvl w:val="1"/>
          <w:numId w:val="19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se deschide o procedură de lichidare, </w:t>
      </w:r>
      <w:r w:rsidR="00E5401D" w:rsidRPr="000508B6">
        <w:rPr>
          <w:rFonts w:ascii="Times New Roman" w:eastAsia="Times New Roman" w:hAnsi="Times New Roman" w:cs="Times New Roman"/>
          <w:lang w:val="ro-MD"/>
        </w:rPr>
        <w:t>lichidatorul</w:t>
      </w:r>
      <w:r w:rsidRPr="000508B6">
        <w:rPr>
          <w:rFonts w:ascii="Times New Roman" w:eastAsia="Times New Roman" w:hAnsi="Times New Roman" w:cs="Times New Roman"/>
          <w:lang w:val="ro-MD"/>
        </w:rPr>
        <w:t xml:space="preserve"> informează fără întârziere și individual printr-o notificare scrisă fiecare creditor cunoscut care are reședința obișnuită, domiciliul sau sediul central în Republica Moldova sau alt stat membru. </w:t>
      </w:r>
    </w:p>
    <w:p w14:paraId="5DBF512F" w14:textId="4501DA91" w:rsidR="0069699F" w:rsidRPr="000508B6" w:rsidRDefault="0069699F" w:rsidP="006F2893">
      <w:pPr>
        <w:pStyle w:val="Listparagraf"/>
        <w:numPr>
          <w:ilvl w:val="1"/>
          <w:numId w:val="19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Notificarea menționată la alin. (</w:t>
      </w:r>
      <w:r w:rsidR="00E5401D" w:rsidRPr="000508B6">
        <w:rPr>
          <w:rFonts w:ascii="Times New Roman" w:eastAsia="Times New Roman" w:hAnsi="Times New Roman" w:cs="Times New Roman"/>
          <w:lang w:val="ro-MD"/>
        </w:rPr>
        <w:t>9</w:t>
      </w:r>
      <w:r w:rsidRPr="000508B6">
        <w:rPr>
          <w:rFonts w:ascii="Times New Roman" w:eastAsia="Times New Roman" w:hAnsi="Times New Roman" w:cs="Times New Roman"/>
          <w:lang w:val="ro-MD"/>
        </w:rPr>
        <w:t xml:space="preserve">) conține: </w:t>
      </w:r>
    </w:p>
    <w:p w14:paraId="2032543C" w14:textId="77777777" w:rsidR="00EA6E7C" w:rsidRDefault="0069699F" w:rsidP="00EA6E7C">
      <w:pPr>
        <w:pStyle w:val="Listparagraf"/>
        <w:numPr>
          <w:ilvl w:val="2"/>
          <w:numId w:val="19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termenele, sancțiunile prevăzute în ceea ce privește acele termene;</w:t>
      </w:r>
    </w:p>
    <w:p w14:paraId="33CC90E2" w14:textId="77777777" w:rsidR="00EA6E7C" w:rsidRDefault="0069699F" w:rsidP="00EA6E7C">
      <w:pPr>
        <w:pStyle w:val="Listparagraf"/>
        <w:numPr>
          <w:ilvl w:val="2"/>
          <w:numId w:val="19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EA6E7C">
        <w:rPr>
          <w:rFonts w:ascii="Times New Roman" w:eastAsia="Times New Roman" w:hAnsi="Times New Roman" w:cs="Times New Roman"/>
          <w:lang w:val="ro-MD"/>
        </w:rPr>
        <w:t>persoana abilitată să accepte prezentarea creanțelor sau observațiile referitoare la creanțe și la orice alte măsuri;</w:t>
      </w:r>
    </w:p>
    <w:p w14:paraId="23A58350" w14:textId="536DBBDB" w:rsidR="0069699F" w:rsidRPr="00EA6E7C" w:rsidRDefault="0069699F" w:rsidP="00EA6E7C">
      <w:pPr>
        <w:pStyle w:val="Listparagraf"/>
        <w:numPr>
          <w:ilvl w:val="2"/>
          <w:numId w:val="19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EA6E7C">
        <w:rPr>
          <w:rFonts w:ascii="Times New Roman" w:eastAsia="Times New Roman" w:hAnsi="Times New Roman" w:cs="Times New Roman"/>
          <w:lang w:val="ro-MD"/>
        </w:rPr>
        <w:t>informația dacă creditorii, ale căror creanțe sunt garantate preferențial sau cu garanții reale, trebuie să își prezinte creanțele;</w:t>
      </w:r>
    </w:p>
    <w:p w14:paraId="1FAB6C8E" w14:textId="77777777" w:rsidR="0069699F" w:rsidRPr="000508B6" w:rsidRDefault="0069699F" w:rsidP="006F2893">
      <w:pPr>
        <w:pStyle w:val="Listparagraf"/>
        <w:numPr>
          <w:ilvl w:val="2"/>
          <w:numId w:val="190"/>
        </w:numPr>
        <w:tabs>
          <w:tab w:val="left" w:pos="993"/>
        </w:tabs>
        <w:spacing w:after="0" w:line="240" w:lineRule="auto"/>
        <w:ind w:left="0" w:firstLine="709"/>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efectele generale, în cazul creanțelor de asigurare, ale procedurii de lichidare privind contractele de asigurare, în special, data la care contractele de asigurare sau operațiunile vor înceta să aibă efect și drepturile și îndatoririle persoanelor asigurate în ceea ce privește contractul sau operațiunea.</w:t>
      </w:r>
    </w:p>
    <w:p w14:paraId="506752C5" w14:textId="20465399" w:rsidR="0069699F" w:rsidRPr="000508B6" w:rsidRDefault="0069699F" w:rsidP="006F2893">
      <w:pPr>
        <w:pStyle w:val="Listparagraf"/>
        <w:numPr>
          <w:ilvl w:val="1"/>
          <w:numId w:val="190"/>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Orice creditor, inclusiv supraveghetorii, a cărui reședință obișnuită, domiciliu sau sediu central este situat într-un stat membru altul decât Republica Moldova, are dreptul de a prezenta creanțe sau de a prezenta observații scrise referitoare la creanțe. </w:t>
      </w:r>
    </w:p>
    <w:p w14:paraId="10DD429B" w14:textId="1C2A307E" w:rsidR="00732008" w:rsidRPr="000508B6" w:rsidRDefault="00732008" w:rsidP="006F2893">
      <w:pPr>
        <w:pStyle w:val="Listparagraf"/>
        <w:numPr>
          <w:ilvl w:val="1"/>
          <w:numId w:val="190"/>
        </w:numPr>
        <w:tabs>
          <w:tab w:val="left" w:pos="709"/>
          <w:tab w:val="left" w:pos="851"/>
          <w:tab w:val="left" w:pos="993"/>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Informarea creditorilor</w:t>
      </w:r>
      <w:r w:rsidR="00F558C2" w:rsidRPr="000508B6">
        <w:rPr>
          <w:rFonts w:ascii="Times New Roman" w:eastAsia="Times New Roman" w:hAnsi="Times New Roman" w:cs="Times New Roman"/>
          <w:lang w:val="ro-MD"/>
        </w:rPr>
        <w:t xml:space="preserve"> în cazul lichidării</w:t>
      </w:r>
      <w:r w:rsidRPr="000508B6">
        <w:rPr>
          <w:rFonts w:ascii="Times New Roman" w:eastAsia="Times New Roman" w:hAnsi="Times New Roman" w:cs="Times New Roman"/>
          <w:lang w:val="ro-MD"/>
        </w:rPr>
        <w:t>/insolvabilității</w:t>
      </w:r>
      <w:r w:rsidR="00F558C2"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asigurătorului</w:t>
      </w:r>
      <w:r w:rsidR="00AA1465">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se face în limba română. În acest scop se </w:t>
      </w:r>
      <w:proofErr w:type="spellStart"/>
      <w:r w:rsidRPr="000508B6">
        <w:rPr>
          <w:rFonts w:ascii="Times New Roman" w:eastAsia="Times New Roman" w:hAnsi="Times New Roman" w:cs="Times New Roman"/>
          <w:lang w:val="ro-MD"/>
        </w:rPr>
        <w:t>foloseşte</w:t>
      </w:r>
      <w:proofErr w:type="spellEnd"/>
      <w:r w:rsidRPr="000508B6">
        <w:rPr>
          <w:rFonts w:ascii="Times New Roman" w:eastAsia="Times New Roman" w:hAnsi="Times New Roman" w:cs="Times New Roman"/>
          <w:lang w:val="ro-MD"/>
        </w:rPr>
        <w:t xml:space="preserve"> un formular cu titlul: „Cerere de admitere a </w:t>
      </w:r>
      <w:proofErr w:type="spellStart"/>
      <w:r w:rsidRPr="000508B6">
        <w:rPr>
          <w:rFonts w:ascii="Times New Roman" w:eastAsia="Times New Roman" w:hAnsi="Times New Roman" w:cs="Times New Roman"/>
          <w:lang w:val="ro-MD"/>
        </w:rPr>
        <w:t>creanţei</w:t>
      </w:r>
      <w:proofErr w:type="spellEnd"/>
      <w:r w:rsidRPr="000508B6">
        <w:rPr>
          <w:rFonts w:ascii="Times New Roman" w:eastAsia="Times New Roman" w:hAnsi="Times New Roman" w:cs="Times New Roman"/>
          <w:lang w:val="ro-MD"/>
        </w:rPr>
        <w:t>; termene ce trebuie respectate” sau, după caz, „</w:t>
      </w:r>
      <w:proofErr w:type="spellStart"/>
      <w:r w:rsidRPr="000508B6">
        <w:rPr>
          <w:rFonts w:ascii="Times New Roman" w:eastAsia="Times New Roman" w:hAnsi="Times New Roman" w:cs="Times New Roman"/>
          <w:lang w:val="ro-MD"/>
        </w:rPr>
        <w:t>Invitaţie</w:t>
      </w:r>
      <w:proofErr w:type="spellEnd"/>
      <w:r w:rsidRPr="000508B6">
        <w:rPr>
          <w:rFonts w:ascii="Times New Roman" w:eastAsia="Times New Roman" w:hAnsi="Times New Roman" w:cs="Times New Roman"/>
          <w:lang w:val="ro-MD"/>
        </w:rPr>
        <w:t xml:space="preserve"> de a prezenta </w:t>
      </w:r>
      <w:proofErr w:type="spellStart"/>
      <w:r w:rsidRPr="000508B6">
        <w:rPr>
          <w:rFonts w:ascii="Times New Roman" w:eastAsia="Times New Roman" w:hAnsi="Times New Roman" w:cs="Times New Roman"/>
          <w:lang w:val="ro-MD"/>
        </w:rPr>
        <w:t>observaţii</w:t>
      </w:r>
      <w:proofErr w:type="spellEnd"/>
      <w:r w:rsidRPr="000508B6">
        <w:rPr>
          <w:rFonts w:ascii="Times New Roman" w:eastAsia="Times New Roman" w:hAnsi="Times New Roman" w:cs="Times New Roman"/>
          <w:lang w:val="ro-MD"/>
        </w:rPr>
        <w:t xml:space="preserve"> referitoare la o </w:t>
      </w:r>
      <w:proofErr w:type="spellStart"/>
      <w:r w:rsidRPr="000508B6">
        <w:rPr>
          <w:rFonts w:ascii="Times New Roman" w:eastAsia="Times New Roman" w:hAnsi="Times New Roman" w:cs="Times New Roman"/>
          <w:lang w:val="ro-MD"/>
        </w:rPr>
        <w:t>creanţă</w:t>
      </w:r>
      <w:proofErr w:type="spellEnd"/>
      <w:r w:rsidRPr="000508B6">
        <w:rPr>
          <w:rFonts w:ascii="Times New Roman" w:eastAsia="Times New Roman" w:hAnsi="Times New Roman" w:cs="Times New Roman"/>
          <w:lang w:val="ro-MD"/>
        </w:rPr>
        <w:t xml:space="preserve">; termene ce trebuie respectate”, scris în toate limbile oficiale ale Uniunii Europene. În orice caz, dacă un creditor cunoscut </w:t>
      </w:r>
      <w:proofErr w:type="spellStart"/>
      <w:r w:rsidRPr="000508B6">
        <w:rPr>
          <w:rFonts w:ascii="Times New Roman" w:eastAsia="Times New Roman" w:hAnsi="Times New Roman" w:cs="Times New Roman"/>
          <w:lang w:val="ro-MD"/>
        </w:rPr>
        <w:t>deţine</w:t>
      </w:r>
      <w:proofErr w:type="spellEnd"/>
      <w:r w:rsidRPr="000508B6">
        <w:rPr>
          <w:rFonts w:ascii="Times New Roman" w:eastAsia="Times New Roman" w:hAnsi="Times New Roman" w:cs="Times New Roman"/>
          <w:lang w:val="ro-MD"/>
        </w:rPr>
        <w:t xml:space="preserve"> o </w:t>
      </w:r>
      <w:proofErr w:type="spellStart"/>
      <w:r w:rsidRPr="000508B6">
        <w:rPr>
          <w:rFonts w:ascii="Times New Roman" w:eastAsia="Times New Roman" w:hAnsi="Times New Roman" w:cs="Times New Roman"/>
          <w:lang w:val="ro-MD"/>
        </w:rPr>
        <w:t>creanţă</w:t>
      </w:r>
      <w:proofErr w:type="spellEnd"/>
      <w:r w:rsidRPr="000508B6">
        <w:rPr>
          <w:rFonts w:ascii="Times New Roman" w:eastAsia="Times New Roman" w:hAnsi="Times New Roman" w:cs="Times New Roman"/>
          <w:lang w:val="ro-MD"/>
        </w:rPr>
        <w:t xml:space="preserve"> de asigurare, informarea cuprinsă în notificare va fi furnizată în limba oficială sau în una dintre limbile oficiale a/ale statelor membre în care creditorul </w:t>
      </w:r>
      <w:proofErr w:type="spellStart"/>
      <w:r w:rsidRPr="000508B6">
        <w:rPr>
          <w:rFonts w:ascii="Times New Roman" w:eastAsia="Times New Roman" w:hAnsi="Times New Roman" w:cs="Times New Roman"/>
          <w:lang w:val="ro-MD"/>
        </w:rPr>
        <w:t>îşi</w:t>
      </w:r>
      <w:proofErr w:type="spellEnd"/>
      <w:r w:rsidRPr="000508B6">
        <w:rPr>
          <w:rFonts w:ascii="Times New Roman" w:eastAsia="Times New Roman" w:hAnsi="Times New Roman" w:cs="Times New Roman"/>
          <w:lang w:val="ro-MD"/>
        </w:rPr>
        <w:t xml:space="preserve"> are </w:t>
      </w:r>
      <w:proofErr w:type="spellStart"/>
      <w:r w:rsidRPr="000508B6">
        <w:rPr>
          <w:rFonts w:ascii="Times New Roman" w:eastAsia="Times New Roman" w:hAnsi="Times New Roman" w:cs="Times New Roman"/>
          <w:lang w:val="ro-MD"/>
        </w:rPr>
        <w:t>reşedinţa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obişnuită</w:t>
      </w:r>
      <w:proofErr w:type="spellEnd"/>
      <w:r w:rsidRPr="000508B6">
        <w:rPr>
          <w:rFonts w:ascii="Times New Roman" w:eastAsia="Times New Roman" w:hAnsi="Times New Roman" w:cs="Times New Roman"/>
          <w:lang w:val="ro-MD"/>
        </w:rPr>
        <w:t xml:space="preserve">, domiciliul sau sediul principal, după caz. </w:t>
      </w:r>
    </w:p>
    <w:p w14:paraId="3201A3D4" w14:textId="15FCB0A4" w:rsidR="00F558C2" w:rsidRPr="000508B6" w:rsidRDefault="00F558C2" w:rsidP="00470468">
      <w:pPr>
        <w:pStyle w:val="Listparagraf"/>
        <w:numPr>
          <w:ilvl w:val="1"/>
          <w:numId w:val="190"/>
        </w:numPr>
        <w:tabs>
          <w:tab w:val="left" w:pos="426"/>
          <w:tab w:val="left" w:pos="709"/>
          <w:tab w:val="left" w:pos="851"/>
          <w:tab w:val="left" w:pos="993"/>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Cererile de admitere a </w:t>
      </w:r>
      <w:proofErr w:type="spellStart"/>
      <w:r w:rsidRPr="000508B6">
        <w:rPr>
          <w:rFonts w:ascii="Times New Roman" w:eastAsia="Times New Roman" w:hAnsi="Times New Roman" w:cs="Times New Roman"/>
          <w:lang w:val="ro-MD"/>
        </w:rPr>
        <w:t>creanţelor</w:t>
      </w:r>
      <w:proofErr w:type="spellEnd"/>
      <w:r w:rsidRPr="000508B6">
        <w:rPr>
          <w:rFonts w:ascii="Times New Roman" w:eastAsia="Times New Roman" w:hAnsi="Times New Roman" w:cs="Times New Roman"/>
          <w:lang w:val="ro-MD"/>
        </w:rPr>
        <w:t xml:space="preserve"> </w:t>
      </w:r>
      <w:r w:rsidR="00DB0B01" w:rsidRPr="000508B6">
        <w:rPr>
          <w:rFonts w:ascii="Times New Roman" w:eastAsia="Times New Roman" w:hAnsi="Times New Roman" w:cs="Times New Roman"/>
          <w:lang w:val="ro-MD"/>
        </w:rPr>
        <w:t xml:space="preserve">creditorilor cu reședința sau sediul central în alt stat membru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după caz, </w:t>
      </w:r>
      <w:proofErr w:type="spellStart"/>
      <w:r w:rsidRPr="000508B6">
        <w:rPr>
          <w:rFonts w:ascii="Times New Roman" w:eastAsia="Times New Roman" w:hAnsi="Times New Roman" w:cs="Times New Roman"/>
          <w:lang w:val="ro-MD"/>
        </w:rPr>
        <w:t>observaţiile</w:t>
      </w:r>
      <w:proofErr w:type="spellEnd"/>
      <w:r w:rsidRPr="000508B6">
        <w:rPr>
          <w:rFonts w:ascii="Times New Roman" w:eastAsia="Times New Roman" w:hAnsi="Times New Roman" w:cs="Times New Roman"/>
          <w:lang w:val="ro-MD"/>
        </w:rPr>
        <w:t xml:space="preserve"> cu privire la acestea se adresează </w:t>
      </w:r>
      <w:r w:rsidR="00D317E7" w:rsidRPr="000508B6">
        <w:rPr>
          <w:rFonts w:ascii="Times New Roman" w:eastAsia="Times New Roman" w:hAnsi="Times New Roman" w:cs="Times New Roman"/>
          <w:lang w:val="ro-MD"/>
        </w:rPr>
        <w:t>F</w:t>
      </w:r>
      <w:r w:rsidRPr="000508B6">
        <w:rPr>
          <w:rFonts w:ascii="Times New Roman" w:eastAsia="Times New Roman" w:hAnsi="Times New Roman" w:cs="Times New Roman"/>
          <w:lang w:val="ro-MD"/>
        </w:rPr>
        <w:t>ondului de garan</w:t>
      </w:r>
      <w:r w:rsidR="00CD5C25"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 xml:space="preserve">are </w:t>
      </w:r>
      <w:r w:rsidR="00D317E7" w:rsidRPr="000508B6">
        <w:rPr>
          <w:rFonts w:ascii="Times New Roman" w:eastAsia="Times New Roman" w:hAnsi="Times New Roman" w:cs="Times New Roman"/>
          <w:lang w:val="ro-MD"/>
        </w:rPr>
        <w:t>în asigurări</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/sau lichidatorului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se transmit în limba oficială ori în una dintre limbile oficiale a/ale statului membru, </w:t>
      </w:r>
      <w:proofErr w:type="spellStart"/>
      <w:r w:rsidRPr="000508B6">
        <w:rPr>
          <w:rFonts w:ascii="Times New Roman" w:eastAsia="Times New Roman" w:hAnsi="Times New Roman" w:cs="Times New Roman"/>
          <w:lang w:val="ro-MD"/>
        </w:rPr>
        <w:t>situaţii</w:t>
      </w:r>
      <w:proofErr w:type="spellEnd"/>
      <w:r w:rsidRPr="000508B6">
        <w:rPr>
          <w:rFonts w:ascii="Times New Roman" w:eastAsia="Times New Roman" w:hAnsi="Times New Roman" w:cs="Times New Roman"/>
          <w:lang w:val="ro-MD"/>
        </w:rPr>
        <w:t xml:space="preserve"> în care aceste înscrisuri vor purta în mod obligatoriu </w:t>
      </w:r>
      <w:proofErr w:type="spellStart"/>
      <w:r w:rsidRPr="000508B6">
        <w:rPr>
          <w:rFonts w:ascii="Times New Roman" w:eastAsia="Times New Roman" w:hAnsi="Times New Roman" w:cs="Times New Roman"/>
          <w:lang w:val="ro-MD"/>
        </w:rPr>
        <w:t>menţiunea</w:t>
      </w:r>
      <w:proofErr w:type="spellEnd"/>
      <w:r w:rsidRPr="000508B6">
        <w:rPr>
          <w:rFonts w:ascii="Times New Roman" w:eastAsia="Times New Roman" w:hAnsi="Times New Roman" w:cs="Times New Roman"/>
          <w:lang w:val="ro-MD"/>
        </w:rPr>
        <w:t xml:space="preserve"> în limba română „Cerere de admitere a </w:t>
      </w:r>
      <w:proofErr w:type="spellStart"/>
      <w:r w:rsidRPr="000508B6">
        <w:rPr>
          <w:rFonts w:ascii="Times New Roman" w:eastAsia="Times New Roman" w:hAnsi="Times New Roman" w:cs="Times New Roman"/>
          <w:lang w:val="ro-MD"/>
        </w:rPr>
        <w:t>creanţei</w:t>
      </w:r>
      <w:proofErr w:type="spellEnd"/>
      <w:r w:rsidRPr="000508B6">
        <w:rPr>
          <w:rFonts w:ascii="Times New Roman" w:eastAsia="Times New Roman" w:hAnsi="Times New Roman" w:cs="Times New Roman"/>
          <w:lang w:val="ro-MD"/>
        </w:rPr>
        <w:t>” sau, după caz, „</w:t>
      </w:r>
      <w:proofErr w:type="spellStart"/>
      <w:r w:rsidRPr="000508B6">
        <w:rPr>
          <w:rFonts w:ascii="Times New Roman" w:eastAsia="Times New Roman" w:hAnsi="Times New Roman" w:cs="Times New Roman"/>
          <w:lang w:val="ro-MD"/>
        </w:rPr>
        <w:t>Observaţii</w:t>
      </w:r>
      <w:proofErr w:type="spellEnd"/>
      <w:r w:rsidRPr="000508B6">
        <w:rPr>
          <w:rFonts w:ascii="Times New Roman" w:eastAsia="Times New Roman" w:hAnsi="Times New Roman" w:cs="Times New Roman"/>
          <w:lang w:val="ro-MD"/>
        </w:rPr>
        <w:t xml:space="preserve"> referitoare la </w:t>
      </w:r>
      <w:proofErr w:type="spellStart"/>
      <w:r w:rsidRPr="000508B6">
        <w:rPr>
          <w:rFonts w:ascii="Times New Roman" w:eastAsia="Times New Roman" w:hAnsi="Times New Roman" w:cs="Times New Roman"/>
          <w:lang w:val="ro-MD"/>
        </w:rPr>
        <w:t>creanţe</w:t>
      </w:r>
      <w:proofErr w:type="spellEnd"/>
      <w:r w:rsidRPr="000508B6">
        <w:rPr>
          <w:rFonts w:ascii="Times New Roman" w:eastAsia="Times New Roman" w:hAnsi="Times New Roman" w:cs="Times New Roman"/>
          <w:lang w:val="ro-MD"/>
        </w:rPr>
        <w:t xml:space="preserve">”. </w:t>
      </w:r>
    </w:p>
    <w:p w14:paraId="5D33D341" w14:textId="68DDF5CA" w:rsidR="003635BC" w:rsidRPr="000508B6" w:rsidRDefault="00F558C2" w:rsidP="00CF5AFA">
      <w:pPr>
        <w:pStyle w:val="Listparagraf"/>
        <w:numPr>
          <w:ilvl w:val="1"/>
          <w:numId w:val="190"/>
        </w:numPr>
        <w:tabs>
          <w:tab w:val="left" w:pos="426"/>
          <w:tab w:val="left" w:pos="851"/>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În cazul în care </w:t>
      </w:r>
      <w:r w:rsidR="003459E1" w:rsidRPr="000508B6">
        <w:rPr>
          <w:rFonts w:ascii="Times New Roman" w:eastAsia="Times New Roman" w:hAnsi="Times New Roman" w:cs="Times New Roman"/>
          <w:lang w:val="ro-MD"/>
        </w:rPr>
        <w:t>un asigurător</w:t>
      </w:r>
      <w:r w:rsidRPr="000508B6">
        <w:rPr>
          <w:rFonts w:ascii="Times New Roman" w:eastAsia="Times New Roman" w:hAnsi="Times New Roman" w:cs="Times New Roman"/>
          <w:lang w:val="ro-MD"/>
        </w:rPr>
        <w:t xml:space="preserve"> este lichidat, angajamentele care rezultă din contractele subscrise prin intermediul unei sucursale sau în baza libertății de a presta servicii sunt îndeplinite în mod similar cu cele care rezultă din restul contractelor de asigurare ale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fără deosebire de naționalitate în ceea ce privește asigurații și beneficiarii</w:t>
      </w:r>
      <w:r w:rsidR="0085248C" w:rsidRPr="000508B6">
        <w:rPr>
          <w:rFonts w:ascii="Times New Roman" w:hAnsi="Times New Roman" w:cs="Times New Roman"/>
          <w:lang w:val="ro-MD"/>
        </w:rPr>
        <w:t xml:space="preserve"> </w:t>
      </w:r>
      <w:r w:rsidR="0085248C" w:rsidRPr="000508B6">
        <w:rPr>
          <w:rFonts w:ascii="Times New Roman" w:eastAsia="Times New Roman" w:hAnsi="Times New Roman" w:cs="Times New Roman"/>
          <w:lang w:val="ro-MD"/>
        </w:rPr>
        <w:t>asigurării</w:t>
      </w:r>
      <w:r w:rsidRPr="000508B6">
        <w:rPr>
          <w:rFonts w:ascii="Times New Roman" w:eastAsia="Times New Roman" w:hAnsi="Times New Roman" w:cs="Times New Roman"/>
          <w:lang w:val="ro-MD"/>
        </w:rPr>
        <w:t xml:space="preserve">. </w:t>
      </w:r>
    </w:p>
    <w:p w14:paraId="03F6C659" w14:textId="31AD8542" w:rsidR="00F558C2" w:rsidRPr="000508B6" w:rsidRDefault="003635BC" w:rsidP="00CF5AFA">
      <w:pPr>
        <w:pStyle w:val="Listparagraf"/>
        <w:numPr>
          <w:ilvl w:val="1"/>
          <w:numId w:val="190"/>
        </w:numPr>
        <w:tabs>
          <w:tab w:val="left" w:pos="426"/>
          <w:tab w:val="left" w:pos="851"/>
        </w:tabs>
        <w:spacing w:after="0" w:line="240" w:lineRule="auto"/>
        <w:ind w:left="0" w:firstLine="425"/>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cazul în care un</w:t>
      </w:r>
      <w:r w:rsidRPr="000508B6" w:rsidDel="001B41FA">
        <w:rPr>
          <w:rFonts w:ascii="Times New Roman" w:eastAsia="Times New Roman" w:hAnsi="Times New Roman" w:cs="Times New Roman"/>
          <w:lang w:val="ro-MD"/>
        </w:rPr>
        <w:t xml:space="preserve"> </w:t>
      </w:r>
      <w:proofErr w:type="spellStart"/>
      <w:r w:rsidR="001B41FA" w:rsidRPr="000508B6">
        <w:rPr>
          <w:rFonts w:ascii="Times New Roman" w:eastAsia="Times New Roman" w:hAnsi="Times New Roman" w:cs="Times New Roman"/>
          <w:lang w:val="ro-MD"/>
        </w:rPr>
        <w:t>reasigurător</w:t>
      </w:r>
      <w:proofErr w:type="spellEnd"/>
      <w:r w:rsidR="001B41F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este lichidat, angajamentele ce rezultă din contractele subscrise printr-o sucursală sau în temeiul libertății de a presta servicii sunt executate în același mod ca angajamentele ce rezultă din celelalte contracte de reasigurare ale respectivului </w:t>
      </w:r>
      <w:proofErr w:type="spellStart"/>
      <w:r w:rsidR="00643D85" w:rsidRPr="000508B6">
        <w:rPr>
          <w:rFonts w:ascii="Times New Roman" w:eastAsia="Times New Roman" w:hAnsi="Times New Roman" w:cs="Times New Roman"/>
          <w:lang w:val="ro-MD"/>
        </w:rPr>
        <w:t>reasigurător</w:t>
      </w:r>
      <w:proofErr w:type="spellEnd"/>
      <w:r w:rsidR="00856340" w:rsidRPr="000508B6">
        <w:rPr>
          <w:rFonts w:ascii="Times New Roman" w:eastAsia="Times New Roman" w:hAnsi="Times New Roman" w:cs="Times New Roman"/>
          <w:lang w:val="ro-MD"/>
        </w:rPr>
        <w:t>.</w:t>
      </w:r>
      <w:r w:rsidR="00643D85" w:rsidRPr="000508B6">
        <w:rPr>
          <w:rFonts w:ascii="Times New Roman" w:eastAsia="Times New Roman" w:hAnsi="Times New Roman" w:cs="Times New Roman"/>
          <w:lang w:val="ro-MD"/>
        </w:rPr>
        <w:t xml:space="preserve"> </w:t>
      </w:r>
    </w:p>
    <w:p w14:paraId="2D23FF01" w14:textId="48DFD4A5" w:rsidR="00F558C2" w:rsidRPr="000508B6" w:rsidRDefault="00F558C2" w:rsidP="00CF5AFA">
      <w:pPr>
        <w:pStyle w:val="Listparagraf"/>
        <w:numPr>
          <w:ilvl w:val="1"/>
          <w:numId w:val="190"/>
        </w:numPr>
        <w:tabs>
          <w:tab w:val="left" w:pos="851"/>
        </w:tabs>
        <w:spacing w:after="0" w:line="240" w:lineRule="auto"/>
        <w:ind w:left="0" w:firstLine="426"/>
        <w:jc w:val="both"/>
        <w:rPr>
          <w:rStyle w:val="alineat1"/>
          <w:rFonts w:ascii="Times New Roman" w:hAnsi="Times New Roman" w:cs="Times New Roman"/>
          <w:b w:val="0"/>
          <w:color w:val="auto"/>
          <w:lang w:val="ro-MD"/>
        </w:rPr>
      </w:pPr>
      <w:r w:rsidRPr="000508B6">
        <w:rPr>
          <w:rStyle w:val="alineat1"/>
          <w:rFonts w:ascii="Times New Roman" w:hAnsi="Times New Roman" w:cs="Times New Roman"/>
          <w:b w:val="0"/>
          <w:color w:val="auto"/>
          <w:lang w:val="ro-MD"/>
        </w:rPr>
        <w:t xml:space="preserve">Hotărârea </w:t>
      </w:r>
      <w:proofErr w:type="spellStart"/>
      <w:r w:rsidRPr="000508B6">
        <w:rPr>
          <w:rStyle w:val="alineat1"/>
          <w:rFonts w:ascii="Times New Roman" w:hAnsi="Times New Roman" w:cs="Times New Roman"/>
          <w:b w:val="0"/>
          <w:color w:val="auto"/>
          <w:lang w:val="ro-MD"/>
        </w:rPr>
        <w:t>instanţei</w:t>
      </w:r>
      <w:proofErr w:type="spellEnd"/>
      <w:r w:rsidRPr="000508B6">
        <w:rPr>
          <w:rStyle w:val="alineat1"/>
          <w:rFonts w:ascii="Times New Roman" w:hAnsi="Times New Roman" w:cs="Times New Roman"/>
          <w:b w:val="0"/>
          <w:color w:val="auto"/>
          <w:lang w:val="ro-MD"/>
        </w:rPr>
        <w:t xml:space="preserve"> de judecată privind dizolvarea, precum și insolvabilitatea </w:t>
      </w:r>
      <w:r w:rsidR="004D70B0" w:rsidRPr="000508B6">
        <w:rPr>
          <w:rStyle w:val="alineat1"/>
          <w:rFonts w:ascii="Times New Roman" w:hAnsi="Times New Roman" w:cs="Times New Roman"/>
          <w:b w:val="0"/>
          <w:color w:val="auto"/>
          <w:lang w:val="ro-MD"/>
        </w:rPr>
        <w:t xml:space="preserve">unui </w:t>
      </w:r>
      <w:r w:rsidR="00643D85" w:rsidRPr="000508B6">
        <w:rPr>
          <w:rStyle w:val="alineat1"/>
          <w:rFonts w:ascii="Times New Roman" w:hAnsi="Times New Roman" w:cs="Times New Roman"/>
          <w:b w:val="0"/>
          <w:color w:val="auto"/>
          <w:lang w:val="ro-MD"/>
        </w:rPr>
        <w:t>asigurător</w:t>
      </w:r>
      <w:r w:rsidRPr="000508B6">
        <w:rPr>
          <w:rStyle w:val="alineat1"/>
          <w:rFonts w:ascii="Times New Roman" w:hAnsi="Times New Roman" w:cs="Times New Roman"/>
          <w:b w:val="0"/>
          <w:color w:val="auto"/>
          <w:lang w:val="ro-MD"/>
        </w:rPr>
        <w:t>, inclusiv a sucursalelor acesteia din state</w:t>
      </w:r>
      <w:r w:rsidR="00362340" w:rsidRPr="000508B6">
        <w:rPr>
          <w:rStyle w:val="alineat1"/>
          <w:rFonts w:ascii="Times New Roman" w:hAnsi="Times New Roman" w:cs="Times New Roman"/>
          <w:b w:val="0"/>
          <w:color w:val="auto"/>
          <w:lang w:val="ro-MD"/>
        </w:rPr>
        <w:t>le</w:t>
      </w:r>
      <w:r w:rsidRPr="000508B6">
        <w:rPr>
          <w:rStyle w:val="alineat1"/>
          <w:rFonts w:ascii="Times New Roman" w:hAnsi="Times New Roman" w:cs="Times New Roman"/>
          <w:b w:val="0"/>
          <w:color w:val="auto"/>
          <w:lang w:val="ro-MD"/>
        </w:rPr>
        <w:t xml:space="preserve"> membre, este recunoscută, fără o altă formalitate, pe </w:t>
      </w:r>
      <w:r w:rsidR="00362340" w:rsidRPr="000508B6">
        <w:rPr>
          <w:rStyle w:val="alineat1"/>
          <w:rFonts w:ascii="Times New Roman" w:hAnsi="Times New Roman" w:cs="Times New Roman"/>
          <w:b w:val="0"/>
          <w:color w:val="auto"/>
          <w:lang w:val="ro-MD"/>
        </w:rPr>
        <w:t>teritoriul</w:t>
      </w:r>
      <w:r w:rsidR="00F82E24" w:rsidRPr="000508B6">
        <w:rPr>
          <w:rStyle w:val="alineat1"/>
          <w:rFonts w:ascii="Times New Roman" w:hAnsi="Times New Roman" w:cs="Times New Roman"/>
          <w:b w:val="0"/>
          <w:color w:val="auto"/>
          <w:lang w:val="ro-MD"/>
        </w:rPr>
        <w:t xml:space="preserve"> </w:t>
      </w:r>
      <w:r w:rsidRPr="000508B6">
        <w:rPr>
          <w:rStyle w:val="alineat1"/>
          <w:rFonts w:ascii="Times New Roman" w:hAnsi="Times New Roman" w:cs="Times New Roman"/>
          <w:b w:val="0"/>
          <w:color w:val="auto"/>
          <w:lang w:val="ro-MD"/>
        </w:rPr>
        <w:t>state</w:t>
      </w:r>
      <w:r w:rsidR="00362340" w:rsidRPr="000508B6">
        <w:rPr>
          <w:rStyle w:val="alineat1"/>
          <w:rFonts w:ascii="Times New Roman" w:hAnsi="Times New Roman" w:cs="Times New Roman"/>
          <w:b w:val="0"/>
          <w:color w:val="auto"/>
          <w:lang w:val="ro-MD"/>
        </w:rPr>
        <w:t>lor</w:t>
      </w:r>
      <w:r w:rsidRPr="000508B6">
        <w:rPr>
          <w:rStyle w:val="alineat1"/>
          <w:rFonts w:ascii="Times New Roman" w:hAnsi="Times New Roman" w:cs="Times New Roman"/>
          <w:b w:val="0"/>
          <w:color w:val="auto"/>
          <w:lang w:val="ro-MD"/>
        </w:rPr>
        <w:t xml:space="preserve"> membre </w:t>
      </w:r>
      <w:proofErr w:type="spellStart"/>
      <w:r w:rsidRPr="000508B6">
        <w:rPr>
          <w:rStyle w:val="alineat1"/>
          <w:rFonts w:ascii="Times New Roman" w:hAnsi="Times New Roman" w:cs="Times New Roman"/>
          <w:b w:val="0"/>
          <w:color w:val="auto"/>
          <w:lang w:val="ro-MD"/>
        </w:rPr>
        <w:t>şi</w:t>
      </w:r>
      <w:proofErr w:type="spellEnd"/>
      <w:r w:rsidRPr="000508B6">
        <w:rPr>
          <w:rStyle w:val="alineat1"/>
          <w:rFonts w:ascii="Times New Roman" w:hAnsi="Times New Roman" w:cs="Times New Roman"/>
          <w:b w:val="0"/>
          <w:color w:val="auto"/>
          <w:lang w:val="ro-MD"/>
        </w:rPr>
        <w:t xml:space="preserve"> produce efectele de îndată ce decizia </w:t>
      </w:r>
      <w:proofErr w:type="spellStart"/>
      <w:r w:rsidRPr="000508B6">
        <w:rPr>
          <w:rStyle w:val="alineat1"/>
          <w:rFonts w:ascii="Times New Roman" w:hAnsi="Times New Roman" w:cs="Times New Roman"/>
          <w:b w:val="0"/>
          <w:color w:val="auto"/>
          <w:lang w:val="ro-MD"/>
        </w:rPr>
        <w:t>îşi</w:t>
      </w:r>
      <w:proofErr w:type="spellEnd"/>
      <w:r w:rsidRPr="000508B6">
        <w:rPr>
          <w:rStyle w:val="alineat1"/>
          <w:rFonts w:ascii="Times New Roman" w:hAnsi="Times New Roman" w:cs="Times New Roman"/>
          <w:b w:val="0"/>
          <w:color w:val="auto"/>
          <w:lang w:val="ro-MD"/>
        </w:rPr>
        <w:t xml:space="preserve"> produce efectele în Republica Moldova. </w:t>
      </w:r>
    </w:p>
    <w:p w14:paraId="58FA8574" w14:textId="79A4F88B" w:rsidR="00F558C2" w:rsidRPr="000508B6" w:rsidRDefault="00F558C2" w:rsidP="00CF5AFA">
      <w:pPr>
        <w:pStyle w:val="Listparagraf"/>
        <w:numPr>
          <w:ilvl w:val="1"/>
          <w:numId w:val="190"/>
        </w:numPr>
        <w:tabs>
          <w:tab w:val="left" w:pos="993"/>
        </w:tabs>
        <w:spacing w:after="0" w:line="240" w:lineRule="auto"/>
        <w:ind w:left="0" w:firstLine="426"/>
        <w:jc w:val="both"/>
        <w:rPr>
          <w:rStyle w:val="alineat1"/>
          <w:rFonts w:ascii="Times New Roman" w:hAnsi="Times New Roman" w:cs="Times New Roman"/>
          <w:b w:val="0"/>
          <w:color w:val="auto"/>
          <w:lang w:val="ro-MD"/>
        </w:rPr>
      </w:pPr>
      <w:r w:rsidRPr="000508B6">
        <w:rPr>
          <w:rStyle w:val="alineat1"/>
          <w:rFonts w:ascii="Times New Roman" w:hAnsi="Times New Roman" w:cs="Times New Roman"/>
          <w:b w:val="0"/>
          <w:color w:val="auto"/>
          <w:lang w:val="ro-MD"/>
        </w:rPr>
        <w:t>Banca Națională a Moldovei</w:t>
      </w:r>
      <w:r w:rsidR="00BB6ADD" w:rsidRPr="000508B6" w:rsidDel="00AE274B">
        <w:rPr>
          <w:rStyle w:val="alineat1"/>
          <w:rFonts w:ascii="Times New Roman" w:hAnsi="Times New Roman" w:cs="Times New Roman"/>
          <w:b w:val="0"/>
          <w:color w:val="auto"/>
          <w:lang w:val="ro-MD"/>
        </w:rPr>
        <w:t xml:space="preserve"> </w:t>
      </w:r>
      <w:r w:rsidRPr="000508B6">
        <w:rPr>
          <w:rStyle w:val="alineat1"/>
          <w:rFonts w:ascii="Times New Roman" w:hAnsi="Times New Roman" w:cs="Times New Roman"/>
          <w:b w:val="0"/>
          <w:color w:val="auto"/>
          <w:lang w:val="ro-MD"/>
        </w:rPr>
        <w:t xml:space="preserve">informează </w:t>
      </w:r>
      <w:r w:rsidR="00F96034" w:rsidRPr="000508B6">
        <w:rPr>
          <w:rStyle w:val="alineat1"/>
          <w:rFonts w:ascii="Times New Roman" w:hAnsi="Times New Roman" w:cs="Times New Roman"/>
          <w:b w:val="0"/>
          <w:color w:val="auto"/>
          <w:lang w:val="ro-MD"/>
        </w:rPr>
        <w:t>supraveghetorii</w:t>
      </w:r>
      <w:r w:rsidRPr="000508B6">
        <w:rPr>
          <w:rStyle w:val="alineat1"/>
          <w:rFonts w:ascii="Times New Roman" w:hAnsi="Times New Roman" w:cs="Times New Roman"/>
          <w:b w:val="0"/>
          <w:color w:val="auto"/>
          <w:lang w:val="ro-MD"/>
        </w:rPr>
        <w:t xml:space="preserve"> din state</w:t>
      </w:r>
      <w:r w:rsidR="00362340" w:rsidRPr="000508B6">
        <w:rPr>
          <w:rStyle w:val="alineat1"/>
          <w:rFonts w:ascii="Times New Roman" w:hAnsi="Times New Roman" w:cs="Times New Roman"/>
          <w:b w:val="0"/>
          <w:color w:val="auto"/>
          <w:lang w:val="ro-MD"/>
        </w:rPr>
        <w:t>le</w:t>
      </w:r>
      <w:r w:rsidRPr="000508B6">
        <w:rPr>
          <w:rStyle w:val="alineat1"/>
          <w:rFonts w:ascii="Times New Roman" w:hAnsi="Times New Roman" w:cs="Times New Roman"/>
          <w:b w:val="0"/>
          <w:color w:val="auto"/>
          <w:lang w:val="ro-MD"/>
        </w:rPr>
        <w:t xml:space="preserve"> membre despre decizia </w:t>
      </w:r>
      <w:r w:rsidRPr="000508B6">
        <w:rPr>
          <w:rFonts w:ascii="Times New Roman" w:hAnsi="Times New Roman" w:cs="Times New Roman"/>
          <w:lang w:val="ro-MD"/>
        </w:rPr>
        <w:t xml:space="preserve">privind dizolvarea și lichidarea, precum și insolvabilitatea </w:t>
      </w:r>
      <w:r w:rsidR="00362340" w:rsidRPr="000508B6" w:rsidDel="00131505">
        <w:rPr>
          <w:rFonts w:ascii="Times New Roman" w:hAnsi="Times New Roman" w:cs="Times New Roman"/>
          <w:lang w:val="ro-MD"/>
        </w:rPr>
        <w:t>unui</w:t>
      </w:r>
      <w:r w:rsidR="00362340" w:rsidRPr="000508B6">
        <w:rPr>
          <w:rFonts w:ascii="Times New Roman" w:hAnsi="Times New Roman" w:cs="Times New Roman"/>
          <w:lang w:val="ro-MD"/>
        </w:rPr>
        <w:t xml:space="preserve"> asigurător</w:t>
      </w:r>
      <w:r w:rsidRPr="000508B6">
        <w:rPr>
          <w:rFonts w:ascii="Times New Roman" w:hAnsi="Times New Roman" w:cs="Times New Roman"/>
          <w:lang w:val="ro-MD"/>
        </w:rPr>
        <w:t>, inclusiv a sucursalelor acesteia din state</w:t>
      </w:r>
      <w:r w:rsidR="004D70B0" w:rsidRPr="000508B6">
        <w:rPr>
          <w:rFonts w:ascii="Times New Roman" w:hAnsi="Times New Roman" w:cs="Times New Roman"/>
          <w:lang w:val="ro-MD"/>
        </w:rPr>
        <w:t>le</w:t>
      </w:r>
      <w:r w:rsidRPr="000508B6">
        <w:rPr>
          <w:rFonts w:ascii="Times New Roman" w:hAnsi="Times New Roman" w:cs="Times New Roman"/>
          <w:lang w:val="ro-MD"/>
        </w:rPr>
        <w:t xml:space="preserve"> membre și despre</w:t>
      </w:r>
      <w:r w:rsidRPr="000508B6">
        <w:rPr>
          <w:rStyle w:val="alineat1"/>
          <w:rFonts w:ascii="Times New Roman" w:hAnsi="Times New Roman" w:cs="Times New Roman"/>
          <w:b w:val="0"/>
          <w:color w:val="auto"/>
          <w:lang w:val="ro-MD"/>
        </w:rPr>
        <w:t xml:space="preserve"> efectele concrete posibile ale unei astfel de proceduri</w:t>
      </w:r>
      <w:r w:rsidR="004D70B0" w:rsidRPr="000508B6">
        <w:rPr>
          <w:rStyle w:val="alineat1"/>
          <w:rFonts w:ascii="Times New Roman" w:hAnsi="Times New Roman" w:cs="Times New Roman"/>
          <w:b w:val="0"/>
          <w:color w:val="auto"/>
          <w:lang w:val="ro-MD"/>
        </w:rPr>
        <w:t>, dacă se poate</w:t>
      </w:r>
      <w:r w:rsidR="00131505" w:rsidRPr="000508B6">
        <w:rPr>
          <w:rStyle w:val="alineat1"/>
          <w:rFonts w:ascii="Times New Roman" w:hAnsi="Times New Roman" w:cs="Times New Roman"/>
          <w:b w:val="0"/>
          <w:color w:val="auto"/>
          <w:lang w:val="ro-MD"/>
        </w:rPr>
        <w:t>,</w:t>
      </w:r>
      <w:r w:rsidR="004D70B0" w:rsidRPr="000508B6">
        <w:rPr>
          <w:rStyle w:val="alineat1"/>
          <w:rFonts w:ascii="Times New Roman" w:hAnsi="Times New Roman" w:cs="Times New Roman"/>
          <w:b w:val="0"/>
          <w:color w:val="auto"/>
          <w:lang w:val="ro-MD"/>
        </w:rPr>
        <w:t xml:space="preserve"> înainte de deschiderea</w:t>
      </w:r>
      <w:r w:rsidR="00131505" w:rsidRPr="000508B6">
        <w:rPr>
          <w:rStyle w:val="alineat1"/>
          <w:rFonts w:ascii="Times New Roman" w:hAnsi="Times New Roman" w:cs="Times New Roman"/>
          <w:b w:val="0"/>
          <w:color w:val="auto"/>
          <w:lang w:val="ro-MD"/>
        </w:rPr>
        <w:t xml:space="preserve"> procedurii sau, în caz contrar, imediat după aceea</w:t>
      </w:r>
      <w:r w:rsidRPr="000508B6" w:rsidDel="00131505">
        <w:rPr>
          <w:rStyle w:val="alineat1"/>
          <w:rFonts w:ascii="Times New Roman" w:hAnsi="Times New Roman" w:cs="Times New Roman"/>
          <w:b w:val="0"/>
          <w:color w:val="auto"/>
          <w:lang w:val="ro-MD"/>
        </w:rPr>
        <w:t>.</w:t>
      </w:r>
      <w:r w:rsidRPr="000508B6">
        <w:rPr>
          <w:rStyle w:val="alineat1"/>
          <w:rFonts w:ascii="Times New Roman" w:hAnsi="Times New Roman" w:cs="Times New Roman"/>
          <w:b w:val="0"/>
          <w:color w:val="auto"/>
          <w:lang w:val="ro-MD"/>
        </w:rPr>
        <w:t xml:space="preserve"> </w:t>
      </w:r>
    </w:p>
    <w:p w14:paraId="1DDEA6E8" w14:textId="67711E51" w:rsidR="00F558C2" w:rsidRPr="000508B6" w:rsidRDefault="00F558C2" w:rsidP="00CF5AFA">
      <w:pPr>
        <w:pStyle w:val="Listparagraf"/>
        <w:numPr>
          <w:ilvl w:val="1"/>
          <w:numId w:val="190"/>
        </w:numPr>
        <w:tabs>
          <w:tab w:val="left" w:pos="851"/>
        </w:tabs>
        <w:spacing w:after="0" w:line="240" w:lineRule="auto"/>
        <w:ind w:left="0" w:firstLine="426"/>
        <w:jc w:val="both"/>
        <w:rPr>
          <w:rStyle w:val="alineat1"/>
          <w:rFonts w:ascii="Times New Roman" w:hAnsi="Times New Roman" w:cs="Times New Roman"/>
          <w:b w:val="0"/>
          <w:color w:val="auto"/>
          <w:lang w:val="ro-MD"/>
        </w:rPr>
      </w:pPr>
      <w:r w:rsidRPr="000508B6">
        <w:rPr>
          <w:rStyle w:val="alineat1"/>
          <w:rFonts w:ascii="Times New Roman" w:hAnsi="Times New Roman" w:cs="Times New Roman"/>
          <w:b w:val="0"/>
          <w:color w:val="auto"/>
          <w:lang w:val="ro-MD"/>
        </w:rPr>
        <w:t xml:space="preserve">La publicarea deciziilor privind deschiderea procedurii de lichidare/insolvabilitate se aplică prevederile art. </w:t>
      </w:r>
      <w:r w:rsidR="00423603" w:rsidRPr="000508B6">
        <w:rPr>
          <w:rStyle w:val="alineat1"/>
          <w:rFonts w:ascii="Times New Roman" w:hAnsi="Times New Roman" w:cs="Times New Roman"/>
          <w:b w:val="0"/>
          <w:color w:val="auto"/>
          <w:lang w:val="ro-MD"/>
        </w:rPr>
        <w:t>161</w:t>
      </w:r>
      <w:r w:rsidRPr="000508B6">
        <w:rPr>
          <w:rStyle w:val="alineat1"/>
          <w:rFonts w:ascii="Times New Roman" w:hAnsi="Times New Roman" w:cs="Times New Roman"/>
          <w:b w:val="0"/>
          <w:color w:val="auto"/>
          <w:lang w:val="ro-MD"/>
        </w:rPr>
        <w:t xml:space="preserve"> alin. (1)-(2). </w:t>
      </w:r>
    </w:p>
    <w:p w14:paraId="01B5DE1D" w14:textId="63AFB9A0" w:rsidR="00F558C2" w:rsidRPr="000508B6" w:rsidRDefault="00F558C2" w:rsidP="005A5795">
      <w:pPr>
        <w:pStyle w:val="Listparagraf"/>
        <w:numPr>
          <w:ilvl w:val="1"/>
          <w:numId w:val="190"/>
        </w:numPr>
        <w:tabs>
          <w:tab w:val="left" w:pos="709"/>
          <w:tab w:val="left" w:pos="851"/>
          <w:tab w:val="left" w:pos="1134"/>
        </w:tabs>
        <w:spacing w:after="0" w:line="240" w:lineRule="auto"/>
        <w:ind w:left="0" w:firstLine="426"/>
        <w:jc w:val="both"/>
        <w:rPr>
          <w:rStyle w:val="alineat1"/>
          <w:rFonts w:ascii="Times New Roman" w:hAnsi="Times New Roman" w:cs="Times New Roman"/>
          <w:b w:val="0"/>
          <w:color w:val="auto"/>
          <w:lang w:val="ro-MD"/>
        </w:rPr>
      </w:pPr>
      <w:r w:rsidRPr="000508B6">
        <w:rPr>
          <w:rStyle w:val="alineat1"/>
          <w:rFonts w:ascii="Times New Roman" w:hAnsi="Times New Roman" w:cs="Times New Roman"/>
          <w:b w:val="0"/>
          <w:color w:val="auto"/>
          <w:lang w:val="ro-MD"/>
        </w:rPr>
        <w:t xml:space="preserve">Lichidatorul este obligat să asigure informarea periodică a creditorilor de asigurări în </w:t>
      </w:r>
      <w:proofErr w:type="spellStart"/>
      <w:r w:rsidRPr="000508B6">
        <w:rPr>
          <w:rStyle w:val="alineat1"/>
          <w:rFonts w:ascii="Times New Roman" w:hAnsi="Times New Roman" w:cs="Times New Roman"/>
          <w:b w:val="0"/>
          <w:color w:val="auto"/>
          <w:lang w:val="ro-MD"/>
        </w:rPr>
        <w:t>condiţiile</w:t>
      </w:r>
      <w:proofErr w:type="spellEnd"/>
      <w:r w:rsidRPr="000508B6">
        <w:rPr>
          <w:rStyle w:val="alineat1"/>
          <w:rFonts w:ascii="Times New Roman" w:hAnsi="Times New Roman" w:cs="Times New Roman"/>
          <w:b w:val="0"/>
          <w:color w:val="auto"/>
          <w:lang w:val="ro-MD"/>
        </w:rPr>
        <w:t xml:space="preserve"> legislației civile și a prezentei legi, în special cu privire la stadiul valorificării activelor </w:t>
      </w:r>
      <w:r w:rsidR="00643D85" w:rsidRPr="000508B6">
        <w:rPr>
          <w:rStyle w:val="alineat1"/>
          <w:rFonts w:ascii="Times New Roman" w:hAnsi="Times New Roman" w:cs="Times New Roman"/>
          <w:b w:val="0"/>
          <w:color w:val="auto"/>
          <w:lang w:val="ro-MD"/>
        </w:rPr>
        <w:t>asigurătorului</w:t>
      </w:r>
      <w:r w:rsidR="00643D85" w:rsidRPr="000508B6" w:rsidDel="00194083">
        <w:rPr>
          <w:rStyle w:val="alineat1"/>
          <w:rFonts w:ascii="Times New Roman" w:hAnsi="Times New Roman" w:cs="Times New Roman"/>
          <w:b w:val="0"/>
          <w:color w:val="auto"/>
          <w:lang w:val="ro-MD"/>
        </w:rPr>
        <w:t xml:space="preserve"> </w:t>
      </w:r>
      <w:r w:rsidRPr="000508B6">
        <w:rPr>
          <w:rStyle w:val="alineat1"/>
          <w:rFonts w:ascii="Times New Roman" w:hAnsi="Times New Roman" w:cs="Times New Roman"/>
          <w:b w:val="0"/>
          <w:color w:val="auto"/>
          <w:lang w:val="ro-MD"/>
        </w:rPr>
        <w:t xml:space="preserve">debitor. </w:t>
      </w:r>
    </w:p>
    <w:p w14:paraId="3916AB1E" w14:textId="1846802B" w:rsidR="00F558C2" w:rsidRPr="000508B6" w:rsidRDefault="00DB0B01" w:rsidP="005A5795">
      <w:pPr>
        <w:pStyle w:val="Listparagraf"/>
        <w:numPr>
          <w:ilvl w:val="1"/>
          <w:numId w:val="190"/>
        </w:numPr>
        <w:tabs>
          <w:tab w:val="left" w:pos="709"/>
          <w:tab w:val="left" w:pos="851"/>
          <w:tab w:val="left" w:pos="1134"/>
        </w:tabs>
        <w:spacing w:after="0" w:line="240" w:lineRule="auto"/>
        <w:ind w:left="0" w:firstLine="425"/>
        <w:jc w:val="both"/>
        <w:rPr>
          <w:rStyle w:val="alineat1"/>
          <w:rFonts w:ascii="Times New Roman" w:hAnsi="Times New Roman" w:cs="Times New Roman"/>
          <w:b w:val="0"/>
          <w:color w:val="auto"/>
          <w:lang w:val="ro-MD"/>
        </w:rPr>
      </w:pPr>
      <w:r w:rsidRPr="000508B6">
        <w:rPr>
          <w:rStyle w:val="alineat1"/>
          <w:rFonts w:ascii="Times New Roman" w:hAnsi="Times New Roman" w:cs="Times New Roman"/>
          <w:b w:val="0"/>
          <w:color w:val="auto"/>
          <w:lang w:val="ro-MD"/>
        </w:rPr>
        <w:t xml:space="preserve"> Banca Națională </w:t>
      </w:r>
      <w:r w:rsidR="00F82E24" w:rsidRPr="000508B6">
        <w:rPr>
          <w:rStyle w:val="alineat1"/>
          <w:rFonts w:ascii="Times New Roman" w:hAnsi="Times New Roman" w:cs="Times New Roman"/>
          <w:b w:val="0"/>
          <w:color w:val="auto"/>
          <w:lang w:val="ro-MD"/>
        </w:rPr>
        <w:t>a Moldovei</w:t>
      </w:r>
      <w:r w:rsidR="00BB6ADD" w:rsidRPr="000508B6">
        <w:rPr>
          <w:rStyle w:val="alineat1"/>
          <w:rFonts w:ascii="Times New Roman" w:hAnsi="Times New Roman" w:cs="Times New Roman"/>
          <w:b w:val="0"/>
          <w:color w:val="auto"/>
          <w:lang w:val="ro-MD"/>
        </w:rPr>
        <w:t xml:space="preserve"> </w:t>
      </w:r>
      <w:r w:rsidRPr="000508B6">
        <w:rPr>
          <w:rStyle w:val="alineat1"/>
          <w:rFonts w:ascii="Times New Roman" w:hAnsi="Times New Roman" w:cs="Times New Roman"/>
          <w:b w:val="0"/>
          <w:color w:val="auto"/>
          <w:lang w:val="ro-MD"/>
        </w:rPr>
        <w:t xml:space="preserve">oferă informații privind </w:t>
      </w:r>
      <w:proofErr w:type="spellStart"/>
      <w:r w:rsidRPr="000508B6">
        <w:rPr>
          <w:rStyle w:val="alineat1"/>
          <w:rFonts w:ascii="Times New Roman" w:hAnsi="Times New Roman" w:cs="Times New Roman"/>
          <w:b w:val="0"/>
          <w:color w:val="auto"/>
          <w:lang w:val="ro-MD"/>
        </w:rPr>
        <w:t>evoluţia</w:t>
      </w:r>
      <w:proofErr w:type="spellEnd"/>
      <w:r w:rsidRPr="000508B6">
        <w:rPr>
          <w:rStyle w:val="alineat1"/>
          <w:rFonts w:ascii="Times New Roman" w:hAnsi="Times New Roman" w:cs="Times New Roman"/>
          <w:b w:val="0"/>
          <w:color w:val="auto"/>
          <w:lang w:val="ro-MD"/>
        </w:rPr>
        <w:t xml:space="preserve"> procedurii de lichidare/ insolvabilitate la cererea supraveghetorilor din statele </w:t>
      </w:r>
      <w:r w:rsidR="00F558C2" w:rsidRPr="000508B6">
        <w:rPr>
          <w:rStyle w:val="alineat1"/>
          <w:rFonts w:ascii="Times New Roman" w:hAnsi="Times New Roman" w:cs="Times New Roman"/>
          <w:b w:val="0"/>
          <w:color w:val="auto"/>
          <w:lang w:val="ro-MD"/>
        </w:rPr>
        <w:t xml:space="preserve">membre. </w:t>
      </w:r>
    </w:p>
    <w:p w14:paraId="16549F83" w14:textId="507449F8" w:rsidR="00C519CD" w:rsidRPr="000508B6" w:rsidRDefault="00C519CD" w:rsidP="005A5795">
      <w:pPr>
        <w:pStyle w:val="Listparagraf"/>
        <w:numPr>
          <w:ilvl w:val="1"/>
          <w:numId w:val="190"/>
        </w:numPr>
        <w:tabs>
          <w:tab w:val="left" w:pos="709"/>
          <w:tab w:val="left" w:pos="851"/>
          <w:tab w:val="left" w:pos="1134"/>
        </w:tabs>
        <w:spacing w:after="0" w:line="240" w:lineRule="auto"/>
        <w:ind w:left="0" w:firstLine="425"/>
        <w:jc w:val="both"/>
        <w:rPr>
          <w:rStyle w:val="alineat1"/>
          <w:rFonts w:ascii="Times New Roman" w:hAnsi="Times New Roman" w:cs="Times New Roman"/>
          <w:b w:val="0"/>
          <w:color w:val="auto"/>
          <w:lang w:val="ro-MD"/>
        </w:rPr>
      </w:pPr>
      <w:r w:rsidRPr="000508B6">
        <w:rPr>
          <w:rStyle w:val="alineat1"/>
          <w:rFonts w:ascii="Times New Roman" w:hAnsi="Times New Roman" w:cs="Times New Roman"/>
          <w:b w:val="0"/>
          <w:color w:val="auto"/>
          <w:lang w:val="ro-MD"/>
        </w:rPr>
        <w:t xml:space="preserve">Prevederile art. 162 și </w:t>
      </w:r>
      <w:r w:rsidR="00B43F77" w:rsidRPr="000508B6">
        <w:rPr>
          <w:rStyle w:val="alineat1"/>
          <w:rFonts w:ascii="Times New Roman" w:hAnsi="Times New Roman" w:cs="Times New Roman"/>
          <w:b w:val="0"/>
          <w:color w:val="auto"/>
          <w:lang w:val="ro-MD"/>
        </w:rPr>
        <w:t>art. 163</w:t>
      </w:r>
      <w:r w:rsidRPr="000508B6">
        <w:rPr>
          <w:rStyle w:val="alineat1"/>
          <w:rFonts w:ascii="Times New Roman" w:hAnsi="Times New Roman" w:cs="Times New Roman"/>
          <w:b w:val="0"/>
          <w:color w:val="auto"/>
          <w:lang w:val="ro-MD"/>
        </w:rPr>
        <w:t xml:space="preserve"> se aplică în mod corespunzător și în cazul procedurii de lichidare a </w:t>
      </w:r>
      <w:r w:rsidR="004125E8" w:rsidRPr="000508B6">
        <w:rPr>
          <w:rStyle w:val="alineat1"/>
          <w:rFonts w:ascii="Times New Roman" w:hAnsi="Times New Roman" w:cs="Times New Roman"/>
          <w:b w:val="0"/>
          <w:color w:val="auto"/>
          <w:lang w:val="ro-MD"/>
        </w:rPr>
        <w:t>asigurătorului</w:t>
      </w:r>
      <w:r w:rsidRPr="000508B6">
        <w:rPr>
          <w:rStyle w:val="alineat1"/>
          <w:rFonts w:ascii="Times New Roman" w:hAnsi="Times New Roman" w:cs="Times New Roman"/>
          <w:b w:val="0"/>
          <w:color w:val="auto"/>
          <w:lang w:val="ro-MD"/>
        </w:rPr>
        <w:t xml:space="preserve">. </w:t>
      </w:r>
    </w:p>
    <w:p w14:paraId="35AF7AAA" w14:textId="77777777" w:rsidR="00F558C2" w:rsidRPr="000508B6" w:rsidRDefault="00F558C2" w:rsidP="00F558C2">
      <w:pPr>
        <w:spacing w:after="0" w:line="240" w:lineRule="auto"/>
        <w:ind w:firstLine="426"/>
        <w:jc w:val="both"/>
        <w:rPr>
          <w:rFonts w:ascii="Times New Roman" w:hAnsi="Times New Roman" w:cs="Times New Roman"/>
          <w:b/>
          <w:lang w:val="ro-MD"/>
        </w:rPr>
      </w:pPr>
    </w:p>
    <w:p w14:paraId="2801914B" w14:textId="0E7C451E" w:rsidR="00F558C2" w:rsidRPr="000508B6" w:rsidRDefault="00F558C2" w:rsidP="00F558C2">
      <w:pPr>
        <w:spacing w:after="0" w:line="240" w:lineRule="auto"/>
        <w:ind w:firstLine="426"/>
        <w:jc w:val="both"/>
        <w:rPr>
          <w:rFonts w:ascii="Times New Roman" w:eastAsia="Times New Roman" w:hAnsi="Times New Roman" w:cs="Times New Roman"/>
          <w:lang w:val="ro-MD"/>
        </w:rPr>
      </w:pPr>
      <w:r w:rsidRPr="000508B6">
        <w:rPr>
          <w:rFonts w:ascii="Times New Roman" w:hAnsi="Times New Roman" w:cs="Times New Roman"/>
          <w:b/>
          <w:lang w:val="ro-MD"/>
        </w:rPr>
        <w:t xml:space="preserve">Articolul </w:t>
      </w:r>
      <w:r w:rsidR="00A479FC" w:rsidRPr="000508B6">
        <w:rPr>
          <w:rFonts w:ascii="Times New Roman" w:hAnsi="Times New Roman" w:cs="Times New Roman"/>
          <w:b/>
          <w:lang w:val="ro-MD"/>
        </w:rPr>
        <w:t>168</w:t>
      </w:r>
      <w:r w:rsidRPr="000508B6">
        <w:rPr>
          <w:rFonts w:ascii="Times New Roman" w:hAnsi="Times New Roman" w:cs="Times New Roman"/>
          <w:b/>
          <w:lang w:val="ro-MD"/>
        </w:rPr>
        <w:t xml:space="preserve">. </w:t>
      </w:r>
      <w:r w:rsidRPr="000508B6">
        <w:rPr>
          <w:rFonts w:ascii="Times New Roman" w:eastAsia="Times New Roman" w:hAnsi="Times New Roman" w:cs="Times New Roman"/>
          <w:lang w:val="ro-MD"/>
        </w:rPr>
        <w:t xml:space="preserve">Registrul special al activelor </w:t>
      </w:r>
    </w:p>
    <w:p w14:paraId="5F2FB34D" w14:textId="7E4A967D" w:rsidR="00F558C2" w:rsidRPr="000508B6" w:rsidRDefault="004125E8"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Asigurătorul</w:t>
      </w:r>
      <w:r w:rsidR="00C92D33" w:rsidRPr="000508B6" w:rsidDel="00194083">
        <w:rPr>
          <w:rFonts w:ascii="Times New Roman" w:hAnsi="Times New Roman" w:cs="Times New Roman"/>
          <w:lang w:val="ro-MD"/>
        </w:rPr>
        <w:t xml:space="preserve"> </w:t>
      </w:r>
      <w:r w:rsidR="00F558C2" w:rsidRPr="000508B6">
        <w:rPr>
          <w:rFonts w:ascii="Times New Roman" w:hAnsi="Times New Roman" w:cs="Times New Roman"/>
          <w:lang w:val="ro-MD"/>
        </w:rPr>
        <w:t>întocme</w:t>
      </w:r>
      <w:r w:rsidR="00C92D33" w:rsidRPr="000508B6">
        <w:rPr>
          <w:rFonts w:ascii="Times New Roman" w:hAnsi="Times New Roman" w:cs="Times New Roman"/>
          <w:lang w:val="ro-MD"/>
        </w:rPr>
        <w:t>ște</w:t>
      </w:r>
      <w:r w:rsidR="00F558C2" w:rsidRPr="000508B6">
        <w:rPr>
          <w:rFonts w:ascii="Times New Roman" w:hAnsi="Times New Roman" w:cs="Times New Roman"/>
          <w:lang w:val="ro-MD"/>
        </w:rPr>
        <w:t xml:space="preserve">, păstrează la </w:t>
      </w:r>
      <w:r w:rsidR="00C92D33" w:rsidRPr="000508B6">
        <w:rPr>
          <w:rFonts w:ascii="Times New Roman" w:hAnsi="Times New Roman" w:cs="Times New Roman"/>
          <w:lang w:val="ro-MD"/>
        </w:rPr>
        <w:t xml:space="preserve">sediul </w:t>
      </w:r>
      <w:r w:rsidR="00F558C2" w:rsidRPr="000508B6">
        <w:rPr>
          <w:rFonts w:ascii="Times New Roman" w:hAnsi="Times New Roman" w:cs="Times New Roman"/>
          <w:lang w:val="ro-MD"/>
        </w:rPr>
        <w:t xml:space="preserve">central și actualizează permanent registre speciale ale activelor folosite pentru acoperirea rezervelor tehnice brute, în vederea asigurării unei protecții adecvate a creditorilor de asigurări în cadrul procedurilor de lichidare a </w:t>
      </w:r>
      <w:r w:rsidRPr="000508B6">
        <w:rPr>
          <w:rFonts w:ascii="Times New Roman" w:hAnsi="Times New Roman" w:cs="Times New Roman"/>
          <w:lang w:val="ro-MD"/>
        </w:rPr>
        <w:t>asigurătorului</w:t>
      </w:r>
      <w:r w:rsidR="00F558C2" w:rsidRPr="000508B6">
        <w:rPr>
          <w:rFonts w:ascii="Times New Roman" w:hAnsi="Times New Roman" w:cs="Times New Roman"/>
          <w:lang w:val="ro-MD"/>
        </w:rPr>
        <w:t xml:space="preserve">, potrivit legii. </w:t>
      </w:r>
    </w:p>
    <w:p w14:paraId="43FE6EA2" w14:textId="32944C94" w:rsidR="00F558C2" w:rsidRPr="000508B6" w:rsidRDefault="00F558C2"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Registrele speciale se întocmesc distinct pentru activitatea de asigurare generală, respectiv activitatea de asigurare de viață. În cazul în care </w:t>
      </w:r>
      <w:r w:rsidR="00E12BEF" w:rsidRPr="000508B6">
        <w:rPr>
          <w:rFonts w:ascii="Times New Roman" w:hAnsi="Times New Roman" w:cs="Times New Roman"/>
          <w:lang w:val="ro-MD"/>
        </w:rPr>
        <w:t>asigurătorul</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licenţă</w:t>
      </w:r>
      <w:proofErr w:type="spellEnd"/>
      <w:r w:rsidRPr="000508B6">
        <w:rPr>
          <w:rFonts w:ascii="Times New Roman" w:hAnsi="Times New Roman" w:cs="Times New Roman"/>
          <w:lang w:val="ro-MD"/>
        </w:rPr>
        <w:t xml:space="preserve"> pentru </w:t>
      </w:r>
      <w:proofErr w:type="spellStart"/>
      <w:r w:rsidRPr="000508B6">
        <w:rPr>
          <w:rFonts w:ascii="Times New Roman" w:hAnsi="Times New Roman" w:cs="Times New Roman"/>
          <w:lang w:val="ro-MD"/>
        </w:rPr>
        <w:t>desfăşurarea</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de asigurare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subscrie riscurile </w:t>
      </w:r>
      <w:r w:rsidRPr="000508B6">
        <w:rPr>
          <w:rFonts w:ascii="Times New Roman" w:hAnsi="Times New Roman" w:cs="Times New Roman"/>
          <w:noProof/>
          <w:lang w:val="ro-MD"/>
        </w:rPr>
        <w:t>claselor 1 şi 2 enumerate</w:t>
      </w:r>
      <w:r w:rsidRPr="000508B6">
        <w:rPr>
          <w:rFonts w:ascii="Times New Roman" w:hAnsi="Times New Roman" w:cs="Times New Roman"/>
          <w:lang w:val="ro-MD"/>
        </w:rPr>
        <w:t xml:space="preserve"> în </w:t>
      </w:r>
      <w:r w:rsidR="00BF11B0" w:rsidRPr="000508B6">
        <w:rPr>
          <w:rFonts w:ascii="Times New Roman" w:hAnsi="Times New Roman" w:cs="Times New Roman"/>
          <w:lang w:val="ro-MD"/>
        </w:rPr>
        <w:t xml:space="preserve">Anexa </w:t>
      </w:r>
      <w:r w:rsidR="00D925A2" w:rsidRPr="000508B6">
        <w:rPr>
          <w:rFonts w:ascii="Times New Roman" w:hAnsi="Times New Roman" w:cs="Times New Roman"/>
          <w:lang w:val="ro-MD"/>
        </w:rPr>
        <w:t>nr.</w:t>
      </w:r>
      <w:r w:rsidR="001B41FA" w:rsidRPr="000508B6">
        <w:rPr>
          <w:rFonts w:ascii="Times New Roman" w:hAnsi="Times New Roman" w:cs="Times New Roman"/>
          <w:lang w:val="ro-MD"/>
        </w:rPr>
        <w:t xml:space="preserve"> </w:t>
      </w:r>
      <w:r w:rsidR="00D925A2" w:rsidRPr="000508B6">
        <w:rPr>
          <w:rFonts w:ascii="Times New Roman" w:hAnsi="Times New Roman" w:cs="Times New Roman"/>
          <w:lang w:val="ro-MD"/>
        </w:rPr>
        <w:t>1</w:t>
      </w:r>
      <w:r w:rsidR="001B41FA" w:rsidRPr="000508B6">
        <w:rPr>
          <w:rFonts w:ascii="Times New Roman" w:hAnsi="Times New Roman" w:cs="Times New Roman"/>
          <w:lang w:val="ro-MD"/>
        </w:rPr>
        <w:t>.</w:t>
      </w:r>
      <w:r w:rsidR="00BF11B0" w:rsidRPr="000508B6">
        <w:rPr>
          <w:rFonts w:ascii="Times New Roman" w:hAnsi="Times New Roman" w:cs="Times New Roman"/>
          <w:lang w:val="ro-MD"/>
        </w:rPr>
        <w:t xml:space="preserve"> Secțiunea A</w:t>
      </w:r>
      <w:r w:rsidRPr="000508B6">
        <w:rPr>
          <w:rFonts w:ascii="Times New Roman" w:hAnsi="Times New Roman" w:cs="Times New Roman"/>
          <w:lang w:val="ro-MD"/>
        </w:rPr>
        <w:t xml:space="preserve">, </w:t>
      </w:r>
      <w:r w:rsidR="00E94EC1" w:rsidRPr="000508B6">
        <w:rPr>
          <w:rFonts w:ascii="Times New Roman" w:hAnsi="Times New Roman" w:cs="Times New Roman"/>
          <w:lang w:val="ro-MD"/>
        </w:rPr>
        <w:t>acesta</w:t>
      </w:r>
      <w:r w:rsidRPr="000508B6">
        <w:rPr>
          <w:rFonts w:ascii="Times New Roman" w:hAnsi="Times New Roman" w:cs="Times New Roman"/>
          <w:lang w:val="ro-MD"/>
        </w:rPr>
        <w:t xml:space="preserve"> are dreptul să </w:t>
      </w:r>
      <w:proofErr w:type="spellStart"/>
      <w:r w:rsidRPr="000508B6">
        <w:rPr>
          <w:rFonts w:ascii="Times New Roman" w:hAnsi="Times New Roman" w:cs="Times New Roman"/>
          <w:lang w:val="ro-MD"/>
        </w:rPr>
        <w:t>ţină</w:t>
      </w:r>
      <w:proofErr w:type="spellEnd"/>
      <w:r w:rsidRPr="000508B6">
        <w:rPr>
          <w:rFonts w:ascii="Times New Roman" w:hAnsi="Times New Roman" w:cs="Times New Roman"/>
          <w:lang w:val="ro-MD"/>
        </w:rPr>
        <w:t xml:space="preserve"> un registru unic pentru toate </w:t>
      </w:r>
      <w:proofErr w:type="spellStart"/>
      <w:r w:rsidRPr="000508B6">
        <w:rPr>
          <w:rFonts w:ascii="Times New Roman" w:hAnsi="Times New Roman" w:cs="Times New Roman"/>
          <w:lang w:val="ro-MD"/>
        </w:rPr>
        <w:t>activităţile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w:t>
      </w:r>
      <w:r w:rsidRPr="000508B6">
        <w:rPr>
          <w:rFonts w:ascii="Times New Roman" w:eastAsia="Times New Roman" w:hAnsi="Times New Roman" w:cs="Times New Roman"/>
          <w:lang w:val="ro-MD"/>
        </w:rPr>
        <w:t xml:space="preserve"> </w:t>
      </w:r>
    </w:p>
    <w:p w14:paraId="12E718A4" w14:textId="00FADA45" w:rsidR="00F558C2" w:rsidRPr="000508B6" w:rsidRDefault="00F558C2"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Valorile activelor și rezervelor tehnice brute înscrise în registrele speciale sunt cele din evidențele contabile ale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organizate conform reglementărilor contabile aplicabile. În orice moment, valoarea totală a activelor indicate în registrele speciale este cel puțin egală cu valoarea rezervelor tehnice brute. </w:t>
      </w:r>
    </w:p>
    <w:p w14:paraId="46A9129C" w14:textId="74B28DE7" w:rsidR="00F558C2" w:rsidRPr="000508B6" w:rsidRDefault="00F558C2"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w:t>
      </w:r>
      <w:r w:rsidR="00D073FE" w:rsidRPr="000508B6">
        <w:rPr>
          <w:rFonts w:ascii="Times New Roman" w:hAnsi="Times New Roman" w:cs="Times New Roman"/>
          <w:lang w:val="ro-MD"/>
        </w:rPr>
        <w:t xml:space="preserve">cazul </w:t>
      </w:r>
      <w:r w:rsidRPr="000508B6">
        <w:rPr>
          <w:rFonts w:ascii="Times New Roman" w:hAnsi="Times New Roman" w:cs="Times New Roman"/>
          <w:lang w:val="ro-MD"/>
        </w:rPr>
        <w:t>în care</w:t>
      </w:r>
      <w:r w:rsidR="00D073FE" w:rsidRPr="000508B6">
        <w:rPr>
          <w:rFonts w:ascii="Times New Roman" w:hAnsi="Times New Roman" w:cs="Times New Roman"/>
          <w:lang w:val="ro-MD"/>
        </w:rPr>
        <w:t>,</w:t>
      </w:r>
      <w:r w:rsidRPr="000508B6">
        <w:rPr>
          <w:rFonts w:ascii="Times New Roman" w:hAnsi="Times New Roman" w:cs="Times New Roman"/>
          <w:lang w:val="ro-MD"/>
        </w:rPr>
        <w:t xml:space="preserve"> un activ înscris în registrele speciale este grevat de sarcini în favoarea unui creditor sau a unui terț, cu consecința indisponibilizării unei </w:t>
      </w:r>
      <w:r w:rsidR="00194083" w:rsidRPr="000508B6">
        <w:rPr>
          <w:rFonts w:ascii="Times New Roman" w:hAnsi="Times New Roman" w:cs="Times New Roman"/>
          <w:lang w:val="ro-MD"/>
        </w:rPr>
        <w:t xml:space="preserve">părți </w:t>
      </w:r>
      <w:r w:rsidRPr="000508B6">
        <w:rPr>
          <w:rFonts w:ascii="Times New Roman" w:hAnsi="Times New Roman" w:cs="Times New Roman"/>
          <w:lang w:val="ro-MD"/>
        </w:rPr>
        <w:t xml:space="preserve">din valoarea acestui activ pentru acoperirea rezervelor tehnice brute, această situație se înscrie în </w:t>
      </w:r>
      <w:r w:rsidR="00194083" w:rsidRPr="000508B6">
        <w:rPr>
          <w:rFonts w:ascii="Times New Roman" w:hAnsi="Times New Roman" w:cs="Times New Roman"/>
          <w:lang w:val="ro-MD"/>
        </w:rPr>
        <w:t xml:space="preserve">respectivul </w:t>
      </w:r>
      <w:r w:rsidRPr="000508B6">
        <w:rPr>
          <w:rFonts w:ascii="Times New Roman" w:hAnsi="Times New Roman" w:cs="Times New Roman"/>
          <w:lang w:val="ro-MD"/>
        </w:rPr>
        <w:t>registr</w:t>
      </w:r>
      <w:r w:rsidR="00194083" w:rsidRPr="000508B6">
        <w:rPr>
          <w:rFonts w:ascii="Times New Roman" w:hAnsi="Times New Roman" w:cs="Times New Roman"/>
          <w:lang w:val="ro-MD"/>
        </w:rPr>
        <w:t>u</w:t>
      </w:r>
      <w:r w:rsidRPr="000508B6">
        <w:rPr>
          <w:rFonts w:ascii="Times New Roman" w:hAnsi="Times New Roman" w:cs="Times New Roman"/>
          <w:lang w:val="ro-MD"/>
        </w:rPr>
        <w:t xml:space="preserve">, iar suma indisponibilă nu este inclusă în valoarea totală menționată la alin. (3). </w:t>
      </w:r>
      <w:r w:rsidR="00D068AA" w:rsidRPr="000508B6">
        <w:rPr>
          <w:rFonts w:ascii="Times New Roman" w:hAnsi="Times New Roman" w:cs="Times New Roman"/>
          <w:lang w:val="ro-MD"/>
        </w:rPr>
        <w:t>Asigurătorul</w:t>
      </w:r>
      <w:r w:rsidRPr="000508B6" w:rsidDel="00194083">
        <w:rPr>
          <w:rFonts w:ascii="Times New Roman" w:hAnsi="Times New Roman" w:cs="Times New Roman"/>
          <w:lang w:val="ro-MD"/>
        </w:rPr>
        <w:t xml:space="preserve"> </w:t>
      </w:r>
      <w:r w:rsidRPr="000508B6">
        <w:rPr>
          <w:rFonts w:ascii="Times New Roman" w:hAnsi="Times New Roman" w:cs="Times New Roman"/>
          <w:lang w:val="ro-MD"/>
        </w:rPr>
        <w:t xml:space="preserve">notifică Băncii Naționale a Moldovei, de îndată, cu privire la </w:t>
      </w:r>
      <w:r w:rsidR="00194083" w:rsidRPr="000508B6">
        <w:rPr>
          <w:rFonts w:ascii="Times New Roman" w:hAnsi="Times New Roman" w:cs="Times New Roman"/>
          <w:lang w:val="ro-MD"/>
        </w:rPr>
        <w:t xml:space="preserve">grevarea </w:t>
      </w:r>
      <w:r w:rsidRPr="000508B6">
        <w:rPr>
          <w:rFonts w:ascii="Times New Roman" w:hAnsi="Times New Roman" w:cs="Times New Roman"/>
          <w:lang w:val="ro-MD"/>
        </w:rPr>
        <w:t xml:space="preserve">de sarcini asupra unui activ înscris în registrele speciale. </w:t>
      </w:r>
    </w:p>
    <w:p w14:paraId="2C58B6D8" w14:textId="078B2939" w:rsidR="00194083" w:rsidRPr="000508B6" w:rsidRDefault="00194083" w:rsidP="007F6F14">
      <w:pPr>
        <w:pStyle w:val="Listparagraf"/>
        <w:numPr>
          <w:ilvl w:val="1"/>
          <w:numId w:val="192"/>
        </w:numPr>
        <w:tabs>
          <w:tab w:val="left" w:pos="851"/>
        </w:tabs>
        <w:spacing w:after="0" w:line="240" w:lineRule="auto"/>
        <w:ind w:left="0" w:firstLine="568"/>
        <w:jc w:val="both"/>
        <w:rPr>
          <w:rFonts w:ascii="Times New Roman" w:hAnsi="Times New Roman" w:cs="Times New Roman"/>
          <w:lang w:val="ro-MD"/>
        </w:rPr>
      </w:pPr>
      <w:r w:rsidRPr="000508B6">
        <w:rPr>
          <w:rFonts w:ascii="Times New Roman" w:hAnsi="Times New Roman" w:cs="Times New Roman"/>
          <w:lang w:val="ro-MD"/>
        </w:rPr>
        <w:t xml:space="preserve">Tratamentul unui activ în cazul lichidării </w:t>
      </w:r>
      <w:r w:rsidR="00643D85" w:rsidRPr="000508B6">
        <w:rPr>
          <w:rFonts w:ascii="Times New Roman" w:hAnsi="Times New Roman" w:cs="Times New Roman"/>
          <w:lang w:val="ro-MD"/>
        </w:rPr>
        <w:t>asigurătorului</w:t>
      </w:r>
      <w:r w:rsidRPr="000508B6">
        <w:rPr>
          <w:rFonts w:ascii="Times New Roman" w:hAnsi="Times New Roman" w:cs="Times New Roman"/>
          <w:lang w:val="ro-MD"/>
        </w:rPr>
        <w:t>, în cadrul opțiunii prevăzute la art</w:t>
      </w:r>
      <w:r w:rsidR="005B04C2" w:rsidRPr="000508B6">
        <w:rPr>
          <w:rFonts w:ascii="Times New Roman" w:hAnsi="Times New Roman" w:cs="Times New Roman"/>
          <w:lang w:val="ro-MD"/>
        </w:rPr>
        <w:t>.</w:t>
      </w:r>
      <w:r w:rsidRPr="000508B6">
        <w:rPr>
          <w:rFonts w:ascii="Times New Roman" w:hAnsi="Times New Roman" w:cs="Times New Roman"/>
          <w:lang w:val="ro-MD"/>
        </w:rPr>
        <w:t xml:space="preserve"> </w:t>
      </w:r>
      <w:r w:rsidR="005B04C2" w:rsidRPr="000508B6">
        <w:rPr>
          <w:rFonts w:ascii="Times New Roman" w:hAnsi="Times New Roman" w:cs="Times New Roman"/>
          <w:lang w:val="ro-MD"/>
        </w:rPr>
        <w:t>167</w:t>
      </w:r>
      <w:r w:rsidRPr="000508B6">
        <w:rPr>
          <w:rFonts w:ascii="Times New Roman" w:hAnsi="Times New Roman" w:cs="Times New Roman"/>
          <w:lang w:val="ro-MD"/>
        </w:rPr>
        <w:t xml:space="preserve"> alin</w:t>
      </w:r>
      <w:r w:rsidR="005B04C2" w:rsidRPr="000508B6">
        <w:rPr>
          <w:rFonts w:ascii="Times New Roman" w:hAnsi="Times New Roman" w:cs="Times New Roman"/>
          <w:lang w:val="ro-MD"/>
        </w:rPr>
        <w:t>.</w:t>
      </w:r>
      <w:r w:rsidRPr="000508B6">
        <w:rPr>
          <w:rFonts w:ascii="Times New Roman" w:hAnsi="Times New Roman" w:cs="Times New Roman"/>
          <w:lang w:val="ro-MD"/>
        </w:rPr>
        <w:t xml:space="preserve"> (</w:t>
      </w:r>
      <w:r w:rsidR="00B92AAA" w:rsidRPr="000508B6">
        <w:rPr>
          <w:rFonts w:ascii="Times New Roman" w:hAnsi="Times New Roman" w:cs="Times New Roman"/>
          <w:lang w:val="ro-MD"/>
        </w:rPr>
        <w:t>8</w:t>
      </w:r>
      <w:r w:rsidRPr="000508B6">
        <w:rPr>
          <w:rFonts w:ascii="Times New Roman" w:hAnsi="Times New Roman" w:cs="Times New Roman"/>
          <w:lang w:val="ro-MD"/>
        </w:rPr>
        <w:t xml:space="preserve">) litera a), se determină de către legislația </w:t>
      </w:r>
      <w:r w:rsidR="005B04C2" w:rsidRPr="000508B6">
        <w:rPr>
          <w:rFonts w:ascii="Times New Roman" w:hAnsi="Times New Roman" w:cs="Times New Roman"/>
          <w:lang w:val="ro-MD"/>
        </w:rPr>
        <w:t xml:space="preserve"> </w:t>
      </w:r>
      <w:r w:rsidR="00C7548F" w:rsidRPr="000508B6">
        <w:rPr>
          <w:rFonts w:ascii="Times New Roman" w:hAnsi="Times New Roman" w:cs="Times New Roman"/>
          <w:lang w:val="ro-MD"/>
        </w:rPr>
        <w:t>privind lichidarea și insolvabilitatea</w:t>
      </w:r>
      <w:r w:rsidRPr="000508B6">
        <w:rPr>
          <w:rFonts w:ascii="Times New Roman" w:hAnsi="Times New Roman" w:cs="Times New Roman"/>
          <w:lang w:val="ro-MD"/>
        </w:rPr>
        <w:t>, cu excepția cazului în care art</w:t>
      </w:r>
      <w:r w:rsidR="005B04C2" w:rsidRPr="000508B6">
        <w:rPr>
          <w:rFonts w:ascii="Times New Roman" w:hAnsi="Times New Roman" w:cs="Times New Roman"/>
          <w:lang w:val="ro-MD"/>
        </w:rPr>
        <w:t>.</w:t>
      </w:r>
      <w:r w:rsidRPr="000508B6">
        <w:rPr>
          <w:rFonts w:ascii="Times New Roman" w:hAnsi="Times New Roman" w:cs="Times New Roman"/>
          <w:lang w:val="ro-MD"/>
        </w:rPr>
        <w:t xml:space="preserve"> </w:t>
      </w:r>
      <w:r w:rsidR="005B04C2" w:rsidRPr="000508B6">
        <w:rPr>
          <w:rFonts w:ascii="Times New Roman" w:hAnsi="Times New Roman" w:cs="Times New Roman"/>
          <w:lang w:val="ro-MD"/>
        </w:rPr>
        <w:t>162, art. 163 alin. (2) – (5) și art. 167 alin. (</w:t>
      </w:r>
      <w:r w:rsidR="00C703F5" w:rsidRPr="000508B6">
        <w:rPr>
          <w:rFonts w:ascii="Times New Roman" w:hAnsi="Times New Roman" w:cs="Times New Roman"/>
          <w:lang w:val="ro-MD"/>
        </w:rPr>
        <w:t>21</w:t>
      </w:r>
      <w:r w:rsidR="005B04C2" w:rsidRPr="000508B6">
        <w:rPr>
          <w:rFonts w:ascii="Times New Roman" w:hAnsi="Times New Roman" w:cs="Times New Roman"/>
          <w:lang w:val="ro-MD"/>
        </w:rPr>
        <w:t>)</w:t>
      </w:r>
      <w:r w:rsidRPr="000508B6">
        <w:rPr>
          <w:rFonts w:ascii="Times New Roman" w:hAnsi="Times New Roman" w:cs="Times New Roman"/>
          <w:lang w:val="ro-MD"/>
        </w:rPr>
        <w:t xml:space="preserve"> se aplică respectivului activ în cazul în care:</w:t>
      </w:r>
    </w:p>
    <w:p w14:paraId="626B3437" w14:textId="6A7B5CE9" w:rsidR="00194083" w:rsidRPr="000508B6" w:rsidRDefault="00194083" w:rsidP="007F6F14">
      <w:pPr>
        <w:pStyle w:val="Listparagraf"/>
        <w:tabs>
          <w:tab w:val="left" w:pos="851"/>
        </w:tabs>
        <w:spacing w:after="0" w:line="240" w:lineRule="auto"/>
        <w:ind w:left="0" w:firstLine="568"/>
        <w:jc w:val="both"/>
        <w:rPr>
          <w:rFonts w:ascii="Times New Roman" w:hAnsi="Times New Roman" w:cs="Times New Roman"/>
          <w:lang w:val="ro-MD"/>
        </w:rPr>
      </w:pPr>
      <w:r w:rsidRPr="000508B6">
        <w:rPr>
          <w:rFonts w:ascii="Times New Roman" w:hAnsi="Times New Roman" w:cs="Times New Roman"/>
          <w:lang w:val="ro-MD"/>
        </w:rPr>
        <w:t>(a) activul utilizat pentru a acoperi rezervele tehnice este supus unui drept real în favoarea unui creditor sau a unui terț, fără a îndeplini condițiile stabilite la alin</w:t>
      </w:r>
      <w:r w:rsidR="005B04C2" w:rsidRPr="000508B6">
        <w:rPr>
          <w:rFonts w:ascii="Times New Roman" w:hAnsi="Times New Roman" w:cs="Times New Roman"/>
          <w:lang w:val="ro-MD"/>
        </w:rPr>
        <w:t>.</w:t>
      </w:r>
      <w:r w:rsidRPr="000508B6">
        <w:rPr>
          <w:rFonts w:ascii="Times New Roman" w:hAnsi="Times New Roman" w:cs="Times New Roman"/>
          <w:lang w:val="ro-MD"/>
        </w:rPr>
        <w:t xml:space="preserve"> (4);</w:t>
      </w:r>
    </w:p>
    <w:p w14:paraId="45BF0137" w14:textId="77777777" w:rsidR="00194083" w:rsidRPr="000508B6" w:rsidRDefault="00194083" w:rsidP="007F6F14">
      <w:pPr>
        <w:pStyle w:val="Listparagraf"/>
        <w:tabs>
          <w:tab w:val="left" w:pos="851"/>
        </w:tabs>
        <w:spacing w:after="0" w:line="240" w:lineRule="auto"/>
        <w:ind w:left="0" w:firstLine="568"/>
        <w:jc w:val="both"/>
        <w:rPr>
          <w:rFonts w:ascii="Times New Roman" w:hAnsi="Times New Roman" w:cs="Times New Roman"/>
          <w:lang w:val="ro-MD"/>
        </w:rPr>
      </w:pPr>
      <w:r w:rsidRPr="000508B6">
        <w:rPr>
          <w:rFonts w:ascii="Times New Roman" w:hAnsi="Times New Roman" w:cs="Times New Roman"/>
          <w:lang w:val="ro-MD"/>
        </w:rPr>
        <w:t>(b) un astfel de activ este supus unei rezerve de proprietate în favoarea unui creditor sau a unui terț; sau</w:t>
      </w:r>
    </w:p>
    <w:p w14:paraId="36682819" w14:textId="5BB61E3A" w:rsidR="00194083" w:rsidRPr="000508B6" w:rsidRDefault="00194083" w:rsidP="007F6F14">
      <w:pPr>
        <w:pStyle w:val="Listparagraf"/>
        <w:tabs>
          <w:tab w:val="left" w:pos="851"/>
        </w:tabs>
        <w:spacing w:after="0" w:line="240" w:lineRule="auto"/>
        <w:ind w:left="0" w:firstLine="568"/>
        <w:jc w:val="both"/>
        <w:rPr>
          <w:rFonts w:ascii="Times New Roman" w:hAnsi="Times New Roman" w:cs="Times New Roman"/>
          <w:lang w:val="ro-MD"/>
        </w:rPr>
      </w:pPr>
      <w:r w:rsidRPr="000508B6">
        <w:rPr>
          <w:rFonts w:ascii="Times New Roman" w:hAnsi="Times New Roman" w:cs="Times New Roman"/>
          <w:lang w:val="ro-MD"/>
        </w:rPr>
        <w:t xml:space="preserve">(c) un creditor are dreptul de a cere compensarea creanței sale cu creanța </w:t>
      </w:r>
      <w:r w:rsidR="003455FF" w:rsidRPr="000508B6">
        <w:rPr>
          <w:rFonts w:ascii="Times New Roman" w:hAnsi="Times New Roman" w:cs="Times New Roman"/>
          <w:lang w:val="ro-MD"/>
        </w:rPr>
        <w:t>asigurătorului</w:t>
      </w:r>
      <w:r w:rsidR="005B04C2" w:rsidRPr="000508B6">
        <w:rPr>
          <w:rFonts w:ascii="Times New Roman" w:hAnsi="Times New Roman" w:cs="Times New Roman"/>
          <w:lang w:val="ro-MD"/>
        </w:rPr>
        <w:t xml:space="preserve">. </w:t>
      </w:r>
    </w:p>
    <w:p w14:paraId="5F3BCC01" w14:textId="574DB8C4" w:rsidR="00F558C2" w:rsidRPr="000508B6" w:rsidRDefault="00F558C2"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Registr</w:t>
      </w:r>
      <w:r w:rsidR="007F6F14" w:rsidRPr="000508B6">
        <w:rPr>
          <w:rFonts w:ascii="Times New Roman" w:hAnsi="Times New Roman" w:cs="Times New Roman"/>
          <w:lang w:val="ro-MD"/>
        </w:rPr>
        <w:t>ul</w:t>
      </w:r>
      <w:r w:rsidRPr="000508B6">
        <w:rPr>
          <w:rFonts w:ascii="Times New Roman" w:hAnsi="Times New Roman" w:cs="Times New Roman"/>
          <w:lang w:val="ro-MD"/>
        </w:rPr>
        <w:t xml:space="preserve"> special </w:t>
      </w:r>
      <w:r w:rsidR="007F6F14" w:rsidRPr="000508B6">
        <w:rPr>
          <w:rFonts w:ascii="Times New Roman" w:hAnsi="Times New Roman" w:cs="Times New Roman"/>
          <w:lang w:val="ro-MD"/>
        </w:rPr>
        <w:t xml:space="preserve">este </w:t>
      </w:r>
      <w:r w:rsidRPr="000508B6">
        <w:rPr>
          <w:rFonts w:ascii="Times New Roman" w:hAnsi="Times New Roman" w:cs="Times New Roman"/>
          <w:lang w:val="ro-MD"/>
        </w:rPr>
        <w:t>menținut</w:t>
      </w:r>
      <w:r w:rsidR="009D0DB9" w:rsidRPr="000508B6">
        <w:rPr>
          <w:rFonts w:ascii="Times New Roman" w:hAnsi="Times New Roman" w:cs="Times New Roman"/>
          <w:lang w:val="ro-MD"/>
        </w:rPr>
        <w:t xml:space="preserve"> și</w:t>
      </w:r>
      <w:r w:rsidRPr="000508B6">
        <w:rPr>
          <w:rFonts w:ascii="Times New Roman" w:hAnsi="Times New Roman" w:cs="Times New Roman"/>
          <w:lang w:val="ro-MD"/>
        </w:rPr>
        <w:t xml:space="preserve"> după retragerea </w:t>
      </w:r>
      <w:r w:rsidR="00F96BD8" w:rsidRPr="000508B6">
        <w:rPr>
          <w:rFonts w:ascii="Times New Roman" w:hAnsi="Times New Roman" w:cs="Times New Roman"/>
          <w:lang w:val="ro-MD"/>
        </w:rPr>
        <w:t xml:space="preserve">licenței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respectiv după deschiderea </w:t>
      </w:r>
      <w:r w:rsidR="00F96BD8" w:rsidRPr="000508B6">
        <w:rPr>
          <w:rFonts w:ascii="Times New Roman" w:hAnsi="Times New Roman" w:cs="Times New Roman"/>
          <w:lang w:val="ro-MD"/>
        </w:rPr>
        <w:t xml:space="preserve">procedurii </w:t>
      </w:r>
      <w:r w:rsidRPr="000508B6">
        <w:rPr>
          <w:rFonts w:ascii="Times New Roman" w:hAnsi="Times New Roman" w:cs="Times New Roman"/>
          <w:lang w:val="ro-MD"/>
        </w:rPr>
        <w:t xml:space="preserve">de lichidare a </w:t>
      </w:r>
      <w:r w:rsidR="00F96BD8" w:rsidRPr="000508B6">
        <w:rPr>
          <w:rFonts w:ascii="Times New Roman" w:hAnsi="Times New Roman" w:cs="Times New Roman"/>
          <w:lang w:val="ro-MD"/>
        </w:rPr>
        <w:t>acesteia</w:t>
      </w:r>
      <w:r w:rsidRPr="000508B6">
        <w:rPr>
          <w:rFonts w:ascii="Times New Roman" w:hAnsi="Times New Roman" w:cs="Times New Roman"/>
          <w:lang w:val="ro-MD"/>
        </w:rPr>
        <w:t xml:space="preserve">. </w:t>
      </w:r>
      <w:r w:rsidR="00D97F0B" w:rsidRPr="000508B6">
        <w:rPr>
          <w:rFonts w:ascii="Times New Roman" w:hAnsi="Times New Roman" w:cs="Times New Roman"/>
          <w:lang w:val="ro-MD"/>
        </w:rPr>
        <w:t>O</w:t>
      </w:r>
      <w:r w:rsidRPr="000508B6">
        <w:rPr>
          <w:rFonts w:ascii="Times New Roman" w:hAnsi="Times New Roman" w:cs="Times New Roman"/>
          <w:lang w:val="ro-MD"/>
        </w:rPr>
        <w:t xml:space="preserve">rice modificare a </w:t>
      </w:r>
      <w:r w:rsidR="007F6F14" w:rsidRPr="000508B6">
        <w:rPr>
          <w:rFonts w:ascii="Times New Roman" w:hAnsi="Times New Roman" w:cs="Times New Roman"/>
          <w:lang w:val="ro-MD"/>
        </w:rPr>
        <w:t>registrului special</w:t>
      </w:r>
      <w:r w:rsidRPr="000508B6">
        <w:rPr>
          <w:rFonts w:ascii="Times New Roman" w:hAnsi="Times New Roman" w:cs="Times New Roman"/>
          <w:lang w:val="ro-MD"/>
        </w:rPr>
        <w:t xml:space="preserve"> se poate efectua numai cu aprobarea</w:t>
      </w:r>
      <w:r w:rsidR="00D97F0B" w:rsidRPr="000508B6">
        <w:rPr>
          <w:rFonts w:ascii="Times New Roman" w:hAnsi="Times New Roman" w:cs="Times New Roman"/>
          <w:lang w:val="ro-MD"/>
        </w:rPr>
        <w:t>, după caz, a</w:t>
      </w:r>
      <w:r w:rsidRPr="000508B6">
        <w:rPr>
          <w:rFonts w:ascii="Times New Roman" w:hAnsi="Times New Roman" w:cs="Times New Roman"/>
          <w:lang w:val="ro-MD"/>
        </w:rPr>
        <w:t xml:space="preserve"> </w:t>
      </w:r>
      <w:r w:rsidR="007F6F14" w:rsidRPr="000508B6">
        <w:rPr>
          <w:rFonts w:ascii="Times New Roman" w:hAnsi="Times New Roman" w:cs="Times New Roman"/>
          <w:lang w:val="ro-MD"/>
        </w:rPr>
        <w:t xml:space="preserve">Băncii Naționale a Moldovei </w:t>
      </w:r>
      <w:r w:rsidR="00D97F0B" w:rsidRPr="000508B6">
        <w:rPr>
          <w:rFonts w:ascii="Times New Roman" w:hAnsi="Times New Roman" w:cs="Times New Roman"/>
          <w:lang w:val="ro-MD"/>
        </w:rPr>
        <w:t>sau instanței de judecată</w:t>
      </w:r>
      <w:r w:rsidR="007F6F14" w:rsidRPr="000508B6">
        <w:rPr>
          <w:rFonts w:ascii="Times New Roman" w:hAnsi="Times New Roman" w:cs="Times New Roman"/>
          <w:lang w:val="ro-MD"/>
        </w:rPr>
        <w:t xml:space="preserve">, cu excepția corectărilor </w:t>
      </w:r>
      <w:r w:rsidR="005B04C2" w:rsidRPr="000508B6">
        <w:rPr>
          <w:rFonts w:ascii="Times New Roman" w:hAnsi="Times New Roman" w:cs="Times New Roman"/>
          <w:lang w:val="ro-MD"/>
        </w:rPr>
        <w:t xml:space="preserve">erorilor </w:t>
      </w:r>
      <w:r w:rsidR="007F6F14" w:rsidRPr="000508B6">
        <w:rPr>
          <w:rFonts w:ascii="Times New Roman" w:hAnsi="Times New Roman" w:cs="Times New Roman"/>
          <w:lang w:val="ro-MD"/>
        </w:rPr>
        <w:t>pur materiale</w:t>
      </w:r>
      <w:r w:rsidR="003E15FB" w:rsidRPr="000508B6">
        <w:rPr>
          <w:rFonts w:ascii="Times New Roman" w:hAnsi="Times New Roman" w:cs="Times New Roman"/>
          <w:lang w:val="ro-MD"/>
        </w:rPr>
        <w:t>.</w:t>
      </w:r>
      <w:r w:rsidR="00E76E2D" w:rsidRPr="000508B6">
        <w:rPr>
          <w:rFonts w:ascii="Times New Roman" w:hAnsi="Times New Roman" w:cs="Times New Roman"/>
          <w:lang w:val="ro-MD"/>
        </w:rPr>
        <w:t xml:space="preserve"> </w:t>
      </w:r>
    </w:p>
    <w:p w14:paraId="140E1A55" w14:textId="725C3AEE" w:rsidR="00F558C2" w:rsidRPr="000508B6" w:rsidRDefault="00F558C2"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Fără a aduce atingere prevederilor alin. (</w:t>
      </w:r>
      <w:r w:rsidR="00836DFD" w:rsidRPr="000508B6">
        <w:rPr>
          <w:rFonts w:ascii="Times New Roman" w:hAnsi="Times New Roman" w:cs="Times New Roman"/>
          <w:lang w:val="ro-MD"/>
        </w:rPr>
        <w:t>6</w:t>
      </w:r>
      <w:r w:rsidRPr="000508B6">
        <w:rPr>
          <w:rFonts w:ascii="Times New Roman" w:hAnsi="Times New Roman" w:cs="Times New Roman"/>
          <w:lang w:val="ro-MD"/>
        </w:rPr>
        <w:t xml:space="preserve">), la valoarea activelor înscrise în registrele speciale sunt adăugate toate veniturile obținute din fructificarea lor, precum și valoarea primelor încasate între data </w:t>
      </w:r>
      <w:r w:rsidRPr="000508B6">
        <w:rPr>
          <w:rFonts w:ascii="Times New Roman" w:hAnsi="Times New Roman" w:cs="Times New Roman"/>
          <w:lang w:val="ro-MD"/>
        </w:rPr>
        <w:lastRenderedPageBreak/>
        <w:t>retragerii licenței, respectiv data deschiderii procedurii de lichidare, oricare dintre acestea survine prima, și data plății creanțelor de asigurare sau, după caz, cea a transferului de portofoliu.</w:t>
      </w:r>
    </w:p>
    <w:p w14:paraId="7C14EBCB" w14:textId="54360357" w:rsidR="00F558C2" w:rsidRPr="000508B6" w:rsidRDefault="00F558C2"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Dacă </w:t>
      </w:r>
      <w:r w:rsidR="00F56B29" w:rsidRPr="000508B6">
        <w:rPr>
          <w:rFonts w:ascii="Times New Roman" w:hAnsi="Times New Roman" w:cs="Times New Roman"/>
          <w:lang w:val="ro-MD"/>
        </w:rPr>
        <w:t>venitul</w:t>
      </w:r>
      <w:r w:rsidR="00550A56" w:rsidRPr="000508B6">
        <w:rPr>
          <w:rFonts w:ascii="Times New Roman" w:hAnsi="Times New Roman" w:cs="Times New Roman"/>
          <w:lang w:val="ro-MD"/>
        </w:rPr>
        <w:t xml:space="preserve"> obținut din </w:t>
      </w:r>
      <w:r w:rsidRPr="000508B6">
        <w:rPr>
          <w:rFonts w:ascii="Times New Roman" w:hAnsi="Times New Roman" w:cs="Times New Roman"/>
          <w:lang w:val="ro-MD"/>
        </w:rPr>
        <w:t>realiz</w:t>
      </w:r>
      <w:r w:rsidR="00550A56" w:rsidRPr="000508B6">
        <w:rPr>
          <w:rFonts w:ascii="Times New Roman" w:hAnsi="Times New Roman" w:cs="Times New Roman"/>
          <w:lang w:val="ro-MD"/>
        </w:rPr>
        <w:t>area</w:t>
      </w:r>
      <w:r w:rsidRPr="000508B6">
        <w:rPr>
          <w:rFonts w:ascii="Times New Roman" w:hAnsi="Times New Roman" w:cs="Times New Roman"/>
          <w:lang w:val="ro-MD"/>
        </w:rPr>
        <w:t xml:space="preserve"> unor active este mai mic decât valoarea lor estimată în registre, </w:t>
      </w:r>
      <w:r w:rsidR="00F96BD8" w:rsidRPr="000508B6">
        <w:rPr>
          <w:rFonts w:ascii="Times New Roman" w:hAnsi="Times New Roman" w:cs="Times New Roman"/>
          <w:lang w:val="ro-MD"/>
        </w:rPr>
        <w:t xml:space="preserve">lichidatorul </w:t>
      </w:r>
      <w:r w:rsidRPr="000508B6">
        <w:rPr>
          <w:rFonts w:ascii="Times New Roman" w:hAnsi="Times New Roman" w:cs="Times New Roman"/>
          <w:lang w:val="ro-MD"/>
        </w:rPr>
        <w:t xml:space="preserve">furnizează o justificare privind acest lucru </w:t>
      </w:r>
      <w:r w:rsidR="00D97F0B" w:rsidRPr="000508B6">
        <w:rPr>
          <w:rFonts w:ascii="Times New Roman" w:hAnsi="Times New Roman" w:cs="Times New Roman"/>
          <w:lang w:val="ro-MD"/>
        </w:rPr>
        <w:t>instanței de judecată</w:t>
      </w:r>
      <w:r w:rsidRPr="000508B6">
        <w:rPr>
          <w:rFonts w:ascii="Times New Roman" w:hAnsi="Times New Roman" w:cs="Times New Roman"/>
          <w:lang w:val="ro-MD"/>
        </w:rPr>
        <w:t xml:space="preserve">. </w:t>
      </w:r>
    </w:p>
    <w:p w14:paraId="49A6BE6F" w14:textId="14BA9014" w:rsidR="00F558C2" w:rsidRPr="000508B6" w:rsidRDefault="00F558C2" w:rsidP="00CF5AFA">
      <w:pPr>
        <w:pStyle w:val="Listparagraf"/>
        <w:numPr>
          <w:ilvl w:val="1"/>
          <w:numId w:val="19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Răspunderea pentru întocmirea și menținerea registrelor speciale prevăzute la prezentul articol revine organelor de conducere ale </w:t>
      </w:r>
      <w:r w:rsidR="004125E8" w:rsidRPr="000508B6">
        <w:rPr>
          <w:rFonts w:ascii="Times New Roman" w:hAnsi="Times New Roman" w:cs="Times New Roman"/>
          <w:lang w:val="ro-MD"/>
        </w:rPr>
        <w:t>asigurătorului</w:t>
      </w:r>
      <w:r w:rsidRPr="000508B6">
        <w:rPr>
          <w:rFonts w:ascii="Times New Roman" w:hAnsi="Times New Roman" w:cs="Times New Roman"/>
          <w:lang w:val="ro-MD"/>
        </w:rPr>
        <w:t xml:space="preserve">, respectiv persoanelor cu atribuții de administrare a acestora după retragerea </w:t>
      </w:r>
      <w:r w:rsidR="00F96BD8" w:rsidRPr="000508B6">
        <w:rPr>
          <w:rFonts w:ascii="Times New Roman" w:hAnsi="Times New Roman" w:cs="Times New Roman"/>
          <w:lang w:val="ro-MD"/>
        </w:rPr>
        <w:t xml:space="preserve">licenței </w:t>
      </w:r>
      <w:r w:rsidRPr="000508B6">
        <w:rPr>
          <w:rFonts w:ascii="Times New Roman" w:hAnsi="Times New Roman" w:cs="Times New Roman"/>
          <w:lang w:val="ro-MD"/>
        </w:rPr>
        <w:t>sau după deschiderea procedurilor de lichidare, potrivit legii.</w:t>
      </w:r>
      <w:r w:rsidR="005159E5" w:rsidRPr="000508B6">
        <w:rPr>
          <w:rFonts w:ascii="Times New Roman" w:hAnsi="Times New Roman" w:cs="Times New Roman"/>
          <w:lang w:val="ro-MD"/>
        </w:rPr>
        <w:t xml:space="preserve"> </w:t>
      </w:r>
    </w:p>
    <w:p w14:paraId="4749117F" w14:textId="77777777" w:rsidR="007E529F" w:rsidRPr="000508B6" w:rsidRDefault="00F558C2" w:rsidP="00B913DE">
      <w:pPr>
        <w:pStyle w:val="Listparagraf"/>
        <w:numPr>
          <w:ilvl w:val="1"/>
          <w:numId w:val="19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 poate emite acte normative privind registrele speciale prevăzute de prezentul articol, referitoare la structura acestora, modul de evidențiere a valorilor activelor, notificarea creării de sarcini asupra activelor înscrise și alte elemente privind ținerea registrelor.</w:t>
      </w:r>
    </w:p>
    <w:p w14:paraId="1CE4938D" w14:textId="1A7850A5" w:rsidR="00F558C2" w:rsidRPr="000508B6" w:rsidRDefault="00D068AA" w:rsidP="008B3E38">
      <w:pPr>
        <w:pStyle w:val="Listparagraf"/>
        <w:numPr>
          <w:ilvl w:val="1"/>
          <w:numId w:val="192"/>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Asigurătorul</w:t>
      </w:r>
      <w:r w:rsidR="007E529F" w:rsidRPr="000508B6" w:rsidDel="007F6F14">
        <w:rPr>
          <w:rFonts w:ascii="Times New Roman" w:hAnsi="Times New Roman" w:cs="Times New Roman"/>
          <w:lang w:val="ro-MD"/>
        </w:rPr>
        <w:t xml:space="preserve"> </w:t>
      </w:r>
      <w:r w:rsidR="007E529F" w:rsidRPr="000508B6">
        <w:rPr>
          <w:rFonts w:ascii="Times New Roman" w:hAnsi="Times New Roman" w:cs="Times New Roman"/>
          <w:lang w:val="ro-MD"/>
        </w:rPr>
        <w:t>prezintă</w:t>
      </w:r>
      <w:r w:rsidR="00865A93" w:rsidRPr="000508B6">
        <w:rPr>
          <w:rFonts w:ascii="Times New Roman" w:hAnsi="Times New Roman" w:cs="Times New Roman"/>
          <w:lang w:val="ro-MD"/>
        </w:rPr>
        <w:t xml:space="preserve"> </w:t>
      </w:r>
      <w:r w:rsidR="00E35B49" w:rsidRPr="000508B6">
        <w:rPr>
          <w:rFonts w:ascii="Times New Roman" w:hAnsi="Times New Roman" w:cs="Times New Roman"/>
          <w:lang w:val="ro-MD"/>
        </w:rPr>
        <w:t>Băncii Naționale a Moldovei</w:t>
      </w:r>
      <w:r w:rsidR="00BF2544" w:rsidRPr="000508B6">
        <w:rPr>
          <w:rFonts w:ascii="Times New Roman" w:hAnsi="Times New Roman" w:cs="Times New Roman"/>
          <w:lang w:val="ro-MD"/>
        </w:rPr>
        <w:t xml:space="preserve"> </w:t>
      </w:r>
      <w:r w:rsidR="007E529F" w:rsidRPr="000508B6">
        <w:rPr>
          <w:rFonts w:ascii="Times New Roman" w:hAnsi="Times New Roman" w:cs="Times New Roman"/>
          <w:lang w:val="ro-MD"/>
        </w:rPr>
        <w:t xml:space="preserve">registrele speciale prevăzute de prezentul </w:t>
      </w:r>
      <w:r w:rsidR="00865A93" w:rsidRPr="000508B6">
        <w:rPr>
          <w:rFonts w:ascii="Times New Roman" w:hAnsi="Times New Roman" w:cs="Times New Roman"/>
          <w:lang w:val="ro-MD"/>
        </w:rPr>
        <w:t>articol trimestrial până la data de 30 al lunii următoare a perioadei de gestiune, cu excepția celor anuale, care se prezintă până la 28 februarie</w:t>
      </w:r>
      <w:r w:rsidR="007E529F" w:rsidRPr="000508B6">
        <w:rPr>
          <w:rFonts w:ascii="Times New Roman" w:hAnsi="Times New Roman" w:cs="Times New Roman"/>
          <w:lang w:val="ro-MD"/>
        </w:rPr>
        <w:t>.</w:t>
      </w:r>
      <w:r w:rsidR="005159E5" w:rsidRPr="000508B6">
        <w:rPr>
          <w:rFonts w:ascii="Times New Roman" w:hAnsi="Times New Roman" w:cs="Times New Roman"/>
          <w:lang w:val="ro-MD"/>
        </w:rPr>
        <w:t xml:space="preserve"> </w:t>
      </w:r>
    </w:p>
    <w:p w14:paraId="7CA00BC9" w14:textId="77777777" w:rsidR="00CA177A" w:rsidRPr="000508B6" w:rsidRDefault="00CA177A" w:rsidP="00275281">
      <w:pPr>
        <w:tabs>
          <w:tab w:val="left" w:pos="2492"/>
          <w:tab w:val="center" w:pos="4890"/>
        </w:tabs>
        <w:spacing w:after="0" w:line="240" w:lineRule="auto"/>
        <w:ind w:firstLine="426"/>
        <w:jc w:val="center"/>
        <w:rPr>
          <w:rFonts w:ascii="Times New Roman" w:hAnsi="Times New Roman" w:cs="Times New Roman"/>
          <w:b/>
          <w:lang w:val="ro-MD"/>
        </w:rPr>
      </w:pPr>
    </w:p>
    <w:p w14:paraId="4586412C" w14:textId="77777777" w:rsidR="008B3E38" w:rsidRPr="000508B6" w:rsidRDefault="008B3E38" w:rsidP="00275281">
      <w:pPr>
        <w:tabs>
          <w:tab w:val="left" w:pos="2492"/>
          <w:tab w:val="center" w:pos="4890"/>
        </w:tabs>
        <w:spacing w:after="0" w:line="240" w:lineRule="auto"/>
        <w:ind w:firstLine="426"/>
        <w:jc w:val="center"/>
        <w:rPr>
          <w:rFonts w:ascii="Times New Roman" w:hAnsi="Times New Roman" w:cs="Times New Roman"/>
          <w:b/>
          <w:lang w:val="ro-MD"/>
        </w:rPr>
      </w:pPr>
    </w:p>
    <w:p w14:paraId="06B46570" w14:textId="1B29D3A9" w:rsidR="00AC4E00" w:rsidRPr="000508B6" w:rsidRDefault="00AC4E00" w:rsidP="00275281">
      <w:pPr>
        <w:tabs>
          <w:tab w:val="left" w:pos="2492"/>
          <w:tab w:val="center" w:pos="4890"/>
        </w:tabs>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CAPITOLUL </w:t>
      </w:r>
      <w:r w:rsidR="00BA2B7A" w:rsidRPr="000508B6">
        <w:rPr>
          <w:rFonts w:ascii="Times New Roman" w:hAnsi="Times New Roman" w:cs="Times New Roman"/>
          <w:b/>
          <w:lang w:val="ro-MD"/>
        </w:rPr>
        <w:t>I</w:t>
      </w:r>
      <w:r w:rsidR="003767AB" w:rsidRPr="000508B6">
        <w:rPr>
          <w:rFonts w:ascii="Times New Roman" w:hAnsi="Times New Roman" w:cs="Times New Roman"/>
          <w:b/>
          <w:lang w:val="ro-MD"/>
        </w:rPr>
        <w:t>X</w:t>
      </w:r>
    </w:p>
    <w:p w14:paraId="51A42811" w14:textId="436D3D73" w:rsidR="00AC4E00" w:rsidRPr="000508B6" w:rsidRDefault="003767AB" w:rsidP="00AC4E00">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DISPOZIŢII PRIVIND PROCESUL DE SUPRAVEGHERE, COMPETENŢELE ŞI ATRIBUŢIILE BĂNCII NAȚIONALE A MOLDOVEI</w:t>
      </w:r>
      <w:r w:rsidRPr="000508B6" w:rsidDel="0045382F">
        <w:rPr>
          <w:rFonts w:ascii="Times New Roman" w:hAnsi="Times New Roman" w:cs="Times New Roman"/>
          <w:b/>
          <w:lang w:val="ro-MD"/>
        </w:rPr>
        <w:t xml:space="preserve"> </w:t>
      </w:r>
    </w:p>
    <w:p w14:paraId="21A1FEBA" w14:textId="77777777" w:rsidR="00AC4E00" w:rsidRPr="000508B6" w:rsidRDefault="00AC4E00" w:rsidP="00AC4E00">
      <w:pPr>
        <w:spacing w:after="0" w:line="240" w:lineRule="auto"/>
        <w:ind w:firstLine="426"/>
        <w:jc w:val="center"/>
        <w:rPr>
          <w:rFonts w:ascii="Times New Roman" w:hAnsi="Times New Roman" w:cs="Times New Roman"/>
          <w:b/>
          <w:lang w:val="ro-MD"/>
        </w:rPr>
      </w:pPr>
    </w:p>
    <w:p w14:paraId="5EB5E449" w14:textId="77777777" w:rsidR="00AC4E00" w:rsidRPr="000508B6" w:rsidRDefault="00AC4E00" w:rsidP="00AC4E00">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Secțiunea 1</w:t>
      </w:r>
    </w:p>
    <w:p w14:paraId="03039FA3" w14:textId="77777777" w:rsidR="00AC4E00" w:rsidRPr="000508B6" w:rsidRDefault="00AC4E00" w:rsidP="00AC4E00">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Principii generale privind procesul de supraveghere</w:t>
      </w:r>
    </w:p>
    <w:p w14:paraId="24E6D741" w14:textId="66916D52"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3C64FC" w:rsidRPr="000508B6">
        <w:rPr>
          <w:rFonts w:ascii="Times New Roman" w:hAnsi="Times New Roman" w:cs="Times New Roman"/>
          <w:b/>
          <w:lang w:val="ro-MD"/>
        </w:rPr>
        <w:t>169</w:t>
      </w:r>
      <w:r w:rsidRPr="000508B6">
        <w:rPr>
          <w:rFonts w:ascii="Times New Roman" w:hAnsi="Times New Roman" w:cs="Times New Roman"/>
          <w:b/>
          <w:lang w:val="ro-MD"/>
        </w:rPr>
        <w:t>.</w:t>
      </w:r>
      <w:r w:rsidRPr="000508B6">
        <w:rPr>
          <w:rFonts w:ascii="Times New Roman" w:hAnsi="Times New Roman" w:cs="Times New Roman"/>
          <w:lang w:val="ro-MD"/>
        </w:rPr>
        <w:t xml:space="preserve"> Prevederi generale </w:t>
      </w:r>
    </w:p>
    <w:p w14:paraId="46DC9DD9" w14:textId="453B9963" w:rsidR="00AC4E00" w:rsidRPr="000508B6" w:rsidRDefault="00716091" w:rsidP="00B913DE">
      <w:pPr>
        <w:pStyle w:val="Listparagraf"/>
        <w:numPr>
          <w:ilvl w:val="0"/>
          <w:numId w:val="2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 în procesul de supraveghere acționează în mod independent, având obiectivul principal asigurarea protecției asiguraților și a beneficiarilor asigurării, deține competențe de a contribui la menținerea stabilității pieței asigurărilor și de a aplica sancțiuni în conformitate cu legislația aplicabilă domeniului asigurărilor</w:t>
      </w:r>
      <w:r w:rsidR="0077199A" w:rsidRPr="000508B6">
        <w:rPr>
          <w:rFonts w:ascii="Times New Roman" w:hAnsi="Times New Roman" w:cs="Times New Roman"/>
          <w:lang w:val="ro-MD"/>
        </w:rPr>
        <w:t xml:space="preserve">, pentru atingerea acestor obiective, Banca Națională a Moldovei dispune de mijloace adecvate și deține expertiza, capacitatea și competențele necesare. </w:t>
      </w:r>
    </w:p>
    <w:p w14:paraId="18A06161" w14:textId="24E3763C" w:rsidR="00AC4E00" w:rsidRPr="000508B6" w:rsidRDefault="00994351" w:rsidP="00B913DE">
      <w:pPr>
        <w:pStyle w:val="Listparagraf"/>
        <w:numPr>
          <w:ilvl w:val="0"/>
          <w:numId w:val="2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cadrul procesului de supraveghere, Banca Națională a Moldovei</w:t>
      </w:r>
      <w:r w:rsidR="00264EBB" w:rsidRPr="000508B6">
        <w:rPr>
          <w:rFonts w:ascii="Times New Roman" w:hAnsi="Times New Roman" w:cs="Times New Roman"/>
          <w:lang w:val="ro-MD"/>
        </w:rPr>
        <w:t xml:space="preserve"> se bazează pe o abordare prospectivă în funcție de riscuri. Aceasta include verificarea în mod continuu a desfășurării corespunzătoare a activității de asigurare sau de reasigurare și a respectării dispozițiilor de supraveghere de către </w:t>
      </w:r>
      <w:r w:rsidR="00AC4341" w:rsidRPr="000508B6">
        <w:rPr>
          <w:rFonts w:ascii="Times New Roman" w:hAnsi="Times New Roman" w:cs="Times New Roman"/>
          <w:lang w:val="ro-MD"/>
        </w:rPr>
        <w:t xml:space="preserve">asigurători sau </w:t>
      </w:r>
      <w:proofErr w:type="spellStart"/>
      <w:r w:rsidR="00AC4341" w:rsidRPr="000508B6">
        <w:rPr>
          <w:rFonts w:ascii="Times New Roman" w:hAnsi="Times New Roman" w:cs="Times New Roman"/>
          <w:lang w:val="ro-MD"/>
        </w:rPr>
        <w:t>reasigurători</w:t>
      </w:r>
      <w:proofErr w:type="spellEnd"/>
      <w:r w:rsidR="00264EBB" w:rsidRPr="000508B6">
        <w:rPr>
          <w:rFonts w:ascii="Times New Roman" w:hAnsi="Times New Roman" w:cs="Times New Roman"/>
          <w:lang w:val="ro-MD"/>
        </w:rPr>
        <w:t>.</w:t>
      </w:r>
      <w:r w:rsidR="00BF3DED" w:rsidRPr="000508B6">
        <w:rPr>
          <w:rFonts w:ascii="Times New Roman" w:hAnsi="Times New Roman" w:cs="Times New Roman"/>
          <w:lang w:val="ro-MD"/>
        </w:rPr>
        <w:t xml:space="preserve"> </w:t>
      </w:r>
      <w:r w:rsidR="00803699" w:rsidRPr="000508B6">
        <w:rPr>
          <w:rFonts w:ascii="Times New Roman" w:hAnsi="Times New Roman" w:cs="Times New Roman"/>
          <w:lang w:val="ro-MD"/>
        </w:rPr>
        <w:t xml:space="preserve">Banca Națională </w:t>
      </w:r>
      <w:r w:rsidR="003C358C" w:rsidRPr="000508B6">
        <w:rPr>
          <w:rFonts w:ascii="Times New Roman" w:hAnsi="Times New Roman" w:cs="Times New Roman"/>
          <w:lang w:val="ro-MD"/>
        </w:rPr>
        <w:t>a Moldovei</w:t>
      </w:r>
      <w:r w:rsidR="00803699" w:rsidRPr="000508B6">
        <w:rPr>
          <w:rFonts w:ascii="Times New Roman" w:hAnsi="Times New Roman" w:cs="Times New Roman"/>
          <w:lang w:val="ro-MD"/>
        </w:rPr>
        <w:t xml:space="preserve"> se asigură că aplică prevederile prezentei legi într-un mod proporțional cu natura, amploarea și complexitatea riscurilor inerente activității </w:t>
      </w:r>
      <w:r w:rsidR="00AC4341" w:rsidRPr="000508B6">
        <w:rPr>
          <w:rFonts w:ascii="Times New Roman" w:hAnsi="Times New Roman" w:cs="Times New Roman"/>
          <w:lang w:val="ro-MD"/>
        </w:rPr>
        <w:t xml:space="preserve">unui asigurător sau </w:t>
      </w:r>
      <w:proofErr w:type="spellStart"/>
      <w:r w:rsidR="00AC4341" w:rsidRPr="000508B6">
        <w:rPr>
          <w:rFonts w:ascii="Times New Roman" w:hAnsi="Times New Roman" w:cs="Times New Roman"/>
          <w:lang w:val="ro-MD"/>
        </w:rPr>
        <w:t>reasigurător</w:t>
      </w:r>
      <w:proofErr w:type="spellEnd"/>
      <w:r w:rsidR="00803699" w:rsidRPr="000508B6">
        <w:rPr>
          <w:rFonts w:ascii="Times New Roman" w:hAnsi="Times New Roman" w:cs="Times New Roman"/>
          <w:lang w:val="ro-MD"/>
        </w:rPr>
        <w:t xml:space="preserve">, în special în ceea ce privește </w:t>
      </w:r>
      <w:r w:rsidR="004125E8" w:rsidRPr="000508B6" w:rsidDel="006A4C15">
        <w:rPr>
          <w:rFonts w:ascii="Times New Roman" w:hAnsi="Times New Roman" w:cs="Times New Roman"/>
          <w:lang w:val="ro-MD"/>
        </w:rPr>
        <w:t>asigurătorul</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reasigurătorul</w:t>
      </w:r>
      <w:proofErr w:type="spellEnd"/>
      <w:r w:rsidR="00803699" w:rsidRPr="000508B6">
        <w:rPr>
          <w:rFonts w:ascii="Times New Roman" w:hAnsi="Times New Roman" w:cs="Times New Roman"/>
          <w:lang w:val="ro-MD"/>
        </w:rPr>
        <w:t xml:space="preserve"> </w:t>
      </w:r>
      <w:r w:rsidR="00AC4341" w:rsidRPr="000508B6">
        <w:rPr>
          <w:rFonts w:ascii="Times New Roman" w:hAnsi="Times New Roman" w:cs="Times New Roman"/>
          <w:lang w:val="ro-MD"/>
        </w:rPr>
        <w:t xml:space="preserve">încadrat în categoria asigurător sau </w:t>
      </w:r>
      <w:proofErr w:type="spellStart"/>
      <w:r w:rsidR="00AC4341" w:rsidRPr="000508B6">
        <w:rPr>
          <w:rFonts w:ascii="Times New Roman" w:hAnsi="Times New Roman" w:cs="Times New Roman"/>
          <w:lang w:val="ro-MD"/>
        </w:rPr>
        <w:t>reasigurător</w:t>
      </w:r>
      <w:proofErr w:type="spellEnd"/>
      <w:r w:rsidR="00714835" w:rsidRPr="000508B6">
        <w:rPr>
          <w:rFonts w:ascii="Times New Roman" w:hAnsi="Times New Roman" w:cs="Times New Roman"/>
          <w:lang w:val="ro-MD"/>
        </w:rPr>
        <w:t xml:space="preserve"> </w:t>
      </w:r>
      <w:r w:rsidR="00803699" w:rsidRPr="000508B6">
        <w:rPr>
          <w:rFonts w:ascii="Times New Roman" w:hAnsi="Times New Roman" w:cs="Times New Roman"/>
          <w:lang w:val="ro-MD"/>
        </w:rPr>
        <w:t xml:space="preserve">mic și cu un grad redus de complexitate.  </w:t>
      </w:r>
    </w:p>
    <w:p w14:paraId="5BC48E05" w14:textId="1343A37C" w:rsidR="00AC4E00" w:rsidRPr="000508B6" w:rsidRDefault="007C1359" w:rsidP="00AE7506">
      <w:pPr>
        <w:pStyle w:val="Listparagraf"/>
        <w:numPr>
          <w:ilvl w:val="0"/>
          <w:numId w:val="2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w:t>
      </w:r>
      <w:r w:rsidR="00ED5322" w:rsidRPr="000508B6">
        <w:rPr>
          <w:rFonts w:ascii="Times New Roman" w:hAnsi="Times New Roman" w:cs="Times New Roman"/>
          <w:lang w:val="ro-MD"/>
        </w:rPr>
        <w:t xml:space="preserve">prevederilor </w:t>
      </w:r>
      <w:r w:rsidRPr="000508B6">
        <w:rPr>
          <w:rFonts w:ascii="Times New Roman" w:hAnsi="Times New Roman" w:cs="Times New Roman"/>
          <w:lang w:val="ro-MD"/>
        </w:rPr>
        <w:t xml:space="preserve">alin. (1), </w:t>
      </w:r>
      <w:r w:rsidR="00AC4E00" w:rsidRPr="000508B6">
        <w:rPr>
          <w:rFonts w:ascii="Times New Roman" w:hAnsi="Times New Roman" w:cs="Times New Roman"/>
          <w:lang w:val="ro-MD"/>
        </w:rPr>
        <w:t xml:space="preserve">Banca Națională a Moldovei </w:t>
      </w:r>
      <w:r w:rsidRPr="000508B6">
        <w:rPr>
          <w:rFonts w:ascii="Times New Roman" w:hAnsi="Times New Roman" w:cs="Times New Roman"/>
          <w:lang w:val="ro-MD"/>
        </w:rPr>
        <w:t xml:space="preserve">în exercitarea atribuțiilor sale generale, </w:t>
      </w:r>
      <w:r w:rsidR="00AC4E00" w:rsidRPr="000508B6">
        <w:rPr>
          <w:rFonts w:ascii="Times New Roman" w:hAnsi="Times New Roman" w:cs="Times New Roman"/>
          <w:lang w:val="ro-MD"/>
        </w:rPr>
        <w:t xml:space="preserve">ia în considerare, în mod adecvat, impactul </w:t>
      </w:r>
      <w:proofErr w:type="spellStart"/>
      <w:r w:rsidR="00AC4E00" w:rsidRPr="000508B6">
        <w:rPr>
          <w:rFonts w:ascii="Times New Roman" w:hAnsi="Times New Roman" w:cs="Times New Roman"/>
          <w:lang w:val="ro-MD"/>
        </w:rPr>
        <w:t>potenţial</w:t>
      </w:r>
      <w:proofErr w:type="spellEnd"/>
      <w:r w:rsidR="00AC4E00" w:rsidRPr="000508B6">
        <w:rPr>
          <w:rFonts w:ascii="Times New Roman" w:hAnsi="Times New Roman" w:cs="Times New Roman"/>
          <w:lang w:val="ro-MD"/>
        </w:rPr>
        <w:t xml:space="preserve"> al deciziilor adoptate asupra </w:t>
      </w:r>
      <w:proofErr w:type="spellStart"/>
      <w:r w:rsidR="00AC4E00" w:rsidRPr="000508B6">
        <w:rPr>
          <w:rFonts w:ascii="Times New Roman" w:hAnsi="Times New Roman" w:cs="Times New Roman"/>
          <w:lang w:val="ro-MD"/>
        </w:rPr>
        <w:t>stabilităţii</w:t>
      </w:r>
      <w:proofErr w:type="spellEnd"/>
      <w:r w:rsidR="00AC4E00" w:rsidRPr="000508B6">
        <w:rPr>
          <w:rFonts w:ascii="Times New Roman" w:hAnsi="Times New Roman" w:cs="Times New Roman"/>
          <w:lang w:val="ro-MD"/>
        </w:rPr>
        <w:t xml:space="preserve"> </w:t>
      </w:r>
      <w:r w:rsidR="009D7BBF" w:rsidRPr="000508B6">
        <w:rPr>
          <w:rFonts w:ascii="Times New Roman" w:hAnsi="Times New Roman" w:cs="Times New Roman"/>
          <w:lang w:val="ro-MD"/>
        </w:rPr>
        <w:t xml:space="preserve">sistemului </w:t>
      </w:r>
      <w:r w:rsidR="00AC4E00" w:rsidRPr="000508B6">
        <w:rPr>
          <w:rFonts w:ascii="Times New Roman" w:hAnsi="Times New Roman" w:cs="Times New Roman"/>
          <w:lang w:val="ro-MD"/>
        </w:rPr>
        <w:t xml:space="preserve">financiar din </w:t>
      </w:r>
      <w:r w:rsidR="00EE1C67" w:rsidRPr="000508B6">
        <w:rPr>
          <w:rFonts w:ascii="Times New Roman" w:hAnsi="Times New Roman" w:cs="Times New Roman"/>
          <w:lang w:val="ro-MD"/>
        </w:rPr>
        <w:t>Republica Moldova și</w:t>
      </w:r>
      <w:r w:rsidR="00AC4E00" w:rsidRPr="000508B6">
        <w:rPr>
          <w:rFonts w:ascii="Times New Roman" w:hAnsi="Times New Roman" w:cs="Times New Roman"/>
          <w:lang w:val="ro-MD"/>
        </w:rPr>
        <w:t xml:space="preserve"> din statele membre</w:t>
      </w:r>
      <w:r w:rsidRPr="000508B6">
        <w:rPr>
          <w:rFonts w:ascii="Times New Roman" w:hAnsi="Times New Roman" w:cs="Times New Roman"/>
          <w:lang w:val="ro-MD"/>
        </w:rPr>
        <w:t>,</w:t>
      </w:r>
      <w:r w:rsidR="00AC4E00" w:rsidRPr="000508B6">
        <w:rPr>
          <w:rFonts w:ascii="Times New Roman" w:hAnsi="Times New Roman" w:cs="Times New Roman"/>
          <w:lang w:val="ro-MD"/>
        </w:rPr>
        <w:t xml:space="preserve"> în special în </w:t>
      </w:r>
      <w:proofErr w:type="spellStart"/>
      <w:r w:rsidR="00AC4E00" w:rsidRPr="000508B6">
        <w:rPr>
          <w:rFonts w:ascii="Times New Roman" w:hAnsi="Times New Roman" w:cs="Times New Roman"/>
          <w:lang w:val="ro-MD"/>
        </w:rPr>
        <w:t>situaţii</w:t>
      </w:r>
      <w:proofErr w:type="spellEnd"/>
      <w:r w:rsidR="00AC4E00" w:rsidRPr="000508B6">
        <w:rPr>
          <w:rFonts w:ascii="Times New Roman" w:hAnsi="Times New Roman" w:cs="Times New Roman"/>
          <w:lang w:val="ro-MD"/>
        </w:rPr>
        <w:t xml:space="preserve"> de </w:t>
      </w:r>
      <w:proofErr w:type="spellStart"/>
      <w:r w:rsidR="00AC4E00" w:rsidRPr="000508B6">
        <w:rPr>
          <w:rFonts w:ascii="Times New Roman" w:hAnsi="Times New Roman" w:cs="Times New Roman"/>
          <w:lang w:val="ro-MD"/>
        </w:rPr>
        <w:t>urgenţă</w:t>
      </w:r>
      <w:proofErr w:type="spellEnd"/>
      <w:r w:rsidR="00AC4E00" w:rsidRPr="000508B6">
        <w:rPr>
          <w:rFonts w:ascii="Times New Roman" w:hAnsi="Times New Roman" w:cs="Times New Roman"/>
          <w:lang w:val="ro-MD"/>
        </w:rPr>
        <w:t xml:space="preserve">, </w:t>
      </w:r>
      <w:r w:rsidRPr="000508B6">
        <w:rPr>
          <w:rFonts w:ascii="Times New Roman" w:hAnsi="Times New Roman" w:cs="Times New Roman"/>
          <w:lang w:val="ro-MD"/>
        </w:rPr>
        <w:t>ținând seama de informațiile disponibile la momentul respectiv.</w:t>
      </w:r>
      <w:r w:rsidR="00AC4E00" w:rsidRPr="000508B6">
        <w:rPr>
          <w:rFonts w:ascii="Times New Roman" w:hAnsi="Times New Roman" w:cs="Times New Roman"/>
          <w:lang w:val="ro-MD"/>
        </w:rPr>
        <w:t xml:space="preserve"> </w:t>
      </w:r>
    </w:p>
    <w:p w14:paraId="1E89301B" w14:textId="2E306FF4" w:rsidR="00AC4E00" w:rsidRPr="000508B6" w:rsidRDefault="00191FC8" w:rsidP="006B7568">
      <w:pPr>
        <w:pStyle w:val="Listparagraf"/>
        <w:numPr>
          <w:ilvl w:val="0"/>
          <w:numId w:val="2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perioadele de perturbări excepționale ale piețelor financiare, Banca Națională a Moldovei ține seama de posibilele efecte </w:t>
      </w:r>
      <w:proofErr w:type="spellStart"/>
      <w:r w:rsidRPr="000508B6">
        <w:rPr>
          <w:rFonts w:ascii="Times New Roman" w:hAnsi="Times New Roman" w:cs="Times New Roman"/>
          <w:lang w:val="ro-MD"/>
        </w:rPr>
        <w:t>prociclice</w:t>
      </w:r>
      <w:proofErr w:type="spellEnd"/>
      <w:r w:rsidRPr="000508B6">
        <w:rPr>
          <w:rFonts w:ascii="Times New Roman" w:hAnsi="Times New Roman" w:cs="Times New Roman"/>
          <w:lang w:val="ro-MD"/>
        </w:rPr>
        <w:t xml:space="preserve"> ale acțiunilor </w:t>
      </w:r>
      <w:r w:rsidR="00F66B3F" w:rsidRPr="000508B6">
        <w:rPr>
          <w:rFonts w:ascii="Times New Roman" w:hAnsi="Times New Roman" w:cs="Times New Roman"/>
          <w:lang w:val="ro-MD"/>
        </w:rPr>
        <w:t>sale</w:t>
      </w:r>
      <w:r w:rsidRPr="000508B6" w:rsidDel="00336A34">
        <w:rPr>
          <w:rFonts w:ascii="Times New Roman" w:hAnsi="Times New Roman" w:cs="Times New Roman"/>
          <w:lang w:val="ro-MD"/>
        </w:rPr>
        <w:t>.</w:t>
      </w:r>
    </w:p>
    <w:p w14:paraId="100750EE" w14:textId="4A22ABC6" w:rsidR="00AC4E00" w:rsidRPr="000508B6" w:rsidRDefault="00AC4E00" w:rsidP="00B913DE">
      <w:pPr>
        <w:pStyle w:val="Listparagraf"/>
        <w:numPr>
          <w:ilvl w:val="0"/>
          <w:numId w:val="2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cadrul procesului de supraveghere, Banca Națională a Moldovei verifică raportările periodice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suplimentare transmise de </w:t>
      </w:r>
      <w:r w:rsidR="00AC4341" w:rsidRPr="000508B6">
        <w:rPr>
          <w:rFonts w:ascii="Times New Roman" w:hAnsi="Times New Roman" w:cs="Times New Roman"/>
          <w:lang w:val="ro-MD"/>
        </w:rPr>
        <w:t xml:space="preserve">asigurător sau </w:t>
      </w:r>
      <w:proofErr w:type="spellStart"/>
      <w:r w:rsidR="00AC4341" w:rsidRPr="000508B6">
        <w:rPr>
          <w:rFonts w:ascii="Times New Roman" w:hAnsi="Times New Roman" w:cs="Times New Roman"/>
          <w:lang w:val="ro-MD"/>
        </w:rPr>
        <w:t>reasigurător</w:t>
      </w:r>
      <w:proofErr w:type="spellEnd"/>
      <w:r w:rsidR="00AC4341"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efectuează </w:t>
      </w:r>
      <w:r w:rsidR="00A0704E" w:rsidRPr="000508B6">
        <w:rPr>
          <w:rFonts w:ascii="Times New Roman" w:hAnsi="Times New Roman" w:cs="Times New Roman"/>
          <w:lang w:val="ro-MD"/>
        </w:rPr>
        <w:t>activități la distanță</w:t>
      </w:r>
      <w:r w:rsidR="00A52706" w:rsidRPr="000508B6">
        <w:rPr>
          <w:rFonts w:ascii="Times New Roman" w:hAnsi="Times New Roman" w:cs="Times New Roman"/>
          <w:lang w:val="ro-MD"/>
        </w:rPr>
        <w:t xml:space="preserve"> și controale</w:t>
      </w:r>
      <w:r w:rsidR="00A35DD9" w:rsidRPr="000508B6">
        <w:rPr>
          <w:rFonts w:ascii="Times New Roman" w:hAnsi="Times New Roman" w:cs="Times New Roman"/>
          <w:lang w:val="ro-MD"/>
        </w:rPr>
        <w:t>, inclusiv cu inspecții pe teren</w:t>
      </w:r>
      <w:r w:rsidR="00A0704E" w:rsidRPr="000508B6">
        <w:rPr>
          <w:rFonts w:ascii="Times New Roman" w:hAnsi="Times New Roman" w:cs="Times New Roman"/>
          <w:lang w:val="ro-MD"/>
        </w:rPr>
        <w:t>.</w:t>
      </w:r>
      <w:r w:rsidRPr="000508B6">
        <w:rPr>
          <w:rFonts w:ascii="Times New Roman" w:hAnsi="Times New Roman" w:cs="Times New Roman"/>
          <w:lang w:val="ro-MD"/>
        </w:rPr>
        <w:t xml:space="preserve"> </w:t>
      </w:r>
    </w:p>
    <w:p w14:paraId="03B87B21" w14:textId="5A996774" w:rsidR="00AC4E00" w:rsidRPr="000508B6" w:rsidRDefault="00AC4E00" w:rsidP="00B913DE">
      <w:pPr>
        <w:pStyle w:val="Listparagraf"/>
        <w:numPr>
          <w:ilvl w:val="0"/>
          <w:numId w:val="27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are mandat la nivelul Uniunii Europene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exercitarea </w:t>
      </w:r>
      <w:proofErr w:type="spellStart"/>
      <w:r w:rsidRPr="000508B6">
        <w:rPr>
          <w:rFonts w:ascii="Times New Roman" w:hAnsi="Times New Roman" w:cs="Times New Roman"/>
          <w:lang w:val="ro-MD"/>
        </w:rPr>
        <w:t>competenţelor</w:t>
      </w:r>
      <w:proofErr w:type="spellEnd"/>
      <w:r w:rsidRPr="000508B6">
        <w:rPr>
          <w:rFonts w:ascii="Times New Roman" w:hAnsi="Times New Roman" w:cs="Times New Roman"/>
          <w:lang w:val="ro-MD"/>
        </w:rPr>
        <w:t xml:space="preserve"> sale, </w:t>
      </w:r>
      <w:r w:rsidR="00AD5629" w:rsidRPr="000508B6">
        <w:rPr>
          <w:rFonts w:ascii="Times New Roman" w:hAnsi="Times New Roman" w:cs="Times New Roman"/>
          <w:lang w:val="ro-MD"/>
        </w:rPr>
        <w:t xml:space="preserve">ține seama de </w:t>
      </w:r>
      <w:proofErr w:type="spellStart"/>
      <w:r w:rsidRPr="000508B6">
        <w:rPr>
          <w:rFonts w:ascii="Times New Roman" w:hAnsi="Times New Roman" w:cs="Times New Roman"/>
          <w:lang w:val="ro-MD"/>
        </w:rPr>
        <w:t>convergenţa</w:t>
      </w:r>
      <w:proofErr w:type="spellEnd"/>
      <w:r w:rsidRPr="000508B6">
        <w:rPr>
          <w:rFonts w:ascii="Times New Roman" w:hAnsi="Times New Roman" w:cs="Times New Roman"/>
          <w:lang w:val="ro-MD"/>
        </w:rPr>
        <w:t xml:space="preserve"> practicilor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instrumentelor de supraveghere în aplicarea legii, </w:t>
      </w:r>
      <w:r w:rsidR="00CB569E" w:rsidRPr="000508B6">
        <w:rPr>
          <w:rFonts w:ascii="Times New Roman" w:hAnsi="Times New Roman" w:cs="Times New Roman"/>
          <w:lang w:val="ro-MD"/>
        </w:rPr>
        <w:t xml:space="preserve">actelor normative </w:t>
      </w:r>
      <w:r w:rsidRPr="000508B6">
        <w:rPr>
          <w:rFonts w:ascii="Times New Roman" w:hAnsi="Times New Roman" w:cs="Times New Roman"/>
          <w:lang w:val="ro-MD"/>
        </w:rPr>
        <w:t xml:space="preserve">adoptate în domeniul asigurărilor la nivel </w:t>
      </w:r>
      <w:proofErr w:type="spellStart"/>
      <w:r w:rsidRPr="000508B6">
        <w:rPr>
          <w:rFonts w:ascii="Times New Roman" w:hAnsi="Times New Roman" w:cs="Times New Roman"/>
          <w:lang w:val="ro-MD"/>
        </w:rPr>
        <w:t>naţional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la nivelul statelor membre.</w:t>
      </w:r>
      <w:r w:rsidRPr="000508B6">
        <w:rPr>
          <w:rFonts w:ascii="Times New Roman" w:hAnsi="Times New Roman" w:cs="Times New Roman"/>
          <w:i/>
          <w:color w:val="FF0000"/>
          <w:lang w:val="ro-MD"/>
        </w:rPr>
        <w:t xml:space="preserve"> </w:t>
      </w:r>
    </w:p>
    <w:p w14:paraId="7145DB11" w14:textId="4918E1C0" w:rsidR="00AC4E00" w:rsidRPr="000508B6" w:rsidRDefault="00593852" w:rsidP="00B913DE">
      <w:pPr>
        <w:pStyle w:val="Listparagraf"/>
        <w:numPr>
          <w:ilvl w:val="0"/>
          <w:numId w:val="27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AC4E00" w:rsidRPr="000508B6">
        <w:rPr>
          <w:rFonts w:ascii="Times New Roman" w:eastAsia="Times New Roman" w:hAnsi="Times New Roman" w:cs="Times New Roman"/>
          <w:lang w:val="ro-MD"/>
        </w:rPr>
        <w:t xml:space="preserve"> care </w:t>
      </w:r>
      <w:proofErr w:type="spellStart"/>
      <w:r w:rsidR="00AC4E00" w:rsidRPr="000508B6">
        <w:rPr>
          <w:rFonts w:ascii="Times New Roman" w:eastAsia="Times New Roman" w:hAnsi="Times New Roman" w:cs="Times New Roman"/>
          <w:lang w:val="ro-MD"/>
        </w:rPr>
        <w:t>intenţionează</w:t>
      </w:r>
      <w:proofErr w:type="spellEnd"/>
      <w:r w:rsidR="00AC4E00" w:rsidRPr="000508B6">
        <w:rPr>
          <w:rFonts w:ascii="Times New Roman" w:eastAsia="Times New Roman" w:hAnsi="Times New Roman" w:cs="Times New Roman"/>
          <w:lang w:val="ro-MD"/>
        </w:rPr>
        <w:t xml:space="preserve"> să </w:t>
      </w:r>
      <w:proofErr w:type="spellStart"/>
      <w:r w:rsidR="00AC4E00" w:rsidRPr="000508B6">
        <w:rPr>
          <w:rFonts w:ascii="Times New Roman" w:eastAsia="Times New Roman" w:hAnsi="Times New Roman" w:cs="Times New Roman"/>
          <w:lang w:val="ro-MD"/>
        </w:rPr>
        <w:t>desfăşoare</w:t>
      </w:r>
      <w:proofErr w:type="spellEnd"/>
      <w:r w:rsidR="00AC4E00" w:rsidRPr="000508B6">
        <w:rPr>
          <w:rFonts w:ascii="Times New Roman" w:eastAsia="Times New Roman" w:hAnsi="Times New Roman" w:cs="Times New Roman"/>
          <w:lang w:val="ro-MD"/>
        </w:rPr>
        <w:t xml:space="preserve"> </w:t>
      </w:r>
      <w:proofErr w:type="spellStart"/>
      <w:r w:rsidR="00AC4E00" w:rsidRPr="000508B6">
        <w:rPr>
          <w:rFonts w:ascii="Times New Roman" w:eastAsia="Times New Roman" w:hAnsi="Times New Roman" w:cs="Times New Roman"/>
          <w:lang w:val="ro-MD"/>
        </w:rPr>
        <w:t>activităţi</w:t>
      </w:r>
      <w:proofErr w:type="spellEnd"/>
      <w:r w:rsidR="00AC4E00" w:rsidRPr="000508B6">
        <w:rPr>
          <w:rFonts w:ascii="Times New Roman" w:eastAsia="Times New Roman" w:hAnsi="Times New Roman" w:cs="Times New Roman"/>
          <w:lang w:val="ro-MD"/>
        </w:rPr>
        <w:t xml:space="preserve"> pe teritoriul Republicii Moldova în baza dreptului de stabilire sau a </w:t>
      </w:r>
      <w:proofErr w:type="spellStart"/>
      <w:r w:rsidR="00AC4E00" w:rsidRPr="000508B6">
        <w:rPr>
          <w:rFonts w:ascii="Times New Roman" w:eastAsia="Times New Roman" w:hAnsi="Times New Roman" w:cs="Times New Roman"/>
          <w:lang w:val="ro-MD"/>
        </w:rPr>
        <w:t>libertăţii</w:t>
      </w:r>
      <w:proofErr w:type="spellEnd"/>
      <w:r w:rsidR="00AC4E00" w:rsidRPr="000508B6">
        <w:rPr>
          <w:rFonts w:ascii="Times New Roman" w:eastAsia="Times New Roman" w:hAnsi="Times New Roman" w:cs="Times New Roman"/>
          <w:lang w:val="ro-MD"/>
        </w:rPr>
        <w:t xml:space="preserve"> de a presta servicii transmite </w:t>
      </w:r>
      <w:r w:rsidR="00B845D2" w:rsidRPr="000508B6">
        <w:rPr>
          <w:rFonts w:ascii="Times New Roman" w:eastAsia="Times New Roman" w:hAnsi="Times New Roman" w:cs="Times New Roman"/>
          <w:lang w:val="ro-MD"/>
        </w:rPr>
        <w:t>la solicitarea</w:t>
      </w:r>
      <w:r w:rsidR="00AC4E00" w:rsidRPr="000508B6">
        <w:rPr>
          <w:rFonts w:ascii="Times New Roman" w:eastAsia="Times New Roman" w:hAnsi="Times New Roman" w:cs="Times New Roman"/>
          <w:lang w:val="ro-MD"/>
        </w:rPr>
        <w:t xml:space="preserve"> </w:t>
      </w:r>
      <w:r w:rsidR="004030E2" w:rsidRPr="000508B6">
        <w:rPr>
          <w:rFonts w:ascii="Times New Roman" w:hAnsi="Times New Roman" w:cs="Times New Roman"/>
          <w:lang w:val="ro-MD"/>
        </w:rPr>
        <w:t xml:space="preserve">Băncii Naționale a Moldovei și </w:t>
      </w:r>
      <w:r w:rsidR="00AE7506" w:rsidRPr="000508B6">
        <w:rPr>
          <w:rFonts w:ascii="Times New Roman" w:hAnsi="Times New Roman" w:cs="Times New Roman"/>
          <w:lang w:val="ro-MD"/>
        </w:rPr>
        <w:t>a CNPF</w:t>
      </w:r>
      <w:r w:rsidR="004030E2" w:rsidRPr="000508B6">
        <w:rPr>
          <w:rFonts w:ascii="Times New Roman" w:hAnsi="Times New Roman" w:cs="Times New Roman"/>
          <w:lang w:val="ro-MD"/>
        </w:rPr>
        <w:t xml:space="preserve"> </w:t>
      </w:r>
      <w:proofErr w:type="spellStart"/>
      <w:r w:rsidR="00AC4E00" w:rsidRPr="000508B6">
        <w:rPr>
          <w:rFonts w:ascii="Times New Roman" w:eastAsia="Times New Roman" w:hAnsi="Times New Roman" w:cs="Times New Roman"/>
          <w:lang w:val="ro-MD"/>
        </w:rPr>
        <w:t>condiţiile</w:t>
      </w:r>
      <w:proofErr w:type="spellEnd"/>
      <w:r w:rsidR="00AC4E00" w:rsidRPr="000508B6">
        <w:rPr>
          <w:rFonts w:ascii="Times New Roman" w:eastAsia="Times New Roman" w:hAnsi="Times New Roman" w:cs="Times New Roman"/>
          <w:lang w:val="ro-MD"/>
        </w:rPr>
        <w:t xml:space="preserve"> de asigurare </w:t>
      </w:r>
      <w:proofErr w:type="spellStart"/>
      <w:r w:rsidR="00AC4E00" w:rsidRPr="000508B6">
        <w:rPr>
          <w:rFonts w:ascii="Times New Roman" w:eastAsia="Times New Roman" w:hAnsi="Times New Roman" w:cs="Times New Roman"/>
          <w:lang w:val="ro-MD"/>
        </w:rPr>
        <w:t>şi</w:t>
      </w:r>
      <w:proofErr w:type="spellEnd"/>
      <w:r w:rsidR="00AC4E00" w:rsidRPr="000508B6">
        <w:rPr>
          <w:rFonts w:ascii="Times New Roman" w:eastAsia="Times New Roman" w:hAnsi="Times New Roman" w:cs="Times New Roman"/>
          <w:lang w:val="ro-MD"/>
        </w:rPr>
        <w:t xml:space="preserve"> alte documente, în scopul verificării respectării </w:t>
      </w:r>
      <w:proofErr w:type="spellStart"/>
      <w:r w:rsidR="00AC4E00" w:rsidRPr="000508B6">
        <w:rPr>
          <w:rFonts w:ascii="Times New Roman" w:eastAsia="Times New Roman" w:hAnsi="Times New Roman" w:cs="Times New Roman"/>
          <w:lang w:val="ro-MD"/>
        </w:rPr>
        <w:t>dispoziţiilor</w:t>
      </w:r>
      <w:proofErr w:type="spellEnd"/>
      <w:r w:rsidR="00AC4E00" w:rsidRPr="000508B6">
        <w:rPr>
          <w:rFonts w:ascii="Times New Roman" w:eastAsia="Times New Roman" w:hAnsi="Times New Roman" w:cs="Times New Roman"/>
          <w:lang w:val="ro-MD"/>
        </w:rPr>
        <w:t xml:space="preserve"> </w:t>
      </w:r>
      <w:proofErr w:type="spellStart"/>
      <w:r w:rsidR="00AC4E00" w:rsidRPr="000508B6">
        <w:rPr>
          <w:rFonts w:ascii="Times New Roman" w:eastAsia="Times New Roman" w:hAnsi="Times New Roman" w:cs="Times New Roman"/>
          <w:lang w:val="ro-MD"/>
        </w:rPr>
        <w:t>legislaţiei</w:t>
      </w:r>
      <w:proofErr w:type="spellEnd"/>
      <w:r w:rsidR="00AC4E00" w:rsidRPr="000508B6">
        <w:rPr>
          <w:rFonts w:ascii="Times New Roman" w:eastAsia="Times New Roman" w:hAnsi="Times New Roman" w:cs="Times New Roman"/>
          <w:lang w:val="ro-MD"/>
        </w:rPr>
        <w:t xml:space="preserve"> </w:t>
      </w:r>
      <w:proofErr w:type="spellStart"/>
      <w:r w:rsidR="00AC4E00" w:rsidRPr="000508B6">
        <w:rPr>
          <w:rFonts w:ascii="Times New Roman" w:eastAsia="Times New Roman" w:hAnsi="Times New Roman" w:cs="Times New Roman"/>
          <w:lang w:val="ro-MD"/>
        </w:rPr>
        <w:t>naţionale</w:t>
      </w:r>
      <w:proofErr w:type="spellEnd"/>
      <w:r w:rsidR="00AC4E00" w:rsidRPr="000508B6">
        <w:rPr>
          <w:rFonts w:ascii="Times New Roman" w:eastAsia="Times New Roman" w:hAnsi="Times New Roman" w:cs="Times New Roman"/>
          <w:lang w:val="ro-MD"/>
        </w:rPr>
        <w:t xml:space="preserve"> referitoare la contractul de asigurare. </w:t>
      </w:r>
    </w:p>
    <w:p w14:paraId="12DCE324" w14:textId="77777777" w:rsidR="00DB00E7" w:rsidRPr="000508B6" w:rsidRDefault="00DB00E7" w:rsidP="000A7105">
      <w:pPr>
        <w:spacing w:after="0" w:line="240" w:lineRule="auto"/>
        <w:ind w:firstLine="426"/>
        <w:jc w:val="both"/>
        <w:rPr>
          <w:rFonts w:ascii="Times New Roman" w:hAnsi="Times New Roman" w:cs="Times New Roman"/>
          <w:lang w:val="ro-MD"/>
        </w:rPr>
      </w:pPr>
    </w:p>
    <w:p w14:paraId="14E88B09" w14:textId="56BDC419" w:rsidR="00BB47F6" w:rsidRPr="000508B6" w:rsidRDefault="00BB47F6" w:rsidP="00BB47F6">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3C64FC" w:rsidRPr="000508B6">
        <w:rPr>
          <w:rFonts w:ascii="Times New Roman" w:hAnsi="Times New Roman" w:cs="Times New Roman"/>
          <w:b/>
          <w:bCs/>
          <w:lang w:val="ro-MD"/>
        </w:rPr>
        <w:t>170</w:t>
      </w:r>
      <w:r w:rsidR="00967781" w:rsidRPr="000508B6">
        <w:rPr>
          <w:rFonts w:ascii="Times New Roman" w:hAnsi="Times New Roman" w:cs="Times New Roman"/>
          <w:lang w:val="ro-MD"/>
        </w:rPr>
        <w:t>.</w:t>
      </w:r>
      <w:r w:rsidRPr="000508B6">
        <w:rPr>
          <w:rFonts w:ascii="Times New Roman" w:hAnsi="Times New Roman" w:cs="Times New Roman"/>
          <w:lang w:val="ro-MD"/>
        </w:rPr>
        <w:t xml:space="preserve"> Criterii </w:t>
      </w:r>
      <w:bookmarkStart w:id="149" w:name="_Hlk189125025"/>
      <w:r w:rsidRPr="000508B6">
        <w:rPr>
          <w:rFonts w:ascii="Times New Roman" w:hAnsi="Times New Roman" w:cs="Times New Roman"/>
          <w:lang w:val="ro-MD"/>
        </w:rPr>
        <w:t xml:space="preserve">pentru identificarea </w:t>
      </w:r>
      <w:r w:rsidR="00AE7506" w:rsidRPr="000508B6">
        <w:rPr>
          <w:rFonts w:ascii="Times New Roman" w:hAnsi="Times New Roman" w:cs="Times New Roman"/>
          <w:lang w:val="ro-MD"/>
        </w:rPr>
        <w:t xml:space="preserve">asigurătorilor </w:t>
      </w:r>
      <w:r w:rsidR="00DE1D22" w:rsidRPr="000508B6">
        <w:rPr>
          <w:rFonts w:ascii="Times New Roman" w:hAnsi="Times New Roman" w:cs="Times New Roman"/>
          <w:lang w:val="ro-MD"/>
        </w:rPr>
        <w:t xml:space="preserve">și </w:t>
      </w:r>
      <w:proofErr w:type="spellStart"/>
      <w:r w:rsidR="00AE7506" w:rsidRPr="000508B6">
        <w:rPr>
          <w:rFonts w:ascii="Times New Roman" w:hAnsi="Times New Roman" w:cs="Times New Roman"/>
          <w:lang w:val="ro-MD"/>
        </w:rPr>
        <w:t>reasigurătorilor</w:t>
      </w:r>
      <w:proofErr w:type="spellEnd"/>
      <w:r w:rsidR="00AE7506" w:rsidRPr="000508B6">
        <w:rPr>
          <w:rFonts w:ascii="Times New Roman" w:hAnsi="Times New Roman" w:cs="Times New Roman"/>
          <w:lang w:val="ro-MD"/>
        </w:rPr>
        <w:t xml:space="preserve">  </w:t>
      </w:r>
      <w:r w:rsidRPr="000508B6">
        <w:rPr>
          <w:rFonts w:ascii="Times New Roman" w:hAnsi="Times New Roman" w:cs="Times New Roman"/>
          <w:lang w:val="ro-MD"/>
        </w:rPr>
        <w:t>mici și cu un grad redus de complexitate</w:t>
      </w:r>
      <w:bookmarkEnd w:id="149"/>
      <w:r w:rsidR="00282C78" w:rsidRPr="000508B6">
        <w:rPr>
          <w:rFonts w:ascii="Times New Roman" w:hAnsi="Times New Roman" w:cs="Times New Roman"/>
          <w:lang w:val="ro-MD"/>
        </w:rPr>
        <w:t xml:space="preserve"> </w:t>
      </w:r>
    </w:p>
    <w:p w14:paraId="382A8228" w14:textId="143F7918" w:rsidR="00BB47F6" w:rsidRPr="000508B6" w:rsidRDefault="005F7E6F" w:rsidP="00CF5AFA">
      <w:pPr>
        <w:pStyle w:val="Listparagraf"/>
        <w:numPr>
          <w:ilvl w:val="0"/>
          <w:numId w:val="372"/>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Asigur</w:t>
      </w:r>
      <w:r w:rsidR="0049742A" w:rsidRPr="000508B6">
        <w:rPr>
          <w:rFonts w:ascii="Times New Roman" w:hAnsi="Times New Roman" w:cs="Times New Roman"/>
          <w:lang w:val="ro-MD"/>
        </w:rPr>
        <w:t>ă</w:t>
      </w:r>
      <w:r w:rsidRPr="000508B6">
        <w:rPr>
          <w:rFonts w:ascii="Times New Roman" w:hAnsi="Times New Roman" w:cs="Times New Roman"/>
          <w:lang w:val="ro-MD"/>
        </w:rPr>
        <w:t>torul</w:t>
      </w:r>
      <w:r w:rsidR="00DE1D22" w:rsidRPr="000508B6">
        <w:rPr>
          <w:rFonts w:ascii="Times New Roman" w:hAnsi="Times New Roman" w:cs="Times New Roman"/>
          <w:lang w:val="ro-MD"/>
        </w:rPr>
        <w:t xml:space="preserve"> sau </w:t>
      </w:r>
      <w:proofErr w:type="spellStart"/>
      <w:r w:rsidR="00DE1D22" w:rsidRPr="000508B6">
        <w:rPr>
          <w:rFonts w:ascii="Times New Roman" w:hAnsi="Times New Roman" w:cs="Times New Roman"/>
          <w:lang w:val="ro-MD"/>
        </w:rPr>
        <w:t>reasigur</w:t>
      </w:r>
      <w:r w:rsidR="0049742A" w:rsidRPr="000508B6">
        <w:rPr>
          <w:rFonts w:ascii="Times New Roman" w:hAnsi="Times New Roman" w:cs="Times New Roman"/>
          <w:lang w:val="ro-MD"/>
        </w:rPr>
        <w:t>ă</w:t>
      </w:r>
      <w:r w:rsidR="00DE1D22"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poate fi încadrat în categoria</w:t>
      </w:r>
      <w:r w:rsidR="00BB47F6"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 sau </w:t>
      </w:r>
      <w:proofErr w:type="spellStart"/>
      <w:r w:rsidR="004125E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mic</w:t>
      </w:r>
      <w:r w:rsidR="00BB47F6" w:rsidRPr="000508B6">
        <w:rPr>
          <w:rFonts w:ascii="Times New Roman" w:hAnsi="Times New Roman" w:cs="Times New Roman"/>
          <w:lang w:val="ro-MD"/>
        </w:rPr>
        <w:t xml:space="preserve"> și cu un grad redus de complexitate, în conformitate cu procesul prevăzut la art</w:t>
      </w:r>
      <w:r w:rsidR="00666257" w:rsidRPr="000508B6">
        <w:rPr>
          <w:rFonts w:ascii="Times New Roman" w:hAnsi="Times New Roman" w:cs="Times New Roman"/>
          <w:lang w:val="ro-MD"/>
        </w:rPr>
        <w:t>.</w:t>
      </w:r>
      <w:r w:rsidR="00BB47F6" w:rsidRPr="000508B6">
        <w:rPr>
          <w:rFonts w:ascii="Times New Roman" w:hAnsi="Times New Roman" w:cs="Times New Roman"/>
          <w:lang w:val="ro-MD"/>
        </w:rPr>
        <w:t xml:space="preserve"> </w:t>
      </w:r>
      <w:r w:rsidR="002B3DAC" w:rsidRPr="000508B6">
        <w:rPr>
          <w:rFonts w:ascii="Times New Roman" w:hAnsi="Times New Roman" w:cs="Times New Roman"/>
          <w:lang w:val="ro-MD"/>
        </w:rPr>
        <w:t>17</w:t>
      </w:r>
      <w:r w:rsidR="003C64FC" w:rsidRPr="000508B6">
        <w:rPr>
          <w:rFonts w:ascii="Times New Roman" w:hAnsi="Times New Roman" w:cs="Times New Roman"/>
          <w:lang w:val="ro-MD"/>
        </w:rPr>
        <w:t>1</w:t>
      </w:r>
      <w:r w:rsidR="00BB47F6" w:rsidRPr="000508B6">
        <w:rPr>
          <w:rFonts w:ascii="Times New Roman" w:hAnsi="Times New Roman" w:cs="Times New Roman"/>
          <w:lang w:val="ro-MD"/>
        </w:rPr>
        <w:t xml:space="preserve">, </w:t>
      </w:r>
      <w:r w:rsidR="00F50308" w:rsidRPr="000508B6">
        <w:rPr>
          <w:rFonts w:ascii="Times New Roman" w:hAnsi="Times New Roman" w:cs="Times New Roman"/>
          <w:lang w:val="ro-MD"/>
        </w:rPr>
        <w:t>dacă în cele 2 exerciții financiare imediat anterioare momentului încadrării îndeplinesc criteriile prevăzute la alin. (2) – (7), în funcție de activitatea desfășurată</w:t>
      </w:r>
      <w:r w:rsidR="0049742A" w:rsidRPr="000508B6">
        <w:rPr>
          <w:rFonts w:ascii="Times New Roman" w:hAnsi="Times New Roman" w:cs="Times New Roman"/>
          <w:lang w:val="ro-MD"/>
        </w:rPr>
        <w:t xml:space="preserve"> de </w:t>
      </w:r>
      <w:r w:rsidR="00D068AA" w:rsidRPr="000508B6">
        <w:rPr>
          <w:rFonts w:ascii="Times New Roman" w:hAnsi="Times New Roman" w:cs="Times New Roman"/>
          <w:lang w:val="ro-MD"/>
        </w:rPr>
        <w:t xml:space="preserve">asigurător sau </w:t>
      </w:r>
      <w:proofErr w:type="spellStart"/>
      <w:r w:rsidR="00D068AA" w:rsidRPr="000508B6">
        <w:rPr>
          <w:rFonts w:ascii="Times New Roman" w:hAnsi="Times New Roman" w:cs="Times New Roman"/>
          <w:lang w:val="ro-MD"/>
        </w:rPr>
        <w:t>reasigurător</w:t>
      </w:r>
      <w:proofErr w:type="spellEnd"/>
      <w:r w:rsidR="0049742A" w:rsidRPr="000508B6">
        <w:rPr>
          <w:rFonts w:ascii="Times New Roman" w:hAnsi="Times New Roman" w:cs="Times New Roman"/>
          <w:lang w:val="ro-MD"/>
        </w:rPr>
        <w:t xml:space="preserve">. </w:t>
      </w:r>
    </w:p>
    <w:p w14:paraId="51D0009D" w14:textId="2CBAF72A" w:rsidR="00BB47F6" w:rsidRPr="000508B6" w:rsidRDefault="00BB47F6" w:rsidP="00AD251F">
      <w:pPr>
        <w:pStyle w:val="Listparagraf"/>
        <w:numPr>
          <w:ilvl w:val="0"/>
          <w:numId w:val="372"/>
        </w:numPr>
        <w:spacing w:after="0" w:line="240" w:lineRule="auto"/>
        <w:ind w:left="0" w:firstLine="425"/>
        <w:jc w:val="both"/>
        <w:rPr>
          <w:rFonts w:ascii="Times New Roman" w:hAnsi="Times New Roman" w:cs="Times New Roman"/>
          <w:lang w:val="ro-MD"/>
        </w:rPr>
      </w:pPr>
      <w:r w:rsidRPr="000508B6" w:rsidDel="00F50308">
        <w:rPr>
          <w:rFonts w:ascii="Times New Roman" w:hAnsi="Times New Roman" w:cs="Times New Roman"/>
          <w:lang w:val="ro-MD"/>
        </w:rPr>
        <w:lastRenderedPageBreak/>
        <w:t xml:space="preserve"> </w:t>
      </w:r>
      <w:r w:rsidR="00F50308" w:rsidRPr="000508B6">
        <w:rPr>
          <w:rFonts w:ascii="Times New Roman" w:hAnsi="Times New Roman" w:cs="Times New Roman"/>
          <w:lang w:val="ro-MD"/>
        </w:rPr>
        <w:t xml:space="preserve">Pentru a putea fi încadrat în categoria </w:t>
      </w:r>
      <w:r w:rsidR="0007296A" w:rsidRPr="000508B6">
        <w:rPr>
          <w:rFonts w:ascii="Times New Roman" w:hAnsi="Times New Roman" w:cs="Times New Roman"/>
          <w:lang w:val="ro-MD"/>
        </w:rPr>
        <w:t xml:space="preserve">asigurător </w:t>
      </w:r>
      <w:r w:rsidR="00DE1D22" w:rsidRPr="000508B6">
        <w:rPr>
          <w:rFonts w:ascii="Times New Roman" w:hAnsi="Times New Roman" w:cs="Times New Roman"/>
          <w:lang w:val="ro-MD"/>
        </w:rPr>
        <w:t xml:space="preserve">sau </w:t>
      </w:r>
      <w:proofErr w:type="spellStart"/>
      <w:r w:rsidR="0007296A" w:rsidRPr="000508B6">
        <w:rPr>
          <w:rFonts w:ascii="Times New Roman" w:hAnsi="Times New Roman" w:cs="Times New Roman"/>
          <w:lang w:val="ro-MD"/>
        </w:rPr>
        <w:t>reasigurător</w:t>
      </w:r>
      <w:proofErr w:type="spellEnd"/>
      <w:r w:rsidR="0007296A" w:rsidRPr="000508B6">
        <w:rPr>
          <w:rFonts w:ascii="Times New Roman" w:hAnsi="Times New Roman" w:cs="Times New Roman"/>
          <w:lang w:val="ro-MD"/>
        </w:rPr>
        <w:t xml:space="preserve"> </w:t>
      </w:r>
      <w:r w:rsidR="00F50308" w:rsidRPr="000508B6">
        <w:rPr>
          <w:rFonts w:ascii="Times New Roman" w:hAnsi="Times New Roman" w:cs="Times New Roman"/>
          <w:lang w:val="ro-MD"/>
        </w:rPr>
        <w:t xml:space="preserve">mic și </w:t>
      </w:r>
      <w:r w:rsidR="00F50A10" w:rsidRPr="000508B6">
        <w:rPr>
          <w:rFonts w:ascii="Times New Roman" w:hAnsi="Times New Roman" w:cs="Times New Roman"/>
          <w:lang w:val="ro-MD"/>
        </w:rPr>
        <w:t>cu grad redus de complexitate</w:t>
      </w:r>
      <w:r w:rsidR="00F50308" w:rsidRPr="000508B6">
        <w:rPr>
          <w:rFonts w:ascii="Times New Roman" w:hAnsi="Times New Roman" w:cs="Times New Roman"/>
          <w:lang w:val="ro-MD"/>
        </w:rPr>
        <w:t xml:space="preserve">, </w:t>
      </w:r>
      <w:r w:rsidR="0007296A" w:rsidRPr="000508B6">
        <w:rPr>
          <w:rFonts w:ascii="Times New Roman" w:hAnsi="Times New Roman" w:cs="Times New Roman"/>
          <w:lang w:val="ro-MD"/>
        </w:rPr>
        <w:t xml:space="preserve">asigurătorul </w:t>
      </w:r>
      <w:r w:rsidR="00F50A10" w:rsidRPr="000508B6">
        <w:rPr>
          <w:rFonts w:ascii="Times New Roman" w:hAnsi="Times New Roman" w:cs="Times New Roman"/>
          <w:lang w:val="ro-MD"/>
        </w:rPr>
        <w:t xml:space="preserve">sau </w:t>
      </w:r>
      <w:proofErr w:type="spellStart"/>
      <w:r w:rsidR="00F50A10" w:rsidRPr="000508B6">
        <w:rPr>
          <w:rFonts w:ascii="Times New Roman" w:hAnsi="Times New Roman" w:cs="Times New Roman"/>
          <w:lang w:val="ro-MD"/>
        </w:rPr>
        <w:t>reasigurătorul</w:t>
      </w:r>
      <w:proofErr w:type="spellEnd"/>
      <w:r w:rsidR="00F50308" w:rsidRPr="000508B6">
        <w:rPr>
          <w:rFonts w:ascii="Times New Roman" w:hAnsi="Times New Roman" w:cs="Times New Roman"/>
          <w:lang w:val="ro-MD"/>
        </w:rPr>
        <w:t xml:space="preserve"> care desfășoară activitate de asigur</w:t>
      </w:r>
      <w:r w:rsidR="00256BD8" w:rsidRPr="000508B6">
        <w:rPr>
          <w:rFonts w:ascii="Times New Roman" w:hAnsi="Times New Roman" w:cs="Times New Roman"/>
          <w:lang w:val="ro-MD"/>
        </w:rPr>
        <w:t>are</w:t>
      </w:r>
      <w:r w:rsidR="00F50308" w:rsidRPr="000508B6">
        <w:rPr>
          <w:rFonts w:ascii="Times New Roman" w:hAnsi="Times New Roman" w:cs="Times New Roman"/>
          <w:lang w:val="ro-MD"/>
        </w:rPr>
        <w:t xml:space="preserve"> de viață și </w:t>
      </w:r>
      <w:r w:rsidR="0007296A" w:rsidRPr="000508B6">
        <w:rPr>
          <w:rFonts w:ascii="Times New Roman" w:hAnsi="Times New Roman" w:cs="Times New Roman"/>
          <w:lang w:val="ro-MD"/>
        </w:rPr>
        <w:t xml:space="preserve">asigurătorul </w:t>
      </w:r>
      <w:r w:rsidR="00F50308" w:rsidRPr="000508B6">
        <w:rPr>
          <w:rFonts w:ascii="Times New Roman" w:hAnsi="Times New Roman" w:cs="Times New Roman"/>
          <w:lang w:val="ro-MD"/>
        </w:rPr>
        <w:t xml:space="preserve">compozit care înregistrează rezerve tehnice aferente asigurărilor de viață de cel puțin 20% din totalul rezervelor tehnice brute determinate conform art. 42 și PBS din activitatea de </w:t>
      </w:r>
      <w:bookmarkStart w:id="150" w:name="_Hlk221085095"/>
      <w:r w:rsidR="003F1636" w:rsidRPr="000508B6">
        <w:rPr>
          <w:rFonts w:ascii="Times New Roman" w:hAnsi="Times New Roman" w:cs="Times New Roman"/>
          <w:lang w:val="ro-MD"/>
        </w:rPr>
        <w:t>asigurare</w:t>
      </w:r>
      <w:r w:rsidR="00F50308" w:rsidRPr="000508B6">
        <w:rPr>
          <w:rFonts w:ascii="Times New Roman" w:hAnsi="Times New Roman" w:cs="Times New Roman"/>
          <w:lang w:val="ro-MD"/>
        </w:rPr>
        <w:t xml:space="preserve"> general</w:t>
      </w:r>
      <w:r w:rsidR="003F1636" w:rsidRPr="000508B6">
        <w:rPr>
          <w:rFonts w:ascii="Times New Roman" w:hAnsi="Times New Roman" w:cs="Times New Roman"/>
          <w:lang w:val="ro-MD"/>
        </w:rPr>
        <w:t>ă</w:t>
      </w:r>
      <w:r w:rsidR="00F50308" w:rsidRPr="000508B6">
        <w:rPr>
          <w:rFonts w:ascii="Times New Roman" w:hAnsi="Times New Roman" w:cs="Times New Roman"/>
          <w:lang w:val="ro-MD"/>
        </w:rPr>
        <w:t xml:space="preserve"> </w:t>
      </w:r>
      <w:bookmarkEnd w:id="150"/>
      <w:r w:rsidR="00F50308" w:rsidRPr="000508B6">
        <w:rPr>
          <w:rFonts w:ascii="Times New Roman" w:hAnsi="Times New Roman" w:cs="Times New Roman"/>
          <w:lang w:val="ro-MD"/>
        </w:rPr>
        <w:t xml:space="preserve">sub 40% din totalul anual al PBS îndeplinesc toate criteriile de la alin. (3). </w:t>
      </w:r>
      <w:r w:rsidRPr="000508B6">
        <w:rPr>
          <w:rFonts w:ascii="Times New Roman" w:hAnsi="Times New Roman" w:cs="Times New Roman"/>
          <w:lang w:val="ro-MD"/>
        </w:rPr>
        <w:t xml:space="preserve"> </w:t>
      </w:r>
    </w:p>
    <w:p w14:paraId="1D30AF25" w14:textId="77777777" w:rsidR="00F50308" w:rsidRPr="000508B6" w:rsidRDefault="00F50308" w:rsidP="00F50A10">
      <w:pPr>
        <w:pStyle w:val="Listparagraf"/>
        <w:numPr>
          <w:ilvl w:val="0"/>
          <w:numId w:val="37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Criteriile prevăzute la alin. (2) sunt următoarele:</w:t>
      </w:r>
    </w:p>
    <w:p w14:paraId="33B456D6" w14:textId="6CF8FC59" w:rsidR="00BB47F6" w:rsidRPr="000508B6" w:rsidRDefault="00F50308" w:rsidP="00F50A10">
      <w:pPr>
        <w:pStyle w:val="Listparagraf"/>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rata dobânzii prevăzut la art. 68 alin. (8) lit. a) nu depășește 5% din rezervele tehnice </w:t>
      </w:r>
      <w:r w:rsidR="003A1750" w:rsidRPr="000508B6">
        <w:rPr>
          <w:rFonts w:ascii="Times New Roman" w:hAnsi="Times New Roman" w:cs="Times New Roman"/>
          <w:lang w:val="ro-MD"/>
        </w:rPr>
        <w:t>brute</w:t>
      </w:r>
      <w:r w:rsidRPr="000508B6">
        <w:rPr>
          <w:rFonts w:ascii="Times New Roman" w:hAnsi="Times New Roman" w:cs="Times New Roman"/>
          <w:lang w:val="ro-MD"/>
        </w:rPr>
        <w:t xml:space="preserve"> prevăzute la art. 42</w:t>
      </w:r>
      <w:r w:rsidR="00BB47F6" w:rsidRPr="000508B6">
        <w:rPr>
          <w:rFonts w:ascii="Times New Roman" w:hAnsi="Times New Roman" w:cs="Times New Roman"/>
          <w:lang w:val="ro-MD"/>
        </w:rPr>
        <w:t>;</w:t>
      </w:r>
    </w:p>
    <w:p w14:paraId="20F08D25" w14:textId="73FC9CC3" w:rsidR="0049742A" w:rsidRPr="000508B6" w:rsidRDefault="00F50308" w:rsidP="00F50A10">
      <w:pPr>
        <w:pStyle w:val="Listparagraf"/>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b) </w:t>
      </w:r>
      <w:bookmarkStart w:id="151" w:name="_Hlk221889311"/>
      <w:r w:rsidRPr="000508B6">
        <w:rPr>
          <w:rFonts w:ascii="Times New Roman" w:hAnsi="Times New Roman" w:cs="Times New Roman"/>
          <w:lang w:val="ro-MD"/>
        </w:rPr>
        <w:t>PBS anuale înregistrate din activitatea transfrontalieră sunt mai mici decât oricare dintre următoarele două praguri:</w:t>
      </w:r>
      <w:r w:rsidR="0049742A" w:rsidRPr="000508B6">
        <w:rPr>
          <w:rFonts w:ascii="Times New Roman" w:hAnsi="Times New Roman" w:cs="Times New Roman"/>
          <w:lang w:val="ro-MD"/>
        </w:rPr>
        <w:t xml:space="preserve"> </w:t>
      </w:r>
    </w:p>
    <w:p w14:paraId="50C24419" w14:textId="307A3A27" w:rsidR="0049742A" w:rsidRPr="000508B6" w:rsidRDefault="0049742A" w:rsidP="00CF5AFA">
      <w:pPr>
        <w:pStyle w:val="Listparagraf"/>
        <w:numPr>
          <w:ilvl w:val="1"/>
          <w:numId w:val="37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echivalentul în lei a 20 000 000 EUR</w:t>
      </w:r>
      <w:bookmarkEnd w:id="151"/>
      <w:r w:rsidRPr="000508B6">
        <w:rPr>
          <w:rFonts w:ascii="Times New Roman" w:hAnsi="Times New Roman" w:cs="Times New Roman"/>
          <w:lang w:val="ro-MD"/>
        </w:rPr>
        <w:t>;</w:t>
      </w:r>
      <w:r w:rsidR="00DB4949" w:rsidRPr="000508B6">
        <w:rPr>
          <w:rFonts w:ascii="Times New Roman" w:hAnsi="Times New Roman" w:cs="Times New Roman"/>
          <w:lang w:val="ro-MD"/>
        </w:rPr>
        <w:t xml:space="preserve"> </w:t>
      </w:r>
    </w:p>
    <w:p w14:paraId="631024CD" w14:textId="5146A3D4" w:rsidR="00BB47F6" w:rsidRPr="000508B6" w:rsidRDefault="00BB47F6" w:rsidP="00CF5AFA">
      <w:pPr>
        <w:pStyle w:val="Listparagraf"/>
        <w:numPr>
          <w:ilvl w:val="1"/>
          <w:numId w:val="375"/>
        </w:numPr>
        <w:spacing w:after="0" w:line="240" w:lineRule="auto"/>
        <w:ind w:left="0" w:firstLine="425"/>
        <w:jc w:val="both"/>
        <w:rPr>
          <w:rFonts w:ascii="Times New Roman" w:hAnsi="Times New Roman" w:cs="Times New Roman"/>
          <w:lang w:val="ro-MD"/>
        </w:rPr>
      </w:pPr>
      <w:bookmarkStart w:id="152" w:name="_Hlk221889339"/>
      <w:r w:rsidRPr="000508B6">
        <w:rPr>
          <w:rFonts w:ascii="Times New Roman" w:hAnsi="Times New Roman" w:cs="Times New Roman"/>
          <w:lang w:val="ro-MD"/>
        </w:rPr>
        <w:t xml:space="preserve">10 % din total anual din </w:t>
      </w:r>
      <w:r w:rsidR="00AA2EC8" w:rsidRPr="000508B6">
        <w:rPr>
          <w:rFonts w:ascii="Times New Roman" w:hAnsi="Times New Roman" w:cs="Times New Roman"/>
          <w:lang w:val="ro-MD"/>
        </w:rPr>
        <w:t>PBS</w:t>
      </w:r>
      <w:bookmarkEnd w:id="152"/>
      <w:r w:rsidR="0005200D" w:rsidRPr="000508B6">
        <w:rPr>
          <w:rFonts w:ascii="Times New Roman" w:hAnsi="Times New Roman" w:cs="Times New Roman"/>
          <w:lang w:val="ro-MD"/>
        </w:rPr>
        <w:t>.</w:t>
      </w:r>
    </w:p>
    <w:p w14:paraId="7D60CA20" w14:textId="57632FC3" w:rsidR="00BB47F6" w:rsidRPr="000508B6" w:rsidRDefault="00F50308" w:rsidP="00F50A1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c) </w:t>
      </w:r>
      <w:bookmarkStart w:id="153" w:name="_Hlk221889198"/>
      <w:r w:rsidR="00BB47F6" w:rsidRPr="000508B6">
        <w:rPr>
          <w:rFonts w:ascii="Times New Roman" w:hAnsi="Times New Roman" w:cs="Times New Roman"/>
          <w:lang w:val="ro-MD"/>
        </w:rPr>
        <w:t xml:space="preserve">rezervele tehnice </w:t>
      </w:r>
      <w:r w:rsidR="00E45141" w:rsidRPr="000508B6">
        <w:rPr>
          <w:rFonts w:ascii="Times New Roman" w:hAnsi="Times New Roman" w:cs="Times New Roman"/>
          <w:lang w:val="ro-MD"/>
        </w:rPr>
        <w:t xml:space="preserve">brute prevăzute </w:t>
      </w:r>
      <w:r w:rsidR="00BB47F6" w:rsidRPr="000508B6">
        <w:rPr>
          <w:rFonts w:ascii="Times New Roman" w:hAnsi="Times New Roman" w:cs="Times New Roman"/>
          <w:lang w:val="ro-MD"/>
        </w:rPr>
        <w:t>la art</w:t>
      </w:r>
      <w:r w:rsidR="00666257" w:rsidRPr="000508B6">
        <w:rPr>
          <w:rFonts w:ascii="Times New Roman" w:hAnsi="Times New Roman" w:cs="Times New Roman"/>
          <w:lang w:val="ro-MD"/>
        </w:rPr>
        <w:t>.</w:t>
      </w:r>
      <w:r w:rsidR="00BB47F6" w:rsidRPr="000508B6">
        <w:rPr>
          <w:rFonts w:ascii="Times New Roman" w:hAnsi="Times New Roman" w:cs="Times New Roman"/>
          <w:lang w:val="ro-MD"/>
        </w:rPr>
        <w:t xml:space="preserve"> </w:t>
      </w:r>
      <w:r w:rsidR="00967781" w:rsidRPr="000508B6">
        <w:rPr>
          <w:rFonts w:ascii="Times New Roman" w:hAnsi="Times New Roman" w:cs="Times New Roman"/>
          <w:lang w:val="ro-MD"/>
        </w:rPr>
        <w:t>42</w:t>
      </w:r>
      <w:r w:rsidR="00BB47F6" w:rsidRPr="000508B6">
        <w:rPr>
          <w:rFonts w:ascii="Times New Roman" w:hAnsi="Times New Roman" w:cs="Times New Roman"/>
          <w:lang w:val="ro-MD"/>
        </w:rPr>
        <w:t xml:space="preserve"> aferente  </w:t>
      </w:r>
      <w:r w:rsidR="00E45141" w:rsidRPr="000508B6">
        <w:rPr>
          <w:rFonts w:ascii="Times New Roman" w:hAnsi="Times New Roman" w:cs="Times New Roman"/>
          <w:lang w:val="ro-MD"/>
        </w:rPr>
        <w:t xml:space="preserve">asigurărilor </w:t>
      </w:r>
      <w:r w:rsidR="00BB47F6" w:rsidRPr="000508B6">
        <w:rPr>
          <w:rFonts w:ascii="Times New Roman" w:hAnsi="Times New Roman" w:cs="Times New Roman"/>
          <w:lang w:val="ro-MD"/>
        </w:rPr>
        <w:t xml:space="preserve">de viață nu depășesc </w:t>
      </w:r>
      <w:r w:rsidR="00D93809" w:rsidRPr="000508B6">
        <w:rPr>
          <w:rFonts w:ascii="Times New Roman" w:hAnsi="Times New Roman" w:cs="Times New Roman"/>
          <w:lang w:val="ro-MD"/>
        </w:rPr>
        <w:t xml:space="preserve">echivalentul în lei a </w:t>
      </w:r>
      <w:r w:rsidR="00BB47F6" w:rsidRPr="000508B6">
        <w:rPr>
          <w:rFonts w:ascii="Times New Roman" w:hAnsi="Times New Roman" w:cs="Times New Roman"/>
          <w:lang w:val="ro-MD"/>
        </w:rPr>
        <w:t>1 000 000 000 EUR</w:t>
      </w:r>
      <w:bookmarkEnd w:id="153"/>
      <w:r w:rsidR="00BB47F6" w:rsidRPr="000508B6">
        <w:rPr>
          <w:rFonts w:ascii="Times New Roman" w:hAnsi="Times New Roman" w:cs="Times New Roman"/>
          <w:lang w:val="ro-MD"/>
        </w:rPr>
        <w:t>;</w:t>
      </w:r>
    </w:p>
    <w:p w14:paraId="05371EEC" w14:textId="710CEE58" w:rsidR="00BB47F6" w:rsidRPr="000508B6" w:rsidRDefault="00370EAE" w:rsidP="00B15D5A">
      <w:pPr>
        <w:pStyle w:val="Listparagraf"/>
        <w:spacing w:after="0" w:line="240" w:lineRule="auto"/>
        <w:ind w:left="425"/>
        <w:jc w:val="both"/>
        <w:rPr>
          <w:rFonts w:ascii="Times New Roman" w:hAnsi="Times New Roman" w:cs="Times New Roman"/>
          <w:lang w:val="ro-MD"/>
        </w:rPr>
      </w:pPr>
      <w:r w:rsidRPr="000508B6">
        <w:rPr>
          <w:rFonts w:ascii="Times New Roman" w:hAnsi="Times New Roman" w:cs="Times New Roman"/>
          <w:lang w:val="ro-MD"/>
        </w:rPr>
        <w:t xml:space="preserve">d) </w:t>
      </w:r>
      <w:r w:rsidR="00BB47F6" w:rsidRPr="000508B6">
        <w:rPr>
          <w:rFonts w:ascii="Times New Roman" w:hAnsi="Times New Roman" w:cs="Times New Roman"/>
          <w:lang w:val="ro-MD"/>
        </w:rPr>
        <w:t>suma următoarelor elemente nu depășește 20 % din investițiile totale:</w:t>
      </w:r>
    </w:p>
    <w:p w14:paraId="2EA9E96D" w14:textId="1113783C" w:rsidR="00BB47F6" w:rsidRPr="000508B6" w:rsidRDefault="00BB47F6" w:rsidP="00B913DE">
      <w:pPr>
        <w:pStyle w:val="Listparagraf"/>
        <w:numPr>
          <w:ilvl w:val="1"/>
          <w:numId w:val="376"/>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modulul risc de piață menționat la art</w:t>
      </w:r>
      <w:r w:rsidR="00A43CAB" w:rsidRPr="000508B6">
        <w:rPr>
          <w:rFonts w:ascii="Times New Roman" w:hAnsi="Times New Roman" w:cs="Times New Roman"/>
          <w:lang w:val="ro-MD"/>
        </w:rPr>
        <w:t>.</w:t>
      </w:r>
      <w:r w:rsidRPr="000508B6">
        <w:rPr>
          <w:rFonts w:ascii="Times New Roman" w:hAnsi="Times New Roman" w:cs="Times New Roman"/>
          <w:lang w:val="ro-MD"/>
        </w:rPr>
        <w:t xml:space="preserve"> </w:t>
      </w:r>
      <w:r w:rsidR="00A43CAB" w:rsidRPr="000508B6">
        <w:rPr>
          <w:rFonts w:ascii="Times New Roman" w:hAnsi="Times New Roman" w:cs="Times New Roman"/>
          <w:lang w:val="ro-MD"/>
        </w:rPr>
        <w:t>68</w:t>
      </w:r>
      <w:r w:rsidRPr="000508B6">
        <w:rPr>
          <w:rFonts w:ascii="Times New Roman" w:hAnsi="Times New Roman" w:cs="Times New Roman"/>
          <w:lang w:val="ro-MD"/>
        </w:rPr>
        <w:t xml:space="preserve"> alin</w:t>
      </w:r>
      <w:r w:rsidR="00A43CAB" w:rsidRPr="000508B6">
        <w:rPr>
          <w:rFonts w:ascii="Times New Roman" w:hAnsi="Times New Roman" w:cs="Times New Roman"/>
          <w:lang w:val="ro-MD"/>
        </w:rPr>
        <w:t xml:space="preserve">. </w:t>
      </w:r>
      <w:r w:rsidRPr="000508B6">
        <w:rPr>
          <w:rFonts w:ascii="Times New Roman" w:hAnsi="Times New Roman" w:cs="Times New Roman"/>
          <w:lang w:val="ro-MD"/>
        </w:rPr>
        <w:t>(</w:t>
      </w:r>
      <w:r w:rsidR="00A43CAB" w:rsidRPr="000508B6">
        <w:rPr>
          <w:rFonts w:ascii="Times New Roman" w:hAnsi="Times New Roman" w:cs="Times New Roman"/>
          <w:lang w:val="ro-MD"/>
        </w:rPr>
        <w:t>7</w:t>
      </w:r>
      <w:r w:rsidRPr="000508B6">
        <w:rPr>
          <w:rFonts w:ascii="Times New Roman" w:hAnsi="Times New Roman" w:cs="Times New Roman"/>
          <w:lang w:val="ro-MD"/>
        </w:rPr>
        <w:t xml:space="preserve">); </w:t>
      </w:r>
    </w:p>
    <w:p w14:paraId="476CBC16" w14:textId="5359344D" w:rsidR="00BB47F6" w:rsidRPr="000508B6" w:rsidRDefault="00BB47F6" w:rsidP="00B913DE">
      <w:pPr>
        <w:pStyle w:val="Listparagraf"/>
        <w:numPr>
          <w:ilvl w:val="1"/>
          <w:numId w:val="376"/>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partea din modulul risc de contrapartidă menționat la art</w:t>
      </w:r>
      <w:r w:rsidR="00A43CAB" w:rsidRPr="000508B6">
        <w:rPr>
          <w:rFonts w:ascii="Times New Roman" w:hAnsi="Times New Roman" w:cs="Times New Roman"/>
          <w:lang w:val="ro-MD"/>
        </w:rPr>
        <w:t>.</w:t>
      </w:r>
      <w:r w:rsidRPr="000508B6">
        <w:rPr>
          <w:rFonts w:ascii="Times New Roman" w:hAnsi="Times New Roman" w:cs="Times New Roman"/>
          <w:lang w:val="ro-MD"/>
        </w:rPr>
        <w:t xml:space="preserve"> </w:t>
      </w:r>
      <w:r w:rsidR="00A43CAB" w:rsidRPr="000508B6">
        <w:rPr>
          <w:rFonts w:ascii="Times New Roman" w:hAnsi="Times New Roman" w:cs="Times New Roman"/>
          <w:lang w:val="ro-MD"/>
        </w:rPr>
        <w:t>68</w:t>
      </w:r>
      <w:r w:rsidRPr="000508B6">
        <w:rPr>
          <w:rFonts w:ascii="Times New Roman" w:hAnsi="Times New Roman" w:cs="Times New Roman"/>
          <w:lang w:val="ro-MD"/>
        </w:rPr>
        <w:t xml:space="preserve"> alin</w:t>
      </w:r>
      <w:r w:rsidR="00A43CAB" w:rsidRPr="000508B6">
        <w:rPr>
          <w:rFonts w:ascii="Times New Roman" w:hAnsi="Times New Roman" w:cs="Times New Roman"/>
          <w:lang w:val="ro-MD"/>
        </w:rPr>
        <w:t>.</w:t>
      </w:r>
      <w:r w:rsidRPr="000508B6">
        <w:rPr>
          <w:rFonts w:ascii="Times New Roman" w:hAnsi="Times New Roman" w:cs="Times New Roman"/>
          <w:lang w:val="ro-MD"/>
        </w:rPr>
        <w:t xml:space="preserve"> (</w:t>
      </w:r>
      <w:r w:rsidR="00CB596B" w:rsidRPr="000508B6">
        <w:rPr>
          <w:rFonts w:ascii="Times New Roman" w:hAnsi="Times New Roman" w:cs="Times New Roman"/>
          <w:lang w:val="ro-MD"/>
        </w:rPr>
        <w:t>10</w:t>
      </w:r>
      <w:r w:rsidRPr="000508B6">
        <w:rPr>
          <w:rFonts w:ascii="Times New Roman" w:hAnsi="Times New Roman" w:cs="Times New Roman"/>
          <w:lang w:val="ro-MD"/>
        </w:rPr>
        <w:t>)</w:t>
      </w:r>
      <w:r w:rsidR="00CB596B" w:rsidRPr="000508B6">
        <w:rPr>
          <w:rFonts w:ascii="Times New Roman" w:hAnsi="Times New Roman" w:cs="Times New Roman"/>
          <w:lang w:val="ro-MD"/>
        </w:rPr>
        <w:t xml:space="preserve"> și alin. (11</w:t>
      </w:r>
      <w:r w:rsidRPr="000508B6">
        <w:rPr>
          <w:rFonts w:ascii="Times New Roman" w:hAnsi="Times New Roman" w:cs="Times New Roman"/>
          <w:lang w:val="ro-MD"/>
        </w:rPr>
        <w:t xml:space="preserve">) care corespunde expunerilor la securitizări, instrumente financiare derivate, creanțe de la intermediari și alte active de investiții care nu sunt acoperite de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marjă de credit;</w:t>
      </w:r>
    </w:p>
    <w:p w14:paraId="31786864" w14:textId="1779FD10" w:rsidR="00BB47F6" w:rsidRPr="000508B6" w:rsidRDefault="00370EAE" w:rsidP="00CF5AFA">
      <w:pPr>
        <w:pStyle w:val="Listparagraf"/>
        <w:numPr>
          <w:ilvl w:val="1"/>
          <w:numId w:val="376"/>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SCR</w:t>
      </w:r>
      <w:r w:rsidR="00BB47F6" w:rsidRPr="000508B6">
        <w:rPr>
          <w:rFonts w:ascii="Times New Roman" w:hAnsi="Times New Roman" w:cs="Times New Roman"/>
          <w:lang w:val="ro-MD"/>
        </w:rPr>
        <w:t xml:space="preserve"> aplicabilă investițiilor în active necorporale care nu sunt acoperite de modulele </w:t>
      </w:r>
      <w:r w:rsidR="006B7568" w:rsidRPr="000508B6">
        <w:rPr>
          <w:rFonts w:ascii="Times New Roman" w:hAnsi="Times New Roman" w:cs="Times New Roman"/>
          <w:lang w:val="ro-MD"/>
        </w:rPr>
        <w:t>„</w:t>
      </w:r>
      <w:r w:rsidR="00BB47F6" w:rsidRPr="000508B6">
        <w:rPr>
          <w:rFonts w:ascii="Times New Roman" w:hAnsi="Times New Roman" w:cs="Times New Roman"/>
          <w:lang w:val="ro-MD"/>
        </w:rPr>
        <w:t>risc de piață</w:t>
      </w:r>
      <w:r w:rsidR="009D5900" w:rsidRPr="000508B6">
        <w:rPr>
          <w:rFonts w:ascii="Times New Roman" w:hAnsi="Times New Roman" w:cs="Times New Roman"/>
          <w:lang w:val="ro-MD"/>
        </w:rPr>
        <w:t>”</w:t>
      </w:r>
      <w:r w:rsidR="00BB47F6" w:rsidRPr="000508B6">
        <w:rPr>
          <w:rFonts w:ascii="Times New Roman" w:hAnsi="Times New Roman" w:cs="Times New Roman"/>
          <w:lang w:val="ro-MD"/>
        </w:rPr>
        <w:t xml:space="preserve"> și </w:t>
      </w:r>
      <w:r w:rsidR="006B7568" w:rsidRPr="000508B6">
        <w:rPr>
          <w:rFonts w:ascii="Times New Roman" w:hAnsi="Times New Roman" w:cs="Times New Roman"/>
          <w:lang w:val="ro-MD"/>
        </w:rPr>
        <w:t>„</w:t>
      </w:r>
      <w:r w:rsidR="00BB47F6" w:rsidRPr="000508B6">
        <w:rPr>
          <w:rFonts w:ascii="Times New Roman" w:hAnsi="Times New Roman" w:cs="Times New Roman"/>
          <w:lang w:val="ro-MD"/>
        </w:rPr>
        <w:t>risc de contrapartidă</w:t>
      </w:r>
      <w:r w:rsidR="0005200D" w:rsidRPr="000508B6">
        <w:rPr>
          <w:rFonts w:ascii="Times New Roman" w:hAnsi="Times New Roman" w:cs="Times New Roman"/>
          <w:lang w:val="ro-MD"/>
        </w:rPr>
        <w:t>”.</w:t>
      </w:r>
    </w:p>
    <w:p w14:paraId="73499A58" w14:textId="23770A4D" w:rsidR="00BB47F6" w:rsidRPr="000508B6" w:rsidRDefault="00370EAE" w:rsidP="00F50A1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e) </w:t>
      </w:r>
      <w:r w:rsidR="00BB47F6" w:rsidRPr="000508B6">
        <w:rPr>
          <w:rFonts w:ascii="Times New Roman" w:hAnsi="Times New Roman" w:cs="Times New Roman"/>
          <w:lang w:val="ro-MD"/>
        </w:rPr>
        <w:t>acceptările în reasigurare nu depășesc 50 % din total</w:t>
      </w:r>
      <w:r w:rsidRPr="000508B6">
        <w:rPr>
          <w:rFonts w:ascii="Times New Roman" w:hAnsi="Times New Roman" w:cs="Times New Roman"/>
          <w:lang w:val="ro-MD"/>
        </w:rPr>
        <w:t>ul</w:t>
      </w:r>
      <w:r w:rsidR="00BB47F6" w:rsidRPr="000508B6">
        <w:rPr>
          <w:rFonts w:ascii="Times New Roman" w:hAnsi="Times New Roman" w:cs="Times New Roman"/>
          <w:lang w:val="ro-MD"/>
        </w:rPr>
        <w:t xml:space="preserve"> anual din </w:t>
      </w:r>
      <w:r w:rsidR="00AA2EC8" w:rsidRPr="000508B6">
        <w:rPr>
          <w:rFonts w:ascii="Times New Roman" w:hAnsi="Times New Roman" w:cs="Times New Roman"/>
          <w:lang w:val="ro-MD"/>
        </w:rPr>
        <w:t>PBS</w:t>
      </w:r>
      <w:r w:rsidR="00BB47F6" w:rsidRPr="000508B6">
        <w:rPr>
          <w:rFonts w:ascii="Times New Roman" w:hAnsi="Times New Roman" w:cs="Times New Roman"/>
          <w:lang w:val="ro-MD"/>
        </w:rPr>
        <w:t>;</w:t>
      </w:r>
    </w:p>
    <w:p w14:paraId="69B30FE3" w14:textId="2B5A3208" w:rsidR="00BB47F6" w:rsidRPr="000508B6" w:rsidRDefault="007C7C26" w:rsidP="00F50A1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f) </w:t>
      </w:r>
      <w:r w:rsidR="006C1C25" w:rsidRPr="000508B6">
        <w:rPr>
          <w:rFonts w:ascii="Times New Roman" w:hAnsi="Times New Roman" w:cs="Times New Roman"/>
          <w:lang w:val="ro-MD"/>
        </w:rPr>
        <w:t>SCR</w:t>
      </w:r>
      <w:r w:rsidR="00BB47F6" w:rsidRPr="000508B6">
        <w:rPr>
          <w:rFonts w:ascii="Times New Roman" w:hAnsi="Times New Roman" w:cs="Times New Roman"/>
          <w:lang w:val="ro-MD"/>
        </w:rPr>
        <w:t xml:space="preserve"> este respectată;</w:t>
      </w:r>
    </w:p>
    <w:p w14:paraId="1575634A" w14:textId="04AA4887" w:rsidR="00BB47F6" w:rsidRPr="000508B6" w:rsidRDefault="00512547" w:rsidP="00F50A10">
      <w:pPr>
        <w:pStyle w:val="Listparagraf"/>
        <w:numPr>
          <w:ilvl w:val="0"/>
          <w:numId w:val="37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a putea fi încadrat în categoria </w:t>
      </w:r>
      <w:r w:rsidR="006B7568" w:rsidRPr="000508B6">
        <w:rPr>
          <w:rFonts w:ascii="Times New Roman" w:hAnsi="Times New Roman" w:cs="Times New Roman"/>
          <w:lang w:val="ro-MD"/>
        </w:rPr>
        <w:t xml:space="preserve">asigurător </w:t>
      </w:r>
      <w:r w:rsidR="00BF5541" w:rsidRPr="000508B6">
        <w:rPr>
          <w:rFonts w:ascii="Times New Roman" w:hAnsi="Times New Roman" w:cs="Times New Roman"/>
          <w:lang w:val="ro-MD"/>
        </w:rPr>
        <w:t xml:space="preserve">sau </w:t>
      </w:r>
      <w:proofErr w:type="spellStart"/>
      <w:r w:rsidR="006B7568" w:rsidRPr="000508B6">
        <w:rPr>
          <w:rFonts w:ascii="Times New Roman" w:hAnsi="Times New Roman" w:cs="Times New Roman"/>
          <w:lang w:val="ro-MD"/>
        </w:rPr>
        <w:t>reasigurător</w:t>
      </w:r>
      <w:proofErr w:type="spellEnd"/>
      <w:r w:rsidR="006B7568" w:rsidRPr="000508B6">
        <w:rPr>
          <w:rFonts w:ascii="Times New Roman" w:hAnsi="Times New Roman" w:cs="Times New Roman"/>
          <w:lang w:val="ro-MD"/>
        </w:rPr>
        <w:t xml:space="preserve"> </w:t>
      </w:r>
      <w:r w:rsidRPr="000508B6">
        <w:rPr>
          <w:rFonts w:ascii="Times New Roman" w:hAnsi="Times New Roman" w:cs="Times New Roman"/>
          <w:lang w:val="ro-MD"/>
        </w:rPr>
        <w:t xml:space="preserve">mic și </w:t>
      </w:r>
      <w:r w:rsidR="00F50A10" w:rsidRPr="000508B6">
        <w:rPr>
          <w:rFonts w:ascii="Times New Roman" w:hAnsi="Times New Roman" w:cs="Times New Roman"/>
          <w:lang w:val="ro-MD"/>
        </w:rPr>
        <w:t>cu grad redus de complexitate</w:t>
      </w:r>
      <w:r w:rsidRPr="000508B6">
        <w:rPr>
          <w:rFonts w:ascii="Times New Roman" w:hAnsi="Times New Roman" w:cs="Times New Roman"/>
          <w:lang w:val="ro-MD"/>
        </w:rPr>
        <w:t xml:space="preserve">, </w:t>
      </w:r>
      <w:r w:rsidR="006B7568" w:rsidRPr="000508B6">
        <w:rPr>
          <w:rFonts w:ascii="Times New Roman" w:hAnsi="Times New Roman" w:cs="Times New Roman"/>
          <w:lang w:val="ro-MD"/>
        </w:rPr>
        <w:t xml:space="preserve">asigurătorul </w:t>
      </w:r>
      <w:r w:rsidR="00BF5541" w:rsidRPr="000508B6">
        <w:rPr>
          <w:rFonts w:ascii="Times New Roman" w:hAnsi="Times New Roman" w:cs="Times New Roman"/>
          <w:lang w:val="ro-MD"/>
        </w:rPr>
        <w:t xml:space="preserve">sau </w:t>
      </w:r>
      <w:proofErr w:type="spellStart"/>
      <w:r w:rsidR="006B7568" w:rsidRPr="000508B6">
        <w:rPr>
          <w:rFonts w:ascii="Times New Roman" w:hAnsi="Times New Roman" w:cs="Times New Roman"/>
          <w:lang w:val="ro-MD"/>
        </w:rPr>
        <w:t>reasigurătorul</w:t>
      </w:r>
      <w:proofErr w:type="spellEnd"/>
      <w:r w:rsidR="006B7568"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desfășoară activitate de </w:t>
      </w:r>
      <w:r w:rsidR="003F1636" w:rsidRPr="000508B6">
        <w:rPr>
          <w:rFonts w:ascii="Times New Roman" w:hAnsi="Times New Roman" w:cs="Times New Roman"/>
          <w:lang w:val="ro-MD"/>
        </w:rPr>
        <w:t>asigurare generală</w:t>
      </w:r>
      <w:r w:rsidRPr="000508B6">
        <w:rPr>
          <w:rFonts w:ascii="Times New Roman" w:hAnsi="Times New Roman" w:cs="Times New Roman"/>
          <w:lang w:val="ro-MD"/>
        </w:rPr>
        <w:t xml:space="preserve"> și </w:t>
      </w:r>
      <w:r w:rsidR="006B7568" w:rsidRPr="000508B6">
        <w:rPr>
          <w:rFonts w:ascii="Times New Roman" w:hAnsi="Times New Roman" w:cs="Times New Roman"/>
          <w:lang w:val="ro-MD"/>
        </w:rPr>
        <w:t xml:space="preserve">asigurătorul </w:t>
      </w:r>
      <w:r w:rsidRPr="000508B6">
        <w:rPr>
          <w:rFonts w:ascii="Times New Roman" w:hAnsi="Times New Roman" w:cs="Times New Roman"/>
          <w:lang w:val="ro-MD"/>
        </w:rPr>
        <w:t xml:space="preserve">compozit care înregistrează PBS din activitatea de </w:t>
      </w:r>
      <w:r w:rsidR="003F1636" w:rsidRPr="000508B6">
        <w:rPr>
          <w:rFonts w:ascii="Times New Roman" w:hAnsi="Times New Roman" w:cs="Times New Roman"/>
          <w:lang w:val="ro-MD"/>
        </w:rPr>
        <w:t>asigurare generală</w:t>
      </w:r>
      <w:r w:rsidRPr="000508B6">
        <w:rPr>
          <w:rFonts w:ascii="Times New Roman" w:hAnsi="Times New Roman" w:cs="Times New Roman"/>
          <w:lang w:val="ro-MD"/>
        </w:rPr>
        <w:t xml:space="preserve"> de cel puțin 40% din totalul anual al PBS și rezerve tehnice aferente asigurărilor de viață sub 20% din totalul rezervelor tehnice brute determinate conform art. 42 îndeplinește toate criteriile de la alin. (5).</w:t>
      </w:r>
      <w:r w:rsidR="00AD251F" w:rsidRPr="000508B6">
        <w:rPr>
          <w:rFonts w:ascii="Times New Roman" w:hAnsi="Times New Roman" w:cs="Times New Roman"/>
          <w:lang w:val="ro-MD"/>
        </w:rPr>
        <w:t xml:space="preserve">   </w:t>
      </w:r>
    </w:p>
    <w:p w14:paraId="0BA65869" w14:textId="688BAC92" w:rsidR="00512547" w:rsidRPr="000508B6" w:rsidRDefault="00512547" w:rsidP="00F50A10">
      <w:pPr>
        <w:pStyle w:val="Listparagraf"/>
        <w:numPr>
          <w:ilvl w:val="0"/>
          <w:numId w:val="37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Criteriile prevăzute la alin. (4) sunt următoarele:</w:t>
      </w:r>
    </w:p>
    <w:p w14:paraId="536ECFF8" w14:textId="739B6F95" w:rsidR="00BB47F6" w:rsidRPr="000508B6" w:rsidRDefault="00BB47F6" w:rsidP="00CF5AFA">
      <w:pPr>
        <w:pStyle w:val="Listparagraf"/>
        <w:numPr>
          <w:ilvl w:val="3"/>
          <w:numId w:val="377"/>
        </w:numPr>
        <w:spacing w:after="0" w:line="240" w:lineRule="auto"/>
        <w:ind w:left="0" w:firstLine="425"/>
        <w:jc w:val="both"/>
        <w:rPr>
          <w:rFonts w:ascii="Times New Roman" w:hAnsi="Times New Roman" w:cs="Times New Roman"/>
          <w:lang w:val="ro-MD"/>
        </w:rPr>
      </w:pPr>
      <w:bookmarkStart w:id="154" w:name="_Hlk221889409"/>
      <w:r w:rsidRPr="000508B6">
        <w:rPr>
          <w:rFonts w:ascii="Times New Roman" w:hAnsi="Times New Roman" w:cs="Times New Roman"/>
          <w:lang w:val="ro-MD"/>
        </w:rPr>
        <w:t>rata combinată medie pentru activitate</w:t>
      </w:r>
      <w:r w:rsidR="00512547" w:rsidRPr="000508B6">
        <w:rPr>
          <w:rFonts w:ascii="Times New Roman" w:hAnsi="Times New Roman" w:cs="Times New Roman"/>
          <w:lang w:val="ro-MD"/>
        </w:rPr>
        <w:t>a</w:t>
      </w:r>
      <w:r w:rsidRPr="000508B6">
        <w:rPr>
          <w:rFonts w:ascii="Times New Roman" w:hAnsi="Times New Roman" w:cs="Times New Roman"/>
          <w:lang w:val="ro-MD"/>
        </w:rPr>
        <w:t xml:space="preserve"> de </w:t>
      </w:r>
      <w:r w:rsidR="003F1636" w:rsidRPr="000508B6">
        <w:rPr>
          <w:rFonts w:ascii="Times New Roman" w:hAnsi="Times New Roman" w:cs="Times New Roman"/>
          <w:lang w:val="ro-MD"/>
        </w:rPr>
        <w:t>asigurare generală</w:t>
      </w:r>
      <w:r w:rsidRPr="000508B6">
        <w:rPr>
          <w:rFonts w:ascii="Times New Roman" w:hAnsi="Times New Roman" w:cs="Times New Roman"/>
          <w:lang w:val="ro-MD"/>
        </w:rPr>
        <w:t>, după deducerea reasigurării, din ultimii trei ani este mai mică de 100 %;</w:t>
      </w:r>
    </w:p>
    <w:bookmarkEnd w:id="154"/>
    <w:p w14:paraId="5D2D3EE0" w14:textId="1AB28821" w:rsidR="00BB47F6" w:rsidRPr="000508B6" w:rsidRDefault="00512547" w:rsidP="00B913DE">
      <w:pPr>
        <w:pStyle w:val="Listparagraf"/>
        <w:numPr>
          <w:ilvl w:val="3"/>
          <w:numId w:val="377"/>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PBS anuale înregistrate din activitatea transfrontalieră sunt mai mici decât oricare dintre următoarele praguri</w:t>
      </w:r>
      <w:r w:rsidR="00BB47F6" w:rsidRPr="000508B6">
        <w:rPr>
          <w:rFonts w:ascii="Times New Roman" w:hAnsi="Times New Roman" w:cs="Times New Roman"/>
          <w:lang w:val="ro-MD"/>
        </w:rPr>
        <w:t>:</w:t>
      </w:r>
    </w:p>
    <w:p w14:paraId="2BD1F2CA" w14:textId="4DDEA964" w:rsidR="00BB47F6" w:rsidRPr="000508B6" w:rsidRDefault="0005200D" w:rsidP="00B913DE">
      <w:pPr>
        <w:pStyle w:val="Listparagraf"/>
        <w:numPr>
          <w:ilvl w:val="1"/>
          <w:numId w:val="378"/>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echivalentul în lei a </w:t>
      </w:r>
      <w:r w:rsidR="00BB47F6" w:rsidRPr="000508B6">
        <w:rPr>
          <w:rFonts w:ascii="Times New Roman" w:hAnsi="Times New Roman" w:cs="Times New Roman"/>
          <w:lang w:val="ro-MD"/>
        </w:rPr>
        <w:t>20 000 000 EUR;</w:t>
      </w:r>
    </w:p>
    <w:p w14:paraId="305BF9F0" w14:textId="4E1D121C" w:rsidR="00BB47F6" w:rsidRPr="000508B6" w:rsidRDefault="00512547" w:rsidP="00B913DE">
      <w:pPr>
        <w:pStyle w:val="Listparagraf"/>
        <w:numPr>
          <w:ilvl w:val="1"/>
          <w:numId w:val="378"/>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10% din totalul anual al PBS</w:t>
      </w:r>
      <w:r w:rsidR="0005200D" w:rsidRPr="000508B6">
        <w:rPr>
          <w:rFonts w:ascii="Times New Roman" w:hAnsi="Times New Roman" w:cs="Times New Roman"/>
          <w:lang w:val="ro-MD"/>
        </w:rPr>
        <w:t xml:space="preserve">. </w:t>
      </w:r>
    </w:p>
    <w:p w14:paraId="53903BC3" w14:textId="0A20359A" w:rsidR="00BB47F6" w:rsidRPr="000508B6" w:rsidRDefault="00512547" w:rsidP="00B913DE">
      <w:pPr>
        <w:pStyle w:val="Listparagraf"/>
        <w:numPr>
          <w:ilvl w:val="3"/>
          <w:numId w:val="377"/>
        </w:numPr>
        <w:tabs>
          <w:tab w:val="left" w:pos="567"/>
          <w:tab w:val="left" w:pos="709"/>
        </w:tabs>
        <w:spacing w:after="0" w:line="240" w:lineRule="auto"/>
        <w:ind w:left="0" w:firstLine="425"/>
        <w:jc w:val="both"/>
        <w:rPr>
          <w:rFonts w:ascii="Times New Roman" w:hAnsi="Times New Roman" w:cs="Times New Roman"/>
          <w:lang w:val="ro-MD"/>
        </w:rPr>
      </w:pPr>
      <w:bookmarkStart w:id="155" w:name="_Hlk221889376"/>
      <w:r w:rsidRPr="000508B6">
        <w:rPr>
          <w:rFonts w:ascii="Times New Roman" w:hAnsi="Times New Roman" w:cs="Times New Roman"/>
          <w:lang w:val="ro-MD"/>
        </w:rPr>
        <w:t xml:space="preserve">totalul anual al PBS înregistrate din activitatea de </w:t>
      </w:r>
      <w:r w:rsidR="003F1636" w:rsidRPr="000508B6">
        <w:rPr>
          <w:rFonts w:ascii="Times New Roman" w:hAnsi="Times New Roman" w:cs="Times New Roman"/>
          <w:lang w:val="ro-MD"/>
        </w:rPr>
        <w:t>asigurare generală</w:t>
      </w:r>
      <w:r w:rsidRPr="000508B6">
        <w:rPr>
          <w:rFonts w:ascii="Times New Roman" w:hAnsi="Times New Roman" w:cs="Times New Roman"/>
          <w:lang w:val="ro-MD"/>
        </w:rPr>
        <w:t xml:space="preserve"> </w:t>
      </w:r>
      <w:r w:rsidR="00BB47F6" w:rsidRPr="000508B6">
        <w:rPr>
          <w:rFonts w:ascii="Times New Roman" w:hAnsi="Times New Roman" w:cs="Times New Roman"/>
          <w:lang w:val="ro-MD"/>
        </w:rPr>
        <w:t xml:space="preserve">nu depășește </w:t>
      </w:r>
      <w:r w:rsidR="0005200D" w:rsidRPr="000508B6">
        <w:rPr>
          <w:rFonts w:ascii="Times New Roman" w:hAnsi="Times New Roman" w:cs="Times New Roman"/>
          <w:lang w:val="ro-MD"/>
        </w:rPr>
        <w:t xml:space="preserve">echivalentul în lei a </w:t>
      </w:r>
      <w:r w:rsidR="00BB47F6" w:rsidRPr="000508B6">
        <w:rPr>
          <w:rFonts w:ascii="Times New Roman" w:hAnsi="Times New Roman" w:cs="Times New Roman"/>
          <w:lang w:val="ro-MD"/>
        </w:rPr>
        <w:t xml:space="preserve">100 000 000 EUR; </w:t>
      </w:r>
    </w:p>
    <w:bookmarkEnd w:id="155"/>
    <w:p w14:paraId="5F517DEE" w14:textId="5C2F7E1E" w:rsidR="00BB47F6" w:rsidRPr="000508B6" w:rsidRDefault="00512547" w:rsidP="00B913DE">
      <w:pPr>
        <w:pStyle w:val="Listparagraf"/>
        <w:numPr>
          <w:ilvl w:val="3"/>
          <w:numId w:val="377"/>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suma PBS anuale înregistrate pentru </w:t>
      </w:r>
      <w:r w:rsidR="00BB47F6" w:rsidRPr="000508B6">
        <w:rPr>
          <w:rFonts w:ascii="Times New Roman" w:hAnsi="Times New Roman" w:cs="Times New Roman"/>
          <w:lang w:val="ro-MD"/>
        </w:rPr>
        <w:t xml:space="preserve">clasele 5-7, 11, 12, 14 și 15 din </w:t>
      </w:r>
      <w:r w:rsidR="002D076B" w:rsidRPr="000508B6">
        <w:rPr>
          <w:rFonts w:ascii="Times New Roman" w:hAnsi="Times New Roman" w:cs="Times New Roman"/>
          <w:lang w:val="ro-MD"/>
        </w:rPr>
        <w:t>A</w:t>
      </w:r>
      <w:r w:rsidR="00BB47F6" w:rsidRPr="000508B6">
        <w:rPr>
          <w:rFonts w:ascii="Times New Roman" w:hAnsi="Times New Roman" w:cs="Times New Roman"/>
          <w:lang w:val="ro-MD"/>
        </w:rPr>
        <w:t xml:space="preserve">nexa </w:t>
      </w:r>
      <w:r w:rsidR="00AE4C99" w:rsidRPr="000508B6">
        <w:rPr>
          <w:rFonts w:ascii="Times New Roman" w:hAnsi="Times New Roman" w:cs="Times New Roman"/>
          <w:lang w:val="ro-MD"/>
        </w:rPr>
        <w:t>nr.</w:t>
      </w:r>
      <w:r w:rsidR="006B7568" w:rsidRPr="000508B6">
        <w:rPr>
          <w:rFonts w:ascii="Times New Roman" w:hAnsi="Times New Roman" w:cs="Times New Roman"/>
          <w:lang w:val="ro-MD"/>
        </w:rPr>
        <w:t xml:space="preserve"> </w:t>
      </w:r>
      <w:r w:rsidR="00AE4C99" w:rsidRPr="000508B6">
        <w:rPr>
          <w:rFonts w:ascii="Times New Roman" w:hAnsi="Times New Roman" w:cs="Times New Roman"/>
          <w:lang w:val="ro-MD"/>
        </w:rPr>
        <w:t>1</w:t>
      </w:r>
      <w:r w:rsidR="006B7568" w:rsidRPr="000508B6">
        <w:rPr>
          <w:rFonts w:ascii="Times New Roman" w:hAnsi="Times New Roman" w:cs="Times New Roman"/>
          <w:lang w:val="ro-MD"/>
        </w:rPr>
        <w:t>.</w:t>
      </w:r>
      <w:r w:rsidR="00BB47F6" w:rsidRPr="000508B6" w:rsidDel="002D076B">
        <w:rPr>
          <w:rFonts w:ascii="Times New Roman" w:hAnsi="Times New Roman" w:cs="Times New Roman"/>
          <w:lang w:val="ro-MD"/>
        </w:rPr>
        <w:t xml:space="preserve"> </w:t>
      </w:r>
      <w:r w:rsidR="002D076B" w:rsidRPr="000508B6">
        <w:rPr>
          <w:rFonts w:ascii="Times New Roman" w:hAnsi="Times New Roman" w:cs="Times New Roman"/>
          <w:lang w:val="ro-MD"/>
        </w:rPr>
        <w:t xml:space="preserve">Secțiunea </w:t>
      </w:r>
      <w:r w:rsidR="00BB47F6" w:rsidRPr="000508B6">
        <w:rPr>
          <w:rFonts w:ascii="Times New Roman" w:hAnsi="Times New Roman" w:cs="Times New Roman"/>
          <w:lang w:val="ro-MD"/>
        </w:rPr>
        <w:t xml:space="preserve">A nu depășește 30 % din totalul anual </w:t>
      </w:r>
      <w:r w:rsidRPr="000508B6">
        <w:rPr>
          <w:rFonts w:ascii="Times New Roman" w:hAnsi="Times New Roman" w:cs="Times New Roman"/>
          <w:lang w:val="ro-MD"/>
        </w:rPr>
        <w:t>PBS</w:t>
      </w:r>
      <w:r w:rsidR="00BB47F6" w:rsidRPr="000508B6">
        <w:rPr>
          <w:rFonts w:ascii="Times New Roman" w:hAnsi="Times New Roman" w:cs="Times New Roman"/>
          <w:lang w:val="ro-MD"/>
        </w:rPr>
        <w:t xml:space="preserve"> aferente activității de asigurare generală;</w:t>
      </w:r>
    </w:p>
    <w:p w14:paraId="54590859" w14:textId="4D87A927" w:rsidR="00BB47F6" w:rsidRPr="000508B6" w:rsidRDefault="00BB47F6" w:rsidP="00B913DE">
      <w:pPr>
        <w:pStyle w:val="Listparagraf"/>
        <w:numPr>
          <w:ilvl w:val="3"/>
          <w:numId w:val="377"/>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suma următoarelor elemente nu depășește 20 % din investițiile totale:</w:t>
      </w:r>
    </w:p>
    <w:p w14:paraId="76A225F4" w14:textId="0240D90F" w:rsidR="00BB47F6" w:rsidRPr="000508B6" w:rsidRDefault="00BB47F6" w:rsidP="00B913DE">
      <w:pPr>
        <w:pStyle w:val="Listparagraf"/>
        <w:numPr>
          <w:ilvl w:val="1"/>
          <w:numId w:val="379"/>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modulul </w:t>
      </w:r>
      <w:r w:rsidR="006B7568" w:rsidRPr="000508B6">
        <w:rPr>
          <w:rFonts w:ascii="Times New Roman" w:hAnsi="Times New Roman" w:cs="Times New Roman"/>
          <w:lang w:val="ro-MD"/>
        </w:rPr>
        <w:t>„</w:t>
      </w:r>
      <w:r w:rsidRPr="000508B6">
        <w:rPr>
          <w:rFonts w:ascii="Times New Roman" w:hAnsi="Times New Roman" w:cs="Times New Roman"/>
          <w:lang w:val="ro-MD"/>
        </w:rPr>
        <w:t>risc de piață</w:t>
      </w:r>
      <w:r w:rsidR="00E90371" w:rsidRPr="000508B6">
        <w:rPr>
          <w:rFonts w:ascii="Times New Roman" w:hAnsi="Times New Roman" w:cs="Times New Roman"/>
          <w:lang w:val="ro-MD"/>
        </w:rPr>
        <w:t>”</w:t>
      </w:r>
      <w:r w:rsidRPr="000508B6">
        <w:rPr>
          <w:rFonts w:ascii="Times New Roman" w:hAnsi="Times New Roman" w:cs="Times New Roman"/>
          <w:lang w:val="ro-MD"/>
        </w:rPr>
        <w:t xml:space="preserve"> menționat la art</w:t>
      </w:r>
      <w:r w:rsidR="003B5E1D" w:rsidRPr="000508B6">
        <w:rPr>
          <w:rFonts w:ascii="Times New Roman" w:hAnsi="Times New Roman" w:cs="Times New Roman"/>
          <w:lang w:val="ro-MD"/>
        </w:rPr>
        <w:t>.</w:t>
      </w:r>
      <w:r w:rsidRPr="000508B6">
        <w:rPr>
          <w:rFonts w:ascii="Times New Roman" w:hAnsi="Times New Roman" w:cs="Times New Roman"/>
          <w:lang w:val="ro-MD"/>
        </w:rPr>
        <w:t xml:space="preserve"> </w:t>
      </w:r>
      <w:r w:rsidR="003B5E1D" w:rsidRPr="000508B6">
        <w:rPr>
          <w:rFonts w:ascii="Times New Roman" w:hAnsi="Times New Roman" w:cs="Times New Roman"/>
          <w:lang w:val="ro-MD"/>
        </w:rPr>
        <w:t>68</w:t>
      </w:r>
      <w:r w:rsidRPr="000508B6">
        <w:rPr>
          <w:rFonts w:ascii="Times New Roman" w:hAnsi="Times New Roman" w:cs="Times New Roman"/>
          <w:lang w:val="ro-MD"/>
        </w:rPr>
        <w:t xml:space="preserve"> </w:t>
      </w:r>
      <w:r w:rsidR="00914E86" w:rsidRPr="000508B6">
        <w:rPr>
          <w:rFonts w:ascii="Times New Roman" w:hAnsi="Times New Roman" w:cs="Times New Roman"/>
          <w:lang w:val="ro-MD"/>
        </w:rPr>
        <w:t xml:space="preserve">alin. </w:t>
      </w:r>
      <w:r w:rsidRPr="000508B6">
        <w:rPr>
          <w:rFonts w:ascii="Times New Roman" w:hAnsi="Times New Roman" w:cs="Times New Roman"/>
          <w:lang w:val="ro-MD"/>
        </w:rPr>
        <w:t>(</w:t>
      </w:r>
      <w:r w:rsidR="003B5E1D" w:rsidRPr="000508B6">
        <w:rPr>
          <w:rFonts w:ascii="Times New Roman" w:hAnsi="Times New Roman" w:cs="Times New Roman"/>
          <w:lang w:val="ro-MD"/>
        </w:rPr>
        <w:t>7</w:t>
      </w:r>
      <w:r w:rsidRPr="000508B6">
        <w:rPr>
          <w:rFonts w:ascii="Times New Roman" w:hAnsi="Times New Roman" w:cs="Times New Roman"/>
          <w:lang w:val="ro-MD"/>
        </w:rPr>
        <w:t>);</w:t>
      </w:r>
    </w:p>
    <w:p w14:paraId="459709DC" w14:textId="3192F8D4" w:rsidR="00BB47F6" w:rsidRPr="000508B6" w:rsidRDefault="00BB47F6" w:rsidP="00B913DE">
      <w:pPr>
        <w:pStyle w:val="Listparagraf"/>
        <w:numPr>
          <w:ilvl w:val="1"/>
          <w:numId w:val="379"/>
        </w:numPr>
        <w:tabs>
          <w:tab w:val="left" w:pos="567"/>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partea din modulul </w:t>
      </w:r>
      <w:r w:rsidR="006B7568" w:rsidRPr="000508B6">
        <w:rPr>
          <w:rFonts w:ascii="Times New Roman" w:hAnsi="Times New Roman" w:cs="Times New Roman"/>
          <w:lang w:val="ro-MD"/>
        </w:rPr>
        <w:t>„</w:t>
      </w:r>
      <w:r w:rsidRPr="000508B6">
        <w:rPr>
          <w:rFonts w:ascii="Times New Roman" w:hAnsi="Times New Roman" w:cs="Times New Roman"/>
          <w:lang w:val="ro-MD"/>
        </w:rPr>
        <w:t>risc de contrapartidă</w:t>
      </w:r>
      <w:r w:rsidR="00E90371" w:rsidRPr="000508B6">
        <w:rPr>
          <w:rFonts w:ascii="Times New Roman" w:hAnsi="Times New Roman" w:cs="Times New Roman"/>
          <w:lang w:val="ro-MD"/>
        </w:rPr>
        <w:t>”</w:t>
      </w:r>
      <w:r w:rsidRPr="000508B6">
        <w:rPr>
          <w:rFonts w:ascii="Times New Roman" w:hAnsi="Times New Roman" w:cs="Times New Roman"/>
          <w:lang w:val="ro-MD"/>
        </w:rPr>
        <w:t xml:space="preserve"> menționat la art</w:t>
      </w:r>
      <w:r w:rsidR="003B5E1D" w:rsidRPr="000508B6">
        <w:rPr>
          <w:rFonts w:ascii="Times New Roman" w:hAnsi="Times New Roman" w:cs="Times New Roman"/>
          <w:lang w:val="ro-MD"/>
        </w:rPr>
        <w:t>.</w:t>
      </w:r>
      <w:r w:rsidRPr="000508B6">
        <w:rPr>
          <w:rFonts w:ascii="Times New Roman" w:hAnsi="Times New Roman" w:cs="Times New Roman"/>
          <w:lang w:val="ro-MD"/>
        </w:rPr>
        <w:t xml:space="preserve"> </w:t>
      </w:r>
      <w:r w:rsidR="003B5E1D" w:rsidRPr="000508B6">
        <w:rPr>
          <w:rFonts w:ascii="Times New Roman" w:hAnsi="Times New Roman" w:cs="Times New Roman"/>
          <w:lang w:val="ro-MD"/>
        </w:rPr>
        <w:t>68</w:t>
      </w:r>
      <w:r w:rsidRPr="000508B6">
        <w:rPr>
          <w:rFonts w:ascii="Times New Roman" w:hAnsi="Times New Roman" w:cs="Times New Roman"/>
          <w:lang w:val="ro-MD"/>
        </w:rPr>
        <w:t xml:space="preserve"> alin</w:t>
      </w:r>
      <w:r w:rsidR="003B5E1D" w:rsidRPr="000508B6">
        <w:rPr>
          <w:rFonts w:ascii="Times New Roman" w:hAnsi="Times New Roman" w:cs="Times New Roman"/>
          <w:lang w:val="ro-MD"/>
        </w:rPr>
        <w:t>.</w:t>
      </w:r>
      <w:r w:rsidR="006B7568" w:rsidRPr="000508B6">
        <w:rPr>
          <w:rFonts w:ascii="Times New Roman" w:hAnsi="Times New Roman" w:cs="Times New Roman"/>
          <w:lang w:val="ro-MD"/>
        </w:rPr>
        <w:t xml:space="preserve"> </w:t>
      </w:r>
      <w:r w:rsidRPr="000508B6">
        <w:rPr>
          <w:rFonts w:ascii="Times New Roman" w:hAnsi="Times New Roman" w:cs="Times New Roman"/>
          <w:lang w:val="ro-MD"/>
        </w:rPr>
        <w:t>(</w:t>
      </w:r>
      <w:r w:rsidR="00967781" w:rsidRPr="000508B6">
        <w:rPr>
          <w:rFonts w:ascii="Times New Roman" w:hAnsi="Times New Roman" w:cs="Times New Roman"/>
          <w:lang w:val="ro-MD"/>
        </w:rPr>
        <w:t>10</w:t>
      </w:r>
      <w:r w:rsidRPr="000508B6">
        <w:rPr>
          <w:rFonts w:ascii="Times New Roman" w:hAnsi="Times New Roman" w:cs="Times New Roman"/>
          <w:lang w:val="ro-MD"/>
        </w:rPr>
        <w:t xml:space="preserve">) care corespunde expunerilor la securitizări, instrumente financiare derivate, creanțe de la intermediari și alte investiții care nu sunt acoperite de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w:t>
      </w:r>
      <w:r w:rsidR="006B7568" w:rsidRPr="000508B6">
        <w:rPr>
          <w:rFonts w:ascii="Times New Roman" w:hAnsi="Times New Roman" w:cs="Times New Roman"/>
          <w:lang w:val="ro-MD"/>
        </w:rPr>
        <w:t>„</w:t>
      </w:r>
      <w:r w:rsidRPr="000508B6">
        <w:rPr>
          <w:rFonts w:ascii="Times New Roman" w:hAnsi="Times New Roman" w:cs="Times New Roman"/>
          <w:lang w:val="ro-MD"/>
        </w:rPr>
        <w:t>risc de marjă de credit</w:t>
      </w:r>
      <w:r w:rsidR="00E90371" w:rsidRPr="000508B6">
        <w:rPr>
          <w:rFonts w:ascii="Times New Roman" w:hAnsi="Times New Roman" w:cs="Times New Roman"/>
          <w:lang w:val="ro-MD"/>
        </w:rPr>
        <w:t>”;</w:t>
      </w:r>
    </w:p>
    <w:p w14:paraId="4E621F74" w14:textId="0CD821D7" w:rsidR="00BB47F6" w:rsidRPr="000508B6" w:rsidRDefault="00155FA9" w:rsidP="00CF5AFA">
      <w:pPr>
        <w:pStyle w:val="Listparagraf"/>
        <w:numPr>
          <w:ilvl w:val="1"/>
          <w:numId w:val="379"/>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SCR </w:t>
      </w:r>
      <w:r w:rsidR="00BB47F6" w:rsidRPr="000508B6">
        <w:rPr>
          <w:rFonts w:ascii="Times New Roman" w:hAnsi="Times New Roman" w:cs="Times New Roman"/>
          <w:lang w:val="ro-MD"/>
        </w:rPr>
        <w:t xml:space="preserve"> aplicabilă investițiilor în active necorporale care nu sunt acoperite de modulele </w:t>
      </w:r>
      <w:r w:rsidR="006B7568" w:rsidRPr="000508B6">
        <w:rPr>
          <w:rFonts w:ascii="Times New Roman" w:hAnsi="Times New Roman" w:cs="Times New Roman"/>
          <w:lang w:val="ro-MD"/>
        </w:rPr>
        <w:t>„</w:t>
      </w:r>
      <w:r w:rsidR="00BB47F6" w:rsidRPr="000508B6">
        <w:rPr>
          <w:rFonts w:ascii="Times New Roman" w:hAnsi="Times New Roman" w:cs="Times New Roman"/>
          <w:lang w:val="ro-MD"/>
        </w:rPr>
        <w:t>risc de piață</w:t>
      </w:r>
      <w:r w:rsidR="0001076F" w:rsidRPr="000508B6">
        <w:rPr>
          <w:rFonts w:ascii="Times New Roman" w:hAnsi="Times New Roman" w:cs="Times New Roman"/>
          <w:lang w:val="ro-MD"/>
        </w:rPr>
        <w:t>”</w:t>
      </w:r>
      <w:r w:rsidR="00BB47F6" w:rsidRPr="000508B6">
        <w:rPr>
          <w:rFonts w:ascii="Times New Roman" w:hAnsi="Times New Roman" w:cs="Times New Roman"/>
          <w:lang w:val="ro-MD"/>
        </w:rPr>
        <w:t xml:space="preserve"> și </w:t>
      </w:r>
      <w:r w:rsidR="006B7568" w:rsidRPr="000508B6">
        <w:rPr>
          <w:rFonts w:ascii="Times New Roman" w:hAnsi="Times New Roman" w:cs="Times New Roman"/>
          <w:lang w:val="ro-MD"/>
        </w:rPr>
        <w:t>„</w:t>
      </w:r>
      <w:r w:rsidR="00BB47F6" w:rsidRPr="000508B6">
        <w:rPr>
          <w:rFonts w:ascii="Times New Roman" w:hAnsi="Times New Roman" w:cs="Times New Roman"/>
          <w:lang w:val="ro-MD"/>
        </w:rPr>
        <w:t>risc de contrapartidă</w:t>
      </w:r>
      <w:r w:rsidR="009342C6" w:rsidRPr="000508B6">
        <w:rPr>
          <w:rFonts w:ascii="Times New Roman" w:hAnsi="Times New Roman" w:cs="Times New Roman"/>
          <w:lang w:val="ro-MD"/>
        </w:rPr>
        <w:t>”.</w:t>
      </w:r>
    </w:p>
    <w:p w14:paraId="255D7983" w14:textId="466DFE9F" w:rsidR="00BB47F6" w:rsidRPr="000508B6" w:rsidRDefault="00BB47F6" w:rsidP="00CF5AFA">
      <w:pPr>
        <w:pStyle w:val="Listparagraf"/>
        <w:numPr>
          <w:ilvl w:val="3"/>
          <w:numId w:val="377"/>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acceptările în reasigurare de către nu depășesc 50 % din total</w:t>
      </w:r>
      <w:r w:rsidR="00EE4601" w:rsidRPr="000508B6">
        <w:rPr>
          <w:rFonts w:ascii="Times New Roman" w:hAnsi="Times New Roman" w:cs="Times New Roman"/>
          <w:lang w:val="ro-MD"/>
        </w:rPr>
        <w:t>ul</w:t>
      </w:r>
      <w:r w:rsidRPr="000508B6">
        <w:rPr>
          <w:rFonts w:ascii="Times New Roman" w:hAnsi="Times New Roman" w:cs="Times New Roman"/>
          <w:lang w:val="ro-MD"/>
        </w:rPr>
        <w:t xml:space="preserve"> anual din </w:t>
      </w:r>
      <w:r w:rsidR="00AA2EC8" w:rsidRPr="000508B6">
        <w:rPr>
          <w:rFonts w:ascii="Times New Roman" w:hAnsi="Times New Roman" w:cs="Times New Roman"/>
          <w:lang w:val="ro-MD"/>
        </w:rPr>
        <w:t>PBS</w:t>
      </w:r>
      <w:r w:rsidRPr="000508B6">
        <w:rPr>
          <w:rFonts w:ascii="Times New Roman" w:hAnsi="Times New Roman" w:cs="Times New Roman"/>
          <w:lang w:val="ro-MD"/>
        </w:rPr>
        <w:t>;</w:t>
      </w:r>
    </w:p>
    <w:p w14:paraId="0E0B5E4D" w14:textId="0AD21672" w:rsidR="00BB47F6" w:rsidRPr="000508B6" w:rsidRDefault="006C1C25" w:rsidP="00CF5AFA">
      <w:pPr>
        <w:pStyle w:val="Listparagraf"/>
        <w:numPr>
          <w:ilvl w:val="3"/>
          <w:numId w:val="377"/>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SCR</w:t>
      </w:r>
      <w:r w:rsidR="00BB47F6" w:rsidRPr="000508B6">
        <w:rPr>
          <w:rFonts w:ascii="Times New Roman" w:hAnsi="Times New Roman" w:cs="Times New Roman"/>
          <w:lang w:val="ro-MD"/>
        </w:rPr>
        <w:t xml:space="preserve"> este respectată;</w:t>
      </w:r>
    </w:p>
    <w:p w14:paraId="6E7E8677" w14:textId="2EC4210E" w:rsidR="004B0311" w:rsidRPr="000508B6" w:rsidRDefault="004B0311" w:rsidP="003B5FB7">
      <w:pPr>
        <w:pStyle w:val="Listparagraf"/>
        <w:numPr>
          <w:ilvl w:val="0"/>
          <w:numId w:val="372"/>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Pentru a putea fi încadrat în categoria asigur</w:t>
      </w:r>
      <w:r w:rsidR="005A50DE" w:rsidRPr="000508B6">
        <w:rPr>
          <w:rFonts w:ascii="Times New Roman" w:hAnsi="Times New Roman" w:cs="Times New Roman"/>
          <w:lang w:val="ro-MD"/>
        </w:rPr>
        <w:t>ă</w:t>
      </w:r>
      <w:r w:rsidRPr="000508B6">
        <w:rPr>
          <w:rFonts w:ascii="Times New Roman" w:hAnsi="Times New Roman" w:cs="Times New Roman"/>
          <w:lang w:val="ro-MD"/>
        </w:rPr>
        <w:t xml:space="preserve">tor </w:t>
      </w:r>
      <w:r w:rsidR="00E20F73" w:rsidRPr="000508B6">
        <w:rPr>
          <w:rFonts w:ascii="Times New Roman" w:hAnsi="Times New Roman" w:cs="Times New Roman"/>
          <w:lang w:val="ro-MD"/>
        </w:rPr>
        <w:t xml:space="preserve">sau </w:t>
      </w:r>
      <w:proofErr w:type="spellStart"/>
      <w:r w:rsidR="00E20F73" w:rsidRPr="000508B6">
        <w:rPr>
          <w:rFonts w:ascii="Times New Roman" w:hAnsi="Times New Roman" w:cs="Times New Roman"/>
          <w:lang w:val="ro-MD"/>
        </w:rPr>
        <w:t>reasigur</w:t>
      </w:r>
      <w:r w:rsidR="005A50DE" w:rsidRPr="000508B6">
        <w:rPr>
          <w:rFonts w:ascii="Times New Roman" w:hAnsi="Times New Roman" w:cs="Times New Roman"/>
          <w:lang w:val="ro-MD"/>
        </w:rPr>
        <w:t>ă</w:t>
      </w:r>
      <w:r w:rsidR="00E20F73" w:rsidRPr="000508B6">
        <w:rPr>
          <w:rFonts w:ascii="Times New Roman" w:hAnsi="Times New Roman" w:cs="Times New Roman"/>
          <w:lang w:val="ro-MD"/>
        </w:rPr>
        <w:t>tor</w:t>
      </w:r>
      <w:proofErr w:type="spellEnd"/>
      <w:r w:rsidRPr="000508B6">
        <w:rPr>
          <w:rFonts w:ascii="Times New Roman" w:hAnsi="Times New Roman" w:cs="Times New Roman"/>
          <w:lang w:val="ro-MD"/>
        </w:rPr>
        <w:t xml:space="preserve"> mic și </w:t>
      </w:r>
      <w:r w:rsidR="00F50A10" w:rsidRPr="000508B6">
        <w:rPr>
          <w:rFonts w:ascii="Times New Roman" w:hAnsi="Times New Roman" w:cs="Times New Roman"/>
          <w:lang w:val="ro-MD"/>
        </w:rPr>
        <w:t>cu grad redus de complexitate</w:t>
      </w:r>
      <w:r w:rsidRPr="000508B6">
        <w:rPr>
          <w:rFonts w:ascii="Times New Roman" w:hAnsi="Times New Roman" w:cs="Times New Roman"/>
          <w:lang w:val="ro-MD"/>
        </w:rPr>
        <w:t>, asigur</w:t>
      </w:r>
      <w:r w:rsidR="005A50DE" w:rsidRPr="000508B6">
        <w:rPr>
          <w:rFonts w:ascii="Times New Roman" w:hAnsi="Times New Roman" w:cs="Times New Roman"/>
          <w:lang w:val="ro-MD"/>
        </w:rPr>
        <w:t>ă</w:t>
      </w:r>
      <w:r w:rsidRPr="000508B6">
        <w:rPr>
          <w:rFonts w:ascii="Times New Roman" w:hAnsi="Times New Roman" w:cs="Times New Roman"/>
          <w:lang w:val="ro-MD"/>
        </w:rPr>
        <w:t xml:space="preserve">torul compozit care înregistrează rezerve tehnice brute aferente asigurărilor de viață de cel puțin 20% din totalul rezervelor tehnice brute determinate conform art. 42 și PBS din activitatea de </w:t>
      </w:r>
      <w:r w:rsidR="003F1636" w:rsidRPr="000508B6">
        <w:rPr>
          <w:rFonts w:ascii="Times New Roman" w:hAnsi="Times New Roman" w:cs="Times New Roman"/>
          <w:lang w:val="ro-MD"/>
        </w:rPr>
        <w:t>asigurare generală</w:t>
      </w:r>
      <w:r w:rsidRPr="000508B6">
        <w:rPr>
          <w:rFonts w:ascii="Times New Roman" w:hAnsi="Times New Roman" w:cs="Times New Roman"/>
          <w:lang w:val="ro-MD"/>
        </w:rPr>
        <w:t xml:space="preserve"> de cel puțin 40% din totalul anual al PBS îndeplinește toate criteriile de la alin. (7).</w:t>
      </w:r>
    </w:p>
    <w:p w14:paraId="3E1C3D66" w14:textId="11286114" w:rsidR="00CA111D" w:rsidRPr="000508B6" w:rsidRDefault="008D44B7" w:rsidP="0080452B">
      <w:pPr>
        <w:pStyle w:val="Listparagraf"/>
        <w:numPr>
          <w:ilvl w:val="0"/>
          <w:numId w:val="372"/>
        </w:numPr>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Criteriile </w:t>
      </w:r>
      <w:r w:rsidR="00CA111D" w:rsidRPr="000508B6">
        <w:rPr>
          <w:rFonts w:ascii="Times New Roman" w:hAnsi="Times New Roman" w:cs="Times New Roman"/>
          <w:lang w:val="ro-MD"/>
        </w:rPr>
        <w:t>prevăzute la alin. (6) sunt următoarele:</w:t>
      </w:r>
    </w:p>
    <w:p w14:paraId="1852EFB4" w14:textId="02FC57DC" w:rsidR="00BB47F6" w:rsidRPr="000508B6" w:rsidRDefault="00D94D58" w:rsidP="00CF5AFA">
      <w:pPr>
        <w:pStyle w:val="Listparagraf"/>
        <w:numPr>
          <w:ilvl w:val="3"/>
          <w:numId w:val="381"/>
        </w:numPr>
        <w:spacing w:after="0" w:line="240" w:lineRule="auto"/>
        <w:ind w:left="0" w:firstLine="425"/>
        <w:jc w:val="both"/>
        <w:rPr>
          <w:rFonts w:ascii="Times New Roman" w:hAnsi="Times New Roman" w:cs="Times New Roman"/>
          <w:lang w:val="ro-MD"/>
        </w:rPr>
      </w:pP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rata dobânzii prevăzut la art. 68 alin. (8) lit. a) nu depășește 5% din rezervele tehnice brute prevăzute la art. 42;</w:t>
      </w:r>
    </w:p>
    <w:p w14:paraId="40C28CAE" w14:textId="64D4ACFA" w:rsidR="00BB47F6" w:rsidRPr="000508B6" w:rsidRDefault="00BB47F6" w:rsidP="00CF5AFA">
      <w:pPr>
        <w:pStyle w:val="Listparagraf"/>
        <w:numPr>
          <w:ilvl w:val="3"/>
          <w:numId w:val="38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rata combinată medie pentru activitatea de asigurare generală, după deducerea reasigurării, din ultimii trei ani este mai mică de 100 %;</w:t>
      </w:r>
    </w:p>
    <w:p w14:paraId="029BC336" w14:textId="02EA1DC1" w:rsidR="00BB47F6" w:rsidRPr="000508B6" w:rsidRDefault="00D94D58" w:rsidP="00CF5AFA">
      <w:pPr>
        <w:pStyle w:val="Listparagraf"/>
        <w:numPr>
          <w:ilvl w:val="3"/>
          <w:numId w:val="38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lastRenderedPageBreak/>
        <w:t xml:space="preserve">rezervele tehnice brute prevăzute la art. 42 aferente asigurărilor de viață </w:t>
      </w:r>
      <w:r w:rsidR="00BB47F6" w:rsidRPr="000508B6">
        <w:rPr>
          <w:rFonts w:ascii="Times New Roman" w:hAnsi="Times New Roman" w:cs="Times New Roman"/>
          <w:lang w:val="ro-MD"/>
        </w:rPr>
        <w:t xml:space="preserve"> nu depășesc </w:t>
      </w:r>
      <w:r w:rsidR="00642EE4" w:rsidRPr="000508B6">
        <w:rPr>
          <w:rFonts w:ascii="Times New Roman" w:hAnsi="Times New Roman" w:cs="Times New Roman"/>
          <w:lang w:val="ro-MD"/>
        </w:rPr>
        <w:t xml:space="preserve">echivalentul în lei a </w:t>
      </w:r>
      <w:r w:rsidR="00BB47F6" w:rsidRPr="000508B6">
        <w:rPr>
          <w:rFonts w:ascii="Times New Roman" w:hAnsi="Times New Roman" w:cs="Times New Roman"/>
          <w:lang w:val="ro-MD"/>
        </w:rPr>
        <w:t>1 000 000 000 EUR;</w:t>
      </w:r>
    </w:p>
    <w:p w14:paraId="2C9C937C" w14:textId="4B69C7E1" w:rsidR="00BB47F6" w:rsidRPr="000508B6" w:rsidRDefault="00970AE1" w:rsidP="00CF5AFA">
      <w:pPr>
        <w:pStyle w:val="Listparagraf"/>
        <w:numPr>
          <w:ilvl w:val="3"/>
          <w:numId w:val="38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PBS anuale înregistrate </w:t>
      </w:r>
      <w:r w:rsidR="00BB47F6" w:rsidRPr="000508B6">
        <w:rPr>
          <w:rFonts w:ascii="Times New Roman" w:hAnsi="Times New Roman" w:cs="Times New Roman"/>
          <w:lang w:val="ro-MD"/>
        </w:rPr>
        <w:t>din activitate</w:t>
      </w:r>
      <w:r w:rsidR="00642EE4" w:rsidRPr="000508B6">
        <w:rPr>
          <w:rFonts w:ascii="Times New Roman" w:hAnsi="Times New Roman" w:cs="Times New Roman"/>
          <w:lang w:val="ro-MD"/>
        </w:rPr>
        <w:t>a</w:t>
      </w:r>
      <w:r w:rsidR="00BB47F6" w:rsidRPr="000508B6">
        <w:rPr>
          <w:rFonts w:ascii="Times New Roman" w:hAnsi="Times New Roman" w:cs="Times New Roman"/>
          <w:lang w:val="ro-MD"/>
        </w:rPr>
        <w:t xml:space="preserve"> de asigurare generală nu depășește </w:t>
      </w:r>
      <w:r w:rsidR="00642EE4" w:rsidRPr="000508B6">
        <w:rPr>
          <w:rFonts w:ascii="Times New Roman" w:hAnsi="Times New Roman" w:cs="Times New Roman"/>
          <w:lang w:val="ro-MD"/>
        </w:rPr>
        <w:t xml:space="preserve">echivalentul în lei a </w:t>
      </w:r>
      <w:r w:rsidR="00BB47F6" w:rsidRPr="000508B6">
        <w:rPr>
          <w:rFonts w:ascii="Times New Roman" w:hAnsi="Times New Roman" w:cs="Times New Roman"/>
          <w:lang w:val="ro-MD"/>
        </w:rPr>
        <w:t>100 000 000 EUR;</w:t>
      </w:r>
    </w:p>
    <w:p w14:paraId="0DD2BD9D" w14:textId="186BC772" w:rsidR="00BB47F6" w:rsidRPr="000508B6" w:rsidRDefault="00970AE1" w:rsidP="00CF5AFA">
      <w:pPr>
        <w:pStyle w:val="Listparagraf"/>
        <w:numPr>
          <w:ilvl w:val="3"/>
          <w:numId w:val="38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PBS anuale înregistrate din activitatea transfrontalieră sunt mai mici decât oricare dintre următoarele praguri</w:t>
      </w:r>
      <w:r w:rsidR="00BB47F6" w:rsidRPr="000508B6">
        <w:rPr>
          <w:rFonts w:ascii="Times New Roman" w:hAnsi="Times New Roman" w:cs="Times New Roman"/>
          <w:lang w:val="ro-MD"/>
        </w:rPr>
        <w:t>:</w:t>
      </w:r>
    </w:p>
    <w:p w14:paraId="7B579E97" w14:textId="4F239C92" w:rsidR="007262AA" w:rsidRPr="000508B6" w:rsidRDefault="00642EE4" w:rsidP="00CF5AFA">
      <w:pPr>
        <w:pStyle w:val="Listparagraf"/>
        <w:numPr>
          <w:ilvl w:val="1"/>
          <w:numId w:val="380"/>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echivalentul în lei a </w:t>
      </w:r>
      <w:r w:rsidR="007262AA" w:rsidRPr="000508B6">
        <w:rPr>
          <w:rFonts w:ascii="Times New Roman" w:hAnsi="Times New Roman" w:cs="Times New Roman"/>
          <w:lang w:val="ro-MD"/>
        </w:rPr>
        <w:t>20 000 000 EUR;</w:t>
      </w:r>
    </w:p>
    <w:p w14:paraId="6B6C125F" w14:textId="380F321B" w:rsidR="007262AA" w:rsidRPr="000508B6" w:rsidRDefault="007262AA" w:rsidP="00CF5AFA">
      <w:pPr>
        <w:pStyle w:val="Listparagraf"/>
        <w:numPr>
          <w:ilvl w:val="1"/>
          <w:numId w:val="380"/>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10 % din total</w:t>
      </w:r>
      <w:r w:rsidR="00970AE1" w:rsidRPr="000508B6">
        <w:rPr>
          <w:rFonts w:ascii="Times New Roman" w:hAnsi="Times New Roman" w:cs="Times New Roman"/>
          <w:lang w:val="ro-MD"/>
        </w:rPr>
        <w:t>ul</w:t>
      </w:r>
      <w:r w:rsidRPr="000508B6">
        <w:rPr>
          <w:rFonts w:ascii="Times New Roman" w:hAnsi="Times New Roman" w:cs="Times New Roman"/>
          <w:lang w:val="ro-MD"/>
        </w:rPr>
        <w:t xml:space="preserve"> anual </w:t>
      </w:r>
      <w:r w:rsidR="00970AE1" w:rsidRPr="000508B6">
        <w:rPr>
          <w:rFonts w:ascii="Times New Roman" w:hAnsi="Times New Roman" w:cs="Times New Roman"/>
          <w:lang w:val="ro-MD"/>
        </w:rPr>
        <w:t xml:space="preserve">al </w:t>
      </w:r>
      <w:r w:rsidR="00AA2EC8" w:rsidRPr="000508B6">
        <w:rPr>
          <w:rFonts w:ascii="Times New Roman" w:hAnsi="Times New Roman" w:cs="Times New Roman"/>
          <w:lang w:val="ro-MD"/>
        </w:rPr>
        <w:t>PBS</w:t>
      </w:r>
      <w:r w:rsidR="00642EE4" w:rsidRPr="000508B6">
        <w:rPr>
          <w:rFonts w:ascii="Times New Roman" w:hAnsi="Times New Roman" w:cs="Times New Roman"/>
          <w:lang w:val="ro-MD"/>
        </w:rPr>
        <w:t>.</w:t>
      </w:r>
    </w:p>
    <w:p w14:paraId="52593BC5" w14:textId="73478F41" w:rsidR="00BB47F6" w:rsidRPr="000508B6" w:rsidRDefault="00BB47F6" w:rsidP="00CF5AFA">
      <w:pPr>
        <w:pStyle w:val="Listparagraf"/>
        <w:numPr>
          <w:ilvl w:val="3"/>
          <w:numId w:val="38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suma </w:t>
      </w:r>
      <w:r w:rsidR="00AA2EC8" w:rsidRPr="000508B6">
        <w:rPr>
          <w:rFonts w:ascii="Times New Roman" w:hAnsi="Times New Roman" w:cs="Times New Roman"/>
          <w:lang w:val="ro-MD"/>
        </w:rPr>
        <w:t>PBS</w:t>
      </w:r>
      <w:r w:rsidR="00AA2EC8" w:rsidRPr="000508B6" w:rsidDel="00AA2EC8">
        <w:rPr>
          <w:rFonts w:ascii="Times New Roman" w:hAnsi="Times New Roman" w:cs="Times New Roman"/>
          <w:lang w:val="ro-MD"/>
        </w:rPr>
        <w:t xml:space="preserve"> </w:t>
      </w:r>
      <w:r w:rsidRPr="000508B6">
        <w:rPr>
          <w:rFonts w:ascii="Times New Roman" w:hAnsi="Times New Roman" w:cs="Times New Roman"/>
          <w:lang w:val="ro-MD"/>
        </w:rPr>
        <w:t xml:space="preserve">anuale </w:t>
      </w:r>
      <w:r w:rsidR="00F57BB7" w:rsidRPr="000508B6">
        <w:rPr>
          <w:rFonts w:ascii="Times New Roman" w:hAnsi="Times New Roman" w:cs="Times New Roman"/>
          <w:lang w:val="ro-MD"/>
        </w:rPr>
        <w:t>înregistrate pentru</w:t>
      </w:r>
      <w:r w:rsidRPr="000508B6">
        <w:rPr>
          <w:rFonts w:ascii="Times New Roman" w:hAnsi="Times New Roman" w:cs="Times New Roman"/>
          <w:lang w:val="ro-MD"/>
        </w:rPr>
        <w:t xml:space="preserve"> clasele 5-7, 11, 12, 14 și 15 din </w:t>
      </w:r>
      <w:r w:rsidR="00CB62AD" w:rsidRPr="000508B6">
        <w:rPr>
          <w:rFonts w:ascii="Times New Roman" w:hAnsi="Times New Roman" w:cs="Times New Roman"/>
          <w:lang w:val="ro-MD"/>
        </w:rPr>
        <w:t>A</w:t>
      </w:r>
      <w:r w:rsidRPr="000508B6">
        <w:rPr>
          <w:rFonts w:ascii="Times New Roman" w:hAnsi="Times New Roman" w:cs="Times New Roman"/>
          <w:lang w:val="ro-MD"/>
        </w:rPr>
        <w:t xml:space="preserve">nexa </w:t>
      </w:r>
      <w:r w:rsidR="00AE4C99" w:rsidRPr="000508B6">
        <w:rPr>
          <w:rFonts w:ascii="Times New Roman" w:hAnsi="Times New Roman" w:cs="Times New Roman"/>
          <w:lang w:val="ro-MD"/>
        </w:rPr>
        <w:t>nr.1</w:t>
      </w:r>
      <w:r w:rsidRPr="000508B6" w:rsidDel="00CB62AD">
        <w:rPr>
          <w:rFonts w:ascii="Times New Roman" w:hAnsi="Times New Roman" w:cs="Times New Roman"/>
          <w:lang w:val="ro-MD"/>
        </w:rPr>
        <w:t xml:space="preserve"> </w:t>
      </w:r>
      <w:r w:rsidR="00CB62AD" w:rsidRPr="000508B6">
        <w:rPr>
          <w:rFonts w:ascii="Times New Roman" w:hAnsi="Times New Roman" w:cs="Times New Roman"/>
          <w:lang w:val="ro-MD"/>
        </w:rPr>
        <w:t xml:space="preserve">Secțiunea </w:t>
      </w:r>
      <w:r w:rsidRPr="000508B6">
        <w:rPr>
          <w:rFonts w:ascii="Times New Roman" w:hAnsi="Times New Roman" w:cs="Times New Roman"/>
          <w:lang w:val="ro-MD"/>
        </w:rPr>
        <w:t xml:space="preserve">A nu depășește 30 % din totalul anual </w:t>
      </w:r>
      <w:r w:rsidR="00F57BB7" w:rsidRPr="000508B6">
        <w:rPr>
          <w:rFonts w:ascii="Times New Roman" w:hAnsi="Times New Roman" w:cs="Times New Roman"/>
          <w:lang w:val="ro-MD"/>
        </w:rPr>
        <w:t>al PBS</w:t>
      </w:r>
      <w:r w:rsidRPr="000508B6">
        <w:rPr>
          <w:rFonts w:ascii="Times New Roman" w:hAnsi="Times New Roman" w:cs="Times New Roman"/>
          <w:lang w:val="ro-MD"/>
        </w:rPr>
        <w:t xml:space="preserve"> aferente activității de asigurare generală;</w:t>
      </w:r>
    </w:p>
    <w:p w14:paraId="4456DCB7" w14:textId="7759C283" w:rsidR="00BB47F6" w:rsidRPr="000508B6" w:rsidRDefault="00BB47F6" w:rsidP="00B913DE">
      <w:pPr>
        <w:pStyle w:val="Listparagraf"/>
        <w:numPr>
          <w:ilvl w:val="3"/>
          <w:numId w:val="381"/>
        </w:numPr>
        <w:spacing w:after="0" w:line="240" w:lineRule="auto"/>
        <w:ind w:hanging="215"/>
        <w:jc w:val="both"/>
        <w:rPr>
          <w:rFonts w:ascii="Times New Roman" w:hAnsi="Times New Roman" w:cs="Times New Roman"/>
          <w:lang w:val="ro-MD"/>
        </w:rPr>
      </w:pPr>
      <w:r w:rsidRPr="000508B6">
        <w:rPr>
          <w:rFonts w:ascii="Times New Roman" w:hAnsi="Times New Roman" w:cs="Times New Roman"/>
          <w:lang w:val="ro-MD"/>
        </w:rPr>
        <w:t>suma următoarelor elemente nu depășește 20 % din investițiile totale:</w:t>
      </w:r>
    </w:p>
    <w:p w14:paraId="0FB4FBA5" w14:textId="2CBC08E3" w:rsidR="000A7105" w:rsidRPr="000508B6" w:rsidRDefault="000A7105" w:rsidP="00CF5AFA">
      <w:pPr>
        <w:pStyle w:val="Listparagraf"/>
        <w:numPr>
          <w:ilvl w:val="1"/>
          <w:numId w:val="44"/>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modulul </w:t>
      </w:r>
      <w:r w:rsidR="00856505" w:rsidRPr="000508B6">
        <w:rPr>
          <w:rFonts w:ascii="Times New Roman" w:hAnsi="Times New Roman" w:cs="Times New Roman"/>
          <w:lang w:val="ro-MD"/>
        </w:rPr>
        <w:t>„</w:t>
      </w:r>
      <w:r w:rsidRPr="000508B6">
        <w:rPr>
          <w:rFonts w:ascii="Times New Roman" w:hAnsi="Times New Roman" w:cs="Times New Roman"/>
          <w:lang w:val="ro-MD"/>
        </w:rPr>
        <w:t>risc de piață</w:t>
      </w:r>
      <w:r w:rsidR="0001076F" w:rsidRPr="000508B6">
        <w:rPr>
          <w:rFonts w:ascii="Times New Roman" w:hAnsi="Times New Roman" w:cs="Times New Roman"/>
          <w:lang w:val="ro-MD"/>
        </w:rPr>
        <w:t>”</w:t>
      </w:r>
      <w:r w:rsidRPr="000508B6">
        <w:rPr>
          <w:rFonts w:ascii="Times New Roman" w:hAnsi="Times New Roman" w:cs="Times New Roman"/>
          <w:lang w:val="ro-MD"/>
        </w:rPr>
        <w:t xml:space="preserve"> menționat la art</w:t>
      </w:r>
      <w:r w:rsidR="003B5E1D" w:rsidRPr="000508B6">
        <w:rPr>
          <w:rFonts w:ascii="Times New Roman" w:hAnsi="Times New Roman" w:cs="Times New Roman"/>
          <w:lang w:val="ro-MD"/>
        </w:rPr>
        <w:t>.</w:t>
      </w:r>
      <w:r w:rsidRPr="000508B6">
        <w:rPr>
          <w:rFonts w:ascii="Times New Roman" w:hAnsi="Times New Roman" w:cs="Times New Roman"/>
          <w:lang w:val="ro-MD"/>
        </w:rPr>
        <w:t xml:space="preserve"> </w:t>
      </w:r>
      <w:r w:rsidR="003B5E1D" w:rsidRPr="000508B6">
        <w:rPr>
          <w:rFonts w:ascii="Times New Roman" w:hAnsi="Times New Roman" w:cs="Times New Roman"/>
          <w:lang w:val="ro-MD"/>
        </w:rPr>
        <w:t>68</w:t>
      </w:r>
      <w:r w:rsidRPr="000508B6">
        <w:rPr>
          <w:rFonts w:ascii="Times New Roman" w:hAnsi="Times New Roman" w:cs="Times New Roman"/>
          <w:lang w:val="ro-MD"/>
        </w:rPr>
        <w:t xml:space="preserve"> alin</w:t>
      </w:r>
      <w:r w:rsidR="003B5E1D" w:rsidRPr="000508B6">
        <w:rPr>
          <w:rFonts w:ascii="Times New Roman" w:hAnsi="Times New Roman" w:cs="Times New Roman"/>
          <w:lang w:val="ro-MD"/>
        </w:rPr>
        <w:t>.</w:t>
      </w:r>
      <w:r w:rsidRPr="000508B6">
        <w:rPr>
          <w:rFonts w:ascii="Times New Roman" w:hAnsi="Times New Roman" w:cs="Times New Roman"/>
          <w:lang w:val="ro-MD"/>
        </w:rPr>
        <w:t xml:space="preserve"> (</w:t>
      </w:r>
      <w:r w:rsidR="003B5E1D" w:rsidRPr="000508B6">
        <w:rPr>
          <w:rFonts w:ascii="Times New Roman" w:hAnsi="Times New Roman" w:cs="Times New Roman"/>
          <w:lang w:val="ro-MD"/>
        </w:rPr>
        <w:t>7</w:t>
      </w:r>
      <w:r w:rsidRPr="000508B6">
        <w:rPr>
          <w:rFonts w:ascii="Times New Roman" w:hAnsi="Times New Roman" w:cs="Times New Roman"/>
          <w:lang w:val="ro-MD"/>
        </w:rPr>
        <w:t>);</w:t>
      </w:r>
    </w:p>
    <w:p w14:paraId="2D269334" w14:textId="44ADB5E5" w:rsidR="000A7105" w:rsidRPr="000508B6" w:rsidRDefault="000A7105" w:rsidP="00CF5AFA">
      <w:pPr>
        <w:pStyle w:val="Listparagraf"/>
        <w:numPr>
          <w:ilvl w:val="1"/>
          <w:numId w:val="44"/>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partea din modulul </w:t>
      </w:r>
      <w:r w:rsidR="00856505" w:rsidRPr="000508B6">
        <w:rPr>
          <w:rFonts w:ascii="Times New Roman" w:hAnsi="Times New Roman" w:cs="Times New Roman"/>
          <w:lang w:val="ro-MD"/>
        </w:rPr>
        <w:t>„</w:t>
      </w:r>
      <w:r w:rsidRPr="000508B6">
        <w:rPr>
          <w:rFonts w:ascii="Times New Roman" w:hAnsi="Times New Roman" w:cs="Times New Roman"/>
          <w:lang w:val="ro-MD"/>
        </w:rPr>
        <w:t xml:space="preserve">risc de </w:t>
      </w:r>
      <w:r w:rsidR="00BB47F6" w:rsidRPr="000508B6">
        <w:rPr>
          <w:rFonts w:ascii="Times New Roman" w:hAnsi="Times New Roman" w:cs="Times New Roman"/>
          <w:lang w:val="ro-MD"/>
        </w:rPr>
        <w:t>contrapartidă</w:t>
      </w:r>
      <w:r w:rsidR="0001076F" w:rsidRPr="000508B6">
        <w:rPr>
          <w:rFonts w:ascii="Times New Roman" w:hAnsi="Times New Roman" w:cs="Times New Roman"/>
          <w:lang w:val="ro-MD"/>
        </w:rPr>
        <w:t>”</w:t>
      </w:r>
      <w:r w:rsidRPr="000508B6">
        <w:rPr>
          <w:rFonts w:ascii="Times New Roman" w:hAnsi="Times New Roman" w:cs="Times New Roman"/>
          <w:lang w:val="ro-MD"/>
        </w:rPr>
        <w:t xml:space="preserve"> menționat la art</w:t>
      </w:r>
      <w:r w:rsidR="003B5E1D" w:rsidRPr="000508B6">
        <w:rPr>
          <w:rFonts w:ascii="Times New Roman" w:hAnsi="Times New Roman" w:cs="Times New Roman"/>
          <w:lang w:val="ro-MD"/>
        </w:rPr>
        <w:t>.</w:t>
      </w:r>
      <w:r w:rsidRPr="000508B6">
        <w:rPr>
          <w:rFonts w:ascii="Times New Roman" w:hAnsi="Times New Roman" w:cs="Times New Roman"/>
          <w:lang w:val="ro-MD"/>
        </w:rPr>
        <w:t xml:space="preserve"> </w:t>
      </w:r>
      <w:r w:rsidR="003B5E1D" w:rsidRPr="000508B6">
        <w:rPr>
          <w:rFonts w:ascii="Times New Roman" w:hAnsi="Times New Roman" w:cs="Times New Roman"/>
          <w:lang w:val="ro-MD"/>
        </w:rPr>
        <w:t>68</w:t>
      </w:r>
      <w:r w:rsidRPr="000508B6">
        <w:rPr>
          <w:rFonts w:ascii="Times New Roman" w:hAnsi="Times New Roman" w:cs="Times New Roman"/>
          <w:lang w:val="ro-MD"/>
        </w:rPr>
        <w:t xml:space="preserve"> alin</w:t>
      </w:r>
      <w:r w:rsidR="003B5E1D" w:rsidRPr="000508B6">
        <w:rPr>
          <w:rFonts w:ascii="Times New Roman" w:hAnsi="Times New Roman" w:cs="Times New Roman"/>
          <w:lang w:val="ro-MD"/>
        </w:rPr>
        <w:t>.</w:t>
      </w:r>
      <w:r w:rsidRPr="000508B6">
        <w:rPr>
          <w:rFonts w:ascii="Times New Roman" w:hAnsi="Times New Roman" w:cs="Times New Roman"/>
          <w:lang w:val="ro-MD"/>
        </w:rPr>
        <w:t xml:space="preserve"> (</w:t>
      </w:r>
      <w:r w:rsidR="00CE4601" w:rsidRPr="000508B6">
        <w:rPr>
          <w:rFonts w:ascii="Times New Roman" w:hAnsi="Times New Roman" w:cs="Times New Roman"/>
          <w:lang w:val="ro-MD"/>
        </w:rPr>
        <w:t>10</w:t>
      </w:r>
      <w:r w:rsidR="00BB47F6" w:rsidRPr="000508B6">
        <w:rPr>
          <w:rFonts w:ascii="Times New Roman" w:hAnsi="Times New Roman" w:cs="Times New Roman"/>
          <w:lang w:val="ro-MD"/>
        </w:rPr>
        <w:t>)</w:t>
      </w:r>
      <w:r w:rsidRPr="000508B6">
        <w:rPr>
          <w:rFonts w:ascii="Times New Roman" w:hAnsi="Times New Roman" w:cs="Times New Roman"/>
          <w:lang w:val="ro-MD"/>
        </w:rPr>
        <w:t xml:space="preserve"> care corespunde expunerilor la securitizări, instrumente financiare derivate, creanțe de la intermediari și alte active de investiții care nu sunt acoperite </w:t>
      </w:r>
      <w:r w:rsidR="00BB47F6" w:rsidRPr="000508B6">
        <w:rPr>
          <w:rFonts w:ascii="Times New Roman" w:hAnsi="Times New Roman" w:cs="Times New Roman"/>
          <w:lang w:val="ro-MD"/>
        </w:rPr>
        <w:t>de</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w:t>
      </w:r>
      <w:r w:rsidR="00856505" w:rsidRPr="000508B6">
        <w:rPr>
          <w:rFonts w:ascii="Times New Roman" w:hAnsi="Times New Roman" w:cs="Times New Roman"/>
          <w:lang w:val="ro-MD"/>
        </w:rPr>
        <w:t>„</w:t>
      </w:r>
      <w:r w:rsidR="00BB47F6" w:rsidRPr="000508B6">
        <w:rPr>
          <w:rFonts w:ascii="Times New Roman" w:hAnsi="Times New Roman" w:cs="Times New Roman"/>
          <w:lang w:val="ro-MD"/>
        </w:rPr>
        <w:t>risc</w:t>
      </w:r>
      <w:r w:rsidRPr="000508B6">
        <w:rPr>
          <w:rFonts w:ascii="Times New Roman" w:hAnsi="Times New Roman" w:cs="Times New Roman"/>
          <w:lang w:val="ro-MD"/>
        </w:rPr>
        <w:t xml:space="preserve"> de </w:t>
      </w:r>
      <w:r w:rsidR="00BB47F6" w:rsidRPr="000508B6">
        <w:rPr>
          <w:rFonts w:ascii="Times New Roman" w:hAnsi="Times New Roman" w:cs="Times New Roman"/>
          <w:lang w:val="ro-MD"/>
        </w:rPr>
        <w:t>marjă de credit</w:t>
      </w:r>
      <w:r w:rsidR="0001076F" w:rsidRPr="000508B6">
        <w:rPr>
          <w:rFonts w:ascii="Times New Roman" w:hAnsi="Times New Roman" w:cs="Times New Roman"/>
          <w:lang w:val="ro-MD"/>
        </w:rPr>
        <w:t>”;</w:t>
      </w:r>
    </w:p>
    <w:p w14:paraId="72C85A5B" w14:textId="27F8A280" w:rsidR="00BB47F6" w:rsidRPr="000508B6" w:rsidRDefault="00AB0E3A" w:rsidP="00CF5AFA">
      <w:pPr>
        <w:pStyle w:val="Listparagraf"/>
        <w:numPr>
          <w:ilvl w:val="1"/>
          <w:numId w:val="44"/>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SCR</w:t>
      </w:r>
      <w:r w:rsidR="00BB47F6" w:rsidRPr="000508B6">
        <w:rPr>
          <w:rFonts w:ascii="Times New Roman" w:hAnsi="Times New Roman" w:cs="Times New Roman"/>
          <w:lang w:val="ro-MD"/>
        </w:rPr>
        <w:t xml:space="preserve"> aplicabilă investițiilor în active necorporale care nu sunt acoperite de modulele </w:t>
      </w:r>
      <w:r w:rsidR="00856505" w:rsidRPr="000508B6">
        <w:rPr>
          <w:rFonts w:ascii="Times New Roman" w:hAnsi="Times New Roman" w:cs="Times New Roman"/>
          <w:lang w:val="ro-MD"/>
        </w:rPr>
        <w:t>„</w:t>
      </w:r>
      <w:r w:rsidR="00BB47F6" w:rsidRPr="000508B6">
        <w:rPr>
          <w:rFonts w:ascii="Times New Roman" w:hAnsi="Times New Roman" w:cs="Times New Roman"/>
          <w:lang w:val="ro-MD"/>
        </w:rPr>
        <w:t>risc de piață</w:t>
      </w:r>
      <w:r w:rsidR="00270DCE" w:rsidRPr="000508B6">
        <w:rPr>
          <w:rFonts w:ascii="Times New Roman" w:hAnsi="Times New Roman" w:cs="Times New Roman"/>
          <w:lang w:val="ro-MD"/>
        </w:rPr>
        <w:t>”</w:t>
      </w:r>
      <w:r w:rsidR="00BB47F6" w:rsidRPr="000508B6">
        <w:rPr>
          <w:rFonts w:ascii="Times New Roman" w:hAnsi="Times New Roman" w:cs="Times New Roman"/>
          <w:lang w:val="ro-MD"/>
        </w:rPr>
        <w:t xml:space="preserve"> și </w:t>
      </w:r>
      <w:r w:rsidR="00856505" w:rsidRPr="000508B6">
        <w:rPr>
          <w:rFonts w:ascii="Times New Roman" w:hAnsi="Times New Roman" w:cs="Times New Roman"/>
          <w:lang w:val="ro-MD"/>
        </w:rPr>
        <w:t>„</w:t>
      </w:r>
      <w:r w:rsidR="00BB47F6" w:rsidRPr="000508B6">
        <w:rPr>
          <w:rFonts w:ascii="Times New Roman" w:hAnsi="Times New Roman" w:cs="Times New Roman"/>
          <w:lang w:val="ro-MD"/>
        </w:rPr>
        <w:t>risc de contrapartidă</w:t>
      </w:r>
      <w:r w:rsidR="00AE4C99" w:rsidRPr="000508B6">
        <w:rPr>
          <w:rFonts w:ascii="Times New Roman" w:hAnsi="Times New Roman" w:cs="Times New Roman"/>
          <w:lang w:val="ro-MD"/>
        </w:rPr>
        <w:t>”.</w:t>
      </w:r>
    </w:p>
    <w:p w14:paraId="0B3F5916" w14:textId="337E7EDC" w:rsidR="00BB47F6" w:rsidRPr="000508B6" w:rsidRDefault="00BB47F6" w:rsidP="00CF5AFA">
      <w:pPr>
        <w:pStyle w:val="Listparagraf"/>
        <w:numPr>
          <w:ilvl w:val="3"/>
          <w:numId w:val="38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acceptările în reasigurare de către nu depășesc 50 % din total</w:t>
      </w:r>
      <w:r w:rsidR="00B35F8C" w:rsidRPr="000508B6">
        <w:rPr>
          <w:rFonts w:ascii="Times New Roman" w:hAnsi="Times New Roman" w:cs="Times New Roman"/>
          <w:lang w:val="ro-MD"/>
        </w:rPr>
        <w:t>ul</w:t>
      </w:r>
      <w:r w:rsidRPr="000508B6">
        <w:rPr>
          <w:rFonts w:ascii="Times New Roman" w:hAnsi="Times New Roman" w:cs="Times New Roman"/>
          <w:lang w:val="ro-MD"/>
        </w:rPr>
        <w:t xml:space="preserve"> anual </w:t>
      </w:r>
      <w:r w:rsidR="00B35F8C" w:rsidRPr="000508B6">
        <w:rPr>
          <w:rFonts w:ascii="Times New Roman" w:hAnsi="Times New Roman" w:cs="Times New Roman"/>
          <w:lang w:val="ro-MD"/>
        </w:rPr>
        <w:t xml:space="preserve">al </w:t>
      </w:r>
      <w:r w:rsidR="00AA2EC8" w:rsidRPr="000508B6">
        <w:rPr>
          <w:rFonts w:ascii="Times New Roman" w:hAnsi="Times New Roman" w:cs="Times New Roman"/>
          <w:lang w:val="ro-MD"/>
        </w:rPr>
        <w:t>PBS</w:t>
      </w:r>
      <w:r w:rsidRPr="000508B6">
        <w:rPr>
          <w:rFonts w:ascii="Times New Roman" w:hAnsi="Times New Roman" w:cs="Times New Roman"/>
          <w:lang w:val="ro-MD"/>
        </w:rPr>
        <w:t>;</w:t>
      </w:r>
    </w:p>
    <w:p w14:paraId="18495692" w14:textId="71D43601" w:rsidR="00BB47F6" w:rsidRPr="000508B6" w:rsidRDefault="006C1C25" w:rsidP="00CF5AFA">
      <w:pPr>
        <w:pStyle w:val="Listparagraf"/>
        <w:numPr>
          <w:ilvl w:val="3"/>
          <w:numId w:val="38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SCR</w:t>
      </w:r>
      <w:r w:rsidR="00BB47F6" w:rsidRPr="000508B6">
        <w:rPr>
          <w:rFonts w:ascii="Times New Roman" w:hAnsi="Times New Roman" w:cs="Times New Roman"/>
          <w:lang w:val="ro-MD"/>
        </w:rPr>
        <w:t xml:space="preserve"> este respectată.</w:t>
      </w:r>
    </w:p>
    <w:p w14:paraId="508ACDA5" w14:textId="6AD3E68B" w:rsidR="00BB47F6" w:rsidRPr="000508B6" w:rsidRDefault="00B35F8C" w:rsidP="00CF5AFA">
      <w:pPr>
        <w:pStyle w:val="Listparagraf"/>
        <w:numPr>
          <w:ilvl w:val="0"/>
          <w:numId w:val="372"/>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Criteriile prevăzute la alin. (3) lit. b) și  e), la alin. (5) lit. b) și f) și la alin. (7) lit. e) și h) nu se aplică </w:t>
      </w:r>
      <w:r w:rsidR="00643D85" w:rsidRPr="000508B6">
        <w:rPr>
          <w:rFonts w:ascii="Times New Roman" w:hAnsi="Times New Roman" w:cs="Times New Roman"/>
          <w:lang w:val="ro-MD"/>
        </w:rPr>
        <w:t xml:space="preserve">asigurătorului </w:t>
      </w:r>
      <w:r w:rsidR="00E20F73" w:rsidRPr="000508B6">
        <w:rPr>
          <w:rFonts w:ascii="Times New Roman" w:hAnsi="Times New Roman" w:cs="Times New Roman"/>
          <w:lang w:val="ro-MD"/>
        </w:rPr>
        <w:t xml:space="preserve">sau </w:t>
      </w:r>
      <w:proofErr w:type="spellStart"/>
      <w:r w:rsidR="00643D85" w:rsidRPr="000508B6">
        <w:rPr>
          <w:rFonts w:ascii="Times New Roman" w:hAnsi="Times New Roman" w:cs="Times New Roman"/>
          <w:lang w:val="ro-MD"/>
        </w:rPr>
        <w:t>reasigurătorului</w:t>
      </w:r>
      <w:proofErr w:type="spellEnd"/>
      <w:r w:rsidR="00643D85" w:rsidRPr="000508B6">
        <w:rPr>
          <w:rFonts w:ascii="Times New Roman" w:hAnsi="Times New Roman" w:cs="Times New Roman"/>
          <w:lang w:val="ro-MD"/>
        </w:rPr>
        <w:t xml:space="preserve"> </w:t>
      </w:r>
      <w:r w:rsidRPr="000508B6">
        <w:rPr>
          <w:rFonts w:ascii="Times New Roman" w:hAnsi="Times New Roman" w:cs="Times New Roman"/>
          <w:lang w:val="ro-MD"/>
        </w:rPr>
        <w:t xml:space="preserve">captiv.   </w:t>
      </w:r>
    </w:p>
    <w:p w14:paraId="78000C07" w14:textId="05CEE5AB" w:rsidR="00BB47F6" w:rsidRPr="000508B6" w:rsidRDefault="001F6923" w:rsidP="00CF5AFA">
      <w:pPr>
        <w:pStyle w:val="Listparagraf"/>
        <w:numPr>
          <w:ilvl w:val="0"/>
          <w:numId w:val="372"/>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Prin derogare de la alin. (1) – (7), asigur</w:t>
      </w:r>
      <w:r w:rsidR="002D1027" w:rsidRPr="000508B6">
        <w:rPr>
          <w:rFonts w:ascii="Times New Roman" w:hAnsi="Times New Roman" w:cs="Times New Roman"/>
          <w:lang w:val="ro-MD"/>
        </w:rPr>
        <w:t>ă</w:t>
      </w:r>
      <w:r w:rsidRPr="000508B6">
        <w:rPr>
          <w:rFonts w:ascii="Times New Roman" w:hAnsi="Times New Roman" w:cs="Times New Roman"/>
          <w:lang w:val="ro-MD"/>
        </w:rPr>
        <w:t xml:space="preserve">torul </w:t>
      </w:r>
      <w:r w:rsidR="000F5EF4" w:rsidRPr="000508B6">
        <w:rPr>
          <w:rFonts w:ascii="Times New Roman" w:hAnsi="Times New Roman" w:cs="Times New Roman"/>
          <w:lang w:val="ro-MD"/>
        </w:rPr>
        <w:t xml:space="preserve">sau </w:t>
      </w:r>
      <w:proofErr w:type="spellStart"/>
      <w:r w:rsidR="000F5EF4"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000F5EF4" w:rsidRPr="000508B6">
        <w:rPr>
          <w:rFonts w:ascii="Times New Roman" w:hAnsi="Times New Roman" w:cs="Times New Roman"/>
          <w:lang w:val="ro-MD"/>
        </w:rPr>
        <w:t>torul</w:t>
      </w:r>
      <w:proofErr w:type="spellEnd"/>
      <w:r w:rsidR="000F5EF4" w:rsidRPr="000508B6">
        <w:rPr>
          <w:rFonts w:ascii="Times New Roman" w:hAnsi="Times New Roman" w:cs="Times New Roman"/>
          <w:lang w:val="ro-MD"/>
        </w:rPr>
        <w:t xml:space="preserve"> </w:t>
      </w:r>
      <w:r w:rsidRPr="000508B6">
        <w:rPr>
          <w:rFonts w:ascii="Times New Roman" w:hAnsi="Times New Roman" w:cs="Times New Roman"/>
          <w:lang w:val="ro-MD"/>
        </w:rPr>
        <w:t>captiv poate fi încadrat în categoria asigur</w:t>
      </w:r>
      <w:r w:rsidR="002D1027" w:rsidRPr="000508B6">
        <w:rPr>
          <w:rFonts w:ascii="Times New Roman" w:hAnsi="Times New Roman" w:cs="Times New Roman"/>
          <w:lang w:val="ro-MD"/>
        </w:rPr>
        <w:t>ă</w:t>
      </w:r>
      <w:r w:rsidRPr="000508B6">
        <w:rPr>
          <w:rFonts w:ascii="Times New Roman" w:hAnsi="Times New Roman" w:cs="Times New Roman"/>
          <w:lang w:val="ro-MD"/>
        </w:rPr>
        <w:t xml:space="preserve">tor </w:t>
      </w:r>
      <w:r w:rsidR="000F5EF4" w:rsidRPr="000508B6">
        <w:rPr>
          <w:rFonts w:ascii="Times New Roman" w:hAnsi="Times New Roman" w:cs="Times New Roman"/>
          <w:lang w:val="ro-MD"/>
        </w:rPr>
        <w:t xml:space="preserve">sau </w:t>
      </w:r>
      <w:proofErr w:type="spellStart"/>
      <w:r w:rsidR="000F5EF4"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000F5EF4" w:rsidRPr="000508B6">
        <w:rPr>
          <w:rFonts w:ascii="Times New Roman" w:hAnsi="Times New Roman" w:cs="Times New Roman"/>
          <w:lang w:val="ro-MD"/>
        </w:rPr>
        <w:t>tor</w:t>
      </w:r>
      <w:proofErr w:type="spellEnd"/>
      <w:r w:rsidR="006E791A" w:rsidRPr="000508B6">
        <w:rPr>
          <w:rFonts w:ascii="Times New Roman" w:hAnsi="Times New Roman" w:cs="Times New Roman"/>
          <w:lang w:val="ro-MD"/>
        </w:rPr>
        <w:t xml:space="preserve"> </w:t>
      </w:r>
      <w:r w:rsidRPr="000508B6">
        <w:rPr>
          <w:rFonts w:ascii="Times New Roman" w:hAnsi="Times New Roman" w:cs="Times New Roman"/>
          <w:lang w:val="ro-MD"/>
        </w:rPr>
        <w:t xml:space="preserve">mic și </w:t>
      </w:r>
      <w:r w:rsidR="004B100E" w:rsidRPr="000508B6">
        <w:rPr>
          <w:rFonts w:ascii="Times New Roman" w:hAnsi="Times New Roman" w:cs="Times New Roman"/>
          <w:lang w:val="ro-MD"/>
        </w:rPr>
        <w:t>cu</w:t>
      </w:r>
      <w:r w:rsidR="00BB47F6" w:rsidRPr="000508B6">
        <w:rPr>
          <w:rFonts w:ascii="Times New Roman" w:hAnsi="Times New Roman" w:cs="Times New Roman"/>
          <w:lang w:val="ro-MD"/>
        </w:rPr>
        <w:t xml:space="preserve"> grad redus de complexitate și în cazul în care nu îndeplinește criteriile prevăzute la </w:t>
      </w:r>
      <w:r w:rsidRPr="000508B6">
        <w:rPr>
          <w:rFonts w:ascii="Times New Roman" w:hAnsi="Times New Roman" w:cs="Times New Roman"/>
          <w:lang w:val="ro-MD"/>
        </w:rPr>
        <w:t>alineatele respective</w:t>
      </w:r>
      <w:r w:rsidR="00BB47F6" w:rsidRPr="000508B6">
        <w:rPr>
          <w:rFonts w:ascii="Times New Roman" w:hAnsi="Times New Roman" w:cs="Times New Roman"/>
          <w:lang w:val="ro-MD"/>
        </w:rPr>
        <w:t xml:space="preserve"> cu condiția să îndeplinească cumulativ următoarele două criterii:</w:t>
      </w:r>
      <w:r w:rsidR="008D44B7" w:rsidRPr="000508B6">
        <w:rPr>
          <w:rFonts w:ascii="Times New Roman" w:hAnsi="Times New Roman" w:cs="Times New Roman"/>
          <w:lang w:val="ro-MD"/>
        </w:rPr>
        <w:t xml:space="preserve"> </w:t>
      </w:r>
    </w:p>
    <w:p w14:paraId="37913292" w14:textId="360385E0" w:rsidR="000A7105" w:rsidRPr="000508B6" w:rsidRDefault="0085248C" w:rsidP="00CF5AFA">
      <w:pPr>
        <w:pStyle w:val="Listparagraf"/>
        <w:numPr>
          <w:ilvl w:val="1"/>
          <w:numId w:val="37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asigurații și beneficiarii asigurării</w:t>
      </w:r>
      <w:r w:rsidR="000A7105" w:rsidRPr="000508B6">
        <w:rPr>
          <w:rFonts w:ascii="Times New Roman" w:hAnsi="Times New Roman" w:cs="Times New Roman"/>
          <w:lang w:val="ro-MD"/>
        </w:rPr>
        <w:t xml:space="preserve"> sunt oricare dintre următoarele:</w:t>
      </w:r>
    </w:p>
    <w:p w14:paraId="39C61B00" w14:textId="2279B9E1" w:rsidR="00BB47F6" w:rsidRPr="000508B6" w:rsidRDefault="00BB47F6" w:rsidP="00CF5AFA">
      <w:pPr>
        <w:pStyle w:val="Listparagraf"/>
        <w:numPr>
          <w:ilvl w:val="0"/>
          <w:numId w:val="382"/>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entități juridice ale grupului din care face parte </w:t>
      </w:r>
      <w:r w:rsidR="00202E7C" w:rsidRPr="000508B6">
        <w:rPr>
          <w:rFonts w:ascii="Times New Roman" w:hAnsi="Times New Roman" w:cs="Times New Roman"/>
          <w:lang w:val="ro-MD"/>
        </w:rPr>
        <w:t xml:space="preserve">asigurătorul sau </w:t>
      </w:r>
      <w:proofErr w:type="spellStart"/>
      <w:r w:rsidR="00202E7C" w:rsidRPr="000508B6">
        <w:rPr>
          <w:rFonts w:ascii="Times New Roman" w:hAnsi="Times New Roman" w:cs="Times New Roman"/>
          <w:lang w:val="ro-MD"/>
        </w:rPr>
        <w:t>reasigurătorul</w:t>
      </w:r>
      <w:proofErr w:type="spellEnd"/>
      <w:r w:rsidR="00202E7C" w:rsidRPr="000508B6">
        <w:rPr>
          <w:rFonts w:ascii="Times New Roman" w:hAnsi="Times New Roman" w:cs="Times New Roman"/>
          <w:lang w:val="ro-MD"/>
        </w:rPr>
        <w:t xml:space="preserve"> </w:t>
      </w:r>
      <w:r w:rsidRPr="000508B6">
        <w:rPr>
          <w:rFonts w:ascii="Times New Roman" w:hAnsi="Times New Roman" w:cs="Times New Roman"/>
          <w:lang w:val="ro-MD"/>
        </w:rPr>
        <w:t>captiv;</w:t>
      </w:r>
    </w:p>
    <w:p w14:paraId="0006997C" w14:textId="568FA764" w:rsidR="00BB47F6" w:rsidRPr="000508B6" w:rsidRDefault="00932C4E" w:rsidP="00CF5AFA">
      <w:pPr>
        <w:pStyle w:val="Listparagraf"/>
        <w:numPr>
          <w:ilvl w:val="0"/>
          <w:numId w:val="382"/>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 </w:t>
      </w:r>
      <w:r w:rsidR="00BB47F6" w:rsidRPr="000508B6">
        <w:rPr>
          <w:rFonts w:ascii="Times New Roman" w:hAnsi="Times New Roman" w:cs="Times New Roman"/>
          <w:lang w:val="ro-MD"/>
        </w:rPr>
        <w:t>persoane fizice eligibile să fie acoperite prin polițele de asigurare ale grupului respectiv, cu condiția ca activitatea desfășurată în legătură cu persoanele fizice respective să rămână sub 5 % din rezervele tehnice</w:t>
      </w:r>
      <w:r w:rsidR="00AE4C99" w:rsidRPr="000508B6">
        <w:rPr>
          <w:rFonts w:ascii="Times New Roman" w:hAnsi="Times New Roman" w:cs="Times New Roman"/>
          <w:lang w:val="ro-MD"/>
        </w:rPr>
        <w:t>.</w:t>
      </w:r>
    </w:p>
    <w:p w14:paraId="183ACC4B" w14:textId="39A48AF8" w:rsidR="00BB47F6" w:rsidRPr="000508B6" w:rsidRDefault="00BB47F6" w:rsidP="00CF5AFA">
      <w:pPr>
        <w:pStyle w:val="Listparagraf"/>
        <w:numPr>
          <w:ilvl w:val="1"/>
          <w:numId w:val="37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obligațiile de asigurare și contractele de asigurare care stau la baza obligațiilor de reasigurare ale </w:t>
      </w:r>
      <w:r w:rsidR="00202E7C" w:rsidRPr="000508B6">
        <w:rPr>
          <w:rFonts w:ascii="Times New Roman" w:hAnsi="Times New Roman" w:cs="Times New Roman"/>
          <w:lang w:val="ro-MD"/>
        </w:rPr>
        <w:t xml:space="preserve">asigurătorului sau </w:t>
      </w:r>
      <w:proofErr w:type="spellStart"/>
      <w:r w:rsidR="00202E7C" w:rsidRPr="000508B6">
        <w:rPr>
          <w:rFonts w:ascii="Times New Roman" w:hAnsi="Times New Roman" w:cs="Times New Roman"/>
          <w:lang w:val="ro-MD"/>
        </w:rPr>
        <w:t>reasigurătorului</w:t>
      </w:r>
      <w:proofErr w:type="spellEnd"/>
      <w:r w:rsidR="00202E7C" w:rsidRPr="000508B6">
        <w:rPr>
          <w:rFonts w:ascii="Times New Roman" w:hAnsi="Times New Roman" w:cs="Times New Roman"/>
          <w:lang w:val="ro-MD"/>
        </w:rPr>
        <w:t xml:space="preserve"> </w:t>
      </w:r>
      <w:r w:rsidRPr="000508B6">
        <w:rPr>
          <w:rFonts w:ascii="Times New Roman" w:hAnsi="Times New Roman" w:cs="Times New Roman"/>
          <w:lang w:val="ro-MD"/>
        </w:rPr>
        <w:t>captiv nu constau în asigurări obligatorii de răspundere civilă.</w:t>
      </w:r>
    </w:p>
    <w:p w14:paraId="22BC0D1A" w14:textId="0FA52FE0" w:rsidR="00BB47F6" w:rsidRPr="000508B6" w:rsidRDefault="002D5BE9" w:rsidP="00B913DE">
      <w:pPr>
        <w:pStyle w:val="Listparagraf"/>
        <w:numPr>
          <w:ilvl w:val="0"/>
          <w:numId w:val="372"/>
        </w:numPr>
        <w:tabs>
          <w:tab w:val="left" w:pos="567"/>
          <w:tab w:val="left" w:pos="709"/>
          <w:tab w:val="left" w:pos="851"/>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În cazul asigur</w:t>
      </w:r>
      <w:r w:rsidR="002D1027" w:rsidRPr="000508B6">
        <w:rPr>
          <w:rFonts w:ascii="Times New Roman" w:hAnsi="Times New Roman" w:cs="Times New Roman"/>
          <w:lang w:val="ro-MD"/>
        </w:rPr>
        <w:t>ă</w:t>
      </w:r>
      <w:r w:rsidRPr="000508B6">
        <w:rPr>
          <w:rFonts w:ascii="Times New Roman" w:hAnsi="Times New Roman" w:cs="Times New Roman"/>
          <w:lang w:val="ro-MD"/>
        </w:rPr>
        <w:t>torului</w:t>
      </w:r>
      <w:r w:rsidR="00FB5608" w:rsidRPr="000508B6">
        <w:rPr>
          <w:rFonts w:ascii="Times New Roman" w:hAnsi="Times New Roman" w:cs="Times New Roman"/>
          <w:lang w:val="ro-MD"/>
        </w:rPr>
        <w:t xml:space="preserve"> sau </w:t>
      </w:r>
      <w:proofErr w:type="spellStart"/>
      <w:r w:rsidR="00FB5608"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00FB5608" w:rsidRPr="000508B6">
        <w:rPr>
          <w:rFonts w:ascii="Times New Roman" w:hAnsi="Times New Roman" w:cs="Times New Roman"/>
          <w:lang w:val="ro-MD"/>
        </w:rPr>
        <w:t>torului</w:t>
      </w:r>
      <w:proofErr w:type="spellEnd"/>
      <w:r w:rsidRPr="000508B6">
        <w:rPr>
          <w:rFonts w:ascii="Times New Roman" w:hAnsi="Times New Roman" w:cs="Times New Roman"/>
          <w:lang w:val="ro-MD"/>
        </w:rPr>
        <w:t xml:space="preserve"> care a obținut licență în temeiul art. 6 în ultimele 2 exerciții financiare, îndeplinirea criteriilor prevăzute la alin. (1) – (9) se evaluează în funcție de ultimul exercițiu financiar anterior încadrării, iar în cazul în care licența a fost obținută în ultimele 12 luni față de momentul încadrării, îndeplinirea criteriilor respective se evaluează în funcție de planul de afaceri prevăzut la art. 7. </w:t>
      </w:r>
    </w:p>
    <w:p w14:paraId="234F53E4" w14:textId="2EF30D24" w:rsidR="00BB47F6" w:rsidRPr="000508B6" w:rsidRDefault="002D5BE9" w:rsidP="00B913DE">
      <w:pPr>
        <w:pStyle w:val="Listparagraf"/>
        <w:numPr>
          <w:ilvl w:val="0"/>
          <w:numId w:val="372"/>
        </w:numPr>
        <w:tabs>
          <w:tab w:val="left" w:pos="567"/>
          <w:tab w:val="left" w:pos="709"/>
          <w:tab w:val="left" w:pos="851"/>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Asigur</w:t>
      </w:r>
      <w:r w:rsidR="002D1027" w:rsidRPr="000508B6">
        <w:rPr>
          <w:rFonts w:ascii="Times New Roman" w:hAnsi="Times New Roman" w:cs="Times New Roman"/>
          <w:lang w:val="ro-MD"/>
        </w:rPr>
        <w:t>ă</w:t>
      </w:r>
      <w:r w:rsidRPr="000508B6">
        <w:rPr>
          <w:rFonts w:ascii="Times New Roman" w:hAnsi="Times New Roman" w:cs="Times New Roman"/>
          <w:lang w:val="ro-MD"/>
        </w:rPr>
        <w:t xml:space="preserve">torul </w:t>
      </w:r>
      <w:r w:rsidR="00FB5608" w:rsidRPr="000508B6">
        <w:rPr>
          <w:rFonts w:ascii="Times New Roman" w:hAnsi="Times New Roman" w:cs="Times New Roman"/>
          <w:lang w:val="ro-MD"/>
        </w:rPr>
        <w:t xml:space="preserve">sau </w:t>
      </w:r>
      <w:proofErr w:type="spellStart"/>
      <w:r w:rsidR="00FB5608"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00FB5608"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nu poate fi încadrat în </w:t>
      </w:r>
      <w:r w:rsidR="006E791A" w:rsidRPr="000508B6">
        <w:rPr>
          <w:rFonts w:ascii="Times New Roman" w:hAnsi="Times New Roman" w:cs="Times New Roman"/>
          <w:lang w:val="ro-MD"/>
        </w:rPr>
        <w:t xml:space="preserve">categoria </w:t>
      </w:r>
      <w:r w:rsidRPr="000508B6">
        <w:rPr>
          <w:rFonts w:ascii="Times New Roman" w:hAnsi="Times New Roman" w:cs="Times New Roman"/>
          <w:lang w:val="ro-MD"/>
        </w:rPr>
        <w:t>asigur</w:t>
      </w:r>
      <w:r w:rsidR="002D1027" w:rsidRPr="000508B6">
        <w:rPr>
          <w:rFonts w:ascii="Times New Roman" w:hAnsi="Times New Roman" w:cs="Times New Roman"/>
          <w:lang w:val="ro-MD"/>
        </w:rPr>
        <w:t>ă</w:t>
      </w:r>
      <w:r w:rsidRPr="000508B6">
        <w:rPr>
          <w:rFonts w:ascii="Times New Roman" w:hAnsi="Times New Roman" w:cs="Times New Roman"/>
          <w:lang w:val="ro-MD"/>
        </w:rPr>
        <w:t xml:space="preserve">tor </w:t>
      </w:r>
      <w:r w:rsidR="00FB5608" w:rsidRPr="000508B6">
        <w:rPr>
          <w:rFonts w:ascii="Times New Roman" w:hAnsi="Times New Roman" w:cs="Times New Roman"/>
          <w:lang w:val="ro-MD"/>
        </w:rPr>
        <w:t xml:space="preserve">sau </w:t>
      </w:r>
      <w:proofErr w:type="spellStart"/>
      <w:r w:rsidR="00FB5608"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00FB5608" w:rsidRPr="000508B6">
        <w:rPr>
          <w:rFonts w:ascii="Times New Roman" w:hAnsi="Times New Roman" w:cs="Times New Roman"/>
          <w:lang w:val="ro-MD"/>
        </w:rPr>
        <w:t>tor</w:t>
      </w:r>
      <w:proofErr w:type="spellEnd"/>
      <w:r w:rsidRPr="000508B6">
        <w:rPr>
          <w:rFonts w:ascii="Times New Roman" w:hAnsi="Times New Roman" w:cs="Times New Roman"/>
          <w:lang w:val="ro-MD"/>
        </w:rPr>
        <w:t xml:space="preserve"> </w:t>
      </w:r>
      <w:r w:rsidR="00BB47F6" w:rsidRPr="000508B6">
        <w:rPr>
          <w:rFonts w:ascii="Times New Roman" w:hAnsi="Times New Roman" w:cs="Times New Roman"/>
          <w:lang w:val="ro-MD"/>
        </w:rPr>
        <w:t>mic și cu un grad redus de complexitate:</w:t>
      </w:r>
    </w:p>
    <w:p w14:paraId="355210FE" w14:textId="23A6E39B" w:rsidR="00BB47F6" w:rsidRPr="000508B6" w:rsidRDefault="00FB5608" w:rsidP="00CF5AFA">
      <w:pPr>
        <w:pStyle w:val="Listparagraf"/>
        <w:numPr>
          <w:ilvl w:val="1"/>
          <w:numId w:val="38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w:t>
      </w:r>
      <w:r w:rsidR="002D5BE9" w:rsidRPr="000508B6">
        <w:rPr>
          <w:rFonts w:ascii="Times New Roman" w:hAnsi="Times New Roman" w:cs="Times New Roman"/>
          <w:lang w:val="ro-MD"/>
        </w:rPr>
        <w:t>sigur</w:t>
      </w:r>
      <w:r w:rsidR="002D1027" w:rsidRPr="000508B6">
        <w:rPr>
          <w:rFonts w:ascii="Times New Roman" w:hAnsi="Times New Roman" w:cs="Times New Roman"/>
          <w:lang w:val="ro-MD"/>
        </w:rPr>
        <w:t>ă</w:t>
      </w:r>
      <w:r w:rsidR="002D5BE9" w:rsidRPr="000508B6">
        <w:rPr>
          <w:rFonts w:ascii="Times New Roman" w:hAnsi="Times New Roman" w:cs="Times New Roman"/>
          <w:lang w:val="ro-MD"/>
        </w:rPr>
        <w:t>torul</w:t>
      </w:r>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002D5BE9" w:rsidRPr="000508B6">
        <w:rPr>
          <w:rFonts w:ascii="Times New Roman" w:hAnsi="Times New Roman" w:cs="Times New Roman"/>
          <w:lang w:val="ro-MD"/>
        </w:rPr>
        <w:t xml:space="preserve"> care a primit aprobare pentru utilizarea unui model intern, integral sau parțial, în vederea calculării SCR în conformitate </w:t>
      </w:r>
      <w:r w:rsidR="00BB47F6" w:rsidRPr="000508B6">
        <w:rPr>
          <w:rFonts w:ascii="Times New Roman" w:hAnsi="Times New Roman" w:cs="Times New Roman"/>
          <w:lang w:val="ro-MD"/>
        </w:rPr>
        <w:t xml:space="preserve">cu </w:t>
      </w:r>
      <w:r w:rsidR="00A47785" w:rsidRPr="000508B6">
        <w:rPr>
          <w:rFonts w:ascii="Times New Roman" w:hAnsi="Times New Roman" w:cs="Times New Roman"/>
          <w:lang w:val="ro-MD"/>
        </w:rPr>
        <w:t>art. 75 - 83</w:t>
      </w:r>
      <w:r w:rsidR="00BB47F6" w:rsidRPr="000508B6">
        <w:rPr>
          <w:rFonts w:ascii="Times New Roman" w:hAnsi="Times New Roman" w:cs="Times New Roman"/>
          <w:lang w:val="ro-MD"/>
        </w:rPr>
        <w:t>;</w:t>
      </w:r>
    </w:p>
    <w:p w14:paraId="2862BED6" w14:textId="4CCE2502" w:rsidR="00BB47F6" w:rsidRPr="000508B6" w:rsidRDefault="00FB5608" w:rsidP="00CF5AFA">
      <w:pPr>
        <w:pStyle w:val="Listparagraf"/>
        <w:numPr>
          <w:ilvl w:val="1"/>
          <w:numId w:val="38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w:t>
      </w:r>
      <w:r w:rsidR="002D5BE9" w:rsidRPr="000508B6">
        <w:rPr>
          <w:rFonts w:ascii="Times New Roman" w:hAnsi="Times New Roman" w:cs="Times New Roman"/>
          <w:lang w:val="ro-MD"/>
        </w:rPr>
        <w:t>sigur</w:t>
      </w:r>
      <w:r w:rsidR="002D1027" w:rsidRPr="000508B6">
        <w:rPr>
          <w:rFonts w:ascii="Times New Roman" w:hAnsi="Times New Roman" w:cs="Times New Roman"/>
          <w:lang w:val="ro-MD"/>
        </w:rPr>
        <w:t>ă</w:t>
      </w:r>
      <w:r w:rsidR="002D5BE9" w:rsidRPr="000508B6">
        <w:rPr>
          <w:rFonts w:ascii="Times New Roman" w:hAnsi="Times New Roman" w:cs="Times New Roman"/>
          <w:lang w:val="ro-MD"/>
        </w:rPr>
        <w:t>torul</w:t>
      </w:r>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002D5BE9" w:rsidRPr="000508B6">
        <w:rPr>
          <w:rFonts w:ascii="Times New Roman" w:hAnsi="Times New Roman" w:cs="Times New Roman"/>
          <w:lang w:val="ro-MD"/>
        </w:rPr>
        <w:t xml:space="preserve"> </w:t>
      </w:r>
      <w:r w:rsidR="00BB47F6" w:rsidRPr="000508B6">
        <w:rPr>
          <w:rFonts w:ascii="Times New Roman" w:hAnsi="Times New Roman" w:cs="Times New Roman"/>
          <w:lang w:val="ro-MD"/>
        </w:rPr>
        <w:t xml:space="preserve">este societate-mamă ale unui conglomerat financiar în înțelesul </w:t>
      </w:r>
      <w:r w:rsidR="00D54771" w:rsidRPr="000508B6">
        <w:rPr>
          <w:rFonts w:ascii="Times New Roman" w:hAnsi="Times New Roman" w:cs="Times New Roman"/>
          <w:lang w:val="ro-MD"/>
        </w:rPr>
        <w:t>Legii nr. 250/2017</w:t>
      </w:r>
      <w:r w:rsidR="00D14E27" w:rsidRPr="000508B6">
        <w:rPr>
          <w:rFonts w:ascii="Times New Roman" w:hAnsi="Times New Roman" w:cs="Times New Roman"/>
          <w:lang w:val="ro-MD"/>
        </w:rPr>
        <w:t xml:space="preserve"> </w:t>
      </w:r>
      <w:r w:rsidR="00BB47F6" w:rsidRPr="000508B6">
        <w:rPr>
          <w:rFonts w:ascii="Times New Roman" w:hAnsi="Times New Roman" w:cs="Times New Roman"/>
          <w:lang w:val="ro-MD"/>
        </w:rPr>
        <w:t>sau ale unui grup în înțelesul art</w:t>
      </w:r>
      <w:r w:rsidR="00D54771" w:rsidRPr="000508B6">
        <w:rPr>
          <w:rFonts w:ascii="Times New Roman" w:hAnsi="Times New Roman" w:cs="Times New Roman"/>
          <w:lang w:val="ro-MD"/>
        </w:rPr>
        <w:t>.</w:t>
      </w:r>
      <w:r w:rsidR="00BB47F6" w:rsidRPr="000508B6">
        <w:rPr>
          <w:rFonts w:ascii="Times New Roman" w:hAnsi="Times New Roman" w:cs="Times New Roman"/>
          <w:lang w:val="ro-MD"/>
        </w:rPr>
        <w:t xml:space="preserve"> </w:t>
      </w:r>
      <w:r w:rsidR="00D54771" w:rsidRPr="000508B6">
        <w:rPr>
          <w:rFonts w:ascii="Times New Roman" w:hAnsi="Times New Roman" w:cs="Times New Roman"/>
          <w:lang w:val="ro-MD"/>
        </w:rPr>
        <w:t>116</w:t>
      </w:r>
      <w:r w:rsidR="00BB47F6" w:rsidRPr="000508B6">
        <w:rPr>
          <w:rFonts w:ascii="Times New Roman" w:hAnsi="Times New Roman" w:cs="Times New Roman"/>
          <w:lang w:val="ro-MD"/>
        </w:rPr>
        <w:t>, cărora li se aplică supravegherea la nivel de grup în conformitate cu art</w:t>
      </w:r>
      <w:r w:rsidR="00D54771" w:rsidRPr="000508B6">
        <w:rPr>
          <w:rFonts w:ascii="Times New Roman" w:hAnsi="Times New Roman" w:cs="Times New Roman"/>
          <w:lang w:val="ro-MD"/>
        </w:rPr>
        <w:t>.</w:t>
      </w:r>
      <w:r w:rsidR="00BB47F6" w:rsidRPr="000508B6">
        <w:rPr>
          <w:rFonts w:ascii="Times New Roman" w:hAnsi="Times New Roman" w:cs="Times New Roman"/>
          <w:lang w:val="ro-MD"/>
        </w:rPr>
        <w:t xml:space="preserve"> </w:t>
      </w:r>
      <w:r w:rsidR="00D54771" w:rsidRPr="000508B6">
        <w:rPr>
          <w:rFonts w:ascii="Times New Roman" w:hAnsi="Times New Roman" w:cs="Times New Roman"/>
          <w:lang w:val="ro-MD"/>
        </w:rPr>
        <w:t>116</w:t>
      </w:r>
      <w:r w:rsidR="00BB47F6" w:rsidRPr="000508B6">
        <w:rPr>
          <w:rFonts w:ascii="Times New Roman" w:hAnsi="Times New Roman" w:cs="Times New Roman"/>
          <w:lang w:val="ro-MD"/>
        </w:rPr>
        <w:t xml:space="preserve"> alin</w:t>
      </w:r>
      <w:r w:rsidR="00D54771" w:rsidRPr="000508B6">
        <w:rPr>
          <w:rFonts w:ascii="Times New Roman" w:hAnsi="Times New Roman" w:cs="Times New Roman"/>
          <w:lang w:val="ro-MD"/>
        </w:rPr>
        <w:t>.</w:t>
      </w:r>
      <w:r w:rsidR="00BB47F6" w:rsidRPr="000508B6">
        <w:rPr>
          <w:rFonts w:ascii="Times New Roman" w:hAnsi="Times New Roman" w:cs="Times New Roman"/>
          <w:lang w:val="ro-MD"/>
        </w:rPr>
        <w:t xml:space="preserve"> (</w:t>
      </w:r>
      <w:r w:rsidR="002E7DB6" w:rsidRPr="000508B6">
        <w:rPr>
          <w:rFonts w:ascii="Times New Roman" w:hAnsi="Times New Roman" w:cs="Times New Roman"/>
          <w:lang w:val="ro-MD"/>
        </w:rPr>
        <w:t>3</w:t>
      </w:r>
      <w:r w:rsidR="00BB47F6" w:rsidRPr="000508B6">
        <w:rPr>
          <w:rFonts w:ascii="Times New Roman" w:hAnsi="Times New Roman" w:cs="Times New Roman"/>
          <w:lang w:val="ro-MD"/>
        </w:rPr>
        <w:t>) litera a) sau b), cu excepția cazului în care grupul este clasificat ca grup mic și cu un grad redus de complexitate;</w:t>
      </w:r>
    </w:p>
    <w:p w14:paraId="18737657" w14:textId="7EFE0D38" w:rsidR="00B500F4" w:rsidRPr="000508B6" w:rsidRDefault="00FB5608" w:rsidP="00CF5AFA">
      <w:pPr>
        <w:pStyle w:val="Listparagraf"/>
        <w:numPr>
          <w:ilvl w:val="1"/>
          <w:numId w:val="38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w:t>
      </w:r>
      <w:r w:rsidR="002D5BE9" w:rsidRPr="000508B6">
        <w:rPr>
          <w:rFonts w:ascii="Times New Roman" w:hAnsi="Times New Roman" w:cs="Times New Roman"/>
          <w:lang w:val="ro-MD"/>
        </w:rPr>
        <w:t>sigur</w:t>
      </w:r>
      <w:r w:rsidR="002D1027" w:rsidRPr="000508B6">
        <w:rPr>
          <w:rFonts w:ascii="Times New Roman" w:hAnsi="Times New Roman" w:cs="Times New Roman"/>
          <w:lang w:val="ro-MD"/>
        </w:rPr>
        <w:t>ă</w:t>
      </w:r>
      <w:r w:rsidR="002D5BE9" w:rsidRPr="000508B6">
        <w:rPr>
          <w:rFonts w:ascii="Times New Roman" w:hAnsi="Times New Roman" w:cs="Times New Roman"/>
          <w:lang w:val="ro-MD"/>
        </w:rPr>
        <w:t>torul</w:t>
      </w:r>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002D5BE9" w:rsidRPr="000508B6">
        <w:rPr>
          <w:rFonts w:ascii="Times New Roman" w:hAnsi="Times New Roman" w:cs="Times New Roman"/>
          <w:lang w:val="ro-MD"/>
        </w:rPr>
        <w:t xml:space="preserve"> </w:t>
      </w:r>
      <w:r w:rsidR="00BB47F6" w:rsidRPr="000508B6">
        <w:rPr>
          <w:rFonts w:ascii="Times New Roman" w:hAnsi="Times New Roman" w:cs="Times New Roman"/>
          <w:lang w:val="ro-MD"/>
        </w:rPr>
        <w:t xml:space="preserve">este societate-mamă a </w:t>
      </w:r>
      <w:r w:rsidR="002D5BE9" w:rsidRPr="000508B6">
        <w:rPr>
          <w:rFonts w:ascii="Times New Roman" w:hAnsi="Times New Roman" w:cs="Times New Roman"/>
          <w:lang w:val="ro-MD"/>
        </w:rPr>
        <w:t xml:space="preserve">unui </w:t>
      </w:r>
      <w:r w:rsidR="00E6539F" w:rsidRPr="000508B6">
        <w:rPr>
          <w:rFonts w:ascii="Times New Roman" w:hAnsi="Times New Roman" w:cs="Times New Roman"/>
          <w:lang w:val="ro-MD"/>
        </w:rPr>
        <w:t>asigur</w:t>
      </w:r>
      <w:r w:rsidR="002D1027" w:rsidRPr="000508B6">
        <w:rPr>
          <w:rFonts w:ascii="Times New Roman" w:hAnsi="Times New Roman" w:cs="Times New Roman"/>
          <w:lang w:val="ro-MD"/>
        </w:rPr>
        <w:t>ă</w:t>
      </w:r>
      <w:r w:rsidR="00E6539F" w:rsidRPr="000508B6">
        <w:rPr>
          <w:rFonts w:ascii="Times New Roman" w:hAnsi="Times New Roman" w:cs="Times New Roman"/>
          <w:lang w:val="ro-MD"/>
        </w:rPr>
        <w:t xml:space="preserve">tor </w:t>
      </w:r>
      <w:r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w:t>
      </w:r>
      <w:r w:rsidR="002D1027" w:rsidRPr="000508B6">
        <w:rPr>
          <w:rFonts w:ascii="Times New Roman" w:hAnsi="Times New Roman" w:cs="Times New Roman"/>
          <w:lang w:val="ro-MD"/>
        </w:rPr>
        <w:t>ă</w:t>
      </w:r>
      <w:r w:rsidRPr="000508B6">
        <w:rPr>
          <w:rFonts w:ascii="Times New Roman" w:hAnsi="Times New Roman" w:cs="Times New Roman"/>
          <w:lang w:val="ro-MD"/>
        </w:rPr>
        <w:t>tor</w:t>
      </w:r>
      <w:proofErr w:type="spellEnd"/>
      <w:r w:rsidRPr="000508B6">
        <w:rPr>
          <w:rFonts w:ascii="Times New Roman" w:hAnsi="Times New Roman" w:cs="Times New Roman"/>
          <w:lang w:val="ro-MD"/>
        </w:rPr>
        <w:t xml:space="preserve"> </w:t>
      </w:r>
      <w:r w:rsidR="00BB47F6" w:rsidRPr="000508B6">
        <w:rPr>
          <w:rFonts w:ascii="Times New Roman" w:hAnsi="Times New Roman" w:cs="Times New Roman"/>
          <w:lang w:val="ro-MD"/>
        </w:rPr>
        <w:t>menționat la art</w:t>
      </w:r>
      <w:r w:rsidR="00D54771" w:rsidRPr="000508B6">
        <w:rPr>
          <w:rFonts w:ascii="Times New Roman" w:hAnsi="Times New Roman" w:cs="Times New Roman"/>
          <w:lang w:val="ro-MD"/>
        </w:rPr>
        <w:t>.</w:t>
      </w:r>
      <w:r w:rsidR="00BB47F6" w:rsidRPr="000508B6">
        <w:rPr>
          <w:rFonts w:ascii="Times New Roman" w:hAnsi="Times New Roman" w:cs="Times New Roman"/>
          <w:lang w:val="ro-MD"/>
        </w:rPr>
        <w:t xml:space="preserve"> </w:t>
      </w:r>
      <w:r w:rsidR="00D54771" w:rsidRPr="000508B6">
        <w:rPr>
          <w:rFonts w:ascii="Times New Roman" w:hAnsi="Times New Roman" w:cs="Times New Roman"/>
          <w:lang w:val="ro-MD"/>
        </w:rPr>
        <w:t>132</w:t>
      </w:r>
      <w:r w:rsidR="00BB47F6" w:rsidRPr="000508B6">
        <w:rPr>
          <w:rFonts w:ascii="Times New Roman" w:hAnsi="Times New Roman" w:cs="Times New Roman"/>
          <w:lang w:val="ro-MD"/>
        </w:rPr>
        <w:t xml:space="preserve"> alin</w:t>
      </w:r>
      <w:r w:rsidR="00D54771" w:rsidRPr="000508B6">
        <w:rPr>
          <w:rFonts w:ascii="Times New Roman" w:hAnsi="Times New Roman" w:cs="Times New Roman"/>
          <w:lang w:val="ro-MD"/>
        </w:rPr>
        <w:t>.</w:t>
      </w:r>
      <w:r w:rsidR="00BB47F6" w:rsidRPr="000508B6">
        <w:rPr>
          <w:rFonts w:ascii="Times New Roman" w:hAnsi="Times New Roman" w:cs="Times New Roman"/>
          <w:lang w:val="ro-MD"/>
        </w:rPr>
        <w:t xml:space="preserve"> (1) lit</w:t>
      </w:r>
      <w:r w:rsidR="00D54771" w:rsidRPr="000508B6">
        <w:rPr>
          <w:rFonts w:ascii="Times New Roman" w:hAnsi="Times New Roman" w:cs="Times New Roman"/>
          <w:lang w:val="ro-MD"/>
        </w:rPr>
        <w:t>.</w:t>
      </w:r>
      <w:r w:rsidR="00BB47F6" w:rsidRPr="000508B6">
        <w:rPr>
          <w:rFonts w:ascii="Times New Roman" w:hAnsi="Times New Roman" w:cs="Times New Roman"/>
          <w:lang w:val="ro-MD"/>
        </w:rPr>
        <w:t xml:space="preserve"> a)-</w:t>
      </w:r>
      <w:r w:rsidR="00AB2DCE" w:rsidRPr="000508B6" w:rsidDel="00AB2DCE">
        <w:rPr>
          <w:rFonts w:ascii="Times New Roman" w:hAnsi="Times New Roman" w:cs="Times New Roman"/>
          <w:lang w:val="ro-MD"/>
        </w:rPr>
        <w:t xml:space="preserve"> </w:t>
      </w:r>
      <w:r w:rsidR="00BB47F6" w:rsidRPr="000508B6">
        <w:rPr>
          <w:rFonts w:ascii="Times New Roman" w:hAnsi="Times New Roman" w:cs="Times New Roman"/>
          <w:lang w:val="ro-MD"/>
        </w:rPr>
        <w:t>e);</w:t>
      </w:r>
    </w:p>
    <w:p w14:paraId="7E247817" w14:textId="53D258B9" w:rsidR="00BB47F6" w:rsidRPr="000508B6" w:rsidRDefault="00E6539F" w:rsidP="00CF5AFA">
      <w:pPr>
        <w:pStyle w:val="Listparagraf"/>
        <w:numPr>
          <w:ilvl w:val="1"/>
          <w:numId w:val="38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asigur</w:t>
      </w:r>
      <w:r w:rsidR="002D1027" w:rsidRPr="000508B6">
        <w:rPr>
          <w:rFonts w:ascii="Times New Roman" w:hAnsi="Times New Roman" w:cs="Times New Roman"/>
          <w:lang w:val="ro-MD"/>
        </w:rPr>
        <w:t>ă</w:t>
      </w:r>
      <w:r w:rsidRPr="000508B6">
        <w:rPr>
          <w:rFonts w:ascii="Times New Roman" w:hAnsi="Times New Roman" w:cs="Times New Roman"/>
          <w:lang w:val="ro-MD"/>
        </w:rPr>
        <w:t xml:space="preserve">torul care </w:t>
      </w:r>
      <w:r w:rsidR="00442EE8" w:rsidRPr="000508B6">
        <w:rPr>
          <w:rFonts w:ascii="Times New Roman" w:hAnsi="Times New Roman" w:cs="Times New Roman"/>
          <w:lang w:val="ro-MD"/>
        </w:rPr>
        <w:t xml:space="preserve">administrează fonduri </w:t>
      </w:r>
      <w:r w:rsidR="00BB47F6" w:rsidRPr="000508B6">
        <w:rPr>
          <w:rFonts w:ascii="Times New Roman" w:hAnsi="Times New Roman" w:cs="Times New Roman"/>
          <w:lang w:val="ro-MD"/>
        </w:rPr>
        <w:t xml:space="preserve">colective </w:t>
      </w:r>
      <w:r w:rsidR="00442EE8" w:rsidRPr="000508B6">
        <w:rPr>
          <w:rFonts w:ascii="Times New Roman" w:hAnsi="Times New Roman" w:cs="Times New Roman"/>
          <w:lang w:val="ro-MD"/>
        </w:rPr>
        <w:t xml:space="preserve">de pensii </w:t>
      </w:r>
      <w:r w:rsidR="00BB47F6" w:rsidRPr="000508B6">
        <w:rPr>
          <w:rFonts w:ascii="Times New Roman" w:hAnsi="Times New Roman" w:cs="Times New Roman"/>
          <w:lang w:val="ro-MD"/>
        </w:rPr>
        <w:t xml:space="preserve">în </w:t>
      </w:r>
      <w:r w:rsidR="00442EE8" w:rsidRPr="000508B6">
        <w:rPr>
          <w:rFonts w:ascii="Times New Roman" w:hAnsi="Times New Roman" w:cs="Times New Roman"/>
          <w:lang w:val="ro-MD"/>
        </w:rPr>
        <w:t xml:space="preserve">cazul în care valoarea activelor fondurilor </w:t>
      </w:r>
      <w:r w:rsidR="00BB47F6" w:rsidRPr="000508B6">
        <w:rPr>
          <w:rFonts w:ascii="Times New Roman" w:hAnsi="Times New Roman" w:cs="Times New Roman"/>
          <w:lang w:val="ro-MD"/>
        </w:rPr>
        <w:t xml:space="preserve">colective </w:t>
      </w:r>
      <w:r w:rsidR="00442EE8" w:rsidRPr="000508B6">
        <w:rPr>
          <w:rFonts w:ascii="Times New Roman" w:hAnsi="Times New Roman" w:cs="Times New Roman"/>
          <w:lang w:val="ro-MD"/>
        </w:rPr>
        <w:t xml:space="preserve">de pensii depășește </w:t>
      </w:r>
      <w:r w:rsidR="004C34A1" w:rsidRPr="000508B6">
        <w:rPr>
          <w:rFonts w:ascii="Times New Roman" w:hAnsi="Times New Roman" w:cs="Times New Roman"/>
          <w:lang w:val="ro-MD"/>
        </w:rPr>
        <w:t xml:space="preserve">echivalentul în lei a </w:t>
      </w:r>
      <w:r w:rsidR="00442EE8" w:rsidRPr="000508B6">
        <w:rPr>
          <w:rFonts w:ascii="Times New Roman" w:hAnsi="Times New Roman" w:cs="Times New Roman"/>
          <w:lang w:val="ro-MD"/>
        </w:rPr>
        <w:t xml:space="preserve">1 000 000 </w:t>
      </w:r>
      <w:r w:rsidR="00BB47F6" w:rsidRPr="000508B6">
        <w:rPr>
          <w:rFonts w:ascii="Times New Roman" w:hAnsi="Times New Roman" w:cs="Times New Roman"/>
          <w:lang w:val="ro-MD"/>
        </w:rPr>
        <w:t xml:space="preserve">000 </w:t>
      </w:r>
      <w:r w:rsidR="00442EE8" w:rsidRPr="000508B6">
        <w:rPr>
          <w:rFonts w:ascii="Times New Roman" w:hAnsi="Times New Roman" w:cs="Times New Roman"/>
          <w:lang w:val="ro-MD"/>
        </w:rPr>
        <w:t>EUR</w:t>
      </w:r>
      <w:r w:rsidR="00BB47F6" w:rsidRPr="000508B6">
        <w:rPr>
          <w:rFonts w:ascii="Times New Roman" w:hAnsi="Times New Roman" w:cs="Times New Roman"/>
          <w:lang w:val="ro-MD"/>
        </w:rPr>
        <w:t>.</w:t>
      </w:r>
    </w:p>
    <w:p w14:paraId="6B5F257B" w14:textId="70CD43F4" w:rsidR="00406E67" w:rsidRPr="000508B6" w:rsidRDefault="00406E67" w:rsidP="00406E67">
      <w:pPr>
        <w:spacing w:after="0" w:line="240" w:lineRule="auto"/>
        <w:ind w:firstLine="426"/>
        <w:jc w:val="both"/>
        <w:rPr>
          <w:rFonts w:ascii="Times New Roman" w:hAnsi="Times New Roman" w:cs="Times New Roman"/>
          <w:lang w:val="ro-MD"/>
        </w:rPr>
      </w:pPr>
    </w:p>
    <w:p w14:paraId="6CCD6FEF" w14:textId="4CF4646F" w:rsidR="00406E67" w:rsidRPr="000508B6" w:rsidRDefault="00406E67" w:rsidP="00406E67">
      <w:pPr>
        <w:spacing w:after="0" w:line="240" w:lineRule="auto"/>
        <w:ind w:firstLine="426"/>
        <w:jc w:val="both"/>
        <w:rPr>
          <w:rFonts w:ascii="Times New Roman" w:hAnsi="Times New Roman" w:cs="Times New Roman"/>
          <w:lang w:val="ro-MD"/>
        </w:rPr>
      </w:pPr>
      <w:r w:rsidRPr="000508B6">
        <w:rPr>
          <w:rFonts w:ascii="Times New Roman" w:hAnsi="Times New Roman" w:cs="Times New Roman"/>
          <w:b/>
          <w:bCs/>
          <w:lang w:val="ro-MD"/>
        </w:rPr>
        <w:t xml:space="preserve">Articolul </w:t>
      </w:r>
      <w:r w:rsidR="00CA6B02" w:rsidRPr="000508B6">
        <w:rPr>
          <w:rFonts w:ascii="Times New Roman" w:hAnsi="Times New Roman" w:cs="Times New Roman"/>
          <w:b/>
          <w:bCs/>
          <w:lang w:val="ro-MD"/>
        </w:rPr>
        <w:t>17</w:t>
      </w:r>
      <w:r w:rsidR="003C64FC" w:rsidRPr="000508B6">
        <w:rPr>
          <w:rFonts w:ascii="Times New Roman" w:hAnsi="Times New Roman" w:cs="Times New Roman"/>
          <w:b/>
          <w:bCs/>
          <w:lang w:val="ro-MD"/>
        </w:rPr>
        <w:t>1</w:t>
      </w:r>
      <w:r w:rsidR="005E051B" w:rsidRPr="000508B6">
        <w:rPr>
          <w:rFonts w:ascii="Times New Roman" w:hAnsi="Times New Roman" w:cs="Times New Roman"/>
          <w:b/>
          <w:bCs/>
          <w:lang w:val="ro-MD"/>
        </w:rPr>
        <w:t>.</w:t>
      </w:r>
      <w:r w:rsidRPr="000508B6">
        <w:rPr>
          <w:rFonts w:ascii="Times New Roman" w:hAnsi="Times New Roman" w:cs="Times New Roman"/>
          <w:b/>
          <w:bCs/>
          <w:lang w:val="ro-MD"/>
        </w:rPr>
        <w:t xml:space="preserve"> </w:t>
      </w:r>
      <w:r w:rsidRPr="000508B6">
        <w:rPr>
          <w:rFonts w:ascii="Times New Roman" w:hAnsi="Times New Roman" w:cs="Times New Roman"/>
          <w:lang w:val="ro-MD"/>
        </w:rPr>
        <w:t xml:space="preserve">Procesul de </w:t>
      </w:r>
      <w:r w:rsidR="008E61D8" w:rsidRPr="000508B6">
        <w:rPr>
          <w:rFonts w:ascii="Times New Roman" w:hAnsi="Times New Roman" w:cs="Times New Roman"/>
          <w:lang w:val="ro-MD"/>
        </w:rPr>
        <w:t xml:space="preserve">încadrare </w:t>
      </w:r>
      <w:r w:rsidR="00B913DE" w:rsidRPr="000508B6">
        <w:rPr>
          <w:rFonts w:ascii="Times New Roman" w:hAnsi="Times New Roman" w:cs="Times New Roman"/>
          <w:lang w:val="ro-MD"/>
        </w:rPr>
        <w:t>a</w:t>
      </w:r>
      <w:r w:rsidR="008E61D8" w:rsidRPr="000508B6" w:rsidDel="008D6A21">
        <w:rPr>
          <w:rFonts w:ascii="Times New Roman" w:hAnsi="Times New Roman" w:cs="Times New Roman"/>
          <w:lang w:val="ro-MD"/>
        </w:rPr>
        <w:t xml:space="preserve"> </w:t>
      </w:r>
      <w:r w:rsidR="008D6A21" w:rsidRPr="000508B6">
        <w:rPr>
          <w:rFonts w:ascii="Times New Roman" w:hAnsi="Times New Roman" w:cs="Times New Roman"/>
          <w:lang w:val="ro-MD"/>
        </w:rPr>
        <w:t xml:space="preserve">asigurătorilor </w:t>
      </w:r>
      <w:r w:rsidR="00B01027" w:rsidRPr="000508B6">
        <w:rPr>
          <w:rFonts w:ascii="Times New Roman" w:hAnsi="Times New Roman" w:cs="Times New Roman"/>
          <w:lang w:val="ro-MD"/>
        </w:rPr>
        <w:t>și</w:t>
      </w:r>
      <w:r w:rsidR="008E61D8" w:rsidRPr="000508B6">
        <w:rPr>
          <w:rFonts w:ascii="Times New Roman" w:hAnsi="Times New Roman" w:cs="Times New Roman"/>
          <w:lang w:val="ro-MD"/>
        </w:rPr>
        <w:t xml:space="preserve"> </w:t>
      </w:r>
      <w:r w:rsidR="00B913DE" w:rsidRPr="000508B6">
        <w:rPr>
          <w:rFonts w:ascii="Times New Roman" w:hAnsi="Times New Roman" w:cs="Times New Roman"/>
          <w:lang w:val="ro-MD"/>
        </w:rPr>
        <w:t>a</w:t>
      </w:r>
      <w:r w:rsidR="001F6E4F" w:rsidRPr="000508B6" w:rsidDel="008D6A21">
        <w:rPr>
          <w:rFonts w:ascii="Times New Roman" w:hAnsi="Times New Roman" w:cs="Times New Roman"/>
          <w:lang w:val="ro-MD"/>
        </w:rPr>
        <w:t xml:space="preserve"> </w:t>
      </w:r>
      <w:proofErr w:type="spellStart"/>
      <w:r w:rsidR="008D6A21" w:rsidRPr="000508B6">
        <w:rPr>
          <w:rFonts w:ascii="Times New Roman" w:hAnsi="Times New Roman" w:cs="Times New Roman"/>
          <w:lang w:val="ro-MD"/>
        </w:rPr>
        <w:t>reasigurătorilor</w:t>
      </w:r>
      <w:proofErr w:type="spellEnd"/>
      <w:r w:rsidR="008D6A21" w:rsidRPr="000508B6">
        <w:rPr>
          <w:rFonts w:ascii="Times New Roman" w:hAnsi="Times New Roman" w:cs="Times New Roman"/>
          <w:lang w:val="ro-MD"/>
        </w:rPr>
        <w:t xml:space="preserve"> </w:t>
      </w:r>
      <w:r w:rsidRPr="000508B6">
        <w:rPr>
          <w:rFonts w:ascii="Times New Roman" w:hAnsi="Times New Roman" w:cs="Times New Roman"/>
          <w:lang w:val="ro-MD"/>
        </w:rPr>
        <w:t>care îndepline</w:t>
      </w:r>
      <w:r w:rsidR="001F6E4F" w:rsidRPr="000508B6">
        <w:rPr>
          <w:rFonts w:ascii="Times New Roman" w:hAnsi="Times New Roman" w:cs="Times New Roman"/>
          <w:lang w:val="ro-MD"/>
        </w:rPr>
        <w:t>sc</w:t>
      </w:r>
      <w:r w:rsidRPr="000508B6">
        <w:rPr>
          <w:rFonts w:ascii="Times New Roman" w:hAnsi="Times New Roman" w:cs="Times New Roman"/>
          <w:lang w:val="ro-MD"/>
        </w:rPr>
        <w:t xml:space="preserve"> criteriile</w:t>
      </w:r>
      <w:r w:rsidR="001F6E4F" w:rsidRPr="000508B6">
        <w:rPr>
          <w:rFonts w:ascii="Times New Roman" w:hAnsi="Times New Roman" w:cs="Times New Roman"/>
          <w:lang w:val="ro-MD"/>
        </w:rPr>
        <w:t xml:space="preserve"> pentru identificarea </w:t>
      </w:r>
      <w:r w:rsidR="004125E8" w:rsidRPr="000508B6">
        <w:rPr>
          <w:rFonts w:ascii="Times New Roman" w:hAnsi="Times New Roman" w:cs="Times New Roman"/>
          <w:lang w:val="ro-MD"/>
        </w:rPr>
        <w:t xml:space="preserve">asigurător </w:t>
      </w:r>
      <w:r w:rsidR="00CB7F86" w:rsidRPr="000508B6">
        <w:rPr>
          <w:rFonts w:ascii="Times New Roman" w:hAnsi="Times New Roman" w:cs="Times New Roman"/>
          <w:lang w:val="ro-MD"/>
        </w:rPr>
        <w:t>și</w:t>
      </w:r>
      <w:r w:rsidR="004125E8" w:rsidRPr="000508B6">
        <w:rPr>
          <w:rFonts w:ascii="Times New Roman" w:hAnsi="Times New Roman" w:cs="Times New Roman"/>
          <w:lang w:val="ro-MD"/>
        </w:rPr>
        <w:t xml:space="preserve"> </w:t>
      </w:r>
      <w:proofErr w:type="spellStart"/>
      <w:r w:rsidR="004125E8" w:rsidRPr="000508B6">
        <w:rPr>
          <w:rFonts w:ascii="Times New Roman" w:hAnsi="Times New Roman" w:cs="Times New Roman"/>
          <w:lang w:val="ro-MD"/>
        </w:rPr>
        <w:t>reasigurător</w:t>
      </w:r>
      <w:proofErr w:type="spellEnd"/>
      <w:r w:rsidR="001F6E4F" w:rsidRPr="000508B6">
        <w:rPr>
          <w:rFonts w:ascii="Times New Roman" w:hAnsi="Times New Roman" w:cs="Times New Roman"/>
          <w:lang w:val="ro-MD"/>
        </w:rPr>
        <w:t xml:space="preserve"> mic și cu un grad redus de complexitate</w:t>
      </w:r>
      <w:r w:rsidR="001574FF" w:rsidRPr="000508B6">
        <w:rPr>
          <w:rFonts w:ascii="Times New Roman" w:hAnsi="Times New Roman" w:cs="Times New Roman"/>
          <w:b/>
          <w:bCs/>
          <w:lang w:val="ro-MD"/>
        </w:rPr>
        <w:t xml:space="preserve"> </w:t>
      </w:r>
    </w:p>
    <w:p w14:paraId="21882F77" w14:textId="2B07B5E9" w:rsidR="00406E67" w:rsidRPr="000508B6" w:rsidRDefault="002D5B8C"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În cazul în </w:t>
      </w:r>
      <w:r w:rsidR="00406E67" w:rsidRPr="000508B6">
        <w:rPr>
          <w:rFonts w:ascii="Times New Roman" w:hAnsi="Times New Roman" w:cs="Times New Roman"/>
          <w:lang w:val="ro-MD"/>
        </w:rPr>
        <w:t xml:space="preserve">care </w:t>
      </w: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consideră că </w:t>
      </w:r>
      <w:r w:rsidR="00406E67" w:rsidRPr="000508B6">
        <w:rPr>
          <w:rFonts w:ascii="Times New Roman" w:hAnsi="Times New Roman" w:cs="Times New Roman"/>
          <w:lang w:val="ro-MD"/>
        </w:rPr>
        <w:t xml:space="preserve">îndeplinește criteriile prevăzute </w:t>
      </w:r>
      <w:r w:rsidRPr="000508B6">
        <w:rPr>
          <w:rFonts w:ascii="Times New Roman" w:hAnsi="Times New Roman" w:cs="Times New Roman"/>
          <w:lang w:val="ro-MD"/>
        </w:rPr>
        <w:t>la</w:t>
      </w:r>
      <w:r w:rsidR="00406E67" w:rsidRPr="000508B6">
        <w:rPr>
          <w:rFonts w:ascii="Times New Roman" w:hAnsi="Times New Roman" w:cs="Times New Roman"/>
          <w:lang w:val="ro-MD"/>
        </w:rPr>
        <w:t xml:space="preserve"> art. </w:t>
      </w:r>
      <w:r w:rsidRPr="000508B6">
        <w:rPr>
          <w:rFonts w:ascii="Times New Roman" w:hAnsi="Times New Roman" w:cs="Times New Roman"/>
          <w:lang w:val="ro-MD"/>
        </w:rPr>
        <w:t>170, acesta</w:t>
      </w:r>
      <w:r w:rsidR="0088160D" w:rsidRPr="000508B6">
        <w:rPr>
          <w:rFonts w:ascii="Times New Roman" w:hAnsi="Times New Roman" w:cs="Times New Roman"/>
          <w:lang w:val="ro-MD"/>
        </w:rPr>
        <w:t xml:space="preserve"> poate</w:t>
      </w:r>
      <w:r w:rsidRPr="000508B6">
        <w:rPr>
          <w:rFonts w:ascii="Times New Roman" w:hAnsi="Times New Roman" w:cs="Times New Roman"/>
          <w:lang w:val="ro-MD"/>
        </w:rPr>
        <w:t xml:space="preserve"> notific</w:t>
      </w:r>
      <w:r w:rsidR="0088160D" w:rsidRPr="000508B6">
        <w:rPr>
          <w:rFonts w:ascii="Times New Roman" w:hAnsi="Times New Roman" w:cs="Times New Roman"/>
          <w:lang w:val="ro-MD"/>
        </w:rPr>
        <w:t>a</w:t>
      </w:r>
      <w:r w:rsidRPr="000508B6">
        <w:rPr>
          <w:rFonts w:ascii="Times New Roman" w:hAnsi="Times New Roman" w:cs="Times New Roman"/>
          <w:lang w:val="ro-MD"/>
        </w:rPr>
        <w:t xml:space="preserve"> Banca Națională a Moldovei în acest sens și </w:t>
      </w:r>
      <w:r w:rsidR="002451D8" w:rsidRPr="000508B6">
        <w:rPr>
          <w:rFonts w:ascii="Times New Roman" w:hAnsi="Times New Roman" w:cs="Times New Roman"/>
          <w:lang w:val="ro-MD"/>
        </w:rPr>
        <w:t>poate</w:t>
      </w:r>
      <w:r w:rsidRPr="000508B6">
        <w:rPr>
          <w:rFonts w:ascii="Times New Roman" w:hAnsi="Times New Roman" w:cs="Times New Roman"/>
          <w:lang w:val="ro-MD"/>
        </w:rPr>
        <w:t xml:space="preserve"> </w:t>
      </w:r>
      <w:r w:rsidR="002451D8" w:rsidRPr="000508B6">
        <w:rPr>
          <w:rFonts w:ascii="Times New Roman" w:hAnsi="Times New Roman" w:cs="Times New Roman"/>
          <w:lang w:val="ro-MD"/>
        </w:rPr>
        <w:t>solicita</w:t>
      </w:r>
      <w:r w:rsidR="00D913A7" w:rsidRPr="000508B6">
        <w:rPr>
          <w:rFonts w:ascii="Times New Roman" w:hAnsi="Times New Roman" w:cs="Times New Roman"/>
          <w:lang w:val="ro-MD"/>
        </w:rPr>
        <w:t xml:space="preserve"> prin depunerea unei cereri</w:t>
      </w:r>
      <w:r w:rsidRPr="000508B6">
        <w:rPr>
          <w:rFonts w:ascii="Times New Roman" w:hAnsi="Times New Roman" w:cs="Times New Roman"/>
          <w:lang w:val="ro-MD"/>
        </w:rPr>
        <w:t xml:space="preserve"> să fie încadrat în categoria </w:t>
      </w:r>
      <w:r w:rsidR="00EA4C57" w:rsidRPr="000508B6">
        <w:rPr>
          <w:rFonts w:ascii="Times New Roman" w:hAnsi="Times New Roman" w:cs="Times New Roman"/>
          <w:lang w:val="ro-MD"/>
        </w:rPr>
        <w:t xml:space="preserve">asigurător </w:t>
      </w:r>
      <w:r w:rsidRPr="000508B6">
        <w:rPr>
          <w:rFonts w:ascii="Times New Roman" w:hAnsi="Times New Roman" w:cs="Times New Roman"/>
          <w:lang w:val="ro-MD"/>
        </w:rPr>
        <w:t xml:space="preserve">sau </w:t>
      </w:r>
      <w:proofErr w:type="spellStart"/>
      <w:r w:rsidR="00EA4C57" w:rsidRPr="000508B6">
        <w:rPr>
          <w:rFonts w:ascii="Times New Roman" w:hAnsi="Times New Roman" w:cs="Times New Roman"/>
          <w:lang w:val="ro-MD"/>
        </w:rPr>
        <w:t>reasigurător</w:t>
      </w:r>
      <w:proofErr w:type="spellEnd"/>
      <w:r w:rsidR="00EA4C57" w:rsidRPr="000508B6">
        <w:rPr>
          <w:rFonts w:ascii="Times New Roman" w:hAnsi="Times New Roman" w:cs="Times New Roman"/>
          <w:lang w:val="ro-MD"/>
        </w:rPr>
        <w:t xml:space="preserve"> </w:t>
      </w:r>
      <w:r w:rsidRPr="000508B6">
        <w:rPr>
          <w:rFonts w:ascii="Times New Roman" w:hAnsi="Times New Roman" w:cs="Times New Roman"/>
          <w:lang w:val="ro-MD"/>
        </w:rPr>
        <w:t xml:space="preserve">mic și cu un grad redus de complexitate. </w:t>
      </w:r>
    </w:p>
    <w:p w14:paraId="0097DFCD" w14:textId="14265B6A" w:rsidR="00406E67" w:rsidRPr="000508B6" w:rsidRDefault="009C5094"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w:t>
      </w:r>
      <w:r w:rsidR="00FB1D7A" w:rsidRPr="000508B6">
        <w:rPr>
          <w:rFonts w:ascii="Times New Roman" w:hAnsi="Times New Roman" w:cs="Times New Roman"/>
          <w:lang w:val="ro-MD"/>
        </w:rPr>
        <w:t xml:space="preserve">tunci când notifică Banca Națională a Moldovei, </w:t>
      </w:r>
      <w:r w:rsidR="00EA4C57" w:rsidRPr="000508B6">
        <w:rPr>
          <w:rFonts w:ascii="Times New Roman" w:hAnsi="Times New Roman" w:cs="Times New Roman"/>
          <w:lang w:val="ro-MD"/>
        </w:rPr>
        <w:t xml:space="preserve">asigurătorul </w:t>
      </w:r>
      <w:r w:rsidR="00FB1D7A" w:rsidRPr="000508B6">
        <w:rPr>
          <w:rFonts w:ascii="Times New Roman" w:hAnsi="Times New Roman" w:cs="Times New Roman"/>
          <w:lang w:val="ro-MD"/>
        </w:rPr>
        <w:t xml:space="preserve">sau </w:t>
      </w:r>
      <w:proofErr w:type="spellStart"/>
      <w:r w:rsidR="00EA4C57" w:rsidRPr="000508B6">
        <w:rPr>
          <w:rFonts w:ascii="Times New Roman" w:hAnsi="Times New Roman" w:cs="Times New Roman"/>
          <w:lang w:val="ro-MD"/>
        </w:rPr>
        <w:t>reasigurătorul</w:t>
      </w:r>
      <w:proofErr w:type="spellEnd"/>
      <w:r w:rsidR="00406E67" w:rsidRPr="000508B6">
        <w:rPr>
          <w:rFonts w:ascii="Times New Roman" w:hAnsi="Times New Roman" w:cs="Times New Roman"/>
          <w:lang w:val="ro-MD"/>
        </w:rPr>
        <w:t>:</w:t>
      </w:r>
    </w:p>
    <w:p w14:paraId="5D715FD0" w14:textId="5F79A29D" w:rsidR="00406E67" w:rsidRPr="000508B6" w:rsidRDefault="003129ED" w:rsidP="00CF5AFA">
      <w:pPr>
        <w:pStyle w:val="Listparagraf"/>
        <w:numPr>
          <w:ilvl w:val="1"/>
          <w:numId w:val="396"/>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documentează faptul că îndeplinește toate criteriile aplicabile prevăzute la art. 170</w:t>
      </w:r>
      <w:r w:rsidR="00406E67" w:rsidRPr="000508B6">
        <w:rPr>
          <w:rFonts w:ascii="Times New Roman" w:hAnsi="Times New Roman" w:cs="Times New Roman"/>
          <w:lang w:val="ro-MD"/>
        </w:rPr>
        <w:t>;</w:t>
      </w:r>
    </w:p>
    <w:p w14:paraId="20F223C4" w14:textId="7F81527B" w:rsidR="00406E67" w:rsidRPr="000508B6" w:rsidRDefault="003129ED" w:rsidP="00CF5AFA">
      <w:pPr>
        <w:pStyle w:val="Listparagraf"/>
        <w:numPr>
          <w:ilvl w:val="1"/>
          <w:numId w:val="396"/>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lastRenderedPageBreak/>
        <w:t xml:space="preserve">transmite o declarație pe proprie răspundere, conform căreia se angajează că în următorii 3 ani nu vor exista modificări ale strategiei de afaceri care să aibă drept rezultat neîndeplinirea a cel puțin unui criteriu dintre cele prevăzute la art. </w:t>
      </w:r>
      <w:r w:rsidR="005F196B" w:rsidRPr="000508B6">
        <w:rPr>
          <w:rFonts w:ascii="Times New Roman" w:hAnsi="Times New Roman" w:cs="Times New Roman"/>
          <w:lang w:val="ro-MD"/>
        </w:rPr>
        <w:t>170</w:t>
      </w:r>
      <w:r w:rsidR="00406E67" w:rsidRPr="000508B6">
        <w:rPr>
          <w:rFonts w:ascii="Times New Roman" w:hAnsi="Times New Roman" w:cs="Times New Roman"/>
          <w:lang w:val="ro-MD"/>
        </w:rPr>
        <w:t>;</w:t>
      </w:r>
    </w:p>
    <w:p w14:paraId="3FBC093D" w14:textId="1F462542" w:rsidR="009E2804" w:rsidRPr="000508B6" w:rsidRDefault="009E2804" w:rsidP="00CF5AFA">
      <w:pPr>
        <w:pStyle w:val="Listparagraf"/>
        <w:numPr>
          <w:ilvl w:val="1"/>
          <w:numId w:val="396"/>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identifică măsurile de proporționalitate pe care intenționează să le aplice, în special dacă intenționează să utilizeze simplificarea celei mai bune estimări;</w:t>
      </w:r>
    </w:p>
    <w:p w14:paraId="4433EF17" w14:textId="5E5D2835" w:rsidR="00406E67" w:rsidRPr="000508B6" w:rsidRDefault="00406E67" w:rsidP="00CF5AFA">
      <w:pPr>
        <w:pStyle w:val="Listparagraf"/>
        <w:numPr>
          <w:ilvl w:val="1"/>
          <w:numId w:val="396"/>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 </w:t>
      </w:r>
      <w:r w:rsidR="009E2804" w:rsidRPr="000508B6">
        <w:rPr>
          <w:rFonts w:ascii="Times New Roman" w:hAnsi="Times New Roman" w:cs="Times New Roman"/>
          <w:lang w:val="ro-MD"/>
        </w:rPr>
        <w:t>comunică intenția de a utiliza evaluarea deterministă prudentă prevăzută la art. 43 alin. (</w:t>
      </w:r>
      <w:r w:rsidR="00BE2A33" w:rsidRPr="000508B6">
        <w:rPr>
          <w:rFonts w:ascii="Times New Roman" w:hAnsi="Times New Roman" w:cs="Times New Roman"/>
          <w:lang w:val="ro-MD"/>
        </w:rPr>
        <w:t>12</w:t>
      </w:r>
      <w:r w:rsidR="009E2804" w:rsidRPr="000508B6">
        <w:rPr>
          <w:rFonts w:ascii="Times New Roman" w:hAnsi="Times New Roman" w:cs="Times New Roman"/>
          <w:lang w:val="ro-MD"/>
        </w:rPr>
        <w:t>), dacă este cazul.</w:t>
      </w:r>
    </w:p>
    <w:p w14:paraId="0DDB315C" w14:textId="610CF46A" w:rsidR="00406E67" w:rsidRPr="000508B6" w:rsidRDefault="00462176"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Atunci când primește o notificare în temeiul alin. (1), Banca Națională a Moldovei respinge </w:t>
      </w:r>
      <w:r w:rsidR="00D913A7" w:rsidRPr="000508B6">
        <w:rPr>
          <w:rFonts w:ascii="Times New Roman" w:hAnsi="Times New Roman" w:cs="Times New Roman"/>
          <w:lang w:val="ro-MD"/>
        </w:rPr>
        <w:t>cererea</w:t>
      </w:r>
      <w:r w:rsidRPr="000508B6">
        <w:rPr>
          <w:rFonts w:ascii="Times New Roman" w:hAnsi="Times New Roman" w:cs="Times New Roman"/>
          <w:lang w:val="ro-MD"/>
        </w:rPr>
        <w:t xml:space="preserve"> de încadrare în categoria </w:t>
      </w:r>
      <w:r w:rsidR="00EA4C57" w:rsidRPr="000508B6">
        <w:rPr>
          <w:rFonts w:ascii="Times New Roman" w:hAnsi="Times New Roman" w:cs="Times New Roman"/>
          <w:lang w:val="ro-MD"/>
        </w:rPr>
        <w:t xml:space="preserve">asigurător </w:t>
      </w:r>
      <w:r w:rsidRPr="000508B6">
        <w:rPr>
          <w:rFonts w:ascii="Times New Roman" w:hAnsi="Times New Roman" w:cs="Times New Roman"/>
          <w:lang w:val="ro-MD"/>
        </w:rPr>
        <w:t>mic sau cu grad redus de comp</w:t>
      </w:r>
      <w:r w:rsidR="009C5094" w:rsidRPr="000508B6">
        <w:rPr>
          <w:rFonts w:ascii="Times New Roman" w:hAnsi="Times New Roman" w:cs="Times New Roman"/>
          <w:lang w:val="ro-MD"/>
        </w:rPr>
        <w:t>l</w:t>
      </w:r>
      <w:r w:rsidRPr="000508B6">
        <w:rPr>
          <w:rFonts w:ascii="Times New Roman" w:hAnsi="Times New Roman" w:cs="Times New Roman"/>
          <w:lang w:val="ro-MD"/>
        </w:rPr>
        <w:t>exitate, în termen de 2 luni de la primirea notificării complete conform alin. (2), cel puțin într-una dintre situațiile următoare:</w:t>
      </w:r>
    </w:p>
    <w:p w14:paraId="2770F7BA" w14:textId="54BD10EB" w:rsidR="00406E67" w:rsidRPr="000508B6" w:rsidRDefault="00462176" w:rsidP="00CF5AFA">
      <w:pPr>
        <w:pStyle w:val="Listparagraf"/>
        <w:numPr>
          <w:ilvl w:val="1"/>
          <w:numId w:val="397"/>
        </w:numPr>
        <w:spacing w:after="0" w:line="240" w:lineRule="auto"/>
        <w:ind w:left="0" w:firstLine="425"/>
        <w:jc w:val="both"/>
        <w:rPr>
          <w:rFonts w:ascii="Times New Roman" w:hAnsi="Times New Roman" w:cs="Times New Roman"/>
          <w:lang w:val="ro-MD"/>
        </w:rPr>
      </w:pPr>
      <w:bookmarkStart w:id="156" w:name="_Hlk214964776"/>
      <w:r w:rsidRPr="000508B6">
        <w:rPr>
          <w:rFonts w:ascii="Times New Roman" w:hAnsi="Times New Roman" w:cs="Times New Roman"/>
          <w:lang w:val="ro-MD"/>
        </w:rPr>
        <w:t>criteriile aplicabile prevăzute la art. 170 nu sunt îndeplinite cumulativ</w:t>
      </w:r>
      <w:r w:rsidR="00406E67" w:rsidRPr="000508B6">
        <w:rPr>
          <w:rFonts w:ascii="Times New Roman" w:hAnsi="Times New Roman" w:cs="Times New Roman"/>
          <w:lang w:val="ro-MD"/>
        </w:rPr>
        <w:t>;</w:t>
      </w:r>
    </w:p>
    <w:bookmarkEnd w:id="156"/>
    <w:p w14:paraId="46E3F577" w14:textId="2D951AC1" w:rsidR="007A1B93" w:rsidRPr="000508B6" w:rsidRDefault="00462176" w:rsidP="00F7605D">
      <w:pPr>
        <w:pStyle w:val="Listparagraf"/>
        <w:numPr>
          <w:ilvl w:val="1"/>
          <w:numId w:val="397"/>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nu este respectată SCR evaluată fără utilizarea </w:t>
      </w:r>
      <w:r w:rsidR="007F129B" w:rsidRPr="000508B6">
        <w:rPr>
          <w:rFonts w:ascii="Times New Roman" w:hAnsi="Times New Roman" w:cs="Times New Roman"/>
          <w:lang w:val="ro-MD"/>
        </w:rPr>
        <w:t>măsurii tranzitorii</w:t>
      </w:r>
      <w:r w:rsidRPr="000508B6">
        <w:rPr>
          <w:rFonts w:ascii="Times New Roman" w:hAnsi="Times New Roman" w:cs="Times New Roman"/>
          <w:lang w:val="ro-MD"/>
        </w:rPr>
        <w:t xml:space="preserve"> prevăzute </w:t>
      </w:r>
      <w:r w:rsidR="007A1B93" w:rsidRPr="000508B6">
        <w:rPr>
          <w:rFonts w:ascii="Times New Roman" w:hAnsi="Times New Roman" w:cs="Times New Roman"/>
          <w:lang w:val="ro-MD"/>
        </w:rPr>
        <w:t>la art. 44 alin. (</w:t>
      </w:r>
      <w:r w:rsidR="00EB3486" w:rsidRPr="000508B6">
        <w:rPr>
          <w:rFonts w:ascii="Times New Roman" w:hAnsi="Times New Roman" w:cs="Times New Roman"/>
          <w:lang w:val="ro-MD"/>
        </w:rPr>
        <w:t>9</w:t>
      </w:r>
      <w:r w:rsidR="007A1B93" w:rsidRPr="000508B6">
        <w:rPr>
          <w:rFonts w:ascii="Times New Roman" w:hAnsi="Times New Roman" w:cs="Times New Roman"/>
          <w:lang w:val="ro-MD"/>
        </w:rPr>
        <w:t>)</w:t>
      </w:r>
      <w:r w:rsidR="00882CC0" w:rsidRPr="000508B6">
        <w:rPr>
          <w:rFonts w:ascii="Times New Roman" w:hAnsi="Times New Roman" w:cs="Times New Roman"/>
          <w:lang w:val="ro-MD"/>
        </w:rPr>
        <w:t xml:space="preserve"> </w:t>
      </w:r>
      <w:r w:rsidR="007F129B" w:rsidRPr="000508B6">
        <w:rPr>
          <w:rFonts w:ascii="Times New Roman" w:hAnsi="Times New Roman" w:cs="Times New Roman"/>
          <w:lang w:val="ro-MD"/>
        </w:rPr>
        <w:t>sau în actele normative ale BNM</w:t>
      </w:r>
      <w:r w:rsidR="007A1B93" w:rsidRPr="000508B6">
        <w:rPr>
          <w:rFonts w:ascii="Times New Roman" w:hAnsi="Times New Roman" w:cs="Times New Roman"/>
          <w:lang w:val="ro-MD"/>
        </w:rPr>
        <w:t>;</w:t>
      </w:r>
    </w:p>
    <w:p w14:paraId="4FA7C0A8" w14:textId="754B7C8B" w:rsidR="00406E67" w:rsidRPr="000508B6" w:rsidRDefault="004125E8" w:rsidP="00CF5AFA">
      <w:pPr>
        <w:pStyle w:val="Listparagraf"/>
        <w:numPr>
          <w:ilvl w:val="1"/>
          <w:numId w:val="397"/>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406E67" w:rsidRPr="000508B6">
        <w:rPr>
          <w:rFonts w:ascii="Times New Roman" w:hAnsi="Times New Roman" w:cs="Times New Roman"/>
          <w:lang w:val="ro-MD"/>
        </w:rPr>
        <w:t xml:space="preserve"> reprezintă peste 5 % din piața de asigurări și reasigurări de viață sau, după caz, de asigurări și reasigurări generale a statului membru de origine al </w:t>
      </w:r>
      <w:r w:rsidRPr="000508B6">
        <w:rPr>
          <w:rFonts w:ascii="Times New Roman" w:hAnsi="Times New Roman" w:cs="Times New Roman"/>
          <w:lang w:val="ro-MD"/>
        </w:rPr>
        <w:t xml:space="preserve">asigurătorului sau </w:t>
      </w:r>
      <w:proofErr w:type="spellStart"/>
      <w:r w:rsidRPr="000508B6">
        <w:rPr>
          <w:rFonts w:ascii="Times New Roman" w:hAnsi="Times New Roman" w:cs="Times New Roman"/>
          <w:lang w:val="ro-MD"/>
        </w:rPr>
        <w:t>reasigurătorului</w:t>
      </w:r>
      <w:proofErr w:type="spellEnd"/>
      <w:r w:rsidR="00406E67" w:rsidRPr="000508B6">
        <w:rPr>
          <w:rFonts w:ascii="Times New Roman" w:hAnsi="Times New Roman" w:cs="Times New Roman"/>
          <w:lang w:val="ro-MD"/>
        </w:rPr>
        <w:t>, în conformitate cu art</w:t>
      </w:r>
      <w:r w:rsidR="00E90A99" w:rsidRPr="000508B6">
        <w:rPr>
          <w:rFonts w:ascii="Times New Roman" w:hAnsi="Times New Roman" w:cs="Times New Roman"/>
          <w:lang w:val="ro-MD"/>
        </w:rPr>
        <w:t>.</w:t>
      </w:r>
      <w:r w:rsidR="00406E67" w:rsidRPr="000508B6">
        <w:rPr>
          <w:rFonts w:ascii="Times New Roman" w:hAnsi="Times New Roman" w:cs="Times New Roman"/>
          <w:lang w:val="ro-MD"/>
        </w:rPr>
        <w:t xml:space="preserve"> </w:t>
      </w:r>
      <w:r w:rsidR="00E90A99" w:rsidRPr="000508B6">
        <w:rPr>
          <w:rFonts w:ascii="Times New Roman" w:hAnsi="Times New Roman" w:cs="Times New Roman"/>
          <w:lang w:val="ro-MD"/>
        </w:rPr>
        <w:t>18</w:t>
      </w:r>
      <w:r w:rsidR="003C64FC" w:rsidRPr="000508B6">
        <w:rPr>
          <w:rFonts w:ascii="Times New Roman" w:hAnsi="Times New Roman" w:cs="Times New Roman"/>
          <w:lang w:val="ro-MD"/>
        </w:rPr>
        <w:t>0</w:t>
      </w:r>
      <w:r w:rsidR="00406E67" w:rsidRPr="000508B6">
        <w:rPr>
          <w:rFonts w:ascii="Times New Roman" w:hAnsi="Times New Roman" w:cs="Times New Roman"/>
          <w:lang w:val="ro-MD"/>
        </w:rPr>
        <w:t xml:space="preserve"> alin</w:t>
      </w:r>
      <w:r w:rsidR="00EE246C" w:rsidRPr="000508B6">
        <w:rPr>
          <w:rFonts w:ascii="Times New Roman" w:hAnsi="Times New Roman" w:cs="Times New Roman"/>
          <w:lang w:val="ro-MD"/>
        </w:rPr>
        <w:t>.</w:t>
      </w:r>
      <w:r w:rsidR="00406E67" w:rsidRPr="000508B6">
        <w:rPr>
          <w:rFonts w:ascii="Times New Roman" w:hAnsi="Times New Roman" w:cs="Times New Roman"/>
          <w:lang w:val="ro-MD"/>
        </w:rPr>
        <w:t xml:space="preserve"> (</w:t>
      </w:r>
      <w:r w:rsidR="00EE246C" w:rsidRPr="000508B6">
        <w:rPr>
          <w:rFonts w:ascii="Times New Roman" w:hAnsi="Times New Roman" w:cs="Times New Roman"/>
          <w:lang w:val="ro-MD"/>
        </w:rPr>
        <w:t>2</w:t>
      </w:r>
      <w:r w:rsidR="00406E67" w:rsidRPr="000508B6">
        <w:rPr>
          <w:rFonts w:ascii="Times New Roman" w:hAnsi="Times New Roman" w:cs="Times New Roman"/>
          <w:lang w:val="ro-MD"/>
        </w:rPr>
        <w:t>).</w:t>
      </w:r>
    </w:p>
    <w:p w14:paraId="1A6CB472" w14:textId="6E88D77E" w:rsidR="00406E67" w:rsidRPr="000508B6" w:rsidRDefault="00406E67"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Decizia </w:t>
      </w:r>
      <w:r w:rsidR="00F20508" w:rsidRPr="000508B6">
        <w:rPr>
          <w:rFonts w:ascii="Times New Roman" w:hAnsi="Times New Roman" w:cs="Times New Roman"/>
          <w:lang w:val="ro-MD"/>
        </w:rPr>
        <w:t xml:space="preserve">motivată a </w:t>
      </w:r>
      <w:r w:rsidRPr="000508B6">
        <w:rPr>
          <w:rFonts w:ascii="Times New Roman" w:hAnsi="Times New Roman" w:cs="Times New Roman"/>
          <w:lang w:val="ro-MD"/>
        </w:rPr>
        <w:t xml:space="preserve">Băncii Naționale a Moldovei </w:t>
      </w:r>
      <w:r w:rsidR="00F20508" w:rsidRPr="000508B6">
        <w:rPr>
          <w:rFonts w:ascii="Times New Roman" w:hAnsi="Times New Roman" w:cs="Times New Roman"/>
          <w:lang w:val="ro-MD"/>
        </w:rPr>
        <w:t xml:space="preserve">privind respingerea solicitării de a încadra </w:t>
      </w:r>
      <w:r w:rsidR="007343EB" w:rsidRPr="000508B6">
        <w:rPr>
          <w:rFonts w:ascii="Times New Roman" w:hAnsi="Times New Roman" w:cs="Times New Roman"/>
          <w:lang w:val="ro-MD"/>
        </w:rPr>
        <w:t>asigurătorul</w:t>
      </w:r>
      <w:r w:rsidR="00F20508" w:rsidRPr="000508B6">
        <w:rPr>
          <w:rFonts w:ascii="Times New Roman" w:hAnsi="Times New Roman" w:cs="Times New Roman"/>
          <w:lang w:val="ro-MD"/>
        </w:rPr>
        <w:t xml:space="preserve"> sau </w:t>
      </w:r>
      <w:proofErr w:type="spellStart"/>
      <w:r w:rsidR="00F20508" w:rsidRPr="000508B6">
        <w:rPr>
          <w:rFonts w:ascii="Times New Roman" w:hAnsi="Times New Roman" w:cs="Times New Roman"/>
          <w:lang w:val="ro-MD"/>
        </w:rPr>
        <w:t>reasigur</w:t>
      </w:r>
      <w:r w:rsidR="007343EB" w:rsidRPr="000508B6">
        <w:rPr>
          <w:rFonts w:ascii="Times New Roman" w:hAnsi="Times New Roman" w:cs="Times New Roman"/>
          <w:lang w:val="ro-MD"/>
        </w:rPr>
        <w:t>ă</w:t>
      </w:r>
      <w:r w:rsidR="00F20508" w:rsidRPr="000508B6">
        <w:rPr>
          <w:rFonts w:ascii="Times New Roman" w:hAnsi="Times New Roman" w:cs="Times New Roman"/>
          <w:lang w:val="ro-MD"/>
        </w:rPr>
        <w:t>torul</w:t>
      </w:r>
      <w:proofErr w:type="spellEnd"/>
      <w:r w:rsidR="00F20508" w:rsidRPr="000508B6">
        <w:rPr>
          <w:rFonts w:ascii="Times New Roman" w:hAnsi="Times New Roman" w:cs="Times New Roman"/>
          <w:lang w:val="ro-MD"/>
        </w:rPr>
        <w:t xml:space="preserve"> în categoria asigur</w:t>
      </w:r>
      <w:r w:rsidR="007343EB" w:rsidRPr="000508B6">
        <w:rPr>
          <w:rFonts w:ascii="Times New Roman" w:hAnsi="Times New Roman" w:cs="Times New Roman"/>
          <w:lang w:val="ro-MD"/>
        </w:rPr>
        <w:t>ă</w:t>
      </w:r>
      <w:r w:rsidR="00F20508" w:rsidRPr="000508B6">
        <w:rPr>
          <w:rFonts w:ascii="Times New Roman" w:hAnsi="Times New Roman" w:cs="Times New Roman"/>
          <w:lang w:val="ro-MD"/>
        </w:rPr>
        <w:t xml:space="preserve">torului sau </w:t>
      </w:r>
      <w:proofErr w:type="spellStart"/>
      <w:r w:rsidR="00F20508" w:rsidRPr="000508B6">
        <w:rPr>
          <w:rFonts w:ascii="Times New Roman" w:hAnsi="Times New Roman" w:cs="Times New Roman"/>
          <w:lang w:val="ro-MD"/>
        </w:rPr>
        <w:t>reasigur</w:t>
      </w:r>
      <w:r w:rsidR="007343EB" w:rsidRPr="000508B6">
        <w:rPr>
          <w:rFonts w:ascii="Times New Roman" w:hAnsi="Times New Roman" w:cs="Times New Roman"/>
          <w:lang w:val="ro-MD"/>
        </w:rPr>
        <w:t>ă</w:t>
      </w:r>
      <w:r w:rsidR="00F20508" w:rsidRPr="000508B6">
        <w:rPr>
          <w:rFonts w:ascii="Times New Roman" w:hAnsi="Times New Roman" w:cs="Times New Roman"/>
          <w:lang w:val="ro-MD"/>
        </w:rPr>
        <w:t>torului</w:t>
      </w:r>
      <w:proofErr w:type="spellEnd"/>
      <w:r w:rsidRPr="000508B6">
        <w:rPr>
          <w:rFonts w:ascii="Times New Roman" w:hAnsi="Times New Roman" w:cs="Times New Roman"/>
          <w:lang w:val="ro-MD"/>
        </w:rPr>
        <w:t xml:space="preserve"> mic și cu un grad redus de complexitate se comunică în scris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3EEC7648" w14:textId="78464E59" w:rsidR="00145010" w:rsidRPr="000508B6" w:rsidRDefault="00145010"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În cazul în care Banca Națională a Moldovei nu transmite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torului sau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torului</w:t>
      </w:r>
      <w:proofErr w:type="spellEnd"/>
      <w:r w:rsidRPr="000508B6">
        <w:rPr>
          <w:rFonts w:ascii="Times New Roman" w:hAnsi="Times New Roman" w:cs="Times New Roman"/>
          <w:lang w:val="ro-MD"/>
        </w:rPr>
        <w:t xml:space="preserve">  decizia de respingere a </w:t>
      </w:r>
      <w:r w:rsidR="00D913A7" w:rsidRPr="000508B6">
        <w:rPr>
          <w:rFonts w:ascii="Times New Roman" w:hAnsi="Times New Roman" w:cs="Times New Roman"/>
          <w:lang w:val="ro-MD"/>
        </w:rPr>
        <w:t>cererii</w:t>
      </w:r>
      <w:r w:rsidRPr="000508B6">
        <w:rPr>
          <w:rFonts w:ascii="Times New Roman" w:hAnsi="Times New Roman" w:cs="Times New Roman"/>
          <w:lang w:val="ro-MD"/>
        </w:rPr>
        <w:t xml:space="preserve"> de încadrare în categoria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torului </w:t>
      </w:r>
      <w:r w:rsidR="00D913A7" w:rsidRPr="000508B6">
        <w:rPr>
          <w:rFonts w:ascii="Times New Roman" w:hAnsi="Times New Roman" w:cs="Times New Roman"/>
          <w:lang w:val="ro-MD"/>
        </w:rPr>
        <w:t xml:space="preserve">și </w:t>
      </w:r>
      <w:proofErr w:type="spellStart"/>
      <w:r w:rsidR="00D913A7"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00D913A7" w:rsidRPr="000508B6">
        <w:rPr>
          <w:rFonts w:ascii="Times New Roman" w:hAnsi="Times New Roman" w:cs="Times New Roman"/>
          <w:lang w:val="ro-MD"/>
        </w:rPr>
        <w:t>torului</w:t>
      </w:r>
      <w:proofErr w:type="spellEnd"/>
      <w:r w:rsidR="00D913A7" w:rsidRPr="000508B6">
        <w:rPr>
          <w:rFonts w:ascii="Times New Roman" w:hAnsi="Times New Roman" w:cs="Times New Roman"/>
          <w:lang w:val="ro-MD"/>
        </w:rPr>
        <w:t xml:space="preserve"> </w:t>
      </w:r>
      <w:r w:rsidRPr="000508B6">
        <w:rPr>
          <w:rFonts w:ascii="Times New Roman" w:hAnsi="Times New Roman" w:cs="Times New Roman"/>
          <w:lang w:val="ro-MD"/>
        </w:rPr>
        <w:t>mic și cu grad redus de complexitate, în termen de 2 luni de la primirea solicitării,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torul sau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este încadrat automat în categoria respectivă.</w:t>
      </w:r>
    </w:p>
    <w:p w14:paraId="5A87AD87" w14:textId="7B5D8720" w:rsidR="00406E67" w:rsidRPr="000508B6" w:rsidRDefault="00E87232"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emite  decizia prin care confirmă că </w:t>
      </w:r>
      <w:r w:rsidR="00EA4C57" w:rsidRPr="000508B6">
        <w:rPr>
          <w:rFonts w:ascii="Times New Roman" w:hAnsi="Times New Roman" w:cs="Times New Roman"/>
          <w:lang w:val="ro-MD"/>
        </w:rPr>
        <w:t xml:space="preserve">asigurătorul </w:t>
      </w:r>
      <w:r w:rsidRPr="000508B6">
        <w:rPr>
          <w:rFonts w:ascii="Times New Roman" w:hAnsi="Times New Roman" w:cs="Times New Roman"/>
          <w:lang w:val="ro-MD"/>
        </w:rPr>
        <w:t xml:space="preserve">sau </w:t>
      </w:r>
      <w:proofErr w:type="spellStart"/>
      <w:r w:rsidR="00EA4C57" w:rsidRPr="000508B6">
        <w:rPr>
          <w:rFonts w:ascii="Times New Roman" w:hAnsi="Times New Roman" w:cs="Times New Roman"/>
          <w:lang w:val="ro-MD"/>
        </w:rPr>
        <w:t>reasigurătorul</w:t>
      </w:r>
      <w:proofErr w:type="spellEnd"/>
      <w:r w:rsidR="00EA4C57" w:rsidRPr="000508B6">
        <w:rPr>
          <w:rFonts w:ascii="Times New Roman" w:hAnsi="Times New Roman" w:cs="Times New Roman"/>
          <w:lang w:val="ro-MD"/>
        </w:rPr>
        <w:t xml:space="preserve"> </w:t>
      </w:r>
      <w:r w:rsidRPr="000508B6">
        <w:rPr>
          <w:rFonts w:ascii="Times New Roman" w:hAnsi="Times New Roman" w:cs="Times New Roman"/>
          <w:lang w:val="ro-MD"/>
        </w:rPr>
        <w:t xml:space="preserve">îndeplinește toate criteriile de la art. 170, înainte de expirarea termenului de 2 luni de la primirea </w:t>
      </w:r>
      <w:r w:rsidR="00D913A7" w:rsidRPr="000508B6">
        <w:rPr>
          <w:rFonts w:ascii="Times New Roman" w:hAnsi="Times New Roman" w:cs="Times New Roman"/>
          <w:lang w:val="ro-MD"/>
        </w:rPr>
        <w:t>cererii</w:t>
      </w:r>
      <w:r w:rsidRPr="000508B6">
        <w:rPr>
          <w:rFonts w:ascii="Times New Roman" w:hAnsi="Times New Roman" w:cs="Times New Roman"/>
          <w:lang w:val="ro-MD"/>
        </w:rPr>
        <w:t xml:space="preserve">, </w:t>
      </w:r>
      <w:r w:rsidR="00EA4C57" w:rsidRPr="000508B6">
        <w:rPr>
          <w:rFonts w:ascii="Times New Roman" w:hAnsi="Times New Roman" w:cs="Times New Roman"/>
          <w:lang w:val="ro-MD"/>
        </w:rPr>
        <w:t xml:space="preserve">asigurătorul </w:t>
      </w:r>
      <w:r w:rsidRPr="000508B6">
        <w:rPr>
          <w:rFonts w:ascii="Times New Roman" w:hAnsi="Times New Roman" w:cs="Times New Roman"/>
          <w:lang w:val="ro-MD"/>
        </w:rPr>
        <w:t xml:space="preserve">sau </w:t>
      </w:r>
      <w:proofErr w:type="spellStart"/>
      <w:r w:rsidR="00EA4C57" w:rsidRPr="000508B6">
        <w:rPr>
          <w:rFonts w:ascii="Times New Roman" w:hAnsi="Times New Roman" w:cs="Times New Roman"/>
          <w:lang w:val="ro-MD"/>
        </w:rPr>
        <w:t>reasigurătorul</w:t>
      </w:r>
      <w:proofErr w:type="spellEnd"/>
      <w:r w:rsidR="00EA4C57" w:rsidRPr="000508B6">
        <w:rPr>
          <w:rFonts w:ascii="Times New Roman" w:hAnsi="Times New Roman" w:cs="Times New Roman"/>
          <w:lang w:val="ro-MD"/>
        </w:rPr>
        <w:t xml:space="preserve"> </w:t>
      </w:r>
      <w:r w:rsidRPr="000508B6">
        <w:rPr>
          <w:rFonts w:ascii="Times New Roman" w:hAnsi="Times New Roman" w:cs="Times New Roman"/>
          <w:lang w:val="ro-MD"/>
        </w:rPr>
        <w:t xml:space="preserve">este încadrat în categoria </w:t>
      </w:r>
      <w:r w:rsidR="00EA4C57" w:rsidRPr="000508B6">
        <w:rPr>
          <w:rFonts w:ascii="Times New Roman" w:hAnsi="Times New Roman" w:cs="Times New Roman"/>
          <w:lang w:val="ro-MD"/>
        </w:rPr>
        <w:t xml:space="preserve">asigurător </w:t>
      </w:r>
      <w:r w:rsidR="00D913A7" w:rsidRPr="000508B6">
        <w:rPr>
          <w:rFonts w:ascii="Times New Roman" w:hAnsi="Times New Roman" w:cs="Times New Roman"/>
          <w:lang w:val="ro-MD"/>
        </w:rPr>
        <w:t>și</w:t>
      </w:r>
      <w:r w:rsidRPr="000508B6">
        <w:rPr>
          <w:rFonts w:ascii="Times New Roman" w:hAnsi="Times New Roman" w:cs="Times New Roman"/>
          <w:lang w:val="ro-MD"/>
        </w:rPr>
        <w:t xml:space="preserve"> </w:t>
      </w:r>
      <w:proofErr w:type="spellStart"/>
      <w:r w:rsidR="00EA4C57" w:rsidRPr="000508B6">
        <w:rPr>
          <w:rFonts w:ascii="Times New Roman" w:hAnsi="Times New Roman" w:cs="Times New Roman"/>
          <w:lang w:val="ro-MD"/>
        </w:rPr>
        <w:t>reasigurător</w:t>
      </w:r>
      <w:proofErr w:type="spellEnd"/>
      <w:r w:rsidR="00EA4C57" w:rsidRPr="000508B6">
        <w:rPr>
          <w:rFonts w:ascii="Times New Roman" w:hAnsi="Times New Roman" w:cs="Times New Roman"/>
          <w:lang w:val="ro-MD"/>
        </w:rPr>
        <w:t xml:space="preserve"> </w:t>
      </w:r>
      <w:r w:rsidRPr="000508B6">
        <w:rPr>
          <w:rFonts w:ascii="Times New Roman" w:hAnsi="Times New Roman" w:cs="Times New Roman"/>
          <w:lang w:val="ro-MD"/>
        </w:rPr>
        <w:t>mic și cu un grad  redus de complexitate începând cu data deciziei Băncii Naționale a Moldovei</w:t>
      </w:r>
      <w:r w:rsidR="00406E67" w:rsidRPr="000508B6">
        <w:rPr>
          <w:rFonts w:ascii="Times New Roman" w:hAnsi="Times New Roman" w:cs="Times New Roman"/>
          <w:lang w:val="ro-MD"/>
        </w:rPr>
        <w:t>.</w:t>
      </w:r>
    </w:p>
    <w:p w14:paraId="4501F801" w14:textId="589163B4" w:rsidR="00145010" w:rsidRPr="000508B6" w:rsidRDefault="00D068AA"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145010" w:rsidRPr="000508B6">
        <w:rPr>
          <w:rFonts w:ascii="Times New Roman" w:hAnsi="Times New Roman" w:cs="Times New Roman"/>
          <w:lang w:val="ro-MD"/>
        </w:rPr>
        <w:t xml:space="preserve"> încadrat în categoria asigur</w:t>
      </w:r>
      <w:r w:rsidR="00F64A4E" w:rsidRPr="000508B6">
        <w:rPr>
          <w:rFonts w:ascii="Times New Roman" w:hAnsi="Times New Roman" w:cs="Times New Roman"/>
          <w:lang w:val="ro-MD"/>
        </w:rPr>
        <w:t>ă</w:t>
      </w:r>
      <w:r w:rsidR="00145010" w:rsidRPr="000508B6">
        <w:rPr>
          <w:rFonts w:ascii="Times New Roman" w:hAnsi="Times New Roman" w:cs="Times New Roman"/>
          <w:lang w:val="ro-MD"/>
        </w:rPr>
        <w:t>tor</w:t>
      </w:r>
      <w:r w:rsidR="00F64A4E" w:rsidRPr="000508B6">
        <w:rPr>
          <w:rFonts w:ascii="Times New Roman" w:hAnsi="Times New Roman" w:cs="Times New Roman"/>
          <w:lang w:val="ro-MD"/>
        </w:rPr>
        <w:t xml:space="preserve"> sau </w:t>
      </w:r>
      <w:proofErr w:type="spellStart"/>
      <w:r w:rsidR="00F64A4E" w:rsidRPr="000508B6">
        <w:rPr>
          <w:rFonts w:ascii="Times New Roman" w:hAnsi="Times New Roman" w:cs="Times New Roman"/>
          <w:lang w:val="ro-MD"/>
        </w:rPr>
        <w:t>reasigurător</w:t>
      </w:r>
      <w:proofErr w:type="spellEnd"/>
      <w:r w:rsidR="00145010" w:rsidRPr="000508B6">
        <w:rPr>
          <w:rFonts w:ascii="Times New Roman" w:hAnsi="Times New Roman" w:cs="Times New Roman"/>
          <w:lang w:val="ro-MD"/>
        </w:rPr>
        <w:t xml:space="preserve"> mic și cu grad redus de complexitate menține acest statut atât timp cât nu se înregistrează situațiile prevăzute la alin. (9) și (10).</w:t>
      </w:r>
    </w:p>
    <w:p w14:paraId="5D9DE01E" w14:textId="5CEE7826" w:rsidR="00145010" w:rsidRPr="000508B6" w:rsidRDefault="00145010"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torul sau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încadrat în categoria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 </w:t>
      </w:r>
      <w:r w:rsidR="00D913A7" w:rsidRPr="000508B6">
        <w:rPr>
          <w:rFonts w:ascii="Times New Roman" w:hAnsi="Times New Roman" w:cs="Times New Roman"/>
          <w:lang w:val="ro-MD"/>
        </w:rPr>
        <w:t>și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w:t>
      </w:r>
      <w:proofErr w:type="spellEnd"/>
      <w:r w:rsidRPr="000508B6">
        <w:rPr>
          <w:rFonts w:ascii="Times New Roman" w:hAnsi="Times New Roman" w:cs="Times New Roman"/>
          <w:lang w:val="ro-MD"/>
        </w:rPr>
        <w:t xml:space="preserve"> mic și cu grad redus de complexitate informează fără întârziere Banca Națională a Moldovei atunci când constată că nu mai îndeplinește criteriile prevăzute la art. 170 alin. (1) – (9). </w:t>
      </w:r>
    </w:p>
    <w:p w14:paraId="054DFF09" w14:textId="5ABF82E2" w:rsidR="00145010" w:rsidRPr="000508B6" w:rsidRDefault="00145010" w:rsidP="00CF5AFA">
      <w:pPr>
        <w:pStyle w:val="Listparagraf"/>
        <w:numPr>
          <w:ilvl w:val="1"/>
          <w:numId w:val="395"/>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Dacă neîndeplinirea criteriilor prevăzute la art. 170 alin. (1) – (9) se înregistrează pentru 2 ani consecutivi,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torul sau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informează Banca Națională a Moldovei și încadrarea în categoria </w:t>
      </w:r>
      <w:r w:rsidR="00643D85" w:rsidRPr="000508B6">
        <w:rPr>
          <w:rFonts w:ascii="Times New Roman" w:hAnsi="Times New Roman" w:cs="Times New Roman"/>
          <w:lang w:val="ro-MD"/>
        </w:rPr>
        <w:t xml:space="preserve">asigurător </w:t>
      </w:r>
      <w:r w:rsidR="00CB7F86" w:rsidRPr="000508B6">
        <w:rPr>
          <w:rFonts w:ascii="Times New Roman" w:hAnsi="Times New Roman" w:cs="Times New Roman"/>
          <w:lang w:val="ro-MD"/>
        </w:rPr>
        <w:t xml:space="preserve">sau </w:t>
      </w:r>
      <w:proofErr w:type="spellStart"/>
      <w:r w:rsidR="00CB7F86"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mic și cu grad redus de </w:t>
      </w:r>
      <w:r w:rsidR="00D913A7" w:rsidRPr="000508B6">
        <w:rPr>
          <w:rFonts w:ascii="Times New Roman" w:hAnsi="Times New Roman" w:cs="Times New Roman"/>
          <w:lang w:val="ro-MD"/>
        </w:rPr>
        <w:t>complexitate</w:t>
      </w:r>
      <w:r w:rsidRPr="000508B6">
        <w:rPr>
          <w:rFonts w:ascii="Times New Roman" w:hAnsi="Times New Roman" w:cs="Times New Roman"/>
          <w:lang w:val="ro-MD"/>
        </w:rPr>
        <w:t xml:space="preserve"> încetează automat din următorul exercițiu financiar.</w:t>
      </w:r>
    </w:p>
    <w:p w14:paraId="7709667B" w14:textId="114562B1" w:rsidR="00406E67" w:rsidRPr="000508B6" w:rsidRDefault="00145010" w:rsidP="00B913DE">
      <w:pPr>
        <w:pStyle w:val="Listparagraf"/>
        <w:numPr>
          <w:ilvl w:val="1"/>
          <w:numId w:val="395"/>
        </w:numPr>
        <w:tabs>
          <w:tab w:val="left" w:pos="709"/>
          <w:tab w:val="left" w:pos="851"/>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În cazul în care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torul sau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încadrat în categoria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 </w:t>
      </w:r>
      <w:r w:rsidR="00F64A4E" w:rsidRPr="000508B6">
        <w:rPr>
          <w:rFonts w:ascii="Times New Roman" w:hAnsi="Times New Roman" w:cs="Times New Roman"/>
          <w:lang w:val="ro-MD"/>
        </w:rPr>
        <w:t xml:space="preserve">sau </w:t>
      </w:r>
      <w:proofErr w:type="spellStart"/>
      <w:r w:rsidR="00F64A4E"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mic și cu grad redus de complexitate ajunge într-una dintre situațiile prevăzute la art. 170 alin. (11), acesta informează Banca Națională a Moldovei fără întârziere și încadrarea în categoria respectivă încetează automat din următorul exercițiu financiar.</w:t>
      </w:r>
    </w:p>
    <w:p w14:paraId="75D710B4" w14:textId="3D69192F" w:rsidR="00872E04" w:rsidRPr="000508B6" w:rsidRDefault="00872E04" w:rsidP="00CB26A9">
      <w:pPr>
        <w:spacing w:after="0" w:line="240" w:lineRule="auto"/>
        <w:ind w:firstLine="426"/>
        <w:jc w:val="both"/>
        <w:rPr>
          <w:rFonts w:ascii="Times New Roman" w:hAnsi="Times New Roman" w:cs="Times New Roman"/>
          <w:b/>
          <w:bCs/>
          <w:lang w:val="ro-MD"/>
        </w:rPr>
      </w:pPr>
    </w:p>
    <w:p w14:paraId="4F202846" w14:textId="184FEAEE" w:rsidR="00CB26A9" w:rsidRPr="000508B6" w:rsidRDefault="00CB26A9" w:rsidP="00CB26A9">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17</w:t>
      </w:r>
      <w:r w:rsidR="00CD4AD1" w:rsidRPr="000508B6">
        <w:rPr>
          <w:rFonts w:ascii="Times New Roman" w:hAnsi="Times New Roman" w:cs="Times New Roman"/>
          <w:b/>
          <w:lang w:val="ro-MD"/>
        </w:rPr>
        <w:t>2</w:t>
      </w:r>
      <w:r w:rsidR="00223ED3" w:rsidRPr="000508B6">
        <w:rPr>
          <w:rFonts w:ascii="Times New Roman" w:hAnsi="Times New Roman" w:cs="Times New Roman"/>
          <w:lang w:val="ro-MD"/>
        </w:rPr>
        <w:t>.</w:t>
      </w:r>
      <w:r w:rsidRPr="000508B6">
        <w:rPr>
          <w:rFonts w:ascii="Times New Roman" w:hAnsi="Times New Roman" w:cs="Times New Roman"/>
          <w:lang w:val="ro-MD"/>
        </w:rPr>
        <w:t xml:space="preserve"> Aplicarea măsurilor de proporționalitate de </w:t>
      </w:r>
      <w:r w:rsidR="001F6E4F" w:rsidRPr="000508B6">
        <w:rPr>
          <w:rFonts w:ascii="Times New Roman" w:hAnsi="Times New Roman" w:cs="Times New Roman"/>
          <w:lang w:val="ro-MD"/>
        </w:rPr>
        <w:t xml:space="preserve">către </w:t>
      </w:r>
      <w:r w:rsidR="006B6938" w:rsidRPr="000508B6">
        <w:rPr>
          <w:rFonts w:ascii="Times New Roman" w:hAnsi="Times New Roman" w:cs="Times New Roman"/>
          <w:lang w:val="ro-MD"/>
        </w:rPr>
        <w:t>asigur</w:t>
      </w:r>
      <w:r w:rsidR="00F64A4E" w:rsidRPr="000508B6">
        <w:rPr>
          <w:rFonts w:ascii="Times New Roman" w:hAnsi="Times New Roman" w:cs="Times New Roman"/>
          <w:lang w:val="ro-MD"/>
        </w:rPr>
        <w:t>ă</w:t>
      </w:r>
      <w:r w:rsidR="006B6938" w:rsidRPr="000508B6">
        <w:rPr>
          <w:rFonts w:ascii="Times New Roman" w:hAnsi="Times New Roman" w:cs="Times New Roman"/>
          <w:lang w:val="ro-MD"/>
        </w:rPr>
        <w:t xml:space="preserve">torii </w:t>
      </w:r>
      <w:r w:rsidR="00CA7B2E" w:rsidRPr="000508B6">
        <w:rPr>
          <w:rFonts w:ascii="Times New Roman" w:hAnsi="Times New Roman" w:cs="Times New Roman"/>
          <w:lang w:val="ro-MD"/>
        </w:rPr>
        <w:t>și</w:t>
      </w:r>
      <w:r w:rsidR="006B6938" w:rsidRPr="000508B6">
        <w:rPr>
          <w:rFonts w:ascii="Times New Roman" w:hAnsi="Times New Roman" w:cs="Times New Roman"/>
          <w:lang w:val="ro-MD"/>
        </w:rPr>
        <w:t xml:space="preserve"> </w:t>
      </w:r>
      <w:proofErr w:type="spellStart"/>
      <w:r w:rsidR="006B6938"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006B6938" w:rsidRPr="000508B6">
        <w:rPr>
          <w:rFonts w:ascii="Times New Roman" w:hAnsi="Times New Roman" w:cs="Times New Roman"/>
          <w:lang w:val="ro-MD"/>
        </w:rPr>
        <w:t>torii</w:t>
      </w:r>
      <w:proofErr w:type="spellEnd"/>
      <w:r w:rsidR="006B6938" w:rsidRPr="000508B6">
        <w:rPr>
          <w:rFonts w:ascii="Times New Roman" w:hAnsi="Times New Roman" w:cs="Times New Roman"/>
          <w:lang w:val="ro-MD"/>
        </w:rPr>
        <w:t xml:space="preserve"> încadrați în categoria</w:t>
      </w:r>
      <w:r w:rsidRPr="000508B6">
        <w:rPr>
          <w:rFonts w:ascii="Times New Roman" w:hAnsi="Times New Roman" w:cs="Times New Roman"/>
          <w:lang w:val="ro-MD"/>
        </w:rPr>
        <w:t xml:space="preserve"> </w:t>
      </w:r>
      <w:r w:rsidR="006B6938" w:rsidRPr="000508B6">
        <w:rPr>
          <w:rFonts w:ascii="Times New Roman" w:hAnsi="Times New Roman" w:cs="Times New Roman"/>
          <w:lang w:val="ro-MD"/>
        </w:rPr>
        <w:t>asigur</w:t>
      </w:r>
      <w:r w:rsidR="00F64A4E" w:rsidRPr="000508B6">
        <w:rPr>
          <w:rFonts w:ascii="Times New Roman" w:hAnsi="Times New Roman" w:cs="Times New Roman"/>
          <w:lang w:val="ro-MD"/>
        </w:rPr>
        <w:t>ă</w:t>
      </w:r>
      <w:r w:rsidR="006B6938" w:rsidRPr="000508B6">
        <w:rPr>
          <w:rFonts w:ascii="Times New Roman" w:hAnsi="Times New Roman" w:cs="Times New Roman"/>
          <w:lang w:val="ro-MD"/>
        </w:rPr>
        <w:t xml:space="preserve">tor </w:t>
      </w:r>
      <w:r w:rsidR="00CA7B2E" w:rsidRPr="000508B6">
        <w:rPr>
          <w:rFonts w:ascii="Times New Roman" w:hAnsi="Times New Roman" w:cs="Times New Roman"/>
          <w:lang w:val="ro-MD"/>
        </w:rPr>
        <w:t>și</w:t>
      </w:r>
      <w:r w:rsidR="006B6938" w:rsidRPr="000508B6">
        <w:rPr>
          <w:rFonts w:ascii="Times New Roman" w:hAnsi="Times New Roman" w:cs="Times New Roman"/>
          <w:lang w:val="ro-MD"/>
        </w:rPr>
        <w:t xml:space="preserve"> </w:t>
      </w:r>
      <w:proofErr w:type="spellStart"/>
      <w:r w:rsidR="006B6938"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006B6938" w:rsidRPr="000508B6">
        <w:rPr>
          <w:rFonts w:ascii="Times New Roman" w:hAnsi="Times New Roman" w:cs="Times New Roman"/>
          <w:lang w:val="ro-MD"/>
        </w:rPr>
        <w:t>tor</w:t>
      </w:r>
      <w:proofErr w:type="spellEnd"/>
      <w:r w:rsidRPr="000508B6">
        <w:rPr>
          <w:rFonts w:ascii="Times New Roman" w:hAnsi="Times New Roman" w:cs="Times New Roman"/>
          <w:lang w:val="ro-MD"/>
        </w:rPr>
        <w:t xml:space="preserve"> mic și cu un grad redus de complexitate</w:t>
      </w:r>
      <w:r w:rsidR="001574FF" w:rsidRPr="000508B6">
        <w:rPr>
          <w:rFonts w:ascii="Times New Roman" w:hAnsi="Times New Roman" w:cs="Times New Roman"/>
          <w:lang w:val="ro-MD"/>
        </w:rPr>
        <w:t xml:space="preserve"> </w:t>
      </w:r>
    </w:p>
    <w:p w14:paraId="1FB5E27E" w14:textId="0E17A8BC" w:rsidR="00CB26A9" w:rsidRPr="000508B6" w:rsidRDefault="004125E8" w:rsidP="00CF5AFA">
      <w:pPr>
        <w:pStyle w:val="Listparagraf"/>
        <w:numPr>
          <w:ilvl w:val="1"/>
          <w:numId w:val="390"/>
        </w:numPr>
        <w:spacing w:after="0" w:line="240" w:lineRule="auto"/>
        <w:ind w:left="0" w:firstLine="425"/>
        <w:jc w:val="both"/>
        <w:rPr>
          <w:rFonts w:ascii="Times New Roman" w:hAnsi="Times New Roman" w:cs="Times New Roman"/>
          <w:lang w:val="ro-MD"/>
        </w:rPr>
      </w:pPr>
      <w:r w:rsidRPr="000508B6" w:rsidDel="00456A3E">
        <w:rPr>
          <w:rFonts w:ascii="Times New Roman" w:hAnsi="Times New Roman" w:cs="Times New Roman"/>
          <w:lang w:val="ro-MD"/>
        </w:rPr>
        <w:t>Asigurătorul</w:t>
      </w:r>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reasigurătorul</w:t>
      </w:r>
      <w:proofErr w:type="spellEnd"/>
      <w:r w:rsidR="00CB26A9" w:rsidRPr="000508B6">
        <w:rPr>
          <w:rFonts w:ascii="Times New Roman" w:hAnsi="Times New Roman" w:cs="Times New Roman"/>
          <w:lang w:val="ro-MD"/>
        </w:rPr>
        <w:t xml:space="preserve">  </w:t>
      </w:r>
      <w:r w:rsidR="00456A3E" w:rsidRPr="000508B6">
        <w:rPr>
          <w:rFonts w:ascii="Times New Roman" w:hAnsi="Times New Roman" w:cs="Times New Roman"/>
          <w:lang w:val="ro-MD"/>
        </w:rPr>
        <w:t>încadrat în categoria asigur</w:t>
      </w:r>
      <w:r w:rsidR="00F64A4E" w:rsidRPr="000508B6">
        <w:rPr>
          <w:rFonts w:ascii="Times New Roman" w:hAnsi="Times New Roman" w:cs="Times New Roman"/>
          <w:lang w:val="ro-MD"/>
        </w:rPr>
        <w:t>ă</w:t>
      </w:r>
      <w:r w:rsidR="00456A3E" w:rsidRPr="000508B6">
        <w:rPr>
          <w:rFonts w:ascii="Times New Roman" w:hAnsi="Times New Roman" w:cs="Times New Roman"/>
          <w:lang w:val="ro-MD"/>
        </w:rPr>
        <w:t xml:space="preserve">tor sau </w:t>
      </w:r>
      <w:proofErr w:type="spellStart"/>
      <w:r w:rsidR="00456A3E"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00456A3E" w:rsidRPr="000508B6">
        <w:rPr>
          <w:rFonts w:ascii="Times New Roman" w:hAnsi="Times New Roman" w:cs="Times New Roman"/>
          <w:lang w:val="ro-MD"/>
        </w:rPr>
        <w:t>tor</w:t>
      </w:r>
      <w:proofErr w:type="spellEnd"/>
      <w:r w:rsidR="00CB26A9" w:rsidRPr="000508B6">
        <w:rPr>
          <w:rFonts w:ascii="Times New Roman" w:hAnsi="Times New Roman" w:cs="Times New Roman"/>
          <w:lang w:val="ro-MD"/>
        </w:rPr>
        <w:t xml:space="preserve"> mic și cu un grad redus de complexitate </w:t>
      </w:r>
      <w:r w:rsidR="00667204" w:rsidRPr="000508B6">
        <w:rPr>
          <w:rFonts w:ascii="Times New Roman" w:hAnsi="Times New Roman" w:cs="Times New Roman"/>
          <w:lang w:val="ro-MD"/>
        </w:rPr>
        <w:t xml:space="preserve">pot </w:t>
      </w:r>
      <w:r w:rsidR="00CB26A9" w:rsidRPr="000508B6">
        <w:rPr>
          <w:rFonts w:ascii="Times New Roman" w:hAnsi="Times New Roman" w:cs="Times New Roman"/>
          <w:lang w:val="ro-MD"/>
        </w:rPr>
        <w:t>aplic</w:t>
      </w:r>
      <w:r w:rsidR="00667204" w:rsidRPr="000508B6">
        <w:rPr>
          <w:rFonts w:ascii="Times New Roman" w:hAnsi="Times New Roman" w:cs="Times New Roman"/>
          <w:lang w:val="ro-MD"/>
        </w:rPr>
        <w:t>a</w:t>
      </w:r>
      <w:r w:rsidR="00CB26A9" w:rsidRPr="000508B6">
        <w:rPr>
          <w:rFonts w:ascii="Times New Roman" w:hAnsi="Times New Roman" w:cs="Times New Roman"/>
          <w:lang w:val="ro-MD"/>
        </w:rPr>
        <w:t xml:space="preserve"> măsurile de proporționalitate</w:t>
      </w:r>
      <w:r w:rsidR="00456A3E" w:rsidRPr="000508B6">
        <w:rPr>
          <w:rFonts w:ascii="Times New Roman" w:hAnsi="Times New Roman" w:cs="Times New Roman"/>
          <w:lang w:val="ro-MD"/>
        </w:rPr>
        <w:t xml:space="preserve"> prevăzute de prezenta lege</w:t>
      </w:r>
      <w:r w:rsidR="00CB26A9" w:rsidRPr="000508B6">
        <w:rPr>
          <w:rFonts w:ascii="Times New Roman" w:hAnsi="Times New Roman" w:cs="Times New Roman"/>
          <w:lang w:val="ro-MD"/>
        </w:rPr>
        <w:t>.</w:t>
      </w:r>
    </w:p>
    <w:p w14:paraId="3D5EC377" w14:textId="781BCBC9" w:rsidR="007072F7" w:rsidRPr="000508B6" w:rsidRDefault="007072F7" w:rsidP="00CF5AFA">
      <w:pPr>
        <w:pStyle w:val="Listparagraf"/>
        <w:numPr>
          <w:ilvl w:val="1"/>
          <w:numId w:val="390"/>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Fără a aduce atingere alin. (1), în cazul în care consideră că profilul de risc al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torului sau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torului</w:t>
      </w:r>
      <w:proofErr w:type="spellEnd"/>
      <w:r w:rsidRPr="000508B6">
        <w:rPr>
          <w:rFonts w:ascii="Times New Roman" w:hAnsi="Times New Roman" w:cs="Times New Roman"/>
          <w:lang w:val="ro-MD"/>
        </w:rPr>
        <w:t xml:space="preserve">  încadrat în categoria asigur</w:t>
      </w:r>
      <w:r w:rsidR="00F64A4E" w:rsidRPr="000508B6">
        <w:rPr>
          <w:rFonts w:ascii="Times New Roman" w:hAnsi="Times New Roman" w:cs="Times New Roman"/>
          <w:lang w:val="ro-MD"/>
        </w:rPr>
        <w:t>ă</w:t>
      </w:r>
      <w:r w:rsidRPr="000508B6">
        <w:rPr>
          <w:rFonts w:ascii="Times New Roman" w:hAnsi="Times New Roman" w:cs="Times New Roman"/>
          <w:lang w:val="ro-MD"/>
        </w:rPr>
        <w:t xml:space="preserve">tor sau </w:t>
      </w:r>
      <w:proofErr w:type="spellStart"/>
      <w:r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Pr="000508B6">
        <w:rPr>
          <w:rFonts w:ascii="Times New Roman" w:hAnsi="Times New Roman" w:cs="Times New Roman"/>
          <w:lang w:val="ro-MD"/>
        </w:rPr>
        <w:t>tor</w:t>
      </w:r>
      <w:proofErr w:type="spellEnd"/>
      <w:r w:rsidRPr="000508B6">
        <w:rPr>
          <w:rFonts w:ascii="Times New Roman" w:hAnsi="Times New Roman" w:cs="Times New Roman"/>
          <w:lang w:val="ro-MD"/>
        </w:rPr>
        <w:t xml:space="preserve"> mic și cu grad redus de complexitate prezintă deficiențe semnificative, Banca Națională a Moldovei poate solicita acest</w:t>
      </w:r>
      <w:r w:rsidR="005161F2" w:rsidRPr="000508B6">
        <w:rPr>
          <w:rFonts w:ascii="Times New Roman" w:hAnsi="Times New Roman" w:cs="Times New Roman"/>
          <w:lang w:val="ro-MD"/>
        </w:rPr>
        <w:t>u</w:t>
      </w:r>
      <w:r w:rsidRPr="000508B6">
        <w:rPr>
          <w:rFonts w:ascii="Times New Roman" w:hAnsi="Times New Roman" w:cs="Times New Roman"/>
          <w:lang w:val="ro-MD"/>
        </w:rPr>
        <w:t xml:space="preserve">ia, prin decizie motivată </w:t>
      </w:r>
      <w:r w:rsidR="00ED4CBE" w:rsidRPr="000508B6">
        <w:rPr>
          <w:rFonts w:ascii="Times New Roman" w:hAnsi="Times New Roman" w:cs="Times New Roman"/>
          <w:lang w:val="ro-MD"/>
        </w:rPr>
        <w:t>cu referire la</w:t>
      </w:r>
      <w:r w:rsidRPr="000508B6">
        <w:rPr>
          <w:rFonts w:ascii="Times New Roman" w:hAnsi="Times New Roman" w:cs="Times New Roman"/>
          <w:lang w:val="ro-MD"/>
        </w:rPr>
        <w:t xml:space="preserve"> deficiențele respective, să nu mai aplice una sau mai multe dintre măsurile de proporționalitate.</w:t>
      </w:r>
    </w:p>
    <w:p w14:paraId="62AF293D" w14:textId="77777777" w:rsidR="007072F7" w:rsidRPr="000508B6" w:rsidRDefault="007072F7" w:rsidP="00B913DE">
      <w:pPr>
        <w:pStyle w:val="Listparagraf"/>
        <w:numPr>
          <w:ilvl w:val="1"/>
          <w:numId w:val="390"/>
        </w:numPr>
        <w:tabs>
          <w:tab w:val="left" w:pos="709"/>
        </w:tabs>
        <w:spacing w:after="0" w:line="240" w:lineRule="auto"/>
        <w:ind w:hanging="720"/>
        <w:jc w:val="both"/>
        <w:rPr>
          <w:rFonts w:ascii="Times New Roman" w:hAnsi="Times New Roman" w:cs="Times New Roman"/>
          <w:lang w:val="ro-MD"/>
        </w:rPr>
      </w:pPr>
      <w:r w:rsidRPr="000508B6">
        <w:rPr>
          <w:rFonts w:ascii="Times New Roman" w:hAnsi="Times New Roman" w:cs="Times New Roman"/>
          <w:lang w:val="ro-MD"/>
        </w:rPr>
        <w:t>Deficiențele prevăzute la alin. (2) se înregistrează în următoarele situații:</w:t>
      </w:r>
    </w:p>
    <w:p w14:paraId="37C870BB" w14:textId="556AF9A7" w:rsidR="00CB26A9" w:rsidRPr="000508B6" w:rsidRDefault="006C1C25" w:rsidP="00CF5AFA">
      <w:pPr>
        <w:pStyle w:val="Listparagraf"/>
        <w:numPr>
          <w:ilvl w:val="2"/>
          <w:numId w:val="39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SCR</w:t>
      </w:r>
      <w:r w:rsidR="00CB26A9" w:rsidRPr="000508B6">
        <w:rPr>
          <w:rFonts w:ascii="Times New Roman" w:hAnsi="Times New Roman" w:cs="Times New Roman"/>
          <w:lang w:val="ro-MD"/>
        </w:rPr>
        <w:t xml:space="preserve"> nu mai este respectată sau există riscul nerespectării sale în următoarele trei luni, fapt evaluat, după caz, fără utilizarea niciuneia dintre măsurile tranzitorii menționate la art</w:t>
      </w:r>
      <w:r w:rsidR="00EE246C" w:rsidRPr="000508B6">
        <w:rPr>
          <w:rFonts w:ascii="Times New Roman" w:hAnsi="Times New Roman" w:cs="Times New Roman"/>
          <w:lang w:val="ro-MD"/>
        </w:rPr>
        <w:t>.</w:t>
      </w:r>
      <w:r w:rsidR="00CB26A9" w:rsidRPr="000508B6">
        <w:rPr>
          <w:rFonts w:ascii="Times New Roman" w:hAnsi="Times New Roman" w:cs="Times New Roman"/>
          <w:lang w:val="ro-MD"/>
        </w:rPr>
        <w:t xml:space="preserve"> </w:t>
      </w:r>
      <w:r w:rsidR="00EE246C" w:rsidRPr="000508B6">
        <w:rPr>
          <w:rFonts w:ascii="Times New Roman" w:hAnsi="Times New Roman" w:cs="Times New Roman"/>
          <w:lang w:val="ro-MD"/>
        </w:rPr>
        <w:t>44</w:t>
      </w:r>
      <w:r w:rsidR="00CB26A9" w:rsidRPr="000508B6">
        <w:rPr>
          <w:rFonts w:ascii="Times New Roman" w:hAnsi="Times New Roman" w:cs="Times New Roman"/>
          <w:lang w:val="ro-MD"/>
        </w:rPr>
        <w:t xml:space="preserve"> alin</w:t>
      </w:r>
      <w:r w:rsidR="00EE246C" w:rsidRPr="000508B6">
        <w:rPr>
          <w:rFonts w:ascii="Times New Roman" w:hAnsi="Times New Roman" w:cs="Times New Roman"/>
          <w:lang w:val="ro-MD"/>
        </w:rPr>
        <w:t>.</w:t>
      </w:r>
      <w:r w:rsidR="00CB26A9" w:rsidRPr="000508B6">
        <w:rPr>
          <w:rFonts w:ascii="Times New Roman" w:hAnsi="Times New Roman" w:cs="Times New Roman"/>
          <w:lang w:val="ro-MD"/>
        </w:rPr>
        <w:t xml:space="preserve"> (</w:t>
      </w:r>
      <w:r w:rsidR="00EB3486" w:rsidRPr="000508B6">
        <w:rPr>
          <w:rFonts w:ascii="Times New Roman" w:hAnsi="Times New Roman" w:cs="Times New Roman"/>
          <w:lang w:val="ro-MD"/>
        </w:rPr>
        <w:t>9</w:t>
      </w:r>
      <w:r w:rsidR="00CB26A9" w:rsidRPr="000508B6">
        <w:rPr>
          <w:rFonts w:ascii="Times New Roman" w:hAnsi="Times New Roman" w:cs="Times New Roman"/>
          <w:lang w:val="ro-MD"/>
        </w:rPr>
        <w:t>)</w:t>
      </w:r>
      <w:r w:rsidR="00882CC0" w:rsidRPr="000508B6">
        <w:rPr>
          <w:rFonts w:ascii="Times New Roman" w:hAnsi="Times New Roman" w:cs="Times New Roman"/>
          <w:lang w:val="ro-MD"/>
        </w:rPr>
        <w:t xml:space="preserve"> </w:t>
      </w:r>
      <w:r w:rsidR="0076606A" w:rsidRPr="000508B6">
        <w:rPr>
          <w:rFonts w:ascii="Times New Roman" w:hAnsi="Times New Roman" w:cs="Times New Roman"/>
          <w:lang w:val="ro-MD"/>
        </w:rPr>
        <w:t>sau în actele normative ale B</w:t>
      </w:r>
      <w:r w:rsidR="00052FB2" w:rsidRPr="000508B6">
        <w:rPr>
          <w:rFonts w:ascii="Times New Roman" w:hAnsi="Times New Roman" w:cs="Times New Roman"/>
          <w:lang w:val="ro-MD"/>
        </w:rPr>
        <w:t xml:space="preserve">ăncii </w:t>
      </w:r>
      <w:r w:rsidR="0076606A" w:rsidRPr="000508B6">
        <w:rPr>
          <w:rFonts w:ascii="Times New Roman" w:hAnsi="Times New Roman" w:cs="Times New Roman"/>
          <w:lang w:val="ro-MD"/>
        </w:rPr>
        <w:t>N</w:t>
      </w:r>
      <w:r w:rsidR="00052FB2" w:rsidRPr="000508B6">
        <w:rPr>
          <w:rFonts w:ascii="Times New Roman" w:hAnsi="Times New Roman" w:cs="Times New Roman"/>
          <w:lang w:val="ro-MD"/>
        </w:rPr>
        <w:t xml:space="preserve">aționale a </w:t>
      </w:r>
      <w:r w:rsidR="0076606A" w:rsidRPr="000508B6">
        <w:rPr>
          <w:rFonts w:ascii="Times New Roman" w:hAnsi="Times New Roman" w:cs="Times New Roman"/>
          <w:lang w:val="ro-MD"/>
        </w:rPr>
        <w:t>M</w:t>
      </w:r>
      <w:r w:rsidR="00052FB2" w:rsidRPr="000508B6">
        <w:rPr>
          <w:rFonts w:ascii="Times New Roman" w:hAnsi="Times New Roman" w:cs="Times New Roman"/>
          <w:lang w:val="ro-MD"/>
        </w:rPr>
        <w:t>oldovei</w:t>
      </w:r>
      <w:r w:rsidR="005E2E86" w:rsidRPr="000508B6">
        <w:rPr>
          <w:rFonts w:ascii="Times New Roman" w:hAnsi="Times New Roman" w:cs="Times New Roman"/>
          <w:lang w:val="ro-MD"/>
        </w:rPr>
        <w:t>;</w:t>
      </w:r>
      <w:r w:rsidR="00CB26A9" w:rsidRPr="000508B6">
        <w:rPr>
          <w:rFonts w:ascii="Times New Roman" w:hAnsi="Times New Roman" w:cs="Times New Roman"/>
          <w:lang w:val="ro-MD"/>
        </w:rPr>
        <w:t xml:space="preserve"> </w:t>
      </w:r>
    </w:p>
    <w:p w14:paraId="623024F6" w14:textId="76923D0E" w:rsidR="00CB26A9" w:rsidRPr="000508B6" w:rsidRDefault="00CB26A9" w:rsidP="00CF5AFA">
      <w:pPr>
        <w:pStyle w:val="Listparagraf"/>
        <w:numPr>
          <w:ilvl w:val="2"/>
          <w:numId w:val="391"/>
        </w:numPr>
        <w:spacing w:after="0" w:line="240" w:lineRule="auto"/>
        <w:ind w:left="0" w:firstLine="425"/>
        <w:jc w:val="both"/>
        <w:rPr>
          <w:rFonts w:ascii="Times New Roman" w:hAnsi="Times New Roman" w:cs="Times New Roman"/>
          <w:lang w:val="ro-MD"/>
        </w:rPr>
      </w:pPr>
      <w:bookmarkStart w:id="157" w:name="_Hlk214969985"/>
      <w:r w:rsidRPr="000508B6">
        <w:rPr>
          <w:rFonts w:ascii="Times New Roman" w:hAnsi="Times New Roman" w:cs="Times New Roman"/>
          <w:lang w:val="ro-MD"/>
        </w:rPr>
        <w:t xml:space="preserve">sistemul de guvernanță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este ineficient în înțelesul art</w:t>
      </w:r>
      <w:r w:rsidR="00EE246C" w:rsidRPr="000508B6">
        <w:rPr>
          <w:rFonts w:ascii="Times New Roman" w:hAnsi="Times New Roman" w:cs="Times New Roman"/>
          <w:lang w:val="ro-MD"/>
        </w:rPr>
        <w:t>.</w:t>
      </w:r>
      <w:r w:rsidRPr="000508B6">
        <w:rPr>
          <w:rFonts w:ascii="Times New Roman" w:hAnsi="Times New Roman" w:cs="Times New Roman"/>
          <w:lang w:val="ro-MD"/>
        </w:rPr>
        <w:t xml:space="preserve"> </w:t>
      </w:r>
      <w:r w:rsidR="00EE246C" w:rsidRPr="000508B6">
        <w:rPr>
          <w:rFonts w:ascii="Times New Roman" w:hAnsi="Times New Roman" w:cs="Times New Roman"/>
          <w:lang w:val="ro-MD"/>
        </w:rPr>
        <w:t>19</w:t>
      </w:r>
      <w:r w:rsidR="00FE2DD7" w:rsidRPr="000508B6">
        <w:rPr>
          <w:rFonts w:ascii="Times New Roman" w:hAnsi="Times New Roman" w:cs="Times New Roman"/>
          <w:lang w:val="ro-MD"/>
        </w:rPr>
        <w:t xml:space="preserve"> și art. </w:t>
      </w:r>
      <w:r w:rsidR="00450837" w:rsidRPr="000508B6">
        <w:rPr>
          <w:rFonts w:ascii="Times New Roman" w:hAnsi="Times New Roman" w:cs="Times New Roman"/>
          <w:lang w:val="ro-MD"/>
        </w:rPr>
        <w:t>20</w:t>
      </w:r>
      <w:r w:rsidR="00461696" w:rsidRPr="000508B6">
        <w:rPr>
          <w:rFonts w:ascii="Times New Roman" w:hAnsi="Times New Roman" w:cs="Times New Roman"/>
          <w:lang w:val="ro-MD"/>
        </w:rPr>
        <w:t xml:space="preserve"> </w:t>
      </w:r>
      <w:r w:rsidR="007D37E9" w:rsidRPr="000508B6">
        <w:rPr>
          <w:rFonts w:ascii="Times New Roman" w:hAnsi="Times New Roman" w:cs="Times New Roman"/>
          <w:lang w:val="ro-MD"/>
        </w:rPr>
        <w:t>alin. (3) și alin. (4)</w:t>
      </w:r>
      <w:r w:rsidRPr="000508B6">
        <w:rPr>
          <w:rFonts w:ascii="Times New Roman" w:hAnsi="Times New Roman" w:cs="Times New Roman"/>
          <w:lang w:val="ro-MD"/>
        </w:rPr>
        <w:t>; sau</w:t>
      </w:r>
    </w:p>
    <w:bookmarkEnd w:id="157"/>
    <w:p w14:paraId="779A7053" w14:textId="4B8987D6" w:rsidR="001B18CE" w:rsidRPr="000508B6" w:rsidRDefault="00CB26A9" w:rsidP="00CF5AFA">
      <w:pPr>
        <w:pStyle w:val="Listparagraf"/>
        <w:numPr>
          <w:ilvl w:val="2"/>
          <w:numId w:val="391"/>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lastRenderedPageBreak/>
        <w:t>modificări importante</w:t>
      </w:r>
      <w:r w:rsidR="001B18CE" w:rsidRPr="000508B6">
        <w:rPr>
          <w:rFonts w:ascii="Times New Roman" w:hAnsi="Times New Roman" w:cs="Times New Roman"/>
          <w:lang w:val="ro-MD"/>
        </w:rPr>
        <w:t xml:space="preserve"> ale profilului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1B18CE" w:rsidRPr="000508B6">
        <w:rPr>
          <w:rFonts w:ascii="Times New Roman" w:hAnsi="Times New Roman" w:cs="Times New Roman"/>
          <w:lang w:val="ro-MD"/>
        </w:rPr>
        <w:t xml:space="preserve"> </w:t>
      </w:r>
      <w:r w:rsidR="00A1196F" w:rsidRPr="000508B6">
        <w:rPr>
          <w:rFonts w:ascii="Times New Roman" w:hAnsi="Times New Roman" w:cs="Times New Roman"/>
          <w:lang w:val="ro-MD"/>
        </w:rPr>
        <w:t>pot determina</w:t>
      </w:r>
      <w:r w:rsidRPr="000508B6">
        <w:rPr>
          <w:rFonts w:ascii="Times New Roman" w:hAnsi="Times New Roman" w:cs="Times New Roman"/>
          <w:lang w:val="ro-MD"/>
        </w:rPr>
        <w:t xml:space="preserve"> neîndeplinirea </w:t>
      </w:r>
      <w:r w:rsidR="001B18CE" w:rsidRPr="000508B6">
        <w:rPr>
          <w:rFonts w:ascii="Times New Roman" w:hAnsi="Times New Roman" w:cs="Times New Roman"/>
          <w:lang w:val="ro-MD"/>
        </w:rPr>
        <w:t xml:space="preserve">a </w:t>
      </w:r>
      <w:r w:rsidR="00A1196F" w:rsidRPr="000508B6">
        <w:rPr>
          <w:rFonts w:ascii="Times New Roman" w:hAnsi="Times New Roman" w:cs="Times New Roman"/>
          <w:lang w:val="ro-MD"/>
        </w:rPr>
        <w:t xml:space="preserve">unui din </w:t>
      </w:r>
      <w:r w:rsidR="001B18CE" w:rsidRPr="000508B6">
        <w:rPr>
          <w:rFonts w:ascii="Times New Roman" w:hAnsi="Times New Roman" w:cs="Times New Roman"/>
          <w:lang w:val="ro-MD"/>
        </w:rPr>
        <w:t xml:space="preserve">criteriile </w:t>
      </w:r>
      <w:r w:rsidRPr="000508B6">
        <w:rPr>
          <w:rFonts w:ascii="Times New Roman" w:hAnsi="Times New Roman" w:cs="Times New Roman"/>
          <w:lang w:val="ro-MD"/>
        </w:rPr>
        <w:t>prevăzute</w:t>
      </w:r>
      <w:r w:rsidR="001B18CE" w:rsidRPr="000508B6">
        <w:rPr>
          <w:rFonts w:ascii="Times New Roman" w:hAnsi="Times New Roman" w:cs="Times New Roman"/>
          <w:lang w:val="ro-MD"/>
        </w:rPr>
        <w:t xml:space="preserve"> la art</w:t>
      </w:r>
      <w:r w:rsidR="00EE246C" w:rsidRPr="000508B6">
        <w:rPr>
          <w:rFonts w:ascii="Times New Roman" w:hAnsi="Times New Roman" w:cs="Times New Roman"/>
          <w:lang w:val="ro-MD"/>
        </w:rPr>
        <w:t>.</w:t>
      </w:r>
      <w:r w:rsidR="001B18CE" w:rsidRPr="000508B6">
        <w:rPr>
          <w:rFonts w:ascii="Times New Roman" w:hAnsi="Times New Roman" w:cs="Times New Roman"/>
          <w:lang w:val="ro-MD"/>
        </w:rPr>
        <w:t xml:space="preserve"> </w:t>
      </w:r>
      <w:r w:rsidR="00EE246C" w:rsidRPr="000508B6">
        <w:rPr>
          <w:rFonts w:ascii="Times New Roman" w:hAnsi="Times New Roman" w:cs="Times New Roman"/>
          <w:lang w:val="ro-MD"/>
        </w:rPr>
        <w:t>17</w:t>
      </w:r>
      <w:r w:rsidR="003C64FC" w:rsidRPr="000508B6">
        <w:rPr>
          <w:rFonts w:ascii="Times New Roman" w:hAnsi="Times New Roman" w:cs="Times New Roman"/>
          <w:lang w:val="ro-MD"/>
        </w:rPr>
        <w:t>0</w:t>
      </w:r>
      <w:r w:rsidR="00EE246C" w:rsidRPr="000508B6">
        <w:rPr>
          <w:rFonts w:ascii="Times New Roman" w:hAnsi="Times New Roman" w:cs="Times New Roman"/>
          <w:lang w:val="ro-MD"/>
        </w:rPr>
        <w:t xml:space="preserve"> </w:t>
      </w:r>
      <w:r w:rsidR="001B18CE" w:rsidRPr="000508B6">
        <w:rPr>
          <w:rFonts w:ascii="Times New Roman" w:hAnsi="Times New Roman" w:cs="Times New Roman"/>
          <w:lang w:val="ro-MD"/>
        </w:rPr>
        <w:t>alin</w:t>
      </w:r>
      <w:r w:rsidR="00EE246C" w:rsidRPr="000508B6">
        <w:rPr>
          <w:rFonts w:ascii="Times New Roman" w:hAnsi="Times New Roman" w:cs="Times New Roman"/>
          <w:lang w:val="ro-MD"/>
        </w:rPr>
        <w:t>.</w:t>
      </w:r>
      <w:r w:rsidR="001B18CE" w:rsidRPr="000508B6">
        <w:rPr>
          <w:rFonts w:ascii="Times New Roman" w:hAnsi="Times New Roman" w:cs="Times New Roman"/>
          <w:lang w:val="ro-MD"/>
        </w:rPr>
        <w:t xml:space="preserve"> (1)</w:t>
      </w:r>
      <w:r w:rsidR="00A1196F" w:rsidRPr="000508B6">
        <w:rPr>
          <w:rFonts w:ascii="Times New Roman" w:hAnsi="Times New Roman" w:cs="Times New Roman"/>
          <w:lang w:val="ro-MD"/>
        </w:rPr>
        <w:t xml:space="preserve"> – (9</w:t>
      </w:r>
      <w:r w:rsidR="001B18CE" w:rsidRPr="000508B6">
        <w:rPr>
          <w:rFonts w:ascii="Times New Roman" w:hAnsi="Times New Roman" w:cs="Times New Roman"/>
          <w:lang w:val="ro-MD"/>
        </w:rPr>
        <w:t>).</w:t>
      </w:r>
    </w:p>
    <w:p w14:paraId="2712F85B" w14:textId="77777777" w:rsidR="00CB26A9" w:rsidRPr="000508B6" w:rsidRDefault="00CB26A9" w:rsidP="007C34FD">
      <w:pPr>
        <w:spacing w:after="0" w:line="240" w:lineRule="auto"/>
        <w:ind w:firstLine="426"/>
        <w:jc w:val="both"/>
        <w:rPr>
          <w:rFonts w:ascii="Times New Roman" w:hAnsi="Times New Roman" w:cs="Times New Roman"/>
          <w:b/>
          <w:bCs/>
          <w:lang w:val="ro-MD"/>
        </w:rPr>
      </w:pPr>
    </w:p>
    <w:p w14:paraId="43812DE5" w14:textId="4480B296" w:rsidR="005B4EBF" w:rsidRPr="000508B6" w:rsidRDefault="005B4EBF" w:rsidP="00F15593">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3C64FC" w:rsidRPr="000508B6">
        <w:rPr>
          <w:rFonts w:ascii="Times New Roman" w:hAnsi="Times New Roman" w:cs="Times New Roman"/>
          <w:b/>
          <w:bCs/>
          <w:lang w:val="ro-MD"/>
        </w:rPr>
        <w:t>173</w:t>
      </w:r>
      <w:r w:rsidR="00F15593" w:rsidRPr="000508B6">
        <w:rPr>
          <w:rFonts w:ascii="Times New Roman" w:hAnsi="Times New Roman" w:cs="Times New Roman"/>
          <w:lang w:val="ro-MD"/>
        </w:rPr>
        <w:t>.</w:t>
      </w:r>
      <w:r w:rsidRPr="000508B6">
        <w:rPr>
          <w:rFonts w:ascii="Times New Roman" w:hAnsi="Times New Roman" w:cs="Times New Roman"/>
          <w:lang w:val="ro-MD"/>
        </w:rPr>
        <w:t xml:space="preserve"> </w:t>
      </w:r>
      <w:bookmarkStart w:id="158" w:name="_Hlk187763499"/>
      <w:r w:rsidRPr="000508B6">
        <w:rPr>
          <w:rFonts w:ascii="Times New Roman" w:hAnsi="Times New Roman" w:cs="Times New Roman"/>
          <w:lang w:val="ro-MD"/>
        </w:rPr>
        <w:t xml:space="preserve">Aplicarea măsurilor de proporționalitate de </w:t>
      </w:r>
      <w:r w:rsidR="001F6E4F" w:rsidRPr="000508B6">
        <w:rPr>
          <w:rFonts w:ascii="Times New Roman" w:hAnsi="Times New Roman" w:cs="Times New Roman"/>
          <w:lang w:val="ro-MD"/>
        </w:rPr>
        <w:t xml:space="preserve">către </w:t>
      </w:r>
      <w:r w:rsidR="004C6108" w:rsidRPr="000508B6">
        <w:rPr>
          <w:rFonts w:ascii="Times New Roman" w:hAnsi="Times New Roman" w:cs="Times New Roman"/>
          <w:lang w:val="ro-MD"/>
        </w:rPr>
        <w:t>asigur</w:t>
      </w:r>
      <w:r w:rsidR="00F64A4E" w:rsidRPr="000508B6">
        <w:rPr>
          <w:rFonts w:ascii="Times New Roman" w:hAnsi="Times New Roman" w:cs="Times New Roman"/>
          <w:lang w:val="ro-MD"/>
        </w:rPr>
        <w:t>ă</w:t>
      </w:r>
      <w:r w:rsidR="004C6108" w:rsidRPr="000508B6">
        <w:rPr>
          <w:rFonts w:ascii="Times New Roman" w:hAnsi="Times New Roman" w:cs="Times New Roman"/>
          <w:lang w:val="ro-MD"/>
        </w:rPr>
        <w:t xml:space="preserve">torii </w:t>
      </w:r>
      <w:r w:rsidR="00CA7B2E" w:rsidRPr="000508B6">
        <w:rPr>
          <w:rFonts w:ascii="Times New Roman" w:hAnsi="Times New Roman" w:cs="Times New Roman"/>
          <w:lang w:val="ro-MD"/>
        </w:rPr>
        <w:t>și</w:t>
      </w:r>
      <w:r w:rsidR="004C6108" w:rsidRPr="000508B6">
        <w:rPr>
          <w:rFonts w:ascii="Times New Roman" w:hAnsi="Times New Roman" w:cs="Times New Roman"/>
          <w:lang w:val="ro-MD"/>
        </w:rPr>
        <w:t xml:space="preserve"> </w:t>
      </w:r>
      <w:proofErr w:type="spellStart"/>
      <w:r w:rsidR="004C6108"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004C6108" w:rsidRPr="000508B6">
        <w:rPr>
          <w:rFonts w:ascii="Times New Roman" w:hAnsi="Times New Roman" w:cs="Times New Roman"/>
          <w:lang w:val="ro-MD"/>
        </w:rPr>
        <w:t>torii</w:t>
      </w:r>
      <w:proofErr w:type="spellEnd"/>
      <w:r w:rsidR="004C6108"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nu sunt  </w:t>
      </w:r>
      <w:r w:rsidR="004C6108" w:rsidRPr="000508B6">
        <w:rPr>
          <w:rFonts w:ascii="Times New Roman" w:hAnsi="Times New Roman" w:cs="Times New Roman"/>
          <w:lang w:val="ro-MD"/>
        </w:rPr>
        <w:t>încadrați</w:t>
      </w:r>
      <w:r w:rsidRPr="000508B6">
        <w:rPr>
          <w:rFonts w:ascii="Times New Roman" w:hAnsi="Times New Roman" w:cs="Times New Roman"/>
          <w:lang w:val="ro-MD"/>
        </w:rPr>
        <w:t xml:space="preserve"> </w:t>
      </w:r>
      <w:r w:rsidR="004C6108" w:rsidRPr="000508B6">
        <w:rPr>
          <w:rFonts w:ascii="Times New Roman" w:hAnsi="Times New Roman" w:cs="Times New Roman"/>
          <w:lang w:val="ro-MD"/>
        </w:rPr>
        <w:t>în categoria asigur</w:t>
      </w:r>
      <w:r w:rsidR="00F64A4E" w:rsidRPr="000508B6">
        <w:rPr>
          <w:rFonts w:ascii="Times New Roman" w:hAnsi="Times New Roman" w:cs="Times New Roman"/>
          <w:lang w:val="ro-MD"/>
        </w:rPr>
        <w:t>ă</w:t>
      </w:r>
      <w:r w:rsidR="004C6108" w:rsidRPr="000508B6">
        <w:rPr>
          <w:rFonts w:ascii="Times New Roman" w:hAnsi="Times New Roman" w:cs="Times New Roman"/>
          <w:lang w:val="ro-MD"/>
        </w:rPr>
        <w:t xml:space="preserve">tor </w:t>
      </w:r>
      <w:r w:rsidR="00CA7B2E" w:rsidRPr="000508B6">
        <w:rPr>
          <w:rFonts w:ascii="Times New Roman" w:hAnsi="Times New Roman" w:cs="Times New Roman"/>
          <w:lang w:val="ro-MD"/>
        </w:rPr>
        <w:t>și</w:t>
      </w:r>
      <w:r w:rsidR="004C6108" w:rsidRPr="000508B6">
        <w:rPr>
          <w:rFonts w:ascii="Times New Roman" w:hAnsi="Times New Roman" w:cs="Times New Roman"/>
          <w:lang w:val="ro-MD"/>
        </w:rPr>
        <w:t xml:space="preserve"> </w:t>
      </w:r>
      <w:proofErr w:type="spellStart"/>
      <w:r w:rsidR="004C6108" w:rsidRPr="000508B6">
        <w:rPr>
          <w:rFonts w:ascii="Times New Roman" w:hAnsi="Times New Roman" w:cs="Times New Roman"/>
          <w:lang w:val="ro-MD"/>
        </w:rPr>
        <w:t>reasigur</w:t>
      </w:r>
      <w:r w:rsidR="00F64A4E" w:rsidRPr="000508B6">
        <w:rPr>
          <w:rFonts w:ascii="Times New Roman" w:hAnsi="Times New Roman" w:cs="Times New Roman"/>
          <w:lang w:val="ro-MD"/>
        </w:rPr>
        <w:t>ă</w:t>
      </w:r>
      <w:r w:rsidR="004C6108" w:rsidRPr="000508B6">
        <w:rPr>
          <w:rFonts w:ascii="Times New Roman" w:hAnsi="Times New Roman" w:cs="Times New Roman"/>
          <w:lang w:val="ro-MD"/>
        </w:rPr>
        <w:t>tor</w:t>
      </w:r>
      <w:proofErr w:type="spellEnd"/>
      <w:r w:rsidR="006E791A" w:rsidRPr="000508B6">
        <w:rPr>
          <w:rFonts w:ascii="Times New Roman" w:hAnsi="Times New Roman" w:cs="Times New Roman"/>
          <w:lang w:val="ro-MD"/>
        </w:rPr>
        <w:t xml:space="preserve"> </w:t>
      </w:r>
      <w:r w:rsidRPr="000508B6">
        <w:rPr>
          <w:rFonts w:ascii="Times New Roman" w:hAnsi="Times New Roman" w:cs="Times New Roman"/>
          <w:lang w:val="ro-MD"/>
        </w:rPr>
        <w:t>mic și cu un grad redus de complexitate</w:t>
      </w:r>
      <w:bookmarkEnd w:id="158"/>
      <w:r w:rsidR="001574FF" w:rsidRPr="000508B6">
        <w:rPr>
          <w:rFonts w:ascii="Times New Roman" w:hAnsi="Times New Roman" w:cs="Times New Roman"/>
          <w:lang w:val="ro-MD"/>
        </w:rPr>
        <w:t xml:space="preserve"> </w:t>
      </w:r>
    </w:p>
    <w:p w14:paraId="65F79965" w14:textId="2F24718F" w:rsidR="00720B3E" w:rsidRPr="000508B6" w:rsidRDefault="00AB022D" w:rsidP="00B913DE">
      <w:pPr>
        <w:pStyle w:val="Listparagraf"/>
        <w:numPr>
          <w:ilvl w:val="1"/>
          <w:numId w:val="393"/>
        </w:numPr>
        <w:tabs>
          <w:tab w:val="left" w:pos="709"/>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 </w:t>
      </w:r>
      <w:r w:rsidR="004125E8" w:rsidRPr="000508B6" w:rsidDel="00AB022D">
        <w:rPr>
          <w:rFonts w:ascii="Times New Roman" w:hAnsi="Times New Roman" w:cs="Times New Roman"/>
          <w:lang w:val="ro-MD"/>
        </w:rPr>
        <w:t>Asigurătorul</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reasigurătorul</w:t>
      </w:r>
      <w:proofErr w:type="spellEnd"/>
      <w:r w:rsidR="005B4EBF" w:rsidRPr="000508B6">
        <w:rPr>
          <w:rFonts w:ascii="Times New Roman" w:hAnsi="Times New Roman" w:cs="Times New Roman"/>
          <w:lang w:val="ro-MD"/>
        </w:rPr>
        <w:t xml:space="preserve"> care nu este </w:t>
      </w:r>
      <w:r w:rsidRPr="000508B6">
        <w:rPr>
          <w:rFonts w:ascii="Times New Roman" w:hAnsi="Times New Roman" w:cs="Times New Roman"/>
          <w:lang w:val="ro-MD"/>
        </w:rPr>
        <w:t>încadrat în categoria asigur</w:t>
      </w:r>
      <w:r w:rsidR="00521029" w:rsidRPr="000508B6">
        <w:rPr>
          <w:rFonts w:ascii="Times New Roman" w:hAnsi="Times New Roman" w:cs="Times New Roman"/>
          <w:lang w:val="ro-MD"/>
        </w:rPr>
        <w:t>ă</w:t>
      </w:r>
      <w:r w:rsidRPr="000508B6">
        <w:rPr>
          <w:rFonts w:ascii="Times New Roman" w:hAnsi="Times New Roman" w:cs="Times New Roman"/>
          <w:lang w:val="ro-MD"/>
        </w:rPr>
        <w:t>tor</w:t>
      </w:r>
      <w:r w:rsidR="005B4EBF" w:rsidRPr="000508B6">
        <w:rPr>
          <w:rFonts w:ascii="Times New Roman" w:hAnsi="Times New Roman" w:cs="Times New Roman"/>
          <w:lang w:val="ro-MD"/>
        </w:rPr>
        <w:t xml:space="preserve"> </w:t>
      </w:r>
      <w:r w:rsidR="00D500DC" w:rsidRPr="000508B6">
        <w:rPr>
          <w:rFonts w:ascii="Times New Roman" w:hAnsi="Times New Roman" w:cs="Times New Roman"/>
          <w:lang w:val="ro-MD"/>
        </w:rPr>
        <w:t xml:space="preserve">sau </w:t>
      </w:r>
      <w:proofErr w:type="spellStart"/>
      <w:r w:rsidR="00D500DC" w:rsidRPr="000508B6">
        <w:rPr>
          <w:rFonts w:ascii="Times New Roman" w:hAnsi="Times New Roman" w:cs="Times New Roman"/>
          <w:lang w:val="ro-MD"/>
        </w:rPr>
        <w:t>reasigur</w:t>
      </w:r>
      <w:r w:rsidR="00521029" w:rsidRPr="000508B6">
        <w:rPr>
          <w:rFonts w:ascii="Times New Roman" w:hAnsi="Times New Roman" w:cs="Times New Roman"/>
          <w:lang w:val="ro-MD"/>
        </w:rPr>
        <w:t>ă</w:t>
      </w:r>
      <w:r w:rsidR="00D500DC" w:rsidRPr="000508B6">
        <w:rPr>
          <w:rFonts w:ascii="Times New Roman" w:hAnsi="Times New Roman" w:cs="Times New Roman"/>
          <w:lang w:val="ro-MD"/>
        </w:rPr>
        <w:t>tor</w:t>
      </w:r>
      <w:proofErr w:type="spellEnd"/>
      <w:r w:rsidR="00D500DC" w:rsidRPr="000508B6">
        <w:rPr>
          <w:rFonts w:ascii="Times New Roman" w:hAnsi="Times New Roman" w:cs="Times New Roman"/>
          <w:lang w:val="ro-MD"/>
        </w:rPr>
        <w:t xml:space="preserve"> </w:t>
      </w:r>
      <w:r w:rsidR="005B4EBF" w:rsidRPr="000508B6">
        <w:rPr>
          <w:rFonts w:ascii="Times New Roman" w:hAnsi="Times New Roman" w:cs="Times New Roman"/>
          <w:lang w:val="ro-MD"/>
        </w:rPr>
        <w:t xml:space="preserve">mic și cu un grad redus de complexitate poate aplica măsurile de proporționalitate prevăzute la </w:t>
      </w:r>
      <w:r w:rsidR="005B4EBF" w:rsidRPr="000508B6" w:rsidDel="00DB4949">
        <w:rPr>
          <w:rFonts w:ascii="Times New Roman" w:hAnsi="Times New Roman" w:cs="Times New Roman"/>
          <w:lang w:val="ro-MD"/>
        </w:rPr>
        <w:t>art</w:t>
      </w:r>
      <w:r w:rsidR="007D37E9" w:rsidRPr="000508B6" w:rsidDel="00DB4949">
        <w:rPr>
          <w:rFonts w:ascii="Times New Roman" w:hAnsi="Times New Roman" w:cs="Times New Roman"/>
          <w:lang w:val="ro-MD"/>
        </w:rPr>
        <w:t>.</w:t>
      </w:r>
      <w:r w:rsidR="005B4EBF" w:rsidRPr="000508B6" w:rsidDel="00DB4949">
        <w:rPr>
          <w:rFonts w:ascii="Times New Roman" w:hAnsi="Times New Roman" w:cs="Times New Roman"/>
          <w:lang w:val="ro-MD"/>
        </w:rPr>
        <w:t xml:space="preserve"> </w:t>
      </w:r>
      <w:r w:rsidR="007D37E9" w:rsidRPr="000508B6">
        <w:rPr>
          <w:rFonts w:ascii="Times New Roman" w:hAnsi="Times New Roman" w:cs="Times New Roman"/>
          <w:lang w:val="ro-MD"/>
        </w:rPr>
        <w:t>19</w:t>
      </w:r>
      <w:r w:rsidR="00DB4949" w:rsidRPr="000508B6">
        <w:rPr>
          <w:rFonts w:ascii="Times New Roman" w:hAnsi="Times New Roman" w:cs="Times New Roman"/>
          <w:lang w:val="ro-MD"/>
        </w:rPr>
        <w:t>,</w:t>
      </w:r>
      <w:r w:rsidR="005B4EBF" w:rsidRPr="000508B6">
        <w:rPr>
          <w:rFonts w:ascii="Times New Roman" w:hAnsi="Times New Roman" w:cs="Times New Roman"/>
          <w:lang w:val="ro-MD"/>
        </w:rPr>
        <w:t xml:space="preserve"> </w:t>
      </w:r>
      <w:r w:rsidR="00DB4949" w:rsidRPr="000508B6">
        <w:rPr>
          <w:rFonts w:ascii="Times New Roman" w:hAnsi="Times New Roman" w:cs="Times New Roman"/>
          <w:lang w:val="ro-MD"/>
        </w:rPr>
        <w:t>art. 26</w:t>
      </w:r>
      <w:r w:rsidR="005B4EBF" w:rsidRPr="000508B6" w:rsidDel="00DB4949">
        <w:rPr>
          <w:rFonts w:ascii="Times New Roman" w:hAnsi="Times New Roman" w:cs="Times New Roman"/>
          <w:lang w:val="ro-MD"/>
        </w:rPr>
        <w:t xml:space="preserve"> alin</w:t>
      </w:r>
      <w:r w:rsidR="007D37E9" w:rsidRPr="000508B6" w:rsidDel="00DB4949">
        <w:rPr>
          <w:rFonts w:ascii="Times New Roman" w:hAnsi="Times New Roman" w:cs="Times New Roman"/>
          <w:lang w:val="ro-MD"/>
        </w:rPr>
        <w:t>.</w:t>
      </w:r>
      <w:r w:rsidR="005B4EBF" w:rsidRPr="000508B6" w:rsidDel="00DB4949">
        <w:rPr>
          <w:rFonts w:ascii="Times New Roman" w:hAnsi="Times New Roman" w:cs="Times New Roman"/>
          <w:lang w:val="ro-MD"/>
        </w:rPr>
        <w:t xml:space="preserve"> </w:t>
      </w:r>
      <w:r w:rsidR="00DB4949" w:rsidRPr="000508B6">
        <w:rPr>
          <w:rFonts w:ascii="Times New Roman" w:hAnsi="Times New Roman" w:cs="Times New Roman"/>
          <w:lang w:val="ro-MD"/>
        </w:rPr>
        <w:t>(6),</w:t>
      </w:r>
      <w:r w:rsidR="005B4EBF" w:rsidRPr="000508B6">
        <w:rPr>
          <w:rFonts w:ascii="Times New Roman" w:hAnsi="Times New Roman" w:cs="Times New Roman"/>
          <w:lang w:val="ro-MD"/>
        </w:rPr>
        <w:t xml:space="preserve"> </w:t>
      </w:r>
      <w:r w:rsidR="00DB4949" w:rsidRPr="000508B6">
        <w:rPr>
          <w:rFonts w:ascii="Times New Roman" w:hAnsi="Times New Roman" w:cs="Times New Roman"/>
          <w:lang w:val="ro-MD"/>
        </w:rPr>
        <w:t xml:space="preserve">art. </w:t>
      </w:r>
      <w:r w:rsidR="00AE1E4B" w:rsidRPr="000508B6">
        <w:rPr>
          <w:rFonts w:ascii="Times New Roman" w:hAnsi="Times New Roman" w:cs="Times New Roman"/>
          <w:lang w:val="ro-MD"/>
        </w:rPr>
        <w:t xml:space="preserve">27 </w:t>
      </w:r>
      <w:r w:rsidR="007D37E9" w:rsidRPr="000508B6">
        <w:rPr>
          <w:rFonts w:ascii="Times New Roman" w:hAnsi="Times New Roman" w:cs="Times New Roman"/>
          <w:lang w:val="ro-MD"/>
        </w:rPr>
        <w:t>alin. (</w:t>
      </w:r>
      <w:r w:rsidR="00AE1E4B" w:rsidRPr="000508B6">
        <w:rPr>
          <w:rFonts w:ascii="Times New Roman" w:hAnsi="Times New Roman" w:cs="Times New Roman"/>
          <w:lang w:val="ro-MD"/>
        </w:rPr>
        <w:t>2</w:t>
      </w:r>
      <w:r w:rsidR="005B4EBF" w:rsidRPr="000508B6">
        <w:rPr>
          <w:rFonts w:ascii="Times New Roman" w:hAnsi="Times New Roman" w:cs="Times New Roman"/>
          <w:lang w:val="ro-MD"/>
        </w:rPr>
        <w:t xml:space="preserve">) și </w:t>
      </w:r>
      <w:r w:rsidR="007D37E9" w:rsidRPr="000508B6">
        <w:rPr>
          <w:rFonts w:ascii="Times New Roman" w:hAnsi="Times New Roman" w:cs="Times New Roman"/>
          <w:lang w:val="ro-MD"/>
        </w:rPr>
        <w:t>alin. (</w:t>
      </w:r>
      <w:r w:rsidR="00AE1E4B" w:rsidRPr="000508B6">
        <w:rPr>
          <w:rFonts w:ascii="Times New Roman" w:hAnsi="Times New Roman" w:cs="Times New Roman"/>
          <w:lang w:val="ro-MD"/>
        </w:rPr>
        <w:t>21</w:t>
      </w:r>
      <w:r w:rsidR="007D37E9" w:rsidRPr="000508B6">
        <w:rPr>
          <w:rFonts w:ascii="Times New Roman" w:hAnsi="Times New Roman" w:cs="Times New Roman"/>
          <w:lang w:val="ro-MD"/>
        </w:rPr>
        <w:t>)</w:t>
      </w:r>
      <w:r w:rsidR="005B4EBF" w:rsidRPr="000508B6">
        <w:rPr>
          <w:rFonts w:ascii="Times New Roman" w:hAnsi="Times New Roman" w:cs="Times New Roman"/>
          <w:lang w:val="ro-MD"/>
        </w:rPr>
        <w:t>, art</w:t>
      </w:r>
      <w:r w:rsidR="007D37E9" w:rsidRPr="000508B6">
        <w:rPr>
          <w:rFonts w:ascii="Times New Roman" w:hAnsi="Times New Roman" w:cs="Times New Roman"/>
          <w:lang w:val="ro-MD"/>
        </w:rPr>
        <w:t>.</w:t>
      </w:r>
      <w:r w:rsidR="005B4EBF" w:rsidRPr="000508B6">
        <w:rPr>
          <w:rFonts w:ascii="Times New Roman" w:hAnsi="Times New Roman" w:cs="Times New Roman"/>
          <w:lang w:val="ro-MD"/>
        </w:rPr>
        <w:t xml:space="preserve"> </w:t>
      </w:r>
      <w:r w:rsidR="00383EBC" w:rsidRPr="000508B6">
        <w:rPr>
          <w:rFonts w:ascii="Times New Roman" w:hAnsi="Times New Roman" w:cs="Times New Roman"/>
          <w:lang w:val="ro-MD"/>
        </w:rPr>
        <w:t>43</w:t>
      </w:r>
      <w:r w:rsidR="000301B2" w:rsidRPr="000508B6">
        <w:rPr>
          <w:rFonts w:ascii="Times New Roman" w:hAnsi="Times New Roman" w:cs="Times New Roman"/>
          <w:lang w:val="ro-MD"/>
        </w:rPr>
        <w:t xml:space="preserve"> </w:t>
      </w:r>
      <w:r w:rsidR="005B4EBF" w:rsidRPr="000508B6">
        <w:rPr>
          <w:rFonts w:ascii="Times New Roman" w:hAnsi="Times New Roman" w:cs="Times New Roman"/>
          <w:lang w:val="ro-MD"/>
        </w:rPr>
        <w:t>alin</w:t>
      </w:r>
      <w:r w:rsidR="007D37E9" w:rsidRPr="000508B6">
        <w:rPr>
          <w:rFonts w:ascii="Times New Roman" w:hAnsi="Times New Roman" w:cs="Times New Roman"/>
          <w:lang w:val="ro-MD"/>
        </w:rPr>
        <w:t>.</w:t>
      </w:r>
      <w:r w:rsidR="005B4EBF" w:rsidRPr="000508B6">
        <w:rPr>
          <w:rFonts w:ascii="Times New Roman" w:hAnsi="Times New Roman" w:cs="Times New Roman"/>
          <w:lang w:val="ro-MD"/>
        </w:rPr>
        <w:t xml:space="preserve"> (</w:t>
      </w:r>
      <w:r w:rsidR="00383EBC" w:rsidRPr="000508B6">
        <w:rPr>
          <w:rFonts w:ascii="Times New Roman" w:hAnsi="Times New Roman" w:cs="Times New Roman"/>
          <w:lang w:val="ro-MD"/>
        </w:rPr>
        <w:t>12</w:t>
      </w:r>
      <w:r w:rsidR="005B4EBF" w:rsidRPr="000508B6">
        <w:rPr>
          <w:rFonts w:ascii="Times New Roman" w:hAnsi="Times New Roman" w:cs="Times New Roman"/>
          <w:lang w:val="ro-MD"/>
        </w:rPr>
        <w:t xml:space="preserve">) și </w:t>
      </w:r>
      <w:r w:rsidR="005B4EBF" w:rsidRPr="000508B6" w:rsidDel="00DB4949">
        <w:rPr>
          <w:rFonts w:ascii="Times New Roman" w:hAnsi="Times New Roman" w:cs="Times New Roman"/>
          <w:lang w:val="ro-MD"/>
        </w:rPr>
        <w:t>art</w:t>
      </w:r>
      <w:r w:rsidR="007D37E9" w:rsidRPr="000508B6" w:rsidDel="00DB4949">
        <w:rPr>
          <w:rFonts w:ascii="Times New Roman" w:hAnsi="Times New Roman" w:cs="Times New Roman"/>
          <w:lang w:val="ro-MD"/>
        </w:rPr>
        <w:t>.</w:t>
      </w:r>
      <w:r w:rsidR="005B4EBF" w:rsidRPr="000508B6" w:rsidDel="00DB4949">
        <w:rPr>
          <w:rFonts w:ascii="Times New Roman" w:hAnsi="Times New Roman" w:cs="Times New Roman"/>
          <w:lang w:val="ro-MD"/>
        </w:rPr>
        <w:t xml:space="preserve"> </w:t>
      </w:r>
      <w:r w:rsidR="00DB4949" w:rsidRPr="000508B6">
        <w:rPr>
          <w:rFonts w:ascii="Times New Roman" w:hAnsi="Times New Roman" w:cs="Times New Roman"/>
          <w:lang w:val="ro-MD"/>
        </w:rPr>
        <w:t xml:space="preserve">179 alin. (7), </w:t>
      </w:r>
      <w:r w:rsidR="005B4EBF" w:rsidRPr="000508B6">
        <w:rPr>
          <w:rFonts w:ascii="Times New Roman" w:hAnsi="Times New Roman" w:cs="Times New Roman"/>
          <w:lang w:val="ro-MD"/>
        </w:rPr>
        <w:t xml:space="preserve">care sunt aplicabile </w:t>
      </w:r>
      <w:r w:rsidRPr="000508B6">
        <w:rPr>
          <w:rFonts w:ascii="Times New Roman" w:hAnsi="Times New Roman" w:cs="Times New Roman"/>
          <w:lang w:val="ro-MD"/>
        </w:rPr>
        <w:t>asigur</w:t>
      </w:r>
      <w:r w:rsidR="00521029" w:rsidRPr="000508B6">
        <w:rPr>
          <w:rFonts w:ascii="Times New Roman" w:hAnsi="Times New Roman" w:cs="Times New Roman"/>
          <w:lang w:val="ro-MD"/>
        </w:rPr>
        <w:t>ă</w:t>
      </w:r>
      <w:r w:rsidRPr="000508B6">
        <w:rPr>
          <w:rFonts w:ascii="Times New Roman" w:hAnsi="Times New Roman" w:cs="Times New Roman"/>
          <w:lang w:val="ro-MD"/>
        </w:rPr>
        <w:t>torului</w:t>
      </w:r>
      <w:r w:rsidR="005B4EBF" w:rsidRPr="000508B6">
        <w:rPr>
          <w:rFonts w:ascii="Times New Roman" w:hAnsi="Times New Roman" w:cs="Times New Roman"/>
          <w:lang w:val="ro-MD"/>
        </w:rPr>
        <w:t xml:space="preserve"> </w:t>
      </w:r>
      <w:r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reasigur</w:t>
      </w:r>
      <w:r w:rsidR="00521029" w:rsidRPr="000508B6">
        <w:rPr>
          <w:rFonts w:ascii="Times New Roman" w:hAnsi="Times New Roman" w:cs="Times New Roman"/>
          <w:lang w:val="ro-MD"/>
        </w:rPr>
        <w:t>ă</w:t>
      </w:r>
      <w:r w:rsidRPr="000508B6">
        <w:rPr>
          <w:rFonts w:ascii="Times New Roman" w:hAnsi="Times New Roman" w:cs="Times New Roman"/>
          <w:lang w:val="ro-MD"/>
        </w:rPr>
        <w:t>torului</w:t>
      </w:r>
      <w:proofErr w:type="spellEnd"/>
      <w:r w:rsidR="005B4EBF" w:rsidRPr="000508B6">
        <w:rPr>
          <w:rFonts w:ascii="Times New Roman" w:hAnsi="Times New Roman" w:cs="Times New Roman"/>
          <w:lang w:val="ro-MD"/>
        </w:rPr>
        <w:t xml:space="preserve"> mic și cu un grad redus de complexitate în conformitate cu art</w:t>
      </w:r>
      <w:r w:rsidR="007D37E9" w:rsidRPr="000508B6">
        <w:rPr>
          <w:rFonts w:ascii="Times New Roman" w:hAnsi="Times New Roman" w:cs="Times New Roman"/>
          <w:lang w:val="ro-MD"/>
        </w:rPr>
        <w:t>.</w:t>
      </w:r>
      <w:r w:rsidR="00D71E16" w:rsidRPr="000508B6">
        <w:rPr>
          <w:rFonts w:ascii="Times New Roman" w:hAnsi="Times New Roman" w:cs="Times New Roman"/>
          <w:lang w:val="ro-MD"/>
        </w:rPr>
        <w:t xml:space="preserve"> </w:t>
      </w:r>
      <w:r w:rsidR="006175F4" w:rsidRPr="000508B6">
        <w:rPr>
          <w:rFonts w:ascii="Times New Roman" w:hAnsi="Times New Roman" w:cs="Times New Roman"/>
          <w:lang w:val="ro-MD"/>
        </w:rPr>
        <w:t>172</w:t>
      </w:r>
      <w:r w:rsidR="005B4EBF" w:rsidRPr="000508B6">
        <w:rPr>
          <w:rFonts w:ascii="Times New Roman" w:hAnsi="Times New Roman" w:cs="Times New Roman"/>
          <w:lang w:val="ro-MD"/>
        </w:rPr>
        <w:t xml:space="preserve">, cât și identificate în sensul prezentului articol, numai cu aprobarea  Băncii Naționale a Moldovei. </w:t>
      </w:r>
    </w:p>
    <w:p w14:paraId="6BC24963" w14:textId="52F7DB83" w:rsidR="005B4EBF" w:rsidRPr="000508B6" w:rsidRDefault="00720B3E" w:rsidP="00CF5AFA">
      <w:pPr>
        <w:pStyle w:val="Listparagraf"/>
        <w:numPr>
          <w:ilvl w:val="1"/>
          <w:numId w:val="39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Pentru obținerea aprobării menționate la alin.</w:t>
      </w:r>
      <w:r w:rsidR="00D71E16" w:rsidRPr="000508B6">
        <w:rPr>
          <w:rFonts w:ascii="Times New Roman" w:hAnsi="Times New Roman" w:cs="Times New Roman"/>
          <w:lang w:val="ro-MD"/>
        </w:rPr>
        <w:t xml:space="preserve"> </w:t>
      </w:r>
      <w:r w:rsidRPr="000508B6">
        <w:rPr>
          <w:rFonts w:ascii="Times New Roman" w:hAnsi="Times New Roman" w:cs="Times New Roman"/>
          <w:lang w:val="ro-MD"/>
        </w:rPr>
        <w:t>(1)</w:t>
      </w:r>
      <w:r w:rsidR="005B4EBF" w:rsidRPr="000508B6">
        <w:rPr>
          <w:rFonts w:ascii="Times New Roman" w:hAnsi="Times New Roman" w:cs="Times New Roman"/>
          <w:lang w:val="ro-MD"/>
        </w:rPr>
        <w:t xml:space="preserve">, </w:t>
      </w:r>
      <w:r w:rsidR="004125E8" w:rsidRPr="000508B6" w:rsidDel="00AB022D">
        <w:rPr>
          <w:rFonts w:ascii="Times New Roman" w:hAnsi="Times New Roman" w:cs="Times New Roman"/>
          <w:lang w:val="ro-MD"/>
        </w:rPr>
        <w:t>asigurătorul</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reasigurătorul</w:t>
      </w:r>
      <w:proofErr w:type="spellEnd"/>
      <w:r w:rsidR="005B4EBF" w:rsidRPr="000508B6">
        <w:rPr>
          <w:rFonts w:ascii="Times New Roman" w:hAnsi="Times New Roman" w:cs="Times New Roman"/>
          <w:lang w:val="ro-MD"/>
        </w:rPr>
        <w:t xml:space="preserve"> prezintă Băncii Naționale a Moldovei o cerere scrisă</w:t>
      </w:r>
      <w:r w:rsidR="00647308" w:rsidRPr="000508B6">
        <w:rPr>
          <w:rFonts w:ascii="Times New Roman" w:hAnsi="Times New Roman" w:cs="Times New Roman"/>
          <w:lang w:val="ro-MD"/>
        </w:rPr>
        <w:t>, la care se anexează următoarea</w:t>
      </w:r>
      <w:r w:rsidR="005B4EBF" w:rsidRPr="000508B6" w:rsidDel="00647308">
        <w:rPr>
          <w:rFonts w:ascii="Times New Roman" w:hAnsi="Times New Roman" w:cs="Times New Roman"/>
          <w:lang w:val="ro-MD"/>
        </w:rPr>
        <w:t xml:space="preserve"> </w:t>
      </w:r>
      <w:r w:rsidR="003B7B7E" w:rsidRPr="000508B6">
        <w:rPr>
          <w:rFonts w:ascii="Times New Roman" w:hAnsi="Times New Roman" w:cs="Times New Roman"/>
          <w:lang w:val="ro-MD"/>
        </w:rPr>
        <w:t>informație</w:t>
      </w:r>
      <w:r w:rsidR="005B4EBF" w:rsidRPr="000508B6">
        <w:rPr>
          <w:rFonts w:ascii="Times New Roman" w:hAnsi="Times New Roman" w:cs="Times New Roman"/>
          <w:lang w:val="ro-MD"/>
        </w:rPr>
        <w:t>:</w:t>
      </w:r>
    </w:p>
    <w:p w14:paraId="4A816CBF" w14:textId="158D920A" w:rsidR="008A0472" w:rsidRPr="000508B6" w:rsidRDefault="008A0472" w:rsidP="00CF5AFA">
      <w:pPr>
        <w:pStyle w:val="Listparagraf"/>
        <w:numPr>
          <w:ilvl w:val="1"/>
          <w:numId w:val="394"/>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măsurile de proporționalitate pe care intenționează să le aplice;</w:t>
      </w:r>
    </w:p>
    <w:p w14:paraId="1786595F" w14:textId="1500263C" w:rsidR="005B4EBF" w:rsidRPr="000508B6" w:rsidRDefault="008A0472" w:rsidP="00CF5AFA">
      <w:pPr>
        <w:pStyle w:val="Listparagraf"/>
        <w:numPr>
          <w:ilvl w:val="1"/>
          <w:numId w:val="394"/>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documentarea faptului că utilizarea măsurilor de proporționalitate este justificată în raport cu natura, amploarea și complexitatea riscurilor inerente activității</w:t>
      </w:r>
      <w:r w:rsidR="005B4EBF" w:rsidRPr="000508B6">
        <w:rPr>
          <w:rFonts w:ascii="Times New Roman" w:hAnsi="Times New Roman" w:cs="Times New Roman"/>
          <w:lang w:val="ro-MD"/>
        </w:rPr>
        <w:t>;</w:t>
      </w:r>
    </w:p>
    <w:p w14:paraId="181F5579" w14:textId="7A43FC21" w:rsidR="005B4EBF" w:rsidRPr="000508B6" w:rsidRDefault="008A0472" w:rsidP="00CF5AFA">
      <w:pPr>
        <w:pStyle w:val="Listparagraf"/>
        <w:numPr>
          <w:ilvl w:val="1"/>
          <w:numId w:val="394"/>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alte informații semnificative referitoare la profilul de risc;</w:t>
      </w:r>
    </w:p>
    <w:p w14:paraId="737258ED" w14:textId="67E1EE9F" w:rsidR="005B4EBF" w:rsidRPr="000508B6" w:rsidRDefault="00133959" w:rsidP="00CF5AFA">
      <w:pPr>
        <w:pStyle w:val="Listparagraf"/>
        <w:numPr>
          <w:ilvl w:val="1"/>
          <w:numId w:val="394"/>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declarația pe proprie răspundere, conform căreia se angajează că în următorii 3 ani nu vor exista modificări ale strategiei de afaceri care să aibă drept rezultat modificarea semnificativă a profilului de risc</w:t>
      </w:r>
    </w:p>
    <w:p w14:paraId="04CA6D3E" w14:textId="43735B24" w:rsidR="005B4EBF" w:rsidRPr="000508B6" w:rsidRDefault="005B4EBF" w:rsidP="00CF5AFA">
      <w:pPr>
        <w:pStyle w:val="Listparagraf"/>
        <w:numPr>
          <w:ilvl w:val="1"/>
          <w:numId w:val="39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În termen de două luni de la primirea cererii menționate la alin</w:t>
      </w:r>
      <w:r w:rsidR="004C4662" w:rsidRPr="000508B6">
        <w:rPr>
          <w:rFonts w:ascii="Times New Roman" w:hAnsi="Times New Roman" w:cs="Times New Roman"/>
          <w:lang w:val="ro-MD"/>
        </w:rPr>
        <w:t>.</w:t>
      </w:r>
      <w:r w:rsidRPr="000508B6">
        <w:rPr>
          <w:rFonts w:ascii="Times New Roman" w:hAnsi="Times New Roman" w:cs="Times New Roman"/>
          <w:lang w:val="ro-MD"/>
        </w:rPr>
        <w:t xml:space="preserve"> (</w:t>
      </w:r>
      <w:r w:rsidR="00647308" w:rsidRPr="000508B6">
        <w:rPr>
          <w:rFonts w:ascii="Times New Roman" w:hAnsi="Times New Roman" w:cs="Times New Roman"/>
          <w:lang w:val="ro-MD"/>
        </w:rPr>
        <w:t>2</w:t>
      </w:r>
      <w:r w:rsidRPr="000508B6">
        <w:rPr>
          <w:rFonts w:ascii="Times New Roman" w:hAnsi="Times New Roman" w:cs="Times New Roman"/>
          <w:lang w:val="ro-MD"/>
        </w:rPr>
        <w:t xml:space="preserve">), Banca Națională a Moldovei evaluează cererea și informează </w:t>
      </w:r>
      <w:r w:rsidR="004125E8" w:rsidRPr="000508B6" w:rsidDel="00932C32">
        <w:rPr>
          <w:rFonts w:ascii="Times New Roman" w:hAnsi="Times New Roman" w:cs="Times New Roman"/>
          <w:lang w:val="ro-MD"/>
        </w:rPr>
        <w:t>asigurătorul</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cu privire la aprobarea sau respingerea acesteia, precum și cu privire la măsurile de proporționalitate a căror aplicare o aprobă. În cazul în care Banca Națională a Moldovei aprobă aplicarea măsurilor de proporționalitate în anumite condiții, decizia de aprobare conține motivele care stau la baza respectivelor condiții. Decizia Băncii Naționale a Moldovei de a se opune aplicării uneia sau mai multora dintre măsurile de proporționalitate enumerate în cerere se notifică în scris și prezintă motivele pe care se bazează. Motivele respective sunt legate de profilul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3C164BCD" w14:textId="3B7C4D18" w:rsidR="005B4EBF" w:rsidRPr="000508B6" w:rsidRDefault="005B4EBF" w:rsidP="00CF5AFA">
      <w:pPr>
        <w:pStyle w:val="Listparagraf"/>
        <w:numPr>
          <w:ilvl w:val="1"/>
          <w:numId w:val="39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Banca Națională a Moldovei poate să solicite orice informație suplimentară care este necesară pentru finalizarea evaluării menționate la alin</w:t>
      </w:r>
      <w:r w:rsidR="007D37E9" w:rsidRPr="000508B6">
        <w:rPr>
          <w:rFonts w:ascii="Times New Roman" w:hAnsi="Times New Roman" w:cs="Times New Roman"/>
          <w:lang w:val="ro-MD"/>
        </w:rPr>
        <w:t>.</w:t>
      </w:r>
      <w:r w:rsidRPr="000508B6">
        <w:rPr>
          <w:rFonts w:ascii="Times New Roman" w:hAnsi="Times New Roman" w:cs="Times New Roman"/>
          <w:lang w:val="ro-MD"/>
        </w:rPr>
        <w:t xml:space="preserve"> (</w:t>
      </w:r>
      <w:r w:rsidR="00647308" w:rsidRPr="000508B6">
        <w:rPr>
          <w:rFonts w:ascii="Times New Roman" w:hAnsi="Times New Roman" w:cs="Times New Roman"/>
          <w:lang w:val="ro-MD"/>
        </w:rPr>
        <w:t>3</w:t>
      </w:r>
      <w:r w:rsidRPr="000508B6">
        <w:rPr>
          <w:rFonts w:ascii="Times New Roman" w:hAnsi="Times New Roman" w:cs="Times New Roman"/>
          <w:lang w:val="ro-MD"/>
        </w:rPr>
        <w:t xml:space="preserve">). Termenul menționat la alineatul respectiv se suspendă pe perioada cuprinsă între data primei solicitări de informații de către Banca Națională a Moldovei și data primirii unui răspuns din partea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la respectiva solicitare. Eventualele cereri suplimentare formulate de Banca Națională a Moldovei nu conduc la suspendarea termenului de evaluare.</w:t>
      </w:r>
    </w:p>
    <w:p w14:paraId="267343FF" w14:textId="6F78527E" w:rsidR="001B18CE" w:rsidRPr="000508B6" w:rsidRDefault="007C34FD" w:rsidP="00CF5AFA">
      <w:pPr>
        <w:pStyle w:val="Listparagraf"/>
        <w:numPr>
          <w:ilvl w:val="1"/>
          <w:numId w:val="393"/>
        </w:numPr>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Aprobarea </w:t>
      </w:r>
      <w:r w:rsidR="005B4EBF" w:rsidRPr="000508B6">
        <w:rPr>
          <w:rFonts w:ascii="Times New Roman" w:hAnsi="Times New Roman" w:cs="Times New Roman"/>
          <w:lang w:val="ro-MD"/>
        </w:rPr>
        <w:t>aplicării</w:t>
      </w:r>
      <w:r w:rsidRPr="000508B6">
        <w:rPr>
          <w:rFonts w:ascii="Times New Roman" w:hAnsi="Times New Roman" w:cs="Times New Roman"/>
          <w:lang w:val="ro-MD"/>
        </w:rPr>
        <w:t xml:space="preserve"> măsurilor de proporționalitate poate fi modificată sau retrasă în orice moment </w:t>
      </w:r>
      <w:r w:rsidR="005B4EBF" w:rsidRPr="000508B6">
        <w:rPr>
          <w:rFonts w:ascii="Times New Roman" w:hAnsi="Times New Roman" w:cs="Times New Roman"/>
          <w:lang w:val="ro-MD"/>
        </w:rPr>
        <w:t xml:space="preserve">dacă profilul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s-a modificat. </w:t>
      </w:r>
      <w:r w:rsidR="00932C32" w:rsidRPr="000508B6">
        <w:rPr>
          <w:rFonts w:ascii="Times New Roman" w:hAnsi="Times New Roman" w:cs="Times New Roman"/>
          <w:lang w:val="ro-MD"/>
        </w:rPr>
        <w:t>D</w:t>
      </w:r>
      <w:r w:rsidRPr="000508B6">
        <w:rPr>
          <w:rFonts w:ascii="Times New Roman" w:hAnsi="Times New Roman" w:cs="Times New Roman"/>
          <w:lang w:val="ro-MD"/>
        </w:rPr>
        <w:t xml:space="preserve">ecizia </w:t>
      </w:r>
      <w:r w:rsidR="005B4EBF" w:rsidRPr="000508B6">
        <w:rPr>
          <w:rFonts w:ascii="Times New Roman" w:hAnsi="Times New Roman" w:cs="Times New Roman"/>
          <w:lang w:val="ro-MD"/>
        </w:rPr>
        <w:t>Băncii Naționale a Moldovei</w:t>
      </w:r>
      <w:r w:rsidRPr="000508B6">
        <w:rPr>
          <w:rFonts w:ascii="Times New Roman" w:hAnsi="Times New Roman" w:cs="Times New Roman"/>
          <w:lang w:val="ro-MD"/>
        </w:rPr>
        <w:t xml:space="preserve"> de modificare sau </w:t>
      </w:r>
      <w:r w:rsidR="005B4EBF" w:rsidRPr="000508B6">
        <w:rPr>
          <w:rFonts w:ascii="Times New Roman" w:hAnsi="Times New Roman" w:cs="Times New Roman"/>
          <w:lang w:val="ro-MD"/>
        </w:rPr>
        <w:t xml:space="preserve">de </w:t>
      </w:r>
      <w:r w:rsidRPr="000508B6">
        <w:rPr>
          <w:rFonts w:ascii="Times New Roman" w:hAnsi="Times New Roman" w:cs="Times New Roman"/>
          <w:lang w:val="ro-MD"/>
        </w:rPr>
        <w:t xml:space="preserve">retragere a aprobării </w:t>
      </w:r>
      <w:r w:rsidR="005B4EBF" w:rsidRPr="000508B6">
        <w:rPr>
          <w:rFonts w:ascii="Times New Roman" w:hAnsi="Times New Roman" w:cs="Times New Roman"/>
          <w:lang w:val="ro-MD"/>
        </w:rPr>
        <w:t>precizează</w:t>
      </w:r>
      <w:r w:rsidRPr="000508B6">
        <w:rPr>
          <w:rFonts w:ascii="Times New Roman" w:hAnsi="Times New Roman" w:cs="Times New Roman"/>
          <w:lang w:val="ro-MD"/>
        </w:rPr>
        <w:t xml:space="preserve"> motivele acesteia și </w:t>
      </w:r>
      <w:r w:rsidR="005B4EBF" w:rsidRPr="000508B6">
        <w:rPr>
          <w:rFonts w:ascii="Times New Roman" w:hAnsi="Times New Roman" w:cs="Times New Roman"/>
          <w:lang w:val="ro-MD"/>
        </w:rPr>
        <w:t>se comunică</w:t>
      </w:r>
      <w:r w:rsidRPr="000508B6">
        <w:rPr>
          <w:rFonts w:ascii="Times New Roman" w:hAnsi="Times New Roman" w:cs="Times New Roman"/>
          <w:lang w:val="ro-MD"/>
        </w:rPr>
        <w:t xml:space="preserve"> în scris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w:t>
      </w:r>
    </w:p>
    <w:p w14:paraId="73360A91" w14:textId="77777777" w:rsidR="005B4EBF" w:rsidRPr="000508B6" w:rsidRDefault="005B4EBF" w:rsidP="004D0CD8">
      <w:pPr>
        <w:pStyle w:val="Listparagraf"/>
        <w:spacing w:after="0" w:line="240" w:lineRule="auto"/>
        <w:ind w:left="436"/>
        <w:rPr>
          <w:rFonts w:ascii="Times New Roman" w:hAnsi="Times New Roman" w:cs="Times New Roman"/>
          <w:b/>
          <w:lang w:val="ro-MD"/>
        </w:rPr>
      </w:pPr>
    </w:p>
    <w:p w14:paraId="16405495" w14:textId="004725C5" w:rsidR="00D5518C" w:rsidRPr="000508B6" w:rsidRDefault="001B18CE" w:rsidP="00291091">
      <w:pPr>
        <w:spacing w:after="0" w:line="240" w:lineRule="auto"/>
        <w:ind w:firstLine="426"/>
        <w:rPr>
          <w:rFonts w:ascii="Times New Roman" w:hAnsi="Times New Roman" w:cs="Times New Roman"/>
          <w:lang w:val="ro-MD"/>
        </w:rPr>
      </w:pPr>
      <w:r w:rsidRPr="000508B6">
        <w:rPr>
          <w:rFonts w:ascii="Times New Roman" w:hAnsi="Times New Roman" w:cs="Times New Roman"/>
          <w:b/>
          <w:lang w:val="ro-MD"/>
        </w:rPr>
        <w:t xml:space="preserve">Articolul </w:t>
      </w:r>
      <w:r w:rsidR="006175F4" w:rsidRPr="000508B6">
        <w:rPr>
          <w:rFonts w:ascii="Times New Roman" w:hAnsi="Times New Roman" w:cs="Times New Roman"/>
          <w:b/>
          <w:lang w:val="ro-MD"/>
        </w:rPr>
        <w:t>174</w:t>
      </w:r>
      <w:r w:rsidR="00291091" w:rsidRPr="000508B6">
        <w:rPr>
          <w:rFonts w:ascii="Times New Roman" w:hAnsi="Times New Roman" w:cs="Times New Roman"/>
          <w:b/>
          <w:lang w:val="ro-MD"/>
        </w:rPr>
        <w:t>.</w:t>
      </w:r>
      <w:r w:rsidRPr="000508B6">
        <w:rPr>
          <w:rFonts w:ascii="Times New Roman" w:hAnsi="Times New Roman" w:cs="Times New Roman"/>
          <w:b/>
          <w:lang w:val="ro-MD"/>
        </w:rPr>
        <w:t xml:space="preserve"> </w:t>
      </w:r>
      <w:r w:rsidRPr="000508B6">
        <w:rPr>
          <w:rFonts w:ascii="Times New Roman" w:hAnsi="Times New Roman" w:cs="Times New Roman"/>
          <w:bCs/>
          <w:lang w:val="ro-MD"/>
        </w:rPr>
        <w:t xml:space="preserve">Monitorizarea </w:t>
      </w:r>
      <w:r w:rsidR="00D5518C" w:rsidRPr="000508B6">
        <w:rPr>
          <w:rFonts w:ascii="Times New Roman" w:hAnsi="Times New Roman" w:cs="Times New Roman"/>
          <w:bCs/>
          <w:lang w:val="ro-MD"/>
        </w:rPr>
        <w:t>aplicării</w:t>
      </w:r>
      <w:r w:rsidRPr="000508B6">
        <w:rPr>
          <w:rFonts w:ascii="Times New Roman" w:hAnsi="Times New Roman" w:cs="Times New Roman"/>
          <w:bCs/>
          <w:lang w:val="ro-MD"/>
        </w:rPr>
        <w:t xml:space="preserve"> măsurilor de proporționalitate</w:t>
      </w:r>
      <w:r w:rsidR="001574FF" w:rsidRPr="000508B6">
        <w:rPr>
          <w:rFonts w:ascii="Times New Roman" w:hAnsi="Times New Roman" w:cs="Times New Roman"/>
          <w:b/>
          <w:lang w:val="ro-MD"/>
        </w:rPr>
        <w:t xml:space="preserve"> </w:t>
      </w:r>
    </w:p>
    <w:p w14:paraId="734B37F8" w14:textId="13F40C85" w:rsidR="00F93F2E" w:rsidRPr="000508B6" w:rsidRDefault="00D5518C" w:rsidP="00CF5AFA">
      <w:pPr>
        <w:pStyle w:val="Listparagraf"/>
        <w:numPr>
          <w:ilvl w:val="1"/>
          <w:numId w:val="392"/>
        </w:numPr>
        <w:spacing w:after="0" w:line="240" w:lineRule="auto"/>
        <w:ind w:left="0" w:firstLine="425"/>
        <w:jc w:val="both"/>
        <w:rPr>
          <w:rFonts w:ascii="Times New Roman" w:hAnsi="Times New Roman" w:cs="Times New Roman"/>
          <w:bCs/>
          <w:lang w:val="ro-MD"/>
        </w:rPr>
      </w:pPr>
      <w:r w:rsidRPr="000508B6">
        <w:rPr>
          <w:rFonts w:ascii="Times New Roman" w:hAnsi="Times New Roman" w:cs="Times New Roman"/>
          <w:bCs/>
          <w:lang w:val="ro-MD"/>
        </w:rPr>
        <w:t xml:space="preserve">În termen de un an de la </w:t>
      </w:r>
      <w:r w:rsidR="00F93F2E" w:rsidRPr="000508B6">
        <w:rPr>
          <w:rFonts w:ascii="Times New Roman" w:hAnsi="Times New Roman" w:cs="Times New Roman"/>
          <w:bCs/>
          <w:lang w:val="ro-MD"/>
        </w:rPr>
        <w:t xml:space="preserve">încadrarea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 xml:space="preserve"> </w:t>
      </w:r>
      <w:r w:rsidR="0004080F" w:rsidRPr="000508B6">
        <w:rPr>
          <w:rFonts w:ascii="Times New Roman" w:hAnsi="Times New Roman" w:cs="Times New Roman"/>
          <w:bCs/>
          <w:lang w:val="ro-MD"/>
        </w:rPr>
        <w:t>în categoria</w:t>
      </w:r>
      <w:r w:rsidRPr="000508B6">
        <w:rPr>
          <w:rFonts w:ascii="Times New Roman" w:hAnsi="Times New Roman" w:cs="Times New Roman"/>
          <w:bCs/>
          <w:lang w:val="ro-MD"/>
        </w:rPr>
        <w:t xml:space="preserve"> </w:t>
      </w:r>
      <w:r w:rsidR="00F93F2E" w:rsidRPr="000508B6">
        <w:rPr>
          <w:rFonts w:ascii="Times New Roman" w:hAnsi="Times New Roman" w:cs="Times New Roman"/>
          <w:bCs/>
          <w:lang w:val="ro-MD"/>
        </w:rPr>
        <w:t>asigur</w:t>
      </w:r>
      <w:r w:rsidR="00643D85" w:rsidRPr="000508B6">
        <w:rPr>
          <w:rFonts w:ascii="Times New Roman" w:hAnsi="Times New Roman" w:cs="Times New Roman"/>
          <w:bCs/>
          <w:lang w:val="ro-MD"/>
        </w:rPr>
        <w:t>ă</w:t>
      </w:r>
      <w:r w:rsidR="00F93F2E" w:rsidRPr="000508B6">
        <w:rPr>
          <w:rFonts w:ascii="Times New Roman" w:hAnsi="Times New Roman" w:cs="Times New Roman"/>
          <w:bCs/>
          <w:lang w:val="ro-MD"/>
        </w:rPr>
        <w:t>tor</w:t>
      </w:r>
      <w:r w:rsidR="0004080F" w:rsidRPr="000508B6">
        <w:rPr>
          <w:rFonts w:ascii="Times New Roman" w:hAnsi="Times New Roman" w:cs="Times New Roman"/>
          <w:bCs/>
          <w:lang w:val="ro-MD"/>
        </w:rPr>
        <w:t xml:space="preserve"> sau </w:t>
      </w:r>
      <w:proofErr w:type="spellStart"/>
      <w:r w:rsidR="0004080F" w:rsidRPr="000508B6">
        <w:rPr>
          <w:rFonts w:ascii="Times New Roman" w:hAnsi="Times New Roman" w:cs="Times New Roman"/>
          <w:bCs/>
          <w:lang w:val="ro-MD"/>
        </w:rPr>
        <w:t>reasigurător</w:t>
      </w:r>
      <w:proofErr w:type="spellEnd"/>
      <w:r w:rsidR="00F93F2E" w:rsidRPr="000508B6">
        <w:rPr>
          <w:rFonts w:ascii="Times New Roman" w:hAnsi="Times New Roman" w:cs="Times New Roman"/>
          <w:bCs/>
          <w:lang w:val="ro-MD"/>
        </w:rPr>
        <w:t xml:space="preserve"> </w:t>
      </w:r>
      <w:r w:rsidRPr="000508B6">
        <w:rPr>
          <w:rFonts w:ascii="Times New Roman" w:hAnsi="Times New Roman" w:cs="Times New Roman"/>
          <w:bCs/>
          <w:lang w:val="ro-MD"/>
        </w:rPr>
        <w:t>mic și cu un grad redus de complexitate, acesta raportează Băncii Naționale a Moldovei informații cu privire la măsurile de proporționalitate aplicate, în cadrul informațiilor care trebuie furnizate în scopuri de supraveghere, astfel cum sunt menționate la art</w:t>
      </w:r>
      <w:r w:rsidR="004C4662"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6175F4" w:rsidRPr="000508B6">
        <w:rPr>
          <w:rFonts w:ascii="Times New Roman" w:hAnsi="Times New Roman" w:cs="Times New Roman"/>
          <w:bCs/>
          <w:lang w:val="ro-MD"/>
        </w:rPr>
        <w:t>179</w:t>
      </w:r>
      <w:r w:rsidRPr="000508B6">
        <w:rPr>
          <w:rFonts w:ascii="Times New Roman" w:hAnsi="Times New Roman" w:cs="Times New Roman"/>
          <w:bCs/>
          <w:lang w:val="ro-MD"/>
        </w:rPr>
        <w:t xml:space="preserve">. </w:t>
      </w:r>
    </w:p>
    <w:p w14:paraId="40644E06" w14:textId="1059D623" w:rsidR="00D5518C" w:rsidRPr="000508B6" w:rsidRDefault="00D5518C" w:rsidP="00CF5AFA">
      <w:pPr>
        <w:pStyle w:val="Listparagraf"/>
        <w:numPr>
          <w:ilvl w:val="1"/>
          <w:numId w:val="392"/>
        </w:numPr>
        <w:spacing w:after="0" w:line="240" w:lineRule="auto"/>
        <w:ind w:left="0" w:firstLine="425"/>
        <w:jc w:val="both"/>
        <w:rPr>
          <w:rFonts w:ascii="Times New Roman" w:hAnsi="Times New Roman" w:cs="Times New Roman"/>
          <w:bCs/>
          <w:lang w:val="ro-MD"/>
        </w:rPr>
      </w:pPr>
      <w:r w:rsidRPr="000508B6">
        <w:rPr>
          <w:rFonts w:ascii="Times New Roman" w:hAnsi="Times New Roman" w:cs="Times New Roman"/>
          <w:bCs/>
          <w:lang w:val="ro-MD"/>
        </w:rPr>
        <w:t>În cazul în care</w:t>
      </w:r>
      <w:r w:rsidR="00F93F2E" w:rsidRPr="000508B6">
        <w:rPr>
          <w:rFonts w:ascii="Times New Roman" w:hAnsi="Times New Roman" w:cs="Times New Roman"/>
          <w:bCs/>
          <w:lang w:val="ro-MD"/>
        </w:rPr>
        <w:t xml:space="preserve"> </w:t>
      </w:r>
      <w:r w:rsidR="004125E8" w:rsidRPr="000508B6" w:rsidDel="00F93F2E">
        <w:rPr>
          <w:rFonts w:ascii="Times New Roman" w:hAnsi="Times New Roman" w:cs="Times New Roman"/>
          <w:bCs/>
          <w:lang w:val="ro-MD"/>
        </w:rPr>
        <w:t>asigurătorul</w:t>
      </w:r>
      <w:r w:rsidR="004125E8" w:rsidRPr="000508B6">
        <w:rPr>
          <w:rFonts w:ascii="Times New Roman" w:hAnsi="Times New Roman" w:cs="Times New Roman"/>
          <w:bCs/>
          <w:lang w:val="ro-MD"/>
        </w:rPr>
        <w:t xml:space="preserve">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intenționează să modifice lista măsurilor de proporționalitate care urmează să fie aplicate, acestea informează imediat Banca Națională a Moldovei.</w:t>
      </w:r>
    </w:p>
    <w:p w14:paraId="0545D1CD" w14:textId="060E8B62" w:rsidR="001B18CE" w:rsidRPr="000508B6" w:rsidRDefault="00D5518C" w:rsidP="00CF5AFA">
      <w:pPr>
        <w:pStyle w:val="Listparagraf"/>
        <w:numPr>
          <w:ilvl w:val="1"/>
          <w:numId w:val="392"/>
        </w:numPr>
        <w:spacing w:after="0" w:line="240" w:lineRule="auto"/>
        <w:ind w:left="0" w:firstLine="425"/>
        <w:jc w:val="both"/>
        <w:rPr>
          <w:rFonts w:ascii="Times New Roman" w:hAnsi="Times New Roman" w:cs="Times New Roman"/>
          <w:bCs/>
          <w:lang w:val="ro-MD"/>
        </w:rPr>
      </w:pPr>
      <w:r w:rsidRPr="000508B6">
        <w:rPr>
          <w:rFonts w:ascii="Times New Roman" w:hAnsi="Times New Roman" w:cs="Times New Roman"/>
          <w:bCs/>
          <w:lang w:val="ro-MD"/>
        </w:rPr>
        <w:t xml:space="preserve">În cazul în care </w:t>
      </w:r>
      <w:r w:rsidR="004125E8" w:rsidRPr="000508B6" w:rsidDel="00F93F2E">
        <w:rPr>
          <w:rFonts w:ascii="Times New Roman" w:hAnsi="Times New Roman" w:cs="Times New Roman"/>
          <w:bCs/>
          <w:lang w:val="ro-MD"/>
        </w:rPr>
        <w:t>asigurătorul</w:t>
      </w:r>
      <w:r w:rsidR="004125E8" w:rsidRPr="000508B6">
        <w:rPr>
          <w:rFonts w:ascii="Times New Roman" w:hAnsi="Times New Roman" w:cs="Times New Roman"/>
          <w:bCs/>
          <w:lang w:val="ro-MD"/>
        </w:rPr>
        <w:t xml:space="preserve"> sau </w:t>
      </w:r>
      <w:proofErr w:type="spellStart"/>
      <w:r w:rsidR="004125E8"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care aplică măsuri de proporționalitate în temeiul art</w:t>
      </w:r>
      <w:r w:rsidR="0020351E"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20351E" w:rsidRPr="000508B6">
        <w:rPr>
          <w:rFonts w:ascii="Times New Roman" w:hAnsi="Times New Roman" w:cs="Times New Roman"/>
          <w:bCs/>
          <w:lang w:val="ro-MD"/>
        </w:rPr>
        <w:t>17</w:t>
      </w:r>
      <w:r w:rsidR="006175F4" w:rsidRPr="000508B6">
        <w:rPr>
          <w:rFonts w:ascii="Times New Roman" w:hAnsi="Times New Roman" w:cs="Times New Roman"/>
          <w:bCs/>
          <w:lang w:val="ro-MD"/>
        </w:rPr>
        <w:t>3</w:t>
      </w:r>
      <w:r w:rsidRPr="000508B6">
        <w:rPr>
          <w:rFonts w:ascii="Times New Roman" w:hAnsi="Times New Roman" w:cs="Times New Roman"/>
          <w:bCs/>
          <w:lang w:val="ro-MD"/>
        </w:rPr>
        <w:t xml:space="preserve"> decide să nu mai aplice astfel de măsuri, aceasta informează Banca Națională a Moldovei în această privință.</w:t>
      </w:r>
    </w:p>
    <w:p w14:paraId="7EB24779" w14:textId="77777777" w:rsidR="00FB273D" w:rsidRPr="000508B6" w:rsidRDefault="00FB273D" w:rsidP="00AC4E00">
      <w:pPr>
        <w:spacing w:after="0" w:line="240" w:lineRule="auto"/>
        <w:ind w:firstLine="426"/>
        <w:rPr>
          <w:rFonts w:ascii="Times New Roman" w:hAnsi="Times New Roman" w:cs="Times New Roman"/>
          <w:b/>
          <w:lang w:val="ro-MD"/>
        </w:rPr>
      </w:pPr>
    </w:p>
    <w:p w14:paraId="22B5B095" w14:textId="1101AC57" w:rsidR="00AC4E00" w:rsidRPr="000508B6" w:rsidRDefault="00AC4E00" w:rsidP="00AC4E00">
      <w:pPr>
        <w:spacing w:after="0" w:line="240" w:lineRule="auto"/>
        <w:ind w:firstLine="426"/>
        <w:rPr>
          <w:rFonts w:ascii="Times New Roman" w:hAnsi="Times New Roman" w:cs="Times New Roman"/>
          <w:lang w:val="ro-MD"/>
        </w:rPr>
      </w:pPr>
      <w:r w:rsidRPr="000508B6">
        <w:rPr>
          <w:rFonts w:ascii="Times New Roman" w:hAnsi="Times New Roman" w:cs="Times New Roman"/>
          <w:b/>
          <w:lang w:val="ro-MD"/>
        </w:rPr>
        <w:t xml:space="preserve">Articolul </w:t>
      </w:r>
      <w:r w:rsidR="006175F4" w:rsidRPr="000508B6">
        <w:rPr>
          <w:rFonts w:ascii="Times New Roman" w:hAnsi="Times New Roman" w:cs="Times New Roman"/>
          <w:b/>
          <w:lang w:val="ro-MD"/>
        </w:rPr>
        <w:t>175</w:t>
      </w:r>
      <w:r w:rsidRPr="000508B6">
        <w:rPr>
          <w:rFonts w:ascii="Times New Roman" w:hAnsi="Times New Roman" w:cs="Times New Roman"/>
          <w:b/>
          <w:lang w:val="ro-MD"/>
        </w:rPr>
        <w:t>.</w:t>
      </w:r>
      <w:r w:rsidRPr="000508B6">
        <w:rPr>
          <w:rFonts w:ascii="Times New Roman" w:hAnsi="Times New Roman" w:cs="Times New Roman"/>
          <w:lang w:val="ro-MD"/>
        </w:rPr>
        <w:t xml:space="preserve"> Sfera de acoperire a supravegherii  </w:t>
      </w:r>
    </w:p>
    <w:p w14:paraId="2F43FBBA" w14:textId="682C22FD" w:rsidR="00AC4E00" w:rsidRPr="000508B6" w:rsidRDefault="00AC4E00" w:rsidP="00CF5AFA">
      <w:pPr>
        <w:pStyle w:val="Listparagraf"/>
        <w:numPr>
          <w:ilvl w:val="1"/>
          <w:numId w:val="4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supraveghează activitatea </w:t>
      </w:r>
      <w:proofErr w:type="spellStart"/>
      <w:r w:rsidRPr="000508B6">
        <w:rPr>
          <w:rFonts w:ascii="Times New Roman" w:hAnsi="Times New Roman" w:cs="Times New Roman"/>
          <w:lang w:val="ro-MD"/>
        </w:rPr>
        <w:t>desfăşurată</w:t>
      </w:r>
      <w:proofErr w:type="spellEnd"/>
      <w:r w:rsidRPr="000508B6">
        <w:rPr>
          <w:rFonts w:ascii="Times New Roman" w:hAnsi="Times New Roman" w:cs="Times New Roman"/>
          <w:lang w:val="ro-MD"/>
        </w:rPr>
        <w:t xml:space="preserve"> de </w:t>
      </w:r>
      <w:r w:rsidR="00C53085" w:rsidRPr="000508B6">
        <w:rPr>
          <w:rFonts w:ascii="Times New Roman" w:hAnsi="Times New Roman" w:cs="Times New Roman"/>
          <w:lang w:val="ro-MD"/>
        </w:rPr>
        <w:t>asigur</w:t>
      </w:r>
      <w:r w:rsidR="008F6E7C" w:rsidRPr="000508B6">
        <w:rPr>
          <w:rFonts w:ascii="Times New Roman" w:hAnsi="Times New Roman" w:cs="Times New Roman"/>
          <w:lang w:val="ro-MD"/>
        </w:rPr>
        <w:t>ă</w:t>
      </w:r>
      <w:r w:rsidR="00C53085" w:rsidRPr="000508B6">
        <w:rPr>
          <w:rFonts w:ascii="Times New Roman" w:hAnsi="Times New Roman" w:cs="Times New Roman"/>
          <w:lang w:val="ro-MD"/>
        </w:rPr>
        <w:t xml:space="preserve">tor sau </w:t>
      </w:r>
      <w:proofErr w:type="spellStart"/>
      <w:r w:rsidR="00C53085" w:rsidRPr="000508B6">
        <w:rPr>
          <w:rFonts w:ascii="Times New Roman" w:hAnsi="Times New Roman" w:cs="Times New Roman"/>
          <w:lang w:val="ro-MD"/>
        </w:rPr>
        <w:t>reasigur</w:t>
      </w:r>
      <w:r w:rsidR="008F6E7C" w:rsidRPr="000508B6">
        <w:rPr>
          <w:rFonts w:ascii="Times New Roman" w:hAnsi="Times New Roman" w:cs="Times New Roman"/>
          <w:lang w:val="ro-MD"/>
        </w:rPr>
        <w:t>ă</w:t>
      </w:r>
      <w:r w:rsidR="00C53085" w:rsidRPr="000508B6">
        <w:rPr>
          <w:rFonts w:ascii="Times New Roman" w:hAnsi="Times New Roman" w:cs="Times New Roman"/>
          <w:lang w:val="ro-MD"/>
        </w:rPr>
        <w:t>tor</w:t>
      </w:r>
      <w:proofErr w:type="spellEnd"/>
      <w:r w:rsidR="00C53085" w:rsidRPr="000508B6">
        <w:rPr>
          <w:rFonts w:ascii="Times New Roman" w:hAnsi="Times New Roman" w:cs="Times New Roman"/>
          <w:lang w:val="ro-MD"/>
        </w:rPr>
        <w:t xml:space="preserve"> </w:t>
      </w:r>
      <w:r w:rsidRPr="000508B6">
        <w:rPr>
          <w:rFonts w:ascii="Times New Roman" w:hAnsi="Times New Roman" w:cs="Times New Roman"/>
          <w:lang w:val="ro-MD"/>
        </w:rPr>
        <w:t xml:space="preserve">pe teritoriul Republicii Moldova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 teritoriul statelor membre în baza dreptului de stabilire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prin verificarea </w:t>
      </w:r>
      <w:r w:rsidR="007262AA" w:rsidRPr="000508B6">
        <w:rPr>
          <w:rFonts w:ascii="Times New Roman" w:hAnsi="Times New Roman" w:cs="Times New Roman"/>
          <w:lang w:val="ro-MD"/>
        </w:rPr>
        <w:t xml:space="preserve">întregii activități a acesteia, a sistemului de guvernanță, a </w:t>
      </w:r>
      <w:r w:rsidRPr="000508B6">
        <w:rPr>
          <w:rFonts w:ascii="Times New Roman" w:hAnsi="Times New Roman" w:cs="Times New Roman"/>
          <w:lang w:val="ro-MD"/>
        </w:rPr>
        <w:t xml:space="preserve">nivelului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w:t>
      </w:r>
      <w:r w:rsidR="003616C2" w:rsidRPr="000508B6">
        <w:rPr>
          <w:rFonts w:ascii="Times New Roman" w:hAnsi="Times New Roman" w:cs="Times New Roman"/>
          <w:lang w:val="ro-MD"/>
        </w:rPr>
        <w:t>acestuia</w:t>
      </w:r>
      <w:r w:rsidRPr="000508B6">
        <w:rPr>
          <w:rFonts w:ascii="Times New Roman" w:hAnsi="Times New Roman" w:cs="Times New Roman"/>
          <w:lang w:val="ro-MD"/>
        </w:rPr>
        <w:t xml:space="preserve">, a modului de constituire a rezervelor tehnice, a activelor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fondurilor proprii eligibile</w:t>
      </w:r>
      <w:r w:rsidR="007262AA" w:rsidRPr="000508B6">
        <w:rPr>
          <w:rFonts w:ascii="Times New Roman" w:hAnsi="Times New Roman" w:cs="Times New Roman"/>
          <w:lang w:val="ro-MD"/>
        </w:rPr>
        <w:t xml:space="preserve"> în conformitate cu </w:t>
      </w:r>
      <w:r w:rsidR="00694BA6" w:rsidRPr="000508B6">
        <w:rPr>
          <w:rFonts w:ascii="Times New Roman" w:hAnsi="Times New Roman" w:cs="Times New Roman"/>
          <w:lang w:val="ro-MD"/>
        </w:rPr>
        <w:t>legislația și cadrul normativ stabilit</w:t>
      </w:r>
      <w:r w:rsidR="007262AA" w:rsidRPr="000508B6">
        <w:rPr>
          <w:rFonts w:ascii="Times New Roman" w:hAnsi="Times New Roman" w:cs="Times New Roman"/>
          <w:lang w:val="ro-MD"/>
        </w:rPr>
        <w:t xml:space="preserve"> de </w:t>
      </w:r>
      <w:r w:rsidR="00694BA6" w:rsidRPr="000508B6">
        <w:rPr>
          <w:rFonts w:ascii="Times New Roman" w:hAnsi="Times New Roman" w:cs="Times New Roman"/>
          <w:lang w:val="ro-MD"/>
        </w:rPr>
        <w:t>către Banca Națională a Moldovei</w:t>
      </w:r>
      <w:r w:rsidR="00CD27FB" w:rsidRPr="000508B6">
        <w:rPr>
          <w:rFonts w:ascii="Times New Roman" w:hAnsi="Times New Roman" w:cs="Times New Roman"/>
          <w:lang w:val="ro-MD"/>
        </w:rPr>
        <w:t xml:space="preserve"> ori cu practicile derivate din aplicarea dispozițiilor adoptate la nivelul Uniunii Europene</w:t>
      </w:r>
      <w:r w:rsidRPr="000508B6">
        <w:rPr>
          <w:rFonts w:ascii="Times New Roman" w:hAnsi="Times New Roman" w:cs="Times New Roman"/>
          <w:lang w:val="ro-MD"/>
        </w:rPr>
        <w:t xml:space="preserve">. </w:t>
      </w:r>
    </w:p>
    <w:p w14:paraId="5E1CDFDE" w14:textId="18E01902" w:rsidR="00AC4E00" w:rsidRPr="000508B6" w:rsidRDefault="00AC4E00" w:rsidP="00CF5AFA">
      <w:pPr>
        <w:pStyle w:val="Listparagraf"/>
        <w:numPr>
          <w:ilvl w:val="1"/>
          <w:numId w:val="4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În cazul </w:t>
      </w:r>
      <w:r w:rsidR="004125E8" w:rsidRPr="000508B6">
        <w:rPr>
          <w:rFonts w:ascii="Times New Roman" w:hAnsi="Times New Roman" w:cs="Times New Roman"/>
          <w:lang w:val="ro-MD"/>
        </w:rPr>
        <w:t xml:space="preserve">asigurătorului </w:t>
      </w:r>
      <w:r w:rsidRPr="000508B6">
        <w:rPr>
          <w:rFonts w:ascii="Times New Roman" w:hAnsi="Times New Roman" w:cs="Times New Roman"/>
          <w:lang w:val="ro-MD"/>
        </w:rPr>
        <w:t xml:space="preserve">licențiat să </w:t>
      </w:r>
      <w:r w:rsidR="003E6FE5" w:rsidRPr="000508B6">
        <w:rPr>
          <w:rFonts w:ascii="Times New Roman" w:hAnsi="Times New Roman" w:cs="Times New Roman"/>
          <w:lang w:val="ro-MD"/>
        </w:rPr>
        <w:t>subscrie</w:t>
      </w:r>
      <w:r w:rsidRPr="000508B6">
        <w:rPr>
          <w:rFonts w:ascii="Times New Roman" w:hAnsi="Times New Roman" w:cs="Times New Roman"/>
          <w:lang w:val="ro-MD"/>
        </w:rPr>
        <w:t xml:space="preserve"> </w:t>
      </w:r>
      <w:r w:rsidR="003E6FE5" w:rsidRPr="000508B6">
        <w:rPr>
          <w:rFonts w:ascii="Times New Roman" w:hAnsi="Times New Roman" w:cs="Times New Roman"/>
          <w:lang w:val="ro-MD"/>
        </w:rPr>
        <w:t xml:space="preserve">riscuri </w:t>
      </w:r>
      <w:r w:rsidRPr="000508B6">
        <w:rPr>
          <w:rFonts w:ascii="Times New Roman" w:hAnsi="Times New Roman" w:cs="Times New Roman"/>
          <w:lang w:val="ro-MD"/>
        </w:rPr>
        <w:t xml:space="preserve">din clasa 18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în </w:t>
      </w:r>
      <w:r w:rsidR="00CB62AD" w:rsidRPr="000508B6">
        <w:rPr>
          <w:rFonts w:ascii="Times New Roman" w:hAnsi="Times New Roman" w:cs="Times New Roman"/>
          <w:lang w:val="ro-MD"/>
        </w:rPr>
        <w:t>A</w:t>
      </w:r>
      <w:r w:rsidRPr="000508B6">
        <w:rPr>
          <w:rFonts w:ascii="Times New Roman" w:hAnsi="Times New Roman" w:cs="Times New Roman"/>
          <w:lang w:val="ro-MD"/>
        </w:rPr>
        <w:t>nexa nr. 1</w:t>
      </w:r>
      <w:r w:rsidR="00D71E16" w:rsidRPr="000508B6">
        <w:rPr>
          <w:rFonts w:ascii="Times New Roman" w:hAnsi="Times New Roman" w:cs="Times New Roman"/>
          <w:lang w:val="ro-MD"/>
        </w:rPr>
        <w:t>.</w:t>
      </w:r>
      <w:r w:rsidRPr="000508B6">
        <w:rPr>
          <w:rFonts w:ascii="Times New Roman" w:hAnsi="Times New Roman" w:cs="Times New Roman"/>
          <w:lang w:val="ro-MD"/>
        </w:rPr>
        <w:t xml:space="preserve"> </w:t>
      </w:r>
      <w:proofErr w:type="spellStart"/>
      <w:r w:rsidR="00CB62AD" w:rsidRPr="000508B6">
        <w:rPr>
          <w:rFonts w:ascii="Times New Roman" w:hAnsi="Times New Roman" w:cs="Times New Roman"/>
          <w:lang w:val="ro-MD"/>
        </w:rPr>
        <w:t>S</w:t>
      </w:r>
      <w:r w:rsidRPr="000508B6">
        <w:rPr>
          <w:rFonts w:ascii="Times New Roman" w:hAnsi="Times New Roman" w:cs="Times New Roman"/>
          <w:lang w:val="ro-MD"/>
        </w:rPr>
        <w:t>ecţiunea</w:t>
      </w:r>
      <w:proofErr w:type="spellEnd"/>
      <w:r w:rsidRPr="000508B6">
        <w:rPr>
          <w:rFonts w:ascii="Times New Roman" w:hAnsi="Times New Roman" w:cs="Times New Roman"/>
          <w:lang w:val="ro-MD"/>
        </w:rPr>
        <w:t xml:space="preserve"> A, Banca Națională a Moldovei </w:t>
      </w:r>
      <w:r w:rsidR="00963123" w:rsidRPr="000508B6">
        <w:rPr>
          <w:rFonts w:ascii="Times New Roman" w:hAnsi="Times New Roman" w:cs="Times New Roman"/>
          <w:lang w:val="ro-MD"/>
        </w:rPr>
        <w:t>poate</w:t>
      </w:r>
      <w:r w:rsidRPr="000508B6">
        <w:rPr>
          <w:rFonts w:ascii="Times New Roman" w:hAnsi="Times New Roman" w:cs="Times New Roman"/>
          <w:lang w:val="ro-MD"/>
        </w:rPr>
        <w:t xml:space="preserve"> verific</w:t>
      </w:r>
      <w:r w:rsidR="00B56BC0" w:rsidRPr="000508B6">
        <w:rPr>
          <w:rFonts w:ascii="Times New Roman" w:hAnsi="Times New Roman" w:cs="Times New Roman"/>
          <w:lang w:val="ro-MD"/>
        </w:rPr>
        <w:t>a</w:t>
      </w:r>
      <w:r w:rsidRPr="000508B6">
        <w:rPr>
          <w:rFonts w:ascii="Times New Roman" w:hAnsi="Times New Roman" w:cs="Times New Roman"/>
          <w:lang w:val="ro-MD"/>
        </w:rPr>
        <w:t xml:space="preserve"> resursele tehnice aflate la </w:t>
      </w:r>
      <w:proofErr w:type="spellStart"/>
      <w:r w:rsidRPr="000508B6">
        <w:rPr>
          <w:rFonts w:ascii="Times New Roman" w:hAnsi="Times New Roman" w:cs="Times New Roman"/>
          <w:lang w:val="ro-MD"/>
        </w:rPr>
        <w:t>dispoziţia</w:t>
      </w:r>
      <w:proofErr w:type="spellEnd"/>
      <w:r w:rsidRPr="000508B6">
        <w:rPr>
          <w:rFonts w:ascii="Times New Roman" w:hAnsi="Times New Roman" w:cs="Times New Roman"/>
          <w:lang w:val="ro-MD"/>
        </w:rPr>
        <w:t xml:space="preserve"> </w:t>
      </w:r>
      <w:r w:rsidR="005A4036" w:rsidRPr="000508B6">
        <w:rPr>
          <w:rFonts w:ascii="Times New Roman" w:hAnsi="Times New Roman" w:cs="Times New Roman"/>
          <w:lang w:val="ro-MD"/>
        </w:rPr>
        <w:t>asigurătorului</w:t>
      </w:r>
      <w:r w:rsidRPr="000508B6">
        <w:rPr>
          <w:rFonts w:ascii="Times New Roman" w:hAnsi="Times New Roman" w:cs="Times New Roman"/>
          <w:lang w:val="ro-MD"/>
        </w:rPr>
        <w:t xml:space="preserve"> pentru a-</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îndeplini </w:t>
      </w:r>
      <w:proofErr w:type="spellStart"/>
      <w:r w:rsidRPr="000508B6">
        <w:rPr>
          <w:rFonts w:ascii="Times New Roman" w:hAnsi="Times New Roman" w:cs="Times New Roman"/>
          <w:lang w:val="ro-MD"/>
        </w:rPr>
        <w:t>obligaţiile</w:t>
      </w:r>
      <w:proofErr w:type="spellEnd"/>
      <w:r w:rsidRPr="000508B6">
        <w:rPr>
          <w:rFonts w:ascii="Times New Roman" w:hAnsi="Times New Roman" w:cs="Times New Roman"/>
          <w:lang w:val="ro-MD"/>
        </w:rPr>
        <w:t xml:space="preserve">. </w:t>
      </w:r>
    </w:p>
    <w:p w14:paraId="14C52490" w14:textId="299D76B7" w:rsidR="00AC4E00" w:rsidRPr="000508B6" w:rsidRDefault="00A73F7A" w:rsidP="00CF5AFA">
      <w:pPr>
        <w:pStyle w:val="Listparagraf"/>
        <w:numPr>
          <w:ilvl w:val="1"/>
          <w:numId w:val="4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Atunci când este  informată de supraveghetorii din statele membre în care asigur</w:t>
      </w:r>
      <w:r w:rsidR="007A1043" w:rsidRPr="000508B6">
        <w:rPr>
          <w:rFonts w:ascii="Times New Roman" w:hAnsi="Times New Roman" w:cs="Times New Roman"/>
          <w:lang w:val="ro-MD"/>
        </w:rPr>
        <w:t>ă</w:t>
      </w:r>
      <w:r w:rsidRPr="000508B6">
        <w:rPr>
          <w:rFonts w:ascii="Times New Roman" w:hAnsi="Times New Roman" w:cs="Times New Roman"/>
          <w:lang w:val="ro-MD"/>
        </w:rPr>
        <w:t xml:space="preserve">torul sau </w:t>
      </w:r>
      <w:proofErr w:type="spellStart"/>
      <w:r w:rsidRPr="000508B6">
        <w:rPr>
          <w:rFonts w:ascii="Times New Roman" w:hAnsi="Times New Roman" w:cs="Times New Roman"/>
          <w:lang w:val="ro-MD"/>
        </w:rPr>
        <w:t>reasigur</w:t>
      </w:r>
      <w:r w:rsidR="007A1043"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îşi</w:t>
      </w:r>
      <w:proofErr w:type="spellEnd"/>
      <w:r w:rsidRPr="000508B6">
        <w:rPr>
          <w:rFonts w:ascii="Times New Roman" w:hAnsi="Times New Roman" w:cs="Times New Roman"/>
          <w:lang w:val="ro-MD"/>
        </w:rPr>
        <w:t xml:space="preserve"> asumă angajamente sau subscrie riscuri și activitatea </w:t>
      </w:r>
      <w:proofErr w:type="spellStart"/>
      <w:r w:rsidRPr="000508B6">
        <w:rPr>
          <w:rFonts w:ascii="Times New Roman" w:hAnsi="Times New Roman" w:cs="Times New Roman"/>
          <w:lang w:val="ro-MD"/>
        </w:rPr>
        <w:t>desfăşurată</w:t>
      </w:r>
      <w:proofErr w:type="spellEnd"/>
      <w:r w:rsidRPr="000508B6">
        <w:rPr>
          <w:rFonts w:ascii="Times New Roman" w:hAnsi="Times New Roman" w:cs="Times New Roman"/>
          <w:lang w:val="ro-MD"/>
        </w:rPr>
        <w:t xml:space="preserve"> de acesta pe teritoriul statelor membre respective este de natură să le afecteze stabilitatea financiară, Banca Națională a Moldovei determină nivelul de respectare a principiilor </w:t>
      </w:r>
      <w:proofErr w:type="spellStart"/>
      <w:r w:rsidRPr="000508B6">
        <w:rPr>
          <w:rFonts w:ascii="Times New Roman" w:hAnsi="Times New Roman" w:cs="Times New Roman"/>
          <w:lang w:val="ro-MD"/>
        </w:rPr>
        <w:t>prudenţiale</w:t>
      </w:r>
      <w:proofErr w:type="spellEnd"/>
      <w:r w:rsidRPr="000508B6">
        <w:rPr>
          <w:rFonts w:ascii="Times New Roman" w:hAnsi="Times New Roman" w:cs="Times New Roman"/>
          <w:lang w:val="ro-MD"/>
        </w:rPr>
        <w:t xml:space="preserve"> de către asigur</w:t>
      </w:r>
      <w:r w:rsidR="007A1043" w:rsidRPr="000508B6">
        <w:rPr>
          <w:rFonts w:ascii="Times New Roman" w:hAnsi="Times New Roman" w:cs="Times New Roman"/>
          <w:lang w:val="ro-MD"/>
        </w:rPr>
        <w:t>ă</w:t>
      </w:r>
      <w:r w:rsidRPr="000508B6">
        <w:rPr>
          <w:rFonts w:ascii="Times New Roman" w:hAnsi="Times New Roman" w:cs="Times New Roman"/>
          <w:lang w:val="ro-MD"/>
        </w:rPr>
        <w:t xml:space="preserve">torul sau </w:t>
      </w:r>
      <w:proofErr w:type="spellStart"/>
      <w:r w:rsidRPr="000508B6">
        <w:rPr>
          <w:rFonts w:ascii="Times New Roman" w:hAnsi="Times New Roman" w:cs="Times New Roman"/>
          <w:lang w:val="ro-MD"/>
        </w:rPr>
        <w:t>reasigur</w:t>
      </w:r>
      <w:r w:rsidR="007A1043" w:rsidRPr="000508B6">
        <w:rPr>
          <w:rFonts w:ascii="Times New Roman" w:hAnsi="Times New Roman" w:cs="Times New Roman"/>
          <w:lang w:val="ro-MD"/>
        </w:rPr>
        <w:t>ă</w:t>
      </w:r>
      <w:r w:rsidRPr="000508B6">
        <w:rPr>
          <w:rFonts w:ascii="Times New Roman" w:hAnsi="Times New Roman" w:cs="Times New Roman"/>
          <w:lang w:val="ro-MD"/>
        </w:rPr>
        <w:t>torul</w:t>
      </w:r>
      <w:proofErr w:type="spellEnd"/>
      <w:r w:rsidRPr="000508B6">
        <w:rPr>
          <w:rFonts w:ascii="Times New Roman" w:hAnsi="Times New Roman" w:cs="Times New Roman"/>
          <w:lang w:val="ro-MD"/>
        </w:rPr>
        <w:t xml:space="preserve">  respectiv. </w:t>
      </w:r>
      <w:r w:rsidR="00AC4E00" w:rsidRPr="000508B6">
        <w:rPr>
          <w:rFonts w:ascii="Times New Roman" w:hAnsi="Times New Roman" w:cs="Times New Roman"/>
          <w:lang w:val="ro-MD"/>
        </w:rPr>
        <w:t xml:space="preserve"> </w:t>
      </w:r>
    </w:p>
    <w:p w14:paraId="6A1864C7" w14:textId="03D1FB2C" w:rsidR="00AC4E00" w:rsidRPr="000508B6" w:rsidRDefault="00AC4E00" w:rsidP="00CF5AFA">
      <w:pPr>
        <w:pStyle w:val="Listparagraf"/>
        <w:numPr>
          <w:ilvl w:val="1"/>
          <w:numId w:val="48"/>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informează supraveghetorul din statul membru de origine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cu privire la faptul că activitatea acesteia </w:t>
      </w:r>
      <w:proofErr w:type="spellStart"/>
      <w:r w:rsidRPr="000508B6">
        <w:rPr>
          <w:rFonts w:ascii="Times New Roman" w:hAnsi="Times New Roman" w:cs="Times New Roman"/>
          <w:lang w:val="ro-MD"/>
        </w:rPr>
        <w:t>desfăşurată</w:t>
      </w:r>
      <w:proofErr w:type="spellEnd"/>
      <w:r w:rsidRPr="000508B6">
        <w:rPr>
          <w:rFonts w:ascii="Times New Roman" w:hAnsi="Times New Roman" w:cs="Times New Roman"/>
          <w:lang w:val="ro-MD"/>
        </w:rPr>
        <w:t xml:space="preserve"> pe teritoriul Republicii Moldova este de natură să îi afecteze stabilitatea financiară, în cazul în care Republica Moldova este: </w:t>
      </w:r>
    </w:p>
    <w:p w14:paraId="44DF1689" w14:textId="77777777" w:rsidR="00AC4E00" w:rsidRPr="000508B6" w:rsidRDefault="00AC4E00" w:rsidP="00B913DE">
      <w:pPr>
        <w:pStyle w:val="Listparagraf"/>
        <w:numPr>
          <w:ilvl w:val="2"/>
          <w:numId w:val="4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stat membru al angajamentului; </w:t>
      </w:r>
    </w:p>
    <w:p w14:paraId="3D70635B" w14:textId="77777777" w:rsidR="00AC4E00" w:rsidRPr="000508B6" w:rsidRDefault="00AC4E00" w:rsidP="00B913DE">
      <w:pPr>
        <w:pStyle w:val="Listparagraf"/>
        <w:numPr>
          <w:ilvl w:val="2"/>
          <w:numId w:val="4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stat membru în care este situat riscul; </w:t>
      </w:r>
    </w:p>
    <w:p w14:paraId="1BA06EE1" w14:textId="72165B1F" w:rsidR="00AC4E00" w:rsidRPr="000508B6" w:rsidRDefault="00AC4E00" w:rsidP="00B913DE">
      <w:pPr>
        <w:pStyle w:val="Listparagraf"/>
        <w:numPr>
          <w:ilvl w:val="2"/>
          <w:numId w:val="4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stat membru gazdă pentru </w:t>
      </w:r>
      <w:r w:rsidR="00311422" w:rsidRPr="000508B6">
        <w:rPr>
          <w:rFonts w:ascii="Times New Roman" w:hAnsi="Times New Roman" w:cs="Times New Roman"/>
          <w:lang w:val="ro-MD"/>
        </w:rPr>
        <w:t xml:space="preserve">un </w:t>
      </w:r>
      <w:proofErr w:type="spellStart"/>
      <w:r w:rsidR="00311422"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p>
    <w:p w14:paraId="74CA78E3" w14:textId="77777777" w:rsidR="00AC4E00" w:rsidRPr="000508B6" w:rsidRDefault="00AC4E00" w:rsidP="00AC4E00">
      <w:pPr>
        <w:tabs>
          <w:tab w:val="left" w:pos="851"/>
          <w:tab w:val="left" w:pos="993"/>
        </w:tabs>
        <w:spacing w:after="0" w:line="240" w:lineRule="auto"/>
        <w:ind w:firstLine="426"/>
        <w:jc w:val="both"/>
        <w:rPr>
          <w:rFonts w:ascii="Times New Roman" w:hAnsi="Times New Roman" w:cs="Times New Roman"/>
          <w:lang w:val="ro-MD"/>
        </w:rPr>
      </w:pPr>
    </w:p>
    <w:p w14:paraId="168CA3CA" w14:textId="4A265F57" w:rsidR="00AC4E00" w:rsidRPr="000508B6" w:rsidRDefault="00AC4E00" w:rsidP="00AC4E00">
      <w:pPr>
        <w:spacing w:after="0" w:line="240" w:lineRule="auto"/>
        <w:ind w:firstLine="426"/>
        <w:jc w:val="both"/>
        <w:rPr>
          <w:rFonts w:ascii="Times New Roman" w:hAnsi="Times New Roman" w:cs="Times New Roman"/>
          <w:b/>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17</w:t>
      </w:r>
      <w:r w:rsidR="006175F4" w:rsidRPr="000508B6">
        <w:rPr>
          <w:rFonts w:ascii="Times New Roman" w:hAnsi="Times New Roman" w:cs="Times New Roman"/>
          <w:b/>
          <w:lang w:val="ro-MD"/>
        </w:rPr>
        <w:t>6</w:t>
      </w:r>
      <w:r w:rsidRPr="000508B6">
        <w:rPr>
          <w:rFonts w:ascii="Times New Roman" w:hAnsi="Times New Roman" w:cs="Times New Roman"/>
          <w:b/>
          <w:lang w:val="ro-MD"/>
        </w:rPr>
        <w:t xml:space="preserve">. </w:t>
      </w:r>
      <w:r w:rsidRPr="000508B6">
        <w:rPr>
          <w:rFonts w:ascii="Times New Roman" w:hAnsi="Times New Roman" w:cs="Times New Roman"/>
          <w:lang w:val="ro-MD"/>
        </w:rPr>
        <w:t>Atribuțiile și competențele Băncii Naționale a Moldovei</w:t>
      </w:r>
    </w:p>
    <w:p w14:paraId="2C7431A9" w14:textId="70C2FF88" w:rsidR="00AC4E00" w:rsidRPr="000508B6" w:rsidRDefault="00AC4E00" w:rsidP="00B913DE">
      <w:pPr>
        <w:pStyle w:val="Listparagraf"/>
        <w:numPr>
          <w:ilvl w:val="0"/>
          <w:numId w:val="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este competentă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responsabilă pentru reglementarea, licențierea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supravegherea, inclusiv la nivel de grup,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a sucursale</w:t>
      </w:r>
      <w:r w:rsidR="000C68BD" w:rsidRPr="000508B6">
        <w:rPr>
          <w:rFonts w:ascii="Times New Roman" w:hAnsi="Times New Roman" w:cs="Times New Roman"/>
          <w:lang w:val="ro-MD"/>
        </w:rPr>
        <w:t>i</w:t>
      </w:r>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din</w:t>
      </w:r>
      <w:r w:rsidR="000C68BD" w:rsidRPr="000508B6">
        <w:rPr>
          <w:rFonts w:ascii="Times New Roman" w:hAnsi="Times New Roman" w:cs="Times New Roman"/>
          <w:lang w:val="ro-MD"/>
        </w:rPr>
        <w:t>tr-un</w:t>
      </w:r>
      <w:r w:rsidRPr="000508B6">
        <w:rPr>
          <w:rFonts w:ascii="Times New Roman" w:hAnsi="Times New Roman" w:cs="Times New Roman"/>
          <w:lang w:val="ro-MD"/>
        </w:rPr>
        <w:t xml:space="preserve"> stat </w:t>
      </w:r>
      <w:proofErr w:type="spellStart"/>
      <w:r w:rsidRPr="000508B6">
        <w:rPr>
          <w:rFonts w:ascii="Times New Roman" w:hAnsi="Times New Roman" w:cs="Times New Roman"/>
          <w:lang w:val="ro-MD"/>
        </w:rPr>
        <w:t>terţ</w:t>
      </w:r>
      <w:proofErr w:type="spellEnd"/>
      <w:r w:rsidR="00334D6C" w:rsidRPr="000508B6">
        <w:rPr>
          <w:rFonts w:ascii="Times New Roman" w:hAnsi="Times New Roman" w:cs="Times New Roman"/>
          <w:lang w:val="ro-MD"/>
        </w:rPr>
        <w:t>, sucursalele din</w:t>
      </w:r>
      <w:r w:rsidRPr="000508B6">
        <w:rPr>
          <w:rFonts w:ascii="Times New Roman" w:hAnsi="Times New Roman" w:cs="Times New Roman"/>
          <w:lang w:val="ro-MD"/>
        </w:rPr>
        <w:t xml:space="preserve"> statele membre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operaţiunile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 xml:space="preserve"> pe teritoriul Republicii Moldova, precum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BNAA. </w:t>
      </w:r>
    </w:p>
    <w:p w14:paraId="00A1D97E" w14:textId="4785BD7B" w:rsidR="00AC4E00" w:rsidRPr="000508B6" w:rsidRDefault="00AC4E00" w:rsidP="00B913DE">
      <w:pPr>
        <w:pStyle w:val="Listparagraf"/>
        <w:numPr>
          <w:ilvl w:val="0"/>
          <w:numId w:val="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proofErr w:type="spellStart"/>
      <w:r w:rsidRPr="000508B6">
        <w:rPr>
          <w:rFonts w:ascii="Times New Roman" w:hAnsi="Times New Roman" w:cs="Times New Roman"/>
          <w:lang w:val="ro-MD"/>
        </w:rPr>
        <w:t>îşi</w:t>
      </w:r>
      <w:proofErr w:type="spellEnd"/>
      <w:r w:rsidRPr="000508B6">
        <w:rPr>
          <w:rFonts w:ascii="Times New Roman" w:hAnsi="Times New Roman" w:cs="Times New Roman"/>
          <w:lang w:val="ro-MD"/>
        </w:rPr>
        <w:t xml:space="preserve"> exercită </w:t>
      </w:r>
      <w:proofErr w:type="spellStart"/>
      <w:r w:rsidRPr="000508B6">
        <w:rPr>
          <w:rFonts w:ascii="Times New Roman" w:hAnsi="Times New Roman" w:cs="Times New Roman"/>
          <w:lang w:val="ro-MD"/>
        </w:rPr>
        <w:t>competenţele</w:t>
      </w:r>
      <w:proofErr w:type="spellEnd"/>
      <w:r w:rsidRPr="000508B6">
        <w:rPr>
          <w:rFonts w:ascii="Times New Roman" w:hAnsi="Times New Roman" w:cs="Times New Roman"/>
          <w:lang w:val="ro-MD"/>
        </w:rPr>
        <w:t xml:space="preserve"> cu responsabilitate, în mod transparent, respectând prevederile art.</w:t>
      </w:r>
      <w:r w:rsidR="00CD4355" w:rsidRPr="000508B6">
        <w:rPr>
          <w:rFonts w:ascii="Times New Roman" w:hAnsi="Times New Roman" w:cs="Times New Roman"/>
          <w:lang w:val="ro-MD"/>
        </w:rPr>
        <w:t>196</w:t>
      </w:r>
      <w:r w:rsidRPr="000508B6">
        <w:rPr>
          <w:rFonts w:ascii="Times New Roman" w:hAnsi="Times New Roman" w:cs="Times New Roman"/>
          <w:i/>
          <w:lang w:val="ro-MD"/>
        </w:rPr>
        <w:t>.</w:t>
      </w:r>
      <w:r w:rsidRPr="000508B6">
        <w:rPr>
          <w:rFonts w:ascii="Times New Roman" w:hAnsi="Times New Roman" w:cs="Times New Roman"/>
          <w:i/>
          <w:color w:val="FF0000"/>
          <w:lang w:val="ro-MD"/>
        </w:rPr>
        <w:t xml:space="preserve"> </w:t>
      </w:r>
    </w:p>
    <w:p w14:paraId="5C2179FC" w14:textId="53D90445" w:rsidR="00AC4E00" w:rsidRPr="000508B6" w:rsidRDefault="00AC4E00" w:rsidP="00B913DE">
      <w:pPr>
        <w:pStyle w:val="Listparagraf"/>
        <w:numPr>
          <w:ilvl w:val="0"/>
          <w:numId w:val="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publică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actualizează pe pagina sa web oficială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următoarele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w:t>
      </w:r>
    </w:p>
    <w:p w14:paraId="0B518FC5" w14:textId="3C8991A4" w:rsidR="00AC4E00" w:rsidRPr="000508B6" w:rsidRDefault="000904C5" w:rsidP="00D71E16">
      <w:pPr>
        <w:numPr>
          <w:ilvl w:val="2"/>
          <w:numId w:val="49"/>
        </w:numPr>
        <w:tabs>
          <w:tab w:val="left" w:pos="426"/>
          <w:tab w:val="left" w:pos="709"/>
        </w:tabs>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legislația</w:t>
      </w:r>
      <w:r w:rsidR="00AC4E00" w:rsidRPr="000508B6">
        <w:rPr>
          <w:rFonts w:ascii="Times New Roman" w:hAnsi="Times New Roman" w:cs="Times New Roman"/>
          <w:lang w:val="ro-MD"/>
        </w:rPr>
        <w:t xml:space="preserve"> aplicabil</w:t>
      </w:r>
      <w:r w:rsidR="00D30223" w:rsidRPr="000508B6">
        <w:rPr>
          <w:rFonts w:ascii="Times New Roman" w:hAnsi="Times New Roman" w:cs="Times New Roman"/>
          <w:lang w:val="ro-MD"/>
        </w:rPr>
        <w:t>ă</w:t>
      </w:r>
      <w:r w:rsidR="00AC4E00" w:rsidRPr="000508B6">
        <w:rPr>
          <w:rFonts w:ascii="Times New Roman" w:hAnsi="Times New Roman" w:cs="Times New Roman"/>
          <w:lang w:val="ro-MD"/>
        </w:rPr>
        <w:t xml:space="preserve"> domeniului asigurărilor; </w:t>
      </w:r>
    </w:p>
    <w:p w14:paraId="530521A0" w14:textId="4022498F" w:rsidR="00AC4E00" w:rsidRPr="000508B6" w:rsidRDefault="00AC4E00" w:rsidP="00B913DE">
      <w:pPr>
        <w:numPr>
          <w:ilvl w:val="2"/>
          <w:numId w:val="49"/>
        </w:numPr>
        <w:tabs>
          <w:tab w:val="left" w:pos="426"/>
          <w:tab w:val="left" w:pos="709"/>
        </w:tabs>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criteriile, metodele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instrumentele prevăzute la alin. (7), utilizate în procesul de supraveghere descris </w:t>
      </w:r>
      <w:r w:rsidR="005C5904" w:rsidRPr="000508B6">
        <w:rPr>
          <w:rFonts w:ascii="Times New Roman" w:hAnsi="Times New Roman" w:cs="Times New Roman"/>
          <w:lang w:val="ro-MD"/>
        </w:rPr>
        <w:t xml:space="preserve">la </w:t>
      </w:r>
      <w:r w:rsidR="00B75D2C" w:rsidRPr="000508B6">
        <w:rPr>
          <w:rFonts w:ascii="Times New Roman" w:hAnsi="Times New Roman" w:cs="Times New Roman"/>
          <w:lang w:val="ro-MD"/>
        </w:rPr>
        <w:t xml:space="preserve">art. </w:t>
      </w:r>
      <w:r w:rsidR="00E03B5E" w:rsidRPr="000508B6">
        <w:rPr>
          <w:rFonts w:ascii="Times New Roman" w:hAnsi="Times New Roman" w:cs="Times New Roman"/>
          <w:lang w:val="ro-MD"/>
        </w:rPr>
        <w:t>178</w:t>
      </w:r>
      <w:r w:rsidR="00B75D2C" w:rsidRPr="000508B6">
        <w:rPr>
          <w:rFonts w:ascii="Times New Roman" w:hAnsi="Times New Roman" w:cs="Times New Roman"/>
          <w:lang w:val="ro-MD"/>
        </w:rPr>
        <w:t>-</w:t>
      </w:r>
      <w:r w:rsidR="00E03B5E" w:rsidRPr="000508B6">
        <w:rPr>
          <w:rFonts w:ascii="Times New Roman" w:hAnsi="Times New Roman" w:cs="Times New Roman"/>
          <w:lang w:val="ro-MD"/>
        </w:rPr>
        <w:t>184</w:t>
      </w:r>
      <w:r w:rsidRPr="000508B6">
        <w:rPr>
          <w:rFonts w:ascii="Times New Roman" w:hAnsi="Times New Roman" w:cs="Times New Roman"/>
          <w:lang w:val="ro-MD"/>
        </w:rPr>
        <w:t>;</w:t>
      </w:r>
    </w:p>
    <w:p w14:paraId="06E7E5A6" w14:textId="77777777" w:rsidR="00AC4E00" w:rsidRPr="000508B6" w:rsidRDefault="00AC4E00" w:rsidP="00B913DE">
      <w:pPr>
        <w:numPr>
          <w:ilvl w:val="2"/>
          <w:numId w:val="49"/>
        </w:numPr>
        <w:tabs>
          <w:tab w:val="left" w:pos="426"/>
          <w:tab w:val="left" w:pos="709"/>
        </w:tabs>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datele statistice agregate privind principalele aspecte aferente cadrului general de </w:t>
      </w:r>
      <w:proofErr w:type="spellStart"/>
      <w:r w:rsidRPr="000508B6">
        <w:rPr>
          <w:rFonts w:ascii="Times New Roman" w:hAnsi="Times New Roman" w:cs="Times New Roman"/>
          <w:lang w:val="ro-MD"/>
        </w:rPr>
        <w:t>prudenţialitate</w:t>
      </w:r>
      <w:proofErr w:type="spellEnd"/>
      <w:r w:rsidRPr="000508B6">
        <w:rPr>
          <w:rFonts w:ascii="Times New Roman" w:hAnsi="Times New Roman" w:cs="Times New Roman"/>
          <w:lang w:val="ro-MD"/>
        </w:rPr>
        <w:t xml:space="preserve">; </w:t>
      </w:r>
    </w:p>
    <w:p w14:paraId="0961C1B6" w14:textId="24FB7A0D" w:rsidR="00AC4E00" w:rsidRPr="000508B6" w:rsidRDefault="00AC4E00" w:rsidP="00B913DE">
      <w:pPr>
        <w:numPr>
          <w:ilvl w:val="2"/>
          <w:numId w:val="49"/>
        </w:numPr>
        <w:tabs>
          <w:tab w:val="left" w:pos="426"/>
          <w:tab w:val="left" w:pos="709"/>
        </w:tabs>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Registrul </w:t>
      </w:r>
      <w:r w:rsidR="00D71E16" w:rsidRPr="000508B6">
        <w:rPr>
          <w:rFonts w:ascii="Times New Roman" w:hAnsi="Times New Roman" w:cs="Times New Roman"/>
          <w:lang w:val="ro-MD"/>
        </w:rPr>
        <w:t xml:space="preserve">asigurătorilor </w:t>
      </w:r>
      <w:r w:rsidR="00C35E1B" w:rsidRPr="000508B6">
        <w:rPr>
          <w:rFonts w:ascii="Times New Roman" w:hAnsi="Times New Roman" w:cs="Times New Roman"/>
          <w:lang w:val="ro-MD"/>
        </w:rPr>
        <w:t xml:space="preserve">și </w:t>
      </w:r>
      <w:proofErr w:type="spellStart"/>
      <w:r w:rsidR="00D71E16"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w:t>
      </w:r>
    </w:p>
    <w:p w14:paraId="065123A2" w14:textId="0B207111" w:rsidR="00AC4E00" w:rsidRPr="000508B6" w:rsidRDefault="00AC4E00" w:rsidP="00B913DE">
      <w:pPr>
        <w:numPr>
          <w:ilvl w:val="2"/>
          <w:numId w:val="49"/>
        </w:numPr>
        <w:tabs>
          <w:tab w:val="left" w:pos="426"/>
          <w:tab w:val="left" w:pos="709"/>
          <w:tab w:val="left" w:pos="851"/>
        </w:tabs>
        <w:spacing w:after="0" w:line="240" w:lineRule="auto"/>
        <w:ind w:left="0" w:firstLine="426"/>
        <w:contextualSpacing/>
        <w:jc w:val="both"/>
        <w:rPr>
          <w:rFonts w:ascii="Times New Roman" w:hAnsi="Times New Roman" w:cs="Times New Roman"/>
          <w:lang w:val="ro-MD"/>
        </w:rPr>
      </w:pPr>
      <w:r w:rsidRPr="000508B6">
        <w:rPr>
          <w:rFonts w:ascii="Times New Roman" w:eastAsia="Calibri" w:hAnsi="Times New Roman" w:cs="Times New Roman"/>
          <w:lang w:val="ro-MD"/>
        </w:rPr>
        <w:t xml:space="preserve">modul în care sunt exercitate </w:t>
      </w:r>
      <w:proofErr w:type="spellStart"/>
      <w:r w:rsidRPr="000508B6">
        <w:rPr>
          <w:rFonts w:ascii="Times New Roman" w:eastAsia="Calibri" w:hAnsi="Times New Roman" w:cs="Times New Roman"/>
          <w:lang w:val="ro-MD"/>
        </w:rPr>
        <w:t>opţiunile</w:t>
      </w:r>
      <w:proofErr w:type="spellEnd"/>
      <w:r w:rsidRPr="000508B6">
        <w:rPr>
          <w:rFonts w:ascii="Times New Roman" w:eastAsia="Calibri" w:hAnsi="Times New Roman" w:cs="Times New Roman"/>
          <w:lang w:val="ro-MD"/>
        </w:rPr>
        <w:t xml:space="preserve"> prevăzute în </w:t>
      </w:r>
      <w:r w:rsidR="00631B2F" w:rsidRPr="000508B6">
        <w:rPr>
          <w:rFonts w:ascii="Times New Roman" w:eastAsia="Calibri" w:hAnsi="Times New Roman" w:cs="Times New Roman"/>
          <w:lang w:val="ro-MD"/>
        </w:rPr>
        <w:t>Directiva 2009/138/CE</w:t>
      </w:r>
      <w:r w:rsidRPr="000508B6">
        <w:rPr>
          <w:rFonts w:ascii="Times New Roman" w:eastAsia="Calibri" w:hAnsi="Times New Roman" w:cs="Times New Roman"/>
          <w:lang w:val="ro-MD"/>
        </w:rPr>
        <w:t>;</w:t>
      </w:r>
    </w:p>
    <w:p w14:paraId="71D0C063" w14:textId="77777777" w:rsidR="00AC4E00" w:rsidRPr="000508B6" w:rsidRDefault="00AC4E00" w:rsidP="00B913DE">
      <w:pPr>
        <w:numPr>
          <w:ilvl w:val="2"/>
          <w:numId w:val="49"/>
        </w:numPr>
        <w:tabs>
          <w:tab w:val="left" w:pos="426"/>
          <w:tab w:val="left" w:pos="709"/>
          <w:tab w:val="left" w:pos="851"/>
        </w:tabs>
        <w:spacing w:after="0" w:line="240" w:lineRule="auto"/>
        <w:ind w:left="0" w:firstLine="426"/>
        <w:contextualSpacing/>
        <w:jc w:val="both"/>
        <w:rPr>
          <w:rFonts w:ascii="Times New Roman" w:hAnsi="Times New Roman" w:cs="Times New Roman"/>
          <w:lang w:val="ro-MD"/>
        </w:rPr>
      </w:pPr>
      <w:r w:rsidRPr="000508B6">
        <w:rPr>
          <w:rFonts w:ascii="Times New Roman" w:hAnsi="Times New Roman" w:cs="Times New Roman"/>
          <w:lang w:val="ro-MD"/>
        </w:rPr>
        <w:t xml:space="preserve">obiectivele urmărite în procesul de supraveghere, principalele </w:t>
      </w:r>
      <w:proofErr w:type="spellStart"/>
      <w:r w:rsidRPr="000508B6">
        <w:rPr>
          <w:rFonts w:ascii="Times New Roman" w:hAnsi="Times New Roman" w:cs="Times New Roman"/>
          <w:lang w:val="ro-MD"/>
        </w:rPr>
        <w:t>funcţii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din cadrul acestuia. </w:t>
      </w:r>
    </w:p>
    <w:p w14:paraId="70717B31" w14:textId="7421E848" w:rsidR="00AC4E00" w:rsidRPr="000508B6" w:rsidRDefault="00AC4E00" w:rsidP="00B913DE">
      <w:pPr>
        <w:pStyle w:val="Listparagraf"/>
        <w:numPr>
          <w:ilvl w:val="0"/>
          <w:numId w:val="50"/>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adoptă și ia măsuri preventive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corective, de natură administrativă sau financiară, sau alte măsuri prevăzute de prevederile legale aplicate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A26E16" w:rsidRPr="000508B6">
        <w:rPr>
          <w:rFonts w:ascii="Times New Roman" w:hAnsi="Times New Roman" w:cs="Times New Roman"/>
          <w:lang w:val="ro-MD"/>
        </w:rPr>
        <w:t>,</w:t>
      </w:r>
      <w:r w:rsidRPr="000508B6">
        <w:rPr>
          <w:rFonts w:ascii="Times New Roman" w:hAnsi="Times New Roman" w:cs="Times New Roman"/>
          <w:lang w:val="ro-MD"/>
        </w:rPr>
        <w:t xml:space="preserve"> organelor de conducere </w:t>
      </w:r>
      <w:r w:rsidR="00A26E16" w:rsidRPr="000508B6">
        <w:rPr>
          <w:rFonts w:ascii="Times New Roman" w:hAnsi="Times New Roman" w:cs="Times New Roman"/>
          <w:lang w:val="ro-MD"/>
        </w:rPr>
        <w:t>și/sau persoanelor cu funcții critice</w:t>
      </w:r>
      <w:r w:rsidRPr="000508B6">
        <w:rPr>
          <w:rFonts w:ascii="Times New Roman" w:hAnsi="Times New Roman" w:cs="Times New Roman"/>
          <w:lang w:val="ro-MD"/>
        </w:rPr>
        <w:t xml:space="preserve"> ale acesteia în vederea asigurării respectării de către aceasta a prevederilor legale, atât din Republica Moldova,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din statele membre </w:t>
      </w:r>
      <w:r w:rsidR="00631B2F" w:rsidRPr="000508B6">
        <w:rPr>
          <w:rFonts w:ascii="Times New Roman" w:hAnsi="Times New Roman" w:cs="Times New Roman"/>
          <w:lang w:val="ro-MD"/>
        </w:rPr>
        <w:t xml:space="preserve">sau statele terțe </w:t>
      </w:r>
      <w:r w:rsidRPr="000508B6">
        <w:rPr>
          <w:rFonts w:ascii="Times New Roman" w:hAnsi="Times New Roman" w:cs="Times New Roman"/>
          <w:lang w:val="ro-MD"/>
        </w:rPr>
        <w:t>în care activează</w:t>
      </w:r>
      <w:r w:rsidR="003A31E5" w:rsidRPr="000508B6">
        <w:rPr>
          <w:rFonts w:ascii="Times New Roman" w:hAnsi="Times New Roman" w:cs="Times New Roman"/>
          <w:lang w:val="ro-MD"/>
        </w:rPr>
        <w:t>, inclusiv</w:t>
      </w:r>
      <w:r w:rsidR="00723F78" w:rsidRPr="000508B6">
        <w:rPr>
          <w:rFonts w:ascii="Times New Roman" w:hAnsi="Times New Roman" w:cs="Times New Roman"/>
          <w:lang w:val="ro-MD"/>
        </w:rPr>
        <w:t xml:space="preserve">: </w:t>
      </w:r>
    </w:p>
    <w:p w14:paraId="1BCB2CD7" w14:textId="5F5E25F8"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 a face recomandări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atenţionări</w:t>
      </w:r>
      <w:proofErr w:type="spellEnd"/>
      <w:r w:rsidRPr="000508B6">
        <w:rPr>
          <w:rFonts w:ascii="Times New Roman" w:eastAsia="Times New Roman" w:hAnsi="Times New Roman" w:cs="Times New Roman"/>
          <w:lang w:val="ro-MD"/>
        </w:rPr>
        <w:t>;</w:t>
      </w:r>
    </w:p>
    <w:p w14:paraId="5C83EDCD" w14:textId="3F77F967"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 a emite </w:t>
      </w:r>
      <w:proofErr w:type="spellStart"/>
      <w:r w:rsidRPr="000508B6">
        <w:rPr>
          <w:rFonts w:ascii="Times New Roman" w:eastAsia="Times New Roman" w:hAnsi="Times New Roman" w:cs="Times New Roman"/>
          <w:lang w:val="ro-MD"/>
        </w:rPr>
        <w:t>prescripţii</w:t>
      </w:r>
      <w:proofErr w:type="spellEnd"/>
      <w:r w:rsidRPr="000508B6">
        <w:rPr>
          <w:rFonts w:ascii="Times New Roman" w:eastAsia="Times New Roman" w:hAnsi="Times New Roman" w:cs="Times New Roman"/>
          <w:lang w:val="ro-MD"/>
        </w:rPr>
        <w:t xml:space="preserve"> privind înlăturarea încălcărilor;</w:t>
      </w:r>
    </w:p>
    <w:p w14:paraId="4C46BD12" w14:textId="7E9F5D19"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de a lua măsuri suplimentare de implementare a managementului riscurilor;</w:t>
      </w:r>
    </w:p>
    <w:p w14:paraId="5DAB26C6" w14:textId="40D61032"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 a prescrie majorarea </w:t>
      </w:r>
      <w:r w:rsidR="002E63FE" w:rsidRPr="000508B6">
        <w:rPr>
          <w:rFonts w:ascii="Times New Roman" w:eastAsia="Times New Roman" w:hAnsi="Times New Roman" w:cs="Times New Roman"/>
          <w:lang w:val="ro-MD"/>
        </w:rPr>
        <w:t>SCR</w:t>
      </w:r>
      <w:r w:rsidRPr="000508B6">
        <w:rPr>
          <w:rFonts w:ascii="Times New Roman" w:eastAsia="Times New Roman" w:hAnsi="Times New Roman" w:cs="Times New Roman"/>
          <w:lang w:val="ro-MD"/>
        </w:rPr>
        <w:t xml:space="preserve"> în vederea asigurării </w:t>
      </w:r>
      <w:proofErr w:type="spellStart"/>
      <w:r w:rsidRPr="000508B6">
        <w:rPr>
          <w:rFonts w:ascii="Times New Roman" w:eastAsia="Times New Roman" w:hAnsi="Times New Roman" w:cs="Times New Roman"/>
          <w:lang w:val="ro-MD"/>
        </w:rPr>
        <w:t>stabilităţii</w:t>
      </w:r>
      <w:proofErr w:type="spellEnd"/>
      <w:r w:rsidRPr="000508B6">
        <w:rPr>
          <w:rFonts w:ascii="Times New Roman" w:eastAsia="Times New Roman" w:hAnsi="Times New Roman" w:cs="Times New Roman"/>
          <w:lang w:val="ro-MD"/>
        </w:rPr>
        <w:t xml:space="preserve"> financiare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sucursalelor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din statele </w:t>
      </w:r>
      <w:proofErr w:type="spellStart"/>
      <w:r w:rsidRPr="000508B6">
        <w:rPr>
          <w:rFonts w:ascii="Times New Roman" w:eastAsia="Times New Roman" w:hAnsi="Times New Roman" w:cs="Times New Roman"/>
          <w:lang w:val="ro-MD"/>
        </w:rPr>
        <w:t>terţe</w:t>
      </w:r>
      <w:proofErr w:type="spellEnd"/>
      <w:r w:rsidRPr="000508B6">
        <w:rPr>
          <w:rFonts w:ascii="Times New Roman" w:eastAsia="Times New Roman" w:hAnsi="Times New Roman" w:cs="Times New Roman"/>
          <w:lang w:val="ro-MD"/>
        </w:rPr>
        <w:t>;</w:t>
      </w:r>
    </w:p>
    <w:p w14:paraId="09DABD77" w14:textId="4126186B"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de a institui </w:t>
      </w:r>
      <w:r w:rsidR="002E63FE" w:rsidRPr="000508B6">
        <w:rPr>
          <w:rFonts w:ascii="Times New Roman" w:eastAsia="Times New Roman" w:hAnsi="Times New Roman" w:cs="Times New Roman"/>
          <w:lang w:val="ro-MD"/>
        </w:rPr>
        <w:t>măsuri de reorganizare</w:t>
      </w:r>
      <w:r w:rsidRPr="000508B6">
        <w:rPr>
          <w:rFonts w:ascii="Times New Roman" w:eastAsia="Times New Roman" w:hAnsi="Times New Roman" w:cs="Times New Roman"/>
          <w:lang w:val="ro-MD"/>
        </w:rPr>
        <w:t>;</w:t>
      </w:r>
    </w:p>
    <w:p w14:paraId="483198D6" w14:textId="0DF0CFA9" w:rsidR="001918A3" w:rsidRPr="000508B6" w:rsidRDefault="00167911"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001918A3" w:rsidRPr="000508B6">
        <w:rPr>
          <w:rFonts w:ascii="Times New Roman" w:eastAsia="Times New Roman" w:hAnsi="Times New Roman" w:cs="Times New Roman"/>
          <w:lang w:val="ro-MD"/>
        </w:rPr>
        <w:t>e a aplica măsuri de redresare;</w:t>
      </w:r>
    </w:p>
    <w:p w14:paraId="27A33EE5" w14:textId="5C6081A8"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de a aplica măsuri de </w:t>
      </w:r>
      <w:proofErr w:type="spellStart"/>
      <w:r w:rsidRPr="000508B6">
        <w:rPr>
          <w:rFonts w:ascii="Times New Roman" w:eastAsia="Times New Roman" w:hAnsi="Times New Roman" w:cs="Times New Roman"/>
          <w:lang w:val="ro-MD"/>
        </w:rPr>
        <w:t>rezoluţie</w:t>
      </w:r>
      <w:proofErr w:type="spellEnd"/>
      <w:r w:rsidRPr="000508B6">
        <w:rPr>
          <w:rFonts w:ascii="Times New Roman" w:eastAsia="Times New Roman" w:hAnsi="Times New Roman" w:cs="Times New Roman"/>
          <w:lang w:val="ro-MD"/>
        </w:rPr>
        <w:t>;</w:t>
      </w:r>
    </w:p>
    <w:p w14:paraId="3CB0A7AA" w14:textId="642DA739"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de a aplica </w:t>
      </w:r>
      <w:proofErr w:type="spellStart"/>
      <w:r w:rsidRPr="000508B6">
        <w:rPr>
          <w:rFonts w:ascii="Times New Roman" w:eastAsia="Times New Roman" w:hAnsi="Times New Roman" w:cs="Times New Roman"/>
          <w:lang w:val="ro-MD"/>
        </w:rPr>
        <w:t>sancţiuni</w:t>
      </w:r>
      <w:proofErr w:type="spellEnd"/>
      <w:r w:rsidRPr="000508B6">
        <w:rPr>
          <w:rFonts w:ascii="Times New Roman" w:eastAsia="Times New Roman" w:hAnsi="Times New Roman" w:cs="Times New Roman"/>
          <w:lang w:val="ro-MD"/>
        </w:rPr>
        <w:t>;</w:t>
      </w:r>
    </w:p>
    <w:p w14:paraId="601D01BE" w14:textId="5470D3F4"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de a retrage </w:t>
      </w:r>
      <w:proofErr w:type="spellStart"/>
      <w:r w:rsidRPr="000508B6">
        <w:rPr>
          <w:rFonts w:ascii="Times New Roman" w:eastAsia="Times New Roman" w:hAnsi="Times New Roman" w:cs="Times New Roman"/>
          <w:lang w:val="ro-MD"/>
        </w:rPr>
        <w:t>licenţa</w:t>
      </w:r>
      <w:proofErr w:type="spellEnd"/>
      <w:r w:rsidRPr="000508B6">
        <w:rPr>
          <w:rFonts w:ascii="Times New Roman" w:eastAsia="Times New Roman" w:hAnsi="Times New Roman" w:cs="Times New Roman"/>
          <w:lang w:val="ro-MD"/>
        </w:rPr>
        <w:t>;</w:t>
      </w:r>
    </w:p>
    <w:p w14:paraId="53D8BFD2" w14:textId="3941E011"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 a </w:t>
      </w:r>
      <w:proofErr w:type="spellStart"/>
      <w:r w:rsidRPr="000508B6">
        <w:rPr>
          <w:rFonts w:ascii="Times New Roman" w:eastAsia="Times New Roman" w:hAnsi="Times New Roman" w:cs="Times New Roman"/>
          <w:lang w:val="ro-MD"/>
        </w:rPr>
        <w:t>iniţia</w:t>
      </w:r>
      <w:proofErr w:type="spellEnd"/>
      <w:r w:rsidRPr="000508B6">
        <w:rPr>
          <w:rFonts w:ascii="Times New Roman" w:eastAsia="Times New Roman" w:hAnsi="Times New Roman" w:cs="Times New Roman"/>
          <w:lang w:val="ro-MD"/>
        </w:rPr>
        <w:t xml:space="preserve"> proceduri de lichidare silită;</w:t>
      </w:r>
    </w:p>
    <w:p w14:paraId="3D43C769" w14:textId="09384A5E"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de a </w:t>
      </w:r>
      <w:proofErr w:type="spellStart"/>
      <w:r w:rsidRPr="000508B6">
        <w:rPr>
          <w:rFonts w:ascii="Times New Roman" w:eastAsia="Times New Roman" w:hAnsi="Times New Roman" w:cs="Times New Roman"/>
          <w:lang w:val="ro-MD"/>
        </w:rPr>
        <w:t>iniţia</w:t>
      </w:r>
      <w:proofErr w:type="spellEnd"/>
      <w:r w:rsidRPr="000508B6">
        <w:rPr>
          <w:rFonts w:ascii="Times New Roman" w:eastAsia="Times New Roman" w:hAnsi="Times New Roman" w:cs="Times New Roman"/>
          <w:lang w:val="ro-MD"/>
        </w:rPr>
        <w:t xml:space="preserve"> proceduri de insolvabilitate;</w:t>
      </w:r>
    </w:p>
    <w:p w14:paraId="08A62840" w14:textId="696A3A41" w:rsidR="003A31E5" w:rsidRPr="000508B6" w:rsidRDefault="003A31E5" w:rsidP="00CF5AFA">
      <w:pPr>
        <w:pStyle w:val="Listparagraf"/>
        <w:numPr>
          <w:ilvl w:val="2"/>
          <w:numId w:val="190"/>
        </w:numPr>
        <w:tabs>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de a lua alte măsuri prevăzute de prezenta lege.</w:t>
      </w:r>
    </w:p>
    <w:p w14:paraId="5AA1743C" w14:textId="5954F52C" w:rsidR="00AC4E00" w:rsidRPr="000508B6" w:rsidRDefault="00AC4E00" w:rsidP="00CF5AFA">
      <w:pPr>
        <w:pStyle w:val="Listparagraf"/>
        <w:numPr>
          <w:ilvl w:val="0"/>
          <w:numId w:val="50"/>
        </w:numPr>
        <w:tabs>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Supravegherea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a sucursalelor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din statele membre și statele terțe  se realizează prin următoarele metode:</w:t>
      </w:r>
    </w:p>
    <w:p w14:paraId="7EF50B84" w14:textId="77777777" w:rsidR="00AC4E00" w:rsidRPr="000508B6" w:rsidRDefault="00AC4E00" w:rsidP="00CF5AFA">
      <w:pPr>
        <w:pStyle w:val="Listparagraf"/>
        <w:numPr>
          <w:ilvl w:val="2"/>
          <w:numId w:val="51"/>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monitorizarea, colectarea, verificarea, analiza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evaluarea rapoartelor,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notificărilor prezentate în temeiul prezentei legi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 actelor normative ale Băncii Naționale a Moldovei;</w:t>
      </w:r>
    </w:p>
    <w:p w14:paraId="19C7D279" w14:textId="77777777" w:rsidR="00AC4E00" w:rsidRPr="000508B6" w:rsidRDefault="00AC4E00" w:rsidP="00CF5AFA">
      <w:pPr>
        <w:pStyle w:val="Listparagraf"/>
        <w:numPr>
          <w:ilvl w:val="2"/>
          <w:numId w:val="51"/>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verificarea </w:t>
      </w:r>
      <w:proofErr w:type="spellStart"/>
      <w:r w:rsidRPr="000508B6">
        <w:rPr>
          <w:rFonts w:ascii="Times New Roman" w:eastAsia="Times New Roman" w:hAnsi="Times New Roman" w:cs="Times New Roman"/>
          <w:lang w:val="ro-MD"/>
        </w:rPr>
        <w:t>operaţiunilor</w:t>
      </w:r>
      <w:proofErr w:type="spellEnd"/>
      <w:r w:rsidRPr="000508B6">
        <w:rPr>
          <w:rFonts w:ascii="Times New Roman" w:eastAsia="Times New Roman" w:hAnsi="Times New Roman" w:cs="Times New Roman"/>
          <w:lang w:val="ro-MD"/>
        </w:rPr>
        <w:t xml:space="preserve"> realizate în activitatea de asigurare sau de reasigurare;</w:t>
      </w:r>
    </w:p>
    <w:p w14:paraId="21E227D4" w14:textId="2B4E71A0" w:rsidR="00AC4E00" w:rsidRPr="000508B6" w:rsidRDefault="00AC4E00" w:rsidP="00CF5AFA">
      <w:pPr>
        <w:pStyle w:val="Listparagraf"/>
        <w:numPr>
          <w:ilvl w:val="2"/>
          <w:numId w:val="51"/>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efectuarea controalelor la unitățile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subdiviziunile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w:t>
      </w:r>
    </w:p>
    <w:p w14:paraId="7C1EA882" w14:textId="77777777" w:rsidR="00AC4E00" w:rsidRPr="000508B6" w:rsidRDefault="00AC4E00" w:rsidP="00CF5AFA">
      <w:pPr>
        <w:pStyle w:val="Listparagraf"/>
        <w:numPr>
          <w:ilvl w:val="2"/>
          <w:numId w:val="51"/>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impunerea măsurilor de supraveghere.</w:t>
      </w:r>
    </w:p>
    <w:p w14:paraId="3F3381C8" w14:textId="3CDFE35B" w:rsidR="00AC4E00" w:rsidRPr="000508B6" w:rsidRDefault="00AC4E00" w:rsidP="00CF5AFA">
      <w:pPr>
        <w:pStyle w:val="Listparagraf"/>
        <w:numPr>
          <w:ilvl w:val="0"/>
          <w:numId w:val="5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are </w:t>
      </w:r>
      <w:r w:rsidR="0038161C" w:rsidRPr="000508B6">
        <w:rPr>
          <w:rFonts w:ascii="Times New Roman" w:hAnsi="Times New Roman" w:cs="Times New Roman"/>
          <w:lang w:val="ro-MD"/>
        </w:rPr>
        <w:t xml:space="preserve">competența de a impune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r w:rsidR="004B2482" w:rsidRPr="000508B6">
        <w:rPr>
          <w:rFonts w:ascii="Times New Roman" w:hAnsi="Times New Roman" w:cs="Times New Roman"/>
          <w:lang w:val="ro-MD"/>
        </w:rPr>
        <w:t xml:space="preserve"> prezentarea </w:t>
      </w:r>
      <w:r w:rsidR="005A5D0F" w:rsidRPr="000508B6">
        <w:rPr>
          <w:rFonts w:ascii="Times New Roman" w:hAnsi="Times New Roman" w:cs="Times New Roman"/>
          <w:lang w:val="ro-MD"/>
        </w:rPr>
        <w:t>tuturor</w:t>
      </w:r>
      <w:r w:rsidRPr="000508B6">
        <w:rPr>
          <w:rFonts w:ascii="Times New Roman" w:hAnsi="Times New Roman" w:cs="Times New Roman"/>
          <w:lang w:val="ro-MD"/>
        </w:rPr>
        <w:t xml:space="preserve"> documentel</w:t>
      </w:r>
      <w:r w:rsidR="005A5D0F" w:rsidRPr="000508B6">
        <w:rPr>
          <w:rFonts w:ascii="Times New Roman" w:hAnsi="Times New Roman" w:cs="Times New Roman"/>
          <w:lang w:val="ro-MD"/>
        </w:rPr>
        <w:t>or</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informaţiil</w:t>
      </w:r>
      <w:r w:rsidR="005A5D0F" w:rsidRPr="000508B6">
        <w:rPr>
          <w:rFonts w:ascii="Times New Roman" w:hAnsi="Times New Roman" w:cs="Times New Roman"/>
          <w:lang w:val="ro-MD"/>
        </w:rPr>
        <w:t>or</w:t>
      </w:r>
      <w:proofErr w:type="spellEnd"/>
      <w:r w:rsidRPr="000508B6">
        <w:rPr>
          <w:rFonts w:ascii="Times New Roman" w:hAnsi="Times New Roman" w:cs="Times New Roman"/>
          <w:lang w:val="ro-MD"/>
        </w:rPr>
        <w:t xml:space="preserve"> necesare derulării procesului de supraveghere, inclusiv procesele-verbale ale </w:t>
      </w:r>
      <w:proofErr w:type="spellStart"/>
      <w:r w:rsidRPr="000508B6">
        <w:rPr>
          <w:rFonts w:ascii="Times New Roman" w:hAnsi="Times New Roman" w:cs="Times New Roman"/>
          <w:lang w:val="ro-MD"/>
        </w:rPr>
        <w:t>şedinţelor</w:t>
      </w:r>
      <w:proofErr w:type="spellEnd"/>
      <w:r w:rsidRPr="000508B6">
        <w:rPr>
          <w:rFonts w:ascii="Times New Roman" w:hAnsi="Times New Roman" w:cs="Times New Roman"/>
          <w:lang w:val="ro-MD"/>
        </w:rPr>
        <w:t xml:space="preserve"> organelor de conducere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ale comitetelor instituite,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a efectua </w:t>
      </w:r>
      <w:r w:rsidR="00723F78" w:rsidRPr="000508B6">
        <w:rPr>
          <w:rFonts w:ascii="Times New Roman" w:hAnsi="Times New Roman" w:cs="Times New Roman"/>
          <w:lang w:val="ro-MD"/>
        </w:rPr>
        <w:t xml:space="preserve">inspecțiile pe teren </w:t>
      </w:r>
      <w:r w:rsidRPr="000508B6">
        <w:rPr>
          <w:rFonts w:ascii="Times New Roman" w:hAnsi="Times New Roman" w:cs="Times New Roman"/>
          <w:lang w:val="ro-MD"/>
        </w:rPr>
        <w:t xml:space="preserve">la </w:t>
      </w:r>
      <w:r w:rsidR="001F3515" w:rsidRPr="000508B6">
        <w:rPr>
          <w:rFonts w:ascii="Times New Roman" w:hAnsi="Times New Roman" w:cs="Times New Roman"/>
          <w:lang w:val="ro-MD"/>
        </w:rPr>
        <w:t xml:space="preserve">sediile </w:t>
      </w:r>
      <w:r w:rsidR="00723F78" w:rsidRPr="000508B6">
        <w:rPr>
          <w:rFonts w:ascii="Times New Roman" w:hAnsi="Times New Roman" w:cs="Times New Roman"/>
          <w:lang w:val="ro-MD"/>
        </w:rPr>
        <w:t>acestuia</w:t>
      </w:r>
      <w:r w:rsidRPr="000508B6">
        <w:rPr>
          <w:rFonts w:ascii="Times New Roman" w:hAnsi="Times New Roman" w:cs="Times New Roman"/>
          <w:lang w:val="ro-MD"/>
        </w:rPr>
        <w:t xml:space="preserve">. </w:t>
      </w:r>
      <w:r w:rsidR="0076119C" w:rsidRPr="000508B6">
        <w:rPr>
          <w:rFonts w:ascii="Times New Roman" w:hAnsi="Times New Roman" w:cs="Times New Roman"/>
          <w:lang w:val="ro-MD"/>
        </w:rPr>
        <w:t>Competențele de supraveghere se aplică la momentul oportun și în mod proporțional</w:t>
      </w:r>
      <w:r w:rsidRPr="000508B6">
        <w:rPr>
          <w:rFonts w:ascii="Times New Roman" w:hAnsi="Times New Roman" w:cs="Times New Roman"/>
          <w:lang w:val="ro-MD"/>
        </w:rPr>
        <w:t xml:space="preserve">. </w:t>
      </w:r>
    </w:p>
    <w:p w14:paraId="3606A78E" w14:textId="65A9C462" w:rsidR="00AC4E00" w:rsidRPr="000508B6" w:rsidRDefault="00AC4E00" w:rsidP="00CF5AFA">
      <w:pPr>
        <w:pStyle w:val="Listparagraf"/>
        <w:numPr>
          <w:ilvl w:val="0"/>
          <w:numId w:val="50"/>
        </w:numPr>
        <w:tabs>
          <w:tab w:val="left" w:pos="709"/>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B829E9" w:rsidRPr="000508B6">
        <w:rPr>
          <w:rFonts w:ascii="Times New Roman" w:hAnsi="Times New Roman" w:cs="Times New Roman"/>
          <w:lang w:val="ro-MD"/>
        </w:rPr>
        <w:t xml:space="preserve">Banca Națională a Moldovei are competența de a crea, pe lângă calcularea SCR și dacă acest lucru este oportun, instrumentele cantitative necesare în cadrul procesului de supraveghere, pentru a evalua capacitatea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B829E9" w:rsidRPr="000508B6">
        <w:rPr>
          <w:rFonts w:ascii="Times New Roman" w:hAnsi="Times New Roman" w:cs="Times New Roman"/>
          <w:lang w:val="ro-MD"/>
        </w:rPr>
        <w:t xml:space="preserve"> de a face față unor evenimente posibile sau unor schimbări viitoare ale condițiilor economice care ar putea avea efecte nefavorabile asupra situației lor financiare globale. Banca Națională a Moldovei are competența de a impune efectuarea de către </w:t>
      </w:r>
      <w:r w:rsidR="009E7B62" w:rsidRPr="000508B6">
        <w:rPr>
          <w:rFonts w:ascii="Times New Roman" w:hAnsi="Times New Roman" w:cs="Times New Roman"/>
          <w:lang w:val="ro-MD"/>
        </w:rPr>
        <w:t xml:space="preserve">asigurător sau </w:t>
      </w:r>
      <w:proofErr w:type="spellStart"/>
      <w:r w:rsidR="009E7B62" w:rsidRPr="000508B6">
        <w:rPr>
          <w:rFonts w:ascii="Times New Roman" w:hAnsi="Times New Roman" w:cs="Times New Roman"/>
          <w:lang w:val="ro-MD"/>
        </w:rPr>
        <w:t>reasigurător</w:t>
      </w:r>
      <w:proofErr w:type="spellEnd"/>
      <w:r w:rsidR="009E7B62" w:rsidRPr="000508B6">
        <w:rPr>
          <w:rFonts w:ascii="Times New Roman" w:hAnsi="Times New Roman" w:cs="Times New Roman"/>
          <w:lang w:val="ro-MD"/>
        </w:rPr>
        <w:t xml:space="preserve"> </w:t>
      </w:r>
      <w:r w:rsidR="00B829E9" w:rsidRPr="000508B6">
        <w:rPr>
          <w:rFonts w:ascii="Times New Roman" w:hAnsi="Times New Roman" w:cs="Times New Roman"/>
          <w:lang w:val="ro-MD"/>
        </w:rPr>
        <w:t>a testelor necesare</w:t>
      </w:r>
      <w:r w:rsidR="00DC57CD" w:rsidRPr="000508B6">
        <w:rPr>
          <w:rFonts w:ascii="Times New Roman" w:hAnsi="Times New Roman" w:cs="Times New Roman"/>
          <w:lang w:val="ro-MD"/>
        </w:rPr>
        <w:t xml:space="preserve"> realizării acestui scop</w:t>
      </w:r>
      <w:r w:rsidR="00B829E9" w:rsidRPr="000508B6">
        <w:rPr>
          <w:rFonts w:ascii="Times New Roman" w:hAnsi="Times New Roman" w:cs="Times New Roman"/>
          <w:lang w:val="ro-MD"/>
        </w:rPr>
        <w:t>.</w:t>
      </w:r>
      <w:r w:rsidRPr="000508B6">
        <w:rPr>
          <w:rFonts w:ascii="Times New Roman" w:hAnsi="Times New Roman" w:cs="Times New Roman"/>
          <w:lang w:val="ro-MD"/>
        </w:rPr>
        <w:t xml:space="preserve"> </w:t>
      </w:r>
    </w:p>
    <w:p w14:paraId="3856BA85" w14:textId="0D934424" w:rsidR="00AC4E00" w:rsidRPr="000508B6" w:rsidRDefault="00AC4E00" w:rsidP="00CF5AFA">
      <w:pPr>
        <w:pStyle w:val="Listparagraf"/>
        <w:numPr>
          <w:ilvl w:val="0"/>
          <w:numId w:val="50"/>
        </w:numPr>
        <w:tabs>
          <w:tab w:val="left" w:pos="709"/>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exercită </w:t>
      </w:r>
      <w:proofErr w:type="spellStart"/>
      <w:r w:rsidRPr="000508B6">
        <w:rPr>
          <w:rFonts w:ascii="Times New Roman" w:hAnsi="Times New Roman" w:cs="Times New Roman"/>
          <w:lang w:val="ro-MD"/>
        </w:rPr>
        <w:t>competenţele</w:t>
      </w:r>
      <w:proofErr w:type="spellEnd"/>
      <w:r w:rsidRPr="000508B6">
        <w:rPr>
          <w:rFonts w:ascii="Times New Roman" w:hAnsi="Times New Roman" w:cs="Times New Roman"/>
          <w:lang w:val="ro-MD"/>
        </w:rPr>
        <w:t xml:space="preserve"> prevăzute la alin. (</w:t>
      </w:r>
      <w:r w:rsidR="00263A74" w:rsidRPr="000508B6">
        <w:rPr>
          <w:rFonts w:ascii="Times New Roman" w:hAnsi="Times New Roman" w:cs="Times New Roman"/>
          <w:lang w:val="ro-MD"/>
        </w:rPr>
        <w:t>4</w:t>
      </w:r>
      <w:r w:rsidRPr="000508B6">
        <w:rPr>
          <w:rFonts w:ascii="Times New Roman" w:hAnsi="Times New Roman" w:cs="Times New Roman"/>
          <w:lang w:val="ro-MD"/>
        </w:rPr>
        <w:t xml:space="preserve">) </w:t>
      </w:r>
      <w:r w:rsidR="00DB4949" w:rsidRPr="000508B6">
        <w:rPr>
          <w:rFonts w:ascii="Times New Roman" w:hAnsi="Times New Roman" w:cs="Times New Roman"/>
          <w:lang w:val="ro-MD"/>
        </w:rPr>
        <w:t>–</w:t>
      </w:r>
      <w:r w:rsidRPr="000508B6">
        <w:rPr>
          <w:rFonts w:ascii="Times New Roman" w:hAnsi="Times New Roman" w:cs="Times New Roman"/>
          <w:lang w:val="ro-MD"/>
        </w:rPr>
        <w:t xml:space="preserve"> (6)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cazul </w:t>
      </w:r>
      <w:proofErr w:type="spellStart"/>
      <w:r w:rsidRPr="000508B6">
        <w:rPr>
          <w:rFonts w:ascii="Times New Roman" w:hAnsi="Times New Roman" w:cs="Times New Roman"/>
          <w:lang w:val="ro-MD"/>
        </w:rPr>
        <w:t>activităţilor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externalizate</w:t>
      </w:r>
      <w:proofErr w:type="spellEnd"/>
      <w:r w:rsidRPr="000508B6">
        <w:rPr>
          <w:rFonts w:ascii="Times New Roman" w:hAnsi="Times New Roman" w:cs="Times New Roman"/>
          <w:lang w:val="ro-MD"/>
        </w:rPr>
        <w:t xml:space="preserve"> de către </w:t>
      </w:r>
      <w:r w:rsidR="00A14A65" w:rsidRPr="000508B6">
        <w:rPr>
          <w:rFonts w:ascii="Times New Roman" w:hAnsi="Times New Roman" w:cs="Times New Roman"/>
          <w:lang w:val="ro-MD"/>
        </w:rPr>
        <w:t xml:space="preserve">asigurător sau </w:t>
      </w:r>
      <w:proofErr w:type="spellStart"/>
      <w:r w:rsidR="00A14A65"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p>
    <w:p w14:paraId="7B3C6487" w14:textId="353356BC" w:rsidR="00B6388E" w:rsidRPr="000508B6" w:rsidRDefault="00B6388E" w:rsidP="00031915">
      <w:pPr>
        <w:pStyle w:val="Listparagraf"/>
        <w:numPr>
          <w:ilvl w:val="0"/>
          <w:numId w:val="50"/>
        </w:numPr>
        <w:tabs>
          <w:tab w:val="left" w:pos="709"/>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are dreptul să solicite prezentarea rapoartelor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de la</w:t>
      </w:r>
      <w:r w:rsidR="00856340" w:rsidRPr="000508B6">
        <w:rPr>
          <w:rFonts w:ascii="Times New Roman" w:hAnsi="Times New Roman" w:cs="Times New Roman"/>
          <w:lang w:val="ro-MD"/>
        </w:rPr>
        <w:t>:</w:t>
      </w:r>
      <w:r w:rsidRPr="000508B6">
        <w:rPr>
          <w:rFonts w:ascii="Times New Roman" w:hAnsi="Times New Roman" w:cs="Times New Roman"/>
          <w:lang w:val="ro-MD"/>
        </w:rPr>
        <w:t xml:space="preserve"> </w:t>
      </w:r>
    </w:p>
    <w:p w14:paraId="56E99563" w14:textId="2E68171D" w:rsidR="00B6388E" w:rsidRPr="000508B6" w:rsidRDefault="00B6388E" w:rsidP="00031915">
      <w:pPr>
        <w:pStyle w:val="Listparagraf"/>
        <w:tabs>
          <w:tab w:val="left" w:pos="709"/>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 persoanele sau </w:t>
      </w:r>
      <w:proofErr w:type="spellStart"/>
      <w:r w:rsidRPr="000508B6">
        <w:rPr>
          <w:rFonts w:ascii="Times New Roman" w:hAnsi="Times New Roman" w:cs="Times New Roman"/>
          <w:lang w:val="ro-MD"/>
        </w:rPr>
        <w:t>entităţile</w:t>
      </w:r>
      <w:proofErr w:type="spellEnd"/>
      <w:r w:rsidRPr="000508B6">
        <w:rPr>
          <w:rFonts w:ascii="Times New Roman" w:hAnsi="Times New Roman" w:cs="Times New Roman"/>
          <w:lang w:val="ro-MD"/>
        </w:rPr>
        <w:t xml:space="preserve"> care au legături strânse cu 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sucursala asigurătorului sau </w:t>
      </w:r>
      <w:proofErr w:type="spellStart"/>
      <w:r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w:t>
      </w:r>
    </w:p>
    <w:p w14:paraId="5A14EB07" w14:textId="5F6ACEBB" w:rsidR="00B6388E" w:rsidRPr="000508B6" w:rsidRDefault="00B6388E" w:rsidP="00031915">
      <w:pPr>
        <w:pStyle w:val="Listparagraf"/>
        <w:tabs>
          <w:tab w:val="left" w:pos="709"/>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 </w:t>
      </w:r>
      <w:proofErr w:type="spellStart"/>
      <w:r w:rsidRPr="000508B6">
        <w:rPr>
          <w:rFonts w:ascii="Times New Roman" w:hAnsi="Times New Roman" w:cs="Times New Roman"/>
          <w:lang w:val="ro-MD"/>
        </w:rPr>
        <w:t>entităţile</w:t>
      </w:r>
      <w:proofErr w:type="spellEnd"/>
      <w:r w:rsidRPr="000508B6">
        <w:rPr>
          <w:rFonts w:ascii="Times New Roman" w:hAnsi="Times New Roman" w:cs="Times New Roman"/>
          <w:lang w:val="ro-MD"/>
        </w:rPr>
        <w:t xml:space="preserve"> cărora le-au fost </w:t>
      </w:r>
      <w:proofErr w:type="spellStart"/>
      <w:r w:rsidRPr="000508B6">
        <w:rPr>
          <w:rFonts w:ascii="Times New Roman" w:hAnsi="Times New Roman" w:cs="Times New Roman"/>
          <w:lang w:val="ro-MD"/>
        </w:rPr>
        <w:t>externalizate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funcţii</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aferente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de asigurare sau de reasigurare;</w:t>
      </w:r>
    </w:p>
    <w:p w14:paraId="6F89533E" w14:textId="7541D026" w:rsidR="00B6388E" w:rsidRPr="000508B6" w:rsidRDefault="00B6388E" w:rsidP="00031915">
      <w:pPr>
        <w:tabs>
          <w:tab w:val="left" w:pos="709"/>
          <w:tab w:val="left" w:pos="1134"/>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c) 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căruia </w:t>
      </w:r>
      <w:bookmarkStart w:id="159" w:name="_Hlk218179780"/>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bookmarkEnd w:id="159"/>
      <w:proofErr w:type="spellEnd"/>
      <w:r w:rsidRPr="000508B6">
        <w:rPr>
          <w:rFonts w:ascii="Times New Roman" w:hAnsi="Times New Roman" w:cs="Times New Roman"/>
          <w:lang w:val="ro-MD"/>
        </w:rPr>
        <w:t xml:space="preserve">, sucursala asigurătorului sau </w:t>
      </w:r>
      <w:proofErr w:type="spellStart"/>
      <w:r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i-a cedat </w:t>
      </w:r>
      <w:proofErr w:type="spellStart"/>
      <w:r w:rsidRPr="000508B6">
        <w:rPr>
          <w:rFonts w:ascii="Times New Roman" w:hAnsi="Times New Roman" w:cs="Times New Roman"/>
          <w:lang w:val="ro-MD"/>
        </w:rPr>
        <w:t>parţial</w:t>
      </w:r>
      <w:proofErr w:type="spellEnd"/>
      <w:r w:rsidRPr="000508B6">
        <w:rPr>
          <w:rFonts w:ascii="Times New Roman" w:hAnsi="Times New Roman" w:cs="Times New Roman"/>
          <w:lang w:val="ro-MD"/>
        </w:rPr>
        <w:t xml:space="preserve"> sau integral riscuri subscrise;</w:t>
      </w:r>
    </w:p>
    <w:p w14:paraId="126EBF68" w14:textId="6428399B" w:rsidR="00B6388E" w:rsidRPr="000508B6" w:rsidRDefault="00B6388E" w:rsidP="00031915">
      <w:pPr>
        <w:pStyle w:val="Listparagraf"/>
        <w:tabs>
          <w:tab w:val="left" w:pos="709"/>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 </w:t>
      </w:r>
      <w:proofErr w:type="spellStart"/>
      <w:r w:rsidRPr="000508B6">
        <w:rPr>
          <w:rFonts w:ascii="Times New Roman" w:hAnsi="Times New Roman" w:cs="Times New Roman"/>
          <w:lang w:val="ro-MD"/>
        </w:rPr>
        <w:t>deţinătorii</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participaţii</w:t>
      </w:r>
      <w:proofErr w:type="spellEnd"/>
      <w:r w:rsidRPr="000508B6">
        <w:rPr>
          <w:rFonts w:ascii="Times New Roman" w:hAnsi="Times New Roman" w:cs="Times New Roman"/>
          <w:lang w:val="ro-MD"/>
        </w:rPr>
        <w:t xml:space="preserve"> calificate în asigurător sau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asigurător sau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care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o sucursală pe teritoriul Republicii Moldova.</w:t>
      </w:r>
    </w:p>
    <w:p w14:paraId="1E691764" w14:textId="3AD43D94" w:rsidR="00B6388E" w:rsidRPr="000508B6" w:rsidRDefault="00416924"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bookmarkStart w:id="160" w:name="_Hlk203632435"/>
      <w:r w:rsidRPr="000508B6">
        <w:rPr>
          <w:rFonts w:ascii="Times New Roman" w:hAnsi="Times New Roman" w:cs="Times New Roman"/>
          <w:lang w:val="ro-MD"/>
        </w:rPr>
        <w:t xml:space="preserve">În vederea exercitării </w:t>
      </w:r>
      <w:proofErr w:type="spellStart"/>
      <w:r w:rsidRPr="000508B6">
        <w:rPr>
          <w:rFonts w:ascii="Times New Roman" w:hAnsi="Times New Roman" w:cs="Times New Roman"/>
          <w:lang w:val="ro-MD"/>
        </w:rPr>
        <w:t>funcţiilor</w:t>
      </w:r>
      <w:proofErr w:type="spellEnd"/>
      <w:r w:rsidRPr="000508B6">
        <w:rPr>
          <w:rFonts w:ascii="Times New Roman" w:hAnsi="Times New Roman" w:cs="Times New Roman"/>
          <w:lang w:val="ro-MD"/>
        </w:rPr>
        <w:t xml:space="preserve"> de control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asigurării unei supravegheri eficiente, inclusiv la nivel de grup, </w:t>
      </w:r>
      <w:r w:rsidR="00946E85" w:rsidRPr="000508B6">
        <w:rPr>
          <w:rFonts w:ascii="Times New Roman" w:hAnsi="Times New Roman" w:cs="Times New Roman"/>
          <w:lang w:val="ro-MD"/>
        </w:rPr>
        <w:t xml:space="preserve">asigurătorul sau </w:t>
      </w:r>
      <w:proofErr w:type="spellStart"/>
      <w:r w:rsidR="00946E85" w:rsidRPr="000508B6">
        <w:rPr>
          <w:rFonts w:ascii="Times New Roman" w:hAnsi="Times New Roman" w:cs="Times New Roman"/>
          <w:lang w:val="ro-MD"/>
        </w:rPr>
        <w:t>reasigurătorul</w:t>
      </w:r>
      <w:proofErr w:type="spellEnd"/>
      <w:r w:rsidR="00946E85" w:rsidRPr="000508B6">
        <w:rPr>
          <w:rFonts w:ascii="Times New Roman" w:hAnsi="Times New Roman" w:cs="Times New Roman"/>
          <w:lang w:val="ro-MD"/>
        </w:rPr>
        <w:t xml:space="preserve">, sucursala unui asigurător dintr-un stat </w:t>
      </w:r>
      <w:proofErr w:type="spellStart"/>
      <w:r w:rsidR="00946E85" w:rsidRPr="000508B6">
        <w:rPr>
          <w:rFonts w:ascii="Times New Roman" w:hAnsi="Times New Roman" w:cs="Times New Roman"/>
          <w:lang w:val="ro-MD"/>
        </w:rPr>
        <w:t>terţ</w:t>
      </w:r>
      <w:proofErr w:type="spellEnd"/>
      <w:r w:rsidR="00946E85" w:rsidRPr="000508B6">
        <w:rPr>
          <w:rFonts w:ascii="Times New Roman" w:hAnsi="Times New Roman" w:cs="Times New Roman"/>
          <w:lang w:val="ro-MD"/>
        </w:rPr>
        <w:t>, BNAA</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autorităţile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administraţiei</w:t>
      </w:r>
      <w:proofErr w:type="spellEnd"/>
      <w:r w:rsidRPr="000508B6">
        <w:rPr>
          <w:rFonts w:ascii="Times New Roman" w:hAnsi="Times New Roman" w:cs="Times New Roman"/>
          <w:lang w:val="ro-MD"/>
        </w:rPr>
        <w:t xml:space="preserve"> publice, </w:t>
      </w:r>
      <w:proofErr w:type="spellStart"/>
      <w:r w:rsidRPr="000508B6">
        <w:rPr>
          <w:rFonts w:ascii="Times New Roman" w:hAnsi="Times New Roman" w:cs="Times New Roman"/>
          <w:lang w:val="ro-MD"/>
        </w:rPr>
        <w:t>organizaţiile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întreprinderile sunt obligate să prezinte Băncii Naționale a Moldovei orice documente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solicitate pentru executarea prezentei legi.</w:t>
      </w:r>
      <w:r w:rsidR="005C5A1D" w:rsidRPr="000508B6">
        <w:rPr>
          <w:rFonts w:ascii="Times New Roman" w:hAnsi="Times New Roman" w:cs="Times New Roman"/>
          <w:lang w:val="ro-MD"/>
        </w:rPr>
        <w:t xml:space="preserve"> </w:t>
      </w:r>
    </w:p>
    <w:p w14:paraId="46B817A9" w14:textId="363B7578" w:rsidR="00416924" w:rsidRPr="000508B6" w:rsidRDefault="00946E85"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bookmarkStart w:id="161" w:name="_Hlk221716671"/>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sucursala unui asigurător 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BNAA </w:t>
      </w:r>
      <w:r w:rsidR="00C20F69" w:rsidRPr="000508B6">
        <w:rPr>
          <w:rFonts w:ascii="Times New Roman" w:hAnsi="Times New Roman" w:cs="Times New Roman"/>
          <w:lang w:val="ro-MD"/>
        </w:rPr>
        <w:t>sunt obliga</w:t>
      </w:r>
      <w:r w:rsidRPr="000508B6">
        <w:rPr>
          <w:rFonts w:ascii="Times New Roman" w:hAnsi="Times New Roman" w:cs="Times New Roman"/>
          <w:lang w:val="ro-MD"/>
        </w:rPr>
        <w:t>ți</w:t>
      </w:r>
      <w:r w:rsidR="00C20F69" w:rsidRPr="000508B6">
        <w:rPr>
          <w:rFonts w:ascii="Times New Roman" w:hAnsi="Times New Roman" w:cs="Times New Roman"/>
          <w:lang w:val="ro-MD"/>
        </w:rPr>
        <w:t xml:space="preserve"> să asigure cooperarea </w:t>
      </w:r>
      <w:proofErr w:type="spellStart"/>
      <w:r w:rsidR="00C20F69" w:rsidRPr="000508B6">
        <w:rPr>
          <w:rFonts w:ascii="Times New Roman" w:hAnsi="Times New Roman" w:cs="Times New Roman"/>
          <w:lang w:val="ro-MD"/>
        </w:rPr>
        <w:t>şi</w:t>
      </w:r>
      <w:proofErr w:type="spellEnd"/>
      <w:r w:rsidR="00C20F69" w:rsidRPr="000508B6">
        <w:rPr>
          <w:rFonts w:ascii="Times New Roman" w:hAnsi="Times New Roman" w:cs="Times New Roman"/>
          <w:lang w:val="ro-MD"/>
        </w:rPr>
        <w:t xml:space="preserve"> colaborarea cu Banca Națională a Moldovei pentru atingerea obiectivelor supravegherii. </w:t>
      </w:r>
      <w:r w:rsidR="005D0CEB" w:rsidRPr="000508B6">
        <w:rPr>
          <w:rFonts w:ascii="Times New Roman" w:hAnsi="Times New Roman" w:cs="Times New Roman"/>
          <w:lang w:val="ro-MD"/>
        </w:rPr>
        <w:t xml:space="preserve">Asigurătorul sau </w:t>
      </w:r>
      <w:proofErr w:type="spellStart"/>
      <w:r w:rsidR="005D0CEB" w:rsidRPr="000508B6">
        <w:rPr>
          <w:rFonts w:ascii="Times New Roman" w:hAnsi="Times New Roman" w:cs="Times New Roman"/>
          <w:lang w:val="ro-MD"/>
        </w:rPr>
        <w:t>reasigurătorul</w:t>
      </w:r>
      <w:proofErr w:type="spellEnd"/>
      <w:r w:rsidR="005D0CEB" w:rsidRPr="000508B6">
        <w:rPr>
          <w:rFonts w:ascii="Times New Roman" w:hAnsi="Times New Roman" w:cs="Times New Roman"/>
          <w:lang w:val="ro-MD"/>
        </w:rPr>
        <w:t xml:space="preserve"> </w:t>
      </w:r>
      <w:r w:rsidR="00C20F69" w:rsidRPr="000508B6">
        <w:rPr>
          <w:rFonts w:ascii="Times New Roman" w:hAnsi="Times New Roman" w:cs="Times New Roman"/>
          <w:lang w:val="ro-MD"/>
        </w:rPr>
        <w:t xml:space="preserve">trebuie să facă posibilă chestionarea oricărui angajat, să asigure accesul la toate documentele </w:t>
      </w:r>
      <w:proofErr w:type="spellStart"/>
      <w:r w:rsidR="00C20F69" w:rsidRPr="000508B6">
        <w:rPr>
          <w:rFonts w:ascii="Times New Roman" w:hAnsi="Times New Roman" w:cs="Times New Roman"/>
          <w:lang w:val="ro-MD"/>
        </w:rPr>
        <w:t>şi</w:t>
      </w:r>
      <w:proofErr w:type="spellEnd"/>
      <w:r w:rsidR="00C20F69" w:rsidRPr="000508B6">
        <w:rPr>
          <w:rFonts w:ascii="Times New Roman" w:hAnsi="Times New Roman" w:cs="Times New Roman"/>
          <w:lang w:val="ro-MD"/>
        </w:rPr>
        <w:t xml:space="preserve"> la alte surse de </w:t>
      </w:r>
      <w:proofErr w:type="spellStart"/>
      <w:r w:rsidR="00C20F69" w:rsidRPr="000508B6">
        <w:rPr>
          <w:rFonts w:ascii="Times New Roman" w:hAnsi="Times New Roman" w:cs="Times New Roman"/>
          <w:lang w:val="ro-MD"/>
        </w:rPr>
        <w:t>informaţie</w:t>
      </w:r>
      <w:proofErr w:type="spellEnd"/>
      <w:r w:rsidR="00C20F69" w:rsidRPr="000508B6">
        <w:rPr>
          <w:rFonts w:ascii="Times New Roman" w:hAnsi="Times New Roman" w:cs="Times New Roman"/>
          <w:lang w:val="ro-MD"/>
        </w:rPr>
        <w:t xml:space="preserve"> necesare supravegherii. Orice persoană care </w:t>
      </w:r>
      <w:proofErr w:type="spellStart"/>
      <w:r w:rsidR="00C20F69" w:rsidRPr="000508B6">
        <w:rPr>
          <w:rFonts w:ascii="Times New Roman" w:hAnsi="Times New Roman" w:cs="Times New Roman"/>
          <w:lang w:val="ro-MD"/>
        </w:rPr>
        <w:t>obstrucţionează</w:t>
      </w:r>
      <w:proofErr w:type="spellEnd"/>
      <w:r w:rsidR="00C20F69" w:rsidRPr="000508B6">
        <w:rPr>
          <w:rFonts w:ascii="Times New Roman" w:hAnsi="Times New Roman" w:cs="Times New Roman"/>
          <w:lang w:val="ro-MD"/>
        </w:rPr>
        <w:t xml:space="preserve"> efectuarea supravegherii </w:t>
      </w:r>
      <w:proofErr w:type="spellStart"/>
      <w:r w:rsidR="00C20F69" w:rsidRPr="000508B6">
        <w:rPr>
          <w:rFonts w:ascii="Times New Roman" w:hAnsi="Times New Roman" w:cs="Times New Roman"/>
          <w:lang w:val="ro-MD"/>
        </w:rPr>
        <w:t>şi</w:t>
      </w:r>
      <w:proofErr w:type="spellEnd"/>
      <w:r w:rsidR="00C20F69" w:rsidRPr="000508B6">
        <w:rPr>
          <w:rFonts w:ascii="Times New Roman" w:hAnsi="Times New Roman" w:cs="Times New Roman"/>
          <w:lang w:val="ro-MD"/>
        </w:rPr>
        <w:t xml:space="preserve"> exercitarea </w:t>
      </w:r>
      <w:proofErr w:type="spellStart"/>
      <w:r w:rsidR="00C20F69" w:rsidRPr="000508B6">
        <w:rPr>
          <w:rFonts w:ascii="Times New Roman" w:hAnsi="Times New Roman" w:cs="Times New Roman"/>
          <w:lang w:val="ro-MD"/>
        </w:rPr>
        <w:t>atribuţiilor</w:t>
      </w:r>
      <w:proofErr w:type="spellEnd"/>
      <w:r w:rsidR="00C20F69" w:rsidRPr="000508B6">
        <w:rPr>
          <w:rFonts w:ascii="Times New Roman" w:hAnsi="Times New Roman" w:cs="Times New Roman"/>
          <w:lang w:val="ro-MD"/>
        </w:rPr>
        <w:t xml:space="preserve"> Băncii Naționale a Moldovei, care instigă, provoacă sau facilitează </w:t>
      </w:r>
      <w:proofErr w:type="spellStart"/>
      <w:r w:rsidR="00C20F69" w:rsidRPr="000508B6">
        <w:rPr>
          <w:rFonts w:ascii="Times New Roman" w:hAnsi="Times New Roman" w:cs="Times New Roman"/>
          <w:lang w:val="ro-MD"/>
        </w:rPr>
        <w:t>obstrucţionarea</w:t>
      </w:r>
      <w:proofErr w:type="spellEnd"/>
      <w:r w:rsidR="00C20F69" w:rsidRPr="000508B6">
        <w:rPr>
          <w:rFonts w:ascii="Times New Roman" w:hAnsi="Times New Roman" w:cs="Times New Roman"/>
          <w:lang w:val="ro-MD"/>
        </w:rPr>
        <w:t xml:space="preserve"> acestei efectuări încalcă prin aceste </w:t>
      </w:r>
      <w:proofErr w:type="spellStart"/>
      <w:r w:rsidR="00C20F69" w:rsidRPr="000508B6">
        <w:rPr>
          <w:rFonts w:ascii="Times New Roman" w:hAnsi="Times New Roman" w:cs="Times New Roman"/>
          <w:lang w:val="ro-MD"/>
        </w:rPr>
        <w:t>acţiuni</w:t>
      </w:r>
      <w:proofErr w:type="spellEnd"/>
      <w:r w:rsidR="00C20F69" w:rsidRPr="000508B6">
        <w:rPr>
          <w:rFonts w:ascii="Times New Roman" w:hAnsi="Times New Roman" w:cs="Times New Roman"/>
          <w:lang w:val="ro-MD"/>
        </w:rPr>
        <w:t xml:space="preserve"> prezenta lege </w:t>
      </w:r>
      <w:proofErr w:type="spellStart"/>
      <w:r w:rsidR="00C20F69" w:rsidRPr="000508B6">
        <w:rPr>
          <w:rFonts w:ascii="Times New Roman" w:hAnsi="Times New Roman" w:cs="Times New Roman"/>
          <w:lang w:val="ro-MD"/>
        </w:rPr>
        <w:t>şi</w:t>
      </w:r>
      <w:proofErr w:type="spellEnd"/>
      <w:r w:rsidR="00C20F69" w:rsidRPr="000508B6">
        <w:rPr>
          <w:rFonts w:ascii="Times New Roman" w:hAnsi="Times New Roman" w:cs="Times New Roman"/>
          <w:lang w:val="ro-MD"/>
        </w:rPr>
        <w:t xml:space="preserve"> urmează a fi </w:t>
      </w:r>
      <w:proofErr w:type="spellStart"/>
      <w:r w:rsidR="00C20F69" w:rsidRPr="000508B6">
        <w:rPr>
          <w:rFonts w:ascii="Times New Roman" w:hAnsi="Times New Roman" w:cs="Times New Roman"/>
          <w:lang w:val="ro-MD"/>
        </w:rPr>
        <w:t>sancţionată</w:t>
      </w:r>
      <w:proofErr w:type="spellEnd"/>
      <w:r w:rsidR="00C20F69" w:rsidRPr="000508B6">
        <w:rPr>
          <w:rFonts w:ascii="Times New Roman" w:hAnsi="Times New Roman" w:cs="Times New Roman"/>
          <w:lang w:val="ro-MD"/>
        </w:rPr>
        <w:t xml:space="preserve"> în corespundere cu prevederile </w:t>
      </w:r>
      <w:proofErr w:type="spellStart"/>
      <w:r w:rsidR="00C20F69" w:rsidRPr="000508B6">
        <w:rPr>
          <w:rFonts w:ascii="Times New Roman" w:hAnsi="Times New Roman" w:cs="Times New Roman"/>
          <w:lang w:val="ro-MD"/>
        </w:rPr>
        <w:t>legislaţiei</w:t>
      </w:r>
      <w:bookmarkEnd w:id="161"/>
      <w:proofErr w:type="spellEnd"/>
      <w:r w:rsidR="00C20F69" w:rsidRPr="000508B6">
        <w:rPr>
          <w:rFonts w:ascii="Times New Roman" w:hAnsi="Times New Roman" w:cs="Times New Roman"/>
          <w:lang w:val="ro-MD"/>
        </w:rPr>
        <w:t>.</w:t>
      </w:r>
      <w:r w:rsidR="005C5A1D" w:rsidRPr="000508B6">
        <w:rPr>
          <w:rFonts w:ascii="Times New Roman" w:hAnsi="Times New Roman" w:cs="Times New Roman"/>
          <w:lang w:val="ro-MD"/>
        </w:rPr>
        <w:t xml:space="preserve"> </w:t>
      </w:r>
    </w:p>
    <w:bookmarkEnd w:id="160"/>
    <w:p w14:paraId="1CA1ECC4" w14:textId="197846A9" w:rsidR="00953F0D" w:rsidRPr="000508B6" w:rsidRDefault="00D71E16"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Până</w:t>
      </w:r>
      <w:r w:rsidR="00761E77" w:rsidRPr="000508B6">
        <w:rPr>
          <w:rFonts w:ascii="Times New Roman" w:hAnsi="Times New Roman" w:cs="Times New Roman"/>
          <w:lang w:val="ro-MD"/>
        </w:rPr>
        <w:t xml:space="preserve"> la data de 9 ianuarie 2030 </w:t>
      </w:r>
      <w:r w:rsidR="00953F0D" w:rsidRPr="000508B6">
        <w:rPr>
          <w:rFonts w:ascii="Times New Roman" w:hAnsi="Times New Roman" w:cs="Times New Roman"/>
          <w:lang w:val="ro-MD"/>
        </w:rPr>
        <w:t xml:space="preserve">Banca Națională a Moldovei </w:t>
      </w:r>
      <w:r w:rsidR="00761E77" w:rsidRPr="000508B6">
        <w:rPr>
          <w:rFonts w:ascii="Times New Roman" w:hAnsi="Times New Roman" w:cs="Times New Roman"/>
          <w:lang w:val="ro-MD"/>
        </w:rPr>
        <w:t xml:space="preserve">informează </w:t>
      </w:r>
      <w:r w:rsidR="007C798B" w:rsidRPr="000508B6">
        <w:rPr>
          <w:rFonts w:ascii="Times New Roman" w:hAnsi="Times New Roman" w:cs="Times New Roman"/>
          <w:lang w:val="ro-MD"/>
        </w:rPr>
        <w:t>Autoritatea European</w:t>
      </w:r>
      <w:r w:rsidR="00D368D9" w:rsidRPr="000508B6">
        <w:rPr>
          <w:rFonts w:ascii="Times New Roman" w:hAnsi="Times New Roman" w:cs="Times New Roman"/>
          <w:lang w:val="ro-MD"/>
        </w:rPr>
        <w:t xml:space="preserve">ă </w:t>
      </w:r>
      <w:r w:rsidR="007C798B" w:rsidRPr="000508B6">
        <w:rPr>
          <w:rFonts w:ascii="Times New Roman" w:hAnsi="Times New Roman" w:cs="Times New Roman"/>
          <w:lang w:val="ro-MD"/>
        </w:rPr>
        <w:t xml:space="preserve">pentru Valori Mobiliare </w:t>
      </w:r>
      <w:r w:rsidR="00BD3429" w:rsidRPr="000508B6">
        <w:rPr>
          <w:rFonts w:ascii="Times New Roman" w:hAnsi="Times New Roman" w:cs="Times New Roman"/>
          <w:lang w:val="ro-MD"/>
        </w:rPr>
        <w:t>ș</w:t>
      </w:r>
      <w:r w:rsidR="007C798B" w:rsidRPr="000508B6">
        <w:rPr>
          <w:rFonts w:ascii="Times New Roman" w:hAnsi="Times New Roman" w:cs="Times New Roman"/>
          <w:lang w:val="ro-MD"/>
        </w:rPr>
        <w:t>i Piețe (ESMA</w:t>
      </w:r>
      <w:r w:rsidR="001E50A2" w:rsidRPr="000508B6">
        <w:rPr>
          <w:rFonts w:ascii="Times New Roman" w:hAnsi="Times New Roman" w:cs="Times New Roman"/>
          <w:lang w:val="ro-MD"/>
        </w:rPr>
        <w:t>)</w:t>
      </w:r>
      <w:r w:rsidR="007C798B" w:rsidRPr="000508B6">
        <w:rPr>
          <w:rFonts w:ascii="Times New Roman" w:hAnsi="Times New Roman" w:cs="Times New Roman"/>
          <w:lang w:val="ro-MD"/>
        </w:rPr>
        <w:t xml:space="preserve"> cu privire la faptul că </w:t>
      </w:r>
      <w:r w:rsidR="00953F0D" w:rsidRPr="000508B6">
        <w:rPr>
          <w:rFonts w:ascii="Times New Roman" w:hAnsi="Times New Roman" w:cs="Times New Roman"/>
          <w:lang w:val="ro-MD"/>
        </w:rPr>
        <w:t xml:space="preserve">este desemnată ca organism de colectare, pentru piața </w:t>
      </w:r>
      <w:r w:rsidRPr="000508B6">
        <w:rPr>
          <w:rFonts w:ascii="Times New Roman" w:hAnsi="Times New Roman" w:cs="Times New Roman"/>
          <w:lang w:val="ro-MD"/>
        </w:rPr>
        <w:t xml:space="preserve">asigurărilor </w:t>
      </w:r>
      <w:r w:rsidR="007E2C37" w:rsidRPr="000508B6">
        <w:rPr>
          <w:rFonts w:ascii="Times New Roman" w:hAnsi="Times New Roman" w:cs="Times New Roman"/>
          <w:lang w:val="ro-MD"/>
        </w:rPr>
        <w:t>î</w:t>
      </w:r>
      <w:r w:rsidR="00953F0D" w:rsidRPr="000508B6">
        <w:rPr>
          <w:rFonts w:ascii="Times New Roman" w:hAnsi="Times New Roman" w:cs="Times New Roman"/>
          <w:lang w:val="ro-MD"/>
        </w:rPr>
        <w:t>n Republica Moldova, care colecteaz</w:t>
      </w:r>
      <w:r w:rsidR="001E50A2" w:rsidRPr="000508B6">
        <w:rPr>
          <w:rFonts w:ascii="Times New Roman" w:hAnsi="Times New Roman" w:cs="Times New Roman"/>
          <w:lang w:val="ro-MD"/>
        </w:rPr>
        <w:t>ă</w:t>
      </w:r>
      <w:r w:rsidR="00953F0D" w:rsidRPr="000508B6">
        <w:rPr>
          <w:rFonts w:ascii="Times New Roman" w:hAnsi="Times New Roman" w:cs="Times New Roman"/>
          <w:lang w:val="ro-MD"/>
        </w:rPr>
        <w:t xml:space="preserve"> informațiile prev</w:t>
      </w:r>
      <w:r w:rsidR="001E50A2" w:rsidRPr="000508B6">
        <w:rPr>
          <w:rFonts w:ascii="Times New Roman" w:hAnsi="Times New Roman" w:cs="Times New Roman"/>
          <w:lang w:val="ro-MD"/>
        </w:rPr>
        <w:t>ă</w:t>
      </w:r>
      <w:r w:rsidR="00953F0D" w:rsidRPr="000508B6">
        <w:rPr>
          <w:rFonts w:ascii="Times New Roman" w:hAnsi="Times New Roman" w:cs="Times New Roman"/>
          <w:lang w:val="ro-MD"/>
        </w:rPr>
        <w:t>zute la alin. (</w:t>
      </w:r>
      <w:r w:rsidR="00CA33CB" w:rsidRPr="000508B6">
        <w:rPr>
          <w:rFonts w:ascii="Times New Roman" w:hAnsi="Times New Roman" w:cs="Times New Roman"/>
          <w:lang w:val="ro-MD"/>
        </w:rPr>
        <w:t>14</w:t>
      </w:r>
      <w:r w:rsidR="00953F0D" w:rsidRPr="000508B6">
        <w:rPr>
          <w:rFonts w:ascii="Times New Roman" w:hAnsi="Times New Roman" w:cs="Times New Roman"/>
          <w:lang w:val="ro-MD"/>
        </w:rPr>
        <w:t xml:space="preserve">). </w:t>
      </w:r>
    </w:p>
    <w:p w14:paraId="557098BD" w14:textId="329BAE3E" w:rsidR="00953F0D" w:rsidRPr="000508B6" w:rsidRDefault="00761E77"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Începând cu data de 10 ianuarie 2030 </w:t>
      </w:r>
      <w:r w:rsidR="00953F0D" w:rsidRPr="000508B6">
        <w:rPr>
          <w:rFonts w:ascii="Times New Roman" w:hAnsi="Times New Roman" w:cs="Times New Roman"/>
          <w:lang w:val="ro-MD"/>
        </w:rPr>
        <w:t>Banca Națională a Moldovei transmite raportul privind solvabilitatea și situa</w:t>
      </w:r>
      <w:r w:rsidR="00C41737" w:rsidRPr="000508B6">
        <w:rPr>
          <w:rFonts w:ascii="Times New Roman" w:hAnsi="Times New Roman" w:cs="Times New Roman"/>
          <w:lang w:val="ro-MD"/>
        </w:rPr>
        <w:t>ț</w:t>
      </w:r>
      <w:r w:rsidR="00953F0D" w:rsidRPr="000508B6">
        <w:rPr>
          <w:rFonts w:ascii="Times New Roman" w:hAnsi="Times New Roman" w:cs="Times New Roman"/>
          <w:lang w:val="ro-MD"/>
        </w:rPr>
        <w:t>ia financiară primit</w:t>
      </w:r>
      <w:r w:rsidR="001E50A2" w:rsidRPr="000508B6">
        <w:rPr>
          <w:rFonts w:ascii="Times New Roman" w:hAnsi="Times New Roman" w:cs="Times New Roman"/>
          <w:lang w:val="ro-MD"/>
        </w:rPr>
        <w:t>ă</w:t>
      </w:r>
      <w:r w:rsidR="00953F0D" w:rsidRPr="000508B6">
        <w:rPr>
          <w:rFonts w:ascii="Times New Roman" w:hAnsi="Times New Roman" w:cs="Times New Roman"/>
          <w:lang w:val="ro-MD"/>
        </w:rPr>
        <w:t xml:space="preserve"> de la </w:t>
      </w:r>
      <w:r w:rsidR="00A14A65" w:rsidRPr="000508B6">
        <w:rPr>
          <w:rFonts w:ascii="Times New Roman" w:hAnsi="Times New Roman" w:cs="Times New Roman"/>
          <w:lang w:val="ro-MD"/>
        </w:rPr>
        <w:t xml:space="preserve">asigurători sau </w:t>
      </w:r>
      <w:proofErr w:type="spellStart"/>
      <w:r w:rsidR="00A14A65" w:rsidRPr="000508B6">
        <w:rPr>
          <w:rFonts w:ascii="Times New Roman" w:hAnsi="Times New Roman" w:cs="Times New Roman"/>
          <w:lang w:val="ro-MD"/>
        </w:rPr>
        <w:t>reasigurători</w:t>
      </w:r>
      <w:proofErr w:type="spellEnd"/>
      <w:r w:rsidR="00A14A65" w:rsidRPr="000508B6">
        <w:rPr>
          <w:rFonts w:ascii="Times New Roman" w:hAnsi="Times New Roman" w:cs="Times New Roman"/>
          <w:lang w:val="ro-MD"/>
        </w:rPr>
        <w:t xml:space="preserve"> </w:t>
      </w:r>
      <w:r w:rsidR="004467B0" w:rsidRPr="000508B6">
        <w:rPr>
          <w:rFonts w:ascii="Times New Roman" w:hAnsi="Times New Roman" w:cs="Times New Roman"/>
          <w:lang w:val="ro-MD"/>
        </w:rPr>
        <w:t>către</w:t>
      </w:r>
      <w:r w:rsidR="00953F0D" w:rsidRPr="000508B6">
        <w:rPr>
          <w:rFonts w:ascii="Times New Roman" w:hAnsi="Times New Roman" w:cs="Times New Roman"/>
          <w:lang w:val="ro-MD"/>
        </w:rPr>
        <w:t xml:space="preserve"> punctul unic de acces european</w:t>
      </w:r>
      <w:r w:rsidR="00EC6256" w:rsidRPr="000508B6">
        <w:rPr>
          <w:rFonts w:ascii="Times New Roman" w:hAnsi="Times New Roman" w:cs="Times New Roman"/>
          <w:lang w:val="ro-MD"/>
        </w:rPr>
        <w:t>.</w:t>
      </w:r>
    </w:p>
    <w:p w14:paraId="5BA07CA0" w14:textId="186DBF8D" w:rsidR="00953F0D" w:rsidRPr="000508B6" w:rsidRDefault="00953F0D"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bookmarkStart w:id="162" w:name="_Hlk181870414"/>
      <w:r w:rsidRPr="000508B6">
        <w:rPr>
          <w:rFonts w:ascii="Times New Roman" w:hAnsi="Times New Roman" w:cs="Times New Roman"/>
          <w:lang w:val="ro-MD"/>
        </w:rPr>
        <w:t xml:space="preserve">Banca Națională a Moldovei transmite </w:t>
      </w:r>
      <w:r w:rsidR="004467B0" w:rsidRPr="000508B6">
        <w:rPr>
          <w:rFonts w:ascii="Times New Roman" w:hAnsi="Times New Roman" w:cs="Times New Roman"/>
          <w:lang w:val="ro-MD"/>
        </w:rPr>
        <w:t>informațiile</w:t>
      </w:r>
      <w:r w:rsidRPr="000508B6">
        <w:rPr>
          <w:rFonts w:ascii="Times New Roman" w:hAnsi="Times New Roman" w:cs="Times New Roman"/>
          <w:lang w:val="ro-MD"/>
        </w:rPr>
        <w:t xml:space="preserve"> </w:t>
      </w:r>
      <w:r w:rsidR="004467B0" w:rsidRPr="000508B6">
        <w:rPr>
          <w:rFonts w:ascii="Times New Roman" w:hAnsi="Times New Roman" w:cs="Times New Roman"/>
          <w:lang w:val="ro-MD"/>
        </w:rPr>
        <w:t>prevăzute</w:t>
      </w:r>
      <w:r w:rsidRPr="000508B6">
        <w:rPr>
          <w:rFonts w:ascii="Times New Roman" w:hAnsi="Times New Roman" w:cs="Times New Roman"/>
          <w:lang w:val="ro-MD"/>
        </w:rPr>
        <w:t xml:space="preserve"> la alin. (</w:t>
      </w:r>
      <w:r w:rsidR="009E7B62" w:rsidRPr="000508B6">
        <w:rPr>
          <w:rFonts w:ascii="Times New Roman" w:hAnsi="Times New Roman" w:cs="Times New Roman"/>
          <w:lang w:val="ro-MD"/>
        </w:rPr>
        <w:t>1</w:t>
      </w:r>
      <w:r w:rsidR="003843CF" w:rsidRPr="000508B6">
        <w:rPr>
          <w:rFonts w:ascii="Times New Roman" w:hAnsi="Times New Roman" w:cs="Times New Roman"/>
          <w:lang w:val="ro-MD"/>
        </w:rPr>
        <w:t>3</w:t>
      </w:r>
      <w:r w:rsidRPr="000508B6">
        <w:rPr>
          <w:rFonts w:ascii="Times New Roman" w:hAnsi="Times New Roman" w:cs="Times New Roman"/>
          <w:lang w:val="ro-MD"/>
        </w:rPr>
        <w:t xml:space="preserve">) cu respectarea </w:t>
      </w:r>
      <w:r w:rsidR="004467B0" w:rsidRPr="000508B6">
        <w:rPr>
          <w:rFonts w:ascii="Times New Roman" w:hAnsi="Times New Roman" w:cs="Times New Roman"/>
          <w:lang w:val="ro-MD"/>
        </w:rPr>
        <w:t>următoarelor</w:t>
      </w:r>
      <w:r w:rsidRPr="000508B6">
        <w:rPr>
          <w:rFonts w:ascii="Times New Roman" w:hAnsi="Times New Roman" w:cs="Times New Roman"/>
          <w:lang w:val="ro-MD"/>
        </w:rPr>
        <w:t xml:space="preserve"> cerințe:</w:t>
      </w:r>
    </w:p>
    <w:p w14:paraId="36D9EA88" w14:textId="424AD1C0" w:rsidR="00953F0D" w:rsidRPr="000508B6" w:rsidRDefault="004467B0" w:rsidP="00CF5AFA">
      <w:pPr>
        <w:numPr>
          <w:ilvl w:val="0"/>
          <w:numId w:val="277"/>
        </w:numPr>
        <w:autoSpaceDE w:val="0"/>
        <w:autoSpaceDN w:val="0"/>
        <w:adjustRightInd w:val="0"/>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informațiile</w:t>
      </w:r>
      <w:r w:rsidR="00953F0D" w:rsidRPr="000508B6">
        <w:rPr>
          <w:rFonts w:ascii="Times New Roman" w:hAnsi="Times New Roman" w:cs="Times New Roman"/>
          <w:lang w:val="ro-MD"/>
        </w:rPr>
        <w:t xml:space="preserve"> sunt prezentate într-un format care permite extragerea de date;</w:t>
      </w:r>
    </w:p>
    <w:p w14:paraId="6107262A" w14:textId="77777777" w:rsidR="00953F0D" w:rsidRPr="000508B6" w:rsidRDefault="00953F0D" w:rsidP="00CF5AFA">
      <w:pPr>
        <w:numPr>
          <w:ilvl w:val="0"/>
          <w:numId w:val="277"/>
        </w:numPr>
        <w:autoSpaceDE w:val="0"/>
        <w:autoSpaceDN w:val="0"/>
        <w:adjustRightInd w:val="0"/>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informațiile sunt însoțite de următoarele </w:t>
      </w:r>
      <w:proofErr w:type="spellStart"/>
      <w:r w:rsidRPr="000508B6">
        <w:rPr>
          <w:rFonts w:ascii="Times New Roman" w:hAnsi="Times New Roman" w:cs="Times New Roman"/>
          <w:lang w:val="ro-MD"/>
        </w:rPr>
        <w:t>metadate</w:t>
      </w:r>
      <w:proofErr w:type="spellEnd"/>
      <w:r w:rsidRPr="000508B6">
        <w:rPr>
          <w:rFonts w:ascii="Times New Roman" w:hAnsi="Times New Roman" w:cs="Times New Roman"/>
          <w:lang w:val="ro-MD"/>
        </w:rPr>
        <w:t>:</w:t>
      </w:r>
    </w:p>
    <w:p w14:paraId="6A501363" w14:textId="0FBECD4B" w:rsidR="00953F0D" w:rsidRPr="000508B6" w:rsidRDefault="004467B0" w:rsidP="00CF5AFA">
      <w:pPr>
        <w:pStyle w:val="Listparagraf"/>
        <w:numPr>
          <w:ilvl w:val="3"/>
          <w:numId w:val="289"/>
        </w:numPr>
        <w:autoSpaceDE w:val="0"/>
        <w:autoSpaceDN w:val="0"/>
        <w:adjustRightInd w:val="0"/>
        <w:spacing w:after="0" w:line="240" w:lineRule="auto"/>
        <w:ind w:left="142" w:firstLine="567"/>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toate denumirile </w:t>
      </w:r>
      <w:r w:rsidR="00BC58B9" w:rsidRPr="000508B6">
        <w:rPr>
          <w:rFonts w:ascii="Times New Roman" w:hAnsi="Times New Roman" w:cs="Times New Roman"/>
          <w:lang w:val="ro-MD"/>
        </w:rPr>
        <w:t xml:space="preserve">asigurătorilor sau </w:t>
      </w:r>
      <w:proofErr w:type="spellStart"/>
      <w:r w:rsidR="00BC58B9" w:rsidRPr="000508B6">
        <w:rPr>
          <w:rFonts w:ascii="Times New Roman" w:hAnsi="Times New Roman" w:cs="Times New Roman"/>
          <w:lang w:val="ro-MD"/>
        </w:rPr>
        <w:t>reasigurătorilor</w:t>
      </w:r>
      <w:proofErr w:type="spellEnd"/>
      <w:r w:rsidR="00BC58B9" w:rsidRPr="000508B6">
        <w:rPr>
          <w:rFonts w:ascii="Times New Roman" w:hAnsi="Times New Roman" w:cs="Times New Roman"/>
          <w:lang w:val="ro-MD"/>
        </w:rPr>
        <w:t xml:space="preserve"> prevăzuți </w:t>
      </w:r>
      <w:r w:rsidR="00953F0D" w:rsidRPr="000508B6">
        <w:rPr>
          <w:rFonts w:ascii="Times New Roman" w:hAnsi="Times New Roman" w:cs="Times New Roman"/>
          <w:lang w:val="ro-MD"/>
        </w:rPr>
        <w:t>la alin. (</w:t>
      </w:r>
      <w:r w:rsidR="009E7B62" w:rsidRPr="000508B6">
        <w:rPr>
          <w:rFonts w:ascii="Times New Roman" w:hAnsi="Times New Roman" w:cs="Times New Roman"/>
          <w:lang w:val="ro-MD"/>
        </w:rPr>
        <w:t>1</w:t>
      </w:r>
      <w:r w:rsidR="003843CF" w:rsidRPr="000508B6">
        <w:rPr>
          <w:rFonts w:ascii="Times New Roman" w:hAnsi="Times New Roman" w:cs="Times New Roman"/>
          <w:lang w:val="ro-MD"/>
        </w:rPr>
        <w:t>3</w:t>
      </w:r>
      <w:r w:rsidR="00953F0D" w:rsidRPr="000508B6">
        <w:rPr>
          <w:rFonts w:ascii="Times New Roman" w:hAnsi="Times New Roman" w:cs="Times New Roman"/>
          <w:lang w:val="ro-MD"/>
        </w:rPr>
        <w:t>) la care se referă informațiile;</w:t>
      </w:r>
    </w:p>
    <w:p w14:paraId="1D04C004" w14:textId="602966E8" w:rsidR="00953F0D" w:rsidRPr="000508B6" w:rsidRDefault="004467B0" w:rsidP="00CF5AFA">
      <w:pPr>
        <w:pStyle w:val="Listparagraf"/>
        <w:numPr>
          <w:ilvl w:val="3"/>
          <w:numId w:val="289"/>
        </w:numPr>
        <w:autoSpaceDE w:val="0"/>
        <w:autoSpaceDN w:val="0"/>
        <w:adjustRightInd w:val="0"/>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codul LEI al </w:t>
      </w:r>
      <w:r w:rsidR="00BC58B9" w:rsidRPr="000508B6">
        <w:rPr>
          <w:rFonts w:ascii="Times New Roman" w:hAnsi="Times New Roman" w:cs="Times New Roman"/>
          <w:lang w:val="ro-MD"/>
        </w:rPr>
        <w:t xml:space="preserve">asigurătorilor sau </w:t>
      </w:r>
      <w:proofErr w:type="spellStart"/>
      <w:r w:rsidR="00BC58B9" w:rsidRPr="000508B6">
        <w:rPr>
          <w:rFonts w:ascii="Times New Roman" w:hAnsi="Times New Roman" w:cs="Times New Roman"/>
          <w:lang w:val="ro-MD"/>
        </w:rPr>
        <w:t>reasigurătorilor</w:t>
      </w:r>
      <w:proofErr w:type="spellEnd"/>
      <w:r w:rsidR="001E50A2" w:rsidRPr="000508B6">
        <w:rPr>
          <w:rFonts w:ascii="Times New Roman" w:hAnsi="Times New Roman" w:cs="Times New Roman"/>
          <w:lang w:val="ro-MD"/>
        </w:rPr>
        <w:t>;</w:t>
      </w:r>
      <w:r w:rsidR="00D35A30" w:rsidRPr="000508B6">
        <w:rPr>
          <w:rFonts w:ascii="Times New Roman" w:hAnsi="Times New Roman" w:cs="Times New Roman"/>
          <w:lang w:val="ro-MD"/>
        </w:rPr>
        <w:t xml:space="preserve"> </w:t>
      </w:r>
    </w:p>
    <w:p w14:paraId="5A472761" w14:textId="0420C4D8" w:rsidR="00953F0D" w:rsidRPr="000508B6" w:rsidRDefault="004467B0" w:rsidP="00CF5AFA">
      <w:pPr>
        <w:pStyle w:val="Listparagraf"/>
        <w:numPr>
          <w:ilvl w:val="3"/>
          <w:numId w:val="289"/>
        </w:numPr>
        <w:autoSpaceDE w:val="0"/>
        <w:autoSpaceDN w:val="0"/>
        <w:adjustRightInd w:val="0"/>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categoria în care </w:t>
      </w:r>
      <w:r w:rsidR="00BC58B9" w:rsidRPr="000508B6">
        <w:rPr>
          <w:rFonts w:ascii="Times New Roman" w:hAnsi="Times New Roman" w:cs="Times New Roman"/>
          <w:lang w:val="ro-MD"/>
        </w:rPr>
        <w:t xml:space="preserve">asigurătorii sau </w:t>
      </w:r>
      <w:proofErr w:type="spellStart"/>
      <w:r w:rsidR="00BC58B9" w:rsidRPr="000508B6">
        <w:rPr>
          <w:rFonts w:ascii="Times New Roman" w:hAnsi="Times New Roman" w:cs="Times New Roman"/>
          <w:lang w:val="ro-MD"/>
        </w:rPr>
        <w:t>reasigurătorii</w:t>
      </w:r>
      <w:proofErr w:type="spellEnd"/>
      <w:r w:rsidR="00BC58B9" w:rsidRPr="000508B6">
        <w:rPr>
          <w:rFonts w:ascii="Times New Roman" w:hAnsi="Times New Roman" w:cs="Times New Roman"/>
          <w:lang w:val="ro-MD"/>
        </w:rPr>
        <w:t xml:space="preserve"> </w:t>
      </w:r>
      <w:r w:rsidRPr="000508B6">
        <w:rPr>
          <w:rFonts w:ascii="Times New Roman" w:hAnsi="Times New Roman" w:cs="Times New Roman"/>
          <w:lang w:val="ro-MD"/>
        </w:rPr>
        <w:t>prevăzu</w:t>
      </w:r>
      <w:r w:rsidR="001E50A2" w:rsidRPr="000508B6">
        <w:rPr>
          <w:rFonts w:ascii="Times New Roman" w:hAnsi="Times New Roman" w:cs="Times New Roman"/>
          <w:lang w:val="ro-MD"/>
        </w:rPr>
        <w:t>ți</w:t>
      </w:r>
      <w:r w:rsidR="00953F0D" w:rsidRPr="000508B6">
        <w:rPr>
          <w:rFonts w:ascii="Times New Roman" w:hAnsi="Times New Roman" w:cs="Times New Roman"/>
          <w:lang w:val="ro-MD"/>
        </w:rPr>
        <w:t xml:space="preserve"> la alin. (</w:t>
      </w:r>
      <w:r w:rsidR="009E7B62" w:rsidRPr="000508B6">
        <w:rPr>
          <w:rFonts w:ascii="Times New Roman" w:hAnsi="Times New Roman" w:cs="Times New Roman"/>
          <w:lang w:val="ro-MD"/>
        </w:rPr>
        <w:t>1</w:t>
      </w:r>
      <w:r w:rsidR="003843CF" w:rsidRPr="000508B6">
        <w:rPr>
          <w:rFonts w:ascii="Times New Roman" w:hAnsi="Times New Roman" w:cs="Times New Roman"/>
          <w:lang w:val="ro-MD"/>
        </w:rPr>
        <w:t>3</w:t>
      </w:r>
      <w:r w:rsidR="00953F0D" w:rsidRPr="000508B6">
        <w:rPr>
          <w:rFonts w:ascii="Times New Roman" w:hAnsi="Times New Roman" w:cs="Times New Roman"/>
          <w:lang w:val="ro-MD"/>
        </w:rPr>
        <w:t xml:space="preserve">) se </w:t>
      </w:r>
      <w:r w:rsidRPr="000508B6">
        <w:rPr>
          <w:rFonts w:ascii="Times New Roman" w:hAnsi="Times New Roman" w:cs="Times New Roman"/>
          <w:lang w:val="ro-MD"/>
        </w:rPr>
        <w:t>încadrează</w:t>
      </w:r>
      <w:r w:rsidR="00953F0D" w:rsidRPr="000508B6">
        <w:rPr>
          <w:rFonts w:ascii="Times New Roman" w:hAnsi="Times New Roman" w:cs="Times New Roman"/>
          <w:lang w:val="ro-MD"/>
        </w:rPr>
        <w:t xml:space="preserve"> după mărime;</w:t>
      </w:r>
    </w:p>
    <w:p w14:paraId="76BE8A7A" w14:textId="2ACAF084" w:rsidR="00953F0D" w:rsidRPr="000508B6" w:rsidRDefault="004467B0" w:rsidP="00CF5AFA">
      <w:pPr>
        <w:pStyle w:val="Listparagraf"/>
        <w:numPr>
          <w:ilvl w:val="3"/>
          <w:numId w:val="289"/>
        </w:numPr>
        <w:autoSpaceDE w:val="0"/>
        <w:autoSpaceDN w:val="0"/>
        <w:adjustRightInd w:val="0"/>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precizarea faptului ca </w:t>
      </w:r>
      <w:r w:rsidRPr="000508B6">
        <w:rPr>
          <w:rFonts w:ascii="Times New Roman" w:hAnsi="Times New Roman" w:cs="Times New Roman"/>
          <w:lang w:val="ro-MD"/>
        </w:rPr>
        <w:t>informațiile</w:t>
      </w:r>
      <w:r w:rsidR="00953F0D" w:rsidRPr="000508B6">
        <w:rPr>
          <w:rFonts w:ascii="Times New Roman" w:hAnsi="Times New Roman" w:cs="Times New Roman"/>
          <w:lang w:val="ro-MD"/>
        </w:rPr>
        <w:t xml:space="preserve"> au fost transmise ca urmare a unei obligații legale sau în mod voluntar;</w:t>
      </w:r>
    </w:p>
    <w:p w14:paraId="06D36D26" w14:textId="004EDC2C" w:rsidR="00953F0D" w:rsidRPr="000508B6" w:rsidRDefault="004467B0" w:rsidP="00CF5AFA">
      <w:pPr>
        <w:pStyle w:val="Listparagraf"/>
        <w:numPr>
          <w:ilvl w:val="3"/>
          <w:numId w:val="289"/>
        </w:numPr>
        <w:autoSpaceDE w:val="0"/>
        <w:autoSpaceDN w:val="0"/>
        <w:adjustRightInd w:val="0"/>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o mențiune care să indice dacă </w:t>
      </w:r>
      <w:r w:rsidRPr="000508B6">
        <w:rPr>
          <w:rFonts w:ascii="Times New Roman" w:hAnsi="Times New Roman" w:cs="Times New Roman"/>
          <w:lang w:val="ro-MD"/>
        </w:rPr>
        <w:t>informațiile</w:t>
      </w:r>
      <w:r w:rsidR="00953F0D" w:rsidRPr="000508B6">
        <w:rPr>
          <w:rFonts w:ascii="Times New Roman" w:hAnsi="Times New Roman" w:cs="Times New Roman"/>
          <w:lang w:val="ro-MD"/>
        </w:rPr>
        <w:t xml:space="preserve"> conțin date cu caracter personal.</w:t>
      </w:r>
    </w:p>
    <w:bookmarkEnd w:id="162"/>
    <w:p w14:paraId="731857FF" w14:textId="14CFC6DD" w:rsidR="00953F0D" w:rsidRPr="000508B6" w:rsidRDefault="00953F0D"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w:t>
      </w:r>
      <w:r w:rsidR="004467B0" w:rsidRPr="000508B6">
        <w:rPr>
          <w:rFonts w:ascii="Times New Roman" w:hAnsi="Times New Roman" w:cs="Times New Roman"/>
          <w:lang w:val="ro-MD"/>
        </w:rPr>
        <w:t>către</w:t>
      </w:r>
      <w:r w:rsidRPr="000508B6">
        <w:rPr>
          <w:rFonts w:ascii="Times New Roman" w:hAnsi="Times New Roman" w:cs="Times New Roman"/>
          <w:lang w:val="ro-MD"/>
        </w:rPr>
        <w:t xml:space="preserve"> punctul unic de acces european acte</w:t>
      </w:r>
      <w:r w:rsidR="004467B0" w:rsidRPr="000508B6">
        <w:rPr>
          <w:rFonts w:ascii="Times New Roman" w:hAnsi="Times New Roman" w:cs="Times New Roman"/>
          <w:lang w:val="ro-MD"/>
        </w:rPr>
        <w:t>le</w:t>
      </w:r>
      <w:r w:rsidRPr="000508B6">
        <w:rPr>
          <w:rFonts w:ascii="Times New Roman" w:hAnsi="Times New Roman" w:cs="Times New Roman"/>
          <w:lang w:val="ro-MD"/>
        </w:rPr>
        <w:t xml:space="preserve">, </w:t>
      </w:r>
      <w:r w:rsidR="004467B0" w:rsidRPr="000508B6">
        <w:rPr>
          <w:rFonts w:ascii="Times New Roman" w:hAnsi="Times New Roman" w:cs="Times New Roman"/>
          <w:lang w:val="ro-MD"/>
        </w:rPr>
        <w:t>prevăzute</w:t>
      </w:r>
      <w:r w:rsidRPr="000508B6">
        <w:rPr>
          <w:rFonts w:ascii="Times New Roman" w:hAnsi="Times New Roman" w:cs="Times New Roman"/>
          <w:lang w:val="ro-MD"/>
        </w:rPr>
        <w:t xml:space="preserve"> la art. </w:t>
      </w:r>
      <w:r w:rsidR="00423603" w:rsidRPr="000508B6">
        <w:rPr>
          <w:rFonts w:ascii="Times New Roman" w:hAnsi="Times New Roman" w:cs="Times New Roman"/>
          <w:lang w:val="ro-MD"/>
        </w:rPr>
        <w:t>161</w:t>
      </w:r>
      <w:r w:rsidR="000A3B8D" w:rsidRPr="000508B6">
        <w:rPr>
          <w:rFonts w:ascii="Times New Roman" w:hAnsi="Times New Roman" w:cs="Times New Roman"/>
          <w:lang w:val="ro-MD"/>
        </w:rPr>
        <w:t xml:space="preserve"> </w:t>
      </w:r>
      <w:r w:rsidRPr="000508B6">
        <w:rPr>
          <w:rFonts w:ascii="Times New Roman" w:hAnsi="Times New Roman" w:cs="Times New Roman"/>
          <w:lang w:val="ro-MD"/>
        </w:rPr>
        <w:t>alin. (1) și art.</w:t>
      </w:r>
      <w:r w:rsidRPr="000508B6" w:rsidDel="000A3B8D">
        <w:rPr>
          <w:rFonts w:ascii="Times New Roman" w:hAnsi="Times New Roman" w:cs="Times New Roman"/>
          <w:lang w:val="ro-MD"/>
        </w:rPr>
        <w:t xml:space="preserve"> </w:t>
      </w:r>
      <w:r w:rsidR="00631E33" w:rsidRPr="000508B6">
        <w:rPr>
          <w:rFonts w:ascii="Times New Roman" w:hAnsi="Times New Roman" w:cs="Times New Roman"/>
          <w:lang w:val="ro-MD"/>
        </w:rPr>
        <w:t xml:space="preserve">167 </w:t>
      </w:r>
      <w:r w:rsidRPr="000508B6">
        <w:rPr>
          <w:rFonts w:ascii="Times New Roman" w:hAnsi="Times New Roman" w:cs="Times New Roman"/>
          <w:lang w:val="ro-MD"/>
        </w:rPr>
        <w:t>alin. (</w:t>
      </w:r>
      <w:r w:rsidR="00C703F5" w:rsidRPr="000508B6">
        <w:rPr>
          <w:rFonts w:ascii="Times New Roman" w:hAnsi="Times New Roman" w:cs="Times New Roman"/>
          <w:lang w:val="ro-MD"/>
        </w:rPr>
        <w:t>18</w:t>
      </w:r>
      <w:r w:rsidRPr="000508B6">
        <w:rPr>
          <w:rFonts w:ascii="Times New Roman" w:hAnsi="Times New Roman" w:cs="Times New Roman"/>
          <w:lang w:val="ro-MD"/>
        </w:rPr>
        <w:t>)</w:t>
      </w:r>
      <w:r w:rsidR="004467B0" w:rsidRPr="000508B6">
        <w:rPr>
          <w:rFonts w:ascii="Times New Roman" w:hAnsi="Times New Roman" w:cs="Times New Roman"/>
          <w:lang w:val="ro-MD"/>
        </w:rPr>
        <w:t>, după publicarea acestora în Monitorul Oficial al Republicii Moldova</w:t>
      </w:r>
      <w:r w:rsidRPr="000508B6">
        <w:rPr>
          <w:rFonts w:ascii="Times New Roman" w:hAnsi="Times New Roman" w:cs="Times New Roman"/>
          <w:lang w:val="ro-MD"/>
        </w:rPr>
        <w:t xml:space="preserve"> cu respectarea </w:t>
      </w:r>
      <w:r w:rsidR="0044032F" w:rsidRPr="000508B6">
        <w:rPr>
          <w:rFonts w:ascii="Times New Roman" w:hAnsi="Times New Roman" w:cs="Times New Roman"/>
          <w:lang w:val="ro-MD"/>
        </w:rPr>
        <w:t>următoarelor</w:t>
      </w:r>
      <w:r w:rsidRPr="000508B6">
        <w:rPr>
          <w:rFonts w:ascii="Times New Roman" w:hAnsi="Times New Roman" w:cs="Times New Roman"/>
          <w:lang w:val="ro-MD"/>
        </w:rPr>
        <w:t xml:space="preserve"> cerințe: </w:t>
      </w:r>
    </w:p>
    <w:p w14:paraId="07F4CB40" w14:textId="690120C4" w:rsidR="00953F0D" w:rsidRPr="000508B6" w:rsidRDefault="0044032F" w:rsidP="00B913DE">
      <w:pPr>
        <w:pStyle w:val="Listparagraf"/>
        <w:numPr>
          <w:ilvl w:val="2"/>
          <w:numId w:val="278"/>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informațiile</w:t>
      </w:r>
      <w:r w:rsidR="00953F0D" w:rsidRPr="000508B6">
        <w:rPr>
          <w:rFonts w:ascii="Times New Roman" w:hAnsi="Times New Roman" w:cs="Times New Roman"/>
          <w:lang w:val="ro-MD"/>
        </w:rPr>
        <w:t xml:space="preserve"> sunt prezentate într-un format care permite extragerea de date;</w:t>
      </w:r>
    </w:p>
    <w:p w14:paraId="5526023B" w14:textId="77777777" w:rsidR="00953F0D" w:rsidRPr="000508B6" w:rsidRDefault="00953F0D" w:rsidP="00B913DE">
      <w:pPr>
        <w:pStyle w:val="Listparagraf"/>
        <w:numPr>
          <w:ilvl w:val="2"/>
          <w:numId w:val="278"/>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informațiile sunt însoțite de următoarele </w:t>
      </w:r>
      <w:proofErr w:type="spellStart"/>
      <w:r w:rsidRPr="000508B6">
        <w:rPr>
          <w:rFonts w:ascii="Times New Roman" w:hAnsi="Times New Roman" w:cs="Times New Roman"/>
          <w:lang w:val="ro-MD"/>
        </w:rPr>
        <w:t>metadate</w:t>
      </w:r>
      <w:proofErr w:type="spellEnd"/>
      <w:r w:rsidRPr="000508B6">
        <w:rPr>
          <w:rFonts w:ascii="Times New Roman" w:hAnsi="Times New Roman" w:cs="Times New Roman"/>
          <w:lang w:val="ro-MD"/>
        </w:rPr>
        <w:t>:</w:t>
      </w:r>
    </w:p>
    <w:p w14:paraId="2E30832D" w14:textId="37040A8B" w:rsidR="00953F0D" w:rsidRPr="000508B6" w:rsidRDefault="003251E9" w:rsidP="00B913DE">
      <w:pPr>
        <w:pStyle w:val="Listparagraf"/>
        <w:numPr>
          <w:ilvl w:val="3"/>
          <w:numId w:val="290"/>
        </w:numPr>
        <w:tabs>
          <w:tab w:val="left" w:pos="567"/>
          <w:tab w:val="left" w:pos="709"/>
          <w:tab w:val="left" w:pos="851"/>
          <w:tab w:val="left" w:pos="1134"/>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lastRenderedPageBreak/>
        <w:t xml:space="preserve"> </w:t>
      </w:r>
      <w:r w:rsidR="00953F0D" w:rsidRPr="000508B6">
        <w:rPr>
          <w:rFonts w:ascii="Times New Roman" w:hAnsi="Times New Roman" w:cs="Times New Roman"/>
          <w:lang w:val="ro-MD"/>
        </w:rPr>
        <w:t xml:space="preserve">toate denumirile </w:t>
      </w:r>
      <w:r w:rsidR="009E7B62" w:rsidRPr="000508B6">
        <w:rPr>
          <w:rFonts w:ascii="Times New Roman" w:hAnsi="Times New Roman" w:cs="Times New Roman"/>
          <w:lang w:val="ro-MD"/>
        </w:rPr>
        <w:t xml:space="preserve">asigurătorilor sau </w:t>
      </w:r>
      <w:proofErr w:type="spellStart"/>
      <w:r w:rsidR="009E7B62" w:rsidRPr="000508B6">
        <w:rPr>
          <w:rFonts w:ascii="Times New Roman" w:hAnsi="Times New Roman" w:cs="Times New Roman"/>
          <w:lang w:val="ro-MD"/>
        </w:rPr>
        <w:t>reasigurătorilor</w:t>
      </w:r>
      <w:proofErr w:type="spellEnd"/>
      <w:r w:rsidR="009E7B62" w:rsidRPr="000508B6">
        <w:rPr>
          <w:rFonts w:ascii="Times New Roman" w:hAnsi="Times New Roman" w:cs="Times New Roman"/>
          <w:lang w:val="ro-MD"/>
        </w:rPr>
        <w:t xml:space="preserve"> </w:t>
      </w:r>
      <w:r w:rsidR="00953F0D" w:rsidRPr="000508B6">
        <w:rPr>
          <w:rFonts w:ascii="Times New Roman" w:hAnsi="Times New Roman" w:cs="Times New Roman"/>
          <w:lang w:val="ro-MD"/>
        </w:rPr>
        <w:t>prev</w:t>
      </w:r>
      <w:r w:rsidR="00AB0AA9" w:rsidRPr="000508B6">
        <w:rPr>
          <w:rFonts w:ascii="Times New Roman" w:hAnsi="Times New Roman" w:cs="Times New Roman"/>
          <w:lang w:val="ro-MD"/>
        </w:rPr>
        <w:t>ă</w:t>
      </w:r>
      <w:r w:rsidR="00953F0D" w:rsidRPr="000508B6">
        <w:rPr>
          <w:rFonts w:ascii="Times New Roman" w:hAnsi="Times New Roman" w:cs="Times New Roman"/>
          <w:lang w:val="ro-MD"/>
        </w:rPr>
        <w:t>zute la alin. (</w:t>
      </w:r>
      <w:r w:rsidR="00CA33CB" w:rsidRPr="000508B6">
        <w:rPr>
          <w:rFonts w:ascii="Times New Roman" w:hAnsi="Times New Roman" w:cs="Times New Roman"/>
          <w:lang w:val="ro-MD"/>
        </w:rPr>
        <w:t>13</w:t>
      </w:r>
      <w:r w:rsidR="00953F0D" w:rsidRPr="000508B6">
        <w:rPr>
          <w:rFonts w:ascii="Times New Roman" w:hAnsi="Times New Roman" w:cs="Times New Roman"/>
          <w:lang w:val="ro-MD"/>
        </w:rPr>
        <w:t>) la care se referă informațiile;</w:t>
      </w:r>
    </w:p>
    <w:p w14:paraId="162524D9" w14:textId="57A091A6" w:rsidR="00953F0D" w:rsidRPr="000508B6" w:rsidRDefault="003251E9" w:rsidP="00B913DE">
      <w:pPr>
        <w:pStyle w:val="Listparagraf"/>
        <w:numPr>
          <w:ilvl w:val="3"/>
          <w:numId w:val="290"/>
        </w:numPr>
        <w:tabs>
          <w:tab w:val="left" w:pos="567"/>
          <w:tab w:val="left" w:pos="709"/>
          <w:tab w:val="left" w:pos="851"/>
          <w:tab w:val="left" w:pos="1134"/>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codul LEI al </w:t>
      </w:r>
      <w:r w:rsidR="00BC58B9" w:rsidRPr="000508B6">
        <w:rPr>
          <w:rFonts w:ascii="Times New Roman" w:hAnsi="Times New Roman" w:cs="Times New Roman"/>
          <w:lang w:val="ro-MD"/>
        </w:rPr>
        <w:t xml:space="preserve">asigurătorilor sau </w:t>
      </w:r>
      <w:proofErr w:type="spellStart"/>
      <w:r w:rsidR="00BC58B9" w:rsidRPr="000508B6">
        <w:rPr>
          <w:rFonts w:ascii="Times New Roman" w:hAnsi="Times New Roman" w:cs="Times New Roman"/>
          <w:lang w:val="ro-MD"/>
        </w:rPr>
        <w:t>reasigurătorilor</w:t>
      </w:r>
      <w:proofErr w:type="spellEnd"/>
      <w:r w:rsidR="00953F0D" w:rsidRPr="000508B6">
        <w:rPr>
          <w:rFonts w:ascii="Times New Roman" w:hAnsi="Times New Roman" w:cs="Times New Roman"/>
          <w:lang w:val="ro-MD"/>
        </w:rPr>
        <w:t>;</w:t>
      </w:r>
    </w:p>
    <w:p w14:paraId="2A0367F5" w14:textId="4960F6D5" w:rsidR="00953F0D" w:rsidRPr="000508B6" w:rsidRDefault="003251E9" w:rsidP="00B913DE">
      <w:pPr>
        <w:pStyle w:val="Listparagraf"/>
        <w:numPr>
          <w:ilvl w:val="3"/>
          <w:numId w:val="290"/>
        </w:numPr>
        <w:tabs>
          <w:tab w:val="left" w:pos="567"/>
          <w:tab w:val="left" w:pos="709"/>
          <w:tab w:val="left" w:pos="851"/>
          <w:tab w:val="left" w:pos="1134"/>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precizarea faptului ca </w:t>
      </w:r>
      <w:r w:rsidR="0044032F" w:rsidRPr="000508B6">
        <w:rPr>
          <w:rFonts w:ascii="Times New Roman" w:hAnsi="Times New Roman" w:cs="Times New Roman"/>
          <w:lang w:val="ro-MD"/>
        </w:rPr>
        <w:t>informațiile</w:t>
      </w:r>
      <w:r w:rsidR="00953F0D" w:rsidRPr="000508B6">
        <w:rPr>
          <w:rFonts w:ascii="Times New Roman" w:hAnsi="Times New Roman" w:cs="Times New Roman"/>
          <w:lang w:val="ro-MD"/>
        </w:rPr>
        <w:t xml:space="preserve"> au fost transmise ca urmare a unei obligații legale sau în mod voluntar;</w:t>
      </w:r>
    </w:p>
    <w:p w14:paraId="5FB7F4A6" w14:textId="27EA2A0A" w:rsidR="00953F0D" w:rsidRPr="000508B6" w:rsidRDefault="003251E9" w:rsidP="00B913DE">
      <w:pPr>
        <w:pStyle w:val="Listparagraf"/>
        <w:numPr>
          <w:ilvl w:val="3"/>
          <w:numId w:val="290"/>
        </w:numPr>
        <w:tabs>
          <w:tab w:val="left" w:pos="567"/>
          <w:tab w:val="left" w:pos="709"/>
          <w:tab w:val="left" w:pos="851"/>
          <w:tab w:val="left" w:pos="1134"/>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953F0D" w:rsidRPr="000508B6">
        <w:rPr>
          <w:rFonts w:ascii="Times New Roman" w:hAnsi="Times New Roman" w:cs="Times New Roman"/>
          <w:lang w:val="ro-MD"/>
        </w:rPr>
        <w:t xml:space="preserve">o mențiune care să indice dacă </w:t>
      </w:r>
      <w:r w:rsidR="0044032F" w:rsidRPr="000508B6">
        <w:rPr>
          <w:rFonts w:ascii="Times New Roman" w:hAnsi="Times New Roman" w:cs="Times New Roman"/>
          <w:lang w:val="ro-MD"/>
        </w:rPr>
        <w:t>informațiile</w:t>
      </w:r>
      <w:r w:rsidR="00953F0D" w:rsidRPr="000508B6">
        <w:rPr>
          <w:rFonts w:ascii="Times New Roman" w:hAnsi="Times New Roman" w:cs="Times New Roman"/>
          <w:lang w:val="ro-MD"/>
        </w:rPr>
        <w:t xml:space="preserve"> conțin date cu caracter personal.</w:t>
      </w:r>
    </w:p>
    <w:p w14:paraId="738A4554" w14:textId="0077BAF6" w:rsidR="00A12DD7" w:rsidRPr="000508B6" w:rsidRDefault="00A12DD7"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FE4E90" w:rsidRPr="000508B6">
        <w:rPr>
          <w:rFonts w:ascii="Times New Roman" w:hAnsi="Times New Roman" w:cs="Times New Roman"/>
          <w:lang w:val="ro-MD"/>
        </w:rPr>
        <w:t>Banca</w:t>
      </w:r>
      <w:r w:rsidRPr="000508B6" w:rsidDel="00FE4E90">
        <w:rPr>
          <w:rFonts w:ascii="Times New Roman" w:hAnsi="Times New Roman" w:cs="Times New Roman"/>
          <w:lang w:val="ro-MD"/>
        </w:rPr>
        <w:t xml:space="preserve"> </w:t>
      </w:r>
      <w:r w:rsidR="00FE4E90" w:rsidRPr="000508B6">
        <w:rPr>
          <w:rFonts w:ascii="Times New Roman" w:hAnsi="Times New Roman" w:cs="Times New Roman"/>
          <w:lang w:val="ro-MD"/>
        </w:rPr>
        <w:t>Națională</w:t>
      </w:r>
      <w:r w:rsidRPr="000508B6">
        <w:rPr>
          <w:rFonts w:ascii="Times New Roman" w:hAnsi="Times New Roman" w:cs="Times New Roman"/>
          <w:lang w:val="ro-MD"/>
        </w:rPr>
        <w:t xml:space="preserve"> a Moldovei, în cazul unei urgențe sanitare excepționale, al unei catastrofe naturale sau al unui alt eveniment extrem, </w:t>
      </w:r>
      <w:r w:rsidR="00FE4E90" w:rsidRPr="000508B6">
        <w:rPr>
          <w:rFonts w:ascii="Times New Roman" w:hAnsi="Times New Roman" w:cs="Times New Roman"/>
          <w:lang w:val="ro-MD"/>
        </w:rPr>
        <w:t xml:space="preserve">poate solicita </w:t>
      </w:r>
      <w:r w:rsidRPr="000508B6">
        <w:rPr>
          <w:rFonts w:ascii="Times New Roman" w:hAnsi="Times New Roman" w:cs="Times New Roman"/>
          <w:lang w:val="ro-MD"/>
        </w:rPr>
        <w:t xml:space="preserve">EIOPA, </w:t>
      </w:r>
      <w:r w:rsidR="00FE4E90" w:rsidRPr="000508B6">
        <w:rPr>
          <w:rFonts w:ascii="Times New Roman" w:hAnsi="Times New Roman" w:cs="Times New Roman"/>
          <w:lang w:val="ro-MD"/>
        </w:rPr>
        <w:t xml:space="preserve">să </w:t>
      </w:r>
      <w:r w:rsidR="00B64698" w:rsidRPr="000508B6">
        <w:rPr>
          <w:rFonts w:ascii="Times New Roman" w:hAnsi="Times New Roman" w:cs="Times New Roman"/>
          <w:lang w:val="ro-MD"/>
        </w:rPr>
        <w:t>evalueze</w:t>
      </w:r>
      <w:r w:rsidRPr="000508B6">
        <w:rPr>
          <w:rFonts w:ascii="Times New Roman" w:hAnsi="Times New Roman" w:cs="Times New Roman"/>
          <w:lang w:val="ro-MD"/>
        </w:rPr>
        <w:t xml:space="preserve"> dacă respectiva urgență sanitară excepțională, catastrofă naturală sau alt eveniment extrem este de natură să afecteze în mod semnificativ capacitățile operaționale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împiedicându-l să transmită informații în termenele prevăzute la </w:t>
      </w:r>
      <w:r w:rsidRPr="000508B6" w:rsidDel="00E40567">
        <w:rPr>
          <w:rFonts w:ascii="Times New Roman" w:hAnsi="Times New Roman" w:cs="Times New Roman"/>
          <w:lang w:val="ro-MD"/>
        </w:rPr>
        <w:t xml:space="preserve">art. </w:t>
      </w:r>
      <w:r w:rsidRPr="000508B6">
        <w:rPr>
          <w:rFonts w:ascii="Times New Roman" w:hAnsi="Times New Roman" w:cs="Times New Roman"/>
          <w:lang w:val="ro-MD"/>
        </w:rPr>
        <w:t>32 alin. (14</w:t>
      </w:r>
      <w:r w:rsidRPr="000508B6" w:rsidDel="00E40567">
        <w:rPr>
          <w:rFonts w:ascii="Times New Roman" w:hAnsi="Times New Roman" w:cs="Times New Roman"/>
          <w:lang w:val="ro-MD"/>
        </w:rPr>
        <w:t xml:space="preserve">), </w:t>
      </w:r>
      <w:r w:rsidRPr="000508B6">
        <w:rPr>
          <w:rFonts w:ascii="Times New Roman" w:hAnsi="Times New Roman" w:cs="Times New Roman"/>
          <w:lang w:val="ro-MD"/>
        </w:rPr>
        <w:t>la art. 148 alin. (1)</w:t>
      </w:r>
      <w:r w:rsidR="00B64698" w:rsidRPr="000508B6">
        <w:rPr>
          <w:rFonts w:ascii="Times New Roman" w:hAnsi="Times New Roman" w:cs="Times New Roman"/>
          <w:lang w:val="ro-MD"/>
        </w:rPr>
        <w:t xml:space="preserve"> </w:t>
      </w:r>
      <w:r w:rsidRPr="000508B6">
        <w:rPr>
          <w:rFonts w:ascii="Times New Roman" w:hAnsi="Times New Roman" w:cs="Times New Roman"/>
          <w:lang w:val="ro-MD"/>
        </w:rPr>
        <w:t>și (2) și la art. 150 alin. (1) și (2</w:t>
      </w:r>
      <w:bookmarkStart w:id="163" w:name="_Hlk199251537"/>
      <w:r w:rsidR="00E40567" w:rsidRPr="000508B6">
        <w:rPr>
          <w:rFonts w:ascii="Times New Roman" w:hAnsi="Times New Roman" w:cs="Times New Roman"/>
          <w:lang w:val="ro-MD"/>
        </w:rPr>
        <w:t xml:space="preserve">), </w:t>
      </w:r>
      <w:r w:rsidR="00091038" w:rsidRPr="000508B6">
        <w:rPr>
          <w:rFonts w:ascii="Times New Roman" w:hAnsi="Times New Roman" w:cs="Times New Roman"/>
          <w:lang w:val="ro-MD"/>
        </w:rPr>
        <w:t xml:space="preserve">art. </w:t>
      </w:r>
      <w:r w:rsidR="00E40567" w:rsidRPr="000508B6">
        <w:rPr>
          <w:rFonts w:ascii="Times New Roman" w:hAnsi="Times New Roman" w:cs="Times New Roman"/>
          <w:lang w:val="ro-MD"/>
        </w:rPr>
        <w:t xml:space="preserve">179 alin. (8), (9) și (10), la art. 195 alin. (8) și (9). </w:t>
      </w:r>
    </w:p>
    <w:p w14:paraId="2B3EBB75" w14:textId="50F274CD" w:rsidR="00102CE7" w:rsidRPr="000508B6" w:rsidRDefault="00102CE7"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situația prevăzută la alin. (</w:t>
      </w:r>
      <w:r w:rsidR="00CA33CB" w:rsidRPr="000508B6">
        <w:rPr>
          <w:rFonts w:ascii="Times New Roman" w:hAnsi="Times New Roman" w:cs="Times New Roman"/>
          <w:lang w:val="ro-MD"/>
        </w:rPr>
        <w:t>16</w:t>
      </w:r>
      <w:r w:rsidRPr="000508B6">
        <w:rPr>
          <w:rFonts w:ascii="Times New Roman" w:hAnsi="Times New Roman" w:cs="Times New Roman"/>
          <w:lang w:val="ro-MD"/>
        </w:rPr>
        <w:t xml:space="preserve">), Banca Națională a Moldovei cooperează cu EIOPA pentru a stabili impactul evenimentului extrem asupra capacității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de a transmite informații în termenele stabilite de prezenta lege.</w:t>
      </w:r>
      <w:r w:rsidR="000C6347" w:rsidRPr="000508B6">
        <w:rPr>
          <w:rFonts w:ascii="Times New Roman" w:hAnsi="Times New Roman" w:cs="Times New Roman"/>
          <w:lang w:val="ro-MD"/>
        </w:rPr>
        <w:t xml:space="preserve"> </w:t>
      </w:r>
    </w:p>
    <w:bookmarkEnd w:id="163"/>
    <w:p w14:paraId="7908C623" w14:textId="3CBD9B0F" w:rsidR="00091038" w:rsidRPr="000508B6" w:rsidRDefault="00A12DD7" w:rsidP="00B913DE">
      <w:pPr>
        <w:pStyle w:val="Listparagraf"/>
        <w:numPr>
          <w:ilvl w:val="0"/>
          <w:numId w:val="50"/>
        </w:numPr>
        <w:tabs>
          <w:tab w:val="left" w:pos="567"/>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EIOPA consideră că o urgență sanitară excepțională, o catastrofă naturală sau un alt eveniment extrem afectează semnificativ capacitățile operaționale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împiedicându-le să </w:t>
      </w:r>
      <w:r w:rsidR="003D29CC" w:rsidRPr="000508B6">
        <w:rPr>
          <w:rFonts w:ascii="Times New Roman" w:hAnsi="Times New Roman" w:cs="Times New Roman"/>
          <w:lang w:val="ro-MD"/>
        </w:rPr>
        <w:t xml:space="preserve">transmită informațiile și să </w:t>
      </w:r>
      <w:r w:rsidRPr="000508B6">
        <w:rPr>
          <w:rFonts w:ascii="Times New Roman" w:hAnsi="Times New Roman" w:cs="Times New Roman"/>
          <w:lang w:val="ro-MD"/>
        </w:rPr>
        <w:t>respecte termenele prevăzute la alin.</w:t>
      </w:r>
      <w:r w:rsidR="00B64698" w:rsidRPr="000508B6">
        <w:rPr>
          <w:rFonts w:ascii="Times New Roman" w:hAnsi="Times New Roman" w:cs="Times New Roman"/>
          <w:lang w:val="ro-MD"/>
        </w:rPr>
        <w:t xml:space="preserve"> </w:t>
      </w:r>
      <w:r w:rsidRPr="000508B6">
        <w:rPr>
          <w:rFonts w:ascii="Times New Roman" w:hAnsi="Times New Roman" w:cs="Times New Roman"/>
          <w:lang w:val="ro-MD"/>
        </w:rPr>
        <w:t>(</w:t>
      </w:r>
      <w:r w:rsidR="00922F9D" w:rsidRPr="000508B6">
        <w:rPr>
          <w:rFonts w:ascii="Times New Roman" w:hAnsi="Times New Roman" w:cs="Times New Roman"/>
          <w:lang w:val="ro-MD"/>
        </w:rPr>
        <w:t>16</w:t>
      </w:r>
      <w:r w:rsidRPr="000508B6">
        <w:rPr>
          <w:rFonts w:ascii="Times New Roman" w:hAnsi="Times New Roman" w:cs="Times New Roman"/>
          <w:lang w:val="ro-MD"/>
        </w:rPr>
        <w:t>)</w:t>
      </w:r>
      <w:r w:rsidR="00FD3840" w:rsidRPr="000508B6">
        <w:rPr>
          <w:rFonts w:ascii="Times New Roman" w:hAnsi="Times New Roman" w:cs="Times New Roman"/>
          <w:lang w:val="ro-MD"/>
        </w:rPr>
        <w:t xml:space="preserve"> și alin. (</w:t>
      </w:r>
      <w:r w:rsidR="00922F9D" w:rsidRPr="000508B6">
        <w:rPr>
          <w:rFonts w:ascii="Times New Roman" w:hAnsi="Times New Roman" w:cs="Times New Roman"/>
          <w:lang w:val="ro-MD"/>
        </w:rPr>
        <w:t>17</w:t>
      </w:r>
      <w:r w:rsidR="00FD3840" w:rsidRPr="000508B6">
        <w:rPr>
          <w:rFonts w:ascii="Times New Roman" w:hAnsi="Times New Roman" w:cs="Times New Roman"/>
          <w:lang w:val="ro-MD"/>
        </w:rPr>
        <w:t>)</w:t>
      </w:r>
      <w:r w:rsidR="00FE4E90" w:rsidRPr="000508B6">
        <w:rPr>
          <w:rFonts w:ascii="Times New Roman" w:hAnsi="Times New Roman" w:cs="Times New Roman"/>
          <w:lang w:val="ro-MD"/>
        </w:rPr>
        <w:t>,</w:t>
      </w:r>
      <w:r w:rsidRPr="000508B6">
        <w:rPr>
          <w:rFonts w:ascii="Times New Roman" w:hAnsi="Times New Roman" w:cs="Times New Roman"/>
          <w:lang w:val="ro-MD"/>
        </w:rPr>
        <w:t xml:space="preserve"> Banca Națională a Moldovei publică informațiile </w:t>
      </w:r>
      <w:r w:rsidR="00604E44" w:rsidRPr="000508B6">
        <w:rPr>
          <w:rFonts w:ascii="Times New Roman" w:hAnsi="Times New Roman" w:cs="Times New Roman"/>
          <w:lang w:val="ro-MD"/>
        </w:rPr>
        <w:t xml:space="preserve">respective </w:t>
      </w:r>
      <w:r w:rsidRPr="000508B6">
        <w:rPr>
          <w:rFonts w:ascii="Times New Roman" w:hAnsi="Times New Roman" w:cs="Times New Roman"/>
          <w:lang w:val="ro-MD"/>
        </w:rPr>
        <w:t>pe site-urile web.</w:t>
      </w:r>
      <w:r w:rsidR="00091038" w:rsidRPr="000508B6">
        <w:rPr>
          <w:rFonts w:ascii="Times New Roman" w:hAnsi="Times New Roman" w:cs="Times New Roman"/>
          <w:lang w:val="ro-MD"/>
        </w:rPr>
        <w:t xml:space="preserve"> </w:t>
      </w:r>
    </w:p>
    <w:p w14:paraId="4E01D67F" w14:textId="3866043E" w:rsidR="00953F0D" w:rsidRPr="000508B6" w:rsidRDefault="00202949" w:rsidP="00B64698">
      <w:pPr>
        <w:pStyle w:val="Listparagraf"/>
        <w:numPr>
          <w:ilvl w:val="0"/>
          <w:numId w:val="50"/>
        </w:numPr>
        <w:tabs>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situația prevăzută în alin. (</w:t>
      </w:r>
      <w:r w:rsidR="00922F9D" w:rsidRPr="000508B6">
        <w:rPr>
          <w:rFonts w:ascii="Times New Roman" w:hAnsi="Times New Roman" w:cs="Times New Roman"/>
          <w:lang w:val="ro-MD"/>
        </w:rPr>
        <w:t>18</w:t>
      </w:r>
      <w:r w:rsidRPr="000508B6">
        <w:rPr>
          <w:rFonts w:ascii="Times New Roman" w:hAnsi="Times New Roman" w:cs="Times New Roman"/>
          <w:lang w:val="ro-MD"/>
        </w:rPr>
        <w:t xml:space="preserve">), </w:t>
      </w:r>
      <w:r w:rsidR="00BC58B9" w:rsidRPr="000508B6">
        <w:rPr>
          <w:rFonts w:ascii="Times New Roman" w:hAnsi="Times New Roman" w:cs="Times New Roman"/>
          <w:lang w:val="ro-MD"/>
        </w:rPr>
        <w:t>Banca Națională a Moldovei</w:t>
      </w:r>
      <w:r w:rsidRPr="000508B6">
        <w:rPr>
          <w:rFonts w:ascii="Times New Roman" w:hAnsi="Times New Roman" w:cs="Times New Roman"/>
          <w:lang w:val="ro-MD"/>
        </w:rPr>
        <w:t xml:space="preserve"> comunică asigurătorilor sau </w:t>
      </w:r>
      <w:proofErr w:type="spellStart"/>
      <w:r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noi termene de raportare. </w:t>
      </w:r>
    </w:p>
    <w:p w14:paraId="6A49A1B9" w14:textId="2438F6EF" w:rsidR="00AB0222" w:rsidRPr="000508B6" w:rsidRDefault="00AB0222" w:rsidP="00B913DE">
      <w:pPr>
        <w:pStyle w:val="Listparagraf"/>
        <w:numPr>
          <w:ilvl w:val="0"/>
          <w:numId w:val="50"/>
        </w:numPr>
        <w:tabs>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Banca Națională a Moldovei poate emite recomandări cu privire la modul de respectare a </w:t>
      </w:r>
      <w:proofErr w:type="spellStart"/>
      <w:r w:rsidRPr="000508B6">
        <w:rPr>
          <w:rFonts w:ascii="Times New Roman" w:hAnsi="Times New Roman" w:cs="Times New Roman"/>
          <w:bCs/>
          <w:lang w:val="ro-MD"/>
        </w:rPr>
        <w:t>cerinţelor</w:t>
      </w:r>
      <w:proofErr w:type="spellEnd"/>
      <w:r w:rsidRPr="000508B6">
        <w:rPr>
          <w:rFonts w:ascii="Times New Roman" w:hAnsi="Times New Roman" w:cs="Times New Roman"/>
          <w:bCs/>
          <w:lang w:val="ro-MD"/>
        </w:rPr>
        <w:t xml:space="preserve"> prevăzute în </w:t>
      </w:r>
      <w:r w:rsidR="0021124A" w:rsidRPr="000508B6">
        <w:rPr>
          <w:rFonts w:ascii="Times New Roman" w:hAnsi="Times New Roman" w:cs="Times New Roman"/>
          <w:bCs/>
          <w:lang w:val="ro-MD"/>
        </w:rPr>
        <w:t>art.</w:t>
      </w:r>
      <w:r w:rsidR="00B64698" w:rsidRPr="000508B6">
        <w:rPr>
          <w:rFonts w:ascii="Times New Roman" w:hAnsi="Times New Roman" w:cs="Times New Roman"/>
          <w:bCs/>
          <w:lang w:val="ro-MD"/>
        </w:rPr>
        <w:t xml:space="preserve"> </w:t>
      </w:r>
      <w:r w:rsidR="0021124A" w:rsidRPr="000508B6">
        <w:rPr>
          <w:rFonts w:ascii="Times New Roman" w:hAnsi="Times New Roman" w:cs="Times New Roman"/>
          <w:bCs/>
          <w:lang w:val="ro-MD"/>
        </w:rPr>
        <w:t>19-31</w:t>
      </w:r>
      <w:r w:rsidRPr="000508B6">
        <w:rPr>
          <w:rFonts w:ascii="Times New Roman" w:hAnsi="Times New Roman" w:cs="Times New Roman"/>
          <w:bCs/>
          <w:lang w:val="ro-MD"/>
        </w:rPr>
        <w:t xml:space="preserve"> </w:t>
      </w:r>
      <w:proofErr w:type="spellStart"/>
      <w:r w:rsidRPr="000508B6">
        <w:rPr>
          <w:rFonts w:ascii="Times New Roman" w:hAnsi="Times New Roman" w:cs="Times New Roman"/>
          <w:bCs/>
          <w:lang w:val="ro-MD"/>
        </w:rPr>
        <w:t>şi</w:t>
      </w:r>
      <w:proofErr w:type="spellEnd"/>
      <w:r w:rsidRPr="000508B6">
        <w:rPr>
          <w:rFonts w:ascii="Times New Roman" w:hAnsi="Times New Roman" w:cs="Times New Roman"/>
          <w:bCs/>
          <w:lang w:val="ro-MD"/>
        </w:rPr>
        <w:t xml:space="preserve"> la modul de aplicare a politicilor adoptate. </w:t>
      </w:r>
    </w:p>
    <w:p w14:paraId="67F06EB4" w14:textId="149E9EA6" w:rsidR="00F45A71" w:rsidRPr="000508B6" w:rsidRDefault="00AB0222" w:rsidP="00B913DE">
      <w:pPr>
        <w:pStyle w:val="Listparagraf"/>
        <w:numPr>
          <w:ilvl w:val="0"/>
          <w:numId w:val="50"/>
        </w:numPr>
        <w:tabs>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Refuzul de a aplica recomandările prevăzute la alin.</w:t>
      </w:r>
      <w:r w:rsidR="00B64698" w:rsidRPr="000508B6">
        <w:rPr>
          <w:rFonts w:ascii="Times New Roman" w:hAnsi="Times New Roman" w:cs="Times New Roman"/>
          <w:bCs/>
          <w:lang w:val="ro-MD"/>
        </w:rPr>
        <w:t xml:space="preserve"> </w:t>
      </w:r>
      <w:r w:rsidRPr="000508B6">
        <w:rPr>
          <w:rFonts w:ascii="Times New Roman" w:hAnsi="Times New Roman" w:cs="Times New Roman"/>
          <w:bCs/>
          <w:lang w:val="ro-MD"/>
        </w:rPr>
        <w:t>(</w:t>
      </w:r>
      <w:r w:rsidR="006A3D05" w:rsidRPr="000508B6">
        <w:rPr>
          <w:rFonts w:ascii="Times New Roman" w:hAnsi="Times New Roman" w:cs="Times New Roman"/>
          <w:bCs/>
          <w:lang w:val="ro-MD"/>
        </w:rPr>
        <w:t>2</w:t>
      </w:r>
      <w:r w:rsidR="00922F9D" w:rsidRPr="000508B6">
        <w:rPr>
          <w:rFonts w:ascii="Times New Roman" w:hAnsi="Times New Roman" w:cs="Times New Roman"/>
          <w:bCs/>
          <w:lang w:val="ro-MD"/>
        </w:rPr>
        <w:t>0</w:t>
      </w:r>
      <w:r w:rsidRPr="000508B6">
        <w:rPr>
          <w:rFonts w:ascii="Times New Roman" w:hAnsi="Times New Roman" w:cs="Times New Roman"/>
          <w:bCs/>
          <w:lang w:val="ro-MD"/>
        </w:rPr>
        <w:t xml:space="preserve">) este documentat </w:t>
      </w:r>
      <w:proofErr w:type="spellStart"/>
      <w:r w:rsidRPr="000508B6">
        <w:rPr>
          <w:rFonts w:ascii="Times New Roman" w:hAnsi="Times New Roman" w:cs="Times New Roman"/>
          <w:bCs/>
          <w:lang w:val="ro-MD"/>
        </w:rPr>
        <w:t>şi</w:t>
      </w:r>
      <w:proofErr w:type="spellEnd"/>
      <w:r w:rsidRPr="000508B6">
        <w:rPr>
          <w:rFonts w:ascii="Times New Roman" w:hAnsi="Times New Roman" w:cs="Times New Roman"/>
          <w:bCs/>
          <w:lang w:val="ro-MD"/>
        </w:rPr>
        <w:t xml:space="preserve"> transmis Băncii Naționale a Moldovei până la data prevăzută în recomandările respective. </w:t>
      </w:r>
    </w:p>
    <w:p w14:paraId="110C5C54" w14:textId="3317016E" w:rsidR="00FE0505" w:rsidRPr="000508B6" w:rsidRDefault="00FE0505" w:rsidP="00B913DE">
      <w:pPr>
        <w:pStyle w:val="Listparagraf"/>
        <w:numPr>
          <w:ilvl w:val="0"/>
          <w:numId w:val="50"/>
        </w:numPr>
        <w:tabs>
          <w:tab w:val="left" w:pos="709"/>
          <w:tab w:val="left" w:pos="851"/>
          <w:tab w:val="left" w:pos="1134"/>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Independent de formularea unor recomandări, Banca </w:t>
      </w:r>
      <w:proofErr w:type="spellStart"/>
      <w:r w:rsidRPr="000508B6">
        <w:rPr>
          <w:rFonts w:ascii="Times New Roman" w:hAnsi="Times New Roman" w:cs="Times New Roman"/>
          <w:bCs/>
          <w:lang w:val="ro-MD"/>
        </w:rPr>
        <w:t>Naţională</w:t>
      </w:r>
      <w:proofErr w:type="spellEnd"/>
      <w:r w:rsidRPr="000508B6">
        <w:rPr>
          <w:rFonts w:ascii="Times New Roman" w:hAnsi="Times New Roman" w:cs="Times New Roman"/>
          <w:bCs/>
          <w:lang w:val="ro-MD"/>
        </w:rPr>
        <w:t xml:space="preserve"> a Moldovei poate dispune măsuri </w:t>
      </w:r>
      <w:proofErr w:type="spellStart"/>
      <w:r w:rsidRPr="000508B6">
        <w:rPr>
          <w:rFonts w:ascii="Times New Roman" w:hAnsi="Times New Roman" w:cs="Times New Roman"/>
          <w:bCs/>
          <w:lang w:val="ro-MD"/>
        </w:rPr>
        <w:t>şi</w:t>
      </w:r>
      <w:proofErr w:type="spellEnd"/>
      <w:r w:rsidRPr="000508B6">
        <w:rPr>
          <w:rFonts w:ascii="Times New Roman" w:hAnsi="Times New Roman" w:cs="Times New Roman"/>
          <w:bCs/>
          <w:lang w:val="ro-MD"/>
        </w:rPr>
        <w:t xml:space="preserve">/sau aplicarea de </w:t>
      </w:r>
      <w:proofErr w:type="spellStart"/>
      <w:r w:rsidRPr="000508B6">
        <w:rPr>
          <w:rFonts w:ascii="Times New Roman" w:hAnsi="Times New Roman" w:cs="Times New Roman"/>
          <w:bCs/>
          <w:lang w:val="ro-MD"/>
        </w:rPr>
        <w:t>sancţiuni</w:t>
      </w:r>
      <w:proofErr w:type="spellEnd"/>
      <w:r w:rsidRPr="000508B6">
        <w:rPr>
          <w:rFonts w:ascii="Times New Roman" w:hAnsi="Times New Roman" w:cs="Times New Roman"/>
          <w:bCs/>
          <w:lang w:val="ro-MD"/>
        </w:rPr>
        <w:t>, potrivit prezentei legi.</w:t>
      </w:r>
    </w:p>
    <w:p w14:paraId="198EBC58" w14:textId="77777777" w:rsidR="00AB0222" w:rsidRPr="000508B6" w:rsidRDefault="00AB0222" w:rsidP="00751A5C">
      <w:pPr>
        <w:spacing w:after="0" w:line="240" w:lineRule="auto"/>
        <w:jc w:val="both"/>
        <w:rPr>
          <w:rFonts w:ascii="Times New Roman" w:hAnsi="Times New Roman" w:cs="Times New Roman"/>
          <w:b/>
          <w:lang w:val="ro-MD"/>
        </w:rPr>
      </w:pPr>
    </w:p>
    <w:p w14:paraId="452C816B" w14:textId="34381E55"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E03B5E" w:rsidRPr="000508B6">
        <w:rPr>
          <w:rFonts w:ascii="Times New Roman" w:hAnsi="Times New Roman" w:cs="Times New Roman"/>
          <w:b/>
          <w:lang w:val="ro-MD"/>
        </w:rPr>
        <w:t>177</w:t>
      </w:r>
      <w:r w:rsidRPr="000508B6">
        <w:rPr>
          <w:rFonts w:ascii="Times New Roman" w:hAnsi="Times New Roman" w:cs="Times New Roman"/>
          <w:b/>
          <w:lang w:val="ro-MD"/>
        </w:rPr>
        <w:t>.</w:t>
      </w:r>
      <w:r w:rsidRPr="000508B6">
        <w:rPr>
          <w:rFonts w:ascii="Times New Roman" w:hAnsi="Times New Roman" w:cs="Times New Roman"/>
          <w:lang w:val="ro-MD"/>
        </w:rPr>
        <w:t xml:space="preserve"> Supravegherea sucursalelor stabilite într-un alt stat membru </w:t>
      </w:r>
    </w:p>
    <w:p w14:paraId="576DBD3D" w14:textId="0C65A927" w:rsidR="00AC4E00" w:rsidRPr="000508B6" w:rsidRDefault="00AC4E00" w:rsidP="00B913DE">
      <w:pPr>
        <w:pStyle w:val="Listparagraf"/>
        <w:numPr>
          <w:ilvl w:val="0"/>
          <w:numId w:val="52"/>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723F78" w:rsidRPr="000508B6">
        <w:rPr>
          <w:rFonts w:ascii="Times New Roman" w:eastAsia="Times New Roman" w:hAnsi="Times New Roman" w:cs="Times New Roman"/>
          <w:lang w:val="ro-MD"/>
        </w:rPr>
        <w:t xml:space="preserve">un asigurător sau </w:t>
      </w:r>
      <w:proofErr w:type="spellStart"/>
      <w:r w:rsidR="00723F78"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în Republica Moldova </w:t>
      </w:r>
      <w:proofErr w:type="spellStart"/>
      <w:r w:rsidRPr="000508B6">
        <w:rPr>
          <w:rFonts w:ascii="Times New Roman" w:eastAsia="Times New Roman" w:hAnsi="Times New Roman" w:cs="Times New Roman"/>
          <w:lang w:val="ro-MD"/>
        </w:rPr>
        <w:t>îşi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desfăşoară</w:t>
      </w:r>
      <w:proofErr w:type="spellEnd"/>
      <w:r w:rsidRPr="000508B6">
        <w:rPr>
          <w:rFonts w:ascii="Times New Roman" w:eastAsia="Times New Roman" w:hAnsi="Times New Roman" w:cs="Times New Roman"/>
          <w:lang w:val="ro-MD"/>
        </w:rPr>
        <w:t xml:space="preserve"> activitatea într-un stat membru prin intermediul unei sucursale, Banca Națională a Moldovei: </w:t>
      </w:r>
    </w:p>
    <w:p w14:paraId="28019F0F" w14:textId="195583D9" w:rsidR="00AC4E00" w:rsidRPr="000508B6" w:rsidRDefault="00AC4E00" w:rsidP="00B64698">
      <w:pPr>
        <w:pStyle w:val="Listparagraf"/>
        <w:numPr>
          <w:ilvl w:val="2"/>
          <w:numId w:val="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notifică supraveghetorul din statul membru gazdă despre </w:t>
      </w:r>
      <w:proofErr w:type="spellStart"/>
      <w:r w:rsidRPr="000508B6">
        <w:rPr>
          <w:rFonts w:ascii="Times New Roman" w:hAnsi="Times New Roman" w:cs="Times New Roman"/>
          <w:lang w:val="ro-MD"/>
        </w:rPr>
        <w:t>intenţia</w:t>
      </w:r>
      <w:proofErr w:type="spellEnd"/>
      <w:r w:rsidRPr="000508B6">
        <w:rPr>
          <w:rFonts w:ascii="Times New Roman" w:hAnsi="Times New Roman" w:cs="Times New Roman"/>
          <w:lang w:val="ro-MD"/>
        </w:rPr>
        <w:t xml:space="preserve"> de a efectua </w:t>
      </w:r>
      <w:r w:rsidR="002451D8" w:rsidRPr="000508B6">
        <w:rPr>
          <w:rFonts w:ascii="Times New Roman" w:hAnsi="Times New Roman" w:cs="Times New Roman"/>
          <w:lang w:val="ro-MD"/>
        </w:rPr>
        <w:t xml:space="preserve">control cu </w:t>
      </w:r>
      <w:r w:rsidR="00F91616" w:rsidRPr="000508B6">
        <w:rPr>
          <w:rFonts w:ascii="Times New Roman" w:hAnsi="Times New Roman" w:cs="Times New Roman"/>
          <w:lang w:val="ro-MD"/>
        </w:rPr>
        <w:t>inspecție pe teren la</w:t>
      </w:r>
      <w:r w:rsidRPr="000508B6">
        <w:rPr>
          <w:rFonts w:ascii="Times New Roman" w:hAnsi="Times New Roman" w:cs="Times New Roman"/>
          <w:lang w:val="ro-MD"/>
        </w:rPr>
        <w:t xml:space="preserve"> </w:t>
      </w:r>
      <w:r w:rsidR="00F91616" w:rsidRPr="000508B6">
        <w:rPr>
          <w:rFonts w:ascii="Times New Roman" w:hAnsi="Times New Roman" w:cs="Times New Roman"/>
          <w:lang w:val="ro-MD"/>
        </w:rPr>
        <w:t xml:space="preserve">sucursala respectivă </w:t>
      </w:r>
      <w:r w:rsidRPr="000508B6">
        <w:rPr>
          <w:rFonts w:ascii="Times New Roman" w:hAnsi="Times New Roman" w:cs="Times New Roman"/>
          <w:lang w:val="ro-MD"/>
        </w:rPr>
        <w:t xml:space="preserve">direct, prin intermediari sau împreună cu supraveghetorul respectiv; </w:t>
      </w:r>
    </w:p>
    <w:p w14:paraId="613FCA61" w14:textId="568FA23B" w:rsidR="00AC4E00" w:rsidRPr="000508B6" w:rsidRDefault="007A2BAF" w:rsidP="00B913DE">
      <w:pPr>
        <w:pStyle w:val="Listparagraf"/>
        <w:numPr>
          <w:ilvl w:val="2"/>
          <w:numId w:val="5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poate </w:t>
      </w:r>
      <w:r w:rsidR="00AC4E00" w:rsidRPr="000508B6">
        <w:rPr>
          <w:rFonts w:ascii="Times New Roman" w:hAnsi="Times New Roman" w:cs="Times New Roman"/>
          <w:lang w:val="ro-MD"/>
        </w:rPr>
        <w:t>solicit</w:t>
      </w:r>
      <w:r w:rsidRPr="000508B6">
        <w:rPr>
          <w:rFonts w:ascii="Times New Roman" w:hAnsi="Times New Roman" w:cs="Times New Roman"/>
          <w:lang w:val="ro-MD"/>
        </w:rPr>
        <w:t>a</w:t>
      </w:r>
      <w:r w:rsidR="00AC4E00" w:rsidRPr="000508B6">
        <w:rPr>
          <w:rFonts w:ascii="Times New Roman" w:hAnsi="Times New Roman" w:cs="Times New Roman"/>
          <w:lang w:val="ro-MD"/>
        </w:rPr>
        <w:t xml:space="preserve"> </w:t>
      </w:r>
      <w:proofErr w:type="spellStart"/>
      <w:r w:rsidR="00AC4E00" w:rsidRPr="000508B6">
        <w:rPr>
          <w:rFonts w:ascii="Times New Roman" w:hAnsi="Times New Roman" w:cs="Times New Roman"/>
          <w:lang w:val="ro-MD"/>
        </w:rPr>
        <w:t>asistenţa</w:t>
      </w:r>
      <w:proofErr w:type="spellEnd"/>
      <w:r w:rsidR="00AC4E00" w:rsidRPr="000508B6">
        <w:rPr>
          <w:rFonts w:ascii="Times New Roman" w:hAnsi="Times New Roman" w:cs="Times New Roman"/>
          <w:lang w:val="ro-MD"/>
        </w:rPr>
        <w:t xml:space="preserve"> EIOPA în cazul în care supraveghetorul din statul membru gazdă interzice Băncii Naționale a Moldovei exercitarea dreptului de a efectua </w:t>
      </w:r>
      <w:r w:rsidR="00723F78" w:rsidRPr="000508B6">
        <w:rPr>
          <w:rFonts w:ascii="Times New Roman" w:hAnsi="Times New Roman" w:cs="Times New Roman"/>
          <w:lang w:val="ro-MD"/>
        </w:rPr>
        <w:t xml:space="preserve">inspecția pe teren </w:t>
      </w:r>
      <w:proofErr w:type="spellStart"/>
      <w:r w:rsidR="00AC4E00" w:rsidRPr="000508B6">
        <w:rPr>
          <w:rFonts w:ascii="Times New Roman" w:hAnsi="Times New Roman" w:cs="Times New Roman"/>
          <w:lang w:val="ro-MD"/>
        </w:rPr>
        <w:t>menţionat</w:t>
      </w:r>
      <w:r w:rsidR="00723F78" w:rsidRPr="000508B6">
        <w:rPr>
          <w:rFonts w:ascii="Times New Roman" w:hAnsi="Times New Roman" w:cs="Times New Roman"/>
          <w:lang w:val="ro-MD"/>
        </w:rPr>
        <w:t>ă</w:t>
      </w:r>
      <w:proofErr w:type="spellEnd"/>
      <w:r w:rsidR="00AC4E00" w:rsidRPr="000508B6">
        <w:rPr>
          <w:rFonts w:ascii="Times New Roman" w:hAnsi="Times New Roman" w:cs="Times New Roman"/>
          <w:lang w:val="ro-MD"/>
        </w:rPr>
        <w:t xml:space="preserve"> la lit.</w:t>
      </w:r>
      <w:r w:rsidR="00B64698" w:rsidRPr="000508B6">
        <w:rPr>
          <w:rFonts w:ascii="Times New Roman" w:hAnsi="Times New Roman" w:cs="Times New Roman"/>
          <w:lang w:val="ro-MD"/>
        </w:rPr>
        <w:t xml:space="preserve"> </w:t>
      </w:r>
      <w:r w:rsidR="00AC4E00" w:rsidRPr="000508B6">
        <w:rPr>
          <w:rFonts w:ascii="Times New Roman" w:hAnsi="Times New Roman" w:cs="Times New Roman"/>
          <w:lang w:val="ro-MD"/>
        </w:rPr>
        <w:t xml:space="preserve">a) sau dacă nu poate participa la </w:t>
      </w:r>
      <w:r w:rsidR="00723F78" w:rsidRPr="000508B6">
        <w:rPr>
          <w:rFonts w:ascii="Times New Roman" w:hAnsi="Times New Roman" w:cs="Times New Roman"/>
          <w:lang w:val="ro-MD"/>
        </w:rPr>
        <w:t xml:space="preserve">inspecția </w:t>
      </w:r>
      <w:r w:rsidR="00AC4E00" w:rsidRPr="000508B6">
        <w:rPr>
          <w:rFonts w:ascii="Times New Roman" w:hAnsi="Times New Roman" w:cs="Times New Roman"/>
          <w:lang w:val="ro-MD"/>
        </w:rPr>
        <w:t>respectiv</w:t>
      </w:r>
      <w:r w:rsidR="00723F78" w:rsidRPr="000508B6">
        <w:rPr>
          <w:rFonts w:ascii="Times New Roman" w:hAnsi="Times New Roman" w:cs="Times New Roman"/>
          <w:lang w:val="ro-MD"/>
        </w:rPr>
        <w:t>ă</w:t>
      </w:r>
      <w:r w:rsidR="00AC4E00" w:rsidRPr="000508B6">
        <w:rPr>
          <w:rFonts w:ascii="Times New Roman" w:hAnsi="Times New Roman" w:cs="Times New Roman"/>
          <w:lang w:val="ro-MD"/>
        </w:rPr>
        <w:t xml:space="preserve">.  </w:t>
      </w:r>
    </w:p>
    <w:p w14:paraId="6743D376" w14:textId="0FE217A4" w:rsidR="00AC4E00" w:rsidRPr="000508B6" w:rsidRDefault="00AC4E00" w:rsidP="00B913DE">
      <w:pPr>
        <w:pStyle w:val="Listparagraf"/>
        <w:numPr>
          <w:ilvl w:val="0"/>
          <w:numId w:val="52"/>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F90661">
        <w:rPr>
          <w:rFonts w:ascii="Times New Roman" w:hAnsi="Times New Roman" w:cs="Times New Roman"/>
          <w:lang w:val="ro-MD"/>
        </w:rPr>
        <w:t xml:space="preserve">un </w:t>
      </w:r>
      <w:r w:rsidR="00723F78" w:rsidRPr="000508B6">
        <w:rPr>
          <w:rFonts w:ascii="Times New Roman" w:hAnsi="Times New Roman" w:cs="Times New Roman"/>
          <w:lang w:val="ro-MD"/>
        </w:rPr>
        <w:t xml:space="preserve">asigurător sau </w:t>
      </w:r>
      <w:proofErr w:type="spellStart"/>
      <w:r w:rsidR="00723F7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r w:rsidR="00723F78" w:rsidRPr="000508B6">
        <w:rPr>
          <w:rFonts w:ascii="Times New Roman" w:hAnsi="Times New Roman" w:cs="Times New Roman"/>
          <w:lang w:val="ro-MD"/>
        </w:rPr>
        <w:t xml:space="preserve"> din</w:t>
      </w:r>
      <w:r w:rsidRPr="000508B6">
        <w:rPr>
          <w:rFonts w:ascii="Times New Roman" w:hAnsi="Times New Roman" w:cs="Times New Roman"/>
          <w:lang w:val="ro-MD"/>
        </w:rPr>
        <w:t xml:space="preserve">tr-un stat membru </w:t>
      </w:r>
      <w:proofErr w:type="spellStart"/>
      <w:r w:rsidRPr="000508B6">
        <w:rPr>
          <w:rFonts w:ascii="Times New Roman" w:hAnsi="Times New Roman" w:cs="Times New Roman"/>
          <w:lang w:val="ro-MD"/>
        </w:rPr>
        <w:t>îşi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activitatea în Republica Moldova prin intermediul unei sucursale, Banca Națională a Moldovei poate participa la </w:t>
      </w:r>
      <w:r w:rsidR="00C97576" w:rsidRPr="000508B6">
        <w:rPr>
          <w:rFonts w:ascii="Times New Roman" w:hAnsi="Times New Roman" w:cs="Times New Roman"/>
          <w:lang w:val="ro-MD"/>
        </w:rPr>
        <w:t xml:space="preserve">inspecția pe teren </w:t>
      </w:r>
      <w:r w:rsidRPr="000508B6">
        <w:rPr>
          <w:rFonts w:ascii="Times New Roman" w:hAnsi="Times New Roman" w:cs="Times New Roman"/>
          <w:lang w:val="ro-MD"/>
        </w:rPr>
        <w:t>la sucursal</w:t>
      </w:r>
      <w:r w:rsidR="00C97576" w:rsidRPr="000508B6">
        <w:rPr>
          <w:rFonts w:ascii="Times New Roman" w:hAnsi="Times New Roman" w:cs="Times New Roman"/>
          <w:lang w:val="ro-MD"/>
        </w:rPr>
        <w:t>a</w:t>
      </w:r>
      <w:r w:rsidRPr="000508B6">
        <w:rPr>
          <w:rFonts w:ascii="Times New Roman" w:hAnsi="Times New Roman" w:cs="Times New Roman"/>
          <w:lang w:val="ro-MD"/>
        </w:rPr>
        <w:t xml:space="preserve"> respectiv</w:t>
      </w:r>
      <w:r w:rsidR="006A6331" w:rsidRPr="000508B6">
        <w:rPr>
          <w:rFonts w:ascii="Times New Roman" w:hAnsi="Times New Roman" w:cs="Times New Roman"/>
          <w:lang w:val="ro-MD"/>
        </w:rPr>
        <w:t>ă</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iniţiat</w:t>
      </w:r>
      <w:proofErr w:type="spellEnd"/>
      <w:r w:rsidRPr="000508B6">
        <w:rPr>
          <w:rFonts w:ascii="Times New Roman" w:hAnsi="Times New Roman" w:cs="Times New Roman"/>
          <w:lang w:val="ro-MD"/>
        </w:rPr>
        <w:t xml:space="preserve"> de supraveghetorul din statul membru de origine sau poate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w:t>
      </w:r>
    </w:p>
    <w:p w14:paraId="0175CB4C" w14:textId="56B6B1C4" w:rsidR="00B229A1" w:rsidRPr="000508B6" w:rsidRDefault="00B229A1" w:rsidP="00B913DE">
      <w:pPr>
        <w:tabs>
          <w:tab w:val="left" w:pos="709"/>
          <w:tab w:val="left" w:pos="851"/>
        </w:tabs>
        <w:spacing w:after="0" w:line="240" w:lineRule="auto"/>
        <w:ind w:firstLine="426"/>
        <w:jc w:val="both"/>
        <w:rPr>
          <w:rFonts w:ascii="Times New Roman" w:eastAsia="Times New Roman" w:hAnsi="Times New Roman" w:cs="Times New Roman"/>
          <w:lang w:val="ro-MD"/>
        </w:rPr>
      </w:pPr>
    </w:p>
    <w:p w14:paraId="1F04CD78" w14:textId="361DB128" w:rsidR="00B229A1" w:rsidRPr="000508B6" w:rsidRDefault="00B229A1" w:rsidP="00B229A1">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w:t>
      </w:r>
      <w:r w:rsidRPr="000508B6">
        <w:rPr>
          <w:rFonts w:ascii="Times New Roman" w:eastAsia="Times New Roman" w:hAnsi="Times New Roman" w:cs="Times New Roman"/>
          <w:b/>
          <w:lang w:val="ro-MD"/>
        </w:rPr>
        <w:t xml:space="preserve">Articolul </w:t>
      </w:r>
      <w:r w:rsidR="00E03B5E" w:rsidRPr="000508B6">
        <w:rPr>
          <w:rFonts w:ascii="Times New Roman" w:eastAsia="Times New Roman" w:hAnsi="Times New Roman" w:cs="Times New Roman"/>
          <w:b/>
          <w:lang w:val="ro-MD"/>
        </w:rPr>
        <w:t>178</w:t>
      </w:r>
      <w:r w:rsidRPr="000508B6">
        <w:rPr>
          <w:rFonts w:ascii="Times New Roman" w:eastAsia="Times New Roman" w:hAnsi="Times New Roman" w:cs="Times New Roman"/>
          <w:b/>
          <w:lang w:val="ro-MD"/>
        </w:rPr>
        <w:t xml:space="preserve">. </w:t>
      </w:r>
      <w:r w:rsidR="00E17D08" w:rsidRPr="000508B6">
        <w:rPr>
          <w:rFonts w:ascii="Times New Roman" w:eastAsia="Times New Roman" w:hAnsi="Times New Roman" w:cs="Times New Roman"/>
          <w:lang w:val="ro-MD"/>
        </w:rPr>
        <w:t>P</w:t>
      </w:r>
      <w:r w:rsidRPr="000508B6">
        <w:rPr>
          <w:rFonts w:ascii="Times New Roman" w:eastAsia="Times New Roman" w:hAnsi="Times New Roman" w:cs="Times New Roman"/>
          <w:lang w:val="ro-MD"/>
        </w:rPr>
        <w:t>rocesul de supraveghere</w:t>
      </w:r>
    </w:p>
    <w:p w14:paraId="164B4A8A" w14:textId="445E3835" w:rsidR="00B229A1" w:rsidRPr="000508B6" w:rsidRDefault="00B229A1" w:rsidP="00B64698">
      <w:pPr>
        <w:pStyle w:val="Listparagraf"/>
        <w:numPr>
          <w:ilvl w:val="0"/>
          <w:numId w:val="12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analizează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evaluează politicile scrise, procesele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procedurile de raportare instituite de </w:t>
      </w:r>
      <w:r w:rsidR="006A51F9" w:rsidRPr="000508B6">
        <w:rPr>
          <w:rFonts w:ascii="Times New Roman" w:eastAsia="Times New Roman" w:hAnsi="Times New Roman" w:cs="Times New Roman"/>
          <w:lang w:val="ro-MD"/>
        </w:rPr>
        <w:t xml:space="preserve">asigurători sau </w:t>
      </w:r>
      <w:proofErr w:type="spellStart"/>
      <w:r w:rsidR="006A51F9" w:rsidRPr="000508B6">
        <w:rPr>
          <w:rFonts w:ascii="Times New Roman" w:eastAsia="Times New Roman" w:hAnsi="Times New Roman" w:cs="Times New Roman"/>
          <w:lang w:val="ro-MD"/>
        </w:rPr>
        <w:t>reasigurători</w:t>
      </w:r>
      <w:proofErr w:type="spellEnd"/>
      <w:r w:rsidR="006A51F9" w:rsidRPr="000508B6">
        <w:rPr>
          <w:rFonts w:ascii="Times New Roman" w:eastAsia="Times New Roman" w:hAnsi="Times New Roman" w:cs="Times New Roman"/>
          <w:lang w:val="ro-MD"/>
        </w:rPr>
        <w:t xml:space="preserve"> </w:t>
      </w:r>
      <w:r w:rsidR="0046553B" w:rsidRPr="000508B6">
        <w:rPr>
          <w:rFonts w:ascii="Times New Roman" w:eastAsia="Times New Roman" w:hAnsi="Times New Roman" w:cs="Times New Roman"/>
          <w:lang w:val="ro-MD"/>
        </w:rPr>
        <w:t xml:space="preserve">în vederea respectării </w:t>
      </w:r>
      <w:r w:rsidRPr="000508B6">
        <w:rPr>
          <w:rFonts w:ascii="Times New Roman" w:eastAsia="Times New Roman" w:hAnsi="Times New Roman" w:cs="Times New Roman"/>
          <w:lang w:val="ro-MD"/>
        </w:rPr>
        <w:t xml:space="preserve">prevederilor prezentei legi și actelor normative emise în aplicarea acesteia. </w:t>
      </w:r>
      <w:r w:rsidR="00C95F7A" w:rsidRPr="000508B6">
        <w:rPr>
          <w:rFonts w:ascii="Times New Roman" w:eastAsia="Times New Roman" w:hAnsi="Times New Roman" w:cs="Times New Roman"/>
          <w:lang w:val="ro-MD"/>
        </w:rPr>
        <w:t xml:space="preserve">Această analiză și evaluare cuprinde evaluarea cerințelor calitative referitoare la sistemul de guvernanță, evaluarea riscurilor cu care se confruntă sau cu care s-ar putea confrunta </w:t>
      </w:r>
      <w:r w:rsidR="007C01CF"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00C95F7A" w:rsidRPr="000508B6">
        <w:rPr>
          <w:rFonts w:ascii="Times New Roman" w:eastAsia="Times New Roman" w:hAnsi="Times New Roman" w:cs="Times New Roman"/>
          <w:lang w:val="ro-MD"/>
        </w:rPr>
        <w:t xml:space="preserve"> și evaluarea capacității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00C95F7A" w:rsidRPr="000508B6">
        <w:rPr>
          <w:rFonts w:ascii="Times New Roman" w:eastAsia="Times New Roman" w:hAnsi="Times New Roman" w:cs="Times New Roman"/>
          <w:lang w:val="ro-MD"/>
        </w:rPr>
        <w:t xml:space="preserve"> de a estima riscurile ținând seama de mediul în care activează aceasta.</w:t>
      </w:r>
      <w:r w:rsidRPr="000508B6">
        <w:rPr>
          <w:rFonts w:ascii="Times New Roman" w:eastAsia="Times New Roman" w:hAnsi="Times New Roman" w:cs="Times New Roman"/>
          <w:lang w:val="ro-MD"/>
        </w:rPr>
        <w:t xml:space="preserve"> </w:t>
      </w:r>
    </w:p>
    <w:p w14:paraId="61775C39" w14:textId="6EFB93B3" w:rsidR="00B229A1" w:rsidRPr="000508B6" w:rsidRDefault="00B229A1" w:rsidP="00CA0B2C">
      <w:pPr>
        <w:pStyle w:val="Listparagraf"/>
        <w:numPr>
          <w:ilvl w:val="0"/>
          <w:numId w:val="12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Banca Națională a Moldovei analizează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evaluează modul în care </w:t>
      </w:r>
      <w:r w:rsidR="004125E8" w:rsidRPr="000508B6">
        <w:rPr>
          <w:rFonts w:ascii="Times New Roman" w:eastAsia="Times New Roman" w:hAnsi="Times New Roman" w:cs="Times New Roman"/>
          <w:lang w:val="ro-MD"/>
        </w:rPr>
        <w:t xml:space="preserve">asigurătorul sau </w:t>
      </w:r>
      <w:proofErr w:type="spellStart"/>
      <w:r w:rsidR="004125E8"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respectă </w:t>
      </w:r>
      <w:proofErr w:type="spellStart"/>
      <w:r w:rsidRPr="000508B6">
        <w:rPr>
          <w:rFonts w:ascii="Times New Roman" w:eastAsia="Times New Roman" w:hAnsi="Times New Roman" w:cs="Times New Roman"/>
          <w:lang w:val="ro-MD"/>
        </w:rPr>
        <w:t>cerinţele</w:t>
      </w:r>
      <w:proofErr w:type="spellEnd"/>
      <w:r w:rsidRPr="000508B6">
        <w:rPr>
          <w:rFonts w:ascii="Times New Roman" w:eastAsia="Times New Roman" w:hAnsi="Times New Roman" w:cs="Times New Roman"/>
          <w:lang w:val="ro-MD"/>
        </w:rPr>
        <w:t xml:space="preserve"> referitoare la următoarele: </w:t>
      </w:r>
    </w:p>
    <w:p w14:paraId="3B19CEDC" w14:textId="429D9507" w:rsidR="00B229A1" w:rsidRPr="000508B6" w:rsidRDefault="00B229A1"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sistemul de </w:t>
      </w:r>
      <w:proofErr w:type="spellStart"/>
      <w:r w:rsidRPr="000508B6">
        <w:rPr>
          <w:rFonts w:ascii="Times New Roman" w:eastAsia="Times New Roman" w:hAnsi="Times New Roman" w:cs="Times New Roman"/>
          <w:lang w:val="ro-MD"/>
        </w:rPr>
        <w:t>guvernanţă</w:t>
      </w:r>
      <w:proofErr w:type="spellEnd"/>
      <w:r w:rsidR="004E66E4" w:rsidRPr="000508B6">
        <w:rPr>
          <w:rFonts w:ascii="Times New Roman" w:eastAsia="Times New Roman" w:hAnsi="Times New Roman" w:cs="Times New Roman"/>
          <w:lang w:val="ro-MD"/>
        </w:rPr>
        <w:t>,</w:t>
      </w:r>
      <w:r w:rsidR="004E66E4" w:rsidRPr="000508B6">
        <w:rPr>
          <w:rFonts w:ascii="Times New Roman" w:hAnsi="Times New Roman" w:cs="Times New Roman"/>
          <w:lang w:val="ro-MD"/>
        </w:rPr>
        <w:t xml:space="preserve"> </w:t>
      </w:r>
      <w:r w:rsidR="004E66E4" w:rsidRPr="000508B6">
        <w:rPr>
          <w:rFonts w:ascii="Times New Roman" w:eastAsia="Times New Roman" w:hAnsi="Times New Roman" w:cs="Times New Roman"/>
          <w:lang w:val="ro-MD"/>
        </w:rPr>
        <w:t xml:space="preserve">inclusiv </w:t>
      </w:r>
      <w:r w:rsidR="00CE05A1" w:rsidRPr="000508B6">
        <w:rPr>
          <w:rFonts w:ascii="Times New Roman" w:eastAsia="Times New Roman" w:hAnsi="Times New Roman" w:cs="Times New Roman"/>
          <w:lang w:val="ro-MD"/>
        </w:rPr>
        <w:t>ORSA</w:t>
      </w:r>
      <w:r w:rsidR="004E66E4" w:rsidRPr="000508B6">
        <w:rPr>
          <w:rFonts w:ascii="Times New Roman" w:eastAsia="Times New Roman" w:hAnsi="Times New Roman" w:cs="Times New Roman"/>
          <w:lang w:val="ro-MD"/>
        </w:rPr>
        <w:t xml:space="preserve">, astfel cum este prevăzut în </w:t>
      </w:r>
      <w:r w:rsidR="002D4E2E" w:rsidRPr="000508B6">
        <w:rPr>
          <w:rFonts w:ascii="Times New Roman" w:eastAsia="Times New Roman" w:hAnsi="Times New Roman" w:cs="Times New Roman"/>
          <w:lang w:val="ro-MD"/>
        </w:rPr>
        <w:t>art. 18-31</w:t>
      </w:r>
      <w:r w:rsidR="004E66E4" w:rsidRPr="000508B6">
        <w:rPr>
          <w:rFonts w:ascii="Times New Roman" w:eastAsia="Times New Roman" w:hAnsi="Times New Roman" w:cs="Times New Roman"/>
          <w:lang w:val="ro-MD"/>
        </w:rPr>
        <w:t>;</w:t>
      </w:r>
      <w:r w:rsidR="00A353F6" w:rsidRPr="000508B6">
        <w:rPr>
          <w:rFonts w:ascii="Times New Roman" w:hAnsi="Times New Roman" w:cs="Times New Roman"/>
          <w:lang w:val="ro-MD"/>
        </w:rPr>
        <w:t xml:space="preserve"> </w:t>
      </w:r>
    </w:p>
    <w:p w14:paraId="67531F4B" w14:textId="7F21FEFF" w:rsidR="00B229A1" w:rsidRPr="000508B6" w:rsidRDefault="00B229A1"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rezervele tehnice prevăzute la </w:t>
      </w:r>
      <w:r w:rsidR="002D4E2E" w:rsidRPr="000508B6">
        <w:rPr>
          <w:rFonts w:ascii="Times New Roman" w:eastAsia="Times New Roman" w:hAnsi="Times New Roman" w:cs="Times New Roman"/>
          <w:lang w:val="ro-MD"/>
        </w:rPr>
        <w:t>art. 42-53</w:t>
      </w:r>
      <w:r w:rsidR="00DA77D9" w:rsidRPr="000508B6">
        <w:rPr>
          <w:rFonts w:ascii="Times New Roman" w:eastAsia="Times New Roman" w:hAnsi="Times New Roman" w:cs="Times New Roman"/>
          <w:lang w:val="ro-MD"/>
        </w:rPr>
        <w:t>.</w:t>
      </w:r>
    </w:p>
    <w:p w14:paraId="7AE460E6" w14:textId="77777777" w:rsidR="00B229A1" w:rsidRPr="000508B6" w:rsidRDefault="00B229A1"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SCR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MCR; </w:t>
      </w:r>
    </w:p>
    <w:p w14:paraId="266663E6" w14:textId="0AE0C510" w:rsidR="00B229A1" w:rsidRPr="000508B6" w:rsidRDefault="00B229A1"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investiţiile</w:t>
      </w:r>
      <w:proofErr w:type="spellEnd"/>
      <w:r w:rsidRPr="000508B6">
        <w:rPr>
          <w:rFonts w:ascii="Times New Roman" w:eastAsia="Times New Roman" w:hAnsi="Times New Roman" w:cs="Times New Roman"/>
          <w:lang w:val="ro-MD"/>
        </w:rPr>
        <w:t xml:space="preserve"> conform art. </w:t>
      </w:r>
      <w:r w:rsidR="000A3B8D" w:rsidRPr="000508B6">
        <w:rPr>
          <w:rFonts w:ascii="Times New Roman" w:eastAsia="Times New Roman" w:hAnsi="Times New Roman" w:cs="Times New Roman"/>
          <w:lang w:val="ro-MD"/>
        </w:rPr>
        <w:t>90</w:t>
      </w:r>
      <w:r w:rsidRPr="000508B6">
        <w:rPr>
          <w:rFonts w:ascii="Times New Roman" w:eastAsia="Times New Roman" w:hAnsi="Times New Roman" w:cs="Times New Roman"/>
          <w:lang w:val="ro-MD"/>
        </w:rPr>
        <w:t xml:space="preserve">; </w:t>
      </w:r>
    </w:p>
    <w:p w14:paraId="41132A46" w14:textId="59900275" w:rsidR="00B229A1" w:rsidRPr="000508B6" w:rsidRDefault="00B229A1"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calitatea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cantitatea fondurilor proprii prevăzute la </w:t>
      </w:r>
      <w:r w:rsidR="009A1B4A" w:rsidRPr="000508B6">
        <w:rPr>
          <w:rFonts w:ascii="Times New Roman" w:eastAsia="Times New Roman" w:hAnsi="Times New Roman" w:cs="Times New Roman"/>
          <w:lang w:val="ro-MD"/>
        </w:rPr>
        <w:t>art.54-63</w:t>
      </w:r>
      <w:r w:rsidRPr="000508B6">
        <w:rPr>
          <w:rFonts w:ascii="Times New Roman" w:eastAsia="Times New Roman" w:hAnsi="Times New Roman" w:cs="Times New Roman"/>
          <w:lang w:val="ro-MD"/>
        </w:rPr>
        <w:t>;</w:t>
      </w:r>
    </w:p>
    <w:p w14:paraId="1749905B" w14:textId="62BB5E94" w:rsidR="00B229A1" w:rsidRPr="000508B6" w:rsidRDefault="005214DD"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r w:rsidR="00BC0AD3" w:rsidRPr="000508B6">
        <w:rPr>
          <w:rFonts w:ascii="Times New Roman" w:eastAsia="Times New Roman" w:hAnsi="Times New Roman" w:cs="Times New Roman"/>
          <w:lang w:val="ro-MD"/>
        </w:rPr>
        <w:t xml:space="preserve">asigurătorul sau </w:t>
      </w:r>
      <w:proofErr w:type="spellStart"/>
      <w:r w:rsidR="00BC0AD3" w:rsidRPr="000508B6">
        <w:rPr>
          <w:rFonts w:ascii="Times New Roman" w:eastAsia="Times New Roman" w:hAnsi="Times New Roman" w:cs="Times New Roman"/>
          <w:lang w:val="ro-MD"/>
        </w:rPr>
        <w:t>reasigurătorul</w:t>
      </w:r>
      <w:proofErr w:type="spellEnd"/>
      <w:r w:rsidR="00BC0AD3"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utilizează un model intern integral sau parțial, respectarea continuă a cerințelor privind modelele interne integrale și parțiale prevăzute la </w:t>
      </w:r>
      <w:r w:rsidR="00A67442" w:rsidRPr="000508B6">
        <w:rPr>
          <w:rFonts w:ascii="Times New Roman" w:eastAsia="Times New Roman" w:hAnsi="Times New Roman" w:cs="Times New Roman"/>
          <w:lang w:val="ro-MD"/>
        </w:rPr>
        <w:t>art. 75-83</w:t>
      </w:r>
      <w:r w:rsidR="00B229A1" w:rsidRPr="000508B6">
        <w:rPr>
          <w:rFonts w:ascii="Times New Roman" w:eastAsia="Times New Roman" w:hAnsi="Times New Roman" w:cs="Times New Roman"/>
          <w:lang w:val="ro-MD"/>
        </w:rPr>
        <w:t>;</w:t>
      </w:r>
    </w:p>
    <w:p w14:paraId="7C33AD20" w14:textId="18FED05C" w:rsidR="00B229A1" w:rsidRPr="000508B6" w:rsidRDefault="00B229A1"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modul în care </w:t>
      </w:r>
      <w:proofErr w:type="spellStart"/>
      <w:r w:rsidRPr="000508B6">
        <w:rPr>
          <w:rFonts w:ascii="Times New Roman" w:eastAsia="Times New Roman" w:hAnsi="Times New Roman" w:cs="Times New Roman"/>
          <w:lang w:val="ro-MD"/>
        </w:rPr>
        <w:t>activităţile</w:t>
      </w:r>
      <w:proofErr w:type="spellEnd"/>
      <w:r w:rsidRPr="000508B6">
        <w:rPr>
          <w:rFonts w:ascii="Times New Roman" w:eastAsia="Times New Roman" w:hAnsi="Times New Roman" w:cs="Times New Roman"/>
          <w:lang w:val="ro-MD"/>
        </w:rPr>
        <w:t xml:space="preserve"> de </w:t>
      </w:r>
      <w:r w:rsidR="00654BD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general</w:t>
      </w:r>
      <w:r w:rsidR="00654BDF"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654BDF" w:rsidRPr="000508B6">
        <w:rPr>
          <w:rFonts w:ascii="Times New Roman" w:eastAsia="Times New Roman" w:hAnsi="Times New Roman" w:cs="Times New Roman"/>
          <w:lang w:val="ro-MD"/>
        </w:rPr>
        <w:t>asigurare</w:t>
      </w:r>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viaţă</w:t>
      </w:r>
      <w:proofErr w:type="spellEnd"/>
      <w:r w:rsidRPr="000508B6">
        <w:rPr>
          <w:rFonts w:ascii="Times New Roman" w:eastAsia="Times New Roman" w:hAnsi="Times New Roman" w:cs="Times New Roman"/>
          <w:lang w:val="ro-MD"/>
        </w:rPr>
        <w:t xml:space="preserve"> sunt administrate separat, conform </w:t>
      </w:r>
      <w:r w:rsidR="009A1B4A" w:rsidRPr="000508B6">
        <w:rPr>
          <w:rFonts w:ascii="Times New Roman" w:eastAsia="Times New Roman" w:hAnsi="Times New Roman" w:cs="Times New Roman"/>
          <w:lang w:val="ro-MD"/>
        </w:rPr>
        <w:t>art. 39, art. 40</w:t>
      </w:r>
      <w:r w:rsidRPr="000508B6">
        <w:rPr>
          <w:rFonts w:ascii="Times New Roman" w:eastAsia="Times New Roman" w:hAnsi="Times New Roman" w:cs="Times New Roman"/>
          <w:lang w:val="ro-MD"/>
        </w:rPr>
        <w:t>.</w:t>
      </w:r>
    </w:p>
    <w:p w14:paraId="65859C0F" w14:textId="77777777" w:rsidR="00B229A1" w:rsidRPr="000508B6" w:rsidRDefault="00B229A1" w:rsidP="00CA0B2C">
      <w:pPr>
        <w:pStyle w:val="Listparagraf"/>
        <w:numPr>
          <w:ilvl w:val="2"/>
          <w:numId w:val="121"/>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alte elemente stabilite prin prevederile legale. </w:t>
      </w:r>
    </w:p>
    <w:p w14:paraId="51C0D9F8" w14:textId="2F97D60E" w:rsidR="00B229A1" w:rsidRPr="000508B6" w:rsidRDefault="00B229A1" w:rsidP="00CA0B2C">
      <w:pPr>
        <w:pStyle w:val="Listparagraf"/>
        <w:numPr>
          <w:ilvl w:val="0"/>
          <w:numId w:val="120"/>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procesul de supraveghere, Banca Națională a Moldovei impune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să remedieze </w:t>
      </w:r>
      <w:proofErr w:type="spellStart"/>
      <w:r w:rsidRPr="000508B6">
        <w:rPr>
          <w:rFonts w:ascii="Times New Roman" w:eastAsia="Times New Roman" w:hAnsi="Times New Roman" w:cs="Times New Roman"/>
          <w:lang w:val="ro-MD"/>
        </w:rPr>
        <w:t>situaţia</w:t>
      </w:r>
      <w:proofErr w:type="spellEnd"/>
      <w:r w:rsidRPr="000508B6">
        <w:rPr>
          <w:rFonts w:ascii="Times New Roman" w:eastAsia="Times New Roman" w:hAnsi="Times New Roman" w:cs="Times New Roman"/>
          <w:lang w:val="ro-MD"/>
        </w:rPr>
        <w:t xml:space="preserve"> financiară în cazul în care constată deteriorarea acesteia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să adopte măsurile necesare pentru remedierea altor </w:t>
      </w:r>
      <w:proofErr w:type="spellStart"/>
      <w:r w:rsidRPr="000508B6">
        <w:rPr>
          <w:rFonts w:ascii="Times New Roman" w:eastAsia="Times New Roman" w:hAnsi="Times New Roman" w:cs="Times New Roman"/>
          <w:lang w:val="ro-MD"/>
        </w:rPr>
        <w:t>deficienţe</w:t>
      </w:r>
      <w:proofErr w:type="spellEnd"/>
      <w:r w:rsidRPr="000508B6">
        <w:rPr>
          <w:rFonts w:ascii="Times New Roman" w:eastAsia="Times New Roman" w:hAnsi="Times New Roman" w:cs="Times New Roman"/>
          <w:lang w:val="ro-MD"/>
        </w:rPr>
        <w:t xml:space="preserve"> identificate. În scopul constatării și monitorizării evoluției situației financiare, Banca Națională a Moldovei poate utiliza inclusiv informațiile solicitate </w:t>
      </w:r>
      <w:r w:rsidR="00637A08" w:rsidRPr="000508B6">
        <w:rPr>
          <w:rFonts w:ascii="Times New Roman" w:eastAsia="Times New Roman" w:hAnsi="Times New Roman" w:cs="Times New Roman"/>
          <w:lang w:val="ro-MD"/>
        </w:rPr>
        <w:t>de la</w:t>
      </w:r>
      <w:r w:rsidRPr="000508B6">
        <w:rPr>
          <w:rFonts w:ascii="Times New Roman" w:eastAsia="Times New Roman" w:hAnsi="Times New Roman" w:cs="Times New Roman"/>
          <w:lang w:val="ro-MD"/>
        </w:rPr>
        <w:t xml:space="preserve"> experți</w:t>
      </w:r>
      <w:r w:rsidR="00637A08"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 xml:space="preserve"> externi conform art. </w:t>
      </w:r>
      <w:r w:rsidR="00E03B5E" w:rsidRPr="000508B6">
        <w:rPr>
          <w:rFonts w:ascii="Times New Roman" w:eastAsia="Times New Roman" w:hAnsi="Times New Roman" w:cs="Times New Roman"/>
          <w:lang w:val="ro-MD"/>
        </w:rPr>
        <w:t>179</w:t>
      </w:r>
      <w:r w:rsidR="000A3B8D"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alin. (</w:t>
      </w:r>
      <w:r w:rsidR="004A4E97"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și poate emite </w:t>
      </w:r>
      <w:r w:rsidR="00CB569E" w:rsidRPr="000508B6">
        <w:rPr>
          <w:rFonts w:ascii="Times New Roman" w:eastAsia="Times New Roman" w:hAnsi="Times New Roman" w:cs="Times New Roman"/>
          <w:lang w:val="ro-MD"/>
        </w:rPr>
        <w:t xml:space="preserve">acte normative </w:t>
      </w:r>
      <w:r w:rsidRPr="000508B6">
        <w:rPr>
          <w:rFonts w:ascii="Times New Roman" w:eastAsia="Times New Roman" w:hAnsi="Times New Roman" w:cs="Times New Roman"/>
          <w:lang w:val="ro-MD"/>
        </w:rPr>
        <w:t xml:space="preserve">prin care dezvoltă instrumente de identificare a deteriorării situației financiare și de monitorizare a modului în care este remediată deteriorarea. </w:t>
      </w:r>
    </w:p>
    <w:p w14:paraId="6E76D5DC" w14:textId="0D0C6553" w:rsidR="00B229A1" w:rsidRPr="000508B6" w:rsidRDefault="00B229A1" w:rsidP="00CA0B2C">
      <w:pPr>
        <w:pStyle w:val="Listparagraf"/>
        <w:numPr>
          <w:ilvl w:val="0"/>
          <w:numId w:val="120"/>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evaluează gradul de adecvare a metodelor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 practicilor dezvoltate de </w:t>
      </w:r>
      <w:r w:rsidR="009E7B62" w:rsidRPr="000508B6">
        <w:rPr>
          <w:rFonts w:ascii="Times New Roman" w:eastAsia="Times New Roman" w:hAnsi="Times New Roman" w:cs="Times New Roman"/>
          <w:lang w:val="ro-MD"/>
        </w:rPr>
        <w:t xml:space="preserve">asigurător sau </w:t>
      </w:r>
      <w:proofErr w:type="spellStart"/>
      <w:r w:rsidR="009E7B62" w:rsidRPr="000508B6">
        <w:rPr>
          <w:rFonts w:ascii="Times New Roman" w:eastAsia="Times New Roman" w:hAnsi="Times New Roman" w:cs="Times New Roman"/>
          <w:lang w:val="ro-MD"/>
        </w:rPr>
        <w:t>reasigurător</w:t>
      </w:r>
      <w:proofErr w:type="spellEnd"/>
      <w:r w:rsidR="009E7B6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pentru a identifica </w:t>
      </w:r>
      <w:proofErr w:type="spellStart"/>
      <w:r w:rsidRPr="000508B6">
        <w:rPr>
          <w:rFonts w:ascii="Times New Roman" w:eastAsia="Times New Roman" w:hAnsi="Times New Roman" w:cs="Times New Roman"/>
          <w:lang w:val="ro-MD"/>
        </w:rPr>
        <w:t>potenţialele</w:t>
      </w:r>
      <w:proofErr w:type="spellEnd"/>
      <w:r w:rsidRPr="000508B6">
        <w:rPr>
          <w:rFonts w:ascii="Times New Roman" w:eastAsia="Times New Roman" w:hAnsi="Times New Roman" w:cs="Times New Roman"/>
          <w:lang w:val="ro-MD"/>
        </w:rPr>
        <w:t xml:space="preserve"> evenimente sau schimbări ale </w:t>
      </w:r>
      <w:proofErr w:type="spellStart"/>
      <w:r w:rsidRPr="000508B6">
        <w:rPr>
          <w:rFonts w:ascii="Times New Roman" w:eastAsia="Times New Roman" w:hAnsi="Times New Roman" w:cs="Times New Roman"/>
          <w:lang w:val="ro-MD"/>
        </w:rPr>
        <w:t>condiţiilor</w:t>
      </w:r>
      <w:proofErr w:type="spellEnd"/>
      <w:r w:rsidRPr="000508B6">
        <w:rPr>
          <w:rFonts w:ascii="Times New Roman" w:eastAsia="Times New Roman" w:hAnsi="Times New Roman" w:cs="Times New Roman"/>
          <w:lang w:val="ro-MD"/>
        </w:rPr>
        <w:t xml:space="preserve"> economice cu efecte nefavorabile asupra </w:t>
      </w:r>
      <w:proofErr w:type="spellStart"/>
      <w:r w:rsidRPr="000508B6">
        <w:rPr>
          <w:rFonts w:ascii="Times New Roman" w:eastAsia="Times New Roman" w:hAnsi="Times New Roman" w:cs="Times New Roman"/>
          <w:lang w:val="ro-MD"/>
        </w:rPr>
        <w:t>situaţiei</w:t>
      </w:r>
      <w:proofErr w:type="spellEnd"/>
      <w:r w:rsidRPr="000508B6">
        <w:rPr>
          <w:rFonts w:ascii="Times New Roman" w:eastAsia="Times New Roman" w:hAnsi="Times New Roman" w:cs="Times New Roman"/>
          <w:lang w:val="ro-MD"/>
        </w:rPr>
        <w:t xml:space="preserve"> </w:t>
      </w:r>
      <w:r w:rsidR="00866B2D" w:rsidRPr="000508B6">
        <w:rPr>
          <w:rFonts w:ascii="Times New Roman" w:eastAsia="Times New Roman" w:hAnsi="Times New Roman" w:cs="Times New Roman"/>
          <w:lang w:val="ro-MD"/>
        </w:rPr>
        <w:t>ei</w:t>
      </w:r>
      <w:r w:rsidRPr="000508B6">
        <w:rPr>
          <w:rFonts w:ascii="Times New Roman" w:eastAsia="Times New Roman" w:hAnsi="Times New Roman" w:cs="Times New Roman"/>
          <w:lang w:val="ro-MD"/>
        </w:rPr>
        <w:t xml:space="preserve"> financiare globale, precum și capacitatea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de a face </w:t>
      </w:r>
      <w:proofErr w:type="spellStart"/>
      <w:r w:rsidRPr="000508B6">
        <w:rPr>
          <w:rFonts w:ascii="Times New Roman" w:eastAsia="Times New Roman" w:hAnsi="Times New Roman" w:cs="Times New Roman"/>
          <w:lang w:val="ro-MD"/>
        </w:rPr>
        <w:t>faţă</w:t>
      </w:r>
      <w:proofErr w:type="spellEnd"/>
      <w:r w:rsidRPr="000508B6">
        <w:rPr>
          <w:rFonts w:ascii="Times New Roman" w:eastAsia="Times New Roman" w:hAnsi="Times New Roman" w:cs="Times New Roman"/>
          <w:lang w:val="ro-MD"/>
        </w:rPr>
        <w:t xml:space="preserve"> evenimentelor sau schimbărilor respective. </w:t>
      </w:r>
    </w:p>
    <w:p w14:paraId="5FF73FCC" w14:textId="16C1349F" w:rsidR="00B229A1" w:rsidRPr="000508B6" w:rsidRDefault="00B229A1" w:rsidP="00B64698">
      <w:pPr>
        <w:pStyle w:val="Listparagraf"/>
        <w:numPr>
          <w:ilvl w:val="0"/>
          <w:numId w:val="120"/>
        </w:numPr>
        <w:tabs>
          <w:tab w:val="left" w:pos="709"/>
          <w:tab w:val="left" w:pos="851"/>
          <w:tab w:val="left" w:pos="993"/>
        </w:tabs>
        <w:spacing w:after="0" w:line="240" w:lineRule="auto"/>
        <w:ind w:left="0" w:firstLine="426"/>
        <w:jc w:val="both"/>
        <w:rPr>
          <w:rFonts w:ascii="Times New Roman" w:eastAsia="Times New Roman" w:hAnsi="Times New Roman" w:cs="Times New Roman"/>
          <w:color w:val="FF0000"/>
          <w:lang w:val="ro-MD"/>
        </w:rPr>
      </w:pPr>
      <w:r w:rsidRPr="000508B6">
        <w:rPr>
          <w:rFonts w:ascii="Times New Roman" w:eastAsia="Times New Roman" w:hAnsi="Times New Roman" w:cs="Times New Roman"/>
          <w:lang w:val="ro-MD"/>
        </w:rPr>
        <w:t xml:space="preserve"> Analizele și evaluările menționate la alin</w:t>
      </w:r>
      <w:r w:rsidR="000A3B8D"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(1), (2) și (4) se efectuează în mod regulat. Banca Națională a Moldovei </w:t>
      </w:r>
      <w:proofErr w:type="spellStart"/>
      <w:r w:rsidRPr="000508B6">
        <w:rPr>
          <w:rFonts w:ascii="Times New Roman" w:eastAsia="Times New Roman" w:hAnsi="Times New Roman" w:cs="Times New Roman"/>
          <w:lang w:val="ro-MD"/>
        </w:rPr>
        <w:t>stabileşte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frecvenţa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sfera minimă a analizelor și evaluărilor respective în ceea ce privește natura, amploarea și complexitatea activităților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w:t>
      </w:r>
    </w:p>
    <w:p w14:paraId="4FAC3D0F" w14:textId="61EEFC9B" w:rsidR="00704DF4" w:rsidRPr="000508B6" w:rsidRDefault="00704DF4" w:rsidP="00B64698">
      <w:pPr>
        <w:pStyle w:val="Listparagraf"/>
        <w:numPr>
          <w:ilvl w:val="0"/>
          <w:numId w:val="120"/>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Fără a aduce atingere prevederilor art. 198 alin. (8), la efectuarea controlului, la constatarea faptelor ce constituie încălcări, la aplicarea </w:t>
      </w:r>
      <w:proofErr w:type="spellStart"/>
      <w:r w:rsidRPr="000508B6">
        <w:rPr>
          <w:rFonts w:ascii="Times New Roman" w:eastAsia="Times New Roman" w:hAnsi="Times New Roman" w:cs="Times New Roman"/>
          <w:lang w:val="ro-MD"/>
        </w:rPr>
        <w:t>sancţiunilor</w:t>
      </w:r>
      <w:proofErr w:type="spellEnd"/>
      <w:r w:rsidRPr="000508B6">
        <w:rPr>
          <w:rFonts w:ascii="Times New Roman" w:eastAsia="Times New Roman" w:hAnsi="Times New Roman" w:cs="Times New Roman"/>
          <w:lang w:val="ro-MD"/>
        </w:rPr>
        <w:t xml:space="preserve"> și a măsurilor prevăzute de prezenta lege se aplică corespunzător prevederile art. 75</w:t>
      </w:r>
      <w:r w:rsidRPr="000508B6">
        <w:rPr>
          <w:rFonts w:ascii="Times New Roman" w:eastAsia="Times New Roman" w:hAnsi="Times New Roman" w:cs="Times New Roman"/>
          <w:vertAlign w:val="superscript"/>
          <w:lang w:val="ro-MD"/>
        </w:rPr>
        <w:t>1</w:t>
      </w:r>
      <w:r w:rsidRPr="000508B6">
        <w:rPr>
          <w:rFonts w:ascii="Times New Roman" w:eastAsia="Times New Roman" w:hAnsi="Times New Roman" w:cs="Times New Roman"/>
          <w:lang w:val="ro-MD"/>
        </w:rPr>
        <w:t xml:space="preserve">  și ale art. 75</w:t>
      </w:r>
      <w:r w:rsidRPr="000508B6">
        <w:rPr>
          <w:rFonts w:ascii="Times New Roman" w:eastAsia="Times New Roman" w:hAnsi="Times New Roman" w:cs="Times New Roman"/>
          <w:vertAlign w:val="superscript"/>
          <w:lang w:val="ro-MD"/>
        </w:rPr>
        <w:t>2</w:t>
      </w:r>
      <w:r w:rsidRPr="000508B6">
        <w:rPr>
          <w:rFonts w:ascii="Times New Roman" w:eastAsia="Times New Roman" w:hAnsi="Times New Roman" w:cs="Times New Roman"/>
          <w:lang w:val="ro-MD"/>
        </w:rPr>
        <w:t xml:space="preserve">  din Legea nr.</w:t>
      </w:r>
      <w:r w:rsidR="00B6469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548/1995</w:t>
      </w:r>
      <w:r w:rsidRPr="000508B6" w:rsidDel="00F205DD">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și prevederile actelor normative ale </w:t>
      </w:r>
      <w:r w:rsidR="00195728" w:rsidRPr="000508B6">
        <w:rPr>
          <w:rFonts w:ascii="Times New Roman" w:eastAsia="Times New Roman" w:hAnsi="Times New Roman" w:cs="Times New Roman"/>
          <w:lang w:val="ro-MD"/>
        </w:rPr>
        <w:t>Băncii Naționale a Moldovei.</w:t>
      </w:r>
    </w:p>
    <w:p w14:paraId="6BFD311C" w14:textId="4A4F100A" w:rsidR="00481367" w:rsidRPr="000508B6" w:rsidRDefault="00481367" w:rsidP="0099775F">
      <w:pPr>
        <w:pStyle w:val="Listparagraf"/>
        <w:numPr>
          <w:ilvl w:val="0"/>
          <w:numId w:val="120"/>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Notificarea actelor privind aplicarea sancțiunilor și a măsurilor sancționatoare se efectuează în condițiile prevăzute la art. 11</w:t>
      </w:r>
      <w:r w:rsidRPr="000508B6">
        <w:rPr>
          <w:rFonts w:ascii="Times New Roman" w:eastAsia="Times New Roman" w:hAnsi="Times New Roman" w:cs="Times New Roman"/>
          <w:vertAlign w:val="superscript"/>
          <w:lang w:val="ro-MD"/>
        </w:rPr>
        <w:t>2</w:t>
      </w:r>
      <w:r w:rsidRPr="000508B6">
        <w:rPr>
          <w:rFonts w:ascii="Times New Roman" w:eastAsia="Times New Roman" w:hAnsi="Times New Roman" w:cs="Times New Roman"/>
          <w:lang w:val="ro-MD"/>
        </w:rPr>
        <w:t xml:space="preserve"> din Legea nr. 548/1995.  </w:t>
      </w:r>
    </w:p>
    <w:p w14:paraId="72871A2C" w14:textId="77777777" w:rsidR="003F01FD" w:rsidRPr="000508B6" w:rsidRDefault="003F01FD" w:rsidP="00B229A1">
      <w:pPr>
        <w:spacing w:after="0" w:line="240" w:lineRule="auto"/>
        <w:ind w:firstLine="426"/>
        <w:jc w:val="both"/>
        <w:rPr>
          <w:rFonts w:ascii="Times New Roman" w:eastAsia="Times New Roman" w:hAnsi="Times New Roman" w:cs="Times New Roman"/>
          <w:bCs/>
          <w:lang w:val="ro-MD"/>
        </w:rPr>
      </w:pPr>
      <w:bookmarkStart w:id="164" w:name="_Hlk193879080"/>
    </w:p>
    <w:p w14:paraId="2B575E16" w14:textId="249FBC11" w:rsidR="00B229A1" w:rsidRPr="000508B6" w:rsidRDefault="00B229A1" w:rsidP="00B229A1">
      <w:pPr>
        <w:spacing w:after="0" w:line="240" w:lineRule="auto"/>
        <w:ind w:firstLine="426"/>
        <w:jc w:val="both"/>
        <w:rPr>
          <w:rFonts w:ascii="Times New Roman" w:hAnsi="Times New Roman" w:cs="Times New Roman"/>
          <w:lang w:val="ro-MD"/>
        </w:rPr>
      </w:pPr>
      <w:r w:rsidRPr="000508B6">
        <w:rPr>
          <w:rFonts w:ascii="Times New Roman" w:eastAsia="Times New Roman" w:hAnsi="Times New Roman" w:cs="Times New Roman"/>
          <w:b/>
          <w:lang w:val="ro-MD"/>
        </w:rPr>
        <w:t xml:space="preserve">Articolul </w:t>
      </w:r>
      <w:r w:rsidR="00E03B5E" w:rsidRPr="000508B6">
        <w:rPr>
          <w:rFonts w:ascii="Times New Roman" w:eastAsia="Times New Roman" w:hAnsi="Times New Roman" w:cs="Times New Roman"/>
          <w:b/>
          <w:lang w:val="ro-MD"/>
        </w:rPr>
        <w:t>179</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bookmarkStart w:id="165" w:name="_Hlk190156997"/>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transmise Băncii Naționale a Moldovei </w:t>
      </w:r>
      <w:bookmarkStart w:id="166" w:name="_Hlk195520017"/>
      <w:r w:rsidRPr="000508B6">
        <w:rPr>
          <w:rFonts w:ascii="Times New Roman" w:hAnsi="Times New Roman" w:cs="Times New Roman"/>
          <w:lang w:val="ro-MD"/>
        </w:rPr>
        <w:t xml:space="preserve">în cadrul procesului de supraveghere </w:t>
      </w:r>
      <w:r w:rsidRPr="000508B6">
        <w:rPr>
          <w:rFonts w:ascii="Times New Roman" w:eastAsia="Times New Roman" w:hAnsi="Times New Roman" w:cs="Times New Roman"/>
          <w:lang w:val="ro-MD"/>
        </w:rPr>
        <w:t xml:space="preserve"> </w:t>
      </w:r>
      <w:r w:rsidRPr="000508B6">
        <w:rPr>
          <w:rFonts w:ascii="Times New Roman" w:hAnsi="Times New Roman" w:cs="Times New Roman"/>
          <w:lang w:val="ro-MD"/>
        </w:rPr>
        <w:t xml:space="preserve"> </w:t>
      </w:r>
      <w:bookmarkEnd w:id="165"/>
      <w:bookmarkEnd w:id="166"/>
    </w:p>
    <w:p w14:paraId="51C137D3" w14:textId="02C9E775" w:rsidR="00B229A1" w:rsidRPr="000508B6" w:rsidRDefault="004125E8" w:rsidP="00B64698">
      <w:pPr>
        <w:pStyle w:val="Listparagraf"/>
        <w:numPr>
          <w:ilvl w:val="0"/>
          <w:numId w:val="12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B229A1" w:rsidRPr="000508B6">
        <w:rPr>
          <w:rFonts w:ascii="Times New Roman" w:hAnsi="Times New Roman" w:cs="Times New Roman"/>
          <w:lang w:val="ro-MD"/>
        </w:rPr>
        <w:t xml:space="preserve"> transmit</w:t>
      </w:r>
      <w:r w:rsidR="00074976" w:rsidRPr="000508B6">
        <w:rPr>
          <w:rFonts w:ascii="Times New Roman" w:hAnsi="Times New Roman" w:cs="Times New Roman"/>
          <w:lang w:val="ro-MD"/>
        </w:rPr>
        <w:t>e</w:t>
      </w:r>
      <w:r w:rsidR="00B229A1" w:rsidRPr="000508B6">
        <w:rPr>
          <w:rFonts w:ascii="Times New Roman" w:hAnsi="Times New Roman" w:cs="Times New Roman"/>
          <w:lang w:val="ro-MD"/>
        </w:rPr>
        <w:t xml:space="preserve"> Băncii Naționale a Moldovei </w:t>
      </w:r>
      <w:proofErr w:type="spellStart"/>
      <w:r w:rsidR="00B229A1" w:rsidRPr="000508B6">
        <w:rPr>
          <w:rFonts w:ascii="Times New Roman" w:hAnsi="Times New Roman" w:cs="Times New Roman"/>
          <w:lang w:val="ro-MD"/>
        </w:rPr>
        <w:t>informaţiile</w:t>
      </w:r>
      <w:proofErr w:type="spellEnd"/>
      <w:r w:rsidR="00B229A1" w:rsidRPr="000508B6">
        <w:rPr>
          <w:rFonts w:ascii="Times New Roman" w:hAnsi="Times New Roman" w:cs="Times New Roman"/>
          <w:lang w:val="ro-MD"/>
        </w:rPr>
        <w:t xml:space="preserve"> necesare derulării procesului de supraveghere, </w:t>
      </w:r>
      <w:r w:rsidR="00E773F7" w:rsidRPr="000508B6">
        <w:rPr>
          <w:rFonts w:ascii="Times New Roman" w:hAnsi="Times New Roman" w:cs="Times New Roman"/>
          <w:lang w:val="ro-MD"/>
        </w:rPr>
        <w:t xml:space="preserve">ținând seama de obiectivele supravegherii  </w:t>
      </w:r>
      <w:r w:rsidR="00F22905" w:rsidRPr="000508B6">
        <w:rPr>
          <w:rFonts w:ascii="Times New Roman" w:hAnsi="Times New Roman" w:cs="Times New Roman"/>
          <w:lang w:val="ro-MD"/>
        </w:rPr>
        <w:t xml:space="preserve">prevăzute la </w:t>
      </w:r>
      <w:r w:rsidR="00F22905" w:rsidRPr="000508B6">
        <w:rPr>
          <w:rFonts w:ascii="Times New Roman" w:hAnsi="Times New Roman" w:cs="Times New Roman"/>
          <w:shd w:val="clear" w:color="auto" w:fill="FFFFFF" w:themeFill="background1"/>
          <w:lang w:val="ro-MD"/>
        </w:rPr>
        <w:t xml:space="preserve">art. </w:t>
      </w:r>
      <w:r w:rsidR="00E03B5E" w:rsidRPr="000508B6">
        <w:rPr>
          <w:rFonts w:ascii="Times New Roman" w:hAnsi="Times New Roman" w:cs="Times New Roman"/>
          <w:shd w:val="clear" w:color="auto" w:fill="FFFFFF" w:themeFill="background1"/>
          <w:lang w:val="ro-MD"/>
        </w:rPr>
        <w:t>169</w:t>
      </w:r>
      <w:r w:rsidR="00F22905" w:rsidRPr="000508B6">
        <w:rPr>
          <w:rFonts w:ascii="Times New Roman" w:hAnsi="Times New Roman" w:cs="Times New Roman"/>
          <w:shd w:val="clear" w:color="auto" w:fill="FFFFFF" w:themeFill="background1"/>
          <w:lang w:val="ro-MD"/>
        </w:rPr>
        <w:t xml:space="preserve"> alin (1) </w:t>
      </w:r>
      <w:r w:rsidR="007B6E8B" w:rsidRPr="000508B6">
        <w:rPr>
          <w:rFonts w:ascii="Times New Roman" w:hAnsi="Times New Roman" w:cs="Times New Roman"/>
          <w:shd w:val="clear" w:color="auto" w:fill="FFFFFF" w:themeFill="background1"/>
          <w:lang w:val="ro-MD"/>
        </w:rPr>
        <w:t>–</w:t>
      </w:r>
      <w:r w:rsidR="00F22905" w:rsidRPr="000508B6">
        <w:rPr>
          <w:rFonts w:ascii="Times New Roman" w:hAnsi="Times New Roman" w:cs="Times New Roman"/>
          <w:shd w:val="clear" w:color="auto" w:fill="FFFFFF" w:themeFill="background1"/>
          <w:lang w:val="ro-MD"/>
        </w:rPr>
        <w:t xml:space="preserve"> (4</w:t>
      </w:r>
      <w:r w:rsidR="00F22905" w:rsidRPr="000508B6">
        <w:rPr>
          <w:rFonts w:ascii="Times New Roman" w:hAnsi="Times New Roman" w:cs="Times New Roman"/>
          <w:lang w:val="ro-MD"/>
        </w:rPr>
        <w:t xml:space="preserve">), </w:t>
      </w:r>
      <w:r w:rsidR="00B229A1" w:rsidRPr="000508B6">
        <w:rPr>
          <w:rFonts w:ascii="Times New Roman" w:hAnsi="Times New Roman" w:cs="Times New Roman"/>
          <w:lang w:val="ro-MD"/>
        </w:rPr>
        <w:t xml:space="preserve">pe baza cărora aceasta realizează următoarele </w:t>
      </w:r>
      <w:proofErr w:type="spellStart"/>
      <w:r w:rsidR="00B229A1" w:rsidRPr="000508B6">
        <w:rPr>
          <w:rFonts w:ascii="Times New Roman" w:hAnsi="Times New Roman" w:cs="Times New Roman"/>
          <w:lang w:val="ro-MD"/>
        </w:rPr>
        <w:t>activităţi</w:t>
      </w:r>
      <w:proofErr w:type="spellEnd"/>
      <w:r w:rsidR="00B229A1" w:rsidRPr="000508B6">
        <w:rPr>
          <w:rFonts w:ascii="Times New Roman" w:hAnsi="Times New Roman" w:cs="Times New Roman"/>
          <w:lang w:val="ro-MD"/>
        </w:rPr>
        <w:t>:</w:t>
      </w:r>
      <w:r w:rsidR="00B229A1" w:rsidRPr="000508B6">
        <w:rPr>
          <w:rFonts w:ascii="Times New Roman" w:eastAsia="Times New Roman" w:hAnsi="Times New Roman" w:cs="Times New Roman"/>
          <w:i/>
          <w:color w:val="FF0000"/>
          <w:lang w:val="ro-MD"/>
        </w:rPr>
        <w:t xml:space="preserve"> </w:t>
      </w:r>
    </w:p>
    <w:p w14:paraId="7C877E94" w14:textId="53586FE8" w:rsidR="00B229A1" w:rsidRPr="000508B6" w:rsidRDefault="006C4825" w:rsidP="00B64698">
      <w:pPr>
        <w:tabs>
          <w:tab w:val="left" w:pos="709"/>
        </w:tabs>
        <w:spacing w:after="0" w:line="240" w:lineRule="auto"/>
        <w:ind w:left="284" w:firstLine="142"/>
        <w:jc w:val="both"/>
        <w:rPr>
          <w:rFonts w:ascii="Times New Roman" w:hAnsi="Times New Roman" w:cs="Times New Roman"/>
          <w:lang w:val="ro-MD"/>
        </w:rPr>
      </w:pPr>
      <w:r w:rsidRPr="000508B6">
        <w:rPr>
          <w:rFonts w:ascii="Times New Roman" w:hAnsi="Times New Roman" w:cs="Times New Roman"/>
          <w:lang w:val="ro-MD"/>
        </w:rPr>
        <w:t>a)</w:t>
      </w:r>
      <w:r w:rsidR="00B229A1" w:rsidRPr="000508B6">
        <w:rPr>
          <w:rFonts w:ascii="Times New Roman" w:hAnsi="Times New Roman" w:cs="Times New Roman"/>
          <w:lang w:val="ro-MD"/>
        </w:rPr>
        <w:t xml:space="preserve">evaluarea: </w:t>
      </w:r>
    </w:p>
    <w:p w14:paraId="750FE74D" w14:textId="77777777" w:rsidR="00B229A1" w:rsidRPr="000508B6" w:rsidRDefault="00B229A1" w:rsidP="00CA0B2C">
      <w:pPr>
        <w:pStyle w:val="Listparagraf"/>
        <w:numPr>
          <w:ilvl w:val="3"/>
          <w:numId w:val="126"/>
        </w:numPr>
        <w:tabs>
          <w:tab w:val="left" w:pos="709"/>
          <w:tab w:val="left" w:pos="993"/>
        </w:tabs>
        <w:spacing w:after="0" w:line="240" w:lineRule="auto"/>
        <w:ind w:left="284" w:firstLine="567"/>
        <w:jc w:val="both"/>
        <w:rPr>
          <w:rFonts w:ascii="Times New Roman" w:hAnsi="Times New Roman" w:cs="Times New Roman"/>
          <w:lang w:val="ro-MD"/>
        </w:rPr>
      </w:pPr>
      <w:r w:rsidRPr="000508B6">
        <w:rPr>
          <w:rFonts w:ascii="Times New Roman" w:hAnsi="Times New Roman" w:cs="Times New Roman"/>
          <w:lang w:val="ro-MD"/>
        </w:rPr>
        <w:t xml:space="preserve">sistemului de </w:t>
      </w:r>
      <w:proofErr w:type="spellStart"/>
      <w:r w:rsidRPr="000508B6">
        <w:rPr>
          <w:rFonts w:ascii="Times New Roman" w:hAnsi="Times New Roman" w:cs="Times New Roman"/>
          <w:lang w:val="ro-MD"/>
        </w:rPr>
        <w:t>guvernanţă</w:t>
      </w:r>
      <w:proofErr w:type="spellEnd"/>
      <w:r w:rsidRPr="000508B6">
        <w:rPr>
          <w:rFonts w:ascii="Times New Roman" w:hAnsi="Times New Roman" w:cs="Times New Roman"/>
          <w:lang w:val="ro-MD"/>
        </w:rPr>
        <w:t xml:space="preserve"> instituit; </w:t>
      </w:r>
    </w:p>
    <w:p w14:paraId="7E2978C5" w14:textId="77777777" w:rsidR="00B229A1" w:rsidRPr="000508B6" w:rsidRDefault="00B229A1" w:rsidP="00CA0B2C">
      <w:pPr>
        <w:pStyle w:val="Listparagraf"/>
        <w:numPr>
          <w:ilvl w:val="3"/>
          <w:numId w:val="126"/>
        </w:numPr>
        <w:tabs>
          <w:tab w:val="left" w:pos="709"/>
          <w:tab w:val="left" w:pos="993"/>
        </w:tabs>
        <w:spacing w:after="0" w:line="240" w:lineRule="auto"/>
        <w:ind w:left="284" w:firstLine="567"/>
        <w:jc w:val="both"/>
        <w:rPr>
          <w:rFonts w:ascii="Times New Roman" w:hAnsi="Times New Roman" w:cs="Times New Roman"/>
          <w:lang w:val="ro-MD"/>
        </w:rPr>
      </w:pPr>
      <w:proofErr w:type="spellStart"/>
      <w:r w:rsidRPr="000508B6">
        <w:rPr>
          <w:rFonts w:ascii="Times New Roman" w:hAnsi="Times New Roman" w:cs="Times New Roman"/>
          <w:lang w:val="ro-MD"/>
        </w:rPr>
        <w:t>activităţilor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 xml:space="preserve">; </w:t>
      </w:r>
    </w:p>
    <w:p w14:paraId="180B0AE4" w14:textId="77777777" w:rsidR="00B229A1" w:rsidRPr="000508B6" w:rsidRDefault="00B229A1" w:rsidP="00CA0B2C">
      <w:pPr>
        <w:pStyle w:val="Listparagraf"/>
        <w:numPr>
          <w:ilvl w:val="3"/>
          <w:numId w:val="126"/>
        </w:numPr>
        <w:tabs>
          <w:tab w:val="left" w:pos="709"/>
          <w:tab w:val="left" w:pos="993"/>
        </w:tabs>
        <w:spacing w:after="0" w:line="240" w:lineRule="auto"/>
        <w:ind w:left="284" w:firstLine="567"/>
        <w:jc w:val="both"/>
        <w:rPr>
          <w:rFonts w:ascii="Times New Roman" w:hAnsi="Times New Roman" w:cs="Times New Roman"/>
          <w:lang w:val="ro-MD"/>
        </w:rPr>
      </w:pPr>
      <w:r w:rsidRPr="000508B6">
        <w:rPr>
          <w:rFonts w:ascii="Times New Roman" w:hAnsi="Times New Roman" w:cs="Times New Roman"/>
          <w:lang w:val="ro-MD"/>
        </w:rPr>
        <w:t xml:space="preserve">principiilor de evaluare aplicate cu privire la solvabilitate; </w:t>
      </w:r>
    </w:p>
    <w:p w14:paraId="7AAD80E6" w14:textId="77777777" w:rsidR="00B229A1" w:rsidRPr="000508B6" w:rsidRDefault="00B229A1" w:rsidP="00CA0B2C">
      <w:pPr>
        <w:pStyle w:val="Listparagraf"/>
        <w:numPr>
          <w:ilvl w:val="3"/>
          <w:numId w:val="126"/>
        </w:numPr>
        <w:tabs>
          <w:tab w:val="left" w:pos="709"/>
          <w:tab w:val="left" w:pos="993"/>
        </w:tabs>
        <w:spacing w:after="0" w:line="240" w:lineRule="auto"/>
        <w:ind w:left="284" w:firstLine="567"/>
        <w:jc w:val="both"/>
        <w:rPr>
          <w:rFonts w:ascii="Times New Roman" w:hAnsi="Times New Roman" w:cs="Times New Roman"/>
          <w:lang w:val="ro-MD"/>
        </w:rPr>
      </w:pPr>
      <w:r w:rsidRPr="000508B6">
        <w:rPr>
          <w:rFonts w:ascii="Times New Roman" w:hAnsi="Times New Roman" w:cs="Times New Roman"/>
          <w:lang w:val="ro-MD"/>
        </w:rPr>
        <w:t xml:space="preserve">riscurilor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sistemului de management al riscului; </w:t>
      </w:r>
    </w:p>
    <w:p w14:paraId="6D3700F9" w14:textId="77777777" w:rsidR="00B229A1" w:rsidRPr="000508B6" w:rsidRDefault="00B229A1" w:rsidP="00CA0B2C">
      <w:pPr>
        <w:pStyle w:val="Listparagraf"/>
        <w:numPr>
          <w:ilvl w:val="3"/>
          <w:numId w:val="126"/>
        </w:numPr>
        <w:tabs>
          <w:tab w:val="left" w:pos="709"/>
          <w:tab w:val="left" w:pos="993"/>
        </w:tabs>
        <w:spacing w:after="0" w:line="240" w:lineRule="auto"/>
        <w:ind w:left="284" w:firstLine="567"/>
        <w:jc w:val="both"/>
        <w:rPr>
          <w:rFonts w:ascii="Times New Roman" w:hAnsi="Times New Roman" w:cs="Times New Roman"/>
          <w:lang w:val="ro-MD"/>
        </w:rPr>
      </w:pPr>
      <w:r w:rsidRPr="000508B6">
        <w:rPr>
          <w:rFonts w:ascii="Times New Roman" w:hAnsi="Times New Roman" w:cs="Times New Roman"/>
          <w:lang w:val="ro-MD"/>
        </w:rPr>
        <w:t xml:space="preserve">structurii capitalului, </w:t>
      </w:r>
      <w:proofErr w:type="spellStart"/>
      <w:r w:rsidRPr="000508B6">
        <w:rPr>
          <w:rFonts w:ascii="Times New Roman" w:hAnsi="Times New Roman" w:cs="Times New Roman"/>
          <w:lang w:val="ro-MD"/>
        </w:rPr>
        <w:t>necesităţilor</w:t>
      </w:r>
      <w:proofErr w:type="spellEnd"/>
      <w:r w:rsidRPr="000508B6">
        <w:rPr>
          <w:rFonts w:ascii="Times New Roman" w:hAnsi="Times New Roman" w:cs="Times New Roman"/>
          <w:lang w:val="ro-MD"/>
        </w:rPr>
        <w:t xml:space="preserve"> de capital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managementului capitalului; </w:t>
      </w:r>
    </w:p>
    <w:p w14:paraId="722D2F63" w14:textId="498D7899" w:rsidR="00B229A1" w:rsidRPr="000508B6" w:rsidRDefault="006C4825" w:rsidP="00CA0B2C">
      <w:pPr>
        <w:tabs>
          <w:tab w:val="left" w:pos="709"/>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b)</w:t>
      </w:r>
      <w:r w:rsidR="00452B98" w:rsidRPr="000508B6">
        <w:rPr>
          <w:rFonts w:ascii="Times New Roman" w:hAnsi="Times New Roman" w:cs="Times New Roman"/>
          <w:lang w:val="ro-MD"/>
        </w:rPr>
        <w:t xml:space="preserve"> </w:t>
      </w:r>
      <w:r w:rsidR="00B229A1" w:rsidRPr="000508B6">
        <w:rPr>
          <w:rFonts w:ascii="Times New Roman" w:hAnsi="Times New Roman" w:cs="Times New Roman"/>
          <w:lang w:val="ro-MD"/>
        </w:rPr>
        <w:t xml:space="preserve">adoptarea deciziilor adecvate, ca rezultat al procesului de supraveghere. </w:t>
      </w:r>
    </w:p>
    <w:bookmarkEnd w:id="164"/>
    <w:p w14:paraId="154D06A3" w14:textId="298E0CCA" w:rsidR="00B229A1" w:rsidRPr="000508B6" w:rsidRDefault="00B229A1" w:rsidP="00B64698">
      <w:pPr>
        <w:pStyle w:val="Listparagraf"/>
        <w:numPr>
          <w:ilvl w:val="0"/>
          <w:numId w:val="125"/>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proofErr w:type="spellStart"/>
      <w:r w:rsidRPr="000508B6">
        <w:rPr>
          <w:rFonts w:ascii="Times New Roman" w:hAnsi="Times New Roman" w:cs="Times New Roman"/>
          <w:lang w:val="ro-MD"/>
        </w:rPr>
        <w:t>stabileşte</w:t>
      </w:r>
      <w:proofErr w:type="spellEnd"/>
      <w:r w:rsidRPr="000508B6">
        <w:rPr>
          <w:rFonts w:ascii="Times New Roman" w:hAnsi="Times New Roman" w:cs="Times New Roman"/>
          <w:lang w:val="ro-MD"/>
        </w:rPr>
        <w:t xml:space="preserve"> natura, granularitatea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formatul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 pe care </w:t>
      </w:r>
      <w:r w:rsidR="004125E8" w:rsidRPr="000508B6" w:rsidDel="00523EF7">
        <w:rPr>
          <w:rFonts w:ascii="Times New Roman" w:hAnsi="Times New Roman" w:cs="Times New Roman"/>
          <w:lang w:val="ro-MD"/>
        </w:rPr>
        <w:t>asigurătorul</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le transmit</w:t>
      </w:r>
      <w:r w:rsidR="00295A42" w:rsidRPr="000508B6">
        <w:rPr>
          <w:rFonts w:ascii="Times New Roman" w:hAnsi="Times New Roman" w:cs="Times New Roman"/>
          <w:lang w:val="ro-MD"/>
        </w:rPr>
        <w:t>e</w:t>
      </w:r>
      <w:r w:rsidRPr="000508B6">
        <w:rPr>
          <w:rFonts w:ascii="Times New Roman" w:hAnsi="Times New Roman" w:cs="Times New Roman"/>
          <w:lang w:val="ro-MD"/>
        </w:rPr>
        <w:t xml:space="preserve">: </w:t>
      </w:r>
    </w:p>
    <w:p w14:paraId="470459EE" w14:textId="77777777" w:rsidR="00B229A1" w:rsidRPr="000508B6" w:rsidRDefault="00B229A1" w:rsidP="00B64698">
      <w:pPr>
        <w:pStyle w:val="Listparagraf"/>
        <w:numPr>
          <w:ilvl w:val="0"/>
          <w:numId w:val="24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intervale de timp predefinite; </w:t>
      </w:r>
    </w:p>
    <w:p w14:paraId="0CFADA94" w14:textId="77777777" w:rsidR="00B229A1" w:rsidRPr="000508B6" w:rsidRDefault="00B229A1" w:rsidP="00B64698">
      <w:pPr>
        <w:pStyle w:val="Listparagraf"/>
        <w:numPr>
          <w:ilvl w:val="0"/>
          <w:numId w:val="24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producerii unor evenimente predefinite; </w:t>
      </w:r>
    </w:p>
    <w:p w14:paraId="0EA00E73" w14:textId="3D0ED036" w:rsidR="00B229A1" w:rsidRPr="000508B6" w:rsidRDefault="00B229A1" w:rsidP="00B64698">
      <w:pPr>
        <w:pStyle w:val="Listparagraf"/>
        <w:numPr>
          <w:ilvl w:val="0"/>
          <w:numId w:val="242"/>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timpul realizării de către Banca Națională a Moldovei a unor evaluări privind </w:t>
      </w:r>
      <w:r w:rsidR="00960C83" w:rsidRPr="000508B6">
        <w:rPr>
          <w:rFonts w:ascii="Times New Roman" w:hAnsi="Times New Roman" w:cs="Times New Roman"/>
          <w:lang w:val="ro-MD"/>
        </w:rPr>
        <w:t xml:space="preserve">situația </w:t>
      </w:r>
      <w:r w:rsidRPr="000508B6">
        <w:rPr>
          <w:rFonts w:ascii="Times New Roman" w:hAnsi="Times New Roman" w:cs="Times New Roman"/>
          <w:lang w:val="ro-MD"/>
        </w:rPr>
        <w:t xml:space="preserve">financiară a </w:t>
      </w:r>
      <w:r w:rsidR="00523EF7" w:rsidRPr="000508B6">
        <w:rPr>
          <w:rFonts w:ascii="Times New Roman" w:hAnsi="Times New Roman" w:cs="Times New Roman"/>
          <w:lang w:val="ro-MD"/>
        </w:rPr>
        <w:t xml:space="preserve">asigurătorilor sau </w:t>
      </w:r>
      <w:proofErr w:type="spellStart"/>
      <w:r w:rsidR="00523EF7"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w:t>
      </w:r>
    </w:p>
    <w:p w14:paraId="2D570B79" w14:textId="25542EA4" w:rsidR="00B229A1" w:rsidRPr="000508B6" w:rsidRDefault="00B229A1" w:rsidP="00B64698">
      <w:pPr>
        <w:pStyle w:val="Listparagraf"/>
        <w:numPr>
          <w:ilvl w:val="0"/>
          <w:numId w:val="125"/>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solicită </w:t>
      </w:r>
      <w:r w:rsidR="00637A08" w:rsidRPr="000508B6">
        <w:rPr>
          <w:rFonts w:ascii="Times New Roman" w:hAnsi="Times New Roman" w:cs="Times New Roman"/>
          <w:lang w:val="ro-MD"/>
        </w:rPr>
        <w:t xml:space="preserve">de la </w:t>
      </w:r>
      <w:r w:rsidR="00523EF7" w:rsidRPr="000508B6">
        <w:rPr>
          <w:rFonts w:ascii="Times New Roman" w:hAnsi="Times New Roman" w:cs="Times New Roman"/>
          <w:lang w:val="ro-MD"/>
        </w:rPr>
        <w:t xml:space="preserve">asigurător sau </w:t>
      </w:r>
      <w:proofErr w:type="spellStart"/>
      <w:r w:rsidR="00523EF7" w:rsidRPr="000508B6">
        <w:rPr>
          <w:rFonts w:ascii="Times New Roman" w:hAnsi="Times New Roman" w:cs="Times New Roman"/>
          <w:lang w:val="ro-MD"/>
        </w:rPr>
        <w:t>reasigurător</w:t>
      </w:r>
      <w:proofErr w:type="spellEnd"/>
      <w:r w:rsidR="00523EF7"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privind contractele încheiate cu intermediari sau cu </w:t>
      </w:r>
      <w:proofErr w:type="spellStart"/>
      <w:r w:rsidRPr="000508B6">
        <w:rPr>
          <w:rFonts w:ascii="Times New Roman" w:hAnsi="Times New Roman" w:cs="Times New Roman"/>
          <w:lang w:val="ro-MD"/>
        </w:rPr>
        <w:t>terţi</w:t>
      </w:r>
      <w:proofErr w:type="spellEnd"/>
      <w:r w:rsidR="00BB5B85" w:rsidRPr="000508B6">
        <w:rPr>
          <w:rFonts w:ascii="Times New Roman" w:hAnsi="Times New Roman" w:cs="Times New Roman"/>
          <w:lang w:val="ro-MD"/>
        </w:rPr>
        <w:t xml:space="preserve">, precum și </w:t>
      </w:r>
      <w:r w:rsidR="00960C83" w:rsidRPr="000508B6">
        <w:rPr>
          <w:rFonts w:ascii="Times New Roman" w:hAnsi="Times New Roman" w:cs="Times New Roman"/>
          <w:lang w:val="ro-MD"/>
        </w:rPr>
        <w:t xml:space="preserve">de la </w:t>
      </w:r>
      <w:proofErr w:type="spellStart"/>
      <w:r w:rsidRPr="000508B6">
        <w:rPr>
          <w:rFonts w:ascii="Times New Roman" w:hAnsi="Times New Roman" w:cs="Times New Roman"/>
          <w:lang w:val="ro-MD"/>
        </w:rPr>
        <w:t>experţi</w:t>
      </w:r>
      <w:r w:rsidR="00960C83" w:rsidRPr="000508B6">
        <w:rPr>
          <w:rFonts w:ascii="Times New Roman" w:hAnsi="Times New Roman" w:cs="Times New Roman"/>
          <w:lang w:val="ro-MD"/>
        </w:rPr>
        <w:t>i</w:t>
      </w:r>
      <w:proofErr w:type="spellEnd"/>
      <w:r w:rsidRPr="000508B6">
        <w:rPr>
          <w:rFonts w:ascii="Times New Roman" w:hAnsi="Times New Roman" w:cs="Times New Roman"/>
          <w:lang w:val="ro-MD"/>
        </w:rPr>
        <w:t xml:space="preserve"> externi, auditorii sau actuarii,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necesare procesului de supraveghere. Transmiterea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nu constituie o încălcare a secretului profesional impus prin clauze contractuale sau </w:t>
      </w:r>
      <w:r w:rsidR="003A3C1B" w:rsidRPr="000508B6">
        <w:rPr>
          <w:rFonts w:ascii="Times New Roman" w:hAnsi="Times New Roman" w:cs="Times New Roman"/>
          <w:lang w:val="ro-MD"/>
        </w:rPr>
        <w:t xml:space="preserve">prin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legislaţiei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naţionale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nu atrage răspunderea </w:t>
      </w:r>
      <w:r w:rsidR="00523EF7" w:rsidRPr="000508B6">
        <w:rPr>
          <w:rFonts w:ascii="Times New Roman" w:hAnsi="Times New Roman" w:cs="Times New Roman"/>
          <w:lang w:val="ro-MD"/>
        </w:rPr>
        <w:t xml:space="preserve">entităților </w:t>
      </w:r>
      <w:r w:rsidRPr="000508B6">
        <w:rPr>
          <w:rFonts w:ascii="Times New Roman" w:hAnsi="Times New Roman" w:cs="Times New Roman"/>
          <w:lang w:val="ro-MD"/>
        </w:rPr>
        <w:t xml:space="preserve">de audit sau a membrilor echipei de audit. </w:t>
      </w:r>
    </w:p>
    <w:p w14:paraId="7F5FF58C" w14:textId="67077D06" w:rsidR="00B229A1" w:rsidRPr="000508B6" w:rsidRDefault="00B229A1" w:rsidP="00B64698">
      <w:pPr>
        <w:pStyle w:val="Listparagraf"/>
        <w:numPr>
          <w:ilvl w:val="0"/>
          <w:numId w:val="125"/>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 - (</w:t>
      </w:r>
      <w:r w:rsidR="00CF5F58" w:rsidRPr="000508B6">
        <w:rPr>
          <w:rFonts w:ascii="Times New Roman" w:hAnsi="Times New Roman" w:cs="Times New Roman"/>
          <w:lang w:val="ro-MD"/>
        </w:rPr>
        <w:t>3</w:t>
      </w:r>
      <w:r w:rsidRPr="000508B6">
        <w:rPr>
          <w:rFonts w:ascii="Times New Roman" w:hAnsi="Times New Roman" w:cs="Times New Roman"/>
          <w:lang w:val="ro-MD"/>
        </w:rPr>
        <w:t xml:space="preserve">) cuprind următoarele: </w:t>
      </w:r>
    </w:p>
    <w:p w14:paraId="1F5BFED6" w14:textId="77777777" w:rsidR="00B229A1" w:rsidRPr="000508B6" w:rsidRDefault="00B229A1" w:rsidP="0099775F">
      <w:pPr>
        <w:pStyle w:val="Listparagraf"/>
        <w:numPr>
          <w:ilvl w:val="2"/>
          <w:numId w:val="12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elemente cantitative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calitative; </w:t>
      </w:r>
    </w:p>
    <w:p w14:paraId="274C1EB3" w14:textId="77777777" w:rsidR="00B229A1" w:rsidRPr="000508B6" w:rsidRDefault="00B229A1" w:rsidP="00CA0B2C">
      <w:pPr>
        <w:pStyle w:val="Listparagraf"/>
        <w:numPr>
          <w:ilvl w:val="2"/>
          <w:numId w:val="12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elemente istorice, actuale sau prospective; </w:t>
      </w:r>
    </w:p>
    <w:p w14:paraId="2E429364" w14:textId="77777777" w:rsidR="00B229A1" w:rsidRPr="000508B6" w:rsidRDefault="00B229A1" w:rsidP="00CA0B2C">
      <w:pPr>
        <w:pStyle w:val="Listparagraf"/>
        <w:numPr>
          <w:ilvl w:val="2"/>
          <w:numId w:val="12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date din surse interne sau externe; </w:t>
      </w:r>
    </w:p>
    <w:p w14:paraId="4B1D3F6A" w14:textId="2C3C2103" w:rsidR="00B229A1" w:rsidRPr="000508B6" w:rsidRDefault="00B229A1" w:rsidP="00CA0B2C">
      <w:pPr>
        <w:pStyle w:val="Listparagraf"/>
        <w:numPr>
          <w:ilvl w:val="2"/>
          <w:numId w:val="12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o </w:t>
      </w:r>
      <w:proofErr w:type="spellStart"/>
      <w:r w:rsidRPr="000508B6">
        <w:rPr>
          <w:rFonts w:ascii="Times New Roman" w:hAnsi="Times New Roman" w:cs="Times New Roman"/>
          <w:lang w:val="ro-MD"/>
        </w:rPr>
        <w:t>combinaţie</w:t>
      </w:r>
      <w:proofErr w:type="spellEnd"/>
      <w:r w:rsidRPr="000508B6">
        <w:rPr>
          <w:rFonts w:ascii="Times New Roman" w:hAnsi="Times New Roman" w:cs="Times New Roman"/>
          <w:lang w:val="ro-MD"/>
        </w:rPr>
        <w:t xml:space="preserve"> adecvată a elementelor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datelor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a)</w:t>
      </w:r>
      <w:r w:rsidR="007B6E8B" w:rsidRPr="000508B6">
        <w:rPr>
          <w:rFonts w:ascii="Times New Roman" w:hAnsi="Times New Roman" w:cs="Times New Roman"/>
          <w:lang w:val="ro-MD"/>
        </w:rPr>
        <w:t xml:space="preserve"> – </w:t>
      </w:r>
      <w:r w:rsidRPr="000508B6">
        <w:rPr>
          <w:rFonts w:ascii="Times New Roman" w:hAnsi="Times New Roman" w:cs="Times New Roman"/>
          <w:lang w:val="ro-MD"/>
        </w:rPr>
        <w:t xml:space="preserve">c); </w:t>
      </w:r>
    </w:p>
    <w:p w14:paraId="3C16A86A" w14:textId="0531EAC0" w:rsidR="00B229A1" w:rsidRPr="000508B6" w:rsidRDefault="00B229A1" w:rsidP="00CA0B2C">
      <w:pPr>
        <w:pStyle w:val="Listparagraf"/>
        <w:numPr>
          <w:ilvl w:val="0"/>
          <w:numId w:val="125"/>
        </w:numPr>
        <w:tabs>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prevăzute la alin. (1) - (</w:t>
      </w:r>
      <w:r w:rsidR="00CF5F58" w:rsidRPr="000508B6">
        <w:rPr>
          <w:rFonts w:ascii="Times New Roman" w:hAnsi="Times New Roman" w:cs="Times New Roman"/>
          <w:lang w:val="ro-MD"/>
        </w:rPr>
        <w:t>3</w:t>
      </w:r>
      <w:r w:rsidRPr="000508B6">
        <w:rPr>
          <w:rFonts w:ascii="Times New Roman" w:hAnsi="Times New Roman" w:cs="Times New Roman"/>
          <w:lang w:val="ro-MD"/>
        </w:rPr>
        <w:t>)</w:t>
      </w:r>
      <w:r w:rsidR="00BD4340" w:rsidRPr="000508B6">
        <w:rPr>
          <w:rFonts w:ascii="Times New Roman" w:hAnsi="Times New Roman" w:cs="Times New Roman"/>
          <w:lang w:val="ro-MD"/>
        </w:rPr>
        <w:t xml:space="preserve"> trebuie</w:t>
      </w:r>
      <w:r w:rsidRPr="000508B6">
        <w:rPr>
          <w:rFonts w:ascii="Times New Roman" w:hAnsi="Times New Roman" w:cs="Times New Roman"/>
          <w:lang w:val="ro-MD"/>
        </w:rPr>
        <w:t>:</w:t>
      </w:r>
      <w:r w:rsidRPr="000508B6">
        <w:rPr>
          <w:rFonts w:ascii="Times New Roman" w:hAnsi="Times New Roman" w:cs="Times New Roman"/>
          <w:color w:val="FF0000"/>
          <w:lang w:val="ro-MD"/>
        </w:rPr>
        <w:t xml:space="preserve"> </w:t>
      </w:r>
    </w:p>
    <w:p w14:paraId="4C47BB5B" w14:textId="11E62152" w:rsidR="00B229A1" w:rsidRPr="000508B6" w:rsidRDefault="005751A5" w:rsidP="00CA0B2C">
      <w:pPr>
        <w:pStyle w:val="Listparagraf"/>
        <w:numPr>
          <w:ilvl w:val="2"/>
          <w:numId w:val="12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reflecte natura, amploarea și complexitatea activității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în cauză, în special riscurile inerente acestor activități</w:t>
      </w:r>
      <w:r w:rsidR="00B229A1" w:rsidRPr="000508B6">
        <w:rPr>
          <w:rFonts w:ascii="Times New Roman" w:hAnsi="Times New Roman" w:cs="Times New Roman"/>
          <w:lang w:val="ro-MD"/>
        </w:rPr>
        <w:t xml:space="preserve">; </w:t>
      </w:r>
    </w:p>
    <w:p w14:paraId="76EB6B85" w14:textId="6ACA06F2" w:rsidR="00B229A1" w:rsidRPr="000508B6" w:rsidRDefault="00976531" w:rsidP="00CA0B2C">
      <w:pPr>
        <w:pStyle w:val="Listparagraf"/>
        <w:numPr>
          <w:ilvl w:val="2"/>
          <w:numId w:val="12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să fie</w:t>
      </w:r>
      <w:r w:rsidR="00B229A1" w:rsidRPr="000508B6">
        <w:rPr>
          <w:rFonts w:ascii="Times New Roman" w:hAnsi="Times New Roman" w:cs="Times New Roman"/>
          <w:lang w:val="ro-MD"/>
        </w:rPr>
        <w:t xml:space="preserve"> complete în toate aspectele semnificative, comparabile </w:t>
      </w:r>
      <w:proofErr w:type="spellStart"/>
      <w:r w:rsidR="00B229A1" w:rsidRPr="000508B6">
        <w:rPr>
          <w:rFonts w:ascii="Times New Roman" w:hAnsi="Times New Roman" w:cs="Times New Roman"/>
          <w:lang w:val="ro-MD"/>
        </w:rPr>
        <w:t>şi</w:t>
      </w:r>
      <w:proofErr w:type="spellEnd"/>
      <w:r w:rsidR="00B229A1" w:rsidRPr="000508B6">
        <w:rPr>
          <w:rFonts w:ascii="Times New Roman" w:hAnsi="Times New Roman" w:cs="Times New Roman"/>
          <w:lang w:val="ro-MD"/>
        </w:rPr>
        <w:t xml:space="preserve"> consecvente în timp; </w:t>
      </w:r>
    </w:p>
    <w:p w14:paraId="4088C8E0" w14:textId="6379630E" w:rsidR="00B229A1" w:rsidRPr="000508B6" w:rsidRDefault="00976531" w:rsidP="00CA0B2C">
      <w:pPr>
        <w:pStyle w:val="Listparagraf"/>
        <w:numPr>
          <w:ilvl w:val="2"/>
          <w:numId w:val="12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fie </w:t>
      </w:r>
      <w:r w:rsidR="00B229A1" w:rsidRPr="000508B6">
        <w:rPr>
          <w:rFonts w:ascii="Times New Roman" w:hAnsi="Times New Roman" w:cs="Times New Roman"/>
          <w:lang w:val="ro-MD"/>
        </w:rPr>
        <w:t xml:space="preserve">transmise într-un format accesibil; </w:t>
      </w:r>
    </w:p>
    <w:p w14:paraId="5A8F0115" w14:textId="42D9F4B7" w:rsidR="00B229A1" w:rsidRPr="000508B6" w:rsidRDefault="005751A5" w:rsidP="00CA0B2C">
      <w:pPr>
        <w:pStyle w:val="Listparagraf"/>
        <w:numPr>
          <w:ilvl w:val="2"/>
          <w:numId w:val="128"/>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să fie adecvate, fiabile și </w:t>
      </w:r>
      <w:r w:rsidR="00B229A1" w:rsidRPr="000508B6">
        <w:rPr>
          <w:rFonts w:ascii="Times New Roman" w:hAnsi="Times New Roman" w:cs="Times New Roman"/>
          <w:lang w:val="ro-MD"/>
        </w:rPr>
        <w:t xml:space="preserve">inteligibile. </w:t>
      </w:r>
    </w:p>
    <w:p w14:paraId="3B2955F3" w14:textId="6DC3A230" w:rsidR="00B229A1" w:rsidRPr="000508B6" w:rsidRDefault="00B229A1" w:rsidP="00CF5AFA">
      <w:pPr>
        <w:pStyle w:val="Listparagraf"/>
        <w:numPr>
          <w:ilvl w:val="0"/>
          <w:numId w:val="12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vederea respectării </w:t>
      </w:r>
      <w:proofErr w:type="spellStart"/>
      <w:r w:rsidRPr="000508B6">
        <w:rPr>
          <w:rFonts w:ascii="Times New Roman" w:hAnsi="Times New Roman" w:cs="Times New Roman"/>
          <w:lang w:val="ro-MD"/>
        </w:rPr>
        <w:t>cerinţelor</w:t>
      </w:r>
      <w:proofErr w:type="spellEnd"/>
      <w:r w:rsidRPr="000508B6">
        <w:rPr>
          <w:rFonts w:ascii="Times New Roman" w:hAnsi="Times New Roman" w:cs="Times New Roman"/>
          <w:lang w:val="ro-MD"/>
        </w:rPr>
        <w:t xml:space="preserve"> prevăzute la alin. (1)</w:t>
      </w:r>
      <w:r w:rsidR="00A07275" w:rsidRPr="000508B6">
        <w:rPr>
          <w:rFonts w:ascii="Times New Roman" w:hAnsi="Times New Roman" w:cs="Times New Roman"/>
          <w:lang w:val="ro-MD"/>
        </w:rPr>
        <w:t xml:space="preserve"> </w:t>
      </w:r>
      <w:r w:rsidR="007B6E8B" w:rsidRPr="000508B6">
        <w:rPr>
          <w:rFonts w:ascii="Times New Roman" w:hAnsi="Times New Roman" w:cs="Times New Roman"/>
          <w:lang w:val="ro-MD"/>
        </w:rPr>
        <w:t>–</w:t>
      </w:r>
      <w:r w:rsidRPr="000508B6">
        <w:rPr>
          <w:rFonts w:ascii="Times New Roman" w:hAnsi="Times New Roman" w:cs="Times New Roman"/>
          <w:lang w:val="ro-MD"/>
        </w:rPr>
        <w:t xml:space="preserve"> (</w:t>
      </w:r>
      <w:r w:rsidR="00EC52D2" w:rsidRPr="000508B6">
        <w:rPr>
          <w:rFonts w:ascii="Times New Roman" w:hAnsi="Times New Roman" w:cs="Times New Roman"/>
          <w:lang w:val="ro-MD"/>
        </w:rPr>
        <w:t>5</w:t>
      </w:r>
      <w:r w:rsidRPr="000508B6">
        <w:rPr>
          <w:rFonts w:ascii="Times New Roman" w:hAnsi="Times New Roman" w:cs="Times New Roman"/>
          <w:lang w:val="ro-MD"/>
        </w:rPr>
        <w:t xml:space="preserve">), </w:t>
      </w:r>
      <w:r w:rsidR="00523EF7" w:rsidRPr="000508B6">
        <w:rPr>
          <w:rFonts w:ascii="Times New Roman" w:hAnsi="Times New Roman" w:cs="Times New Roman"/>
          <w:lang w:val="ro-MD"/>
        </w:rPr>
        <w:t xml:space="preserve">asigurătorul sau </w:t>
      </w:r>
      <w:proofErr w:type="spellStart"/>
      <w:r w:rsidR="00523EF7" w:rsidRPr="000508B6">
        <w:rPr>
          <w:rFonts w:ascii="Times New Roman" w:hAnsi="Times New Roman" w:cs="Times New Roman"/>
          <w:lang w:val="ro-MD"/>
        </w:rPr>
        <w:t>reasigurătorul</w:t>
      </w:r>
      <w:proofErr w:type="spellEnd"/>
      <w:r w:rsidR="00523EF7" w:rsidRPr="000508B6">
        <w:rPr>
          <w:rFonts w:ascii="Times New Roman" w:hAnsi="Times New Roman" w:cs="Times New Roman"/>
          <w:lang w:val="ro-MD"/>
        </w:rPr>
        <w:t xml:space="preserve"> </w:t>
      </w:r>
      <w:r w:rsidRPr="000508B6">
        <w:rPr>
          <w:rFonts w:ascii="Times New Roman" w:hAnsi="Times New Roman" w:cs="Times New Roman"/>
          <w:lang w:val="ro-MD"/>
        </w:rPr>
        <w:t xml:space="preserve">instituie sisteme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structuri</w:t>
      </w:r>
      <w:r w:rsidR="002E49B8" w:rsidRPr="000508B6">
        <w:rPr>
          <w:rFonts w:ascii="Times New Roman" w:hAnsi="Times New Roman" w:cs="Times New Roman"/>
          <w:lang w:val="ro-MD"/>
        </w:rPr>
        <w:t xml:space="preserve">, </w:t>
      </w:r>
      <w:bookmarkStart w:id="167" w:name="_Hlk195282779"/>
      <w:r w:rsidR="002E49B8" w:rsidRPr="000508B6">
        <w:rPr>
          <w:rFonts w:ascii="Times New Roman" w:hAnsi="Times New Roman" w:cs="Times New Roman"/>
          <w:lang w:val="ro-MD"/>
        </w:rPr>
        <w:t xml:space="preserve">precum și o politică scrisă, aprobată de consiliul </w:t>
      </w:r>
      <w:r w:rsidR="009E7B62" w:rsidRPr="000508B6">
        <w:rPr>
          <w:rFonts w:ascii="Times New Roman" w:hAnsi="Times New Roman" w:cs="Times New Roman"/>
          <w:lang w:val="ro-MD"/>
        </w:rPr>
        <w:t xml:space="preserve">asigurătorului sau </w:t>
      </w:r>
      <w:proofErr w:type="spellStart"/>
      <w:r w:rsidR="009E7B62" w:rsidRPr="000508B6">
        <w:rPr>
          <w:rFonts w:ascii="Times New Roman" w:hAnsi="Times New Roman" w:cs="Times New Roman"/>
          <w:lang w:val="ro-MD"/>
        </w:rPr>
        <w:t>reasigurătorului</w:t>
      </w:r>
      <w:proofErr w:type="spellEnd"/>
      <w:r w:rsidR="009E7B62"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asigură în </w:t>
      </w:r>
      <w:proofErr w:type="spellStart"/>
      <w:r w:rsidRPr="000508B6">
        <w:rPr>
          <w:rFonts w:ascii="Times New Roman" w:hAnsi="Times New Roman" w:cs="Times New Roman"/>
          <w:lang w:val="ro-MD"/>
        </w:rPr>
        <w:t>permanenţă</w:t>
      </w:r>
      <w:proofErr w:type="spellEnd"/>
      <w:r w:rsidRPr="000508B6">
        <w:rPr>
          <w:rFonts w:ascii="Times New Roman" w:hAnsi="Times New Roman" w:cs="Times New Roman"/>
          <w:lang w:val="ro-MD"/>
        </w:rPr>
        <w:t xml:space="preserve"> faptul că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transmise Băncii Naționale a Moldovei au un caracter adecvat</w:t>
      </w:r>
      <w:bookmarkEnd w:id="167"/>
      <w:r w:rsidRPr="000508B6">
        <w:rPr>
          <w:rFonts w:ascii="Times New Roman" w:hAnsi="Times New Roman" w:cs="Times New Roman"/>
          <w:lang w:val="ro-MD"/>
        </w:rPr>
        <w:t xml:space="preserve">. </w:t>
      </w:r>
    </w:p>
    <w:p w14:paraId="4973D940" w14:textId="0C55D6C8" w:rsidR="00394519" w:rsidRPr="000508B6" w:rsidRDefault="00394519" w:rsidP="00CA0B2C">
      <w:pPr>
        <w:pStyle w:val="Listparagraf"/>
        <w:numPr>
          <w:ilvl w:val="0"/>
          <w:numId w:val="125"/>
        </w:numPr>
        <w:tabs>
          <w:tab w:val="left" w:pos="426"/>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Ținând seama de informațiile solicitate la alin</w:t>
      </w:r>
      <w:r w:rsidR="00EF5AEE" w:rsidRPr="000508B6">
        <w:rPr>
          <w:rFonts w:ascii="Times New Roman" w:hAnsi="Times New Roman" w:cs="Times New Roman"/>
          <w:lang w:val="ro-MD"/>
        </w:rPr>
        <w:t>.</w:t>
      </w:r>
      <w:r w:rsidRPr="000508B6">
        <w:rPr>
          <w:rFonts w:ascii="Times New Roman" w:hAnsi="Times New Roman" w:cs="Times New Roman"/>
          <w:lang w:val="ro-MD"/>
        </w:rPr>
        <w:t xml:space="preserve"> (1)</w:t>
      </w:r>
      <w:r w:rsidR="0099775F" w:rsidRPr="000508B6">
        <w:rPr>
          <w:rFonts w:ascii="Times New Roman" w:hAnsi="Times New Roman" w:cs="Times New Roman"/>
          <w:lang w:val="ro-MD"/>
        </w:rPr>
        <w:t xml:space="preserve"> </w:t>
      </w:r>
      <w:r w:rsidR="007B6E8B" w:rsidRPr="000508B6">
        <w:rPr>
          <w:rFonts w:ascii="Times New Roman" w:hAnsi="Times New Roman" w:cs="Times New Roman"/>
          <w:lang w:val="ro-MD"/>
        </w:rPr>
        <w:t>–</w:t>
      </w:r>
      <w:r w:rsidRPr="000508B6">
        <w:rPr>
          <w:rFonts w:ascii="Times New Roman" w:hAnsi="Times New Roman" w:cs="Times New Roman"/>
          <w:lang w:val="ro-MD"/>
        </w:rPr>
        <w:t xml:space="preserve"> (</w:t>
      </w:r>
      <w:r w:rsidR="00EF5AEE" w:rsidRPr="000508B6">
        <w:rPr>
          <w:rFonts w:ascii="Times New Roman" w:hAnsi="Times New Roman" w:cs="Times New Roman"/>
          <w:lang w:val="ro-MD"/>
        </w:rPr>
        <w:t>4</w:t>
      </w:r>
      <w:r w:rsidRPr="000508B6">
        <w:rPr>
          <w:rFonts w:ascii="Times New Roman" w:hAnsi="Times New Roman" w:cs="Times New Roman"/>
          <w:lang w:val="ro-MD"/>
        </w:rPr>
        <w:t>) și de principiile prevăzute la alin</w:t>
      </w:r>
      <w:r w:rsidR="00EF5AEE" w:rsidRPr="000508B6">
        <w:rPr>
          <w:rFonts w:ascii="Times New Roman" w:hAnsi="Times New Roman" w:cs="Times New Roman"/>
          <w:lang w:val="ro-MD"/>
        </w:rPr>
        <w:t>.</w:t>
      </w:r>
      <w:r w:rsidRPr="000508B6">
        <w:rPr>
          <w:rFonts w:ascii="Times New Roman" w:hAnsi="Times New Roman" w:cs="Times New Roman"/>
          <w:lang w:val="ro-MD"/>
        </w:rPr>
        <w:t xml:space="preserve"> (</w:t>
      </w:r>
      <w:r w:rsidR="004D3BEA" w:rsidRPr="000508B6">
        <w:rPr>
          <w:rFonts w:ascii="Times New Roman" w:hAnsi="Times New Roman" w:cs="Times New Roman"/>
          <w:lang w:val="ro-MD"/>
        </w:rPr>
        <w:t>5</w:t>
      </w:r>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prezintă Băncii N</w:t>
      </w:r>
      <w:r w:rsidR="00EF5AEE" w:rsidRPr="000508B6">
        <w:rPr>
          <w:rFonts w:ascii="Times New Roman" w:hAnsi="Times New Roman" w:cs="Times New Roman"/>
          <w:lang w:val="ro-MD"/>
        </w:rPr>
        <w:t>a</w:t>
      </w:r>
      <w:r w:rsidRPr="000508B6">
        <w:rPr>
          <w:rFonts w:ascii="Times New Roman" w:hAnsi="Times New Roman" w:cs="Times New Roman"/>
          <w:lang w:val="ro-MD"/>
        </w:rPr>
        <w:t xml:space="preserve">ționale a Moldovei un raport periodic de supraveghere care cuprinde informații privind activitatea și rezultatele obținute de </w:t>
      </w:r>
      <w:r w:rsidR="00523EF7" w:rsidRPr="000508B6">
        <w:rPr>
          <w:rFonts w:ascii="Times New Roman" w:hAnsi="Times New Roman" w:cs="Times New Roman"/>
          <w:lang w:val="ro-MD"/>
        </w:rPr>
        <w:t xml:space="preserve">asigurător sau </w:t>
      </w:r>
      <w:proofErr w:type="spellStart"/>
      <w:r w:rsidR="00523EF7" w:rsidRPr="000508B6">
        <w:rPr>
          <w:rFonts w:ascii="Times New Roman" w:hAnsi="Times New Roman" w:cs="Times New Roman"/>
          <w:lang w:val="ro-MD"/>
        </w:rPr>
        <w:t>reasigurător</w:t>
      </w:r>
      <w:proofErr w:type="spellEnd"/>
      <w:r w:rsidRPr="000508B6">
        <w:rPr>
          <w:rFonts w:ascii="Times New Roman" w:hAnsi="Times New Roman" w:cs="Times New Roman"/>
          <w:lang w:val="ro-MD"/>
        </w:rPr>
        <w:t>, sistemul de guvernanță, profilul de risc, evaluarea pentru determinarea solvabilității și</w:t>
      </w:r>
      <w:r w:rsidRPr="000508B6" w:rsidDel="00472F8E">
        <w:rPr>
          <w:rFonts w:ascii="Times New Roman" w:hAnsi="Times New Roman" w:cs="Times New Roman"/>
          <w:lang w:val="ro-MD"/>
        </w:rPr>
        <w:t xml:space="preserve"> </w:t>
      </w:r>
      <w:r w:rsidR="00472F8E" w:rsidRPr="000508B6">
        <w:rPr>
          <w:rFonts w:ascii="Times New Roman" w:hAnsi="Times New Roman" w:cs="Times New Roman"/>
          <w:lang w:val="ro-MD"/>
        </w:rPr>
        <w:t xml:space="preserve">managementul </w:t>
      </w:r>
      <w:r w:rsidRPr="000508B6">
        <w:rPr>
          <w:rFonts w:ascii="Times New Roman" w:hAnsi="Times New Roman" w:cs="Times New Roman"/>
          <w:lang w:val="ro-MD"/>
        </w:rPr>
        <w:t>capitalului în perioada de raportare. Frecvența raportului periodic de supraveghere este următoarea:</w:t>
      </w:r>
    </w:p>
    <w:p w14:paraId="42709CCC" w14:textId="3C66D36D" w:rsidR="00394519" w:rsidRPr="000508B6" w:rsidRDefault="00394519" w:rsidP="00CA0B2C">
      <w:pPr>
        <w:pStyle w:val="Listparagraf"/>
        <w:numPr>
          <w:ilvl w:val="1"/>
          <w:numId w:val="325"/>
        </w:numPr>
        <w:tabs>
          <w:tab w:val="left" w:pos="426"/>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4125E8" w:rsidRPr="000508B6">
        <w:rPr>
          <w:rFonts w:ascii="Times New Roman" w:hAnsi="Times New Roman" w:cs="Times New Roman"/>
          <w:lang w:val="ro-MD"/>
        </w:rPr>
        <w:t xml:space="preserve">asigurător sau </w:t>
      </w:r>
      <w:proofErr w:type="spellStart"/>
      <w:r w:rsidR="004125E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mic și cu un grad redus de complexitate, odată la trei ani sau, în cazul în care acest lucru este permis de Banca Națională a Moldovei</w:t>
      </w:r>
      <w:r w:rsidR="00D30697" w:rsidRPr="000508B6">
        <w:rPr>
          <w:rFonts w:ascii="Times New Roman" w:hAnsi="Times New Roman" w:cs="Times New Roman"/>
          <w:lang w:val="ro-MD"/>
        </w:rPr>
        <w:t xml:space="preserve"> </w:t>
      </w:r>
      <w:r w:rsidR="00E42A41" w:rsidRPr="000508B6">
        <w:rPr>
          <w:rFonts w:ascii="Times New Roman" w:hAnsi="Times New Roman" w:cs="Times New Roman"/>
          <w:lang w:val="ro-MD"/>
        </w:rPr>
        <w:t>până</w:t>
      </w:r>
      <w:r w:rsidRPr="000508B6">
        <w:rPr>
          <w:rFonts w:ascii="Times New Roman" w:hAnsi="Times New Roman" w:cs="Times New Roman"/>
          <w:lang w:val="ro-MD"/>
        </w:rPr>
        <w:t xml:space="preserve"> la cinci ani;</w:t>
      </w:r>
    </w:p>
    <w:p w14:paraId="68C80693" w14:textId="64ECDC13" w:rsidR="005F12F9" w:rsidRPr="000508B6" w:rsidRDefault="00394519" w:rsidP="00CA0B2C">
      <w:pPr>
        <w:pStyle w:val="Listparagraf"/>
        <w:numPr>
          <w:ilvl w:val="1"/>
          <w:numId w:val="325"/>
        </w:numPr>
        <w:tabs>
          <w:tab w:val="left" w:pos="426"/>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pentru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r w:rsidR="006F5B86" w:rsidRPr="000508B6">
        <w:rPr>
          <w:rFonts w:ascii="Times New Roman" w:hAnsi="Times New Roman" w:cs="Times New Roman"/>
          <w:lang w:val="ro-MD"/>
        </w:rPr>
        <w:t xml:space="preserve">altul </w:t>
      </w:r>
      <w:r w:rsidRPr="000508B6">
        <w:rPr>
          <w:rFonts w:ascii="Times New Roman" w:hAnsi="Times New Roman" w:cs="Times New Roman"/>
          <w:lang w:val="ro-MD"/>
        </w:rPr>
        <w:t xml:space="preserve">decât </w:t>
      </w:r>
      <w:r w:rsidR="00D068AA" w:rsidRPr="000508B6">
        <w:rPr>
          <w:rFonts w:ascii="Times New Roman" w:hAnsi="Times New Roman" w:cs="Times New Roman"/>
          <w:lang w:val="ro-MD"/>
        </w:rPr>
        <w:t xml:space="preserve">asigurător sau </w:t>
      </w:r>
      <w:proofErr w:type="spellStart"/>
      <w:r w:rsidR="00D068AA" w:rsidRPr="000508B6">
        <w:rPr>
          <w:rFonts w:ascii="Times New Roman" w:hAnsi="Times New Roman" w:cs="Times New Roman"/>
          <w:lang w:val="ro-MD"/>
        </w:rPr>
        <w:t>reasigurător</w:t>
      </w:r>
      <w:proofErr w:type="spellEnd"/>
      <w:r w:rsidR="003A3225" w:rsidRPr="000508B6">
        <w:rPr>
          <w:rFonts w:ascii="Times New Roman" w:hAnsi="Times New Roman" w:cs="Times New Roman"/>
          <w:lang w:val="ro-MD"/>
        </w:rPr>
        <w:t xml:space="preserve"> </w:t>
      </w:r>
      <w:r w:rsidRPr="000508B6">
        <w:rPr>
          <w:rFonts w:ascii="Times New Roman" w:hAnsi="Times New Roman" w:cs="Times New Roman"/>
          <w:lang w:val="ro-MD"/>
        </w:rPr>
        <w:t xml:space="preserve">mic și cu un grad redus de complexitate, </w:t>
      </w:r>
      <w:r w:rsidR="00E42A41" w:rsidRPr="000508B6">
        <w:rPr>
          <w:rFonts w:ascii="Times New Roman" w:hAnsi="Times New Roman" w:cs="Times New Roman"/>
          <w:lang w:val="ro-MD"/>
        </w:rPr>
        <w:t>o</w:t>
      </w:r>
      <w:r w:rsidRPr="000508B6">
        <w:rPr>
          <w:rFonts w:ascii="Times New Roman" w:hAnsi="Times New Roman" w:cs="Times New Roman"/>
          <w:lang w:val="ro-MD"/>
        </w:rPr>
        <w:t xml:space="preserve">dată la trei ani. </w:t>
      </w:r>
      <w:r w:rsidR="009223B5" w:rsidRPr="000508B6">
        <w:rPr>
          <w:rFonts w:ascii="Times New Roman" w:hAnsi="Times New Roman" w:cs="Times New Roman"/>
          <w:lang w:val="ro-MD"/>
        </w:rPr>
        <w:t>La necesitate, Banca Națională a Moldovei poate solicita raportare mai frecventă</w:t>
      </w:r>
      <w:r w:rsidR="006F5B86" w:rsidRPr="000508B6">
        <w:rPr>
          <w:rFonts w:ascii="Times New Roman" w:hAnsi="Times New Roman" w:cs="Times New Roman"/>
          <w:lang w:val="ro-MD"/>
        </w:rPr>
        <w:t>, atunci când consideră necesar</w:t>
      </w:r>
      <w:r w:rsidRPr="000508B6">
        <w:rPr>
          <w:rFonts w:ascii="Times New Roman" w:hAnsi="Times New Roman" w:cs="Times New Roman"/>
          <w:lang w:val="ro-MD"/>
        </w:rPr>
        <w:t>.</w:t>
      </w:r>
      <w:r w:rsidR="005F12F9" w:rsidRPr="000508B6">
        <w:rPr>
          <w:rFonts w:ascii="Times New Roman" w:hAnsi="Times New Roman" w:cs="Times New Roman"/>
          <w:lang w:val="ro-MD"/>
        </w:rPr>
        <w:t xml:space="preserve"> </w:t>
      </w:r>
    </w:p>
    <w:p w14:paraId="264CD04C" w14:textId="4A70D01E" w:rsidR="00CA6B02" w:rsidRPr="000508B6" w:rsidRDefault="00CA6B02" w:rsidP="00CA0B2C">
      <w:pPr>
        <w:pStyle w:val="Listparagraf"/>
        <w:numPr>
          <w:ilvl w:val="0"/>
          <w:numId w:val="125"/>
        </w:numPr>
        <w:tabs>
          <w:tab w:val="left" w:pos="426"/>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EE5FA3" w:rsidRPr="000508B6">
        <w:rPr>
          <w:rFonts w:ascii="Times New Roman" w:hAnsi="Times New Roman" w:cs="Times New Roman"/>
          <w:lang w:val="ro-MD"/>
        </w:rPr>
        <w:t xml:space="preserve"> </w:t>
      </w:r>
      <w:r w:rsidRPr="000508B6">
        <w:rPr>
          <w:rFonts w:ascii="Times New Roman" w:hAnsi="Times New Roman" w:cs="Times New Roman"/>
          <w:lang w:val="ro-MD"/>
        </w:rPr>
        <w:t>transmit</w:t>
      </w:r>
      <w:r w:rsidR="00EE5FA3" w:rsidRPr="000508B6">
        <w:rPr>
          <w:rFonts w:ascii="Times New Roman" w:hAnsi="Times New Roman" w:cs="Times New Roman"/>
          <w:lang w:val="ro-MD"/>
        </w:rPr>
        <w:t>e</w:t>
      </w:r>
      <w:r w:rsidRPr="000508B6">
        <w:rPr>
          <w:rFonts w:ascii="Times New Roman" w:hAnsi="Times New Roman" w:cs="Times New Roman"/>
          <w:lang w:val="ro-MD"/>
        </w:rPr>
        <w:t xml:space="preserve"> Băncii Naționale a Moldovei informațiile menționate la alin</w:t>
      </w:r>
      <w:r w:rsidR="00456A71" w:rsidRPr="000508B6">
        <w:rPr>
          <w:rFonts w:ascii="Times New Roman" w:hAnsi="Times New Roman" w:cs="Times New Roman"/>
          <w:lang w:val="ro-MD"/>
        </w:rPr>
        <w:t>.</w:t>
      </w:r>
      <w:r w:rsidRPr="000508B6">
        <w:rPr>
          <w:rFonts w:ascii="Times New Roman" w:hAnsi="Times New Roman" w:cs="Times New Roman"/>
          <w:lang w:val="ro-MD"/>
        </w:rPr>
        <w:t xml:space="preserve"> (1)</w:t>
      </w:r>
      <w:r w:rsidR="007B6E8B" w:rsidRPr="000508B6">
        <w:rPr>
          <w:rFonts w:ascii="Times New Roman" w:hAnsi="Times New Roman" w:cs="Times New Roman"/>
          <w:lang w:val="ro-MD"/>
        </w:rPr>
        <w:t xml:space="preserve"> – </w:t>
      </w:r>
      <w:r w:rsidRPr="000508B6">
        <w:rPr>
          <w:rFonts w:ascii="Times New Roman" w:hAnsi="Times New Roman" w:cs="Times New Roman"/>
          <w:lang w:val="ro-MD"/>
        </w:rPr>
        <w:t>(</w:t>
      </w:r>
      <w:r w:rsidR="007A661B" w:rsidRPr="000508B6">
        <w:rPr>
          <w:rFonts w:ascii="Times New Roman" w:hAnsi="Times New Roman" w:cs="Times New Roman"/>
          <w:lang w:val="ro-MD"/>
        </w:rPr>
        <w:t>5</w:t>
      </w:r>
      <w:r w:rsidRPr="000508B6">
        <w:rPr>
          <w:rFonts w:ascii="Times New Roman" w:hAnsi="Times New Roman" w:cs="Times New Roman"/>
          <w:lang w:val="ro-MD"/>
        </w:rPr>
        <w:t xml:space="preserve">) la intervale de un an sau mai mari, în termen de 16 săptămâni de la </w:t>
      </w:r>
      <w:r w:rsidR="004045CD" w:rsidRPr="000508B6">
        <w:rPr>
          <w:rFonts w:ascii="Times New Roman" w:hAnsi="Times New Roman" w:cs="Times New Roman"/>
          <w:lang w:val="ro-MD"/>
        </w:rPr>
        <w:t xml:space="preserve">încheierea </w:t>
      </w:r>
      <w:r w:rsidRPr="000508B6">
        <w:rPr>
          <w:rFonts w:ascii="Times New Roman" w:hAnsi="Times New Roman" w:cs="Times New Roman"/>
          <w:lang w:val="ro-MD"/>
        </w:rPr>
        <w:t>exercițiului financiar</w:t>
      </w:r>
      <w:r w:rsidR="00C83C38" w:rsidRPr="000508B6">
        <w:rPr>
          <w:rFonts w:ascii="Times New Roman" w:hAnsi="Times New Roman" w:cs="Times New Roman"/>
          <w:lang w:val="ro-MD"/>
        </w:rPr>
        <w:t>.</w:t>
      </w:r>
      <w:r w:rsidRPr="000508B6">
        <w:rPr>
          <w:rFonts w:ascii="Times New Roman" w:hAnsi="Times New Roman" w:cs="Times New Roman"/>
          <w:lang w:val="ro-MD"/>
        </w:rPr>
        <w:t xml:space="preserve"> </w:t>
      </w:r>
    </w:p>
    <w:p w14:paraId="6BDFB399" w14:textId="61D884F0" w:rsidR="00CA6B02" w:rsidRPr="000508B6" w:rsidRDefault="00CA6B02" w:rsidP="00CA0B2C">
      <w:pPr>
        <w:pStyle w:val="Listparagraf"/>
        <w:numPr>
          <w:ilvl w:val="0"/>
          <w:numId w:val="125"/>
        </w:numPr>
        <w:tabs>
          <w:tab w:val="left" w:pos="426"/>
          <w:tab w:val="left" w:pos="709"/>
          <w:tab w:val="left" w:pos="851"/>
        </w:tabs>
        <w:spacing w:after="0" w:line="240" w:lineRule="auto"/>
        <w:ind w:left="0" w:firstLine="360"/>
        <w:jc w:val="both"/>
        <w:rPr>
          <w:rFonts w:ascii="Times New Roman" w:hAnsi="Times New Roman" w:cs="Times New Roman"/>
          <w:color w:val="FF0000"/>
          <w:lang w:val="ro-MD"/>
        </w:rPr>
      </w:pPr>
      <w:r w:rsidRPr="000508B6" w:rsidDel="0077545A">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175DC1" w:rsidRPr="000508B6">
        <w:rPr>
          <w:rFonts w:ascii="Times New Roman" w:hAnsi="Times New Roman" w:cs="Times New Roman"/>
          <w:lang w:val="ro-MD"/>
        </w:rPr>
        <w:t xml:space="preserve"> </w:t>
      </w:r>
      <w:r w:rsidRPr="000508B6">
        <w:rPr>
          <w:rFonts w:ascii="Times New Roman" w:hAnsi="Times New Roman" w:cs="Times New Roman"/>
          <w:lang w:val="ro-MD"/>
        </w:rPr>
        <w:t>transmit</w:t>
      </w:r>
      <w:r w:rsidR="00175DC1" w:rsidRPr="000508B6">
        <w:rPr>
          <w:rFonts w:ascii="Times New Roman" w:hAnsi="Times New Roman" w:cs="Times New Roman"/>
          <w:lang w:val="ro-MD"/>
        </w:rPr>
        <w:t>e</w:t>
      </w:r>
      <w:r w:rsidRPr="000508B6">
        <w:rPr>
          <w:rFonts w:ascii="Times New Roman" w:hAnsi="Times New Roman" w:cs="Times New Roman"/>
          <w:lang w:val="ro-MD"/>
        </w:rPr>
        <w:t xml:space="preserve"> trimestrial Băncii Naționale a Moldovei informațiile menționate la alin</w:t>
      </w:r>
      <w:r w:rsidR="00456A71" w:rsidRPr="000508B6">
        <w:rPr>
          <w:rFonts w:ascii="Times New Roman" w:hAnsi="Times New Roman" w:cs="Times New Roman"/>
          <w:lang w:val="ro-MD"/>
        </w:rPr>
        <w:t>.</w:t>
      </w:r>
      <w:r w:rsidRPr="000508B6">
        <w:rPr>
          <w:rFonts w:ascii="Times New Roman" w:hAnsi="Times New Roman" w:cs="Times New Roman"/>
          <w:lang w:val="ro-MD"/>
        </w:rPr>
        <w:t xml:space="preserve"> (1)</w:t>
      </w:r>
      <w:r w:rsidR="007B6E8B" w:rsidRPr="000508B6">
        <w:rPr>
          <w:rFonts w:ascii="Times New Roman" w:hAnsi="Times New Roman" w:cs="Times New Roman"/>
          <w:lang w:val="ro-MD"/>
        </w:rPr>
        <w:t xml:space="preserve"> – </w:t>
      </w:r>
      <w:r w:rsidRPr="000508B6">
        <w:rPr>
          <w:rFonts w:ascii="Times New Roman" w:hAnsi="Times New Roman" w:cs="Times New Roman"/>
          <w:lang w:val="ro-MD"/>
        </w:rPr>
        <w:t>(</w:t>
      </w:r>
      <w:r w:rsidR="000C62E0" w:rsidRPr="000508B6">
        <w:rPr>
          <w:rFonts w:ascii="Times New Roman" w:hAnsi="Times New Roman" w:cs="Times New Roman"/>
          <w:lang w:val="ro-MD"/>
        </w:rPr>
        <w:t>5</w:t>
      </w:r>
      <w:r w:rsidRPr="000508B6">
        <w:rPr>
          <w:rFonts w:ascii="Times New Roman" w:hAnsi="Times New Roman" w:cs="Times New Roman"/>
          <w:lang w:val="ro-MD"/>
        </w:rPr>
        <w:t xml:space="preserve">), în termen de cinci săptămâni de la </w:t>
      </w:r>
      <w:r w:rsidR="004045CD" w:rsidRPr="000508B6">
        <w:rPr>
          <w:rFonts w:ascii="Times New Roman" w:hAnsi="Times New Roman" w:cs="Times New Roman"/>
          <w:lang w:val="ro-MD"/>
        </w:rPr>
        <w:t xml:space="preserve">încheierea </w:t>
      </w:r>
      <w:r w:rsidRPr="000508B6">
        <w:rPr>
          <w:rFonts w:ascii="Times New Roman" w:hAnsi="Times New Roman" w:cs="Times New Roman"/>
          <w:lang w:val="ro-MD"/>
        </w:rPr>
        <w:t>fiecărui trimestru.</w:t>
      </w:r>
      <w:r w:rsidR="002C2176" w:rsidRPr="000508B6">
        <w:rPr>
          <w:rFonts w:ascii="Times New Roman" w:hAnsi="Times New Roman" w:cs="Times New Roman"/>
          <w:lang w:val="ro-MD"/>
        </w:rPr>
        <w:t xml:space="preserve"> </w:t>
      </w:r>
    </w:p>
    <w:p w14:paraId="7FF9D310" w14:textId="5CB333D6" w:rsidR="00CA6B02" w:rsidRPr="000508B6" w:rsidRDefault="004125E8" w:rsidP="00CA0B2C">
      <w:pPr>
        <w:pStyle w:val="Listparagraf"/>
        <w:numPr>
          <w:ilvl w:val="0"/>
          <w:numId w:val="125"/>
        </w:numPr>
        <w:tabs>
          <w:tab w:val="left" w:pos="426"/>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CA6B02" w:rsidRPr="000508B6">
        <w:rPr>
          <w:rFonts w:ascii="Times New Roman" w:hAnsi="Times New Roman" w:cs="Times New Roman"/>
          <w:lang w:val="ro-MD"/>
        </w:rPr>
        <w:t xml:space="preserve"> prezintă Băncii Naționale a Moldovei raportul periodic de supraveghere menționat la </w:t>
      </w:r>
      <w:r w:rsidR="00735DA2" w:rsidRPr="000508B6">
        <w:rPr>
          <w:rFonts w:ascii="Times New Roman" w:hAnsi="Times New Roman" w:cs="Times New Roman"/>
          <w:lang w:val="ro-MD"/>
        </w:rPr>
        <w:t xml:space="preserve">alin. </w:t>
      </w:r>
      <w:r w:rsidR="00CA6B02" w:rsidRPr="000508B6">
        <w:rPr>
          <w:rFonts w:ascii="Times New Roman" w:hAnsi="Times New Roman" w:cs="Times New Roman"/>
          <w:lang w:val="ro-MD"/>
        </w:rPr>
        <w:t>(</w:t>
      </w:r>
      <w:r w:rsidR="00AC76E1" w:rsidRPr="000508B6">
        <w:rPr>
          <w:rFonts w:ascii="Times New Roman" w:hAnsi="Times New Roman" w:cs="Times New Roman"/>
          <w:lang w:val="ro-MD"/>
        </w:rPr>
        <w:t>7</w:t>
      </w:r>
      <w:r w:rsidR="00CA6B02" w:rsidRPr="000508B6">
        <w:rPr>
          <w:rFonts w:ascii="Times New Roman" w:hAnsi="Times New Roman" w:cs="Times New Roman"/>
          <w:lang w:val="ro-MD"/>
        </w:rPr>
        <w:t xml:space="preserve">) în termen de 18 săptămâni de la </w:t>
      </w:r>
      <w:r w:rsidR="004045CD" w:rsidRPr="000508B6">
        <w:rPr>
          <w:rFonts w:ascii="Times New Roman" w:hAnsi="Times New Roman" w:cs="Times New Roman"/>
          <w:lang w:val="ro-MD"/>
        </w:rPr>
        <w:t xml:space="preserve">încheierea </w:t>
      </w:r>
      <w:r w:rsidR="00CA6B02" w:rsidRPr="000508B6">
        <w:rPr>
          <w:rFonts w:ascii="Times New Roman" w:hAnsi="Times New Roman" w:cs="Times New Roman"/>
          <w:lang w:val="ro-MD"/>
        </w:rPr>
        <w:t>exercițiului financiar.</w:t>
      </w:r>
      <w:r w:rsidR="002C2176" w:rsidRPr="000508B6">
        <w:rPr>
          <w:rFonts w:ascii="Times New Roman" w:hAnsi="Times New Roman" w:cs="Times New Roman"/>
          <w:lang w:val="ro-MD"/>
        </w:rPr>
        <w:t xml:space="preserve"> </w:t>
      </w:r>
    </w:p>
    <w:p w14:paraId="6A0A91EF" w14:textId="56036E81" w:rsidR="00CF5F58" w:rsidRPr="000508B6" w:rsidRDefault="004125E8" w:rsidP="00CA0B2C">
      <w:pPr>
        <w:pStyle w:val="Listparagraf"/>
        <w:numPr>
          <w:ilvl w:val="0"/>
          <w:numId w:val="125"/>
        </w:numPr>
        <w:tabs>
          <w:tab w:val="left" w:pos="426"/>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CF5F58" w:rsidRPr="000508B6">
        <w:rPr>
          <w:rFonts w:ascii="Times New Roman" w:hAnsi="Times New Roman" w:cs="Times New Roman"/>
          <w:lang w:val="ro-MD"/>
        </w:rPr>
        <w:t xml:space="preserve"> transmite anual Băncii Naționale a Moldovei evaluările prevăzute la art. </w:t>
      </w:r>
      <w:r w:rsidR="00E51388" w:rsidRPr="000508B6">
        <w:rPr>
          <w:rFonts w:ascii="Times New Roman" w:hAnsi="Times New Roman" w:cs="Times New Roman"/>
          <w:lang w:val="ro-MD"/>
        </w:rPr>
        <w:t xml:space="preserve">25 </w:t>
      </w:r>
      <w:r w:rsidR="00CF5F58" w:rsidRPr="000508B6">
        <w:rPr>
          <w:rFonts w:ascii="Times New Roman" w:hAnsi="Times New Roman" w:cs="Times New Roman"/>
          <w:lang w:val="ro-MD"/>
        </w:rPr>
        <w:t>alin. (</w:t>
      </w:r>
      <w:r w:rsidR="00E51388" w:rsidRPr="000508B6">
        <w:rPr>
          <w:rFonts w:ascii="Times New Roman" w:hAnsi="Times New Roman" w:cs="Times New Roman"/>
          <w:lang w:val="ro-MD"/>
        </w:rPr>
        <w:t>8</w:t>
      </w:r>
      <w:r w:rsidR="00CF5F58" w:rsidRPr="000508B6">
        <w:rPr>
          <w:rFonts w:ascii="Times New Roman" w:hAnsi="Times New Roman" w:cs="Times New Roman"/>
          <w:lang w:val="ro-MD"/>
        </w:rPr>
        <w:t xml:space="preserve">), </w:t>
      </w:r>
      <w:r w:rsidR="005D7478" w:rsidRPr="000508B6">
        <w:rPr>
          <w:rFonts w:ascii="Times New Roman" w:hAnsi="Times New Roman" w:cs="Times New Roman"/>
          <w:lang w:val="ro-MD"/>
        </w:rPr>
        <w:t xml:space="preserve">precum și </w:t>
      </w:r>
      <w:r w:rsidR="00CF5F58" w:rsidRPr="000508B6">
        <w:rPr>
          <w:rFonts w:ascii="Times New Roman" w:hAnsi="Times New Roman" w:cs="Times New Roman"/>
          <w:lang w:val="ro-MD"/>
        </w:rPr>
        <w:t>un raport ORSA.</w:t>
      </w:r>
    </w:p>
    <w:p w14:paraId="2C125DE2" w14:textId="2C6AAA3A" w:rsidR="00CA6B02" w:rsidRPr="000508B6" w:rsidRDefault="00CF5F58" w:rsidP="00CF5AFA">
      <w:pPr>
        <w:pStyle w:val="Listparagraf"/>
        <w:numPr>
          <w:ilvl w:val="0"/>
          <w:numId w:val="125"/>
        </w:numPr>
        <w:tabs>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Dacă reducerea la zero a primei de echilibrare sau a primei de volatilitate determină nerespectarea SCR,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transmite Băncii Naționale a Moldovei analiza măsurilor adoptate pentru restabilirea nivelului de fonduri proprii eligibile care să acopere SCR sau pentru a reduce profilul de risc astfel încât să asigure din nou respectarea SCR. </w:t>
      </w:r>
    </w:p>
    <w:p w14:paraId="4A69B0F3" w14:textId="77777777" w:rsidR="004D3BEA" w:rsidRPr="000508B6" w:rsidRDefault="004D3BEA" w:rsidP="004D3BEA">
      <w:pPr>
        <w:pStyle w:val="Listparagraf"/>
        <w:tabs>
          <w:tab w:val="left" w:pos="851"/>
        </w:tabs>
        <w:spacing w:after="0" w:line="240" w:lineRule="auto"/>
        <w:ind w:left="360"/>
        <w:jc w:val="both"/>
        <w:rPr>
          <w:rFonts w:ascii="Times New Roman" w:hAnsi="Times New Roman" w:cs="Times New Roman"/>
          <w:lang w:val="ro-MD"/>
        </w:rPr>
      </w:pPr>
    </w:p>
    <w:p w14:paraId="4A1F5152" w14:textId="331AF661" w:rsidR="007B7E43" w:rsidRPr="000508B6" w:rsidRDefault="00F4651F" w:rsidP="00AD3552">
      <w:pPr>
        <w:pStyle w:val="Listparagraf"/>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882B0F" w:rsidRPr="000508B6">
        <w:rPr>
          <w:rFonts w:ascii="Times New Roman" w:hAnsi="Times New Roman" w:cs="Times New Roman"/>
          <w:b/>
          <w:lang w:val="ro-MD"/>
        </w:rPr>
        <w:t>180</w:t>
      </w:r>
      <w:r w:rsidR="00735DA2" w:rsidRPr="000508B6">
        <w:rPr>
          <w:rFonts w:ascii="Times New Roman" w:hAnsi="Times New Roman" w:cs="Times New Roman"/>
          <w:b/>
          <w:bCs/>
          <w:lang w:val="ro-MD"/>
        </w:rPr>
        <w:t>.</w:t>
      </w:r>
      <w:r w:rsidR="005C3A8F" w:rsidRPr="000508B6">
        <w:rPr>
          <w:rFonts w:ascii="Times New Roman" w:hAnsi="Times New Roman" w:cs="Times New Roman"/>
          <w:b/>
          <w:lang w:val="ro-MD"/>
        </w:rPr>
        <w:t xml:space="preserve"> </w:t>
      </w:r>
      <w:r w:rsidR="007B7E43" w:rsidRPr="000508B6">
        <w:rPr>
          <w:rFonts w:ascii="Times New Roman" w:hAnsi="Times New Roman" w:cs="Times New Roman"/>
          <w:lang w:val="ro-MD"/>
        </w:rPr>
        <w:t xml:space="preserve">Exceptări și limitări acordate de Banca Națională a </w:t>
      </w:r>
      <w:r w:rsidR="00B8293A" w:rsidRPr="000508B6">
        <w:rPr>
          <w:rFonts w:ascii="Times New Roman" w:hAnsi="Times New Roman" w:cs="Times New Roman"/>
          <w:lang w:val="ro-MD"/>
        </w:rPr>
        <w:t>Moldovei</w:t>
      </w:r>
      <w:r w:rsidR="007B7E43" w:rsidRPr="000508B6">
        <w:rPr>
          <w:rFonts w:ascii="Times New Roman" w:hAnsi="Times New Roman" w:cs="Times New Roman"/>
          <w:lang w:val="ro-MD"/>
        </w:rPr>
        <w:t xml:space="preserve"> în ceea ce privește raportarea periodică cantitativă de supraveghere </w:t>
      </w:r>
    </w:p>
    <w:p w14:paraId="0FC366A6" w14:textId="6CB63272" w:rsidR="008C32B0" w:rsidRPr="000508B6" w:rsidRDefault="008C32B0" w:rsidP="00CF5AFA">
      <w:pPr>
        <w:pStyle w:val="Listparagraf"/>
        <w:numPr>
          <w:ilvl w:val="1"/>
          <w:numId w:val="326"/>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Fără a aduce atingere art.</w:t>
      </w:r>
      <w:r w:rsidR="0099775F" w:rsidRPr="000508B6">
        <w:rPr>
          <w:rFonts w:ascii="Times New Roman" w:eastAsia="Times New Roman" w:hAnsi="Times New Roman" w:cs="Times New Roman"/>
          <w:bCs/>
          <w:lang w:val="ro-MD"/>
        </w:rPr>
        <w:t xml:space="preserve"> </w:t>
      </w:r>
      <w:r w:rsidR="0008255F" w:rsidRPr="000508B6">
        <w:rPr>
          <w:rFonts w:ascii="Times New Roman" w:eastAsia="Times New Roman" w:hAnsi="Times New Roman" w:cs="Times New Roman"/>
          <w:bCs/>
          <w:lang w:val="ro-MD"/>
        </w:rPr>
        <w:t>89</w:t>
      </w:r>
      <w:r w:rsidRPr="000508B6">
        <w:rPr>
          <w:rFonts w:ascii="Times New Roman" w:eastAsia="Times New Roman" w:hAnsi="Times New Roman" w:cs="Times New Roman"/>
          <w:bCs/>
          <w:lang w:val="ro-MD"/>
        </w:rPr>
        <w:t>, în cazul în care perioadele predefinite menționate la art.</w:t>
      </w:r>
      <w:r w:rsidR="0099775F" w:rsidRPr="000508B6">
        <w:rPr>
          <w:rFonts w:ascii="Times New Roman" w:eastAsia="Times New Roman" w:hAnsi="Times New Roman" w:cs="Times New Roman"/>
          <w:bCs/>
          <w:lang w:val="ro-MD"/>
        </w:rPr>
        <w:t xml:space="preserve"> </w:t>
      </w:r>
      <w:r w:rsidR="00882B0F" w:rsidRPr="000508B6">
        <w:rPr>
          <w:rFonts w:ascii="Times New Roman" w:eastAsia="Times New Roman" w:hAnsi="Times New Roman" w:cs="Times New Roman"/>
          <w:bCs/>
          <w:lang w:val="ro-MD"/>
        </w:rPr>
        <w:t>179</w:t>
      </w:r>
      <w:r w:rsidRPr="000508B6">
        <w:rPr>
          <w:rFonts w:ascii="Times New Roman" w:eastAsia="Times New Roman" w:hAnsi="Times New Roman" w:cs="Times New Roman"/>
          <w:bCs/>
          <w:lang w:val="ro-MD"/>
        </w:rPr>
        <w:t xml:space="preserve"> alin.</w:t>
      </w:r>
      <w:r w:rsidR="0099775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(2) lit.</w:t>
      </w:r>
      <w:r w:rsidR="0099775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a) sunt mai mici de un an, Banca Națională a Moldovei poate limita raportarea periodică de supraveghere, dacă:</w:t>
      </w:r>
    </w:p>
    <w:p w14:paraId="5645A2AE" w14:textId="6ECF956E" w:rsidR="008C32B0" w:rsidRPr="000508B6" w:rsidRDefault="008C32B0" w:rsidP="00CA0B2C">
      <w:pPr>
        <w:pStyle w:val="Listparagraf"/>
        <w:numPr>
          <w:ilvl w:val="1"/>
          <w:numId w:val="327"/>
        </w:numPr>
        <w:tabs>
          <w:tab w:val="left" w:pos="709"/>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transmiterea informațiilor respective ar fi excesiv de împovărătoare în raport cu natura, amploarea și complexitatea riscurilor inerente activităților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487EC5C7" w14:textId="14834371" w:rsidR="008C32B0" w:rsidRPr="000508B6" w:rsidRDefault="008C32B0" w:rsidP="00CA0B2C">
      <w:pPr>
        <w:pStyle w:val="Listparagraf"/>
        <w:numPr>
          <w:ilvl w:val="1"/>
          <w:numId w:val="327"/>
        </w:numPr>
        <w:tabs>
          <w:tab w:val="left" w:pos="709"/>
          <w:tab w:val="left" w:pos="851"/>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informațiile sunt raportate cel puțin anual.</w:t>
      </w:r>
    </w:p>
    <w:p w14:paraId="3FCEF368" w14:textId="545304B3" w:rsidR="008C32B0" w:rsidRPr="000508B6" w:rsidRDefault="008C32B0" w:rsidP="00CF5AFA">
      <w:pPr>
        <w:pStyle w:val="Listparagraf"/>
        <w:numPr>
          <w:ilvl w:val="1"/>
          <w:numId w:val="326"/>
        </w:numPr>
        <w:spacing w:after="0" w:line="240" w:lineRule="auto"/>
        <w:ind w:left="0"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Cs/>
          <w:lang w:val="ro-MD"/>
        </w:rPr>
        <w:t xml:space="preserve"> Limitarea raportării periodice de supraveghere menționată la alin. (1) se acordă doar </w:t>
      </w:r>
      <w:r w:rsidR="009E7B62" w:rsidRPr="000508B6">
        <w:rPr>
          <w:rFonts w:ascii="Times New Roman" w:eastAsia="Times New Roman" w:hAnsi="Times New Roman" w:cs="Times New Roman"/>
          <w:bCs/>
          <w:lang w:val="ro-MD"/>
        </w:rPr>
        <w:t xml:space="preserve">asigurătorilor sau </w:t>
      </w:r>
      <w:proofErr w:type="spellStart"/>
      <w:r w:rsidR="009E7B62" w:rsidRPr="000508B6">
        <w:rPr>
          <w:rFonts w:ascii="Times New Roman" w:eastAsia="Times New Roman" w:hAnsi="Times New Roman" w:cs="Times New Roman"/>
          <w:bCs/>
          <w:lang w:val="ro-MD"/>
        </w:rPr>
        <w:t>reasigurătorilor</w:t>
      </w:r>
      <w:proofErr w:type="spellEnd"/>
      <w:r w:rsidR="009E7B62"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care, luate împreună, nu reprezintă mai mult de 20 % din piața de asigurări și reasigurări de viață și, respectiv, generale, unde cota de piață pentru asigurările de viață se bazează pe rezerve tehnice brute, iar cota de piață pentru asigurările generale se bazează pe </w:t>
      </w:r>
      <w:r w:rsidR="00AA2EC8" w:rsidRPr="000508B6">
        <w:rPr>
          <w:rFonts w:ascii="Times New Roman" w:eastAsia="Times New Roman" w:hAnsi="Times New Roman" w:cs="Times New Roman"/>
          <w:bCs/>
          <w:lang w:val="ro-MD"/>
        </w:rPr>
        <w:t>PBS</w:t>
      </w:r>
      <w:r w:rsidRPr="000508B6">
        <w:rPr>
          <w:rFonts w:ascii="Times New Roman" w:eastAsia="Times New Roman" w:hAnsi="Times New Roman" w:cs="Times New Roman"/>
          <w:bCs/>
          <w:lang w:val="ro-MD"/>
        </w:rPr>
        <w:t xml:space="preserve">. Atunci când determină eligibilitatea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C83C38"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pentru aceste limitări, Banca Națională a Moldovei acordă prioritate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00E02D05"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 mic și cu un grad redus de complexitate</w:t>
      </w:r>
      <w:r w:rsidRPr="000508B6">
        <w:rPr>
          <w:rFonts w:ascii="Times New Roman" w:eastAsia="Times New Roman" w:hAnsi="Times New Roman" w:cs="Times New Roman"/>
          <w:b/>
          <w:lang w:val="ro-MD"/>
        </w:rPr>
        <w:t>.</w:t>
      </w:r>
    </w:p>
    <w:p w14:paraId="0B39143F" w14:textId="687FF673" w:rsidR="008C32B0" w:rsidRPr="000508B6" w:rsidRDefault="008C32B0" w:rsidP="00CF5AFA">
      <w:pPr>
        <w:pStyle w:val="Listparagraf"/>
        <w:numPr>
          <w:ilvl w:val="1"/>
          <w:numId w:val="326"/>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 Banca Națională a Moldovei </w:t>
      </w:r>
      <w:r w:rsidRPr="000508B6" w:rsidDel="007A1EC0">
        <w:rPr>
          <w:rFonts w:ascii="Times New Roman" w:eastAsia="Times New Roman" w:hAnsi="Times New Roman" w:cs="Times New Roman"/>
          <w:bCs/>
          <w:lang w:val="ro-MD"/>
        </w:rPr>
        <w:t xml:space="preserve">poate </w:t>
      </w:r>
      <w:r w:rsidRPr="000508B6">
        <w:rPr>
          <w:rFonts w:ascii="Times New Roman" w:eastAsia="Times New Roman" w:hAnsi="Times New Roman" w:cs="Times New Roman"/>
          <w:bCs/>
          <w:lang w:val="ro-MD"/>
        </w:rPr>
        <w:t xml:space="preserve">exonera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de obligația de a raporta toți indicatorii, dacă:</w:t>
      </w:r>
    </w:p>
    <w:p w14:paraId="1D00F337" w14:textId="101E9902" w:rsidR="008C32B0" w:rsidRPr="000508B6" w:rsidRDefault="008C32B0" w:rsidP="00CF5AFA">
      <w:pPr>
        <w:pStyle w:val="Listparagraf"/>
        <w:numPr>
          <w:ilvl w:val="1"/>
          <w:numId w:val="328"/>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transmiterea informațiilor respective ar fi excesiv de împovărătoare în raport cu natura, amploarea și complexitatea riscurilor inerente activității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487F4C16" w14:textId="00E0A58A" w:rsidR="008C32B0" w:rsidRPr="000508B6" w:rsidRDefault="008C32B0" w:rsidP="00CF5AFA">
      <w:pPr>
        <w:pStyle w:val="Listparagraf"/>
        <w:numPr>
          <w:ilvl w:val="1"/>
          <w:numId w:val="328"/>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transmiterea informațiilor respective nu este necesară pentru supravegherea eficace 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5696D04B" w14:textId="3D9CBD85" w:rsidR="008C32B0" w:rsidRPr="000508B6" w:rsidRDefault="008C32B0" w:rsidP="00CF5AFA">
      <w:pPr>
        <w:pStyle w:val="Listparagraf"/>
        <w:numPr>
          <w:ilvl w:val="1"/>
          <w:numId w:val="328"/>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exonerarea nu subminează stabilitatea sistemelor financiare din</w:t>
      </w:r>
      <w:r w:rsidR="00BD2E55" w:rsidRPr="000508B6">
        <w:rPr>
          <w:rFonts w:ascii="Times New Roman" w:eastAsia="Times New Roman" w:hAnsi="Times New Roman" w:cs="Times New Roman"/>
          <w:bCs/>
          <w:lang w:val="ro-MD"/>
        </w:rPr>
        <w:t xml:space="preserve"> </w:t>
      </w:r>
      <w:r w:rsidR="003819CE" w:rsidRPr="000508B6">
        <w:rPr>
          <w:rFonts w:ascii="Times New Roman" w:eastAsia="Times New Roman" w:hAnsi="Times New Roman" w:cs="Times New Roman"/>
          <w:bCs/>
          <w:lang w:val="ro-MD"/>
        </w:rPr>
        <w:t>statele membre</w:t>
      </w:r>
      <w:r w:rsidRPr="000508B6">
        <w:rPr>
          <w:rFonts w:ascii="Times New Roman" w:eastAsia="Times New Roman" w:hAnsi="Times New Roman" w:cs="Times New Roman"/>
          <w:bCs/>
          <w:lang w:val="ro-MD"/>
        </w:rPr>
        <w:t xml:space="preserve">; </w:t>
      </w:r>
    </w:p>
    <w:p w14:paraId="72C1A117" w14:textId="23F9930A" w:rsidR="008C32B0" w:rsidRPr="000508B6" w:rsidRDefault="00D068AA" w:rsidP="00CF5AFA">
      <w:pPr>
        <w:pStyle w:val="Listparagraf"/>
        <w:numPr>
          <w:ilvl w:val="1"/>
          <w:numId w:val="328"/>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008C32B0" w:rsidRPr="000508B6">
        <w:rPr>
          <w:rFonts w:ascii="Times New Roman" w:eastAsia="Times New Roman" w:hAnsi="Times New Roman" w:cs="Times New Roman"/>
          <w:bCs/>
          <w:lang w:val="ro-MD"/>
        </w:rPr>
        <w:t xml:space="preserve"> poate furniza informațiile la cerere.</w:t>
      </w:r>
    </w:p>
    <w:p w14:paraId="02B117ED" w14:textId="475A8905" w:rsidR="008C32B0" w:rsidRPr="000508B6" w:rsidRDefault="008C32B0" w:rsidP="00CF5AFA">
      <w:pPr>
        <w:pStyle w:val="Listparagraf"/>
        <w:numPr>
          <w:ilvl w:val="1"/>
          <w:numId w:val="326"/>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Exonerarea de obligația raportării tuturor indicatorilor se acordă doar </w:t>
      </w:r>
      <w:r w:rsidR="00513EAF" w:rsidRPr="000508B6">
        <w:rPr>
          <w:rFonts w:ascii="Times New Roman" w:eastAsia="Times New Roman" w:hAnsi="Times New Roman" w:cs="Times New Roman"/>
          <w:bCs/>
          <w:lang w:val="ro-MD"/>
        </w:rPr>
        <w:t xml:space="preserve">asigurătorilor sau </w:t>
      </w:r>
      <w:proofErr w:type="spellStart"/>
      <w:r w:rsidR="00513EAF" w:rsidRPr="000508B6">
        <w:rPr>
          <w:rFonts w:ascii="Times New Roman" w:eastAsia="Times New Roman" w:hAnsi="Times New Roman" w:cs="Times New Roman"/>
          <w:bCs/>
          <w:lang w:val="ro-MD"/>
        </w:rPr>
        <w:t>reasigurătorilor</w:t>
      </w:r>
      <w:proofErr w:type="spellEnd"/>
      <w:r w:rsidRPr="000508B6">
        <w:rPr>
          <w:rFonts w:ascii="Times New Roman" w:eastAsia="Times New Roman" w:hAnsi="Times New Roman" w:cs="Times New Roman"/>
          <w:bCs/>
          <w:lang w:val="ro-MD"/>
        </w:rPr>
        <w:t xml:space="preserve"> care, luate împreună, nu reprezintă mai mult de 20 % din piața de asigurări și reasigurări de viață și, respectiv, generale, unde cota de piață pentru asigurările de viață se bazează pe rezerve tehnice brute, iar cota de piață pentru asigurările generale se bazează pe </w:t>
      </w:r>
      <w:r w:rsidR="00AA2EC8" w:rsidRPr="000508B6">
        <w:rPr>
          <w:rFonts w:ascii="Times New Roman" w:eastAsia="Times New Roman" w:hAnsi="Times New Roman" w:cs="Times New Roman"/>
          <w:bCs/>
          <w:lang w:val="ro-MD"/>
        </w:rPr>
        <w:t>PBS</w:t>
      </w:r>
      <w:r w:rsidRPr="000508B6">
        <w:rPr>
          <w:rFonts w:ascii="Times New Roman" w:eastAsia="Times New Roman" w:hAnsi="Times New Roman" w:cs="Times New Roman"/>
          <w:bCs/>
          <w:lang w:val="ro-MD"/>
        </w:rPr>
        <w:t xml:space="preserve">. Atunci când determină eligibilitatea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pentru respectivele limitări sau exonerări, Banca Națională a Moldovei acordă prioritate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mic și cu un grad redus de complexitate.</w:t>
      </w:r>
    </w:p>
    <w:p w14:paraId="25B1DBC8" w14:textId="37E1CECC" w:rsidR="008C32B0" w:rsidRPr="000508B6" w:rsidRDefault="00202E7C" w:rsidP="00CF5AFA">
      <w:pPr>
        <w:pStyle w:val="Listparagraf"/>
        <w:numPr>
          <w:ilvl w:val="1"/>
          <w:numId w:val="326"/>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lastRenderedPageBreak/>
        <w:t xml:space="preserve">Asigurătorul sau </w:t>
      </w:r>
      <w:proofErr w:type="spellStart"/>
      <w:r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w:t>
      </w:r>
      <w:r w:rsidR="008C32B0" w:rsidRPr="000508B6">
        <w:rPr>
          <w:rFonts w:ascii="Times New Roman" w:eastAsia="Times New Roman" w:hAnsi="Times New Roman" w:cs="Times New Roman"/>
          <w:bCs/>
          <w:lang w:val="ro-MD"/>
        </w:rPr>
        <w:t>captiv este exonerat de obligația de raportare periodică de supraveghere a tuturor indicatorilor în cazul în care perioadele predefinite menționate la art.</w:t>
      </w:r>
      <w:r w:rsidR="0008255F" w:rsidRPr="000508B6">
        <w:rPr>
          <w:rFonts w:ascii="Times New Roman" w:eastAsia="Times New Roman" w:hAnsi="Times New Roman" w:cs="Times New Roman"/>
          <w:bCs/>
          <w:lang w:val="ro-MD"/>
        </w:rPr>
        <w:t>182</w:t>
      </w:r>
      <w:r w:rsidR="008C32B0" w:rsidRPr="000508B6">
        <w:rPr>
          <w:rFonts w:ascii="Times New Roman" w:eastAsia="Times New Roman" w:hAnsi="Times New Roman" w:cs="Times New Roman"/>
          <w:bCs/>
          <w:lang w:val="ro-MD"/>
        </w:rPr>
        <w:t xml:space="preserve"> alin. (</w:t>
      </w:r>
      <w:r w:rsidR="00A4571E" w:rsidRPr="000508B6">
        <w:rPr>
          <w:rFonts w:ascii="Times New Roman" w:eastAsia="Times New Roman" w:hAnsi="Times New Roman" w:cs="Times New Roman"/>
          <w:bCs/>
          <w:lang w:val="ro-MD"/>
        </w:rPr>
        <w:t>2</w:t>
      </w:r>
      <w:r w:rsidR="008C32B0" w:rsidRPr="000508B6">
        <w:rPr>
          <w:rFonts w:ascii="Times New Roman" w:eastAsia="Times New Roman" w:hAnsi="Times New Roman" w:cs="Times New Roman"/>
          <w:bCs/>
          <w:lang w:val="ro-MD"/>
        </w:rPr>
        <w:t>) lit.(a) sunt mai mici de un an, cu condiția să respecte cumulativ următoarele două condiții:</w:t>
      </w:r>
    </w:p>
    <w:p w14:paraId="33493F2E" w14:textId="5D5576C9" w:rsidR="008C32B0" w:rsidRPr="000508B6" w:rsidRDefault="008C32B0" w:rsidP="00CF5AFA">
      <w:pPr>
        <w:pStyle w:val="Listparagraf"/>
        <w:numPr>
          <w:ilvl w:val="1"/>
          <w:numId w:val="329"/>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asigurații și beneficiarii </w:t>
      </w:r>
      <w:r w:rsidR="0085248C" w:rsidRPr="000508B6">
        <w:rPr>
          <w:rFonts w:ascii="Times New Roman" w:eastAsia="Times New Roman" w:hAnsi="Times New Roman" w:cs="Times New Roman"/>
          <w:bCs/>
          <w:lang w:val="ro-MD"/>
        </w:rPr>
        <w:t xml:space="preserve">asigurării </w:t>
      </w:r>
      <w:r w:rsidRPr="000508B6">
        <w:rPr>
          <w:rFonts w:ascii="Times New Roman" w:eastAsia="Times New Roman" w:hAnsi="Times New Roman" w:cs="Times New Roman"/>
          <w:bCs/>
          <w:lang w:val="ro-MD"/>
        </w:rPr>
        <w:t>sunt:</w:t>
      </w:r>
    </w:p>
    <w:p w14:paraId="1C09920B" w14:textId="34DAA633" w:rsidR="008C32B0" w:rsidRPr="000508B6" w:rsidRDefault="008C32B0" w:rsidP="00CA0B2C">
      <w:pPr>
        <w:pStyle w:val="Listparagraf"/>
        <w:numPr>
          <w:ilvl w:val="3"/>
          <w:numId w:val="330"/>
        </w:numPr>
        <w:spacing w:after="0" w:line="240" w:lineRule="auto"/>
        <w:ind w:left="142"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fie entități juridice ale grupului din care face parte </w:t>
      </w:r>
      <w:r w:rsidR="00D07E86" w:rsidRPr="000508B6">
        <w:rPr>
          <w:rFonts w:ascii="Times New Roman" w:eastAsia="Times New Roman" w:hAnsi="Times New Roman" w:cs="Times New Roman"/>
          <w:bCs/>
          <w:lang w:val="ro-MD"/>
        </w:rPr>
        <w:t xml:space="preserve">asigurătorul sau </w:t>
      </w:r>
      <w:proofErr w:type="spellStart"/>
      <w:r w:rsidR="00D07E86" w:rsidRPr="000508B6">
        <w:rPr>
          <w:rFonts w:ascii="Times New Roman" w:eastAsia="Times New Roman" w:hAnsi="Times New Roman" w:cs="Times New Roman"/>
          <w:bCs/>
          <w:lang w:val="ro-MD"/>
        </w:rPr>
        <w:t>reasigurătorul</w:t>
      </w:r>
      <w:proofErr w:type="spellEnd"/>
      <w:r w:rsidR="00D07E8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captiv;</w:t>
      </w:r>
    </w:p>
    <w:p w14:paraId="36346AAA" w14:textId="6863C17B" w:rsidR="008C32B0" w:rsidRPr="000508B6" w:rsidRDefault="008C32B0" w:rsidP="00CA0B2C">
      <w:pPr>
        <w:pStyle w:val="Listparagraf"/>
        <w:numPr>
          <w:ilvl w:val="3"/>
          <w:numId w:val="330"/>
        </w:numPr>
        <w:spacing w:after="0" w:line="240" w:lineRule="auto"/>
        <w:ind w:left="142" w:firstLine="567"/>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fie persoane fizice eligibile să fie acoperite prin polițele de asigurare ale grupului respectiv, cu condiția ca activitatea desfășurată în legătură cu persoanele fizice respective să rămână sub 5 % din rezervele tehnice;</w:t>
      </w:r>
    </w:p>
    <w:p w14:paraId="13ECDE37" w14:textId="3F1CAA9E" w:rsidR="008C32B0" w:rsidRPr="000508B6" w:rsidRDefault="008C32B0" w:rsidP="00CF5AFA">
      <w:pPr>
        <w:pStyle w:val="Listparagraf"/>
        <w:numPr>
          <w:ilvl w:val="1"/>
          <w:numId w:val="329"/>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obligațiile de asigurare și contractele de asigurare care stau la baza obligațiilor de reasigurare ale </w:t>
      </w:r>
      <w:r w:rsidR="00D07E86" w:rsidRPr="000508B6">
        <w:rPr>
          <w:rFonts w:ascii="Times New Roman" w:eastAsia="Times New Roman" w:hAnsi="Times New Roman" w:cs="Times New Roman"/>
          <w:bCs/>
          <w:lang w:val="ro-MD"/>
        </w:rPr>
        <w:t xml:space="preserve">asigurătorului sau </w:t>
      </w:r>
      <w:proofErr w:type="spellStart"/>
      <w:r w:rsidR="00D07E86" w:rsidRPr="000508B6">
        <w:rPr>
          <w:rFonts w:ascii="Times New Roman" w:eastAsia="Times New Roman" w:hAnsi="Times New Roman" w:cs="Times New Roman"/>
          <w:bCs/>
          <w:lang w:val="ro-MD"/>
        </w:rPr>
        <w:t>reasigurătorului</w:t>
      </w:r>
      <w:proofErr w:type="spellEnd"/>
      <w:r w:rsidR="00D07E8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captiv nu constau în asigurări obligatorii de răspundere civilă.</w:t>
      </w:r>
    </w:p>
    <w:p w14:paraId="2267AF18" w14:textId="14837138" w:rsidR="008C32B0" w:rsidRPr="000508B6" w:rsidRDefault="008C32B0" w:rsidP="00CF5AFA">
      <w:pPr>
        <w:pStyle w:val="Listparagraf"/>
        <w:numPr>
          <w:ilvl w:val="1"/>
          <w:numId w:val="326"/>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 În sensul alin.</w:t>
      </w:r>
      <w:r w:rsidR="0099775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(1) și (2), Banca Națională a Moldovei evaluează, în cadrul procesului de supraveghere, în ceea ce privește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w:t>
      </w:r>
      <w:r w:rsidR="00513EAF" w:rsidRPr="000508B6">
        <w:rPr>
          <w:rFonts w:ascii="Times New Roman" w:eastAsia="Times New Roman" w:hAnsi="Times New Roman" w:cs="Times New Roman"/>
          <w:bCs/>
          <w:lang w:val="ro-MD"/>
        </w:rPr>
        <w:t xml:space="preserve">încadrat în categoria asigurătorului sau </w:t>
      </w:r>
      <w:proofErr w:type="spellStart"/>
      <w:r w:rsidR="00513EAF"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mic și cu un grad redus de complexitate, dacă transmiterea de informații ar fi excesiv de împovărătoare în raport cu natura, amploarea și complexitatea riscurilor aferente activităților acesteia, ținând cont cel puțin de:</w:t>
      </w:r>
    </w:p>
    <w:p w14:paraId="7EB4FC7D" w14:textId="6DF9D51B" w:rsidR="008C32B0" w:rsidRPr="000508B6" w:rsidRDefault="008C32B0" w:rsidP="00CF5AFA">
      <w:pPr>
        <w:pStyle w:val="Listparagraf"/>
        <w:numPr>
          <w:ilvl w:val="1"/>
          <w:numId w:val="331"/>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riscurile de piață generate de investițiile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00474046" w14:textId="494F62E0" w:rsidR="008C32B0" w:rsidRPr="000508B6" w:rsidRDefault="008C32B0" w:rsidP="00CF5AFA">
      <w:pPr>
        <w:pStyle w:val="Listparagraf"/>
        <w:numPr>
          <w:ilvl w:val="1"/>
          <w:numId w:val="331"/>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nivelul concentrării riscurilor;</w:t>
      </w:r>
    </w:p>
    <w:p w14:paraId="48797075" w14:textId="24715915" w:rsidR="008C32B0" w:rsidRPr="000508B6" w:rsidRDefault="008C32B0" w:rsidP="00CF5AFA">
      <w:pPr>
        <w:pStyle w:val="Listparagraf"/>
        <w:numPr>
          <w:ilvl w:val="1"/>
          <w:numId w:val="331"/>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efectele posibile ale managementului activelor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asupra stabilității financiare;</w:t>
      </w:r>
    </w:p>
    <w:p w14:paraId="75DC06BA" w14:textId="2B61A226" w:rsidR="008C32B0" w:rsidRPr="000508B6" w:rsidRDefault="008C32B0" w:rsidP="00CF5AFA">
      <w:pPr>
        <w:pStyle w:val="Listparagraf"/>
        <w:numPr>
          <w:ilvl w:val="1"/>
          <w:numId w:val="331"/>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sistemele și structurile prin care </w:t>
      </w:r>
      <w:r w:rsidR="00393612" w:rsidRPr="000508B6">
        <w:rPr>
          <w:rFonts w:ascii="Times New Roman" w:eastAsia="Times New Roman" w:hAnsi="Times New Roman" w:cs="Times New Roman"/>
          <w:bCs/>
          <w:lang w:val="ro-MD"/>
        </w:rPr>
        <w:t xml:space="preserve">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furnizează informații în scopuri de supraveghere, precum și politica scrisă menționată la art.</w:t>
      </w:r>
      <w:r w:rsidR="007B6E8B" w:rsidRPr="000508B6">
        <w:rPr>
          <w:rFonts w:ascii="Times New Roman" w:eastAsia="Times New Roman" w:hAnsi="Times New Roman" w:cs="Times New Roman"/>
          <w:bCs/>
          <w:lang w:val="ro-MD"/>
        </w:rPr>
        <w:t xml:space="preserve"> </w:t>
      </w:r>
      <w:r w:rsidR="0008255F" w:rsidRPr="000508B6">
        <w:rPr>
          <w:rFonts w:ascii="Times New Roman" w:eastAsia="Times New Roman" w:hAnsi="Times New Roman" w:cs="Times New Roman"/>
          <w:bCs/>
          <w:lang w:val="ro-MD"/>
        </w:rPr>
        <w:t>182</w:t>
      </w:r>
      <w:r w:rsidRPr="000508B6">
        <w:rPr>
          <w:rFonts w:ascii="Times New Roman" w:eastAsia="Times New Roman" w:hAnsi="Times New Roman" w:cs="Times New Roman"/>
          <w:bCs/>
          <w:lang w:val="ro-MD"/>
        </w:rPr>
        <w:t xml:space="preserve"> alin.</w:t>
      </w:r>
      <w:r w:rsidR="007B6E8B"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w:t>
      </w:r>
      <w:r w:rsidR="00A4571E" w:rsidRPr="000508B6">
        <w:rPr>
          <w:rFonts w:ascii="Times New Roman" w:eastAsia="Times New Roman" w:hAnsi="Times New Roman" w:cs="Times New Roman"/>
          <w:bCs/>
          <w:lang w:val="ro-MD"/>
        </w:rPr>
        <w:t>6</w:t>
      </w:r>
      <w:r w:rsidRPr="000508B6">
        <w:rPr>
          <w:rFonts w:ascii="Times New Roman" w:eastAsia="Times New Roman" w:hAnsi="Times New Roman" w:cs="Times New Roman"/>
          <w:bCs/>
          <w:lang w:val="ro-MD"/>
        </w:rPr>
        <w:t>).</w:t>
      </w:r>
    </w:p>
    <w:p w14:paraId="05F412C6" w14:textId="0C4EA837" w:rsidR="008C32B0" w:rsidRPr="000508B6" w:rsidRDefault="008C32B0" w:rsidP="00CF5AFA">
      <w:pPr>
        <w:pStyle w:val="Listparagraf"/>
        <w:numPr>
          <w:ilvl w:val="1"/>
          <w:numId w:val="326"/>
        </w:numPr>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 În sensul alin. (1) și (2), Banca Națională a Moldovei evaluează, în cadrul procesului de supraveghere, în ceea ce privește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w:t>
      </w:r>
      <w:r w:rsidR="00513EAF" w:rsidRPr="000508B6">
        <w:rPr>
          <w:rFonts w:ascii="Times New Roman" w:eastAsia="Times New Roman" w:hAnsi="Times New Roman" w:cs="Times New Roman"/>
          <w:bCs/>
          <w:lang w:val="ro-MD"/>
        </w:rPr>
        <w:t xml:space="preserve">încadrat în categoria asigurător sau </w:t>
      </w:r>
      <w:proofErr w:type="spellStart"/>
      <w:r w:rsidR="00513EAF" w:rsidRPr="000508B6">
        <w:rPr>
          <w:rFonts w:ascii="Times New Roman" w:eastAsia="Times New Roman" w:hAnsi="Times New Roman" w:cs="Times New Roman"/>
          <w:bCs/>
          <w:lang w:val="ro-MD"/>
        </w:rPr>
        <w:t>reasigurător</w:t>
      </w:r>
      <w:proofErr w:type="spellEnd"/>
      <w:r w:rsidR="00557221"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mic și cu un grad redus de complexitate, dacă transmiterea informațiilor respective </w:t>
      </w:r>
      <w:r w:rsidR="00513EAF" w:rsidRPr="000508B6">
        <w:rPr>
          <w:rFonts w:ascii="Times New Roman" w:eastAsia="Times New Roman" w:hAnsi="Times New Roman" w:cs="Times New Roman"/>
          <w:bCs/>
          <w:lang w:val="ro-MD"/>
        </w:rPr>
        <w:t>este</w:t>
      </w:r>
      <w:r w:rsidRPr="000508B6">
        <w:rPr>
          <w:rFonts w:ascii="Times New Roman" w:eastAsia="Times New Roman" w:hAnsi="Times New Roman" w:cs="Times New Roman"/>
          <w:bCs/>
          <w:lang w:val="ro-MD"/>
        </w:rPr>
        <w:t xml:space="preserve"> excesiv de împovărătoare în raport cu natura, amploarea și complexitatea riscurilor aferente activităților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ținând cont cel puțin de elementele menționate la alin.</w:t>
      </w:r>
      <w:r w:rsidR="0099775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(6) lit. a)</w:t>
      </w:r>
      <w:r w:rsidR="007B6E8B" w:rsidRPr="000508B6">
        <w:rPr>
          <w:rFonts w:ascii="Times New Roman" w:hAnsi="Times New Roman" w:cs="Times New Roman"/>
          <w:lang w:val="ro-MD"/>
        </w:rPr>
        <w:t xml:space="preserve"> </w:t>
      </w:r>
      <w:r w:rsidR="007B6E8B" w:rsidRPr="000508B6">
        <w:rPr>
          <w:rFonts w:ascii="Times New Roman" w:eastAsia="Times New Roman" w:hAnsi="Times New Roman" w:cs="Times New Roman"/>
          <w:bCs/>
          <w:lang w:val="ro-MD"/>
        </w:rPr>
        <w:t>–</w:t>
      </w:r>
      <w:r w:rsidR="0099775F" w:rsidRPr="000508B6" w:rsidDel="0099775F">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d) și de următoarele aspecte:</w:t>
      </w:r>
    </w:p>
    <w:p w14:paraId="7F80DB51" w14:textId="0A46A553" w:rsidR="008C32B0" w:rsidRPr="000508B6" w:rsidRDefault="008C32B0" w:rsidP="00CA0B2C">
      <w:pPr>
        <w:pStyle w:val="Listparagraf"/>
        <w:numPr>
          <w:ilvl w:val="1"/>
          <w:numId w:val="332"/>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volumul primelor, al rezervelor tehnice și al activelor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0D6AA4C5" w14:textId="074DE501" w:rsidR="008C32B0" w:rsidRPr="000508B6" w:rsidRDefault="008C32B0" w:rsidP="00CA0B2C">
      <w:pPr>
        <w:pStyle w:val="Listparagraf"/>
        <w:numPr>
          <w:ilvl w:val="1"/>
          <w:numId w:val="332"/>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volatilitatea daunelor și a beneficiilor acoperite de </w:t>
      </w:r>
      <w:r w:rsidR="009E7B62" w:rsidRPr="000508B6">
        <w:rPr>
          <w:rFonts w:ascii="Times New Roman" w:eastAsia="Times New Roman" w:hAnsi="Times New Roman" w:cs="Times New Roman"/>
          <w:bCs/>
          <w:lang w:val="ro-MD"/>
        </w:rPr>
        <w:t xml:space="preserve">asigurător sau </w:t>
      </w:r>
      <w:proofErr w:type="spellStart"/>
      <w:r w:rsidR="009E7B62" w:rsidRPr="000508B6">
        <w:rPr>
          <w:rFonts w:ascii="Times New Roman" w:eastAsia="Times New Roman" w:hAnsi="Times New Roman" w:cs="Times New Roman"/>
          <w:bCs/>
          <w:lang w:val="ro-MD"/>
        </w:rPr>
        <w:t>reasigurător</w:t>
      </w:r>
      <w:proofErr w:type="spellEnd"/>
      <w:r w:rsidRPr="000508B6">
        <w:rPr>
          <w:rFonts w:ascii="Times New Roman" w:eastAsia="Times New Roman" w:hAnsi="Times New Roman" w:cs="Times New Roman"/>
          <w:bCs/>
          <w:lang w:val="ro-MD"/>
        </w:rPr>
        <w:t>;</w:t>
      </w:r>
    </w:p>
    <w:p w14:paraId="4F3FD43C" w14:textId="657EB690" w:rsidR="008C32B0" w:rsidRPr="000508B6" w:rsidRDefault="008C32B0" w:rsidP="00CA0B2C">
      <w:pPr>
        <w:pStyle w:val="Listparagraf"/>
        <w:numPr>
          <w:ilvl w:val="1"/>
          <w:numId w:val="332"/>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numărul total de clase de asigurări de viață și generale pentru care s-a acordat licența;</w:t>
      </w:r>
    </w:p>
    <w:p w14:paraId="5EBDE440" w14:textId="534112D4" w:rsidR="008C32B0" w:rsidRPr="000508B6" w:rsidRDefault="008C32B0" w:rsidP="00CA0B2C">
      <w:pPr>
        <w:pStyle w:val="Listparagraf"/>
        <w:numPr>
          <w:ilvl w:val="1"/>
          <w:numId w:val="332"/>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caracterul corespunzător al sistemului de guvernanță al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w:t>
      </w:r>
    </w:p>
    <w:p w14:paraId="35EA5F04" w14:textId="21DFD8B5" w:rsidR="008C32B0" w:rsidRPr="000508B6" w:rsidRDefault="008C32B0" w:rsidP="00CA0B2C">
      <w:pPr>
        <w:pStyle w:val="Listparagraf"/>
        <w:numPr>
          <w:ilvl w:val="1"/>
          <w:numId w:val="332"/>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nivelul fondurilor proprii care acoperă </w:t>
      </w:r>
      <w:r w:rsidR="006C1C25" w:rsidRPr="000508B6">
        <w:rPr>
          <w:rFonts w:ascii="Times New Roman" w:eastAsia="Times New Roman" w:hAnsi="Times New Roman" w:cs="Times New Roman"/>
          <w:bCs/>
          <w:lang w:val="ro-MD"/>
        </w:rPr>
        <w:t>SCR</w:t>
      </w:r>
      <w:r w:rsidRPr="000508B6">
        <w:rPr>
          <w:rFonts w:ascii="Times New Roman" w:eastAsia="Times New Roman" w:hAnsi="Times New Roman" w:cs="Times New Roman"/>
          <w:bCs/>
          <w:lang w:val="ro-MD"/>
        </w:rPr>
        <w:t xml:space="preserve"> și </w:t>
      </w:r>
      <w:r w:rsidR="006C1C25" w:rsidRPr="000508B6">
        <w:rPr>
          <w:rFonts w:ascii="Times New Roman" w:eastAsia="Times New Roman" w:hAnsi="Times New Roman" w:cs="Times New Roman"/>
          <w:bCs/>
          <w:lang w:val="ro-MD"/>
        </w:rPr>
        <w:t>MCR</w:t>
      </w:r>
      <w:r w:rsidRPr="000508B6">
        <w:rPr>
          <w:rFonts w:ascii="Times New Roman" w:eastAsia="Times New Roman" w:hAnsi="Times New Roman" w:cs="Times New Roman"/>
          <w:bCs/>
          <w:lang w:val="ro-MD"/>
        </w:rPr>
        <w:t>;</w:t>
      </w:r>
    </w:p>
    <w:p w14:paraId="7B4BE847" w14:textId="398C76B3" w:rsidR="008C32B0" w:rsidRPr="000508B6" w:rsidRDefault="008C32B0" w:rsidP="00CA0B2C">
      <w:pPr>
        <w:pStyle w:val="Listparagraf"/>
        <w:numPr>
          <w:ilvl w:val="1"/>
          <w:numId w:val="332"/>
        </w:numPr>
        <w:tabs>
          <w:tab w:val="left" w:pos="709"/>
        </w:tabs>
        <w:spacing w:after="0" w:line="240" w:lineRule="auto"/>
        <w:ind w:left="0"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dacă</w:t>
      </w:r>
      <w:r w:rsidR="00BD4340" w:rsidRPr="000508B6">
        <w:rPr>
          <w:rFonts w:ascii="Times New Roman" w:eastAsia="Times New Roman" w:hAnsi="Times New Roman" w:cs="Times New Roman"/>
          <w:bCs/>
          <w:lang w:val="ro-MD"/>
        </w:rPr>
        <w:t xml:space="preserve"> </w:t>
      </w:r>
      <w:r w:rsidR="00D07E86" w:rsidRPr="000508B6">
        <w:rPr>
          <w:rFonts w:ascii="Times New Roman" w:eastAsia="Times New Roman" w:hAnsi="Times New Roman" w:cs="Times New Roman"/>
          <w:bCs/>
          <w:lang w:val="ro-MD"/>
        </w:rPr>
        <w:t xml:space="preserve">asigurătorul sau </w:t>
      </w:r>
      <w:proofErr w:type="spellStart"/>
      <w:r w:rsidR="00D07E86" w:rsidRPr="000508B6">
        <w:rPr>
          <w:rFonts w:ascii="Times New Roman" w:eastAsia="Times New Roman" w:hAnsi="Times New Roman" w:cs="Times New Roman"/>
          <w:bCs/>
          <w:lang w:val="ro-MD"/>
        </w:rPr>
        <w:t>reasigurătorul</w:t>
      </w:r>
      <w:proofErr w:type="spellEnd"/>
      <w:r w:rsidR="00D07E86"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este o </w:t>
      </w:r>
      <w:r w:rsidR="00D07E86" w:rsidRPr="000508B6">
        <w:rPr>
          <w:rFonts w:ascii="Times New Roman" w:eastAsia="Times New Roman" w:hAnsi="Times New Roman" w:cs="Times New Roman"/>
          <w:bCs/>
          <w:lang w:val="ro-MD"/>
        </w:rPr>
        <w:t xml:space="preserve">unul </w:t>
      </w:r>
      <w:r w:rsidRPr="000508B6">
        <w:rPr>
          <w:rFonts w:ascii="Times New Roman" w:eastAsia="Times New Roman" w:hAnsi="Times New Roman" w:cs="Times New Roman"/>
          <w:bCs/>
          <w:lang w:val="ro-MD"/>
        </w:rPr>
        <w:t>captiv care acoperă exclusiv riscurile asociate grupului industrial sau comercial din care face parte.</w:t>
      </w:r>
    </w:p>
    <w:p w14:paraId="17C9808A" w14:textId="77777777" w:rsidR="005C44D9" w:rsidRPr="000508B6" w:rsidRDefault="005C44D9" w:rsidP="005C44D9">
      <w:pPr>
        <w:spacing w:after="0" w:line="240" w:lineRule="auto"/>
        <w:ind w:firstLine="426"/>
        <w:jc w:val="both"/>
        <w:rPr>
          <w:rFonts w:ascii="Times New Roman" w:eastAsia="Times New Roman" w:hAnsi="Times New Roman" w:cs="Times New Roman"/>
          <w:b/>
          <w:lang w:val="ro-MD"/>
        </w:rPr>
      </w:pPr>
    </w:p>
    <w:p w14:paraId="4765E8C4" w14:textId="1B51FB1B" w:rsidR="005C44D9" w:rsidRPr="000508B6" w:rsidRDefault="005C44D9" w:rsidP="005C44D9">
      <w:pPr>
        <w:spacing w:after="0" w:line="240" w:lineRule="auto"/>
        <w:ind w:firstLine="426"/>
        <w:jc w:val="both"/>
        <w:rPr>
          <w:rFonts w:ascii="Times New Roman" w:eastAsia="Times New Roman" w:hAnsi="Times New Roman" w:cs="Times New Roman"/>
          <w:b/>
          <w:lang w:val="ro-MD"/>
        </w:rPr>
      </w:pPr>
      <w:bookmarkStart w:id="168" w:name="_Hlk218071179"/>
      <w:r w:rsidRPr="000508B6">
        <w:rPr>
          <w:rFonts w:ascii="Times New Roman" w:eastAsia="Times New Roman" w:hAnsi="Times New Roman" w:cs="Times New Roman"/>
          <w:b/>
          <w:lang w:val="ro-MD"/>
        </w:rPr>
        <w:t>Articolul 18</w:t>
      </w:r>
      <w:r w:rsidR="00B44224" w:rsidRPr="000508B6">
        <w:rPr>
          <w:rFonts w:ascii="Times New Roman" w:eastAsia="Times New Roman" w:hAnsi="Times New Roman" w:cs="Times New Roman"/>
          <w:b/>
          <w:lang w:val="ro-MD"/>
        </w:rPr>
        <w:t>1</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Competențele de supraveghere pentru a remedia vulnerabilitățile de lichiditate în circumstanțe excepționale</w:t>
      </w:r>
      <w:r w:rsidRPr="000508B6">
        <w:rPr>
          <w:rFonts w:ascii="Times New Roman" w:eastAsia="Times New Roman" w:hAnsi="Times New Roman" w:cs="Times New Roman"/>
          <w:b/>
          <w:lang w:val="ro-MD"/>
        </w:rPr>
        <w:t xml:space="preserve"> </w:t>
      </w:r>
    </w:p>
    <w:p w14:paraId="2B9F8324" w14:textId="4B7CD5E9"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(1) Banca Națională a Moldovei în cadrul procesului de supraveghere monitorizează poziția lichidității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și în cazul în care identifică riscuri de lichiditate semnificative, informează cu privire la aceasta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w:t>
      </w:r>
      <w:r w:rsidR="004125E8" w:rsidRPr="000508B6" w:rsidDel="0016369E">
        <w:rPr>
          <w:rFonts w:ascii="Times New Roman" w:eastAsia="Times New Roman" w:hAnsi="Times New Roman" w:cs="Times New Roman"/>
          <w:bCs/>
          <w:lang w:val="ro-MD"/>
        </w:rPr>
        <w:t>Asigurătorul</w:t>
      </w:r>
      <w:r w:rsidR="004125E8" w:rsidRPr="000508B6">
        <w:rPr>
          <w:rFonts w:ascii="Times New Roman" w:eastAsia="Times New Roman" w:hAnsi="Times New Roman" w:cs="Times New Roman"/>
          <w:bCs/>
          <w:lang w:val="ro-MD"/>
        </w:rPr>
        <w:t xml:space="preserve">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explică modul în care intenționează să abordeze riscurile de lichiditate respective.</w:t>
      </w:r>
    </w:p>
    <w:p w14:paraId="2176D10D" w14:textId="63291E65"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(2) În cazul în care există suficiente dovezi cu privire la existența unor riscuri de lichiditate semnificative și la absența unor măsuri de remediere eficace din partea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Banca Națională a Moldovei prescrie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consolidarea pozițiilor de lichidități. Măsurile prescrise de Banca Națională se revizuiesc cel puțin o dată la șase luni și se elimină atunci când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a luat măsuri de remediere eficace.</w:t>
      </w:r>
    </w:p>
    <w:p w14:paraId="663E9272" w14:textId="654905A5"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(3) În cazul în care este relevant, Banca Națională a Moldovei transmite </w:t>
      </w:r>
      <w:r w:rsidR="00F33FE9">
        <w:rPr>
          <w:rFonts w:ascii="Times New Roman" w:eastAsia="Times New Roman" w:hAnsi="Times New Roman" w:cs="Times New Roman"/>
          <w:bCs/>
          <w:lang w:val="ro-MD"/>
        </w:rPr>
        <w:t xml:space="preserve">către </w:t>
      </w:r>
      <w:r w:rsidRPr="000508B6">
        <w:rPr>
          <w:rFonts w:ascii="Times New Roman" w:eastAsia="Times New Roman" w:hAnsi="Times New Roman" w:cs="Times New Roman"/>
          <w:bCs/>
          <w:lang w:val="ro-MD"/>
        </w:rPr>
        <w:t>EIOPA dovezile privind vulnerabilitățile din punctul de vedere al riscurilor de lichiditate.</w:t>
      </w:r>
    </w:p>
    <w:p w14:paraId="09851E7F" w14:textId="37108B53"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(4) În cazul în care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se confruntă cu riscuri semnificative de lichiditate care pot prezenta un pericol iminent la adresa protecției asiguraților sau a stabilității sistemului financiar, Banca Națională a Moldovei poate  interveni temporar prin:</w:t>
      </w:r>
    </w:p>
    <w:p w14:paraId="52EFA402" w14:textId="77777777"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w:t>
      </w:r>
      <w:r w:rsidRPr="000508B6">
        <w:rPr>
          <w:rFonts w:ascii="Times New Roman" w:eastAsia="Times New Roman" w:hAnsi="Times New Roman" w:cs="Times New Roman"/>
          <w:bCs/>
          <w:lang w:val="ro-MD"/>
        </w:rPr>
        <w:tab/>
        <w:t>restricționarea sau suspendarea distribuirilor de dividende către acționari și alți creditori subordonați;</w:t>
      </w:r>
    </w:p>
    <w:p w14:paraId="4E73D191" w14:textId="77777777"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w:t>
      </w:r>
      <w:r w:rsidRPr="000508B6">
        <w:rPr>
          <w:rFonts w:ascii="Times New Roman" w:eastAsia="Times New Roman" w:hAnsi="Times New Roman" w:cs="Times New Roman"/>
          <w:bCs/>
          <w:lang w:val="ro-MD"/>
        </w:rPr>
        <w:tab/>
        <w:t>restricționarea sau suspendarea altor plăți către acționari și alți creditori subordonați;</w:t>
      </w:r>
    </w:p>
    <w:p w14:paraId="4C3B96A5" w14:textId="77777777"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c)</w:t>
      </w:r>
      <w:r w:rsidRPr="000508B6">
        <w:rPr>
          <w:rFonts w:ascii="Times New Roman" w:eastAsia="Times New Roman" w:hAnsi="Times New Roman" w:cs="Times New Roman"/>
          <w:bCs/>
          <w:lang w:val="ro-MD"/>
        </w:rPr>
        <w:tab/>
        <w:t>restricționarea sau suspendarea răscumpărărilor de acțiuni și a rambursărilor sau răscumpărărilor elementelor de fonduri proprii;</w:t>
      </w:r>
    </w:p>
    <w:p w14:paraId="250F1228" w14:textId="77777777"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d)</w:t>
      </w:r>
      <w:r w:rsidRPr="000508B6">
        <w:rPr>
          <w:rFonts w:ascii="Times New Roman" w:eastAsia="Times New Roman" w:hAnsi="Times New Roman" w:cs="Times New Roman"/>
          <w:bCs/>
          <w:lang w:val="ro-MD"/>
        </w:rPr>
        <w:tab/>
        <w:t>restricționarea sau suspendarea participărilor la beneficii sau a altor remunerații variabile;</w:t>
      </w:r>
    </w:p>
    <w:p w14:paraId="4E3856AE" w14:textId="10BDC71F"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lastRenderedPageBreak/>
        <w:t>e)</w:t>
      </w:r>
      <w:r w:rsidRPr="000508B6">
        <w:rPr>
          <w:rFonts w:ascii="Times New Roman" w:eastAsia="Times New Roman" w:hAnsi="Times New Roman" w:cs="Times New Roman"/>
          <w:bCs/>
          <w:lang w:val="ro-MD"/>
        </w:rPr>
        <w:tab/>
        <w:t>suspendarea drepturilor de răscumpărare ale asiguraților de viață.</w:t>
      </w:r>
    </w:p>
    <w:p w14:paraId="62623C5B" w14:textId="702E8FD6"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(5) Competența Băncii Naționale a Moldovei de a suspenda drepturile de răscumpărare se exercită numai în circumstanțe excepționale care afectează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ca măsură de ultimă instanță și în cazul în care acest lucru este în interesul colectiv al asiguraților și al beneficiarilor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Înainte de a exercita competența respectivă, Banca Națională a Moldovei ține seama de potențialele efecte nedorite asupra piețelor financiare și asupra drepturilor asiguraților și ale beneficiarilor </w:t>
      </w:r>
      <w:r w:rsidR="004125E8" w:rsidRPr="000508B6">
        <w:rPr>
          <w:rFonts w:ascii="Times New Roman" w:eastAsia="Times New Roman" w:hAnsi="Times New Roman" w:cs="Times New Roman"/>
          <w:bCs/>
          <w:lang w:val="ro-MD"/>
        </w:rPr>
        <w:t xml:space="preserve">asigurătorului sau </w:t>
      </w:r>
      <w:proofErr w:type="spellStart"/>
      <w:r w:rsidR="004125E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inclusiv într-un context transfrontalier. Banca Națională a Moldovei face publice motivele care stau la baza aplicării respectivei competențe.</w:t>
      </w:r>
    </w:p>
    <w:p w14:paraId="6DB26585" w14:textId="63D52D0C"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(6) Aplicarea măsurilor menționate la alin. (4) durează cel mult trei luni, care pot fi reînnoite de către Banca Națională a Moldovei dacă motivele pe care se bazează continuă să existe.</w:t>
      </w:r>
      <w:r w:rsidR="005234BD" w:rsidRPr="000508B6">
        <w:rPr>
          <w:rFonts w:ascii="Times New Roman" w:eastAsia="Times New Roman" w:hAnsi="Times New Roman" w:cs="Times New Roman"/>
          <w:bCs/>
          <w:lang w:val="ro-MD"/>
        </w:rPr>
        <w:t xml:space="preserve"> Banca Națională a Mold</w:t>
      </w:r>
      <w:r w:rsidR="00546AC9" w:rsidRPr="000508B6">
        <w:rPr>
          <w:rFonts w:ascii="Times New Roman" w:eastAsia="Times New Roman" w:hAnsi="Times New Roman" w:cs="Times New Roman"/>
          <w:bCs/>
          <w:lang w:val="ro-MD"/>
        </w:rPr>
        <w:t>o</w:t>
      </w:r>
      <w:r w:rsidR="005234BD" w:rsidRPr="000508B6">
        <w:rPr>
          <w:rFonts w:ascii="Times New Roman" w:eastAsia="Times New Roman" w:hAnsi="Times New Roman" w:cs="Times New Roman"/>
          <w:bCs/>
          <w:lang w:val="ro-MD"/>
        </w:rPr>
        <w:t>vei nu mai aplică măsurile respective dacă motivele nu mai există.</w:t>
      </w:r>
    </w:p>
    <w:p w14:paraId="6FED7FD2" w14:textId="650EB726"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(7) Fără a aduce atingere art. 168 alin. (6), până la revocarea suspendării drepturilor de răscumpărare de către Banca Națională a Moldovei, </w:t>
      </w:r>
      <w:r w:rsidR="004125E8" w:rsidRPr="000508B6">
        <w:rPr>
          <w:rFonts w:ascii="Times New Roman" w:eastAsia="Times New Roman" w:hAnsi="Times New Roman" w:cs="Times New Roman"/>
          <w:bCs/>
          <w:lang w:val="ro-MD"/>
        </w:rPr>
        <w:t xml:space="preserve">asigurătorul sau </w:t>
      </w:r>
      <w:proofErr w:type="spellStart"/>
      <w:r w:rsidR="004125E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w:t>
      </w:r>
    </w:p>
    <w:p w14:paraId="054D99B2" w14:textId="77777777"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w:t>
      </w:r>
      <w:r w:rsidRPr="000508B6">
        <w:rPr>
          <w:rFonts w:ascii="Times New Roman" w:eastAsia="Times New Roman" w:hAnsi="Times New Roman" w:cs="Times New Roman"/>
          <w:bCs/>
          <w:lang w:val="ro-MD"/>
        </w:rPr>
        <w:tab/>
        <w:t>nu efectuează nicio distribuire sau alte plăți către acționari sau alți creditori subordonați;</w:t>
      </w:r>
    </w:p>
    <w:p w14:paraId="0D0E05A1" w14:textId="77777777" w:rsidR="005C44D9" w:rsidRPr="000508B6" w:rsidRDefault="005C44D9" w:rsidP="005C44D9">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b)</w:t>
      </w:r>
      <w:r w:rsidRPr="000508B6">
        <w:rPr>
          <w:rFonts w:ascii="Times New Roman" w:eastAsia="Times New Roman" w:hAnsi="Times New Roman" w:cs="Times New Roman"/>
          <w:bCs/>
          <w:lang w:val="ro-MD"/>
        </w:rPr>
        <w:tab/>
        <w:t>nu procedează la răscumpărarea acțiunilor sau la rambursarea sau răscumpărarea elementelor de fonduri proprii; sau</w:t>
      </w:r>
    </w:p>
    <w:p w14:paraId="6DFA9B4C" w14:textId="0EC7E8E2"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t xml:space="preserve">nu plătește participări la beneficii sau alte remunerații variabile </w:t>
      </w:r>
      <w:r w:rsidR="00546AC9" w:rsidRPr="000508B6">
        <w:rPr>
          <w:rFonts w:ascii="Times New Roman" w:eastAsia="Times New Roman" w:hAnsi="Times New Roman" w:cs="Times New Roman"/>
          <w:lang w:val="ro-MD"/>
        </w:rPr>
        <w:t>persoanelor care conduc efectiv sau</w:t>
      </w:r>
      <w:r w:rsidRPr="000508B6">
        <w:rPr>
          <w:rFonts w:ascii="Times New Roman" w:eastAsia="Times New Roman" w:hAnsi="Times New Roman" w:cs="Times New Roman"/>
          <w:lang w:val="ro-MD"/>
        </w:rPr>
        <w:t xml:space="preserve"> care dețin funcții-cheie.</w:t>
      </w:r>
    </w:p>
    <w:p w14:paraId="2D834687" w14:textId="5130405C" w:rsidR="00172901" w:rsidRPr="000508B6" w:rsidRDefault="00172901"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(8) </w:t>
      </w:r>
      <w:r w:rsidR="00643D85" w:rsidRPr="000508B6">
        <w:rPr>
          <w:rFonts w:ascii="Times New Roman" w:eastAsia="Times New Roman" w:hAnsi="Times New Roman" w:cs="Times New Roman"/>
          <w:lang w:val="ro-MD"/>
        </w:rPr>
        <w:t xml:space="preserve">Asigurătorii </w:t>
      </w:r>
      <w:r w:rsidRPr="000508B6">
        <w:rPr>
          <w:rFonts w:ascii="Times New Roman" w:eastAsia="Times New Roman" w:hAnsi="Times New Roman" w:cs="Times New Roman"/>
          <w:lang w:val="ro-MD"/>
        </w:rPr>
        <w:t xml:space="preserve">sau </w:t>
      </w:r>
      <w:proofErr w:type="spellStart"/>
      <w:r w:rsidR="00643D85" w:rsidRPr="000508B6">
        <w:rPr>
          <w:rFonts w:ascii="Times New Roman" w:eastAsia="Times New Roman" w:hAnsi="Times New Roman" w:cs="Times New Roman"/>
          <w:lang w:val="ro-MD"/>
        </w:rPr>
        <w:t>reasigurătorii</w:t>
      </w:r>
      <w:proofErr w:type="spellEnd"/>
      <w:r w:rsidR="00643D85"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raportează lunar Băncii Naționale a Moldovei respectarea cerințelor de la alin. (7)</w:t>
      </w:r>
    </w:p>
    <w:p w14:paraId="42249A16" w14:textId="3D793F09" w:rsidR="005C44D9" w:rsidRPr="000508B6" w:rsidRDefault="00172901"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(9) Banca Națională </w:t>
      </w:r>
      <w:r w:rsidR="00F47AAC" w:rsidRPr="000508B6">
        <w:rPr>
          <w:rFonts w:ascii="Times New Roman" w:eastAsia="Times New Roman" w:hAnsi="Times New Roman" w:cs="Times New Roman"/>
          <w:lang w:val="ro-MD"/>
        </w:rPr>
        <w:t>a Moldovei</w:t>
      </w:r>
      <w:r w:rsidRPr="000508B6">
        <w:rPr>
          <w:rFonts w:ascii="Times New Roman" w:eastAsia="Times New Roman" w:hAnsi="Times New Roman" w:cs="Times New Roman"/>
          <w:lang w:val="ro-MD"/>
        </w:rPr>
        <w:t xml:space="preserve"> </w:t>
      </w:r>
      <w:bookmarkEnd w:id="168"/>
      <w:r w:rsidR="005C44D9" w:rsidRPr="000508B6">
        <w:rPr>
          <w:rFonts w:ascii="Times New Roman" w:eastAsia="Times New Roman" w:hAnsi="Times New Roman" w:cs="Times New Roman"/>
          <w:lang w:val="ro-MD"/>
        </w:rPr>
        <w:t xml:space="preserve">notifică EIOPA și Comitetul </w:t>
      </w:r>
      <w:r w:rsidR="0099775F" w:rsidRPr="000508B6">
        <w:rPr>
          <w:rFonts w:ascii="Times New Roman" w:eastAsia="Times New Roman" w:hAnsi="Times New Roman" w:cs="Times New Roman"/>
          <w:lang w:val="ro-MD"/>
        </w:rPr>
        <w:t xml:space="preserve">European </w:t>
      </w:r>
      <w:r w:rsidR="005C44D9" w:rsidRPr="000508B6">
        <w:rPr>
          <w:rFonts w:ascii="Times New Roman" w:eastAsia="Times New Roman" w:hAnsi="Times New Roman" w:cs="Times New Roman"/>
          <w:lang w:val="ro-MD"/>
        </w:rPr>
        <w:t xml:space="preserve">pentru </w:t>
      </w:r>
      <w:r w:rsidR="0099775F" w:rsidRPr="000508B6">
        <w:rPr>
          <w:rFonts w:ascii="Times New Roman" w:eastAsia="Times New Roman" w:hAnsi="Times New Roman" w:cs="Times New Roman"/>
          <w:lang w:val="ro-MD"/>
        </w:rPr>
        <w:t>Risc</w:t>
      </w:r>
      <w:r w:rsidR="005C44D9" w:rsidRPr="000508B6" w:rsidDel="0099775F">
        <w:rPr>
          <w:rFonts w:ascii="Times New Roman" w:eastAsia="Times New Roman" w:hAnsi="Times New Roman" w:cs="Times New Roman"/>
          <w:lang w:val="ro-MD"/>
        </w:rPr>
        <w:t xml:space="preserve"> </w:t>
      </w:r>
      <w:r w:rsidR="0099775F" w:rsidRPr="000508B6">
        <w:rPr>
          <w:rFonts w:ascii="Times New Roman" w:eastAsia="Times New Roman" w:hAnsi="Times New Roman" w:cs="Times New Roman"/>
          <w:lang w:val="ro-MD"/>
        </w:rPr>
        <w:t xml:space="preserve">Sistemic </w:t>
      </w:r>
      <w:r w:rsidR="005C44D9" w:rsidRPr="000508B6">
        <w:rPr>
          <w:rFonts w:ascii="Times New Roman" w:eastAsia="Times New Roman" w:hAnsi="Times New Roman" w:cs="Times New Roman"/>
          <w:lang w:val="ro-MD"/>
        </w:rPr>
        <w:t>(</w:t>
      </w:r>
      <w:r w:rsidR="0099775F" w:rsidRPr="000508B6">
        <w:rPr>
          <w:rFonts w:ascii="Times New Roman" w:eastAsia="Times New Roman" w:hAnsi="Times New Roman" w:cs="Times New Roman"/>
          <w:lang w:val="ro-MD"/>
        </w:rPr>
        <w:t xml:space="preserve">în continuare – </w:t>
      </w:r>
      <w:r w:rsidR="005C44D9" w:rsidRPr="000508B6">
        <w:rPr>
          <w:rFonts w:ascii="Times New Roman" w:eastAsia="Times New Roman" w:hAnsi="Times New Roman" w:cs="Times New Roman"/>
          <w:lang w:val="ro-MD"/>
        </w:rPr>
        <w:t>CERS) despre aplicarea măsurilor prevăzute în alin. (4) în cazul când acestea sunt aplicate pentru evitarea unui risc la adresa stabilității sistemului financiar.</w:t>
      </w:r>
    </w:p>
    <w:p w14:paraId="113811FD" w14:textId="1B6D2536"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47C49" w:rsidRPr="000508B6">
        <w:rPr>
          <w:rFonts w:ascii="Times New Roman" w:eastAsia="Times New Roman" w:hAnsi="Times New Roman" w:cs="Times New Roman"/>
          <w:lang w:val="ro-MD"/>
        </w:rPr>
        <w:t>10</w:t>
      </w:r>
      <w:r w:rsidRPr="000508B6">
        <w:rPr>
          <w:rFonts w:ascii="Times New Roman" w:eastAsia="Times New Roman" w:hAnsi="Times New Roman" w:cs="Times New Roman"/>
          <w:lang w:val="ro-MD"/>
        </w:rPr>
        <w:t xml:space="preserve">) La aplicarea măsurilor prevăzute în alin. (4) Banca Națională a Moldovei  ține seama în mod corespunzător de criteriile de proporționalitate menționate la art. </w:t>
      </w:r>
      <w:r w:rsidR="00882B0F" w:rsidRPr="000508B6">
        <w:rPr>
          <w:rFonts w:ascii="Times New Roman" w:eastAsia="Times New Roman" w:hAnsi="Times New Roman" w:cs="Times New Roman"/>
          <w:lang w:val="ro-MD"/>
        </w:rPr>
        <w:t>169</w:t>
      </w:r>
      <w:r w:rsidRPr="000508B6">
        <w:rPr>
          <w:rFonts w:ascii="Times New Roman" w:eastAsia="Times New Roman" w:hAnsi="Times New Roman" w:cs="Times New Roman"/>
          <w:lang w:val="ro-MD"/>
        </w:rPr>
        <w:t xml:space="preserve"> alin. (2).</w:t>
      </w:r>
    </w:p>
    <w:p w14:paraId="2F16E224" w14:textId="16179CEB"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47C49" w:rsidRPr="000508B6">
        <w:rPr>
          <w:rFonts w:ascii="Times New Roman" w:eastAsia="Times New Roman" w:hAnsi="Times New Roman" w:cs="Times New Roman"/>
          <w:lang w:val="ro-MD"/>
        </w:rPr>
        <w:t>11</w:t>
      </w:r>
      <w:r w:rsidRPr="000508B6">
        <w:rPr>
          <w:rFonts w:ascii="Times New Roman" w:eastAsia="Times New Roman" w:hAnsi="Times New Roman" w:cs="Times New Roman"/>
          <w:lang w:val="ro-MD"/>
        </w:rPr>
        <w:t xml:space="preserve">) La aplicarea măsurilor prevăzute în alin. (4) Banca Națională a Moldovei ține seama de dovezile rezultate din procesul de supraveghere și dintr-o evaluare prospectivă a solvabilității și a poziției financiare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în conformitate cu evaluarea menționată la art. </w:t>
      </w:r>
      <w:r w:rsidR="000301B2" w:rsidRPr="000508B6">
        <w:rPr>
          <w:rFonts w:ascii="Times New Roman" w:eastAsia="Times New Roman" w:hAnsi="Times New Roman" w:cs="Times New Roman"/>
          <w:lang w:val="ro-MD"/>
        </w:rPr>
        <w:t xml:space="preserve">27 </w:t>
      </w:r>
      <w:r w:rsidRPr="000508B6">
        <w:rPr>
          <w:rFonts w:ascii="Times New Roman" w:eastAsia="Times New Roman" w:hAnsi="Times New Roman" w:cs="Times New Roman"/>
          <w:lang w:val="ro-MD"/>
        </w:rPr>
        <w:t>alin. (1) lit. a) și b).</w:t>
      </w:r>
    </w:p>
    <w:p w14:paraId="1BEE40A5" w14:textId="3F44BC15" w:rsidR="005C44D9" w:rsidRPr="000508B6" w:rsidRDefault="005C44D9" w:rsidP="005C44D9">
      <w:pPr>
        <w:spacing w:after="0" w:line="240" w:lineRule="auto"/>
        <w:ind w:firstLine="426"/>
        <w:jc w:val="both"/>
        <w:rPr>
          <w:rFonts w:ascii="Times New Roman" w:eastAsia="Times New Roman" w:hAnsi="Times New Roman" w:cs="Times New Roman"/>
          <w:lang w:val="ro-MD"/>
        </w:rPr>
      </w:pPr>
      <w:bookmarkStart w:id="169" w:name="_Hlk218071244"/>
      <w:r w:rsidRPr="000508B6">
        <w:rPr>
          <w:rFonts w:ascii="Times New Roman" w:eastAsia="Times New Roman" w:hAnsi="Times New Roman" w:cs="Times New Roman"/>
          <w:lang w:val="ro-MD"/>
        </w:rPr>
        <w:t>(</w:t>
      </w:r>
      <w:r w:rsidR="00E47C49" w:rsidRPr="000508B6">
        <w:rPr>
          <w:rFonts w:ascii="Times New Roman" w:eastAsia="Times New Roman" w:hAnsi="Times New Roman" w:cs="Times New Roman"/>
          <w:lang w:val="ro-MD"/>
        </w:rPr>
        <w:t>12</w:t>
      </w:r>
      <w:r w:rsidRPr="000508B6">
        <w:rPr>
          <w:rFonts w:ascii="Times New Roman" w:eastAsia="Times New Roman" w:hAnsi="Times New Roman" w:cs="Times New Roman"/>
          <w:lang w:val="ro-MD"/>
        </w:rPr>
        <w:t>)</w:t>
      </w:r>
      <w:r w:rsidR="00F47AAC" w:rsidRPr="000508B6">
        <w:rPr>
          <w:rFonts w:ascii="Times New Roman" w:eastAsia="Times New Roman" w:hAnsi="Times New Roman" w:cs="Times New Roman"/>
          <w:lang w:val="ro-MD"/>
        </w:rPr>
        <w:t>Banca Națională a Moldovei exercită competențele</w:t>
      </w:r>
      <w:r w:rsidRPr="000508B6">
        <w:rPr>
          <w:rFonts w:ascii="Times New Roman" w:eastAsia="Times New Roman" w:hAnsi="Times New Roman" w:cs="Times New Roman"/>
          <w:lang w:val="ro-MD"/>
        </w:rPr>
        <w:t xml:space="preserve"> prevăzute </w:t>
      </w:r>
      <w:r w:rsidR="00F47AAC" w:rsidRPr="000508B6">
        <w:rPr>
          <w:rFonts w:ascii="Times New Roman" w:eastAsia="Times New Roman" w:hAnsi="Times New Roman" w:cs="Times New Roman"/>
          <w:lang w:val="ro-MD"/>
        </w:rPr>
        <w:t>la alin. (4) în cazul în care circumstanțele prevăzute la alin. (4) afectează piața de asigurări locală sau o parte semnificativă a acesteia</w:t>
      </w:r>
      <w:r w:rsidRPr="000508B6">
        <w:rPr>
          <w:rFonts w:ascii="Times New Roman" w:eastAsia="Times New Roman" w:hAnsi="Times New Roman" w:cs="Times New Roman"/>
          <w:lang w:val="ro-MD"/>
        </w:rPr>
        <w:t>.</w:t>
      </w:r>
    </w:p>
    <w:bookmarkEnd w:id="169"/>
    <w:p w14:paraId="52894BC3" w14:textId="6BBD9D63" w:rsidR="00F47AAC" w:rsidRPr="000508B6" w:rsidRDefault="00F47AAC" w:rsidP="00F47AAC">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47C49" w:rsidRPr="000508B6">
        <w:rPr>
          <w:rFonts w:ascii="Times New Roman" w:eastAsia="Times New Roman" w:hAnsi="Times New Roman" w:cs="Times New Roman"/>
          <w:lang w:val="ro-MD"/>
        </w:rPr>
        <w:t>1</w:t>
      </w:r>
      <w:r w:rsidR="00FF7143"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 xml:space="preserve">) Banca Națională a Moldovei notifică în timp util EIOPA și, în cazul în care măsura este adoptată pentru abordarea unui risc la adresa stabilității sistemului financiar, </w:t>
      </w:r>
      <w:r w:rsidR="00CC57A0" w:rsidRPr="000508B6">
        <w:rPr>
          <w:rFonts w:ascii="Times New Roman" w:eastAsia="Times New Roman" w:hAnsi="Times New Roman" w:cs="Times New Roman"/>
          <w:lang w:val="ro-MD"/>
        </w:rPr>
        <w:t>CERS</w:t>
      </w:r>
      <w:r w:rsidRPr="000508B6">
        <w:rPr>
          <w:rFonts w:ascii="Times New Roman" w:eastAsia="Times New Roman" w:hAnsi="Times New Roman" w:cs="Times New Roman"/>
          <w:lang w:val="ro-MD"/>
        </w:rPr>
        <w:t xml:space="preserve"> cu privire la exercitarea competențelor menționate la alin. (</w:t>
      </w:r>
      <w:r w:rsidR="007C4A86" w:rsidRPr="000508B6">
        <w:rPr>
          <w:rFonts w:ascii="Times New Roman" w:eastAsia="Times New Roman" w:hAnsi="Times New Roman" w:cs="Times New Roman"/>
          <w:lang w:val="ro-MD"/>
        </w:rPr>
        <w:t>12</w:t>
      </w:r>
      <w:r w:rsidRPr="000508B6">
        <w:rPr>
          <w:rFonts w:ascii="Times New Roman" w:eastAsia="Times New Roman" w:hAnsi="Times New Roman" w:cs="Times New Roman"/>
          <w:lang w:val="ro-MD"/>
        </w:rPr>
        <w:t>).</w:t>
      </w:r>
    </w:p>
    <w:p w14:paraId="782C56B2" w14:textId="0BCF10C1" w:rsidR="00F47AAC" w:rsidRPr="000508B6" w:rsidRDefault="00F47AAC" w:rsidP="00F47AAC">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47C49" w:rsidRPr="000508B6">
        <w:rPr>
          <w:rFonts w:ascii="Times New Roman" w:eastAsia="Times New Roman" w:hAnsi="Times New Roman" w:cs="Times New Roman"/>
          <w:lang w:val="ro-MD"/>
        </w:rPr>
        <w:t>1</w:t>
      </w:r>
      <w:r w:rsidR="00FF7143"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Notificarea prevăzută la alin. (</w:t>
      </w:r>
      <w:r w:rsidR="007C4A86" w:rsidRPr="000508B6">
        <w:rPr>
          <w:rFonts w:ascii="Times New Roman" w:eastAsia="Times New Roman" w:hAnsi="Times New Roman" w:cs="Times New Roman"/>
          <w:lang w:val="ro-MD"/>
        </w:rPr>
        <w:t>13</w:t>
      </w:r>
      <w:r w:rsidRPr="000508B6">
        <w:rPr>
          <w:rFonts w:ascii="Times New Roman" w:eastAsia="Times New Roman" w:hAnsi="Times New Roman" w:cs="Times New Roman"/>
          <w:lang w:val="ro-MD"/>
        </w:rPr>
        <w:t>) include:</w:t>
      </w:r>
    </w:p>
    <w:p w14:paraId="5806E938" w14:textId="77777777" w:rsidR="00F47AAC" w:rsidRPr="000508B6" w:rsidRDefault="00F47AAC" w:rsidP="00F47AAC">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 măsurile impuse și durata aplicării acestora;</w:t>
      </w:r>
    </w:p>
    <w:p w14:paraId="1C2DDB3E" w14:textId="77777777" w:rsidR="00F47AAC" w:rsidRPr="000508B6" w:rsidRDefault="00F47AAC" w:rsidP="00F47AAC">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 motivele pentru care au fost impuse măsuri;</w:t>
      </w:r>
    </w:p>
    <w:p w14:paraId="65D53C28" w14:textId="7E31F2AE" w:rsidR="00F47AAC" w:rsidRPr="000508B6" w:rsidRDefault="00F47AAC" w:rsidP="00F47AAC">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 motivele pentru care măsurile au fost considerate a fi eficiente și proporționale în raport cu efectele negative asupra </w:t>
      </w:r>
      <w:r w:rsidR="00CC57A0" w:rsidRPr="000508B6">
        <w:rPr>
          <w:rFonts w:ascii="Times New Roman" w:eastAsia="Times New Roman" w:hAnsi="Times New Roman" w:cs="Times New Roman"/>
          <w:lang w:val="ro-MD"/>
        </w:rPr>
        <w:t>asiguraților</w:t>
      </w:r>
      <w:r w:rsidRPr="000508B6">
        <w:rPr>
          <w:rFonts w:ascii="Times New Roman" w:eastAsia="Times New Roman" w:hAnsi="Times New Roman" w:cs="Times New Roman"/>
          <w:lang w:val="ro-MD"/>
        </w:rPr>
        <w:t>.</w:t>
      </w:r>
    </w:p>
    <w:p w14:paraId="1E32AAF2" w14:textId="77777777" w:rsidR="005C44D9" w:rsidRPr="000508B6" w:rsidRDefault="005C44D9" w:rsidP="005C44D9">
      <w:pPr>
        <w:spacing w:after="0" w:line="240" w:lineRule="auto"/>
        <w:ind w:firstLine="426"/>
        <w:jc w:val="both"/>
        <w:rPr>
          <w:rFonts w:ascii="Times New Roman" w:eastAsia="Times New Roman" w:hAnsi="Times New Roman" w:cs="Times New Roman"/>
          <w:b/>
          <w:lang w:val="ro-MD"/>
        </w:rPr>
      </w:pPr>
    </w:p>
    <w:p w14:paraId="18D4D7D0" w14:textId="334FE6B2" w:rsidR="005C44D9" w:rsidRPr="000508B6" w:rsidRDefault="005C44D9" w:rsidP="005C44D9">
      <w:pPr>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Articolul 18</w:t>
      </w:r>
      <w:r w:rsidR="00882B0F" w:rsidRPr="000508B6">
        <w:rPr>
          <w:rFonts w:ascii="Times New Roman" w:eastAsia="Times New Roman" w:hAnsi="Times New Roman" w:cs="Times New Roman"/>
          <w:b/>
          <w:lang w:val="ro-MD"/>
        </w:rPr>
        <w:t>2</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 xml:space="preserve">Măsuri de supraveghere pentru menținerea poziției financiare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pe durata șocurilor excepționale la nivel de sector</w:t>
      </w:r>
      <w:r w:rsidRPr="000508B6">
        <w:rPr>
          <w:rFonts w:ascii="Times New Roman" w:eastAsia="Times New Roman" w:hAnsi="Times New Roman" w:cs="Times New Roman"/>
          <w:b/>
          <w:lang w:val="ro-MD"/>
        </w:rPr>
        <w:t xml:space="preserve"> </w:t>
      </w:r>
    </w:p>
    <w:p w14:paraId="38680E7F" w14:textId="5CA7ACBB"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ab/>
        <w:t xml:space="preserve">Fără a aduce atingere art. 158, Banca Națională a Moldovei aplică măsuri de menținere a poziției financiare a </w:t>
      </w:r>
      <w:r w:rsidR="00E00765" w:rsidRPr="000508B6">
        <w:rPr>
          <w:rFonts w:ascii="Times New Roman" w:eastAsia="Times New Roman" w:hAnsi="Times New Roman" w:cs="Times New Roman"/>
          <w:lang w:val="ro-MD"/>
        </w:rPr>
        <w:t>fiecărui</w:t>
      </w:r>
      <w:r w:rsidRPr="000508B6" w:rsidDel="00E00765">
        <w:rPr>
          <w:rFonts w:ascii="Times New Roman" w:eastAsia="Times New Roman" w:hAnsi="Times New Roman" w:cs="Times New Roman"/>
          <w:lang w:val="ro-MD"/>
        </w:rPr>
        <w:t xml:space="preserve"> </w:t>
      </w:r>
      <w:r w:rsidR="00E00765" w:rsidRPr="000508B6">
        <w:rPr>
          <w:rFonts w:ascii="Times New Roman" w:eastAsia="Times New Roman" w:hAnsi="Times New Roman" w:cs="Times New Roman"/>
          <w:lang w:val="ro-MD"/>
        </w:rPr>
        <w:t xml:space="preserve">asigurător sau </w:t>
      </w:r>
      <w:proofErr w:type="spellStart"/>
      <w:r w:rsidR="00E00765" w:rsidRPr="000508B6">
        <w:rPr>
          <w:rFonts w:ascii="Times New Roman" w:eastAsia="Times New Roman" w:hAnsi="Times New Roman" w:cs="Times New Roman"/>
          <w:lang w:val="ro-MD"/>
        </w:rPr>
        <w:t>reasigurător</w:t>
      </w:r>
      <w:proofErr w:type="spellEnd"/>
      <w:r w:rsidRPr="000508B6">
        <w:rPr>
          <w:rFonts w:ascii="Times New Roman" w:eastAsia="Times New Roman" w:hAnsi="Times New Roman" w:cs="Times New Roman"/>
          <w:lang w:val="ro-MD"/>
        </w:rPr>
        <w:t xml:space="preserve"> în perioadele de șocuri excepționale la nivel de sector care au potențialul de a pune în pericol poziția financiară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sau stabilitatea sistemului financiar.</w:t>
      </w:r>
    </w:p>
    <w:p w14:paraId="0B00E001" w14:textId="279A7A6C"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ab/>
        <w:t xml:space="preserve">În perioadele de șocuri excepționale la nivel de sector, Banca Națională a Moldovei impune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cu un profil de risc deosebit de vulnerabil să ia cel puțin următoarele măsuri:</w:t>
      </w:r>
    </w:p>
    <w:p w14:paraId="3B9E2CE1" w14:textId="77777777"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t>restricționarea sau suspendarea distribuirilor de dividende către acționari și alți creditori subordonați;</w:t>
      </w:r>
    </w:p>
    <w:p w14:paraId="3E2C7527" w14:textId="77777777"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restricționarea sau suspendarea altor plăți către acționari și alți creditori subordonați;</w:t>
      </w:r>
    </w:p>
    <w:p w14:paraId="4A972299" w14:textId="77777777"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t>restricționarea sau suspendarea răscumpărărilor de acțiuni și a rambursărilor sau răscumpărărilor elementelor de fonduri proprii;</w:t>
      </w:r>
    </w:p>
    <w:p w14:paraId="231721B9" w14:textId="1AC80E7E"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 restricționarea sau suspendarea participărilor la beneficii sau a altor remunerații variabile</w:t>
      </w:r>
      <w:r w:rsidR="008661BD" w:rsidRPr="000508B6">
        <w:rPr>
          <w:rFonts w:ascii="Times New Roman" w:eastAsia="Times New Roman" w:hAnsi="Times New Roman" w:cs="Times New Roman"/>
          <w:lang w:val="ro-MD"/>
        </w:rPr>
        <w:t>.</w:t>
      </w:r>
    </w:p>
    <w:p w14:paraId="49757D63" w14:textId="787BEF0A"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w:t>
      </w:r>
      <w:r w:rsidR="00E96912"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ab/>
        <w:t xml:space="preserve">La aplicarea prevederilor alin. (2)  Banca Națională a Moldovei ține seama în mod corespunzător de criteriile de proporționalitate menționate la art. </w:t>
      </w:r>
      <w:r w:rsidR="00882B0F" w:rsidRPr="000508B6">
        <w:rPr>
          <w:rFonts w:ascii="Times New Roman" w:eastAsia="Times New Roman" w:hAnsi="Times New Roman" w:cs="Times New Roman"/>
          <w:lang w:val="ro-MD"/>
        </w:rPr>
        <w:t>169</w:t>
      </w:r>
      <w:r w:rsidRPr="000508B6">
        <w:rPr>
          <w:rFonts w:ascii="Times New Roman" w:eastAsia="Times New Roman" w:hAnsi="Times New Roman" w:cs="Times New Roman"/>
          <w:lang w:val="ro-MD"/>
        </w:rPr>
        <w:t xml:space="preserve"> alin. (2) și de existența limitelor de toleranță la risc aprobate de </w:t>
      </w:r>
      <w:r w:rsidR="009E7B62" w:rsidRPr="000508B6">
        <w:rPr>
          <w:rFonts w:ascii="Times New Roman" w:eastAsia="Times New Roman" w:hAnsi="Times New Roman" w:cs="Times New Roman"/>
          <w:lang w:val="ro-MD"/>
        </w:rPr>
        <w:t xml:space="preserve">asigurător sau </w:t>
      </w:r>
      <w:proofErr w:type="spellStart"/>
      <w:r w:rsidR="009E7B62" w:rsidRPr="000508B6">
        <w:rPr>
          <w:rFonts w:ascii="Times New Roman" w:eastAsia="Times New Roman" w:hAnsi="Times New Roman" w:cs="Times New Roman"/>
          <w:lang w:val="ro-MD"/>
        </w:rPr>
        <w:t>reasigurător</w:t>
      </w:r>
      <w:proofErr w:type="spellEnd"/>
      <w:r w:rsidR="009E7B6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și a pragurilor stabilite de sistemul său de management al riscului.</w:t>
      </w:r>
    </w:p>
    <w:p w14:paraId="3B582E3C" w14:textId="0CE79A77" w:rsidR="005C44D9" w:rsidRPr="000508B6" w:rsidRDefault="005C44D9" w:rsidP="005C44D9">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96912"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ab/>
        <w:t xml:space="preserve">La aplicarea prevederilor alin. (2) Banca Națională a Moldovei ține seama de dovezile rezultate din procesul de supraveghere și dintr-o evaluare prospectivă a solvabilității și a poziției financiare a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în conformitate cu evaluarea menționată la art. </w:t>
      </w:r>
      <w:r w:rsidR="000301B2" w:rsidRPr="000508B6">
        <w:rPr>
          <w:rFonts w:ascii="Times New Roman" w:eastAsia="Times New Roman" w:hAnsi="Times New Roman" w:cs="Times New Roman"/>
          <w:lang w:val="ro-MD"/>
        </w:rPr>
        <w:t xml:space="preserve">27 </w:t>
      </w:r>
      <w:r w:rsidRPr="000508B6">
        <w:rPr>
          <w:rFonts w:ascii="Times New Roman" w:eastAsia="Times New Roman" w:hAnsi="Times New Roman" w:cs="Times New Roman"/>
          <w:lang w:val="ro-MD"/>
        </w:rPr>
        <w:t>alin. (1).</w:t>
      </w:r>
    </w:p>
    <w:p w14:paraId="73017DE3" w14:textId="2C1D807A" w:rsidR="006D3F8E" w:rsidRPr="000508B6" w:rsidRDefault="005C44D9" w:rsidP="006D3F8E">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96912"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ab/>
        <w:t>Aplicarea măsurilor menționate la alin. (2) durează atât timp cât sunt prezente motivele care justifică măsurile. Măsurile respective se revizuiesc cel puțin o dată la trei luni și se elimină de îndată ce nu mai există motivele care au justificat măsurile.</w:t>
      </w:r>
    </w:p>
    <w:p w14:paraId="4DAB5FFF" w14:textId="00F6E206" w:rsidR="006D3F8E" w:rsidRPr="000508B6" w:rsidRDefault="006D3F8E" w:rsidP="006D3F8E">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96912"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w:t>
      </w:r>
      <w:r w:rsidRPr="000508B6" w:rsidDel="0099775F">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Banca Națională a Moldovei în calitate de supraveghetor coordonator  al grupului  suspendă sau restricționează tranzacțiile </w:t>
      </w:r>
      <w:proofErr w:type="spellStart"/>
      <w:r w:rsidRPr="000508B6">
        <w:rPr>
          <w:rFonts w:ascii="Times New Roman" w:eastAsia="Times New Roman" w:hAnsi="Times New Roman" w:cs="Times New Roman"/>
          <w:lang w:val="ro-MD"/>
        </w:rPr>
        <w:t>intragrup</w:t>
      </w:r>
      <w:proofErr w:type="spellEnd"/>
      <w:r w:rsidRPr="000508B6">
        <w:rPr>
          <w:rFonts w:ascii="Times New Roman" w:eastAsia="Times New Roman" w:hAnsi="Times New Roman" w:cs="Times New Roman"/>
          <w:lang w:val="ro-MD"/>
        </w:rPr>
        <w:t xml:space="preserve"> semnificative menționate la art. 145 alin. (2), inclusiv distribuirile de dividende în interiorul grupului numai în cazul în care pun în pericol solvabilitatea sau poziția lichidității grupului sau a cel puțin </w:t>
      </w:r>
      <w:r w:rsidR="009E7B62" w:rsidRPr="000508B6">
        <w:rPr>
          <w:rFonts w:ascii="Times New Roman" w:eastAsia="Times New Roman" w:hAnsi="Times New Roman" w:cs="Times New Roman"/>
          <w:lang w:val="ro-MD"/>
        </w:rPr>
        <w:t xml:space="preserve">unuia </w:t>
      </w:r>
      <w:r w:rsidRPr="000508B6">
        <w:rPr>
          <w:rFonts w:ascii="Times New Roman" w:eastAsia="Times New Roman" w:hAnsi="Times New Roman" w:cs="Times New Roman"/>
          <w:lang w:val="ro-MD"/>
        </w:rPr>
        <w:t xml:space="preserve">dintre </w:t>
      </w:r>
      <w:r w:rsidR="009E7B62" w:rsidRPr="000508B6">
        <w:rPr>
          <w:rFonts w:ascii="Times New Roman" w:eastAsia="Times New Roman" w:hAnsi="Times New Roman" w:cs="Times New Roman"/>
          <w:lang w:val="ro-MD"/>
        </w:rPr>
        <w:t xml:space="preserve">asigurător sau </w:t>
      </w:r>
      <w:proofErr w:type="spellStart"/>
      <w:r w:rsidR="009E7B62" w:rsidRPr="000508B6">
        <w:rPr>
          <w:rFonts w:ascii="Times New Roman" w:eastAsia="Times New Roman" w:hAnsi="Times New Roman" w:cs="Times New Roman"/>
          <w:lang w:val="ro-MD"/>
        </w:rPr>
        <w:t>reasigurător</w:t>
      </w:r>
      <w:proofErr w:type="spellEnd"/>
      <w:r w:rsidR="009E7B6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din cadrul grupului. </w:t>
      </w:r>
    </w:p>
    <w:p w14:paraId="2A1AE51B" w14:textId="5837DF99" w:rsidR="008C32B0" w:rsidRPr="000508B6" w:rsidRDefault="006D3F8E" w:rsidP="005207D5">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96912"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w:t>
      </w:r>
      <w:r w:rsidR="0099775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Banca Națională a Moldovei consultă supraveghetorul grupului înainte de a suspenda sau de a restricționa  tranzacțiile </w:t>
      </w:r>
      <w:proofErr w:type="spellStart"/>
      <w:r w:rsidRPr="000508B6">
        <w:rPr>
          <w:rFonts w:ascii="Times New Roman" w:eastAsia="Times New Roman" w:hAnsi="Times New Roman" w:cs="Times New Roman"/>
          <w:lang w:val="ro-MD"/>
        </w:rPr>
        <w:t>intragrup</w:t>
      </w:r>
      <w:proofErr w:type="spellEnd"/>
      <w:r w:rsidRPr="000508B6">
        <w:rPr>
          <w:rFonts w:ascii="Times New Roman" w:eastAsia="Times New Roman" w:hAnsi="Times New Roman" w:cs="Times New Roman"/>
          <w:lang w:val="ro-MD"/>
        </w:rPr>
        <w:t xml:space="preserve"> semnificative menționate la art. 145 alin. (2), inclusiv distribuirile de dividende în interiorul grupului  numai în cazul în care pun în pericol solvabilitatea sau poziția lichidității grupului sau a cel puțin </w:t>
      </w:r>
      <w:r w:rsidR="009E7B62" w:rsidRPr="000508B6">
        <w:rPr>
          <w:rFonts w:ascii="Times New Roman" w:eastAsia="Times New Roman" w:hAnsi="Times New Roman" w:cs="Times New Roman"/>
          <w:lang w:val="ro-MD"/>
        </w:rPr>
        <w:t xml:space="preserve">unuia </w:t>
      </w:r>
      <w:r w:rsidRPr="000508B6">
        <w:rPr>
          <w:rFonts w:ascii="Times New Roman" w:eastAsia="Times New Roman" w:hAnsi="Times New Roman" w:cs="Times New Roman"/>
          <w:lang w:val="ro-MD"/>
        </w:rPr>
        <w:t xml:space="preserve">dintre </w:t>
      </w:r>
      <w:r w:rsidR="009E7B62" w:rsidRPr="000508B6">
        <w:rPr>
          <w:rFonts w:ascii="Times New Roman" w:eastAsia="Times New Roman" w:hAnsi="Times New Roman" w:cs="Times New Roman"/>
          <w:lang w:val="ro-MD"/>
        </w:rPr>
        <w:t>asigurător</w:t>
      </w:r>
      <w:r w:rsidR="00F33FE9">
        <w:rPr>
          <w:rFonts w:ascii="Times New Roman" w:eastAsia="Times New Roman" w:hAnsi="Times New Roman" w:cs="Times New Roman"/>
          <w:lang w:val="ro-MD"/>
        </w:rPr>
        <w:t>i</w:t>
      </w:r>
      <w:r w:rsidR="009E7B62" w:rsidRPr="000508B6">
        <w:rPr>
          <w:rFonts w:ascii="Times New Roman" w:eastAsia="Times New Roman" w:hAnsi="Times New Roman" w:cs="Times New Roman"/>
          <w:lang w:val="ro-MD"/>
        </w:rPr>
        <w:t xml:space="preserve"> sau </w:t>
      </w:r>
      <w:proofErr w:type="spellStart"/>
      <w:r w:rsidR="009E7B62" w:rsidRPr="000508B6">
        <w:rPr>
          <w:rFonts w:ascii="Times New Roman" w:eastAsia="Times New Roman" w:hAnsi="Times New Roman" w:cs="Times New Roman"/>
          <w:lang w:val="ro-MD"/>
        </w:rPr>
        <w:t>reasigurător</w:t>
      </w:r>
      <w:r w:rsidR="00F33FE9">
        <w:rPr>
          <w:rFonts w:ascii="Times New Roman" w:eastAsia="Times New Roman" w:hAnsi="Times New Roman" w:cs="Times New Roman"/>
          <w:lang w:val="ro-MD"/>
        </w:rPr>
        <w:t>i</w:t>
      </w:r>
      <w:proofErr w:type="spellEnd"/>
      <w:r w:rsidR="009E7B6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din cadrul grupului</w:t>
      </w:r>
      <w:r w:rsidR="00E0241E" w:rsidRPr="000508B6">
        <w:rPr>
          <w:rFonts w:ascii="Times New Roman" w:eastAsia="Times New Roman" w:hAnsi="Times New Roman" w:cs="Times New Roman"/>
          <w:lang w:val="ro-MD"/>
        </w:rPr>
        <w:t>.</w:t>
      </w:r>
    </w:p>
    <w:p w14:paraId="554A13B9" w14:textId="2A10D59A" w:rsidR="002871C3" w:rsidRPr="000508B6" w:rsidRDefault="002871C3" w:rsidP="005207D5">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E96912"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 xml:space="preserve">) Prevederile alin. (1) nu aduc atingere competenței Băncii Naționale a Moldovei de a solicita asigurătorilor sau </w:t>
      </w:r>
      <w:proofErr w:type="spellStart"/>
      <w:r w:rsidRPr="000508B6">
        <w:rPr>
          <w:rFonts w:ascii="Times New Roman" w:eastAsia="Times New Roman" w:hAnsi="Times New Roman" w:cs="Times New Roman"/>
          <w:lang w:val="ro-MD"/>
        </w:rPr>
        <w:t>reasigurătorilor</w:t>
      </w:r>
      <w:proofErr w:type="spellEnd"/>
      <w:r w:rsidRPr="000508B6">
        <w:rPr>
          <w:rFonts w:ascii="Times New Roman" w:eastAsia="Times New Roman" w:hAnsi="Times New Roman" w:cs="Times New Roman"/>
          <w:lang w:val="ro-MD"/>
        </w:rPr>
        <w:t xml:space="preserve"> să comunice periodic alte informații elaborate sub responsabilitatea sau la cererea organelor de conducere ale asigurătorilor sau </w:t>
      </w:r>
      <w:proofErr w:type="spellStart"/>
      <w:r w:rsidRPr="000508B6">
        <w:rPr>
          <w:rFonts w:ascii="Times New Roman" w:eastAsia="Times New Roman" w:hAnsi="Times New Roman" w:cs="Times New Roman"/>
          <w:lang w:val="ro-MD"/>
        </w:rPr>
        <w:t>reasigurătorilor</w:t>
      </w:r>
      <w:proofErr w:type="spellEnd"/>
      <w:r w:rsidRPr="000508B6">
        <w:rPr>
          <w:rFonts w:ascii="Times New Roman" w:eastAsia="Times New Roman" w:hAnsi="Times New Roman" w:cs="Times New Roman"/>
          <w:lang w:val="ro-MD"/>
        </w:rPr>
        <w:t xml:space="preserve"> respectivi</w:t>
      </w:r>
      <w:r w:rsidR="00E62AB2" w:rsidRPr="000508B6">
        <w:rPr>
          <w:rFonts w:ascii="Times New Roman" w:eastAsia="Times New Roman" w:hAnsi="Times New Roman" w:cs="Times New Roman"/>
          <w:lang w:val="ro-MD"/>
        </w:rPr>
        <w:t>.</w:t>
      </w:r>
    </w:p>
    <w:p w14:paraId="3DAC0C69" w14:textId="77777777" w:rsidR="005C44D9" w:rsidRPr="000508B6" w:rsidRDefault="005C44D9" w:rsidP="00B229A1">
      <w:pPr>
        <w:spacing w:after="0" w:line="240" w:lineRule="auto"/>
        <w:ind w:firstLine="426"/>
        <w:jc w:val="both"/>
        <w:rPr>
          <w:rFonts w:ascii="Times New Roman" w:eastAsia="Times New Roman" w:hAnsi="Times New Roman" w:cs="Times New Roman"/>
          <w:b/>
          <w:lang w:val="ro-MD"/>
        </w:rPr>
      </w:pPr>
    </w:p>
    <w:p w14:paraId="1320C9AE" w14:textId="43CE8FEA" w:rsidR="00B229A1" w:rsidRPr="000508B6" w:rsidRDefault="00B229A1" w:rsidP="00B229A1">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882B0F" w:rsidRPr="000508B6">
        <w:rPr>
          <w:rFonts w:ascii="Times New Roman" w:eastAsia="Times New Roman" w:hAnsi="Times New Roman" w:cs="Times New Roman"/>
          <w:b/>
          <w:lang w:val="ro-MD"/>
        </w:rPr>
        <w:t>183</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 xml:space="preserve"> Majorarea de capital de solvabilitate</w:t>
      </w:r>
    </w:p>
    <w:p w14:paraId="6BE5E3A9" w14:textId="5010E5E2" w:rsidR="00B229A1" w:rsidRPr="000508B6" w:rsidRDefault="00B229A1" w:rsidP="00CF5AFA">
      <w:pPr>
        <w:pStyle w:val="Listparagraf"/>
        <w:numPr>
          <w:ilvl w:val="0"/>
          <w:numId w:val="122"/>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urma concluziilor procesului de supraveghere, Banca Națională a Moldovei poate impune, prin decizie motivată, o majorare de capital de solvabilitate, numai în următoarele </w:t>
      </w:r>
      <w:proofErr w:type="spellStart"/>
      <w:r w:rsidRPr="000508B6">
        <w:rPr>
          <w:rFonts w:ascii="Times New Roman" w:eastAsia="Times New Roman" w:hAnsi="Times New Roman" w:cs="Times New Roman"/>
          <w:lang w:val="ro-MD"/>
        </w:rPr>
        <w:t>situaţii</w:t>
      </w:r>
      <w:proofErr w:type="spellEnd"/>
      <w:r w:rsidRPr="000508B6">
        <w:rPr>
          <w:rFonts w:ascii="Times New Roman" w:eastAsia="Times New Roman" w:hAnsi="Times New Roman" w:cs="Times New Roman"/>
          <w:lang w:val="ro-MD"/>
        </w:rPr>
        <w:t xml:space="preserve">: </w:t>
      </w:r>
    </w:p>
    <w:p w14:paraId="0FB29291" w14:textId="0D5D074B" w:rsidR="00FB2025" w:rsidRPr="000508B6" w:rsidRDefault="00B229A1" w:rsidP="00CF5AFA">
      <w:pPr>
        <w:pStyle w:val="Listparagraf"/>
        <w:numPr>
          <w:ilvl w:val="2"/>
          <w:numId w:val="12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profilul de risc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se abate semnificativ de la ipotezele care stau la baza SCR calculate cu formula standard în conformitate cu </w:t>
      </w:r>
      <w:r w:rsidR="00176BED" w:rsidRPr="000508B6">
        <w:rPr>
          <w:rFonts w:ascii="Times New Roman" w:eastAsia="Times New Roman" w:hAnsi="Times New Roman" w:cs="Times New Roman"/>
          <w:lang w:val="ro-MD"/>
        </w:rPr>
        <w:t>art. 66-74</w:t>
      </w:r>
      <w:r w:rsidRPr="000508B6">
        <w:rPr>
          <w:rFonts w:ascii="Times New Roman" w:eastAsia="Times New Roman" w:hAnsi="Times New Roman" w:cs="Times New Roman"/>
          <w:lang w:val="ro-MD"/>
        </w:rPr>
        <w:t xml:space="preserve">, </w:t>
      </w:r>
      <w:r w:rsidR="00FB2025" w:rsidRPr="000508B6">
        <w:rPr>
          <w:rFonts w:ascii="Times New Roman" w:eastAsia="Times New Roman" w:hAnsi="Times New Roman" w:cs="Times New Roman"/>
          <w:lang w:val="ro-MD"/>
        </w:rPr>
        <w:t>și</w:t>
      </w:r>
    </w:p>
    <w:p w14:paraId="6D5BC739" w14:textId="62B7272F" w:rsidR="00B229A1" w:rsidRPr="000508B6" w:rsidRDefault="00FB2025" w:rsidP="00E0241E">
      <w:pPr>
        <w:pStyle w:val="Listparagraf"/>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 </w:t>
      </w:r>
      <w:r w:rsidR="00B229A1" w:rsidRPr="000508B6">
        <w:rPr>
          <w:rFonts w:ascii="Times New Roman" w:eastAsia="Times New Roman" w:hAnsi="Times New Roman" w:cs="Times New Roman"/>
          <w:lang w:val="ro-MD"/>
        </w:rPr>
        <w:t xml:space="preserve">utilizarea unui model intern, integral sau </w:t>
      </w:r>
      <w:proofErr w:type="spellStart"/>
      <w:r w:rsidR="00B229A1" w:rsidRPr="000508B6">
        <w:rPr>
          <w:rFonts w:ascii="Times New Roman" w:eastAsia="Times New Roman" w:hAnsi="Times New Roman" w:cs="Times New Roman"/>
          <w:lang w:val="ro-MD"/>
        </w:rPr>
        <w:t>parţial</w:t>
      </w:r>
      <w:proofErr w:type="spellEnd"/>
      <w:r w:rsidR="00B229A1" w:rsidRPr="000508B6">
        <w:rPr>
          <w:rFonts w:ascii="Times New Roman" w:eastAsia="Times New Roman" w:hAnsi="Times New Roman" w:cs="Times New Roman"/>
          <w:lang w:val="ro-MD"/>
        </w:rPr>
        <w:t xml:space="preserve">, impus de Banca Națională a Moldovei în conformitate cu art. </w:t>
      </w:r>
      <w:r w:rsidR="009F781E" w:rsidRPr="000508B6">
        <w:rPr>
          <w:rFonts w:ascii="Times New Roman" w:eastAsia="Times New Roman" w:hAnsi="Times New Roman" w:cs="Times New Roman"/>
          <w:lang w:val="ro-MD"/>
        </w:rPr>
        <w:t>80</w:t>
      </w:r>
      <w:r w:rsidR="002F2881" w:rsidRPr="000508B6">
        <w:rPr>
          <w:rFonts w:ascii="Times New Roman" w:eastAsia="Times New Roman" w:hAnsi="Times New Roman" w:cs="Times New Roman"/>
          <w:lang w:val="ro-MD"/>
        </w:rPr>
        <w:t xml:space="preserve"> </w:t>
      </w:r>
      <w:r w:rsidR="00B229A1" w:rsidRPr="000508B6">
        <w:rPr>
          <w:rFonts w:ascii="Times New Roman" w:eastAsia="Times New Roman" w:hAnsi="Times New Roman" w:cs="Times New Roman"/>
          <w:lang w:val="ro-MD"/>
        </w:rPr>
        <w:t>este considerat inadecvat sau s-a dovedit ineficient</w:t>
      </w:r>
      <w:r w:rsidRPr="000508B6">
        <w:rPr>
          <w:rFonts w:ascii="Times New Roman" w:eastAsia="Times New Roman" w:hAnsi="Times New Roman" w:cs="Times New Roman"/>
          <w:lang w:val="ro-MD"/>
        </w:rPr>
        <w:t>ă</w:t>
      </w:r>
      <w:r w:rsidR="00B229A1"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sau</w:t>
      </w:r>
      <w:r w:rsidR="00B229A1" w:rsidRPr="000508B6">
        <w:rPr>
          <w:rFonts w:ascii="Times New Roman" w:eastAsia="Times New Roman" w:hAnsi="Times New Roman" w:cs="Times New Roman"/>
          <w:lang w:val="ro-MD"/>
        </w:rPr>
        <w:t xml:space="preserve"> </w:t>
      </w:r>
    </w:p>
    <w:p w14:paraId="74F6C738" w14:textId="44ED8E01" w:rsidR="00B229A1" w:rsidRPr="000508B6" w:rsidRDefault="00FB2025" w:rsidP="00E0241E">
      <w:pPr>
        <w:pStyle w:val="Listparagraf"/>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(ii) </w:t>
      </w:r>
      <w:r w:rsidR="00B229A1" w:rsidRPr="000508B6">
        <w:rPr>
          <w:rFonts w:ascii="Times New Roman" w:eastAsia="Times New Roman" w:hAnsi="Times New Roman" w:cs="Times New Roman"/>
          <w:lang w:val="ro-MD"/>
        </w:rPr>
        <w:t xml:space="preserve">în perioada în 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B229A1" w:rsidRPr="000508B6">
        <w:rPr>
          <w:rFonts w:ascii="Times New Roman" w:eastAsia="Times New Roman" w:hAnsi="Times New Roman" w:cs="Times New Roman"/>
          <w:lang w:val="ro-MD"/>
        </w:rPr>
        <w:t xml:space="preserve"> dezvoltă un model intern, impus de către Banca Națională a Moldovei în conformitate cu art. </w:t>
      </w:r>
      <w:r w:rsidR="009F781E" w:rsidRPr="000508B6">
        <w:rPr>
          <w:rFonts w:ascii="Times New Roman" w:eastAsia="Times New Roman" w:hAnsi="Times New Roman" w:cs="Times New Roman"/>
          <w:lang w:val="ro-MD"/>
        </w:rPr>
        <w:t>80</w:t>
      </w:r>
      <w:r w:rsidR="00B229A1" w:rsidRPr="000508B6">
        <w:rPr>
          <w:rFonts w:ascii="Times New Roman" w:eastAsia="Times New Roman" w:hAnsi="Times New Roman" w:cs="Times New Roman"/>
          <w:lang w:val="ro-MD"/>
        </w:rPr>
        <w:t xml:space="preserve">; </w:t>
      </w:r>
    </w:p>
    <w:p w14:paraId="3A45B6BD" w14:textId="41693E66" w:rsidR="00B229A1" w:rsidRPr="000508B6" w:rsidRDefault="00B229A1" w:rsidP="00CF5AFA">
      <w:pPr>
        <w:pStyle w:val="Listparagraf"/>
        <w:numPr>
          <w:ilvl w:val="2"/>
          <w:numId w:val="12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profilul de risc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se abate semnificativ de la ipotezele care stau la baza SCR calculate cu model intern, în conformitate cu </w:t>
      </w:r>
      <w:r w:rsidR="00176BED" w:rsidRPr="000508B6">
        <w:rPr>
          <w:rFonts w:ascii="Times New Roman" w:eastAsia="Times New Roman" w:hAnsi="Times New Roman" w:cs="Times New Roman"/>
          <w:lang w:val="ro-MD"/>
        </w:rPr>
        <w:t>art. 75-</w:t>
      </w:r>
      <w:r w:rsidR="00F86C52" w:rsidRPr="000508B6">
        <w:rPr>
          <w:rFonts w:ascii="Times New Roman" w:eastAsia="Times New Roman" w:hAnsi="Times New Roman" w:cs="Times New Roman"/>
          <w:lang w:val="ro-MD"/>
        </w:rPr>
        <w:t>87</w:t>
      </w:r>
      <w:r w:rsidRPr="000508B6">
        <w:rPr>
          <w:rFonts w:ascii="Times New Roman" w:eastAsia="Times New Roman" w:hAnsi="Times New Roman" w:cs="Times New Roman"/>
          <w:lang w:val="ro-MD"/>
        </w:rPr>
        <w:t>,</w:t>
      </w:r>
      <w:r w:rsidR="007B262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întrucât anumite riscuri cuantificabile nu sunt captate suficient, iar modelul intern nu poate fi adaptat, într-o perioadă de timp acceptabilă, pentru a reflecta adecvat profilul de risc; </w:t>
      </w:r>
    </w:p>
    <w:p w14:paraId="1F805331" w14:textId="55AE9CFF" w:rsidR="00B229A1" w:rsidRPr="000508B6" w:rsidRDefault="00B229A1" w:rsidP="00CF5AFA">
      <w:pPr>
        <w:pStyle w:val="Listparagraf"/>
        <w:numPr>
          <w:ilvl w:val="2"/>
          <w:numId w:val="123"/>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sistemul de </w:t>
      </w:r>
      <w:proofErr w:type="spellStart"/>
      <w:r w:rsidRPr="000508B6">
        <w:rPr>
          <w:rFonts w:ascii="Times New Roman" w:eastAsia="Times New Roman" w:hAnsi="Times New Roman" w:cs="Times New Roman"/>
          <w:lang w:val="ro-MD"/>
        </w:rPr>
        <w:t>guvernanţă</w:t>
      </w:r>
      <w:proofErr w:type="spellEnd"/>
      <w:r w:rsidRPr="000508B6">
        <w:rPr>
          <w:rFonts w:ascii="Times New Roman" w:eastAsia="Times New Roman" w:hAnsi="Times New Roman" w:cs="Times New Roman"/>
          <w:lang w:val="ro-MD"/>
        </w:rPr>
        <w:t xml:space="preserve"> al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se abate semnificativ de la </w:t>
      </w:r>
      <w:proofErr w:type="spellStart"/>
      <w:r w:rsidRPr="000508B6">
        <w:rPr>
          <w:rFonts w:ascii="Times New Roman" w:eastAsia="Times New Roman" w:hAnsi="Times New Roman" w:cs="Times New Roman"/>
          <w:lang w:val="ro-MD"/>
        </w:rPr>
        <w:t>cerinţele</w:t>
      </w:r>
      <w:proofErr w:type="spellEnd"/>
      <w:r w:rsidRPr="000508B6">
        <w:rPr>
          <w:rFonts w:ascii="Times New Roman" w:eastAsia="Times New Roman" w:hAnsi="Times New Roman" w:cs="Times New Roman"/>
          <w:lang w:val="ro-MD"/>
        </w:rPr>
        <w:t xml:space="preserve"> prevăzute la </w:t>
      </w:r>
      <w:r w:rsidR="00435362" w:rsidRPr="000508B6">
        <w:rPr>
          <w:rFonts w:ascii="Times New Roman" w:eastAsia="Times New Roman" w:hAnsi="Times New Roman" w:cs="Times New Roman"/>
          <w:lang w:val="ro-MD"/>
        </w:rPr>
        <w:t>art. 18-31</w:t>
      </w:r>
      <w:r w:rsidRPr="000508B6">
        <w:rPr>
          <w:rFonts w:ascii="Times New Roman" w:eastAsia="Times New Roman" w:hAnsi="Times New Roman" w:cs="Times New Roman"/>
          <w:lang w:val="ro-MD"/>
        </w:rPr>
        <w:t xml:space="preserve">, ceea ce împiedică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să identifice, să măsoare, să monitorizeze, să gestioneze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să raporteze în mod corespunzător riscurile actuale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potenţiale</w:t>
      </w:r>
      <w:proofErr w:type="spellEnd"/>
      <w:r w:rsidRPr="000508B6">
        <w:rPr>
          <w:rFonts w:ascii="Times New Roman" w:eastAsia="Times New Roman" w:hAnsi="Times New Roman" w:cs="Times New Roman"/>
          <w:lang w:val="ro-MD"/>
        </w:rPr>
        <w:t xml:space="preserve">, iar aplicarea altor măsuri nu poate remedia suficient </w:t>
      </w:r>
      <w:proofErr w:type="spellStart"/>
      <w:r w:rsidRPr="000508B6">
        <w:rPr>
          <w:rFonts w:ascii="Times New Roman" w:eastAsia="Times New Roman" w:hAnsi="Times New Roman" w:cs="Times New Roman"/>
          <w:lang w:val="ro-MD"/>
        </w:rPr>
        <w:t>deficienţele</w:t>
      </w:r>
      <w:proofErr w:type="spellEnd"/>
      <w:r w:rsidRPr="000508B6">
        <w:rPr>
          <w:rFonts w:ascii="Times New Roman" w:eastAsia="Times New Roman" w:hAnsi="Times New Roman" w:cs="Times New Roman"/>
          <w:lang w:val="ro-MD"/>
        </w:rPr>
        <w:t xml:space="preserve"> într-o perioadă de timp acceptabilă; </w:t>
      </w:r>
    </w:p>
    <w:p w14:paraId="321F9EEE" w14:textId="4201BC5E" w:rsidR="00882CC0" w:rsidRPr="000508B6" w:rsidRDefault="00FB2025" w:rsidP="005B19CB">
      <w:pPr>
        <w:pStyle w:val="Listparagraf"/>
        <w:numPr>
          <w:ilvl w:val="2"/>
          <w:numId w:val="123"/>
        </w:numPr>
        <w:spacing w:after="0" w:line="240" w:lineRule="auto"/>
        <w:ind w:left="0" w:firstLine="426"/>
        <w:jc w:val="both"/>
        <w:rPr>
          <w:rFonts w:ascii="Times New Roman" w:eastAsia="Times New Roman" w:hAnsi="Times New Roman" w:cs="Times New Roman"/>
          <w:lang w:val="ro-MD"/>
        </w:rPr>
      </w:pPr>
      <w:r w:rsidRPr="000508B6">
        <w:rPr>
          <w:rFonts w:ascii="Times New Roman" w:hAnsi="Times New Roman" w:cs="Times New Roman"/>
          <w:lang w:val="ro-MD"/>
        </w:rPr>
        <w:t xml:space="preserv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aplică prima de echilibrare prevăzută la art. 45, prima de volatilitate prevăzută la art. 47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profilul de risc se abate în mod semnificativ de la ipotezele care stau la baza </w:t>
      </w:r>
      <w:r w:rsidR="0076606A" w:rsidRPr="000508B6">
        <w:rPr>
          <w:rFonts w:ascii="Times New Roman" w:eastAsia="Times New Roman" w:hAnsi="Times New Roman" w:cs="Times New Roman"/>
          <w:lang w:val="ro-MD"/>
        </w:rPr>
        <w:t>primelor</w:t>
      </w:r>
      <w:r w:rsidRPr="000508B6">
        <w:rPr>
          <w:rFonts w:ascii="Times New Roman" w:eastAsia="Times New Roman" w:hAnsi="Times New Roman" w:cs="Times New Roman"/>
          <w:lang w:val="ro-MD"/>
        </w:rPr>
        <w:t xml:space="preserve"> respective.</w:t>
      </w:r>
    </w:p>
    <w:p w14:paraId="55F786B1" w14:textId="3BE15F46" w:rsidR="00B229A1" w:rsidRPr="000508B6" w:rsidRDefault="00B229A1" w:rsidP="00CF5AFA">
      <w:pPr>
        <w:pStyle w:val="Listparagraf"/>
        <w:numPr>
          <w:ilvl w:val="0"/>
          <w:numId w:val="122"/>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Majorarea de capital de solvabilitate se calculează astfel încât: </w:t>
      </w:r>
    </w:p>
    <w:p w14:paraId="13F707A0" w14:textId="4869C809" w:rsidR="00B229A1" w:rsidRPr="000508B6" w:rsidRDefault="00D068AA" w:rsidP="00CA0B2C">
      <w:pPr>
        <w:pStyle w:val="Listparagraf"/>
        <w:numPr>
          <w:ilvl w:val="2"/>
          <w:numId w:val="124"/>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asigurătorul sau </w:t>
      </w:r>
      <w:proofErr w:type="spellStart"/>
      <w:r w:rsidRPr="000508B6">
        <w:rPr>
          <w:rFonts w:ascii="Times New Roman" w:eastAsia="Times New Roman" w:hAnsi="Times New Roman" w:cs="Times New Roman"/>
          <w:lang w:val="ro-MD"/>
        </w:rPr>
        <w:t>reasigurătorul</w:t>
      </w:r>
      <w:proofErr w:type="spellEnd"/>
      <w:r w:rsidR="00B229A1" w:rsidRPr="000508B6">
        <w:rPr>
          <w:rFonts w:ascii="Times New Roman" w:eastAsia="Times New Roman" w:hAnsi="Times New Roman" w:cs="Times New Roman"/>
          <w:lang w:val="ro-MD"/>
        </w:rPr>
        <w:t xml:space="preserve"> să respecte prevederile art. </w:t>
      </w:r>
      <w:r w:rsidR="009F781E" w:rsidRPr="000508B6">
        <w:rPr>
          <w:rFonts w:ascii="Times New Roman" w:eastAsia="Times New Roman" w:hAnsi="Times New Roman" w:cs="Times New Roman"/>
          <w:lang w:val="ro-MD"/>
        </w:rPr>
        <w:t>64</w:t>
      </w:r>
      <w:r w:rsidR="00C76760" w:rsidRPr="000508B6">
        <w:rPr>
          <w:rFonts w:ascii="Times New Roman" w:eastAsia="Times New Roman" w:hAnsi="Times New Roman" w:cs="Times New Roman"/>
          <w:lang w:val="ro-MD"/>
        </w:rPr>
        <w:t xml:space="preserve"> </w:t>
      </w:r>
      <w:r w:rsidR="00B229A1" w:rsidRPr="000508B6">
        <w:rPr>
          <w:rFonts w:ascii="Times New Roman" w:eastAsia="Times New Roman" w:hAnsi="Times New Roman" w:cs="Times New Roman"/>
          <w:lang w:val="ro-MD"/>
        </w:rPr>
        <w:t xml:space="preserve">alin. (2) - (4), în cazurile </w:t>
      </w:r>
      <w:proofErr w:type="spellStart"/>
      <w:r w:rsidR="00B229A1" w:rsidRPr="000508B6">
        <w:rPr>
          <w:rFonts w:ascii="Times New Roman" w:eastAsia="Times New Roman" w:hAnsi="Times New Roman" w:cs="Times New Roman"/>
          <w:lang w:val="ro-MD"/>
        </w:rPr>
        <w:t>menţionate</w:t>
      </w:r>
      <w:proofErr w:type="spellEnd"/>
      <w:r w:rsidR="00B229A1" w:rsidRPr="000508B6">
        <w:rPr>
          <w:rFonts w:ascii="Times New Roman" w:eastAsia="Times New Roman" w:hAnsi="Times New Roman" w:cs="Times New Roman"/>
          <w:lang w:val="ro-MD"/>
        </w:rPr>
        <w:t xml:space="preserve"> la alin. (1) lit. a)</w:t>
      </w:r>
      <w:r w:rsidR="00DA366F" w:rsidRPr="000508B6">
        <w:rPr>
          <w:rFonts w:ascii="Times New Roman" w:eastAsia="Times New Roman" w:hAnsi="Times New Roman" w:cs="Times New Roman"/>
          <w:lang w:val="ro-MD"/>
        </w:rPr>
        <w:t xml:space="preserve"> și </w:t>
      </w:r>
      <w:r w:rsidR="00FB2025" w:rsidRPr="000508B6">
        <w:rPr>
          <w:rFonts w:ascii="Times New Roman" w:eastAsia="Times New Roman" w:hAnsi="Times New Roman" w:cs="Times New Roman"/>
          <w:lang w:val="ro-MD"/>
        </w:rPr>
        <w:t>b</w:t>
      </w:r>
      <w:r w:rsidR="00B229A1" w:rsidRPr="000508B6">
        <w:rPr>
          <w:rFonts w:ascii="Times New Roman" w:eastAsia="Times New Roman" w:hAnsi="Times New Roman" w:cs="Times New Roman"/>
          <w:lang w:val="ro-MD"/>
        </w:rPr>
        <w:t xml:space="preserve">); </w:t>
      </w:r>
    </w:p>
    <w:p w14:paraId="06EC3801" w14:textId="58662B43" w:rsidR="00B229A1" w:rsidRPr="000508B6" w:rsidRDefault="00B229A1" w:rsidP="00CA0B2C">
      <w:pPr>
        <w:pStyle w:val="Listparagraf"/>
        <w:numPr>
          <w:ilvl w:val="2"/>
          <w:numId w:val="124"/>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să fie </w:t>
      </w:r>
      <w:proofErr w:type="spellStart"/>
      <w:r w:rsidRPr="000508B6">
        <w:rPr>
          <w:rFonts w:ascii="Times New Roman" w:eastAsia="Times New Roman" w:hAnsi="Times New Roman" w:cs="Times New Roman"/>
          <w:lang w:val="ro-MD"/>
        </w:rPr>
        <w:t>proporţională</w:t>
      </w:r>
      <w:proofErr w:type="spellEnd"/>
      <w:r w:rsidRPr="000508B6">
        <w:rPr>
          <w:rFonts w:ascii="Times New Roman" w:eastAsia="Times New Roman" w:hAnsi="Times New Roman" w:cs="Times New Roman"/>
          <w:lang w:val="ro-MD"/>
        </w:rPr>
        <w:t xml:space="preserve"> cu riscurile </w:t>
      </w:r>
      <w:r w:rsidR="00E47DE1" w:rsidRPr="000508B6">
        <w:rPr>
          <w:rFonts w:ascii="Times New Roman" w:eastAsia="Times New Roman" w:hAnsi="Times New Roman" w:cs="Times New Roman"/>
          <w:lang w:val="ro-MD"/>
        </w:rPr>
        <w:t xml:space="preserve">materiale </w:t>
      </w:r>
      <w:r w:rsidRPr="000508B6">
        <w:rPr>
          <w:rFonts w:ascii="Times New Roman" w:eastAsia="Times New Roman" w:hAnsi="Times New Roman" w:cs="Times New Roman"/>
          <w:lang w:val="ro-MD"/>
        </w:rPr>
        <w:t xml:space="preserve">generate de </w:t>
      </w:r>
      <w:proofErr w:type="spellStart"/>
      <w:r w:rsidRPr="000508B6">
        <w:rPr>
          <w:rFonts w:ascii="Times New Roman" w:eastAsia="Times New Roman" w:hAnsi="Times New Roman" w:cs="Times New Roman"/>
          <w:lang w:val="ro-MD"/>
        </w:rPr>
        <w:t>deficienţele</w:t>
      </w:r>
      <w:proofErr w:type="spellEnd"/>
      <w:r w:rsidRPr="000508B6">
        <w:rPr>
          <w:rFonts w:ascii="Times New Roman" w:eastAsia="Times New Roman" w:hAnsi="Times New Roman" w:cs="Times New Roman"/>
          <w:lang w:val="ro-MD"/>
        </w:rPr>
        <w:t xml:space="preserve"> identificate, în cazul prevăzut la alin. (1) lit. </w:t>
      </w:r>
      <w:r w:rsidR="00FB2025"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 xml:space="preserve">); </w:t>
      </w:r>
    </w:p>
    <w:p w14:paraId="4D2337E6" w14:textId="62968F04" w:rsidR="006D3672" w:rsidRPr="000508B6" w:rsidRDefault="00B229A1" w:rsidP="00CA0B2C">
      <w:pPr>
        <w:pStyle w:val="Listparagraf"/>
        <w:numPr>
          <w:ilvl w:val="2"/>
          <w:numId w:val="124"/>
        </w:numPr>
        <w:tabs>
          <w:tab w:val="left" w:pos="709"/>
          <w:tab w:val="left" w:pos="851"/>
        </w:tabs>
        <w:spacing w:after="0" w:line="240" w:lineRule="auto"/>
        <w:ind w:left="0" w:firstLine="567"/>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să fie </w:t>
      </w:r>
      <w:proofErr w:type="spellStart"/>
      <w:r w:rsidRPr="000508B6">
        <w:rPr>
          <w:rFonts w:ascii="Times New Roman" w:eastAsia="Times New Roman" w:hAnsi="Times New Roman" w:cs="Times New Roman"/>
          <w:lang w:val="ro-MD"/>
        </w:rPr>
        <w:t>proporţională</w:t>
      </w:r>
      <w:proofErr w:type="spellEnd"/>
      <w:r w:rsidRPr="000508B6">
        <w:rPr>
          <w:rFonts w:ascii="Times New Roman" w:eastAsia="Times New Roman" w:hAnsi="Times New Roman" w:cs="Times New Roman"/>
          <w:lang w:val="ro-MD"/>
        </w:rPr>
        <w:t xml:space="preserve"> cu riscurile </w:t>
      </w:r>
      <w:r w:rsidR="00E47DE1" w:rsidRPr="000508B6">
        <w:rPr>
          <w:rFonts w:ascii="Times New Roman" w:eastAsia="Times New Roman" w:hAnsi="Times New Roman" w:cs="Times New Roman"/>
          <w:lang w:val="ro-MD"/>
        </w:rPr>
        <w:t xml:space="preserve">materiale </w:t>
      </w:r>
      <w:r w:rsidRPr="000508B6">
        <w:rPr>
          <w:rFonts w:ascii="Times New Roman" w:eastAsia="Times New Roman" w:hAnsi="Times New Roman" w:cs="Times New Roman"/>
          <w:lang w:val="ro-MD"/>
        </w:rPr>
        <w:t xml:space="preserve">generate de devierile înregistrate, în cazul prevăzut la alin. (1) lit. </w:t>
      </w:r>
      <w:r w:rsidR="00FB2025" w:rsidRPr="000508B6">
        <w:rPr>
          <w:rFonts w:ascii="Times New Roman" w:eastAsia="Times New Roman" w:hAnsi="Times New Roman" w:cs="Times New Roman"/>
          <w:lang w:val="ro-MD"/>
        </w:rPr>
        <w:t>d</w:t>
      </w:r>
      <w:r w:rsidRPr="000508B6">
        <w:rPr>
          <w:rFonts w:ascii="Times New Roman" w:eastAsia="Times New Roman" w:hAnsi="Times New Roman" w:cs="Times New Roman"/>
          <w:lang w:val="ro-MD"/>
        </w:rPr>
        <w:t>)</w:t>
      </w:r>
      <w:r w:rsidR="006D3672" w:rsidRPr="000508B6">
        <w:rPr>
          <w:rFonts w:ascii="Times New Roman" w:eastAsia="Times New Roman" w:hAnsi="Times New Roman" w:cs="Times New Roman"/>
          <w:lang w:val="ro-MD"/>
        </w:rPr>
        <w:t>;</w:t>
      </w:r>
    </w:p>
    <w:p w14:paraId="75C960A9" w14:textId="6963FCAD" w:rsidR="00B229A1" w:rsidRPr="000508B6" w:rsidRDefault="00B229A1" w:rsidP="00CF5AFA">
      <w:pPr>
        <w:pStyle w:val="Listparagraf"/>
        <w:numPr>
          <w:ilvl w:val="0"/>
          <w:numId w:val="122"/>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cazurile prevăzute la alin. (1) lit. </w:t>
      </w:r>
      <w:r w:rsidR="00FB2025"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FB2025"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 xml:space="preserve">), Banca Națională a Moldovei monitorizează modul în 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remediază </w:t>
      </w:r>
      <w:proofErr w:type="spellStart"/>
      <w:r w:rsidRPr="000508B6">
        <w:rPr>
          <w:rFonts w:ascii="Times New Roman" w:eastAsia="Times New Roman" w:hAnsi="Times New Roman" w:cs="Times New Roman"/>
          <w:lang w:val="ro-MD"/>
        </w:rPr>
        <w:t>deficienţele</w:t>
      </w:r>
      <w:proofErr w:type="spellEnd"/>
      <w:r w:rsidRPr="000508B6">
        <w:rPr>
          <w:rFonts w:ascii="Times New Roman" w:eastAsia="Times New Roman" w:hAnsi="Times New Roman" w:cs="Times New Roman"/>
          <w:lang w:val="ro-MD"/>
        </w:rPr>
        <w:t xml:space="preserve"> care au determinat impunerea majorării de capital de solvabilitate.</w:t>
      </w:r>
      <w:r w:rsidRPr="000508B6">
        <w:rPr>
          <w:rFonts w:ascii="Times New Roman" w:eastAsia="Times New Roman" w:hAnsi="Times New Roman" w:cs="Times New Roman"/>
          <w:color w:val="FF0000"/>
          <w:lang w:val="ro-MD"/>
        </w:rPr>
        <w:t xml:space="preserve"> </w:t>
      </w:r>
    </w:p>
    <w:p w14:paraId="498E24FC" w14:textId="789AE584" w:rsidR="00B229A1" w:rsidRPr="000508B6" w:rsidRDefault="00B229A1" w:rsidP="00DA366F">
      <w:pPr>
        <w:pStyle w:val="Listparagraf"/>
        <w:numPr>
          <w:ilvl w:val="0"/>
          <w:numId w:val="12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Atunci când Banca Națională a Moldovei impune o majorare de capital de solvabilitate conform alin. (1), aceasta verifică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anual dacă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Pr="000508B6">
        <w:rPr>
          <w:rFonts w:ascii="Times New Roman" w:eastAsia="Times New Roman" w:hAnsi="Times New Roman" w:cs="Times New Roman"/>
          <w:lang w:val="ro-MD"/>
        </w:rPr>
        <w:t xml:space="preserve"> a remediat </w:t>
      </w:r>
      <w:proofErr w:type="spellStart"/>
      <w:r w:rsidRPr="000508B6">
        <w:rPr>
          <w:rFonts w:ascii="Times New Roman" w:eastAsia="Times New Roman" w:hAnsi="Times New Roman" w:cs="Times New Roman"/>
          <w:lang w:val="ro-MD"/>
        </w:rPr>
        <w:t>deficienţele</w:t>
      </w:r>
      <w:proofErr w:type="spellEnd"/>
      <w:r w:rsidRPr="000508B6">
        <w:rPr>
          <w:rFonts w:ascii="Times New Roman" w:eastAsia="Times New Roman" w:hAnsi="Times New Roman" w:cs="Times New Roman"/>
          <w:lang w:val="ro-MD"/>
        </w:rPr>
        <w:t xml:space="preserve"> identificate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adoptă măsurile necesare eliminării acesteia, atunci când este cazul. </w:t>
      </w:r>
    </w:p>
    <w:p w14:paraId="6D2DBF78" w14:textId="44833527" w:rsidR="00B229A1" w:rsidRPr="000508B6" w:rsidRDefault="00B229A1" w:rsidP="00CA0B2C">
      <w:pPr>
        <w:pStyle w:val="Listparagraf"/>
        <w:numPr>
          <w:ilvl w:val="0"/>
          <w:numId w:val="122"/>
        </w:numPr>
        <w:tabs>
          <w:tab w:val="left" w:pos="709"/>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 SCR care include majorarea de capital de solvabilitate impusă conform alin. (1)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(2) </w:t>
      </w:r>
      <w:proofErr w:type="spellStart"/>
      <w:r w:rsidRPr="000508B6">
        <w:rPr>
          <w:rFonts w:ascii="Times New Roman" w:eastAsia="Times New Roman" w:hAnsi="Times New Roman" w:cs="Times New Roman"/>
          <w:lang w:val="ro-MD"/>
        </w:rPr>
        <w:t>înlocuieşte</w:t>
      </w:r>
      <w:proofErr w:type="spellEnd"/>
      <w:r w:rsidRPr="000508B6">
        <w:rPr>
          <w:rFonts w:ascii="Times New Roman" w:eastAsia="Times New Roman" w:hAnsi="Times New Roman" w:cs="Times New Roman"/>
          <w:lang w:val="ro-MD"/>
        </w:rPr>
        <w:t xml:space="preserve"> SCR inadecvată. </w:t>
      </w:r>
    </w:p>
    <w:p w14:paraId="0F175C54" w14:textId="4BC7A148" w:rsidR="00B229A1" w:rsidRPr="000508B6" w:rsidRDefault="00B229A1" w:rsidP="00CA0B2C">
      <w:pPr>
        <w:pStyle w:val="Listparagraf"/>
        <w:numPr>
          <w:ilvl w:val="0"/>
          <w:numId w:val="122"/>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Fără a aduce atingere alin. (</w:t>
      </w:r>
      <w:r w:rsidR="006D3672"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majorarea de capital de solvabilitate impusă în cazul prevăzut la alin. (1) lit. </w:t>
      </w:r>
      <w:r w:rsidR="002006D2"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 xml:space="preserve">) nu este inclusă în SCR, în scopul calculării marjei de risc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art. </w:t>
      </w:r>
      <w:r w:rsidR="009F781E" w:rsidRPr="000508B6">
        <w:rPr>
          <w:rFonts w:ascii="Times New Roman" w:eastAsia="Times New Roman" w:hAnsi="Times New Roman" w:cs="Times New Roman"/>
          <w:lang w:val="ro-MD"/>
        </w:rPr>
        <w:t>43</w:t>
      </w:r>
      <w:r w:rsidR="00C76760"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alin. (6). </w:t>
      </w:r>
    </w:p>
    <w:p w14:paraId="1871308C" w14:textId="77777777" w:rsidR="00B229A1" w:rsidRPr="000508B6" w:rsidRDefault="00B229A1" w:rsidP="00E17D08">
      <w:pPr>
        <w:pStyle w:val="Listparagraf"/>
        <w:tabs>
          <w:tab w:val="left" w:pos="851"/>
        </w:tabs>
        <w:spacing w:after="0" w:line="240" w:lineRule="auto"/>
        <w:ind w:left="426"/>
        <w:jc w:val="both"/>
        <w:rPr>
          <w:rFonts w:ascii="Times New Roman" w:eastAsia="Times New Roman" w:hAnsi="Times New Roman" w:cs="Times New Roman"/>
          <w:lang w:val="ro-MD"/>
        </w:rPr>
      </w:pPr>
    </w:p>
    <w:p w14:paraId="3FB5931D" w14:textId="4567C39D" w:rsidR="00E17D08" w:rsidRPr="000508B6" w:rsidRDefault="00B229A1" w:rsidP="00E17D08">
      <w:pPr>
        <w:pStyle w:val="Listparagraf"/>
        <w:tabs>
          <w:tab w:val="left" w:pos="993"/>
        </w:tabs>
        <w:spacing w:after="0" w:line="240" w:lineRule="auto"/>
        <w:ind w:left="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882B0F" w:rsidRPr="000508B6">
        <w:rPr>
          <w:rFonts w:ascii="Times New Roman" w:eastAsia="Times New Roman" w:hAnsi="Times New Roman" w:cs="Times New Roman"/>
          <w:b/>
          <w:lang w:val="ro-MD"/>
        </w:rPr>
        <w:t>184</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Transferul de portofoliu</w:t>
      </w:r>
    </w:p>
    <w:p w14:paraId="64E9A48C" w14:textId="7B7D03C2" w:rsidR="00B229A1" w:rsidRPr="000508B6" w:rsidRDefault="00B229A1" w:rsidP="00CA0B2C">
      <w:pPr>
        <w:pStyle w:val="Listparagraf"/>
        <w:numPr>
          <w:ilvl w:val="1"/>
          <w:numId w:val="137"/>
        </w:numPr>
        <w:tabs>
          <w:tab w:val="left" w:pos="567"/>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aprobă transferul integral sau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al portofoliului de contracte al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încheiate inclusiv în baza dreptului de stabilire sau a </w:t>
      </w:r>
      <w:proofErr w:type="spellStart"/>
      <w:r w:rsidRPr="000508B6">
        <w:rPr>
          <w:rFonts w:ascii="Times New Roman" w:eastAsia="Times New Roman" w:hAnsi="Times New Roman" w:cs="Times New Roman"/>
          <w:lang w:val="ro-MD"/>
        </w:rPr>
        <w:t>libertăţii</w:t>
      </w:r>
      <w:proofErr w:type="spellEnd"/>
      <w:r w:rsidRPr="000508B6">
        <w:rPr>
          <w:rFonts w:ascii="Times New Roman" w:eastAsia="Times New Roman" w:hAnsi="Times New Roman" w:cs="Times New Roman"/>
          <w:lang w:val="ro-MD"/>
        </w:rPr>
        <w:t xml:space="preserve"> de a presta servicii, </w:t>
      </w:r>
      <w:r w:rsidR="002006D2" w:rsidRPr="000508B6">
        <w:rPr>
          <w:rFonts w:ascii="Times New Roman" w:eastAsia="Times New Roman" w:hAnsi="Times New Roman" w:cs="Times New Roman"/>
          <w:lang w:val="ro-MD"/>
        </w:rPr>
        <w:t>unui</w:t>
      </w:r>
      <w:r w:rsidRPr="000508B6" w:rsidDel="002006D2">
        <w:rPr>
          <w:rFonts w:ascii="Times New Roman" w:eastAsia="Times New Roman" w:hAnsi="Times New Roman" w:cs="Times New Roman"/>
          <w:lang w:val="ro-MD"/>
        </w:rPr>
        <w:t xml:space="preserve"> </w:t>
      </w:r>
      <w:r w:rsidR="002006D2" w:rsidRPr="000508B6">
        <w:rPr>
          <w:rFonts w:ascii="Times New Roman" w:eastAsia="Times New Roman" w:hAnsi="Times New Roman" w:cs="Times New Roman"/>
          <w:lang w:val="ro-MD"/>
        </w:rPr>
        <w:t xml:space="preserve">asigurător </w:t>
      </w:r>
      <w:r w:rsidRPr="000508B6">
        <w:rPr>
          <w:rFonts w:ascii="Times New Roman" w:eastAsia="Times New Roman" w:hAnsi="Times New Roman" w:cs="Times New Roman"/>
          <w:lang w:val="ro-MD"/>
        </w:rPr>
        <w:t xml:space="preserve">cesionar cu sediul central pe teritoriul Republicii Moldova numai dacă acesta, după preluarea portofoliului, </w:t>
      </w:r>
      <w:proofErr w:type="spellStart"/>
      <w:r w:rsidRPr="000508B6">
        <w:rPr>
          <w:rFonts w:ascii="Times New Roman" w:eastAsia="Times New Roman" w:hAnsi="Times New Roman" w:cs="Times New Roman"/>
          <w:lang w:val="ro-MD"/>
        </w:rPr>
        <w:t>deţin</w:t>
      </w:r>
      <w:r w:rsidR="0073214E" w:rsidRPr="000508B6">
        <w:rPr>
          <w:rFonts w:ascii="Times New Roman" w:eastAsia="Times New Roman" w:hAnsi="Times New Roman" w:cs="Times New Roman"/>
          <w:lang w:val="ro-MD"/>
        </w:rPr>
        <w:t>e</w:t>
      </w:r>
      <w:proofErr w:type="spellEnd"/>
      <w:r w:rsidRPr="000508B6">
        <w:rPr>
          <w:rFonts w:ascii="Times New Roman" w:eastAsia="Times New Roman" w:hAnsi="Times New Roman" w:cs="Times New Roman"/>
          <w:lang w:val="ro-MD"/>
        </w:rPr>
        <w:t xml:space="preserve"> fonduri proprii eligibile pentru a acoperi SCR. </w:t>
      </w:r>
      <w:r w:rsidR="00B04743" w:rsidRPr="000508B6">
        <w:rPr>
          <w:rFonts w:ascii="Times New Roman" w:eastAsia="Times New Roman" w:hAnsi="Times New Roman" w:cs="Times New Roman"/>
          <w:lang w:val="ro-MD"/>
        </w:rPr>
        <w:t xml:space="preserve">În cazul transferului de portofoliu </w:t>
      </w:r>
      <w:r w:rsidR="00A11FD6" w:rsidRPr="000508B6">
        <w:rPr>
          <w:rFonts w:ascii="Times New Roman" w:eastAsia="Times New Roman" w:hAnsi="Times New Roman" w:cs="Times New Roman"/>
          <w:lang w:val="ro-MD"/>
        </w:rPr>
        <w:t xml:space="preserve">se prezumă a fi existent </w:t>
      </w:r>
      <w:r w:rsidR="00CD445E" w:rsidRPr="000508B6">
        <w:rPr>
          <w:rFonts w:ascii="Times New Roman" w:eastAsia="Times New Roman" w:hAnsi="Times New Roman" w:cs="Times New Roman"/>
          <w:lang w:val="ro-MD"/>
        </w:rPr>
        <w:t xml:space="preserve">consimțământul </w:t>
      </w:r>
      <w:r w:rsidR="00A11FD6" w:rsidRPr="000508B6">
        <w:rPr>
          <w:rFonts w:ascii="Times New Roman" w:eastAsia="Times New Roman" w:hAnsi="Times New Roman" w:cs="Times New Roman"/>
          <w:lang w:val="ro-MD"/>
        </w:rPr>
        <w:t>asiguraților a căror contracte de asigurare sunt parte a portofoliului transferat</w:t>
      </w:r>
      <w:r w:rsidR="00CD445E" w:rsidRPr="000508B6">
        <w:rPr>
          <w:rFonts w:ascii="Times New Roman" w:eastAsia="Times New Roman" w:hAnsi="Times New Roman" w:cs="Times New Roman"/>
          <w:lang w:val="ro-MD"/>
        </w:rPr>
        <w:t xml:space="preserve"> și care nu au solicitat rezoluțiunea contractelor de asigurare</w:t>
      </w:r>
      <w:r w:rsidR="00A11FD6"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725A768F" w14:textId="2626D0FC" w:rsidR="00B229A1" w:rsidRPr="000508B6" w:rsidRDefault="00B229A1" w:rsidP="00CA0B2C">
      <w:pPr>
        <w:pStyle w:val="Listparagraf"/>
        <w:numPr>
          <w:ilvl w:val="1"/>
          <w:numId w:val="137"/>
        </w:numPr>
        <w:tabs>
          <w:tab w:val="left" w:pos="567"/>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aprobă transferul integral sau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al portofoliului de contracte al </w:t>
      </w:r>
      <w:r w:rsidR="004125E8" w:rsidRPr="000508B6">
        <w:rPr>
          <w:rFonts w:ascii="Times New Roman" w:eastAsia="Times New Roman" w:hAnsi="Times New Roman" w:cs="Times New Roman"/>
          <w:lang w:val="ro-MD"/>
        </w:rPr>
        <w:t>asigurătorului</w:t>
      </w:r>
      <w:r w:rsidRPr="000508B6">
        <w:rPr>
          <w:rFonts w:ascii="Times New Roman" w:eastAsia="Times New Roman" w:hAnsi="Times New Roman" w:cs="Times New Roman"/>
          <w:lang w:val="ro-MD"/>
        </w:rPr>
        <w:t xml:space="preserve">, încheiate inclusiv în baza dreptului de stabilire sau a </w:t>
      </w:r>
      <w:proofErr w:type="spellStart"/>
      <w:r w:rsidRPr="000508B6">
        <w:rPr>
          <w:rFonts w:ascii="Times New Roman" w:eastAsia="Times New Roman" w:hAnsi="Times New Roman" w:cs="Times New Roman"/>
          <w:lang w:val="ro-MD"/>
        </w:rPr>
        <w:t>libertăţii</w:t>
      </w:r>
      <w:proofErr w:type="spellEnd"/>
      <w:r w:rsidRPr="000508B6">
        <w:rPr>
          <w:rFonts w:ascii="Times New Roman" w:eastAsia="Times New Roman" w:hAnsi="Times New Roman" w:cs="Times New Roman"/>
          <w:lang w:val="ro-MD"/>
        </w:rPr>
        <w:t xml:space="preserve"> de a presta servicii, </w:t>
      </w:r>
      <w:r w:rsidR="002006D2" w:rsidRPr="000508B6">
        <w:rPr>
          <w:rFonts w:ascii="Times New Roman" w:eastAsia="Times New Roman" w:hAnsi="Times New Roman" w:cs="Times New Roman"/>
          <w:lang w:val="ro-MD"/>
        </w:rPr>
        <w:t>unui</w:t>
      </w:r>
      <w:r w:rsidRPr="000508B6" w:rsidDel="002006D2">
        <w:rPr>
          <w:rFonts w:ascii="Times New Roman" w:eastAsia="Times New Roman" w:hAnsi="Times New Roman" w:cs="Times New Roman"/>
          <w:lang w:val="ro-MD"/>
        </w:rPr>
        <w:t xml:space="preserve"> </w:t>
      </w:r>
      <w:r w:rsidR="002006D2" w:rsidRPr="000508B6">
        <w:rPr>
          <w:rFonts w:ascii="Times New Roman" w:eastAsia="Times New Roman" w:hAnsi="Times New Roman" w:cs="Times New Roman"/>
          <w:lang w:val="ro-MD"/>
        </w:rPr>
        <w:t>asigurător</w:t>
      </w:r>
      <w:r w:rsidRPr="000508B6">
        <w:rPr>
          <w:rFonts w:ascii="Times New Roman" w:eastAsia="Times New Roman" w:hAnsi="Times New Roman" w:cs="Times New Roman"/>
          <w:lang w:val="ro-MD"/>
        </w:rPr>
        <w:t xml:space="preserve"> cesionar stabilit în alt stat </w:t>
      </w:r>
      <w:r w:rsidR="0073214E" w:rsidRPr="000508B6">
        <w:rPr>
          <w:rFonts w:ascii="Times New Roman" w:eastAsia="Times New Roman" w:hAnsi="Times New Roman" w:cs="Times New Roman"/>
          <w:lang w:val="ro-MD"/>
        </w:rPr>
        <w:t>membru</w:t>
      </w:r>
      <w:r w:rsidR="003F16CD" w:rsidRPr="000508B6">
        <w:rPr>
          <w:rFonts w:ascii="Times New Roman" w:eastAsia="Times New Roman" w:hAnsi="Times New Roman" w:cs="Times New Roman"/>
          <w:lang w:val="ro-MD"/>
        </w:rPr>
        <w:t>.</w:t>
      </w:r>
      <w:r w:rsidR="00F00073" w:rsidRPr="000508B6">
        <w:rPr>
          <w:rFonts w:ascii="Times New Roman" w:eastAsia="Times New Roman" w:hAnsi="Times New Roman" w:cs="Times New Roman"/>
          <w:lang w:val="ro-MD"/>
        </w:rPr>
        <w:t xml:space="preserve"> </w:t>
      </w:r>
    </w:p>
    <w:p w14:paraId="138334C7" w14:textId="77777777" w:rsidR="00B229A1" w:rsidRPr="000508B6" w:rsidRDefault="00B229A1" w:rsidP="00CA0B2C">
      <w:pPr>
        <w:pStyle w:val="Listparagraf"/>
        <w:numPr>
          <w:ilvl w:val="1"/>
          <w:numId w:val="137"/>
        </w:numPr>
        <w:tabs>
          <w:tab w:val="left" w:pos="567"/>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Transferul de portofoliu </w:t>
      </w:r>
      <w:proofErr w:type="spellStart"/>
      <w:r w:rsidRPr="000508B6">
        <w:rPr>
          <w:rFonts w:ascii="Times New Roman" w:eastAsia="Times New Roman" w:hAnsi="Times New Roman" w:cs="Times New Roman"/>
          <w:lang w:val="ro-MD"/>
        </w:rPr>
        <w:t>menţionat</w:t>
      </w:r>
      <w:proofErr w:type="spellEnd"/>
      <w:r w:rsidRPr="000508B6">
        <w:rPr>
          <w:rFonts w:ascii="Times New Roman" w:eastAsia="Times New Roman" w:hAnsi="Times New Roman" w:cs="Times New Roman"/>
          <w:lang w:val="ro-MD"/>
        </w:rPr>
        <w:t xml:space="preserve"> la alin. (2) este aprobat de Banca Națională a Moldovei numai dacă: </w:t>
      </w:r>
    </w:p>
    <w:p w14:paraId="2B8C6E44" w14:textId="457475B9" w:rsidR="00B229A1" w:rsidRPr="000508B6" w:rsidRDefault="00B229A1" w:rsidP="00CA0B2C">
      <w:pPr>
        <w:pStyle w:val="Listparagraf"/>
        <w:numPr>
          <w:ilvl w:val="2"/>
          <w:numId w:val="13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supraveghetorul din statul membru al </w:t>
      </w:r>
      <w:r w:rsidR="004125E8" w:rsidRPr="000508B6">
        <w:rPr>
          <w:rFonts w:ascii="Times New Roman" w:hAnsi="Times New Roman" w:cs="Times New Roman"/>
          <w:lang w:val="ro-MD"/>
        </w:rPr>
        <w:t xml:space="preserve">asigurătorului </w:t>
      </w:r>
      <w:r w:rsidRPr="000508B6">
        <w:rPr>
          <w:rFonts w:ascii="Times New Roman" w:hAnsi="Times New Roman" w:cs="Times New Roman"/>
          <w:lang w:val="ro-MD"/>
        </w:rPr>
        <w:t>cesionar certifică faptul că ace</w:t>
      </w:r>
      <w:r w:rsidR="0073214E" w:rsidRPr="000508B6">
        <w:rPr>
          <w:rFonts w:ascii="Times New Roman" w:hAnsi="Times New Roman" w:cs="Times New Roman"/>
          <w:lang w:val="ro-MD"/>
        </w:rPr>
        <w:t>a</w:t>
      </w:r>
      <w:r w:rsidRPr="000508B6">
        <w:rPr>
          <w:rFonts w:ascii="Times New Roman" w:hAnsi="Times New Roman" w:cs="Times New Roman"/>
          <w:lang w:val="ro-MD"/>
        </w:rPr>
        <w:t xml:space="preserve">sta, după preluarea portofoliului, </w:t>
      </w:r>
      <w:proofErr w:type="spellStart"/>
      <w:r w:rsidRPr="000508B6">
        <w:rPr>
          <w:rFonts w:ascii="Times New Roman" w:hAnsi="Times New Roman" w:cs="Times New Roman"/>
          <w:lang w:val="ro-MD"/>
        </w:rPr>
        <w:t>deţin</w:t>
      </w:r>
      <w:r w:rsidR="0073214E" w:rsidRPr="000508B6">
        <w:rPr>
          <w:rFonts w:ascii="Times New Roman" w:hAnsi="Times New Roman" w:cs="Times New Roman"/>
          <w:lang w:val="ro-MD"/>
        </w:rPr>
        <w:t>e</w:t>
      </w:r>
      <w:proofErr w:type="spellEnd"/>
      <w:r w:rsidRPr="000508B6">
        <w:rPr>
          <w:rFonts w:ascii="Times New Roman" w:hAnsi="Times New Roman" w:cs="Times New Roman"/>
          <w:lang w:val="ro-MD"/>
        </w:rPr>
        <w:t xml:space="preserve"> fonduri proprii eligibile pentru a acoperi SCR;</w:t>
      </w:r>
    </w:p>
    <w:p w14:paraId="456EF47B" w14:textId="09C35880" w:rsidR="00B229A1" w:rsidRPr="000508B6" w:rsidRDefault="00B229A1" w:rsidP="00CA0B2C">
      <w:pPr>
        <w:pStyle w:val="Listparagraf"/>
        <w:numPr>
          <w:ilvl w:val="2"/>
          <w:numId w:val="138"/>
        </w:numPr>
        <w:tabs>
          <w:tab w:val="left" w:pos="567"/>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supraveghetorii din statele membre ale sucursalelor </w:t>
      </w:r>
      <w:r w:rsidR="004125E8" w:rsidRPr="000508B6">
        <w:rPr>
          <w:rFonts w:ascii="Times New Roman" w:hAnsi="Times New Roman" w:cs="Times New Roman"/>
          <w:lang w:val="ro-MD"/>
        </w:rPr>
        <w:t xml:space="preserve">asigurătorului </w:t>
      </w:r>
      <w:r w:rsidRPr="000508B6">
        <w:rPr>
          <w:rFonts w:ascii="Times New Roman" w:hAnsi="Times New Roman" w:cs="Times New Roman"/>
          <w:lang w:val="ro-MD"/>
        </w:rPr>
        <w:t xml:space="preserve">cedent sau din statele membre unde </w:t>
      </w:r>
      <w:r w:rsidR="00D068AA" w:rsidRPr="000508B6">
        <w:rPr>
          <w:rFonts w:ascii="Times New Roman" w:hAnsi="Times New Roman" w:cs="Times New Roman"/>
          <w:lang w:val="ro-MD"/>
        </w:rPr>
        <w:t>asigurătorul</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 în baza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furniza servicii </w:t>
      </w:r>
      <w:proofErr w:type="spellStart"/>
      <w:r w:rsidRPr="000508B6">
        <w:rPr>
          <w:rFonts w:ascii="Times New Roman" w:hAnsi="Times New Roman" w:cs="Times New Roman"/>
          <w:lang w:val="ro-MD"/>
        </w:rPr>
        <w:t>îşi</w:t>
      </w:r>
      <w:proofErr w:type="spellEnd"/>
      <w:r w:rsidRPr="000508B6">
        <w:rPr>
          <w:rFonts w:ascii="Times New Roman" w:hAnsi="Times New Roman" w:cs="Times New Roman"/>
          <w:lang w:val="ro-MD"/>
        </w:rPr>
        <w:t xml:space="preserve"> dau acordul pentru transferul respectiv. </w:t>
      </w:r>
    </w:p>
    <w:p w14:paraId="4CA5DAFD" w14:textId="733EBCB6" w:rsidR="00B229A1" w:rsidRPr="000508B6" w:rsidRDefault="00B229A1" w:rsidP="00CA0B2C">
      <w:pPr>
        <w:pStyle w:val="Listparagraf"/>
        <w:numPr>
          <w:ilvl w:val="1"/>
          <w:numId w:val="137"/>
        </w:numPr>
        <w:tabs>
          <w:tab w:val="left" w:pos="567"/>
          <w:tab w:val="left" w:pos="709"/>
          <w:tab w:val="left" w:pos="993"/>
          <w:tab w:val="left" w:pos="1134"/>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La solicitarea unui supraveghetor dintr-un stat membru, în cazul unui transfer integral sau </w:t>
      </w:r>
      <w:proofErr w:type="spellStart"/>
      <w:r w:rsidRPr="000508B6">
        <w:rPr>
          <w:rFonts w:ascii="Times New Roman" w:eastAsia="Times New Roman" w:hAnsi="Times New Roman" w:cs="Times New Roman"/>
          <w:lang w:val="ro-MD"/>
        </w:rPr>
        <w:t>parţial</w:t>
      </w:r>
      <w:proofErr w:type="spellEnd"/>
      <w:r w:rsidRPr="000508B6">
        <w:rPr>
          <w:rFonts w:ascii="Times New Roman" w:eastAsia="Times New Roman" w:hAnsi="Times New Roman" w:cs="Times New Roman"/>
          <w:lang w:val="ro-MD"/>
        </w:rPr>
        <w:t xml:space="preserve"> al portofoliului de contracte, încheiate inclusiv în baza dreptului de stabilire sau a </w:t>
      </w:r>
      <w:proofErr w:type="spellStart"/>
      <w:r w:rsidRPr="000508B6">
        <w:rPr>
          <w:rFonts w:ascii="Times New Roman" w:eastAsia="Times New Roman" w:hAnsi="Times New Roman" w:cs="Times New Roman"/>
          <w:lang w:val="ro-MD"/>
        </w:rPr>
        <w:t>libertăţii</w:t>
      </w:r>
      <w:proofErr w:type="spellEnd"/>
      <w:r w:rsidRPr="000508B6">
        <w:rPr>
          <w:rFonts w:ascii="Times New Roman" w:eastAsia="Times New Roman" w:hAnsi="Times New Roman" w:cs="Times New Roman"/>
          <w:lang w:val="ro-MD"/>
        </w:rPr>
        <w:t xml:space="preserve"> de a presta servicii, al </w:t>
      </w:r>
      <w:r w:rsidR="00FA3EE3" w:rsidRPr="000508B6">
        <w:rPr>
          <w:rFonts w:ascii="Times New Roman" w:eastAsia="Times New Roman" w:hAnsi="Times New Roman" w:cs="Times New Roman"/>
          <w:lang w:val="ro-MD"/>
        </w:rPr>
        <w:t>unui</w:t>
      </w:r>
      <w:r w:rsidRPr="000508B6" w:rsidDel="00FA3EE3">
        <w:rPr>
          <w:rFonts w:ascii="Times New Roman" w:eastAsia="Times New Roman" w:hAnsi="Times New Roman" w:cs="Times New Roman"/>
          <w:lang w:val="ro-MD"/>
        </w:rPr>
        <w:t xml:space="preserve"> </w:t>
      </w:r>
      <w:r w:rsidR="00FA3EE3" w:rsidRPr="000508B6">
        <w:rPr>
          <w:rFonts w:ascii="Times New Roman" w:eastAsia="Times New Roman" w:hAnsi="Times New Roman" w:cs="Times New Roman"/>
          <w:lang w:val="ro-MD"/>
        </w:rPr>
        <w:t>asigurător</w:t>
      </w:r>
      <w:r w:rsidRPr="000508B6">
        <w:rPr>
          <w:rFonts w:ascii="Times New Roman" w:eastAsia="Times New Roman" w:hAnsi="Times New Roman" w:cs="Times New Roman"/>
          <w:lang w:val="ro-MD"/>
        </w:rPr>
        <w:t xml:space="preserve"> cedent cu sediul central în statul membru, respectiv, Banca Națională a Moldovei, în termen de 3 luni: </w:t>
      </w:r>
    </w:p>
    <w:p w14:paraId="11CF009E" w14:textId="46A5E033" w:rsidR="00B229A1" w:rsidRPr="000508B6" w:rsidRDefault="00B229A1" w:rsidP="00CA0B2C">
      <w:pPr>
        <w:pStyle w:val="Listparagraf"/>
        <w:numPr>
          <w:ilvl w:val="2"/>
          <w:numId w:val="139"/>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în care </w:t>
      </w:r>
      <w:r w:rsidR="004125E8" w:rsidRPr="000508B6">
        <w:rPr>
          <w:rFonts w:ascii="Times New Roman" w:hAnsi="Times New Roman" w:cs="Times New Roman"/>
          <w:lang w:val="ro-MD"/>
        </w:rPr>
        <w:t xml:space="preserve">asigurătorul </w:t>
      </w:r>
      <w:r w:rsidRPr="000508B6">
        <w:rPr>
          <w:rFonts w:ascii="Times New Roman" w:hAnsi="Times New Roman" w:cs="Times New Roman"/>
          <w:lang w:val="ro-MD"/>
        </w:rPr>
        <w:t xml:space="preserve">cesionar este stabilit pe teritoriul Republicii Moldova, certifică faptul că </w:t>
      </w:r>
      <w:r w:rsidR="004125E8" w:rsidRPr="000508B6">
        <w:rPr>
          <w:rFonts w:ascii="Times New Roman" w:hAnsi="Times New Roman" w:cs="Times New Roman"/>
          <w:lang w:val="ro-MD"/>
        </w:rPr>
        <w:t xml:space="preserve">asigurătorul </w:t>
      </w:r>
      <w:r w:rsidRPr="000508B6">
        <w:rPr>
          <w:rFonts w:ascii="Times New Roman" w:hAnsi="Times New Roman" w:cs="Times New Roman"/>
          <w:lang w:val="ro-MD"/>
        </w:rPr>
        <w:t xml:space="preserve">cesionar, după preluarea portofoliului,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sau nu fonduri proprii eligibile pentru a acoperi SCR, cu </w:t>
      </w:r>
      <w:proofErr w:type="spellStart"/>
      <w:r w:rsidRPr="000508B6">
        <w:rPr>
          <w:rFonts w:ascii="Times New Roman" w:hAnsi="Times New Roman" w:cs="Times New Roman"/>
          <w:lang w:val="ro-MD"/>
        </w:rPr>
        <w:t>excepţia</w:t>
      </w:r>
      <w:proofErr w:type="spellEnd"/>
      <w:r w:rsidRPr="000508B6">
        <w:rPr>
          <w:rFonts w:ascii="Times New Roman" w:hAnsi="Times New Roman" w:cs="Times New Roman"/>
          <w:lang w:val="ro-MD"/>
        </w:rPr>
        <w:t xml:space="preserve"> cazului în care aceasta se află în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prevăzute la art. </w:t>
      </w:r>
      <w:r w:rsidR="009F781E" w:rsidRPr="000508B6">
        <w:rPr>
          <w:rFonts w:ascii="Times New Roman" w:hAnsi="Times New Roman" w:cs="Times New Roman"/>
          <w:lang w:val="ro-MD"/>
        </w:rPr>
        <w:t>156</w:t>
      </w:r>
      <w:r w:rsidR="00C76760"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(3)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9F781E" w:rsidRPr="000508B6">
        <w:rPr>
          <w:rFonts w:ascii="Times New Roman" w:hAnsi="Times New Roman" w:cs="Times New Roman"/>
          <w:lang w:val="ro-MD"/>
        </w:rPr>
        <w:t xml:space="preserve">157 </w:t>
      </w:r>
      <w:r w:rsidRPr="000508B6">
        <w:rPr>
          <w:rFonts w:ascii="Times New Roman" w:hAnsi="Times New Roman" w:cs="Times New Roman"/>
          <w:lang w:val="ro-MD"/>
        </w:rPr>
        <w:t xml:space="preserve">alin. (2); </w:t>
      </w:r>
    </w:p>
    <w:p w14:paraId="2CE43AC5" w14:textId="46D8E483" w:rsidR="00B229A1" w:rsidRPr="000508B6" w:rsidRDefault="00E0241E" w:rsidP="00CA0B2C">
      <w:pPr>
        <w:tabs>
          <w:tab w:val="left" w:pos="709"/>
          <w:tab w:val="left" w:pos="851"/>
          <w:tab w:val="left" w:pos="993"/>
        </w:tabs>
        <w:spacing w:after="0" w:line="240" w:lineRule="auto"/>
        <w:jc w:val="both"/>
        <w:rPr>
          <w:rFonts w:ascii="Times New Roman" w:eastAsia="Times New Roman" w:hAnsi="Times New Roman" w:cs="Times New Roman"/>
          <w:lang w:val="ro-MD"/>
        </w:rPr>
      </w:pPr>
      <w:r w:rsidRPr="000508B6">
        <w:rPr>
          <w:rFonts w:ascii="Times New Roman" w:hAnsi="Times New Roman" w:cs="Times New Roman"/>
          <w:lang w:val="ro-MD"/>
        </w:rPr>
        <w:t xml:space="preserve">b) </w:t>
      </w:r>
      <w:proofErr w:type="spellStart"/>
      <w:r w:rsidR="00B229A1" w:rsidRPr="000508B6">
        <w:rPr>
          <w:rFonts w:ascii="Times New Roman" w:hAnsi="Times New Roman" w:cs="Times New Roman"/>
          <w:lang w:val="ro-MD"/>
        </w:rPr>
        <w:t>îşi</w:t>
      </w:r>
      <w:proofErr w:type="spellEnd"/>
      <w:r w:rsidR="00B229A1" w:rsidRPr="000508B6">
        <w:rPr>
          <w:rFonts w:ascii="Times New Roman" w:hAnsi="Times New Roman" w:cs="Times New Roman"/>
          <w:lang w:val="ro-MD"/>
        </w:rPr>
        <w:t xml:space="preserve"> exprimă acordul sau dezacordul ca în transfer să fie inclus portofoliul sucursalelor stabilite pe teritoriul Republicii Moldova sau contractele încheiate de </w:t>
      </w:r>
      <w:r w:rsidR="004125E8" w:rsidRPr="000508B6">
        <w:rPr>
          <w:rFonts w:ascii="Times New Roman" w:hAnsi="Times New Roman" w:cs="Times New Roman"/>
          <w:lang w:val="ro-MD"/>
        </w:rPr>
        <w:t xml:space="preserve">asigurătorul </w:t>
      </w:r>
      <w:r w:rsidR="00B229A1" w:rsidRPr="000508B6">
        <w:rPr>
          <w:rFonts w:ascii="Times New Roman" w:hAnsi="Times New Roman" w:cs="Times New Roman"/>
          <w:lang w:val="ro-MD"/>
        </w:rPr>
        <w:t xml:space="preserve">cedent pe teritoriul Republicii Moldova în baza </w:t>
      </w:r>
      <w:proofErr w:type="spellStart"/>
      <w:r w:rsidR="00B229A1" w:rsidRPr="000508B6">
        <w:rPr>
          <w:rFonts w:ascii="Times New Roman" w:hAnsi="Times New Roman" w:cs="Times New Roman"/>
          <w:lang w:val="ro-MD"/>
        </w:rPr>
        <w:t>libertăţii</w:t>
      </w:r>
      <w:proofErr w:type="spellEnd"/>
      <w:r w:rsidR="00B229A1" w:rsidRPr="000508B6">
        <w:rPr>
          <w:rFonts w:ascii="Times New Roman" w:hAnsi="Times New Roman" w:cs="Times New Roman"/>
          <w:lang w:val="ro-MD"/>
        </w:rPr>
        <w:t xml:space="preserve"> de a furniza servicii</w:t>
      </w:r>
      <w:r w:rsidR="00C1497F" w:rsidRPr="000508B6">
        <w:rPr>
          <w:rFonts w:ascii="Times New Roman" w:hAnsi="Times New Roman" w:cs="Times New Roman"/>
          <w:lang w:val="ro-MD"/>
        </w:rPr>
        <w:t xml:space="preserve">. </w:t>
      </w:r>
      <w:proofErr w:type="spellStart"/>
      <w:r w:rsidR="00B229A1" w:rsidRPr="000508B6">
        <w:rPr>
          <w:rFonts w:ascii="Times New Roman" w:eastAsia="Times New Roman" w:hAnsi="Times New Roman" w:cs="Times New Roman"/>
          <w:lang w:val="ro-MD"/>
        </w:rPr>
        <w:t>Absenţa</w:t>
      </w:r>
      <w:proofErr w:type="spellEnd"/>
      <w:r w:rsidR="00B229A1" w:rsidRPr="000508B6">
        <w:rPr>
          <w:rFonts w:ascii="Times New Roman" w:eastAsia="Times New Roman" w:hAnsi="Times New Roman" w:cs="Times New Roman"/>
          <w:lang w:val="ro-MD"/>
        </w:rPr>
        <w:t xml:space="preserve"> unui răspuns din partea supraveghetorilor </w:t>
      </w:r>
      <w:proofErr w:type="spellStart"/>
      <w:r w:rsidR="00B229A1" w:rsidRPr="000508B6">
        <w:rPr>
          <w:rFonts w:ascii="Times New Roman" w:eastAsia="Times New Roman" w:hAnsi="Times New Roman" w:cs="Times New Roman"/>
          <w:lang w:val="ro-MD"/>
        </w:rPr>
        <w:t>consultaţi</w:t>
      </w:r>
      <w:proofErr w:type="spellEnd"/>
      <w:r w:rsidR="00B229A1" w:rsidRPr="000508B6">
        <w:rPr>
          <w:rFonts w:ascii="Times New Roman" w:eastAsia="Times New Roman" w:hAnsi="Times New Roman" w:cs="Times New Roman"/>
          <w:lang w:val="ro-MD"/>
        </w:rPr>
        <w:t xml:space="preserve"> într-un termen de 3 luni se consideră acord tacit. </w:t>
      </w:r>
    </w:p>
    <w:p w14:paraId="4AAF75C0" w14:textId="16B2BF94" w:rsidR="00B229A1" w:rsidRPr="000508B6" w:rsidRDefault="00B229A1" w:rsidP="00CA0B2C">
      <w:pPr>
        <w:pStyle w:val="Listparagraf"/>
        <w:numPr>
          <w:ilvl w:val="1"/>
          <w:numId w:val="137"/>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Transferul de portofoliu aprobat conform prezentului articol este notificat de </w:t>
      </w:r>
      <w:r w:rsidR="004125E8"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 xml:space="preserve">cesionar </w:t>
      </w:r>
      <w:r w:rsidR="00CA7DC0" w:rsidRPr="000508B6">
        <w:rPr>
          <w:rFonts w:ascii="Times New Roman" w:eastAsia="Times New Roman" w:hAnsi="Times New Roman" w:cs="Times New Roman"/>
          <w:lang w:val="ro-MD"/>
        </w:rPr>
        <w:t xml:space="preserve">asiguraților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altor persoane care au drepturi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obligaţii</w:t>
      </w:r>
      <w:proofErr w:type="spellEnd"/>
      <w:r w:rsidRPr="000508B6">
        <w:rPr>
          <w:rFonts w:ascii="Times New Roman" w:eastAsia="Times New Roman" w:hAnsi="Times New Roman" w:cs="Times New Roman"/>
          <w:lang w:val="ro-MD"/>
        </w:rPr>
        <w:t xml:space="preserve"> din contractele transferate</w:t>
      </w:r>
      <w:r w:rsidR="00B06812" w:rsidRPr="000508B6">
        <w:rPr>
          <w:rFonts w:ascii="Times New Roman" w:eastAsia="Times New Roman" w:hAnsi="Times New Roman" w:cs="Times New Roman"/>
          <w:lang w:val="ro-MD"/>
        </w:rPr>
        <w:t xml:space="preserve"> ca fiind automat opozabil acestora</w:t>
      </w:r>
      <w:r w:rsidRPr="000508B6">
        <w:rPr>
          <w:rFonts w:ascii="Times New Roman" w:eastAsia="Times New Roman" w:hAnsi="Times New Roman" w:cs="Times New Roman"/>
          <w:lang w:val="ro-MD"/>
        </w:rPr>
        <w:t xml:space="preserve"> în termenul stabilit prin decizia de aprobare a transferului de portofoliu, </w:t>
      </w:r>
      <w:r w:rsidR="00CA7DC0" w:rsidRPr="000508B6">
        <w:rPr>
          <w:rFonts w:ascii="Times New Roman" w:eastAsia="Times New Roman" w:hAnsi="Times New Roman" w:cs="Times New Roman"/>
          <w:lang w:val="ro-MD"/>
        </w:rPr>
        <w:t xml:space="preserve">asigurații </w:t>
      </w:r>
      <w:r w:rsidRPr="000508B6">
        <w:rPr>
          <w:rFonts w:ascii="Times New Roman" w:eastAsia="Times New Roman" w:hAnsi="Times New Roman" w:cs="Times New Roman"/>
          <w:lang w:val="ro-MD"/>
        </w:rPr>
        <w:t xml:space="preserve">având dreptul să </w:t>
      </w:r>
      <w:r w:rsidR="00FA3EE3" w:rsidRPr="000508B6">
        <w:rPr>
          <w:rFonts w:ascii="Times New Roman" w:eastAsia="Times New Roman" w:hAnsi="Times New Roman" w:cs="Times New Roman"/>
          <w:lang w:val="ro-MD"/>
        </w:rPr>
        <w:t xml:space="preserve">anuleze </w:t>
      </w:r>
      <w:r w:rsidRPr="000508B6">
        <w:rPr>
          <w:rFonts w:ascii="Times New Roman" w:eastAsia="Times New Roman" w:hAnsi="Times New Roman" w:cs="Times New Roman"/>
          <w:lang w:val="ro-MD"/>
        </w:rPr>
        <w:t xml:space="preserve">contractele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să solicite restituirea primelor plătite în avans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aferente perioadei neexpirate de valabilitate. </w:t>
      </w:r>
    </w:p>
    <w:p w14:paraId="76155F7A" w14:textId="02B59BC6" w:rsidR="00882B0F" w:rsidRPr="000508B6" w:rsidRDefault="00431B99" w:rsidP="00CA0B2C">
      <w:pPr>
        <w:pStyle w:val="Listparagraf"/>
        <w:numPr>
          <w:ilvl w:val="1"/>
          <w:numId w:val="137"/>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Informația privind decizia B</w:t>
      </w:r>
      <w:r w:rsidR="005869D2" w:rsidRPr="000508B6">
        <w:rPr>
          <w:rFonts w:ascii="Times New Roman" w:eastAsia="Times New Roman" w:hAnsi="Times New Roman" w:cs="Times New Roman"/>
          <w:lang w:val="ro-MD"/>
        </w:rPr>
        <w:t xml:space="preserve">ăncii </w:t>
      </w:r>
      <w:r w:rsidRPr="000508B6">
        <w:rPr>
          <w:rFonts w:ascii="Times New Roman" w:eastAsia="Times New Roman" w:hAnsi="Times New Roman" w:cs="Times New Roman"/>
          <w:lang w:val="ro-MD"/>
        </w:rPr>
        <w:t>N</w:t>
      </w:r>
      <w:r w:rsidR="005869D2" w:rsidRPr="000508B6">
        <w:rPr>
          <w:rFonts w:ascii="Times New Roman" w:eastAsia="Times New Roman" w:hAnsi="Times New Roman" w:cs="Times New Roman"/>
          <w:lang w:val="ro-MD"/>
        </w:rPr>
        <w:t xml:space="preserve">aționale a </w:t>
      </w:r>
      <w:r w:rsidRPr="000508B6">
        <w:rPr>
          <w:rFonts w:ascii="Times New Roman" w:eastAsia="Times New Roman" w:hAnsi="Times New Roman" w:cs="Times New Roman"/>
          <w:lang w:val="ro-MD"/>
        </w:rPr>
        <w:t>M</w:t>
      </w:r>
      <w:r w:rsidR="005869D2" w:rsidRPr="000508B6">
        <w:rPr>
          <w:rFonts w:ascii="Times New Roman" w:eastAsia="Times New Roman" w:hAnsi="Times New Roman" w:cs="Times New Roman"/>
          <w:lang w:val="ro-MD"/>
        </w:rPr>
        <w:t>oldovei</w:t>
      </w:r>
      <w:r w:rsidRPr="000508B6">
        <w:rPr>
          <w:rFonts w:ascii="Times New Roman" w:eastAsia="Times New Roman" w:hAnsi="Times New Roman" w:cs="Times New Roman"/>
          <w:lang w:val="ro-MD"/>
        </w:rPr>
        <w:t xml:space="preserve"> privind transferul de portofoliu se publică în </w:t>
      </w:r>
      <w:r w:rsidR="005869D2" w:rsidRPr="000508B6">
        <w:rPr>
          <w:rFonts w:ascii="Times New Roman" w:eastAsia="Times New Roman" w:hAnsi="Times New Roman" w:cs="Times New Roman"/>
          <w:lang w:val="ro-MD"/>
        </w:rPr>
        <w:t>Monitorul Oficial al Republicii Moldova.</w:t>
      </w:r>
      <w:r w:rsidRPr="000508B6">
        <w:rPr>
          <w:rFonts w:ascii="Times New Roman" w:eastAsia="Times New Roman" w:hAnsi="Times New Roman" w:cs="Times New Roman"/>
          <w:lang w:val="ro-MD"/>
        </w:rPr>
        <w:t xml:space="preserve"> </w:t>
      </w:r>
    </w:p>
    <w:p w14:paraId="27E11CD9" w14:textId="51D7ACCE" w:rsidR="008340D3" w:rsidRPr="000508B6" w:rsidRDefault="008340D3" w:rsidP="00C22269">
      <w:pPr>
        <w:pStyle w:val="Listparagraf"/>
        <w:numPr>
          <w:ilvl w:val="1"/>
          <w:numId w:val="137"/>
        </w:numPr>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În cazul în care B</w:t>
      </w:r>
      <w:r w:rsidR="00D1587D" w:rsidRPr="000508B6">
        <w:rPr>
          <w:rFonts w:ascii="Times New Roman" w:eastAsia="Times New Roman" w:hAnsi="Times New Roman" w:cs="Times New Roman"/>
          <w:lang w:val="ro-MD"/>
        </w:rPr>
        <w:t>anca Națională a Moldovei</w:t>
      </w:r>
      <w:r w:rsidRPr="000508B6">
        <w:rPr>
          <w:rFonts w:ascii="Times New Roman" w:eastAsia="Times New Roman" w:hAnsi="Times New Roman" w:cs="Times New Roman"/>
          <w:lang w:val="ro-MD"/>
        </w:rPr>
        <w:t xml:space="preserve"> a cerut prezentarea unui plan de redresare menționat la art. 1</w:t>
      </w:r>
      <w:r w:rsidR="00872395" w:rsidRPr="000508B6">
        <w:rPr>
          <w:rFonts w:ascii="Times New Roman" w:eastAsia="Times New Roman" w:hAnsi="Times New Roman" w:cs="Times New Roman"/>
          <w:lang w:val="ro-MD"/>
        </w:rPr>
        <w:t>56</w:t>
      </w:r>
      <w:r w:rsidRPr="000508B6">
        <w:rPr>
          <w:rFonts w:ascii="Times New Roman" w:eastAsia="Times New Roman" w:hAnsi="Times New Roman" w:cs="Times New Roman"/>
          <w:lang w:val="ro-MD"/>
        </w:rPr>
        <w:t xml:space="preserve"> alin. (2) sau a unui plan de finanțare în conformitate cu </w:t>
      </w:r>
      <w:r w:rsidR="00872395" w:rsidRPr="000508B6">
        <w:rPr>
          <w:rFonts w:ascii="Times New Roman" w:eastAsia="Times New Roman" w:hAnsi="Times New Roman" w:cs="Times New Roman"/>
          <w:lang w:val="ro-MD"/>
        </w:rPr>
        <w:t>art. 157</w:t>
      </w:r>
      <w:r w:rsidRPr="000508B6">
        <w:rPr>
          <w:rFonts w:ascii="Times New Roman" w:eastAsia="Times New Roman" w:hAnsi="Times New Roman" w:cs="Times New Roman"/>
          <w:lang w:val="ro-MD"/>
        </w:rPr>
        <w:t xml:space="preserve"> alin. (</w:t>
      </w:r>
      <w:r w:rsidR="00872395"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w:t>
      </w:r>
      <w:r w:rsidR="00872395"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B</w:t>
      </w:r>
      <w:r w:rsidR="00872395" w:rsidRPr="000508B6">
        <w:rPr>
          <w:rFonts w:ascii="Times New Roman" w:eastAsia="Times New Roman" w:hAnsi="Times New Roman" w:cs="Times New Roman"/>
          <w:lang w:val="ro-MD"/>
        </w:rPr>
        <w:t xml:space="preserve">anca </w:t>
      </w:r>
      <w:r w:rsidRPr="000508B6">
        <w:rPr>
          <w:rFonts w:ascii="Times New Roman" w:eastAsia="Times New Roman" w:hAnsi="Times New Roman" w:cs="Times New Roman"/>
          <w:lang w:val="ro-MD"/>
        </w:rPr>
        <w:t>N</w:t>
      </w:r>
      <w:r w:rsidR="00872395" w:rsidRPr="000508B6">
        <w:rPr>
          <w:rFonts w:ascii="Times New Roman" w:eastAsia="Times New Roman" w:hAnsi="Times New Roman" w:cs="Times New Roman"/>
          <w:lang w:val="ro-MD"/>
        </w:rPr>
        <w:t xml:space="preserve">ațională a </w:t>
      </w:r>
      <w:r w:rsidRPr="000508B6">
        <w:rPr>
          <w:rFonts w:ascii="Times New Roman" w:eastAsia="Times New Roman" w:hAnsi="Times New Roman" w:cs="Times New Roman"/>
          <w:lang w:val="ro-MD"/>
        </w:rPr>
        <w:t>M</w:t>
      </w:r>
      <w:r w:rsidR="00872395" w:rsidRPr="000508B6">
        <w:rPr>
          <w:rFonts w:ascii="Times New Roman" w:eastAsia="Times New Roman" w:hAnsi="Times New Roman" w:cs="Times New Roman"/>
          <w:lang w:val="ro-MD"/>
        </w:rPr>
        <w:t>oldovei</w:t>
      </w:r>
      <w:r w:rsidRPr="000508B6">
        <w:rPr>
          <w:rFonts w:ascii="Times New Roman" w:eastAsia="Times New Roman" w:hAnsi="Times New Roman" w:cs="Times New Roman"/>
          <w:lang w:val="ro-MD"/>
        </w:rPr>
        <w:t xml:space="preserve"> nu certifică faptul că </w:t>
      </w:r>
      <w:r w:rsidR="00CA4D95" w:rsidRPr="000508B6">
        <w:rPr>
          <w:rFonts w:ascii="Times New Roman" w:eastAsia="Times New Roman" w:hAnsi="Times New Roman" w:cs="Times New Roman"/>
          <w:lang w:val="ro-MD"/>
        </w:rPr>
        <w:t xml:space="preserve">asigurătorul </w:t>
      </w:r>
      <w:r w:rsidRPr="000508B6">
        <w:rPr>
          <w:rFonts w:ascii="Times New Roman" w:eastAsia="Times New Roman" w:hAnsi="Times New Roman" w:cs="Times New Roman"/>
          <w:lang w:val="ro-MD"/>
        </w:rPr>
        <w:t>cesionar deține fondurile proprii pentru acoperirea SCR</w:t>
      </w:r>
      <w:r w:rsidR="0096251F">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w:t>
      </w:r>
    </w:p>
    <w:p w14:paraId="47555225" w14:textId="7B49204A" w:rsidR="006640B1" w:rsidRPr="000508B6" w:rsidRDefault="006640B1" w:rsidP="00F978CB">
      <w:pPr>
        <w:pStyle w:val="Listparagraf"/>
        <w:numPr>
          <w:ilvl w:val="1"/>
          <w:numId w:val="137"/>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Dispozițiile prezentului articol se aplică corespunzător </w:t>
      </w:r>
      <w:r w:rsidR="00004A59" w:rsidRPr="000508B6">
        <w:rPr>
          <w:rFonts w:ascii="Times New Roman" w:eastAsia="Times New Roman" w:hAnsi="Times New Roman" w:cs="Times New Roman"/>
          <w:lang w:val="ro-MD"/>
        </w:rPr>
        <w:t xml:space="preserve">asigurătorilor </w:t>
      </w:r>
      <w:r w:rsidRPr="000508B6">
        <w:rPr>
          <w:rFonts w:ascii="Times New Roman" w:eastAsia="Times New Roman" w:hAnsi="Times New Roman" w:cs="Times New Roman"/>
          <w:lang w:val="ro-MD"/>
        </w:rPr>
        <w:t xml:space="preserve">la care s-a inițiat procedura de lichidare, precum și </w:t>
      </w:r>
      <w:r w:rsidR="00004A59" w:rsidRPr="000508B6">
        <w:rPr>
          <w:rFonts w:ascii="Times New Roman" w:eastAsia="Times New Roman" w:hAnsi="Times New Roman" w:cs="Times New Roman"/>
          <w:lang w:val="ro-MD"/>
        </w:rPr>
        <w:t xml:space="preserve">asigurătorilor </w:t>
      </w:r>
      <w:r w:rsidRPr="000508B6">
        <w:rPr>
          <w:rFonts w:ascii="Times New Roman" w:eastAsia="Times New Roman" w:hAnsi="Times New Roman" w:cs="Times New Roman"/>
          <w:lang w:val="ro-MD"/>
        </w:rPr>
        <w:t xml:space="preserve">care au </w:t>
      </w:r>
      <w:proofErr w:type="spellStart"/>
      <w:r w:rsidRPr="000508B6">
        <w:rPr>
          <w:rFonts w:ascii="Times New Roman" w:eastAsia="Times New Roman" w:hAnsi="Times New Roman" w:cs="Times New Roman"/>
          <w:lang w:val="ro-MD"/>
        </w:rPr>
        <w:t>deţinut</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licenţă</w:t>
      </w:r>
      <w:proofErr w:type="spellEnd"/>
      <w:r w:rsidRPr="000508B6">
        <w:rPr>
          <w:rFonts w:ascii="Times New Roman" w:eastAsia="Times New Roman" w:hAnsi="Times New Roman" w:cs="Times New Roman"/>
          <w:lang w:val="ro-MD"/>
        </w:rPr>
        <w:t xml:space="preserve"> pentru </w:t>
      </w:r>
      <w:proofErr w:type="spellStart"/>
      <w:r w:rsidRPr="000508B6">
        <w:rPr>
          <w:rFonts w:ascii="Times New Roman" w:eastAsia="Times New Roman" w:hAnsi="Times New Roman" w:cs="Times New Roman"/>
          <w:lang w:val="ro-MD"/>
        </w:rPr>
        <w:t>desfăşurarea</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 xml:space="preserve"> de asigur</w:t>
      </w:r>
      <w:r w:rsidR="007B4C60" w:rsidRPr="000508B6">
        <w:rPr>
          <w:rFonts w:ascii="Times New Roman" w:eastAsia="Times New Roman" w:hAnsi="Times New Roman" w:cs="Times New Roman"/>
          <w:lang w:val="ro-MD"/>
        </w:rPr>
        <w:t>are</w:t>
      </w:r>
      <w:r w:rsidRPr="000508B6">
        <w:rPr>
          <w:rFonts w:ascii="Times New Roman" w:eastAsia="Times New Roman" w:hAnsi="Times New Roman" w:cs="Times New Roman"/>
          <w:lang w:val="ro-MD"/>
        </w:rPr>
        <w:t xml:space="preserve"> sau de reasigur</w:t>
      </w:r>
      <w:r w:rsidR="007B4C60" w:rsidRPr="000508B6">
        <w:rPr>
          <w:rFonts w:ascii="Times New Roman" w:eastAsia="Times New Roman" w:hAnsi="Times New Roman" w:cs="Times New Roman"/>
          <w:lang w:val="ro-MD"/>
        </w:rPr>
        <w:t>are</w:t>
      </w:r>
      <w:r w:rsidRPr="000508B6">
        <w:rPr>
          <w:rFonts w:ascii="Times New Roman" w:eastAsia="Times New Roman" w:hAnsi="Times New Roman" w:cs="Times New Roman"/>
          <w:lang w:val="ro-MD"/>
        </w:rPr>
        <w:t xml:space="preserve">, care </w:t>
      </w:r>
      <w:proofErr w:type="spellStart"/>
      <w:r w:rsidRPr="000508B6">
        <w:rPr>
          <w:rFonts w:ascii="Times New Roman" w:eastAsia="Times New Roman" w:hAnsi="Times New Roman" w:cs="Times New Roman"/>
          <w:lang w:val="ro-MD"/>
        </w:rPr>
        <w:t>deţin</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obligaţii</w:t>
      </w:r>
      <w:proofErr w:type="spellEnd"/>
      <w:r w:rsidRPr="000508B6">
        <w:rPr>
          <w:rFonts w:ascii="Times New Roman" w:eastAsia="Times New Roman" w:hAnsi="Times New Roman" w:cs="Times New Roman"/>
          <w:lang w:val="ro-MD"/>
        </w:rPr>
        <w:t xml:space="preserve"> de plată asumate în baza contractelor de asigurare.</w:t>
      </w:r>
    </w:p>
    <w:p w14:paraId="48452CF4" w14:textId="6F0E1426" w:rsidR="00B229A1" w:rsidRPr="000508B6" w:rsidRDefault="00B229A1" w:rsidP="00CA0B2C">
      <w:pPr>
        <w:pStyle w:val="Listparagraf"/>
        <w:numPr>
          <w:ilvl w:val="1"/>
          <w:numId w:val="137"/>
        </w:numPr>
        <w:tabs>
          <w:tab w:val="left" w:pos="709"/>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Procedura de </w:t>
      </w:r>
      <w:r w:rsidR="00861FA3" w:rsidRPr="000508B6">
        <w:rPr>
          <w:rFonts w:ascii="Times New Roman" w:eastAsia="Times New Roman" w:hAnsi="Times New Roman" w:cs="Times New Roman"/>
          <w:lang w:val="ro-MD"/>
        </w:rPr>
        <w:t xml:space="preserve">aprobare a </w:t>
      </w:r>
      <w:r w:rsidRPr="000508B6">
        <w:rPr>
          <w:rFonts w:ascii="Times New Roman" w:eastAsia="Times New Roman" w:hAnsi="Times New Roman" w:cs="Times New Roman"/>
          <w:lang w:val="ro-MD"/>
        </w:rPr>
        <w:t>transfer</w:t>
      </w:r>
      <w:r w:rsidR="00861FA3" w:rsidRPr="000508B6">
        <w:rPr>
          <w:rFonts w:ascii="Times New Roman" w:eastAsia="Times New Roman" w:hAnsi="Times New Roman" w:cs="Times New Roman"/>
          <w:lang w:val="ro-MD"/>
        </w:rPr>
        <w:t>ului de</w:t>
      </w:r>
      <w:r w:rsidRPr="000508B6">
        <w:rPr>
          <w:rFonts w:ascii="Times New Roman" w:eastAsia="Times New Roman" w:hAnsi="Times New Roman" w:cs="Times New Roman"/>
          <w:lang w:val="ro-MD"/>
        </w:rPr>
        <w:t xml:space="preserve"> portofoliu,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actele ce urmează a fi prezentate în acest sens</w:t>
      </w:r>
      <w:r w:rsidR="00E6689E"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se stabilesc prin actele normative ale Băncii Naționale a Moldovei.</w:t>
      </w:r>
    </w:p>
    <w:p w14:paraId="20DA5D31" w14:textId="77777777" w:rsidR="00B229A1" w:rsidRPr="000508B6" w:rsidRDefault="00B229A1" w:rsidP="00B229A1">
      <w:pPr>
        <w:spacing w:after="0" w:line="240" w:lineRule="auto"/>
        <w:ind w:firstLine="426"/>
        <w:jc w:val="both"/>
        <w:rPr>
          <w:rFonts w:ascii="Times New Roman" w:eastAsia="Times New Roman" w:hAnsi="Times New Roman" w:cs="Times New Roman"/>
          <w:b/>
          <w:lang w:val="ro-MD"/>
        </w:rPr>
      </w:pPr>
    </w:p>
    <w:p w14:paraId="15457896" w14:textId="09650AFC" w:rsidR="00AC4E00" w:rsidRPr="000508B6" w:rsidRDefault="00AC4E00" w:rsidP="00AC4E00">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w:t>
      </w:r>
      <w:r w:rsidR="00234916" w:rsidRPr="000508B6">
        <w:rPr>
          <w:rFonts w:ascii="Times New Roman" w:hAnsi="Times New Roman" w:cs="Times New Roman"/>
          <w:b/>
          <w:lang w:val="ro-MD"/>
        </w:rPr>
        <w:t>ecțiunea</w:t>
      </w:r>
      <w:r w:rsidRPr="000508B6">
        <w:rPr>
          <w:rFonts w:ascii="Times New Roman" w:hAnsi="Times New Roman" w:cs="Times New Roman"/>
          <w:b/>
          <w:lang w:val="ro-MD"/>
        </w:rPr>
        <w:t xml:space="preserve"> a 2-a </w:t>
      </w:r>
    </w:p>
    <w:p w14:paraId="252FDBED" w14:textId="77777777" w:rsidR="00AC4E00" w:rsidRPr="000508B6" w:rsidRDefault="00AC4E00" w:rsidP="00AC4E00">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Cooperarea cu EIOPA, Comisia Europeană </w:t>
      </w:r>
      <w:proofErr w:type="spellStart"/>
      <w:r w:rsidRPr="000508B6">
        <w:rPr>
          <w:rFonts w:ascii="Times New Roman" w:hAnsi="Times New Roman" w:cs="Times New Roman"/>
          <w:b/>
          <w:lang w:val="ro-MD"/>
        </w:rPr>
        <w:t>şi</w:t>
      </w:r>
      <w:proofErr w:type="spellEnd"/>
      <w:r w:rsidRPr="000508B6">
        <w:rPr>
          <w:rFonts w:ascii="Times New Roman" w:hAnsi="Times New Roman" w:cs="Times New Roman"/>
          <w:b/>
          <w:lang w:val="ro-MD"/>
        </w:rPr>
        <w:t xml:space="preserve"> alte </w:t>
      </w:r>
      <w:proofErr w:type="spellStart"/>
      <w:r w:rsidRPr="000508B6">
        <w:rPr>
          <w:rFonts w:ascii="Times New Roman" w:hAnsi="Times New Roman" w:cs="Times New Roman"/>
          <w:b/>
          <w:lang w:val="ro-MD"/>
        </w:rPr>
        <w:t>autorităţi</w:t>
      </w:r>
      <w:proofErr w:type="spellEnd"/>
    </w:p>
    <w:p w14:paraId="3814C6E0" w14:textId="77777777" w:rsidR="00AC4E00" w:rsidRPr="000508B6" w:rsidRDefault="00AC4E00" w:rsidP="00AC4E00">
      <w:pPr>
        <w:spacing w:after="0" w:line="240" w:lineRule="auto"/>
        <w:ind w:firstLine="426"/>
        <w:jc w:val="both"/>
        <w:rPr>
          <w:rFonts w:ascii="Times New Roman" w:hAnsi="Times New Roman" w:cs="Times New Roman"/>
          <w:b/>
          <w:lang w:val="ro-MD"/>
        </w:rPr>
      </w:pPr>
    </w:p>
    <w:p w14:paraId="101E468F" w14:textId="03E2ABE2"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5C44D9" w:rsidRPr="000508B6">
        <w:rPr>
          <w:rFonts w:ascii="Times New Roman" w:hAnsi="Times New Roman" w:cs="Times New Roman"/>
          <w:b/>
          <w:lang w:val="ro-MD"/>
        </w:rPr>
        <w:t>18</w:t>
      </w:r>
      <w:r w:rsidR="00B44224" w:rsidRPr="000508B6">
        <w:rPr>
          <w:rFonts w:ascii="Times New Roman" w:hAnsi="Times New Roman" w:cs="Times New Roman"/>
          <w:b/>
          <w:lang w:val="ro-MD"/>
        </w:rPr>
        <w:t>5</w:t>
      </w:r>
      <w:r w:rsidRPr="000508B6">
        <w:rPr>
          <w:rFonts w:ascii="Times New Roman" w:hAnsi="Times New Roman" w:cs="Times New Roman"/>
          <w:b/>
          <w:lang w:val="ro-MD"/>
        </w:rPr>
        <w:t xml:space="preserve">. </w:t>
      </w:r>
      <w:r w:rsidRPr="000508B6">
        <w:rPr>
          <w:rFonts w:ascii="Times New Roman" w:hAnsi="Times New Roman" w:cs="Times New Roman"/>
          <w:lang w:val="ro-MD"/>
        </w:rPr>
        <w:t xml:space="preserve">Prevederi generale </w:t>
      </w:r>
    </w:p>
    <w:p w14:paraId="7485A4DA" w14:textId="20F8795C" w:rsidR="00AC4E00" w:rsidRPr="000508B6" w:rsidRDefault="00AC4E00" w:rsidP="00775374">
      <w:pPr>
        <w:pStyle w:val="Listparagraf"/>
        <w:numPr>
          <w:ilvl w:val="1"/>
          <w:numId w:val="53"/>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vederea facilitării supravegherii </w:t>
      </w:r>
      <w:proofErr w:type="spellStart"/>
      <w:r w:rsidRPr="000508B6">
        <w:rPr>
          <w:rFonts w:ascii="Times New Roman" w:hAnsi="Times New Roman" w:cs="Times New Roman"/>
          <w:lang w:val="ro-MD"/>
        </w:rPr>
        <w:t>activităţilor</w:t>
      </w:r>
      <w:proofErr w:type="spellEnd"/>
      <w:r w:rsidRPr="000508B6">
        <w:rPr>
          <w:rFonts w:ascii="Times New Roman" w:hAnsi="Times New Roman" w:cs="Times New Roman"/>
          <w:lang w:val="ro-MD"/>
        </w:rPr>
        <w:t xml:space="preserv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reasigurare, Banca Națională a Moldovei informează Comisia Europeană cu privire la </w:t>
      </w:r>
      <w:proofErr w:type="spellStart"/>
      <w:r w:rsidRPr="000508B6">
        <w:rPr>
          <w:rFonts w:ascii="Times New Roman" w:hAnsi="Times New Roman" w:cs="Times New Roman"/>
          <w:lang w:val="ro-MD"/>
        </w:rPr>
        <w:t>dificultăţi</w:t>
      </w:r>
      <w:r w:rsidR="000D506B" w:rsidRPr="000508B6">
        <w:rPr>
          <w:rFonts w:ascii="Times New Roman" w:hAnsi="Times New Roman" w:cs="Times New Roman"/>
          <w:lang w:val="ro-MD"/>
        </w:rPr>
        <w:t>le</w:t>
      </w:r>
      <w:proofErr w:type="spellEnd"/>
      <w:r w:rsidRPr="000508B6">
        <w:rPr>
          <w:rFonts w:ascii="Times New Roman" w:hAnsi="Times New Roman" w:cs="Times New Roman"/>
          <w:lang w:val="ro-MD"/>
        </w:rPr>
        <w:t xml:space="preserve"> majore de aplicare a </w:t>
      </w:r>
      <w:proofErr w:type="spellStart"/>
      <w:r w:rsidRPr="000508B6">
        <w:rPr>
          <w:rFonts w:ascii="Times New Roman" w:hAnsi="Times New Roman" w:cs="Times New Roman"/>
          <w:lang w:val="ro-MD"/>
        </w:rPr>
        <w:t>legislaţiei</w:t>
      </w:r>
      <w:proofErr w:type="spellEnd"/>
      <w:r w:rsidRPr="000508B6">
        <w:rPr>
          <w:rFonts w:ascii="Times New Roman" w:hAnsi="Times New Roman" w:cs="Times New Roman"/>
          <w:lang w:val="ro-MD"/>
        </w:rPr>
        <w:t xml:space="preserve"> europene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colaborează cu aceasta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w:t>
      </w:r>
      <w:r w:rsidR="00E835D9" w:rsidRPr="000508B6">
        <w:rPr>
          <w:rFonts w:ascii="Times New Roman" w:hAnsi="Times New Roman" w:cs="Times New Roman"/>
          <w:lang w:val="ro-MD"/>
        </w:rPr>
        <w:t xml:space="preserve">ceilalți </w:t>
      </w:r>
      <w:r w:rsidRPr="000508B6">
        <w:rPr>
          <w:rFonts w:ascii="Times New Roman" w:hAnsi="Times New Roman" w:cs="Times New Roman"/>
          <w:lang w:val="ro-MD"/>
        </w:rPr>
        <w:t xml:space="preserve">supraveghetori, </w:t>
      </w:r>
      <w:r w:rsidR="004348E4" w:rsidRPr="000508B6">
        <w:rPr>
          <w:rFonts w:ascii="Times New Roman" w:hAnsi="Times New Roman" w:cs="Times New Roman"/>
          <w:lang w:val="ro-MD"/>
        </w:rPr>
        <w:t xml:space="preserve">în vederea analizării dificultăților respective, </w:t>
      </w:r>
      <w:r w:rsidR="00617BD6" w:rsidRPr="000508B6">
        <w:rPr>
          <w:rFonts w:ascii="Times New Roman" w:hAnsi="Times New Roman" w:cs="Times New Roman"/>
          <w:lang w:val="ro-MD"/>
        </w:rPr>
        <w:t xml:space="preserve">în scopul identificării </w:t>
      </w:r>
      <w:proofErr w:type="spellStart"/>
      <w:r w:rsidRPr="000508B6">
        <w:rPr>
          <w:rFonts w:ascii="Times New Roman" w:hAnsi="Times New Roman" w:cs="Times New Roman"/>
          <w:lang w:val="ro-MD"/>
        </w:rPr>
        <w:t>soluţii</w:t>
      </w:r>
      <w:r w:rsidR="00617BD6" w:rsidRPr="000508B6">
        <w:rPr>
          <w:rFonts w:ascii="Times New Roman" w:hAnsi="Times New Roman" w:cs="Times New Roman"/>
          <w:lang w:val="ro-MD"/>
        </w:rPr>
        <w:t>lor</w:t>
      </w:r>
      <w:proofErr w:type="spellEnd"/>
      <w:r w:rsidRPr="000508B6">
        <w:rPr>
          <w:rFonts w:ascii="Times New Roman" w:hAnsi="Times New Roman" w:cs="Times New Roman"/>
          <w:lang w:val="ro-MD"/>
        </w:rPr>
        <w:t xml:space="preserve"> adecvate </w:t>
      </w:r>
      <w:r w:rsidR="00617BD6" w:rsidRPr="000508B6">
        <w:rPr>
          <w:rFonts w:ascii="Times New Roman" w:hAnsi="Times New Roman" w:cs="Times New Roman"/>
          <w:lang w:val="ro-MD"/>
        </w:rPr>
        <w:t>în acest sens</w:t>
      </w:r>
      <w:r w:rsidRPr="000508B6">
        <w:rPr>
          <w:rFonts w:ascii="Times New Roman" w:hAnsi="Times New Roman" w:cs="Times New Roman"/>
          <w:lang w:val="ro-MD"/>
        </w:rPr>
        <w:t xml:space="preserve">. </w:t>
      </w:r>
    </w:p>
    <w:p w14:paraId="46123548" w14:textId="21219908" w:rsidR="00AC4E00" w:rsidRPr="000508B6" w:rsidRDefault="00AC4E00" w:rsidP="00775374">
      <w:pPr>
        <w:pStyle w:val="Listparagraf"/>
        <w:numPr>
          <w:ilvl w:val="1"/>
          <w:numId w:val="53"/>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Banca Națională a Moldovei informează </w:t>
      </w:r>
      <w:r w:rsidR="00E835D9" w:rsidRPr="000508B6">
        <w:rPr>
          <w:rFonts w:ascii="Times New Roman" w:hAnsi="Times New Roman" w:cs="Times New Roman"/>
          <w:lang w:val="ro-MD"/>
        </w:rPr>
        <w:t xml:space="preserve">ceilalți </w:t>
      </w:r>
      <w:r w:rsidRPr="000508B6">
        <w:rPr>
          <w:rFonts w:ascii="Times New Roman" w:hAnsi="Times New Roman" w:cs="Times New Roman"/>
          <w:lang w:val="ro-MD"/>
        </w:rPr>
        <w:t xml:space="preserve">supraveghetori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Comisia Europeană cu privire la: </w:t>
      </w:r>
    </w:p>
    <w:p w14:paraId="4392EF30" w14:textId="1786957D" w:rsidR="00AC4E00" w:rsidRPr="000508B6" w:rsidRDefault="00AC4E00" w:rsidP="00775374">
      <w:pPr>
        <w:pStyle w:val="Listparagraf"/>
        <w:numPr>
          <w:ilvl w:val="2"/>
          <w:numId w:val="60"/>
        </w:numPr>
        <w:tabs>
          <w:tab w:val="left" w:pos="567"/>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autorităţile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entităţile</w:t>
      </w:r>
      <w:proofErr w:type="spellEnd"/>
      <w:r w:rsidRPr="000508B6">
        <w:rPr>
          <w:rFonts w:ascii="Times New Roman" w:hAnsi="Times New Roman" w:cs="Times New Roman"/>
          <w:lang w:val="ro-MD"/>
        </w:rPr>
        <w:t xml:space="preserve"> abilitate să emită documente pentru confirmarea cerințelor art. </w:t>
      </w:r>
      <w:r w:rsidR="00E51388" w:rsidRPr="000508B6">
        <w:rPr>
          <w:rFonts w:ascii="Times New Roman" w:hAnsi="Times New Roman" w:cs="Times New Roman"/>
          <w:lang w:val="ro-MD"/>
        </w:rPr>
        <w:t>20</w:t>
      </w:r>
      <w:r w:rsidRPr="000508B6">
        <w:rPr>
          <w:rFonts w:ascii="Times New Roman" w:hAnsi="Times New Roman" w:cs="Times New Roman"/>
          <w:lang w:val="ro-MD"/>
        </w:rPr>
        <w:t xml:space="preserve">; </w:t>
      </w:r>
    </w:p>
    <w:p w14:paraId="76EECAB8" w14:textId="525F2178" w:rsidR="00AC4E00" w:rsidRPr="000508B6" w:rsidRDefault="00AC4E00" w:rsidP="00775374">
      <w:pPr>
        <w:pStyle w:val="Listparagraf"/>
        <w:numPr>
          <w:ilvl w:val="2"/>
          <w:numId w:val="60"/>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faptul că este singura autoritate care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documentele prevăzute la art. </w:t>
      </w:r>
      <w:r w:rsidR="00E51388" w:rsidRPr="000508B6">
        <w:rPr>
          <w:rFonts w:ascii="Times New Roman" w:hAnsi="Times New Roman" w:cs="Times New Roman"/>
          <w:lang w:val="ro-MD"/>
        </w:rPr>
        <w:t xml:space="preserve">20 </w:t>
      </w:r>
      <w:r w:rsidR="00586B31" w:rsidRPr="000508B6">
        <w:rPr>
          <w:rFonts w:ascii="Times New Roman" w:hAnsi="Times New Roman" w:cs="Times New Roman"/>
          <w:lang w:val="ro-MD"/>
        </w:rPr>
        <w:t>alin. (</w:t>
      </w:r>
      <w:r w:rsidR="009E6BA3" w:rsidRPr="000508B6">
        <w:rPr>
          <w:rFonts w:ascii="Times New Roman" w:hAnsi="Times New Roman" w:cs="Times New Roman"/>
          <w:lang w:val="ro-MD"/>
        </w:rPr>
        <w:t>10</w:t>
      </w:r>
      <w:r w:rsidR="00586B31" w:rsidRPr="000508B6">
        <w:rPr>
          <w:rFonts w:ascii="Times New Roman" w:hAnsi="Times New Roman" w:cs="Times New Roman"/>
          <w:lang w:val="ro-MD"/>
        </w:rPr>
        <w:t>)</w:t>
      </w:r>
      <w:r w:rsidR="009E6BA3" w:rsidRPr="000508B6">
        <w:rPr>
          <w:rFonts w:ascii="Times New Roman" w:hAnsi="Times New Roman" w:cs="Times New Roman"/>
          <w:lang w:val="ro-MD"/>
        </w:rPr>
        <w:t xml:space="preserve"> și (11)</w:t>
      </w:r>
      <w:r w:rsidR="00CA5E73" w:rsidRPr="000508B6">
        <w:rPr>
          <w:rFonts w:ascii="Times New Roman" w:hAnsi="Times New Roman" w:cs="Times New Roman"/>
          <w:lang w:val="ro-MD"/>
        </w:rPr>
        <w:t>,</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ataşate</w:t>
      </w:r>
      <w:proofErr w:type="spellEnd"/>
      <w:r w:rsidRPr="000508B6">
        <w:rPr>
          <w:rFonts w:ascii="Times New Roman" w:hAnsi="Times New Roman" w:cs="Times New Roman"/>
          <w:lang w:val="ro-MD"/>
        </w:rPr>
        <w:t xml:space="preserve"> unei cereri de licențiere sau de aprobare.</w:t>
      </w:r>
      <w:r w:rsidRPr="000508B6">
        <w:rPr>
          <w:rFonts w:ascii="Times New Roman" w:hAnsi="Times New Roman" w:cs="Times New Roman"/>
          <w:i/>
          <w:lang w:val="ro-MD"/>
        </w:rPr>
        <w:t xml:space="preserve"> </w:t>
      </w:r>
    </w:p>
    <w:p w14:paraId="41E3DD38" w14:textId="5D5B6D8D" w:rsidR="00AC4E00" w:rsidRPr="000508B6" w:rsidRDefault="00AC4E00" w:rsidP="00775374">
      <w:pPr>
        <w:pStyle w:val="Listparagraf"/>
        <w:numPr>
          <w:ilvl w:val="1"/>
          <w:numId w:val="53"/>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Banca Națională a Moldovei informează Comisia Europeană, EIOPA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supraveghetorii din statele membre cu privire la: </w:t>
      </w:r>
    </w:p>
    <w:p w14:paraId="5DAA883B" w14:textId="125E2295" w:rsidR="00AC4E00" w:rsidRPr="000508B6" w:rsidRDefault="00AC4E00" w:rsidP="00775374">
      <w:pPr>
        <w:pStyle w:val="Listparagraf"/>
        <w:numPr>
          <w:ilvl w:val="2"/>
          <w:numId w:val="61"/>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licențele acordate filialelor directe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indirecte </w:t>
      </w:r>
      <w:proofErr w:type="spellStart"/>
      <w:r w:rsidRPr="000508B6">
        <w:rPr>
          <w:rFonts w:ascii="Times New Roman" w:hAnsi="Times New Roman" w:cs="Times New Roman"/>
          <w:lang w:val="ro-MD"/>
        </w:rPr>
        <w:t>aparţinând</w:t>
      </w:r>
      <w:proofErr w:type="spellEnd"/>
      <w:r w:rsidRPr="000508B6">
        <w:rPr>
          <w:rFonts w:ascii="Times New Roman" w:hAnsi="Times New Roman" w:cs="Times New Roman"/>
          <w:lang w:val="ro-MD"/>
        </w:rPr>
        <w:t xml:space="preserve"> </w:t>
      </w:r>
      <w:r w:rsidR="000D506B" w:rsidRPr="000508B6">
        <w:rPr>
          <w:rFonts w:ascii="Times New Roman" w:hAnsi="Times New Roman" w:cs="Times New Roman"/>
          <w:lang w:val="ro-MD"/>
        </w:rPr>
        <w:t xml:space="preserve">asigurătorului sau </w:t>
      </w:r>
      <w:proofErr w:type="spellStart"/>
      <w:r w:rsidR="000D506B"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din state</w:t>
      </w:r>
      <w:r w:rsidR="000D506B" w:rsidRPr="000508B6">
        <w:rPr>
          <w:rFonts w:ascii="Times New Roman" w:hAnsi="Times New Roman" w:cs="Times New Roman"/>
          <w:lang w:val="ro-MD"/>
        </w:rPr>
        <w:t>le</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terţe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structura grupului din care fac</w:t>
      </w:r>
      <w:r w:rsidR="00220648" w:rsidRPr="000508B6">
        <w:rPr>
          <w:rFonts w:ascii="Times New Roman" w:hAnsi="Times New Roman" w:cs="Times New Roman"/>
          <w:lang w:val="ro-MD"/>
        </w:rPr>
        <w:t>e</w:t>
      </w:r>
      <w:r w:rsidRPr="000508B6">
        <w:rPr>
          <w:rFonts w:ascii="Times New Roman" w:hAnsi="Times New Roman" w:cs="Times New Roman"/>
          <w:lang w:val="ro-MD"/>
        </w:rPr>
        <w:t xml:space="preserve"> parte;</w:t>
      </w:r>
    </w:p>
    <w:p w14:paraId="723925EF" w14:textId="74267AC0" w:rsidR="00AC4E00" w:rsidRPr="000508B6" w:rsidRDefault="00AC4E00" w:rsidP="00775374">
      <w:pPr>
        <w:pStyle w:val="Listparagraf"/>
        <w:numPr>
          <w:ilvl w:val="2"/>
          <w:numId w:val="61"/>
        </w:numPr>
        <w:tabs>
          <w:tab w:val="left" w:pos="567"/>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achiziţiile</w:t>
      </w:r>
      <w:proofErr w:type="spellEnd"/>
      <w:r w:rsidRPr="000508B6">
        <w:rPr>
          <w:rFonts w:ascii="Times New Roman" w:hAnsi="Times New Roman" w:cs="Times New Roman"/>
          <w:lang w:val="ro-MD"/>
        </w:rPr>
        <w:t xml:space="preserve"> </w:t>
      </w:r>
      <w:r w:rsidR="004125E8" w:rsidRPr="000508B6">
        <w:rPr>
          <w:rFonts w:ascii="Times New Roman" w:hAnsi="Times New Roman" w:cs="Times New Roman"/>
          <w:lang w:val="ro-MD"/>
        </w:rPr>
        <w:t>asigurător</w:t>
      </w:r>
      <w:r w:rsidR="000D506B" w:rsidRPr="000508B6">
        <w:rPr>
          <w:rFonts w:ascii="Times New Roman" w:hAnsi="Times New Roman" w:cs="Times New Roman"/>
          <w:lang w:val="ro-MD"/>
        </w:rPr>
        <w:t>ilor</w:t>
      </w:r>
      <w:r w:rsidR="004125E8" w:rsidRPr="000508B6">
        <w:rPr>
          <w:rFonts w:ascii="Times New Roman" w:hAnsi="Times New Roman" w:cs="Times New Roman"/>
          <w:lang w:val="ro-MD"/>
        </w:rPr>
        <w:t xml:space="preserve"> sau </w:t>
      </w:r>
      <w:proofErr w:type="spellStart"/>
      <w:r w:rsidR="004125E8" w:rsidRPr="000508B6">
        <w:rPr>
          <w:rFonts w:ascii="Times New Roman" w:hAnsi="Times New Roman" w:cs="Times New Roman"/>
          <w:lang w:val="ro-MD"/>
        </w:rPr>
        <w:t>reasigurător</w:t>
      </w:r>
      <w:r w:rsidR="000D506B" w:rsidRPr="000508B6">
        <w:rPr>
          <w:rFonts w:ascii="Times New Roman" w:hAnsi="Times New Roman" w:cs="Times New Roman"/>
          <w:lang w:val="ro-MD"/>
        </w:rPr>
        <w:t>ilor</w:t>
      </w:r>
      <w:proofErr w:type="spellEnd"/>
      <w:r w:rsidRPr="000508B6">
        <w:rPr>
          <w:rFonts w:ascii="Times New Roman" w:hAnsi="Times New Roman" w:cs="Times New Roman"/>
          <w:lang w:val="ro-MD"/>
        </w:rPr>
        <w:t xml:space="preserve"> din statele </w:t>
      </w:r>
      <w:proofErr w:type="spellStart"/>
      <w:r w:rsidRPr="000508B6">
        <w:rPr>
          <w:rFonts w:ascii="Times New Roman" w:hAnsi="Times New Roman" w:cs="Times New Roman"/>
          <w:lang w:val="ro-MD"/>
        </w:rPr>
        <w:t>terţe</w:t>
      </w:r>
      <w:proofErr w:type="spellEnd"/>
      <w:r w:rsidRPr="000508B6">
        <w:rPr>
          <w:rFonts w:ascii="Times New Roman" w:hAnsi="Times New Roman" w:cs="Times New Roman"/>
          <w:lang w:val="ro-MD"/>
        </w:rPr>
        <w:t xml:space="preserve">, prin care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din Republica Moldova devine filială a </w:t>
      </w:r>
      <w:r w:rsidR="000D506B" w:rsidRPr="000508B6">
        <w:rPr>
          <w:rFonts w:ascii="Times New Roman" w:hAnsi="Times New Roman" w:cs="Times New Roman"/>
          <w:lang w:val="ro-MD"/>
        </w:rPr>
        <w:t>primilor</w:t>
      </w:r>
      <w:r w:rsidRPr="000508B6">
        <w:rPr>
          <w:rFonts w:ascii="Times New Roman" w:hAnsi="Times New Roman" w:cs="Times New Roman"/>
          <w:lang w:val="ro-MD"/>
        </w:rPr>
        <w:t xml:space="preserve">. </w:t>
      </w:r>
    </w:p>
    <w:p w14:paraId="15712E40" w14:textId="34A5F2AC" w:rsidR="00AC4E00" w:rsidRPr="000508B6" w:rsidRDefault="00AC4E00" w:rsidP="00775374">
      <w:pPr>
        <w:pStyle w:val="Listparagraf"/>
        <w:numPr>
          <w:ilvl w:val="1"/>
          <w:numId w:val="53"/>
        </w:numPr>
        <w:tabs>
          <w:tab w:val="left" w:pos="567"/>
          <w:tab w:val="left" w:pos="709"/>
          <w:tab w:val="left" w:pos="851"/>
        </w:tabs>
        <w:spacing w:after="0" w:line="240" w:lineRule="auto"/>
        <w:ind w:left="0" w:firstLine="426"/>
        <w:jc w:val="both"/>
        <w:rPr>
          <w:rFonts w:ascii="Times New Roman" w:hAnsi="Times New Roman" w:cs="Times New Roman"/>
          <w:color w:val="FF0000"/>
          <w:lang w:val="ro-MD"/>
        </w:rPr>
      </w:pPr>
      <w:r w:rsidRPr="000508B6">
        <w:rPr>
          <w:rFonts w:ascii="Times New Roman" w:hAnsi="Times New Roman" w:cs="Times New Roman"/>
          <w:lang w:val="ro-MD"/>
        </w:rPr>
        <w:t xml:space="preserve">Banca Națională a Moldovei informează Comisia Europeană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EIOPA despre </w:t>
      </w:r>
      <w:proofErr w:type="spellStart"/>
      <w:r w:rsidRPr="000508B6">
        <w:rPr>
          <w:rFonts w:ascii="Times New Roman" w:hAnsi="Times New Roman" w:cs="Times New Roman"/>
          <w:lang w:val="ro-MD"/>
        </w:rPr>
        <w:t>dificultăţile</w:t>
      </w:r>
      <w:proofErr w:type="spellEnd"/>
      <w:r w:rsidRPr="000508B6">
        <w:rPr>
          <w:rFonts w:ascii="Times New Roman" w:hAnsi="Times New Roman" w:cs="Times New Roman"/>
          <w:lang w:val="ro-MD"/>
        </w:rPr>
        <w:t xml:space="preserve"> pe care le întâmpină </w:t>
      </w:r>
      <w:r w:rsidR="000D506B" w:rsidRPr="000508B6">
        <w:rPr>
          <w:rFonts w:ascii="Times New Roman" w:hAnsi="Times New Roman" w:cs="Times New Roman"/>
          <w:lang w:val="ro-MD"/>
        </w:rPr>
        <w:t xml:space="preserve">asigurătorii sau </w:t>
      </w:r>
      <w:proofErr w:type="spellStart"/>
      <w:r w:rsidR="000D506B" w:rsidRPr="000508B6">
        <w:rPr>
          <w:rFonts w:ascii="Times New Roman" w:hAnsi="Times New Roman" w:cs="Times New Roman"/>
          <w:lang w:val="ro-MD"/>
        </w:rPr>
        <w:t>reasigurătorii</w:t>
      </w:r>
      <w:proofErr w:type="spellEnd"/>
      <w:r w:rsidR="000D506B" w:rsidRPr="000508B6">
        <w:rPr>
          <w:rFonts w:ascii="Times New Roman" w:hAnsi="Times New Roman" w:cs="Times New Roman"/>
          <w:lang w:val="ro-MD"/>
        </w:rPr>
        <w:t xml:space="preserve"> </w:t>
      </w:r>
      <w:r w:rsidRPr="000508B6">
        <w:rPr>
          <w:rFonts w:ascii="Times New Roman" w:hAnsi="Times New Roman" w:cs="Times New Roman"/>
          <w:lang w:val="ro-MD"/>
        </w:rPr>
        <w:t xml:space="preserve">din Republica Moldova în procesul de </w:t>
      </w:r>
      <w:proofErr w:type="spellStart"/>
      <w:r w:rsidRPr="000508B6">
        <w:rPr>
          <w:rFonts w:ascii="Times New Roman" w:hAnsi="Times New Roman" w:cs="Times New Roman"/>
          <w:lang w:val="ro-MD"/>
        </w:rPr>
        <w:t>obţinere</w:t>
      </w:r>
      <w:proofErr w:type="spellEnd"/>
      <w:r w:rsidRPr="000508B6">
        <w:rPr>
          <w:rFonts w:ascii="Times New Roman" w:hAnsi="Times New Roman" w:cs="Times New Roman"/>
          <w:lang w:val="ro-MD"/>
        </w:rPr>
        <w:t xml:space="preserve"> a licenței sau de </w:t>
      </w:r>
      <w:proofErr w:type="spellStart"/>
      <w:r w:rsidRPr="000508B6">
        <w:rPr>
          <w:rFonts w:ascii="Times New Roman" w:hAnsi="Times New Roman" w:cs="Times New Roman"/>
          <w:lang w:val="ro-MD"/>
        </w:rPr>
        <w:t>desfăşurare</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pe teritoriul unui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w:t>
      </w:r>
    </w:p>
    <w:p w14:paraId="3207FA6F" w14:textId="7FC7F243" w:rsidR="00AC4E00" w:rsidRPr="000508B6" w:rsidRDefault="00AC4E00" w:rsidP="00775374">
      <w:pPr>
        <w:pStyle w:val="Listparagraf"/>
        <w:numPr>
          <w:ilvl w:val="1"/>
          <w:numId w:val="53"/>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comunică supraveghetorilor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Comisiei Europene lista </w:t>
      </w:r>
      <w:proofErr w:type="spellStart"/>
      <w:r w:rsidRPr="000508B6">
        <w:rPr>
          <w:rFonts w:ascii="Times New Roman" w:hAnsi="Times New Roman" w:cs="Times New Roman"/>
          <w:lang w:val="ro-MD"/>
        </w:rPr>
        <w:t>entităţilor</w:t>
      </w:r>
      <w:proofErr w:type="spellEnd"/>
      <w:r w:rsidRPr="000508B6">
        <w:rPr>
          <w:rFonts w:ascii="Times New Roman" w:hAnsi="Times New Roman" w:cs="Times New Roman"/>
          <w:lang w:val="ro-MD"/>
        </w:rPr>
        <w:t xml:space="preserve"> care pot primi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în conformitate cu prevederile art. </w:t>
      </w:r>
      <w:r w:rsidR="00882B0F" w:rsidRPr="000508B6">
        <w:rPr>
          <w:rFonts w:ascii="Times New Roman" w:hAnsi="Times New Roman" w:cs="Times New Roman"/>
          <w:lang w:val="ro-MD"/>
        </w:rPr>
        <w:t>187</w:t>
      </w:r>
      <w:r w:rsidR="004C7E3D" w:rsidRPr="000508B6">
        <w:rPr>
          <w:rFonts w:ascii="Times New Roman" w:hAnsi="Times New Roman" w:cs="Times New Roman"/>
          <w:lang w:val="ro-MD"/>
        </w:rPr>
        <w:t xml:space="preserve"> </w:t>
      </w:r>
      <w:r w:rsidR="00F2411F" w:rsidRPr="000508B6">
        <w:rPr>
          <w:rFonts w:ascii="Times New Roman" w:hAnsi="Times New Roman" w:cs="Times New Roman"/>
          <w:lang w:val="ro-MD"/>
        </w:rPr>
        <w:t>alin.</w:t>
      </w:r>
      <w:r w:rsidRPr="000508B6">
        <w:rPr>
          <w:rFonts w:ascii="Times New Roman" w:hAnsi="Times New Roman" w:cs="Times New Roman"/>
          <w:lang w:val="ro-MD"/>
        </w:rPr>
        <w:t xml:space="preserve"> (</w:t>
      </w:r>
      <w:r w:rsidR="006036FD" w:rsidRPr="000508B6">
        <w:rPr>
          <w:rFonts w:ascii="Times New Roman" w:hAnsi="Times New Roman" w:cs="Times New Roman"/>
          <w:lang w:val="ro-MD"/>
        </w:rPr>
        <w:t>8</w:t>
      </w:r>
      <w:r w:rsidRPr="000508B6">
        <w:rPr>
          <w:rFonts w:ascii="Times New Roman" w:hAnsi="Times New Roman" w:cs="Times New Roman"/>
          <w:lang w:val="ro-MD"/>
        </w:rPr>
        <w:t>) - (</w:t>
      </w:r>
      <w:r w:rsidR="006036FD" w:rsidRPr="000508B6">
        <w:rPr>
          <w:rFonts w:ascii="Times New Roman" w:hAnsi="Times New Roman" w:cs="Times New Roman"/>
          <w:lang w:val="ro-MD"/>
        </w:rPr>
        <w:t>10</w:t>
      </w:r>
      <w:r w:rsidRPr="000508B6">
        <w:rPr>
          <w:rFonts w:ascii="Times New Roman" w:hAnsi="Times New Roman" w:cs="Times New Roman"/>
          <w:lang w:val="ro-MD"/>
        </w:rPr>
        <w:t xml:space="preserve">), iar în cazul prevăzut la art. </w:t>
      </w:r>
      <w:r w:rsidR="00882B0F" w:rsidRPr="000508B6">
        <w:rPr>
          <w:rFonts w:ascii="Times New Roman" w:hAnsi="Times New Roman" w:cs="Times New Roman"/>
          <w:lang w:val="ro-MD"/>
        </w:rPr>
        <w:t>187</w:t>
      </w:r>
      <w:r w:rsidR="004C7E3D"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(7) lit. c),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cu privire la </w:t>
      </w:r>
      <w:proofErr w:type="spellStart"/>
      <w:r w:rsidRPr="000508B6">
        <w:rPr>
          <w:rFonts w:ascii="Times New Roman" w:hAnsi="Times New Roman" w:cs="Times New Roman"/>
          <w:lang w:val="ro-MD"/>
        </w:rPr>
        <w:t>responsabilităţile</w:t>
      </w:r>
      <w:proofErr w:type="spellEnd"/>
      <w:r w:rsidRPr="000508B6">
        <w:rPr>
          <w:rFonts w:ascii="Times New Roman" w:hAnsi="Times New Roman" w:cs="Times New Roman"/>
          <w:lang w:val="ro-MD"/>
        </w:rPr>
        <w:t xml:space="preserve"> clare ale acestora. </w:t>
      </w:r>
    </w:p>
    <w:p w14:paraId="20FE6B26" w14:textId="53A84B66" w:rsidR="00417083" w:rsidRPr="000508B6" w:rsidRDefault="00417083" w:rsidP="00775374">
      <w:pPr>
        <w:pStyle w:val="Listparagraf"/>
        <w:numPr>
          <w:ilvl w:val="1"/>
          <w:numId w:val="53"/>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Fără a aduce atingere alin.</w:t>
      </w:r>
      <w:r w:rsidR="00F978CB" w:rsidRPr="000508B6">
        <w:rPr>
          <w:rFonts w:ascii="Times New Roman" w:hAnsi="Times New Roman" w:cs="Times New Roman"/>
          <w:lang w:val="ro-MD"/>
        </w:rPr>
        <w:t xml:space="preserve"> </w:t>
      </w:r>
      <w:r w:rsidRPr="000508B6">
        <w:rPr>
          <w:rFonts w:ascii="Times New Roman" w:hAnsi="Times New Roman" w:cs="Times New Roman"/>
          <w:lang w:val="ro-MD"/>
        </w:rPr>
        <w:t>(5), art. 186 alin. (4), art. 187 alin. (1)-(11) și art.</w:t>
      </w:r>
      <w:r w:rsidR="00F978CB" w:rsidRPr="000508B6">
        <w:rPr>
          <w:rFonts w:ascii="Times New Roman" w:hAnsi="Times New Roman" w:cs="Times New Roman"/>
          <w:lang w:val="ro-MD"/>
        </w:rPr>
        <w:t xml:space="preserve"> </w:t>
      </w:r>
      <w:r w:rsidRPr="000508B6">
        <w:rPr>
          <w:rFonts w:ascii="Times New Roman" w:hAnsi="Times New Roman" w:cs="Times New Roman"/>
          <w:lang w:val="ro-MD"/>
        </w:rPr>
        <w:t xml:space="preserve">196, </w:t>
      </w:r>
      <w:r w:rsidR="00AC4E00" w:rsidRPr="000508B6">
        <w:rPr>
          <w:rFonts w:ascii="Times New Roman" w:hAnsi="Times New Roman" w:cs="Times New Roman"/>
          <w:lang w:val="ro-MD"/>
        </w:rPr>
        <w:t xml:space="preserve">Banca Națională a Moldovei poate transmite </w:t>
      </w:r>
      <w:proofErr w:type="spellStart"/>
      <w:r w:rsidR="00AC4E00" w:rsidRPr="000508B6">
        <w:rPr>
          <w:rFonts w:ascii="Times New Roman" w:hAnsi="Times New Roman" w:cs="Times New Roman"/>
          <w:lang w:val="ro-MD"/>
        </w:rPr>
        <w:t>informaţii</w:t>
      </w:r>
      <w:proofErr w:type="spellEnd"/>
      <w:r w:rsidR="00AC4E00" w:rsidRPr="000508B6">
        <w:rPr>
          <w:rFonts w:ascii="Times New Roman" w:hAnsi="Times New Roman" w:cs="Times New Roman"/>
          <w:lang w:val="ro-MD"/>
        </w:rPr>
        <w:t xml:space="preserve">, inclusiv în </w:t>
      </w:r>
      <w:proofErr w:type="spellStart"/>
      <w:r w:rsidR="00AC4E00" w:rsidRPr="000508B6">
        <w:rPr>
          <w:rFonts w:ascii="Times New Roman" w:hAnsi="Times New Roman" w:cs="Times New Roman"/>
          <w:lang w:val="ro-MD"/>
        </w:rPr>
        <w:t>situaţii</w:t>
      </w:r>
      <w:proofErr w:type="spellEnd"/>
      <w:r w:rsidR="00AC4E00" w:rsidRPr="000508B6">
        <w:rPr>
          <w:rFonts w:ascii="Times New Roman" w:hAnsi="Times New Roman" w:cs="Times New Roman"/>
          <w:lang w:val="ro-MD"/>
        </w:rPr>
        <w:t xml:space="preserve"> de </w:t>
      </w:r>
      <w:proofErr w:type="spellStart"/>
      <w:r w:rsidR="00AC4E00" w:rsidRPr="000508B6">
        <w:rPr>
          <w:rFonts w:ascii="Times New Roman" w:hAnsi="Times New Roman" w:cs="Times New Roman"/>
          <w:lang w:val="ro-MD"/>
        </w:rPr>
        <w:t>urgenţă</w:t>
      </w:r>
      <w:proofErr w:type="spellEnd"/>
      <w:r w:rsidR="00AC4E00" w:rsidRPr="000508B6">
        <w:rPr>
          <w:rFonts w:ascii="Times New Roman" w:hAnsi="Times New Roman" w:cs="Times New Roman"/>
          <w:lang w:val="ro-MD"/>
        </w:rPr>
        <w:t>,</w:t>
      </w:r>
      <w:r w:rsidRPr="000508B6">
        <w:rPr>
          <w:rFonts w:ascii="Times New Roman" w:hAnsi="Times New Roman" w:cs="Times New Roman"/>
          <w:lang w:val="ro-MD"/>
        </w:rPr>
        <w:t xml:space="preserve"> următoarelor organisme și autorități, dacă informațiile respective sunt destinate să contribuie la îndeplinirea </w:t>
      </w:r>
      <w:r w:rsidR="00A04AFC" w:rsidRPr="000508B6">
        <w:rPr>
          <w:rFonts w:ascii="Times New Roman" w:hAnsi="Times New Roman" w:cs="Times New Roman"/>
          <w:lang w:val="ro-MD"/>
        </w:rPr>
        <w:t>atribuțiilor</w:t>
      </w:r>
      <w:r w:rsidRPr="000508B6">
        <w:rPr>
          <w:rFonts w:ascii="Times New Roman" w:hAnsi="Times New Roman" w:cs="Times New Roman"/>
          <w:lang w:val="ro-MD"/>
        </w:rPr>
        <w:t xml:space="preserve"> care îi revin:</w:t>
      </w:r>
    </w:p>
    <w:p w14:paraId="545377A4" w14:textId="59BDA707" w:rsidR="005469E0" w:rsidRPr="000508B6" w:rsidRDefault="004348E4" w:rsidP="00F978CB">
      <w:pPr>
        <w:pStyle w:val="Listparagraf"/>
        <w:numPr>
          <w:ilvl w:val="2"/>
          <w:numId w:val="460"/>
        </w:numPr>
        <w:tabs>
          <w:tab w:val="left" w:pos="567"/>
          <w:tab w:val="left" w:pos="709"/>
          <w:tab w:val="left" w:pos="851"/>
        </w:tabs>
        <w:spacing w:after="0" w:line="240" w:lineRule="auto"/>
        <w:ind w:left="0" w:firstLine="540"/>
        <w:jc w:val="both"/>
        <w:rPr>
          <w:rFonts w:ascii="Times New Roman" w:hAnsi="Times New Roman" w:cs="Times New Roman"/>
          <w:lang w:val="ro-MD"/>
        </w:rPr>
      </w:pPr>
      <w:r w:rsidRPr="000508B6">
        <w:rPr>
          <w:rFonts w:ascii="Times New Roman" w:hAnsi="Times New Roman" w:cs="Times New Roman"/>
          <w:lang w:val="ro-MD"/>
        </w:rPr>
        <w:t>băncilor centrale</w:t>
      </w:r>
      <w:r w:rsidR="00AC4E00" w:rsidRPr="000508B6">
        <w:rPr>
          <w:rFonts w:ascii="Times New Roman" w:hAnsi="Times New Roman" w:cs="Times New Roman"/>
          <w:lang w:val="ro-MD"/>
        </w:rPr>
        <w:t xml:space="preserve"> din cadrul Sistemului european al băncilor centrale, </w:t>
      </w:r>
      <w:r w:rsidR="00DC41AC" w:rsidRPr="000508B6">
        <w:rPr>
          <w:rFonts w:ascii="Times New Roman" w:hAnsi="Times New Roman" w:cs="Times New Roman"/>
          <w:lang w:val="ro-MD"/>
        </w:rPr>
        <w:t xml:space="preserve">inclusiv </w:t>
      </w:r>
      <w:r w:rsidR="00F2411F" w:rsidRPr="000508B6">
        <w:rPr>
          <w:rFonts w:ascii="Times New Roman" w:hAnsi="Times New Roman" w:cs="Times New Roman"/>
          <w:lang w:val="ro-MD"/>
        </w:rPr>
        <w:t>Băncii Centrale Europene</w:t>
      </w:r>
      <w:r w:rsidR="00EA6226" w:rsidRPr="000508B6">
        <w:rPr>
          <w:rFonts w:ascii="Times New Roman" w:hAnsi="Times New Roman" w:cs="Times New Roman"/>
          <w:lang w:val="ro-MD"/>
        </w:rPr>
        <w:t xml:space="preserve">, </w:t>
      </w:r>
      <w:proofErr w:type="spellStart"/>
      <w:r w:rsidR="00D678B4" w:rsidRPr="000508B6">
        <w:rPr>
          <w:rFonts w:ascii="Times New Roman" w:hAnsi="Times New Roman" w:cs="Times New Roman"/>
          <w:lang w:val="ro-MD"/>
        </w:rPr>
        <w:t>şi</w:t>
      </w:r>
      <w:proofErr w:type="spellEnd"/>
      <w:r w:rsidR="00D678B4" w:rsidRPr="000508B6">
        <w:rPr>
          <w:rFonts w:ascii="Times New Roman" w:hAnsi="Times New Roman" w:cs="Times New Roman"/>
          <w:lang w:val="ro-MD"/>
        </w:rPr>
        <w:t xml:space="preserve"> altor organisme cu </w:t>
      </w:r>
      <w:proofErr w:type="spellStart"/>
      <w:r w:rsidR="00D678B4" w:rsidRPr="000508B6">
        <w:rPr>
          <w:rFonts w:ascii="Times New Roman" w:hAnsi="Times New Roman" w:cs="Times New Roman"/>
          <w:lang w:val="ro-MD"/>
        </w:rPr>
        <w:t>funcţii</w:t>
      </w:r>
      <w:proofErr w:type="spellEnd"/>
      <w:r w:rsidR="00D678B4" w:rsidRPr="000508B6">
        <w:rPr>
          <w:rFonts w:ascii="Times New Roman" w:hAnsi="Times New Roman" w:cs="Times New Roman"/>
          <w:lang w:val="ro-MD"/>
        </w:rPr>
        <w:t xml:space="preserve"> similare abilitate în calitate de autorități monetare, </w:t>
      </w:r>
      <w:r w:rsidR="0063094A" w:rsidRPr="000508B6">
        <w:rPr>
          <w:rFonts w:ascii="Times New Roman" w:hAnsi="Times New Roman" w:cs="Times New Roman"/>
          <w:lang w:val="ro-MD"/>
        </w:rPr>
        <w:t xml:space="preserve">atunci </w:t>
      </w:r>
      <w:r w:rsidR="00F978CB" w:rsidRPr="000508B6">
        <w:rPr>
          <w:rFonts w:ascii="Times New Roman" w:hAnsi="Times New Roman" w:cs="Times New Roman"/>
          <w:lang w:val="ro-MD"/>
        </w:rPr>
        <w:t>când</w:t>
      </w:r>
      <w:r w:rsidR="0063094A" w:rsidRPr="000508B6">
        <w:rPr>
          <w:rFonts w:ascii="Times New Roman" w:hAnsi="Times New Roman" w:cs="Times New Roman"/>
          <w:lang w:val="ro-MD"/>
        </w:rPr>
        <w:t xml:space="preserve"> aceste </w:t>
      </w:r>
      <w:r w:rsidR="00EA6226" w:rsidRPr="000508B6">
        <w:rPr>
          <w:rFonts w:ascii="Times New Roman" w:hAnsi="Times New Roman" w:cs="Times New Roman"/>
          <w:lang w:val="ro-MD"/>
        </w:rPr>
        <w:t xml:space="preserve">informații sunt relevante pentru îndeplinirea </w:t>
      </w:r>
      <w:r w:rsidR="0063094A" w:rsidRPr="000508B6">
        <w:rPr>
          <w:rFonts w:ascii="Times New Roman" w:hAnsi="Times New Roman" w:cs="Times New Roman"/>
          <w:lang w:val="ro-MD"/>
        </w:rPr>
        <w:t xml:space="preserve">atribuțiilor statutare </w:t>
      </w:r>
      <w:r w:rsidR="00EA6226" w:rsidRPr="000508B6">
        <w:rPr>
          <w:rFonts w:ascii="Times New Roman" w:hAnsi="Times New Roman" w:cs="Times New Roman"/>
          <w:lang w:val="ro-MD"/>
        </w:rPr>
        <w:t>care îi revin,</w:t>
      </w:r>
      <w:r w:rsidR="00AC4E00" w:rsidRPr="000508B6">
        <w:rPr>
          <w:rFonts w:ascii="Times New Roman" w:hAnsi="Times New Roman" w:cs="Times New Roman"/>
          <w:lang w:val="ro-MD"/>
        </w:rPr>
        <w:t xml:space="preserve"> </w:t>
      </w:r>
      <w:r w:rsidR="00D678B4" w:rsidRPr="000508B6">
        <w:rPr>
          <w:rFonts w:ascii="Times New Roman" w:hAnsi="Times New Roman" w:cs="Times New Roman"/>
          <w:lang w:val="ro-MD"/>
        </w:rPr>
        <w:t xml:space="preserve">inclusiv pentru aplicarea politicii monetare și asigurarea lichidității aferente, </w:t>
      </w:r>
      <w:r w:rsidR="00AC4E00" w:rsidRPr="000508B6">
        <w:rPr>
          <w:rFonts w:ascii="Times New Roman" w:hAnsi="Times New Roman" w:cs="Times New Roman"/>
          <w:lang w:val="ro-MD"/>
        </w:rPr>
        <w:t>supraveghe</w:t>
      </w:r>
      <w:r w:rsidR="00D678B4" w:rsidRPr="000508B6">
        <w:rPr>
          <w:rFonts w:ascii="Times New Roman" w:hAnsi="Times New Roman" w:cs="Times New Roman"/>
          <w:lang w:val="ro-MD"/>
        </w:rPr>
        <w:t>rea</w:t>
      </w:r>
      <w:r w:rsidR="00AC4E00" w:rsidRPr="000508B6">
        <w:rPr>
          <w:rFonts w:ascii="Times New Roman" w:hAnsi="Times New Roman" w:cs="Times New Roman"/>
          <w:lang w:val="ro-MD"/>
        </w:rPr>
        <w:t xml:space="preserve"> sistemel</w:t>
      </w:r>
      <w:r w:rsidR="00D678B4" w:rsidRPr="000508B6">
        <w:rPr>
          <w:rFonts w:ascii="Times New Roman" w:hAnsi="Times New Roman" w:cs="Times New Roman"/>
          <w:lang w:val="ro-MD"/>
        </w:rPr>
        <w:t>or</w:t>
      </w:r>
      <w:r w:rsidR="00AC4E00" w:rsidRPr="000508B6">
        <w:rPr>
          <w:rFonts w:ascii="Times New Roman" w:hAnsi="Times New Roman" w:cs="Times New Roman"/>
          <w:lang w:val="ro-MD"/>
        </w:rPr>
        <w:t xml:space="preserve"> de </w:t>
      </w:r>
      <w:r w:rsidR="0063094A" w:rsidRPr="000508B6">
        <w:rPr>
          <w:rFonts w:ascii="Times New Roman" w:hAnsi="Times New Roman" w:cs="Times New Roman"/>
          <w:lang w:val="ro-MD"/>
        </w:rPr>
        <w:t>plată</w:t>
      </w:r>
      <w:r w:rsidR="00AC4E00" w:rsidRPr="000508B6">
        <w:rPr>
          <w:rFonts w:ascii="Times New Roman" w:hAnsi="Times New Roman" w:cs="Times New Roman"/>
          <w:lang w:val="ro-MD"/>
        </w:rPr>
        <w:t xml:space="preserve">, de compensare </w:t>
      </w:r>
      <w:proofErr w:type="spellStart"/>
      <w:r w:rsidR="00AC4E00" w:rsidRPr="000508B6">
        <w:rPr>
          <w:rFonts w:ascii="Times New Roman" w:hAnsi="Times New Roman" w:cs="Times New Roman"/>
          <w:lang w:val="ro-MD"/>
        </w:rPr>
        <w:t>şi</w:t>
      </w:r>
      <w:proofErr w:type="spellEnd"/>
      <w:r w:rsidR="00AC4E00" w:rsidRPr="000508B6">
        <w:rPr>
          <w:rFonts w:ascii="Times New Roman" w:hAnsi="Times New Roman" w:cs="Times New Roman"/>
          <w:lang w:val="ro-MD"/>
        </w:rPr>
        <w:t xml:space="preserve"> de decontare a valorilor mobiliare </w:t>
      </w:r>
      <w:r w:rsidR="00D678B4" w:rsidRPr="000508B6">
        <w:rPr>
          <w:rFonts w:ascii="Times New Roman" w:hAnsi="Times New Roman" w:cs="Times New Roman"/>
          <w:lang w:val="ro-MD"/>
        </w:rPr>
        <w:t>și asigurarea stabilității sistemului financiar</w:t>
      </w:r>
      <w:r w:rsidR="0063094A" w:rsidRPr="000508B6">
        <w:rPr>
          <w:rFonts w:ascii="Times New Roman" w:hAnsi="Times New Roman" w:cs="Times New Roman"/>
          <w:lang w:val="ro-MD"/>
        </w:rPr>
        <w:t>;</w:t>
      </w:r>
    </w:p>
    <w:p w14:paraId="771F3C1A" w14:textId="43B487BB" w:rsidR="00AC4E00" w:rsidRPr="000508B6" w:rsidRDefault="005469E0" w:rsidP="00A26CCB">
      <w:pPr>
        <w:pStyle w:val="Listparagraf"/>
        <w:numPr>
          <w:ilvl w:val="2"/>
          <w:numId w:val="460"/>
        </w:numPr>
        <w:tabs>
          <w:tab w:val="left" w:pos="567"/>
          <w:tab w:val="left" w:pos="709"/>
          <w:tab w:val="left" w:pos="851"/>
        </w:tabs>
        <w:spacing w:after="0" w:line="240" w:lineRule="auto"/>
        <w:ind w:left="0" w:firstLine="540"/>
        <w:jc w:val="both"/>
        <w:rPr>
          <w:rFonts w:ascii="Times New Roman" w:hAnsi="Times New Roman" w:cs="Times New Roman"/>
          <w:lang w:val="ro-MD"/>
        </w:rPr>
      </w:pPr>
      <w:r w:rsidRPr="000508B6">
        <w:rPr>
          <w:rFonts w:ascii="Times New Roman" w:hAnsi="Times New Roman" w:cs="Times New Roman"/>
          <w:lang w:val="ro-MD"/>
        </w:rPr>
        <w:t xml:space="preserve">CERS, dacă informațiile respective sunt relevante pentru îndeplinirea </w:t>
      </w:r>
      <w:r w:rsidR="0063094A" w:rsidRPr="000508B6">
        <w:rPr>
          <w:rFonts w:ascii="Times New Roman" w:hAnsi="Times New Roman" w:cs="Times New Roman"/>
          <w:lang w:val="ro-MD"/>
        </w:rPr>
        <w:t>atribuțiilor</w:t>
      </w:r>
      <w:r w:rsidRPr="000508B6">
        <w:rPr>
          <w:rFonts w:ascii="Times New Roman" w:hAnsi="Times New Roman" w:cs="Times New Roman"/>
          <w:lang w:val="ro-MD"/>
        </w:rPr>
        <w:t xml:space="preserve"> acestuia</w:t>
      </w:r>
      <w:r w:rsidR="00D678B4" w:rsidRPr="000508B6">
        <w:rPr>
          <w:rFonts w:ascii="Times New Roman" w:hAnsi="Times New Roman" w:cs="Times New Roman"/>
          <w:lang w:val="ro-MD"/>
        </w:rPr>
        <w:t>.</w:t>
      </w:r>
      <w:r w:rsidR="00AC4E00" w:rsidRPr="000508B6">
        <w:rPr>
          <w:rFonts w:ascii="Times New Roman" w:hAnsi="Times New Roman" w:cs="Times New Roman"/>
          <w:lang w:val="ro-MD"/>
        </w:rPr>
        <w:t xml:space="preserve"> </w:t>
      </w:r>
    </w:p>
    <w:p w14:paraId="0451B21A" w14:textId="7D0F015F" w:rsidR="00AC4E00" w:rsidRPr="000508B6" w:rsidRDefault="00AC4E00" w:rsidP="00F978CB">
      <w:pPr>
        <w:pStyle w:val="Listparagraf"/>
        <w:numPr>
          <w:ilvl w:val="1"/>
          <w:numId w:val="5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de la organismele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autorităţile</w:t>
      </w:r>
      <w:proofErr w:type="spellEnd"/>
      <w:r w:rsidRPr="000508B6">
        <w:rPr>
          <w:rFonts w:ascii="Times New Roman" w:hAnsi="Times New Roman" w:cs="Times New Roman"/>
          <w:lang w:val="ro-MD"/>
        </w:rPr>
        <w:t xml:space="preserve"> prevăzute la alin. (6), acestea sunt supuse prevederilor art. </w:t>
      </w:r>
      <w:r w:rsidR="00442C5A" w:rsidRPr="000508B6">
        <w:rPr>
          <w:rFonts w:ascii="Times New Roman" w:hAnsi="Times New Roman" w:cs="Times New Roman"/>
          <w:lang w:val="ro-MD"/>
        </w:rPr>
        <w:t>196</w:t>
      </w:r>
      <w:r w:rsidRPr="000508B6">
        <w:rPr>
          <w:rFonts w:ascii="Times New Roman" w:hAnsi="Times New Roman" w:cs="Times New Roman"/>
          <w:lang w:val="ro-MD"/>
        </w:rPr>
        <w:t xml:space="preserve">. </w:t>
      </w:r>
    </w:p>
    <w:p w14:paraId="4D2A3E46" w14:textId="500C419B" w:rsidR="00AC4E00" w:rsidRPr="000508B6" w:rsidRDefault="00AC4E00" w:rsidP="00F978CB">
      <w:pPr>
        <w:pStyle w:val="Listparagraf"/>
        <w:numPr>
          <w:ilvl w:val="1"/>
          <w:numId w:val="5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cooperează strâns cu Comisia Europeană în vederea examinării </w:t>
      </w:r>
      <w:proofErr w:type="spellStart"/>
      <w:r w:rsidRPr="000508B6">
        <w:rPr>
          <w:rFonts w:ascii="Times New Roman" w:hAnsi="Times New Roman" w:cs="Times New Roman"/>
          <w:lang w:val="ro-MD"/>
        </w:rPr>
        <w:t>dificultăţilor</w:t>
      </w:r>
      <w:proofErr w:type="spellEnd"/>
      <w:r w:rsidRPr="000508B6">
        <w:rPr>
          <w:rFonts w:ascii="Times New Roman" w:hAnsi="Times New Roman" w:cs="Times New Roman"/>
          <w:lang w:val="ro-MD"/>
        </w:rPr>
        <w:t xml:space="preserve"> apărute în aplicarea </w:t>
      </w:r>
      <w:r w:rsidR="00E177F2" w:rsidRPr="000508B6">
        <w:rPr>
          <w:rFonts w:ascii="Times New Roman" w:hAnsi="Times New Roman" w:cs="Times New Roman"/>
          <w:lang w:val="ro-MD"/>
        </w:rPr>
        <w:t xml:space="preserve">prevederilor </w:t>
      </w:r>
      <w:r w:rsidRPr="000508B6">
        <w:rPr>
          <w:rFonts w:ascii="Times New Roman" w:hAnsi="Times New Roman" w:cs="Times New Roman"/>
          <w:lang w:val="ro-MD"/>
        </w:rPr>
        <w:t xml:space="preserve">art. </w:t>
      </w:r>
      <w:r w:rsidR="00455E76" w:rsidRPr="000508B6">
        <w:rPr>
          <w:rFonts w:ascii="Times New Roman" w:hAnsi="Times New Roman" w:cs="Times New Roman"/>
          <w:lang w:val="ro-MD"/>
        </w:rPr>
        <w:t>109</w:t>
      </w:r>
      <w:r w:rsidR="00D678B4" w:rsidRPr="000508B6">
        <w:rPr>
          <w:rFonts w:ascii="Times New Roman" w:hAnsi="Times New Roman" w:cs="Times New Roman"/>
          <w:lang w:val="ro-MD"/>
        </w:rPr>
        <w:t xml:space="preserve">, în special practicile care ar putea indica faptul că asigurătorul principal nu își asumă rolul care îi revine în practicarea coasigurării sau că riscurile nu implică în mod evident participarea mai multor asigurători la </w:t>
      </w:r>
      <w:r w:rsidR="00661372" w:rsidRPr="000508B6">
        <w:rPr>
          <w:rFonts w:ascii="Times New Roman" w:hAnsi="Times New Roman" w:cs="Times New Roman"/>
          <w:lang w:val="ro-MD"/>
        </w:rPr>
        <w:t xml:space="preserve">acoperirea </w:t>
      </w:r>
      <w:r w:rsidR="00D678B4" w:rsidRPr="000508B6">
        <w:rPr>
          <w:rFonts w:ascii="Times New Roman" w:hAnsi="Times New Roman" w:cs="Times New Roman"/>
          <w:lang w:val="ro-MD"/>
        </w:rPr>
        <w:t>acestora</w:t>
      </w:r>
      <w:r w:rsidRPr="000508B6" w:rsidDel="00D678B4">
        <w:rPr>
          <w:rFonts w:ascii="Times New Roman" w:hAnsi="Times New Roman" w:cs="Times New Roman"/>
          <w:lang w:val="ro-MD"/>
        </w:rPr>
        <w:t>.</w:t>
      </w:r>
      <w:r w:rsidRPr="000508B6">
        <w:rPr>
          <w:rFonts w:ascii="Times New Roman" w:hAnsi="Times New Roman" w:cs="Times New Roman"/>
          <w:lang w:val="ro-MD"/>
        </w:rPr>
        <w:t xml:space="preserve"> </w:t>
      </w:r>
    </w:p>
    <w:p w14:paraId="68A3F16C" w14:textId="7CAE9161" w:rsidR="00AC4E00" w:rsidRPr="000508B6" w:rsidRDefault="00AC4E00" w:rsidP="00775374">
      <w:pPr>
        <w:pStyle w:val="Listparagraf"/>
        <w:numPr>
          <w:ilvl w:val="1"/>
          <w:numId w:val="5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Comisiei Europene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EIOPA numărul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tipul cazurilor în care a refuzat transmiterea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2F7C33" w:rsidRPr="000508B6">
        <w:rPr>
          <w:rFonts w:ascii="Times New Roman" w:hAnsi="Times New Roman" w:cs="Times New Roman"/>
          <w:lang w:val="ro-MD"/>
        </w:rPr>
        <w:t>92</w:t>
      </w:r>
      <w:r w:rsidR="001B7100"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w:t>
      </w:r>
      <w:r w:rsidR="00F978CB" w:rsidRPr="000508B6">
        <w:rPr>
          <w:rFonts w:ascii="Times New Roman" w:hAnsi="Times New Roman" w:cs="Times New Roman"/>
          <w:lang w:val="ro-MD"/>
        </w:rPr>
        <w:t xml:space="preserve"> </w:t>
      </w:r>
      <w:r w:rsidR="002F7C33" w:rsidRPr="000508B6">
        <w:rPr>
          <w:rFonts w:ascii="Times New Roman" w:hAnsi="Times New Roman" w:cs="Times New Roman"/>
          <w:lang w:val="ro-MD"/>
        </w:rPr>
        <w:t xml:space="preserve">93 </w:t>
      </w:r>
      <w:r w:rsidRPr="000508B6">
        <w:rPr>
          <w:rFonts w:ascii="Times New Roman" w:hAnsi="Times New Roman" w:cs="Times New Roman"/>
          <w:lang w:val="ro-MD"/>
        </w:rPr>
        <w:t xml:space="preserve">alin. (2) - (4)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(6)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adoptat măsurile prevăzute la art. </w:t>
      </w:r>
      <w:r w:rsidR="00882B0F" w:rsidRPr="000508B6">
        <w:rPr>
          <w:rFonts w:ascii="Times New Roman" w:hAnsi="Times New Roman" w:cs="Times New Roman"/>
          <w:lang w:val="ro-MD"/>
        </w:rPr>
        <w:t>189</w:t>
      </w:r>
      <w:r w:rsidR="00270B34" w:rsidRPr="000508B6">
        <w:rPr>
          <w:rFonts w:ascii="Times New Roman" w:hAnsi="Times New Roman" w:cs="Times New Roman"/>
          <w:vertAlign w:val="superscript"/>
          <w:lang w:val="ro-MD"/>
        </w:rPr>
        <w:t xml:space="preserve"> </w:t>
      </w:r>
      <w:r w:rsidRPr="000508B6">
        <w:rPr>
          <w:rFonts w:ascii="Times New Roman" w:hAnsi="Times New Roman" w:cs="Times New Roman"/>
          <w:lang w:val="ro-MD"/>
        </w:rPr>
        <w:t>alin. (</w:t>
      </w:r>
      <w:r w:rsidR="00680637" w:rsidRPr="000508B6">
        <w:rPr>
          <w:rFonts w:ascii="Times New Roman" w:hAnsi="Times New Roman" w:cs="Times New Roman"/>
          <w:lang w:val="ro-MD"/>
        </w:rPr>
        <w:t>4</w:t>
      </w:r>
      <w:r w:rsidRPr="000508B6">
        <w:rPr>
          <w:rFonts w:ascii="Times New Roman" w:hAnsi="Times New Roman" w:cs="Times New Roman"/>
          <w:lang w:val="ro-MD"/>
        </w:rPr>
        <w:t xml:space="preserve">), în cazul </w:t>
      </w:r>
      <w:r w:rsidR="008C2059" w:rsidRPr="000508B6">
        <w:rPr>
          <w:rFonts w:ascii="Times New Roman" w:hAnsi="Times New Roman" w:cs="Times New Roman"/>
          <w:lang w:val="ro-MD"/>
        </w:rPr>
        <w:t>asigurătorului</w:t>
      </w:r>
      <w:r w:rsidRPr="000508B6">
        <w:rPr>
          <w:rFonts w:ascii="Times New Roman" w:hAnsi="Times New Roman" w:cs="Times New Roman"/>
          <w:lang w:val="ro-MD"/>
        </w:rPr>
        <w:t xml:space="preserve">. </w:t>
      </w:r>
    </w:p>
    <w:p w14:paraId="7471AEF2" w14:textId="3BA6CEA8" w:rsidR="00AC4E00" w:rsidRPr="000508B6" w:rsidRDefault="00AC4E00" w:rsidP="00775374">
      <w:pPr>
        <w:pStyle w:val="Listparagraf"/>
        <w:numPr>
          <w:ilvl w:val="1"/>
          <w:numId w:val="53"/>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vederea evaluării unui proiect de </w:t>
      </w:r>
      <w:proofErr w:type="spellStart"/>
      <w:r w:rsidRPr="000508B6">
        <w:rPr>
          <w:rFonts w:ascii="Times New Roman" w:hAnsi="Times New Roman" w:cs="Times New Roman"/>
          <w:lang w:val="ro-MD"/>
        </w:rPr>
        <w:t>achiziţie</w:t>
      </w:r>
      <w:proofErr w:type="spellEnd"/>
      <w:r w:rsidRPr="000508B6">
        <w:rPr>
          <w:rFonts w:ascii="Times New Roman" w:hAnsi="Times New Roman" w:cs="Times New Roman"/>
          <w:lang w:val="ro-MD"/>
        </w:rPr>
        <w:t xml:space="preserve">, Banca Națională a Moldovei se consultă cu </w:t>
      </w:r>
      <w:proofErr w:type="spellStart"/>
      <w:r w:rsidRPr="000508B6">
        <w:rPr>
          <w:rFonts w:ascii="Times New Roman" w:hAnsi="Times New Roman" w:cs="Times New Roman"/>
          <w:lang w:val="ro-MD"/>
        </w:rPr>
        <w:t>alţi</w:t>
      </w:r>
      <w:proofErr w:type="spellEnd"/>
      <w:r w:rsidRPr="000508B6">
        <w:rPr>
          <w:rFonts w:ascii="Times New Roman" w:hAnsi="Times New Roman" w:cs="Times New Roman"/>
          <w:lang w:val="ro-MD"/>
        </w:rPr>
        <w:t xml:space="preserve"> supraveghetori, în cazul în care </w:t>
      </w:r>
      <w:proofErr w:type="spellStart"/>
      <w:r w:rsidR="000F1DB1" w:rsidRPr="000508B6">
        <w:rPr>
          <w:rFonts w:ascii="Times New Roman" w:hAnsi="Times New Roman" w:cs="Times New Roman"/>
          <w:lang w:val="ro-MD"/>
        </w:rPr>
        <w:t>potenţial</w:t>
      </w:r>
      <w:proofErr w:type="spellEnd"/>
      <w:r w:rsidR="000F1DB1" w:rsidRPr="000508B6">
        <w:rPr>
          <w:rFonts w:ascii="Times New Roman" w:hAnsi="Times New Roman" w:cs="Times New Roman"/>
          <w:lang w:val="ro-MD"/>
        </w:rPr>
        <w:t xml:space="preserve"> </w:t>
      </w:r>
      <w:r w:rsidRPr="000508B6">
        <w:rPr>
          <w:rFonts w:ascii="Times New Roman" w:hAnsi="Times New Roman" w:cs="Times New Roman"/>
          <w:lang w:val="ro-MD"/>
        </w:rPr>
        <w:t xml:space="preserve">achizitor este: </w:t>
      </w:r>
    </w:p>
    <w:p w14:paraId="48517DA3" w14:textId="5DA777DF" w:rsidR="00AC4E00" w:rsidRPr="000508B6" w:rsidRDefault="009D0EB8" w:rsidP="00775374">
      <w:pPr>
        <w:pStyle w:val="Listparagraf"/>
        <w:numPr>
          <w:ilvl w:val="2"/>
          <w:numId w:val="62"/>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un asigurător sau </w:t>
      </w:r>
      <w:proofErr w:type="spellStart"/>
      <w:r w:rsidRPr="000508B6">
        <w:rPr>
          <w:rFonts w:ascii="Times New Roman" w:hAnsi="Times New Roman" w:cs="Times New Roman"/>
          <w:lang w:val="ro-MD"/>
        </w:rPr>
        <w:t>reasigurător</w:t>
      </w:r>
      <w:proofErr w:type="spellEnd"/>
      <w:r w:rsidR="00AC4E00" w:rsidRPr="000508B6">
        <w:rPr>
          <w:rFonts w:ascii="Times New Roman" w:hAnsi="Times New Roman" w:cs="Times New Roman"/>
          <w:lang w:val="ro-MD"/>
        </w:rPr>
        <w:t xml:space="preserve">, o </w:t>
      </w:r>
      <w:r w:rsidR="006A004C" w:rsidRPr="000508B6">
        <w:rPr>
          <w:rFonts w:ascii="Times New Roman" w:hAnsi="Times New Roman" w:cs="Times New Roman"/>
          <w:lang w:val="ro-MD"/>
        </w:rPr>
        <w:t>instituție de credit</w:t>
      </w:r>
      <w:r w:rsidR="00AC4E00" w:rsidRPr="000508B6">
        <w:rPr>
          <w:rFonts w:ascii="Times New Roman" w:hAnsi="Times New Roman" w:cs="Times New Roman"/>
          <w:lang w:val="ro-MD"/>
        </w:rPr>
        <w:t xml:space="preserve">, o societate de </w:t>
      </w:r>
      <w:proofErr w:type="spellStart"/>
      <w:r w:rsidR="00AC4E00" w:rsidRPr="000508B6">
        <w:rPr>
          <w:rFonts w:ascii="Times New Roman" w:hAnsi="Times New Roman" w:cs="Times New Roman"/>
          <w:lang w:val="ro-MD"/>
        </w:rPr>
        <w:t>investiţii</w:t>
      </w:r>
      <w:proofErr w:type="spellEnd"/>
      <w:r w:rsidR="00AC4E00" w:rsidRPr="000508B6">
        <w:rPr>
          <w:rFonts w:ascii="Times New Roman" w:hAnsi="Times New Roman" w:cs="Times New Roman"/>
          <w:lang w:val="ro-MD"/>
        </w:rPr>
        <w:t xml:space="preserve"> sau de administrare a </w:t>
      </w:r>
      <w:r w:rsidR="00665A80" w:rsidRPr="000508B6">
        <w:rPr>
          <w:rFonts w:ascii="Times New Roman" w:hAnsi="Times New Roman" w:cs="Times New Roman"/>
          <w:lang w:val="ro-MD"/>
        </w:rPr>
        <w:t xml:space="preserve">organismelor de plasament colectiv în valori mobiliare </w:t>
      </w:r>
      <w:r w:rsidR="00AC4E00" w:rsidRPr="000508B6">
        <w:rPr>
          <w:rFonts w:ascii="Times New Roman" w:hAnsi="Times New Roman" w:cs="Times New Roman"/>
          <w:lang w:val="ro-MD"/>
        </w:rPr>
        <w:t xml:space="preserve">care a primit </w:t>
      </w:r>
      <w:r w:rsidR="0063094A" w:rsidRPr="000508B6">
        <w:rPr>
          <w:rFonts w:ascii="Times New Roman" w:hAnsi="Times New Roman" w:cs="Times New Roman"/>
          <w:lang w:val="ro-MD"/>
        </w:rPr>
        <w:t xml:space="preserve">licență </w:t>
      </w:r>
      <w:r w:rsidR="00AC4E00" w:rsidRPr="000508B6">
        <w:rPr>
          <w:rFonts w:ascii="Times New Roman" w:hAnsi="Times New Roman" w:cs="Times New Roman"/>
          <w:lang w:val="ro-MD"/>
        </w:rPr>
        <w:t>în</w:t>
      </w:r>
      <w:r w:rsidR="00665A80" w:rsidRPr="000508B6">
        <w:rPr>
          <w:rFonts w:ascii="Times New Roman" w:hAnsi="Times New Roman" w:cs="Times New Roman"/>
          <w:lang w:val="ro-MD"/>
        </w:rPr>
        <w:t xml:space="preserve"> </w:t>
      </w:r>
      <w:r w:rsidR="0063094A" w:rsidRPr="000508B6">
        <w:rPr>
          <w:rFonts w:ascii="Times New Roman" w:hAnsi="Times New Roman" w:cs="Times New Roman"/>
          <w:lang w:val="ro-MD"/>
        </w:rPr>
        <w:t>alt</w:t>
      </w:r>
      <w:r w:rsidR="00AC4E00" w:rsidRPr="000508B6">
        <w:rPr>
          <w:rFonts w:ascii="Times New Roman" w:hAnsi="Times New Roman" w:cs="Times New Roman"/>
          <w:lang w:val="ro-MD"/>
        </w:rPr>
        <w:t xml:space="preserve"> stat membru sau </w:t>
      </w:r>
      <w:r w:rsidR="00D678B4" w:rsidRPr="000508B6">
        <w:rPr>
          <w:rFonts w:ascii="Times New Roman" w:hAnsi="Times New Roman" w:cs="Times New Roman"/>
          <w:lang w:val="ro-MD"/>
        </w:rPr>
        <w:t>în alt sector de activitate</w:t>
      </w:r>
      <w:r w:rsidR="00AC4E00" w:rsidRPr="000508B6">
        <w:rPr>
          <w:rFonts w:ascii="Times New Roman" w:hAnsi="Times New Roman" w:cs="Times New Roman"/>
          <w:lang w:val="ro-MD"/>
        </w:rPr>
        <w:t xml:space="preserve">; </w:t>
      </w:r>
    </w:p>
    <w:p w14:paraId="794DBCA3" w14:textId="77777777" w:rsidR="00AC4E00" w:rsidRPr="000508B6" w:rsidRDefault="00AC4E00" w:rsidP="00775374">
      <w:pPr>
        <w:pStyle w:val="Listparagraf"/>
        <w:numPr>
          <w:ilvl w:val="2"/>
          <w:numId w:val="62"/>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societate-mamă a unei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prevăzute la lit. a); </w:t>
      </w:r>
    </w:p>
    <w:p w14:paraId="364AC508" w14:textId="322187CA" w:rsidR="00AC4E00" w:rsidRPr="000508B6" w:rsidRDefault="00AC4E00" w:rsidP="00775374">
      <w:pPr>
        <w:pStyle w:val="Listparagraf"/>
        <w:numPr>
          <w:ilvl w:val="2"/>
          <w:numId w:val="62"/>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persoană fizică sau juridică ce </w:t>
      </w:r>
      <w:proofErr w:type="spellStart"/>
      <w:r w:rsidRPr="000508B6">
        <w:rPr>
          <w:rFonts w:ascii="Times New Roman" w:hAnsi="Times New Roman" w:cs="Times New Roman"/>
          <w:lang w:val="ro-MD"/>
        </w:rPr>
        <w:t>deţine</w:t>
      </w:r>
      <w:proofErr w:type="spellEnd"/>
      <w:r w:rsidRPr="000508B6">
        <w:rPr>
          <w:rFonts w:ascii="Times New Roman" w:hAnsi="Times New Roman" w:cs="Times New Roman"/>
          <w:lang w:val="ro-MD"/>
        </w:rPr>
        <w:t xml:space="preserve"> controlul asupra unei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 xml:space="preserve"> prevăzute la lit. a). </w:t>
      </w:r>
    </w:p>
    <w:p w14:paraId="6D759BA5" w14:textId="1DE3402C" w:rsidR="00AC4E00" w:rsidRPr="000508B6" w:rsidRDefault="00AC4E00" w:rsidP="00F978CB">
      <w:pPr>
        <w:pStyle w:val="Listparagraf"/>
        <w:numPr>
          <w:ilvl w:val="1"/>
          <w:numId w:val="5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solicită altor </w:t>
      </w:r>
      <w:r w:rsidR="005469E0" w:rsidRPr="000508B6">
        <w:rPr>
          <w:rFonts w:ascii="Times New Roman" w:hAnsi="Times New Roman" w:cs="Times New Roman"/>
          <w:lang w:val="ro-MD"/>
        </w:rPr>
        <w:t>supraveghetori</w:t>
      </w:r>
      <w:r w:rsidR="005469E0" w:rsidRPr="000508B6" w:rsidDel="005469E0">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relevante pentru evaluarea unui proiect de </w:t>
      </w:r>
      <w:proofErr w:type="spellStart"/>
      <w:r w:rsidRPr="000508B6">
        <w:rPr>
          <w:rFonts w:ascii="Times New Roman" w:hAnsi="Times New Roman" w:cs="Times New Roman"/>
          <w:lang w:val="ro-MD"/>
        </w:rPr>
        <w:t>achiziţie</w:t>
      </w:r>
      <w:proofErr w:type="spellEnd"/>
      <w:r w:rsidRPr="000508B6">
        <w:rPr>
          <w:rFonts w:ascii="Times New Roman" w:hAnsi="Times New Roman" w:cs="Times New Roman"/>
          <w:lang w:val="ro-MD"/>
        </w:rPr>
        <w:t xml:space="preserve">. </w:t>
      </w:r>
    </w:p>
    <w:p w14:paraId="53E0FDAE" w14:textId="372EEA67" w:rsidR="00AC4E00" w:rsidRPr="000508B6" w:rsidRDefault="00AC4E00" w:rsidP="00F978CB">
      <w:pPr>
        <w:pStyle w:val="Listparagraf"/>
        <w:numPr>
          <w:ilvl w:val="1"/>
          <w:numId w:val="5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furnizează altor </w:t>
      </w:r>
      <w:r w:rsidR="00F658E7" w:rsidRPr="000508B6">
        <w:rPr>
          <w:rFonts w:ascii="Times New Roman" w:hAnsi="Times New Roman" w:cs="Times New Roman"/>
          <w:lang w:val="ro-MD"/>
        </w:rPr>
        <w:t>supraveghetori</w:t>
      </w:r>
      <w:r w:rsidRPr="000508B6">
        <w:rPr>
          <w:rFonts w:ascii="Times New Roman" w:hAnsi="Times New Roman" w:cs="Times New Roman"/>
          <w:lang w:val="ro-MD"/>
        </w:rPr>
        <w:t xml:space="preserve">, la solicitarea acestora sau din proprie </w:t>
      </w:r>
      <w:proofErr w:type="spellStart"/>
      <w:r w:rsidRPr="000508B6">
        <w:rPr>
          <w:rFonts w:ascii="Times New Roman" w:hAnsi="Times New Roman" w:cs="Times New Roman"/>
          <w:lang w:val="ro-MD"/>
        </w:rPr>
        <w:t>iniţiativă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relevante, inclusiv opinii sau rezerve privind evaluarea unui proiect de </w:t>
      </w:r>
      <w:proofErr w:type="spellStart"/>
      <w:r w:rsidRPr="000508B6">
        <w:rPr>
          <w:rFonts w:ascii="Times New Roman" w:hAnsi="Times New Roman" w:cs="Times New Roman"/>
          <w:lang w:val="ro-MD"/>
        </w:rPr>
        <w:t>achiziţie</w:t>
      </w:r>
      <w:proofErr w:type="spellEnd"/>
      <w:r w:rsidR="00A46ACA" w:rsidRPr="000508B6">
        <w:rPr>
          <w:rFonts w:ascii="Times New Roman" w:hAnsi="Times New Roman" w:cs="Times New Roman"/>
          <w:lang w:val="ro-MD"/>
        </w:rPr>
        <w:t>.</w:t>
      </w:r>
      <w:r w:rsidR="00F34C9C" w:rsidRPr="000508B6">
        <w:rPr>
          <w:rFonts w:ascii="Times New Roman" w:hAnsi="Times New Roman" w:cs="Times New Roman"/>
          <w:lang w:val="ro-MD"/>
        </w:rPr>
        <w:t xml:space="preserve"> </w:t>
      </w:r>
    </w:p>
    <w:p w14:paraId="7970D60C" w14:textId="3C966C1E" w:rsidR="00AC4E00" w:rsidRPr="000508B6" w:rsidRDefault="00AC4E00" w:rsidP="00F978CB">
      <w:pPr>
        <w:pStyle w:val="Listparagraf"/>
        <w:numPr>
          <w:ilvl w:val="1"/>
          <w:numId w:val="5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Decizia emisă de Banca Națională a Moldovei cu privire la </w:t>
      </w:r>
      <w:r w:rsidR="00C0408C" w:rsidRPr="000508B6">
        <w:rPr>
          <w:rFonts w:ascii="Times New Roman" w:hAnsi="Times New Roman" w:cs="Times New Roman"/>
          <w:lang w:val="ro-MD"/>
        </w:rPr>
        <w:t xml:space="preserve">proiectul de </w:t>
      </w:r>
      <w:r w:rsidRPr="000508B6">
        <w:rPr>
          <w:rFonts w:ascii="Times New Roman" w:hAnsi="Times New Roman" w:cs="Times New Roman"/>
          <w:lang w:val="ro-MD"/>
        </w:rPr>
        <w:t>achiziți</w:t>
      </w:r>
      <w:r w:rsidR="004F53EC" w:rsidRPr="000508B6">
        <w:rPr>
          <w:rFonts w:ascii="Times New Roman" w:hAnsi="Times New Roman" w:cs="Times New Roman"/>
          <w:lang w:val="ro-MD"/>
        </w:rPr>
        <w:t>e</w:t>
      </w:r>
      <w:r w:rsidRPr="000508B6">
        <w:rPr>
          <w:rFonts w:ascii="Times New Roman" w:hAnsi="Times New Roman" w:cs="Times New Roman"/>
          <w:lang w:val="ro-MD"/>
        </w:rPr>
        <w:t xml:space="preserve"> în cazurile prevăzute la alin. (10) </w:t>
      </w:r>
      <w:r w:rsidR="001145CD" w:rsidRPr="000508B6">
        <w:rPr>
          <w:rFonts w:ascii="Times New Roman" w:hAnsi="Times New Roman" w:cs="Times New Roman"/>
          <w:lang w:val="ro-MD"/>
        </w:rPr>
        <w:t xml:space="preserve">menționează punctul de vedere sau rezervele exprimate de </w:t>
      </w:r>
      <w:r w:rsidR="004F53EC" w:rsidRPr="000508B6">
        <w:rPr>
          <w:rFonts w:ascii="Times New Roman" w:hAnsi="Times New Roman" w:cs="Times New Roman"/>
          <w:lang w:val="ro-MD"/>
        </w:rPr>
        <w:t>supraveghetorul responsabil</w:t>
      </w:r>
      <w:r w:rsidR="001145CD" w:rsidRPr="000508B6">
        <w:rPr>
          <w:rFonts w:ascii="Times New Roman" w:hAnsi="Times New Roman" w:cs="Times New Roman"/>
          <w:lang w:val="ro-MD"/>
        </w:rPr>
        <w:t xml:space="preserve"> </w:t>
      </w:r>
      <w:r w:rsidR="004F53EC" w:rsidRPr="000508B6">
        <w:rPr>
          <w:rFonts w:ascii="Times New Roman" w:hAnsi="Times New Roman" w:cs="Times New Roman"/>
          <w:lang w:val="ro-MD"/>
        </w:rPr>
        <w:t>pentru</w:t>
      </w:r>
      <w:r w:rsidR="001145CD" w:rsidRPr="000508B6">
        <w:rPr>
          <w:rFonts w:ascii="Times New Roman" w:hAnsi="Times New Roman" w:cs="Times New Roman"/>
          <w:lang w:val="ro-MD"/>
        </w:rPr>
        <w:t xml:space="preserve"> </w:t>
      </w:r>
      <w:proofErr w:type="spellStart"/>
      <w:r w:rsidR="001145CD" w:rsidRPr="000508B6">
        <w:rPr>
          <w:rFonts w:ascii="Times New Roman" w:hAnsi="Times New Roman" w:cs="Times New Roman"/>
          <w:lang w:val="ro-MD"/>
        </w:rPr>
        <w:t>potenţialul</w:t>
      </w:r>
      <w:proofErr w:type="spellEnd"/>
      <w:r w:rsidR="001145CD" w:rsidRPr="000508B6">
        <w:rPr>
          <w:rFonts w:ascii="Times New Roman" w:hAnsi="Times New Roman" w:cs="Times New Roman"/>
          <w:lang w:val="ro-MD"/>
        </w:rPr>
        <w:t xml:space="preserve"> achizitor.</w:t>
      </w:r>
      <w:r w:rsidR="001145CD" w:rsidRPr="000508B6">
        <w:rPr>
          <w:rFonts w:ascii="Times New Roman" w:hAnsi="Times New Roman" w:cs="Times New Roman"/>
          <w:i/>
          <w:lang w:val="ro-MD"/>
        </w:rPr>
        <w:t xml:space="preserve"> </w:t>
      </w:r>
    </w:p>
    <w:p w14:paraId="78D08264" w14:textId="02E71620" w:rsidR="00AC4E00" w:rsidRPr="000508B6" w:rsidRDefault="00AC4E00" w:rsidP="00CF5AFA">
      <w:pPr>
        <w:pStyle w:val="Listparagraf"/>
        <w:numPr>
          <w:ilvl w:val="1"/>
          <w:numId w:val="53"/>
        </w:numPr>
        <w:tabs>
          <w:tab w:val="left" w:pos="709"/>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Notificările prevăzute la art. </w:t>
      </w:r>
      <w:r w:rsidR="00E362F2" w:rsidRPr="000508B6">
        <w:rPr>
          <w:rFonts w:ascii="Times New Roman" w:hAnsi="Times New Roman" w:cs="Times New Roman"/>
          <w:lang w:val="ro-MD"/>
        </w:rPr>
        <w:t>18</w:t>
      </w:r>
      <w:r w:rsidR="00882B0F" w:rsidRPr="000508B6">
        <w:rPr>
          <w:rFonts w:ascii="Times New Roman" w:hAnsi="Times New Roman" w:cs="Times New Roman"/>
          <w:lang w:val="ro-MD"/>
        </w:rPr>
        <w:t>6</w:t>
      </w:r>
      <w:r w:rsidR="00E362F2"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4F71EE" w:rsidRPr="000508B6">
        <w:rPr>
          <w:rFonts w:ascii="Times New Roman" w:hAnsi="Times New Roman" w:cs="Times New Roman"/>
          <w:lang w:val="ro-MD"/>
        </w:rPr>
        <w:t>10</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4F71EE" w:rsidRPr="000508B6">
        <w:rPr>
          <w:rFonts w:ascii="Times New Roman" w:hAnsi="Times New Roman" w:cs="Times New Roman"/>
          <w:lang w:val="ro-MD"/>
        </w:rPr>
        <w:t>11</w:t>
      </w:r>
      <w:r w:rsidRPr="000508B6">
        <w:rPr>
          <w:rFonts w:ascii="Times New Roman" w:hAnsi="Times New Roman" w:cs="Times New Roman"/>
          <w:lang w:val="ro-MD"/>
        </w:rPr>
        <w:t xml:space="preserve">), art. </w:t>
      </w:r>
      <w:r w:rsidR="00882B0F" w:rsidRPr="000508B6">
        <w:rPr>
          <w:rFonts w:ascii="Times New Roman" w:hAnsi="Times New Roman" w:cs="Times New Roman"/>
          <w:lang w:val="ro-MD"/>
        </w:rPr>
        <w:t>188</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(8)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882B0F" w:rsidRPr="000508B6">
        <w:rPr>
          <w:rFonts w:ascii="Times New Roman" w:hAnsi="Times New Roman" w:cs="Times New Roman"/>
          <w:lang w:val="ro-MD"/>
        </w:rPr>
        <w:t>189</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CF5A4E" w:rsidRPr="000508B6">
        <w:rPr>
          <w:rFonts w:ascii="Times New Roman" w:hAnsi="Times New Roman" w:cs="Times New Roman"/>
          <w:lang w:val="ro-MD"/>
        </w:rPr>
        <w:t>11</w:t>
      </w:r>
      <w:r w:rsidRPr="000508B6">
        <w:rPr>
          <w:rFonts w:ascii="Times New Roman" w:hAnsi="Times New Roman" w:cs="Times New Roman"/>
          <w:lang w:val="ro-MD"/>
        </w:rPr>
        <w:t>):</w:t>
      </w:r>
    </w:p>
    <w:p w14:paraId="7227363A" w14:textId="77777777" w:rsidR="00AC4E00" w:rsidRPr="000508B6" w:rsidRDefault="00AC4E00" w:rsidP="00AC4E00">
      <w:pPr>
        <w:tabs>
          <w:tab w:val="left" w:pos="709"/>
          <w:tab w:val="left" w:pos="851"/>
          <w:tab w:val="left" w:pos="1134"/>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a) sunt suficient de detaliate pentru a putea fi evaluate adecvat;</w:t>
      </w:r>
    </w:p>
    <w:p w14:paraId="655851AB" w14:textId="3793CFC4" w:rsidR="00AC4E00" w:rsidRPr="000508B6" w:rsidRDefault="00AC4E00" w:rsidP="00AC4E00">
      <w:pPr>
        <w:tabs>
          <w:tab w:val="left" w:pos="709"/>
          <w:tab w:val="left" w:pos="851"/>
          <w:tab w:val="left" w:pos="1134"/>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b) nu aduc atingere mandatului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competenţelor</w:t>
      </w:r>
      <w:proofErr w:type="spellEnd"/>
      <w:r w:rsidRPr="000508B6">
        <w:rPr>
          <w:rFonts w:ascii="Times New Roman" w:hAnsi="Times New Roman" w:cs="Times New Roman"/>
          <w:lang w:val="ro-MD"/>
        </w:rPr>
        <w:t xml:space="preserve"> de supraveghere ale Băncii Naționale a Moldovei prevăzute de prezenta lege, atât în calitate de supraveghetor din stat membru de origine,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calitate de supraveghetor din stat membru gazdă. </w:t>
      </w:r>
    </w:p>
    <w:p w14:paraId="4DBDD729" w14:textId="5DA13D3D" w:rsidR="00AD2076" w:rsidRPr="000508B6" w:rsidRDefault="00AD2076" w:rsidP="00CE23EB">
      <w:pPr>
        <w:spacing w:after="0" w:line="240" w:lineRule="auto"/>
        <w:jc w:val="both"/>
        <w:rPr>
          <w:rFonts w:ascii="Times New Roman" w:hAnsi="Times New Roman" w:cs="Times New Roman"/>
          <w:b/>
          <w:lang w:val="ro-MD"/>
        </w:rPr>
      </w:pPr>
    </w:p>
    <w:p w14:paraId="2E7F9D98" w14:textId="6EA641E7"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882B0F" w:rsidRPr="000508B6">
        <w:rPr>
          <w:rFonts w:ascii="Times New Roman" w:hAnsi="Times New Roman" w:cs="Times New Roman"/>
          <w:b/>
          <w:lang w:val="ro-MD"/>
        </w:rPr>
        <w:t>186</w:t>
      </w:r>
      <w:r w:rsidRPr="000508B6">
        <w:rPr>
          <w:rFonts w:ascii="Times New Roman" w:hAnsi="Times New Roman" w:cs="Times New Roman"/>
          <w:b/>
          <w:lang w:val="ro-MD"/>
        </w:rPr>
        <w:t>.</w:t>
      </w:r>
      <w:r w:rsidRPr="000508B6">
        <w:rPr>
          <w:rFonts w:ascii="Times New Roman" w:hAnsi="Times New Roman" w:cs="Times New Roman"/>
          <w:lang w:val="ro-MD"/>
        </w:rPr>
        <w:t xml:space="preserve">  Cooperarea cu EIOPA </w:t>
      </w:r>
    </w:p>
    <w:p w14:paraId="4557E859" w14:textId="67C97B80" w:rsidR="00AC4E00" w:rsidRPr="000508B6" w:rsidRDefault="00AC4E00" w:rsidP="00CF5AFA">
      <w:pPr>
        <w:pStyle w:val="Listparagraf"/>
        <w:numPr>
          <w:ilvl w:val="0"/>
          <w:numId w:val="5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Banca Națională a Moldovei transmite anual către EIOPA următoarele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w:t>
      </w:r>
      <w:r w:rsidRPr="000508B6">
        <w:rPr>
          <w:rFonts w:ascii="Times New Roman" w:hAnsi="Times New Roman" w:cs="Times New Roman"/>
          <w:i/>
          <w:lang w:val="ro-MD"/>
        </w:rPr>
        <w:t xml:space="preserve"> </w:t>
      </w:r>
    </w:p>
    <w:p w14:paraId="4551F52F" w14:textId="51FB11D5" w:rsidR="00AC4E00" w:rsidRPr="000508B6" w:rsidRDefault="00C444CF" w:rsidP="00230ADD">
      <w:pPr>
        <w:pStyle w:val="Listparagraf"/>
        <w:numPr>
          <w:ilvl w:val="2"/>
          <w:numId w:val="55"/>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w:t>
      </w:r>
      <w:r w:rsidR="0084611F" w:rsidRPr="000508B6">
        <w:rPr>
          <w:rFonts w:ascii="Times New Roman" w:hAnsi="Times New Roman" w:cs="Times New Roman"/>
          <w:lang w:val="ro-MD"/>
        </w:rPr>
        <w:t>majorarea medie de capita</w:t>
      </w:r>
      <w:r w:rsidR="00CB679D" w:rsidRPr="000508B6">
        <w:rPr>
          <w:rFonts w:ascii="Times New Roman" w:hAnsi="Times New Roman" w:cs="Times New Roman"/>
          <w:lang w:val="ro-MD"/>
        </w:rPr>
        <w:t>l</w:t>
      </w:r>
      <w:r w:rsidR="0084611F" w:rsidRPr="000508B6">
        <w:rPr>
          <w:rFonts w:ascii="Times New Roman" w:hAnsi="Times New Roman" w:cs="Times New Roman"/>
          <w:lang w:val="ro-MD"/>
        </w:rPr>
        <w:t xml:space="preserve"> per asigurător sau </w:t>
      </w:r>
      <w:proofErr w:type="spellStart"/>
      <w:r w:rsidR="0084611F" w:rsidRPr="000508B6">
        <w:rPr>
          <w:rFonts w:ascii="Times New Roman" w:hAnsi="Times New Roman" w:cs="Times New Roman"/>
          <w:lang w:val="ro-MD"/>
        </w:rPr>
        <w:t>reasigurător</w:t>
      </w:r>
      <w:proofErr w:type="spellEnd"/>
      <w:r w:rsidR="0084611F" w:rsidRPr="000508B6">
        <w:rPr>
          <w:rFonts w:ascii="Times New Roman" w:hAnsi="Times New Roman" w:cs="Times New Roman"/>
          <w:lang w:val="ro-MD"/>
        </w:rPr>
        <w:t xml:space="preserve"> și repartizarea majorărilor de capital</w:t>
      </w:r>
      <w:r w:rsidR="000B606C" w:rsidRPr="000508B6">
        <w:rPr>
          <w:rFonts w:ascii="Times New Roman" w:hAnsi="Times New Roman" w:cs="Times New Roman"/>
          <w:lang w:val="ro-MD"/>
        </w:rPr>
        <w:t>,</w:t>
      </w:r>
      <w:r w:rsidR="0084611F" w:rsidRPr="000508B6">
        <w:rPr>
          <w:rFonts w:ascii="Times New Roman" w:hAnsi="Times New Roman" w:cs="Times New Roman"/>
          <w:lang w:val="ro-MD"/>
        </w:rPr>
        <w:t xml:space="preserve"> impuse de </w:t>
      </w:r>
      <w:r w:rsidR="001B3070" w:rsidRPr="000508B6">
        <w:rPr>
          <w:rFonts w:ascii="Times New Roman" w:hAnsi="Times New Roman" w:cs="Times New Roman"/>
          <w:lang w:val="ro-MD"/>
        </w:rPr>
        <w:t xml:space="preserve">către </w:t>
      </w:r>
      <w:r w:rsidR="0084611F" w:rsidRPr="000508B6">
        <w:rPr>
          <w:rFonts w:ascii="Times New Roman" w:hAnsi="Times New Roman" w:cs="Times New Roman"/>
          <w:lang w:val="ro-MD"/>
        </w:rPr>
        <w:t xml:space="preserve">Banca Națională a Moldovei pe parcursul anului anterior, măsurate ca procent din </w:t>
      </w:r>
      <w:r w:rsidR="00230ADD" w:rsidRPr="000508B6">
        <w:rPr>
          <w:rFonts w:ascii="Times New Roman" w:hAnsi="Times New Roman" w:cs="Times New Roman"/>
          <w:lang w:val="ro-MD"/>
        </w:rPr>
        <w:t>SCR</w:t>
      </w:r>
      <w:r w:rsidR="0084611F" w:rsidRPr="000508B6">
        <w:rPr>
          <w:rFonts w:ascii="Times New Roman" w:hAnsi="Times New Roman" w:cs="Times New Roman"/>
          <w:lang w:val="ro-MD"/>
        </w:rPr>
        <w:t xml:space="preserve"> și prezentate separat pentru:</w:t>
      </w:r>
      <w:r w:rsidR="00AC4E00" w:rsidRPr="000508B6">
        <w:rPr>
          <w:rFonts w:ascii="Times New Roman" w:hAnsi="Times New Roman" w:cs="Times New Roman"/>
          <w:lang w:val="ro-MD"/>
        </w:rPr>
        <w:t xml:space="preserve"> </w:t>
      </w:r>
    </w:p>
    <w:p w14:paraId="7437EDED" w14:textId="4E5F31B2" w:rsidR="00AC4E00" w:rsidRPr="000508B6" w:rsidRDefault="00AC4E00" w:rsidP="00230ADD">
      <w:pPr>
        <w:pStyle w:val="Listparagraf"/>
        <w:numPr>
          <w:ilvl w:val="0"/>
          <w:numId w:val="56"/>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total </w:t>
      </w:r>
      <w:r w:rsidR="0063094A" w:rsidRPr="000508B6">
        <w:rPr>
          <w:rFonts w:ascii="Times New Roman" w:hAnsi="Times New Roman" w:cs="Times New Roman"/>
          <w:lang w:val="ro-MD"/>
        </w:rPr>
        <w:t xml:space="preserve">asigurători sau </w:t>
      </w:r>
      <w:proofErr w:type="spellStart"/>
      <w:r w:rsidR="0063094A"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p>
    <w:p w14:paraId="20AFA5D8" w14:textId="3FDD06E0" w:rsidR="00AC4E00" w:rsidRPr="000508B6" w:rsidRDefault="00BF4462" w:rsidP="00230ADD">
      <w:pPr>
        <w:pStyle w:val="Listparagraf"/>
        <w:numPr>
          <w:ilvl w:val="0"/>
          <w:numId w:val="56"/>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asigurători </w:t>
      </w:r>
      <w:r w:rsidR="00AC4E00" w:rsidRPr="000508B6">
        <w:rPr>
          <w:rFonts w:ascii="Times New Roman" w:hAnsi="Times New Roman" w:cs="Times New Roman"/>
          <w:lang w:val="ro-MD"/>
        </w:rPr>
        <w:t xml:space="preserve">care </w:t>
      </w:r>
      <w:r w:rsidR="00654BDF" w:rsidRPr="000508B6">
        <w:rPr>
          <w:rFonts w:ascii="Times New Roman" w:hAnsi="Times New Roman" w:cs="Times New Roman"/>
          <w:lang w:val="ro-MD"/>
        </w:rPr>
        <w:t>desfășoară activitate de</w:t>
      </w:r>
      <w:r w:rsidR="00AC4E00" w:rsidRPr="000508B6">
        <w:rPr>
          <w:rFonts w:ascii="Times New Roman" w:hAnsi="Times New Roman" w:cs="Times New Roman"/>
          <w:lang w:val="ro-MD"/>
        </w:rPr>
        <w:t xml:space="preserve"> </w:t>
      </w:r>
      <w:r w:rsidR="00654BDF" w:rsidRPr="000508B6">
        <w:rPr>
          <w:rFonts w:ascii="Times New Roman" w:hAnsi="Times New Roman" w:cs="Times New Roman"/>
          <w:lang w:val="ro-MD"/>
        </w:rPr>
        <w:t>asigurare</w:t>
      </w:r>
      <w:r w:rsidR="00AC4E00" w:rsidRPr="000508B6">
        <w:rPr>
          <w:rFonts w:ascii="Times New Roman" w:hAnsi="Times New Roman" w:cs="Times New Roman"/>
          <w:lang w:val="ro-MD"/>
        </w:rPr>
        <w:t xml:space="preserve"> general</w:t>
      </w:r>
      <w:r w:rsidR="00654BDF" w:rsidRPr="000508B6">
        <w:rPr>
          <w:rFonts w:ascii="Times New Roman" w:hAnsi="Times New Roman" w:cs="Times New Roman"/>
          <w:lang w:val="ro-MD"/>
        </w:rPr>
        <w:t>ă</w:t>
      </w:r>
      <w:r w:rsidR="00AC4E00" w:rsidRPr="000508B6">
        <w:rPr>
          <w:rFonts w:ascii="Times New Roman" w:hAnsi="Times New Roman" w:cs="Times New Roman"/>
          <w:lang w:val="ro-MD"/>
        </w:rPr>
        <w:t xml:space="preserve">; </w:t>
      </w:r>
    </w:p>
    <w:p w14:paraId="0D7A15FB" w14:textId="29C8F04B" w:rsidR="00AC4E00" w:rsidRPr="000508B6" w:rsidRDefault="00BF4462" w:rsidP="00230ADD">
      <w:pPr>
        <w:pStyle w:val="Listparagraf"/>
        <w:numPr>
          <w:ilvl w:val="0"/>
          <w:numId w:val="56"/>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asigurători </w:t>
      </w:r>
      <w:r w:rsidR="00AC4E00" w:rsidRPr="000508B6">
        <w:rPr>
          <w:rFonts w:ascii="Times New Roman" w:hAnsi="Times New Roman" w:cs="Times New Roman"/>
          <w:lang w:val="ro-MD"/>
        </w:rPr>
        <w:t xml:space="preserve">care </w:t>
      </w:r>
      <w:r w:rsidR="00654BDF" w:rsidRPr="000508B6">
        <w:rPr>
          <w:rFonts w:ascii="Times New Roman" w:hAnsi="Times New Roman" w:cs="Times New Roman"/>
          <w:lang w:val="ro-MD"/>
        </w:rPr>
        <w:t>desfășoară activitate de asigurare</w:t>
      </w:r>
      <w:r w:rsidR="00AC4E00" w:rsidRPr="000508B6">
        <w:rPr>
          <w:rFonts w:ascii="Times New Roman" w:hAnsi="Times New Roman" w:cs="Times New Roman"/>
          <w:lang w:val="ro-MD"/>
        </w:rPr>
        <w:t xml:space="preserve"> de </w:t>
      </w:r>
      <w:proofErr w:type="spellStart"/>
      <w:r w:rsidR="00AC4E00" w:rsidRPr="000508B6">
        <w:rPr>
          <w:rFonts w:ascii="Times New Roman" w:hAnsi="Times New Roman" w:cs="Times New Roman"/>
          <w:lang w:val="ro-MD"/>
        </w:rPr>
        <w:t>viaţă</w:t>
      </w:r>
      <w:proofErr w:type="spellEnd"/>
      <w:r w:rsidR="00AC4E00" w:rsidRPr="000508B6">
        <w:rPr>
          <w:rFonts w:ascii="Times New Roman" w:hAnsi="Times New Roman" w:cs="Times New Roman"/>
          <w:lang w:val="ro-MD"/>
        </w:rPr>
        <w:t xml:space="preserve">; </w:t>
      </w:r>
    </w:p>
    <w:p w14:paraId="1FA9EEBD" w14:textId="5837CE64" w:rsidR="00AC4E00" w:rsidRPr="000508B6" w:rsidRDefault="00BF4462" w:rsidP="00230ADD">
      <w:pPr>
        <w:pStyle w:val="Listparagraf"/>
        <w:numPr>
          <w:ilvl w:val="0"/>
          <w:numId w:val="56"/>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asigurători compoziți</w:t>
      </w:r>
      <w:r w:rsidR="00AC4E00" w:rsidRPr="000508B6">
        <w:rPr>
          <w:rFonts w:ascii="Times New Roman" w:hAnsi="Times New Roman" w:cs="Times New Roman"/>
          <w:lang w:val="ro-MD"/>
        </w:rPr>
        <w:t xml:space="preserve">; </w:t>
      </w:r>
    </w:p>
    <w:p w14:paraId="5538971C" w14:textId="6FF5AB57" w:rsidR="00AC4E00" w:rsidRPr="000508B6" w:rsidRDefault="00BF4462" w:rsidP="00230ADD">
      <w:pPr>
        <w:pStyle w:val="Listparagraf"/>
        <w:numPr>
          <w:ilvl w:val="0"/>
          <w:numId w:val="56"/>
        </w:numPr>
        <w:tabs>
          <w:tab w:val="left" w:pos="567"/>
          <w:tab w:val="left" w:pos="709"/>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re</w:t>
      </w:r>
      <w:r w:rsidR="00C01595" w:rsidRPr="000508B6">
        <w:rPr>
          <w:rFonts w:ascii="Times New Roman" w:hAnsi="Times New Roman" w:cs="Times New Roman"/>
          <w:lang w:val="ro-MD"/>
        </w:rPr>
        <w:t>asigurători</w:t>
      </w:r>
      <w:proofErr w:type="spellEnd"/>
      <w:r w:rsidR="00AC4E00" w:rsidRPr="000508B6">
        <w:rPr>
          <w:rFonts w:ascii="Times New Roman" w:hAnsi="Times New Roman" w:cs="Times New Roman"/>
          <w:lang w:val="ro-MD"/>
        </w:rPr>
        <w:t xml:space="preserve">; </w:t>
      </w:r>
    </w:p>
    <w:p w14:paraId="7709EDD4" w14:textId="70F2DC72" w:rsidR="00AC4E00" w:rsidRPr="000508B6" w:rsidRDefault="00AC4E00" w:rsidP="00230ADD">
      <w:pPr>
        <w:pStyle w:val="Listparagraf"/>
        <w:numPr>
          <w:ilvl w:val="2"/>
          <w:numId w:val="55"/>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ponderea majorări</w:t>
      </w:r>
      <w:r w:rsidR="0070131E" w:rsidRPr="000508B6">
        <w:rPr>
          <w:rFonts w:ascii="Times New Roman" w:hAnsi="Times New Roman" w:cs="Times New Roman"/>
          <w:lang w:val="ro-MD"/>
        </w:rPr>
        <w:t>lor</w:t>
      </w:r>
      <w:r w:rsidRPr="000508B6">
        <w:rPr>
          <w:rFonts w:ascii="Times New Roman" w:hAnsi="Times New Roman" w:cs="Times New Roman"/>
          <w:lang w:val="ro-MD"/>
        </w:rPr>
        <w:t xml:space="preserve"> de capital impus</w:t>
      </w:r>
      <w:r w:rsidR="0070131E" w:rsidRPr="000508B6">
        <w:rPr>
          <w:rFonts w:ascii="Times New Roman" w:hAnsi="Times New Roman" w:cs="Times New Roman"/>
          <w:lang w:val="ro-MD"/>
        </w:rPr>
        <w:t>e</w:t>
      </w:r>
      <w:r w:rsidRPr="000508B6">
        <w:rPr>
          <w:rFonts w:ascii="Times New Roman" w:hAnsi="Times New Roman" w:cs="Times New Roman"/>
          <w:lang w:val="ro-MD"/>
        </w:rPr>
        <w:t xml:space="preserve"> în conformitate cu prevederile art. </w:t>
      </w:r>
      <w:r w:rsidR="0007239B" w:rsidRPr="000508B6">
        <w:rPr>
          <w:rFonts w:ascii="Times New Roman" w:hAnsi="Times New Roman" w:cs="Times New Roman"/>
          <w:lang w:val="ro-MD"/>
        </w:rPr>
        <w:t>183</w:t>
      </w:r>
      <w:r w:rsidR="000C68FD"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lit. a) – d), defalcat pe categoriile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lit. </w:t>
      </w:r>
      <w:r w:rsidR="00C444CF" w:rsidRPr="000508B6">
        <w:rPr>
          <w:rFonts w:ascii="Times New Roman" w:hAnsi="Times New Roman" w:cs="Times New Roman"/>
          <w:lang w:val="ro-MD"/>
        </w:rPr>
        <w:t>a</w:t>
      </w:r>
      <w:r w:rsidRPr="000508B6">
        <w:rPr>
          <w:rFonts w:ascii="Times New Roman" w:hAnsi="Times New Roman" w:cs="Times New Roman"/>
          <w:lang w:val="ro-MD"/>
        </w:rPr>
        <w:t xml:space="preserve">); </w:t>
      </w:r>
    </w:p>
    <w:p w14:paraId="0D00CEA2" w14:textId="216972EE" w:rsidR="00D0260D" w:rsidRPr="000508B6" w:rsidRDefault="00AC4E00" w:rsidP="00230ADD">
      <w:pPr>
        <w:pStyle w:val="Listparagraf"/>
        <w:numPr>
          <w:ilvl w:val="2"/>
          <w:numId w:val="55"/>
        </w:numPr>
        <w:tabs>
          <w:tab w:val="left" w:pos="567"/>
          <w:tab w:val="left" w:pos="709"/>
          <w:tab w:val="left" w:pos="851"/>
        </w:tabs>
        <w:spacing w:after="0" w:line="240" w:lineRule="auto"/>
        <w:ind w:left="0" w:firstLine="426"/>
        <w:jc w:val="both"/>
        <w:rPr>
          <w:rFonts w:ascii="Times New Roman" w:hAnsi="Times New Roman" w:cs="Times New Roman"/>
          <w:color w:val="000000" w:themeColor="text1"/>
          <w:lang w:val="ro-MD"/>
        </w:rPr>
      </w:pPr>
      <w:r w:rsidRPr="000508B6">
        <w:rPr>
          <w:rFonts w:ascii="Times New Roman" w:hAnsi="Times New Roman" w:cs="Times New Roman"/>
          <w:lang w:val="ro-MD"/>
        </w:rPr>
        <w:t xml:space="preserve">numărul </w:t>
      </w:r>
      <w:r w:rsidR="0063094A" w:rsidRPr="000508B6">
        <w:rPr>
          <w:rFonts w:ascii="Times New Roman" w:hAnsi="Times New Roman" w:cs="Times New Roman"/>
          <w:lang w:val="ro-MD"/>
        </w:rPr>
        <w:t xml:space="preserve">asigurătorilor sau </w:t>
      </w:r>
      <w:proofErr w:type="spellStart"/>
      <w:r w:rsidR="0063094A" w:rsidRPr="000508B6">
        <w:rPr>
          <w:rFonts w:ascii="Times New Roman" w:hAnsi="Times New Roman" w:cs="Times New Roman"/>
          <w:lang w:val="ro-MD"/>
        </w:rPr>
        <w:t>reasigurătorilor</w:t>
      </w:r>
      <w:proofErr w:type="spellEnd"/>
      <w:r w:rsidR="0063094A" w:rsidRPr="000508B6" w:rsidDel="0063094A">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 grupurilor aflate sub </w:t>
      </w:r>
      <w:proofErr w:type="spellStart"/>
      <w:r w:rsidRPr="000508B6">
        <w:rPr>
          <w:rFonts w:ascii="Times New Roman" w:hAnsi="Times New Roman" w:cs="Times New Roman"/>
          <w:lang w:val="ro-MD"/>
        </w:rPr>
        <w:t>incidenţa</w:t>
      </w:r>
      <w:proofErr w:type="spellEnd"/>
      <w:r w:rsidRPr="000508B6">
        <w:rPr>
          <w:rFonts w:ascii="Times New Roman" w:hAnsi="Times New Roman" w:cs="Times New Roman"/>
          <w:lang w:val="ro-MD"/>
        </w:rPr>
        <w:t xml:space="preserve"> prevederilor </w:t>
      </w:r>
      <w:r w:rsidR="00701200" w:rsidRPr="000508B6">
        <w:rPr>
          <w:rFonts w:ascii="Times New Roman" w:hAnsi="Times New Roman" w:cs="Times New Roman"/>
          <w:lang w:val="ro-MD"/>
        </w:rPr>
        <w:t xml:space="preserve">art. 180, respectiv </w:t>
      </w:r>
      <w:r w:rsidR="001D7ED0" w:rsidRPr="000508B6">
        <w:rPr>
          <w:rFonts w:ascii="Times New Roman" w:hAnsi="Times New Roman" w:cs="Times New Roman"/>
          <w:lang w:val="ro-MD"/>
        </w:rPr>
        <w:t xml:space="preserve">art. </w:t>
      </w:r>
      <w:r w:rsidR="00701200" w:rsidRPr="000508B6">
        <w:rPr>
          <w:rFonts w:ascii="Times New Roman" w:hAnsi="Times New Roman" w:cs="Times New Roman"/>
          <w:lang w:val="ro-MD"/>
        </w:rPr>
        <w:t>193 alin.</w:t>
      </w:r>
      <w:r w:rsidR="00C164A4" w:rsidRPr="000508B6">
        <w:rPr>
          <w:rFonts w:ascii="Times New Roman" w:hAnsi="Times New Roman" w:cs="Times New Roman"/>
          <w:lang w:val="ro-MD"/>
        </w:rPr>
        <w:t xml:space="preserve"> </w:t>
      </w:r>
      <w:r w:rsidR="00701200" w:rsidRPr="000508B6">
        <w:rPr>
          <w:rFonts w:ascii="Times New Roman" w:hAnsi="Times New Roman" w:cs="Times New Roman"/>
          <w:lang w:val="ro-MD"/>
        </w:rPr>
        <w:t>(8) și</w:t>
      </w:r>
      <w:r w:rsidRPr="000508B6">
        <w:rPr>
          <w:rFonts w:ascii="Times New Roman" w:hAnsi="Times New Roman" w:cs="Times New Roman"/>
          <w:lang w:val="ro-MD"/>
        </w:rPr>
        <w:t xml:space="preserve"> ponderea </w:t>
      </w:r>
      <w:r w:rsidR="00A010A2" w:rsidRPr="000508B6">
        <w:rPr>
          <w:rFonts w:ascii="Times New Roman" w:hAnsi="Times New Roman" w:cs="Times New Roman"/>
          <w:lang w:val="ro-MD"/>
        </w:rPr>
        <w:t>SCR</w:t>
      </w:r>
      <w:r w:rsidRPr="000508B6">
        <w:rPr>
          <w:rFonts w:ascii="Times New Roman" w:hAnsi="Times New Roman" w:cs="Times New Roman"/>
          <w:lang w:val="ro-MD"/>
        </w:rPr>
        <w:t xml:space="preserve">, calculată conform art. </w:t>
      </w:r>
      <w:r w:rsidR="00C401D4" w:rsidRPr="000508B6">
        <w:rPr>
          <w:rFonts w:ascii="Times New Roman" w:hAnsi="Times New Roman" w:cs="Times New Roman"/>
          <w:lang w:val="ro-MD"/>
        </w:rPr>
        <w:t>64</w:t>
      </w:r>
      <w:r w:rsidR="001D7ED0" w:rsidRPr="000508B6">
        <w:rPr>
          <w:rFonts w:ascii="Times New Roman" w:hAnsi="Times New Roman" w:cs="Times New Roman"/>
          <w:lang w:val="ro-MD"/>
        </w:rPr>
        <w:t xml:space="preserve">– </w:t>
      </w:r>
      <w:r w:rsidR="00C401D4" w:rsidRPr="000508B6">
        <w:rPr>
          <w:rFonts w:ascii="Times New Roman" w:hAnsi="Times New Roman" w:cs="Times New Roman"/>
          <w:lang w:val="ro-MD"/>
        </w:rPr>
        <w:t>87</w:t>
      </w:r>
      <w:r w:rsidRPr="000508B6">
        <w:rPr>
          <w:rFonts w:ascii="Times New Roman" w:hAnsi="Times New Roman" w:cs="Times New Roman"/>
          <w:lang w:val="ro-MD"/>
        </w:rPr>
        <w:t xml:space="preserve">, a </w:t>
      </w:r>
      <w:r w:rsidR="004F71EE" w:rsidRPr="000508B6">
        <w:rPr>
          <w:rFonts w:ascii="Times New Roman" w:hAnsi="Times New Roman" w:cs="Times New Roman"/>
          <w:lang w:val="ro-MD"/>
        </w:rPr>
        <w:t>MCR</w:t>
      </w:r>
      <w:r w:rsidRPr="000508B6">
        <w:rPr>
          <w:rFonts w:ascii="Times New Roman" w:hAnsi="Times New Roman" w:cs="Times New Roman"/>
          <w:lang w:val="ro-MD"/>
        </w:rPr>
        <w:t xml:space="preserve">, calculată conform art. </w:t>
      </w:r>
      <w:r w:rsidR="00C401D4" w:rsidRPr="000508B6">
        <w:rPr>
          <w:rFonts w:ascii="Times New Roman" w:hAnsi="Times New Roman" w:cs="Times New Roman"/>
          <w:lang w:val="ro-MD"/>
        </w:rPr>
        <w:t>88</w:t>
      </w:r>
      <w:r w:rsidR="00EF7894"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C164A4" w:rsidRPr="000508B6">
        <w:rPr>
          <w:rFonts w:ascii="Times New Roman" w:hAnsi="Times New Roman" w:cs="Times New Roman"/>
          <w:lang w:val="ro-MD"/>
        </w:rPr>
        <w:t xml:space="preserve">art. </w:t>
      </w:r>
      <w:r w:rsidR="00C401D4" w:rsidRPr="000508B6">
        <w:rPr>
          <w:rFonts w:ascii="Times New Roman" w:hAnsi="Times New Roman" w:cs="Times New Roman"/>
          <w:lang w:val="ro-MD"/>
        </w:rPr>
        <w:t>89</w:t>
      </w:r>
      <w:r w:rsidRPr="000508B6">
        <w:rPr>
          <w:rFonts w:ascii="Times New Roman" w:hAnsi="Times New Roman" w:cs="Times New Roman"/>
          <w:lang w:val="ro-MD"/>
        </w:rPr>
        <w:t xml:space="preserve">, a primelor, a rezervelor tehnice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activelor acestora în totalul acestor elemente la nivel de </w:t>
      </w:r>
      <w:proofErr w:type="spellStart"/>
      <w:r w:rsidRPr="000508B6">
        <w:rPr>
          <w:rFonts w:ascii="Times New Roman" w:hAnsi="Times New Roman" w:cs="Times New Roman"/>
          <w:lang w:val="ro-MD"/>
        </w:rPr>
        <w:t>piaţă</w:t>
      </w:r>
      <w:proofErr w:type="spellEnd"/>
      <w:r w:rsidR="00D0260D" w:rsidRPr="000508B6">
        <w:rPr>
          <w:rFonts w:ascii="Times New Roman" w:hAnsi="Times New Roman" w:cs="Times New Roman"/>
          <w:lang w:val="ro-MD"/>
        </w:rPr>
        <w:t>;</w:t>
      </w:r>
    </w:p>
    <w:p w14:paraId="54664258" w14:textId="61D7FC22" w:rsidR="00C92F25" w:rsidRPr="000508B6" w:rsidRDefault="00D0260D" w:rsidP="00230ADD">
      <w:pPr>
        <w:pStyle w:val="Listparagraf"/>
        <w:numPr>
          <w:ilvl w:val="2"/>
          <w:numId w:val="55"/>
        </w:numPr>
        <w:tabs>
          <w:tab w:val="left" w:pos="567"/>
          <w:tab w:val="left" w:pos="709"/>
          <w:tab w:val="left" w:pos="851"/>
        </w:tabs>
        <w:spacing w:after="0" w:line="240" w:lineRule="auto"/>
        <w:ind w:left="0" w:firstLine="426"/>
        <w:jc w:val="both"/>
        <w:rPr>
          <w:rFonts w:ascii="Times New Roman" w:hAnsi="Times New Roman" w:cs="Times New Roman"/>
          <w:color w:val="000000" w:themeColor="text1"/>
          <w:lang w:val="ro-MD"/>
        </w:rPr>
      </w:pPr>
      <w:r w:rsidRPr="000508B6">
        <w:rPr>
          <w:rFonts w:ascii="Times New Roman" w:hAnsi="Times New Roman" w:cs="Times New Roman"/>
          <w:lang w:val="ro-MD"/>
        </w:rPr>
        <w:t xml:space="preserve">numărul total de </w:t>
      </w:r>
      <w:r w:rsidR="00572B3E" w:rsidRPr="000508B6">
        <w:rPr>
          <w:rFonts w:ascii="Times New Roman" w:hAnsi="Times New Roman" w:cs="Times New Roman"/>
          <w:lang w:val="ro-MD"/>
        </w:rPr>
        <w:t xml:space="preserve">asigurători sau </w:t>
      </w:r>
      <w:proofErr w:type="spellStart"/>
      <w:r w:rsidR="00572B3E"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w:t>
      </w:r>
      <w:r w:rsidR="0071542D" w:rsidRPr="000508B6">
        <w:rPr>
          <w:rFonts w:ascii="Times New Roman" w:hAnsi="Times New Roman" w:cs="Times New Roman"/>
          <w:lang w:val="ro-MD"/>
        </w:rPr>
        <w:t>împărțit</w:t>
      </w:r>
      <w:r w:rsidRPr="000508B6">
        <w:rPr>
          <w:rFonts w:ascii="Times New Roman" w:hAnsi="Times New Roman" w:cs="Times New Roman"/>
          <w:lang w:val="ro-MD"/>
        </w:rPr>
        <w:t xml:space="preserve"> după </w:t>
      </w:r>
      <w:r w:rsidR="00572B3E" w:rsidRPr="000508B6">
        <w:rPr>
          <w:rFonts w:ascii="Times New Roman" w:hAnsi="Times New Roman" w:cs="Times New Roman"/>
          <w:lang w:val="ro-MD"/>
        </w:rPr>
        <w:t xml:space="preserve">asigurători sau </w:t>
      </w:r>
      <w:proofErr w:type="spellStart"/>
      <w:r w:rsidR="00572B3E" w:rsidRPr="000508B6">
        <w:rPr>
          <w:rFonts w:ascii="Times New Roman" w:hAnsi="Times New Roman" w:cs="Times New Roman"/>
          <w:lang w:val="ro-MD"/>
        </w:rPr>
        <w:t>reasigurători</w:t>
      </w:r>
      <w:proofErr w:type="spellEnd"/>
      <w:r w:rsidR="00572B3E" w:rsidRPr="000508B6" w:rsidDel="00572B3E">
        <w:rPr>
          <w:rFonts w:ascii="Times New Roman" w:hAnsi="Times New Roman" w:cs="Times New Roman"/>
          <w:lang w:val="ro-MD"/>
        </w:rPr>
        <w:t xml:space="preserve"> </w:t>
      </w:r>
      <w:r w:rsidRPr="000508B6">
        <w:rPr>
          <w:rFonts w:ascii="Times New Roman" w:hAnsi="Times New Roman" w:cs="Times New Roman"/>
          <w:lang w:val="ro-MD"/>
        </w:rPr>
        <w:t xml:space="preserve">mici și </w:t>
      </w:r>
      <w:r w:rsidR="0071542D" w:rsidRPr="000508B6">
        <w:rPr>
          <w:rFonts w:ascii="Times New Roman" w:hAnsi="Times New Roman" w:cs="Times New Roman"/>
          <w:lang w:val="ro-MD"/>
        </w:rPr>
        <w:t xml:space="preserve">cu un grad redus de complexitate </w:t>
      </w:r>
      <w:r w:rsidRPr="000508B6">
        <w:rPr>
          <w:rFonts w:ascii="Times New Roman" w:hAnsi="Times New Roman" w:cs="Times New Roman"/>
          <w:lang w:val="ro-MD"/>
        </w:rPr>
        <w:t xml:space="preserve">și </w:t>
      </w:r>
      <w:r w:rsidR="00572B3E" w:rsidRPr="000508B6">
        <w:rPr>
          <w:rFonts w:ascii="Times New Roman" w:hAnsi="Times New Roman" w:cs="Times New Roman"/>
          <w:lang w:val="ro-MD"/>
        </w:rPr>
        <w:t xml:space="preserve">alți asigurători sau </w:t>
      </w:r>
      <w:proofErr w:type="spellStart"/>
      <w:r w:rsidR="00572B3E" w:rsidRPr="000508B6">
        <w:rPr>
          <w:rFonts w:ascii="Times New Roman" w:hAnsi="Times New Roman" w:cs="Times New Roman"/>
          <w:lang w:val="ro-MD"/>
        </w:rPr>
        <w:t>reasigurători</w:t>
      </w:r>
      <w:proofErr w:type="spellEnd"/>
      <w:r w:rsidRPr="000508B6">
        <w:rPr>
          <w:rFonts w:ascii="Times New Roman" w:hAnsi="Times New Roman" w:cs="Times New Roman"/>
          <w:lang w:val="ro-MD"/>
        </w:rPr>
        <w:t>,</w:t>
      </w:r>
      <w:r w:rsidR="0071542D" w:rsidRPr="000508B6">
        <w:rPr>
          <w:rFonts w:ascii="Times New Roman" w:hAnsi="Times New Roman" w:cs="Times New Roman"/>
          <w:lang w:val="ro-MD"/>
        </w:rPr>
        <w:t xml:space="preserve"> care utilizează simplificări sau măsuri de proporționalitate și numărul de </w:t>
      </w:r>
      <w:r w:rsidR="00572B3E" w:rsidRPr="000508B6">
        <w:rPr>
          <w:rFonts w:ascii="Times New Roman" w:hAnsi="Times New Roman" w:cs="Times New Roman"/>
          <w:lang w:val="ro-MD"/>
        </w:rPr>
        <w:t xml:space="preserve">asigurători sau </w:t>
      </w:r>
      <w:proofErr w:type="spellStart"/>
      <w:r w:rsidR="00572B3E" w:rsidRPr="000508B6">
        <w:rPr>
          <w:rFonts w:ascii="Times New Roman" w:hAnsi="Times New Roman" w:cs="Times New Roman"/>
          <w:lang w:val="ro-MD"/>
        </w:rPr>
        <w:t>reasigurători</w:t>
      </w:r>
      <w:proofErr w:type="spellEnd"/>
      <w:r w:rsidR="00572B3E" w:rsidRPr="000508B6" w:rsidDel="00572B3E">
        <w:rPr>
          <w:rFonts w:ascii="Times New Roman" w:hAnsi="Times New Roman" w:cs="Times New Roman"/>
          <w:lang w:val="ro-MD"/>
        </w:rPr>
        <w:t xml:space="preserve"> </w:t>
      </w:r>
      <w:r w:rsidR="0071542D" w:rsidRPr="000508B6">
        <w:rPr>
          <w:rFonts w:ascii="Times New Roman" w:hAnsi="Times New Roman" w:cs="Times New Roman"/>
          <w:lang w:val="ro-MD"/>
        </w:rPr>
        <w:t>care utilizează măsuri de proporționalitate specifice</w:t>
      </w:r>
      <w:r w:rsidR="00C92F25" w:rsidRPr="000508B6">
        <w:rPr>
          <w:rFonts w:ascii="Times New Roman" w:hAnsi="Times New Roman" w:cs="Times New Roman"/>
          <w:lang w:val="ro-MD"/>
        </w:rPr>
        <w:t>;</w:t>
      </w:r>
    </w:p>
    <w:p w14:paraId="6182D3C9" w14:textId="77777777" w:rsidR="002E0938" w:rsidRPr="000508B6" w:rsidRDefault="00C92F25" w:rsidP="00230ADD">
      <w:pPr>
        <w:pStyle w:val="Listparagraf"/>
        <w:numPr>
          <w:ilvl w:val="2"/>
          <w:numId w:val="55"/>
        </w:numPr>
        <w:tabs>
          <w:tab w:val="left" w:pos="567"/>
          <w:tab w:val="left" w:pos="709"/>
          <w:tab w:val="left" w:pos="851"/>
        </w:tabs>
        <w:spacing w:after="0" w:line="240" w:lineRule="auto"/>
        <w:ind w:left="0" w:firstLine="426"/>
        <w:jc w:val="both"/>
        <w:rPr>
          <w:rFonts w:ascii="Times New Roman" w:hAnsi="Times New Roman" w:cs="Times New Roman"/>
          <w:color w:val="000000" w:themeColor="text1"/>
          <w:lang w:val="ro-MD"/>
        </w:rPr>
      </w:pPr>
      <w:r w:rsidRPr="000508B6">
        <w:rPr>
          <w:rFonts w:ascii="Times New Roman" w:hAnsi="Times New Roman" w:cs="Times New Roman"/>
          <w:lang w:val="ro-MD"/>
        </w:rPr>
        <w:t xml:space="preserve">numărul de grupuri, </w:t>
      </w:r>
      <w:r w:rsidR="0071542D" w:rsidRPr="000508B6">
        <w:rPr>
          <w:rFonts w:ascii="Times New Roman" w:hAnsi="Times New Roman" w:cs="Times New Roman"/>
          <w:lang w:val="ro-MD"/>
        </w:rPr>
        <w:t>împărțit</w:t>
      </w:r>
      <w:r w:rsidRPr="000508B6">
        <w:rPr>
          <w:rFonts w:ascii="Times New Roman" w:hAnsi="Times New Roman" w:cs="Times New Roman"/>
          <w:lang w:val="ro-MD"/>
        </w:rPr>
        <w:t xml:space="preserve"> pe </w:t>
      </w:r>
      <w:r w:rsidR="0071542D" w:rsidRPr="000508B6">
        <w:rPr>
          <w:rFonts w:ascii="Times New Roman" w:hAnsi="Times New Roman" w:cs="Times New Roman"/>
          <w:lang w:val="ro-MD"/>
        </w:rPr>
        <w:t>grupuri mici și cu un grad redus de complexitate și altele, care utilizează simplificări sau măsuri de proporționalitate și numărul de grupuri care utilizează măsuri de proporționalitate specifice.</w:t>
      </w:r>
    </w:p>
    <w:p w14:paraId="2EA7B5BF" w14:textId="68E301D0" w:rsidR="002E0938" w:rsidRPr="000508B6" w:rsidRDefault="002E0938" w:rsidP="00230ADD">
      <w:pPr>
        <w:pStyle w:val="Listparagraf"/>
        <w:numPr>
          <w:ilvl w:val="2"/>
          <w:numId w:val="55"/>
        </w:numPr>
        <w:tabs>
          <w:tab w:val="left" w:pos="567"/>
          <w:tab w:val="left" w:pos="709"/>
          <w:tab w:val="left" w:pos="851"/>
        </w:tabs>
        <w:ind w:left="0" w:firstLine="426"/>
        <w:jc w:val="both"/>
        <w:rPr>
          <w:rFonts w:ascii="Times New Roman" w:hAnsi="Times New Roman" w:cs="Times New Roman"/>
          <w:lang w:val="ro-MD"/>
        </w:rPr>
      </w:pPr>
      <w:r w:rsidRPr="000508B6">
        <w:rPr>
          <w:rFonts w:ascii="Times New Roman" w:hAnsi="Times New Roman" w:cs="Times New Roman"/>
          <w:lang w:val="ro-MD"/>
        </w:rPr>
        <w:t xml:space="preserve">lista </w:t>
      </w:r>
      <w:r w:rsidR="00F018C7" w:rsidRPr="000508B6">
        <w:rPr>
          <w:rFonts w:ascii="Times New Roman" w:hAnsi="Times New Roman" w:cs="Times New Roman"/>
          <w:lang w:val="ro-MD"/>
        </w:rPr>
        <w:t xml:space="preserve">asigurătorilor sau </w:t>
      </w:r>
      <w:proofErr w:type="spellStart"/>
      <w:r w:rsidR="00F018C7" w:rsidRPr="000508B6">
        <w:rPr>
          <w:rFonts w:ascii="Times New Roman" w:hAnsi="Times New Roman" w:cs="Times New Roman"/>
          <w:lang w:val="ro-MD"/>
        </w:rPr>
        <w:t>reasigurătorilor</w:t>
      </w:r>
      <w:proofErr w:type="spellEnd"/>
      <w:r w:rsidR="00F018C7" w:rsidRPr="000508B6" w:rsidDel="00F018C7">
        <w:rPr>
          <w:rFonts w:ascii="Times New Roman" w:hAnsi="Times New Roman" w:cs="Times New Roman"/>
          <w:lang w:val="ro-MD"/>
        </w:rPr>
        <w:t xml:space="preserve"> </w:t>
      </w:r>
      <w:r w:rsidRPr="000508B6">
        <w:rPr>
          <w:rFonts w:ascii="Times New Roman" w:hAnsi="Times New Roman" w:cs="Times New Roman"/>
          <w:lang w:val="ro-MD"/>
        </w:rPr>
        <w:t xml:space="preserve">și a grupurilor </w:t>
      </w:r>
      <w:r w:rsidR="00F018C7" w:rsidRPr="000508B6">
        <w:rPr>
          <w:rFonts w:ascii="Times New Roman" w:hAnsi="Times New Roman" w:cs="Times New Roman"/>
          <w:lang w:val="ro-MD"/>
        </w:rPr>
        <w:t xml:space="preserve">cărora le </w:t>
      </w:r>
      <w:r w:rsidRPr="000508B6">
        <w:rPr>
          <w:rFonts w:ascii="Times New Roman" w:hAnsi="Times New Roman" w:cs="Times New Roman"/>
          <w:lang w:val="ro-MD"/>
        </w:rPr>
        <w:t xml:space="preserve">solicită măsurile </w:t>
      </w:r>
      <w:proofErr w:type="spellStart"/>
      <w:r w:rsidRPr="000508B6">
        <w:rPr>
          <w:rFonts w:ascii="Times New Roman" w:hAnsi="Times New Roman" w:cs="Times New Roman"/>
          <w:lang w:val="ro-MD"/>
        </w:rPr>
        <w:t>macroprudențiale</w:t>
      </w:r>
      <w:proofErr w:type="spellEnd"/>
      <w:r w:rsidRPr="000508B6">
        <w:rPr>
          <w:rFonts w:ascii="Times New Roman" w:hAnsi="Times New Roman" w:cs="Times New Roman"/>
          <w:lang w:val="ro-MD"/>
        </w:rPr>
        <w:t xml:space="preserve"> suplimentare</w:t>
      </w:r>
      <w:r w:rsidR="00F018C7" w:rsidRPr="000508B6">
        <w:rPr>
          <w:rFonts w:ascii="Times New Roman" w:hAnsi="Times New Roman" w:cs="Times New Roman"/>
          <w:lang w:val="ro-MD"/>
        </w:rPr>
        <w:t xml:space="preserve"> prevăzute la art</w:t>
      </w:r>
      <w:r w:rsidRPr="000508B6">
        <w:rPr>
          <w:rFonts w:ascii="Times New Roman" w:hAnsi="Times New Roman" w:cs="Times New Roman"/>
          <w:lang w:val="ro-MD"/>
        </w:rPr>
        <w:t>.</w:t>
      </w:r>
      <w:r w:rsidR="002578EE" w:rsidRPr="000508B6">
        <w:rPr>
          <w:rFonts w:ascii="Times New Roman" w:hAnsi="Times New Roman" w:cs="Times New Roman"/>
          <w:lang w:val="ro-MD"/>
        </w:rPr>
        <w:t xml:space="preserve"> </w:t>
      </w:r>
      <w:r w:rsidR="00F018C7" w:rsidRPr="000508B6">
        <w:rPr>
          <w:rFonts w:ascii="Times New Roman" w:hAnsi="Times New Roman" w:cs="Times New Roman"/>
          <w:lang w:val="ro-MD"/>
        </w:rPr>
        <w:t>27 alin.</w:t>
      </w:r>
      <w:r w:rsidR="002578EE" w:rsidRPr="000508B6">
        <w:rPr>
          <w:rFonts w:ascii="Times New Roman" w:hAnsi="Times New Roman" w:cs="Times New Roman"/>
          <w:lang w:val="ro-MD"/>
        </w:rPr>
        <w:t xml:space="preserve"> </w:t>
      </w:r>
      <w:r w:rsidR="00F018C7" w:rsidRPr="000508B6">
        <w:rPr>
          <w:rFonts w:ascii="Times New Roman" w:hAnsi="Times New Roman" w:cs="Times New Roman"/>
          <w:lang w:val="ro-MD"/>
        </w:rPr>
        <w:t>(3)</w:t>
      </w:r>
      <w:r w:rsidR="00A46ACA" w:rsidRPr="000508B6">
        <w:rPr>
          <w:rFonts w:ascii="Times New Roman" w:hAnsi="Times New Roman" w:cs="Times New Roman"/>
          <w:lang w:val="ro-MD"/>
        </w:rPr>
        <w:t>.</w:t>
      </w:r>
      <w:r w:rsidRPr="000508B6">
        <w:rPr>
          <w:rFonts w:ascii="Times New Roman" w:hAnsi="Times New Roman" w:cs="Times New Roman"/>
          <w:lang w:val="ro-MD"/>
        </w:rPr>
        <w:t xml:space="preserve"> </w:t>
      </w:r>
    </w:p>
    <w:p w14:paraId="0C416C01" w14:textId="748F49BF" w:rsidR="00672E20" w:rsidRPr="000508B6" w:rsidRDefault="00672E20" w:rsidP="00230ADD">
      <w:pPr>
        <w:pStyle w:val="Listparagraf"/>
        <w:numPr>
          <w:ilvl w:val="0"/>
          <w:numId w:val="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Atunci </w:t>
      </w:r>
      <w:r w:rsidR="004F71EE" w:rsidRPr="000508B6">
        <w:rPr>
          <w:rFonts w:ascii="Times New Roman" w:hAnsi="Times New Roman" w:cs="Times New Roman"/>
          <w:lang w:val="ro-MD"/>
        </w:rPr>
        <w:t>când</w:t>
      </w:r>
      <w:r w:rsidRPr="000508B6">
        <w:rPr>
          <w:rFonts w:ascii="Times New Roman" w:hAnsi="Times New Roman" w:cs="Times New Roman"/>
          <w:lang w:val="ro-MD"/>
        </w:rPr>
        <w:t xml:space="preserve"> Banca Națională a Moldovei notifică EIOPA conform alin.(1) lit.</w:t>
      </w:r>
      <w:r w:rsidR="002578EE" w:rsidRPr="000508B6">
        <w:rPr>
          <w:rFonts w:ascii="Times New Roman" w:hAnsi="Times New Roman" w:cs="Times New Roman"/>
          <w:lang w:val="ro-MD"/>
        </w:rPr>
        <w:t xml:space="preserve"> </w:t>
      </w:r>
      <w:r w:rsidRPr="000508B6">
        <w:rPr>
          <w:rFonts w:ascii="Times New Roman" w:hAnsi="Times New Roman" w:cs="Times New Roman"/>
          <w:lang w:val="ro-MD"/>
        </w:rPr>
        <w:t>g), notifică și CERS.</w:t>
      </w:r>
      <w:r w:rsidR="00B345BE" w:rsidRPr="000508B6">
        <w:rPr>
          <w:rFonts w:ascii="Times New Roman" w:hAnsi="Times New Roman" w:cs="Times New Roman"/>
          <w:lang w:val="ro-MD"/>
        </w:rPr>
        <w:t xml:space="preserve"> </w:t>
      </w:r>
    </w:p>
    <w:p w14:paraId="396CC95B" w14:textId="28843FC6" w:rsidR="00AC4E00" w:rsidRPr="000508B6" w:rsidRDefault="00AC4E00" w:rsidP="00230ADD">
      <w:pPr>
        <w:pStyle w:val="Listparagraf"/>
        <w:numPr>
          <w:ilvl w:val="0"/>
          <w:numId w:val="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participă la </w:t>
      </w:r>
      <w:proofErr w:type="spellStart"/>
      <w:r w:rsidRPr="000508B6">
        <w:rPr>
          <w:rFonts w:ascii="Times New Roman" w:hAnsi="Times New Roman" w:cs="Times New Roman"/>
          <w:lang w:val="ro-MD"/>
        </w:rPr>
        <w:t>activităţile</w:t>
      </w:r>
      <w:proofErr w:type="spellEnd"/>
      <w:r w:rsidRPr="000508B6">
        <w:rPr>
          <w:rFonts w:ascii="Times New Roman" w:hAnsi="Times New Roman" w:cs="Times New Roman"/>
          <w:lang w:val="ro-MD"/>
        </w:rPr>
        <w:t xml:space="preserve"> organizate de EIOPA, </w:t>
      </w:r>
      <w:proofErr w:type="spellStart"/>
      <w:r w:rsidRPr="000508B6">
        <w:rPr>
          <w:rFonts w:ascii="Times New Roman" w:hAnsi="Times New Roman" w:cs="Times New Roman"/>
          <w:lang w:val="ro-MD"/>
        </w:rPr>
        <w:t>îndeplineşte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atribuţiile</w:t>
      </w:r>
      <w:proofErr w:type="spellEnd"/>
      <w:r w:rsidRPr="000508B6">
        <w:rPr>
          <w:rFonts w:ascii="Times New Roman" w:hAnsi="Times New Roman" w:cs="Times New Roman"/>
          <w:lang w:val="ro-MD"/>
        </w:rPr>
        <w:t xml:space="preserve"> care îi revin în calitate de membru al acesteia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comunică EIOPA modalitatea de aplicare a prevederilor ghidurilor emise de către aceasta. </w:t>
      </w:r>
    </w:p>
    <w:p w14:paraId="3EAF159E" w14:textId="255AD403" w:rsidR="00AC4E00" w:rsidRPr="000508B6" w:rsidRDefault="00AC4E00" w:rsidP="00230ADD">
      <w:pPr>
        <w:pStyle w:val="Listparagraf"/>
        <w:numPr>
          <w:ilvl w:val="0"/>
          <w:numId w:val="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cooperează cu EIOPA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îi furnizează fără întârziere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solicitate de către aceasta. </w:t>
      </w:r>
    </w:p>
    <w:p w14:paraId="5DDD1F78" w14:textId="2B4F8981" w:rsidR="00AC4E00" w:rsidRPr="000508B6" w:rsidRDefault="00AC4E00" w:rsidP="00230ADD">
      <w:pPr>
        <w:pStyle w:val="Listparagraf"/>
        <w:numPr>
          <w:ilvl w:val="0"/>
          <w:numId w:val="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cadrul colegiului supraveghetorilor, Banca Națională a Moldovei poate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cu </w:t>
      </w:r>
      <w:proofErr w:type="spellStart"/>
      <w:r w:rsidRPr="000508B6">
        <w:rPr>
          <w:rFonts w:ascii="Times New Roman" w:hAnsi="Times New Roman" w:cs="Times New Roman"/>
          <w:lang w:val="ro-MD"/>
        </w:rPr>
        <w:t>excepţia</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situaţiilor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urgenţă</w:t>
      </w:r>
      <w:proofErr w:type="spellEnd"/>
      <w:r w:rsidRPr="000508B6">
        <w:rPr>
          <w:rFonts w:ascii="Times New Roman" w:hAnsi="Times New Roman" w:cs="Times New Roman"/>
          <w:lang w:val="ro-MD"/>
        </w:rPr>
        <w:t xml:space="preserve">, dacă există opinii divergente asupra următoarelor: </w:t>
      </w:r>
    </w:p>
    <w:p w14:paraId="070D2CF8" w14:textId="3B0DAC3C" w:rsidR="00AC4E00" w:rsidRPr="000508B6" w:rsidRDefault="00AC4E00" w:rsidP="00230ADD">
      <w:pPr>
        <w:pStyle w:val="Listparagraf"/>
        <w:numPr>
          <w:ilvl w:val="2"/>
          <w:numId w:val="57"/>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aprobarea planului de redresare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extinderea perioadei de redresare</w:t>
      </w:r>
      <w:r w:rsidR="00E90404" w:rsidRPr="000508B6">
        <w:rPr>
          <w:rFonts w:ascii="Times New Roman" w:hAnsi="Times New Roman" w:cs="Times New Roman"/>
          <w:lang w:val="ro-MD"/>
        </w:rPr>
        <w:t xml:space="preserve"> conform prevederilor art. 194 alin.</w:t>
      </w:r>
      <w:r w:rsidR="00166F75" w:rsidRPr="000508B6">
        <w:rPr>
          <w:rFonts w:ascii="Times New Roman" w:hAnsi="Times New Roman" w:cs="Times New Roman"/>
          <w:lang w:val="ro-MD"/>
        </w:rPr>
        <w:t xml:space="preserve"> </w:t>
      </w:r>
      <w:r w:rsidR="00E90404" w:rsidRPr="000508B6">
        <w:rPr>
          <w:rFonts w:ascii="Times New Roman" w:hAnsi="Times New Roman" w:cs="Times New Roman"/>
          <w:lang w:val="ro-MD"/>
        </w:rPr>
        <w:t>(8) și (9)</w:t>
      </w:r>
      <w:r w:rsidRPr="000508B6">
        <w:rPr>
          <w:rFonts w:ascii="Times New Roman" w:hAnsi="Times New Roman" w:cs="Times New Roman"/>
          <w:lang w:val="ro-MD"/>
        </w:rPr>
        <w:t>;</w:t>
      </w:r>
    </w:p>
    <w:p w14:paraId="1F82C890" w14:textId="219DAC43" w:rsidR="00AC4E00" w:rsidRPr="000508B6" w:rsidRDefault="00AC4E00" w:rsidP="00CF5AFA">
      <w:pPr>
        <w:pStyle w:val="Listparagraf"/>
        <w:numPr>
          <w:ilvl w:val="2"/>
          <w:numId w:val="57"/>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aprobarea măsurilor propuse în conformitate cu art. </w:t>
      </w:r>
      <w:r w:rsidR="001C0414" w:rsidRPr="000508B6">
        <w:rPr>
          <w:rFonts w:ascii="Times New Roman" w:hAnsi="Times New Roman" w:cs="Times New Roman"/>
          <w:lang w:val="ro-MD"/>
        </w:rPr>
        <w:t>194</w:t>
      </w:r>
      <w:r w:rsidR="00EF7894"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(10). </w:t>
      </w:r>
    </w:p>
    <w:p w14:paraId="42ACA4FC" w14:textId="780656BC" w:rsidR="003E02BC" w:rsidRPr="000508B6" w:rsidRDefault="003E02BC" w:rsidP="00230ADD">
      <w:pPr>
        <w:pStyle w:val="Listparagraf"/>
        <w:numPr>
          <w:ilvl w:val="0"/>
          <w:numId w:val="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 nu solicită asistență EIOPA în cazurile menționate la alin. (5):</w:t>
      </w:r>
    </w:p>
    <w:p w14:paraId="74423701" w14:textId="5F0DE35F" w:rsidR="003E02BC" w:rsidRPr="000508B6" w:rsidRDefault="003E02BC" w:rsidP="00230ADD">
      <w:pPr>
        <w:pStyle w:val="Listparagraf"/>
        <w:numPr>
          <w:ilvl w:val="1"/>
          <w:numId w:val="409"/>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după expirarea termenului de patru luni sau, respectiv, de o lună de la înaintarea chestiunii, termen în care EIOPA ia o decizie;</w:t>
      </w:r>
    </w:p>
    <w:p w14:paraId="5BA87F3B" w14:textId="221FFFE3" w:rsidR="00F4529E" w:rsidRPr="000508B6" w:rsidRDefault="003E02BC" w:rsidP="00230ADD">
      <w:pPr>
        <w:pStyle w:val="Listparagraf"/>
        <w:numPr>
          <w:ilvl w:val="1"/>
          <w:numId w:val="409"/>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după ce s-a ajuns la un acord în conformitate cu </w:t>
      </w:r>
      <w:r w:rsidR="00E90404" w:rsidRPr="000508B6">
        <w:rPr>
          <w:rFonts w:ascii="Times New Roman" w:hAnsi="Times New Roman" w:cs="Times New Roman"/>
          <w:lang w:val="ro-MD"/>
        </w:rPr>
        <w:t xml:space="preserve">art. 194 </w:t>
      </w:r>
      <w:r w:rsidR="00A07542" w:rsidRPr="000508B6">
        <w:rPr>
          <w:rFonts w:ascii="Times New Roman" w:hAnsi="Times New Roman" w:cs="Times New Roman"/>
          <w:lang w:val="ro-MD"/>
        </w:rPr>
        <w:t>alin.</w:t>
      </w:r>
      <w:r w:rsidR="002578EE" w:rsidRPr="000508B6">
        <w:rPr>
          <w:rFonts w:ascii="Times New Roman" w:hAnsi="Times New Roman" w:cs="Times New Roman"/>
          <w:lang w:val="ro-MD"/>
        </w:rPr>
        <w:t xml:space="preserve"> </w:t>
      </w:r>
      <w:r w:rsidRPr="000508B6">
        <w:rPr>
          <w:rFonts w:ascii="Times New Roman" w:hAnsi="Times New Roman" w:cs="Times New Roman"/>
          <w:lang w:val="ro-MD"/>
        </w:rPr>
        <w:t>(10);</w:t>
      </w:r>
    </w:p>
    <w:p w14:paraId="2B450AF0" w14:textId="02705A94" w:rsidR="003E02BC" w:rsidRPr="000508B6" w:rsidRDefault="00F4529E" w:rsidP="00230ADD">
      <w:pPr>
        <w:pStyle w:val="Listparagraf"/>
        <w:numPr>
          <w:ilvl w:val="1"/>
          <w:numId w:val="409"/>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în cazul situațiilor de urgență menționate la art.</w:t>
      </w:r>
      <w:r w:rsidR="002578EE" w:rsidRPr="000508B6">
        <w:rPr>
          <w:rFonts w:ascii="Times New Roman" w:hAnsi="Times New Roman" w:cs="Times New Roman"/>
          <w:lang w:val="ro-MD"/>
        </w:rPr>
        <w:t xml:space="preserve"> </w:t>
      </w:r>
      <w:r w:rsidRPr="000508B6">
        <w:rPr>
          <w:rFonts w:ascii="Times New Roman" w:hAnsi="Times New Roman" w:cs="Times New Roman"/>
          <w:lang w:val="ro-MD"/>
        </w:rPr>
        <w:t>194 alin. (10).</w:t>
      </w:r>
      <w:r w:rsidR="001F3138" w:rsidRPr="000508B6">
        <w:rPr>
          <w:rFonts w:ascii="Times New Roman" w:hAnsi="Times New Roman" w:cs="Times New Roman"/>
          <w:lang w:val="ro-MD"/>
        </w:rPr>
        <w:t xml:space="preserve"> </w:t>
      </w:r>
    </w:p>
    <w:p w14:paraId="77550511" w14:textId="6BFDCB62" w:rsidR="00AC4E00" w:rsidRPr="000508B6" w:rsidRDefault="00AC4E00" w:rsidP="00230ADD">
      <w:pPr>
        <w:pStyle w:val="Listparagraf"/>
        <w:numPr>
          <w:ilvl w:val="0"/>
          <w:numId w:val="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solicita, de asemenea,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în cazurile prevăzute la art. </w:t>
      </w:r>
      <w:r w:rsidR="0007239B" w:rsidRPr="000508B6">
        <w:rPr>
          <w:rFonts w:ascii="Times New Roman" w:hAnsi="Times New Roman" w:cs="Times New Roman"/>
          <w:lang w:val="ro-MD"/>
        </w:rPr>
        <w:t>188</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la art. </w:t>
      </w:r>
      <w:r w:rsidR="0007239B" w:rsidRPr="000508B6">
        <w:rPr>
          <w:rFonts w:ascii="Times New Roman" w:hAnsi="Times New Roman" w:cs="Times New Roman"/>
          <w:lang w:val="ro-MD"/>
        </w:rPr>
        <w:t>189</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A62CE5" w:rsidRPr="000508B6">
        <w:rPr>
          <w:rFonts w:ascii="Times New Roman" w:hAnsi="Times New Roman" w:cs="Times New Roman"/>
          <w:lang w:val="ro-MD"/>
        </w:rPr>
        <w:t>2</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AB7FEF" w:rsidRPr="000508B6">
        <w:rPr>
          <w:rFonts w:ascii="Times New Roman" w:hAnsi="Times New Roman" w:cs="Times New Roman"/>
          <w:lang w:val="ro-MD"/>
        </w:rPr>
        <w:t>3</w:t>
      </w:r>
      <w:r w:rsidRPr="000508B6">
        <w:rPr>
          <w:rFonts w:ascii="Times New Roman" w:hAnsi="Times New Roman" w:cs="Times New Roman"/>
          <w:lang w:val="ro-MD"/>
        </w:rPr>
        <w:t xml:space="preserve">). </w:t>
      </w:r>
    </w:p>
    <w:p w14:paraId="13B04554" w14:textId="09C880B1" w:rsidR="00AC4E00" w:rsidRPr="000508B6" w:rsidRDefault="00AC4E00" w:rsidP="00230ADD">
      <w:pPr>
        <w:pStyle w:val="Listparagraf"/>
        <w:numPr>
          <w:ilvl w:val="0"/>
          <w:numId w:val="54"/>
        </w:numPr>
        <w:tabs>
          <w:tab w:val="left" w:pos="567"/>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solicita EIOPA să declare </w:t>
      </w:r>
      <w:proofErr w:type="spellStart"/>
      <w:r w:rsidRPr="000508B6">
        <w:rPr>
          <w:rFonts w:ascii="Times New Roman" w:hAnsi="Times New Roman" w:cs="Times New Roman"/>
          <w:lang w:val="ro-MD"/>
        </w:rPr>
        <w:t>existenţa</w:t>
      </w:r>
      <w:proofErr w:type="spellEnd"/>
      <w:r w:rsidRPr="000508B6">
        <w:rPr>
          <w:rFonts w:ascii="Times New Roman" w:hAnsi="Times New Roman" w:cs="Times New Roman"/>
          <w:lang w:val="ro-MD"/>
        </w:rPr>
        <w:t xml:space="preserve"> unor </w:t>
      </w:r>
      <w:proofErr w:type="spellStart"/>
      <w:r w:rsidRPr="000508B6">
        <w:rPr>
          <w:rFonts w:ascii="Times New Roman" w:hAnsi="Times New Roman" w:cs="Times New Roman"/>
          <w:lang w:val="ro-MD"/>
        </w:rPr>
        <w:t>situaţii</w:t>
      </w:r>
      <w:proofErr w:type="spellEnd"/>
      <w:r w:rsidRPr="000508B6">
        <w:rPr>
          <w:rFonts w:ascii="Times New Roman" w:hAnsi="Times New Roman" w:cs="Times New Roman"/>
          <w:lang w:val="ro-MD"/>
        </w:rPr>
        <w:t xml:space="preserve"> nefavorabile prevăzute la art. </w:t>
      </w:r>
      <w:r w:rsidR="00483051" w:rsidRPr="000508B6">
        <w:rPr>
          <w:rFonts w:ascii="Times New Roman" w:hAnsi="Times New Roman" w:cs="Times New Roman"/>
          <w:lang w:val="ro-MD"/>
        </w:rPr>
        <w:t xml:space="preserve">156 </w:t>
      </w:r>
      <w:r w:rsidRPr="000508B6">
        <w:rPr>
          <w:rFonts w:ascii="Times New Roman" w:hAnsi="Times New Roman" w:cs="Times New Roman"/>
          <w:lang w:val="ro-MD"/>
        </w:rPr>
        <w:t xml:space="preserve">alin. (4), dacă </w:t>
      </w:r>
      <w:r w:rsidR="00965989" w:rsidRPr="000508B6">
        <w:rPr>
          <w:rFonts w:ascii="Times New Roman" w:hAnsi="Times New Roman" w:cs="Times New Roman"/>
          <w:lang w:val="ro-MD"/>
        </w:rPr>
        <w:t xml:space="preserve">asigurătorii sau </w:t>
      </w:r>
      <w:proofErr w:type="spellStart"/>
      <w:r w:rsidR="00965989" w:rsidRPr="000508B6">
        <w:rPr>
          <w:rFonts w:ascii="Times New Roman" w:hAnsi="Times New Roman" w:cs="Times New Roman"/>
          <w:lang w:val="ro-MD"/>
        </w:rPr>
        <w:t>reasigurătorii</w:t>
      </w:r>
      <w:proofErr w:type="spellEnd"/>
      <w:r w:rsidR="00965989" w:rsidRPr="000508B6">
        <w:rPr>
          <w:rFonts w:ascii="Times New Roman" w:hAnsi="Times New Roman" w:cs="Times New Roman"/>
          <w:lang w:val="ro-MD"/>
        </w:rPr>
        <w:t xml:space="preserve"> </w:t>
      </w:r>
      <w:r w:rsidRPr="000508B6">
        <w:rPr>
          <w:rFonts w:ascii="Times New Roman" w:hAnsi="Times New Roman" w:cs="Times New Roman"/>
          <w:lang w:val="ro-MD"/>
        </w:rPr>
        <w:t>respectiv</w:t>
      </w:r>
      <w:r w:rsidR="00965989" w:rsidRPr="000508B6">
        <w:rPr>
          <w:rFonts w:ascii="Times New Roman" w:hAnsi="Times New Roman" w:cs="Times New Roman"/>
          <w:lang w:val="ro-MD"/>
        </w:rPr>
        <w:t>i</w:t>
      </w:r>
      <w:r w:rsidRPr="000508B6">
        <w:rPr>
          <w:rFonts w:ascii="Times New Roman" w:hAnsi="Times New Roman" w:cs="Times New Roman"/>
          <w:lang w:val="ro-MD"/>
        </w:rPr>
        <w:t xml:space="preserve"> sunt grav </w:t>
      </w:r>
      <w:r w:rsidR="00965989" w:rsidRPr="000508B6">
        <w:rPr>
          <w:rFonts w:ascii="Times New Roman" w:hAnsi="Times New Roman" w:cs="Times New Roman"/>
          <w:lang w:val="ro-MD"/>
        </w:rPr>
        <w:t xml:space="preserve">afectați </w:t>
      </w:r>
      <w:r w:rsidRPr="000508B6">
        <w:rPr>
          <w:rFonts w:ascii="Times New Roman" w:hAnsi="Times New Roman" w:cs="Times New Roman"/>
          <w:lang w:val="ro-MD"/>
        </w:rPr>
        <w:t xml:space="preserve">de următoarele aspecte: </w:t>
      </w:r>
    </w:p>
    <w:p w14:paraId="6C606D92" w14:textId="77777777" w:rsidR="00AC4E00" w:rsidRPr="000508B6" w:rsidRDefault="00AC4E00" w:rsidP="00CF5AFA">
      <w:pPr>
        <w:pStyle w:val="Listparagraf"/>
        <w:numPr>
          <w:ilvl w:val="2"/>
          <w:numId w:val="5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manifestarea unui declin neprevăzut, brusc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abrupt al </w:t>
      </w:r>
      <w:proofErr w:type="spellStart"/>
      <w:r w:rsidRPr="000508B6">
        <w:rPr>
          <w:rFonts w:ascii="Times New Roman" w:hAnsi="Times New Roman" w:cs="Times New Roman"/>
          <w:lang w:val="ro-MD"/>
        </w:rPr>
        <w:t>pieţelor</w:t>
      </w:r>
      <w:proofErr w:type="spellEnd"/>
      <w:r w:rsidRPr="000508B6">
        <w:rPr>
          <w:rFonts w:ascii="Times New Roman" w:hAnsi="Times New Roman" w:cs="Times New Roman"/>
          <w:lang w:val="ro-MD"/>
        </w:rPr>
        <w:t xml:space="preserve"> financiare; </w:t>
      </w:r>
    </w:p>
    <w:p w14:paraId="4A5873DF" w14:textId="77777777" w:rsidR="00AC4E00" w:rsidRPr="000508B6" w:rsidRDefault="00AC4E00" w:rsidP="00CF5AFA">
      <w:pPr>
        <w:pStyle w:val="Listparagraf"/>
        <w:numPr>
          <w:ilvl w:val="2"/>
          <w:numId w:val="58"/>
        </w:numPr>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menţinerea</w:t>
      </w:r>
      <w:proofErr w:type="spellEnd"/>
      <w:r w:rsidRPr="000508B6">
        <w:rPr>
          <w:rFonts w:ascii="Times New Roman" w:hAnsi="Times New Roman" w:cs="Times New Roman"/>
          <w:lang w:val="ro-MD"/>
        </w:rPr>
        <w:t xml:space="preserve">, pe o anumită perioadă, a unei rate a dobânzii scăzute; </w:t>
      </w:r>
    </w:p>
    <w:p w14:paraId="3E621957" w14:textId="77777777" w:rsidR="00AC4E00" w:rsidRPr="000508B6" w:rsidRDefault="00AC4E00" w:rsidP="00CF5AFA">
      <w:pPr>
        <w:pStyle w:val="Listparagraf"/>
        <w:numPr>
          <w:ilvl w:val="2"/>
          <w:numId w:val="58"/>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producerea unei catastrofe cu impact major. </w:t>
      </w:r>
    </w:p>
    <w:p w14:paraId="1B81C0C9" w14:textId="38B4C3CE" w:rsidR="00172E6E" w:rsidRPr="000508B6" w:rsidRDefault="00172E6E" w:rsidP="005C59EC">
      <w:pPr>
        <w:pStyle w:val="Listparagraf"/>
        <w:numPr>
          <w:ilvl w:val="0"/>
          <w:numId w:val="5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colaborează </w:t>
      </w:r>
      <w:r w:rsidR="00A07542" w:rsidRPr="000508B6">
        <w:rPr>
          <w:rFonts w:ascii="Times New Roman" w:hAnsi="Times New Roman" w:cs="Times New Roman"/>
          <w:lang w:val="ro-MD"/>
        </w:rPr>
        <w:t xml:space="preserve">în mod regulat </w:t>
      </w:r>
      <w:r w:rsidRPr="000508B6">
        <w:rPr>
          <w:rFonts w:ascii="Times New Roman" w:hAnsi="Times New Roman" w:cs="Times New Roman"/>
          <w:lang w:val="ro-MD"/>
        </w:rPr>
        <w:t>cu EIOPA</w:t>
      </w:r>
      <w:r w:rsidR="00123F1B" w:rsidRPr="000508B6">
        <w:rPr>
          <w:rFonts w:ascii="Times New Roman" w:hAnsi="Times New Roman" w:cs="Times New Roman"/>
          <w:lang w:val="ro-MD"/>
        </w:rPr>
        <w:t xml:space="preserve">, </w:t>
      </w:r>
      <w:r w:rsidRPr="000508B6">
        <w:rPr>
          <w:rFonts w:ascii="Times New Roman" w:hAnsi="Times New Roman" w:cs="Times New Roman"/>
          <w:lang w:val="ro-MD"/>
        </w:rPr>
        <w:t>pentru a determina dacă situațiile menționate la alin. (</w:t>
      </w:r>
      <w:r w:rsidR="009B4F02" w:rsidRPr="000508B6">
        <w:rPr>
          <w:rFonts w:ascii="Times New Roman" w:hAnsi="Times New Roman" w:cs="Times New Roman"/>
          <w:lang w:val="ro-MD"/>
        </w:rPr>
        <w:t>8</w:t>
      </w:r>
      <w:r w:rsidRPr="000508B6">
        <w:rPr>
          <w:rFonts w:ascii="Times New Roman" w:hAnsi="Times New Roman" w:cs="Times New Roman"/>
          <w:lang w:val="ro-MD"/>
        </w:rPr>
        <w:t>)</w:t>
      </w:r>
      <w:r w:rsidR="00123F1B" w:rsidRPr="000508B6">
        <w:rPr>
          <w:rFonts w:ascii="Times New Roman" w:hAnsi="Times New Roman" w:cs="Times New Roman"/>
          <w:lang w:val="ro-MD"/>
        </w:rPr>
        <w:t xml:space="preserve"> se mențin sau dacă este cazul să </w:t>
      </w:r>
      <w:r w:rsidR="005F69A1" w:rsidRPr="000508B6">
        <w:rPr>
          <w:rFonts w:ascii="Times New Roman" w:hAnsi="Times New Roman" w:cs="Times New Roman"/>
          <w:lang w:val="ro-MD"/>
        </w:rPr>
        <w:t>solicite EIOPA încetarea acestora</w:t>
      </w:r>
      <w:r w:rsidRPr="000508B6">
        <w:rPr>
          <w:rFonts w:ascii="Times New Roman" w:hAnsi="Times New Roman" w:cs="Times New Roman"/>
          <w:lang w:val="ro-MD"/>
        </w:rPr>
        <w:t>.</w:t>
      </w:r>
      <w:r w:rsidR="00655B69" w:rsidRPr="000508B6">
        <w:rPr>
          <w:rFonts w:ascii="Times New Roman" w:hAnsi="Times New Roman" w:cs="Times New Roman"/>
          <w:lang w:val="ro-MD"/>
        </w:rPr>
        <w:t xml:space="preserve"> </w:t>
      </w:r>
    </w:p>
    <w:p w14:paraId="5472E496" w14:textId="0DDB7F71" w:rsidR="00AC4E00" w:rsidRPr="000508B6" w:rsidRDefault="00AC4E00" w:rsidP="00230ADD">
      <w:pPr>
        <w:pStyle w:val="Listparagraf"/>
        <w:numPr>
          <w:ilvl w:val="0"/>
          <w:numId w:val="5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Banca Națională a Moldovei transmite </w:t>
      </w:r>
      <w:r w:rsidR="00DA01BF" w:rsidRPr="000508B6">
        <w:rPr>
          <w:rFonts w:ascii="Times New Roman" w:hAnsi="Times New Roman" w:cs="Times New Roman"/>
          <w:lang w:val="ro-MD"/>
        </w:rPr>
        <w:t xml:space="preserve">EIOPA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cu privire la primirea cererilor de aprobare a utilizării unui model intern sau a modificării unui model intern</w:t>
      </w:r>
      <w:r w:rsidR="00DE0D1A" w:rsidRPr="000508B6">
        <w:rPr>
          <w:rFonts w:ascii="Times New Roman" w:hAnsi="Times New Roman" w:cs="Times New Roman"/>
          <w:lang w:val="ro-MD"/>
        </w:rPr>
        <w:t xml:space="preserve">. </w:t>
      </w:r>
      <w:r w:rsidRPr="000508B6">
        <w:rPr>
          <w:rFonts w:ascii="Times New Roman" w:hAnsi="Times New Roman" w:cs="Times New Roman"/>
          <w:lang w:val="ro-MD"/>
        </w:rPr>
        <w:t xml:space="preserve">Banca Națională a Moldovei poate solicita EIOPA </w:t>
      </w:r>
      <w:proofErr w:type="spellStart"/>
      <w:r w:rsidRPr="000508B6">
        <w:rPr>
          <w:rFonts w:ascii="Times New Roman" w:hAnsi="Times New Roman" w:cs="Times New Roman"/>
          <w:lang w:val="ro-MD"/>
        </w:rPr>
        <w:t>asistenţă</w:t>
      </w:r>
      <w:proofErr w:type="spellEnd"/>
      <w:r w:rsidRPr="000508B6">
        <w:rPr>
          <w:rFonts w:ascii="Times New Roman" w:hAnsi="Times New Roman" w:cs="Times New Roman"/>
          <w:lang w:val="ro-MD"/>
        </w:rPr>
        <w:t xml:space="preserve"> tehnică în cadrul procesului de aprobare a cererilor respective. </w:t>
      </w:r>
    </w:p>
    <w:p w14:paraId="56B8415B" w14:textId="3B4980B5" w:rsidR="00AC4E00" w:rsidRPr="000508B6" w:rsidRDefault="00AC4E00" w:rsidP="00CF5AFA">
      <w:pPr>
        <w:pStyle w:val="Listparagraf"/>
        <w:numPr>
          <w:ilvl w:val="0"/>
          <w:numId w:val="54"/>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notifică EIOPA în cazurile prevăzute la art. </w:t>
      </w:r>
      <w:r w:rsidR="0007239B" w:rsidRPr="000508B6">
        <w:rPr>
          <w:rFonts w:ascii="Times New Roman" w:hAnsi="Times New Roman" w:cs="Times New Roman"/>
          <w:lang w:val="ro-MD"/>
        </w:rPr>
        <w:t>188</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(8)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07239B" w:rsidRPr="000508B6">
        <w:rPr>
          <w:rFonts w:ascii="Times New Roman" w:hAnsi="Times New Roman" w:cs="Times New Roman"/>
          <w:lang w:val="ro-MD"/>
        </w:rPr>
        <w:t>189</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A62CE5" w:rsidRPr="000508B6">
        <w:rPr>
          <w:rFonts w:ascii="Times New Roman" w:hAnsi="Times New Roman" w:cs="Times New Roman"/>
          <w:lang w:val="ro-MD"/>
        </w:rPr>
        <w:t>11</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poate solicita acesteia </w:t>
      </w:r>
      <w:proofErr w:type="spellStart"/>
      <w:r w:rsidRPr="000508B6">
        <w:rPr>
          <w:rFonts w:ascii="Times New Roman" w:hAnsi="Times New Roman" w:cs="Times New Roman"/>
          <w:lang w:val="ro-MD"/>
        </w:rPr>
        <w:t>asistenţă</w:t>
      </w:r>
      <w:proofErr w:type="spellEnd"/>
      <w:r w:rsidRPr="000508B6">
        <w:rPr>
          <w:rFonts w:ascii="Times New Roman" w:hAnsi="Times New Roman" w:cs="Times New Roman"/>
          <w:lang w:val="ro-MD"/>
        </w:rPr>
        <w:t xml:space="preserve"> în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prevăzute la art. </w:t>
      </w:r>
      <w:r w:rsidR="0007239B" w:rsidRPr="000508B6">
        <w:rPr>
          <w:rFonts w:ascii="Times New Roman" w:hAnsi="Times New Roman" w:cs="Times New Roman"/>
          <w:lang w:val="ro-MD"/>
        </w:rPr>
        <w:t>188</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(8)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07239B" w:rsidRPr="000508B6">
        <w:rPr>
          <w:rFonts w:ascii="Times New Roman" w:hAnsi="Times New Roman" w:cs="Times New Roman"/>
          <w:lang w:val="ro-MD"/>
        </w:rPr>
        <w:t>189</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w:t>
      </w:r>
      <w:r w:rsidRPr="000508B6">
        <w:rPr>
          <w:rFonts w:ascii="Times New Roman" w:hAnsi="Times New Roman" w:cs="Times New Roman"/>
          <w:lang w:val="ro-MD"/>
        </w:rPr>
        <w:lastRenderedPageBreak/>
        <w:t>(</w:t>
      </w:r>
      <w:r w:rsidR="00A62CE5" w:rsidRPr="000508B6">
        <w:rPr>
          <w:rFonts w:ascii="Times New Roman" w:hAnsi="Times New Roman" w:cs="Times New Roman"/>
          <w:lang w:val="ro-MD"/>
        </w:rPr>
        <w:t>11</w:t>
      </w:r>
      <w:r w:rsidRPr="000508B6">
        <w:rPr>
          <w:rFonts w:ascii="Times New Roman" w:hAnsi="Times New Roman" w:cs="Times New Roman"/>
          <w:lang w:val="ro-MD"/>
        </w:rPr>
        <w:t xml:space="preserve">) atunci când Banca Națională a Moldovei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supraveghetori nu ajung la o </w:t>
      </w:r>
      <w:proofErr w:type="spellStart"/>
      <w:r w:rsidRPr="000508B6">
        <w:rPr>
          <w:rFonts w:ascii="Times New Roman" w:hAnsi="Times New Roman" w:cs="Times New Roman"/>
          <w:lang w:val="ro-MD"/>
        </w:rPr>
        <w:t>soluţie</w:t>
      </w:r>
      <w:proofErr w:type="spellEnd"/>
      <w:r w:rsidRPr="000508B6">
        <w:rPr>
          <w:rFonts w:ascii="Times New Roman" w:hAnsi="Times New Roman" w:cs="Times New Roman"/>
          <w:lang w:val="ro-MD"/>
        </w:rPr>
        <w:t xml:space="preserve"> de comun acord. </w:t>
      </w:r>
    </w:p>
    <w:p w14:paraId="75B02B5A" w14:textId="08DA5708" w:rsidR="00AC4E00" w:rsidRPr="000508B6" w:rsidRDefault="00AC4E00" w:rsidP="005C59EC">
      <w:pPr>
        <w:pStyle w:val="Listparagraf"/>
        <w:numPr>
          <w:ilvl w:val="0"/>
          <w:numId w:val="5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în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în care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de la un supraveghetor dintr-un stat membru de origine o notificare similară celei prevăzute la art. </w:t>
      </w:r>
      <w:r w:rsidR="0007239B" w:rsidRPr="000508B6">
        <w:rPr>
          <w:rFonts w:ascii="Times New Roman" w:hAnsi="Times New Roman" w:cs="Times New Roman"/>
          <w:lang w:val="ro-MD"/>
        </w:rPr>
        <w:t>188</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(8) lit. b) sau de la un supraveghetor dintr-un stat membru gazdă o notificare similară celei prevăzute la art. </w:t>
      </w:r>
      <w:r w:rsidR="0007239B" w:rsidRPr="000508B6">
        <w:rPr>
          <w:rFonts w:ascii="Times New Roman" w:hAnsi="Times New Roman" w:cs="Times New Roman"/>
          <w:lang w:val="ro-MD"/>
        </w:rPr>
        <w:t>189</w:t>
      </w:r>
      <w:r w:rsidR="001F33F8"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A62CE5" w:rsidRPr="000508B6">
        <w:rPr>
          <w:rFonts w:ascii="Times New Roman" w:hAnsi="Times New Roman" w:cs="Times New Roman"/>
          <w:lang w:val="ro-MD"/>
        </w:rPr>
        <w:t>11</w:t>
      </w:r>
      <w:r w:rsidRPr="000508B6">
        <w:rPr>
          <w:rFonts w:ascii="Times New Roman" w:hAnsi="Times New Roman" w:cs="Times New Roman"/>
          <w:lang w:val="ro-MD"/>
        </w:rPr>
        <w:t xml:space="preserve">), numai atunci când Banca Națională a Moldovei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0206DB" w:rsidRPr="000508B6">
        <w:rPr>
          <w:rFonts w:ascii="Times New Roman" w:hAnsi="Times New Roman" w:cs="Times New Roman"/>
          <w:bCs/>
          <w:lang w:val="ro-MD"/>
        </w:rPr>
        <w:t>supraveghetorul din statul membru origine</w:t>
      </w:r>
      <w:r w:rsidRPr="000508B6">
        <w:rPr>
          <w:rFonts w:ascii="Times New Roman" w:hAnsi="Times New Roman" w:cs="Times New Roman"/>
          <w:lang w:val="ro-MD"/>
        </w:rPr>
        <w:t xml:space="preserve"> nu ajung la o </w:t>
      </w:r>
      <w:proofErr w:type="spellStart"/>
      <w:r w:rsidRPr="000508B6">
        <w:rPr>
          <w:rFonts w:ascii="Times New Roman" w:hAnsi="Times New Roman" w:cs="Times New Roman"/>
          <w:lang w:val="ro-MD"/>
        </w:rPr>
        <w:t>soluţie</w:t>
      </w:r>
      <w:proofErr w:type="spellEnd"/>
      <w:r w:rsidRPr="000508B6">
        <w:rPr>
          <w:rFonts w:ascii="Times New Roman" w:hAnsi="Times New Roman" w:cs="Times New Roman"/>
          <w:lang w:val="ro-MD"/>
        </w:rPr>
        <w:t xml:space="preserve"> de comun acord. </w:t>
      </w:r>
    </w:p>
    <w:p w14:paraId="027C2019" w14:textId="4E4D5C4A" w:rsidR="00AC4E00" w:rsidRPr="000508B6" w:rsidRDefault="00AC4E00" w:rsidP="007613FC">
      <w:pPr>
        <w:pStyle w:val="Listparagraf"/>
        <w:numPr>
          <w:ilvl w:val="0"/>
          <w:numId w:val="54"/>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În cazul în care consideră că interesele</w:t>
      </w:r>
      <w:r w:rsidRPr="000508B6" w:rsidDel="00CA7DC0">
        <w:rPr>
          <w:rFonts w:ascii="Times New Roman" w:hAnsi="Times New Roman" w:cs="Times New Roman"/>
          <w:lang w:val="ro-MD"/>
        </w:rPr>
        <w:t xml:space="preserve"> </w:t>
      </w:r>
      <w:r w:rsidR="00CA7DC0" w:rsidRPr="000508B6">
        <w:rPr>
          <w:rFonts w:ascii="Times New Roman" w:hAnsi="Times New Roman" w:cs="Times New Roman"/>
          <w:lang w:val="ro-MD"/>
        </w:rPr>
        <w:t xml:space="preserve">asiguraților </w:t>
      </w:r>
      <w:r w:rsidRPr="000508B6">
        <w:rPr>
          <w:rFonts w:ascii="Times New Roman" w:hAnsi="Times New Roman" w:cs="Times New Roman"/>
          <w:lang w:val="ro-MD"/>
        </w:rPr>
        <w:t xml:space="preserve">sunt afectate, Banca Națională a Moldovei poate solicita EIOPA constituirea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coordonarea unei platforme de colaborare cu scopul de a facilita schimbul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cooperarea dintre supraveghetorii </w:t>
      </w:r>
      <w:proofErr w:type="spellStart"/>
      <w:r w:rsidRPr="000508B6">
        <w:rPr>
          <w:rFonts w:ascii="Times New Roman" w:hAnsi="Times New Roman" w:cs="Times New Roman"/>
          <w:lang w:val="ro-MD"/>
        </w:rPr>
        <w:t>relevanţi</w:t>
      </w:r>
      <w:proofErr w:type="spellEnd"/>
      <w:r w:rsidRPr="000508B6">
        <w:rPr>
          <w:rFonts w:ascii="Times New Roman" w:hAnsi="Times New Roman" w:cs="Times New Roman"/>
          <w:lang w:val="ro-MD"/>
        </w:rPr>
        <w:t xml:space="preserve"> atunci când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intenţionează</w:t>
      </w:r>
      <w:proofErr w:type="spellEnd"/>
      <w:r w:rsidRPr="000508B6">
        <w:rPr>
          <w:rFonts w:ascii="Times New Roman" w:hAnsi="Times New Roman" w:cs="Times New Roman"/>
          <w:lang w:val="ro-MD"/>
        </w:rPr>
        <w:t xml:space="preserve"> să </w:t>
      </w:r>
      <w:proofErr w:type="spellStart"/>
      <w:r w:rsidRPr="000508B6">
        <w:rPr>
          <w:rFonts w:ascii="Times New Roman" w:hAnsi="Times New Roman" w:cs="Times New Roman"/>
          <w:lang w:val="ro-MD"/>
        </w:rPr>
        <w:t>desfăşoare</w:t>
      </w:r>
      <w:proofErr w:type="spellEnd"/>
      <w:r w:rsidRPr="000508B6">
        <w:rPr>
          <w:rFonts w:ascii="Times New Roman" w:hAnsi="Times New Roman" w:cs="Times New Roman"/>
          <w:lang w:val="ro-MD"/>
        </w:rPr>
        <w:t xml:space="preserve"> </w:t>
      </w:r>
      <w:bookmarkStart w:id="170" w:name="_Hlk206341548"/>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în baza dreptului de stabilire sau 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w:t>
      </w:r>
      <w:bookmarkEnd w:id="170"/>
      <w:r w:rsidRPr="000508B6">
        <w:rPr>
          <w:rFonts w:ascii="Times New Roman" w:hAnsi="Times New Roman" w:cs="Times New Roman"/>
          <w:lang w:val="ro-MD"/>
        </w:rPr>
        <w:t xml:space="preserve">i, în Republica Moldova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statele membre,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atunci când:</w:t>
      </w:r>
      <w:r w:rsidRPr="000508B6">
        <w:rPr>
          <w:rFonts w:ascii="Times New Roman" w:hAnsi="Times New Roman" w:cs="Times New Roman"/>
          <w:i/>
          <w:color w:val="FF0000"/>
          <w:lang w:val="ro-MD"/>
        </w:rPr>
        <w:t xml:space="preserve"> </w:t>
      </w:r>
    </w:p>
    <w:p w14:paraId="6EE8110F" w14:textId="17EA1A13" w:rsidR="00AC4E00" w:rsidRPr="000508B6" w:rsidRDefault="00AC4E00" w:rsidP="00230ADD">
      <w:pPr>
        <w:pStyle w:val="Listparagraf"/>
        <w:numPr>
          <w:ilvl w:val="2"/>
          <w:numId w:val="239"/>
        </w:numPr>
        <w:tabs>
          <w:tab w:val="left" w:pos="709"/>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activităţile</w:t>
      </w:r>
      <w:proofErr w:type="spellEnd"/>
      <w:r w:rsidRPr="000508B6">
        <w:rPr>
          <w:rFonts w:ascii="Times New Roman" w:hAnsi="Times New Roman" w:cs="Times New Roman"/>
          <w:lang w:val="ro-MD"/>
        </w:rPr>
        <w:t xml:space="preserve"> sunt relevante pentru </w:t>
      </w:r>
      <w:proofErr w:type="spellStart"/>
      <w:r w:rsidRPr="000508B6">
        <w:rPr>
          <w:rFonts w:ascii="Times New Roman" w:hAnsi="Times New Roman" w:cs="Times New Roman"/>
          <w:lang w:val="ro-MD"/>
        </w:rPr>
        <w:t>piaţa</w:t>
      </w:r>
      <w:proofErr w:type="spellEnd"/>
      <w:r w:rsidRPr="000508B6">
        <w:rPr>
          <w:rFonts w:ascii="Times New Roman" w:hAnsi="Times New Roman" w:cs="Times New Roman"/>
          <w:lang w:val="ro-MD"/>
        </w:rPr>
        <w:t xml:space="preserve"> din </w:t>
      </w:r>
      <w:r w:rsidR="00CF7842" w:rsidRPr="000508B6">
        <w:rPr>
          <w:rFonts w:ascii="Times New Roman" w:hAnsi="Times New Roman" w:cs="Times New Roman"/>
          <w:lang w:val="ro-MD"/>
        </w:rPr>
        <w:t xml:space="preserve">Republica Moldova în calitatea de </w:t>
      </w:r>
      <w:r w:rsidRPr="000508B6">
        <w:rPr>
          <w:rFonts w:ascii="Times New Roman" w:hAnsi="Times New Roman" w:cs="Times New Roman"/>
          <w:lang w:val="ro-MD"/>
        </w:rPr>
        <w:t>stat membru gazdă, inclusiv;</w:t>
      </w:r>
    </w:p>
    <w:p w14:paraId="57E34C35" w14:textId="2AA3598C" w:rsidR="00AC4E00" w:rsidRPr="000508B6" w:rsidRDefault="00AC4E00" w:rsidP="00230ADD">
      <w:pPr>
        <w:pStyle w:val="Listparagraf"/>
        <w:numPr>
          <w:ilvl w:val="2"/>
          <w:numId w:val="23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supraveghetorii din statele membre de origine, inclusiv Banca Națională a Moldovei, transmit</w:t>
      </w:r>
      <w:r w:rsidR="00767F8A" w:rsidRPr="000508B6">
        <w:rPr>
          <w:rFonts w:ascii="Times New Roman" w:hAnsi="Times New Roman" w:cs="Times New Roman"/>
          <w:lang w:val="ro-MD"/>
        </w:rPr>
        <w:t>e</w:t>
      </w:r>
      <w:r w:rsidRPr="000508B6">
        <w:rPr>
          <w:rFonts w:ascii="Times New Roman" w:hAnsi="Times New Roman" w:cs="Times New Roman"/>
          <w:lang w:val="ro-MD"/>
        </w:rPr>
        <w:t xml:space="preserve"> notific</w:t>
      </w:r>
      <w:r w:rsidR="00767F8A" w:rsidRPr="000508B6">
        <w:rPr>
          <w:rFonts w:ascii="Times New Roman" w:hAnsi="Times New Roman" w:cs="Times New Roman"/>
          <w:lang w:val="ro-MD"/>
        </w:rPr>
        <w:t>area</w:t>
      </w:r>
      <w:r w:rsidRPr="000508B6">
        <w:rPr>
          <w:rFonts w:ascii="Times New Roman" w:hAnsi="Times New Roman" w:cs="Times New Roman"/>
          <w:lang w:val="ro-MD"/>
        </w:rPr>
        <w:t xml:space="preserve"> conform </w:t>
      </w:r>
      <w:r w:rsidR="00436D7B" w:rsidRPr="000508B6">
        <w:rPr>
          <w:rFonts w:ascii="Times New Roman" w:hAnsi="Times New Roman" w:cs="Times New Roman"/>
          <w:lang w:val="ro-MD"/>
        </w:rPr>
        <w:t xml:space="preserve">art. 188 </w:t>
      </w:r>
      <w:r w:rsidR="00FE775A" w:rsidRPr="000508B6">
        <w:rPr>
          <w:rFonts w:ascii="Times New Roman" w:hAnsi="Times New Roman" w:cs="Times New Roman"/>
          <w:lang w:val="ro-MD"/>
        </w:rPr>
        <w:t xml:space="preserve">alin. </w:t>
      </w:r>
      <w:r w:rsidR="00456E58" w:rsidRPr="000508B6">
        <w:rPr>
          <w:rFonts w:ascii="Times New Roman" w:hAnsi="Times New Roman" w:cs="Times New Roman"/>
          <w:lang w:val="ro-MD"/>
        </w:rPr>
        <w:t>(</w:t>
      </w:r>
      <w:r w:rsidR="00436D7B" w:rsidRPr="000508B6">
        <w:rPr>
          <w:rFonts w:ascii="Times New Roman" w:hAnsi="Times New Roman" w:cs="Times New Roman"/>
          <w:lang w:val="ro-MD"/>
        </w:rPr>
        <w:t>8</w:t>
      </w:r>
      <w:r w:rsidR="00456E58" w:rsidRPr="000508B6">
        <w:rPr>
          <w:rFonts w:ascii="Times New Roman" w:hAnsi="Times New Roman" w:cs="Times New Roman"/>
          <w:lang w:val="ro-MD"/>
        </w:rPr>
        <w:t>)</w:t>
      </w:r>
      <w:r w:rsidR="00436D7B" w:rsidRPr="000508B6">
        <w:rPr>
          <w:rFonts w:ascii="Times New Roman" w:hAnsi="Times New Roman" w:cs="Times New Roman"/>
          <w:lang w:val="ro-MD"/>
        </w:rPr>
        <w:t xml:space="preserve"> </w:t>
      </w:r>
      <w:proofErr w:type="spellStart"/>
      <w:r w:rsidR="00436D7B" w:rsidRPr="000508B6">
        <w:rPr>
          <w:rFonts w:ascii="Times New Roman" w:hAnsi="Times New Roman" w:cs="Times New Roman"/>
          <w:lang w:val="ro-MD"/>
        </w:rPr>
        <w:t>lit.b</w:t>
      </w:r>
      <w:proofErr w:type="spellEnd"/>
      <w:r w:rsidR="00436D7B" w:rsidRPr="000508B6">
        <w:rPr>
          <w:rFonts w:ascii="Times New Roman" w:hAnsi="Times New Roman" w:cs="Times New Roman"/>
          <w:lang w:val="ro-MD"/>
        </w:rPr>
        <w:t>)</w:t>
      </w:r>
      <w:r w:rsidRPr="000508B6">
        <w:rPr>
          <w:rFonts w:ascii="Times New Roman" w:hAnsi="Times New Roman" w:cs="Times New Roman"/>
          <w:lang w:val="ro-MD"/>
        </w:rPr>
        <w:t>;</w:t>
      </w:r>
    </w:p>
    <w:p w14:paraId="45EF836A" w14:textId="381888FE" w:rsidR="00AC4E00" w:rsidRPr="000508B6" w:rsidRDefault="00AC4E00" w:rsidP="00230ADD">
      <w:pPr>
        <w:pStyle w:val="Listparagraf"/>
        <w:numPr>
          <w:ilvl w:val="2"/>
          <w:numId w:val="239"/>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se solicită </w:t>
      </w:r>
      <w:proofErr w:type="spellStart"/>
      <w:r w:rsidRPr="000508B6">
        <w:rPr>
          <w:rFonts w:ascii="Times New Roman" w:hAnsi="Times New Roman" w:cs="Times New Roman"/>
          <w:lang w:val="ro-MD"/>
        </w:rPr>
        <w:t>asistenţă</w:t>
      </w:r>
      <w:proofErr w:type="spellEnd"/>
      <w:r w:rsidRPr="000508B6">
        <w:rPr>
          <w:rFonts w:ascii="Times New Roman" w:hAnsi="Times New Roman" w:cs="Times New Roman"/>
          <w:lang w:val="ro-MD"/>
        </w:rPr>
        <w:t xml:space="preserve"> EIOPA conform alin. (</w:t>
      </w:r>
      <w:r w:rsidR="00FE775A" w:rsidRPr="000508B6">
        <w:rPr>
          <w:rFonts w:ascii="Times New Roman" w:hAnsi="Times New Roman" w:cs="Times New Roman"/>
          <w:lang w:val="ro-MD"/>
        </w:rPr>
        <w:t>11</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FE775A" w:rsidRPr="000508B6">
        <w:rPr>
          <w:rFonts w:ascii="Times New Roman" w:hAnsi="Times New Roman" w:cs="Times New Roman"/>
          <w:lang w:val="ro-MD"/>
        </w:rPr>
        <w:t>12</w:t>
      </w:r>
      <w:r w:rsidRPr="000508B6">
        <w:rPr>
          <w:rFonts w:ascii="Times New Roman" w:hAnsi="Times New Roman" w:cs="Times New Roman"/>
          <w:lang w:val="ro-MD"/>
        </w:rPr>
        <w:t xml:space="preserve">). </w:t>
      </w:r>
    </w:p>
    <w:p w14:paraId="6F6BB567" w14:textId="6F814BFF" w:rsidR="00393EFC" w:rsidRPr="000508B6" w:rsidRDefault="00393EFC" w:rsidP="00230ADD">
      <w:pPr>
        <w:pStyle w:val="Listparagraf"/>
        <w:numPr>
          <w:ilvl w:val="0"/>
          <w:numId w:val="54"/>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notifica EIOPA în cazul în care există motive semnificative și întemeiate care dovedesc că interesele asiguraților sunt afectate de </w:t>
      </w:r>
      <w:r w:rsidR="00436D7B" w:rsidRPr="000508B6">
        <w:rPr>
          <w:rFonts w:ascii="Times New Roman" w:hAnsi="Times New Roman" w:cs="Times New Roman"/>
          <w:lang w:val="ro-MD"/>
        </w:rPr>
        <w:t xml:space="preserve">asigurătorii sau </w:t>
      </w:r>
      <w:proofErr w:type="spellStart"/>
      <w:r w:rsidR="00436D7B" w:rsidRPr="000508B6">
        <w:rPr>
          <w:rFonts w:ascii="Times New Roman" w:hAnsi="Times New Roman" w:cs="Times New Roman"/>
          <w:lang w:val="ro-MD"/>
        </w:rPr>
        <w:t>reasigurătorii</w:t>
      </w:r>
      <w:proofErr w:type="spellEnd"/>
      <w:r w:rsidR="00436D7B" w:rsidRPr="000508B6">
        <w:rPr>
          <w:rFonts w:ascii="Times New Roman" w:hAnsi="Times New Roman" w:cs="Times New Roman"/>
          <w:lang w:val="ro-MD"/>
        </w:rPr>
        <w:t xml:space="preserve"> </w:t>
      </w:r>
      <w:r w:rsidRPr="000508B6">
        <w:rPr>
          <w:rFonts w:ascii="Times New Roman" w:hAnsi="Times New Roman" w:cs="Times New Roman"/>
          <w:lang w:val="ro-MD"/>
        </w:rPr>
        <w:t xml:space="preserve">din alte state membre care desfășoară în Republica Moldova </w:t>
      </w:r>
      <w:r w:rsidR="00124B7C" w:rsidRPr="000508B6">
        <w:rPr>
          <w:rFonts w:ascii="Times New Roman" w:hAnsi="Times New Roman" w:cs="Times New Roman"/>
          <w:lang w:val="ro-MD"/>
        </w:rPr>
        <w:t xml:space="preserve">activitate în baza dreptului de stabilire sau a </w:t>
      </w:r>
      <w:proofErr w:type="spellStart"/>
      <w:r w:rsidR="00124B7C" w:rsidRPr="000508B6">
        <w:rPr>
          <w:rFonts w:ascii="Times New Roman" w:hAnsi="Times New Roman" w:cs="Times New Roman"/>
          <w:lang w:val="ro-MD"/>
        </w:rPr>
        <w:t>libertăţii</w:t>
      </w:r>
      <w:proofErr w:type="spellEnd"/>
      <w:r w:rsidR="00124B7C" w:rsidRPr="000508B6">
        <w:rPr>
          <w:rFonts w:ascii="Times New Roman" w:hAnsi="Times New Roman" w:cs="Times New Roman"/>
          <w:lang w:val="ro-MD"/>
        </w:rPr>
        <w:t xml:space="preserve"> de a presta servicii.</w:t>
      </w:r>
      <w:r w:rsidRPr="000508B6">
        <w:rPr>
          <w:rFonts w:ascii="Times New Roman" w:hAnsi="Times New Roman" w:cs="Times New Roman"/>
          <w:lang w:val="ro-MD"/>
        </w:rPr>
        <w:t xml:space="preserve"> </w:t>
      </w:r>
    </w:p>
    <w:p w14:paraId="10916482" w14:textId="1D054DAB" w:rsidR="00AC4E00" w:rsidRPr="000508B6" w:rsidRDefault="00AC4E00" w:rsidP="00230ADD">
      <w:pPr>
        <w:pStyle w:val="Listparagraf"/>
        <w:numPr>
          <w:ilvl w:val="0"/>
          <w:numId w:val="54"/>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Prevederile alin. (</w:t>
      </w:r>
      <w:r w:rsidR="00124B7C" w:rsidRPr="000508B6">
        <w:rPr>
          <w:rFonts w:ascii="Times New Roman" w:hAnsi="Times New Roman" w:cs="Times New Roman"/>
          <w:lang w:val="ro-MD"/>
        </w:rPr>
        <w:t>13</w:t>
      </w:r>
      <w:r w:rsidRPr="000508B6">
        <w:rPr>
          <w:rFonts w:ascii="Times New Roman" w:hAnsi="Times New Roman" w:cs="Times New Roman"/>
          <w:lang w:val="ro-MD"/>
        </w:rPr>
        <w:t xml:space="preserve">) nu aduc atingere dreptului Băncii Naționale a Moldovei prevăzut la art. </w:t>
      </w:r>
      <w:r w:rsidR="0007239B" w:rsidRPr="000508B6">
        <w:rPr>
          <w:rFonts w:ascii="Times New Roman" w:hAnsi="Times New Roman" w:cs="Times New Roman"/>
          <w:lang w:val="ro-MD"/>
        </w:rPr>
        <w:t>187</w:t>
      </w:r>
      <w:r w:rsidR="005628C0" w:rsidRPr="000508B6">
        <w:rPr>
          <w:rFonts w:ascii="Times New Roman" w:hAnsi="Times New Roman" w:cs="Times New Roman"/>
          <w:lang w:val="ro-MD"/>
        </w:rPr>
        <w:t xml:space="preserve"> </w:t>
      </w:r>
      <w:r w:rsidRPr="000508B6">
        <w:rPr>
          <w:rFonts w:ascii="Times New Roman" w:hAnsi="Times New Roman" w:cs="Times New Roman"/>
          <w:lang w:val="ro-MD"/>
        </w:rPr>
        <w:t>alin. (1</w:t>
      </w:r>
      <w:r w:rsidR="00684DD4" w:rsidRPr="000508B6">
        <w:rPr>
          <w:rFonts w:ascii="Times New Roman" w:hAnsi="Times New Roman" w:cs="Times New Roman"/>
          <w:lang w:val="ro-MD"/>
        </w:rPr>
        <w:t>) aferent instituirii platformei de colaborare.</w:t>
      </w:r>
      <w:r w:rsidRPr="000508B6">
        <w:rPr>
          <w:rFonts w:ascii="Times New Roman" w:hAnsi="Times New Roman" w:cs="Times New Roman"/>
          <w:lang w:val="ro-MD"/>
        </w:rPr>
        <w:t xml:space="preserve"> </w:t>
      </w:r>
    </w:p>
    <w:p w14:paraId="34C99164" w14:textId="73C30E37" w:rsidR="00AC4E00" w:rsidRPr="000508B6" w:rsidRDefault="007D3387" w:rsidP="00CF5AFA">
      <w:pPr>
        <w:pStyle w:val="Listparagraf"/>
        <w:numPr>
          <w:ilvl w:val="0"/>
          <w:numId w:val="54"/>
        </w:numPr>
        <w:tabs>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la cererea EIOPA sau a </w:t>
      </w:r>
      <w:proofErr w:type="spellStart"/>
      <w:r w:rsidR="008140AD" w:rsidRPr="000508B6">
        <w:rPr>
          <w:rFonts w:ascii="Times New Roman" w:hAnsi="Times New Roman" w:cs="Times New Roman"/>
          <w:lang w:val="ro-MD"/>
        </w:rPr>
        <w:t>celorlați</w:t>
      </w:r>
      <w:proofErr w:type="spellEnd"/>
      <w:r w:rsidR="008140AD" w:rsidRPr="000508B6">
        <w:rPr>
          <w:rFonts w:ascii="Times New Roman" w:hAnsi="Times New Roman" w:cs="Times New Roman"/>
          <w:lang w:val="ro-MD"/>
        </w:rPr>
        <w:t xml:space="preserve"> </w:t>
      </w:r>
      <w:r w:rsidRPr="000508B6">
        <w:rPr>
          <w:rFonts w:ascii="Times New Roman" w:hAnsi="Times New Roman" w:cs="Times New Roman"/>
          <w:lang w:val="ro-MD"/>
        </w:rPr>
        <w:t xml:space="preserve">supraveghetori, în termen rezonabil, toate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solicitate de către aceștia, necesare </w:t>
      </w:r>
      <w:proofErr w:type="spellStart"/>
      <w:r w:rsidRPr="000508B6">
        <w:rPr>
          <w:rFonts w:ascii="Times New Roman" w:hAnsi="Times New Roman" w:cs="Times New Roman"/>
          <w:lang w:val="ro-MD"/>
        </w:rPr>
        <w:t>funcţionării</w:t>
      </w:r>
      <w:proofErr w:type="spellEnd"/>
      <w:r w:rsidRPr="000508B6">
        <w:rPr>
          <w:rFonts w:ascii="Times New Roman" w:hAnsi="Times New Roman" w:cs="Times New Roman"/>
          <w:lang w:val="ro-MD"/>
        </w:rPr>
        <w:t xml:space="preserve"> corespunzătoare a platformei prevăzute la alin. (13).</w:t>
      </w:r>
      <w:r w:rsidRPr="000508B6" w:rsidDel="007D3387">
        <w:rPr>
          <w:rFonts w:ascii="Times New Roman" w:hAnsi="Times New Roman" w:cs="Times New Roman"/>
          <w:lang w:val="ro-MD"/>
        </w:rPr>
        <w:t xml:space="preserve"> </w:t>
      </w:r>
    </w:p>
    <w:p w14:paraId="33DB6BB7" w14:textId="3373925F" w:rsidR="00AC4E00" w:rsidRPr="000508B6" w:rsidRDefault="00AC4E00" w:rsidP="005C59EC">
      <w:pPr>
        <w:pStyle w:val="Listparagraf"/>
        <w:numPr>
          <w:ilvl w:val="0"/>
          <w:numId w:val="54"/>
        </w:numPr>
        <w:tabs>
          <w:tab w:val="left" w:pos="709"/>
          <w:tab w:val="left" w:pos="851"/>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Instituirea de către EIOPA a unei platforme în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scopul prevăzute la alin. (</w:t>
      </w:r>
      <w:r w:rsidR="00CA7677" w:rsidRPr="000508B6">
        <w:rPr>
          <w:rFonts w:ascii="Times New Roman" w:hAnsi="Times New Roman" w:cs="Times New Roman"/>
          <w:lang w:val="ro-MD"/>
        </w:rPr>
        <w:t>13</w:t>
      </w:r>
      <w:r w:rsidRPr="000508B6">
        <w:rPr>
          <w:rFonts w:ascii="Times New Roman" w:hAnsi="Times New Roman" w:cs="Times New Roman"/>
          <w:lang w:val="ro-MD"/>
        </w:rPr>
        <w:t xml:space="preserve">) </w:t>
      </w:r>
      <w:r w:rsidR="0076372A" w:rsidRPr="000508B6">
        <w:rPr>
          <w:rFonts w:ascii="Times New Roman" w:hAnsi="Times New Roman" w:cs="Times New Roman"/>
          <w:lang w:val="ro-MD"/>
        </w:rPr>
        <w:t>și art.187 alin. (1</w:t>
      </w:r>
      <w:r w:rsidRPr="000508B6">
        <w:rPr>
          <w:rFonts w:ascii="Times New Roman" w:hAnsi="Times New Roman" w:cs="Times New Roman"/>
          <w:lang w:val="ro-MD"/>
        </w:rPr>
        <w:t xml:space="preserve">) nu aduce atingere mandatului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competenţelor</w:t>
      </w:r>
      <w:proofErr w:type="spellEnd"/>
      <w:r w:rsidRPr="000508B6">
        <w:rPr>
          <w:rFonts w:ascii="Times New Roman" w:hAnsi="Times New Roman" w:cs="Times New Roman"/>
          <w:lang w:val="ro-MD"/>
        </w:rPr>
        <w:t xml:space="preserve"> de supraveghere ale Băncii Naționale a Moldovei prevăzute de prezenta lege, atât în calitate de supraveghetor din stat membru de origine </w:t>
      </w:r>
      <w:r w:rsidR="00CF7842" w:rsidRPr="000508B6">
        <w:rPr>
          <w:rFonts w:ascii="Times New Roman" w:hAnsi="Times New Roman" w:cs="Times New Roman"/>
          <w:lang w:val="ro-MD"/>
        </w:rPr>
        <w:t>cât</w:t>
      </w:r>
      <w:r w:rsidRPr="000508B6">
        <w:rPr>
          <w:rFonts w:ascii="Times New Roman" w:hAnsi="Times New Roman" w:cs="Times New Roman"/>
          <w:lang w:val="ro-MD"/>
        </w:rPr>
        <w:t xml:space="preserve"> și în calitate de supraveghetor din stat membru gazdă</w:t>
      </w:r>
      <w:r w:rsidR="00CF7842" w:rsidRPr="000508B6">
        <w:rPr>
          <w:rFonts w:ascii="Times New Roman" w:hAnsi="Times New Roman" w:cs="Times New Roman"/>
          <w:lang w:val="ro-MD"/>
        </w:rPr>
        <w:t xml:space="preserve">. </w:t>
      </w:r>
    </w:p>
    <w:p w14:paraId="2C7422A8" w14:textId="0A59D601" w:rsidR="00315062" w:rsidRPr="000508B6" w:rsidRDefault="00F74531" w:rsidP="00CF5AFA">
      <w:pPr>
        <w:pStyle w:val="Listparagraf"/>
        <w:numPr>
          <w:ilvl w:val="0"/>
          <w:numId w:val="54"/>
        </w:numPr>
        <w:tabs>
          <w:tab w:val="left" w:pos="851"/>
        </w:tabs>
        <w:spacing w:after="0" w:line="240" w:lineRule="auto"/>
        <w:ind w:left="0" w:firstLine="426"/>
        <w:jc w:val="both"/>
        <w:rPr>
          <w:rFonts w:ascii="Times New Roman" w:hAnsi="Times New Roman" w:cs="Times New Roman"/>
          <w:lang w:val="ro-MD"/>
        </w:rPr>
      </w:pPr>
      <w:bookmarkStart w:id="171" w:name="_Hlk220325640"/>
      <w:bookmarkStart w:id="172" w:name="_Hlk220325729"/>
      <w:r w:rsidRPr="000508B6">
        <w:rPr>
          <w:rFonts w:ascii="Times New Roman" w:hAnsi="Times New Roman" w:cs="Times New Roman"/>
          <w:lang w:val="ro-MD"/>
        </w:rPr>
        <w:t xml:space="preserve">Atunci </w:t>
      </w:r>
      <w:r w:rsidR="00315062" w:rsidRPr="000508B6">
        <w:rPr>
          <w:rFonts w:ascii="Times New Roman" w:hAnsi="Times New Roman" w:cs="Times New Roman"/>
          <w:lang w:val="ro-MD"/>
        </w:rPr>
        <w:t>când se înființează platforme de colaborare în temeiul alin.</w:t>
      </w:r>
      <w:r w:rsidR="007613FC" w:rsidRPr="000508B6" w:rsidDel="007613FC">
        <w:rPr>
          <w:rFonts w:ascii="Times New Roman" w:hAnsi="Times New Roman" w:cs="Times New Roman"/>
          <w:lang w:val="ro-MD"/>
        </w:rPr>
        <w:t xml:space="preserve"> </w:t>
      </w:r>
      <w:r w:rsidR="00315062" w:rsidRPr="000508B6">
        <w:rPr>
          <w:rFonts w:ascii="Times New Roman" w:hAnsi="Times New Roman" w:cs="Times New Roman"/>
          <w:lang w:val="ro-MD"/>
        </w:rPr>
        <w:t>(</w:t>
      </w:r>
      <w:r w:rsidRPr="000508B6">
        <w:rPr>
          <w:rFonts w:ascii="Times New Roman" w:hAnsi="Times New Roman" w:cs="Times New Roman"/>
          <w:lang w:val="ro-MD"/>
        </w:rPr>
        <w:t>13</w:t>
      </w:r>
      <w:r w:rsidR="00315062" w:rsidRPr="000508B6">
        <w:rPr>
          <w:rFonts w:ascii="Times New Roman" w:hAnsi="Times New Roman" w:cs="Times New Roman"/>
          <w:lang w:val="ro-MD"/>
        </w:rPr>
        <w:t>)</w:t>
      </w:r>
      <w:r w:rsidR="00DE0D1A" w:rsidRPr="000508B6">
        <w:rPr>
          <w:rFonts w:ascii="Times New Roman" w:hAnsi="Times New Roman" w:cs="Times New Roman"/>
          <w:lang w:val="ro-MD"/>
        </w:rPr>
        <w:t xml:space="preserve"> </w:t>
      </w:r>
      <w:r w:rsidRPr="000508B6">
        <w:rPr>
          <w:rFonts w:ascii="Times New Roman" w:hAnsi="Times New Roman" w:cs="Times New Roman"/>
          <w:lang w:val="ro-MD"/>
        </w:rPr>
        <w:t xml:space="preserve">Banca Națională a Moldovei comunică EIOPA informațiile pe care le comunică supraveghetorului din </w:t>
      </w:r>
      <w:r w:rsidR="00881824" w:rsidRPr="000508B6">
        <w:rPr>
          <w:rFonts w:ascii="Times New Roman" w:hAnsi="Times New Roman" w:cs="Times New Roman"/>
          <w:lang w:val="ro-MD"/>
        </w:rPr>
        <w:t>alt</w:t>
      </w:r>
      <w:r w:rsidRPr="000508B6">
        <w:rPr>
          <w:rFonts w:ascii="Times New Roman" w:hAnsi="Times New Roman" w:cs="Times New Roman"/>
          <w:lang w:val="ro-MD"/>
        </w:rPr>
        <w:t xml:space="preserve"> stat membru </w:t>
      </w:r>
      <w:bookmarkStart w:id="173" w:name="_Hlk220325680"/>
      <w:r w:rsidRPr="000508B6">
        <w:rPr>
          <w:rFonts w:ascii="Times New Roman" w:hAnsi="Times New Roman" w:cs="Times New Roman"/>
          <w:lang w:val="ro-MD"/>
        </w:rPr>
        <w:t xml:space="preserve">conform </w:t>
      </w:r>
      <w:bookmarkStart w:id="174" w:name="_Hlk206770153"/>
      <w:bookmarkEnd w:id="171"/>
      <w:r w:rsidR="007235BD" w:rsidRPr="000508B6">
        <w:rPr>
          <w:rFonts w:ascii="Times New Roman" w:hAnsi="Times New Roman" w:cs="Times New Roman"/>
          <w:lang w:val="ro-MD"/>
        </w:rPr>
        <w:t>art.</w:t>
      </w:r>
      <w:r w:rsidR="005C59EC" w:rsidRPr="000508B6">
        <w:rPr>
          <w:rFonts w:ascii="Times New Roman" w:hAnsi="Times New Roman" w:cs="Times New Roman"/>
          <w:lang w:val="ro-MD"/>
        </w:rPr>
        <w:t xml:space="preserve"> </w:t>
      </w:r>
      <w:r w:rsidR="007235BD" w:rsidRPr="000508B6">
        <w:rPr>
          <w:rFonts w:ascii="Times New Roman" w:hAnsi="Times New Roman" w:cs="Times New Roman"/>
          <w:lang w:val="ro-MD"/>
        </w:rPr>
        <w:t>190 și art.</w:t>
      </w:r>
      <w:r w:rsidR="005C59EC" w:rsidRPr="000508B6">
        <w:rPr>
          <w:rFonts w:ascii="Times New Roman" w:hAnsi="Times New Roman" w:cs="Times New Roman"/>
          <w:lang w:val="ro-MD"/>
        </w:rPr>
        <w:t xml:space="preserve"> </w:t>
      </w:r>
      <w:r w:rsidR="007235BD" w:rsidRPr="000508B6">
        <w:rPr>
          <w:rFonts w:ascii="Times New Roman" w:hAnsi="Times New Roman" w:cs="Times New Roman"/>
          <w:lang w:val="ro-MD"/>
        </w:rPr>
        <w:t xml:space="preserve">191. </w:t>
      </w:r>
      <w:bookmarkEnd w:id="173"/>
      <w:bookmarkEnd w:id="174"/>
    </w:p>
    <w:bookmarkEnd w:id="172"/>
    <w:p w14:paraId="7098586E" w14:textId="574B99D8" w:rsidR="00315062" w:rsidRPr="000508B6" w:rsidRDefault="009C79FF" w:rsidP="00CF5AFA">
      <w:pPr>
        <w:pStyle w:val="Listparagraf"/>
        <w:numPr>
          <w:ilvl w:val="0"/>
          <w:numId w:val="54"/>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Atunci </w:t>
      </w:r>
      <w:r w:rsidR="005C59EC" w:rsidRPr="000508B6">
        <w:rPr>
          <w:rFonts w:ascii="Times New Roman" w:hAnsi="Times New Roman" w:cs="Times New Roman"/>
          <w:lang w:val="ro-MD"/>
        </w:rPr>
        <w:t>când</w:t>
      </w:r>
      <w:r w:rsidRPr="000508B6">
        <w:rPr>
          <w:rFonts w:ascii="Times New Roman" w:hAnsi="Times New Roman" w:cs="Times New Roman"/>
          <w:lang w:val="ro-MD"/>
        </w:rPr>
        <w:t xml:space="preserve"> în cadrul platformei de colaborare instituite conform alin. (13)</w:t>
      </w:r>
      <w:r w:rsidR="00315062" w:rsidRPr="000508B6" w:rsidDel="009C79FF">
        <w:rPr>
          <w:rFonts w:ascii="Times New Roman" w:hAnsi="Times New Roman" w:cs="Times New Roman"/>
          <w:lang w:val="ro-MD"/>
        </w:rPr>
        <w:t xml:space="preserve"> </w:t>
      </w:r>
      <w:r w:rsidR="00315062" w:rsidRPr="000508B6">
        <w:rPr>
          <w:rFonts w:ascii="Times New Roman" w:hAnsi="Times New Roman" w:cs="Times New Roman"/>
          <w:lang w:val="ro-MD"/>
        </w:rPr>
        <w:t xml:space="preserve">Banca </w:t>
      </w:r>
      <w:r w:rsidR="00617AC5" w:rsidRPr="000508B6">
        <w:rPr>
          <w:rFonts w:ascii="Times New Roman" w:hAnsi="Times New Roman" w:cs="Times New Roman"/>
          <w:lang w:val="ro-MD"/>
        </w:rPr>
        <w:t xml:space="preserve">Națională </w:t>
      </w:r>
      <w:r w:rsidR="00315062" w:rsidRPr="000508B6">
        <w:rPr>
          <w:rFonts w:ascii="Times New Roman" w:hAnsi="Times New Roman" w:cs="Times New Roman"/>
          <w:lang w:val="ro-MD"/>
        </w:rPr>
        <w:t xml:space="preserve">a Moldovei nu este de acord cu </w:t>
      </w:r>
      <w:r w:rsidRPr="000508B6">
        <w:rPr>
          <w:rFonts w:ascii="Times New Roman" w:hAnsi="Times New Roman" w:cs="Times New Roman"/>
          <w:lang w:val="ro-MD"/>
        </w:rPr>
        <w:t xml:space="preserve">supraveghetorul din statul membru </w:t>
      </w:r>
      <w:r w:rsidR="008140AD" w:rsidRPr="000508B6">
        <w:rPr>
          <w:rFonts w:ascii="Times New Roman" w:hAnsi="Times New Roman" w:cs="Times New Roman"/>
          <w:lang w:val="ro-MD"/>
        </w:rPr>
        <w:t xml:space="preserve">respectiv </w:t>
      </w:r>
      <w:r w:rsidRPr="000508B6">
        <w:rPr>
          <w:rFonts w:ascii="Times New Roman" w:hAnsi="Times New Roman" w:cs="Times New Roman"/>
          <w:lang w:val="ro-MD"/>
        </w:rPr>
        <w:t xml:space="preserve">cu </w:t>
      </w:r>
      <w:r w:rsidR="00315062" w:rsidRPr="000508B6">
        <w:rPr>
          <w:rFonts w:ascii="Times New Roman" w:hAnsi="Times New Roman" w:cs="Times New Roman"/>
          <w:lang w:val="ro-MD"/>
        </w:rPr>
        <w:t xml:space="preserve">privire la procedura sau conținutul unei acțiuni care trebuie întreprinsă sau la lipsa de acțiune în legătură cu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din</w:t>
      </w:r>
      <w:r w:rsidR="00AB05B2" w:rsidRPr="000508B6">
        <w:rPr>
          <w:rFonts w:ascii="Times New Roman" w:hAnsi="Times New Roman" w:cs="Times New Roman"/>
          <w:lang w:val="ro-MD"/>
        </w:rPr>
        <w:t>tr-un</w:t>
      </w:r>
      <w:r w:rsidRPr="000508B6">
        <w:rPr>
          <w:rFonts w:ascii="Times New Roman" w:hAnsi="Times New Roman" w:cs="Times New Roman"/>
          <w:lang w:val="ro-MD"/>
        </w:rPr>
        <w:t xml:space="preserve"> stat membru</w:t>
      </w:r>
      <w:r w:rsidR="00315062" w:rsidRPr="000508B6">
        <w:rPr>
          <w:rFonts w:ascii="Times New Roman" w:hAnsi="Times New Roman" w:cs="Times New Roman"/>
          <w:lang w:val="ro-MD"/>
        </w:rPr>
        <w:t xml:space="preserve"> și</w:t>
      </w:r>
      <w:r w:rsidR="00617AC5" w:rsidRPr="000508B6">
        <w:rPr>
          <w:rFonts w:ascii="Times New Roman" w:hAnsi="Times New Roman" w:cs="Times New Roman"/>
          <w:lang w:val="ro-MD"/>
        </w:rPr>
        <w:t>,</w:t>
      </w:r>
      <w:r w:rsidR="00315062" w:rsidRPr="000508B6">
        <w:rPr>
          <w:rFonts w:ascii="Times New Roman" w:hAnsi="Times New Roman" w:cs="Times New Roman"/>
          <w:lang w:val="ro-MD"/>
        </w:rPr>
        <w:t xml:space="preserve"> </w:t>
      </w:r>
      <w:r w:rsidRPr="000508B6">
        <w:rPr>
          <w:rFonts w:ascii="Times New Roman" w:hAnsi="Times New Roman" w:cs="Times New Roman"/>
          <w:lang w:val="ro-MD"/>
        </w:rPr>
        <w:t xml:space="preserve">în special </w:t>
      </w:r>
      <w:r w:rsidR="00315062" w:rsidRPr="000508B6">
        <w:rPr>
          <w:rFonts w:ascii="Times New Roman" w:hAnsi="Times New Roman" w:cs="Times New Roman"/>
          <w:lang w:val="ro-MD"/>
        </w:rPr>
        <w:t>dacă consideră că există motive justificat</w:t>
      </w:r>
      <w:r w:rsidRPr="000508B6">
        <w:rPr>
          <w:rFonts w:ascii="Times New Roman" w:hAnsi="Times New Roman" w:cs="Times New Roman"/>
          <w:lang w:val="ro-MD"/>
        </w:rPr>
        <w:t>iv</w:t>
      </w:r>
      <w:r w:rsidR="00315062" w:rsidRPr="000508B6">
        <w:rPr>
          <w:rFonts w:ascii="Times New Roman" w:hAnsi="Times New Roman" w:cs="Times New Roman"/>
          <w:lang w:val="ro-MD"/>
        </w:rPr>
        <w:t xml:space="preserve">e </w:t>
      </w:r>
      <w:r w:rsidRPr="000508B6">
        <w:rPr>
          <w:rFonts w:ascii="Times New Roman" w:hAnsi="Times New Roman" w:cs="Times New Roman"/>
          <w:lang w:val="ro-MD"/>
        </w:rPr>
        <w:t>ce pot avea efecte</w:t>
      </w:r>
      <w:r w:rsidR="00315062" w:rsidRPr="000508B6">
        <w:rPr>
          <w:rFonts w:ascii="Times New Roman" w:hAnsi="Times New Roman" w:cs="Times New Roman"/>
          <w:lang w:val="ro-MD"/>
        </w:rPr>
        <w:t xml:space="preserve"> negative asupra intereselor asiguraților, </w:t>
      </w:r>
      <w:r w:rsidRPr="000508B6">
        <w:rPr>
          <w:rFonts w:ascii="Times New Roman" w:hAnsi="Times New Roman" w:cs="Times New Roman"/>
          <w:lang w:val="ro-MD"/>
        </w:rPr>
        <w:t xml:space="preserve">Banca Națională a Moldovei </w:t>
      </w:r>
      <w:r w:rsidR="00436D7B" w:rsidRPr="000508B6">
        <w:rPr>
          <w:rFonts w:ascii="Times New Roman" w:hAnsi="Times New Roman" w:cs="Times New Roman"/>
          <w:lang w:val="ro-MD"/>
        </w:rPr>
        <w:t xml:space="preserve">solicită </w:t>
      </w:r>
      <w:r w:rsidR="00315062" w:rsidRPr="000508B6">
        <w:rPr>
          <w:rFonts w:ascii="Times New Roman" w:hAnsi="Times New Roman" w:cs="Times New Roman"/>
          <w:lang w:val="ro-MD"/>
        </w:rPr>
        <w:t xml:space="preserve">EIOPA, să acorde asistență pentru a se ajunge la un acord. </w:t>
      </w:r>
    </w:p>
    <w:p w14:paraId="78F73D6A" w14:textId="4F8C5FFF" w:rsidR="00315062" w:rsidRPr="000508B6" w:rsidRDefault="00315062" w:rsidP="00230ADD">
      <w:pPr>
        <w:pStyle w:val="Listparagraf"/>
        <w:numPr>
          <w:ilvl w:val="0"/>
          <w:numId w:val="54"/>
        </w:numPr>
        <w:tabs>
          <w:tab w:val="left" w:pos="709"/>
          <w:tab w:val="left" w:pos="851"/>
        </w:tabs>
        <w:spacing w:after="0" w:line="240" w:lineRule="auto"/>
        <w:ind w:left="0" w:firstLine="284"/>
        <w:jc w:val="both"/>
        <w:rPr>
          <w:rFonts w:ascii="Times New Roman" w:hAnsi="Times New Roman" w:cs="Times New Roman"/>
          <w:lang w:val="ro-MD"/>
        </w:rPr>
      </w:pPr>
      <w:bookmarkStart w:id="175" w:name="_Hlk220325760"/>
      <w:r w:rsidRPr="000508B6">
        <w:rPr>
          <w:rFonts w:ascii="Times New Roman" w:hAnsi="Times New Roman" w:cs="Times New Roman"/>
          <w:lang w:val="ro-MD"/>
        </w:rPr>
        <w:t xml:space="preserve">În cazul în care Banca Națională a Moldovei nu este de acord </w:t>
      </w:r>
      <w:r w:rsidR="00B531D6" w:rsidRPr="000508B6">
        <w:rPr>
          <w:rFonts w:ascii="Times New Roman" w:hAnsi="Times New Roman" w:cs="Times New Roman"/>
          <w:lang w:val="ro-MD"/>
        </w:rPr>
        <w:t xml:space="preserve">cu </w:t>
      </w:r>
      <w:r w:rsidR="008140AD" w:rsidRPr="000508B6">
        <w:rPr>
          <w:rFonts w:ascii="Times New Roman" w:hAnsi="Times New Roman" w:cs="Times New Roman"/>
          <w:lang w:val="ro-MD"/>
        </w:rPr>
        <w:t xml:space="preserve">ceilalți </w:t>
      </w:r>
      <w:r w:rsidR="00B531D6" w:rsidRPr="000508B6">
        <w:rPr>
          <w:rFonts w:ascii="Times New Roman" w:hAnsi="Times New Roman" w:cs="Times New Roman"/>
          <w:lang w:val="ro-MD"/>
        </w:rPr>
        <w:t xml:space="preserve">supraveghetori </w:t>
      </w:r>
      <w:r w:rsidR="00DF3D33" w:rsidRPr="000508B6">
        <w:rPr>
          <w:rFonts w:ascii="Times New Roman" w:hAnsi="Times New Roman" w:cs="Times New Roman"/>
          <w:lang w:val="ro-MD"/>
        </w:rPr>
        <w:t>participanți</w:t>
      </w:r>
      <w:r w:rsidR="00B531D6" w:rsidRPr="000508B6">
        <w:rPr>
          <w:rFonts w:ascii="Times New Roman" w:hAnsi="Times New Roman" w:cs="Times New Roman"/>
          <w:lang w:val="ro-MD"/>
        </w:rPr>
        <w:t xml:space="preserve"> la platforma de colaborare în ceea ce privește</w:t>
      </w:r>
      <w:r w:rsidRPr="000508B6">
        <w:rPr>
          <w:rFonts w:ascii="Times New Roman" w:hAnsi="Times New Roman" w:cs="Times New Roman"/>
          <w:lang w:val="ro-MD"/>
        </w:rPr>
        <w:t xml:space="preserve"> schimbul de informații în temeiul alin. </w:t>
      </w:r>
      <w:r w:rsidR="005C59EC" w:rsidRPr="000508B6">
        <w:rPr>
          <w:rFonts w:ascii="Times New Roman" w:hAnsi="Times New Roman" w:cs="Times New Roman"/>
          <w:lang w:val="ro-MD"/>
        </w:rPr>
        <w:t xml:space="preserve"> </w:t>
      </w:r>
      <w:r w:rsidRPr="000508B6">
        <w:rPr>
          <w:rFonts w:ascii="Times New Roman" w:hAnsi="Times New Roman" w:cs="Times New Roman"/>
          <w:lang w:val="ro-MD"/>
        </w:rPr>
        <w:t>(</w:t>
      </w:r>
      <w:r w:rsidR="00F9581E" w:rsidRPr="000508B6">
        <w:rPr>
          <w:rFonts w:ascii="Times New Roman" w:hAnsi="Times New Roman" w:cs="Times New Roman"/>
          <w:lang w:val="ro-MD"/>
        </w:rPr>
        <w:t>16</w:t>
      </w:r>
      <w:r w:rsidRPr="000508B6">
        <w:rPr>
          <w:rFonts w:ascii="Times New Roman" w:hAnsi="Times New Roman" w:cs="Times New Roman"/>
          <w:lang w:val="ro-MD"/>
        </w:rPr>
        <w:t>)</w:t>
      </w:r>
      <w:r w:rsidR="00F9581E" w:rsidRPr="000508B6">
        <w:rPr>
          <w:rFonts w:ascii="Times New Roman" w:hAnsi="Times New Roman" w:cs="Times New Roman"/>
          <w:lang w:val="ro-MD"/>
        </w:rPr>
        <w:t>-(17</w:t>
      </w:r>
      <w:r w:rsidRPr="000508B6">
        <w:rPr>
          <w:rFonts w:ascii="Times New Roman" w:hAnsi="Times New Roman" w:cs="Times New Roman"/>
          <w:lang w:val="ro-MD"/>
        </w:rPr>
        <w:t>)</w:t>
      </w:r>
      <w:r w:rsidR="00436D7B" w:rsidRPr="000508B6">
        <w:rPr>
          <w:rFonts w:ascii="Times New Roman" w:hAnsi="Times New Roman" w:cs="Times New Roman"/>
          <w:lang w:val="ro-MD"/>
        </w:rPr>
        <w:t>,</w:t>
      </w:r>
      <w:r w:rsidRPr="000508B6">
        <w:rPr>
          <w:rFonts w:ascii="Times New Roman" w:hAnsi="Times New Roman" w:cs="Times New Roman"/>
          <w:lang w:val="ro-MD"/>
        </w:rPr>
        <w:t xml:space="preserve"> </w:t>
      </w:r>
      <w:r w:rsidR="00B531D6" w:rsidRPr="000508B6">
        <w:rPr>
          <w:rFonts w:ascii="Times New Roman" w:hAnsi="Times New Roman" w:cs="Times New Roman"/>
          <w:lang w:val="ro-MD"/>
        </w:rPr>
        <w:t xml:space="preserve">art. </w:t>
      </w:r>
      <w:r w:rsidR="007235BD" w:rsidRPr="000508B6">
        <w:rPr>
          <w:rFonts w:ascii="Times New Roman" w:hAnsi="Times New Roman" w:cs="Times New Roman"/>
          <w:lang w:val="ro-MD"/>
        </w:rPr>
        <w:t>190</w:t>
      </w:r>
      <w:r w:rsidR="00B531D6" w:rsidRPr="000508B6">
        <w:rPr>
          <w:rFonts w:ascii="Times New Roman" w:hAnsi="Times New Roman" w:cs="Times New Roman"/>
          <w:lang w:val="ro-MD"/>
        </w:rPr>
        <w:t xml:space="preserve"> alin. (17)</w:t>
      </w:r>
      <w:r w:rsidR="00FB4E88" w:rsidRPr="000508B6">
        <w:rPr>
          <w:rFonts w:ascii="Times New Roman" w:hAnsi="Times New Roman" w:cs="Times New Roman"/>
          <w:lang w:val="ro-MD"/>
        </w:rPr>
        <w:t xml:space="preserve"> și </w:t>
      </w:r>
      <w:r w:rsidR="005C59EC" w:rsidRPr="000508B6">
        <w:rPr>
          <w:rFonts w:ascii="Times New Roman" w:hAnsi="Times New Roman" w:cs="Times New Roman"/>
          <w:lang w:val="ro-MD"/>
        </w:rPr>
        <w:t xml:space="preserve">art. </w:t>
      </w:r>
      <w:r w:rsidR="00BE257F" w:rsidRPr="000508B6">
        <w:rPr>
          <w:rFonts w:ascii="Times New Roman" w:hAnsi="Times New Roman" w:cs="Times New Roman"/>
          <w:lang w:val="ro-MD"/>
        </w:rPr>
        <w:t>191</w:t>
      </w:r>
      <w:r w:rsidR="00436D7B" w:rsidRPr="000508B6">
        <w:rPr>
          <w:rFonts w:ascii="Times New Roman" w:hAnsi="Times New Roman" w:cs="Times New Roman"/>
          <w:lang w:val="ro-MD"/>
        </w:rPr>
        <w:t xml:space="preserve"> alin</w:t>
      </w:r>
      <w:r w:rsidR="00BE257F" w:rsidRPr="000508B6">
        <w:rPr>
          <w:rFonts w:ascii="Times New Roman" w:hAnsi="Times New Roman" w:cs="Times New Roman"/>
          <w:lang w:val="ro-MD"/>
        </w:rPr>
        <w:t xml:space="preserve">. (16) </w:t>
      </w:r>
      <w:r w:rsidR="00617AC5" w:rsidRPr="000508B6">
        <w:rPr>
          <w:rFonts w:ascii="Times New Roman" w:hAnsi="Times New Roman" w:cs="Times New Roman"/>
          <w:lang w:val="ro-MD"/>
        </w:rPr>
        <w:t xml:space="preserve">poate solicita </w:t>
      </w:r>
      <w:r w:rsidR="00BE37C8" w:rsidRPr="000508B6">
        <w:rPr>
          <w:rFonts w:ascii="Times New Roman" w:hAnsi="Times New Roman" w:cs="Times New Roman"/>
          <w:lang w:val="ro-MD"/>
        </w:rPr>
        <w:t xml:space="preserve">asistență </w:t>
      </w:r>
      <w:r w:rsidRPr="000508B6">
        <w:rPr>
          <w:rFonts w:ascii="Times New Roman" w:hAnsi="Times New Roman" w:cs="Times New Roman"/>
          <w:lang w:val="ro-MD"/>
        </w:rPr>
        <w:t xml:space="preserve">EIOPA pentru </w:t>
      </w:r>
      <w:r w:rsidR="00617AC5" w:rsidRPr="000508B6">
        <w:rPr>
          <w:rFonts w:ascii="Times New Roman" w:hAnsi="Times New Roman" w:cs="Times New Roman"/>
          <w:lang w:val="ro-MD"/>
        </w:rPr>
        <w:t xml:space="preserve">a ajunge </w:t>
      </w:r>
      <w:r w:rsidRPr="000508B6">
        <w:rPr>
          <w:rFonts w:ascii="Times New Roman" w:hAnsi="Times New Roman" w:cs="Times New Roman"/>
          <w:lang w:val="ro-MD"/>
        </w:rPr>
        <w:t>la un acord.</w:t>
      </w:r>
      <w:bookmarkEnd w:id="175"/>
    </w:p>
    <w:p w14:paraId="79F6BDF4" w14:textId="5BCC8161" w:rsidR="009B4F02" w:rsidRPr="000508B6" w:rsidRDefault="009B4F02" w:rsidP="00230ADD">
      <w:pPr>
        <w:pStyle w:val="Listparagraf"/>
        <w:numPr>
          <w:ilvl w:val="0"/>
          <w:numId w:val="54"/>
        </w:numPr>
        <w:tabs>
          <w:tab w:val="left" w:pos="709"/>
          <w:tab w:val="left" w:pos="851"/>
        </w:tabs>
        <w:spacing w:after="0" w:line="240" w:lineRule="auto"/>
        <w:ind w:left="0" w:firstLine="284"/>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nu este de acord cu decizia adoptată de un supraveghetor coordonator cu privire la </w:t>
      </w:r>
      <w:proofErr w:type="spellStart"/>
      <w:r w:rsidRPr="000508B6">
        <w:rPr>
          <w:rFonts w:ascii="Times New Roman" w:hAnsi="Times New Roman" w:cs="Times New Roman"/>
          <w:lang w:val="ro-MD"/>
        </w:rPr>
        <w:t>echivalenţa</w:t>
      </w:r>
      <w:proofErr w:type="spellEnd"/>
      <w:r w:rsidRPr="000508B6">
        <w:rPr>
          <w:rFonts w:ascii="Times New Roman" w:hAnsi="Times New Roman" w:cs="Times New Roman"/>
          <w:lang w:val="ro-MD"/>
        </w:rPr>
        <w:t xml:space="preserve"> regimului de licențiere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supraveghere 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poate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în termen de 3 luni de la primirea notificării din partea supraveghetorului coordonator. </w:t>
      </w:r>
    </w:p>
    <w:p w14:paraId="39DC6877" w14:textId="334F1E42" w:rsidR="009B4F02" w:rsidRPr="000508B6" w:rsidRDefault="009B4F02" w:rsidP="005D5515">
      <w:pPr>
        <w:pStyle w:val="Listparagraf"/>
        <w:tabs>
          <w:tab w:val="left" w:pos="851"/>
        </w:tabs>
        <w:spacing w:after="0" w:line="240" w:lineRule="auto"/>
        <w:ind w:left="502"/>
        <w:jc w:val="both"/>
        <w:rPr>
          <w:rFonts w:ascii="Times New Roman" w:hAnsi="Times New Roman" w:cs="Times New Roman"/>
          <w:lang w:val="ro-MD"/>
        </w:rPr>
      </w:pPr>
    </w:p>
    <w:p w14:paraId="7D02D0DB" w14:textId="021616EA" w:rsidR="00AC4E00" w:rsidRPr="000508B6" w:rsidRDefault="00AC4E00" w:rsidP="00AC4E00">
      <w:pPr>
        <w:spacing w:after="0" w:line="240" w:lineRule="auto"/>
        <w:ind w:firstLine="426"/>
        <w:rPr>
          <w:rFonts w:ascii="Times New Roman" w:hAnsi="Times New Roman" w:cs="Times New Roman"/>
          <w:lang w:val="ro-MD"/>
        </w:rPr>
      </w:pPr>
      <w:bookmarkStart w:id="176" w:name="_Hlk218071296"/>
      <w:bookmarkStart w:id="177" w:name="_Hlk220079748"/>
      <w:r w:rsidRPr="000508B6">
        <w:rPr>
          <w:rFonts w:ascii="Times New Roman" w:hAnsi="Times New Roman" w:cs="Times New Roman"/>
          <w:b/>
          <w:lang w:val="ro-MD"/>
        </w:rPr>
        <w:t xml:space="preserve">Articolul </w:t>
      </w:r>
      <w:r w:rsidR="00870A28" w:rsidRPr="000508B6">
        <w:rPr>
          <w:rFonts w:ascii="Times New Roman" w:hAnsi="Times New Roman" w:cs="Times New Roman"/>
          <w:b/>
          <w:lang w:val="ro-MD"/>
        </w:rPr>
        <w:t>187</w:t>
      </w:r>
      <w:r w:rsidRPr="000508B6">
        <w:rPr>
          <w:rFonts w:ascii="Times New Roman" w:hAnsi="Times New Roman" w:cs="Times New Roman"/>
          <w:b/>
          <w:lang w:val="ro-MD"/>
        </w:rPr>
        <w:t>.</w:t>
      </w:r>
      <w:r w:rsidRPr="000508B6">
        <w:rPr>
          <w:rFonts w:ascii="Times New Roman" w:hAnsi="Times New Roman" w:cs="Times New Roman"/>
          <w:lang w:val="ro-MD"/>
        </w:rPr>
        <w:t xml:space="preserve"> Cooperarea cu alte </w:t>
      </w:r>
      <w:proofErr w:type="spellStart"/>
      <w:r w:rsidRPr="000508B6">
        <w:rPr>
          <w:rFonts w:ascii="Times New Roman" w:hAnsi="Times New Roman" w:cs="Times New Roman"/>
          <w:lang w:val="ro-MD"/>
        </w:rPr>
        <w:t>autorităţi</w:t>
      </w:r>
      <w:proofErr w:type="spellEnd"/>
      <w:r w:rsidRPr="000508B6">
        <w:rPr>
          <w:rFonts w:ascii="Times New Roman" w:hAnsi="Times New Roman" w:cs="Times New Roman"/>
          <w:lang w:val="ro-MD"/>
        </w:rPr>
        <w:t xml:space="preserve">, organisme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persoane </w:t>
      </w:r>
    </w:p>
    <w:bookmarkEnd w:id="176"/>
    <w:p w14:paraId="701353F9" w14:textId="65FDFC7F" w:rsidR="00AC4E00" w:rsidRPr="000508B6" w:rsidRDefault="00AC4E00" w:rsidP="00FE7C2C">
      <w:pPr>
        <w:pStyle w:val="Listparagraf"/>
        <w:numPr>
          <w:ilvl w:val="1"/>
          <w:numId w:val="6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efectua schimb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cu </w:t>
      </w:r>
      <w:r w:rsidR="00E43307" w:rsidRPr="000508B6">
        <w:rPr>
          <w:rFonts w:ascii="Times New Roman" w:hAnsi="Times New Roman" w:cs="Times New Roman"/>
          <w:lang w:val="ro-MD"/>
        </w:rPr>
        <w:t xml:space="preserve">alți </w:t>
      </w:r>
      <w:r w:rsidRPr="000508B6">
        <w:rPr>
          <w:rFonts w:ascii="Times New Roman" w:hAnsi="Times New Roman" w:cs="Times New Roman"/>
          <w:lang w:val="ro-MD"/>
        </w:rPr>
        <w:t xml:space="preserve">supraveghetori, cu respectarea prevederilor art. </w:t>
      </w:r>
      <w:r w:rsidR="00B83928" w:rsidRPr="000508B6">
        <w:rPr>
          <w:rFonts w:ascii="Times New Roman" w:hAnsi="Times New Roman" w:cs="Times New Roman"/>
          <w:lang w:val="ro-MD"/>
        </w:rPr>
        <w:t>196</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poate institui de comun acord cu </w:t>
      </w:r>
      <w:proofErr w:type="spellStart"/>
      <w:r w:rsidRPr="000508B6">
        <w:rPr>
          <w:rFonts w:ascii="Times New Roman" w:hAnsi="Times New Roman" w:cs="Times New Roman"/>
          <w:lang w:val="ro-MD"/>
        </w:rPr>
        <w:t>aceştia</w:t>
      </w:r>
      <w:proofErr w:type="spellEnd"/>
      <w:r w:rsidRPr="000508B6">
        <w:rPr>
          <w:rFonts w:ascii="Times New Roman" w:hAnsi="Times New Roman" w:cs="Times New Roman"/>
          <w:lang w:val="ro-MD"/>
        </w:rPr>
        <w:t xml:space="preserve"> o platformă </w:t>
      </w:r>
      <w:r w:rsidR="00CE64EA" w:rsidRPr="000508B6">
        <w:rPr>
          <w:rFonts w:ascii="Times New Roman" w:hAnsi="Times New Roman" w:cs="Times New Roman"/>
          <w:lang w:val="ro-MD"/>
        </w:rPr>
        <w:t xml:space="preserve">de colaborare </w:t>
      </w:r>
      <w:r w:rsidRPr="000508B6">
        <w:rPr>
          <w:rFonts w:ascii="Times New Roman" w:hAnsi="Times New Roman" w:cs="Times New Roman"/>
          <w:lang w:val="ro-MD"/>
        </w:rPr>
        <w:t xml:space="preserve">cu scopul prevăzut la art. </w:t>
      </w:r>
      <w:r w:rsidR="00E362F2" w:rsidRPr="000508B6">
        <w:rPr>
          <w:rFonts w:ascii="Times New Roman" w:hAnsi="Times New Roman" w:cs="Times New Roman"/>
          <w:lang w:val="ro-MD"/>
        </w:rPr>
        <w:t>18</w:t>
      </w:r>
      <w:r w:rsidR="00870A28" w:rsidRPr="000508B6">
        <w:rPr>
          <w:rFonts w:ascii="Times New Roman" w:hAnsi="Times New Roman" w:cs="Times New Roman"/>
          <w:lang w:val="ro-MD"/>
        </w:rPr>
        <w:t>6</w:t>
      </w:r>
      <w:r w:rsidR="00E362F2"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4D2F1B" w:rsidRPr="000508B6">
        <w:rPr>
          <w:rFonts w:ascii="Times New Roman" w:hAnsi="Times New Roman" w:cs="Times New Roman"/>
          <w:lang w:val="ro-MD"/>
        </w:rPr>
        <w:t>13</w:t>
      </w:r>
      <w:r w:rsidRPr="000508B6">
        <w:rPr>
          <w:rFonts w:ascii="Times New Roman" w:hAnsi="Times New Roman" w:cs="Times New Roman"/>
          <w:lang w:val="ro-MD"/>
        </w:rPr>
        <w:t xml:space="preserve">), fără ca acest lucru să aducă atingere mandatului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competenţelor</w:t>
      </w:r>
      <w:proofErr w:type="spellEnd"/>
      <w:r w:rsidRPr="000508B6">
        <w:rPr>
          <w:rFonts w:ascii="Times New Roman" w:hAnsi="Times New Roman" w:cs="Times New Roman"/>
          <w:lang w:val="ro-MD"/>
        </w:rPr>
        <w:t xml:space="preserve"> de supraveghere ale Băncii Naționale a Moldovei prevăzute de prezenta lege, atât în calitate de supraveghetor din stat membru de origine,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calitate de supraveghetor din stat membru gazdă.  </w:t>
      </w:r>
    </w:p>
    <w:p w14:paraId="30895F62" w14:textId="36A11B5D" w:rsidR="00AC4E00" w:rsidRPr="000508B6" w:rsidRDefault="00AC4E00" w:rsidP="005C59EC">
      <w:pPr>
        <w:pStyle w:val="Listparagraf"/>
        <w:numPr>
          <w:ilvl w:val="1"/>
          <w:numId w:val="6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poate încheia acorduri de cooperare privind schimbul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cu supraveghetorii sau </w:t>
      </w:r>
      <w:proofErr w:type="spellStart"/>
      <w:r w:rsidRPr="000508B6">
        <w:rPr>
          <w:rFonts w:ascii="Times New Roman" w:eastAsia="Times New Roman" w:hAnsi="Times New Roman" w:cs="Times New Roman"/>
          <w:lang w:val="ro-MD"/>
        </w:rPr>
        <w:t>autorităţile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organismele competente din state </w:t>
      </w:r>
      <w:proofErr w:type="spellStart"/>
      <w:r w:rsidRPr="000508B6">
        <w:rPr>
          <w:rFonts w:ascii="Times New Roman" w:eastAsia="Times New Roman" w:hAnsi="Times New Roman" w:cs="Times New Roman"/>
          <w:lang w:val="ro-MD"/>
        </w:rPr>
        <w:t>terţe</w:t>
      </w:r>
      <w:proofErr w:type="spellEnd"/>
      <w:r w:rsidRPr="000508B6">
        <w:rPr>
          <w:rFonts w:ascii="Times New Roman" w:eastAsia="Times New Roman" w:hAnsi="Times New Roman" w:cs="Times New Roman"/>
          <w:lang w:val="ro-MD"/>
        </w:rPr>
        <w:t>, similare celor definite la alin. (</w:t>
      </w:r>
      <w:r w:rsidR="00F37BC4"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 xml:space="preserve">), în care se stipulează garantarea secretului profesional, cel </w:t>
      </w:r>
      <w:proofErr w:type="spellStart"/>
      <w:r w:rsidRPr="000508B6">
        <w:rPr>
          <w:rFonts w:ascii="Times New Roman" w:eastAsia="Times New Roman" w:hAnsi="Times New Roman" w:cs="Times New Roman"/>
          <w:lang w:val="ro-MD"/>
        </w:rPr>
        <w:t>puţin</w:t>
      </w:r>
      <w:proofErr w:type="spellEnd"/>
      <w:r w:rsidRPr="000508B6">
        <w:rPr>
          <w:rFonts w:ascii="Times New Roman" w:eastAsia="Times New Roman" w:hAnsi="Times New Roman" w:cs="Times New Roman"/>
          <w:lang w:val="ro-MD"/>
        </w:rPr>
        <w:t xml:space="preserve">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prevăzute la art. </w:t>
      </w:r>
      <w:r w:rsidR="007E6575" w:rsidRPr="000508B6">
        <w:rPr>
          <w:rFonts w:ascii="Times New Roman" w:eastAsia="Times New Roman" w:hAnsi="Times New Roman" w:cs="Times New Roman"/>
          <w:lang w:val="ro-MD"/>
        </w:rPr>
        <w:t>196</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utilizarea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numai în scopul exercitării supravegherii. </w:t>
      </w:r>
    </w:p>
    <w:p w14:paraId="211D0A0C" w14:textId="20E3C612" w:rsidR="00AC4E00" w:rsidRPr="000508B6" w:rsidRDefault="00AC4E00" w:rsidP="00230ADD">
      <w:pPr>
        <w:pStyle w:val="Listparagraf"/>
        <w:numPr>
          <w:ilvl w:val="1"/>
          <w:numId w:val="63"/>
        </w:numPr>
        <w:tabs>
          <w:tab w:val="left" w:pos="709"/>
          <w:tab w:val="left" w:pos="851"/>
        </w:tabs>
        <w:spacing w:after="0" w:line="240" w:lineRule="auto"/>
        <w:ind w:left="0" w:firstLine="426"/>
        <w:jc w:val="both"/>
        <w:rPr>
          <w:rFonts w:ascii="Times New Roman" w:eastAsia="Times New Roman" w:hAnsi="Times New Roman" w:cs="Times New Roman"/>
          <w:lang w:val="ro-MD"/>
        </w:rPr>
      </w:pPr>
      <w:bookmarkStart w:id="178" w:name="_Hlk220331579"/>
      <w:r w:rsidRPr="000508B6">
        <w:rPr>
          <w:rFonts w:ascii="Times New Roman" w:eastAsia="Times New Roman" w:hAnsi="Times New Roman" w:cs="Times New Roman"/>
          <w:lang w:val="ro-MD"/>
        </w:rPr>
        <w:lastRenderedPageBreak/>
        <w:t xml:space="preserve">În cazul în care schimbul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w:t>
      </w:r>
      <w:proofErr w:type="spellEnd"/>
      <w:r w:rsidRPr="000508B6">
        <w:rPr>
          <w:rFonts w:ascii="Times New Roman" w:eastAsia="Times New Roman" w:hAnsi="Times New Roman" w:cs="Times New Roman"/>
          <w:lang w:val="ro-MD"/>
        </w:rPr>
        <w:t xml:space="preserve"> la alin. (2) se referă la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primite de la un supraveghetor sau de la o autoritate dintr-un stat membru, Banca Națională a Moldovei </w:t>
      </w:r>
      <w:r w:rsidR="00B433BD" w:rsidRPr="000508B6">
        <w:rPr>
          <w:rFonts w:ascii="Times New Roman" w:eastAsia="Times New Roman" w:hAnsi="Times New Roman" w:cs="Times New Roman"/>
          <w:lang w:val="ro-MD"/>
        </w:rPr>
        <w:t xml:space="preserve">divulgă </w:t>
      </w:r>
      <w:r w:rsidRPr="000508B6">
        <w:rPr>
          <w:rFonts w:ascii="Times New Roman" w:eastAsia="Times New Roman" w:hAnsi="Times New Roman" w:cs="Times New Roman"/>
          <w:lang w:val="ro-MD"/>
        </w:rPr>
        <w:t xml:space="preserve">altor </w:t>
      </w:r>
      <w:proofErr w:type="spellStart"/>
      <w:r w:rsidRPr="000508B6">
        <w:rPr>
          <w:rFonts w:ascii="Times New Roman" w:eastAsia="Times New Roman" w:hAnsi="Times New Roman" w:cs="Times New Roman"/>
          <w:lang w:val="ro-MD"/>
        </w:rPr>
        <w:t>entităţi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respective numai cu acordul </w:t>
      </w:r>
      <w:r w:rsidR="00B30867" w:rsidRPr="000508B6">
        <w:rPr>
          <w:rFonts w:ascii="Times New Roman" w:eastAsia="Times New Roman" w:hAnsi="Times New Roman" w:cs="Times New Roman"/>
          <w:lang w:val="ro-MD"/>
        </w:rPr>
        <w:t xml:space="preserve">emitentului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r w:rsidR="00B433BD" w:rsidRPr="000508B6">
        <w:rPr>
          <w:rFonts w:ascii="Times New Roman" w:eastAsia="Times New Roman" w:hAnsi="Times New Roman" w:cs="Times New Roman"/>
          <w:lang w:val="ro-MD"/>
        </w:rPr>
        <w:t>după caz</w:t>
      </w:r>
      <w:r w:rsidRPr="000508B6">
        <w:rPr>
          <w:rFonts w:ascii="Times New Roman" w:eastAsia="Times New Roman" w:hAnsi="Times New Roman" w:cs="Times New Roman"/>
          <w:lang w:val="ro-MD"/>
        </w:rPr>
        <w:t xml:space="preserve">, exclusiv în scopul pentru care acesta </w:t>
      </w:r>
      <w:r w:rsidR="00B433BD" w:rsidRPr="000508B6">
        <w:rPr>
          <w:rFonts w:ascii="Times New Roman" w:eastAsia="Times New Roman" w:hAnsi="Times New Roman" w:cs="Times New Roman"/>
          <w:lang w:val="ro-MD"/>
        </w:rPr>
        <w:t>și-a dat</w:t>
      </w:r>
      <w:r w:rsidRPr="000508B6">
        <w:rPr>
          <w:rFonts w:ascii="Times New Roman" w:eastAsia="Times New Roman" w:hAnsi="Times New Roman" w:cs="Times New Roman"/>
          <w:lang w:val="ro-MD"/>
        </w:rPr>
        <w:t xml:space="preserve"> acordul</w:t>
      </w:r>
      <w:bookmarkEnd w:id="178"/>
      <w:r w:rsidRPr="000508B6">
        <w:rPr>
          <w:rFonts w:ascii="Times New Roman" w:eastAsia="Times New Roman" w:hAnsi="Times New Roman" w:cs="Times New Roman"/>
          <w:lang w:val="ro-MD"/>
        </w:rPr>
        <w:t xml:space="preserve">. </w:t>
      </w:r>
    </w:p>
    <w:p w14:paraId="721720DC" w14:textId="31A84ECC" w:rsidR="00AC4E00" w:rsidRPr="000508B6" w:rsidRDefault="00AC4E00" w:rsidP="00230ADD">
      <w:pPr>
        <w:pStyle w:val="Listparagraf"/>
        <w:numPr>
          <w:ilvl w:val="1"/>
          <w:numId w:val="63"/>
        </w:numPr>
        <w:tabs>
          <w:tab w:val="left" w:pos="709"/>
          <w:tab w:val="left" w:pos="851"/>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w:t>
      </w:r>
      <w:r w:rsidR="00B433BD" w:rsidRPr="000508B6">
        <w:rPr>
          <w:rFonts w:ascii="Times New Roman" w:eastAsia="Times New Roman" w:hAnsi="Times New Roman" w:cs="Times New Roman"/>
          <w:lang w:val="ro-MD"/>
        </w:rPr>
        <w:t xml:space="preserve">confidențiale </w:t>
      </w:r>
      <w:r w:rsidRPr="000508B6">
        <w:rPr>
          <w:rFonts w:ascii="Times New Roman" w:eastAsia="Times New Roman" w:hAnsi="Times New Roman" w:cs="Times New Roman"/>
          <w:lang w:val="ro-MD"/>
        </w:rPr>
        <w:t xml:space="preserve">primite de </w:t>
      </w:r>
      <w:r w:rsidR="000C3249" w:rsidRPr="000508B6">
        <w:rPr>
          <w:rFonts w:ascii="Times New Roman" w:eastAsia="Times New Roman" w:hAnsi="Times New Roman" w:cs="Times New Roman"/>
          <w:lang w:val="ro-MD"/>
        </w:rPr>
        <w:t xml:space="preserve">către </w:t>
      </w:r>
      <w:r w:rsidRPr="000508B6">
        <w:rPr>
          <w:rFonts w:ascii="Times New Roman" w:eastAsia="Times New Roman" w:hAnsi="Times New Roman" w:cs="Times New Roman"/>
          <w:lang w:val="ro-MD"/>
        </w:rPr>
        <w:t>Banca Națională a Moldovei</w:t>
      </w:r>
      <w:r w:rsidR="00B433BD" w:rsidRPr="000508B6">
        <w:rPr>
          <w:rFonts w:ascii="Times New Roman" w:eastAsia="Times New Roman" w:hAnsi="Times New Roman" w:cs="Times New Roman"/>
          <w:lang w:val="ro-MD"/>
        </w:rPr>
        <w:t xml:space="preserve"> </w:t>
      </w:r>
      <w:r w:rsidR="00E47DE7" w:rsidRPr="000508B6">
        <w:rPr>
          <w:rFonts w:ascii="Times New Roman" w:eastAsia="Times New Roman" w:hAnsi="Times New Roman" w:cs="Times New Roman"/>
          <w:lang w:val="ro-MD"/>
        </w:rPr>
        <w:t xml:space="preserve">în temeiul alin. (1) </w:t>
      </w:r>
      <w:r w:rsidR="00B433BD" w:rsidRPr="000508B6">
        <w:rPr>
          <w:rFonts w:ascii="Times New Roman" w:eastAsia="Times New Roman" w:hAnsi="Times New Roman" w:cs="Times New Roman"/>
          <w:lang w:val="ro-MD"/>
        </w:rPr>
        <w:t>nu pot fi</w:t>
      </w:r>
      <w:r w:rsidR="00E47DE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utilizate </w:t>
      </w:r>
      <w:r w:rsidR="00E47DE7" w:rsidRPr="000508B6">
        <w:rPr>
          <w:rFonts w:ascii="Times New Roman" w:eastAsia="Times New Roman" w:hAnsi="Times New Roman" w:cs="Times New Roman"/>
          <w:lang w:val="ro-MD"/>
        </w:rPr>
        <w:t xml:space="preserve">decât pentru exercitarea atribuțiilor acesteia și </w:t>
      </w:r>
      <w:r w:rsidRPr="000508B6">
        <w:rPr>
          <w:rFonts w:ascii="Times New Roman" w:eastAsia="Times New Roman" w:hAnsi="Times New Roman" w:cs="Times New Roman"/>
          <w:lang w:val="ro-MD"/>
        </w:rPr>
        <w:t xml:space="preserve">în următoarele scopuri: </w:t>
      </w:r>
    </w:p>
    <w:p w14:paraId="7C548218" w14:textId="2FBB28AE" w:rsidR="00AC4E00" w:rsidRPr="000508B6" w:rsidRDefault="00AC4E00" w:rsidP="00230ADD">
      <w:pPr>
        <w:pStyle w:val="Listparagraf"/>
        <w:numPr>
          <w:ilvl w:val="2"/>
          <w:numId w:val="65"/>
        </w:numPr>
        <w:tabs>
          <w:tab w:val="left" w:pos="709"/>
          <w:tab w:val="left" w:pos="851"/>
          <w:tab w:val="left" w:pos="993"/>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verificarea îndeplinirii </w:t>
      </w:r>
      <w:proofErr w:type="spellStart"/>
      <w:r w:rsidRPr="000508B6">
        <w:rPr>
          <w:rFonts w:ascii="Times New Roman" w:hAnsi="Times New Roman" w:cs="Times New Roman"/>
          <w:lang w:val="ro-MD"/>
        </w:rPr>
        <w:t>condiţiilor</w:t>
      </w:r>
      <w:proofErr w:type="spellEnd"/>
      <w:r w:rsidRPr="000508B6">
        <w:rPr>
          <w:rFonts w:ascii="Times New Roman" w:hAnsi="Times New Roman" w:cs="Times New Roman"/>
          <w:lang w:val="ro-MD"/>
        </w:rPr>
        <w:t xml:space="preserve"> de licențiere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facilitarea supravegherii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desfăşurate</w:t>
      </w:r>
      <w:proofErr w:type="spellEnd"/>
      <w:r w:rsidRPr="000508B6">
        <w:rPr>
          <w:rFonts w:ascii="Times New Roman" w:hAnsi="Times New Roman" w:cs="Times New Roman"/>
          <w:lang w:val="ro-MD"/>
        </w:rPr>
        <w:t xml:space="preserve"> de </w:t>
      </w:r>
      <w:r w:rsidR="00D67D8F" w:rsidRPr="000508B6">
        <w:rPr>
          <w:rFonts w:ascii="Times New Roman" w:hAnsi="Times New Roman" w:cs="Times New Roman"/>
          <w:lang w:val="ro-MD"/>
        </w:rPr>
        <w:t xml:space="preserve">asigurător sau </w:t>
      </w:r>
      <w:proofErr w:type="spellStart"/>
      <w:r w:rsidR="00D67D8F"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în special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rezervele tehnice, SCR, MCR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sistemul de </w:t>
      </w:r>
      <w:proofErr w:type="spellStart"/>
      <w:r w:rsidRPr="000508B6">
        <w:rPr>
          <w:rFonts w:ascii="Times New Roman" w:hAnsi="Times New Roman" w:cs="Times New Roman"/>
          <w:lang w:val="ro-MD"/>
        </w:rPr>
        <w:t>guvernanţă</w:t>
      </w:r>
      <w:proofErr w:type="spellEnd"/>
      <w:r w:rsidRPr="000508B6">
        <w:rPr>
          <w:rFonts w:ascii="Times New Roman" w:hAnsi="Times New Roman" w:cs="Times New Roman"/>
          <w:lang w:val="ro-MD"/>
        </w:rPr>
        <w:t xml:space="preserve">; </w:t>
      </w:r>
    </w:p>
    <w:p w14:paraId="510FBB65" w14:textId="77777777" w:rsidR="00AC4E00" w:rsidRPr="000508B6" w:rsidRDefault="00AC4E00" w:rsidP="00230ADD">
      <w:pPr>
        <w:pStyle w:val="Listparagraf"/>
        <w:numPr>
          <w:ilvl w:val="2"/>
          <w:numId w:val="65"/>
        </w:numPr>
        <w:tabs>
          <w:tab w:val="left" w:pos="709"/>
          <w:tab w:val="left" w:pos="851"/>
          <w:tab w:val="left" w:pos="993"/>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aplicarea </w:t>
      </w:r>
      <w:proofErr w:type="spellStart"/>
      <w:r w:rsidRPr="000508B6">
        <w:rPr>
          <w:rFonts w:ascii="Times New Roman" w:hAnsi="Times New Roman" w:cs="Times New Roman"/>
          <w:lang w:val="ro-MD"/>
        </w:rPr>
        <w:t>sancţiunilor</w:t>
      </w:r>
      <w:proofErr w:type="spellEnd"/>
      <w:r w:rsidRPr="000508B6">
        <w:rPr>
          <w:rFonts w:ascii="Times New Roman" w:hAnsi="Times New Roman" w:cs="Times New Roman"/>
          <w:lang w:val="ro-MD"/>
        </w:rPr>
        <w:t xml:space="preserve">; </w:t>
      </w:r>
    </w:p>
    <w:p w14:paraId="7B636F92" w14:textId="77777777" w:rsidR="00E47DE7" w:rsidRPr="000508B6" w:rsidRDefault="00AC4E00" w:rsidP="00230ADD">
      <w:pPr>
        <w:pStyle w:val="Listparagraf"/>
        <w:numPr>
          <w:ilvl w:val="2"/>
          <w:numId w:val="65"/>
        </w:numPr>
        <w:tabs>
          <w:tab w:val="left" w:pos="709"/>
          <w:tab w:val="left" w:pos="851"/>
          <w:tab w:val="left" w:pos="993"/>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în cadrul </w:t>
      </w:r>
      <w:proofErr w:type="spellStart"/>
      <w:r w:rsidRPr="000508B6">
        <w:rPr>
          <w:rFonts w:ascii="Times New Roman" w:hAnsi="Times New Roman" w:cs="Times New Roman"/>
          <w:lang w:val="ro-MD"/>
        </w:rPr>
        <w:t>acţiunilor</w:t>
      </w:r>
      <w:proofErr w:type="spellEnd"/>
      <w:r w:rsidRPr="000508B6">
        <w:rPr>
          <w:rFonts w:ascii="Times New Roman" w:hAnsi="Times New Roman" w:cs="Times New Roman"/>
          <w:lang w:val="ro-MD"/>
        </w:rPr>
        <w:t xml:space="preserve"> administrative împotriva unei decizii a Băncii Naționale a Moldovei</w:t>
      </w:r>
      <w:r w:rsidR="00E47DE7" w:rsidRPr="000508B6">
        <w:rPr>
          <w:rFonts w:ascii="Times New Roman" w:hAnsi="Times New Roman" w:cs="Times New Roman"/>
          <w:lang w:val="ro-MD"/>
        </w:rPr>
        <w:t>;</w:t>
      </w:r>
    </w:p>
    <w:p w14:paraId="6394E216" w14:textId="4B73CD0A" w:rsidR="00AC4E00" w:rsidRPr="000508B6" w:rsidRDefault="00AC4E00" w:rsidP="00230ADD">
      <w:pPr>
        <w:pStyle w:val="Listparagraf"/>
        <w:numPr>
          <w:ilvl w:val="2"/>
          <w:numId w:val="65"/>
        </w:numPr>
        <w:tabs>
          <w:tab w:val="left" w:pos="709"/>
          <w:tab w:val="left" w:pos="851"/>
          <w:tab w:val="left" w:pos="993"/>
        </w:tabs>
        <w:spacing w:after="0" w:line="240" w:lineRule="auto"/>
        <w:ind w:left="0" w:firstLine="709"/>
        <w:jc w:val="both"/>
        <w:rPr>
          <w:rFonts w:ascii="Times New Roman" w:hAnsi="Times New Roman" w:cs="Times New Roman"/>
          <w:lang w:val="ro-MD"/>
        </w:rPr>
      </w:pPr>
      <w:proofErr w:type="spellStart"/>
      <w:r w:rsidRPr="000508B6">
        <w:rPr>
          <w:rFonts w:ascii="Times New Roman" w:hAnsi="Times New Roman" w:cs="Times New Roman"/>
          <w:lang w:val="ro-MD"/>
        </w:rPr>
        <w:t>acţiunilor</w:t>
      </w:r>
      <w:proofErr w:type="spellEnd"/>
      <w:r w:rsidRPr="000508B6">
        <w:rPr>
          <w:rFonts w:ascii="Times New Roman" w:hAnsi="Times New Roman" w:cs="Times New Roman"/>
          <w:lang w:val="ro-MD"/>
        </w:rPr>
        <w:t xml:space="preserve"> în </w:t>
      </w:r>
      <w:proofErr w:type="spellStart"/>
      <w:r w:rsidRPr="000508B6">
        <w:rPr>
          <w:rFonts w:ascii="Times New Roman" w:hAnsi="Times New Roman" w:cs="Times New Roman"/>
          <w:lang w:val="ro-MD"/>
        </w:rPr>
        <w:t>justiţie</w:t>
      </w:r>
      <w:proofErr w:type="spellEnd"/>
      <w:r w:rsidRPr="000508B6">
        <w:rPr>
          <w:rFonts w:ascii="Times New Roman" w:hAnsi="Times New Roman" w:cs="Times New Roman"/>
          <w:lang w:val="ro-MD"/>
        </w:rPr>
        <w:t xml:space="preserve"> </w:t>
      </w:r>
      <w:r w:rsidR="00E47DE7" w:rsidRPr="000508B6">
        <w:rPr>
          <w:rFonts w:ascii="Times New Roman" w:hAnsi="Times New Roman" w:cs="Times New Roman"/>
          <w:lang w:val="ro-MD"/>
        </w:rPr>
        <w:t xml:space="preserve">înaintate </w:t>
      </w:r>
      <w:r w:rsidRPr="000508B6">
        <w:rPr>
          <w:rFonts w:ascii="Times New Roman" w:hAnsi="Times New Roman" w:cs="Times New Roman"/>
          <w:lang w:val="ro-MD"/>
        </w:rPr>
        <w:t xml:space="preserve">în temeiul prevederilor prezentei </w:t>
      </w:r>
      <w:r w:rsidR="00256A2D" w:rsidRPr="000508B6">
        <w:rPr>
          <w:rFonts w:ascii="Times New Roman" w:hAnsi="Times New Roman" w:cs="Times New Roman"/>
          <w:lang w:val="ro-MD"/>
        </w:rPr>
        <w:t>legi</w:t>
      </w:r>
      <w:r w:rsidRPr="000508B6">
        <w:rPr>
          <w:rFonts w:ascii="Times New Roman" w:hAnsi="Times New Roman" w:cs="Times New Roman"/>
          <w:lang w:val="ro-MD"/>
        </w:rPr>
        <w:t>.</w:t>
      </w:r>
    </w:p>
    <w:p w14:paraId="61B2625F" w14:textId="17F1C892" w:rsidR="00AC4E00" w:rsidRPr="000508B6" w:rsidRDefault="00AC4E00" w:rsidP="00230ADD">
      <w:pPr>
        <w:pStyle w:val="Listparagraf"/>
        <w:numPr>
          <w:ilvl w:val="1"/>
          <w:numId w:val="63"/>
        </w:numPr>
        <w:tabs>
          <w:tab w:val="left" w:pos="709"/>
          <w:tab w:val="left" w:pos="851"/>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 xml:space="preserve">Banca Națională a Moldovei poate colabora cu alte </w:t>
      </w:r>
      <w:proofErr w:type="spellStart"/>
      <w:r w:rsidRPr="000508B6">
        <w:rPr>
          <w:rFonts w:ascii="Times New Roman" w:eastAsia="Times New Roman" w:hAnsi="Times New Roman" w:cs="Times New Roman"/>
          <w:lang w:val="ro-MD"/>
        </w:rPr>
        <w:t>autorităţi</w:t>
      </w:r>
      <w:proofErr w:type="spellEnd"/>
      <w:r w:rsidRPr="000508B6">
        <w:rPr>
          <w:rFonts w:ascii="Times New Roman" w:eastAsia="Times New Roman" w:hAnsi="Times New Roman" w:cs="Times New Roman"/>
          <w:lang w:val="ro-MD"/>
        </w:rPr>
        <w:t xml:space="preserve">, persoane sau organisme din Republica Moldova pentru exercitarea </w:t>
      </w:r>
      <w:proofErr w:type="spellStart"/>
      <w:r w:rsidRPr="000508B6">
        <w:rPr>
          <w:rFonts w:ascii="Times New Roman" w:eastAsia="Times New Roman" w:hAnsi="Times New Roman" w:cs="Times New Roman"/>
          <w:lang w:val="ro-MD"/>
        </w:rPr>
        <w:t>atribuţiilor</w:t>
      </w:r>
      <w:proofErr w:type="spellEnd"/>
      <w:r w:rsidRPr="000508B6">
        <w:rPr>
          <w:rFonts w:ascii="Times New Roman" w:eastAsia="Times New Roman" w:hAnsi="Times New Roman" w:cs="Times New Roman"/>
          <w:lang w:val="ro-MD"/>
        </w:rPr>
        <w:t xml:space="preserve"> efectuând</w:t>
      </w:r>
      <w:r w:rsidR="00F542B1" w:rsidRPr="000508B6">
        <w:rPr>
          <w:rFonts w:ascii="Times New Roman" w:hAnsi="Times New Roman" w:cs="Times New Roman"/>
          <w:lang w:val="ro-MD"/>
        </w:rPr>
        <w:t xml:space="preserve"> schimb de </w:t>
      </w:r>
      <w:proofErr w:type="spellStart"/>
      <w:r w:rsidR="00F542B1" w:rsidRPr="000508B6">
        <w:rPr>
          <w:rFonts w:ascii="Times New Roman" w:hAnsi="Times New Roman" w:cs="Times New Roman"/>
          <w:lang w:val="ro-MD"/>
        </w:rPr>
        <w:t>informaţii</w:t>
      </w:r>
      <w:proofErr w:type="spellEnd"/>
      <w:r w:rsidR="00F542B1" w:rsidRPr="000508B6">
        <w:rPr>
          <w:rFonts w:ascii="Times New Roman" w:hAnsi="Times New Roman" w:cs="Times New Roman"/>
          <w:lang w:val="ro-MD"/>
        </w:rPr>
        <w:t xml:space="preserve"> cu</w:t>
      </w:r>
      <w:r w:rsidRPr="000508B6">
        <w:rPr>
          <w:rFonts w:ascii="Times New Roman" w:eastAsia="Times New Roman" w:hAnsi="Times New Roman" w:cs="Times New Roman"/>
          <w:lang w:val="ro-MD"/>
        </w:rPr>
        <w:t xml:space="preserve">: </w:t>
      </w:r>
    </w:p>
    <w:p w14:paraId="6AA69E84" w14:textId="7FE52DCA" w:rsidR="00E47DE7" w:rsidRPr="000508B6" w:rsidRDefault="004627AC" w:rsidP="0024016E">
      <w:pPr>
        <w:pStyle w:val="Listparagraf"/>
        <w:numPr>
          <w:ilvl w:val="0"/>
          <w:numId w:val="64"/>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iCs/>
          <w:lang w:val="ro-MD"/>
        </w:rPr>
        <w:t>CNPF</w:t>
      </w:r>
      <w:r w:rsidR="00E47DE7" w:rsidRPr="000508B6">
        <w:rPr>
          <w:rFonts w:ascii="Times New Roman" w:hAnsi="Times New Roman" w:cs="Times New Roman"/>
          <w:iCs/>
          <w:lang w:val="ro-MD"/>
        </w:rPr>
        <w:t>;</w:t>
      </w:r>
    </w:p>
    <w:p w14:paraId="51AA43E3" w14:textId="7F2A61AB" w:rsidR="00663814" w:rsidRPr="000508B6" w:rsidRDefault="000F654D" w:rsidP="00621B93">
      <w:pPr>
        <w:pStyle w:val="Listparagraf"/>
        <w:numPr>
          <w:ilvl w:val="0"/>
          <w:numId w:val="64"/>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organismele </w:t>
      </w:r>
      <w:r w:rsidR="00663814" w:rsidRPr="000508B6">
        <w:rPr>
          <w:rFonts w:ascii="Times New Roman" w:hAnsi="Times New Roman" w:cs="Times New Roman"/>
          <w:lang w:val="ro-MD"/>
        </w:rPr>
        <w:t xml:space="preserve">implicate în procedurile de insolvabilitate </w:t>
      </w:r>
      <w:proofErr w:type="spellStart"/>
      <w:r w:rsidR="00663814" w:rsidRPr="000508B6">
        <w:rPr>
          <w:rFonts w:ascii="Times New Roman" w:hAnsi="Times New Roman" w:cs="Times New Roman"/>
          <w:lang w:val="ro-MD"/>
        </w:rPr>
        <w:t>şi</w:t>
      </w:r>
      <w:proofErr w:type="spellEnd"/>
      <w:r w:rsidR="00663814" w:rsidRPr="000508B6">
        <w:rPr>
          <w:rFonts w:ascii="Times New Roman" w:hAnsi="Times New Roman" w:cs="Times New Roman"/>
          <w:lang w:val="ro-MD"/>
        </w:rPr>
        <w:t xml:space="preserve"> de lichidare 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663814" w:rsidRPr="000508B6">
        <w:rPr>
          <w:rFonts w:ascii="Times New Roman" w:hAnsi="Times New Roman" w:cs="Times New Roman"/>
          <w:lang w:val="ro-MD"/>
        </w:rPr>
        <w:t xml:space="preserve"> sau în </w:t>
      </w:r>
      <w:r w:rsidR="00D904C2" w:rsidRPr="000508B6">
        <w:rPr>
          <w:rFonts w:ascii="Times New Roman" w:hAnsi="Times New Roman" w:cs="Times New Roman"/>
          <w:lang w:val="ro-MD"/>
        </w:rPr>
        <w:t xml:space="preserve">alte </w:t>
      </w:r>
      <w:r w:rsidR="00663814" w:rsidRPr="000508B6">
        <w:rPr>
          <w:rFonts w:ascii="Times New Roman" w:hAnsi="Times New Roman" w:cs="Times New Roman"/>
          <w:lang w:val="ro-MD"/>
        </w:rPr>
        <w:t>proceduri similare</w:t>
      </w:r>
      <w:r w:rsidR="008035E8" w:rsidRPr="000508B6">
        <w:rPr>
          <w:rFonts w:ascii="Times New Roman" w:hAnsi="Times New Roman" w:cs="Times New Roman"/>
          <w:lang w:val="ro-MD"/>
        </w:rPr>
        <w:t xml:space="preserve"> și </w:t>
      </w:r>
      <w:r w:rsidR="00B30867" w:rsidRPr="000508B6">
        <w:rPr>
          <w:rFonts w:ascii="Times New Roman" w:hAnsi="Times New Roman" w:cs="Times New Roman"/>
          <w:lang w:val="ro-MD"/>
        </w:rPr>
        <w:t>cu autoritățile care le supraveghează</w:t>
      </w:r>
      <w:r w:rsidR="00663814" w:rsidRPr="000508B6">
        <w:rPr>
          <w:rFonts w:ascii="Times New Roman" w:hAnsi="Times New Roman" w:cs="Times New Roman"/>
          <w:lang w:val="ro-MD"/>
        </w:rPr>
        <w:t>;</w:t>
      </w:r>
      <w:r w:rsidR="0024016E" w:rsidRPr="000508B6">
        <w:rPr>
          <w:rFonts w:ascii="Times New Roman" w:hAnsi="Times New Roman" w:cs="Times New Roman"/>
          <w:i/>
          <w:lang w:val="ro-MD"/>
        </w:rPr>
        <w:t xml:space="preserve"> </w:t>
      </w:r>
    </w:p>
    <w:p w14:paraId="164CE4C0" w14:textId="2C34C305" w:rsidR="0024016E" w:rsidRPr="000508B6" w:rsidRDefault="00663814" w:rsidP="00D16855">
      <w:pPr>
        <w:pStyle w:val="Listparagraf"/>
        <w:numPr>
          <w:ilvl w:val="0"/>
          <w:numId w:val="64"/>
        </w:numPr>
        <w:tabs>
          <w:tab w:val="left" w:pos="851"/>
        </w:tabs>
        <w:ind w:left="0" w:firstLine="567"/>
        <w:jc w:val="both"/>
        <w:rPr>
          <w:rFonts w:ascii="Times New Roman" w:hAnsi="Times New Roman" w:cs="Times New Roman"/>
          <w:lang w:val="ro-MD"/>
        </w:rPr>
      </w:pPr>
      <w:r w:rsidRPr="000508B6">
        <w:rPr>
          <w:rFonts w:ascii="Times New Roman" w:hAnsi="Times New Roman" w:cs="Times New Roman"/>
          <w:lang w:val="ro-MD"/>
        </w:rPr>
        <w:t xml:space="preserve">actuarii independenți, </w:t>
      </w:r>
      <w:r w:rsidR="000F654D" w:rsidRPr="000508B6">
        <w:rPr>
          <w:rFonts w:ascii="Times New Roman" w:hAnsi="Times New Roman" w:cs="Times New Roman"/>
          <w:lang w:val="ro-MD"/>
        </w:rPr>
        <w:t>precum și organismele responsabile pentru supravegherea respectivilor actuari</w:t>
      </w:r>
      <w:r w:rsidRPr="000508B6">
        <w:rPr>
          <w:rFonts w:ascii="Times New Roman" w:hAnsi="Times New Roman" w:cs="Times New Roman"/>
          <w:lang w:val="ro-MD"/>
        </w:rPr>
        <w:t>;</w:t>
      </w:r>
      <w:r w:rsidR="0024016E" w:rsidRPr="000508B6">
        <w:rPr>
          <w:rFonts w:ascii="Times New Roman" w:hAnsi="Times New Roman" w:cs="Times New Roman"/>
          <w:lang w:val="ro-MD"/>
        </w:rPr>
        <w:t xml:space="preserve"> </w:t>
      </w:r>
    </w:p>
    <w:p w14:paraId="56100667" w14:textId="74B05834" w:rsidR="0024016E" w:rsidRPr="000508B6" w:rsidRDefault="0024016E" w:rsidP="0024016E">
      <w:pPr>
        <w:pStyle w:val="Listparagraf"/>
        <w:numPr>
          <w:ilvl w:val="0"/>
          <w:numId w:val="64"/>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Serviciul Prevenirea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Combaterea Spălării Banilor; </w:t>
      </w:r>
    </w:p>
    <w:p w14:paraId="31367895" w14:textId="4DDEBAC8" w:rsidR="00AC4E00" w:rsidRPr="000508B6" w:rsidRDefault="00AC4E00" w:rsidP="0024016E">
      <w:pPr>
        <w:pStyle w:val="Listparagraf"/>
        <w:numPr>
          <w:ilvl w:val="0"/>
          <w:numId w:val="64"/>
        </w:numPr>
        <w:tabs>
          <w:tab w:val="left" w:pos="851"/>
          <w:tab w:val="left" w:pos="993"/>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entitățile de audit care realizează auditul situațiilor financiare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B1332B" w:rsidRPr="000508B6">
        <w:rPr>
          <w:rFonts w:ascii="Times New Roman" w:hAnsi="Times New Roman" w:cs="Times New Roman"/>
          <w:lang w:val="ro-MD"/>
        </w:rPr>
        <w:t>,</w:t>
      </w:r>
      <w:r w:rsidRPr="000508B6" w:rsidDel="00B1332B">
        <w:rPr>
          <w:rFonts w:ascii="Times New Roman" w:hAnsi="Times New Roman" w:cs="Times New Roman"/>
          <w:lang w:val="ro-MD"/>
        </w:rPr>
        <w:t xml:space="preserve"> </w:t>
      </w:r>
      <w:r w:rsidRPr="000508B6">
        <w:rPr>
          <w:rFonts w:ascii="Times New Roman" w:hAnsi="Times New Roman" w:cs="Times New Roman"/>
          <w:lang w:val="ro-MD"/>
        </w:rPr>
        <w:t xml:space="preserve">al </w:t>
      </w:r>
      <w:r w:rsidR="00CE1AF9" w:rsidRPr="000508B6">
        <w:rPr>
          <w:rFonts w:ascii="Times New Roman" w:hAnsi="Times New Roman" w:cs="Times New Roman"/>
          <w:lang w:val="ro-MD"/>
        </w:rPr>
        <w:t>instituțiilor de credit</w:t>
      </w:r>
      <w:r w:rsidR="00B1332B" w:rsidRPr="000508B6">
        <w:rPr>
          <w:rFonts w:ascii="Times New Roman" w:hAnsi="Times New Roman" w:cs="Times New Roman"/>
          <w:lang w:val="ro-MD"/>
        </w:rPr>
        <w:t>, societăților de investiții, a</w:t>
      </w:r>
      <w:r w:rsidR="00060E4E" w:rsidRPr="000508B6">
        <w:rPr>
          <w:rFonts w:ascii="Times New Roman" w:hAnsi="Times New Roman" w:cs="Times New Roman"/>
          <w:lang w:val="ro-MD"/>
        </w:rPr>
        <w:t>l</w:t>
      </w:r>
      <w:r w:rsidR="00B1332B" w:rsidRPr="000508B6">
        <w:rPr>
          <w:rFonts w:ascii="Times New Roman" w:hAnsi="Times New Roman" w:cs="Times New Roman"/>
          <w:lang w:val="ro-MD"/>
        </w:rPr>
        <w:t xml:space="preserve"> altor entități financiare</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w:t>
      </w:r>
      <w:proofErr w:type="spellStart"/>
      <w:r w:rsidRPr="000508B6">
        <w:rPr>
          <w:rFonts w:ascii="Times New Roman" w:hAnsi="Times New Roman" w:cs="Times New Roman"/>
          <w:lang w:val="ro-MD"/>
        </w:rPr>
        <w:t>autorităţile</w:t>
      </w:r>
      <w:proofErr w:type="spellEnd"/>
      <w:r w:rsidRPr="000508B6">
        <w:rPr>
          <w:rFonts w:ascii="Times New Roman" w:hAnsi="Times New Roman" w:cs="Times New Roman"/>
          <w:lang w:val="ro-MD"/>
        </w:rPr>
        <w:t xml:space="preserve"> care le supraveghează; </w:t>
      </w:r>
    </w:p>
    <w:p w14:paraId="4781900F" w14:textId="77B09F5D" w:rsidR="002770CB" w:rsidRPr="000508B6" w:rsidRDefault="00E86FD2" w:rsidP="0024016E">
      <w:pPr>
        <w:pStyle w:val="Listparagraf"/>
        <w:numPr>
          <w:ilvl w:val="0"/>
          <w:numId w:val="64"/>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F</w:t>
      </w:r>
      <w:r w:rsidR="00DF3AB2" w:rsidRPr="000508B6">
        <w:rPr>
          <w:rFonts w:ascii="Times New Roman" w:hAnsi="Times New Roman" w:cs="Times New Roman"/>
          <w:lang w:val="ro-MD"/>
        </w:rPr>
        <w:t>ondu</w:t>
      </w:r>
      <w:r w:rsidR="00422A10" w:rsidRPr="000508B6">
        <w:rPr>
          <w:rFonts w:ascii="Times New Roman" w:hAnsi="Times New Roman" w:cs="Times New Roman"/>
          <w:lang w:val="ro-MD"/>
        </w:rPr>
        <w:t>l</w:t>
      </w:r>
      <w:r w:rsidR="00DF3AB2" w:rsidRPr="000508B6">
        <w:rPr>
          <w:rFonts w:ascii="Times New Roman" w:hAnsi="Times New Roman" w:cs="Times New Roman"/>
          <w:lang w:val="ro-MD"/>
        </w:rPr>
        <w:t xml:space="preserve"> </w:t>
      </w:r>
      <w:r w:rsidR="002770CB" w:rsidRPr="000508B6">
        <w:rPr>
          <w:rFonts w:ascii="Times New Roman" w:hAnsi="Times New Roman" w:cs="Times New Roman"/>
          <w:lang w:val="ro-MD"/>
        </w:rPr>
        <w:t xml:space="preserve">de </w:t>
      </w:r>
      <w:r w:rsidR="005C59EC" w:rsidRPr="000508B6">
        <w:rPr>
          <w:rFonts w:ascii="Times New Roman" w:hAnsi="Times New Roman" w:cs="Times New Roman"/>
          <w:lang w:val="ro-MD"/>
        </w:rPr>
        <w:t xml:space="preserve">Garantare </w:t>
      </w:r>
      <w:r w:rsidR="00D317E7" w:rsidRPr="000508B6">
        <w:rPr>
          <w:rFonts w:ascii="Times New Roman" w:hAnsi="Times New Roman" w:cs="Times New Roman"/>
          <w:lang w:val="ro-MD"/>
        </w:rPr>
        <w:t xml:space="preserve">în </w:t>
      </w:r>
      <w:r w:rsidR="005C59EC" w:rsidRPr="000508B6">
        <w:rPr>
          <w:rFonts w:ascii="Times New Roman" w:hAnsi="Times New Roman" w:cs="Times New Roman"/>
          <w:lang w:val="ro-MD"/>
        </w:rPr>
        <w:t>Asigurări</w:t>
      </w:r>
      <w:r w:rsidR="005C59EC" w:rsidRPr="000508B6">
        <w:rPr>
          <w:rFonts w:ascii="Times New Roman" w:hAnsi="Times New Roman" w:cs="Times New Roman"/>
          <w:i/>
          <w:color w:val="FF0000"/>
          <w:lang w:val="ro-MD"/>
        </w:rPr>
        <w:t xml:space="preserve"> </w:t>
      </w:r>
    </w:p>
    <w:p w14:paraId="4EE779DB" w14:textId="2CCE0C0A" w:rsidR="00AC4E00" w:rsidRPr="000508B6" w:rsidRDefault="00AC4E00" w:rsidP="00230ADD">
      <w:pPr>
        <w:pStyle w:val="Listparagraf"/>
        <w:numPr>
          <w:ilvl w:val="1"/>
          <w:numId w:val="6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poate efectua schimb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cu </w:t>
      </w:r>
      <w:proofErr w:type="spellStart"/>
      <w:r w:rsidRPr="000508B6">
        <w:rPr>
          <w:rFonts w:ascii="Times New Roman" w:eastAsia="Times New Roman" w:hAnsi="Times New Roman" w:cs="Times New Roman"/>
          <w:lang w:val="ro-MD"/>
        </w:rPr>
        <w:t>autorităţi</w:t>
      </w:r>
      <w:proofErr w:type="spellEnd"/>
      <w:r w:rsidRPr="000508B6">
        <w:rPr>
          <w:rFonts w:ascii="Times New Roman" w:eastAsia="Times New Roman" w:hAnsi="Times New Roman" w:cs="Times New Roman"/>
          <w:lang w:val="ro-MD"/>
        </w:rPr>
        <w:t xml:space="preserve">, inclusiv cele de supraveghere, cu organisme sau persoane din statele membre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din statele </w:t>
      </w:r>
      <w:proofErr w:type="spellStart"/>
      <w:r w:rsidRPr="000508B6">
        <w:rPr>
          <w:rFonts w:ascii="Times New Roman" w:eastAsia="Times New Roman" w:hAnsi="Times New Roman" w:cs="Times New Roman"/>
          <w:lang w:val="ro-MD"/>
        </w:rPr>
        <w:t>terţe</w:t>
      </w:r>
      <w:proofErr w:type="spellEnd"/>
      <w:r w:rsidRPr="000508B6">
        <w:rPr>
          <w:rFonts w:ascii="Times New Roman" w:eastAsia="Times New Roman" w:hAnsi="Times New Roman" w:cs="Times New Roman"/>
          <w:lang w:val="ro-MD"/>
        </w:rPr>
        <w:t xml:space="preserve">, care au </w:t>
      </w:r>
      <w:proofErr w:type="spellStart"/>
      <w:r w:rsidRPr="000508B6">
        <w:rPr>
          <w:rFonts w:ascii="Times New Roman" w:eastAsia="Times New Roman" w:hAnsi="Times New Roman" w:cs="Times New Roman"/>
          <w:lang w:val="ro-MD"/>
        </w:rPr>
        <w:t>atribuţii</w:t>
      </w:r>
      <w:proofErr w:type="spellEnd"/>
      <w:r w:rsidRPr="000508B6">
        <w:rPr>
          <w:rFonts w:ascii="Times New Roman" w:eastAsia="Times New Roman" w:hAnsi="Times New Roman" w:cs="Times New Roman"/>
          <w:lang w:val="ro-MD"/>
        </w:rPr>
        <w:t xml:space="preserve"> similare celor prevăzute la alin. (5). </w:t>
      </w:r>
    </w:p>
    <w:p w14:paraId="213A9490" w14:textId="6195042D" w:rsidR="00AC4E00" w:rsidRPr="000508B6" w:rsidRDefault="00AC4E00" w:rsidP="00230ADD">
      <w:pPr>
        <w:pStyle w:val="Listparagraf"/>
        <w:numPr>
          <w:ilvl w:val="1"/>
          <w:numId w:val="63"/>
        </w:numPr>
        <w:tabs>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efectuează schimbul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w:t>
      </w:r>
      <w:r w:rsidR="004F1A32" w:rsidRPr="000508B6">
        <w:rPr>
          <w:rFonts w:ascii="Times New Roman" w:eastAsia="Times New Roman" w:hAnsi="Times New Roman" w:cs="Times New Roman"/>
          <w:lang w:val="ro-MD"/>
        </w:rPr>
        <w:t>prevăzut la alin. (5) și (6)</w:t>
      </w:r>
      <w:r w:rsidR="00C70C6A"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cu respectarea următoarelor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w:t>
      </w:r>
    </w:p>
    <w:p w14:paraId="5F620F29" w14:textId="30ED2893" w:rsidR="00AC4E00" w:rsidRPr="000508B6" w:rsidRDefault="00B4104A" w:rsidP="00230ADD">
      <w:pPr>
        <w:pStyle w:val="Listparagraf"/>
        <w:numPr>
          <w:ilvl w:val="2"/>
          <w:numId w:val="66"/>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i</w:t>
      </w:r>
      <w:r w:rsidR="009C5635" w:rsidRPr="000508B6">
        <w:rPr>
          <w:rFonts w:ascii="Times New Roman" w:eastAsia="Times New Roman" w:hAnsi="Times New Roman" w:cs="Times New Roman"/>
          <w:lang w:val="ro-MD"/>
        </w:rPr>
        <w:t xml:space="preserve">nformațiile </w:t>
      </w:r>
      <w:r w:rsidR="00AC4E00" w:rsidRPr="000508B6">
        <w:rPr>
          <w:rFonts w:ascii="Times New Roman" w:eastAsia="Times New Roman" w:hAnsi="Times New Roman" w:cs="Times New Roman"/>
          <w:lang w:val="ro-MD"/>
        </w:rPr>
        <w:t xml:space="preserve">sunt utilizate numai în scopul exercitării </w:t>
      </w:r>
      <w:proofErr w:type="spellStart"/>
      <w:r w:rsidR="00AC4E00" w:rsidRPr="000508B6">
        <w:rPr>
          <w:rFonts w:ascii="Times New Roman" w:eastAsia="Times New Roman" w:hAnsi="Times New Roman" w:cs="Times New Roman"/>
          <w:lang w:val="ro-MD"/>
        </w:rPr>
        <w:t>atribuţiilor</w:t>
      </w:r>
      <w:proofErr w:type="spellEnd"/>
      <w:r w:rsidR="00AC4E00" w:rsidRPr="000508B6">
        <w:rPr>
          <w:rFonts w:ascii="Times New Roman" w:eastAsia="Times New Roman" w:hAnsi="Times New Roman" w:cs="Times New Roman"/>
          <w:lang w:val="ro-MD"/>
        </w:rPr>
        <w:t xml:space="preserve"> </w:t>
      </w:r>
      <w:r w:rsidR="006D6A61" w:rsidRPr="000508B6">
        <w:rPr>
          <w:rFonts w:ascii="Times New Roman" w:eastAsia="Times New Roman" w:hAnsi="Times New Roman" w:cs="Times New Roman"/>
          <w:lang w:val="ro-MD"/>
        </w:rPr>
        <w:t>prevăzute la alin. (5) și (6)</w:t>
      </w:r>
      <w:r w:rsidR="00AC4E00" w:rsidRPr="000508B6">
        <w:rPr>
          <w:rFonts w:ascii="Times New Roman" w:eastAsia="Times New Roman" w:hAnsi="Times New Roman" w:cs="Times New Roman"/>
          <w:lang w:val="ro-MD"/>
        </w:rPr>
        <w:t xml:space="preserve">; </w:t>
      </w:r>
    </w:p>
    <w:p w14:paraId="4FEC703C" w14:textId="54EFCBA4" w:rsidR="00AC4E00" w:rsidRPr="000508B6" w:rsidRDefault="00AC4E00" w:rsidP="00230ADD">
      <w:pPr>
        <w:pStyle w:val="Listparagraf"/>
        <w:numPr>
          <w:ilvl w:val="2"/>
          <w:numId w:val="66"/>
        </w:numPr>
        <w:tabs>
          <w:tab w:val="left" w:pos="709"/>
          <w:tab w:val="left" w:pos="851"/>
          <w:tab w:val="left" w:pos="993"/>
        </w:tabs>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se află sub </w:t>
      </w:r>
      <w:proofErr w:type="spellStart"/>
      <w:r w:rsidRPr="000508B6">
        <w:rPr>
          <w:rFonts w:ascii="Times New Roman" w:eastAsia="Times New Roman" w:hAnsi="Times New Roman" w:cs="Times New Roman"/>
          <w:lang w:val="ro-MD"/>
        </w:rPr>
        <w:t>incidenţa</w:t>
      </w:r>
      <w:proofErr w:type="spellEnd"/>
      <w:r w:rsidRPr="000508B6">
        <w:rPr>
          <w:rFonts w:ascii="Times New Roman" w:eastAsia="Times New Roman" w:hAnsi="Times New Roman" w:cs="Times New Roman"/>
          <w:lang w:val="ro-MD"/>
        </w:rPr>
        <w:t xml:space="preserve"> prevederilor secretului profesional</w:t>
      </w:r>
      <w:r w:rsidR="00674216" w:rsidRPr="000508B6">
        <w:rPr>
          <w:rFonts w:ascii="Times New Roman" w:eastAsia="Times New Roman" w:hAnsi="Times New Roman" w:cs="Times New Roman"/>
          <w:lang w:val="ro-MD"/>
        </w:rPr>
        <w:t xml:space="preserve"> prevăzut</w:t>
      </w:r>
      <w:r w:rsidR="00D908D9" w:rsidRPr="000508B6">
        <w:rPr>
          <w:rFonts w:ascii="Times New Roman" w:eastAsia="Times New Roman" w:hAnsi="Times New Roman" w:cs="Times New Roman"/>
          <w:lang w:val="ro-MD"/>
        </w:rPr>
        <w:t>e</w:t>
      </w:r>
      <w:r w:rsidR="00674216" w:rsidRPr="000508B6">
        <w:rPr>
          <w:rFonts w:ascii="Times New Roman" w:eastAsia="Times New Roman" w:hAnsi="Times New Roman" w:cs="Times New Roman"/>
          <w:lang w:val="ro-MD"/>
        </w:rPr>
        <w:t xml:space="preserve"> la art. 196</w:t>
      </w:r>
      <w:r w:rsidRPr="000508B6">
        <w:rPr>
          <w:rFonts w:ascii="Times New Roman" w:eastAsia="Times New Roman" w:hAnsi="Times New Roman" w:cs="Times New Roman"/>
          <w:lang w:val="ro-MD"/>
        </w:rPr>
        <w:t xml:space="preserve">; </w:t>
      </w:r>
    </w:p>
    <w:p w14:paraId="3C9A8D8E" w14:textId="56FA7630" w:rsidR="00AC4E00" w:rsidRPr="000508B6" w:rsidRDefault="00AC4E00" w:rsidP="005C59EC">
      <w:pPr>
        <w:pStyle w:val="Listparagraf"/>
        <w:numPr>
          <w:ilvl w:val="2"/>
          <w:numId w:val="66"/>
        </w:numPr>
        <w:tabs>
          <w:tab w:val="left" w:pos="709"/>
          <w:tab w:val="left" w:pos="851"/>
          <w:tab w:val="left" w:pos="993"/>
        </w:tabs>
        <w:spacing w:after="0" w:line="240" w:lineRule="auto"/>
        <w:ind w:left="0" w:firstLine="426"/>
        <w:jc w:val="both"/>
        <w:rPr>
          <w:rFonts w:ascii="Times New Roman" w:eastAsia="Times New Roman" w:hAnsi="Times New Roman" w:cs="Times New Roman"/>
          <w:i/>
          <w:lang w:val="ro-MD"/>
        </w:rPr>
      </w:pPr>
      <w:r w:rsidRPr="000508B6">
        <w:rPr>
          <w:rFonts w:ascii="Times New Roman" w:eastAsia="Times New Roman" w:hAnsi="Times New Roman" w:cs="Times New Roman"/>
          <w:lang w:val="ro-MD"/>
        </w:rPr>
        <w:t>dacă provin din</w:t>
      </w:r>
      <w:r w:rsidR="00CE1AF9" w:rsidRPr="000508B6">
        <w:rPr>
          <w:rFonts w:ascii="Times New Roman" w:eastAsia="Times New Roman" w:hAnsi="Times New Roman" w:cs="Times New Roman"/>
          <w:lang w:val="ro-MD"/>
        </w:rPr>
        <w:t>tr-un</w:t>
      </w:r>
      <w:r w:rsidR="00E558C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stat membru, inclusiv în </w:t>
      </w:r>
      <w:proofErr w:type="spellStart"/>
      <w:r w:rsidRPr="000508B6">
        <w:rPr>
          <w:rFonts w:ascii="Times New Roman" w:eastAsia="Times New Roman" w:hAnsi="Times New Roman" w:cs="Times New Roman"/>
          <w:lang w:val="ro-MD"/>
        </w:rPr>
        <w:t>situaţiile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art. </w:t>
      </w:r>
      <w:r w:rsidR="00430C4B" w:rsidRPr="000508B6">
        <w:rPr>
          <w:rFonts w:ascii="Times New Roman" w:eastAsia="Times New Roman" w:hAnsi="Times New Roman" w:cs="Times New Roman"/>
          <w:lang w:val="ro-MD"/>
        </w:rPr>
        <w:t>177</w:t>
      </w:r>
      <w:r w:rsidR="009C5635" w:rsidRPr="000508B6">
        <w:rPr>
          <w:rFonts w:ascii="Times New Roman" w:eastAsia="Times New Roman" w:hAnsi="Times New Roman" w:cs="Times New Roman"/>
          <w:lang w:val="ro-MD"/>
        </w:rPr>
        <w:t>,</w:t>
      </w:r>
      <w:r w:rsidRPr="000508B6" w:rsidDel="009C5635">
        <w:rPr>
          <w:rFonts w:ascii="Times New Roman" w:eastAsia="Times New Roman" w:hAnsi="Times New Roman" w:cs="Times New Roman"/>
          <w:lang w:val="ro-MD"/>
        </w:rPr>
        <w:t xml:space="preserve"> </w:t>
      </w:r>
      <w:r w:rsidR="009C5635" w:rsidRPr="000508B6">
        <w:rPr>
          <w:rFonts w:ascii="Times New Roman" w:eastAsia="Times New Roman" w:hAnsi="Times New Roman" w:cs="Times New Roman"/>
          <w:lang w:val="ro-MD"/>
        </w:rPr>
        <w:t>informațiile respective</w:t>
      </w:r>
      <w:r w:rsidRPr="000508B6">
        <w:rPr>
          <w:rFonts w:ascii="Times New Roman" w:eastAsia="Times New Roman" w:hAnsi="Times New Roman" w:cs="Times New Roman"/>
          <w:lang w:val="ro-MD"/>
        </w:rPr>
        <w:t xml:space="preserve"> </w:t>
      </w:r>
      <w:bookmarkStart w:id="179" w:name="_Hlk221539633"/>
      <w:r w:rsidRPr="000508B6">
        <w:rPr>
          <w:rFonts w:ascii="Times New Roman" w:eastAsia="Times New Roman" w:hAnsi="Times New Roman" w:cs="Times New Roman"/>
          <w:lang w:val="ro-MD"/>
        </w:rPr>
        <w:t xml:space="preserve">pot fi divulgate numai cu acordul </w:t>
      </w:r>
      <w:proofErr w:type="spellStart"/>
      <w:r w:rsidRPr="000508B6">
        <w:rPr>
          <w:rFonts w:ascii="Times New Roman" w:eastAsia="Times New Roman" w:hAnsi="Times New Roman" w:cs="Times New Roman"/>
          <w:lang w:val="ro-MD"/>
        </w:rPr>
        <w:t>autorităţii</w:t>
      </w:r>
      <w:proofErr w:type="spellEnd"/>
      <w:r w:rsidRPr="000508B6">
        <w:rPr>
          <w:rFonts w:ascii="Times New Roman" w:eastAsia="Times New Roman" w:hAnsi="Times New Roman" w:cs="Times New Roman"/>
          <w:lang w:val="ro-MD"/>
        </w:rPr>
        <w:t xml:space="preserve"> care le-a furnizat </w:t>
      </w:r>
      <w:bookmarkEnd w:id="179"/>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numai în scopul pentru care aceasta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-a dat acordul.  </w:t>
      </w:r>
    </w:p>
    <w:p w14:paraId="10355FAC" w14:textId="0844EB10" w:rsidR="00AC4E00" w:rsidRPr="000508B6" w:rsidRDefault="00AC4E00" w:rsidP="00230ADD">
      <w:pPr>
        <w:pStyle w:val="Listparagraf"/>
        <w:numPr>
          <w:ilvl w:val="1"/>
          <w:numId w:val="6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scopul </w:t>
      </w:r>
      <w:proofErr w:type="spellStart"/>
      <w:r w:rsidRPr="000508B6">
        <w:rPr>
          <w:rFonts w:ascii="Times New Roman" w:eastAsia="Times New Roman" w:hAnsi="Times New Roman" w:cs="Times New Roman"/>
          <w:lang w:val="ro-MD"/>
        </w:rPr>
        <w:t>menţinerii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stabilităţii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integrităţii</w:t>
      </w:r>
      <w:proofErr w:type="spellEnd"/>
      <w:r w:rsidRPr="000508B6">
        <w:rPr>
          <w:rFonts w:ascii="Times New Roman" w:eastAsia="Times New Roman" w:hAnsi="Times New Roman" w:cs="Times New Roman"/>
          <w:lang w:val="ro-MD"/>
        </w:rPr>
        <w:t xml:space="preserve"> sistemului financiar, Banca Națională a Moldovei efectuează schimb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cu autorități publice, precum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 alte </w:t>
      </w:r>
      <w:proofErr w:type="spellStart"/>
      <w:r w:rsidRPr="000508B6">
        <w:rPr>
          <w:rFonts w:ascii="Times New Roman" w:eastAsia="Times New Roman" w:hAnsi="Times New Roman" w:cs="Times New Roman"/>
          <w:lang w:val="ro-MD"/>
        </w:rPr>
        <w:t>autorităţi</w:t>
      </w:r>
      <w:proofErr w:type="spellEnd"/>
      <w:r w:rsidRPr="000508B6">
        <w:rPr>
          <w:rFonts w:ascii="Times New Roman" w:eastAsia="Times New Roman" w:hAnsi="Times New Roman" w:cs="Times New Roman"/>
          <w:lang w:val="ro-MD"/>
        </w:rPr>
        <w:t xml:space="preserve"> sau organisme responsabile cu identificarea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cercetarea </w:t>
      </w:r>
      <w:proofErr w:type="spellStart"/>
      <w:r w:rsidRPr="000508B6">
        <w:rPr>
          <w:rFonts w:ascii="Times New Roman" w:eastAsia="Times New Roman" w:hAnsi="Times New Roman" w:cs="Times New Roman"/>
          <w:lang w:val="ro-MD"/>
        </w:rPr>
        <w:t>situaţiilor</w:t>
      </w:r>
      <w:proofErr w:type="spellEnd"/>
      <w:r w:rsidRPr="000508B6">
        <w:rPr>
          <w:rFonts w:ascii="Times New Roman" w:eastAsia="Times New Roman" w:hAnsi="Times New Roman" w:cs="Times New Roman"/>
          <w:lang w:val="ro-MD"/>
        </w:rPr>
        <w:t xml:space="preserve"> de încălcare a prevederilor </w:t>
      </w:r>
      <w:proofErr w:type="spellStart"/>
      <w:r w:rsidRPr="000508B6">
        <w:rPr>
          <w:rFonts w:ascii="Times New Roman" w:eastAsia="Times New Roman" w:hAnsi="Times New Roman" w:cs="Times New Roman"/>
          <w:lang w:val="ro-MD"/>
        </w:rPr>
        <w:t>legislaţiei</w:t>
      </w:r>
      <w:proofErr w:type="spellEnd"/>
      <w:r w:rsidRPr="000508B6">
        <w:rPr>
          <w:rFonts w:ascii="Times New Roman" w:eastAsia="Times New Roman" w:hAnsi="Times New Roman" w:cs="Times New Roman"/>
          <w:lang w:val="ro-MD"/>
        </w:rPr>
        <w:t xml:space="preserve"> aplicabile </w:t>
      </w:r>
      <w:r w:rsidR="00060523" w:rsidRPr="000508B6">
        <w:rPr>
          <w:rFonts w:ascii="Times New Roman" w:eastAsia="Times New Roman" w:hAnsi="Times New Roman" w:cs="Times New Roman"/>
          <w:lang w:val="ro-MD"/>
        </w:rPr>
        <w:t>societăților comerciale</w:t>
      </w:r>
      <w:r w:rsidR="00C82346" w:rsidRPr="000508B6">
        <w:rPr>
          <w:rFonts w:ascii="Times New Roman" w:eastAsia="Times New Roman" w:hAnsi="Times New Roman" w:cs="Times New Roman"/>
          <w:lang w:val="ro-MD"/>
        </w:rPr>
        <w:t xml:space="preserve">. </w:t>
      </w:r>
      <w:proofErr w:type="spellStart"/>
      <w:r w:rsidR="00C82346"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nformaţiile</w:t>
      </w:r>
      <w:proofErr w:type="spellEnd"/>
      <w:r w:rsidRPr="000508B6">
        <w:rPr>
          <w:rFonts w:ascii="Times New Roman" w:eastAsia="Times New Roman" w:hAnsi="Times New Roman" w:cs="Times New Roman"/>
          <w:lang w:val="ro-MD"/>
        </w:rPr>
        <w:t xml:space="preserve"> sunt utilizate numai în scopul identificării respective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cu îndeplinirea </w:t>
      </w:r>
      <w:proofErr w:type="spellStart"/>
      <w:r w:rsidRPr="000508B6">
        <w:rPr>
          <w:rFonts w:ascii="Times New Roman" w:eastAsia="Times New Roman" w:hAnsi="Times New Roman" w:cs="Times New Roman"/>
          <w:lang w:val="ro-MD"/>
        </w:rPr>
        <w:t>condiţiilor</w:t>
      </w:r>
      <w:proofErr w:type="spellEnd"/>
      <w:r w:rsidRPr="000508B6">
        <w:rPr>
          <w:rFonts w:ascii="Times New Roman" w:eastAsia="Times New Roman" w:hAnsi="Times New Roman" w:cs="Times New Roman"/>
          <w:lang w:val="ro-MD"/>
        </w:rPr>
        <w:t xml:space="preserve"> prevăzute la alin. (7). </w:t>
      </w:r>
    </w:p>
    <w:p w14:paraId="6AA41037" w14:textId="06ADD21E" w:rsidR="00AC4E00" w:rsidRPr="000508B6" w:rsidRDefault="00AC4E00" w:rsidP="00230ADD">
      <w:pPr>
        <w:pStyle w:val="Listparagraf"/>
        <w:numPr>
          <w:ilvl w:val="1"/>
          <w:numId w:val="6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proofErr w:type="spellStart"/>
      <w:r w:rsidRPr="000508B6">
        <w:rPr>
          <w:rFonts w:ascii="Times New Roman" w:eastAsia="Times New Roman" w:hAnsi="Times New Roman" w:cs="Times New Roman"/>
          <w:lang w:val="ro-MD"/>
        </w:rPr>
        <w:t>autorităţile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organismele prevăzute la alin. (8) </w:t>
      </w:r>
      <w:proofErr w:type="spellStart"/>
      <w:r w:rsidRPr="000508B6">
        <w:rPr>
          <w:rFonts w:ascii="Times New Roman" w:eastAsia="Times New Roman" w:hAnsi="Times New Roman" w:cs="Times New Roman"/>
          <w:lang w:val="ro-MD"/>
        </w:rPr>
        <w:t>îşi</w:t>
      </w:r>
      <w:proofErr w:type="spellEnd"/>
      <w:r w:rsidRPr="000508B6">
        <w:rPr>
          <w:rFonts w:ascii="Times New Roman" w:eastAsia="Times New Roman" w:hAnsi="Times New Roman" w:cs="Times New Roman"/>
          <w:lang w:val="ro-MD"/>
        </w:rPr>
        <w:t xml:space="preserve"> îndeplinesc sarcinile prin intermediul unor </w:t>
      </w:r>
      <w:proofErr w:type="spellStart"/>
      <w:r w:rsidRPr="000508B6">
        <w:rPr>
          <w:rFonts w:ascii="Times New Roman" w:eastAsia="Times New Roman" w:hAnsi="Times New Roman" w:cs="Times New Roman"/>
          <w:lang w:val="ro-MD"/>
        </w:rPr>
        <w:t>specialişti</w:t>
      </w:r>
      <w:proofErr w:type="spellEnd"/>
      <w:r w:rsidRPr="000508B6">
        <w:rPr>
          <w:rFonts w:ascii="Times New Roman" w:eastAsia="Times New Roman" w:hAnsi="Times New Roman" w:cs="Times New Roman"/>
          <w:lang w:val="ro-MD"/>
        </w:rPr>
        <w:t xml:space="preserve"> care nu sunt </w:t>
      </w:r>
      <w:proofErr w:type="spellStart"/>
      <w:r w:rsidRPr="000508B6">
        <w:rPr>
          <w:rFonts w:ascii="Times New Roman" w:eastAsia="Times New Roman" w:hAnsi="Times New Roman" w:cs="Times New Roman"/>
          <w:lang w:val="ro-MD"/>
        </w:rPr>
        <w:t>angajaţi</w:t>
      </w:r>
      <w:proofErr w:type="spellEnd"/>
      <w:r w:rsidRPr="000508B6">
        <w:rPr>
          <w:rFonts w:ascii="Times New Roman" w:eastAsia="Times New Roman" w:hAnsi="Times New Roman" w:cs="Times New Roman"/>
          <w:lang w:val="ro-MD"/>
        </w:rPr>
        <w:t xml:space="preserve"> în sectorul public, schimbul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se realizează în </w:t>
      </w:r>
      <w:proofErr w:type="spellStart"/>
      <w:r w:rsidRPr="000508B6">
        <w:rPr>
          <w:rFonts w:ascii="Times New Roman" w:eastAsia="Times New Roman" w:hAnsi="Times New Roman" w:cs="Times New Roman"/>
          <w:lang w:val="ro-MD"/>
        </w:rPr>
        <w:t>condiţiile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enunţate</w:t>
      </w:r>
      <w:proofErr w:type="spellEnd"/>
      <w:r w:rsidRPr="000508B6">
        <w:rPr>
          <w:rFonts w:ascii="Times New Roman" w:eastAsia="Times New Roman" w:hAnsi="Times New Roman" w:cs="Times New Roman"/>
          <w:lang w:val="ro-MD"/>
        </w:rPr>
        <w:t xml:space="preserve"> la alin. (7). </w:t>
      </w:r>
    </w:p>
    <w:p w14:paraId="330EF9CE" w14:textId="0A65D7EC" w:rsidR="00AC4E00" w:rsidRPr="000508B6" w:rsidRDefault="00AC4E00" w:rsidP="00230ADD">
      <w:pPr>
        <w:pStyle w:val="Listparagraf"/>
        <w:numPr>
          <w:ilvl w:val="1"/>
          <w:numId w:val="63"/>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În cazul în care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care urmează a fi divulgate provin de la </w:t>
      </w:r>
      <w:r w:rsidR="00CE1AF9" w:rsidRPr="000508B6">
        <w:rPr>
          <w:rFonts w:ascii="Times New Roman" w:eastAsia="Times New Roman" w:hAnsi="Times New Roman" w:cs="Times New Roman"/>
          <w:lang w:val="ro-MD"/>
        </w:rPr>
        <w:t xml:space="preserve">un </w:t>
      </w:r>
      <w:r w:rsidRPr="000508B6">
        <w:rPr>
          <w:rFonts w:ascii="Times New Roman" w:eastAsia="Times New Roman" w:hAnsi="Times New Roman" w:cs="Times New Roman"/>
          <w:lang w:val="ro-MD"/>
        </w:rPr>
        <w:t xml:space="preserve">stat membru, </w:t>
      </w:r>
      <w:proofErr w:type="spellStart"/>
      <w:r w:rsidRPr="000508B6">
        <w:rPr>
          <w:rFonts w:ascii="Times New Roman" w:eastAsia="Times New Roman" w:hAnsi="Times New Roman" w:cs="Times New Roman"/>
          <w:lang w:val="ro-MD"/>
        </w:rPr>
        <w:t>autorităţile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organismele prevăzute la alin. (8) comunică </w:t>
      </w:r>
      <w:r w:rsidR="006141AF" w:rsidRPr="000508B6">
        <w:rPr>
          <w:rFonts w:ascii="Times New Roman" w:eastAsia="Times New Roman" w:hAnsi="Times New Roman" w:cs="Times New Roman"/>
          <w:lang w:val="ro-MD"/>
        </w:rPr>
        <w:t>autorității de supraveghere de la care provin</w:t>
      </w:r>
      <w:r w:rsidR="00D16855" w:rsidRPr="000508B6">
        <w:rPr>
          <w:rFonts w:ascii="Times New Roman" w:eastAsia="Times New Roman" w:hAnsi="Times New Roman" w:cs="Times New Roman"/>
          <w:lang w:val="ro-MD"/>
        </w:rPr>
        <w:t>,</w:t>
      </w:r>
      <w:r w:rsidR="006141A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identitatea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responsabilităţile</w:t>
      </w:r>
      <w:proofErr w:type="spellEnd"/>
      <w:r w:rsidRPr="000508B6">
        <w:rPr>
          <w:rFonts w:ascii="Times New Roman" w:eastAsia="Times New Roman" w:hAnsi="Times New Roman" w:cs="Times New Roman"/>
          <w:lang w:val="ro-MD"/>
        </w:rPr>
        <w:t xml:space="preserve"> persoanelor cărora l</w:t>
      </w:r>
      <w:r w:rsidR="001C25AA"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 xml:space="preserve"> </w:t>
      </w:r>
      <w:r w:rsidR="001C25AA" w:rsidRPr="000508B6">
        <w:rPr>
          <w:rFonts w:ascii="Times New Roman" w:eastAsia="Times New Roman" w:hAnsi="Times New Roman" w:cs="Times New Roman"/>
          <w:lang w:val="ro-MD"/>
        </w:rPr>
        <w:t>se</w:t>
      </w:r>
      <w:r w:rsidR="00E27447"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transmit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respective. </w:t>
      </w:r>
    </w:p>
    <w:p w14:paraId="2ADA6E41" w14:textId="2D5E0155" w:rsidR="00C247C9" w:rsidRPr="000508B6" w:rsidRDefault="00FF49D5" w:rsidP="00230ADD">
      <w:pPr>
        <w:pStyle w:val="Listparagraf"/>
        <w:numPr>
          <w:ilvl w:val="1"/>
          <w:numId w:val="63"/>
        </w:numPr>
        <w:tabs>
          <w:tab w:val="left" w:pos="567"/>
          <w:tab w:val="left" w:pos="709"/>
          <w:tab w:val="left" w:pos="851"/>
          <w:tab w:val="left" w:pos="993"/>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Prevederile alin.</w:t>
      </w:r>
      <w:r w:rsidR="007613FC" w:rsidRPr="000508B6">
        <w:rPr>
          <w:rFonts w:ascii="Times New Roman" w:eastAsia="Times New Roman" w:hAnsi="Times New Roman" w:cs="Times New Roman"/>
          <w:lang w:val="ro-MD"/>
        </w:rPr>
        <w:t xml:space="preserve"> </w:t>
      </w:r>
      <w:r w:rsidR="007975A2"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(4)</w:t>
      </w:r>
      <w:r w:rsidR="00756090" w:rsidRPr="000508B6">
        <w:rPr>
          <w:rFonts w:ascii="Times New Roman" w:eastAsia="Times New Roman" w:hAnsi="Times New Roman" w:cs="Times New Roman"/>
          <w:lang w:val="ro-MD"/>
        </w:rPr>
        <w:t xml:space="preserve"> și ale art. 196</w:t>
      </w:r>
      <w:r w:rsidR="00AA56EC" w:rsidRPr="000508B6">
        <w:rPr>
          <w:rFonts w:ascii="Times New Roman" w:eastAsia="Times New Roman" w:hAnsi="Times New Roman" w:cs="Times New Roman"/>
          <w:lang w:val="ro-MD"/>
        </w:rPr>
        <w:t xml:space="preserve"> alin. (1)</w:t>
      </w:r>
      <w:r w:rsidR="00756090" w:rsidRPr="000508B6">
        <w:rPr>
          <w:rFonts w:ascii="Times New Roman" w:eastAsia="Times New Roman" w:hAnsi="Times New Roman" w:cs="Times New Roman"/>
          <w:lang w:val="ro-MD"/>
        </w:rPr>
        <w:t xml:space="preserve"> nu împiedică</w:t>
      </w:r>
      <w:r w:rsidRPr="000508B6">
        <w:rPr>
          <w:rFonts w:ascii="Times New Roman" w:eastAsia="Times New Roman" w:hAnsi="Times New Roman" w:cs="Times New Roman"/>
          <w:lang w:val="ro-MD"/>
        </w:rPr>
        <w:t xml:space="preserve"> </w:t>
      </w:r>
      <w:r w:rsidR="00391D58" w:rsidRPr="000508B6">
        <w:rPr>
          <w:rFonts w:ascii="Times New Roman" w:eastAsia="Times New Roman" w:hAnsi="Times New Roman" w:cs="Times New Roman"/>
          <w:lang w:val="ro-MD"/>
        </w:rPr>
        <w:t xml:space="preserve">Banca Națională </w:t>
      </w:r>
      <w:r w:rsidR="0006691A" w:rsidRPr="000508B6">
        <w:rPr>
          <w:rFonts w:ascii="Times New Roman" w:eastAsia="Times New Roman" w:hAnsi="Times New Roman" w:cs="Times New Roman"/>
          <w:lang w:val="ro-MD"/>
        </w:rPr>
        <w:t xml:space="preserve">a Moldovei </w:t>
      </w:r>
      <w:r w:rsidR="00756090" w:rsidRPr="000508B6">
        <w:rPr>
          <w:rFonts w:ascii="Times New Roman" w:eastAsia="Times New Roman" w:hAnsi="Times New Roman" w:cs="Times New Roman"/>
          <w:lang w:val="ro-MD"/>
        </w:rPr>
        <w:t>să efectueze</w:t>
      </w:r>
      <w:r w:rsidR="00391D58" w:rsidRPr="000508B6">
        <w:rPr>
          <w:rFonts w:ascii="Times New Roman" w:eastAsia="Times New Roman" w:hAnsi="Times New Roman" w:cs="Times New Roman"/>
          <w:lang w:val="ro-MD"/>
        </w:rPr>
        <w:t xml:space="preserve"> </w:t>
      </w:r>
      <w:r w:rsidR="00C247C9" w:rsidRPr="000508B6">
        <w:rPr>
          <w:rFonts w:ascii="Times New Roman" w:eastAsia="Times New Roman" w:hAnsi="Times New Roman" w:cs="Times New Roman"/>
          <w:lang w:val="ro-MD"/>
        </w:rPr>
        <w:t>schimb</w:t>
      </w:r>
      <w:r w:rsidR="00756090" w:rsidRPr="000508B6">
        <w:rPr>
          <w:rFonts w:ascii="Times New Roman" w:eastAsia="Times New Roman" w:hAnsi="Times New Roman" w:cs="Times New Roman"/>
          <w:lang w:val="ro-MD"/>
        </w:rPr>
        <w:t>ul</w:t>
      </w:r>
      <w:r w:rsidR="00C247C9" w:rsidRPr="000508B6">
        <w:rPr>
          <w:rFonts w:ascii="Times New Roman" w:eastAsia="Times New Roman" w:hAnsi="Times New Roman" w:cs="Times New Roman"/>
          <w:lang w:val="ro-MD"/>
        </w:rPr>
        <w:t xml:space="preserve"> de informații </w:t>
      </w:r>
      <w:r w:rsidR="00391D58" w:rsidRPr="000508B6">
        <w:rPr>
          <w:rFonts w:ascii="Times New Roman" w:eastAsia="Times New Roman" w:hAnsi="Times New Roman" w:cs="Times New Roman"/>
          <w:lang w:val="ro-MD"/>
        </w:rPr>
        <w:t xml:space="preserve">cu </w:t>
      </w:r>
      <w:r w:rsidR="00A458BE" w:rsidRPr="000508B6">
        <w:rPr>
          <w:rFonts w:ascii="Times New Roman" w:eastAsia="Times New Roman" w:hAnsi="Times New Roman" w:cs="Times New Roman"/>
          <w:lang w:val="ro-MD"/>
        </w:rPr>
        <w:t>autoritatea fiscală</w:t>
      </w:r>
      <w:r w:rsidR="00C247C9" w:rsidRPr="000508B6">
        <w:rPr>
          <w:rFonts w:ascii="Times New Roman" w:eastAsia="Times New Roman" w:hAnsi="Times New Roman" w:cs="Times New Roman"/>
          <w:lang w:val="ro-MD"/>
        </w:rPr>
        <w:t xml:space="preserve"> din </w:t>
      </w:r>
      <w:r w:rsidR="0086088B" w:rsidRPr="000508B6">
        <w:rPr>
          <w:rFonts w:ascii="Times New Roman" w:eastAsia="Times New Roman" w:hAnsi="Times New Roman" w:cs="Times New Roman"/>
          <w:lang w:val="ro-MD"/>
        </w:rPr>
        <w:t>Republica Moldova</w:t>
      </w:r>
      <w:r w:rsidR="00756090" w:rsidRPr="000508B6">
        <w:rPr>
          <w:rFonts w:ascii="Times New Roman" w:eastAsia="Times New Roman" w:hAnsi="Times New Roman" w:cs="Times New Roman"/>
          <w:lang w:val="ro-MD"/>
        </w:rPr>
        <w:t xml:space="preserve">, iar în cazul </w:t>
      </w:r>
      <w:r w:rsidR="00391D58" w:rsidRPr="000508B6">
        <w:rPr>
          <w:rFonts w:ascii="Times New Roman" w:eastAsia="Times New Roman" w:hAnsi="Times New Roman" w:cs="Times New Roman"/>
          <w:lang w:val="ro-MD"/>
        </w:rPr>
        <w:t>în care</w:t>
      </w:r>
      <w:r w:rsidR="00C247C9" w:rsidRPr="000508B6">
        <w:rPr>
          <w:rFonts w:ascii="Times New Roman" w:eastAsia="Times New Roman" w:hAnsi="Times New Roman" w:cs="Times New Roman"/>
          <w:lang w:val="ro-MD"/>
        </w:rPr>
        <w:t xml:space="preserve"> informații</w:t>
      </w:r>
      <w:r w:rsidR="00391D58" w:rsidRPr="000508B6">
        <w:rPr>
          <w:rFonts w:ascii="Times New Roman" w:eastAsia="Times New Roman" w:hAnsi="Times New Roman" w:cs="Times New Roman"/>
          <w:lang w:val="ro-MD"/>
        </w:rPr>
        <w:t xml:space="preserve">le respective provin </w:t>
      </w:r>
      <w:r w:rsidR="00756090" w:rsidRPr="000508B6">
        <w:rPr>
          <w:rFonts w:ascii="Times New Roman" w:eastAsia="Times New Roman" w:hAnsi="Times New Roman" w:cs="Times New Roman"/>
          <w:lang w:val="ro-MD"/>
        </w:rPr>
        <w:t xml:space="preserve">de la autorități </w:t>
      </w:r>
      <w:r w:rsidR="00391D58" w:rsidRPr="000508B6">
        <w:rPr>
          <w:rFonts w:ascii="Times New Roman" w:eastAsia="Times New Roman" w:hAnsi="Times New Roman" w:cs="Times New Roman"/>
          <w:lang w:val="ro-MD"/>
        </w:rPr>
        <w:t>din</w:t>
      </w:r>
      <w:r w:rsidR="00BE3DE4" w:rsidRPr="000508B6">
        <w:rPr>
          <w:rFonts w:ascii="Times New Roman" w:eastAsia="Times New Roman" w:hAnsi="Times New Roman" w:cs="Times New Roman"/>
          <w:lang w:val="ro-MD"/>
        </w:rPr>
        <w:t>tr-un</w:t>
      </w:r>
      <w:r w:rsidR="00C247C9" w:rsidRPr="000508B6">
        <w:rPr>
          <w:rFonts w:ascii="Times New Roman" w:eastAsia="Times New Roman" w:hAnsi="Times New Roman" w:cs="Times New Roman"/>
          <w:lang w:val="ro-MD"/>
        </w:rPr>
        <w:t xml:space="preserve"> stat membru, </w:t>
      </w:r>
      <w:r w:rsidR="00756090" w:rsidRPr="000508B6">
        <w:rPr>
          <w:rFonts w:ascii="Times New Roman" w:eastAsia="Times New Roman" w:hAnsi="Times New Roman" w:cs="Times New Roman"/>
          <w:lang w:val="ro-MD"/>
        </w:rPr>
        <w:t>Banca Națională a Moldovei</w:t>
      </w:r>
      <w:r w:rsidR="00542585" w:rsidRPr="000508B6">
        <w:rPr>
          <w:rFonts w:ascii="Times New Roman" w:eastAsia="Times New Roman" w:hAnsi="Times New Roman" w:cs="Times New Roman"/>
          <w:lang w:val="ro-MD"/>
        </w:rPr>
        <w:t xml:space="preserve"> efectuează </w:t>
      </w:r>
      <w:r w:rsidR="00145EE1" w:rsidRPr="000508B6">
        <w:rPr>
          <w:rFonts w:ascii="Times New Roman" w:eastAsia="Times New Roman" w:hAnsi="Times New Roman" w:cs="Times New Roman"/>
          <w:lang w:val="ro-MD"/>
        </w:rPr>
        <w:t xml:space="preserve">un astfel de </w:t>
      </w:r>
      <w:r w:rsidR="00756090" w:rsidRPr="000508B6">
        <w:rPr>
          <w:rFonts w:ascii="Times New Roman" w:eastAsia="Times New Roman" w:hAnsi="Times New Roman" w:cs="Times New Roman"/>
          <w:lang w:val="ro-MD"/>
        </w:rPr>
        <w:t xml:space="preserve">schimb </w:t>
      </w:r>
      <w:r w:rsidR="00C247C9" w:rsidRPr="000508B6">
        <w:rPr>
          <w:rFonts w:ascii="Times New Roman" w:eastAsia="Times New Roman" w:hAnsi="Times New Roman" w:cs="Times New Roman"/>
          <w:lang w:val="ro-MD"/>
        </w:rPr>
        <w:t>numai cu acordul expres al autorit</w:t>
      </w:r>
      <w:r w:rsidR="00391D58" w:rsidRPr="000508B6">
        <w:rPr>
          <w:rFonts w:ascii="Times New Roman" w:eastAsia="Times New Roman" w:hAnsi="Times New Roman" w:cs="Times New Roman"/>
          <w:lang w:val="ro-MD"/>
        </w:rPr>
        <w:t>ății</w:t>
      </w:r>
      <w:r w:rsidR="00C247C9" w:rsidRPr="000508B6">
        <w:rPr>
          <w:rFonts w:ascii="Times New Roman" w:eastAsia="Times New Roman" w:hAnsi="Times New Roman" w:cs="Times New Roman"/>
          <w:lang w:val="ro-MD"/>
        </w:rPr>
        <w:t xml:space="preserve"> de la care provin informațiile</w:t>
      </w:r>
      <w:r w:rsidR="00391D58" w:rsidRPr="000508B6">
        <w:rPr>
          <w:rFonts w:ascii="Times New Roman" w:eastAsia="Times New Roman" w:hAnsi="Times New Roman" w:cs="Times New Roman"/>
          <w:lang w:val="ro-MD"/>
        </w:rPr>
        <w:t xml:space="preserve">. </w:t>
      </w:r>
    </w:p>
    <w:p w14:paraId="609215EC" w14:textId="2993FD02" w:rsidR="00AC4E00" w:rsidRPr="000508B6" w:rsidRDefault="00AC4E00" w:rsidP="00230ADD">
      <w:pPr>
        <w:pStyle w:val="Listparagraf"/>
        <w:numPr>
          <w:ilvl w:val="1"/>
          <w:numId w:val="63"/>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Banca Națională a Moldovei colaborează cu supraveghetorii din statele membre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le comunică acestora </w:t>
      </w:r>
      <w:r w:rsidR="00145EE1" w:rsidRPr="000508B6">
        <w:rPr>
          <w:rFonts w:ascii="Times New Roman" w:eastAsia="Times New Roman" w:hAnsi="Times New Roman" w:cs="Times New Roman"/>
          <w:lang w:val="ro-MD"/>
        </w:rPr>
        <w:t>informațiile</w:t>
      </w:r>
      <w:r w:rsidRPr="000508B6">
        <w:rPr>
          <w:rFonts w:ascii="Times New Roman" w:eastAsia="Times New Roman" w:hAnsi="Times New Roman" w:cs="Times New Roman"/>
          <w:lang w:val="ro-MD"/>
        </w:rPr>
        <w:t xml:space="preserve"> necesare pentru a pune în aplicare prevederile art. </w:t>
      </w:r>
      <w:r w:rsidR="008B6ACB" w:rsidRPr="000508B6">
        <w:rPr>
          <w:rFonts w:ascii="Times New Roman" w:eastAsia="Times New Roman" w:hAnsi="Times New Roman" w:cs="Times New Roman"/>
          <w:lang w:val="ro-MD"/>
        </w:rPr>
        <w:t>109</w:t>
      </w:r>
      <w:r w:rsidRPr="000508B6">
        <w:rPr>
          <w:rFonts w:ascii="Times New Roman" w:eastAsia="Times New Roman" w:hAnsi="Times New Roman" w:cs="Times New Roman"/>
          <w:lang w:val="ro-MD"/>
        </w:rPr>
        <w:t xml:space="preserve">. </w:t>
      </w:r>
    </w:p>
    <w:bookmarkEnd w:id="177"/>
    <w:p w14:paraId="26C89826" w14:textId="77777777" w:rsidR="00D16855" w:rsidRPr="000508B6" w:rsidRDefault="00D16855" w:rsidP="00AC4E00">
      <w:pPr>
        <w:spacing w:after="0" w:line="240" w:lineRule="auto"/>
        <w:ind w:firstLine="426"/>
        <w:jc w:val="both"/>
        <w:rPr>
          <w:rFonts w:ascii="Times New Roman" w:eastAsia="Times New Roman" w:hAnsi="Times New Roman" w:cs="Times New Roman"/>
          <w:lang w:val="ro-MD"/>
        </w:rPr>
      </w:pPr>
    </w:p>
    <w:p w14:paraId="5701840A" w14:textId="17CCCC5C"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870A28" w:rsidRPr="000508B6">
        <w:rPr>
          <w:rFonts w:ascii="Times New Roman" w:hAnsi="Times New Roman" w:cs="Times New Roman"/>
          <w:b/>
          <w:lang w:val="ro-MD"/>
        </w:rPr>
        <w:t>188</w:t>
      </w:r>
      <w:r w:rsidRPr="000508B6">
        <w:rPr>
          <w:rFonts w:ascii="Times New Roman" w:hAnsi="Times New Roman" w:cs="Times New Roman"/>
          <w:b/>
          <w:lang w:val="ro-MD"/>
        </w:rPr>
        <w:t>.</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Competenţele</w:t>
      </w:r>
      <w:proofErr w:type="spellEnd"/>
      <w:r w:rsidRPr="000508B6">
        <w:rPr>
          <w:rFonts w:ascii="Times New Roman" w:hAnsi="Times New Roman" w:cs="Times New Roman"/>
          <w:lang w:val="ro-MD"/>
        </w:rPr>
        <w:t xml:space="preserve"> Băncii Naționale a Moldovei în calitate de supraveghetor din stat</w:t>
      </w:r>
      <w:r w:rsidR="004F4E60" w:rsidRPr="000508B6">
        <w:rPr>
          <w:rFonts w:ascii="Times New Roman" w:hAnsi="Times New Roman" w:cs="Times New Roman"/>
          <w:lang w:val="ro-MD"/>
        </w:rPr>
        <w:t>ul</w:t>
      </w:r>
      <w:r w:rsidRPr="000508B6">
        <w:rPr>
          <w:rFonts w:ascii="Times New Roman" w:hAnsi="Times New Roman" w:cs="Times New Roman"/>
          <w:lang w:val="ro-MD"/>
        </w:rPr>
        <w:t xml:space="preserve"> membru de origine </w:t>
      </w:r>
    </w:p>
    <w:p w14:paraId="703350B1" w14:textId="4A368B8A" w:rsidR="00AC4E00" w:rsidRPr="000508B6" w:rsidRDefault="00485354" w:rsidP="00CF5AFA">
      <w:pPr>
        <w:pStyle w:val="Listparagraf"/>
        <w:numPr>
          <w:ilvl w:val="1"/>
          <w:numId w:val="67"/>
        </w:numPr>
        <w:tabs>
          <w:tab w:val="left" w:pos="567"/>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nu respectă prevederile referitoare la rezervele tehnice prevăzute la art. </w:t>
      </w:r>
      <w:r w:rsidR="00540CBE" w:rsidRPr="000508B6">
        <w:rPr>
          <w:rFonts w:ascii="Times New Roman" w:hAnsi="Times New Roman" w:cs="Times New Roman"/>
          <w:lang w:val="ro-MD"/>
        </w:rPr>
        <w:t>42</w:t>
      </w:r>
      <w:r w:rsidR="003F49BB" w:rsidRPr="000508B6">
        <w:rPr>
          <w:rFonts w:ascii="Times New Roman" w:hAnsi="Times New Roman" w:cs="Times New Roman"/>
          <w:lang w:val="ro-MD"/>
        </w:rPr>
        <w:t>-53</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3665B5" w:rsidRPr="000508B6">
        <w:rPr>
          <w:rFonts w:ascii="Times New Roman" w:hAnsi="Times New Roman" w:cs="Times New Roman"/>
          <w:lang w:val="ro-MD"/>
        </w:rPr>
        <w:t xml:space="preserve">pe cele privind SCR </w:t>
      </w:r>
      <w:proofErr w:type="spellStart"/>
      <w:r w:rsidR="003665B5" w:rsidRPr="000508B6">
        <w:rPr>
          <w:rFonts w:ascii="Times New Roman" w:hAnsi="Times New Roman" w:cs="Times New Roman"/>
          <w:lang w:val="ro-MD"/>
        </w:rPr>
        <w:t>şi</w:t>
      </w:r>
      <w:proofErr w:type="spellEnd"/>
      <w:r w:rsidR="003665B5" w:rsidRPr="000508B6">
        <w:rPr>
          <w:rFonts w:ascii="Times New Roman" w:hAnsi="Times New Roman" w:cs="Times New Roman"/>
          <w:lang w:val="ro-MD"/>
        </w:rPr>
        <w:t xml:space="preserve"> MCR prevăzute la art. 156 și </w:t>
      </w:r>
      <w:r w:rsidR="005C59EC" w:rsidRPr="000508B6">
        <w:rPr>
          <w:rFonts w:ascii="Times New Roman" w:hAnsi="Times New Roman" w:cs="Times New Roman"/>
          <w:lang w:val="ro-MD"/>
        </w:rPr>
        <w:t xml:space="preserve">art. </w:t>
      </w:r>
      <w:r w:rsidR="003665B5" w:rsidRPr="000508B6">
        <w:rPr>
          <w:rFonts w:ascii="Times New Roman" w:hAnsi="Times New Roman" w:cs="Times New Roman"/>
          <w:lang w:val="ro-MD"/>
        </w:rPr>
        <w:t>157 precum și</w:t>
      </w:r>
      <w:r w:rsidRPr="000508B6">
        <w:rPr>
          <w:rFonts w:ascii="Times New Roman" w:hAnsi="Times New Roman" w:cs="Times New Roman"/>
          <w:lang w:val="ro-MD"/>
        </w:rPr>
        <w:t xml:space="preserve"> </w:t>
      </w:r>
      <w:r w:rsidRPr="000508B6">
        <w:rPr>
          <w:rFonts w:ascii="Times New Roman" w:hAnsi="Times New Roman" w:cs="Times New Roman"/>
          <w:lang w:val="ro-MD"/>
        </w:rPr>
        <w:lastRenderedPageBreak/>
        <w:t>în cazul în care o procedură de lichidare nu este deschisă în termen de două luni de la primirea informațiilor menționate la art.</w:t>
      </w:r>
      <w:r w:rsidR="005C59EC" w:rsidRPr="000508B6">
        <w:rPr>
          <w:rFonts w:ascii="Times New Roman" w:hAnsi="Times New Roman" w:cs="Times New Roman"/>
          <w:lang w:val="ro-MD"/>
        </w:rPr>
        <w:t xml:space="preserve"> </w:t>
      </w:r>
      <w:r w:rsidR="00540CBE" w:rsidRPr="000508B6">
        <w:rPr>
          <w:rFonts w:ascii="Times New Roman" w:hAnsi="Times New Roman" w:cs="Times New Roman"/>
          <w:lang w:val="ro-MD"/>
        </w:rPr>
        <w:t>157</w:t>
      </w:r>
      <w:r w:rsidRPr="000508B6">
        <w:rPr>
          <w:rFonts w:ascii="Times New Roman" w:hAnsi="Times New Roman" w:cs="Times New Roman"/>
          <w:lang w:val="ro-MD"/>
        </w:rPr>
        <w:t xml:space="preserve"> alin. (1)</w:t>
      </w:r>
      <w:r w:rsidR="00F40F23" w:rsidRPr="000508B6">
        <w:rPr>
          <w:rFonts w:ascii="Times New Roman" w:hAnsi="Times New Roman" w:cs="Times New Roman"/>
          <w:lang w:val="ro-MD"/>
        </w:rPr>
        <w:t xml:space="preserve"> și alin. (2)</w:t>
      </w:r>
      <w:r w:rsidRPr="000508B6">
        <w:rPr>
          <w:rFonts w:ascii="Times New Roman" w:hAnsi="Times New Roman" w:cs="Times New Roman"/>
          <w:lang w:val="ro-MD"/>
        </w:rPr>
        <w:t xml:space="preserve">, Banca Națională a Moldovei poate interzice, prin decizie,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respectiv să dispună liber de active până la restabilirea </w:t>
      </w:r>
      <w:proofErr w:type="spellStart"/>
      <w:r w:rsidRPr="000508B6">
        <w:rPr>
          <w:rFonts w:ascii="Times New Roman" w:hAnsi="Times New Roman" w:cs="Times New Roman"/>
          <w:lang w:val="ro-MD"/>
        </w:rPr>
        <w:t>conformităţii</w:t>
      </w:r>
      <w:proofErr w:type="spellEnd"/>
      <w:r w:rsidRPr="000508B6">
        <w:rPr>
          <w:rFonts w:ascii="Times New Roman" w:hAnsi="Times New Roman" w:cs="Times New Roman"/>
          <w:lang w:val="ro-MD"/>
        </w:rPr>
        <w:t xml:space="preserve"> cu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referitoare la respectarea rezervelor tehnice,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MCR</w:t>
      </w:r>
      <w:r w:rsidR="005A09D1" w:rsidRPr="000508B6">
        <w:rPr>
          <w:rFonts w:ascii="Times New Roman" w:hAnsi="Times New Roman" w:cs="Times New Roman"/>
          <w:lang w:val="ro-MD"/>
        </w:rPr>
        <w:t>, indic</w:t>
      </w:r>
      <w:r w:rsidR="00D175EF" w:rsidRPr="000508B6">
        <w:rPr>
          <w:rFonts w:ascii="Times New Roman" w:hAnsi="Times New Roman" w:cs="Times New Roman"/>
          <w:lang w:val="ro-MD"/>
        </w:rPr>
        <w:t>â</w:t>
      </w:r>
      <w:r w:rsidR="005A09D1" w:rsidRPr="000508B6">
        <w:rPr>
          <w:rFonts w:ascii="Times New Roman" w:hAnsi="Times New Roman" w:cs="Times New Roman"/>
          <w:lang w:val="ro-MD"/>
        </w:rPr>
        <w:t>nd în decizie activele vizate de măsura respectivă</w:t>
      </w:r>
      <w:r w:rsidR="00454EE0" w:rsidRPr="000508B6">
        <w:rPr>
          <w:rFonts w:ascii="Times New Roman" w:hAnsi="Times New Roman" w:cs="Times New Roman"/>
          <w:lang w:val="ro-MD"/>
        </w:rPr>
        <w:t>, notificând supraveghetorii din statele membre gazdă în acest sens</w:t>
      </w:r>
      <w:r w:rsidR="00AC4E00" w:rsidRPr="000508B6">
        <w:rPr>
          <w:rFonts w:ascii="Times New Roman" w:hAnsi="Times New Roman" w:cs="Times New Roman"/>
          <w:lang w:val="ro-MD"/>
        </w:rPr>
        <w:t xml:space="preserve">. </w:t>
      </w:r>
    </w:p>
    <w:p w14:paraId="7BAB8711" w14:textId="5D22013F" w:rsidR="00AC4E00" w:rsidRPr="000508B6" w:rsidRDefault="00AC4E00" w:rsidP="00CF5AFA">
      <w:pPr>
        <w:pStyle w:val="Listparagraf"/>
        <w:numPr>
          <w:ilvl w:val="1"/>
          <w:numId w:val="67"/>
        </w:numPr>
        <w:tabs>
          <w:tab w:val="left" w:pos="567"/>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Restabilirea </w:t>
      </w:r>
      <w:proofErr w:type="spellStart"/>
      <w:r w:rsidRPr="000508B6">
        <w:rPr>
          <w:rFonts w:ascii="Times New Roman" w:hAnsi="Times New Roman" w:cs="Times New Roman"/>
          <w:lang w:val="ro-MD"/>
        </w:rPr>
        <w:t>conformităţii</w:t>
      </w:r>
      <w:proofErr w:type="spellEnd"/>
      <w:r w:rsidRPr="000508B6">
        <w:rPr>
          <w:rFonts w:ascii="Times New Roman" w:hAnsi="Times New Roman" w:cs="Times New Roman"/>
          <w:lang w:val="ro-MD"/>
        </w:rPr>
        <w:t xml:space="preserve"> cu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referitoare la respectarea rezervelor tehnice,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MCR se constată de Banca Națională a Moldovei prin decizie, care se comunică de îndată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vizat, iar </w:t>
      </w:r>
      <w:proofErr w:type="spellStart"/>
      <w:r w:rsidRPr="000508B6">
        <w:rPr>
          <w:rFonts w:ascii="Times New Roman" w:hAnsi="Times New Roman" w:cs="Times New Roman"/>
          <w:lang w:val="ro-MD"/>
        </w:rPr>
        <w:t>interdicţia</w:t>
      </w:r>
      <w:proofErr w:type="spellEnd"/>
      <w:r w:rsidRPr="000508B6">
        <w:rPr>
          <w:rFonts w:ascii="Times New Roman" w:hAnsi="Times New Roman" w:cs="Times New Roman"/>
          <w:lang w:val="ro-MD"/>
        </w:rPr>
        <w:t xml:space="preserve"> de a dispune liber de active încetează de la data comunicării acestei decizii. </w:t>
      </w:r>
    </w:p>
    <w:p w14:paraId="7E697F3F" w14:textId="47FFC7D0" w:rsidR="00AC4E00" w:rsidRPr="000508B6" w:rsidRDefault="00AC4E00" w:rsidP="00CF5AFA">
      <w:pPr>
        <w:pStyle w:val="Listparagraf"/>
        <w:numPr>
          <w:ilvl w:val="1"/>
          <w:numId w:val="67"/>
        </w:numPr>
        <w:tabs>
          <w:tab w:val="left" w:pos="567"/>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Dacă </w:t>
      </w:r>
      <w:r w:rsidR="000156FA" w:rsidRPr="000508B6">
        <w:rPr>
          <w:rFonts w:ascii="Times New Roman" w:hAnsi="Times New Roman" w:cs="Times New Roman"/>
          <w:lang w:val="ro-MD"/>
        </w:rPr>
        <w:t xml:space="preserve">un asigurător </w:t>
      </w:r>
      <w:r w:rsidR="003D42BD" w:rsidRPr="000508B6">
        <w:rPr>
          <w:rFonts w:ascii="Times New Roman" w:hAnsi="Times New Roman" w:cs="Times New Roman"/>
          <w:lang w:val="ro-MD"/>
        </w:rPr>
        <w:t xml:space="preserve">sau </w:t>
      </w:r>
      <w:proofErr w:type="spellStart"/>
      <w:r w:rsidR="003D42BD" w:rsidRPr="000508B6">
        <w:rPr>
          <w:rFonts w:ascii="Times New Roman" w:hAnsi="Times New Roman" w:cs="Times New Roman"/>
          <w:lang w:val="ro-MD"/>
        </w:rPr>
        <w:t>reasigurător</w:t>
      </w:r>
      <w:proofErr w:type="spellEnd"/>
      <w:r w:rsidR="003D42BD" w:rsidRPr="000508B6">
        <w:rPr>
          <w:rFonts w:ascii="Times New Roman" w:hAnsi="Times New Roman" w:cs="Times New Roman"/>
          <w:lang w:val="ro-MD"/>
        </w:rPr>
        <w:t xml:space="preserve"> </w:t>
      </w:r>
      <w:r w:rsidR="000156FA" w:rsidRPr="000508B6">
        <w:rPr>
          <w:rFonts w:ascii="Times New Roman" w:hAnsi="Times New Roman" w:cs="Times New Roman"/>
          <w:lang w:val="ro-MD"/>
        </w:rPr>
        <w:t>licențiat</w:t>
      </w:r>
      <w:r w:rsidRPr="000508B6">
        <w:rPr>
          <w:rFonts w:ascii="Times New Roman" w:hAnsi="Times New Roman" w:cs="Times New Roman"/>
          <w:lang w:val="ro-MD"/>
        </w:rPr>
        <w:t xml:space="preserve"> de Banca Națională a Moldovei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 pe teritoriul </w:t>
      </w:r>
      <w:r w:rsidR="000156FA" w:rsidRPr="000508B6">
        <w:rPr>
          <w:rFonts w:ascii="Times New Roman" w:hAnsi="Times New Roman" w:cs="Times New Roman"/>
          <w:lang w:val="ro-MD"/>
        </w:rPr>
        <w:t xml:space="preserve">unui </w:t>
      </w:r>
      <w:r w:rsidRPr="000508B6">
        <w:rPr>
          <w:rFonts w:ascii="Times New Roman" w:hAnsi="Times New Roman" w:cs="Times New Roman"/>
          <w:lang w:val="ro-MD"/>
        </w:rPr>
        <w:t xml:space="preserve">stat membru, prin intermediul unei sucursale sau în baza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Banca Națională a Moldovei este informată de supraveghetorul din acel stat membru că aceasta nu respectă prevederile legale din statul respectiv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că nu adoptă măsurile de remediere solicitate, Banca Națională a Moldovei impune </w:t>
      </w:r>
      <w:r w:rsidR="003D42BD" w:rsidRPr="000508B6">
        <w:rPr>
          <w:rFonts w:ascii="Times New Roman" w:hAnsi="Times New Roman" w:cs="Times New Roman"/>
          <w:lang w:val="ro-MD"/>
        </w:rPr>
        <w:t>acestuia</w:t>
      </w:r>
      <w:r w:rsidR="004125E8" w:rsidRPr="000508B6">
        <w:rPr>
          <w:rFonts w:ascii="Times New Roman" w:hAnsi="Times New Roman" w:cs="Times New Roman"/>
          <w:lang w:val="ro-MD"/>
        </w:rPr>
        <w:t xml:space="preserve"> </w:t>
      </w:r>
      <w:r w:rsidRPr="000508B6">
        <w:rPr>
          <w:rFonts w:ascii="Times New Roman" w:hAnsi="Times New Roman" w:cs="Times New Roman"/>
          <w:lang w:val="ro-MD"/>
        </w:rPr>
        <w:t xml:space="preserve">să adopte măsurile corespunzătoare, inclusiv informează supraveghetorul din statul membru gazdă cu privire la măsurile impuse.     </w:t>
      </w:r>
    </w:p>
    <w:p w14:paraId="30439FA1" w14:textId="29A01475" w:rsidR="00AC4E00" w:rsidRPr="000508B6" w:rsidRDefault="00AC4E00" w:rsidP="00ED2ADB">
      <w:pPr>
        <w:pStyle w:val="Listparagraf"/>
        <w:numPr>
          <w:ilvl w:val="1"/>
          <w:numId w:val="6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EIOPA denumirea </w:t>
      </w:r>
      <w:r w:rsidR="007C7B06" w:rsidRPr="000508B6">
        <w:rPr>
          <w:rFonts w:ascii="Times New Roman" w:hAnsi="Times New Roman" w:cs="Times New Roman"/>
          <w:lang w:val="ro-MD"/>
        </w:rPr>
        <w:t xml:space="preserve">asigurătorilor sau </w:t>
      </w:r>
      <w:proofErr w:type="spellStart"/>
      <w:r w:rsidR="007C7B06"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cărora l</w:t>
      </w:r>
      <w:r w:rsidR="003149E8" w:rsidRPr="000508B6">
        <w:rPr>
          <w:rFonts w:ascii="Times New Roman" w:hAnsi="Times New Roman" w:cs="Times New Roman"/>
          <w:lang w:val="ro-MD"/>
        </w:rPr>
        <w:t>i s</w:t>
      </w:r>
      <w:r w:rsidRPr="000508B6">
        <w:rPr>
          <w:rFonts w:ascii="Times New Roman" w:hAnsi="Times New Roman" w:cs="Times New Roman"/>
          <w:lang w:val="ro-MD"/>
        </w:rPr>
        <w:t>-a</w:t>
      </w:r>
      <w:r w:rsidR="008034CC" w:rsidRPr="000508B6">
        <w:rPr>
          <w:rFonts w:ascii="Times New Roman" w:hAnsi="Times New Roman" w:cs="Times New Roman"/>
          <w:lang w:val="ro-MD"/>
        </w:rPr>
        <w:t>u</w:t>
      </w:r>
      <w:r w:rsidRPr="000508B6">
        <w:rPr>
          <w:rFonts w:ascii="Times New Roman" w:hAnsi="Times New Roman" w:cs="Times New Roman"/>
          <w:lang w:val="ro-MD"/>
        </w:rPr>
        <w:t xml:space="preserve"> acordat</w:t>
      </w:r>
      <w:r w:rsidR="003149E8" w:rsidRPr="000508B6">
        <w:rPr>
          <w:rFonts w:ascii="Times New Roman" w:hAnsi="Times New Roman" w:cs="Times New Roman"/>
          <w:lang w:val="ro-MD"/>
        </w:rPr>
        <w:t>, li s-a</w:t>
      </w:r>
      <w:r w:rsidR="008034CC" w:rsidRPr="000508B6">
        <w:rPr>
          <w:rFonts w:ascii="Times New Roman" w:hAnsi="Times New Roman" w:cs="Times New Roman"/>
          <w:lang w:val="ro-MD"/>
        </w:rPr>
        <w:t>u</w:t>
      </w:r>
      <w:r w:rsidR="003149E8" w:rsidRPr="000508B6">
        <w:rPr>
          <w:rFonts w:ascii="Times New Roman" w:hAnsi="Times New Roman" w:cs="Times New Roman"/>
          <w:lang w:val="ro-MD"/>
        </w:rPr>
        <w:t xml:space="preserve"> refuzat acordarea licenței</w:t>
      </w:r>
      <w:r w:rsidR="00525449" w:rsidRPr="000508B6">
        <w:rPr>
          <w:rFonts w:ascii="Times New Roman" w:hAnsi="Times New Roman" w:cs="Times New Roman"/>
          <w:lang w:val="ro-MD"/>
        </w:rPr>
        <w:t>, cu indicarea motivelor</w:t>
      </w:r>
      <w:r w:rsidR="00F20A20" w:rsidRPr="000508B6">
        <w:rPr>
          <w:rFonts w:ascii="Times New Roman" w:hAnsi="Times New Roman" w:cs="Times New Roman"/>
          <w:lang w:val="ro-MD"/>
        </w:rPr>
        <w:t>,</w:t>
      </w:r>
      <w:r w:rsidR="008034CC" w:rsidRPr="000508B6">
        <w:rPr>
          <w:rFonts w:ascii="Times New Roman" w:hAnsi="Times New Roman" w:cs="Times New Roman"/>
          <w:lang w:val="ro-MD"/>
        </w:rPr>
        <w:t xml:space="preserve"> precum și denumirea asigurătorilor sau </w:t>
      </w:r>
      <w:proofErr w:type="spellStart"/>
      <w:r w:rsidR="008034CC" w:rsidRPr="000508B6">
        <w:rPr>
          <w:rFonts w:ascii="Times New Roman" w:hAnsi="Times New Roman" w:cs="Times New Roman"/>
          <w:lang w:val="ro-MD"/>
        </w:rPr>
        <w:t>reasigurătorilor</w:t>
      </w:r>
      <w:proofErr w:type="spellEnd"/>
      <w:r w:rsidR="008034CC" w:rsidRPr="000508B6">
        <w:rPr>
          <w:rFonts w:ascii="Times New Roman" w:hAnsi="Times New Roman" w:cs="Times New Roman"/>
          <w:lang w:val="ro-MD"/>
        </w:rPr>
        <w:t xml:space="preserve"> cărora li s-au retras </w:t>
      </w:r>
      <w:proofErr w:type="spellStart"/>
      <w:r w:rsidR="008034CC" w:rsidRPr="000508B6">
        <w:rPr>
          <w:rFonts w:ascii="Times New Roman" w:hAnsi="Times New Roman" w:cs="Times New Roman"/>
          <w:lang w:val="ro-MD"/>
        </w:rPr>
        <w:t>licenta</w:t>
      </w:r>
      <w:proofErr w:type="spellEnd"/>
      <w:r w:rsidR="008034CC" w:rsidRPr="000508B6">
        <w:rPr>
          <w:rFonts w:ascii="Times New Roman" w:hAnsi="Times New Roman" w:cs="Times New Roman"/>
          <w:lang w:val="ro-MD"/>
        </w:rPr>
        <w:t>.</w:t>
      </w:r>
      <w:r w:rsidRPr="000508B6">
        <w:rPr>
          <w:rFonts w:ascii="Times New Roman" w:hAnsi="Times New Roman" w:cs="Times New Roman"/>
          <w:lang w:val="ro-MD"/>
        </w:rPr>
        <w:t xml:space="preserve"> </w:t>
      </w:r>
    </w:p>
    <w:p w14:paraId="2D4FB430" w14:textId="266B5222" w:rsidR="00AC4E00" w:rsidRPr="000508B6" w:rsidRDefault="00AC4E00" w:rsidP="00230ADD">
      <w:pPr>
        <w:pStyle w:val="Listparagraf"/>
        <w:numPr>
          <w:ilvl w:val="1"/>
          <w:numId w:val="6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informează </w:t>
      </w:r>
      <w:r w:rsidR="005D705D" w:rsidRPr="000508B6">
        <w:rPr>
          <w:rFonts w:ascii="Times New Roman" w:hAnsi="Times New Roman" w:cs="Times New Roman"/>
          <w:lang w:val="ro-MD"/>
        </w:rPr>
        <w:t xml:space="preserve">ceilalți </w:t>
      </w:r>
      <w:r w:rsidRPr="000508B6">
        <w:rPr>
          <w:rFonts w:ascii="Times New Roman" w:hAnsi="Times New Roman" w:cs="Times New Roman"/>
          <w:lang w:val="ro-MD"/>
        </w:rPr>
        <w:t xml:space="preserve">supraveghetori cu privire la retragerea licenței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w:t>
      </w:r>
      <w:r w:rsidR="00634035" w:rsidRPr="000508B6">
        <w:rPr>
          <w:rFonts w:ascii="Times New Roman" w:hAnsi="Times New Roman" w:cs="Times New Roman"/>
          <w:lang w:val="ro-MD"/>
        </w:rPr>
        <w:t>i</w:t>
      </w:r>
      <w:proofErr w:type="spellEnd"/>
      <w:r w:rsidRPr="000508B6">
        <w:rPr>
          <w:rFonts w:ascii="Times New Roman" w:hAnsi="Times New Roman" w:cs="Times New Roman"/>
          <w:lang w:val="ro-MD"/>
        </w:rPr>
        <w:t xml:space="preserve"> care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 pe teritoriul acestora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adoptă, în colaborare cu </w:t>
      </w:r>
      <w:proofErr w:type="spellStart"/>
      <w:r w:rsidRPr="000508B6">
        <w:rPr>
          <w:rFonts w:ascii="Times New Roman" w:hAnsi="Times New Roman" w:cs="Times New Roman"/>
          <w:lang w:val="ro-MD"/>
        </w:rPr>
        <w:t>aceştia</w:t>
      </w:r>
      <w:proofErr w:type="spellEnd"/>
      <w:r w:rsidRPr="000508B6">
        <w:rPr>
          <w:rFonts w:ascii="Times New Roman" w:hAnsi="Times New Roman" w:cs="Times New Roman"/>
          <w:lang w:val="ro-MD"/>
        </w:rPr>
        <w:t xml:space="preserve">, măsurile necesare pentru a proteja interesele </w:t>
      </w:r>
      <w:proofErr w:type="spellStart"/>
      <w:r w:rsidR="00D73638" w:rsidRPr="000508B6">
        <w:rPr>
          <w:rFonts w:ascii="Times New Roman" w:hAnsi="Times New Roman" w:cs="Times New Roman"/>
          <w:lang w:val="ro-MD"/>
        </w:rPr>
        <w:t>asiguraţilor</w:t>
      </w:r>
      <w:proofErr w:type="spellEnd"/>
      <w:r w:rsidRPr="000508B6">
        <w:rPr>
          <w:rFonts w:ascii="Times New Roman" w:hAnsi="Times New Roman" w:cs="Times New Roman"/>
          <w:lang w:val="ro-MD"/>
        </w:rPr>
        <w:t xml:space="preserve">, în special prin limitarea drepturilor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de a dispune liber de active, în cazurile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prevăzute la alin. (1). </w:t>
      </w:r>
    </w:p>
    <w:p w14:paraId="65C060F7" w14:textId="200CCEEE" w:rsidR="00AC4E00" w:rsidRPr="000508B6" w:rsidRDefault="00AC4E00" w:rsidP="00230ADD">
      <w:pPr>
        <w:pStyle w:val="Listparagraf"/>
        <w:numPr>
          <w:ilvl w:val="1"/>
          <w:numId w:val="6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urma solicitărilor supraveghetorilor din statele membre gazdă, Banca Națională a Moldovei le transmite acestora, în formă agregată,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primite de la </w:t>
      </w:r>
      <w:r w:rsidR="00E94EC1" w:rsidRPr="000508B6">
        <w:rPr>
          <w:rFonts w:ascii="Times New Roman" w:hAnsi="Times New Roman" w:cs="Times New Roman"/>
          <w:lang w:val="ro-MD"/>
        </w:rPr>
        <w:t>asigurător</w:t>
      </w:r>
      <w:r w:rsidRPr="000508B6">
        <w:rPr>
          <w:rFonts w:ascii="Times New Roman" w:hAnsi="Times New Roman" w:cs="Times New Roman"/>
          <w:lang w:val="ro-MD"/>
        </w:rPr>
        <w:t xml:space="preserve"> conform art. </w:t>
      </w:r>
      <w:r w:rsidR="00540CBE" w:rsidRPr="000508B6">
        <w:rPr>
          <w:rFonts w:ascii="Times New Roman" w:hAnsi="Times New Roman" w:cs="Times New Roman"/>
          <w:lang w:val="ro-MD"/>
        </w:rPr>
        <w:t>92</w:t>
      </w:r>
      <w:r w:rsidR="00694BDB"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(7)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(8), art. </w:t>
      </w:r>
      <w:r w:rsidR="00540CBE" w:rsidRPr="000508B6">
        <w:rPr>
          <w:rFonts w:ascii="Times New Roman" w:hAnsi="Times New Roman" w:cs="Times New Roman"/>
          <w:lang w:val="ro-MD"/>
        </w:rPr>
        <w:t>93</w:t>
      </w:r>
      <w:r w:rsidR="00694BDB"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(7). </w:t>
      </w:r>
    </w:p>
    <w:p w14:paraId="2054C12B" w14:textId="56477FB3" w:rsidR="00AC4E00" w:rsidRPr="000508B6" w:rsidRDefault="00AC4E00" w:rsidP="00230ADD">
      <w:pPr>
        <w:pStyle w:val="Listparagraf"/>
        <w:numPr>
          <w:ilvl w:val="1"/>
          <w:numId w:val="6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externalizează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funcţii</w:t>
      </w:r>
      <w:proofErr w:type="spellEnd"/>
      <w:r w:rsidRPr="000508B6">
        <w:rPr>
          <w:rFonts w:ascii="Times New Roman" w:hAnsi="Times New Roman" w:cs="Times New Roman"/>
          <w:lang w:val="ro-MD"/>
        </w:rPr>
        <w:t xml:space="preserve"> sau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w:t>
      </w:r>
      <w:r w:rsidR="00995B1A" w:rsidRPr="000508B6">
        <w:rPr>
          <w:rFonts w:ascii="Times New Roman" w:hAnsi="Times New Roman" w:cs="Times New Roman"/>
          <w:lang w:val="ro-MD"/>
        </w:rPr>
        <w:t xml:space="preserve">critice sau semnificative </w:t>
      </w:r>
      <w:r w:rsidRPr="000508B6">
        <w:rPr>
          <w:rFonts w:ascii="Times New Roman" w:hAnsi="Times New Roman" w:cs="Times New Roman"/>
          <w:lang w:val="ro-MD"/>
        </w:rPr>
        <w:t>către furnizori</w:t>
      </w:r>
      <w:r w:rsidR="00995B1A" w:rsidRPr="000508B6">
        <w:rPr>
          <w:rFonts w:ascii="Times New Roman" w:hAnsi="Times New Roman" w:cs="Times New Roman"/>
          <w:lang w:val="ro-MD"/>
        </w:rPr>
        <w:t>i</w:t>
      </w:r>
      <w:r w:rsidRPr="000508B6">
        <w:rPr>
          <w:rFonts w:ascii="Times New Roman" w:hAnsi="Times New Roman" w:cs="Times New Roman"/>
          <w:lang w:val="ro-MD"/>
        </w:rPr>
        <w:t xml:space="preserve"> care au sediul în</w:t>
      </w:r>
      <w:r w:rsidR="00BE3DE4" w:rsidRPr="000508B6">
        <w:rPr>
          <w:rFonts w:ascii="Times New Roman" w:hAnsi="Times New Roman" w:cs="Times New Roman"/>
          <w:lang w:val="ro-MD"/>
        </w:rPr>
        <w:t>tr-un</w:t>
      </w:r>
      <w:r w:rsidRPr="000508B6">
        <w:rPr>
          <w:rFonts w:ascii="Times New Roman" w:hAnsi="Times New Roman" w:cs="Times New Roman"/>
          <w:lang w:val="ro-MD"/>
        </w:rPr>
        <w:t xml:space="preserve"> stat membru</w:t>
      </w:r>
      <w:r w:rsidR="00657910" w:rsidRPr="000508B6">
        <w:rPr>
          <w:rFonts w:ascii="Times New Roman" w:hAnsi="Times New Roman" w:cs="Times New Roman"/>
          <w:lang w:val="ro-MD"/>
        </w:rPr>
        <w:t>,</w:t>
      </w:r>
      <w:r w:rsidR="003068BC" w:rsidRPr="000508B6">
        <w:rPr>
          <w:rFonts w:ascii="Times New Roman" w:hAnsi="Times New Roman" w:cs="Times New Roman"/>
          <w:lang w:val="ro-MD"/>
        </w:rPr>
        <w:t xml:space="preserve"> Banca Națională a Moldovei</w:t>
      </w:r>
      <w:r w:rsidRPr="000508B6">
        <w:rPr>
          <w:rFonts w:ascii="Times New Roman" w:hAnsi="Times New Roman" w:cs="Times New Roman"/>
          <w:lang w:val="ro-MD"/>
        </w:rPr>
        <w:t>:</w:t>
      </w:r>
    </w:p>
    <w:p w14:paraId="7EBF825C" w14:textId="0182F8C1" w:rsidR="008C0B64" w:rsidRPr="000508B6" w:rsidRDefault="00AC4E00" w:rsidP="00230ADD">
      <w:pPr>
        <w:pStyle w:val="Listparagraf"/>
        <w:numPr>
          <w:ilvl w:val="2"/>
          <w:numId w:val="6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informează autoritatea de supraveghere a furnizorului sau, în cazul în care furnizorul nu este supravegheat, informează supraveghetorul din statul membru </w:t>
      </w:r>
      <w:r w:rsidR="004627AC" w:rsidRPr="000508B6">
        <w:rPr>
          <w:rFonts w:ascii="Times New Roman" w:hAnsi="Times New Roman" w:cs="Times New Roman"/>
          <w:lang w:val="ro-MD"/>
        </w:rPr>
        <w:t xml:space="preserve">respectiv </w:t>
      </w:r>
      <w:r w:rsidRPr="000508B6">
        <w:rPr>
          <w:rFonts w:ascii="Times New Roman" w:hAnsi="Times New Roman" w:cs="Times New Roman"/>
          <w:lang w:val="ro-MD"/>
        </w:rPr>
        <w:t xml:space="preserve">despre </w:t>
      </w:r>
      <w:proofErr w:type="spellStart"/>
      <w:r w:rsidRPr="000508B6">
        <w:rPr>
          <w:rFonts w:ascii="Times New Roman" w:hAnsi="Times New Roman" w:cs="Times New Roman"/>
          <w:lang w:val="ro-MD"/>
        </w:rPr>
        <w:t>intenţia</w:t>
      </w:r>
      <w:proofErr w:type="spellEnd"/>
      <w:r w:rsidRPr="000508B6">
        <w:rPr>
          <w:rFonts w:ascii="Times New Roman" w:hAnsi="Times New Roman" w:cs="Times New Roman"/>
          <w:lang w:val="ro-MD"/>
        </w:rPr>
        <w:t xml:space="preserve"> de a efectua </w:t>
      </w:r>
      <w:r w:rsidR="003665B5" w:rsidRPr="000508B6">
        <w:rPr>
          <w:rFonts w:ascii="Times New Roman" w:hAnsi="Times New Roman" w:cs="Times New Roman"/>
          <w:lang w:val="ro-MD"/>
        </w:rPr>
        <w:t xml:space="preserve">o </w:t>
      </w:r>
      <w:r w:rsidR="00BF1902" w:rsidRPr="000508B6">
        <w:rPr>
          <w:rFonts w:ascii="Times New Roman" w:hAnsi="Times New Roman" w:cs="Times New Roman"/>
          <w:lang w:val="ro-MD"/>
        </w:rPr>
        <w:t>inspecție pe teren la</w:t>
      </w:r>
      <w:r w:rsidRPr="000508B6">
        <w:rPr>
          <w:rFonts w:ascii="Times New Roman" w:hAnsi="Times New Roman" w:cs="Times New Roman"/>
          <w:lang w:val="ro-MD"/>
        </w:rPr>
        <w:t xml:space="preserve"> </w:t>
      </w:r>
      <w:r w:rsidR="003665B5" w:rsidRPr="000508B6">
        <w:rPr>
          <w:rFonts w:ascii="Times New Roman" w:hAnsi="Times New Roman" w:cs="Times New Roman"/>
          <w:lang w:val="ro-MD"/>
        </w:rPr>
        <w:t xml:space="preserve">sediul </w:t>
      </w:r>
      <w:r w:rsidRPr="000508B6">
        <w:rPr>
          <w:rFonts w:ascii="Times New Roman" w:hAnsi="Times New Roman" w:cs="Times New Roman"/>
          <w:lang w:val="ro-MD"/>
        </w:rPr>
        <w:t>furnizor</w:t>
      </w:r>
      <w:r w:rsidR="003665B5" w:rsidRPr="000508B6">
        <w:rPr>
          <w:rFonts w:ascii="Times New Roman" w:hAnsi="Times New Roman" w:cs="Times New Roman"/>
          <w:lang w:val="ro-MD"/>
        </w:rPr>
        <w:t>ului</w:t>
      </w:r>
      <w:r w:rsidR="008C0B64" w:rsidRPr="000508B6">
        <w:rPr>
          <w:rFonts w:ascii="Times New Roman" w:hAnsi="Times New Roman" w:cs="Times New Roman"/>
          <w:lang w:val="ro-MD"/>
        </w:rPr>
        <w:t>;</w:t>
      </w:r>
    </w:p>
    <w:p w14:paraId="01EFAB25" w14:textId="5323162C" w:rsidR="008C0B64" w:rsidRPr="000508B6" w:rsidRDefault="00F10E6C" w:rsidP="00230ADD">
      <w:pPr>
        <w:pStyle w:val="Listparagraf"/>
        <w:numPr>
          <w:ilvl w:val="2"/>
          <w:numId w:val="6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poate </w:t>
      </w:r>
      <w:r w:rsidR="00C806C8" w:rsidRPr="000508B6">
        <w:rPr>
          <w:rFonts w:ascii="Times New Roman" w:hAnsi="Times New Roman" w:cs="Times New Roman"/>
          <w:lang w:val="ro-MD"/>
        </w:rPr>
        <w:t>efectu</w:t>
      </w:r>
      <w:r w:rsidRPr="000508B6">
        <w:rPr>
          <w:rFonts w:ascii="Times New Roman" w:hAnsi="Times New Roman" w:cs="Times New Roman"/>
          <w:lang w:val="ro-MD"/>
        </w:rPr>
        <w:t>a</w:t>
      </w:r>
      <w:r w:rsidR="008C0B64" w:rsidRPr="000508B6">
        <w:rPr>
          <w:rFonts w:ascii="Times New Roman" w:hAnsi="Times New Roman" w:cs="Times New Roman"/>
          <w:lang w:val="ro-MD"/>
        </w:rPr>
        <w:t xml:space="preserve"> </w:t>
      </w:r>
      <w:r w:rsidR="00BF1902" w:rsidRPr="000508B6">
        <w:rPr>
          <w:rFonts w:ascii="Times New Roman" w:hAnsi="Times New Roman" w:cs="Times New Roman"/>
          <w:lang w:val="ro-MD"/>
        </w:rPr>
        <w:t>inspecție pe teren la</w:t>
      </w:r>
      <w:r w:rsidR="008C0B64" w:rsidRPr="000508B6">
        <w:rPr>
          <w:rFonts w:ascii="Times New Roman" w:hAnsi="Times New Roman" w:cs="Times New Roman"/>
          <w:lang w:val="ro-MD"/>
        </w:rPr>
        <w:t xml:space="preserve"> </w:t>
      </w:r>
      <w:r w:rsidR="003665B5" w:rsidRPr="000508B6">
        <w:rPr>
          <w:rFonts w:ascii="Times New Roman" w:hAnsi="Times New Roman" w:cs="Times New Roman"/>
          <w:lang w:val="ro-MD"/>
        </w:rPr>
        <w:t xml:space="preserve">sediul </w:t>
      </w:r>
      <w:r w:rsidR="008C0B64" w:rsidRPr="000508B6">
        <w:rPr>
          <w:rFonts w:ascii="Times New Roman" w:hAnsi="Times New Roman" w:cs="Times New Roman"/>
          <w:lang w:val="ro-MD"/>
        </w:rPr>
        <w:t>furnizor</w:t>
      </w:r>
      <w:r w:rsidR="003665B5" w:rsidRPr="000508B6">
        <w:rPr>
          <w:rFonts w:ascii="Times New Roman" w:hAnsi="Times New Roman" w:cs="Times New Roman"/>
          <w:lang w:val="ro-MD"/>
        </w:rPr>
        <w:t>ului</w:t>
      </w:r>
      <w:r w:rsidR="008C0B64" w:rsidRPr="000508B6">
        <w:rPr>
          <w:rFonts w:ascii="Times New Roman" w:hAnsi="Times New Roman" w:cs="Times New Roman"/>
          <w:lang w:val="ro-MD"/>
        </w:rPr>
        <w:t>;</w:t>
      </w:r>
    </w:p>
    <w:p w14:paraId="0D53F718" w14:textId="72AA9483" w:rsidR="008C0B64" w:rsidRPr="000508B6" w:rsidRDefault="008C0B64" w:rsidP="00230ADD">
      <w:pPr>
        <w:pStyle w:val="Listparagraf"/>
        <w:numPr>
          <w:ilvl w:val="2"/>
          <w:numId w:val="6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poate</w:t>
      </w:r>
      <w:r w:rsidR="00AC4E00" w:rsidRPr="000508B6">
        <w:rPr>
          <w:rFonts w:ascii="Times New Roman" w:hAnsi="Times New Roman" w:cs="Times New Roman"/>
          <w:lang w:val="ro-MD"/>
        </w:rPr>
        <w:t xml:space="preserve"> solicită supraveghetorului </w:t>
      </w:r>
      <w:r w:rsidRPr="000508B6">
        <w:rPr>
          <w:rFonts w:ascii="Times New Roman" w:hAnsi="Times New Roman" w:cs="Times New Roman"/>
          <w:lang w:val="ro-MD"/>
        </w:rPr>
        <w:t xml:space="preserve">din statul membru </w:t>
      </w:r>
      <w:r w:rsidR="00AC4E00" w:rsidRPr="000508B6">
        <w:rPr>
          <w:rFonts w:ascii="Times New Roman" w:hAnsi="Times New Roman" w:cs="Times New Roman"/>
          <w:lang w:val="ro-MD"/>
        </w:rPr>
        <w:t>respectiv să efectueze controlul în numele său</w:t>
      </w:r>
      <w:r w:rsidR="00DD139E" w:rsidRPr="000508B6">
        <w:rPr>
          <w:rFonts w:ascii="Times New Roman" w:hAnsi="Times New Roman" w:cs="Times New Roman"/>
          <w:lang w:val="ro-MD"/>
        </w:rPr>
        <w:t>;</w:t>
      </w:r>
    </w:p>
    <w:p w14:paraId="6E835580" w14:textId="0416815C" w:rsidR="00AC4E00" w:rsidRPr="000508B6" w:rsidRDefault="00F10E6C" w:rsidP="00230ADD">
      <w:pPr>
        <w:pStyle w:val="Listparagraf"/>
        <w:numPr>
          <w:ilvl w:val="2"/>
          <w:numId w:val="6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poate </w:t>
      </w:r>
      <w:r w:rsidR="008C0B64" w:rsidRPr="000508B6">
        <w:rPr>
          <w:rFonts w:ascii="Times New Roman" w:hAnsi="Times New Roman" w:cs="Times New Roman"/>
          <w:lang w:val="ro-MD"/>
        </w:rPr>
        <w:t>desemn</w:t>
      </w:r>
      <w:r w:rsidRPr="000508B6">
        <w:rPr>
          <w:rFonts w:ascii="Times New Roman" w:hAnsi="Times New Roman" w:cs="Times New Roman"/>
          <w:lang w:val="ro-MD"/>
        </w:rPr>
        <w:t>a</w:t>
      </w:r>
      <w:r w:rsidR="008C0B64" w:rsidRPr="000508B6">
        <w:rPr>
          <w:rFonts w:ascii="Times New Roman" w:hAnsi="Times New Roman" w:cs="Times New Roman"/>
          <w:lang w:val="ro-MD"/>
        </w:rPr>
        <w:t xml:space="preserve"> alte persoane să </w:t>
      </w:r>
      <w:r w:rsidRPr="000508B6">
        <w:rPr>
          <w:rFonts w:ascii="Times New Roman" w:hAnsi="Times New Roman" w:cs="Times New Roman"/>
          <w:lang w:val="ro-MD"/>
        </w:rPr>
        <w:t>efectueze</w:t>
      </w:r>
      <w:r w:rsidR="008C0B64" w:rsidRPr="000508B6">
        <w:rPr>
          <w:rFonts w:ascii="Times New Roman" w:hAnsi="Times New Roman" w:cs="Times New Roman"/>
          <w:lang w:val="ro-MD"/>
        </w:rPr>
        <w:t xml:space="preserve"> controlul în numele său</w:t>
      </w:r>
      <w:r w:rsidR="00AC4E00" w:rsidRPr="000508B6">
        <w:rPr>
          <w:rFonts w:ascii="Times New Roman" w:hAnsi="Times New Roman" w:cs="Times New Roman"/>
          <w:lang w:val="ro-MD"/>
        </w:rPr>
        <w:t xml:space="preserve">; </w:t>
      </w:r>
    </w:p>
    <w:p w14:paraId="3F740942" w14:textId="1DC16A04" w:rsidR="00AC4E00" w:rsidRPr="000508B6" w:rsidRDefault="008C0B64" w:rsidP="00230ADD">
      <w:pPr>
        <w:pStyle w:val="Listparagraf"/>
        <w:numPr>
          <w:ilvl w:val="2"/>
          <w:numId w:val="68"/>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poate </w:t>
      </w:r>
      <w:r w:rsidR="00AC4E00" w:rsidRPr="000508B6">
        <w:rPr>
          <w:rFonts w:ascii="Times New Roman" w:hAnsi="Times New Roman" w:cs="Times New Roman"/>
          <w:lang w:val="ro-MD"/>
        </w:rPr>
        <w:t xml:space="preserve">solicită </w:t>
      </w:r>
      <w:proofErr w:type="spellStart"/>
      <w:r w:rsidR="00AC4E00" w:rsidRPr="000508B6">
        <w:rPr>
          <w:rFonts w:ascii="Times New Roman" w:hAnsi="Times New Roman" w:cs="Times New Roman"/>
          <w:lang w:val="ro-MD"/>
        </w:rPr>
        <w:t>asistenţa</w:t>
      </w:r>
      <w:proofErr w:type="spellEnd"/>
      <w:r w:rsidR="00AC4E00" w:rsidRPr="000508B6">
        <w:rPr>
          <w:rFonts w:ascii="Times New Roman" w:hAnsi="Times New Roman" w:cs="Times New Roman"/>
          <w:lang w:val="ro-MD"/>
        </w:rPr>
        <w:t xml:space="preserve"> EIOPA în caz</w:t>
      </w:r>
      <w:r w:rsidRPr="000508B6">
        <w:rPr>
          <w:rFonts w:ascii="Times New Roman" w:hAnsi="Times New Roman" w:cs="Times New Roman"/>
          <w:lang w:val="ro-MD"/>
        </w:rPr>
        <w:t>urile prevăzute la lit.</w:t>
      </w:r>
      <w:r w:rsidR="00ED2ADB" w:rsidRPr="000508B6">
        <w:rPr>
          <w:rFonts w:ascii="Times New Roman" w:hAnsi="Times New Roman" w:cs="Times New Roman"/>
          <w:lang w:val="ro-MD"/>
        </w:rPr>
        <w:t xml:space="preserve"> </w:t>
      </w:r>
      <w:r w:rsidRPr="000508B6">
        <w:rPr>
          <w:rFonts w:ascii="Times New Roman" w:hAnsi="Times New Roman" w:cs="Times New Roman"/>
          <w:lang w:val="ro-MD"/>
        </w:rPr>
        <w:t xml:space="preserve">a) și b) și </w:t>
      </w:r>
      <w:r w:rsidR="00AC4E00" w:rsidRPr="000508B6">
        <w:rPr>
          <w:rFonts w:ascii="Times New Roman" w:hAnsi="Times New Roman" w:cs="Times New Roman"/>
          <w:lang w:val="ro-MD"/>
        </w:rPr>
        <w:t xml:space="preserve">în </w:t>
      </w:r>
      <w:r w:rsidRPr="000508B6">
        <w:rPr>
          <w:rFonts w:ascii="Times New Roman" w:hAnsi="Times New Roman" w:cs="Times New Roman"/>
          <w:lang w:val="ro-MD"/>
        </w:rPr>
        <w:t xml:space="preserve">cazurile în </w:t>
      </w:r>
      <w:r w:rsidR="00AC4E00" w:rsidRPr="000508B6">
        <w:rPr>
          <w:rFonts w:ascii="Times New Roman" w:hAnsi="Times New Roman" w:cs="Times New Roman"/>
          <w:lang w:val="ro-MD"/>
        </w:rPr>
        <w:t xml:space="preserve">care supraveghetorul din statul membru </w:t>
      </w:r>
      <w:r w:rsidRPr="000508B6">
        <w:rPr>
          <w:rFonts w:ascii="Times New Roman" w:hAnsi="Times New Roman" w:cs="Times New Roman"/>
          <w:lang w:val="ro-MD"/>
        </w:rPr>
        <w:t xml:space="preserve">respectiv nu poate </w:t>
      </w:r>
      <w:r w:rsidR="00AC4E00" w:rsidRPr="000508B6">
        <w:rPr>
          <w:rFonts w:ascii="Times New Roman" w:hAnsi="Times New Roman" w:cs="Times New Roman"/>
          <w:lang w:val="ro-MD"/>
        </w:rPr>
        <w:t>exercita dreptul</w:t>
      </w:r>
      <w:r w:rsidR="00C036EA" w:rsidRPr="000508B6">
        <w:rPr>
          <w:rFonts w:ascii="Times New Roman" w:hAnsi="Times New Roman" w:cs="Times New Roman"/>
          <w:lang w:val="ro-MD"/>
        </w:rPr>
        <w:t xml:space="preserve"> </w:t>
      </w:r>
      <w:r w:rsidR="00AC4E00" w:rsidRPr="000508B6">
        <w:rPr>
          <w:rFonts w:ascii="Times New Roman" w:hAnsi="Times New Roman" w:cs="Times New Roman"/>
          <w:lang w:val="ro-MD"/>
        </w:rPr>
        <w:t xml:space="preserve">de a efectua controlul </w:t>
      </w:r>
      <w:proofErr w:type="spellStart"/>
      <w:r w:rsidR="00AC4E00" w:rsidRPr="000508B6">
        <w:rPr>
          <w:rFonts w:ascii="Times New Roman" w:hAnsi="Times New Roman" w:cs="Times New Roman"/>
          <w:lang w:val="ro-MD"/>
        </w:rPr>
        <w:t>menţionat</w:t>
      </w:r>
      <w:proofErr w:type="spellEnd"/>
      <w:r w:rsidR="00AC4E00" w:rsidRPr="000508B6">
        <w:rPr>
          <w:rFonts w:ascii="Times New Roman" w:hAnsi="Times New Roman" w:cs="Times New Roman"/>
          <w:lang w:val="ro-MD"/>
        </w:rPr>
        <w:t xml:space="preserve"> la lit. </w:t>
      </w:r>
      <w:r w:rsidRPr="000508B6">
        <w:rPr>
          <w:rFonts w:ascii="Times New Roman" w:hAnsi="Times New Roman" w:cs="Times New Roman"/>
          <w:lang w:val="ro-MD"/>
        </w:rPr>
        <w:t>c</w:t>
      </w:r>
      <w:r w:rsidR="00AC4E00" w:rsidRPr="000508B6">
        <w:rPr>
          <w:rFonts w:ascii="Times New Roman" w:hAnsi="Times New Roman" w:cs="Times New Roman"/>
          <w:lang w:val="ro-MD"/>
        </w:rPr>
        <w:t xml:space="preserve">). </w:t>
      </w:r>
    </w:p>
    <w:p w14:paraId="61940942" w14:textId="77777777" w:rsidR="00AC4E00" w:rsidRPr="000508B6" w:rsidRDefault="00AC4E00" w:rsidP="00230ADD">
      <w:pPr>
        <w:pStyle w:val="Listparagraf"/>
        <w:numPr>
          <w:ilvl w:val="1"/>
          <w:numId w:val="6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notifică supraveghetorii din statele membre gazdă: </w:t>
      </w:r>
    </w:p>
    <w:p w14:paraId="0734127B" w14:textId="62E51AD5"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 dacă, în cazul licențierii </w:t>
      </w:r>
      <w:r w:rsidR="00BC11BD" w:rsidRPr="000508B6">
        <w:rPr>
          <w:rFonts w:ascii="Times New Roman" w:hAnsi="Times New Roman" w:cs="Times New Roman"/>
          <w:lang w:val="ro-MD"/>
        </w:rPr>
        <w:t xml:space="preserve">unui asigurător sau </w:t>
      </w:r>
      <w:proofErr w:type="spellStart"/>
      <w:r w:rsidR="00BC11BD"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din planul de afaceri primit reiese că o parte din activitate urmează a fi </w:t>
      </w:r>
      <w:proofErr w:type="spellStart"/>
      <w:r w:rsidRPr="000508B6">
        <w:rPr>
          <w:rFonts w:ascii="Times New Roman" w:hAnsi="Times New Roman" w:cs="Times New Roman"/>
          <w:lang w:val="ro-MD"/>
        </w:rPr>
        <w:t>desfăşurată</w:t>
      </w:r>
      <w:proofErr w:type="spellEnd"/>
      <w:r w:rsidRPr="000508B6">
        <w:rPr>
          <w:rFonts w:ascii="Times New Roman" w:hAnsi="Times New Roman" w:cs="Times New Roman"/>
          <w:lang w:val="ro-MD"/>
        </w:rPr>
        <w:t xml:space="preserve"> în baza dreptului de stabilire sau 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iar activitatea respectivă este posibil a fi relevantă pentru </w:t>
      </w:r>
      <w:proofErr w:type="spellStart"/>
      <w:r w:rsidRPr="000508B6">
        <w:rPr>
          <w:rFonts w:ascii="Times New Roman" w:hAnsi="Times New Roman" w:cs="Times New Roman"/>
          <w:lang w:val="ro-MD"/>
        </w:rPr>
        <w:t>piaţa</w:t>
      </w:r>
      <w:proofErr w:type="spellEnd"/>
      <w:r w:rsidRPr="000508B6">
        <w:rPr>
          <w:rFonts w:ascii="Times New Roman" w:hAnsi="Times New Roman" w:cs="Times New Roman"/>
          <w:lang w:val="ro-MD"/>
        </w:rPr>
        <w:t xml:space="preserve"> din statele membre respective; </w:t>
      </w:r>
    </w:p>
    <w:p w14:paraId="73B5A291" w14:textId="55C2614E"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b) în cazul în care constată că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care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 în baza dreptului de stabilire sau 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înregistrează deteriorări ale </w:t>
      </w:r>
      <w:proofErr w:type="spellStart"/>
      <w:r w:rsidRPr="000508B6">
        <w:rPr>
          <w:rFonts w:ascii="Times New Roman" w:hAnsi="Times New Roman" w:cs="Times New Roman"/>
          <w:lang w:val="ro-MD"/>
        </w:rPr>
        <w:t>situaţiei</w:t>
      </w:r>
      <w:proofErr w:type="spellEnd"/>
      <w:r w:rsidRPr="000508B6">
        <w:rPr>
          <w:rFonts w:ascii="Times New Roman" w:hAnsi="Times New Roman" w:cs="Times New Roman"/>
          <w:lang w:val="ro-MD"/>
        </w:rPr>
        <w:t xml:space="preserve"> financiare sau constată </w:t>
      </w:r>
      <w:proofErr w:type="spellStart"/>
      <w:r w:rsidRPr="000508B6">
        <w:rPr>
          <w:rFonts w:ascii="Times New Roman" w:hAnsi="Times New Roman" w:cs="Times New Roman"/>
          <w:lang w:val="ro-MD"/>
        </w:rPr>
        <w:t>existenţa</w:t>
      </w:r>
      <w:proofErr w:type="spellEnd"/>
      <w:r w:rsidRPr="000508B6">
        <w:rPr>
          <w:rFonts w:ascii="Times New Roman" w:hAnsi="Times New Roman" w:cs="Times New Roman"/>
          <w:lang w:val="ro-MD"/>
        </w:rPr>
        <w:t xml:space="preserve"> altor riscuri emergente cu efect transfrontalier generate de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respectiv. </w:t>
      </w:r>
    </w:p>
    <w:p w14:paraId="1D435104" w14:textId="43D822F8" w:rsidR="00662F96" w:rsidRPr="000508B6" w:rsidRDefault="005A367F" w:rsidP="00230ADD">
      <w:pPr>
        <w:pStyle w:val="Listparagraf"/>
        <w:numPr>
          <w:ilvl w:val="1"/>
          <w:numId w:val="67"/>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CNPF, constată că asigurătorul sau </w:t>
      </w:r>
      <w:proofErr w:type="spellStart"/>
      <w:r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care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 în baza dreptului de stabilire sau 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generează riscuri transfrontaliere legate de protecția consumatorului, aceasta notifică direct supraveghetorul din statele membre gazdă despre acest fapt. </w:t>
      </w:r>
    </w:p>
    <w:p w14:paraId="17835B90" w14:textId="7FB1BA03" w:rsidR="005D6DFF" w:rsidRPr="000508B6" w:rsidRDefault="005D6DFF" w:rsidP="00230ADD">
      <w:pPr>
        <w:pStyle w:val="Listparagraf"/>
        <w:numPr>
          <w:ilvl w:val="1"/>
          <w:numId w:val="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Atunci </w:t>
      </w:r>
      <w:r w:rsidR="00ED2ADB" w:rsidRPr="000508B6">
        <w:rPr>
          <w:rFonts w:ascii="Times New Roman" w:hAnsi="Times New Roman" w:cs="Times New Roman"/>
          <w:lang w:val="ro-MD"/>
        </w:rPr>
        <w:t>când</w:t>
      </w:r>
      <w:r w:rsidRPr="000508B6">
        <w:rPr>
          <w:rFonts w:ascii="Times New Roman" w:hAnsi="Times New Roman" w:cs="Times New Roman"/>
          <w:lang w:val="ro-MD"/>
        </w:rPr>
        <w:t xml:space="preserve"> primește de la supraveghetorul dintr-un stat membru gazdă solicitări de informații referitoare la </w:t>
      </w:r>
      <w:r w:rsidR="004125E8" w:rsidRPr="000508B6">
        <w:rPr>
          <w:rFonts w:ascii="Times New Roman" w:hAnsi="Times New Roman" w:cs="Times New Roman"/>
          <w:lang w:val="ro-MD"/>
        </w:rPr>
        <w:t xml:space="preserve">asigurător sau </w:t>
      </w:r>
      <w:proofErr w:type="spellStart"/>
      <w:r w:rsidR="004125E8"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sau sucursale ale </w:t>
      </w:r>
      <w:r w:rsidR="00865FB8" w:rsidRPr="000508B6">
        <w:rPr>
          <w:rFonts w:ascii="Times New Roman" w:hAnsi="Times New Roman" w:cs="Times New Roman"/>
          <w:lang w:val="ro-MD"/>
        </w:rPr>
        <w:t xml:space="preserve">acestuia </w:t>
      </w:r>
      <w:r w:rsidRPr="000508B6">
        <w:rPr>
          <w:rFonts w:ascii="Times New Roman" w:hAnsi="Times New Roman" w:cs="Times New Roman"/>
          <w:lang w:val="ro-MD"/>
        </w:rPr>
        <w:t xml:space="preserve">din Republica Moldova care activează în statul respectiv, Banca Națională a Moldovei transmite informațiile solicitate în termen de 20 de zile lucrătoare de la data primirii solicitării în limba oficială sau limbile oficiale ale statului membru gazdă sau o altă limbă acceptată de supraveghetorul respectiv. </w:t>
      </w:r>
    </w:p>
    <w:p w14:paraId="6625441E" w14:textId="7A4B767D" w:rsidR="005D6DFF" w:rsidRPr="000508B6" w:rsidRDefault="005D6DFF" w:rsidP="00230ADD">
      <w:pPr>
        <w:pStyle w:val="Listparagraf"/>
        <w:numPr>
          <w:ilvl w:val="1"/>
          <w:numId w:val="67"/>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Prin derogare de la alin. (</w:t>
      </w:r>
      <w:r w:rsidR="00662F96" w:rsidRPr="000508B6">
        <w:rPr>
          <w:rFonts w:ascii="Times New Roman" w:hAnsi="Times New Roman" w:cs="Times New Roman"/>
          <w:lang w:val="ro-MD"/>
        </w:rPr>
        <w:t>10</w:t>
      </w:r>
      <w:r w:rsidRPr="000508B6">
        <w:rPr>
          <w:rFonts w:ascii="Times New Roman" w:hAnsi="Times New Roman" w:cs="Times New Roman"/>
          <w:lang w:val="ro-MD"/>
        </w:rPr>
        <w:t xml:space="preserve">), în </w:t>
      </w:r>
      <w:r w:rsidR="00870A28" w:rsidRPr="000508B6">
        <w:rPr>
          <w:rFonts w:ascii="Times New Roman" w:hAnsi="Times New Roman" w:cs="Times New Roman"/>
          <w:lang w:val="ro-MD"/>
        </w:rPr>
        <w:t xml:space="preserve">cazul în care </w:t>
      </w:r>
      <w:r w:rsidRPr="000508B6">
        <w:rPr>
          <w:rFonts w:ascii="Times New Roman" w:hAnsi="Times New Roman" w:cs="Times New Roman"/>
          <w:lang w:val="ro-MD"/>
        </w:rPr>
        <w:t xml:space="preserve">informațiile solicitate nu sunt ușor accesibile și colectarea acestora este dificil de realizat, </w:t>
      </w:r>
      <w:r w:rsidR="00D957D5" w:rsidRPr="000508B6">
        <w:rPr>
          <w:rFonts w:ascii="Times New Roman" w:hAnsi="Times New Roman" w:cs="Times New Roman"/>
          <w:lang w:val="ro-MD"/>
        </w:rPr>
        <w:t xml:space="preserve">Banca Națională a Moldovei, după ce informează solicitantul </w:t>
      </w:r>
      <w:r w:rsidR="00D957D5" w:rsidRPr="000508B6">
        <w:rPr>
          <w:rFonts w:ascii="Times New Roman" w:hAnsi="Times New Roman" w:cs="Times New Roman"/>
          <w:lang w:val="ro-MD"/>
        </w:rPr>
        <w:lastRenderedPageBreak/>
        <w:t>și justifică în mod corespunzător</w:t>
      </w:r>
      <w:r w:rsidR="002A3278">
        <w:rPr>
          <w:rFonts w:ascii="Times New Roman" w:hAnsi="Times New Roman" w:cs="Times New Roman"/>
          <w:lang w:val="ro-MD"/>
        </w:rPr>
        <w:t>,</w:t>
      </w:r>
      <w:r w:rsidR="00D957D5" w:rsidRPr="000508B6">
        <w:rPr>
          <w:rFonts w:ascii="Times New Roman" w:hAnsi="Times New Roman" w:cs="Times New Roman"/>
          <w:lang w:val="ro-MD"/>
        </w:rPr>
        <w:t xml:space="preserve"> prelungește </w:t>
      </w:r>
      <w:r w:rsidRPr="000508B6">
        <w:rPr>
          <w:rFonts w:ascii="Times New Roman" w:hAnsi="Times New Roman" w:cs="Times New Roman"/>
          <w:lang w:val="ro-MD"/>
        </w:rPr>
        <w:t xml:space="preserve">termenul menționat la </w:t>
      </w:r>
      <w:r w:rsidR="00D957D5" w:rsidRPr="000508B6">
        <w:rPr>
          <w:rFonts w:ascii="Times New Roman" w:hAnsi="Times New Roman" w:cs="Times New Roman"/>
          <w:lang w:val="ro-MD"/>
        </w:rPr>
        <w:t>alineatul</w:t>
      </w:r>
      <w:r w:rsidRPr="000508B6">
        <w:rPr>
          <w:rFonts w:ascii="Times New Roman" w:hAnsi="Times New Roman" w:cs="Times New Roman"/>
          <w:lang w:val="ro-MD"/>
        </w:rPr>
        <w:t xml:space="preserve"> respectiv cu 20 de zile lucrătoare</w:t>
      </w:r>
      <w:r w:rsidR="00D957D5" w:rsidRPr="000508B6">
        <w:rPr>
          <w:rFonts w:ascii="Times New Roman" w:hAnsi="Times New Roman" w:cs="Times New Roman"/>
          <w:lang w:val="ro-MD"/>
        </w:rPr>
        <w:t>.</w:t>
      </w:r>
      <w:r w:rsidRPr="000508B6">
        <w:rPr>
          <w:rFonts w:ascii="Times New Roman" w:hAnsi="Times New Roman" w:cs="Times New Roman"/>
          <w:lang w:val="ro-MD"/>
        </w:rPr>
        <w:t xml:space="preserve"> </w:t>
      </w:r>
    </w:p>
    <w:p w14:paraId="27C429E6" w14:textId="24B231A7" w:rsidR="00870A28" w:rsidRPr="000508B6" w:rsidRDefault="00BB151A" w:rsidP="00230ADD">
      <w:pPr>
        <w:pStyle w:val="Listparagraf"/>
        <w:numPr>
          <w:ilvl w:val="1"/>
          <w:numId w:val="67"/>
        </w:numPr>
        <w:tabs>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Atunci </w:t>
      </w:r>
      <w:r w:rsidR="00ED2ADB" w:rsidRPr="000508B6">
        <w:rPr>
          <w:rFonts w:ascii="Times New Roman" w:hAnsi="Times New Roman" w:cs="Times New Roman"/>
          <w:bCs/>
          <w:lang w:val="ro-MD"/>
        </w:rPr>
        <w:t>când</w:t>
      </w:r>
      <w:r w:rsidRPr="000508B6">
        <w:rPr>
          <w:rFonts w:ascii="Times New Roman" w:hAnsi="Times New Roman" w:cs="Times New Roman"/>
          <w:bCs/>
          <w:lang w:val="ro-MD"/>
        </w:rPr>
        <w:t xml:space="preserve"> EIOPA solicită efectuarea unei inspecții </w:t>
      </w:r>
      <w:r w:rsidR="00097601" w:rsidRPr="000508B6">
        <w:rPr>
          <w:rFonts w:ascii="Times New Roman" w:hAnsi="Times New Roman" w:cs="Times New Roman"/>
          <w:bCs/>
          <w:lang w:val="ro-MD"/>
        </w:rPr>
        <w:t xml:space="preserve">pe teren </w:t>
      </w:r>
      <w:r w:rsidRPr="000508B6">
        <w:rPr>
          <w:rFonts w:ascii="Times New Roman" w:hAnsi="Times New Roman" w:cs="Times New Roman"/>
          <w:bCs/>
          <w:lang w:val="ro-MD"/>
        </w:rPr>
        <w:t>la sediul asigurăt</w:t>
      </w:r>
      <w:r w:rsidR="00E27F16" w:rsidRPr="000508B6">
        <w:rPr>
          <w:rFonts w:ascii="Times New Roman" w:hAnsi="Times New Roman" w:cs="Times New Roman"/>
          <w:bCs/>
          <w:lang w:val="ro-MD"/>
        </w:rPr>
        <w:t>orului</w:t>
      </w:r>
      <w:r w:rsidRPr="000508B6">
        <w:rPr>
          <w:rFonts w:ascii="Times New Roman" w:hAnsi="Times New Roman" w:cs="Times New Roman"/>
          <w:bCs/>
          <w:lang w:val="ro-MD"/>
        </w:rPr>
        <w:t xml:space="preserve"> sau </w:t>
      </w:r>
      <w:proofErr w:type="spellStart"/>
      <w:r w:rsidRPr="000508B6">
        <w:rPr>
          <w:rFonts w:ascii="Times New Roman" w:hAnsi="Times New Roman" w:cs="Times New Roman"/>
          <w:bCs/>
          <w:lang w:val="ro-MD"/>
        </w:rPr>
        <w:t>reasigurăt</w:t>
      </w:r>
      <w:r w:rsidR="00E27F16" w:rsidRPr="000508B6">
        <w:rPr>
          <w:rFonts w:ascii="Times New Roman" w:hAnsi="Times New Roman" w:cs="Times New Roman"/>
          <w:bCs/>
          <w:lang w:val="ro-MD"/>
        </w:rPr>
        <w:t>orului</w:t>
      </w:r>
      <w:proofErr w:type="spellEnd"/>
      <w:r w:rsidR="00601B28" w:rsidRPr="000508B6">
        <w:rPr>
          <w:rFonts w:ascii="Times New Roman" w:hAnsi="Times New Roman" w:cs="Times New Roman"/>
          <w:bCs/>
          <w:lang w:val="ro-MD"/>
        </w:rPr>
        <w:t>,</w:t>
      </w:r>
      <w:r w:rsidRPr="000508B6">
        <w:rPr>
          <w:rFonts w:ascii="Times New Roman" w:hAnsi="Times New Roman" w:cs="Times New Roman"/>
          <w:bCs/>
          <w:lang w:val="ro-MD"/>
        </w:rPr>
        <w:t xml:space="preserve"> </w:t>
      </w:r>
      <w:r w:rsidR="00E27F16" w:rsidRPr="000508B6">
        <w:rPr>
          <w:rFonts w:ascii="Times New Roman" w:hAnsi="Times New Roman" w:cs="Times New Roman"/>
          <w:bCs/>
          <w:lang w:val="ro-MD"/>
        </w:rPr>
        <w:t xml:space="preserve">Banca </w:t>
      </w:r>
      <w:r w:rsidR="00660314" w:rsidRPr="000508B6">
        <w:rPr>
          <w:rFonts w:ascii="Times New Roman" w:hAnsi="Times New Roman" w:cs="Times New Roman"/>
          <w:bCs/>
          <w:lang w:val="ro-MD"/>
        </w:rPr>
        <w:t>N</w:t>
      </w:r>
      <w:r w:rsidR="00E27F16" w:rsidRPr="000508B6">
        <w:rPr>
          <w:rFonts w:ascii="Times New Roman" w:hAnsi="Times New Roman" w:cs="Times New Roman"/>
          <w:bCs/>
          <w:lang w:val="ro-MD"/>
        </w:rPr>
        <w:t>ațională a Moldovei</w:t>
      </w:r>
      <w:r w:rsidRPr="000508B6">
        <w:rPr>
          <w:rFonts w:ascii="Times New Roman" w:hAnsi="Times New Roman" w:cs="Times New Roman"/>
          <w:bCs/>
          <w:lang w:val="ro-MD"/>
        </w:rPr>
        <w:t xml:space="preserve"> inițiază fără întârziere inspecția respectivă și solicită EIOPA și altor supraveghetori să participe</w:t>
      </w:r>
      <w:r w:rsidR="00E27F16" w:rsidRPr="000508B6">
        <w:rPr>
          <w:rFonts w:ascii="Times New Roman" w:hAnsi="Times New Roman" w:cs="Times New Roman"/>
          <w:bCs/>
          <w:lang w:val="ro-MD"/>
        </w:rPr>
        <w:t xml:space="preserve"> la această inspecție</w:t>
      </w:r>
      <w:r w:rsidRPr="000508B6">
        <w:rPr>
          <w:rFonts w:ascii="Times New Roman" w:hAnsi="Times New Roman" w:cs="Times New Roman"/>
          <w:bCs/>
          <w:lang w:val="ro-MD"/>
        </w:rPr>
        <w:t>. În această situație, se aplică art</w:t>
      </w:r>
      <w:r w:rsidR="00660314" w:rsidRPr="000508B6">
        <w:rPr>
          <w:rFonts w:ascii="Times New Roman" w:hAnsi="Times New Roman" w:cs="Times New Roman"/>
          <w:bCs/>
          <w:lang w:val="ro-MD"/>
        </w:rPr>
        <w:t>. 190 alin. (12)-(14) și art.</w:t>
      </w:r>
      <w:r w:rsidR="00ED2ADB" w:rsidRPr="000508B6">
        <w:rPr>
          <w:rFonts w:ascii="Times New Roman" w:hAnsi="Times New Roman" w:cs="Times New Roman"/>
          <w:bCs/>
          <w:lang w:val="ro-MD"/>
        </w:rPr>
        <w:t xml:space="preserve"> </w:t>
      </w:r>
      <w:r w:rsidR="00660314" w:rsidRPr="000508B6">
        <w:rPr>
          <w:rFonts w:ascii="Times New Roman" w:hAnsi="Times New Roman" w:cs="Times New Roman"/>
          <w:bCs/>
          <w:lang w:val="ro-MD"/>
        </w:rPr>
        <w:t>191</w:t>
      </w:r>
      <w:r w:rsidRPr="000508B6">
        <w:rPr>
          <w:rFonts w:ascii="Times New Roman" w:hAnsi="Times New Roman" w:cs="Times New Roman"/>
          <w:bCs/>
          <w:lang w:val="ro-MD"/>
        </w:rPr>
        <w:t xml:space="preserve"> alin</w:t>
      </w:r>
      <w:r w:rsidR="00660314" w:rsidRPr="000508B6">
        <w:rPr>
          <w:rFonts w:ascii="Times New Roman" w:hAnsi="Times New Roman" w:cs="Times New Roman"/>
          <w:bCs/>
          <w:lang w:val="ro-MD"/>
        </w:rPr>
        <w:t>.</w:t>
      </w:r>
      <w:r w:rsidR="00ED2ADB" w:rsidRPr="000508B6">
        <w:rPr>
          <w:rFonts w:ascii="Times New Roman" w:hAnsi="Times New Roman" w:cs="Times New Roman"/>
          <w:bCs/>
          <w:lang w:val="ro-MD"/>
        </w:rPr>
        <w:t xml:space="preserve"> </w:t>
      </w:r>
      <w:r w:rsidRPr="000508B6">
        <w:rPr>
          <w:rFonts w:ascii="Times New Roman" w:hAnsi="Times New Roman" w:cs="Times New Roman"/>
          <w:bCs/>
          <w:lang w:val="ro-MD"/>
        </w:rPr>
        <w:t>(</w:t>
      </w:r>
      <w:r w:rsidR="00660314" w:rsidRPr="000508B6">
        <w:rPr>
          <w:rFonts w:ascii="Times New Roman" w:hAnsi="Times New Roman" w:cs="Times New Roman"/>
          <w:bCs/>
          <w:lang w:val="ro-MD"/>
        </w:rPr>
        <w:t>11</w:t>
      </w:r>
      <w:r w:rsidRPr="000508B6">
        <w:rPr>
          <w:rFonts w:ascii="Times New Roman" w:hAnsi="Times New Roman" w:cs="Times New Roman"/>
          <w:bCs/>
          <w:lang w:val="ro-MD"/>
        </w:rPr>
        <w:t xml:space="preserve">) </w:t>
      </w:r>
      <w:r w:rsidR="00660314" w:rsidRPr="000508B6">
        <w:rPr>
          <w:rFonts w:ascii="Times New Roman" w:hAnsi="Times New Roman" w:cs="Times New Roman"/>
          <w:bCs/>
          <w:lang w:val="ro-MD"/>
        </w:rPr>
        <w:t>și alin. (15).</w:t>
      </w:r>
      <w:r w:rsidR="00A26CCB" w:rsidRPr="000508B6">
        <w:rPr>
          <w:rFonts w:ascii="Times New Roman" w:hAnsi="Times New Roman" w:cs="Times New Roman"/>
          <w:bCs/>
          <w:lang w:val="ro-MD"/>
        </w:rPr>
        <w:t xml:space="preserve"> </w:t>
      </w:r>
    </w:p>
    <w:p w14:paraId="102556D1" w14:textId="77777777" w:rsidR="00BB151A" w:rsidRPr="000508B6" w:rsidRDefault="00BB151A" w:rsidP="00325782">
      <w:pPr>
        <w:spacing w:after="0" w:line="240" w:lineRule="auto"/>
        <w:ind w:firstLine="426"/>
        <w:jc w:val="both"/>
        <w:rPr>
          <w:rFonts w:ascii="Times New Roman" w:hAnsi="Times New Roman" w:cs="Times New Roman"/>
          <w:b/>
          <w:lang w:val="ro-MD"/>
        </w:rPr>
      </w:pPr>
    </w:p>
    <w:p w14:paraId="6BF50C35" w14:textId="501E4261" w:rsidR="00AC4E00" w:rsidRPr="000508B6" w:rsidRDefault="00AC4E00" w:rsidP="00325782">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870A28" w:rsidRPr="000508B6">
        <w:rPr>
          <w:rFonts w:ascii="Times New Roman" w:hAnsi="Times New Roman" w:cs="Times New Roman"/>
          <w:b/>
          <w:lang w:val="ro-MD"/>
        </w:rPr>
        <w:t>189</w:t>
      </w:r>
      <w:r w:rsidRPr="000508B6">
        <w:rPr>
          <w:rFonts w:ascii="Times New Roman" w:hAnsi="Times New Roman" w:cs="Times New Roman"/>
          <w:b/>
          <w:lang w:val="ro-MD"/>
        </w:rPr>
        <w:t>.</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Competenţele</w:t>
      </w:r>
      <w:proofErr w:type="spellEnd"/>
      <w:r w:rsidRPr="000508B6">
        <w:rPr>
          <w:rFonts w:ascii="Times New Roman" w:hAnsi="Times New Roman" w:cs="Times New Roman"/>
          <w:lang w:val="ro-MD"/>
        </w:rPr>
        <w:t xml:space="preserve"> Băncii Naționale a Moldovei în calitate de supraveghetor din stat</w:t>
      </w:r>
      <w:r w:rsidR="004F4E60" w:rsidRPr="000508B6">
        <w:rPr>
          <w:rFonts w:ascii="Times New Roman" w:hAnsi="Times New Roman" w:cs="Times New Roman"/>
          <w:lang w:val="ro-MD"/>
        </w:rPr>
        <w:t>ul</w:t>
      </w:r>
      <w:r w:rsidRPr="000508B6">
        <w:rPr>
          <w:rFonts w:ascii="Times New Roman" w:hAnsi="Times New Roman" w:cs="Times New Roman"/>
          <w:lang w:val="ro-MD"/>
        </w:rPr>
        <w:t xml:space="preserve"> membru gazdă </w:t>
      </w:r>
    </w:p>
    <w:p w14:paraId="7DFEEA57" w14:textId="33B0E79D" w:rsidR="00C5510A" w:rsidRPr="000508B6" w:rsidRDefault="00AC4E00" w:rsidP="00CF5AFA">
      <w:pPr>
        <w:pStyle w:val="Listparagraf"/>
        <w:numPr>
          <w:ilvl w:val="0"/>
          <w:numId w:val="6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interzice, prin decizie,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F53127" w:rsidRPr="000508B6">
        <w:rPr>
          <w:rFonts w:ascii="Times New Roman" w:hAnsi="Times New Roman" w:cs="Times New Roman"/>
          <w:lang w:val="ro-MD"/>
        </w:rPr>
        <w:t xml:space="preserve"> </w:t>
      </w:r>
      <w:r w:rsidRPr="000508B6">
        <w:rPr>
          <w:rFonts w:ascii="Times New Roman" w:hAnsi="Times New Roman" w:cs="Times New Roman"/>
          <w:lang w:val="ro-MD"/>
        </w:rPr>
        <w:t xml:space="preserve">să dispună liber de activele aflate pe teritoriul Republicii Moldova, conform notificării din partea supraveghetorilor din statele membre de origine cu privire la faptul că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respectiv a încălcat prevederile referitoare la rezervele tehnice,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MCR sau că i-a fost retrasă licența. Activele asupra cărora se aplică această măsură sunt indicate de supraveghetorul din statul membru de origine.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poate </w:t>
      </w:r>
      <w:r w:rsidR="0036441A" w:rsidRPr="000508B6">
        <w:rPr>
          <w:rFonts w:ascii="Times New Roman" w:hAnsi="Times New Roman" w:cs="Times New Roman"/>
          <w:lang w:val="ro-MD"/>
        </w:rPr>
        <w:t xml:space="preserve">contesta </w:t>
      </w:r>
      <w:r w:rsidR="00B3216C" w:rsidRPr="000508B6">
        <w:rPr>
          <w:rFonts w:ascii="Times New Roman" w:hAnsi="Times New Roman" w:cs="Times New Roman"/>
          <w:lang w:val="ro-MD"/>
        </w:rPr>
        <w:t>decizia</w:t>
      </w:r>
      <w:r w:rsidRPr="000508B6" w:rsidDel="00B3216C">
        <w:rPr>
          <w:rFonts w:ascii="Times New Roman" w:hAnsi="Times New Roman" w:cs="Times New Roman"/>
          <w:lang w:val="ro-MD"/>
        </w:rPr>
        <w:t xml:space="preserve"> </w:t>
      </w:r>
      <w:r w:rsidRPr="000508B6">
        <w:rPr>
          <w:rFonts w:ascii="Times New Roman" w:hAnsi="Times New Roman" w:cs="Times New Roman"/>
          <w:lang w:val="ro-MD"/>
        </w:rPr>
        <w:t>în instanța de judecată</w:t>
      </w:r>
      <w:r w:rsidR="00B3216C" w:rsidRPr="000508B6">
        <w:rPr>
          <w:rFonts w:ascii="Times New Roman" w:hAnsi="Times New Roman" w:cs="Times New Roman"/>
          <w:lang w:val="ro-MD"/>
        </w:rPr>
        <w:t xml:space="preserve"> competentă</w:t>
      </w:r>
      <w:r w:rsidRPr="000508B6">
        <w:rPr>
          <w:rFonts w:ascii="Times New Roman" w:hAnsi="Times New Roman" w:cs="Times New Roman"/>
          <w:lang w:val="ro-MD"/>
        </w:rPr>
        <w:t>.</w:t>
      </w:r>
      <w:r w:rsidR="0036441A" w:rsidRPr="000508B6">
        <w:rPr>
          <w:rFonts w:ascii="Times New Roman" w:hAnsi="Times New Roman" w:cs="Times New Roman"/>
          <w:lang w:val="ro-MD"/>
        </w:rPr>
        <w:t xml:space="preserve"> </w:t>
      </w:r>
    </w:p>
    <w:p w14:paraId="76C44007" w14:textId="4705BD1F" w:rsidR="00AC4E00" w:rsidRPr="000508B6" w:rsidRDefault="00AC4E00" w:rsidP="00CF5AFA">
      <w:pPr>
        <w:pStyle w:val="Listparagraf"/>
        <w:numPr>
          <w:ilvl w:val="0"/>
          <w:numId w:val="6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data primirii de către Banca Națională a Moldovei a notificării din partea supraveghetorului din statul membru de origine, cu privire la restabilirea </w:t>
      </w:r>
      <w:proofErr w:type="spellStart"/>
      <w:r w:rsidRPr="000508B6">
        <w:rPr>
          <w:rFonts w:ascii="Times New Roman" w:hAnsi="Times New Roman" w:cs="Times New Roman"/>
          <w:lang w:val="ro-MD"/>
        </w:rPr>
        <w:t>conformităţii</w:t>
      </w:r>
      <w:proofErr w:type="spellEnd"/>
      <w:r w:rsidRPr="000508B6">
        <w:rPr>
          <w:rFonts w:ascii="Times New Roman" w:hAnsi="Times New Roman" w:cs="Times New Roman"/>
          <w:lang w:val="ro-MD"/>
        </w:rPr>
        <w:t xml:space="preserve"> cu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referitoare la respectarea rezervelor tehnice, SCR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MCR, decizia de interzicere de a dispune liber de active încetează de drept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Banca Națională a Moldovei notifică, de îndată,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vizat cu privire la aceasta. </w:t>
      </w:r>
    </w:p>
    <w:p w14:paraId="61D94F24" w14:textId="68274EC5" w:rsidR="00AC4E00" w:rsidRPr="000508B6" w:rsidRDefault="00AC4E00" w:rsidP="00CF5AFA">
      <w:pPr>
        <w:pStyle w:val="Listparagraf"/>
        <w:numPr>
          <w:ilvl w:val="0"/>
          <w:numId w:val="6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Atunci când Banca Națională a Moldovei constată că </w:t>
      </w:r>
      <w:r w:rsidR="00337B70" w:rsidRPr="000508B6">
        <w:rPr>
          <w:rFonts w:ascii="Times New Roman" w:hAnsi="Times New Roman" w:cs="Times New Roman"/>
          <w:lang w:val="ro-MD"/>
        </w:rPr>
        <w:t xml:space="preserve">un asigurător </w:t>
      </w:r>
      <w:r w:rsidRPr="000508B6">
        <w:rPr>
          <w:rFonts w:ascii="Times New Roman" w:hAnsi="Times New Roman" w:cs="Times New Roman"/>
          <w:lang w:val="ro-MD"/>
        </w:rPr>
        <w:t xml:space="preserve">dintr-un stat membru care </w:t>
      </w:r>
      <w:r w:rsidR="006040FF" w:rsidRPr="000508B6">
        <w:rPr>
          <w:rFonts w:ascii="Times New Roman" w:hAnsi="Times New Roman" w:cs="Times New Roman"/>
          <w:lang w:val="ro-MD"/>
        </w:rPr>
        <w:t>desfășoară</w:t>
      </w:r>
      <w:r w:rsidRPr="000508B6">
        <w:rPr>
          <w:rFonts w:ascii="Times New Roman" w:hAnsi="Times New Roman" w:cs="Times New Roman"/>
          <w:lang w:val="ro-MD"/>
        </w:rPr>
        <w:t xml:space="preserve"> activitate pe teritoriul Republicii Moldova, prin intermediul unei sucursale sau în baza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nu respectă prevederile legale, </w:t>
      </w:r>
      <w:r w:rsidR="00987D98" w:rsidRPr="000508B6">
        <w:rPr>
          <w:rFonts w:ascii="Times New Roman" w:hAnsi="Times New Roman" w:cs="Times New Roman"/>
          <w:lang w:val="ro-MD"/>
        </w:rPr>
        <w:t xml:space="preserve">aceasta îi </w:t>
      </w:r>
      <w:r w:rsidRPr="000508B6">
        <w:rPr>
          <w:rFonts w:ascii="Times New Roman" w:hAnsi="Times New Roman" w:cs="Times New Roman"/>
          <w:lang w:val="ro-MD"/>
        </w:rPr>
        <w:t xml:space="preserve">solicită să remedieze </w:t>
      </w:r>
      <w:proofErr w:type="spellStart"/>
      <w:r w:rsidRPr="000508B6">
        <w:rPr>
          <w:rFonts w:ascii="Times New Roman" w:hAnsi="Times New Roman" w:cs="Times New Roman"/>
          <w:lang w:val="ro-MD"/>
        </w:rPr>
        <w:t>deficienţele</w:t>
      </w:r>
      <w:proofErr w:type="spellEnd"/>
      <w:r w:rsidRPr="000508B6">
        <w:rPr>
          <w:rFonts w:ascii="Times New Roman" w:hAnsi="Times New Roman" w:cs="Times New Roman"/>
          <w:lang w:val="ro-MD"/>
        </w:rPr>
        <w:t xml:space="preserve"> respective, în caz contrar informează supraveghetorul din statul membru de origine. </w:t>
      </w:r>
    </w:p>
    <w:p w14:paraId="68BE08FE" w14:textId="2F2CE3AE" w:rsidR="00AC4E00" w:rsidRPr="000508B6" w:rsidRDefault="00AC4E00" w:rsidP="00CF5AFA">
      <w:pPr>
        <w:pStyle w:val="Listparagraf"/>
        <w:numPr>
          <w:ilvl w:val="0"/>
          <w:numId w:val="6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Dacă măsurile adoptate de supraveghetorul din statul membru de origine se dovedesc ineficiente sau dacă acesta nu adoptă nicio măsură, iar </w:t>
      </w:r>
      <w:r w:rsidR="00D068AA" w:rsidRPr="000508B6">
        <w:rPr>
          <w:rFonts w:ascii="Times New Roman" w:hAnsi="Times New Roman" w:cs="Times New Roman"/>
          <w:lang w:val="ro-MD"/>
        </w:rPr>
        <w:t xml:space="preserve">asigurătorul </w:t>
      </w:r>
      <w:r w:rsidR="003D42BD" w:rsidRPr="000508B6">
        <w:rPr>
          <w:rFonts w:ascii="Times New Roman" w:hAnsi="Times New Roman" w:cs="Times New Roman"/>
          <w:lang w:val="ro-MD"/>
        </w:rPr>
        <w:t xml:space="preserve">sau </w:t>
      </w:r>
      <w:proofErr w:type="spellStart"/>
      <w:r w:rsidR="003D42BD" w:rsidRPr="000508B6">
        <w:rPr>
          <w:rFonts w:ascii="Times New Roman" w:hAnsi="Times New Roman" w:cs="Times New Roman"/>
          <w:lang w:val="ro-MD"/>
        </w:rPr>
        <w:t>reasigurătorul</w:t>
      </w:r>
      <w:proofErr w:type="spellEnd"/>
      <w:r w:rsidR="003D42BD"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w:t>
      </w:r>
      <w:r w:rsidR="00680637" w:rsidRPr="000508B6">
        <w:rPr>
          <w:rFonts w:ascii="Times New Roman" w:hAnsi="Times New Roman" w:cs="Times New Roman"/>
          <w:lang w:val="ro-MD"/>
        </w:rPr>
        <w:t>3</w:t>
      </w:r>
      <w:r w:rsidRPr="000508B6">
        <w:rPr>
          <w:rFonts w:ascii="Times New Roman" w:hAnsi="Times New Roman" w:cs="Times New Roman"/>
          <w:lang w:val="ro-MD"/>
        </w:rPr>
        <w:t xml:space="preserve">) continuă să încalce prevederile legale, Banca Națională a Moldovei, după ce informează supraveghetorul din statul membru de origine, poate impune: </w:t>
      </w:r>
    </w:p>
    <w:p w14:paraId="5D6BEE36" w14:textId="6D6830D5" w:rsidR="00AC4E00" w:rsidRPr="000508B6" w:rsidRDefault="00AC4E00" w:rsidP="00056EAF">
      <w:pPr>
        <w:pStyle w:val="Listparagraf"/>
        <w:numPr>
          <w:ilvl w:val="2"/>
          <w:numId w:val="7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măsuri preventive, corective sau </w:t>
      </w:r>
      <w:r w:rsidR="00700223" w:rsidRPr="000508B6">
        <w:rPr>
          <w:rFonts w:ascii="Times New Roman" w:hAnsi="Times New Roman" w:cs="Times New Roman"/>
          <w:lang w:val="ro-MD"/>
        </w:rPr>
        <w:t>sancționatorii</w:t>
      </w:r>
      <w:r w:rsidRPr="000508B6">
        <w:rPr>
          <w:rFonts w:ascii="Times New Roman" w:hAnsi="Times New Roman" w:cs="Times New Roman"/>
          <w:lang w:val="ro-MD"/>
        </w:rPr>
        <w:t xml:space="preserve">; </w:t>
      </w:r>
    </w:p>
    <w:p w14:paraId="109E63B7" w14:textId="48B6F9CA" w:rsidR="00AC4E00" w:rsidRPr="000508B6" w:rsidRDefault="00AC4E00" w:rsidP="00230ADD">
      <w:pPr>
        <w:pStyle w:val="Listparagraf"/>
        <w:numPr>
          <w:ilvl w:val="2"/>
          <w:numId w:val="7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interzicerea de a mai subscrie noi contracte de asigurare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reasigurare pe teritoriul Republicii Moldova începând cu data prevăzută în actul individual emis de Banca Națională a Moldovei</w:t>
      </w:r>
      <w:r w:rsidR="002D7DF0" w:rsidRPr="000508B6">
        <w:rPr>
          <w:rFonts w:ascii="Times New Roman" w:hAnsi="Times New Roman" w:cs="Times New Roman"/>
          <w:lang w:val="ro-MD"/>
        </w:rPr>
        <w:t>.</w:t>
      </w:r>
      <w:r w:rsidRPr="000508B6">
        <w:rPr>
          <w:rFonts w:ascii="Times New Roman" w:hAnsi="Times New Roman" w:cs="Times New Roman"/>
          <w:lang w:val="ro-MD"/>
        </w:rPr>
        <w:t xml:space="preserve"> </w:t>
      </w:r>
    </w:p>
    <w:p w14:paraId="441F7A34" w14:textId="3C735266" w:rsidR="00AC4E00" w:rsidRPr="000508B6" w:rsidRDefault="006838B7" w:rsidP="00230ADD">
      <w:pPr>
        <w:pStyle w:val="Listparagraf"/>
        <w:numPr>
          <w:ilvl w:val="0"/>
          <w:numId w:val="6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Deciziile Băncii Naționale a Moldovei privind măsurile </w:t>
      </w:r>
      <w:r w:rsidR="00AC4E00" w:rsidRPr="000508B6">
        <w:rPr>
          <w:rFonts w:ascii="Times New Roman" w:hAnsi="Times New Roman" w:cs="Times New Roman"/>
          <w:lang w:val="ro-MD"/>
        </w:rPr>
        <w:t>adoptate conform alin. (</w:t>
      </w:r>
      <w:r w:rsidR="00C61814" w:rsidRPr="000508B6">
        <w:rPr>
          <w:rFonts w:ascii="Times New Roman" w:hAnsi="Times New Roman" w:cs="Times New Roman"/>
          <w:lang w:val="ro-MD"/>
        </w:rPr>
        <w:t>4</w:t>
      </w:r>
      <w:r w:rsidR="00AC4E00" w:rsidRPr="000508B6">
        <w:rPr>
          <w:rFonts w:ascii="Times New Roman" w:hAnsi="Times New Roman" w:cs="Times New Roman"/>
          <w:lang w:val="ro-MD"/>
        </w:rPr>
        <w:t xml:space="preserve">) sunt motivate temeinic </w:t>
      </w:r>
      <w:proofErr w:type="spellStart"/>
      <w:r w:rsidR="00AC4E00" w:rsidRPr="000508B6">
        <w:rPr>
          <w:rFonts w:ascii="Times New Roman" w:hAnsi="Times New Roman" w:cs="Times New Roman"/>
          <w:lang w:val="ro-MD"/>
        </w:rPr>
        <w:t>şi</w:t>
      </w:r>
      <w:proofErr w:type="spellEnd"/>
      <w:r w:rsidR="00AC4E00" w:rsidRPr="000508B6">
        <w:rPr>
          <w:rFonts w:ascii="Times New Roman" w:hAnsi="Times New Roman" w:cs="Times New Roman"/>
          <w:lang w:val="ro-MD"/>
        </w:rPr>
        <w:t xml:space="preserve"> comunicate </w:t>
      </w:r>
      <w:r w:rsidR="004125E8" w:rsidRPr="000508B6">
        <w:rPr>
          <w:rFonts w:ascii="Times New Roman" w:hAnsi="Times New Roman" w:cs="Times New Roman"/>
          <w:lang w:val="ro-MD"/>
        </w:rPr>
        <w:t>asigurătorului</w:t>
      </w:r>
      <w:r w:rsidR="00BD6938" w:rsidRPr="000508B6">
        <w:rPr>
          <w:rFonts w:ascii="Times New Roman" w:hAnsi="Times New Roman" w:cs="Times New Roman"/>
          <w:lang w:val="ro-MD"/>
        </w:rPr>
        <w:t xml:space="preserve"> </w:t>
      </w:r>
      <w:r w:rsidR="003D42BD" w:rsidRPr="000508B6">
        <w:rPr>
          <w:rFonts w:ascii="Times New Roman" w:hAnsi="Times New Roman" w:cs="Times New Roman"/>
          <w:lang w:val="ro-MD"/>
        </w:rPr>
        <w:t xml:space="preserve">sau </w:t>
      </w:r>
      <w:proofErr w:type="spellStart"/>
      <w:r w:rsidR="003D42BD" w:rsidRPr="000508B6">
        <w:rPr>
          <w:rFonts w:ascii="Times New Roman" w:hAnsi="Times New Roman" w:cs="Times New Roman"/>
          <w:lang w:val="ro-MD"/>
        </w:rPr>
        <w:t>reasigurătorului</w:t>
      </w:r>
      <w:proofErr w:type="spellEnd"/>
      <w:r w:rsidR="00ED257F" w:rsidRPr="000508B6">
        <w:rPr>
          <w:rFonts w:ascii="Times New Roman" w:hAnsi="Times New Roman" w:cs="Times New Roman"/>
          <w:lang w:val="ro-MD"/>
        </w:rPr>
        <w:t xml:space="preserve"> </w:t>
      </w:r>
      <w:r w:rsidR="00AC4E00" w:rsidRPr="000508B6">
        <w:rPr>
          <w:rFonts w:ascii="Times New Roman" w:hAnsi="Times New Roman" w:cs="Times New Roman"/>
          <w:lang w:val="ro-MD"/>
        </w:rPr>
        <w:t xml:space="preserve">respectiv. </w:t>
      </w:r>
    </w:p>
    <w:p w14:paraId="069FFEC0" w14:textId="5388A6C9" w:rsidR="00AC4E00" w:rsidRPr="000508B6" w:rsidRDefault="00AC4E00" w:rsidP="00230ADD">
      <w:pPr>
        <w:pStyle w:val="Listparagraf"/>
        <w:numPr>
          <w:ilvl w:val="0"/>
          <w:numId w:val="6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vederea exercitării </w:t>
      </w:r>
      <w:proofErr w:type="spellStart"/>
      <w:r w:rsidRPr="000508B6">
        <w:rPr>
          <w:rFonts w:ascii="Times New Roman" w:hAnsi="Times New Roman" w:cs="Times New Roman"/>
          <w:lang w:val="ro-MD"/>
        </w:rPr>
        <w:t>competenţelor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w:t>
      </w:r>
      <w:r w:rsidR="00C61814" w:rsidRPr="000508B6">
        <w:rPr>
          <w:rFonts w:ascii="Times New Roman" w:hAnsi="Times New Roman" w:cs="Times New Roman"/>
          <w:lang w:val="ro-MD"/>
        </w:rPr>
        <w:t>2</w:t>
      </w:r>
      <w:r w:rsidRPr="000508B6">
        <w:rPr>
          <w:rFonts w:ascii="Times New Roman" w:hAnsi="Times New Roman" w:cs="Times New Roman"/>
          <w:lang w:val="ro-MD"/>
        </w:rPr>
        <w:t>) - (</w:t>
      </w:r>
      <w:r w:rsidR="00C61814" w:rsidRPr="000508B6">
        <w:rPr>
          <w:rFonts w:ascii="Times New Roman" w:hAnsi="Times New Roman" w:cs="Times New Roman"/>
          <w:lang w:val="ro-MD"/>
        </w:rPr>
        <w:t>4</w:t>
      </w:r>
      <w:r w:rsidRPr="000508B6">
        <w:rPr>
          <w:rFonts w:ascii="Times New Roman" w:hAnsi="Times New Roman" w:cs="Times New Roman"/>
          <w:lang w:val="ro-MD"/>
        </w:rPr>
        <w:t xml:space="preserve">), Banca Națională a Moldovei solicită </w:t>
      </w:r>
      <w:r w:rsidR="004125E8" w:rsidRPr="000508B6">
        <w:rPr>
          <w:rFonts w:ascii="Times New Roman" w:hAnsi="Times New Roman" w:cs="Times New Roman"/>
          <w:lang w:val="ro-MD"/>
        </w:rPr>
        <w:t xml:space="preserve">asigurătorului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w:t>
      </w:r>
      <w:r w:rsidR="003D42BD" w:rsidRPr="000508B6">
        <w:rPr>
          <w:rFonts w:ascii="Times New Roman" w:hAnsi="Times New Roman" w:cs="Times New Roman"/>
          <w:lang w:val="ro-MD"/>
        </w:rPr>
        <w:t>3</w:t>
      </w:r>
      <w:r w:rsidRPr="000508B6">
        <w:rPr>
          <w:rFonts w:ascii="Times New Roman" w:hAnsi="Times New Roman" w:cs="Times New Roman"/>
          <w:lang w:val="ro-MD"/>
        </w:rPr>
        <w:t xml:space="preserve">) să transmită documente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cu privire la activitatea </w:t>
      </w:r>
      <w:proofErr w:type="spellStart"/>
      <w:r w:rsidRPr="000508B6">
        <w:rPr>
          <w:rFonts w:ascii="Times New Roman" w:hAnsi="Times New Roman" w:cs="Times New Roman"/>
          <w:lang w:val="ro-MD"/>
        </w:rPr>
        <w:t>desfăşurată</w:t>
      </w:r>
      <w:proofErr w:type="spellEnd"/>
      <w:r w:rsidRPr="000508B6">
        <w:rPr>
          <w:rFonts w:ascii="Times New Roman" w:hAnsi="Times New Roman" w:cs="Times New Roman"/>
          <w:lang w:val="ro-MD"/>
        </w:rPr>
        <w:t xml:space="preserve"> de aceasta. </w:t>
      </w:r>
    </w:p>
    <w:p w14:paraId="42FCC7C5" w14:textId="05470E89" w:rsidR="00AC4E00" w:rsidRPr="000508B6" w:rsidRDefault="00E94EC1" w:rsidP="00230ADD">
      <w:pPr>
        <w:pStyle w:val="Listparagraf"/>
        <w:numPr>
          <w:ilvl w:val="0"/>
          <w:numId w:val="69"/>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Asigurătorul</w:t>
      </w:r>
      <w:r w:rsidR="00C5510A" w:rsidRPr="000508B6">
        <w:rPr>
          <w:rFonts w:ascii="Times New Roman" w:hAnsi="Times New Roman" w:cs="Times New Roman"/>
          <w:lang w:val="ro-MD"/>
        </w:rPr>
        <w:t xml:space="preserve"> </w:t>
      </w:r>
      <w:r w:rsidR="006838B7" w:rsidRPr="000508B6">
        <w:rPr>
          <w:rFonts w:ascii="Times New Roman" w:hAnsi="Times New Roman" w:cs="Times New Roman"/>
          <w:lang w:val="ro-MD"/>
        </w:rPr>
        <w:t xml:space="preserve">licențiat </w:t>
      </w:r>
      <w:r w:rsidR="00AC4E00" w:rsidRPr="000508B6">
        <w:rPr>
          <w:rFonts w:ascii="Times New Roman" w:hAnsi="Times New Roman" w:cs="Times New Roman"/>
          <w:lang w:val="ro-MD"/>
        </w:rPr>
        <w:t>în</w:t>
      </w:r>
      <w:r w:rsidR="006838B7" w:rsidRPr="000508B6">
        <w:rPr>
          <w:rFonts w:ascii="Times New Roman" w:hAnsi="Times New Roman" w:cs="Times New Roman"/>
          <w:lang w:val="ro-MD"/>
        </w:rPr>
        <w:t>tr-un</w:t>
      </w:r>
      <w:r w:rsidR="00AC4E00" w:rsidRPr="000508B6">
        <w:rPr>
          <w:rFonts w:ascii="Times New Roman" w:hAnsi="Times New Roman" w:cs="Times New Roman"/>
          <w:lang w:val="ro-MD"/>
        </w:rPr>
        <w:t xml:space="preserve"> stat membr</w:t>
      </w:r>
      <w:r w:rsidR="006838B7" w:rsidRPr="000508B6">
        <w:rPr>
          <w:rFonts w:ascii="Times New Roman" w:hAnsi="Times New Roman" w:cs="Times New Roman"/>
          <w:lang w:val="ro-MD"/>
        </w:rPr>
        <w:t>u</w:t>
      </w:r>
      <w:r w:rsidR="00AC4E00" w:rsidRPr="000508B6">
        <w:rPr>
          <w:rFonts w:ascii="Times New Roman" w:hAnsi="Times New Roman" w:cs="Times New Roman"/>
          <w:lang w:val="ro-MD"/>
        </w:rPr>
        <w:t xml:space="preserve"> care </w:t>
      </w:r>
      <w:proofErr w:type="spellStart"/>
      <w:r w:rsidR="00AC4E00" w:rsidRPr="000508B6">
        <w:rPr>
          <w:rFonts w:ascii="Times New Roman" w:hAnsi="Times New Roman" w:cs="Times New Roman"/>
          <w:lang w:val="ro-MD"/>
        </w:rPr>
        <w:t>desfăşoară</w:t>
      </w:r>
      <w:proofErr w:type="spellEnd"/>
      <w:r w:rsidR="00AC4E00" w:rsidRPr="000508B6">
        <w:rPr>
          <w:rFonts w:ascii="Times New Roman" w:hAnsi="Times New Roman" w:cs="Times New Roman"/>
          <w:lang w:val="ro-MD"/>
        </w:rPr>
        <w:t xml:space="preserve"> activitate pe teritoriul Republicii Moldova po</w:t>
      </w:r>
      <w:r w:rsidR="001B6EC0" w:rsidRPr="000508B6">
        <w:rPr>
          <w:rFonts w:ascii="Times New Roman" w:hAnsi="Times New Roman" w:cs="Times New Roman"/>
          <w:lang w:val="ro-MD"/>
        </w:rPr>
        <w:t>a</w:t>
      </w:r>
      <w:r w:rsidR="00AC4E00" w:rsidRPr="000508B6">
        <w:rPr>
          <w:rFonts w:ascii="Times New Roman" w:hAnsi="Times New Roman" w:cs="Times New Roman"/>
          <w:lang w:val="ro-MD"/>
        </w:rPr>
        <w:t>t</w:t>
      </w:r>
      <w:r w:rsidR="001B6EC0" w:rsidRPr="000508B6">
        <w:rPr>
          <w:rFonts w:ascii="Times New Roman" w:hAnsi="Times New Roman" w:cs="Times New Roman"/>
          <w:lang w:val="ro-MD"/>
        </w:rPr>
        <w:t>e</w:t>
      </w:r>
      <w:r w:rsidR="00AC4E00" w:rsidRPr="000508B6">
        <w:rPr>
          <w:rFonts w:ascii="Times New Roman" w:hAnsi="Times New Roman" w:cs="Times New Roman"/>
          <w:lang w:val="ro-MD"/>
        </w:rPr>
        <w:t xml:space="preserve"> să </w:t>
      </w:r>
      <w:proofErr w:type="spellStart"/>
      <w:r w:rsidR="00AC4E00" w:rsidRPr="000508B6">
        <w:rPr>
          <w:rFonts w:ascii="Times New Roman" w:hAnsi="Times New Roman" w:cs="Times New Roman"/>
          <w:lang w:val="ro-MD"/>
        </w:rPr>
        <w:t>îşi</w:t>
      </w:r>
      <w:proofErr w:type="spellEnd"/>
      <w:r w:rsidR="00AC4E00" w:rsidRPr="000508B6">
        <w:rPr>
          <w:rFonts w:ascii="Times New Roman" w:hAnsi="Times New Roman" w:cs="Times New Roman"/>
          <w:lang w:val="ro-MD"/>
        </w:rPr>
        <w:t xml:space="preserve"> promoveze produsele </w:t>
      </w:r>
      <w:proofErr w:type="spellStart"/>
      <w:r w:rsidR="00AC4E00" w:rsidRPr="000508B6">
        <w:rPr>
          <w:rFonts w:ascii="Times New Roman" w:hAnsi="Times New Roman" w:cs="Times New Roman"/>
          <w:lang w:val="ro-MD"/>
        </w:rPr>
        <w:t>şi</w:t>
      </w:r>
      <w:proofErr w:type="spellEnd"/>
      <w:r w:rsidR="00AC4E00" w:rsidRPr="000508B6">
        <w:rPr>
          <w:rFonts w:ascii="Times New Roman" w:hAnsi="Times New Roman" w:cs="Times New Roman"/>
          <w:lang w:val="ro-MD"/>
        </w:rPr>
        <w:t xml:space="preserve"> serviciile oferite prin intermediul tuturor canalelor de comunicare, cu respectarea </w:t>
      </w:r>
      <w:proofErr w:type="spellStart"/>
      <w:r w:rsidR="00AC4E00" w:rsidRPr="000508B6">
        <w:rPr>
          <w:rFonts w:ascii="Times New Roman" w:hAnsi="Times New Roman" w:cs="Times New Roman"/>
          <w:lang w:val="ro-MD"/>
        </w:rPr>
        <w:t>legislaţiei</w:t>
      </w:r>
      <w:proofErr w:type="spellEnd"/>
      <w:r w:rsidR="00AC4E00" w:rsidRPr="000508B6">
        <w:rPr>
          <w:rFonts w:ascii="Times New Roman" w:hAnsi="Times New Roman" w:cs="Times New Roman"/>
          <w:lang w:val="ro-MD"/>
        </w:rPr>
        <w:t xml:space="preserve"> </w:t>
      </w:r>
      <w:proofErr w:type="spellStart"/>
      <w:r w:rsidR="00AC4E00" w:rsidRPr="000508B6">
        <w:rPr>
          <w:rFonts w:ascii="Times New Roman" w:hAnsi="Times New Roman" w:cs="Times New Roman"/>
          <w:lang w:val="ro-MD"/>
        </w:rPr>
        <w:t>naţionale</w:t>
      </w:r>
      <w:proofErr w:type="spellEnd"/>
      <w:r w:rsidR="00AC4E00" w:rsidRPr="000508B6">
        <w:rPr>
          <w:rFonts w:ascii="Times New Roman" w:hAnsi="Times New Roman" w:cs="Times New Roman"/>
          <w:lang w:val="ro-MD"/>
        </w:rPr>
        <w:t xml:space="preserve"> privind forma </w:t>
      </w:r>
      <w:proofErr w:type="spellStart"/>
      <w:r w:rsidR="00AC4E00" w:rsidRPr="000508B6">
        <w:rPr>
          <w:rFonts w:ascii="Times New Roman" w:hAnsi="Times New Roman" w:cs="Times New Roman"/>
          <w:lang w:val="ro-MD"/>
        </w:rPr>
        <w:t>şi</w:t>
      </w:r>
      <w:proofErr w:type="spellEnd"/>
      <w:r w:rsidR="00AC4E00" w:rsidRPr="000508B6">
        <w:rPr>
          <w:rFonts w:ascii="Times New Roman" w:hAnsi="Times New Roman" w:cs="Times New Roman"/>
          <w:lang w:val="ro-MD"/>
        </w:rPr>
        <w:t xml:space="preserve"> </w:t>
      </w:r>
      <w:proofErr w:type="spellStart"/>
      <w:r w:rsidR="00AC4E00" w:rsidRPr="000508B6">
        <w:rPr>
          <w:rFonts w:ascii="Times New Roman" w:hAnsi="Times New Roman" w:cs="Times New Roman"/>
          <w:lang w:val="ro-MD"/>
        </w:rPr>
        <w:t>conţinutul</w:t>
      </w:r>
      <w:proofErr w:type="spellEnd"/>
      <w:r w:rsidR="00AC4E00" w:rsidRPr="000508B6">
        <w:rPr>
          <w:rFonts w:ascii="Times New Roman" w:hAnsi="Times New Roman" w:cs="Times New Roman"/>
          <w:lang w:val="ro-MD"/>
        </w:rPr>
        <w:t xml:space="preserve"> mijloacelor de publicitate. </w:t>
      </w:r>
    </w:p>
    <w:p w14:paraId="768896FF" w14:textId="22D6CAD8" w:rsidR="00AC4E00" w:rsidRPr="000508B6" w:rsidRDefault="00AC4E00" w:rsidP="00230ADD">
      <w:pPr>
        <w:pStyle w:val="Listparagraf"/>
        <w:numPr>
          <w:ilvl w:val="0"/>
          <w:numId w:val="6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este notificată cu privire la retragerea </w:t>
      </w:r>
      <w:r w:rsidR="00C85BF7" w:rsidRPr="000508B6">
        <w:rPr>
          <w:rFonts w:ascii="Times New Roman" w:hAnsi="Times New Roman" w:cs="Times New Roman"/>
          <w:lang w:val="ro-MD"/>
        </w:rPr>
        <w:t xml:space="preserve">sau </w:t>
      </w:r>
      <w:r w:rsidR="00D57662" w:rsidRPr="000508B6">
        <w:rPr>
          <w:rFonts w:ascii="Times New Roman" w:hAnsi="Times New Roman" w:cs="Times New Roman"/>
          <w:lang w:val="ro-MD"/>
        </w:rPr>
        <w:t>expirarea</w:t>
      </w:r>
      <w:r w:rsidR="00C85BF7" w:rsidRPr="000508B6">
        <w:rPr>
          <w:rFonts w:ascii="Times New Roman" w:hAnsi="Times New Roman" w:cs="Times New Roman"/>
          <w:lang w:val="ro-MD"/>
        </w:rPr>
        <w:t xml:space="preserve"> licenței </w:t>
      </w:r>
      <w:r w:rsidR="00965989" w:rsidRPr="000508B6">
        <w:rPr>
          <w:rFonts w:ascii="Times New Roman" w:hAnsi="Times New Roman" w:cs="Times New Roman"/>
          <w:lang w:val="ro-MD"/>
        </w:rPr>
        <w:t xml:space="preserve">unui asigurător sau </w:t>
      </w:r>
      <w:proofErr w:type="spellStart"/>
      <w:r w:rsidR="00965989"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din</w:t>
      </w:r>
      <w:r w:rsidR="00D62269" w:rsidRPr="000508B6">
        <w:rPr>
          <w:rFonts w:ascii="Times New Roman" w:hAnsi="Times New Roman" w:cs="Times New Roman"/>
          <w:lang w:val="ro-MD"/>
        </w:rPr>
        <w:t>tr-un</w:t>
      </w:r>
      <w:r w:rsidRPr="000508B6">
        <w:rPr>
          <w:rFonts w:ascii="Times New Roman" w:hAnsi="Times New Roman" w:cs="Times New Roman"/>
          <w:lang w:val="ro-MD"/>
        </w:rPr>
        <w:t xml:space="preserve"> stat </w:t>
      </w:r>
      <w:r w:rsidR="001B6EC0" w:rsidRPr="000508B6">
        <w:rPr>
          <w:rFonts w:ascii="Times New Roman" w:hAnsi="Times New Roman" w:cs="Times New Roman"/>
          <w:lang w:val="ro-MD"/>
        </w:rPr>
        <w:t xml:space="preserve">membru </w:t>
      </w:r>
      <w:r w:rsidRPr="000508B6">
        <w:rPr>
          <w:rFonts w:ascii="Times New Roman" w:hAnsi="Times New Roman" w:cs="Times New Roman"/>
          <w:lang w:val="ro-MD"/>
        </w:rPr>
        <w:t xml:space="preserve">care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activitate pe teritoriul Republicii Moldova, aceasta adoptă măsurile necesare pentru ca </w:t>
      </w:r>
      <w:r w:rsidR="00D62269" w:rsidRPr="000508B6">
        <w:rPr>
          <w:rFonts w:ascii="Times New Roman" w:hAnsi="Times New Roman" w:cs="Times New Roman"/>
          <w:lang w:val="ro-MD"/>
        </w:rPr>
        <w:t xml:space="preserve">asigurătorul sau </w:t>
      </w:r>
      <w:proofErr w:type="spellStart"/>
      <w:r w:rsidR="00D62269" w:rsidRPr="000508B6">
        <w:rPr>
          <w:rFonts w:ascii="Times New Roman" w:hAnsi="Times New Roman" w:cs="Times New Roman"/>
          <w:lang w:val="ro-MD"/>
        </w:rPr>
        <w:t>reasigurătorul</w:t>
      </w:r>
      <w:proofErr w:type="spellEnd"/>
      <w:r w:rsidR="00D62269" w:rsidRPr="000508B6">
        <w:rPr>
          <w:rFonts w:ascii="Times New Roman" w:hAnsi="Times New Roman" w:cs="Times New Roman"/>
          <w:lang w:val="ro-MD"/>
        </w:rPr>
        <w:t xml:space="preserve"> respectiv</w:t>
      </w:r>
      <w:r w:rsidRPr="000508B6">
        <w:rPr>
          <w:rFonts w:ascii="Times New Roman" w:hAnsi="Times New Roman" w:cs="Times New Roman"/>
          <w:lang w:val="ro-MD"/>
        </w:rPr>
        <w:t xml:space="preserve"> să nu </w:t>
      </w:r>
      <w:r w:rsidR="00C5510A" w:rsidRPr="000508B6">
        <w:rPr>
          <w:rFonts w:ascii="Times New Roman" w:hAnsi="Times New Roman" w:cs="Times New Roman"/>
          <w:lang w:val="ro-MD"/>
        </w:rPr>
        <w:t xml:space="preserve">încheie </w:t>
      </w:r>
      <w:r w:rsidRPr="000508B6">
        <w:rPr>
          <w:rFonts w:ascii="Times New Roman" w:hAnsi="Times New Roman" w:cs="Times New Roman"/>
          <w:lang w:val="ro-MD"/>
        </w:rPr>
        <w:t xml:space="preserve">contracte noi. </w:t>
      </w:r>
    </w:p>
    <w:p w14:paraId="7115AAF2" w14:textId="3753BF18" w:rsidR="00AC4E00" w:rsidRPr="000508B6" w:rsidRDefault="00AC4E00" w:rsidP="00230ADD">
      <w:pPr>
        <w:pStyle w:val="Listparagraf"/>
        <w:numPr>
          <w:ilvl w:val="0"/>
          <w:numId w:val="69"/>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solicita </w:t>
      </w:r>
      <w:r w:rsidR="001B6EC0" w:rsidRPr="000508B6">
        <w:rPr>
          <w:rFonts w:ascii="Times New Roman" w:hAnsi="Times New Roman" w:cs="Times New Roman"/>
          <w:lang w:val="ro-MD"/>
        </w:rPr>
        <w:t xml:space="preserve">supraveghetorului </w:t>
      </w:r>
      <w:r w:rsidRPr="000508B6">
        <w:rPr>
          <w:rFonts w:ascii="Times New Roman" w:hAnsi="Times New Roman" w:cs="Times New Roman"/>
          <w:lang w:val="ro-MD"/>
        </w:rPr>
        <w:t xml:space="preserve">din </w:t>
      </w:r>
      <w:r w:rsidR="001B6EC0" w:rsidRPr="000508B6">
        <w:rPr>
          <w:rFonts w:ascii="Times New Roman" w:hAnsi="Times New Roman" w:cs="Times New Roman"/>
          <w:lang w:val="ro-MD"/>
        </w:rPr>
        <w:t xml:space="preserve">statul membru </w:t>
      </w:r>
      <w:r w:rsidRPr="000508B6">
        <w:rPr>
          <w:rFonts w:ascii="Times New Roman" w:hAnsi="Times New Roman" w:cs="Times New Roman"/>
          <w:lang w:val="ro-MD"/>
        </w:rPr>
        <w:t xml:space="preserve">de origine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prevăzute la art. </w:t>
      </w:r>
      <w:r w:rsidR="00654575" w:rsidRPr="000508B6">
        <w:rPr>
          <w:rFonts w:ascii="Times New Roman" w:hAnsi="Times New Roman" w:cs="Times New Roman"/>
          <w:lang w:val="ro-MD"/>
        </w:rPr>
        <w:t>92</w:t>
      </w:r>
      <w:r w:rsidR="00694BDB"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(7)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(8), art. </w:t>
      </w:r>
      <w:r w:rsidR="00654575" w:rsidRPr="000508B6">
        <w:rPr>
          <w:rFonts w:ascii="Times New Roman" w:hAnsi="Times New Roman" w:cs="Times New Roman"/>
          <w:lang w:val="ro-MD"/>
        </w:rPr>
        <w:t>93</w:t>
      </w:r>
      <w:r w:rsidR="00694BDB"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(7), în formă agregată, cu privire la activitatea </w:t>
      </w:r>
      <w:proofErr w:type="spellStart"/>
      <w:r w:rsidRPr="000508B6">
        <w:rPr>
          <w:rFonts w:ascii="Times New Roman" w:hAnsi="Times New Roman" w:cs="Times New Roman"/>
          <w:lang w:val="ro-MD"/>
        </w:rPr>
        <w:t>desfăşurată</w:t>
      </w:r>
      <w:proofErr w:type="spellEnd"/>
      <w:r w:rsidRPr="000508B6">
        <w:rPr>
          <w:rFonts w:ascii="Times New Roman" w:hAnsi="Times New Roman" w:cs="Times New Roman"/>
          <w:lang w:val="ro-MD"/>
        </w:rPr>
        <w:t xml:space="preserve"> pe teritoriul Republicii Moldova în baza dreptului de stabilire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de </w:t>
      </w:r>
      <w:r w:rsidR="001B6EC0" w:rsidRPr="000508B6">
        <w:rPr>
          <w:rFonts w:ascii="Times New Roman" w:hAnsi="Times New Roman" w:cs="Times New Roman"/>
          <w:lang w:val="ro-MD"/>
        </w:rPr>
        <w:t xml:space="preserve">către </w:t>
      </w:r>
      <w:r w:rsidR="00E94EC1" w:rsidRPr="000508B6">
        <w:rPr>
          <w:rFonts w:ascii="Times New Roman" w:hAnsi="Times New Roman" w:cs="Times New Roman"/>
          <w:lang w:val="ro-MD"/>
        </w:rPr>
        <w:t>asigurătorul</w:t>
      </w:r>
      <w:r w:rsidR="00C5510A" w:rsidRPr="000508B6">
        <w:rPr>
          <w:rFonts w:ascii="Times New Roman" w:hAnsi="Times New Roman" w:cs="Times New Roman"/>
          <w:lang w:val="ro-MD"/>
        </w:rPr>
        <w:t xml:space="preserve"> </w:t>
      </w:r>
      <w:r w:rsidR="00B60830" w:rsidRPr="000508B6">
        <w:rPr>
          <w:rFonts w:ascii="Times New Roman" w:hAnsi="Times New Roman" w:cs="Times New Roman"/>
          <w:lang w:val="ro-MD"/>
        </w:rPr>
        <w:t xml:space="preserve">licențiat </w:t>
      </w:r>
      <w:r w:rsidRPr="000508B6">
        <w:rPr>
          <w:rFonts w:ascii="Times New Roman" w:hAnsi="Times New Roman" w:cs="Times New Roman"/>
          <w:lang w:val="ro-MD"/>
        </w:rPr>
        <w:t xml:space="preserve">în </w:t>
      </w:r>
      <w:r w:rsidR="0064005F" w:rsidRPr="000508B6">
        <w:rPr>
          <w:rFonts w:ascii="Times New Roman" w:hAnsi="Times New Roman" w:cs="Times New Roman"/>
          <w:lang w:val="ro-MD"/>
        </w:rPr>
        <w:t xml:space="preserve">statul membru </w:t>
      </w:r>
      <w:r w:rsidRPr="000508B6">
        <w:rPr>
          <w:rFonts w:ascii="Times New Roman" w:hAnsi="Times New Roman" w:cs="Times New Roman"/>
          <w:lang w:val="ro-MD"/>
        </w:rPr>
        <w:t xml:space="preserve">respectiv. </w:t>
      </w:r>
    </w:p>
    <w:p w14:paraId="697F8B0F" w14:textId="1DC4FE03" w:rsidR="00AC4E00" w:rsidRPr="000508B6" w:rsidRDefault="00AC4E00" w:rsidP="00230ADD">
      <w:pPr>
        <w:pStyle w:val="Listparagraf"/>
        <w:numPr>
          <w:ilvl w:val="0"/>
          <w:numId w:val="69"/>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r w:rsidR="002C6D82" w:rsidRPr="000508B6">
        <w:rPr>
          <w:rFonts w:ascii="Times New Roman" w:hAnsi="Times New Roman" w:cs="Times New Roman"/>
          <w:lang w:val="ro-MD"/>
        </w:rPr>
        <w:t xml:space="preserve">poate </w:t>
      </w:r>
      <w:r w:rsidRPr="000508B6">
        <w:rPr>
          <w:rFonts w:ascii="Times New Roman" w:hAnsi="Times New Roman" w:cs="Times New Roman"/>
          <w:lang w:val="ro-MD"/>
        </w:rPr>
        <w:t>notific</w:t>
      </w:r>
      <w:r w:rsidR="00754099" w:rsidRPr="000508B6">
        <w:rPr>
          <w:rFonts w:ascii="Times New Roman" w:hAnsi="Times New Roman" w:cs="Times New Roman"/>
          <w:lang w:val="ro-MD"/>
        </w:rPr>
        <w:t>a</w:t>
      </w:r>
      <w:r w:rsidRPr="000508B6">
        <w:rPr>
          <w:rFonts w:ascii="Times New Roman" w:hAnsi="Times New Roman" w:cs="Times New Roman"/>
          <w:lang w:val="ro-MD"/>
        </w:rPr>
        <w:t xml:space="preserve"> supraveghetorii din statele membre de origine în cazul în care există motive semnificative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întemeiate care dovedesc că interesele </w:t>
      </w:r>
      <w:r w:rsidR="00527195" w:rsidRPr="000508B6">
        <w:rPr>
          <w:rFonts w:ascii="Times New Roman" w:hAnsi="Times New Roman" w:cs="Times New Roman"/>
          <w:lang w:val="ro-MD"/>
        </w:rPr>
        <w:t xml:space="preserve">asiguraților </w:t>
      </w:r>
      <w:r w:rsidRPr="000508B6">
        <w:rPr>
          <w:rFonts w:ascii="Times New Roman" w:hAnsi="Times New Roman" w:cs="Times New Roman"/>
          <w:lang w:val="ro-MD"/>
        </w:rPr>
        <w:t xml:space="preserve">sunt afectate de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care </w:t>
      </w: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în Republica Moldova activitate în baza dreptului de stabilire sau a </w:t>
      </w:r>
      <w:proofErr w:type="spellStart"/>
      <w:r w:rsidRPr="000508B6">
        <w:rPr>
          <w:rFonts w:ascii="Times New Roman" w:hAnsi="Times New Roman" w:cs="Times New Roman"/>
          <w:lang w:val="ro-MD"/>
        </w:rPr>
        <w:t>libertăţii</w:t>
      </w:r>
      <w:proofErr w:type="spellEnd"/>
      <w:r w:rsidRPr="000508B6">
        <w:rPr>
          <w:rFonts w:ascii="Times New Roman" w:hAnsi="Times New Roman" w:cs="Times New Roman"/>
          <w:lang w:val="ro-MD"/>
        </w:rPr>
        <w:t xml:space="preserve"> de a presta servicii. </w:t>
      </w:r>
    </w:p>
    <w:p w14:paraId="5C141AB9" w14:textId="165D8BB3" w:rsidR="00D957D5" w:rsidRPr="000508B6" w:rsidRDefault="00D957D5" w:rsidP="00230ADD">
      <w:pPr>
        <w:pStyle w:val="Listparagraf"/>
        <w:numPr>
          <w:ilvl w:val="0"/>
          <w:numId w:val="69"/>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 poa</w:t>
      </w:r>
      <w:r w:rsidR="00FB1585" w:rsidRPr="000508B6">
        <w:rPr>
          <w:rFonts w:ascii="Times New Roman" w:hAnsi="Times New Roman" w:cs="Times New Roman"/>
          <w:lang w:val="ro-MD"/>
        </w:rPr>
        <w:t>t</w:t>
      </w:r>
      <w:r w:rsidRPr="000508B6">
        <w:rPr>
          <w:rFonts w:ascii="Times New Roman" w:hAnsi="Times New Roman" w:cs="Times New Roman"/>
          <w:lang w:val="ro-MD"/>
        </w:rPr>
        <w:t xml:space="preserve">e solicita supraveghetorului </w:t>
      </w:r>
      <w:r w:rsidR="00536A1E" w:rsidRPr="000508B6">
        <w:rPr>
          <w:rFonts w:ascii="Times New Roman" w:hAnsi="Times New Roman" w:cs="Times New Roman"/>
          <w:lang w:val="ro-MD"/>
        </w:rPr>
        <w:t>din statul membru de origine</w:t>
      </w:r>
      <w:r w:rsidRPr="000508B6">
        <w:rPr>
          <w:rFonts w:ascii="Times New Roman" w:hAnsi="Times New Roman" w:cs="Times New Roman"/>
          <w:lang w:val="ro-MD"/>
        </w:rPr>
        <w:t xml:space="preserve"> informațiile</w:t>
      </w:r>
      <w:r w:rsidR="00470EFB" w:rsidRPr="000508B6">
        <w:rPr>
          <w:rFonts w:ascii="Times New Roman" w:hAnsi="Times New Roman" w:cs="Times New Roman"/>
          <w:lang w:val="ro-MD"/>
        </w:rPr>
        <w:t>,</w:t>
      </w:r>
      <w:r w:rsidRPr="000508B6">
        <w:rPr>
          <w:rFonts w:ascii="Times New Roman" w:hAnsi="Times New Roman" w:cs="Times New Roman"/>
          <w:lang w:val="ro-MD"/>
        </w:rPr>
        <w:t xml:space="preserve"> pe care are competența de a le solicita</w:t>
      </w:r>
      <w:r w:rsidR="00470EFB" w:rsidRPr="000508B6">
        <w:rPr>
          <w:rFonts w:ascii="Times New Roman" w:hAnsi="Times New Roman" w:cs="Times New Roman"/>
          <w:lang w:val="ro-MD"/>
        </w:rPr>
        <w:t>,</w:t>
      </w:r>
      <w:r w:rsidRPr="000508B6">
        <w:rPr>
          <w:rFonts w:ascii="Times New Roman" w:hAnsi="Times New Roman" w:cs="Times New Roman"/>
          <w:lang w:val="ro-MD"/>
        </w:rPr>
        <w:t xml:space="preserve"> </w:t>
      </w:r>
      <w:r w:rsidR="00AB201E" w:rsidRPr="000508B6">
        <w:rPr>
          <w:rFonts w:ascii="Times New Roman" w:hAnsi="Times New Roman" w:cs="Times New Roman"/>
          <w:lang w:val="ro-MD"/>
        </w:rPr>
        <w:t>în conformitate cu prevederile</w:t>
      </w:r>
      <w:r w:rsidR="004F585D" w:rsidRPr="000508B6">
        <w:rPr>
          <w:rFonts w:ascii="Times New Roman" w:hAnsi="Times New Roman" w:cs="Times New Roman"/>
          <w:lang w:val="ro-MD"/>
        </w:rPr>
        <w:t xml:space="preserve"> </w:t>
      </w:r>
      <w:r w:rsidR="00AB201E" w:rsidRPr="000508B6">
        <w:rPr>
          <w:rFonts w:ascii="Times New Roman" w:hAnsi="Times New Roman" w:cs="Times New Roman"/>
          <w:lang w:val="ro-MD"/>
        </w:rPr>
        <w:t>prezentei legi</w:t>
      </w:r>
      <w:r w:rsidR="004F585D" w:rsidRPr="000508B6">
        <w:rPr>
          <w:rFonts w:ascii="Times New Roman" w:hAnsi="Times New Roman" w:cs="Times New Roman"/>
          <w:lang w:val="ro-MD"/>
        </w:rPr>
        <w:t xml:space="preserve">, </w:t>
      </w:r>
      <w:r w:rsidRPr="000508B6">
        <w:rPr>
          <w:rFonts w:ascii="Times New Roman" w:hAnsi="Times New Roman" w:cs="Times New Roman"/>
          <w:lang w:val="ro-MD"/>
        </w:rPr>
        <w:t>cu privire la activitatea desfășurată în Republica Moldova de c</w:t>
      </w:r>
      <w:r w:rsidR="00470EFB" w:rsidRPr="000508B6">
        <w:rPr>
          <w:rFonts w:ascii="Times New Roman" w:hAnsi="Times New Roman" w:cs="Times New Roman"/>
          <w:lang w:val="ro-MD"/>
        </w:rPr>
        <w:t>ă</w:t>
      </w:r>
      <w:r w:rsidRPr="000508B6">
        <w:rPr>
          <w:rFonts w:ascii="Times New Roman" w:hAnsi="Times New Roman" w:cs="Times New Roman"/>
          <w:lang w:val="ro-MD"/>
        </w:rPr>
        <w:t xml:space="preserve">tre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din statul membru respectiv.</w:t>
      </w:r>
      <w:r w:rsidR="00FB1585" w:rsidRPr="000508B6">
        <w:rPr>
          <w:rFonts w:ascii="Times New Roman" w:hAnsi="Times New Roman" w:cs="Times New Roman"/>
          <w:color w:val="FF0000"/>
          <w:lang w:val="ro-MD"/>
        </w:rPr>
        <w:t xml:space="preserve"> </w:t>
      </w:r>
    </w:p>
    <w:p w14:paraId="2D87811F" w14:textId="3CB8BDFE" w:rsidR="00D957D5" w:rsidRPr="000508B6" w:rsidRDefault="00D957D5" w:rsidP="00230ADD">
      <w:pPr>
        <w:pStyle w:val="Listparagraf"/>
        <w:numPr>
          <w:ilvl w:val="0"/>
          <w:numId w:val="69"/>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w:t>
      </w:r>
      <w:r w:rsidR="00CE17B6" w:rsidRPr="000508B6">
        <w:rPr>
          <w:rFonts w:ascii="Times New Roman" w:hAnsi="Times New Roman" w:cs="Times New Roman"/>
          <w:lang w:val="ro-MD"/>
        </w:rPr>
        <w:t>solicita ca informațiile prevăzute la alin. (</w:t>
      </w:r>
      <w:r w:rsidR="00D636AB" w:rsidRPr="000508B6">
        <w:rPr>
          <w:rFonts w:ascii="Times New Roman" w:hAnsi="Times New Roman" w:cs="Times New Roman"/>
          <w:lang w:val="ro-MD"/>
        </w:rPr>
        <w:t>12</w:t>
      </w:r>
      <w:r w:rsidR="00CE17B6" w:rsidRPr="000508B6">
        <w:rPr>
          <w:rFonts w:ascii="Times New Roman" w:hAnsi="Times New Roman" w:cs="Times New Roman"/>
          <w:lang w:val="ro-MD"/>
        </w:rPr>
        <w:t xml:space="preserve">) să fie transmise în limba română sau poate conveni cu </w:t>
      </w:r>
      <w:r w:rsidRPr="000508B6">
        <w:rPr>
          <w:rFonts w:ascii="Times New Roman" w:hAnsi="Times New Roman" w:cs="Times New Roman"/>
          <w:lang w:val="ro-MD"/>
        </w:rPr>
        <w:t xml:space="preserve">supraveghetorul din statul membru de origine </w:t>
      </w:r>
      <w:r w:rsidR="00CE17B6" w:rsidRPr="000508B6">
        <w:rPr>
          <w:rFonts w:ascii="Times New Roman" w:hAnsi="Times New Roman" w:cs="Times New Roman"/>
          <w:lang w:val="ro-MD"/>
        </w:rPr>
        <w:t>ca informațiile să fie furnizate în altă limbă.</w:t>
      </w:r>
      <w:r w:rsidRPr="000508B6">
        <w:rPr>
          <w:rFonts w:ascii="Times New Roman" w:hAnsi="Times New Roman" w:cs="Times New Roman"/>
          <w:lang w:val="ro-MD"/>
        </w:rPr>
        <w:t xml:space="preserve"> </w:t>
      </w:r>
    </w:p>
    <w:p w14:paraId="685D9AFC" w14:textId="28616DA9" w:rsidR="00CE17B6" w:rsidRPr="000508B6" w:rsidRDefault="00CE17B6" w:rsidP="00230ADD">
      <w:pPr>
        <w:pStyle w:val="Listparagraf"/>
        <w:numPr>
          <w:ilvl w:val="0"/>
          <w:numId w:val="69"/>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În cazul în care supraveghetorul din statul membru de origine nu furnizează informațiile solicitate de Banca Națională a Moldovei conform alin. (</w:t>
      </w:r>
      <w:r w:rsidR="003B5D00" w:rsidRPr="000508B6">
        <w:rPr>
          <w:rFonts w:ascii="Times New Roman" w:hAnsi="Times New Roman" w:cs="Times New Roman"/>
          <w:lang w:val="ro-MD"/>
        </w:rPr>
        <w:t>12</w:t>
      </w:r>
      <w:r w:rsidRPr="000508B6">
        <w:rPr>
          <w:rFonts w:ascii="Times New Roman" w:hAnsi="Times New Roman" w:cs="Times New Roman"/>
          <w:lang w:val="ro-MD"/>
        </w:rPr>
        <w:t xml:space="preserve">) în termen de 20 de zile lucrătoare sau, în cazul în care informează Banca Națională a Moldovei în termen de 40 de zile lucrătoare, aceasta poate adresa cererea direct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din statul membru de origine, informând supraveghetorul respectiv înainte de a transmite cererea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w:t>
      </w:r>
    </w:p>
    <w:p w14:paraId="740D5FD5" w14:textId="5121A45D" w:rsidR="003A2135" w:rsidRPr="000508B6" w:rsidRDefault="00987D98" w:rsidP="00A26CCB">
      <w:pPr>
        <w:spacing w:after="0" w:line="240" w:lineRule="auto"/>
        <w:ind w:firstLine="426"/>
        <w:jc w:val="both"/>
        <w:rPr>
          <w:rFonts w:ascii="Times New Roman" w:hAnsi="Times New Roman" w:cs="Times New Roman"/>
          <w:b/>
          <w:lang w:val="ro-MD"/>
        </w:rPr>
      </w:pPr>
      <w:r w:rsidRPr="000508B6">
        <w:rPr>
          <w:rFonts w:ascii="Times New Roman" w:hAnsi="Times New Roman" w:cs="Times New Roman"/>
          <w:lang w:val="ro-MD"/>
        </w:rPr>
        <w:t>(</w:t>
      </w:r>
      <w:r w:rsidR="00027CF0" w:rsidRPr="000508B6">
        <w:rPr>
          <w:rFonts w:ascii="Times New Roman" w:hAnsi="Times New Roman" w:cs="Times New Roman"/>
          <w:lang w:val="ro-MD"/>
        </w:rPr>
        <w:t>13</w:t>
      </w:r>
      <w:r w:rsidRPr="000508B6">
        <w:rPr>
          <w:rFonts w:ascii="Times New Roman" w:hAnsi="Times New Roman" w:cs="Times New Roman"/>
          <w:lang w:val="ro-MD"/>
        </w:rPr>
        <w:t>) În cazul în care după ce solicită informații conform alin. (12), Banca Națională</w:t>
      </w:r>
      <w:r w:rsidR="00BD6938" w:rsidRPr="000508B6">
        <w:rPr>
          <w:rFonts w:ascii="Times New Roman" w:hAnsi="Times New Roman" w:cs="Times New Roman"/>
          <w:lang w:val="ro-MD"/>
        </w:rPr>
        <w:t xml:space="preserve"> </w:t>
      </w:r>
      <w:r w:rsidRPr="000508B6">
        <w:rPr>
          <w:rFonts w:ascii="Times New Roman" w:hAnsi="Times New Roman" w:cs="Times New Roman"/>
          <w:lang w:val="ro-MD"/>
        </w:rPr>
        <w:t xml:space="preserve">a Moldovei este informata de către supraveghetorul respectiv </w:t>
      </w:r>
      <w:r w:rsidR="00536A1E" w:rsidRPr="000508B6">
        <w:rPr>
          <w:rFonts w:ascii="Times New Roman" w:hAnsi="Times New Roman" w:cs="Times New Roman"/>
          <w:lang w:val="ro-MD"/>
        </w:rPr>
        <w:t xml:space="preserve">că </w:t>
      </w:r>
      <w:r w:rsidRPr="000508B6">
        <w:rPr>
          <w:rFonts w:ascii="Times New Roman" w:hAnsi="Times New Roman" w:cs="Times New Roman"/>
          <w:lang w:val="ro-MD"/>
        </w:rPr>
        <w:t>dorește prelungirea te</w:t>
      </w:r>
      <w:r w:rsidR="00BD6938" w:rsidRPr="000508B6">
        <w:rPr>
          <w:rFonts w:ascii="Times New Roman" w:hAnsi="Times New Roman" w:cs="Times New Roman"/>
          <w:lang w:val="ro-MD"/>
        </w:rPr>
        <w:t>r</w:t>
      </w:r>
      <w:r w:rsidRPr="000508B6">
        <w:rPr>
          <w:rFonts w:ascii="Times New Roman" w:hAnsi="Times New Roman" w:cs="Times New Roman"/>
          <w:lang w:val="ro-MD"/>
        </w:rPr>
        <w:t xml:space="preserve">menului cu încă 20 de zile lucrătoare, aceasta adresează solicitarea direct asigurătorului sau </w:t>
      </w:r>
      <w:proofErr w:type="spellStart"/>
      <w:r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din statul membru de origine conform alin. (14) după expirarea celui deal doilea termen de răspuns.</w:t>
      </w:r>
      <w:r w:rsidR="00BA57B2" w:rsidRPr="000508B6">
        <w:rPr>
          <w:rFonts w:ascii="Times New Roman" w:hAnsi="Times New Roman" w:cs="Times New Roman"/>
          <w:lang w:val="ro-MD"/>
        </w:rPr>
        <w:t xml:space="preserve"> </w:t>
      </w:r>
    </w:p>
    <w:p w14:paraId="55462727" w14:textId="77777777" w:rsidR="00A26CCB" w:rsidRPr="000508B6" w:rsidRDefault="00A26CCB" w:rsidP="00CA06C2">
      <w:pPr>
        <w:spacing w:after="0" w:line="240" w:lineRule="auto"/>
        <w:ind w:firstLine="426"/>
        <w:jc w:val="center"/>
        <w:rPr>
          <w:rFonts w:ascii="Times New Roman" w:hAnsi="Times New Roman" w:cs="Times New Roman"/>
          <w:b/>
          <w:lang w:val="ro-MD"/>
        </w:rPr>
      </w:pPr>
    </w:p>
    <w:p w14:paraId="3A167F6C" w14:textId="094AA662" w:rsidR="00CA06C2" w:rsidRPr="000508B6" w:rsidRDefault="00CA06C2" w:rsidP="00CA06C2">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Secțiunea  a 3-a </w:t>
      </w:r>
    </w:p>
    <w:p w14:paraId="5D06AACB" w14:textId="0C233033" w:rsidR="00AC4E00" w:rsidRPr="000508B6" w:rsidRDefault="00CA06C2" w:rsidP="00CA06C2">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Cooperarea și supravegherea în comun în cazul activității transfrontaliere semnificative</w:t>
      </w:r>
    </w:p>
    <w:p w14:paraId="758FE585" w14:textId="40B968C9" w:rsidR="008F68BF" w:rsidRPr="000508B6" w:rsidRDefault="008F68BF" w:rsidP="008F68BF">
      <w:pPr>
        <w:spacing w:after="0" w:line="240" w:lineRule="auto"/>
        <w:ind w:firstLine="425"/>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870A28" w:rsidRPr="000508B6">
        <w:rPr>
          <w:rFonts w:ascii="Times New Roman" w:hAnsi="Times New Roman" w:cs="Times New Roman"/>
          <w:b/>
          <w:lang w:val="ro-MD"/>
        </w:rPr>
        <w:t>190</w:t>
      </w:r>
      <w:r w:rsidRPr="000508B6">
        <w:rPr>
          <w:rFonts w:ascii="Times New Roman" w:hAnsi="Times New Roman" w:cs="Times New Roman"/>
          <w:bCs/>
          <w:lang w:val="ro-MD"/>
        </w:rPr>
        <w:t xml:space="preserve">. </w:t>
      </w:r>
      <w:r w:rsidR="00CA06C2" w:rsidRPr="000508B6">
        <w:rPr>
          <w:rFonts w:ascii="Times New Roman" w:hAnsi="Times New Roman" w:cs="Times New Roman"/>
          <w:bCs/>
          <w:lang w:val="ro-MD"/>
        </w:rPr>
        <w:t xml:space="preserve">Competențele Băncii Naționale a Moldovei în calitate de supraveghetor din statul membru de origine </w:t>
      </w:r>
    </w:p>
    <w:p w14:paraId="3C54DBA3" w14:textId="0E8FB052"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sensul prezentei secțiuni, „activități transfrontaliere semnificative” înseamnă activitățile de asigurare și reasigurare desfășurate </w:t>
      </w:r>
      <w:r w:rsidR="00BF71C5" w:rsidRPr="000508B6">
        <w:rPr>
          <w:rFonts w:ascii="Times New Roman" w:hAnsi="Times New Roman" w:cs="Times New Roman"/>
          <w:bCs/>
          <w:lang w:val="ro-MD"/>
        </w:rPr>
        <w:t xml:space="preserve">în Republica Moldova sau </w:t>
      </w:r>
      <w:r w:rsidRPr="000508B6">
        <w:rPr>
          <w:rFonts w:ascii="Times New Roman" w:hAnsi="Times New Roman" w:cs="Times New Roman"/>
          <w:bCs/>
          <w:lang w:val="ro-MD"/>
        </w:rPr>
        <w:t xml:space="preserve">într-un stat membru gazdă, în temeiul dreptului de stabilire sau al libertății de a presta servicii de către </w:t>
      </w:r>
      <w:r w:rsidR="00BF71C5" w:rsidRPr="000508B6">
        <w:rPr>
          <w:rFonts w:ascii="Times New Roman" w:hAnsi="Times New Roman" w:cs="Times New Roman"/>
          <w:bCs/>
          <w:lang w:val="ro-MD"/>
        </w:rPr>
        <w:t xml:space="preserve">un asigurător sau </w:t>
      </w:r>
      <w:proofErr w:type="spellStart"/>
      <w:r w:rsidR="00BF71C5" w:rsidRPr="000508B6">
        <w:rPr>
          <w:rFonts w:ascii="Times New Roman" w:hAnsi="Times New Roman" w:cs="Times New Roman"/>
          <w:bCs/>
          <w:lang w:val="ro-MD"/>
        </w:rPr>
        <w:t>reasigurător</w:t>
      </w:r>
      <w:proofErr w:type="spellEnd"/>
      <w:r w:rsidR="00F628A1"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care nu este clasificat </w:t>
      </w:r>
      <w:r w:rsidR="00F628A1" w:rsidRPr="000508B6">
        <w:rPr>
          <w:rFonts w:ascii="Times New Roman" w:hAnsi="Times New Roman" w:cs="Times New Roman"/>
          <w:bCs/>
          <w:lang w:val="ro-MD"/>
        </w:rPr>
        <w:t xml:space="preserve">drept </w:t>
      </w:r>
      <w:r w:rsidRPr="000508B6">
        <w:rPr>
          <w:rFonts w:ascii="Times New Roman" w:hAnsi="Times New Roman" w:cs="Times New Roman"/>
          <w:bCs/>
          <w:lang w:val="ro-MD"/>
        </w:rPr>
        <w:t>mic și cu un grad redus de complexitate și care îndeplinește oricare dintre următoarele cerințe:</w:t>
      </w:r>
    </w:p>
    <w:p w14:paraId="1E7AC5F2" w14:textId="396BEBC4" w:rsidR="008F68BF" w:rsidRPr="000508B6" w:rsidRDefault="008F68BF" w:rsidP="00CF5AFA">
      <w:pPr>
        <w:pStyle w:val="Listparagraf"/>
        <w:numPr>
          <w:ilvl w:val="0"/>
          <w:numId w:val="321"/>
        </w:numPr>
        <w:spacing w:after="0" w:line="240" w:lineRule="auto"/>
        <w:ind w:left="0" w:firstLine="426"/>
        <w:jc w:val="both"/>
        <w:rPr>
          <w:rFonts w:ascii="Times New Roman" w:hAnsi="Times New Roman" w:cs="Times New Roman"/>
          <w:lang w:val="ro-MD"/>
        </w:rPr>
      </w:pPr>
      <w:bookmarkStart w:id="180" w:name="_Hlk221889770"/>
      <w:r w:rsidRPr="000508B6">
        <w:rPr>
          <w:rFonts w:ascii="Times New Roman" w:hAnsi="Times New Roman" w:cs="Times New Roman"/>
          <w:lang w:val="ro-MD"/>
        </w:rPr>
        <w:t>venitul anual total din PBS</w:t>
      </w:r>
      <w:r w:rsidRPr="000508B6" w:rsidDel="00AA2EC8">
        <w:rPr>
          <w:rFonts w:ascii="Times New Roman" w:hAnsi="Times New Roman" w:cs="Times New Roman"/>
          <w:lang w:val="ro-MD"/>
        </w:rPr>
        <w:t xml:space="preserve"> </w:t>
      </w:r>
      <w:r w:rsidRPr="000508B6">
        <w:rPr>
          <w:rFonts w:ascii="Times New Roman" w:hAnsi="Times New Roman" w:cs="Times New Roman"/>
          <w:lang w:val="ro-MD"/>
        </w:rPr>
        <w:t xml:space="preserve">aferent activităților desfășurate de </w:t>
      </w:r>
      <w:r w:rsidR="00F628A1" w:rsidRPr="000508B6">
        <w:rPr>
          <w:rFonts w:ascii="Times New Roman" w:hAnsi="Times New Roman" w:cs="Times New Roman"/>
          <w:lang w:val="ro-MD"/>
        </w:rPr>
        <w:t xml:space="preserve">asigurător sau </w:t>
      </w:r>
      <w:proofErr w:type="spellStart"/>
      <w:r w:rsidR="00F628A1" w:rsidRPr="000508B6">
        <w:rPr>
          <w:rFonts w:ascii="Times New Roman" w:hAnsi="Times New Roman" w:cs="Times New Roman"/>
          <w:lang w:val="ro-MD"/>
        </w:rPr>
        <w:t>reasigurător</w:t>
      </w:r>
      <w:proofErr w:type="spellEnd"/>
      <w:r w:rsidR="00F628A1" w:rsidRPr="000508B6">
        <w:rPr>
          <w:rFonts w:ascii="Times New Roman" w:hAnsi="Times New Roman" w:cs="Times New Roman"/>
          <w:lang w:val="ro-MD"/>
        </w:rPr>
        <w:t xml:space="preserve"> </w:t>
      </w:r>
      <w:r w:rsidRPr="000508B6">
        <w:rPr>
          <w:rFonts w:ascii="Times New Roman" w:hAnsi="Times New Roman" w:cs="Times New Roman"/>
          <w:lang w:val="ro-MD"/>
        </w:rPr>
        <w:t>în Republica Moldova în temeiul dreptului de stabilire și al libertății de a presta servicii depășește echivalentul în lei a 15 000 000 EUR</w:t>
      </w:r>
      <w:bookmarkEnd w:id="180"/>
      <w:r w:rsidRPr="000508B6">
        <w:rPr>
          <w:rFonts w:ascii="Times New Roman" w:hAnsi="Times New Roman" w:cs="Times New Roman"/>
          <w:lang w:val="ro-MD"/>
        </w:rPr>
        <w:t>;</w:t>
      </w:r>
    </w:p>
    <w:p w14:paraId="6708A490" w14:textId="427C96FE" w:rsidR="008F68BF" w:rsidRPr="000508B6" w:rsidRDefault="008F68BF" w:rsidP="00CF5AFA">
      <w:pPr>
        <w:pStyle w:val="Listparagraf"/>
        <w:numPr>
          <w:ilvl w:val="0"/>
          <w:numId w:val="321"/>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activitățile desfășurate în temeiul dreptului de stabilire sau al libertății de a presta servicii sunt </w:t>
      </w:r>
      <w:bookmarkStart w:id="181" w:name="_Hlk221889815"/>
      <w:r w:rsidRPr="000508B6">
        <w:rPr>
          <w:rFonts w:ascii="Times New Roman" w:hAnsi="Times New Roman" w:cs="Times New Roman"/>
          <w:lang w:val="ro-MD"/>
        </w:rPr>
        <w:t>considerate de Banca Națională a Moldovei ca fiind relevante în raport cu piața</w:t>
      </w:r>
      <w:bookmarkEnd w:id="181"/>
      <w:r w:rsidRPr="000508B6">
        <w:rPr>
          <w:rFonts w:ascii="Times New Roman" w:hAnsi="Times New Roman" w:cs="Times New Roman"/>
          <w:lang w:val="ro-MD"/>
        </w:rPr>
        <w:t xml:space="preserve">. </w:t>
      </w:r>
    </w:p>
    <w:p w14:paraId="3640FE48" w14:textId="4DD6BF7A"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lang w:val="ro-MD"/>
        </w:rPr>
      </w:pPr>
      <w:bookmarkStart w:id="182" w:name="_Hlk206335520"/>
      <w:r w:rsidRPr="000508B6">
        <w:rPr>
          <w:rFonts w:ascii="Times New Roman" w:hAnsi="Times New Roman" w:cs="Times New Roman"/>
          <w:bCs/>
          <w:lang w:val="ro-MD"/>
        </w:rPr>
        <w:t>În cazul în</w:t>
      </w:r>
      <w:r w:rsidR="00C92A6B" w:rsidRPr="000508B6">
        <w:rPr>
          <w:rFonts w:ascii="Times New Roman" w:hAnsi="Times New Roman" w:cs="Times New Roman"/>
          <w:bCs/>
          <w:lang w:val="ro-MD"/>
        </w:rPr>
        <w:t xml:space="preserve"> care</w:t>
      </w:r>
      <w:r w:rsidRPr="000508B6">
        <w:rPr>
          <w:rFonts w:ascii="Times New Roman" w:hAnsi="Times New Roman" w:cs="Times New Roman"/>
          <w:bCs/>
          <w:lang w:val="ro-MD"/>
        </w:rPr>
        <w:t xml:space="preserve"> Banca Națională a Moldovei este informată de un supraveghetor din</w:t>
      </w:r>
      <w:r w:rsidR="003B5D00" w:rsidRPr="000508B6">
        <w:rPr>
          <w:rFonts w:ascii="Times New Roman" w:hAnsi="Times New Roman" w:cs="Times New Roman"/>
          <w:bCs/>
          <w:lang w:val="ro-MD"/>
        </w:rPr>
        <w:t>tr-un</w:t>
      </w:r>
      <w:r w:rsidRPr="000508B6">
        <w:rPr>
          <w:rFonts w:ascii="Times New Roman" w:hAnsi="Times New Roman" w:cs="Times New Roman"/>
          <w:bCs/>
          <w:lang w:val="ro-MD"/>
        </w:rPr>
        <w:t xml:space="preserve"> stat membru </w:t>
      </w:r>
      <w:r w:rsidR="00536A1E" w:rsidRPr="000508B6">
        <w:rPr>
          <w:rFonts w:ascii="Times New Roman" w:hAnsi="Times New Roman" w:cs="Times New Roman"/>
          <w:bCs/>
          <w:lang w:val="ro-MD"/>
        </w:rPr>
        <w:t xml:space="preserve">gazdă </w:t>
      </w:r>
      <w:r w:rsidRPr="000508B6">
        <w:rPr>
          <w:rFonts w:ascii="Times New Roman" w:hAnsi="Times New Roman" w:cs="Times New Roman"/>
          <w:bCs/>
          <w:lang w:val="ro-MD"/>
        </w:rPr>
        <w:t xml:space="preserve">că activitatea desfășurată în statul respectiv de </w:t>
      </w:r>
      <w:r w:rsidR="00F628A1" w:rsidRPr="000508B6">
        <w:rPr>
          <w:rFonts w:ascii="Times New Roman" w:hAnsi="Times New Roman" w:cs="Times New Roman"/>
          <w:bCs/>
          <w:lang w:val="ro-MD"/>
        </w:rPr>
        <w:t xml:space="preserve">un asigurător sau </w:t>
      </w:r>
      <w:proofErr w:type="spellStart"/>
      <w:r w:rsidR="00F628A1" w:rsidRPr="000508B6">
        <w:rPr>
          <w:rFonts w:ascii="Times New Roman" w:hAnsi="Times New Roman" w:cs="Times New Roman"/>
          <w:bCs/>
          <w:lang w:val="ro-MD"/>
        </w:rPr>
        <w:t>reasigurător</w:t>
      </w:r>
      <w:proofErr w:type="spellEnd"/>
      <w:r w:rsidR="00F628A1" w:rsidRPr="000508B6">
        <w:rPr>
          <w:rFonts w:ascii="Times New Roman" w:hAnsi="Times New Roman" w:cs="Times New Roman"/>
          <w:bCs/>
          <w:lang w:val="ro-MD"/>
        </w:rPr>
        <w:t xml:space="preserve"> </w:t>
      </w:r>
      <w:r w:rsidRPr="000508B6">
        <w:rPr>
          <w:rFonts w:ascii="Times New Roman" w:hAnsi="Times New Roman" w:cs="Times New Roman"/>
          <w:bCs/>
          <w:lang w:val="ro-MD"/>
        </w:rPr>
        <w:t>licențiat în Republica Moldova este considerată ca fiind activitate transfrontalieră semnificativă în sensul alin. (1) lit.</w:t>
      </w:r>
      <w:r w:rsidR="00472236" w:rsidRPr="000508B6">
        <w:rPr>
          <w:rFonts w:ascii="Times New Roman" w:hAnsi="Times New Roman" w:cs="Times New Roman"/>
          <w:bCs/>
          <w:lang w:val="ro-MD"/>
        </w:rPr>
        <w:t xml:space="preserve"> </w:t>
      </w:r>
      <w:r w:rsidRPr="000508B6">
        <w:rPr>
          <w:rFonts w:ascii="Times New Roman" w:hAnsi="Times New Roman" w:cs="Times New Roman"/>
          <w:bCs/>
          <w:lang w:val="ro-MD"/>
        </w:rPr>
        <w:t>b), și în urma analizei motivelor primite nu este de acord cu încadrarea respectivă, aceasta informează supraveghetorul din statul membru respectiv în termen de o lună, precizând motivele</w:t>
      </w:r>
      <w:r w:rsidR="00D16B23" w:rsidRPr="000508B6">
        <w:rPr>
          <w:rFonts w:ascii="Times New Roman" w:hAnsi="Times New Roman" w:cs="Times New Roman"/>
          <w:bCs/>
          <w:lang w:val="ro-MD"/>
        </w:rPr>
        <w:t>.</w:t>
      </w:r>
    </w:p>
    <w:p w14:paraId="7667D1CA" w14:textId="0A280D4E"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w:t>
      </w:r>
      <w:r w:rsidRPr="000508B6">
        <w:rPr>
          <w:rFonts w:ascii="Times New Roman" w:hAnsi="Times New Roman" w:cs="Times New Roman"/>
          <w:lang w:val="ro-MD"/>
        </w:rPr>
        <w:t>În cazul unui dezacord cu privire la notificarea prevăzută la alin. (2) de un supraveghetor dintr-un stat membru gazdă, Banca Națională a Moldovei poate sesiza EIOPA și îi poate solicita asistență</w:t>
      </w:r>
      <w:r w:rsidRPr="000508B6">
        <w:rPr>
          <w:rFonts w:ascii="Times New Roman" w:hAnsi="Times New Roman" w:cs="Times New Roman"/>
          <w:bCs/>
          <w:lang w:val="ro-MD"/>
        </w:rPr>
        <w:t xml:space="preserve">. </w:t>
      </w:r>
    </w:p>
    <w:p w14:paraId="07E83716" w14:textId="5D51CAAA"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În cazul acordului cu concluzia supraveghetorului din statul membru gazdă recepționată potrivit alin. (2), Banca Națională a Moldovei cooperează cu acesta pentru a determina dacă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înțelege în mod clar riscurile cu care se confruntă sau cu care se poate confrunta în statul membru respectiv și le tratează adecvat în managementul riscului</w:t>
      </w:r>
      <w:r w:rsidR="00D16B23" w:rsidRPr="000508B6">
        <w:rPr>
          <w:rFonts w:ascii="Times New Roman" w:hAnsi="Times New Roman" w:cs="Times New Roman"/>
          <w:bCs/>
          <w:lang w:val="ro-MD"/>
        </w:rPr>
        <w:t>.</w:t>
      </w:r>
    </w:p>
    <w:p w14:paraId="7295EE7A" w14:textId="77777777"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bCs/>
          <w:lang w:val="ro-MD"/>
        </w:rPr>
      </w:pPr>
      <w:bookmarkStart w:id="183" w:name="_Hlk218499571"/>
      <w:r w:rsidRPr="000508B6">
        <w:rPr>
          <w:rFonts w:ascii="Times New Roman" w:hAnsi="Times New Roman" w:cs="Times New Roman"/>
          <w:bCs/>
          <w:lang w:val="ro-MD"/>
        </w:rPr>
        <w:t xml:space="preserve">Cooperarea prevăzută la alin. (4) este proporțională cu riscurile pe care le implică activitățile transfrontaliere semnificative </w:t>
      </w:r>
      <w:bookmarkEnd w:id="183"/>
      <w:r w:rsidRPr="000508B6">
        <w:rPr>
          <w:rFonts w:ascii="Times New Roman" w:hAnsi="Times New Roman" w:cs="Times New Roman"/>
          <w:bCs/>
          <w:lang w:val="ro-MD"/>
        </w:rPr>
        <w:t>și acoperă cel puțin următoarele aspecte:</w:t>
      </w:r>
    </w:p>
    <w:p w14:paraId="7CEAB3F4" w14:textId="77777777" w:rsidR="008F68BF" w:rsidRPr="000508B6" w:rsidRDefault="008F68BF" w:rsidP="00472236">
      <w:pPr>
        <w:pStyle w:val="Listparagraf"/>
        <w:numPr>
          <w:ilvl w:val="0"/>
          <w:numId w:val="322"/>
        </w:numPr>
        <w:tabs>
          <w:tab w:val="left" w:pos="709"/>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sistemul de guvernanță, inclusiv capacitatea organelor de conducere de a înțelege particularitățile pieței transfrontaliere, instrumentele de management al riscului, mecanismele de control intern instituite și procedurile de asigurare a conformității pentru activitățile transfrontaliere;</w:t>
      </w:r>
    </w:p>
    <w:p w14:paraId="75EA66C8" w14:textId="2AFB3E43" w:rsidR="00CD2237" w:rsidRPr="000508B6" w:rsidRDefault="008F68BF" w:rsidP="00230ADD">
      <w:pPr>
        <w:pStyle w:val="Listparagraf"/>
        <w:numPr>
          <w:ilvl w:val="0"/>
          <w:numId w:val="322"/>
        </w:numPr>
        <w:tabs>
          <w:tab w:val="left" w:pos="709"/>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externalizarea</w:t>
      </w:r>
      <w:r w:rsidR="004F585D" w:rsidRPr="000508B6">
        <w:rPr>
          <w:rFonts w:ascii="Times New Roman" w:hAnsi="Times New Roman" w:cs="Times New Roman"/>
          <w:bCs/>
          <w:lang w:val="ro-MD"/>
        </w:rPr>
        <w:t>;</w:t>
      </w:r>
    </w:p>
    <w:p w14:paraId="53069EBC" w14:textId="43865586" w:rsidR="008F68BF" w:rsidRPr="000508B6" w:rsidRDefault="008F68BF" w:rsidP="00230ADD">
      <w:pPr>
        <w:pStyle w:val="Listparagraf"/>
        <w:numPr>
          <w:ilvl w:val="0"/>
          <w:numId w:val="322"/>
        </w:numPr>
        <w:tabs>
          <w:tab w:val="left" w:pos="709"/>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parteneriatele de distribuție;</w:t>
      </w:r>
    </w:p>
    <w:p w14:paraId="03CB9F4E" w14:textId="77777777" w:rsidR="00CD2237" w:rsidRPr="000508B6" w:rsidRDefault="008F68BF" w:rsidP="00230ADD">
      <w:pPr>
        <w:pStyle w:val="Listparagraf"/>
        <w:numPr>
          <w:ilvl w:val="0"/>
          <w:numId w:val="322"/>
        </w:numPr>
        <w:tabs>
          <w:tab w:val="left" w:pos="709"/>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strategia de afaceri </w:t>
      </w:r>
    </w:p>
    <w:p w14:paraId="40047F51" w14:textId="783175A1" w:rsidR="008F68BF" w:rsidRPr="000508B6" w:rsidRDefault="008F68BF" w:rsidP="00230ADD">
      <w:pPr>
        <w:pStyle w:val="Listparagraf"/>
        <w:numPr>
          <w:ilvl w:val="0"/>
          <w:numId w:val="322"/>
        </w:numPr>
        <w:tabs>
          <w:tab w:val="left" w:pos="709"/>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instrumentarea daunelor;</w:t>
      </w:r>
    </w:p>
    <w:p w14:paraId="07952B48" w14:textId="192ACB0A" w:rsidR="008F68BF" w:rsidRPr="000508B6" w:rsidRDefault="008F68BF" w:rsidP="00230ADD">
      <w:pPr>
        <w:pStyle w:val="Listparagraf"/>
        <w:numPr>
          <w:ilvl w:val="0"/>
          <w:numId w:val="322"/>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protecția consumatorilor. </w:t>
      </w:r>
    </w:p>
    <w:p w14:paraId="5EC6FFA8" w14:textId="7113A195" w:rsidR="007B30F5" w:rsidRPr="000508B6" w:rsidRDefault="00E630ED" w:rsidP="00CF5AFA">
      <w:pPr>
        <w:pStyle w:val="Listparagraf"/>
        <w:numPr>
          <w:ilvl w:val="0"/>
          <w:numId w:val="320"/>
        </w:numPr>
        <w:spacing w:after="0" w:line="240" w:lineRule="auto"/>
        <w:ind w:left="0" w:firstLine="426"/>
        <w:jc w:val="both"/>
        <w:rPr>
          <w:rFonts w:ascii="Times New Roman" w:hAnsi="Times New Roman" w:cs="Times New Roman"/>
          <w:lang w:val="ro-MD"/>
        </w:rPr>
      </w:pPr>
      <w:bookmarkStart w:id="184" w:name="_Hlk221027227"/>
      <w:r w:rsidRPr="000508B6">
        <w:rPr>
          <w:rFonts w:ascii="Times New Roman" w:hAnsi="Times New Roman" w:cs="Times New Roman"/>
          <w:bCs/>
          <w:lang w:val="ro-MD"/>
        </w:rPr>
        <w:t xml:space="preserve">Cooperarea transfrontalieră în domeniul protecției consumatorului se efectuează </w:t>
      </w:r>
      <w:r w:rsidR="00536A1E" w:rsidRPr="000508B6">
        <w:rPr>
          <w:rFonts w:ascii="Times New Roman" w:hAnsi="Times New Roman" w:cs="Times New Roman"/>
          <w:bCs/>
          <w:lang w:val="ro-MD"/>
        </w:rPr>
        <w:t xml:space="preserve">de </w:t>
      </w:r>
      <w:r w:rsidR="00352E9E" w:rsidRPr="000508B6">
        <w:rPr>
          <w:rFonts w:ascii="Times New Roman" w:hAnsi="Times New Roman" w:cs="Times New Roman"/>
          <w:bCs/>
          <w:lang w:val="ro-MD"/>
        </w:rPr>
        <w:t>c</w:t>
      </w:r>
      <w:r w:rsidR="00352E9E" w:rsidRPr="000508B6">
        <w:rPr>
          <w:rFonts w:ascii="Times New Roman" w:hAnsi="Times New Roman" w:cs="Times New Roman"/>
          <w:lang w:val="ro-MD"/>
        </w:rPr>
        <w:t>ă</w:t>
      </w:r>
      <w:r w:rsidR="00352E9E" w:rsidRPr="000508B6">
        <w:rPr>
          <w:rFonts w:ascii="Times New Roman" w:hAnsi="Times New Roman" w:cs="Times New Roman"/>
          <w:bCs/>
          <w:lang w:val="ro-MD"/>
        </w:rPr>
        <w:t xml:space="preserve">tre </w:t>
      </w:r>
      <w:r w:rsidR="00536A1E" w:rsidRPr="000508B6">
        <w:rPr>
          <w:rFonts w:ascii="Times New Roman" w:hAnsi="Times New Roman" w:cs="Times New Roman"/>
          <w:bCs/>
          <w:lang w:val="ro-MD"/>
        </w:rPr>
        <w:t xml:space="preserve">CNPF </w:t>
      </w:r>
      <w:r w:rsidRPr="000508B6">
        <w:rPr>
          <w:rFonts w:ascii="Times New Roman" w:hAnsi="Times New Roman" w:cs="Times New Roman"/>
          <w:bCs/>
          <w:lang w:val="ro-MD"/>
        </w:rPr>
        <w:t>direct către supraveghetorii din statele membre gazdă</w:t>
      </w:r>
      <w:bookmarkEnd w:id="184"/>
      <w:r w:rsidRPr="000508B6">
        <w:rPr>
          <w:rFonts w:ascii="Times New Roman" w:hAnsi="Times New Roman" w:cs="Times New Roman"/>
          <w:bCs/>
          <w:lang w:val="ro-MD"/>
        </w:rPr>
        <w:t>.</w:t>
      </w:r>
      <w:r w:rsidR="00536A1E" w:rsidRPr="000508B6">
        <w:rPr>
          <w:rFonts w:ascii="Times New Roman" w:hAnsi="Times New Roman" w:cs="Times New Roman"/>
          <w:bCs/>
          <w:lang w:val="ro-MD"/>
        </w:rPr>
        <w:t xml:space="preserve"> </w:t>
      </w:r>
    </w:p>
    <w:p w14:paraId="00AA2F5E" w14:textId="19E49422"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Banca Națională a Moldovei informează în timp util supraveghetorul din statul membru gazdă cu privire la concluziile procesului său de supraveghere a activităților transfrontaliere semnificative în cazul în care identifică posibile probleme de respectare a dispozițiilor legislației aplicabile în statul membru gazdă sau în Republica Moldova sau probleme semnificative legate de aspectele menționate la alin. (5) și problemele în cauză afectează sau pot afecta exercitarea activităților în statul membru gazdă.</w:t>
      </w:r>
      <w:r w:rsidRPr="000508B6">
        <w:rPr>
          <w:rFonts w:ascii="Times New Roman" w:hAnsi="Times New Roman" w:cs="Times New Roman"/>
          <w:lang w:val="ro-MD"/>
        </w:rPr>
        <w:t xml:space="preserve"> </w:t>
      </w:r>
    </w:p>
    <w:p w14:paraId="1BE7E432" w14:textId="1C7A927C"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Banca Națională a Moldovei furnizează supraveghetorului din statul membru gazdă în care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din Republica Moldova desfășoară activități transfrontaliere semnificative cel puțin o dată pe an sau, la solicitarea supraveghetorului în cauză mai frecvent, următoarele informații:</w:t>
      </w:r>
    </w:p>
    <w:p w14:paraId="2A2A0ABD" w14:textId="42D935A1" w:rsidR="008F68BF" w:rsidRPr="000508B6" w:rsidRDefault="008F68BF" w:rsidP="00472236">
      <w:pPr>
        <w:pStyle w:val="Listparagraf"/>
        <w:numPr>
          <w:ilvl w:val="0"/>
          <w:numId w:val="323"/>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SCR și MCR, astfel cum au fost raportate de </w:t>
      </w:r>
      <w:r w:rsidR="009E7B62" w:rsidRPr="000508B6">
        <w:rPr>
          <w:rFonts w:ascii="Times New Roman" w:hAnsi="Times New Roman" w:cs="Times New Roman"/>
          <w:bCs/>
          <w:lang w:val="ro-MD"/>
        </w:rPr>
        <w:t xml:space="preserve">asigurător sau </w:t>
      </w:r>
      <w:proofErr w:type="spellStart"/>
      <w:r w:rsidR="009E7B62"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w:t>
      </w:r>
    </w:p>
    <w:p w14:paraId="29EAB8F5" w14:textId="21EB37BC" w:rsidR="008F68BF" w:rsidRPr="000508B6" w:rsidRDefault="008F68BF" w:rsidP="00230ADD">
      <w:pPr>
        <w:pStyle w:val="Listparagraf"/>
        <w:numPr>
          <w:ilvl w:val="0"/>
          <w:numId w:val="323"/>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lastRenderedPageBreak/>
        <w:t>valo</w:t>
      </w:r>
      <w:r w:rsidR="004977ED" w:rsidRPr="000508B6">
        <w:rPr>
          <w:rFonts w:ascii="Times New Roman" w:hAnsi="Times New Roman" w:cs="Times New Roman"/>
          <w:bCs/>
          <w:lang w:val="ro-MD"/>
        </w:rPr>
        <w:t>are</w:t>
      </w:r>
      <w:r w:rsidR="00BE217D" w:rsidRPr="000508B6">
        <w:rPr>
          <w:rFonts w:ascii="Times New Roman" w:hAnsi="Times New Roman" w:cs="Times New Roman"/>
          <w:bCs/>
          <w:lang w:val="ro-MD"/>
        </w:rPr>
        <w:t>a</w:t>
      </w:r>
      <w:r w:rsidRPr="000508B6">
        <w:rPr>
          <w:rFonts w:ascii="Times New Roman" w:hAnsi="Times New Roman" w:cs="Times New Roman"/>
          <w:bCs/>
          <w:lang w:val="ro-MD"/>
        </w:rPr>
        <w:t xml:space="preserve"> fondurilor proprii eligibile pentru acoperirea SCR și, respectiv, a MCR, astfel cum au fost raportate de </w:t>
      </w:r>
      <w:r w:rsidR="009E7B62" w:rsidRPr="000508B6">
        <w:rPr>
          <w:rFonts w:ascii="Times New Roman" w:hAnsi="Times New Roman" w:cs="Times New Roman"/>
          <w:bCs/>
          <w:lang w:val="ro-MD"/>
        </w:rPr>
        <w:t xml:space="preserve">asigurător sau </w:t>
      </w:r>
      <w:proofErr w:type="spellStart"/>
      <w:r w:rsidR="009E7B62"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w:t>
      </w:r>
    </w:p>
    <w:p w14:paraId="2CC66B5B" w14:textId="6000CDD0" w:rsidR="008F68BF" w:rsidRPr="000508B6" w:rsidRDefault="00CD2237" w:rsidP="00230ADD">
      <w:pPr>
        <w:pStyle w:val="Listparagraf"/>
        <w:numPr>
          <w:ilvl w:val="0"/>
          <w:numId w:val="323"/>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dacă este cazul, </w:t>
      </w:r>
      <w:r w:rsidR="008F68BF" w:rsidRPr="000508B6">
        <w:rPr>
          <w:rFonts w:ascii="Times New Roman" w:hAnsi="Times New Roman" w:cs="Times New Roman"/>
          <w:bCs/>
          <w:lang w:val="ro-MD"/>
        </w:rPr>
        <w:t xml:space="preserve">indicarea faptului că Banca Națională a Moldovei consideră că există deficiențe cu privire la calcularea de către </w:t>
      </w:r>
      <w:r w:rsidR="00027D46" w:rsidRPr="000508B6">
        <w:rPr>
          <w:rFonts w:ascii="Times New Roman" w:hAnsi="Times New Roman" w:cs="Times New Roman"/>
          <w:bCs/>
          <w:lang w:val="ro-MD"/>
        </w:rPr>
        <w:t xml:space="preserve">asigurător sau </w:t>
      </w:r>
      <w:proofErr w:type="spellStart"/>
      <w:r w:rsidR="00027D46" w:rsidRPr="000508B6">
        <w:rPr>
          <w:rFonts w:ascii="Times New Roman" w:hAnsi="Times New Roman" w:cs="Times New Roman"/>
          <w:bCs/>
          <w:lang w:val="ro-MD"/>
        </w:rPr>
        <w:t>reasigurător</w:t>
      </w:r>
      <w:proofErr w:type="spellEnd"/>
      <w:r w:rsidR="00027D46" w:rsidRPr="000508B6">
        <w:rPr>
          <w:rFonts w:ascii="Times New Roman" w:hAnsi="Times New Roman" w:cs="Times New Roman"/>
          <w:bCs/>
          <w:lang w:val="ro-MD"/>
        </w:rPr>
        <w:t xml:space="preserve"> </w:t>
      </w:r>
      <w:r w:rsidR="008F68BF" w:rsidRPr="000508B6">
        <w:rPr>
          <w:rFonts w:ascii="Times New Roman" w:hAnsi="Times New Roman" w:cs="Times New Roman"/>
          <w:bCs/>
          <w:lang w:val="ro-MD"/>
        </w:rPr>
        <w:t>a rezervelor tehnice, precum și cu privire la elementele menționate la lit. a) și b).</w:t>
      </w:r>
      <w:r w:rsidR="008F68BF" w:rsidRPr="000508B6">
        <w:rPr>
          <w:rFonts w:ascii="Times New Roman" w:hAnsi="Times New Roman" w:cs="Times New Roman"/>
          <w:lang w:val="ro-MD"/>
        </w:rPr>
        <w:t xml:space="preserve"> </w:t>
      </w:r>
    </w:p>
    <w:p w14:paraId="531143CF" w14:textId="136EEB63" w:rsidR="008F68BF" w:rsidRPr="000508B6" w:rsidRDefault="008F68BF" w:rsidP="00CF5AFA">
      <w:pPr>
        <w:pStyle w:val="Listparagraf"/>
        <w:numPr>
          <w:ilvl w:val="0"/>
          <w:numId w:val="320"/>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Banca Națională a Moldovei informează fără întârziere supraveghetorul din statul membru gazdă în care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din Republica Moldova desfășoară activități transfrontaliere semnificative în cazul în care constată o deteriorare a condițiilor financiare sau există riscul de nerespectare a SCR sau MCR în următoarele trei luni.</w:t>
      </w:r>
      <w:r w:rsidRPr="000508B6">
        <w:rPr>
          <w:rFonts w:ascii="Times New Roman" w:hAnsi="Times New Roman" w:cs="Times New Roman"/>
          <w:lang w:val="ro-MD"/>
        </w:rPr>
        <w:t xml:space="preserve"> </w:t>
      </w:r>
    </w:p>
    <w:p w14:paraId="586331CE" w14:textId="42D8D4F7" w:rsidR="008F68BF" w:rsidRPr="000508B6" w:rsidRDefault="008F68BF" w:rsidP="00230ADD">
      <w:pPr>
        <w:pStyle w:val="Listparagraf"/>
        <w:numPr>
          <w:ilvl w:val="0"/>
          <w:numId w:val="320"/>
        </w:numPr>
        <w:tabs>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Banca Națională a Moldovei furnizează în timp util informații aferente</w:t>
      </w:r>
      <w:r w:rsidR="00CF5FDB"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solvabilității, sistemului de guvernanță sau modelului de afaceri al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 xml:space="preserve"> care desfășoară activități transfrontaliere semnificative în alt stat membru</w:t>
      </w:r>
      <w:r w:rsidR="00027D46" w:rsidRPr="000508B6">
        <w:rPr>
          <w:rFonts w:ascii="Times New Roman" w:hAnsi="Times New Roman" w:cs="Times New Roman"/>
          <w:bCs/>
          <w:lang w:val="ro-MD"/>
        </w:rPr>
        <w:t>,</w:t>
      </w:r>
      <w:r w:rsidRPr="000508B6">
        <w:rPr>
          <w:rFonts w:ascii="Times New Roman" w:hAnsi="Times New Roman" w:cs="Times New Roman"/>
          <w:bCs/>
          <w:lang w:val="ro-MD"/>
        </w:rPr>
        <w:t xml:space="preserve"> în cazul în care supraveghetorul din statul respectiv solicită acest lucru .</w:t>
      </w:r>
      <w:r w:rsidRPr="000508B6">
        <w:rPr>
          <w:rFonts w:ascii="Times New Roman" w:hAnsi="Times New Roman" w:cs="Times New Roman"/>
          <w:lang w:val="ro-MD"/>
        </w:rPr>
        <w:t xml:space="preserve"> </w:t>
      </w:r>
    </w:p>
    <w:p w14:paraId="707A86A5" w14:textId="3C73D5AB" w:rsidR="008F68BF" w:rsidRPr="000508B6" w:rsidRDefault="008F68BF" w:rsidP="00CF5AFA">
      <w:pPr>
        <w:pStyle w:val="Listparagraf"/>
        <w:numPr>
          <w:ilvl w:val="0"/>
          <w:numId w:val="320"/>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recepționează de la supraveghetorul din statul membru gazdă în care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din Republica Moldova care desfășoară activități transfrontaliere semnificative și care nu respectă sau este probabil să nu respecte SCR sau MCR în următoarele trei luni, o cerere motivată de efectuare în comun un a un</w:t>
      </w:r>
      <w:r w:rsidR="00B83B33" w:rsidRPr="000508B6">
        <w:rPr>
          <w:rFonts w:ascii="Times New Roman" w:hAnsi="Times New Roman" w:cs="Times New Roman"/>
          <w:bCs/>
          <w:lang w:val="ro-MD"/>
        </w:rPr>
        <w:t>ei</w:t>
      </w:r>
      <w:r w:rsidRPr="000508B6">
        <w:rPr>
          <w:rFonts w:ascii="Times New Roman" w:hAnsi="Times New Roman" w:cs="Times New Roman"/>
          <w:bCs/>
          <w:lang w:val="ro-MD"/>
        </w:rPr>
        <w:t xml:space="preserve"> </w:t>
      </w:r>
      <w:r w:rsidR="00B83B33" w:rsidRPr="000508B6">
        <w:rPr>
          <w:rFonts w:ascii="Times New Roman" w:hAnsi="Times New Roman" w:cs="Times New Roman"/>
          <w:bCs/>
          <w:lang w:val="ro-MD"/>
        </w:rPr>
        <w:t xml:space="preserve">inspecții pe teren </w:t>
      </w:r>
      <w:r w:rsidR="00C25605" w:rsidRPr="000508B6">
        <w:rPr>
          <w:rFonts w:ascii="Times New Roman" w:hAnsi="Times New Roman" w:cs="Times New Roman"/>
          <w:bCs/>
          <w:lang w:val="ro-MD"/>
        </w:rPr>
        <w:t>la</w:t>
      </w:r>
      <w:r w:rsidRPr="000508B6">
        <w:rPr>
          <w:rFonts w:ascii="Times New Roman" w:hAnsi="Times New Roman" w:cs="Times New Roman"/>
          <w:bCs/>
          <w:lang w:val="ro-MD"/>
        </w:rPr>
        <w:t xml:space="preserve"> </w:t>
      </w:r>
      <w:r w:rsidR="00601B28" w:rsidRPr="000508B6">
        <w:rPr>
          <w:rFonts w:ascii="Times New Roman" w:hAnsi="Times New Roman" w:cs="Times New Roman"/>
          <w:bCs/>
          <w:lang w:val="ro-MD"/>
        </w:rPr>
        <w:t xml:space="preserve">sediul </w:t>
      </w:r>
      <w:r w:rsidR="00D068AA" w:rsidRPr="000508B6">
        <w:rPr>
          <w:rFonts w:ascii="Times New Roman" w:hAnsi="Times New Roman" w:cs="Times New Roman"/>
          <w:bCs/>
          <w:lang w:val="ro-MD"/>
        </w:rPr>
        <w:t>asigurătorul</w:t>
      </w:r>
      <w:r w:rsidR="00601B28" w:rsidRPr="000508B6">
        <w:rPr>
          <w:rFonts w:ascii="Times New Roman" w:hAnsi="Times New Roman" w:cs="Times New Roman"/>
          <w:bCs/>
          <w:lang w:val="ro-MD"/>
        </w:rPr>
        <w:t>ui</w:t>
      </w:r>
      <w:r w:rsidR="00D068AA" w:rsidRPr="000508B6">
        <w:rPr>
          <w:rFonts w:ascii="Times New Roman" w:hAnsi="Times New Roman" w:cs="Times New Roman"/>
          <w:bCs/>
          <w:lang w:val="ro-MD"/>
        </w:rPr>
        <w:t xml:space="preserve"> sau </w:t>
      </w:r>
      <w:proofErr w:type="spellStart"/>
      <w:r w:rsidR="00D068AA" w:rsidRPr="000508B6">
        <w:rPr>
          <w:rFonts w:ascii="Times New Roman" w:hAnsi="Times New Roman" w:cs="Times New Roman"/>
          <w:bCs/>
          <w:lang w:val="ro-MD"/>
        </w:rPr>
        <w:t>reasigurătorul</w:t>
      </w:r>
      <w:r w:rsidR="00601B28" w:rsidRPr="000508B6">
        <w:rPr>
          <w:rFonts w:ascii="Times New Roman" w:hAnsi="Times New Roman" w:cs="Times New Roman"/>
          <w:bCs/>
          <w:lang w:val="ro-MD"/>
        </w:rPr>
        <w:t>ui</w:t>
      </w:r>
      <w:proofErr w:type="spellEnd"/>
      <w:r w:rsidRPr="000508B6">
        <w:rPr>
          <w:rFonts w:ascii="Times New Roman" w:hAnsi="Times New Roman" w:cs="Times New Roman"/>
          <w:bCs/>
          <w:lang w:val="ro-MD"/>
        </w:rPr>
        <w:t xml:space="preserve"> respectiv, Banca Națională a Moldovei transmite acceptul sau refuzul în termen de o lună de la primirea acesteia.</w:t>
      </w:r>
      <w:r w:rsidRPr="000508B6">
        <w:rPr>
          <w:rFonts w:ascii="Times New Roman" w:hAnsi="Times New Roman" w:cs="Times New Roman"/>
          <w:lang w:val="ro-MD"/>
        </w:rPr>
        <w:t xml:space="preserve"> </w:t>
      </w:r>
    </w:p>
    <w:p w14:paraId="278C6DD7" w14:textId="6C0950F6" w:rsidR="008F68BF" w:rsidRPr="000508B6" w:rsidRDefault="008F68BF" w:rsidP="00CF5AFA">
      <w:pPr>
        <w:pStyle w:val="Listparagraf"/>
        <w:numPr>
          <w:ilvl w:val="0"/>
          <w:numId w:val="320"/>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este de acord să efectueze în comun </w:t>
      </w:r>
      <w:r w:rsidR="00BE217D" w:rsidRPr="000508B6">
        <w:rPr>
          <w:rFonts w:ascii="Times New Roman" w:hAnsi="Times New Roman" w:cs="Times New Roman"/>
          <w:bCs/>
          <w:lang w:val="ro-MD"/>
        </w:rPr>
        <w:t xml:space="preserve">o </w:t>
      </w:r>
      <w:r w:rsidR="00B83B33" w:rsidRPr="000508B6">
        <w:rPr>
          <w:rFonts w:ascii="Times New Roman" w:hAnsi="Times New Roman" w:cs="Times New Roman"/>
          <w:bCs/>
          <w:lang w:val="ro-MD"/>
        </w:rPr>
        <w:t xml:space="preserve">inspecție pe teren </w:t>
      </w:r>
      <w:r w:rsidR="00C25605" w:rsidRPr="000508B6">
        <w:rPr>
          <w:rFonts w:ascii="Times New Roman" w:hAnsi="Times New Roman" w:cs="Times New Roman"/>
          <w:bCs/>
          <w:lang w:val="ro-MD"/>
        </w:rPr>
        <w:t>la</w:t>
      </w:r>
      <w:r w:rsidRPr="000508B6">
        <w:rPr>
          <w:rFonts w:ascii="Times New Roman" w:hAnsi="Times New Roman" w:cs="Times New Roman"/>
          <w:bCs/>
          <w:lang w:val="ro-MD"/>
        </w:rPr>
        <w:t xml:space="preserve"> </w:t>
      </w:r>
      <w:r w:rsidR="00601B28" w:rsidRPr="000508B6">
        <w:rPr>
          <w:rFonts w:ascii="Times New Roman" w:hAnsi="Times New Roman" w:cs="Times New Roman"/>
          <w:bCs/>
          <w:lang w:val="ro-MD"/>
        </w:rPr>
        <w:t xml:space="preserve">sediul </w:t>
      </w:r>
      <w:r w:rsidR="00027D46" w:rsidRPr="000508B6">
        <w:rPr>
          <w:rFonts w:ascii="Times New Roman" w:hAnsi="Times New Roman" w:cs="Times New Roman"/>
          <w:bCs/>
          <w:lang w:val="ro-MD"/>
        </w:rPr>
        <w:t>asigurător</w:t>
      </w:r>
      <w:r w:rsidR="00601B28" w:rsidRPr="000508B6">
        <w:rPr>
          <w:rFonts w:ascii="Times New Roman" w:hAnsi="Times New Roman" w:cs="Times New Roman"/>
          <w:bCs/>
          <w:lang w:val="ro-MD"/>
        </w:rPr>
        <w:t>ului</w:t>
      </w:r>
      <w:r w:rsidR="00027D46" w:rsidRPr="000508B6">
        <w:rPr>
          <w:rFonts w:ascii="Times New Roman" w:hAnsi="Times New Roman" w:cs="Times New Roman"/>
          <w:bCs/>
          <w:lang w:val="ro-MD"/>
        </w:rPr>
        <w:t xml:space="preserve"> sau </w:t>
      </w:r>
      <w:proofErr w:type="spellStart"/>
      <w:r w:rsidR="00027D46" w:rsidRPr="000508B6">
        <w:rPr>
          <w:rFonts w:ascii="Times New Roman" w:hAnsi="Times New Roman" w:cs="Times New Roman"/>
          <w:bCs/>
          <w:lang w:val="ro-MD"/>
        </w:rPr>
        <w:t>reasigurător</w:t>
      </w:r>
      <w:r w:rsidR="00601B28" w:rsidRPr="000508B6">
        <w:rPr>
          <w:rFonts w:ascii="Times New Roman" w:hAnsi="Times New Roman" w:cs="Times New Roman"/>
          <w:bCs/>
          <w:lang w:val="ro-MD"/>
        </w:rPr>
        <w:t>ului</w:t>
      </w:r>
      <w:proofErr w:type="spellEnd"/>
      <w:r w:rsidRPr="000508B6">
        <w:rPr>
          <w:rFonts w:ascii="Times New Roman" w:hAnsi="Times New Roman" w:cs="Times New Roman"/>
          <w:bCs/>
          <w:lang w:val="ro-MD"/>
        </w:rPr>
        <w:t xml:space="preserve">, Banca Națională a Moldovei solicită EIOPA să participe la </w:t>
      </w:r>
      <w:r w:rsidR="00BE217D" w:rsidRPr="000508B6">
        <w:rPr>
          <w:rFonts w:ascii="Times New Roman" w:hAnsi="Times New Roman" w:cs="Times New Roman"/>
          <w:bCs/>
          <w:lang w:val="ro-MD"/>
        </w:rPr>
        <w:t xml:space="preserve">inspecția </w:t>
      </w:r>
      <w:r w:rsidRPr="000508B6">
        <w:rPr>
          <w:rFonts w:ascii="Times New Roman" w:hAnsi="Times New Roman" w:cs="Times New Roman"/>
          <w:bCs/>
          <w:lang w:val="ro-MD"/>
        </w:rPr>
        <w:t>respectiv</w:t>
      </w:r>
      <w:r w:rsidR="00BE217D" w:rsidRPr="000508B6">
        <w:rPr>
          <w:rFonts w:ascii="Times New Roman" w:hAnsi="Times New Roman" w:cs="Times New Roman"/>
          <w:bCs/>
          <w:lang w:val="ro-MD"/>
        </w:rPr>
        <w:t>ă</w:t>
      </w:r>
      <w:r w:rsidRPr="000508B6">
        <w:rPr>
          <w:rFonts w:ascii="Times New Roman" w:hAnsi="Times New Roman" w:cs="Times New Roman"/>
          <w:bCs/>
          <w:lang w:val="ro-MD"/>
        </w:rPr>
        <w:t>.</w:t>
      </w:r>
      <w:r w:rsidRPr="000508B6">
        <w:rPr>
          <w:rFonts w:ascii="Times New Roman" w:hAnsi="Times New Roman" w:cs="Times New Roman"/>
          <w:lang w:val="ro-MD"/>
        </w:rPr>
        <w:t xml:space="preserve"> </w:t>
      </w:r>
    </w:p>
    <w:p w14:paraId="515E9B5C" w14:textId="2F2CFD97" w:rsidR="008F68BF" w:rsidRPr="000508B6" w:rsidRDefault="008F68BF" w:rsidP="00CF5AFA">
      <w:pPr>
        <w:pStyle w:val="Listparagraf"/>
        <w:numPr>
          <w:ilvl w:val="0"/>
          <w:numId w:val="320"/>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După încheierea </w:t>
      </w:r>
      <w:r w:rsidR="00B83B33" w:rsidRPr="000508B6">
        <w:rPr>
          <w:rFonts w:ascii="Times New Roman" w:hAnsi="Times New Roman" w:cs="Times New Roman"/>
          <w:bCs/>
          <w:lang w:val="ro-MD"/>
        </w:rPr>
        <w:t>inspecției pe teren în</w:t>
      </w:r>
      <w:r w:rsidRPr="000508B6">
        <w:rPr>
          <w:rFonts w:ascii="Times New Roman" w:hAnsi="Times New Roman" w:cs="Times New Roman"/>
          <w:bCs/>
          <w:lang w:val="ro-MD"/>
        </w:rPr>
        <w:t xml:space="preserve"> comun la </w:t>
      </w:r>
      <w:r w:rsidR="00601B28" w:rsidRPr="000508B6">
        <w:rPr>
          <w:rFonts w:ascii="Times New Roman" w:hAnsi="Times New Roman" w:cs="Times New Roman"/>
          <w:bCs/>
          <w:lang w:val="ro-MD"/>
        </w:rPr>
        <w:t xml:space="preserve">sediul </w:t>
      </w:r>
      <w:r w:rsidR="00D67D8F" w:rsidRPr="000508B6">
        <w:rPr>
          <w:rFonts w:ascii="Times New Roman" w:hAnsi="Times New Roman" w:cs="Times New Roman"/>
          <w:bCs/>
          <w:lang w:val="ro-MD"/>
        </w:rPr>
        <w:t>asigurător</w:t>
      </w:r>
      <w:r w:rsidR="00601B28" w:rsidRPr="000508B6">
        <w:rPr>
          <w:rFonts w:ascii="Times New Roman" w:hAnsi="Times New Roman" w:cs="Times New Roman"/>
          <w:bCs/>
          <w:lang w:val="ro-MD"/>
        </w:rPr>
        <w:t>ului</w:t>
      </w:r>
      <w:r w:rsidR="00D67D8F" w:rsidRPr="000508B6">
        <w:rPr>
          <w:rFonts w:ascii="Times New Roman" w:hAnsi="Times New Roman" w:cs="Times New Roman"/>
          <w:bCs/>
          <w:lang w:val="ro-MD"/>
        </w:rPr>
        <w:t xml:space="preserve"> sau </w:t>
      </w:r>
      <w:proofErr w:type="spellStart"/>
      <w:r w:rsidR="00D67D8F" w:rsidRPr="000508B6">
        <w:rPr>
          <w:rFonts w:ascii="Times New Roman" w:hAnsi="Times New Roman" w:cs="Times New Roman"/>
          <w:bCs/>
          <w:lang w:val="ro-MD"/>
        </w:rPr>
        <w:t>reasigurător</w:t>
      </w:r>
      <w:r w:rsidR="00601B28" w:rsidRPr="000508B6">
        <w:rPr>
          <w:rFonts w:ascii="Times New Roman" w:hAnsi="Times New Roman" w:cs="Times New Roman"/>
          <w:bCs/>
          <w:lang w:val="ro-MD"/>
        </w:rPr>
        <w:t>ului</w:t>
      </w:r>
      <w:proofErr w:type="spellEnd"/>
      <w:r w:rsidRPr="000508B6">
        <w:rPr>
          <w:rFonts w:ascii="Times New Roman" w:hAnsi="Times New Roman" w:cs="Times New Roman"/>
          <w:bCs/>
          <w:lang w:val="ro-MD"/>
        </w:rPr>
        <w:t>, Banca Națională a Moldovei și supraveghetorul din statul membru gazdă elaborează concluzii comune în termen de două luni, care includ măsuri de supraveghere</w:t>
      </w:r>
      <w:r w:rsidR="00A71EB4" w:rsidRPr="000508B6">
        <w:rPr>
          <w:rFonts w:ascii="Times New Roman" w:hAnsi="Times New Roman" w:cs="Times New Roman"/>
          <w:bCs/>
          <w:lang w:val="ro-MD"/>
        </w:rPr>
        <w:t xml:space="preserve"> adecvate</w:t>
      </w:r>
      <w:r w:rsidRPr="000508B6">
        <w:rPr>
          <w:rFonts w:ascii="Times New Roman" w:hAnsi="Times New Roman" w:cs="Times New Roman"/>
          <w:bCs/>
          <w:lang w:val="ro-MD"/>
        </w:rPr>
        <w:t xml:space="preserve">. Banca Națională a Moldovei ține seama de aceste concluzii comune atunci când decide cu privire la măsurile de supraveghere adecvate. </w:t>
      </w:r>
    </w:p>
    <w:p w14:paraId="357AF27D" w14:textId="4F454320" w:rsidR="008F68BF" w:rsidRPr="000508B6" w:rsidRDefault="008F68BF" w:rsidP="00CF5AFA">
      <w:pPr>
        <w:pStyle w:val="Listparagraf"/>
        <w:numPr>
          <w:ilvl w:val="0"/>
          <w:numId w:val="320"/>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În cazul în care Banca Națională a Moldovei și supraveghetorul din statul membru gazdă nu pot ajunge la o concluzie comună cu privire la </w:t>
      </w:r>
      <w:r w:rsidR="00B83B33" w:rsidRPr="000508B6">
        <w:rPr>
          <w:rFonts w:ascii="Times New Roman" w:hAnsi="Times New Roman" w:cs="Times New Roman"/>
          <w:bCs/>
          <w:lang w:val="ro-MD"/>
        </w:rPr>
        <w:t xml:space="preserve">inspecția pe teren în comun </w:t>
      </w:r>
      <w:r w:rsidR="00C25605" w:rsidRPr="000508B6">
        <w:rPr>
          <w:rFonts w:ascii="Times New Roman" w:hAnsi="Times New Roman" w:cs="Times New Roman"/>
          <w:bCs/>
          <w:lang w:val="ro-MD"/>
        </w:rPr>
        <w:t>la</w:t>
      </w:r>
      <w:r w:rsidRPr="000508B6">
        <w:rPr>
          <w:rFonts w:ascii="Times New Roman" w:hAnsi="Times New Roman" w:cs="Times New Roman"/>
          <w:bCs/>
          <w:lang w:val="ro-MD"/>
        </w:rPr>
        <w:t xml:space="preserve"> </w:t>
      </w:r>
      <w:r w:rsidR="00601B28" w:rsidRPr="000508B6">
        <w:rPr>
          <w:rFonts w:ascii="Times New Roman" w:hAnsi="Times New Roman" w:cs="Times New Roman"/>
          <w:bCs/>
          <w:lang w:val="ro-MD"/>
        </w:rPr>
        <w:t xml:space="preserve">sediul </w:t>
      </w:r>
      <w:r w:rsidR="00DC3C97" w:rsidRPr="000508B6">
        <w:rPr>
          <w:rFonts w:ascii="Times New Roman" w:hAnsi="Times New Roman" w:cs="Times New Roman"/>
          <w:bCs/>
          <w:lang w:val="ro-MD"/>
        </w:rPr>
        <w:t>asigurător</w:t>
      </w:r>
      <w:r w:rsidR="00601B28" w:rsidRPr="000508B6">
        <w:rPr>
          <w:rFonts w:ascii="Times New Roman" w:hAnsi="Times New Roman" w:cs="Times New Roman"/>
          <w:bCs/>
          <w:lang w:val="ro-MD"/>
        </w:rPr>
        <w:t>ului</w:t>
      </w:r>
      <w:r w:rsidR="00DC3C97" w:rsidRPr="000508B6">
        <w:rPr>
          <w:rFonts w:ascii="Times New Roman" w:hAnsi="Times New Roman" w:cs="Times New Roman"/>
          <w:bCs/>
          <w:lang w:val="ro-MD"/>
        </w:rPr>
        <w:t xml:space="preserve"> sau </w:t>
      </w:r>
      <w:proofErr w:type="spellStart"/>
      <w:r w:rsidR="00DC3C97" w:rsidRPr="000508B6">
        <w:rPr>
          <w:rFonts w:ascii="Times New Roman" w:hAnsi="Times New Roman" w:cs="Times New Roman"/>
          <w:bCs/>
          <w:lang w:val="ro-MD"/>
        </w:rPr>
        <w:t>reasigurător</w:t>
      </w:r>
      <w:r w:rsidR="00601B28" w:rsidRPr="000508B6">
        <w:rPr>
          <w:rFonts w:ascii="Times New Roman" w:hAnsi="Times New Roman" w:cs="Times New Roman"/>
          <w:bCs/>
          <w:lang w:val="ro-MD"/>
        </w:rPr>
        <w:t>ului</w:t>
      </w:r>
      <w:proofErr w:type="spellEnd"/>
      <w:r w:rsidRPr="000508B6">
        <w:rPr>
          <w:rFonts w:ascii="Times New Roman" w:hAnsi="Times New Roman" w:cs="Times New Roman"/>
          <w:bCs/>
          <w:lang w:val="ro-MD"/>
        </w:rPr>
        <w:t>, Banca Națională a Moldovei poate să se adreseze EIOPA, solicitându-i asistența, în termen de două luni de la expirarea termenului menționat la alin. (12) și fără a aduce atingere măsurilor de supraveghere luate și competențelor de supraveghere exercitate de Banca Națională a Moldovei pentru abordarea situației de nerespectare efectivă a SCR sau a situației de nerespectare efectivă sau probabilă a MC</w:t>
      </w:r>
      <w:r w:rsidR="00CF5FDB" w:rsidRPr="000508B6">
        <w:rPr>
          <w:rFonts w:ascii="Times New Roman" w:hAnsi="Times New Roman" w:cs="Times New Roman"/>
          <w:bCs/>
          <w:lang w:val="ro-MD"/>
        </w:rPr>
        <w:t>R</w:t>
      </w:r>
      <w:r w:rsidRPr="000508B6">
        <w:rPr>
          <w:rFonts w:ascii="Times New Roman" w:hAnsi="Times New Roman" w:cs="Times New Roman"/>
          <w:bCs/>
          <w:lang w:val="ro-MD"/>
        </w:rPr>
        <w:t>.</w:t>
      </w:r>
      <w:r w:rsidR="0076076A" w:rsidRPr="000508B6">
        <w:rPr>
          <w:rFonts w:ascii="Times New Roman" w:hAnsi="Times New Roman" w:cs="Times New Roman"/>
          <w:bCs/>
          <w:lang w:val="ro-MD"/>
        </w:rPr>
        <w:t xml:space="preserve"> </w:t>
      </w:r>
    </w:p>
    <w:p w14:paraId="48B565A0" w14:textId="695A7B9E" w:rsidR="008F68BF" w:rsidRPr="000508B6" w:rsidRDefault="008F68BF" w:rsidP="00CF5AFA">
      <w:pPr>
        <w:pStyle w:val="Listparagraf"/>
        <w:numPr>
          <w:ilvl w:val="0"/>
          <w:numId w:val="320"/>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Banca Națională a Moldovei nu poate solicita asistență EIOPA în temeiul alin. (13) după expirarea termenului de două luni și nici după ce au ajuns la un acord cu privire la concluziile comune în conformitate cu alin.(</w:t>
      </w:r>
      <w:r w:rsidR="00EC1332" w:rsidRPr="000508B6">
        <w:rPr>
          <w:rFonts w:ascii="Times New Roman" w:hAnsi="Times New Roman" w:cs="Times New Roman"/>
          <w:bCs/>
          <w:lang w:val="ro-MD"/>
        </w:rPr>
        <w:t>13</w:t>
      </w:r>
      <w:r w:rsidRPr="000508B6">
        <w:rPr>
          <w:rFonts w:ascii="Times New Roman" w:hAnsi="Times New Roman" w:cs="Times New Roman"/>
          <w:bCs/>
          <w:lang w:val="ro-MD"/>
        </w:rPr>
        <w:t>).</w:t>
      </w:r>
    </w:p>
    <w:p w14:paraId="72087826" w14:textId="63706188" w:rsidR="008F68BF" w:rsidRPr="000508B6" w:rsidRDefault="008F68BF" w:rsidP="00CF5AFA">
      <w:pPr>
        <w:pStyle w:val="Listparagraf"/>
        <w:numPr>
          <w:ilvl w:val="0"/>
          <w:numId w:val="320"/>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Dacă, în termenul de două luni menționat la alin. (13), Banca Națională a Moldovei sau supraveghetorul din statul membru gazdă s-a adresat EIOPA, Banca Națională a Moldovei suspendă adoptarea concluziilor finale referitoare la </w:t>
      </w:r>
      <w:r w:rsidR="00B83B33" w:rsidRPr="000508B6">
        <w:rPr>
          <w:rFonts w:ascii="Times New Roman" w:hAnsi="Times New Roman" w:cs="Times New Roman"/>
          <w:bCs/>
          <w:lang w:val="ro-MD"/>
        </w:rPr>
        <w:t>inspecția pe teren</w:t>
      </w:r>
      <w:r w:rsidRPr="000508B6">
        <w:rPr>
          <w:rFonts w:ascii="Times New Roman" w:hAnsi="Times New Roman" w:cs="Times New Roman"/>
          <w:bCs/>
          <w:lang w:val="ro-MD"/>
        </w:rPr>
        <w:t xml:space="preserve"> în comun la </w:t>
      </w:r>
      <w:r w:rsidR="00601B28" w:rsidRPr="000508B6">
        <w:rPr>
          <w:rFonts w:ascii="Times New Roman" w:hAnsi="Times New Roman" w:cs="Times New Roman"/>
          <w:bCs/>
          <w:lang w:val="ro-MD"/>
        </w:rPr>
        <w:t xml:space="preserve">sediul </w:t>
      </w:r>
      <w:r w:rsidR="00D67D8F" w:rsidRPr="000508B6">
        <w:rPr>
          <w:rFonts w:ascii="Times New Roman" w:hAnsi="Times New Roman" w:cs="Times New Roman"/>
          <w:bCs/>
          <w:lang w:val="ro-MD"/>
        </w:rPr>
        <w:t>asigurător</w:t>
      </w:r>
      <w:r w:rsidR="00601B28" w:rsidRPr="000508B6">
        <w:rPr>
          <w:rFonts w:ascii="Times New Roman" w:hAnsi="Times New Roman" w:cs="Times New Roman"/>
          <w:bCs/>
          <w:lang w:val="ro-MD"/>
        </w:rPr>
        <w:t>ului</w:t>
      </w:r>
      <w:r w:rsidR="00D67D8F" w:rsidRPr="000508B6">
        <w:rPr>
          <w:rFonts w:ascii="Times New Roman" w:hAnsi="Times New Roman" w:cs="Times New Roman"/>
          <w:bCs/>
          <w:lang w:val="ro-MD"/>
        </w:rPr>
        <w:t xml:space="preserve"> sau </w:t>
      </w:r>
      <w:proofErr w:type="spellStart"/>
      <w:r w:rsidR="00D67D8F" w:rsidRPr="000508B6">
        <w:rPr>
          <w:rFonts w:ascii="Times New Roman" w:hAnsi="Times New Roman" w:cs="Times New Roman"/>
          <w:bCs/>
          <w:lang w:val="ro-MD"/>
        </w:rPr>
        <w:t>reasigurător</w:t>
      </w:r>
      <w:r w:rsidR="00601B28" w:rsidRPr="000508B6">
        <w:rPr>
          <w:rFonts w:ascii="Times New Roman" w:hAnsi="Times New Roman" w:cs="Times New Roman"/>
          <w:bCs/>
          <w:lang w:val="ro-MD"/>
        </w:rPr>
        <w:t>ului</w:t>
      </w:r>
      <w:proofErr w:type="spellEnd"/>
      <w:r w:rsidR="00D67D8F"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și așteaptă decizia EIOPA, urmând să adopte concluziile în conformitate cu decizia EIOPA. </w:t>
      </w:r>
      <w:bookmarkStart w:id="185" w:name="_Hlk206339922"/>
      <w:r w:rsidRPr="000508B6">
        <w:rPr>
          <w:rFonts w:ascii="Times New Roman" w:hAnsi="Times New Roman" w:cs="Times New Roman"/>
          <w:bCs/>
          <w:lang w:val="ro-MD"/>
        </w:rPr>
        <w:t xml:space="preserve">Banca Națională a Moldovei </w:t>
      </w:r>
      <w:bookmarkEnd w:id="185"/>
      <w:r w:rsidRPr="000508B6">
        <w:rPr>
          <w:rFonts w:ascii="Times New Roman" w:hAnsi="Times New Roman" w:cs="Times New Roman"/>
          <w:bCs/>
          <w:lang w:val="ro-MD"/>
        </w:rPr>
        <w:t xml:space="preserve">adoptă decizia finală în conformitate cu </w:t>
      </w:r>
      <w:r w:rsidR="0076076A" w:rsidRPr="000508B6">
        <w:rPr>
          <w:rFonts w:ascii="Times New Roman" w:hAnsi="Times New Roman" w:cs="Times New Roman"/>
          <w:bCs/>
          <w:lang w:val="ro-MD"/>
        </w:rPr>
        <w:t xml:space="preserve">concluziile </w:t>
      </w:r>
      <w:r w:rsidRPr="000508B6">
        <w:rPr>
          <w:rFonts w:ascii="Times New Roman" w:hAnsi="Times New Roman" w:cs="Times New Roman"/>
          <w:bCs/>
          <w:lang w:val="ro-MD"/>
        </w:rPr>
        <w:t>EIOPA.</w:t>
      </w:r>
    </w:p>
    <w:p w14:paraId="49F63F84" w14:textId="00309929" w:rsidR="008F68BF" w:rsidRPr="000508B6" w:rsidRDefault="008F68BF" w:rsidP="00CF5AFA">
      <w:pPr>
        <w:pStyle w:val="Listparagraf"/>
        <w:numPr>
          <w:ilvl w:val="0"/>
          <w:numId w:val="320"/>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În cazul în care la cererea recepționată în temeiul alin. (</w:t>
      </w:r>
      <w:r w:rsidR="00EC1332" w:rsidRPr="000508B6">
        <w:rPr>
          <w:rFonts w:ascii="Times New Roman" w:hAnsi="Times New Roman" w:cs="Times New Roman"/>
          <w:bCs/>
          <w:lang w:val="ro-MD"/>
        </w:rPr>
        <w:t>11</w:t>
      </w:r>
      <w:r w:rsidRPr="000508B6">
        <w:rPr>
          <w:rFonts w:ascii="Times New Roman" w:hAnsi="Times New Roman" w:cs="Times New Roman"/>
          <w:bCs/>
          <w:lang w:val="ro-MD"/>
        </w:rPr>
        <w:t xml:space="preserve">) refuză să efectueze </w:t>
      </w:r>
      <w:r w:rsidR="00B83B33" w:rsidRPr="000508B6">
        <w:rPr>
          <w:rFonts w:ascii="Times New Roman" w:hAnsi="Times New Roman" w:cs="Times New Roman"/>
          <w:bCs/>
          <w:lang w:val="ro-MD"/>
        </w:rPr>
        <w:t>inspecție pe teren</w:t>
      </w:r>
      <w:r w:rsidRPr="000508B6">
        <w:rPr>
          <w:rFonts w:ascii="Times New Roman" w:hAnsi="Times New Roman" w:cs="Times New Roman"/>
          <w:bCs/>
          <w:lang w:val="ro-MD"/>
        </w:rPr>
        <w:t xml:space="preserve"> în comun la </w:t>
      </w:r>
      <w:r w:rsidR="0076076A" w:rsidRPr="000508B6">
        <w:rPr>
          <w:rFonts w:ascii="Times New Roman" w:hAnsi="Times New Roman" w:cs="Times New Roman"/>
          <w:bCs/>
          <w:lang w:val="ro-MD"/>
        </w:rPr>
        <w:t xml:space="preserve">sediul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Pr="000508B6">
        <w:rPr>
          <w:rFonts w:ascii="Times New Roman" w:hAnsi="Times New Roman" w:cs="Times New Roman"/>
          <w:bCs/>
          <w:lang w:val="ro-MD"/>
        </w:rPr>
        <w:t xml:space="preserve">, Banca Națională a Moldovei transmite în scris </w:t>
      </w:r>
      <w:r w:rsidR="00717A98" w:rsidRPr="000508B6">
        <w:rPr>
          <w:rFonts w:ascii="Times New Roman" w:hAnsi="Times New Roman" w:cs="Times New Roman"/>
          <w:bCs/>
          <w:lang w:val="ro-MD"/>
        </w:rPr>
        <w:t xml:space="preserve">supraveghetorului din statul membru gazdă </w:t>
      </w:r>
      <w:r w:rsidRPr="000508B6">
        <w:rPr>
          <w:rFonts w:ascii="Times New Roman" w:hAnsi="Times New Roman" w:cs="Times New Roman"/>
          <w:bCs/>
          <w:lang w:val="ro-MD"/>
        </w:rPr>
        <w:t xml:space="preserve">motivele refuzului. </w:t>
      </w:r>
    </w:p>
    <w:p w14:paraId="06EF9295" w14:textId="5588E7C7" w:rsidR="008F68BF" w:rsidRPr="000508B6" w:rsidRDefault="008926E7" w:rsidP="00CF5AFA">
      <w:pPr>
        <w:pStyle w:val="Listparagraf"/>
        <w:numPr>
          <w:ilvl w:val="0"/>
          <w:numId w:val="320"/>
        </w:numPr>
        <w:tabs>
          <w:tab w:val="left" w:pos="851"/>
        </w:tabs>
        <w:spacing w:after="0" w:line="240" w:lineRule="auto"/>
        <w:ind w:left="0" w:firstLine="426"/>
        <w:jc w:val="both"/>
        <w:rPr>
          <w:rFonts w:ascii="Times New Roman" w:hAnsi="Times New Roman" w:cs="Times New Roman"/>
          <w:b/>
          <w:lang w:val="ro-MD"/>
        </w:rPr>
      </w:pPr>
      <w:bookmarkStart w:id="186" w:name="_Hlk206340197"/>
      <w:r w:rsidRPr="000508B6">
        <w:rPr>
          <w:rFonts w:ascii="Times New Roman" w:hAnsi="Times New Roman" w:cs="Times New Roman"/>
          <w:bCs/>
          <w:lang w:val="ro-MD"/>
        </w:rPr>
        <w:t xml:space="preserve">Banca Națională a Moldovei respectă cerințele privind cooperarea și schimbul de informații în materie de supraveghere </w:t>
      </w:r>
      <w:r w:rsidR="000B7445" w:rsidRPr="000508B6">
        <w:rPr>
          <w:rFonts w:ascii="Times New Roman" w:hAnsi="Times New Roman" w:cs="Times New Roman"/>
          <w:bCs/>
          <w:lang w:val="ro-MD"/>
        </w:rPr>
        <w:t xml:space="preserve">în </w:t>
      </w:r>
      <w:r w:rsidRPr="000508B6">
        <w:rPr>
          <w:rFonts w:ascii="Times New Roman" w:hAnsi="Times New Roman" w:cs="Times New Roman"/>
          <w:bCs/>
          <w:lang w:val="ro-MD"/>
        </w:rPr>
        <w:t xml:space="preserve">comun </w:t>
      </w:r>
      <w:r w:rsidR="000B7445" w:rsidRPr="000508B6">
        <w:rPr>
          <w:rFonts w:ascii="Times New Roman" w:hAnsi="Times New Roman" w:cs="Times New Roman"/>
          <w:bCs/>
          <w:lang w:val="ro-MD"/>
        </w:rPr>
        <w:t>cu</w:t>
      </w:r>
      <w:r w:rsidRPr="000508B6">
        <w:rPr>
          <w:rFonts w:ascii="Times New Roman" w:hAnsi="Times New Roman" w:cs="Times New Roman"/>
          <w:bCs/>
          <w:lang w:val="ro-MD"/>
        </w:rPr>
        <w:t xml:space="preserve"> supraveghetor</w:t>
      </w:r>
      <w:r w:rsidR="000B7445" w:rsidRPr="000508B6">
        <w:rPr>
          <w:rFonts w:ascii="Times New Roman" w:hAnsi="Times New Roman" w:cs="Times New Roman"/>
          <w:bCs/>
          <w:lang w:val="ro-MD"/>
        </w:rPr>
        <w:t>ul</w:t>
      </w:r>
      <w:r w:rsidRPr="000508B6">
        <w:rPr>
          <w:rFonts w:ascii="Times New Roman" w:hAnsi="Times New Roman" w:cs="Times New Roman"/>
          <w:bCs/>
          <w:lang w:val="ro-MD"/>
        </w:rPr>
        <w:t xml:space="preserve"> </w:t>
      </w:r>
      <w:r w:rsidR="005E3FE3" w:rsidRPr="000508B6">
        <w:rPr>
          <w:rFonts w:ascii="Times New Roman" w:hAnsi="Times New Roman" w:cs="Times New Roman"/>
          <w:bCs/>
          <w:lang w:val="ro-MD"/>
        </w:rPr>
        <w:t xml:space="preserve">relevant </w:t>
      </w:r>
      <w:r w:rsidRPr="000508B6">
        <w:rPr>
          <w:rFonts w:ascii="Times New Roman" w:hAnsi="Times New Roman" w:cs="Times New Roman"/>
          <w:bCs/>
          <w:lang w:val="ro-MD"/>
        </w:rPr>
        <w:t xml:space="preserve">în </w:t>
      </w:r>
      <w:r w:rsidR="00BB151A" w:rsidRPr="000508B6">
        <w:rPr>
          <w:rFonts w:ascii="Times New Roman" w:hAnsi="Times New Roman" w:cs="Times New Roman"/>
          <w:bCs/>
          <w:lang w:val="ro-MD"/>
        </w:rPr>
        <w:t xml:space="preserve">situațiile </w:t>
      </w:r>
      <w:r w:rsidR="000B7445" w:rsidRPr="000508B6">
        <w:rPr>
          <w:rFonts w:ascii="Times New Roman" w:hAnsi="Times New Roman" w:cs="Times New Roman"/>
          <w:bCs/>
          <w:lang w:val="ro-MD"/>
        </w:rPr>
        <w:t xml:space="preserve">prevăzute la </w:t>
      </w:r>
      <w:r w:rsidRPr="000508B6">
        <w:rPr>
          <w:rFonts w:ascii="Times New Roman" w:hAnsi="Times New Roman" w:cs="Times New Roman"/>
          <w:bCs/>
          <w:lang w:val="ro-MD"/>
        </w:rPr>
        <w:t>alin. (4)-(</w:t>
      </w:r>
      <w:r w:rsidR="00EC1332" w:rsidRPr="000508B6">
        <w:rPr>
          <w:rFonts w:ascii="Times New Roman" w:hAnsi="Times New Roman" w:cs="Times New Roman"/>
          <w:bCs/>
          <w:lang w:val="ro-MD"/>
        </w:rPr>
        <w:t>17</w:t>
      </w:r>
      <w:r w:rsidRPr="000508B6">
        <w:rPr>
          <w:rFonts w:ascii="Times New Roman" w:hAnsi="Times New Roman" w:cs="Times New Roman"/>
          <w:bCs/>
          <w:lang w:val="ro-MD"/>
        </w:rPr>
        <w:t xml:space="preserve">) și în cazul în care participă la o platformă de colaborare de la instituirea unei astfel de platforme de colaborare în temeiul </w:t>
      </w:r>
      <w:r w:rsidRPr="000508B6">
        <w:rPr>
          <w:rFonts w:ascii="Times New Roman" w:hAnsi="Times New Roman" w:cs="Times New Roman"/>
          <w:lang w:val="ro-MD"/>
        </w:rPr>
        <w:t xml:space="preserve">art. </w:t>
      </w:r>
      <w:r w:rsidR="00CA2FAC" w:rsidRPr="000508B6">
        <w:rPr>
          <w:rFonts w:ascii="Times New Roman" w:hAnsi="Times New Roman" w:cs="Times New Roman"/>
          <w:lang w:val="ro-MD"/>
        </w:rPr>
        <w:t>186</w:t>
      </w:r>
      <w:r w:rsidRPr="000508B6">
        <w:rPr>
          <w:rFonts w:ascii="Times New Roman" w:hAnsi="Times New Roman" w:cs="Times New Roman"/>
          <w:lang w:val="ro-MD"/>
        </w:rPr>
        <w:t xml:space="preserve"> alin.</w:t>
      </w:r>
      <w:r w:rsidR="00472236" w:rsidRPr="000508B6">
        <w:rPr>
          <w:rFonts w:ascii="Times New Roman" w:hAnsi="Times New Roman" w:cs="Times New Roman"/>
          <w:lang w:val="ro-MD"/>
        </w:rPr>
        <w:t xml:space="preserve"> </w:t>
      </w:r>
      <w:r w:rsidRPr="000508B6">
        <w:rPr>
          <w:rFonts w:ascii="Times New Roman" w:hAnsi="Times New Roman" w:cs="Times New Roman"/>
          <w:lang w:val="ro-MD"/>
        </w:rPr>
        <w:t>(</w:t>
      </w:r>
      <w:r w:rsidR="0076372A" w:rsidRPr="000508B6">
        <w:rPr>
          <w:rFonts w:ascii="Times New Roman" w:hAnsi="Times New Roman" w:cs="Times New Roman"/>
          <w:lang w:val="ro-MD"/>
        </w:rPr>
        <w:t>13</w:t>
      </w:r>
      <w:r w:rsidRPr="000508B6">
        <w:rPr>
          <w:rFonts w:ascii="Times New Roman" w:hAnsi="Times New Roman" w:cs="Times New Roman"/>
          <w:lang w:val="ro-MD"/>
        </w:rPr>
        <w:t>)</w:t>
      </w:r>
      <w:r w:rsidR="005E3FE3" w:rsidRPr="000508B6">
        <w:rPr>
          <w:rFonts w:ascii="Times New Roman" w:hAnsi="Times New Roman" w:cs="Times New Roman"/>
          <w:lang w:val="ro-MD"/>
        </w:rPr>
        <w:t xml:space="preserve"> și art.187 alin. (1</w:t>
      </w:r>
      <w:r w:rsidRPr="000508B6">
        <w:rPr>
          <w:rFonts w:ascii="Times New Roman" w:hAnsi="Times New Roman" w:cs="Times New Roman"/>
          <w:lang w:val="ro-MD"/>
        </w:rPr>
        <w:t>)</w:t>
      </w:r>
      <w:r w:rsidR="000B7445" w:rsidRPr="000508B6">
        <w:rPr>
          <w:rFonts w:ascii="Times New Roman" w:hAnsi="Times New Roman" w:cs="Times New Roman"/>
          <w:bCs/>
          <w:lang w:val="ro-MD"/>
        </w:rPr>
        <w:t>,</w:t>
      </w:r>
      <w:r w:rsidRPr="000508B6">
        <w:rPr>
          <w:rFonts w:ascii="Times New Roman" w:hAnsi="Times New Roman" w:cs="Times New Roman"/>
          <w:bCs/>
          <w:lang w:val="ro-MD"/>
        </w:rPr>
        <w:t xml:space="preserve"> indiferent dacă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0B7445" w:rsidRPr="000508B6">
        <w:rPr>
          <w:rFonts w:ascii="Times New Roman" w:hAnsi="Times New Roman" w:cs="Times New Roman"/>
          <w:bCs/>
          <w:lang w:val="ro-MD"/>
        </w:rPr>
        <w:t>,</w:t>
      </w:r>
      <w:r w:rsidRPr="000508B6">
        <w:rPr>
          <w:rFonts w:ascii="Times New Roman" w:hAnsi="Times New Roman" w:cs="Times New Roman"/>
          <w:bCs/>
          <w:lang w:val="ro-MD"/>
        </w:rPr>
        <w:t xml:space="preserve"> pentru care s-au instituit platformele re</w:t>
      </w:r>
      <w:r w:rsidR="00467C09" w:rsidRPr="000508B6">
        <w:rPr>
          <w:rFonts w:ascii="Times New Roman" w:hAnsi="Times New Roman" w:cs="Times New Roman"/>
          <w:bCs/>
          <w:lang w:val="ro-MD"/>
        </w:rPr>
        <w:t>s</w:t>
      </w:r>
      <w:r w:rsidRPr="000508B6">
        <w:rPr>
          <w:rFonts w:ascii="Times New Roman" w:hAnsi="Times New Roman" w:cs="Times New Roman"/>
          <w:bCs/>
          <w:lang w:val="ro-MD"/>
        </w:rPr>
        <w:t>pective</w:t>
      </w:r>
      <w:r w:rsidR="000B7445" w:rsidRPr="000508B6">
        <w:rPr>
          <w:rFonts w:ascii="Times New Roman" w:hAnsi="Times New Roman" w:cs="Times New Roman"/>
          <w:bCs/>
          <w:lang w:val="ro-MD"/>
        </w:rPr>
        <w:t>,</w:t>
      </w:r>
      <w:r w:rsidRPr="000508B6">
        <w:rPr>
          <w:rFonts w:ascii="Times New Roman" w:hAnsi="Times New Roman" w:cs="Times New Roman"/>
          <w:bCs/>
          <w:lang w:val="ro-MD"/>
        </w:rPr>
        <w:t xml:space="preserve"> desfășoară sau nu activități transfrontaliere semnificative în </w:t>
      </w:r>
      <w:r w:rsidR="000B7445" w:rsidRPr="000508B6">
        <w:rPr>
          <w:rFonts w:ascii="Times New Roman" w:hAnsi="Times New Roman" w:cs="Times New Roman"/>
          <w:bCs/>
          <w:lang w:val="ro-MD"/>
        </w:rPr>
        <w:t>Republica Moldova</w:t>
      </w:r>
      <w:r w:rsidRPr="000508B6">
        <w:rPr>
          <w:rFonts w:ascii="Times New Roman" w:hAnsi="Times New Roman" w:cs="Times New Roman"/>
          <w:bCs/>
          <w:lang w:val="ro-MD"/>
        </w:rPr>
        <w:t xml:space="preserve">. </w:t>
      </w:r>
      <w:bookmarkEnd w:id="182"/>
      <w:bookmarkEnd w:id="186"/>
    </w:p>
    <w:p w14:paraId="0B14A078" w14:textId="77777777" w:rsidR="00F74531" w:rsidRPr="000508B6" w:rsidRDefault="00F74531" w:rsidP="005E0A8D">
      <w:pPr>
        <w:spacing w:after="0" w:line="240" w:lineRule="auto"/>
        <w:ind w:firstLine="426"/>
        <w:jc w:val="both"/>
        <w:rPr>
          <w:rFonts w:ascii="Times New Roman" w:hAnsi="Times New Roman" w:cs="Times New Roman"/>
          <w:b/>
          <w:lang w:val="ro-MD"/>
        </w:rPr>
      </w:pPr>
    </w:p>
    <w:p w14:paraId="483A4755" w14:textId="060F1BAE" w:rsidR="008F68BF" w:rsidRPr="000508B6" w:rsidRDefault="005E0A8D" w:rsidP="005E0A8D">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Articolul 19</w:t>
      </w:r>
      <w:r w:rsidR="00CA2FAC" w:rsidRPr="000508B6">
        <w:rPr>
          <w:rFonts w:ascii="Times New Roman" w:hAnsi="Times New Roman" w:cs="Times New Roman"/>
          <w:b/>
          <w:lang w:val="ro-MD"/>
        </w:rPr>
        <w:t>1</w:t>
      </w:r>
      <w:r w:rsidRPr="000508B6">
        <w:rPr>
          <w:rFonts w:ascii="Times New Roman" w:hAnsi="Times New Roman" w:cs="Times New Roman"/>
          <w:b/>
          <w:lang w:val="ro-MD"/>
        </w:rPr>
        <w:t xml:space="preserve">. </w:t>
      </w:r>
      <w:r w:rsidRPr="000508B6">
        <w:rPr>
          <w:rFonts w:ascii="Times New Roman" w:hAnsi="Times New Roman" w:cs="Times New Roman"/>
          <w:lang w:val="ro-MD"/>
        </w:rPr>
        <w:t>Competențele Băncii Naționale a Moldovei în calitate de supraveghetor din statul membru gazdă</w:t>
      </w:r>
    </w:p>
    <w:p w14:paraId="650367E6" w14:textId="4EF985A5" w:rsidR="005E0A8D" w:rsidRPr="000508B6" w:rsidRDefault="005E0A8D" w:rsidP="00CF5AFA">
      <w:pPr>
        <w:pStyle w:val="Listparagraf"/>
        <w:numPr>
          <w:ilvl w:val="0"/>
          <w:numId w:val="415"/>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activitatea desfășurată de </w:t>
      </w:r>
      <w:r w:rsidR="00F628A1" w:rsidRPr="000508B6">
        <w:rPr>
          <w:rFonts w:ascii="Times New Roman" w:hAnsi="Times New Roman" w:cs="Times New Roman"/>
          <w:bCs/>
          <w:lang w:val="ro-MD"/>
        </w:rPr>
        <w:t xml:space="preserve">un asigurător sau </w:t>
      </w:r>
      <w:proofErr w:type="spellStart"/>
      <w:r w:rsidR="00F628A1"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 xml:space="preserve"> din</w:t>
      </w:r>
      <w:r w:rsidR="00F628A1" w:rsidRPr="000508B6">
        <w:rPr>
          <w:rFonts w:ascii="Times New Roman" w:hAnsi="Times New Roman" w:cs="Times New Roman"/>
          <w:bCs/>
          <w:lang w:val="ro-MD"/>
        </w:rPr>
        <w:t>tr-un</w:t>
      </w:r>
      <w:r w:rsidRPr="000508B6">
        <w:rPr>
          <w:rFonts w:ascii="Times New Roman" w:hAnsi="Times New Roman" w:cs="Times New Roman"/>
          <w:bCs/>
          <w:lang w:val="ro-MD"/>
        </w:rPr>
        <w:t xml:space="preserve"> stat membru pe teritoriul Republicii Moldova este activitate transfrontalieră semnificativă în sensul art. </w:t>
      </w:r>
      <w:r w:rsidR="00870A28" w:rsidRPr="000508B6">
        <w:rPr>
          <w:rFonts w:ascii="Times New Roman" w:hAnsi="Times New Roman" w:cs="Times New Roman"/>
          <w:bCs/>
          <w:lang w:val="ro-MD"/>
        </w:rPr>
        <w:t>190</w:t>
      </w:r>
      <w:r w:rsidRPr="000508B6">
        <w:rPr>
          <w:rFonts w:ascii="Times New Roman" w:hAnsi="Times New Roman" w:cs="Times New Roman"/>
          <w:bCs/>
          <w:lang w:val="ro-MD"/>
        </w:rPr>
        <w:t xml:space="preserve"> alin. (1) lit.</w:t>
      </w:r>
      <w:r w:rsidR="00472236"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b), Banca Națională a Moldovei informează supraveghetorul din statul membru </w:t>
      </w:r>
      <w:r w:rsidR="00536A1E" w:rsidRPr="000508B6">
        <w:rPr>
          <w:rFonts w:ascii="Times New Roman" w:hAnsi="Times New Roman" w:cs="Times New Roman"/>
          <w:bCs/>
          <w:lang w:val="ro-MD"/>
        </w:rPr>
        <w:t>de origine</w:t>
      </w:r>
      <w:r w:rsidRPr="000508B6">
        <w:rPr>
          <w:rFonts w:ascii="Times New Roman" w:hAnsi="Times New Roman" w:cs="Times New Roman"/>
          <w:bCs/>
          <w:lang w:val="ro-MD"/>
        </w:rPr>
        <w:t>, precizând motivele care au condus la concluzia respectivă.</w:t>
      </w:r>
    </w:p>
    <w:p w14:paraId="4EB5DD96" w14:textId="7CF49B5F" w:rsidR="005E0A8D" w:rsidRPr="000508B6" w:rsidRDefault="005E0A8D" w:rsidP="00CF5AFA">
      <w:pPr>
        <w:pStyle w:val="Listparagraf"/>
        <w:numPr>
          <w:ilvl w:val="0"/>
          <w:numId w:val="415"/>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lastRenderedPageBreak/>
        <w:t xml:space="preserve"> </w:t>
      </w:r>
      <w:r w:rsidRPr="000508B6">
        <w:rPr>
          <w:rFonts w:ascii="Times New Roman" w:hAnsi="Times New Roman" w:cs="Times New Roman"/>
          <w:lang w:val="ro-MD"/>
        </w:rPr>
        <w:t xml:space="preserve">În cazul </w:t>
      </w:r>
      <w:r w:rsidR="00864AFD" w:rsidRPr="000508B6">
        <w:rPr>
          <w:rFonts w:ascii="Times New Roman" w:hAnsi="Times New Roman" w:cs="Times New Roman"/>
          <w:lang w:val="ro-MD"/>
        </w:rPr>
        <w:t xml:space="preserve">în care, urmarea a </w:t>
      </w:r>
      <w:bookmarkStart w:id="187" w:name="_Hlk206336141"/>
      <w:r w:rsidR="00864AFD" w:rsidRPr="000508B6">
        <w:rPr>
          <w:rFonts w:ascii="Times New Roman" w:hAnsi="Times New Roman" w:cs="Times New Roman"/>
          <w:lang w:val="ro-MD"/>
        </w:rPr>
        <w:t xml:space="preserve">notificării transmise potrivit alin. (1) </w:t>
      </w:r>
      <w:bookmarkEnd w:id="187"/>
      <w:r w:rsidRPr="000508B6">
        <w:rPr>
          <w:rFonts w:ascii="Times New Roman" w:hAnsi="Times New Roman" w:cs="Times New Roman"/>
          <w:lang w:val="ro-MD"/>
        </w:rPr>
        <w:t>supraveghetorul din statul membru de origine</w:t>
      </w:r>
      <w:r w:rsidR="00864AFD" w:rsidRPr="000508B6">
        <w:rPr>
          <w:rFonts w:ascii="Times New Roman" w:hAnsi="Times New Roman" w:cs="Times New Roman"/>
          <w:lang w:val="ro-MD"/>
        </w:rPr>
        <w:t xml:space="preserve"> nu este de acord cu concluzia </w:t>
      </w:r>
      <w:bookmarkStart w:id="188" w:name="_Hlk206336111"/>
      <w:r w:rsidR="00864AFD" w:rsidRPr="000508B6">
        <w:rPr>
          <w:rFonts w:ascii="Times New Roman" w:hAnsi="Times New Roman" w:cs="Times New Roman"/>
          <w:lang w:val="ro-MD"/>
        </w:rPr>
        <w:t>Băncii Naționale a Moldovei</w:t>
      </w:r>
      <w:bookmarkEnd w:id="188"/>
      <w:r w:rsidRPr="000508B6">
        <w:rPr>
          <w:rFonts w:ascii="Times New Roman" w:hAnsi="Times New Roman" w:cs="Times New Roman"/>
          <w:lang w:val="ro-MD"/>
        </w:rPr>
        <w:t xml:space="preserve">, </w:t>
      </w:r>
      <w:r w:rsidR="00BF71C5" w:rsidRPr="000508B6">
        <w:rPr>
          <w:rFonts w:ascii="Times New Roman" w:hAnsi="Times New Roman" w:cs="Times New Roman"/>
          <w:lang w:val="ro-MD"/>
        </w:rPr>
        <w:t xml:space="preserve">aceasta </w:t>
      </w:r>
      <w:r w:rsidRPr="000508B6">
        <w:rPr>
          <w:rFonts w:ascii="Times New Roman" w:hAnsi="Times New Roman" w:cs="Times New Roman"/>
          <w:lang w:val="ro-MD"/>
        </w:rPr>
        <w:t>poate sesiza EIOPA și îi poate solicita asistență</w:t>
      </w:r>
      <w:r w:rsidRPr="000508B6">
        <w:rPr>
          <w:rFonts w:ascii="Times New Roman" w:hAnsi="Times New Roman" w:cs="Times New Roman"/>
          <w:bCs/>
          <w:lang w:val="ro-MD"/>
        </w:rPr>
        <w:t xml:space="preserve">. </w:t>
      </w:r>
    </w:p>
    <w:p w14:paraId="3202A713" w14:textId="114BBEAE" w:rsidR="005E0A8D" w:rsidRPr="000508B6" w:rsidRDefault="005E0A8D" w:rsidP="00CF5AFA">
      <w:pPr>
        <w:pStyle w:val="Listparagraf"/>
        <w:numPr>
          <w:ilvl w:val="0"/>
          <w:numId w:val="41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 xml:space="preserve">În cazul </w:t>
      </w:r>
      <w:r w:rsidR="00CD2237" w:rsidRPr="000508B6">
        <w:rPr>
          <w:rFonts w:ascii="Times New Roman" w:hAnsi="Times New Roman" w:cs="Times New Roman"/>
          <w:bCs/>
          <w:lang w:val="ro-MD"/>
        </w:rPr>
        <w:t>unor activități transfrontaliere semnificative</w:t>
      </w:r>
      <w:r w:rsidR="00864AFD" w:rsidRPr="000508B6">
        <w:rPr>
          <w:rFonts w:ascii="Times New Roman" w:hAnsi="Times New Roman" w:cs="Times New Roman"/>
          <w:bCs/>
          <w:lang w:val="ro-MD"/>
        </w:rPr>
        <w:t xml:space="preserve">, Banca Națională a Moldovei </w:t>
      </w:r>
      <w:r w:rsidRPr="000508B6">
        <w:rPr>
          <w:rFonts w:ascii="Times New Roman" w:hAnsi="Times New Roman" w:cs="Times New Roman"/>
          <w:bCs/>
          <w:lang w:val="ro-MD"/>
        </w:rPr>
        <w:t xml:space="preserve">cooperează cu </w:t>
      </w:r>
      <w:r w:rsidR="00CD2237" w:rsidRPr="000508B6">
        <w:rPr>
          <w:rFonts w:ascii="Times New Roman" w:hAnsi="Times New Roman" w:cs="Times New Roman"/>
          <w:bCs/>
          <w:lang w:val="ro-MD"/>
        </w:rPr>
        <w:t xml:space="preserve">supraveghetorul din statul membru </w:t>
      </w:r>
      <w:r w:rsidR="00771FFC" w:rsidRPr="000508B6">
        <w:rPr>
          <w:rFonts w:ascii="Times New Roman" w:hAnsi="Times New Roman" w:cs="Times New Roman"/>
          <w:bCs/>
          <w:lang w:val="ro-MD"/>
        </w:rPr>
        <w:t>de origine</w:t>
      </w:r>
      <w:r w:rsidR="00CD2237"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pentru a determina dacă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înțelege în mod clar riscurile cu care se confruntă sau cu care se poate confrunta în </w:t>
      </w:r>
      <w:r w:rsidR="00864AFD" w:rsidRPr="000508B6">
        <w:rPr>
          <w:rFonts w:ascii="Times New Roman" w:hAnsi="Times New Roman" w:cs="Times New Roman"/>
          <w:bCs/>
          <w:lang w:val="ro-MD"/>
        </w:rPr>
        <w:t>Republica Moldova</w:t>
      </w:r>
      <w:r w:rsidRPr="000508B6">
        <w:rPr>
          <w:rFonts w:ascii="Times New Roman" w:hAnsi="Times New Roman" w:cs="Times New Roman"/>
          <w:bCs/>
          <w:lang w:val="ro-MD"/>
        </w:rPr>
        <w:t xml:space="preserve"> și le tratează adecvat în managementul riscului</w:t>
      </w:r>
      <w:r w:rsidR="00B21424" w:rsidRPr="000508B6">
        <w:rPr>
          <w:rFonts w:ascii="Times New Roman" w:hAnsi="Times New Roman" w:cs="Times New Roman"/>
          <w:bCs/>
          <w:lang w:val="ro-MD"/>
        </w:rPr>
        <w:t>.</w:t>
      </w:r>
    </w:p>
    <w:p w14:paraId="022D84C8" w14:textId="1A2D169B" w:rsidR="004028E8" w:rsidRPr="000508B6" w:rsidRDefault="004028E8" w:rsidP="00771FFC">
      <w:pPr>
        <w:pStyle w:val="Listparagraf"/>
        <w:numPr>
          <w:ilvl w:val="0"/>
          <w:numId w:val="41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bCs/>
          <w:lang w:val="ro-MD"/>
        </w:rPr>
        <w:t>Cooperarea prevăzută la alin. (3) este proporțională cu riscurile pe care le implică activitățile transfrontaliere semnificative și acoperă cel puțin aspectele prevăzute la art.19</w:t>
      </w:r>
      <w:r w:rsidR="00270B34" w:rsidRPr="000508B6">
        <w:rPr>
          <w:rFonts w:ascii="Times New Roman" w:hAnsi="Times New Roman" w:cs="Times New Roman"/>
          <w:bCs/>
          <w:lang w:val="ro-MD"/>
        </w:rPr>
        <w:t>3</w:t>
      </w:r>
      <w:r w:rsidRPr="000508B6">
        <w:rPr>
          <w:rFonts w:ascii="Times New Roman" w:hAnsi="Times New Roman" w:cs="Times New Roman"/>
          <w:bCs/>
          <w:lang w:val="ro-MD"/>
        </w:rPr>
        <w:t xml:space="preserve"> alin. (5).</w:t>
      </w:r>
      <w:r w:rsidRPr="000508B6">
        <w:rPr>
          <w:rFonts w:ascii="Times New Roman" w:hAnsi="Times New Roman" w:cs="Times New Roman"/>
          <w:lang w:val="ro-MD"/>
        </w:rPr>
        <w:t xml:space="preserve"> </w:t>
      </w:r>
    </w:p>
    <w:p w14:paraId="282A2062" w14:textId="46B275DF" w:rsidR="005E0A8D" w:rsidRPr="000508B6" w:rsidRDefault="005E0A8D" w:rsidP="00CF5AFA">
      <w:pPr>
        <w:pStyle w:val="Listparagraf"/>
        <w:numPr>
          <w:ilvl w:val="0"/>
          <w:numId w:val="415"/>
        </w:numPr>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  Banca Națională a Moldovei </w:t>
      </w:r>
      <w:r w:rsidR="00CD557F" w:rsidRPr="000508B6">
        <w:rPr>
          <w:rFonts w:ascii="Times New Roman" w:hAnsi="Times New Roman" w:cs="Times New Roman"/>
          <w:bCs/>
          <w:lang w:val="ro-MD"/>
        </w:rPr>
        <w:t xml:space="preserve">poate solicita </w:t>
      </w:r>
      <w:r w:rsidRPr="000508B6">
        <w:rPr>
          <w:rFonts w:ascii="Times New Roman" w:hAnsi="Times New Roman" w:cs="Times New Roman"/>
          <w:bCs/>
          <w:lang w:val="ro-MD"/>
        </w:rPr>
        <w:t xml:space="preserve">supraveghetorului din statul membru </w:t>
      </w:r>
      <w:r w:rsidR="00CD557F" w:rsidRPr="000508B6">
        <w:rPr>
          <w:rFonts w:ascii="Times New Roman" w:hAnsi="Times New Roman" w:cs="Times New Roman"/>
          <w:bCs/>
          <w:lang w:val="ro-MD"/>
        </w:rPr>
        <w:t>de origine pentru</w:t>
      </w:r>
      <w:r w:rsidRPr="000508B6">
        <w:rPr>
          <w:rFonts w:ascii="Times New Roman" w:hAnsi="Times New Roman" w:cs="Times New Roman"/>
          <w:bCs/>
          <w:lang w:val="ro-MD"/>
        </w:rPr>
        <w:t xml:space="preserve">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00CD557F" w:rsidRPr="000508B6">
        <w:rPr>
          <w:rFonts w:ascii="Times New Roman" w:hAnsi="Times New Roman" w:cs="Times New Roman"/>
          <w:bCs/>
          <w:lang w:val="ro-MD"/>
        </w:rPr>
        <w:t xml:space="preserve"> care desfășoară activități transfrontaliere semnificative în Republica Moldova să transmită </w:t>
      </w:r>
      <w:r w:rsidR="004008D3" w:rsidRPr="000508B6">
        <w:rPr>
          <w:rFonts w:ascii="Times New Roman" w:hAnsi="Times New Roman" w:cs="Times New Roman"/>
          <w:bCs/>
          <w:lang w:val="ro-MD"/>
        </w:rPr>
        <w:t>într-un interval mai redus de un an</w:t>
      </w:r>
      <w:r w:rsidRPr="000508B6">
        <w:rPr>
          <w:rFonts w:ascii="Times New Roman" w:hAnsi="Times New Roman" w:cs="Times New Roman"/>
          <w:bCs/>
          <w:lang w:val="ro-MD"/>
        </w:rPr>
        <w:t xml:space="preserve"> următoarele informații:</w:t>
      </w:r>
    </w:p>
    <w:p w14:paraId="73292099" w14:textId="4760CAA5" w:rsidR="005E0A8D" w:rsidRPr="000508B6" w:rsidRDefault="005E0A8D" w:rsidP="00230ADD">
      <w:pPr>
        <w:pStyle w:val="Listparagraf"/>
        <w:numPr>
          <w:ilvl w:val="0"/>
          <w:numId w:val="472"/>
        </w:numPr>
        <w:tabs>
          <w:tab w:val="left" w:pos="851"/>
        </w:tabs>
        <w:spacing w:after="0" w:line="240" w:lineRule="auto"/>
        <w:ind w:left="0" w:firstLine="284"/>
        <w:jc w:val="both"/>
        <w:rPr>
          <w:rFonts w:ascii="Times New Roman" w:hAnsi="Times New Roman" w:cs="Times New Roman"/>
          <w:bCs/>
          <w:lang w:val="ro-MD"/>
        </w:rPr>
      </w:pPr>
      <w:r w:rsidRPr="000508B6">
        <w:rPr>
          <w:rFonts w:ascii="Times New Roman" w:hAnsi="Times New Roman" w:cs="Times New Roman"/>
          <w:bCs/>
          <w:lang w:val="ro-MD"/>
        </w:rPr>
        <w:t xml:space="preserve">SCR și MCR, astfel cum au fost raportate de </w:t>
      </w:r>
      <w:r w:rsidR="00D67D8F" w:rsidRPr="000508B6">
        <w:rPr>
          <w:rFonts w:ascii="Times New Roman" w:hAnsi="Times New Roman" w:cs="Times New Roman"/>
          <w:bCs/>
          <w:lang w:val="ro-MD"/>
        </w:rPr>
        <w:t xml:space="preserve">asigurător sau </w:t>
      </w:r>
      <w:proofErr w:type="spellStart"/>
      <w:r w:rsidR="00D67D8F"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w:t>
      </w:r>
    </w:p>
    <w:p w14:paraId="0BD474FD" w14:textId="674B0597" w:rsidR="005E0A8D" w:rsidRPr="000508B6" w:rsidRDefault="005E0A8D" w:rsidP="00230ADD">
      <w:pPr>
        <w:pStyle w:val="Listparagraf"/>
        <w:numPr>
          <w:ilvl w:val="0"/>
          <w:numId w:val="472"/>
        </w:numPr>
        <w:tabs>
          <w:tab w:val="left" w:pos="851"/>
        </w:tabs>
        <w:spacing w:after="0" w:line="240" w:lineRule="auto"/>
        <w:ind w:left="0" w:firstLine="284"/>
        <w:jc w:val="both"/>
        <w:rPr>
          <w:rFonts w:ascii="Times New Roman" w:hAnsi="Times New Roman" w:cs="Times New Roman"/>
          <w:bCs/>
          <w:lang w:val="ro-MD"/>
        </w:rPr>
      </w:pPr>
      <w:r w:rsidRPr="000508B6">
        <w:rPr>
          <w:rFonts w:ascii="Times New Roman" w:hAnsi="Times New Roman" w:cs="Times New Roman"/>
          <w:bCs/>
          <w:lang w:val="ro-MD"/>
        </w:rPr>
        <w:t xml:space="preserve">valorile fondurilor proprii eligibile pentru acoperirea SCR și, respectiv, a MCR, astfel cum au fost raportate de </w:t>
      </w:r>
      <w:r w:rsidR="00027D46" w:rsidRPr="000508B6">
        <w:rPr>
          <w:rFonts w:ascii="Times New Roman" w:hAnsi="Times New Roman" w:cs="Times New Roman"/>
          <w:bCs/>
          <w:lang w:val="ro-MD"/>
        </w:rPr>
        <w:t xml:space="preserve">asigurător sau </w:t>
      </w:r>
      <w:proofErr w:type="spellStart"/>
      <w:r w:rsidR="00027D46" w:rsidRPr="000508B6">
        <w:rPr>
          <w:rFonts w:ascii="Times New Roman" w:hAnsi="Times New Roman" w:cs="Times New Roman"/>
          <w:bCs/>
          <w:lang w:val="ro-MD"/>
        </w:rPr>
        <w:t>reasigurător</w:t>
      </w:r>
      <w:proofErr w:type="spellEnd"/>
      <w:r w:rsidRPr="000508B6">
        <w:rPr>
          <w:rFonts w:ascii="Times New Roman" w:hAnsi="Times New Roman" w:cs="Times New Roman"/>
          <w:bCs/>
          <w:lang w:val="ro-MD"/>
        </w:rPr>
        <w:t>;</w:t>
      </w:r>
    </w:p>
    <w:p w14:paraId="7098B47F" w14:textId="26A4C52D" w:rsidR="005E0A8D" w:rsidRPr="000508B6" w:rsidRDefault="003941A9" w:rsidP="00230ADD">
      <w:pPr>
        <w:pStyle w:val="Listparagraf"/>
        <w:numPr>
          <w:ilvl w:val="0"/>
          <w:numId w:val="472"/>
        </w:numPr>
        <w:tabs>
          <w:tab w:val="left" w:pos="851"/>
        </w:tabs>
        <w:spacing w:after="0" w:line="240" w:lineRule="auto"/>
        <w:ind w:left="0" w:firstLine="284"/>
        <w:jc w:val="both"/>
        <w:rPr>
          <w:rFonts w:ascii="Times New Roman" w:hAnsi="Times New Roman" w:cs="Times New Roman"/>
          <w:bCs/>
          <w:lang w:val="ro-MD"/>
        </w:rPr>
      </w:pPr>
      <w:r w:rsidRPr="000508B6">
        <w:rPr>
          <w:rFonts w:ascii="Times New Roman" w:hAnsi="Times New Roman" w:cs="Times New Roman"/>
          <w:bCs/>
          <w:lang w:val="ro-MD"/>
        </w:rPr>
        <w:t xml:space="preserve">dacă este cazul, </w:t>
      </w:r>
      <w:r w:rsidR="00CD557F" w:rsidRPr="000508B6">
        <w:rPr>
          <w:rFonts w:ascii="Times New Roman" w:hAnsi="Times New Roman" w:cs="Times New Roman"/>
          <w:bCs/>
          <w:lang w:val="ro-MD"/>
        </w:rPr>
        <w:t>informații despre</w:t>
      </w:r>
      <w:r w:rsidR="005E0A8D" w:rsidRPr="000508B6">
        <w:rPr>
          <w:rFonts w:ascii="Times New Roman" w:hAnsi="Times New Roman" w:cs="Times New Roman"/>
          <w:bCs/>
          <w:lang w:val="ro-MD"/>
        </w:rPr>
        <w:t xml:space="preserve"> deficiențe</w:t>
      </w:r>
      <w:r w:rsidRPr="000508B6">
        <w:rPr>
          <w:rFonts w:ascii="Times New Roman" w:hAnsi="Times New Roman" w:cs="Times New Roman"/>
          <w:bCs/>
          <w:lang w:val="ro-MD"/>
        </w:rPr>
        <w:t>le</w:t>
      </w:r>
      <w:r w:rsidR="005E0A8D" w:rsidRPr="000508B6">
        <w:rPr>
          <w:rFonts w:ascii="Times New Roman" w:hAnsi="Times New Roman" w:cs="Times New Roman"/>
          <w:bCs/>
          <w:lang w:val="ro-MD"/>
        </w:rPr>
        <w:t xml:space="preserve"> cu privire la calcularea de către </w:t>
      </w:r>
      <w:r w:rsidR="00027D46" w:rsidRPr="000508B6">
        <w:rPr>
          <w:rFonts w:ascii="Times New Roman" w:hAnsi="Times New Roman" w:cs="Times New Roman"/>
          <w:bCs/>
          <w:lang w:val="ro-MD"/>
        </w:rPr>
        <w:t xml:space="preserve">asigurător sau </w:t>
      </w:r>
      <w:proofErr w:type="spellStart"/>
      <w:r w:rsidR="00027D46" w:rsidRPr="000508B6">
        <w:rPr>
          <w:rFonts w:ascii="Times New Roman" w:hAnsi="Times New Roman" w:cs="Times New Roman"/>
          <w:bCs/>
          <w:lang w:val="ro-MD"/>
        </w:rPr>
        <w:t>reasigurător</w:t>
      </w:r>
      <w:proofErr w:type="spellEnd"/>
      <w:r w:rsidR="00027D46" w:rsidRPr="000508B6">
        <w:rPr>
          <w:rFonts w:ascii="Times New Roman" w:hAnsi="Times New Roman" w:cs="Times New Roman"/>
          <w:bCs/>
          <w:lang w:val="ro-MD"/>
        </w:rPr>
        <w:t xml:space="preserve"> </w:t>
      </w:r>
      <w:r w:rsidR="005E0A8D" w:rsidRPr="000508B6">
        <w:rPr>
          <w:rFonts w:ascii="Times New Roman" w:hAnsi="Times New Roman" w:cs="Times New Roman"/>
          <w:bCs/>
          <w:lang w:val="ro-MD"/>
        </w:rPr>
        <w:t>a rezervelor tehnice, precum și cu privire la elementele menționate la lit. a) și b).</w:t>
      </w:r>
      <w:r w:rsidR="005E0A8D" w:rsidRPr="000508B6">
        <w:rPr>
          <w:rFonts w:ascii="Times New Roman" w:hAnsi="Times New Roman" w:cs="Times New Roman"/>
          <w:lang w:val="ro-MD"/>
        </w:rPr>
        <w:t xml:space="preserve"> </w:t>
      </w:r>
    </w:p>
    <w:p w14:paraId="25185590" w14:textId="5F5DA58C" w:rsidR="005E0A8D" w:rsidRPr="000508B6" w:rsidRDefault="004028E8" w:rsidP="00230ADD">
      <w:pPr>
        <w:pStyle w:val="Listparagraf"/>
        <w:numPr>
          <w:ilvl w:val="0"/>
          <w:numId w:val="415"/>
        </w:numPr>
        <w:spacing w:after="0" w:line="240" w:lineRule="auto"/>
        <w:ind w:left="0" w:firstLine="284"/>
        <w:jc w:val="both"/>
        <w:rPr>
          <w:rFonts w:ascii="Times New Roman" w:hAnsi="Times New Roman" w:cs="Times New Roman"/>
          <w:bCs/>
          <w:lang w:val="ro-MD"/>
        </w:rPr>
      </w:pPr>
      <w:r w:rsidRPr="000508B6">
        <w:rPr>
          <w:rFonts w:ascii="Times New Roman" w:hAnsi="Times New Roman" w:cs="Times New Roman"/>
          <w:bCs/>
          <w:lang w:val="ro-MD"/>
        </w:rPr>
        <w:t xml:space="preserve">Atunci </w:t>
      </w:r>
      <w:r w:rsidR="00472236" w:rsidRPr="000508B6">
        <w:rPr>
          <w:rFonts w:ascii="Times New Roman" w:hAnsi="Times New Roman" w:cs="Times New Roman"/>
          <w:bCs/>
          <w:lang w:val="ro-MD"/>
        </w:rPr>
        <w:t>când</w:t>
      </w:r>
      <w:r w:rsidRPr="000508B6">
        <w:rPr>
          <w:rFonts w:ascii="Times New Roman" w:hAnsi="Times New Roman" w:cs="Times New Roman"/>
          <w:bCs/>
          <w:lang w:val="ro-MD"/>
        </w:rPr>
        <w:t xml:space="preserve"> consideră necesar, </w:t>
      </w:r>
      <w:r w:rsidR="005E0A8D" w:rsidRPr="000508B6">
        <w:rPr>
          <w:rFonts w:ascii="Times New Roman" w:hAnsi="Times New Roman" w:cs="Times New Roman"/>
          <w:bCs/>
          <w:lang w:val="ro-MD"/>
        </w:rPr>
        <w:t xml:space="preserve">Banca Națională a Moldovei </w:t>
      </w:r>
      <w:r w:rsidRPr="000508B6">
        <w:rPr>
          <w:rFonts w:ascii="Times New Roman" w:hAnsi="Times New Roman" w:cs="Times New Roman"/>
          <w:bCs/>
          <w:lang w:val="ro-MD"/>
        </w:rPr>
        <w:t xml:space="preserve">poate solicita supraveghetorului din statul membru de origine, pe </w:t>
      </w:r>
      <w:proofErr w:type="spellStart"/>
      <w:r w:rsidRPr="000508B6">
        <w:rPr>
          <w:rFonts w:ascii="Times New Roman" w:hAnsi="Times New Roman" w:cs="Times New Roman"/>
          <w:bCs/>
          <w:lang w:val="ro-MD"/>
        </w:rPr>
        <w:t>lîngă</w:t>
      </w:r>
      <w:proofErr w:type="spellEnd"/>
      <w:r w:rsidRPr="000508B6">
        <w:rPr>
          <w:rFonts w:ascii="Times New Roman" w:hAnsi="Times New Roman" w:cs="Times New Roman"/>
          <w:bCs/>
          <w:lang w:val="ro-MD"/>
        </w:rPr>
        <w:t xml:space="preserve"> informațiile prevăzute la alin. (5) sau, </w:t>
      </w:r>
      <w:r w:rsidR="005E0A8D" w:rsidRPr="000508B6">
        <w:rPr>
          <w:rFonts w:ascii="Times New Roman" w:hAnsi="Times New Roman" w:cs="Times New Roman"/>
          <w:bCs/>
          <w:lang w:val="ro-MD"/>
        </w:rPr>
        <w:t xml:space="preserve">informații </w:t>
      </w:r>
      <w:r w:rsidRPr="000508B6">
        <w:rPr>
          <w:rFonts w:ascii="Times New Roman" w:hAnsi="Times New Roman" w:cs="Times New Roman"/>
          <w:bCs/>
          <w:lang w:val="ro-MD"/>
        </w:rPr>
        <w:t xml:space="preserve">suplimentare </w:t>
      </w:r>
      <w:r w:rsidR="005E0A8D" w:rsidRPr="000508B6">
        <w:rPr>
          <w:rFonts w:ascii="Times New Roman" w:hAnsi="Times New Roman" w:cs="Times New Roman"/>
          <w:bCs/>
          <w:lang w:val="ro-MD"/>
        </w:rPr>
        <w:t>aferente</w:t>
      </w:r>
      <w:r w:rsidRPr="000508B6">
        <w:rPr>
          <w:rFonts w:ascii="Times New Roman" w:hAnsi="Times New Roman" w:cs="Times New Roman"/>
          <w:bCs/>
          <w:lang w:val="ro-MD"/>
        </w:rPr>
        <w:t xml:space="preserve"> </w:t>
      </w:r>
      <w:r w:rsidR="005E0A8D" w:rsidRPr="000508B6">
        <w:rPr>
          <w:rFonts w:ascii="Times New Roman" w:hAnsi="Times New Roman" w:cs="Times New Roman"/>
          <w:bCs/>
          <w:lang w:val="ro-MD"/>
        </w:rPr>
        <w:t xml:space="preserve">solvabilității, sistemului de guvernanță sau modelului de afaceri al </w:t>
      </w:r>
      <w:r w:rsidR="004125E8" w:rsidRPr="000508B6">
        <w:rPr>
          <w:rFonts w:ascii="Times New Roman" w:hAnsi="Times New Roman" w:cs="Times New Roman"/>
          <w:bCs/>
          <w:lang w:val="ro-MD"/>
        </w:rPr>
        <w:t xml:space="preserve">asigurătorului sau </w:t>
      </w:r>
      <w:proofErr w:type="spellStart"/>
      <w:r w:rsidR="004125E8" w:rsidRPr="000508B6">
        <w:rPr>
          <w:rFonts w:ascii="Times New Roman" w:hAnsi="Times New Roman" w:cs="Times New Roman"/>
          <w:bCs/>
          <w:lang w:val="ro-MD"/>
        </w:rPr>
        <w:t>reasigurătorului</w:t>
      </w:r>
      <w:proofErr w:type="spellEnd"/>
      <w:r w:rsidR="005E0A8D" w:rsidRPr="000508B6">
        <w:rPr>
          <w:rFonts w:ascii="Times New Roman" w:hAnsi="Times New Roman" w:cs="Times New Roman"/>
          <w:bCs/>
          <w:lang w:val="ro-MD"/>
        </w:rPr>
        <w:t xml:space="preserve"> care desfășoară activități transfrontaliere semnificative în </w:t>
      </w:r>
      <w:r w:rsidRPr="000508B6">
        <w:rPr>
          <w:rFonts w:ascii="Times New Roman" w:hAnsi="Times New Roman" w:cs="Times New Roman"/>
          <w:bCs/>
          <w:lang w:val="ro-MD"/>
        </w:rPr>
        <w:t>Republica Moldova.</w:t>
      </w:r>
      <w:r w:rsidR="005E0A8D" w:rsidRPr="000508B6">
        <w:rPr>
          <w:rFonts w:ascii="Times New Roman" w:hAnsi="Times New Roman" w:cs="Times New Roman"/>
          <w:lang w:val="ro-MD"/>
        </w:rPr>
        <w:t xml:space="preserve"> </w:t>
      </w:r>
    </w:p>
    <w:p w14:paraId="31973767" w14:textId="280D0484" w:rsidR="005E0A8D" w:rsidRPr="000508B6" w:rsidRDefault="005E0A8D" w:rsidP="006C7C32">
      <w:pPr>
        <w:pStyle w:val="Listparagraf"/>
        <w:numPr>
          <w:ilvl w:val="0"/>
          <w:numId w:val="415"/>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w:t>
      </w:r>
      <w:r w:rsidR="004028E8" w:rsidRPr="000508B6">
        <w:rPr>
          <w:rFonts w:ascii="Times New Roman" w:hAnsi="Times New Roman" w:cs="Times New Roman"/>
          <w:bCs/>
          <w:lang w:val="ro-MD"/>
        </w:rPr>
        <w:t>nu primește</w:t>
      </w:r>
      <w:r w:rsidRPr="000508B6">
        <w:rPr>
          <w:rFonts w:ascii="Times New Roman" w:hAnsi="Times New Roman" w:cs="Times New Roman"/>
          <w:bCs/>
          <w:lang w:val="ro-MD"/>
        </w:rPr>
        <w:t xml:space="preserve"> de la </w:t>
      </w:r>
      <w:bookmarkStart w:id="189" w:name="_Hlk206337953"/>
      <w:r w:rsidRPr="000508B6">
        <w:rPr>
          <w:rFonts w:ascii="Times New Roman" w:hAnsi="Times New Roman" w:cs="Times New Roman"/>
          <w:bCs/>
          <w:lang w:val="ro-MD"/>
        </w:rPr>
        <w:t xml:space="preserve">supraveghetorul din statul membru </w:t>
      </w:r>
      <w:r w:rsidR="004028E8" w:rsidRPr="000508B6">
        <w:rPr>
          <w:rFonts w:ascii="Times New Roman" w:hAnsi="Times New Roman" w:cs="Times New Roman"/>
          <w:bCs/>
          <w:lang w:val="ro-MD"/>
        </w:rPr>
        <w:t>de origine</w:t>
      </w:r>
      <w:bookmarkEnd w:id="189"/>
      <w:r w:rsidRPr="000508B6">
        <w:rPr>
          <w:rFonts w:ascii="Times New Roman" w:hAnsi="Times New Roman" w:cs="Times New Roman"/>
          <w:bCs/>
          <w:lang w:val="ro-MD"/>
        </w:rPr>
        <w:t xml:space="preserve"> </w:t>
      </w:r>
      <w:r w:rsidR="004028E8" w:rsidRPr="000508B6">
        <w:rPr>
          <w:rFonts w:ascii="Times New Roman" w:hAnsi="Times New Roman" w:cs="Times New Roman"/>
          <w:bCs/>
          <w:lang w:val="ro-MD"/>
        </w:rPr>
        <w:t>informațiile solicitate conform alin. (5) și (6), Banca Națională a Moldovei poate sesiza EIOPA și poate solicita asistență acesteia</w:t>
      </w:r>
      <w:r w:rsidR="00400045" w:rsidRPr="000508B6">
        <w:rPr>
          <w:rFonts w:ascii="Times New Roman" w:hAnsi="Times New Roman" w:cs="Times New Roman"/>
          <w:bCs/>
          <w:lang w:val="ro-MD"/>
        </w:rPr>
        <w:t>.</w:t>
      </w:r>
      <w:r w:rsidRPr="000508B6">
        <w:rPr>
          <w:rFonts w:ascii="Times New Roman" w:hAnsi="Times New Roman" w:cs="Times New Roman"/>
          <w:lang w:val="ro-MD"/>
        </w:rPr>
        <w:t xml:space="preserve"> </w:t>
      </w:r>
    </w:p>
    <w:p w14:paraId="39D1788C" w14:textId="339101A7" w:rsidR="00D940E1" w:rsidRPr="000508B6" w:rsidRDefault="00D940E1" w:rsidP="00230ADD">
      <w:pPr>
        <w:pStyle w:val="Listparagraf"/>
        <w:numPr>
          <w:ilvl w:val="0"/>
          <w:numId w:val="415"/>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în urma analizei informațiilor prevăzute la alin. (5) și (6), constată că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care desfășoară activități transfrontaliere semnificative în Republica Moldova nu respectă sau este probabil să nu respecte SCR sau MCR în următoarele trei luni, Banca Națională a Moldovei poate solicita supraveghetorului din statul membru de origine să efectueze în comun </w:t>
      </w:r>
      <w:r w:rsidR="00B50846" w:rsidRPr="000508B6">
        <w:rPr>
          <w:rFonts w:ascii="Times New Roman" w:hAnsi="Times New Roman" w:cs="Times New Roman"/>
          <w:bCs/>
          <w:lang w:val="ro-MD"/>
        </w:rPr>
        <w:t xml:space="preserve">inspecție pe teren </w:t>
      </w:r>
      <w:r w:rsidR="00C25605" w:rsidRPr="000508B6">
        <w:rPr>
          <w:rFonts w:ascii="Times New Roman" w:hAnsi="Times New Roman" w:cs="Times New Roman"/>
          <w:bCs/>
          <w:lang w:val="ro-MD"/>
        </w:rPr>
        <w:t>la</w:t>
      </w:r>
      <w:r w:rsidRPr="000508B6">
        <w:rPr>
          <w:rFonts w:ascii="Times New Roman" w:hAnsi="Times New Roman" w:cs="Times New Roman"/>
          <w:bCs/>
          <w:lang w:val="ro-MD"/>
        </w:rPr>
        <w:t xml:space="preserve"> </w:t>
      </w:r>
      <w:r w:rsidR="00601B28" w:rsidRPr="000508B6">
        <w:rPr>
          <w:rFonts w:ascii="Times New Roman" w:hAnsi="Times New Roman" w:cs="Times New Roman"/>
          <w:bCs/>
          <w:lang w:val="ro-MD"/>
        </w:rPr>
        <w:t xml:space="preserve">sediul </w:t>
      </w:r>
      <w:proofErr w:type="spellStart"/>
      <w:r w:rsidR="00D068AA" w:rsidRPr="000508B6">
        <w:rPr>
          <w:rFonts w:ascii="Times New Roman" w:hAnsi="Times New Roman" w:cs="Times New Roman"/>
          <w:bCs/>
          <w:lang w:val="ro-MD"/>
        </w:rPr>
        <w:t>asigurătorul</w:t>
      </w:r>
      <w:r w:rsidR="00601B28" w:rsidRPr="000508B6">
        <w:rPr>
          <w:rFonts w:ascii="Times New Roman" w:hAnsi="Times New Roman" w:cs="Times New Roman"/>
          <w:bCs/>
          <w:lang w:val="ro-MD"/>
        </w:rPr>
        <w:t>ului</w:t>
      </w:r>
      <w:proofErr w:type="spellEnd"/>
      <w:r w:rsidR="00D068AA" w:rsidRPr="000508B6">
        <w:rPr>
          <w:rFonts w:ascii="Times New Roman" w:hAnsi="Times New Roman" w:cs="Times New Roman"/>
          <w:bCs/>
          <w:lang w:val="ro-MD"/>
        </w:rPr>
        <w:t xml:space="preserve"> sau </w:t>
      </w:r>
      <w:proofErr w:type="spellStart"/>
      <w:r w:rsidR="00D068AA" w:rsidRPr="000508B6">
        <w:rPr>
          <w:rFonts w:ascii="Times New Roman" w:hAnsi="Times New Roman" w:cs="Times New Roman"/>
          <w:bCs/>
          <w:lang w:val="ro-MD"/>
        </w:rPr>
        <w:t>reasigurătorul</w:t>
      </w:r>
      <w:r w:rsidR="00601B28" w:rsidRPr="000508B6">
        <w:rPr>
          <w:rFonts w:ascii="Times New Roman" w:hAnsi="Times New Roman" w:cs="Times New Roman"/>
          <w:bCs/>
          <w:lang w:val="ro-MD"/>
        </w:rPr>
        <w:t>ui</w:t>
      </w:r>
      <w:proofErr w:type="spellEnd"/>
      <w:r w:rsidRPr="000508B6">
        <w:rPr>
          <w:rFonts w:ascii="Times New Roman" w:hAnsi="Times New Roman" w:cs="Times New Roman"/>
          <w:bCs/>
          <w:lang w:val="ro-MD"/>
        </w:rPr>
        <w:t xml:space="preserve"> respectiv, explicând motivele solicitării.</w:t>
      </w:r>
    </w:p>
    <w:p w14:paraId="113525D7" w14:textId="54B15EDC" w:rsidR="005E0A8D" w:rsidRPr="000508B6" w:rsidRDefault="005E0A8D" w:rsidP="00230ADD">
      <w:pPr>
        <w:pStyle w:val="Listparagraf"/>
        <w:numPr>
          <w:ilvl w:val="0"/>
          <w:numId w:val="415"/>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w:t>
      </w:r>
      <w:r w:rsidR="00D940E1" w:rsidRPr="000508B6">
        <w:rPr>
          <w:rFonts w:ascii="Times New Roman" w:hAnsi="Times New Roman" w:cs="Times New Roman"/>
          <w:bCs/>
          <w:lang w:val="ro-MD"/>
        </w:rPr>
        <w:t>participă la</w:t>
      </w:r>
      <w:r w:rsidRPr="000508B6">
        <w:rPr>
          <w:rFonts w:ascii="Times New Roman" w:hAnsi="Times New Roman" w:cs="Times New Roman"/>
          <w:bCs/>
          <w:lang w:val="ro-MD"/>
        </w:rPr>
        <w:t xml:space="preserve"> </w:t>
      </w:r>
      <w:r w:rsidR="00B50846" w:rsidRPr="000508B6">
        <w:rPr>
          <w:rFonts w:ascii="Times New Roman" w:hAnsi="Times New Roman" w:cs="Times New Roman"/>
          <w:bCs/>
          <w:lang w:val="ro-MD"/>
        </w:rPr>
        <w:t xml:space="preserve">o inspecție pe teren </w:t>
      </w:r>
      <w:r w:rsidR="00D940E1" w:rsidRPr="000508B6">
        <w:rPr>
          <w:rFonts w:ascii="Times New Roman" w:hAnsi="Times New Roman" w:cs="Times New Roman"/>
          <w:bCs/>
          <w:lang w:val="ro-MD"/>
        </w:rPr>
        <w:t xml:space="preserve">în comun </w:t>
      </w:r>
      <w:r w:rsidRPr="000508B6">
        <w:rPr>
          <w:rFonts w:ascii="Times New Roman" w:hAnsi="Times New Roman" w:cs="Times New Roman"/>
          <w:bCs/>
          <w:lang w:val="ro-MD"/>
        </w:rPr>
        <w:t xml:space="preserve">la </w:t>
      </w:r>
      <w:r w:rsidR="00601B28" w:rsidRPr="000508B6">
        <w:rPr>
          <w:rFonts w:ascii="Times New Roman" w:hAnsi="Times New Roman" w:cs="Times New Roman"/>
          <w:bCs/>
          <w:lang w:val="ro-MD"/>
        </w:rPr>
        <w:t xml:space="preserve">sediul </w:t>
      </w:r>
      <w:r w:rsidR="00DC3C97" w:rsidRPr="000508B6">
        <w:rPr>
          <w:rFonts w:ascii="Times New Roman" w:hAnsi="Times New Roman" w:cs="Times New Roman"/>
          <w:bCs/>
          <w:lang w:val="ro-MD"/>
        </w:rPr>
        <w:t>asigurător</w:t>
      </w:r>
      <w:r w:rsidR="00601B28" w:rsidRPr="000508B6">
        <w:rPr>
          <w:rFonts w:ascii="Times New Roman" w:hAnsi="Times New Roman" w:cs="Times New Roman"/>
          <w:bCs/>
          <w:lang w:val="ro-MD"/>
        </w:rPr>
        <w:t>ului</w:t>
      </w:r>
      <w:r w:rsidR="00DC3C97" w:rsidRPr="000508B6">
        <w:rPr>
          <w:rFonts w:ascii="Times New Roman" w:hAnsi="Times New Roman" w:cs="Times New Roman"/>
          <w:bCs/>
          <w:lang w:val="ro-MD"/>
        </w:rPr>
        <w:t xml:space="preserve"> sau </w:t>
      </w:r>
      <w:proofErr w:type="spellStart"/>
      <w:r w:rsidR="00DC3C97" w:rsidRPr="000508B6">
        <w:rPr>
          <w:rFonts w:ascii="Times New Roman" w:hAnsi="Times New Roman" w:cs="Times New Roman"/>
          <w:bCs/>
          <w:lang w:val="ro-MD"/>
        </w:rPr>
        <w:t>reasigurător</w:t>
      </w:r>
      <w:r w:rsidR="00601B28" w:rsidRPr="000508B6">
        <w:rPr>
          <w:rFonts w:ascii="Times New Roman" w:hAnsi="Times New Roman" w:cs="Times New Roman"/>
          <w:bCs/>
          <w:lang w:val="ro-MD"/>
        </w:rPr>
        <w:t>ului</w:t>
      </w:r>
      <w:proofErr w:type="spellEnd"/>
      <w:r w:rsidRPr="000508B6">
        <w:rPr>
          <w:rFonts w:ascii="Times New Roman" w:hAnsi="Times New Roman" w:cs="Times New Roman"/>
          <w:bCs/>
          <w:lang w:val="ro-MD"/>
        </w:rPr>
        <w:t xml:space="preserve">, </w:t>
      </w:r>
      <w:r w:rsidR="00D940E1" w:rsidRPr="000508B6">
        <w:rPr>
          <w:rFonts w:ascii="Times New Roman" w:hAnsi="Times New Roman" w:cs="Times New Roman"/>
          <w:bCs/>
          <w:lang w:val="ro-MD"/>
        </w:rPr>
        <w:t xml:space="preserve">efectuat în urma solicitării prevăzute la alin. (8), </w:t>
      </w:r>
      <w:r w:rsidRPr="000508B6">
        <w:rPr>
          <w:rFonts w:ascii="Times New Roman" w:hAnsi="Times New Roman" w:cs="Times New Roman"/>
          <w:bCs/>
          <w:lang w:val="ro-MD"/>
        </w:rPr>
        <w:t xml:space="preserve">Banca Națională a Moldovei </w:t>
      </w:r>
      <w:r w:rsidR="00D940E1" w:rsidRPr="000508B6">
        <w:rPr>
          <w:rFonts w:ascii="Times New Roman" w:hAnsi="Times New Roman" w:cs="Times New Roman"/>
          <w:bCs/>
          <w:lang w:val="ro-MD"/>
        </w:rPr>
        <w:t>colaborează cu</w:t>
      </w:r>
      <w:r w:rsidR="00D940E1" w:rsidRPr="000508B6">
        <w:rPr>
          <w:rFonts w:ascii="Times New Roman" w:hAnsi="Times New Roman" w:cs="Times New Roman"/>
          <w:lang w:val="ro-MD"/>
        </w:rPr>
        <w:t xml:space="preserve"> </w:t>
      </w:r>
      <w:r w:rsidR="00D940E1" w:rsidRPr="000508B6">
        <w:rPr>
          <w:rFonts w:ascii="Times New Roman" w:hAnsi="Times New Roman" w:cs="Times New Roman"/>
          <w:bCs/>
          <w:lang w:val="ro-MD"/>
        </w:rPr>
        <w:t xml:space="preserve">supraveghetorul din statul membru de origine pentru ca termen de două luni să </w:t>
      </w:r>
      <w:r w:rsidR="00A673B2" w:rsidRPr="000508B6">
        <w:rPr>
          <w:rFonts w:ascii="Times New Roman" w:hAnsi="Times New Roman" w:cs="Times New Roman"/>
          <w:bCs/>
          <w:lang w:val="ro-MD"/>
        </w:rPr>
        <w:t>elaboreze</w:t>
      </w:r>
      <w:r w:rsidR="00D940E1" w:rsidRPr="000508B6">
        <w:rPr>
          <w:rFonts w:ascii="Times New Roman" w:hAnsi="Times New Roman" w:cs="Times New Roman"/>
          <w:bCs/>
          <w:lang w:val="ro-MD"/>
        </w:rPr>
        <w:t xml:space="preserve"> concluzii comune și să decidă cu privire la măsuri</w:t>
      </w:r>
      <w:r w:rsidR="00F10E6C" w:rsidRPr="000508B6">
        <w:rPr>
          <w:rFonts w:ascii="Times New Roman" w:hAnsi="Times New Roman" w:cs="Times New Roman"/>
          <w:bCs/>
          <w:lang w:val="ro-MD"/>
        </w:rPr>
        <w:t>le</w:t>
      </w:r>
      <w:r w:rsidR="00D940E1" w:rsidRPr="000508B6">
        <w:rPr>
          <w:rFonts w:ascii="Times New Roman" w:hAnsi="Times New Roman" w:cs="Times New Roman"/>
          <w:bCs/>
          <w:lang w:val="ro-MD"/>
        </w:rPr>
        <w:t xml:space="preserve"> de supraveghere adecvate</w:t>
      </w:r>
      <w:r w:rsidRPr="000508B6">
        <w:rPr>
          <w:rFonts w:ascii="Times New Roman" w:hAnsi="Times New Roman" w:cs="Times New Roman"/>
          <w:bCs/>
          <w:lang w:val="ro-MD"/>
        </w:rPr>
        <w:t>.</w:t>
      </w:r>
      <w:r w:rsidRPr="000508B6">
        <w:rPr>
          <w:rFonts w:ascii="Times New Roman" w:hAnsi="Times New Roman" w:cs="Times New Roman"/>
          <w:lang w:val="ro-MD"/>
        </w:rPr>
        <w:t xml:space="preserve"> </w:t>
      </w:r>
    </w:p>
    <w:p w14:paraId="7F9DEF15" w14:textId="54296FC3" w:rsidR="005E0A8D" w:rsidRPr="000508B6" w:rsidRDefault="005E0A8D" w:rsidP="00230ADD">
      <w:pPr>
        <w:pStyle w:val="Listparagraf"/>
        <w:numPr>
          <w:ilvl w:val="0"/>
          <w:numId w:val="415"/>
        </w:numPr>
        <w:tabs>
          <w:tab w:val="left" w:pos="709"/>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În cazul în care Banca Națională a Moldovei și supraveghetorul din statul membru </w:t>
      </w:r>
      <w:r w:rsidR="001147DF" w:rsidRPr="000508B6">
        <w:rPr>
          <w:rFonts w:ascii="Times New Roman" w:hAnsi="Times New Roman" w:cs="Times New Roman"/>
          <w:bCs/>
          <w:lang w:val="ro-MD"/>
        </w:rPr>
        <w:t>de origine</w:t>
      </w:r>
      <w:r w:rsidRPr="000508B6">
        <w:rPr>
          <w:rFonts w:ascii="Times New Roman" w:hAnsi="Times New Roman" w:cs="Times New Roman"/>
          <w:bCs/>
          <w:lang w:val="ro-MD"/>
        </w:rPr>
        <w:t xml:space="preserve"> nu pot ajunge la o concluzie comună cu privire </w:t>
      </w:r>
      <w:r w:rsidR="00C25605" w:rsidRPr="000508B6">
        <w:rPr>
          <w:rFonts w:ascii="Times New Roman" w:hAnsi="Times New Roman" w:cs="Times New Roman"/>
          <w:bCs/>
          <w:lang w:val="ro-MD"/>
        </w:rPr>
        <w:t>inspecția pe teren</w:t>
      </w:r>
      <w:r w:rsidRPr="000508B6">
        <w:rPr>
          <w:rFonts w:ascii="Times New Roman" w:hAnsi="Times New Roman" w:cs="Times New Roman"/>
          <w:bCs/>
          <w:lang w:val="ro-MD"/>
        </w:rPr>
        <w:t xml:space="preserve"> în comun la </w:t>
      </w:r>
      <w:r w:rsidR="00601B28" w:rsidRPr="000508B6">
        <w:rPr>
          <w:rFonts w:ascii="Times New Roman" w:hAnsi="Times New Roman" w:cs="Times New Roman"/>
          <w:bCs/>
          <w:lang w:val="ro-MD"/>
        </w:rPr>
        <w:t xml:space="preserve">sediul </w:t>
      </w:r>
      <w:r w:rsidR="00DC3C97" w:rsidRPr="000508B6">
        <w:rPr>
          <w:rFonts w:ascii="Times New Roman" w:hAnsi="Times New Roman" w:cs="Times New Roman"/>
          <w:bCs/>
          <w:lang w:val="ro-MD"/>
        </w:rPr>
        <w:t>asigurător</w:t>
      </w:r>
      <w:r w:rsidR="00601B28" w:rsidRPr="000508B6">
        <w:rPr>
          <w:rFonts w:ascii="Times New Roman" w:hAnsi="Times New Roman" w:cs="Times New Roman"/>
          <w:bCs/>
          <w:lang w:val="ro-MD"/>
        </w:rPr>
        <w:t>ului</w:t>
      </w:r>
      <w:r w:rsidR="00DC3C97" w:rsidRPr="000508B6">
        <w:rPr>
          <w:rFonts w:ascii="Times New Roman" w:hAnsi="Times New Roman" w:cs="Times New Roman"/>
          <w:bCs/>
          <w:lang w:val="ro-MD"/>
        </w:rPr>
        <w:t xml:space="preserve"> sau </w:t>
      </w:r>
      <w:proofErr w:type="spellStart"/>
      <w:r w:rsidR="00DC3C97" w:rsidRPr="000508B6">
        <w:rPr>
          <w:rFonts w:ascii="Times New Roman" w:hAnsi="Times New Roman" w:cs="Times New Roman"/>
          <w:bCs/>
          <w:lang w:val="ro-MD"/>
        </w:rPr>
        <w:t>reasigurător</w:t>
      </w:r>
      <w:r w:rsidR="00601B28" w:rsidRPr="000508B6">
        <w:rPr>
          <w:rFonts w:ascii="Times New Roman" w:hAnsi="Times New Roman" w:cs="Times New Roman"/>
          <w:bCs/>
          <w:lang w:val="ro-MD"/>
        </w:rPr>
        <w:t>ului</w:t>
      </w:r>
      <w:proofErr w:type="spellEnd"/>
      <w:r w:rsidRPr="000508B6">
        <w:rPr>
          <w:rFonts w:ascii="Times New Roman" w:hAnsi="Times New Roman" w:cs="Times New Roman"/>
          <w:bCs/>
          <w:lang w:val="ro-MD"/>
        </w:rPr>
        <w:t>, Banca Națională a Moldovei poate să se adreseze EIOPA, solicitându-i asistența</w:t>
      </w:r>
      <w:r w:rsidR="00B21424" w:rsidRPr="000508B6">
        <w:rPr>
          <w:rFonts w:ascii="Times New Roman" w:hAnsi="Times New Roman" w:cs="Times New Roman"/>
          <w:bCs/>
          <w:lang w:val="ro-MD"/>
        </w:rPr>
        <w:t>.</w:t>
      </w:r>
    </w:p>
    <w:p w14:paraId="68E9EE90" w14:textId="488D8A06" w:rsidR="005E0A8D" w:rsidRPr="000508B6" w:rsidRDefault="005E0A8D" w:rsidP="00230ADD">
      <w:pPr>
        <w:pStyle w:val="Listparagraf"/>
        <w:numPr>
          <w:ilvl w:val="0"/>
          <w:numId w:val="415"/>
        </w:numPr>
        <w:tabs>
          <w:tab w:val="left" w:pos="567"/>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Banca Națională a Moldovei nu poate solicita asistență EIOPA în temeiul alin. (</w:t>
      </w:r>
      <w:r w:rsidR="001147DF" w:rsidRPr="000508B6">
        <w:rPr>
          <w:rFonts w:ascii="Times New Roman" w:hAnsi="Times New Roman" w:cs="Times New Roman"/>
          <w:bCs/>
          <w:lang w:val="ro-MD"/>
        </w:rPr>
        <w:t>10</w:t>
      </w:r>
      <w:r w:rsidRPr="000508B6">
        <w:rPr>
          <w:rFonts w:ascii="Times New Roman" w:hAnsi="Times New Roman" w:cs="Times New Roman"/>
          <w:bCs/>
          <w:lang w:val="ro-MD"/>
        </w:rPr>
        <w:t xml:space="preserve">) după expirarea termenului de două luni și nici după ce au ajuns la un acord cu </w:t>
      </w:r>
      <w:r w:rsidR="001147DF" w:rsidRPr="000508B6">
        <w:rPr>
          <w:rFonts w:ascii="Times New Roman" w:hAnsi="Times New Roman" w:cs="Times New Roman"/>
          <w:bCs/>
          <w:lang w:val="ro-MD"/>
        </w:rPr>
        <w:t>supraveghetorul din statul membru de origine</w:t>
      </w:r>
      <w:r w:rsidR="00A972EA">
        <w:rPr>
          <w:rFonts w:ascii="Times New Roman" w:hAnsi="Times New Roman" w:cs="Times New Roman"/>
          <w:bCs/>
          <w:lang w:val="ro-MD"/>
        </w:rPr>
        <w:t xml:space="preserve"> cu</w:t>
      </w:r>
      <w:r w:rsidR="001147DF" w:rsidRPr="000508B6">
        <w:rPr>
          <w:rFonts w:ascii="Times New Roman" w:hAnsi="Times New Roman" w:cs="Times New Roman"/>
          <w:bCs/>
          <w:lang w:val="ro-MD"/>
        </w:rPr>
        <w:t xml:space="preserve"> </w:t>
      </w:r>
      <w:r w:rsidRPr="000508B6">
        <w:rPr>
          <w:rFonts w:ascii="Times New Roman" w:hAnsi="Times New Roman" w:cs="Times New Roman"/>
          <w:bCs/>
          <w:lang w:val="ro-MD"/>
        </w:rPr>
        <w:t xml:space="preserve">privire la concluziile comune </w:t>
      </w:r>
      <w:r w:rsidR="001147DF" w:rsidRPr="000508B6">
        <w:rPr>
          <w:rFonts w:ascii="Times New Roman" w:hAnsi="Times New Roman" w:cs="Times New Roman"/>
          <w:bCs/>
          <w:lang w:val="ro-MD"/>
        </w:rPr>
        <w:t xml:space="preserve">ale </w:t>
      </w:r>
      <w:r w:rsidR="00717A98" w:rsidRPr="000508B6">
        <w:rPr>
          <w:rFonts w:ascii="Times New Roman" w:hAnsi="Times New Roman" w:cs="Times New Roman"/>
          <w:bCs/>
          <w:lang w:val="ro-MD"/>
        </w:rPr>
        <w:t>inspecției în teren</w:t>
      </w:r>
      <w:r w:rsidRPr="000508B6">
        <w:rPr>
          <w:rFonts w:ascii="Times New Roman" w:hAnsi="Times New Roman" w:cs="Times New Roman"/>
          <w:bCs/>
          <w:lang w:val="ro-MD"/>
        </w:rPr>
        <w:t>.</w:t>
      </w:r>
    </w:p>
    <w:p w14:paraId="198391F2" w14:textId="2B50C593" w:rsidR="001147DF" w:rsidRPr="000508B6" w:rsidRDefault="001147DF" w:rsidP="00CF5AFA">
      <w:pPr>
        <w:pStyle w:val="Listparagraf"/>
        <w:numPr>
          <w:ilvl w:val="0"/>
          <w:numId w:val="415"/>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Banca Națională a Moldovei recunoaște concluziile finale pe care supraveghetorul din statul membru de origine le-a adoptat ținând cont de decizia EIOPA, în urma unui control în comun efectuat în conformitate cu alin. (9)</w:t>
      </w:r>
    </w:p>
    <w:p w14:paraId="3DD381F2" w14:textId="79D0609E" w:rsidR="001147DF" w:rsidRPr="000508B6" w:rsidRDefault="001147DF" w:rsidP="00CF5AFA">
      <w:pPr>
        <w:pStyle w:val="Listparagraf"/>
        <w:numPr>
          <w:ilvl w:val="0"/>
          <w:numId w:val="415"/>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În cazul transmiterii unei solicitări în temeiul alin. (8) și supraveghetorul din statul membru de origine refuză motivat efectuarea controlului în comun, iar Banca Națională a Moldovei nu este de acord cu motivele prezentate, acesta po</w:t>
      </w:r>
      <w:r w:rsidR="004F4E60" w:rsidRPr="000508B6">
        <w:rPr>
          <w:rFonts w:ascii="Times New Roman" w:hAnsi="Times New Roman" w:cs="Times New Roman"/>
          <w:bCs/>
          <w:lang w:val="ro-MD"/>
        </w:rPr>
        <w:t>a</w:t>
      </w:r>
      <w:r w:rsidRPr="000508B6">
        <w:rPr>
          <w:rFonts w:ascii="Times New Roman" w:hAnsi="Times New Roman" w:cs="Times New Roman"/>
          <w:bCs/>
          <w:lang w:val="ro-MD"/>
        </w:rPr>
        <w:t>te solicita asistență EIOPA, în termen de o lună din data primirii refuzului.</w:t>
      </w:r>
    </w:p>
    <w:p w14:paraId="717206EA" w14:textId="6B3A53D9" w:rsidR="005E0A8D" w:rsidRPr="000508B6" w:rsidRDefault="00E75EDA" w:rsidP="00CF5AFA">
      <w:pPr>
        <w:pStyle w:val="Listparagraf"/>
        <w:numPr>
          <w:ilvl w:val="0"/>
          <w:numId w:val="415"/>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Urmare a inspecției efectuate potrivit alin. (8) </w:t>
      </w:r>
      <w:r w:rsidR="005E0A8D" w:rsidRPr="000508B6">
        <w:rPr>
          <w:rFonts w:ascii="Times New Roman" w:hAnsi="Times New Roman" w:cs="Times New Roman"/>
          <w:bCs/>
          <w:lang w:val="ro-MD"/>
        </w:rPr>
        <w:t xml:space="preserve">Banca Națională a Moldovei </w:t>
      </w:r>
      <w:r w:rsidR="00A16472" w:rsidRPr="000508B6">
        <w:rPr>
          <w:rFonts w:ascii="Times New Roman" w:hAnsi="Times New Roman" w:cs="Times New Roman"/>
          <w:bCs/>
          <w:lang w:val="ro-MD"/>
        </w:rPr>
        <w:t>recunoaște</w:t>
      </w:r>
      <w:r w:rsidR="002B22D3" w:rsidRPr="000508B6">
        <w:rPr>
          <w:rFonts w:ascii="Times New Roman" w:hAnsi="Times New Roman" w:cs="Times New Roman"/>
          <w:bCs/>
          <w:lang w:val="ro-MD"/>
        </w:rPr>
        <w:t>,</w:t>
      </w:r>
      <w:r w:rsidR="00A16472" w:rsidRPr="000508B6">
        <w:rPr>
          <w:rFonts w:ascii="Times New Roman" w:hAnsi="Times New Roman" w:cs="Times New Roman"/>
          <w:bCs/>
          <w:lang w:val="ro-MD"/>
        </w:rPr>
        <w:t xml:space="preserve"> </w:t>
      </w:r>
      <w:r w:rsidR="005E0A8D" w:rsidRPr="000508B6">
        <w:rPr>
          <w:rFonts w:ascii="Times New Roman" w:hAnsi="Times New Roman" w:cs="Times New Roman"/>
          <w:bCs/>
          <w:lang w:val="ro-MD"/>
        </w:rPr>
        <w:t xml:space="preserve">decizia finală </w:t>
      </w:r>
      <w:r w:rsidR="00A16472" w:rsidRPr="000508B6">
        <w:rPr>
          <w:rFonts w:ascii="Times New Roman" w:hAnsi="Times New Roman" w:cs="Times New Roman"/>
          <w:bCs/>
          <w:lang w:val="ro-MD"/>
        </w:rPr>
        <w:t>adoptată de supraveghetorul din statul membru de origine</w:t>
      </w:r>
      <w:r w:rsidR="00E7081D" w:rsidRPr="000508B6">
        <w:rPr>
          <w:rFonts w:ascii="Times New Roman" w:hAnsi="Times New Roman" w:cs="Times New Roman"/>
          <w:bCs/>
          <w:lang w:val="ro-MD"/>
        </w:rPr>
        <w:t>.</w:t>
      </w:r>
    </w:p>
    <w:p w14:paraId="3E8041D5" w14:textId="2DB43F48" w:rsidR="005E0A8D" w:rsidRPr="000508B6" w:rsidRDefault="00E75EDA" w:rsidP="00CF5AFA">
      <w:pPr>
        <w:pStyle w:val="Listparagraf"/>
        <w:numPr>
          <w:ilvl w:val="0"/>
          <w:numId w:val="415"/>
        </w:numPr>
        <w:tabs>
          <w:tab w:val="left" w:pos="851"/>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În cazul în care Banca Națională primește de la supraveghetorul din statul membru de origine la solicitarea efectuată în temeiul alin. (8), Banca Națională a Moldovei solicit</w:t>
      </w:r>
      <w:r w:rsidR="00DC3C97" w:rsidRPr="000508B6">
        <w:rPr>
          <w:rFonts w:ascii="Times New Roman" w:hAnsi="Times New Roman" w:cs="Times New Roman"/>
          <w:bCs/>
          <w:lang w:val="ro-MD"/>
        </w:rPr>
        <w:t>ă</w:t>
      </w:r>
      <w:r w:rsidRPr="000508B6">
        <w:rPr>
          <w:rFonts w:ascii="Times New Roman" w:hAnsi="Times New Roman" w:cs="Times New Roman"/>
          <w:bCs/>
          <w:lang w:val="ro-MD"/>
        </w:rPr>
        <w:t xml:space="preserve">  asisten</w:t>
      </w:r>
      <w:r w:rsidR="00DC3C97" w:rsidRPr="000508B6">
        <w:rPr>
          <w:rFonts w:ascii="Times New Roman" w:hAnsi="Times New Roman" w:cs="Times New Roman"/>
          <w:bCs/>
          <w:lang w:val="ro-MD"/>
        </w:rPr>
        <w:t>ț</w:t>
      </w:r>
      <w:r w:rsidRPr="000508B6">
        <w:rPr>
          <w:rFonts w:ascii="Times New Roman" w:hAnsi="Times New Roman" w:cs="Times New Roman"/>
          <w:bCs/>
          <w:lang w:val="ro-MD"/>
        </w:rPr>
        <w:t xml:space="preserve">ă EIOPA în termen de o lună de la recepționarea refuzului respectiv. </w:t>
      </w:r>
    </w:p>
    <w:p w14:paraId="7A07AD8B" w14:textId="3D1019A2" w:rsidR="008926E7" w:rsidRPr="000508B6" w:rsidRDefault="008926E7" w:rsidP="00230ADD">
      <w:pPr>
        <w:pStyle w:val="Listparagraf"/>
        <w:numPr>
          <w:ilvl w:val="0"/>
          <w:numId w:val="415"/>
        </w:numPr>
        <w:tabs>
          <w:tab w:val="left" w:pos="709"/>
          <w:tab w:val="left" w:pos="851"/>
          <w:tab w:val="left" w:pos="993"/>
        </w:tabs>
        <w:spacing w:after="0" w:line="240" w:lineRule="auto"/>
        <w:ind w:left="0" w:firstLine="426"/>
        <w:jc w:val="both"/>
        <w:rPr>
          <w:rFonts w:ascii="Times New Roman" w:hAnsi="Times New Roman" w:cs="Times New Roman"/>
          <w:bCs/>
          <w:lang w:val="ro-MD"/>
        </w:rPr>
      </w:pPr>
      <w:r w:rsidRPr="000508B6">
        <w:rPr>
          <w:rFonts w:ascii="Times New Roman" w:hAnsi="Times New Roman" w:cs="Times New Roman"/>
          <w:bCs/>
          <w:lang w:val="ro-MD"/>
        </w:rPr>
        <w:t xml:space="preserve">Banca Națională a Moldovei respectă cerințele privind cooperarea și schimbul de informații în materie de supraveghere </w:t>
      </w:r>
      <w:r w:rsidR="005B727E" w:rsidRPr="000508B6">
        <w:rPr>
          <w:rFonts w:ascii="Times New Roman" w:hAnsi="Times New Roman" w:cs="Times New Roman"/>
          <w:bCs/>
          <w:lang w:val="ro-MD"/>
        </w:rPr>
        <w:t>în comun</w:t>
      </w:r>
      <w:r w:rsidRPr="000508B6">
        <w:rPr>
          <w:rFonts w:ascii="Times New Roman" w:hAnsi="Times New Roman" w:cs="Times New Roman"/>
          <w:bCs/>
          <w:lang w:val="ro-MD"/>
        </w:rPr>
        <w:t xml:space="preserve"> cu supraveghetor</w:t>
      </w:r>
      <w:r w:rsidR="005B727E" w:rsidRPr="000508B6">
        <w:rPr>
          <w:rFonts w:ascii="Times New Roman" w:hAnsi="Times New Roman" w:cs="Times New Roman"/>
          <w:bCs/>
          <w:lang w:val="ro-MD"/>
        </w:rPr>
        <w:t>ul</w:t>
      </w:r>
      <w:r w:rsidRPr="000508B6">
        <w:rPr>
          <w:rFonts w:ascii="Times New Roman" w:hAnsi="Times New Roman" w:cs="Times New Roman"/>
          <w:bCs/>
          <w:lang w:val="ro-MD"/>
        </w:rPr>
        <w:t xml:space="preserve"> </w:t>
      </w:r>
      <w:r w:rsidR="005E3FE3" w:rsidRPr="000508B6">
        <w:rPr>
          <w:rFonts w:ascii="Times New Roman" w:hAnsi="Times New Roman" w:cs="Times New Roman"/>
          <w:bCs/>
          <w:lang w:val="ro-MD"/>
        </w:rPr>
        <w:t>relevan</w:t>
      </w:r>
      <w:r w:rsidR="005B727E" w:rsidRPr="000508B6">
        <w:rPr>
          <w:rFonts w:ascii="Times New Roman" w:hAnsi="Times New Roman" w:cs="Times New Roman"/>
          <w:bCs/>
          <w:lang w:val="ro-MD"/>
        </w:rPr>
        <w:t>t</w:t>
      </w:r>
      <w:r w:rsidR="005E3FE3" w:rsidRPr="000508B6">
        <w:rPr>
          <w:rFonts w:ascii="Times New Roman" w:hAnsi="Times New Roman" w:cs="Times New Roman"/>
          <w:bCs/>
          <w:lang w:val="ro-MD"/>
        </w:rPr>
        <w:t xml:space="preserve"> </w:t>
      </w:r>
      <w:r w:rsidRPr="000508B6">
        <w:rPr>
          <w:rFonts w:ascii="Times New Roman" w:hAnsi="Times New Roman" w:cs="Times New Roman"/>
          <w:bCs/>
          <w:lang w:val="ro-MD"/>
        </w:rPr>
        <w:t>în conformitate cu alin. (4)-(</w:t>
      </w:r>
      <w:r w:rsidR="00AE5E6D" w:rsidRPr="000508B6">
        <w:rPr>
          <w:rFonts w:ascii="Times New Roman" w:hAnsi="Times New Roman" w:cs="Times New Roman"/>
          <w:bCs/>
          <w:lang w:val="ro-MD"/>
        </w:rPr>
        <w:t>15</w:t>
      </w:r>
      <w:r w:rsidRPr="000508B6">
        <w:rPr>
          <w:rFonts w:ascii="Times New Roman" w:hAnsi="Times New Roman" w:cs="Times New Roman"/>
          <w:bCs/>
          <w:lang w:val="ro-MD"/>
        </w:rPr>
        <w:t xml:space="preserve">) și în cazul în care participă la o platformă de colaborare de la instituirea unei astfel de platforme de colaborare în temeiul </w:t>
      </w:r>
      <w:r w:rsidRPr="000508B6">
        <w:rPr>
          <w:rFonts w:ascii="Times New Roman" w:hAnsi="Times New Roman" w:cs="Times New Roman"/>
          <w:lang w:val="ro-MD"/>
        </w:rPr>
        <w:t>art. 18</w:t>
      </w:r>
      <w:r w:rsidR="00CA2FAC" w:rsidRPr="000508B6">
        <w:rPr>
          <w:rFonts w:ascii="Times New Roman" w:hAnsi="Times New Roman" w:cs="Times New Roman"/>
          <w:lang w:val="ro-MD"/>
        </w:rPr>
        <w:t>6</w:t>
      </w:r>
      <w:r w:rsidRPr="000508B6">
        <w:rPr>
          <w:rFonts w:ascii="Times New Roman" w:hAnsi="Times New Roman" w:cs="Times New Roman"/>
          <w:lang w:val="ro-MD"/>
        </w:rPr>
        <w:t xml:space="preserve"> alin.</w:t>
      </w:r>
      <w:r w:rsidR="006C7C32" w:rsidRPr="000508B6">
        <w:rPr>
          <w:rFonts w:ascii="Times New Roman" w:hAnsi="Times New Roman" w:cs="Times New Roman"/>
          <w:lang w:val="ro-MD"/>
        </w:rPr>
        <w:t xml:space="preserve"> </w:t>
      </w:r>
      <w:r w:rsidRPr="000508B6">
        <w:rPr>
          <w:rFonts w:ascii="Times New Roman" w:hAnsi="Times New Roman" w:cs="Times New Roman"/>
          <w:lang w:val="ro-MD"/>
        </w:rPr>
        <w:t>(</w:t>
      </w:r>
      <w:r w:rsidR="00DF3D33" w:rsidRPr="000508B6">
        <w:rPr>
          <w:rFonts w:ascii="Times New Roman" w:hAnsi="Times New Roman" w:cs="Times New Roman"/>
          <w:lang w:val="ro-MD"/>
        </w:rPr>
        <w:t>13</w:t>
      </w:r>
      <w:r w:rsidRPr="000508B6">
        <w:rPr>
          <w:rFonts w:ascii="Times New Roman" w:hAnsi="Times New Roman" w:cs="Times New Roman"/>
          <w:lang w:val="ro-MD"/>
        </w:rPr>
        <w:t>)</w:t>
      </w:r>
      <w:r w:rsidRPr="000508B6">
        <w:rPr>
          <w:rFonts w:ascii="Times New Roman" w:hAnsi="Times New Roman" w:cs="Times New Roman"/>
          <w:bCs/>
          <w:lang w:val="ro-MD"/>
        </w:rPr>
        <w:t xml:space="preserve"> sau </w:t>
      </w:r>
      <w:r w:rsidR="00AE5E6D" w:rsidRPr="000508B6">
        <w:rPr>
          <w:rFonts w:ascii="Times New Roman" w:hAnsi="Times New Roman" w:cs="Times New Roman"/>
          <w:bCs/>
          <w:lang w:val="ro-MD"/>
        </w:rPr>
        <w:t>art. 187 alin.</w:t>
      </w:r>
      <w:r w:rsidRPr="000508B6">
        <w:rPr>
          <w:rFonts w:ascii="Times New Roman" w:hAnsi="Times New Roman" w:cs="Times New Roman"/>
          <w:bCs/>
          <w:lang w:val="ro-MD"/>
        </w:rPr>
        <w:t xml:space="preserve"> (1)</w:t>
      </w:r>
      <w:r w:rsidR="000B7445" w:rsidRPr="000508B6">
        <w:rPr>
          <w:rFonts w:ascii="Times New Roman" w:hAnsi="Times New Roman" w:cs="Times New Roman"/>
          <w:bCs/>
          <w:lang w:val="ro-MD"/>
        </w:rPr>
        <w:t>,</w:t>
      </w:r>
      <w:r w:rsidRPr="000508B6">
        <w:rPr>
          <w:rFonts w:ascii="Times New Roman" w:hAnsi="Times New Roman" w:cs="Times New Roman"/>
          <w:bCs/>
          <w:lang w:val="ro-MD"/>
        </w:rPr>
        <w:t xml:space="preserve"> indiferent dacă </w:t>
      </w:r>
      <w:r w:rsidR="00D068AA" w:rsidRPr="000508B6">
        <w:rPr>
          <w:rFonts w:ascii="Times New Roman" w:hAnsi="Times New Roman" w:cs="Times New Roman"/>
          <w:bCs/>
          <w:lang w:val="ro-MD"/>
        </w:rPr>
        <w:t xml:space="preserve">asigurătorul sau </w:t>
      </w:r>
      <w:proofErr w:type="spellStart"/>
      <w:r w:rsidR="00D068AA" w:rsidRPr="000508B6">
        <w:rPr>
          <w:rFonts w:ascii="Times New Roman" w:hAnsi="Times New Roman" w:cs="Times New Roman"/>
          <w:bCs/>
          <w:lang w:val="ro-MD"/>
        </w:rPr>
        <w:t>reasigurătorul</w:t>
      </w:r>
      <w:proofErr w:type="spellEnd"/>
      <w:r w:rsidRPr="000508B6">
        <w:rPr>
          <w:rFonts w:ascii="Times New Roman" w:hAnsi="Times New Roman" w:cs="Times New Roman"/>
          <w:bCs/>
          <w:lang w:val="ro-MD"/>
        </w:rPr>
        <w:t xml:space="preserve"> din Republica Moldova pentru care s-au instituit platformele </w:t>
      </w:r>
      <w:r w:rsidR="000B7445" w:rsidRPr="000508B6">
        <w:rPr>
          <w:rFonts w:ascii="Times New Roman" w:hAnsi="Times New Roman" w:cs="Times New Roman"/>
          <w:bCs/>
          <w:lang w:val="ro-MD"/>
        </w:rPr>
        <w:t>respective</w:t>
      </w:r>
      <w:r w:rsidRPr="000508B6">
        <w:rPr>
          <w:rFonts w:ascii="Times New Roman" w:hAnsi="Times New Roman" w:cs="Times New Roman"/>
          <w:bCs/>
          <w:lang w:val="ro-MD"/>
        </w:rPr>
        <w:t xml:space="preserve"> desfășoară sau nu activități transfrontaliere semnificative în alte state membre</w:t>
      </w:r>
      <w:r w:rsidRPr="000508B6">
        <w:rPr>
          <w:rFonts w:ascii="Times New Roman" w:hAnsi="Times New Roman" w:cs="Times New Roman"/>
          <w:lang w:val="ro-MD"/>
        </w:rPr>
        <w:t>.</w:t>
      </w:r>
      <w:r w:rsidR="006C7C32" w:rsidRPr="000508B6">
        <w:rPr>
          <w:rFonts w:ascii="Times New Roman" w:hAnsi="Times New Roman" w:cs="Times New Roman"/>
          <w:bCs/>
          <w:color w:val="FF0000"/>
          <w:lang w:val="ro-MD"/>
        </w:rPr>
        <w:t xml:space="preserve"> </w:t>
      </w:r>
    </w:p>
    <w:p w14:paraId="2939BBD9" w14:textId="77777777" w:rsidR="008926E7" w:rsidRPr="000508B6" w:rsidRDefault="008926E7" w:rsidP="008A2CB0">
      <w:pPr>
        <w:pStyle w:val="Listparagraf"/>
        <w:tabs>
          <w:tab w:val="left" w:pos="851"/>
        </w:tabs>
        <w:spacing w:after="0" w:line="240" w:lineRule="auto"/>
        <w:ind w:left="426"/>
        <w:jc w:val="both"/>
        <w:rPr>
          <w:rFonts w:ascii="Times New Roman" w:hAnsi="Times New Roman" w:cs="Times New Roman"/>
          <w:bCs/>
          <w:lang w:val="ro-MD"/>
        </w:rPr>
      </w:pPr>
    </w:p>
    <w:p w14:paraId="51AC8ED0" w14:textId="77777777" w:rsidR="008F68BF" w:rsidRPr="000508B6" w:rsidRDefault="008F68BF" w:rsidP="00AC4E00">
      <w:pPr>
        <w:spacing w:after="0" w:line="240" w:lineRule="auto"/>
        <w:ind w:firstLine="426"/>
        <w:jc w:val="center"/>
        <w:rPr>
          <w:rFonts w:ascii="Times New Roman" w:hAnsi="Times New Roman" w:cs="Times New Roman"/>
          <w:b/>
          <w:lang w:val="ro-MD"/>
        </w:rPr>
      </w:pPr>
    </w:p>
    <w:p w14:paraId="63D3209C" w14:textId="0FC85180" w:rsidR="00AC4E00" w:rsidRPr="000508B6" w:rsidRDefault="00AC4E00" w:rsidP="00AC4E00">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Secțiunea a </w:t>
      </w:r>
      <w:r w:rsidR="008F3D39" w:rsidRPr="000508B6">
        <w:rPr>
          <w:rFonts w:ascii="Times New Roman" w:hAnsi="Times New Roman" w:cs="Times New Roman"/>
          <w:b/>
          <w:lang w:val="ro-MD"/>
        </w:rPr>
        <w:t>4</w:t>
      </w:r>
      <w:r w:rsidRPr="000508B6">
        <w:rPr>
          <w:rFonts w:ascii="Times New Roman" w:hAnsi="Times New Roman" w:cs="Times New Roman"/>
          <w:b/>
          <w:lang w:val="ro-MD"/>
        </w:rPr>
        <w:t>-a</w:t>
      </w:r>
    </w:p>
    <w:p w14:paraId="3596EBF8" w14:textId="7D5811FF" w:rsidR="00AC4E00" w:rsidRPr="000508B6" w:rsidRDefault="00AC4E00" w:rsidP="00AC4E00">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 xml:space="preserve">Participarea Băncii Naționale a Moldovei la </w:t>
      </w:r>
      <w:r w:rsidR="002A78C9" w:rsidRPr="000508B6">
        <w:rPr>
          <w:rFonts w:ascii="Times New Roman" w:hAnsi="Times New Roman" w:cs="Times New Roman"/>
          <w:b/>
          <w:lang w:val="ro-MD"/>
        </w:rPr>
        <w:t xml:space="preserve">colegiul </w:t>
      </w:r>
      <w:r w:rsidRPr="000508B6">
        <w:rPr>
          <w:rFonts w:ascii="Times New Roman" w:hAnsi="Times New Roman" w:cs="Times New Roman"/>
          <w:b/>
          <w:lang w:val="ro-MD"/>
        </w:rPr>
        <w:t>supraveghetorilor</w:t>
      </w:r>
    </w:p>
    <w:p w14:paraId="79E76720" w14:textId="77777777" w:rsidR="00AC4E00" w:rsidRPr="000508B6" w:rsidRDefault="00AC4E00" w:rsidP="00AC4E00">
      <w:pPr>
        <w:spacing w:after="0" w:line="240" w:lineRule="auto"/>
        <w:ind w:firstLine="426"/>
        <w:jc w:val="center"/>
        <w:rPr>
          <w:rFonts w:ascii="Times New Roman" w:hAnsi="Times New Roman" w:cs="Times New Roman"/>
          <w:b/>
          <w:lang w:val="ro-MD"/>
        </w:rPr>
      </w:pPr>
    </w:p>
    <w:p w14:paraId="3D6C3541" w14:textId="3F001529"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192</w:t>
      </w:r>
      <w:r w:rsidRPr="000508B6">
        <w:rPr>
          <w:rFonts w:ascii="Times New Roman" w:hAnsi="Times New Roman" w:cs="Times New Roman"/>
          <w:b/>
          <w:lang w:val="ro-MD"/>
        </w:rPr>
        <w:t>.</w:t>
      </w:r>
      <w:r w:rsidRPr="000508B6">
        <w:rPr>
          <w:rFonts w:ascii="Times New Roman" w:hAnsi="Times New Roman" w:cs="Times New Roman"/>
          <w:lang w:val="ro-MD"/>
        </w:rPr>
        <w:t xml:space="preserve">  Prevederi generale </w:t>
      </w:r>
    </w:p>
    <w:p w14:paraId="7B43D78D" w14:textId="4B6D5985" w:rsidR="00AC4E00" w:rsidRPr="000508B6" w:rsidRDefault="00AC4E00" w:rsidP="00CF5AFA">
      <w:pPr>
        <w:pStyle w:val="Listparagraf"/>
        <w:numPr>
          <w:ilvl w:val="1"/>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Colegiul supraveghetorilor este instituit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funcţionează</w:t>
      </w:r>
      <w:proofErr w:type="spellEnd"/>
      <w:r w:rsidRPr="000508B6">
        <w:rPr>
          <w:rFonts w:ascii="Times New Roman" w:hAnsi="Times New Roman" w:cs="Times New Roman"/>
          <w:lang w:val="ro-MD"/>
        </w:rPr>
        <w:t xml:space="preserve"> în baza unui acord de coordonare elaborat conform art. </w:t>
      </w:r>
      <w:r w:rsidR="00654575" w:rsidRPr="000508B6">
        <w:rPr>
          <w:rFonts w:ascii="Times New Roman" w:hAnsi="Times New Roman" w:cs="Times New Roman"/>
          <w:lang w:val="ro-MD"/>
        </w:rPr>
        <w:t xml:space="preserve">193 </w:t>
      </w:r>
      <w:r w:rsidRPr="000508B6">
        <w:rPr>
          <w:rFonts w:ascii="Times New Roman" w:hAnsi="Times New Roman" w:cs="Times New Roman"/>
          <w:lang w:val="ro-MD"/>
        </w:rPr>
        <w:t xml:space="preserve">alin. (2) lit. i), care cuprinde, în mod obligatoriu, proceduri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pentru elementele prevăzute la lit. a)-d)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opţional</w:t>
      </w:r>
      <w:proofErr w:type="spellEnd"/>
      <w:r w:rsidRPr="000508B6">
        <w:rPr>
          <w:rFonts w:ascii="Times New Roman" w:hAnsi="Times New Roman" w:cs="Times New Roman"/>
          <w:lang w:val="ro-MD"/>
        </w:rPr>
        <w:t xml:space="preserve">, pentru cele prevăzute la lit. 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f):</w:t>
      </w:r>
      <w:r w:rsidRPr="000508B6">
        <w:rPr>
          <w:rFonts w:ascii="Times New Roman" w:hAnsi="Times New Roman" w:cs="Times New Roman"/>
          <w:i/>
          <w:color w:val="FF0000"/>
          <w:lang w:val="ro-MD"/>
        </w:rPr>
        <w:t xml:space="preserve"> </w:t>
      </w:r>
    </w:p>
    <w:p w14:paraId="74B12D5D" w14:textId="57B70A1A" w:rsidR="00AC4E00" w:rsidRPr="000508B6" w:rsidRDefault="00AC4E00" w:rsidP="00CF5AFA">
      <w:pPr>
        <w:pStyle w:val="Listparagraf"/>
        <w:numPr>
          <w:ilvl w:val="2"/>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procesul decizional privind desemnarea supraveghetorului coordonator în </w:t>
      </w:r>
      <w:proofErr w:type="spellStart"/>
      <w:r w:rsidRPr="000508B6">
        <w:rPr>
          <w:rFonts w:ascii="Times New Roman" w:hAnsi="Times New Roman" w:cs="Times New Roman"/>
          <w:lang w:val="ro-MD"/>
        </w:rPr>
        <w:t>situaţii</w:t>
      </w:r>
      <w:proofErr w:type="spellEnd"/>
      <w:r w:rsidRPr="000508B6">
        <w:rPr>
          <w:rFonts w:ascii="Times New Roman" w:hAnsi="Times New Roman" w:cs="Times New Roman"/>
          <w:lang w:val="ro-MD"/>
        </w:rPr>
        <w:t xml:space="preserve"> similare celor prevăzute la art. </w:t>
      </w:r>
      <w:r w:rsidR="00654575" w:rsidRPr="000508B6">
        <w:rPr>
          <w:rFonts w:ascii="Times New Roman" w:hAnsi="Times New Roman" w:cs="Times New Roman"/>
          <w:lang w:val="ro-MD"/>
        </w:rPr>
        <w:t>193</w:t>
      </w:r>
      <w:r w:rsidR="00694BDB"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w:t>
      </w:r>
    </w:p>
    <w:p w14:paraId="4C262D6A" w14:textId="240B645C" w:rsidR="00AC4E00" w:rsidRPr="000508B6" w:rsidRDefault="00AC4E00" w:rsidP="00CF5AFA">
      <w:pPr>
        <w:pStyle w:val="Listparagraf"/>
        <w:numPr>
          <w:ilvl w:val="2"/>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procesul decizional privind modelul intern al grupului, conform prevederilor aplicabile prevăzute la art. </w:t>
      </w:r>
      <w:r w:rsidR="00654575" w:rsidRPr="000508B6">
        <w:rPr>
          <w:rFonts w:ascii="Times New Roman" w:hAnsi="Times New Roman" w:cs="Times New Roman"/>
          <w:lang w:val="ro-MD"/>
        </w:rPr>
        <w:t>193</w:t>
      </w:r>
      <w:r w:rsidRPr="000508B6">
        <w:rPr>
          <w:rFonts w:ascii="Times New Roman" w:hAnsi="Times New Roman" w:cs="Times New Roman"/>
          <w:lang w:val="ro-MD"/>
        </w:rPr>
        <w:t xml:space="preserve">; </w:t>
      </w:r>
    </w:p>
    <w:p w14:paraId="6FA9133F" w14:textId="46FC921C" w:rsidR="00AC4E00" w:rsidRPr="000508B6" w:rsidRDefault="00AC4E00" w:rsidP="00CF5AFA">
      <w:pPr>
        <w:pStyle w:val="Listparagraf"/>
        <w:numPr>
          <w:ilvl w:val="2"/>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procesul decizional privind majorarea </w:t>
      </w:r>
      <w:r w:rsidR="00FC36AC" w:rsidRPr="000508B6">
        <w:rPr>
          <w:rFonts w:ascii="Times New Roman" w:hAnsi="Times New Roman" w:cs="Times New Roman"/>
          <w:lang w:val="ro-MD"/>
        </w:rPr>
        <w:t>SCR</w:t>
      </w:r>
      <w:r w:rsidRPr="000508B6">
        <w:rPr>
          <w:rFonts w:ascii="Times New Roman" w:hAnsi="Times New Roman" w:cs="Times New Roman"/>
          <w:lang w:val="ro-MD"/>
        </w:rPr>
        <w:t xml:space="preserve"> impusă grupului conform art. </w:t>
      </w:r>
      <w:r w:rsidR="00654575" w:rsidRPr="000508B6">
        <w:rPr>
          <w:rFonts w:ascii="Times New Roman" w:hAnsi="Times New Roman" w:cs="Times New Roman"/>
          <w:lang w:val="ro-MD"/>
        </w:rPr>
        <w:t>139</w:t>
      </w:r>
      <w:r w:rsidRPr="000508B6">
        <w:rPr>
          <w:rFonts w:ascii="Times New Roman" w:hAnsi="Times New Roman" w:cs="Times New Roman"/>
          <w:lang w:val="ro-MD"/>
        </w:rPr>
        <w:t xml:space="preserve">; </w:t>
      </w:r>
    </w:p>
    <w:p w14:paraId="44544CA0" w14:textId="0A8E7EB1" w:rsidR="00AC4E00" w:rsidRPr="000508B6" w:rsidRDefault="00AC4E00" w:rsidP="00CF5AFA">
      <w:pPr>
        <w:pStyle w:val="Listparagraf"/>
        <w:numPr>
          <w:ilvl w:val="2"/>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consultarea reciprocă privind supravegherea </w:t>
      </w:r>
      <w:proofErr w:type="spellStart"/>
      <w:r w:rsidRPr="000508B6">
        <w:rPr>
          <w:rFonts w:ascii="Times New Roman" w:hAnsi="Times New Roman" w:cs="Times New Roman"/>
          <w:lang w:val="ro-MD"/>
        </w:rPr>
        <w:t>solvabilităţii</w:t>
      </w:r>
      <w:proofErr w:type="spellEnd"/>
      <w:r w:rsidRPr="000508B6">
        <w:rPr>
          <w:rFonts w:ascii="Times New Roman" w:hAnsi="Times New Roman" w:cs="Times New Roman"/>
          <w:lang w:val="ro-MD"/>
        </w:rPr>
        <w:t xml:space="preserve"> la nivel de grup, conform art. </w:t>
      </w:r>
      <w:r w:rsidR="00CC75B1" w:rsidRPr="000508B6">
        <w:rPr>
          <w:rFonts w:ascii="Times New Roman" w:hAnsi="Times New Roman" w:cs="Times New Roman"/>
          <w:lang w:val="ro-MD"/>
        </w:rPr>
        <w:t>122</w:t>
      </w:r>
      <w:r w:rsidR="00844E0C"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
    <w:p w14:paraId="710C6FF6" w14:textId="438A590C" w:rsidR="00AC4E00" w:rsidRPr="000508B6" w:rsidRDefault="00AC4E00" w:rsidP="00CF5AFA">
      <w:pPr>
        <w:pStyle w:val="Listparagraf"/>
        <w:numPr>
          <w:ilvl w:val="2"/>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consultarea reciprocă în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aplicabile prevăzute la art. </w:t>
      </w:r>
      <w:r w:rsidR="00654575" w:rsidRPr="000508B6">
        <w:rPr>
          <w:rFonts w:ascii="Times New Roman" w:hAnsi="Times New Roman" w:cs="Times New Roman"/>
          <w:lang w:val="ro-MD"/>
        </w:rPr>
        <w:t>193</w:t>
      </w:r>
      <w:r w:rsidRPr="000508B6">
        <w:rPr>
          <w:rFonts w:ascii="Times New Roman" w:hAnsi="Times New Roman" w:cs="Times New Roman"/>
          <w:lang w:val="ro-MD"/>
        </w:rPr>
        <w:t>-</w:t>
      </w:r>
      <w:r w:rsidR="00654575" w:rsidRPr="000508B6">
        <w:rPr>
          <w:rFonts w:ascii="Times New Roman" w:hAnsi="Times New Roman" w:cs="Times New Roman"/>
          <w:lang w:val="ro-MD"/>
        </w:rPr>
        <w:t>195</w:t>
      </w:r>
      <w:r w:rsidRPr="000508B6">
        <w:rPr>
          <w:rFonts w:ascii="Times New Roman" w:hAnsi="Times New Roman" w:cs="Times New Roman"/>
          <w:lang w:val="ro-MD"/>
        </w:rPr>
        <w:t xml:space="preserve">; </w:t>
      </w:r>
    </w:p>
    <w:p w14:paraId="05302868" w14:textId="77777777" w:rsidR="00AC4E00" w:rsidRPr="000508B6" w:rsidRDefault="00AC4E00" w:rsidP="00CF5AFA">
      <w:pPr>
        <w:pStyle w:val="Listparagraf"/>
        <w:numPr>
          <w:ilvl w:val="2"/>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cooperarea cu </w:t>
      </w:r>
      <w:proofErr w:type="spellStart"/>
      <w:r w:rsidRPr="000508B6">
        <w:rPr>
          <w:rFonts w:ascii="Times New Roman" w:hAnsi="Times New Roman" w:cs="Times New Roman"/>
          <w:lang w:val="ro-MD"/>
        </w:rPr>
        <w:t>alţi</w:t>
      </w:r>
      <w:proofErr w:type="spellEnd"/>
      <w:r w:rsidRPr="000508B6">
        <w:rPr>
          <w:rFonts w:ascii="Times New Roman" w:hAnsi="Times New Roman" w:cs="Times New Roman"/>
          <w:lang w:val="ro-MD"/>
        </w:rPr>
        <w:t xml:space="preserve"> supraveghetori. </w:t>
      </w:r>
    </w:p>
    <w:p w14:paraId="238AD0F6" w14:textId="40A9C167" w:rsidR="00AC4E00" w:rsidRPr="000508B6" w:rsidRDefault="00AC4E00" w:rsidP="00CF5AFA">
      <w:pPr>
        <w:pStyle w:val="Listparagraf"/>
        <w:numPr>
          <w:ilvl w:val="1"/>
          <w:numId w:val="74"/>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Acordul de coordonare prevăzut la alin. (1) poate cuprinde </w:t>
      </w:r>
      <w:proofErr w:type="spellStart"/>
      <w:r w:rsidRPr="000508B6">
        <w:rPr>
          <w:rFonts w:ascii="Times New Roman" w:hAnsi="Times New Roman" w:cs="Times New Roman"/>
          <w:lang w:val="ro-MD"/>
        </w:rPr>
        <w:t>atribuţii</w:t>
      </w:r>
      <w:proofErr w:type="spellEnd"/>
      <w:r w:rsidRPr="000508B6">
        <w:rPr>
          <w:rFonts w:ascii="Times New Roman" w:hAnsi="Times New Roman" w:cs="Times New Roman"/>
          <w:lang w:val="ro-MD"/>
        </w:rPr>
        <w:t xml:space="preserve"> suplimentare pentru membrii colegiului supraveghetorilor, dacă acest lucru este necesar pentru realizarea unui proces de supraveghere eficientă a grupului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nu afectează exercitarea </w:t>
      </w:r>
      <w:proofErr w:type="spellStart"/>
      <w:r w:rsidRPr="000508B6">
        <w:rPr>
          <w:rFonts w:ascii="Times New Roman" w:hAnsi="Times New Roman" w:cs="Times New Roman"/>
          <w:lang w:val="ro-MD"/>
        </w:rPr>
        <w:t>atribuţiilor</w:t>
      </w:r>
      <w:proofErr w:type="spellEnd"/>
      <w:r w:rsidRPr="000508B6">
        <w:rPr>
          <w:rFonts w:ascii="Times New Roman" w:hAnsi="Times New Roman" w:cs="Times New Roman"/>
          <w:lang w:val="ro-MD"/>
        </w:rPr>
        <w:t xml:space="preserve"> de supraveghere individuale ale membrilor colegiului supraveghetorilor. </w:t>
      </w:r>
    </w:p>
    <w:p w14:paraId="1F7F232B" w14:textId="47A283DE" w:rsidR="00AC4E00" w:rsidRPr="000508B6" w:rsidRDefault="00AC4E00" w:rsidP="00230ADD">
      <w:pPr>
        <w:pStyle w:val="Listparagraf"/>
        <w:numPr>
          <w:ilvl w:val="1"/>
          <w:numId w:val="7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Prin </w:t>
      </w:r>
      <w:proofErr w:type="spellStart"/>
      <w:r w:rsidRPr="000508B6">
        <w:rPr>
          <w:rFonts w:ascii="Times New Roman" w:hAnsi="Times New Roman" w:cs="Times New Roman"/>
          <w:lang w:val="ro-MD"/>
        </w:rPr>
        <w:t>excepţie</w:t>
      </w:r>
      <w:proofErr w:type="spellEnd"/>
      <w:r w:rsidRPr="000508B6">
        <w:rPr>
          <w:rFonts w:ascii="Times New Roman" w:hAnsi="Times New Roman" w:cs="Times New Roman"/>
          <w:lang w:val="ro-MD"/>
        </w:rPr>
        <w:t xml:space="preserve"> de la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similare celor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654575" w:rsidRPr="000508B6">
        <w:rPr>
          <w:rFonts w:ascii="Times New Roman" w:hAnsi="Times New Roman" w:cs="Times New Roman"/>
          <w:lang w:val="ro-MD"/>
        </w:rPr>
        <w:t xml:space="preserve">193 </w:t>
      </w:r>
      <w:r w:rsidRPr="000508B6">
        <w:rPr>
          <w:rFonts w:ascii="Times New Roman" w:hAnsi="Times New Roman" w:cs="Times New Roman"/>
          <w:lang w:val="ro-MD"/>
        </w:rPr>
        <w:t xml:space="preserve">alin. (1), în cadrul colegiului supraveghetorilor, la solicitarea Băncii Naționale a Moldovei sau a altui membru, se poate adopta, în comun, cel mult odată pe an, o decizie de desemnare a unui alt supraveghetor coordonator, dacă aplicarea criteriilor respective nu mai este adecvată, având în vedere următoarele: </w:t>
      </w:r>
    </w:p>
    <w:p w14:paraId="6B74EC21" w14:textId="77777777" w:rsidR="00AC4E00" w:rsidRPr="000508B6" w:rsidRDefault="00AC4E00" w:rsidP="00230ADD">
      <w:pPr>
        <w:pStyle w:val="Listparagraf"/>
        <w:numPr>
          <w:ilvl w:val="2"/>
          <w:numId w:val="7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structura grupului; </w:t>
      </w:r>
    </w:p>
    <w:p w14:paraId="7F93A113" w14:textId="4AE76078" w:rsidR="00AC4E00" w:rsidRPr="000508B6" w:rsidRDefault="00AC4E00" w:rsidP="00230ADD">
      <w:pPr>
        <w:pStyle w:val="Listparagraf"/>
        <w:numPr>
          <w:ilvl w:val="2"/>
          <w:numId w:val="75"/>
        </w:numPr>
        <w:tabs>
          <w:tab w:val="left" w:pos="709"/>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gradul de </w:t>
      </w:r>
      <w:proofErr w:type="spellStart"/>
      <w:r w:rsidRPr="000508B6">
        <w:rPr>
          <w:rFonts w:ascii="Times New Roman" w:hAnsi="Times New Roman" w:cs="Times New Roman"/>
          <w:lang w:val="ro-MD"/>
        </w:rPr>
        <w:t>semnificaţie</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w:t>
      </w:r>
      <w:r w:rsidR="00A40C1E" w:rsidRPr="000508B6">
        <w:rPr>
          <w:rFonts w:ascii="Times New Roman" w:hAnsi="Times New Roman" w:cs="Times New Roman"/>
          <w:lang w:val="ro-MD"/>
        </w:rPr>
        <w:t xml:space="preserve">asigurătorilor sau </w:t>
      </w:r>
      <w:proofErr w:type="spellStart"/>
      <w:r w:rsidR="00A40C1E" w:rsidRPr="000508B6">
        <w:rPr>
          <w:rFonts w:ascii="Times New Roman" w:hAnsi="Times New Roman" w:cs="Times New Roman"/>
          <w:lang w:val="ro-MD"/>
        </w:rPr>
        <w:t>reasigurătorilor</w:t>
      </w:r>
      <w:proofErr w:type="spellEnd"/>
      <w:r w:rsidR="00A40C1E"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w:t>
      </w:r>
      <w:proofErr w:type="spellStart"/>
      <w:r w:rsidRPr="000508B6">
        <w:rPr>
          <w:rFonts w:ascii="Times New Roman" w:hAnsi="Times New Roman" w:cs="Times New Roman"/>
          <w:lang w:val="ro-MD"/>
        </w:rPr>
        <w:t>aparţin</w:t>
      </w:r>
      <w:proofErr w:type="spellEnd"/>
      <w:r w:rsidRPr="000508B6">
        <w:rPr>
          <w:rFonts w:ascii="Times New Roman" w:hAnsi="Times New Roman" w:cs="Times New Roman"/>
          <w:lang w:val="ro-MD"/>
        </w:rPr>
        <w:t xml:space="preserve"> grupului. </w:t>
      </w:r>
    </w:p>
    <w:p w14:paraId="5D97561A" w14:textId="6412FDE1" w:rsidR="00AC4E00" w:rsidRPr="000508B6" w:rsidRDefault="00AC4E00" w:rsidP="006C7C32">
      <w:pPr>
        <w:pStyle w:val="Listparagraf"/>
        <w:numPr>
          <w:ilvl w:val="1"/>
          <w:numId w:val="74"/>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supraveghetori desemnează supraveghetorul coordonator în cel mult 3 luni de la efectuarea solicitării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(3), considerat termen de conciliere, după consultarea grupului respectiv</w:t>
      </w:r>
      <w:r w:rsidR="00D00A3D" w:rsidRPr="000508B6">
        <w:rPr>
          <w:rFonts w:ascii="Times New Roman" w:hAnsi="Times New Roman" w:cs="Times New Roman"/>
          <w:lang w:val="ro-MD"/>
        </w:rPr>
        <w:t xml:space="preserve">. </w:t>
      </w:r>
      <w:r w:rsidR="0098736F" w:rsidRPr="000508B6">
        <w:rPr>
          <w:rFonts w:ascii="Times New Roman" w:hAnsi="Times New Roman" w:cs="Times New Roman"/>
          <w:lang w:val="ro-MD"/>
        </w:rPr>
        <w:t>Î</w:t>
      </w:r>
      <w:r w:rsidRPr="000508B6">
        <w:rPr>
          <w:rFonts w:ascii="Times New Roman" w:hAnsi="Times New Roman" w:cs="Times New Roman"/>
          <w:lang w:val="ro-MD"/>
        </w:rPr>
        <w:t xml:space="preserve">n cazul în care Banca Națională a Moldovei sau alt supraveghetor solicită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decizia de desemnare se adoptă în conformitate cu punctul de vedere exprimat de EIOPA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aceasta este considerată definitivă. </w:t>
      </w:r>
    </w:p>
    <w:p w14:paraId="11CF1B8F" w14:textId="78C97824" w:rsidR="00AC4E00" w:rsidRPr="000508B6" w:rsidRDefault="00AC4E00" w:rsidP="00230ADD">
      <w:pPr>
        <w:pStyle w:val="Listparagraf"/>
        <w:numPr>
          <w:ilvl w:val="1"/>
          <w:numId w:val="74"/>
        </w:numPr>
        <w:tabs>
          <w:tab w:val="left" w:pos="567"/>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Deciziile adoptate de Banca Națională a Moldovei în cadrul colegiului supraveghetorilor sunt motivate temeinic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conformitate cu deciziile emise de EIOPA fiind comunicate colegiului supraveghetorilor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9D6FAA" w:rsidRPr="000508B6">
        <w:rPr>
          <w:rFonts w:ascii="Times New Roman" w:hAnsi="Times New Roman" w:cs="Times New Roman"/>
          <w:lang w:val="ro-MD"/>
        </w:rPr>
        <w:t xml:space="preserve">asigurătorului sau </w:t>
      </w:r>
      <w:proofErr w:type="spellStart"/>
      <w:r w:rsidR="009D6FAA" w:rsidRPr="000508B6">
        <w:rPr>
          <w:rFonts w:ascii="Times New Roman" w:hAnsi="Times New Roman" w:cs="Times New Roman"/>
          <w:lang w:val="ro-MD"/>
        </w:rPr>
        <w:t>reasigurătorului</w:t>
      </w:r>
      <w:proofErr w:type="spellEnd"/>
      <w:r w:rsidR="009D6FAA" w:rsidRPr="000508B6">
        <w:rPr>
          <w:rFonts w:ascii="Times New Roman" w:hAnsi="Times New Roman" w:cs="Times New Roman"/>
          <w:lang w:val="ro-MD"/>
        </w:rPr>
        <w:t xml:space="preserve"> </w:t>
      </w:r>
      <w:r w:rsidRPr="000508B6">
        <w:rPr>
          <w:rFonts w:ascii="Times New Roman" w:hAnsi="Times New Roman" w:cs="Times New Roman"/>
          <w:lang w:val="ro-MD"/>
        </w:rPr>
        <w:t xml:space="preserve">vizat. </w:t>
      </w:r>
    </w:p>
    <w:p w14:paraId="5160F6F1" w14:textId="08E5F3DF" w:rsidR="00AC4E00" w:rsidRPr="000508B6" w:rsidRDefault="00AC4E00" w:rsidP="00230ADD">
      <w:pPr>
        <w:pStyle w:val="Listparagraf"/>
        <w:numPr>
          <w:ilvl w:val="1"/>
          <w:numId w:val="74"/>
        </w:numPr>
        <w:tabs>
          <w:tab w:val="left" w:pos="567"/>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convoacă de </w:t>
      </w:r>
      <w:proofErr w:type="spellStart"/>
      <w:r w:rsidRPr="000508B6">
        <w:rPr>
          <w:rFonts w:ascii="Times New Roman" w:hAnsi="Times New Roman" w:cs="Times New Roman"/>
          <w:lang w:val="ro-MD"/>
        </w:rPr>
        <w:t>urgenţă</w:t>
      </w:r>
      <w:proofErr w:type="spellEnd"/>
      <w:r w:rsidRPr="000508B6">
        <w:rPr>
          <w:rFonts w:ascii="Times New Roman" w:hAnsi="Times New Roman" w:cs="Times New Roman"/>
          <w:lang w:val="ro-MD"/>
        </w:rPr>
        <w:t xml:space="preserve"> o întâlnire a colegiului supraveghetorilor atunci când: </w:t>
      </w:r>
    </w:p>
    <w:p w14:paraId="0FEE6C05" w14:textId="2ADFD943" w:rsidR="00AC4E00" w:rsidRPr="000508B6" w:rsidRDefault="00AC4E00" w:rsidP="00230ADD">
      <w:pPr>
        <w:tabs>
          <w:tab w:val="left" w:pos="567"/>
          <w:tab w:val="left" w:pos="709"/>
          <w:tab w:val="left" w:pos="851"/>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 constată o încălcare semnificativă a SCR sau a MCR de către </w:t>
      </w:r>
      <w:r w:rsidR="00AF2FA3" w:rsidRPr="000508B6">
        <w:rPr>
          <w:rFonts w:ascii="Times New Roman" w:hAnsi="Times New Roman" w:cs="Times New Roman"/>
          <w:lang w:val="ro-MD"/>
        </w:rPr>
        <w:t xml:space="preserve">un asigurător sau </w:t>
      </w:r>
      <w:proofErr w:type="spellStart"/>
      <w:r w:rsidR="00AF2FA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p>
    <w:p w14:paraId="48B2C7F1" w14:textId="2AD9FAE7" w:rsidR="00AC4E00" w:rsidRPr="000508B6" w:rsidRDefault="00AC4E00" w:rsidP="00230ADD">
      <w:pPr>
        <w:tabs>
          <w:tab w:val="left" w:pos="567"/>
          <w:tab w:val="left" w:pos="709"/>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b) constată o încălcare semnificativă a SCR la nivel de grup, indiferent de metoda de calcul aleasă, conform art. </w:t>
      </w:r>
      <w:r w:rsidR="00FF123A" w:rsidRPr="000508B6">
        <w:rPr>
          <w:rFonts w:ascii="Times New Roman" w:hAnsi="Times New Roman" w:cs="Times New Roman"/>
          <w:lang w:val="ro-MD"/>
        </w:rPr>
        <w:t>134</w:t>
      </w:r>
      <w:r w:rsidRPr="000508B6">
        <w:rPr>
          <w:rFonts w:ascii="Times New Roman" w:hAnsi="Times New Roman" w:cs="Times New Roman"/>
          <w:lang w:val="ro-MD"/>
        </w:rPr>
        <w:t>-</w:t>
      </w:r>
      <w:r w:rsidR="00FF123A" w:rsidRPr="000508B6">
        <w:rPr>
          <w:rFonts w:ascii="Times New Roman" w:hAnsi="Times New Roman" w:cs="Times New Roman"/>
          <w:lang w:val="ro-MD"/>
        </w:rPr>
        <w:t>138</w:t>
      </w:r>
      <w:r w:rsidRPr="000508B6">
        <w:rPr>
          <w:rFonts w:ascii="Times New Roman" w:hAnsi="Times New Roman" w:cs="Times New Roman"/>
          <w:lang w:val="ro-MD"/>
        </w:rPr>
        <w:t xml:space="preserve">; </w:t>
      </w:r>
    </w:p>
    <w:p w14:paraId="0DAD5760" w14:textId="77974718" w:rsidR="00AC4E00" w:rsidRPr="000508B6" w:rsidRDefault="00AC4E00" w:rsidP="00230ADD">
      <w:pPr>
        <w:tabs>
          <w:tab w:val="left" w:pos="567"/>
          <w:tab w:val="left" w:pos="709"/>
          <w:tab w:val="left" w:pos="993"/>
        </w:tabs>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c) </w:t>
      </w:r>
      <w:r w:rsidR="006C0050" w:rsidRPr="000508B6">
        <w:rPr>
          <w:rFonts w:ascii="Times New Roman" w:hAnsi="Times New Roman" w:cs="Times New Roman"/>
          <w:lang w:val="ro-MD"/>
        </w:rPr>
        <w:t xml:space="preserve">apare sau a apărut </w:t>
      </w:r>
      <w:r w:rsidRPr="000508B6">
        <w:rPr>
          <w:rFonts w:ascii="Times New Roman" w:hAnsi="Times New Roman" w:cs="Times New Roman"/>
          <w:lang w:val="ro-MD"/>
        </w:rPr>
        <w:t xml:space="preserve">o </w:t>
      </w:r>
      <w:proofErr w:type="spellStart"/>
      <w:r w:rsidRPr="000508B6">
        <w:rPr>
          <w:rFonts w:ascii="Times New Roman" w:hAnsi="Times New Roman" w:cs="Times New Roman"/>
          <w:lang w:val="ro-MD"/>
        </w:rPr>
        <w:t>situaţie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excepţională</w:t>
      </w:r>
      <w:proofErr w:type="spellEnd"/>
      <w:r w:rsidRPr="000508B6">
        <w:rPr>
          <w:rFonts w:ascii="Times New Roman" w:hAnsi="Times New Roman" w:cs="Times New Roman"/>
          <w:lang w:val="ro-MD"/>
        </w:rPr>
        <w:t xml:space="preserve">. </w:t>
      </w:r>
    </w:p>
    <w:p w14:paraId="4DFDA3CA" w14:textId="5E0BE1E5" w:rsidR="00AC4E00" w:rsidRPr="000508B6" w:rsidRDefault="00AC4E00" w:rsidP="00230ADD">
      <w:pPr>
        <w:pStyle w:val="Listparagraf"/>
        <w:numPr>
          <w:ilvl w:val="1"/>
          <w:numId w:val="74"/>
        </w:numPr>
        <w:tabs>
          <w:tab w:val="left" w:pos="567"/>
          <w:tab w:val="left" w:pos="709"/>
          <w:tab w:val="left" w:pos="993"/>
        </w:tabs>
        <w:spacing w:after="0" w:line="240" w:lineRule="auto"/>
        <w:ind w:left="0" w:firstLine="426"/>
        <w:jc w:val="both"/>
        <w:rPr>
          <w:rFonts w:ascii="Times New Roman" w:hAnsi="Times New Roman" w:cs="Times New Roman"/>
          <w:color w:val="FF0000"/>
          <w:lang w:val="ro-MD"/>
        </w:rPr>
      </w:pPr>
      <w:r w:rsidRPr="000508B6">
        <w:rPr>
          <w:rFonts w:ascii="Times New Roman" w:hAnsi="Times New Roman" w:cs="Times New Roman"/>
          <w:lang w:val="ro-MD"/>
        </w:rPr>
        <w:t xml:space="preserve">Banca Națională a Moldovei poate exercita </w:t>
      </w:r>
      <w:proofErr w:type="spellStart"/>
      <w:r w:rsidRPr="000508B6">
        <w:rPr>
          <w:rFonts w:ascii="Times New Roman" w:hAnsi="Times New Roman" w:cs="Times New Roman"/>
          <w:lang w:val="ro-MD"/>
        </w:rPr>
        <w:t>activităţi</w:t>
      </w:r>
      <w:proofErr w:type="spellEnd"/>
      <w:r w:rsidRPr="000508B6">
        <w:rPr>
          <w:rFonts w:ascii="Times New Roman" w:hAnsi="Times New Roman" w:cs="Times New Roman"/>
          <w:lang w:val="ro-MD"/>
        </w:rPr>
        <w:t xml:space="preserve"> specifice în cadrul colegiului supraveghetorilor împreună cu un număr restrâns de membri. </w:t>
      </w:r>
    </w:p>
    <w:p w14:paraId="168152C7" w14:textId="77777777" w:rsidR="00AC4E00" w:rsidRPr="000508B6" w:rsidRDefault="00AC4E00" w:rsidP="00AC4E00">
      <w:pPr>
        <w:spacing w:after="0" w:line="240" w:lineRule="auto"/>
        <w:ind w:firstLine="426"/>
        <w:jc w:val="both"/>
        <w:rPr>
          <w:rFonts w:ascii="Times New Roman" w:hAnsi="Times New Roman" w:cs="Times New Roman"/>
          <w:b/>
          <w:lang w:val="ro-MD"/>
        </w:rPr>
      </w:pPr>
    </w:p>
    <w:p w14:paraId="7A516053" w14:textId="6A41CA2C"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193</w:t>
      </w:r>
      <w:r w:rsidRPr="000508B6">
        <w:rPr>
          <w:rFonts w:ascii="Times New Roman" w:hAnsi="Times New Roman" w:cs="Times New Roman"/>
          <w:b/>
          <w:lang w:val="ro-MD"/>
        </w:rPr>
        <w:t>.</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Atribuţiile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competenţele</w:t>
      </w:r>
      <w:proofErr w:type="spellEnd"/>
      <w:r w:rsidRPr="000508B6">
        <w:rPr>
          <w:rFonts w:ascii="Times New Roman" w:hAnsi="Times New Roman" w:cs="Times New Roman"/>
          <w:lang w:val="ro-MD"/>
        </w:rPr>
        <w:t xml:space="preserve"> Băncii Naționale a Moldovei în calitate de supraveghetor coordonator </w:t>
      </w:r>
    </w:p>
    <w:p w14:paraId="1EE94DA9" w14:textId="2580080E"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fi desemnată supraveghetor coordonator, responsabil de coordonarea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exercitarea supravegherii la nivel de grup, în următoarele </w:t>
      </w:r>
      <w:proofErr w:type="spellStart"/>
      <w:r w:rsidRPr="000508B6">
        <w:rPr>
          <w:rFonts w:ascii="Times New Roman" w:hAnsi="Times New Roman" w:cs="Times New Roman"/>
          <w:lang w:val="ro-MD"/>
        </w:rPr>
        <w:t>situaţii</w:t>
      </w:r>
      <w:proofErr w:type="spellEnd"/>
      <w:r w:rsidRPr="000508B6">
        <w:rPr>
          <w:rFonts w:ascii="Times New Roman" w:hAnsi="Times New Roman" w:cs="Times New Roman"/>
          <w:lang w:val="ro-MD"/>
        </w:rPr>
        <w:t xml:space="preserve">: </w:t>
      </w:r>
    </w:p>
    <w:p w14:paraId="77550975" w14:textId="3879DEC1" w:rsidR="00AC4E00" w:rsidRPr="000508B6" w:rsidRDefault="00AC4E00" w:rsidP="00D236F6">
      <w:pPr>
        <w:pStyle w:val="Listparagraf"/>
        <w:numPr>
          <w:ilvl w:val="2"/>
          <w:numId w:val="77"/>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toate </w:t>
      </w:r>
      <w:r w:rsidR="001011F1" w:rsidRPr="000508B6">
        <w:rPr>
          <w:rFonts w:ascii="Times New Roman" w:hAnsi="Times New Roman" w:cs="Times New Roman"/>
          <w:lang w:val="ro-MD"/>
        </w:rPr>
        <w:t xml:space="preserve">entitățile </w:t>
      </w:r>
      <w:r w:rsidRPr="000508B6">
        <w:rPr>
          <w:rFonts w:ascii="Times New Roman" w:hAnsi="Times New Roman" w:cs="Times New Roman"/>
          <w:lang w:val="ro-MD"/>
        </w:rPr>
        <w:t xml:space="preserve">membre ale grupului sunt supravegheate de Banca Națională a Moldovei; </w:t>
      </w:r>
    </w:p>
    <w:p w14:paraId="1458CF22" w14:textId="2907EB25" w:rsidR="00AC4E00" w:rsidRPr="000508B6" w:rsidRDefault="00D068AA" w:rsidP="00D236F6">
      <w:pPr>
        <w:pStyle w:val="Listparagraf"/>
        <w:numPr>
          <w:ilvl w:val="2"/>
          <w:numId w:val="77"/>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AC4E00" w:rsidRPr="000508B6">
        <w:rPr>
          <w:rFonts w:ascii="Times New Roman" w:hAnsi="Times New Roman" w:cs="Times New Roman"/>
          <w:lang w:val="ro-MD"/>
        </w:rPr>
        <w:t xml:space="preserve"> coordonator a grupului este licențiat de Banca Națională a Moldovei;</w:t>
      </w:r>
    </w:p>
    <w:p w14:paraId="2E0F081F" w14:textId="4D116025" w:rsidR="00AC4E00" w:rsidRPr="000508B6" w:rsidRDefault="00AC4E00" w:rsidP="00D236F6">
      <w:pPr>
        <w:pStyle w:val="Listparagraf"/>
        <w:numPr>
          <w:ilvl w:val="2"/>
          <w:numId w:val="77"/>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grupul nu este coordonat de un asigurător sau </w:t>
      </w:r>
      <w:proofErr w:type="spellStart"/>
      <w:r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
    <w:p w14:paraId="11B74CA7" w14:textId="2FD4C04F" w:rsidR="00AC4E00" w:rsidRPr="000508B6" w:rsidRDefault="009A0027" w:rsidP="00230ADD">
      <w:pPr>
        <w:pStyle w:val="Listparagraf"/>
        <w:numPr>
          <w:ilvl w:val="0"/>
          <w:numId w:val="78"/>
        </w:numPr>
        <w:tabs>
          <w:tab w:val="left" w:pos="567"/>
          <w:tab w:val="left" w:pos="709"/>
          <w:tab w:val="left" w:pos="993"/>
          <w:tab w:val="left" w:pos="1276"/>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00AC4E00" w:rsidRPr="000508B6">
        <w:rPr>
          <w:rFonts w:ascii="Times New Roman" w:hAnsi="Times New Roman" w:cs="Times New Roman"/>
          <w:lang w:val="ro-MD"/>
        </w:rPr>
        <w:t xml:space="preserve"> a cărei societate-mamă este un holding de asigurare sau un holding financiar mixt este licențiată de Banca Națională a Moldovei;</w:t>
      </w:r>
    </w:p>
    <w:p w14:paraId="40046FC5" w14:textId="189FE039" w:rsidR="00AC4E00" w:rsidRPr="000508B6" w:rsidRDefault="00AC4E00" w:rsidP="00230ADD">
      <w:pPr>
        <w:pStyle w:val="Listparagraf"/>
        <w:numPr>
          <w:ilvl w:val="0"/>
          <w:numId w:val="78"/>
        </w:numPr>
        <w:tabs>
          <w:tab w:val="left" w:pos="567"/>
          <w:tab w:val="left" w:pos="851"/>
          <w:tab w:val="left" w:pos="993"/>
          <w:tab w:val="left" w:pos="1276"/>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lastRenderedPageBreak/>
        <w:t xml:space="preserve">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w:t>
      </w:r>
      <w:r w:rsidR="00D67D8F" w:rsidRPr="000508B6">
        <w:rPr>
          <w:rFonts w:ascii="Times New Roman" w:hAnsi="Times New Roman" w:cs="Times New Roman"/>
          <w:lang w:val="ro-MD"/>
        </w:rPr>
        <w:t xml:space="preserve">doi asigurători sau </w:t>
      </w:r>
      <w:proofErr w:type="spellStart"/>
      <w:r w:rsidR="00D67D8F"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cu sediul central în state membre au ca societate-mamă </w:t>
      </w:r>
      <w:r w:rsidR="00EE7111" w:rsidRPr="000508B6">
        <w:rPr>
          <w:rFonts w:ascii="Times New Roman" w:hAnsi="Times New Roman" w:cs="Times New Roman"/>
          <w:lang w:val="ro-MD"/>
        </w:rPr>
        <w:t>același</w:t>
      </w:r>
      <w:r w:rsidRPr="000508B6">
        <w:rPr>
          <w:rFonts w:ascii="Times New Roman" w:hAnsi="Times New Roman" w:cs="Times New Roman"/>
          <w:lang w:val="ro-MD"/>
        </w:rPr>
        <w:t xml:space="preserve"> holding de asigurare sau un holding financiar mixt cu sediul central în Republica Moldova, iar una dintre aceste </w:t>
      </w:r>
      <w:r w:rsidR="00D67D8F" w:rsidRPr="000508B6">
        <w:rPr>
          <w:rFonts w:ascii="Times New Roman" w:hAnsi="Times New Roman" w:cs="Times New Roman"/>
          <w:lang w:val="ro-MD"/>
        </w:rPr>
        <w:t xml:space="preserve">entități </w:t>
      </w:r>
      <w:r w:rsidRPr="000508B6">
        <w:rPr>
          <w:rFonts w:ascii="Times New Roman" w:hAnsi="Times New Roman" w:cs="Times New Roman"/>
          <w:lang w:val="ro-MD"/>
        </w:rPr>
        <w:t xml:space="preserve">este licențiată de Banca Națională a Moldovei; </w:t>
      </w:r>
    </w:p>
    <w:p w14:paraId="0540AEE3" w14:textId="4869B0C4" w:rsidR="00AC4E00" w:rsidRPr="000508B6" w:rsidRDefault="00AC4E00" w:rsidP="00230ADD">
      <w:pPr>
        <w:pStyle w:val="Listparagraf"/>
        <w:numPr>
          <w:ilvl w:val="0"/>
          <w:numId w:val="78"/>
        </w:numPr>
        <w:tabs>
          <w:tab w:val="left" w:pos="567"/>
          <w:tab w:val="left" w:pos="851"/>
          <w:tab w:val="left" w:pos="993"/>
          <w:tab w:val="left" w:pos="1276"/>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este condus de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două holdinguri de asigurare sau holdinguri financiare mixte, unul cu sediul central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deţinând</w:t>
      </w:r>
      <w:proofErr w:type="spellEnd"/>
      <w:r w:rsidRPr="000508B6">
        <w:rPr>
          <w:rFonts w:ascii="Times New Roman" w:hAnsi="Times New Roman" w:cs="Times New Roman"/>
          <w:lang w:val="ro-MD"/>
        </w:rPr>
        <w:t xml:space="preserve"> </w:t>
      </w:r>
      <w:r w:rsidR="00A40C1E" w:rsidRPr="000508B6">
        <w:rPr>
          <w:rFonts w:ascii="Times New Roman" w:hAnsi="Times New Roman" w:cs="Times New Roman"/>
          <w:lang w:val="ro-MD"/>
        </w:rPr>
        <w:t xml:space="preserve">un asigurător sau </w:t>
      </w:r>
      <w:proofErr w:type="spellStart"/>
      <w:r w:rsidR="00A40C1E" w:rsidRPr="000508B6">
        <w:rPr>
          <w:rFonts w:ascii="Times New Roman" w:hAnsi="Times New Roman" w:cs="Times New Roman"/>
          <w:lang w:val="ro-MD"/>
        </w:rPr>
        <w:t>reasigurător</w:t>
      </w:r>
      <w:proofErr w:type="spellEnd"/>
      <w:r w:rsidR="00A40C1E" w:rsidRPr="000508B6">
        <w:rPr>
          <w:rFonts w:ascii="Times New Roman" w:hAnsi="Times New Roman" w:cs="Times New Roman"/>
          <w:lang w:val="ro-MD"/>
        </w:rPr>
        <w:t xml:space="preserve"> </w:t>
      </w:r>
      <w:r w:rsidRPr="000508B6">
        <w:rPr>
          <w:rFonts w:ascii="Times New Roman" w:hAnsi="Times New Roman" w:cs="Times New Roman"/>
          <w:lang w:val="ro-MD"/>
        </w:rPr>
        <w:t xml:space="preserve">în Republica Moldova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celălalt cu sediul central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deţinând</w:t>
      </w:r>
      <w:proofErr w:type="spellEnd"/>
      <w:r w:rsidRPr="000508B6">
        <w:rPr>
          <w:rFonts w:ascii="Times New Roman" w:hAnsi="Times New Roman" w:cs="Times New Roman"/>
          <w:lang w:val="ro-MD"/>
        </w:rPr>
        <w:t xml:space="preserve"> </w:t>
      </w:r>
      <w:r w:rsidR="00A40C1E" w:rsidRPr="000508B6">
        <w:rPr>
          <w:rFonts w:ascii="Times New Roman" w:hAnsi="Times New Roman" w:cs="Times New Roman"/>
          <w:lang w:val="ro-MD"/>
        </w:rPr>
        <w:t xml:space="preserve">un asigurător sau </w:t>
      </w:r>
      <w:proofErr w:type="spellStart"/>
      <w:r w:rsidR="00A40C1E" w:rsidRPr="000508B6">
        <w:rPr>
          <w:rFonts w:ascii="Times New Roman" w:hAnsi="Times New Roman" w:cs="Times New Roman"/>
          <w:lang w:val="ro-MD"/>
        </w:rPr>
        <w:t>reasigurător</w:t>
      </w:r>
      <w:proofErr w:type="spellEnd"/>
      <w:r w:rsidR="00A40C1E" w:rsidRPr="000508B6">
        <w:rPr>
          <w:rFonts w:ascii="Times New Roman" w:hAnsi="Times New Roman" w:cs="Times New Roman"/>
          <w:lang w:val="ro-MD"/>
        </w:rPr>
        <w:t xml:space="preserve"> </w:t>
      </w:r>
      <w:r w:rsidRPr="000508B6">
        <w:rPr>
          <w:rFonts w:ascii="Times New Roman" w:hAnsi="Times New Roman" w:cs="Times New Roman"/>
          <w:lang w:val="ro-MD"/>
        </w:rPr>
        <w:t>în</w:t>
      </w:r>
      <w:r w:rsidR="00BE3DE4" w:rsidRPr="000508B6">
        <w:rPr>
          <w:rFonts w:ascii="Times New Roman" w:hAnsi="Times New Roman" w:cs="Times New Roman"/>
          <w:lang w:val="ro-MD"/>
        </w:rPr>
        <w:t>tr-un</w:t>
      </w:r>
      <w:r w:rsidRPr="000508B6">
        <w:rPr>
          <w:rFonts w:ascii="Times New Roman" w:hAnsi="Times New Roman" w:cs="Times New Roman"/>
          <w:lang w:val="ro-MD"/>
        </w:rPr>
        <w:t xml:space="preserve"> stat membru, iar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cu cea mai mare valoare a </w:t>
      </w:r>
      <w:proofErr w:type="spellStart"/>
      <w:r w:rsidRPr="000508B6">
        <w:rPr>
          <w:rFonts w:ascii="Times New Roman" w:hAnsi="Times New Roman" w:cs="Times New Roman"/>
          <w:lang w:val="ro-MD"/>
        </w:rPr>
        <w:t>bilanţului</w:t>
      </w:r>
      <w:proofErr w:type="spellEnd"/>
      <w:r w:rsidRPr="000508B6">
        <w:rPr>
          <w:rFonts w:ascii="Times New Roman" w:hAnsi="Times New Roman" w:cs="Times New Roman"/>
          <w:lang w:val="ro-MD"/>
        </w:rPr>
        <w:t xml:space="preserve"> total este supravegheată de Banca Națională a Moldovei; </w:t>
      </w:r>
    </w:p>
    <w:p w14:paraId="1D81F789" w14:textId="19AF22AD" w:rsidR="00AC4E00" w:rsidRPr="000508B6" w:rsidRDefault="00AC4E00" w:rsidP="00230ADD">
      <w:pPr>
        <w:pStyle w:val="Listparagraf"/>
        <w:numPr>
          <w:ilvl w:val="0"/>
          <w:numId w:val="78"/>
        </w:numPr>
        <w:tabs>
          <w:tab w:val="left" w:pos="567"/>
          <w:tab w:val="left" w:pos="851"/>
          <w:tab w:val="left" w:pos="993"/>
          <w:tab w:val="left" w:pos="1276"/>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w:t>
      </w:r>
      <w:r w:rsidR="00A40C1E" w:rsidRPr="000508B6">
        <w:rPr>
          <w:rFonts w:ascii="Times New Roman" w:hAnsi="Times New Roman" w:cs="Times New Roman"/>
          <w:lang w:val="ro-MD"/>
        </w:rPr>
        <w:t xml:space="preserve">doi asigurători sau </w:t>
      </w:r>
      <w:proofErr w:type="spellStart"/>
      <w:r w:rsidR="00A40C1E" w:rsidRPr="000508B6">
        <w:rPr>
          <w:rFonts w:ascii="Times New Roman" w:hAnsi="Times New Roman" w:cs="Times New Roman"/>
          <w:lang w:val="ro-MD"/>
        </w:rPr>
        <w:t>reasigurători</w:t>
      </w:r>
      <w:proofErr w:type="spellEnd"/>
      <w:r w:rsidRPr="000508B6">
        <w:rPr>
          <w:rFonts w:ascii="Times New Roman" w:hAnsi="Times New Roman" w:cs="Times New Roman"/>
          <w:lang w:val="ro-MD"/>
        </w:rPr>
        <w:t xml:space="preserve"> cu sediul central în state membre au ca societate-mamă </w:t>
      </w:r>
      <w:r w:rsidR="000E2A40" w:rsidRPr="000508B6">
        <w:rPr>
          <w:rFonts w:ascii="Times New Roman" w:hAnsi="Times New Roman" w:cs="Times New Roman"/>
          <w:lang w:val="ro-MD"/>
        </w:rPr>
        <w:t>același</w:t>
      </w:r>
      <w:r w:rsidRPr="000508B6">
        <w:rPr>
          <w:rFonts w:ascii="Times New Roman" w:hAnsi="Times New Roman" w:cs="Times New Roman"/>
          <w:lang w:val="ro-MD"/>
        </w:rPr>
        <w:t xml:space="preserve"> holding de asigurare sau </w:t>
      </w:r>
      <w:proofErr w:type="spellStart"/>
      <w:r w:rsidRPr="000508B6">
        <w:rPr>
          <w:rFonts w:ascii="Times New Roman" w:hAnsi="Times New Roman" w:cs="Times New Roman"/>
          <w:lang w:val="ro-MD"/>
        </w:rPr>
        <w:t>acelaşi</w:t>
      </w:r>
      <w:proofErr w:type="spellEnd"/>
      <w:r w:rsidRPr="000508B6">
        <w:rPr>
          <w:rFonts w:ascii="Times New Roman" w:hAnsi="Times New Roman" w:cs="Times New Roman"/>
          <w:lang w:val="ro-MD"/>
        </w:rPr>
        <w:t xml:space="preserve"> holding financiar mixt cu sediul central în</w:t>
      </w:r>
      <w:r w:rsidR="00BE3DE4" w:rsidRPr="000508B6">
        <w:rPr>
          <w:rFonts w:ascii="Times New Roman" w:hAnsi="Times New Roman" w:cs="Times New Roman"/>
          <w:lang w:val="ro-MD"/>
        </w:rPr>
        <w:t>tr-un</w:t>
      </w:r>
      <w:r w:rsidRPr="000508B6">
        <w:rPr>
          <w:rFonts w:ascii="Times New Roman" w:hAnsi="Times New Roman" w:cs="Times New Roman"/>
          <w:lang w:val="ro-MD"/>
        </w:rPr>
        <w:t xml:space="preserve"> stat membru, iar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cu cea mai mare valoare totală a </w:t>
      </w:r>
      <w:proofErr w:type="spellStart"/>
      <w:r w:rsidRPr="000508B6">
        <w:rPr>
          <w:rFonts w:ascii="Times New Roman" w:hAnsi="Times New Roman" w:cs="Times New Roman"/>
          <w:lang w:val="ro-MD"/>
        </w:rPr>
        <w:t>bilanţului</w:t>
      </w:r>
      <w:proofErr w:type="spellEnd"/>
      <w:r w:rsidRPr="000508B6">
        <w:rPr>
          <w:rFonts w:ascii="Times New Roman" w:hAnsi="Times New Roman" w:cs="Times New Roman"/>
          <w:lang w:val="ro-MD"/>
        </w:rPr>
        <w:t xml:space="preserve"> este licențiată de Banca Națională a Moldovei; </w:t>
      </w:r>
    </w:p>
    <w:p w14:paraId="1E01F7AC" w14:textId="762FD841" w:rsidR="00AC4E00" w:rsidRPr="000508B6" w:rsidRDefault="00AC4E00" w:rsidP="00230ADD">
      <w:pPr>
        <w:pStyle w:val="Listparagraf"/>
        <w:numPr>
          <w:ilvl w:val="0"/>
          <w:numId w:val="78"/>
        </w:numPr>
        <w:tabs>
          <w:tab w:val="left" w:pos="426"/>
          <w:tab w:val="left" w:pos="851"/>
          <w:tab w:val="left" w:pos="993"/>
          <w:tab w:val="left" w:pos="1276"/>
        </w:tabs>
        <w:spacing w:after="0" w:line="240" w:lineRule="auto"/>
        <w:ind w:left="0" w:firstLine="709"/>
        <w:jc w:val="both"/>
        <w:rPr>
          <w:rFonts w:ascii="Times New Roman" w:hAnsi="Times New Roman" w:cs="Times New Roman"/>
          <w:lang w:val="ro-MD"/>
        </w:rPr>
      </w:pPr>
      <w:r w:rsidRPr="000508B6">
        <w:rPr>
          <w:rFonts w:ascii="Times New Roman" w:hAnsi="Times New Roman" w:cs="Times New Roman"/>
          <w:lang w:val="ro-MD"/>
        </w:rPr>
        <w:t xml:space="preserve">nu are societate-mamă sau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prevăzute la pct. (i)-(iv) nu sunt aplicabile, iar </w:t>
      </w:r>
      <w:r w:rsidR="00D068AA" w:rsidRPr="000508B6">
        <w:rPr>
          <w:rFonts w:ascii="Times New Roman" w:hAnsi="Times New Roman" w:cs="Times New Roman"/>
          <w:lang w:val="ro-MD"/>
        </w:rPr>
        <w:t xml:space="preserve">asigurătorul sau </w:t>
      </w:r>
      <w:proofErr w:type="spellStart"/>
      <w:r w:rsidR="00D068AA" w:rsidRPr="000508B6">
        <w:rPr>
          <w:rFonts w:ascii="Times New Roman" w:hAnsi="Times New Roman" w:cs="Times New Roman"/>
          <w:lang w:val="ro-MD"/>
        </w:rPr>
        <w:t>reasigurătorul</w:t>
      </w:r>
      <w:proofErr w:type="spellEnd"/>
      <w:r w:rsidRPr="000508B6">
        <w:rPr>
          <w:rFonts w:ascii="Times New Roman" w:hAnsi="Times New Roman" w:cs="Times New Roman"/>
          <w:lang w:val="ro-MD"/>
        </w:rPr>
        <w:t xml:space="preserve"> cu cea mai mare valoare totală a </w:t>
      </w:r>
      <w:proofErr w:type="spellStart"/>
      <w:r w:rsidRPr="000508B6">
        <w:rPr>
          <w:rFonts w:ascii="Times New Roman" w:hAnsi="Times New Roman" w:cs="Times New Roman"/>
          <w:lang w:val="ro-MD"/>
        </w:rPr>
        <w:t>bilanţului</w:t>
      </w:r>
      <w:proofErr w:type="spellEnd"/>
      <w:r w:rsidRPr="000508B6">
        <w:rPr>
          <w:rFonts w:ascii="Times New Roman" w:hAnsi="Times New Roman" w:cs="Times New Roman"/>
          <w:lang w:val="ro-MD"/>
        </w:rPr>
        <w:t xml:space="preserve"> este licențiată de Banca Națională a Moldovei. </w:t>
      </w:r>
    </w:p>
    <w:p w14:paraId="4C873E1A" w14:textId="3179B776" w:rsidR="00AC4E00" w:rsidRPr="000508B6" w:rsidRDefault="00AC4E00" w:rsidP="00D236F6">
      <w:pPr>
        <w:pStyle w:val="Listparagraf"/>
        <w:numPr>
          <w:ilvl w:val="0"/>
          <w:numId w:val="76"/>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în calitate de supraveghetor coordonator, are următoarele </w:t>
      </w:r>
      <w:proofErr w:type="spellStart"/>
      <w:r w:rsidRPr="000508B6">
        <w:rPr>
          <w:rFonts w:ascii="Times New Roman" w:hAnsi="Times New Roman" w:cs="Times New Roman"/>
          <w:lang w:val="ro-MD"/>
        </w:rPr>
        <w:t>atribuţii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w:t>
      </w:r>
      <w:proofErr w:type="spellEnd"/>
      <w:r w:rsidRPr="000508B6">
        <w:rPr>
          <w:rFonts w:ascii="Times New Roman" w:hAnsi="Times New Roman" w:cs="Times New Roman"/>
          <w:lang w:val="ro-MD"/>
        </w:rPr>
        <w:t xml:space="preserve">: </w:t>
      </w:r>
    </w:p>
    <w:p w14:paraId="7B664342" w14:textId="379D8811"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coordonează colectarea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transmiterea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relevante atât pentru supravegherea permanentă,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cazul </w:t>
      </w:r>
      <w:proofErr w:type="spellStart"/>
      <w:r w:rsidRPr="000508B6">
        <w:rPr>
          <w:rFonts w:ascii="Times New Roman" w:hAnsi="Times New Roman" w:cs="Times New Roman"/>
          <w:lang w:val="ro-MD"/>
        </w:rPr>
        <w:t>situaţiilor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urgenţă</w:t>
      </w:r>
      <w:proofErr w:type="spellEnd"/>
      <w:r w:rsidRPr="000508B6">
        <w:rPr>
          <w:rFonts w:ascii="Times New Roman" w:hAnsi="Times New Roman" w:cs="Times New Roman"/>
          <w:lang w:val="ro-MD"/>
        </w:rPr>
        <w:t xml:space="preserve">; </w:t>
      </w:r>
    </w:p>
    <w:p w14:paraId="1D2F36B0" w14:textId="77777777"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proofErr w:type="spellStart"/>
      <w:r w:rsidRPr="000508B6">
        <w:rPr>
          <w:rFonts w:ascii="Times New Roman" w:hAnsi="Times New Roman" w:cs="Times New Roman"/>
          <w:lang w:val="ro-MD"/>
        </w:rPr>
        <w:t>desfăşoară</w:t>
      </w:r>
      <w:proofErr w:type="spellEnd"/>
      <w:r w:rsidRPr="000508B6">
        <w:rPr>
          <w:rFonts w:ascii="Times New Roman" w:hAnsi="Times New Roman" w:cs="Times New Roman"/>
          <w:lang w:val="ro-MD"/>
        </w:rPr>
        <w:t xml:space="preserve"> procesul de supraveghere a grupului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evaluează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financiară a acestuia; </w:t>
      </w:r>
    </w:p>
    <w:p w14:paraId="3751AD38" w14:textId="56273CED"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evaluează modul în care grupul respectă prevederile prevăzute în </w:t>
      </w:r>
      <w:r w:rsidR="009A1B4A" w:rsidRPr="000508B6">
        <w:rPr>
          <w:rFonts w:ascii="Times New Roman" w:hAnsi="Times New Roman" w:cs="Times New Roman"/>
          <w:lang w:val="ro-MD"/>
        </w:rPr>
        <w:t>art. 122- 143</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la art. </w:t>
      </w:r>
      <w:r w:rsidR="00654575" w:rsidRPr="000508B6">
        <w:rPr>
          <w:rFonts w:ascii="Times New Roman" w:hAnsi="Times New Roman" w:cs="Times New Roman"/>
          <w:lang w:val="ro-MD"/>
        </w:rPr>
        <w:t xml:space="preserve">144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654575" w:rsidRPr="000508B6">
        <w:rPr>
          <w:rFonts w:ascii="Times New Roman" w:hAnsi="Times New Roman" w:cs="Times New Roman"/>
          <w:lang w:val="ro-MD"/>
        </w:rPr>
        <w:t>145</w:t>
      </w:r>
      <w:r w:rsidRPr="000508B6">
        <w:rPr>
          <w:rFonts w:ascii="Times New Roman" w:hAnsi="Times New Roman" w:cs="Times New Roman"/>
          <w:lang w:val="ro-MD"/>
        </w:rPr>
        <w:t xml:space="preserve">; </w:t>
      </w:r>
    </w:p>
    <w:p w14:paraId="536F086C" w14:textId="7047FF1B"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evaluează sistemul de </w:t>
      </w:r>
      <w:proofErr w:type="spellStart"/>
      <w:r w:rsidRPr="000508B6">
        <w:rPr>
          <w:rFonts w:ascii="Times New Roman" w:hAnsi="Times New Roman" w:cs="Times New Roman"/>
          <w:lang w:val="ro-MD"/>
        </w:rPr>
        <w:t>guvernanţă</w:t>
      </w:r>
      <w:proofErr w:type="spellEnd"/>
      <w:r w:rsidRPr="000508B6">
        <w:rPr>
          <w:rFonts w:ascii="Times New Roman" w:hAnsi="Times New Roman" w:cs="Times New Roman"/>
          <w:lang w:val="ro-MD"/>
        </w:rPr>
        <w:t xml:space="preserve"> al grupului conform art. </w:t>
      </w:r>
      <w:r w:rsidR="00654575" w:rsidRPr="000508B6">
        <w:rPr>
          <w:rFonts w:ascii="Times New Roman" w:hAnsi="Times New Roman" w:cs="Times New Roman"/>
          <w:lang w:val="ro-MD"/>
        </w:rPr>
        <w:t>146</w:t>
      </w:r>
      <w:r w:rsidR="00254479"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modul în care membrii organelor de conducere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participativ sau persoanele care conduc efectiv holdingul de asigurare ori holdingul financiar mixt</w:t>
      </w:r>
      <w:r w:rsidR="005B3849" w:rsidRPr="000508B6">
        <w:rPr>
          <w:rFonts w:ascii="Times New Roman" w:hAnsi="Times New Roman" w:cs="Times New Roman"/>
          <w:lang w:val="ro-MD"/>
        </w:rPr>
        <w:t>, după caz</w:t>
      </w:r>
      <w:r w:rsidR="003721D8" w:rsidRPr="000508B6">
        <w:rPr>
          <w:rFonts w:ascii="Times New Roman" w:hAnsi="Times New Roman" w:cs="Times New Roman"/>
          <w:lang w:val="ro-MD"/>
        </w:rPr>
        <w:t>,</w:t>
      </w:r>
      <w:r w:rsidR="005B3849" w:rsidRPr="000508B6">
        <w:rPr>
          <w:rFonts w:ascii="Times New Roman" w:hAnsi="Times New Roman" w:cs="Times New Roman"/>
          <w:lang w:val="ro-MD"/>
        </w:rPr>
        <w:t xml:space="preserve"> persoanele care dețin funcții-cheie</w:t>
      </w:r>
      <w:r w:rsidRPr="000508B6">
        <w:rPr>
          <w:rFonts w:ascii="Times New Roman" w:hAnsi="Times New Roman" w:cs="Times New Roman"/>
          <w:lang w:val="ro-MD"/>
        </w:rPr>
        <w:t xml:space="preserve"> respectă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prevăzute la art.</w:t>
      </w:r>
      <w:r w:rsidR="008D4950" w:rsidRPr="000508B6">
        <w:rPr>
          <w:rFonts w:ascii="Times New Roman" w:hAnsi="Times New Roman" w:cs="Times New Roman"/>
          <w:lang w:val="ro-MD"/>
        </w:rPr>
        <w:t xml:space="preserve"> </w:t>
      </w:r>
      <w:r w:rsidR="00EC0081" w:rsidRPr="000508B6">
        <w:rPr>
          <w:rFonts w:ascii="Times New Roman" w:hAnsi="Times New Roman" w:cs="Times New Roman"/>
          <w:lang w:val="ro-MD"/>
        </w:rPr>
        <w:t>20</w:t>
      </w:r>
      <w:r w:rsidRPr="000508B6">
        <w:rPr>
          <w:rFonts w:ascii="Times New Roman" w:hAnsi="Times New Roman" w:cs="Times New Roman"/>
          <w:lang w:val="ro-MD"/>
        </w:rPr>
        <w:t xml:space="preserve">; </w:t>
      </w:r>
    </w:p>
    <w:p w14:paraId="65A2F139" w14:textId="491E0796"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organizează,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anual, întâlniri ale </w:t>
      </w:r>
      <w:r w:rsidR="009872B6" w:rsidRPr="000508B6">
        <w:rPr>
          <w:rFonts w:ascii="Times New Roman" w:hAnsi="Times New Roman" w:cs="Times New Roman"/>
          <w:lang w:val="ro-MD"/>
        </w:rPr>
        <w:t xml:space="preserve">membrilor </w:t>
      </w:r>
      <w:r w:rsidRPr="000508B6">
        <w:rPr>
          <w:rFonts w:ascii="Times New Roman" w:hAnsi="Times New Roman" w:cs="Times New Roman"/>
          <w:lang w:val="ro-MD"/>
        </w:rPr>
        <w:t xml:space="preserve">colegiului supraveghetorilor, pentru a planifica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coordona atât activitatea de supraveghere permanentă,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cazul </w:t>
      </w:r>
      <w:proofErr w:type="spellStart"/>
      <w:r w:rsidRPr="000508B6">
        <w:rPr>
          <w:rFonts w:ascii="Times New Roman" w:hAnsi="Times New Roman" w:cs="Times New Roman"/>
          <w:lang w:val="ro-MD"/>
        </w:rPr>
        <w:t>situaţiilor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urgenţă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ţinând</w:t>
      </w:r>
      <w:proofErr w:type="spellEnd"/>
      <w:r w:rsidRPr="000508B6">
        <w:rPr>
          <w:rFonts w:ascii="Times New Roman" w:hAnsi="Times New Roman" w:cs="Times New Roman"/>
          <w:lang w:val="ro-MD"/>
        </w:rPr>
        <w:t xml:space="preserve"> cont de principiul </w:t>
      </w:r>
      <w:proofErr w:type="spellStart"/>
      <w:r w:rsidRPr="000508B6">
        <w:rPr>
          <w:rFonts w:ascii="Times New Roman" w:hAnsi="Times New Roman" w:cs="Times New Roman"/>
          <w:lang w:val="ro-MD"/>
        </w:rPr>
        <w:t>proporţionalităţii</w:t>
      </w:r>
      <w:proofErr w:type="spellEnd"/>
      <w:r w:rsidRPr="000508B6">
        <w:rPr>
          <w:rFonts w:ascii="Times New Roman" w:hAnsi="Times New Roman" w:cs="Times New Roman"/>
          <w:lang w:val="ro-MD"/>
        </w:rPr>
        <w:t xml:space="preserve">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riscurile inerente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tuturor </w:t>
      </w:r>
      <w:proofErr w:type="spellStart"/>
      <w:r w:rsidRPr="000508B6">
        <w:rPr>
          <w:rFonts w:ascii="Times New Roman" w:hAnsi="Times New Roman" w:cs="Times New Roman"/>
          <w:lang w:val="ro-MD"/>
        </w:rPr>
        <w:t>entităţilor</w:t>
      </w:r>
      <w:proofErr w:type="spellEnd"/>
      <w:r w:rsidRPr="000508B6">
        <w:rPr>
          <w:rFonts w:ascii="Times New Roman" w:hAnsi="Times New Roman" w:cs="Times New Roman"/>
          <w:lang w:val="ro-MD"/>
        </w:rPr>
        <w:t xml:space="preserve"> grupului;</w:t>
      </w:r>
    </w:p>
    <w:p w14:paraId="370CF751" w14:textId="77777777"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adoptă măsuri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decizii în conformitate cu prevederile legale; </w:t>
      </w:r>
    </w:p>
    <w:p w14:paraId="0778AF94" w14:textId="55118648"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coordonează procesul de validare a modelului intern la nivel de grup prevăzut la art. </w:t>
      </w:r>
      <w:r w:rsidR="00E65E2C" w:rsidRPr="000508B6">
        <w:rPr>
          <w:rFonts w:ascii="Times New Roman" w:hAnsi="Times New Roman" w:cs="Times New Roman"/>
          <w:lang w:val="ro-MD"/>
        </w:rPr>
        <w:t>137</w:t>
      </w:r>
      <w:r w:rsidRPr="000508B6">
        <w:rPr>
          <w:rFonts w:ascii="Times New Roman" w:hAnsi="Times New Roman" w:cs="Times New Roman"/>
          <w:lang w:val="ro-MD"/>
        </w:rPr>
        <w:t xml:space="preserve">; </w:t>
      </w:r>
    </w:p>
    <w:p w14:paraId="3BF46961" w14:textId="16EF454C"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coordonează </w:t>
      </w:r>
      <w:r w:rsidR="003D4619" w:rsidRPr="000508B6">
        <w:rPr>
          <w:rFonts w:ascii="Times New Roman" w:hAnsi="Times New Roman" w:cs="Times New Roman"/>
          <w:lang w:val="ro-MD"/>
        </w:rPr>
        <w:t>aplicarea măsurilor</w:t>
      </w:r>
      <w:r w:rsidRPr="000508B6">
        <w:rPr>
          <w:rFonts w:ascii="Times New Roman" w:hAnsi="Times New Roman" w:cs="Times New Roman"/>
          <w:lang w:val="ro-MD"/>
        </w:rPr>
        <w:t xml:space="preserve"> prevăzut</w:t>
      </w:r>
      <w:r w:rsidR="003D4619" w:rsidRPr="000508B6">
        <w:rPr>
          <w:rFonts w:ascii="Times New Roman" w:hAnsi="Times New Roman" w:cs="Times New Roman"/>
          <w:lang w:val="ro-MD"/>
        </w:rPr>
        <w:t xml:space="preserve">e </w:t>
      </w:r>
      <w:r w:rsidR="00EC0081" w:rsidRPr="000508B6">
        <w:rPr>
          <w:rFonts w:ascii="Times New Roman" w:hAnsi="Times New Roman" w:cs="Times New Roman"/>
          <w:lang w:val="ro-MD"/>
        </w:rPr>
        <w:t xml:space="preserve">la </w:t>
      </w:r>
      <w:r w:rsidRPr="000508B6">
        <w:rPr>
          <w:rFonts w:ascii="Times New Roman" w:hAnsi="Times New Roman" w:cs="Times New Roman"/>
          <w:lang w:val="ro-MD"/>
        </w:rPr>
        <w:t xml:space="preserve">art. </w:t>
      </w:r>
      <w:r w:rsidR="00654575" w:rsidRPr="000508B6">
        <w:rPr>
          <w:rFonts w:ascii="Times New Roman" w:hAnsi="Times New Roman" w:cs="Times New Roman"/>
          <w:lang w:val="ro-MD"/>
        </w:rPr>
        <w:t>142</w:t>
      </w:r>
      <w:r w:rsidRPr="000508B6">
        <w:rPr>
          <w:rFonts w:ascii="Times New Roman" w:hAnsi="Times New Roman" w:cs="Times New Roman"/>
          <w:lang w:val="ro-MD"/>
        </w:rPr>
        <w:t xml:space="preserve">; </w:t>
      </w:r>
    </w:p>
    <w:p w14:paraId="2A7B72F3" w14:textId="77777777"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elaborează, împreună cu membrii colegiului supraveghetorilor, acorduri de coordonare 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acestuia; </w:t>
      </w:r>
    </w:p>
    <w:p w14:paraId="5CF59D68" w14:textId="77777777"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solicită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în cazul în care există opinii divergente privind acordul de coordonare 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adoptă decizia finală în conformitate cu decizia EIOPA, pe care o transmite </w:t>
      </w:r>
      <w:proofErr w:type="spellStart"/>
      <w:r w:rsidRPr="000508B6">
        <w:rPr>
          <w:rFonts w:ascii="Times New Roman" w:hAnsi="Times New Roman" w:cs="Times New Roman"/>
          <w:lang w:val="ro-MD"/>
        </w:rPr>
        <w:t>celorlalţi</w:t>
      </w:r>
      <w:proofErr w:type="spellEnd"/>
      <w:r w:rsidRPr="000508B6">
        <w:rPr>
          <w:rFonts w:ascii="Times New Roman" w:hAnsi="Times New Roman" w:cs="Times New Roman"/>
          <w:lang w:val="ro-MD"/>
        </w:rPr>
        <w:t xml:space="preserve"> membri ai colegiului supraveghetorilor; </w:t>
      </w:r>
    </w:p>
    <w:p w14:paraId="55A48369" w14:textId="18C4314E"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transmite către EIOPA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semnificative privind </w:t>
      </w:r>
      <w:r w:rsidR="00410256" w:rsidRPr="000508B6">
        <w:rPr>
          <w:rFonts w:ascii="Times New Roman" w:hAnsi="Times New Roman" w:cs="Times New Roman"/>
          <w:lang w:val="ro-MD"/>
        </w:rPr>
        <w:t>funcționarea</w:t>
      </w:r>
      <w:r w:rsidRPr="000508B6">
        <w:rPr>
          <w:rFonts w:ascii="Times New Roman" w:hAnsi="Times New Roman" w:cs="Times New Roman"/>
          <w:lang w:val="ro-MD"/>
        </w:rPr>
        <w:t xml:space="preserve"> colegiului supraveghetorilor; </w:t>
      </w:r>
    </w:p>
    <w:p w14:paraId="23522AD0" w14:textId="77777777" w:rsidR="00AC4E00" w:rsidRPr="000508B6" w:rsidRDefault="00AC4E00" w:rsidP="00230ADD">
      <w:pPr>
        <w:pStyle w:val="Listparagraf"/>
        <w:numPr>
          <w:ilvl w:val="2"/>
          <w:numId w:val="79"/>
        </w:numPr>
        <w:tabs>
          <w:tab w:val="left" w:pos="709"/>
          <w:tab w:val="left" w:pos="993"/>
        </w:tabs>
        <w:spacing w:after="0" w:line="240" w:lineRule="auto"/>
        <w:ind w:left="142" w:firstLine="284"/>
        <w:jc w:val="both"/>
        <w:rPr>
          <w:rFonts w:ascii="Times New Roman" w:hAnsi="Times New Roman" w:cs="Times New Roman"/>
          <w:lang w:val="ro-MD"/>
        </w:rPr>
      </w:pPr>
      <w:r w:rsidRPr="000508B6">
        <w:rPr>
          <w:rFonts w:ascii="Times New Roman" w:hAnsi="Times New Roman" w:cs="Times New Roman"/>
          <w:lang w:val="ro-MD"/>
        </w:rPr>
        <w:t xml:space="preserve">alte </w:t>
      </w:r>
      <w:proofErr w:type="spellStart"/>
      <w:r w:rsidRPr="000508B6">
        <w:rPr>
          <w:rFonts w:ascii="Times New Roman" w:hAnsi="Times New Roman" w:cs="Times New Roman"/>
          <w:lang w:val="ro-MD"/>
        </w:rPr>
        <w:t>atribuţii</w:t>
      </w:r>
      <w:proofErr w:type="spellEnd"/>
      <w:r w:rsidRPr="000508B6">
        <w:rPr>
          <w:rFonts w:ascii="Times New Roman" w:hAnsi="Times New Roman" w:cs="Times New Roman"/>
          <w:lang w:val="ro-MD"/>
        </w:rPr>
        <w:t xml:space="preserve"> prevăzute de lege. </w:t>
      </w:r>
    </w:p>
    <w:p w14:paraId="224134F9" w14:textId="4C641C46"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în cadrul colegiului supraveghetorilor se adoptă o decizie în conformitate cu art. </w:t>
      </w:r>
      <w:r w:rsidR="00654575" w:rsidRPr="000508B6">
        <w:rPr>
          <w:rFonts w:ascii="Times New Roman" w:hAnsi="Times New Roman" w:cs="Times New Roman"/>
          <w:lang w:val="ro-MD"/>
        </w:rPr>
        <w:t xml:space="preserve">192 </w:t>
      </w:r>
      <w:r w:rsidRPr="000508B6">
        <w:rPr>
          <w:rFonts w:ascii="Times New Roman" w:hAnsi="Times New Roman" w:cs="Times New Roman"/>
          <w:lang w:val="ro-MD"/>
        </w:rPr>
        <w:t>alin. (</w:t>
      </w:r>
      <w:r w:rsidR="0098736F" w:rsidRPr="000508B6">
        <w:rPr>
          <w:rFonts w:ascii="Times New Roman" w:hAnsi="Times New Roman" w:cs="Times New Roman"/>
          <w:lang w:val="ro-MD"/>
        </w:rPr>
        <w:t>3</w:t>
      </w:r>
      <w:r w:rsidRPr="000508B6">
        <w:rPr>
          <w:rFonts w:ascii="Times New Roman" w:hAnsi="Times New Roman" w:cs="Times New Roman"/>
          <w:lang w:val="ro-MD"/>
        </w:rPr>
        <w:t>), Banca Națională a Moldovei transmite grupului decizia comună, motivată</w:t>
      </w:r>
      <w:r w:rsidR="00EE7111" w:rsidRPr="000508B6">
        <w:rPr>
          <w:rFonts w:ascii="Times New Roman" w:hAnsi="Times New Roman" w:cs="Times New Roman"/>
          <w:lang w:val="ro-MD"/>
        </w:rPr>
        <w:t xml:space="preserve"> temeinic</w:t>
      </w:r>
      <w:r w:rsidRPr="000508B6">
        <w:rPr>
          <w:rFonts w:ascii="Times New Roman" w:hAnsi="Times New Roman" w:cs="Times New Roman"/>
          <w:lang w:val="ro-MD"/>
        </w:rPr>
        <w:t xml:space="preserve">. </w:t>
      </w:r>
    </w:p>
    <w:p w14:paraId="3A99EBE8" w14:textId="30C338BB"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grupului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colegiului supraveghetorilor decizia adoptată în conformitate cu art. </w:t>
      </w:r>
      <w:r w:rsidR="00654575" w:rsidRPr="000508B6">
        <w:rPr>
          <w:rFonts w:ascii="Times New Roman" w:hAnsi="Times New Roman" w:cs="Times New Roman"/>
          <w:lang w:val="ro-MD"/>
        </w:rPr>
        <w:t xml:space="preserve">192 </w:t>
      </w:r>
      <w:r w:rsidRPr="000508B6">
        <w:rPr>
          <w:rFonts w:ascii="Times New Roman" w:hAnsi="Times New Roman" w:cs="Times New Roman"/>
          <w:lang w:val="ro-MD"/>
        </w:rPr>
        <w:t>alin. (</w:t>
      </w:r>
      <w:r w:rsidR="0098736F" w:rsidRPr="000508B6">
        <w:rPr>
          <w:rFonts w:ascii="Times New Roman" w:hAnsi="Times New Roman" w:cs="Times New Roman"/>
          <w:lang w:val="ro-MD"/>
        </w:rPr>
        <w:t>3</w:t>
      </w:r>
      <w:r w:rsidRPr="000508B6">
        <w:rPr>
          <w:rFonts w:ascii="Times New Roman" w:hAnsi="Times New Roman" w:cs="Times New Roman"/>
          <w:lang w:val="ro-MD"/>
        </w:rPr>
        <w:t xml:space="preserve">), luând în considerare punctul de vedere emis de EIOPA, în cazul în care este solicitată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acesteia.</w:t>
      </w:r>
      <w:r w:rsidR="00410256" w:rsidRPr="000508B6">
        <w:rPr>
          <w:rFonts w:ascii="Times New Roman" w:hAnsi="Times New Roman" w:cs="Times New Roman"/>
          <w:lang w:val="ro-MD"/>
        </w:rPr>
        <w:t xml:space="preserve"> Asistența EIOPA nu se </w:t>
      </w:r>
      <w:r w:rsidR="0098736F" w:rsidRPr="000508B6">
        <w:rPr>
          <w:rFonts w:ascii="Times New Roman" w:hAnsi="Times New Roman" w:cs="Times New Roman"/>
          <w:lang w:val="ro-MD"/>
        </w:rPr>
        <w:t>solicită</w:t>
      </w:r>
      <w:r w:rsidR="00410256" w:rsidRPr="000508B6">
        <w:rPr>
          <w:rFonts w:ascii="Times New Roman" w:hAnsi="Times New Roman" w:cs="Times New Roman"/>
          <w:lang w:val="ro-MD"/>
        </w:rPr>
        <w:t xml:space="preserve"> după expirarea termenului de trei luni </w:t>
      </w:r>
      <w:r w:rsidR="0098736F" w:rsidRPr="000508B6">
        <w:rPr>
          <w:rFonts w:ascii="Times New Roman" w:hAnsi="Times New Roman" w:cs="Times New Roman"/>
          <w:lang w:val="ro-MD"/>
        </w:rPr>
        <w:t xml:space="preserve">prevăzut la art. 192 alin. (4), </w:t>
      </w:r>
      <w:r w:rsidR="00410256" w:rsidRPr="000508B6">
        <w:rPr>
          <w:rFonts w:ascii="Times New Roman" w:hAnsi="Times New Roman" w:cs="Times New Roman"/>
          <w:lang w:val="ro-MD"/>
        </w:rPr>
        <w:t xml:space="preserve">sau după ce s-a </w:t>
      </w:r>
      <w:r w:rsidR="0098736F" w:rsidRPr="000508B6">
        <w:rPr>
          <w:rFonts w:ascii="Times New Roman" w:hAnsi="Times New Roman" w:cs="Times New Roman"/>
          <w:lang w:val="ro-MD"/>
        </w:rPr>
        <w:t>adoptat</w:t>
      </w:r>
      <w:r w:rsidR="00410256" w:rsidRPr="000508B6">
        <w:rPr>
          <w:rFonts w:ascii="Times New Roman" w:hAnsi="Times New Roman" w:cs="Times New Roman"/>
          <w:lang w:val="ro-MD"/>
        </w:rPr>
        <w:t xml:space="preserve"> o decizie comună. </w:t>
      </w:r>
      <w:r w:rsidRPr="000508B6">
        <w:rPr>
          <w:rFonts w:ascii="Times New Roman" w:hAnsi="Times New Roman" w:cs="Times New Roman"/>
          <w:lang w:val="ro-MD"/>
        </w:rPr>
        <w:t xml:space="preserve"> </w:t>
      </w:r>
    </w:p>
    <w:p w14:paraId="3DFBE6A4" w14:textId="1992D35C"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continuă exercitarea </w:t>
      </w:r>
      <w:proofErr w:type="spellStart"/>
      <w:r w:rsidRPr="000508B6">
        <w:rPr>
          <w:rFonts w:ascii="Times New Roman" w:hAnsi="Times New Roman" w:cs="Times New Roman"/>
          <w:lang w:val="ro-MD"/>
        </w:rPr>
        <w:t>atribuţiilor</w:t>
      </w:r>
      <w:proofErr w:type="spellEnd"/>
      <w:r w:rsidRPr="000508B6">
        <w:rPr>
          <w:rFonts w:ascii="Times New Roman" w:hAnsi="Times New Roman" w:cs="Times New Roman"/>
          <w:lang w:val="ro-MD"/>
        </w:rPr>
        <w:t xml:space="preserve"> în calitate de supraveghetor coordonator până la adoptarea deciziei comune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654575" w:rsidRPr="000508B6">
        <w:rPr>
          <w:rFonts w:ascii="Times New Roman" w:hAnsi="Times New Roman" w:cs="Times New Roman"/>
          <w:lang w:val="ro-MD"/>
        </w:rPr>
        <w:t>192</w:t>
      </w:r>
      <w:r w:rsidR="00254479"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98736F" w:rsidRPr="000508B6">
        <w:rPr>
          <w:rFonts w:ascii="Times New Roman" w:hAnsi="Times New Roman" w:cs="Times New Roman"/>
          <w:lang w:val="ro-MD"/>
        </w:rPr>
        <w:t>3</w:t>
      </w:r>
      <w:r w:rsidRPr="000508B6">
        <w:rPr>
          <w:rFonts w:ascii="Times New Roman" w:hAnsi="Times New Roman" w:cs="Times New Roman"/>
          <w:lang w:val="ro-MD"/>
        </w:rPr>
        <w:t xml:space="preserve">). </w:t>
      </w:r>
    </w:p>
    <w:p w14:paraId="03CC06BC" w14:textId="6E750021"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coordonează colegiul supraveghetorilor, asigurând cooperarea, schimbul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consultarea dintre membrii colegiului, în conformitate cu </w:t>
      </w:r>
      <w:r w:rsidR="00AF2FA3" w:rsidRPr="000508B6">
        <w:rPr>
          <w:rFonts w:ascii="Times New Roman" w:hAnsi="Times New Roman" w:cs="Times New Roman"/>
          <w:lang w:val="ro-MD"/>
        </w:rPr>
        <w:t>art.116-152</w:t>
      </w:r>
      <w:r w:rsidRPr="000508B6">
        <w:rPr>
          <w:rFonts w:ascii="Times New Roman" w:hAnsi="Times New Roman" w:cs="Times New Roman"/>
          <w:lang w:val="ro-MD"/>
        </w:rPr>
        <w:t xml:space="preserve">, pentru asigurarea </w:t>
      </w:r>
      <w:proofErr w:type="spellStart"/>
      <w:r w:rsidRPr="000508B6">
        <w:rPr>
          <w:rFonts w:ascii="Times New Roman" w:hAnsi="Times New Roman" w:cs="Times New Roman"/>
          <w:lang w:val="ro-MD"/>
        </w:rPr>
        <w:t>convergenţei</w:t>
      </w:r>
      <w:proofErr w:type="spellEnd"/>
      <w:r w:rsidRPr="000508B6">
        <w:rPr>
          <w:rFonts w:ascii="Times New Roman" w:hAnsi="Times New Roman" w:cs="Times New Roman"/>
          <w:lang w:val="ro-MD"/>
        </w:rPr>
        <w:t xml:space="preserve"> deciziilor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activităţilor</w:t>
      </w:r>
      <w:proofErr w:type="spellEnd"/>
      <w:r w:rsidRPr="000508B6">
        <w:rPr>
          <w:rFonts w:ascii="Times New Roman" w:hAnsi="Times New Roman" w:cs="Times New Roman"/>
          <w:lang w:val="ro-MD"/>
        </w:rPr>
        <w:t xml:space="preserve">. </w:t>
      </w:r>
    </w:p>
    <w:p w14:paraId="452B1604" w14:textId="11F13B1A"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cazul în care o societate-mamă din cadrul grupului are sediul central în</w:t>
      </w:r>
      <w:r w:rsidR="008D62E3" w:rsidRPr="000508B6">
        <w:rPr>
          <w:rFonts w:ascii="Times New Roman" w:hAnsi="Times New Roman" w:cs="Times New Roman"/>
          <w:lang w:val="ro-MD"/>
        </w:rPr>
        <w:t>tr-un</w:t>
      </w:r>
      <w:r w:rsidRPr="000508B6">
        <w:rPr>
          <w:rFonts w:ascii="Times New Roman" w:hAnsi="Times New Roman" w:cs="Times New Roman"/>
          <w:lang w:val="ro-MD"/>
        </w:rPr>
        <w:t xml:space="preserve"> stat membru, Banca Națională a Moldovei poate solicita supraveghetorului acesteia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necesare exercitării coordonării supravegherii</w:t>
      </w:r>
      <w:r w:rsidR="00824FEA" w:rsidRPr="000508B6">
        <w:rPr>
          <w:rFonts w:ascii="Times New Roman" w:hAnsi="Times New Roman" w:cs="Times New Roman"/>
          <w:lang w:val="ro-MD"/>
        </w:rPr>
        <w:t>. În</w:t>
      </w:r>
      <w:r w:rsidRPr="000508B6">
        <w:rPr>
          <w:rFonts w:ascii="Times New Roman" w:hAnsi="Times New Roman" w:cs="Times New Roman"/>
          <w:lang w:val="ro-MD"/>
        </w:rPr>
        <w:t xml:space="preserve"> cazul în care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prevăzute la art. </w:t>
      </w:r>
      <w:r w:rsidR="00654575" w:rsidRPr="000508B6">
        <w:rPr>
          <w:rFonts w:ascii="Times New Roman" w:hAnsi="Times New Roman" w:cs="Times New Roman"/>
          <w:lang w:val="ro-MD"/>
        </w:rPr>
        <w:t xml:space="preserve">195 </w:t>
      </w:r>
      <w:r w:rsidRPr="000508B6">
        <w:rPr>
          <w:rFonts w:ascii="Times New Roman" w:hAnsi="Times New Roman" w:cs="Times New Roman"/>
          <w:lang w:val="ro-MD"/>
        </w:rPr>
        <w:t xml:space="preserve">alin. </w:t>
      </w:r>
      <w:r w:rsidR="00286D2B" w:rsidRPr="000508B6">
        <w:rPr>
          <w:rFonts w:ascii="Times New Roman" w:hAnsi="Times New Roman" w:cs="Times New Roman"/>
          <w:lang w:val="ro-MD"/>
        </w:rPr>
        <w:t xml:space="preserve">(7) și </w:t>
      </w:r>
      <w:r w:rsidRPr="000508B6">
        <w:rPr>
          <w:rFonts w:ascii="Times New Roman" w:hAnsi="Times New Roman" w:cs="Times New Roman"/>
          <w:lang w:val="ro-MD"/>
        </w:rPr>
        <w:t xml:space="preserve">(8) au fost deja transmise altui supraveghetor, solicitarea este adresată acestuia din urmă. </w:t>
      </w:r>
    </w:p>
    <w:p w14:paraId="20F86861" w14:textId="015AC2D6"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în conformitate cu principiul </w:t>
      </w:r>
      <w:proofErr w:type="spellStart"/>
      <w:r w:rsidRPr="000508B6">
        <w:rPr>
          <w:rFonts w:ascii="Times New Roman" w:hAnsi="Times New Roman" w:cs="Times New Roman"/>
          <w:lang w:val="ro-MD"/>
        </w:rPr>
        <w:t>proporţionalităţii</w:t>
      </w:r>
      <w:proofErr w:type="spellEnd"/>
      <w:r w:rsidRPr="000508B6">
        <w:rPr>
          <w:rFonts w:ascii="Times New Roman" w:hAnsi="Times New Roman" w:cs="Times New Roman"/>
          <w:lang w:val="ro-MD"/>
        </w:rPr>
        <w:t xml:space="preserve">, poate limita raportările la nivel de grup cu </w:t>
      </w:r>
      <w:proofErr w:type="spellStart"/>
      <w:r w:rsidRPr="000508B6">
        <w:rPr>
          <w:rFonts w:ascii="Times New Roman" w:hAnsi="Times New Roman" w:cs="Times New Roman"/>
          <w:lang w:val="ro-MD"/>
        </w:rPr>
        <w:t>frecvenţă</w:t>
      </w:r>
      <w:proofErr w:type="spellEnd"/>
      <w:r w:rsidRPr="000508B6">
        <w:rPr>
          <w:rFonts w:ascii="Times New Roman" w:hAnsi="Times New Roman" w:cs="Times New Roman"/>
          <w:lang w:val="ro-MD"/>
        </w:rPr>
        <w:t xml:space="preserve"> mai mică de un an sau poate excepta </w:t>
      </w:r>
      <w:r w:rsidR="005621DE" w:rsidRPr="000508B6">
        <w:rPr>
          <w:rFonts w:ascii="Times New Roman" w:hAnsi="Times New Roman" w:cs="Times New Roman"/>
          <w:lang w:val="ro-MD"/>
        </w:rPr>
        <w:t xml:space="preserve">asigurătorii sau </w:t>
      </w:r>
      <w:proofErr w:type="spellStart"/>
      <w:r w:rsidR="005621DE" w:rsidRPr="000508B6">
        <w:rPr>
          <w:rFonts w:ascii="Times New Roman" w:hAnsi="Times New Roman" w:cs="Times New Roman"/>
          <w:lang w:val="ro-MD"/>
        </w:rPr>
        <w:t>reasigurătorii</w:t>
      </w:r>
      <w:proofErr w:type="spellEnd"/>
      <w:r w:rsidR="005621DE" w:rsidRPr="000508B6">
        <w:rPr>
          <w:rFonts w:ascii="Times New Roman" w:hAnsi="Times New Roman" w:cs="Times New Roman"/>
          <w:lang w:val="ro-MD"/>
        </w:rPr>
        <w:t xml:space="preserve"> </w:t>
      </w:r>
      <w:r w:rsidRPr="000508B6">
        <w:rPr>
          <w:rFonts w:ascii="Times New Roman" w:hAnsi="Times New Roman" w:cs="Times New Roman"/>
          <w:lang w:val="ro-MD"/>
        </w:rPr>
        <w:lastRenderedPageBreak/>
        <w:t xml:space="preserve">din cadrul grupului de la raportarea tuturor indicatorilor, dacă acestea beneficiază de limitările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1335EA" w:rsidRPr="000508B6">
        <w:rPr>
          <w:rFonts w:ascii="Times New Roman" w:hAnsi="Times New Roman" w:cs="Times New Roman"/>
          <w:lang w:val="ro-MD"/>
        </w:rPr>
        <w:t>180</w:t>
      </w:r>
      <w:r w:rsidR="00946BB4" w:rsidRPr="000508B6">
        <w:rPr>
          <w:rFonts w:ascii="Times New Roman" w:hAnsi="Times New Roman" w:cs="Times New Roman"/>
          <w:lang w:val="ro-MD"/>
        </w:rPr>
        <w:t xml:space="preserve"> alin. (1)</w:t>
      </w:r>
      <w:r w:rsidR="001335EA" w:rsidRPr="000508B6">
        <w:rPr>
          <w:rFonts w:ascii="Times New Roman" w:hAnsi="Times New Roman" w:cs="Times New Roman"/>
          <w:lang w:val="ro-MD"/>
        </w:rPr>
        <w:t xml:space="preserve"> </w:t>
      </w:r>
      <w:r w:rsidR="00946BB4" w:rsidRPr="000508B6">
        <w:rPr>
          <w:rFonts w:ascii="Times New Roman" w:hAnsi="Times New Roman" w:cs="Times New Roman"/>
          <w:lang w:val="ro-MD"/>
        </w:rPr>
        <w:t>–(4</w:t>
      </w:r>
      <w:r w:rsidR="00E7081D" w:rsidRPr="000508B6">
        <w:rPr>
          <w:rFonts w:ascii="Times New Roman" w:hAnsi="Times New Roman" w:cs="Times New Roman"/>
          <w:lang w:val="ro-MD"/>
        </w:rPr>
        <w:t>).</w:t>
      </w:r>
    </w:p>
    <w:p w14:paraId="74C90B4E" w14:textId="65B08BDE" w:rsidR="00AC4E00" w:rsidRPr="000508B6" w:rsidRDefault="00AC4E00" w:rsidP="00CF5AFA">
      <w:pPr>
        <w:pStyle w:val="Listparagraf"/>
        <w:numPr>
          <w:ilvl w:val="0"/>
          <w:numId w:val="76"/>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w:t>
      </w:r>
      <w:r w:rsidR="004F082B" w:rsidRPr="000508B6">
        <w:rPr>
          <w:rFonts w:ascii="Times New Roman" w:hAnsi="Times New Roman" w:cs="Times New Roman"/>
          <w:lang w:val="ro-MD"/>
        </w:rPr>
        <w:t xml:space="preserve">recepționează </w:t>
      </w:r>
      <w:r w:rsidRPr="000508B6">
        <w:rPr>
          <w:rFonts w:ascii="Times New Roman" w:hAnsi="Times New Roman" w:cs="Times New Roman"/>
          <w:lang w:val="ro-MD"/>
        </w:rPr>
        <w:t xml:space="preserve">de la </w:t>
      </w:r>
      <w:r w:rsidR="004065B5" w:rsidRPr="000508B6">
        <w:rPr>
          <w:rFonts w:ascii="Times New Roman" w:hAnsi="Times New Roman" w:cs="Times New Roman"/>
          <w:lang w:val="ro-MD"/>
        </w:rPr>
        <w:t xml:space="preserve">un </w:t>
      </w:r>
      <w:r w:rsidR="00F10C23" w:rsidRPr="000508B6">
        <w:rPr>
          <w:rFonts w:ascii="Times New Roman" w:hAnsi="Times New Roman" w:cs="Times New Roman"/>
          <w:lang w:val="ro-MD"/>
        </w:rPr>
        <w:t>asigurător</w:t>
      </w:r>
      <w:r w:rsidR="004065B5" w:rsidRPr="000508B6">
        <w:rPr>
          <w:rFonts w:ascii="Times New Roman" w:hAnsi="Times New Roman" w:cs="Times New Roman"/>
          <w:lang w:val="ro-MD"/>
        </w:rPr>
        <w:t xml:space="preserve"> sau </w:t>
      </w:r>
      <w:proofErr w:type="spellStart"/>
      <w:r w:rsidR="004065B5"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w:t>
      </w:r>
      <w:r w:rsidR="008424AD" w:rsidRPr="000508B6">
        <w:rPr>
          <w:rFonts w:ascii="Times New Roman" w:hAnsi="Times New Roman" w:cs="Times New Roman"/>
          <w:lang w:val="ro-MD"/>
        </w:rPr>
        <w:t>cererea prevăzută la art. 13</w:t>
      </w:r>
      <w:r w:rsidR="00337143" w:rsidRPr="000508B6">
        <w:rPr>
          <w:rFonts w:ascii="Times New Roman" w:hAnsi="Times New Roman" w:cs="Times New Roman"/>
          <w:lang w:val="ro-MD"/>
        </w:rPr>
        <w:t>8</w:t>
      </w:r>
      <w:r w:rsidR="008424AD" w:rsidRPr="000508B6">
        <w:rPr>
          <w:rFonts w:ascii="Times New Roman" w:hAnsi="Times New Roman" w:cs="Times New Roman"/>
          <w:lang w:val="ro-MD"/>
        </w:rPr>
        <w:t xml:space="preserve"> alin.</w:t>
      </w:r>
      <w:r w:rsidR="008D4950" w:rsidRPr="000508B6">
        <w:rPr>
          <w:rFonts w:ascii="Times New Roman" w:hAnsi="Times New Roman" w:cs="Times New Roman"/>
          <w:lang w:val="ro-MD"/>
        </w:rPr>
        <w:t xml:space="preserve"> </w:t>
      </w:r>
      <w:r w:rsidR="004F4E60" w:rsidRPr="000508B6">
        <w:rPr>
          <w:rFonts w:ascii="Times New Roman" w:hAnsi="Times New Roman" w:cs="Times New Roman"/>
          <w:lang w:val="ro-MD"/>
        </w:rPr>
        <w:t>(</w:t>
      </w:r>
      <w:r w:rsidR="008424AD" w:rsidRPr="000508B6">
        <w:rPr>
          <w:rFonts w:ascii="Times New Roman" w:hAnsi="Times New Roman" w:cs="Times New Roman"/>
          <w:lang w:val="ro-MD"/>
        </w:rPr>
        <w:t>1</w:t>
      </w:r>
      <w:r w:rsidR="004F4E60" w:rsidRPr="000508B6">
        <w:rPr>
          <w:rFonts w:ascii="Times New Roman" w:hAnsi="Times New Roman" w:cs="Times New Roman"/>
          <w:lang w:val="ro-MD"/>
        </w:rPr>
        <w:t>)</w:t>
      </w:r>
      <w:r w:rsidRPr="000508B6">
        <w:rPr>
          <w:rFonts w:ascii="Times New Roman" w:hAnsi="Times New Roman" w:cs="Times New Roman"/>
          <w:lang w:val="ro-MD"/>
        </w:rPr>
        <w:t xml:space="preserve">, Banca Națională a Moldovei comunică acest lucru </w:t>
      </w:r>
      <w:r w:rsidR="00FC0141" w:rsidRPr="000508B6">
        <w:rPr>
          <w:rFonts w:ascii="Times New Roman" w:hAnsi="Times New Roman" w:cs="Times New Roman"/>
          <w:lang w:val="ro-MD"/>
        </w:rPr>
        <w:t xml:space="preserve">membrilor </w:t>
      </w:r>
      <w:r w:rsidRPr="000508B6">
        <w:rPr>
          <w:rFonts w:ascii="Times New Roman" w:hAnsi="Times New Roman" w:cs="Times New Roman"/>
          <w:lang w:val="ro-MD"/>
        </w:rPr>
        <w:t>colegiului supraveghetorilor</w:t>
      </w:r>
      <w:r w:rsidR="006C0050" w:rsidRPr="000508B6">
        <w:rPr>
          <w:rFonts w:ascii="Times New Roman" w:hAnsi="Times New Roman" w:cs="Times New Roman"/>
          <w:lang w:val="ro-MD"/>
        </w:rPr>
        <w:t xml:space="preserve"> interesați</w:t>
      </w:r>
      <w:r w:rsidRPr="000508B6">
        <w:rPr>
          <w:rFonts w:ascii="Times New Roman" w:hAnsi="Times New Roman" w:cs="Times New Roman"/>
          <w:lang w:val="ro-MD"/>
        </w:rPr>
        <w:t xml:space="preserve">, care decide asupra aprobării sau respingerii </w:t>
      </w:r>
      <w:r w:rsidR="008424AD" w:rsidRPr="000508B6">
        <w:rPr>
          <w:rFonts w:ascii="Times New Roman" w:hAnsi="Times New Roman" w:cs="Times New Roman"/>
          <w:lang w:val="ro-MD"/>
        </w:rPr>
        <w:t xml:space="preserve">cererii </w:t>
      </w:r>
      <w:r w:rsidRPr="000508B6">
        <w:rPr>
          <w:rFonts w:ascii="Times New Roman" w:hAnsi="Times New Roman" w:cs="Times New Roman"/>
          <w:lang w:val="ro-MD"/>
        </w:rPr>
        <w:t xml:space="preserve">respective, stabilind, dacă este cazul, termenii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pentru aprobare. </w:t>
      </w:r>
    </w:p>
    <w:p w14:paraId="5FC3A6C5" w14:textId="6E4EF241"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color w:val="000000" w:themeColor="text1"/>
          <w:lang w:val="ro-MD"/>
        </w:rPr>
      </w:pPr>
      <w:r w:rsidRPr="000508B6">
        <w:rPr>
          <w:rFonts w:ascii="Times New Roman" w:hAnsi="Times New Roman" w:cs="Times New Roman"/>
          <w:lang w:val="ro-MD"/>
        </w:rPr>
        <w:t xml:space="preserve">Banca Națională a Moldovei </w:t>
      </w:r>
      <w:r w:rsidRPr="000508B6">
        <w:rPr>
          <w:rFonts w:ascii="Times New Roman" w:hAnsi="Times New Roman" w:cs="Times New Roman"/>
          <w:color w:val="000000" w:themeColor="text1"/>
          <w:lang w:val="ro-MD"/>
        </w:rPr>
        <w:t>informează membrii colegiului</w:t>
      </w:r>
      <w:r w:rsidR="00FB55AC" w:rsidRPr="000508B6">
        <w:rPr>
          <w:rFonts w:ascii="Times New Roman" w:hAnsi="Times New Roman" w:cs="Times New Roman"/>
          <w:color w:val="000000" w:themeColor="text1"/>
          <w:lang w:val="ro-MD"/>
        </w:rPr>
        <w:t xml:space="preserve"> supraveghetorilor</w:t>
      </w:r>
      <w:r w:rsidRPr="000508B6">
        <w:rPr>
          <w:rFonts w:ascii="Times New Roman" w:hAnsi="Times New Roman" w:cs="Times New Roman"/>
          <w:color w:val="000000" w:themeColor="text1"/>
          <w:lang w:val="ro-MD"/>
        </w:rPr>
        <w:t xml:space="preserve">, inclusiv EIOPA, cu privire la </w:t>
      </w:r>
      <w:r w:rsidR="004F082B" w:rsidRPr="000508B6">
        <w:rPr>
          <w:rFonts w:ascii="Times New Roman" w:hAnsi="Times New Roman" w:cs="Times New Roman"/>
          <w:color w:val="000000" w:themeColor="text1"/>
          <w:lang w:val="ro-MD"/>
        </w:rPr>
        <w:t xml:space="preserve">recepționarea </w:t>
      </w:r>
      <w:r w:rsidR="008424AD" w:rsidRPr="000508B6">
        <w:rPr>
          <w:rFonts w:ascii="Times New Roman" w:hAnsi="Times New Roman" w:cs="Times New Roman"/>
          <w:color w:val="000000" w:themeColor="text1"/>
          <w:lang w:val="ro-MD"/>
        </w:rPr>
        <w:t xml:space="preserve">cererii </w:t>
      </w:r>
      <w:r w:rsidRPr="000508B6">
        <w:rPr>
          <w:rFonts w:ascii="Times New Roman" w:hAnsi="Times New Roman" w:cs="Times New Roman"/>
          <w:color w:val="000000" w:themeColor="text1"/>
          <w:lang w:val="ro-MD"/>
        </w:rPr>
        <w:t xml:space="preserve">prevăzute la alin. (9) și transmite celorlalți membri, fără întârziere, </w:t>
      </w:r>
      <w:r w:rsidR="008424AD" w:rsidRPr="000508B6">
        <w:rPr>
          <w:rFonts w:ascii="Times New Roman" w:hAnsi="Times New Roman" w:cs="Times New Roman"/>
          <w:color w:val="000000" w:themeColor="text1"/>
          <w:lang w:val="ro-MD"/>
        </w:rPr>
        <w:t xml:space="preserve">cererea </w:t>
      </w:r>
      <w:r w:rsidRPr="000508B6">
        <w:rPr>
          <w:rFonts w:ascii="Times New Roman" w:hAnsi="Times New Roman" w:cs="Times New Roman"/>
          <w:color w:val="000000" w:themeColor="text1"/>
          <w:lang w:val="ro-MD"/>
        </w:rPr>
        <w:t>și documentația aferentă completă</w:t>
      </w:r>
      <w:r w:rsidR="009D7A11" w:rsidRPr="000508B6">
        <w:rPr>
          <w:rFonts w:ascii="Times New Roman" w:hAnsi="Times New Roman" w:cs="Times New Roman"/>
          <w:color w:val="000000" w:themeColor="text1"/>
          <w:lang w:val="ro-MD"/>
        </w:rPr>
        <w:t>. În</w:t>
      </w:r>
      <w:r w:rsidRPr="000508B6">
        <w:rPr>
          <w:rFonts w:ascii="Times New Roman" w:hAnsi="Times New Roman" w:cs="Times New Roman"/>
          <w:color w:val="000000" w:themeColor="text1"/>
          <w:lang w:val="ro-MD"/>
        </w:rPr>
        <w:t xml:space="preserve"> vederea adoptării unei decizii conform alin. (9), Banca Națională a Moldovei poate solicita asistența tehnică a EIOPA.</w:t>
      </w:r>
    </w:p>
    <w:p w14:paraId="6FE1C215" w14:textId="1C7DCCA3"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color w:val="000000" w:themeColor="text1"/>
          <w:lang w:val="ro-MD"/>
        </w:rPr>
        <w:t xml:space="preserve">Banca Națională a Moldovei analizează, împreună cu </w:t>
      </w:r>
      <w:r w:rsidR="00215CC1" w:rsidRPr="000508B6">
        <w:rPr>
          <w:rFonts w:ascii="Times New Roman" w:hAnsi="Times New Roman" w:cs="Times New Roman"/>
          <w:color w:val="000000" w:themeColor="text1"/>
          <w:lang w:val="ro-MD"/>
        </w:rPr>
        <w:t>ceilalți</w:t>
      </w:r>
      <w:r w:rsidRPr="000508B6">
        <w:rPr>
          <w:rFonts w:ascii="Times New Roman" w:hAnsi="Times New Roman" w:cs="Times New Roman"/>
          <w:color w:val="000000" w:themeColor="text1"/>
          <w:lang w:val="ro-MD"/>
        </w:rPr>
        <w:t xml:space="preserve"> membri ai colegiului </w:t>
      </w:r>
      <w:r w:rsidRPr="000508B6">
        <w:rPr>
          <w:rFonts w:ascii="Times New Roman" w:hAnsi="Times New Roman" w:cs="Times New Roman"/>
          <w:lang w:val="ro-MD"/>
        </w:rPr>
        <w:t xml:space="preserve">supraveghetorilor, </w:t>
      </w:r>
      <w:proofErr w:type="spellStart"/>
      <w:r w:rsidRPr="000508B6">
        <w:rPr>
          <w:rFonts w:ascii="Times New Roman" w:hAnsi="Times New Roman" w:cs="Times New Roman"/>
          <w:lang w:val="ro-MD"/>
        </w:rPr>
        <w:t>documentaţia</w:t>
      </w:r>
      <w:proofErr w:type="spellEnd"/>
      <w:r w:rsidRPr="000508B6">
        <w:rPr>
          <w:rFonts w:ascii="Times New Roman" w:hAnsi="Times New Roman" w:cs="Times New Roman"/>
          <w:lang w:val="ro-MD"/>
        </w:rPr>
        <w:t xml:space="preserve"> transmisă conform alin. (10), în vederea adoptării unei decizii comune asupra aprobării sau respingerii modelului intern, în termen de 6 luni de la data depunerii </w:t>
      </w:r>
      <w:proofErr w:type="spellStart"/>
      <w:r w:rsidRPr="000508B6">
        <w:rPr>
          <w:rFonts w:ascii="Times New Roman" w:hAnsi="Times New Roman" w:cs="Times New Roman"/>
          <w:lang w:val="ro-MD"/>
        </w:rPr>
        <w:t>documentaţiei</w:t>
      </w:r>
      <w:proofErr w:type="spellEnd"/>
      <w:r w:rsidRPr="000508B6">
        <w:rPr>
          <w:rFonts w:ascii="Times New Roman" w:hAnsi="Times New Roman" w:cs="Times New Roman"/>
          <w:lang w:val="ro-MD"/>
        </w:rPr>
        <w:t xml:space="preserve"> complete, termen considerat perioadă de conciliere. </w:t>
      </w:r>
    </w:p>
    <w:p w14:paraId="42DF9CC2" w14:textId="140A3FE1"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Banca Națională a Moldovei adoptă propria decizie privind aprobarea sau respingerea modelului intern de grup</w:t>
      </w:r>
      <w:r w:rsidR="00BD6FD2" w:rsidRPr="000508B6">
        <w:rPr>
          <w:rFonts w:ascii="Times New Roman" w:hAnsi="Times New Roman" w:cs="Times New Roman"/>
          <w:lang w:val="ro-MD"/>
        </w:rPr>
        <w:t>, motivată temeinic</w:t>
      </w:r>
      <w:r w:rsidRPr="000508B6">
        <w:rPr>
          <w:rFonts w:ascii="Times New Roman" w:hAnsi="Times New Roman" w:cs="Times New Roman"/>
          <w:lang w:val="ro-MD"/>
        </w:rPr>
        <w:t xml:space="preserve">, pe care o transmite solicitantului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celorlalţi</w:t>
      </w:r>
      <w:proofErr w:type="spellEnd"/>
      <w:r w:rsidRPr="000508B6">
        <w:rPr>
          <w:rFonts w:ascii="Times New Roman" w:hAnsi="Times New Roman" w:cs="Times New Roman"/>
          <w:lang w:val="ro-MD"/>
        </w:rPr>
        <w:t xml:space="preserve"> membri ai colegiului supraveghetorilor, </w:t>
      </w:r>
      <w:proofErr w:type="spellStart"/>
      <w:r w:rsidRPr="000508B6">
        <w:rPr>
          <w:rFonts w:ascii="Times New Roman" w:hAnsi="Times New Roman" w:cs="Times New Roman"/>
          <w:lang w:val="ro-MD"/>
        </w:rPr>
        <w:t>ţinând</w:t>
      </w:r>
      <w:proofErr w:type="spellEnd"/>
      <w:r w:rsidRPr="000508B6">
        <w:rPr>
          <w:rFonts w:ascii="Times New Roman" w:hAnsi="Times New Roman" w:cs="Times New Roman"/>
          <w:lang w:val="ro-MD"/>
        </w:rPr>
        <w:t xml:space="preserve"> cont de: </w:t>
      </w:r>
    </w:p>
    <w:p w14:paraId="178DA581" w14:textId="59A588B7" w:rsidR="00AC4E00" w:rsidRPr="000508B6" w:rsidRDefault="00AC4E00" w:rsidP="001338D4">
      <w:pPr>
        <w:pStyle w:val="Listparagraf"/>
        <w:numPr>
          <w:ilvl w:val="2"/>
          <w:numId w:val="8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punctele de vedere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rezervele exprimate de membri</w:t>
      </w:r>
      <w:r w:rsidR="0033580C" w:rsidRPr="000508B6">
        <w:rPr>
          <w:rFonts w:ascii="Times New Roman" w:hAnsi="Times New Roman" w:cs="Times New Roman"/>
          <w:lang w:val="ro-MD"/>
        </w:rPr>
        <w:t>i</w:t>
      </w:r>
      <w:r w:rsidRPr="000508B6">
        <w:rPr>
          <w:rFonts w:ascii="Times New Roman" w:hAnsi="Times New Roman" w:cs="Times New Roman"/>
          <w:lang w:val="ro-MD"/>
        </w:rPr>
        <w:t xml:space="preserve"> colegiului supraveghetorilor</w:t>
      </w:r>
      <w:r w:rsidR="0033580C" w:rsidRPr="000508B6">
        <w:rPr>
          <w:rFonts w:ascii="Times New Roman" w:hAnsi="Times New Roman" w:cs="Times New Roman"/>
          <w:lang w:val="ro-MD"/>
        </w:rPr>
        <w:t xml:space="preserve"> interesați</w:t>
      </w:r>
      <w:r w:rsidRPr="000508B6">
        <w:rPr>
          <w:rFonts w:ascii="Times New Roman" w:hAnsi="Times New Roman" w:cs="Times New Roman"/>
          <w:lang w:val="ro-MD"/>
        </w:rPr>
        <w:t xml:space="preserve">, dacă în 6 luni de la primirea </w:t>
      </w:r>
      <w:proofErr w:type="spellStart"/>
      <w:r w:rsidRPr="000508B6">
        <w:rPr>
          <w:rFonts w:ascii="Times New Roman" w:hAnsi="Times New Roman" w:cs="Times New Roman"/>
          <w:lang w:val="ro-MD"/>
        </w:rPr>
        <w:t>documentaţiei</w:t>
      </w:r>
      <w:proofErr w:type="spellEnd"/>
      <w:r w:rsidRPr="000508B6">
        <w:rPr>
          <w:rFonts w:ascii="Times New Roman" w:hAnsi="Times New Roman" w:cs="Times New Roman"/>
          <w:lang w:val="ro-MD"/>
        </w:rPr>
        <w:t xml:space="preserve"> complete nu se adoptă o decizie comună în cadrul colegiului supraveghetorilor; </w:t>
      </w:r>
    </w:p>
    <w:p w14:paraId="30131656" w14:textId="626A20EB" w:rsidR="00AC4E00" w:rsidRPr="000508B6" w:rsidRDefault="00AC4E00" w:rsidP="001338D4">
      <w:pPr>
        <w:pStyle w:val="Listparagraf"/>
        <w:numPr>
          <w:ilvl w:val="2"/>
          <w:numId w:val="80"/>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decizia transmisă de EIOPA atunci când i s-a solicitat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w:t>
      </w:r>
    </w:p>
    <w:p w14:paraId="674CBE3A" w14:textId="06075590"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în termenul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(11), s-a solicitat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de către membrii colegiului supraveghetorilor, Banca Națională a Moldovei adoptă decizia privind aprobarea sau respingerea modelului intern în conformitate cu decizia EIOPA sau, în lipsa unei decizii a EIOPA, adoptă propria decizie, care este definitivă. </w:t>
      </w:r>
    </w:p>
    <w:p w14:paraId="2C6A50C5" w14:textId="0FE602D5"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prevăzută la alin. (</w:t>
      </w:r>
      <w:r w:rsidR="00D21BBD" w:rsidRPr="000508B6">
        <w:rPr>
          <w:rFonts w:ascii="Times New Roman" w:hAnsi="Times New Roman" w:cs="Times New Roman"/>
          <w:lang w:val="ro-MD"/>
        </w:rPr>
        <w:t>12</w:t>
      </w:r>
      <w:r w:rsidRPr="000508B6">
        <w:rPr>
          <w:rFonts w:ascii="Times New Roman" w:hAnsi="Times New Roman" w:cs="Times New Roman"/>
          <w:lang w:val="ro-MD"/>
        </w:rPr>
        <w:t xml:space="preserve">) nu se mai poate solicita după expirarea perioadei de 6 luni sau după adoptarea unei decizii comune în cadrul colegiului supraveghetorilor. </w:t>
      </w:r>
    </w:p>
    <w:p w14:paraId="05A97388" w14:textId="7CD4EF1C"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amână adoptarea unei decizii până la primirea punctului de vedere al EIOPA, solicitat conform alin. (12) lit. b), de care </w:t>
      </w:r>
      <w:proofErr w:type="spellStart"/>
      <w:r w:rsidRPr="000508B6">
        <w:rPr>
          <w:rFonts w:ascii="Times New Roman" w:hAnsi="Times New Roman" w:cs="Times New Roman"/>
          <w:lang w:val="ro-MD"/>
        </w:rPr>
        <w:t>ţine</w:t>
      </w:r>
      <w:proofErr w:type="spellEnd"/>
      <w:r w:rsidRPr="000508B6">
        <w:rPr>
          <w:rFonts w:ascii="Times New Roman" w:hAnsi="Times New Roman" w:cs="Times New Roman"/>
          <w:lang w:val="ro-MD"/>
        </w:rPr>
        <w:t xml:space="preserve"> cont la adoptarea deciziei proprii, pe care o motivează temeinic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o transmite solicitantului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Băncii Naționale a Moldovei, aceasta fiind considerată definitivă.  </w:t>
      </w:r>
    </w:p>
    <w:p w14:paraId="50C1D357" w14:textId="00A96002"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Înainte de a decide asupra </w:t>
      </w:r>
      <w:proofErr w:type="spellStart"/>
      <w:r w:rsidRPr="000508B6">
        <w:rPr>
          <w:rFonts w:ascii="Times New Roman" w:hAnsi="Times New Roman" w:cs="Times New Roman"/>
          <w:lang w:val="ro-MD"/>
        </w:rPr>
        <w:t>situaţiilor</w:t>
      </w:r>
      <w:proofErr w:type="spellEnd"/>
      <w:r w:rsidRPr="000508B6">
        <w:rPr>
          <w:rFonts w:ascii="Times New Roman" w:hAnsi="Times New Roman" w:cs="Times New Roman"/>
          <w:lang w:val="ro-MD"/>
        </w:rPr>
        <w:t xml:space="preserve"> prevăzute la </w:t>
      </w:r>
      <w:r w:rsidR="00A57627" w:rsidRPr="000508B6">
        <w:rPr>
          <w:rFonts w:ascii="Times New Roman" w:hAnsi="Times New Roman" w:cs="Times New Roman"/>
          <w:lang w:val="ro-MD"/>
        </w:rPr>
        <w:t xml:space="preserve">alin. (11) și </w:t>
      </w:r>
      <w:r w:rsidRPr="000508B6">
        <w:rPr>
          <w:rFonts w:ascii="Times New Roman" w:hAnsi="Times New Roman" w:cs="Times New Roman"/>
          <w:lang w:val="ro-MD"/>
        </w:rPr>
        <w:t xml:space="preserve">art. </w:t>
      </w:r>
      <w:r w:rsidR="00654575" w:rsidRPr="000508B6">
        <w:rPr>
          <w:rFonts w:ascii="Times New Roman" w:hAnsi="Times New Roman" w:cs="Times New Roman"/>
          <w:lang w:val="ro-MD"/>
        </w:rPr>
        <w:t>116</w:t>
      </w:r>
      <w:r w:rsidR="005E67E7"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2E7DB6" w:rsidRPr="000508B6">
        <w:rPr>
          <w:rFonts w:ascii="Times New Roman" w:hAnsi="Times New Roman" w:cs="Times New Roman"/>
          <w:lang w:val="ro-MD"/>
        </w:rPr>
        <w:t>9</w:t>
      </w:r>
      <w:r w:rsidRPr="000508B6">
        <w:rPr>
          <w:rFonts w:ascii="Times New Roman" w:hAnsi="Times New Roman" w:cs="Times New Roman"/>
          <w:lang w:val="ro-MD"/>
        </w:rPr>
        <w:t xml:space="preserve">)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 Banca Națională a Moldovei se consultă cu membrii colegiului supraveghetorilor. </w:t>
      </w:r>
    </w:p>
    <w:p w14:paraId="2F5367CA" w14:textId="35FE87B8" w:rsidR="007A6AB9" w:rsidRPr="000508B6" w:rsidRDefault="007A6AB9"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w:t>
      </w:r>
      <w:proofErr w:type="spellStart"/>
      <w:r w:rsidRPr="000508B6">
        <w:rPr>
          <w:rFonts w:ascii="Times New Roman" w:hAnsi="Times New Roman" w:cs="Times New Roman"/>
          <w:lang w:val="ro-MD"/>
        </w:rPr>
        <w:t>motivaţia</w:t>
      </w:r>
      <w:proofErr w:type="spellEnd"/>
      <w:r w:rsidRPr="000508B6">
        <w:rPr>
          <w:rFonts w:ascii="Times New Roman" w:hAnsi="Times New Roman" w:cs="Times New Roman"/>
          <w:lang w:val="ro-MD"/>
        </w:rPr>
        <w:t xml:space="preserve"> propunerii măsurilor prevăzute la art. </w:t>
      </w:r>
      <w:r w:rsidR="002B068F" w:rsidRPr="000508B6">
        <w:rPr>
          <w:rFonts w:ascii="Times New Roman" w:hAnsi="Times New Roman" w:cs="Times New Roman"/>
          <w:lang w:val="ro-MD"/>
        </w:rPr>
        <w:t>13</w:t>
      </w:r>
      <w:r w:rsidR="00917743" w:rsidRPr="000508B6">
        <w:rPr>
          <w:rFonts w:ascii="Times New Roman" w:hAnsi="Times New Roman" w:cs="Times New Roman"/>
          <w:lang w:val="ro-MD"/>
        </w:rPr>
        <w:t>8</w:t>
      </w:r>
      <w:r w:rsidRPr="000508B6">
        <w:rPr>
          <w:rFonts w:ascii="Times New Roman" w:hAnsi="Times New Roman" w:cs="Times New Roman"/>
          <w:lang w:val="ro-MD"/>
        </w:rPr>
        <w:t xml:space="preserve"> alin. (3)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(4) atât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cât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colegiului supraveghetorilor. </w:t>
      </w:r>
    </w:p>
    <w:p w14:paraId="36D58D84" w14:textId="433DD418"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art. </w:t>
      </w:r>
      <w:r w:rsidR="00654575" w:rsidRPr="000508B6">
        <w:rPr>
          <w:rFonts w:ascii="Times New Roman" w:hAnsi="Times New Roman" w:cs="Times New Roman"/>
          <w:lang w:val="ro-MD"/>
        </w:rPr>
        <w:t xml:space="preserve">141 </w:t>
      </w:r>
      <w:r w:rsidRPr="000508B6">
        <w:rPr>
          <w:rFonts w:ascii="Times New Roman" w:hAnsi="Times New Roman" w:cs="Times New Roman"/>
          <w:lang w:val="ro-MD"/>
        </w:rPr>
        <w:t xml:space="preserve">alin. (2), Banca Națională a Moldovei verifică, cel </w:t>
      </w:r>
      <w:proofErr w:type="spellStart"/>
      <w:r w:rsidRPr="000508B6">
        <w:rPr>
          <w:rFonts w:ascii="Times New Roman" w:hAnsi="Times New Roman" w:cs="Times New Roman"/>
          <w:lang w:val="ro-MD"/>
        </w:rPr>
        <w:t>puţin</w:t>
      </w:r>
      <w:proofErr w:type="spellEnd"/>
      <w:r w:rsidRPr="000508B6">
        <w:rPr>
          <w:rFonts w:ascii="Times New Roman" w:hAnsi="Times New Roman" w:cs="Times New Roman"/>
          <w:lang w:val="ro-MD"/>
        </w:rPr>
        <w:t xml:space="preserve"> anual, din proprie </w:t>
      </w:r>
      <w:proofErr w:type="spellStart"/>
      <w:r w:rsidRPr="000508B6">
        <w:rPr>
          <w:rFonts w:ascii="Times New Roman" w:hAnsi="Times New Roman" w:cs="Times New Roman"/>
          <w:lang w:val="ro-MD"/>
        </w:rPr>
        <w:t>iniţiativă</w:t>
      </w:r>
      <w:proofErr w:type="spellEnd"/>
      <w:r w:rsidRPr="000508B6">
        <w:rPr>
          <w:rFonts w:ascii="Times New Roman" w:hAnsi="Times New Roman" w:cs="Times New Roman"/>
          <w:lang w:val="ro-MD"/>
        </w:rPr>
        <w:t xml:space="preserve"> sau la cererea supraveghetorului direct al filialei, modul în care societatea-mamă respectă în </w:t>
      </w:r>
      <w:proofErr w:type="spellStart"/>
      <w:r w:rsidRPr="000508B6">
        <w:rPr>
          <w:rFonts w:ascii="Times New Roman" w:hAnsi="Times New Roman" w:cs="Times New Roman"/>
          <w:lang w:val="ro-MD"/>
        </w:rPr>
        <w:t>permanenţă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prevăzute la art. </w:t>
      </w:r>
      <w:r w:rsidR="00654575" w:rsidRPr="000508B6">
        <w:rPr>
          <w:rFonts w:ascii="Times New Roman" w:hAnsi="Times New Roman" w:cs="Times New Roman"/>
          <w:lang w:val="ro-MD"/>
        </w:rPr>
        <w:t>141</w:t>
      </w:r>
      <w:r w:rsidR="005E67E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lit. b) -d).  </w:t>
      </w:r>
    </w:p>
    <w:p w14:paraId="39A2E3C9" w14:textId="326AB8BC"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informează supraveghetorul direct al filialei, în urma consultării colegiului supraveghetorilor, cu privire la </w:t>
      </w:r>
      <w:proofErr w:type="spellStart"/>
      <w:r w:rsidRPr="000508B6">
        <w:rPr>
          <w:rFonts w:ascii="Times New Roman" w:hAnsi="Times New Roman" w:cs="Times New Roman"/>
          <w:lang w:val="ro-MD"/>
        </w:rPr>
        <w:t>ineficienţa</w:t>
      </w:r>
      <w:proofErr w:type="spellEnd"/>
      <w:r w:rsidRPr="000508B6">
        <w:rPr>
          <w:rFonts w:ascii="Times New Roman" w:hAnsi="Times New Roman" w:cs="Times New Roman"/>
          <w:lang w:val="ro-MD"/>
        </w:rPr>
        <w:t xml:space="preserve"> sau neaplicarea în perioada stabilită a planurilor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654575" w:rsidRPr="000508B6">
        <w:rPr>
          <w:rFonts w:ascii="Times New Roman" w:hAnsi="Times New Roman" w:cs="Times New Roman"/>
          <w:lang w:val="ro-MD"/>
        </w:rPr>
        <w:t xml:space="preserve">141 </w:t>
      </w:r>
      <w:r w:rsidRPr="000508B6">
        <w:rPr>
          <w:rFonts w:ascii="Times New Roman" w:hAnsi="Times New Roman" w:cs="Times New Roman"/>
          <w:lang w:val="ro-MD"/>
        </w:rPr>
        <w:t xml:space="preserve">alin. (2)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(3)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la faptul că nu mai sunt respectate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prevăzute la art. </w:t>
      </w:r>
      <w:r w:rsidR="00654575" w:rsidRPr="000508B6">
        <w:rPr>
          <w:rFonts w:ascii="Times New Roman" w:hAnsi="Times New Roman" w:cs="Times New Roman"/>
          <w:lang w:val="ro-MD"/>
        </w:rPr>
        <w:t>141</w:t>
      </w:r>
      <w:r w:rsidR="005E67E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lit. b) -d).  </w:t>
      </w:r>
    </w:p>
    <w:p w14:paraId="39095FE6" w14:textId="7A4489E3"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după consultarea colegiului supraveghetorilor, Banca Națională a Moldovei decide excluderea unei filiale din supravegherea la nivel de grup, comunică de îndată acest lucru supraveghetorului direct al acesteia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a respectivei filiale. </w:t>
      </w:r>
    </w:p>
    <w:p w14:paraId="37B0D824" w14:textId="77777777"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se consultă cu grupul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colegiul supraveghetorilor pentru: </w:t>
      </w:r>
    </w:p>
    <w:p w14:paraId="1660B1E6" w14:textId="57FBFAEC" w:rsidR="00AC4E00" w:rsidRPr="000508B6" w:rsidRDefault="00AC4E00" w:rsidP="001338D4">
      <w:pPr>
        <w:pStyle w:val="Listparagraf"/>
        <w:numPr>
          <w:ilvl w:val="2"/>
          <w:numId w:val="81"/>
        </w:numPr>
        <w:tabs>
          <w:tab w:val="left" w:pos="709"/>
          <w:tab w:val="left" w:pos="851"/>
          <w:tab w:val="left" w:pos="8080"/>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 identifica </w:t>
      </w:r>
      <w:r w:rsidR="00D05134" w:rsidRPr="000508B6">
        <w:rPr>
          <w:rFonts w:ascii="Times New Roman" w:eastAsia="Calibri" w:hAnsi="Times New Roman" w:cs="Times New Roman"/>
          <w:lang w:val="ro-MD"/>
        </w:rPr>
        <w:t>concentrările semnificative</w:t>
      </w:r>
      <w:r w:rsidRPr="000508B6">
        <w:rPr>
          <w:rFonts w:ascii="Times New Roman" w:eastAsia="Calibri" w:hAnsi="Times New Roman" w:cs="Times New Roman"/>
          <w:lang w:val="ro-MD"/>
        </w:rPr>
        <w:t xml:space="preserve"> de riscuri</w:t>
      </w:r>
      <w:r w:rsidRPr="000508B6">
        <w:rPr>
          <w:rFonts w:ascii="Times New Roman" w:hAnsi="Times New Roman" w:cs="Times New Roman"/>
          <w:lang w:val="ro-MD"/>
        </w:rPr>
        <w:t xml:space="preserve"> pe care </w:t>
      </w:r>
      <w:r w:rsidR="003B1288" w:rsidRPr="000508B6">
        <w:rPr>
          <w:rFonts w:ascii="Times New Roman" w:hAnsi="Times New Roman" w:cs="Times New Roman"/>
          <w:lang w:val="ro-MD"/>
        </w:rPr>
        <w:t xml:space="preserve">asigurătorii sau </w:t>
      </w:r>
      <w:proofErr w:type="spellStart"/>
      <w:r w:rsidR="003B1288" w:rsidRPr="000508B6">
        <w:rPr>
          <w:rFonts w:ascii="Times New Roman" w:hAnsi="Times New Roman" w:cs="Times New Roman"/>
          <w:lang w:val="ro-MD"/>
        </w:rPr>
        <w:t>reasigurătorii</w:t>
      </w:r>
      <w:proofErr w:type="spellEnd"/>
      <w:r w:rsidR="003B1288" w:rsidRPr="000508B6">
        <w:rPr>
          <w:rFonts w:ascii="Times New Roman" w:hAnsi="Times New Roman" w:cs="Times New Roman"/>
          <w:lang w:val="ro-MD"/>
        </w:rPr>
        <w:t xml:space="preserve"> coordonatori </w:t>
      </w:r>
      <w:r w:rsidRPr="000508B6">
        <w:rPr>
          <w:rFonts w:ascii="Times New Roman" w:hAnsi="Times New Roman" w:cs="Times New Roman"/>
          <w:lang w:val="ro-MD"/>
        </w:rPr>
        <w:t xml:space="preserve">le includ în raportul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art. </w:t>
      </w:r>
      <w:r w:rsidR="00D05134" w:rsidRPr="000508B6">
        <w:rPr>
          <w:rFonts w:ascii="Times New Roman" w:hAnsi="Times New Roman" w:cs="Times New Roman"/>
          <w:lang w:val="ro-MD"/>
        </w:rPr>
        <w:t>145</w:t>
      </w:r>
      <w:r w:rsidR="00505F3F"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impune praguri adecvate, pe baza SCR, a rezervelor tehnice</w:t>
      </w:r>
      <w:r w:rsidR="005A06E7" w:rsidRPr="000508B6">
        <w:rPr>
          <w:rFonts w:ascii="Times New Roman" w:hAnsi="Times New Roman" w:cs="Times New Roman"/>
          <w:lang w:val="ro-MD"/>
        </w:rPr>
        <w:t>,</w:t>
      </w:r>
      <w:r w:rsidRPr="000508B6">
        <w:rPr>
          <w:rFonts w:ascii="Times New Roman" w:hAnsi="Times New Roman" w:cs="Times New Roman"/>
          <w:lang w:val="ro-MD"/>
        </w:rPr>
        <w:t xml:space="preserve"> </w:t>
      </w:r>
      <w:r w:rsidR="005A06E7" w:rsidRPr="000508B6">
        <w:rPr>
          <w:rFonts w:ascii="Times New Roman" w:hAnsi="Times New Roman" w:cs="Times New Roman"/>
          <w:lang w:val="ro-MD"/>
        </w:rPr>
        <w:t>a fondurilor proprii eligibile, a altor criterii cantitative sau calitative bazate pe riscuri considerate adecvate sau a unei combinații a acestora</w:t>
      </w:r>
      <w:r w:rsidRPr="000508B6">
        <w:rPr>
          <w:rFonts w:ascii="Times New Roman" w:hAnsi="Times New Roman" w:cs="Times New Roman"/>
          <w:lang w:val="ro-MD"/>
        </w:rPr>
        <w:t xml:space="preserve">; </w:t>
      </w:r>
    </w:p>
    <w:p w14:paraId="16958FB6" w14:textId="77777777" w:rsidR="00AC4E00" w:rsidRPr="000508B6" w:rsidRDefault="00AC4E00" w:rsidP="001338D4">
      <w:pPr>
        <w:pStyle w:val="Listparagraf"/>
        <w:numPr>
          <w:ilvl w:val="2"/>
          <w:numId w:val="81"/>
        </w:numPr>
        <w:tabs>
          <w:tab w:val="left" w:pos="709"/>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 emite opinii cu privire la tipurile de riscuri, </w:t>
      </w:r>
      <w:proofErr w:type="spellStart"/>
      <w:r w:rsidRPr="000508B6">
        <w:rPr>
          <w:rFonts w:ascii="Times New Roman" w:hAnsi="Times New Roman" w:cs="Times New Roman"/>
          <w:lang w:val="ro-MD"/>
        </w:rPr>
        <w:t>ţinând</w:t>
      </w:r>
      <w:proofErr w:type="spellEnd"/>
      <w:r w:rsidRPr="000508B6">
        <w:rPr>
          <w:rFonts w:ascii="Times New Roman" w:hAnsi="Times New Roman" w:cs="Times New Roman"/>
          <w:lang w:val="ro-MD"/>
        </w:rPr>
        <w:t xml:space="preserve"> cont de structura grupului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sistemului de management al riscului; </w:t>
      </w:r>
    </w:p>
    <w:p w14:paraId="02B6F3B7" w14:textId="705EA749" w:rsidR="00AC4E00" w:rsidRPr="000508B6" w:rsidRDefault="00AC4E00" w:rsidP="001338D4">
      <w:pPr>
        <w:pStyle w:val="Listparagraf"/>
        <w:numPr>
          <w:ilvl w:val="2"/>
          <w:numId w:val="81"/>
        </w:numPr>
        <w:tabs>
          <w:tab w:val="left" w:pos="709"/>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 identifica tipurile de </w:t>
      </w:r>
      <w:proofErr w:type="spellStart"/>
      <w:r w:rsidRPr="000508B6">
        <w:rPr>
          <w:rFonts w:ascii="Times New Roman" w:hAnsi="Times New Roman" w:cs="Times New Roman"/>
          <w:lang w:val="ro-MD"/>
        </w:rPr>
        <w:t>tranzacţii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pe care </w:t>
      </w:r>
      <w:r w:rsidR="009D6FAA" w:rsidRPr="000508B6">
        <w:rPr>
          <w:rFonts w:ascii="Times New Roman" w:hAnsi="Times New Roman" w:cs="Times New Roman"/>
          <w:lang w:val="ro-MD"/>
        </w:rPr>
        <w:t xml:space="preserve">asigurătorii sau </w:t>
      </w:r>
      <w:proofErr w:type="spellStart"/>
      <w:r w:rsidR="009D6FAA" w:rsidRPr="000508B6">
        <w:rPr>
          <w:rFonts w:ascii="Times New Roman" w:hAnsi="Times New Roman" w:cs="Times New Roman"/>
          <w:lang w:val="ro-MD"/>
        </w:rPr>
        <w:t>reasigurătorii</w:t>
      </w:r>
      <w:proofErr w:type="spellEnd"/>
      <w:r w:rsidR="009D6FAA" w:rsidRPr="000508B6">
        <w:rPr>
          <w:rFonts w:ascii="Times New Roman" w:hAnsi="Times New Roman" w:cs="Times New Roman"/>
          <w:lang w:val="ro-MD"/>
        </w:rPr>
        <w:t xml:space="preserve"> </w:t>
      </w:r>
      <w:r w:rsidRPr="000508B6">
        <w:rPr>
          <w:rFonts w:ascii="Times New Roman" w:hAnsi="Times New Roman" w:cs="Times New Roman"/>
          <w:lang w:val="ro-MD"/>
        </w:rPr>
        <w:t xml:space="preserve">au </w:t>
      </w:r>
      <w:proofErr w:type="spellStart"/>
      <w:r w:rsidRPr="000508B6">
        <w:rPr>
          <w:rFonts w:ascii="Times New Roman" w:hAnsi="Times New Roman" w:cs="Times New Roman"/>
          <w:lang w:val="ro-MD"/>
        </w:rPr>
        <w:t>obligaţia</w:t>
      </w:r>
      <w:proofErr w:type="spellEnd"/>
      <w:r w:rsidRPr="000508B6">
        <w:rPr>
          <w:rFonts w:ascii="Times New Roman" w:hAnsi="Times New Roman" w:cs="Times New Roman"/>
          <w:lang w:val="ro-MD"/>
        </w:rPr>
        <w:t xml:space="preserve"> de a le include în raportul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art. </w:t>
      </w:r>
      <w:r w:rsidR="00A25C38" w:rsidRPr="000508B6">
        <w:rPr>
          <w:rFonts w:ascii="Times New Roman" w:hAnsi="Times New Roman" w:cs="Times New Roman"/>
          <w:lang w:val="ro-MD"/>
        </w:rPr>
        <w:t>145</w:t>
      </w:r>
      <w:r w:rsidR="005E67E7"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  </w:t>
      </w:r>
    </w:p>
    <w:p w14:paraId="3FB0689B" w14:textId="68967DA2"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procesul de </w:t>
      </w:r>
      <w:r w:rsidR="00F10C23" w:rsidRPr="000508B6">
        <w:rPr>
          <w:rFonts w:ascii="Times New Roman" w:hAnsi="Times New Roman" w:cs="Times New Roman"/>
          <w:lang w:val="ro-MD"/>
        </w:rPr>
        <w:t>analizare</w:t>
      </w:r>
      <w:r w:rsidRPr="000508B6">
        <w:rPr>
          <w:rFonts w:ascii="Times New Roman" w:hAnsi="Times New Roman" w:cs="Times New Roman"/>
          <w:lang w:val="ro-MD"/>
        </w:rPr>
        <w:t xml:space="preserve"> a concentrării riscurilor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tranzacţiilor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Banca Națională a Moldovei monitorizează în special riscul de contagiune în cadrul grupului, riscul de </w:t>
      </w:r>
      <w:proofErr w:type="spellStart"/>
      <w:r w:rsidRPr="000508B6">
        <w:rPr>
          <w:rFonts w:ascii="Times New Roman" w:hAnsi="Times New Roman" w:cs="Times New Roman"/>
          <w:lang w:val="ro-MD"/>
        </w:rPr>
        <w:t>apariţie</w:t>
      </w:r>
      <w:proofErr w:type="spellEnd"/>
      <w:r w:rsidRPr="000508B6">
        <w:rPr>
          <w:rFonts w:ascii="Times New Roman" w:hAnsi="Times New Roman" w:cs="Times New Roman"/>
          <w:lang w:val="ro-MD"/>
        </w:rPr>
        <w:t xml:space="preserve"> a unor conflicte de interese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volumul riscurilor.  </w:t>
      </w:r>
    </w:p>
    <w:p w14:paraId="6DA9D3D5" w14:textId="1E9D4D66"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Pentru a decide în </w:t>
      </w:r>
      <w:proofErr w:type="spellStart"/>
      <w:r w:rsidRPr="000508B6">
        <w:rPr>
          <w:rFonts w:ascii="Times New Roman" w:hAnsi="Times New Roman" w:cs="Times New Roman"/>
          <w:lang w:val="ro-MD"/>
        </w:rPr>
        <w:t>privinţa</w:t>
      </w:r>
      <w:proofErr w:type="spellEnd"/>
      <w:r w:rsidRPr="000508B6">
        <w:rPr>
          <w:rFonts w:ascii="Times New Roman" w:hAnsi="Times New Roman" w:cs="Times New Roman"/>
          <w:lang w:val="ro-MD"/>
        </w:rPr>
        <w:t xml:space="preserve"> aprobării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2868B3" w:rsidRPr="000508B6">
        <w:rPr>
          <w:rFonts w:ascii="Times New Roman" w:hAnsi="Times New Roman" w:cs="Times New Roman"/>
          <w:lang w:val="ro-MD"/>
        </w:rPr>
        <w:t xml:space="preserve">146 </w:t>
      </w:r>
      <w:r w:rsidRPr="000508B6">
        <w:rPr>
          <w:rFonts w:ascii="Times New Roman" w:hAnsi="Times New Roman" w:cs="Times New Roman"/>
          <w:lang w:val="ro-MD"/>
        </w:rPr>
        <w:t>alin. (</w:t>
      </w:r>
      <w:r w:rsidR="0048099D" w:rsidRPr="000508B6">
        <w:rPr>
          <w:rFonts w:ascii="Times New Roman" w:hAnsi="Times New Roman" w:cs="Times New Roman"/>
          <w:lang w:val="ro-MD"/>
        </w:rPr>
        <w:t>11</w:t>
      </w:r>
      <w:r w:rsidRPr="000508B6">
        <w:rPr>
          <w:rFonts w:ascii="Times New Roman" w:hAnsi="Times New Roman" w:cs="Times New Roman"/>
          <w:lang w:val="ro-MD"/>
        </w:rPr>
        <w:t xml:space="preserve">), Banca Națională a Moldovei se consultă cu colegiul supraveghetorilor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ia în considerare în mod corespunzător punctele de vedere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rezervele formulate de membrii acestuia. </w:t>
      </w:r>
    </w:p>
    <w:p w14:paraId="273074D6" w14:textId="1346CFC4"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consultă colegiul supraveghetorilor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ia în considerare în mod corespunzător punctele de vedere sau rezervele exprimate de </w:t>
      </w:r>
      <w:proofErr w:type="spellStart"/>
      <w:r w:rsidRPr="000508B6">
        <w:rPr>
          <w:rFonts w:ascii="Times New Roman" w:hAnsi="Times New Roman" w:cs="Times New Roman"/>
          <w:lang w:val="ro-MD"/>
        </w:rPr>
        <w:t>aceştia</w:t>
      </w:r>
      <w:proofErr w:type="spellEnd"/>
      <w:r w:rsidRPr="000508B6">
        <w:rPr>
          <w:rFonts w:ascii="Times New Roman" w:hAnsi="Times New Roman" w:cs="Times New Roman"/>
          <w:lang w:val="ro-MD"/>
        </w:rPr>
        <w:t xml:space="preserve"> atunci când analizează solicitarea </w:t>
      </w:r>
      <w:r w:rsidR="00B43BCC" w:rsidRPr="000508B6">
        <w:rPr>
          <w:rFonts w:ascii="Times New Roman" w:hAnsi="Times New Roman" w:cs="Times New Roman"/>
          <w:lang w:val="ro-MD"/>
        </w:rPr>
        <w:t xml:space="preserve">asigurătorului sau </w:t>
      </w:r>
      <w:proofErr w:type="spellStart"/>
      <w:r w:rsidR="00B43BCC" w:rsidRPr="000508B6">
        <w:rPr>
          <w:rFonts w:ascii="Times New Roman" w:hAnsi="Times New Roman" w:cs="Times New Roman"/>
          <w:lang w:val="ro-MD"/>
        </w:rPr>
        <w:t>reasigurătorului</w:t>
      </w:r>
      <w:proofErr w:type="spellEnd"/>
      <w:r w:rsidR="009D5914"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a holdingului de asigurare sau a holdingului financiar mixt privind aprobarea publicării unui raport unic, în conformitate cu prevederile art. </w:t>
      </w:r>
      <w:r w:rsidR="00F224DC" w:rsidRPr="000508B6">
        <w:rPr>
          <w:rFonts w:ascii="Times New Roman" w:hAnsi="Times New Roman" w:cs="Times New Roman"/>
          <w:lang w:val="ro-MD"/>
        </w:rPr>
        <w:t>1</w:t>
      </w:r>
      <w:r w:rsidR="00B2408F" w:rsidRPr="000508B6">
        <w:rPr>
          <w:rFonts w:ascii="Times New Roman" w:hAnsi="Times New Roman" w:cs="Times New Roman"/>
          <w:lang w:val="ro-MD"/>
        </w:rPr>
        <w:t>48</w:t>
      </w:r>
      <w:r w:rsidRPr="000508B6">
        <w:rPr>
          <w:rFonts w:ascii="Times New Roman" w:hAnsi="Times New Roman" w:cs="Times New Roman"/>
          <w:lang w:val="ro-MD"/>
        </w:rPr>
        <w:t xml:space="preserve">. </w:t>
      </w:r>
    </w:p>
    <w:p w14:paraId="08FF034C" w14:textId="325359BB"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un grup are în </w:t>
      </w:r>
      <w:proofErr w:type="spellStart"/>
      <w:r w:rsidRPr="000508B6">
        <w:rPr>
          <w:rFonts w:ascii="Times New Roman" w:hAnsi="Times New Roman" w:cs="Times New Roman"/>
          <w:lang w:val="ro-MD"/>
        </w:rPr>
        <w:t>componenţă</w:t>
      </w:r>
      <w:proofErr w:type="spellEnd"/>
      <w:r w:rsidRPr="000508B6">
        <w:rPr>
          <w:rFonts w:ascii="Times New Roman" w:hAnsi="Times New Roman" w:cs="Times New Roman"/>
          <w:lang w:val="ro-MD"/>
        </w:rPr>
        <w:t xml:space="preserve"> holdinguri de asigurare sau holdinguri financiare mixte cu sediul central pe teritoriul Republicii Moldova, Banca Națională a Moldovei impune măsuri de </w:t>
      </w:r>
      <w:r w:rsidR="00A945BD" w:rsidRPr="000508B6">
        <w:rPr>
          <w:rFonts w:ascii="Times New Roman" w:hAnsi="Times New Roman" w:cs="Times New Roman"/>
          <w:lang w:val="ro-MD"/>
        </w:rPr>
        <w:t xml:space="preserve">remediere </w:t>
      </w:r>
      <w:r w:rsidRPr="000508B6">
        <w:rPr>
          <w:rFonts w:ascii="Times New Roman" w:hAnsi="Times New Roman" w:cs="Times New Roman"/>
          <w:lang w:val="ro-MD"/>
        </w:rPr>
        <w:t xml:space="preserve">în cazul în care acestea: </w:t>
      </w:r>
    </w:p>
    <w:p w14:paraId="3A2E2E03" w14:textId="77777777"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 nu respectă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privind solvabilitatea și sistemul de guvernanță la nivel de grup;</w:t>
      </w:r>
    </w:p>
    <w:p w14:paraId="18A7F3CC" w14:textId="152B2F04"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b) respectă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w:t>
      </w:r>
      <w:r w:rsidR="00717DE5">
        <w:rPr>
          <w:rFonts w:ascii="Times New Roman" w:hAnsi="Times New Roman" w:cs="Times New Roman"/>
          <w:lang w:val="ro-MD"/>
        </w:rPr>
        <w:t xml:space="preserve"> privind </w:t>
      </w:r>
      <w:r w:rsidR="00717DE5" w:rsidRPr="000508B6">
        <w:rPr>
          <w:rFonts w:ascii="Times New Roman" w:hAnsi="Times New Roman" w:cs="Times New Roman"/>
          <w:lang w:val="ro-MD"/>
        </w:rPr>
        <w:t>solvabilitatea și sistemul de guvernanță la nivel de grup</w:t>
      </w:r>
      <w:r w:rsidRPr="000508B6">
        <w:rPr>
          <w:rFonts w:ascii="Times New Roman" w:hAnsi="Times New Roman" w:cs="Times New Roman"/>
          <w:lang w:val="ro-MD"/>
        </w:rPr>
        <w:t xml:space="preserve">, dar solvabilitatea le este periclitată; </w:t>
      </w:r>
    </w:p>
    <w:p w14:paraId="7E409041" w14:textId="5FEC9CC3"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c) sunt afectate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financiară de </w:t>
      </w:r>
      <w:proofErr w:type="spellStart"/>
      <w:r w:rsidRPr="000508B6">
        <w:rPr>
          <w:rFonts w:ascii="Times New Roman" w:hAnsi="Times New Roman" w:cs="Times New Roman"/>
          <w:lang w:val="ro-MD"/>
        </w:rPr>
        <w:t>tranzacţiile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sau concentrările de risc. </w:t>
      </w:r>
    </w:p>
    <w:p w14:paraId="0DEB01D5" w14:textId="6EB99095"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informează supraveghetorii </w:t>
      </w:r>
      <w:r w:rsidR="00D80849" w:rsidRPr="000508B6">
        <w:rPr>
          <w:rFonts w:ascii="Times New Roman" w:hAnsi="Times New Roman" w:cs="Times New Roman"/>
          <w:lang w:val="ro-MD"/>
        </w:rPr>
        <w:t xml:space="preserve">asigurătorilor sau </w:t>
      </w:r>
      <w:proofErr w:type="spellStart"/>
      <w:r w:rsidR="00D80849"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holdingurilor de asigurare sau holdingurilor financiare mixte din statele membre pe teritoriul cărora acestea au sediul central cu privire la faptul că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(25) nu sunt respectate. </w:t>
      </w:r>
    </w:p>
    <w:p w14:paraId="0BB1F15E" w14:textId="523C4F43"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În cazul în care holdingul de asigurare sau holdingul financiar mixt nu are sediul central în R</w:t>
      </w:r>
      <w:r w:rsidR="00F224DC" w:rsidRPr="000508B6">
        <w:rPr>
          <w:rFonts w:ascii="Times New Roman" w:hAnsi="Times New Roman" w:cs="Times New Roman"/>
          <w:lang w:val="ro-MD"/>
        </w:rPr>
        <w:t xml:space="preserve">epublica </w:t>
      </w:r>
      <w:r w:rsidRPr="000508B6">
        <w:rPr>
          <w:rFonts w:ascii="Times New Roman" w:hAnsi="Times New Roman" w:cs="Times New Roman"/>
          <w:lang w:val="ro-MD"/>
        </w:rPr>
        <w:t>M</w:t>
      </w:r>
      <w:r w:rsidR="00F224DC" w:rsidRPr="000508B6">
        <w:rPr>
          <w:rFonts w:ascii="Times New Roman" w:hAnsi="Times New Roman" w:cs="Times New Roman"/>
          <w:lang w:val="ro-MD"/>
        </w:rPr>
        <w:t>oldova</w:t>
      </w:r>
      <w:r w:rsidRPr="000508B6">
        <w:rPr>
          <w:rFonts w:ascii="Times New Roman" w:hAnsi="Times New Roman" w:cs="Times New Roman"/>
          <w:lang w:val="ro-MD"/>
        </w:rPr>
        <w:t xml:space="preserve">, Banca Națională a Moldovei transmite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referitoare la nerespectarea </w:t>
      </w:r>
      <w:proofErr w:type="spellStart"/>
      <w:r w:rsidRPr="000508B6">
        <w:rPr>
          <w:rFonts w:ascii="Times New Roman" w:hAnsi="Times New Roman" w:cs="Times New Roman"/>
          <w:lang w:val="ro-MD"/>
        </w:rPr>
        <w:t>cerinţelor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(25) </w:t>
      </w:r>
      <w:proofErr w:type="spellStart"/>
      <w:r w:rsidRPr="000508B6">
        <w:rPr>
          <w:rFonts w:ascii="Times New Roman" w:hAnsi="Times New Roman" w:cs="Times New Roman"/>
          <w:lang w:val="ro-MD"/>
        </w:rPr>
        <w:t>celorlalţi</w:t>
      </w:r>
      <w:proofErr w:type="spellEnd"/>
      <w:r w:rsidRPr="000508B6">
        <w:rPr>
          <w:rFonts w:ascii="Times New Roman" w:hAnsi="Times New Roman" w:cs="Times New Roman"/>
          <w:lang w:val="ro-MD"/>
        </w:rPr>
        <w:t xml:space="preserve"> supraveghetori din colegiu, pentru ca </w:t>
      </w:r>
      <w:proofErr w:type="spellStart"/>
      <w:r w:rsidRPr="000508B6">
        <w:rPr>
          <w:rFonts w:ascii="Times New Roman" w:hAnsi="Times New Roman" w:cs="Times New Roman"/>
          <w:lang w:val="ro-MD"/>
        </w:rPr>
        <w:t>aceştia</w:t>
      </w:r>
      <w:proofErr w:type="spellEnd"/>
      <w:r w:rsidRPr="000508B6">
        <w:rPr>
          <w:rFonts w:ascii="Times New Roman" w:hAnsi="Times New Roman" w:cs="Times New Roman"/>
          <w:lang w:val="ro-MD"/>
        </w:rPr>
        <w:t xml:space="preserve"> să poată lua măsurile </w:t>
      </w:r>
      <w:r w:rsidR="006D1E9B" w:rsidRPr="000508B6">
        <w:rPr>
          <w:rFonts w:ascii="Times New Roman" w:hAnsi="Times New Roman" w:cs="Times New Roman"/>
          <w:lang w:val="ro-MD"/>
        </w:rPr>
        <w:t>de remediere</w:t>
      </w:r>
      <w:r w:rsidRPr="000508B6">
        <w:rPr>
          <w:rFonts w:ascii="Times New Roman" w:hAnsi="Times New Roman" w:cs="Times New Roman"/>
          <w:lang w:val="ro-MD"/>
        </w:rPr>
        <w:t>.</w:t>
      </w:r>
    </w:p>
    <w:p w14:paraId="44856456" w14:textId="63265FF6"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alin. (29), Banca Națională a Moldovei decide asupra măsurilor de remediere impuse holdingurilor de asigurare sau holdingurilor financiare mixte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/sau, după caz, coordonează adoptarea acestor măsuri în cadrul colegiului supraveghetorilor. </w:t>
      </w:r>
    </w:p>
    <w:p w14:paraId="4C671221" w14:textId="095A2ABE"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r w:rsidR="000D1DE2" w:rsidRPr="000508B6">
        <w:rPr>
          <w:rFonts w:ascii="Times New Roman" w:hAnsi="Times New Roman" w:cs="Times New Roman"/>
          <w:lang w:val="ro-MD"/>
        </w:rPr>
        <w:t xml:space="preserve">are competența de a aplica toate măsurile de supraveghere necesare </w:t>
      </w:r>
      <w:r w:rsidRPr="000508B6">
        <w:rPr>
          <w:rFonts w:ascii="Times New Roman" w:hAnsi="Times New Roman" w:cs="Times New Roman"/>
          <w:lang w:val="ro-MD"/>
        </w:rPr>
        <w:t>holdingurilor de asigurare sau holdingurilor financiare mixte</w:t>
      </w:r>
      <w:r w:rsidR="000D1DE2" w:rsidRPr="000508B6">
        <w:rPr>
          <w:rFonts w:ascii="Times New Roman" w:hAnsi="Times New Roman" w:cs="Times New Roman"/>
          <w:lang w:val="ro-MD"/>
        </w:rPr>
        <w:t xml:space="preserve"> în conformitate cu art.</w:t>
      </w:r>
      <w:r w:rsidR="008D4950" w:rsidRPr="000508B6">
        <w:rPr>
          <w:rFonts w:ascii="Times New Roman" w:hAnsi="Times New Roman" w:cs="Times New Roman"/>
          <w:lang w:val="ro-MD"/>
        </w:rPr>
        <w:t xml:space="preserve"> </w:t>
      </w:r>
      <w:r w:rsidR="000D1DE2" w:rsidRPr="000508B6">
        <w:rPr>
          <w:rFonts w:ascii="Times New Roman" w:hAnsi="Times New Roman" w:cs="Times New Roman"/>
          <w:lang w:val="ro-MD"/>
        </w:rPr>
        <w:t>176 alin (4)-(6)</w:t>
      </w:r>
      <w:r w:rsidR="00D33BF6" w:rsidRPr="000508B6">
        <w:rPr>
          <w:rFonts w:ascii="Times New Roman" w:hAnsi="Times New Roman" w:cs="Times New Roman"/>
          <w:lang w:val="ro-MD"/>
        </w:rPr>
        <w:t xml:space="preserve">, inclusiv exercită competențele generale de supraveghere menționate la art. </w:t>
      </w:r>
      <w:r w:rsidR="002868B3" w:rsidRPr="000508B6">
        <w:rPr>
          <w:rFonts w:ascii="Times New Roman" w:hAnsi="Times New Roman" w:cs="Times New Roman"/>
          <w:lang w:val="ro-MD"/>
        </w:rPr>
        <w:t>179</w:t>
      </w:r>
      <w:r w:rsidR="00D33BF6" w:rsidRPr="000508B6">
        <w:rPr>
          <w:rFonts w:ascii="Times New Roman" w:hAnsi="Times New Roman" w:cs="Times New Roman"/>
          <w:lang w:val="ro-MD"/>
        </w:rPr>
        <w:t>, necesare pentru a se asigura că grupurile cărora li se aplică supravegherea la nivel de grup în conformitate cu art.</w:t>
      </w:r>
      <w:r w:rsidR="008D4950" w:rsidRPr="000508B6">
        <w:rPr>
          <w:rFonts w:ascii="Times New Roman" w:hAnsi="Times New Roman" w:cs="Times New Roman"/>
          <w:lang w:val="ro-MD"/>
        </w:rPr>
        <w:t xml:space="preserve"> </w:t>
      </w:r>
      <w:r w:rsidR="002868B3" w:rsidRPr="000508B6">
        <w:rPr>
          <w:rFonts w:ascii="Times New Roman" w:hAnsi="Times New Roman" w:cs="Times New Roman"/>
          <w:lang w:val="ro-MD"/>
        </w:rPr>
        <w:t>116</w:t>
      </w:r>
      <w:r w:rsidR="00D33BF6" w:rsidRPr="000508B6">
        <w:rPr>
          <w:rFonts w:ascii="Times New Roman" w:hAnsi="Times New Roman" w:cs="Times New Roman"/>
          <w:lang w:val="ro-MD"/>
        </w:rPr>
        <w:t xml:space="preserve"> alin.</w:t>
      </w:r>
      <w:r w:rsidR="008D4950" w:rsidRPr="000508B6">
        <w:rPr>
          <w:rFonts w:ascii="Times New Roman" w:hAnsi="Times New Roman" w:cs="Times New Roman"/>
          <w:lang w:val="ro-MD"/>
        </w:rPr>
        <w:t xml:space="preserve"> </w:t>
      </w:r>
      <w:r w:rsidR="00D33BF6" w:rsidRPr="000508B6">
        <w:rPr>
          <w:rFonts w:ascii="Times New Roman" w:hAnsi="Times New Roman" w:cs="Times New Roman"/>
          <w:lang w:val="ro-MD"/>
        </w:rPr>
        <w:t>(</w:t>
      </w:r>
      <w:r w:rsidR="002E7DB6" w:rsidRPr="000508B6">
        <w:rPr>
          <w:rFonts w:ascii="Times New Roman" w:hAnsi="Times New Roman" w:cs="Times New Roman"/>
          <w:lang w:val="ro-MD"/>
        </w:rPr>
        <w:t>3</w:t>
      </w:r>
      <w:r w:rsidR="00D33BF6" w:rsidRPr="000508B6">
        <w:rPr>
          <w:rFonts w:ascii="Times New Roman" w:hAnsi="Times New Roman" w:cs="Times New Roman"/>
          <w:lang w:val="ro-MD"/>
        </w:rPr>
        <w:t>) literele a), b) și c) respectă toate cerințele stabilite în prezenta lege</w:t>
      </w:r>
      <w:r w:rsidRPr="000508B6">
        <w:rPr>
          <w:rFonts w:ascii="Times New Roman" w:hAnsi="Times New Roman" w:cs="Times New Roman"/>
          <w:lang w:val="ro-MD"/>
        </w:rPr>
        <w:t>.</w:t>
      </w:r>
      <w:r w:rsidR="00BA2AE3" w:rsidRPr="000508B6">
        <w:rPr>
          <w:rFonts w:ascii="Times New Roman" w:hAnsi="Times New Roman" w:cs="Times New Roman"/>
          <w:lang w:val="ro-MD"/>
        </w:rPr>
        <w:t xml:space="preserve"> Fără a aduce atingere normelor de drept penal, Banca Națională a Moldovei impune sancțiuni sau adoptă măsuri în ceea ce privește holdingurile de asigurare și holdingurile financiare mixte care încalcă </w:t>
      </w:r>
      <w:r w:rsidR="00932FDB" w:rsidRPr="000508B6">
        <w:rPr>
          <w:rFonts w:ascii="Times New Roman" w:hAnsi="Times New Roman" w:cs="Times New Roman"/>
          <w:lang w:val="ro-MD"/>
        </w:rPr>
        <w:t xml:space="preserve">prezenta </w:t>
      </w:r>
      <w:r w:rsidR="00BA2AE3" w:rsidRPr="000508B6">
        <w:rPr>
          <w:rFonts w:ascii="Times New Roman" w:hAnsi="Times New Roman" w:cs="Times New Roman"/>
          <w:lang w:val="ro-MD"/>
        </w:rPr>
        <w:t xml:space="preserve">lege, alte dispoziții legale și actele </w:t>
      </w:r>
      <w:r w:rsidR="00932FDB" w:rsidRPr="000508B6">
        <w:rPr>
          <w:rFonts w:ascii="Times New Roman" w:hAnsi="Times New Roman" w:cs="Times New Roman"/>
          <w:lang w:val="ro-MD"/>
        </w:rPr>
        <w:t xml:space="preserve">Băncii Naționale a Moldovei </w:t>
      </w:r>
      <w:r w:rsidR="00BA2AE3" w:rsidRPr="000508B6">
        <w:rPr>
          <w:rFonts w:ascii="Times New Roman" w:hAnsi="Times New Roman" w:cs="Times New Roman"/>
          <w:lang w:val="ro-MD"/>
        </w:rPr>
        <w:t xml:space="preserve">adoptate pentru transpunerea prezentului </w:t>
      </w:r>
      <w:r w:rsidR="00932FDB" w:rsidRPr="000508B6">
        <w:rPr>
          <w:rFonts w:ascii="Times New Roman" w:hAnsi="Times New Roman" w:cs="Times New Roman"/>
          <w:lang w:val="ro-MD"/>
        </w:rPr>
        <w:t>capitol</w:t>
      </w:r>
      <w:r w:rsidR="00BA2AE3" w:rsidRPr="000508B6">
        <w:rPr>
          <w:rFonts w:ascii="Times New Roman" w:hAnsi="Times New Roman" w:cs="Times New Roman"/>
          <w:lang w:val="ro-MD"/>
        </w:rPr>
        <w:t xml:space="preserve"> sau în ceea ce privește persoanele care conduc efectiv </w:t>
      </w:r>
      <w:r w:rsidR="00D80849" w:rsidRPr="000508B6">
        <w:rPr>
          <w:rFonts w:ascii="Times New Roman" w:hAnsi="Times New Roman" w:cs="Times New Roman"/>
          <w:lang w:val="ro-MD"/>
        </w:rPr>
        <w:t xml:space="preserve">entitățile </w:t>
      </w:r>
      <w:r w:rsidR="00BA2AE3" w:rsidRPr="000508B6">
        <w:rPr>
          <w:rFonts w:ascii="Times New Roman" w:hAnsi="Times New Roman" w:cs="Times New Roman"/>
          <w:lang w:val="ro-MD"/>
        </w:rPr>
        <w:t>respective</w:t>
      </w:r>
      <w:r w:rsidR="00C47885" w:rsidRPr="000508B6">
        <w:rPr>
          <w:rFonts w:ascii="Times New Roman" w:hAnsi="Times New Roman" w:cs="Times New Roman"/>
          <w:lang w:val="ro-MD"/>
        </w:rPr>
        <w:t>.</w:t>
      </w:r>
      <w:r w:rsidRPr="000508B6">
        <w:rPr>
          <w:rFonts w:ascii="Times New Roman" w:hAnsi="Times New Roman" w:cs="Times New Roman"/>
          <w:lang w:val="ro-MD"/>
        </w:rPr>
        <w:t xml:space="preserve"> </w:t>
      </w:r>
    </w:p>
    <w:p w14:paraId="292F627E" w14:textId="0A9757B5"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Prin consultare cu colegiul supraveghetorilor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EIOPA, cu respectarea prevederilor legale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fără a aduce atingere altor decizii adoptate anterior la nivel european cu privire la statele </w:t>
      </w:r>
      <w:proofErr w:type="spellStart"/>
      <w:r w:rsidRPr="000508B6">
        <w:rPr>
          <w:rFonts w:ascii="Times New Roman" w:hAnsi="Times New Roman" w:cs="Times New Roman"/>
          <w:lang w:val="ro-MD"/>
        </w:rPr>
        <w:t>terţe</w:t>
      </w:r>
      <w:proofErr w:type="spellEnd"/>
      <w:r w:rsidRPr="000508B6">
        <w:rPr>
          <w:rFonts w:ascii="Times New Roman" w:hAnsi="Times New Roman" w:cs="Times New Roman"/>
          <w:lang w:val="ro-MD"/>
        </w:rPr>
        <w:t xml:space="preserve">, cu </w:t>
      </w:r>
      <w:proofErr w:type="spellStart"/>
      <w:r w:rsidRPr="000508B6">
        <w:rPr>
          <w:rFonts w:ascii="Times New Roman" w:hAnsi="Times New Roman" w:cs="Times New Roman"/>
          <w:lang w:val="ro-MD"/>
        </w:rPr>
        <w:t>excepţia</w:t>
      </w:r>
      <w:proofErr w:type="spellEnd"/>
      <w:r w:rsidRPr="000508B6">
        <w:rPr>
          <w:rFonts w:ascii="Times New Roman" w:hAnsi="Times New Roman" w:cs="Times New Roman"/>
          <w:lang w:val="ro-MD"/>
        </w:rPr>
        <w:t xml:space="preserve"> cazului în care regimul din statele </w:t>
      </w:r>
      <w:proofErr w:type="spellStart"/>
      <w:r w:rsidRPr="000508B6">
        <w:rPr>
          <w:rFonts w:ascii="Times New Roman" w:hAnsi="Times New Roman" w:cs="Times New Roman"/>
          <w:lang w:val="ro-MD"/>
        </w:rPr>
        <w:t>terţe</w:t>
      </w:r>
      <w:proofErr w:type="spellEnd"/>
      <w:r w:rsidRPr="000508B6">
        <w:rPr>
          <w:rFonts w:ascii="Times New Roman" w:hAnsi="Times New Roman" w:cs="Times New Roman"/>
          <w:lang w:val="ro-MD"/>
        </w:rPr>
        <w:t xml:space="preserve"> </w:t>
      </w:r>
      <w:r w:rsidR="005F6140" w:rsidRPr="000508B6">
        <w:rPr>
          <w:rFonts w:ascii="Times New Roman" w:hAnsi="Times New Roman" w:cs="Times New Roman"/>
          <w:lang w:val="ro-MD"/>
        </w:rPr>
        <w:t xml:space="preserve">sau cel prevăzut </w:t>
      </w:r>
      <w:r w:rsidR="003707EA" w:rsidRPr="000508B6">
        <w:rPr>
          <w:rFonts w:ascii="Times New Roman" w:hAnsi="Times New Roman" w:cs="Times New Roman"/>
          <w:lang w:val="ro-MD"/>
        </w:rPr>
        <w:t xml:space="preserve">la art. </w:t>
      </w:r>
      <w:r w:rsidR="00467C1A" w:rsidRPr="000508B6">
        <w:rPr>
          <w:rFonts w:ascii="Times New Roman" w:hAnsi="Times New Roman" w:cs="Times New Roman"/>
          <w:lang w:val="ro-MD"/>
        </w:rPr>
        <w:t>152</w:t>
      </w:r>
      <w:r w:rsidR="005F6140" w:rsidRPr="000508B6">
        <w:rPr>
          <w:rFonts w:ascii="Times New Roman" w:hAnsi="Times New Roman" w:cs="Times New Roman"/>
          <w:lang w:val="ro-MD"/>
        </w:rPr>
        <w:t xml:space="preserve"> </w:t>
      </w:r>
      <w:r w:rsidRPr="000508B6">
        <w:rPr>
          <w:rFonts w:ascii="Times New Roman" w:hAnsi="Times New Roman" w:cs="Times New Roman"/>
          <w:lang w:val="ro-MD"/>
        </w:rPr>
        <w:t>înregistrează modificări semnificative, Banca Națională a Moldovei verifică următoarele:</w:t>
      </w:r>
    </w:p>
    <w:p w14:paraId="19E241D6" w14:textId="22E558FD" w:rsidR="00AC4E00" w:rsidRPr="000508B6" w:rsidRDefault="00AC4E00" w:rsidP="00CF5AFA">
      <w:pPr>
        <w:pStyle w:val="Listparagraf"/>
        <w:numPr>
          <w:ilvl w:val="2"/>
          <w:numId w:val="82"/>
        </w:numPr>
        <w:tabs>
          <w:tab w:val="left" w:pos="851"/>
        </w:tabs>
        <w:spacing w:after="0" w:line="240" w:lineRule="auto"/>
        <w:ind w:left="0" w:firstLine="567"/>
        <w:jc w:val="both"/>
        <w:rPr>
          <w:rFonts w:ascii="Times New Roman" w:hAnsi="Times New Roman" w:cs="Times New Roman"/>
          <w:lang w:val="ro-MD"/>
        </w:rPr>
      </w:pPr>
      <w:bookmarkStart w:id="190" w:name="_Hlk190335034"/>
      <w:proofErr w:type="spellStart"/>
      <w:r w:rsidRPr="000508B6">
        <w:rPr>
          <w:rFonts w:ascii="Times New Roman" w:hAnsi="Times New Roman" w:cs="Times New Roman"/>
          <w:lang w:val="ro-MD"/>
        </w:rPr>
        <w:t>echivalenţa</w:t>
      </w:r>
      <w:proofErr w:type="spellEnd"/>
      <w:r w:rsidRPr="000508B6">
        <w:rPr>
          <w:rFonts w:ascii="Times New Roman" w:hAnsi="Times New Roman" w:cs="Times New Roman"/>
          <w:lang w:val="ro-MD"/>
        </w:rPr>
        <w:t xml:space="preserve"> regimului de solvabilitate prevăzut de statele </w:t>
      </w:r>
      <w:proofErr w:type="spellStart"/>
      <w:r w:rsidRPr="000508B6">
        <w:rPr>
          <w:rFonts w:ascii="Times New Roman" w:hAnsi="Times New Roman" w:cs="Times New Roman"/>
          <w:lang w:val="ro-MD"/>
        </w:rPr>
        <w:t>terţe</w:t>
      </w:r>
      <w:proofErr w:type="spellEnd"/>
      <w:r w:rsidRPr="000508B6">
        <w:rPr>
          <w:rFonts w:ascii="Times New Roman" w:hAnsi="Times New Roman" w:cs="Times New Roman"/>
          <w:lang w:val="ro-MD"/>
        </w:rPr>
        <w:t xml:space="preserve"> în care se află </w:t>
      </w:r>
      <w:r w:rsidR="0020634D" w:rsidRPr="000508B6">
        <w:rPr>
          <w:rFonts w:ascii="Times New Roman" w:hAnsi="Times New Roman" w:cs="Times New Roman"/>
          <w:lang w:val="ro-MD"/>
        </w:rPr>
        <w:t xml:space="preserve">asigurătorul sau </w:t>
      </w:r>
      <w:proofErr w:type="spellStart"/>
      <w:r w:rsidR="0020634D" w:rsidRPr="000508B6">
        <w:rPr>
          <w:rFonts w:ascii="Times New Roman" w:hAnsi="Times New Roman" w:cs="Times New Roman"/>
          <w:lang w:val="ro-MD"/>
        </w:rPr>
        <w:t>reasigurătorul</w:t>
      </w:r>
      <w:proofErr w:type="spellEnd"/>
      <w:r w:rsidR="0020634D"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 ale </w:t>
      </w:r>
      <w:r w:rsidR="0020634D" w:rsidRPr="000508B6">
        <w:rPr>
          <w:rFonts w:ascii="Times New Roman" w:hAnsi="Times New Roman" w:cs="Times New Roman"/>
          <w:lang w:val="ro-MD"/>
        </w:rPr>
        <w:t xml:space="preserve">unui asigurător sau </w:t>
      </w:r>
      <w:proofErr w:type="spellStart"/>
      <w:r w:rsidR="0020634D" w:rsidRPr="000508B6">
        <w:rPr>
          <w:rFonts w:ascii="Times New Roman" w:hAnsi="Times New Roman" w:cs="Times New Roman"/>
          <w:lang w:val="ro-MD"/>
        </w:rPr>
        <w:t>reasigurător</w:t>
      </w:r>
      <w:proofErr w:type="spellEnd"/>
      <w:r w:rsidR="00403D10"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din proprie </w:t>
      </w:r>
      <w:proofErr w:type="spellStart"/>
      <w:r w:rsidRPr="000508B6">
        <w:rPr>
          <w:rFonts w:ascii="Times New Roman" w:hAnsi="Times New Roman" w:cs="Times New Roman"/>
          <w:lang w:val="ro-MD"/>
        </w:rPr>
        <w:t>iniţiativă</w:t>
      </w:r>
      <w:proofErr w:type="spellEnd"/>
      <w:r w:rsidRPr="000508B6">
        <w:rPr>
          <w:rFonts w:ascii="Times New Roman" w:hAnsi="Times New Roman" w:cs="Times New Roman"/>
          <w:lang w:val="ro-MD"/>
        </w:rPr>
        <w:t xml:space="preserve"> sau la cererea </w:t>
      </w:r>
      <w:r w:rsidR="0020634D" w:rsidRPr="000508B6">
        <w:rPr>
          <w:rFonts w:ascii="Times New Roman" w:hAnsi="Times New Roman" w:cs="Times New Roman"/>
          <w:lang w:val="ro-MD"/>
        </w:rPr>
        <w:t xml:space="preserve">asigurătorului sau </w:t>
      </w:r>
      <w:proofErr w:type="spellStart"/>
      <w:r w:rsidR="0020634D" w:rsidRPr="000508B6">
        <w:rPr>
          <w:rFonts w:ascii="Times New Roman" w:hAnsi="Times New Roman" w:cs="Times New Roman"/>
          <w:lang w:val="ro-MD"/>
        </w:rPr>
        <w:t>reasigurătorului</w:t>
      </w:r>
      <w:proofErr w:type="spellEnd"/>
      <w:r w:rsidR="00403D10"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atunci când </w:t>
      </w:r>
      <w:r w:rsidR="00467C1A" w:rsidRPr="000508B6">
        <w:rPr>
          <w:rFonts w:ascii="Times New Roman" w:hAnsi="Times New Roman" w:cs="Times New Roman"/>
          <w:lang w:val="ro-MD"/>
        </w:rPr>
        <w:t>calculează cu ajutorul metodei nr.</w:t>
      </w:r>
      <w:r w:rsidR="008D4950" w:rsidRPr="000508B6">
        <w:rPr>
          <w:rFonts w:ascii="Times New Roman" w:hAnsi="Times New Roman" w:cs="Times New Roman"/>
          <w:lang w:val="ro-MD"/>
        </w:rPr>
        <w:t xml:space="preserve"> </w:t>
      </w:r>
      <w:r w:rsidR="00467C1A" w:rsidRPr="000508B6">
        <w:rPr>
          <w:rFonts w:ascii="Times New Roman" w:hAnsi="Times New Roman" w:cs="Times New Roman"/>
          <w:lang w:val="ro-MD"/>
        </w:rPr>
        <w:t xml:space="preserve">2, prevăzută la art. 136 </w:t>
      </w:r>
      <w:r w:rsidR="00FD78D0" w:rsidRPr="000508B6">
        <w:rPr>
          <w:rFonts w:ascii="Times New Roman" w:hAnsi="Times New Roman" w:cs="Times New Roman"/>
          <w:lang w:val="ro-MD"/>
        </w:rPr>
        <w:t>SCR agregată la nivel de grup</w:t>
      </w:r>
      <w:r w:rsidR="00467C1A" w:rsidRPr="000508B6">
        <w:rPr>
          <w:rFonts w:ascii="Times New Roman" w:hAnsi="Times New Roman" w:cs="Times New Roman"/>
          <w:lang w:val="ro-MD"/>
        </w:rPr>
        <w:t>.</w:t>
      </w:r>
      <w:r w:rsidRPr="000508B6">
        <w:rPr>
          <w:rFonts w:ascii="Times New Roman" w:hAnsi="Times New Roman" w:cs="Times New Roman"/>
          <w:lang w:val="ro-MD"/>
        </w:rPr>
        <w:t xml:space="preserve"> ; </w:t>
      </w:r>
    </w:p>
    <w:p w14:paraId="18045BDA" w14:textId="4E0DFAC5" w:rsidR="00AC4E00" w:rsidRPr="000508B6" w:rsidRDefault="00AC4E00" w:rsidP="00CF5AFA">
      <w:pPr>
        <w:pStyle w:val="Listparagraf"/>
        <w:numPr>
          <w:ilvl w:val="2"/>
          <w:numId w:val="82"/>
        </w:numPr>
        <w:tabs>
          <w:tab w:val="left" w:pos="851"/>
        </w:tabs>
        <w:spacing w:after="0" w:line="240" w:lineRule="auto"/>
        <w:ind w:left="0" w:firstLine="567"/>
        <w:jc w:val="both"/>
        <w:rPr>
          <w:rFonts w:ascii="Times New Roman" w:hAnsi="Times New Roman" w:cs="Times New Roman"/>
          <w:lang w:val="ro-MD"/>
        </w:rPr>
      </w:pPr>
      <w:proofErr w:type="spellStart"/>
      <w:r w:rsidRPr="000508B6">
        <w:rPr>
          <w:rFonts w:ascii="Times New Roman" w:hAnsi="Times New Roman" w:cs="Times New Roman"/>
          <w:lang w:val="ro-MD"/>
        </w:rPr>
        <w:t>echivalenţa</w:t>
      </w:r>
      <w:proofErr w:type="spellEnd"/>
      <w:r w:rsidRPr="000508B6">
        <w:rPr>
          <w:rFonts w:ascii="Times New Roman" w:hAnsi="Times New Roman" w:cs="Times New Roman"/>
          <w:lang w:val="ro-MD"/>
        </w:rPr>
        <w:t xml:space="preserve"> regimului de supraveghere aplicat de statul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în care se află societatea-mamă, din proprie </w:t>
      </w:r>
      <w:proofErr w:type="spellStart"/>
      <w:r w:rsidRPr="000508B6">
        <w:rPr>
          <w:rFonts w:ascii="Times New Roman" w:hAnsi="Times New Roman" w:cs="Times New Roman"/>
          <w:lang w:val="ro-MD"/>
        </w:rPr>
        <w:t>iniţiativă</w:t>
      </w:r>
      <w:proofErr w:type="spellEnd"/>
      <w:r w:rsidRPr="000508B6">
        <w:rPr>
          <w:rFonts w:ascii="Times New Roman" w:hAnsi="Times New Roman" w:cs="Times New Roman"/>
          <w:lang w:val="ro-MD"/>
        </w:rPr>
        <w:t xml:space="preserve"> sau la cererea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ori a </w:t>
      </w:r>
      <w:r w:rsidR="003B1288" w:rsidRPr="000508B6">
        <w:rPr>
          <w:rFonts w:ascii="Times New Roman" w:hAnsi="Times New Roman" w:cs="Times New Roman"/>
          <w:lang w:val="ro-MD"/>
        </w:rPr>
        <w:t xml:space="preserve">asigurătorului sau </w:t>
      </w:r>
      <w:proofErr w:type="spellStart"/>
      <w:r w:rsidR="003B1288" w:rsidRPr="000508B6">
        <w:rPr>
          <w:rFonts w:ascii="Times New Roman" w:hAnsi="Times New Roman" w:cs="Times New Roman"/>
          <w:lang w:val="ro-MD"/>
        </w:rPr>
        <w:t>reasigurătorului</w:t>
      </w:r>
      <w:proofErr w:type="spellEnd"/>
      <w:r w:rsidR="003B1288" w:rsidRPr="000508B6">
        <w:rPr>
          <w:rFonts w:ascii="Times New Roman" w:hAnsi="Times New Roman" w:cs="Times New Roman"/>
          <w:lang w:val="ro-MD"/>
        </w:rPr>
        <w:t xml:space="preserve"> </w:t>
      </w:r>
      <w:r w:rsidRPr="000508B6">
        <w:rPr>
          <w:rFonts w:ascii="Times New Roman" w:hAnsi="Times New Roman" w:cs="Times New Roman"/>
          <w:lang w:val="ro-MD"/>
        </w:rPr>
        <w:t xml:space="preserve">din </w:t>
      </w:r>
      <w:r w:rsidR="005F6140" w:rsidRPr="000508B6">
        <w:rPr>
          <w:rFonts w:ascii="Times New Roman" w:hAnsi="Times New Roman" w:cs="Times New Roman"/>
          <w:lang w:val="ro-MD"/>
        </w:rPr>
        <w:t>cadrul grupului</w:t>
      </w:r>
      <w:r w:rsidRPr="000508B6">
        <w:rPr>
          <w:rFonts w:ascii="Times New Roman" w:hAnsi="Times New Roman" w:cs="Times New Roman"/>
          <w:lang w:val="ro-MD"/>
        </w:rPr>
        <w:t xml:space="preserve"> stabilit în statele membre.</w:t>
      </w:r>
      <w:bookmarkEnd w:id="190"/>
      <w:r w:rsidRPr="000508B6">
        <w:rPr>
          <w:rFonts w:ascii="Times New Roman" w:hAnsi="Times New Roman" w:cs="Times New Roman"/>
          <w:lang w:val="ro-MD"/>
        </w:rPr>
        <w:t xml:space="preserve"> </w:t>
      </w:r>
    </w:p>
    <w:p w14:paraId="7A447B01" w14:textId="23F6CC72"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nu există acte delegate emise de Comisia Europeană cu privire la </w:t>
      </w:r>
      <w:proofErr w:type="spellStart"/>
      <w:r w:rsidRPr="000508B6">
        <w:rPr>
          <w:rFonts w:ascii="Times New Roman" w:hAnsi="Times New Roman" w:cs="Times New Roman"/>
          <w:lang w:val="ro-MD"/>
        </w:rPr>
        <w:t>echivalenţa</w:t>
      </w:r>
      <w:proofErr w:type="spellEnd"/>
      <w:r w:rsidRPr="000508B6">
        <w:rPr>
          <w:rFonts w:ascii="Times New Roman" w:hAnsi="Times New Roman" w:cs="Times New Roman"/>
          <w:lang w:val="ro-MD"/>
        </w:rPr>
        <w:t xml:space="preserve"> regimului de supraveghere din state </w:t>
      </w:r>
      <w:proofErr w:type="spellStart"/>
      <w:r w:rsidRPr="000508B6">
        <w:rPr>
          <w:rFonts w:ascii="Times New Roman" w:hAnsi="Times New Roman" w:cs="Times New Roman"/>
          <w:lang w:val="ro-MD"/>
        </w:rPr>
        <w:t>terţe</w:t>
      </w:r>
      <w:proofErr w:type="spellEnd"/>
      <w:r w:rsidRPr="000508B6">
        <w:rPr>
          <w:rFonts w:ascii="Times New Roman" w:hAnsi="Times New Roman" w:cs="Times New Roman"/>
          <w:lang w:val="ro-MD"/>
        </w:rPr>
        <w:t xml:space="preserve">, se aplică prevederile art. </w:t>
      </w:r>
      <w:r w:rsidR="002868B3" w:rsidRPr="000508B6">
        <w:rPr>
          <w:rFonts w:ascii="Times New Roman" w:hAnsi="Times New Roman" w:cs="Times New Roman"/>
          <w:lang w:val="ro-MD"/>
        </w:rPr>
        <w:t>152</w:t>
      </w:r>
      <w:r w:rsidRPr="000508B6">
        <w:rPr>
          <w:rFonts w:ascii="Times New Roman" w:hAnsi="Times New Roman" w:cs="Times New Roman"/>
          <w:lang w:val="ro-MD"/>
        </w:rPr>
        <w:t xml:space="preserve">. </w:t>
      </w:r>
    </w:p>
    <w:p w14:paraId="302FDA23" w14:textId="740CA3DA" w:rsidR="00AC4E00" w:rsidRPr="000508B6" w:rsidRDefault="00284EC2"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w:t>
      </w:r>
      <w:r w:rsidR="006F31B6" w:rsidRPr="000508B6">
        <w:rPr>
          <w:rFonts w:ascii="Times New Roman" w:hAnsi="Times New Roman" w:cs="Times New Roman"/>
          <w:lang w:val="ro-MD"/>
        </w:rPr>
        <w:t>are atribuții</w:t>
      </w:r>
      <w:r w:rsidRPr="000508B6">
        <w:rPr>
          <w:rFonts w:ascii="Times New Roman" w:hAnsi="Times New Roman" w:cs="Times New Roman"/>
          <w:lang w:val="ro-MD"/>
        </w:rPr>
        <w:t xml:space="preserve"> de supraveghetor coordonator în cazul </w:t>
      </w:r>
      <w:r w:rsidR="00AC4E00" w:rsidRPr="000508B6">
        <w:rPr>
          <w:rFonts w:ascii="Times New Roman" w:hAnsi="Times New Roman" w:cs="Times New Roman"/>
          <w:lang w:val="ro-MD"/>
        </w:rPr>
        <w:t xml:space="preserve">în care </w:t>
      </w:r>
      <w:r w:rsidR="006F31B6" w:rsidRPr="000508B6">
        <w:rPr>
          <w:rFonts w:ascii="Times New Roman" w:hAnsi="Times New Roman" w:cs="Times New Roman"/>
          <w:lang w:val="ro-MD"/>
        </w:rPr>
        <w:t xml:space="preserve">societatea-mamă </w:t>
      </w:r>
      <w:r w:rsidR="00AC4E00" w:rsidRPr="000508B6">
        <w:rPr>
          <w:rFonts w:ascii="Times New Roman" w:hAnsi="Times New Roman" w:cs="Times New Roman"/>
          <w:lang w:val="ro-MD"/>
        </w:rPr>
        <w:t xml:space="preserve">a </w:t>
      </w:r>
      <w:r w:rsidR="006F31B6" w:rsidRPr="000508B6">
        <w:rPr>
          <w:rFonts w:ascii="Times New Roman" w:hAnsi="Times New Roman" w:cs="Times New Roman"/>
          <w:lang w:val="ro-MD"/>
        </w:rPr>
        <w:t>unui grup are</w:t>
      </w:r>
      <w:r w:rsidR="00AC4E00" w:rsidRPr="000508B6">
        <w:rPr>
          <w:rFonts w:ascii="Times New Roman" w:hAnsi="Times New Roman" w:cs="Times New Roman"/>
          <w:lang w:val="ro-MD"/>
        </w:rPr>
        <w:t xml:space="preserve"> sediul central </w:t>
      </w:r>
      <w:r w:rsidR="006F31B6" w:rsidRPr="000508B6">
        <w:rPr>
          <w:rFonts w:ascii="Times New Roman" w:hAnsi="Times New Roman" w:cs="Times New Roman"/>
          <w:lang w:val="ro-MD"/>
        </w:rPr>
        <w:t>într-un stat terț al cărui regim de supraveghere nu</w:t>
      </w:r>
      <w:r w:rsidR="00AC4E00" w:rsidRPr="000508B6">
        <w:rPr>
          <w:rFonts w:ascii="Times New Roman" w:hAnsi="Times New Roman" w:cs="Times New Roman"/>
          <w:lang w:val="ro-MD"/>
        </w:rPr>
        <w:t xml:space="preserve"> este </w:t>
      </w:r>
      <w:r w:rsidR="006F31B6" w:rsidRPr="000508B6">
        <w:rPr>
          <w:rFonts w:ascii="Times New Roman" w:hAnsi="Times New Roman" w:cs="Times New Roman"/>
          <w:lang w:val="ro-MD"/>
        </w:rPr>
        <w:t>declarat echivalent printr-un act delegat emis de Comisia Europeană.</w:t>
      </w:r>
      <w:r w:rsidR="00AC4E00" w:rsidRPr="000508B6">
        <w:rPr>
          <w:rFonts w:ascii="Times New Roman" w:hAnsi="Times New Roman" w:cs="Times New Roman"/>
          <w:lang w:val="ro-MD"/>
        </w:rPr>
        <w:t xml:space="preserve"> </w:t>
      </w:r>
    </w:p>
    <w:p w14:paraId="36D04576" w14:textId="11909E11" w:rsidR="00AC4E00" w:rsidRPr="000508B6" w:rsidRDefault="00AC4E00" w:rsidP="00CF5AFA">
      <w:pPr>
        <w:pStyle w:val="Listparagraf"/>
        <w:numPr>
          <w:ilvl w:val="0"/>
          <w:numId w:val="76"/>
        </w:numPr>
        <w:tabs>
          <w:tab w:val="left" w:pos="851"/>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t xml:space="preserve">În cazul în care societatea-mamă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(30) lit. b) este filiala </w:t>
      </w:r>
      <w:r w:rsidR="000F2D37" w:rsidRPr="000508B6">
        <w:rPr>
          <w:rFonts w:ascii="Times New Roman" w:hAnsi="Times New Roman" w:cs="Times New Roman"/>
          <w:lang w:val="ro-MD"/>
        </w:rPr>
        <w:t xml:space="preserve">a unui asigurător sau </w:t>
      </w:r>
      <w:proofErr w:type="spellStart"/>
      <w:r w:rsidR="000F2D37" w:rsidRPr="000508B6">
        <w:rPr>
          <w:rFonts w:ascii="Times New Roman" w:hAnsi="Times New Roman" w:cs="Times New Roman"/>
          <w:lang w:val="ro-MD"/>
        </w:rPr>
        <w:t>reasigurător</w:t>
      </w:r>
      <w:proofErr w:type="spellEnd"/>
      <w:r w:rsidR="000F2D37" w:rsidRPr="000508B6">
        <w:rPr>
          <w:rFonts w:ascii="Times New Roman" w:hAnsi="Times New Roman" w:cs="Times New Roman"/>
          <w:lang w:val="ro-MD"/>
        </w:rPr>
        <w:t xml:space="preserve"> dintr-un stat </w:t>
      </w:r>
      <w:proofErr w:type="spellStart"/>
      <w:r w:rsidR="000F2D37"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a unui holding de asigurare sau holding financiar mixt dintr-un stat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Banca Națională a Moldovei verifică, în cadrul colegiului supraveghetorilor, </w:t>
      </w:r>
      <w:proofErr w:type="spellStart"/>
      <w:r w:rsidRPr="000508B6">
        <w:rPr>
          <w:rFonts w:ascii="Times New Roman" w:hAnsi="Times New Roman" w:cs="Times New Roman"/>
          <w:lang w:val="ro-MD"/>
        </w:rPr>
        <w:t>echivalenţa</w:t>
      </w:r>
      <w:proofErr w:type="spellEnd"/>
      <w:r w:rsidRPr="000508B6">
        <w:rPr>
          <w:rFonts w:ascii="Times New Roman" w:hAnsi="Times New Roman" w:cs="Times New Roman"/>
          <w:lang w:val="ro-MD"/>
        </w:rPr>
        <w:t xml:space="preserve"> regimului de supraveghere la nivelul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de cel mai înalt rang, iar în </w:t>
      </w:r>
      <w:proofErr w:type="spellStart"/>
      <w:r w:rsidRPr="000508B6">
        <w:rPr>
          <w:rFonts w:ascii="Times New Roman" w:hAnsi="Times New Roman" w:cs="Times New Roman"/>
          <w:lang w:val="ro-MD"/>
        </w:rPr>
        <w:t>absenţa</w:t>
      </w:r>
      <w:proofErr w:type="spellEnd"/>
      <w:r w:rsidRPr="000508B6">
        <w:rPr>
          <w:rFonts w:ascii="Times New Roman" w:hAnsi="Times New Roman" w:cs="Times New Roman"/>
          <w:lang w:val="ro-MD"/>
        </w:rPr>
        <w:t xml:space="preserve"> unei decizii privind </w:t>
      </w:r>
      <w:proofErr w:type="spellStart"/>
      <w:r w:rsidRPr="000508B6">
        <w:rPr>
          <w:rFonts w:ascii="Times New Roman" w:hAnsi="Times New Roman" w:cs="Times New Roman"/>
          <w:lang w:val="ro-MD"/>
        </w:rPr>
        <w:t>echivalenţa</w:t>
      </w:r>
      <w:proofErr w:type="spellEnd"/>
      <w:r w:rsidRPr="000508B6">
        <w:rPr>
          <w:rFonts w:ascii="Times New Roman" w:hAnsi="Times New Roman" w:cs="Times New Roman"/>
          <w:lang w:val="ro-MD"/>
        </w:rPr>
        <w:t xml:space="preserve"> respectivă, verifică </w:t>
      </w:r>
      <w:proofErr w:type="spellStart"/>
      <w:r w:rsidRPr="000508B6">
        <w:rPr>
          <w:rFonts w:ascii="Times New Roman" w:hAnsi="Times New Roman" w:cs="Times New Roman"/>
          <w:lang w:val="ro-MD"/>
        </w:rPr>
        <w:t>echivalenţa</w:t>
      </w:r>
      <w:proofErr w:type="spellEnd"/>
      <w:r w:rsidRPr="000508B6">
        <w:rPr>
          <w:rFonts w:ascii="Times New Roman" w:hAnsi="Times New Roman" w:cs="Times New Roman"/>
          <w:lang w:val="ro-MD"/>
        </w:rPr>
        <w:t xml:space="preserve"> regimului de supraveghere din statul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în care se află o societate-mamă de rang inferior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aplică prevederile alin. (</w:t>
      </w:r>
      <w:r w:rsidR="001A3B04" w:rsidRPr="000508B6">
        <w:rPr>
          <w:rFonts w:ascii="Times New Roman" w:hAnsi="Times New Roman" w:cs="Times New Roman"/>
          <w:lang w:val="ro-MD"/>
        </w:rPr>
        <w:t>30</w:t>
      </w:r>
      <w:r w:rsidRPr="000508B6">
        <w:rPr>
          <w:rFonts w:ascii="Times New Roman" w:hAnsi="Times New Roman" w:cs="Times New Roman"/>
          <w:lang w:val="ro-MD"/>
        </w:rPr>
        <w:t xml:space="preserve">). </w:t>
      </w:r>
    </w:p>
    <w:p w14:paraId="41A7CBCD" w14:textId="4A85FEE6" w:rsidR="00AC4E00" w:rsidRPr="000508B6" w:rsidRDefault="00AC4E00" w:rsidP="00CF5AFA">
      <w:pPr>
        <w:pStyle w:val="Listparagraf"/>
        <w:numPr>
          <w:ilvl w:val="0"/>
          <w:numId w:val="76"/>
        </w:numPr>
        <w:tabs>
          <w:tab w:val="left" w:pos="851"/>
          <w:tab w:val="left" w:pos="993"/>
        </w:tabs>
        <w:spacing w:after="0" w:line="240" w:lineRule="auto"/>
        <w:ind w:left="0" w:firstLine="425"/>
        <w:jc w:val="both"/>
        <w:rPr>
          <w:rFonts w:ascii="Times New Roman" w:hAnsi="Times New Roman" w:cs="Times New Roman"/>
          <w:lang w:val="ro-MD"/>
        </w:rPr>
      </w:pPr>
      <w:r w:rsidRPr="000508B6">
        <w:rPr>
          <w:rFonts w:ascii="Times New Roman" w:hAnsi="Times New Roman" w:cs="Times New Roman"/>
          <w:lang w:val="ro-MD"/>
        </w:rPr>
        <w:lastRenderedPageBreak/>
        <w:t xml:space="preserve">În cazul în care regimul de supraveghere din statul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este declarat echivalent printr-un act delegat emis de Comisia Europeană, Banca Națională a Moldovei se bazează pe supravegherea la nivel de grup efectuată de </w:t>
      </w:r>
      <w:r w:rsidR="00303828" w:rsidRPr="000508B6">
        <w:rPr>
          <w:rFonts w:ascii="Times New Roman" w:hAnsi="Times New Roman" w:cs="Times New Roman"/>
          <w:lang w:val="ro-MD"/>
        </w:rPr>
        <w:t xml:space="preserve">supraveghetorul </w:t>
      </w:r>
      <w:r w:rsidRPr="000508B6">
        <w:rPr>
          <w:rFonts w:ascii="Times New Roman" w:hAnsi="Times New Roman" w:cs="Times New Roman"/>
          <w:lang w:val="ro-MD"/>
        </w:rPr>
        <w:t xml:space="preserve">din statul </w:t>
      </w:r>
      <w:proofErr w:type="spellStart"/>
      <w:r w:rsidRPr="000508B6">
        <w:rPr>
          <w:rFonts w:ascii="Times New Roman" w:hAnsi="Times New Roman" w:cs="Times New Roman"/>
          <w:lang w:val="ro-MD"/>
        </w:rPr>
        <w:t>terţ</w:t>
      </w:r>
      <w:proofErr w:type="spellEnd"/>
      <w:r w:rsidRPr="000508B6">
        <w:rPr>
          <w:rFonts w:ascii="Times New Roman" w:hAnsi="Times New Roman" w:cs="Times New Roman"/>
          <w:lang w:val="ro-MD"/>
        </w:rPr>
        <w:t xml:space="preserve">, cooperarea cu </w:t>
      </w:r>
      <w:r w:rsidR="00303828" w:rsidRPr="000508B6">
        <w:rPr>
          <w:rFonts w:ascii="Times New Roman" w:hAnsi="Times New Roman" w:cs="Times New Roman"/>
          <w:lang w:val="ro-MD"/>
        </w:rPr>
        <w:t xml:space="preserve">supraveghetorul </w:t>
      </w:r>
      <w:r w:rsidRPr="000508B6">
        <w:rPr>
          <w:rFonts w:ascii="Times New Roman" w:hAnsi="Times New Roman" w:cs="Times New Roman"/>
          <w:lang w:val="ro-MD"/>
        </w:rPr>
        <w:t xml:space="preserve">respectiv realizându-se într-un mod similar celui prevăzut de </w:t>
      </w:r>
      <w:r w:rsidR="00564486" w:rsidRPr="000508B6">
        <w:rPr>
          <w:rFonts w:ascii="Times New Roman" w:hAnsi="Times New Roman" w:cs="Times New Roman"/>
          <w:lang w:val="ro-MD"/>
        </w:rPr>
        <w:t>prezenta secțiune</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AF66BC" w:rsidRPr="000508B6">
        <w:rPr>
          <w:rFonts w:ascii="Times New Roman" w:hAnsi="Times New Roman" w:cs="Times New Roman"/>
          <w:lang w:val="ro-MD"/>
        </w:rPr>
        <w:t>196</w:t>
      </w:r>
      <w:r w:rsidRPr="000508B6">
        <w:rPr>
          <w:rFonts w:ascii="Times New Roman" w:hAnsi="Times New Roman" w:cs="Times New Roman"/>
          <w:lang w:val="ro-MD"/>
        </w:rPr>
        <w:t xml:space="preserve">. </w:t>
      </w:r>
    </w:p>
    <w:p w14:paraId="5D4252A9" w14:textId="4FB3EC84" w:rsidR="00AC4E00" w:rsidRPr="000508B6" w:rsidRDefault="00AC4E00" w:rsidP="00CF5AFA">
      <w:pPr>
        <w:pStyle w:val="Listparagraf"/>
        <w:numPr>
          <w:ilvl w:val="0"/>
          <w:numId w:val="76"/>
        </w:numPr>
        <w:tabs>
          <w:tab w:val="left" w:pos="851"/>
          <w:tab w:val="left" w:pos="993"/>
        </w:tabs>
        <w:spacing w:after="0" w:line="240" w:lineRule="auto"/>
        <w:ind w:left="0" w:firstLine="425"/>
        <w:jc w:val="both"/>
        <w:rPr>
          <w:rFonts w:ascii="Times New Roman" w:hAnsi="Times New Roman" w:cs="Times New Roman"/>
          <w:lang w:val="ro-MD"/>
        </w:rPr>
      </w:pPr>
      <w:bookmarkStart w:id="191" w:name="_Hlk188967341"/>
      <w:r w:rsidRPr="000508B6">
        <w:rPr>
          <w:rFonts w:ascii="Times New Roman" w:hAnsi="Times New Roman" w:cs="Times New Roman"/>
          <w:lang w:val="ro-MD"/>
        </w:rPr>
        <w:t xml:space="preserve">Banca Națională a Moldovei </w:t>
      </w:r>
      <w:bookmarkEnd w:id="191"/>
      <w:r w:rsidRPr="000508B6">
        <w:rPr>
          <w:rFonts w:ascii="Times New Roman" w:hAnsi="Times New Roman" w:cs="Times New Roman"/>
          <w:lang w:val="ro-MD"/>
        </w:rPr>
        <w:t xml:space="preserve">se consultă cu </w:t>
      </w:r>
      <w:r w:rsidR="00876310" w:rsidRPr="000508B6">
        <w:rPr>
          <w:rFonts w:ascii="Times New Roman" w:hAnsi="Times New Roman" w:cs="Times New Roman"/>
          <w:lang w:val="ro-MD"/>
        </w:rPr>
        <w:t>ceilalți supraveghetori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decide să nu supravegheze concentrarea riscurilor prevăzută la art. </w:t>
      </w:r>
      <w:r w:rsidR="00AF66BC" w:rsidRPr="000508B6">
        <w:rPr>
          <w:rFonts w:ascii="Times New Roman" w:hAnsi="Times New Roman" w:cs="Times New Roman"/>
          <w:lang w:val="ro-MD"/>
        </w:rPr>
        <w:t>144</w:t>
      </w:r>
      <w:r w:rsidR="005E67E7" w:rsidRPr="000508B6">
        <w:rPr>
          <w:rFonts w:ascii="Times New Roman" w:hAnsi="Times New Roman" w:cs="Times New Roman"/>
          <w:lang w:val="ro-MD"/>
        </w:rPr>
        <w:t xml:space="preserve"> </w:t>
      </w:r>
      <w:r w:rsidRPr="000508B6">
        <w:rPr>
          <w:rFonts w:ascii="Times New Roman" w:hAnsi="Times New Roman" w:cs="Times New Roman"/>
          <w:lang w:val="ro-MD"/>
        </w:rPr>
        <w:t xml:space="preserve">sau </w:t>
      </w:r>
      <w:proofErr w:type="spellStart"/>
      <w:r w:rsidRPr="000508B6">
        <w:rPr>
          <w:rFonts w:ascii="Times New Roman" w:hAnsi="Times New Roman" w:cs="Times New Roman"/>
          <w:lang w:val="ro-MD"/>
        </w:rPr>
        <w:t>tranzacţiile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intragrup</w:t>
      </w:r>
      <w:proofErr w:type="spellEnd"/>
      <w:r w:rsidRPr="000508B6">
        <w:rPr>
          <w:rFonts w:ascii="Times New Roman" w:hAnsi="Times New Roman" w:cs="Times New Roman"/>
          <w:lang w:val="ro-MD"/>
        </w:rPr>
        <w:t xml:space="preserve"> prevăzute la art. </w:t>
      </w:r>
      <w:r w:rsidR="00AF66BC" w:rsidRPr="000508B6">
        <w:rPr>
          <w:rFonts w:ascii="Times New Roman" w:hAnsi="Times New Roman" w:cs="Times New Roman"/>
          <w:lang w:val="ro-MD"/>
        </w:rPr>
        <w:t>145</w:t>
      </w:r>
      <w:r w:rsidR="005E67E7" w:rsidRPr="000508B6">
        <w:rPr>
          <w:rFonts w:ascii="Times New Roman" w:hAnsi="Times New Roman" w:cs="Times New Roman"/>
          <w:lang w:val="ro-MD"/>
        </w:rPr>
        <w:t xml:space="preserve"> </w:t>
      </w:r>
      <w:r w:rsidRPr="000508B6">
        <w:rPr>
          <w:rFonts w:ascii="Times New Roman" w:hAnsi="Times New Roman" w:cs="Times New Roman"/>
          <w:lang w:val="ro-MD"/>
        </w:rPr>
        <w:t xml:space="preserve">la nivelul </w:t>
      </w:r>
      <w:r w:rsidR="0041626A" w:rsidRPr="000508B6">
        <w:rPr>
          <w:rFonts w:ascii="Times New Roman" w:hAnsi="Times New Roman" w:cs="Times New Roman"/>
          <w:lang w:val="ro-MD"/>
        </w:rPr>
        <w:t xml:space="preserve">unui </w:t>
      </w:r>
      <w:r w:rsidR="008D4950" w:rsidRPr="000508B6">
        <w:rPr>
          <w:rFonts w:ascii="Times New Roman" w:hAnsi="Times New Roman" w:cs="Times New Roman"/>
          <w:lang w:val="ro-MD"/>
        </w:rPr>
        <w:t xml:space="preserve">asigurător </w:t>
      </w:r>
      <w:r w:rsidR="0041626A" w:rsidRPr="000508B6">
        <w:rPr>
          <w:rFonts w:ascii="Times New Roman" w:hAnsi="Times New Roman" w:cs="Times New Roman"/>
          <w:lang w:val="ro-MD"/>
        </w:rPr>
        <w:t>sau</w:t>
      </w:r>
      <w:r w:rsidR="0041626A" w:rsidRPr="000508B6" w:rsidDel="008D4950">
        <w:rPr>
          <w:rFonts w:ascii="Times New Roman" w:hAnsi="Times New Roman" w:cs="Times New Roman"/>
          <w:lang w:val="ro-MD"/>
        </w:rPr>
        <w:t xml:space="preserve"> </w:t>
      </w:r>
      <w:proofErr w:type="spellStart"/>
      <w:r w:rsidR="008D4950" w:rsidRPr="000508B6">
        <w:rPr>
          <w:rFonts w:ascii="Times New Roman" w:hAnsi="Times New Roman" w:cs="Times New Roman"/>
          <w:lang w:val="ro-MD"/>
        </w:rPr>
        <w:t>reasigurător</w:t>
      </w:r>
      <w:proofErr w:type="spellEnd"/>
      <w:r w:rsidR="008D4950" w:rsidRPr="000508B6">
        <w:rPr>
          <w:rFonts w:ascii="Times New Roman" w:hAnsi="Times New Roman" w:cs="Times New Roman"/>
          <w:lang w:val="ro-MD"/>
        </w:rPr>
        <w:t xml:space="preserve"> </w:t>
      </w:r>
      <w:r w:rsidRPr="000508B6">
        <w:rPr>
          <w:rFonts w:ascii="Times New Roman" w:hAnsi="Times New Roman" w:cs="Times New Roman"/>
          <w:lang w:val="ro-MD"/>
        </w:rPr>
        <w:t xml:space="preserve">participativ, unui holding de asigurare sau unui holding financiar mixt cu sediul în </w:t>
      </w:r>
      <w:r w:rsidR="008952EC" w:rsidRPr="000508B6">
        <w:rPr>
          <w:rFonts w:ascii="Times New Roman" w:hAnsi="Times New Roman" w:cs="Times New Roman"/>
          <w:lang w:val="ro-MD"/>
        </w:rPr>
        <w:t>Republica Moldova sau</w:t>
      </w:r>
      <w:r w:rsidRPr="000508B6">
        <w:rPr>
          <w:rFonts w:ascii="Times New Roman" w:hAnsi="Times New Roman" w:cs="Times New Roman"/>
          <w:lang w:val="ro-MD"/>
        </w:rPr>
        <w:t xml:space="preserve"> în statele membre, în cazurile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AF66BC" w:rsidRPr="000508B6">
        <w:rPr>
          <w:rFonts w:ascii="Times New Roman" w:hAnsi="Times New Roman" w:cs="Times New Roman"/>
          <w:lang w:val="ro-MD"/>
        </w:rPr>
        <w:t>116</w:t>
      </w:r>
      <w:r w:rsidR="005E67E7"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2E7DB6" w:rsidRPr="000508B6">
        <w:rPr>
          <w:rFonts w:ascii="Times New Roman" w:hAnsi="Times New Roman" w:cs="Times New Roman"/>
          <w:lang w:val="ro-MD"/>
        </w:rPr>
        <w:t>3</w:t>
      </w:r>
      <w:r w:rsidRPr="000508B6">
        <w:rPr>
          <w:rFonts w:ascii="Times New Roman" w:hAnsi="Times New Roman" w:cs="Times New Roman"/>
          <w:lang w:val="ro-MD"/>
        </w:rPr>
        <w:t xml:space="preserve">) lit. 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b), atunci când acesta este:   </w:t>
      </w:r>
    </w:p>
    <w:p w14:paraId="5469F968" w14:textId="327BC2CA" w:rsidR="00AC4E00" w:rsidRPr="000508B6" w:rsidRDefault="00314CD7" w:rsidP="00CF5AFA">
      <w:pPr>
        <w:numPr>
          <w:ilvl w:val="0"/>
          <w:numId w:val="18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entitate </w:t>
      </w:r>
      <w:r w:rsidR="00AC4E00" w:rsidRPr="000508B6">
        <w:rPr>
          <w:rFonts w:ascii="Times New Roman" w:hAnsi="Times New Roman" w:cs="Times New Roman"/>
          <w:lang w:val="ro-MD"/>
        </w:rPr>
        <w:t xml:space="preserve">afiliată unei </w:t>
      </w:r>
      <w:proofErr w:type="spellStart"/>
      <w:r w:rsidR="00AC4E00" w:rsidRPr="000508B6">
        <w:rPr>
          <w:rFonts w:ascii="Times New Roman" w:hAnsi="Times New Roman" w:cs="Times New Roman"/>
          <w:lang w:val="ro-MD"/>
        </w:rPr>
        <w:t>entităţi</w:t>
      </w:r>
      <w:proofErr w:type="spellEnd"/>
      <w:r w:rsidR="00AC4E00" w:rsidRPr="000508B6">
        <w:rPr>
          <w:rFonts w:ascii="Times New Roman" w:hAnsi="Times New Roman" w:cs="Times New Roman"/>
          <w:lang w:val="ro-MD"/>
        </w:rPr>
        <w:t xml:space="preserve"> reglementate sau unui holding financiar mixt;   </w:t>
      </w:r>
    </w:p>
    <w:p w14:paraId="0091E6B9" w14:textId="258DC331" w:rsidR="00AC4E00" w:rsidRPr="000508B6" w:rsidRDefault="00AC4E00" w:rsidP="00CF5AFA">
      <w:pPr>
        <w:numPr>
          <w:ilvl w:val="0"/>
          <w:numId w:val="18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entitate reglementată sau holding financiar mixt care este supravegheat suplimentar conform Legii nr. 250/2017.   </w:t>
      </w:r>
    </w:p>
    <w:p w14:paraId="784CF5CF" w14:textId="3A7B4188" w:rsidR="00AC4E00" w:rsidRPr="000508B6" w:rsidRDefault="00AC4E00" w:rsidP="00CF5AFA">
      <w:pPr>
        <w:pStyle w:val="Listparagraf"/>
        <w:numPr>
          <w:ilvl w:val="0"/>
          <w:numId w:val="76"/>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un holding financiar mixt face obiectul unor </w:t>
      </w:r>
      <w:proofErr w:type="spellStart"/>
      <w:r w:rsidRPr="000508B6">
        <w:rPr>
          <w:rFonts w:ascii="Times New Roman" w:hAnsi="Times New Roman" w:cs="Times New Roman"/>
          <w:lang w:val="ro-MD"/>
        </w:rPr>
        <w:t>dispoziţii</w:t>
      </w:r>
      <w:proofErr w:type="spellEnd"/>
      <w:r w:rsidRPr="000508B6">
        <w:rPr>
          <w:rFonts w:ascii="Times New Roman" w:hAnsi="Times New Roman" w:cs="Times New Roman"/>
          <w:lang w:val="ro-MD"/>
        </w:rPr>
        <w:t xml:space="preserve"> echivalente prezentei legi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ale Legii nr. 250/2017, în special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supravegherea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riscuri, Banca Națională a Moldovei poate aplica respectivului holding financiar mixt numai </w:t>
      </w:r>
      <w:r w:rsidR="0041626A" w:rsidRPr="000508B6">
        <w:rPr>
          <w:rFonts w:ascii="Times New Roman" w:hAnsi="Times New Roman" w:cs="Times New Roman"/>
          <w:lang w:val="ro-MD"/>
        </w:rPr>
        <w:t>dispozițiile</w:t>
      </w:r>
      <w:r w:rsidRPr="000508B6">
        <w:rPr>
          <w:rFonts w:ascii="Times New Roman" w:hAnsi="Times New Roman" w:cs="Times New Roman"/>
          <w:lang w:val="ro-MD"/>
        </w:rPr>
        <w:t xml:space="preserve"> prevăzute în </w:t>
      </w:r>
      <w:r w:rsidR="0041626A" w:rsidRPr="000508B6">
        <w:rPr>
          <w:rFonts w:ascii="Times New Roman" w:hAnsi="Times New Roman" w:cs="Times New Roman"/>
          <w:lang w:val="ro-MD"/>
        </w:rPr>
        <w:t>Legea nr. 250/2017</w:t>
      </w:r>
      <w:r w:rsidRPr="000508B6">
        <w:rPr>
          <w:rFonts w:ascii="Times New Roman" w:hAnsi="Times New Roman" w:cs="Times New Roman"/>
          <w:lang w:val="ro-MD"/>
        </w:rPr>
        <w:t xml:space="preserve">.  </w:t>
      </w:r>
    </w:p>
    <w:p w14:paraId="3B7F05A7" w14:textId="499028D5" w:rsidR="00AC4E00" w:rsidRPr="000508B6" w:rsidRDefault="00AC4E00" w:rsidP="00CF5AFA">
      <w:pPr>
        <w:pStyle w:val="Listparagraf"/>
        <w:numPr>
          <w:ilvl w:val="0"/>
          <w:numId w:val="76"/>
        </w:numPr>
        <w:tabs>
          <w:tab w:val="left" w:pos="851"/>
          <w:tab w:val="left" w:pos="993"/>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un holding financiar mixt face obiectul unor </w:t>
      </w:r>
      <w:proofErr w:type="spellStart"/>
      <w:r w:rsidRPr="000508B6">
        <w:rPr>
          <w:rFonts w:ascii="Times New Roman" w:hAnsi="Times New Roman" w:cs="Times New Roman"/>
          <w:lang w:val="ro-MD"/>
        </w:rPr>
        <w:t>dispoziţii</w:t>
      </w:r>
      <w:proofErr w:type="spellEnd"/>
      <w:r w:rsidRPr="000508B6">
        <w:rPr>
          <w:rFonts w:ascii="Times New Roman" w:hAnsi="Times New Roman" w:cs="Times New Roman"/>
          <w:lang w:val="ro-MD"/>
        </w:rPr>
        <w:t xml:space="preserve"> echivalente cu prevederile prezentei legi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ale Legii nr. 202/2017, în special în ceea ce </w:t>
      </w:r>
      <w:proofErr w:type="spellStart"/>
      <w:r w:rsidRPr="000508B6">
        <w:rPr>
          <w:rFonts w:ascii="Times New Roman" w:hAnsi="Times New Roman" w:cs="Times New Roman"/>
          <w:lang w:val="ro-MD"/>
        </w:rPr>
        <w:t>priveşte</w:t>
      </w:r>
      <w:proofErr w:type="spellEnd"/>
      <w:r w:rsidRPr="000508B6">
        <w:rPr>
          <w:rFonts w:ascii="Times New Roman" w:hAnsi="Times New Roman" w:cs="Times New Roman"/>
          <w:lang w:val="ro-MD"/>
        </w:rPr>
        <w:t xml:space="preserve"> supravegherea în </w:t>
      </w:r>
      <w:proofErr w:type="spellStart"/>
      <w:r w:rsidRPr="000508B6">
        <w:rPr>
          <w:rFonts w:ascii="Times New Roman" w:hAnsi="Times New Roman" w:cs="Times New Roman"/>
          <w:lang w:val="ro-MD"/>
        </w:rPr>
        <w:t>funcţie</w:t>
      </w:r>
      <w:proofErr w:type="spellEnd"/>
      <w:r w:rsidRPr="000508B6">
        <w:rPr>
          <w:rFonts w:ascii="Times New Roman" w:hAnsi="Times New Roman" w:cs="Times New Roman"/>
          <w:lang w:val="ro-MD"/>
        </w:rPr>
        <w:t xml:space="preserve"> de riscuri, Banca Națională a Moldovei, poate aplica numai </w:t>
      </w:r>
      <w:proofErr w:type="spellStart"/>
      <w:r w:rsidRPr="000508B6">
        <w:rPr>
          <w:rFonts w:ascii="Times New Roman" w:hAnsi="Times New Roman" w:cs="Times New Roman"/>
          <w:lang w:val="ro-MD"/>
        </w:rPr>
        <w:t>dispoziţiile</w:t>
      </w:r>
      <w:proofErr w:type="spellEnd"/>
      <w:r w:rsidRPr="000508B6">
        <w:rPr>
          <w:rFonts w:ascii="Times New Roman" w:hAnsi="Times New Roman" w:cs="Times New Roman"/>
          <w:lang w:val="ro-MD"/>
        </w:rPr>
        <w:t xml:space="preserve"> echivalente din </w:t>
      </w:r>
      <w:proofErr w:type="spellStart"/>
      <w:r w:rsidRPr="000508B6">
        <w:rPr>
          <w:rFonts w:ascii="Times New Roman" w:hAnsi="Times New Roman" w:cs="Times New Roman"/>
          <w:lang w:val="ro-MD"/>
        </w:rPr>
        <w:t>legislaţia</w:t>
      </w:r>
      <w:proofErr w:type="spellEnd"/>
      <w:r w:rsidRPr="000508B6">
        <w:rPr>
          <w:rFonts w:ascii="Times New Roman" w:hAnsi="Times New Roman" w:cs="Times New Roman"/>
          <w:lang w:val="ro-MD"/>
        </w:rPr>
        <w:t xml:space="preserve"> celui mai important sector, determinat în conformitate cu prevederile Legii nr. 250/2017.   </w:t>
      </w:r>
    </w:p>
    <w:p w14:paraId="1308BC00" w14:textId="3166A336" w:rsidR="00AC4E00" w:rsidRPr="000508B6" w:rsidRDefault="00AC4E00" w:rsidP="00CF5AFA">
      <w:pPr>
        <w:pStyle w:val="Listparagraf"/>
        <w:numPr>
          <w:ilvl w:val="0"/>
          <w:numId w:val="76"/>
        </w:numPr>
        <w:tabs>
          <w:tab w:val="left" w:pos="851"/>
          <w:tab w:val="left" w:pos="993"/>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informează EIOPA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Autoritatea Bancară Europeană cu privire la deciziile adoptate în temeiul alin. (</w:t>
      </w:r>
      <w:r w:rsidR="00F97218" w:rsidRPr="000508B6">
        <w:rPr>
          <w:rFonts w:ascii="Times New Roman" w:hAnsi="Times New Roman" w:cs="Times New Roman"/>
          <w:lang w:val="ro-MD"/>
        </w:rPr>
        <w:t>36</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F97218" w:rsidRPr="000508B6">
        <w:rPr>
          <w:rFonts w:ascii="Times New Roman" w:hAnsi="Times New Roman" w:cs="Times New Roman"/>
          <w:lang w:val="ro-MD"/>
        </w:rPr>
        <w:t>37</w:t>
      </w:r>
      <w:r w:rsidRPr="000508B6">
        <w:rPr>
          <w:rFonts w:ascii="Times New Roman" w:hAnsi="Times New Roman" w:cs="Times New Roman"/>
          <w:lang w:val="ro-MD"/>
        </w:rPr>
        <w:t xml:space="preserve">).   </w:t>
      </w:r>
    </w:p>
    <w:p w14:paraId="512107CB" w14:textId="58F10556" w:rsidR="00AC4E00" w:rsidRPr="000508B6" w:rsidRDefault="00AC4E00" w:rsidP="00CF5AFA">
      <w:pPr>
        <w:pStyle w:val="Listparagraf"/>
        <w:numPr>
          <w:ilvl w:val="0"/>
          <w:numId w:val="76"/>
        </w:numPr>
        <w:tabs>
          <w:tab w:val="left" w:pos="851"/>
          <w:tab w:val="left" w:pos="993"/>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transmite EIOPA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9872B6" w:rsidRPr="000508B6">
        <w:rPr>
          <w:rFonts w:ascii="Times New Roman" w:hAnsi="Times New Roman" w:cs="Times New Roman"/>
          <w:lang w:val="ro-MD"/>
        </w:rPr>
        <w:t>supraveghetorilor</w:t>
      </w:r>
      <w:r w:rsidRPr="000508B6">
        <w:rPr>
          <w:rFonts w:ascii="Times New Roman" w:hAnsi="Times New Roman" w:cs="Times New Roman"/>
          <w:lang w:val="ro-MD"/>
        </w:rPr>
        <w:t xml:space="preserve"> interesa</w:t>
      </w:r>
      <w:r w:rsidR="009872B6" w:rsidRPr="000508B6">
        <w:rPr>
          <w:rFonts w:ascii="Times New Roman" w:hAnsi="Times New Roman" w:cs="Times New Roman"/>
          <w:lang w:val="ro-MD"/>
        </w:rPr>
        <w:t>ți</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referitoare la grupuri, în conformitate cu art. </w:t>
      </w:r>
      <w:r w:rsidR="00721E38" w:rsidRPr="000508B6">
        <w:rPr>
          <w:rFonts w:ascii="Times New Roman" w:hAnsi="Times New Roman" w:cs="Times New Roman"/>
          <w:lang w:val="ro-MD"/>
        </w:rPr>
        <w:t xml:space="preserve">6 </w:t>
      </w:r>
      <w:r w:rsidRPr="000508B6">
        <w:rPr>
          <w:rFonts w:ascii="Times New Roman" w:hAnsi="Times New Roman" w:cs="Times New Roman"/>
          <w:lang w:val="ro-MD"/>
        </w:rPr>
        <w:t>alin. (</w:t>
      </w:r>
      <w:r w:rsidR="00721E38" w:rsidRPr="000508B6">
        <w:rPr>
          <w:rFonts w:ascii="Times New Roman" w:hAnsi="Times New Roman" w:cs="Times New Roman"/>
          <w:lang w:val="ro-MD"/>
        </w:rPr>
        <w:t>18</w:t>
      </w:r>
      <w:r w:rsidRPr="000508B6">
        <w:rPr>
          <w:rFonts w:ascii="Times New Roman" w:hAnsi="Times New Roman" w:cs="Times New Roman"/>
          <w:lang w:val="ro-MD"/>
        </w:rPr>
        <w:t>)</w:t>
      </w:r>
      <w:r w:rsidR="004E65FA" w:rsidRPr="000508B6">
        <w:rPr>
          <w:rFonts w:ascii="Times New Roman" w:hAnsi="Times New Roman" w:cs="Times New Roman"/>
          <w:lang w:val="ro-MD"/>
        </w:rPr>
        <w:t>,</w:t>
      </w:r>
      <w:r w:rsidRPr="000508B6">
        <w:rPr>
          <w:rFonts w:ascii="Times New Roman" w:hAnsi="Times New Roman" w:cs="Times New Roman"/>
          <w:lang w:val="ro-MD"/>
        </w:rPr>
        <w:t xml:space="preserve"> art. </w:t>
      </w:r>
      <w:r w:rsidR="00721E38" w:rsidRPr="000508B6">
        <w:rPr>
          <w:rFonts w:ascii="Times New Roman" w:hAnsi="Times New Roman" w:cs="Times New Roman"/>
          <w:lang w:val="ro-MD"/>
        </w:rPr>
        <w:t xml:space="preserve">32 </w:t>
      </w:r>
      <w:r w:rsidRPr="000508B6">
        <w:rPr>
          <w:rFonts w:ascii="Times New Roman" w:hAnsi="Times New Roman" w:cs="Times New Roman"/>
          <w:lang w:val="ro-MD"/>
        </w:rPr>
        <w:t>alin. (1) - (</w:t>
      </w:r>
      <w:r w:rsidR="00F636ED" w:rsidRPr="000508B6">
        <w:rPr>
          <w:rFonts w:ascii="Times New Roman" w:hAnsi="Times New Roman" w:cs="Times New Roman"/>
          <w:lang w:val="ro-MD"/>
        </w:rPr>
        <w:t>2</w:t>
      </w:r>
      <w:r w:rsidRPr="000508B6">
        <w:rPr>
          <w:rFonts w:ascii="Times New Roman" w:hAnsi="Times New Roman" w:cs="Times New Roman"/>
          <w:lang w:val="ro-MD"/>
        </w:rPr>
        <w:t xml:space="preserve">) </w:t>
      </w:r>
      <w:proofErr w:type="spellStart"/>
      <w:r w:rsidR="004E65FA" w:rsidRPr="000508B6">
        <w:rPr>
          <w:rFonts w:ascii="Times New Roman" w:hAnsi="Times New Roman" w:cs="Times New Roman"/>
          <w:lang w:val="ro-MD"/>
        </w:rPr>
        <w:t>şi</w:t>
      </w:r>
      <w:proofErr w:type="spellEnd"/>
      <w:r w:rsidR="004E65FA" w:rsidRPr="000508B6">
        <w:rPr>
          <w:rFonts w:ascii="Times New Roman" w:hAnsi="Times New Roman" w:cs="Times New Roman"/>
          <w:lang w:val="ro-MD"/>
        </w:rPr>
        <w:t xml:space="preserve"> art. 195 alin. (8) </w:t>
      </w:r>
      <w:proofErr w:type="spellStart"/>
      <w:r w:rsidR="004E65FA" w:rsidRPr="000508B6">
        <w:rPr>
          <w:rFonts w:ascii="Times New Roman" w:hAnsi="Times New Roman" w:cs="Times New Roman"/>
          <w:lang w:val="ro-MD"/>
        </w:rPr>
        <w:t>şi</w:t>
      </w:r>
      <w:proofErr w:type="spellEnd"/>
      <w:r w:rsidR="004E65FA" w:rsidRPr="000508B6">
        <w:rPr>
          <w:rFonts w:ascii="Times New Roman" w:hAnsi="Times New Roman" w:cs="Times New Roman"/>
          <w:lang w:val="ro-MD"/>
        </w:rPr>
        <w:t xml:space="preserve"> (9), </w:t>
      </w:r>
      <w:r w:rsidRPr="000508B6">
        <w:rPr>
          <w:rFonts w:ascii="Times New Roman" w:hAnsi="Times New Roman" w:cs="Times New Roman"/>
          <w:lang w:val="ro-MD"/>
        </w:rPr>
        <w:t xml:space="preserve">în special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privind structura juridică, </w:t>
      </w:r>
      <w:proofErr w:type="spellStart"/>
      <w:r w:rsidRPr="000508B6">
        <w:rPr>
          <w:rFonts w:ascii="Times New Roman" w:hAnsi="Times New Roman" w:cs="Times New Roman"/>
          <w:lang w:val="ro-MD"/>
        </w:rPr>
        <w:t>organizaţională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sistemul de </w:t>
      </w:r>
      <w:proofErr w:type="spellStart"/>
      <w:r w:rsidRPr="000508B6">
        <w:rPr>
          <w:rFonts w:ascii="Times New Roman" w:hAnsi="Times New Roman" w:cs="Times New Roman"/>
          <w:lang w:val="ro-MD"/>
        </w:rPr>
        <w:t>guvernanţă</w:t>
      </w:r>
      <w:proofErr w:type="spellEnd"/>
      <w:r w:rsidRPr="000508B6">
        <w:rPr>
          <w:rFonts w:ascii="Times New Roman" w:hAnsi="Times New Roman" w:cs="Times New Roman"/>
          <w:lang w:val="ro-MD"/>
        </w:rPr>
        <w:t xml:space="preserve"> ale acestora. </w:t>
      </w:r>
    </w:p>
    <w:p w14:paraId="7B34CEA2" w14:textId="5198408B" w:rsidR="00AC4E00" w:rsidRPr="000508B6" w:rsidRDefault="00AC4E00" w:rsidP="00CF5AFA">
      <w:pPr>
        <w:pStyle w:val="Listparagraf"/>
        <w:numPr>
          <w:ilvl w:val="0"/>
          <w:numId w:val="76"/>
        </w:numPr>
        <w:tabs>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perioada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art. </w:t>
      </w:r>
      <w:r w:rsidR="006B069C" w:rsidRPr="000508B6">
        <w:rPr>
          <w:rFonts w:ascii="Times New Roman" w:hAnsi="Times New Roman" w:cs="Times New Roman"/>
          <w:lang w:val="ro-MD"/>
        </w:rPr>
        <w:t xml:space="preserve">194 </w:t>
      </w:r>
      <w:r w:rsidRPr="000508B6">
        <w:rPr>
          <w:rFonts w:ascii="Times New Roman" w:hAnsi="Times New Roman" w:cs="Times New Roman"/>
          <w:lang w:val="ro-MD"/>
        </w:rPr>
        <w:t>alin. (</w:t>
      </w:r>
      <w:r w:rsidR="006E4118" w:rsidRPr="000508B6">
        <w:rPr>
          <w:rFonts w:ascii="Times New Roman" w:hAnsi="Times New Roman" w:cs="Times New Roman"/>
          <w:lang w:val="ro-MD"/>
        </w:rPr>
        <w:t>20</w:t>
      </w:r>
      <w:r w:rsidRPr="000508B6">
        <w:rPr>
          <w:rFonts w:ascii="Times New Roman" w:hAnsi="Times New Roman" w:cs="Times New Roman"/>
          <w:lang w:val="ro-MD"/>
        </w:rPr>
        <w:t xml:space="preserve">), în cazul unor puncte de vedere divergente, Banca Națională a Moldovei sau alt membru al colegiului supraveghetorilor poate consulta EIOPA, </w:t>
      </w:r>
      <w:proofErr w:type="spellStart"/>
      <w:r w:rsidRPr="000508B6">
        <w:rPr>
          <w:rFonts w:ascii="Times New Roman" w:hAnsi="Times New Roman" w:cs="Times New Roman"/>
          <w:lang w:val="ro-MD"/>
        </w:rPr>
        <w:t>situaţie</w:t>
      </w:r>
      <w:proofErr w:type="spellEnd"/>
      <w:r w:rsidRPr="000508B6">
        <w:rPr>
          <w:rFonts w:ascii="Times New Roman" w:hAnsi="Times New Roman" w:cs="Times New Roman"/>
          <w:lang w:val="ro-MD"/>
        </w:rPr>
        <w:t xml:space="preserve"> în care colegiul supraveghetorilor </w:t>
      </w:r>
      <w:proofErr w:type="spellStart"/>
      <w:r w:rsidRPr="000508B6">
        <w:rPr>
          <w:rFonts w:ascii="Times New Roman" w:hAnsi="Times New Roman" w:cs="Times New Roman"/>
          <w:lang w:val="ro-MD"/>
        </w:rPr>
        <w:t>aşteaptă</w:t>
      </w:r>
      <w:proofErr w:type="spellEnd"/>
      <w:r w:rsidRPr="000508B6">
        <w:rPr>
          <w:rFonts w:ascii="Times New Roman" w:hAnsi="Times New Roman" w:cs="Times New Roman"/>
          <w:lang w:val="ro-MD"/>
        </w:rPr>
        <w:t xml:space="preserve"> decizia EIOPA timp de o lună</w:t>
      </w:r>
      <w:r w:rsidR="00DB5FC2" w:rsidRPr="000508B6">
        <w:rPr>
          <w:rFonts w:ascii="Times New Roman" w:hAnsi="Times New Roman" w:cs="Times New Roman"/>
          <w:lang w:val="ro-MD"/>
        </w:rPr>
        <w:t xml:space="preserve">. </w:t>
      </w:r>
      <w:r w:rsidRPr="000508B6">
        <w:rPr>
          <w:rFonts w:ascii="Times New Roman" w:hAnsi="Times New Roman" w:cs="Times New Roman"/>
          <w:lang w:val="ro-MD"/>
        </w:rPr>
        <w:t xml:space="preserve">Banca Națională a Moldovei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supraveghetori </w:t>
      </w:r>
      <w:proofErr w:type="spellStart"/>
      <w:r w:rsidRPr="000508B6">
        <w:rPr>
          <w:rFonts w:ascii="Times New Roman" w:hAnsi="Times New Roman" w:cs="Times New Roman"/>
          <w:lang w:val="ro-MD"/>
        </w:rPr>
        <w:t>ţin</w:t>
      </w:r>
      <w:proofErr w:type="spellEnd"/>
      <w:r w:rsidRPr="000508B6">
        <w:rPr>
          <w:rFonts w:ascii="Times New Roman" w:hAnsi="Times New Roman" w:cs="Times New Roman"/>
          <w:lang w:val="ro-MD"/>
        </w:rPr>
        <w:t xml:space="preserve"> cont de decizia EIOPA când adoptă decizia comună însoțită de motivația integrală și, eventual, de explicațiile suplimentare în cazul în care decizia respectivă se abate semnificativ de la decizia EIOPA. </w:t>
      </w:r>
    </w:p>
    <w:p w14:paraId="33E81F87" w14:textId="4F6E329B"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Decizia comună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w:t>
      </w:r>
      <w:r w:rsidR="00F97218" w:rsidRPr="000508B6">
        <w:rPr>
          <w:rFonts w:ascii="Times New Roman" w:hAnsi="Times New Roman" w:cs="Times New Roman"/>
          <w:lang w:val="ro-MD"/>
        </w:rPr>
        <w:t>40</w:t>
      </w:r>
      <w:r w:rsidRPr="000508B6">
        <w:rPr>
          <w:rFonts w:ascii="Times New Roman" w:hAnsi="Times New Roman" w:cs="Times New Roman"/>
          <w:lang w:val="ro-MD"/>
        </w:rPr>
        <w:t xml:space="preserve">) este definitivă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se aplică de </w:t>
      </w:r>
      <w:r w:rsidR="00304D81" w:rsidRPr="000508B6">
        <w:rPr>
          <w:rFonts w:ascii="Times New Roman" w:hAnsi="Times New Roman" w:cs="Times New Roman"/>
          <w:lang w:val="ro-MD"/>
        </w:rPr>
        <w:t>toți supraveghetorii im</w:t>
      </w:r>
      <w:r w:rsidR="00B84200" w:rsidRPr="000508B6">
        <w:rPr>
          <w:rFonts w:ascii="Times New Roman" w:hAnsi="Times New Roman" w:cs="Times New Roman"/>
          <w:lang w:val="ro-MD"/>
        </w:rPr>
        <w:t>p</w:t>
      </w:r>
      <w:r w:rsidR="00304D81" w:rsidRPr="000508B6">
        <w:rPr>
          <w:rFonts w:ascii="Times New Roman" w:hAnsi="Times New Roman" w:cs="Times New Roman"/>
          <w:lang w:val="ro-MD"/>
        </w:rPr>
        <w:t>licați.</w:t>
      </w:r>
      <w:r w:rsidR="00B84200" w:rsidRPr="000508B6">
        <w:rPr>
          <w:rFonts w:ascii="Times New Roman" w:hAnsi="Times New Roman" w:cs="Times New Roman"/>
          <w:lang w:val="ro-MD"/>
        </w:rPr>
        <w:t xml:space="preserve"> </w:t>
      </w:r>
      <w:r w:rsidR="00304D81" w:rsidRPr="000508B6">
        <w:rPr>
          <w:rFonts w:ascii="Times New Roman" w:hAnsi="Times New Roman" w:cs="Times New Roman"/>
          <w:lang w:val="ro-MD"/>
        </w:rPr>
        <w:t>Î</w:t>
      </w:r>
      <w:r w:rsidRPr="000508B6">
        <w:rPr>
          <w:rFonts w:ascii="Times New Roman" w:hAnsi="Times New Roman" w:cs="Times New Roman"/>
          <w:lang w:val="ro-MD"/>
        </w:rPr>
        <w:t xml:space="preserve">n cazul în care nu s-a adoptat o decizie comună în perioada prevăzută la art. </w:t>
      </w:r>
      <w:r w:rsidR="006B069C" w:rsidRPr="000508B6">
        <w:rPr>
          <w:rFonts w:ascii="Times New Roman" w:hAnsi="Times New Roman" w:cs="Times New Roman"/>
          <w:lang w:val="ro-MD"/>
        </w:rPr>
        <w:t xml:space="preserve">194 </w:t>
      </w:r>
      <w:r w:rsidRPr="000508B6">
        <w:rPr>
          <w:rFonts w:ascii="Times New Roman" w:hAnsi="Times New Roman" w:cs="Times New Roman"/>
          <w:lang w:val="ro-MD"/>
        </w:rPr>
        <w:t>alin. (</w:t>
      </w:r>
      <w:r w:rsidR="006E4118" w:rsidRPr="000508B6">
        <w:rPr>
          <w:rFonts w:ascii="Times New Roman" w:hAnsi="Times New Roman" w:cs="Times New Roman"/>
          <w:lang w:val="ro-MD"/>
        </w:rPr>
        <w:t>20</w:t>
      </w:r>
      <w:r w:rsidRPr="000508B6">
        <w:rPr>
          <w:rFonts w:ascii="Times New Roman" w:hAnsi="Times New Roman" w:cs="Times New Roman"/>
          <w:lang w:val="ro-MD"/>
        </w:rPr>
        <w:t xml:space="preserve">), Banca Națională a Moldovei adoptă propria decizie care este definitivă. </w:t>
      </w:r>
    </w:p>
    <w:p w14:paraId="6B0E4F7D" w14:textId="1928DB35"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Atunci când adoptă decizia proprie, Banca Națională a Moldovei ia în considerare în mod corespunzător opiniile sau rezervele </w:t>
      </w:r>
      <w:proofErr w:type="spellStart"/>
      <w:r w:rsidRPr="000508B6">
        <w:rPr>
          <w:rFonts w:ascii="Times New Roman" w:hAnsi="Times New Roman" w:cs="Times New Roman"/>
          <w:lang w:val="ro-MD"/>
        </w:rPr>
        <w:t>celorlalţi</w:t>
      </w:r>
      <w:proofErr w:type="spellEnd"/>
      <w:r w:rsidRPr="000508B6">
        <w:rPr>
          <w:rFonts w:ascii="Times New Roman" w:hAnsi="Times New Roman" w:cs="Times New Roman"/>
          <w:lang w:val="ro-MD"/>
        </w:rPr>
        <w:t xml:space="preserve"> </w:t>
      </w:r>
      <w:r w:rsidR="00FC0141" w:rsidRPr="000508B6">
        <w:rPr>
          <w:rFonts w:ascii="Times New Roman" w:hAnsi="Times New Roman" w:cs="Times New Roman"/>
          <w:lang w:val="ro-MD"/>
        </w:rPr>
        <w:t xml:space="preserve">membri ai colegiului </w:t>
      </w:r>
      <w:r w:rsidRPr="000508B6">
        <w:rPr>
          <w:rFonts w:ascii="Times New Roman" w:hAnsi="Times New Roman" w:cs="Times New Roman"/>
          <w:lang w:val="ro-MD"/>
        </w:rPr>
        <w:t>supraveghetori</w:t>
      </w:r>
      <w:r w:rsidR="00FC0141" w:rsidRPr="000508B6">
        <w:rPr>
          <w:rFonts w:ascii="Times New Roman" w:hAnsi="Times New Roman" w:cs="Times New Roman"/>
          <w:lang w:val="ro-MD"/>
        </w:rPr>
        <w:t>lor</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dacă este cazul, avizul EIOPA. </w:t>
      </w:r>
      <w:r w:rsidR="00E41730" w:rsidRPr="000508B6">
        <w:rPr>
          <w:rFonts w:ascii="Times New Roman" w:hAnsi="Times New Roman" w:cs="Times New Roman"/>
          <w:lang w:val="ro-MD"/>
        </w:rPr>
        <w:t>În acest caz,</w:t>
      </w:r>
      <w:r w:rsidRPr="000508B6">
        <w:rPr>
          <w:rFonts w:ascii="Times New Roman" w:hAnsi="Times New Roman" w:cs="Times New Roman"/>
          <w:lang w:val="ro-MD"/>
        </w:rPr>
        <w:t xml:space="preserve"> decizia</w:t>
      </w:r>
      <w:r w:rsidR="00E41730" w:rsidRPr="000508B6">
        <w:rPr>
          <w:rFonts w:ascii="Times New Roman" w:hAnsi="Times New Roman" w:cs="Times New Roman"/>
          <w:lang w:val="ro-MD"/>
        </w:rPr>
        <w:t xml:space="preserve"> Băncii Naționale a Moldovei</w:t>
      </w:r>
      <w:r w:rsidRPr="000508B6">
        <w:rPr>
          <w:rFonts w:ascii="Times New Roman" w:hAnsi="Times New Roman" w:cs="Times New Roman"/>
          <w:lang w:val="ro-MD"/>
        </w:rPr>
        <w:t xml:space="preserve"> este decizia finală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se aplică de </w:t>
      </w:r>
      <w:r w:rsidR="00304D81" w:rsidRPr="000508B6">
        <w:rPr>
          <w:rFonts w:ascii="Times New Roman" w:hAnsi="Times New Roman" w:cs="Times New Roman"/>
          <w:lang w:val="ro-MD"/>
        </w:rPr>
        <w:t xml:space="preserve">toți supraveghetorii </w:t>
      </w:r>
      <w:proofErr w:type="spellStart"/>
      <w:r w:rsidR="00304D81" w:rsidRPr="000508B6">
        <w:rPr>
          <w:rFonts w:ascii="Times New Roman" w:hAnsi="Times New Roman" w:cs="Times New Roman"/>
          <w:lang w:val="ro-MD"/>
        </w:rPr>
        <w:t>imp</w:t>
      </w:r>
      <w:r w:rsidR="00DF67F3" w:rsidRPr="000508B6">
        <w:rPr>
          <w:rFonts w:ascii="Times New Roman" w:hAnsi="Times New Roman" w:cs="Times New Roman"/>
          <w:lang w:val="ro-MD"/>
        </w:rPr>
        <w:t>i</w:t>
      </w:r>
      <w:r w:rsidR="00304D81" w:rsidRPr="000508B6">
        <w:rPr>
          <w:rFonts w:ascii="Times New Roman" w:hAnsi="Times New Roman" w:cs="Times New Roman"/>
          <w:lang w:val="ro-MD"/>
        </w:rPr>
        <w:t>lcați</w:t>
      </w:r>
      <w:proofErr w:type="spellEnd"/>
      <w:r w:rsidRPr="000508B6">
        <w:rPr>
          <w:rFonts w:ascii="Times New Roman" w:hAnsi="Times New Roman" w:cs="Times New Roman"/>
          <w:lang w:val="ro-MD"/>
        </w:rPr>
        <w:t xml:space="preserve">, cărora Banca Națională a Moldovei le comunică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motivaţia</w:t>
      </w:r>
      <w:proofErr w:type="spellEnd"/>
      <w:r w:rsidRPr="000508B6">
        <w:rPr>
          <w:rFonts w:ascii="Times New Roman" w:hAnsi="Times New Roman" w:cs="Times New Roman"/>
          <w:lang w:val="ro-MD"/>
        </w:rPr>
        <w:t xml:space="preserve"> integrală a deciziei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eventual, </w:t>
      </w:r>
      <w:r w:rsidR="00E41730" w:rsidRPr="000508B6">
        <w:rPr>
          <w:rFonts w:ascii="Times New Roman" w:hAnsi="Times New Roman" w:cs="Times New Roman"/>
          <w:lang w:val="ro-MD"/>
        </w:rPr>
        <w:t xml:space="preserve">prezintă </w:t>
      </w:r>
      <w:proofErr w:type="spellStart"/>
      <w:r w:rsidRPr="000508B6">
        <w:rPr>
          <w:rFonts w:ascii="Times New Roman" w:hAnsi="Times New Roman" w:cs="Times New Roman"/>
          <w:lang w:val="ro-MD"/>
        </w:rPr>
        <w:t>explicaţii</w:t>
      </w:r>
      <w:proofErr w:type="spellEnd"/>
      <w:r w:rsidRPr="000508B6">
        <w:rPr>
          <w:rFonts w:ascii="Times New Roman" w:hAnsi="Times New Roman" w:cs="Times New Roman"/>
          <w:lang w:val="ro-MD"/>
        </w:rPr>
        <w:t xml:space="preserve"> suplimentare în cazul în care decizia respectivă se abate semnificativ de la rezervele exprimate de acestea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de la punctul de vedere al EIOPA.  </w:t>
      </w:r>
    </w:p>
    <w:p w14:paraId="1F0C5943" w14:textId="211E0EC2" w:rsidR="00AC4E00" w:rsidRPr="000508B6" w:rsidRDefault="00AC4E00" w:rsidP="00CF5AFA">
      <w:pPr>
        <w:pStyle w:val="Listparagraf"/>
        <w:numPr>
          <w:ilvl w:val="0"/>
          <w:numId w:val="76"/>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Punctul de vedere al EIOPA nu se solicită după expirarea perioadei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6B069C" w:rsidRPr="000508B6">
        <w:rPr>
          <w:rFonts w:ascii="Times New Roman" w:hAnsi="Times New Roman" w:cs="Times New Roman"/>
          <w:lang w:val="ro-MD"/>
        </w:rPr>
        <w:t xml:space="preserve">194 </w:t>
      </w:r>
      <w:r w:rsidRPr="000508B6">
        <w:rPr>
          <w:rFonts w:ascii="Times New Roman" w:hAnsi="Times New Roman" w:cs="Times New Roman"/>
          <w:lang w:val="ro-MD"/>
        </w:rPr>
        <w:t>alin. (</w:t>
      </w:r>
      <w:r w:rsidR="006E4118" w:rsidRPr="000508B6">
        <w:rPr>
          <w:rFonts w:ascii="Times New Roman" w:hAnsi="Times New Roman" w:cs="Times New Roman"/>
          <w:lang w:val="ro-MD"/>
        </w:rPr>
        <w:t>20</w:t>
      </w:r>
      <w:r w:rsidRPr="000508B6">
        <w:rPr>
          <w:rFonts w:ascii="Times New Roman" w:hAnsi="Times New Roman" w:cs="Times New Roman"/>
          <w:lang w:val="ro-MD"/>
        </w:rPr>
        <w:t xml:space="preserve">) sau după ce s-a adoptat o decizie comună. </w:t>
      </w:r>
    </w:p>
    <w:p w14:paraId="58FD1C62" w14:textId="77777777" w:rsidR="00AF624E" w:rsidRPr="000508B6" w:rsidRDefault="00AF624E" w:rsidP="00AC4E00">
      <w:pPr>
        <w:spacing w:after="0" w:line="240" w:lineRule="auto"/>
        <w:ind w:firstLine="426"/>
        <w:jc w:val="both"/>
        <w:rPr>
          <w:rFonts w:ascii="Times New Roman" w:hAnsi="Times New Roman" w:cs="Times New Roman"/>
          <w:b/>
          <w:lang w:val="ro-MD"/>
        </w:rPr>
      </w:pPr>
    </w:p>
    <w:p w14:paraId="15509062" w14:textId="1A7657FD"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194</w:t>
      </w:r>
      <w:r w:rsidRPr="000508B6">
        <w:rPr>
          <w:rFonts w:ascii="Times New Roman" w:hAnsi="Times New Roman" w:cs="Times New Roman"/>
          <w:b/>
          <w:lang w:val="ro-MD"/>
        </w:rPr>
        <w:t xml:space="preserve">. </w:t>
      </w:r>
      <w:proofErr w:type="spellStart"/>
      <w:r w:rsidRPr="000508B6">
        <w:rPr>
          <w:rFonts w:ascii="Times New Roman" w:hAnsi="Times New Roman" w:cs="Times New Roman"/>
          <w:lang w:val="ro-MD"/>
        </w:rPr>
        <w:t>Atribuţii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competenţe</w:t>
      </w:r>
      <w:proofErr w:type="spellEnd"/>
      <w:r w:rsidRPr="000508B6">
        <w:rPr>
          <w:rFonts w:ascii="Times New Roman" w:hAnsi="Times New Roman" w:cs="Times New Roman"/>
          <w:lang w:val="ro-MD"/>
        </w:rPr>
        <w:t xml:space="preserve"> ale Băncii Naționale a Moldovei în calitate de membru al colegiului supraveghetorilor </w:t>
      </w:r>
    </w:p>
    <w:p w14:paraId="4EBFBCAB" w14:textId="2207D25D" w:rsidR="00AC4E00" w:rsidRPr="000508B6" w:rsidRDefault="00AC4E00" w:rsidP="00CF5AFA">
      <w:pPr>
        <w:pStyle w:val="Listparagraf"/>
        <w:numPr>
          <w:ilvl w:val="0"/>
          <w:numId w:val="8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supraveghetorul coordonator nu </w:t>
      </w:r>
      <w:proofErr w:type="spellStart"/>
      <w:r w:rsidRPr="000508B6">
        <w:rPr>
          <w:rFonts w:ascii="Times New Roman" w:hAnsi="Times New Roman" w:cs="Times New Roman"/>
          <w:lang w:val="ro-MD"/>
        </w:rPr>
        <w:t>îşi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îndeplineşte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atribuţiile</w:t>
      </w:r>
      <w:proofErr w:type="spellEnd"/>
      <w:r w:rsidRPr="000508B6">
        <w:rPr>
          <w:rFonts w:ascii="Times New Roman" w:hAnsi="Times New Roman" w:cs="Times New Roman"/>
          <w:lang w:val="ro-MD"/>
        </w:rPr>
        <w:t xml:space="preserve"> sau dacă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membri ai colegiului supraveghetorilor nu cooperează adecvat, Banca Națională a Moldovei poate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w:t>
      </w:r>
    </w:p>
    <w:p w14:paraId="2CB5C763" w14:textId="3DA5F07D" w:rsidR="00AC4E00" w:rsidRPr="000508B6" w:rsidRDefault="00AC4E00" w:rsidP="00CF5AFA">
      <w:pPr>
        <w:pStyle w:val="Listparagraf"/>
        <w:numPr>
          <w:ilvl w:val="0"/>
          <w:numId w:val="8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Banca Națională a Moldovei cooperează cu supraveghetorul coordonator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cu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membri ai colegiului supraveghetorilor în vederea elaborării acordului de coordonare 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colegiului. </w:t>
      </w:r>
    </w:p>
    <w:p w14:paraId="54AEDD95" w14:textId="017D43FD" w:rsidR="00AC4E00" w:rsidRPr="000508B6" w:rsidRDefault="00AC4E00" w:rsidP="00CF5AFA">
      <w:pPr>
        <w:pStyle w:val="Listparagraf"/>
        <w:numPr>
          <w:ilvl w:val="0"/>
          <w:numId w:val="83"/>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Banca Națională a Moldovei poate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în cazul în care există puncte de vedere divergente privind acordul de coordonare a </w:t>
      </w:r>
      <w:proofErr w:type="spellStart"/>
      <w:r w:rsidRPr="000508B6">
        <w:rPr>
          <w:rFonts w:ascii="Times New Roman" w:hAnsi="Times New Roman" w:cs="Times New Roman"/>
          <w:lang w:val="ro-MD"/>
        </w:rPr>
        <w:t>activităţii</w:t>
      </w:r>
      <w:proofErr w:type="spellEnd"/>
      <w:r w:rsidRPr="000508B6">
        <w:rPr>
          <w:rFonts w:ascii="Times New Roman" w:hAnsi="Times New Roman" w:cs="Times New Roman"/>
          <w:lang w:val="ro-MD"/>
        </w:rPr>
        <w:t xml:space="preserve"> în cadrul colegiului supraveghetorilor. </w:t>
      </w:r>
    </w:p>
    <w:p w14:paraId="537774F2" w14:textId="33132B9F" w:rsidR="00AC4E00" w:rsidRPr="000508B6" w:rsidRDefault="00AC4E00" w:rsidP="008D4950">
      <w:pPr>
        <w:pStyle w:val="Listparagraf"/>
        <w:numPr>
          <w:ilvl w:val="0"/>
          <w:numId w:val="8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 Banca Națională a Moldovei colaborează sistematic cu supraveghetorul coordonator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în special în cazurile în care </w:t>
      </w:r>
      <w:r w:rsidR="00AF2FA3" w:rsidRPr="000508B6">
        <w:rPr>
          <w:rFonts w:ascii="Times New Roman" w:hAnsi="Times New Roman" w:cs="Times New Roman"/>
          <w:lang w:val="ro-MD"/>
        </w:rPr>
        <w:t xml:space="preserve">un asigurător sau </w:t>
      </w:r>
      <w:proofErr w:type="spellStart"/>
      <w:r w:rsidR="00AF2FA3"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are </w:t>
      </w:r>
      <w:proofErr w:type="spellStart"/>
      <w:r w:rsidRPr="000508B6">
        <w:rPr>
          <w:rFonts w:ascii="Times New Roman" w:hAnsi="Times New Roman" w:cs="Times New Roman"/>
          <w:lang w:val="ro-MD"/>
        </w:rPr>
        <w:t>dificultăţi</w:t>
      </w:r>
      <w:proofErr w:type="spellEnd"/>
      <w:r w:rsidRPr="000508B6">
        <w:rPr>
          <w:rFonts w:ascii="Times New Roman" w:hAnsi="Times New Roman" w:cs="Times New Roman"/>
          <w:lang w:val="ro-MD"/>
        </w:rPr>
        <w:t xml:space="preserve"> financiare. </w:t>
      </w:r>
    </w:p>
    <w:p w14:paraId="28CE3D42" w14:textId="587246CE" w:rsidR="00AC4E00" w:rsidRPr="000508B6" w:rsidRDefault="00AC4E00" w:rsidP="001338D4">
      <w:pPr>
        <w:pStyle w:val="Listparagraf"/>
        <w:numPr>
          <w:ilvl w:val="0"/>
          <w:numId w:val="8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 Fără a aduce atingere prevederilor art. </w:t>
      </w:r>
      <w:r w:rsidR="00030C1D" w:rsidRPr="000508B6">
        <w:rPr>
          <w:rFonts w:ascii="Times New Roman" w:hAnsi="Times New Roman" w:cs="Times New Roman"/>
          <w:lang w:val="ro-MD"/>
        </w:rPr>
        <w:t xml:space="preserve">141 </w:t>
      </w:r>
      <w:r w:rsidRPr="000508B6">
        <w:rPr>
          <w:rFonts w:ascii="Times New Roman" w:hAnsi="Times New Roman" w:cs="Times New Roman"/>
          <w:lang w:val="ro-MD"/>
        </w:rPr>
        <w:t xml:space="preserve">alin. (2), Banca Națională a Moldovei poate solicita supraveghetorului coordonator să verifice modul în care societatea-mamă respectă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prevăzute la art. </w:t>
      </w:r>
      <w:r w:rsidR="00030C1D" w:rsidRPr="000508B6">
        <w:rPr>
          <w:rFonts w:ascii="Times New Roman" w:hAnsi="Times New Roman" w:cs="Times New Roman"/>
          <w:lang w:val="ro-MD"/>
        </w:rPr>
        <w:t xml:space="preserve">141 </w:t>
      </w:r>
      <w:r w:rsidRPr="000508B6">
        <w:rPr>
          <w:rFonts w:ascii="Times New Roman" w:hAnsi="Times New Roman" w:cs="Times New Roman"/>
          <w:lang w:val="ro-MD"/>
        </w:rPr>
        <w:t xml:space="preserve">alin. (1) lit. b) -d), în cazul în care consideră că </w:t>
      </w:r>
      <w:proofErr w:type="spellStart"/>
      <w:r w:rsidRPr="000508B6">
        <w:rPr>
          <w:rFonts w:ascii="Times New Roman" w:hAnsi="Times New Roman" w:cs="Times New Roman"/>
          <w:lang w:val="ro-MD"/>
        </w:rPr>
        <w:t>cerinţele</w:t>
      </w:r>
      <w:proofErr w:type="spellEnd"/>
      <w:r w:rsidRPr="000508B6">
        <w:rPr>
          <w:rFonts w:ascii="Times New Roman" w:hAnsi="Times New Roman" w:cs="Times New Roman"/>
          <w:lang w:val="ro-MD"/>
        </w:rPr>
        <w:t xml:space="preserve"> respective nu mai sunt îndeplinite. </w:t>
      </w:r>
    </w:p>
    <w:p w14:paraId="0B10E28C" w14:textId="34E536C0" w:rsidR="00AC4E00" w:rsidRPr="000508B6" w:rsidRDefault="00AC4E00" w:rsidP="001338D4">
      <w:pPr>
        <w:pStyle w:val="Listparagraf"/>
        <w:numPr>
          <w:ilvl w:val="0"/>
          <w:numId w:val="8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vederea realizării obiectivelor de supraveghere, Banca Națională a Moldovei poate solicita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w:t>
      </w:r>
      <w:r w:rsidR="00861D68" w:rsidRPr="000508B6">
        <w:rPr>
          <w:rFonts w:ascii="Times New Roman" w:hAnsi="Times New Roman" w:cs="Times New Roman"/>
          <w:lang w:val="ro-MD"/>
        </w:rPr>
        <w:t xml:space="preserve">entității </w:t>
      </w:r>
      <w:r w:rsidRPr="000508B6">
        <w:rPr>
          <w:rFonts w:ascii="Times New Roman" w:hAnsi="Times New Roman" w:cs="Times New Roman"/>
          <w:lang w:val="ro-MD"/>
        </w:rPr>
        <w:t xml:space="preserve">coordonatoare a grupului din care face parte </w:t>
      </w:r>
      <w:r w:rsidR="00861D68" w:rsidRPr="000508B6">
        <w:rPr>
          <w:rFonts w:ascii="Times New Roman" w:hAnsi="Times New Roman" w:cs="Times New Roman"/>
          <w:lang w:val="ro-MD"/>
        </w:rPr>
        <w:t xml:space="preserve">asigurătorul sau </w:t>
      </w:r>
      <w:proofErr w:type="spellStart"/>
      <w:r w:rsidR="00861D68" w:rsidRPr="000508B6">
        <w:rPr>
          <w:rFonts w:ascii="Times New Roman" w:hAnsi="Times New Roman" w:cs="Times New Roman"/>
          <w:lang w:val="ro-MD"/>
        </w:rPr>
        <w:t>reasigurătorul</w:t>
      </w:r>
      <w:proofErr w:type="spellEnd"/>
      <w:r w:rsidR="00861D68" w:rsidRPr="000508B6">
        <w:rPr>
          <w:rFonts w:ascii="Times New Roman" w:hAnsi="Times New Roman" w:cs="Times New Roman"/>
          <w:lang w:val="ro-MD"/>
        </w:rPr>
        <w:t xml:space="preserve"> </w:t>
      </w:r>
      <w:r w:rsidRPr="000508B6">
        <w:rPr>
          <w:rFonts w:ascii="Times New Roman" w:hAnsi="Times New Roman" w:cs="Times New Roman"/>
          <w:lang w:val="ro-MD"/>
        </w:rPr>
        <w:t xml:space="preserve">exclus din supravegherea la nivel de grup, în cazuri similare celor prevăzute la art. </w:t>
      </w:r>
      <w:r w:rsidR="00030C1D" w:rsidRPr="000508B6">
        <w:rPr>
          <w:rFonts w:ascii="Times New Roman" w:hAnsi="Times New Roman" w:cs="Times New Roman"/>
          <w:lang w:val="ro-MD"/>
        </w:rPr>
        <w:t>116</w:t>
      </w:r>
      <w:r w:rsidR="00C373C4" w:rsidRPr="000508B6">
        <w:rPr>
          <w:rFonts w:ascii="Times New Roman" w:hAnsi="Times New Roman" w:cs="Times New Roman"/>
          <w:lang w:val="ro-MD"/>
        </w:rPr>
        <w:t xml:space="preserve"> </w:t>
      </w:r>
      <w:r w:rsidRPr="000508B6">
        <w:rPr>
          <w:rFonts w:ascii="Times New Roman" w:hAnsi="Times New Roman" w:cs="Times New Roman"/>
          <w:lang w:val="ro-MD"/>
        </w:rPr>
        <w:t>alin. (</w:t>
      </w:r>
      <w:r w:rsidR="002E7DB6" w:rsidRPr="000508B6">
        <w:rPr>
          <w:rFonts w:ascii="Times New Roman" w:hAnsi="Times New Roman" w:cs="Times New Roman"/>
          <w:lang w:val="ro-MD"/>
        </w:rPr>
        <w:t>9</w:t>
      </w:r>
      <w:r w:rsidRPr="000508B6">
        <w:rPr>
          <w:rFonts w:ascii="Times New Roman" w:hAnsi="Times New Roman" w:cs="Times New Roman"/>
          <w:lang w:val="ro-MD"/>
        </w:rPr>
        <w:t xml:space="preserve">)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 </w:t>
      </w:r>
    </w:p>
    <w:p w14:paraId="21CFD8F9" w14:textId="16116891" w:rsidR="00AC4E00" w:rsidRPr="000508B6" w:rsidRDefault="00AC4E00" w:rsidP="001338D4">
      <w:pPr>
        <w:pStyle w:val="Listparagraf"/>
        <w:numPr>
          <w:ilvl w:val="0"/>
          <w:numId w:val="83"/>
        </w:numPr>
        <w:tabs>
          <w:tab w:val="left" w:pos="709"/>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La cererea supraveghetorului coordonator, Banca Națională a Moldovei solicită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societăţilor</w:t>
      </w:r>
      <w:proofErr w:type="spellEnd"/>
      <w:r w:rsidRPr="000508B6">
        <w:rPr>
          <w:rFonts w:ascii="Times New Roman" w:hAnsi="Times New Roman" w:cs="Times New Roman"/>
          <w:lang w:val="ro-MD"/>
        </w:rPr>
        <w:t xml:space="preserve">-mamă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le transmite acestuia. </w:t>
      </w:r>
    </w:p>
    <w:p w14:paraId="3DC38034" w14:textId="28566946" w:rsidR="00AC4E00" w:rsidRPr="000508B6" w:rsidRDefault="00AC4E00" w:rsidP="001338D4">
      <w:pPr>
        <w:pStyle w:val="Listparagraf"/>
        <w:numPr>
          <w:ilvl w:val="0"/>
          <w:numId w:val="8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nerespectării SCR de către o sucursală/filială care aplică un sistem de management al riscului centralizat, fără a aduce atingere art. </w:t>
      </w:r>
      <w:r w:rsidR="00030C1D" w:rsidRPr="000508B6">
        <w:rPr>
          <w:rFonts w:ascii="Times New Roman" w:hAnsi="Times New Roman" w:cs="Times New Roman"/>
          <w:lang w:val="ro-MD"/>
        </w:rPr>
        <w:t>156</w:t>
      </w:r>
      <w:r w:rsidRPr="000508B6">
        <w:rPr>
          <w:rFonts w:ascii="Times New Roman" w:hAnsi="Times New Roman" w:cs="Times New Roman"/>
          <w:lang w:val="ro-MD"/>
        </w:rPr>
        <w:t xml:space="preserve">, Banca Națională a Moldovei transmite, fără întârziere, colegiului supraveghetorilor planul de redresare conceput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prezentat de </w:t>
      </w:r>
      <w:r w:rsidR="00FC784A" w:rsidRPr="000508B6">
        <w:rPr>
          <w:rFonts w:ascii="Times New Roman" w:hAnsi="Times New Roman" w:cs="Times New Roman"/>
          <w:lang w:val="ro-MD"/>
        </w:rPr>
        <w:t>sucursală/</w:t>
      </w:r>
      <w:r w:rsidRPr="000508B6">
        <w:rPr>
          <w:rFonts w:ascii="Times New Roman" w:hAnsi="Times New Roman" w:cs="Times New Roman"/>
          <w:lang w:val="ro-MD"/>
        </w:rPr>
        <w:t xml:space="preserve">filială astfel încât aceasta, în 6 luni de la data constatării </w:t>
      </w:r>
      <w:proofErr w:type="spellStart"/>
      <w:r w:rsidRPr="000508B6">
        <w:rPr>
          <w:rFonts w:ascii="Times New Roman" w:hAnsi="Times New Roman" w:cs="Times New Roman"/>
          <w:lang w:val="ro-MD"/>
        </w:rPr>
        <w:t>deficienţei</w:t>
      </w:r>
      <w:proofErr w:type="spellEnd"/>
      <w:r w:rsidRPr="000508B6">
        <w:rPr>
          <w:rFonts w:ascii="Times New Roman" w:hAnsi="Times New Roman" w:cs="Times New Roman"/>
          <w:lang w:val="ro-MD"/>
        </w:rPr>
        <w:t xml:space="preserve">, să restabilească nivelul fondurilor proprii eligibile sau să modifice profilul de risc, în vederea remedierii </w:t>
      </w:r>
      <w:proofErr w:type="spellStart"/>
      <w:r w:rsidRPr="000508B6">
        <w:rPr>
          <w:rFonts w:ascii="Times New Roman" w:hAnsi="Times New Roman" w:cs="Times New Roman"/>
          <w:lang w:val="ro-MD"/>
        </w:rPr>
        <w:t>situaţiei</w:t>
      </w:r>
      <w:proofErr w:type="spellEnd"/>
      <w:r w:rsidRPr="000508B6">
        <w:rPr>
          <w:rFonts w:ascii="Times New Roman" w:hAnsi="Times New Roman" w:cs="Times New Roman"/>
          <w:lang w:val="ro-MD"/>
        </w:rPr>
        <w:t xml:space="preserve">. Colegiul supraveghetorilor </w:t>
      </w:r>
      <w:r w:rsidR="00840AAC" w:rsidRPr="000508B6">
        <w:rPr>
          <w:rFonts w:ascii="Times New Roman" w:hAnsi="Times New Roman" w:cs="Times New Roman"/>
          <w:lang w:val="ro-MD"/>
        </w:rPr>
        <w:t xml:space="preserve">colaborează activ cu ceilalți membri pentru aprobarea </w:t>
      </w:r>
      <w:r w:rsidRPr="000508B6">
        <w:rPr>
          <w:rFonts w:ascii="Times New Roman" w:hAnsi="Times New Roman" w:cs="Times New Roman"/>
          <w:lang w:val="ro-MD"/>
        </w:rPr>
        <w:t>planul</w:t>
      </w:r>
      <w:r w:rsidR="00840AAC" w:rsidRPr="000508B6">
        <w:rPr>
          <w:rFonts w:ascii="Times New Roman" w:hAnsi="Times New Roman" w:cs="Times New Roman"/>
          <w:lang w:val="ro-MD"/>
        </w:rPr>
        <w:t>ui</w:t>
      </w:r>
      <w:r w:rsidRPr="000508B6">
        <w:rPr>
          <w:rFonts w:ascii="Times New Roman" w:hAnsi="Times New Roman" w:cs="Times New Roman"/>
          <w:lang w:val="ro-MD"/>
        </w:rPr>
        <w:t xml:space="preserve"> de redresare în maximum 4 luni de la data la care s-a constatat nerespectarea SCR. </w:t>
      </w:r>
    </w:p>
    <w:p w14:paraId="101A2A21" w14:textId="1E8D2879" w:rsidR="00AC4E00" w:rsidRPr="000508B6" w:rsidRDefault="00AC4E00" w:rsidP="001338D4">
      <w:pPr>
        <w:pStyle w:val="Listparagraf"/>
        <w:numPr>
          <w:ilvl w:val="0"/>
          <w:numId w:val="83"/>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colegiul supraveghetorilor nu ajunge la un acord, Banca Națională a Moldovei adoptă propria decizie cu privire la planul de redresare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alin. (8), luând în considerare punctele de vedere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rezervele </w:t>
      </w:r>
      <w:proofErr w:type="spellStart"/>
      <w:r w:rsidRPr="000508B6">
        <w:rPr>
          <w:rFonts w:ascii="Times New Roman" w:hAnsi="Times New Roman" w:cs="Times New Roman"/>
          <w:lang w:val="ro-MD"/>
        </w:rPr>
        <w:t>celorlalţi</w:t>
      </w:r>
      <w:proofErr w:type="spellEnd"/>
      <w:r w:rsidRPr="000508B6">
        <w:rPr>
          <w:rFonts w:ascii="Times New Roman" w:hAnsi="Times New Roman" w:cs="Times New Roman"/>
          <w:lang w:val="ro-MD"/>
        </w:rPr>
        <w:t xml:space="preserve"> supraveghetori</w:t>
      </w:r>
      <w:r w:rsidR="00835758" w:rsidRPr="000508B6">
        <w:rPr>
          <w:rFonts w:ascii="Times New Roman" w:eastAsia="Calibri" w:hAnsi="Times New Roman" w:cs="Times New Roman"/>
          <w:lang w:val="ro-MD"/>
        </w:rPr>
        <w:t xml:space="preserve"> din cadrul colegiului supraveghetorilor</w:t>
      </w:r>
      <w:r w:rsidRPr="000508B6">
        <w:rPr>
          <w:rFonts w:ascii="Times New Roman" w:hAnsi="Times New Roman" w:cs="Times New Roman"/>
          <w:lang w:val="ro-MD"/>
        </w:rPr>
        <w:t xml:space="preserve">. </w:t>
      </w:r>
    </w:p>
    <w:p w14:paraId="56CEE24B" w14:textId="75C19565"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în care Banca Națională a Moldovei este notificată, conform art. </w:t>
      </w:r>
      <w:r w:rsidR="00030C1D" w:rsidRPr="000508B6">
        <w:rPr>
          <w:rFonts w:ascii="Times New Roman" w:hAnsi="Times New Roman" w:cs="Times New Roman"/>
          <w:lang w:val="ro-MD"/>
        </w:rPr>
        <w:t>154</w:t>
      </w:r>
      <w:r w:rsidRPr="000508B6">
        <w:rPr>
          <w:rFonts w:ascii="Times New Roman" w:hAnsi="Times New Roman" w:cs="Times New Roman"/>
          <w:lang w:val="ro-MD"/>
        </w:rPr>
        <w:t xml:space="preserve"> cu privire la deteriorarea </w:t>
      </w:r>
      <w:proofErr w:type="spellStart"/>
      <w:r w:rsidRPr="000508B6">
        <w:rPr>
          <w:rFonts w:ascii="Times New Roman" w:hAnsi="Times New Roman" w:cs="Times New Roman"/>
          <w:lang w:val="ro-MD"/>
        </w:rPr>
        <w:t>situaţiei</w:t>
      </w:r>
      <w:proofErr w:type="spellEnd"/>
      <w:r w:rsidRPr="000508B6">
        <w:rPr>
          <w:rFonts w:ascii="Times New Roman" w:hAnsi="Times New Roman" w:cs="Times New Roman"/>
          <w:lang w:val="ro-MD"/>
        </w:rPr>
        <w:t xml:space="preserve"> financiare a unei filiale care aplică un sistem de management al riscului centralizat, </w:t>
      </w:r>
      <w:r w:rsidR="002B5648" w:rsidRPr="000508B6">
        <w:rPr>
          <w:rFonts w:ascii="Times New Roman" w:hAnsi="Times New Roman" w:cs="Times New Roman"/>
          <w:lang w:val="ro-MD"/>
        </w:rPr>
        <w:t xml:space="preserve">aceasta </w:t>
      </w:r>
      <w:r w:rsidRPr="000508B6">
        <w:rPr>
          <w:rFonts w:ascii="Times New Roman" w:hAnsi="Times New Roman" w:cs="Times New Roman"/>
          <w:lang w:val="ro-MD"/>
        </w:rPr>
        <w:t xml:space="preserve">comunică fără întârziere colegiului supraveghetorilor măsurile pe care le propune </w:t>
      </w:r>
      <w:r w:rsidR="002B5648" w:rsidRPr="000508B6">
        <w:rPr>
          <w:rFonts w:ascii="Times New Roman" w:hAnsi="Times New Roman" w:cs="Times New Roman"/>
          <w:lang w:val="ro-MD"/>
        </w:rPr>
        <w:t xml:space="preserve">pentru </w:t>
      </w:r>
      <w:r w:rsidRPr="000508B6">
        <w:rPr>
          <w:rFonts w:ascii="Times New Roman" w:hAnsi="Times New Roman" w:cs="Times New Roman"/>
          <w:lang w:val="ro-MD"/>
        </w:rPr>
        <w:t xml:space="preserve">dezbaterii în colegiu, cu </w:t>
      </w:r>
      <w:proofErr w:type="spellStart"/>
      <w:r w:rsidRPr="000508B6">
        <w:rPr>
          <w:rFonts w:ascii="Times New Roman" w:hAnsi="Times New Roman" w:cs="Times New Roman"/>
          <w:lang w:val="ro-MD"/>
        </w:rPr>
        <w:t>excepţia</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situaţiilor</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urgenţă</w:t>
      </w:r>
      <w:proofErr w:type="spellEnd"/>
      <w:r w:rsidRPr="000508B6">
        <w:rPr>
          <w:rFonts w:ascii="Times New Roman" w:hAnsi="Times New Roman" w:cs="Times New Roman"/>
          <w:lang w:val="ro-MD"/>
        </w:rPr>
        <w:t xml:space="preserve"> în care Banca Națională a Moldovei estimează că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financiară nu poate fi restabilită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atunci adoptă propria decizie, care nu se mai discută în cadrul colegiului supraveghetorilor. Dacă nu se ajunge la un acord în cadrul colegiului în decurs de o lună de la data notificării colegiului, Banca Națională a Moldovei adoptă propria decizie cu privire la măsurile respective, luând în considerare în mod corespunzător opiniile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rezervele </w:t>
      </w:r>
      <w:proofErr w:type="spellStart"/>
      <w:r w:rsidRPr="000508B6">
        <w:rPr>
          <w:rFonts w:ascii="Times New Roman" w:hAnsi="Times New Roman" w:cs="Times New Roman"/>
          <w:lang w:val="ro-MD"/>
        </w:rPr>
        <w:t>celorlalţi</w:t>
      </w:r>
      <w:proofErr w:type="spellEnd"/>
      <w:r w:rsidRPr="000508B6">
        <w:rPr>
          <w:rFonts w:ascii="Times New Roman" w:hAnsi="Times New Roman" w:cs="Times New Roman"/>
          <w:lang w:val="ro-MD"/>
        </w:rPr>
        <w:t xml:space="preserve"> membri ai colegiului supraveghetorilor.  </w:t>
      </w:r>
    </w:p>
    <w:p w14:paraId="59CC3AD3" w14:textId="3D7612F2"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Fără a aduce atingere art. </w:t>
      </w:r>
      <w:r w:rsidR="006D6A3E" w:rsidRPr="000508B6">
        <w:rPr>
          <w:rFonts w:ascii="Times New Roman" w:hAnsi="Times New Roman" w:cs="Times New Roman"/>
          <w:lang w:val="ro-MD"/>
        </w:rPr>
        <w:t>157</w:t>
      </w:r>
      <w:r w:rsidRPr="000508B6">
        <w:rPr>
          <w:rFonts w:ascii="Times New Roman" w:hAnsi="Times New Roman" w:cs="Times New Roman"/>
          <w:lang w:val="ro-MD"/>
        </w:rPr>
        <w:t xml:space="preserve">, în cazul nerespectării MCR de către o filială care aplică un sistem de management al riscului centralizat, Banca Națională a Moldovei transmite de îndată colegiului supraveghetorilor planul de </w:t>
      </w:r>
      <w:proofErr w:type="spellStart"/>
      <w:r w:rsidRPr="000508B6">
        <w:rPr>
          <w:rFonts w:ascii="Times New Roman" w:hAnsi="Times New Roman" w:cs="Times New Roman"/>
          <w:lang w:val="ro-MD"/>
        </w:rPr>
        <w:t>finanţare</w:t>
      </w:r>
      <w:proofErr w:type="spellEnd"/>
      <w:r w:rsidRPr="000508B6">
        <w:rPr>
          <w:rFonts w:ascii="Times New Roman" w:hAnsi="Times New Roman" w:cs="Times New Roman"/>
          <w:lang w:val="ro-MD"/>
        </w:rPr>
        <w:t xml:space="preserve"> prezentat de filială, conform căruia, în decurs de 3 luni de la data constatării </w:t>
      </w:r>
      <w:proofErr w:type="spellStart"/>
      <w:r w:rsidRPr="000508B6">
        <w:rPr>
          <w:rFonts w:ascii="Times New Roman" w:hAnsi="Times New Roman" w:cs="Times New Roman"/>
          <w:lang w:val="ro-MD"/>
        </w:rPr>
        <w:t>deficienţei</w:t>
      </w:r>
      <w:proofErr w:type="spellEnd"/>
      <w:r w:rsidRPr="000508B6">
        <w:rPr>
          <w:rFonts w:ascii="Times New Roman" w:hAnsi="Times New Roman" w:cs="Times New Roman"/>
          <w:lang w:val="ro-MD"/>
        </w:rPr>
        <w:t xml:space="preserve">, nivelul fondurilor proprii eligibile este restabilit sau profilul de risc este modificat, în vederea remedierii </w:t>
      </w:r>
      <w:proofErr w:type="spellStart"/>
      <w:r w:rsidRPr="000508B6">
        <w:rPr>
          <w:rFonts w:ascii="Times New Roman" w:hAnsi="Times New Roman" w:cs="Times New Roman"/>
          <w:lang w:val="ro-MD"/>
        </w:rPr>
        <w:t>situaţiei</w:t>
      </w:r>
      <w:proofErr w:type="spellEnd"/>
      <w:r w:rsidR="002346C4" w:rsidRPr="000508B6">
        <w:rPr>
          <w:rFonts w:ascii="Times New Roman" w:hAnsi="Times New Roman" w:cs="Times New Roman"/>
          <w:lang w:val="ro-MD"/>
        </w:rPr>
        <w:t>. Totodată</w:t>
      </w:r>
      <w:r w:rsidRPr="000508B6">
        <w:rPr>
          <w:rFonts w:ascii="Times New Roman" w:hAnsi="Times New Roman" w:cs="Times New Roman"/>
          <w:lang w:val="ro-MD"/>
        </w:rPr>
        <w:t xml:space="preserve">, Banca Națională a Moldovei informează colegiul supraveghetorilor despre măsurile adoptate pentru a impune </w:t>
      </w:r>
      <w:r w:rsidR="00510348" w:rsidRPr="000508B6">
        <w:rPr>
          <w:rFonts w:ascii="Times New Roman" w:hAnsi="Times New Roman" w:cs="Times New Roman"/>
          <w:lang w:val="ro-MD"/>
        </w:rPr>
        <w:t xml:space="preserve">respectarea </w:t>
      </w:r>
      <w:r w:rsidRPr="000508B6">
        <w:rPr>
          <w:rFonts w:ascii="Times New Roman" w:hAnsi="Times New Roman" w:cs="Times New Roman"/>
          <w:lang w:val="ro-MD"/>
        </w:rPr>
        <w:t xml:space="preserve">MCR la nivelul filialei. </w:t>
      </w:r>
    </w:p>
    <w:p w14:paraId="0AF999DB" w14:textId="0872F6E3"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consideră că raportul </w:t>
      </w:r>
      <w:proofErr w:type="spellStart"/>
      <w:r w:rsidRPr="000508B6">
        <w:rPr>
          <w:rFonts w:ascii="Times New Roman" w:hAnsi="Times New Roman" w:cs="Times New Roman"/>
          <w:lang w:val="ro-MD"/>
        </w:rPr>
        <w:t>menţionat</w:t>
      </w:r>
      <w:proofErr w:type="spellEnd"/>
      <w:r w:rsidRPr="000508B6">
        <w:rPr>
          <w:rFonts w:ascii="Times New Roman" w:hAnsi="Times New Roman" w:cs="Times New Roman"/>
          <w:lang w:val="ro-MD"/>
        </w:rPr>
        <w:t xml:space="preserve"> la art. </w:t>
      </w:r>
      <w:r w:rsidR="00B2408F" w:rsidRPr="000508B6">
        <w:rPr>
          <w:rFonts w:ascii="Times New Roman" w:hAnsi="Times New Roman" w:cs="Times New Roman"/>
          <w:lang w:val="ro-MD"/>
        </w:rPr>
        <w:t xml:space="preserve">148 </w:t>
      </w:r>
      <w:r w:rsidRPr="000508B6">
        <w:rPr>
          <w:rFonts w:ascii="Times New Roman" w:hAnsi="Times New Roman" w:cs="Times New Roman"/>
          <w:lang w:val="ro-MD"/>
        </w:rPr>
        <w:t xml:space="preserve">nu include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semnificative despre filialele pe care le-a licențiat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căror </w:t>
      </w:r>
      <w:proofErr w:type="spellStart"/>
      <w:r w:rsidRPr="000508B6">
        <w:rPr>
          <w:rFonts w:ascii="Times New Roman" w:hAnsi="Times New Roman" w:cs="Times New Roman"/>
          <w:lang w:val="ro-MD"/>
        </w:rPr>
        <w:t>situaţie</w:t>
      </w:r>
      <w:proofErr w:type="spellEnd"/>
      <w:r w:rsidRPr="000508B6">
        <w:rPr>
          <w:rFonts w:ascii="Times New Roman" w:hAnsi="Times New Roman" w:cs="Times New Roman"/>
          <w:lang w:val="ro-MD"/>
        </w:rPr>
        <w:t xml:space="preserve"> financiară necesită </w:t>
      </w:r>
      <w:proofErr w:type="spellStart"/>
      <w:r w:rsidRPr="000508B6">
        <w:rPr>
          <w:rFonts w:ascii="Times New Roman" w:hAnsi="Times New Roman" w:cs="Times New Roman"/>
          <w:lang w:val="ro-MD"/>
        </w:rPr>
        <w:t>comparaţie</w:t>
      </w:r>
      <w:proofErr w:type="spellEnd"/>
      <w:r w:rsidRPr="000508B6">
        <w:rPr>
          <w:rFonts w:ascii="Times New Roman" w:hAnsi="Times New Roman" w:cs="Times New Roman"/>
          <w:lang w:val="ro-MD"/>
        </w:rPr>
        <w:t xml:space="preserve">, impune acestora să publice propriul raport. </w:t>
      </w:r>
    </w:p>
    <w:p w14:paraId="24901AEF" w14:textId="6BC53AF0"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w:t>
      </w:r>
      <w:r w:rsidR="00D80849" w:rsidRPr="000508B6">
        <w:rPr>
          <w:rFonts w:ascii="Times New Roman" w:hAnsi="Times New Roman" w:cs="Times New Roman"/>
          <w:lang w:val="ro-MD"/>
        </w:rPr>
        <w:t xml:space="preserve">asigurătorii sau </w:t>
      </w:r>
      <w:proofErr w:type="spellStart"/>
      <w:r w:rsidR="00D80849" w:rsidRPr="000508B6">
        <w:rPr>
          <w:rFonts w:ascii="Times New Roman" w:hAnsi="Times New Roman" w:cs="Times New Roman"/>
          <w:lang w:val="ro-MD"/>
        </w:rPr>
        <w:t>reasigurătorii</w:t>
      </w:r>
      <w:proofErr w:type="spellEnd"/>
      <w:r w:rsidR="00D80849"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aparţin</w:t>
      </w:r>
      <w:proofErr w:type="spellEnd"/>
      <w:r w:rsidRPr="000508B6">
        <w:rPr>
          <w:rFonts w:ascii="Times New Roman" w:hAnsi="Times New Roman" w:cs="Times New Roman"/>
          <w:lang w:val="ro-MD"/>
        </w:rPr>
        <w:t xml:space="preserve"> unui grup care nu are în </w:t>
      </w:r>
      <w:proofErr w:type="spellStart"/>
      <w:r w:rsidRPr="000508B6">
        <w:rPr>
          <w:rFonts w:ascii="Times New Roman" w:hAnsi="Times New Roman" w:cs="Times New Roman"/>
          <w:lang w:val="ro-MD"/>
        </w:rPr>
        <w:t>componenţă</w:t>
      </w:r>
      <w:proofErr w:type="spellEnd"/>
      <w:r w:rsidRPr="000508B6">
        <w:rPr>
          <w:rFonts w:ascii="Times New Roman" w:hAnsi="Times New Roman" w:cs="Times New Roman"/>
          <w:lang w:val="ro-MD"/>
        </w:rPr>
        <w:t xml:space="preserve"> un holding de asigurare sau un holding financiar mixt, Banca Națională a Moldovei impune acestora măsuri de </w:t>
      </w:r>
      <w:r w:rsidR="00736441" w:rsidRPr="000508B6">
        <w:rPr>
          <w:rFonts w:ascii="Times New Roman" w:hAnsi="Times New Roman" w:cs="Times New Roman"/>
          <w:lang w:val="ro-MD"/>
        </w:rPr>
        <w:t xml:space="preserve">remediere </w:t>
      </w:r>
      <w:r w:rsidRPr="000508B6">
        <w:rPr>
          <w:rFonts w:ascii="Times New Roman" w:hAnsi="Times New Roman" w:cs="Times New Roman"/>
          <w:lang w:val="ro-MD"/>
        </w:rPr>
        <w:t xml:space="preserve">în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6D6A3E" w:rsidRPr="000508B6">
        <w:rPr>
          <w:rFonts w:ascii="Times New Roman" w:hAnsi="Times New Roman" w:cs="Times New Roman"/>
          <w:lang w:val="ro-MD"/>
        </w:rPr>
        <w:t>193</w:t>
      </w:r>
      <w:r w:rsidR="00C373C4"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(25). </w:t>
      </w:r>
    </w:p>
    <w:p w14:paraId="47661B64" w14:textId="3D867F0F"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informează supraveghetorii </w:t>
      </w:r>
      <w:r w:rsidR="003B1288" w:rsidRPr="000508B6">
        <w:rPr>
          <w:rFonts w:ascii="Times New Roman" w:hAnsi="Times New Roman" w:cs="Times New Roman"/>
          <w:lang w:val="ro-MD"/>
        </w:rPr>
        <w:t xml:space="preserve">asigurătorilor sau </w:t>
      </w:r>
      <w:proofErr w:type="spellStart"/>
      <w:r w:rsidR="003B1288" w:rsidRPr="000508B6">
        <w:rPr>
          <w:rFonts w:ascii="Times New Roman" w:hAnsi="Times New Roman" w:cs="Times New Roman"/>
          <w:lang w:val="ro-MD"/>
        </w:rPr>
        <w:t>reasigurătorilor</w:t>
      </w:r>
      <w:proofErr w:type="spellEnd"/>
      <w:r w:rsidRPr="000508B6">
        <w:rPr>
          <w:rFonts w:ascii="Times New Roman" w:hAnsi="Times New Roman" w:cs="Times New Roman"/>
          <w:lang w:val="ro-MD"/>
        </w:rPr>
        <w:t xml:space="preserve">, holdingurilor de asigurare sau holdingurilor financiare mixte din statele membre pe teritoriul cărora acestea au sediul central referitor la faptul că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B14583" w:rsidRPr="000508B6">
        <w:rPr>
          <w:rFonts w:ascii="Times New Roman" w:hAnsi="Times New Roman" w:cs="Times New Roman"/>
          <w:lang w:val="ro-MD"/>
        </w:rPr>
        <w:t xml:space="preserve">193 </w:t>
      </w:r>
      <w:r w:rsidRPr="000508B6">
        <w:rPr>
          <w:rFonts w:ascii="Times New Roman" w:hAnsi="Times New Roman" w:cs="Times New Roman"/>
          <w:lang w:val="ro-MD"/>
        </w:rPr>
        <w:t xml:space="preserve">alin. (25) nu sunt respectate. </w:t>
      </w:r>
    </w:p>
    <w:p w14:paraId="333599A1" w14:textId="602D1B8B"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Dacă Banca Națională a Moldovei este informată de către supraveghetorul coordonator referitor la faptul că </w:t>
      </w:r>
      <w:r w:rsidR="00D80849" w:rsidRPr="000508B6">
        <w:rPr>
          <w:rFonts w:ascii="Times New Roman" w:hAnsi="Times New Roman" w:cs="Times New Roman"/>
          <w:lang w:val="ro-MD"/>
        </w:rPr>
        <w:t xml:space="preserve">un asigurător sau </w:t>
      </w:r>
      <w:proofErr w:type="spellStart"/>
      <w:r w:rsidR="00D80849"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se află în una dintre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B14583" w:rsidRPr="000508B6">
        <w:rPr>
          <w:rFonts w:ascii="Times New Roman" w:hAnsi="Times New Roman" w:cs="Times New Roman"/>
          <w:lang w:val="ro-MD"/>
        </w:rPr>
        <w:t xml:space="preserve">193 </w:t>
      </w:r>
      <w:r w:rsidRPr="000508B6">
        <w:rPr>
          <w:rFonts w:ascii="Times New Roman" w:hAnsi="Times New Roman" w:cs="Times New Roman"/>
          <w:lang w:val="ro-MD"/>
        </w:rPr>
        <w:t xml:space="preserve">alin. (25), Banca Națională a Moldovei adoptă măsurile necesare remedierii </w:t>
      </w:r>
      <w:proofErr w:type="spellStart"/>
      <w:r w:rsidRPr="000508B6">
        <w:rPr>
          <w:rFonts w:ascii="Times New Roman" w:hAnsi="Times New Roman" w:cs="Times New Roman"/>
          <w:lang w:val="ro-MD"/>
        </w:rPr>
        <w:t>situaţiei</w:t>
      </w:r>
      <w:proofErr w:type="spellEnd"/>
      <w:r w:rsidRPr="000508B6">
        <w:rPr>
          <w:rFonts w:ascii="Times New Roman" w:hAnsi="Times New Roman" w:cs="Times New Roman"/>
          <w:lang w:val="ro-MD"/>
        </w:rPr>
        <w:t xml:space="preserve"> respective. </w:t>
      </w:r>
    </w:p>
    <w:p w14:paraId="2A538836" w14:textId="3D6B807D"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decide asupra măsurilor de remediere impuse holdingurilor de asigurare sau holdingurilor financiare mixte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participă la adoptarea acestor măsuri în cadrul colegiului supraveghetorilor.  </w:t>
      </w:r>
    </w:p>
    <w:p w14:paraId="69CBCE36" w14:textId="253426ED" w:rsidR="00AC4E00" w:rsidRPr="000508B6" w:rsidRDefault="00AC4E00" w:rsidP="001338D4">
      <w:pPr>
        <w:pStyle w:val="Listparagraf"/>
        <w:numPr>
          <w:ilvl w:val="0"/>
          <w:numId w:val="83"/>
        </w:numPr>
        <w:tabs>
          <w:tab w:val="left" w:pos="568"/>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societatea-mamă depune o cerere privind aplicarea unui sistem de management al riscului centralizat, Banca Națională a Moldovei: </w:t>
      </w:r>
    </w:p>
    <w:p w14:paraId="4AB2E4FA" w14:textId="0526D3BE" w:rsidR="00AC4E00" w:rsidRPr="000508B6" w:rsidRDefault="00AC4E00" w:rsidP="001338D4">
      <w:pPr>
        <w:pStyle w:val="Listparagraf"/>
        <w:numPr>
          <w:ilvl w:val="2"/>
          <w:numId w:val="8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analizează </w:t>
      </w:r>
      <w:r w:rsidR="00B56A85" w:rsidRPr="000508B6">
        <w:rPr>
          <w:rFonts w:ascii="Times New Roman" w:hAnsi="Times New Roman" w:cs="Times New Roman"/>
          <w:lang w:val="ro-MD"/>
        </w:rPr>
        <w:t xml:space="preserve">cererea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de a intra sub </w:t>
      </w:r>
      <w:proofErr w:type="spellStart"/>
      <w:r w:rsidRPr="000508B6">
        <w:rPr>
          <w:rFonts w:ascii="Times New Roman" w:hAnsi="Times New Roman" w:cs="Times New Roman"/>
          <w:lang w:val="ro-MD"/>
        </w:rPr>
        <w:t>incidenţa</w:t>
      </w:r>
      <w:proofErr w:type="spellEnd"/>
      <w:r w:rsidRPr="000508B6">
        <w:rPr>
          <w:rFonts w:ascii="Times New Roman" w:hAnsi="Times New Roman" w:cs="Times New Roman"/>
          <w:lang w:val="ro-MD"/>
        </w:rPr>
        <w:t xml:space="preserve"> art. </w:t>
      </w:r>
      <w:r w:rsidR="009138E2" w:rsidRPr="000508B6">
        <w:rPr>
          <w:rFonts w:ascii="Times New Roman" w:hAnsi="Times New Roman" w:cs="Times New Roman"/>
          <w:lang w:val="ro-MD"/>
        </w:rPr>
        <w:t xml:space="preserve">142 </w:t>
      </w:r>
      <w:r w:rsidRPr="000508B6">
        <w:rPr>
          <w:rFonts w:ascii="Times New Roman" w:hAnsi="Times New Roman" w:cs="Times New Roman"/>
          <w:lang w:val="ro-MD"/>
        </w:rPr>
        <w:t xml:space="preserve">alin. (1) - (3)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contribuie la lucrările colegiului supraveghetorilor în conformitate cu prevederile aplicabile prevăzute în prezenta </w:t>
      </w:r>
      <w:proofErr w:type="spellStart"/>
      <w:r w:rsidRPr="000508B6">
        <w:rPr>
          <w:rFonts w:ascii="Times New Roman" w:hAnsi="Times New Roman" w:cs="Times New Roman"/>
          <w:lang w:val="ro-MD"/>
        </w:rPr>
        <w:t>secţiune</w:t>
      </w:r>
      <w:proofErr w:type="spellEnd"/>
      <w:r w:rsidRPr="000508B6">
        <w:rPr>
          <w:rFonts w:ascii="Times New Roman" w:hAnsi="Times New Roman" w:cs="Times New Roman"/>
          <w:lang w:val="ro-MD"/>
        </w:rPr>
        <w:t>;</w:t>
      </w:r>
    </w:p>
    <w:p w14:paraId="4C073239" w14:textId="62CF37BC" w:rsidR="00AC4E00" w:rsidRPr="000508B6" w:rsidRDefault="00AC4E00" w:rsidP="001338D4">
      <w:pPr>
        <w:pStyle w:val="Listparagraf"/>
        <w:numPr>
          <w:ilvl w:val="2"/>
          <w:numId w:val="8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verifică în ce măsură sistemul de management al riscului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mecanismele de control intern ale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sunt adecvate pentru exercitarea unui management prudent al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 </w:t>
      </w:r>
    </w:p>
    <w:p w14:paraId="4B1E81A8" w14:textId="66F76F08" w:rsidR="00AC4E00" w:rsidRPr="000508B6" w:rsidRDefault="00AC4E00" w:rsidP="001338D4">
      <w:pPr>
        <w:pStyle w:val="Listparagraf"/>
        <w:numPr>
          <w:ilvl w:val="2"/>
          <w:numId w:val="84"/>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verifică dacă societatea-mamă respectă în </w:t>
      </w:r>
      <w:proofErr w:type="spellStart"/>
      <w:r w:rsidRPr="000508B6">
        <w:rPr>
          <w:rFonts w:ascii="Times New Roman" w:hAnsi="Times New Roman" w:cs="Times New Roman"/>
          <w:lang w:val="ro-MD"/>
        </w:rPr>
        <w:t>permanenţă</w:t>
      </w:r>
      <w:proofErr w:type="spellEnd"/>
      <w:r w:rsidRPr="000508B6">
        <w:rPr>
          <w:rFonts w:ascii="Times New Roman" w:hAnsi="Times New Roman" w:cs="Times New Roman"/>
          <w:lang w:val="ro-MD"/>
        </w:rPr>
        <w:t xml:space="preserve"> prevederile art. </w:t>
      </w:r>
      <w:r w:rsidR="009138E2" w:rsidRPr="000508B6">
        <w:rPr>
          <w:rFonts w:ascii="Times New Roman" w:hAnsi="Times New Roman" w:cs="Times New Roman"/>
          <w:lang w:val="ro-MD"/>
        </w:rPr>
        <w:t>141</w:t>
      </w:r>
      <w:r w:rsidR="00C373C4"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(1)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  </w:t>
      </w:r>
    </w:p>
    <w:p w14:paraId="6C60F8C6" w14:textId="2CD0F298" w:rsidR="00AC4E00" w:rsidRPr="000508B6" w:rsidRDefault="00AC4E00" w:rsidP="001338D4">
      <w:pPr>
        <w:pStyle w:val="Listparagraf"/>
        <w:numPr>
          <w:ilvl w:val="0"/>
          <w:numId w:val="83"/>
        </w:numPr>
        <w:tabs>
          <w:tab w:val="left" w:pos="851"/>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În cazul în care un supraveghetor din cadrul colegiului supraveghetorilor, inclusiv Banca Națională a Moldovei, constată că profilul de risc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pe care o supraveghează se abate semnificativ de la ipotezele care stau la baza modelului intern, supraveghetorii din cadrul colegiului propun impunerea măsurilor prevăzute la art. </w:t>
      </w:r>
      <w:r w:rsidR="00756546" w:rsidRPr="000508B6">
        <w:rPr>
          <w:rFonts w:ascii="Times New Roman" w:hAnsi="Times New Roman" w:cs="Times New Roman"/>
          <w:lang w:val="ro-MD"/>
        </w:rPr>
        <w:t xml:space="preserve">142 </w:t>
      </w:r>
      <w:r w:rsidRPr="000508B6">
        <w:rPr>
          <w:rFonts w:ascii="Times New Roman" w:hAnsi="Times New Roman" w:cs="Times New Roman"/>
          <w:lang w:val="ro-MD"/>
        </w:rPr>
        <w:t xml:space="preserve">alin. (1) - (3), în vederea adoptării unei decizii comune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pentru a stabili termenii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condiţiile</w:t>
      </w:r>
      <w:proofErr w:type="spellEnd"/>
      <w:r w:rsidRPr="000508B6">
        <w:rPr>
          <w:rFonts w:ascii="Times New Roman" w:hAnsi="Times New Roman" w:cs="Times New Roman"/>
          <w:lang w:val="ro-MD"/>
        </w:rPr>
        <w:t xml:space="preserve"> necesare aplicării deciziei respective, considerată definitivă. </w:t>
      </w:r>
    </w:p>
    <w:p w14:paraId="5F34AF9A" w14:textId="3840E654" w:rsidR="00AC4E00" w:rsidRPr="000508B6" w:rsidRDefault="00AC4E00" w:rsidP="00CF5AFA">
      <w:pPr>
        <w:pStyle w:val="Listparagraf"/>
        <w:numPr>
          <w:ilvl w:val="0"/>
          <w:numId w:val="83"/>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termen de o lună de la propunerea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w:t>
      </w:r>
      <w:r w:rsidR="00F97218" w:rsidRPr="000508B6">
        <w:rPr>
          <w:rFonts w:ascii="Times New Roman" w:hAnsi="Times New Roman" w:cs="Times New Roman"/>
          <w:lang w:val="ro-MD"/>
        </w:rPr>
        <w:t>18</w:t>
      </w:r>
      <w:r w:rsidRPr="000508B6">
        <w:rPr>
          <w:rFonts w:ascii="Times New Roman" w:hAnsi="Times New Roman" w:cs="Times New Roman"/>
          <w:lang w:val="ro-MD"/>
        </w:rPr>
        <w:t xml:space="preserve">), Banca Națională a Moldovei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membri ai colegiului supraveghetorilor pot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w:t>
      </w:r>
    </w:p>
    <w:p w14:paraId="0341818A" w14:textId="4A97AFD2" w:rsidR="00AC4E00" w:rsidRPr="000508B6" w:rsidRDefault="00AC4E00" w:rsidP="00CF5AFA">
      <w:pPr>
        <w:pStyle w:val="Listparagraf"/>
        <w:numPr>
          <w:ilvl w:val="0"/>
          <w:numId w:val="83"/>
        </w:numPr>
        <w:tabs>
          <w:tab w:val="left" w:pos="851"/>
          <w:tab w:val="left" w:pos="1134"/>
          <w:tab w:val="left" w:pos="1276"/>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în cadrul colegiului supraveghetorilor se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o solicitare de aplicare a unui sistem de management al riscului centralizat împreună cu </w:t>
      </w:r>
      <w:proofErr w:type="spellStart"/>
      <w:r w:rsidRPr="000508B6">
        <w:rPr>
          <w:rFonts w:ascii="Times New Roman" w:hAnsi="Times New Roman" w:cs="Times New Roman"/>
          <w:lang w:val="ro-MD"/>
        </w:rPr>
        <w:t>documentaţia</w:t>
      </w:r>
      <w:proofErr w:type="spellEnd"/>
      <w:r w:rsidRPr="000508B6">
        <w:rPr>
          <w:rFonts w:ascii="Times New Roman" w:hAnsi="Times New Roman" w:cs="Times New Roman"/>
          <w:lang w:val="ro-MD"/>
        </w:rPr>
        <w:t xml:space="preserve"> completă, Banca Națională a Moldovei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ceilalţi</w:t>
      </w:r>
      <w:proofErr w:type="spellEnd"/>
      <w:r w:rsidRPr="000508B6">
        <w:rPr>
          <w:rFonts w:ascii="Times New Roman" w:hAnsi="Times New Roman" w:cs="Times New Roman"/>
          <w:lang w:val="ro-MD"/>
        </w:rPr>
        <w:t xml:space="preserve"> membri ai colegiului colaborează în vederea adoptării unei decizii comune </w:t>
      </w:r>
      <w:r w:rsidR="00534807" w:rsidRPr="000508B6">
        <w:rPr>
          <w:rFonts w:ascii="Times New Roman" w:hAnsi="Times New Roman" w:cs="Times New Roman"/>
          <w:lang w:val="ro-MD"/>
        </w:rPr>
        <w:t xml:space="preserve">considerată definitivă </w:t>
      </w:r>
      <w:r w:rsidRPr="000508B6">
        <w:rPr>
          <w:rFonts w:ascii="Times New Roman" w:hAnsi="Times New Roman" w:cs="Times New Roman"/>
          <w:lang w:val="ro-MD"/>
        </w:rPr>
        <w:t xml:space="preserve">în decurs de 3 luni. </w:t>
      </w:r>
    </w:p>
    <w:p w14:paraId="03132F67" w14:textId="78AE1CE7" w:rsidR="00AC4E00" w:rsidRPr="000508B6" w:rsidRDefault="00AC4E00" w:rsidP="00CF5AFA">
      <w:pPr>
        <w:pStyle w:val="Listparagraf"/>
        <w:numPr>
          <w:ilvl w:val="0"/>
          <w:numId w:val="83"/>
        </w:numPr>
        <w:tabs>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adoptării deciziei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(2</w:t>
      </w:r>
      <w:r w:rsidR="004F4E60" w:rsidRPr="000508B6">
        <w:rPr>
          <w:rFonts w:ascii="Times New Roman" w:hAnsi="Times New Roman" w:cs="Times New Roman"/>
          <w:lang w:val="ro-MD"/>
        </w:rPr>
        <w:t>0</w:t>
      </w:r>
      <w:r w:rsidRPr="000508B6">
        <w:rPr>
          <w:rFonts w:ascii="Times New Roman" w:hAnsi="Times New Roman" w:cs="Times New Roman"/>
          <w:lang w:val="ro-MD"/>
        </w:rPr>
        <w:t xml:space="preserve">), Banca Națională a Moldovei transmite solicitantului decizia temeinic motivată. </w:t>
      </w:r>
    </w:p>
    <w:p w14:paraId="120E329A" w14:textId="09861A5D" w:rsidR="00AC4E00" w:rsidRPr="000508B6" w:rsidRDefault="00AC4E00" w:rsidP="00CF5AFA">
      <w:pPr>
        <w:pStyle w:val="Listparagraf"/>
        <w:numPr>
          <w:ilvl w:val="0"/>
          <w:numId w:val="83"/>
        </w:numPr>
        <w:tabs>
          <w:tab w:val="left" w:pos="851"/>
          <w:tab w:val="left" w:pos="1134"/>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se solicită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w:t>
      </w:r>
      <w:r w:rsidR="004F4E60" w:rsidRPr="000508B6">
        <w:rPr>
          <w:rFonts w:ascii="Times New Roman" w:hAnsi="Times New Roman" w:cs="Times New Roman"/>
          <w:lang w:val="ro-MD"/>
        </w:rPr>
        <w:t>19</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art. </w:t>
      </w:r>
      <w:r w:rsidR="00E33459" w:rsidRPr="000508B6">
        <w:rPr>
          <w:rFonts w:ascii="Times New Roman" w:hAnsi="Times New Roman" w:cs="Times New Roman"/>
          <w:lang w:val="ro-MD"/>
        </w:rPr>
        <w:t>186</w:t>
      </w:r>
      <w:r w:rsidR="00E362F2"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(5), Banca Națională a Moldovei adoptă decizia proprie în conformitate cu decizia EIOPA, considerată definitivă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aplicată de </w:t>
      </w:r>
      <w:r w:rsidR="00304D81" w:rsidRPr="000508B6">
        <w:rPr>
          <w:rFonts w:ascii="Times New Roman" w:hAnsi="Times New Roman" w:cs="Times New Roman"/>
          <w:lang w:val="ro-MD"/>
        </w:rPr>
        <w:t xml:space="preserve">către </w:t>
      </w:r>
      <w:r w:rsidR="00FB55AC" w:rsidRPr="000508B6">
        <w:rPr>
          <w:rFonts w:ascii="Times New Roman" w:hAnsi="Times New Roman" w:cs="Times New Roman"/>
          <w:lang w:val="ro-MD"/>
        </w:rPr>
        <w:t>ceilalți membri ai colegiului supraveghetorilor</w:t>
      </w:r>
      <w:r w:rsidRPr="000508B6">
        <w:rPr>
          <w:rFonts w:ascii="Times New Roman" w:hAnsi="Times New Roman" w:cs="Times New Roman"/>
          <w:lang w:val="ro-MD"/>
        </w:rPr>
        <w:t xml:space="preserve">. </w:t>
      </w:r>
    </w:p>
    <w:p w14:paraId="45B8008D" w14:textId="1404D05D" w:rsidR="00AC4E00" w:rsidRPr="000508B6" w:rsidRDefault="00AC4E00" w:rsidP="00CF5AFA">
      <w:pPr>
        <w:pStyle w:val="Listparagraf"/>
        <w:numPr>
          <w:ilvl w:val="0"/>
          <w:numId w:val="83"/>
        </w:numPr>
        <w:tabs>
          <w:tab w:val="left" w:pos="851"/>
          <w:tab w:val="left" w:pos="1134"/>
        </w:tabs>
        <w:spacing w:after="0" w:line="240" w:lineRule="auto"/>
        <w:ind w:left="0" w:firstLine="360"/>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solicita </w:t>
      </w:r>
      <w:proofErr w:type="spellStart"/>
      <w:r w:rsidRPr="000508B6">
        <w:rPr>
          <w:rFonts w:ascii="Times New Roman" w:hAnsi="Times New Roman" w:cs="Times New Roman"/>
          <w:lang w:val="ro-MD"/>
        </w:rPr>
        <w:t>asistenţă</w:t>
      </w:r>
      <w:proofErr w:type="spellEnd"/>
      <w:r w:rsidRPr="000508B6">
        <w:rPr>
          <w:rFonts w:ascii="Times New Roman" w:hAnsi="Times New Roman" w:cs="Times New Roman"/>
          <w:lang w:val="ro-MD"/>
        </w:rPr>
        <w:t xml:space="preserve"> tehnică a EIOPA în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în care este informată de către un supraveghetor coordonator cu privire la primirea unei solicitări similare celei prevăzute la art. </w:t>
      </w:r>
      <w:r w:rsidR="00CC14C4" w:rsidRPr="000508B6">
        <w:rPr>
          <w:rFonts w:ascii="Times New Roman" w:hAnsi="Times New Roman" w:cs="Times New Roman"/>
          <w:lang w:val="ro-MD"/>
        </w:rPr>
        <w:t>193</w:t>
      </w:r>
      <w:r w:rsidR="004B29FC" w:rsidRPr="000508B6">
        <w:rPr>
          <w:rFonts w:ascii="Times New Roman" w:hAnsi="Times New Roman" w:cs="Times New Roman"/>
          <w:lang w:val="ro-MD"/>
        </w:rPr>
        <w:t xml:space="preserve"> </w:t>
      </w:r>
      <w:r w:rsidRPr="000508B6">
        <w:rPr>
          <w:rFonts w:ascii="Times New Roman" w:hAnsi="Times New Roman" w:cs="Times New Roman"/>
          <w:lang w:val="ro-MD"/>
        </w:rPr>
        <w:t>alin. (9).</w:t>
      </w:r>
      <w:r w:rsidR="00012426" w:rsidRPr="000508B6">
        <w:rPr>
          <w:rFonts w:ascii="Times New Roman" w:hAnsi="Times New Roman" w:cs="Times New Roman"/>
          <w:lang w:val="ro-MD"/>
        </w:rPr>
        <w:t xml:space="preserve"> </w:t>
      </w:r>
    </w:p>
    <w:p w14:paraId="6435C801" w14:textId="2C7C4224" w:rsidR="0051111E" w:rsidRPr="004C139C" w:rsidRDefault="004C139C" w:rsidP="004C139C">
      <w:pPr>
        <w:tabs>
          <w:tab w:val="left" w:pos="426"/>
          <w:tab w:val="left" w:pos="851"/>
          <w:tab w:val="left" w:pos="993"/>
        </w:tabs>
        <w:spacing w:after="0" w:line="240" w:lineRule="auto"/>
        <w:jc w:val="both"/>
        <w:rPr>
          <w:rFonts w:ascii="Times New Roman" w:hAnsi="Times New Roman" w:cs="Times New Roman"/>
          <w:lang w:val="ro-MD"/>
        </w:rPr>
      </w:pPr>
      <w:r>
        <w:rPr>
          <w:rFonts w:ascii="Times New Roman" w:hAnsi="Times New Roman" w:cs="Times New Roman"/>
          <w:lang w:val="ro-MD"/>
        </w:rPr>
        <w:tab/>
      </w:r>
      <w:r w:rsidR="00E20487">
        <w:rPr>
          <w:rFonts w:ascii="Times New Roman" w:hAnsi="Times New Roman" w:cs="Times New Roman"/>
          <w:lang w:val="ro-MD"/>
        </w:rPr>
        <w:t xml:space="preserve">(24) </w:t>
      </w:r>
      <w:r w:rsidR="00122D37" w:rsidRPr="004C139C">
        <w:rPr>
          <w:rFonts w:ascii="Times New Roman" w:hAnsi="Times New Roman" w:cs="Times New Roman"/>
          <w:lang w:val="ro-MD"/>
        </w:rPr>
        <w:t>În aplicarea prevederilor prezentului articol, dispozițiile referitoare la colaborarea în cadrul colegiilor supraveghetorilor</w:t>
      </w:r>
      <w:r w:rsidR="00771FFC" w:rsidRPr="004C139C">
        <w:rPr>
          <w:rFonts w:ascii="Times New Roman" w:hAnsi="Times New Roman" w:cs="Times New Roman"/>
          <w:lang w:val="ro-MD"/>
        </w:rPr>
        <w:t>,</w:t>
      </w:r>
      <w:r w:rsidR="00122D37" w:rsidRPr="004C139C">
        <w:rPr>
          <w:rFonts w:ascii="Times New Roman" w:hAnsi="Times New Roman" w:cs="Times New Roman"/>
          <w:lang w:val="ro-MD"/>
        </w:rPr>
        <w:t xml:space="preserve"> stabilirea pragurilor de toleranță adecvate în ceea ce privește concentrarea riscurilor la nivel de grup</w:t>
      </w:r>
      <w:r w:rsidR="00771FFC" w:rsidRPr="004C139C">
        <w:rPr>
          <w:rFonts w:ascii="Times New Roman" w:hAnsi="Times New Roman" w:cs="Times New Roman"/>
          <w:lang w:val="ro-MD"/>
        </w:rPr>
        <w:t>,</w:t>
      </w:r>
      <w:r w:rsidR="00122D37" w:rsidRPr="004C139C">
        <w:rPr>
          <w:rFonts w:ascii="Times New Roman" w:hAnsi="Times New Roman" w:cs="Times New Roman"/>
          <w:lang w:val="ro-MD"/>
        </w:rPr>
        <w:t xml:space="preserve"> evaluarea gradului de concentrare a riscurilor la nivel de grup</w:t>
      </w:r>
      <w:r w:rsidR="00771FFC" w:rsidRPr="004C139C">
        <w:rPr>
          <w:rFonts w:ascii="Times New Roman" w:hAnsi="Times New Roman" w:cs="Times New Roman"/>
          <w:lang w:val="ro-MD"/>
        </w:rPr>
        <w:t>,</w:t>
      </w:r>
      <w:r w:rsidR="00122D37" w:rsidRPr="004C139C">
        <w:rPr>
          <w:rFonts w:ascii="Times New Roman" w:hAnsi="Times New Roman" w:cs="Times New Roman"/>
          <w:lang w:val="ro-MD"/>
        </w:rPr>
        <w:t xml:space="preserve"> tranzacțiile intra-grup semnificative</w:t>
      </w:r>
      <w:r w:rsidR="00771FFC" w:rsidRPr="004C139C">
        <w:rPr>
          <w:rFonts w:ascii="Times New Roman" w:hAnsi="Times New Roman" w:cs="Times New Roman"/>
          <w:lang w:val="ro-MD"/>
        </w:rPr>
        <w:t>,</w:t>
      </w:r>
      <w:r w:rsidR="00122D37" w:rsidRPr="004C139C">
        <w:rPr>
          <w:rFonts w:ascii="Times New Roman" w:hAnsi="Times New Roman" w:cs="Times New Roman"/>
          <w:lang w:val="ro-MD"/>
        </w:rPr>
        <w:t xml:space="preserve"> coordonarea impunerii de măsuri în cazul nerespectării prevederilor legale de către grupuri și entitățile componente</w:t>
      </w:r>
      <w:r w:rsidR="0051111E" w:rsidRPr="004C139C">
        <w:rPr>
          <w:rFonts w:ascii="Times New Roman" w:hAnsi="Times New Roman" w:cs="Times New Roman"/>
          <w:lang w:val="ro-MD"/>
        </w:rPr>
        <w:t>, se stabilesc prin actele normative ale Băncii Naționale a Moldovei.</w:t>
      </w:r>
    </w:p>
    <w:p w14:paraId="08CDB168" w14:textId="77777777" w:rsidR="0036220D" w:rsidRPr="000508B6" w:rsidRDefault="0036220D" w:rsidP="00AC4E00">
      <w:pPr>
        <w:spacing w:after="0" w:line="240" w:lineRule="auto"/>
        <w:ind w:firstLine="426"/>
        <w:jc w:val="both"/>
        <w:rPr>
          <w:rFonts w:ascii="Times New Roman" w:hAnsi="Times New Roman" w:cs="Times New Roman"/>
          <w:b/>
          <w:lang w:val="ro-MD"/>
        </w:rPr>
      </w:pPr>
    </w:p>
    <w:p w14:paraId="18BD2BF1" w14:textId="546EECC9"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195</w:t>
      </w:r>
      <w:r w:rsidRPr="000508B6">
        <w:rPr>
          <w:rFonts w:ascii="Times New Roman" w:hAnsi="Times New Roman" w:cs="Times New Roman"/>
          <w:b/>
          <w:i/>
          <w:lang w:val="ro-MD"/>
        </w:rPr>
        <w:t>.</w:t>
      </w:r>
      <w:r w:rsidRPr="000508B6">
        <w:rPr>
          <w:rFonts w:ascii="Times New Roman" w:hAnsi="Times New Roman" w:cs="Times New Roman"/>
          <w:lang w:val="ro-MD"/>
        </w:rPr>
        <w:t xml:space="preserve">  Cooperarea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schimbul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w:t>
      </w:r>
    </w:p>
    <w:p w14:paraId="2C4B854F" w14:textId="493BBE6A"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scopul asigurării unui volum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uniform pentru </w:t>
      </w:r>
      <w:proofErr w:type="spellStart"/>
      <w:r w:rsidRPr="000508B6">
        <w:rPr>
          <w:rFonts w:ascii="Times New Roman" w:hAnsi="Times New Roman" w:cs="Times New Roman"/>
          <w:lang w:val="ro-MD"/>
        </w:rPr>
        <w:t>toţi</w:t>
      </w:r>
      <w:proofErr w:type="spellEnd"/>
      <w:r w:rsidRPr="000508B6">
        <w:rPr>
          <w:rFonts w:ascii="Times New Roman" w:hAnsi="Times New Roman" w:cs="Times New Roman"/>
          <w:lang w:val="ro-MD"/>
        </w:rPr>
        <w:t xml:space="preserve"> membrii colegiului supraveghetorilor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al facilitării realizării sarcinilor de supraveghere, Banca Națională a Moldovei furnizează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relevante, de îndată ce acestea sunt disponibile sau la cererea membrilor colegiului, cum ar fi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despre </w:t>
      </w:r>
      <w:proofErr w:type="spellStart"/>
      <w:r w:rsidRPr="000508B6">
        <w:rPr>
          <w:rFonts w:ascii="Times New Roman" w:hAnsi="Times New Roman" w:cs="Times New Roman"/>
          <w:lang w:val="ro-MD"/>
        </w:rPr>
        <w:t>acţiunile</w:t>
      </w:r>
      <w:proofErr w:type="spellEnd"/>
      <w:r w:rsidRPr="000508B6">
        <w:rPr>
          <w:rFonts w:ascii="Times New Roman" w:hAnsi="Times New Roman" w:cs="Times New Roman"/>
          <w:lang w:val="ro-MD"/>
        </w:rPr>
        <w:t xml:space="preserve"> grupului, ale altor supraveghetori sau date furnizate de grup. </w:t>
      </w:r>
    </w:p>
    <w:p w14:paraId="6845E97C" w14:textId="64E53C00"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în care Banca Națională a Moldovei este cea care solicită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(1)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nu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răspuns în termen de două săptămâni, Banca Națională a Moldovei poate solicita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w:t>
      </w:r>
    </w:p>
    <w:p w14:paraId="5D1B2651" w14:textId="6D4AAD3F"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Înainte de a adopta o decizie semnificativă, Banca Națională a Moldovei se consultă cu membrii colegiului supraveghetorilor, inclusiv în cazul în care </w:t>
      </w:r>
      <w:proofErr w:type="spellStart"/>
      <w:r w:rsidRPr="000508B6">
        <w:rPr>
          <w:rFonts w:ascii="Times New Roman" w:hAnsi="Times New Roman" w:cs="Times New Roman"/>
          <w:lang w:val="ro-MD"/>
        </w:rPr>
        <w:t>primeşte</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de la </w:t>
      </w:r>
      <w:proofErr w:type="spellStart"/>
      <w:r w:rsidRPr="000508B6">
        <w:rPr>
          <w:rFonts w:ascii="Times New Roman" w:hAnsi="Times New Roman" w:cs="Times New Roman"/>
          <w:lang w:val="ro-MD"/>
        </w:rPr>
        <w:t>alţi</w:t>
      </w:r>
      <w:proofErr w:type="spellEnd"/>
      <w:r w:rsidRPr="000508B6">
        <w:rPr>
          <w:rFonts w:ascii="Times New Roman" w:hAnsi="Times New Roman" w:cs="Times New Roman"/>
          <w:lang w:val="ro-MD"/>
        </w:rPr>
        <w:t xml:space="preserve"> supraveghetori, atunci când: </w:t>
      </w:r>
    </w:p>
    <w:p w14:paraId="7599DD52" w14:textId="5EDAEECC" w:rsidR="00AC4E00" w:rsidRPr="000508B6" w:rsidRDefault="00AC4E00" w:rsidP="001338D4">
      <w:pPr>
        <w:pStyle w:val="Listparagraf"/>
        <w:numPr>
          <w:ilvl w:val="2"/>
          <w:numId w:val="86"/>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apar modificări în structura </w:t>
      </w:r>
      <w:proofErr w:type="spellStart"/>
      <w:r w:rsidRPr="000508B6">
        <w:rPr>
          <w:rFonts w:ascii="Times New Roman" w:hAnsi="Times New Roman" w:cs="Times New Roman"/>
          <w:lang w:val="ro-MD"/>
        </w:rPr>
        <w:t>organizaţională</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acţionariatului</w:t>
      </w:r>
      <w:proofErr w:type="spellEnd"/>
      <w:r w:rsidRPr="000508B6">
        <w:rPr>
          <w:rFonts w:ascii="Times New Roman" w:hAnsi="Times New Roman" w:cs="Times New Roman"/>
          <w:lang w:val="ro-MD"/>
        </w:rPr>
        <w:t xml:space="preserve"> sau a organelor de conducere ale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pentru care este necesară aprobarea </w:t>
      </w:r>
      <w:r w:rsidR="00F02F17" w:rsidRPr="000508B6">
        <w:rPr>
          <w:rFonts w:ascii="Times New Roman" w:hAnsi="Times New Roman" w:cs="Times New Roman"/>
          <w:lang w:val="ro-MD"/>
        </w:rPr>
        <w:t xml:space="preserve">din partea </w:t>
      </w:r>
      <w:r w:rsidRPr="000508B6">
        <w:rPr>
          <w:rFonts w:ascii="Times New Roman" w:hAnsi="Times New Roman" w:cs="Times New Roman"/>
          <w:lang w:val="ro-MD"/>
        </w:rPr>
        <w:t>B</w:t>
      </w:r>
      <w:r w:rsidR="00F02F17" w:rsidRPr="000508B6">
        <w:rPr>
          <w:rFonts w:ascii="Times New Roman" w:hAnsi="Times New Roman" w:cs="Times New Roman"/>
          <w:lang w:val="ro-MD"/>
        </w:rPr>
        <w:t>ăncii</w:t>
      </w:r>
      <w:r w:rsidRPr="000508B6">
        <w:rPr>
          <w:rFonts w:ascii="Times New Roman" w:hAnsi="Times New Roman" w:cs="Times New Roman"/>
          <w:lang w:val="ro-MD"/>
        </w:rPr>
        <w:t xml:space="preserve"> Național</w:t>
      </w:r>
      <w:r w:rsidR="00F02F17" w:rsidRPr="000508B6">
        <w:rPr>
          <w:rFonts w:ascii="Times New Roman" w:hAnsi="Times New Roman" w:cs="Times New Roman"/>
          <w:lang w:val="ro-MD"/>
        </w:rPr>
        <w:t>e</w:t>
      </w:r>
      <w:r w:rsidRPr="000508B6">
        <w:rPr>
          <w:rFonts w:ascii="Times New Roman" w:hAnsi="Times New Roman" w:cs="Times New Roman"/>
          <w:lang w:val="ro-MD"/>
        </w:rPr>
        <w:t xml:space="preserve"> a Moldovei;</w:t>
      </w:r>
    </w:p>
    <w:p w14:paraId="2ACC8236" w14:textId="2E0FE129" w:rsidR="00AC4E00" w:rsidRPr="000508B6" w:rsidRDefault="00AC4E00" w:rsidP="001338D4">
      <w:pPr>
        <w:pStyle w:val="Listparagraf"/>
        <w:numPr>
          <w:ilvl w:val="2"/>
          <w:numId w:val="86"/>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propune extinderea perioadei </w:t>
      </w:r>
      <w:r w:rsidR="00660654" w:rsidRPr="000508B6">
        <w:rPr>
          <w:rFonts w:ascii="Times New Roman" w:hAnsi="Times New Roman" w:cs="Times New Roman"/>
          <w:lang w:val="ro-MD"/>
        </w:rPr>
        <w:t xml:space="preserve">aplicării măsurilor din planul </w:t>
      </w:r>
      <w:r w:rsidRPr="000508B6">
        <w:rPr>
          <w:rFonts w:ascii="Times New Roman" w:hAnsi="Times New Roman" w:cs="Times New Roman"/>
          <w:lang w:val="ro-MD"/>
        </w:rPr>
        <w:t xml:space="preserve">de redresare conform art. </w:t>
      </w:r>
      <w:r w:rsidR="00210127" w:rsidRPr="000508B6">
        <w:rPr>
          <w:rFonts w:ascii="Times New Roman" w:hAnsi="Times New Roman" w:cs="Times New Roman"/>
          <w:lang w:val="ro-MD"/>
        </w:rPr>
        <w:t>156</w:t>
      </w:r>
      <w:r w:rsidR="00CC6A25" w:rsidRPr="000508B6">
        <w:rPr>
          <w:rFonts w:ascii="Times New Roman" w:hAnsi="Times New Roman" w:cs="Times New Roman"/>
          <w:lang w:val="ro-MD"/>
        </w:rPr>
        <w:t xml:space="preserve"> </w:t>
      </w:r>
      <w:r w:rsidRPr="000508B6">
        <w:rPr>
          <w:rFonts w:ascii="Times New Roman" w:hAnsi="Times New Roman" w:cs="Times New Roman"/>
          <w:lang w:val="ro-MD"/>
        </w:rPr>
        <w:t xml:space="preserve">alin. (3); </w:t>
      </w:r>
    </w:p>
    <w:p w14:paraId="02AC08FE" w14:textId="25D191FD" w:rsidR="00AC4E00" w:rsidRPr="000508B6" w:rsidRDefault="00AC4E00" w:rsidP="001338D4">
      <w:pPr>
        <w:pStyle w:val="Listparagraf"/>
        <w:numPr>
          <w:ilvl w:val="2"/>
          <w:numId w:val="86"/>
        </w:numPr>
        <w:tabs>
          <w:tab w:val="left" w:pos="851"/>
        </w:tabs>
        <w:spacing w:after="0" w:line="240" w:lineRule="auto"/>
        <w:ind w:left="0" w:firstLine="567"/>
        <w:jc w:val="both"/>
        <w:rPr>
          <w:rFonts w:ascii="Times New Roman" w:hAnsi="Times New Roman" w:cs="Times New Roman"/>
          <w:lang w:val="ro-MD"/>
        </w:rPr>
      </w:pPr>
      <w:r w:rsidRPr="000508B6">
        <w:rPr>
          <w:rFonts w:ascii="Times New Roman" w:hAnsi="Times New Roman" w:cs="Times New Roman"/>
          <w:lang w:val="ro-MD"/>
        </w:rPr>
        <w:t xml:space="preserve">propune aplicarea unor </w:t>
      </w:r>
      <w:proofErr w:type="spellStart"/>
      <w:r w:rsidRPr="000508B6">
        <w:rPr>
          <w:rFonts w:ascii="Times New Roman" w:hAnsi="Times New Roman" w:cs="Times New Roman"/>
          <w:lang w:val="ro-MD"/>
        </w:rPr>
        <w:t>sancţiuni</w:t>
      </w:r>
      <w:proofErr w:type="spellEnd"/>
      <w:r w:rsidRPr="000508B6">
        <w:rPr>
          <w:rFonts w:ascii="Times New Roman" w:hAnsi="Times New Roman" w:cs="Times New Roman"/>
          <w:lang w:val="ro-MD"/>
        </w:rPr>
        <w:t xml:space="preserve"> semnificative sau măsuri </w:t>
      </w:r>
      <w:proofErr w:type="spellStart"/>
      <w:r w:rsidRPr="000508B6">
        <w:rPr>
          <w:rFonts w:ascii="Times New Roman" w:hAnsi="Times New Roman" w:cs="Times New Roman"/>
          <w:lang w:val="ro-MD"/>
        </w:rPr>
        <w:t>excepţionale</w:t>
      </w:r>
      <w:proofErr w:type="spellEnd"/>
      <w:r w:rsidRPr="000508B6">
        <w:rPr>
          <w:rFonts w:ascii="Times New Roman" w:hAnsi="Times New Roman" w:cs="Times New Roman"/>
          <w:lang w:val="ro-MD"/>
        </w:rPr>
        <w:t>, cum ar fi impunerea unei majorări</w:t>
      </w:r>
      <w:r w:rsidR="00C55DF6" w:rsidRPr="000508B6">
        <w:rPr>
          <w:rFonts w:ascii="Times New Roman" w:hAnsi="Times New Roman" w:cs="Times New Roman"/>
          <w:lang w:val="ro-MD"/>
        </w:rPr>
        <w:t xml:space="preserve"> de capital față de </w:t>
      </w:r>
      <w:r w:rsidR="00662421" w:rsidRPr="000508B6">
        <w:rPr>
          <w:rFonts w:ascii="Times New Roman" w:hAnsi="Times New Roman" w:cs="Times New Roman"/>
          <w:lang w:val="ro-MD"/>
        </w:rPr>
        <w:t>a SCR</w:t>
      </w:r>
      <w:r w:rsidRPr="000508B6">
        <w:rPr>
          <w:rFonts w:ascii="Times New Roman" w:hAnsi="Times New Roman" w:cs="Times New Roman"/>
          <w:lang w:val="ro-MD"/>
        </w:rPr>
        <w:t xml:space="preserve"> </w:t>
      </w:r>
      <w:r w:rsidR="00C55DF6" w:rsidRPr="000508B6">
        <w:rPr>
          <w:rFonts w:ascii="Times New Roman" w:hAnsi="Times New Roman" w:cs="Times New Roman"/>
          <w:lang w:val="ro-MD"/>
        </w:rPr>
        <w:t xml:space="preserve">în temeiul art. 183 </w:t>
      </w:r>
      <w:r w:rsidRPr="000508B6">
        <w:rPr>
          <w:rFonts w:ascii="Times New Roman" w:hAnsi="Times New Roman" w:cs="Times New Roman"/>
          <w:lang w:val="ro-MD"/>
        </w:rPr>
        <w:t xml:space="preserve">sau limitarea utilizării modelului intern </w:t>
      </w:r>
      <w:r w:rsidR="00037432" w:rsidRPr="000508B6">
        <w:rPr>
          <w:rFonts w:ascii="Times New Roman" w:hAnsi="Times New Roman" w:cs="Times New Roman"/>
          <w:lang w:val="ro-MD"/>
        </w:rPr>
        <w:t>art. 75-87</w:t>
      </w:r>
      <w:r w:rsidRPr="000508B6">
        <w:rPr>
          <w:rFonts w:ascii="Times New Roman" w:hAnsi="Times New Roman" w:cs="Times New Roman"/>
          <w:lang w:val="ro-MD"/>
        </w:rPr>
        <w:t xml:space="preserve">. </w:t>
      </w:r>
    </w:p>
    <w:p w14:paraId="1CE1B4AB" w14:textId="71DAADCE"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decide să nu consulte membrii colegiului supraveghetorilor în cazul în care acest lucru periclitează aplicarea deciziei adoptate sau în cazuri de </w:t>
      </w:r>
      <w:proofErr w:type="spellStart"/>
      <w:r w:rsidRPr="000508B6">
        <w:rPr>
          <w:rFonts w:ascii="Times New Roman" w:hAnsi="Times New Roman" w:cs="Times New Roman"/>
          <w:lang w:val="ro-MD"/>
        </w:rPr>
        <w:t>urgenţă</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îi informează imediat despre </w:t>
      </w:r>
      <w:proofErr w:type="spellStart"/>
      <w:r w:rsidRPr="000508B6">
        <w:rPr>
          <w:rFonts w:ascii="Times New Roman" w:hAnsi="Times New Roman" w:cs="Times New Roman"/>
          <w:lang w:val="ro-MD"/>
        </w:rPr>
        <w:t>situaţia</w:t>
      </w:r>
      <w:proofErr w:type="spellEnd"/>
      <w:r w:rsidRPr="000508B6">
        <w:rPr>
          <w:rFonts w:ascii="Times New Roman" w:hAnsi="Times New Roman" w:cs="Times New Roman"/>
          <w:lang w:val="ro-MD"/>
        </w:rPr>
        <w:t xml:space="preserve"> respectivă</w:t>
      </w:r>
      <w:r w:rsidR="00401A03" w:rsidRPr="000508B6">
        <w:rPr>
          <w:rFonts w:ascii="Times New Roman" w:hAnsi="Times New Roman" w:cs="Times New Roman"/>
          <w:lang w:val="ro-MD"/>
        </w:rPr>
        <w:t xml:space="preserve">. Pentru </w:t>
      </w:r>
      <w:proofErr w:type="spellStart"/>
      <w:r w:rsidRPr="000508B6">
        <w:rPr>
          <w:rFonts w:ascii="Times New Roman" w:hAnsi="Times New Roman" w:cs="Times New Roman"/>
          <w:lang w:val="ro-MD"/>
        </w:rPr>
        <w:t>situaţiile</w:t>
      </w:r>
      <w:proofErr w:type="spellEnd"/>
      <w:r w:rsidRPr="000508B6">
        <w:rPr>
          <w:rFonts w:ascii="Times New Roman" w:hAnsi="Times New Roman" w:cs="Times New Roman"/>
          <w:lang w:val="ro-MD"/>
        </w:rPr>
        <w:t xml:space="preserve"> prevăzute la alin. (3) lit. b)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 Banca Națională a Moldovei se consultă întotdeauna cu supraveghetorul grupului. </w:t>
      </w:r>
    </w:p>
    <w:p w14:paraId="19DCC709" w14:textId="293503AC"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Schimbul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efectuat conform prezentului articol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atunci când este cazul, conform prevederilor </w:t>
      </w:r>
      <w:proofErr w:type="spellStart"/>
      <w:r w:rsidRPr="000508B6">
        <w:rPr>
          <w:rFonts w:ascii="Times New Roman" w:hAnsi="Times New Roman" w:cs="Times New Roman"/>
          <w:lang w:val="ro-MD"/>
        </w:rPr>
        <w:t>legislaţiei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naţionale</w:t>
      </w:r>
      <w:proofErr w:type="spellEnd"/>
      <w:r w:rsidRPr="000508B6">
        <w:rPr>
          <w:rFonts w:ascii="Times New Roman" w:hAnsi="Times New Roman" w:cs="Times New Roman"/>
          <w:lang w:val="ro-MD"/>
        </w:rPr>
        <w:t xml:space="preserve"> care reglementează </w:t>
      </w:r>
      <w:r w:rsidR="005621DE" w:rsidRPr="000508B6">
        <w:rPr>
          <w:rFonts w:ascii="Times New Roman" w:hAnsi="Times New Roman" w:cs="Times New Roman"/>
          <w:lang w:val="ro-MD"/>
        </w:rPr>
        <w:t xml:space="preserve">asigurătorii sau </w:t>
      </w:r>
      <w:proofErr w:type="spellStart"/>
      <w:r w:rsidR="005621DE" w:rsidRPr="000508B6">
        <w:rPr>
          <w:rFonts w:ascii="Times New Roman" w:hAnsi="Times New Roman" w:cs="Times New Roman"/>
          <w:lang w:val="ro-MD"/>
        </w:rPr>
        <w:t>reasigurătorii</w:t>
      </w:r>
      <w:proofErr w:type="spellEnd"/>
      <w:r w:rsidR="005621DE" w:rsidRPr="000508B6">
        <w:rPr>
          <w:rFonts w:ascii="Times New Roman" w:hAnsi="Times New Roman" w:cs="Times New Roman"/>
          <w:lang w:val="ro-MD"/>
        </w:rPr>
        <w:t xml:space="preserve"> aflați </w:t>
      </w:r>
      <w:r w:rsidRPr="000508B6">
        <w:rPr>
          <w:rFonts w:ascii="Times New Roman" w:hAnsi="Times New Roman" w:cs="Times New Roman"/>
          <w:lang w:val="ro-MD"/>
        </w:rPr>
        <w:t xml:space="preserve">în dificultate, insolvabilitate, dizolvare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lichidare voluntară este supus prevederilor art. </w:t>
      </w:r>
      <w:r w:rsidR="00563CFB" w:rsidRPr="000508B6">
        <w:rPr>
          <w:rFonts w:ascii="Times New Roman" w:hAnsi="Times New Roman" w:cs="Times New Roman"/>
          <w:lang w:val="ro-MD"/>
        </w:rPr>
        <w:t>196</w:t>
      </w:r>
      <w:r w:rsidRPr="000508B6">
        <w:rPr>
          <w:rFonts w:ascii="Times New Roman" w:hAnsi="Times New Roman" w:cs="Times New Roman"/>
          <w:lang w:val="ro-MD"/>
        </w:rPr>
        <w:t xml:space="preserve">. </w:t>
      </w:r>
    </w:p>
    <w:p w14:paraId="45CC769E" w14:textId="12CEF90C"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Persoanele fizice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juridice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r w:rsidR="003B1288" w:rsidRPr="000508B6">
        <w:rPr>
          <w:rFonts w:ascii="Times New Roman" w:hAnsi="Times New Roman" w:cs="Times New Roman"/>
          <w:lang w:val="ro-MD"/>
        </w:rPr>
        <w:t xml:space="preserve">entitățile </w:t>
      </w:r>
      <w:r w:rsidRPr="000508B6">
        <w:rPr>
          <w:rFonts w:ascii="Times New Roman" w:hAnsi="Times New Roman" w:cs="Times New Roman"/>
          <w:lang w:val="ro-MD"/>
        </w:rPr>
        <w:t xml:space="preserve">afiliate sau participative ale acestora efectuează schimb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cu Banca Națională a Moldovei care au </w:t>
      </w:r>
      <w:proofErr w:type="spellStart"/>
      <w:r w:rsidRPr="000508B6">
        <w:rPr>
          <w:rFonts w:ascii="Times New Roman" w:hAnsi="Times New Roman" w:cs="Times New Roman"/>
          <w:lang w:val="ro-MD"/>
        </w:rPr>
        <w:t>relevanţă</w:t>
      </w:r>
      <w:proofErr w:type="spellEnd"/>
      <w:r w:rsidRPr="000508B6">
        <w:rPr>
          <w:rFonts w:ascii="Times New Roman" w:hAnsi="Times New Roman" w:cs="Times New Roman"/>
          <w:lang w:val="ro-MD"/>
        </w:rPr>
        <w:t xml:space="preserve"> pentru realizarea obiectivelor supravegherii la nivel de grup.  </w:t>
      </w:r>
    </w:p>
    <w:p w14:paraId="4FEF56C7" w14:textId="25B7AF5B"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lastRenderedPageBreak/>
        <w:t xml:space="preserve">Banca Națională a Moldovei are acces la toate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pe care le consideră necesare în vederea supravegherii, indiferent de natura </w:t>
      </w:r>
      <w:proofErr w:type="spellStart"/>
      <w:r w:rsidRPr="000508B6">
        <w:rPr>
          <w:rFonts w:ascii="Times New Roman" w:hAnsi="Times New Roman" w:cs="Times New Roman"/>
          <w:lang w:val="ro-MD"/>
        </w:rPr>
        <w:t>entităţii</w:t>
      </w:r>
      <w:proofErr w:type="spellEnd"/>
      <w:r w:rsidRPr="000508B6">
        <w:rPr>
          <w:rFonts w:ascii="Times New Roman" w:hAnsi="Times New Roman" w:cs="Times New Roman"/>
          <w:lang w:val="ro-MD"/>
        </w:rPr>
        <w:t xml:space="preserve"> căreia i le solicită, prevederile art.</w:t>
      </w:r>
      <w:r w:rsidR="00E30A98" w:rsidRPr="000508B6">
        <w:rPr>
          <w:rFonts w:ascii="Times New Roman" w:hAnsi="Times New Roman" w:cs="Times New Roman"/>
          <w:lang w:val="ro-MD"/>
        </w:rPr>
        <w:t xml:space="preserve"> </w:t>
      </w:r>
      <w:r w:rsidR="005E173A" w:rsidRPr="000508B6">
        <w:rPr>
          <w:rFonts w:ascii="Times New Roman" w:hAnsi="Times New Roman" w:cs="Times New Roman"/>
          <w:lang w:val="ro-MD"/>
        </w:rPr>
        <w:t>179 alin. (1)-(6)</w:t>
      </w:r>
      <w:r w:rsidR="00210127" w:rsidRPr="000508B6">
        <w:rPr>
          <w:rFonts w:ascii="Times New Roman" w:hAnsi="Times New Roman" w:cs="Times New Roman"/>
          <w:lang w:val="ro-MD"/>
        </w:rPr>
        <w:t xml:space="preserve"> </w:t>
      </w:r>
      <w:r w:rsidRPr="000508B6">
        <w:rPr>
          <w:rFonts w:ascii="Times New Roman" w:hAnsi="Times New Roman" w:cs="Times New Roman"/>
          <w:lang w:val="ro-MD"/>
        </w:rPr>
        <w:t xml:space="preserve">aplicându-se în mod corespunzător.  </w:t>
      </w:r>
    </w:p>
    <w:p w14:paraId="2BE0DFCB" w14:textId="38B8D45C" w:rsidR="00AC4E00" w:rsidRPr="000508B6" w:rsidRDefault="00AC4E00" w:rsidP="00CF5AFA">
      <w:pPr>
        <w:pStyle w:val="Listparagraf"/>
        <w:numPr>
          <w:ilvl w:val="0"/>
          <w:numId w:val="85"/>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se poate adresa direct </w:t>
      </w:r>
      <w:r w:rsidR="00B43BCC" w:rsidRPr="000508B6">
        <w:rPr>
          <w:rFonts w:ascii="Times New Roman" w:hAnsi="Times New Roman" w:cs="Times New Roman"/>
          <w:lang w:val="ro-MD"/>
        </w:rPr>
        <w:t>entităților</w:t>
      </w:r>
      <w:r w:rsidR="001875C0"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w:t>
      </w:r>
      <w:proofErr w:type="spellStart"/>
      <w:r w:rsidRPr="000508B6">
        <w:rPr>
          <w:rFonts w:ascii="Times New Roman" w:hAnsi="Times New Roman" w:cs="Times New Roman"/>
          <w:lang w:val="ro-MD"/>
        </w:rPr>
        <w:t>aparţin</w:t>
      </w:r>
      <w:proofErr w:type="spellEnd"/>
      <w:r w:rsidRPr="000508B6">
        <w:rPr>
          <w:rFonts w:ascii="Times New Roman" w:hAnsi="Times New Roman" w:cs="Times New Roman"/>
          <w:lang w:val="ro-MD"/>
        </w:rPr>
        <w:t xml:space="preserve"> unui grup în vederea </w:t>
      </w:r>
      <w:proofErr w:type="spellStart"/>
      <w:r w:rsidRPr="000508B6">
        <w:rPr>
          <w:rFonts w:ascii="Times New Roman" w:hAnsi="Times New Roman" w:cs="Times New Roman"/>
          <w:lang w:val="ro-MD"/>
        </w:rPr>
        <w:t>obţinerii</w:t>
      </w:r>
      <w:proofErr w:type="spellEnd"/>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informaţii</w:t>
      </w:r>
      <w:proofErr w:type="spellEnd"/>
      <w:r w:rsidRPr="000508B6">
        <w:rPr>
          <w:rFonts w:ascii="Times New Roman" w:hAnsi="Times New Roman" w:cs="Times New Roman"/>
          <w:lang w:val="ro-MD"/>
        </w:rPr>
        <w:t xml:space="preserve"> în cazul în care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respective au fost deja solicitate </w:t>
      </w:r>
      <w:r w:rsidR="005621DE" w:rsidRPr="000508B6">
        <w:rPr>
          <w:rFonts w:ascii="Times New Roman" w:hAnsi="Times New Roman" w:cs="Times New Roman"/>
          <w:lang w:val="ro-MD"/>
        </w:rPr>
        <w:t xml:space="preserve">asigurătorilor sau </w:t>
      </w:r>
      <w:proofErr w:type="spellStart"/>
      <w:r w:rsidR="005621DE" w:rsidRPr="000508B6">
        <w:rPr>
          <w:rFonts w:ascii="Times New Roman" w:hAnsi="Times New Roman" w:cs="Times New Roman"/>
          <w:lang w:val="ro-MD"/>
        </w:rPr>
        <w:t>reasigurătorilor</w:t>
      </w:r>
      <w:proofErr w:type="spellEnd"/>
      <w:r w:rsidR="005621DE" w:rsidRPr="000508B6">
        <w:rPr>
          <w:rFonts w:ascii="Times New Roman" w:hAnsi="Times New Roman" w:cs="Times New Roman"/>
          <w:lang w:val="ro-MD"/>
        </w:rPr>
        <w:t xml:space="preserve"> supuși </w:t>
      </w:r>
      <w:r w:rsidRPr="000508B6">
        <w:rPr>
          <w:rFonts w:ascii="Times New Roman" w:hAnsi="Times New Roman" w:cs="Times New Roman"/>
          <w:lang w:val="ro-MD"/>
        </w:rPr>
        <w:t xml:space="preserve">supravegherii de grup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nu au fost transmise în termenul solicitat. </w:t>
      </w:r>
    </w:p>
    <w:p w14:paraId="2DE02F55" w14:textId="794DCCDB" w:rsidR="00594AA3" w:rsidRPr="000508B6" w:rsidRDefault="00D068AA" w:rsidP="00E30A98">
      <w:pPr>
        <w:pStyle w:val="Listparagraf"/>
        <w:numPr>
          <w:ilvl w:val="0"/>
          <w:numId w:val="85"/>
        </w:numPr>
        <w:tabs>
          <w:tab w:val="left" w:pos="709"/>
          <w:tab w:val="left" w:pos="993"/>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594AA3" w:rsidRPr="000508B6">
        <w:rPr>
          <w:rFonts w:ascii="Times New Roman" w:hAnsi="Times New Roman" w:cs="Times New Roman"/>
          <w:lang w:val="ro-MD"/>
        </w:rPr>
        <w:t xml:space="preserve"> participativ, holdingul de asigurare și holdingul financiar mixt transmit anual Băncii Naționale a Moldovei informațiile menționate la alin. (6)-(8) în termen de 22 de săptămâni de la </w:t>
      </w:r>
      <w:r w:rsidR="004045CD" w:rsidRPr="000508B6">
        <w:rPr>
          <w:rFonts w:ascii="Times New Roman" w:hAnsi="Times New Roman" w:cs="Times New Roman"/>
          <w:lang w:val="ro-MD"/>
        </w:rPr>
        <w:t xml:space="preserve">încheierea </w:t>
      </w:r>
      <w:r w:rsidR="00594AA3" w:rsidRPr="000508B6">
        <w:rPr>
          <w:rFonts w:ascii="Times New Roman" w:hAnsi="Times New Roman" w:cs="Times New Roman"/>
          <w:lang w:val="ro-MD"/>
        </w:rPr>
        <w:t xml:space="preserve">exercițiului financiar al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594AA3" w:rsidRPr="000508B6">
        <w:rPr>
          <w:rFonts w:ascii="Times New Roman" w:hAnsi="Times New Roman" w:cs="Times New Roman"/>
          <w:lang w:val="ro-MD"/>
        </w:rPr>
        <w:t xml:space="preserve"> </w:t>
      </w:r>
      <w:r w:rsidR="005B3849" w:rsidRPr="000508B6">
        <w:rPr>
          <w:rFonts w:ascii="Times New Roman" w:hAnsi="Times New Roman" w:cs="Times New Roman"/>
          <w:lang w:val="ro-MD"/>
        </w:rPr>
        <w:t>iar</w:t>
      </w:r>
      <w:r w:rsidR="00594AA3" w:rsidRPr="000508B6">
        <w:rPr>
          <w:rFonts w:ascii="Times New Roman" w:hAnsi="Times New Roman" w:cs="Times New Roman"/>
          <w:lang w:val="ro-MD"/>
        </w:rPr>
        <w:t xml:space="preserve">, în cazul în care </w:t>
      </w:r>
      <w:r w:rsidR="005B3849" w:rsidRPr="000508B6">
        <w:rPr>
          <w:rFonts w:ascii="Times New Roman" w:hAnsi="Times New Roman" w:cs="Times New Roman"/>
          <w:lang w:val="ro-MD"/>
        </w:rPr>
        <w:t xml:space="preserve">aceste </w:t>
      </w:r>
      <w:r w:rsidR="00594AA3" w:rsidRPr="000508B6">
        <w:rPr>
          <w:rFonts w:ascii="Times New Roman" w:hAnsi="Times New Roman" w:cs="Times New Roman"/>
          <w:lang w:val="ro-MD"/>
        </w:rPr>
        <w:t xml:space="preserve">informații </w:t>
      </w:r>
      <w:r w:rsidR="00B43BCC" w:rsidRPr="000508B6">
        <w:rPr>
          <w:rFonts w:ascii="Times New Roman" w:hAnsi="Times New Roman" w:cs="Times New Roman"/>
          <w:lang w:val="ro-MD"/>
        </w:rPr>
        <w:t xml:space="preserve">sunt </w:t>
      </w:r>
      <w:r w:rsidR="00594AA3" w:rsidRPr="000508B6">
        <w:rPr>
          <w:rFonts w:ascii="Times New Roman" w:hAnsi="Times New Roman" w:cs="Times New Roman"/>
          <w:lang w:val="ro-MD"/>
        </w:rPr>
        <w:t xml:space="preserve">solicitate trimestrial, în termen de 11 săptămâni de la </w:t>
      </w:r>
      <w:r w:rsidR="00CE65CA" w:rsidRPr="000508B6">
        <w:rPr>
          <w:rFonts w:ascii="Times New Roman" w:hAnsi="Times New Roman" w:cs="Times New Roman"/>
          <w:lang w:val="ro-MD"/>
        </w:rPr>
        <w:t xml:space="preserve">încheierea </w:t>
      </w:r>
      <w:r w:rsidR="00594AA3" w:rsidRPr="000508B6">
        <w:rPr>
          <w:rFonts w:ascii="Times New Roman" w:hAnsi="Times New Roman" w:cs="Times New Roman"/>
          <w:lang w:val="ro-MD"/>
        </w:rPr>
        <w:t>fiecărui trimestru.</w:t>
      </w:r>
    </w:p>
    <w:p w14:paraId="6CF63DDE" w14:textId="68A559B2" w:rsidR="00AC4E00" w:rsidRPr="000508B6" w:rsidRDefault="00AC4E00" w:rsidP="00D037C3">
      <w:pPr>
        <w:pStyle w:val="Listparagraf"/>
        <w:numPr>
          <w:ilvl w:val="0"/>
          <w:numId w:val="8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poate efectua pe teritoriul Republicii Moldova, fie prin personal propriu, fie prin persoane delegate, verificarea </w:t>
      </w:r>
      <w:proofErr w:type="spellStart"/>
      <w:r w:rsidRPr="000508B6">
        <w:rPr>
          <w:rFonts w:ascii="Times New Roman" w:hAnsi="Times New Roman" w:cs="Times New Roman"/>
          <w:lang w:val="ro-MD"/>
        </w:rPr>
        <w:t>informaţiilor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(6) - (</w:t>
      </w:r>
      <w:r w:rsidR="006665DC" w:rsidRPr="000508B6">
        <w:rPr>
          <w:rFonts w:ascii="Times New Roman" w:hAnsi="Times New Roman" w:cs="Times New Roman"/>
          <w:lang w:val="ro-MD"/>
        </w:rPr>
        <w:t>9</w:t>
      </w:r>
      <w:r w:rsidRPr="000508B6">
        <w:rPr>
          <w:rFonts w:ascii="Times New Roman" w:hAnsi="Times New Roman" w:cs="Times New Roman"/>
          <w:lang w:val="ro-MD"/>
        </w:rPr>
        <w:t xml:space="preserve">) la sediul următoarelor </w:t>
      </w:r>
      <w:proofErr w:type="spellStart"/>
      <w:r w:rsidRPr="000508B6">
        <w:rPr>
          <w:rFonts w:ascii="Times New Roman" w:hAnsi="Times New Roman" w:cs="Times New Roman"/>
          <w:lang w:val="ro-MD"/>
        </w:rPr>
        <w:t>entităţi</w:t>
      </w:r>
      <w:proofErr w:type="spellEnd"/>
      <w:r w:rsidRPr="000508B6">
        <w:rPr>
          <w:rFonts w:ascii="Times New Roman" w:hAnsi="Times New Roman" w:cs="Times New Roman"/>
          <w:lang w:val="ro-MD"/>
        </w:rPr>
        <w:t>:</w:t>
      </w:r>
    </w:p>
    <w:p w14:paraId="3DB066A8" w14:textId="30B1667D" w:rsidR="00AC4E00" w:rsidRPr="000508B6" w:rsidRDefault="00AC4E00" w:rsidP="00D037C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 a) </w:t>
      </w:r>
      <w:r w:rsidR="00B43BCC" w:rsidRPr="000508B6">
        <w:rPr>
          <w:rFonts w:ascii="Times New Roman" w:hAnsi="Times New Roman" w:cs="Times New Roman"/>
          <w:lang w:val="ro-MD"/>
        </w:rPr>
        <w:t>asigurătorul</w:t>
      </w:r>
      <w:r w:rsidR="00981ADF" w:rsidRPr="000508B6">
        <w:rPr>
          <w:rFonts w:ascii="Times New Roman" w:hAnsi="Times New Roman" w:cs="Times New Roman"/>
          <w:lang w:val="ro-MD"/>
        </w:rPr>
        <w:t>ui</w:t>
      </w:r>
      <w:r w:rsidR="00B43BCC" w:rsidRPr="000508B6">
        <w:rPr>
          <w:rFonts w:ascii="Times New Roman" w:hAnsi="Times New Roman" w:cs="Times New Roman"/>
          <w:lang w:val="ro-MD"/>
        </w:rPr>
        <w:t xml:space="preserve"> sau </w:t>
      </w:r>
      <w:proofErr w:type="spellStart"/>
      <w:r w:rsidR="00B43BCC" w:rsidRPr="000508B6">
        <w:rPr>
          <w:rFonts w:ascii="Times New Roman" w:hAnsi="Times New Roman" w:cs="Times New Roman"/>
          <w:lang w:val="ro-MD"/>
        </w:rPr>
        <w:t>reasiurătorul</w:t>
      </w:r>
      <w:r w:rsidR="00981ADF" w:rsidRPr="000508B6">
        <w:rPr>
          <w:rFonts w:ascii="Times New Roman" w:hAnsi="Times New Roman" w:cs="Times New Roman"/>
          <w:lang w:val="ro-MD"/>
        </w:rPr>
        <w:t>ui</w:t>
      </w:r>
      <w:proofErr w:type="spellEnd"/>
      <w:r w:rsidR="00B43BCC" w:rsidRPr="000508B6">
        <w:rPr>
          <w:rFonts w:ascii="Times New Roman" w:hAnsi="Times New Roman" w:cs="Times New Roman"/>
          <w:lang w:val="ro-MD"/>
        </w:rPr>
        <w:t xml:space="preserve"> </w:t>
      </w:r>
      <w:r w:rsidRPr="000508B6">
        <w:rPr>
          <w:rFonts w:ascii="Times New Roman" w:hAnsi="Times New Roman" w:cs="Times New Roman"/>
          <w:lang w:val="ro-MD"/>
        </w:rPr>
        <w:t xml:space="preserve">care intră sub </w:t>
      </w:r>
      <w:proofErr w:type="spellStart"/>
      <w:r w:rsidRPr="000508B6">
        <w:rPr>
          <w:rFonts w:ascii="Times New Roman" w:hAnsi="Times New Roman" w:cs="Times New Roman"/>
          <w:lang w:val="ro-MD"/>
        </w:rPr>
        <w:t>incidenţa</w:t>
      </w:r>
      <w:proofErr w:type="spellEnd"/>
      <w:r w:rsidRPr="000508B6">
        <w:rPr>
          <w:rFonts w:ascii="Times New Roman" w:hAnsi="Times New Roman" w:cs="Times New Roman"/>
          <w:lang w:val="ro-MD"/>
        </w:rPr>
        <w:t xml:space="preserve"> supravegherii de grup; </w:t>
      </w:r>
    </w:p>
    <w:p w14:paraId="335F225C" w14:textId="3F4A0164" w:rsidR="00AC4E00" w:rsidRPr="000508B6" w:rsidRDefault="00AC4E00" w:rsidP="00D037C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 b)</w:t>
      </w:r>
      <w:r w:rsidRPr="000508B6" w:rsidDel="001C2C92">
        <w:rPr>
          <w:rFonts w:ascii="Times New Roman" w:hAnsi="Times New Roman" w:cs="Times New Roman"/>
          <w:lang w:val="ro-MD"/>
        </w:rPr>
        <w:t xml:space="preserve"> </w:t>
      </w:r>
      <w:r w:rsidR="001C2C92" w:rsidRPr="000508B6">
        <w:rPr>
          <w:rFonts w:ascii="Times New Roman" w:hAnsi="Times New Roman" w:cs="Times New Roman"/>
          <w:lang w:val="ro-MD"/>
        </w:rPr>
        <w:t>entități</w:t>
      </w:r>
      <w:r w:rsidR="00981ADF" w:rsidRPr="000508B6">
        <w:rPr>
          <w:rFonts w:ascii="Times New Roman" w:hAnsi="Times New Roman" w:cs="Times New Roman"/>
          <w:lang w:val="ro-MD"/>
        </w:rPr>
        <w:t>i</w:t>
      </w:r>
      <w:r w:rsidR="001C2C92" w:rsidRPr="000508B6">
        <w:rPr>
          <w:rFonts w:ascii="Times New Roman" w:hAnsi="Times New Roman" w:cs="Times New Roman"/>
          <w:lang w:val="ro-MD"/>
        </w:rPr>
        <w:t xml:space="preserve"> </w:t>
      </w:r>
      <w:r w:rsidRPr="000508B6">
        <w:rPr>
          <w:rFonts w:ascii="Times New Roman" w:hAnsi="Times New Roman" w:cs="Times New Roman"/>
          <w:lang w:val="ro-MD"/>
        </w:rPr>
        <w:t xml:space="preserve">afiliate </w:t>
      </w:r>
      <w:r w:rsidR="00B43BCC" w:rsidRPr="000508B6">
        <w:rPr>
          <w:rFonts w:ascii="Times New Roman" w:hAnsi="Times New Roman" w:cs="Times New Roman"/>
          <w:lang w:val="ro-MD"/>
        </w:rPr>
        <w:t xml:space="preserve">asigurătorului sau </w:t>
      </w:r>
      <w:proofErr w:type="spellStart"/>
      <w:r w:rsidR="00B43BCC" w:rsidRPr="000508B6">
        <w:rPr>
          <w:rFonts w:ascii="Times New Roman" w:hAnsi="Times New Roman" w:cs="Times New Roman"/>
          <w:lang w:val="ro-MD"/>
        </w:rPr>
        <w:t>reasigurătorului</w:t>
      </w:r>
      <w:proofErr w:type="spellEnd"/>
      <w:r w:rsidR="00B43BCC" w:rsidRPr="000508B6">
        <w:rPr>
          <w:rFonts w:ascii="Times New Roman" w:hAnsi="Times New Roman" w:cs="Times New Roman"/>
          <w:lang w:val="ro-MD"/>
        </w:rPr>
        <w:t xml:space="preserve"> </w:t>
      </w:r>
      <w:r w:rsidRPr="000508B6">
        <w:rPr>
          <w:rFonts w:ascii="Times New Roman" w:hAnsi="Times New Roman" w:cs="Times New Roman"/>
          <w:lang w:val="ro-MD"/>
        </w:rPr>
        <w:t>prevăzut la lit. a);</w:t>
      </w:r>
    </w:p>
    <w:p w14:paraId="63B5E967" w14:textId="36A06AE4" w:rsidR="00AC4E00" w:rsidRPr="000508B6" w:rsidRDefault="00AC4E00" w:rsidP="00D037C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 c) societ</w:t>
      </w:r>
      <w:r w:rsidR="00981ADF" w:rsidRPr="000508B6">
        <w:rPr>
          <w:rFonts w:ascii="Times New Roman" w:hAnsi="Times New Roman" w:cs="Times New Roman"/>
          <w:lang w:val="ro-MD"/>
        </w:rPr>
        <w:t>ății</w:t>
      </w:r>
      <w:r w:rsidRPr="000508B6">
        <w:rPr>
          <w:rFonts w:ascii="Times New Roman" w:hAnsi="Times New Roman" w:cs="Times New Roman"/>
          <w:lang w:val="ro-MD"/>
        </w:rPr>
        <w:t xml:space="preserve">-mamă a </w:t>
      </w:r>
      <w:r w:rsidR="00B43BCC" w:rsidRPr="000508B6">
        <w:rPr>
          <w:rFonts w:ascii="Times New Roman" w:hAnsi="Times New Roman" w:cs="Times New Roman"/>
          <w:lang w:val="ro-MD"/>
        </w:rPr>
        <w:t xml:space="preserve">asigurătorului sau </w:t>
      </w:r>
      <w:proofErr w:type="spellStart"/>
      <w:r w:rsidR="00B43BCC" w:rsidRPr="000508B6">
        <w:rPr>
          <w:rFonts w:ascii="Times New Roman" w:hAnsi="Times New Roman" w:cs="Times New Roman"/>
          <w:lang w:val="ro-MD"/>
        </w:rPr>
        <w:t>reasigurătorului</w:t>
      </w:r>
      <w:proofErr w:type="spellEnd"/>
      <w:r w:rsidR="00B43BCC" w:rsidRPr="000508B6">
        <w:rPr>
          <w:rFonts w:ascii="Times New Roman" w:hAnsi="Times New Roman" w:cs="Times New Roman"/>
          <w:lang w:val="ro-MD"/>
        </w:rPr>
        <w:t xml:space="preserve"> </w:t>
      </w:r>
      <w:r w:rsidRPr="000508B6">
        <w:rPr>
          <w:rFonts w:ascii="Times New Roman" w:hAnsi="Times New Roman" w:cs="Times New Roman"/>
          <w:lang w:val="ro-MD"/>
        </w:rPr>
        <w:t xml:space="preserve">prevăzut la lit. a); </w:t>
      </w:r>
    </w:p>
    <w:p w14:paraId="54C80748" w14:textId="64AA6E13" w:rsidR="00AC4E00" w:rsidRPr="000508B6" w:rsidRDefault="00AC4E00" w:rsidP="00D037C3">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d) </w:t>
      </w:r>
      <w:proofErr w:type="spellStart"/>
      <w:r w:rsidRPr="000508B6">
        <w:rPr>
          <w:rFonts w:ascii="Times New Roman" w:hAnsi="Times New Roman" w:cs="Times New Roman"/>
          <w:lang w:val="ro-MD"/>
        </w:rPr>
        <w:t>entităţi</w:t>
      </w:r>
      <w:r w:rsidR="00981ADF" w:rsidRPr="000508B6">
        <w:rPr>
          <w:rFonts w:ascii="Times New Roman" w:hAnsi="Times New Roman" w:cs="Times New Roman"/>
          <w:lang w:val="ro-MD"/>
        </w:rPr>
        <w:t>i</w:t>
      </w:r>
      <w:proofErr w:type="spellEnd"/>
      <w:r w:rsidRPr="000508B6">
        <w:rPr>
          <w:rFonts w:ascii="Times New Roman" w:hAnsi="Times New Roman" w:cs="Times New Roman"/>
          <w:lang w:val="ro-MD"/>
        </w:rPr>
        <w:t xml:space="preserve"> afiliate </w:t>
      </w:r>
      <w:proofErr w:type="spellStart"/>
      <w:r w:rsidRPr="000508B6">
        <w:rPr>
          <w:rFonts w:ascii="Times New Roman" w:hAnsi="Times New Roman" w:cs="Times New Roman"/>
          <w:lang w:val="ro-MD"/>
        </w:rPr>
        <w:t>societăţii</w:t>
      </w:r>
      <w:proofErr w:type="spellEnd"/>
      <w:r w:rsidRPr="000508B6">
        <w:rPr>
          <w:rFonts w:ascii="Times New Roman" w:hAnsi="Times New Roman" w:cs="Times New Roman"/>
          <w:lang w:val="ro-MD"/>
        </w:rPr>
        <w:t xml:space="preserve">-mamă </w:t>
      </w:r>
      <w:r w:rsidR="00B43BCC" w:rsidRPr="000508B6">
        <w:rPr>
          <w:rFonts w:ascii="Times New Roman" w:hAnsi="Times New Roman" w:cs="Times New Roman"/>
          <w:lang w:val="ro-MD"/>
        </w:rPr>
        <w:t xml:space="preserve">a asigurătorului sau </w:t>
      </w:r>
      <w:proofErr w:type="spellStart"/>
      <w:r w:rsidR="00B43BCC" w:rsidRPr="000508B6">
        <w:rPr>
          <w:rFonts w:ascii="Times New Roman" w:hAnsi="Times New Roman" w:cs="Times New Roman"/>
          <w:lang w:val="ro-MD"/>
        </w:rPr>
        <w:t>reasigurătorului</w:t>
      </w:r>
      <w:proofErr w:type="spellEnd"/>
      <w:r w:rsidR="0036220D" w:rsidRPr="000508B6">
        <w:rPr>
          <w:rFonts w:ascii="Times New Roman" w:hAnsi="Times New Roman" w:cs="Times New Roman"/>
          <w:lang w:val="ro-MD"/>
        </w:rPr>
        <w:t xml:space="preserve"> </w:t>
      </w:r>
      <w:r w:rsidRPr="000508B6">
        <w:rPr>
          <w:rFonts w:ascii="Times New Roman" w:hAnsi="Times New Roman" w:cs="Times New Roman"/>
          <w:lang w:val="ro-MD"/>
        </w:rPr>
        <w:t xml:space="preserve">prevăzut la lit. </w:t>
      </w:r>
      <w:r w:rsidR="001C2C92" w:rsidRPr="000508B6">
        <w:rPr>
          <w:rFonts w:ascii="Times New Roman" w:hAnsi="Times New Roman" w:cs="Times New Roman"/>
          <w:lang w:val="ro-MD"/>
        </w:rPr>
        <w:t>a</w:t>
      </w:r>
      <w:r w:rsidRPr="000508B6">
        <w:rPr>
          <w:rFonts w:ascii="Times New Roman" w:hAnsi="Times New Roman" w:cs="Times New Roman"/>
          <w:lang w:val="ro-MD"/>
        </w:rPr>
        <w:t xml:space="preserve">). </w:t>
      </w:r>
    </w:p>
    <w:p w14:paraId="18CC4075" w14:textId="77777777" w:rsidR="00AC4E00" w:rsidRPr="000508B6" w:rsidRDefault="00AC4E00" w:rsidP="00D037C3">
      <w:pPr>
        <w:pStyle w:val="Listparagraf"/>
        <w:numPr>
          <w:ilvl w:val="0"/>
          <w:numId w:val="8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Atunci când Banca Națională a Moldovei consideră necesar să fie verificate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cu privire la o entitate a grupului, reglementată sau nu, stabilită pe teritoriul altui stat membru, transmite supraveghetorului din statul membru respectiv una dintre următoarele solicitări: </w:t>
      </w:r>
    </w:p>
    <w:p w14:paraId="6ED1802C" w14:textId="10053F37" w:rsidR="00AC4E00" w:rsidRPr="000508B6" w:rsidRDefault="00AC4E00" w:rsidP="00E30A98">
      <w:pPr>
        <w:pStyle w:val="Listparagraf"/>
        <w:numPr>
          <w:ilvl w:val="2"/>
          <w:numId w:val="8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de a efectua el </w:t>
      </w:r>
      <w:r w:rsidR="000D4ECA" w:rsidRPr="000508B6">
        <w:rPr>
          <w:rFonts w:ascii="Times New Roman" w:hAnsi="Times New Roman" w:cs="Times New Roman"/>
          <w:lang w:val="ro-MD"/>
        </w:rPr>
        <w:t>însuși</w:t>
      </w:r>
      <w:r w:rsidRPr="000508B6">
        <w:rPr>
          <w:rFonts w:ascii="Times New Roman" w:hAnsi="Times New Roman" w:cs="Times New Roman"/>
          <w:lang w:val="ro-MD"/>
        </w:rPr>
        <w:t xml:space="preserve"> verificarea respectivă; </w:t>
      </w:r>
    </w:p>
    <w:p w14:paraId="762F169C" w14:textId="1DFB80B4" w:rsidR="00AC4E00" w:rsidRPr="000508B6" w:rsidRDefault="00AC4E00" w:rsidP="00E30A98">
      <w:pPr>
        <w:pStyle w:val="Listparagraf"/>
        <w:numPr>
          <w:ilvl w:val="2"/>
          <w:numId w:val="8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de a permite Băncii Naționale a Moldovei să efectueze verificarea direct</w:t>
      </w:r>
      <w:r w:rsidR="001C2C92" w:rsidRPr="000508B6">
        <w:rPr>
          <w:rFonts w:ascii="Times New Roman" w:hAnsi="Times New Roman" w:cs="Times New Roman"/>
          <w:lang w:val="ro-MD"/>
        </w:rPr>
        <w:t xml:space="preserve"> sau</w:t>
      </w:r>
      <w:r w:rsidRPr="000508B6">
        <w:rPr>
          <w:rFonts w:ascii="Times New Roman" w:hAnsi="Times New Roman" w:cs="Times New Roman"/>
          <w:lang w:val="ro-MD"/>
        </w:rPr>
        <w:t xml:space="preserve"> </w:t>
      </w:r>
    </w:p>
    <w:p w14:paraId="28E4C259" w14:textId="6755E120" w:rsidR="00D037C3" w:rsidRPr="000508B6" w:rsidRDefault="00D037C3" w:rsidP="00E30A98">
      <w:pPr>
        <w:pStyle w:val="Listparagraf"/>
        <w:numPr>
          <w:ilvl w:val="2"/>
          <w:numId w:val="87"/>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să participe la verificarea efectuată de supraveghetorul respectiv. </w:t>
      </w:r>
    </w:p>
    <w:p w14:paraId="55B90AAC" w14:textId="0787B23A" w:rsidR="00AC4E00" w:rsidRPr="000508B6" w:rsidRDefault="00AC4E00" w:rsidP="00D037C3">
      <w:pPr>
        <w:pStyle w:val="Listparagraf"/>
        <w:numPr>
          <w:ilvl w:val="0"/>
          <w:numId w:val="8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Banca Națională a Moldovei solicită </w:t>
      </w:r>
      <w:proofErr w:type="spellStart"/>
      <w:r w:rsidRPr="000508B6">
        <w:rPr>
          <w:rFonts w:ascii="Times New Roman" w:hAnsi="Times New Roman" w:cs="Times New Roman"/>
          <w:lang w:val="ro-MD"/>
        </w:rPr>
        <w:t>asistenţa</w:t>
      </w:r>
      <w:proofErr w:type="spellEnd"/>
      <w:r w:rsidRPr="000508B6">
        <w:rPr>
          <w:rFonts w:ascii="Times New Roman" w:hAnsi="Times New Roman" w:cs="Times New Roman"/>
          <w:lang w:val="ro-MD"/>
        </w:rPr>
        <w:t xml:space="preserve"> EIOPA în cazul în care: </w:t>
      </w:r>
    </w:p>
    <w:p w14:paraId="36DB53EF" w14:textId="41144F2B" w:rsidR="00AC4E00" w:rsidRPr="000508B6" w:rsidRDefault="00AC4E00" w:rsidP="00E30A98">
      <w:pPr>
        <w:pStyle w:val="Listparagraf"/>
        <w:numPr>
          <w:ilvl w:val="2"/>
          <w:numId w:val="88"/>
        </w:numPr>
        <w:tabs>
          <w:tab w:val="left" w:pos="709"/>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nu poate participa la verificarea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alin. (</w:t>
      </w:r>
      <w:r w:rsidR="006F460D" w:rsidRPr="000508B6">
        <w:rPr>
          <w:rFonts w:ascii="Times New Roman" w:hAnsi="Times New Roman" w:cs="Times New Roman"/>
          <w:lang w:val="ro-MD"/>
        </w:rPr>
        <w:t>11</w:t>
      </w:r>
      <w:r w:rsidRPr="000508B6">
        <w:rPr>
          <w:rFonts w:ascii="Times New Roman" w:hAnsi="Times New Roman" w:cs="Times New Roman"/>
          <w:lang w:val="ro-MD"/>
        </w:rPr>
        <w:t>);</w:t>
      </w:r>
    </w:p>
    <w:p w14:paraId="172FBD6F" w14:textId="74169A4A" w:rsidR="00AC4E00" w:rsidRPr="000508B6" w:rsidRDefault="00AC4E00" w:rsidP="00E30A98">
      <w:pPr>
        <w:pStyle w:val="Listparagraf"/>
        <w:numPr>
          <w:ilvl w:val="2"/>
          <w:numId w:val="88"/>
        </w:numPr>
        <w:tabs>
          <w:tab w:val="left" w:pos="709"/>
          <w:tab w:val="left" w:pos="851"/>
        </w:tabs>
        <w:spacing w:after="0" w:line="240" w:lineRule="auto"/>
        <w:ind w:left="0" w:firstLine="426"/>
        <w:jc w:val="both"/>
        <w:rPr>
          <w:rFonts w:ascii="Times New Roman" w:hAnsi="Times New Roman" w:cs="Times New Roman"/>
          <w:color w:val="FF0000"/>
          <w:lang w:val="ro-MD"/>
        </w:rPr>
      </w:pPr>
      <w:r w:rsidRPr="000508B6">
        <w:rPr>
          <w:rFonts w:ascii="Times New Roman" w:hAnsi="Times New Roman" w:cs="Times New Roman"/>
          <w:lang w:val="ro-MD"/>
        </w:rPr>
        <w:t xml:space="preserve">supraveghetorul din statul membru respectiv nu </w:t>
      </w:r>
      <w:proofErr w:type="spellStart"/>
      <w:r w:rsidRPr="000508B6">
        <w:rPr>
          <w:rFonts w:ascii="Times New Roman" w:hAnsi="Times New Roman" w:cs="Times New Roman"/>
          <w:lang w:val="ro-MD"/>
        </w:rPr>
        <w:t>acţionează</w:t>
      </w:r>
      <w:proofErr w:type="spellEnd"/>
      <w:r w:rsidRPr="000508B6">
        <w:rPr>
          <w:rFonts w:ascii="Times New Roman" w:hAnsi="Times New Roman" w:cs="Times New Roman"/>
          <w:lang w:val="ro-MD"/>
        </w:rPr>
        <w:t xml:space="preserve"> în urma uneia dintre solicitările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alin. (</w:t>
      </w:r>
      <w:r w:rsidR="006F460D" w:rsidRPr="000508B6">
        <w:rPr>
          <w:rFonts w:ascii="Times New Roman" w:hAnsi="Times New Roman" w:cs="Times New Roman"/>
          <w:lang w:val="ro-MD"/>
        </w:rPr>
        <w:t>11</w:t>
      </w:r>
      <w:r w:rsidRPr="000508B6">
        <w:rPr>
          <w:rFonts w:ascii="Times New Roman" w:hAnsi="Times New Roman" w:cs="Times New Roman"/>
          <w:lang w:val="ro-MD"/>
        </w:rPr>
        <w:t xml:space="preserve">) în termen de două săptămâni. </w:t>
      </w:r>
    </w:p>
    <w:p w14:paraId="1D831B5A" w14:textId="77777777" w:rsidR="00AC4E00" w:rsidRPr="000508B6" w:rsidRDefault="00AC4E00" w:rsidP="00D037C3">
      <w:pPr>
        <w:pStyle w:val="Listparagraf"/>
        <w:numPr>
          <w:ilvl w:val="0"/>
          <w:numId w:val="8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cazul primirii unei solicitări din partea unui supraveghetor dintr-un stat membru de a verifica </w:t>
      </w:r>
      <w:proofErr w:type="spellStart"/>
      <w:r w:rsidRPr="000508B6">
        <w:rPr>
          <w:rFonts w:ascii="Times New Roman" w:hAnsi="Times New Roman" w:cs="Times New Roman"/>
          <w:lang w:val="ro-MD"/>
        </w:rPr>
        <w:t>informaţiile</w:t>
      </w:r>
      <w:proofErr w:type="spellEnd"/>
      <w:r w:rsidRPr="000508B6">
        <w:rPr>
          <w:rFonts w:ascii="Times New Roman" w:hAnsi="Times New Roman" w:cs="Times New Roman"/>
          <w:lang w:val="ro-MD"/>
        </w:rPr>
        <w:t xml:space="preserve"> cu privire la o entitate a unui grup, reglementată sau nu, stabilită pe teritoriul Republicii Moldova, Banca Națională a Moldovei, în limita </w:t>
      </w:r>
      <w:proofErr w:type="spellStart"/>
      <w:r w:rsidRPr="000508B6">
        <w:rPr>
          <w:rFonts w:ascii="Times New Roman" w:hAnsi="Times New Roman" w:cs="Times New Roman"/>
          <w:lang w:val="ro-MD"/>
        </w:rPr>
        <w:t>competenţelor</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informând supraveghetorul coordonator, poate: </w:t>
      </w:r>
    </w:p>
    <w:p w14:paraId="49BCFEDF" w14:textId="77777777"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a) să realizeze verificarea prin personal propriu, prin auditori sau </w:t>
      </w:r>
      <w:proofErr w:type="spellStart"/>
      <w:r w:rsidRPr="000508B6">
        <w:rPr>
          <w:rFonts w:ascii="Times New Roman" w:hAnsi="Times New Roman" w:cs="Times New Roman"/>
          <w:lang w:val="ro-MD"/>
        </w:rPr>
        <w:t>alţi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experţi</w:t>
      </w:r>
      <w:proofErr w:type="spellEnd"/>
      <w:r w:rsidRPr="000508B6">
        <w:rPr>
          <w:rFonts w:ascii="Times New Roman" w:hAnsi="Times New Roman" w:cs="Times New Roman"/>
          <w:lang w:val="ro-MD"/>
        </w:rPr>
        <w:t xml:space="preserve">; </w:t>
      </w:r>
    </w:p>
    <w:p w14:paraId="728A8D2C" w14:textId="77777777"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b) să permită supraveghetorului respectiv să efectueze verificarea; </w:t>
      </w:r>
    </w:p>
    <w:p w14:paraId="4856BADC" w14:textId="12FC8C5B" w:rsidR="00AC4E00" w:rsidRPr="000508B6" w:rsidRDefault="00AC4E00" w:rsidP="00AC4E00">
      <w:pPr>
        <w:spacing w:after="0" w:line="240" w:lineRule="auto"/>
        <w:ind w:firstLine="426"/>
        <w:jc w:val="both"/>
        <w:rPr>
          <w:rFonts w:ascii="Times New Roman" w:hAnsi="Times New Roman" w:cs="Times New Roman"/>
          <w:lang w:val="ro-MD"/>
        </w:rPr>
      </w:pPr>
      <w:r w:rsidRPr="000508B6">
        <w:rPr>
          <w:rFonts w:ascii="Times New Roman" w:hAnsi="Times New Roman" w:cs="Times New Roman"/>
          <w:lang w:val="ro-MD"/>
        </w:rPr>
        <w:t xml:space="preserve">c) să permită supraveghetorului respectiv să participe la verificarea efectuată de Banca Națională a Moldovei. </w:t>
      </w:r>
    </w:p>
    <w:p w14:paraId="424B56B9" w14:textId="06FC2AA4" w:rsidR="00AC4E00" w:rsidRPr="000508B6" w:rsidRDefault="00AC4E00" w:rsidP="00CF5AFA">
      <w:pPr>
        <w:pStyle w:val="Listparagraf"/>
        <w:numPr>
          <w:ilvl w:val="0"/>
          <w:numId w:val="85"/>
        </w:numPr>
        <w:tabs>
          <w:tab w:val="left" w:pos="851"/>
        </w:tabs>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scopul asigurării punerii în practică </w:t>
      </w:r>
      <w:r w:rsidR="00C07D6B" w:rsidRPr="000508B6">
        <w:rPr>
          <w:rFonts w:ascii="Times New Roman" w:hAnsi="Times New Roman" w:cs="Times New Roman"/>
          <w:lang w:val="ro-MD"/>
        </w:rPr>
        <w:t xml:space="preserve">și eficienței </w:t>
      </w:r>
      <w:r w:rsidRPr="000508B6">
        <w:rPr>
          <w:rFonts w:ascii="Times New Roman" w:hAnsi="Times New Roman" w:cs="Times New Roman"/>
          <w:lang w:val="ro-MD"/>
        </w:rPr>
        <w:t xml:space="preserve">măsurilor adoptate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a </w:t>
      </w:r>
      <w:proofErr w:type="spellStart"/>
      <w:r w:rsidRPr="000508B6">
        <w:rPr>
          <w:rFonts w:ascii="Times New Roman" w:hAnsi="Times New Roman" w:cs="Times New Roman"/>
          <w:lang w:val="ro-MD"/>
        </w:rPr>
        <w:t>sancţiunilor</w:t>
      </w:r>
      <w:proofErr w:type="spellEnd"/>
      <w:r w:rsidRPr="000508B6">
        <w:rPr>
          <w:rFonts w:ascii="Times New Roman" w:hAnsi="Times New Roman" w:cs="Times New Roman"/>
          <w:lang w:val="ro-MD"/>
        </w:rPr>
        <w:t xml:space="preserve"> impuse în </w:t>
      </w:r>
      <w:proofErr w:type="spellStart"/>
      <w:r w:rsidRPr="000508B6">
        <w:rPr>
          <w:rFonts w:ascii="Times New Roman" w:hAnsi="Times New Roman" w:cs="Times New Roman"/>
          <w:lang w:val="ro-MD"/>
        </w:rPr>
        <w:t>situaţii</w:t>
      </w:r>
      <w:proofErr w:type="spellEnd"/>
      <w:r w:rsidRPr="000508B6">
        <w:rPr>
          <w:rFonts w:ascii="Times New Roman" w:hAnsi="Times New Roman" w:cs="Times New Roman"/>
          <w:lang w:val="ro-MD"/>
        </w:rPr>
        <w:t xml:space="preserve"> similare celor </w:t>
      </w:r>
      <w:proofErr w:type="spellStart"/>
      <w:r w:rsidRPr="000508B6">
        <w:rPr>
          <w:rFonts w:ascii="Times New Roman" w:hAnsi="Times New Roman" w:cs="Times New Roman"/>
          <w:lang w:val="ro-MD"/>
        </w:rPr>
        <w:t>menţionate</w:t>
      </w:r>
      <w:proofErr w:type="spellEnd"/>
      <w:r w:rsidRPr="000508B6">
        <w:rPr>
          <w:rFonts w:ascii="Times New Roman" w:hAnsi="Times New Roman" w:cs="Times New Roman"/>
          <w:lang w:val="ro-MD"/>
        </w:rPr>
        <w:t xml:space="preserve"> la art. </w:t>
      </w:r>
      <w:r w:rsidR="008C57DC" w:rsidRPr="000508B6">
        <w:rPr>
          <w:rFonts w:ascii="Times New Roman" w:hAnsi="Times New Roman" w:cs="Times New Roman"/>
          <w:lang w:val="ro-MD"/>
        </w:rPr>
        <w:t xml:space="preserve">193 </w:t>
      </w:r>
      <w:r w:rsidRPr="000508B6">
        <w:rPr>
          <w:rFonts w:ascii="Times New Roman" w:hAnsi="Times New Roman" w:cs="Times New Roman"/>
          <w:lang w:val="ro-MD"/>
        </w:rPr>
        <w:t>alin. (</w:t>
      </w:r>
      <w:r w:rsidR="00B70051" w:rsidRPr="000508B6">
        <w:rPr>
          <w:rFonts w:ascii="Times New Roman" w:hAnsi="Times New Roman" w:cs="Times New Roman"/>
          <w:lang w:val="ro-MD"/>
        </w:rPr>
        <w:t>29</w:t>
      </w:r>
      <w:r w:rsidRPr="000508B6">
        <w:rPr>
          <w:rFonts w:ascii="Times New Roman" w:hAnsi="Times New Roman" w:cs="Times New Roman"/>
          <w:lang w:val="ro-MD"/>
        </w:rPr>
        <w:t xml:space="preserve">), Banca Națională a Moldovei cooperează cu supraveghetorii </w:t>
      </w:r>
      <w:proofErr w:type="spellStart"/>
      <w:r w:rsidRPr="000508B6">
        <w:rPr>
          <w:rFonts w:ascii="Times New Roman" w:hAnsi="Times New Roman" w:cs="Times New Roman"/>
          <w:lang w:val="ro-MD"/>
        </w:rPr>
        <w:t>implicaţi</w:t>
      </w:r>
      <w:proofErr w:type="spellEnd"/>
      <w:r w:rsidRPr="000508B6">
        <w:rPr>
          <w:rFonts w:ascii="Times New Roman" w:hAnsi="Times New Roman" w:cs="Times New Roman"/>
          <w:lang w:val="ro-MD"/>
        </w:rPr>
        <w:t xml:space="preserve"> în supravegherea unui holding de asigurare sau holding financiar mixt, în special atunci când </w:t>
      </w:r>
      <w:r w:rsidR="00C07D6B" w:rsidRPr="000508B6">
        <w:rPr>
          <w:rFonts w:ascii="Times New Roman" w:hAnsi="Times New Roman" w:cs="Times New Roman"/>
          <w:lang w:val="ro-MD"/>
        </w:rPr>
        <w:t>administrația centrală sau sediul principal nu se află în statul membru în care se află sediul său central.</w:t>
      </w:r>
      <w:r w:rsidRPr="000508B6">
        <w:rPr>
          <w:rFonts w:ascii="Times New Roman" w:hAnsi="Times New Roman" w:cs="Times New Roman"/>
          <w:lang w:val="ro-MD"/>
        </w:rPr>
        <w:t xml:space="preserve"> </w:t>
      </w:r>
    </w:p>
    <w:p w14:paraId="51111C7A" w14:textId="5D081EC9" w:rsidR="00AC4E00" w:rsidRPr="000508B6" w:rsidRDefault="00046C50" w:rsidP="007C4D19">
      <w:pPr>
        <w:pStyle w:val="Listparagraf"/>
        <w:numPr>
          <w:ilvl w:val="0"/>
          <w:numId w:val="85"/>
        </w:numPr>
        <w:tabs>
          <w:tab w:val="left" w:pos="851"/>
        </w:tabs>
        <w:spacing w:after="0" w:line="240" w:lineRule="auto"/>
        <w:ind w:left="0" w:firstLine="426"/>
        <w:jc w:val="both"/>
        <w:rPr>
          <w:rFonts w:ascii="Times New Roman" w:eastAsia="Times New Roman" w:hAnsi="Times New Roman" w:cs="Times New Roman"/>
          <w:b/>
          <w:lang w:val="ro-MD"/>
        </w:rPr>
      </w:pPr>
      <w:r w:rsidRPr="000508B6">
        <w:rPr>
          <w:rFonts w:ascii="Times New Roman" w:hAnsi="Times New Roman" w:cs="Times New Roman"/>
          <w:lang w:val="ro-MD"/>
        </w:rPr>
        <w:t>Banca Națională a Moldovei consultă ceilalți supraveghetori și EIOPA înainte de a lua oricare dintre măsurile menționate la art.</w:t>
      </w:r>
      <w:r w:rsidR="00523BD8" w:rsidRPr="000508B6">
        <w:rPr>
          <w:rFonts w:ascii="Times New Roman" w:hAnsi="Times New Roman" w:cs="Times New Roman"/>
          <w:lang w:val="ro-MD"/>
        </w:rPr>
        <w:t xml:space="preserve">118 </w:t>
      </w:r>
      <w:r w:rsidRPr="000508B6">
        <w:rPr>
          <w:rFonts w:ascii="Times New Roman" w:hAnsi="Times New Roman" w:cs="Times New Roman"/>
          <w:lang w:val="ro-MD"/>
        </w:rPr>
        <w:t>alin. (</w:t>
      </w:r>
      <w:r w:rsidR="00B25FDE" w:rsidRPr="000508B6">
        <w:rPr>
          <w:rFonts w:ascii="Times New Roman" w:hAnsi="Times New Roman" w:cs="Times New Roman"/>
          <w:lang w:val="ro-MD"/>
        </w:rPr>
        <w:t>8</w:t>
      </w:r>
      <w:r w:rsidRPr="000508B6">
        <w:rPr>
          <w:rFonts w:ascii="Times New Roman" w:hAnsi="Times New Roman" w:cs="Times New Roman"/>
          <w:lang w:val="ro-MD"/>
        </w:rPr>
        <w:t xml:space="preserve">), în cazul în care măsurile respective </w:t>
      </w:r>
      <w:r w:rsidR="00950E4D" w:rsidRPr="000508B6">
        <w:rPr>
          <w:rFonts w:ascii="Times New Roman" w:hAnsi="Times New Roman" w:cs="Times New Roman"/>
          <w:lang w:val="ro-MD"/>
        </w:rPr>
        <w:t xml:space="preserve">au efecte asupra mai multor </w:t>
      </w:r>
      <w:r w:rsidR="0006227E" w:rsidRPr="000508B6">
        <w:rPr>
          <w:rFonts w:ascii="Times New Roman" w:hAnsi="Times New Roman" w:cs="Times New Roman"/>
          <w:lang w:val="ro-MD"/>
        </w:rPr>
        <w:t>entități din grup cu sediile centrale</w:t>
      </w:r>
      <w:r w:rsidRPr="000508B6">
        <w:rPr>
          <w:rFonts w:ascii="Times New Roman" w:hAnsi="Times New Roman" w:cs="Times New Roman"/>
          <w:lang w:val="ro-MD"/>
        </w:rPr>
        <w:t xml:space="preserve"> în </w:t>
      </w:r>
      <w:r w:rsidR="00950E4D" w:rsidRPr="000508B6">
        <w:rPr>
          <w:rFonts w:ascii="Times New Roman" w:hAnsi="Times New Roman" w:cs="Times New Roman"/>
          <w:lang w:val="ro-MD"/>
        </w:rPr>
        <w:t xml:space="preserve">alte </w:t>
      </w:r>
      <w:r w:rsidRPr="000508B6">
        <w:rPr>
          <w:rFonts w:ascii="Times New Roman" w:hAnsi="Times New Roman" w:cs="Times New Roman"/>
          <w:lang w:val="ro-MD"/>
        </w:rPr>
        <w:t>state membre.</w:t>
      </w:r>
      <w:r w:rsidRPr="000508B6">
        <w:rPr>
          <w:rFonts w:ascii="Times New Roman" w:hAnsi="Times New Roman" w:cs="Times New Roman"/>
          <w:color w:val="FF0000"/>
          <w:lang w:val="ro-MD"/>
        </w:rPr>
        <w:t xml:space="preserve"> </w:t>
      </w:r>
    </w:p>
    <w:p w14:paraId="37693477" w14:textId="6B7D793E" w:rsidR="004F110E" w:rsidRPr="000508B6" w:rsidRDefault="004F110E" w:rsidP="004F110E">
      <w:pPr>
        <w:spacing w:after="0" w:line="240" w:lineRule="auto"/>
        <w:ind w:firstLine="426"/>
        <w:jc w:val="center"/>
        <w:rPr>
          <w:rFonts w:ascii="Times New Roman" w:hAnsi="Times New Roman" w:cs="Times New Roman"/>
          <w:b/>
          <w:lang w:val="ro-MD"/>
        </w:rPr>
      </w:pPr>
      <w:bookmarkStart w:id="192" w:name="_Hlk220079829"/>
      <w:r w:rsidRPr="000508B6">
        <w:rPr>
          <w:rFonts w:ascii="Times New Roman" w:hAnsi="Times New Roman" w:cs="Times New Roman"/>
          <w:b/>
          <w:lang w:val="ro-MD"/>
        </w:rPr>
        <w:t xml:space="preserve">Secțiunea a </w:t>
      </w:r>
      <w:r w:rsidR="008F3D39" w:rsidRPr="000508B6">
        <w:rPr>
          <w:rFonts w:ascii="Times New Roman" w:hAnsi="Times New Roman" w:cs="Times New Roman"/>
          <w:b/>
          <w:lang w:val="ro-MD"/>
        </w:rPr>
        <w:t>5</w:t>
      </w:r>
      <w:r w:rsidRPr="000508B6">
        <w:rPr>
          <w:rFonts w:ascii="Times New Roman" w:hAnsi="Times New Roman" w:cs="Times New Roman"/>
          <w:b/>
          <w:lang w:val="ro-MD"/>
        </w:rPr>
        <w:t xml:space="preserve">-a </w:t>
      </w:r>
    </w:p>
    <w:p w14:paraId="5A0E7E3D" w14:textId="77777777" w:rsidR="004F110E" w:rsidRPr="000508B6" w:rsidRDefault="004F110E" w:rsidP="004F110E">
      <w:pPr>
        <w:spacing w:after="0" w:line="240" w:lineRule="auto"/>
        <w:ind w:firstLine="426"/>
        <w:jc w:val="center"/>
        <w:rPr>
          <w:rFonts w:ascii="Times New Roman" w:hAnsi="Times New Roman" w:cs="Times New Roman"/>
          <w:b/>
          <w:lang w:val="ro-MD"/>
        </w:rPr>
      </w:pPr>
      <w:r w:rsidRPr="000508B6">
        <w:rPr>
          <w:rFonts w:ascii="Times New Roman" w:hAnsi="Times New Roman" w:cs="Times New Roman"/>
          <w:b/>
          <w:lang w:val="ro-MD"/>
        </w:rPr>
        <w:t>Secretul profesional</w:t>
      </w:r>
    </w:p>
    <w:p w14:paraId="790DCF29" w14:textId="7683B6E2" w:rsidR="004F110E" w:rsidRPr="000508B6" w:rsidRDefault="004F110E" w:rsidP="004F110E">
      <w:pPr>
        <w:spacing w:after="0" w:line="240" w:lineRule="auto"/>
        <w:ind w:firstLine="426"/>
        <w:jc w:val="both"/>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lang w:val="ro-MD"/>
        </w:rPr>
        <w:t>196</w:t>
      </w:r>
      <w:r w:rsidRPr="000508B6">
        <w:rPr>
          <w:rFonts w:ascii="Times New Roman" w:hAnsi="Times New Roman" w:cs="Times New Roman"/>
          <w:b/>
          <w:lang w:val="ro-MD"/>
        </w:rPr>
        <w:t>.</w:t>
      </w:r>
      <w:r w:rsidRPr="000508B6">
        <w:rPr>
          <w:rFonts w:ascii="Times New Roman" w:hAnsi="Times New Roman" w:cs="Times New Roman"/>
          <w:lang w:val="ro-MD"/>
        </w:rPr>
        <w:t xml:space="preserve"> Secretul profesional </w:t>
      </w:r>
    </w:p>
    <w:p w14:paraId="21D15268" w14:textId="134C54A5" w:rsidR="004F110E" w:rsidRPr="000508B6" w:rsidRDefault="00495F9E" w:rsidP="00CF5AFA">
      <w:pPr>
        <w:pStyle w:val="Listparagraf"/>
        <w:numPr>
          <w:ilvl w:val="1"/>
          <w:numId w:val="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Persoanele care desfășoară sau care au desfășurat o activitate în cadrul B</w:t>
      </w:r>
      <w:r w:rsidR="001C25AA" w:rsidRPr="000508B6">
        <w:rPr>
          <w:rFonts w:ascii="Times New Roman" w:eastAsia="Times New Roman" w:hAnsi="Times New Roman" w:cs="Times New Roman"/>
          <w:lang w:val="ro-MD"/>
        </w:rPr>
        <w:t>ă</w:t>
      </w:r>
      <w:r w:rsidRPr="000508B6">
        <w:rPr>
          <w:rFonts w:ascii="Times New Roman" w:eastAsia="Times New Roman" w:hAnsi="Times New Roman" w:cs="Times New Roman"/>
          <w:lang w:val="ro-MD"/>
        </w:rPr>
        <w:t>ncii Na</w:t>
      </w:r>
      <w:r w:rsidR="001C25AA" w:rsidRPr="000508B6">
        <w:rPr>
          <w:rFonts w:ascii="Times New Roman" w:eastAsia="Times New Roman" w:hAnsi="Times New Roman" w:cs="Times New Roman"/>
          <w:lang w:val="ro-MD"/>
        </w:rPr>
        <w:t>ț</w:t>
      </w:r>
      <w:r w:rsidRPr="000508B6">
        <w:rPr>
          <w:rFonts w:ascii="Times New Roman" w:eastAsia="Times New Roman" w:hAnsi="Times New Roman" w:cs="Times New Roman"/>
          <w:lang w:val="ro-MD"/>
        </w:rPr>
        <w:t xml:space="preserve">ionale a Moldovei, precum și auditorii și experții desemnați de aceasta, administratorii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lichidatorii </w:t>
      </w:r>
      <w:r w:rsidR="004F110E" w:rsidRPr="000508B6">
        <w:rPr>
          <w:rFonts w:ascii="Times New Roman" w:eastAsia="Times New Roman" w:hAnsi="Times New Roman" w:cs="Times New Roman"/>
          <w:lang w:val="ro-MD"/>
        </w:rPr>
        <w:t xml:space="preserve">sunt </w:t>
      </w:r>
      <w:proofErr w:type="spellStart"/>
      <w:r w:rsidR="004F110E" w:rsidRPr="000508B6">
        <w:rPr>
          <w:rFonts w:ascii="Times New Roman" w:eastAsia="Times New Roman" w:hAnsi="Times New Roman" w:cs="Times New Roman"/>
          <w:lang w:val="ro-MD"/>
        </w:rPr>
        <w:t>obligaţi</w:t>
      </w:r>
      <w:proofErr w:type="spellEnd"/>
      <w:r w:rsidR="004F110E" w:rsidRPr="000508B6">
        <w:rPr>
          <w:rFonts w:ascii="Times New Roman" w:eastAsia="Times New Roman" w:hAnsi="Times New Roman" w:cs="Times New Roman"/>
          <w:lang w:val="ro-MD"/>
        </w:rPr>
        <w:t xml:space="preserve"> să protejeze </w:t>
      </w:r>
      <w:proofErr w:type="spellStart"/>
      <w:r w:rsidR="004F110E" w:rsidRPr="000508B6">
        <w:rPr>
          <w:rFonts w:ascii="Times New Roman" w:eastAsia="Times New Roman" w:hAnsi="Times New Roman" w:cs="Times New Roman"/>
          <w:lang w:val="ro-MD"/>
        </w:rPr>
        <w:t>confidenţialitatea</w:t>
      </w:r>
      <w:proofErr w:type="spellEnd"/>
      <w:r w:rsidR="004F110E" w:rsidRPr="000508B6">
        <w:rPr>
          <w:rFonts w:ascii="Times New Roman" w:eastAsia="Times New Roman" w:hAnsi="Times New Roman" w:cs="Times New Roman"/>
          <w:lang w:val="ro-MD"/>
        </w:rPr>
        <w:t xml:space="preserve"> tuturor </w:t>
      </w:r>
      <w:proofErr w:type="spellStart"/>
      <w:r w:rsidR="004F110E" w:rsidRPr="000508B6">
        <w:rPr>
          <w:rFonts w:ascii="Times New Roman" w:eastAsia="Times New Roman" w:hAnsi="Times New Roman" w:cs="Times New Roman"/>
          <w:lang w:val="ro-MD"/>
        </w:rPr>
        <w:t>informaţiilor</w:t>
      </w:r>
      <w:proofErr w:type="spellEnd"/>
      <w:r w:rsidR="00207FC4" w:rsidRPr="000508B6">
        <w:rPr>
          <w:rFonts w:ascii="Times New Roman" w:eastAsia="Times New Roman" w:hAnsi="Times New Roman" w:cs="Times New Roman"/>
          <w:lang w:val="ro-MD"/>
        </w:rPr>
        <w:t>.</w:t>
      </w:r>
      <w:r w:rsidR="004F110E" w:rsidRPr="000508B6">
        <w:rPr>
          <w:rFonts w:ascii="Times New Roman" w:eastAsia="Times New Roman" w:hAnsi="Times New Roman" w:cs="Times New Roman"/>
          <w:lang w:val="ro-MD"/>
        </w:rPr>
        <w:t xml:space="preserve"> </w:t>
      </w:r>
    </w:p>
    <w:p w14:paraId="3A3BC7FB" w14:textId="49936CD9" w:rsidR="003835C7" w:rsidRPr="000508B6" w:rsidRDefault="003835C7" w:rsidP="00CF5AFA">
      <w:pPr>
        <w:pStyle w:val="Listparagraf"/>
        <w:numPr>
          <w:ilvl w:val="1"/>
          <w:numId w:val="89"/>
        </w:numPr>
        <w:spacing w:after="0" w:line="240" w:lineRule="auto"/>
        <w:ind w:left="0" w:firstLine="426"/>
        <w:jc w:val="both"/>
        <w:rPr>
          <w:rFonts w:ascii="Times New Roman" w:eastAsia="Times New Roman" w:hAnsi="Times New Roman" w:cs="Times New Roman"/>
          <w:lang w:val="ro-MD"/>
        </w:rPr>
      </w:pPr>
      <w:proofErr w:type="spellStart"/>
      <w:r w:rsidRPr="000508B6">
        <w:rPr>
          <w:rFonts w:ascii="Times New Roman" w:eastAsia="Times New Roman" w:hAnsi="Times New Roman" w:cs="Times New Roman"/>
          <w:lang w:val="ro-MD"/>
        </w:rPr>
        <w:t>Obligaţia</w:t>
      </w:r>
      <w:proofErr w:type="spellEnd"/>
      <w:r w:rsidRPr="000508B6">
        <w:rPr>
          <w:rFonts w:ascii="Times New Roman" w:eastAsia="Times New Roman" w:hAnsi="Times New Roman" w:cs="Times New Roman"/>
          <w:lang w:val="ro-MD"/>
        </w:rPr>
        <w:t xml:space="preserve"> de a proteja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confidenţiale</w:t>
      </w:r>
      <w:proofErr w:type="spellEnd"/>
      <w:r w:rsidRPr="000508B6">
        <w:rPr>
          <w:rFonts w:ascii="Times New Roman" w:eastAsia="Times New Roman" w:hAnsi="Times New Roman" w:cs="Times New Roman"/>
          <w:lang w:val="ro-MD"/>
        </w:rPr>
        <w:t xml:space="preserve"> se aplică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informaţiilor</w:t>
      </w:r>
      <w:proofErr w:type="spellEnd"/>
      <w:r w:rsidRPr="000508B6">
        <w:rPr>
          <w:rFonts w:ascii="Times New Roman" w:eastAsia="Times New Roman" w:hAnsi="Times New Roman" w:cs="Times New Roman"/>
          <w:lang w:val="ro-MD"/>
        </w:rPr>
        <w:t xml:space="preserve"> pe care Banca Națională a Moldovei sau persoanele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w:t>
      </w:r>
      <w:r w:rsidR="00E30A9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(1) le </w:t>
      </w:r>
      <w:proofErr w:type="spellStart"/>
      <w:r w:rsidRPr="000508B6">
        <w:rPr>
          <w:rFonts w:ascii="Times New Roman" w:eastAsia="Times New Roman" w:hAnsi="Times New Roman" w:cs="Times New Roman"/>
          <w:lang w:val="ro-MD"/>
        </w:rPr>
        <w:t>deţin</w:t>
      </w:r>
      <w:proofErr w:type="spellEnd"/>
      <w:r w:rsidRPr="000508B6">
        <w:rPr>
          <w:rFonts w:ascii="Times New Roman" w:eastAsia="Times New Roman" w:hAnsi="Times New Roman" w:cs="Times New Roman"/>
          <w:lang w:val="ro-MD"/>
        </w:rPr>
        <w:t xml:space="preserve"> în urma schimbului de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cu alte </w:t>
      </w:r>
      <w:proofErr w:type="spellStart"/>
      <w:r w:rsidRPr="000508B6">
        <w:rPr>
          <w:rFonts w:ascii="Times New Roman" w:eastAsia="Times New Roman" w:hAnsi="Times New Roman" w:cs="Times New Roman"/>
          <w:lang w:val="ro-MD"/>
        </w:rPr>
        <w:t>autorităţi</w:t>
      </w:r>
      <w:proofErr w:type="spellEnd"/>
      <w:r w:rsidRPr="000508B6">
        <w:rPr>
          <w:rFonts w:ascii="Times New Roman" w:eastAsia="Times New Roman" w:hAnsi="Times New Roman" w:cs="Times New Roman"/>
          <w:lang w:val="ro-MD"/>
        </w:rPr>
        <w:t>.</w:t>
      </w:r>
    </w:p>
    <w:p w14:paraId="765312A8" w14:textId="2807ABA2" w:rsidR="004F110E" w:rsidRPr="000508B6" w:rsidRDefault="004F110E" w:rsidP="00CF5AFA">
      <w:pPr>
        <w:pStyle w:val="Listparagraf"/>
        <w:numPr>
          <w:ilvl w:val="1"/>
          <w:numId w:val="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Persoanele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alin.</w:t>
      </w:r>
      <w:r w:rsidR="00E30A9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(1) nu pot divulga </w:t>
      </w:r>
      <w:proofErr w:type="spellStart"/>
      <w:r w:rsidRPr="000508B6">
        <w:rPr>
          <w:rFonts w:ascii="Times New Roman" w:eastAsia="Times New Roman" w:hAnsi="Times New Roman" w:cs="Times New Roman"/>
          <w:lang w:val="ro-MD"/>
        </w:rPr>
        <w:t>informaţiile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confidenţiale</w:t>
      </w:r>
      <w:proofErr w:type="spellEnd"/>
      <w:r w:rsidRPr="000508B6">
        <w:rPr>
          <w:rFonts w:ascii="Times New Roman" w:eastAsia="Times New Roman" w:hAnsi="Times New Roman" w:cs="Times New Roman"/>
          <w:lang w:val="ro-MD"/>
        </w:rPr>
        <w:t xml:space="preserve"> persoanelor sau </w:t>
      </w:r>
      <w:r w:rsidR="002617D0" w:rsidRPr="000508B6">
        <w:rPr>
          <w:rFonts w:ascii="Times New Roman" w:eastAsia="Times New Roman" w:hAnsi="Times New Roman" w:cs="Times New Roman"/>
          <w:lang w:val="ro-MD"/>
        </w:rPr>
        <w:t>autorităților</w:t>
      </w:r>
      <w:r w:rsidRPr="000508B6">
        <w:rPr>
          <w:rFonts w:ascii="Times New Roman" w:eastAsia="Times New Roman" w:hAnsi="Times New Roman" w:cs="Times New Roman"/>
          <w:lang w:val="ro-MD"/>
        </w:rPr>
        <w:t xml:space="preserve">, cu </w:t>
      </w:r>
      <w:proofErr w:type="spellStart"/>
      <w:r w:rsidRPr="000508B6">
        <w:rPr>
          <w:rFonts w:ascii="Times New Roman" w:eastAsia="Times New Roman" w:hAnsi="Times New Roman" w:cs="Times New Roman"/>
          <w:lang w:val="ro-MD"/>
        </w:rPr>
        <w:t>excepţia</w:t>
      </w:r>
      <w:proofErr w:type="spellEnd"/>
      <w:r w:rsidRPr="000508B6">
        <w:rPr>
          <w:rFonts w:ascii="Times New Roman" w:eastAsia="Times New Roman" w:hAnsi="Times New Roman" w:cs="Times New Roman"/>
          <w:lang w:val="ro-MD"/>
        </w:rPr>
        <w:t xml:space="preserve"> cazului în care aceste </w:t>
      </w:r>
      <w:proofErr w:type="spellStart"/>
      <w:r w:rsidRPr="000508B6">
        <w:rPr>
          <w:rFonts w:ascii="Times New Roman" w:eastAsia="Times New Roman" w:hAnsi="Times New Roman" w:cs="Times New Roman"/>
          <w:lang w:val="ro-MD"/>
        </w:rPr>
        <w:t>informaţii</w:t>
      </w:r>
      <w:proofErr w:type="spellEnd"/>
      <w:r w:rsidRPr="000508B6">
        <w:rPr>
          <w:rFonts w:ascii="Times New Roman" w:eastAsia="Times New Roman" w:hAnsi="Times New Roman" w:cs="Times New Roman"/>
          <w:lang w:val="ro-MD"/>
        </w:rPr>
        <w:t xml:space="preserve"> sunt prezentate într-o formă sintetică sau agregată care nu permite </w:t>
      </w:r>
      <w:proofErr w:type="spellStart"/>
      <w:r w:rsidRPr="000508B6">
        <w:rPr>
          <w:rFonts w:ascii="Times New Roman" w:eastAsia="Times New Roman" w:hAnsi="Times New Roman" w:cs="Times New Roman"/>
          <w:lang w:val="ro-MD"/>
        </w:rPr>
        <w:t>recunoaşterea</w:t>
      </w:r>
      <w:proofErr w:type="spellEnd"/>
      <w:r w:rsidRPr="000508B6">
        <w:rPr>
          <w:rFonts w:ascii="Times New Roman" w:eastAsia="Times New Roman" w:hAnsi="Times New Roman" w:cs="Times New Roman"/>
          <w:lang w:val="ro-MD"/>
        </w:rPr>
        <w:t xml:space="preserve"> </w:t>
      </w:r>
      <w:r w:rsidR="004125E8" w:rsidRPr="000508B6">
        <w:rPr>
          <w:rFonts w:ascii="Times New Roman" w:eastAsia="Times New Roman" w:hAnsi="Times New Roman" w:cs="Times New Roman"/>
          <w:lang w:val="ro-MD"/>
        </w:rPr>
        <w:t xml:space="preserve">asigurătorului sau </w:t>
      </w:r>
      <w:proofErr w:type="spellStart"/>
      <w:r w:rsidR="004125E8" w:rsidRPr="000508B6">
        <w:rPr>
          <w:rFonts w:ascii="Times New Roman" w:eastAsia="Times New Roman" w:hAnsi="Times New Roman" w:cs="Times New Roman"/>
          <w:lang w:val="ro-MD"/>
        </w:rPr>
        <w:t>reasigurătorului</w:t>
      </w:r>
      <w:proofErr w:type="spellEnd"/>
      <w:r w:rsidRPr="000508B6">
        <w:rPr>
          <w:rFonts w:ascii="Times New Roman" w:eastAsia="Times New Roman" w:hAnsi="Times New Roman" w:cs="Times New Roman"/>
          <w:lang w:val="ro-MD"/>
        </w:rPr>
        <w:t xml:space="preserve"> la care se face referire sau a altor cazuri stabilite de </w:t>
      </w:r>
      <w:proofErr w:type="spellStart"/>
      <w:r w:rsidRPr="000508B6">
        <w:rPr>
          <w:rFonts w:ascii="Times New Roman" w:eastAsia="Times New Roman" w:hAnsi="Times New Roman" w:cs="Times New Roman"/>
          <w:lang w:val="ro-MD"/>
        </w:rPr>
        <w:t>legislaţie</w:t>
      </w:r>
      <w:proofErr w:type="spellEnd"/>
      <w:r w:rsidRPr="000508B6">
        <w:rPr>
          <w:rFonts w:ascii="Times New Roman" w:eastAsia="Times New Roman" w:hAnsi="Times New Roman" w:cs="Times New Roman"/>
          <w:lang w:val="ro-MD"/>
        </w:rPr>
        <w:t xml:space="preserve">. </w:t>
      </w:r>
    </w:p>
    <w:p w14:paraId="6BFF9DAE" w14:textId="3209DFD8" w:rsidR="004F110E" w:rsidRPr="000508B6" w:rsidRDefault="004F110E" w:rsidP="00CF5AFA">
      <w:pPr>
        <w:pStyle w:val="Listparagraf"/>
        <w:numPr>
          <w:ilvl w:val="1"/>
          <w:numId w:val="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lastRenderedPageBreak/>
        <w:t xml:space="preserve"> </w:t>
      </w:r>
      <w:r w:rsidR="002B2932" w:rsidRPr="000508B6">
        <w:rPr>
          <w:rFonts w:ascii="Times New Roman" w:eastAsia="Times New Roman" w:hAnsi="Times New Roman" w:cs="Times New Roman"/>
          <w:lang w:val="ro-MD"/>
        </w:rPr>
        <w:t xml:space="preserve">Fără a aduce atingere prevederilor alin. (2), </w:t>
      </w:r>
      <w:proofErr w:type="spellStart"/>
      <w:r w:rsidR="002B2932" w:rsidRPr="000508B6">
        <w:rPr>
          <w:rFonts w:ascii="Times New Roman" w:eastAsia="Times New Roman" w:hAnsi="Times New Roman" w:cs="Times New Roman"/>
          <w:lang w:val="ro-MD"/>
        </w:rPr>
        <w:t>informaţii</w:t>
      </w:r>
      <w:r w:rsidR="00207FC4" w:rsidRPr="000508B6">
        <w:rPr>
          <w:rFonts w:ascii="Times New Roman" w:eastAsia="Times New Roman" w:hAnsi="Times New Roman" w:cs="Times New Roman"/>
          <w:lang w:val="ro-MD"/>
        </w:rPr>
        <w:t>le</w:t>
      </w:r>
      <w:proofErr w:type="spellEnd"/>
      <w:r w:rsidR="002B2932" w:rsidRPr="000508B6">
        <w:rPr>
          <w:rFonts w:ascii="Times New Roman" w:eastAsia="Times New Roman" w:hAnsi="Times New Roman" w:cs="Times New Roman"/>
          <w:lang w:val="ro-MD"/>
        </w:rPr>
        <w:t xml:space="preserve"> </w:t>
      </w:r>
      <w:proofErr w:type="spellStart"/>
      <w:r w:rsidR="002B2932" w:rsidRPr="000508B6">
        <w:rPr>
          <w:rFonts w:ascii="Times New Roman" w:eastAsia="Times New Roman" w:hAnsi="Times New Roman" w:cs="Times New Roman"/>
          <w:lang w:val="ro-MD"/>
        </w:rPr>
        <w:t>confidenţiale</w:t>
      </w:r>
      <w:proofErr w:type="spellEnd"/>
      <w:r w:rsidR="002B2932" w:rsidRPr="000508B6">
        <w:rPr>
          <w:rFonts w:ascii="Times New Roman" w:eastAsia="Times New Roman" w:hAnsi="Times New Roman" w:cs="Times New Roman"/>
          <w:lang w:val="ro-MD"/>
        </w:rPr>
        <w:t xml:space="preserve"> pot fi</w:t>
      </w:r>
      <w:r w:rsidR="00EC6944" w:rsidRPr="000508B6">
        <w:rPr>
          <w:rFonts w:ascii="Times New Roman" w:eastAsia="Times New Roman" w:hAnsi="Times New Roman" w:cs="Times New Roman"/>
          <w:lang w:val="ro-MD"/>
        </w:rPr>
        <w:t xml:space="preserve"> </w:t>
      </w:r>
      <w:r w:rsidR="002B2932" w:rsidRPr="000508B6">
        <w:rPr>
          <w:rFonts w:ascii="Times New Roman" w:eastAsia="Times New Roman" w:hAnsi="Times New Roman" w:cs="Times New Roman"/>
          <w:lang w:val="ro-MD"/>
        </w:rPr>
        <w:t xml:space="preserve">comunicate, în </w:t>
      </w:r>
      <w:proofErr w:type="spellStart"/>
      <w:r w:rsidR="002B2932" w:rsidRPr="000508B6">
        <w:rPr>
          <w:rFonts w:ascii="Times New Roman" w:eastAsia="Times New Roman" w:hAnsi="Times New Roman" w:cs="Times New Roman"/>
          <w:lang w:val="ro-MD"/>
        </w:rPr>
        <w:t>condiţiile</w:t>
      </w:r>
      <w:proofErr w:type="spellEnd"/>
      <w:r w:rsidR="002B2932" w:rsidRPr="000508B6">
        <w:rPr>
          <w:rFonts w:ascii="Times New Roman" w:eastAsia="Times New Roman" w:hAnsi="Times New Roman" w:cs="Times New Roman"/>
          <w:lang w:val="ro-MD"/>
        </w:rPr>
        <w:t xml:space="preserve"> legii, </w:t>
      </w:r>
      <w:r w:rsidR="00D85A0F" w:rsidRPr="000508B6">
        <w:rPr>
          <w:rFonts w:ascii="Times New Roman" w:eastAsia="Times New Roman" w:hAnsi="Times New Roman" w:cs="Times New Roman"/>
          <w:lang w:val="ro-MD"/>
        </w:rPr>
        <w:t>instanțelor de judecată</w:t>
      </w:r>
      <w:r w:rsidR="002B2932" w:rsidRPr="000508B6">
        <w:rPr>
          <w:rFonts w:ascii="Times New Roman" w:eastAsia="Times New Roman" w:hAnsi="Times New Roman" w:cs="Times New Roman"/>
          <w:lang w:val="ro-MD"/>
        </w:rPr>
        <w:t xml:space="preserve"> în timpul procedurilor judiciare, în procedurile de insolvabilitate în cazul în </w:t>
      </w:r>
      <w:r w:rsidR="00EE52EB" w:rsidRPr="000508B6">
        <w:rPr>
          <w:rFonts w:ascii="Times New Roman" w:eastAsia="Times New Roman" w:hAnsi="Times New Roman" w:cs="Times New Roman"/>
          <w:lang w:val="ro-MD"/>
        </w:rPr>
        <w:t xml:space="preserve">care </w:t>
      </w:r>
      <w:r w:rsidR="00D068AA" w:rsidRPr="000508B6">
        <w:rPr>
          <w:rFonts w:ascii="Times New Roman" w:eastAsia="Times New Roman" w:hAnsi="Times New Roman" w:cs="Times New Roman"/>
          <w:lang w:val="ro-MD"/>
        </w:rPr>
        <w:t xml:space="preserve">asigurătorul sau </w:t>
      </w:r>
      <w:proofErr w:type="spellStart"/>
      <w:r w:rsidR="00D068AA" w:rsidRPr="000508B6">
        <w:rPr>
          <w:rFonts w:ascii="Times New Roman" w:eastAsia="Times New Roman" w:hAnsi="Times New Roman" w:cs="Times New Roman"/>
          <w:lang w:val="ro-MD"/>
        </w:rPr>
        <w:t>reasigurătorul</w:t>
      </w:r>
      <w:proofErr w:type="spellEnd"/>
      <w:r w:rsidR="002B2932" w:rsidRPr="000508B6">
        <w:rPr>
          <w:rFonts w:ascii="Times New Roman" w:eastAsia="Times New Roman" w:hAnsi="Times New Roman" w:cs="Times New Roman"/>
          <w:lang w:val="ro-MD"/>
        </w:rPr>
        <w:t xml:space="preserve"> este declarat insolvabil sau în proces de lichidare</w:t>
      </w:r>
      <w:r w:rsidR="005A5210" w:rsidRPr="000508B6">
        <w:rPr>
          <w:rFonts w:ascii="Times New Roman" w:eastAsia="Times New Roman" w:hAnsi="Times New Roman" w:cs="Times New Roman"/>
          <w:lang w:val="ro-MD"/>
        </w:rPr>
        <w:t>.</w:t>
      </w:r>
      <w:r w:rsidR="002B2932" w:rsidRPr="000508B6">
        <w:rPr>
          <w:rFonts w:ascii="Times New Roman" w:eastAsia="Times New Roman" w:hAnsi="Times New Roman" w:cs="Times New Roman"/>
          <w:lang w:val="ro-MD"/>
        </w:rPr>
        <w:t xml:space="preserve">     </w:t>
      </w:r>
    </w:p>
    <w:p w14:paraId="25A4022C" w14:textId="73EA2A44" w:rsidR="00BC2B27" w:rsidRPr="000508B6" w:rsidRDefault="00BC2B27" w:rsidP="007C4D19">
      <w:pPr>
        <w:pStyle w:val="Listparagraf"/>
        <w:numPr>
          <w:ilvl w:val="1"/>
          <w:numId w:val="89"/>
        </w:numPr>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Prin derogare de la prevederile alin. (1) – (3), Banca Națională poate face publice rezultatele testelor de stres efectuate în condițiile art. </w:t>
      </w:r>
      <w:r w:rsidR="009A7CCC" w:rsidRPr="000508B6">
        <w:rPr>
          <w:rFonts w:ascii="Times New Roman" w:eastAsia="Times New Roman" w:hAnsi="Times New Roman" w:cs="Times New Roman"/>
          <w:lang w:val="ro-MD"/>
        </w:rPr>
        <w:t>17</w:t>
      </w:r>
      <w:r w:rsidR="00EC50B4"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 xml:space="preserve"> alin. (7) sau să le transmită către EIOPA în scopul publicării acestora</w:t>
      </w:r>
      <w:r w:rsidR="00F92217" w:rsidRPr="000508B6">
        <w:rPr>
          <w:rFonts w:ascii="Times New Roman" w:eastAsia="Times New Roman" w:hAnsi="Times New Roman" w:cs="Times New Roman"/>
          <w:lang w:val="ro-MD"/>
        </w:rPr>
        <w:t>.</w:t>
      </w:r>
      <w:r w:rsidR="009A68B5" w:rsidRPr="000508B6">
        <w:rPr>
          <w:rFonts w:ascii="Times New Roman" w:hAnsi="Times New Roman" w:cs="Times New Roman"/>
          <w:lang w:val="ro-MD"/>
        </w:rPr>
        <w:t xml:space="preserve"> </w:t>
      </w:r>
      <w:bookmarkEnd w:id="192"/>
    </w:p>
    <w:p w14:paraId="734118C1" w14:textId="77777777" w:rsidR="00C425AF" w:rsidRPr="000508B6" w:rsidRDefault="00C425AF" w:rsidP="00415410">
      <w:pPr>
        <w:spacing w:after="0" w:line="240" w:lineRule="auto"/>
        <w:ind w:firstLine="426"/>
        <w:jc w:val="center"/>
        <w:rPr>
          <w:rFonts w:ascii="Times New Roman" w:hAnsi="Times New Roman" w:cs="Times New Roman"/>
          <w:b/>
          <w:bCs/>
          <w:lang w:val="ro-MD"/>
        </w:rPr>
      </w:pPr>
    </w:p>
    <w:p w14:paraId="0C52D779" w14:textId="106150F5" w:rsidR="00415410" w:rsidRPr="000508B6" w:rsidRDefault="00415410" w:rsidP="00415410">
      <w:pPr>
        <w:spacing w:after="0" w:line="240" w:lineRule="auto"/>
        <w:ind w:firstLine="426"/>
        <w:jc w:val="center"/>
        <w:rPr>
          <w:rFonts w:ascii="Times New Roman" w:hAnsi="Times New Roman" w:cs="Times New Roman"/>
          <w:b/>
          <w:bCs/>
          <w:lang w:val="ro-MD"/>
        </w:rPr>
      </w:pPr>
      <w:r w:rsidRPr="000508B6">
        <w:rPr>
          <w:rFonts w:ascii="Times New Roman" w:hAnsi="Times New Roman" w:cs="Times New Roman"/>
          <w:b/>
          <w:bCs/>
          <w:lang w:val="ro-MD"/>
        </w:rPr>
        <w:t xml:space="preserve">Secțiunea a </w:t>
      </w:r>
      <w:r w:rsidR="008F3D39" w:rsidRPr="000508B6">
        <w:rPr>
          <w:rFonts w:ascii="Times New Roman" w:hAnsi="Times New Roman" w:cs="Times New Roman"/>
          <w:b/>
          <w:bCs/>
          <w:lang w:val="ro-MD"/>
        </w:rPr>
        <w:t>6</w:t>
      </w:r>
      <w:r w:rsidRPr="000508B6">
        <w:rPr>
          <w:rFonts w:ascii="Times New Roman" w:hAnsi="Times New Roman" w:cs="Times New Roman"/>
          <w:b/>
          <w:bCs/>
          <w:lang w:val="ro-MD"/>
        </w:rPr>
        <w:t>-a</w:t>
      </w:r>
    </w:p>
    <w:p w14:paraId="14650345" w14:textId="345F45F0" w:rsidR="00415410" w:rsidRPr="000508B6" w:rsidRDefault="00415410" w:rsidP="00415410">
      <w:pPr>
        <w:spacing w:after="0" w:line="240" w:lineRule="auto"/>
        <w:ind w:firstLine="426"/>
        <w:jc w:val="center"/>
        <w:rPr>
          <w:rFonts w:ascii="Times New Roman" w:hAnsi="Times New Roman" w:cs="Times New Roman"/>
          <w:b/>
          <w:bCs/>
          <w:lang w:val="ro-MD"/>
        </w:rPr>
      </w:pPr>
      <w:r w:rsidRPr="000508B6">
        <w:rPr>
          <w:rFonts w:ascii="Times New Roman" w:hAnsi="Times New Roman" w:cs="Times New Roman"/>
          <w:b/>
          <w:bCs/>
          <w:lang w:val="ro-MD"/>
        </w:rPr>
        <w:t>Moneda</w:t>
      </w:r>
    </w:p>
    <w:p w14:paraId="3B4347A3" w14:textId="39CE7DCA" w:rsidR="00415410" w:rsidRPr="000508B6" w:rsidRDefault="00415410" w:rsidP="00415410">
      <w:pPr>
        <w:spacing w:after="0" w:line="240" w:lineRule="auto"/>
        <w:ind w:firstLine="426"/>
        <w:rPr>
          <w:rFonts w:ascii="Times New Roman" w:hAnsi="Times New Roman" w:cs="Times New Roman"/>
          <w:lang w:val="ro-MD"/>
        </w:rPr>
      </w:pPr>
      <w:r w:rsidRPr="000508B6">
        <w:rPr>
          <w:rFonts w:ascii="Times New Roman" w:hAnsi="Times New Roman" w:cs="Times New Roman"/>
          <w:b/>
          <w:lang w:val="ro-MD"/>
        </w:rPr>
        <w:t xml:space="preserve">Articolul </w:t>
      </w:r>
      <w:r w:rsidR="00CA6B02" w:rsidRPr="000508B6">
        <w:rPr>
          <w:rFonts w:ascii="Times New Roman" w:hAnsi="Times New Roman" w:cs="Times New Roman"/>
          <w:b/>
          <w:bCs/>
          <w:lang w:val="ro-MD"/>
        </w:rPr>
        <w:t>197</w:t>
      </w:r>
      <w:r w:rsidRPr="000508B6">
        <w:rPr>
          <w:rFonts w:ascii="Times New Roman" w:hAnsi="Times New Roman" w:cs="Times New Roman"/>
          <w:b/>
          <w:lang w:val="ro-MD"/>
        </w:rPr>
        <w:t>.</w:t>
      </w:r>
      <w:r w:rsidRPr="000508B6">
        <w:rPr>
          <w:rFonts w:ascii="Times New Roman" w:hAnsi="Times New Roman" w:cs="Times New Roman"/>
          <w:lang w:val="ro-MD"/>
        </w:rPr>
        <w:t xml:space="preserve"> Moneda</w:t>
      </w:r>
    </w:p>
    <w:p w14:paraId="1F2C9704" w14:textId="3C3BD0FE" w:rsidR="00415410" w:rsidRPr="000508B6" w:rsidRDefault="00D068AA" w:rsidP="00CF5AFA">
      <w:pPr>
        <w:pStyle w:val="Listparagraf"/>
        <w:numPr>
          <w:ilvl w:val="1"/>
          <w:numId w:val="38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Asigurătorul sau </w:t>
      </w:r>
      <w:proofErr w:type="spellStart"/>
      <w:r w:rsidRPr="000508B6">
        <w:rPr>
          <w:rFonts w:ascii="Times New Roman" w:hAnsi="Times New Roman" w:cs="Times New Roman"/>
          <w:lang w:val="ro-MD"/>
        </w:rPr>
        <w:t>reasigurătorul</w:t>
      </w:r>
      <w:proofErr w:type="spellEnd"/>
      <w:r w:rsidR="00692E68" w:rsidRPr="000508B6">
        <w:rPr>
          <w:rFonts w:ascii="Times New Roman" w:hAnsi="Times New Roman" w:cs="Times New Roman"/>
          <w:lang w:val="ro-MD"/>
        </w:rPr>
        <w:t xml:space="preserve"> </w:t>
      </w:r>
      <w:r w:rsidR="00415410" w:rsidRPr="000508B6">
        <w:rPr>
          <w:rFonts w:ascii="Times New Roman" w:hAnsi="Times New Roman" w:cs="Times New Roman"/>
          <w:lang w:val="ro-MD"/>
        </w:rPr>
        <w:t xml:space="preserve">calculează </w:t>
      </w:r>
      <w:r w:rsidR="00692E68" w:rsidRPr="000508B6">
        <w:rPr>
          <w:rFonts w:ascii="Times New Roman" w:hAnsi="Times New Roman" w:cs="Times New Roman"/>
          <w:lang w:val="ro-MD"/>
        </w:rPr>
        <w:t xml:space="preserve">echivalentul </w:t>
      </w:r>
      <w:r w:rsidR="00415410" w:rsidRPr="000508B6">
        <w:rPr>
          <w:rFonts w:ascii="Times New Roman" w:hAnsi="Times New Roman" w:cs="Times New Roman"/>
          <w:lang w:val="ro-MD"/>
        </w:rPr>
        <w:t xml:space="preserve">în lei a cuantumurilor în euro prevăzute de prezenta lege, cu efect de la data de 31 decembrie a fiecărui an, în </w:t>
      </w:r>
      <w:proofErr w:type="spellStart"/>
      <w:r w:rsidR="00415410" w:rsidRPr="000508B6">
        <w:rPr>
          <w:rFonts w:ascii="Times New Roman" w:hAnsi="Times New Roman" w:cs="Times New Roman"/>
          <w:lang w:val="ro-MD"/>
        </w:rPr>
        <w:t>funcţie</w:t>
      </w:r>
      <w:proofErr w:type="spellEnd"/>
      <w:r w:rsidR="00415410" w:rsidRPr="000508B6">
        <w:rPr>
          <w:rFonts w:ascii="Times New Roman" w:hAnsi="Times New Roman" w:cs="Times New Roman"/>
          <w:lang w:val="ro-MD"/>
        </w:rPr>
        <w:t xml:space="preserve"> de cursul oficial </w:t>
      </w:r>
      <w:r w:rsidR="001338D4" w:rsidRPr="000508B6">
        <w:rPr>
          <w:rFonts w:ascii="Times New Roman" w:hAnsi="Times New Roman" w:cs="Times New Roman"/>
          <w:lang w:val="ro-MD"/>
        </w:rPr>
        <w:t xml:space="preserve">al leului moldovenesc </w:t>
      </w:r>
      <w:r w:rsidR="00415410" w:rsidRPr="000508B6">
        <w:rPr>
          <w:rFonts w:ascii="Times New Roman" w:hAnsi="Times New Roman" w:cs="Times New Roman"/>
          <w:lang w:val="ro-MD"/>
        </w:rPr>
        <w:t xml:space="preserve">comunicat de Banca </w:t>
      </w:r>
      <w:proofErr w:type="spellStart"/>
      <w:r w:rsidR="00415410" w:rsidRPr="000508B6">
        <w:rPr>
          <w:rFonts w:ascii="Times New Roman" w:hAnsi="Times New Roman" w:cs="Times New Roman"/>
          <w:lang w:val="ro-MD"/>
        </w:rPr>
        <w:t>Naţională</w:t>
      </w:r>
      <w:proofErr w:type="spellEnd"/>
      <w:r w:rsidR="00415410" w:rsidRPr="000508B6">
        <w:rPr>
          <w:rFonts w:ascii="Times New Roman" w:hAnsi="Times New Roman" w:cs="Times New Roman"/>
          <w:lang w:val="ro-MD"/>
        </w:rPr>
        <w:t xml:space="preserve"> a Moldovei pentru data de 31 octombrie. </w:t>
      </w:r>
    </w:p>
    <w:p w14:paraId="7E5EEEC2" w14:textId="3AC5402D" w:rsidR="00415410" w:rsidRPr="000508B6" w:rsidRDefault="00415410" w:rsidP="00CF5AFA">
      <w:pPr>
        <w:pStyle w:val="Listparagraf"/>
        <w:numPr>
          <w:ilvl w:val="1"/>
          <w:numId w:val="389"/>
        </w:numPr>
        <w:spacing w:after="0" w:line="240" w:lineRule="auto"/>
        <w:ind w:left="0" w:firstLine="426"/>
        <w:jc w:val="both"/>
        <w:rPr>
          <w:rFonts w:ascii="Times New Roman" w:hAnsi="Times New Roman" w:cs="Times New Roman"/>
          <w:lang w:val="ro-MD"/>
        </w:rPr>
      </w:pPr>
      <w:r w:rsidRPr="000508B6">
        <w:rPr>
          <w:rFonts w:ascii="Times New Roman" w:hAnsi="Times New Roman" w:cs="Times New Roman"/>
          <w:lang w:val="ro-MD"/>
        </w:rPr>
        <w:t xml:space="preserve">Valorile exprimate în euro </w:t>
      </w:r>
      <w:r w:rsidR="00F34909" w:rsidRPr="000508B6">
        <w:rPr>
          <w:rFonts w:ascii="Times New Roman" w:hAnsi="Times New Roman" w:cs="Times New Roman"/>
          <w:lang w:val="ro-MD"/>
        </w:rPr>
        <w:t xml:space="preserve">în prezenta Lege pot fi modificate prin </w:t>
      </w:r>
      <w:r w:rsidR="00CB569E" w:rsidRPr="000508B6">
        <w:rPr>
          <w:rFonts w:ascii="Times New Roman" w:hAnsi="Times New Roman" w:cs="Times New Roman"/>
          <w:lang w:val="ro-MD"/>
        </w:rPr>
        <w:t xml:space="preserve">actele normative </w:t>
      </w:r>
      <w:r w:rsidRPr="000508B6">
        <w:rPr>
          <w:rFonts w:ascii="Times New Roman" w:hAnsi="Times New Roman" w:cs="Times New Roman"/>
          <w:lang w:val="ro-MD"/>
        </w:rPr>
        <w:t>emise de Banca Națională a Moldovei</w:t>
      </w:r>
      <w:r w:rsidR="00C425AF" w:rsidRPr="000508B6">
        <w:rPr>
          <w:rFonts w:ascii="Times New Roman" w:hAnsi="Times New Roman" w:cs="Times New Roman"/>
          <w:lang w:val="ro-MD"/>
        </w:rPr>
        <w:t>.</w:t>
      </w:r>
    </w:p>
    <w:p w14:paraId="6D87C037" w14:textId="77777777" w:rsidR="00AC4E00" w:rsidRPr="000508B6" w:rsidRDefault="00AC4E00" w:rsidP="008B530F">
      <w:pPr>
        <w:spacing w:after="0" w:line="240" w:lineRule="auto"/>
        <w:ind w:firstLine="426"/>
        <w:jc w:val="center"/>
        <w:rPr>
          <w:rFonts w:ascii="Times New Roman" w:eastAsia="Times New Roman" w:hAnsi="Times New Roman" w:cs="Times New Roman"/>
          <w:b/>
          <w:lang w:val="ro-MD"/>
        </w:rPr>
      </w:pPr>
    </w:p>
    <w:p w14:paraId="0A9175CE" w14:textId="471B8255" w:rsidR="00F95829" w:rsidRPr="000508B6" w:rsidRDefault="00DA317D"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CAPITOLUL X</w:t>
      </w:r>
    </w:p>
    <w:p w14:paraId="09610DEC" w14:textId="77777777" w:rsidR="00F95829" w:rsidRPr="000508B6" w:rsidRDefault="00F95829" w:rsidP="008B530F">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Răspunderea și sancțiuni</w:t>
      </w:r>
    </w:p>
    <w:p w14:paraId="6B5FBF0B" w14:textId="1590EEEC" w:rsidR="00F95829" w:rsidRPr="000508B6" w:rsidRDefault="00F95829" w:rsidP="008B530F">
      <w:pPr>
        <w:spacing w:after="0" w:line="240" w:lineRule="auto"/>
        <w:ind w:firstLine="426"/>
        <w:jc w:val="both"/>
        <w:rPr>
          <w:rFonts w:ascii="Times New Roman" w:eastAsia="Times New Roman" w:hAnsi="Times New Roman" w:cs="Times New Roman"/>
          <w:lang w:val="ro-MD"/>
        </w:rPr>
      </w:pPr>
      <w:bookmarkStart w:id="193" w:name="_Hlk212192789"/>
      <w:r w:rsidRPr="000508B6">
        <w:rPr>
          <w:rFonts w:ascii="Times New Roman" w:eastAsia="Times New Roman" w:hAnsi="Times New Roman" w:cs="Times New Roman"/>
          <w:b/>
          <w:lang w:val="ro-MD"/>
        </w:rPr>
        <w:t xml:space="preserve">Articolul </w:t>
      </w:r>
      <w:r w:rsidR="00CA6B02" w:rsidRPr="000508B6">
        <w:rPr>
          <w:rFonts w:ascii="Times New Roman" w:eastAsia="Times New Roman" w:hAnsi="Times New Roman" w:cs="Times New Roman"/>
          <w:b/>
          <w:lang w:val="ro-MD"/>
        </w:rPr>
        <w:t>198</w:t>
      </w:r>
      <w:r w:rsidRPr="000508B6">
        <w:rPr>
          <w:rFonts w:ascii="Times New Roman" w:eastAsia="Times New Roman" w:hAnsi="Times New Roman" w:cs="Times New Roman"/>
          <w:b/>
          <w:lang w:val="ro-MD"/>
        </w:rPr>
        <w:t>.</w:t>
      </w:r>
      <w:r w:rsidRPr="000508B6">
        <w:rPr>
          <w:rFonts w:ascii="Times New Roman" w:eastAsia="Times New Roman" w:hAnsi="Times New Roman" w:cs="Times New Roman"/>
          <w:lang w:val="ro-MD"/>
        </w:rPr>
        <w:t xml:space="preserve"> </w:t>
      </w:r>
      <w:r w:rsidR="00770E24" w:rsidRPr="000508B6">
        <w:rPr>
          <w:rFonts w:ascii="Times New Roman" w:eastAsia="Times New Roman" w:hAnsi="Times New Roman" w:cs="Times New Roman"/>
          <w:lang w:val="ro-MD"/>
        </w:rPr>
        <w:t>Încălcări</w:t>
      </w:r>
      <w:r w:rsidR="00C07BEC"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sancţiuni</w:t>
      </w:r>
      <w:proofErr w:type="spellEnd"/>
    </w:p>
    <w:p w14:paraId="5CF51BC0" w14:textId="77777777" w:rsidR="004E58D6" w:rsidRPr="000508B6" w:rsidRDefault="00DF20AC" w:rsidP="00EF79EE">
      <w:pPr>
        <w:pStyle w:val="NormalWeb"/>
        <w:numPr>
          <w:ilvl w:val="0"/>
          <w:numId w:val="438"/>
        </w:numPr>
        <w:spacing w:before="0" w:beforeAutospacing="0" w:after="0" w:afterAutospacing="0"/>
        <w:ind w:left="0" w:firstLine="426"/>
        <w:jc w:val="both"/>
        <w:rPr>
          <w:sz w:val="22"/>
          <w:szCs w:val="22"/>
          <w:lang w:val="ro-MD"/>
        </w:rPr>
      </w:pPr>
      <w:bookmarkStart w:id="194" w:name="_Hlk203632543"/>
      <w:bookmarkStart w:id="195" w:name="_Hlk221282601"/>
      <w:r w:rsidRPr="000508B6">
        <w:rPr>
          <w:sz w:val="22"/>
          <w:szCs w:val="22"/>
          <w:lang w:val="ro-MD"/>
        </w:rPr>
        <w:t xml:space="preserve">Sunt considerate încălcări pe </w:t>
      </w:r>
      <w:proofErr w:type="spellStart"/>
      <w:r w:rsidRPr="000508B6">
        <w:rPr>
          <w:sz w:val="22"/>
          <w:szCs w:val="22"/>
          <w:lang w:val="ro-MD"/>
        </w:rPr>
        <w:t>piaţa</w:t>
      </w:r>
      <w:proofErr w:type="spellEnd"/>
      <w:r w:rsidRPr="000508B6">
        <w:rPr>
          <w:sz w:val="22"/>
          <w:szCs w:val="22"/>
          <w:lang w:val="ro-MD"/>
        </w:rPr>
        <w:t xml:space="preserve"> asigurărilor:</w:t>
      </w:r>
    </w:p>
    <w:p w14:paraId="4B323722" w14:textId="3A01E0C6" w:rsidR="004E58D6" w:rsidRPr="000508B6" w:rsidRDefault="00DF20AC" w:rsidP="001338D4">
      <w:pPr>
        <w:pStyle w:val="NormalWeb"/>
        <w:numPr>
          <w:ilvl w:val="0"/>
          <w:numId w:val="469"/>
        </w:numPr>
        <w:tabs>
          <w:tab w:val="left" w:pos="567"/>
          <w:tab w:val="left" w:pos="709"/>
          <w:tab w:val="left" w:pos="851"/>
          <w:tab w:val="left" w:pos="993"/>
        </w:tabs>
        <w:spacing w:before="0" w:beforeAutospacing="0" w:after="0" w:afterAutospacing="0"/>
        <w:ind w:left="0" w:firstLine="567"/>
        <w:jc w:val="both"/>
        <w:rPr>
          <w:sz w:val="22"/>
          <w:szCs w:val="22"/>
          <w:lang w:val="ro-MD"/>
        </w:rPr>
      </w:pPr>
      <w:r w:rsidRPr="000508B6">
        <w:rPr>
          <w:sz w:val="22"/>
          <w:szCs w:val="22"/>
          <w:lang w:val="ro-MD"/>
        </w:rPr>
        <w:t xml:space="preserve">nerespectarea prevederilor prezentei legi, ale </w:t>
      </w:r>
      <w:proofErr w:type="spellStart"/>
      <w:r w:rsidRPr="000508B6">
        <w:rPr>
          <w:sz w:val="22"/>
          <w:szCs w:val="22"/>
          <w:lang w:val="ro-MD"/>
        </w:rPr>
        <w:t>legislaţiei</w:t>
      </w:r>
      <w:proofErr w:type="spellEnd"/>
      <w:r w:rsidRPr="000508B6">
        <w:rPr>
          <w:sz w:val="22"/>
          <w:szCs w:val="22"/>
          <w:lang w:val="ro-MD"/>
        </w:rPr>
        <w:t xml:space="preserve"> cu privire la asigurarea obligatorie de răspundere civilă </w:t>
      </w:r>
      <w:r w:rsidR="00F35F82" w:rsidRPr="000508B6">
        <w:rPr>
          <w:sz w:val="22"/>
          <w:szCs w:val="22"/>
          <w:lang w:val="ro-MD"/>
        </w:rPr>
        <w:t xml:space="preserve">auto </w:t>
      </w:r>
      <w:r w:rsidRPr="000508B6">
        <w:rPr>
          <w:sz w:val="22"/>
          <w:szCs w:val="22"/>
          <w:lang w:val="ro-MD"/>
        </w:rPr>
        <w:t xml:space="preserve">pentru </w:t>
      </w:r>
      <w:r w:rsidR="00F35F82" w:rsidRPr="000508B6">
        <w:rPr>
          <w:sz w:val="22"/>
          <w:szCs w:val="22"/>
          <w:lang w:val="ro-MD"/>
        </w:rPr>
        <w:t>prejudicii produse</w:t>
      </w:r>
      <w:r w:rsidRPr="000508B6">
        <w:rPr>
          <w:sz w:val="22"/>
          <w:szCs w:val="22"/>
          <w:lang w:val="ro-MD"/>
        </w:rPr>
        <w:t xml:space="preserve"> </w:t>
      </w:r>
      <w:r w:rsidR="00F35F82" w:rsidRPr="000508B6">
        <w:rPr>
          <w:sz w:val="22"/>
          <w:szCs w:val="22"/>
          <w:lang w:val="ro-MD"/>
        </w:rPr>
        <w:t>terților</w:t>
      </w:r>
      <w:r w:rsidR="00F35F82" w:rsidRPr="000508B6">
        <w:rPr>
          <w:lang w:val="ro-MD"/>
        </w:rPr>
        <w:t xml:space="preserve"> </w:t>
      </w:r>
      <w:r w:rsidR="00F35F82" w:rsidRPr="000508B6">
        <w:rPr>
          <w:sz w:val="22"/>
          <w:szCs w:val="22"/>
          <w:lang w:val="ro-MD"/>
        </w:rPr>
        <w:t xml:space="preserve">prin accidente </w:t>
      </w:r>
      <w:r w:rsidRPr="000508B6">
        <w:rPr>
          <w:sz w:val="22"/>
          <w:szCs w:val="22"/>
          <w:lang w:val="ro-MD"/>
        </w:rPr>
        <w:t>de vehicule</w:t>
      </w:r>
      <w:r w:rsidR="000E6482">
        <w:rPr>
          <w:sz w:val="22"/>
          <w:szCs w:val="22"/>
          <w:lang w:val="ro-MD"/>
        </w:rPr>
        <w:t>;</w:t>
      </w:r>
      <w:r w:rsidRPr="000508B6">
        <w:rPr>
          <w:sz w:val="22"/>
          <w:szCs w:val="22"/>
          <w:lang w:val="ro-MD"/>
        </w:rPr>
        <w:t xml:space="preserve"> </w:t>
      </w:r>
    </w:p>
    <w:p w14:paraId="16C98D49" w14:textId="573138B8" w:rsidR="004E58D6" w:rsidRPr="000508B6" w:rsidRDefault="00DF20AC" w:rsidP="001338D4">
      <w:pPr>
        <w:pStyle w:val="NormalWeb"/>
        <w:numPr>
          <w:ilvl w:val="0"/>
          <w:numId w:val="469"/>
        </w:numPr>
        <w:tabs>
          <w:tab w:val="left" w:pos="567"/>
          <w:tab w:val="left" w:pos="709"/>
          <w:tab w:val="left" w:pos="851"/>
          <w:tab w:val="left" w:pos="993"/>
        </w:tabs>
        <w:spacing w:before="0" w:beforeAutospacing="0" w:after="0" w:afterAutospacing="0"/>
        <w:ind w:left="0" w:firstLine="567"/>
        <w:jc w:val="both"/>
        <w:rPr>
          <w:sz w:val="22"/>
          <w:szCs w:val="22"/>
          <w:lang w:val="ro-MD"/>
        </w:rPr>
      </w:pPr>
      <w:r w:rsidRPr="000508B6">
        <w:rPr>
          <w:sz w:val="22"/>
          <w:szCs w:val="22"/>
          <w:lang w:val="ro-MD"/>
        </w:rPr>
        <w:t xml:space="preserve">nerespectarea </w:t>
      </w:r>
      <w:proofErr w:type="spellStart"/>
      <w:r w:rsidRPr="000508B6">
        <w:rPr>
          <w:sz w:val="22"/>
          <w:szCs w:val="22"/>
          <w:lang w:val="ro-MD"/>
        </w:rPr>
        <w:t>condiţiilor</w:t>
      </w:r>
      <w:proofErr w:type="spellEnd"/>
      <w:r w:rsidRPr="000508B6">
        <w:rPr>
          <w:sz w:val="22"/>
          <w:szCs w:val="22"/>
          <w:lang w:val="ro-MD"/>
        </w:rPr>
        <w:t xml:space="preserve"> de </w:t>
      </w:r>
      <w:proofErr w:type="spellStart"/>
      <w:r w:rsidRPr="000508B6">
        <w:rPr>
          <w:sz w:val="22"/>
          <w:szCs w:val="22"/>
          <w:lang w:val="ro-MD"/>
        </w:rPr>
        <w:t>licenţiere</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a deciziilor emise întru conformarea </w:t>
      </w:r>
      <w:proofErr w:type="spellStart"/>
      <w:r w:rsidRPr="000508B6">
        <w:rPr>
          <w:sz w:val="22"/>
          <w:szCs w:val="22"/>
          <w:lang w:val="ro-MD"/>
        </w:rPr>
        <w:t>activităţii</w:t>
      </w:r>
      <w:proofErr w:type="spellEnd"/>
      <w:r w:rsidRPr="000508B6">
        <w:rPr>
          <w:sz w:val="22"/>
          <w:szCs w:val="22"/>
          <w:lang w:val="ro-MD"/>
        </w:rPr>
        <w:t xml:space="preserve">; </w:t>
      </w:r>
    </w:p>
    <w:p w14:paraId="0CDC5F5D" w14:textId="57C5F6CF" w:rsidR="006250B6" w:rsidRPr="000508B6" w:rsidRDefault="006250B6" w:rsidP="001338D4">
      <w:pPr>
        <w:pStyle w:val="NormalWeb"/>
        <w:numPr>
          <w:ilvl w:val="0"/>
          <w:numId w:val="469"/>
        </w:numPr>
        <w:tabs>
          <w:tab w:val="left" w:pos="567"/>
          <w:tab w:val="left" w:pos="709"/>
          <w:tab w:val="left" w:pos="851"/>
          <w:tab w:val="left" w:pos="993"/>
        </w:tabs>
        <w:spacing w:after="0"/>
        <w:ind w:left="0" w:firstLine="567"/>
        <w:jc w:val="both"/>
        <w:rPr>
          <w:sz w:val="22"/>
          <w:szCs w:val="22"/>
          <w:lang w:val="ro-MD"/>
        </w:rPr>
      </w:pPr>
      <w:r w:rsidRPr="000508B6">
        <w:rPr>
          <w:sz w:val="22"/>
          <w:szCs w:val="22"/>
          <w:lang w:val="ro-MD"/>
        </w:rPr>
        <w:t xml:space="preserve">nerespectarea </w:t>
      </w:r>
      <w:r w:rsidR="00B65B80" w:rsidRPr="000508B6">
        <w:rPr>
          <w:sz w:val="22"/>
          <w:szCs w:val="22"/>
          <w:lang w:val="ro-MD"/>
        </w:rPr>
        <w:t>prevederilor</w:t>
      </w:r>
      <w:r w:rsidRPr="000508B6">
        <w:rPr>
          <w:sz w:val="22"/>
          <w:szCs w:val="22"/>
          <w:lang w:val="ro-MD"/>
        </w:rPr>
        <w:t xml:space="preserve"> privind </w:t>
      </w:r>
      <w:proofErr w:type="spellStart"/>
      <w:r w:rsidRPr="000508B6">
        <w:rPr>
          <w:sz w:val="22"/>
          <w:szCs w:val="22"/>
          <w:lang w:val="ro-MD"/>
        </w:rPr>
        <w:t>achiziţionarea</w:t>
      </w:r>
      <w:proofErr w:type="spellEnd"/>
      <w:r w:rsidRPr="000508B6">
        <w:rPr>
          <w:sz w:val="22"/>
          <w:szCs w:val="22"/>
          <w:lang w:val="ro-MD"/>
        </w:rPr>
        <w:t xml:space="preserve">, direct sau indirect, inclusiv în calitate de beneficiar efectiv, a unei participații calificate într-un asigurător sau </w:t>
      </w:r>
      <w:proofErr w:type="spellStart"/>
      <w:r w:rsidRPr="000508B6">
        <w:rPr>
          <w:sz w:val="22"/>
          <w:szCs w:val="22"/>
          <w:lang w:val="ro-MD"/>
        </w:rPr>
        <w:t>reasigurător</w:t>
      </w:r>
      <w:proofErr w:type="spellEnd"/>
      <w:r w:rsidRPr="000508B6">
        <w:rPr>
          <w:sz w:val="22"/>
          <w:szCs w:val="22"/>
          <w:lang w:val="ro-MD"/>
        </w:rPr>
        <w:t xml:space="preserve"> sau, după caz, majorarea, direct sau indirect, inclusiv în calitate de beneficiar efectiv a unei participații calificate, astfel încât </w:t>
      </w:r>
      <w:proofErr w:type="spellStart"/>
      <w:r w:rsidRPr="000508B6">
        <w:rPr>
          <w:sz w:val="22"/>
          <w:szCs w:val="22"/>
          <w:lang w:val="ro-MD"/>
        </w:rPr>
        <w:t>proporţia</w:t>
      </w:r>
      <w:proofErr w:type="spellEnd"/>
      <w:r w:rsidRPr="000508B6">
        <w:rPr>
          <w:sz w:val="22"/>
          <w:szCs w:val="22"/>
          <w:lang w:val="ro-MD"/>
        </w:rPr>
        <w:t xml:space="preserve"> drepturilor de vot sau a participației calificate în capitalul social se situează sau </w:t>
      </w:r>
      <w:proofErr w:type="spellStart"/>
      <w:r w:rsidRPr="000508B6">
        <w:rPr>
          <w:sz w:val="22"/>
          <w:szCs w:val="22"/>
          <w:lang w:val="ro-MD"/>
        </w:rPr>
        <w:t>depăşeşte</w:t>
      </w:r>
      <w:proofErr w:type="spellEnd"/>
      <w:r w:rsidRPr="000508B6">
        <w:rPr>
          <w:sz w:val="22"/>
          <w:szCs w:val="22"/>
          <w:lang w:val="ro-MD"/>
        </w:rPr>
        <w:t xml:space="preserve"> nivelurile de 20% 33% ori de 50% sau astfel încât asigurătorul sau </w:t>
      </w:r>
      <w:proofErr w:type="spellStart"/>
      <w:r w:rsidRPr="000508B6">
        <w:rPr>
          <w:sz w:val="22"/>
          <w:szCs w:val="22"/>
          <w:lang w:val="ro-MD"/>
        </w:rPr>
        <w:t>reasigurătorul</w:t>
      </w:r>
      <w:proofErr w:type="spellEnd"/>
      <w:r w:rsidRPr="000508B6">
        <w:rPr>
          <w:sz w:val="22"/>
          <w:szCs w:val="22"/>
          <w:lang w:val="ro-MD"/>
        </w:rPr>
        <w:t xml:space="preserve"> devine o filială, cu nerespectarea </w:t>
      </w:r>
      <w:proofErr w:type="spellStart"/>
      <w:r w:rsidRPr="000508B6">
        <w:rPr>
          <w:sz w:val="22"/>
          <w:szCs w:val="22"/>
          <w:lang w:val="ro-MD"/>
        </w:rPr>
        <w:t>cerinţei</w:t>
      </w:r>
      <w:proofErr w:type="spellEnd"/>
      <w:r w:rsidRPr="000508B6">
        <w:rPr>
          <w:sz w:val="22"/>
          <w:szCs w:val="22"/>
          <w:lang w:val="ro-MD"/>
        </w:rPr>
        <w:t xml:space="preserve"> de solicitare a </w:t>
      </w:r>
      <w:r w:rsidR="00CF76F0" w:rsidRPr="000508B6">
        <w:rPr>
          <w:sz w:val="22"/>
          <w:szCs w:val="22"/>
          <w:lang w:val="ro-MD"/>
        </w:rPr>
        <w:t>aprobării prealabile a Băncii Naționale a Moldovei</w:t>
      </w:r>
      <w:r w:rsidRPr="000508B6">
        <w:rPr>
          <w:sz w:val="22"/>
          <w:szCs w:val="22"/>
          <w:lang w:val="ro-MD"/>
        </w:rPr>
        <w:t>, potrivit art.</w:t>
      </w:r>
      <w:r w:rsidR="00F8362F" w:rsidRPr="000508B6">
        <w:rPr>
          <w:sz w:val="22"/>
          <w:szCs w:val="22"/>
          <w:lang w:val="ro-MD"/>
        </w:rPr>
        <w:t xml:space="preserve"> </w:t>
      </w:r>
      <w:r w:rsidRPr="000508B6">
        <w:rPr>
          <w:sz w:val="22"/>
          <w:szCs w:val="22"/>
          <w:lang w:val="ro-MD"/>
        </w:rPr>
        <w:t>12 alin.</w:t>
      </w:r>
      <w:r w:rsidR="00F8362F" w:rsidRPr="000508B6">
        <w:rPr>
          <w:sz w:val="22"/>
          <w:szCs w:val="22"/>
          <w:lang w:val="ro-MD"/>
        </w:rPr>
        <w:t xml:space="preserve"> </w:t>
      </w:r>
      <w:r w:rsidRPr="000508B6">
        <w:rPr>
          <w:sz w:val="22"/>
          <w:szCs w:val="22"/>
          <w:lang w:val="ro-MD"/>
        </w:rPr>
        <w:t>(1) lit.</w:t>
      </w:r>
      <w:r w:rsidR="00F8362F" w:rsidRPr="000508B6">
        <w:rPr>
          <w:sz w:val="22"/>
          <w:szCs w:val="22"/>
          <w:lang w:val="ro-MD"/>
        </w:rPr>
        <w:t xml:space="preserve"> </w:t>
      </w:r>
      <w:r w:rsidRPr="000508B6">
        <w:rPr>
          <w:sz w:val="22"/>
          <w:szCs w:val="22"/>
          <w:lang w:val="ro-MD"/>
        </w:rPr>
        <w:t xml:space="preserve">a), sau fără a </w:t>
      </w:r>
      <w:proofErr w:type="spellStart"/>
      <w:r w:rsidRPr="000508B6">
        <w:rPr>
          <w:sz w:val="22"/>
          <w:szCs w:val="22"/>
          <w:lang w:val="ro-MD"/>
        </w:rPr>
        <w:t>ţine</w:t>
      </w:r>
      <w:proofErr w:type="spellEnd"/>
      <w:r w:rsidRPr="000508B6">
        <w:rPr>
          <w:sz w:val="22"/>
          <w:szCs w:val="22"/>
          <w:lang w:val="ro-MD"/>
        </w:rPr>
        <w:t xml:space="preserve"> seama de refuzul formulat de Banca Națională a Moldovei;</w:t>
      </w:r>
    </w:p>
    <w:p w14:paraId="7D431ADE" w14:textId="383AC2C8" w:rsidR="006250B6" w:rsidRPr="000508B6" w:rsidRDefault="006250B6" w:rsidP="001338D4">
      <w:pPr>
        <w:pStyle w:val="NormalWeb"/>
        <w:numPr>
          <w:ilvl w:val="0"/>
          <w:numId w:val="469"/>
        </w:numPr>
        <w:tabs>
          <w:tab w:val="left" w:pos="567"/>
          <w:tab w:val="left" w:pos="709"/>
          <w:tab w:val="left" w:pos="851"/>
          <w:tab w:val="left" w:pos="993"/>
        </w:tabs>
        <w:spacing w:after="0"/>
        <w:ind w:left="0" w:firstLine="567"/>
        <w:jc w:val="both"/>
        <w:rPr>
          <w:sz w:val="22"/>
          <w:szCs w:val="22"/>
          <w:lang w:val="ro-MD"/>
        </w:rPr>
      </w:pPr>
      <w:r w:rsidRPr="000508B6">
        <w:rPr>
          <w:sz w:val="22"/>
          <w:szCs w:val="22"/>
          <w:lang w:val="ro-MD"/>
        </w:rPr>
        <w:t xml:space="preserve">nerespectarea </w:t>
      </w:r>
      <w:r w:rsidR="00B65B80" w:rsidRPr="000508B6">
        <w:rPr>
          <w:sz w:val="22"/>
          <w:szCs w:val="22"/>
          <w:lang w:val="ro-MD"/>
        </w:rPr>
        <w:t>prevederilor</w:t>
      </w:r>
      <w:r w:rsidRPr="000508B6">
        <w:rPr>
          <w:sz w:val="22"/>
          <w:szCs w:val="22"/>
          <w:lang w:val="ro-MD"/>
        </w:rPr>
        <w:t xml:space="preserve"> privind cedarea, direct sau indirect, a unei participații calificate într-un asigurător sau </w:t>
      </w:r>
      <w:proofErr w:type="spellStart"/>
      <w:r w:rsidRPr="000508B6">
        <w:rPr>
          <w:sz w:val="22"/>
          <w:szCs w:val="22"/>
          <w:lang w:val="ro-MD"/>
        </w:rPr>
        <w:t>reasigurător</w:t>
      </w:r>
      <w:proofErr w:type="spellEnd"/>
      <w:r w:rsidRPr="000508B6">
        <w:rPr>
          <w:sz w:val="22"/>
          <w:szCs w:val="22"/>
          <w:lang w:val="ro-MD"/>
        </w:rPr>
        <w:t xml:space="preserve"> ori reducerea acesteia, astfel încât </w:t>
      </w:r>
      <w:proofErr w:type="spellStart"/>
      <w:r w:rsidRPr="000508B6">
        <w:rPr>
          <w:sz w:val="22"/>
          <w:szCs w:val="22"/>
          <w:lang w:val="ro-MD"/>
        </w:rPr>
        <w:t>proporţia</w:t>
      </w:r>
      <w:proofErr w:type="spellEnd"/>
      <w:r w:rsidRPr="000508B6">
        <w:rPr>
          <w:sz w:val="22"/>
          <w:szCs w:val="22"/>
          <w:lang w:val="ro-MD"/>
        </w:rPr>
        <w:t xml:space="preserve"> drepturilor de vot sau a </w:t>
      </w:r>
      <w:proofErr w:type="spellStart"/>
      <w:r w:rsidRPr="000508B6">
        <w:rPr>
          <w:sz w:val="22"/>
          <w:szCs w:val="22"/>
          <w:lang w:val="ro-MD"/>
        </w:rPr>
        <w:t>deţinerii</w:t>
      </w:r>
      <w:proofErr w:type="spellEnd"/>
      <w:r w:rsidRPr="000508B6">
        <w:rPr>
          <w:sz w:val="22"/>
          <w:szCs w:val="22"/>
          <w:lang w:val="ro-MD"/>
        </w:rPr>
        <w:t xml:space="preserve"> la capitalul social se situează sub nivelurile de 10%, 20%, 33% ori de 50% sau astfel încât asigurătorul sau </w:t>
      </w:r>
      <w:proofErr w:type="spellStart"/>
      <w:r w:rsidRPr="000508B6">
        <w:rPr>
          <w:sz w:val="22"/>
          <w:szCs w:val="22"/>
          <w:lang w:val="ro-MD"/>
        </w:rPr>
        <w:t>reasigurătorul</w:t>
      </w:r>
      <w:proofErr w:type="spellEnd"/>
      <w:r w:rsidRPr="000508B6">
        <w:rPr>
          <w:sz w:val="22"/>
          <w:szCs w:val="22"/>
          <w:lang w:val="ro-MD"/>
        </w:rPr>
        <w:t xml:space="preserve"> încetează să mai fie o filială, cu nerespectarea </w:t>
      </w:r>
      <w:proofErr w:type="spellStart"/>
      <w:r w:rsidRPr="000508B6">
        <w:rPr>
          <w:sz w:val="22"/>
          <w:szCs w:val="22"/>
          <w:lang w:val="ro-MD"/>
        </w:rPr>
        <w:t>obligaţiei</w:t>
      </w:r>
      <w:proofErr w:type="spellEnd"/>
      <w:r w:rsidRPr="000508B6">
        <w:rPr>
          <w:sz w:val="22"/>
          <w:szCs w:val="22"/>
          <w:lang w:val="ro-MD"/>
        </w:rPr>
        <w:t xml:space="preserve"> de notificare a Băncii </w:t>
      </w:r>
      <w:proofErr w:type="spellStart"/>
      <w:r w:rsidRPr="000508B6">
        <w:rPr>
          <w:sz w:val="22"/>
          <w:szCs w:val="22"/>
          <w:lang w:val="ro-MD"/>
        </w:rPr>
        <w:t>Naţionale</w:t>
      </w:r>
      <w:proofErr w:type="spellEnd"/>
      <w:r w:rsidRPr="000508B6">
        <w:rPr>
          <w:sz w:val="22"/>
          <w:szCs w:val="22"/>
          <w:lang w:val="ro-MD"/>
        </w:rPr>
        <w:t xml:space="preserve"> a Moldovei prevăzute la art. </w:t>
      </w:r>
      <w:r w:rsidR="004671E4" w:rsidRPr="000508B6">
        <w:rPr>
          <w:sz w:val="22"/>
          <w:szCs w:val="22"/>
          <w:lang w:val="ro-MD"/>
        </w:rPr>
        <w:t>12 alin. (2)</w:t>
      </w:r>
      <w:r w:rsidRPr="000508B6">
        <w:rPr>
          <w:sz w:val="22"/>
          <w:szCs w:val="22"/>
          <w:lang w:val="ro-MD"/>
        </w:rPr>
        <w:t xml:space="preserve">;  </w:t>
      </w:r>
    </w:p>
    <w:p w14:paraId="7A48E9C5" w14:textId="24E3967E" w:rsidR="00235E41" w:rsidRPr="000508B6" w:rsidRDefault="006250B6" w:rsidP="001338D4">
      <w:pPr>
        <w:pStyle w:val="NormalWeb"/>
        <w:numPr>
          <w:ilvl w:val="0"/>
          <w:numId w:val="469"/>
        </w:numPr>
        <w:tabs>
          <w:tab w:val="left" w:pos="567"/>
          <w:tab w:val="left" w:pos="709"/>
          <w:tab w:val="left" w:pos="851"/>
          <w:tab w:val="left" w:pos="993"/>
        </w:tabs>
        <w:spacing w:before="0" w:beforeAutospacing="0" w:after="0" w:afterAutospacing="0"/>
        <w:ind w:left="0" w:firstLine="567"/>
        <w:jc w:val="both"/>
        <w:rPr>
          <w:sz w:val="22"/>
          <w:szCs w:val="22"/>
          <w:lang w:val="ro-MD"/>
        </w:rPr>
      </w:pPr>
      <w:r w:rsidRPr="000508B6">
        <w:rPr>
          <w:sz w:val="22"/>
          <w:szCs w:val="22"/>
          <w:lang w:val="ro-MD"/>
        </w:rPr>
        <w:t xml:space="preserve">neprezentarea </w:t>
      </w:r>
      <w:proofErr w:type="spellStart"/>
      <w:r w:rsidRPr="000508B6">
        <w:rPr>
          <w:sz w:val="22"/>
          <w:szCs w:val="22"/>
          <w:lang w:val="ro-MD"/>
        </w:rPr>
        <w:t>informaţiilor</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a documentelor solicitate de Banca Națională a Moldovei în temeiul art.</w:t>
      </w:r>
      <w:r w:rsidR="00F8362F" w:rsidRPr="000508B6">
        <w:rPr>
          <w:sz w:val="22"/>
          <w:szCs w:val="22"/>
          <w:lang w:val="ro-MD"/>
        </w:rPr>
        <w:t xml:space="preserve"> </w:t>
      </w:r>
      <w:r w:rsidR="004671E4" w:rsidRPr="000508B6">
        <w:rPr>
          <w:sz w:val="22"/>
          <w:szCs w:val="22"/>
          <w:lang w:val="ro-MD"/>
        </w:rPr>
        <w:t>15</w:t>
      </w:r>
      <w:r w:rsidRPr="000508B6">
        <w:rPr>
          <w:sz w:val="22"/>
          <w:szCs w:val="22"/>
          <w:lang w:val="ro-MD"/>
        </w:rPr>
        <w:t xml:space="preserve"> alin.</w:t>
      </w:r>
      <w:r w:rsidR="00F8362F" w:rsidRPr="000508B6">
        <w:rPr>
          <w:sz w:val="22"/>
          <w:szCs w:val="22"/>
          <w:lang w:val="ro-MD"/>
        </w:rPr>
        <w:t xml:space="preserve"> </w:t>
      </w:r>
      <w:r w:rsidRPr="000508B6">
        <w:rPr>
          <w:sz w:val="22"/>
          <w:szCs w:val="22"/>
          <w:lang w:val="ro-MD"/>
        </w:rPr>
        <w:t>(</w:t>
      </w:r>
      <w:r w:rsidR="004671E4" w:rsidRPr="000508B6">
        <w:rPr>
          <w:sz w:val="22"/>
          <w:szCs w:val="22"/>
          <w:lang w:val="ro-MD"/>
        </w:rPr>
        <w:t>5)</w:t>
      </w:r>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alin. (</w:t>
      </w:r>
      <w:r w:rsidR="004671E4" w:rsidRPr="000508B6">
        <w:rPr>
          <w:sz w:val="22"/>
          <w:szCs w:val="22"/>
          <w:lang w:val="ro-MD"/>
        </w:rPr>
        <w:t>8</w:t>
      </w:r>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/sau prezentarea incompletă/eronată a datelor;</w:t>
      </w:r>
    </w:p>
    <w:p w14:paraId="64143C2C" w14:textId="1D365F0E" w:rsidR="00235E41" w:rsidRPr="000508B6" w:rsidRDefault="00DF20AC" w:rsidP="001338D4">
      <w:pPr>
        <w:pStyle w:val="NormalWeb"/>
        <w:numPr>
          <w:ilvl w:val="0"/>
          <w:numId w:val="469"/>
        </w:numPr>
        <w:tabs>
          <w:tab w:val="left" w:pos="567"/>
          <w:tab w:val="left" w:pos="709"/>
          <w:tab w:val="left" w:pos="851"/>
          <w:tab w:val="left" w:pos="993"/>
        </w:tabs>
        <w:spacing w:before="0" w:beforeAutospacing="0" w:after="0" w:afterAutospacing="0"/>
        <w:ind w:left="0" w:firstLine="567"/>
        <w:jc w:val="both"/>
        <w:rPr>
          <w:sz w:val="22"/>
          <w:szCs w:val="22"/>
          <w:lang w:val="ro-MD"/>
        </w:rPr>
      </w:pPr>
      <w:r w:rsidRPr="000508B6">
        <w:rPr>
          <w:sz w:val="22"/>
          <w:szCs w:val="22"/>
          <w:lang w:val="ro-MD"/>
        </w:rPr>
        <w:t xml:space="preserve">neexecutarea </w:t>
      </w:r>
      <w:proofErr w:type="spellStart"/>
      <w:r w:rsidRPr="000508B6">
        <w:rPr>
          <w:sz w:val="22"/>
          <w:szCs w:val="22"/>
          <w:lang w:val="ro-MD"/>
        </w:rPr>
        <w:t>sancţiunilor</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măsurilor de supraveghere</w:t>
      </w:r>
      <w:r w:rsidR="00235E41" w:rsidRPr="000508B6">
        <w:rPr>
          <w:sz w:val="22"/>
          <w:szCs w:val="22"/>
          <w:lang w:val="ro-MD"/>
        </w:rPr>
        <w:t>;</w:t>
      </w:r>
    </w:p>
    <w:p w14:paraId="6007327A" w14:textId="191F1C26" w:rsidR="00DF20AC" w:rsidRPr="000508B6" w:rsidRDefault="00DF20AC" w:rsidP="001338D4">
      <w:pPr>
        <w:pStyle w:val="NormalWeb"/>
        <w:numPr>
          <w:ilvl w:val="0"/>
          <w:numId w:val="469"/>
        </w:numPr>
        <w:tabs>
          <w:tab w:val="left" w:pos="567"/>
          <w:tab w:val="left" w:pos="709"/>
          <w:tab w:val="left" w:pos="851"/>
          <w:tab w:val="left" w:pos="993"/>
        </w:tabs>
        <w:spacing w:before="0" w:beforeAutospacing="0" w:after="0" w:afterAutospacing="0"/>
        <w:ind w:left="0" w:firstLine="567"/>
        <w:jc w:val="both"/>
        <w:rPr>
          <w:sz w:val="22"/>
          <w:szCs w:val="22"/>
          <w:lang w:val="ro-MD"/>
        </w:rPr>
      </w:pPr>
      <w:r w:rsidRPr="000508B6">
        <w:rPr>
          <w:sz w:val="22"/>
          <w:szCs w:val="22"/>
          <w:lang w:val="ro-MD"/>
        </w:rPr>
        <w:t xml:space="preserve">faptele stabilite expres în Codul </w:t>
      </w:r>
      <w:proofErr w:type="spellStart"/>
      <w:r w:rsidRPr="000508B6">
        <w:rPr>
          <w:sz w:val="22"/>
          <w:szCs w:val="22"/>
          <w:lang w:val="ro-MD"/>
        </w:rPr>
        <w:t>contravenţional</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în Codul penal.</w:t>
      </w:r>
    </w:p>
    <w:bookmarkEnd w:id="194"/>
    <w:p w14:paraId="34D9E737" w14:textId="4AD355A5" w:rsidR="00F07F2A" w:rsidRPr="000508B6" w:rsidRDefault="00F07F2A" w:rsidP="00AB043B">
      <w:pPr>
        <w:pStyle w:val="NormalWeb"/>
        <w:numPr>
          <w:ilvl w:val="0"/>
          <w:numId w:val="438"/>
        </w:numPr>
        <w:spacing w:before="0" w:beforeAutospacing="0" w:after="0" w:afterAutospacing="0"/>
        <w:ind w:left="0" w:firstLine="426"/>
        <w:jc w:val="both"/>
        <w:rPr>
          <w:sz w:val="22"/>
          <w:szCs w:val="22"/>
          <w:lang w:val="ro-MD"/>
        </w:rPr>
      </w:pPr>
      <w:r w:rsidRPr="000508B6">
        <w:rPr>
          <w:sz w:val="22"/>
          <w:szCs w:val="22"/>
          <w:lang w:val="ro-MD"/>
        </w:rPr>
        <w:t xml:space="preserve">În caz de constatare a </w:t>
      </w:r>
      <w:r w:rsidR="004676E9" w:rsidRPr="000508B6">
        <w:rPr>
          <w:sz w:val="22"/>
          <w:szCs w:val="22"/>
          <w:lang w:val="ro-MD"/>
        </w:rPr>
        <w:t>încălcărilor</w:t>
      </w:r>
      <w:r w:rsidR="00C07BEC" w:rsidRPr="000508B6">
        <w:rPr>
          <w:sz w:val="22"/>
          <w:szCs w:val="22"/>
          <w:lang w:val="ro-MD"/>
        </w:rPr>
        <w:t xml:space="preserve"> </w:t>
      </w:r>
      <w:proofErr w:type="spellStart"/>
      <w:r w:rsidRPr="000508B6">
        <w:rPr>
          <w:sz w:val="22"/>
          <w:szCs w:val="22"/>
          <w:lang w:val="ro-MD"/>
        </w:rPr>
        <w:t>menţionate</w:t>
      </w:r>
      <w:proofErr w:type="spellEnd"/>
      <w:r w:rsidRPr="000508B6">
        <w:rPr>
          <w:sz w:val="22"/>
          <w:szCs w:val="22"/>
          <w:lang w:val="ro-MD"/>
        </w:rPr>
        <w:t xml:space="preserve"> la alin.</w:t>
      </w:r>
      <w:r w:rsidR="00F8362F" w:rsidRPr="000508B6">
        <w:rPr>
          <w:sz w:val="22"/>
          <w:szCs w:val="22"/>
          <w:lang w:val="ro-MD"/>
        </w:rPr>
        <w:t xml:space="preserve"> </w:t>
      </w:r>
      <w:r w:rsidRPr="000508B6">
        <w:rPr>
          <w:sz w:val="22"/>
          <w:szCs w:val="22"/>
          <w:lang w:val="ro-MD"/>
        </w:rPr>
        <w:t xml:space="preserve">(1), </w:t>
      </w:r>
      <w:r w:rsidR="003F1CDA" w:rsidRPr="000508B6">
        <w:rPr>
          <w:sz w:val="22"/>
          <w:szCs w:val="22"/>
          <w:lang w:val="ro-MD"/>
        </w:rPr>
        <w:t>Banca Națională a Moldovei</w:t>
      </w:r>
      <w:r w:rsidRPr="000508B6">
        <w:rPr>
          <w:sz w:val="22"/>
          <w:szCs w:val="22"/>
          <w:lang w:val="ro-MD"/>
        </w:rPr>
        <w:t xml:space="preserve"> poate aplica</w:t>
      </w:r>
      <w:r w:rsidR="00A7350E" w:rsidRPr="000508B6">
        <w:rPr>
          <w:sz w:val="22"/>
          <w:szCs w:val="22"/>
          <w:lang w:val="ro-MD"/>
        </w:rPr>
        <w:t xml:space="preserve"> asigurătorului sau </w:t>
      </w:r>
      <w:proofErr w:type="spellStart"/>
      <w:r w:rsidR="00A7350E" w:rsidRPr="000508B6">
        <w:rPr>
          <w:sz w:val="22"/>
          <w:szCs w:val="22"/>
          <w:lang w:val="ro-MD"/>
        </w:rPr>
        <w:t>reasigurătorului</w:t>
      </w:r>
      <w:proofErr w:type="spellEnd"/>
      <w:r w:rsidR="00A7350E" w:rsidRPr="000508B6">
        <w:rPr>
          <w:sz w:val="22"/>
          <w:szCs w:val="22"/>
          <w:lang w:val="ro-MD"/>
        </w:rPr>
        <w:t>,</w:t>
      </w:r>
      <w:r w:rsidRPr="000508B6">
        <w:rPr>
          <w:sz w:val="22"/>
          <w:szCs w:val="22"/>
          <w:lang w:val="ro-MD"/>
        </w:rPr>
        <w:t xml:space="preserve"> </w:t>
      </w:r>
      <w:proofErr w:type="spellStart"/>
      <w:r w:rsidR="00251D7A" w:rsidRPr="000508B6">
        <w:rPr>
          <w:sz w:val="22"/>
          <w:szCs w:val="22"/>
          <w:lang w:val="ro-MD"/>
        </w:rPr>
        <w:t>deţinătorilor</w:t>
      </w:r>
      <w:proofErr w:type="spellEnd"/>
      <w:r w:rsidR="00251D7A" w:rsidRPr="000508B6">
        <w:rPr>
          <w:sz w:val="22"/>
          <w:szCs w:val="22"/>
          <w:lang w:val="ro-MD"/>
        </w:rPr>
        <w:t xml:space="preserve"> </w:t>
      </w:r>
      <w:proofErr w:type="spellStart"/>
      <w:r w:rsidR="00251D7A" w:rsidRPr="000508B6">
        <w:rPr>
          <w:sz w:val="22"/>
          <w:szCs w:val="22"/>
          <w:lang w:val="ro-MD"/>
        </w:rPr>
        <w:t>direcţi</w:t>
      </w:r>
      <w:proofErr w:type="spellEnd"/>
      <w:r w:rsidR="00251D7A" w:rsidRPr="000508B6">
        <w:rPr>
          <w:sz w:val="22"/>
          <w:szCs w:val="22"/>
          <w:lang w:val="ro-MD"/>
        </w:rPr>
        <w:t xml:space="preserve"> </w:t>
      </w:r>
      <w:proofErr w:type="spellStart"/>
      <w:r w:rsidR="00251D7A" w:rsidRPr="000508B6">
        <w:rPr>
          <w:sz w:val="22"/>
          <w:szCs w:val="22"/>
          <w:lang w:val="ro-MD"/>
        </w:rPr>
        <w:t>şi</w:t>
      </w:r>
      <w:proofErr w:type="spellEnd"/>
      <w:r w:rsidR="00251D7A" w:rsidRPr="000508B6">
        <w:rPr>
          <w:sz w:val="22"/>
          <w:szCs w:val="22"/>
          <w:lang w:val="ro-MD"/>
        </w:rPr>
        <w:t xml:space="preserve"> </w:t>
      </w:r>
      <w:proofErr w:type="spellStart"/>
      <w:r w:rsidR="00251D7A" w:rsidRPr="000508B6">
        <w:rPr>
          <w:sz w:val="22"/>
          <w:szCs w:val="22"/>
          <w:lang w:val="ro-MD"/>
        </w:rPr>
        <w:t>indirecţi</w:t>
      </w:r>
      <w:proofErr w:type="spellEnd"/>
      <w:r w:rsidR="00251D7A" w:rsidRPr="000508B6">
        <w:rPr>
          <w:sz w:val="22"/>
          <w:szCs w:val="22"/>
          <w:lang w:val="ro-MD"/>
        </w:rPr>
        <w:t xml:space="preserve"> de </w:t>
      </w:r>
      <w:proofErr w:type="spellStart"/>
      <w:r w:rsidR="00251D7A" w:rsidRPr="000508B6">
        <w:rPr>
          <w:sz w:val="22"/>
          <w:szCs w:val="22"/>
          <w:lang w:val="ro-MD"/>
        </w:rPr>
        <w:t>acţiuni</w:t>
      </w:r>
      <w:proofErr w:type="spellEnd"/>
      <w:r w:rsidR="00251D7A" w:rsidRPr="000508B6">
        <w:rPr>
          <w:sz w:val="22"/>
          <w:szCs w:val="22"/>
          <w:lang w:val="ro-MD"/>
        </w:rPr>
        <w:t xml:space="preserve"> în capitalul social al asigurătorului</w:t>
      </w:r>
      <w:r w:rsidR="008C1430" w:rsidRPr="000508B6">
        <w:rPr>
          <w:sz w:val="22"/>
          <w:szCs w:val="22"/>
          <w:lang w:val="ro-MD"/>
        </w:rPr>
        <w:t xml:space="preserve"> </w:t>
      </w:r>
      <w:r w:rsidR="00251D7A" w:rsidRPr="000508B6">
        <w:rPr>
          <w:sz w:val="22"/>
          <w:szCs w:val="22"/>
          <w:lang w:val="ro-MD"/>
        </w:rPr>
        <w:t xml:space="preserve">sau </w:t>
      </w:r>
      <w:proofErr w:type="spellStart"/>
      <w:r w:rsidR="00251D7A" w:rsidRPr="000508B6">
        <w:rPr>
          <w:sz w:val="22"/>
          <w:szCs w:val="22"/>
          <w:lang w:val="ro-MD"/>
        </w:rPr>
        <w:t>reasigurătorului</w:t>
      </w:r>
      <w:proofErr w:type="spellEnd"/>
      <w:r w:rsidR="00251D7A" w:rsidRPr="000508B6">
        <w:rPr>
          <w:sz w:val="22"/>
          <w:szCs w:val="22"/>
          <w:lang w:val="ro-MD"/>
        </w:rPr>
        <w:t xml:space="preserve"> inclusiv</w:t>
      </w:r>
      <w:r w:rsidR="00F10E6C" w:rsidRPr="000508B6">
        <w:rPr>
          <w:sz w:val="22"/>
          <w:szCs w:val="22"/>
          <w:lang w:val="ro-MD"/>
        </w:rPr>
        <w:t xml:space="preserve"> beneficiarilor efectivi, </w:t>
      </w:r>
      <w:r w:rsidR="00F4642A" w:rsidRPr="000508B6">
        <w:rPr>
          <w:sz w:val="22"/>
          <w:szCs w:val="22"/>
          <w:lang w:val="ro-MD"/>
        </w:rPr>
        <w:t xml:space="preserve">persoanelor care conduc efectiv asigurătorul sau </w:t>
      </w:r>
      <w:proofErr w:type="spellStart"/>
      <w:r w:rsidR="00F4642A" w:rsidRPr="000508B6">
        <w:rPr>
          <w:sz w:val="22"/>
          <w:szCs w:val="22"/>
          <w:lang w:val="ro-MD"/>
        </w:rPr>
        <w:t>reasigurătorul</w:t>
      </w:r>
      <w:proofErr w:type="spellEnd"/>
      <w:r w:rsidR="00F10E6C" w:rsidRPr="000508B6">
        <w:rPr>
          <w:sz w:val="22"/>
          <w:szCs w:val="22"/>
          <w:lang w:val="ro-MD"/>
        </w:rPr>
        <w:t xml:space="preserve"> și persoanelor care dețin funcții critice</w:t>
      </w:r>
      <w:r w:rsidR="0031516F" w:rsidRPr="000508B6">
        <w:rPr>
          <w:sz w:val="22"/>
          <w:szCs w:val="22"/>
          <w:lang w:val="ro-MD"/>
        </w:rPr>
        <w:t xml:space="preserve"> următoarele </w:t>
      </w:r>
      <w:proofErr w:type="spellStart"/>
      <w:r w:rsidR="0031516F" w:rsidRPr="000508B6">
        <w:rPr>
          <w:sz w:val="22"/>
          <w:szCs w:val="22"/>
          <w:lang w:val="ro-MD"/>
        </w:rPr>
        <w:t>sancţiuni</w:t>
      </w:r>
      <w:proofErr w:type="spellEnd"/>
      <w:r w:rsidR="0031516F" w:rsidRPr="000508B6">
        <w:rPr>
          <w:sz w:val="22"/>
          <w:szCs w:val="22"/>
          <w:lang w:val="ro-MD"/>
        </w:rPr>
        <w:t>:</w:t>
      </w:r>
    </w:p>
    <w:p w14:paraId="2687F0FD" w14:textId="09EDD239" w:rsidR="00F07F2A" w:rsidRPr="000508B6" w:rsidRDefault="00F07F2A" w:rsidP="00CF5AFA">
      <w:pPr>
        <w:pStyle w:val="NormalWeb"/>
        <w:numPr>
          <w:ilvl w:val="1"/>
          <w:numId w:val="256"/>
        </w:numPr>
        <w:spacing w:before="0" w:beforeAutospacing="0" w:after="0" w:afterAutospacing="0"/>
        <w:ind w:firstLine="66"/>
        <w:jc w:val="both"/>
        <w:rPr>
          <w:sz w:val="22"/>
          <w:szCs w:val="22"/>
          <w:lang w:val="ro-MD"/>
        </w:rPr>
      </w:pPr>
      <w:r w:rsidRPr="000508B6">
        <w:rPr>
          <w:sz w:val="22"/>
          <w:szCs w:val="22"/>
          <w:lang w:val="ro-MD"/>
        </w:rPr>
        <w:t>avertisment în scris;</w:t>
      </w:r>
    </w:p>
    <w:p w14:paraId="2FEB5BC8" w14:textId="1B8B4306" w:rsidR="00F07F2A" w:rsidRPr="000508B6" w:rsidRDefault="00F07F2A" w:rsidP="00CF5AFA">
      <w:pPr>
        <w:pStyle w:val="NormalWeb"/>
        <w:numPr>
          <w:ilvl w:val="1"/>
          <w:numId w:val="256"/>
        </w:numPr>
        <w:spacing w:before="0" w:beforeAutospacing="0" w:after="0" w:afterAutospacing="0"/>
        <w:ind w:left="0" w:firstLine="426"/>
        <w:jc w:val="both"/>
        <w:rPr>
          <w:sz w:val="22"/>
          <w:szCs w:val="22"/>
          <w:lang w:val="ro-MD"/>
        </w:rPr>
      </w:pPr>
      <w:r w:rsidRPr="000508B6">
        <w:rPr>
          <w:sz w:val="22"/>
          <w:szCs w:val="22"/>
          <w:lang w:val="ro-MD"/>
        </w:rPr>
        <w:t xml:space="preserve">amendă aplicată </w:t>
      </w:r>
      <w:r w:rsidR="00E26579" w:rsidRPr="000508B6">
        <w:rPr>
          <w:sz w:val="22"/>
          <w:szCs w:val="22"/>
          <w:lang w:val="ro-MD"/>
        </w:rPr>
        <w:t xml:space="preserve">persoanelor care conduc efectiv </w:t>
      </w:r>
      <w:r w:rsidR="00D068AA" w:rsidRPr="000508B6">
        <w:rPr>
          <w:sz w:val="22"/>
          <w:szCs w:val="22"/>
          <w:lang w:val="ro-MD"/>
        </w:rPr>
        <w:t xml:space="preserve">asigurătorul sau </w:t>
      </w:r>
      <w:proofErr w:type="spellStart"/>
      <w:r w:rsidR="004125E8" w:rsidRPr="000508B6">
        <w:rPr>
          <w:sz w:val="22"/>
          <w:szCs w:val="22"/>
          <w:lang w:val="ro-MD"/>
        </w:rPr>
        <w:t>reasigurătorul</w:t>
      </w:r>
      <w:proofErr w:type="spellEnd"/>
      <w:r w:rsidRPr="000508B6">
        <w:rPr>
          <w:sz w:val="22"/>
          <w:szCs w:val="22"/>
          <w:lang w:val="ro-MD"/>
        </w:rPr>
        <w:t xml:space="preserve"> sau persoanei care </w:t>
      </w:r>
      <w:proofErr w:type="spellStart"/>
      <w:r w:rsidRPr="000508B6">
        <w:rPr>
          <w:sz w:val="22"/>
          <w:szCs w:val="22"/>
          <w:lang w:val="ro-MD"/>
        </w:rPr>
        <w:t>deţine</w:t>
      </w:r>
      <w:proofErr w:type="spellEnd"/>
      <w:r w:rsidRPr="000508B6">
        <w:rPr>
          <w:sz w:val="22"/>
          <w:szCs w:val="22"/>
          <w:lang w:val="ro-MD"/>
        </w:rPr>
        <w:t xml:space="preserve"> </w:t>
      </w:r>
      <w:proofErr w:type="spellStart"/>
      <w:r w:rsidRPr="000508B6">
        <w:rPr>
          <w:sz w:val="22"/>
          <w:szCs w:val="22"/>
          <w:lang w:val="ro-MD"/>
        </w:rPr>
        <w:t>funcţie</w:t>
      </w:r>
      <w:proofErr w:type="spellEnd"/>
      <w:r w:rsidR="00DA4374" w:rsidRPr="000508B6">
        <w:rPr>
          <w:sz w:val="22"/>
          <w:szCs w:val="22"/>
          <w:lang w:val="ro-MD"/>
        </w:rPr>
        <w:t xml:space="preserve"> </w:t>
      </w:r>
      <w:r w:rsidR="00DA1B6D" w:rsidRPr="000508B6">
        <w:rPr>
          <w:sz w:val="22"/>
          <w:szCs w:val="22"/>
          <w:lang w:val="ro-MD"/>
        </w:rPr>
        <w:t>critică</w:t>
      </w:r>
      <w:r w:rsidRPr="000508B6">
        <w:rPr>
          <w:sz w:val="22"/>
          <w:szCs w:val="22"/>
          <w:lang w:val="ro-MD"/>
        </w:rPr>
        <w:t xml:space="preserve">, din cadrul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Pr="000508B6">
        <w:rPr>
          <w:sz w:val="22"/>
          <w:szCs w:val="22"/>
          <w:lang w:val="ro-MD"/>
        </w:rPr>
        <w:t xml:space="preserve">, </w:t>
      </w:r>
      <w:r w:rsidR="00DA1B6D" w:rsidRPr="000508B6">
        <w:rPr>
          <w:sz w:val="22"/>
          <w:szCs w:val="22"/>
          <w:lang w:val="ro-MD"/>
        </w:rPr>
        <w:t>mandatarului</w:t>
      </w:r>
      <w:r w:rsidR="00763A55" w:rsidRPr="000508B6">
        <w:rPr>
          <w:sz w:val="22"/>
          <w:szCs w:val="22"/>
          <w:lang w:val="ro-MD"/>
        </w:rPr>
        <w:t xml:space="preserve"> general</w:t>
      </w:r>
      <w:r w:rsidRPr="000508B6">
        <w:rPr>
          <w:sz w:val="22"/>
          <w:szCs w:val="22"/>
          <w:lang w:val="ro-MD"/>
        </w:rPr>
        <w:t xml:space="preserve"> din cadrul sucursalei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Pr="000508B6">
        <w:rPr>
          <w:sz w:val="22"/>
          <w:szCs w:val="22"/>
          <w:lang w:val="ro-MD"/>
        </w:rPr>
        <w:t xml:space="preserve"> din statele </w:t>
      </w:r>
      <w:proofErr w:type="spellStart"/>
      <w:r w:rsidRPr="000508B6">
        <w:rPr>
          <w:sz w:val="22"/>
          <w:szCs w:val="22"/>
          <w:lang w:val="ro-MD"/>
        </w:rPr>
        <w:t>terţe</w:t>
      </w:r>
      <w:proofErr w:type="spellEnd"/>
      <w:r w:rsidRPr="000508B6">
        <w:rPr>
          <w:sz w:val="22"/>
          <w:szCs w:val="22"/>
          <w:lang w:val="ro-MD"/>
        </w:rPr>
        <w:t xml:space="preserve">, în mărime de la 1 la 100 de salarii medii ale persoanei fizice </w:t>
      </w:r>
      <w:proofErr w:type="spellStart"/>
      <w:r w:rsidRPr="000508B6">
        <w:rPr>
          <w:sz w:val="22"/>
          <w:szCs w:val="22"/>
          <w:lang w:val="ro-MD"/>
        </w:rPr>
        <w:t>sancţionate</w:t>
      </w:r>
      <w:proofErr w:type="spellEnd"/>
      <w:r w:rsidRPr="000508B6">
        <w:rPr>
          <w:sz w:val="22"/>
          <w:szCs w:val="22"/>
          <w:lang w:val="ro-MD"/>
        </w:rPr>
        <w:t xml:space="preserve">, care includ toate beneficiile (suplimente, prime </w:t>
      </w:r>
      <w:proofErr w:type="spellStart"/>
      <w:r w:rsidRPr="000508B6">
        <w:rPr>
          <w:sz w:val="22"/>
          <w:szCs w:val="22"/>
          <w:lang w:val="ro-MD"/>
        </w:rPr>
        <w:t>şi</w:t>
      </w:r>
      <w:proofErr w:type="spellEnd"/>
      <w:r w:rsidRPr="000508B6">
        <w:rPr>
          <w:sz w:val="22"/>
          <w:szCs w:val="22"/>
          <w:lang w:val="ro-MD"/>
        </w:rPr>
        <w:t xml:space="preserve"> alte adaosuri la salariul de </w:t>
      </w:r>
      <w:proofErr w:type="spellStart"/>
      <w:r w:rsidRPr="000508B6">
        <w:rPr>
          <w:sz w:val="22"/>
          <w:szCs w:val="22"/>
          <w:lang w:val="ro-MD"/>
        </w:rPr>
        <w:t>funcţie</w:t>
      </w:r>
      <w:proofErr w:type="spellEnd"/>
      <w:r w:rsidRPr="000508B6">
        <w:rPr>
          <w:sz w:val="22"/>
          <w:szCs w:val="22"/>
          <w:lang w:val="ro-MD"/>
        </w:rPr>
        <w:t>), fiind luat în calcul salariul mediu pentru:</w:t>
      </w:r>
    </w:p>
    <w:p w14:paraId="732CC971" w14:textId="3A2BA609" w:rsidR="00F07F2A" w:rsidRPr="000508B6" w:rsidRDefault="00F8362F" w:rsidP="001338D4">
      <w:pPr>
        <w:pStyle w:val="NormalWeb"/>
        <w:numPr>
          <w:ilvl w:val="2"/>
          <w:numId w:val="244"/>
        </w:numPr>
        <w:spacing w:before="0" w:beforeAutospacing="0" w:after="0" w:afterAutospacing="0"/>
        <w:ind w:left="0" w:firstLine="709"/>
        <w:jc w:val="both"/>
        <w:rPr>
          <w:sz w:val="22"/>
          <w:szCs w:val="22"/>
          <w:lang w:val="ro-MD"/>
        </w:rPr>
      </w:pPr>
      <w:r w:rsidRPr="000508B6">
        <w:rPr>
          <w:sz w:val="22"/>
          <w:szCs w:val="22"/>
          <w:lang w:val="ro-MD"/>
        </w:rPr>
        <w:t xml:space="preserve"> </w:t>
      </w:r>
      <w:r w:rsidR="00F07F2A" w:rsidRPr="000508B6">
        <w:rPr>
          <w:sz w:val="22"/>
          <w:szCs w:val="22"/>
          <w:lang w:val="ro-MD"/>
        </w:rPr>
        <w:t xml:space="preserve">ultimele 12 luni lucrate în cadrul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00F07F2A" w:rsidRPr="000508B6">
        <w:rPr>
          <w:sz w:val="22"/>
          <w:szCs w:val="22"/>
          <w:lang w:val="ro-MD"/>
        </w:rPr>
        <w:t xml:space="preserve"> respective, precedente datei la care s-a constatat fapta;</w:t>
      </w:r>
    </w:p>
    <w:p w14:paraId="1838E053" w14:textId="2B86163C" w:rsidR="00F07F2A" w:rsidRPr="000508B6" w:rsidRDefault="00F8362F" w:rsidP="001338D4">
      <w:pPr>
        <w:pStyle w:val="NormalWeb"/>
        <w:numPr>
          <w:ilvl w:val="2"/>
          <w:numId w:val="244"/>
        </w:numPr>
        <w:spacing w:before="0" w:beforeAutospacing="0" w:after="0" w:afterAutospacing="0"/>
        <w:ind w:left="0" w:firstLine="709"/>
        <w:jc w:val="both"/>
        <w:rPr>
          <w:sz w:val="22"/>
          <w:szCs w:val="22"/>
          <w:lang w:val="ro-MD"/>
        </w:rPr>
      </w:pPr>
      <w:r w:rsidRPr="000508B6">
        <w:rPr>
          <w:sz w:val="22"/>
          <w:szCs w:val="22"/>
          <w:lang w:val="ro-MD"/>
        </w:rPr>
        <w:t xml:space="preserve"> </w:t>
      </w:r>
      <w:r w:rsidR="00F07F2A" w:rsidRPr="000508B6">
        <w:rPr>
          <w:sz w:val="22"/>
          <w:szCs w:val="22"/>
          <w:lang w:val="ro-MD"/>
        </w:rPr>
        <w:t xml:space="preserve">perioada totală lucrată în cadrul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00F07F2A" w:rsidRPr="000508B6">
        <w:rPr>
          <w:sz w:val="22"/>
          <w:szCs w:val="22"/>
          <w:lang w:val="ro-MD"/>
        </w:rPr>
        <w:t xml:space="preserve"> respective, precedentă datei la care s-a constatat fapta, dacă perioada respectivă este mai mică de 12 luni;</w:t>
      </w:r>
    </w:p>
    <w:p w14:paraId="590295C2" w14:textId="6885A4AD" w:rsidR="00F07F2A" w:rsidRPr="000508B6" w:rsidRDefault="00F8362F" w:rsidP="001338D4">
      <w:pPr>
        <w:pStyle w:val="NormalWeb"/>
        <w:numPr>
          <w:ilvl w:val="2"/>
          <w:numId w:val="244"/>
        </w:numPr>
        <w:spacing w:before="0" w:beforeAutospacing="0" w:after="0" w:afterAutospacing="0"/>
        <w:ind w:left="0" w:firstLine="709"/>
        <w:jc w:val="both"/>
        <w:rPr>
          <w:sz w:val="22"/>
          <w:szCs w:val="22"/>
          <w:lang w:val="ro-MD"/>
        </w:rPr>
      </w:pPr>
      <w:r w:rsidRPr="000508B6">
        <w:rPr>
          <w:sz w:val="22"/>
          <w:szCs w:val="22"/>
          <w:lang w:val="ro-MD"/>
        </w:rPr>
        <w:t xml:space="preserve"> </w:t>
      </w:r>
      <w:r w:rsidR="00F07F2A" w:rsidRPr="000508B6">
        <w:rPr>
          <w:sz w:val="22"/>
          <w:szCs w:val="22"/>
          <w:lang w:val="ro-MD"/>
        </w:rPr>
        <w:t xml:space="preserve">ultimele 12 luni lucrate în cadrul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00F07F2A" w:rsidRPr="000508B6">
        <w:rPr>
          <w:sz w:val="22"/>
          <w:szCs w:val="22"/>
          <w:lang w:val="ro-MD"/>
        </w:rPr>
        <w:t xml:space="preserve"> respectiv, în cazul în care raporturile de muncă au încetat înainte de data la care s-a constatat fapta;</w:t>
      </w:r>
    </w:p>
    <w:p w14:paraId="533829DD" w14:textId="178C93FE" w:rsidR="00F07F2A" w:rsidRPr="000508B6" w:rsidRDefault="00F8362F" w:rsidP="001338D4">
      <w:pPr>
        <w:pStyle w:val="NormalWeb"/>
        <w:numPr>
          <w:ilvl w:val="2"/>
          <w:numId w:val="244"/>
        </w:numPr>
        <w:spacing w:before="0" w:beforeAutospacing="0" w:after="0" w:afterAutospacing="0"/>
        <w:ind w:left="0" w:firstLine="709"/>
        <w:jc w:val="both"/>
        <w:rPr>
          <w:sz w:val="22"/>
          <w:szCs w:val="22"/>
          <w:lang w:val="ro-MD"/>
        </w:rPr>
      </w:pPr>
      <w:r w:rsidRPr="000508B6">
        <w:rPr>
          <w:sz w:val="22"/>
          <w:szCs w:val="22"/>
          <w:lang w:val="ro-MD"/>
        </w:rPr>
        <w:lastRenderedPageBreak/>
        <w:t xml:space="preserve"> </w:t>
      </w:r>
      <w:r w:rsidR="00F07F2A" w:rsidRPr="000508B6">
        <w:rPr>
          <w:sz w:val="22"/>
          <w:szCs w:val="22"/>
          <w:lang w:val="ro-MD"/>
        </w:rPr>
        <w:t xml:space="preserve">perioada totală lucrată în cadrul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00F07F2A" w:rsidRPr="000508B6">
        <w:rPr>
          <w:sz w:val="22"/>
          <w:szCs w:val="22"/>
          <w:lang w:val="ro-MD"/>
        </w:rPr>
        <w:t xml:space="preserve"> respectiv, în cazul în care perioada respectivă este mai mică de 12 luni </w:t>
      </w:r>
      <w:proofErr w:type="spellStart"/>
      <w:r w:rsidR="00F07F2A" w:rsidRPr="000508B6">
        <w:rPr>
          <w:sz w:val="22"/>
          <w:szCs w:val="22"/>
          <w:lang w:val="ro-MD"/>
        </w:rPr>
        <w:t>şi</w:t>
      </w:r>
      <w:proofErr w:type="spellEnd"/>
      <w:r w:rsidR="00F07F2A" w:rsidRPr="000508B6">
        <w:rPr>
          <w:sz w:val="22"/>
          <w:szCs w:val="22"/>
          <w:lang w:val="ro-MD"/>
        </w:rPr>
        <w:t xml:space="preserve"> raporturile de muncă au încetat înainte de data la care s-a constatat fapta;</w:t>
      </w:r>
    </w:p>
    <w:p w14:paraId="2CAADCD3" w14:textId="4C275340" w:rsidR="00F07F2A" w:rsidRPr="000508B6" w:rsidRDefault="00F07F2A" w:rsidP="00CF5AFA">
      <w:pPr>
        <w:pStyle w:val="NormalWeb"/>
        <w:numPr>
          <w:ilvl w:val="1"/>
          <w:numId w:val="256"/>
        </w:numPr>
        <w:tabs>
          <w:tab w:val="left" w:pos="709"/>
        </w:tabs>
        <w:spacing w:before="0" w:beforeAutospacing="0" w:after="0" w:afterAutospacing="0"/>
        <w:ind w:left="0" w:firstLine="426"/>
        <w:jc w:val="both"/>
        <w:rPr>
          <w:sz w:val="22"/>
          <w:szCs w:val="22"/>
          <w:lang w:val="ro-MD"/>
        </w:rPr>
      </w:pPr>
      <w:r w:rsidRPr="000508B6">
        <w:rPr>
          <w:sz w:val="22"/>
          <w:szCs w:val="22"/>
          <w:lang w:val="ro-MD"/>
        </w:rPr>
        <w:t xml:space="preserve">amendă aplicată persoanei fizice care exercită </w:t>
      </w:r>
      <w:proofErr w:type="spellStart"/>
      <w:r w:rsidRPr="000508B6">
        <w:rPr>
          <w:sz w:val="22"/>
          <w:szCs w:val="22"/>
          <w:lang w:val="ro-MD"/>
        </w:rPr>
        <w:t>atribuţiile</w:t>
      </w:r>
      <w:proofErr w:type="spellEnd"/>
      <w:r w:rsidRPr="000508B6">
        <w:rPr>
          <w:sz w:val="22"/>
          <w:szCs w:val="22"/>
          <w:lang w:val="ro-MD"/>
        </w:rPr>
        <w:t xml:space="preserve"> </w:t>
      </w:r>
      <w:proofErr w:type="spellStart"/>
      <w:r w:rsidRPr="000508B6">
        <w:rPr>
          <w:sz w:val="22"/>
          <w:szCs w:val="22"/>
          <w:lang w:val="ro-MD"/>
        </w:rPr>
        <w:t>funcţiei</w:t>
      </w:r>
      <w:proofErr w:type="spellEnd"/>
      <w:r w:rsidRPr="000508B6">
        <w:rPr>
          <w:sz w:val="22"/>
          <w:szCs w:val="22"/>
          <w:lang w:val="ro-MD"/>
        </w:rPr>
        <w:t xml:space="preserve"> actuariale în mărime de la 10000 de lei la 1 milion de lei;</w:t>
      </w:r>
    </w:p>
    <w:p w14:paraId="66734C69" w14:textId="07432231" w:rsidR="00F07F2A" w:rsidRPr="000508B6" w:rsidRDefault="00F07F2A" w:rsidP="00CF5AFA">
      <w:pPr>
        <w:pStyle w:val="NormalWeb"/>
        <w:numPr>
          <w:ilvl w:val="1"/>
          <w:numId w:val="256"/>
        </w:numPr>
        <w:tabs>
          <w:tab w:val="left" w:pos="709"/>
          <w:tab w:val="left" w:pos="993"/>
        </w:tabs>
        <w:spacing w:before="0" w:beforeAutospacing="0" w:after="0" w:afterAutospacing="0"/>
        <w:ind w:left="0" w:firstLine="426"/>
        <w:jc w:val="both"/>
        <w:rPr>
          <w:sz w:val="22"/>
          <w:szCs w:val="22"/>
          <w:lang w:val="ro-MD"/>
        </w:rPr>
      </w:pPr>
      <w:r w:rsidRPr="000508B6">
        <w:rPr>
          <w:sz w:val="22"/>
          <w:szCs w:val="22"/>
          <w:lang w:val="ro-MD"/>
        </w:rPr>
        <w:t xml:space="preserve">amendă de până la 15% din </w:t>
      </w:r>
      <w:r w:rsidR="006C1C25" w:rsidRPr="000508B6">
        <w:rPr>
          <w:sz w:val="22"/>
          <w:szCs w:val="22"/>
          <w:lang w:val="ro-MD"/>
        </w:rPr>
        <w:t>MCR</w:t>
      </w:r>
      <w:r w:rsidRPr="000508B6">
        <w:rPr>
          <w:sz w:val="22"/>
          <w:szCs w:val="22"/>
          <w:lang w:val="ro-MD"/>
        </w:rPr>
        <w:t xml:space="preserve"> aplicată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Pr="000508B6">
        <w:rPr>
          <w:sz w:val="22"/>
          <w:szCs w:val="22"/>
          <w:lang w:val="ro-MD"/>
        </w:rPr>
        <w:t xml:space="preserve"> ori sucursalelor </w:t>
      </w:r>
      <w:r w:rsidR="00AB043B" w:rsidRPr="000508B6">
        <w:rPr>
          <w:sz w:val="22"/>
          <w:szCs w:val="22"/>
          <w:lang w:val="ro-MD"/>
        </w:rPr>
        <w:t xml:space="preserve">asigurătorului sau </w:t>
      </w:r>
      <w:proofErr w:type="spellStart"/>
      <w:r w:rsidR="00AB043B" w:rsidRPr="000508B6">
        <w:rPr>
          <w:sz w:val="22"/>
          <w:szCs w:val="22"/>
          <w:lang w:val="ro-MD"/>
        </w:rPr>
        <w:t>reasigurătorului</w:t>
      </w:r>
      <w:proofErr w:type="spellEnd"/>
      <w:r w:rsidR="00AB043B" w:rsidRPr="000508B6">
        <w:rPr>
          <w:sz w:val="22"/>
          <w:szCs w:val="22"/>
          <w:lang w:val="ro-MD"/>
        </w:rPr>
        <w:t xml:space="preserve"> </w:t>
      </w:r>
      <w:r w:rsidRPr="000508B6">
        <w:rPr>
          <w:sz w:val="22"/>
          <w:szCs w:val="22"/>
          <w:lang w:val="ro-MD"/>
        </w:rPr>
        <w:t>din</w:t>
      </w:r>
      <w:r w:rsidR="000C68BD" w:rsidRPr="000508B6">
        <w:rPr>
          <w:sz w:val="22"/>
          <w:szCs w:val="22"/>
          <w:lang w:val="ro-MD"/>
        </w:rPr>
        <w:t>tr-un</w:t>
      </w:r>
      <w:r w:rsidRPr="000508B6">
        <w:rPr>
          <w:sz w:val="22"/>
          <w:szCs w:val="22"/>
          <w:lang w:val="ro-MD"/>
        </w:rPr>
        <w:t xml:space="preserve"> stat </w:t>
      </w:r>
      <w:proofErr w:type="spellStart"/>
      <w:r w:rsidRPr="000508B6">
        <w:rPr>
          <w:sz w:val="22"/>
          <w:szCs w:val="22"/>
          <w:lang w:val="ro-MD"/>
        </w:rPr>
        <w:t>terţ</w:t>
      </w:r>
      <w:proofErr w:type="spellEnd"/>
      <w:r w:rsidRPr="000508B6">
        <w:rPr>
          <w:sz w:val="22"/>
          <w:szCs w:val="22"/>
          <w:lang w:val="ro-MD"/>
        </w:rPr>
        <w:t xml:space="preserve"> conform </w:t>
      </w:r>
      <w:r w:rsidR="004724D2" w:rsidRPr="000508B6">
        <w:rPr>
          <w:sz w:val="22"/>
          <w:szCs w:val="22"/>
          <w:lang w:val="ro-MD"/>
        </w:rPr>
        <w:t xml:space="preserve">activității </w:t>
      </w:r>
      <w:r w:rsidRPr="000508B6">
        <w:rPr>
          <w:sz w:val="22"/>
          <w:szCs w:val="22"/>
          <w:lang w:val="ro-MD"/>
        </w:rPr>
        <w:t xml:space="preserve">de </w:t>
      </w:r>
      <w:r w:rsidR="00B972AB" w:rsidRPr="000508B6">
        <w:rPr>
          <w:sz w:val="22"/>
          <w:szCs w:val="22"/>
          <w:lang w:val="ro-MD"/>
        </w:rPr>
        <w:t>asigurare</w:t>
      </w:r>
      <w:r w:rsidRPr="000508B6">
        <w:rPr>
          <w:sz w:val="22"/>
          <w:szCs w:val="22"/>
          <w:lang w:val="ro-MD"/>
        </w:rPr>
        <w:t xml:space="preserve"> </w:t>
      </w:r>
      <w:r w:rsidR="004724D2" w:rsidRPr="000508B6">
        <w:rPr>
          <w:sz w:val="22"/>
          <w:szCs w:val="22"/>
          <w:lang w:val="ro-MD"/>
        </w:rPr>
        <w:t xml:space="preserve">generală sau de viață </w:t>
      </w:r>
      <w:r w:rsidRPr="000508B6">
        <w:rPr>
          <w:sz w:val="22"/>
          <w:szCs w:val="22"/>
          <w:lang w:val="ro-MD"/>
        </w:rPr>
        <w:t xml:space="preserve">sau </w:t>
      </w:r>
      <w:proofErr w:type="spellStart"/>
      <w:r w:rsidRPr="000508B6">
        <w:rPr>
          <w:sz w:val="22"/>
          <w:szCs w:val="22"/>
          <w:lang w:val="ro-MD"/>
        </w:rPr>
        <w:t>activităţii</w:t>
      </w:r>
      <w:proofErr w:type="spellEnd"/>
      <w:r w:rsidRPr="000508B6">
        <w:rPr>
          <w:sz w:val="22"/>
          <w:szCs w:val="22"/>
          <w:lang w:val="ro-MD"/>
        </w:rPr>
        <w:t xml:space="preserve"> de </w:t>
      </w:r>
      <w:r w:rsidR="00B972AB" w:rsidRPr="000508B6">
        <w:rPr>
          <w:sz w:val="22"/>
          <w:szCs w:val="22"/>
          <w:lang w:val="ro-MD"/>
        </w:rPr>
        <w:t>reasigurare</w:t>
      </w:r>
      <w:r w:rsidRPr="000508B6">
        <w:rPr>
          <w:sz w:val="22"/>
          <w:szCs w:val="22"/>
          <w:lang w:val="ro-MD"/>
        </w:rPr>
        <w:t xml:space="preserve"> în care s-a constatat </w:t>
      </w:r>
      <w:r w:rsidR="00E26579" w:rsidRPr="000508B6">
        <w:rPr>
          <w:sz w:val="22"/>
          <w:szCs w:val="22"/>
          <w:lang w:val="ro-MD"/>
        </w:rPr>
        <w:t>fapta sancționatoare</w:t>
      </w:r>
      <w:r w:rsidRPr="000508B6">
        <w:rPr>
          <w:sz w:val="22"/>
          <w:szCs w:val="22"/>
          <w:lang w:val="ro-MD"/>
        </w:rPr>
        <w:t>;</w:t>
      </w:r>
    </w:p>
    <w:p w14:paraId="66D41619" w14:textId="09B2E6D8" w:rsidR="00E26579" w:rsidRPr="000508B6" w:rsidRDefault="00E26579" w:rsidP="00CF5AFA">
      <w:pPr>
        <w:pStyle w:val="NormalWeb"/>
        <w:numPr>
          <w:ilvl w:val="1"/>
          <w:numId w:val="256"/>
        </w:numPr>
        <w:tabs>
          <w:tab w:val="left" w:pos="709"/>
        </w:tabs>
        <w:spacing w:after="0"/>
        <w:ind w:left="0" w:firstLine="426"/>
        <w:jc w:val="both"/>
        <w:rPr>
          <w:sz w:val="22"/>
          <w:szCs w:val="22"/>
          <w:lang w:val="ro-MD"/>
        </w:rPr>
      </w:pPr>
      <w:r w:rsidRPr="000508B6">
        <w:rPr>
          <w:sz w:val="22"/>
          <w:szCs w:val="22"/>
          <w:lang w:val="ro-MD"/>
        </w:rPr>
        <w:t xml:space="preserve">interzicerea temporară sau definitivă, totală sau </w:t>
      </w:r>
      <w:proofErr w:type="spellStart"/>
      <w:r w:rsidRPr="000508B6">
        <w:rPr>
          <w:sz w:val="22"/>
          <w:szCs w:val="22"/>
          <w:lang w:val="ro-MD"/>
        </w:rPr>
        <w:t>parţială</w:t>
      </w:r>
      <w:proofErr w:type="spellEnd"/>
      <w:r w:rsidRPr="000508B6">
        <w:rPr>
          <w:sz w:val="22"/>
          <w:szCs w:val="22"/>
          <w:lang w:val="ro-MD"/>
        </w:rPr>
        <w:t xml:space="preserve">, a exercitării </w:t>
      </w:r>
      <w:proofErr w:type="spellStart"/>
      <w:r w:rsidRPr="000508B6">
        <w:rPr>
          <w:sz w:val="22"/>
          <w:szCs w:val="22"/>
          <w:lang w:val="ro-MD"/>
        </w:rPr>
        <w:t>activităţii</w:t>
      </w:r>
      <w:proofErr w:type="spellEnd"/>
      <w:r w:rsidRPr="000508B6">
        <w:rPr>
          <w:sz w:val="22"/>
          <w:szCs w:val="22"/>
          <w:lang w:val="ro-MD"/>
        </w:rPr>
        <w:t xml:space="preserve"> de asigurare </w:t>
      </w:r>
      <w:proofErr w:type="spellStart"/>
      <w:r w:rsidRPr="000508B6">
        <w:rPr>
          <w:sz w:val="22"/>
          <w:szCs w:val="22"/>
          <w:lang w:val="ro-MD"/>
        </w:rPr>
        <w:t>şi</w:t>
      </w:r>
      <w:proofErr w:type="spellEnd"/>
      <w:r w:rsidRPr="000508B6">
        <w:rPr>
          <w:sz w:val="22"/>
          <w:szCs w:val="22"/>
          <w:lang w:val="ro-MD"/>
        </w:rPr>
        <w:t>/sau de reasigurare, pentru una sau mai multe clase de asigurare;</w:t>
      </w:r>
    </w:p>
    <w:p w14:paraId="7C152000" w14:textId="33587C27" w:rsidR="00F07F2A" w:rsidRPr="000508B6" w:rsidRDefault="00E26579" w:rsidP="00CF5AFA">
      <w:pPr>
        <w:pStyle w:val="NormalWeb"/>
        <w:numPr>
          <w:ilvl w:val="1"/>
          <w:numId w:val="256"/>
        </w:numPr>
        <w:tabs>
          <w:tab w:val="left" w:pos="709"/>
        </w:tabs>
        <w:spacing w:before="0" w:beforeAutospacing="0" w:after="0" w:afterAutospacing="0"/>
        <w:ind w:left="0" w:firstLine="426"/>
        <w:jc w:val="both"/>
        <w:rPr>
          <w:sz w:val="22"/>
          <w:szCs w:val="22"/>
          <w:lang w:val="ro-MD"/>
        </w:rPr>
      </w:pPr>
      <w:r w:rsidRPr="000508B6">
        <w:rPr>
          <w:sz w:val="22"/>
          <w:szCs w:val="22"/>
          <w:lang w:val="ro-MD"/>
        </w:rPr>
        <w:t>retragerea</w:t>
      </w:r>
      <w:r w:rsidR="002C49EA" w:rsidRPr="000508B6">
        <w:rPr>
          <w:sz w:val="22"/>
          <w:szCs w:val="22"/>
          <w:lang w:val="ro-MD"/>
        </w:rPr>
        <w:t xml:space="preserve"> licenței</w:t>
      </w:r>
      <w:r w:rsidRPr="000508B6">
        <w:rPr>
          <w:sz w:val="22"/>
          <w:szCs w:val="22"/>
          <w:lang w:val="ro-MD"/>
        </w:rPr>
        <w:t>, totală sau pentru una sau mai multe clase de asigurare;</w:t>
      </w:r>
    </w:p>
    <w:p w14:paraId="51799FE7" w14:textId="06198717" w:rsidR="00F07F2A" w:rsidRPr="000508B6" w:rsidRDefault="00F07F2A" w:rsidP="00CF5AFA">
      <w:pPr>
        <w:pStyle w:val="NormalWeb"/>
        <w:numPr>
          <w:ilvl w:val="1"/>
          <w:numId w:val="256"/>
        </w:numPr>
        <w:tabs>
          <w:tab w:val="left" w:pos="709"/>
        </w:tabs>
        <w:spacing w:before="0" w:beforeAutospacing="0" w:after="0" w:afterAutospacing="0"/>
        <w:ind w:left="0" w:firstLine="426"/>
        <w:jc w:val="both"/>
        <w:rPr>
          <w:sz w:val="22"/>
          <w:szCs w:val="22"/>
          <w:lang w:val="ro-MD"/>
        </w:rPr>
      </w:pPr>
      <w:r w:rsidRPr="000508B6">
        <w:rPr>
          <w:sz w:val="22"/>
          <w:szCs w:val="22"/>
          <w:lang w:val="ro-MD"/>
        </w:rPr>
        <w:t xml:space="preserve">amendă aplicată </w:t>
      </w:r>
      <w:proofErr w:type="spellStart"/>
      <w:r w:rsidR="00BB326B" w:rsidRPr="000508B6">
        <w:rPr>
          <w:sz w:val="22"/>
          <w:szCs w:val="22"/>
          <w:lang w:val="ro-MD"/>
        </w:rPr>
        <w:t>deţinătorilor</w:t>
      </w:r>
      <w:proofErr w:type="spellEnd"/>
      <w:r w:rsidR="00BB326B" w:rsidRPr="000508B6">
        <w:rPr>
          <w:sz w:val="22"/>
          <w:szCs w:val="22"/>
          <w:lang w:val="ro-MD"/>
        </w:rPr>
        <w:t xml:space="preserve"> </w:t>
      </w:r>
      <w:proofErr w:type="spellStart"/>
      <w:r w:rsidR="00BB326B" w:rsidRPr="000508B6">
        <w:rPr>
          <w:sz w:val="22"/>
          <w:szCs w:val="22"/>
          <w:lang w:val="ro-MD"/>
        </w:rPr>
        <w:t>direcţi</w:t>
      </w:r>
      <w:proofErr w:type="spellEnd"/>
      <w:r w:rsidR="00BB326B" w:rsidRPr="000508B6">
        <w:rPr>
          <w:sz w:val="22"/>
          <w:szCs w:val="22"/>
          <w:lang w:val="ro-MD"/>
        </w:rPr>
        <w:t xml:space="preserve"> </w:t>
      </w:r>
      <w:proofErr w:type="spellStart"/>
      <w:r w:rsidR="00BB326B" w:rsidRPr="000508B6">
        <w:rPr>
          <w:sz w:val="22"/>
          <w:szCs w:val="22"/>
          <w:lang w:val="ro-MD"/>
        </w:rPr>
        <w:t>şi</w:t>
      </w:r>
      <w:proofErr w:type="spellEnd"/>
      <w:r w:rsidR="00BB326B" w:rsidRPr="000508B6">
        <w:rPr>
          <w:sz w:val="22"/>
          <w:szCs w:val="22"/>
          <w:lang w:val="ro-MD"/>
        </w:rPr>
        <w:t xml:space="preserve"> </w:t>
      </w:r>
      <w:proofErr w:type="spellStart"/>
      <w:r w:rsidR="00BB326B" w:rsidRPr="000508B6">
        <w:rPr>
          <w:sz w:val="22"/>
          <w:szCs w:val="22"/>
          <w:lang w:val="ro-MD"/>
        </w:rPr>
        <w:t>indirecţi</w:t>
      </w:r>
      <w:proofErr w:type="spellEnd"/>
      <w:r w:rsidR="00BB326B" w:rsidRPr="000508B6">
        <w:rPr>
          <w:sz w:val="22"/>
          <w:szCs w:val="22"/>
          <w:lang w:val="ro-MD"/>
        </w:rPr>
        <w:t xml:space="preserve"> de </w:t>
      </w:r>
      <w:proofErr w:type="spellStart"/>
      <w:r w:rsidR="00BB326B" w:rsidRPr="000508B6">
        <w:rPr>
          <w:sz w:val="22"/>
          <w:szCs w:val="22"/>
          <w:lang w:val="ro-MD"/>
        </w:rPr>
        <w:t>acţiuni</w:t>
      </w:r>
      <w:proofErr w:type="spellEnd"/>
      <w:r w:rsidR="00BB326B" w:rsidRPr="000508B6">
        <w:rPr>
          <w:sz w:val="22"/>
          <w:szCs w:val="22"/>
          <w:lang w:val="ro-MD"/>
        </w:rPr>
        <w:t xml:space="preserve"> în capitalul social al asigurătorului sau </w:t>
      </w:r>
      <w:proofErr w:type="spellStart"/>
      <w:r w:rsidR="00BB326B" w:rsidRPr="000508B6">
        <w:rPr>
          <w:sz w:val="22"/>
          <w:szCs w:val="22"/>
          <w:lang w:val="ro-MD"/>
        </w:rPr>
        <w:t>reasigurătorului</w:t>
      </w:r>
      <w:proofErr w:type="spellEnd"/>
      <w:r w:rsidR="00BB326B" w:rsidRPr="000508B6">
        <w:rPr>
          <w:sz w:val="22"/>
          <w:szCs w:val="22"/>
          <w:lang w:val="ro-MD"/>
        </w:rPr>
        <w:t xml:space="preserve"> și/sau beneficiarului efectiv</w:t>
      </w:r>
      <w:r w:rsidR="00BB326B" w:rsidRPr="000508B6" w:rsidDel="00BB326B">
        <w:rPr>
          <w:sz w:val="22"/>
          <w:szCs w:val="22"/>
          <w:lang w:val="ro-MD"/>
        </w:rPr>
        <w:t xml:space="preserve"> </w:t>
      </w:r>
      <w:r w:rsidRPr="000508B6">
        <w:rPr>
          <w:sz w:val="22"/>
          <w:szCs w:val="22"/>
          <w:lang w:val="ro-MD"/>
        </w:rPr>
        <w:t xml:space="preserve">– până la 100% din mărimea </w:t>
      </w:r>
      <w:r w:rsidR="00A875AD" w:rsidRPr="000508B6">
        <w:rPr>
          <w:sz w:val="22"/>
          <w:szCs w:val="22"/>
          <w:lang w:val="ro-MD"/>
        </w:rPr>
        <w:t xml:space="preserve">participației </w:t>
      </w:r>
      <w:r w:rsidRPr="000508B6">
        <w:rPr>
          <w:sz w:val="22"/>
          <w:szCs w:val="22"/>
          <w:lang w:val="ro-MD"/>
        </w:rPr>
        <w:t xml:space="preserve">în capitalul social al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Pr="000508B6">
        <w:rPr>
          <w:sz w:val="22"/>
          <w:szCs w:val="22"/>
          <w:lang w:val="ro-MD"/>
        </w:rPr>
        <w:t>, calculată la valoarea nominală;</w:t>
      </w:r>
    </w:p>
    <w:p w14:paraId="04C21F85" w14:textId="625E6011" w:rsidR="00E26579" w:rsidRPr="000508B6" w:rsidRDefault="00E26579" w:rsidP="00CF5AFA">
      <w:pPr>
        <w:pStyle w:val="NormalWeb"/>
        <w:numPr>
          <w:ilvl w:val="1"/>
          <w:numId w:val="256"/>
        </w:numPr>
        <w:tabs>
          <w:tab w:val="left" w:pos="709"/>
        </w:tabs>
        <w:spacing w:after="0"/>
        <w:ind w:left="0" w:firstLine="426"/>
        <w:jc w:val="both"/>
        <w:rPr>
          <w:sz w:val="22"/>
          <w:szCs w:val="22"/>
          <w:lang w:val="ro-MD"/>
        </w:rPr>
      </w:pPr>
      <w:r w:rsidRPr="000508B6">
        <w:rPr>
          <w:sz w:val="22"/>
          <w:szCs w:val="22"/>
          <w:lang w:val="ro-MD"/>
        </w:rPr>
        <w:t xml:space="preserve">retragerea aprobării acordate de </w:t>
      </w:r>
      <w:r w:rsidR="00B55EB1" w:rsidRPr="000508B6">
        <w:rPr>
          <w:sz w:val="22"/>
          <w:szCs w:val="22"/>
          <w:lang w:val="ro-MD"/>
        </w:rPr>
        <w:t>Banca Națională a Moldovei</w:t>
      </w:r>
      <w:r w:rsidRPr="000508B6">
        <w:rPr>
          <w:sz w:val="22"/>
          <w:szCs w:val="22"/>
          <w:lang w:val="ro-MD"/>
        </w:rPr>
        <w:t>;</w:t>
      </w:r>
    </w:p>
    <w:p w14:paraId="7B1BC329" w14:textId="2D78E1A4" w:rsidR="00E26579" w:rsidRPr="000508B6" w:rsidRDefault="00E26579" w:rsidP="00CF5AFA">
      <w:pPr>
        <w:pStyle w:val="NormalWeb"/>
        <w:numPr>
          <w:ilvl w:val="1"/>
          <w:numId w:val="256"/>
        </w:numPr>
        <w:tabs>
          <w:tab w:val="left" w:pos="709"/>
        </w:tabs>
        <w:spacing w:before="0" w:beforeAutospacing="0" w:after="0" w:afterAutospacing="0"/>
        <w:ind w:left="0" w:firstLine="426"/>
        <w:jc w:val="both"/>
        <w:rPr>
          <w:sz w:val="22"/>
          <w:szCs w:val="22"/>
          <w:lang w:val="ro-MD"/>
        </w:rPr>
      </w:pPr>
      <w:r w:rsidRPr="000508B6">
        <w:rPr>
          <w:sz w:val="22"/>
          <w:szCs w:val="22"/>
          <w:lang w:val="ro-MD"/>
        </w:rPr>
        <w:t xml:space="preserve">interzicerea dreptului de a ocupa </w:t>
      </w:r>
      <w:proofErr w:type="spellStart"/>
      <w:r w:rsidRPr="000508B6">
        <w:rPr>
          <w:sz w:val="22"/>
          <w:szCs w:val="22"/>
          <w:lang w:val="ro-MD"/>
        </w:rPr>
        <w:t>funcţii</w:t>
      </w:r>
      <w:proofErr w:type="spellEnd"/>
      <w:r w:rsidRPr="000508B6">
        <w:rPr>
          <w:sz w:val="22"/>
          <w:szCs w:val="22"/>
          <w:lang w:val="ro-MD"/>
        </w:rPr>
        <w:t xml:space="preserve"> care necesită aprobarea </w:t>
      </w:r>
      <w:proofErr w:type="spellStart"/>
      <w:r w:rsidR="00B55EB1" w:rsidRPr="000508B6">
        <w:rPr>
          <w:sz w:val="22"/>
          <w:szCs w:val="22"/>
          <w:lang w:val="ro-MD"/>
        </w:rPr>
        <w:t>Bancii</w:t>
      </w:r>
      <w:proofErr w:type="spellEnd"/>
      <w:r w:rsidR="00B55EB1" w:rsidRPr="000508B6">
        <w:rPr>
          <w:sz w:val="22"/>
          <w:szCs w:val="22"/>
          <w:lang w:val="ro-MD"/>
        </w:rPr>
        <w:t xml:space="preserve"> Naționale a Moldovei </w:t>
      </w:r>
      <w:r w:rsidRPr="000508B6">
        <w:rPr>
          <w:sz w:val="22"/>
          <w:szCs w:val="22"/>
          <w:lang w:val="ro-MD"/>
        </w:rPr>
        <w:t xml:space="preserve">pentru o perioadă cuprinsă între unu </w:t>
      </w:r>
      <w:proofErr w:type="spellStart"/>
      <w:r w:rsidRPr="000508B6">
        <w:rPr>
          <w:sz w:val="22"/>
          <w:szCs w:val="22"/>
          <w:lang w:val="ro-MD"/>
        </w:rPr>
        <w:t>şi</w:t>
      </w:r>
      <w:proofErr w:type="spellEnd"/>
      <w:r w:rsidRPr="000508B6">
        <w:rPr>
          <w:sz w:val="22"/>
          <w:szCs w:val="22"/>
          <w:lang w:val="ro-MD"/>
        </w:rPr>
        <w:t xml:space="preserve"> 5 ani de la comunicarea deciziei de </w:t>
      </w:r>
      <w:proofErr w:type="spellStart"/>
      <w:r w:rsidRPr="000508B6">
        <w:rPr>
          <w:sz w:val="22"/>
          <w:szCs w:val="22"/>
          <w:lang w:val="ro-MD"/>
        </w:rPr>
        <w:t>sancţionare</w:t>
      </w:r>
      <w:proofErr w:type="spellEnd"/>
      <w:r w:rsidRPr="000508B6">
        <w:rPr>
          <w:sz w:val="22"/>
          <w:szCs w:val="22"/>
          <w:lang w:val="ro-MD"/>
        </w:rPr>
        <w:t xml:space="preserve"> sau la o altă dată </w:t>
      </w:r>
      <w:proofErr w:type="spellStart"/>
      <w:r w:rsidRPr="000508B6">
        <w:rPr>
          <w:sz w:val="22"/>
          <w:szCs w:val="22"/>
          <w:lang w:val="ro-MD"/>
        </w:rPr>
        <w:t>menţionată</w:t>
      </w:r>
      <w:proofErr w:type="spellEnd"/>
      <w:r w:rsidRPr="000508B6">
        <w:rPr>
          <w:sz w:val="22"/>
          <w:szCs w:val="22"/>
          <w:lang w:val="ro-MD"/>
        </w:rPr>
        <w:t xml:space="preserve"> în mod expres în aceasta</w:t>
      </w:r>
      <w:r w:rsidR="00B55EB1" w:rsidRPr="000508B6">
        <w:rPr>
          <w:sz w:val="22"/>
          <w:szCs w:val="22"/>
          <w:lang w:val="ro-MD"/>
        </w:rPr>
        <w:t>;</w:t>
      </w:r>
    </w:p>
    <w:p w14:paraId="7D5DF7F3" w14:textId="325F2756" w:rsidR="00F07F2A" w:rsidRPr="000508B6" w:rsidRDefault="00F07F2A" w:rsidP="00CF5AFA">
      <w:pPr>
        <w:pStyle w:val="NormalWeb"/>
        <w:numPr>
          <w:ilvl w:val="1"/>
          <w:numId w:val="256"/>
        </w:numPr>
        <w:tabs>
          <w:tab w:val="left" w:pos="709"/>
        </w:tabs>
        <w:spacing w:before="0" w:beforeAutospacing="0" w:after="0" w:afterAutospacing="0"/>
        <w:ind w:left="0" w:firstLine="426"/>
        <w:jc w:val="both"/>
        <w:rPr>
          <w:sz w:val="22"/>
          <w:szCs w:val="22"/>
          <w:lang w:val="ro-MD"/>
        </w:rPr>
      </w:pPr>
      <w:r w:rsidRPr="000508B6">
        <w:rPr>
          <w:sz w:val="22"/>
          <w:szCs w:val="22"/>
          <w:lang w:val="ro-MD"/>
        </w:rPr>
        <w:t xml:space="preserve">suspendarea exercitării drepturilor de vot ale </w:t>
      </w:r>
      <w:proofErr w:type="spellStart"/>
      <w:r w:rsidRPr="000508B6">
        <w:rPr>
          <w:sz w:val="22"/>
          <w:szCs w:val="22"/>
          <w:lang w:val="ro-MD"/>
        </w:rPr>
        <w:t>acţionarului</w:t>
      </w:r>
      <w:proofErr w:type="spellEnd"/>
      <w:r w:rsidRPr="000508B6">
        <w:rPr>
          <w:sz w:val="22"/>
          <w:szCs w:val="22"/>
          <w:lang w:val="ro-MD"/>
        </w:rPr>
        <w:t xml:space="preserve"> sau </w:t>
      </w:r>
      <w:proofErr w:type="spellStart"/>
      <w:r w:rsidRPr="000508B6">
        <w:rPr>
          <w:sz w:val="22"/>
          <w:szCs w:val="22"/>
          <w:lang w:val="ro-MD"/>
        </w:rPr>
        <w:t>acţionarilor</w:t>
      </w:r>
      <w:proofErr w:type="spellEnd"/>
      <w:r w:rsidRPr="000508B6">
        <w:rPr>
          <w:sz w:val="22"/>
          <w:szCs w:val="22"/>
          <w:lang w:val="ro-MD"/>
        </w:rPr>
        <w:t>;</w:t>
      </w:r>
    </w:p>
    <w:p w14:paraId="683B9980" w14:textId="020ABD11" w:rsidR="00F07F2A" w:rsidRPr="000508B6" w:rsidRDefault="00F07F2A" w:rsidP="00CF5AFA">
      <w:pPr>
        <w:pStyle w:val="NormalWeb"/>
        <w:numPr>
          <w:ilvl w:val="1"/>
          <w:numId w:val="256"/>
        </w:numPr>
        <w:tabs>
          <w:tab w:val="left" w:pos="709"/>
          <w:tab w:val="left" w:pos="993"/>
        </w:tabs>
        <w:spacing w:before="0" w:beforeAutospacing="0" w:after="0" w:afterAutospacing="0"/>
        <w:ind w:left="0" w:firstLine="426"/>
        <w:jc w:val="both"/>
        <w:rPr>
          <w:sz w:val="22"/>
          <w:szCs w:val="22"/>
          <w:lang w:val="ro-MD"/>
        </w:rPr>
      </w:pPr>
      <w:r w:rsidRPr="000508B6">
        <w:rPr>
          <w:sz w:val="22"/>
          <w:szCs w:val="22"/>
          <w:lang w:val="ro-MD"/>
        </w:rPr>
        <w:t xml:space="preserve">alte </w:t>
      </w:r>
      <w:proofErr w:type="spellStart"/>
      <w:r w:rsidRPr="000508B6">
        <w:rPr>
          <w:sz w:val="22"/>
          <w:szCs w:val="22"/>
          <w:lang w:val="ro-MD"/>
        </w:rPr>
        <w:t>sancţiuni</w:t>
      </w:r>
      <w:proofErr w:type="spellEnd"/>
      <w:r w:rsidRPr="000508B6">
        <w:rPr>
          <w:sz w:val="22"/>
          <w:szCs w:val="22"/>
          <w:lang w:val="ro-MD"/>
        </w:rPr>
        <w:t xml:space="preserve"> prevăzute de prezenta lege.</w:t>
      </w:r>
    </w:p>
    <w:bookmarkEnd w:id="195"/>
    <w:p w14:paraId="3905523B" w14:textId="6D037634" w:rsidR="00F07F2A" w:rsidRPr="000508B6" w:rsidRDefault="00F07F2A" w:rsidP="00852429">
      <w:pPr>
        <w:pStyle w:val="NormalWeb"/>
        <w:numPr>
          <w:ilvl w:val="0"/>
          <w:numId w:val="438"/>
        </w:numPr>
        <w:spacing w:before="0" w:beforeAutospacing="0" w:after="0" w:afterAutospacing="0"/>
        <w:ind w:left="0" w:firstLine="426"/>
        <w:jc w:val="both"/>
        <w:rPr>
          <w:sz w:val="22"/>
          <w:szCs w:val="22"/>
          <w:lang w:val="ro-MD"/>
        </w:rPr>
      </w:pPr>
      <w:proofErr w:type="spellStart"/>
      <w:r w:rsidRPr="000508B6">
        <w:rPr>
          <w:sz w:val="22"/>
          <w:szCs w:val="22"/>
          <w:lang w:val="ro-MD"/>
        </w:rPr>
        <w:t>Sancţiunile</w:t>
      </w:r>
      <w:proofErr w:type="spellEnd"/>
      <w:r w:rsidRPr="000508B6">
        <w:rPr>
          <w:sz w:val="22"/>
          <w:szCs w:val="22"/>
          <w:lang w:val="ro-MD"/>
        </w:rPr>
        <w:t xml:space="preserve"> prevăzute la alin.</w:t>
      </w:r>
      <w:r w:rsidR="00F8362F" w:rsidRPr="000508B6">
        <w:rPr>
          <w:sz w:val="22"/>
          <w:szCs w:val="22"/>
          <w:lang w:val="ro-MD"/>
        </w:rPr>
        <w:t xml:space="preserve"> </w:t>
      </w:r>
      <w:r w:rsidRPr="000508B6">
        <w:rPr>
          <w:sz w:val="22"/>
          <w:szCs w:val="22"/>
          <w:lang w:val="ro-MD"/>
        </w:rPr>
        <w:t xml:space="preserve">(2) </w:t>
      </w:r>
      <w:r w:rsidR="000E7109" w:rsidRPr="000508B6">
        <w:rPr>
          <w:sz w:val="22"/>
          <w:szCs w:val="22"/>
          <w:lang w:val="ro-MD"/>
        </w:rPr>
        <w:t>lit</w:t>
      </w:r>
      <w:r w:rsidRPr="000508B6">
        <w:rPr>
          <w:sz w:val="22"/>
          <w:szCs w:val="22"/>
          <w:lang w:val="ro-MD"/>
        </w:rPr>
        <w:t>.</w:t>
      </w:r>
      <w:r w:rsidR="00293210" w:rsidRPr="000508B6">
        <w:rPr>
          <w:sz w:val="22"/>
          <w:szCs w:val="22"/>
          <w:lang w:val="ro-MD"/>
        </w:rPr>
        <w:t xml:space="preserve"> </w:t>
      </w:r>
      <w:r w:rsidR="000E7109" w:rsidRPr="000508B6">
        <w:rPr>
          <w:sz w:val="22"/>
          <w:szCs w:val="22"/>
          <w:lang w:val="ro-MD"/>
        </w:rPr>
        <w:t>a</w:t>
      </w:r>
      <w:r w:rsidRPr="000508B6">
        <w:rPr>
          <w:sz w:val="22"/>
          <w:szCs w:val="22"/>
          <w:lang w:val="ro-MD"/>
        </w:rPr>
        <w:t>)</w:t>
      </w:r>
      <w:r w:rsidR="00F8362F" w:rsidRPr="000508B6">
        <w:rPr>
          <w:sz w:val="22"/>
          <w:szCs w:val="22"/>
          <w:lang w:val="ro-MD"/>
        </w:rPr>
        <w:t xml:space="preserve"> </w:t>
      </w:r>
      <w:r w:rsidR="00CF78C9" w:rsidRPr="000508B6">
        <w:rPr>
          <w:sz w:val="22"/>
          <w:szCs w:val="22"/>
          <w:lang w:val="ro-MD"/>
        </w:rPr>
        <w:t>- c</w:t>
      </w:r>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w:t>
      </w:r>
      <w:r w:rsidR="00CF78C9" w:rsidRPr="000508B6">
        <w:rPr>
          <w:sz w:val="22"/>
          <w:szCs w:val="22"/>
          <w:lang w:val="ro-MD"/>
        </w:rPr>
        <w:t>h</w:t>
      </w:r>
      <w:r w:rsidRPr="000508B6">
        <w:rPr>
          <w:sz w:val="22"/>
          <w:szCs w:val="22"/>
          <w:lang w:val="ro-MD"/>
        </w:rPr>
        <w:t xml:space="preserve">) se aplică persoanelor cărora le poate fi imputată fapta, întrucât aceasta nu s-ar fi produs dacă persoanele respective </w:t>
      </w:r>
      <w:proofErr w:type="spellStart"/>
      <w:r w:rsidRPr="000508B6">
        <w:rPr>
          <w:sz w:val="22"/>
          <w:szCs w:val="22"/>
          <w:lang w:val="ro-MD"/>
        </w:rPr>
        <w:t>şi</w:t>
      </w:r>
      <w:proofErr w:type="spellEnd"/>
      <w:r w:rsidRPr="000508B6">
        <w:rPr>
          <w:sz w:val="22"/>
          <w:szCs w:val="22"/>
          <w:lang w:val="ro-MD"/>
        </w:rPr>
        <w:t xml:space="preserve">-ar fi exercitat în mod corespunzător </w:t>
      </w:r>
      <w:proofErr w:type="spellStart"/>
      <w:r w:rsidRPr="000508B6">
        <w:rPr>
          <w:sz w:val="22"/>
          <w:szCs w:val="22"/>
          <w:lang w:val="ro-MD"/>
        </w:rPr>
        <w:t>responsabilităţile</w:t>
      </w:r>
      <w:proofErr w:type="spellEnd"/>
      <w:r w:rsidRPr="000508B6">
        <w:rPr>
          <w:sz w:val="22"/>
          <w:szCs w:val="22"/>
          <w:lang w:val="ro-MD"/>
        </w:rPr>
        <w:t xml:space="preserve"> care decurg din îndatoririle </w:t>
      </w:r>
      <w:proofErr w:type="spellStart"/>
      <w:r w:rsidRPr="000508B6">
        <w:rPr>
          <w:sz w:val="22"/>
          <w:szCs w:val="22"/>
          <w:lang w:val="ro-MD"/>
        </w:rPr>
        <w:t>funcţiei</w:t>
      </w:r>
      <w:proofErr w:type="spellEnd"/>
      <w:r w:rsidRPr="000508B6">
        <w:rPr>
          <w:sz w:val="22"/>
          <w:szCs w:val="22"/>
          <w:lang w:val="ro-MD"/>
        </w:rPr>
        <w:t xml:space="preserve"> lor, stabilite conform </w:t>
      </w:r>
      <w:proofErr w:type="spellStart"/>
      <w:r w:rsidRPr="000508B6">
        <w:rPr>
          <w:sz w:val="22"/>
          <w:szCs w:val="22"/>
          <w:lang w:val="ro-MD"/>
        </w:rPr>
        <w:t>legislaţiei</w:t>
      </w:r>
      <w:proofErr w:type="spellEnd"/>
      <w:r w:rsidRPr="000508B6">
        <w:rPr>
          <w:sz w:val="22"/>
          <w:szCs w:val="22"/>
          <w:lang w:val="ro-MD"/>
        </w:rPr>
        <w:t xml:space="preserve">, actelor normative emise în aplicarea prezentei legi </w:t>
      </w:r>
      <w:proofErr w:type="spellStart"/>
      <w:r w:rsidRPr="000508B6">
        <w:rPr>
          <w:sz w:val="22"/>
          <w:szCs w:val="22"/>
          <w:lang w:val="ro-MD"/>
        </w:rPr>
        <w:t>şi</w:t>
      </w:r>
      <w:proofErr w:type="spellEnd"/>
      <w:r w:rsidRPr="000508B6">
        <w:rPr>
          <w:sz w:val="22"/>
          <w:szCs w:val="22"/>
          <w:lang w:val="ro-MD"/>
        </w:rPr>
        <w:t xml:space="preserve"> </w:t>
      </w:r>
      <w:r w:rsidR="00DA1B6D" w:rsidRPr="000508B6">
        <w:rPr>
          <w:sz w:val="22"/>
          <w:szCs w:val="22"/>
          <w:lang w:val="ro-MD"/>
        </w:rPr>
        <w:t>sistemului</w:t>
      </w:r>
      <w:r w:rsidRPr="000508B6">
        <w:rPr>
          <w:sz w:val="22"/>
          <w:szCs w:val="22"/>
          <w:lang w:val="ro-MD"/>
        </w:rPr>
        <w:t xml:space="preserve"> de </w:t>
      </w:r>
      <w:r w:rsidR="00DA1B6D" w:rsidRPr="000508B6">
        <w:rPr>
          <w:sz w:val="22"/>
          <w:szCs w:val="22"/>
          <w:lang w:val="ro-MD"/>
        </w:rPr>
        <w:t>guvernanță</w:t>
      </w:r>
      <w:r w:rsidRPr="000508B6">
        <w:rPr>
          <w:sz w:val="22"/>
          <w:szCs w:val="22"/>
          <w:lang w:val="ro-MD"/>
        </w:rPr>
        <w:t xml:space="preserve">, ori, după caz, persoanelor în </w:t>
      </w:r>
      <w:proofErr w:type="spellStart"/>
      <w:r w:rsidRPr="000508B6">
        <w:rPr>
          <w:sz w:val="22"/>
          <w:szCs w:val="22"/>
          <w:lang w:val="ro-MD"/>
        </w:rPr>
        <w:t>privinţa</w:t>
      </w:r>
      <w:proofErr w:type="spellEnd"/>
      <w:r w:rsidRPr="000508B6">
        <w:rPr>
          <w:sz w:val="22"/>
          <w:szCs w:val="22"/>
          <w:lang w:val="ro-MD"/>
        </w:rPr>
        <w:t xml:space="preserve"> cărora Banca </w:t>
      </w:r>
      <w:proofErr w:type="spellStart"/>
      <w:r w:rsidRPr="000508B6">
        <w:rPr>
          <w:sz w:val="22"/>
          <w:szCs w:val="22"/>
          <w:lang w:val="ro-MD"/>
        </w:rPr>
        <w:t>Naţională</w:t>
      </w:r>
      <w:proofErr w:type="spellEnd"/>
      <w:r w:rsidRPr="000508B6">
        <w:rPr>
          <w:sz w:val="22"/>
          <w:szCs w:val="22"/>
          <w:lang w:val="ro-MD"/>
        </w:rPr>
        <w:t xml:space="preserve"> a Moldovei constată că acestea nu </w:t>
      </w:r>
      <w:proofErr w:type="spellStart"/>
      <w:r w:rsidRPr="000508B6">
        <w:rPr>
          <w:sz w:val="22"/>
          <w:szCs w:val="22"/>
          <w:lang w:val="ro-MD"/>
        </w:rPr>
        <w:t>acţionează</w:t>
      </w:r>
      <w:proofErr w:type="spellEnd"/>
      <w:r w:rsidRPr="000508B6">
        <w:rPr>
          <w:sz w:val="22"/>
          <w:szCs w:val="22"/>
          <w:lang w:val="ro-MD"/>
        </w:rPr>
        <w:t xml:space="preserve"> în conformitate cu regulile unei practici prudente </w:t>
      </w:r>
      <w:proofErr w:type="spellStart"/>
      <w:r w:rsidRPr="000508B6">
        <w:rPr>
          <w:sz w:val="22"/>
          <w:szCs w:val="22"/>
          <w:lang w:val="ro-MD"/>
        </w:rPr>
        <w:t>şi</w:t>
      </w:r>
      <w:proofErr w:type="spellEnd"/>
      <w:r w:rsidRPr="000508B6">
        <w:rPr>
          <w:sz w:val="22"/>
          <w:szCs w:val="22"/>
          <w:lang w:val="ro-MD"/>
        </w:rPr>
        <w:t xml:space="preserve"> sănătoase </w:t>
      </w:r>
      <w:proofErr w:type="spellStart"/>
      <w:r w:rsidRPr="000508B6">
        <w:rPr>
          <w:sz w:val="22"/>
          <w:szCs w:val="22"/>
          <w:lang w:val="ro-MD"/>
        </w:rPr>
        <w:t>şi</w:t>
      </w:r>
      <w:proofErr w:type="spellEnd"/>
      <w:r w:rsidRPr="000508B6">
        <w:rPr>
          <w:sz w:val="22"/>
          <w:szCs w:val="22"/>
          <w:lang w:val="ro-MD"/>
        </w:rPr>
        <w:t xml:space="preserve">/sau că nu mai corespund </w:t>
      </w:r>
      <w:proofErr w:type="spellStart"/>
      <w:r w:rsidRPr="000508B6">
        <w:rPr>
          <w:sz w:val="22"/>
          <w:szCs w:val="22"/>
          <w:lang w:val="ro-MD"/>
        </w:rPr>
        <w:t>cerinţelor</w:t>
      </w:r>
      <w:proofErr w:type="spellEnd"/>
      <w:r w:rsidRPr="000508B6">
        <w:rPr>
          <w:sz w:val="22"/>
          <w:szCs w:val="22"/>
          <w:lang w:val="ro-MD"/>
        </w:rPr>
        <w:t xml:space="preserve"> de </w:t>
      </w:r>
      <w:proofErr w:type="spellStart"/>
      <w:r w:rsidRPr="000508B6">
        <w:rPr>
          <w:sz w:val="22"/>
          <w:szCs w:val="22"/>
          <w:lang w:val="ro-MD"/>
        </w:rPr>
        <w:t>competenţă</w:t>
      </w:r>
      <w:proofErr w:type="spellEnd"/>
      <w:r w:rsidR="00C42F54" w:rsidRPr="000508B6">
        <w:rPr>
          <w:sz w:val="22"/>
          <w:szCs w:val="22"/>
          <w:lang w:val="ro-MD"/>
        </w:rPr>
        <w:t xml:space="preserve"> și onorabilitate </w:t>
      </w:r>
      <w:r w:rsidRPr="000508B6">
        <w:rPr>
          <w:sz w:val="22"/>
          <w:szCs w:val="22"/>
          <w:lang w:val="ro-MD"/>
        </w:rPr>
        <w:t xml:space="preserve">adecvată naturii, extinderii </w:t>
      </w:r>
      <w:proofErr w:type="spellStart"/>
      <w:r w:rsidRPr="000508B6">
        <w:rPr>
          <w:sz w:val="22"/>
          <w:szCs w:val="22"/>
          <w:lang w:val="ro-MD"/>
        </w:rPr>
        <w:t>şi</w:t>
      </w:r>
      <w:proofErr w:type="spellEnd"/>
      <w:r w:rsidRPr="000508B6">
        <w:rPr>
          <w:sz w:val="22"/>
          <w:szCs w:val="22"/>
          <w:lang w:val="ro-MD"/>
        </w:rPr>
        <w:t xml:space="preserve"> </w:t>
      </w:r>
      <w:proofErr w:type="spellStart"/>
      <w:r w:rsidRPr="000508B6">
        <w:rPr>
          <w:sz w:val="22"/>
          <w:szCs w:val="22"/>
          <w:lang w:val="ro-MD"/>
        </w:rPr>
        <w:t>complexităţii</w:t>
      </w:r>
      <w:proofErr w:type="spellEnd"/>
      <w:r w:rsidRPr="000508B6">
        <w:rPr>
          <w:sz w:val="22"/>
          <w:szCs w:val="22"/>
          <w:lang w:val="ro-MD"/>
        </w:rPr>
        <w:t xml:space="preserve"> </w:t>
      </w:r>
      <w:proofErr w:type="spellStart"/>
      <w:r w:rsidRPr="000508B6">
        <w:rPr>
          <w:sz w:val="22"/>
          <w:szCs w:val="22"/>
          <w:lang w:val="ro-MD"/>
        </w:rPr>
        <w:t>activităţii</w:t>
      </w:r>
      <w:proofErr w:type="spellEnd"/>
      <w:r w:rsidRPr="000508B6">
        <w:rPr>
          <w:sz w:val="22"/>
          <w:szCs w:val="22"/>
          <w:lang w:val="ro-MD"/>
        </w:rPr>
        <w:t xml:space="preserve"> </w:t>
      </w:r>
      <w:r w:rsidR="004125E8" w:rsidRPr="000508B6">
        <w:rPr>
          <w:sz w:val="22"/>
          <w:szCs w:val="22"/>
          <w:lang w:val="ro-MD"/>
        </w:rPr>
        <w:t xml:space="preserve">asigurătorului sau </w:t>
      </w:r>
      <w:proofErr w:type="spellStart"/>
      <w:r w:rsidR="004125E8" w:rsidRPr="000508B6">
        <w:rPr>
          <w:sz w:val="22"/>
          <w:szCs w:val="22"/>
          <w:lang w:val="ro-MD"/>
        </w:rPr>
        <w:t>reasigurătorului</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w:t>
      </w:r>
      <w:proofErr w:type="spellStart"/>
      <w:r w:rsidRPr="000508B6">
        <w:rPr>
          <w:sz w:val="22"/>
          <w:szCs w:val="22"/>
          <w:lang w:val="ro-MD"/>
        </w:rPr>
        <w:t>responsabilităţilor</w:t>
      </w:r>
      <w:proofErr w:type="spellEnd"/>
      <w:r w:rsidRPr="000508B6">
        <w:rPr>
          <w:sz w:val="22"/>
          <w:szCs w:val="22"/>
          <w:lang w:val="ro-MD"/>
        </w:rPr>
        <w:t xml:space="preserve"> </w:t>
      </w:r>
      <w:proofErr w:type="spellStart"/>
      <w:r w:rsidRPr="000508B6">
        <w:rPr>
          <w:sz w:val="22"/>
          <w:szCs w:val="22"/>
          <w:lang w:val="ro-MD"/>
        </w:rPr>
        <w:t>încredinţate</w:t>
      </w:r>
      <w:proofErr w:type="spellEnd"/>
      <w:r w:rsidRPr="000508B6">
        <w:rPr>
          <w:sz w:val="22"/>
          <w:szCs w:val="22"/>
          <w:lang w:val="ro-MD"/>
        </w:rPr>
        <w:t>.</w:t>
      </w:r>
    </w:p>
    <w:p w14:paraId="1C3064DF" w14:textId="06031731" w:rsidR="00F07F2A" w:rsidRPr="000508B6" w:rsidRDefault="00F07F2A" w:rsidP="00852429">
      <w:pPr>
        <w:pStyle w:val="NormalWeb"/>
        <w:numPr>
          <w:ilvl w:val="0"/>
          <w:numId w:val="438"/>
        </w:numPr>
        <w:spacing w:before="0" w:beforeAutospacing="0" w:after="0" w:afterAutospacing="0"/>
        <w:ind w:left="0" w:firstLine="426"/>
        <w:jc w:val="both"/>
        <w:rPr>
          <w:sz w:val="22"/>
          <w:szCs w:val="22"/>
          <w:lang w:val="ro-MD"/>
        </w:rPr>
      </w:pPr>
      <w:r w:rsidRPr="000508B6">
        <w:rPr>
          <w:sz w:val="22"/>
          <w:szCs w:val="22"/>
          <w:lang w:val="ro-MD"/>
        </w:rPr>
        <w:t xml:space="preserve"> Aplicarea </w:t>
      </w:r>
      <w:proofErr w:type="spellStart"/>
      <w:r w:rsidRPr="000508B6">
        <w:rPr>
          <w:sz w:val="22"/>
          <w:szCs w:val="22"/>
          <w:lang w:val="ro-MD"/>
        </w:rPr>
        <w:t>sancţiunilor</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a </w:t>
      </w:r>
      <w:r w:rsidR="00B57A2D" w:rsidRPr="000508B6">
        <w:rPr>
          <w:sz w:val="22"/>
          <w:szCs w:val="22"/>
          <w:lang w:val="ro-MD"/>
        </w:rPr>
        <w:t xml:space="preserve">altor </w:t>
      </w:r>
      <w:r w:rsidRPr="000508B6">
        <w:rPr>
          <w:sz w:val="22"/>
          <w:szCs w:val="22"/>
          <w:lang w:val="ro-MD"/>
        </w:rPr>
        <w:t xml:space="preserve">măsuri potrivit prezentei legi nu înlătură răspunderea materială, civilă, </w:t>
      </w:r>
      <w:proofErr w:type="spellStart"/>
      <w:r w:rsidRPr="000508B6">
        <w:rPr>
          <w:sz w:val="22"/>
          <w:szCs w:val="22"/>
          <w:lang w:val="ro-MD"/>
        </w:rPr>
        <w:t>contravenţională</w:t>
      </w:r>
      <w:proofErr w:type="spellEnd"/>
      <w:r w:rsidRPr="000508B6">
        <w:rPr>
          <w:sz w:val="22"/>
          <w:szCs w:val="22"/>
          <w:lang w:val="ro-MD"/>
        </w:rPr>
        <w:t xml:space="preserve"> sau penală, după caz.</w:t>
      </w:r>
    </w:p>
    <w:p w14:paraId="079A84C6" w14:textId="2AB9D000" w:rsidR="00F07F2A" w:rsidRPr="000508B6" w:rsidRDefault="00F07F2A" w:rsidP="00AB043B">
      <w:pPr>
        <w:pStyle w:val="NormalWeb"/>
        <w:numPr>
          <w:ilvl w:val="0"/>
          <w:numId w:val="438"/>
        </w:numPr>
        <w:spacing w:before="0" w:beforeAutospacing="0" w:after="0" w:afterAutospacing="0"/>
        <w:ind w:left="0" w:firstLine="426"/>
        <w:jc w:val="both"/>
        <w:rPr>
          <w:sz w:val="22"/>
          <w:szCs w:val="22"/>
          <w:lang w:val="ro-MD"/>
        </w:rPr>
      </w:pPr>
      <w:r w:rsidRPr="000508B6">
        <w:rPr>
          <w:sz w:val="22"/>
          <w:szCs w:val="22"/>
          <w:lang w:val="ro-MD"/>
        </w:rPr>
        <w:t xml:space="preserve"> Avertismentul prevăzut la alin.</w:t>
      </w:r>
      <w:r w:rsidR="00F8362F" w:rsidRPr="000508B6">
        <w:rPr>
          <w:sz w:val="22"/>
          <w:szCs w:val="22"/>
          <w:lang w:val="ro-MD"/>
        </w:rPr>
        <w:t xml:space="preserve"> </w:t>
      </w:r>
      <w:r w:rsidRPr="000508B6">
        <w:rPr>
          <w:sz w:val="22"/>
          <w:szCs w:val="22"/>
          <w:lang w:val="ro-MD"/>
        </w:rPr>
        <w:t>(2) lit.</w:t>
      </w:r>
      <w:r w:rsidR="005B6F78" w:rsidRPr="000508B6">
        <w:rPr>
          <w:sz w:val="22"/>
          <w:szCs w:val="22"/>
          <w:lang w:val="ro-MD"/>
        </w:rPr>
        <w:t xml:space="preserve"> </w:t>
      </w:r>
      <w:r w:rsidRPr="000508B6">
        <w:rPr>
          <w:sz w:val="22"/>
          <w:szCs w:val="22"/>
          <w:lang w:val="ro-MD"/>
        </w:rPr>
        <w:t xml:space="preserve">a) include, informarea despre încălcările constatate, </w:t>
      </w:r>
      <w:proofErr w:type="spellStart"/>
      <w:r w:rsidRPr="000508B6">
        <w:rPr>
          <w:sz w:val="22"/>
          <w:szCs w:val="22"/>
          <w:lang w:val="ro-MD"/>
        </w:rPr>
        <w:t>cerinţa</w:t>
      </w:r>
      <w:proofErr w:type="spellEnd"/>
      <w:r w:rsidRPr="000508B6">
        <w:rPr>
          <w:sz w:val="22"/>
          <w:szCs w:val="22"/>
          <w:lang w:val="ro-MD"/>
        </w:rPr>
        <w:t xml:space="preserve"> de lichidare în termenul stabilit a încălcărilor, precum </w:t>
      </w:r>
      <w:proofErr w:type="spellStart"/>
      <w:r w:rsidRPr="000508B6">
        <w:rPr>
          <w:sz w:val="22"/>
          <w:szCs w:val="22"/>
          <w:lang w:val="ro-MD"/>
        </w:rPr>
        <w:t>şi</w:t>
      </w:r>
      <w:proofErr w:type="spellEnd"/>
      <w:r w:rsidRPr="000508B6">
        <w:rPr>
          <w:sz w:val="22"/>
          <w:szCs w:val="22"/>
          <w:lang w:val="ro-MD"/>
        </w:rPr>
        <w:t xml:space="preserve"> </w:t>
      </w:r>
      <w:proofErr w:type="spellStart"/>
      <w:r w:rsidRPr="000508B6">
        <w:rPr>
          <w:sz w:val="22"/>
          <w:szCs w:val="22"/>
          <w:lang w:val="ro-MD"/>
        </w:rPr>
        <w:t>atenţionarea</w:t>
      </w:r>
      <w:proofErr w:type="spellEnd"/>
      <w:r w:rsidRPr="000508B6">
        <w:rPr>
          <w:sz w:val="22"/>
          <w:szCs w:val="22"/>
          <w:lang w:val="ro-MD"/>
        </w:rPr>
        <w:t xml:space="preserve"> asupra </w:t>
      </w:r>
      <w:proofErr w:type="spellStart"/>
      <w:r w:rsidRPr="000508B6">
        <w:rPr>
          <w:sz w:val="22"/>
          <w:szCs w:val="22"/>
          <w:lang w:val="ro-MD"/>
        </w:rPr>
        <w:t>posibilităţii</w:t>
      </w:r>
      <w:proofErr w:type="spellEnd"/>
      <w:r w:rsidRPr="000508B6">
        <w:rPr>
          <w:sz w:val="22"/>
          <w:szCs w:val="22"/>
          <w:lang w:val="ro-MD"/>
        </w:rPr>
        <w:t xml:space="preserve"> de aplicare a unor </w:t>
      </w:r>
      <w:proofErr w:type="spellStart"/>
      <w:r w:rsidRPr="000508B6">
        <w:rPr>
          <w:sz w:val="22"/>
          <w:szCs w:val="22"/>
          <w:lang w:val="ro-MD"/>
        </w:rPr>
        <w:t>sancţiuni</w:t>
      </w:r>
      <w:proofErr w:type="spellEnd"/>
      <w:r w:rsidRPr="000508B6">
        <w:rPr>
          <w:sz w:val="22"/>
          <w:szCs w:val="22"/>
          <w:lang w:val="ro-MD"/>
        </w:rPr>
        <w:t xml:space="preserve"> mai aspre </w:t>
      </w:r>
      <w:proofErr w:type="spellStart"/>
      <w:r w:rsidRPr="000508B6">
        <w:rPr>
          <w:sz w:val="22"/>
          <w:szCs w:val="22"/>
          <w:lang w:val="ro-MD"/>
        </w:rPr>
        <w:t>şi</w:t>
      </w:r>
      <w:proofErr w:type="spellEnd"/>
      <w:r w:rsidRPr="000508B6">
        <w:rPr>
          <w:sz w:val="22"/>
          <w:szCs w:val="22"/>
          <w:lang w:val="ro-MD"/>
        </w:rPr>
        <w:t>/sau a altor măsuri prevăzute de prezenta lege, în cazul neînlăturării în termenul stabilit a încălcărilor constatate sau în cazul comiterii repetate a acestora..</w:t>
      </w:r>
      <w:r w:rsidR="005B6F78" w:rsidRPr="000508B6">
        <w:rPr>
          <w:sz w:val="22"/>
          <w:szCs w:val="22"/>
          <w:lang w:val="ro-MD"/>
        </w:rPr>
        <w:t xml:space="preserve"> </w:t>
      </w:r>
    </w:p>
    <w:p w14:paraId="4DE45787" w14:textId="22788626" w:rsidR="00F07F2A" w:rsidRPr="000508B6" w:rsidRDefault="00F07F2A" w:rsidP="00AB043B">
      <w:pPr>
        <w:pStyle w:val="NormalWeb"/>
        <w:numPr>
          <w:ilvl w:val="0"/>
          <w:numId w:val="438"/>
        </w:numPr>
        <w:spacing w:before="0" w:beforeAutospacing="0" w:after="0" w:afterAutospacing="0"/>
        <w:ind w:left="0" w:firstLine="426"/>
        <w:jc w:val="both"/>
        <w:rPr>
          <w:sz w:val="22"/>
          <w:szCs w:val="22"/>
          <w:lang w:val="ro-MD"/>
        </w:rPr>
      </w:pPr>
      <w:r w:rsidRPr="000508B6">
        <w:rPr>
          <w:sz w:val="22"/>
          <w:szCs w:val="22"/>
          <w:lang w:val="ro-MD"/>
        </w:rPr>
        <w:t xml:space="preserve">Avertismentul poate fi aplicat concomitent cu alte </w:t>
      </w:r>
      <w:proofErr w:type="spellStart"/>
      <w:r w:rsidRPr="000508B6">
        <w:rPr>
          <w:sz w:val="22"/>
          <w:szCs w:val="22"/>
          <w:lang w:val="ro-MD"/>
        </w:rPr>
        <w:t>sancţiuni</w:t>
      </w:r>
      <w:proofErr w:type="spellEnd"/>
      <w:r w:rsidRPr="000508B6">
        <w:rPr>
          <w:sz w:val="22"/>
          <w:szCs w:val="22"/>
          <w:lang w:val="ro-MD"/>
        </w:rPr>
        <w:t xml:space="preserve"> prevăzute la alin.</w:t>
      </w:r>
      <w:r w:rsidR="00F8362F" w:rsidRPr="000508B6">
        <w:rPr>
          <w:sz w:val="22"/>
          <w:szCs w:val="22"/>
          <w:lang w:val="ro-MD"/>
        </w:rPr>
        <w:t xml:space="preserve"> </w:t>
      </w:r>
      <w:r w:rsidRPr="000508B6">
        <w:rPr>
          <w:sz w:val="22"/>
          <w:szCs w:val="22"/>
          <w:lang w:val="ro-MD"/>
        </w:rPr>
        <w:t>(2) sau independent de acestea.</w:t>
      </w:r>
    </w:p>
    <w:p w14:paraId="4BFEA757" w14:textId="7D3FCA95" w:rsidR="00F07F2A" w:rsidRPr="000508B6" w:rsidRDefault="00F07F2A" w:rsidP="00AB043B">
      <w:pPr>
        <w:pStyle w:val="NormalWeb"/>
        <w:numPr>
          <w:ilvl w:val="0"/>
          <w:numId w:val="438"/>
        </w:numPr>
        <w:spacing w:before="0" w:beforeAutospacing="0" w:after="0" w:afterAutospacing="0"/>
        <w:ind w:left="0" w:firstLine="426"/>
        <w:jc w:val="both"/>
        <w:rPr>
          <w:sz w:val="22"/>
          <w:szCs w:val="22"/>
          <w:lang w:val="ro-MD"/>
        </w:rPr>
      </w:pPr>
      <w:r w:rsidRPr="000508B6">
        <w:rPr>
          <w:sz w:val="22"/>
          <w:szCs w:val="22"/>
          <w:lang w:val="ro-MD"/>
        </w:rPr>
        <w:t xml:space="preserve"> Amenda, aplicată în temeiul prezentului articol, se varsă la bugetul de stat.</w:t>
      </w:r>
    </w:p>
    <w:p w14:paraId="4DA5EC24" w14:textId="09DBA4AD" w:rsidR="00F07F2A" w:rsidRPr="000508B6" w:rsidRDefault="00F07F2A" w:rsidP="00AB043B">
      <w:pPr>
        <w:pStyle w:val="NormalWeb"/>
        <w:numPr>
          <w:ilvl w:val="0"/>
          <w:numId w:val="438"/>
        </w:numPr>
        <w:spacing w:before="0" w:beforeAutospacing="0" w:after="0" w:afterAutospacing="0"/>
        <w:ind w:left="0" w:firstLine="426"/>
        <w:jc w:val="both"/>
        <w:rPr>
          <w:sz w:val="22"/>
          <w:szCs w:val="22"/>
          <w:lang w:val="ro-MD"/>
        </w:rPr>
      </w:pPr>
      <w:r w:rsidRPr="000508B6">
        <w:rPr>
          <w:sz w:val="22"/>
          <w:szCs w:val="22"/>
          <w:lang w:val="ro-MD"/>
        </w:rPr>
        <w:t xml:space="preserve">La stabilirea tipului </w:t>
      </w:r>
      <w:proofErr w:type="spellStart"/>
      <w:r w:rsidRPr="000508B6">
        <w:rPr>
          <w:sz w:val="22"/>
          <w:szCs w:val="22"/>
          <w:lang w:val="ro-MD"/>
        </w:rPr>
        <w:t>sancţiunii</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 a cuantumului amenzii, </w:t>
      </w:r>
      <w:r w:rsidR="003F1CDA" w:rsidRPr="000508B6">
        <w:rPr>
          <w:sz w:val="22"/>
          <w:szCs w:val="22"/>
          <w:lang w:val="ro-MD"/>
        </w:rPr>
        <w:t>Banca Națională a Moldovei</w:t>
      </w:r>
      <w:r w:rsidRPr="000508B6">
        <w:rPr>
          <w:sz w:val="22"/>
          <w:szCs w:val="22"/>
          <w:lang w:val="ro-MD"/>
        </w:rPr>
        <w:t xml:space="preserve"> examinează </w:t>
      </w:r>
      <w:proofErr w:type="spellStart"/>
      <w:r w:rsidRPr="000508B6">
        <w:rPr>
          <w:sz w:val="22"/>
          <w:szCs w:val="22"/>
          <w:lang w:val="ro-MD"/>
        </w:rPr>
        <w:t>circumstanţele</w:t>
      </w:r>
      <w:proofErr w:type="spellEnd"/>
      <w:r w:rsidRPr="000508B6">
        <w:rPr>
          <w:sz w:val="22"/>
          <w:szCs w:val="22"/>
          <w:lang w:val="ro-MD"/>
        </w:rPr>
        <w:t xml:space="preserve"> relevante ale </w:t>
      </w:r>
      <w:proofErr w:type="spellStart"/>
      <w:r w:rsidRPr="000508B6">
        <w:rPr>
          <w:sz w:val="22"/>
          <w:szCs w:val="22"/>
          <w:lang w:val="ro-MD"/>
        </w:rPr>
        <w:t>săvârşirii</w:t>
      </w:r>
      <w:proofErr w:type="spellEnd"/>
      <w:r w:rsidRPr="000508B6">
        <w:rPr>
          <w:sz w:val="22"/>
          <w:szCs w:val="22"/>
          <w:lang w:val="ro-MD"/>
        </w:rPr>
        <w:t xml:space="preserve"> faptei, inclusiv următoarele aspecte, după caz:</w:t>
      </w:r>
    </w:p>
    <w:p w14:paraId="7160F5E5" w14:textId="6D4F5001"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r w:rsidRPr="000508B6">
        <w:rPr>
          <w:sz w:val="22"/>
          <w:szCs w:val="22"/>
          <w:lang w:val="ro-MD"/>
        </w:rPr>
        <w:t xml:space="preserve">gravitatea </w:t>
      </w:r>
      <w:proofErr w:type="spellStart"/>
      <w:r w:rsidRPr="000508B6">
        <w:rPr>
          <w:sz w:val="22"/>
          <w:szCs w:val="22"/>
          <w:lang w:val="ro-MD"/>
        </w:rPr>
        <w:t>şi</w:t>
      </w:r>
      <w:proofErr w:type="spellEnd"/>
      <w:r w:rsidRPr="000508B6">
        <w:rPr>
          <w:sz w:val="22"/>
          <w:szCs w:val="22"/>
          <w:lang w:val="ro-MD"/>
        </w:rPr>
        <w:t xml:space="preserve"> durata faptei;</w:t>
      </w:r>
    </w:p>
    <w:p w14:paraId="2FC643B6" w14:textId="4D470B61"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proofErr w:type="spellStart"/>
      <w:r w:rsidRPr="000508B6">
        <w:rPr>
          <w:sz w:val="22"/>
          <w:szCs w:val="22"/>
          <w:lang w:val="ro-MD"/>
        </w:rPr>
        <w:t>vinovăţia</w:t>
      </w:r>
      <w:proofErr w:type="spellEnd"/>
      <w:r w:rsidRPr="000508B6">
        <w:rPr>
          <w:sz w:val="22"/>
          <w:szCs w:val="22"/>
          <w:lang w:val="ro-MD"/>
        </w:rPr>
        <w:t xml:space="preserve"> persoanei responsabile;</w:t>
      </w:r>
    </w:p>
    <w:p w14:paraId="642057C9" w14:textId="33DB61FE"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r w:rsidRPr="000508B6">
        <w:rPr>
          <w:sz w:val="22"/>
          <w:szCs w:val="22"/>
          <w:lang w:val="ro-MD"/>
        </w:rPr>
        <w:t>capacitatea financiară a persoanei responsabile de încălcare, astfel cum rezultă, de exemplu, din venitul anual al persoanei fizice responsabile sau din cifra de afaceri totală a persoanei juridice responsabile;</w:t>
      </w:r>
    </w:p>
    <w:p w14:paraId="47D49C7A" w14:textId="4C0ED15A"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proofErr w:type="spellStart"/>
      <w:r w:rsidRPr="000508B6">
        <w:rPr>
          <w:sz w:val="22"/>
          <w:szCs w:val="22"/>
          <w:lang w:val="ro-MD"/>
        </w:rPr>
        <w:t>importanţa</w:t>
      </w:r>
      <w:proofErr w:type="spellEnd"/>
      <w:r w:rsidRPr="000508B6">
        <w:rPr>
          <w:sz w:val="22"/>
          <w:szCs w:val="22"/>
          <w:lang w:val="ro-MD"/>
        </w:rPr>
        <w:t xml:space="preserve"> profiturilor realizate sau a pierderilor evitate de către persoana responsabilă, în beneficiul acesteia, în măsura în care acestea pot fi determinate;</w:t>
      </w:r>
    </w:p>
    <w:p w14:paraId="4283C1B9" w14:textId="07B1C532"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r w:rsidRPr="000508B6">
        <w:rPr>
          <w:sz w:val="22"/>
          <w:szCs w:val="22"/>
          <w:lang w:val="ro-MD"/>
        </w:rPr>
        <w:t xml:space="preserve">prejudiciile cauzate </w:t>
      </w:r>
      <w:proofErr w:type="spellStart"/>
      <w:r w:rsidRPr="000508B6">
        <w:rPr>
          <w:sz w:val="22"/>
          <w:szCs w:val="22"/>
          <w:lang w:val="ro-MD"/>
        </w:rPr>
        <w:t>asiguraţilor</w:t>
      </w:r>
      <w:proofErr w:type="spellEnd"/>
      <w:r w:rsidRPr="000508B6">
        <w:rPr>
          <w:sz w:val="22"/>
          <w:szCs w:val="22"/>
          <w:lang w:val="ro-MD"/>
        </w:rPr>
        <w:t>, beneficiarilor asigurării, ale căror drepturi pot fi lezate, în măsura în care pot fi determinate;</w:t>
      </w:r>
    </w:p>
    <w:p w14:paraId="53ABA209" w14:textId="270FAFA8"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r w:rsidRPr="000508B6">
        <w:rPr>
          <w:sz w:val="22"/>
          <w:szCs w:val="22"/>
          <w:lang w:val="ro-MD"/>
        </w:rPr>
        <w:t xml:space="preserve">gradul de cooperare cu </w:t>
      </w:r>
      <w:r w:rsidR="003F1CDA" w:rsidRPr="000508B6">
        <w:rPr>
          <w:sz w:val="22"/>
          <w:szCs w:val="22"/>
          <w:lang w:val="ro-MD"/>
        </w:rPr>
        <w:t>Banca Națională a Moldovei</w:t>
      </w:r>
      <w:r w:rsidRPr="000508B6">
        <w:rPr>
          <w:sz w:val="22"/>
          <w:szCs w:val="22"/>
          <w:lang w:val="ro-MD"/>
        </w:rPr>
        <w:t>;</w:t>
      </w:r>
    </w:p>
    <w:p w14:paraId="7A740636" w14:textId="4FFE822B"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r w:rsidRPr="000508B6">
        <w:rPr>
          <w:sz w:val="22"/>
          <w:szCs w:val="22"/>
          <w:lang w:val="ro-MD"/>
        </w:rPr>
        <w:t xml:space="preserve">încălcările </w:t>
      </w:r>
      <w:proofErr w:type="spellStart"/>
      <w:r w:rsidRPr="000508B6">
        <w:rPr>
          <w:sz w:val="22"/>
          <w:szCs w:val="22"/>
          <w:lang w:val="ro-MD"/>
        </w:rPr>
        <w:t>săvârşite</w:t>
      </w:r>
      <w:proofErr w:type="spellEnd"/>
      <w:r w:rsidRPr="000508B6">
        <w:rPr>
          <w:sz w:val="22"/>
          <w:szCs w:val="22"/>
          <w:lang w:val="ro-MD"/>
        </w:rPr>
        <w:t xml:space="preserve"> anterior;</w:t>
      </w:r>
    </w:p>
    <w:p w14:paraId="501F48BE" w14:textId="1FD277EE" w:rsidR="00F07F2A" w:rsidRPr="000508B6" w:rsidRDefault="00F07F2A" w:rsidP="00CF5AFA">
      <w:pPr>
        <w:pStyle w:val="NormalWeb"/>
        <w:numPr>
          <w:ilvl w:val="2"/>
          <w:numId w:val="245"/>
        </w:numPr>
        <w:tabs>
          <w:tab w:val="left" w:pos="284"/>
        </w:tabs>
        <w:spacing w:before="0" w:beforeAutospacing="0" w:after="0" w:afterAutospacing="0"/>
        <w:ind w:left="0" w:firstLine="426"/>
        <w:jc w:val="both"/>
        <w:rPr>
          <w:sz w:val="22"/>
          <w:szCs w:val="22"/>
          <w:lang w:val="ro-MD"/>
        </w:rPr>
      </w:pPr>
      <w:r w:rsidRPr="000508B6">
        <w:rPr>
          <w:sz w:val="22"/>
          <w:szCs w:val="22"/>
          <w:lang w:val="ro-MD"/>
        </w:rPr>
        <w:t xml:space="preserve">orice posibile </w:t>
      </w:r>
      <w:proofErr w:type="spellStart"/>
      <w:r w:rsidRPr="000508B6">
        <w:rPr>
          <w:sz w:val="22"/>
          <w:szCs w:val="22"/>
          <w:lang w:val="ro-MD"/>
        </w:rPr>
        <w:t>consecinţe</w:t>
      </w:r>
      <w:proofErr w:type="spellEnd"/>
      <w:r w:rsidRPr="000508B6">
        <w:rPr>
          <w:sz w:val="22"/>
          <w:szCs w:val="22"/>
          <w:lang w:val="ro-MD"/>
        </w:rPr>
        <w:t xml:space="preserve"> sistem</w:t>
      </w:r>
      <w:r w:rsidR="00CC0EB6" w:rsidRPr="000508B6">
        <w:rPr>
          <w:sz w:val="22"/>
          <w:szCs w:val="22"/>
          <w:lang w:val="ro-MD"/>
        </w:rPr>
        <w:t>ice</w:t>
      </w:r>
      <w:r w:rsidRPr="000508B6">
        <w:rPr>
          <w:sz w:val="22"/>
          <w:szCs w:val="22"/>
          <w:lang w:val="ro-MD"/>
        </w:rPr>
        <w:t xml:space="preserve"> ale faptei </w:t>
      </w:r>
      <w:proofErr w:type="spellStart"/>
      <w:r w:rsidRPr="000508B6">
        <w:rPr>
          <w:sz w:val="22"/>
          <w:szCs w:val="22"/>
          <w:lang w:val="ro-MD"/>
        </w:rPr>
        <w:t>săvârşite</w:t>
      </w:r>
      <w:proofErr w:type="spellEnd"/>
      <w:r w:rsidRPr="000508B6">
        <w:rPr>
          <w:sz w:val="22"/>
          <w:szCs w:val="22"/>
          <w:lang w:val="ro-MD"/>
        </w:rPr>
        <w:t>.</w:t>
      </w:r>
    </w:p>
    <w:p w14:paraId="06BA5244" w14:textId="46AB5449" w:rsidR="00852429" w:rsidRPr="000508B6" w:rsidRDefault="00F07F2A" w:rsidP="00852429">
      <w:pPr>
        <w:pStyle w:val="NormalWeb"/>
        <w:numPr>
          <w:ilvl w:val="0"/>
          <w:numId w:val="438"/>
        </w:numPr>
        <w:spacing w:before="0" w:beforeAutospacing="0" w:after="0" w:afterAutospacing="0"/>
        <w:ind w:left="0" w:firstLine="426"/>
        <w:jc w:val="both"/>
        <w:rPr>
          <w:sz w:val="22"/>
          <w:szCs w:val="22"/>
          <w:lang w:val="ro-MD"/>
        </w:rPr>
      </w:pPr>
      <w:r w:rsidRPr="000508B6">
        <w:rPr>
          <w:sz w:val="22"/>
          <w:szCs w:val="22"/>
          <w:lang w:val="ro-MD"/>
        </w:rPr>
        <w:t xml:space="preserve"> </w:t>
      </w:r>
      <w:proofErr w:type="spellStart"/>
      <w:r w:rsidR="00852429" w:rsidRPr="000508B6">
        <w:rPr>
          <w:sz w:val="22"/>
          <w:szCs w:val="22"/>
          <w:lang w:val="ro-MD"/>
        </w:rPr>
        <w:t>Sancţiunile</w:t>
      </w:r>
      <w:proofErr w:type="spellEnd"/>
      <w:r w:rsidR="00852429" w:rsidRPr="000508B6">
        <w:rPr>
          <w:sz w:val="22"/>
          <w:szCs w:val="22"/>
          <w:lang w:val="ro-MD"/>
        </w:rPr>
        <w:t xml:space="preserve"> aplicate trebuie să fie eficace </w:t>
      </w:r>
      <w:proofErr w:type="spellStart"/>
      <w:r w:rsidR="00852429" w:rsidRPr="000508B6">
        <w:rPr>
          <w:sz w:val="22"/>
          <w:szCs w:val="22"/>
          <w:lang w:val="ro-MD"/>
        </w:rPr>
        <w:t>şi</w:t>
      </w:r>
      <w:proofErr w:type="spellEnd"/>
      <w:r w:rsidR="00852429" w:rsidRPr="000508B6">
        <w:rPr>
          <w:sz w:val="22"/>
          <w:szCs w:val="22"/>
          <w:lang w:val="ro-MD"/>
        </w:rPr>
        <w:t xml:space="preserve"> </w:t>
      </w:r>
      <w:proofErr w:type="spellStart"/>
      <w:r w:rsidR="00852429" w:rsidRPr="000508B6">
        <w:rPr>
          <w:sz w:val="22"/>
          <w:szCs w:val="22"/>
          <w:lang w:val="ro-MD"/>
        </w:rPr>
        <w:t>proporţionale</w:t>
      </w:r>
      <w:proofErr w:type="spellEnd"/>
      <w:r w:rsidR="00852429" w:rsidRPr="000508B6">
        <w:rPr>
          <w:sz w:val="22"/>
          <w:szCs w:val="22"/>
          <w:lang w:val="ro-MD"/>
        </w:rPr>
        <w:t xml:space="preserve"> cu faptele </w:t>
      </w:r>
      <w:proofErr w:type="spellStart"/>
      <w:r w:rsidR="00852429" w:rsidRPr="000508B6">
        <w:rPr>
          <w:sz w:val="22"/>
          <w:szCs w:val="22"/>
          <w:lang w:val="ro-MD"/>
        </w:rPr>
        <w:t>şi</w:t>
      </w:r>
      <w:proofErr w:type="spellEnd"/>
      <w:r w:rsidR="00852429" w:rsidRPr="000508B6">
        <w:rPr>
          <w:sz w:val="22"/>
          <w:szCs w:val="22"/>
          <w:lang w:val="ro-MD"/>
        </w:rPr>
        <w:t xml:space="preserve"> </w:t>
      </w:r>
      <w:proofErr w:type="spellStart"/>
      <w:r w:rsidR="00852429" w:rsidRPr="000508B6">
        <w:rPr>
          <w:sz w:val="22"/>
          <w:szCs w:val="22"/>
          <w:lang w:val="ro-MD"/>
        </w:rPr>
        <w:t>deficienţele</w:t>
      </w:r>
      <w:proofErr w:type="spellEnd"/>
      <w:r w:rsidR="00852429" w:rsidRPr="000508B6">
        <w:rPr>
          <w:sz w:val="22"/>
          <w:szCs w:val="22"/>
          <w:lang w:val="ro-MD"/>
        </w:rPr>
        <w:t xml:space="preserve"> constatate </w:t>
      </w:r>
      <w:proofErr w:type="spellStart"/>
      <w:r w:rsidR="00852429" w:rsidRPr="000508B6">
        <w:rPr>
          <w:sz w:val="22"/>
          <w:szCs w:val="22"/>
          <w:lang w:val="ro-MD"/>
        </w:rPr>
        <w:t>şi</w:t>
      </w:r>
      <w:proofErr w:type="spellEnd"/>
      <w:r w:rsidR="00852429" w:rsidRPr="000508B6">
        <w:rPr>
          <w:sz w:val="22"/>
          <w:szCs w:val="22"/>
          <w:lang w:val="ro-MD"/>
        </w:rPr>
        <w:t xml:space="preserve"> să fie de natură a avea un efect descurajant.</w:t>
      </w:r>
    </w:p>
    <w:p w14:paraId="5B367611" w14:textId="25E96AFE" w:rsidR="00F07F2A" w:rsidRPr="000508B6" w:rsidRDefault="00B15868" w:rsidP="00AB043B">
      <w:pPr>
        <w:pStyle w:val="NormalWeb"/>
        <w:numPr>
          <w:ilvl w:val="0"/>
          <w:numId w:val="438"/>
        </w:numPr>
        <w:tabs>
          <w:tab w:val="left" w:pos="851"/>
        </w:tabs>
        <w:spacing w:before="0" w:beforeAutospacing="0" w:after="0" w:afterAutospacing="0"/>
        <w:ind w:left="0" w:firstLine="426"/>
        <w:jc w:val="both"/>
        <w:rPr>
          <w:sz w:val="22"/>
          <w:szCs w:val="22"/>
          <w:lang w:val="ro-MD"/>
        </w:rPr>
      </w:pPr>
      <w:r w:rsidRPr="000508B6">
        <w:rPr>
          <w:sz w:val="22"/>
          <w:szCs w:val="22"/>
          <w:lang w:val="ro-MD"/>
        </w:rPr>
        <w:t>R</w:t>
      </w:r>
      <w:r w:rsidR="00F07F2A" w:rsidRPr="000508B6">
        <w:rPr>
          <w:sz w:val="22"/>
          <w:szCs w:val="22"/>
          <w:lang w:val="ro-MD"/>
        </w:rPr>
        <w:t xml:space="preserve">etragerea </w:t>
      </w:r>
      <w:proofErr w:type="spellStart"/>
      <w:r w:rsidR="00F07F2A" w:rsidRPr="000508B6">
        <w:rPr>
          <w:sz w:val="22"/>
          <w:szCs w:val="22"/>
          <w:lang w:val="ro-MD"/>
        </w:rPr>
        <w:t>licenţei</w:t>
      </w:r>
      <w:proofErr w:type="spellEnd"/>
      <w:r w:rsidR="00F07F2A" w:rsidRPr="000508B6">
        <w:rPr>
          <w:sz w:val="22"/>
          <w:szCs w:val="22"/>
          <w:lang w:val="ro-MD"/>
        </w:rPr>
        <w:t xml:space="preserve"> se aplică în cazurile stabilite de prezenta lege.</w:t>
      </w:r>
    </w:p>
    <w:p w14:paraId="535C4A3C" w14:textId="0587A015" w:rsidR="00F07F2A" w:rsidRPr="000508B6" w:rsidRDefault="00F07F2A" w:rsidP="00AB043B">
      <w:pPr>
        <w:pStyle w:val="NormalWeb"/>
        <w:numPr>
          <w:ilvl w:val="0"/>
          <w:numId w:val="438"/>
        </w:numPr>
        <w:tabs>
          <w:tab w:val="left" w:pos="851"/>
        </w:tabs>
        <w:spacing w:before="0" w:beforeAutospacing="0" w:after="0" w:afterAutospacing="0"/>
        <w:ind w:left="0" w:firstLine="426"/>
        <w:jc w:val="both"/>
        <w:rPr>
          <w:sz w:val="22"/>
          <w:szCs w:val="22"/>
          <w:lang w:val="ro-MD"/>
        </w:rPr>
      </w:pPr>
      <w:r w:rsidRPr="000508B6">
        <w:rPr>
          <w:sz w:val="22"/>
          <w:szCs w:val="22"/>
          <w:lang w:val="ro-MD"/>
        </w:rPr>
        <w:t xml:space="preserve">Prejudiciile cauzate ca rezultat al încălcării </w:t>
      </w:r>
      <w:proofErr w:type="spellStart"/>
      <w:r w:rsidRPr="000508B6">
        <w:rPr>
          <w:sz w:val="22"/>
          <w:szCs w:val="22"/>
          <w:lang w:val="ro-MD"/>
        </w:rPr>
        <w:t>legislaţiei</w:t>
      </w:r>
      <w:proofErr w:type="spellEnd"/>
      <w:r w:rsidR="00383B26" w:rsidRPr="000508B6">
        <w:rPr>
          <w:sz w:val="22"/>
          <w:szCs w:val="22"/>
          <w:lang w:val="ro-MD"/>
        </w:rPr>
        <w:t xml:space="preserve"> </w:t>
      </w:r>
      <w:r w:rsidR="00B57A2D" w:rsidRPr="000508B6">
        <w:rPr>
          <w:sz w:val="22"/>
          <w:szCs w:val="22"/>
          <w:lang w:val="ro-MD"/>
        </w:rPr>
        <w:t>privind</w:t>
      </w:r>
      <w:r w:rsidRPr="000508B6">
        <w:rPr>
          <w:sz w:val="22"/>
          <w:szCs w:val="22"/>
          <w:lang w:val="ro-MD"/>
        </w:rPr>
        <w:t xml:space="preserve"> </w:t>
      </w:r>
      <w:r w:rsidR="00293210" w:rsidRPr="000508B6">
        <w:rPr>
          <w:sz w:val="22"/>
          <w:szCs w:val="22"/>
          <w:lang w:val="ro-MD"/>
        </w:rPr>
        <w:t>activitatea de asigurare sau de reasigurare</w:t>
      </w:r>
      <w:r w:rsidRPr="000508B6">
        <w:rPr>
          <w:sz w:val="22"/>
          <w:szCs w:val="22"/>
          <w:lang w:val="ro-MD"/>
        </w:rPr>
        <w:t xml:space="preserve">, urmează a fi reparate în modul stabilit de </w:t>
      </w:r>
      <w:proofErr w:type="spellStart"/>
      <w:r w:rsidRPr="000508B6">
        <w:rPr>
          <w:sz w:val="22"/>
          <w:szCs w:val="22"/>
          <w:lang w:val="ro-MD"/>
        </w:rPr>
        <w:t>legislaţie</w:t>
      </w:r>
      <w:proofErr w:type="spellEnd"/>
      <w:r w:rsidRPr="000508B6">
        <w:rPr>
          <w:sz w:val="22"/>
          <w:szCs w:val="22"/>
          <w:lang w:val="ro-MD"/>
        </w:rPr>
        <w:t>.</w:t>
      </w:r>
    </w:p>
    <w:p w14:paraId="1698B465" w14:textId="147B4C30" w:rsidR="00F07F2A" w:rsidRPr="000508B6" w:rsidRDefault="00F07F2A" w:rsidP="00AB043B">
      <w:pPr>
        <w:pStyle w:val="NormalWeb"/>
        <w:numPr>
          <w:ilvl w:val="0"/>
          <w:numId w:val="438"/>
        </w:numPr>
        <w:tabs>
          <w:tab w:val="left" w:pos="851"/>
        </w:tabs>
        <w:spacing w:before="0" w:beforeAutospacing="0" w:after="0" w:afterAutospacing="0"/>
        <w:ind w:left="0" w:firstLine="426"/>
        <w:jc w:val="both"/>
        <w:rPr>
          <w:sz w:val="22"/>
          <w:szCs w:val="22"/>
          <w:lang w:val="ro-MD"/>
        </w:rPr>
      </w:pPr>
      <w:r w:rsidRPr="000508B6">
        <w:rPr>
          <w:sz w:val="22"/>
          <w:szCs w:val="22"/>
          <w:lang w:val="ro-MD"/>
        </w:rPr>
        <w:t xml:space="preserve">Actele prin care sunt aplicate </w:t>
      </w:r>
      <w:proofErr w:type="spellStart"/>
      <w:r w:rsidRPr="000508B6">
        <w:rPr>
          <w:sz w:val="22"/>
          <w:szCs w:val="22"/>
          <w:lang w:val="ro-MD"/>
        </w:rPr>
        <w:t>sancţiuni</w:t>
      </w:r>
      <w:proofErr w:type="spellEnd"/>
      <w:r w:rsidRPr="000508B6">
        <w:rPr>
          <w:sz w:val="22"/>
          <w:szCs w:val="22"/>
          <w:lang w:val="ro-MD"/>
        </w:rPr>
        <w:t xml:space="preserve"> </w:t>
      </w:r>
      <w:proofErr w:type="spellStart"/>
      <w:r w:rsidRPr="000508B6">
        <w:rPr>
          <w:sz w:val="22"/>
          <w:szCs w:val="22"/>
          <w:lang w:val="ro-MD"/>
        </w:rPr>
        <w:t>şi</w:t>
      </w:r>
      <w:proofErr w:type="spellEnd"/>
      <w:r w:rsidRPr="000508B6">
        <w:rPr>
          <w:sz w:val="22"/>
          <w:szCs w:val="22"/>
          <w:lang w:val="ro-MD"/>
        </w:rPr>
        <w:t xml:space="preserve">/sau măsuri potrivit prezentei legi se emit de către Comitetul executiv al Băncii </w:t>
      </w:r>
      <w:proofErr w:type="spellStart"/>
      <w:r w:rsidRPr="000508B6">
        <w:rPr>
          <w:sz w:val="22"/>
          <w:szCs w:val="22"/>
          <w:lang w:val="ro-MD"/>
        </w:rPr>
        <w:t>Naţionale</w:t>
      </w:r>
      <w:proofErr w:type="spellEnd"/>
      <w:r w:rsidRPr="000508B6">
        <w:rPr>
          <w:sz w:val="22"/>
          <w:szCs w:val="22"/>
          <w:lang w:val="ro-MD"/>
        </w:rPr>
        <w:t xml:space="preserve"> a Moldovei. </w:t>
      </w:r>
      <w:proofErr w:type="spellStart"/>
      <w:r w:rsidRPr="000508B6">
        <w:rPr>
          <w:sz w:val="22"/>
          <w:szCs w:val="22"/>
          <w:lang w:val="ro-MD"/>
        </w:rPr>
        <w:t>Sancţiunea</w:t>
      </w:r>
      <w:proofErr w:type="spellEnd"/>
      <w:r w:rsidRPr="000508B6">
        <w:rPr>
          <w:sz w:val="22"/>
          <w:szCs w:val="22"/>
          <w:lang w:val="ro-MD"/>
        </w:rPr>
        <w:t xml:space="preserve"> prevăzută la alin.</w:t>
      </w:r>
      <w:r w:rsidR="00F8362F" w:rsidRPr="000508B6">
        <w:rPr>
          <w:sz w:val="22"/>
          <w:szCs w:val="22"/>
          <w:lang w:val="ro-MD"/>
        </w:rPr>
        <w:t xml:space="preserve"> </w:t>
      </w:r>
      <w:r w:rsidRPr="000508B6">
        <w:rPr>
          <w:sz w:val="22"/>
          <w:szCs w:val="22"/>
          <w:lang w:val="ro-MD"/>
        </w:rPr>
        <w:t xml:space="preserve">(2) </w:t>
      </w:r>
      <w:r w:rsidR="006E13E2" w:rsidRPr="000508B6">
        <w:rPr>
          <w:sz w:val="22"/>
          <w:szCs w:val="22"/>
          <w:lang w:val="ro-MD"/>
        </w:rPr>
        <w:t>lit.</w:t>
      </w:r>
      <w:r w:rsidR="00E23D59" w:rsidRPr="000508B6">
        <w:rPr>
          <w:sz w:val="22"/>
          <w:szCs w:val="22"/>
          <w:lang w:val="ro-MD"/>
        </w:rPr>
        <w:t xml:space="preserve"> </w:t>
      </w:r>
      <w:r w:rsidR="006E13E2" w:rsidRPr="000508B6">
        <w:rPr>
          <w:sz w:val="22"/>
          <w:szCs w:val="22"/>
          <w:lang w:val="ro-MD"/>
        </w:rPr>
        <w:t>a</w:t>
      </w:r>
      <w:r w:rsidRPr="000508B6">
        <w:rPr>
          <w:sz w:val="22"/>
          <w:szCs w:val="22"/>
          <w:lang w:val="ro-MD"/>
        </w:rPr>
        <w:t xml:space="preserve">) din prezentul </w:t>
      </w:r>
      <w:r w:rsidRPr="000508B6">
        <w:rPr>
          <w:sz w:val="22"/>
          <w:szCs w:val="22"/>
          <w:lang w:val="ro-MD"/>
        </w:rPr>
        <w:lastRenderedPageBreak/>
        <w:t>articol po</w:t>
      </w:r>
      <w:r w:rsidR="00EA615A" w:rsidRPr="000508B6">
        <w:rPr>
          <w:sz w:val="22"/>
          <w:szCs w:val="22"/>
          <w:lang w:val="ro-MD"/>
        </w:rPr>
        <w:t>ate</w:t>
      </w:r>
      <w:r w:rsidRPr="000508B6">
        <w:rPr>
          <w:sz w:val="22"/>
          <w:szCs w:val="22"/>
          <w:lang w:val="ro-MD"/>
        </w:rPr>
        <w:t xml:space="preserve"> fi </w:t>
      </w:r>
      <w:r w:rsidR="00EA615A" w:rsidRPr="000508B6">
        <w:rPr>
          <w:sz w:val="22"/>
          <w:szCs w:val="22"/>
          <w:lang w:val="ro-MD"/>
        </w:rPr>
        <w:t>aplicată</w:t>
      </w:r>
      <w:r w:rsidRPr="000508B6">
        <w:rPr>
          <w:sz w:val="22"/>
          <w:szCs w:val="22"/>
          <w:lang w:val="ro-MD"/>
        </w:rPr>
        <w:t xml:space="preserve"> </w:t>
      </w:r>
      <w:r w:rsidR="00D05360" w:rsidRPr="000508B6">
        <w:rPr>
          <w:sz w:val="22"/>
          <w:szCs w:val="22"/>
          <w:lang w:val="ro-MD"/>
        </w:rPr>
        <w:t>prin scrisoare de ave</w:t>
      </w:r>
      <w:r w:rsidR="004676E9" w:rsidRPr="000508B6">
        <w:rPr>
          <w:sz w:val="22"/>
          <w:szCs w:val="22"/>
          <w:lang w:val="ro-MD"/>
        </w:rPr>
        <w:t>r</w:t>
      </w:r>
      <w:r w:rsidR="00D05360" w:rsidRPr="000508B6">
        <w:rPr>
          <w:sz w:val="22"/>
          <w:szCs w:val="22"/>
          <w:lang w:val="ro-MD"/>
        </w:rPr>
        <w:t>tisment</w:t>
      </w:r>
      <w:r w:rsidRPr="000508B6">
        <w:rPr>
          <w:sz w:val="22"/>
          <w:szCs w:val="22"/>
          <w:lang w:val="ro-MD"/>
        </w:rPr>
        <w:t xml:space="preserve"> de către guvernatorul, prim-viceguvernatorul sau viceguvernatorii Băncii </w:t>
      </w:r>
      <w:proofErr w:type="spellStart"/>
      <w:r w:rsidRPr="000508B6">
        <w:rPr>
          <w:sz w:val="22"/>
          <w:szCs w:val="22"/>
          <w:lang w:val="ro-MD"/>
        </w:rPr>
        <w:t>Naţionale</w:t>
      </w:r>
      <w:proofErr w:type="spellEnd"/>
      <w:r w:rsidRPr="000508B6">
        <w:rPr>
          <w:sz w:val="22"/>
          <w:szCs w:val="22"/>
          <w:lang w:val="ro-MD"/>
        </w:rPr>
        <w:t xml:space="preserve"> a Moldovei.</w:t>
      </w:r>
    </w:p>
    <w:p w14:paraId="7B4D3CF0" w14:textId="3E40B307" w:rsidR="00F07F2A" w:rsidRPr="000508B6" w:rsidRDefault="00F07F2A" w:rsidP="00AB043B">
      <w:pPr>
        <w:pStyle w:val="NormalWeb"/>
        <w:numPr>
          <w:ilvl w:val="0"/>
          <w:numId w:val="438"/>
        </w:numPr>
        <w:tabs>
          <w:tab w:val="left" w:pos="851"/>
        </w:tabs>
        <w:spacing w:before="0" w:beforeAutospacing="0" w:after="0" w:afterAutospacing="0"/>
        <w:ind w:left="0" w:firstLine="426"/>
        <w:jc w:val="both"/>
        <w:rPr>
          <w:sz w:val="22"/>
          <w:szCs w:val="22"/>
          <w:lang w:val="ro-MD"/>
        </w:rPr>
      </w:pPr>
      <w:proofErr w:type="spellStart"/>
      <w:r w:rsidRPr="000508B6">
        <w:rPr>
          <w:sz w:val="22"/>
          <w:szCs w:val="22"/>
          <w:lang w:val="ro-MD"/>
        </w:rPr>
        <w:t>Sancţiunile</w:t>
      </w:r>
      <w:proofErr w:type="spellEnd"/>
      <w:r w:rsidRPr="000508B6">
        <w:rPr>
          <w:sz w:val="22"/>
          <w:szCs w:val="22"/>
          <w:lang w:val="ro-MD"/>
        </w:rPr>
        <w:t xml:space="preserve"> pot fi aplicate concomitent cu măsurile prevăzute de </w:t>
      </w:r>
      <w:r w:rsidR="00185C7F" w:rsidRPr="000508B6">
        <w:rPr>
          <w:sz w:val="22"/>
          <w:szCs w:val="22"/>
          <w:lang w:val="ro-MD"/>
        </w:rPr>
        <w:t xml:space="preserve">art. </w:t>
      </w:r>
      <w:r w:rsidR="00F4642A" w:rsidRPr="000508B6">
        <w:rPr>
          <w:sz w:val="22"/>
          <w:szCs w:val="22"/>
          <w:lang w:val="ro-MD"/>
        </w:rPr>
        <w:t>176</w:t>
      </w:r>
      <w:r w:rsidR="00185C7F" w:rsidRPr="000508B6">
        <w:rPr>
          <w:sz w:val="22"/>
          <w:szCs w:val="22"/>
          <w:lang w:val="ro-MD"/>
        </w:rPr>
        <w:t xml:space="preserve"> alin. (4)</w:t>
      </w:r>
      <w:r w:rsidRPr="000508B6">
        <w:rPr>
          <w:sz w:val="22"/>
          <w:szCs w:val="22"/>
          <w:lang w:val="ro-MD"/>
        </w:rPr>
        <w:t xml:space="preserve"> sau independent de acestea.</w:t>
      </w:r>
    </w:p>
    <w:bookmarkEnd w:id="193"/>
    <w:p w14:paraId="21C28911" w14:textId="77777777" w:rsidR="00F257ED" w:rsidRPr="000508B6" w:rsidRDefault="00F257ED" w:rsidP="00DF4AD1">
      <w:pPr>
        <w:spacing w:after="0" w:line="240" w:lineRule="auto"/>
        <w:ind w:firstLine="426"/>
        <w:jc w:val="center"/>
        <w:rPr>
          <w:rFonts w:ascii="Times New Roman" w:eastAsia="Times New Roman" w:hAnsi="Times New Roman" w:cs="Times New Roman"/>
          <w:b/>
          <w:lang w:val="ro-MD"/>
        </w:rPr>
      </w:pPr>
    </w:p>
    <w:p w14:paraId="4112B91F" w14:textId="1200A12B" w:rsidR="00DF4AD1" w:rsidRPr="000508B6" w:rsidRDefault="00DF4AD1" w:rsidP="00DF4AD1">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CAPITOLUL XI </w:t>
      </w:r>
    </w:p>
    <w:p w14:paraId="237672FD" w14:textId="7C26E544" w:rsidR="00DF4AD1" w:rsidRPr="000508B6" w:rsidRDefault="00DF4AD1" w:rsidP="00DF4AD1">
      <w:pPr>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DISPOZIŢII </w:t>
      </w:r>
      <w:r w:rsidR="00563311">
        <w:rPr>
          <w:rFonts w:ascii="Times New Roman" w:eastAsia="Times New Roman" w:hAnsi="Times New Roman" w:cs="Times New Roman"/>
          <w:b/>
          <w:lang w:val="ro-MD"/>
        </w:rPr>
        <w:t xml:space="preserve">FINALE ȘI </w:t>
      </w:r>
      <w:r w:rsidR="004C0E0C" w:rsidRPr="000508B6">
        <w:rPr>
          <w:rFonts w:ascii="Times New Roman" w:eastAsia="Times New Roman" w:hAnsi="Times New Roman" w:cs="Times New Roman"/>
          <w:b/>
          <w:lang w:val="ro-MD"/>
        </w:rPr>
        <w:t xml:space="preserve">TRANZITORII </w:t>
      </w:r>
      <w:r w:rsidR="004B41FC" w:rsidRPr="000508B6">
        <w:rPr>
          <w:rFonts w:ascii="Times New Roman" w:eastAsia="Times New Roman" w:hAnsi="Times New Roman" w:cs="Times New Roman"/>
          <w:b/>
          <w:lang w:val="ro-MD"/>
        </w:rPr>
        <w:t xml:space="preserve"> </w:t>
      </w:r>
    </w:p>
    <w:p w14:paraId="0BD5659E" w14:textId="77777777" w:rsidR="00DF4AD1" w:rsidRPr="000508B6" w:rsidRDefault="00DF4AD1" w:rsidP="00DF4AD1">
      <w:pPr>
        <w:spacing w:after="0" w:line="240" w:lineRule="auto"/>
        <w:ind w:firstLine="426"/>
        <w:jc w:val="both"/>
        <w:rPr>
          <w:rFonts w:ascii="Times New Roman" w:eastAsia="Times New Roman" w:hAnsi="Times New Roman" w:cs="Times New Roman"/>
          <w:b/>
          <w:lang w:val="ro-MD"/>
        </w:rPr>
      </w:pPr>
    </w:p>
    <w:p w14:paraId="5F2F6340" w14:textId="6C299514" w:rsidR="00C91615" w:rsidRDefault="00C91615" w:rsidP="007C7A1A">
      <w:pPr>
        <w:pStyle w:val="Listparagraf"/>
        <w:spacing w:after="0" w:line="240" w:lineRule="auto"/>
        <w:ind w:left="360"/>
        <w:jc w:val="both"/>
        <w:rPr>
          <w:rFonts w:ascii="Times New Roman" w:eastAsia="Times New Roman" w:hAnsi="Times New Roman" w:cs="Times New Roman"/>
          <w:b/>
          <w:lang w:val="ro-MD"/>
        </w:rPr>
      </w:pPr>
      <w:r>
        <w:rPr>
          <w:rFonts w:ascii="Times New Roman" w:eastAsia="Times New Roman" w:hAnsi="Times New Roman" w:cs="Times New Roman"/>
          <w:b/>
          <w:lang w:val="ro-MD"/>
        </w:rPr>
        <w:t xml:space="preserve">Articolul 199. </w:t>
      </w:r>
      <w:r w:rsidRPr="00482458">
        <w:rPr>
          <w:rFonts w:ascii="Times New Roman" w:eastAsia="Times New Roman" w:hAnsi="Times New Roman" w:cs="Times New Roman"/>
          <w:bCs/>
          <w:lang w:val="ro-MD"/>
        </w:rPr>
        <w:t>Dispoziții finale</w:t>
      </w:r>
    </w:p>
    <w:p w14:paraId="4AF06047" w14:textId="7B364EDF" w:rsidR="00EC7298" w:rsidRDefault="00C91615" w:rsidP="00A80004">
      <w:pPr>
        <w:pStyle w:val="Listparagraf"/>
        <w:numPr>
          <w:ilvl w:val="0"/>
          <w:numId w:val="482"/>
        </w:numPr>
        <w:ind w:left="0" w:firstLine="426"/>
        <w:jc w:val="both"/>
        <w:rPr>
          <w:rFonts w:ascii="Times New Roman" w:eastAsia="Times New Roman" w:hAnsi="Times New Roman" w:cs="Times New Roman"/>
          <w:bCs/>
          <w:lang w:val="ro-MD"/>
        </w:rPr>
      </w:pPr>
      <w:r w:rsidRPr="00482458">
        <w:rPr>
          <w:rFonts w:ascii="Times New Roman" w:eastAsia="Times New Roman" w:hAnsi="Times New Roman" w:cs="Times New Roman"/>
          <w:bCs/>
          <w:lang w:val="ro-MD"/>
        </w:rPr>
        <w:t xml:space="preserve">Prezenta lege intră în vigoare la data de 1 ianuarie 2029, cu excepția </w:t>
      </w:r>
      <w:r w:rsidR="00EC7298" w:rsidRPr="00EC2019">
        <w:rPr>
          <w:rFonts w:ascii="Times New Roman" w:eastAsia="Times New Roman" w:hAnsi="Times New Roman" w:cs="Times New Roman"/>
          <w:bCs/>
          <w:lang w:val="ro-MD"/>
        </w:rPr>
        <w:t>prevederilor art. 187</w:t>
      </w:r>
      <w:r w:rsidR="00E85CD9">
        <w:rPr>
          <w:rFonts w:ascii="Times New Roman" w:eastAsia="Times New Roman" w:hAnsi="Times New Roman" w:cs="Times New Roman"/>
          <w:bCs/>
          <w:lang w:val="ro-MD"/>
        </w:rPr>
        <w:t xml:space="preserve"> și</w:t>
      </w:r>
      <w:r w:rsidR="00EC7298" w:rsidRPr="00EC2019">
        <w:rPr>
          <w:rFonts w:ascii="Times New Roman" w:eastAsia="Times New Roman" w:hAnsi="Times New Roman" w:cs="Times New Roman"/>
          <w:bCs/>
          <w:lang w:val="ro-MD"/>
        </w:rPr>
        <w:t xml:space="preserve"> art. 196</w:t>
      </w:r>
      <w:r w:rsidR="00E85CD9">
        <w:rPr>
          <w:rFonts w:ascii="Times New Roman" w:eastAsia="Times New Roman" w:hAnsi="Times New Roman" w:cs="Times New Roman"/>
          <w:bCs/>
          <w:lang w:val="ro-MD"/>
        </w:rPr>
        <w:t>,</w:t>
      </w:r>
      <w:r w:rsidR="00EC7298" w:rsidRPr="00EC2019">
        <w:rPr>
          <w:rFonts w:ascii="Times New Roman" w:eastAsia="Times New Roman" w:hAnsi="Times New Roman" w:cs="Times New Roman"/>
          <w:bCs/>
          <w:lang w:val="ro-MD"/>
        </w:rPr>
        <w:t xml:space="preserve"> care intră în vigoare la data publicării în Monitorul Oficial al Republicii Moldova.</w:t>
      </w:r>
    </w:p>
    <w:p w14:paraId="0D65236E" w14:textId="77777777" w:rsidR="00157BB7" w:rsidRPr="00157BB7" w:rsidRDefault="00157BB7" w:rsidP="00A80004">
      <w:pPr>
        <w:pStyle w:val="Listparagraf"/>
        <w:numPr>
          <w:ilvl w:val="0"/>
          <w:numId w:val="482"/>
        </w:numPr>
        <w:ind w:left="0" w:firstLine="426"/>
        <w:rPr>
          <w:rFonts w:ascii="Times New Roman" w:eastAsia="Times New Roman" w:hAnsi="Times New Roman" w:cs="Times New Roman"/>
          <w:bCs/>
          <w:lang w:val="ro-MD"/>
        </w:rPr>
      </w:pPr>
      <w:r w:rsidRPr="00157BB7">
        <w:rPr>
          <w:rFonts w:ascii="Times New Roman" w:eastAsia="Times New Roman" w:hAnsi="Times New Roman" w:cs="Times New Roman"/>
          <w:bCs/>
          <w:lang w:val="ro-MD"/>
        </w:rPr>
        <w:t>La data publicării legii în Monitorul Oficial al Republicii Moldova, art.119 și art.120 din Legea nr.92/2022 cu privire la activitatea de asigurare sau de reasigurare se abrogă.</w:t>
      </w:r>
    </w:p>
    <w:p w14:paraId="079A858D" w14:textId="7BFCC057" w:rsidR="00A710CD" w:rsidRDefault="006B0734" w:rsidP="00A80004">
      <w:pPr>
        <w:pStyle w:val="Listparagraf"/>
        <w:numPr>
          <w:ilvl w:val="0"/>
          <w:numId w:val="482"/>
        </w:numPr>
        <w:ind w:left="0" w:firstLine="426"/>
        <w:jc w:val="both"/>
        <w:rPr>
          <w:rFonts w:ascii="Times New Roman" w:eastAsia="Times New Roman" w:hAnsi="Times New Roman" w:cs="Times New Roman"/>
          <w:bCs/>
          <w:lang w:val="ro-MD"/>
        </w:rPr>
      </w:pPr>
      <w:r w:rsidRPr="006B0734">
        <w:rPr>
          <w:rFonts w:ascii="Times New Roman" w:eastAsia="Times New Roman" w:hAnsi="Times New Roman" w:cs="Times New Roman"/>
          <w:bCs/>
          <w:lang w:val="ro-MD"/>
        </w:rPr>
        <w:t>Fără a aduce atingere prevederilor alin. (1), p</w:t>
      </w:r>
      <w:r w:rsidR="00A710CD" w:rsidRPr="006B0734">
        <w:rPr>
          <w:rFonts w:ascii="Times New Roman" w:eastAsia="Times New Roman" w:hAnsi="Times New Roman" w:cs="Times New Roman"/>
          <w:bCs/>
          <w:lang w:val="ro-MD"/>
        </w:rPr>
        <w:t xml:space="preserve">revederile art. 1 </w:t>
      </w:r>
      <w:proofErr w:type="spellStart"/>
      <w:r w:rsidR="00A710CD" w:rsidRPr="006B0734">
        <w:rPr>
          <w:rFonts w:ascii="Times New Roman" w:eastAsia="Times New Roman" w:hAnsi="Times New Roman" w:cs="Times New Roman"/>
          <w:bCs/>
          <w:lang w:val="ro-MD"/>
        </w:rPr>
        <w:t>lit</w:t>
      </w:r>
      <w:proofErr w:type="spellEnd"/>
      <w:r w:rsidR="00A710CD" w:rsidRPr="006B0734">
        <w:rPr>
          <w:rFonts w:ascii="Times New Roman" w:eastAsia="Times New Roman" w:hAnsi="Times New Roman" w:cs="Times New Roman"/>
          <w:bCs/>
          <w:lang w:val="ro-MD"/>
        </w:rPr>
        <w:t xml:space="preserve"> </w:t>
      </w:r>
      <w:r w:rsidRPr="006B0734">
        <w:rPr>
          <w:rFonts w:ascii="Times New Roman" w:eastAsia="Times New Roman" w:hAnsi="Times New Roman" w:cs="Times New Roman"/>
          <w:bCs/>
          <w:lang w:val="ro-MD"/>
        </w:rPr>
        <w:t>d</w:t>
      </w:r>
      <w:r w:rsidR="00A710CD" w:rsidRPr="006B0734">
        <w:rPr>
          <w:rFonts w:ascii="Times New Roman" w:eastAsia="Times New Roman" w:hAnsi="Times New Roman" w:cs="Times New Roman"/>
          <w:bCs/>
          <w:lang w:val="ro-MD"/>
        </w:rPr>
        <w:t xml:space="preserve">), k), </w:t>
      </w:r>
      <w:r w:rsidRPr="006B0734">
        <w:rPr>
          <w:rFonts w:ascii="Times New Roman" w:eastAsia="Times New Roman" w:hAnsi="Times New Roman" w:cs="Times New Roman"/>
          <w:bCs/>
          <w:lang w:val="ro-MD"/>
        </w:rPr>
        <w:t xml:space="preserve">art. 3 pct. 2) </w:t>
      </w:r>
      <w:proofErr w:type="spellStart"/>
      <w:r w:rsidRPr="006B0734">
        <w:rPr>
          <w:rFonts w:ascii="Times New Roman" w:eastAsia="Times New Roman" w:hAnsi="Times New Roman" w:cs="Times New Roman"/>
          <w:bCs/>
          <w:lang w:val="ro-MD"/>
        </w:rPr>
        <w:t>lit</w:t>
      </w:r>
      <w:proofErr w:type="spellEnd"/>
      <w:r w:rsidRPr="006B0734">
        <w:rPr>
          <w:rFonts w:ascii="Times New Roman" w:eastAsia="Times New Roman" w:hAnsi="Times New Roman" w:cs="Times New Roman"/>
          <w:bCs/>
          <w:lang w:val="ro-MD"/>
        </w:rPr>
        <w:t xml:space="preserve"> a), pct. 15), 78)-85</w:t>
      </w:r>
      <w:r w:rsidR="00FC4895">
        <w:rPr>
          <w:rFonts w:ascii="Times New Roman" w:eastAsia="Times New Roman" w:hAnsi="Times New Roman" w:cs="Times New Roman"/>
          <w:bCs/>
          <w:lang w:val="ro-MD"/>
        </w:rPr>
        <w:t>)</w:t>
      </w:r>
      <w:r w:rsidRPr="00FC4895">
        <w:rPr>
          <w:rFonts w:ascii="Times New Roman" w:eastAsia="Times New Roman" w:hAnsi="Times New Roman" w:cs="Times New Roman"/>
          <w:bCs/>
          <w:lang w:val="ro-MD"/>
        </w:rPr>
        <w:t>,</w:t>
      </w:r>
      <w:r w:rsidRPr="006B0734">
        <w:rPr>
          <w:rFonts w:ascii="Times New Roman" w:eastAsia="Times New Roman" w:hAnsi="Times New Roman" w:cs="Times New Roman"/>
          <w:bCs/>
          <w:lang w:val="ro-MD"/>
        </w:rPr>
        <w:t xml:space="preserve"> art. 6 alin. (21)</w:t>
      </w:r>
      <w:r w:rsidR="00C951E8">
        <w:rPr>
          <w:rFonts w:ascii="Times New Roman" w:eastAsia="Times New Roman" w:hAnsi="Times New Roman" w:cs="Times New Roman"/>
          <w:bCs/>
          <w:lang w:val="ro-MD"/>
        </w:rPr>
        <w:t>-</w:t>
      </w:r>
      <w:r w:rsidRPr="006B0734">
        <w:rPr>
          <w:rFonts w:ascii="Times New Roman" w:eastAsia="Times New Roman" w:hAnsi="Times New Roman" w:cs="Times New Roman"/>
          <w:bCs/>
          <w:lang w:val="ro-MD"/>
        </w:rPr>
        <w:t>(26)</w:t>
      </w:r>
      <w:r w:rsidR="00C951E8">
        <w:rPr>
          <w:rFonts w:ascii="Times New Roman" w:eastAsia="Times New Roman" w:hAnsi="Times New Roman" w:cs="Times New Roman"/>
          <w:bCs/>
          <w:lang w:val="ro-MD"/>
        </w:rPr>
        <w:t>,</w:t>
      </w:r>
      <w:r w:rsidR="00647617">
        <w:rPr>
          <w:rFonts w:ascii="Times New Roman" w:eastAsia="Times New Roman" w:hAnsi="Times New Roman" w:cs="Times New Roman"/>
          <w:bCs/>
          <w:lang w:val="ro-MD"/>
        </w:rPr>
        <w:t xml:space="preserve"> art. 25 alin. (9) </w:t>
      </w:r>
      <w:proofErr w:type="spellStart"/>
      <w:r w:rsidR="00647617">
        <w:rPr>
          <w:rFonts w:ascii="Times New Roman" w:eastAsia="Times New Roman" w:hAnsi="Times New Roman" w:cs="Times New Roman"/>
          <w:bCs/>
          <w:lang w:val="ro-MD"/>
        </w:rPr>
        <w:t>lit.c</w:t>
      </w:r>
      <w:proofErr w:type="spellEnd"/>
      <w:r w:rsidR="00647617">
        <w:rPr>
          <w:rFonts w:ascii="Times New Roman" w:eastAsia="Times New Roman" w:hAnsi="Times New Roman" w:cs="Times New Roman"/>
          <w:bCs/>
          <w:lang w:val="ro-MD"/>
        </w:rPr>
        <w:t xml:space="preserve">) și alin. (10), </w:t>
      </w:r>
      <w:r w:rsidR="00C951E8">
        <w:rPr>
          <w:rFonts w:ascii="Times New Roman" w:eastAsia="Times New Roman" w:hAnsi="Times New Roman" w:cs="Times New Roman"/>
          <w:bCs/>
          <w:lang w:val="ro-MD"/>
        </w:rPr>
        <w:t xml:space="preserve"> art. 31 alin. (6), art. 47 alin. (18) </w:t>
      </w:r>
      <w:proofErr w:type="spellStart"/>
      <w:r w:rsidR="00C951E8">
        <w:rPr>
          <w:rFonts w:ascii="Times New Roman" w:eastAsia="Times New Roman" w:hAnsi="Times New Roman" w:cs="Times New Roman"/>
          <w:bCs/>
          <w:lang w:val="ro-MD"/>
        </w:rPr>
        <w:t>lit.f</w:t>
      </w:r>
      <w:proofErr w:type="spellEnd"/>
      <w:r w:rsidR="00C951E8">
        <w:rPr>
          <w:rFonts w:ascii="Times New Roman" w:eastAsia="Times New Roman" w:hAnsi="Times New Roman" w:cs="Times New Roman"/>
          <w:bCs/>
          <w:lang w:val="ro-MD"/>
        </w:rPr>
        <w:t xml:space="preserve">), (21), </w:t>
      </w:r>
      <w:r w:rsidRPr="006B0734">
        <w:rPr>
          <w:rFonts w:ascii="Times New Roman" w:eastAsia="Times New Roman" w:hAnsi="Times New Roman" w:cs="Times New Roman"/>
          <w:bCs/>
          <w:lang w:val="ro-MD"/>
        </w:rPr>
        <w:t xml:space="preserve"> </w:t>
      </w:r>
      <w:r w:rsidR="005A22E9" w:rsidRPr="006B0734">
        <w:rPr>
          <w:rFonts w:ascii="Times New Roman" w:eastAsia="Times New Roman" w:hAnsi="Times New Roman" w:cs="Times New Roman"/>
          <w:bCs/>
          <w:lang w:val="ro-MD"/>
        </w:rPr>
        <w:t>art. 91-94, art. 98, art. 100,</w:t>
      </w:r>
      <w:r w:rsidR="00C951E8">
        <w:rPr>
          <w:rFonts w:ascii="Times New Roman" w:eastAsia="Times New Roman" w:hAnsi="Times New Roman" w:cs="Times New Roman"/>
          <w:bCs/>
          <w:lang w:val="ro-MD"/>
        </w:rPr>
        <w:t xml:space="preserve"> art. 103, </w:t>
      </w:r>
      <w:r w:rsidR="00647617">
        <w:rPr>
          <w:rFonts w:ascii="Times New Roman" w:eastAsia="Times New Roman" w:hAnsi="Times New Roman" w:cs="Times New Roman"/>
          <w:bCs/>
          <w:lang w:val="ro-MD"/>
        </w:rPr>
        <w:t xml:space="preserve">art. 104 alin. (2), </w:t>
      </w:r>
      <w:r w:rsidR="00433C31">
        <w:rPr>
          <w:rFonts w:ascii="Times New Roman" w:eastAsia="Times New Roman" w:hAnsi="Times New Roman" w:cs="Times New Roman"/>
          <w:bCs/>
          <w:lang w:val="ro-MD"/>
        </w:rPr>
        <w:t xml:space="preserve">art. 116 alin. (5), art. 118 alin. (6), art. 121, art. 129 alin. (2), </w:t>
      </w:r>
      <w:r w:rsidR="00E06F5B">
        <w:rPr>
          <w:rFonts w:ascii="Times New Roman" w:eastAsia="Times New Roman" w:hAnsi="Times New Roman" w:cs="Times New Roman"/>
          <w:bCs/>
          <w:lang w:val="ro-MD"/>
        </w:rPr>
        <w:t xml:space="preserve">art. </w:t>
      </w:r>
      <w:r w:rsidR="00AA05B8">
        <w:rPr>
          <w:rFonts w:ascii="Times New Roman" w:eastAsia="Times New Roman" w:hAnsi="Times New Roman" w:cs="Times New Roman"/>
          <w:bCs/>
          <w:lang w:val="ro-MD"/>
        </w:rPr>
        <w:t>116</w:t>
      </w:r>
      <w:r w:rsidR="00181D40">
        <w:rPr>
          <w:rFonts w:ascii="Times New Roman" w:eastAsia="Times New Roman" w:hAnsi="Times New Roman" w:cs="Times New Roman"/>
          <w:bCs/>
          <w:lang w:val="ro-MD"/>
        </w:rPr>
        <w:t>-</w:t>
      </w:r>
      <w:r w:rsidR="00E06F5B">
        <w:rPr>
          <w:rFonts w:ascii="Times New Roman" w:eastAsia="Times New Roman" w:hAnsi="Times New Roman" w:cs="Times New Roman"/>
          <w:bCs/>
          <w:lang w:val="ro-MD"/>
        </w:rPr>
        <w:t xml:space="preserve"> </w:t>
      </w:r>
      <w:r w:rsidR="00383FCF">
        <w:rPr>
          <w:rFonts w:ascii="Times New Roman" w:eastAsia="Times New Roman" w:hAnsi="Times New Roman" w:cs="Times New Roman"/>
          <w:bCs/>
          <w:lang w:val="ro-MD"/>
        </w:rPr>
        <w:t>art. 15</w:t>
      </w:r>
      <w:r w:rsidR="00181D40">
        <w:rPr>
          <w:rFonts w:ascii="Times New Roman" w:eastAsia="Times New Roman" w:hAnsi="Times New Roman" w:cs="Times New Roman"/>
          <w:bCs/>
          <w:lang w:val="ro-MD"/>
        </w:rPr>
        <w:t>2</w:t>
      </w:r>
      <w:r w:rsidR="00383FCF">
        <w:rPr>
          <w:rFonts w:ascii="Times New Roman" w:eastAsia="Times New Roman" w:hAnsi="Times New Roman" w:cs="Times New Roman"/>
          <w:bCs/>
          <w:lang w:val="ro-MD"/>
        </w:rPr>
        <w:t>, art. 160 alin. (4), (6), art. 161 alin. (3)</w:t>
      </w:r>
      <w:r w:rsidR="000E01B2">
        <w:rPr>
          <w:rFonts w:ascii="Times New Roman" w:eastAsia="Times New Roman" w:hAnsi="Times New Roman" w:cs="Times New Roman"/>
          <w:bCs/>
          <w:lang w:val="ro-MD"/>
        </w:rPr>
        <w:t>, (7), (8)</w:t>
      </w:r>
      <w:r w:rsidR="00383FCF">
        <w:rPr>
          <w:rFonts w:ascii="Times New Roman" w:eastAsia="Times New Roman" w:hAnsi="Times New Roman" w:cs="Times New Roman"/>
          <w:bCs/>
          <w:lang w:val="ro-MD"/>
        </w:rPr>
        <w:t>,</w:t>
      </w:r>
      <w:r w:rsidR="000E01B2">
        <w:rPr>
          <w:rFonts w:ascii="Times New Roman" w:eastAsia="Times New Roman" w:hAnsi="Times New Roman" w:cs="Times New Roman"/>
          <w:bCs/>
          <w:lang w:val="ro-MD"/>
        </w:rPr>
        <w:t xml:space="preserve"> art. 162 alin. (1), (2), (6),</w:t>
      </w:r>
      <w:r w:rsidR="00383FCF">
        <w:rPr>
          <w:rFonts w:ascii="Times New Roman" w:eastAsia="Times New Roman" w:hAnsi="Times New Roman" w:cs="Times New Roman"/>
          <w:bCs/>
          <w:lang w:val="ro-MD"/>
        </w:rPr>
        <w:t xml:space="preserve"> </w:t>
      </w:r>
      <w:r w:rsidR="000E01B2">
        <w:rPr>
          <w:rFonts w:ascii="Times New Roman" w:eastAsia="Times New Roman" w:hAnsi="Times New Roman" w:cs="Times New Roman"/>
          <w:bCs/>
          <w:lang w:val="ro-MD"/>
        </w:rPr>
        <w:t xml:space="preserve">art. 163 alin. (1)-(3), (7), </w:t>
      </w:r>
      <w:r w:rsidR="00A571E4">
        <w:rPr>
          <w:rFonts w:ascii="Times New Roman" w:eastAsia="Times New Roman" w:hAnsi="Times New Roman" w:cs="Times New Roman"/>
          <w:bCs/>
          <w:lang w:val="ro-MD"/>
        </w:rPr>
        <w:t>art. 167 alin. (11)-(13), (16), (17), (20),</w:t>
      </w:r>
      <w:r w:rsidR="00E947C0">
        <w:rPr>
          <w:rFonts w:ascii="Times New Roman" w:eastAsia="Times New Roman" w:hAnsi="Times New Roman" w:cs="Times New Roman"/>
          <w:bCs/>
          <w:lang w:val="ro-MD"/>
        </w:rPr>
        <w:t xml:space="preserve"> art. 169 alin. (9), art. 175 alin. (3), (4)</w:t>
      </w:r>
      <w:r w:rsidR="00A571E4">
        <w:rPr>
          <w:rFonts w:ascii="Times New Roman" w:eastAsia="Times New Roman" w:hAnsi="Times New Roman" w:cs="Times New Roman"/>
          <w:bCs/>
          <w:lang w:val="ro-MD"/>
        </w:rPr>
        <w:t xml:space="preserve"> a</w:t>
      </w:r>
      <w:r w:rsidR="005A22E9" w:rsidRPr="006B0734">
        <w:rPr>
          <w:rFonts w:ascii="Times New Roman" w:eastAsia="Times New Roman" w:hAnsi="Times New Roman" w:cs="Times New Roman"/>
          <w:bCs/>
          <w:lang w:val="ro-MD"/>
        </w:rPr>
        <w:t xml:space="preserve">rt. 176 alin. (3) </w:t>
      </w:r>
      <w:proofErr w:type="spellStart"/>
      <w:r w:rsidR="005A22E9" w:rsidRPr="006B0734">
        <w:rPr>
          <w:rFonts w:ascii="Times New Roman" w:eastAsia="Times New Roman" w:hAnsi="Times New Roman" w:cs="Times New Roman"/>
          <w:bCs/>
          <w:lang w:val="ro-MD"/>
        </w:rPr>
        <w:t>lit.e</w:t>
      </w:r>
      <w:proofErr w:type="spellEnd"/>
      <w:r w:rsidR="005A22E9" w:rsidRPr="006B0734">
        <w:rPr>
          <w:rFonts w:ascii="Times New Roman" w:eastAsia="Times New Roman" w:hAnsi="Times New Roman" w:cs="Times New Roman"/>
          <w:bCs/>
          <w:lang w:val="ro-MD"/>
        </w:rPr>
        <w:t>)</w:t>
      </w:r>
      <w:r w:rsidR="002A55E5">
        <w:rPr>
          <w:rFonts w:ascii="Times New Roman" w:eastAsia="Times New Roman" w:hAnsi="Times New Roman" w:cs="Times New Roman"/>
          <w:bCs/>
          <w:lang w:val="ro-MD"/>
        </w:rPr>
        <w:t>, alin.(13) – (15)</w:t>
      </w:r>
      <w:r w:rsidR="005A22E9" w:rsidRPr="006B0734">
        <w:rPr>
          <w:rFonts w:ascii="Times New Roman" w:eastAsia="Times New Roman" w:hAnsi="Times New Roman" w:cs="Times New Roman"/>
          <w:bCs/>
          <w:lang w:val="ro-MD"/>
        </w:rPr>
        <w:t>, art. 177,</w:t>
      </w:r>
      <w:r w:rsidR="00647617">
        <w:rPr>
          <w:rFonts w:ascii="Times New Roman" w:eastAsia="Times New Roman" w:hAnsi="Times New Roman" w:cs="Times New Roman"/>
          <w:bCs/>
          <w:lang w:val="ro-MD"/>
        </w:rPr>
        <w:t xml:space="preserve"> art. 181 alin. (3), (9), (13) și (14),</w:t>
      </w:r>
      <w:r w:rsidR="00181D40">
        <w:rPr>
          <w:rFonts w:ascii="Times New Roman" w:eastAsia="Times New Roman" w:hAnsi="Times New Roman" w:cs="Times New Roman"/>
          <w:bCs/>
          <w:lang w:val="ro-MD"/>
        </w:rPr>
        <w:t xml:space="preserve"> </w:t>
      </w:r>
      <w:r w:rsidR="00E947C0">
        <w:rPr>
          <w:rFonts w:ascii="Times New Roman" w:eastAsia="Times New Roman" w:hAnsi="Times New Roman" w:cs="Times New Roman"/>
          <w:bCs/>
          <w:lang w:val="ro-MD"/>
        </w:rPr>
        <w:t xml:space="preserve">art. 184 </w:t>
      </w:r>
      <w:r w:rsidR="00181D40">
        <w:rPr>
          <w:rFonts w:ascii="Times New Roman" w:eastAsia="Times New Roman" w:hAnsi="Times New Roman" w:cs="Times New Roman"/>
          <w:bCs/>
          <w:lang w:val="ro-MD"/>
        </w:rPr>
        <w:t>-186, 188-</w:t>
      </w:r>
      <w:r w:rsidR="005A22E9" w:rsidRPr="006B0734">
        <w:rPr>
          <w:rFonts w:ascii="Times New Roman" w:eastAsia="Times New Roman" w:hAnsi="Times New Roman" w:cs="Times New Roman"/>
          <w:bCs/>
          <w:lang w:val="ro-MD"/>
        </w:rPr>
        <w:t xml:space="preserve">195, precum și orice referințe din prezenta lege la “state membre” intră în vigoare la data intrării în vigoare a Tratatului de aderare a Republicii Moldova la Uniunea Europeană. </w:t>
      </w:r>
    </w:p>
    <w:p w14:paraId="44803168" w14:textId="03A1EAA2" w:rsidR="00EC7298" w:rsidRPr="00482458" w:rsidRDefault="002A55E5" w:rsidP="00A80004">
      <w:pPr>
        <w:pStyle w:val="Listparagraf"/>
        <w:numPr>
          <w:ilvl w:val="0"/>
          <w:numId w:val="482"/>
        </w:numPr>
        <w:ind w:left="0" w:firstLine="426"/>
        <w:jc w:val="both"/>
        <w:rPr>
          <w:rFonts w:ascii="Times New Roman" w:eastAsia="Times New Roman" w:hAnsi="Times New Roman" w:cs="Times New Roman"/>
          <w:bCs/>
          <w:lang w:val="ro-MD"/>
        </w:rPr>
      </w:pPr>
      <w:r>
        <w:rPr>
          <w:rFonts w:ascii="Times New Roman" w:eastAsia="Times New Roman" w:hAnsi="Times New Roman" w:cs="Times New Roman"/>
          <w:bCs/>
          <w:lang w:val="ro-MD"/>
        </w:rPr>
        <w:t xml:space="preserve">După </w:t>
      </w:r>
      <w:r w:rsidRPr="002A55E5">
        <w:rPr>
          <w:rFonts w:ascii="Times New Roman" w:eastAsia="Times New Roman" w:hAnsi="Times New Roman" w:cs="Times New Roman"/>
          <w:bCs/>
          <w:lang w:val="ro-MD"/>
        </w:rPr>
        <w:t>data intrării în vigoare a Tratatului de aderare a Republicii Moldova la Uniunea Europeană</w:t>
      </w:r>
      <w:r w:rsidR="00EC7298" w:rsidRPr="00482458">
        <w:rPr>
          <w:rFonts w:ascii="Times New Roman" w:eastAsia="Times New Roman" w:hAnsi="Times New Roman" w:cs="Times New Roman"/>
          <w:bCs/>
          <w:lang w:val="ro-MD"/>
        </w:rPr>
        <w:t xml:space="preserve">, Banca Națională a Moldovei informează Autoritatea Europeana pentru Valori Mobiliare și Piețe cu privire la faptul ca este organism de colectare potrivit art. 176 alin. (12). </w:t>
      </w:r>
    </w:p>
    <w:p w14:paraId="46A6BBCC" w14:textId="77777777" w:rsidR="00EC7298" w:rsidRPr="00482458" w:rsidRDefault="00EC7298" w:rsidP="006B0734">
      <w:pPr>
        <w:pStyle w:val="Listparagraf"/>
        <w:numPr>
          <w:ilvl w:val="0"/>
          <w:numId w:val="482"/>
        </w:numPr>
        <w:ind w:left="0" w:firstLine="426"/>
        <w:jc w:val="both"/>
        <w:rPr>
          <w:rFonts w:ascii="Times New Roman" w:eastAsia="Times New Roman" w:hAnsi="Times New Roman" w:cs="Times New Roman"/>
          <w:bCs/>
          <w:lang w:val="ro-MD"/>
        </w:rPr>
      </w:pPr>
      <w:r w:rsidRPr="00482458">
        <w:rPr>
          <w:rFonts w:ascii="Times New Roman" w:eastAsia="Times New Roman" w:hAnsi="Times New Roman" w:cs="Times New Roman"/>
          <w:bCs/>
          <w:lang w:val="ro-MD"/>
        </w:rPr>
        <w:t xml:space="preserve">În vederea asigurării aplicării prezentei legi, Banca Națională a Moldovei, va aproba cadrul normativ necesar implementării prevederilor prezentei legi </w:t>
      </w:r>
      <w:proofErr w:type="spellStart"/>
      <w:r w:rsidRPr="00482458">
        <w:rPr>
          <w:rFonts w:ascii="Times New Roman" w:eastAsia="Times New Roman" w:hAnsi="Times New Roman" w:cs="Times New Roman"/>
          <w:bCs/>
          <w:lang w:val="ro-MD"/>
        </w:rPr>
        <w:t>şi</w:t>
      </w:r>
      <w:proofErr w:type="spellEnd"/>
      <w:r w:rsidRPr="00482458">
        <w:rPr>
          <w:rFonts w:ascii="Times New Roman" w:eastAsia="Times New Roman" w:hAnsi="Times New Roman" w:cs="Times New Roman"/>
          <w:bCs/>
          <w:lang w:val="ro-MD"/>
        </w:rPr>
        <w:t xml:space="preserve"> va întreprinde măsurile necesare pentru punerea în aplicare a acestora </w:t>
      </w:r>
    </w:p>
    <w:p w14:paraId="5331BE7A" w14:textId="77777777" w:rsidR="005B5326" w:rsidRPr="00482458" w:rsidRDefault="005B5326" w:rsidP="006B0734">
      <w:pPr>
        <w:pStyle w:val="Listparagraf"/>
        <w:numPr>
          <w:ilvl w:val="0"/>
          <w:numId w:val="482"/>
        </w:numPr>
        <w:spacing w:after="0" w:line="240" w:lineRule="auto"/>
        <w:ind w:left="0" w:firstLine="426"/>
        <w:jc w:val="both"/>
        <w:rPr>
          <w:rFonts w:ascii="Times New Roman" w:eastAsia="Times New Roman" w:hAnsi="Times New Roman" w:cs="Times New Roman"/>
          <w:bCs/>
          <w:lang w:val="ro-MD"/>
        </w:rPr>
      </w:pPr>
      <w:r w:rsidRPr="00482458">
        <w:rPr>
          <w:rFonts w:ascii="Times New Roman" w:eastAsia="Times New Roman" w:hAnsi="Times New Roman" w:cs="Times New Roman"/>
          <w:bCs/>
          <w:lang w:val="ro-MD"/>
        </w:rPr>
        <w:t xml:space="preserve">În termen de 5 luni de la data intrării în vigoare a prezentei legi societățile de asigurare sau de reasigurare care </w:t>
      </w:r>
      <w:proofErr w:type="spellStart"/>
      <w:r w:rsidRPr="00482458">
        <w:rPr>
          <w:rFonts w:ascii="Times New Roman" w:eastAsia="Times New Roman" w:hAnsi="Times New Roman" w:cs="Times New Roman"/>
          <w:bCs/>
          <w:lang w:val="ro-MD"/>
        </w:rPr>
        <w:t>deţin</w:t>
      </w:r>
      <w:proofErr w:type="spellEnd"/>
      <w:r w:rsidRPr="00482458">
        <w:rPr>
          <w:rFonts w:ascii="Times New Roman" w:eastAsia="Times New Roman" w:hAnsi="Times New Roman" w:cs="Times New Roman"/>
          <w:bCs/>
          <w:lang w:val="ro-MD"/>
        </w:rPr>
        <w:t xml:space="preserve"> </w:t>
      </w:r>
      <w:proofErr w:type="spellStart"/>
      <w:r w:rsidRPr="00482458">
        <w:rPr>
          <w:rFonts w:ascii="Times New Roman" w:eastAsia="Times New Roman" w:hAnsi="Times New Roman" w:cs="Times New Roman"/>
          <w:bCs/>
          <w:lang w:val="ro-MD"/>
        </w:rPr>
        <w:t>licenţă</w:t>
      </w:r>
      <w:proofErr w:type="spellEnd"/>
      <w:r w:rsidRPr="00482458">
        <w:rPr>
          <w:rFonts w:ascii="Times New Roman" w:eastAsia="Times New Roman" w:hAnsi="Times New Roman" w:cs="Times New Roman"/>
          <w:bCs/>
          <w:lang w:val="ro-MD"/>
        </w:rPr>
        <w:t xml:space="preserve"> pentru </w:t>
      </w:r>
      <w:proofErr w:type="spellStart"/>
      <w:r w:rsidRPr="00482458">
        <w:rPr>
          <w:rFonts w:ascii="Times New Roman" w:eastAsia="Times New Roman" w:hAnsi="Times New Roman" w:cs="Times New Roman"/>
          <w:bCs/>
          <w:lang w:val="ro-MD"/>
        </w:rPr>
        <w:t>desfăşurarea</w:t>
      </w:r>
      <w:proofErr w:type="spellEnd"/>
      <w:r w:rsidRPr="00482458">
        <w:rPr>
          <w:rFonts w:ascii="Times New Roman" w:eastAsia="Times New Roman" w:hAnsi="Times New Roman" w:cs="Times New Roman"/>
          <w:bCs/>
          <w:lang w:val="ro-MD"/>
        </w:rPr>
        <w:t xml:space="preserve"> activității în domeniul asigurărilor (asigurări generale și/sau asigurări de viață), vor </w:t>
      </w:r>
      <w:proofErr w:type="spellStart"/>
      <w:r w:rsidRPr="00482458">
        <w:rPr>
          <w:rFonts w:ascii="Times New Roman" w:eastAsia="Times New Roman" w:hAnsi="Times New Roman" w:cs="Times New Roman"/>
          <w:bCs/>
          <w:lang w:val="ro-MD"/>
        </w:rPr>
        <w:t>obţine</w:t>
      </w:r>
      <w:proofErr w:type="spellEnd"/>
      <w:r w:rsidRPr="00482458">
        <w:rPr>
          <w:rFonts w:ascii="Times New Roman" w:eastAsia="Times New Roman" w:hAnsi="Times New Roman" w:cs="Times New Roman"/>
          <w:bCs/>
          <w:lang w:val="ro-MD"/>
        </w:rPr>
        <w:t xml:space="preserve"> </w:t>
      </w:r>
      <w:proofErr w:type="spellStart"/>
      <w:r w:rsidRPr="00482458">
        <w:rPr>
          <w:rFonts w:ascii="Times New Roman" w:eastAsia="Times New Roman" w:hAnsi="Times New Roman" w:cs="Times New Roman"/>
          <w:bCs/>
          <w:lang w:val="ro-MD"/>
        </w:rPr>
        <w:t>licenţe</w:t>
      </w:r>
      <w:proofErr w:type="spellEnd"/>
      <w:r w:rsidRPr="00482458">
        <w:rPr>
          <w:rFonts w:ascii="Times New Roman" w:eastAsia="Times New Roman" w:hAnsi="Times New Roman" w:cs="Times New Roman"/>
          <w:bCs/>
          <w:lang w:val="ro-MD"/>
        </w:rPr>
        <w:t xml:space="preserve"> noi </w:t>
      </w:r>
      <w:proofErr w:type="spellStart"/>
      <w:r w:rsidRPr="00482458">
        <w:rPr>
          <w:rFonts w:ascii="Times New Roman" w:eastAsia="Times New Roman" w:hAnsi="Times New Roman" w:cs="Times New Roman"/>
          <w:bCs/>
          <w:lang w:val="ro-MD"/>
        </w:rPr>
        <w:t>şi</w:t>
      </w:r>
      <w:proofErr w:type="spellEnd"/>
      <w:r w:rsidRPr="00482458">
        <w:rPr>
          <w:rFonts w:ascii="Times New Roman" w:eastAsia="Times New Roman" w:hAnsi="Times New Roman" w:cs="Times New Roman"/>
          <w:bCs/>
          <w:lang w:val="ro-MD"/>
        </w:rPr>
        <w:t xml:space="preserve"> copii autorizate de pe </w:t>
      </w:r>
      <w:proofErr w:type="spellStart"/>
      <w:r w:rsidRPr="00482458">
        <w:rPr>
          <w:rFonts w:ascii="Times New Roman" w:eastAsia="Times New Roman" w:hAnsi="Times New Roman" w:cs="Times New Roman"/>
          <w:bCs/>
          <w:lang w:val="ro-MD"/>
        </w:rPr>
        <w:t>licenţe</w:t>
      </w:r>
      <w:proofErr w:type="spellEnd"/>
      <w:r w:rsidRPr="00482458">
        <w:rPr>
          <w:rFonts w:ascii="Times New Roman" w:eastAsia="Times New Roman" w:hAnsi="Times New Roman" w:cs="Times New Roman"/>
          <w:bCs/>
          <w:lang w:val="ro-MD"/>
        </w:rPr>
        <w:t xml:space="preserve">. Societățile de asigurare sau de reasigurare vor prezenta Băncii </w:t>
      </w:r>
      <w:proofErr w:type="spellStart"/>
      <w:r w:rsidRPr="00482458">
        <w:rPr>
          <w:rFonts w:ascii="Times New Roman" w:eastAsia="Times New Roman" w:hAnsi="Times New Roman" w:cs="Times New Roman"/>
          <w:bCs/>
          <w:lang w:val="ro-MD"/>
        </w:rPr>
        <w:t>Naţionale</w:t>
      </w:r>
      <w:proofErr w:type="spellEnd"/>
      <w:r w:rsidRPr="00482458">
        <w:rPr>
          <w:rFonts w:ascii="Times New Roman" w:eastAsia="Times New Roman" w:hAnsi="Times New Roman" w:cs="Times New Roman"/>
          <w:bCs/>
          <w:lang w:val="ro-MD"/>
        </w:rPr>
        <w:t xml:space="preserve"> a Moldovei cererile de reperfectare a licenței și de eliberare a copiilor autorizate de pe </w:t>
      </w:r>
      <w:proofErr w:type="spellStart"/>
      <w:r w:rsidRPr="00482458">
        <w:rPr>
          <w:rFonts w:ascii="Times New Roman" w:eastAsia="Times New Roman" w:hAnsi="Times New Roman" w:cs="Times New Roman"/>
          <w:bCs/>
          <w:lang w:val="ro-MD"/>
        </w:rPr>
        <w:t>licenţa</w:t>
      </w:r>
      <w:proofErr w:type="spellEnd"/>
      <w:r w:rsidRPr="00482458">
        <w:rPr>
          <w:rFonts w:ascii="Times New Roman" w:eastAsia="Times New Roman" w:hAnsi="Times New Roman" w:cs="Times New Roman"/>
          <w:bCs/>
          <w:lang w:val="ro-MD"/>
        </w:rPr>
        <w:t xml:space="preserve"> </w:t>
      </w:r>
      <w:proofErr w:type="spellStart"/>
      <w:r w:rsidRPr="00482458">
        <w:rPr>
          <w:rFonts w:ascii="Times New Roman" w:eastAsia="Times New Roman" w:hAnsi="Times New Roman" w:cs="Times New Roman"/>
          <w:bCs/>
          <w:lang w:val="ro-MD"/>
        </w:rPr>
        <w:t>reperfectată</w:t>
      </w:r>
      <w:proofErr w:type="spellEnd"/>
      <w:r w:rsidRPr="00482458">
        <w:rPr>
          <w:rFonts w:ascii="Times New Roman" w:eastAsia="Times New Roman" w:hAnsi="Times New Roman" w:cs="Times New Roman"/>
          <w:bCs/>
          <w:lang w:val="ro-MD"/>
        </w:rPr>
        <w:t xml:space="preserve">. </w:t>
      </w:r>
      <w:proofErr w:type="spellStart"/>
      <w:r w:rsidRPr="00482458">
        <w:rPr>
          <w:rFonts w:ascii="Times New Roman" w:eastAsia="Times New Roman" w:hAnsi="Times New Roman" w:cs="Times New Roman"/>
          <w:bCs/>
          <w:lang w:val="ro-MD"/>
        </w:rPr>
        <w:t>Licenţele</w:t>
      </w:r>
      <w:proofErr w:type="spellEnd"/>
      <w:r w:rsidRPr="00482458">
        <w:rPr>
          <w:rFonts w:ascii="Times New Roman" w:eastAsia="Times New Roman" w:hAnsi="Times New Roman" w:cs="Times New Roman"/>
          <w:bCs/>
          <w:lang w:val="ro-MD"/>
        </w:rPr>
        <w:t xml:space="preserve"> eliberate anterior </w:t>
      </w:r>
      <w:proofErr w:type="spellStart"/>
      <w:r w:rsidRPr="00482458">
        <w:rPr>
          <w:rFonts w:ascii="Times New Roman" w:eastAsia="Times New Roman" w:hAnsi="Times New Roman" w:cs="Times New Roman"/>
          <w:bCs/>
          <w:lang w:val="ro-MD"/>
        </w:rPr>
        <w:t>îşi</w:t>
      </w:r>
      <w:proofErr w:type="spellEnd"/>
      <w:r w:rsidRPr="00482458">
        <w:rPr>
          <w:rFonts w:ascii="Times New Roman" w:eastAsia="Times New Roman" w:hAnsi="Times New Roman" w:cs="Times New Roman"/>
          <w:bCs/>
          <w:lang w:val="ro-MD"/>
        </w:rPr>
        <w:t xml:space="preserve"> păstrează valabilitatea </w:t>
      </w:r>
      <w:proofErr w:type="spellStart"/>
      <w:r w:rsidRPr="00482458">
        <w:rPr>
          <w:rFonts w:ascii="Times New Roman" w:eastAsia="Times New Roman" w:hAnsi="Times New Roman" w:cs="Times New Roman"/>
          <w:bCs/>
          <w:lang w:val="ro-MD"/>
        </w:rPr>
        <w:t>pînă</w:t>
      </w:r>
      <w:proofErr w:type="spellEnd"/>
      <w:r w:rsidRPr="00482458">
        <w:rPr>
          <w:rFonts w:ascii="Times New Roman" w:eastAsia="Times New Roman" w:hAnsi="Times New Roman" w:cs="Times New Roman"/>
          <w:bCs/>
          <w:lang w:val="ro-MD"/>
        </w:rPr>
        <w:t xml:space="preserve"> la </w:t>
      </w:r>
      <w:proofErr w:type="spellStart"/>
      <w:r w:rsidRPr="00482458">
        <w:rPr>
          <w:rFonts w:ascii="Times New Roman" w:eastAsia="Times New Roman" w:hAnsi="Times New Roman" w:cs="Times New Roman"/>
          <w:bCs/>
          <w:lang w:val="ro-MD"/>
        </w:rPr>
        <w:t>obţinerea</w:t>
      </w:r>
      <w:proofErr w:type="spellEnd"/>
      <w:r w:rsidRPr="00482458">
        <w:rPr>
          <w:rFonts w:ascii="Times New Roman" w:eastAsia="Times New Roman" w:hAnsi="Times New Roman" w:cs="Times New Roman"/>
          <w:bCs/>
          <w:lang w:val="ro-MD"/>
        </w:rPr>
        <w:t xml:space="preserve"> noilor </w:t>
      </w:r>
      <w:proofErr w:type="spellStart"/>
      <w:r w:rsidRPr="00482458">
        <w:rPr>
          <w:rFonts w:ascii="Times New Roman" w:eastAsia="Times New Roman" w:hAnsi="Times New Roman" w:cs="Times New Roman"/>
          <w:bCs/>
          <w:lang w:val="ro-MD"/>
        </w:rPr>
        <w:t>licenţe</w:t>
      </w:r>
      <w:proofErr w:type="spellEnd"/>
      <w:r w:rsidRPr="00482458">
        <w:rPr>
          <w:rFonts w:ascii="Times New Roman" w:eastAsia="Times New Roman" w:hAnsi="Times New Roman" w:cs="Times New Roman"/>
          <w:bCs/>
          <w:lang w:val="ro-MD"/>
        </w:rPr>
        <w:t xml:space="preserve">, în </w:t>
      </w:r>
      <w:proofErr w:type="spellStart"/>
      <w:r w:rsidRPr="00482458">
        <w:rPr>
          <w:rFonts w:ascii="Times New Roman" w:eastAsia="Times New Roman" w:hAnsi="Times New Roman" w:cs="Times New Roman"/>
          <w:bCs/>
          <w:lang w:val="ro-MD"/>
        </w:rPr>
        <w:t>condiţiile</w:t>
      </w:r>
      <w:proofErr w:type="spellEnd"/>
      <w:r w:rsidRPr="00482458">
        <w:rPr>
          <w:rFonts w:ascii="Times New Roman" w:eastAsia="Times New Roman" w:hAnsi="Times New Roman" w:cs="Times New Roman"/>
          <w:bCs/>
          <w:lang w:val="ro-MD"/>
        </w:rPr>
        <w:t xml:space="preserve"> stabilite la alineatul respectiv.</w:t>
      </w:r>
    </w:p>
    <w:p w14:paraId="366531E7" w14:textId="77777777" w:rsidR="005B5326" w:rsidRPr="00482458" w:rsidRDefault="005B5326" w:rsidP="00482458">
      <w:pPr>
        <w:pStyle w:val="Listparagraf"/>
        <w:numPr>
          <w:ilvl w:val="0"/>
          <w:numId w:val="482"/>
        </w:numPr>
        <w:spacing w:after="0" w:line="240" w:lineRule="auto"/>
        <w:ind w:left="0" w:firstLine="426"/>
        <w:jc w:val="both"/>
        <w:rPr>
          <w:rFonts w:ascii="Times New Roman" w:eastAsia="Times New Roman" w:hAnsi="Times New Roman" w:cs="Times New Roman"/>
          <w:bCs/>
          <w:lang w:val="ro-MD"/>
        </w:rPr>
      </w:pPr>
      <w:r w:rsidRPr="00482458">
        <w:rPr>
          <w:rFonts w:ascii="Times New Roman" w:eastAsia="Times New Roman" w:hAnsi="Times New Roman" w:cs="Times New Roman"/>
          <w:bCs/>
          <w:lang w:val="ro-MD"/>
        </w:rPr>
        <w:t xml:space="preserve">Banca </w:t>
      </w:r>
      <w:proofErr w:type="spellStart"/>
      <w:r w:rsidRPr="00482458">
        <w:rPr>
          <w:rFonts w:ascii="Times New Roman" w:eastAsia="Times New Roman" w:hAnsi="Times New Roman" w:cs="Times New Roman"/>
          <w:bCs/>
          <w:lang w:val="ro-MD"/>
        </w:rPr>
        <w:t>Naţională</w:t>
      </w:r>
      <w:proofErr w:type="spellEnd"/>
      <w:r w:rsidRPr="00482458">
        <w:rPr>
          <w:rFonts w:ascii="Times New Roman" w:eastAsia="Times New Roman" w:hAnsi="Times New Roman" w:cs="Times New Roman"/>
          <w:bCs/>
          <w:lang w:val="ro-MD"/>
        </w:rPr>
        <w:t xml:space="preserve"> a Moldovei va elabora </w:t>
      </w:r>
      <w:proofErr w:type="spellStart"/>
      <w:r w:rsidRPr="00482458">
        <w:rPr>
          <w:rFonts w:ascii="Times New Roman" w:eastAsia="Times New Roman" w:hAnsi="Times New Roman" w:cs="Times New Roman"/>
          <w:bCs/>
          <w:lang w:val="ro-MD"/>
        </w:rPr>
        <w:t>şi</w:t>
      </w:r>
      <w:proofErr w:type="spellEnd"/>
      <w:r w:rsidRPr="00482458">
        <w:rPr>
          <w:rFonts w:ascii="Times New Roman" w:eastAsia="Times New Roman" w:hAnsi="Times New Roman" w:cs="Times New Roman"/>
          <w:bCs/>
          <w:lang w:val="ro-MD"/>
        </w:rPr>
        <w:t xml:space="preserve"> va aproba acte normative de aplicare a prezentei legi în termen de 18 luni de la data adoptării a prezentei legi, cu specificarea termenelor </w:t>
      </w:r>
      <w:proofErr w:type="spellStart"/>
      <w:r w:rsidRPr="00482458">
        <w:rPr>
          <w:rFonts w:ascii="Times New Roman" w:eastAsia="Times New Roman" w:hAnsi="Times New Roman" w:cs="Times New Roman"/>
          <w:bCs/>
          <w:lang w:val="ro-MD"/>
        </w:rPr>
        <w:t>şi</w:t>
      </w:r>
      <w:proofErr w:type="spellEnd"/>
      <w:r w:rsidRPr="00482458">
        <w:rPr>
          <w:rFonts w:ascii="Times New Roman" w:eastAsia="Times New Roman" w:hAnsi="Times New Roman" w:cs="Times New Roman"/>
          <w:bCs/>
          <w:lang w:val="ro-MD"/>
        </w:rPr>
        <w:t xml:space="preserve"> </w:t>
      </w:r>
      <w:proofErr w:type="spellStart"/>
      <w:r w:rsidRPr="00482458">
        <w:rPr>
          <w:rFonts w:ascii="Times New Roman" w:eastAsia="Times New Roman" w:hAnsi="Times New Roman" w:cs="Times New Roman"/>
          <w:bCs/>
          <w:lang w:val="ro-MD"/>
        </w:rPr>
        <w:t>condiţiilor</w:t>
      </w:r>
      <w:proofErr w:type="spellEnd"/>
      <w:r w:rsidRPr="00482458">
        <w:rPr>
          <w:rFonts w:ascii="Times New Roman" w:eastAsia="Times New Roman" w:hAnsi="Times New Roman" w:cs="Times New Roman"/>
          <w:bCs/>
          <w:lang w:val="ro-MD"/>
        </w:rPr>
        <w:t xml:space="preserve"> de aplicare a acestora de către asigurători sau </w:t>
      </w:r>
      <w:proofErr w:type="spellStart"/>
      <w:r w:rsidRPr="00482458">
        <w:rPr>
          <w:rFonts w:ascii="Times New Roman" w:eastAsia="Times New Roman" w:hAnsi="Times New Roman" w:cs="Times New Roman"/>
          <w:bCs/>
          <w:lang w:val="ro-MD"/>
        </w:rPr>
        <w:t>reasigurători</w:t>
      </w:r>
      <w:proofErr w:type="spellEnd"/>
      <w:r w:rsidRPr="00482458">
        <w:rPr>
          <w:rFonts w:ascii="Times New Roman" w:eastAsia="Times New Roman" w:hAnsi="Times New Roman" w:cs="Times New Roman"/>
          <w:bCs/>
          <w:lang w:val="ro-MD"/>
        </w:rPr>
        <w:t xml:space="preserve"> </w:t>
      </w:r>
      <w:proofErr w:type="spellStart"/>
      <w:r w:rsidRPr="00482458">
        <w:rPr>
          <w:rFonts w:ascii="Times New Roman" w:eastAsia="Times New Roman" w:hAnsi="Times New Roman" w:cs="Times New Roman"/>
          <w:bCs/>
          <w:lang w:val="ro-MD"/>
        </w:rPr>
        <w:t>şi</w:t>
      </w:r>
      <w:proofErr w:type="spellEnd"/>
      <w:r w:rsidRPr="00482458">
        <w:rPr>
          <w:rFonts w:ascii="Times New Roman" w:eastAsia="Times New Roman" w:hAnsi="Times New Roman" w:cs="Times New Roman"/>
          <w:bCs/>
          <w:lang w:val="ro-MD"/>
        </w:rPr>
        <w:t xml:space="preserve"> sucursalele asigurătorilor sau </w:t>
      </w:r>
      <w:proofErr w:type="spellStart"/>
      <w:r w:rsidRPr="00482458">
        <w:rPr>
          <w:rFonts w:ascii="Times New Roman" w:eastAsia="Times New Roman" w:hAnsi="Times New Roman" w:cs="Times New Roman"/>
          <w:bCs/>
          <w:lang w:val="ro-MD"/>
        </w:rPr>
        <w:t>reasigurătorilor</w:t>
      </w:r>
      <w:proofErr w:type="spellEnd"/>
      <w:r w:rsidRPr="00482458">
        <w:rPr>
          <w:rFonts w:ascii="Times New Roman" w:eastAsia="Times New Roman" w:hAnsi="Times New Roman" w:cs="Times New Roman"/>
          <w:bCs/>
          <w:lang w:val="ro-MD"/>
        </w:rPr>
        <w:t xml:space="preserve"> din state terțe </w:t>
      </w:r>
      <w:proofErr w:type="spellStart"/>
      <w:r w:rsidRPr="00482458">
        <w:rPr>
          <w:rFonts w:ascii="Times New Roman" w:eastAsia="Times New Roman" w:hAnsi="Times New Roman" w:cs="Times New Roman"/>
          <w:bCs/>
          <w:lang w:val="ro-MD"/>
        </w:rPr>
        <w:t>înfiinţate</w:t>
      </w:r>
      <w:proofErr w:type="spellEnd"/>
      <w:r w:rsidRPr="00482458">
        <w:rPr>
          <w:rFonts w:ascii="Times New Roman" w:eastAsia="Times New Roman" w:hAnsi="Times New Roman" w:cs="Times New Roman"/>
          <w:bCs/>
          <w:lang w:val="ro-MD"/>
        </w:rPr>
        <w:t xml:space="preserve"> pe teritoriul Republicii Moldova.</w:t>
      </w:r>
    </w:p>
    <w:p w14:paraId="02AC709B" w14:textId="77777777" w:rsidR="00991472" w:rsidRPr="00482458" w:rsidRDefault="00991472" w:rsidP="00482458">
      <w:pPr>
        <w:pStyle w:val="Listparagraf"/>
        <w:numPr>
          <w:ilvl w:val="0"/>
          <w:numId w:val="482"/>
        </w:numPr>
        <w:ind w:left="0" w:firstLine="426"/>
        <w:jc w:val="both"/>
        <w:rPr>
          <w:rFonts w:ascii="Times New Roman" w:eastAsia="Times New Roman" w:hAnsi="Times New Roman" w:cs="Times New Roman"/>
          <w:bCs/>
          <w:lang w:val="ro-MD"/>
        </w:rPr>
      </w:pPr>
      <w:r w:rsidRPr="00482458">
        <w:rPr>
          <w:rFonts w:ascii="Times New Roman" w:eastAsia="Times New Roman" w:hAnsi="Times New Roman" w:cs="Times New Roman"/>
          <w:bCs/>
          <w:lang w:val="ro-MD"/>
        </w:rPr>
        <w:t xml:space="preserve">La data intrării în vigoare a prezentei legi, prevederile Legii nr.92/2022 cu privire la activitatea de asigurare sau de reasigurare se abrogă, cu excepția prevederilor care reglementează statutul juridic și activitatea </w:t>
      </w:r>
      <w:proofErr w:type="spellStart"/>
      <w:r w:rsidRPr="00482458">
        <w:rPr>
          <w:rFonts w:ascii="Times New Roman" w:eastAsia="Times New Roman" w:hAnsi="Times New Roman" w:cs="Times New Roman"/>
          <w:bCs/>
          <w:lang w:val="ro-MD"/>
        </w:rPr>
        <w:t>intemediarilor</w:t>
      </w:r>
      <w:proofErr w:type="spellEnd"/>
      <w:r w:rsidRPr="00482458">
        <w:rPr>
          <w:rFonts w:ascii="Times New Roman" w:eastAsia="Times New Roman" w:hAnsi="Times New Roman" w:cs="Times New Roman"/>
          <w:bCs/>
          <w:lang w:val="ro-MD"/>
        </w:rPr>
        <w:t xml:space="preserve"> în asigurări și/sau reasigurări (capitolul IV, art. 17, art.18, art. 44 alin.(3), art. 51 alin.(2), art. 116 alin.(4) și alin.(5), art.122 alin. (3), (5) și (8), art. 4 următoarele definiții: agent </w:t>
      </w:r>
      <w:proofErr w:type="spellStart"/>
      <w:r w:rsidRPr="00482458">
        <w:rPr>
          <w:rFonts w:ascii="Times New Roman" w:eastAsia="Times New Roman" w:hAnsi="Times New Roman" w:cs="Times New Roman"/>
          <w:bCs/>
          <w:lang w:val="ro-MD"/>
        </w:rPr>
        <w:t>bancassurance</w:t>
      </w:r>
      <w:proofErr w:type="spellEnd"/>
      <w:r w:rsidRPr="00482458">
        <w:rPr>
          <w:rFonts w:ascii="Times New Roman" w:eastAsia="Times New Roman" w:hAnsi="Times New Roman" w:cs="Times New Roman"/>
          <w:bCs/>
          <w:lang w:val="ro-MD"/>
        </w:rPr>
        <w:t xml:space="preserve">, agent de asigurare, asistent în brokeraj, </w:t>
      </w:r>
      <w:proofErr w:type="spellStart"/>
      <w:r w:rsidRPr="00482458">
        <w:rPr>
          <w:rFonts w:ascii="Times New Roman" w:eastAsia="Times New Roman" w:hAnsi="Times New Roman" w:cs="Times New Roman"/>
          <w:bCs/>
          <w:lang w:val="ro-MD"/>
        </w:rPr>
        <w:t>asistenţă</w:t>
      </w:r>
      <w:proofErr w:type="spellEnd"/>
      <w:r w:rsidRPr="00482458">
        <w:rPr>
          <w:rFonts w:ascii="Times New Roman" w:eastAsia="Times New Roman" w:hAnsi="Times New Roman" w:cs="Times New Roman"/>
          <w:bCs/>
          <w:lang w:val="ro-MD"/>
        </w:rPr>
        <w:t xml:space="preserve">, broker de asigurare </w:t>
      </w:r>
      <w:proofErr w:type="spellStart"/>
      <w:r w:rsidRPr="00482458">
        <w:rPr>
          <w:rFonts w:ascii="Times New Roman" w:eastAsia="Times New Roman" w:hAnsi="Times New Roman" w:cs="Times New Roman"/>
          <w:bCs/>
          <w:lang w:val="ro-MD"/>
        </w:rPr>
        <w:t>şi</w:t>
      </w:r>
      <w:proofErr w:type="spellEnd"/>
      <w:r w:rsidRPr="00482458">
        <w:rPr>
          <w:rFonts w:ascii="Times New Roman" w:eastAsia="Times New Roman" w:hAnsi="Times New Roman" w:cs="Times New Roman"/>
          <w:bCs/>
          <w:lang w:val="ro-MD"/>
        </w:rPr>
        <w:t xml:space="preserve">/sau de reasigurare, intermediar în asigurări, intermediar în reasigurări; mandat de brokeraj; participant profesionist pe </w:t>
      </w:r>
      <w:proofErr w:type="spellStart"/>
      <w:r w:rsidRPr="00482458">
        <w:rPr>
          <w:rFonts w:ascii="Times New Roman" w:eastAsia="Times New Roman" w:hAnsi="Times New Roman" w:cs="Times New Roman"/>
          <w:bCs/>
          <w:lang w:val="ro-MD"/>
        </w:rPr>
        <w:t>piaţa</w:t>
      </w:r>
      <w:proofErr w:type="spellEnd"/>
      <w:r w:rsidRPr="00482458">
        <w:rPr>
          <w:rFonts w:ascii="Times New Roman" w:eastAsia="Times New Roman" w:hAnsi="Times New Roman" w:cs="Times New Roman"/>
          <w:bCs/>
          <w:lang w:val="ro-MD"/>
        </w:rPr>
        <w:t xml:space="preserve"> asigurărilor, persoane cu </w:t>
      </w:r>
      <w:proofErr w:type="spellStart"/>
      <w:r w:rsidRPr="00482458">
        <w:rPr>
          <w:rFonts w:ascii="Times New Roman" w:eastAsia="Times New Roman" w:hAnsi="Times New Roman" w:cs="Times New Roman"/>
          <w:bCs/>
          <w:lang w:val="ro-MD"/>
        </w:rPr>
        <w:t>funcţii</w:t>
      </w:r>
      <w:proofErr w:type="spellEnd"/>
      <w:r w:rsidRPr="00482458">
        <w:rPr>
          <w:rFonts w:ascii="Times New Roman" w:eastAsia="Times New Roman" w:hAnsi="Times New Roman" w:cs="Times New Roman"/>
          <w:bCs/>
          <w:lang w:val="ro-MD"/>
        </w:rPr>
        <w:t xml:space="preserve"> de conducere).</w:t>
      </w:r>
    </w:p>
    <w:p w14:paraId="5A1C52EA" w14:textId="77777777" w:rsidR="005B5326" w:rsidRPr="00482458" w:rsidRDefault="005B5326" w:rsidP="00482458">
      <w:pPr>
        <w:spacing w:after="0" w:line="240" w:lineRule="auto"/>
        <w:jc w:val="both"/>
        <w:rPr>
          <w:rFonts w:ascii="Times New Roman" w:eastAsia="Times New Roman" w:hAnsi="Times New Roman" w:cs="Times New Roman"/>
          <w:b/>
          <w:lang w:val="ro-MD"/>
        </w:rPr>
      </w:pPr>
    </w:p>
    <w:p w14:paraId="01A91858" w14:textId="75082802" w:rsidR="00DF4AD1" w:rsidRPr="000508B6" w:rsidRDefault="00DF4AD1" w:rsidP="007C7A1A">
      <w:pPr>
        <w:pStyle w:val="Listparagraf"/>
        <w:spacing w:after="0" w:line="240" w:lineRule="auto"/>
        <w:ind w:left="360"/>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Articolul </w:t>
      </w:r>
      <w:r w:rsidR="005B5326">
        <w:rPr>
          <w:rFonts w:ascii="Times New Roman" w:eastAsia="Times New Roman" w:hAnsi="Times New Roman" w:cs="Times New Roman"/>
          <w:b/>
          <w:bCs/>
          <w:lang w:val="ro-MD"/>
        </w:rPr>
        <w:t>200</w:t>
      </w:r>
      <w:r w:rsidR="00F95829" w:rsidRPr="000508B6">
        <w:rPr>
          <w:rFonts w:ascii="Times New Roman" w:eastAsia="Times New Roman" w:hAnsi="Times New Roman" w:cs="Times New Roman"/>
          <w:b/>
          <w:bCs/>
          <w:lang w:val="ro-MD"/>
        </w:rPr>
        <w:t>.</w:t>
      </w:r>
      <w:r w:rsidRPr="000508B6">
        <w:rPr>
          <w:rFonts w:ascii="Times New Roman" w:eastAsia="Times New Roman" w:hAnsi="Times New Roman" w:cs="Times New Roman"/>
          <w:lang w:val="ro-MD"/>
        </w:rPr>
        <w:t xml:space="preserve"> </w:t>
      </w:r>
      <w:r w:rsidR="00FF0B6B" w:rsidRPr="000508B6">
        <w:rPr>
          <w:rFonts w:ascii="Times New Roman" w:eastAsia="Times New Roman" w:hAnsi="Times New Roman" w:cs="Times New Roman"/>
          <w:lang w:val="ro-MD"/>
        </w:rPr>
        <w:t>Dispoziții tranzitorii</w:t>
      </w:r>
      <w:r w:rsidR="000C1EDA" w:rsidRPr="000508B6">
        <w:rPr>
          <w:rFonts w:ascii="Times New Roman" w:eastAsia="Times New Roman" w:hAnsi="Times New Roman" w:cs="Times New Roman"/>
          <w:lang w:val="ro-MD"/>
        </w:rPr>
        <w:t xml:space="preserve"> </w:t>
      </w:r>
    </w:p>
    <w:p w14:paraId="35EFBBF7" w14:textId="539079AE" w:rsidR="00483CF6" w:rsidRPr="000508B6" w:rsidRDefault="00BB5840" w:rsidP="001338D4">
      <w:pPr>
        <w:pStyle w:val="Listparagraf"/>
        <w:numPr>
          <w:ilvl w:val="0"/>
          <w:numId w:val="257"/>
        </w:numPr>
        <w:tabs>
          <w:tab w:val="left" w:pos="567"/>
          <w:tab w:val="left" w:pos="709"/>
          <w:tab w:val="left" w:pos="851"/>
        </w:tabs>
        <w:spacing w:after="0" w:line="240" w:lineRule="auto"/>
        <w:ind w:left="0" w:firstLine="360"/>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Pragul absolut al MCR aplicabil a</w:t>
      </w:r>
      <w:r w:rsidR="00D068AA" w:rsidRPr="000508B6">
        <w:rPr>
          <w:rFonts w:ascii="Times New Roman" w:eastAsia="Times New Roman" w:hAnsi="Times New Roman" w:cs="Times New Roman"/>
          <w:lang w:val="ro-MD"/>
        </w:rPr>
        <w:t>sigurătorul</w:t>
      </w:r>
      <w:r w:rsidR="00AB5B79" w:rsidRPr="000508B6">
        <w:rPr>
          <w:rFonts w:ascii="Times New Roman" w:eastAsia="Times New Roman" w:hAnsi="Times New Roman" w:cs="Times New Roman"/>
          <w:lang w:val="ro-MD"/>
        </w:rPr>
        <w:t>ui</w:t>
      </w:r>
      <w:r w:rsidR="00D068AA" w:rsidRPr="000508B6">
        <w:rPr>
          <w:rFonts w:ascii="Times New Roman" w:eastAsia="Times New Roman" w:hAnsi="Times New Roman" w:cs="Times New Roman"/>
          <w:lang w:val="ro-MD"/>
        </w:rPr>
        <w:t xml:space="preserve"> sau </w:t>
      </w:r>
      <w:proofErr w:type="spellStart"/>
      <w:r w:rsidR="00D068AA" w:rsidRPr="000508B6">
        <w:rPr>
          <w:rFonts w:ascii="Times New Roman" w:eastAsia="Times New Roman" w:hAnsi="Times New Roman" w:cs="Times New Roman"/>
          <w:lang w:val="ro-MD"/>
        </w:rPr>
        <w:t>reasigurătorul</w:t>
      </w:r>
      <w:r w:rsidR="00AB5B79" w:rsidRPr="000508B6">
        <w:rPr>
          <w:rFonts w:ascii="Times New Roman" w:eastAsia="Times New Roman" w:hAnsi="Times New Roman" w:cs="Times New Roman"/>
          <w:lang w:val="ro-MD"/>
        </w:rPr>
        <w:t>ui</w:t>
      </w:r>
      <w:proofErr w:type="spellEnd"/>
      <w:r w:rsidR="00140D7F" w:rsidRPr="000508B6">
        <w:rPr>
          <w:rFonts w:ascii="Times New Roman" w:eastAsia="Times New Roman" w:hAnsi="Times New Roman" w:cs="Times New Roman"/>
          <w:lang w:val="ro-MD"/>
        </w:rPr>
        <w:t xml:space="preserve"> care </w:t>
      </w:r>
      <w:r w:rsidR="009E66A5" w:rsidRPr="000508B6">
        <w:rPr>
          <w:rFonts w:ascii="Times New Roman" w:eastAsia="Times New Roman" w:hAnsi="Times New Roman" w:cs="Times New Roman"/>
          <w:lang w:val="ro-MD"/>
        </w:rPr>
        <w:t>deține</w:t>
      </w:r>
      <w:r w:rsidR="00140D7F" w:rsidRPr="000508B6">
        <w:rPr>
          <w:rFonts w:ascii="Times New Roman" w:eastAsia="Times New Roman" w:hAnsi="Times New Roman" w:cs="Times New Roman"/>
          <w:lang w:val="ro-MD"/>
        </w:rPr>
        <w:t xml:space="preserve"> licența pentru </w:t>
      </w:r>
      <w:proofErr w:type="spellStart"/>
      <w:r w:rsidR="00140D7F" w:rsidRPr="000508B6">
        <w:rPr>
          <w:rFonts w:ascii="Times New Roman" w:eastAsia="Times New Roman" w:hAnsi="Times New Roman" w:cs="Times New Roman"/>
          <w:lang w:val="ro-MD"/>
        </w:rPr>
        <w:t>desfăşurarea</w:t>
      </w:r>
      <w:proofErr w:type="spellEnd"/>
      <w:r w:rsidR="00140D7F" w:rsidRPr="000508B6">
        <w:rPr>
          <w:rFonts w:ascii="Times New Roman" w:eastAsia="Times New Roman" w:hAnsi="Times New Roman" w:cs="Times New Roman"/>
          <w:lang w:val="ro-MD"/>
        </w:rPr>
        <w:t xml:space="preserve"> </w:t>
      </w:r>
      <w:proofErr w:type="spellStart"/>
      <w:r w:rsidR="00140D7F" w:rsidRPr="000508B6">
        <w:rPr>
          <w:rFonts w:ascii="Times New Roman" w:eastAsia="Times New Roman" w:hAnsi="Times New Roman" w:cs="Times New Roman"/>
          <w:lang w:val="ro-MD"/>
        </w:rPr>
        <w:t>activităţii</w:t>
      </w:r>
      <w:proofErr w:type="spellEnd"/>
      <w:r w:rsidR="00140D7F" w:rsidRPr="000508B6">
        <w:rPr>
          <w:rFonts w:ascii="Times New Roman" w:eastAsia="Times New Roman" w:hAnsi="Times New Roman" w:cs="Times New Roman"/>
          <w:lang w:val="ro-MD"/>
        </w:rPr>
        <w:t xml:space="preserve"> de asigurare sau de reasigurare pe teritoriul Republicii Moldova</w:t>
      </w:r>
      <w:r w:rsidR="00483CF6" w:rsidRPr="000508B6">
        <w:rPr>
          <w:rFonts w:ascii="Times New Roman" w:eastAsia="Times New Roman" w:hAnsi="Times New Roman" w:cs="Times New Roman"/>
          <w:lang w:val="ro-MD"/>
        </w:rPr>
        <w:t>:</w:t>
      </w:r>
    </w:p>
    <w:p w14:paraId="564F3D2C" w14:textId="5BE236B7" w:rsidR="00483CF6" w:rsidRPr="000508B6" w:rsidRDefault="00483CF6" w:rsidP="001338D4">
      <w:pPr>
        <w:pStyle w:val="Listparagraf"/>
        <w:numPr>
          <w:ilvl w:val="2"/>
          <w:numId w:val="74"/>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la data </w:t>
      </w:r>
      <w:r w:rsidR="00BA5B6D" w:rsidRPr="000508B6">
        <w:rPr>
          <w:rFonts w:ascii="Times New Roman" w:eastAsia="Times New Roman" w:hAnsi="Times New Roman" w:cs="Times New Roman"/>
          <w:lang w:val="ro-MD"/>
        </w:rPr>
        <w:t>intrării</w:t>
      </w:r>
      <w:r w:rsidRPr="000508B6">
        <w:rPr>
          <w:rFonts w:ascii="Times New Roman" w:eastAsia="Times New Roman" w:hAnsi="Times New Roman" w:cs="Times New Roman"/>
          <w:lang w:val="ro-MD"/>
        </w:rPr>
        <w:t xml:space="preserve"> în vigoare a prezentei legi va constitui 90% din </w:t>
      </w:r>
      <w:r w:rsidR="008401CB" w:rsidRPr="000508B6">
        <w:rPr>
          <w:rFonts w:ascii="Times New Roman" w:eastAsia="Times New Roman" w:hAnsi="Times New Roman" w:cs="Times New Roman"/>
          <w:lang w:val="ro-MD"/>
        </w:rPr>
        <w:t>cel</w:t>
      </w:r>
      <w:r w:rsidRPr="000508B6">
        <w:rPr>
          <w:rFonts w:ascii="Times New Roman" w:eastAsia="Times New Roman" w:hAnsi="Times New Roman" w:cs="Times New Roman"/>
          <w:lang w:val="ro-MD"/>
        </w:rPr>
        <w:t xml:space="preserve"> stabilit la art. 88 alin. (2) lit. d);</w:t>
      </w:r>
    </w:p>
    <w:p w14:paraId="7E6E5EA1" w14:textId="3EC34B54" w:rsidR="000F2854" w:rsidRPr="000508B6" w:rsidRDefault="00BA5B6D" w:rsidP="007D474D">
      <w:pPr>
        <w:pStyle w:val="Listparagraf"/>
        <w:numPr>
          <w:ilvl w:val="2"/>
          <w:numId w:val="74"/>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l</w:t>
      </w:r>
      <w:r w:rsidR="00483CF6" w:rsidRPr="000508B6">
        <w:rPr>
          <w:rFonts w:ascii="Times New Roman" w:eastAsia="Times New Roman" w:hAnsi="Times New Roman" w:cs="Times New Roman"/>
          <w:lang w:val="ro-MD"/>
        </w:rPr>
        <w:t>a un an de la data intrării în vigoare a prezentei legi</w:t>
      </w:r>
      <w:r w:rsidR="00483CF6" w:rsidRPr="000508B6" w:rsidDel="008401CB">
        <w:rPr>
          <w:rFonts w:ascii="Times New Roman" w:eastAsia="Times New Roman" w:hAnsi="Times New Roman" w:cs="Times New Roman"/>
          <w:lang w:val="ro-MD"/>
        </w:rPr>
        <w:t xml:space="preserve"> </w:t>
      </w:r>
      <w:r w:rsidR="00483CF6" w:rsidRPr="000508B6">
        <w:rPr>
          <w:rFonts w:ascii="Times New Roman" w:eastAsia="Times New Roman" w:hAnsi="Times New Roman" w:cs="Times New Roman"/>
          <w:lang w:val="ro-MD"/>
        </w:rPr>
        <w:t>va fi cel stabilit la art. 88 alin. (2) lit.</w:t>
      </w:r>
      <w:r w:rsidR="00F8362F" w:rsidRPr="000508B6">
        <w:rPr>
          <w:rFonts w:ascii="Times New Roman" w:eastAsia="Times New Roman" w:hAnsi="Times New Roman" w:cs="Times New Roman"/>
          <w:lang w:val="ro-MD"/>
        </w:rPr>
        <w:t xml:space="preserve"> </w:t>
      </w:r>
      <w:r w:rsidR="00483CF6" w:rsidRPr="000508B6">
        <w:rPr>
          <w:rFonts w:ascii="Times New Roman" w:eastAsia="Times New Roman" w:hAnsi="Times New Roman" w:cs="Times New Roman"/>
          <w:lang w:val="ro-MD"/>
        </w:rPr>
        <w:t>d).</w:t>
      </w:r>
    </w:p>
    <w:p w14:paraId="68754A43" w14:textId="2A2B158D" w:rsidR="003D3F79" w:rsidRDefault="003D3F79" w:rsidP="007D474D">
      <w:pPr>
        <w:pStyle w:val="Listparagraf"/>
        <w:numPr>
          <w:ilvl w:val="0"/>
          <w:numId w:val="257"/>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Prin derogare de la </w:t>
      </w:r>
      <w:r w:rsidR="004C0E0C" w:rsidRPr="000508B6">
        <w:rPr>
          <w:rFonts w:ascii="Times New Roman" w:eastAsia="Times New Roman" w:hAnsi="Times New Roman" w:cs="Times New Roman"/>
          <w:lang w:val="ro-MD"/>
        </w:rPr>
        <w:t xml:space="preserve">art. 202 </w:t>
      </w:r>
      <w:r w:rsidRPr="000508B6">
        <w:rPr>
          <w:rFonts w:ascii="Times New Roman" w:eastAsia="Times New Roman" w:hAnsi="Times New Roman" w:cs="Times New Roman"/>
          <w:lang w:val="ro-MD"/>
        </w:rPr>
        <w:t>alin. (</w:t>
      </w:r>
      <w:r w:rsidR="004C0E0C"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 xml:space="preserve">), în termen de 6 luni de la data publicării </w:t>
      </w:r>
      <w:r w:rsidR="004F282D" w:rsidRPr="000508B6">
        <w:rPr>
          <w:rFonts w:ascii="Times New Roman" w:eastAsia="Times New Roman" w:hAnsi="Times New Roman" w:cs="Times New Roman"/>
          <w:lang w:val="ro-MD"/>
        </w:rPr>
        <w:t xml:space="preserve">prezentei legi </w:t>
      </w:r>
      <w:r w:rsidRPr="000508B6">
        <w:rPr>
          <w:rFonts w:ascii="Times New Roman" w:eastAsia="Times New Roman" w:hAnsi="Times New Roman" w:cs="Times New Roman"/>
          <w:lang w:val="ro-MD"/>
        </w:rPr>
        <w:t xml:space="preserve">asigurătorii și </w:t>
      </w:r>
      <w:proofErr w:type="spellStart"/>
      <w:r w:rsidRPr="000508B6">
        <w:rPr>
          <w:rFonts w:ascii="Times New Roman" w:eastAsia="Times New Roman" w:hAnsi="Times New Roman" w:cs="Times New Roman"/>
          <w:lang w:val="ro-MD"/>
        </w:rPr>
        <w:t>reasigurătorii</w:t>
      </w:r>
      <w:proofErr w:type="spellEnd"/>
      <w:r w:rsidRPr="000508B6">
        <w:rPr>
          <w:rFonts w:ascii="Times New Roman" w:eastAsia="Times New Roman" w:hAnsi="Times New Roman" w:cs="Times New Roman"/>
          <w:lang w:val="ro-MD"/>
        </w:rPr>
        <w:t xml:space="preserve"> își vor aduce statutele </w:t>
      </w:r>
      <w:r w:rsidR="00473316" w:rsidRPr="000508B6">
        <w:rPr>
          <w:rFonts w:ascii="Times New Roman" w:eastAsia="Times New Roman" w:hAnsi="Times New Roman" w:cs="Times New Roman"/>
          <w:lang w:val="ro-MD"/>
        </w:rPr>
        <w:t xml:space="preserve">în conformitate </w:t>
      </w:r>
      <w:r w:rsidRPr="000508B6">
        <w:rPr>
          <w:rFonts w:ascii="Times New Roman" w:eastAsia="Times New Roman" w:hAnsi="Times New Roman" w:cs="Times New Roman"/>
          <w:lang w:val="ro-MD"/>
        </w:rPr>
        <w:t>cu prevederile prezentei legi ce țin de organele de conducere.</w:t>
      </w:r>
    </w:p>
    <w:p w14:paraId="0B72921C" w14:textId="77777777" w:rsidR="00991472" w:rsidRPr="00991472" w:rsidRDefault="00991472" w:rsidP="00482458">
      <w:pPr>
        <w:pStyle w:val="Listparagraf"/>
        <w:numPr>
          <w:ilvl w:val="0"/>
          <w:numId w:val="257"/>
        </w:numPr>
        <w:tabs>
          <w:tab w:val="left" w:pos="426"/>
          <w:tab w:val="left" w:pos="567"/>
          <w:tab w:val="left" w:pos="851"/>
        </w:tabs>
        <w:spacing w:after="0" w:line="240" w:lineRule="auto"/>
        <w:ind w:left="0" w:firstLine="360"/>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lastRenderedPageBreak/>
        <w:t xml:space="preserve">Asigurătorul sau </w:t>
      </w:r>
      <w:proofErr w:type="spellStart"/>
      <w:r w:rsidRPr="00991472">
        <w:rPr>
          <w:rFonts w:ascii="Times New Roman" w:eastAsia="Times New Roman" w:hAnsi="Times New Roman" w:cs="Times New Roman"/>
          <w:lang w:val="ro-MD"/>
        </w:rPr>
        <w:t>reasigurătorul</w:t>
      </w:r>
      <w:proofErr w:type="spellEnd"/>
      <w:r w:rsidRPr="00991472">
        <w:rPr>
          <w:rFonts w:ascii="Times New Roman" w:eastAsia="Times New Roman" w:hAnsi="Times New Roman" w:cs="Times New Roman"/>
          <w:lang w:val="ro-MD"/>
        </w:rPr>
        <w:t xml:space="preserve"> care </w:t>
      </w:r>
      <w:proofErr w:type="spellStart"/>
      <w:r w:rsidRPr="00991472">
        <w:rPr>
          <w:rFonts w:ascii="Times New Roman" w:eastAsia="Times New Roman" w:hAnsi="Times New Roman" w:cs="Times New Roman"/>
          <w:lang w:val="ro-MD"/>
        </w:rPr>
        <w:t>deţine</w:t>
      </w:r>
      <w:proofErr w:type="spellEnd"/>
      <w:r w:rsidRPr="00991472">
        <w:rPr>
          <w:rFonts w:ascii="Times New Roman" w:eastAsia="Times New Roman" w:hAnsi="Times New Roman" w:cs="Times New Roman"/>
          <w:lang w:val="ro-MD"/>
        </w:rPr>
        <w:t xml:space="preserve"> </w:t>
      </w:r>
      <w:proofErr w:type="spellStart"/>
      <w:r w:rsidRPr="00991472">
        <w:rPr>
          <w:rFonts w:ascii="Times New Roman" w:eastAsia="Times New Roman" w:hAnsi="Times New Roman" w:cs="Times New Roman"/>
          <w:lang w:val="ro-MD"/>
        </w:rPr>
        <w:t>licenţă</w:t>
      </w:r>
      <w:proofErr w:type="spellEnd"/>
      <w:r w:rsidRPr="00991472">
        <w:rPr>
          <w:rFonts w:ascii="Times New Roman" w:eastAsia="Times New Roman" w:hAnsi="Times New Roman" w:cs="Times New Roman"/>
          <w:lang w:val="ro-MD"/>
        </w:rPr>
        <w:t xml:space="preserve"> pentru </w:t>
      </w:r>
      <w:proofErr w:type="spellStart"/>
      <w:r w:rsidRPr="00991472">
        <w:rPr>
          <w:rFonts w:ascii="Times New Roman" w:eastAsia="Times New Roman" w:hAnsi="Times New Roman" w:cs="Times New Roman"/>
          <w:lang w:val="ro-MD"/>
        </w:rPr>
        <w:t>desfăşurarea</w:t>
      </w:r>
      <w:proofErr w:type="spellEnd"/>
      <w:r w:rsidRPr="00991472">
        <w:rPr>
          <w:rFonts w:ascii="Times New Roman" w:eastAsia="Times New Roman" w:hAnsi="Times New Roman" w:cs="Times New Roman"/>
          <w:lang w:val="ro-MD"/>
        </w:rPr>
        <w:t xml:space="preserve"> </w:t>
      </w:r>
      <w:proofErr w:type="spellStart"/>
      <w:r w:rsidRPr="00991472">
        <w:rPr>
          <w:rFonts w:ascii="Times New Roman" w:eastAsia="Times New Roman" w:hAnsi="Times New Roman" w:cs="Times New Roman"/>
          <w:lang w:val="ro-MD"/>
        </w:rPr>
        <w:t>activităţii</w:t>
      </w:r>
      <w:proofErr w:type="spellEnd"/>
      <w:r w:rsidRPr="00991472">
        <w:rPr>
          <w:rFonts w:ascii="Times New Roman" w:eastAsia="Times New Roman" w:hAnsi="Times New Roman" w:cs="Times New Roman"/>
          <w:lang w:val="ro-MD"/>
        </w:rPr>
        <w:t xml:space="preserve"> de asigurare sau de reasigurare este obligat, sub </w:t>
      </w:r>
      <w:proofErr w:type="spellStart"/>
      <w:r w:rsidRPr="00991472">
        <w:rPr>
          <w:rFonts w:ascii="Times New Roman" w:eastAsia="Times New Roman" w:hAnsi="Times New Roman" w:cs="Times New Roman"/>
          <w:lang w:val="ro-MD"/>
        </w:rPr>
        <w:t>sancţiunea</w:t>
      </w:r>
      <w:proofErr w:type="spellEnd"/>
      <w:r w:rsidRPr="00991472">
        <w:rPr>
          <w:rFonts w:ascii="Times New Roman" w:eastAsia="Times New Roman" w:hAnsi="Times New Roman" w:cs="Times New Roman"/>
          <w:lang w:val="ro-MD"/>
        </w:rPr>
        <w:t xml:space="preserve"> retragerii </w:t>
      </w:r>
      <w:proofErr w:type="spellStart"/>
      <w:r w:rsidRPr="00991472">
        <w:rPr>
          <w:rFonts w:ascii="Times New Roman" w:eastAsia="Times New Roman" w:hAnsi="Times New Roman" w:cs="Times New Roman"/>
          <w:lang w:val="ro-MD"/>
        </w:rPr>
        <w:t>licenţei</w:t>
      </w:r>
      <w:proofErr w:type="spellEnd"/>
      <w:r w:rsidRPr="00991472">
        <w:rPr>
          <w:rFonts w:ascii="Times New Roman" w:eastAsia="Times New Roman" w:hAnsi="Times New Roman" w:cs="Times New Roman"/>
          <w:lang w:val="ro-MD"/>
        </w:rPr>
        <w:t>, să-</w:t>
      </w:r>
      <w:proofErr w:type="spellStart"/>
      <w:r w:rsidRPr="00991472">
        <w:rPr>
          <w:rFonts w:ascii="Times New Roman" w:eastAsia="Times New Roman" w:hAnsi="Times New Roman" w:cs="Times New Roman"/>
          <w:lang w:val="ro-MD"/>
        </w:rPr>
        <w:t>şi</w:t>
      </w:r>
      <w:proofErr w:type="spellEnd"/>
      <w:r w:rsidRPr="00991472">
        <w:rPr>
          <w:rFonts w:ascii="Times New Roman" w:eastAsia="Times New Roman" w:hAnsi="Times New Roman" w:cs="Times New Roman"/>
          <w:lang w:val="ro-MD"/>
        </w:rPr>
        <w:t xml:space="preserve"> conformeze activitatea cu prevederile prezentei legi în termenii prevăzuți în aceasta.</w:t>
      </w:r>
    </w:p>
    <w:p w14:paraId="455C017B" w14:textId="77777777" w:rsidR="00991472" w:rsidRPr="00991472" w:rsidRDefault="00991472" w:rsidP="00482458">
      <w:pPr>
        <w:pStyle w:val="Listparagraf"/>
        <w:numPr>
          <w:ilvl w:val="0"/>
          <w:numId w:val="257"/>
        </w:numPr>
        <w:tabs>
          <w:tab w:val="left" w:pos="426"/>
          <w:tab w:val="left" w:pos="567"/>
          <w:tab w:val="left" w:pos="851"/>
        </w:tabs>
        <w:spacing w:after="0" w:line="240" w:lineRule="auto"/>
        <w:ind w:left="0" w:firstLine="360"/>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 xml:space="preserve">Banca Națională a Moldovei continuă supravegherea specială, instituită până la intrarea în vigoare a prezentei legi </w:t>
      </w:r>
      <w:proofErr w:type="spellStart"/>
      <w:r w:rsidRPr="00991472">
        <w:rPr>
          <w:rFonts w:ascii="Times New Roman" w:eastAsia="Times New Roman" w:hAnsi="Times New Roman" w:cs="Times New Roman"/>
          <w:lang w:val="ro-MD"/>
        </w:rPr>
        <w:t>şi</w:t>
      </w:r>
      <w:proofErr w:type="spellEnd"/>
      <w:r w:rsidRPr="00991472">
        <w:rPr>
          <w:rFonts w:ascii="Times New Roman" w:eastAsia="Times New Roman" w:hAnsi="Times New Roman" w:cs="Times New Roman"/>
          <w:lang w:val="ro-MD"/>
        </w:rPr>
        <w:t xml:space="preserve"> efectuată de către un angajat desemnat al acesteia, a societății care a deținut anterior licență pentru desfășurarea activității de asigurare sau reasigurare (în continuare – societate) până la onorarea tuturor obligațiilor de plată asumate în baza contractelor de asigurare și/sau până inițierea procesului de lichidare sau de insolvabilitate în condițiile stabilite de lege. În acest sens, Banca Națională a Moldovei este în drept:</w:t>
      </w:r>
    </w:p>
    <w:p w14:paraId="75B1A632" w14:textId="3298CEE5" w:rsidR="00991472" w:rsidRPr="00482458"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482458">
        <w:rPr>
          <w:rFonts w:ascii="Times New Roman" w:eastAsia="Times New Roman" w:hAnsi="Times New Roman" w:cs="Times New Roman"/>
          <w:lang w:val="ro-MD"/>
        </w:rPr>
        <w:t>să examineze situația financiară a societății la fiecare perioadă de raportare;</w:t>
      </w:r>
    </w:p>
    <w:p w14:paraId="3B41B630" w14:textId="77777777" w:rsidR="00991472" w:rsidRPr="00991472"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 xml:space="preserve">să urmărească modul în care societatea </w:t>
      </w:r>
      <w:proofErr w:type="spellStart"/>
      <w:r w:rsidRPr="00991472">
        <w:rPr>
          <w:rFonts w:ascii="Times New Roman" w:eastAsia="Times New Roman" w:hAnsi="Times New Roman" w:cs="Times New Roman"/>
          <w:lang w:val="ro-MD"/>
        </w:rPr>
        <w:t>îşi</w:t>
      </w:r>
      <w:proofErr w:type="spellEnd"/>
      <w:r w:rsidRPr="00991472">
        <w:rPr>
          <w:rFonts w:ascii="Times New Roman" w:eastAsia="Times New Roman" w:hAnsi="Times New Roman" w:cs="Times New Roman"/>
          <w:lang w:val="ro-MD"/>
        </w:rPr>
        <w:t xml:space="preserve"> onorează obligațiile de plată asumate în baza contractelor de asigurare;</w:t>
      </w:r>
    </w:p>
    <w:p w14:paraId="62F72A2D" w14:textId="77777777" w:rsidR="00991472" w:rsidRPr="00991472"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 xml:space="preserve">să solicite documentele indicate la art. 164 alin. (3) lit. b), care se prezintă de societate în termen de până la 180 zile din data solicitării sub sancțiunea efectelor stabilite la alin. (9) – (11) din același articol; </w:t>
      </w:r>
    </w:p>
    <w:p w14:paraId="3F19D8EA" w14:textId="77777777" w:rsidR="00991472" w:rsidRPr="00991472"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să monitorizeze indicatorii prudențiali, aprobați prin actul normativ al Băncii Naționale a Moldovei;</w:t>
      </w:r>
    </w:p>
    <w:p w14:paraId="5DA3574E" w14:textId="77777777" w:rsidR="00991472" w:rsidRPr="00991472"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 xml:space="preserve">să acceseze toate informațiile, documentele </w:t>
      </w:r>
      <w:proofErr w:type="spellStart"/>
      <w:r w:rsidRPr="00991472">
        <w:rPr>
          <w:rFonts w:ascii="Times New Roman" w:eastAsia="Times New Roman" w:hAnsi="Times New Roman" w:cs="Times New Roman"/>
          <w:lang w:val="ro-MD"/>
        </w:rPr>
        <w:t>şi</w:t>
      </w:r>
      <w:proofErr w:type="spellEnd"/>
      <w:r w:rsidRPr="00991472">
        <w:rPr>
          <w:rFonts w:ascii="Times New Roman" w:eastAsia="Times New Roman" w:hAnsi="Times New Roman" w:cs="Times New Roman"/>
          <w:lang w:val="ro-MD"/>
        </w:rPr>
        <w:t xml:space="preserve"> registrele societății, fiind obligată să păstreze confidențialitatea tuturor informațiilor care i-au devenit cunoscute în virtutea exercitării atribuțiilor;</w:t>
      </w:r>
    </w:p>
    <w:p w14:paraId="5E59446B" w14:textId="77777777" w:rsidR="00991472" w:rsidRPr="00991472"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să aplice sancțiuni, măsuri sancționatoare, măsuri de supraveghere conform prezentei legi;</w:t>
      </w:r>
    </w:p>
    <w:p w14:paraId="21A2AB18" w14:textId="77777777" w:rsidR="00991472" w:rsidRPr="00991472"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să inițieze proceduri de lichidare silită;</w:t>
      </w:r>
    </w:p>
    <w:p w14:paraId="788A729C" w14:textId="77777777" w:rsidR="00991472" w:rsidRPr="00991472" w:rsidRDefault="00991472" w:rsidP="00482458">
      <w:pPr>
        <w:pStyle w:val="Listparagraf"/>
        <w:numPr>
          <w:ilvl w:val="2"/>
          <w:numId w:val="52"/>
        </w:numPr>
        <w:tabs>
          <w:tab w:val="left" w:pos="567"/>
          <w:tab w:val="left" w:pos="709"/>
          <w:tab w:val="left" w:pos="851"/>
        </w:tabs>
        <w:spacing w:after="0" w:line="240" w:lineRule="auto"/>
        <w:ind w:left="0" w:firstLine="426"/>
        <w:jc w:val="both"/>
        <w:rPr>
          <w:rFonts w:ascii="Times New Roman" w:eastAsia="Times New Roman" w:hAnsi="Times New Roman" w:cs="Times New Roman"/>
          <w:lang w:val="ro-MD"/>
        </w:rPr>
      </w:pPr>
      <w:r w:rsidRPr="00991472">
        <w:rPr>
          <w:rFonts w:ascii="Times New Roman" w:eastAsia="Times New Roman" w:hAnsi="Times New Roman" w:cs="Times New Roman"/>
          <w:lang w:val="ro-MD"/>
        </w:rPr>
        <w:t>să inițieze proceduri de insolvabilitate.</w:t>
      </w:r>
    </w:p>
    <w:p w14:paraId="49598246" w14:textId="77777777" w:rsidR="00C645C6" w:rsidRPr="00C645C6" w:rsidRDefault="00C645C6" w:rsidP="00482458">
      <w:pPr>
        <w:pStyle w:val="Listparagraf"/>
        <w:numPr>
          <w:ilvl w:val="0"/>
          <w:numId w:val="257"/>
        </w:numPr>
        <w:tabs>
          <w:tab w:val="left" w:pos="426"/>
          <w:tab w:val="left" w:pos="567"/>
          <w:tab w:val="left" w:pos="851"/>
        </w:tabs>
        <w:spacing w:after="0" w:line="240" w:lineRule="auto"/>
        <w:ind w:left="0" w:firstLine="360"/>
        <w:jc w:val="both"/>
        <w:rPr>
          <w:rFonts w:ascii="Times New Roman" w:eastAsia="Times New Roman" w:hAnsi="Times New Roman" w:cs="Times New Roman"/>
          <w:lang w:val="ro-MD"/>
        </w:rPr>
      </w:pPr>
      <w:r w:rsidRPr="00C645C6">
        <w:rPr>
          <w:rFonts w:ascii="Times New Roman" w:eastAsia="Times New Roman" w:hAnsi="Times New Roman" w:cs="Times New Roman"/>
          <w:lang w:val="ro-MD"/>
        </w:rPr>
        <w:t>Actele normative emise de Banca Națională a Moldovei în baza Legii nr.92/2022 cu privire la activitatea de asigurare sau de reasigurare se aplică în continuare în măsura în care nu contravin prezentei legi, până la abrogarea lor expresă.</w:t>
      </w:r>
    </w:p>
    <w:p w14:paraId="3FB38310" w14:textId="77777777" w:rsidR="006B1E4E" w:rsidRDefault="00C645C6" w:rsidP="006B1E4E">
      <w:pPr>
        <w:pStyle w:val="Listparagraf"/>
        <w:numPr>
          <w:ilvl w:val="0"/>
          <w:numId w:val="257"/>
        </w:numPr>
        <w:tabs>
          <w:tab w:val="left" w:pos="426"/>
          <w:tab w:val="left" w:pos="567"/>
          <w:tab w:val="left" w:pos="851"/>
        </w:tabs>
        <w:spacing w:after="0" w:line="240" w:lineRule="auto"/>
        <w:ind w:left="0" w:firstLine="360"/>
        <w:jc w:val="both"/>
        <w:rPr>
          <w:rFonts w:ascii="Times New Roman" w:eastAsia="Times New Roman" w:hAnsi="Times New Roman" w:cs="Times New Roman"/>
          <w:lang w:val="ro-MD"/>
        </w:rPr>
      </w:pPr>
      <w:proofErr w:type="spellStart"/>
      <w:r w:rsidRPr="00C645C6">
        <w:rPr>
          <w:rFonts w:ascii="Times New Roman" w:eastAsia="Times New Roman" w:hAnsi="Times New Roman" w:cs="Times New Roman"/>
          <w:lang w:val="ro-MD"/>
        </w:rPr>
        <w:t>Societăţile</w:t>
      </w:r>
      <w:proofErr w:type="spellEnd"/>
      <w:r w:rsidRPr="00C645C6">
        <w:rPr>
          <w:rFonts w:ascii="Times New Roman" w:eastAsia="Times New Roman" w:hAnsi="Times New Roman" w:cs="Times New Roman"/>
          <w:lang w:val="ro-MD"/>
        </w:rPr>
        <w:t xml:space="preserve"> de asigurare sau de reasigurare care, la data intrării în vigoare a prezentei legi, </w:t>
      </w:r>
      <w:proofErr w:type="spellStart"/>
      <w:r w:rsidRPr="00C645C6">
        <w:rPr>
          <w:rFonts w:ascii="Times New Roman" w:eastAsia="Times New Roman" w:hAnsi="Times New Roman" w:cs="Times New Roman"/>
          <w:lang w:val="ro-MD"/>
        </w:rPr>
        <w:t>deţin</w:t>
      </w:r>
      <w:proofErr w:type="spellEnd"/>
      <w:r w:rsidRPr="00C645C6">
        <w:rPr>
          <w:rFonts w:ascii="Times New Roman" w:eastAsia="Times New Roman" w:hAnsi="Times New Roman" w:cs="Times New Roman"/>
          <w:lang w:val="ro-MD"/>
        </w:rPr>
        <w:t xml:space="preserve"> </w:t>
      </w:r>
      <w:proofErr w:type="spellStart"/>
      <w:r w:rsidRPr="00C645C6">
        <w:rPr>
          <w:rFonts w:ascii="Times New Roman" w:eastAsia="Times New Roman" w:hAnsi="Times New Roman" w:cs="Times New Roman"/>
          <w:lang w:val="ro-MD"/>
        </w:rPr>
        <w:t>licenţa</w:t>
      </w:r>
      <w:proofErr w:type="spellEnd"/>
      <w:r w:rsidRPr="00C645C6">
        <w:rPr>
          <w:rFonts w:ascii="Times New Roman" w:eastAsia="Times New Roman" w:hAnsi="Times New Roman" w:cs="Times New Roman"/>
          <w:lang w:val="ro-MD"/>
        </w:rPr>
        <w:t xml:space="preserve"> pentru </w:t>
      </w:r>
      <w:proofErr w:type="spellStart"/>
      <w:r w:rsidRPr="00C645C6">
        <w:rPr>
          <w:rFonts w:ascii="Times New Roman" w:eastAsia="Times New Roman" w:hAnsi="Times New Roman" w:cs="Times New Roman"/>
          <w:lang w:val="ro-MD"/>
        </w:rPr>
        <w:t>desfăşurarea</w:t>
      </w:r>
      <w:proofErr w:type="spellEnd"/>
      <w:r w:rsidRPr="00C645C6">
        <w:rPr>
          <w:rFonts w:ascii="Times New Roman" w:eastAsia="Times New Roman" w:hAnsi="Times New Roman" w:cs="Times New Roman"/>
          <w:lang w:val="ro-MD"/>
        </w:rPr>
        <w:t xml:space="preserve"> simultană a </w:t>
      </w:r>
      <w:proofErr w:type="spellStart"/>
      <w:r w:rsidRPr="00C645C6">
        <w:rPr>
          <w:rFonts w:ascii="Times New Roman" w:eastAsia="Times New Roman" w:hAnsi="Times New Roman" w:cs="Times New Roman"/>
          <w:lang w:val="ro-MD"/>
        </w:rPr>
        <w:t>activităţii</w:t>
      </w:r>
      <w:proofErr w:type="spellEnd"/>
      <w:r w:rsidRPr="00C645C6">
        <w:rPr>
          <w:rFonts w:ascii="Times New Roman" w:eastAsia="Times New Roman" w:hAnsi="Times New Roman" w:cs="Times New Roman"/>
          <w:lang w:val="ro-MD"/>
        </w:rPr>
        <w:t xml:space="preserve"> în categoria „asigurări generale” </w:t>
      </w:r>
      <w:proofErr w:type="spellStart"/>
      <w:r w:rsidRPr="00C645C6">
        <w:rPr>
          <w:rFonts w:ascii="Times New Roman" w:eastAsia="Times New Roman" w:hAnsi="Times New Roman" w:cs="Times New Roman"/>
          <w:lang w:val="ro-MD"/>
        </w:rPr>
        <w:t>şi</w:t>
      </w:r>
      <w:proofErr w:type="spellEnd"/>
      <w:r w:rsidRPr="00C645C6">
        <w:rPr>
          <w:rFonts w:ascii="Times New Roman" w:eastAsia="Times New Roman" w:hAnsi="Times New Roman" w:cs="Times New Roman"/>
          <w:lang w:val="ro-MD"/>
        </w:rPr>
        <w:t xml:space="preserve"> în categoria „asigurări de </w:t>
      </w:r>
      <w:proofErr w:type="spellStart"/>
      <w:r w:rsidRPr="00C645C6">
        <w:rPr>
          <w:rFonts w:ascii="Times New Roman" w:eastAsia="Times New Roman" w:hAnsi="Times New Roman" w:cs="Times New Roman"/>
          <w:lang w:val="ro-MD"/>
        </w:rPr>
        <w:t>viaţă</w:t>
      </w:r>
      <w:proofErr w:type="spellEnd"/>
      <w:r w:rsidRPr="00C645C6">
        <w:rPr>
          <w:rFonts w:ascii="Times New Roman" w:eastAsia="Times New Roman" w:hAnsi="Times New Roman" w:cs="Times New Roman"/>
          <w:lang w:val="ro-MD"/>
        </w:rPr>
        <w:t xml:space="preserve">” vor continua </w:t>
      </w:r>
      <w:proofErr w:type="spellStart"/>
      <w:r w:rsidRPr="00C645C6">
        <w:rPr>
          <w:rFonts w:ascii="Times New Roman" w:eastAsia="Times New Roman" w:hAnsi="Times New Roman" w:cs="Times New Roman"/>
          <w:lang w:val="ro-MD"/>
        </w:rPr>
        <w:t>desfăşurarea</w:t>
      </w:r>
      <w:proofErr w:type="spellEnd"/>
      <w:r w:rsidRPr="00C645C6">
        <w:rPr>
          <w:rFonts w:ascii="Times New Roman" w:eastAsia="Times New Roman" w:hAnsi="Times New Roman" w:cs="Times New Roman"/>
          <w:lang w:val="ro-MD"/>
        </w:rPr>
        <w:t xml:space="preserve"> </w:t>
      </w:r>
      <w:proofErr w:type="spellStart"/>
      <w:r w:rsidRPr="00C645C6">
        <w:rPr>
          <w:rFonts w:ascii="Times New Roman" w:eastAsia="Times New Roman" w:hAnsi="Times New Roman" w:cs="Times New Roman"/>
          <w:lang w:val="ro-MD"/>
        </w:rPr>
        <w:t>activităţii</w:t>
      </w:r>
      <w:proofErr w:type="spellEnd"/>
      <w:r w:rsidRPr="00C645C6">
        <w:rPr>
          <w:rFonts w:ascii="Times New Roman" w:eastAsia="Times New Roman" w:hAnsi="Times New Roman" w:cs="Times New Roman"/>
          <w:lang w:val="ro-MD"/>
        </w:rPr>
        <w:t xml:space="preserve"> în conformitate cu actele normative ale Băncii Naționale a Moldovei.</w:t>
      </w:r>
    </w:p>
    <w:p w14:paraId="20D6F2CB" w14:textId="7B175D52" w:rsidR="00AF6308" w:rsidRPr="006B1E4E" w:rsidRDefault="00052302" w:rsidP="006B1E4E">
      <w:pPr>
        <w:pStyle w:val="Listparagraf"/>
        <w:numPr>
          <w:ilvl w:val="0"/>
          <w:numId w:val="257"/>
        </w:numPr>
        <w:tabs>
          <w:tab w:val="left" w:pos="426"/>
          <w:tab w:val="left" w:pos="567"/>
          <w:tab w:val="left" w:pos="851"/>
        </w:tabs>
        <w:spacing w:after="0" w:line="240" w:lineRule="auto"/>
        <w:ind w:left="0" w:firstLine="360"/>
        <w:jc w:val="both"/>
        <w:rPr>
          <w:rFonts w:ascii="Times New Roman" w:eastAsia="Times New Roman" w:hAnsi="Times New Roman" w:cs="Times New Roman"/>
          <w:lang w:val="ro-MD"/>
        </w:rPr>
      </w:pPr>
      <w:r w:rsidRPr="006B1E4E">
        <w:rPr>
          <w:rFonts w:ascii="Times New Roman" w:eastAsia="Times New Roman" w:hAnsi="Times New Roman" w:cs="Times New Roman"/>
          <w:bCs/>
          <w:lang w:val="ro-MD"/>
        </w:rPr>
        <w:t xml:space="preserve">Asigurătorul sau </w:t>
      </w:r>
      <w:proofErr w:type="spellStart"/>
      <w:r w:rsidRPr="006B1E4E">
        <w:rPr>
          <w:rFonts w:ascii="Times New Roman" w:eastAsia="Times New Roman" w:hAnsi="Times New Roman" w:cs="Times New Roman"/>
          <w:bCs/>
          <w:lang w:val="ro-MD"/>
        </w:rPr>
        <w:t>reasigurătorul</w:t>
      </w:r>
      <w:proofErr w:type="spellEnd"/>
      <w:r w:rsidR="00AF6308" w:rsidRPr="006B1E4E">
        <w:rPr>
          <w:rFonts w:ascii="Times New Roman" w:eastAsia="Times New Roman" w:hAnsi="Times New Roman" w:cs="Times New Roman"/>
          <w:lang w:val="ro-MD"/>
        </w:rPr>
        <w:t xml:space="preserve"> care până </w:t>
      </w:r>
      <w:r w:rsidR="004849DF" w:rsidRPr="006B1E4E">
        <w:rPr>
          <w:rFonts w:ascii="Times New Roman" w:eastAsia="Times New Roman" w:hAnsi="Times New Roman" w:cs="Times New Roman"/>
          <w:lang w:val="ro-MD"/>
        </w:rPr>
        <w:t xml:space="preserve">la </w:t>
      </w:r>
      <w:r w:rsidR="00AF6308" w:rsidRPr="006B1E4E">
        <w:rPr>
          <w:rFonts w:ascii="Times New Roman" w:eastAsia="Times New Roman" w:hAnsi="Times New Roman" w:cs="Times New Roman"/>
          <w:lang w:val="ro-MD"/>
        </w:rPr>
        <w:t xml:space="preserve">data intrării în vigoare a prezentei legi nu mai subscrie contracte noi de asigurare sau reasigurare </w:t>
      </w:r>
      <w:proofErr w:type="spellStart"/>
      <w:r w:rsidR="00AF6308" w:rsidRPr="006B1E4E">
        <w:rPr>
          <w:rFonts w:ascii="Times New Roman" w:eastAsia="Times New Roman" w:hAnsi="Times New Roman" w:cs="Times New Roman"/>
          <w:lang w:val="ro-MD"/>
        </w:rPr>
        <w:t>şi</w:t>
      </w:r>
      <w:proofErr w:type="spellEnd"/>
      <w:r w:rsidR="00AF6308" w:rsidRPr="006B1E4E">
        <w:rPr>
          <w:rFonts w:ascii="Times New Roman" w:eastAsia="Times New Roman" w:hAnsi="Times New Roman" w:cs="Times New Roman"/>
          <w:lang w:val="ro-MD"/>
        </w:rPr>
        <w:t xml:space="preserve"> </w:t>
      </w:r>
      <w:proofErr w:type="spellStart"/>
      <w:r w:rsidR="00AF6308" w:rsidRPr="006B1E4E">
        <w:rPr>
          <w:rFonts w:ascii="Times New Roman" w:eastAsia="Times New Roman" w:hAnsi="Times New Roman" w:cs="Times New Roman"/>
          <w:lang w:val="ro-MD"/>
        </w:rPr>
        <w:t>îşi</w:t>
      </w:r>
      <w:proofErr w:type="spellEnd"/>
      <w:r w:rsidR="00AF6308" w:rsidRPr="006B1E4E">
        <w:rPr>
          <w:rFonts w:ascii="Times New Roman" w:eastAsia="Times New Roman" w:hAnsi="Times New Roman" w:cs="Times New Roman"/>
          <w:lang w:val="ro-MD"/>
        </w:rPr>
        <w:t xml:space="preserve"> administrează portofoliul exclusiv pentru încetarea </w:t>
      </w:r>
      <w:proofErr w:type="spellStart"/>
      <w:r w:rsidR="00AF6308" w:rsidRPr="006B1E4E">
        <w:rPr>
          <w:rFonts w:ascii="Times New Roman" w:eastAsia="Times New Roman" w:hAnsi="Times New Roman" w:cs="Times New Roman"/>
          <w:lang w:val="ro-MD"/>
        </w:rPr>
        <w:t>activităţii</w:t>
      </w:r>
      <w:proofErr w:type="spellEnd"/>
      <w:r w:rsidR="00AF6308" w:rsidRPr="006B1E4E">
        <w:rPr>
          <w:rFonts w:ascii="Times New Roman" w:eastAsia="Times New Roman" w:hAnsi="Times New Roman" w:cs="Times New Roman"/>
          <w:lang w:val="ro-MD"/>
        </w:rPr>
        <w:t xml:space="preserve"> este exclus din sfera de aplicare a prevederilor </w:t>
      </w:r>
      <w:r w:rsidRPr="006B1E4E">
        <w:rPr>
          <w:rFonts w:ascii="Times New Roman" w:eastAsia="Times New Roman" w:hAnsi="Times New Roman" w:cs="Times New Roman"/>
          <w:bCs/>
          <w:lang w:val="ro-MD"/>
        </w:rPr>
        <w:t>art.</w:t>
      </w:r>
      <w:r w:rsidR="00F8362F" w:rsidRPr="006B1E4E">
        <w:rPr>
          <w:rFonts w:ascii="Times New Roman" w:eastAsia="Times New Roman" w:hAnsi="Times New Roman" w:cs="Times New Roman"/>
          <w:bCs/>
          <w:lang w:val="ro-MD"/>
        </w:rPr>
        <w:t xml:space="preserve"> </w:t>
      </w:r>
      <w:r w:rsidRPr="006B1E4E">
        <w:rPr>
          <w:rFonts w:ascii="Times New Roman" w:eastAsia="Times New Roman" w:hAnsi="Times New Roman" w:cs="Times New Roman"/>
          <w:bCs/>
          <w:lang w:val="ro-MD"/>
        </w:rPr>
        <w:t>1 -115, art. 153-198</w:t>
      </w:r>
      <w:r w:rsidR="00AF6308" w:rsidRPr="006B1E4E">
        <w:rPr>
          <w:rFonts w:ascii="Times New Roman" w:eastAsia="Times New Roman" w:hAnsi="Times New Roman" w:cs="Times New Roman"/>
          <w:bCs/>
          <w:lang w:val="ro-MD"/>
        </w:rPr>
        <w:t xml:space="preserve"> în unul dintre următoarele cazuri:</w:t>
      </w:r>
    </w:p>
    <w:p w14:paraId="712D2B9C" w14:textId="77777777" w:rsidR="00AF6308" w:rsidRPr="000508B6" w:rsidRDefault="00AF6308" w:rsidP="00AF630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a)</w:t>
      </w:r>
      <w:r w:rsidRPr="000508B6">
        <w:rPr>
          <w:rFonts w:ascii="Times New Roman" w:eastAsia="Times New Roman" w:hAnsi="Times New Roman" w:cs="Times New Roman"/>
          <w:bCs/>
          <w:lang w:val="ro-MD"/>
        </w:rPr>
        <w:tab/>
        <w:t xml:space="preserve">comunică Băncii Naționale a Moldovei că </w:t>
      </w:r>
      <w:proofErr w:type="spellStart"/>
      <w:r w:rsidRPr="000508B6">
        <w:rPr>
          <w:rFonts w:ascii="Times New Roman" w:eastAsia="Times New Roman" w:hAnsi="Times New Roman" w:cs="Times New Roman"/>
          <w:bCs/>
          <w:lang w:val="ro-MD"/>
        </w:rPr>
        <w:t>îşi</w:t>
      </w:r>
      <w:proofErr w:type="spellEnd"/>
      <w:r w:rsidRPr="000508B6">
        <w:rPr>
          <w:rFonts w:ascii="Times New Roman" w:eastAsia="Times New Roman" w:hAnsi="Times New Roman" w:cs="Times New Roman"/>
          <w:bCs/>
          <w:lang w:val="ro-MD"/>
        </w:rPr>
        <w:t xml:space="preserve"> va încheia activitatea înainte de intrarea în vigoare a prezentei legi;</w:t>
      </w:r>
    </w:p>
    <w:p w14:paraId="6CEF0604" w14:textId="422ADDAF" w:rsidR="00AF6308" w:rsidRPr="000508B6" w:rsidRDefault="00AF6308" w:rsidP="00AF6308">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b)</w:t>
      </w:r>
      <w:r w:rsidRPr="000508B6">
        <w:rPr>
          <w:rFonts w:ascii="Times New Roman" w:eastAsia="Times New Roman" w:hAnsi="Times New Roman" w:cs="Times New Roman"/>
          <w:bCs/>
          <w:lang w:val="ro-MD"/>
        </w:rPr>
        <w:tab/>
        <w:t xml:space="preserve">face obiectul măsurilor de reorganizare în conformitate cu legislația națională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are numit un administrator</w:t>
      </w:r>
      <w:r w:rsidR="00052302"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w:t>
      </w:r>
    </w:p>
    <w:p w14:paraId="60D4EC10" w14:textId="12669EB5" w:rsidR="00052302" w:rsidRPr="000508B6" w:rsidRDefault="00AF6308" w:rsidP="00AF630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2A55E5">
        <w:rPr>
          <w:rFonts w:ascii="Times New Roman" w:eastAsia="Times New Roman" w:hAnsi="Times New Roman" w:cs="Times New Roman"/>
          <w:bCs/>
          <w:lang w:val="ro-MD"/>
        </w:rPr>
        <w:t>8</w:t>
      </w:r>
      <w:r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ab/>
      </w:r>
      <w:proofErr w:type="spellStart"/>
      <w:r w:rsidRPr="000508B6">
        <w:rPr>
          <w:rFonts w:ascii="Times New Roman" w:eastAsia="Times New Roman" w:hAnsi="Times New Roman" w:cs="Times New Roman"/>
          <w:bCs/>
          <w:lang w:val="ro-MD"/>
        </w:rPr>
        <w:t>Dispoziţiile</w:t>
      </w:r>
      <w:proofErr w:type="spellEnd"/>
      <w:r w:rsidRPr="000508B6">
        <w:rPr>
          <w:rFonts w:ascii="Times New Roman" w:eastAsia="Times New Roman" w:hAnsi="Times New Roman" w:cs="Times New Roman"/>
          <w:bCs/>
          <w:lang w:val="ro-MD"/>
        </w:rPr>
        <w:t xml:space="preserve"> </w:t>
      </w:r>
      <w:r w:rsidR="00052302" w:rsidRPr="000508B6">
        <w:rPr>
          <w:rFonts w:ascii="Times New Roman" w:eastAsia="Times New Roman" w:hAnsi="Times New Roman" w:cs="Times New Roman"/>
          <w:bCs/>
          <w:lang w:val="ro-MD"/>
        </w:rPr>
        <w:t>art.</w:t>
      </w:r>
      <w:r w:rsidR="00F8362F" w:rsidRPr="000508B6">
        <w:rPr>
          <w:rFonts w:ascii="Times New Roman" w:eastAsia="Times New Roman" w:hAnsi="Times New Roman" w:cs="Times New Roman"/>
          <w:bCs/>
          <w:lang w:val="ro-MD"/>
        </w:rPr>
        <w:t xml:space="preserve"> </w:t>
      </w:r>
      <w:r w:rsidR="00052302" w:rsidRPr="000508B6">
        <w:rPr>
          <w:rFonts w:ascii="Times New Roman" w:eastAsia="Times New Roman" w:hAnsi="Times New Roman" w:cs="Times New Roman"/>
          <w:bCs/>
          <w:lang w:val="ro-MD"/>
        </w:rPr>
        <w:t>1-115</w:t>
      </w:r>
      <w:r w:rsidR="00BE302A" w:rsidRPr="000508B6">
        <w:rPr>
          <w:rFonts w:ascii="Times New Roman" w:eastAsia="Times New Roman" w:hAnsi="Times New Roman" w:cs="Times New Roman"/>
          <w:bCs/>
          <w:lang w:val="ro-MD"/>
        </w:rPr>
        <w:t xml:space="preserve"> și </w:t>
      </w:r>
      <w:r w:rsidR="00052302" w:rsidRPr="000508B6">
        <w:rPr>
          <w:rFonts w:ascii="Times New Roman" w:eastAsia="Times New Roman" w:hAnsi="Times New Roman" w:cs="Times New Roman"/>
          <w:bCs/>
          <w:lang w:val="ro-MD"/>
        </w:rPr>
        <w:t xml:space="preserve">art. 153-198 </w:t>
      </w:r>
      <w:r w:rsidRPr="000508B6">
        <w:rPr>
          <w:rFonts w:ascii="Times New Roman" w:eastAsia="Times New Roman" w:hAnsi="Times New Roman" w:cs="Times New Roman"/>
          <w:bCs/>
          <w:lang w:val="ro-MD"/>
        </w:rPr>
        <w:t xml:space="preserve">se aplică </w:t>
      </w:r>
      <w:r w:rsidR="00052302" w:rsidRPr="000508B6">
        <w:rPr>
          <w:rFonts w:ascii="Times New Roman" w:eastAsia="Times New Roman" w:hAnsi="Times New Roman" w:cs="Times New Roman"/>
          <w:bCs/>
          <w:lang w:val="ro-MD"/>
        </w:rPr>
        <w:t xml:space="preserve">asigurătorului sau </w:t>
      </w:r>
      <w:proofErr w:type="spellStart"/>
      <w:r w:rsidR="00052302"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w:t>
      </w:r>
      <w:proofErr w:type="spellEnd"/>
      <w:r w:rsidRPr="000508B6">
        <w:rPr>
          <w:rFonts w:ascii="Times New Roman" w:eastAsia="Times New Roman" w:hAnsi="Times New Roman" w:cs="Times New Roman"/>
          <w:lang w:val="ro-MD"/>
        </w:rPr>
        <w:t xml:space="preserve"> la alin. </w:t>
      </w:r>
      <w:r w:rsidRPr="006B1E4E">
        <w:rPr>
          <w:rFonts w:ascii="Times New Roman" w:eastAsia="Times New Roman" w:hAnsi="Times New Roman" w:cs="Times New Roman"/>
          <w:lang w:val="ro-MD"/>
        </w:rPr>
        <w:t>(</w:t>
      </w:r>
      <w:r w:rsidR="006B1E4E" w:rsidRPr="006B1E4E">
        <w:rPr>
          <w:rFonts w:ascii="Times New Roman" w:eastAsia="Times New Roman" w:hAnsi="Times New Roman" w:cs="Times New Roman"/>
          <w:lang w:val="ro-MD"/>
        </w:rPr>
        <w:t>7</w:t>
      </w:r>
      <w:r w:rsidRPr="006B1E4E">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lit. a) începând cu </w:t>
      </w:r>
      <w:r w:rsidR="00052302" w:rsidRPr="000508B6">
        <w:rPr>
          <w:rFonts w:ascii="Times New Roman" w:eastAsia="Times New Roman" w:hAnsi="Times New Roman" w:cs="Times New Roman"/>
          <w:bCs/>
          <w:lang w:val="ro-MD"/>
        </w:rPr>
        <w:t>cel de-al treilea an de la data intrării în vigoare a prezentei legi</w:t>
      </w:r>
      <w:r w:rsidRPr="000508B6">
        <w:rPr>
          <w:rFonts w:ascii="Times New Roman" w:eastAsia="Times New Roman" w:hAnsi="Times New Roman" w:cs="Times New Roman"/>
          <w:lang w:val="ro-MD"/>
        </w:rPr>
        <w:t xml:space="preserve">, iar </w:t>
      </w:r>
      <w:r w:rsidR="00BE302A" w:rsidRPr="000508B6">
        <w:rPr>
          <w:rFonts w:ascii="Times New Roman" w:eastAsia="Times New Roman" w:hAnsi="Times New Roman" w:cs="Times New Roman"/>
          <w:lang w:val="ro-MD"/>
        </w:rPr>
        <w:t xml:space="preserve">celui </w:t>
      </w:r>
      <w:proofErr w:type="spellStart"/>
      <w:r w:rsidRPr="000508B6">
        <w:rPr>
          <w:rFonts w:ascii="Times New Roman" w:eastAsia="Times New Roman" w:hAnsi="Times New Roman" w:cs="Times New Roman"/>
          <w:lang w:val="ro-MD"/>
        </w:rPr>
        <w:t>menţionat</w:t>
      </w:r>
      <w:proofErr w:type="spellEnd"/>
      <w:r w:rsidRPr="000508B6">
        <w:rPr>
          <w:rFonts w:ascii="Times New Roman" w:eastAsia="Times New Roman" w:hAnsi="Times New Roman" w:cs="Times New Roman"/>
          <w:lang w:val="ro-MD"/>
        </w:rPr>
        <w:t xml:space="preserve"> la alin</w:t>
      </w:r>
      <w:r w:rsidRPr="006B1E4E">
        <w:rPr>
          <w:rFonts w:ascii="Times New Roman" w:eastAsia="Times New Roman" w:hAnsi="Times New Roman" w:cs="Times New Roman"/>
          <w:lang w:val="ro-MD"/>
        </w:rPr>
        <w:t>. (</w:t>
      </w:r>
      <w:r w:rsidR="006B1E4E" w:rsidRPr="006B1E4E">
        <w:rPr>
          <w:rFonts w:ascii="Times New Roman" w:eastAsia="Times New Roman" w:hAnsi="Times New Roman" w:cs="Times New Roman"/>
          <w:lang w:val="ro-MD"/>
        </w:rPr>
        <w:t>7</w:t>
      </w:r>
      <w:r w:rsidRPr="006B1E4E">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lit. b), începând cu </w:t>
      </w:r>
      <w:r w:rsidR="00052302" w:rsidRPr="000508B6">
        <w:rPr>
          <w:rFonts w:ascii="Times New Roman" w:eastAsia="Times New Roman" w:hAnsi="Times New Roman" w:cs="Times New Roman"/>
          <w:bCs/>
          <w:lang w:val="ro-MD"/>
        </w:rPr>
        <w:t>cel de-al cincilea an de la data intrării în vigoare a prezentei legi</w:t>
      </w:r>
      <w:r w:rsidRPr="000508B6">
        <w:rPr>
          <w:rFonts w:ascii="Times New Roman" w:eastAsia="Times New Roman" w:hAnsi="Times New Roman" w:cs="Times New Roman"/>
          <w:lang w:val="ro-MD"/>
        </w:rPr>
        <w:t>.</w:t>
      </w:r>
    </w:p>
    <w:p w14:paraId="28C6BB85" w14:textId="60BB9970" w:rsidR="00AF6308" w:rsidRPr="000508B6" w:rsidRDefault="00052302" w:rsidP="00AF6308">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Cs/>
          <w:lang w:val="ro-MD"/>
        </w:rPr>
        <w:t>(</w:t>
      </w:r>
      <w:r w:rsidR="002A55E5">
        <w:rPr>
          <w:rFonts w:ascii="Times New Roman" w:eastAsia="Times New Roman" w:hAnsi="Times New Roman" w:cs="Times New Roman"/>
          <w:bCs/>
          <w:lang w:val="ro-MD"/>
        </w:rPr>
        <w:t>9</w:t>
      </w:r>
      <w:r w:rsidRPr="000508B6">
        <w:rPr>
          <w:rFonts w:ascii="Times New Roman" w:eastAsia="Times New Roman" w:hAnsi="Times New Roman" w:cs="Times New Roman"/>
          <w:bCs/>
          <w:lang w:val="ro-MD"/>
        </w:rPr>
        <w:t>)</w:t>
      </w:r>
      <w:r w:rsidR="00AF6308" w:rsidRPr="000508B6">
        <w:rPr>
          <w:rFonts w:ascii="Times New Roman" w:eastAsia="Times New Roman" w:hAnsi="Times New Roman" w:cs="Times New Roman"/>
          <w:lang w:val="ro-MD"/>
        </w:rPr>
        <w:t xml:space="preserve"> În cazul în care Banca Națională a Moldovei consideră că procesul de încetare a </w:t>
      </w:r>
      <w:proofErr w:type="spellStart"/>
      <w:r w:rsidR="00AF6308" w:rsidRPr="000508B6">
        <w:rPr>
          <w:rFonts w:ascii="Times New Roman" w:eastAsia="Times New Roman" w:hAnsi="Times New Roman" w:cs="Times New Roman"/>
          <w:lang w:val="ro-MD"/>
        </w:rPr>
        <w:t>activităţii</w:t>
      </w:r>
      <w:proofErr w:type="spellEnd"/>
      <w:r w:rsidR="00AF6308"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bCs/>
          <w:lang w:val="ro-MD"/>
        </w:rPr>
        <w:t xml:space="preserve">asigurătorului sau </w:t>
      </w:r>
      <w:proofErr w:type="spellStart"/>
      <w:r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prevăzut la </w:t>
      </w:r>
      <w:r w:rsidRPr="006B1E4E">
        <w:rPr>
          <w:rFonts w:ascii="Times New Roman" w:eastAsia="Times New Roman" w:hAnsi="Times New Roman" w:cs="Times New Roman"/>
          <w:bCs/>
          <w:lang w:val="ro-MD"/>
        </w:rPr>
        <w:t>a</w:t>
      </w:r>
      <w:r w:rsidR="00E075BF" w:rsidRPr="006B1E4E">
        <w:rPr>
          <w:rFonts w:ascii="Times New Roman" w:eastAsia="Times New Roman" w:hAnsi="Times New Roman" w:cs="Times New Roman"/>
          <w:bCs/>
          <w:lang w:val="ro-MD"/>
        </w:rPr>
        <w:t>l</w:t>
      </w:r>
      <w:r w:rsidRPr="006B1E4E">
        <w:rPr>
          <w:rFonts w:ascii="Times New Roman" w:eastAsia="Times New Roman" w:hAnsi="Times New Roman" w:cs="Times New Roman"/>
          <w:bCs/>
          <w:lang w:val="ro-MD"/>
        </w:rPr>
        <w:t>in. (</w:t>
      </w:r>
      <w:r w:rsidR="006B1E4E" w:rsidRPr="006B1E4E">
        <w:rPr>
          <w:rFonts w:ascii="Times New Roman" w:eastAsia="Times New Roman" w:hAnsi="Times New Roman" w:cs="Times New Roman"/>
          <w:bCs/>
          <w:lang w:val="ro-MD"/>
        </w:rPr>
        <w:t>8</w:t>
      </w:r>
      <w:r w:rsidRPr="006B1E4E">
        <w:rPr>
          <w:rFonts w:ascii="Times New Roman" w:eastAsia="Times New Roman" w:hAnsi="Times New Roman" w:cs="Times New Roman"/>
          <w:bCs/>
          <w:lang w:val="ro-MD"/>
        </w:rPr>
        <w:t>)</w:t>
      </w:r>
      <w:r w:rsidR="00E075BF" w:rsidRPr="000508B6">
        <w:rPr>
          <w:rFonts w:ascii="Times New Roman" w:eastAsia="Times New Roman" w:hAnsi="Times New Roman" w:cs="Times New Roman"/>
          <w:bCs/>
          <w:lang w:val="ro-MD"/>
        </w:rPr>
        <w:t xml:space="preserve"> </w:t>
      </w:r>
      <w:r w:rsidR="00AF6308" w:rsidRPr="000508B6">
        <w:rPr>
          <w:rFonts w:ascii="Times New Roman" w:eastAsia="Times New Roman" w:hAnsi="Times New Roman" w:cs="Times New Roman"/>
          <w:bCs/>
          <w:lang w:val="ro-MD"/>
        </w:rPr>
        <w:t xml:space="preserve">nu înregistrează progrese, Banca Națională a Moldovei decide aplicarea </w:t>
      </w:r>
      <w:proofErr w:type="spellStart"/>
      <w:r w:rsidR="00AF6308" w:rsidRPr="000508B6">
        <w:rPr>
          <w:rFonts w:ascii="Times New Roman" w:eastAsia="Times New Roman" w:hAnsi="Times New Roman" w:cs="Times New Roman"/>
          <w:bCs/>
          <w:lang w:val="ro-MD"/>
        </w:rPr>
        <w:t>dispoziţiilor</w:t>
      </w:r>
      <w:proofErr w:type="spellEnd"/>
      <w:r w:rsidR="00AF6308"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art.</w:t>
      </w:r>
      <w:r w:rsidR="00F8362F"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1 </w:t>
      </w:r>
      <w:r w:rsidR="00B36665"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115</w:t>
      </w:r>
      <w:r w:rsidR="00BE302A" w:rsidRPr="000508B6">
        <w:rPr>
          <w:rFonts w:ascii="Times New Roman" w:eastAsia="Times New Roman" w:hAnsi="Times New Roman" w:cs="Times New Roman"/>
          <w:bCs/>
          <w:lang w:val="ro-MD"/>
        </w:rPr>
        <w:t xml:space="preserve"> și</w:t>
      </w:r>
      <w:r w:rsidRPr="000508B6">
        <w:rPr>
          <w:rFonts w:ascii="Times New Roman" w:eastAsia="Times New Roman" w:hAnsi="Times New Roman" w:cs="Times New Roman"/>
          <w:bCs/>
          <w:lang w:val="ro-MD"/>
        </w:rPr>
        <w:t xml:space="preserve"> art. 153</w:t>
      </w:r>
      <w:r w:rsidR="00B36665"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198 </w:t>
      </w:r>
      <w:r w:rsidR="00AF6308" w:rsidRPr="000508B6">
        <w:rPr>
          <w:rFonts w:ascii="Times New Roman" w:eastAsia="Times New Roman" w:hAnsi="Times New Roman" w:cs="Times New Roman"/>
          <w:bCs/>
          <w:lang w:val="ro-MD"/>
        </w:rPr>
        <w:t xml:space="preserve">de la o dată anterioară celor </w:t>
      </w:r>
      <w:proofErr w:type="spellStart"/>
      <w:r w:rsidR="00AF6308" w:rsidRPr="000508B6">
        <w:rPr>
          <w:rFonts w:ascii="Times New Roman" w:eastAsia="Times New Roman" w:hAnsi="Times New Roman" w:cs="Times New Roman"/>
          <w:bCs/>
          <w:lang w:val="ro-MD"/>
        </w:rPr>
        <w:t>menţionate</w:t>
      </w:r>
      <w:proofErr w:type="spellEnd"/>
      <w:r w:rsidR="00AF6308" w:rsidRPr="000508B6">
        <w:rPr>
          <w:rFonts w:ascii="Times New Roman" w:eastAsia="Times New Roman" w:hAnsi="Times New Roman" w:cs="Times New Roman"/>
          <w:bCs/>
          <w:lang w:val="ro-MD"/>
        </w:rPr>
        <w:t xml:space="preserve"> în </w:t>
      </w:r>
      <w:r w:rsidRPr="000508B6">
        <w:rPr>
          <w:rFonts w:ascii="Times New Roman" w:eastAsia="Times New Roman" w:hAnsi="Times New Roman" w:cs="Times New Roman"/>
          <w:bCs/>
          <w:lang w:val="ro-MD"/>
        </w:rPr>
        <w:t xml:space="preserve"> alin. (</w:t>
      </w:r>
      <w:r w:rsidR="006B1E4E">
        <w:rPr>
          <w:rFonts w:ascii="Times New Roman" w:eastAsia="Times New Roman" w:hAnsi="Times New Roman" w:cs="Times New Roman"/>
          <w:bCs/>
          <w:lang w:val="ro-MD"/>
        </w:rPr>
        <w:t>8</w:t>
      </w:r>
      <w:r w:rsidRPr="000508B6">
        <w:rPr>
          <w:rFonts w:ascii="Times New Roman" w:eastAsia="Times New Roman" w:hAnsi="Times New Roman" w:cs="Times New Roman"/>
          <w:bCs/>
          <w:lang w:val="ro-MD"/>
        </w:rPr>
        <w:t>)</w:t>
      </w:r>
      <w:r w:rsidR="00AF6308" w:rsidRPr="000508B6">
        <w:rPr>
          <w:rFonts w:ascii="Times New Roman" w:eastAsia="Times New Roman" w:hAnsi="Times New Roman" w:cs="Times New Roman"/>
          <w:lang w:val="ro-MD"/>
        </w:rPr>
        <w:t xml:space="preserve">. </w:t>
      </w:r>
    </w:p>
    <w:p w14:paraId="6B149EBA" w14:textId="7F3A6265" w:rsidR="00AF6308" w:rsidRPr="000508B6" w:rsidRDefault="00AF6308" w:rsidP="00AF6308">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w:t>
      </w:r>
      <w:r w:rsidR="002A55E5">
        <w:rPr>
          <w:rFonts w:ascii="Times New Roman" w:eastAsia="Times New Roman" w:hAnsi="Times New Roman" w:cs="Times New Roman"/>
          <w:bCs/>
          <w:lang w:val="ro-MD"/>
        </w:rPr>
        <w:t>10</w:t>
      </w:r>
      <w:r w:rsidRPr="000508B6">
        <w:rPr>
          <w:rFonts w:ascii="Times New Roman" w:eastAsia="Times New Roman" w:hAnsi="Times New Roman" w:cs="Times New Roman"/>
          <w:lang w:val="ro-MD"/>
        </w:rPr>
        <w:t>) Prevederile alin. (</w:t>
      </w:r>
      <w:r w:rsidR="006B1E4E">
        <w:rPr>
          <w:rFonts w:ascii="Times New Roman" w:eastAsia="Times New Roman" w:hAnsi="Times New Roman" w:cs="Times New Roman"/>
          <w:lang w:val="ro-MD"/>
        </w:rPr>
        <w:t>7</w:t>
      </w:r>
      <w:r w:rsidRPr="000508B6">
        <w:rPr>
          <w:rFonts w:ascii="Times New Roman" w:eastAsia="Times New Roman" w:hAnsi="Times New Roman" w:cs="Times New Roman"/>
          <w:lang w:val="ro-MD"/>
        </w:rPr>
        <w:t xml:space="preserve">) </w:t>
      </w:r>
      <w:r w:rsidR="002D4C98" w:rsidRPr="000508B6">
        <w:rPr>
          <w:rFonts w:ascii="Times New Roman" w:eastAsia="Times New Roman" w:hAnsi="Times New Roman" w:cs="Times New Roman"/>
          <w:bCs/>
          <w:lang w:val="ro-MD"/>
        </w:rPr>
        <w:t>-</w:t>
      </w:r>
      <w:r w:rsidRPr="000508B6">
        <w:rPr>
          <w:rFonts w:ascii="Times New Roman" w:eastAsia="Times New Roman" w:hAnsi="Times New Roman" w:cs="Times New Roman"/>
          <w:lang w:val="ro-MD"/>
        </w:rPr>
        <w:t xml:space="preserve"> (</w:t>
      </w:r>
      <w:r w:rsidR="006B1E4E">
        <w:rPr>
          <w:rFonts w:ascii="Times New Roman" w:eastAsia="Times New Roman" w:hAnsi="Times New Roman" w:cs="Times New Roman"/>
          <w:bCs/>
          <w:lang w:val="ro-MD"/>
        </w:rPr>
        <w:t>9</w:t>
      </w:r>
      <w:r w:rsidRPr="000508B6">
        <w:rPr>
          <w:rFonts w:ascii="Times New Roman" w:eastAsia="Times New Roman" w:hAnsi="Times New Roman" w:cs="Times New Roman"/>
          <w:lang w:val="ro-MD"/>
        </w:rPr>
        <w:t xml:space="preserve">) se aplică numai dacă sunt îndeplinite următoarele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w:t>
      </w:r>
    </w:p>
    <w:p w14:paraId="111A355E" w14:textId="663EB185" w:rsidR="00AF6308" w:rsidRPr="000508B6" w:rsidRDefault="00AF6308" w:rsidP="00AF6308">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r>
      <w:r w:rsidR="002D4C98" w:rsidRPr="000508B6">
        <w:rPr>
          <w:rFonts w:ascii="Times New Roman" w:eastAsia="Times New Roman" w:hAnsi="Times New Roman" w:cs="Times New Roman"/>
          <w:bCs/>
          <w:lang w:val="ro-MD"/>
        </w:rPr>
        <w:t xml:space="preserve">asigurătorul sau </w:t>
      </w:r>
      <w:proofErr w:type="spellStart"/>
      <w:r w:rsidR="002D4C9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lang w:val="ro-MD"/>
        </w:rPr>
        <w:t xml:space="preserve"> nu face parte dintr-un grup sau, dacă face parte dintr-un grup, </w:t>
      </w:r>
      <w:r w:rsidR="002D4C98" w:rsidRPr="000508B6">
        <w:rPr>
          <w:rFonts w:ascii="Times New Roman" w:eastAsia="Times New Roman" w:hAnsi="Times New Roman" w:cs="Times New Roman"/>
          <w:bCs/>
          <w:lang w:val="ro-MD"/>
        </w:rPr>
        <w:t xml:space="preserve">toți asigurătorii sau </w:t>
      </w:r>
      <w:proofErr w:type="spellStart"/>
      <w:r w:rsidR="002D4C98" w:rsidRPr="000508B6">
        <w:rPr>
          <w:rFonts w:ascii="Times New Roman" w:eastAsia="Times New Roman" w:hAnsi="Times New Roman" w:cs="Times New Roman"/>
          <w:bCs/>
          <w:lang w:val="ro-MD"/>
        </w:rPr>
        <w:t>reasigurătorii</w:t>
      </w:r>
      <w:proofErr w:type="spellEnd"/>
      <w:r w:rsidRPr="000508B6">
        <w:rPr>
          <w:rFonts w:ascii="Times New Roman" w:eastAsia="Times New Roman" w:hAnsi="Times New Roman" w:cs="Times New Roman"/>
          <w:lang w:val="ro-MD"/>
        </w:rPr>
        <w:t xml:space="preserve"> grupului încetează subscrierea de noi contracte;</w:t>
      </w:r>
    </w:p>
    <w:p w14:paraId="357E0AED" w14:textId="0E2D39B9" w:rsidR="00AF6308" w:rsidRPr="000508B6" w:rsidRDefault="00AF6308" w:rsidP="00AF6308">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r>
      <w:r w:rsidR="002D4C98" w:rsidRPr="000508B6">
        <w:rPr>
          <w:rFonts w:ascii="Times New Roman" w:eastAsia="Times New Roman" w:hAnsi="Times New Roman" w:cs="Times New Roman"/>
          <w:bCs/>
          <w:lang w:val="ro-MD"/>
        </w:rPr>
        <w:t xml:space="preserve">asigurătorul sau </w:t>
      </w:r>
      <w:proofErr w:type="spellStart"/>
      <w:r w:rsidR="002D4C9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lang w:val="ro-MD"/>
        </w:rPr>
        <w:t xml:space="preserve"> transmite Băncii Naționale a Moldovei un raport anual în care indică progresele realizate în încetarea </w:t>
      </w:r>
      <w:proofErr w:type="spellStart"/>
      <w:r w:rsidRPr="000508B6">
        <w:rPr>
          <w:rFonts w:ascii="Times New Roman" w:eastAsia="Times New Roman" w:hAnsi="Times New Roman" w:cs="Times New Roman"/>
          <w:lang w:val="ro-MD"/>
        </w:rPr>
        <w:t>activităţii</w:t>
      </w:r>
      <w:proofErr w:type="spellEnd"/>
      <w:r w:rsidRPr="000508B6">
        <w:rPr>
          <w:rFonts w:ascii="Times New Roman" w:eastAsia="Times New Roman" w:hAnsi="Times New Roman" w:cs="Times New Roman"/>
          <w:lang w:val="ro-MD"/>
        </w:rPr>
        <w:t>;</w:t>
      </w:r>
    </w:p>
    <w:p w14:paraId="3F75ED48" w14:textId="11DE89C4" w:rsidR="00AF6308" w:rsidRPr="000508B6" w:rsidRDefault="00AF6308" w:rsidP="00AF6308">
      <w:pPr>
        <w:spacing w:after="0" w:line="240" w:lineRule="auto"/>
        <w:ind w:firstLine="426"/>
        <w:jc w:val="both"/>
        <w:rPr>
          <w:rFonts w:ascii="Times New Roman" w:eastAsia="Times New Roman" w:hAnsi="Times New Roman" w:cs="Times New Roman"/>
          <w:color w:val="FF0000"/>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r>
      <w:r w:rsidR="002D4C98" w:rsidRPr="000508B6">
        <w:rPr>
          <w:rFonts w:ascii="Times New Roman" w:eastAsia="Times New Roman" w:hAnsi="Times New Roman" w:cs="Times New Roman"/>
          <w:bCs/>
          <w:lang w:val="ro-MD"/>
        </w:rPr>
        <w:t xml:space="preserve">asigurătorul sau </w:t>
      </w:r>
      <w:proofErr w:type="spellStart"/>
      <w:r w:rsidR="002D4C9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lang w:val="ro-MD"/>
        </w:rPr>
        <w:t xml:space="preserve"> notifică Băncii Naționale a Moldovei faptul că aplică măsurile tranzitorii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în prezentul </w:t>
      </w:r>
      <w:r w:rsidR="002D4C98" w:rsidRPr="000508B6">
        <w:rPr>
          <w:rFonts w:ascii="Times New Roman" w:eastAsia="Times New Roman" w:hAnsi="Times New Roman" w:cs="Times New Roman"/>
          <w:bCs/>
          <w:lang w:val="ro-MD"/>
        </w:rPr>
        <w:t>articol</w:t>
      </w:r>
      <w:r w:rsidRPr="000508B6">
        <w:rPr>
          <w:rFonts w:ascii="Times New Roman" w:eastAsia="Times New Roman" w:hAnsi="Times New Roman" w:cs="Times New Roman"/>
          <w:lang w:val="ro-MD"/>
        </w:rPr>
        <w:t xml:space="preserve">. </w:t>
      </w:r>
    </w:p>
    <w:p w14:paraId="2A1CAC10" w14:textId="4D173786" w:rsidR="00AF6308" w:rsidRPr="000508B6" w:rsidRDefault="00AF6308" w:rsidP="00AF630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lang w:val="ro-MD"/>
        </w:rPr>
        <w:t>(</w:t>
      </w:r>
      <w:r w:rsidR="002A55E5">
        <w:rPr>
          <w:rFonts w:ascii="Times New Roman" w:eastAsia="Times New Roman" w:hAnsi="Times New Roman" w:cs="Times New Roman"/>
          <w:bCs/>
          <w:lang w:val="ro-MD"/>
        </w:rPr>
        <w:t>11</w:t>
      </w:r>
      <w:r w:rsidRPr="000508B6">
        <w:rPr>
          <w:rFonts w:ascii="Times New Roman" w:eastAsia="Times New Roman" w:hAnsi="Times New Roman" w:cs="Times New Roman"/>
          <w:bCs/>
          <w:lang w:val="ro-MD"/>
        </w:rPr>
        <w:t>) Prevederile alin. (</w:t>
      </w:r>
      <w:r w:rsidR="006B1E4E">
        <w:rPr>
          <w:rFonts w:ascii="Times New Roman" w:eastAsia="Times New Roman" w:hAnsi="Times New Roman" w:cs="Times New Roman"/>
          <w:bCs/>
          <w:lang w:val="ro-MD"/>
        </w:rPr>
        <w:t>7</w:t>
      </w:r>
      <w:r w:rsidR="005A4F7E" w:rsidRPr="000508B6">
        <w:rPr>
          <w:rFonts w:ascii="Times New Roman" w:eastAsia="Times New Roman" w:hAnsi="Times New Roman" w:cs="Times New Roman"/>
          <w:bCs/>
          <w:lang w:val="ro-MD"/>
        </w:rPr>
        <w:t>)</w:t>
      </w:r>
      <w:r w:rsidR="002D4C98"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w:t>
      </w:r>
      <w:r w:rsidR="006B1E4E">
        <w:rPr>
          <w:rFonts w:ascii="Times New Roman" w:eastAsia="Times New Roman" w:hAnsi="Times New Roman" w:cs="Times New Roman"/>
          <w:bCs/>
          <w:lang w:val="ro-MD"/>
        </w:rPr>
        <w:t>9</w:t>
      </w:r>
      <w:r w:rsidRPr="000508B6">
        <w:rPr>
          <w:rFonts w:ascii="Times New Roman" w:eastAsia="Times New Roman" w:hAnsi="Times New Roman" w:cs="Times New Roman"/>
          <w:bCs/>
          <w:lang w:val="ro-MD"/>
        </w:rPr>
        <w:t xml:space="preserve">) nu împiedică </w:t>
      </w:r>
      <w:r w:rsidR="002D4C98" w:rsidRPr="000508B6">
        <w:rPr>
          <w:rFonts w:ascii="Times New Roman" w:eastAsia="Times New Roman" w:hAnsi="Times New Roman" w:cs="Times New Roman"/>
          <w:bCs/>
          <w:lang w:val="ro-MD"/>
        </w:rPr>
        <w:t xml:space="preserve">asigurătorul sau </w:t>
      </w:r>
      <w:proofErr w:type="spellStart"/>
      <w:r w:rsidR="002D4C98"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să </w:t>
      </w:r>
      <w:proofErr w:type="spellStart"/>
      <w:r w:rsidRPr="000508B6">
        <w:rPr>
          <w:rFonts w:ascii="Times New Roman" w:eastAsia="Times New Roman" w:hAnsi="Times New Roman" w:cs="Times New Roman"/>
          <w:bCs/>
          <w:lang w:val="ro-MD"/>
        </w:rPr>
        <w:t>funcţioneze</w:t>
      </w:r>
      <w:proofErr w:type="spellEnd"/>
      <w:r w:rsidRPr="000508B6">
        <w:rPr>
          <w:rFonts w:ascii="Times New Roman" w:eastAsia="Times New Roman" w:hAnsi="Times New Roman" w:cs="Times New Roman"/>
          <w:bCs/>
          <w:lang w:val="ro-MD"/>
        </w:rPr>
        <w:t xml:space="preserve"> în conformitate cu capitolele I-VI, VIII - X. </w:t>
      </w:r>
    </w:p>
    <w:p w14:paraId="2901B18A" w14:textId="2D6B6D7C" w:rsidR="00AF6308" w:rsidRPr="000508B6" w:rsidRDefault="00AF6308" w:rsidP="00AF6308">
      <w:pPr>
        <w:spacing w:after="0" w:line="240" w:lineRule="auto"/>
        <w:ind w:firstLine="426"/>
        <w:jc w:val="both"/>
        <w:rPr>
          <w:rFonts w:ascii="Times New Roman" w:eastAsia="Times New Roman" w:hAnsi="Times New Roman" w:cs="Times New Roman"/>
          <w:bCs/>
          <w:color w:val="FF0000"/>
          <w:lang w:val="ro-MD"/>
        </w:rPr>
      </w:pPr>
      <w:r w:rsidRPr="000508B6">
        <w:rPr>
          <w:rFonts w:ascii="Times New Roman" w:eastAsia="Times New Roman" w:hAnsi="Times New Roman" w:cs="Times New Roman"/>
          <w:bCs/>
          <w:lang w:val="ro-MD"/>
        </w:rPr>
        <w:t>(</w:t>
      </w:r>
      <w:r w:rsidR="002A55E5">
        <w:rPr>
          <w:rFonts w:ascii="Times New Roman" w:eastAsia="Times New Roman" w:hAnsi="Times New Roman" w:cs="Times New Roman"/>
          <w:bCs/>
          <w:lang w:val="ro-MD"/>
        </w:rPr>
        <w:t>12</w:t>
      </w:r>
      <w:r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ab/>
        <w:t xml:space="preserve"> Banca Națională a Moldovei </w:t>
      </w:r>
      <w:proofErr w:type="spellStart"/>
      <w:r w:rsidRPr="000508B6">
        <w:rPr>
          <w:rFonts w:ascii="Times New Roman" w:eastAsia="Times New Roman" w:hAnsi="Times New Roman" w:cs="Times New Roman"/>
          <w:bCs/>
          <w:lang w:val="ro-MD"/>
        </w:rPr>
        <w:t>întocmeşte</w:t>
      </w:r>
      <w:proofErr w:type="spellEnd"/>
      <w:r w:rsidRPr="000508B6">
        <w:rPr>
          <w:rFonts w:ascii="Times New Roman" w:eastAsia="Times New Roman" w:hAnsi="Times New Roman" w:cs="Times New Roman"/>
          <w:bCs/>
          <w:lang w:val="ro-MD"/>
        </w:rPr>
        <w:t xml:space="preserve"> lista cu </w:t>
      </w:r>
      <w:r w:rsidR="00B36665" w:rsidRPr="000508B6">
        <w:rPr>
          <w:rFonts w:ascii="Times New Roman" w:eastAsia="Times New Roman" w:hAnsi="Times New Roman" w:cs="Times New Roman"/>
          <w:bCs/>
          <w:lang w:val="ro-MD"/>
        </w:rPr>
        <w:t xml:space="preserve">asigurătorii </w:t>
      </w:r>
      <w:r w:rsidRPr="000508B6">
        <w:rPr>
          <w:rFonts w:ascii="Times New Roman" w:eastAsia="Times New Roman" w:hAnsi="Times New Roman" w:cs="Times New Roman"/>
          <w:bCs/>
          <w:lang w:val="ro-MD"/>
        </w:rPr>
        <w:t xml:space="preserve">și </w:t>
      </w:r>
      <w:proofErr w:type="spellStart"/>
      <w:r w:rsidR="00B36665" w:rsidRPr="000508B6">
        <w:rPr>
          <w:rFonts w:ascii="Times New Roman" w:eastAsia="Times New Roman" w:hAnsi="Times New Roman" w:cs="Times New Roman"/>
          <w:bCs/>
          <w:lang w:val="ro-MD"/>
        </w:rPr>
        <w:t>reasigurătorii</w:t>
      </w:r>
      <w:proofErr w:type="spellEnd"/>
      <w:r w:rsidR="00B36665"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 xml:space="preserve">care intră sub </w:t>
      </w:r>
      <w:proofErr w:type="spellStart"/>
      <w:r w:rsidRPr="000508B6">
        <w:rPr>
          <w:rFonts w:ascii="Times New Roman" w:eastAsia="Times New Roman" w:hAnsi="Times New Roman" w:cs="Times New Roman"/>
          <w:bCs/>
          <w:lang w:val="ro-MD"/>
        </w:rPr>
        <w:t>incidenţa</w:t>
      </w:r>
      <w:proofErr w:type="spellEnd"/>
      <w:r w:rsidRPr="000508B6">
        <w:rPr>
          <w:rFonts w:ascii="Times New Roman" w:eastAsia="Times New Roman" w:hAnsi="Times New Roman" w:cs="Times New Roman"/>
          <w:bCs/>
          <w:lang w:val="ro-MD"/>
        </w:rPr>
        <w:t xml:space="preserve"> alin. (</w:t>
      </w:r>
      <w:r w:rsidR="006B1E4E">
        <w:rPr>
          <w:rFonts w:ascii="Times New Roman" w:eastAsia="Times New Roman" w:hAnsi="Times New Roman" w:cs="Times New Roman"/>
          <w:bCs/>
          <w:lang w:val="ro-MD"/>
        </w:rPr>
        <w:t>7</w:t>
      </w:r>
      <w:r w:rsidRPr="000508B6">
        <w:rPr>
          <w:rFonts w:ascii="Times New Roman" w:eastAsia="Times New Roman" w:hAnsi="Times New Roman" w:cs="Times New Roman"/>
          <w:bCs/>
          <w:lang w:val="ro-MD"/>
        </w:rPr>
        <w:t xml:space="preserve">) </w:t>
      </w:r>
      <w:r w:rsidR="002D4C98"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w:t>
      </w:r>
      <w:r w:rsidR="006B1E4E">
        <w:rPr>
          <w:rFonts w:ascii="Times New Roman" w:eastAsia="Times New Roman" w:hAnsi="Times New Roman" w:cs="Times New Roman"/>
          <w:bCs/>
          <w:lang w:val="ro-MD"/>
        </w:rPr>
        <w:t>9</w:t>
      </w:r>
      <w:r w:rsidRPr="000508B6">
        <w:rPr>
          <w:rFonts w:ascii="Times New Roman" w:eastAsia="Times New Roman" w:hAnsi="Times New Roman" w:cs="Times New Roman"/>
          <w:bCs/>
          <w:lang w:val="ro-MD"/>
        </w:rPr>
        <w:t xml:space="preserve">) și o transmite </w:t>
      </w:r>
      <w:r w:rsidR="00400558" w:rsidRPr="000508B6">
        <w:rPr>
          <w:rFonts w:ascii="Times New Roman" w:eastAsia="Times New Roman" w:hAnsi="Times New Roman" w:cs="Times New Roman"/>
          <w:bCs/>
          <w:lang w:val="ro-MD"/>
        </w:rPr>
        <w:t xml:space="preserve">celorlalți </w:t>
      </w:r>
      <w:r w:rsidRPr="000508B6">
        <w:rPr>
          <w:rFonts w:ascii="Times New Roman" w:eastAsia="Times New Roman" w:hAnsi="Times New Roman" w:cs="Times New Roman"/>
          <w:bCs/>
          <w:lang w:val="ro-MD"/>
        </w:rPr>
        <w:t>supraveghetori</w:t>
      </w:r>
      <w:r w:rsidR="00400558"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w:t>
      </w:r>
    </w:p>
    <w:p w14:paraId="5E5CEA1C" w14:textId="35DBAB8B" w:rsidR="00AF6308" w:rsidRPr="000508B6" w:rsidRDefault="00AF6308" w:rsidP="00AF630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w:t>
      </w:r>
      <w:r w:rsidR="002A55E5">
        <w:rPr>
          <w:rFonts w:ascii="Times New Roman" w:eastAsia="Times New Roman" w:hAnsi="Times New Roman" w:cs="Times New Roman"/>
          <w:bCs/>
          <w:lang w:val="ro-MD"/>
        </w:rPr>
        <w:t>13</w:t>
      </w:r>
      <w:r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ab/>
        <w:t xml:space="preserve">Fără a aduce atingere art. 64 și art. 67, parametrii standard care urmează să fie utilizați la calcularea </w:t>
      </w:r>
      <w:proofErr w:type="spellStart"/>
      <w:r w:rsidRPr="000508B6">
        <w:rPr>
          <w:rFonts w:ascii="Times New Roman" w:eastAsia="Times New Roman" w:hAnsi="Times New Roman" w:cs="Times New Roman"/>
          <w:bCs/>
          <w:lang w:val="ro-MD"/>
        </w:rPr>
        <w:t>submodulelor</w:t>
      </w:r>
      <w:proofErr w:type="spellEnd"/>
      <w:r w:rsidRPr="000508B6">
        <w:rPr>
          <w:rFonts w:ascii="Times New Roman" w:eastAsia="Times New Roman" w:hAnsi="Times New Roman" w:cs="Times New Roman"/>
          <w:bCs/>
          <w:lang w:val="ro-MD"/>
        </w:rPr>
        <w:t xml:space="preserve"> „risc de concentrare a riscurilor de piață” și „risc de marjă de credit” în conformitate cu formula standard sunt</w:t>
      </w:r>
      <w:r w:rsidR="00EB07BC" w:rsidRPr="000508B6">
        <w:rPr>
          <w:rFonts w:ascii="Times New Roman" w:eastAsia="Times New Roman" w:hAnsi="Times New Roman" w:cs="Times New Roman"/>
          <w:bCs/>
          <w:lang w:val="ro-MD"/>
        </w:rPr>
        <w:t xml:space="preserve"> aceiași cu cei care s-ar aplica expunerilor exprimate și finanțate în </w:t>
      </w:r>
      <w:r w:rsidR="00EB07BC" w:rsidRPr="000508B6">
        <w:rPr>
          <w:rFonts w:ascii="Times New Roman" w:eastAsia="Times New Roman" w:hAnsi="Times New Roman" w:cs="Times New Roman"/>
          <w:bCs/>
          <w:lang w:val="ro-MD"/>
        </w:rPr>
        <w:lastRenderedPageBreak/>
        <w:t>lei moldovenești</w:t>
      </w:r>
      <w:r w:rsidRPr="000508B6">
        <w:rPr>
          <w:rFonts w:ascii="Times New Roman" w:eastAsia="Times New Roman" w:hAnsi="Times New Roman" w:cs="Times New Roman"/>
          <w:bCs/>
          <w:lang w:val="ro-MD"/>
        </w:rPr>
        <w:t xml:space="preserve">, în cazul expunerilor față de administrațiile centrale sau băncile centrale ale statelor membre asumate înainte de 1 ianuarie </w:t>
      </w:r>
      <w:r w:rsidR="002916E6" w:rsidRPr="000508B6">
        <w:rPr>
          <w:rFonts w:ascii="Times New Roman" w:eastAsia="Times New Roman" w:hAnsi="Times New Roman" w:cs="Times New Roman"/>
          <w:bCs/>
          <w:lang w:val="ro-MD"/>
        </w:rPr>
        <w:t xml:space="preserve">2029 </w:t>
      </w:r>
      <w:r w:rsidRPr="000508B6">
        <w:rPr>
          <w:rFonts w:ascii="Times New Roman" w:eastAsia="Times New Roman" w:hAnsi="Times New Roman" w:cs="Times New Roman"/>
          <w:bCs/>
          <w:lang w:val="ro-MD"/>
        </w:rPr>
        <w:t>și exprimate și finanțate în moneda națională a oricărui fiecărui stat membru</w:t>
      </w:r>
      <w:r w:rsidR="00EB07BC" w:rsidRPr="000508B6">
        <w:rPr>
          <w:rFonts w:ascii="Times New Roman" w:eastAsia="Times New Roman" w:hAnsi="Times New Roman" w:cs="Times New Roman"/>
          <w:bCs/>
          <w:lang w:val="ro-MD"/>
        </w:rPr>
        <w:t>.</w:t>
      </w:r>
      <w:r w:rsidRPr="000508B6">
        <w:rPr>
          <w:rFonts w:ascii="Times New Roman" w:eastAsia="Times New Roman" w:hAnsi="Times New Roman" w:cs="Times New Roman"/>
          <w:bCs/>
          <w:lang w:val="ro-MD"/>
        </w:rPr>
        <w:t xml:space="preserve"> </w:t>
      </w:r>
    </w:p>
    <w:p w14:paraId="2299150E" w14:textId="77777777" w:rsidR="003607A6" w:rsidRPr="000508B6" w:rsidRDefault="003607A6" w:rsidP="00040848">
      <w:pPr>
        <w:spacing w:after="0" w:line="240" w:lineRule="auto"/>
        <w:ind w:firstLine="426"/>
        <w:jc w:val="both"/>
        <w:rPr>
          <w:rFonts w:ascii="Times New Roman" w:eastAsia="Times New Roman" w:hAnsi="Times New Roman" w:cs="Times New Roman"/>
          <w:bCs/>
          <w:lang w:val="ro-MD"/>
        </w:rPr>
      </w:pPr>
    </w:p>
    <w:p w14:paraId="291F6605" w14:textId="79319DB2" w:rsidR="00040848" w:rsidRPr="000508B6" w:rsidRDefault="00040848" w:rsidP="00040848">
      <w:pPr>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Articolul 201</w:t>
      </w:r>
      <w:r w:rsidR="004C0E0C" w:rsidRPr="000508B6">
        <w:rPr>
          <w:rFonts w:ascii="Times New Roman" w:eastAsia="Times New Roman" w:hAnsi="Times New Roman" w:cs="Times New Roman"/>
          <w:b/>
          <w:lang w:val="ro-MD"/>
        </w:rPr>
        <w:t>.</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Planul pentru respectarea SCR prin utilizarea măsurilor tranzitorii</w:t>
      </w:r>
    </w:p>
    <w:p w14:paraId="0399C28A" w14:textId="4750D008" w:rsidR="00040848" w:rsidRPr="000508B6" w:rsidRDefault="00040848" w:rsidP="0004084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(1) </w:t>
      </w:r>
      <w:r w:rsidR="003317C8" w:rsidRPr="000508B6">
        <w:rPr>
          <w:rFonts w:ascii="Times New Roman" w:eastAsia="Times New Roman" w:hAnsi="Times New Roman" w:cs="Times New Roman"/>
          <w:bCs/>
          <w:lang w:val="ro-MD"/>
        </w:rPr>
        <w:t xml:space="preserve">Asigurătorul sau </w:t>
      </w:r>
      <w:proofErr w:type="spellStart"/>
      <w:r w:rsidR="003317C8" w:rsidRPr="000508B6">
        <w:rPr>
          <w:rFonts w:ascii="Times New Roman" w:eastAsia="Times New Roman" w:hAnsi="Times New Roman" w:cs="Times New Roman"/>
          <w:bCs/>
          <w:lang w:val="ro-MD"/>
        </w:rPr>
        <w:t>reasigurătorul</w:t>
      </w:r>
      <w:proofErr w:type="spellEnd"/>
      <w:r w:rsidR="003317C8"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care aplică măsura tranzitorie de la</w:t>
      </w:r>
      <w:r w:rsidR="00F8362F" w:rsidRPr="000508B6">
        <w:rPr>
          <w:rFonts w:ascii="Times New Roman" w:eastAsia="Times New Roman" w:hAnsi="Times New Roman" w:cs="Times New Roman"/>
          <w:bCs/>
          <w:lang w:val="ro-MD"/>
        </w:rPr>
        <w:t xml:space="preserve"> art. </w:t>
      </w:r>
      <w:r w:rsidRPr="000508B6">
        <w:rPr>
          <w:rFonts w:ascii="Times New Roman" w:eastAsia="Times New Roman" w:hAnsi="Times New Roman" w:cs="Times New Roman"/>
          <w:bCs/>
          <w:lang w:val="ro-MD"/>
        </w:rPr>
        <w:t xml:space="preserve"> 44 alin. (</w:t>
      </w:r>
      <w:r w:rsidR="00672604" w:rsidRPr="000508B6">
        <w:rPr>
          <w:rFonts w:ascii="Times New Roman" w:eastAsia="Times New Roman" w:hAnsi="Times New Roman" w:cs="Times New Roman"/>
          <w:bCs/>
          <w:lang w:val="ro-MD"/>
        </w:rPr>
        <w:t>10</w:t>
      </w:r>
      <w:r w:rsidRPr="000508B6">
        <w:rPr>
          <w:rFonts w:ascii="Times New Roman" w:eastAsia="Times New Roman" w:hAnsi="Times New Roman" w:cs="Times New Roman"/>
          <w:bCs/>
          <w:lang w:val="ro-MD"/>
        </w:rPr>
        <w:t>)</w:t>
      </w:r>
      <w:r w:rsidR="00E54555" w:rsidRPr="000508B6">
        <w:rPr>
          <w:rFonts w:ascii="Times New Roman" w:eastAsia="Times New Roman" w:hAnsi="Times New Roman" w:cs="Times New Roman"/>
          <w:bCs/>
          <w:lang w:val="ro-MD"/>
        </w:rPr>
        <w:t xml:space="preserve"> și</w:t>
      </w:r>
      <w:r w:rsidRPr="000508B6">
        <w:rPr>
          <w:rFonts w:ascii="Times New Roman" w:eastAsia="Times New Roman" w:hAnsi="Times New Roman" w:cs="Times New Roman"/>
          <w:bCs/>
          <w:lang w:val="ro-MD"/>
        </w:rPr>
        <w:t xml:space="preserve"> cele din actele normative ale </w:t>
      </w:r>
      <w:r w:rsidR="003317C8" w:rsidRPr="000508B6">
        <w:rPr>
          <w:rFonts w:ascii="Times New Roman" w:eastAsia="Times New Roman" w:hAnsi="Times New Roman" w:cs="Times New Roman"/>
          <w:bCs/>
          <w:lang w:val="ro-MD"/>
        </w:rPr>
        <w:t>Băncii Naționale a Moldovei</w:t>
      </w:r>
      <w:r w:rsidRPr="000508B6">
        <w:rPr>
          <w:rFonts w:ascii="Times New Roman" w:eastAsia="Times New Roman" w:hAnsi="Times New Roman" w:cs="Times New Roman"/>
          <w:bCs/>
          <w:lang w:val="ro-MD"/>
        </w:rPr>
        <w:t xml:space="preserve">, informează Banca Națională a Moldovei de îndată ce constată că nu vor respecta SCR fără aplicarea măsurilor respective. Banca Națională a Moldovei solicită </w:t>
      </w:r>
      <w:r w:rsidR="003317C8" w:rsidRPr="000508B6">
        <w:rPr>
          <w:rFonts w:ascii="Times New Roman" w:eastAsia="Times New Roman" w:hAnsi="Times New Roman" w:cs="Times New Roman"/>
          <w:bCs/>
          <w:lang w:val="ro-MD"/>
        </w:rPr>
        <w:t xml:space="preserve">asigurătorului sau </w:t>
      </w:r>
      <w:proofErr w:type="spellStart"/>
      <w:r w:rsidR="003317C8" w:rsidRPr="000508B6">
        <w:rPr>
          <w:rFonts w:ascii="Times New Roman" w:eastAsia="Times New Roman" w:hAnsi="Times New Roman" w:cs="Times New Roman"/>
          <w:bCs/>
          <w:lang w:val="ro-MD"/>
        </w:rPr>
        <w:t>reasigurătorului</w:t>
      </w:r>
      <w:proofErr w:type="spellEnd"/>
      <w:r w:rsidRPr="000508B6">
        <w:rPr>
          <w:rFonts w:ascii="Times New Roman" w:eastAsia="Times New Roman" w:hAnsi="Times New Roman" w:cs="Times New Roman"/>
          <w:bCs/>
          <w:lang w:val="ro-MD"/>
        </w:rPr>
        <w:t xml:space="preserve"> să ia măsurile necesare pentru a asigura respectarea SCR la sfârșitul perioadei de tranziție.</w:t>
      </w:r>
    </w:p>
    <w:p w14:paraId="51C7A9F1" w14:textId="6CE266EE" w:rsidR="00040848" w:rsidRPr="000508B6" w:rsidRDefault="00040848" w:rsidP="0004084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(2) În termen de două luni de la notificarea </w:t>
      </w:r>
      <w:proofErr w:type="spellStart"/>
      <w:r w:rsidRPr="000508B6">
        <w:rPr>
          <w:rFonts w:ascii="Times New Roman" w:eastAsia="Times New Roman" w:hAnsi="Times New Roman" w:cs="Times New Roman"/>
          <w:bCs/>
          <w:lang w:val="ro-MD"/>
        </w:rPr>
        <w:t>menţionată</w:t>
      </w:r>
      <w:proofErr w:type="spellEnd"/>
      <w:r w:rsidRPr="000508B6">
        <w:rPr>
          <w:rFonts w:ascii="Times New Roman" w:eastAsia="Times New Roman" w:hAnsi="Times New Roman" w:cs="Times New Roman"/>
          <w:bCs/>
          <w:lang w:val="ro-MD"/>
        </w:rPr>
        <w:t xml:space="preserve"> la alin. (1), </w:t>
      </w:r>
      <w:r w:rsidR="007D474D" w:rsidRPr="000508B6">
        <w:rPr>
          <w:rFonts w:ascii="Times New Roman" w:eastAsia="Times New Roman" w:hAnsi="Times New Roman" w:cs="Times New Roman"/>
          <w:bCs/>
          <w:lang w:val="ro-MD"/>
        </w:rPr>
        <w:t>asigurătorul</w:t>
      </w:r>
      <w:r w:rsidRPr="000508B6">
        <w:rPr>
          <w:rFonts w:ascii="Times New Roman" w:eastAsia="Times New Roman" w:hAnsi="Times New Roman" w:cs="Times New Roman"/>
          <w:bCs/>
          <w:lang w:val="ro-MD"/>
        </w:rPr>
        <w:t xml:space="preserve"> sau </w:t>
      </w:r>
      <w:proofErr w:type="spellStart"/>
      <w:r w:rsidR="007D474D" w:rsidRPr="000508B6">
        <w:rPr>
          <w:rFonts w:ascii="Times New Roman" w:eastAsia="Times New Roman" w:hAnsi="Times New Roman" w:cs="Times New Roman"/>
          <w:bCs/>
          <w:lang w:val="ro-MD"/>
        </w:rPr>
        <w:t>reasigurătorul</w:t>
      </w:r>
      <w:proofErr w:type="spellEnd"/>
      <w:r w:rsidR="007D474D" w:rsidRPr="000508B6">
        <w:rPr>
          <w:rFonts w:ascii="Times New Roman" w:eastAsia="Times New Roman" w:hAnsi="Times New Roman" w:cs="Times New Roman"/>
          <w:bCs/>
          <w:lang w:val="ro-MD"/>
        </w:rPr>
        <w:t xml:space="preserve"> </w:t>
      </w:r>
      <w:r w:rsidRPr="000508B6">
        <w:rPr>
          <w:rFonts w:ascii="Times New Roman" w:eastAsia="Times New Roman" w:hAnsi="Times New Roman" w:cs="Times New Roman"/>
          <w:bCs/>
          <w:lang w:val="ro-MD"/>
        </w:rPr>
        <w:t>transmit</w:t>
      </w:r>
      <w:r w:rsidR="007D474D" w:rsidRPr="000508B6">
        <w:rPr>
          <w:rFonts w:ascii="Times New Roman" w:eastAsia="Times New Roman" w:hAnsi="Times New Roman" w:cs="Times New Roman"/>
          <w:bCs/>
          <w:lang w:val="ro-MD"/>
        </w:rPr>
        <w:t>e</w:t>
      </w:r>
      <w:r w:rsidRPr="000508B6">
        <w:rPr>
          <w:rFonts w:ascii="Times New Roman" w:eastAsia="Times New Roman" w:hAnsi="Times New Roman" w:cs="Times New Roman"/>
          <w:bCs/>
          <w:lang w:val="ro-MD"/>
        </w:rPr>
        <w:t xml:space="preserve"> Băncii Naționale a Moldovei un plan de introducere treptată a măsurilor pentru restabilirea nivelului fondurilor proprii eligibile care să acopere SCR sau pentru reducerea profilului de risc, astfel încât, la </w:t>
      </w:r>
      <w:proofErr w:type="spellStart"/>
      <w:r w:rsidRPr="000508B6">
        <w:rPr>
          <w:rFonts w:ascii="Times New Roman" w:eastAsia="Times New Roman" w:hAnsi="Times New Roman" w:cs="Times New Roman"/>
          <w:bCs/>
          <w:lang w:val="ro-MD"/>
        </w:rPr>
        <w:t>sfârşitul</w:t>
      </w:r>
      <w:proofErr w:type="spellEnd"/>
      <w:r w:rsidRPr="000508B6">
        <w:rPr>
          <w:rFonts w:ascii="Times New Roman" w:eastAsia="Times New Roman" w:hAnsi="Times New Roman" w:cs="Times New Roman"/>
          <w:bCs/>
          <w:lang w:val="ro-MD"/>
        </w:rPr>
        <w:t xml:space="preserve"> perioadei de </w:t>
      </w:r>
      <w:proofErr w:type="spellStart"/>
      <w:r w:rsidRPr="000508B6">
        <w:rPr>
          <w:rFonts w:ascii="Times New Roman" w:eastAsia="Times New Roman" w:hAnsi="Times New Roman" w:cs="Times New Roman"/>
          <w:bCs/>
          <w:lang w:val="ro-MD"/>
        </w:rPr>
        <w:t>tranziţie</w:t>
      </w:r>
      <w:proofErr w:type="spellEnd"/>
      <w:r w:rsidRPr="000508B6">
        <w:rPr>
          <w:rFonts w:ascii="Times New Roman" w:eastAsia="Times New Roman" w:hAnsi="Times New Roman" w:cs="Times New Roman"/>
          <w:bCs/>
          <w:lang w:val="ro-MD"/>
        </w:rPr>
        <w:t xml:space="preserve">, SCR să fie respectată. Planul respectiv este actualizat în etapele de </w:t>
      </w:r>
      <w:proofErr w:type="spellStart"/>
      <w:r w:rsidRPr="000508B6">
        <w:rPr>
          <w:rFonts w:ascii="Times New Roman" w:eastAsia="Times New Roman" w:hAnsi="Times New Roman" w:cs="Times New Roman"/>
          <w:bCs/>
          <w:lang w:val="ro-MD"/>
        </w:rPr>
        <w:t>tranziţie</w:t>
      </w:r>
      <w:proofErr w:type="spellEnd"/>
      <w:r w:rsidRPr="000508B6">
        <w:rPr>
          <w:rFonts w:ascii="Times New Roman" w:eastAsia="Times New Roman" w:hAnsi="Times New Roman" w:cs="Times New Roman"/>
          <w:bCs/>
          <w:lang w:val="ro-MD"/>
        </w:rPr>
        <w:t>.</w:t>
      </w:r>
    </w:p>
    <w:p w14:paraId="17FCBE14" w14:textId="1BB1E0D8" w:rsidR="00040848" w:rsidRPr="000508B6" w:rsidRDefault="00040848" w:rsidP="0004084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(3) Asigurătorul sau </w:t>
      </w:r>
      <w:proofErr w:type="spellStart"/>
      <w:r w:rsidRPr="000508B6">
        <w:rPr>
          <w:rFonts w:ascii="Times New Roman" w:eastAsia="Times New Roman" w:hAnsi="Times New Roman" w:cs="Times New Roman"/>
          <w:bCs/>
          <w:lang w:val="ro-MD"/>
        </w:rPr>
        <w:t>reasigurătorul</w:t>
      </w:r>
      <w:proofErr w:type="spellEnd"/>
      <w:r w:rsidRPr="000508B6">
        <w:rPr>
          <w:rFonts w:ascii="Times New Roman" w:eastAsia="Times New Roman" w:hAnsi="Times New Roman" w:cs="Times New Roman"/>
          <w:bCs/>
          <w:lang w:val="ro-MD"/>
        </w:rPr>
        <w:t xml:space="preserve"> transmite anual Băncii Naționale a Moldovei un raport cu măsurile adoptate </w:t>
      </w:r>
      <w:proofErr w:type="spellStart"/>
      <w:r w:rsidRPr="000508B6">
        <w:rPr>
          <w:rFonts w:ascii="Times New Roman" w:eastAsia="Times New Roman" w:hAnsi="Times New Roman" w:cs="Times New Roman"/>
          <w:bCs/>
          <w:lang w:val="ro-MD"/>
        </w:rPr>
        <w:t>şi</w:t>
      </w:r>
      <w:proofErr w:type="spellEnd"/>
      <w:r w:rsidRPr="000508B6">
        <w:rPr>
          <w:rFonts w:ascii="Times New Roman" w:eastAsia="Times New Roman" w:hAnsi="Times New Roman" w:cs="Times New Roman"/>
          <w:bCs/>
          <w:lang w:val="ro-MD"/>
        </w:rPr>
        <w:t xml:space="preserve"> progresele realizate conform planului </w:t>
      </w:r>
      <w:proofErr w:type="spellStart"/>
      <w:r w:rsidRPr="000508B6">
        <w:rPr>
          <w:rFonts w:ascii="Times New Roman" w:eastAsia="Times New Roman" w:hAnsi="Times New Roman" w:cs="Times New Roman"/>
          <w:bCs/>
          <w:lang w:val="ro-MD"/>
        </w:rPr>
        <w:t>menţionat</w:t>
      </w:r>
      <w:proofErr w:type="spellEnd"/>
      <w:r w:rsidRPr="000508B6">
        <w:rPr>
          <w:rFonts w:ascii="Times New Roman" w:eastAsia="Times New Roman" w:hAnsi="Times New Roman" w:cs="Times New Roman"/>
          <w:bCs/>
          <w:lang w:val="ro-MD"/>
        </w:rPr>
        <w:t xml:space="preserve"> la alin. (2).</w:t>
      </w:r>
    </w:p>
    <w:p w14:paraId="51DDBD5F" w14:textId="6B1D9AD4" w:rsidR="00040848" w:rsidRPr="000508B6" w:rsidRDefault="00040848" w:rsidP="00040848">
      <w:pPr>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(4) Banca Națională a Moldovei retrage aprobarea acordată privind aplicarea măsurilor tranzitorii, în cazul în care din raportul </w:t>
      </w:r>
      <w:proofErr w:type="spellStart"/>
      <w:r w:rsidRPr="000508B6">
        <w:rPr>
          <w:rFonts w:ascii="Times New Roman" w:eastAsia="Times New Roman" w:hAnsi="Times New Roman" w:cs="Times New Roman"/>
          <w:bCs/>
          <w:lang w:val="ro-MD"/>
        </w:rPr>
        <w:t>menţionat</w:t>
      </w:r>
      <w:proofErr w:type="spellEnd"/>
      <w:r w:rsidRPr="000508B6">
        <w:rPr>
          <w:rFonts w:ascii="Times New Roman" w:eastAsia="Times New Roman" w:hAnsi="Times New Roman" w:cs="Times New Roman"/>
          <w:bCs/>
          <w:lang w:val="ro-MD"/>
        </w:rPr>
        <w:t xml:space="preserve"> la alin. (3) </w:t>
      </w:r>
      <w:r w:rsidR="002724CD" w:rsidRPr="000508B6">
        <w:rPr>
          <w:rFonts w:ascii="Times New Roman" w:eastAsia="Times New Roman" w:hAnsi="Times New Roman" w:cs="Times New Roman"/>
          <w:bCs/>
          <w:lang w:val="ro-MD"/>
        </w:rPr>
        <w:t>constată</w:t>
      </w:r>
      <w:r w:rsidRPr="000508B6">
        <w:rPr>
          <w:rFonts w:ascii="Times New Roman" w:eastAsia="Times New Roman" w:hAnsi="Times New Roman" w:cs="Times New Roman"/>
          <w:bCs/>
          <w:lang w:val="ro-MD"/>
        </w:rPr>
        <w:t xml:space="preserve"> că respectarea SCR la finalul etapelor de </w:t>
      </w:r>
      <w:proofErr w:type="spellStart"/>
      <w:r w:rsidRPr="000508B6">
        <w:rPr>
          <w:rFonts w:ascii="Times New Roman" w:eastAsia="Times New Roman" w:hAnsi="Times New Roman" w:cs="Times New Roman"/>
          <w:bCs/>
          <w:lang w:val="ro-MD"/>
        </w:rPr>
        <w:t>tranziţie</w:t>
      </w:r>
      <w:proofErr w:type="spellEnd"/>
      <w:r w:rsidRPr="000508B6">
        <w:rPr>
          <w:rFonts w:ascii="Times New Roman" w:eastAsia="Times New Roman" w:hAnsi="Times New Roman" w:cs="Times New Roman"/>
          <w:bCs/>
          <w:lang w:val="ro-MD"/>
        </w:rPr>
        <w:t xml:space="preserve"> este nerealistă.</w:t>
      </w:r>
    </w:p>
    <w:p w14:paraId="5C649549" w14:textId="77777777" w:rsidR="002A0827" w:rsidRPr="000508B6" w:rsidRDefault="002A0827" w:rsidP="008B530F">
      <w:pPr>
        <w:spacing w:after="0" w:line="240" w:lineRule="auto"/>
        <w:ind w:firstLine="426"/>
        <w:jc w:val="both"/>
        <w:rPr>
          <w:rFonts w:ascii="Times New Roman" w:eastAsia="Times New Roman" w:hAnsi="Times New Roman" w:cs="Times New Roman"/>
          <w:b/>
          <w:lang w:val="ro-MD"/>
        </w:rPr>
      </w:pPr>
    </w:p>
    <w:p w14:paraId="6C8B3E07" w14:textId="77777777" w:rsidR="00A159C6" w:rsidRPr="000508B6" w:rsidRDefault="00A159C6" w:rsidP="008B530F">
      <w:pPr>
        <w:tabs>
          <w:tab w:val="left" w:pos="851"/>
        </w:tabs>
        <w:spacing w:after="0" w:line="240" w:lineRule="auto"/>
        <w:ind w:firstLine="426"/>
        <w:jc w:val="right"/>
        <w:rPr>
          <w:rFonts w:ascii="Times New Roman" w:eastAsia="Times New Roman" w:hAnsi="Times New Roman" w:cs="Times New Roman"/>
          <w:lang w:val="ro-MD"/>
        </w:rPr>
      </w:pPr>
      <w:bookmarkStart w:id="196" w:name="_Hlk179207153"/>
    </w:p>
    <w:p w14:paraId="7F2BF082" w14:textId="4873FC0D" w:rsidR="00A159C6" w:rsidRPr="000508B6" w:rsidRDefault="00DF5F68">
      <w:pPr>
        <w:rPr>
          <w:rFonts w:ascii="Times New Roman" w:eastAsia="Times New Roman" w:hAnsi="Times New Roman" w:cs="Times New Roman"/>
          <w:lang w:val="ro-MD"/>
        </w:rPr>
      </w:pPr>
      <w:r w:rsidRPr="000508B6">
        <w:rPr>
          <w:rFonts w:ascii="Times New Roman" w:eastAsia="Times New Roman" w:hAnsi="Times New Roman" w:cs="Times New Roman"/>
          <w:lang w:val="ro-MD"/>
        </w:rPr>
        <w:br w:type="page"/>
      </w:r>
    </w:p>
    <w:p w14:paraId="09FC37BE" w14:textId="12F61F24" w:rsidR="00F43B28" w:rsidRPr="000508B6" w:rsidRDefault="00E81DE7" w:rsidP="008B530F">
      <w:pPr>
        <w:tabs>
          <w:tab w:val="left" w:pos="851"/>
        </w:tabs>
        <w:spacing w:after="0" w:line="240" w:lineRule="auto"/>
        <w:ind w:firstLine="426"/>
        <w:jc w:val="right"/>
        <w:rPr>
          <w:rFonts w:ascii="Times New Roman" w:eastAsia="Times New Roman" w:hAnsi="Times New Roman" w:cs="Times New Roman"/>
          <w:lang w:val="ro-MD"/>
        </w:rPr>
      </w:pPr>
      <w:bookmarkStart w:id="197" w:name="_Hlk203036253"/>
      <w:r w:rsidRPr="000508B6">
        <w:rPr>
          <w:rFonts w:ascii="Times New Roman" w:eastAsia="Times New Roman" w:hAnsi="Times New Roman" w:cs="Times New Roman"/>
          <w:lang w:val="ro-MD"/>
        </w:rPr>
        <w:lastRenderedPageBreak/>
        <w:t>Anexa nr</w:t>
      </w:r>
      <w:r w:rsidR="00F95829" w:rsidRPr="000508B6">
        <w:rPr>
          <w:rFonts w:ascii="Times New Roman" w:eastAsia="Times New Roman" w:hAnsi="Times New Roman" w:cs="Times New Roman"/>
          <w:lang w:val="ro-MD"/>
        </w:rPr>
        <w:t>. 1</w:t>
      </w:r>
    </w:p>
    <w:p w14:paraId="5C036690" w14:textId="380BE361" w:rsidR="00F95829" w:rsidRPr="000508B6" w:rsidRDefault="00F43B28" w:rsidP="008B530F">
      <w:pPr>
        <w:tabs>
          <w:tab w:val="left" w:pos="851"/>
        </w:tabs>
        <w:spacing w:after="0" w:line="240" w:lineRule="auto"/>
        <w:ind w:firstLine="426"/>
        <w:jc w:val="right"/>
        <w:rPr>
          <w:rFonts w:ascii="Times New Roman" w:eastAsia="Times New Roman" w:hAnsi="Times New Roman" w:cs="Times New Roman"/>
          <w:lang w:val="ro-MD"/>
        </w:rPr>
      </w:pPr>
      <w:r w:rsidRPr="000508B6">
        <w:rPr>
          <w:rFonts w:ascii="Times New Roman" w:eastAsia="Times New Roman" w:hAnsi="Times New Roman" w:cs="Times New Roman"/>
          <w:lang w:val="ro-MD"/>
        </w:rPr>
        <w:t>Clasele de asigurare</w:t>
      </w:r>
      <w:r w:rsidR="002A1AB3" w:rsidRPr="000508B6">
        <w:rPr>
          <w:rFonts w:ascii="Times New Roman" w:eastAsia="Times New Roman" w:hAnsi="Times New Roman" w:cs="Times New Roman"/>
          <w:lang w:val="ro-MD"/>
        </w:rPr>
        <w:t xml:space="preserve"> generală</w:t>
      </w:r>
      <w:r w:rsidRPr="000508B6">
        <w:rPr>
          <w:rFonts w:ascii="Times New Roman" w:eastAsia="Times New Roman" w:hAnsi="Times New Roman" w:cs="Times New Roman"/>
          <w:lang w:val="ro-MD"/>
        </w:rPr>
        <w:t xml:space="preserve">  </w:t>
      </w:r>
    </w:p>
    <w:bookmarkEnd w:id="197"/>
    <w:p w14:paraId="500D38E8" w14:textId="77777777" w:rsidR="00947506" w:rsidRPr="000508B6" w:rsidRDefault="00947506" w:rsidP="003E3BBB">
      <w:pPr>
        <w:tabs>
          <w:tab w:val="left" w:pos="851"/>
        </w:tabs>
        <w:spacing w:after="0" w:line="240" w:lineRule="auto"/>
        <w:ind w:firstLine="426"/>
        <w:jc w:val="center"/>
        <w:rPr>
          <w:rFonts w:ascii="Times New Roman" w:eastAsia="Times New Roman" w:hAnsi="Times New Roman" w:cs="Times New Roman"/>
          <w:b/>
          <w:lang w:val="ro-MD"/>
        </w:rPr>
      </w:pPr>
    </w:p>
    <w:p w14:paraId="18DFDD58" w14:textId="12833ECF" w:rsidR="00F95829" w:rsidRPr="000508B6" w:rsidRDefault="009C36DF" w:rsidP="003E3BBB">
      <w:pPr>
        <w:tabs>
          <w:tab w:val="left" w:pos="851"/>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CLASELE DE ASIGURARE GENERALĂ</w:t>
      </w:r>
    </w:p>
    <w:bookmarkEnd w:id="196"/>
    <w:p w14:paraId="5F3B44B8" w14:textId="77777777" w:rsidR="00F95829" w:rsidRPr="000508B6" w:rsidRDefault="00F95829" w:rsidP="008B530F">
      <w:pPr>
        <w:tabs>
          <w:tab w:val="left" w:pos="851"/>
        </w:tabs>
        <w:spacing w:after="0" w:line="240" w:lineRule="auto"/>
        <w:ind w:firstLine="426"/>
        <w:jc w:val="center"/>
        <w:rPr>
          <w:rFonts w:ascii="Times New Roman" w:eastAsia="Times New Roman" w:hAnsi="Times New Roman" w:cs="Times New Roman"/>
          <w:b/>
          <w:lang w:val="ro-MD"/>
        </w:rPr>
      </w:pPr>
    </w:p>
    <w:p w14:paraId="7FC8392E" w14:textId="77777777" w:rsidR="00F95829" w:rsidRPr="000508B6" w:rsidRDefault="00F95829" w:rsidP="008B530F">
      <w:pPr>
        <w:tabs>
          <w:tab w:val="left" w:pos="851"/>
        </w:tabs>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A</w:t>
      </w:r>
    </w:p>
    <w:p w14:paraId="3F46A0F5" w14:textId="2FF284F4" w:rsidR="00F95829" w:rsidRPr="000508B6" w:rsidRDefault="00F43B28" w:rsidP="008B530F">
      <w:pPr>
        <w:tabs>
          <w:tab w:val="left" w:pos="851"/>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Clasificarea riscurilor pe clase de a</w:t>
      </w:r>
      <w:r w:rsidR="00F95829" w:rsidRPr="000508B6">
        <w:rPr>
          <w:rFonts w:ascii="Times New Roman" w:eastAsia="Times New Roman" w:hAnsi="Times New Roman" w:cs="Times New Roman"/>
          <w:b/>
          <w:lang w:val="ro-MD"/>
        </w:rPr>
        <w:t>sigur</w:t>
      </w:r>
      <w:r w:rsidRPr="000508B6">
        <w:rPr>
          <w:rFonts w:ascii="Times New Roman" w:eastAsia="Times New Roman" w:hAnsi="Times New Roman" w:cs="Times New Roman"/>
          <w:b/>
          <w:lang w:val="ro-MD"/>
        </w:rPr>
        <w:t>are</w:t>
      </w:r>
    </w:p>
    <w:p w14:paraId="0958E932" w14:textId="40C7B332"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bookmarkStart w:id="198" w:name="_Hlk221889973"/>
      <w:r w:rsidRPr="000508B6">
        <w:rPr>
          <w:rFonts w:ascii="Times New Roman" w:eastAsia="Times New Roman" w:hAnsi="Times New Roman" w:cs="Times New Roman"/>
          <w:b/>
          <w:lang w:val="ro-MD"/>
        </w:rPr>
        <w:t xml:space="preserve">1. </w:t>
      </w:r>
      <w:r w:rsidR="00D03123"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accidente, inclusiv accidente de muncă </w:t>
      </w:r>
      <w:proofErr w:type="spellStart"/>
      <w:r w:rsidRPr="000508B6">
        <w:rPr>
          <w:rFonts w:ascii="Times New Roman" w:eastAsia="Times New Roman" w:hAnsi="Times New Roman" w:cs="Times New Roman"/>
          <w:b/>
          <w:lang w:val="ro-MD"/>
        </w:rPr>
        <w:t>şi</w:t>
      </w:r>
      <w:proofErr w:type="spellEnd"/>
      <w:r w:rsidRPr="000508B6">
        <w:rPr>
          <w:rFonts w:ascii="Times New Roman" w:eastAsia="Times New Roman" w:hAnsi="Times New Roman" w:cs="Times New Roman"/>
          <w:b/>
          <w:lang w:val="ro-MD"/>
        </w:rPr>
        <w:t xml:space="preserve"> boli profesionale</w:t>
      </w:r>
      <w:bookmarkEnd w:id="198"/>
      <w:r w:rsidR="00D03123" w:rsidRPr="000508B6">
        <w:rPr>
          <w:rFonts w:ascii="Times New Roman" w:eastAsia="Times New Roman" w:hAnsi="Times New Roman" w:cs="Times New Roman"/>
          <w:b/>
          <w:lang w:val="ro-MD"/>
        </w:rPr>
        <w:t xml:space="preserve"> </w:t>
      </w:r>
      <w:r w:rsidR="00D03123" w:rsidRPr="000508B6">
        <w:rPr>
          <w:rFonts w:ascii="Times New Roman" w:eastAsia="Times New Roman" w:hAnsi="Times New Roman" w:cs="Times New Roman"/>
          <w:lang w:val="ro-MD"/>
        </w:rPr>
        <w:t>pentru care se acordă</w:t>
      </w:r>
      <w:r w:rsidRPr="000508B6">
        <w:rPr>
          <w:rFonts w:ascii="Times New Roman" w:eastAsia="Times New Roman" w:hAnsi="Times New Roman" w:cs="Times New Roman"/>
          <w:lang w:val="ro-MD"/>
        </w:rPr>
        <w:t>:</w:t>
      </w:r>
      <w:r w:rsidRPr="000508B6">
        <w:rPr>
          <w:rFonts w:ascii="Times New Roman" w:eastAsia="Times New Roman" w:hAnsi="Times New Roman" w:cs="Times New Roman"/>
          <w:b/>
          <w:lang w:val="ro-MD"/>
        </w:rPr>
        <w:t xml:space="preserve">   </w:t>
      </w:r>
    </w:p>
    <w:p w14:paraId="32F6EA1F"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t xml:space="preserve">despăgubiri financiare fixe;   </w:t>
      </w:r>
    </w:p>
    <w:p w14:paraId="458081A0"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despăgubiri financiare variabile;   </w:t>
      </w:r>
    </w:p>
    <w:p w14:paraId="6DF9B336" w14:textId="2F037F5D"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r>
      <w:r w:rsidR="00F94604" w:rsidRPr="000508B6">
        <w:rPr>
          <w:rFonts w:ascii="Times New Roman" w:eastAsia="Times New Roman" w:hAnsi="Times New Roman" w:cs="Times New Roman"/>
          <w:lang w:val="ro-MD"/>
        </w:rPr>
        <w:t>combinație</w:t>
      </w:r>
      <w:r w:rsidRPr="000508B6">
        <w:rPr>
          <w:rFonts w:ascii="Times New Roman" w:eastAsia="Times New Roman" w:hAnsi="Times New Roman" w:cs="Times New Roman"/>
          <w:lang w:val="ro-MD"/>
        </w:rPr>
        <w:t xml:space="preserve"> între despăgubirile de la lit. 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b);   </w:t>
      </w:r>
    </w:p>
    <w:p w14:paraId="45B474D1" w14:textId="77777777" w:rsidR="00363E22"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Pr="000508B6">
        <w:rPr>
          <w:rFonts w:ascii="Times New Roman" w:eastAsia="Times New Roman" w:hAnsi="Times New Roman" w:cs="Times New Roman"/>
          <w:lang w:val="ro-MD"/>
        </w:rPr>
        <w:tab/>
        <w:t xml:space="preserve">despăgubiri pentru vătămări corporale suferite de pasageri;  </w:t>
      </w:r>
    </w:p>
    <w:p w14:paraId="1F5D0186" w14:textId="2F4D234C"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bookmarkStart w:id="199" w:name="_Hlk221889988"/>
      <w:r w:rsidRPr="000508B6">
        <w:rPr>
          <w:rFonts w:ascii="Times New Roman" w:eastAsia="Times New Roman" w:hAnsi="Times New Roman" w:cs="Times New Roman"/>
          <w:b/>
          <w:lang w:val="ro-MD"/>
        </w:rPr>
        <w:t xml:space="preserve">2. </w:t>
      </w:r>
      <w:r w:rsidR="00D03123"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sănătate</w:t>
      </w:r>
      <w:bookmarkEnd w:id="199"/>
      <w:r w:rsidRPr="000508B6">
        <w:rPr>
          <w:rFonts w:ascii="Times New Roman" w:eastAsia="Times New Roman" w:hAnsi="Times New Roman" w:cs="Times New Roman"/>
          <w:b/>
          <w:lang w:val="ro-MD"/>
        </w:rPr>
        <w:t xml:space="preserve">:   </w:t>
      </w:r>
    </w:p>
    <w:p w14:paraId="4E104287"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t xml:space="preserve">despăgubiri financiare fixe;   </w:t>
      </w:r>
    </w:p>
    <w:p w14:paraId="60D50E81"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despăgubiri financiare variabile;   </w:t>
      </w:r>
    </w:p>
    <w:p w14:paraId="689A666B" w14:textId="2A1B4B9F"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r>
      <w:r w:rsidR="00F94604" w:rsidRPr="000508B6">
        <w:rPr>
          <w:rFonts w:ascii="Times New Roman" w:eastAsia="Times New Roman" w:hAnsi="Times New Roman" w:cs="Times New Roman"/>
          <w:lang w:val="ro-MD"/>
        </w:rPr>
        <w:t>combinație</w:t>
      </w:r>
      <w:r w:rsidRPr="000508B6">
        <w:rPr>
          <w:rFonts w:ascii="Times New Roman" w:eastAsia="Times New Roman" w:hAnsi="Times New Roman" w:cs="Times New Roman"/>
          <w:lang w:val="ro-MD"/>
        </w:rPr>
        <w:t xml:space="preserve"> între despăgubirile de la lit. a)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b);   </w:t>
      </w:r>
    </w:p>
    <w:p w14:paraId="2556EBEE" w14:textId="4F53A8F1" w:rsidR="00D03123" w:rsidRPr="000508B6" w:rsidRDefault="00F95829" w:rsidP="00D03123">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 xml:space="preserve">3. </w:t>
      </w:r>
      <w:r w:rsidR="00D03123" w:rsidRPr="000508B6">
        <w:rPr>
          <w:rFonts w:ascii="Times New Roman" w:eastAsia="Times New Roman" w:hAnsi="Times New Roman" w:cs="Times New Roman"/>
          <w:b/>
          <w:lang w:val="ro-MD"/>
        </w:rPr>
        <w:t xml:space="preserve">Asigurări de vehicule </w:t>
      </w:r>
      <w:r w:rsidR="007672A2" w:rsidRPr="000508B6">
        <w:rPr>
          <w:rFonts w:ascii="Times New Roman" w:eastAsia="Times New Roman" w:hAnsi="Times New Roman" w:cs="Times New Roman"/>
          <w:b/>
          <w:lang w:val="ro-MD"/>
        </w:rPr>
        <w:t>rutiere</w:t>
      </w:r>
      <w:r w:rsidR="00D03123" w:rsidRPr="000508B6">
        <w:rPr>
          <w:rFonts w:ascii="Times New Roman" w:eastAsia="Times New Roman" w:hAnsi="Times New Roman" w:cs="Times New Roman"/>
          <w:b/>
          <w:lang w:val="ro-MD"/>
        </w:rPr>
        <w:t xml:space="preserve"> (altele decât feroviare), </w:t>
      </w:r>
      <w:r w:rsidR="00D03123" w:rsidRPr="000508B6">
        <w:rPr>
          <w:rFonts w:ascii="Times New Roman" w:eastAsia="Times New Roman" w:hAnsi="Times New Roman" w:cs="Times New Roman"/>
          <w:lang w:val="ro-MD"/>
        </w:rPr>
        <w:t>care acoperă orice daune survenite la  :</w:t>
      </w:r>
    </w:p>
    <w:p w14:paraId="50EE4BD8" w14:textId="4788349D" w:rsidR="00D03123" w:rsidRPr="000508B6" w:rsidRDefault="00F95829" w:rsidP="00D03123">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r>
      <w:r w:rsidR="007672A2" w:rsidRPr="000508B6">
        <w:rPr>
          <w:rFonts w:ascii="Times New Roman" w:eastAsia="Times New Roman" w:hAnsi="Times New Roman" w:cs="Times New Roman"/>
          <w:lang w:val="ro-MD"/>
        </w:rPr>
        <w:t>vehiculele rutiere</w:t>
      </w:r>
      <w:r w:rsidR="00D03123" w:rsidRPr="000508B6">
        <w:rPr>
          <w:rFonts w:ascii="Times New Roman" w:eastAsia="Times New Roman" w:hAnsi="Times New Roman" w:cs="Times New Roman"/>
          <w:lang w:val="ro-MD"/>
        </w:rPr>
        <w:t>;</w:t>
      </w:r>
    </w:p>
    <w:p w14:paraId="435E2E5C" w14:textId="6B9A1C89" w:rsidR="00F95829" w:rsidRPr="000508B6" w:rsidRDefault="00F95829" w:rsidP="00D03123">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alte vehicule;   </w:t>
      </w:r>
    </w:p>
    <w:p w14:paraId="0F2565DA" w14:textId="19375693"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4.</w:t>
      </w:r>
      <w:r w:rsidRPr="000508B6">
        <w:rPr>
          <w:rFonts w:ascii="Times New Roman" w:eastAsia="Times New Roman" w:hAnsi="Times New Roman" w:cs="Times New Roman"/>
          <w:b/>
          <w:lang w:val="ro-MD"/>
        </w:rPr>
        <w:tab/>
      </w:r>
      <w:r w:rsidR="00D03123" w:rsidRPr="000508B6">
        <w:rPr>
          <w:rFonts w:ascii="Times New Roman" w:eastAsia="Times New Roman" w:hAnsi="Times New Roman" w:cs="Times New Roman"/>
          <w:b/>
          <w:lang w:val="ro-MD"/>
        </w:rPr>
        <w:t xml:space="preserve">Asigurări de </w:t>
      </w:r>
      <w:r w:rsidR="00491E72" w:rsidRPr="000508B6">
        <w:rPr>
          <w:rFonts w:ascii="Times New Roman" w:eastAsia="Times New Roman" w:hAnsi="Times New Roman" w:cs="Times New Roman"/>
          <w:b/>
          <w:lang w:val="ro-MD"/>
        </w:rPr>
        <w:t>vehicule</w:t>
      </w:r>
      <w:r w:rsidRPr="000508B6">
        <w:rPr>
          <w:rFonts w:ascii="Times New Roman" w:eastAsia="Times New Roman" w:hAnsi="Times New Roman" w:cs="Times New Roman"/>
          <w:b/>
          <w:lang w:val="ro-MD"/>
        </w:rPr>
        <w:t xml:space="preserve"> feroviar</w:t>
      </w:r>
      <w:r w:rsidR="00491E72" w:rsidRPr="000508B6">
        <w:rPr>
          <w:rFonts w:ascii="Times New Roman" w:eastAsia="Times New Roman" w:hAnsi="Times New Roman" w:cs="Times New Roman"/>
          <w:b/>
          <w:lang w:val="ro-MD"/>
        </w:rPr>
        <w:t>e</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care acoperă daune sau pierderi legate de acest</w:t>
      </w:r>
      <w:r w:rsidR="00D03123"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a;</w:t>
      </w:r>
      <w:r w:rsidRPr="000508B6">
        <w:rPr>
          <w:rFonts w:ascii="Times New Roman" w:eastAsia="Times New Roman" w:hAnsi="Times New Roman" w:cs="Times New Roman"/>
          <w:b/>
          <w:lang w:val="ro-MD"/>
        </w:rPr>
        <w:t xml:space="preserve">   </w:t>
      </w:r>
    </w:p>
    <w:p w14:paraId="28C11B49" w14:textId="2A48D54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5.</w:t>
      </w:r>
      <w:r w:rsidRPr="000508B6">
        <w:rPr>
          <w:rFonts w:ascii="Times New Roman" w:eastAsia="Times New Roman" w:hAnsi="Times New Roman" w:cs="Times New Roman"/>
          <w:b/>
          <w:lang w:val="ro-MD"/>
        </w:rPr>
        <w:tab/>
      </w:r>
      <w:r w:rsidR="00491E72"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aeronave, </w:t>
      </w:r>
      <w:r w:rsidRPr="000508B6">
        <w:rPr>
          <w:rFonts w:ascii="Times New Roman" w:eastAsia="Times New Roman" w:hAnsi="Times New Roman" w:cs="Times New Roman"/>
          <w:lang w:val="ro-MD"/>
        </w:rPr>
        <w:t>care acoperă daune sau pierderi legate de acestea;</w:t>
      </w:r>
      <w:r w:rsidRPr="000508B6">
        <w:rPr>
          <w:rFonts w:ascii="Times New Roman" w:eastAsia="Times New Roman" w:hAnsi="Times New Roman" w:cs="Times New Roman"/>
          <w:b/>
          <w:lang w:val="ro-MD"/>
        </w:rPr>
        <w:t xml:space="preserve">   </w:t>
      </w:r>
    </w:p>
    <w:p w14:paraId="060167DF" w14:textId="1FC76444" w:rsidR="0019626A"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6.</w:t>
      </w:r>
      <w:r w:rsidRPr="000508B6">
        <w:rPr>
          <w:rFonts w:ascii="Times New Roman" w:eastAsia="Times New Roman" w:hAnsi="Times New Roman" w:cs="Times New Roman"/>
          <w:b/>
          <w:lang w:val="ro-MD"/>
        </w:rPr>
        <w:tab/>
      </w:r>
      <w:r w:rsidR="00491E72"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nave maritime, lacustre </w:t>
      </w:r>
      <w:proofErr w:type="spellStart"/>
      <w:r w:rsidRPr="000508B6">
        <w:rPr>
          <w:rFonts w:ascii="Times New Roman" w:eastAsia="Times New Roman" w:hAnsi="Times New Roman" w:cs="Times New Roman"/>
          <w:b/>
          <w:lang w:val="ro-MD"/>
        </w:rPr>
        <w:t>şi</w:t>
      </w:r>
      <w:proofErr w:type="spellEnd"/>
      <w:r w:rsidRPr="000508B6">
        <w:rPr>
          <w:rFonts w:ascii="Times New Roman" w:eastAsia="Times New Roman" w:hAnsi="Times New Roman" w:cs="Times New Roman"/>
          <w:b/>
          <w:lang w:val="ro-MD"/>
        </w:rPr>
        <w:t xml:space="preserve"> fluviale </w:t>
      </w:r>
      <w:r w:rsidRPr="000508B6">
        <w:rPr>
          <w:rFonts w:ascii="Times New Roman" w:eastAsia="Times New Roman" w:hAnsi="Times New Roman" w:cs="Times New Roman"/>
          <w:lang w:val="ro-MD"/>
        </w:rPr>
        <w:t>care acoperă daune sau pierderi legate de:</w:t>
      </w:r>
    </w:p>
    <w:p w14:paraId="1340971D" w14:textId="48C3D789"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Cs/>
          <w:lang w:val="ro-MD"/>
        </w:rPr>
      </w:pPr>
      <w:r w:rsidRPr="000508B6">
        <w:rPr>
          <w:rFonts w:ascii="Times New Roman" w:eastAsia="Times New Roman" w:hAnsi="Times New Roman" w:cs="Times New Roman"/>
          <w:bCs/>
          <w:lang w:val="ro-MD"/>
        </w:rPr>
        <w:t xml:space="preserve">a) nave maritime;   </w:t>
      </w:r>
    </w:p>
    <w:p w14:paraId="2FF1F3FA" w14:textId="6044779D"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b)nave lacustre;   </w:t>
      </w:r>
    </w:p>
    <w:p w14:paraId="70297963" w14:textId="656B7248"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c)nave fluviale;   </w:t>
      </w:r>
    </w:p>
    <w:p w14:paraId="5D623EA1" w14:textId="348CA84E" w:rsidR="00363E22"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7.</w:t>
      </w:r>
      <w:r w:rsidR="007672A2" w:rsidRPr="000508B6">
        <w:rPr>
          <w:rFonts w:ascii="Times New Roman" w:eastAsia="Times New Roman" w:hAnsi="Times New Roman" w:cs="Times New Roman"/>
          <w:b/>
          <w:lang w:val="ro-MD"/>
        </w:rPr>
        <w:t>Asigurări de</w:t>
      </w:r>
      <w:r w:rsidRPr="000508B6">
        <w:rPr>
          <w:rFonts w:ascii="Times New Roman" w:eastAsia="Times New Roman" w:hAnsi="Times New Roman" w:cs="Times New Roman"/>
          <w:b/>
          <w:lang w:val="ro-MD"/>
        </w:rPr>
        <w:t xml:space="preserve"> bunuri aflate în tranzit, </w:t>
      </w:r>
      <w:r w:rsidRPr="000508B6">
        <w:rPr>
          <w:rFonts w:ascii="Times New Roman" w:eastAsia="Times New Roman" w:hAnsi="Times New Roman" w:cs="Times New Roman"/>
          <w:lang w:val="ro-MD"/>
        </w:rPr>
        <w:t xml:space="preserve">indiferent de modalitatea de transport, care acoperă daune sau pierderi legate de:  </w:t>
      </w:r>
    </w:p>
    <w:p w14:paraId="0222B451" w14:textId="04C320B2"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mărfuri;   </w:t>
      </w:r>
    </w:p>
    <w:p w14:paraId="086C49E4"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bagaje;   </w:t>
      </w:r>
    </w:p>
    <w:p w14:paraId="3D5B67BA"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t xml:space="preserve">alte bunuri;   </w:t>
      </w:r>
    </w:p>
    <w:p w14:paraId="1C9716A3" w14:textId="03C6EC03" w:rsidR="00332D3C"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8. </w:t>
      </w:r>
      <w:r w:rsidR="007672A2"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incendiu </w:t>
      </w:r>
      <w:proofErr w:type="spellStart"/>
      <w:r w:rsidRPr="000508B6">
        <w:rPr>
          <w:rFonts w:ascii="Times New Roman" w:eastAsia="Times New Roman" w:hAnsi="Times New Roman" w:cs="Times New Roman"/>
          <w:b/>
          <w:lang w:val="ro-MD"/>
        </w:rPr>
        <w:t>şi</w:t>
      </w:r>
      <w:proofErr w:type="spellEnd"/>
      <w:r w:rsidRPr="000508B6">
        <w:rPr>
          <w:rFonts w:ascii="Times New Roman" w:eastAsia="Times New Roman" w:hAnsi="Times New Roman" w:cs="Times New Roman"/>
          <w:b/>
          <w:lang w:val="ro-MD"/>
        </w:rPr>
        <w:t xml:space="preserve"> </w:t>
      </w:r>
      <w:proofErr w:type="spellStart"/>
      <w:r w:rsidRPr="000508B6">
        <w:rPr>
          <w:rFonts w:ascii="Times New Roman" w:eastAsia="Times New Roman" w:hAnsi="Times New Roman" w:cs="Times New Roman"/>
          <w:b/>
          <w:lang w:val="ro-MD"/>
        </w:rPr>
        <w:t>calamităţi</w:t>
      </w:r>
      <w:proofErr w:type="spellEnd"/>
      <w:r w:rsidRPr="000508B6">
        <w:rPr>
          <w:rFonts w:ascii="Times New Roman" w:eastAsia="Times New Roman" w:hAnsi="Times New Roman" w:cs="Times New Roman"/>
          <w:b/>
          <w:lang w:val="ro-MD"/>
        </w:rPr>
        <w:t xml:space="preserve"> naturale, </w:t>
      </w:r>
      <w:r w:rsidRPr="000508B6">
        <w:rPr>
          <w:rFonts w:ascii="Times New Roman" w:eastAsia="Times New Roman" w:hAnsi="Times New Roman" w:cs="Times New Roman"/>
          <w:lang w:val="ro-MD"/>
        </w:rPr>
        <w:t xml:space="preserve">care acoperă daune sau pierderi legate de bunuri, altele decât cele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clasele 3-7, cauzate de:</w:t>
      </w:r>
    </w:p>
    <w:p w14:paraId="76A7285E" w14:textId="36D02312"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a) incendiu;   </w:t>
      </w:r>
    </w:p>
    <w:p w14:paraId="05C49EF4"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explozie;   </w:t>
      </w:r>
    </w:p>
    <w:p w14:paraId="6312B368"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t xml:space="preserve">furtună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alte </w:t>
      </w:r>
      <w:proofErr w:type="spellStart"/>
      <w:r w:rsidRPr="000508B6">
        <w:rPr>
          <w:rFonts w:ascii="Times New Roman" w:eastAsia="Times New Roman" w:hAnsi="Times New Roman" w:cs="Times New Roman"/>
          <w:lang w:val="ro-MD"/>
        </w:rPr>
        <w:t>calamităţi</w:t>
      </w:r>
      <w:proofErr w:type="spellEnd"/>
      <w:r w:rsidRPr="000508B6">
        <w:rPr>
          <w:rFonts w:ascii="Times New Roman" w:eastAsia="Times New Roman" w:hAnsi="Times New Roman" w:cs="Times New Roman"/>
          <w:lang w:val="ro-MD"/>
        </w:rPr>
        <w:t xml:space="preserve"> naturale;   </w:t>
      </w:r>
    </w:p>
    <w:p w14:paraId="5F798288"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Pr="000508B6">
        <w:rPr>
          <w:rFonts w:ascii="Times New Roman" w:eastAsia="Times New Roman" w:hAnsi="Times New Roman" w:cs="Times New Roman"/>
          <w:lang w:val="ro-MD"/>
        </w:rPr>
        <w:tab/>
        <w:t xml:space="preserve">energie nucleară;   </w:t>
      </w:r>
    </w:p>
    <w:p w14:paraId="53918EDF"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ab/>
        <w:t xml:space="preserve">tasare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alunecări de teren;   </w:t>
      </w:r>
    </w:p>
    <w:p w14:paraId="1222D755" w14:textId="1F086C73"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9. </w:t>
      </w:r>
      <w:r w:rsidR="007672A2" w:rsidRPr="000508B6">
        <w:rPr>
          <w:rFonts w:ascii="Times New Roman" w:eastAsia="Times New Roman" w:hAnsi="Times New Roman" w:cs="Times New Roman"/>
          <w:b/>
          <w:lang w:val="ro-MD"/>
        </w:rPr>
        <w:t xml:space="preserve">Alte asigurări de bunuri </w:t>
      </w:r>
      <w:r w:rsidR="007672A2" w:rsidRPr="000508B6">
        <w:rPr>
          <w:rFonts w:ascii="Times New Roman" w:eastAsia="Times New Roman" w:hAnsi="Times New Roman" w:cs="Times New Roman"/>
          <w:lang w:val="ro-MD"/>
        </w:rPr>
        <w:t xml:space="preserve">care acoperă </w:t>
      </w:r>
      <w:r w:rsidRPr="000508B6">
        <w:rPr>
          <w:rFonts w:ascii="Times New Roman" w:eastAsia="Times New Roman" w:hAnsi="Times New Roman" w:cs="Times New Roman"/>
          <w:lang w:val="ro-MD"/>
        </w:rPr>
        <w:t xml:space="preserve">alte daune sau pierderi legate de </w:t>
      </w:r>
      <w:r w:rsidR="007672A2" w:rsidRPr="000508B6">
        <w:rPr>
          <w:rFonts w:ascii="Times New Roman" w:eastAsia="Times New Roman" w:hAnsi="Times New Roman" w:cs="Times New Roman"/>
          <w:lang w:val="ro-MD"/>
        </w:rPr>
        <w:t xml:space="preserve">proprietăți și  </w:t>
      </w:r>
      <w:r w:rsidRPr="000508B6">
        <w:rPr>
          <w:rFonts w:ascii="Times New Roman" w:eastAsia="Times New Roman" w:hAnsi="Times New Roman" w:cs="Times New Roman"/>
          <w:lang w:val="ro-MD"/>
        </w:rPr>
        <w:t>bunuri</w:t>
      </w:r>
      <w:r w:rsidR="007672A2" w:rsidRPr="000508B6">
        <w:rPr>
          <w:rFonts w:ascii="Times New Roman" w:eastAsia="Times New Roman" w:hAnsi="Times New Roman" w:cs="Times New Roman"/>
          <w:lang w:val="ro-MD"/>
        </w:rPr>
        <w:t xml:space="preserve"> altele </w:t>
      </w:r>
      <w:r w:rsidRPr="000508B6">
        <w:rPr>
          <w:rFonts w:ascii="Times New Roman" w:eastAsia="Times New Roman" w:hAnsi="Times New Roman" w:cs="Times New Roman"/>
          <w:lang w:val="ro-MD"/>
        </w:rPr>
        <w:t xml:space="preserve"> decât cele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clasele 3-7, cauzate de:</w:t>
      </w:r>
      <w:r w:rsidRPr="000508B6">
        <w:rPr>
          <w:rFonts w:ascii="Times New Roman" w:eastAsia="Times New Roman" w:hAnsi="Times New Roman" w:cs="Times New Roman"/>
          <w:b/>
          <w:lang w:val="ro-MD"/>
        </w:rPr>
        <w:t xml:space="preserve">   </w:t>
      </w:r>
    </w:p>
    <w:p w14:paraId="5DAB94F2"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t xml:space="preserve">grindină;   </w:t>
      </w:r>
    </w:p>
    <w:p w14:paraId="1A7DE32E"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r>
      <w:proofErr w:type="spellStart"/>
      <w:r w:rsidRPr="000508B6">
        <w:rPr>
          <w:rFonts w:ascii="Times New Roman" w:eastAsia="Times New Roman" w:hAnsi="Times New Roman" w:cs="Times New Roman"/>
          <w:lang w:val="ro-MD"/>
        </w:rPr>
        <w:t>îngheţ</w:t>
      </w:r>
      <w:proofErr w:type="spellEnd"/>
      <w:r w:rsidRPr="000508B6">
        <w:rPr>
          <w:rFonts w:ascii="Times New Roman" w:eastAsia="Times New Roman" w:hAnsi="Times New Roman" w:cs="Times New Roman"/>
          <w:lang w:val="ro-MD"/>
        </w:rPr>
        <w:t xml:space="preserve">;   </w:t>
      </w:r>
    </w:p>
    <w:p w14:paraId="6A811853"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t xml:space="preserve">furt;   </w:t>
      </w:r>
    </w:p>
    <w:p w14:paraId="758F2654"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Pr="000508B6">
        <w:rPr>
          <w:rFonts w:ascii="Times New Roman" w:eastAsia="Times New Roman" w:hAnsi="Times New Roman" w:cs="Times New Roman"/>
          <w:lang w:val="ro-MD"/>
        </w:rPr>
        <w:tab/>
        <w:t xml:space="preserve">alte evenimente, neacoperite de clasa 8;   </w:t>
      </w:r>
    </w:p>
    <w:p w14:paraId="0FBE603A" w14:textId="0291DCF4" w:rsidR="00F95829" w:rsidRPr="000508B6" w:rsidRDefault="00F95829" w:rsidP="008B530F">
      <w:pPr>
        <w:tabs>
          <w:tab w:val="left" w:pos="851"/>
          <w:tab w:val="left" w:pos="993"/>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10.</w:t>
      </w:r>
      <w:r w:rsidRPr="000508B6">
        <w:rPr>
          <w:rFonts w:ascii="Times New Roman" w:eastAsia="Times New Roman" w:hAnsi="Times New Roman" w:cs="Times New Roman"/>
          <w:b/>
          <w:lang w:val="ro-MD"/>
        </w:rPr>
        <w:tab/>
      </w:r>
      <w:r w:rsidR="007672A2"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răspundere civilă auto, </w:t>
      </w:r>
      <w:r w:rsidR="003B566F" w:rsidRPr="000508B6">
        <w:rPr>
          <w:rFonts w:ascii="Times New Roman" w:eastAsia="Times New Roman" w:hAnsi="Times New Roman" w:cs="Times New Roman"/>
          <w:lang w:val="ro-MD"/>
        </w:rPr>
        <w:t>care acoperă orice daune care rezultă din</w:t>
      </w:r>
      <w:r w:rsidRPr="000508B6">
        <w:rPr>
          <w:rFonts w:ascii="Times New Roman" w:eastAsia="Times New Roman" w:hAnsi="Times New Roman" w:cs="Times New Roman"/>
          <w:lang w:val="ro-MD"/>
        </w:rPr>
        <w:t xml:space="preserve"> utilizarea vehiculelor </w:t>
      </w:r>
      <w:r w:rsidR="003B566F" w:rsidRPr="000508B6">
        <w:rPr>
          <w:rFonts w:ascii="Times New Roman" w:eastAsia="Times New Roman" w:hAnsi="Times New Roman" w:cs="Times New Roman"/>
          <w:lang w:val="ro-MD"/>
        </w:rPr>
        <w:t>rutiere</w:t>
      </w:r>
      <w:r w:rsidRPr="000508B6">
        <w:rPr>
          <w:rFonts w:ascii="Times New Roman" w:eastAsia="Times New Roman" w:hAnsi="Times New Roman" w:cs="Times New Roman"/>
          <w:lang w:val="ro-MD"/>
        </w:rPr>
        <w:t>, inclusiv răspunderea transportatorului;</w:t>
      </w:r>
      <w:r w:rsidRPr="000508B6">
        <w:rPr>
          <w:rFonts w:ascii="Times New Roman" w:eastAsia="Times New Roman" w:hAnsi="Times New Roman" w:cs="Times New Roman"/>
          <w:b/>
          <w:lang w:val="ro-MD"/>
        </w:rPr>
        <w:t xml:space="preserve">   </w:t>
      </w:r>
    </w:p>
    <w:p w14:paraId="157E405A" w14:textId="30D62F85"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11.</w:t>
      </w:r>
      <w:r w:rsidRPr="000508B6">
        <w:rPr>
          <w:rFonts w:ascii="Times New Roman" w:eastAsia="Times New Roman" w:hAnsi="Times New Roman" w:cs="Times New Roman"/>
          <w:b/>
          <w:lang w:val="ro-MD"/>
        </w:rPr>
        <w:tab/>
      </w:r>
      <w:r w:rsidR="003B566F"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răspundere civilă </w:t>
      </w:r>
      <w:r w:rsidR="003B566F" w:rsidRPr="000508B6">
        <w:rPr>
          <w:rFonts w:ascii="Times New Roman" w:eastAsia="Times New Roman" w:hAnsi="Times New Roman" w:cs="Times New Roman"/>
          <w:b/>
          <w:lang w:val="ro-MD"/>
        </w:rPr>
        <w:t xml:space="preserve">care acoperă orice daune care rezultă din </w:t>
      </w:r>
      <w:r w:rsidRPr="000508B6">
        <w:rPr>
          <w:rFonts w:ascii="Times New Roman" w:eastAsia="Times New Roman" w:hAnsi="Times New Roman" w:cs="Times New Roman"/>
          <w:b/>
          <w:lang w:val="ro-MD"/>
        </w:rPr>
        <w:t>utilizarea aeronavelor</w:t>
      </w:r>
      <w:r w:rsidRPr="000508B6">
        <w:rPr>
          <w:rFonts w:ascii="Times New Roman" w:eastAsia="Times New Roman" w:hAnsi="Times New Roman" w:cs="Times New Roman"/>
          <w:lang w:val="ro-MD"/>
        </w:rPr>
        <w:t>, inclusiv răspunderea transportatorului</w:t>
      </w:r>
      <w:r w:rsidRPr="000508B6">
        <w:rPr>
          <w:rFonts w:ascii="Times New Roman" w:eastAsia="Times New Roman" w:hAnsi="Times New Roman" w:cs="Times New Roman"/>
          <w:b/>
          <w:lang w:val="ro-MD"/>
        </w:rPr>
        <w:t xml:space="preserve">;   </w:t>
      </w:r>
    </w:p>
    <w:p w14:paraId="277787C6" w14:textId="59B5424E"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12.</w:t>
      </w:r>
      <w:r w:rsidRPr="000508B6">
        <w:rPr>
          <w:rFonts w:ascii="Times New Roman" w:eastAsia="Times New Roman" w:hAnsi="Times New Roman" w:cs="Times New Roman"/>
          <w:b/>
          <w:lang w:val="ro-MD"/>
        </w:rPr>
        <w:tab/>
      </w:r>
      <w:r w:rsidR="003B566F"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răspundere civilă </w:t>
      </w:r>
      <w:r w:rsidR="003B566F" w:rsidRPr="000508B6">
        <w:rPr>
          <w:rFonts w:ascii="Times New Roman" w:eastAsia="Times New Roman" w:hAnsi="Times New Roman" w:cs="Times New Roman"/>
          <w:b/>
          <w:lang w:val="ro-MD"/>
        </w:rPr>
        <w:t xml:space="preserve">care acoperă orice daune care rezultă din </w:t>
      </w:r>
      <w:r w:rsidRPr="000508B6">
        <w:rPr>
          <w:rFonts w:ascii="Times New Roman" w:eastAsia="Times New Roman" w:hAnsi="Times New Roman" w:cs="Times New Roman"/>
          <w:b/>
          <w:lang w:val="ro-MD"/>
        </w:rPr>
        <w:t xml:space="preserve"> utilizarea </w:t>
      </w:r>
      <w:r w:rsidR="003B566F" w:rsidRPr="000508B6">
        <w:rPr>
          <w:rFonts w:ascii="Times New Roman" w:eastAsia="Times New Roman" w:hAnsi="Times New Roman" w:cs="Times New Roman"/>
          <w:b/>
          <w:lang w:val="ro-MD"/>
        </w:rPr>
        <w:t xml:space="preserve">navelor </w:t>
      </w:r>
      <w:r w:rsidRPr="000508B6">
        <w:rPr>
          <w:rFonts w:ascii="Times New Roman" w:eastAsia="Times New Roman" w:hAnsi="Times New Roman" w:cs="Times New Roman"/>
          <w:b/>
          <w:lang w:val="ro-MD"/>
        </w:rPr>
        <w:t xml:space="preserve">maritime, lacustre </w:t>
      </w:r>
      <w:proofErr w:type="spellStart"/>
      <w:r w:rsidRPr="000508B6">
        <w:rPr>
          <w:rFonts w:ascii="Times New Roman" w:eastAsia="Times New Roman" w:hAnsi="Times New Roman" w:cs="Times New Roman"/>
          <w:b/>
          <w:lang w:val="ro-MD"/>
        </w:rPr>
        <w:t>şi</w:t>
      </w:r>
      <w:proofErr w:type="spellEnd"/>
      <w:r w:rsidRPr="000508B6">
        <w:rPr>
          <w:rFonts w:ascii="Times New Roman" w:eastAsia="Times New Roman" w:hAnsi="Times New Roman" w:cs="Times New Roman"/>
          <w:b/>
          <w:lang w:val="ro-MD"/>
        </w:rPr>
        <w:t xml:space="preserve"> fluviale,</w:t>
      </w:r>
      <w:r w:rsidRPr="000508B6">
        <w:rPr>
          <w:rFonts w:ascii="Times New Roman" w:eastAsia="Times New Roman" w:hAnsi="Times New Roman" w:cs="Times New Roman"/>
          <w:lang w:val="ro-MD"/>
        </w:rPr>
        <w:t xml:space="preserve"> inclusiv răspunderea transportatorului;</w:t>
      </w:r>
      <w:r w:rsidRPr="000508B6">
        <w:rPr>
          <w:rFonts w:ascii="Times New Roman" w:eastAsia="Times New Roman" w:hAnsi="Times New Roman" w:cs="Times New Roman"/>
          <w:b/>
          <w:lang w:val="ro-MD"/>
        </w:rPr>
        <w:t xml:space="preserve">   </w:t>
      </w:r>
    </w:p>
    <w:p w14:paraId="5C3A7A64" w14:textId="53817442" w:rsidR="00363E22"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13.</w:t>
      </w:r>
      <w:r w:rsidRPr="000508B6">
        <w:rPr>
          <w:rFonts w:ascii="Times New Roman" w:eastAsia="Times New Roman" w:hAnsi="Times New Roman" w:cs="Times New Roman"/>
          <w:b/>
          <w:lang w:val="ro-MD"/>
        </w:rPr>
        <w:tab/>
      </w:r>
      <w:r w:rsidR="003B566F"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 xml:space="preserve">răspundere civilă generală, </w:t>
      </w:r>
      <w:r w:rsidR="003B566F" w:rsidRPr="000508B6">
        <w:rPr>
          <w:rFonts w:ascii="Times New Roman" w:eastAsia="Times New Roman" w:hAnsi="Times New Roman" w:cs="Times New Roman"/>
          <w:b/>
          <w:lang w:val="ro-MD"/>
        </w:rPr>
        <w:t>care acoperă orice daune care rezultă din prejudicii produse terților</w:t>
      </w:r>
      <w:r w:rsidR="003B566F" w:rsidRPr="000508B6">
        <w:rPr>
          <w:rFonts w:ascii="Times New Roman" w:eastAsia="Times New Roman" w:hAnsi="Times New Roman" w:cs="Times New Roman"/>
          <w:lang w:val="ro-MD"/>
        </w:rPr>
        <w:t xml:space="preserve"> altele decât cele menționate la clasele 10</w:t>
      </w:r>
      <w:r w:rsidRPr="000508B6">
        <w:rPr>
          <w:rFonts w:ascii="Times New Roman" w:eastAsia="Times New Roman" w:hAnsi="Times New Roman" w:cs="Times New Roman"/>
          <w:lang w:val="ro-MD"/>
        </w:rPr>
        <w:t xml:space="preserve">-12; </w:t>
      </w:r>
    </w:p>
    <w:p w14:paraId="2FA090EB" w14:textId="6D4840EB"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14. </w:t>
      </w:r>
      <w:r w:rsidR="00800283"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credit</w:t>
      </w:r>
      <w:r w:rsidR="00800283" w:rsidRPr="000508B6">
        <w:rPr>
          <w:rFonts w:ascii="Times New Roman" w:eastAsia="Times New Roman" w:hAnsi="Times New Roman" w:cs="Times New Roman"/>
          <w:b/>
          <w:lang w:val="ro-MD"/>
        </w:rPr>
        <w:t>e</w:t>
      </w:r>
      <w:r w:rsidRPr="000508B6">
        <w:rPr>
          <w:rFonts w:ascii="Times New Roman" w:eastAsia="Times New Roman" w:hAnsi="Times New Roman" w:cs="Times New Roman"/>
          <w:b/>
          <w:lang w:val="ro-MD"/>
        </w:rPr>
        <w:t xml:space="preserve">, </w:t>
      </w:r>
      <w:r w:rsidRPr="000508B6">
        <w:rPr>
          <w:rFonts w:ascii="Times New Roman" w:eastAsia="Times New Roman" w:hAnsi="Times New Roman" w:cs="Times New Roman"/>
          <w:lang w:val="ro-MD"/>
        </w:rPr>
        <w:t>care acoperă</w:t>
      </w:r>
      <w:r w:rsidR="00800283" w:rsidRPr="000508B6">
        <w:rPr>
          <w:rFonts w:ascii="Times New Roman" w:eastAsia="Times New Roman" w:hAnsi="Times New Roman" w:cs="Times New Roman"/>
          <w:lang w:val="ro-MD"/>
        </w:rPr>
        <w:t xml:space="preserve"> riscuri  de</w:t>
      </w:r>
      <w:r w:rsidRPr="000508B6">
        <w:rPr>
          <w:rFonts w:ascii="Times New Roman" w:eastAsia="Times New Roman" w:hAnsi="Times New Roman" w:cs="Times New Roman"/>
          <w:lang w:val="ro-MD"/>
        </w:rPr>
        <w:t>:</w:t>
      </w:r>
      <w:r w:rsidRPr="000508B6">
        <w:rPr>
          <w:rFonts w:ascii="Times New Roman" w:eastAsia="Times New Roman" w:hAnsi="Times New Roman" w:cs="Times New Roman"/>
          <w:b/>
          <w:lang w:val="ro-MD"/>
        </w:rPr>
        <w:t xml:space="preserve">   </w:t>
      </w:r>
    </w:p>
    <w:p w14:paraId="3DE466FB" w14:textId="59974C0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r>
      <w:r w:rsidR="00F94604" w:rsidRPr="000508B6">
        <w:rPr>
          <w:rFonts w:ascii="Times New Roman" w:eastAsia="Times New Roman" w:hAnsi="Times New Roman" w:cs="Times New Roman"/>
          <w:lang w:val="ro-MD"/>
        </w:rPr>
        <w:t>insolvabilitate</w:t>
      </w:r>
      <w:r w:rsidRPr="000508B6">
        <w:rPr>
          <w:rFonts w:ascii="Times New Roman" w:eastAsia="Times New Roman" w:hAnsi="Times New Roman" w:cs="Times New Roman"/>
          <w:lang w:val="ro-MD"/>
        </w:rPr>
        <w:t xml:space="preserve">, în general;   </w:t>
      </w:r>
    </w:p>
    <w:p w14:paraId="7E4F7C54"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credite de export;   </w:t>
      </w:r>
    </w:p>
    <w:p w14:paraId="4A6197DA"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t xml:space="preserve">credite pentru vânzări în rate;   </w:t>
      </w:r>
    </w:p>
    <w:p w14:paraId="1D0B716C"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Pr="000508B6">
        <w:rPr>
          <w:rFonts w:ascii="Times New Roman" w:eastAsia="Times New Roman" w:hAnsi="Times New Roman" w:cs="Times New Roman"/>
          <w:lang w:val="ro-MD"/>
        </w:rPr>
        <w:tab/>
        <w:t xml:space="preserve">credite ipotecare;   </w:t>
      </w:r>
    </w:p>
    <w:p w14:paraId="5B0AECF0"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ab/>
        <w:t xml:space="preserve">credite agricole;   </w:t>
      </w:r>
    </w:p>
    <w:p w14:paraId="4D308F93" w14:textId="12BE21A6"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lastRenderedPageBreak/>
        <w:t xml:space="preserve">15. </w:t>
      </w:r>
      <w:r w:rsidR="00800283" w:rsidRPr="000508B6">
        <w:rPr>
          <w:rFonts w:ascii="Times New Roman" w:eastAsia="Times New Roman" w:hAnsi="Times New Roman" w:cs="Times New Roman"/>
          <w:b/>
          <w:lang w:val="ro-MD"/>
        </w:rPr>
        <w:t xml:space="preserve">Asigurări de </w:t>
      </w:r>
      <w:proofErr w:type="spellStart"/>
      <w:r w:rsidRPr="000508B6">
        <w:rPr>
          <w:rFonts w:ascii="Times New Roman" w:eastAsia="Times New Roman" w:hAnsi="Times New Roman" w:cs="Times New Roman"/>
          <w:b/>
          <w:lang w:val="ro-MD"/>
        </w:rPr>
        <w:t>garanţii</w:t>
      </w:r>
      <w:proofErr w:type="spellEnd"/>
      <w:r w:rsidR="00800283" w:rsidRPr="000508B6">
        <w:rPr>
          <w:rFonts w:ascii="Times New Roman" w:eastAsia="Times New Roman" w:hAnsi="Times New Roman" w:cs="Times New Roman"/>
          <w:b/>
          <w:lang w:val="ro-MD"/>
        </w:rPr>
        <w:t xml:space="preserve"> pentru</w:t>
      </w:r>
      <w:r w:rsidRPr="000508B6">
        <w:rPr>
          <w:rFonts w:ascii="Times New Roman" w:eastAsia="Times New Roman" w:hAnsi="Times New Roman" w:cs="Times New Roman"/>
          <w:b/>
          <w:lang w:val="ro-MD"/>
        </w:rPr>
        <w:t xml:space="preserve">:   </w:t>
      </w:r>
    </w:p>
    <w:p w14:paraId="5B00D2D1"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r>
      <w:proofErr w:type="spellStart"/>
      <w:r w:rsidRPr="000508B6">
        <w:rPr>
          <w:rFonts w:ascii="Times New Roman" w:eastAsia="Times New Roman" w:hAnsi="Times New Roman" w:cs="Times New Roman"/>
          <w:lang w:val="ro-MD"/>
        </w:rPr>
        <w:t>garanţii</w:t>
      </w:r>
      <w:proofErr w:type="spellEnd"/>
      <w:r w:rsidRPr="000508B6">
        <w:rPr>
          <w:rFonts w:ascii="Times New Roman" w:eastAsia="Times New Roman" w:hAnsi="Times New Roman" w:cs="Times New Roman"/>
          <w:lang w:val="ro-MD"/>
        </w:rPr>
        <w:t xml:space="preserve"> directe;   </w:t>
      </w:r>
    </w:p>
    <w:p w14:paraId="49A482A7"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r>
      <w:proofErr w:type="spellStart"/>
      <w:r w:rsidRPr="000508B6">
        <w:rPr>
          <w:rFonts w:ascii="Times New Roman" w:eastAsia="Times New Roman" w:hAnsi="Times New Roman" w:cs="Times New Roman"/>
          <w:lang w:val="ro-MD"/>
        </w:rPr>
        <w:t>garanţii</w:t>
      </w:r>
      <w:proofErr w:type="spellEnd"/>
      <w:r w:rsidRPr="000508B6">
        <w:rPr>
          <w:rFonts w:ascii="Times New Roman" w:eastAsia="Times New Roman" w:hAnsi="Times New Roman" w:cs="Times New Roman"/>
          <w:lang w:val="ro-MD"/>
        </w:rPr>
        <w:t xml:space="preserve"> indirecte;   </w:t>
      </w:r>
    </w:p>
    <w:p w14:paraId="47351BA1" w14:textId="1E3CEB34"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16. </w:t>
      </w:r>
      <w:r w:rsidR="00800283" w:rsidRPr="000508B6">
        <w:rPr>
          <w:rFonts w:ascii="Times New Roman" w:eastAsia="Times New Roman" w:hAnsi="Times New Roman" w:cs="Times New Roman"/>
          <w:b/>
          <w:lang w:val="ro-MD"/>
        </w:rPr>
        <w:t xml:space="preserve">Asigurări de </w:t>
      </w:r>
      <w:r w:rsidRPr="000508B6">
        <w:rPr>
          <w:rFonts w:ascii="Times New Roman" w:eastAsia="Times New Roman" w:hAnsi="Times New Roman" w:cs="Times New Roman"/>
          <w:b/>
          <w:lang w:val="ro-MD"/>
        </w:rPr>
        <w:t>pierderi financiare diverse</w:t>
      </w:r>
      <w:r w:rsidR="00180C41" w:rsidRPr="000508B6">
        <w:rPr>
          <w:rFonts w:ascii="Times New Roman" w:eastAsia="Times New Roman" w:hAnsi="Times New Roman" w:cs="Times New Roman"/>
          <w:b/>
          <w:lang w:val="ro-MD"/>
        </w:rPr>
        <w:t xml:space="preserve"> </w:t>
      </w:r>
      <w:r w:rsidR="00800283" w:rsidRPr="000508B6">
        <w:rPr>
          <w:rFonts w:ascii="Times New Roman" w:eastAsia="Times New Roman" w:hAnsi="Times New Roman" w:cs="Times New Roman"/>
          <w:lang w:val="ro-MD"/>
        </w:rPr>
        <w:t>care acoperă</w:t>
      </w:r>
      <w:r w:rsidRPr="000508B6">
        <w:rPr>
          <w:rFonts w:ascii="Times New Roman" w:eastAsia="Times New Roman" w:hAnsi="Times New Roman" w:cs="Times New Roman"/>
          <w:lang w:val="ro-MD"/>
        </w:rPr>
        <w:t>:</w:t>
      </w:r>
      <w:r w:rsidRPr="000508B6">
        <w:rPr>
          <w:rFonts w:ascii="Times New Roman" w:eastAsia="Times New Roman" w:hAnsi="Times New Roman" w:cs="Times New Roman"/>
          <w:b/>
          <w:lang w:val="ro-MD"/>
        </w:rPr>
        <w:t xml:space="preserve">   </w:t>
      </w:r>
    </w:p>
    <w:p w14:paraId="5B71DCF5" w14:textId="3F350F9C"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 xml:space="preserve">riscuri de </w:t>
      </w:r>
      <w:proofErr w:type="spellStart"/>
      <w:r w:rsidRPr="000508B6">
        <w:rPr>
          <w:rFonts w:ascii="Times New Roman" w:eastAsia="Times New Roman" w:hAnsi="Times New Roman" w:cs="Times New Roman"/>
          <w:lang w:val="ro-MD"/>
        </w:rPr>
        <w:t>şomaj</w:t>
      </w:r>
      <w:proofErr w:type="spellEnd"/>
      <w:r w:rsidRPr="000508B6">
        <w:rPr>
          <w:rFonts w:ascii="Times New Roman" w:eastAsia="Times New Roman" w:hAnsi="Times New Roman" w:cs="Times New Roman"/>
          <w:lang w:val="ro-MD"/>
        </w:rPr>
        <w:t xml:space="preserve">;   </w:t>
      </w:r>
    </w:p>
    <w:p w14:paraId="3A368B4E"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b)</w:t>
      </w:r>
      <w:r w:rsidRPr="000508B6">
        <w:rPr>
          <w:rFonts w:ascii="Times New Roman" w:eastAsia="Times New Roman" w:hAnsi="Times New Roman" w:cs="Times New Roman"/>
          <w:lang w:val="ro-MD"/>
        </w:rPr>
        <w:tab/>
        <w:t xml:space="preserve">venituri insuficiente, în general;   </w:t>
      </w:r>
    </w:p>
    <w:p w14:paraId="598B032E" w14:textId="0EDAC42E"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c)</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 xml:space="preserve">pierderi datorate de </w:t>
      </w:r>
      <w:proofErr w:type="spellStart"/>
      <w:r w:rsidRPr="000508B6">
        <w:rPr>
          <w:rFonts w:ascii="Times New Roman" w:eastAsia="Times New Roman" w:hAnsi="Times New Roman" w:cs="Times New Roman"/>
          <w:lang w:val="ro-MD"/>
        </w:rPr>
        <w:t>condiţii</w:t>
      </w:r>
      <w:proofErr w:type="spellEnd"/>
      <w:r w:rsidRPr="000508B6">
        <w:rPr>
          <w:rFonts w:ascii="Times New Roman" w:eastAsia="Times New Roman" w:hAnsi="Times New Roman" w:cs="Times New Roman"/>
          <w:lang w:val="ro-MD"/>
        </w:rPr>
        <w:t xml:space="preserve"> meteorologice nefavorabile;   </w:t>
      </w:r>
    </w:p>
    <w:p w14:paraId="4505DF5E"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d)</w:t>
      </w:r>
      <w:r w:rsidRPr="000508B6">
        <w:rPr>
          <w:rFonts w:ascii="Times New Roman" w:eastAsia="Times New Roman" w:hAnsi="Times New Roman" w:cs="Times New Roman"/>
          <w:lang w:val="ro-MD"/>
        </w:rPr>
        <w:tab/>
        <w:t xml:space="preserve">nerealizarea beneficiilor;   </w:t>
      </w:r>
    </w:p>
    <w:p w14:paraId="0D56E2F5"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ab/>
        <w:t xml:space="preserve">cheltuieli curente, în general;   </w:t>
      </w:r>
    </w:p>
    <w:p w14:paraId="594D8142"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f)</w:t>
      </w:r>
      <w:r w:rsidRPr="000508B6">
        <w:rPr>
          <w:rFonts w:ascii="Times New Roman" w:eastAsia="Times New Roman" w:hAnsi="Times New Roman" w:cs="Times New Roman"/>
          <w:lang w:val="ro-MD"/>
        </w:rPr>
        <w:tab/>
        <w:t xml:space="preserve">cheltuieli comerciale neprevăzute;   </w:t>
      </w:r>
    </w:p>
    <w:p w14:paraId="0D6499EB"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g)</w:t>
      </w:r>
      <w:r w:rsidRPr="000508B6">
        <w:rPr>
          <w:rFonts w:ascii="Times New Roman" w:eastAsia="Times New Roman" w:hAnsi="Times New Roman" w:cs="Times New Roman"/>
          <w:lang w:val="ro-MD"/>
        </w:rPr>
        <w:tab/>
        <w:t xml:space="preserve">deprecierea valorii de </w:t>
      </w:r>
      <w:proofErr w:type="spellStart"/>
      <w:r w:rsidRPr="000508B6">
        <w:rPr>
          <w:rFonts w:ascii="Times New Roman" w:eastAsia="Times New Roman" w:hAnsi="Times New Roman" w:cs="Times New Roman"/>
          <w:lang w:val="ro-MD"/>
        </w:rPr>
        <w:t>piaţă</w:t>
      </w:r>
      <w:proofErr w:type="spellEnd"/>
      <w:r w:rsidRPr="000508B6">
        <w:rPr>
          <w:rFonts w:ascii="Times New Roman" w:eastAsia="Times New Roman" w:hAnsi="Times New Roman" w:cs="Times New Roman"/>
          <w:lang w:val="ro-MD"/>
        </w:rPr>
        <w:t xml:space="preserve">;   </w:t>
      </w:r>
    </w:p>
    <w:p w14:paraId="67719726" w14:textId="45D17E7B"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h)</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 xml:space="preserve">pierderi de </w:t>
      </w:r>
      <w:r w:rsidRPr="000508B6">
        <w:rPr>
          <w:rFonts w:ascii="Times New Roman" w:eastAsia="Times New Roman" w:hAnsi="Times New Roman" w:cs="Times New Roman"/>
          <w:lang w:val="ro-MD"/>
        </w:rPr>
        <w:t xml:space="preserve">chirii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alte venituri</w:t>
      </w:r>
      <w:r w:rsidR="00800283" w:rsidRPr="000508B6">
        <w:rPr>
          <w:rFonts w:ascii="Times New Roman" w:eastAsia="Times New Roman" w:hAnsi="Times New Roman" w:cs="Times New Roman"/>
          <w:lang w:val="ro-MD"/>
        </w:rPr>
        <w:t xml:space="preserve"> similare</w:t>
      </w:r>
      <w:r w:rsidRPr="000508B6">
        <w:rPr>
          <w:rFonts w:ascii="Times New Roman" w:eastAsia="Times New Roman" w:hAnsi="Times New Roman" w:cs="Times New Roman"/>
          <w:lang w:val="ro-MD"/>
        </w:rPr>
        <w:t xml:space="preserve">;   </w:t>
      </w:r>
    </w:p>
    <w:p w14:paraId="0BC07149" w14:textId="62B29FC6"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i)</w:t>
      </w:r>
      <w:r w:rsidRPr="000508B6">
        <w:rPr>
          <w:rFonts w:ascii="Times New Roman" w:eastAsia="Times New Roman" w:hAnsi="Times New Roman" w:cs="Times New Roman"/>
          <w:lang w:val="ro-MD"/>
        </w:rPr>
        <w:tab/>
        <w:t xml:space="preserve">pierderi comerciale indirecte;   </w:t>
      </w:r>
    </w:p>
    <w:p w14:paraId="70C6C73F" w14:textId="79A86038"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j)</w:t>
      </w:r>
      <w:r w:rsidRPr="000508B6">
        <w:rPr>
          <w:rFonts w:ascii="Times New Roman" w:eastAsia="Times New Roman" w:hAnsi="Times New Roman" w:cs="Times New Roman"/>
          <w:lang w:val="ro-MD"/>
        </w:rPr>
        <w:tab/>
        <w:t xml:space="preserve">pierderi financiare necomerciale;   </w:t>
      </w:r>
    </w:p>
    <w:p w14:paraId="14D6B1E7"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k)</w:t>
      </w:r>
      <w:r w:rsidRPr="000508B6">
        <w:rPr>
          <w:rFonts w:ascii="Times New Roman" w:eastAsia="Times New Roman" w:hAnsi="Times New Roman" w:cs="Times New Roman"/>
          <w:lang w:val="ro-MD"/>
        </w:rPr>
        <w:tab/>
        <w:t xml:space="preserve">alte pierderi financiare;   </w:t>
      </w:r>
    </w:p>
    <w:p w14:paraId="0B73A1B2" w14:textId="4AA8D519"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b/>
          <w:lang w:val="ro-MD"/>
        </w:rPr>
        <w:t>17.</w:t>
      </w:r>
      <w:r w:rsidRPr="000508B6">
        <w:rPr>
          <w:rFonts w:ascii="Times New Roman" w:eastAsia="Times New Roman" w:hAnsi="Times New Roman" w:cs="Times New Roman"/>
          <w:b/>
          <w:lang w:val="ro-MD"/>
        </w:rPr>
        <w:tab/>
      </w:r>
      <w:r w:rsidR="00800283" w:rsidRPr="000508B6">
        <w:rPr>
          <w:rFonts w:ascii="Times New Roman" w:eastAsia="Times New Roman" w:hAnsi="Times New Roman" w:cs="Times New Roman"/>
          <w:b/>
          <w:lang w:val="ro-MD"/>
        </w:rPr>
        <w:t xml:space="preserve">Asigurări de </w:t>
      </w:r>
      <w:proofErr w:type="spellStart"/>
      <w:r w:rsidRPr="000508B6">
        <w:rPr>
          <w:rFonts w:ascii="Times New Roman" w:eastAsia="Times New Roman" w:hAnsi="Times New Roman" w:cs="Times New Roman"/>
          <w:b/>
          <w:lang w:val="ro-MD"/>
        </w:rPr>
        <w:t>protecţie</w:t>
      </w:r>
      <w:proofErr w:type="spellEnd"/>
      <w:r w:rsidRPr="000508B6">
        <w:rPr>
          <w:rFonts w:ascii="Times New Roman" w:eastAsia="Times New Roman" w:hAnsi="Times New Roman" w:cs="Times New Roman"/>
          <w:b/>
          <w:lang w:val="ro-MD"/>
        </w:rPr>
        <w:t xml:space="preserve"> juridică</w:t>
      </w:r>
      <w:r w:rsidR="00800283" w:rsidRPr="000508B6">
        <w:rPr>
          <w:rFonts w:ascii="Times New Roman" w:eastAsia="Times New Roman" w:hAnsi="Times New Roman" w:cs="Times New Roman"/>
          <w:b/>
          <w:lang w:val="ro-MD"/>
        </w:rPr>
        <w:t xml:space="preserve"> </w:t>
      </w:r>
      <w:r w:rsidR="00800283" w:rsidRPr="000508B6">
        <w:rPr>
          <w:rFonts w:ascii="Times New Roman" w:eastAsia="Times New Roman" w:hAnsi="Times New Roman" w:cs="Times New Roman"/>
          <w:lang w:val="ro-MD"/>
        </w:rPr>
        <w:t>care acoperă</w:t>
      </w:r>
      <w:r w:rsidRPr="000508B6">
        <w:rPr>
          <w:rFonts w:ascii="Times New Roman" w:eastAsia="Times New Roman" w:hAnsi="Times New Roman" w:cs="Times New Roman"/>
          <w:lang w:val="ro-MD"/>
        </w:rPr>
        <w:t xml:space="preserve">: cheltuieli aferente procedurilor judiciare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alte cheltuieli judiciare;   </w:t>
      </w:r>
    </w:p>
    <w:p w14:paraId="6E0ED4AC" w14:textId="65635150"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18.</w:t>
      </w:r>
      <w:r w:rsidRPr="000508B6">
        <w:rPr>
          <w:rFonts w:ascii="Times New Roman" w:eastAsia="Times New Roman" w:hAnsi="Times New Roman" w:cs="Times New Roman"/>
          <w:b/>
          <w:lang w:val="ro-MD"/>
        </w:rPr>
        <w:tab/>
      </w:r>
      <w:r w:rsidR="00800283" w:rsidRPr="000508B6">
        <w:rPr>
          <w:rFonts w:ascii="Times New Roman" w:eastAsia="Times New Roman" w:hAnsi="Times New Roman" w:cs="Times New Roman"/>
          <w:b/>
          <w:lang w:val="ro-MD"/>
        </w:rPr>
        <w:t xml:space="preserve">Asigurări de </w:t>
      </w:r>
      <w:proofErr w:type="spellStart"/>
      <w:r w:rsidRPr="000508B6">
        <w:rPr>
          <w:rFonts w:ascii="Times New Roman" w:eastAsia="Times New Roman" w:hAnsi="Times New Roman" w:cs="Times New Roman"/>
          <w:b/>
          <w:lang w:val="ro-MD"/>
        </w:rPr>
        <w:t>asistenţă</w:t>
      </w:r>
      <w:proofErr w:type="spellEnd"/>
      <w:r w:rsidRPr="000508B6">
        <w:rPr>
          <w:rFonts w:ascii="Times New Roman" w:eastAsia="Times New Roman" w:hAnsi="Times New Roman" w:cs="Times New Roman"/>
          <w:b/>
          <w:lang w:val="ro-MD"/>
        </w:rPr>
        <w:t xml:space="preserve"> pentru persoane aflate în dificultate în timpul deplasărilor ori </w:t>
      </w:r>
      <w:proofErr w:type="spellStart"/>
      <w:r w:rsidRPr="000508B6">
        <w:rPr>
          <w:rFonts w:ascii="Times New Roman" w:eastAsia="Times New Roman" w:hAnsi="Times New Roman" w:cs="Times New Roman"/>
          <w:b/>
          <w:lang w:val="ro-MD"/>
        </w:rPr>
        <w:t>absenţei</w:t>
      </w:r>
      <w:proofErr w:type="spellEnd"/>
      <w:r w:rsidRPr="000508B6">
        <w:rPr>
          <w:rFonts w:ascii="Times New Roman" w:eastAsia="Times New Roman" w:hAnsi="Times New Roman" w:cs="Times New Roman"/>
          <w:b/>
          <w:lang w:val="ro-MD"/>
        </w:rPr>
        <w:t xml:space="preserve"> de la domiciliu sau </w:t>
      </w:r>
      <w:proofErr w:type="spellStart"/>
      <w:r w:rsidRPr="000508B6">
        <w:rPr>
          <w:rFonts w:ascii="Times New Roman" w:eastAsia="Times New Roman" w:hAnsi="Times New Roman" w:cs="Times New Roman"/>
          <w:b/>
          <w:lang w:val="ro-MD"/>
        </w:rPr>
        <w:t>reşedinţa</w:t>
      </w:r>
      <w:proofErr w:type="spellEnd"/>
      <w:r w:rsidRPr="000508B6">
        <w:rPr>
          <w:rFonts w:ascii="Times New Roman" w:eastAsia="Times New Roman" w:hAnsi="Times New Roman" w:cs="Times New Roman"/>
          <w:b/>
          <w:lang w:val="ro-MD"/>
        </w:rPr>
        <w:t xml:space="preserve"> </w:t>
      </w:r>
      <w:proofErr w:type="spellStart"/>
      <w:r w:rsidRPr="000508B6">
        <w:rPr>
          <w:rFonts w:ascii="Times New Roman" w:eastAsia="Times New Roman" w:hAnsi="Times New Roman" w:cs="Times New Roman"/>
          <w:b/>
          <w:lang w:val="ro-MD"/>
        </w:rPr>
        <w:t>obişnuită</w:t>
      </w:r>
      <w:proofErr w:type="spellEnd"/>
      <w:r w:rsidRPr="000508B6">
        <w:rPr>
          <w:rFonts w:ascii="Times New Roman" w:eastAsia="Times New Roman" w:hAnsi="Times New Roman" w:cs="Times New Roman"/>
          <w:b/>
          <w:lang w:val="ro-MD"/>
        </w:rPr>
        <w:t xml:space="preserve">.   </w:t>
      </w:r>
    </w:p>
    <w:p w14:paraId="4A01AE5D" w14:textId="7777777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 </w:t>
      </w:r>
    </w:p>
    <w:p w14:paraId="3D8B0492" w14:textId="77777777" w:rsidR="00F95829" w:rsidRPr="000508B6" w:rsidRDefault="00F95829" w:rsidP="008B530F">
      <w:pPr>
        <w:tabs>
          <w:tab w:val="left" w:pos="851"/>
        </w:tabs>
        <w:spacing w:after="0" w:line="240" w:lineRule="auto"/>
        <w:ind w:firstLine="426"/>
        <w:jc w:val="center"/>
        <w:rPr>
          <w:rFonts w:ascii="Times New Roman" w:eastAsia="Times New Roman" w:hAnsi="Times New Roman" w:cs="Times New Roman"/>
          <w:b/>
          <w:lang w:val="ro-MD"/>
        </w:rPr>
      </w:pPr>
      <w:proofErr w:type="spellStart"/>
      <w:r w:rsidRPr="000508B6">
        <w:rPr>
          <w:rFonts w:ascii="Times New Roman" w:eastAsia="Times New Roman" w:hAnsi="Times New Roman" w:cs="Times New Roman"/>
          <w:b/>
          <w:lang w:val="ro-MD"/>
        </w:rPr>
        <w:t>Secţiunea</w:t>
      </w:r>
      <w:proofErr w:type="spellEnd"/>
      <w:r w:rsidRPr="000508B6">
        <w:rPr>
          <w:rFonts w:ascii="Times New Roman" w:eastAsia="Times New Roman" w:hAnsi="Times New Roman" w:cs="Times New Roman"/>
          <w:b/>
          <w:lang w:val="ro-MD"/>
        </w:rPr>
        <w:t xml:space="preserve"> B</w:t>
      </w:r>
    </w:p>
    <w:p w14:paraId="193B2644" w14:textId="4B8036C2" w:rsidR="00F95829" w:rsidRPr="000508B6" w:rsidRDefault="00F95829" w:rsidP="008B530F">
      <w:pPr>
        <w:tabs>
          <w:tab w:val="left" w:pos="851"/>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 xml:space="preserve">Denumirea </w:t>
      </w:r>
      <w:r w:rsidR="007B2181" w:rsidRPr="000508B6">
        <w:rPr>
          <w:rFonts w:ascii="Times New Roman" w:eastAsia="Times New Roman" w:hAnsi="Times New Roman" w:cs="Times New Roman"/>
          <w:b/>
          <w:lang w:val="ro-MD"/>
        </w:rPr>
        <w:t xml:space="preserve">licenței </w:t>
      </w:r>
      <w:r w:rsidRPr="000508B6">
        <w:rPr>
          <w:rFonts w:ascii="Times New Roman" w:eastAsia="Times New Roman" w:hAnsi="Times New Roman" w:cs="Times New Roman"/>
          <w:b/>
          <w:lang w:val="ro-MD"/>
        </w:rPr>
        <w:t>pentru practicarea mai multor clase de asigur</w:t>
      </w:r>
      <w:r w:rsidR="00F43B28" w:rsidRPr="000508B6">
        <w:rPr>
          <w:rFonts w:ascii="Times New Roman" w:eastAsia="Times New Roman" w:hAnsi="Times New Roman" w:cs="Times New Roman"/>
          <w:b/>
          <w:lang w:val="ro-MD"/>
        </w:rPr>
        <w:t>are</w:t>
      </w:r>
    </w:p>
    <w:p w14:paraId="2C25E71C" w14:textId="10C19868"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ab/>
      </w:r>
      <w:r w:rsidR="00D03123" w:rsidRPr="000508B6">
        <w:rPr>
          <w:rFonts w:ascii="Times New Roman" w:eastAsia="Times New Roman" w:hAnsi="Times New Roman" w:cs="Times New Roman"/>
          <w:lang w:val="ro-MD"/>
        </w:rPr>
        <w:t>Asigurări de a</w:t>
      </w:r>
      <w:r w:rsidRPr="000508B6">
        <w:rPr>
          <w:rFonts w:ascii="Times New Roman" w:eastAsia="Times New Roman" w:hAnsi="Times New Roman" w:cs="Times New Roman"/>
          <w:lang w:val="ro-MD"/>
        </w:rPr>
        <w:t>ccident</w:t>
      </w:r>
      <w:r w:rsidR="00D03123" w:rsidRPr="000508B6">
        <w:rPr>
          <w:rFonts w:ascii="Times New Roman" w:eastAsia="Times New Roman" w:hAnsi="Times New Roman" w:cs="Times New Roman"/>
          <w:lang w:val="ro-MD"/>
        </w:rPr>
        <w:t>e</w:t>
      </w:r>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sănătate</w:t>
      </w:r>
      <w:r w:rsidR="000D134C" w:rsidRPr="000508B6">
        <w:rPr>
          <w:rFonts w:ascii="Times New Roman" w:eastAsia="Times New Roman" w:hAnsi="Times New Roman" w:cs="Times New Roman"/>
          <w:lang w:val="ro-MD"/>
        </w:rPr>
        <w:t>”</w:t>
      </w:r>
      <w:r w:rsidRPr="000508B6">
        <w:rPr>
          <w:rFonts w:ascii="Times New Roman" w:eastAsia="Times New Roman" w:hAnsi="Times New Roman" w:cs="Times New Roman"/>
          <w:lang w:val="ro-MD"/>
        </w:rPr>
        <w:t xml:space="preserve"> - clasele 1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2;   </w:t>
      </w:r>
    </w:p>
    <w:p w14:paraId="451FE6AD" w14:textId="05FD0E4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 auto - clasa 1 </w:t>
      </w:r>
      <w:r w:rsidR="00671371" w:rsidRPr="000508B6">
        <w:rPr>
          <w:rFonts w:ascii="Times New Roman" w:eastAsia="Times New Roman" w:hAnsi="Times New Roman" w:cs="Times New Roman"/>
          <w:lang w:val="ro-MD"/>
        </w:rPr>
        <w:t>lit</w:t>
      </w:r>
      <w:r w:rsidRPr="000508B6">
        <w:rPr>
          <w:rFonts w:ascii="Times New Roman" w:eastAsia="Times New Roman" w:hAnsi="Times New Roman" w:cs="Times New Roman"/>
          <w:lang w:val="ro-MD"/>
        </w:rPr>
        <w:t xml:space="preserve">. d)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clasele 3, 7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10;   </w:t>
      </w:r>
    </w:p>
    <w:p w14:paraId="73E15BF4" w14:textId="24FDDBF5"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 xml:space="preserve">Asigurări </w:t>
      </w:r>
      <w:r w:rsidRPr="000508B6">
        <w:rPr>
          <w:rFonts w:ascii="Times New Roman" w:eastAsia="Times New Roman" w:hAnsi="Times New Roman" w:cs="Times New Roman"/>
          <w:lang w:val="ro-MD"/>
        </w:rPr>
        <w:t xml:space="preserve">maritime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transport - clasa 1 lit. d)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clasele 4, 6, 7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12;   </w:t>
      </w:r>
    </w:p>
    <w:p w14:paraId="27918911" w14:textId="58195CB5"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 </w:t>
      </w:r>
      <w:r w:rsidR="00800283" w:rsidRPr="000508B6">
        <w:rPr>
          <w:rFonts w:ascii="Times New Roman" w:eastAsia="Times New Roman" w:hAnsi="Times New Roman" w:cs="Times New Roman"/>
          <w:lang w:val="ro-MD"/>
        </w:rPr>
        <w:t>de aviație</w:t>
      </w:r>
      <w:r w:rsidRPr="000508B6">
        <w:rPr>
          <w:rFonts w:ascii="Times New Roman" w:eastAsia="Times New Roman" w:hAnsi="Times New Roman" w:cs="Times New Roman"/>
          <w:lang w:val="ro-MD"/>
        </w:rPr>
        <w:t xml:space="preserve"> - clasa 1 </w:t>
      </w:r>
      <w:r w:rsidR="00671371" w:rsidRPr="000508B6">
        <w:rPr>
          <w:rFonts w:ascii="Times New Roman" w:eastAsia="Times New Roman" w:hAnsi="Times New Roman" w:cs="Times New Roman"/>
          <w:lang w:val="ro-MD"/>
        </w:rPr>
        <w:t>lit</w:t>
      </w:r>
      <w:r w:rsidRPr="000508B6">
        <w:rPr>
          <w:rFonts w:ascii="Times New Roman" w:eastAsia="Times New Roman" w:hAnsi="Times New Roman" w:cs="Times New Roman"/>
          <w:lang w:val="ro-MD"/>
        </w:rPr>
        <w:t xml:space="preserve">. d)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clasele 5, 7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11;   </w:t>
      </w:r>
    </w:p>
    <w:p w14:paraId="15441A89" w14:textId="3B2359F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 </w:t>
      </w:r>
      <w:r w:rsidR="00800283" w:rsidRPr="000508B6">
        <w:rPr>
          <w:rFonts w:ascii="Times New Roman" w:eastAsia="Times New Roman" w:hAnsi="Times New Roman" w:cs="Times New Roman"/>
          <w:lang w:val="ro-MD"/>
        </w:rPr>
        <w:t xml:space="preserve">de </w:t>
      </w:r>
      <w:r w:rsidRPr="000508B6">
        <w:rPr>
          <w:rFonts w:ascii="Times New Roman" w:eastAsia="Times New Roman" w:hAnsi="Times New Roman" w:cs="Times New Roman"/>
          <w:lang w:val="ro-MD"/>
        </w:rPr>
        <w:t xml:space="preserve">incendii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alte daune ale bunurilor - clasele 8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9;   </w:t>
      </w:r>
    </w:p>
    <w:p w14:paraId="70BAA693" w14:textId="563F1E43"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 de răspundere civilă - clasele 10-13;   </w:t>
      </w:r>
    </w:p>
    <w:p w14:paraId="43954712" w14:textId="4E78DFC2"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7.</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 de credite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garanţii</w:t>
      </w:r>
      <w:proofErr w:type="spellEnd"/>
      <w:r w:rsidRPr="000508B6">
        <w:rPr>
          <w:rFonts w:ascii="Times New Roman" w:eastAsia="Times New Roman" w:hAnsi="Times New Roman" w:cs="Times New Roman"/>
          <w:lang w:val="ro-MD"/>
        </w:rPr>
        <w:t xml:space="preserve"> - clasele 14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15;   </w:t>
      </w:r>
    </w:p>
    <w:p w14:paraId="50D44625" w14:textId="0E2CF324"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8.</w:t>
      </w:r>
      <w:r w:rsidRPr="000508B6">
        <w:rPr>
          <w:rFonts w:ascii="Times New Roman" w:eastAsia="Times New Roman" w:hAnsi="Times New Roman" w:cs="Times New Roman"/>
          <w:lang w:val="ro-MD"/>
        </w:rPr>
        <w:tab/>
      </w:r>
      <w:r w:rsidR="00800283"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 xml:space="preserve">oate clasele.   </w:t>
      </w:r>
    </w:p>
    <w:p w14:paraId="78C00018" w14:textId="77777777" w:rsidR="002A1AB3" w:rsidRPr="000508B6" w:rsidRDefault="002A1AB3" w:rsidP="003E3BBB">
      <w:pPr>
        <w:tabs>
          <w:tab w:val="left" w:pos="851"/>
        </w:tabs>
        <w:spacing w:after="0" w:line="240" w:lineRule="auto"/>
        <w:ind w:firstLine="426"/>
        <w:jc w:val="center"/>
        <w:rPr>
          <w:rFonts w:ascii="Times New Roman" w:eastAsia="Times New Roman" w:hAnsi="Times New Roman" w:cs="Times New Roman"/>
          <w:b/>
          <w:lang w:val="ro-MD"/>
        </w:rPr>
      </w:pPr>
    </w:p>
    <w:p w14:paraId="31288919"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3D7E9174"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7A4C4449"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61B8A9C4"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77AAEC5B"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280F3EAC"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7CCA8B6A"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76CBFFBD"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12E14AB6"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1F385EF9" w14:textId="77777777" w:rsidR="00947506" w:rsidRPr="000508B6" w:rsidRDefault="00947506" w:rsidP="002A1AB3">
      <w:pPr>
        <w:tabs>
          <w:tab w:val="left" w:pos="851"/>
        </w:tabs>
        <w:spacing w:after="0" w:line="240" w:lineRule="auto"/>
        <w:ind w:firstLine="426"/>
        <w:jc w:val="right"/>
        <w:rPr>
          <w:rFonts w:ascii="Times New Roman" w:eastAsia="Times New Roman" w:hAnsi="Times New Roman" w:cs="Times New Roman"/>
          <w:lang w:val="ro-MD"/>
        </w:rPr>
      </w:pPr>
    </w:p>
    <w:p w14:paraId="6CAD092F" w14:textId="68D3C4F8" w:rsidR="002A1AB3" w:rsidRPr="000508B6" w:rsidRDefault="00E81DE7" w:rsidP="002A1AB3">
      <w:pPr>
        <w:tabs>
          <w:tab w:val="left" w:pos="851"/>
        </w:tabs>
        <w:spacing w:after="0" w:line="240" w:lineRule="auto"/>
        <w:ind w:firstLine="426"/>
        <w:jc w:val="right"/>
        <w:rPr>
          <w:rFonts w:ascii="Times New Roman" w:eastAsia="Times New Roman" w:hAnsi="Times New Roman" w:cs="Times New Roman"/>
          <w:lang w:val="ro-MD"/>
        </w:rPr>
      </w:pPr>
      <w:r w:rsidRPr="000508B6">
        <w:rPr>
          <w:rFonts w:ascii="Times New Roman" w:eastAsia="Times New Roman" w:hAnsi="Times New Roman" w:cs="Times New Roman"/>
          <w:lang w:val="ro-MD"/>
        </w:rPr>
        <w:t>Anexa</w:t>
      </w:r>
      <w:r w:rsidR="002A1AB3"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n</w:t>
      </w:r>
      <w:r w:rsidR="002A1AB3" w:rsidRPr="000508B6">
        <w:rPr>
          <w:rFonts w:ascii="Times New Roman" w:eastAsia="Times New Roman" w:hAnsi="Times New Roman" w:cs="Times New Roman"/>
          <w:lang w:val="ro-MD"/>
        </w:rPr>
        <w:t>r. 2</w:t>
      </w:r>
    </w:p>
    <w:p w14:paraId="45464004" w14:textId="00F64726" w:rsidR="002A1AB3" w:rsidRPr="000508B6" w:rsidRDefault="002A1AB3" w:rsidP="002A1AB3">
      <w:pPr>
        <w:tabs>
          <w:tab w:val="left" w:pos="851"/>
        </w:tabs>
        <w:spacing w:after="0" w:line="240" w:lineRule="auto"/>
        <w:ind w:firstLine="426"/>
        <w:jc w:val="right"/>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Clasele de asigurare de viață  </w:t>
      </w:r>
    </w:p>
    <w:p w14:paraId="298E1D04" w14:textId="77777777" w:rsidR="002A1AB3" w:rsidRPr="000508B6" w:rsidRDefault="002A1AB3" w:rsidP="00947506">
      <w:pPr>
        <w:tabs>
          <w:tab w:val="left" w:pos="851"/>
        </w:tabs>
        <w:spacing w:after="0" w:line="240" w:lineRule="auto"/>
        <w:ind w:firstLine="426"/>
        <w:jc w:val="right"/>
        <w:rPr>
          <w:rFonts w:ascii="Times New Roman" w:eastAsia="Times New Roman" w:hAnsi="Times New Roman" w:cs="Times New Roman"/>
          <w:b/>
          <w:lang w:val="ro-MD"/>
        </w:rPr>
      </w:pPr>
    </w:p>
    <w:p w14:paraId="78C88898" w14:textId="2B74E086" w:rsidR="00671371" w:rsidRPr="000508B6" w:rsidRDefault="009C36DF" w:rsidP="003E3BBB">
      <w:pPr>
        <w:tabs>
          <w:tab w:val="left" w:pos="851"/>
        </w:tabs>
        <w:spacing w:after="0" w:line="240" w:lineRule="auto"/>
        <w:ind w:firstLine="426"/>
        <w:jc w:val="center"/>
        <w:rPr>
          <w:rFonts w:ascii="Times New Roman" w:eastAsia="Times New Roman" w:hAnsi="Times New Roman" w:cs="Times New Roman"/>
          <w:b/>
          <w:lang w:val="ro-MD"/>
        </w:rPr>
      </w:pPr>
      <w:r w:rsidRPr="000508B6">
        <w:rPr>
          <w:rFonts w:ascii="Times New Roman" w:eastAsia="Times New Roman" w:hAnsi="Times New Roman" w:cs="Times New Roman"/>
          <w:b/>
          <w:lang w:val="ro-MD"/>
        </w:rPr>
        <w:t>CLASE</w:t>
      </w:r>
      <w:r w:rsidR="00234916" w:rsidRPr="000508B6">
        <w:rPr>
          <w:rFonts w:ascii="Times New Roman" w:eastAsia="Times New Roman" w:hAnsi="Times New Roman" w:cs="Times New Roman"/>
          <w:b/>
          <w:lang w:val="ro-MD"/>
        </w:rPr>
        <w:t>LE</w:t>
      </w:r>
      <w:r w:rsidRPr="000508B6">
        <w:rPr>
          <w:rFonts w:ascii="Times New Roman" w:eastAsia="Times New Roman" w:hAnsi="Times New Roman" w:cs="Times New Roman"/>
          <w:b/>
          <w:lang w:val="ro-MD"/>
        </w:rPr>
        <w:t xml:space="preserve"> DE ASIGURARE DE VIAȚĂ</w:t>
      </w:r>
    </w:p>
    <w:p w14:paraId="09706338" w14:textId="6CB66816"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1.</w:t>
      </w:r>
      <w:r w:rsidRPr="000508B6">
        <w:rPr>
          <w:rFonts w:ascii="Times New Roman" w:eastAsia="Times New Roman" w:hAnsi="Times New Roman" w:cs="Times New Roman"/>
          <w:lang w:val="ro-MD"/>
        </w:rPr>
        <w:tab/>
      </w:r>
      <w:r w:rsidR="00F43B28"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art. 2 alin. (</w:t>
      </w:r>
      <w:r w:rsidR="004502F6"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lit. a) pct. (i) - (iii), exclusiv cele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pct. 2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3;   </w:t>
      </w:r>
    </w:p>
    <w:p w14:paraId="379B0D66" w14:textId="53A614E9"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2.</w:t>
      </w:r>
      <w:r w:rsidRPr="000508B6">
        <w:rPr>
          <w:rFonts w:ascii="Times New Roman" w:eastAsia="Times New Roman" w:hAnsi="Times New Roman" w:cs="Times New Roman"/>
          <w:lang w:val="ro-MD"/>
        </w:rPr>
        <w:tab/>
      </w:r>
      <w:r w:rsidR="00F43B28"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 de căsătorie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de </w:t>
      </w:r>
      <w:proofErr w:type="spellStart"/>
      <w:r w:rsidRPr="000508B6">
        <w:rPr>
          <w:rFonts w:ascii="Times New Roman" w:eastAsia="Times New Roman" w:hAnsi="Times New Roman" w:cs="Times New Roman"/>
          <w:lang w:val="ro-MD"/>
        </w:rPr>
        <w:t>naştere</w:t>
      </w:r>
      <w:proofErr w:type="spellEnd"/>
      <w:r w:rsidRPr="000508B6">
        <w:rPr>
          <w:rFonts w:ascii="Times New Roman" w:eastAsia="Times New Roman" w:hAnsi="Times New Roman" w:cs="Times New Roman"/>
          <w:lang w:val="ro-MD"/>
        </w:rPr>
        <w:t xml:space="preserve">;   </w:t>
      </w:r>
    </w:p>
    <w:p w14:paraId="525DC26B" w14:textId="2CC40C07"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3.</w:t>
      </w:r>
      <w:r w:rsidRPr="000508B6">
        <w:rPr>
          <w:rFonts w:ascii="Times New Roman" w:eastAsia="Times New Roman" w:hAnsi="Times New Roman" w:cs="Times New Roman"/>
          <w:lang w:val="ro-MD"/>
        </w:rPr>
        <w:tab/>
      </w:r>
      <w:r w:rsidR="00F43B28"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sigurările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art. 2 alin. (</w:t>
      </w:r>
      <w:r w:rsidR="004502F6"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lit. a) pct. (i)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(ii) legate de fonduri de </w:t>
      </w:r>
      <w:proofErr w:type="spellStart"/>
      <w:r w:rsidRPr="000508B6">
        <w:rPr>
          <w:rFonts w:ascii="Times New Roman" w:eastAsia="Times New Roman" w:hAnsi="Times New Roman" w:cs="Times New Roman"/>
          <w:lang w:val="ro-MD"/>
        </w:rPr>
        <w:t>investiţii</w:t>
      </w:r>
      <w:proofErr w:type="spellEnd"/>
      <w:r w:rsidRPr="000508B6">
        <w:rPr>
          <w:rFonts w:ascii="Times New Roman" w:eastAsia="Times New Roman" w:hAnsi="Times New Roman" w:cs="Times New Roman"/>
          <w:lang w:val="ro-MD"/>
        </w:rPr>
        <w:t xml:space="preserve">;   </w:t>
      </w:r>
    </w:p>
    <w:p w14:paraId="71F85DD5" w14:textId="780E4214"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ab/>
      </w:r>
      <w:r w:rsidR="002D78D3" w:rsidRPr="000508B6">
        <w:rPr>
          <w:rFonts w:ascii="Times New Roman" w:eastAsia="Times New Roman" w:hAnsi="Times New Roman" w:cs="Times New Roman"/>
          <w:lang w:val="ro-MD"/>
        </w:rPr>
        <w:t>T</w:t>
      </w:r>
      <w:r w:rsidRPr="000508B6">
        <w:rPr>
          <w:rFonts w:ascii="Times New Roman" w:eastAsia="Times New Roman" w:hAnsi="Times New Roman" w:cs="Times New Roman"/>
          <w:lang w:val="ro-MD"/>
        </w:rPr>
        <w:t xml:space="preserve">ontinele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art. 2 alin. (</w:t>
      </w:r>
      <w:r w:rsidR="004502F6" w:rsidRPr="000508B6">
        <w:rPr>
          <w:rFonts w:ascii="Times New Roman" w:eastAsia="Times New Roman" w:hAnsi="Times New Roman" w:cs="Times New Roman"/>
          <w:lang w:val="ro-MD"/>
        </w:rPr>
        <w:t>4</w:t>
      </w:r>
      <w:r w:rsidR="00A65B03"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lit. b) pct. (i);   </w:t>
      </w:r>
    </w:p>
    <w:p w14:paraId="6034A1D9" w14:textId="5609FBCA"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5.</w:t>
      </w:r>
      <w:r w:rsidRPr="000508B6">
        <w:rPr>
          <w:rFonts w:ascii="Times New Roman" w:eastAsia="Times New Roman" w:hAnsi="Times New Roman" w:cs="Times New Roman"/>
          <w:lang w:val="ro-MD"/>
        </w:rPr>
        <w:tab/>
      </w:r>
      <w:proofErr w:type="spellStart"/>
      <w:r w:rsidR="002D78D3" w:rsidRPr="000508B6">
        <w:rPr>
          <w:rFonts w:ascii="Times New Roman" w:eastAsia="Times New Roman" w:hAnsi="Times New Roman" w:cs="Times New Roman"/>
          <w:lang w:val="ro-MD"/>
        </w:rPr>
        <w:t>O</w:t>
      </w:r>
      <w:r w:rsidRPr="000508B6">
        <w:rPr>
          <w:rFonts w:ascii="Times New Roman" w:eastAsia="Times New Roman" w:hAnsi="Times New Roman" w:cs="Times New Roman"/>
          <w:lang w:val="ro-MD"/>
        </w:rPr>
        <w:t>peraţiuni</w:t>
      </w:r>
      <w:proofErr w:type="spellEnd"/>
      <w:r w:rsidRPr="000508B6">
        <w:rPr>
          <w:rFonts w:ascii="Times New Roman" w:eastAsia="Times New Roman" w:hAnsi="Times New Roman" w:cs="Times New Roman"/>
          <w:lang w:val="ro-MD"/>
        </w:rPr>
        <w:t xml:space="preserve"> de capitalizare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art. 2 alin. (</w:t>
      </w:r>
      <w:r w:rsidR="004502F6"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lit. b) pct. (ii);   </w:t>
      </w:r>
    </w:p>
    <w:p w14:paraId="3BF2CE11" w14:textId="580D5E68" w:rsidR="00F95829" w:rsidRPr="000508B6" w:rsidRDefault="00F95829" w:rsidP="008B530F">
      <w:pPr>
        <w:tabs>
          <w:tab w:val="left" w:pos="851"/>
        </w:tabs>
        <w:spacing w:after="0" w:line="240" w:lineRule="auto"/>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6.</w:t>
      </w:r>
      <w:r w:rsidRPr="000508B6">
        <w:rPr>
          <w:rFonts w:ascii="Times New Roman" w:eastAsia="Times New Roman" w:hAnsi="Times New Roman" w:cs="Times New Roman"/>
          <w:lang w:val="ro-MD"/>
        </w:rPr>
        <w:tab/>
      </w:r>
      <w:r w:rsidR="002D78D3" w:rsidRPr="000508B6">
        <w:rPr>
          <w:rFonts w:ascii="Times New Roman" w:eastAsia="Times New Roman" w:hAnsi="Times New Roman" w:cs="Times New Roman"/>
          <w:lang w:val="ro-MD"/>
        </w:rPr>
        <w:t>A</w:t>
      </w:r>
      <w:r w:rsidRPr="000508B6">
        <w:rPr>
          <w:rFonts w:ascii="Times New Roman" w:eastAsia="Times New Roman" w:hAnsi="Times New Roman" w:cs="Times New Roman"/>
          <w:lang w:val="ro-MD"/>
        </w:rPr>
        <w:t xml:space="preserve">dministrarea fondurilor de pensii de grup </w:t>
      </w:r>
      <w:proofErr w:type="spellStart"/>
      <w:r w:rsidRPr="000508B6">
        <w:rPr>
          <w:rFonts w:ascii="Times New Roman" w:eastAsia="Times New Roman" w:hAnsi="Times New Roman" w:cs="Times New Roman"/>
          <w:lang w:val="ro-MD"/>
        </w:rPr>
        <w:t>menţionată</w:t>
      </w:r>
      <w:proofErr w:type="spellEnd"/>
      <w:r w:rsidRPr="000508B6">
        <w:rPr>
          <w:rFonts w:ascii="Times New Roman" w:eastAsia="Times New Roman" w:hAnsi="Times New Roman" w:cs="Times New Roman"/>
          <w:lang w:val="ro-MD"/>
        </w:rPr>
        <w:t xml:space="preserve"> la art. 2 alin. (</w:t>
      </w:r>
      <w:r w:rsidR="004502F6" w:rsidRPr="000508B6">
        <w:rPr>
          <w:rFonts w:ascii="Times New Roman" w:eastAsia="Times New Roman" w:hAnsi="Times New Roman" w:cs="Times New Roman"/>
          <w:lang w:val="ro-MD"/>
        </w:rPr>
        <w:t>4</w:t>
      </w:r>
      <w:r w:rsidRPr="000508B6">
        <w:rPr>
          <w:rFonts w:ascii="Times New Roman" w:eastAsia="Times New Roman" w:hAnsi="Times New Roman" w:cs="Times New Roman"/>
          <w:lang w:val="ro-MD"/>
        </w:rPr>
        <w:t xml:space="preserve">) lit. b) pct. (iii) </w:t>
      </w:r>
      <w:proofErr w:type="spellStart"/>
      <w:r w:rsidRPr="000508B6">
        <w:rPr>
          <w:rFonts w:ascii="Times New Roman" w:eastAsia="Times New Roman" w:hAnsi="Times New Roman" w:cs="Times New Roman"/>
          <w:lang w:val="ro-MD"/>
        </w:rPr>
        <w:t>şi</w:t>
      </w:r>
      <w:proofErr w:type="spellEnd"/>
      <w:r w:rsidRPr="000508B6">
        <w:rPr>
          <w:rFonts w:ascii="Times New Roman" w:eastAsia="Times New Roman" w:hAnsi="Times New Roman" w:cs="Times New Roman"/>
          <w:lang w:val="ro-MD"/>
        </w:rPr>
        <w:t xml:space="preserve"> (iv);   </w:t>
      </w:r>
    </w:p>
    <w:p w14:paraId="020CF416" w14:textId="4FF76503" w:rsidR="00AC1905" w:rsidRPr="000508B6" w:rsidRDefault="00F95829" w:rsidP="00AC1905">
      <w:pPr>
        <w:tabs>
          <w:tab w:val="left" w:pos="851"/>
        </w:tabs>
        <w:spacing w:after="0"/>
        <w:ind w:firstLine="426"/>
        <w:jc w:val="both"/>
        <w:rPr>
          <w:rFonts w:ascii="Times New Roman" w:eastAsia="Times New Roman" w:hAnsi="Times New Roman" w:cs="Times New Roman"/>
          <w:lang w:val="ro-MD"/>
        </w:rPr>
      </w:pPr>
      <w:r w:rsidRPr="000508B6">
        <w:rPr>
          <w:rFonts w:ascii="Times New Roman" w:eastAsia="Times New Roman" w:hAnsi="Times New Roman" w:cs="Times New Roman"/>
          <w:lang w:val="ro-MD"/>
        </w:rPr>
        <w:t xml:space="preserve">7. </w:t>
      </w:r>
      <w:proofErr w:type="spellStart"/>
      <w:r w:rsidR="002D78D3" w:rsidRPr="000508B6">
        <w:rPr>
          <w:rFonts w:ascii="Times New Roman" w:eastAsia="Times New Roman" w:hAnsi="Times New Roman" w:cs="Times New Roman"/>
          <w:lang w:val="ro-MD"/>
        </w:rPr>
        <w:t>O</w:t>
      </w:r>
      <w:r w:rsidRPr="000508B6">
        <w:rPr>
          <w:rFonts w:ascii="Times New Roman" w:eastAsia="Times New Roman" w:hAnsi="Times New Roman" w:cs="Times New Roman"/>
          <w:lang w:val="ro-MD"/>
        </w:rPr>
        <w:t>peraţiunile</w:t>
      </w:r>
      <w:proofErr w:type="spellEnd"/>
      <w:r w:rsidRPr="000508B6">
        <w:rPr>
          <w:rFonts w:ascii="Times New Roman" w:eastAsia="Times New Roman" w:hAnsi="Times New Roman" w:cs="Times New Roman"/>
          <w:lang w:val="ro-MD"/>
        </w:rPr>
        <w:t xml:space="preserve"> </w:t>
      </w:r>
      <w:proofErr w:type="spellStart"/>
      <w:r w:rsidRPr="000508B6">
        <w:rPr>
          <w:rFonts w:ascii="Times New Roman" w:eastAsia="Times New Roman" w:hAnsi="Times New Roman" w:cs="Times New Roman"/>
          <w:lang w:val="ro-MD"/>
        </w:rPr>
        <w:t>menţionate</w:t>
      </w:r>
      <w:proofErr w:type="spellEnd"/>
      <w:r w:rsidRPr="000508B6">
        <w:rPr>
          <w:rFonts w:ascii="Times New Roman" w:eastAsia="Times New Roman" w:hAnsi="Times New Roman" w:cs="Times New Roman"/>
          <w:lang w:val="ro-MD"/>
        </w:rPr>
        <w:t xml:space="preserve"> la art. 2 alin. (</w:t>
      </w:r>
      <w:r w:rsidR="004502F6" w:rsidRPr="000508B6">
        <w:rPr>
          <w:rFonts w:ascii="Times New Roman" w:eastAsia="Times New Roman" w:hAnsi="Times New Roman" w:cs="Times New Roman"/>
          <w:lang w:val="ro-MD"/>
        </w:rPr>
        <w:t>4</w:t>
      </w:r>
      <w:r w:rsidR="00C255DF" w:rsidRPr="000508B6">
        <w:rPr>
          <w:rFonts w:ascii="Times New Roman" w:eastAsia="Times New Roman" w:hAnsi="Times New Roman" w:cs="Times New Roman"/>
          <w:lang w:val="ro-MD"/>
        </w:rPr>
        <w:t xml:space="preserve"> </w:t>
      </w:r>
      <w:r w:rsidRPr="000508B6">
        <w:rPr>
          <w:rFonts w:ascii="Times New Roman" w:eastAsia="Times New Roman" w:hAnsi="Times New Roman" w:cs="Times New Roman"/>
          <w:lang w:val="ro-MD"/>
        </w:rPr>
        <w:t xml:space="preserve">) lit. c).  </w:t>
      </w:r>
    </w:p>
    <w:p w14:paraId="27CD4288" w14:textId="77777777" w:rsidR="00947506" w:rsidRPr="000508B6" w:rsidRDefault="00947506" w:rsidP="008B530F">
      <w:pPr>
        <w:tabs>
          <w:tab w:val="left" w:pos="851"/>
        </w:tabs>
        <w:spacing w:after="0"/>
        <w:ind w:firstLine="426"/>
        <w:jc w:val="right"/>
        <w:rPr>
          <w:rFonts w:ascii="Times New Roman" w:hAnsi="Times New Roman" w:cs="Times New Roman"/>
          <w:b/>
          <w:lang w:val="ro-MD"/>
        </w:rPr>
      </w:pPr>
      <w:bookmarkStart w:id="200" w:name="_Hlk179207186"/>
    </w:p>
    <w:p w14:paraId="3E90349A" w14:textId="77777777" w:rsidR="00947506" w:rsidRPr="000508B6" w:rsidRDefault="00947506" w:rsidP="00240B71">
      <w:pPr>
        <w:tabs>
          <w:tab w:val="left" w:pos="851"/>
        </w:tabs>
        <w:spacing w:after="0"/>
        <w:rPr>
          <w:rFonts w:ascii="Times New Roman" w:hAnsi="Times New Roman" w:cs="Times New Roman"/>
          <w:b/>
          <w:lang w:val="ro-MD"/>
        </w:rPr>
      </w:pPr>
    </w:p>
    <w:p w14:paraId="7E9C458B" w14:textId="77777777" w:rsidR="009E56A7" w:rsidRPr="000508B6" w:rsidRDefault="009E56A7" w:rsidP="00240B71">
      <w:pPr>
        <w:tabs>
          <w:tab w:val="left" w:pos="851"/>
        </w:tabs>
        <w:spacing w:after="0"/>
        <w:rPr>
          <w:rFonts w:ascii="Times New Roman" w:hAnsi="Times New Roman" w:cs="Times New Roman"/>
          <w:b/>
          <w:lang w:val="ro-MD"/>
        </w:rPr>
      </w:pPr>
    </w:p>
    <w:p w14:paraId="07CE0FDC" w14:textId="1FB1AF3C" w:rsidR="00F95829" w:rsidRPr="000508B6" w:rsidRDefault="00F95829" w:rsidP="008B530F">
      <w:pPr>
        <w:tabs>
          <w:tab w:val="left" w:pos="851"/>
        </w:tabs>
        <w:spacing w:after="0"/>
        <w:ind w:firstLine="426"/>
        <w:jc w:val="right"/>
        <w:rPr>
          <w:rFonts w:ascii="Times New Roman" w:hAnsi="Times New Roman" w:cs="Times New Roman"/>
          <w:b/>
          <w:lang w:val="ro-MD"/>
        </w:rPr>
      </w:pPr>
      <w:r w:rsidRPr="000508B6">
        <w:rPr>
          <w:rFonts w:ascii="Times New Roman" w:hAnsi="Times New Roman" w:cs="Times New Roman"/>
          <w:b/>
          <w:lang w:val="ro-MD"/>
        </w:rPr>
        <w:lastRenderedPageBreak/>
        <w:t xml:space="preserve">Anexa </w:t>
      </w:r>
      <w:r w:rsidR="00E81DE7" w:rsidRPr="000508B6">
        <w:rPr>
          <w:rFonts w:ascii="Times New Roman" w:hAnsi="Times New Roman" w:cs="Times New Roman"/>
          <w:b/>
          <w:lang w:val="ro-MD"/>
        </w:rPr>
        <w:t>nr.</w:t>
      </w:r>
      <w:r w:rsidR="002A1AB3" w:rsidRPr="000508B6">
        <w:rPr>
          <w:rFonts w:ascii="Times New Roman" w:hAnsi="Times New Roman" w:cs="Times New Roman"/>
          <w:b/>
          <w:lang w:val="ro-MD"/>
        </w:rPr>
        <w:t>3</w:t>
      </w:r>
    </w:p>
    <w:p w14:paraId="074316D5" w14:textId="54541EA8" w:rsidR="00F95829" w:rsidRPr="000508B6" w:rsidRDefault="009C36DF" w:rsidP="008B530F">
      <w:pPr>
        <w:tabs>
          <w:tab w:val="left" w:pos="851"/>
        </w:tabs>
        <w:spacing w:after="0"/>
        <w:ind w:firstLine="426"/>
        <w:jc w:val="center"/>
        <w:rPr>
          <w:rFonts w:ascii="Times New Roman" w:hAnsi="Times New Roman" w:cs="Times New Roman"/>
          <w:b/>
          <w:lang w:val="ro-MD"/>
        </w:rPr>
      </w:pPr>
      <w:r w:rsidRPr="000508B6">
        <w:rPr>
          <w:rFonts w:ascii="Times New Roman" w:hAnsi="Times New Roman" w:cs="Times New Roman"/>
          <w:b/>
          <w:lang w:val="ro-MD"/>
        </w:rPr>
        <w:t>FORMULA STANDARD PENTRU CALCULAREA SCR</w:t>
      </w:r>
    </w:p>
    <w:p w14:paraId="70A8752F" w14:textId="77777777" w:rsidR="009C36DF" w:rsidRPr="000508B6" w:rsidRDefault="009C36DF" w:rsidP="008B530F">
      <w:pPr>
        <w:tabs>
          <w:tab w:val="left" w:pos="851"/>
        </w:tabs>
        <w:spacing w:after="0"/>
        <w:ind w:firstLine="426"/>
        <w:jc w:val="center"/>
        <w:rPr>
          <w:rFonts w:ascii="Times New Roman" w:hAnsi="Times New Roman" w:cs="Times New Roman"/>
          <w:b/>
          <w:lang w:val="ro-MD"/>
        </w:rPr>
      </w:pPr>
    </w:p>
    <w:bookmarkEnd w:id="200"/>
    <w:p w14:paraId="12E8EE76" w14:textId="77777777" w:rsidR="003A2A08" w:rsidRPr="000508B6" w:rsidRDefault="00F95829" w:rsidP="008B29E3">
      <w:pPr>
        <w:pStyle w:val="Listparagraf"/>
        <w:numPr>
          <w:ilvl w:val="0"/>
          <w:numId w:val="1"/>
        </w:numPr>
        <w:tabs>
          <w:tab w:val="left" w:pos="851"/>
        </w:tabs>
        <w:spacing w:after="0"/>
        <w:ind w:left="0" w:firstLine="426"/>
        <w:jc w:val="both"/>
        <w:rPr>
          <w:rFonts w:ascii="Times New Roman" w:hAnsi="Times New Roman" w:cs="Times New Roman"/>
          <w:b/>
          <w:bCs/>
          <w:lang w:val="ro-MD"/>
        </w:rPr>
      </w:pPr>
      <w:r w:rsidRPr="000508B6">
        <w:rPr>
          <w:rFonts w:ascii="Times New Roman" w:hAnsi="Times New Roman" w:cs="Times New Roman"/>
          <w:b/>
          <w:lang w:val="ro-MD"/>
        </w:rPr>
        <w:t xml:space="preserve">Calcularea SCR de bază </w:t>
      </w:r>
    </w:p>
    <w:p w14:paraId="4ED72486" w14:textId="77777777" w:rsidR="003A2A08" w:rsidRPr="000508B6" w:rsidRDefault="003A2A08" w:rsidP="003A2A08">
      <w:pPr>
        <w:pStyle w:val="Listparagraf"/>
        <w:tabs>
          <w:tab w:val="left" w:pos="851"/>
        </w:tabs>
        <w:spacing w:after="0"/>
        <w:ind w:left="426"/>
        <w:jc w:val="both"/>
        <w:rPr>
          <w:rFonts w:ascii="Times New Roman" w:hAnsi="Times New Roman" w:cs="Times New Roman"/>
          <w:lang w:val="ro-MD"/>
        </w:rPr>
      </w:pPr>
    </w:p>
    <w:p w14:paraId="33CFADCA" w14:textId="055CD26B" w:rsidR="00F95829" w:rsidRPr="000508B6" w:rsidRDefault="00F95829" w:rsidP="003A2A08">
      <w:pPr>
        <w:pStyle w:val="Listparagraf"/>
        <w:tabs>
          <w:tab w:val="left" w:pos="851"/>
        </w:tabs>
        <w:spacing w:after="0"/>
        <w:ind w:left="426"/>
        <w:jc w:val="both"/>
        <w:rPr>
          <w:rFonts w:ascii="Times New Roman" w:hAnsi="Times New Roman" w:cs="Times New Roman"/>
          <w:lang w:val="ro-MD"/>
        </w:rPr>
      </w:pPr>
      <w:r w:rsidRPr="000508B6">
        <w:rPr>
          <w:rFonts w:ascii="Times New Roman" w:hAnsi="Times New Roman" w:cs="Times New Roman"/>
          <w:lang w:val="ro-MD"/>
        </w:rPr>
        <w:t xml:space="preserve">SCR de bază, </w:t>
      </w:r>
      <w:proofErr w:type="spellStart"/>
      <w:r w:rsidRPr="000508B6">
        <w:rPr>
          <w:rFonts w:ascii="Times New Roman" w:hAnsi="Times New Roman" w:cs="Times New Roman"/>
          <w:lang w:val="ro-MD"/>
        </w:rPr>
        <w:t>menţionată</w:t>
      </w:r>
      <w:proofErr w:type="spellEnd"/>
      <w:r w:rsidRPr="000508B6">
        <w:rPr>
          <w:rFonts w:ascii="Times New Roman" w:hAnsi="Times New Roman" w:cs="Times New Roman"/>
          <w:lang w:val="ro-MD"/>
        </w:rPr>
        <w:t xml:space="preserve"> la art. </w:t>
      </w:r>
      <w:r w:rsidR="002B068F" w:rsidRPr="000508B6">
        <w:rPr>
          <w:rFonts w:ascii="Times New Roman" w:hAnsi="Times New Roman" w:cs="Times New Roman"/>
          <w:lang w:val="ro-MD"/>
        </w:rPr>
        <w:t>67</w:t>
      </w:r>
      <w:r w:rsidRPr="000508B6">
        <w:rPr>
          <w:rFonts w:ascii="Times New Roman" w:hAnsi="Times New Roman" w:cs="Times New Roman"/>
          <w:lang w:val="ro-MD"/>
        </w:rPr>
        <w:t>, este egală cu:</w:t>
      </w:r>
    </w:p>
    <w:p w14:paraId="12A6B398" w14:textId="22585CA3" w:rsidR="00D236FB" w:rsidRPr="000508B6" w:rsidRDefault="00D236FB" w:rsidP="00D236FB">
      <w:pPr>
        <w:tabs>
          <w:tab w:val="left" w:pos="851"/>
        </w:tabs>
        <w:spacing w:after="0"/>
        <w:jc w:val="both"/>
        <w:rPr>
          <w:rFonts w:ascii="Times New Roman" w:hAnsi="Times New Roman" w:cs="Times New Roman"/>
          <w:lang w:val="ro-MD"/>
        </w:rPr>
      </w:pPr>
    </w:p>
    <w:p w14:paraId="1506AD6D" w14:textId="2D20D084" w:rsidR="00D236FB" w:rsidRPr="000508B6" w:rsidRDefault="00D236FB" w:rsidP="00D236FB">
      <w:pPr>
        <w:tabs>
          <w:tab w:val="left" w:pos="851"/>
        </w:tabs>
        <w:spacing w:after="0"/>
        <w:jc w:val="both"/>
        <w:rPr>
          <w:rFonts w:ascii="Times New Roman" w:hAnsi="Times New Roman" w:cs="Times New Roman"/>
          <w:lang w:val="ro-MD"/>
        </w:rPr>
      </w:pPr>
      <w:r w:rsidRPr="000508B6">
        <w:rPr>
          <w:rFonts w:ascii="Times New Roman" w:hAnsi="Times New Roman" w:cs="Times New Roman"/>
          <w:noProof/>
        </w:rPr>
        <w:drawing>
          <wp:inline distT="0" distB="0" distL="0" distR="0" wp14:anchorId="2BB21FFD" wp14:editId="1FFCC01E">
            <wp:extent cx="5697822" cy="613376"/>
            <wp:effectExtent l="0" t="0" r="0" b="0"/>
            <wp:docPr id="7" name="Picture 7" descr="P:\Users\tmc1\AppData\Local\Microsoft\Windows\INetCache\Content.MSO\6A58ED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sers\tmc1\AppData\Local\Microsoft\Windows\INetCache\Content.MSO\6A58ED3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8824" cy="630708"/>
                    </a:xfrm>
                    <a:prstGeom prst="rect">
                      <a:avLst/>
                    </a:prstGeom>
                    <a:noFill/>
                    <a:ln>
                      <a:noFill/>
                    </a:ln>
                  </pic:spPr>
                </pic:pic>
              </a:graphicData>
            </a:graphic>
          </wp:inline>
        </w:drawing>
      </w:r>
    </w:p>
    <w:p w14:paraId="29D38528" w14:textId="77777777"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unde:</w:t>
      </w:r>
    </w:p>
    <w:p w14:paraId="6DE7D059" w14:textId="76253420"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a) </w:t>
      </w:r>
      <w:proofErr w:type="spellStart"/>
      <w:r w:rsidRPr="000508B6">
        <w:rPr>
          <w:rFonts w:ascii="Times New Roman" w:hAnsi="Times New Roman" w:cs="Times New Roman"/>
          <w:lang w:val="ro-MD"/>
        </w:rPr>
        <w:t>SCRi</w:t>
      </w:r>
      <w:proofErr w:type="spellEnd"/>
      <w:r w:rsidRPr="000508B6">
        <w:rPr>
          <w:rFonts w:ascii="Times New Roman" w:hAnsi="Times New Roman" w:cs="Times New Roman"/>
          <w:lang w:val="ro-MD"/>
        </w:rPr>
        <w:t xml:space="preserve"> este modulul de risc i; </w:t>
      </w:r>
    </w:p>
    <w:p w14:paraId="7130CBC8" w14:textId="77777777"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b) </w:t>
      </w:r>
      <w:proofErr w:type="spellStart"/>
      <w:r w:rsidRPr="000508B6">
        <w:rPr>
          <w:rFonts w:ascii="Times New Roman" w:hAnsi="Times New Roman" w:cs="Times New Roman"/>
          <w:lang w:val="ro-MD"/>
        </w:rPr>
        <w:t>SCRj</w:t>
      </w:r>
      <w:proofErr w:type="spellEnd"/>
      <w:r w:rsidRPr="000508B6">
        <w:rPr>
          <w:rFonts w:ascii="Times New Roman" w:hAnsi="Times New Roman" w:cs="Times New Roman"/>
          <w:lang w:val="ro-MD"/>
        </w:rPr>
        <w:t xml:space="preserve"> este modulul de risc j;</w:t>
      </w:r>
    </w:p>
    <w:p w14:paraId="7806B5C2" w14:textId="55F9D69B"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c) i, j denotă că suma unor termeni </w:t>
      </w:r>
      <w:proofErr w:type="spellStart"/>
      <w:r w:rsidRPr="000508B6">
        <w:rPr>
          <w:rFonts w:ascii="Times New Roman" w:hAnsi="Times New Roman" w:cs="Times New Roman"/>
          <w:lang w:val="ro-MD"/>
        </w:rPr>
        <w:t>diferiţi</w:t>
      </w:r>
      <w:proofErr w:type="spellEnd"/>
      <w:r w:rsidRPr="000508B6">
        <w:rPr>
          <w:rFonts w:ascii="Times New Roman" w:hAnsi="Times New Roman" w:cs="Times New Roman"/>
          <w:lang w:val="ro-MD"/>
        </w:rPr>
        <w:t xml:space="preserve"> ar trebui să acopere toate </w:t>
      </w:r>
      <w:proofErr w:type="spellStart"/>
      <w:r w:rsidRPr="000508B6">
        <w:rPr>
          <w:rFonts w:ascii="Times New Roman" w:hAnsi="Times New Roman" w:cs="Times New Roman"/>
          <w:lang w:val="ro-MD"/>
        </w:rPr>
        <w:t>combinaţiile</w:t>
      </w:r>
      <w:proofErr w:type="spellEnd"/>
      <w:r w:rsidRPr="000508B6">
        <w:rPr>
          <w:rFonts w:ascii="Times New Roman" w:hAnsi="Times New Roman" w:cs="Times New Roman"/>
          <w:lang w:val="ro-MD"/>
        </w:rPr>
        <w:t xml:space="preserve"> posibile de 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j. </w:t>
      </w:r>
    </w:p>
    <w:p w14:paraId="3477C84A" w14:textId="77777777"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În calcul, </w:t>
      </w:r>
      <w:proofErr w:type="spellStart"/>
      <w:r w:rsidRPr="000508B6">
        <w:rPr>
          <w:rFonts w:ascii="Times New Roman" w:hAnsi="Times New Roman" w:cs="Times New Roman"/>
          <w:lang w:val="ro-MD"/>
        </w:rPr>
        <w:t>SCRi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SCRj</w:t>
      </w:r>
      <w:proofErr w:type="spellEnd"/>
      <w:r w:rsidRPr="000508B6">
        <w:rPr>
          <w:rFonts w:ascii="Times New Roman" w:hAnsi="Times New Roman" w:cs="Times New Roman"/>
          <w:lang w:val="ro-MD"/>
        </w:rPr>
        <w:t xml:space="preserve"> se înlocuiesc cu următoarele: </w:t>
      </w:r>
    </w:p>
    <w:p w14:paraId="724B9F9D" w14:textId="204303B3"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a)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generale</w:t>
      </w:r>
      <w:proofErr w:type="spellEnd"/>
      <w:r w:rsidRPr="000508B6">
        <w:rPr>
          <w:rFonts w:ascii="Times New Roman" w:hAnsi="Times New Roman" w:cs="Times New Roman"/>
          <w:lang w:val="ro-MD"/>
        </w:rPr>
        <w:t xml:space="preserve"> - modulul risc de subscriere </w:t>
      </w:r>
      <w:r w:rsidR="00654BDF" w:rsidRPr="000508B6">
        <w:rPr>
          <w:rFonts w:ascii="Times New Roman" w:hAnsi="Times New Roman" w:cs="Times New Roman"/>
          <w:lang w:val="ro-MD"/>
        </w:rPr>
        <w:t>pentru asigurarea</w:t>
      </w:r>
      <w:r w:rsidRPr="000508B6">
        <w:rPr>
          <w:rFonts w:ascii="Times New Roman" w:hAnsi="Times New Roman" w:cs="Times New Roman"/>
          <w:lang w:val="ro-MD"/>
        </w:rPr>
        <w:t xml:space="preserve"> general</w:t>
      </w:r>
      <w:r w:rsidR="00654BDF" w:rsidRPr="000508B6">
        <w:rPr>
          <w:rFonts w:ascii="Times New Roman" w:hAnsi="Times New Roman" w:cs="Times New Roman"/>
          <w:lang w:val="ro-MD"/>
        </w:rPr>
        <w:t>ă</w:t>
      </w:r>
      <w:r w:rsidRPr="000508B6">
        <w:rPr>
          <w:rFonts w:ascii="Times New Roman" w:hAnsi="Times New Roman" w:cs="Times New Roman"/>
          <w:lang w:val="ro-MD"/>
        </w:rPr>
        <w:t xml:space="preserve">; </w:t>
      </w:r>
    </w:p>
    <w:p w14:paraId="5A3736FB" w14:textId="28C26B6D"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b)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viaţă</w:t>
      </w:r>
      <w:proofErr w:type="spellEnd"/>
      <w:r w:rsidRPr="000508B6">
        <w:rPr>
          <w:rFonts w:ascii="Times New Roman" w:hAnsi="Times New Roman" w:cs="Times New Roman"/>
          <w:lang w:val="ro-MD"/>
        </w:rPr>
        <w:t xml:space="preserve"> - modulul risc de subscriere </w:t>
      </w:r>
      <w:r w:rsidR="00654BDF" w:rsidRPr="000508B6">
        <w:rPr>
          <w:rFonts w:ascii="Times New Roman" w:hAnsi="Times New Roman" w:cs="Times New Roman"/>
          <w:lang w:val="ro-MD"/>
        </w:rPr>
        <w:t>pentru asigurarea</w:t>
      </w:r>
      <w:r w:rsidRPr="000508B6">
        <w:rPr>
          <w:rFonts w:ascii="Times New Roman" w:hAnsi="Times New Roman" w:cs="Times New Roman"/>
          <w:lang w:val="ro-MD"/>
        </w:rPr>
        <w:t xml:space="preserve"> de </w:t>
      </w:r>
      <w:proofErr w:type="spellStart"/>
      <w:r w:rsidRPr="000508B6">
        <w:rPr>
          <w:rFonts w:ascii="Times New Roman" w:hAnsi="Times New Roman" w:cs="Times New Roman"/>
          <w:lang w:val="ro-MD"/>
        </w:rPr>
        <w:t>viaţă</w:t>
      </w:r>
      <w:proofErr w:type="spellEnd"/>
      <w:r w:rsidRPr="000508B6">
        <w:rPr>
          <w:rFonts w:ascii="Times New Roman" w:hAnsi="Times New Roman" w:cs="Times New Roman"/>
          <w:lang w:val="ro-MD"/>
        </w:rPr>
        <w:t>;</w:t>
      </w:r>
    </w:p>
    <w:p w14:paraId="13451939" w14:textId="2577F7E0"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c)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sănătate</w:t>
      </w:r>
      <w:proofErr w:type="spellEnd"/>
      <w:r w:rsidRPr="000508B6">
        <w:rPr>
          <w:rFonts w:ascii="Times New Roman" w:hAnsi="Times New Roman" w:cs="Times New Roman"/>
          <w:lang w:val="ro-MD"/>
        </w:rPr>
        <w:t xml:space="preserve"> - modulul risc de subscriere </w:t>
      </w:r>
      <w:r w:rsidR="00654BDF" w:rsidRPr="000508B6">
        <w:rPr>
          <w:rFonts w:ascii="Times New Roman" w:hAnsi="Times New Roman" w:cs="Times New Roman"/>
          <w:lang w:val="ro-MD"/>
        </w:rPr>
        <w:t>pentru asigurarea</w:t>
      </w:r>
      <w:r w:rsidRPr="000508B6">
        <w:rPr>
          <w:rFonts w:ascii="Times New Roman" w:hAnsi="Times New Roman" w:cs="Times New Roman"/>
          <w:lang w:val="ro-MD"/>
        </w:rPr>
        <w:t xml:space="preserve"> de sănătate; </w:t>
      </w:r>
    </w:p>
    <w:p w14:paraId="5CE5519C" w14:textId="77777777"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d)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piaţă</w:t>
      </w:r>
      <w:proofErr w:type="spellEnd"/>
      <w:r w:rsidRPr="000508B6">
        <w:rPr>
          <w:rFonts w:ascii="Times New Roman" w:hAnsi="Times New Roman" w:cs="Times New Roman"/>
          <w:lang w:val="ro-MD"/>
        </w:rPr>
        <w:t xml:space="preserve"> - modulul risc de </w:t>
      </w:r>
      <w:proofErr w:type="spellStart"/>
      <w:r w:rsidRPr="000508B6">
        <w:rPr>
          <w:rFonts w:ascii="Times New Roman" w:hAnsi="Times New Roman" w:cs="Times New Roman"/>
          <w:lang w:val="ro-MD"/>
        </w:rPr>
        <w:t>piaţă</w:t>
      </w:r>
      <w:proofErr w:type="spellEnd"/>
      <w:r w:rsidRPr="000508B6">
        <w:rPr>
          <w:rFonts w:ascii="Times New Roman" w:hAnsi="Times New Roman" w:cs="Times New Roman"/>
          <w:lang w:val="ro-MD"/>
        </w:rPr>
        <w:t xml:space="preserve">; </w:t>
      </w:r>
    </w:p>
    <w:p w14:paraId="379CFBB7" w14:textId="75330536" w:rsidR="00D236FB" w:rsidRPr="000508B6" w:rsidRDefault="00F95829" w:rsidP="00D236FB">
      <w:pPr>
        <w:pStyle w:val="Listparagraf"/>
        <w:tabs>
          <w:tab w:val="left" w:pos="426"/>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e)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contrapartidă</w:t>
      </w:r>
      <w:proofErr w:type="spellEnd"/>
      <w:r w:rsidRPr="000508B6">
        <w:rPr>
          <w:rFonts w:ascii="Times New Roman" w:hAnsi="Times New Roman" w:cs="Times New Roman"/>
          <w:lang w:val="ro-MD"/>
        </w:rPr>
        <w:t xml:space="preserve"> - modulul risc de contrapartidă</w:t>
      </w:r>
      <w:r w:rsidR="005F773F" w:rsidRPr="000508B6">
        <w:rPr>
          <w:rFonts w:ascii="Times New Roman" w:hAnsi="Times New Roman" w:cs="Times New Roman"/>
          <w:lang w:val="ro-MD"/>
        </w:rPr>
        <w:t>;</w:t>
      </w:r>
    </w:p>
    <w:p w14:paraId="475C079E" w14:textId="03E91628" w:rsidR="005F773F" w:rsidRPr="000508B6" w:rsidRDefault="005F773F" w:rsidP="00D236FB">
      <w:pPr>
        <w:pStyle w:val="Listparagraf"/>
        <w:tabs>
          <w:tab w:val="left" w:pos="426"/>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f)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intangibles</w:t>
      </w:r>
      <w:proofErr w:type="spellEnd"/>
      <w:r w:rsidRPr="000508B6">
        <w:rPr>
          <w:rFonts w:ascii="Times New Roman" w:hAnsi="Times New Roman" w:cs="Times New Roman"/>
          <w:lang w:val="ro-MD"/>
        </w:rPr>
        <w:t xml:space="preserve">  -</w:t>
      </w:r>
      <w:r w:rsidR="00394041" w:rsidRPr="000508B6">
        <w:rPr>
          <w:rFonts w:ascii="Times New Roman" w:hAnsi="Times New Roman" w:cs="Times New Roman"/>
          <w:lang w:val="ro-MD"/>
        </w:rPr>
        <w:t xml:space="preserve"> </w:t>
      </w:r>
      <w:r w:rsidRPr="000508B6">
        <w:rPr>
          <w:rFonts w:ascii="Times New Roman" w:hAnsi="Times New Roman" w:cs="Times New Roman"/>
          <w:lang w:val="ro-MD"/>
        </w:rPr>
        <w:t xml:space="preserve">modulul </w:t>
      </w:r>
      <w:r w:rsidR="00394041" w:rsidRPr="000508B6">
        <w:rPr>
          <w:rFonts w:ascii="Times New Roman" w:hAnsi="Times New Roman" w:cs="Times New Roman"/>
          <w:lang w:val="ro-MD"/>
        </w:rPr>
        <w:t xml:space="preserve">risc aferent </w:t>
      </w:r>
      <w:r w:rsidRPr="000508B6">
        <w:rPr>
          <w:rFonts w:ascii="Times New Roman" w:hAnsi="Times New Roman" w:cs="Times New Roman"/>
          <w:lang w:val="ro-MD"/>
        </w:rPr>
        <w:t>imobilizări</w:t>
      </w:r>
      <w:r w:rsidR="00394041" w:rsidRPr="000508B6">
        <w:rPr>
          <w:rFonts w:ascii="Times New Roman" w:hAnsi="Times New Roman" w:cs="Times New Roman"/>
          <w:lang w:val="ro-MD"/>
        </w:rPr>
        <w:t>lor</w:t>
      </w:r>
      <w:r w:rsidRPr="000508B6">
        <w:rPr>
          <w:rFonts w:ascii="Times New Roman" w:hAnsi="Times New Roman" w:cs="Times New Roman"/>
          <w:lang w:val="ro-MD"/>
        </w:rPr>
        <w:t xml:space="preserve"> necorporale.</w:t>
      </w:r>
    </w:p>
    <w:p w14:paraId="3E70C487" w14:textId="5C02FE13" w:rsidR="00D236FB" w:rsidRPr="000508B6" w:rsidRDefault="00D236FB" w:rsidP="00D236FB">
      <w:pPr>
        <w:tabs>
          <w:tab w:val="left" w:pos="851"/>
        </w:tabs>
        <w:jc w:val="both"/>
        <w:rPr>
          <w:rFonts w:ascii="Times New Roman" w:hAnsi="Times New Roman" w:cs="Times New Roman"/>
          <w:lang w:val="ro-MD"/>
        </w:rPr>
      </w:pPr>
    </w:p>
    <w:p w14:paraId="07303DDF" w14:textId="5787EBD2" w:rsidR="00D236FB" w:rsidRPr="000508B6" w:rsidRDefault="00D236FB" w:rsidP="00D236FB">
      <w:pPr>
        <w:tabs>
          <w:tab w:val="left" w:pos="851"/>
        </w:tabs>
        <w:spacing w:after="0"/>
        <w:jc w:val="both"/>
        <w:rPr>
          <w:rFonts w:ascii="Times New Roman" w:hAnsi="Times New Roman" w:cs="Times New Roman"/>
          <w:lang w:val="ro-MD"/>
        </w:rPr>
      </w:pPr>
      <w:r w:rsidRPr="000508B6">
        <w:rPr>
          <w:rFonts w:ascii="Times New Roman" w:hAnsi="Times New Roman" w:cs="Times New Roman"/>
          <w:lang w:val="ro-MD"/>
        </w:rPr>
        <w:t>SCR</w:t>
      </w:r>
      <w:r w:rsidR="00E26FC4"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intangibles</w:t>
      </w:r>
      <w:proofErr w:type="spellEnd"/>
      <w:r w:rsidR="00A17A61" w:rsidRPr="000508B6">
        <w:rPr>
          <w:rFonts w:ascii="Times New Roman" w:hAnsi="Times New Roman" w:cs="Times New Roman"/>
          <w:lang w:val="ro-MD"/>
        </w:rPr>
        <w:t xml:space="preserve"> </w:t>
      </w:r>
      <w:r w:rsidRPr="000508B6">
        <w:rPr>
          <w:rFonts w:ascii="Times New Roman" w:hAnsi="Times New Roman" w:cs="Times New Roman"/>
          <w:lang w:val="ro-MD"/>
        </w:rPr>
        <w:t>reprezintă cerința de capital pentru riscul aferent imobilizărilor necorporale menționat la art</w:t>
      </w:r>
      <w:r w:rsidR="00B32CE8" w:rsidRPr="000508B6">
        <w:rPr>
          <w:rFonts w:ascii="Times New Roman" w:hAnsi="Times New Roman" w:cs="Times New Roman"/>
          <w:lang w:val="ro-MD"/>
        </w:rPr>
        <w:t>.</w:t>
      </w:r>
      <w:r w:rsidRPr="000508B6">
        <w:rPr>
          <w:rFonts w:ascii="Times New Roman" w:hAnsi="Times New Roman" w:cs="Times New Roman"/>
          <w:lang w:val="ro-MD"/>
        </w:rPr>
        <w:t xml:space="preserve"> </w:t>
      </w:r>
      <w:r w:rsidR="002B068F" w:rsidRPr="000508B6">
        <w:rPr>
          <w:rFonts w:ascii="Times New Roman" w:hAnsi="Times New Roman" w:cs="Times New Roman"/>
          <w:lang w:val="ro-MD"/>
        </w:rPr>
        <w:t>68</w:t>
      </w:r>
      <w:r w:rsidR="004D4D0F" w:rsidRPr="000508B6">
        <w:rPr>
          <w:rFonts w:ascii="Times New Roman" w:hAnsi="Times New Roman" w:cs="Times New Roman"/>
          <w:lang w:val="ro-MD"/>
        </w:rPr>
        <w:t xml:space="preserve"> alin.(12)</w:t>
      </w:r>
      <w:r w:rsidRPr="000508B6">
        <w:rPr>
          <w:rFonts w:ascii="Times New Roman" w:hAnsi="Times New Roman" w:cs="Times New Roman"/>
          <w:lang w:val="ro-MD"/>
        </w:rPr>
        <w:t>.</w:t>
      </w:r>
    </w:p>
    <w:p w14:paraId="02F8BFEA" w14:textId="77777777" w:rsidR="00D236FB" w:rsidRPr="000508B6" w:rsidRDefault="00D236FB" w:rsidP="008B530F">
      <w:pPr>
        <w:pStyle w:val="Listparagraf"/>
        <w:tabs>
          <w:tab w:val="left" w:pos="851"/>
        </w:tabs>
        <w:spacing w:after="0"/>
        <w:ind w:left="0" w:firstLine="426"/>
        <w:jc w:val="both"/>
        <w:rPr>
          <w:rFonts w:ascii="Times New Roman" w:hAnsi="Times New Roman" w:cs="Times New Roman"/>
          <w:lang w:val="ro-MD"/>
        </w:rPr>
      </w:pPr>
    </w:p>
    <w:p w14:paraId="0396E014" w14:textId="05AA3650" w:rsidR="00F95829" w:rsidRPr="000508B6" w:rsidRDefault="00F95829" w:rsidP="008B530F">
      <w:pPr>
        <w:pStyle w:val="Listparagraf"/>
        <w:tabs>
          <w:tab w:val="left" w:pos="851"/>
        </w:tabs>
        <w:spacing w:after="0"/>
        <w:ind w:left="0" w:firstLine="426"/>
        <w:jc w:val="both"/>
        <w:rPr>
          <w:rFonts w:ascii="Times New Roman" w:hAnsi="Times New Roman" w:cs="Times New Roman"/>
          <w:lang w:val="ro-MD"/>
        </w:rPr>
      </w:pPr>
      <w:r w:rsidRPr="000508B6">
        <w:rPr>
          <w:rFonts w:ascii="Times New Roman" w:hAnsi="Times New Roman" w:cs="Times New Roman"/>
          <w:lang w:val="ro-MD"/>
        </w:rPr>
        <w:t xml:space="preserve">Factorul </w:t>
      </w:r>
      <w:proofErr w:type="spellStart"/>
      <w:r w:rsidRPr="000508B6">
        <w:rPr>
          <w:rFonts w:ascii="Times New Roman" w:hAnsi="Times New Roman" w:cs="Times New Roman"/>
          <w:lang w:val="ro-MD"/>
        </w:rPr>
        <w:t>Corr</w:t>
      </w:r>
      <w:proofErr w:type="spellEnd"/>
      <w:r w:rsidR="00921A80" w:rsidRPr="000508B6">
        <w:rPr>
          <w:rFonts w:ascii="Times New Roman" w:hAnsi="Times New Roman" w:cs="Times New Roman"/>
          <w:lang w:val="ro-MD"/>
        </w:rPr>
        <w:t xml:space="preserve"> </w:t>
      </w:r>
      <w:r w:rsidRPr="000508B6">
        <w:rPr>
          <w:rFonts w:ascii="Times New Roman" w:hAnsi="Times New Roman" w:cs="Times New Roman"/>
          <w:lang w:val="ro-MD"/>
        </w:rPr>
        <w:t xml:space="preserve">i, j reprezintă elementul din rândul i </w:t>
      </w:r>
      <w:proofErr w:type="spellStart"/>
      <w:r w:rsidRPr="000508B6">
        <w:rPr>
          <w:rFonts w:ascii="Times New Roman" w:hAnsi="Times New Roman" w:cs="Times New Roman"/>
          <w:lang w:val="ro-MD"/>
        </w:rPr>
        <w:t>şi</w:t>
      </w:r>
      <w:proofErr w:type="spellEnd"/>
      <w:r w:rsidRPr="000508B6">
        <w:rPr>
          <w:rFonts w:ascii="Times New Roman" w:hAnsi="Times New Roman" w:cs="Times New Roman"/>
          <w:lang w:val="ro-MD"/>
        </w:rPr>
        <w:t xml:space="preserve"> coloana j din următoarea matrice de </w:t>
      </w:r>
      <w:proofErr w:type="spellStart"/>
      <w:r w:rsidRPr="000508B6">
        <w:rPr>
          <w:rFonts w:ascii="Times New Roman" w:hAnsi="Times New Roman" w:cs="Times New Roman"/>
          <w:lang w:val="ro-MD"/>
        </w:rPr>
        <w:t>corelaţie</w:t>
      </w:r>
      <w:proofErr w:type="spellEnd"/>
      <w:r w:rsidRPr="000508B6">
        <w:rPr>
          <w:rFonts w:ascii="Times New Roman" w:hAnsi="Times New Roman" w:cs="Times New Roman"/>
          <w:lang w:val="ro-MD"/>
        </w:rPr>
        <w:t>:</w:t>
      </w:r>
    </w:p>
    <w:tbl>
      <w:tblPr>
        <w:tblW w:w="8967"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703"/>
        <w:gridCol w:w="1183"/>
        <w:gridCol w:w="1776"/>
        <w:gridCol w:w="1213"/>
        <w:gridCol w:w="1583"/>
        <w:gridCol w:w="1509"/>
      </w:tblGrid>
      <w:tr w:rsidR="00D236FB" w:rsidRPr="000508B6" w14:paraId="0EC887DB" w14:textId="77777777" w:rsidTr="004E3488">
        <w:trPr>
          <w:trHeight w:val="422"/>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1C692" w14:textId="77777777" w:rsidR="00D236FB" w:rsidRPr="000508B6" w:rsidRDefault="00D236FB" w:rsidP="00D236F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j</w:t>
            </w:r>
          </w:p>
          <w:p w14:paraId="104BA1EA" w14:textId="77777777" w:rsidR="00D236FB" w:rsidRPr="000508B6" w:rsidRDefault="00D236FB" w:rsidP="00D236F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F3D70" w14:textId="77777777" w:rsidR="00D236FB" w:rsidRPr="000508B6" w:rsidRDefault="00D236FB" w:rsidP="00D236F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Piață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4CAB4" w14:textId="77777777" w:rsidR="00D236FB" w:rsidRPr="000508B6" w:rsidRDefault="00D236FB" w:rsidP="00D236F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Insolvență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512D23" w14:textId="77777777" w:rsidR="00D236FB" w:rsidRPr="000508B6" w:rsidRDefault="00D236FB" w:rsidP="00D236F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Viață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D7813" w14:textId="77777777" w:rsidR="00D236FB" w:rsidRPr="000508B6" w:rsidRDefault="00D236FB" w:rsidP="00D236F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Sănătate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343B02" w14:textId="77777777" w:rsidR="00D236FB" w:rsidRPr="000508B6" w:rsidRDefault="00D236FB" w:rsidP="00D236F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General</w:t>
            </w:r>
          </w:p>
        </w:tc>
      </w:tr>
      <w:tr w:rsidR="00D236FB" w:rsidRPr="000508B6" w14:paraId="4FD7945F" w14:textId="77777777" w:rsidTr="004E3488">
        <w:trPr>
          <w:trHeight w:val="214"/>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0A504"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Piață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756BC"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71A54"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9CC8D"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9145E"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F1724"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r>
      <w:tr w:rsidR="00D236FB" w:rsidRPr="000508B6" w14:paraId="55175673" w14:textId="77777777" w:rsidTr="004E3488">
        <w:trPr>
          <w:trHeight w:val="208"/>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3E79E"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Insolvență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9497A"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4A62F"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A8433F"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8B07C"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774C4"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0,5</w:t>
            </w:r>
          </w:p>
        </w:tc>
      </w:tr>
      <w:tr w:rsidR="00D236FB" w:rsidRPr="000508B6" w14:paraId="0C4E9A73" w14:textId="77777777" w:rsidTr="004E3488">
        <w:trPr>
          <w:trHeight w:val="214"/>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C4C0C"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Viață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E5322"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28130C"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F8913"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A964F"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550EE"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w:t>
            </w:r>
          </w:p>
        </w:tc>
      </w:tr>
      <w:tr w:rsidR="00D236FB" w:rsidRPr="000508B6" w14:paraId="29441ED3" w14:textId="77777777" w:rsidTr="004E3488">
        <w:trPr>
          <w:trHeight w:val="208"/>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87D50A"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Sănătate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4C15D"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AF9BB"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B58F8"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0FA5D"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17436"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w:t>
            </w:r>
          </w:p>
        </w:tc>
      </w:tr>
      <w:tr w:rsidR="00D236FB" w:rsidRPr="000508B6" w14:paraId="6CB35205" w14:textId="77777777" w:rsidTr="004E3488">
        <w:trPr>
          <w:trHeight w:val="208"/>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F567A"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General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54749"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C8182"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0FE5D"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BB2116"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100AA" w14:textId="77777777" w:rsidR="00D236FB" w:rsidRPr="000508B6" w:rsidRDefault="00D236FB" w:rsidP="00D236F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1</w:t>
            </w:r>
          </w:p>
        </w:tc>
      </w:tr>
    </w:tbl>
    <w:p w14:paraId="16337653" w14:textId="29977365" w:rsidR="00604BFE" w:rsidRPr="000508B6" w:rsidRDefault="00604BFE" w:rsidP="008B530F">
      <w:pPr>
        <w:tabs>
          <w:tab w:val="left" w:pos="851"/>
        </w:tabs>
        <w:spacing w:after="0"/>
        <w:ind w:firstLine="426"/>
        <w:rPr>
          <w:rFonts w:ascii="Times New Roman" w:hAnsi="Times New Roman" w:cs="Times New Roman"/>
          <w:lang w:val="ro-MD"/>
        </w:rPr>
      </w:pPr>
    </w:p>
    <w:p w14:paraId="5F573557" w14:textId="77777777" w:rsidR="005A70CB" w:rsidRPr="000508B6" w:rsidRDefault="005A70CB" w:rsidP="005A70C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2.   Calcularea modulului „risc de subscriere pentru asigurarea generală”</w:t>
      </w:r>
    </w:p>
    <w:p w14:paraId="2FA64125" w14:textId="55011089" w:rsidR="005A70CB" w:rsidRPr="000508B6" w:rsidRDefault="005A70CB" w:rsidP="005A70CB">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subscriere pentru asigurarea generală” prevăzut la articolul </w:t>
      </w:r>
      <w:r w:rsidR="00E87E7C" w:rsidRPr="000508B6">
        <w:rPr>
          <w:rFonts w:ascii="Times New Roman" w:hAnsi="Times New Roman" w:cs="Times New Roman"/>
          <w:lang w:val="ro-MD"/>
        </w:rPr>
        <w:t xml:space="preserve">68 </w:t>
      </w:r>
      <w:r w:rsidRPr="000508B6">
        <w:rPr>
          <w:rFonts w:ascii="Times New Roman" w:hAnsi="Times New Roman" w:cs="Times New Roman"/>
          <w:lang w:val="ro-MD"/>
        </w:rPr>
        <w:t>alin</w:t>
      </w:r>
      <w:r w:rsidR="00F24835" w:rsidRPr="000508B6">
        <w:rPr>
          <w:rFonts w:ascii="Times New Roman" w:hAnsi="Times New Roman" w:cs="Times New Roman"/>
          <w:lang w:val="ro-MD"/>
        </w:rPr>
        <w:t>.</w:t>
      </w:r>
      <w:r w:rsidRPr="000508B6">
        <w:rPr>
          <w:rFonts w:ascii="Times New Roman" w:hAnsi="Times New Roman" w:cs="Times New Roman"/>
          <w:lang w:val="ro-MD"/>
        </w:rPr>
        <w:t xml:space="preserve"> </w:t>
      </w:r>
      <w:r w:rsidR="00E65082" w:rsidRPr="000508B6">
        <w:rPr>
          <w:rFonts w:ascii="Times New Roman" w:hAnsi="Times New Roman" w:cs="Times New Roman"/>
          <w:lang w:val="ro-MD"/>
        </w:rPr>
        <w:t xml:space="preserve">(1) și </w:t>
      </w:r>
      <w:r w:rsidRPr="000508B6">
        <w:rPr>
          <w:rFonts w:ascii="Times New Roman" w:hAnsi="Times New Roman" w:cs="Times New Roman"/>
          <w:lang w:val="ro-MD"/>
        </w:rPr>
        <w:t>(2) este egal cu:</w:t>
      </w:r>
    </w:p>
    <w:p w14:paraId="181DE98F" w14:textId="2FDF567B"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noProof/>
        </w:rPr>
        <w:drawing>
          <wp:inline distT="0" distB="0" distL="0" distR="0" wp14:anchorId="30F20954" wp14:editId="709074BF">
            <wp:extent cx="2622620" cy="482825"/>
            <wp:effectExtent l="0" t="0" r="6350" b="0"/>
            <wp:docPr id="5" name="Picture 5" descr="P:\Users\tmc1\AppData\Local\Microsoft\Windows\INetCache\Content.MSO\7915E3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sers\tmc1\AppData\Local\Microsoft\Windows\INetCache\Content.MSO\7915E39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5871" cy="492629"/>
                    </a:xfrm>
                    <a:prstGeom prst="rect">
                      <a:avLst/>
                    </a:prstGeom>
                    <a:noFill/>
                    <a:ln>
                      <a:noFill/>
                    </a:ln>
                  </pic:spPr>
                </pic:pic>
              </a:graphicData>
            </a:graphic>
          </wp:inline>
        </w:drawing>
      </w:r>
    </w:p>
    <w:p w14:paraId="4E95C081" w14:textId="77777777" w:rsidR="005A70CB" w:rsidRPr="000508B6" w:rsidRDefault="005A70CB" w:rsidP="00F95D16">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xml:space="preserve">unde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i</w:t>
      </w:r>
      <w:proofErr w:type="spellEnd"/>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i, iar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j</w:t>
      </w:r>
      <w:proofErr w:type="spellEnd"/>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j și unde „i, j” înseamnă că suma diverșilor termeni ar trebui să acopere toate combinațiile posibile de i și j. La efectuarea calculului,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i</w:t>
      </w:r>
      <w:proofErr w:type="spellEnd"/>
      <w:r w:rsidRPr="000508B6">
        <w:rPr>
          <w:rFonts w:ascii="Times New Roman" w:hAnsi="Times New Roman" w:cs="Times New Roman"/>
          <w:lang w:val="ro-MD"/>
        </w:rPr>
        <w:t xml:space="preserve"> și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j</w:t>
      </w:r>
      <w:proofErr w:type="spellEnd"/>
      <w:r w:rsidRPr="000508B6">
        <w:rPr>
          <w:rFonts w:ascii="Times New Roman" w:hAnsi="Times New Roman" w:cs="Times New Roman"/>
          <w:lang w:val="ro-MD"/>
        </w:rPr>
        <w:t> se înlocuiesc cu următoarele:</w:t>
      </w:r>
    </w:p>
    <w:p w14:paraId="41842418" w14:textId="0F05ED12" w:rsidR="005A70CB" w:rsidRPr="000508B6" w:rsidRDefault="005A70CB" w:rsidP="00F24835">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xml:space="preserve">— SCR primă și rezervă general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primă și de rezervă în asigurarea generală”;</w:t>
      </w:r>
    </w:p>
    <w:p w14:paraId="3BEEB289" w14:textId="3D60B904" w:rsidR="005A70CB" w:rsidRPr="000508B6" w:rsidRDefault="005A70CB" w:rsidP="00F24835">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xml:space="preserve">— SCR catastrofă general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„catastrofă în asigurarea generală”.</w:t>
      </w:r>
    </w:p>
    <w:p w14:paraId="3336575B" w14:textId="77777777" w:rsidR="003A2A08" w:rsidRPr="000508B6" w:rsidRDefault="003A2A08" w:rsidP="005A70CB">
      <w:pPr>
        <w:tabs>
          <w:tab w:val="left" w:pos="851"/>
        </w:tabs>
        <w:spacing w:after="0"/>
        <w:ind w:firstLine="426"/>
        <w:rPr>
          <w:rFonts w:ascii="Times New Roman" w:hAnsi="Times New Roman" w:cs="Times New Roman"/>
          <w:b/>
          <w:lang w:val="ro-MD"/>
        </w:rPr>
      </w:pPr>
    </w:p>
    <w:p w14:paraId="4F440E4E" w14:textId="5010E537" w:rsidR="005A70CB" w:rsidRPr="000508B6" w:rsidRDefault="005A70CB" w:rsidP="005A70CB">
      <w:pPr>
        <w:tabs>
          <w:tab w:val="left" w:pos="851"/>
        </w:tabs>
        <w:spacing w:after="0"/>
        <w:ind w:firstLine="426"/>
        <w:rPr>
          <w:rFonts w:ascii="Times New Roman" w:hAnsi="Times New Roman" w:cs="Times New Roman"/>
          <w:b/>
          <w:lang w:val="ro-MD"/>
        </w:rPr>
      </w:pPr>
      <w:r w:rsidRPr="000508B6">
        <w:rPr>
          <w:rFonts w:ascii="Times New Roman" w:hAnsi="Times New Roman" w:cs="Times New Roman"/>
          <w:b/>
          <w:lang w:val="ro-MD"/>
        </w:rPr>
        <w:t>3.   Calcularea modulului „risc de subscriere pentru asigurarea de viață”</w:t>
      </w:r>
    </w:p>
    <w:p w14:paraId="00E5ACB1" w14:textId="24C4A31A"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xml:space="preserve">Modulul „risc de subscriere pentru asigurarea de viață” prevăzut la articolul </w:t>
      </w:r>
      <w:r w:rsidR="00E87E7C" w:rsidRPr="000508B6">
        <w:rPr>
          <w:rFonts w:ascii="Times New Roman" w:hAnsi="Times New Roman" w:cs="Times New Roman"/>
          <w:lang w:val="ro-MD"/>
        </w:rPr>
        <w:t xml:space="preserve">68 </w:t>
      </w:r>
      <w:r w:rsidRPr="000508B6">
        <w:rPr>
          <w:rFonts w:ascii="Times New Roman" w:hAnsi="Times New Roman" w:cs="Times New Roman"/>
          <w:lang w:val="ro-MD"/>
        </w:rPr>
        <w:t>alin</w:t>
      </w:r>
      <w:r w:rsidR="00F24835" w:rsidRPr="000508B6">
        <w:rPr>
          <w:rFonts w:ascii="Times New Roman" w:hAnsi="Times New Roman" w:cs="Times New Roman"/>
          <w:lang w:val="ro-MD"/>
        </w:rPr>
        <w:t xml:space="preserve">. </w:t>
      </w:r>
      <w:r w:rsidR="00E65082" w:rsidRPr="000508B6">
        <w:rPr>
          <w:rFonts w:ascii="Times New Roman" w:hAnsi="Times New Roman" w:cs="Times New Roman"/>
          <w:lang w:val="ro-MD"/>
        </w:rPr>
        <w:t xml:space="preserve">(3) și </w:t>
      </w:r>
      <w:r w:rsidRPr="000508B6">
        <w:rPr>
          <w:rFonts w:ascii="Times New Roman" w:hAnsi="Times New Roman" w:cs="Times New Roman"/>
          <w:lang w:val="ro-MD"/>
        </w:rPr>
        <w:t>(</w:t>
      </w:r>
      <w:r w:rsidR="00F24835" w:rsidRPr="000508B6">
        <w:rPr>
          <w:rFonts w:ascii="Times New Roman" w:hAnsi="Times New Roman" w:cs="Times New Roman"/>
          <w:lang w:val="ro-MD"/>
        </w:rPr>
        <w:t>4</w:t>
      </w:r>
      <w:r w:rsidRPr="000508B6">
        <w:rPr>
          <w:rFonts w:ascii="Times New Roman" w:hAnsi="Times New Roman" w:cs="Times New Roman"/>
          <w:lang w:val="ro-MD"/>
        </w:rPr>
        <w:t>) este egal cu:</w:t>
      </w:r>
    </w:p>
    <w:p w14:paraId="061EBA6D" w14:textId="261B437D"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noProof/>
        </w:rPr>
        <w:lastRenderedPageBreak/>
        <w:drawing>
          <wp:inline distT="0" distB="0" distL="0" distR="0" wp14:anchorId="505C9EBA" wp14:editId="436588E0">
            <wp:extent cx="2497016" cy="486298"/>
            <wp:effectExtent l="0" t="0" r="0" b="9525"/>
            <wp:docPr id="4" name="Picture 4" descr="P:\Users\tmc1\AppData\Local\Microsoft\Windows\INetCache\Content.MSO\F8EE2F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sers\tmc1\AppData\Local\Microsoft\Windows\INetCache\Content.MSO\F8EE2F6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5036" cy="495650"/>
                    </a:xfrm>
                    <a:prstGeom prst="rect">
                      <a:avLst/>
                    </a:prstGeom>
                    <a:noFill/>
                    <a:ln>
                      <a:noFill/>
                    </a:ln>
                  </pic:spPr>
                </pic:pic>
              </a:graphicData>
            </a:graphic>
          </wp:inline>
        </w:drawing>
      </w:r>
    </w:p>
    <w:p w14:paraId="63E29CF2" w14:textId="77777777"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xml:space="preserve">unde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i</w:t>
      </w:r>
      <w:proofErr w:type="spellEnd"/>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i, iar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j</w:t>
      </w:r>
      <w:proofErr w:type="spellEnd"/>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j și unde „i, j” înseamnă că suma diverșilor termeni ar trebui să acopere toate combinațiile posibile de i și j. La efectuarea calculului,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i</w:t>
      </w:r>
      <w:proofErr w:type="spellEnd"/>
      <w:r w:rsidRPr="000508B6">
        <w:rPr>
          <w:rFonts w:ascii="Times New Roman" w:hAnsi="Times New Roman" w:cs="Times New Roman"/>
          <w:lang w:val="ro-MD"/>
        </w:rPr>
        <w:t xml:space="preserve"> și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j</w:t>
      </w:r>
      <w:proofErr w:type="spellEnd"/>
      <w:r w:rsidRPr="000508B6">
        <w:rPr>
          <w:rFonts w:ascii="Times New Roman" w:hAnsi="Times New Roman" w:cs="Times New Roman"/>
          <w:lang w:val="ro-MD"/>
        </w:rPr>
        <w:t> se înlocuiesc cu următoarele:</w:t>
      </w:r>
    </w:p>
    <w:p w14:paraId="6803BB3C" w14:textId="05D723CC"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xml:space="preserve">— SCR mortalitate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mortalitate”;</w:t>
      </w:r>
    </w:p>
    <w:p w14:paraId="26D1E9A4" w14:textId="60E52D4F"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xml:space="preserve">— SCR longevitate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longevitate”;</w:t>
      </w:r>
    </w:p>
    <w:p w14:paraId="4BBC1DF7" w14:textId="4EE23638"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xml:space="preserve">— SCR invaliditate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invaliditate-morbiditate”;</w:t>
      </w:r>
    </w:p>
    <w:p w14:paraId="5C5815A9" w14:textId="5725243B" w:rsidR="005A70CB" w:rsidRPr="000508B6" w:rsidRDefault="005A70CB" w:rsidP="006B1932">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SCR cheltuieli </w:t>
      </w:r>
      <w:r w:rsidRPr="000508B6">
        <w:rPr>
          <w:rFonts w:ascii="Times New Roman" w:hAnsi="Times New Roman" w:cs="Times New Roman"/>
          <w:vertAlign w:val="subscript"/>
          <w:lang w:val="ro-MD"/>
        </w:rPr>
        <w:t>cu asigurarea de viață</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cheltuieli cu asigurarea de viață”;</w:t>
      </w:r>
    </w:p>
    <w:p w14:paraId="588A8B9A" w14:textId="2550CD0E" w:rsidR="005A70CB" w:rsidRPr="000508B6" w:rsidRDefault="005A70CB" w:rsidP="006B1932">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xml:space="preserve">— SCR revizuire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revizuire”;</w:t>
      </w:r>
    </w:p>
    <w:p w14:paraId="51B1CB53" w14:textId="26E7B30D" w:rsidR="005A70CB" w:rsidRPr="000508B6" w:rsidRDefault="005A70CB" w:rsidP="006B1932">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xml:space="preserve">— SCR </w:t>
      </w:r>
      <w:r w:rsidR="00F65AD1" w:rsidRPr="000508B6">
        <w:rPr>
          <w:rFonts w:ascii="Times New Roman" w:hAnsi="Times New Roman" w:cs="Times New Roman"/>
          <w:lang w:val="ro-MD"/>
        </w:rPr>
        <w:t>rezoluțiune</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w:t>
      </w:r>
      <w:r w:rsidR="00F65AD1" w:rsidRPr="000508B6">
        <w:rPr>
          <w:rFonts w:ascii="Times New Roman" w:hAnsi="Times New Roman" w:cs="Times New Roman"/>
          <w:lang w:val="ro-MD"/>
        </w:rPr>
        <w:t>rezoluțiune</w:t>
      </w:r>
      <w:r w:rsidRPr="000508B6">
        <w:rPr>
          <w:rFonts w:ascii="Times New Roman" w:hAnsi="Times New Roman" w:cs="Times New Roman"/>
          <w:lang w:val="ro-MD"/>
        </w:rPr>
        <w:t>”;</w:t>
      </w:r>
    </w:p>
    <w:p w14:paraId="124237D8" w14:textId="0C64FB51" w:rsidR="005A70CB" w:rsidRPr="000508B6" w:rsidRDefault="005A70CB" w:rsidP="006B1932">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SCR catastrofă </w:t>
      </w:r>
      <w:r w:rsidRPr="000508B6">
        <w:rPr>
          <w:rFonts w:ascii="Times New Roman" w:hAnsi="Times New Roman" w:cs="Times New Roman"/>
          <w:vertAlign w:val="subscript"/>
          <w:lang w:val="ro-MD"/>
        </w:rPr>
        <w:t>în asigurarea de viață</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catastrofă în asigurarea de viață”;</w:t>
      </w:r>
    </w:p>
    <w:p w14:paraId="11650B00" w14:textId="77777777" w:rsidR="005A70CB" w:rsidRPr="000508B6" w:rsidRDefault="005A70CB" w:rsidP="006B1932">
      <w:pPr>
        <w:tabs>
          <w:tab w:val="left" w:pos="851"/>
        </w:tabs>
        <w:spacing w:after="0"/>
        <w:ind w:firstLine="426"/>
        <w:jc w:val="both"/>
        <w:rPr>
          <w:rFonts w:ascii="Times New Roman" w:hAnsi="Times New Roman" w:cs="Times New Roman"/>
          <w:b/>
          <w:lang w:val="ro-MD"/>
        </w:rPr>
      </w:pPr>
      <w:r w:rsidRPr="000508B6">
        <w:rPr>
          <w:rFonts w:ascii="Times New Roman" w:hAnsi="Times New Roman" w:cs="Times New Roman"/>
          <w:b/>
          <w:lang w:val="ro-MD"/>
        </w:rPr>
        <w:t>4.   Calcularea modulului „risc de piață”</w:t>
      </w:r>
    </w:p>
    <w:p w14:paraId="6C63B4F2" w14:textId="77777777" w:rsidR="005A70CB" w:rsidRPr="000508B6" w:rsidRDefault="005A70CB" w:rsidP="006B1932">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Structura modulului „risc de piață”</w:t>
      </w:r>
    </w:p>
    <w:p w14:paraId="48219FB9" w14:textId="029735A2" w:rsidR="005A70CB" w:rsidRPr="000508B6" w:rsidRDefault="005A70CB" w:rsidP="006B1932">
      <w:pPr>
        <w:tabs>
          <w:tab w:val="left" w:pos="851"/>
        </w:tabs>
        <w:spacing w:after="0"/>
        <w:ind w:firstLine="426"/>
        <w:jc w:val="both"/>
        <w:rPr>
          <w:rFonts w:ascii="Times New Roman" w:hAnsi="Times New Roman" w:cs="Times New Roman"/>
          <w:lang w:val="ro-MD"/>
        </w:rPr>
      </w:pPr>
      <w:r w:rsidRPr="000508B6">
        <w:rPr>
          <w:rFonts w:ascii="Times New Roman" w:hAnsi="Times New Roman" w:cs="Times New Roman"/>
          <w:lang w:val="ro-MD"/>
        </w:rPr>
        <w:t xml:space="preserve">Modulul „risc de piață” prevăzut la articolul </w:t>
      </w:r>
      <w:r w:rsidR="00E87E7C" w:rsidRPr="000508B6">
        <w:rPr>
          <w:rFonts w:ascii="Times New Roman" w:hAnsi="Times New Roman" w:cs="Times New Roman"/>
          <w:lang w:val="ro-MD"/>
        </w:rPr>
        <w:t xml:space="preserve">68 </w:t>
      </w:r>
      <w:r w:rsidRPr="000508B6">
        <w:rPr>
          <w:rFonts w:ascii="Times New Roman" w:hAnsi="Times New Roman" w:cs="Times New Roman"/>
          <w:lang w:val="ro-MD"/>
        </w:rPr>
        <w:t>alin</w:t>
      </w:r>
      <w:r w:rsidR="00F24835" w:rsidRPr="000508B6">
        <w:rPr>
          <w:rFonts w:ascii="Times New Roman" w:hAnsi="Times New Roman" w:cs="Times New Roman"/>
          <w:lang w:val="ro-MD"/>
        </w:rPr>
        <w:t>.</w:t>
      </w:r>
      <w:r w:rsidRPr="000508B6">
        <w:rPr>
          <w:rFonts w:ascii="Times New Roman" w:hAnsi="Times New Roman" w:cs="Times New Roman"/>
          <w:lang w:val="ro-MD"/>
        </w:rPr>
        <w:t xml:space="preserve"> </w:t>
      </w:r>
      <w:r w:rsidR="00E65082" w:rsidRPr="000508B6">
        <w:rPr>
          <w:rFonts w:ascii="Times New Roman" w:hAnsi="Times New Roman" w:cs="Times New Roman"/>
          <w:lang w:val="ro-MD"/>
        </w:rPr>
        <w:t xml:space="preserve">(7) și </w:t>
      </w:r>
      <w:r w:rsidRPr="000508B6">
        <w:rPr>
          <w:rFonts w:ascii="Times New Roman" w:hAnsi="Times New Roman" w:cs="Times New Roman"/>
          <w:lang w:val="ro-MD"/>
        </w:rPr>
        <w:t>(</w:t>
      </w:r>
      <w:r w:rsidR="00F24835" w:rsidRPr="000508B6">
        <w:rPr>
          <w:rFonts w:ascii="Times New Roman" w:hAnsi="Times New Roman" w:cs="Times New Roman"/>
          <w:lang w:val="ro-MD"/>
        </w:rPr>
        <w:t>8</w:t>
      </w:r>
      <w:r w:rsidRPr="000508B6">
        <w:rPr>
          <w:rFonts w:ascii="Times New Roman" w:hAnsi="Times New Roman" w:cs="Times New Roman"/>
          <w:lang w:val="ro-MD"/>
        </w:rPr>
        <w:t>) este egal cu:</w:t>
      </w:r>
    </w:p>
    <w:p w14:paraId="4CF96721" w14:textId="11D6BAC6"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noProof/>
        </w:rPr>
        <w:drawing>
          <wp:inline distT="0" distB="0" distL="0" distR="0" wp14:anchorId="0C421CCA" wp14:editId="187ECE4E">
            <wp:extent cx="2446774" cy="476514"/>
            <wp:effectExtent l="0" t="0" r="0" b="0"/>
            <wp:docPr id="3" name="Picture 3" descr="P:\Users\tmc1\AppData\Local\Microsoft\Windows\INetCache\Content.MSO\EAC92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sers\tmc1\AppData\Local\Microsoft\Windows\INetCache\Content.MSO\EAC927B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979" cy="483565"/>
                    </a:xfrm>
                    <a:prstGeom prst="rect">
                      <a:avLst/>
                    </a:prstGeom>
                    <a:noFill/>
                    <a:ln>
                      <a:noFill/>
                    </a:ln>
                  </pic:spPr>
                </pic:pic>
              </a:graphicData>
            </a:graphic>
          </wp:inline>
        </w:drawing>
      </w:r>
    </w:p>
    <w:p w14:paraId="16F63E8C" w14:textId="6A67CFAF"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xml:space="preserve">unde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i</w:t>
      </w:r>
      <w:proofErr w:type="spellEnd"/>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i, iar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j</w:t>
      </w:r>
      <w:proofErr w:type="spellEnd"/>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j și unde „i,</w:t>
      </w:r>
      <w:r w:rsidR="00DC6A65" w:rsidRPr="000508B6">
        <w:rPr>
          <w:rFonts w:ascii="Times New Roman" w:hAnsi="Times New Roman" w:cs="Times New Roman"/>
          <w:lang w:val="ro-MD"/>
        </w:rPr>
        <w:t xml:space="preserve"> </w:t>
      </w:r>
      <w:r w:rsidRPr="000508B6">
        <w:rPr>
          <w:rFonts w:ascii="Times New Roman" w:hAnsi="Times New Roman" w:cs="Times New Roman"/>
          <w:lang w:val="ro-MD"/>
        </w:rPr>
        <w:t xml:space="preserve">j” înseamnă că suma diverșilor termeni ar trebui să acopere toate combinațiile posibile de i și j. La efectuarea calculului,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i</w:t>
      </w:r>
      <w:proofErr w:type="spellEnd"/>
      <w:r w:rsidRPr="000508B6">
        <w:rPr>
          <w:rFonts w:ascii="Times New Roman" w:hAnsi="Times New Roman" w:cs="Times New Roman"/>
          <w:lang w:val="ro-MD"/>
        </w:rPr>
        <w:t xml:space="preserve"> și </w:t>
      </w:r>
      <w:proofErr w:type="spellStart"/>
      <w:r w:rsidRPr="000508B6">
        <w:rPr>
          <w:rFonts w:ascii="Times New Roman" w:hAnsi="Times New Roman" w:cs="Times New Roman"/>
          <w:lang w:val="ro-MD"/>
        </w:rPr>
        <w:t>SCR</w:t>
      </w:r>
      <w:r w:rsidRPr="000508B6">
        <w:rPr>
          <w:rFonts w:ascii="Times New Roman" w:hAnsi="Times New Roman" w:cs="Times New Roman"/>
          <w:vertAlign w:val="subscript"/>
          <w:lang w:val="ro-MD"/>
        </w:rPr>
        <w:t>j</w:t>
      </w:r>
      <w:proofErr w:type="spellEnd"/>
      <w:r w:rsidRPr="000508B6">
        <w:rPr>
          <w:rFonts w:ascii="Times New Roman" w:hAnsi="Times New Roman" w:cs="Times New Roman"/>
          <w:lang w:val="ro-MD"/>
        </w:rPr>
        <w:t> se înlocuiesc cu următoarele:</w:t>
      </w:r>
    </w:p>
    <w:p w14:paraId="0E20B812" w14:textId="04594A81"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SCR </w:t>
      </w:r>
      <w:r w:rsidRPr="000508B6">
        <w:rPr>
          <w:rFonts w:ascii="Times New Roman" w:hAnsi="Times New Roman" w:cs="Times New Roman"/>
          <w:vertAlign w:val="subscript"/>
          <w:lang w:val="ro-MD"/>
        </w:rPr>
        <w:t>rata dobânzii</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al ratei dobânzii”;</w:t>
      </w:r>
    </w:p>
    <w:p w14:paraId="3E9D04C8" w14:textId="483E6584"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SCR </w:t>
      </w:r>
      <w:r w:rsidRPr="000508B6">
        <w:rPr>
          <w:rFonts w:ascii="Times New Roman" w:hAnsi="Times New Roman" w:cs="Times New Roman"/>
          <w:vertAlign w:val="subscript"/>
          <w:lang w:val="ro-MD"/>
        </w:rPr>
        <w:t>acțiuni</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al acțiunilor”;</w:t>
      </w:r>
    </w:p>
    <w:p w14:paraId="67E7F2DB" w14:textId="2450F44D"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SCR </w:t>
      </w:r>
      <w:r w:rsidRPr="000508B6">
        <w:rPr>
          <w:rFonts w:ascii="Times New Roman" w:hAnsi="Times New Roman" w:cs="Times New Roman"/>
          <w:vertAlign w:val="subscript"/>
          <w:lang w:val="ro-MD"/>
        </w:rPr>
        <w:t>bunuri</w:t>
      </w:r>
      <w:r w:rsidRPr="000508B6">
        <w:rPr>
          <w:rFonts w:ascii="Times New Roman" w:hAnsi="Times New Roman" w:cs="Times New Roman"/>
          <w:lang w:val="ro-MD"/>
        </w:rPr>
        <w:t xml:space="preserve"> imobile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al bunurilor imobile”;</w:t>
      </w:r>
    </w:p>
    <w:p w14:paraId="263A94EE" w14:textId="504D4D98"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SCR </w:t>
      </w:r>
      <w:r w:rsidRPr="000508B6">
        <w:rPr>
          <w:rFonts w:ascii="Times New Roman" w:hAnsi="Times New Roman" w:cs="Times New Roman"/>
          <w:vertAlign w:val="subscript"/>
          <w:lang w:val="ro-MD"/>
        </w:rPr>
        <w:t>dispersie</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de dispersie”;</w:t>
      </w:r>
    </w:p>
    <w:p w14:paraId="5D33D36C" w14:textId="3E3DBCCF"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SCR </w:t>
      </w:r>
      <w:r w:rsidRPr="000508B6">
        <w:rPr>
          <w:rFonts w:ascii="Times New Roman" w:hAnsi="Times New Roman" w:cs="Times New Roman"/>
          <w:vertAlign w:val="subscript"/>
          <w:lang w:val="ro-MD"/>
        </w:rPr>
        <w:t>concentrări</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„concentrări ale riscurilor de piață”;</w:t>
      </w:r>
    </w:p>
    <w:p w14:paraId="21F3945E" w14:textId="3A7283EF" w:rsidR="005A70CB" w:rsidRPr="000508B6" w:rsidRDefault="005A70CB" w:rsidP="005A70CB">
      <w:pPr>
        <w:tabs>
          <w:tab w:val="left" w:pos="851"/>
        </w:tabs>
        <w:spacing w:after="0"/>
        <w:ind w:firstLine="426"/>
        <w:rPr>
          <w:rFonts w:ascii="Times New Roman" w:hAnsi="Times New Roman" w:cs="Times New Roman"/>
          <w:lang w:val="ro-MD"/>
        </w:rPr>
      </w:pPr>
      <w:r w:rsidRPr="000508B6">
        <w:rPr>
          <w:rFonts w:ascii="Times New Roman" w:hAnsi="Times New Roman" w:cs="Times New Roman"/>
          <w:lang w:val="ro-MD"/>
        </w:rPr>
        <w:t>— SCR </w:t>
      </w:r>
      <w:r w:rsidRPr="000508B6">
        <w:rPr>
          <w:rFonts w:ascii="Times New Roman" w:hAnsi="Times New Roman" w:cs="Times New Roman"/>
          <w:vertAlign w:val="subscript"/>
          <w:lang w:val="ro-MD"/>
        </w:rPr>
        <w:t>valutar</w:t>
      </w:r>
      <w:r w:rsidRPr="000508B6">
        <w:rPr>
          <w:rFonts w:ascii="Times New Roman" w:hAnsi="Times New Roman" w:cs="Times New Roman"/>
          <w:lang w:val="ro-MD"/>
        </w:rPr>
        <w:t xml:space="preserve"> este </w:t>
      </w:r>
      <w:proofErr w:type="spellStart"/>
      <w:r w:rsidRPr="000508B6">
        <w:rPr>
          <w:rFonts w:ascii="Times New Roman" w:hAnsi="Times New Roman" w:cs="Times New Roman"/>
          <w:lang w:val="ro-MD"/>
        </w:rPr>
        <w:t>submodulul</w:t>
      </w:r>
      <w:proofErr w:type="spellEnd"/>
      <w:r w:rsidRPr="000508B6">
        <w:rPr>
          <w:rFonts w:ascii="Times New Roman" w:hAnsi="Times New Roman" w:cs="Times New Roman"/>
          <w:lang w:val="ro-MD"/>
        </w:rPr>
        <w:t xml:space="preserve"> „risc valutar”</w:t>
      </w:r>
      <w:r w:rsidR="009D7B8E" w:rsidRPr="000508B6">
        <w:rPr>
          <w:rFonts w:ascii="Times New Roman" w:hAnsi="Times New Roman" w:cs="Times New Roman"/>
          <w:lang w:val="ro-MD"/>
        </w:rPr>
        <w:t>.</w:t>
      </w:r>
    </w:p>
    <w:p w14:paraId="188FAD8C" w14:textId="77777777" w:rsidR="005A70CB" w:rsidRPr="000508B6" w:rsidRDefault="005A70CB" w:rsidP="005A70CB">
      <w:pPr>
        <w:tabs>
          <w:tab w:val="left" w:pos="851"/>
        </w:tabs>
        <w:spacing w:after="0"/>
        <w:ind w:firstLine="426"/>
        <w:rPr>
          <w:rFonts w:ascii="Times New Roman" w:hAnsi="Times New Roman" w:cs="Times New Roman"/>
          <w:lang w:val="ro-MD"/>
        </w:rPr>
      </w:pPr>
    </w:p>
    <w:p w14:paraId="3232AAE1" w14:textId="77777777" w:rsidR="005A70CB" w:rsidRPr="000508B6" w:rsidRDefault="005A70CB" w:rsidP="008B530F">
      <w:pPr>
        <w:tabs>
          <w:tab w:val="left" w:pos="851"/>
        </w:tabs>
        <w:spacing w:after="0"/>
        <w:ind w:firstLine="426"/>
        <w:rPr>
          <w:rFonts w:ascii="Times New Roman" w:hAnsi="Times New Roman" w:cs="Times New Roman"/>
          <w:lang w:val="ro-MD"/>
        </w:rPr>
      </w:pPr>
    </w:p>
    <w:p w14:paraId="4E1E5AF8" w14:textId="77777777" w:rsidR="00BA3ADC" w:rsidRPr="000508B6" w:rsidRDefault="00BA3ADC" w:rsidP="008B530F">
      <w:pPr>
        <w:tabs>
          <w:tab w:val="left" w:pos="851"/>
        </w:tabs>
        <w:spacing w:after="0"/>
        <w:ind w:firstLine="426"/>
        <w:rPr>
          <w:rFonts w:ascii="Times New Roman" w:hAnsi="Times New Roman" w:cs="Times New Roman"/>
          <w:lang w:val="ro-MD"/>
        </w:rPr>
      </w:pPr>
    </w:p>
    <w:p w14:paraId="1FD143A5" w14:textId="77777777" w:rsidR="00BA3ADC" w:rsidRPr="000508B6" w:rsidRDefault="00BA3ADC" w:rsidP="008B530F">
      <w:pPr>
        <w:tabs>
          <w:tab w:val="left" w:pos="851"/>
        </w:tabs>
        <w:spacing w:after="0"/>
        <w:ind w:firstLine="426"/>
        <w:rPr>
          <w:rFonts w:ascii="Times New Roman" w:hAnsi="Times New Roman" w:cs="Times New Roman"/>
          <w:lang w:val="ro-MD"/>
        </w:rPr>
      </w:pPr>
    </w:p>
    <w:p w14:paraId="0D217CF5" w14:textId="77777777" w:rsidR="00BA3ADC" w:rsidRPr="000508B6" w:rsidRDefault="00BA3ADC" w:rsidP="008B530F">
      <w:pPr>
        <w:tabs>
          <w:tab w:val="left" w:pos="851"/>
        </w:tabs>
        <w:spacing w:after="0"/>
        <w:ind w:firstLine="426"/>
        <w:rPr>
          <w:rFonts w:ascii="Times New Roman" w:hAnsi="Times New Roman" w:cs="Times New Roman"/>
          <w:lang w:val="ro-MD"/>
        </w:rPr>
      </w:pPr>
    </w:p>
    <w:p w14:paraId="0ABEF597" w14:textId="77777777" w:rsidR="00BA3ADC" w:rsidRPr="000508B6" w:rsidRDefault="00BA3ADC" w:rsidP="008B530F">
      <w:pPr>
        <w:tabs>
          <w:tab w:val="left" w:pos="851"/>
        </w:tabs>
        <w:spacing w:after="0"/>
        <w:ind w:firstLine="426"/>
        <w:rPr>
          <w:rFonts w:ascii="Times New Roman" w:hAnsi="Times New Roman" w:cs="Times New Roman"/>
          <w:lang w:val="ro-MD"/>
        </w:rPr>
      </w:pPr>
    </w:p>
    <w:p w14:paraId="09803BDF" w14:textId="77777777" w:rsidR="00BA3ADC" w:rsidRPr="000508B6" w:rsidRDefault="00BA3ADC" w:rsidP="008B530F">
      <w:pPr>
        <w:tabs>
          <w:tab w:val="left" w:pos="851"/>
        </w:tabs>
        <w:spacing w:after="0"/>
        <w:ind w:firstLine="426"/>
        <w:rPr>
          <w:rFonts w:ascii="Times New Roman" w:hAnsi="Times New Roman" w:cs="Times New Roman"/>
          <w:lang w:val="ro-MD"/>
        </w:rPr>
      </w:pPr>
    </w:p>
    <w:p w14:paraId="78109769" w14:textId="77777777" w:rsidR="00BA3ADC" w:rsidRPr="000508B6" w:rsidRDefault="00BA3ADC" w:rsidP="008B530F">
      <w:pPr>
        <w:tabs>
          <w:tab w:val="left" w:pos="851"/>
        </w:tabs>
        <w:spacing w:after="0"/>
        <w:ind w:firstLine="426"/>
        <w:rPr>
          <w:rFonts w:ascii="Times New Roman" w:hAnsi="Times New Roman" w:cs="Times New Roman"/>
          <w:lang w:val="ro-MD"/>
        </w:rPr>
      </w:pPr>
    </w:p>
    <w:p w14:paraId="337D5B50" w14:textId="77777777" w:rsidR="00BA3ADC" w:rsidRPr="000508B6" w:rsidRDefault="00BA3ADC" w:rsidP="008B530F">
      <w:pPr>
        <w:tabs>
          <w:tab w:val="left" w:pos="851"/>
        </w:tabs>
        <w:spacing w:after="0"/>
        <w:ind w:firstLine="426"/>
        <w:rPr>
          <w:rFonts w:ascii="Times New Roman" w:hAnsi="Times New Roman" w:cs="Times New Roman"/>
          <w:lang w:val="ro-MD"/>
        </w:rPr>
      </w:pPr>
    </w:p>
    <w:p w14:paraId="5F7F8229" w14:textId="77777777" w:rsidR="00BA3ADC" w:rsidRPr="000508B6" w:rsidRDefault="00BA3ADC" w:rsidP="008B530F">
      <w:pPr>
        <w:tabs>
          <w:tab w:val="left" w:pos="851"/>
        </w:tabs>
        <w:spacing w:after="0"/>
        <w:ind w:firstLine="426"/>
        <w:rPr>
          <w:rFonts w:ascii="Times New Roman" w:hAnsi="Times New Roman" w:cs="Times New Roman"/>
          <w:lang w:val="ro-MD"/>
        </w:rPr>
      </w:pPr>
    </w:p>
    <w:p w14:paraId="44867725" w14:textId="77777777" w:rsidR="00BA3ADC" w:rsidRPr="000508B6" w:rsidRDefault="00BA3ADC" w:rsidP="008B530F">
      <w:pPr>
        <w:tabs>
          <w:tab w:val="left" w:pos="851"/>
        </w:tabs>
        <w:spacing w:after="0"/>
        <w:ind w:firstLine="426"/>
        <w:rPr>
          <w:rFonts w:ascii="Times New Roman" w:hAnsi="Times New Roman" w:cs="Times New Roman"/>
          <w:lang w:val="ro-MD"/>
        </w:rPr>
      </w:pPr>
    </w:p>
    <w:p w14:paraId="1FD79B68"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7CCACC8A"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5B0EF8DF"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6EBBB40B"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6B8BCCA7"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72C0EAB1"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6F52345F"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603D7CBF"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1CEE5137"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272DCBE0"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609F8B97"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17B0ABD6"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40E757D6"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5100BF1C"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1E7A64F5" w14:textId="77777777" w:rsidR="00240B71" w:rsidRDefault="00240B71" w:rsidP="00BA3ADC">
      <w:pPr>
        <w:pStyle w:val="Listparagraf"/>
        <w:spacing w:after="0" w:line="240" w:lineRule="auto"/>
        <w:ind w:left="360"/>
        <w:jc w:val="right"/>
        <w:rPr>
          <w:rFonts w:ascii="Times New Roman" w:hAnsi="Times New Roman" w:cs="Times New Roman"/>
          <w:lang w:val="ro-MD"/>
        </w:rPr>
      </w:pPr>
    </w:p>
    <w:p w14:paraId="7BAAE525" w14:textId="24B0675F" w:rsidR="00BA3ADC" w:rsidRPr="000508B6" w:rsidRDefault="00BA3ADC" w:rsidP="00BA3ADC">
      <w:pPr>
        <w:pStyle w:val="Listparagraf"/>
        <w:spacing w:after="0" w:line="240" w:lineRule="auto"/>
        <w:ind w:left="360"/>
        <w:jc w:val="right"/>
        <w:rPr>
          <w:rFonts w:ascii="Times New Roman" w:hAnsi="Times New Roman" w:cs="Times New Roman"/>
          <w:lang w:val="ro-MD"/>
        </w:rPr>
      </w:pPr>
      <w:r w:rsidRPr="000508B6">
        <w:rPr>
          <w:rFonts w:ascii="Times New Roman" w:hAnsi="Times New Roman" w:cs="Times New Roman"/>
          <w:lang w:val="ro-MD"/>
        </w:rPr>
        <w:lastRenderedPageBreak/>
        <w:t xml:space="preserve">Anexa nr.4 </w:t>
      </w:r>
    </w:p>
    <w:p w14:paraId="7A43DAF1" w14:textId="6E692E12" w:rsidR="00BA3ADC" w:rsidRPr="000508B6" w:rsidRDefault="00664CBD" w:rsidP="007E713A">
      <w:pPr>
        <w:pStyle w:val="Listparagraf"/>
        <w:spacing w:after="0" w:line="240" w:lineRule="auto"/>
        <w:ind w:left="360"/>
        <w:jc w:val="center"/>
        <w:rPr>
          <w:rFonts w:ascii="Times New Roman" w:hAnsi="Times New Roman" w:cs="Times New Roman"/>
          <w:b/>
          <w:lang w:val="ro-MD"/>
        </w:rPr>
      </w:pPr>
      <w:r w:rsidRPr="000508B6">
        <w:rPr>
          <w:rFonts w:ascii="Times New Roman" w:hAnsi="Times New Roman" w:cs="Times New Roman"/>
          <w:b/>
          <w:lang w:val="ro-MD"/>
        </w:rPr>
        <w:t>CALCULAREA PRIMEI DE VOLATILITATE</w:t>
      </w:r>
    </w:p>
    <w:p w14:paraId="3A3CF6BD" w14:textId="77777777" w:rsidR="007D474D" w:rsidRPr="000508B6" w:rsidRDefault="007D474D" w:rsidP="008D62E3">
      <w:pPr>
        <w:pStyle w:val="Listparagraf"/>
        <w:spacing w:after="0" w:line="240" w:lineRule="auto"/>
        <w:ind w:left="0"/>
        <w:rPr>
          <w:rFonts w:ascii="Times New Roman" w:hAnsi="Times New Roman" w:cs="Times New Roman"/>
          <w:lang w:val="ro-MD"/>
        </w:rPr>
      </w:pPr>
    </w:p>
    <w:p w14:paraId="1B31E089" w14:textId="01A53709" w:rsidR="007E713A" w:rsidRPr="000508B6" w:rsidRDefault="007E713A" w:rsidP="008D62E3">
      <w:pPr>
        <w:pStyle w:val="Listparagraf"/>
        <w:spacing w:after="0" w:line="240" w:lineRule="auto"/>
        <w:ind w:left="0"/>
        <w:rPr>
          <w:rFonts w:ascii="Times New Roman" w:hAnsi="Times New Roman" w:cs="Times New Roman"/>
          <w:lang w:val="ro-MD"/>
        </w:rPr>
      </w:pPr>
      <w:r w:rsidRPr="000508B6">
        <w:rPr>
          <w:rFonts w:ascii="Times New Roman" w:hAnsi="Times New Roman" w:cs="Times New Roman"/>
          <w:lang w:val="ro-MD"/>
        </w:rPr>
        <w:t>Calcularea primei de volatilitate</w:t>
      </w:r>
    </w:p>
    <w:p w14:paraId="35092843" w14:textId="45D4EA74" w:rsidR="00BA3ADC" w:rsidRPr="000508B6" w:rsidRDefault="007E713A" w:rsidP="008D62E3">
      <w:pPr>
        <w:pStyle w:val="Listparagraf"/>
        <w:spacing w:after="0" w:line="240" w:lineRule="auto"/>
        <w:ind w:left="0"/>
        <w:jc w:val="both"/>
        <w:rPr>
          <w:rFonts w:ascii="Times New Roman" w:hAnsi="Times New Roman" w:cs="Times New Roman"/>
          <w:lang w:val="ro-MD"/>
        </w:rPr>
      </w:pPr>
      <w:r w:rsidRPr="000508B6">
        <w:rPr>
          <w:rFonts w:ascii="Times New Roman" w:hAnsi="Times New Roman" w:cs="Times New Roman"/>
          <w:lang w:val="ro-MD"/>
        </w:rPr>
        <w:t>1.</w:t>
      </w:r>
      <w:r w:rsidR="00BA3ADC" w:rsidRPr="000508B6">
        <w:rPr>
          <w:rFonts w:ascii="Times New Roman" w:hAnsi="Times New Roman" w:cs="Times New Roman"/>
          <w:lang w:val="ro-MD"/>
        </w:rPr>
        <w:t xml:space="preserve">Cuantumul primei de volatilitate aplicate ratelor dobânzilor fără risc pentru o monedă se calculează </w:t>
      </w:r>
      <w:r w:rsidRPr="000508B6">
        <w:rPr>
          <w:rFonts w:ascii="Times New Roman" w:hAnsi="Times New Roman" w:cs="Times New Roman"/>
          <w:lang w:val="ro-MD"/>
        </w:rPr>
        <w:t>după cum urmează:</w:t>
      </w:r>
    </w:p>
    <w:p w14:paraId="6A43E959" w14:textId="77777777" w:rsidR="007E713A" w:rsidRPr="000508B6" w:rsidRDefault="007E713A" w:rsidP="00840818">
      <w:pPr>
        <w:spacing w:after="0" w:line="240" w:lineRule="auto"/>
        <w:jc w:val="both"/>
        <w:rPr>
          <w:rFonts w:ascii="Times New Roman" w:hAnsi="Times New Roman" w:cs="Times New Roman"/>
          <w:b/>
          <w:i/>
          <w:lang w:val="ro-MD"/>
        </w:rPr>
      </w:pPr>
    </w:p>
    <w:p w14:paraId="3B5A69DB" w14:textId="4D87B552" w:rsidR="00BA3ADC" w:rsidRPr="000508B6" w:rsidRDefault="00BA3ADC" w:rsidP="008D62E3">
      <w:pPr>
        <w:spacing w:after="0" w:line="240" w:lineRule="auto"/>
        <w:jc w:val="both"/>
        <w:rPr>
          <w:rFonts w:ascii="Times New Roman" w:hAnsi="Times New Roman" w:cs="Times New Roman"/>
          <w:b/>
          <w:i/>
          <w:lang w:val="ro-MD"/>
        </w:rPr>
      </w:pPr>
      <w:proofErr w:type="spellStart"/>
      <w:r w:rsidRPr="000508B6">
        <w:rPr>
          <w:rFonts w:ascii="Times New Roman" w:hAnsi="Times New Roman" w:cs="Times New Roman"/>
          <w:b/>
          <w:i/>
          <w:lang w:val="ro-MD"/>
        </w:rPr>
        <w:t>VA</w:t>
      </w:r>
      <w:r w:rsidRPr="000508B6">
        <w:rPr>
          <w:rFonts w:ascii="Times New Roman" w:hAnsi="Times New Roman" w:cs="Times New Roman"/>
          <w:b/>
          <w:i/>
          <w:vertAlign w:val="subscript"/>
          <w:lang w:val="ro-MD"/>
        </w:rPr>
        <w:t>cu</w:t>
      </w:r>
      <w:proofErr w:type="spellEnd"/>
      <w:r w:rsidRPr="000508B6">
        <w:rPr>
          <w:rFonts w:ascii="Times New Roman" w:hAnsi="Times New Roman" w:cs="Times New Roman"/>
          <w:b/>
          <w:i/>
          <w:lang w:val="ro-MD"/>
        </w:rPr>
        <w:t xml:space="preserve">= 85 % </w:t>
      </w:r>
      <w:proofErr w:type="spellStart"/>
      <w:r w:rsidRPr="000508B6">
        <w:rPr>
          <w:rFonts w:ascii="Times New Roman" w:hAnsi="Times New Roman" w:cs="Times New Roman"/>
          <w:b/>
          <w:i/>
          <w:lang w:val="ro-MD"/>
        </w:rPr>
        <w:t>CSSRcu</w:t>
      </w:r>
      <w:proofErr w:type="spellEnd"/>
      <w:r w:rsidRPr="000508B6">
        <w:rPr>
          <w:rFonts w:ascii="Times New Roman" w:hAnsi="Times New Roman" w:cs="Times New Roman"/>
          <w:b/>
          <w:i/>
          <w:lang w:val="ro-MD"/>
        </w:rPr>
        <w:t xml:space="preserve"> </w:t>
      </w:r>
      <w:proofErr w:type="spellStart"/>
      <w:r w:rsidRPr="000508B6">
        <w:rPr>
          <w:rFonts w:ascii="Times New Roman" w:hAnsi="Times New Roman" w:cs="Times New Roman"/>
          <w:b/>
          <w:i/>
          <w:lang w:val="ro-MD"/>
        </w:rPr>
        <w:t>RCS</w:t>
      </w:r>
      <w:r w:rsidRPr="000508B6">
        <w:rPr>
          <w:rFonts w:ascii="Times New Roman" w:hAnsi="Times New Roman" w:cs="Times New Roman"/>
          <w:b/>
          <w:i/>
          <w:vertAlign w:val="subscript"/>
          <w:lang w:val="ro-MD"/>
        </w:rPr>
        <w:t>cu</w:t>
      </w:r>
      <w:proofErr w:type="spellEnd"/>
    </w:p>
    <w:p w14:paraId="2D9C7FFE" w14:textId="77777777" w:rsidR="007E713A" w:rsidRPr="000508B6" w:rsidRDefault="007E713A" w:rsidP="008D62E3">
      <w:pPr>
        <w:spacing w:after="0" w:line="240" w:lineRule="auto"/>
        <w:jc w:val="both"/>
        <w:rPr>
          <w:rFonts w:ascii="Times New Roman" w:hAnsi="Times New Roman" w:cs="Times New Roman"/>
          <w:lang w:val="ro-MD"/>
        </w:rPr>
      </w:pPr>
    </w:p>
    <w:p w14:paraId="169BD665" w14:textId="1A82F923" w:rsidR="00BA3ADC" w:rsidRPr="000508B6" w:rsidRDefault="00BA3ADC" w:rsidP="008D62E3">
      <w:pPr>
        <w:spacing w:after="0" w:line="240" w:lineRule="auto"/>
        <w:jc w:val="both"/>
        <w:rPr>
          <w:rFonts w:ascii="Times New Roman" w:hAnsi="Times New Roman" w:cs="Times New Roman"/>
          <w:lang w:val="ro-MD"/>
        </w:rPr>
      </w:pPr>
      <w:r w:rsidRPr="000508B6">
        <w:rPr>
          <w:rFonts w:ascii="Times New Roman" w:hAnsi="Times New Roman" w:cs="Times New Roman"/>
          <w:lang w:val="ro-MD"/>
        </w:rPr>
        <w:t>unde:</w:t>
      </w:r>
    </w:p>
    <w:p w14:paraId="737CA061" w14:textId="77777777" w:rsidR="00BA3ADC" w:rsidRPr="000508B6" w:rsidRDefault="00BA3ADC" w:rsidP="008D62E3">
      <w:pPr>
        <w:pStyle w:val="Listparagraf"/>
        <w:numPr>
          <w:ilvl w:val="0"/>
          <w:numId w:val="445"/>
        </w:numPr>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i/>
          <w:lang w:val="ro-MD"/>
        </w:rPr>
        <w:t>VA</w:t>
      </w:r>
      <w:r w:rsidRPr="000508B6">
        <w:rPr>
          <w:rFonts w:ascii="Times New Roman" w:hAnsi="Times New Roman" w:cs="Times New Roman"/>
          <w:b/>
          <w:i/>
          <w:vertAlign w:val="subscript"/>
          <w:lang w:val="ro-MD"/>
        </w:rPr>
        <w:t>cu</w:t>
      </w:r>
      <w:proofErr w:type="spellEnd"/>
      <w:r w:rsidRPr="000508B6">
        <w:rPr>
          <w:rFonts w:ascii="Times New Roman" w:hAnsi="Times New Roman" w:cs="Times New Roman"/>
          <w:lang w:val="ro-MD"/>
        </w:rPr>
        <w:t xml:space="preserve"> este prima de volatilitate aferentă unei monede </w:t>
      </w:r>
      <w:r w:rsidRPr="000508B6">
        <w:rPr>
          <w:rFonts w:ascii="Times New Roman" w:hAnsi="Times New Roman" w:cs="Times New Roman"/>
          <w:b/>
          <w:i/>
          <w:vertAlign w:val="subscript"/>
          <w:lang w:val="ro-MD"/>
        </w:rPr>
        <w:t>cu</w:t>
      </w:r>
      <w:r w:rsidRPr="000508B6">
        <w:rPr>
          <w:rFonts w:ascii="Times New Roman" w:hAnsi="Times New Roman" w:cs="Times New Roman"/>
          <w:b/>
          <w:i/>
          <w:lang w:val="ro-MD"/>
        </w:rPr>
        <w:t xml:space="preserve"> </w:t>
      </w:r>
      <w:r w:rsidRPr="000508B6">
        <w:rPr>
          <w:rFonts w:ascii="Times New Roman" w:hAnsi="Times New Roman" w:cs="Times New Roman"/>
          <w:lang w:val="ro-MD"/>
        </w:rPr>
        <w:t>;</w:t>
      </w:r>
    </w:p>
    <w:p w14:paraId="0F219237" w14:textId="0C3CC809" w:rsidR="00BA3ADC" w:rsidRPr="000508B6" w:rsidRDefault="00BA3ADC" w:rsidP="008D62E3">
      <w:pPr>
        <w:pStyle w:val="Listparagraf"/>
        <w:numPr>
          <w:ilvl w:val="0"/>
          <w:numId w:val="445"/>
        </w:numPr>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i/>
          <w:lang w:val="ro-MD"/>
        </w:rPr>
        <w:t>CSSR</w:t>
      </w:r>
      <w:r w:rsidRPr="000508B6">
        <w:rPr>
          <w:rFonts w:ascii="Times New Roman" w:hAnsi="Times New Roman" w:cs="Times New Roman"/>
          <w:b/>
          <w:i/>
          <w:vertAlign w:val="subscript"/>
          <w:lang w:val="ro-MD"/>
        </w:rPr>
        <w:t>cu</w:t>
      </w:r>
      <w:proofErr w:type="spellEnd"/>
      <w:r w:rsidRPr="000508B6">
        <w:rPr>
          <w:rFonts w:ascii="Times New Roman" w:hAnsi="Times New Roman" w:cs="Times New Roman"/>
          <w:lang w:val="ro-MD"/>
        </w:rPr>
        <w:t xml:space="preserve"> este raportul de </w:t>
      </w:r>
      <w:proofErr w:type="spellStart"/>
      <w:r w:rsidRPr="000508B6">
        <w:rPr>
          <w:rFonts w:ascii="Times New Roman" w:hAnsi="Times New Roman" w:cs="Times New Roman"/>
          <w:lang w:val="ro-MD"/>
        </w:rPr>
        <w:t>senzitivitate</w:t>
      </w:r>
      <w:proofErr w:type="spellEnd"/>
      <w:r w:rsidRPr="000508B6">
        <w:rPr>
          <w:rFonts w:ascii="Times New Roman" w:hAnsi="Times New Roman" w:cs="Times New Roman"/>
          <w:lang w:val="ro-MD"/>
        </w:rPr>
        <w:t xml:space="preserve"> la marja de credit aferent </w:t>
      </w:r>
      <w:r w:rsidR="00711A62" w:rsidRPr="000508B6">
        <w:rPr>
          <w:rFonts w:ascii="Times New Roman" w:hAnsi="Times New Roman" w:cs="Times New Roman"/>
          <w:lang w:val="ro-MD"/>
        </w:rPr>
        <w:t xml:space="preserve">unui </w:t>
      </w:r>
      <w:r w:rsidR="00972095" w:rsidRPr="000508B6">
        <w:rPr>
          <w:rFonts w:ascii="Times New Roman" w:hAnsi="Times New Roman" w:cs="Times New Roman"/>
          <w:lang w:val="ro-MD"/>
        </w:rPr>
        <w:t xml:space="preserve">asigurător sau </w:t>
      </w:r>
      <w:proofErr w:type="spellStart"/>
      <w:r w:rsidR="00972095" w:rsidRPr="000508B6">
        <w:rPr>
          <w:rFonts w:ascii="Times New Roman" w:hAnsi="Times New Roman" w:cs="Times New Roman"/>
          <w:lang w:val="ro-MD"/>
        </w:rPr>
        <w:t>reasigurător</w:t>
      </w:r>
      <w:proofErr w:type="spellEnd"/>
      <w:r w:rsidR="00972095" w:rsidRPr="000508B6">
        <w:rPr>
          <w:rFonts w:ascii="Times New Roman" w:hAnsi="Times New Roman" w:cs="Times New Roman"/>
          <w:lang w:val="ro-MD"/>
        </w:rPr>
        <w:t xml:space="preserve"> </w:t>
      </w:r>
      <w:r w:rsidRPr="000508B6">
        <w:rPr>
          <w:rFonts w:ascii="Times New Roman" w:hAnsi="Times New Roman" w:cs="Times New Roman"/>
          <w:lang w:val="ro-MD"/>
        </w:rPr>
        <w:t>pentru moneda</w:t>
      </w:r>
      <w:r w:rsidR="00711A62" w:rsidRPr="000508B6">
        <w:rPr>
          <w:rFonts w:ascii="Times New Roman" w:hAnsi="Times New Roman" w:cs="Times New Roman"/>
          <w:lang w:val="ro-MD"/>
        </w:rPr>
        <w:t xml:space="preserve"> </w:t>
      </w:r>
      <w:r w:rsidRPr="000508B6">
        <w:rPr>
          <w:rFonts w:ascii="Times New Roman" w:hAnsi="Times New Roman" w:cs="Times New Roman"/>
          <w:b/>
          <w:i/>
          <w:vertAlign w:val="subscript"/>
          <w:lang w:val="ro-MD"/>
        </w:rPr>
        <w:t>cu</w:t>
      </w:r>
      <w:r w:rsidRPr="000508B6">
        <w:rPr>
          <w:rFonts w:ascii="Times New Roman" w:hAnsi="Times New Roman" w:cs="Times New Roman"/>
          <w:lang w:val="ro-MD"/>
        </w:rPr>
        <w:t>;</w:t>
      </w:r>
    </w:p>
    <w:p w14:paraId="15F30DE4" w14:textId="77777777" w:rsidR="00BA3ADC" w:rsidRPr="000508B6" w:rsidRDefault="00BA3ADC" w:rsidP="008D62E3">
      <w:pPr>
        <w:pStyle w:val="Listparagraf"/>
        <w:numPr>
          <w:ilvl w:val="0"/>
          <w:numId w:val="445"/>
        </w:numPr>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i/>
          <w:lang w:val="ro-MD"/>
        </w:rPr>
        <w:t>RCS</w:t>
      </w:r>
      <w:r w:rsidRPr="000508B6">
        <w:rPr>
          <w:rFonts w:ascii="Times New Roman" w:hAnsi="Times New Roman" w:cs="Times New Roman"/>
          <w:b/>
          <w:i/>
          <w:vertAlign w:val="subscript"/>
          <w:lang w:val="ro-MD"/>
        </w:rPr>
        <w:t>cu</w:t>
      </w:r>
      <w:proofErr w:type="spellEnd"/>
      <w:r w:rsidRPr="000508B6">
        <w:rPr>
          <w:rFonts w:ascii="Times New Roman" w:hAnsi="Times New Roman" w:cs="Times New Roman"/>
          <w:lang w:val="ro-MD"/>
        </w:rPr>
        <w:t xml:space="preserve"> este marja corectată în funcție de risc pentru moneda </w:t>
      </w:r>
      <w:r w:rsidRPr="000508B6">
        <w:rPr>
          <w:rFonts w:ascii="Times New Roman" w:hAnsi="Times New Roman" w:cs="Times New Roman"/>
          <w:b/>
          <w:i/>
          <w:vertAlign w:val="subscript"/>
          <w:lang w:val="ro-MD"/>
        </w:rPr>
        <w:t>cu</w:t>
      </w:r>
      <w:r w:rsidRPr="000508B6">
        <w:rPr>
          <w:rFonts w:ascii="Times New Roman" w:hAnsi="Times New Roman" w:cs="Times New Roman"/>
          <w:lang w:val="ro-MD"/>
        </w:rPr>
        <w:t>.</w:t>
      </w:r>
    </w:p>
    <w:p w14:paraId="18E38BE1" w14:textId="77777777" w:rsidR="007E713A" w:rsidRPr="000508B6" w:rsidRDefault="007E713A" w:rsidP="00840818">
      <w:pPr>
        <w:spacing w:after="0" w:line="240" w:lineRule="auto"/>
        <w:jc w:val="both"/>
        <w:rPr>
          <w:rFonts w:ascii="Times New Roman" w:hAnsi="Times New Roman" w:cs="Times New Roman"/>
          <w:lang w:val="ro-MD"/>
        </w:rPr>
      </w:pPr>
    </w:p>
    <w:p w14:paraId="4121E1B9" w14:textId="77777777" w:rsidR="007E713A"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2.</w:t>
      </w:r>
      <w:r w:rsidR="00BA3ADC" w:rsidRPr="000508B6">
        <w:rPr>
          <w:rFonts w:ascii="Times New Roman" w:hAnsi="Times New Roman" w:cs="Times New Roman"/>
          <w:b/>
          <w:bCs/>
          <w:i/>
          <w:iCs/>
          <w:lang w:val="ro-MD"/>
        </w:rPr>
        <w:t>VA</w:t>
      </w:r>
      <w:r w:rsidR="00BA3ADC" w:rsidRPr="000508B6">
        <w:rPr>
          <w:rFonts w:ascii="Times New Roman" w:hAnsi="Times New Roman" w:cs="Times New Roman"/>
          <w:b/>
          <w:bCs/>
          <w:i/>
          <w:iCs/>
          <w:vertAlign w:val="subscript"/>
          <w:lang w:val="ro-MD"/>
        </w:rPr>
        <w:t>cu</w:t>
      </w:r>
      <w:r w:rsidR="00BA3ADC" w:rsidRPr="000508B6">
        <w:rPr>
          <w:rFonts w:ascii="Times New Roman" w:hAnsi="Times New Roman" w:cs="Times New Roman"/>
          <w:lang w:val="ro-MD"/>
        </w:rPr>
        <w:t xml:space="preserve"> se aplică ratelor dobânzilor fără risc relevante din cadrul structurii temporale care nu sunt derivate prin extrapolare în conformitate cu art. 44. </w:t>
      </w:r>
    </w:p>
    <w:p w14:paraId="5AAA7C1F" w14:textId="77777777" w:rsidR="007E713A"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3.</w:t>
      </w:r>
      <w:r w:rsidR="00BA3ADC" w:rsidRPr="000508B6">
        <w:rPr>
          <w:rFonts w:ascii="Times New Roman" w:hAnsi="Times New Roman" w:cs="Times New Roman"/>
          <w:lang w:val="ro-MD"/>
        </w:rPr>
        <w:t xml:space="preserve">În cazul în care partea extrapolată a ratelor dobânzilor fără risc relevante ține cont de informațiile din instrumentele de datorie, altele decât obligațiuni, în temeiul art. 44 alin.(1), </w:t>
      </w:r>
      <w:proofErr w:type="spellStart"/>
      <w:r w:rsidR="00BA3ADC" w:rsidRPr="000508B6">
        <w:rPr>
          <w:rFonts w:ascii="Times New Roman" w:hAnsi="Times New Roman" w:cs="Times New Roman"/>
          <w:b/>
          <w:bCs/>
          <w:i/>
          <w:iCs/>
          <w:lang w:val="ro-MD"/>
        </w:rPr>
        <w:t>VA</w:t>
      </w:r>
      <w:r w:rsidR="00BA3ADC" w:rsidRPr="000508B6">
        <w:rPr>
          <w:rFonts w:ascii="Times New Roman" w:hAnsi="Times New Roman" w:cs="Times New Roman"/>
          <w:b/>
          <w:bCs/>
          <w:i/>
          <w:iCs/>
          <w:vertAlign w:val="subscript"/>
          <w:lang w:val="ro-MD"/>
        </w:rPr>
        <w:t>cu</w:t>
      </w:r>
      <w:proofErr w:type="spellEnd"/>
      <w:r w:rsidR="00BA3ADC" w:rsidRPr="000508B6">
        <w:rPr>
          <w:rFonts w:ascii="Times New Roman" w:hAnsi="Times New Roman" w:cs="Times New Roman"/>
          <w:lang w:val="ro-MD"/>
        </w:rPr>
        <w:t xml:space="preserve"> se aplică, de asemenea, ratelor dobânzilor fără risc derivate din instrumentele financiare respective. </w:t>
      </w:r>
    </w:p>
    <w:p w14:paraId="2868A95D" w14:textId="0008C260" w:rsidR="00BA3ADC"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4.</w:t>
      </w:r>
      <w:r w:rsidR="00BA3ADC" w:rsidRPr="000508B6">
        <w:rPr>
          <w:rFonts w:ascii="Times New Roman" w:hAnsi="Times New Roman" w:cs="Times New Roman"/>
          <w:lang w:val="ro-MD"/>
        </w:rPr>
        <w:t>Extrapolarea structurii temporale relevante a ratei dobânzilor fără risc se bazează pe respectivele rate ajustate ale dobânzilor fără risc</w:t>
      </w:r>
      <w:r w:rsidR="00F41538" w:rsidRPr="000508B6">
        <w:rPr>
          <w:rFonts w:ascii="Times New Roman" w:hAnsi="Times New Roman" w:cs="Times New Roman"/>
          <w:lang w:val="ro-MD"/>
        </w:rPr>
        <w:t xml:space="preserve"> prevăzute la pct.3</w:t>
      </w:r>
      <w:r w:rsidR="00BA3ADC" w:rsidRPr="000508B6">
        <w:rPr>
          <w:rFonts w:ascii="Times New Roman" w:hAnsi="Times New Roman" w:cs="Times New Roman"/>
          <w:lang w:val="ro-MD"/>
        </w:rPr>
        <w:t>.</w:t>
      </w:r>
    </w:p>
    <w:p w14:paraId="2995B7F9" w14:textId="77777777" w:rsidR="007E713A"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5.</w:t>
      </w:r>
      <w:r w:rsidRPr="000508B6">
        <w:rPr>
          <w:rFonts w:ascii="Times New Roman" w:hAnsi="Times New Roman" w:cs="Times New Roman"/>
          <w:b/>
          <w:bCs/>
          <w:i/>
          <w:iCs/>
          <w:lang w:val="ro-MD"/>
        </w:rPr>
        <w:t xml:space="preserve"> </w:t>
      </w:r>
      <w:proofErr w:type="spellStart"/>
      <w:r w:rsidR="00BA3ADC" w:rsidRPr="000508B6">
        <w:rPr>
          <w:rFonts w:ascii="Times New Roman" w:hAnsi="Times New Roman" w:cs="Times New Roman"/>
          <w:b/>
          <w:bCs/>
          <w:i/>
          <w:iCs/>
          <w:lang w:val="ro-MD"/>
        </w:rPr>
        <w:t>CSSR</w:t>
      </w:r>
      <w:r w:rsidR="00BA3ADC" w:rsidRPr="000508B6">
        <w:rPr>
          <w:rFonts w:ascii="Times New Roman" w:hAnsi="Times New Roman" w:cs="Times New Roman"/>
          <w:b/>
          <w:bCs/>
          <w:i/>
          <w:iCs/>
          <w:vertAlign w:val="subscript"/>
          <w:lang w:val="ro-MD"/>
        </w:rPr>
        <w:t>cu</w:t>
      </w:r>
      <w:proofErr w:type="spellEnd"/>
      <w:r w:rsidR="00BA3ADC" w:rsidRPr="000508B6">
        <w:rPr>
          <w:rFonts w:ascii="Times New Roman" w:hAnsi="Times New Roman" w:cs="Times New Roman"/>
          <w:lang w:val="ro-MD"/>
        </w:rPr>
        <w:t xml:space="preserve"> nu are o valoare negativă sau mai mare decât unu. </w:t>
      </w:r>
    </w:p>
    <w:p w14:paraId="52361DD7" w14:textId="327BA4D0" w:rsidR="00BA3ADC"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6.</w:t>
      </w:r>
      <w:r w:rsidR="00BA3ADC" w:rsidRPr="000508B6">
        <w:rPr>
          <w:rFonts w:ascii="Times New Roman" w:hAnsi="Times New Roman" w:cs="Times New Roman"/>
          <w:lang w:val="ro-MD"/>
        </w:rPr>
        <w:t xml:space="preserve">Raportul prezintă valori mai mici decât unu atunci când </w:t>
      </w:r>
      <w:proofErr w:type="spellStart"/>
      <w:r w:rsidR="00BA3ADC" w:rsidRPr="000508B6">
        <w:rPr>
          <w:rFonts w:ascii="Times New Roman" w:hAnsi="Times New Roman" w:cs="Times New Roman"/>
          <w:lang w:val="ro-MD"/>
        </w:rPr>
        <w:t>senzitivitatea</w:t>
      </w:r>
      <w:proofErr w:type="spellEnd"/>
      <w:r w:rsidR="00BA3ADC" w:rsidRPr="000508B6">
        <w:rPr>
          <w:rFonts w:ascii="Times New Roman" w:hAnsi="Times New Roman" w:cs="Times New Roman"/>
          <w:lang w:val="ro-MD"/>
        </w:rPr>
        <w:t xml:space="preserve"> activelor </w:t>
      </w:r>
      <w:r w:rsidR="00972095" w:rsidRPr="000508B6">
        <w:rPr>
          <w:rFonts w:ascii="Times New Roman" w:hAnsi="Times New Roman" w:cs="Times New Roman"/>
          <w:lang w:val="ro-MD"/>
        </w:rPr>
        <w:t xml:space="preserve">unui asigurător sau </w:t>
      </w:r>
      <w:proofErr w:type="spellStart"/>
      <w:r w:rsidR="00972095" w:rsidRPr="000508B6">
        <w:rPr>
          <w:rFonts w:ascii="Times New Roman" w:hAnsi="Times New Roman" w:cs="Times New Roman"/>
          <w:lang w:val="ro-MD"/>
        </w:rPr>
        <w:t>reasigurător</w:t>
      </w:r>
      <w:proofErr w:type="spellEnd"/>
      <w:r w:rsidR="00BA3ADC" w:rsidRPr="000508B6">
        <w:rPr>
          <w:rFonts w:ascii="Times New Roman" w:hAnsi="Times New Roman" w:cs="Times New Roman"/>
          <w:lang w:val="ro-MD"/>
        </w:rPr>
        <w:t xml:space="preserve"> într-o monedă la variațiile marjelor de credit este mai mică decât </w:t>
      </w:r>
      <w:proofErr w:type="spellStart"/>
      <w:r w:rsidR="00BA3ADC" w:rsidRPr="000508B6">
        <w:rPr>
          <w:rFonts w:ascii="Times New Roman" w:hAnsi="Times New Roman" w:cs="Times New Roman"/>
          <w:lang w:val="ro-MD"/>
        </w:rPr>
        <w:t>senzitivitatea</w:t>
      </w:r>
      <w:proofErr w:type="spellEnd"/>
      <w:r w:rsidR="00BA3ADC" w:rsidRPr="000508B6">
        <w:rPr>
          <w:rFonts w:ascii="Times New Roman" w:hAnsi="Times New Roman" w:cs="Times New Roman"/>
          <w:lang w:val="ro-MD"/>
        </w:rPr>
        <w:t xml:space="preserve"> rezervelor tehnice ale respectiv</w:t>
      </w:r>
      <w:r w:rsidR="00972095" w:rsidRPr="000508B6">
        <w:rPr>
          <w:rFonts w:ascii="Times New Roman" w:hAnsi="Times New Roman" w:cs="Times New Roman"/>
          <w:lang w:val="ro-MD"/>
        </w:rPr>
        <w:t xml:space="preserve">ului asigurător sau </w:t>
      </w:r>
      <w:proofErr w:type="spellStart"/>
      <w:r w:rsidR="00972095" w:rsidRPr="000508B6">
        <w:rPr>
          <w:rFonts w:ascii="Times New Roman" w:hAnsi="Times New Roman" w:cs="Times New Roman"/>
          <w:lang w:val="ro-MD"/>
        </w:rPr>
        <w:t>reasigurător</w:t>
      </w:r>
      <w:proofErr w:type="spellEnd"/>
      <w:r w:rsidR="00BA3ADC" w:rsidRPr="000508B6">
        <w:rPr>
          <w:rFonts w:ascii="Times New Roman" w:hAnsi="Times New Roman" w:cs="Times New Roman"/>
          <w:lang w:val="ro-MD"/>
        </w:rPr>
        <w:t xml:space="preserve"> în moneda respectivă la variațiile ratelor dobânzii.</w:t>
      </w:r>
    </w:p>
    <w:p w14:paraId="01239EC5" w14:textId="54296BC2" w:rsidR="00BA3ADC"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7.</w:t>
      </w:r>
      <w:r w:rsidR="00BA3ADC" w:rsidRPr="000508B6">
        <w:rPr>
          <w:rFonts w:ascii="Times New Roman" w:hAnsi="Times New Roman" w:cs="Times New Roman"/>
          <w:b/>
          <w:bCs/>
          <w:i/>
          <w:iCs/>
          <w:lang w:val="ro-MD"/>
        </w:rPr>
        <w:t>RCS</w:t>
      </w:r>
      <w:r w:rsidR="00BA3ADC" w:rsidRPr="000508B6">
        <w:rPr>
          <w:rFonts w:ascii="Times New Roman" w:hAnsi="Times New Roman" w:cs="Times New Roman"/>
          <w:b/>
          <w:bCs/>
          <w:i/>
          <w:iCs/>
          <w:vertAlign w:val="subscript"/>
          <w:lang w:val="ro-MD"/>
        </w:rPr>
        <w:t>cu</w:t>
      </w:r>
      <w:r w:rsidR="00BA3ADC" w:rsidRPr="000508B6">
        <w:rPr>
          <w:rFonts w:ascii="Times New Roman" w:hAnsi="Times New Roman" w:cs="Times New Roman"/>
          <w:lang w:val="ro-MD"/>
        </w:rPr>
        <w:t xml:space="preserve"> reprezintă diferența dintre marja menționată la </w:t>
      </w:r>
      <w:r w:rsidRPr="000508B6">
        <w:rPr>
          <w:rFonts w:ascii="Times New Roman" w:hAnsi="Times New Roman" w:cs="Times New Roman"/>
          <w:lang w:val="ro-MD"/>
        </w:rPr>
        <w:t xml:space="preserve">art. 47 </w:t>
      </w:r>
      <w:r w:rsidR="00BA3ADC" w:rsidRPr="000508B6">
        <w:rPr>
          <w:rFonts w:ascii="Times New Roman" w:hAnsi="Times New Roman" w:cs="Times New Roman"/>
          <w:lang w:val="ro-MD"/>
        </w:rPr>
        <w:t>alin. (8) și partea din marja respectivă care poate fi atribuită unei evaluări realiste a pierderilor estimate, a unui risc de credit neașteptat sau a unui alt risc aferent activelor.</w:t>
      </w:r>
    </w:p>
    <w:p w14:paraId="4B505006" w14:textId="77777777" w:rsidR="007E713A"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8. </w:t>
      </w:r>
      <w:r w:rsidR="00BA3ADC" w:rsidRPr="000508B6">
        <w:rPr>
          <w:rFonts w:ascii="Times New Roman" w:hAnsi="Times New Roman" w:cs="Times New Roman"/>
          <w:lang w:val="ro-MD"/>
        </w:rPr>
        <w:t xml:space="preserve">Partea din marjă care poate fi atribuită unei evaluări realiste a pierderilor estimate, a riscului de credit neașteptat sau a oricărui alt risc se calculează ca procent din marje. </w:t>
      </w:r>
    </w:p>
    <w:p w14:paraId="4E8EA0FD" w14:textId="4597032D" w:rsidR="00BA3ADC"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9. Procentul prevăzut la pct.8 </w:t>
      </w:r>
      <w:r w:rsidR="00BA3ADC" w:rsidRPr="000508B6">
        <w:rPr>
          <w:rFonts w:ascii="Times New Roman" w:hAnsi="Times New Roman" w:cs="Times New Roman"/>
          <w:lang w:val="ro-MD"/>
        </w:rPr>
        <w:t xml:space="preserve">scade pe măsură ce marjele cresc și se disting cel puțin următoarele </w:t>
      </w:r>
      <w:r w:rsidR="00F41538" w:rsidRPr="000508B6">
        <w:rPr>
          <w:rFonts w:ascii="Times New Roman" w:hAnsi="Times New Roman" w:cs="Times New Roman"/>
          <w:lang w:val="ro-MD"/>
        </w:rPr>
        <w:t>3</w:t>
      </w:r>
      <w:r w:rsidR="00BA3ADC" w:rsidRPr="000508B6">
        <w:rPr>
          <w:rFonts w:ascii="Times New Roman" w:hAnsi="Times New Roman" w:cs="Times New Roman"/>
          <w:lang w:val="ro-MD"/>
        </w:rPr>
        <w:t xml:space="preserve"> cazuri:</w:t>
      </w:r>
    </w:p>
    <w:p w14:paraId="50C2F74E" w14:textId="77777777" w:rsidR="00BA3ADC" w:rsidRPr="000508B6" w:rsidRDefault="00BA3ADC" w:rsidP="00840818">
      <w:pPr>
        <w:pStyle w:val="Listparagraf"/>
        <w:numPr>
          <w:ilvl w:val="0"/>
          <w:numId w:val="307"/>
        </w:numPr>
        <w:tabs>
          <w:tab w:val="left" w:pos="426"/>
        </w:tabs>
        <w:spacing w:after="0" w:line="240" w:lineRule="auto"/>
        <w:ind w:left="0" w:firstLine="0"/>
        <w:jc w:val="both"/>
        <w:rPr>
          <w:rFonts w:ascii="Times New Roman" w:hAnsi="Times New Roman" w:cs="Times New Roman"/>
          <w:lang w:val="ro-MD"/>
        </w:rPr>
      </w:pPr>
      <w:r w:rsidRPr="000508B6">
        <w:rPr>
          <w:rFonts w:ascii="Times New Roman" w:hAnsi="Times New Roman" w:cs="Times New Roman"/>
          <w:lang w:val="ro-MD"/>
        </w:rPr>
        <w:t>cazul în care marjele nu depășesc media lor pe termen lung;</w:t>
      </w:r>
    </w:p>
    <w:p w14:paraId="62965821" w14:textId="77777777" w:rsidR="00BA3ADC" w:rsidRPr="000508B6" w:rsidRDefault="00BA3ADC" w:rsidP="00840818">
      <w:pPr>
        <w:pStyle w:val="Listparagraf"/>
        <w:numPr>
          <w:ilvl w:val="0"/>
          <w:numId w:val="307"/>
        </w:numPr>
        <w:tabs>
          <w:tab w:val="left" w:pos="426"/>
        </w:tabs>
        <w:spacing w:after="0" w:line="240" w:lineRule="auto"/>
        <w:ind w:left="0" w:firstLine="0"/>
        <w:jc w:val="both"/>
        <w:rPr>
          <w:rFonts w:ascii="Times New Roman" w:hAnsi="Times New Roman" w:cs="Times New Roman"/>
          <w:lang w:val="ro-MD"/>
        </w:rPr>
      </w:pPr>
      <w:r w:rsidRPr="000508B6">
        <w:rPr>
          <w:rFonts w:ascii="Times New Roman" w:hAnsi="Times New Roman" w:cs="Times New Roman"/>
          <w:lang w:val="ro-MD"/>
        </w:rPr>
        <w:t>cazul în care marjele depășesc media lor pe termen lung, dar nu depășesc dublul mediei lor pe termen lung;</w:t>
      </w:r>
    </w:p>
    <w:p w14:paraId="3CBFE04D" w14:textId="77777777" w:rsidR="00BA3ADC" w:rsidRPr="000508B6" w:rsidRDefault="00BA3ADC" w:rsidP="00840818">
      <w:pPr>
        <w:pStyle w:val="Listparagraf"/>
        <w:numPr>
          <w:ilvl w:val="0"/>
          <w:numId w:val="307"/>
        </w:numPr>
        <w:tabs>
          <w:tab w:val="left" w:pos="426"/>
        </w:tabs>
        <w:spacing w:after="0" w:line="240" w:lineRule="auto"/>
        <w:ind w:left="0" w:firstLine="0"/>
        <w:jc w:val="both"/>
        <w:rPr>
          <w:rFonts w:ascii="Times New Roman" w:hAnsi="Times New Roman" w:cs="Times New Roman"/>
          <w:lang w:val="ro-MD"/>
        </w:rPr>
      </w:pPr>
      <w:r w:rsidRPr="000508B6">
        <w:rPr>
          <w:rFonts w:ascii="Times New Roman" w:hAnsi="Times New Roman" w:cs="Times New Roman"/>
          <w:lang w:val="ro-MD"/>
        </w:rPr>
        <w:t>cazul în care marjele depășesc dublul mediei lor pe termen lung.</w:t>
      </w:r>
    </w:p>
    <w:p w14:paraId="6F939854" w14:textId="77777777" w:rsidR="007E713A" w:rsidRPr="000508B6" w:rsidRDefault="007E713A" w:rsidP="007E713A">
      <w:pPr>
        <w:spacing w:after="0" w:line="240" w:lineRule="auto"/>
        <w:jc w:val="both"/>
        <w:rPr>
          <w:rFonts w:ascii="Times New Roman" w:hAnsi="Times New Roman" w:cs="Times New Roman"/>
          <w:lang w:val="ro-MD"/>
        </w:rPr>
      </w:pPr>
      <w:r w:rsidRPr="000508B6">
        <w:rPr>
          <w:rFonts w:ascii="Times New Roman" w:hAnsi="Times New Roman" w:cs="Times New Roman"/>
          <w:lang w:val="ro-MD"/>
        </w:rPr>
        <w:t>10.</w:t>
      </w:r>
      <w:r w:rsidR="00BA3ADC" w:rsidRPr="000508B6">
        <w:rPr>
          <w:rFonts w:ascii="Times New Roman" w:hAnsi="Times New Roman" w:cs="Times New Roman"/>
          <w:lang w:val="ro-MD"/>
        </w:rPr>
        <w:t xml:space="preserve">Corecția în funcție de risc nu depășește niciodată un procent adecvat din marjele medii pe termen lung. </w:t>
      </w:r>
    </w:p>
    <w:p w14:paraId="0BAA00C8" w14:textId="68048B8F" w:rsidR="00BA3ADC" w:rsidRPr="000508B6" w:rsidRDefault="007E713A" w:rsidP="00840818">
      <w:pPr>
        <w:spacing w:after="0" w:line="240" w:lineRule="auto"/>
        <w:jc w:val="both"/>
        <w:rPr>
          <w:rFonts w:ascii="Times New Roman" w:hAnsi="Times New Roman" w:cs="Times New Roman"/>
          <w:lang w:val="ro-MD"/>
        </w:rPr>
      </w:pPr>
      <w:r w:rsidRPr="000508B6">
        <w:rPr>
          <w:rFonts w:ascii="Times New Roman" w:hAnsi="Times New Roman" w:cs="Times New Roman"/>
          <w:lang w:val="ro-MD"/>
        </w:rPr>
        <w:t xml:space="preserve">11. </w:t>
      </w:r>
      <w:r w:rsidR="00BA3ADC" w:rsidRPr="000508B6">
        <w:rPr>
          <w:rFonts w:ascii="Times New Roman" w:hAnsi="Times New Roman" w:cs="Times New Roman"/>
          <w:lang w:val="ro-MD"/>
        </w:rPr>
        <w:t xml:space="preserve">Prin derogare de la </w:t>
      </w:r>
      <w:r w:rsidRPr="000508B6">
        <w:rPr>
          <w:rFonts w:ascii="Times New Roman" w:hAnsi="Times New Roman" w:cs="Times New Roman"/>
          <w:lang w:val="ro-MD"/>
        </w:rPr>
        <w:t>pct.1</w:t>
      </w:r>
      <w:r w:rsidR="00BA3ADC" w:rsidRPr="000508B6">
        <w:rPr>
          <w:rFonts w:ascii="Times New Roman" w:hAnsi="Times New Roman" w:cs="Times New Roman"/>
          <w:lang w:val="ro-MD"/>
        </w:rPr>
        <w:t xml:space="preserv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BA3ADC" w:rsidRPr="000508B6">
        <w:rPr>
          <w:rFonts w:ascii="Times New Roman" w:hAnsi="Times New Roman" w:cs="Times New Roman"/>
          <w:lang w:val="ro-MD"/>
        </w:rPr>
        <w:t xml:space="preserve"> respectă criteriile detaliate pentru ajustările efectuate în cazul monedelor raportate la euro în scopul facilitării calculului </w:t>
      </w:r>
      <w:proofErr w:type="spellStart"/>
      <w:r w:rsidR="00BA3ADC" w:rsidRPr="000508B6">
        <w:rPr>
          <w:rFonts w:ascii="Times New Roman" w:hAnsi="Times New Roman" w:cs="Times New Roman"/>
          <w:lang w:val="ro-MD"/>
        </w:rPr>
        <w:t>submodulului</w:t>
      </w:r>
      <w:proofErr w:type="spellEnd"/>
      <w:r w:rsidR="00BA3ADC" w:rsidRPr="000508B6">
        <w:rPr>
          <w:rFonts w:ascii="Times New Roman" w:hAnsi="Times New Roman" w:cs="Times New Roman"/>
          <w:lang w:val="ro-MD"/>
        </w:rPr>
        <w:t xml:space="preserve"> „risc valutar”, astfel cum sunt stabilite </w:t>
      </w:r>
      <w:r w:rsidR="00BC1CF9" w:rsidRPr="000508B6">
        <w:rPr>
          <w:rFonts w:ascii="Times New Roman" w:hAnsi="Times New Roman" w:cs="Times New Roman"/>
          <w:lang w:val="ro-MD"/>
        </w:rPr>
        <w:t>în</w:t>
      </w:r>
      <w:r w:rsidR="00BA3ADC" w:rsidRPr="000508B6">
        <w:rPr>
          <w:rFonts w:ascii="Times New Roman" w:hAnsi="Times New Roman" w:cs="Times New Roman"/>
          <w:lang w:val="ro-MD"/>
        </w:rPr>
        <w:t xml:space="preserve"> actele normative ale Băncii Naționale a Moldovei, atunci când calculează prima de volatilitate la ratele dobânzilor fără risc pentru moneda raportată și prima de volatilitate la ratele dobânzilor fără risc pentru euro și poate să calculeze un singur </w:t>
      </w:r>
      <w:proofErr w:type="spellStart"/>
      <w:r w:rsidR="00BA3ADC" w:rsidRPr="000508B6">
        <w:rPr>
          <w:rFonts w:ascii="Times New Roman" w:hAnsi="Times New Roman" w:cs="Times New Roman"/>
          <w:b/>
          <w:bCs/>
          <w:i/>
          <w:iCs/>
          <w:lang w:val="ro-MD"/>
        </w:rPr>
        <w:t>CSSR</w:t>
      </w:r>
      <w:r w:rsidR="00BA3ADC" w:rsidRPr="000508B6">
        <w:rPr>
          <w:rFonts w:ascii="Times New Roman" w:hAnsi="Times New Roman" w:cs="Times New Roman"/>
          <w:b/>
          <w:bCs/>
          <w:i/>
          <w:iCs/>
          <w:vertAlign w:val="subscript"/>
          <w:lang w:val="ro-MD"/>
        </w:rPr>
        <w:t>cu</w:t>
      </w:r>
      <w:proofErr w:type="spellEnd"/>
      <w:r w:rsidR="00BA3ADC" w:rsidRPr="000508B6">
        <w:rPr>
          <w:rFonts w:ascii="Times New Roman" w:hAnsi="Times New Roman" w:cs="Times New Roman"/>
          <w:b/>
          <w:bCs/>
          <w:i/>
          <w:iCs/>
          <w:lang w:val="ro-MD"/>
        </w:rPr>
        <w:t xml:space="preserve"> </w:t>
      </w:r>
      <w:r w:rsidR="00BA3ADC" w:rsidRPr="000508B6">
        <w:rPr>
          <w:rFonts w:ascii="Times New Roman" w:hAnsi="Times New Roman" w:cs="Times New Roman"/>
          <w:lang w:val="ro-MD"/>
        </w:rPr>
        <w:t xml:space="preserve">atât pentru moneda națională, cât și pentru euro, luând în considerare în comun activele și </w:t>
      </w:r>
      <w:r w:rsidR="00FA320A" w:rsidRPr="000508B6">
        <w:rPr>
          <w:rFonts w:ascii="Times New Roman" w:hAnsi="Times New Roman" w:cs="Times New Roman"/>
          <w:lang w:val="ro-MD"/>
        </w:rPr>
        <w:t xml:space="preserve">obligațiile </w:t>
      </w:r>
      <w:r w:rsidR="00BA3ADC" w:rsidRPr="000508B6">
        <w:rPr>
          <w:rFonts w:ascii="Times New Roman" w:hAnsi="Times New Roman" w:cs="Times New Roman"/>
          <w:lang w:val="ro-MD"/>
        </w:rPr>
        <w:t xml:space="preserve">exprimate în euro și în moneda națională. </w:t>
      </w:r>
    </w:p>
    <w:p w14:paraId="3D3CC2D7" w14:textId="77777777" w:rsidR="00B124B2" w:rsidRPr="000508B6" w:rsidRDefault="00B124B2" w:rsidP="00840818">
      <w:pPr>
        <w:spacing w:after="0" w:line="240" w:lineRule="auto"/>
        <w:jc w:val="both"/>
        <w:rPr>
          <w:rFonts w:ascii="Times New Roman" w:hAnsi="Times New Roman" w:cs="Times New Roman"/>
          <w:lang w:val="ro-MD"/>
        </w:rPr>
      </w:pPr>
    </w:p>
    <w:p w14:paraId="2BC05637" w14:textId="77777777" w:rsidR="00840818" w:rsidRPr="000508B6" w:rsidRDefault="00840818" w:rsidP="00840818">
      <w:pPr>
        <w:spacing w:after="0" w:line="240" w:lineRule="auto"/>
        <w:jc w:val="both"/>
        <w:rPr>
          <w:rFonts w:ascii="Times New Roman" w:hAnsi="Times New Roman" w:cs="Times New Roman"/>
          <w:lang w:val="ro-MD"/>
        </w:rPr>
      </w:pPr>
    </w:p>
    <w:p w14:paraId="06E3A88C" w14:textId="77777777" w:rsidR="00840818" w:rsidRPr="000508B6" w:rsidRDefault="00840818" w:rsidP="00840818">
      <w:pPr>
        <w:spacing w:after="0" w:line="240" w:lineRule="auto"/>
        <w:jc w:val="both"/>
        <w:rPr>
          <w:rFonts w:ascii="Times New Roman" w:hAnsi="Times New Roman" w:cs="Times New Roman"/>
          <w:lang w:val="ro-MD"/>
        </w:rPr>
      </w:pPr>
    </w:p>
    <w:p w14:paraId="376AC9FA" w14:textId="77777777" w:rsidR="00240B71" w:rsidRDefault="00240B71" w:rsidP="00840818">
      <w:pPr>
        <w:spacing w:after="0" w:line="240" w:lineRule="auto"/>
        <w:jc w:val="right"/>
        <w:rPr>
          <w:rFonts w:ascii="Times New Roman" w:hAnsi="Times New Roman" w:cs="Times New Roman"/>
          <w:b/>
          <w:lang w:val="ro-MD"/>
        </w:rPr>
      </w:pPr>
    </w:p>
    <w:p w14:paraId="44844653" w14:textId="77777777" w:rsidR="00240B71" w:rsidRDefault="00240B71" w:rsidP="00840818">
      <w:pPr>
        <w:spacing w:after="0" w:line="240" w:lineRule="auto"/>
        <w:jc w:val="right"/>
        <w:rPr>
          <w:rFonts w:ascii="Times New Roman" w:hAnsi="Times New Roman" w:cs="Times New Roman"/>
          <w:b/>
          <w:lang w:val="ro-MD"/>
        </w:rPr>
      </w:pPr>
    </w:p>
    <w:p w14:paraId="62EC4F7E" w14:textId="77777777" w:rsidR="00240B71" w:rsidRDefault="00240B71" w:rsidP="00840818">
      <w:pPr>
        <w:spacing w:after="0" w:line="240" w:lineRule="auto"/>
        <w:jc w:val="right"/>
        <w:rPr>
          <w:rFonts w:ascii="Times New Roman" w:hAnsi="Times New Roman" w:cs="Times New Roman"/>
          <w:b/>
          <w:lang w:val="ro-MD"/>
        </w:rPr>
      </w:pPr>
    </w:p>
    <w:p w14:paraId="42FBD8A6" w14:textId="77777777" w:rsidR="00240B71" w:rsidRDefault="00240B71" w:rsidP="00840818">
      <w:pPr>
        <w:spacing w:after="0" w:line="240" w:lineRule="auto"/>
        <w:jc w:val="right"/>
        <w:rPr>
          <w:rFonts w:ascii="Times New Roman" w:hAnsi="Times New Roman" w:cs="Times New Roman"/>
          <w:b/>
          <w:lang w:val="ro-MD"/>
        </w:rPr>
      </w:pPr>
    </w:p>
    <w:p w14:paraId="4016016C" w14:textId="77777777" w:rsidR="00240B71" w:rsidRDefault="00240B71" w:rsidP="00840818">
      <w:pPr>
        <w:spacing w:after="0" w:line="240" w:lineRule="auto"/>
        <w:jc w:val="right"/>
        <w:rPr>
          <w:rFonts w:ascii="Times New Roman" w:hAnsi="Times New Roman" w:cs="Times New Roman"/>
          <w:b/>
          <w:lang w:val="ro-MD"/>
        </w:rPr>
      </w:pPr>
    </w:p>
    <w:p w14:paraId="1476E73F" w14:textId="77777777" w:rsidR="00240B71" w:rsidRDefault="00240B71" w:rsidP="00840818">
      <w:pPr>
        <w:spacing w:after="0" w:line="240" w:lineRule="auto"/>
        <w:jc w:val="right"/>
        <w:rPr>
          <w:rFonts w:ascii="Times New Roman" w:hAnsi="Times New Roman" w:cs="Times New Roman"/>
          <w:b/>
          <w:lang w:val="ro-MD"/>
        </w:rPr>
      </w:pPr>
    </w:p>
    <w:p w14:paraId="71CE0D24" w14:textId="77777777" w:rsidR="00240B71" w:rsidRDefault="00240B71" w:rsidP="00840818">
      <w:pPr>
        <w:spacing w:after="0" w:line="240" w:lineRule="auto"/>
        <w:jc w:val="right"/>
        <w:rPr>
          <w:rFonts w:ascii="Times New Roman" w:hAnsi="Times New Roman" w:cs="Times New Roman"/>
          <w:b/>
          <w:lang w:val="ro-MD"/>
        </w:rPr>
      </w:pPr>
    </w:p>
    <w:p w14:paraId="554E6E22" w14:textId="77777777" w:rsidR="00240B71" w:rsidRDefault="00240B71" w:rsidP="00840818">
      <w:pPr>
        <w:spacing w:after="0" w:line="240" w:lineRule="auto"/>
        <w:jc w:val="right"/>
        <w:rPr>
          <w:rFonts w:ascii="Times New Roman" w:hAnsi="Times New Roman" w:cs="Times New Roman"/>
          <w:b/>
          <w:lang w:val="ro-MD"/>
        </w:rPr>
      </w:pPr>
    </w:p>
    <w:p w14:paraId="0DC8578E" w14:textId="77777777" w:rsidR="00240B71" w:rsidRDefault="00240B71" w:rsidP="00840818">
      <w:pPr>
        <w:spacing w:after="0" w:line="240" w:lineRule="auto"/>
        <w:jc w:val="right"/>
        <w:rPr>
          <w:rFonts w:ascii="Times New Roman" w:hAnsi="Times New Roman" w:cs="Times New Roman"/>
          <w:b/>
          <w:lang w:val="ro-MD"/>
        </w:rPr>
      </w:pPr>
    </w:p>
    <w:p w14:paraId="25675307" w14:textId="77777777" w:rsidR="00240B71" w:rsidRDefault="00240B71" w:rsidP="00840818">
      <w:pPr>
        <w:spacing w:after="0" w:line="240" w:lineRule="auto"/>
        <w:jc w:val="right"/>
        <w:rPr>
          <w:rFonts w:ascii="Times New Roman" w:hAnsi="Times New Roman" w:cs="Times New Roman"/>
          <w:b/>
          <w:lang w:val="ro-MD"/>
        </w:rPr>
      </w:pPr>
    </w:p>
    <w:p w14:paraId="4AD780E4" w14:textId="59D3977C" w:rsidR="00840818" w:rsidRPr="000508B6" w:rsidRDefault="00840818" w:rsidP="00840818">
      <w:pPr>
        <w:spacing w:after="0" w:line="240" w:lineRule="auto"/>
        <w:jc w:val="right"/>
        <w:rPr>
          <w:rFonts w:ascii="Times New Roman" w:hAnsi="Times New Roman" w:cs="Times New Roman"/>
          <w:b/>
          <w:lang w:val="ro-MD"/>
        </w:rPr>
      </w:pPr>
      <w:r w:rsidRPr="000508B6">
        <w:rPr>
          <w:rFonts w:ascii="Times New Roman" w:hAnsi="Times New Roman" w:cs="Times New Roman"/>
          <w:b/>
          <w:lang w:val="ro-MD"/>
        </w:rPr>
        <w:lastRenderedPageBreak/>
        <w:t>Anexa nr.5</w:t>
      </w:r>
    </w:p>
    <w:p w14:paraId="7B207169" w14:textId="414625E3" w:rsidR="00840818" w:rsidRPr="000508B6" w:rsidRDefault="00664CBD" w:rsidP="00840818">
      <w:pPr>
        <w:spacing w:after="0" w:line="240" w:lineRule="auto"/>
        <w:jc w:val="center"/>
        <w:rPr>
          <w:rFonts w:ascii="Times New Roman" w:hAnsi="Times New Roman" w:cs="Times New Roman"/>
          <w:b/>
          <w:lang w:val="ro-MD"/>
        </w:rPr>
      </w:pPr>
      <w:r w:rsidRPr="000508B6">
        <w:rPr>
          <w:rFonts w:ascii="Times New Roman" w:hAnsi="Times New Roman" w:cs="Times New Roman"/>
          <w:b/>
          <w:lang w:val="ro-MD"/>
        </w:rPr>
        <w:t>CALCULAREA MACROPRIMEI DE VOLATILITATE</w:t>
      </w:r>
    </w:p>
    <w:p w14:paraId="16B1D052" w14:textId="77777777" w:rsidR="007D474D" w:rsidRPr="000508B6" w:rsidRDefault="007D474D" w:rsidP="008D62E3">
      <w:pPr>
        <w:pStyle w:val="Listparagraf"/>
        <w:spacing w:after="0" w:line="240" w:lineRule="auto"/>
        <w:ind w:left="0"/>
        <w:rPr>
          <w:rFonts w:ascii="Times New Roman" w:hAnsi="Times New Roman" w:cs="Times New Roman"/>
          <w:lang w:val="ro-MD"/>
        </w:rPr>
      </w:pPr>
    </w:p>
    <w:p w14:paraId="13ECBBCC" w14:textId="1B11D8AB" w:rsidR="00BA3ADC" w:rsidRPr="000508B6" w:rsidRDefault="00840818" w:rsidP="008D62E3">
      <w:pPr>
        <w:pStyle w:val="Listparagraf"/>
        <w:spacing w:after="0" w:line="240" w:lineRule="auto"/>
        <w:ind w:left="0"/>
        <w:rPr>
          <w:rFonts w:ascii="Times New Roman" w:hAnsi="Times New Roman" w:cs="Times New Roman"/>
          <w:lang w:val="ro-MD"/>
        </w:rPr>
      </w:pPr>
      <w:r w:rsidRPr="000508B6">
        <w:rPr>
          <w:rFonts w:ascii="Times New Roman" w:hAnsi="Times New Roman" w:cs="Times New Roman"/>
          <w:lang w:val="ro-MD"/>
        </w:rPr>
        <w:t>1.</w:t>
      </w:r>
      <w:r w:rsidR="00BA3ADC" w:rsidRPr="000508B6">
        <w:rPr>
          <w:rFonts w:ascii="Times New Roman" w:hAnsi="Times New Roman" w:cs="Times New Roman"/>
          <w:lang w:val="ro-MD"/>
        </w:rPr>
        <w:t xml:space="preserve"> </w:t>
      </w:r>
      <w:proofErr w:type="spellStart"/>
      <w:r w:rsidR="00BA3ADC" w:rsidRPr="000508B6">
        <w:rPr>
          <w:rFonts w:ascii="Times New Roman" w:hAnsi="Times New Roman" w:cs="Times New Roman"/>
          <w:lang w:val="ro-MD"/>
        </w:rPr>
        <w:t>Macroprima</w:t>
      </w:r>
      <w:proofErr w:type="spellEnd"/>
      <w:r w:rsidR="00BA3ADC" w:rsidRPr="000508B6">
        <w:rPr>
          <w:rFonts w:ascii="Times New Roman" w:hAnsi="Times New Roman" w:cs="Times New Roman"/>
          <w:lang w:val="ro-MD"/>
        </w:rPr>
        <w:t xml:space="preserve"> de volatilitate se calculează după cum urmează: </w:t>
      </w:r>
    </w:p>
    <w:p w14:paraId="35D2CD4E" w14:textId="77777777" w:rsidR="0083646C" w:rsidRPr="000508B6" w:rsidRDefault="0083646C" w:rsidP="00BA3ADC">
      <w:pPr>
        <w:spacing w:after="0" w:line="240" w:lineRule="auto"/>
        <w:ind w:firstLine="426"/>
        <w:jc w:val="both"/>
        <w:rPr>
          <w:rFonts w:ascii="Times New Roman" w:hAnsi="Times New Roman" w:cs="Times New Roman"/>
          <w:b/>
          <w:i/>
          <w:lang w:val="ro-MD"/>
        </w:rPr>
      </w:pPr>
    </w:p>
    <w:p w14:paraId="7BED2AFE" w14:textId="06A65335" w:rsidR="00BA3ADC" w:rsidRPr="000508B6" w:rsidRDefault="00BA3ADC" w:rsidP="00BA3ADC">
      <w:pPr>
        <w:spacing w:after="0" w:line="240" w:lineRule="auto"/>
        <w:ind w:firstLine="426"/>
        <w:jc w:val="both"/>
        <w:rPr>
          <w:rFonts w:ascii="Times New Roman" w:hAnsi="Times New Roman" w:cs="Times New Roman"/>
          <w:b/>
          <w:i/>
          <w:lang w:val="ro-MD"/>
        </w:rPr>
      </w:pPr>
      <w:proofErr w:type="spellStart"/>
      <w:r w:rsidRPr="000508B6">
        <w:rPr>
          <w:rFonts w:ascii="Times New Roman" w:hAnsi="Times New Roman" w:cs="Times New Roman"/>
          <w:b/>
          <w:i/>
          <w:lang w:val="ro-MD"/>
        </w:rPr>
        <w:t>VA</w:t>
      </w:r>
      <w:r w:rsidRPr="000508B6">
        <w:rPr>
          <w:rFonts w:ascii="Times New Roman" w:hAnsi="Times New Roman" w:cs="Times New Roman"/>
          <w:b/>
          <w:i/>
          <w:vertAlign w:val="subscript"/>
          <w:lang w:val="ro-MD"/>
        </w:rPr>
        <w:t>Euro,macro</w:t>
      </w:r>
      <w:proofErr w:type="spellEnd"/>
      <w:r w:rsidRPr="000508B6">
        <w:rPr>
          <w:rFonts w:ascii="Times New Roman" w:hAnsi="Times New Roman" w:cs="Times New Roman"/>
          <w:b/>
          <w:i/>
          <w:lang w:val="ro-MD"/>
        </w:rPr>
        <w:t>=85%·</w:t>
      </w:r>
      <w:proofErr w:type="spellStart"/>
      <w:r w:rsidRPr="000508B6">
        <w:rPr>
          <w:rFonts w:ascii="Times New Roman" w:hAnsi="Times New Roman" w:cs="Times New Roman"/>
          <w:b/>
          <w:i/>
          <w:lang w:val="ro-MD"/>
        </w:rPr>
        <w:t>CSSR</w:t>
      </w:r>
      <w:r w:rsidRPr="000508B6">
        <w:rPr>
          <w:rFonts w:ascii="Times New Roman" w:hAnsi="Times New Roman" w:cs="Times New Roman"/>
          <w:b/>
          <w:i/>
          <w:vertAlign w:val="subscript"/>
          <w:lang w:val="ro-MD"/>
        </w:rPr>
        <w:t>Euro·</w:t>
      </w:r>
      <w:r w:rsidRPr="000508B6">
        <w:rPr>
          <w:rFonts w:ascii="Times New Roman" w:hAnsi="Times New Roman" w:cs="Times New Roman"/>
          <w:b/>
          <w:i/>
          <w:lang w:val="ro-MD"/>
        </w:rPr>
        <w:t>max</w:t>
      </w:r>
      <w:proofErr w:type="spellEnd"/>
      <w:r w:rsidRPr="000508B6">
        <w:rPr>
          <w:rFonts w:ascii="Times New Roman" w:hAnsi="Times New Roman" w:cs="Times New Roman"/>
          <w:b/>
          <w:i/>
          <w:lang w:val="ro-MD"/>
        </w:rPr>
        <w:t>(RCS</w:t>
      </w:r>
      <w:r w:rsidRPr="000508B6">
        <w:rPr>
          <w:rFonts w:ascii="Times New Roman" w:hAnsi="Times New Roman" w:cs="Times New Roman"/>
          <w:b/>
          <w:i/>
          <w:vertAlign w:val="subscript"/>
          <w:lang w:val="ro-MD"/>
        </w:rPr>
        <w:t>co</w:t>
      </w:r>
      <w:r w:rsidRPr="000508B6">
        <w:rPr>
          <w:rFonts w:ascii="Times New Roman" w:hAnsi="Times New Roman" w:cs="Times New Roman"/>
          <w:b/>
          <w:i/>
          <w:lang w:val="ro-MD"/>
        </w:rPr>
        <w:t>-1,3·RCS</w:t>
      </w:r>
      <w:r w:rsidRPr="000508B6">
        <w:rPr>
          <w:rFonts w:ascii="Times New Roman" w:hAnsi="Times New Roman" w:cs="Times New Roman"/>
          <w:b/>
          <w:i/>
          <w:vertAlign w:val="subscript"/>
          <w:lang w:val="ro-MD"/>
        </w:rPr>
        <w:t>Euro</w:t>
      </w:r>
      <w:r w:rsidRPr="000508B6">
        <w:rPr>
          <w:rFonts w:ascii="Times New Roman" w:hAnsi="Times New Roman" w:cs="Times New Roman"/>
          <w:b/>
          <w:i/>
          <w:lang w:val="ro-MD"/>
        </w:rPr>
        <w:t>; 0)·</w:t>
      </w:r>
      <w:proofErr w:type="spellStart"/>
      <w:r w:rsidRPr="000508B6">
        <w:rPr>
          <w:rFonts w:ascii="Times New Roman" w:hAnsi="Times New Roman" w:cs="Times New Roman"/>
          <w:b/>
          <w:i/>
          <w:lang w:val="ro-MD"/>
        </w:rPr>
        <w:t>ω</w:t>
      </w:r>
      <w:r w:rsidRPr="000508B6">
        <w:rPr>
          <w:rFonts w:ascii="Times New Roman" w:hAnsi="Times New Roman" w:cs="Times New Roman"/>
          <w:b/>
          <w:i/>
          <w:vertAlign w:val="subscript"/>
          <w:lang w:val="ro-MD"/>
        </w:rPr>
        <w:t>co</w:t>
      </w:r>
      <w:proofErr w:type="spellEnd"/>
    </w:p>
    <w:p w14:paraId="3F48C798" w14:textId="77777777" w:rsidR="0083646C" w:rsidRPr="000508B6" w:rsidRDefault="0083646C" w:rsidP="00BA3ADC">
      <w:pPr>
        <w:spacing w:after="0" w:line="240" w:lineRule="auto"/>
        <w:jc w:val="both"/>
        <w:rPr>
          <w:rFonts w:ascii="Times New Roman" w:hAnsi="Times New Roman" w:cs="Times New Roman"/>
          <w:lang w:val="ro-MD"/>
        </w:rPr>
      </w:pPr>
    </w:p>
    <w:p w14:paraId="549740B8" w14:textId="36D9095B" w:rsidR="00BA3ADC" w:rsidRPr="000508B6" w:rsidRDefault="00BA3ADC" w:rsidP="00BA3ADC">
      <w:pPr>
        <w:spacing w:after="0" w:line="240" w:lineRule="auto"/>
        <w:jc w:val="both"/>
        <w:rPr>
          <w:rFonts w:ascii="Times New Roman" w:hAnsi="Times New Roman" w:cs="Times New Roman"/>
          <w:lang w:val="ro-MD"/>
        </w:rPr>
      </w:pPr>
      <w:r w:rsidRPr="000508B6">
        <w:rPr>
          <w:rFonts w:ascii="Times New Roman" w:hAnsi="Times New Roman" w:cs="Times New Roman"/>
          <w:lang w:val="ro-MD"/>
        </w:rPr>
        <w:t>unde:</w:t>
      </w:r>
    </w:p>
    <w:p w14:paraId="499AA2CB" w14:textId="77777777" w:rsidR="00BA3ADC" w:rsidRPr="000508B6" w:rsidRDefault="00BA3ADC" w:rsidP="0083646C">
      <w:pPr>
        <w:pStyle w:val="Listparagraf"/>
        <w:numPr>
          <w:ilvl w:val="0"/>
          <w:numId w:val="446"/>
        </w:numPr>
        <w:tabs>
          <w:tab w:val="left" w:pos="284"/>
        </w:tabs>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i/>
          <w:lang w:val="ro-MD"/>
        </w:rPr>
        <w:t>VA</w:t>
      </w:r>
      <w:r w:rsidRPr="000508B6">
        <w:rPr>
          <w:rFonts w:ascii="Times New Roman" w:hAnsi="Times New Roman" w:cs="Times New Roman"/>
          <w:b/>
          <w:i/>
          <w:vertAlign w:val="subscript"/>
          <w:lang w:val="ro-MD"/>
        </w:rPr>
        <w:t>Euro,macro</w:t>
      </w:r>
      <w:proofErr w:type="spellEnd"/>
      <w:r w:rsidRPr="000508B6">
        <w:rPr>
          <w:rFonts w:ascii="Times New Roman" w:hAnsi="Times New Roman" w:cs="Times New Roman"/>
          <w:vertAlign w:val="subscript"/>
          <w:lang w:val="ro-MD"/>
        </w:rPr>
        <w:t xml:space="preserve"> </w:t>
      </w:r>
      <w:r w:rsidRPr="000508B6">
        <w:rPr>
          <w:rFonts w:ascii="Times New Roman" w:hAnsi="Times New Roman" w:cs="Times New Roman"/>
          <w:lang w:val="ro-MD"/>
        </w:rPr>
        <w:t xml:space="preserve">este </w:t>
      </w:r>
      <w:proofErr w:type="spellStart"/>
      <w:r w:rsidRPr="000508B6">
        <w:rPr>
          <w:rFonts w:ascii="Times New Roman" w:hAnsi="Times New Roman" w:cs="Times New Roman"/>
          <w:lang w:val="ro-MD"/>
        </w:rPr>
        <w:t>macroprima</w:t>
      </w:r>
      <w:proofErr w:type="spellEnd"/>
      <w:r w:rsidRPr="000508B6">
        <w:rPr>
          <w:rFonts w:ascii="Times New Roman" w:hAnsi="Times New Roman" w:cs="Times New Roman"/>
          <w:lang w:val="ro-MD"/>
        </w:rPr>
        <w:t xml:space="preserve"> de volatilitate pentru o țară</w:t>
      </w:r>
      <w:r w:rsidRPr="000508B6">
        <w:rPr>
          <w:rFonts w:ascii="Times New Roman" w:hAnsi="Times New Roman" w:cs="Times New Roman"/>
          <w:b/>
          <w:i/>
          <w:lang w:val="ro-MD"/>
        </w:rPr>
        <w:t xml:space="preserve"> </w:t>
      </w:r>
      <w:proofErr w:type="spellStart"/>
      <w:r w:rsidRPr="000508B6">
        <w:rPr>
          <w:rFonts w:ascii="Times New Roman" w:hAnsi="Times New Roman" w:cs="Times New Roman"/>
          <w:b/>
          <w:i/>
          <w:lang w:val="ro-MD"/>
        </w:rPr>
        <w:t>co</w:t>
      </w:r>
      <w:proofErr w:type="spellEnd"/>
      <w:r w:rsidRPr="000508B6">
        <w:rPr>
          <w:rFonts w:ascii="Times New Roman" w:hAnsi="Times New Roman" w:cs="Times New Roman"/>
          <w:lang w:val="ro-MD"/>
        </w:rPr>
        <w:t>;</w:t>
      </w:r>
    </w:p>
    <w:p w14:paraId="4C641851" w14:textId="3ABB3A45" w:rsidR="00BA3ADC" w:rsidRPr="000508B6" w:rsidRDefault="00BA3ADC" w:rsidP="0083646C">
      <w:pPr>
        <w:pStyle w:val="Listparagraf"/>
        <w:numPr>
          <w:ilvl w:val="0"/>
          <w:numId w:val="446"/>
        </w:numPr>
        <w:tabs>
          <w:tab w:val="left" w:pos="284"/>
        </w:tabs>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i/>
          <w:lang w:val="ro-MD"/>
        </w:rPr>
        <w:t>CSSR</w:t>
      </w:r>
      <w:r w:rsidRPr="000508B6">
        <w:rPr>
          <w:rFonts w:ascii="Times New Roman" w:hAnsi="Times New Roman" w:cs="Times New Roman"/>
          <w:b/>
          <w:i/>
          <w:vertAlign w:val="subscript"/>
          <w:lang w:val="ro-MD"/>
        </w:rPr>
        <w:t>Euro</w:t>
      </w:r>
      <w:proofErr w:type="spellEnd"/>
      <w:r w:rsidRPr="000508B6">
        <w:rPr>
          <w:rFonts w:ascii="Times New Roman" w:hAnsi="Times New Roman" w:cs="Times New Roman"/>
          <w:i/>
          <w:lang w:val="ro-MD"/>
        </w:rPr>
        <w:t xml:space="preserve"> </w:t>
      </w:r>
      <w:r w:rsidRPr="000508B6">
        <w:rPr>
          <w:rFonts w:ascii="Times New Roman" w:hAnsi="Times New Roman" w:cs="Times New Roman"/>
          <w:lang w:val="ro-MD"/>
        </w:rPr>
        <w:t xml:space="preserve">este raportul de </w:t>
      </w:r>
      <w:proofErr w:type="spellStart"/>
      <w:r w:rsidRPr="000508B6">
        <w:rPr>
          <w:rFonts w:ascii="Times New Roman" w:hAnsi="Times New Roman" w:cs="Times New Roman"/>
          <w:lang w:val="ro-MD"/>
        </w:rPr>
        <w:t>senzitivitate</w:t>
      </w:r>
      <w:proofErr w:type="spellEnd"/>
      <w:r w:rsidRPr="000508B6">
        <w:rPr>
          <w:rFonts w:ascii="Times New Roman" w:hAnsi="Times New Roman" w:cs="Times New Roman"/>
          <w:lang w:val="ro-MD"/>
        </w:rPr>
        <w:t xml:space="preserve"> la marja de credit aferentă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Pr="000508B6">
        <w:rPr>
          <w:rFonts w:ascii="Times New Roman" w:hAnsi="Times New Roman" w:cs="Times New Roman"/>
          <w:lang w:val="ro-MD"/>
        </w:rPr>
        <w:t xml:space="preserve"> pentru moneda euro;</w:t>
      </w:r>
    </w:p>
    <w:p w14:paraId="3705BBB6" w14:textId="77777777" w:rsidR="00BA3ADC" w:rsidRPr="000508B6" w:rsidRDefault="00BA3ADC" w:rsidP="0083646C">
      <w:pPr>
        <w:pStyle w:val="Listparagraf"/>
        <w:numPr>
          <w:ilvl w:val="0"/>
          <w:numId w:val="446"/>
        </w:numPr>
        <w:tabs>
          <w:tab w:val="left" w:pos="284"/>
        </w:tabs>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i/>
          <w:lang w:val="ro-MD"/>
        </w:rPr>
        <w:t>RCS</w:t>
      </w:r>
      <w:r w:rsidRPr="000508B6">
        <w:rPr>
          <w:rFonts w:ascii="Times New Roman" w:hAnsi="Times New Roman" w:cs="Times New Roman"/>
          <w:b/>
          <w:i/>
          <w:vertAlign w:val="subscript"/>
          <w:lang w:val="ro-MD"/>
        </w:rPr>
        <w:t>co</w:t>
      </w:r>
      <w:proofErr w:type="spellEnd"/>
      <w:r w:rsidRPr="000508B6">
        <w:rPr>
          <w:rFonts w:ascii="Times New Roman" w:hAnsi="Times New Roman" w:cs="Times New Roman"/>
          <w:b/>
          <w:lang w:val="ro-MD"/>
        </w:rPr>
        <w:t xml:space="preserve"> </w:t>
      </w:r>
      <w:r w:rsidRPr="000508B6">
        <w:rPr>
          <w:rFonts w:ascii="Times New Roman" w:hAnsi="Times New Roman" w:cs="Times New Roman"/>
          <w:lang w:val="ro-MD"/>
        </w:rPr>
        <w:t>este marja corectată în funcție de risc pentru țara</w:t>
      </w:r>
      <w:r w:rsidRPr="000508B6">
        <w:rPr>
          <w:rFonts w:ascii="Times New Roman" w:hAnsi="Times New Roman" w:cs="Times New Roman"/>
          <w:b/>
          <w:i/>
          <w:lang w:val="ro-MD"/>
        </w:rPr>
        <w:t xml:space="preserve"> </w:t>
      </w:r>
      <w:proofErr w:type="spellStart"/>
      <w:r w:rsidRPr="000508B6">
        <w:rPr>
          <w:rFonts w:ascii="Times New Roman" w:hAnsi="Times New Roman" w:cs="Times New Roman"/>
          <w:b/>
          <w:i/>
          <w:lang w:val="ro-MD"/>
        </w:rPr>
        <w:t>co</w:t>
      </w:r>
      <w:proofErr w:type="spellEnd"/>
      <w:r w:rsidRPr="000508B6">
        <w:rPr>
          <w:rFonts w:ascii="Times New Roman" w:hAnsi="Times New Roman" w:cs="Times New Roman"/>
          <w:lang w:val="ro-MD"/>
        </w:rPr>
        <w:t>;</w:t>
      </w:r>
    </w:p>
    <w:p w14:paraId="71FEF840" w14:textId="77777777" w:rsidR="00BA3ADC" w:rsidRPr="000508B6" w:rsidRDefault="00BA3ADC" w:rsidP="0083646C">
      <w:pPr>
        <w:pStyle w:val="Listparagraf"/>
        <w:numPr>
          <w:ilvl w:val="0"/>
          <w:numId w:val="446"/>
        </w:numPr>
        <w:tabs>
          <w:tab w:val="left" w:pos="284"/>
        </w:tabs>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i/>
          <w:lang w:val="ro-MD"/>
        </w:rPr>
        <w:t>RCS</w:t>
      </w:r>
      <w:r w:rsidRPr="000508B6">
        <w:rPr>
          <w:rFonts w:ascii="Times New Roman" w:hAnsi="Times New Roman" w:cs="Times New Roman"/>
          <w:b/>
          <w:i/>
          <w:vertAlign w:val="subscript"/>
          <w:lang w:val="ro-MD"/>
        </w:rPr>
        <w:t>Euro</w:t>
      </w:r>
      <w:proofErr w:type="spellEnd"/>
      <w:r w:rsidRPr="000508B6">
        <w:rPr>
          <w:rFonts w:ascii="Times New Roman" w:hAnsi="Times New Roman" w:cs="Times New Roman"/>
          <w:lang w:val="ro-MD"/>
        </w:rPr>
        <w:t xml:space="preserve"> este marja corectată în funcție de risc pentru moneda euro;</w:t>
      </w:r>
    </w:p>
    <w:p w14:paraId="5D86A5DC" w14:textId="77777777" w:rsidR="00BA3ADC" w:rsidRPr="000508B6" w:rsidRDefault="00BA3ADC" w:rsidP="0083646C">
      <w:pPr>
        <w:pStyle w:val="Listparagraf"/>
        <w:numPr>
          <w:ilvl w:val="0"/>
          <w:numId w:val="446"/>
        </w:numPr>
        <w:tabs>
          <w:tab w:val="left" w:pos="284"/>
        </w:tabs>
        <w:spacing w:after="0" w:line="240" w:lineRule="auto"/>
        <w:ind w:left="0" w:firstLine="0"/>
        <w:jc w:val="both"/>
        <w:rPr>
          <w:rFonts w:ascii="Times New Roman" w:hAnsi="Times New Roman" w:cs="Times New Roman"/>
          <w:lang w:val="ro-MD"/>
        </w:rPr>
      </w:pPr>
      <w:proofErr w:type="spellStart"/>
      <w:r w:rsidRPr="000508B6">
        <w:rPr>
          <w:rFonts w:ascii="Times New Roman" w:hAnsi="Times New Roman" w:cs="Times New Roman"/>
          <w:b/>
          <w:lang w:val="ro-MD"/>
        </w:rPr>
        <w:t>ω</w:t>
      </w:r>
      <w:r w:rsidRPr="000508B6">
        <w:rPr>
          <w:rFonts w:ascii="Times New Roman" w:hAnsi="Times New Roman" w:cs="Times New Roman"/>
          <w:b/>
          <w:vertAlign w:val="subscript"/>
          <w:lang w:val="ro-MD"/>
        </w:rPr>
        <w:t>co</w:t>
      </w:r>
      <w:proofErr w:type="spellEnd"/>
      <w:r w:rsidRPr="000508B6">
        <w:rPr>
          <w:rFonts w:ascii="Times New Roman" w:hAnsi="Times New Roman" w:cs="Times New Roman"/>
          <w:lang w:val="ro-MD"/>
        </w:rPr>
        <w:t xml:space="preserve"> este factorul de ajustare de țară pentru țara</w:t>
      </w:r>
      <w:r w:rsidRPr="000508B6">
        <w:rPr>
          <w:rFonts w:ascii="Times New Roman" w:hAnsi="Times New Roman" w:cs="Times New Roman"/>
          <w:b/>
          <w:i/>
          <w:lang w:val="ro-MD"/>
        </w:rPr>
        <w:t xml:space="preserve"> co</w:t>
      </w:r>
      <w:r w:rsidRPr="000508B6">
        <w:rPr>
          <w:rFonts w:ascii="Times New Roman" w:hAnsi="Times New Roman" w:cs="Times New Roman"/>
          <w:lang w:val="ro-MD"/>
        </w:rPr>
        <w:t>.</w:t>
      </w:r>
    </w:p>
    <w:p w14:paraId="1195D772" w14:textId="7E21ABE2" w:rsidR="00BA3ADC" w:rsidRPr="000508B6" w:rsidRDefault="0083646C" w:rsidP="0083646C">
      <w:pPr>
        <w:spacing w:after="0" w:line="240" w:lineRule="auto"/>
        <w:jc w:val="both"/>
        <w:rPr>
          <w:rFonts w:ascii="Times New Roman" w:hAnsi="Times New Roman" w:cs="Times New Roman"/>
          <w:lang w:val="ro-MD"/>
        </w:rPr>
      </w:pPr>
      <w:r w:rsidRPr="000508B6">
        <w:rPr>
          <w:rFonts w:ascii="Times New Roman" w:hAnsi="Times New Roman" w:cs="Times New Roman"/>
          <w:lang w:val="ro-MD"/>
        </w:rPr>
        <w:t>2.</w:t>
      </w:r>
      <w:r w:rsidR="00BA3ADC" w:rsidRPr="000508B6">
        <w:rPr>
          <w:rFonts w:ascii="Times New Roman" w:hAnsi="Times New Roman" w:cs="Times New Roman"/>
          <w:b/>
          <w:i/>
          <w:lang w:val="ro-MD"/>
        </w:rPr>
        <w:t>CSSR</w:t>
      </w:r>
      <w:r w:rsidR="00BA3ADC" w:rsidRPr="000508B6">
        <w:rPr>
          <w:rFonts w:ascii="Times New Roman" w:hAnsi="Times New Roman" w:cs="Times New Roman"/>
          <w:b/>
          <w:i/>
          <w:vertAlign w:val="subscript"/>
          <w:lang w:val="ro-MD"/>
        </w:rPr>
        <w:t>Euro</w:t>
      </w:r>
      <w:r w:rsidR="00BA3ADC" w:rsidRPr="000508B6">
        <w:rPr>
          <w:rFonts w:ascii="Times New Roman" w:hAnsi="Times New Roman" w:cs="Times New Roman"/>
          <w:lang w:val="ro-MD"/>
        </w:rPr>
        <w:t xml:space="preserve"> se calculează ca raport de </w:t>
      </w:r>
      <w:proofErr w:type="spellStart"/>
      <w:r w:rsidR="00BA3ADC" w:rsidRPr="000508B6">
        <w:rPr>
          <w:rFonts w:ascii="Times New Roman" w:hAnsi="Times New Roman" w:cs="Times New Roman"/>
          <w:lang w:val="ro-MD"/>
        </w:rPr>
        <w:t>senzitivitate</w:t>
      </w:r>
      <w:proofErr w:type="spellEnd"/>
      <w:r w:rsidR="00BA3ADC" w:rsidRPr="000508B6">
        <w:rPr>
          <w:rFonts w:ascii="Times New Roman" w:hAnsi="Times New Roman" w:cs="Times New Roman"/>
          <w:lang w:val="ro-MD"/>
        </w:rPr>
        <w:t xml:space="preserve"> la marja de credit aferent </w:t>
      </w:r>
      <w:r w:rsidR="004125E8" w:rsidRPr="000508B6">
        <w:rPr>
          <w:rFonts w:ascii="Times New Roman" w:hAnsi="Times New Roman" w:cs="Times New Roman"/>
          <w:lang w:val="ro-MD"/>
        </w:rPr>
        <w:t xml:space="preserve">asigurătorului sau </w:t>
      </w:r>
      <w:proofErr w:type="spellStart"/>
      <w:r w:rsidR="004125E8" w:rsidRPr="000508B6">
        <w:rPr>
          <w:rFonts w:ascii="Times New Roman" w:hAnsi="Times New Roman" w:cs="Times New Roman"/>
          <w:lang w:val="ro-MD"/>
        </w:rPr>
        <w:t>reasigurătorului</w:t>
      </w:r>
      <w:proofErr w:type="spellEnd"/>
      <w:r w:rsidR="00BA3ADC" w:rsidRPr="000508B6">
        <w:rPr>
          <w:rFonts w:ascii="Times New Roman" w:hAnsi="Times New Roman" w:cs="Times New Roman"/>
          <w:lang w:val="ro-MD"/>
        </w:rPr>
        <w:t xml:space="preserve"> pentru moneda euro în conformitate cu </w:t>
      </w:r>
      <w:r w:rsidRPr="000508B6">
        <w:rPr>
          <w:rFonts w:ascii="Times New Roman" w:hAnsi="Times New Roman" w:cs="Times New Roman"/>
          <w:lang w:val="ro-MD"/>
        </w:rPr>
        <w:t>Anexa nr.</w:t>
      </w:r>
      <w:r w:rsidR="00F41538" w:rsidRPr="000508B6">
        <w:rPr>
          <w:rFonts w:ascii="Times New Roman" w:hAnsi="Times New Roman" w:cs="Times New Roman"/>
          <w:lang w:val="ro-MD"/>
        </w:rPr>
        <w:t>4</w:t>
      </w:r>
      <w:r w:rsidR="00D868D3" w:rsidRPr="000508B6">
        <w:rPr>
          <w:rFonts w:ascii="Times New Roman" w:hAnsi="Times New Roman" w:cs="Times New Roman"/>
          <w:lang w:val="ro-MD"/>
        </w:rPr>
        <w:t>.</w:t>
      </w:r>
    </w:p>
    <w:p w14:paraId="3C76E0D1" w14:textId="076C02E4" w:rsidR="00BA3ADC" w:rsidRPr="000508B6" w:rsidRDefault="0083646C" w:rsidP="0083646C">
      <w:pPr>
        <w:spacing w:after="0" w:line="240" w:lineRule="auto"/>
        <w:jc w:val="both"/>
        <w:rPr>
          <w:rFonts w:ascii="Times New Roman" w:hAnsi="Times New Roman" w:cs="Times New Roman"/>
          <w:lang w:val="ro-MD"/>
        </w:rPr>
      </w:pPr>
      <w:r w:rsidRPr="000508B6">
        <w:rPr>
          <w:rFonts w:ascii="Times New Roman" w:hAnsi="Times New Roman" w:cs="Times New Roman"/>
          <w:lang w:val="ro-MD"/>
        </w:rPr>
        <w:t>3.</w:t>
      </w:r>
      <w:r w:rsidR="00BA3ADC" w:rsidRPr="000508B6">
        <w:rPr>
          <w:rFonts w:ascii="Times New Roman" w:hAnsi="Times New Roman" w:cs="Times New Roman"/>
          <w:b/>
          <w:i/>
          <w:lang w:val="ro-MD"/>
        </w:rPr>
        <w:t>RCS</w:t>
      </w:r>
      <w:r w:rsidR="00BA3ADC" w:rsidRPr="000508B6">
        <w:rPr>
          <w:rFonts w:ascii="Times New Roman" w:hAnsi="Times New Roman" w:cs="Times New Roman"/>
          <w:b/>
          <w:i/>
          <w:vertAlign w:val="subscript"/>
          <w:lang w:val="ro-MD"/>
        </w:rPr>
        <w:t>co</w:t>
      </w:r>
      <w:r w:rsidR="00BA3ADC" w:rsidRPr="000508B6">
        <w:rPr>
          <w:rFonts w:ascii="Times New Roman" w:hAnsi="Times New Roman" w:cs="Times New Roman"/>
          <w:b/>
          <w:lang w:val="ro-MD"/>
        </w:rPr>
        <w:t xml:space="preserve"> </w:t>
      </w:r>
      <w:r w:rsidR="00BA3ADC" w:rsidRPr="000508B6">
        <w:rPr>
          <w:rFonts w:ascii="Times New Roman" w:hAnsi="Times New Roman" w:cs="Times New Roman"/>
          <w:lang w:val="ro-MD"/>
        </w:rPr>
        <w:t xml:space="preserve">se calculează în același mod ca marja corectată în funcție de risc pentru moneda euro în conformitate cu </w:t>
      </w:r>
      <w:r w:rsidRPr="000508B6">
        <w:rPr>
          <w:rFonts w:ascii="Times New Roman" w:hAnsi="Times New Roman" w:cs="Times New Roman"/>
          <w:lang w:val="ro-MD"/>
        </w:rPr>
        <w:t>Anexa nr.</w:t>
      </w:r>
      <w:r w:rsidR="00F41538" w:rsidRPr="000508B6">
        <w:rPr>
          <w:rFonts w:ascii="Times New Roman" w:hAnsi="Times New Roman" w:cs="Times New Roman"/>
          <w:lang w:val="ro-MD"/>
        </w:rPr>
        <w:t>4</w:t>
      </w:r>
      <w:r w:rsidR="00BA3ADC" w:rsidRPr="000508B6">
        <w:rPr>
          <w:rFonts w:ascii="Times New Roman" w:hAnsi="Times New Roman" w:cs="Times New Roman"/>
          <w:lang w:val="ro-MD"/>
        </w:rPr>
        <w:t xml:space="preserve">, însă pe baza unui portofoliu de referință care este reprezentativ pentru activele în care investește </w:t>
      </w:r>
      <w:r w:rsidR="004125E8" w:rsidRPr="000508B6">
        <w:rPr>
          <w:rFonts w:ascii="Times New Roman" w:hAnsi="Times New Roman" w:cs="Times New Roman"/>
          <w:lang w:val="ro-MD"/>
        </w:rPr>
        <w:t xml:space="preserve">asigurătorul sau </w:t>
      </w:r>
      <w:proofErr w:type="spellStart"/>
      <w:r w:rsidR="004125E8" w:rsidRPr="000508B6">
        <w:rPr>
          <w:rFonts w:ascii="Times New Roman" w:hAnsi="Times New Roman" w:cs="Times New Roman"/>
          <w:lang w:val="ro-MD"/>
        </w:rPr>
        <w:t>reasigurătorul</w:t>
      </w:r>
      <w:proofErr w:type="spellEnd"/>
      <w:r w:rsidR="00BA3ADC" w:rsidRPr="000508B6">
        <w:rPr>
          <w:rFonts w:ascii="Times New Roman" w:hAnsi="Times New Roman" w:cs="Times New Roman"/>
          <w:lang w:val="ro-MD"/>
        </w:rPr>
        <w:t xml:space="preserve"> pentru a acoperi cea mai bună estimare a obligațiilor de asigurare și de reasigurare aferente produselor vândute și exprimate în euro.</w:t>
      </w:r>
    </w:p>
    <w:p w14:paraId="379B98CE" w14:textId="209C5BC9" w:rsidR="00BA3ADC" w:rsidRPr="000508B6" w:rsidRDefault="0083646C" w:rsidP="0083646C">
      <w:pPr>
        <w:spacing w:after="0" w:line="240" w:lineRule="auto"/>
        <w:jc w:val="both"/>
        <w:rPr>
          <w:rFonts w:ascii="Times New Roman" w:hAnsi="Times New Roman" w:cs="Times New Roman"/>
          <w:lang w:val="ro-MD"/>
        </w:rPr>
      </w:pPr>
      <w:r w:rsidRPr="000508B6">
        <w:rPr>
          <w:rFonts w:ascii="Times New Roman" w:hAnsi="Times New Roman" w:cs="Times New Roman"/>
          <w:i/>
          <w:lang w:val="ro-MD"/>
        </w:rPr>
        <w:t>4.</w:t>
      </w:r>
      <w:r w:rsidRPr="000508B6">
        <w:rPr>
          <w:rFonts w:ascii="Times New Roman" w:hAnsi="Times New Roman" w:cs="Times New Roman"/>
          <w:b/>
          <w:i/>
          <w:lang w:val="ro-MD"/>
        </w:rPr>
        <w:t xml:space="preserve"> </w:t>
      </w:r>
      <w:proofErr w:type="spellStart"/>
      <w:r w:rsidR="00BA3ADC" w:rsidRPr="000508B6">
        <w:rPr>
          <w:rFonts w:ascii="Times New Roman" w:hAnsi="Times New Roman" w:cs="Times New Roman"/>
          <w:b/>
          <w:i/>
          <w:lang w:val="ro-MD"/>
        </w:rPr>
        <w:t>RCS</w:t>
      </w:r>
      <w:r w:rsidR="00BA3ADC" w:rsidRPr="000508B6">
        <w:rPr>
          <w:rFonts w:ascii="Times New Roman" w:hAnsi="Times New Roman" w:cs="Times New Roman"/>
          <w:b/>
          <w:i/>
          <w:vertAlign w:val="subscript"/>
          <w:lang w:val="ro-MD"/>
        </w:rPr>
        <w:t>Euro</w:t>
      </w:r>
      <w:proofErr w:type="spellEnd"/>
      <w:r w:rsidR="00BA3ADC" w:rsidRPr="000508B6">
        <w:rPr>
          <w:rFonts w:ascii="Times New Roman" w:hAnsi="Times New Roman" w:cs="Times New Roman"/>
          <w:b/>
          <w:lang w:val="ro-MD"/>
        </w:rPr>
        <w:t xml:space="preserve"> </w:t>
      </w:r>
      <w:r w:rsidR="00BA3ADC" w:rsidRPr="000508B6">
        <w:rPr>
          <w:rFonts w:ascii="Times New Roman" w:hAnsi="Times New Roman" w:cs="Times New Roman"/>
          <w:lang w:val="ro-MD"/>
        </w:rPr>
        <w:t xml:space="preserve">se calculează ca marja corectată în funcție de risc pentru moneda euro în conformitate cu </w:t>
      </w:r>
      <w:r w:rsidRPr="000508B6">
        <w:rPr>
          <w:rFonts w:ascii="Times New Roman" w:hAnsi="Times New Roman" w:cs="Times New Roman"/>
          <w:lang w:val="ro-MD"/>
        </w:rPr>
        <w:t>Anexa nr.</w:t>
      </w:r>
      <w:r w:rsidR="00F41538" w:rsidRPr="000508B6">
        <w:rPr>
          <w:rFonts w:ascii="Times New Roman" w:hAnsi="Times New Roman" w:cs="Times New Roman"/>
          <w:lang w:val="ro-MD"/>
        </w:rPr>
        <w:t>4</w:t>
      </w:r>
      <w:r w:rsidRPr="000508B6">
        <w:rPr>
          <w:rFonts w:ascii="Times New Roman" w:hAnsi="Times New Roman" w:cs="Times New Roman"/>
          <w:lang w:val="ro-MD"/>
        </w:rPr>
        <w:t>.</w:t>
      </w:r>
    </w:p>
    <w:p w14:paraId="6741D95F" w14:textId="1044B6FD" w:rsidR="00BA3ADC" w:rsidRPr="000508B6" w:rsidRDefault="0083646C" w:rsidP="0083646C">
      <w:pPr>
        <w:spacing w:after="0" w:line="240" w:lineRule="auto"/>
        <w:jc w:val="both"/>
        <w:rPr>
          <w:rFonts w:ascii="Times New Roman" w:hAnsi="Times New Roman" w:cs="Times New Roman"/>
          <w:lang w:val="ro-MD"/>
        </w:rPr>
      </w:pPr>
      <w:r w:rsidRPr="000508B6">
        <w:rPr>
          <w:rFonts w:ascii="Times New Roman" w:hAnsi="Times New Roman" w:cs="Times New Roman"/>
          <w:lang w:val="ro-MD"/>
        </w:rPr>
        <w:t>5.</w:t>
      </w:r>
      <w:r w:rsidR="00BA3ADC" w:rsidRPr="000508B6">
        <w:rPr>
          <w:rFonts w:ascii="Times New Roman" w:hAnsi="Times New Roman" w:cs="Times New Roman"/>
          <w:lang w:val="ro-MD"/>
        </w:rPr>
        <w:t xml:space="preserve">Factorul de ajustare de țară menționat la </w:t>
      </w:r>
      <w:r w:rsidRPr="000508B6">
        <w:rPr>
          <w:rFonts w:ascii="Times New Roman" w:hAnsi="Times New Roman" w:cs="Times New Roman"/>
          <w:lang w:val="ro-MD"/>
        </w:rPr>
        <w:t>pct.1</w:t>
      </w:r>
      <w:r w:rsidR="00BA3ADC" w:rsidRPr="000508B6">
        <w:rPr>
          <w:rFonts w:ascii="Times New Roman" w:hAnsi="Times New Roman" w:cs="Times New Roman"/>
          <w:lang w:val="ro-MD"/>
        </w:rPr>
        <w:t xml:space="preserve"> </w:t>
      </w:r>
      <w:proofErr w:type="spellStart"/>
      <w:r w:rsidR="00BA3ADC" w:rsidRPr="000508B6">
        <w:rPr>
          <w:rFonts w:ascii="Times New Roman" w:hAnsi="Times New Roman" w:cs="Times New Roman"/>
          <w:lang w:val="ro-MD"/>
        </w:rPr>
        <w:t>lit.e</w:t>
      </w:r>
      <w:proofErr w:type="spellEnd"/>
      <w:r w:rsidR="00BA3ADC" w:rsidRPr="000508B6">
        <w:rPr>
          <w:rFonts w:ascii="Times New Roman" w:hAnsi="Times New Roman" w:cs="Times New Roman"/>
          <w:lang w:val="ro-MD"/>
        </w:rPr>
        <w:t>) se calculează după cum urmează:</w:t>
      </w:r>
    </w:p>
    <w:p w14:paraId="0BB9C32F" w14:textId="4B9406C8" w:rsidR="00BA3ADC" w:rsidRPr="000508B6" w:rsidRDefault="00BA3ADC" w:rsidP="00BA3ADC">
      <w:pPr>
        <w:spacing w:after="0" w:line="240" w:lineRule="auto"/>
        <w:jc w:val="both"/>
        <w:rPr>
          <w:rFonts w:ascii="Times New Roman" w:hAnsi="Times New Roman" w:cs="Times New Roman"/>
          <w:b/>
          <w:i/>
          <w:lang w:val="ro-MD"/>
        </w:rPr>
      </w:pPr>
      <w:proofErr w:type="spellStart"/>
      <w:r w:rsidRPr="000508B6">
        <w:rPr>
          <w:rFonts w:ascii="Times New Roman" w:hAnsi="Times New Roman" w:cs="Times New Roman"/>
          <w:b/>
          <w:i/>
          <w:lang w:val="ro-MD"/>
        </w:rPr>
        <w:t>ω</w:t>
      </w:r>
      <w:r w:rsidRPr="000508B6">
        <w:rPr>
          <w:rFonts w:ascii="Times New Roman" w:hAnsi="Times New Roman" w:cs="Times New Roman"/>
          <w:b/>
          <w:i/>
          <w:vertAlign w:val="subscript"/>
          <w:lang w:val="ro-MD"/>
        </w:rPr>
        <w:t>co</w:t>
      </w:r>
      <w:proofErr w:type="spellEnd"/>
      <w:r w:rsidRPr="000508B6">
        <w:rPr>
          <w:rFonts w:ascii="Times New Roman" w:hAnsi="Times New Roman" w:cs="Times New Roman"/>
          <w:b/>
          <w:i/>
          <w:lang w:val="ro-MD"/>
        </w:rPr>
        <w:t xml:space="preserve">= </w:t>
      </w:r>
      <w:proofErr w:type="spellStart"/>
      <w:r w:rsidRPr="000508B6">
        <w:rPr>
          <w:rFonts w:ascii="Times New Roman" w:hAnsi="Times New Roman" w:cs="Times New Roman"/>
          <w:b/>
          <w:i/>
          <w:lang w:val="ro-MD"/>
        </w:rPr>
        <w:t>max</w:t>
      </w:r>
      <w:proofErr w:type="spellEnd"/>
      <w:r w:rsidRPr="000508B6">
        <w:rPr>
          <w:rFonts w:ascii="Times New Roman" w:hAnsi="Times New Roman" w:cs="Times New Roman"/>
          <w:b/>
          <w:i/>
          <w:lang w:val="ro-MD"/>
        </w:rPr>
        <w:t>(min</w:t>
      </w:r>
      <w:r w:rsidR="0083646C" w:rsidRPr="000508B6">
        <w:rPr>
          <w:rFonts w:ascii="Times New Roman" w:hAnsi="Times New Roman" w:cs="Times New Roman"/>
          <w:b/>
          <w:i/>
          <w:lang w:val="ro-MD"/>
        </w:rPr>
        <w:t xml:space="preserve"> </w:t>
      </w:r>
      <w:r w:rsidRPr="000508B6">
        <w:rPr>
          <w:rFonts w:ascii="Times New Roman" w:hAnsi="Times New Roman" w:cs="Times New Roman"/>
          <w:b/>
          <w:i/>
          <w:lang w:val="ro-MD"/>
        </w:rPr>
        <w:t>(((</w:t>
      </w:r>
      <w:proofErr w:type="spellStart"/>
      <w:r w:rsidRPr="000508B6">
        <w:rPr>
          <w:rFonts w:ascii="Times New Roman" w:hAnsi="Times New Roman" w:cs="Times New Roman"/>
          <w:b/>
          <w:i/>
          <w:lang w:val="ro-MD"/>
        </w:rPr>
        <w:t>RCS</w:t>
      </w:r>
      <w:r w:rsidRPr="000508B6">
        <w:rPr>
          <w:rFonts w:ascii="Times New Roman" w:hAnsi="Times New Roman" w:cs="Times New Roman"/>
          <w:b/>
          <w:i/>
          <w:vertAlign w:val="subscript"/>
          <w:lang w:val="ro-MD"/>
        </w:rPr>
        <w:t>co</w:t>
      </w:r>
      <w:proofErr w:type="spellEnd"/>
      <w:r w:rsidRPr="000508B6">
        <w:rPr>
          <w:rFonts w:ascii="Times New Roman" w:hAnsi="Times New Roman" w:cs="Times New Roman"/>
          <w:b/>
          <w:i/>
          <w:lang w:val="ro-MD"/>
        </w:rPr>
        <w:t>*-0,6 %)/0,3 %);1);0)</w:t>
      </w:r>
    </w:p>
    <w:p w14:paraId="3982A494" w14:textId="77777777" w:rsidR="0083646C" w:rsidRPr="000508B6" w:rsidRDefault="0083646C" w:rsidP="00BA3ADC">
      <w:pPr>
        <w:spacing w:after="0" w:line="240" w:lineRule="auto"/>
        <w:jc w:val="both"/>
        <w:rPr>
          <w:rFonts w:ascii="Times New Roman" w:hAnsi="Times New Roman" w:cs="Times New Roman"/>
          <w:lang w:val="ro-MD"/>
        </w:rPr>
      </w:pPr>
    </w:p>
    <w:p w14:paraId="6FA3FE14" w14:textId="18C4B210" w:rsidR="0083646C" w:rsidRPr="000508B6" w:rsidRDefault="0083646C" w:rsidP="00BA3ADC">
      <w:pPr>
        <w:spacing w:after="0" w:line="240" w:lineRule="auto"/>
        <w:jc w:val="both"/>
        <w:rPr>
          <w:rFonts w:ascii="Times New Roman" w:hAnsi="Times New Roman" w:cs="Times New Roman"/>
          <w:b/>
          <w:i/>
          <w:lang w:val="ro-MD"/>
        </w:rPr>
      </w:pPr>
      <w:r w:rsidRPr="000508B6">
        <w:rPr>
          <w:rFonts w:ascii="Times New Roman" w:hAnsi="Times New Roman" w:cs="Times New Roman"/>
          <w:lang w:val="ro-MD"/>
        </w:rPr>
        <w:t>u</w:t>
      </w:r>
      <w:r w:rsidR="00BA3ADC" w:rsidRPr="000508B6">
        <w:rPr>
          <w:rFonts w:ascii="Times New Roman" w:hAnsi="Times New Roman" w:cs="Times New Roman"/>
          <w:lang w:val="ro-MD"/>
        </w:rPr>
        <w:t>nde</w:t>
      </w:r>
      <w:r w:rsidR="0075007A" w:rsidRPr="000508B6">
        <w:rPr>
          <w:rFonts w:ascii="Times New Roman" w:hAnsi="Times New Roman" w:cs="Times New Roman"/>
          <w:lang w:val="ro-MD"/>
        </w:rPr>
        <w:t>:</w:t>
      </w:r>
      <w:r w:rsidR="00BA3ADC" w:rsidRPr="000508B6">
        <w:rPr>
          <w:rFonts w:ascii="Times New Roman" w:hAnsi="Times New Roman" w:cs="Times New Roman"/>
          <w:b/>
          <w:i/>
          <w:lang w:val="ro-MD"/>
        </w:rPr>
        <w:t xml:space="preserve"> </w:t>
      </w:r>
    </w:p>
    <w:p w14:paraId="70818942" w14:textId="663E77EB" w:rsidR="00BA3ADC" w:rsidRPr="000508B6" w:rsidRDefault="00BA3ADC" w:rsidP="00BA3ADC">
      <w:pPr>
        <w:spacing w:after="0" w:line="240" w:lineRule="auto"/>
        <w:jc w:val="both"/>
        <w:rPr>
          <w:rFonts w:ascii="Times New Roman" w:hAnsi="Times New Roman" w:cs="Times New Roman"/>
          <w:lang w:val="ro-MD"/>
        </w:rPr>
      </w:pPr>
      <w:proofErr w:type="spellStart"/>
      <w:r w:rsidRPr="000508B6">
        <w:rPr>
          <w:rFonts w:ascii="Times New Roman" w:hAnsi="Times New Roman" w:cs="Times New Roman"/>
          <w:b/>
          <w:i/>
          <w:lang w:val="ro-MD"/>
        </w:rPr>
        <w:t>RCS</w:t>
      </w:r>
      <w:r w:rsidRPr="000508B6">
        <w:rPr>
          <w:rFonts w:ascii="Times New Roman" w:hAnsi="Times New Roman" w:cs="Times New Roman"/>
          <w:b/>
          <w:i/>
          <w:vertAlign w:val="subscript"/>
          <w:lang w:val="ro-MD"/>
        </w:rPr>
        <w:t>co</w:t>
      </w:r>
      <w:proofErr w:type="spellEnd"/>
      <w:r w:rsidRPr="000508B6">
        <w:rPr>
          <w:rFonts w:ascii="Times New Roman" w:hAnsi="Times New Roman" w:cs="Times New Roman"/>
          <w:lang w:val="ro-MD"/>
        </w:rPr>
        <w:t xml:space="preserve">* este marja corectată în funcție de risc pentru țara </w:t>
      </w:r>
      <w:proofErr w:type="spellStart"/>
      <w:r w:rsidRPr="000508B6">
        <w:rPr>
          <w:rFonts w:ascii="Times New Roman" w:hAnsi="Times New Roman" w:cs="Times New Roman"/>
          <w:b/>
          <w:i/>
          <w:lang w:val="ro-MD"/>
        </w:rPr>
        <w:t>co</w:t>
      </w:r>
      <w:proofErr w:type="spellEnd"/>
      <w:r w:rsidRPr="000508B6">
        <w:rPr>
          <w:rFonts w:ascii="Times New Roman" w:hAnsi="Times New Roman" w:cs="Times New Roman"/>
          <w:lang w:val="ro-MD"/>
        </w:rPr>
        <w:t xml:space="preserve">, astfel cum se menționează la </w:t>
      </w:r>
      <w:r w:rsidR="0075007A" w:rsidRPr="000508B6">
        <w:rPr>
          <w:rFonts w:ascii="Times New Roman" w:hAnsi="Times New Roman" w:cs="Times New Roman"/>
          <w:lang w:val="ro-MD"/>
        </w:rPr>
        <w:t>pct.1</w:t>
      </w:r>
      <w:r w:rsidRPr="000508B6">
        <w:rPr>
          <w:rFonts w:ascii="Times New Roman" w:hAnsi="Times New Roman" w:cs="Times New Roman"/>
          <w:lang w:val="ro-MD"/>
        </w:rPr>
        <w:t xml:space="preserve"> </w:t>
      </w:r>
      <w:proofErr w:type="spellStart"/>
      <w:r w:rsidRPr="000508B6">
        <w:rPr>
          <w:rFonts w:ascii="Times New Roman" w:hAnsi="Times New Roman" w:cs="Times New Roman"/>
          <w:lang w:val="ro-MD"/>
        </w:rPr>
        <w:t>lit.c</w:t>
      </w:r>
      <w:proofErr w:type="spellEnd"/>
      <w:r w:rsidRPr="000508B6">
        <w:rPr>
          <w:rFonts w:ascii="Times New Roman" w:hAnsi="Times New Roman" w:cs="Times New Roman"/>
          <w:lang w:val="ro-MD"/>
        </w:rPr>
        <w:t xml:space="preserve">), înmulțită cu procentajul investițiilor în instrumente de datorie în raport cu totalul activelor deținute de </w:t>
      </w:r>
      <w:r w:rsidR="00972095" w:rsidRPr="000508B6">
        <w:rPr>
          <w:rFonts w:ascii="Times New Roman" w:hAnsi="Times New Roman" w:cs="Times New Roman"/>
          <w:lang w:val="ro-MD"/>
        </w:rPr>
        <w:t xml:space="preserve">asigurător sau </w:t>
      </w:r>
      <w:proofErr w:type="spellStart"/>
      <w:r w:rsidR="00972095" w:rsidRPr="000508B6">
        <w:rPr>
          <w:rFonts w:ascii="Times New Roman" w:hAnsi="Times New Roman" w:cs="Times New Roman"/>
          <w:lang w:val="ro-MD"/>
        </w:rPr>
        <w:t>reasigurător</w:t>
      </w:r>
      <w:proofErr w:type="spellEnd"/>
      <w:r w:rsidRPr="000508B6">
        <w:rPr>
          <w:rFonts w:ascii="Times New Roman" w:hAnsi="Times New Roman" w:cs="Times New Roman"/>
          <w:lang w:val="ro-MD"/>
        </w:rPr>
        <w:t xml:space="preserve"> autorizat în țara</w:t>
      </w:r>
      <w:r w:rsidRPr="000508B6">
        <w:rPr>
          <w:rFonts w:ascii="Times New Roman" w:hAnsi="Times New Roman" w:cs="Times New Roman"/>
          <w:b/>
          <w:i/>
          <w:lang w:val="ro-MD"/>
        </w:rPr>
        <w:t xml:space="preserve"> co</w:t>
      </w:r>
      <w:r w:rsidRPr="000508B6">
        <w:rPr>
          <w:rFonts w:ascii="Times New Roman" w:hAnsi="Times New Roman" w:cs="Times New Roman"/>
          <w:lang w:val="ro-MD"/>
        </w:rPr>
        <w:t>.</w:t>
      </w:r>
    </w:p>
    <w:p w14:paraId="3DEB74EE" w14:textId="77777777" w:rsidR="00BA3ADC" w:rsidRPr="000508B6" w:rsidRDefault="00BA3ADC" w:rsidP="008B530F">
      <w:pPr>
        <w:tabs>
          <w:tab w:val="left" w:pos="851"/>
        </w:tabs>
        <w:spacing w:after="0"/>
        <w:ind w:firstLine="426"/>
        <w:rPr>
          <w:rFonts w:ascii="Times New Roman" w:hAnsi="Times New Roman" w:cs="Times New Roman"/>
          <w:lang w:val="ro-MD"/>
        </w:rPr>
      </w:pPr>
    </w:p>
    <w:sectPr w:rsidR="00BA3ADC" w:rsidRPr="000508B6" w:rsidSect="00626CE5">
      <w:headerReference w:type="even" r:id="rId16"/>
      <w:headerReference w:type="default" r:id="rId17"/>
      <w:footerReference w:type="even" r:id="rId18"/>
      <w:footerReference w:type="default" r:id="rId19"/>
      <w:headerReference w:type="first" r:id="rId20"/>
      <w:footerReference w:type="first" r:id="rId21"/>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B69F" w14:textId="77777777" w:rsidR="00E5018A" w:rsidRDefault="00E5018A" w:rsidP="00F95829">
      <w:pPr>
        <w:spacing w:after="0" w:line="240" w:lineRule="auto"/>
      </w:pPr>
      <w:r>
        <w:separator/>
      </w:r>
    </w:p>
  </w:endnote>
  <w:endnote w:type="continuationSeparator" w:id="0">
    <w:p w14:paraId="011035B1" w14:textId="77777777" w:rsidR="00E5018A" w:rsidRDefault="00E5018A" w:rsidP="00F95829">
      <w:pPr>
        <w:spacing w:after="0" w:line="240" w:lineRule="auto"/>
      </w:pPr>
      <w:r>
        <w:continuationSeparator/>
      </w:r>
    </w:p>
  </w:endnote>
  <w:endnote w:type="continuationNotice" w:id="1">
    <w:p w14:paraId="23B22AD9" w14:textId="77777777" w:rsidR="00E5018A" w:rsidRDefault="00E50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altName w:val="Times New Roman"/>
    <w:charset w:val="CC"/>
    <w:family w:val="auto"/>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ansTypeface">
    <w:altName w:val="Calibri"/>
    <w:charset w:val="CC"/>
    <w:family w:val="auto"/>
    <w:pitch w:val="variable"/>
    <w:sig w:usb0="A000022F" w:usb1="4000A07A" w:usb2="00000000" w:usb3="00000000" w:csb0="0000000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F28C" w14:textId="042C0E51" w:rsidR="00E04666" w:rsidRDefault="00E04666">
    <w:pPr>
      <w:pStyle w:val="Subsol"/>
      <w:jc w:val="right"/>
    </w:pPr>
    <w:r>
      <w:rPr>
        <w:noProof/>
      </w:rPr>
      <mc:AlternateContent>
        <mc:Choice Requires="wps">
          <w:drawing>
            <wp:anchor distT="0" distB="0" distL="0" distR="0" simplePos="0" relativeHeight="251658250" behindDoc="0" locked="0" layoutInCell="1" allowOverlap="1" wp14:anchorId="0486B030" wp14:editId="7C7734A8">
              <wp:simplePos x="0" y="0"/>
              <wp:positionH relativeFrom="page">
                <wp:align>center</wp:align>
              </wp:positionH>
              <wp:positionV relativeFrom="page">
                <wp:align>bottom</wp:align>
              </wp:positionV>
              <wp:extent cx="443865" cy="44386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D0ED834" w14:textId="3D893202" w:rsidR="00E04666" w:rsidRPr="005141C3" w:rsidRDefault="00E04666" w:rsidP="007849BA">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486B030" id="_x0000_t202" coordsize="21600,21600" o:spt="202" path="m,l,21600r21600,l21600,xe">
              <v:stroke joinstyle="miter"/>
              <v:path gradientshapeok="t" o:connecttype="rect"/>
            </v:shapetype>
            <v:shape id="Text Box 24" o:spid="_x0000_s1028" type="#_x0000_t202" style="position:absolute;left:0;text-align:left;margin-left:0;margin-top:0;width:34.95pt;height:34.95pt;z-index:25165825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filled="f" stroked="f">
              <v:textbox style="mso-fit-shape-to-text:t" inset="0,0,0,15pt">
                <w:txbxContent>
                  <w:p w14:paraId="7D0ED834" w14:textId="3D893202" w:rsidR="00E04666" w:rsidRPr="005141C3" w:rsidRDefault="00E04666" w:rsidP="007849BA">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r>
      <w:rPr>
        <w:noProof/>
      </w:rPr>
      <mc:AlternateContent>
        <mc:Choice Requires="wps">
          <w:drawing>
            <wp:anchor distT="0" distB="0" distL="0" distR="0" simplePos="0" relativeHeight="251658242" behindDoc="0" locked="0" layoutInCell="1" allowOverlap="1" wp14:anchorId="1DC179F9" wp14:editId="2598C1A0">
              <wp:simplePos x="0" y="0"/>
              <wp:positionH relativeFrom="page">
                <wp:align>center</wp:align>
              </wp:positionH>
              <wp:positionV relativeFrom="page">
                <wp:align>bottom</wp:align>
              </wp:positionV>
              <wp:extent cx="443865" cy="44386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6761FE8" w14:textId="4CB2C6BF" w:rsidR="00E04666" w:rsidRPr="005141C3" w:rsidRDefault="00E04666" w:rsidP="007434F9">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DC179F9" id="Text Box 23" o:spid="_x0000_s1029" type="#_x0000_t202" style="position:absolute;left:0;text-align:left;margin-left:0;margin-top:0;width:34.95pt;height:34.9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D/8&#10;kTcXAgAANQQAAA4AAAAAAAAAAAAAAAAALgIAAGRycy9lMm9Eb2MueG1sUEsBAi0AFAAGAAgAAAAh&#10;ADft0fjZAAAAAwEAAA8AAAAAAAAAAAAAAAAAcQQAAGRycy9kb3ducmV2LnhtbFBLBQYAAAAABAAE&#10;APMAAAB3BQAAAAA=&#10;" filled="f" stroked="f">
              <v:textbox style="mso-fit-shape-to-text:t" inset="0,0,0,15pt">
                <w:txbxContent>
                  <w:p w14:paraId="16761FE8" w14:textId="4CB2C6BF" w:rsidR="00E04666" w:rsidRPr="005141C3" w:rsidRDefault="00E04666" w:rsidP="007434F9">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p>
  <w:p w14:paraId="66E7AA77" w14:textId="77777777" w:rsidR="00E04666" w:rsidRDefault="00E04666" w:rsidP="00604BF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9EC6" w14:textId="79DFD8B1" w:rsidR="00E04666" w:rsidRDefault="00000000">
    <w:pPr>
      <w:pStyle w:val="Subsol"/>
      <w:jc w:val="right"/>
    </w:pPr>
    <w:sdt>
      <w:sdtPr>
        <w:id w:val="-1380695420"/>
        <w:docPartObj>
          <w:docPartGallery w:val="Page Numbers (Bottom of Page)"/>
          <w:docPartUnique/>
        </w:docPartObj>
      </w:sdtPr>
      <w:sdtEndPr>
        <w:rPr>
          <w:noProof/>
        </w:rPr>
      </w:sdtEndPr>
      <w:sdtContent>
        <w:r w:rsidR="00E04666">
          <w:fldChar w:fldCharType="begin"/>
        </w:r>
        <w:r w:rsidR="00E04666">
          <w:instrText xml:space="preserve"> PAGE   \* MERGEFORMAT </w:instrText>
        </w:r>
        <w:r w:rsidR="00E04666">
          <w:fldChar w:fldCharType="separate"/>
        </w:r>
        <w:r w:rsidR="002A55E5">
          <w:rPr>
            <w:noProof/>
          </w:rPr>
          <w:t>154</w:t>
        </w:r>
        <w:r w:rsidR="00E04666">
          <w:rPr>
            <w:noProof/>
          </w:rPr>
          <w:fldChar w:fldCharType="end"/>
        </w:r>
      </w:sdtContent>
    </w:sdt>
  </w:p>
  <w:p w14:paraId="7CBC3659" w14:textId="47891297" w:rsidR="00E04666" w:rsidRDefault="00E04666" w:rsidP="00604BFE">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D992" w14:textId="77D8270B" w:rsidR="00E04666" w:rsidRDefault="00E04666">
    <w:pPr>
      <w:pStyle w:val="Subsol"/>
      <w:rPr>
        <w:noProof/>
      </w:rPr>
    </w:pPr>
    <w:r>
      <w:rPr>
        <w:noProof/>
      </w:rPr>
      <mc:AlternateContent>
        <mc:Choice Requires="wps">
          <w:drawing>
            <wp:anchor distT="0" distB="0" distL="0" distR="0" simplePos="0" relativeHeight="251658245" behindDoc="0" locked="0" layoutInCell="1" allowOverlap="1" wp14:anchorId="43052F6C" wp14:editId="785BE11E">
              <wp:simplePos x="0" y="0"/>
              <wp:positionH relativeFrom="page">
                <wp:align>center</wp:align>
              </wp:positionH>
              <wp:positionV relativeFrom="page">
                <wp:align>bottom</wp:align>
              </wp:positionV>
              <wp:extent cx="443865" cy="4438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FC1A092" w14:textId="0239D21E" w:rsidR="00E04666" w:rsidRPr="005141C3" w:rsidRDefault="00E04666" w:rsidP="007434F9">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3052F6C" id="_x0000_t202" coordsize="21600,21600" o:spt="202" path="m,l,21600r21600,l21600,xe">
              <v:stroke joinstyle="miter"/>
              <v:path gradientshapeok="t" o:connecttype="rect"/>
            </v:shapetype>
            <v:shape id="Text Box 18" o:spid="_x0000_s1032" type="#_x0000_t202" style="position:absolute;margin-left:0;margin-top:0;width:34.95pt;height:34.95pt;z-index:251658245;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Oa+&#10;6fwXAgAANQQAAA4AAAAAAAAAAAAAAAAALgIAAGRycy9lMm9Eb2MueG1sUEsBAi0AFAAGAAgAAAAh&#10;ADft0fjZAAAAAwEAAA8AAAAAAAAAAAAAAAAAcQQAAGRycy9kb3ducmV2LnhtbFBLBQYAAAAABAAE&#10;APMAAAB3BQAAAAA=&#10;" filled="f" stroked="f">
              <v:textbox style="mso-fit-shape-to-text:t" inset="0,0,0,15pt">
                <w:txbxContent>
                  <w:p w14:paraId="3FC1A092" w14:textId="0239D21E" w:rsidR="00E04666" w:rsidRPr="005141C3" w:rsidRDefault="00E04666" w:rsidP="007434F9">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p>
  <w:p w14:paraId="22C24385" w14:textId="33EC7290" w:rsidR="00E04666" w:rsidRDefault="00E04666">
    <w:pPr>
      <w:pStyle w:val="Subsol"/>
    </w:pPr>
    <w:r>
      <w:rPr>
        <w:noProof/>
      </w:rPr>
      <mc:AlternateContent>
        <mc:Choice Requires="wps">
          <w:drawing>
            <wp:anchor distT="0" distB="0" distL="0" distR="0" simplePos="0" relativeHeight="251658249" behindDoc="0" locked="0" layoutInCell="1" allowOverlap="1" wp14:anchorId="3F2F501E" wp14:editId="05FF7306">
              <wp:simplePos x="0" y="0"/>
              <wp:positionH relativeFrom="page">
                <wp:align>center</wp:align>
              </wp:positionH>
              <wp:positionV relativeFrom="page">
                <wp:align>bottom</wp:align>
              </wp:positionV>
              <wp:extent cx="443865" cy="44386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A66E307" w14:textId="782030F2" w:rsidR="00E04666" w:rsidRPr="005141C3" w:rsidRDefault="00E04666" w:rsidP="007849BA">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F2F501E" id="Text Box 17" o:spid="_x0000_s1033" type="#_x0000_t202" style="position:absolute;margin-left:0;margin-top:0;width:34.95pt;height:34.95pt;z-index:251658249;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IsB&#10;W8EXAgAANQQAAA4AAAAAAAAAAAAAAAAALgIAAGRycy9lMm9Eb2MueG1sUEsBAi0AFAAGAAgAAAAh&#10;ADft0fjZAAAAAwEAAA8AAAAAAAAAAAAAAAAAcQQAAGRycy9kb3ducmV2LnhtbFBLBQYAAAAABAAE&#10;APMAAAB3BQAAAAA=&#10;" filled="f" stroked="f">
              <v:textbox style="mso-fit-shape-to-text:t" inset="0,0,0,15pt">
                <w:txbxContent>
                  <w:p w14:paraId="1A66E307" w14:textId="782030F2" w:rsidR="00E04666" w:rsidRPr="005141C3" w:rsidRDefault="00E04666" w:rsidP="007849BA">
                    <w:pPr>
                      <w:spacing w:after="0"/>
                      <w:rPr>
                        <w:rFonts w:ascii="Calibri" w:eastAsia="Calibri" w:hAnsi="Calibri" w:cs="Calibri"/>
                        <w:color w:val="000000"/>
                        <w:sz w:val="16"/>
                        <w:szCs w:val="16"/>
                        <w:lang w:val="pt-BR"/>
                      </w:rPr>
                    </w:pPr>
                    <w:r w:rsidRPr="005141C3">
                      <w:rPr>
                        <w:rFonts w:ascii="Calibri" w:eastAsia="Calibri" w:hAnsi="Calibri" w:cs="Calibri"/>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B567" w14:textId="77777777" w:rsidR="00E5018A" w:rsidRDefault="00E5018A" w:rsidP="00F95829">
      <w:pPr>
        <w:spacing w:after="0" w:line="240" w:lineRule="auto"/>
      </w:pPr>
      <w:r>
        <w:separator/>
      </w:r>
    </w:p>
  </w:footnote>
  <w:footnote w:type="continuationSeparator" w:id="0">
    <w:p w14:paraId="00204F67" w14:textId="77777777" w:rsidR="00E5018A" w:rsidRDefault="00E5018A" w:rsidP="00F95829">
      <w:pPr>
        <w:spacing w:after="0" w:line="240" w:lineRule="auto"/>
      </w:pPr>
      <w:r>
        <w:continuationSeparator/>
      </w:r>
    </w:p>
  </w:footnote>
  <w:footnote w:type="continuationNotice" w:id="1">
    <w:p w14:paraId="060D84E7" w14:textId="77777777" w:rsidR="00E5018A" w:rsidRDefault="00E501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8065" w14:textId="4A2987ED" w:rsidR="00E04666" w:rsidRDefault="00E04666" w:rsidP="00604BFE">
    <w:pPr>
      <w:pStyle w:val="Antet"/>
      <w:rPr>
        <w:color w:val="000000"/>
        <w:sz w:val="2"/>
      </w:rPr>
    </w:pPr>
    <w:r>
      <w:rPr>
        <w:noProof/>
      </w:rPr>
      <mc:AlternateContent>
        <mc:Choice Requires="wps">
          <w:drawing>
            <wp:anchor distT="0" distB="0" distL="0" distR="0" simplePos="0" relativeHeight="251658247" behindDoc="0" locked="0" layoutInCell="1" allowOverlap="1" wp14:anchorId="67052743" wp14:editId="778BD2F9">
              <wp:simplePos x="0" y="0"/>
              <wp:positionH relativeFrom="page">
                <wp:align>right</wp:align>
              </wp:positionH>
              <wp:positionV relativeFrom="page">
                <wp:align>top</wp:align>
              </wp:positionV>
              <wp:extent cx="443865" cy="4438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8E22E9C" w14:textId="6822DA2E" w:rsidR="00E04666" w:rsidRPr="007849BA" w:rsidRDefault="00E04666" w:rsidP="007849BA">
                          <w:pPr>
                            <w:spacing w:after="0"/>
                            <w:rPr>
                              <w:rFonts w:ascii="Calibri" w:eastAsia="Calibri" w:hAnsi="Calibri" w:cs="Calibri"/>
                              <w:noProof/>
                              <w:color w:val="000000"/>
                              <w:sz w:val="24"/>
                              <w:szCs w:val="24"/>
                            </w:rPr>
                          </w:pPr>
                          <w:r w:rsidRPr="007849BA">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7052743" id="_x0000_t202" coordsize="21600,21600" o:spt="202" path="m,l,21600r21600,l21600,xe">
              <v:stroke joinstyle="miter"/>
              <v:path gradientshapeok="t" o:connecttype="rect"/>
            </v:shapetype>
            <v:shape id="Text Box 28" o:spid="_x0000_s1026" type="#_x0000_t202" style="position:absolute;margin-left:-16.25pt;margin-top:0;width:34.95pt;height:34.95pt;z-index:251658247;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08E22E9C" w14:textId="6822DA2E" w:rsidR="00E04666" w:rsidRPr="007849BA" w:rsidRDefault="00E04666" w:rsidP="007849BA">
                    <w:pPr>
                      <w:spacing w:after="0"/>
                      <w:rPr>
                        <w:rFonts w:ascii="Calibri" w:eastAsia="Calibri" w:hAnsi="Calibri" w:cs="Calibri"/>
                        <w:noProof/>
                        <w:color w:val="000000"/>
                        <w:sz w:val="24"/>
                        <w:szCs w:val="24"/>
                      </w:rPr>
                    </w:pPr>
                    <w:r w:rsidRPr="007849BA">
                      <w:rPr>
                        <w:rFonts w:ascii="Calibri" w:eastAsia="Calibri" w:hAnsi="Calibri" w:cs="Calibri"/>
                        <w:noProof/>
                        <w:color w:val="000000"/>
                        <w:sz w:val="24"/>
                        <w:szCs w:val="24"/>
                      </w:rPr>
                      <w:t>SP-3</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48F92D24" wp14:editId="1CE75241">
              <wp:simplePos x="0" y="0"/>
              <wp:positionH relativeFrom="page">
                <wp:align>right</wp:align>
              </wp:positionH>
              <wp:positionV relativeFrom="page">
                <wp:align>top</wp:align>
              </wp:positionV>
              <wp:extent cx="443865" cy="44386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4834167" w14:textId="0A70D5C7" w:rsidR="00E04666" w:rsidRPr="007434F9" w:rsidRDefault="00E04666" w:rsidP="007434F9">
                          <w:pPr>
                            <w:spacing w:after="0"/>
                            <w:rPr>
                              <w:rFonts w:ascii="Calibri" w:eastAsia="Calibri" w:hAnsi="Calibri" w:cs="Calibri"/>
                              <w:noProof/>
                              <w:color w:val="000000"/>
                              <w:sz w:val="24"/>
                              <w:szCs w:val="24"/>
                            </w:rPr>
                          </w:pPr>
                          <w:r w:rsidRPr="007434F9">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8F92D24" id="Text Box 27" o:spid="_x0000_s1027" type="#_x0000_t202" style="position:absolute;margin-left:-16.25pt;margin-top:0;width:34.95pt;height:34.95pt;z-index:25165824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E2Gw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iquhT9Fzx6qM27roBeCt3zT&#10;YOst8+GZOWQe90A1hyc8pIK2pDBYlNTgfvzNH/OREIxS0qKSSmpQ6pSorwaJiqJLxvRTvsjx5tJt&#10;tpjn8bYfk8xR3wOKdIrvxfJkxuSgRlM60K8o9nXshiFmOPYsaRjN+9DrGh8LF+t1SkKRWRa2Zmf5&#10;SG4E9KV7Zc4OqAek6xFGrbHiDfh9bkTb2/UxIAWJmSuaA+wo0MTt8JjiC/j1nrKuT371Ew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ss9RNhsCAAA6BAAADgAAAAAAAAAAAAAAAAAuAgAAZHJzL2Uyb0RvYy54bWxQSwECLQAUAAYA&#10;CAAAACEAd1eEQtoAAAADAQAADwAAAAAAAAAAAAAAAAB1BAAAZHJzL2Rvd25yZXYueG1sUEsFBgAA&#10;AAAEAAQA8wAAAHwFAAAAAA==&#10;" filled="f" stroked="f">
              <v:textbox style="mso-fit-shape-to-text:t" inset="0,15pt,20pt,0">
                <w:txbxContent>
                  <w:p w14:paraId="14834167" w14:textId="0A70D5C7" w:rsidR="00E04666" w:rsidRPr="007434F9" w:rsidRDefault="00E04666" w:rsidP="007434F9">
                    <w:pPr>
                      <w:spacing w:after="0"/>
                      <w:rPr>
                        <w:rFonts w:ascii="Calibri" w:eastAsia="Calibri" w:hAnsi="Calibri" w:cs="Calibri"/>
                        <w:noProof/>
                        <w:color w:val="000000"/>
                        <w:sz w:val="24"/>
                        <w:szCs w:val="24"/>
                      </w:rPr>
                    </w:pPr>
                    <w:r w:rsidRPr="007434F9">
                      <w:rPr>
                        <w:rFonts w:ascii="Calibri" w:eastAsia="Calibri" w:hAnsi="Calibri" w:cs="Calibri"/>
                        <w:noProof/>
                        <w:color w:val="000000"/>
                        <w:sz w:val="24"/>
                        <w:szCs w:val="24"/>
                      </w:rPr>
                      <w:t>SP-3</w:t>
                    </w:r>
                  </w:p>
                </w:txbxContent>
              </v:textbox>
              <w10:wrap anchorx="page" anchory="page"/>
            </v:shape>
          </w:pict>
        </mc:Fallback>
      </mc:AlternateContent>
    </w:r>
  </w:p>
  <w:p w14:paraId="6CF16DC4" w14:textId="77777777" w:rsidR="00E04666" w:rsidRDefault="00E04666" w:rsidP="00604BF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3F45" w14:textId="58C9F69E" w:rsidR="00E04666" w:rsidRDefault="00E04666" w:rsidP="00F95829">
    <w:pPr>
      <w:pStyle w:val="Antet"/>
      <w:rPr>
        <w:color w:val="000000"/>
        <w:sz w:val="2"/>
      </w:rPr>
    </w:pPr>
  </w:p>
  <w:p w14:paraId="1A90122F" w14:textId="77777777" w:rsidR="00E04666" w:rsidRDefault="00E04666" w:rsidP="00604BF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47A6" w14:textId="40181F2D" w:rsidR="00E04666" w:rsidRDefault="00E04666">
    <w:pPr>
      <w:pStyle w:val="Antet"/>
      <w:rPr>
        <w:noProof/>
      </w:rPr>
    </w:pPr>
    <w:r>
      <w:rPr>
        <w:noProof/>
      </w:rPr>
      <mc:AlternateContent>
        <mc:Choice Requires="wps">
          <w:drawing>
            <wp:anchor distT="0" distB="0" distL="0" distR="0" simplePos="0" relativeHeight="251658244" behindDoc="0" locked="0" layoutInCell="1" allowOverlap="1" wp14:anchorId="777D6812" wp14:editId="288CE41E">
              <wp:simplePos x="0" y="0"/>
              <wp:positionH relativeFrom="page">
                <wp:align>right</wp:align>
              </wp:positionH>
              <wp:positionV relativeFrom="page">
                <wp:align>top</wp:align>
              </wp:positionV>
              <wp:extent cx="443865" cy="4438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04842C4" w14:textId="3F36155F" w:rsidR="00E04666" w:rsidRPr="007434F9" w:rsidRDefault="00E04666" w:rsidP="007434F9">
                          <w:pPr>
                            <w:spacing w:after="0"/>
                            <w:rPr>
                              <w:rFonts w:ascii="Calibri" w:eastAsia="Calibri" w:hAnsi="Calibri" w:cs="Calibri"/>
                              <w:noProof/>
                              <w:color w:val="000000"/>
                              <w:sz w:val="24"/>
                              <w:szCs w:val="24"/>
                            </w:rPr>
                          </w:pPr>
                          <w:r w:rsidRPr="007434F9">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77D6812" id="_x0000_t202" coordsize="21600,21600" o:spt="202" path="m,l,21600r21600,l21600,xe">
              <v:stroke joinstyle="miter"/>
              <v:path gradientshapeok="t" o:connecttype="rect"/>
            </v:shapetype>
            <v:shape id="Text Box 20" o:spid="_x0000_s1030" type="#_x0000_t202" style="position:absolute;margin-left:-16.25pt;margin-top:0;width:34.95pt;height:34.95pt;z-index:251658244;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XxGwIAADo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" filled="f" stroked="f">
              <v:textbox style="mso-fit-shape-to-text:t" inset="0,15pt,20pt,0">
                <w:txbxContent>
                  <w:p w14:paraId="104842C4" w14:textId="3F36155F" w:rsidR="00E04666" w:rsidRPr="007434F9" w:rsidRDefault="00E04666" w:rsidP="007434F9">
                    <w:pPr>
                      <w:spacing w:after="0"/>
                      <w:rPr>
                        <w:rFonts w:ascii="Calibri" w:eastAsia="Calibri" w:hAnsi="Calibri" w:cs="Calibri"/>
                        <w:noProof/>
                        <w:color w:val="000000"/>
                        <w:sz w:val="24"/>
                        <w:szCs w:val="24"/>
                      </w:rPr>
                    </w:pPr>
                    <w:r w:rsidRPr="007434F9">
                      <w:rPr>
                        <w:rFonts w:ascii="Calibri" w:eastAsia="Calibri" w:hAnsi="Calibri" w:cs="Calibri"/>
                        <w:noProof/>
                        <w:color w:val="000000"/>
                        <w:sz w:val="24"/>
                        <w:szCs w:val="24"/>
                      </w:rPr>
                      <w:t>SP-3</w:t>
                    </w:r>
                  </w:p>
                </w:txbxContent>
              </v:textbox>
              <w10:wrap anchorx="page" anchory="page"/>
            </v:shape>
          </w:pict>
        </mc:Fallback>
      </mc:AlternateContent>
    </w:r>
  </w:p>
  <w:p w14:paraId="5755A791" w14:textId="28A93F4F" w:rsidR="00E04666" w:rsidRDefault="00E04666">
    <w:pPr>
      <w:pStyle w:val="Antet"/>
    </w:pPr>
    <w:r>
      <w:rPr>
        <w:noProof/>
      </w:rPr>
      <mc:AlternateContent>
        <mc:Choice Requires="wps">
          <w:drawing>
            <wp:anchor distT="0" distB="0" distL="0" distR="0" simplePos="0" relativeHeight="251658246" behindDoc="0" locked="0" layoutInCell="1" allowOverlap="1" wp14:anchorId="3CB54183" wp14:editId="269E7989">
              <wp:simplePos x="0" y="0"/>
              <wp:positionH relativeFrom="page">
                <wp:align>right</wp:align>
              </wp:positionH>
              <wp:positionV relativeFrom="page">
                <wp:align>top</wp:align>
              </wp:positionV>
              <wp:extent cx="443865" cy="4438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5438B93" w14:textId="7B4E687B" w:rsidR="00E04666" w:rsidRPr="007849BA" w:rsidRDefault="00E04666" w:rsidP="007849BA">
                          <w:pPr>
                            <w:spacing w:after="0"/>
                            <w:rPr>
                              <w:rFonts w:ascii="Calibri" w:eastAsia="Calibri" w:hAnsi="Calibri" w:cs="Calibri"/>
                              <w:noProof/>
                              <w:color w:val="000000"/>
                              <w:sz w:val="24"/>
                              <w:szCs w:val="24"/>
                            </w:rPr>
                          </w:pPr>
                          <w:r w:rsidRPr="007849BA">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CB54183" id="Text Box 19" o:spid="_x0000_s1031" type="#_x0000_t202" style="position:absolute;margin-left:-16.25pt;margin-top:0;width:34.95pt;height:34.95pt;z-index:251658246;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5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" filled="f" stroked="f">
              <v:textbox style="mso-fit-shape-to-text:t" inset="0,15pt,20pt,0">
                <w:txbxContent>
                  <w:p w14:paraId="35438B93" w14:textId="7B4E687B" w:rsidR="00E04666" w:rsidRPr="007849BA" w:rsidRDefault="00E04666" w:rsidP="007849BA">
                    <w:pPr>
                      <w:spacing w:after="0"/>
                      <w:rPr>
                        <w:rFonts w:ascii="Calibri" w:eastAsia="Calibri" w:hAnsi="Calibri" w:cs="Calibri"/>
                        <w:noProof/>
                        <w:color w:val="000000"/>
                        <w:sz w:val="24"/>
                        <w:szCs w:val="24"/>
                      </w:rPr>
                    </w:pPr>
                    <w:r w:rsidRPr="007849BA">
                      <w:rPr>
                        <w:rFonts w:ascii="Calibri" w:eastAsia="Calibri" w:hAnsi="Calibri" w:cs="Calibri"/>
                        <w:noProof/>
                        <w:color w:val="000000"/>
                        <w:sz w:val="24"/>
                        <w:szCs w:val="24"/>
                      </w:rPr>
                      <w:t>SP-3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EC9D25"/>
    <w:multiLevelType w:val="hybridMultilevel"/>
    <w:tmpl w:val="34AC1776"/>
    <w:lvl w:ilvl="0" w:tplc="44B2BCF6">
      <w:start w:val="1"/>
      <w:numFmt w:val="lowerLetter"/>
      <w:lvlText w:val="%1)"/>
      <w:lvlJc w:val="left"/>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66A55"/>
    <w:multiLevelType w:val="hybridMultilevel"/>
    <w:tmpl w:val="A264621C"/>
    <w:lvl w:ilvl="0" w:tplc="64E29676">
      <w:start w:val="1"/>
      <w:numFmt w:val="decimal"/>
      <w:lvlText w:val="(%1)"/>
      <w:lvlJc w:val="left"/>
      <w:pPr>
        <w:ind w:left="1146" w:hanging="360"/>
      </w:pPr>
      <w:rPr>
        <w:rFonts w:hint="default"/>
      </w:rPr>
    </w:lvl>
    <w:lvl w:ilvl="1" w:tplc="4698BE92">
      <w:start w:val="1"/>
      <w:numFmt w:val="decimal"/>
      <w:lvlText w:val="(%2)"/>
      <w:lvlJc w:val="left"/>
      <w:pPr>
        <w:ind w:left="1866" w:hanging="360"/>
      </w:pPr>
      <w:rPr>
        <w:rFonts w:hint="default"/>
        <w:color w:val="auto"/>
      </w:rPr>
    </w:lvl>
    <w:lvl w:ilvl="2" w:tplc="04090017">
      <w:start w:val="1"/>
      <w:numFmt w:val="lowerLetter"/>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08934AE"/>
    <w:multiLevelType w:val="hybridMultilevel"/>
    <w:tmpl w:val="F5D23AE8"/>
    <w:lvl w:ilvl="0" w:tplc="8F0A0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9C1453"/>
    <w:multiLevelType w:val="hybridMultilevel"/>
    <w:tmpl w:val="F3780756"/>
    <w:lvl w:ilvl="0" w:tplc="AB8EFAEA">
      <w:start w:val="1"/>
      <w:numFmt w:val="decimal"/>
      <w:lvlText w:val="(%1)"/>
      <w:lvlJc w:val="left"/>
      <w:pPr>
        <w:ind w:left="720" w:hanging="360"/>
      </w:pPr>
      <w:rPr>
        <w:rFonts w:hint="default"/>
        <w:i w:val="0"/>
        <w:iCs/>
        <w:color w:val="auto"/>
      </w:rPr>
    </w:lvl>
    <w:lvl w:ilvl="1" w:tplc="374A9F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155C2"/>
    <w:multiLevelType w:val="hybridMultilevel"/>
    <w:tmpl w:val="C4822734"/>
    <w:lvl w:ilvl="0" w:tplc="64E29676">
      <w:start w:val="1"/>
      <w:numFmt w:val="decimal"/>
      <w:lvlText w:val="(%1)"/>
      <w:lvlJc w:val="left"/>
      <w:pPr>
        <w:ind w:left="1146" w:hanging="360"/>
      </w:pPr>
      <w:rPr>
        <w:rFonts w:hint="default"/>
      </w:rPr>
    </w:lvl>
    <w:lvl w:ilvl="1" w:tplc="830A9E36">
      <w:start w:val="1"/>
      <w:numFmt w:val="decimal"/>
      <w:lvlText w:val="(%2)"/>
      <w:lvlJc w:val="left"/>
      <w:pPr>
        <w:ind w:left="1866" w:hanging="360"/>
      </w:pPr>
      <w:rPr>
        <w:rFonts w:hint="default"/>
        <w:color w:val="auto"/>
      </w:rPr>
    </w:lvl>
    <w:lvl w:ilvl="2" w:tplc="0409001B">
      <w:start w:val="1"/>
      <w:numFmt w:val="lowerRoman"/>
      <w:lvlText w:val="%3."/>
      <w:lvlJc w:val="right"/>
      <w:pPr>
        <w:ind w:left="2586" w:hanging="180"/>
      </w:pPr>
    </w:lvl>
    <w:lvl w:ilvl="3" w:tplc="975628D8">
      <w:start w:val="1"/>
      <w:numFmt w:val="lowerLetter"/>
      <w:lvlText w:val="(%4)"/>
      <w:lvlJc w:val="left"/>
      <w:pPr>
        <w:ind w:left="330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12B785F"/>
    <w:multiLevelType w:val="hybridMultilevel"/>
    <w:tmpl w:val="CBAC2A34"/>
    <w:lvl w:ilvl="0" w:tplc="FA0E9920">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6" w15:restartNumberingAfterBreak="0">
    <w:nsid w:val="01DC096C"/>
    <w:multiLevelType w:val="hybridMultilevel"/>
    <w:tmpl w:val="85B28C30"/>
    <w:lvl w:ilvl="0" w:tplc="2B34CC20">
      <w:start w:val="1"/>
      <w:numFmt w:val="lowerLetter"/>
      <w:lvlText w:val="%1)"/>
      <w:lvlJc w:val="left"/>
      <w:pPr>
        <w:ind w:left="720" w:hanging="360"/>
      </w:pPr>
      <w:rPr>
        <w:rFonts w:ascii="PermianSerifTypeface" w:eastAsia="Times New Roman" w:hAnsi="PermianSerifTypeface" w:cs="Arial"/>
      </w:rPr>
    </w:lvl>
    <w:lvl w:ilvl="1" w:tplc="08180019" w:tentative="1">
      <w:start w:val="1"/>
      <w:numFmt w:val="lowerLetter"/>
      <w:lvlText w:val="%2."/>
      <w:lvlJc w:val="left"/>
      <w:pPr>
        <w:ind w:left="1440" w:hanging="360"/>
      </w:pPr>
    </w:lvl>
    <w:lvl w:ilvl="2" w:tplc="2B34CC20">
      <w:start w:val="1"/>
      <w:numFmt w:val="lowerLetter"/>
      <w:lvlText w:val="%3)"/>
      <w:lvlJc w:val="left"/>
      <w:pPr>
        <w:ind w:left="2880" w:hanging="360"/>
      </w:pPr>
      <w:rPr>
        <w:rFonts w:ascii="PermianSerifTypeface" w:eastAsia="Times New Roman" w:hAnsi="PermianSerifTypeface" w:cs="Arial"/>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1FC5FB9"/>
    <w:multiLevelType w:val="hybridMultilevel"/>
    <w:tmpl w:val="E1D67DE6"/>
    <w:lvl w:ilvl="0" w:tplc="44B2BCF6">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66BCD162">
      <w:start w:val="1"/>
      <w:numFmt w:val="lowerRoman"/>
      <w:lvlText w:val="(%4)"/>
      <w:lvlJc w:val="left"/>
      <w:pPr>
        <w:ind w:left="3447" w:hanging="360"/>
      </w:pPr>
      <w:rPr>
        <w:rFonts w:ascii="PermianSerifTypeface" w:eastAsiaTheme="minorHAnsi" w:hAnsi="PermianSerifTypeface" w:cstheme="minorBidi"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21B64FC"/>
    <w:multiLevelType w:val="hybridMultilevel"/>
    <w:tmpl w:val="14BCC2A4"/>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7">
      <w:start w:val="1"/>
      <w:numFmt w:val="lowerLetter"/>
      <w:lvlText w:val="%3)"/>
      <w:lvlJc w:val="left"/>
      <w:pPr>
        <w:ind w:left="1146" w:hanging="36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9" w15:restartNumberingAfterBreak="0">
    <w:nsid w:val="023D7A50"/>
    <w:multiLevelType w:val="hybridMultilevel"/>
    <w:tmpl w:val="2B5CEED8"/>
    <w:lvl w:ilvl="0" w:tplc="607E55A0">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2499F0">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A4C606">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12AA86">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0CA7CC">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DA3274">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BE5C78">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2813A6">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089698">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023E37E6"/>
    <w:multiLevelType w:val="hybridMultilevel"/>
    <w:tmpl w:val="8892DFEC"/>
    <w:lvl w:ilvl="0" w:tplc="1934668E">
      <w:start w:val="1"/>
      <w:numFmt w:val="lowerRoman"/>
      <w:lvlText w:val="(%1)"/>
      <w:lvlJc w:val="left"/>
      <w:pPr>
        <w:ind w:left="1146" w:hanging="36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1" w15:restartNumberingAfterBreak="0">
    <w:nsid w:val="02733706"/>
    <w:multiLevelType w:val="hybridMultilevel"/>
    <w:tmpl w:val="5034548C"/>
    <w:lvl w:ilvl="0" w:tplc="733C4AA2">
      <w:start w:val="1"/>
      <w:numFmt w:val="decimal"/>
      <w:lvlText w:val="(%1)"/>
      <w:lvlJc w:val="left"/>
      <w:pPr>
        <w:ind w:left="1287" w:hanging="360"/>
      </w:pPr>
      <w:rPr>
        <w:rFonts w:hint="default"/>
      </w:rPr>
    </w:lvl>
    <w:lvl w:ilvl="1" w:tplc="DB803BAA">
      <w:start w:val="1"/>
      <w:numFmt w:val="decimal"/>
      <w:lvlText w:val="(%2)"/>
      <w:lvlJc w:val="left"/>
      <w:pPr>
        <w:ind w:left="1070" w:hanging="36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2B03EA0"/>
    <w:multiLevelType w:val="hybridMultilevel"/>
    <w:tmpl w:val="8DE064DE"/>
    <w:lvl w:ilvl="0" w:tplc="733C4AA2">
      <w:start w:val="1"/>
      <w:numFmt w:val="decimal"/>
      <w:lvlText w:val="(%1)"/>
      <w:lvlJc w:val="left"/>
      <w:pPr>
        <w:ind w:left="1287" w:hanging="360"/>
      </w:pPr>
      <w:rPr>
        <w:rFonts w:hint="default"/>
      </w:rPr>
    </w:lvl>
    <w:lvl w:ilvl="1" w:tplc="FCE46C46">
      <w:start w:val="1"/>
      <w:numFmt w:val="decimal"/>
      <w:lvlText w:val="(%2)"/>
      <w:lvlJc w:val="left"/>
      <w:pPr>
        <w:ind w:left="786" w:hanging="360"/>
      </w:pPr>
      <w:rPr>
        <w:rFonts w:ascii="Times New Roman" w:eastAsiaTheme="minorHAnsi" w:hAnsi="Times New Roman" w:cs="Times New Roman" w:hint="default"/>
      </w:rPr>
    </w:lvl>
    <w:lvl w:ilvl="2" w:tplc="08180017">
      <w:start w:val="1"/>
      <w:numFmt w:val="lowerLetter"/>
      <w:lvlText w:val="%3)"/>
      <w:lvlJc w:val="left"/>
      <w:pPr>
        <w:ind w:left="360" w:hanging="360"/>
      </w:pPr>
    </w:lvl>
    <w:lvl w:ilvl="3" w:tplc="04090017">
      <w:start w:val="1"/>
      <w:numFmt w:val="lowerLetter"/>
      <w:lvlText w:val="%4)"/>
      <w:lvlJc w:val="left"/>
      <w:pPr>
        <w:ind w:left="3807" w:hanging="72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2B209C3"/>
    <w:multiLevelType w:val="hybridMultilevel"/>
    <w:tmpl w:val="320AF686"/>
    <w:lvl w:ilvl="0" w:tplc="04090017">
      <w:start w:val="1"/>
      <w:numFmt w:val="lowerLetter"/>
      <w:lvlText w:val="%1)"/>
      <w:lvlJc w:val="left"/>
      <w:pPr>
        <w:ind w:left="1287" w:hanging="360"/>
      </w:pPr>
    </w:lvl>
    <w:lvl w:ilvl="1" w:tplc="EC6EFAD2">
      <w:start w:val="1"/>
      <w:numFmt w:val="decimal"/>
      <w:lvlText w:val="(%2)"/>
      <w:lvlJc w:val="left"/>
      <w:pPr>
        <w:ind w:left="2007" w:hanging="360"/>
      </w:pPr>
      <w:rPr>
        <w:rFonts w:hint="default"/>
      </w:rPr>
    </w:lvl>
    <w:lvl w:ilvl="2" w:tplc="1DA8F620">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03087246"/>
    <w:multiLevelType w:val="hybridMultilevel"/>
    <w:tmpl w:val="D0E43858"/>
    <w:lvl w:ilvl="0" w:tplc="64E29676">
      <w:start w:val="1"/>
      <w:numFmt w:val="decimal"/>
      <w:lvlText w:val="(%1)"/>
      <w:lvlJc w:val="left"/>
      <w:pPr>
        <w:ind w:left="720" w:hanging="360"/>
      </w:pPr>
      <w:rPr>
        <w:rFonts w:hint="default"/>
      </w:rPr>
    </w:lvl>
    <w:lvl w:ilvl="1" w:tplc="64E29676">
      <w:start w:val="1"/>
      <w:numFmt w:val="decimal"/>
      <w:lvlText w:val="(%2)"/>
      <w:lvlJc w:val="left"/>
      <w:pPr>
        <w:ind w:left="1440" w:hanging="360"/>
      </w:pPr>
      <w:rPr>
        <w:rFonts w:hint="default"/>
      </w:rPr>
    </w:lvl>
    <w:lvl w:ilvl="2" w:tplc="04090017">
      <w:start w:val="1"/>
      <w:numFmt w:val="lowerLetter"/>
      <w:lvlText w:val="%3)"/>
      <w:lvlJc w:val="left"/>
      <w:pPr>
        <w:ind w:left="322" w:hanging="180"/>
      </w:pPr>
    </w:lvl>
    <w:lvl w:ilvl="3" w:tplc="E30009D8">
      <w:start w:val="1"/>
      <w:numFmt w:val="lowerRoman"/>
      <w:lvlText w:val="(%4)"/>
      <w:lvlJc w:val="left"/>
      <w:pPr>
        <w:ind w:left="2880" w:hanging="360"/>
      </w:pPr>
      <w:rPr>
        <w:rFonts w:ascii="PermianSerifTypeface" w:eastAsiaTheme="minorHAnsi" w:hAnsi="PermianSerifTypeface" w:cstheme="minorBidi"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4F1A87"/>
    <w:multiLevelType w:val="hybridMultilevel"/>
    <w:tmpl w:val="C7B612D4"/>
    <w:lvl w:ilvl="0" w:tplc="FFFFFFFF">
      <w:start w:val="1"/>
      <w:numFmt w:val="decimal"/>
      <w:lvlText w:val="%1)"/>
      <w:lvlJc w:val="left"/>
      <w:pPr>
        <w:ind w:left="1146" w:hanging="360"/>
      </w:pPr>
    </w:lvl>
    <w:lvl w:ilvl="1" w:tplc="0818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380674F"/>
    <w:multiLevelType w:val="hybridMultilevel"/>
    <w:tmpl w:val="507E4292"/>
    <w:lvl w:ilvl="0" w:tplc="04090011">
      <w:start w:val="1"/>
      <w:numFmt w:val="decimal"/>
      <w:lvlText w:val="%1)"/>
      <w:lvlJc w:val="left"/>
      <w:pPr>
        <w:ind w:left="1287" w:hanging="360"/>
      </w:pPr>
    </w:lvl>
    <w:lvl w:ilvl="1" w:tplc="398407B6">
      <w:start w:val="1"/>
      <w:numFmt w:val="decimal"/>
      <w:lvlText w:val="(%2)"/>
      <w:lvlJc w:val="left"/>
      <w:pPr>
        <w:ind w:left="360" w:hanging="360"/>
      </w:pPr>
      <w:rPr>
        <w:rFonts w:hint="default"/>
        <w:i w:val="0"/>
        <w:iCs/>
        <w:color w:val="00000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03B26B32"/>
    <w:multiLevelType w:val="hybridMultilevel"/>
    <w:tmpl w:val="0F663AB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8180017">
      <w:start w:val="1"/>
      <w:numFmt w:val="lowerLetter"/>
      <w:lvlText w:val="%3)"/>
      <w:lvlJc w:val="left"/>
      <w:pPr>
        <w:ind w:left="928"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4097E4E"/>
    <w:multiLevelType w:val="hybridMultilevel"/>
    <w:tmpl w:val="B0065274"/>
    <w:lvl w:ilvl="0" w:tplc="87AC620E">
      <w:start w:val="1"/>
      <w:numFmt w:val="decimal"/>
      <w:lvlText w:val="(%1)"/>
      <w:lvlJc w:val="left"/>
      <w:pPr>
        <w:ind w:left="709"/>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6E5C4870">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5A77F8">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366DD6">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F08304">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008C6A">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BA0A64">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2CC768">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454A8">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04130558"/>
    <w:multiLevelType w:val="hybridMultilevel"/>
    <w:tmpl w:val="7840B456"/>
    <w:lvl w:ilvl="0" w:tplc="EE141C02">
      <w:start w:val="1"/>
      <w:numFmt w:val="decimal"/>
      <w:lvlText w:val="(%1)"/>
      <w:lvlJc w:val="left"/>
      <w:pPr>
        <w:ind w:left="720" w:hanging="360"/>
      </w:pPr>
      <w:rPr>
        <w:rFonts w:eastAsia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46A7865"/>
    <w:multiLevelType w:val="hybridMultilevel"/>
    <w:tmpl w:val="FE385952"/>
    <w:lvl w:ilvl="0" w:tplc="0F1E6798">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4EC6A2">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EA15A0">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45A44">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04BF1E">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02A1AE">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12C03E">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8801CC">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2764A">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0495021A"/>
    <w:multiLevelType w:val="hybridMultilevel"/>
    <w:tmpl w:val="18643514"/>
    <w:lvl w:ilvl="0" w:tplc="BAC0CC50">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203E693C">
      <w:start w:val="1"/>
      <w:numFmt w:val="lowerLetter"/>
      <w:lvlText w:val="%2"/>
      <w:lvlJc w:val="left"/>
      <w:pPr>
        <w:ind w:left="1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0060AA">
      <w:start w:val="1"/>
      <w:numFmt w:val="lowerRoman"/>
      <w:lvlText w:val="%3"/>
      <w:lvlJc w:val="left"/>
      <w:pPr>
        <w:ind w:left="1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7A6DE0">
      <w:start w:val="1"/>
      <w:numFmt w:val="decimal"/>
      <w:lvlText w:val="%4"/>
      <w:lvlJc w:val="left"/>
      <w:pPr>
        <w:ind w:left="2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10CE88">
      <w:start w:val="1"/>
      <w:numFmt w:val="lowerLetter"/>
      <w:lvlText w:val="%5"/>
      <w:lvlJc w:val="left"/>
      <w:pPr>
        <w:ind w:left="3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087B52">
      <w:start w:val="1"/>
      <w:numFmt w:val="lowerRoman"/>
      <w:lvlText w:val="%6"/>
      <w:lvlJc w:val="left"/>
      <w:pPr>
        <w:ind w:left="4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D231E2">
      <w:start w:val="1"/>
      <w:numFmt w:val="decimal"/>
      <w:lvlText w:val="%7"/>
      <w:lvlJc w:val="left"/>
      <w:pPr>
        <w:ind w:left="4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1889C8">
      <w:start w:val="1"/>
      <w:numFmt w:val="lowerLetter"/>
      <w:lvlText w:val="%8"/>
      <w:lvlJc w:val="left"/>
      <w:pPr>
        <w:ind w:left="5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4AF128">
      <w:start w:val="1"/>
      <w:numFmt w:val="lowerRoman"/>
      <w:lvlText w:val="%9"/>
      <w:lvlJc w:val="left"/>
      <w:pPr>
        <w:ind w:left="6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04DF104F"/>
    <w:multiLevelType w:val="hybridMultilevel"/>
    <w:tmpl w:val="70AC1634"/>
    <w:lvl w:ilvl="0" w:tplc="04090017">
      <w:start w:val="1"/>
      <w:numFmt w:val="lowerLetter"/>
      <w:lvlText w:val="%1)"/>
      <w:lvlJc w:val="left"/>
      <w:pPr>
        <w:ind w:left="1287" w:hanging="360"/>
      </w:pPr>
    </w:lvl>
    <w:lvl w:ilvl="1" w:tplc="0C52EBCA">
      <w:start w:val="1"/>
      <w:numFmt w:val="decimal"/>
      <w:lvlText w:val="(%2)"/>
      <w:lvlJc w:val="left"/>
      <w:pPr>
        <w:ind w:left="2007" w:hanging="360"/>
      </w:pPr>
      <w:rPr>
        <w:rFonts w:hint="default"/>
        <w:i w:val="0"/>
        <w:color w:val="auto"/>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0506562C"/>
    <w:multiLevelType w:val="hybridMultilevel"/>
    <w:tmpl w:val="A3BC0E4C"/>
    <w:lvl w:ilvl="0" w:tplc="9B0A4AD2">
      <w:start w:val="1"/>
      <w:numFmt w:val="decimal"/>
      <w:lvlText w:val="(%1)"/>
      <w:lvlJc w:val="left"/>
      <w:pPr>
        <w:ind w:left="1146" w:hanging="360"/>
      </w:pPr>
      <w:rPr>
        <w:rFonts w:hint="default"/>
        <w:i w:val="0"/>
        <w:color w:val="auto"/>
      </w:rPr>
    </w:lvl>
    <w:lvl w:ilvl="1" w:tplc="9B0A4AD2">
      <w:start w:val="1"/>
      <w:numFmt w:val="decimal"/>
      <w:lvlText w:val="(%2)"/>
      <w:lvlJc w:val="left"/>
      <w:pPr>
        <w:ind w:left="1080" w:hanging="360"/>
      </w:pPr>
      <w:rPr>
        <w:rFonts w:hint="default"/>
        <w:i w:val="0"/>
        <w:color w:val="auto"/>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4" w15:restartNumberingAfterBreak="0">
    <w:nsid w:val="05402A84"/>
    <w:multiLevelType w:val="hybridMultilevel"/>
    <w:tmpl w:val="B6BA7BE8"/>
    <w:lvl w:ilvl="0" w:tplc="9B0A4AD2">
      <w:start w:val="1"/>
      <w:numFmt w:val="decimal"/>
      <w:lvlText w:val="(%1)"/>
      <w:lvlJc w:val="left"/>
      <w:pPr>
        <w:ind w:left="1428" w:hanging="360"/>
      </w:pPr>
      <w:rPr>
        <w:rFonts w:hint="default"/>
        <w:i w:val="0"/>
        <w:color w:val="auto"/>
      </w:rPr>
    </w:lvl>
    <w:lvl w:ilvl="1" w:tplc="9B0A4AD2">
      <w:start w:val="1"/>
      <w:numFmt w:val="decimal"/>
      <w:lvlText w:val="(%2)"/>
      <w:lvlJc w:val="left"/>
      <w:pPr>
        <w:ind w:left="2148" w:hanging="360"/>
      </w:pPr>
      <w:rPr>
        <w:rFonts w:hint="default"/>
        <w:i w:val="0"/>
        <w:color w:val="auto"/>
      </w:rPr>
    </w:lvl>
    <w:lvl w:ilvl="2" w:tplc="04090017">
      <w:start w:val="1"/>
      <w:numFmt w:val="lowerLetter"/>
      <w:lvlText w:val="%3)"/>
      <w:lvlJc w:val="lef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0542567E"/>
    <w:multiLevelType w:val="hybridMultilevel"/>
    <w:tmpl w:val="6792B3AC"/>
    <w:lvl w:ilvl="0" w:tplc="0409001B">
      <w:start w:val="1"/>
      <w:numFmt w:val="lowerRoman"/>
      <w:lvlText w:val="%1."/>
      <w:lvlJc w:val="right"/>
      <w:pPr>
        <w:ind w:left="1332" w:hanging="360"/>
      </w:pPr>
    </w:lvl>
    <w:lvl w:ilvl="1" w:tplc="04090019" w:tentative="1">
      <w:start w:val="1"/>
      <w:numFmt w:val="lowerLetter"/>
      <w:lvlText w:val="%2."/>
      <w:lvlJc w:val="left"/>
      <w:pPr>
        <w:ind w:left="2052" w:hanging="360"/>
      </w:pPr>
    </w:lvl>
    <w:lvl w:ilvl="2" w:tplc="04090017">
      <w:start w:val="1"/>
      <w:numFmt w:val="lowerLetter"/>
      <w:lvlText w:val="%3)"/>
      <w:lvlJc w:val="lef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6" w15:restartNumberingAfterBreak="0">
    <w:nsid w:val="058742C2"/>
    <w:multiLevelType w:val="hybridMultilevel"/>
    <w:tmpl w:val="4EF22C0E"/>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17">
      <w:start w:val="1"/>
      <w:numFmt w:val="lowerLetter"/>
      <w:lvlText w:val="%4)"/>
      <w:lvlJc w:val="left"/>
      <w:pPr>
        <w:ind w:left="1146"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7" w15:restartNumberingAfterBreak="0">
    <w:nsid w:val="05C33E66"/>
    <w:multiLevelType w:val="hybridMultilevel"/>
    <w:tmpl w:val="3B56B29C"/>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1287"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8" w15:restartNumberingAfterBreak="0">
    <w:nsid w:val="05D97D5E"/>
    <w:multiLevelType w:val="hybridMultilevel"/>
    <w:tmpl w:val="8F808A08"/>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9" w15:restartNumberingAfterBreak="0">
    <w:nsid w:val="062E3B66"/>
    <w:multiLevelType w:val="hybridMultilevel"/>
    <w:tmpl w:val="746A823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7">
      <w:start w:val="1"/>
      <w:numFmt w:val="lowerLetter"/>
      <w:lvlText w:val="%3)"/>
      <w:lvlJc w:val="lef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06354D13"/>
    <w:multiLevelType w:val="hybridMultilevel"/>
    <w:tmpl w:val="A09C0936"/>
    <w:lvl w:ilvl="0" w:tplc="64E29676">
      <w:start w:val="1"/>
      <w:numFmt w:val="decimal"/>
      <w:lvlText w:val="(%1)"/>
      <w:lvlJc w:val="left"/>
      <w:pPr>
        <w:ind w:left="1287" w:hanging="360"/>
      </w:pPr>
      <w:rPr>
        <w:rFonts w:hint="default"/>
      </w:rPr>
    </w:lvl>
    <w:lvl w:ilvl="1" w:tplc="64E2967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06551C02"/>
    <w:multiLevelType w:val="hybridMultilevel"/>
    <w:tmpl w:val="625E301E"/>
    <w:lvl w:ilvl="0" w:tplc="E44608DE">
      <w:start w:val="1"/>
      <w:numFmt w:val="decimal"/>
      <w:lvlText w:val="(%1)"/>
      <w:lvlJc w:val="left"/>
      <w:pPr>
        <w:ind w:left="1146" w:hanging="360"/>
      </w:pPr>
      <w:rPr>
        <w:rFonts w:ascii="PermianSansTypeface" w:eastAsia="Times New Roman" w:hAnsi="PermianSans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42949DAA">
      <w:start w:val="1"/>
      <w:numFmt w:val="decimal"/>
      <w:lvlText w:val="(%2)"/>
      <w:lvlJc w:val="left"/>
      <w:pPr>
        <w:ind w:left="786"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2" w15:restartNumberingAfterBreak="0">
    <w:nsid w:val="06657EC0"/>
    <w:multiLevelType w:val="hybridMultilevel"/>
    <w:tmpl w:val="E69EF9FA"/>
    <w:lvl w:ilvl="0" w:tplc="88F468E2">
      <w:start w:val="1"/>
      <w:numFmt w:val="lowerLetter"/>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F22C3DC8">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28538A">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56D908">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7A9D6A">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8E0BCE">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045E5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12C0EE">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9ABEEA">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06853DCE"/>
    <w:multiLevelType w:val="hybridMultilevel"/>
    <w:tmpl w:val="F984D5FA"/>
    <w:lvl w:ilvl="0" w:tplc="733C4AA2">
      <w:start w:val="1"/>
      <w:numFmt w:val="decimal"/>
      <w:lvlText w:val="(%1)"/>
      <w:lvlJc w:val="left"/>
      <w:pPr>
        <w:ind w:left="1287" w:hanging="360"/>
      </w:pPr>
      <w:rPr>
        <w:rFonts w:hint="default"/>
      </w:rPr>
    </w:lvl>
    <w:lvl w:ilvl="1" w:tplc="733C4AA2">
      <w:start w:val="1"/>
      <w:numFmt w:val="decimal"/>
      <w:lvlText w:val="(%2)"/>
      <w:lvlJc w:val="left"/>
      <w:pPr>
        <w:ind w:left="644"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06BA3019"/>
    <w:multiLevelType w:val="hybridMultilevel"/>
    <w:tmpl w:val="F376ABCC"/>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06BF0995"/>
    <w:multiLevelType w:val="hybridMultilevel"/>
    <w:tmpl w:val="A4305D5A"/>
    <w:lvl w:ilvl="0" w:tplc="8FAA0250">
      <w:start w:val="1"/>
      <w:numFmt w:val="decimal"/>
      <w:lvlText w:val="(%1)"/>
      <w:lvlJc w:val="left"/>
      <w:pPr>
        <w:ind w:left="1146"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EE141C02">
      <w:start w:val="1"/>
      <w:numFmt w:val="decimal"/>
      <w:lvlText w:val="(%2)"/>
      <w:lvlJc w:val="left"/>
      <w:pPr>
        <w:ind w:left="2007" w:hanging="360"/>
      </w:pPr>
      <w:rPr>
        <w:rFonts w:eastAsiaTheme="minorHAnsi" w:hint="default"/>
        <w:i w:val="0"/>
        <w:color w:val="auto"/>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6" w15:restartNumberingAfterBreak="0">
    <w:nsid w:val="070C0AF0"/>
    <w:multiLevelType w:val="hybridMultilevel"/>
    <w:tmpl w:val="AA36629C"/>
    <w:lvl w:ilvl="0" w:tplc="08180017">
      <w:start w:val="1"/>
      <w:numFmt w:val="lowerLetter"/>
      <w:lvlText w:val="%1)"/>
      <w:lvlJc w:val="left"/>
      <w:pPr>
        <w:ind w:left="1004" w:hanging="360"/>
      </w:pPr>
    </w:lvl>
    <w:lvl w:ilvl="1" w:tplc="08180019" w:tentative="1">
      <w:start w:val="1"/>
      <w:numFmt w:val="lowerLetter"/>
      <w:lvlText w:val="%2."/>
      <w:lvlJc w:val="left"/>
      <w:pPr>
        <w:ind w:left="1724" w:hanging="360"/>
      </w:pPr>
    </w:lvl>
    <w:lvl w:ilvl="2" w:tplc="08180017">
      <w:start w:val="1"/>
      <w:numFmt w:val="lowerLetter"/>
      <w:lvlText w:val="%3)"/>
      <w:lvlJc w:val="left"/>
      <w:pPr>
        <w:ind w:left="1146" w:hanging="36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37" w15:restartNumberingAfterBreak="0">
    <w:nsid w:val="072123AE"/>
    <w:multiLevelType w:val="hybridMultilevel"/>
    <w:tmpl w:val="E048CE58"/>
    <w:lvl w:ilvl="0" w:tplc="943C31D4">
      <w:start w:val="1"/>
      <w:numFmt w:val="lowerLetter"/>
      <w:lvlText w:val="%1)"/>
      <w:lvlJc w:val="left"/>
      <w:pPr>
        <w:ind w:left="1146" w:hanging="360"/>
      </w:pPr>
      <w:rPr>
        <w:color w:val="auto"/>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8" w15:restartNumberingAfterBreak="0">
    <w:nsid w:val="0774234E"/>
    <w:multiLevelType w:val="hybridMultilevel"/>
    <w:tmpl w:val="81AE8D46"/>
    <w:lvl w:ilvl="0" w:tplc="383E1D16">
      <w:start w:val="1"/>
      <w:numFmt w:val="lowerLetter"/>
      <w:lvlText w:val="%1)"/>
      <w:lvlJc w:val="left"/>
      <w:pPr>
        <w:ind w:left="1287" w:hanging="360"/>
      </w:pPr>
      <w:rPr>
        <w:color w:val="auto"/>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9" w15:restartNumberingAfterBreak="0">
    <w:nsid w:val="077D0826"/>
    <w:multiLevelType w:val="hybridMultilevel"/>
    <w:tmpl w:val="15EC489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209EB6B6">
      <w:start w:val="1"/>
      <w:numFmt w:val="lowerLetter"/>
      <w:lvlText w:val="%3)"/>
      <w:lvlJc w:val="left"/>
      <w:pPr>
        <w:ind w:left="2586" w:hanging="180"/>
      </w:pPr>
      <w:rPr>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078102A0"/>
    <w:multiLevelType w:val="hybridMultilevel"/>
    <w:tmpl w:val="DE0ADD6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08887BC0"/>
    <w:multiLevelType w:val="hybridMultilevel"/>
    <w:tmpl w:val="47A4AF58"/>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64C8CEEA">
      <w:start w:val="1"/>
      <w:numFmt w:val="lowerLetter"/>
      <w:lvlText w:val="(%3)"/>
      <w:lvlJc w:val="left"/>
      <w:pPr>
        <w:ind w:left="2952" w:hanging="405"/>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089323D7"/>
    <w:multiLevelType w:val="hybridMultilevel"/>
    <w:tmpl w:val="02D87B00"/>
    <w:lvl w:ilvl="0" w:tplc="04090017">
      <w:start w:val="1"/>
      <w:numFmt w:val="lowerLetter"/>
      <w:lvlText w:val="%1)"/>
      <w:lvlJc w:val="left"/>
      <w:pPr>
        <w:ind w:left="2907" w:hanging="360"/>
      </w:pPr>
    </w:lvl>
    <w:lvl w:ilvl="1" w:tplc="5142CF86">
      <w:start w:val="1"/>
      <w:numFmt w:val="decimal"/>
      <w:lvlText w:val="(%2)"/>
      <w:lvlJc w:val="left"/>
      <w:pPr>
        <w:ind w:left="4203" w:hanging="936"/>
      </w:pPr>
      <w:rPr>
        <w:rFonts w:hint="default"/>
      </w:rPr>
    </w:lvl>
    <w:lvl w:ilvl="2" w:tplc="0409001B">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3" w15:restartNumberingAfterBreak="0">
    <w:nsid w:val="08BD75B5"/>
    <w:multiLevelType w:val="hybridMultilevel"/>
    <w:tmpl w:val="11EE3F86"/>
    <w:lvl w:ilvl="0" w:tplc="733C4AA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08D809E5"/>
    <w:multiLevelType w:val="hybridMultilevel"/>
    <w:tmpl w:val="01C4FF4A"/>
    <w:lvl w:ilvl="0" w:tplc="FFFFFFFF">
      <w:start w:val="1"/>
      <w:numFmt w:val="decimal"/>
      <w:lvlText w:val="(%1)"/>
      <w:lvlJc w:val="left"/>
      <w:pPr>
        <w:ind w:left="644" w:hanging="360"/>
      </w:pPr>
      <w:rPr>
        <w:rFonts w:ascii="PermianSerifTypeface" w:eastAsia="Times New Roman" w:hAnsi="PermianSerifTypeface"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9EC44B8"/>
    <w:multiLevelType w:val="hybridMultilevel"/>
    <w:tmpl w:val="EFE4C424"/>
    <w:lvl w:ilvl="0" w:tplc="12E649FA">
      <w:start w:val="1"/>
      <w:numFmt w:val="lowerRoman"/>
      <w:lvlText w:val="(%1)"/>
      <w:lvlJc w:val="left"/>
      <w:pPr>
        <w:ind w:left="1287" w:hanging="360"/>
      </w:pPr>
      <w:rPr>
        <w:rFonts w:asciiTheme="minorHAnsi" w:eastAsiaTheme="minorHAnsi" w:hAnsiTheme="minorHAnsi" w:cstheme="minorBid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8E108EB6">
      <w:start w:val="1"/>
      <w:numFmt w:val="lowerRoman"/>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09FE7BC7"/>
    <w:multiLevelType w:val="hybridMultilevel"/>
    <w:tmpl w:val="C866692E"/>
    <w:lvl w:ilvl="0" w:tplc="08180017">
      <w:start w:val="1"/>
      <w:numFmt w:val="lowerLetter"/>
      <w:lvlText w:val="%1)"/>
      <w:lvlJc w:val="left"/>
      <w:pPr>
        <w:ind w:left="1146" w:hanging="360"/>
      </w:pPr>
    </w:lvl>
    <w:lvl w:ilvl="1" w:tplc="08180017">
      <w:start w:val="1"/>
      <w:numFmt w:val="lowerLetter"/>
      <w:lvlText w:val="%2)"/>
      <w:lvlJc w:val="left"/>
      <w:pPr>
        <w:ind w:left="928"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7" w15:restartNumberingAfterBreak="0">
    <w:nsid w:val="0A04643D"/>
    <w:multiLevelType w:val="hybridMultilevel"/>
    <w:tmpl w:val="CA4A31A4"/>
    <w:lvl w:ilvl="0" w:tplc="04090017">
      <w:start w:val="1"/>
      <w:numFmt w:val="lowerLetter"/>
      <w:lvlText w:val="%1)"/>
      <w:lvlJc w:val="left"/>
      <w:pPr>
        <w:ind w:left="1287" w:hanging="360"/>
      </w:pPr>
    </w:lvl>
    <w:lvl w:ilvl="1" w:tplc="DF765F40">
      <w:start w:val="1"/>
      <w:numFmt w:val="decimal"/>
      <w:lvlText w:val="(%2)"/>
      <w:lvlJc w:val="left"/>
      <w:pPr>
        <w:ind w:left="2022" w:hanging="375"/>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0A2427F0"/>
    <w:multiLevelType w:val="hybridMultilevel"/>
    <w:tmpl w:val="AE1289D2"/>
    <w:lvl w:ilvl="0" w:tplc="64E29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A6D3511"/>
    <w:multiLevelType w:val="hybridMultilevel"/>
    <w:tmpl w:val="836C272E"/>
    <w:lvl w:ilvl="0" w:tplc="8FAA0250">
      <w:start w:val="1"/>
      <w:numFmt w:val="decimal"/>
      <w:lvlText w:val="(%1)"/>
      <w:lvlJc w:val="left"/>
      <w:pPr>
        <w:ind w:left="1320"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91783D1E">
      <w:start w:val="1"/>
      <w:numFmt w:val="decimal"/>
      <w:lvlText w:val="(%2)"/>
      <w:lvlJc w:val="left"/>
      <w:pPr>
        <w:ind w:left="2040"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0" w15:restartNumberingAfterBreak="0">
    <w:nsid w:val="0ACA1286"/>
    <w:multiLevelType w:val="hybridMultilevel"/>
    <w:tmpl w:val="86C0D86C"/>
    <w:lvl w:ilvl="0" w:tplc="64E29676">
      <w:start w:val="1"/>
      <w:numFmt w:val="decimal"/>
      <w:lvlText w:val="(%1)"/>
      <w:lvlJc w:val="left"/>
      <w:pPr>
        <w:ind w:left="1146" w:hanging="360"/>
      </w:pPr>
      <w:rPr>
        <w:rFonts w:hint="default"/>
      </w:rPr>
    </w:lvl>
    <w:lvl w:ilvl="1" w:tplc="64E29676">
      <w:start w:val="1"/>
      <w:numFmt w:val="decimal"/>
      <w:lvlText w:val="(%2)"/>
      <w:lvlJc w:val="left"/>
      <w:pPr>
        <w:ind w:left="360" w:hanging="360"/>
      </w:pPr>
      <w:rPr>
        <w:rFonts w:hint="default"/>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15:restartNumberingAfterBreak="0">
    <w:nsid w:val="0B1C74A5"/>
    <w:multiLevelType w:val="hybridMultilevel"/>
    <w:tmpl w:val="24E26358"/>
    <w:lvl w:ilvl="0" w:tplc="64E29676">
      <w:start w:val="1"/>
      <w:numFmt w:val="decimal"/>
      <w:lvlText w:val="(%1)"/>
      <w:lvlJc w:val="left"/>
      <w:pPr>
        <w:ind w:left="786" w:hanging="360"/>
      </w:pPr>
      <w:rPr>
        <w:rFonts w:hint="default"/>
      </w:rPr>
    </w:lvl>
    <w:lvl w:ilvl="1" w:tplc="684231C8">
      <w:start w:val="1"/>
      <w:numFmt w:val="lowerLetter"/>
      <w:lvlText w:val="(%2)"/>
      <w:lvlJc w:val="left"/>
      <w:pPr>
        <w:ind w:left="1506" w:hanging="360"/>
      </w:pPr>
      <w:rPr>
        <w:rFonts w:hint="default"/>
      </w:r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2" w15:restartNumberingAfterBreak="0">
    <w:nsid w:val="0BFE392D"/>
    <w:multiLevelType w:val="hybridMultilevel"/>
    <w:tmpl w:val="1912218C"/>
    <w:lvl w:ilvl="0" w:tplc="73282C1A">
      <w:start w:val="1"/>
      <w:numFmt w:val="decimal"/>
      <w:lvlText w:val="(%1)"/>
      <w:lvlJc w:val="left"/>
      <w:pPr>
        <w:ind w:left="1211" w:hanging="360"/>
      </w:pPr>
      <w:rPr>
        <w:rFonts w:ascii="Times New Roman" w:eastAsia="Times New Roman" w:hAnsi="Times New Roman" w:cs="Times New Roman" w:hint="default"/>
        <w:i w:val="0"/>
        <w:i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3" w15:restartNumberingAfterBreak="0">
    <w:nsid w:val="0C0D70BF"/>
    <w:multiLevelType w:val="hybridMultilevel"/>
    <w:tmpl w:val="9F644AF6"/>
    <w:lvl w:ilvl="0" w:tplc="AFD4E7CE">
      <w:start w:val="1"/>
      <w:numFmt w:val="lowerRoman"/>
      <w:lvlText w:val="(%1)"/>
      <w:lvlJc w:val="left"/>
      <w:pPr>
        <w:ind w:left="1146" w:hanging="360"/>
      </w:pPr>
      <w:rPr>
        <w:rFonts w:ascii="PermianSerifTypeface" w:eastAsiaTheme="minorHAnsi" w:hAnsi="PermianSerifTypeface" w:cstheme="minorBidi"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AFD4E7CE">
      <w:start w:val="1"/>
      <w:numFmt w:val="lowerRoman"/>
      <w:lvlText w:val="(%4)"/>
      <w:lvlJc w:val="left"/>
      <w:pPr>
        <w:ind w:left="720" w:hanging="360"/>
      </w:pPr>
      <w:rPr>
        <w:rFonts w:ascii="PermianSerifTypeface" w:eastAsiaTheme="minorHAnsi" w:hAnsi="PermianSerifTypeface" w:cstheme="minorBidi" w:hint="default"/>
      </w:r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54" w15:restartNumberingAfterBreak="0">
    <w:nsid w:val="0CFF5632"/>
    <w:multiLevelType w:val="hybridMultilevel"/>
    <w:tmpl w:val="059687CA"/>
    <w:lvl w:ilvl="0" w:tplc="04090017">
      <w:start w:val="1"/>
      <w:numFmt w:val="lowerLetter"/>
      <w:lvlText w:val="%1)"/>
      <w:lvlJc w:val="left"/>
      <w:pPr>
        <w:ind w:left="1146" w:hanging="360"/>
      </w:pPr>
      <w:rPr>
        <w:rFonts w:hint="default"/>
      </w:rPr>
    </w:lvl>
    <w:lvl w:ilvl="1" w:tplc="64E2967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15:restartNumberingAfterBreak="0">
    <w:nsid w:val="0D040E19"/>
    <w:multiLevelType w:val="hybridMultilevel"/>
    <w:tmpl w:val="C456CD8C"/>
    <w:lvl w:ilvl="0" w:tplc="64E29676">
      <w:start w:val="1"/>
      <w:numFmt w:val="decimal"/>
      <w:lvlText w:val="(%1)"/>
      <w:lvlJc w:val="left"/>
      <w:pPr>
        <w:ind w:left="1287" w:hanging="360"/>
      </w:pPr>
      <w:rPr>
        <w:rFonts w:hint="default"/>
      </w:rPr>
    </w:lvl>
    <w:lvl w:ilvl="1" w:tplc="269EDE48">
      <w:start w:val="1"/>
      <w:numFmt w:val="decimal"/>
      <w:lvlText w:val="(%2)"/>
      <w:lvlJc w:val="left"/>
      <w:pPr>
        <w:ind w:left="644" w:hanging="360"/>
      </w:pPr>
      <w:rPr>
        <w:rFonts w:hint="default"/>
        <w:b w:val="0"/>
        <w:bCs/>
        <w:color w:val="auto"/>
      </w:rPr>
    </w:lvl>
    <w:lvl w:ilvl="2" w:tplc="01124B04">
      <w:start w:val="1"/>
      <w:numFmt w:val="lowerLetter"/>
      <w:lvlText w:val="%3)"/>
      <w:lvlJc w:val="left"/>
      <w:pPr>
        <w:ind w:left="1146" w:hanging="36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0D1223FB"/>
    <w:multiLevelType w:val="hybridMultilevel"/>
    <w:tmpl w:val="700CD6CC"/>
    <w:lvl w:ilvl="0" w:tplc="E0385918">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F67A6674">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70CF56">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A0ED6A">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809E0A">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E4B05E">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1C27FC">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B0274E">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486136">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0D257FE9"/>
    <w:multiLevelType w:val="hybridMultilevel"/>
    <w:tmpl w:val="3FEEFF22"/>
    <w:lvl w:ilvl="0" w:tplc="FFFFFFFF">
      <w:start w:val="1"/>
      <w:numFmt w:val="lowerLetter"/>
      <w:lvlText w:val="%1)"/>
      <w:lvlJc w:val="left"/>
      <w:pPr>
        <w:ind w:left="1146"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8" w15:restartNumberingAfterBreak="0">
    <w:nsid w:val="0D413241"/>
    <w:multiLevelType w:val="hybridMultilevel"/>
    <w:tmpl w:val="5EEE6B8C"/>
    <w:lvl w:ilvl="0" w:tplc="FFFFFFFF">
      <w:start w:val="1"/>
      <w:numFmt w:val="decimal"/>
      <w:lvlText w:val="%1)"/>
      <w:lvlJc w:val="left"/>
      <w:pPr>
        <w:ind w:left="1146" w:hanging="360"/>
      </w:pPr>
    </w:lvl>
    <w:lvl w:ilvl="1" w:tplc="0818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9" w15:restartNumberingAfterBreak="0">
    <w:nsid w:val="0E226182"/>
    <w:multiLevelType w:val="hybridMultilevel"/>
    <w:tmpl w:val="4C280E6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413639E8">
      <w:start w:val="1"/>
      <w:numFmt w:val="lowerLetter"/>
      <w:lvlText w:val="%3)"/>
      <w:lvlJc w:val="left"/>
      <w:pPr>
        <w:ind w:left="464"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0E2714A6"/>
    <w:multiLevelType w:val="hybridMultilevel"/>
    <w:tmpl w:val="CE40EEF4"/>
    <w:lvl w:ilvl="0" w:tplc="08180017">
      <w:start w:val="1"/>
      <w:numFmt w:val="lowerLetter"/>
      <w:lvlText w:val="%1)"/>
      <w:lvlJc w:val="left"/>
      <w:pPr>
        <w:ind w:left="1146" w:hanging="360"/>
      </w:pPr>
    </w:lvl>
    <w:lvl w:ilvl="1" w:tplc="08180017">
      <w:start w:val="1"/>
      <w:numFmt w:val="lowerLetter"/>
      <w:lvlText w:val="%2)"/>
      <w:lvlJc w:val="left"/>
      <w:pPr>
        <w:ind w:left="928"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61" w15:restartNumberingAfterBreak="0">
    <w:nsid w:val="0EB866AC"/>
    <w:multiLevelType w:val="hybridMultilevel"/>
    <w:tmpl w:val="637266DA"/>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62" w15:restartNumberingAfterBreak="0">
    <w:nsid w:val="0EF17639"/>
    <w:multiLevelType w:val="hybridMultilevel"/>
    <w:tmpl w:val="2BE65D6A"/>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7">
      <w:start w:val="1"/>
      <w:numFmt w:val="lowerLetter"/>
      <w:lvlText w:val="%3)"/>
      <w:lvlJc w:val="left"/>
      <w:pPr>
        <w:ind w:left="2367" w:hanging="180"/>
      </w:pPr>
    </w:lvl>
    <w:lvl w:ilvl="3" w:tplc="4932748A">
      <w:start w:val="1"/>
      <w:numFmt w:val="lowerRoman"/>
      <w:lvlText w:val="(%4)"/>
      <w:lvlJc w:val="left"/>
      <w:pPr>
        <w:ind w:left="3087" w:hanging="360"/>
      </w:pPr>
      <w:rPr>
        <w:rFonts w:ascii="PermianSerifTypeface" w:eastAsiaTheme="minorHAnsi" w:hAnsi="PermianSerifTypeface" w:cstheme="minorBidi"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0EF32626"/>
    <w:multiLevelType w:val="hybridMultilevel"/>
    <w:tmpl w:val="8E5CC470"/>
    <w:lvl w:ilvl="0" w:tplc="486262B0">
      <w:start w:val="1"/>
      <w:numFmt w:val="decimal"/>
      <w:lvlText w:val="(%1)"/>
      <w:lvlJc w:val="left"/>
      <w:pPr>
        <w:ind w:left="1146"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64" w15:restartNumberingAfterBreak="0">
    <w:nsid w:val="0EFD2481"/>
    <w:multiLevelType w:val="hybridMultilevel"/>
    <w:tmpl w:val="EE76ED6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1146"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0F0D13DD"/>
    <w:multiLevelType w:val="hybridMultilevel"/>
    <w:tmpl w:val="5626813C"/>
    <w:lvl w:ilvl="0" w:tplc="733C4AA2">
      <w:start w:val="1"/>
      <w:numFmt w:val="decimal"/>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0F1D7180"/>
    <w:multiLevelType w:val="hybridMultilevel"/>
    <w:tmpl w:val="19705CF4"/>
    <w:lvl w:ilvl="0" w:tplc="78E69B3A">
      <w:start w:val="1"/>
      <w:numFmt w:val="decimal"/>
      <w:lvlText w:val="(%1)"/>
      <w:lvlJc w:val="left"/>
      <w:pPr>
        <w:ind w:left="3474" w:hanging="360"/>
      </w:pPr>
      <w:rPr>
        <w:rFonts w:hint="default"/>
        <w:color w:val="auto"/>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67" w15:restartNumberingAfterBreak="0">
    <w:nsid w:val="0FAF594D"/>
    <w:multiLevelType w:val="hybridMultilevel"/>
    <w:tmpl w:val="174C45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47B8B650">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1010706A"/>
    <w:multiLevelType w:val="hybridMultilevel"/>
    <w:tmpl w:val="D8245BD6"/>
    <w:lvl w:ilvl="0" w:tplc="04090017">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7">
      <w:start w:val="1"/>
      <w:numFmt w:val="lowerLetter"/>
      <w:lvlText w:val="%3)"/>
      <w:lvlJc w:val="lef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69" w15:restartNumberingAfterBreak="0">
    <w:nsid w:val="10165B50"/>
    <w:multiLevelType w:val="hybridMultilevel"/>
    <w:tmpl w:val="D12C2874"/>
    <w:lvl w:ilvl="0" w:tplc="08180017">
      <w:start w:val="1"/>
      <w:numFmt w:val="lowerLetter"/>
      <w:lvlText w:val="%1)"/>
      <w:lvlJc w:val="left"/>
      <w:pPr>
        <w:ind w:left="1004" w:hanging="360"/>
      </w:pPr>
    </w:lvl>
    <w:lvl w:ilvl="1" w:tplc="08180019" w:tentative="1">
      <w:start w:val="1"/>
      <w:numFmt w:val="lowerLetter"/>
      <w:lvlText w:val="%2."/>
      <w:lvlJc w:val="left"/>
      <w:pPr>
        <w:ind w:left="1724" w:hanging="360"/>
      </w:pPr>
    </w:lvl>
    <w:lvl w:ilvl="2" w:tplc="0818001B">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70" w15:restartNumberingAfterBreak="0">
    <w:nsid w:val="102F0636"/>
    <w:multiLevelType w:val="hybridMultilevel"/>
    <w:tmpl w:val="E7F2CF4C"/>
    <w:lvl w:ilvl="0" w:tplc="04090017">
      <w:start w:val="1"/>
      <w:numFmt w:val="lowerLetter"/>
      <w:lvlText w:val="%1)"/>
      <w:lvlJc w:val="left"/>
      <w:pPr>
        <w:ind w:left="1287" w:hanging="360"/>
      </w:pPr>
    </w:lvl>
    <w:lvl w:ilvl="1" w:tplc="251850CA">
      <w:start w:val="1"/>
      <w:numFmt w:val="decimal"/>
      <w:lvlText w:val="%2)"/>
      <w:lvlJc w:val="left"/>
      <w:pPr>
        <w:ind w:left="1440" w:hanging="360"/>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116A3BC3"/>
    <w:multiLevelType w:val="hybridMultilevel"/>
    <w:tmpl w:val="6B365BB2"/>
    <w:lvl w:ilvl="0" w:tplc="4AFAC452">
      <w:start w:val="1"/>
      <w:numFmt w:val="decimal"/>
      <w:lvlText w:val="(%1)"/>
      <w:lvlJc w:val="left"/>
      <w:pPr>
        <w:ind w:left="1146" w:hanging="360"/>
      </w:pPr>
      <w:rPr>
        <w:rFonts w:ascii="Times New Roman" w:eastAsia="Times New Roman"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72" w15:restartNumberingAfterBreak="0">
    <w:nsid w:val="11761C2D"/>
    <w:multiLevelType w:val="hybridMultilevel"/>
    <w:tmpl w:val="15EEAE4E"/>
    <w:lvl w:ilvl="0" w:tplc="64E29676">
      <w:start w:val="1"/>
      <w:numFmt w:val="decimal"/>
      <w:lvlText w:val="(%1)"/>
      <w:lvlJc w:val="left"/>
      <w:pPr>
        <w:ind w:left="1146" w:hanging="360"/>
      </w:pPr>
      <w:rPr>
        <w:rFonts w:hint="default"/>
      </w:rPr>
    </w:lvl>
    <w:lvl w:ilvl="1" w:tplc="64E2967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3" w15:restartNumberingAfterBreak="0">
    <w:nsid w:val="11B46589"/>
    <w:multiLevelType w:val="hybridMultilevel"/>
    <w:tmpl w:val="E59AC976"/>
    <w:lvl w:ilvl="0" w:tplc="8FAA0250">
      <w:start w:val="1"/>
      <w:numFmt w:val="decimal"/>
      <w:lvlText w:val="(%1)"/>
      <w:lvlJc w:val="left"/>
      <w:pPr>
        <w:ind w:left="993"/>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848EBAB0">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24204E">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129A3A">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F86C54">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C23CE2">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E08350">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622F94">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1CEAD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15:restartNumberingAfterBreak="0">
    <w:nsid w:val="11EC43DE"/>
    <w:multiLevelType w:val="hybridMultilevel"/>
    <w:tmpl w:val="A0F687C6"/>
    <w:lvl w:ilvl="0" w:tplc="A888DEA2">
      <w:start w:val="1"/>
      <w:numFmt w:val="decimal"/>
      <w:lvlText w:val="%1)"/>
      <w:lvlJc w:val="left"/>
      <w:pPr>
        <w:ind w:left="720" w:hanging="360"/>
      </w:pPr>
    </w:lvl>
    <w:lvl w:ilvl="1" w:tplc="455E94B4">
      <w:start w:val="1"/>
      <w:numFmt w:val="lowerLetter"/>
      <w:lvlText w:val="%2)"/>
      <w:lvlJc w:val="left"/>
      <w:pPr>
        <w:ind w:left="720" w:hanging="360"/>
      </w:pPr>
    </w:lvl>
    <w:lvl w:ilvl="2" w:tplc="0FF69EB6">
      <w:start w:val="1"/>
      <w:numFmt w:val="decimal"/>
      <w:lvlText w:val="%3)"/>
      <w:lvlJc w:val="left"/>
      <w:pPr>
        <w:ind w:left="720" w:hanging="360"/>
      </w:pPr>
    </w:lvl>
    <w:lvl w:ilvl="3" w:tplc="2E6E8598">
      <w:start w:val="1"/>
      <w:numFmt w:val="decimal"/>
      <w:lvlText w:val="%4)"/>
      <w:lvlJc w:val="left"/>
      <w:pPr>
        <w:ind w:left="720" w:hanging="360"/>
      </w:pPr>
    </w:lvl>
    <w:lvl w:ilvl="4" w:tplc="870679BE">
      <w:start w:val="1"/>
      <w:numFmt w:val="decimal"/>
      <w:lvlText w:val="%5)"/>
      <w:lvlJc w:val="left"/>
      <w:pPr>
        <w:ind w:left="720" w:hanging="360"/>
      </w:pPr>
    </w:lvl>
    <w:lvl w:ilvl="5" w:tplc="F92E082C">
      <w:start w:val="1"/>
      <w:numFmt w:val="decimal"/>
      <w:lvlText w:val="%6)"/>
      <w:lvlJc w:val="left"/>
      <w:pPr>
        <w:ind w:left="720" w:hanging="360"/>
      </w:pPr>
    </w:lvl>
    <w:lvl w:ilvl="6" w:tplc="D2689F5E">
      <w:start w:val="1"/>
      <w:numFmt w:val="decimal"/>
      <w:lvlText w:val="%7)"/>
      <w:lvlJc w:val="left"/>
      <w:pPr>
        <w:ind w:left="720" w:hanging="360"/>
      </w:pPr>
    </w:lvl>
    <w:lvl w:ilvl="7" w:tplc="4BA0ADAC">
      <w:start w:val="1"/>
      <w:numFmt w:val="decimal"/>
      <w:lvlText w:val="%8)"/>
      <w:lvlJc w:val="left"/>
      <w:pPr>
        <w:ind w:left="720" w:hanging="360"/>
      </w:pPr>
    </w:lvl>
    <w:lvl w:ilvl="8" w:tplc="461282E4">
      <w:start w:val="1"/>
      <w:numFmt w:val="decimal"/>
      <w:lvlText w:val="%9)"/>
      <w:lvlJc w:val="left"/>
      <w:pPr>
        <w:ind w:left="720" w:hanging="360"/>
      </w:pPr>
    </w:lvl>
  </w:abstractNum>
  <w:abstractNum w:abstractNumId="75" w15:restartNumberingAfterBreak="0">
    <w:nsid w:val="12033B4B"/>
    <w:multiLevelType w:val="hybridMultilevel"/>
    <w:tmpl w:val="2F5640F6"/>
    <w:lvl w:ilvl="0" w:tplc="8E108EB6">
      <w:start w:val="1"/>
      <w:numFmt w:val="lowerRoman"/>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6" w15:restartNumberingAfterBreak="0">
    <w:nsid w:val="124E5E01"/>
    <w:multiLevelType w:val="hybridMultilevel"/>
    <w:tmpl w:val="B2AC0A6A"/>
    <w:lvl w:ilvl="0" w:tplc="9B0A4AD2">
      <w:start w:val="1"/>
      <w:numFmt w:val="decimal"/>
      <w:lvlText w:val="(%1)"/>
      <w:lvlJc w:val="left"/>
      <w:pPr>
        <w:ind w:left="1428" w:hanging="360"/>
      </w:pPr>
      <w:rPr>
        <w:rFonts w:hint="default"/>
        <w:i w:val="0"/>
        <w:color w:val="auto"/>
      </w:rPr>
    </w:lvl>
    <w:lvl w:ilvl="1" w:tplc="E73A5F66">
      <w:start w:val="1"/>
      <w:numFmt w:val="decimal"/>
      <w:lvlText w:val="(%2)"/>
      <w:lvlJc w:val="left"/>
      <w:pPr>
        <w:ind w:left="2148" w:hanging="360"/>
      </w:pPr>
      <w:rPr>
        <w:rFonts w:hint="default"/>
        <w:i w:val="0"/>
        <w:color w:val="auto"/>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7" w15:restartNumberingAfterBreak="0">
    <w:nsid w:val="127E2D95"/>
    <w:multiLevelType w:val="hybridMultilevel"/>
    <w:tmpl w:val="DB167924"/>
    <w:lvl w:ilvl="0" w:tplc="D7BE0EB4">
      <w:start w:val="1"/>
      <w:numFmt w:val="lowerRoman"/>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8" w15:restartNumberingAfterBreak="0">
    <w:nsid w:val="12DF3124"/>
    <w:multiLevelType w:val="hybridMultilevel"/>
    <w:tmpl w:val="D326139A"/>
    <w:lvl w:ilvl="0" w:tplc="3ED87290">
      <w:start w:val="1"/>
      <w:numFmt w:val="upperLetter"/>
      <w:lvlText w:val="%1)"/>
      <w:lvlJc w:val="left"/>
      <w:pPr>
        <w:ind w:left="1020" w:hanging="360"/>
      </w:pPr>
    </w:lvl>
    <w:lvl w:ilvl="1" w:tplc="5CBE3D4A">
      <w:start w:val="1"/>
      <w:numFmt w:val="upperLetter"/>
      <w:lvlText w:val="%2)"/>
      <w:lvlJc w:val="left"/>
      <w:pPr>
        <w:ind w:left="1020" w:hanging="360"/>
      </w:pPr>
    </w:lvl>
    <w:lvl w:ilvl="2" w:tplc="C330AF94">
      <w:start w:val="1"/>
      <w:numFmt w:val="upperLetter"/>
      <w:lvlText w:val="%3)"/>
      <w:lvlJc w:val="left"/>
      <w:pPr>
        <w:ind w:left="1020" w:hanging="360"/>
      </w:pPr>
    </w:lvl>
    <w:lvl w:ilvl="3" w:tplc="59628EBC">
      <w:start w:val="1"/>
      <w:numFmt w:val="upperLetter"/>
      <w:lvlText w:val="%4)"/>
      <w:lvlJc w:val="left"/>
      <w:pPr>
        <w:ind w:left="1020" w:hanging="360"/>
      </w:pPr>
    </w:lvl>
    <w:lvl w:ilvl="4" w:tplc="5246B030">
      <w:start w:val="1"/>
      <w:numFmt w:val="upperLetter"/>
      <w:lvlText w:val="%5)"/>
      <w:lvlJc w:val="left"/>
      <w:pPr>
        <w:ind w:left="1020" w:hanging="360"/>
      </w:pPr>
    </w:lvl>
    <w:lvl w:ilvl="5" w:tplc="D40EA646">
      <w:start w:val="1"/>
      <w:numFmt w:val="upperLetter"/>
      <w:lvlText w:val="%6)"/>
      <w:lvlJc w:val="left"/>
      <w:pPr>
        <w:ind w:left="1020" w:hanging="360"/>
      </w:pPr>
    </w:lvl>
    <w:lvl w:ilvl="6" w:tplc="7AC44B10">
      <w:start w:val="1"/>
      <w:numFmt w:val="upperLetter"/>
      <w:lvlText w:val="%7)"/>
      <w:lvlJc w:val="left"/>
      <w:pPr>
        <w:ind w:left="1020" w:hanging="360"/>
      </w:pPr>
    </w:lvl>
    <w:lvl w:ilvl="7" w:tplc="1DEA1C8C">
      <w:start w:val="1"/>
      <w:numFmt w:val="upperLetter"/>
      <w:lvlText w:val="%8)"/>
      <w:lvlJc w:val="left"/>
      <w:pPr>
        <w:ind w:left="1020" w:hanging="360"/>
      </w:pPr>
    </w:lvl>
    <w:lvl w:ilvl="8" w:tplc="AA3EBE38">
      <w:start w:val="1"/>
      <w:numFmt w:val="upperLetter"/>
      <w:lvlText w:val="%9)"/>
      <w:lvlJc w:val="left"/>
      <w:pPr>
        <w:ind w:left="1020" w:hanging="360"/>
      </w:pPr>
    </w:lvl>
  </w:abstractNum>
  <w:abstractNum w:abstractNumId="79" w15:restartNumberingAfterBreak="0">
    <w:nsid w:val="12E51531"/>
    <w:multiLevelType w:val="hybridMultilevel"/>
    <w:tmpl w:val="83C24F32"/>
    <w:lvl w:ilvl="0" w:tplc="BECE78CC">
      <w:start w:val="1"/>
      <w:numFmt w:val="lowerRoman"/>
      <w:lvlText w:val="(%1)"/>
      <w:lvlJc w:val="right"/>
      <w:pPr>
        <w:ind w:left="720" w:hanging="360"/>
      </w:pPr>
      <w:rPr>
        <w:rFonts w:ascii="PermianSerifTypeface" w:eastAsiaTheme="minorHAnsi" w:hAnsi="PermianSerifTypefac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3247E38"/>
    <w:multiLevelType w:val="hybridMultilevel"/>
    <w:tmpl w:val="E9CE368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13CE6ED2"/>
    <w:multiLevelType w:val="hybridMultilevel"/>
    <w:tmpl w:val="674082EC"/>
    <w:lvl w:ilvl="0" w:tplc="64E29676">
      <w:start w:val="1"/>
      <w:numFmt w:val="decimal"/>
      <w:lvlText w:val="(%1)"/>
      <w:lvlJc w:val="left"/>
      <w:pPr>
        <w:ind w:left="1146" w:hanging="360"/>
      </w:pPr>
      <w:rPr>
        <w:rFonts w:hint="default"/>
      </w:rPr>
    </w:lvl>
    <w:lvl w:ilvl="1" w:tplc="64E2967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2" w15:restartNumberingAfterBreak="0">
    <w:nsid w:val="13D34C81"/>
    <w:multiLevelType w:val="hybridMultilevel"/>
    <w:tmpl w:val="2A9AAF7C"/>
    <w:lvl w:ilvl="0" w:tplc="AC4C919C">
      <w:start w:val="1"/>
      <w:numFmt w:val="decimal"/>
      <w:lvlText w:val="(%1)"/>
      <w:lvlJc w:val="left"/>
      <w:pPr>
        <w:ind w:left="1146"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83" w15:restartNumberingAfterBreak="0">
    <w:nsid w:val="13E73911"/>
    <w:multiLevelType w:val="hybridMultilevel"/>
    <w:tmpl w:val="796C83A8"/>
    <w:lvl w:ilvl="0" w:tplc="EE141C02">
      <w:start w:val="1"/>
      <w:numFmt w:val="decimal"/>
      <w:lvlText w:val="(%1)"/>
      <w:lvlJc w:val="left"/>
      <w:pPr>
        <w:ind w:left="1428" w:hanging="360"/>
      </w:pPr>
      <w:rPr>
        <w:rFonts w:eastAsiaTheme="minorHAnsi" w:hint="default"/>
        <w:i w:val="0"/>
        <w:color w:val="auto"/>
      </w:rPr>
    </w:lvl>
    <w:lvl w:ilvl="1" w:tplc="EE141C02">
      <w:start w:val="1"/>
      <w:numFmt w:val="decimal"/>
      <w:lvlText w:val="(%2)"/>
      <w:lvlJc w:val="left"/>
      <w:pPr>
        <w:ind w:left="2148" w:hanging="360"/>
      </w:pPr>
      <w:rPr>
        <w:rFonts w:eastAsiaTheme="minorHAnsi" w:hint="default"/>
        <w:i w:val="0"/>
        <w:color w:val="auto"/>
      </w:rPr>
    </w:lvl>
    <w:lvl w:ilvl="2" w:tplc="04090017">
      <w:start w:val="1"/>
      <w:numFmt w:val="lowerLetter"/>
      <w:lvlText w:val="%3)"/>
      <w:lvlJc w:val="lef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4" w15:restartNumberingAfterBreak="0">
    <w:nsid w:val="13E73C92"/>
    <w:multiLevelType w:val="hybridMultilevel"/>
    <w:tmpl w:val="E0CA3686"/>
    <w:lvl w:ilvl="0" w:tplc="733C4AA2">
      <w:start w:val="1"/>
      <w:numFmt w:val="decimal"/>
      <w:lvlText w:val="(%1)"/>
      <w:lvlJc w:val="left"/>
      <w:pPr>
        <w:ind w:left="1287" w:hanging="360"/>
      </w:pPr>
      <w:rPr>
        <w:rFonts w:hint="default"/>
      </w:rPr>
    </w:lvl>
    <w:lvl w:ilvl="1" w:tplc="627A632C">
      <w:start w:val="1"/>
      <w:numFmt w:val="decimal"/>
      <w:lvlText w:val="(%2)"/>
      <w:lvlJc w:val="left"/>
      <w:pPr>
        <w:ind w:left="2007" w:hanging="360"/>
      </w:pPr>
      <w:rPr>
        <w:rFonts w:ascii="PermianSerifTypeface" w:eastAsiaTheme="minorHAnsi" w:hAnsi="PermianSerifTypeface" w:cstheme="minorBidi"/>
      </w:rPr>
    </w:lvl>
    <w:lvl w:ilvl="2" w:tplc="04090017">
      <w:start w:val="1"/>
      <w:numFmt w:val="lowerLetter"/>
      <w:lvlText w:val="%3)"/>
      <w:lvlJc w:val="left"/>
      <w:pPr>
        <w:ind w:left="464" w:hanging="180"/>
      </w:pPr>
    </w:lvl>
    <w:lvl w:ilvl="3" w:tplc="D7BE0EB4">
      <w:start w:val="1"/>
      <w:numFmt w:val="lowerRoman"/>
      <w:lvlText w:val="(%4)"/>
      <w:lvlJc w:val="left"/>
      <w:pPr>
        <w:ind w:left="3807" w:hanging="72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13F964A1"/>
    <w:multiLevelType w:val="hybridMultilevel"/>
    <w:tmpl w:val="952AEA66"/>
    <w:lvl w:ilvl="0" w:tplc="92F2B708">
      <w:start w:val="1"/>
      <w:numFmt w:val="lowerLetter"/>
      <w:lvlText w:val="%1)"/>
      <w:lvlJc w:val="left"/>
      <w:pPr>
        <w:ind w:left="1211"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86" w15:restartNumberingAfterBreak="0">
    <w:nsid w:val="14430692"/>
    <w:multiLevelType w:val="hybridMultilevel"/>
    <w:tmpl w:val="A39AE22C"/>
    <w:lvl w:ilvl="0" w:tplc="78E69B3A">
      <w:start w:val="1"/>
      <w:numFmt w:val="decimal"/>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87" w15:restartNumberingAfterBreak="0">
    <w:nsid w:val="14B35B84"/>
    <w:multiLevelType w:val="hybridMultilevel"/>
    <w:tmpl w:val="698A5140"/>
    <w:lvl w:ilvl="0" w:tplc="FFFFFFFF">
      <w:start w:val="1"/>
      <w:numFmt w:val="lowerRoman"/>
      <w:lvlText w:val="(%1)"/>
      <w:lvlJc w:val="left"/>
      <w:pPr>
        <w:ind w:left="1146" w:hanging="360"/>
      </w:pPr>
      <w:rPr>
        <w:rFonts w:ascii="PermianSerifTypeface" w:eastAsiaTheme="minorHAnsi" w:hAnsi="PermianSerifTypeface" w:cs="Arial"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71788BD0">
      <w:start w:val="1"/>
      <w:numFmt w:val="lowerLetter"/>
      <w:lvlText w:val="%4)"/>
      <w:lvlJc w:val="left"/>
      <w:pPr>
        <w:ind w:left="64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8" w15:restartNumberingAfterBreak="0">
    <w:nsid w:val="14FC2F9B"/>
    <w:multiLevelType w:val="hybridMultilevel"/>
    <w:tmpl w:val="A8B2690E"/>
    <w:lvl w:ilvl="0" w:tplc="FFFFFFFF">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64E29676">
      <w:start w:val="1"/>
      <w:numFmt w:val="decim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5533D16"/>
    <w:multiLevelType w:val="hybridMultilevel"/>
    <w:tmpl w:val="275412E6"/>
    <w:lvl w:ilvl="0" w:tplc="99D647CC">
      <w:start w:val="1"/>
      <w:numFmt w:val="lowerLetter"/>
      <w:lvlText w:val="%1)"/>
      <w:lvlJc w:val="left"/>
      <w:pPr>
        <w:ind w:left="1287" w:hanging="360"/>
      </w:pPr>
      <w:rPr>
        <w:b w:val="0"/>
        <w:bCs/>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1557605B"/>
    <w:multiLevelType w:val="hybridMultilevel"/>
    <w:tmpl w:val="9E9AFA94"/>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91" w15:restartNumberingAfterBreak="0">
    <w:nsid w:val="162B1CB5"/>
    <w:multiLevelType w:val="hybridMultilevel"/>
    <w:tmpl w:val="F628170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593E0A6A">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163D44EA"/>
    <w:multiLevelType w:val="hybridMultilevel"/>
    <w:tmpl w:val="3F04ECB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16904390"/>
    <w:multiLevelType w:val="hybridMultilevel"/>
    <w:tmpl w:val="E95298AC"/>
    <w:lvl w:ilvl="0" w:tplc="68947434">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C04A723A">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8CD058">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70E29E">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BC3B8C">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0CC03A">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027838">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86F444">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FC78BC">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15:restartNumberingAfterBreak="0">
    <w:nsid w:val="169A4713"/>
    <w:multiLevelType w:val="hybridMultilevel"/>
    <w:tmpl w:val="351E248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7">
      <w:start w:val="1"/>
      <w:numFmt w:val="lowerLetter"/>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5" w15:restartNumberingAfterBreak="0">
    <w:nsid w:val="16E76394"/>
    <w:multiLevelType w:val="hybridMultilevel"/>
    <w:tmpl w:val="F630351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6" w15:restartNumberingAfterBreak="0">
    <w:nsid w:val="17137BF9"/>
    <w:multiLevelType w:val="hybridMultilevel"/>
    <w:tmpl w:val="843C5BAE"/>
    <w:lvl w:ilvl="0" w:tplc="FFFFFFFF">
      <w:start w:val="1"/>
      <w:numFmt w:val="lowerRoman"/>
      <w:lvlText w:val="(%1)"/>
      <w:lvlJc w:val="right"/>
      <w:pPr>
        <w:ind w:left="1146" w:hanging="360"/>
      </w:pPr>
      <w:rPr>
        <w:rFonts w:ascii="PermianSerifTypeface" w:eastAsia="Times New Roman" w:hAnsi="PermianSerifTypeface" w:cs="Arial"/>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DAE4F116">
      <w:start w:val="1"/>
      <w:numFmt w:val="lowerRoman"/>
      <w:suff w:val="space"/>
      <w:lvlText w:val="(%4)"/>
      <w:lvlJc w:val="left"/>
      <w:pPr>
        <w:ind w:left="1004" w:hanging="360"/>
      </w:pPr>
      <w:rPr>
        <w:rFonts w:ascii="PermianSerifTypeface" w:eastAsiaTheme="minorHAnsi" w:hAnsi="PermianSerifTypeface" w:cs="Arial" w:hint="default"/>
        <w:b w:val="0"/>
        <w:i w:val="0"/>
        <w:strike w:val="0"/>
        <w:dstrike w:val="0"/>
        <w:color w:val="000000"/>
        <w:sz w:val="22"/>
        <w:szCs w:val="22"/>
        <w:u w:val="none" w:color="000000"/>
        <w:vertAlign w:val="baseline"/>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7" w15:restartNumberingAfterBreak="0">
    <w:nsid w:val="1722216A"/>
    <w:multiLevelType w:val="hybridMultilevel"/>
    <w:tmpl w:val="FDD46752"/>
    <w:lvl w:ilvl="0" w:tplc="E44608DE">
      <w:start w:val="1"/>
      <w:numFmt w:val="decimal"/>
      <w:lvlText w:val="(%1)"/>
      <w:lvlJc w:val="left"/>
      <w:pPr>
        <w:ind w:left="1146" w:hanging="360"/>
      </w:pPr>
      <w:rPr>
        <w:rFonts w:ascii="PermianSansTypeface" w:eastAsia="Times New Roman" w:hAnsi="PermianSans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1B225048">
      <w:start w:val="1"/>
      <w:numFmt w:val="decimal"/>
      <w:lvlText w:val="(%2)"/>
      <w:lvlJc w:val="left"/>
      <w:pPr>
        <w:ind w:left="1146"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98" w15:restartNumberingAfterBreak="0">
    <w:nsid w:val="172D6085"/>
    <w:multiLevelType w:val="hybridMultilevel"/>
    <w:tmpl w:val="64B6082A"/>
    <w:lvl w:ilvl="0" w:tplc="A11412CA">
      <w:start w:val="1"/>
      <w:numFmt w:val="lowerLetter"/>
      <w:lvlText w:val="%1)"/>
      <w:lvlJc w:val="left"/>
      <w:pPr>
        <w:ind w:left="367"/>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17460ADF"/>
    <w:multiLevelType w:val="hybridMultilevel"/>
    <w:tmpl w:val="C7F8247C"/>
    <w:lvl w:ilvl="0" w:tplc="9B0A4AD2">
      <w:start w:val="1"/>
      <w:numFmt w:val="decimal"/>
      <w:lvlText w:val="(%1)"/>
      <w:lvlJc w:val="left"/>
      <w:pPr>
        <w:ind w:left="1146" w:hanging="360"/>
      </w:pPr>
      <w:rPr>
        <w:rFonts w:hint="default"/>
        <w:i w:val="0"/>
        <w:color w:val="auto"/>
      </w:rPr>
    </w:lvl>
    <w:lvl w:ilvl="1" w:tplc="9B0A4AD2">
      <w:start w:val="1"/>
      <w:numFmt w:val="decimal"/>
      <w:lvlText w:val="(%2)"/>
      <w:lvlJc w:val="left"/>
      <w:pPr>
        <w:ind w:left="1866" w:hanging="360"/>
      </w:pPr>
      <w:rPr>
        <w:rFonts w:hint="default"/>
        <w:i w:val="0"/>
        <w:color w:val="auto"/>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00" w15:restartNumberingAfterBreak="0">
    <w:nsid w:val="177A5D60"/>
    <w:multiLevelType w:val="hybridMultilevel"/>
    <w:tmpl w:val="D5689824"/>
    <w:lvl w:ilvl="0" w:tplc="4A34428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17B3748D"/>
    <w:multiLevelType w:val="hybridMultilevel"/>
    <w:tmpl w:val="36F23C4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2" w15:restartNumberingAfterBreak="0">
    <w:nsid w:val="17E43E8D"/>
    <w:multiLevelType w:val="hybridMultilevel"/>
    <w:tmpl w:val="9D6A831C"/>
    <w:lvl w:ilvl="0" w:tplc="4460876A">
      <w:start w:val="1"/>
      <w:numFmt w:val="lowerLetter"/>
      <w:lvlText w:val="%1)"/>
      <w:lvlJc w:val="left"/>
      <w:pPr>
        <w:ind w:left="1087" w:hanging="360"/>
      </w:pPr>
      <w:rPr>
        <w:color w:val="auto"/>
      </w:rPr>
    </w:lvl>
    <w:lvl w:ilvl="1" w:tplc="08180019" w:tentative="1">
      <w:start w:val="1"/>
      <w:numFmt w:val="lowerLetter"/>
      <w:lvlText w:val="%2."/>
      <w:lvlJc w:val="left"/>
      <w:pPr>
        <w:ind w:left="1807" w:hanging="360"/>
      </w:pPr>
    </w:lvl>
    <w:lvl w:ilvl="2" w:tplc="0818001B" w:tentative="1">
      <w:start w:val="1"/>
      <w:numFmt w:val="lowerRoman"/>
      <w:lvlText w:val="%3."/>
      <w:lvlJc w:val="right"/>
      <w:pPr>
        <w:ind w:left="2527" w:hanging="180"/>
      </w:pPr>
    </w:lvl>
    <w:lvl w:ilvl="3" w:tplc="0818000F" w:tentative="1">
      <w:start w:val="1"/>
      <w:numFmt w:val="decimal"/>
      <w:lvlText w:val="%4."/>
      <w:lvlJc w:val="left"/>
      <w:pPr>
        <w:ind w:left="3247" w:hanging="360"/>
      </w:pPr>
    </w:lvl>
    <w:lvl w:ilvl="4" w:tplc="08180019" w:tentative="1">
      <w:start w:val="1"/>
      <w:numFmt w:val="lowerLetter"/>
      <w:lvlText w:val="%5."/>
      <w:lvlJc w:val="left"/>
      <w:pPr>
        <w:ind w:left="3967" w:hanging="360"/>
      </w:pPr>
    </w:lvl>
    <w:lvl w:ilvl="5" w:tplc="0818001B" w:tentative="1">
      <w:start w:val="1"/>
      <w:numFmt w:val="lowerRoman"/>
      <w:lvlText w:val="%6."/>
      <w:lvlJc w:val="right"/>
      <w:pPr>
        <w:ind w:left="4687" w:hanging="180"/>
      </w:pPr>
    </w:lvl>
    <w:lvl w:ilvl="6" w:tplc="0818000F" w:tentative="1">
      <w:start w:val="1"/>
      <w:numFmt w:val="decimal"/>
      <w:lvlText w:val="%7."/>
      <w:lvlJc w:val="left"/>
      <w:pPr>
        <w:ind w:left="5407" w:hanging="360"/>
      </w:pPr>
    </w:lvl>
    <w:lvl w:ilvl="7" w:tplc="08180019" w:tentative="1">
      <w:start w:val="1"/>
      <w:numFmt w:val="lowerLetter"/>
      <w:lvlText w:val="%8."/>
      <w:lvlJc w:val="left"/>
      <w:pPr>
        <w:ind w:left="6127" w:hanging="360"/>
      </w:pPr>
    </w:lvl>
    <w:lvl w:ilvl="8" w:tplc="0818001B" w:tentative="1">
      <w:start w:val="1"/>
      <w:numFmt w:val="lowerRoman"/>
      <w:lvlText w:val="%9."/>
      <w:lvlJc w:val="right"/>
      <w:pPr>
        <w:ind w:left="6847" w:hanging="180"/>
      </w:pPr>
    </w:lvl>
  </w:abstractNum>
  <w:abstractNum w:abstractNumId="103" w15:restartNumberingAfterBreak="0">
    <w:nsid w:val="180663CB"/>
    <w:multiLevelType w:val="hybridMultilevel"/>
    <w:tmpl w:val="129C50C6"/>
    <w:lvl w:ilvl="0" w:tplc="3FD2BF3C">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59162A62">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883B56">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584FF8">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BC126C">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262176">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BAAE12">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C836E6">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5E8D9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186878FA"/>
    <w:multiLevelType w:val="hybridMultilevel"/>
    <w:tmpl w:val="7536FC5E"/>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5F3ABD78">
      <w:start w:val="1"/>
      <w:numFmt w:val="lowerLetter"/>
      <w:lvlText w:val="%3)"/>
      <w:lvlJc w:val="left"/>
      <w:pPr>
        <w:ind w:left="2946" w:hanging="180"/>
      </w:pPr>
      <w:rPr>
        <w:color w:val="auto"/>
      </w:r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5" w15:restartNumberingAfterBreak="0">
    <w:nsid w:val="18954E59"/>
    <w:multiLevelType w:val="hybridMultilevel"/>
    <w:tmpl w:val="BA3AE748"/>
    <w:lvl w:ilvl="0" w:tplc="59DCCBA6">
      <w:start w:val="1"/>
      <w:numFmt w:val="lowerLetter"/>
      <w:lvlText w:val="%1)"/>
      <w:lvlJc w:val="left"/>
      <w:pPr>
        <w:ind w:left="281"/>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E6EA647E">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FCC8D6">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FC4BA8">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80B670">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B6FF7A">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984A1C">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8CA008">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7C8200">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15:restartNumberingAfterBreak="0">
    <w:nsid w:val="18B756F2"/>
    <w:multiLevelType w:val="hybridMultilevel"/>
    <w:tmpl w:val="BA60A64A"/>
    <w:lvl w:ilvl="0" w:tplc="8FAA0250">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76284308">
      <w:start w:val="1"/>
      <w:numFmt w:val="lowerLetter"/>
      <w:lvlText w:val="%2"/>
      <w:lvlJc w:val="left"/>
      <w:pPr>
        <w:ind w:left="1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94ED4A">
      <w:start w:val="1"/>
      <w:numFmt w:val="lowerRoman"/>
      <w:lvlText w:val="%3"/>
      <w:lvlJc w:val="left"/>
      <w:pPr>
        <w:ind w:left="1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D693F4">
      <w:start w:val="1"/>
      <w:numFmt w:val="decimal"/>
      <w:lvlText w:val="%4"/>
      <w:lvlJc w:val="left"/>
      <w:pPr>
        <w:ind w:left="2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EED490">
      <w:start w:val="1"/>
      <w:numFmt w:val="lowerLetter"/>
      <w:lvlText w:val="%5"/>
      <w:lvlJc w:val="left"/>
      <w:pPr>
        <w:ind w:left="3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8EDDE8">
      <w:start w:val="1"/>
      <w:numFmt w:val="lowerRoman"/>
      <w:lvlText w:val="%6"/>
      <w:lvlJc w:val="left"/>
      <w:pPr>
        <w:ind w:left="4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B6DB6C">
      <w:start w:val="1"/>
      <w:numFmt w:val="decimal"/>
      <w:lvlText w:val="%7"/>
      <w:lvlJc w:val="left"/>
      <w:pPr>
        <w:ind w:left="4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60DE32">
      <w:start w:val="1"/>
      <w:numFmt w:val="lowerLetter"/>
      <w:lvlText w:val="%8"/>
      <w:lvlJc w:val="left"/>
      <w:pPr>
        <w:ind w:left="5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8C39B0">
      <w:start w:val="1"/>
      <w:numFmt w:val="lowerRoman"/>
      <w:lvlText w:val="%9"/>
      <w:lvlJc w:val="left"/>
      <w:pPr>
        <w:ind w:left="6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15:restartNumberingAfterBreak="0">
    <w:nsid w:val="18E546FC"/>
    <w:multiLevelType w:val="hybridMultilevel"/>
    <w:tmpl w:val="F70C29C8"/>
    <w:lvl w:ilvl="0" w:tplc="04090017">
      <w:start w:val="1"/>
      <w:numFmt w:val="lowerLetter"/>
      <w:lvlText w:val="%1)"/>
      <w:lvlJc w:val="left"/>
      <w:pPr>
        <w:ind w:left="2727" w:hanging="180"/>
      </w:pPr>
    </w:lvl>
    <w:lvl w:ilvl="1" w:tplc="5400DFE8">
      <w:start w:val="1"/>
      <w:numFmt w:val="decimal"/>
      <w:lvlText w:val="(%2)"/>
      <w:lvlJc w:val="left"/>
      <w:pPr>
        <w:ind w:left="2007" w:hanging="360"/>
      </w:pPr>
      <w:rPr>
        <w:rFonts w:hint="default"/>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08" w15:restartNumberingAfterBreak="0">
    <w:nsid w:val="19063F57"/>
    <w:multiLevelType w:val="hybridMultilevel"/>
    <w:tmpl w:val="52D65578"/>
    <w:lvl w:ilvl="0" w:tplc="EE141C02">
      <w:start w:val="1"/>
      <w:numFmt w:val="decimal"/>
      <w:lvlText w:val="(%1)"/>
      <w:lvlJc w:val="left"/>
      <w:pPr>
        <w:ind w:left="1287" w:hanging="360"/>
      </w:pPr>
      <w:rPr>
        <w:rFonts w:eastAsiaTheme="minorHAnsi" w:hint="default"/>
        <w:i w:val="0"/>
        <w:color w:val="auto"/>
      </w:rPr>
    </w:lvl>
    <w:lvl w:ilvl="1" w:tplc="EE141C02">
      <w:start w:val="1"/>
      <w:numFmt w:val="decimal"/>
      <w:lvlText w:val="(%2)"/>
      <w:lvlJc w:val="left"/>
      <w:pPr>
        <w:ind w:left="2007" w:hanging="360"/>
      </w:pPr>
      <w:rPr>
        <w:rFonts w:eastAsiaTheme="minorHAnsi" w:hint="default"/>
        <w:i w:val="0"/>
        <w:color w:val="auto"/>
      </w:rPr>
    </w:lvl>
    <w:lvl w:ilvl="2" w:tplc="66B24654">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9" w15:restartNumberingAfterBreak="0">
    <w:nsid w:val="197A204F"/>
    <w:multiLevelType w:val="hybridMultilevel"/>
    <w:tmpl w:val="C24C6808"/>
    <w:lvl w:ilvl="0" w:tplc="8AD0B380">
      <w:start w:val="1"/>
      <w:numFmt w:val="decimal"/>
      <w:lvlText w:val="(%1)"/>
      <w:lvlJc w:val="left"/>
      <w:pPr>
        <w:ind w:left="720" w:hanging="360"/>
      </w:pPr>
      <w:rPr>
        <w:rFonts w:hint="default"/>
        <w:color w:val="000000"/>
      </w:rPr>
    </w:lvl>
    <w:lvl w:ilvl="1" w:tplc="554CA160">
      <w:start w:val="1"/>
      <w:numFmt w:val="decimal"/>
      <w:lvlText w:val="(%2)"/>
      <w:lvlJc w:val="left"/>
      <w:pPr>
        <w:ind w:left="644"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9D3582E"/>
    <w:multiLevelType w:val="hybridMultilevel"/>
    <w:tmpl w:val="82186D9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7">
      <w:start w:val="1"/>
      <w:numFmt w:val="lowerLetter"/>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1" w15:restartNumberingAfterBreak="0">
    <w:nsid w:val="1AF71913"/>
    <w:multiLevelType w:val="hybridMultilevel"/>
    <w:tmpl w:val="9890410A"/>
    <w:lvl w:ilvl="0" w:tplc="8AD0B380">
      <w:start w:val="1"/>
      <w:numFmt w:val="decimal"/>
      <w:lvlText w:val="(%1)"/>
      <w:lvlJc w:val="left"/>
      <w:pPr>
        <w:ind w:left="720" w:hanging="360"/>
      </w:pPr>
      <w:rPr>
        <w:rFonts w:hint="default"/>
        <w:color w:val="000000"/>
      </w:rPr>
    </w:lvl>
    <w:lvl w:ilvl="1" w:tplc="8AD0B380">
      <w:start w:val="1"/>
      <w:numFmt w:val="decimal"/>
      <w:lvlText w:val="(%2)"/>
      <w:lvlJc w:val="left"/>
      <w:pPr>
        <w:ind w:left="1440" w:hanging="360"/>
      </w:pPr>
      <w:rPr>
        <w:rFonts w:hint="default"/>
        <w:color w:val="000000"/>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B1C2B1A"/>
    <w:multiLevelType w:val="hybridMultilevel"/>
    <w:tmpl w:val="756635B0"/>
    <w:lvl w:ilvl="0" w:tplc="720473DE">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3" w15:restartNumberingAfterBreak="0">
    <w:nsid w:val="1B5123C4"/>
    <w:multiLevelType w:val="hybridMultilevel"/>
    <w:tmpl w:val="8B2A5E8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15:restartNumberingAfterBreak="0">
    <w:nsid w:val="1B55470C"/>
    <w:multiLevelType w:val="hybridMultilevel"/>
    <w:tmpl w:val="4C3C22FA"/>
    <w:lvl w:ilvl="0" w:tplc="E43C7D8C">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B705342"/>
    <w:multiLevelType w:val="hybridMultilevel"/>
    <w:tmpl w:val="91BA0688"/>
    <w:lvl w:ilvl="0" w:tplc="C832AD5A">
      <w:start w:val="1"/>
      <w:numFmt w:val="lowerLetter"/>
      <w:lvlText w:val="%1)"/>
      <w:lvlJc w:val="left"/>
      <w:pPr>
        <w:ind w:left="1020" w:hanging="360"/>
      </w:pPr>
    </w:lvl>
    <w:lvl w:ilvl="1" w:tplc="E5A6D37C">
      <w:start w:val="1"/>
      <w:numFmt w:val="lowerLetter"/>
      <w:lvlText w:val="%2)"/>
      <w:lvlJc w:val="left"/>
      <w:pPr>
        <w:ind w:left="1020" w:hanging="360"/>
      </w:pPr>
    </w:lvl>
    <w:lvl w:ilvl="2" w:tplc="D512B658">
      <w:start w:val="1"/>
      <w:numFmt w:val="lowerLetter"/>
      <w:lvlText w:val="%3)"/>
      <w:lvlJc w:val="left"/>
      <w:pPr>
        <w:ind w:left="1020" w:hanging="360"/>
      </w:pPr>
    </w:lvl>
    <w:lvl w:ilvl="3" w:tplc="FFF06612">
      <w:start w:val="1"/>
      <w:numFmt w:val="lowerLetter"/>
      <w:lvlText w:val="%4)"/>
      <w:lvlJc w:val="left"/>
      <w:pPr>
        <w:ind w:left="1020" w:hanging="360"/>
      </w:pPr>
    </w:lvl>
    <w:lvl w:ilvl="4" w:tplc="5D4227E8">
      <w:start w:val="1"/>
      <w:numFmt w:val="lowerLetter"/>
      <w:lvlText w:val="%5)"/>
      <w:lvlJc w:val="left"/>
      <w:pPr>
        <w:ind w:left="1020" w:hanging="360"/>
      </w:pPr>
    </w:lvl>
    <w:lvl w:ilvl="5" w:tplc="54A48000">
      <w:start w:val="1"/>
      <w:numFmt w:val="lowerLetter"/>
      <w:lvlText w:val="%6)"/>
      <w:lvlJc w:val="left"/>
      <w:pPr>
        <w:ind w:left="1020" w:hanging="360"/>
      </w:pPr>
    </w:lvl>
    <w:lvl w:ilvl="6" w:tplc="110660CE">
      <w:start w:val="1"/>
      <w:numFmt w:val="lowerLetter"/>
      <w:lvlText w:val="%7)"/>
      <w:lvlJc w:val="left"/>
      <w:pPr>
        <w:ind w:left="1020" w:hanging="360"/>
      </w:pPr>
    </w:lvl>
    <w:lvl w:ilvl="7" w:tplc="3DD45428">
      <w:start w:val="1"/>
      <w:numFmt w:val="lowerLetter"/>
      <w:lvlText w:val="%8)"/>
      <w:lvlJc w:val="left"/>
      <w:pPr>
        <w:ind w:left="1020" w:hanging="360"/>
      </w:pPr>
    </w:lvl>
    <w:lvl w:ilvl="8" w:tplc="F1D898E8">
      <w:start w:val="1"/>
      <w:numFmt w:val="lowerLetter"/>
      <w:lvlText w:val="%9)"/>
      <w:lvlJc w:val="left"/>
      <w:pPr>
        <w:ind w:left="1020" w:hanging="360"/>
      </w:pPr>
    </w:lvl>
  </w:abstractNum>
  <w:abstractNum w:abstractNumId="116" w15:restartNumberingAfterBreak="0">
    <w:nsid w:val="1BE149DD"/>
    <w:multiLevelType w:val="hybridMultilevel"/>
    <w:tmpl w:val="2FE84FBA"/>
    <w:lvl w:ilvl="0" w:tplc="EB64FF18">
      <w:start w:val="1"/>
      <w:numFmt w:val="lowerLetter"/>
      <w:lvlText w:val="%1)"/>
      <w:lvlJc w:val="left"/>
      <w:pPr>
        <w:ind w:left="1146" w:hanging="360"/>
      </w:pPr>
      <w:rPr>
        <w:color w:val="auto"/>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17" w15:restartNumberingAfterBreak="0">
    <w:nsid w:val="1BEC6531"/>
    <w:multiLevelType w:val="hybridMultilevel"/>
    <w:tmpl w:val="826CEF26"/>
    <w:lvl w:ilvl="0" w:tplc="8E108EB6">
      <w:start w:val="1"/>
      <w:numFmt w:val="lowerRoman"/>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1BC6BDBC">
      <w:start w:val="1"/>
      <w:numFmt w:val="lowerRoman"/>
      <w:lvlText w:val="(%4)"/>
      <w:lvlJc w:val="left"/>
      <w:pPr>
        <w:ind w:left="3588" w:hanging="360"/>
      </w:pPr>
      <w:rPr>
        <w:rFonts w:ascii="PermianSerifTypeface" w:hAnsi="PermianSerifTypeface" w:hint="default"/>
      </w:r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18" w15:restartNumberingAfterBreak="0">
    <w:nsid w:val="1C0C1CE0"/>
    <w:multiLevelType w:val="hybridMultilevel"/>
    <w:tmpl w:val="7CDEE7E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D1BEE524">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9" w15:restartNumberingAfterBreak="0">
    <w:nsid w:val="1C5F0E65"/>
    <w:multiLevelType w:val="hybridMultilevel"/>
    <w:tmpl w:val="AA18E150"/>
    <w:lvl w:ilvl="0" w:tplc="8E108EB6">
      <w:start w:val="1"/>
      <w:numFmt w:val="lowerRoman"/>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8E108EB6">
      <w:start w:val="1"/>
      <w:numFmt w:val="lowerRoman"/>
      <w:lvlText w:val="(%4)"/>
      <w:lvlJc w:val="left"/>
      <w:pPr>
        <w:ind w:left="987" w:hanging="360"/>
      </w:pPr>
      <w:rPr>
        <w:rFonts w:hint="default"/>
      </w:r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20" w15:restartNumberingAfterBreak="0">
    <w:nsid w:val="1C9A08AC"/>
    <w:multiLevelType w:val="hybridMultilevel"/>
    <w:tmpl w:val="26247F4A"/>
    <w:lvl w:ilvl="0" w:tplc="0409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4090017">
      <w:start w:val="1"/>
      <w:numFmt w:val="lowerLetter"/>
      <w:lvlText w:val="%3)"/>
      <w:lvlJc w:val="left"/>
      <w:pPr>
        <w:ind w:left="2907"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21" w15:restartNumberingAfterBreak="0">
    <w:nsid w:val="1CCD21DC"/>
    <w:multiLevelType w:val="hybridMultilevel"/>
    <w:tmpl w:val="B1EC5F8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2" w15:restartNumberingAfterBreak="0">
    <w:nsid w:val="1D43399B"/>
    <w:multiLevelType w:val="hybridMultilevel"/>
    <w:tmpl w:val="784A453E"/>
    <w:lvl w:ilvl="0" w:tplc="FFFFFFFF">
      <w:start w:val="1"/>
      <w:numFmt w:val="decimal"/>
      <w:lvlText w:val="(%1)"/>
      <w:lvlJc w:val="left"/>
      <w:pPr>
        <w:ind w:left="1146"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3" w15:restartNumberingAfterBreak="0">
    <w:nsid w:val="1D5B5157"/>
    <w:multiLevelType w:val="hybridMultilevel"/>
    <w:tmpl w:val="46AA61AA"/>
    <w:lvl w:ilvl="0" w:tplc="04090017">
      <w:start w:val="1"/>
      <w:numFmt w:val="lowerLetter"/>
      <w:lvlText w:val="%1)"/>
      <w:lvlJc w:val="left"/>
      <w:pPr>
        <w:ind w:left="720" w:hanging="360"/>
      </w:pPr>
      <w:rPr>
        <w:rFonts w:hint="default"/>
      </w:rPr>
    </w:lvl>
    <w:lvl w:ilvl="1" w:tplc="251850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D712D5A"/>
    <w:multiLevelType w:val="hybridMultilevel"/>
    <w:tmpl w:val="906AACB8"/>
    <w:lvl w:ilvl="0" w:tplc="8AD0B380">
      <w:start w:val="1"/>
      <w:numFmt w:val="decimal"/>
      <w:lvlText w:val="(%1)"/>
      <w:lvlJc w:val="left"/>
      <w:pPr>
        <w:ind w:left="1146" w:hanging="360"/>
      </w:pPr>
      <w:rPr>
        <w:rFonts w:hint="default"/>
        <w:color w:val="000000"/>
      </w:rPr>
    </w:lvl>
    <w:lvl w:ilvl="1" w:tplc="8AD0B380">
      <w:start w:val="1"/>
      <w:numFmt w:val="decimal"/>
      <w:lvlText w:val="(%2)"/>
      <w:lvlJc w:val="left"/>
      <w:pPr>
        <w:ind w:left="1866" w:hanging="360"/>
      </w:pPr>
      <w:rPr>
        <w:rFonts w:hint="default"/>
        <w:color w:val="000000"/>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25" w15:restartNumberingAfterBreak="0">
    <w:nsid w:val="1D866204"/>
    <w:multiLevelType w:val="hybridMultilevel"/>
    <w:tmpl w:val="BADC30AE"/>
    <w:lvl w:ilvl="0" w:tplc="EB0E3F48">
      <w:start w:val="1"/>
      <w:numFmt w:val="lowerLetter"/>
      <w:lvlText w:val="%1)"/>
      <w:lvlJc w:val="left"/>
      <w:pPr>
        <w:ind w:left="1146" w:hanging="360"/>
      </w:pPr>
      <w:rPr>
        <w:color w:val="auto"/>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26" w15:restartNumberingAfterBreak="0">
    <w:nsid w:val="1D9A4376"/>
    <w:multiLevelType w:val="hybridMultilevel"/>
    <w:tmpl w:val="D8CEF82C"/>
    <w:lvl w:ilvl="0" w:tplc="5706EBDE">
      <w:start w:val="1"/>
      <w:numFmt w:val="decimal"/>
      <w:lvlText w:val="(%1)"/>
      <w:lvlJc w:val="left"/>
      <w:pPr>
        <w:ind w:left="928" w:hanging="360"/>
      </w:pPr>
      <w:rPr>
        <w:rFonts w:ascii="Times New Roman" w:hAnsi="Times New Roman" w:cs="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7" w15:restartNumberingAfterBreak="0">
    <w:nsid w:val="1DD47C6C"/>
    <w:multiLevelType w:val="hybridMultilevel"/>
    <w:tmpl w:val="148A5F40"/>
    <w:lvl w:ilvl="0" w:tplc="ACC0F0B0">
      <w:start w:val="1"/>
      <w:numFmt w:val="decimal"/>
      <w:lvlText w:val="%1)"/>
      <w:lvlJc w:val="left"/>
      <w:pPr>
        <w:ind w:left="720" w:hanging="360"/>
      </w:pPr>
    </w:lvl>
    <w:lvl w:ilvl="1" w:tplc="4660542C">
      <w:start w:val="1"/>
      <w:numFmt w:val="decimal"/>
      <w:lvlText w:val="%2)"/>
      <w:lvlJc w:val="left"/>
      <w:pPr>
        <w:ind w:left="720" w:hanging="360"/>
      </w:pPr>
    </w:lvl>
    <w:lvl w:ilvl="2" w:tplc="91780ED2">
      <w:start w:val="1"/>
      <w:numFmt w:val="decimal"/>
      <w:lvlText w:val="%3)"/>
      <w:lvlJc w:val="left"/>
      <w:pPr>
        <w:ind w:left="720" w:hanging="360"/>
      </w:pPr>
    </w:lvl>
    <w:lvl w:ilvl="3" w:tplc="D04C73A6">
      <w:start w:val="1"/>
      <w:numFmt w:val="decimal"/>
      <w:lvlText w:val="%4)"/>
      <w:lvlJc w:val="left"/>
      <w:pPr>
        <w:ind w:left="720" w:hanging="360"/>
      </w:pPr>
    </w:lvl>
    <w:lvl w:ilvl="4" w:tplc="230AA47C">
      <w:start w:val="1"/>
      <w:numFmt w:val="decimal"/>
      <w:lvlText w:val="%5)"/>
      <w:lvlJc w:val="left"/>
      <w:pPr>
        <w:ind w:left="720" w:hanging="360"/>
      </w:pPr>
    </w:lvl>
    <w:lvl w:ilvl="5" w:tplc="93E2C5EA">
      <w:start w:val="1"/>
      <w:numFmt w:val="decimal"/>
      <w:lvlText w:val="%6)"/>
      <w:lvlJc w:val="left"/>
      <w:pPr>
        <w:ind w:left="720" w:hanging="360"/>
      </w:pPr>
    </w:lvl>
    <w:lvl w:ilvl="6" w:tplc="3ED01668">
      <w:start w:val="1"/>
      <w:numFmt w:val="decimal"/>
      <w:lvlText w:val="%7)"/>
      <w:lvlJc w:val="left"/>
      <w:pPr>
        <w:ind w:left="720" w:hanging="360"/>
      </w:pPr>
    </w:lvl>
    <w:lvl w:ilvl="7" w:tplc="DD34AD94">
      <w:start w:val="1"/>
      <w:numFmt w:val="decimal"/>
      <w:lvlText w:val="%8)"/>
      <w:lvlJc w:val="left"/>
      <w:pPr>
        <w:ind w:left="720" w:hanging="360"/>
      </w:pPr>
    </w:lvl>
    <w:lvl w:ilvl="8" w:tplc="A548647A">
      <w:start w:val="1"/>
      <w:numFmt w:val="decimal"/>
      <w:lvlText w:val="%9)"/>
      <w:lvlJc w:val="left"/>
      <w:pPr>
        <w:ind w:left="720" w:hanging="360"/>
      </w:pPr>
    </w:lvl>
  </w:abstractNum>
  <w:abstractNum w:abstractNumId="128" w15:restartNumberingAfterBreak="0">
    <w:nsid w:val="1DDD4B53"/>
    <w:multiLevelType w:val="hybridMultilevel"/>
    <w:tmpl w:val="1BFA9434"/>
    <w:lvl w:ilvl="0" w:tplc="71ECF73A">
      <w:start w:val="1"/>
      <w:numFmt w:val="decimal"/>
      <w:lvlText w:val="(%1)"/>
      <w:lvlJc w:val="left"/>
      <w:pPr>
        <w:ind w:left="816" w:hanging="39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29" w15:restartNumberingAfterBreak="0">
    <w:nsid w:val="1E0020FE"/>
    <w:multiLevelType w:val="hybridMultilevel"/>
    <w:tmpl w:val="63307E9A"/>
    <w:lvl w:ilvl="0" w:tplc="6BE82AD2">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E0C74E5"/>
    <w:multiLevelType w:val="hybridMultilevel"/>
    <w:tmpl w:val="5C861A4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C376F6EC">
      <w:start w:val="1"/>
      <w:numFmt w:val="lowerLetter"/>
      <w:lvlText w:val="%3)"/>
      <w:lvlJc w:val="left"/>
      <w:pPr>
        <w:ind w:left="720" w:hanging="360"/>
      </w:pPr>
      <w:rPr>
        <w:color w:val="auto"/>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1" w15:restartNumberingAfterBreak="0">
    <w:nsid w:val="1E0D181A"/>
    <w:multiLevelType w:val="hybridMultilevel"/>
    <w:tmpl w:val="A76A348E"/>
    <w:lvl w:ilvl="0" w:tplc="846EFBBE">
      <w:start w:val="1"/>
      <w:numFmt w:val="lowerLetter"/>
      <w:lvlText w:val="%1)"/>
      <w:lvlJc w:val="left"/>
      <w:pPr>
        <w:ind w:left="1146" w:hanging="360"/>
      </w:pPr>
      <w:rPr>
        <w:color w:val="auto"/>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32" w15:restartNumberingAfterBreak="0">
    <w:nsid w:val="1E4270F1"/>
    <w:multiLevelType w:val="hybridMultilevel"/>
    <w:tmpl w:val="3C1C4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E857FCD"/>
    <w:multiLevelType w:val="hybridMultilevel"/>
    <w:tmpl w:val="CD8E564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2340"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4" w15:restartNumberingAfterBreak="0">
    <w:nsid w:val="1E8D3FB9"/>
    <w:multiLevelType w:val="hybridMultilevel"/>
    <w:tmpl w:val="ABF6A1D8"/>
    <w:lvl w:ilvl="0" w:tplc="99D647CC">
      <w:start w:val="1"/>
      <w:numFmt w:val="lowerLetter"/>
      <w:lvlText w:val="%1)"/>
      <w:lvlJc w:val="left"/>
      <w:pPr>
        <w:ind w:left="1146" w:hanging="360"/>
      </w:pPr>
      <w:rPr>
        <w:b w:val="0"/>
        <w:bCs/>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35" w15:restartNumberingAfterBreak="0">
    <w:nsid w:val="1E9918AC"/>
    <w:multiLevelType w:val="hybridMultilevel"/>
    <w:tmpl w:val="8D2C7DF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6" w15:restartNumberingAfterBreak="0">
    <w:nsid w:val="1EE0200A"/>
    <w:multiLevelType w:val="hybridMultilevel"/>
    <w:tmpl w:val="CA082084"/>
    <w:lvl w:ilvl="0" w:tplc="74B834CC">
      <w:start w:val="1"/>
      <w:numFmt w:val="lowerRoman"/>
      <w:lvlText w:val="(%1)"/>
      <w:lvlJc w:val="right"/>
      <w:pPr>
        <w:ind w:left="720" w:hanging="360"/>
      </w:pPr>
      <w:rPr>
        <w:rFonts w:ascii="PermianSerifTypeface" w:eastAsia="Times New Roman" w:hAnsi="PermianSerifTypeface" w:cs="Arial"/>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7" w15:restartNumberingAfterBreak="0">
    <w:nsid w:val="1F471797"/>
    <w:multiLevelType w:val="hybridMultilevel"/>
    <w:tmpl w:val="80FCE08C"/>
    <w:lvl w:ilvl="0" w:tplc="0DDABE46">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8A22DF5A">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2E3CD0">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0811FE">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12D74C">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6E7444">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70105E">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84BB90">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FC6108">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8" w15:restartNumberingAfterBreak="0">
    <w:nsid w:val="1F606B78"/>
    <w:multiLevelType w:val="hybridMultilevel"/>
    <w:tmpl w:val="32623E52"/>
    <w:lvl w:ilvl="0" w:tplc="4710AAA0">
      <w:start w:val="1"/>
      <w:numFmt w:val="lowerRoman"/>
      <w:lvlText w:val="(%1)"/>
      <w:lvlJc w:val="left"/>
      <w:pPr>
        <w:ind w:left="1571" w:hanging="720"/>
      </w:pPr>
      <w:rPr>
        <w:rFonts w:ascii="PermianSerifTypeface" w:hAnsi="PermianSerifTypeface" w:cstheme="min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F7C209E"/>
    <w:multiLevelType w:val="hybridMultilevel"/>
    <w:tmpl w:val="975E8F64"/>
    <w:lvl w:ilvl="0" w:tplc="74B834CC">
      <w:start w:val="1"/>
      <w:numFmt w:val="lowerRoman"/>
      <w:lvlText w:val="(%1)"/>
      <w:lvlJc w:val="right"/>
      <w:pPr>
        <w:ind w:left="720" w:hanging="360"/>
      </w:pPr>
      <w:rPr>
        <w:rFonts w:ascii="PermianSerifTypeface" w:eastAsia="Times New Roman" w:hAnsi="PermianSerifTypefac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F996CBA"/>
    <w:multiLevelType w:val="hybridMultilevel"/>
    <w:tmpl w:val="81E23D28"/>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928"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41" w15:restartNumberingAfterBreak="0">
    <w:nsid w:val="1F9F480A"/>
    <w:multiLevelType w:val="hybridMultilevel"/>
    <w:tmpl w:val="C838B5DC"/>
    <w:lvl w:ilvl="0" w:tplc="5EF68970">
      <w:start w:val="1"/>
      <w:numFmt w:val="decimal"/>
      <w:lvlText w:val="(%1)"/>
      <w:lvlJc w:val="left"/>
      <w:pPr>
        <w:ind w:left="644" w:hanging="360"/>
      </w:pPr>
      <w:rPr>
        <w:rFonts w:hint="default"/>
        <w:color w:val="auto"/>
      </w:rPr>
    </w:lvl>
    <w:lvl w:ilvl="1" w:tplc="3702C028">
      <w:start w:val="1"/>
      <w:numFmt w:val="decimal"/>
      <w:lvlText w:val="(%2)"/>
      <w:lvlJc w:val="left"/>
      <w:pPr>
        <w:ind w:left="2007" w:hanging="36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15:restartNumberingAfterBreak="0">
    <w:nsid w:val="202560FC"/>
    <w:multiLevelType w:val="hybridMultilevel"/>
    <w:tmpl w:val="69B83944"/>
    <w:lvl w:ilvl="0" w:tplc="08180017">
      <w:start w:val="1"/>
      <w:numFmt w:val="lowerLetter"/>
      <w:lvlText w:val="%1)"/>
      <w:lvlJc w:val="left"/>
      <w:pPr>
        <w:ind w:left="367"/>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3" w15:restartNumberingAfterBreak="0">
    <w:nsid w:val="209415FF"/>
    <w:multiLevelType w:val="hybridMultilevel"/>
    <w:tmpl w:val="0A84C69C"/>
    <w:lvl w:ilvl="0" w:tplc="04090017">
      <w:start w:val="1"/>
      <w:numFmt w:val="lowerLetter"/>
      <w:lvlText w:val="%1)"/>
      <w:lvlJc w:val="left"/>
      <w:pPr>
        <w:ind w:left="1287" w:hanging="360"/>
      </w:pPr>
    </w:lvl>
    <w:lvl w:ilvl="1" w:tplc="FC0279BE">
      <w:start w:val="1"/>
      <w:numFmt w:val="decimal"/>
      <w:lvlText w:val="(%2)"/>
      <w:lvlJc w:val="left"/>
      <w:pPr>
        <w:ind w:left="2571" w:hanging="924"/>
      </w:pPr>
      <w:rPr>
        <w:rFonts w:hint="default"/>
      </w:rPr>
    </w:lvl>
    <w:lvl w:ilvl="2" w:tplc="04090017">
      <w:start w:val="1"/>
      <w:numFmt w:val="lowerLetter"/>
      <w:lvlText w:val="%3)"/>
      <w:lvlJc w:val="left"/>
      <w:pPr>
        <w:ind w:left="889"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210A3509"/>
    <w:multiLevelType w:val="hybridMultilevel"/>
    <w:tmpl w:val="E22C5510"/>
    <w:lvl w:ilvl="0" w:tplc="66B24654">
      <w:start w:val="1"/>
      <w:numFmt w:val="lowerLetter"/>
      <w:lvlText w:val="%1)"/>
      <w:lvlJc w:val="left"/>
      <w:pPr>
        <w:ind w:left="1287" w:hanging="360"/>
      </w:pPr>
      <w:rPr>
        <w:color w:val="auto"/>
      </w:rPr>
    </w:lvl>
    <w:lvl w:ilvl="1" w:tplc="9AB8F0EE">
      <w:start w:val="1"/>
      <w:numFmt w:val="decimal"/>
      <w:lvlText w:val="(%2)"/>
      <w:lvlJc w:val="left"/>
      <w:pPr>
        <w:ind w:left="2007" w:hanging="360"/>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214D37A6"/>
    <w:multiLevelType w:val="hybridMultilevel"/>
    <w:tmpl w:val="402E91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1950285"/>
    <w:multiLevelType w:val="hybridMultilevel"/>
    <w:tmpl w:val="BB8A48A8"/>
    <w:lvl w:ilvl="0" w:tplc="DC901232">
      <w:start w:val="1"/>
      <w:numFmt w:val="lowerLetter"/>
      <w:lvlText w:val="%1)"/>
      <w:lvlJc w:val="left"/>
      <w:pPr>
        <w:ind w:left="1069"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7" w15:restartNumberingAfterBreak="0">
    <w:nsid w:val="21B67264"/>
    <w:multiLevelType w:val="hybridMultilevel"/>
    <w:tmpl w:val="5AE431CE"/>
    <w:lvl w:ilvl="0" w:tplc="04090017">
      <w:start w:val="1"/>
      <w:numFmt w:val="lowerLetter"/>
      <w:lvlText w:val="%1)"/>
      <w:lvlJc w:val="left"/>
      <w:pPr>
        <w:ind w:left="2586" w:hanging="360"/>
      </w:pPr>
    </w:lvl>
    <w:lvl w:ilvl="1" w:tplc="08180019" w:tentative="1">
      <w:start w:val="1"/>
      <w:numFmt w:val="lowerLetter"/>
      <w:lvlText w:val="%2."/>
      <w:lvlJc w:val="left"/>
      <w:pPr>
        <w:ind w:left="3306" w:hanging="360"/>
      </w:pPr>
    </w:lvl>
    <w:lvl w:ilvl="2" w:tplc="0818001B" w:tentative="1">
      <w:start w:val="1"/>
      <w:numFmt w:val="lowerRoman"/>
      <w:lvlText w:val="%3."/>
      <w:lvlJc w:val="right"/>
      <w:pPr>
        <w:ind w:left="4026" w:hanging="180"/>
      </w:pPr>
    </w:lvl>
    <w:lvl w:ilvl="3" w:tplc="0818000F" w:tentative="1">
      <w:start w:val="1"/>
      <w:numFmt w:val="decimal"/>
      <w:lvlText w:val="%4."/>
      <w:lvlJc w:val="left"/>
      <w:pPr>
        <w:ind w:left="4746" w:hanging="360"/>
      </w:pPr>
    </w:lvl>
    <w:lvl w:ilvl="4" w:tplc="08180019" w:tentative="1">
      <w:start w:val="1"/>
      <w:numFmt w:val="lowerLetter"/>
      <w:lvlText w:val="%5."/>
      <w:lvlJc w:val="left"/>
      <w:pPr>
        <w:ind w:left="5466" w:hanging="360"/>
      </w:pPr>
    </w:lvl>
    <w:lvl w:ilvl="5" w:tplc="0818001B" w:tentative="1">
      <w:start w:val="1"/>
      <w:numFmt w:val="lowerRoman"/>
      <w:lvlText w:val="%6."/>
      <w:lvlJc w:val="right"/>
      <w:pPr>
        <w:ind w:left="6186" w:hanging="180"/>
      </w:pPr>
    </w:lvl>
    <w:lvl w:ilvl="6" w:tplc="0818000F" w:tentative="1">
      <w:start w:val="1"/>
      <w:numFmt w:val="decimal"/>
      <w:lvlText w:val="%7."/>
      <w:lvlJc w:val="left"/>
      <w:pPr>
        <w:ind w:left="6906" w:hanging="360"/>
      </w:pPr>
    </w:lvl>
    <w:lvl w:ilvl="7" w:tplc="08180019" w:tentative="1">
      <w:start w:val="1"/>
      <w:numFmt w:val="lowerLetter"/>
      <w:lvlText w:val="%8."/>
      <w:lvlJc w:val="left"/>
      <w:pPr>
        <w:ind w:left="7626" w:hanging="360"/>
      </w:pPr>
    </w:lvl>
    <w:lvl w:ilvl="8" w:tplc="0818001B" w:tentative="1">
      <w:start w:val="1"/>
      <w:numFmt w:val="lowerRoman"/>
      <w:lvlText w:val="%9."/>
      <w:lvlJc w:val="right"/>
      <w:pPr>
        <w:ind w:left="8346" w:hanging="180"/>
      </w:pPr>
    </w:lvl>
  </w:abstractNum>
  <w:abstractNum w:abstractNumId="148" w15:restartNumberingAfterBreak="0">
    <w:nsid w:val="223044BB"/>
    <w:multiLevelType w:val="hybridMultilevel"/>
    <w:tmpl w:val="0ED68908"/>
    <w:lvl w:ilvl="0" w:tplc="92F2B708">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0263C8">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10A5C2">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78ECFA">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864AA8">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BC513A">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686E48">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34B25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EAF29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9" w15:restartNumberingAfterBreak="0">
    <w:nsid w:val="22525AF0"/>
    <w:multiLevelType w:val="hybridMultilevel"/>
    <w:tmpl w:val="4AAC123C"/>
    <w:lvl w:ilvl="0" w:tplc="9B0A4AD2">
      <w:start w:val="1"/>
      <w:numFmt w:val="decimal"/>
      <w:lvlText w:val="(%1)"/>
      <w:lvlJc w:val="left"/>
      <w:pPr>
        <w:ind w:left="1428" w:hanging="360"/>
      </w:pPr>
      <w:rPr>
        <w:rFonts w:hint="default"/>
        <w:i w:val="0"/>
        <w:color w:val="auto"/>
      </w:rPr>
    </w:lvl>
    <w:lvl w:ilvl="1" w:tplc="9B0A4AD2">
      <w:start w:val="1"/>
      <w:numFmt w:val="decimal"/>
      <w:lvlText w:val="(%2)"/>
      <w:lvlJc w:val="left"/>
      <w:pPr>
        <w:ind w:left="2148" w:hanging="360"/>
      </w:pPr>
      <w:rPr>
        <w:rFonts w:hint="default"/>
        <w:i w:val="0"/>
        <w:color w:val="auto"/>
      </w:rPr>
    </w:lvl>
    <w:lvl w:ilvl="2" w:tplc="04090017">
      <w:start w:val="1"/>
      <w:numFmt w:val="lowerLetter"/>
      <w:lvlText w:val="%3)"/>
      <w:lvlJc w:val="left"/>
      <w:pPr>
        <w:ind w:left="2868" w:hanging="180"/>
      </w:pPr>
    </w:lvl>
    <w:lvl w:ilvl="3" w:tplc="8E108EB6">
      <w:start w:val="1"/>
      <w:numFmt w:val="lowerRoman"/>
      <w:lvlText w:val="(%4)"/>
      <w:lvlJc w:val="left"/>
      <w:pPr>
        <w:ind w:left="3588" w:hanging="360"/>
      </w:pPr>
      <w:rPr>
        <w:rFonts w:hint="default"/>
      </w:r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0" w15:restartNumberingAfterBreak="0">
    <w:nsid w:val="227A498A"/>
    <w:multiLevelType w:val="hybridMultilevel"/>
    <w:tmpl w:val="FC3C4E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1" w15:restartNumberingAfterBreak="0">
    <w:nsid w:val="22CE7835"/>
    <w:multiLevelType w:val="hybridMultilevel"/>
    <w:tmpl w:val="55BC65FC"/>
    <w:lvl w:ilvl="0" w:tplc="E6644990">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32169DD"/>
    <w:multiLevelType w:val="hybridMultilevel"/>
    <w:tmpl w:val="38A4737E"/>
    <w:lvl w:ilvl="0" w:tplc="1702159C">
      <w:start w:val="1"/>
      <w:numFmt w:val="decimal"/>
      <w:lvlText w:val="(%1)"/>
      <w:lvlJc w:val="left"/>
      <w:pPr>
        <w:ind w:left="1146" w:hanging="360"/>
      </w:pPr>
      <w:rPr>
        <w:rFonts w:ascii="Times New Roman" w:eastAsia="Times New Roman"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3" w15:restartNumberingAfterBreak="0">
    <w:nsid w:val="23256826"/>
    <w:multiLevelType w:val="hybridMultilevel"/>
    <w:tmpl w:val="898A093E"/>
    <w:lvl w:ilvl="0" w:tplc="FFFFFFFF">
      <w:start w:val="1"/>
      <w:numFmt w:val="lowerLetter"/>
      <w:lvlText w:val="%1)"/>
      <w:lvlJc w:val="left"/>
      <w:pPr>
        <w:ind w:left="1146" w:hanging="360"/>
      </w:pPr>
    </w:lvl>
    <w:lvl w:ilvl="1" w:tplc="0818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4" w15:restartNumberingAfterBreak="0">
    <w:nsid w:val="2411528C"/>
    <w:multiLevelType w:val="hybridMultilevel"/>
    <w:tmpl w:val="FE9EA69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1146"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5" w15:restartNumberingAfterBreak="0">
    <w:nsid w:val="24336A7A"/>
    <w:multiLevelType w:val="hybridMultilevel"/>
    <w:tmpl w:val="46D83552"/>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6" w15:restartNumberingAfterBreak="0">
    <w:nsid w:val="244E06E1"/>
    <w:multiLevelType w:val="hybridMultilevel"/>
    <w:tmpl w:val="5E60FAF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FE4A1B60">
      <w:start w:val="1"/>
      <w:numFmt w:val="lowerLetter"/>
      <w:lvlText w:val="%3)"/>
      <w:lvlJc w:val="left"/>
      <w:pPr>
        <w:ind w:left="606"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15:restartNumberingAfterBreak="0">
    <w:nsid w:val="24C555CA"/>
    <w:multiLevelType w:val="hybridMultilevel"/>
    <w:tmpl w:val="7E702C0E"/>
    <w:lvl w:ilvl="0" w:tplc="9E76988C">
      <w:start w:val="1"/>
      <w:numFmt w:val="decimal"/>
      <w:lvlText w:val="(%1)"/>
      <w:lvlJc w:val="left"/>
      <w:pPr>
        <w:ind w:left="114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9E76988C">
      <w:start w:val="1"/>
      <w:numFmt w:val="decimal"/>
      <w:lvlText w:val="(%2)"/>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58" w15:restartNumberingAfterBreak="0">
    <w:nsid w:val="24F57F80"/>
    <w:multiLevelType w:val="hybridMultilevel"/>
    <w:tmpl w:val="5524C272"/>
    <w:lvl w:ilvl="0" w:tplc="64E29676">
      <w:start w:val="1"/>
      <w:numFmt w:val="decimal"/>
      <w:lvlText w:val="(%1)"/>
      <w:lvlJc w:val="left"/>
      <w:pPr>
        <w:ind w:left="1146" w:hanging="360"/>
      </w:pPr>
      <w:rPr>
        <w:rFonts w:hint="default"/>
      </w:rPr>
    </w:lvl>
    <w:lvl w:ilvl="1" w:tplc="02EA1B8C">
      <w:start w:val="1"/>
      <w:numFmt w:val="decimal"/>
      <w:lvlText w:val="(%2)"/>
      <w:lvlJc w:val="left"/>
      <w:pPr>
        <w:ind w:left="1866" w:hanging="360"/>
      </w:pPr>
      <w:rPr>
        <w:rFonts w:hint="default"/>
        <w:color w:val="auto"/>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9" w15:restartNumberingAfterBreak="0">
    <w:nsid w:val="251C5509"/>
    <w:multiLevelType w:val="hybridMultilevel"/>
    <w:tmpl w:val="87C070D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C9E019D4">
      <w:start w:val="1"/>
      <w:numFmt w:val="lowerLetter"/>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0" w15:restartNumberingAfterBreak="0">
    <w:nsid w:val="252C5406"/>
    <w:multiLevelType w:val="hybridMultilevel"/>
    <w:tmpl w:val="607AA4C8"/>
    <w:lvl w:ilvl="0" w:tplc="BAC6E956">
      <w:start w:val="1"/>
      <w:numFmt w:val="decimal"/>
      <w:lvlText w:val="(%1)"/>
      <w:lvlJc w:val="left"/>
      <w:pPr>
        <w:ind w:left="928"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5C41329"/>
    <w:multiLevelType w:val="hybridMultilevel"/>
    <w:tmpl w:val="3B906F7A"/>
    <w:lvl w:ilvl="0" w:tplc="1DF49CBC">
      <w:start w:val="1"/>
      <w:numFmt w:val="decimal"/>
      <w:lvlText w:val="(%1)"/>
      <w:lvlJc w:val="left"/>
      <w:pPr>
        <w:ind w:left="107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61D5EFE"/>
    <w:multiLevelType w:val="hybridMultilevel"/>
    <w:tmpl w:val="71BCB2CA"/>
    <w:lvl w:ilvl="0" w:tplc="6672AD32">
      <w:start w:val="1"/>
      <w:numFmt w:val="decimal"/>
      <w:lvlText w:val="(%1)"/>
      <w:lvlJc w:val="left"/>
      <w:pPr>
        <w:ind w:left="1287" w:hanging="360"/>
      </w:pPr>
      <w:rPr>
        <w:rFonts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3" w15:restartNumberingAfterBreak="0">
    <w:nsid w:val="264313A2"/>
    <w:multiLevelType w:val="hybridMultilevel"/>
    <w:tmpl w:val="0DB64BA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4" w15:restartNumberingAfterBreak="0">
    <w:nsid w:val="26524972"/>
    <w:multiLevelType w:val="hybridMultilevel"/>
    <w:tmpl w:val="2F70500E"/>
    <w:lvl w:ilvl="0" w:tplc="733C4AA2">
      <w:start w:val="1"/>
      <w:numFmt w:val="decimal"/>
      <w:lvlText w:val="(%1)"/>
      <w:lvlJc w:val="left"/>
      <w:pPr>
        <w:ind w:left="1287" w:hanging="360"/>
      </w:pPr>
      <w:rPr>
        <w:rFonts w:hint="default"/>
      </w:rPr>
    </w:lvl>
    <w:lvl w:ilvl="1" w:tplc="EE141C02">
      <w:start w:val="1"/>
      <w:numFmt w:val="decimal"/>
      <w:lvlText w:val="(%2)"/>
      <w:lvlJc w:val="left"/>
      <w:pPr>
        <w:ind w:left="2007" w:hanging="360"/>
      </w:pPr>
      <w:rPr>
        <w:rFonts w:eastAsiaTheme="minorHAnsi" w:hint="default"/>
        <w:i w:val="0"/>
        <w:color w:val="auto"/>
      </w:rPr>
    </w:lvl>
    <w:lvl w:ilvl="2" w:tplc="95A20404">
      <w:start w:val="1"/>
      <w:numFmt w:val="lowerLetter"/>
      <w:lvlText w:val="%3)"/>
      <w:lvlJc w:val="left"/>
      <w:pPr>
        <w:ind w:left="2727" w:hanging="180"/>
      </w:pPr>
      <w:rPr>
        <w:sz w:val="22"/>
        <w:szCs w:val="22"/>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5" w15:restartNumberingAfterBreak="0">
    <w:nsid w:val="26DB4857"/>
    <w:multiLevelType w:val="hybridMultilevel"/>
    <w:tmpl w:val="C79EA99A"/>
    <w:lvl w:ilvl="0" w:tplc="64E29676">
      <w:start w:val="1"/>
      <w:numFmt w:val="decimal"/>
      <w:lvlText w:val="(%1)"/>
      <w:lvlJc w:val="left"/>
      <w:pPr>
        <w:ind w:left="1287" w:hanging="360"/>
      </w:pPr>
      <w:rPr>
        <w:rFonts w:hint="default"/>
      </w:rPr>
    </w:lvl>
    <w:lvl w:ilvl="1" w:tplc="79788338">
      <w:start w:val="1"/>
      <w:numFmt w:val="decimal"/>
      <w:lvlText w:val="(%2)"/>
      <w:lvlJc w:val="left"/>
      <w:pPr>
        <w:ind w:left="2912" w:hanging="36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26E00FE1"/>
    <w:multiLevelType w:val="hybridMultilevel"/>
    <w:tmpl w:val="607AA4C8"/>
    <w:lvl w:ilvl="0" w:tplc="FFFFFFFF">
      <w:start w:val="1"/>
      <w:numFmt w:val="decimal"/>
      <w:lvlText w:val="(%1)"/>
      <w:lvlJc w:val="left"/>
      <w:pPr>
        <w:ind w:left="928"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27011B01"/>
    <w:multiLevelType w:val="hybridMultilevel"/>
    <w:tmpl w:val="16FAC188"/>
    <w:lvl w:ilvl="0" w:tplc="3A9E50D4">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8ECCA240">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227BB8">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CD64C">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9CA09A">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98D59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5A82DA">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3657BE">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7C7DF0">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8" w15:restartNumberingAfterBreak="0">
    <w:nsid w:val="28480A6D"/>
    <w:multiLevelType w:val="hybridMultilevel"/>
    <w:tmpl w:val="54F23EEA"/>
    <w:lvl w:ilvl="0" w:tplc="08180017">
      <w:start w:val="1"/>
      <w:numFmt w:val="lowerLetter"/>
      <w:lvlText w:val="%1)"/>
      <w:lvlJc w:val="left"/>
      <w:pPr>
        <w:ind w:left="928" w:hanging="360"/>
      </w:pPr>
    </w:lvl>
    <w:lvl w:ilvl="1" w:tplc="08180019" w:tentative="1">
      <w:start w:val="1"/>
      <w:numFmt w:val="lowerLetter"/>
      <w:lvlText w:val="%2."/>
      <w:lvlJc w:val="left"/>
      <w:pPr>
        <w:ind w:left="1865" w:hanging="360"/>
      </w:pPr>
    </w:lvl>
    <w:lvl w:ilvl="2" w:tplc="0818001B" w:tentative="1">
      <w:start w:val="1"/>
      <w:numFmt w:val="lowerRoman"/>
      <w:lvlText w:val="%3."/>
      <w:lvlJc w:val="right"/>
      <w:pPr>
        <w:ind w:left="2585" w:hanging="180"/>
      </w:pPr>
    </w:lvl>
    <w:lvl w:ilvl="3" w:tplc="0818000F" w:tentative="1">
      <w:start w:val="1"/>
      <w:numFmt w:val="decimal"/>
      <w:lvlText w:val="%4."/>
      <w:lvlJc w:val="left"/>
      <w:pPr>
        <w:ind w:left="3305" w:hanging="360"/>
      </w:pPr>
    </w:lvl>
    <w:lvl w:ilvl="4" w:tplc="08180019" w:tentative="1">
      <w:start w:val="1"/>
      <w:numFmt w:val="lowerLetter"/>
      <w:lvlText w:val="%5."/>
      <w:lvlJc w:val="left"/>
      <w:pPr>
        <w:ind w:left="4025" w:hanging="360"/>
      </w:pPr>
    </w:lvl>
    <w:lvl w:ilvl="5" w:tplc="0818001B" w:tentative="1">
      <w:start w:val="1"/>
      <w:numFmt w:val="lowerRoman"/>
      <w:lvlText w:val="%6."/>
      <w:lvlJc w:val="right"/>
      <w:pPr>
        <w:ind w:left="4745" w:hanging="180"/>
      </w:pPr>
    </w:lvl>
    <w:lvl w:ilvl="6" w:tplc="0818000F" w:tentative="1">
      <w:start w:val="1"/>
      <w:numFmt w:val="decimal"/>
      <w:lvlText w:val="%7."/>
      <w:lvlJc w:val="left"/>
      <w:pPr>
        <w:ind w:left="5465" w:hanging="360"/>
      </w:pPr>
    </w:lvl>
    <w:lvl w:ilvl="7" w:tplc="08180019" w:tentative="1">
      <w:start w:val="1"/>
      <w:numFmt w:val="lowerLetter"/>
      <w:lvlText w:val="%8."/>
      <w:lvlJc w:val="left"/>
      <w:pPr>
        <w:ind w:left="6185" w:hanging="360"/>
      </w:pPr>
    </w:lvl>
    <w:lvl w:ilvl="8" w:tplc="0818001B" w:tentative="1">
      <w:start w:val="1"/>
      <w:numFmt w:val="lowerRoman"/>
      <w:lvlText w:val="%9."/>
      <w:lvlJc w:val="right"/>
      <w:pPr>
        <w:ind w:left="6905" w:hanging="180"/>
      </w:pPr>
    </w:lvl>
  </w:abstractNum>
  <w:abstractNum w:abstractNumId="169" w15:restartNumberingAfterBreak="0">
    <w:nsid w:val="285F0193"/>
    <w:multiLevelType w:val="hybridMultilevel"/>
    <w:tmpl w:val="2AC42E60"/>
    <w:lvl w:ilvl="0" w:tplc="0409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8714008"/>
    <w:multiLevelType w:val="hybridMultilevel"/>
    <w:tmpl w:val="15C8E876"/>
    <w:lvl w:ilvl="0" w:tplc="44B2BCF6">
      <w:start w:val="1"/>
      <w:numFmt w:val="lowerLetter"/>
      <w:lvlText w:val="%1)"/>
      <w:lvlJc w:val="left"/>
      <w:pPr>
        <w:ind w:left="367"/>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1" w15:restartNumberingAfterBreak="0">
    <w:nsid w:val="28CB2222"/>
    <w:multiLevelType w:val="hybridMultilevel"/>
    <w:tmpl w:val="5B9839E4"/>
    <w:lvl w:ilvl="0" w:tplc="64E29676">
      <w:start w:val="1"/>
      <w:numFmt w:val="decimal"/>
      <w:lvlText w:val="(%1)"/>
      <w:lvlJc w:val="left"/>
      <w:pPr>
        <w:ind w:left="720" w:hanging="360"/>
      </w:pPr>
      <w:rPr>
        <w:rFonts w:hint="default"/>
      </w:rPr>
    </w:lvl>
    <w:lvl w:ilvl="1" w:tplc="64E29676">
      <w:start w:val="1"/>
      <w:numFmt w:val="decimal"/>
      <w:lvlText w:val="(%2)"/>
      <w:lvlJc w:val="left"/>
      <w:pPr>
        <w:ind w:left="92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9223782"/>
    <w:multiLevelType w:val="hybridMultilevel"/>
    <w:tmpl w:val="98520E14"/>
    <w:lvl w:ilvl="0" w:tplc="78E69B3A">
      <w:start w:val="1"/>
      <w:numFmt w:val="decimal"/>
      <w:lvlText w:val="(%1)"/>
      <w:lvlJc w:val="left"/>
      <w:pPr>
        <w:ind w:left="1146" w:hanging="360"/>
      </w:pPr>
      <w:rPr>
        <w:rFonts w:hint="default"/>
      </w:rPr>
    </w:lvl>
    <w:lvl w:ilvl="1" w:tplc="78E69B3A">
      <w:start w:val="1"/>
      <w:numFmt w:val="decimal"/>
      <w:lvlText w:val="(%2)"/>
      <w:lvlJc w:val="left"/>
      <w:pPr>
        <w:ind w:left="1146" w:hanging="360"/>
      </w:pPr>
      <w:rPr>
        <w:rFonts w:hint="default"/>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73" w15:restartNumberingAfterBreak="0">
    <w:nsid w:val="2923669F"/>
    <w:multiLevelType w:val="hybridMultilevel"/>
    <w:tmpl w:val="6292D17E"/>
    <w:lvl w:ilvl="0" w:tplc="C9E019D4">
      <w:start w:val="1"/>
      <w:numFmt w:val="lowerLetter"/>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293E65B9"/>
    <w:multiLevelType w:val="hybridMultilevel"/>
    <w:tmpl w:val="A6FA4CAC"/>
    <w:lvl w:ilvl="0" w:tplc="2B34CC20">
      <w:start w:val="1"/>
      <w:numFmt w:val="lowerLetter"/>
      <w:lvlText w:val="%1)"/>
      <w:lvlJc w:val="left"/>
      <w:pPr>
        <w:ind w:left="720" w:hanging="360"/>
      </w:pPr>
      <w:rPr>
        <w:rFonts w:ascii="PermianSerifTypeface" w:eastAsia="Times New Roman" w:hAnsi="PermianSerifTypeface" w:cs="Arial"/>
      </w:rPr>
    </w:lvl>
    <w:lvl w:ilvl="1" w:tplc="08180019" w:tentative="1">
      <w:start w:val="1"/>
      <w:numFmt w:val="lowerLetter"/>
      <w:lvlText w:val="%2."/>
      <w:lvlJc w:val="left"/>
      <w:pPr>
        <w:ind w:left="1440" w:hanging="360"/>
      </w:pPr>
    </w:lvl>
    <w:lvl w:ilvl="2" w:tplc="2B34CC20">
      <w:start w:val="1"/>
      <w:numFmt w:val="lowerLetter"/>
      <w:lvlText w:val="%3)"/>
      <w:lvlJc w:val="left"/>
      <w:pPr>
        <w:ind w:left="2880" w:hanging="360"/>
      </w:pPr>
      <w:rPr>
        <w:rFonts w:ascii="PermianSerifTypeface" w:eastAsia="Times New Roman" w:hAnsi="PermianSerifTypeface" w:cs="Arial"/>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5" w15:restartNumberingAfterBreak="0">
    <w:nsid w:val="296A02E9"/>
    <w:multiLevelType w:val="hybridMultilevel"/>
    <w:tmpl w:val="AB208014"/>
    <w:lvl w:ilvl="0" w:tplc="E8E8A108">
      <w:start w:val="1"/>
      <w:numFmt w:val="lowerRoman"/>
      <w:lvlText w:val="(%1)"/>
      <w:lvlJc w:val="right"/>
      <w:pPr>
        <w:ind w:left="720" w:hanging="360"/>
      </w:pPr>
      <w:rPr>
        <w:rFonts w:ascii="PermianSerifTypeface" w:eastAsiaTheme="minorHAnsi" w:hAnsi="PermianSerifTypeface" w:cstheme="minorBid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6" w15:restartNumberingAfterBreak="0">
    <w:nsid w:val="299E5DC5"/>
    <w:multiLevelType w:val="hybridMultilevel"/>
    <w:tmpl w:val="830CF1D8"/>
    <w:lvl w:ilvl="0" w:tplc="64E2967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7">
      <w:start w:val="1"/>
      <w:numFmt w:val="lowerLetter"/>
      <w:lvlText w:val="%3)"/>
      <w:lvlJc w:val="left"/>
      <w:pPr>
        <w:ind w:left="2586" w:hanging="180"/>
      </w:pPr>
    </w:lvl>
    <w:lvl w:ilvl="3" w:tplc="871CD498">
      <w:start w:val="1"/>
      <w:numFmt w:val="lowerRoman"/>
      <w:lvlText w:val="(%4)"/>
      <w:lvlJc w:val="right"/>
      <w:pPr>
        <w:ind w:left="3306" w:hanging="360"/>
      </w:pPr>
      <w:rPr>
        <w:rFonts w:ascii="PermianSerifTypeface" w:eastAsiaTheme="minorHAnsi" w:hAnsi="PermianSerifTypeface" w:cstheme="minorBidi"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7" w15:restartNumberingAfterBreak="0">
    <w:nsid w:val="29D45206"/>
    <w:multiLevelType w:val="hybridMultilevel"/>
    <w:tmpl w:val="B4A0D66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720"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8" w15:restartNumberingAfterBreak="0">
    <w:nsid w:val="29DB72C6"/>
    <w:multiLevelType w:val="hybridMultilevel"/>
    <w:tmpl w:val="06CC38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9" w15:restartNumberingAfterBreak="0">
    <w:nsid w:val="2A1A60B1"/>
    <w:multiLevelType w:val="hybridMultilevel"/>
    <w:tmpl w:val="C5865F8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17">
      <w:start w:val="1"/>
      <w:numFmt w:val="lowerLetter"/>
      <w:lvlText w:val="%4)"/>
      <w:lvlJc w:val="left"/>
      <w:pPr>
        <w:ind w:left="1004"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0" w15:restartNumberingAfterBreak="0">
    <w:nsid w:val="2A610F8D"/>
    <w:multiLevelType w:val="hybridMultilevel"/>
    <w:tmpl w:val="4FD04306"/>
    <w:lvl w:ilvl="0" w:tplc="A448DC26">
      <w:start w:val="1"/>
      <w:numFmt w:val="decimal"/>
      <w:lvlText w:val="(%1)"/>
      <w:lvlJc w:val="left"/>
      <w:pPr>
        <w:ind w:left="1146" w:hanging="360"/>
      </w:pPr>
      <w:rPr>
        <w:rFonts w:ascii="PermianSerifTypeface" w:eastAsia="Times New Roman" w:hAnsi="PermianSerifTypeface" w:cs="Times New Roman" w:hint="default"/>
        <w:b w:val="0"/>
        <w:i w:val="0"/>
        <w:strike w:val="0"/>
        <w:dstrike w:val="0"/>
        <w:color w:val="000000"/>
        <w:sz w:val="22"/>
        <w:szCs w:val="22"/>
        <w:u w:val="none" w:color="000000"/>
        <w:vertAlign w:val="baseline"/>
      </w:rPr>
    </w:lvl>
    <w:lvl w:ilvl="1" w:tplc="A448DC26">
      <w:start w:val="1"/>
      <w:numFmt w:val="decimal"/>
      <w:lvlText w:val="(%2)"/>
      <w:lvlJc w:val="left"/>
      <w:pPr>
        <w:ind w:left="928" w:hanging="360"/>
      </w:pPr>
      <w:rPr>
        <w:rFonts w:ascii="PermianSerifTypeface" w:eastAsia="Times New Roman" w:hAnsi="PermianSerifTypeface" w:cs="Times New Roman" w:hint="default"/>
        <w:b w:val="0"/>
        <w:i w:val="0"/>
        <w:strike w:val="0"/>
        <w:dstrike w:val="0"/>
        <w:color w:val="000000"/>
        <w:sz w:val="22"/>
        <w:szCs w:val="22"/>
        <w:u w:val="none" w:color="000000"/>
        <w:vertAlign w:val="baseline"/>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81" w15:restartNumberingAfterBreak="0">
    <w:nsid w:val="2AB93C4D"/>
    <w:multiLevelType w:val="hybridMultilevel"/>
    <w:tmpl w:val="257ED5BA"/>
    <w:lvl w:ilvl="0" w:tplc="733C4AA2">
      <w:start w:val="1"/>
      <w:numFmt w:val="decimal"/>
      <w:lvlText w:val="(%1)"/>
      <w:lvlJc w:val="left"/>
      <w:pPr>
        <w:ind w:left="1287" w:hanging="360"/>
      </w:pPr>
      <w:rPr>
        <w:rFonts w:hint="default"/>
      </w:rPr>
    </w:lvl>
    <w:lvl w:ilvl="1" w:tplc="F18C261E">
      <w:start w:val="1"/>
      <w:numFmt w:val="decimal"/>
      <w:lvlText w:val="(%2)"/>
      <w:lvlJc w:val="left"/>
      <w:pPr>
        <w:ind w:left="1070" w:hanging="360"/>
      </w:pPr>
      <w:rPr>
        <w:rFonts w:hint="default"/>
        <w:color w:val="000000" w:themeColor="text1"/>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2" w15:restartNumberingAfterBreak="0">
    <w:nsid w:val="2AFD6423"/>
    <w:multiLevelType w:val="hybridMultilevel"/>
    <w:tmpl w:val="78B412AA"/>
    <w:lvl w:ilvl="0" w:tplc="08180017">
      <w:start w:val="1"/>
      <w:numFmt w:val="lowerLetter"/>
      <w:lvlText w:val="%1)"/>
      <w:lvlJc w:val="left"/>
      <w:pPr>
        <w:ind w:left="1146" w:hanging="360"/>
      </w:pPr>
    </w:lvl>
    <w:lvl w:ilvl="1" w:tplc="08180017">
      <w:start w:val="1"/>
      <w:numFmt w:val="lowerLetter"/>
      <w:lvlText w:val="%2)"/>
      <w:lvlJc w:val="left"/>
      <w:pPr>
        <w:ind w:left="928"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83" w15:restartNumberingAfterBreak="0">
    <w:nsid w:val="2B6A3546"/>
    <w:multiLevelType w:val="hybridMultilevel"/>
    <w:tmpl w:val="7520CA04"/>
    <w:lvl w:ilvl="0" w:tplc="FC4C7A5C">
      <w:start w:val="1"/>
      <w:numFmt w:val="decimal"/>
      <w:lvlText w:val="(%1)"/>
      <w:lvlJc w:val="left"/>
      <w:pPr>
        <w:ind w:left="720"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84" w15:restartNumberingAfterBreak="0">
    <w:nsid w:val="2BB31D44"/>
    <w:multiLevelType w:val="hybridMultilevel"/>
    <w:tmpl w:val="A06E14B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2B34CC20">
      <w:start w:val="1"/>
      <w:numFmt w:val="lowerLetter"/>
      <w:lvlText w:val="%3)"/>
      <w:lvlJc w:val="left"/>
      <w:pPr>
        <w:ind w:left="2880" w:hanging="360"/>
      </w:pPr>
      <w:rPr>
        <w:rFonts w:ascii="PermianSerifTypeface" w:eastAsia="Times New Roman" w:hAnsi="PermianSerifTypeface" w:cs="Arial"/>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5" w15:restartNumberingAfterBreak="0">
    <w:nsid w:val="2D037791"/>
    <w:multiLevelType w:val="hybridMultilevel"/>
    <w:tmpl w:val="01824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C23285C0">
      <w:start w:val="1"/>
      <w:numFmt w:val="lowerLetter"/>
      <w:lvlText w:val="%3)"/>
      <w:lvlJc w:val="left"/>
      <w:pPr>
        <w:ind w:left="2727" w:hanging="180"/>
      </w:pPr>
      <w:rPr>
        <w:b w:val="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6" w15:restartNumberingAfterBreak="0">
    <w:nsid w:val="2D084AFB"/>
    <w:multiLevelType w:val="hybridMultilevel"/>
    <w:tmpl w:val="DB0E241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7" w15:restartNumberingAfterBreak="0">
    <w:nsid w:val="2E606055"/>
    <w:multiLevelType w:val="hybridMultilevel"/>
    <w:tmpl w:val="B178CD1A"/>
    <w:lvl w:ilvl="0" w:tplc="78E69B3A">
      <w:start w:val="1"/>
      <w:numFmt w:val="decimal"/>
      <w:lvlText w:val="(%1)"/>
      <w:lvlJc w:val="left"/>
      <w:pPr>
        <w:ind w:left="1070"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88" w15:restartNumberingAfterBreak="0">
    <w:nsid w:val="2E634A30"/>
    <w:multiLevelType w:val="hybridMultilevel"/>
    <w:tmpl w:val="783E6978"/>
    <w:lvl w:ilvl="0" w:tplc="FFFFFFFF">
      <w:start w:val="1"/>
      <w:numFmt w:val="decimal"/>
      <w:lvlText w:val="%1)"/>
      <w:lvlJc w:val="left"/>
      <w:pPr>
        <w:ind w:left="1146" w:hanging="360"/>
      </w:pPr>
    </w:lvl>
    <w:lvl w:ilvl="1" w:tplc="0818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9" w15:restartNumberingAfterBreak="0">
    <w:nsid w:val="2ECF7164"/>
    <w:multiLevelType w:val="hybridMultilevel"/>
    <w:tmpl w:val="962C7E66"/>
    <w:lvl w:ilvl="0" w:tplc="251850CA">
      <w:start w:val="1"/>
      <w:numFmt w:val="decimal"/>
      <w:lvlText w:val="%1)"/>
      <w:lvlJc w:val="left"/>
      <w:pPr>
        <w:ind w:left="2211" w:hanging="360"/>
      </w:pPr>
      <w:rPr>
        <w:rFonts w:hint="default"/>
      </w:rPr>
    </w:lvl>
    <w:lvl w:ilvl="1" w:tplc="08180019" w:tentative="1">
      <w:start w:val="1"/>
      <w:numFmt w:val="lowerLetter"/>
      <w:lvlText w:val="%2."/>
      <w:lvlJc w:val="left"/>
      <w:pPr>
        <w:ind w:left="2931" w:hanging="360"/>
      </w:pPr>
    </w:lvl>
    <w:lvl w:ilvl="2" w:tplc="0818001B" w:tentative="1">
      <w:start w:val="1"/>
      <w:numFmt w:val="lowerRoman"/>
      <w:lvlText w:val="%3."/>
      <w:lvlJc w:val="right"/>
      <w:pPr>
        <w:ind w:left="3651" w:hanging="180"/>
      </w:pPr>
    </w:lvl>
    <w:lvl w:ilvl="3" w:tplc="0818000F" w:tentative="1">
      <w:start w:val="1"/>
      <w:numFmt w:val="decimal"/>
      <w:lvlText w:val="%4."/>
      <w:lvlJc w:val="left"/>
      <w:pPr>
        <w:ind w:left="4371" w:hanging="360"/>
      </w:pPr>
    </w:lvl>
    <w:lvl w:ilvl="4" w:tplc="08180019" w:tentative="1">
      <w:start w:val="1"/>
      <w:numFmt w:val="lowerLetter"/>
      <w:lvlText w:val="%5."/>
      <w:lvlJc w:val="left"/>
      <w:pPr>
        <w:ind w:left="5091" w:hanging="360"/>
      </w:pPr>
    </w:lvl>
    <w:lvl w:ilvl="5" w:tplc="0818001B" w:tentative="1">
      <w:start w:val="1"/>
      <w:numFmt w:val="lowerRoman"/>
      <w:lvlText w:val="%6."/>
      <w:lvlJc w:val="right"/>
      <w:pPr>
        <w:ind w:left="5811" w:hanging="180"/>
      </w:pPr>
    </w:lvl>
    <w:lvl w:ilvl="6" w:tplc="0818000F" w:tentative="1">
      <w:start w:val="1"/>
      <w:numFmt w:val="decimal"/>
      <w:lvlText w:val="%7."/>
      <w:lvlJc w:val="left"/>
      <w:pPr>
        <w:ind w:left="6531" w:hanging="360"/>
      </w:pPr>
    </w:lvl>
    <w:lvl w:ilvl="7" w:tplc="08180019" w:tentative="1">
      <w:start w:val="1"/>
      <w:numFmt w:val="lowerLetter"/>
      <w:lvlText w:val="%8."/>
      <w:lvlJc w:val="left"/>
      <w:pPr>
        <w:ind w:left="7251" w:hanging="360"/>
      </w:pPr>
    </w:lvl>
    <w:lvl w:ilvl="8" w:tplc="0818001B" w:tentative="1">
      <w:start w:val="1"/>
      <w:numFmt w:val="lowerRoman"/>
      <w:lvlText w:val="%9."/>
      <w:lvlJc w:val="right"/>
      <w:pPr>
        <w:ind w:left="7971" w:hanging="180"/>
      </w:pPr>
    </w:lvl>
  </w:abstractNum>
  <w:abstractNum w:abstractNumId="190" w15:restartNumberingAfterBreak="0">
    <w:nsid w:val="2F02245F"/>
    <w:multiLevelType w:val="hybridMultilevel"/>
    <w:tmpl w:val="8C5E97D0"/>
    <w:lvl w:ilvl="0" w:tplc="7A8014CA">
      <w:start w:val="1"/>
      <w:numFmt w:val="decimal"/>
      <w:lvlText w:val="(%1)"/>
      <w:lvlJc w:val="left"/>
      <w:pPr>
        <w:ind w:left="786" w:hanging="360"/>
      </w:pPr>
      <w:rPr>
        <w:rFonts w:hint="default"/>
        <w:color w:val="auto"/>
      </w:rPr>
    </w:lvl>
    <w:lvl w:ilvl="1" w:tplc="8C7615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FCF58E7"/>
    <w:multiLevelType w:val="hybridMultilevel"/>
    <w:tmpl w:val="A6D4A0D2"/>
    <w:lvl w:ilvl="0" w:tplc="0204D0BE">
      <w:start w:val="1"/>
      <w:numFmt w:val="lowerLetter"/>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8CE0F2E2">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72AD84">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FA3F0A">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D86D38">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D6B64E">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5C2262">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B094C6">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CEE9EC">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2" w15:restartNumberingAfterBreak="0">
    <w:nsid w:val="30D34523"/>
    <w:multiLevelType w:val="hybridMultilevel"/>
    <w:tmpl w:val="B694E492"/>
    <w:lvl w:ilvl="0" w:tplc="10002C8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0E16DC9"/>
    <w:multiLevelType w:val="hybridMultilevel"/>
    <w:tmpl w:val="8D64C6B4"/>
    <w:lvl w:ilvl="0" w:tplc="DA86CA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311F31DA"/>
    <w:multiLevelType w:val="hybridMultilevel"/>
    <w:tmpl w:val="A6626BBE"/>
    <w:lvl w:ilvl="0" w:tplc="2C5AED20">
      <w:start w:val="1"/>
      <w:numFmt w:val="lowerRoman"/>
      <w:lvlText w:val="(%1)"/>
      <w:lvlJc w:val="left"/>
      <w:pPr>
        <w:ind w:left="1146" w:hanging="72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5" w15:restartNumberingAfterBreak="0">
    <w:nsid w:val="315A07BD"/>
    <w:multiLevelType w:val="hybridMultilevel"/>
    <w:tmpl w:val="0F3852DE"/>
    <w:lvl w:ilvl="0" w:tplc="8C62EC6E">
      <w:start w:val="1"/>
      <w:numFmt w:val="lowerRoman"/>
      <w:lvlText w:val="(%1)"/>
      <w:lvlJc w:val="left"/>
      <w:pPr>
        <w:ind w:left="1146" w:hanging="36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96" w15:restartNumberingAfterBreak="0">
    <w:nsid w:val="318D2B76"/>
    <w:multiLevelType w:val="hybridMultilevel"/>
    <w:tmpl w:val="829C0C8E"/>
    <w:lvl w:ilvl="0" w:tplc="9E76988C">
      <w:start w:val="1"/>
      <w:numFmt w:val="decimal"/>
      <w:lvlText w:val="(%1)"/>
      <w:lvlJc w:val="left"/>
      <w:pPr>
        <w:ind w:left="114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9E76988C">
      <w:start w:val="1"/>
      <w:numFmt w:val="decimal"/>
      <w:lvlText w:val="(%2)"/>
      <w:lvlJc w:val="left"/>
      <w:pPr>
        <w:ind w:left="1146"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97" w15:restartNumberingAfterBreak="0">
    <w:nsid w:val="319445A7"/>
    <w:multiLevelType w:val="hybridMultilevel"/>
    <w:tmpl w:val="76BC851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88A83A92">
      <w:start w:val="1"/>
      <w:numFmt w:val="lowerLetter"/>
      <w:lvlText w:val="%3)"/>
      <w:lvlJc w:val="left"/>
      <w:pPr>
        <w:ind w:left="1173" w:hanging="180"/>
      </w:pPr>
      <w:rPr>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8" w15:restartNumberingAfterBreak="0">
    <w:nsid w:val="320C3DAC"/>
    <w:multiLevelType w:val="hybridMultilevel"/>
    <w:tmpl w:val="D4E4E396"/>
    <w:lvl w:ilvl="0" w:tplc="9B0A4AD2">
      <w:start w:val="1"/>
      <w:numFmt w:val="decimal"/>
      <w:lvlText w:val="(%1)"/>
      <w:lvlJc w:val="left"/>
      <w:pPr>
        <w:ind w:left="1428" w:hanging="360"/>
      </w:pPr>
      <w:rPr>
        <w:rFonts w:hint="default"/>
        <w:i w:val="0"/>
        <w:color w:val="auto"/>
      </w:rPr>
    </w:lvl>
    <w:lvl w:ilvl="1" w:tplc="9B0A4AD2">
      <w:start w:val="1"/>
      <w:numFmt w:val="decimal"/>
      <w:lvlText w:val="(%2)"/>
      <w:lvlJc w:val="left"/>
      <w:pPr>
        <w:ind w:left="2148" w:hanging="360"/>
      </w:pPr>
      <w:rPr>
        <w:rFonts w:hint="default"/>
        <w:i w:val="0"/>
        <w:color w:val="auto"/>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9" w15:restartNumberingAfterBreak="0">
    <w:nsid w:val="320D5E56"/>
    <w:multiLevelType w:val="hybridMultilevel"/>
    <w:tmpl w:val="C474246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C2E68076">
      <w:start w:val="1"/>
      <w:numFmt w:val="lowerLetter"/>
      <w:lvlText w:val="%3)"/>
      <w:lvlJc w:val="left"/>
      <w:pPr>
        <w:ind w:left="2727" w:hanging="180"/>
      </w:pPr>
      <w:rPr>
        <w:sz w:val="22"/>
        <w:szCs w:val="22"/>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0" w15:restartNumberingAfterBreak="0">
    <w:nsid w:val="3238545A"/>
    <w:multiLevelType w:val="hybridMultilevel"/>
    <w:tmpl w:val="69542F66"/>
    <w:lvl w:ilvl="0" w:tplc="5BB221FE">
      <w:start w:val="1"/>
      <w:numFmt w:val="lowerLetter"/>
      <w:lvlText w:val="%1)"/>
      <w:lvlJc w:val="left"/>
      <w:pPr>
        <w:ind w:left="1146" w:hanging="360"/>
      </w:pPr>
      <w:rPr>
        <w:rFonts w:ascii="PermianSerifTypeface" w:eastAsiaTheme="minorHAnsi" w:hAnsi="PermianSerifTypeface" w:cstheme="minorBidi" w:hint="default"/>
      </w:rPr>
    </w:lvl>
    <w:lvl w:ilvl="1" w:tplc="F27AEE74">
      <w:start w:val="1"/>
      <w:numFmt w:val="decimal"/>
      <w:lvlText w:val="(%2)"/>
      <w:lvlJc w:val="left"/>
      <w:pPr>
        <w:ind w:left="1866" w:hanging="360"/>
      </w:pPr>
      <w:rPr>
        <w:rFonts w:hint="default"/>
        <w:color w:val="auto"/>
      </w:rPr>
    </w:lvl>
    <w:lvl w:ilvl="2" w:tplc="A16073EA">
      <w:start w:val="1"/>
      <w:numFmt w:val="lowerLetter"/>
      <w:lvlText w:val="%3)"/>
      <w:lvlJc w:val="left"/>
      <w:pPr>
        <w:ind w:left="890" w:hanging="180"/>
      </w:pPr>
      <w:rPr>
        <w:color w:val="auto"/>
      </w:r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1" w15:restartNumberingAfterBreak="0">
    <w:nsid w:val="32616110"/>
    <w:multiLevelType w:val="hybridMultilevel"/>
    <w:tmpl w:val="9CF4B272"/>
    <w:lvl w:ilvl="0" w:tplc="8FAA0250">
      <w:start w:val="1"/>
      <w:numFmt w:val="decimal"/>
      <w:lvlText w:val="(%1)"/>
      <w:lvlJc w:val="left"/>
      <w:pPr>
        <w:ind w:left="1320"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486262B0">
      <w:start w:val="1"/>
      <w:numFmt w:val="decimal"/>
      <w:lvlText w:val="(%2)"/>
      <w:lvlJc w:val="left"/>
      <w:pPr>
        <w:ind w:left="2040"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2" w15:restartNumberingAfterBreak="0">
    <w:nsid w:val="32912D7A"/>
    <w:multiLevelType w:val="hybridMultilevel"/>
    <w:tmpl w:val="4ECA09A4"/>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2340"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03" w15:restartNumberingAfterBreak="0">
    <w:nsid w:val="32B80C99"/>
    <w:multiLevelType w:val="hybridMultilevel"/>
    <w:tmpl w:val="CE68EB78"/>
    <w:lvl w:ilvl="0" w:tplc="0ABE91C0">
      <w:start w:val="1"/>
      <w:numFmt w:val="decimal"/>
      <w:lvlText w:val="(%1)"/>
      <w:lvlJc w:val="left"/>
      <w:pPr>
        <w:ind w:left="1353" w:hanging="360"/>
      </w:pPr>
      <w:rPr>
        <w:rFonts w:hint="default"/>
        <w:b w:val="0"/>
        <w:bCs/>
        <w:color w:val="000000"/>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04" w15:restartNumberingAfterBreak="0">
    <w:nsid w:val="32BC260E"/>
    <w:multiLevelType w:val="hybridMultilevel"/>
    <w:tmpl w:val="5F748356"/>
    <w:lvl w:ilvl="0" w:tplc="8AD0B3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34D5AA2"/>
    <w:multiLevelType w:val="hybridMultilevel"/>
    <w:tmpl w:val="824872F6"/>
    <w:lvl w:ilvl="0" w:tplc="A86243E2">
      <w:start w:val="1"/>
      <w:numFmt w:val="decimal"/>
      <w:lvlText w:val="(%1)"/>
      <w:lvlJc w:val="left"/>
      <w:pPr>
        <w:ind w:left="928"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3691345"/>
    <w:multiLevelType w:val="hybridMultilevel"/>
    <w:tmpl w:val="86025B2E"/>
    <w:lvl w:ilvl="0" w:tplc="71788BD0">
      <w:start w:val="1"/>
      <w:numFmt w:val="lowerLetter"/>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1474CE">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B83702">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7C3874">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B26950">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68356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C8443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27894">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B29186">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7" w15:restartNumberingAfterBreak="0">
    <w:nsid w:val="347D64ED"/>
    <w:multiLevelType w:val="hybridMultilevel"/>
    <w:tmpl w:val="C428C488"/>
    <w:lvl w:ilvl="0" w:tplc="EE141C02">
      <w:start w:val="1"/>
      <w:numFmt w:val="decimal"/>
      <w:lvlText w:val="(%1)"/>
      <w:lvlJc w:val="left"/>
      <w:pPr>
        <w:ind w:left="1428" w:hanging="360"/>
      </w:pPr>
      <w:rPr>
        <w:rFonts w:eastAsiaTheme="minorHAnsi" w:hint="default"/>
        <w:i w:val="0"/>
        <w:color w:val="auto"/>
      </w:rPr>
    </w:lvl>
    <w:lvl w:ilvl="1" w:tplc="EE141C02">
      <w:start w:val="1"/>
      <w:numFmt w:val="decimal"/>
      <w:lvlText w:val="(%2)"/>
      <w:lvlJc w:val="left"/>
      <w:pPr>
        <w:ind w:left="2148" w:hanging="360"/>
      </w:pPr>
      <w:rPr>
        <w:rFonts w:eastAsiaTheme="minorHAnsi" w:hint="default"/>
        <w:i w:val="0"/>
        <w:color w:val="auto"/>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8" w15:restartNumberingAfterBreak="0">
    <w:nsid w:val="34B5386E"/>
    <w:multiLevelType w:val="hybridMultilevel"/>
    <w:tmpl w:val="32FC3A74"/>
    <w:lvl w:ilvl="0" w:tplc="0409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09" w15:restartNumberingAfterBreak="0">
    <w:nsid w:val="3583155A"/>
    <w:multiLevelType w:val="hybridMultilevel"/>
    <w:tmpl w:val="C012066C"/>
    <w:lvl w:ilvl="0" w:tplc="04090017">
      <w:start w:val="1"/>
      <w:numFmt w:val="lowerLetter"/>
      <w:lvlText w:val="%1)"/>
      <w:lvlJc w:val="left"/>
      <w:pPr>
        <w:ind w:left="1146" w:hanging="360"/>
      </w:pPr>
      <w:rPr>
        <w:rFonts w:hint="default"/>
      </w:rPr>
    </w:lvl>
    <w:lvl w:ilvl="1" w:tplc="A7004692">
      <w:start w:val="1"/>
      <w:numFmt w:val="decimal"/>
      <w:lvlText w:val="(%2)"/>
      <w:lvlJc w:val="left"/>
      <w:pPr>
        <w:ind w:left="1070" w:hanging="360"/>
      </w:pPr>
      <w:rPr>
        <w:rFonts w:hint="default"/>
        <w:sz w:val="22"/>
        <w:szCs w:val="22"/>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0" w15:restartNumberingAfterBreak="0">
    <w:nsid w:val="361B757C"/>
    <w:multiLevelType w:val="hybridMultilevel"/>
    <w:tmpl w:val="8BA0DD1A"/>
    <w:lvl w:ilvl="0" w:tplc="64E29676">
      <w:start w:val="1"/>
      <w:numFmt w:val="decimal"/>
      <w:lvlText w:val="(%1)"/>
      <w:lvlJc w:val="left"/>
      <w:pPr>
        <w:ind w:left="1287" w:hanging="360"/>
      </w:pPr>
      <w:rPr>
        <w:rFonts w:hint="default"/>
      </w:rPr>
    </w:lvl>
    <w:lvl w:ilvl="1" w:tplc="9E76988C">
      <w:start w:val="1"/>
      <w:numFmt w:val="decimal"/>
      <w:lvlText w:val="(%2)"/>
      <w:lvlJc w:val="left"/>
      <w:pPr>
        <w:ind w:left="107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1" w15:restartNumberingAfterBreak="0">
    <w:nsid w:val="36203015"/>
    <w:multiLevelType w:val="hybridMultilevel"/>
    <w:tmpl w:val="EF12251E"/>
    <w:lvl w:ilvl="0" w:tplc="5A6445FE">
      <w:start w:val="1"/>
      <w:numFmt w:val="lowerRoman"/>
      <w:lvlText w:val="(%1)"/>
      <w:lvlJc w:val="right"/>
      <w:pPr>
        <w:ind w:left="720" w:hanging="360"/>
      </w:pPr>
      <w:rPr>
        <w:rFonts w:ascii="PermianSerifTypeface" w:eastAsiaTheme="minorHAnsi" w:hAnsi="PermianSerifTypeface" w:cstheme="minorBid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2" w15:restartNumberingAfterBreak="0">
    <w:nsid w:val="36D122B7"/>
    <w:multiLevelType w:val="hybridMultilevel"/>
    <w:tmpl w:val="CEB6A4FC"/>
    <w:lvl w:ilvl="0" w:tplc="08180017">
      <w:start w:val="1"/>
      <w:numFmt w:val="lowerLetter"/>
      <w:lvlText w:val="%1)"/>
      <w:lvlJc w:val="left"/>
      <w:pPr>
        <w:ind w:left="1146" w:hanging="360"/>
      </w:pPr>
    </w:lvl>
    <w:lvl w:ilvl="1" w:tplc="08180017">
      <w:start w:val="1"/>
      <w:numFmt w:val="lowerLetter"/>
      <w:lvlText w:val="%2)"/>
      <w:lvlJc w:val="left"/>
      <w:pPr>
        <w:ind w:left="928"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13" w15:restartNumberingAfterBreak="0">
    <w:nsid w:val="37434862"/>
    <w:multiLevelType w:val="hybridMultilevel"/>
    <w:tmpl w:val="56FEAA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4" w15:restartNumberingAfterBreak="0">
    <w:nsid w:val="377F34A0"/>
    <w:multiLevelType w:val="hybridMultilevel"/>
    <w:tmpl w:val="304AEB32"/>
    <w:lvl w:ilvl="0" w:tplc="C580635E">
      <w:start w:val="1"/>
      <w:numFmt w:val="lowerLetter"/>
      <w:lvlText w:val="%1)"/>
      <w:lvlJc w:val="left"/>
      <w:pPr>
        <w:ind w:left="1146" w:hanging="360"/>
      </w:pPr>
      <w:rPr>
        <w:rFonts w:hint="default"/>
        <w:color w:val="auto"/>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15" w15:restartNumberingAfterBreak="0">
    <w:nsid w:val="37B12F6C"/>
    <w:multiLevelType w:val="hybridMultilevel"/>
    <w:tmpl w:val="FF90EA32"/>
    <w:lvl w:ilvl="0" w:tplc="04090011">
      <w:start w:val="1"/>
      <w:numFmt w:val="decimal"/>
      <w:lvlText w:val="%1)"/>
      <w:lvlJc w:val="left"/>
      <w:pPr>
        <w:ind w:left="1287"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6" w15:restartNumberingAfterBreak="0">
    <w:nsid w:val="37FF6FD1"/>
    <w:multiLevelType w:val="hybridMultilevel"/>
    <w:tmpl w:val="DB2E28FE"/>
    <w:lvl w:ilvl="0" w:tplc="64E29676">
      <w:start w:val="1"/>
      <w:numFmt w:val="decimal"/>
      <w:lvlText w:val="(%1)"/>
      <w:lvlJc w:val="left"/>
      <w:pPr>
        <w:ind w:left="1287" w:hanging="360"/>
      </w:pPr>
      <w:rPr>
        <w:rFonts w:hint="default"/>
      </w:rPr>
    </w:lvl>
    <w:lvl w:ilvl="1" w:tplc="64E2967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7" w15:restartNumberingAfterBreak="0">
    <w:nsid w:val="38107DE6"/>
    <w:multiLevelType w:val="hybridMultilevel"/>
    <w:tmpl w:val="E642F204"/>
    <w:lvl w:ilvl="0" w:tplc="0409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4090017">
      <w:start w:val="1"/>
      <w:numFmt w:val="lowerLetter"/>
      <w:lvlText w:val="%3)"/>
      <w:lvlJc w:val="left"/>
      <w:pPr>
        <w:ind w:left="2766"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18" w15:restartNumberingAfterBreak="0">
    <w:nsid w:val="382B151E"/>
    <w:multiLevelType w:val="hybridMultilevel"/>
    <w:tmpl w:val="FA68FE64"/>
    <w:lvl w:ilvl="0" w:tplc="FFFFFFFF">
      <w:start w:val="1"/>
      <w:numFmt w:val="lowerLetter"/>
      <w:lvlText w:val="%1)"/>
      <w:lvlJc w:val="left"/>
      <w:pPr>
        <w:ind w:left="1146"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9" w15:restartNumberingAfterBreak="0">
    <w:nsid w:val="38887134"/>
    <w:multiLevelType w:val="hybridMultilevel"/>
    <w:tmpl w:val="18C0EE8A"/>
    <w:lvl w:ilvl="0" w:tplc="04090017">
      <w:start w:val="1"/>
      <w:numFmt w:val="lowerLetter"/>
      <w:lvlText w:val="%1)"/>
      <w:lvlJc w:val="left"/>
      <w:pPr>
        <w:ind w:left="1287" w:hanging="360"/>
      </w:pPr>
    </w:lvl>
    <w:lvl w:ilvl="1" w:tplc="435ED2EA">
      <w:start w:val="1"/>
      <w:numFmt w:val="decimal"/>
      <w:lvlText w:val="(%2)"/>
      <w:lvlJc w:val="left"/>
      <w:pPr>
        <w:ind w:left="2007" w:hanging="360"/>
      </w:pPr>
      <w:rPr>
        <w:rFonts w:asciiTheme="minorHAnsi" w:eastAsiaTheme="minorHAnsi" w:hAnsiTheme="minorHAnsi" w:cstheme="minorBidi" w:hint="default"/>
        <w:sz w:val="22"/>
      </w:rPr>
    </w:lvl>
    <w:lvl w:ilvl="2" w:tplc="AB5C73C2">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0" w15:restartNumberingAfterBreak="0">
    <w:nsid w:val="38B53B04"/>
    <w:multiLevelType w:val="hybridMultilevel"/>
    <w:tmpl w:val="03CAB6A2"/>
    <w:lvl w:ilvl="0" w:tplc="74A09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8E449F1"/>
    <w:multiLevelType w:val="hybridMultilevel"/>
    <w:tmpl w:val="1B54E2C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2" w15:restartNumberingAfterBreak="0">
    <w:nsid w:val="3945450B"/>
    <w:multiLevelType w:val="hybridMultilevel"/>
    <w:tmpl w:val="9CFC1A12"/>
    <w:lvl w:ilvl="0" w:tplc="9E76988C">
      <w:start w:val="1"/>
      <w:numFmt w:val="decimal"/>
      <w:lvlText w:val="(%1)"/>
      <w:lvlJc w:val="left"/>
      <w:pPr>
        <w:ind w:left="114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9E76988C">
      <w:start w:val="1"/>
      <w:numFmt w:val="decimal"/>
      <w:lvlText w:val="(%2)"/>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23" w15:restartNumberingAfterBreak="0">
    <w:nsid w:val="399B2D45"/>
    <w:multiLevelType w:val="hybridMultilevel"/>
    <w:tmpl w:val="7E5CFA60"/>
    <w:lvl w:ilvl="0" w:tplc="0148A040">
      <w:start w:val="1"/>
      <w:numFmt w:val="lowerLetter"/>
      <w:lvlText w:val="%1)"/>
      <w:lvlJc w:val="left"/>
      <w:pPr>
        <w:ind w:left="295"/>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8ABE254C">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6E0258">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649860">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D62DC0">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CC5972">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E42E3E">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326C56">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9C2D1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4" w15:restartNumberingAfterBreak="0">
    <w:nsid w:val="3AC3122F"/>
    <w:multiLevelType w:val="hybridMultilevel"/>
    <w:tmpl w:val="E21E368C"/>
    <w:lvl w:ilvl="0" w:tplc="FA485C16">
      <w:start w:val="1"/>
      <w:numFmt w:val="decimal"/>
      <w:lvlText w:val="(%1)"/>
      <w:lvlJc w:val="left"/>
      <w:pPr>
        <w:ind w:left="284"/>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80F231D6">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6A7FC8">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96EF90">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4429C2">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EC134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D090D8">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18858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1AD216">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5" w15:restartNumberingAfterBreak="0">
    <w:nsid w:val="3B17249B"/>
    <w:multiLevelType w:val="hybridMultilevel"/>
    <w:tmpl w:val="03A6572E"/>
    <w:lvl w:ilvl="0" w:tplc="733C4AA2">
      <w:start w:val="1"/>
      <w:numFmt w:val="decimal"/>
      <w:lvlText w:val="(%1)"/>
      <w:lvlJc w:val="left"/>
      <w:pPr>
        <w:ind w:left="1287" w:hanging="360"/>
      </w:pPr>
      <w:rPr>
        <w:rFonts w:hint="default"/>
      </w:rPr>
    </w:lvl>
    <w:lvl w:ilvl="1" w:tplc="FAA05BD2">
      <w:start w:val="1"/>
      <w:numFmt w:val="decimal"/>
      <w:lvlText w:val="(%2)"/>
      <w:lvlJc w:val="left"/>
      <w:pPr>
        <w:ind w:left="2007" w:hanging="36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6" w15:restartNumberingAfterBreak="0">
    <w:nsid w:val="3B376EB6"/>
    <w:multiLevelType w:val="hybridMultilevel"/>
    <w:tmpl w:val="9E72EB00"/>
    <w:lvl w:ilvl="0" w:tplc="04090017">
      <w:start w:val="1"/>
      <w:numFmt w:val="lowerLetter"/>
      <w:lvlText w:val="%1)"/>
      <w:lvlJc w:val="left"/>
      <w:pPr>
        <w:ind w:left="644" w:hanging="360"/>
      </w:pPr>
    </w:lvl>
    <w:lvl w:ilvl="1" w:tplc="970656B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13448958">
      <w:start w:val="1"/>
      <w:numFmt w:val="lowerLetter"/>
      <w:lvlText w:val="%4)"/>
      <w:lvlJc w:val="left"/>
      <w:pPr>
        <w:ind w:left="2880"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B7E0190"/>
    <w:multiLevelType w:val="hybridMultilevel"/>
    <w:tmpl w:val="E9F4FACA"/>
    <w:lvl w:ilvl="0" w:tplc="F18C261E">
      <w:start w:val="1"/>
      <w:numFmt w:val="decimal"/>
      <w:lvlText w:val="(%1)"/>
      <w:lvlJc w:val="left"/>
      <w:pPr>
        <w:ind w:left="1287" w:hanging="360"/>
      </w:pPr>
      <w:rPr>
        <w:rFonts w:hint="default"/>
        <w:color w:val="000000" w:themeColor="text1"/>
      </w:rPr>
    </w:lvl>
    <w:lvl w:ilvl="1" w:tplc="F18C261E">
      <w:start w:val="1"/>
      <w:numFmt w:val="decimal"/>
      <w:lvlText w:val="(%2)"/>
      <w:lvlJc w:val="left"/>
      <w:pPr>
        <w:ind w:left="2007" w:hanging="360"/>
      </w:pPr>
      <w:rPr>
        <w:rFonts w:hint="default"/>
        <w:color w:val="000000" w:themeColor="text1"/>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8" w15:restartNumberingAfterBreak="0">
    <w:nsid w:val="3BF13E69"/>
    <w:multiLevelType w:val="hybridMultilevel"/>
    <w:tmpl w:val="AC941D64"/>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2340"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29" w15:restartNumberingAfterBreak="0">
    <w:nsid w:val="3BFF5AE0"/>
    <w:multiLevelType w:val="hybridMultilevel"/>
    <w:tmpl w:val="C7A2227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17">
      <w:start w:val="1"/>
      <w:numFmt w:val="lowerLetter"/>
      <w:lvlText w:val="%4)"/>
      <w:lvlJc w:val="left"/>
      <w:pPr>
        <w:ind w:left="1146"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0" w15:restartNumberingAfterBreak="0">
    <w:nsid w:val="3C652D0D"/>
    <w:multiLevelType w:val="hybridMultilevel"/>
    <w:tmpl w:val="97FC49BC"/>
    <w:lvl w:ilvl="0" w:tplc="8E108EB6">
      <w:start w:val="1"/>
      <w:numFmt w:val="lowerRoman"/>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3AF65E54">
      <w:start w:val="1"/>
      <w:numFmt w:val="lowerRoman"/>
      <w:lvlText w:val="(%4)"/>
      <w:lvlJc w:val="left"/>
      <w:pPr>
        <w:ind w:left="3588" w:hanging="360"/>
      </w:pPr>
      <w:rPr>
        <w:rFonts w:ascii="PermianSerifTypeface" w:hAnsi="PermianSerifTypeface" w:hint="default"/>
      </w:r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31" w15:restartNumberingAfterBreak="0">
    <w:nsid w:val="3C87549C"/>
    <w:multiLevelType w:val="hybridMultilevel"/>
    <w:tmpl w:val="5F2A2E50"/>
    <w:lvl w:ilvl="0" w:tplc="733C4AA2">
      <w:start w:val="1"/>
      <w:numFmt w:val="decimal"/>
      <w:lvlText w:val="(%1)"/>
      <w:lvlJc w:val="left"/>
      <w:pPr>
        <w:ind w:left="2007" w:hanging="360"/>
      </w:pPr>
      <w:rPr>
        <w:rFonts w:hint="default"/>
      </w:rPr>
    </w:lvl>
    <w:lvl w:ilvl="1" w:tplc="733C4AA2">
      <w:start w:val="1"/>
      <w:numFmt w:val="decimal"/>
      <w:lvlText w:val="(%2)"/>
      <w:lvlJc w:val="left"/>
      <w:pPr>
        <w:ind w:left="2727" w:hanging="360"/>
      </w:pPr>
      <w:rPr>
        <w:rFonts w:hint="default"/>
      </w:rPr>
    </w:lvl>
    <w:lvl w:ilvl="2" w:tplc="04090017">
      <w:start w:val="1"/>
      <w:numFmt w:val="lowerLetter"/>
      <w:lvlText w:val="%3)"/>
      <w:lvlJc w:val="lef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2" w15:restartNumberingAfterBreak="0">
    <w:nsid w:val="3CA36941"/>
    <w:multiLevelType w:val="hybridMultilevel"/>
    <w:tmpl w:val="4D344CEA"/>
    <w:lvl w:ilvl="0" w:tplc="3020880C">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4A16ADEA">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7EF74C">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9C6FDC">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562AD6">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1CECBC">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18ED2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54BEB6">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9465C8">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3" w15:restartNumberingAfterBreak="0">
    <w:nsid w:val="3CCB04D5"/>
    <w:multiLevelType w:val="hybridMultilevel"/>
    <w:tmpl w:val="4B72CDC6"/>
    <w:lvl w:ilvl="0" w:tplc="FFFFFFFF">
      <w:start w:val="1"/>
      <w:numFmt w:val="lowerLetter"/>
      <w:lvlText w:val="%1)"/>
      <w:lvlJc w:val="left"/>
      <w:pPr>
        <w:ind w:left="1287" w:hanging="360"/>
      </w:pPr>
      <w:rPr>
        <w:sz w:val="24"/>
        <w:szCs w:val="24"/>
      </w:rPr>
    </w:lvl>
    <w:lvl w:ilvl="1" w:tplc="FFFFFFFF">
      <w:start w:val="1"/>
      <w:numFmt w:val="decimal"/>
      <w:lvlText w:val="(%2)"/>
      <w:lvlJc w:val="left"/>
      <w:pPr>
        <w:ind w:left="2007" w:hanging="360"/>
      </w:pPr>
      <w:rPr>
        <w:rFonts w:hint="default"/>
      </w:rPr>
    </w:lvl>
    <w:lvl w:ilvl="2" w:tplc="08180017">
      <w:start w:val="1"/>
      <w:numFmt w:val="lowerLetter"/>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4" w15:restartNumberingAfterBreak="0">
    <w:nsid w:val="3CE73A56"/>
    <w:multiLevelType w:val="hybridMultilevel"/>
    <w:tmpl w:val="84CC0C2A"/>
    <w:lvl w:ilvl="0" w:tplc="B3764B76">
      <w:start w:val="1"/>
      <w:numFmt w:val="decimal"/>
      <w:lvlText w:val="(%1)"/>
      <w:lvlJc w:val="left"/>
      <w:pPr>
        <w:ind w:left="786" w:firstLine="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A2C01952">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7E19A4">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10F11C">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AAFD82">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C0442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F022B0">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46CF6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609B8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5" w15:restartNumberingAfterBreak="0">
    <w:nsid w:val="3CFB3293"/>
    <w:multiLevelType w:val="hybridMultilevel"/>
    <w:tmpl w:val="C1904406"/>
    <w:lvl w:ilvl="0" w:tplc="FFFFFFFF">
      <w:start w:val="1"/>
      <w:numFmt w:val="lowerLetter"/>
      <w:lvlText w:val="%1)"/>
      <w:lvlJc w:val="left"/>
      <w:pPr>
        <w:ind w:left="1146" w:hanging="360"/>
      </w:pPr>
      <w:rPr>
        <w:rFonts w:hint="default"/>
        <w:color w:val="auto"/>
      </w:rPr>
    </w:lvl>
    <w:lvl w:ilvl="1" w:tplc="04090017">
      <w:start w:val="1"/>
      <w:numFmt w:val="lowerLetter"/>
      <w:lvlText w:val="%2)"/>
      <w:lvlJc w:val="left"/>
      <w:pPr>
        <w:ind w:left="36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6" w15:restartNumberingAfterBreak="0">
    <w:nsid w:val="3D8F4B07"/>
    <w:multiLevelType w:val="hybridMultilevel"/>
    <w:tmpl w:val="295AC4D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7" w15:restartNumberingAfterBreak="0">
    <w:nsid w:val="3DD84C7D"/>
    <w:multiLevelType w:val="hybridMultilevel"/>
    <w:tmpl w:val="5218BA70"/>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38" w15:restartNumberingAfterBreak="0">
    <w:nsid w:val="3E3662D5"/>
    <w:multiLevelType w:val="hybridMultilevel"/>
    <w:tmpl w:val="707E21CE"/>
    <w:lvl w:ilvl="0" w:tplc="FFFFFFFF">
      <w:start w:val="1"/>
      <w:numFmt w:val="decimal"/>
      <w:lvlText w:val="(%1)"/>
      <w:lvlJc w:val="left"/>
      <w:pPr>
        <w:ind w:left="1146" w:hanging="360"/>
      </w:pPr>
      <w:rPr>
        <w:rFonts w:hint="default"/>
      </w:rPr>
    </w:lvl>
    <w:lvl w:ilvl="1" w:tplc="64E29676">
      <w:start w:val="1"/>
      <w:numFmt w:val="decimal"/>
      <w:lvlText w:val="(%2)"/>
      <w:lvlJc w:val="left"/>
      <w:pPr>
        <w:ind w:left="114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9" w15:restartNumberingAfterBreak="0">
    <w:nsid w:val="3E6E35C1"/>
    <w:multiLevelType w:val="hybridMultilevel"/>
    <w:tmpl w:val="BF64E8F0"/>
    <w:lvl w:ilvl="0" w:tplc="F2FC39AC">
      <w:start w:val="1"/>
      <w:numFmt w:val="lowerRoman"/>
      <w:lvlText w:val="(%1)"/>
      <w:lvlJc w:val="right"/>
      <w:pPr>
        <w:ind w:left="928" w:hanging="360"/>
      </w:pPr>
      <w:rPr>
        <w:rFonts w:ascii="PermianSerifTypeface" w:eastAsiaTheme="minorHAnsi" w:hAnsi="PermianSerifTypeface" w:cstheme="minorBidi" w:hint="default"/>
      </w:rPr>
    </w:lvl>
    <w:lvl w:ilvl="1" w:tplc="08180019" w:tentative="1">
      <w:start w:val="1"/>
      <w:numFmt w:val="lowerLetter"/>
      <w:lvlText w:val="%2."/>
      <w:lvlJc w:val="left"/>
      <w:pPr>
        <w:ind w:left="2237" w:hanging="360"/>
      </w:pPr>
    </w:lvl>
    <w:lvl w:ilvl="2" w:tplc="0818001B" w:tentative="1">
      <w:start w:val="1"/>
      <w:numFmt w:val="lowerRoman"/>
      <w:lvlText w:val="%3."/>
      <w:lvlJc w:val="right"/>
      <w:pPr>
        <w:ind w:left="2957" w:hanging="180"/>
      </w:pPr>
    </w:lvl>
    <w:lvl w:ilvl="3" w:tplc="0818000F" w:tentative="1">
      <w:start w:val="1"/>
      <w:numFmt w:val="decimal"/>
      <w:lvlText w:val="%4."/>
      <w:lvlJc w:val="left"/>
      <w:pPr>
        <w:ind w:left="3677" w:hanging="360"/>
      </w:pPr>
    </w:lvl>
    <w:lvl w:ilvl="4" w:tplc="08180019" w:tentative="1">
      <w:start w:val="1"/>
      <w:numFmt w:val="lowerLetter"/>
      <w:lvlText w:val="%5."/>
      <w:lvlJc w:val="left"/>
      <w:pPr>
        <w:ind w:left="4397" w:hanging="360"/>
      </w:pPr>
    </w:lvl>
    <w:lvl w:ilvl="5" w:tplc="0818001B" w:tentative="1">
      <w:start w:val="1"/>
      <w:numFmt w:val="lowerRoman"/>
      <w:lvlText w:val="%6."/>
      <w:lvlJc w:val="right"/>
      <w:pPr>
        <w:ind w:left="5117" w:hanging="180"/>
      </w:pPr>
    </w:lvl>
    <w:lvl w:ilvl="6" w:tplc="0818000F" w:tentative="1">
      <w:start w:val="1"/>
      <w:numFmt w:val="decimal"/>
      <w:lvlText w:val="%7."/>
      <w:lvlJc w:val="left"/>
      <w:pPr>
        <w:ind w:left="5837" w:hanging="360"/>
      </w:pPr>
    </w:lvl>
    <w:lvl w:ilvl="7" w:tplc="08180019" w:tentative="1">
      <w:start w:val="1"/>
      <w:numFmt w:val="lowerLetter"/>
      <w:lvlText w:val="%8."/>
      <w:lvlJc w:val="left"/>
      <w:pPr>
        <w:ind w:left="6557" w:hanging="360"/>
      </w:pPr>
    </w:lvl>
    <w:lvl w:ilvl="8" w:tplc="0818001B" w:tentative="1">
      <w:start w:val="1"/>
      <w:numFmt w:val="lowerRoman"/>
      <w:lvlText w:val="%9."/>
      <w:lvlJc w:val="right"/>
      <w:pPr>
        <w:ind w:left="7277" w:hanging="180"/>
      </w:pPr>
    </w:lvl>
  </w:abstractNum>
  <w:abstractNum w:abstractNumId="240" w15:restartNumberingAfterBreak="0">
    <w:nsid w:val="3EBA1F02"/>
    <w:multiLevelType w:val="hybridMultilevel"/>
    <w:tmpl w:val="6A943BF6"/>
    <w:lvl w:ilvl="0" w:tplc="DA824FCC">
      <w:start w:val="1"/>
      <w:numFmt w:val="decimal"/>
      <w:lvlText w:val="%1."/>
      <w:lvlJc w:val="left"/>
      <w:pPr>
        <w:ind w:left="1020" w:hanging="360"/>
      </w:pPr>
    </w:lvl>
    <w:lvl w:ilvl="1" w:tplc="B914DD9E">
      <w:start w:val="1"/>
      <w:numFmt w:val="decimal"/>
      <w:lvlText w:val="%2."/>
      <w:lvlJc w:val="left"/>
      <w:pPr>
        <w:ind w:left="1020" w:hanging="360"/>
      </w:pPr>
    </w:lvl>
    <w:lvl w:ilvl="2" w:tplc="9514C99E">
      <w:start w:val="1"/>
      <w:numFmt w:val="decimal"/>
      <w:lvlText w:val="%3."/>
      <w:lvlJc w:val="left"/>
      <w:pPr>
        <w:ind w:left="1020" w:hanging="360"/>
      </w:pPr>
    </w:lvl>
    <w:lvl w:ilvl="3" w:tplc="3CACF592">
      <w:start w:val="1"/>
      <w:numFmt w:val="decimal"/>
      <w:lvlText w:val="%4."/>
      <w:lvlJc w:val="left"/>
      <w:pPr>
        <w:ind w:left="1020" w:hanging="360"/>
      </w:pPr>
    </w:lvl>
    <w:lvl w:ilvl="4" w:tplc="6CB4B2CC">
      <w:start w:val="1"/>
      <w:numFmt w:val="decimal"/>
      <w:lvlText w:val="%5."/>
      <w:lvlJc w:val="left"/>
      <w:pPr>
        <w:ind w:left="1020" w:hanging="360"/>
      </w:pPr>
    </w:lvl>
    <w:lvl w:ilvl="5" w:tplc="BBF05948">
      <w:start w:val="1"/>
      <w:numFmt w:val="decimal"/>
      <w:lvlText w:val="%6."/>
      <w:lvlJc w:val="left"/>
      <w:pPr>
        <w:ind w:left="1020" w:hanging="360"/>
      </w:pPr>
    </w:lvl>
    <w:lvl w:ilvl="6" w:tplc="86F62CD0">
      <w:start w:val="1"/>
      <w:numFmt w:val="decimal"/>
      <w:lvlText w:val="%7."/>
      <w:lvlJc w:val="left"/>
      <w:pPr>
        <w:ind w:left="1020" w:hanging="360"/>
      </w:pPr>
    </w:lvl>
    <w:lvl w:ilvl="7" w:tplc="9A543740">
      <w:start w:val="1"/>
      <w:numFmt w:val="decimal"/>
      <w:lvlText w:val="%8."/>
      <w:lvlJc w:val="left"/>
      <w:pPr>
        <w:ind w:left="1020" w:hanging="360"/>
      </w:pPr>
    </w:lvl>
    <w:lvl w:ilvl="8" w:tplc="FBC8D96E">
      <w:start w:val="1"/>
      <w:numFmt w:val="decimal"/>
      <w:lvlText w:val="%9."/>
      <w:lvlJc w:val="left"/>
      <w:pPr>
        <w:ind w:left="1020" w:hanging="360"/>
      </w:pPr>
    </w:lvl>
  </w:abstractNum>
  <w:abstractNum w:abstractNumId="241" w15:restartNumberingAfterBreak="0">
    <w:nsid w:val="3ECE19C5"/>
    <w:multiLevelType w:val="hybridMultilevel"/>
    <w:tmpl w:val="C0502D02"/>
    <w:lvl w:ilvl="0" w:tplc="2B34CC20">
      <w:start w:val="1"/>
      <w:numFmt w:val="lowerLetter"/>
      <w:lvlText w:val="%1)"/>
      <w:lvlJc w:val="left"/>
      <w:pPr>
        <w:ind w:left="1146" w:hanging="360"/>
      </w:pPr>
      <w:rPr>
        <w:rFonts w:ascii="PermianSerifTypeface" w:eastAsia="Times New Roman" w:hAnsi="PermianSerifTypeface" w:cs="Arial"/>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42" w15:restartNumberingAfterBreak="0">
    <w:nsid w:val="3EFF76EF"/>
    <w:multiLevelType w:val="hybridMultilevel"/>
    <w:tmpl w:val="6A2CAA0A"/>
    <w:lvl w:ilvl="0" w:tplc="44B2BCF6">
      <w:start w:val="1"/>
      <w:numFmt w:val="lowerLetter"/>
      <w:lvlText w:val="%1)"/>
      <w:lvlJc w:val="left"/>
      <w:pPr>
        <w:ind w:left="1146" w:hanging="360"/>
      </w:pPr>
      <w:rPr>
        <w:sz w:val="24"/>
        <w:szCs w:val="24"/>
      </w:rPr>
    </w:lvl>
    <w:lvl w:ilvl="1" w:tplc="08180019" w:tentative="1">
      <w:start w:val="1"/>
      <w:numFmt w:val="lowerLetter"/>
      <w:lvlText w:val="%2."/>
      <w:lvlJc w:val="left"/>
      <w:pPr>
        <w:ind w:left="1866" w:hanging="360"/>
      </w:pPr>
    </w:lvl>
    <w:lvl w:ilvl="2" w:tplc="F1724CB8">
      <w:start w:val="1"/>
      <w:numFmt w:val="lowerLetter"/>
      <w:lvlText w:val="%3)"/>
      <w:lvlJc w:val="left"/>
      <w:pPr>
        <w:ind w:left="360" w:hanging="360"/>
      </w:pPr>
      <w:rPr>
        <w:sz w:val="22"/>
        <w:szCs w:val="22"/>
      </w:r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43" w15:restartNumberingAfterBreak="0">
    <w:nsid w:val="3F031709"/>
    <w:multiLevelType w:val="hybridMultilevel"/>
    <w:tmpl w:val="A224F1A2"/>
    <w:lvl w:ilvl="0" w:tplc="733C4AA2">
      <w:start w:val="1"/>
      <w:numFmt w:val="decimal"/>
      <w:lvlText w:val="(%1)"/>
      <w:lvlJc w:val="left"/>
      <w:pPr>
        <w:ind w:left="1287" w:hanging="360"/>
      </w:pPr>
      <w:rPr>
        <w:rFonts w:hint="default"/>
      </w:rPr>
    </w:lvl>
    <w:lvl w:ilvl="1" w:tplc="9D56576E">
      <w:start w:val="1"/>
      <w:numFmt w:val="decimal"/>
      <w:lvlText w:val="(%2)"/>
      <w:lvlJc w:val="left"/>
      <w:pPr>
        <w:ind w:left="928" w:hanging="36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4" w15:restartNumberingAfterBreak="0">
    <w:nsid w:val="3F3E79D3"/>
    <w:multiLevelType w:val="hybridMultilevel"/>
    <w:tmpl w:val="2BC0E5D0"/>
    <w:lvl w:ilvl="0" w:tplc="DBF4CB0E">
      <w:start w:val="1"/>
      <w:numFmt w:val="lowerLetter"/>
      <w:lvlText w:val="%1)"/>
      <w:lvlJc w:val="left"/>
      <w:pPr>
        <w:ind w:left="1146" w:hanging="360"/>
      </w:pPr>
      <w:rPr>
        <w:color w:val="auto"/>
      </w:rPr>
    </w:lvl>
    <w:lvl w:ilvl="1" w:tplc="F71C94C6">
      <w:start w:val="1"/>
      <w:numFmt w:val="decimal"/>
      <w:lvlText w:val="%2)"/>
      <w:lvlJc w:val="left"/>
      <w:pPr>
        <w:ind w:left="360" w:hanging="360"/>
      </w:pPr>
      <w:rPr>
        <w:rFonts w:hint="default"/>
      </w:rPr>
    </w:lvl>
    <w:lvl w:ilvl="2" w:tplc="B1D60D3C">
      <w:start w:val="1"/>
      <w:numFmt w:val="lowerLetter"/>
      <w:lvlText w:val="%3)"/>
      <w:lvlJc w:val="left"/>
      <w:pPr>
        <w:ind w:left="2586" w:hanging="180"/>
      </w:pPr>
      <w:rPr>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5" w15:restartNumberingAfterBreak="0">
    <w:nsid w:val="3F5445BC"/>
    <w:multiLevelType w:val="hybridMultilevel"/>
    <w:tmpl w:val="8F984DDE"/>
    <w:lvl w:ilvl="0" w:tplc="44B2BCF6">
      <w:start w:val="1"/>
      <w:numFmt w:val="lowerLetter"/>
      <w:lvlText w:val="%1)"/>
      <w:lvlJc w:val="left"/>
      <w:pPr>
        <w:ind w:left="1287" w:hanging="360"/>
      </w:pPr>
      <w:rPr>
        <w:sz w:val="24"/>
        <w:szCs w:val="24"/>
      </w:rPr>
    </w:lvl>
    <w:lvl w:ilvl="1" w:tplc="9E6ABEAC">
      <w:start w:val="1"/>
      <w:numFmt w:val="decimal"/>
      <w:lvlText w:val="(%2)"/>
      <w:lvlJc w:val="left"/>
      <w:pPr>
        <w:ind w:left="2007" w:hanging="360"/>
      </w:pPr>
      <w:rPr>
        <w:rFonts w:hint="default"/>
      </w:rPr>
    </w:lvl>
    <w:lvl w:ilvl="2" w:tplc="8E108EB6">
      <w:start w:val="1"/>
      <w:numFmt w:val="lowerRoman"/>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6" w15:restartNumberingAfterBreak="0">
    <w:nsid w:val="3F6D78DD"/>
    <w:multiLevelType w:val="hybridMultilevel"/>
    <w:tmpl w:val="410CBD6C"/>
    <w:lvl w:ilvl="0" w:tplc="8FAA0250">
      <w:start w:val="1"/>
      <w:numFmt w:val="decimal"/>
      <w:lvlText w:val="(%1)"/>
      <w:lvlJc w:val="left"/>
      <w:pPr>
        <w:ind w:left="1400"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701E8924">
      <w:start w:val="1"/>
      <w:numFmt w:val="decimal"/>
      <w:lvlText w:val="(%2)"/>
      <w:lvlJc w:val="left"/>
      <w:pPr>
        <w:ind w:left="2120"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47" w15:restartNumberingAfterBreak="0">
    <w:nsid w:val="3F6E1350"/>
    <w:multiLevelType w:val="hybridMultilevel"/>
    <w:tmpl w:val="0E1CB320"/>
    <w:lvl w:ilvl="0" w:tplc="6E5E82EC">
      <w:start w:val="1"/>
      <w:numFmt w:val="lowerLetter"/>
      <w:lvlText w:val="%1)"/>
      <w:lvlJc w:val="left"/>
      <w:pPr>
        <w:ind w:left="1080" w:hanging="360"/>
      </w:pPr>
      <w:rPr>
        <w:color w:val="auto"/>
      </w:rPr>
    </w:lvl>
    <w:lvl w:ilvl="1" w:tplc="08180017">
      <w:start w:val="1"/>
      <w:numFmt w:val="lowerLetter"/>
      <w:lvlText w:val="%2)"/>
      <w:lvlJc w:val="left"/>
      <w:pPr>
        <w:ind w:left="928"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48" w15:restartNumberingAfterBreak="0">
    <w:nsid w:val="40082358"/>
    <w:multiLevelType w:val="hybridMultilevel"/>
    <w:tmpl w:val="1A349FF2"/>
    <w:lvl w:ilvl="0" w:tplc="A240F0E0">
      <w:start w:val="1"/>
      <w:numFmt w:val="lowerLetter"/>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9E3E24A6">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A6089E">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86B578">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2065E6">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387C20">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4E677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E084D8">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6AFFBC">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9" w15:restartNumberingAfterBreak="0">
    <w:nsid w:val="400E1EAE"/>
    <w:multiLevelType w:val="hybridMultilevel"/>
    <w:tmpl w:val="7EDC53BA"/>
    <w:lvl w:ilvl="0" w:tplc="04090017">
      <w:start w:val="1"/>
      <w:numFmt w:val="lowerLetter"/>
      <w:lvlText w:val="%1)"/>
      <w:lvlJc w:val="left"/>
      <w:pPr>
        <w:ind w:left="1287" w:hanging="360"/>
      </w:pPr>
    </w:lvl>
    <w:lvl w:ilvl="1" w:tplc="6E7621F2">
      <w:start w:val="1"/>
      <w:numFmt w:val="decimal"/>
      <w:lvlText w:val="(%2)"/>
      <w:lvlJc w:val="left"/>
      <w:pPr>
        <w:ind w:left="2007" w:hanging="360"/>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0" w15:restartNumberingAfterBreak="0">
    <w:nsid w:val="40832897"/>
    <w:multiLevelType w:val="hybridMultilevel"/>
    <w:tmpl w:val="C4E4D208"/>
    <w:lvl w:ilvl="0" w:tplc="01BA7902">
      <w:start w:val="1"/>
      <w:numFmt w:val="lowerLetter"/>
      <w:lvlText w:val="%1)"/>
      <w:lvlJc w:val="left"/>
      <w:pPr>
        <w:ind w:left="1146" w:hanging="360"/>
      </w:pPr>
      <w:rPr>
        <w:sz w:val="22"/>
        <w:szCs w:val="22"/>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51" w15:restartNumberingAfterBreak="0">
    <w:nsid w:val="4094276E"/>
    <w:multiLevelType w:val="hybridMultilevel"/>
    <w:tmpl w:val="9D961C5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2" w15:restartNumberingAfterBreak="0">
    <w:nsid w:val="40A35E3C"/>
    <w:multiLevelType w:val="hybridMultilevel"/>
    <w:tmpl w:val="36024BD2"/>
    <w:lvl w:ilvl="0" w:tplc="412C9744">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6E1ED246">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1A847A">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6E615E">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20F454">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145612">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7A1B1A">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D88DFA">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72F11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3" w15:restartNumberingAfterBreak="0">
    <w:nsid w:val="410E73FF"/>
    <w:multiLevelType w:val="hybridMultilevel"/>
    <w:tmpl w:val="B04CDE20"/>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4" w15:restartNumberingAfterBreak="0">
    <w:nsid w:val="411A4A59"/>
    <w:multiLevelType w:val="hybridMultilevel"/>
    <w:tmpl w:val="A4944FF4"/>
    <w:lvl w:ilvl="0" w:tplc="9CC84282">
      <w:start w:val="1"/>
      <w:numFmt w:val="lowerLetter"/>
      <w:lvlText w:val="%1)"/>
      <w:lvlJc w:val="left"/>
      <w:pPr>
        <w:ind w:left="295"/>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0B727192">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4029AE">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30427C">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280E52">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40463A">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2EEC3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E875A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40825A">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5" w15:restartNumberingAfterBreak="0">
    <w:nsid w:val="411E6958"/>
    <w:multiLevelType w:val="hybridMultilevel"/>
    <w:tmpl w:val="F26E038A"/>
    <w:lvl w:ilvl="0" w:tplc="EE141C02">
      <w:start w:val="1"/>
      <w:numFmt w:val="decimal"/>
      <w:lvlText w:val="(%1)"/>
      <w:lvlJc w:val="left"/>
      <w:pPr>
        <w:ind w:left="2226" w:hanging="360"/>
      </w:pPr>
      <w:rPr>
        <w:rFonts w:eastAsiaTheme="minorHAnsi" w:hint="default"/>
        <w:b w:val="0"/>
        <w:bCs/>
        <w:i w:val="0"/>
        <w:color w:val="auto"/>
      </w:r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256" w15:restartNumberingAfterBreak="0">
    <w:nsid w:val="418D0F49"/>
    <w:multiLevelType w:val="hybridMultilevel"/>
    <w:tmpl w:val="1A94EA80"/>
    <w:lvl w:ilvl="0" w:tplc="BB58D99E">
      <w:start w:val="1"/>
      <w:numFmt w:val="lowerLetter"/>
      <w:lvlText w:val="%1)"/>
      <w:lvlJc w:val="left"/>
      <w:pPr>
        <w:ind w:left="295"/>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0E08ABC8">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7E6F8A">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A6942A">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0ABFDA">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22EF02">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7887D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4C43B4">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F6565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7" w15:restartNumberingAfterBreak="0">
    <w:nsid w:val="41FC1498"/>
    <w:multiLevelType w:val="hybridMultilevel"/>
    <w:tmpl w:val="732A7EF6"/>
    <w:lvl w:ilvl="0" w:tplc="08180017">
      <w:start w:val="1"/>
      <w:numFmt w:val="lowerLetter"/>
      <w:lvlText w:val="%1)"/>
      <w:lvlJc w:val="left"/>
      <w:pPr>
        <w:ind w:left="1004" w:hanging="360"/>
      </w:pPr>
    </w:lvl>
    <w:lvl w:ilvl="1" w:tplc="08180019" w:tentative="1">
      <w:start w:val="1"/>
      <w:numFmt w:val="lowerLetter"/>
      <w:lvlText w:val="%2."/>
      <w:lvlJc w:val="left"/>
      <w:pPr>
        <w:ind w:left="1724" w:hanging="360"/>
      </w:pPr>
    </w:lvl>
    <w:lvl w:ilvl="2" w:tplc="08180017">
      <w:start w:val="1"/>
      <w:numFmt w:val="lowerLetter"/>
      <w:lvlText w:val="%3)"/>
      <w:lvlJc w:val="left"/>
      <w:pPr>
        <w:ind w:left="2340" w:hanging="36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258" w15:restartNumberingAfterBreak="0">
    <w:nsid w:val="428F2C73"/>
    <w:multiLevelType w:val="hybridMultilevel"/>
    <w:tmpl w:val="F5149538"/>
    <w:lvl w:ilvl="0" w:tplc="64E29676">
      <w:start w:val="1"/>
      <w:numFmt w:val="decimal"/>
      <w:lvlText w:val="(%1)"/>
      <w:lvlJc w:val="left"/>
      <w:pPr>
        <w:ind w:left="2007" w:hanging="360"/>
      </w:pPr>
      <w:rPr>
        <w:rFonts w:hint="default"/>
      </w:rPr>
    </w:lvl>
    <w:lvl w:ilvl="1" w:tplc="64E29676">
      <w:start w:val="1"/>
      <w:numFmt w:val="decimal"/>
      <w:lvlText w:val="(%2)"/>
      <w:lvlJc w:val="left"/>
      <w:pPr>
        <w:ind w:left="2727" w:hanging="360"/>
      </w:pPr>
      <w:rPr>
        <w:rFonts w:hint="default"/>
      </w:r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59" w15:restartNumberingAfterBreak="0">
    <w:nsid w:val="42C428F8"/>
    <w:multiLevelType w:val="hybridMultilevel"/>
    <w:tmpl w:val="712AD944"/>
    <w:lvl w:ilvl="0" w:tplc="64E29676">
      <w:start w:val="1"/>
      <w:numFmt w:val="decimal"/>
      <w:lvlText w:val="(%1)"/>
      <w:lvlJc w:val="left"/>
      <w:pPr>
        <w:ind w:left="720" w:hanging="360"/>
      </w:pPr>
      <w:rPr>
        <w:rFonts w:hint="default"/>
      </w:rPr>
    </w:lvl>
    <w:lvl w:ilvl="1" w:tplc="0B287FDC">
      <w:start w:val="1"/>
      <w:numFmt w:val="decimal"/>
      <w:lvlText w:val="(%2)"/>
      <w:lvlJc w:val="left"/>
      <w:pPr>
        <w:ind w:left="1440" w:hanging="360"/>
      </w:pPr>
      <w:rPr>
        <w:rFonts w:hint="default"/>
        <w:b w:val="0"/>
      </w:rPr>
    </w:lvl>
    <w:lvl w:ilvl="2" w:tplc="A72CEA94">
      <w:start w:val="1"/>
      <w:numFmt w:val="lowerLetter"/>
      <w:lvlText w:val="%3)"/>
      <w:lvlJc w:val="lef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30F5942"/>
    <w:multiLevelType w:val="hybridMultilevel"/>
    <w:tmpl w:val="CDE203CE"/>
    <w:lvl w:ilvl="0" w:tplc="4AF63EBC">
      <w:start w:val="1"/>
      <w:numFmt w:val="lowerRoman"/>
      <w:lvlText w:val="(%1)"/>
      <w:lvlJc w:val="left"/>
      <w:pPr>
        <w:ind w:left="1146" w:hanging="360"/>
      </w:pPr>
      <w:rPr>
        <w:rFonts w:ascii="PermianSerifTypeface" w:eastAsiaTheme="minorHAnsi" w:hAnsi="PermianSerifTypeface" w:cstheme="minorBidi"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1" w15:restartNumberingAfterBreak="0">
    <w:nsid w:val="436A6E36"/>
    <w:multiLevelType w:val="hybridMultilevel"/>
    <w:tmpl w:val="07CA1170"/>
    <w:lvl w:ilvl="0" w:tplc="EE141C02">
      <w:start w:val="1"/>
      <w:numFmt w:val="decimal"/>
      <w:lvlText w:val="(%1)"/>
      <w:lvlJc w:val="left"/>
      <w:pPr>
        <w:ind w:left="1287" w:hanging="360"/>
      </w:pPr>
      <w:rPr>
        <w:rFonts w:eastAsiaTheme="minorHAnsi" w:hint="default"/>
        <w:i w:val="0"/>
        <w:color w:val="auto"/>
      </w:rPr>
    </w:lvl>
    <w:lvl w:ilvl="1" w:tplc="EE141C02">
      <w:start w:val="1"/>
      <w:numFmt w:val="decimal"/>
      <w:lvlText w:val="(%2)"/>
      <w:lvlJc w:val="left"/>
      <w:pPr>
        <w:ind w:left="2007" w:hanging="360"/>
      </w:pPr>
      <w:rPr>
        <w:rFonts w:eastAsiaTheme="minorHAnsi" w:hint="default"/>
        <w:i w:val="0"/>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2" w15:restartNumberingAfterBreak="0">
    <w:nsid w:val="43891A89"/>
    <w:multiLevelType w:val="hybridMultilevel"/>
    <w:tmpl w:val="18362A54"/>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20A2F36">
      <w:start w:val="1"/>
      <w:numFmt w:val="lowerRoman"/>
      <w:lvlText w:val="(%4)"/>
      <w:lvlJc w:val="right"/>
      <w:pPr>
        <w:ind w:left="3306" w:hanging="36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3" w15:restartNumberingAfterBreak="0">
    <w:nsid w:val="43931B34"/>
    <w:multiLevelType w:val="hybridMultilevel"/>
    <w:tmpl w:val="8A4CF7DC"/>
    <w:lvl w:ilvl="0" w:tplc="733C4AA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4" w15:restartNumberingAfterBreak="0">
    <w:nsid w:val="442B6E2F"/>
    <w:multiLevelType w:val="hybridMultilevel"/>
    <w:tmpl w:val="A390617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5" w15:restartNumberingAfterBreak="0">
    <w:nsid w:val="44687E16"/>
    <w:multiLevelType w:val="hybridMultilevel"/>
    <w:tmpl w:val="89C27CF2"/>
    <w:lvl w:ilvl="0" w:tplc="F63C23AA">
      <w:start w:val="1"/>
      <w:numFmt w:val="decimal"/>
      <w:lvlText w:val="(%1)"/>
      <w:lvlJc w:val="left"/>
      <w:pPr>
        <w:ind w:left="550" w:hanging="408"/>
      </w:pPr>
      <w:rPr>
        <w:rFonts w:eastAsiaTheme="minorHAnsi" w:hint="default"/>
        <w:i w:val="0"/>
        <w:color w:val="auto"/>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66" w15:restartNumberingAfterBreak="0">
    <w:nsid w:val="44C50CC8"/>
    <w:multiLevelType w:val="hybridMultilevel"/>
    <w:tmpl w:val="6CCA0EC0"/>
    <w:lvl w:ilvl="0" w:tplc="F12A8A6A">
      <w:start w:val="1"/>
      <w:numFmt w:val="lowerLetter"/>
      <w:lvlText w:val="%1)"/>
      <w:lvlJc w:val="left"/>
      <w:pPr>
        <w:ind w:left="114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C580635E">
      <w:start w:val="1"/>
      <w:numFmt w:val="lowerLetter"/>
      <w:lvlText w:val="%2)"/>
      <w:lvlJc w:val="left"/>
      <w:pPr>
        <w:ind w:left="900" w:hanging="360"/>
      </w:pPr>
      <w:rPr>
        <w:rFonts w:hint="default"/>
        <w:color w:val="auto"/>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67" w15:restartNumberingAfterBreak="0">
    <w:nsid w:val="44EC4A7C"/>
    <w:multiLevelType w:val="hybridMultilevel"/>
    <w:tmpl w:val="52305E7A"/>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8" w15:restartNumberingAfterBreak="0">
    <w:nsid w:val="45050282"/>
    <w:multiLevelType w:val="hybridMultilevel"/>
    <w:tmpl w:val="9D4E383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9" w15:restartNumberingAfterBreak="0">
    <w:nsid w:val="450B08D0"/>
    <w:multiLevelType w:val="hybridMultilevel"/>
    <w:tmpl w:val="CE981FC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0" w15:restartNumberingAfterBreak="0">
    <w:nsid w:val="45290B5D"/>
    <w:multiLevelType w:val="hybridMultilevel"/>
    <w:tmpl w:val="B11AB57C"/>
    <w:lvl w:ilvl="0" w:tplc="0026E9EE">
      <w:start w:val="1"/>
      <w:numFmt w:val="lowerRoman"/>
      <w:lvlText w:val="(%1)"/>
      <w:lvlJc w:val="left"/>
      <w:pPr>
        <w:ind w:left="1004" w:hanging="360"/>
      </w:pPr>
      <w:rPr>
        <w:rFonts w:ascii="PermianSerifTypeface" w:eastAsiaTheme="minorHAnsi" w:hAnsi="PermianSerifTypeface"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1" w15:restartNumberingAfterBreak="0">
    <w:nsid w:val="463B16BC"/>
    <w:multiLevelType w:val="hybridMultilevel"/>
    <w:tmpl w:val="92FA16E2"/>
    <w:lvl w:ilvl="0" w:tplc="74B834CC">
      <w:start w:val="1"/>
      <w:numFmt w:val="lowerRoman"/>
      <w:lvlText w:val="(%1)"/>
      <w:lvlJc w:val="right"/>
      <w:pPr>
        <w:ind w:left="1146" w:hanging="360"/>
      </w:pPr>
      <w:rPr>
        <w:rFonts w:ascii="PermianSerifTypeface" w:eastAsia="Times New Roman" w:hAnsi="PermianSerifTypeface" w:cs="Arial"/>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74B834CC">
      <w:start w:val="1"/>
      <w:numFmt w:val="lowerRoman"/>
      <w:lvlText w:val="(%4)"/>
      <w:lvlJc w:val="right"/>
      <w:pPr>
        <w:ind w:left="720" w:hanging="360"/>
      </w:pPr>
      <w:rPr>
        <w:rFonts w:ascii="PermianSerifTypeface" w:eastAsia="Times New Roman" w:hAnsi="PermianSerifTypeface" w:cs="Arial"/>
      </w:r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72" w15:restartNumberingAfterBreak="0">
    <w:nsid w:val="46BC57BF"/>
    <w:multiLevelType w:val="hybridMultilevel"/>
    <w:tmpl w:val="CFBE4B4C"/>
    <w:lvl w:ilvl="0" w:tplc="9B0A4AD2">
      <w:start w:val="1"/>
      <w:numFmt w:val="decimal"/>
      <w:lvlText w:val="(%1)"/>
      <w:lvlJc w:val="left"/>
      <w:pPr>
        <w:ind w:left="1146" w:hanging="360"/>
      </w:pPr>
      <w:rPr>
        <w:rFonts w:hint="default"/>
        <w:i w:val="0"/>
        <w:color w:val="auto"/>
      </w:rPr>
    </w:lvl>
    <w:lvl w:ilvl="1" w:tplc="9B0A4AD2">
      <w:start w:val="1"/>
      <w:numFmt w:val="decimal"/>
      <w:lvlText w:val="(%2)"/>
      <w:lvlJc w:val="left"/>
      <w:pPr>
        <w:ind w:left="1146" w:hanging="360"/>
      </w:pPr>
      <w:rPr>
        <w:rFonts w:hint="default"/>
        <w:i w:val="0"/>
        <w:color w:val="auto"/>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73" w15:restartNumberingAfterBreak="0">
    <w:nsid w:val="46FA33A1"/>
    <w:multiLevelType w:val="hybridMultilevel"/>
    <w:tmpl w:val="B7D4E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722375C"/>
    <w:multiLevelType w:val="hybridMultilevel"/>
    <w:tmpl w:val="F82E863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5" w15:restartNumberingAfterBreak="0">
    <w:nsid w:val="472D5A41"/>
    <w:multiLevelType w:val="hybridMultilevel"/>
    <w:tmpl w:val="62EE99FA"/>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76" w15:restartNumberingAfterBreak="0">
    <w:nsid w:val="4761140B"/>
    <w:multiLevelType w:val="hybridMultilevel"/>
    <w:tmpl w:val="E626EEF0"/>
    <w:lvl w:ilvl="0" w:tplc="9B0A4AD2">
      <w:start w:val="1"/>
      <w:numFmt w:val="decimal"/>
      <w:lvlText w:val="(%1)"/>
      <w:lvlJc w:val="left"/>
      <w:pPr>
        <w:ind w:left="1287" w:hanging="360"/>
      </w:pPr>
      <w:rPr>
        <w:rFonts w:hint="default"/>
        <w:i w:val="0"/>
        <w:color w:val="auto"/>
      </w:rPr>
    </w:lvl>
    <w:lvl w:ilvl="1" w:tplc="EE141C02">
      <w:start w:val="1"/>
      <w:numFmt w:val="decimal"/>
      <w:lvlText w:val="(%2)"/>
      <w:lvlJc w:val="left"/>
      <w:pPr>
        <w:ind w:left="1070" w:hanging="360"/>
      </w:pPr>
      <w:rPr>
        <w:rFonts w:eastAsiaTheme="minorHAnsi" w:hint="default"/>
        <w:i w:val="0"/>
        <w:color w:val="auto"/>
      </w:rPr>
    </w:lvl>
    <w:lvl w:ilvl="2" w:tplc="02E21882">
      <w:start w:val="1"/>
      <w:numFmt w:val="lowerLetter"/>
      <w:lvlText w:val="%3)"/>
      <w:lvlJc w:val="left"/>
      <w:pPr>
        <w:ind w:left="2727" w:hanging="180"/>
      </w:pPr>
      <w:rPr>
        <w:sz w:val="22"/>
        <w:szCs w:val="22"/>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7" w15:restartNumberingAfterBreak="0">
    <w:nsid w:val="4773461C"/>
    <w:multiLevelType w:val="hybridMultilevel"/>
    <w:tmpl w:val="1640D300"/>
    <w:lvl w:ilvl="0" w:tplc="8FAA0250">
      <w:start w:val="1"/>
      <w:numFmt w:val="decimal"/>
      <w:lvlText w:val="(%1)"/>
      <w:lvlJc w:val="left"/>
      <w:pPr>
        <w:ind w:left="1260"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1EE4944A">
      <w:start w:val="1"/>
      <w:numFmt w:val="decimal"/>
      <w:lvlText w:val="(%2)"/>
      <w:lvlJc w:val="left"/>
      <w:pPr>
        <w:ind w:left="1980"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8" w15:restartNumberingAfterBreak="0">
    <w:nsid w:val="47A4269D"/>
    <w:multiLevelType w:val="hybridMultilevel"/>
    <w:tmpl w:val="9F18F490"/>
    <w:lvl w:ilvl="0" w:tplc="E4EE11E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82440CC"/>
    <w:multiLevelType w:val="hybridMultilevel"/>
    <w:tmpl w:val="6E68E418"/>
    <w:lvl w:ilvl="0" w:tplc="335EF5DC">
      <w:start w:val="1"/>
      <w:numFmt w:val="lowerLetter"/>
      <w:lvlText w:val="%1)"/>
      <w:lvlJc w:val="left"/>
      <w:pPr>
        <w:ind w:left="1146" w:hanging="360"/>
      </w:pPr>
      <w:rPr>
        <w:rFonts w:asciiTheme="minorHAnsi" w:eastAsiaTheme="minorHAnsi" w:hAnsiTheme="minorHAnsi" w:cstheme="minorBidi"/>
      </w:rPr>
    </w:lvl>
    <w:lvl w:ilvl="1" w:tplc="64E29676">
      <w:start w:val="1"/>
      <w:numFmt w:val="decimal"/>
      <w:lvlText w:val="(%2)"/>
      <w:lvlJc w:val="left"/>
      <w:pPr>
        <w:ind w:left="1866" w:hanging="360"/>
      </w:pPr>
      <w:rPr>
        <w:rFonts w:hint="default"/>
      </w:rPr>
    </w:lvl>
    <w:lvl w:ilvl="2" w:tplc="04090017">
      <w:start w:val="1"/>
      <w:numFmt w:val="lowerLetter"/>
      <w:lvlText w:val="%3)"/>
      <w:lvlJc w:val="left"/>
      <w:pPr>
        <w:ind w:left="2586" w:hanging="180"/>
      </w:pPr>
    </w:lvl>
    <w:lvl w:ilvl="3" w:tplc="EE98F1E0">
      <w:start w:val="1"/>
      <w:numFmt w:val="lowerRoman"/>
      <w:lvlText w:val="(%4)"/>
      <w:lvlJc w:val="left"/>
      <w:pPr>
        <w:ind w:left="3306" w:hanging="360"/>
      </w:pPr>
      <w:rPr>
        <w:rFonts w:ascii="PermianSerifTypeface" w:eastAsiaTheme="minorHAnsi" w:hAnsi="PermianSerifTypeface" w:cstheme="minorBidi"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0" w15:restartNumberingAfterBreak="0">
    <w:nsid w:val="482F6F20"/>
    <w:multiLevelType w:val="hybridMultilevel"/>
    <w:tmpl w:val="CBF6503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090017">
      <w:start w:val="1"/>
      <w:numFmt w:val="lowerLetter"/>
      <w:lvlText w:val="%3)"/>
      <w:lvlJc w:val="left"/>
      <w:pPr>
        <w:ind w:left="36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1" w15:restartNumberingAfterBreak="0">
    <w:nsid w:val="48B10423"/>
    <w:multiLevelType w:val="hybridMultilevel"/>
    <w:tmpl w:val="3252D98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2" w15:restartNumberingAfterBreak="0">
    <w:nsid w:val="49260741"/>
    <w:multiLevelType w:val="hybridMultilevel"/>
    <w:tmpl w:val="BCE639C0"/>
    <w:lvl w:ilvl="0" w:tplc="F18C261E">
      <w:start w:val="1"/>
      <w:numFmt w:val="decimal"/>
      <w:lvlText w:val="(%1)"/>
      <w:lvlJc w:val="left"/>
      <w:pPr>
        <w:ind w:left="1146" w:hanging="360"/>
      </w:pPr>
      <w:rPr>
        <w:rFonts w:hint="default"/>
        <w:color w:val="000000" w:themeColor="text1"/>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3" w15:restartNumberingAfterBreak="0">
    <w:nsid w:val="498F2C63"/>
    <w:multiLevelType w:val="hybridMultilevel"/>
    <w:tmpl w:val="DE6214A4"/>
    <w:lvl w:ilvl="0" w:tplc="EBA23626">
      <w:start w:val="1"/>
      <w:numFmt w:val="decimal"/>
      <w:lvlText w:val="%1)"/>
      <w:lvlJc w:val="left"/>
      <w:pPr>
        <w:ind w:left="786" w:hanging="360"/>
      </w:pPr>
      <w:rPr>
        <w:rFonts w:hint="default"/>
        <w:i w:val="0"/>
        <w:iCs w:val="0"/>
        <w:color w:val="auto"/>
      </w:rPr>
    </w:lvl>
    <w:lvl w:ilvl="1" w:tplc="38F2FD42">
      <w:start w:val="1"/>
      <w:numFmt w:val="lowerLetter"/>
      <w:lvlText w:val="%2)"/>
      <w:lvlJc w:val="left"/>
      <w:pPr>
        <w:ind w:left="786"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E64A5E88">
      <w:start w:val="1"/>
      <w:numFmt w:val="lowerLetter"/>
      <w:lvlText w:val="%3)"/>
      <w:lvlJc w:val="left"/>
      <w:pPr>
        <w:ind w:left="2198" w:hanging="360"/>
      </w:pPr>
      <w:rPr>
        <w:rFonts w:hint="default"/>
      </w:rPr>
    </w:lvl>
    <w:lvl w:ilvl="3" w:tplc="2B34CC20">
      <w:start w:val="1"/>
      <w:numFmt w:val="lowerLetter"/>
      <w:lvlText w:val="%4)"/>
      <w:lvlJc w:val="left"/>
      <w:pPr>
        <w:ind w:left="3098" w:hanging="720"/>
      </w:pPr>
      <w:rPr>
        <w:rFonts w:ascii="PermianSerifTypeface" w:eastAsia="Times New Roman" w:hAnsi="PermianSerifTypeface" w:cs="Arial"/>
      </w:rPr>
    </w:lvl>
    <w:lvl w:ilvl="4" w:tplc="368E4BB6">
      <w:start w:val="1"/>
      <w:numFmt w:val="lowerRoman"/>
      <w:lvlText w:val="(%5)"/>
      <w:lvlJc w:val="left"/>
      <w:pPr>
        <w:ind w:left="3818" w:hanging="720"/>
      </w:pPr>
      <w:rPr>
        <w:rFonts w:hint="default"/>
      </w:rPr>
    </w:lvl>
    <w:lvl w:ilvl="5" w:tplc="0818001B" w:tentative="1">
      <w:start w:val="1"/>
      <w:numFmt w:val="lowerRoman"/>
      <w:lvlText w:val="%6."/>
      <w:lvlJc w:val="right"/>
      <w:pPr>
        <w:ind w:left="4178" w:hanging="180"/>
      </w:pPr>
    </w:lvl>
    <w:lvl w:ilvl="6" w:tplc="0818000F" w:tentative="1">
      <w:start w:val="1"/>
      <w:numFmt w:val="decimal"/>
      <w:lvlText w:val="%7."/>
      <w:lvlJc w:val="left"/>
      <w:pPr>
        <w:ind w:left="4898" w:hanging="360"/>
      </w:pPr>
    </w:lvl>
    <w:lvl w:ilvl="7" w:tplc="08180019" w:tentative="1">
      <w:start w:val="1"/>
      <w:numFmt w:val="lowerLetter"/>
      <w:lvlText w:val="%8."/>
      <w:lvlJc w:val="left"/>
      <w:pPr>
        <w:ind w:left="5618" w:hanging="360"/>
      </w:pPr>
    </w:lvl>
    <w:lvl w:ilvl="8" w:tplc="0818001B" w:tentative="1">
      <w:start w:val="1"/>
      <w:numFmt w:val="lowerRoman"/>
      <w:lvlText w:val="%9."/>
      <w:lvlJc w:val="right"/>
      <w:pPr>
        <w:ind w:left="6338" w:hanging="180"/>
      </w:pPr>
    </w:lvl>
  </w:abstractNum>
  <w:abstractNum w:abstractNumId="284" w15:restartNumberingAfterBreak="0">
    <w:nsid w:val="4A091132"/>
    <w:multiLevelType w:val="hybridMultilevel"/>
    <w:tmpl w:val="AB568C3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5" w15:restartNumberingAfterBreak="0">
    <w:nsid w:val="4A224925"/>
    <w:multiLevelType w:val="hybridMultilevel"/>
    <w:tmpl w:val="3B0C89DA"/>
    <w:lvl w:ilvl="0" w:tplc="ED5438AA">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6" w15:restartNumberingAfterBreak="0">
    <w:nsid w:val="4A4043DB"/>
    <w:multiLevelType w:val="hybridMultilevel"/>
    <w:tmpl w:val="85CA1352"/>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17">
      <w:start w:val="1"/>
      <w:numFmt w:val="lowerLetter"/>
      <w:lvlText w:val="%4)"/>
      <w:lvlJc w:val="left"/>
      <w:pPr>
        <w:ind w:left="720"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87" w15:restartNumberingAfterBreak="0">
    <w:nsid w:val="4A4C04C7"/>
    <w:multiLevelType w:val="hybridMultilevel"/>
    <w:tmpl w:val="317E06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F20A2F36">
      <w:start w:val="1"/>
      <w:numFmt w:val="lowerRoman"/>
      <w:lvlText w:val="(%3)"/>
      <w:lvlJc w:val="right"/>
      <w:pPr>
        <w:ind w:left="322" w:hanging="18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8" w15:restartNumberingAfterBreak="0">
    <w:nsid w:val="4A7649D7"/>
    <w:multiLevelType w:val="hybridMultilevel"/>
    <w:tmpl w:val="B99E503E"/>
    <w:lvl w:ilvl="0" w:tplc="64E29676">
      <w:start w:val="1"/>
      <w:numFmt w:val="decimal"/>
      <w:lvlText w:val="(%1)"/>
      <w:lvlJc w:val="left"/>
      <w:pPr>
        <w:ind w:left="1146" w:hanging="360"/>
      </w:pPr>
      <w:rPr>
        <w:rFonts w:hint="default"/>
      </w:rPr>
    </w:lvl>
    <w:lvl w:ilvl="1" w:tplc="64E2967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9" w15:restartNumberingAfterBreak="0">
    <w:nsid w:val="4A9D21C9"/>
    <w:multiLevelType w:val="hybridMultilevel"/>
    <w:tmpl w:val="96907EF6"/>
    <w:lvl w:ilvl="0" w:tplc="08180017">
      <w:start w:val="1"/>
      <w:numFmt w:val="lowerLetter"/>
      <w:lvlText w:val="%1)"/>
      <w:lvlJc w:val="left"/>
      <w:pPr>
        <w:ind w:left="928" w:hanging="360"/>
      </w:p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290" w15:restartNumberingAfterBreak="0">
    <w:nsid w:val="4AAD1C6D"/>
    <w:multiLevelType w:val="hybridMultilevel"/>
    <w:tmpl w:val="51302BB6"/>
    <w:lvl w:ilvl="0" w:tplc="43CEBFDC">
      <w:start w:val="1"/>
      <w:numFmt w:val="decimal"/>
      <w:lvlText w:val="(%1)"/>
      <w:lvlJc w:val="left"/>
      <w:pPr>
        <w:ind w:left="1080" w:hanging="360"/>
      </w:pPr>
      <w:rPr>
        <w:rFonts w:hint="default"/>
        <w:b w:val="0"/>
        <w:bCs/>
        <w:i w:val="0"/>
        <w:color w:val="aut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91" w15:restartNumberingAfterBreak="0">
    <w:nsid w:val="4AC40973"/>
    <w:multiLevelType w:val="hybridMultilevel"/>
    <w:tmpl w:val="9C9EE00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0BA3640">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2" w15:restartNumberingAfterBreak="0">
    <w:nsid w:val="4AD16F7B"/>
    <w:multiLevelType w:val="hybridMultilevel"/>
    <w:tmpl w:val="981AA21E"/>
    <w:lvl w:ilvl="0" w:tplc="FFFFFFFF">
      <w:start w:val="1"/>
      <w:numFmt w:val="lowerRoman"/>
      <w:lvlText w:val="(%1)"/>
      <w:lvlJc w:val="left"/>
      <w:pPr>
        <w:ind w:left="1146" w:hanging="360"/>
      </w:pPr>
      <w:rPr>
        <w:rFonts w:ascii="PermianSerifTypeface" w:eastAsiaTheme="minorHAnsi" w:hAnsi="PermianSerifTypeface" w:cs="Arial"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71788BD0">
      <w:start w:val="1"/>
      <w:numFmt w:val="lowerLetter"/>
      <w:lvlText w:val="%4)"/>
      <w:lvlJc w:val="left"/>
      <w:pPr>
        <w:ind w:left="64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93" w15:restartNumberingAfterBreak="0">
    <w:nsid w:val="4AE85DAF"/>
    <w:multiLevelType w:val="hybridMultilevel"/>
    <w:tmpl w:val="80E41C2C"/>
    <w:lvl w:ilvl="0" w:tplc="04090017">
      <w:start w:val="1"/>
      <w:numFmt w:val="lowerLetter"/>
      <w:lvlText w:val="%1)"/>
      <w:lvlJc w:val="left"/>
      <w:pPr>
        <w:ind w:left="322" w:hanging="18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4" w15:restartNumberingAfterBreak="0">
    <w:nsid w:val="4B8E389B"/>
    <w:multiLevelType w:val="hybridMultilevel"/>
    <w:tmpl w:val="D06AF278"/>
    <w:lvl w:ilvl="0" w:tplc="64E29676">
      <w:start w:val="1"/>
      <w:numFmt w:val="decimal"/>
      <w:lvlText w:val="(%1)"/>
      <w:lvlJc w:val="left"/>
      <w:pPr>
        <w:ind w:left="1287" w:hanging="360"/>
      </w:pPr>
      <w:rPr>
        <w:rFonts w:hint="default"/>
      </w:rPr>
    </w:lvl>
    <w:lvl w:ilvl="1" w:tplc="8FCAC04C">
      <w:start w:val="1"/>
      <w:numFmt w:val="decimal"/>
      <w:lvlText w:val="(%2)"/>
      <w:lvlJc w:val="left"/>
      <w:pPr>
        <w:ind w:left="4330" w:hanging="36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5" w15:restartNumberingAfterBreak="0">
    <w:nsid w:val="4B956985"/>
    <w:multiLevelType w:val="hybridMultilevel"/>
    <w:tmpl w:val="9C74B5F4"/>
    <w:lvl w:ilvl="0" w:tplc="A6208320">
      <w:start w:val="1"/>
      <w:numFmt w:val="decimal"/>
      <w:lvlText w:val="(%1)"/>
      <w:lvlJc w:val="left"/>
      <w:pPr>
        <w:ind w:left="993" w:hanging="360"/>
      </w:pPr>
      <w:rPr>
        <w:rFonts w:hint="default"/>
      </w:rPr>
    </w:lvl>
    <w:lvl w:ilvl="1" w:tplc="08180019" w:tentative="1">
      <w:start w:val="1"/>
      <w:numFmt w:val="lowerLetter"/>
      <w:lvlText w:val="%2."/>
      <w:lvlJc w:val="left"/>
      <w:pPr>
        <w:ind w:left="1713" w:hanging="360"/>
      </w:pPr>
    </w:lvl>
    <w:lvl w:ilvl="2" w:tplc="0818001B" w:tentative="1">
      <w:start w:val="1"/>
      <w:numFmt w:val="lowerRoman"/>
      <w:lvlText w:val="%3."/>
      <w:lvlJc w:val="right"/>
      <w:pPr>
        <w:ind w:left="2433" w:hanging="180"/>
      </w:pPr>
    </w:lvl>
    <w:lvl w:ilvl="3" w:tplc="0818000F" w:tentative="1">
      <w:start w:val="1"/>
      <w:numFmt w:val="decimal"/>
      <w:lvlText w:val="%4."/>
      <w:lvlJc w:val="left"/>
      <w:pPr>
        <w:ind w:left="3153" w:hanging="360"/>
      </w:pPr>
    </w:lvl>
    <w:lvl w:ilvl="4" w:tplc="08180019" w:tentative="1">
      <w:start w:val="1"/>
      <w:numFmt w:val="lowerLetter"/>
      <w:lvlText w:val="%5."/>
      <w:lvlJc w:val="left"/>
      <w:pPr>
        <w:ind w:left="3873" w:hanging="360"/>
      </w:pPr>
    </w:lvl>
    <w:lvl w:ilvl="5" w:tplc="0818001B" w:tentative="1">
      <w:start w:val="1"/>
      <w:numFmt w:val="lowerRoman"/>
      <w:lvlText w:val="%6."/>
      <w:lvlJc w:val="right"/>
      <w:pPr>
        <w:ind w:left="4593" w:hanging="180"/>
      </w:pPr>
    </w:lvl>
    <w:lvl w:ilvl="6" w:tplc="0818000F" w:tentative="1">
      <w:start w:val="1"/>
      <w:numFmt w:val="decimal"/>
      <w:lvlText w:val="%7."/>
      <w:lvlJc w:val="left"/>
      <w:pPr>
        <w:ind w:left="5313" w:hanging="360"/>
      </w:pPr>
    </w:lvl>
    <w:lvl w:ilvl="7" w:tplc="08180019" w:tentative="1">
      <w:start w:val="1"/>
      <w:numFmt w:val="lowerLetter"/>
      <w:lvlText w:val="%8."/>
      <w:lvlJc w:val="left"/>
      <w:pPr>
        <w:ind w:left="6033" w:hanging="360"/>
      </w:pPr>
    </w:lvl>
    <w:lvl w:ilvl="8" w:tplc="0818001B" w:tentative="1">
      <w:start w:val="1"/>
      <w:numFmt w:val="lowerRoman"/>
      <w:lvlText w:val="%9."/>
      <w:lvlJc w:val="right"/>
      <w:pPr>
        <w:ind w:left="6753" w:hanging="180"/>
      </w:pPr>
    </w:lvl>
  </w:abstractNum>
  <w:abstractNum w:abstractNumId="296" w15:restartNumberingAfterBreak="0">
    <w:nsid w:val="4BDF69AC"/>
    <w:multiLevelType w:val="hybridMultilevel"/>
    <w:tmpl w:val="B590087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7">
      <w:start w:val="1"/>
      <w:numFmt w:val="lowerLetter"/>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7" w15:restartNumberingAfterBreak="0">
    <w:nsid w:val="4C00581E"/>
    <w:multiLevelType w:val="hybridMultilevel"/>
    <w:tmpl w:val="7558134A"/>
    <w:lvl w:ilvl="0" w:tplc="9E76988C">
      <w:start w:val="1"/>
      <w:numFmt w:val="decimal"/>
      <w:lvlText w:val="(%1)"/>
      <w:lvlJc w:val="left"/>
      <w:pPr>
        <w:ind w:left="114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98" w15:restartNumberingAfterBreak="0">
    <w:nsid w:val="4D6E4D57"/>
    <w:multiLevelType w:val="hybridMultilevel"/>
    <w:tmpl w:val="BEF8B124"/>
    <w:lvl w:ilvl="0" w:tplc="6836632C">
      <w:start w:val="1"/>
      <w:numFmt w:val="lowerLetter"/>
      <w:lvlText w:val="%1)"/>
      <w:lvlJc w:val="left"/>
      <w:pPr>
        <w:ind w:left="1146" w:hanging="360"/>
      </w:pPr>
      <w:rPr>
        <w:b w:val="0"/>
        <w:bCs/>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299" w15:restartNumberingAfterBreak="0">
    <w:nsid w:val="4D7F33C0"/>
    <w:multiLevelType w:val="hybridMultilevel"/>
    <w:tmpl w:val="32AAFAE4"/>
    <w:lvl w:ilvl="0" w:tplc="675EE0FA">
      <w:start w:val="1"/>
      <w:numFmt w:val="lowerLetter"/>
      <w:lvlText w:val="%1)"/>
      <w:lvlJc w:val="left"/>
      <w:pPr>
        <w:ind w:left="1146"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00" w15:restartNumberingAfterBreak="0">
    <w:nsid w:val="4DB84FF5"/>
    <w:multiLevelType w:val="hybridMultilevel"/>
    <w:tmpl w:val="4870428C"/>
    <w:lvl w:ilvl="0" w:tplc="3FFE40A6">
      <w:start w:val="1"/>
      <w:numFmt w:val="lowerLetter"/>
      <w:lvlText w:val="%1)"/>
      <w:lvlJc w:val="left"/>
      <w:pPr>
        <w:ind w:left="720" w:hanging="360"/>
      </w:pPr>
      <w:rPr>
        <w:rFonts w:ascii="PermianSerifTypeface" w:eastAsiaTheme="minorHAnsi" w:hAnsi="PermianSerifTypeface" w:cstheme="min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18365D"/>
    <w:multiLevelType w:val="hybridMultilevel"/>
    <w:tmpl w:val="90BC13C2"/>
    <w:lvl w:ilvl="0" w:tplc="FFFFFFFF">
      <w:start w:val="1"/>
      <w:numFmt w:val="decimal"/>
      <w:lvlText w:val="%1)"/>
      <w:lvlJc w:val="left"/>
      <w:pPr>
        <w:ind w:left="1146" w:hanging="360"/>
      </w:pPr>
    </w:lvl>
    <w:lvl w:ilvl="1" w:tplc="0818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2" w15:restartNumberingAfterBreak="0">
    <w:nsid w:val="4F006999"/>
    <w:multiLevelType w:val="hybridMultilevel"/>
    <w:tmpl w:val="E098A8E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CD408776">
      <w:start w:val="1"/>
      <w:numFmt w:val="lowerLetter"/>
      <w:lvlText w:val="%3)"/>
      <w:lvlJc w:val="left"/>
      <w:pPr>
        <w:ind w:left="2586" w:hanging="180"/>
      </w:pPr>
      <w:rPr>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3" w15:restartNumberingAfterBreak="0">
    <w:nsid w:val="4F437265"/>
    <w:multiLevelType w:val="hybridMultilevel"/>
    <w:tmpl w:val="AE22EA2E"/>
    <w:lvl w:ilvl="0" w:tplc="08180017">
      <w:start w:val="1"/>
      <w:numFmt w:val="lowerLetter"/>
      <w:lvlText w:val="%1)"/>
      <w:lvlJc w:val="left"/>
      <w:pPr>
        <w:ind w:left="1146" w:hanging="360"/>
      </w:pPr>
    </w:lvl>
    <w:lvl w:ilvl="1" w:tplc="08180017">
      <w:start w:val="1"/>
      <w:numFmt w:val="lowerLetter"/>
      <w:lvlText w:val="%2)"/>
      <w:lvlJc w:val="left"/>
      <w:pPr>
        <w:ind w:left="928"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04" w15:restartNumberingAfterBreak="0">
    <w:nsid w:val="4F646606"/>
    <w:multiLevelType w:val="hybridMultilevel"/>
    <w:tmpl w:val="F09404C6"/>
    <w:lvl w:ilvl="0" w:tplc="9B0A4AD2">
      <w:start w:val="1"/>
      <w:numFmt w:val="decimal"/>
      <w:lvlText w:val="(%1)"/>
      <w:lvlJc w:val="left"/>
      <w:pPr>
        <w:ind w:left="1428" w:hanging="360"/>
      </w:pPr>
      <w:rPr>
        <w:rFonts w:hint="default"/>
        <w:i w:val="0"/>
        <w:color w:val="auto"/>
      </w:rPr>
    </w:lvl>
    <w:lvl w:ilvl="1" w:tplc="9B0A4AD2">
      <w:start w:val="1"/>
      <w:numFmt w:val="decimal"/>
      <w:lvlText w:val="(%2)"/>
      <w:lvlJc w:val="left"/>
      <w:pPr>
        <w:ind w:left="2148" w:hanging="360"/>
      </w:pPr>
      <w:rPr>
        <w:rFonts w:hint="default"/>
        <w:i w:val="0"/>
        <w:color w:val="auto"/>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5" w15:restartNumberingAfterBreak="0">
    <w:nsid w:val="4F68033E"/>
    <w:multiLevelType w:val="hybridMultilevel"/>
    <w:tmpl w:val="32902634"/>
    <w:lvl w:ilvl="0" w:tplc="9B0A4AD2">
      <w:start w:val="1"/>
      <w:numFmt w:val="decimal"/>
      <w:lvlText w:val="(%1)"/>
      <w:lvlJc w:val="left"/>
      <w:pPr>
        <w:ind w:left="1287" w:hanging="360"/>
      </w:pPr>
      <w:rPr>
        <w:rFonts w:hint="default"/>
        <w:i w:val="0"/>
        <w:color w:val="auto"/>
      </w:rPr>
    </w:lvl>
    <w:lvl w:ilvl="1" w:tplc="979E25CE">
      <w:start w:val="1"/>
      <w:numFmt w:val="decimal"/>
      <w:lvlText w:val="(%2)"/>
      <w:lvlJc w:val="left"/>
      <w:pPr>
        <w:ind w:left="2007" w:hanging="360"/>
      </w:pPr>
      <w:rPr>
        <w:rFonts w:hint="default"/>
        <w:i w:val="0"/>
        <w:color w:val="auto"/>
      </w:rPr>
    </w:lvl>
    <w:lvl w:ilvl="2" w:tplc="E912E48E">
      <w:start w:val="1"/>
      <w:numFmt w:val="lowerLetter"/>
      <w:lvlText w:val="%3)"/>
      <w:lvlJc w:val="left"/>
      <w:pPr>
        <w:ind w:left="2727" w:hanging="180"/>
      </w:pPr>
      <w:rPr>
        <w:color w:val="auto"/>
      </w:rPr>
    </w:lvl>
    <w:lvl w:ilvl="3" w:tplc="7618FBC4">
      <w:start w:val="1"/>
      <w:numFmt w:val="lowerRoman"/>
      <w:lvlText w:val="(%4)"/>
      <w:lvlJc w:val="left"/>
      <w:pPr>
        <w:ind w:left="3447" w:hanging="360"/>
      </w:pPr>
      <w:rPr>
        <w:rFonts w:hint="default"/>
        <w:color w:val="auto"/>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6" w15:restartNumberingAfterBreak="0">
    <w:nsid w:val="50231958"/>
    <w:multiLevelType w:val="hybridMultilevel"/>
    <w:tmpl w:val="62A27862"/>
    <w:lvl w:ilvl="0" w:tplc="92F2B708">
      <w:start w:val="1"/>
      <w:numFmt w:val="lowerLetter"/>
      <w:lvlText w:val="%1)"/>
      <w:lvlJc w:val="left"/>
      <w:pPr>
        <w:ind w:left="1287"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2007" w:hanging="360"/>
      </w:pPr>
    </w:lvl>
    <w:lvl w:ilvl="2" w:tplc="E3FA9ACA">
      <w:start w:val="1"/>
      <w:numFmt w:val="lowerLetter"/>
      <w:lvlText w:val="%3)"/>
      <w:lvlJc w:val="left"/>
      <w:pPr>
        <w:ind w:left="2727" w:hanging="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7" w15:restartNumberingAfterBreak="0">
    <w:nsid w:val="50313142"/>
    <w:multiLevelType w:val="hybridMultilevel"/>
    <w:tmpl w:val="50903BEA"/>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start w:val="1"/>
      <w:numFmt w:val="lowerRoman"/>
      <w:lvlText w:val="%3."/>
      <w:lvlJc w:val="right"/>
      <w:pPr>
        <w:ind w:left="2586" w:hanging="180"/>
      </w:pPr>
    </w:lvl>
    <w:lvl w:ilvl="3" w:tplc="08180017">
      <w:start w:val="1"/>
      <w:numFmt w:val="lowerLetter"/>
      <w:lvlText w:val="%4)"/>
      <w:lvlJc w:val="left"/>
      <w:pPr>
        <w:ind w:left="928"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08" w15:restartNumberingAfterBreak="0">
    <w:nsid w:val="509A7A33"/>
    <w:multiLevelType w:val="hybridMultilevel"/>
    <w:tmpl w:val="AA24DCBC"/>
    <w:lvl w:ilvl="0" w:tplc="64E29676">
      <w:start w:val="1"/>
      <w:numFmt w:val="decimal"/>
      <w:lvlText w:val="(%1)"/>
      <w:lvlJc w:val="left"/>
      <w:pPr>
        <w:ind w:left="1287" w:hanging="360"/>
      </w:pPr>
      <w:rPr>
        <w:rFonts w:hint="default"/>
      </w:rPr>
    </w:lvl>
    <w:lvl w:ilvl="1" w:tplc="7D328ABC">
      <w:start w:val="1"/>
      <w:numFmt w:val="decimal"/>
      <w:lvlText w:val="(%2)"/>
      <w:lvlJc w:val="left"/>
      <w:pPr>
        <w:ind w:left="1866"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9" w15:restartNumberingAfterBreak="0">
    <w:nsid w:val="50DA7A71"/>
    <w:multiLevelType w:val="hybridMultilevel"/>
    <w:tmpl w:val="1FE8886A"/>
    <w:lvl w:ilvl="0" w:tplc="04090017">
      <w:start w:val="1"/>
      <w:numFmt w:val="lowerLetter"/>
      <w:lvlText w:val="%1)"/>
      <w:lvlJc w:val="left"/>
      <w:pPr>
        <w:ind w:left="720" w:hanging="360"/>
      </w:pPr>
    </w:lvl>
    <w:lvl w:ilvl="1" w:tplc="2EC80D7A">
      <w:start w:val="1"/>
      <w:numFmt w:val="decimal"/>
      <w:lvlText w:val="(%2)"/>
      <w:lvlJc w:val="left"/>
      <w:pPr>
        <w:ind w:left="1440" w:hanging="360"/>
      </w:pPr>
      <w:rPr>
        <w:rFonts w:eastAsiaTheme="minorHAnsi" w:cstheme="minorBidi" w:hint="default"/>
        <w:i w:val="0"/>
        <w:color w:val="auto"/>
      </w:rPr>
    </w:lvl>
    <w:lvl w:ilvl="2" w:tplc="C7C2F7B8">
      <w:start w:val="1"/>
      <w:numFmt w:val="lowerLetter"/>
      <w:lvlText w:val="%3)"/>
      <w:lvlJc w:val="left"/>
      <w:pPr>
        <w:ind w:left="18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13A66C1"/>
    <w:multiLevelType w:val="hybridMultilevel"/>
    <w:tmpl w:val="8B18B60E"/>
    <w:lvl w:ilvl="0" w:tplc="9B0A4AD2">
      <w:start w:val="1"/>
      <w:numFmt w:val="decimal"/>
      <w:lvlText w:val="(%1)"/>
      <w:lvlJc w:val="left"/>
      <w:pPr>
        <w:ind w:left="1080" w:hanging="360"/>
      </w:pPr>
      <w:rPr>
        <w:rFonts w:hint="default"/>
        <w:i w:val="0"/>
        <w:color w:val="auto"/>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11" w15:restartNumberingAfterBreak="0">
    <w:nsid w:val="515603E4"/>
    <w:multiLevelType w:val="hybridMultilevel"/>
    <w:tmpl w:val="D2E8CC4C"/>
    <w:lvl w:ilvl="0" w:tplc="733C4AA2">
      <w:start w:val="1"/>
      <w:numFmt w:val="decimal"/>
      <w:lvlText w:val="(%1)"/>
      <w:lvlJc w:val="left"/>
      <w:pPr>
        <w:ind w:left="1287" w:hanging="360"/>
      </w:pPr>
      <w:rPr>
        <w:rFonts w:hint="default"/>
      </w:rPr>
    </w:lvl>
    <w:lvl w:ilvl="1" w:tplc="161A4AF0">
      <w:start w:val="1"/>
      <w:numFmt w:val="decimal"/>
      <w:lvlText w:val="(%2)"/>
      <w:lvlJc w:val="left"/>
      <w:pPr>
        <w:ind w:left="786" w:hanging="36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2" w15:restartNumberingAfterBreak="0">
    <w:nsid w:val="51783758"/>
    <w:multiLevelType w:val="hybridMultilevel"/>
    <w:tmpl w:val="D79AC8FC"/>
    <w:lvl w:ilvl="0" w:tplc="1786BB36">
      <w:start w:val="1"/>
      <w:numFmt w:val="lowerRoman"/>
      <w:lvlText w:val="(%1)"/>
      <w:lvlJc w:val="left"/>
      <w:pPr>
        <w:ind w:left="1332" w:hanging="36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13" w15:restartNumberingAfterBreak="0">
    <w:nsid w:val="517A7480"/>
    <w:multiLevelType w:val="hybridMultilevel"/>
    <w:tmpl w:val="361C2C1E"/>
    <w:lvl w:ilvl="0" w:tplc="DF7C5BC0">
      <w:start w:val="1"/>
      <w:numFmt w:val="lowerRoman"/>
      <w:lvlText w:val="(%1)"/>
      <w:lvlJc w:val="right"/>
      <w:pPr>
        <w:ind w:left="720" w:hanging="360"/>
      </w:pPr>
      <w:rPr>
        <w:rFonts w:ascii="PermianSerifTypeface" w:eastAsiaTheme="minorHAnsi" w:hAnsi="PermianSerifTypeface" w:cstheme="minorBid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4" w15:restartNumberingAfterBreak="0">
    <w:nsid w:val="517B27FC"/>
    <w:multiLevelType w:val="hybridMultilevel"/>
    <w:tmpl w:val="DBF4C5C0"/>
    <w:lvl w:ilvl="0" w:tplc="733C4AA2">
      <w:start w:val="1"/>
      <w:numFmt w:val="decimal"/>
      <w:lvlText w:val="(%1)"/>
      <w:lvlJc w:val="left"/>
      <w:pPr>
        <w:ind w:left="1287" w:hanging="360"/>
      </w:pPr>
      <w:rPr>
        <w:rFonts w:hint="default"/>
      </w:rPr>
    </w:lvl>
    <w:lvl w:ilvl="1" w:tplc="25827224">
      <w:start w:val="1"/>
      <w:numFmt w:val="decimal"/>
      <w:lvlText w:val="(%2)"/>
      <w:lvlJc w:val="left"/>
      <w:pPr>
        <w:ind w:left="6456" w:hanging="360"/>
      </w:pPr>
      <w:rPr>
        <w:rFonts w:hint="default"/>
        <w:i w:val="0"/>
        <w:color w:val="auto"/>
      </w:rPr>
    </w:lvl>
    <w:lvl w:ilvl="2" w:tplc="DC986D9A">
      <w:start w:val="1"/>
      <w:numFmt w:val="lowerLetter"/>
      <w:lvlText w:val="%3)"/>
      <w:lvlJc w:val="left"/>
      <w:pPr>
        <w:ind w:left="928"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5" w15:restartNumberingAfterBreak="0">
    <w:nsid w:val="520841DC"/>
    <w:multiLevelType w:val="hybridMultilevel"/>
    <w:tmpl w:val="A638543E"/>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16" w15:restartNumberingAfterBreak="0">
    <w:nsid w:val="523616BE"/>
    <w:multiLevelType w:val="hybridMultilevel"/>
    <w:tmpl w:val="5F023B3A"/>
    <w:lvl w:ilvl="0" w:tplc="733C4AA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7" w15:restartNumberingAfterBreak="0">
    <w:nsid w:val="52526B80"/>
    <w:multiLevelType w:val="hybridMultilevel"/>
    <w:tmpl w:val="4DD8DA7A"/>
    <w:lvl w:ilvl="0" w:tplc="5D94624C">
      <w:start w:val="1"/>
      <w:numFmt w:val="decimal"/>
      <w:suff w:val="space"/>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6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8" w15:restartNumberingAfterBreak="0">
    <w:nsid w:val="529B3E59"/>
    <w:multiLevelType w:val="hybridMultilevel"/>
    <w:tmpl w:val="1506DC18"/>
    <w:lvl w:ilvl="0" w:tplc="8AD0B380">
      <w:start w:val="1"/>
      <w:numFmt w:val="decimal"/>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9" w15:restartNumberingAfterBreak="0">
    <w:nsid w:val="53117189"/>
    <w:multiLevelType w:val="hybridMultilevel"/>
    <w:tmpl w:val="0EDC4ECE"/>
    <w:lvl w:ilvl="0" w:tplc="A32A164A">
      <w:start w:val="1"/>
      <w:numFmt w:val="decimal"/>
      <w:lvlText w:val="(%1)"/>
      <w:lvlJc w:val="left"/>
      <w:pPr>
        <w:ind w:left="1287" w:hanging="360"/>
      </w:pPr>
      <w:rPr>
        <w:rFonts w:ascii="PermianSerifTypeface" w:eastAsia="Times New Roman" w:hAnsi="PermianSerifTypeface" w:cs="Arial"/>
        <w:i w:val="0"/>
        <w:color w:val="auto"/>
      </w:rPr>
    </w:lvl>
    <w:lvl w:ilvl="1" w:tplc="9B0A4AD2">
      <w:start w:val="1"/>
      <w:numFmt w:val="decimal"/>
      <w:lvlText w:val="(%2)"/>
      <w:lvlJc w:val="left"/>
      <w:pPr>
        <w:ind w:left="928" w:hanging="360"/>
      </w:pPr>
      <w:rPr>
        <w:rFonts w:hint="default"/>
        <w:i w:val="0"/>
        <w:color w:val="auto"/>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0" w15:restartNumberingAfterBreak="0">
    <w:nsid w:val="534A006C"/>
    <w:multiLevelType w:val="hybridMultilevel"/>
    <w:tmpl w:val="439C1C6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17">
      <w:start w:val="1"/>
      <w:numFmt w:val="lowerLetter"/>
      <w:lvlText w:val="%4)"/>
      <w:lvlJc w:val="left"/>
      <w:pPr>
        <w:ind w:left="72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1" w15:restartNumberingAfterBreak="0">
    <w:nsid w:val="53AC2366"/>
    <w:multiLevelType w:val="hybridMultilevel"/>
    <w:tmpl w:val="7F4CEA52"/>
    <w:lvl w:ilvl="0" w:tplc="ED846066">
      <w:start w:val="1"/>
      <w:numFmt w:val="lowerLetter"/>
      <w:lvlText w:val="%1)"/>
      <w:lvlJc w:val="left"/>
      <w:pPr>
        <w:ind w:left="295"/>
      </w:pPr>
      <w:rPr>
        <w:rFonts w:ascii="PermianSansTypeface" w:eastAsia="Times New Roman" w:hAnsi="PermianSans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871822A4">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C8A710">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380526">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F8DECA">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183710">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3A663A">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1248BC">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4127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2" w15:restartNumberingAfterBreak="0">
    <w:nsid w:val="53C859B9"/>
    <w:multiLevelType w:val="hybridMultilevel"/>
    <w:tmpl w:val="8792552A"/>
    <w:lvl w:ilvl="0" w:tplc="8910AEE8">
      <w:start w:val="1"/>
      <w:numFmt w:val="lowerLetter"/>
      <w:lvlText w:val="(%1)"/>
      <w:lvlJc w:val="left"/>
      <w:pPr>
        <w:ind w:left="720" w:hanging="360"/>
      </w:pPr>
      <w:rPr>
        <w:rFonts w:ascii="Times New Roman" w:hAnsi="Times New Roman" w:cs="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3" w15:restartNumberingAfterBreak="0">
    <w:nsid w:val="54093313"/>
    <w:multiLevelType w:val="hybridMultilevel"/>
    <w:tmpl w:val="0C86E4CE"/>
    <w:lvl w:ilvl="0" w:tplc="FFFFFFFF">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64E29676">
      <w:start w:val="1"/>
      <w:numFmt w:val="decimal"/>
      <w:lvlText w:val="(%2)"/>
      <w:lvlJc w:val="left"/>
      <w:pPr>
        <w:ind w:left="114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54352A4A"/>
    <w:multiLevelType w:val="hybridMultilevel"/>
    <w:tmpl w:val="B5446D36"/>
    <w:lvl w:ilvl="0" w:tplc="48B82D9E">
      <w:start w:val="1"/>
      <w:numFmt w:val="decimal"/>
      <w:lvlText w:val="(%1)"/>
      <w:lvlJc w:val="left"/>
      <w:pPr>
        <w:ind w:left="92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54D705DC"/>
    <w:multiLevelType w:val="hybridMultilevel"/>
    <w:tmpl w:val="B45CB8F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090017">
      <w:start w:val="1"/>
      <w:numFmt w:val="lowerLetter"/>
      <w:lvlText w:val="%3)"/>
      <w:lvlJc w:val="left"/>
      <w:pPr>
        <w:ind w:left="360"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6" w15:restartNumberingAfterBreak="0">
    <w:nsid w:val="558B0F9E"/>
    <w:multiLevelType w:val="hybridMultilevel"/>
    <w:tmpl w:val="FD9AC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55D47F07"/>
    <w:multiLevelType w:val="hybridMultilevel"/>
    <w:tmpl w:val="5A54E2A2"/>
    <w:lvl w:ilvl="0" w:tplc="E45417EC">
      <w:start w:val="1"/>
      <w:numFmt w:val="decimal"/>
      <w:lvlText w:val="(%1)"/>
      <w:lvlJc w:val="left"/>
      <w:pPr>
        <w:ind w:left="1146" w:hanging="360"/>
      </w:pPr>
      <w:rPr>
        <w:rFonts w:hint="default"/>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8" w15:restartNumberingAfterBreak="0">
    <w:nsid w:val="56EC6FC9"/>
    <w:multiLevelType w:val="hybridMultilevel"/>
    <w:tmpl w:val="DB40AF5C"/>
    <w:lvl w:ilvl="0" w:tplc="1BE68908">
      <w:start w:val="1"/>
      <w:numFmt w:val="lowerLetter"/>
      <w:lvlText w:val="%1)"/>
      <w:lvlJc w:val="left"/>
      <w:pPr>
        <w:ind w:left="2907" w:hanging="360"/>
      </w:pPr>
      <w:rPr>
        <w:rFonts w:hint="default"/>
        <w:color w:val="auto"/>
      </w:rPr>
    </w:lvl>
    <w:lvl w:ilvl="1" w:tplc="F52AFAB0">
      <w:start w:val="1"/>
      <w:numFmt w:val="decimal"/>
      <w:lvlText w:val="(%2)"/>
      <w:lvlJc w:val="left"/>
      <w:pPr>
        <w:ind w:left="928" w:hanging="360"/>
      </w:pPr>
      <w:rPr>
        <w:rFonts w:hint="default"/>
      </w:rPr>
    </w:lvl>
    <w:lvl w:ilvl="2" w:tplc="0409001B">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329" w15:restartNumberingAfterBreak="0">
    <w:nsid w:val="574672AC"/>
    <w:multiLevelType w:val="hybridMultilevel"/>
    <w:tmpl w:val="27403C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DEEA8B4">
      <w:start w:val="1"/>
      <w:numFmt w:val="lowerLetter"/>
      <w:lvlText w:val="%3)"/>
      <w:lvlJc w:val="left"/>
      <w:pPr>
        <w:ind w:left="2727" w:hanging="180"/>
      </w:pPr>
      <w:rPr>
        <w:i w:val="0"/>
        <w:iCs/>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0" w15:restartNumberingAfterBreak="0">
    <w:nsid w:val="582A1BB0"/>
    <w:multiLevelType w:val="hybridMultilevel"/>
    <w:tmpl w:val="571E9450"/>
    <w:lvl w:ilvl="0" w:tplc="5F188EF2">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9E8618F0">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E637EA">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6C9D64">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82EC94">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B618BC">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C05EDC">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885E0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04C688">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1" w15:restartNumberingAfterBreak="0">
    <w:nsid w:val="58684BD9"/>
    <w:multiLevelType w:val="hybridMultilevel"/>
    <w:tmpl w:val="FC24A40C"/>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2340"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32" w15:restartNumberingAfterBreak="0">
    <w:nsid w:val="5899258E"/>
    <w:multiLevelType w:val="hybridMultilevel"/>
    <w:tmpl w:val="5CF6A000"/>
    <w:lvl w:ilvl="0" w:tplc="BD5E54C8">
      <w:start w:val="1"/>
      <w:numFmt w:val="lowerRoman"/>
      <w:lvlText w:val="(%1)"/>
      <w:lvlJc w:val="right"/>
      <w:pPr>
        <w:ind w:left="1287" w:hanging="360"/>
      </w:pPr>
      <w:rPr>
        <w:rFonts w:ascii="PermianSerifTypeface" w:eastAsiaTheme="minorHAnsi" w:hAnsi="PermianSerifTypeface"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3" w15:restartNumberingAfterBreak="0">
    <w:nsid w:val="58B6071F"/>
    <w:multiLevelType w:val="hybridMultilevel"/>
    <w:tmpl w:val="D1EE1DB8"/>
    <w:lvl w:ilvl="0" w:tplc="675EE0FA">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6E2B4E">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C0E0EC">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4D398">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FA011E">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3E873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8272F4">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D6C0F8">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AC2A1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4" w15:restartNumberingAfterBreak="0">
    <w:nsid w:val="59182F2E"/>
    <w:multiLevelType w:val="hybridMultilevel"/>
    <w:tmpl w:val="1B7E1EF2"/>
    <w:lvl w:ilvl="0" w:tplc="8FAA0250">
      <w:start w:val="1"/>
      <w:numFmt w:val="decimal"/>
      <w:lvlText w:val="(%1)"/>
      <w:lvlJc w:val="left"/>
      <w:pPr>
        <w:ind w:left="1287"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85A6916E">
      <w:start w:val="1"/>
      <w:numFmt w:val="decimal"/>
      <w:lvlText w:val="(%2)"/>
      <w:lvlJc w:val="left"/>
      <w:pPr>
        <w:ind w:left="2007"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5" w15:restartNumberingAfterBreak="0">
    <w:nsid w:val="596A7321"/>
    <w:multiLevelType w:val="hybridMultilevel"/>
    <w:tmpl w:val="3372E6BA"/>
    <w:lvl w:ilvl="0" w:tplc="64E29676">
      <w:start w:val="1"/>
      <w:numFmt w:val="decimal"/>
      <w:lvlText w:val="(%1)"/>
      <w:lvlJc w:val="left"/>
      <w:pPr>
        <w:ind w:left="1287" w:hanging="360"/>
      </w:pPr>
      <w:rPr>
        <w:rFonts w:hint="default"/>
      </w:rPr>
    </w:lvl>
    <w:lvl w:ilvl="1" w:tplc="64E29676">
      <w:start w:val="1"/>
      <w:numFmt w:val="decimal"/>
      <w:lvlText w:val="(%2)"/>
      <w:lvlJc w:val="left"/>
      <w:pPr>
        <w:ind w:left="2007" w:hanging="360"/>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6" w15:restartNumberingAfterBreak="0">
    <w:nsid w:val="59B9492F"/>
    <w:multiLevelType w:val="hybridMultilevel"/>
    <w:tmpl w:val="94284812"/>
    <w:lvl w:ilvl="0" w:tplc="04090017">
      <w:start w:val="1"/>
      <w:numFmt w:val="lowerLetter"/>
      <w:lvlText w:val="%1)"/>
      <w:lvlJc w:val="left"/>
      <w:pPr>
        <w:ind w:left="1146" w:hanging="360"/>
      </w:pPr>
      <w:rPr>
        <w:rFonts w:hint="default"/>
      </w:rPr>
    </w:lvl>
    <w:lvl w:ilvl="1" w:tplc="64E2967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7" w15:restartNumberingAfterBreak="0">
    <w:nsid w:val="59D04C18"/>
    <w:multiLevelType w:val="hybridMultilevel"/>
    <w:tmpl w:val="AF24632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8" w15:restartNumberingAfterBreak="0">
    <w:nsid w:val="5A012614"/>
    <w:multiLevelType w:val="hybridMultilevel"/>
    <w:tmpl w:val="7FDED80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9" w15:restartNumberingAfterBreak="0">
    <w:nsid w:val="5A117FF1"/>
    <w:multiLevelType w:val="hybridMultilevel"/>
    <w:tmpl w:val="1876C05E"/>
    <w:lvl w:ilvl="0" w:tplc="9B0A4AD2">
      <w:start w:val="1"/>
      <w:numFmt w:val="decimal"/>
      <w:lvlText w:val="(%1)"/>
      <w:lvlJc w:val="left"/>
      <w:pPr>
        <w:ind w:left="1428" w:hanging="360"/>
      </w:pPr>
      <w:rPr>
        <w:rFonts w:hint="default"/>
        <w:i w:val="0"/>
        <w:color w:val="auto"/>
      </w:rPr>
    </w:lvl>
    <w:lvl w:ilvl="1" w:tplc="9B0A4AD2">
      <w:start w:val="1"/>
      <w:numFmt w:val="decimal"/>
      <w:lvlText w:val="(%2)"/>
      <w:lvlJc w:val="left"/>
      <w:pPr>
        <w:ind w:left="2148" w:hanging="360"/>
      </w:pPr>
      <w:rPr>
        <w:rFonts w:hint="default"/>
        <w:i w:val="0"/>
        <w:color w:val="auto"/>
      </w:rPr>
    </w:lvl>
    <w:lvl w:ilvl="2" w:tplc="04090017">
      <w:start w:val="1"/>
      <w:numFmt w:val="lowerLetter"/>
      <w:lvlText w:val="%3)"/>
      <w:lvlJc w:val="lef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0" w15:restartNumberingAfterBreak="0">
    <w:nsid w:val="5A181255"/>
    <w:multiLevelType w:val="hybridMultilevel"/>
    <w:tmpl w:val="8604EFA8"/>
    <w:lvl w:ilvl="0" w:tplc="64E29676">
      <w:start w:val="1"/>
      <w:numFmt w:val="decimal"/>
      <w:lvlText w:val="(%1)"/>
      <w:lvlJc w:val="left"/>
      <w:pPr>
        <w:ind w:left="720" w:hanging="360"/>
      </w:pPr>
      <w:rPr>
        <w:rFonts w:hint="default"/>
      </w:rPr>
    </w:lvl>
    <w:lvl w:ilvl="1" w:tplc="8780BBFE">
      <w:start w:val="1"/>
      <w:numFmt w:val="decimal"/>
      <w:lvlText w:val="(%2)"/>
      <w:lvlJc w:val="left"/>
      <w:pPr>
        <w:ind w:left="644" w:hanging="360"/>
      </w:pPr>
      <w:rPr>
        <w:rFonts w:hint="default"/>
        <w:b w:val="0"/>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A4E25A7"/>
    <w:multiLevelType w:val="hybridMultilevel"/>
    <w:tmpl w:val="52AAC424"/>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2340"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42" w15:restartNumberingAfterBreak="0">
    <w:nsid w:val="5B6757B0"/>
    <w:multiLevelType w:val="hybridMultilevel"/>
    <w:tmpl w:val="BA085076"/>
    <w:lvl w:ilvl="0" w:tplc="538ECEBE">
      <w:start w:val="1"/>
      <w:numFmt w:val="decimal"/>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3" w15:restartNumberingAfterBreak="0">
    <w:nsid w:val="5B9A704D"/>
    <w:multiLevelType w:val="hybridMultilevel"/>
    <w:tmpl w:val="B2A2660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4" w15:restartNumberingAfterBreak="0">
    <w:nsid w:val="5C0905EC"/>
    <w:multiLevelType w:val="hybridMultilevel"/>
    <w:tmpl w:val="259092A6"/>
    <w:lvl w:ilvl="0" w:tplc="2F3EB802">
      <w:start w:val="1"/>
      <w:numFmt w:val="decimal"/>
      <w:lvlText w:val="(%1)"/>
      <w:lvlJc w:val="left"/>
      <w:pPr>
        <w:ind w:left="1287" w:hanging="360"/>
      </w:pPr>
      <w:rPr>
        <w:rFonts w:eastAsiaTheme="minorHAnsi" w:hint="default"/>
        <w:i w:val="0"/>
        <w:color w:val="auto"/>
      </w:rPr>
    </w:lvl>
    <w:lvl w:ilvl="1" w:tplc="EE141C02">
      <w:start w:val="1"/>
      <w:numFmt w:val="decimal"/>
      <w:lvlText w:val="(%2)"/>
      <w:lvlJc w:val="left"/>
      <w:pPr>
        <w:ind w:left="2007" w:hanging="360"/>
      </w:pPr>
      <w:rPr>
        <w:rFonts w:eastAsiaTheme="minorHAnsi" w:hint="default"/>
        <w:i w:val="0"/>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5" w15:restartNumberingAfterBreak="0">
    <w:nsid w:val="5C0B6031"/>
    <w:multiLevelType w:val="hybridMultilevel"/>
    <w:tmpl w:val="7FB005DE"/>
    <w:lvl w:ilvl="0" w:tplc="64E29676">
      <w:start w:val="1"/>
      <w:numFmt w:val="decimal"/>
      <w:lvlText w:val="(%1)"/>
      <w:lvlJc w:val="left"/>
      <w:pPr>
        <w:ind w:left="1146" w:hanging="360"/>
      </w:pPr>
      <w:rPr>
        <w:rFonts w:hint="default"/>
      </w:rPr>
    </w:lvl>
    <w:lvl w:ilvl="1" w:tplc="535A26CE">
      <w:start w:val="1"/>
      <w:numFmt w:val="decimal"/>
      <w:lvlText w:val="(%2)"/>
      <w:lvlJc w:val="left"/>
      <w:pPr>
        <w:ind w:left="1866" w:hanging="360"/>
      </w:pPr>
      <w:rPr>
        <w:rFonts w:hint="default"/>
        <w:color w:val="auto"/>
      </w:r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6" w15:restartNumberingAfterBreak="0">
    <w:nsid w:val="5C39494B"/>
    <w:multiLevelType w:val="hybridMultilevel"/>
    <w:tmpl w:val="0EA2D5D6"/>
    <w:lvl w:ilvl="0" w:tplc="4932748A">
      <w:start w:val="1"/>
      <w:numFmt w:val="lowerRoman"/>
      <w:lvlText w:val="(%1)"/>
      <w:lvlJc w:val="left"/>
      <w:pPr>
        <w:ind w:left="720" w:hanging="360"/>
      </w:pPr>
      <w:rPr>
        <w:rFonts w:ascii="PermianSerifTypeface" w:eastAsiaTheme="minorHAnsi" w:hAnsi="PermianSerifTypeface" w:cstheme="minorBid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7" w15:restartNumberingAfterBreak="0">
    <w:nsid w:val="5C4E55DA"/>
    <w:multiLevelType w:val="hybridMultilevel"/>
    <w:tmpl w:val="9C32C616"/>
    <w:lvl w:ilvl="0" w:tplc="2EC80D7A">
      <w:start w:val="1"/>
      <w:numFmt w:val="decimal"/>
      <w:lvlText w:val="(%1)"/>
      <w:lvlJc w:val="left"/>
      <w:pPr>
        <w:ind w:left="720" w:hanging="360"/>
      </w:pPr>
      <w:rPr>
        <w:rFonts w:eastAsiaTheme="minorHAnsi" w:cstheme="minorBidi" w:hint="default"/>
        <w:i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8" w15:restartNumberingAfterBreak="0">
    <w:nsid w:val="5C5D1825"/>
    <w:multiLevelType w:val="hybridMultilevel"/>
    <w:tmpl w:val="C7EC5D8E"/>
    <w:lvl w:ilvl="0" w:tplc="8E96A4AC">
      <w:start w:val="1"/>
      <w:numFmt w:val="lowerRoman"/>
      <w:lvlText w:val="(%1)"/>
      <w:lvlJc w:val="right"/>
      <w:pPr>
        <w:ind w:left="1146" w:hanging="36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9" w15:restartNumberingAfterBreak="0">
    <w:nsid w:val="5C6843D4"/>
    <w:multiLevelType w:val="hybridMultilevel"/>
    <w:tmpl w:val="7EDA103E"/>
    <w:lvl w:ilvl="0" w:tplc="6582A360">
      <w:start w:val="1"/>
      <w:numFmt w:val="lowerLetter"/>
      <w:lvlText w:val="%1)"/>
      <w:lvlJc w:val="left"/>
      <w:pPr>
        <w:ind w:left="295"/>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EAFA02CC">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4A5ADE">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6C35E8">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EEB6AA">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E4FC2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A06F28">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D440B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2473D6">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0" w15:restartNumberingAfterBreak="0">
    <w:nsid w:val="5D625280"/>
    <w:multiLevelType w:val="hybridMultilevel"/>
    <w:tmpl w:val="A5AEA992"/>
    <w:lvl w:ilvl="0" w:tplc="F9B088CA">
      <w:start w:val="1"/>
      <w:numFmt w:val="lowerLetter"/>
      <w:lvlText w:val="%1)"/>
      <w:lvlJc w:val="left"/>
      <w:pPr>
        <w:ind w:left="385"/>
      </w:pPr>
      <w:rPr>
        <w:rFonts w:ascii="PermianSansTypeface" w:eastAsia="Times New Roman" w:hAnsi="PermianSans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B32417B4">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3279FC">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DEE9DC">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76A4EE">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180ABE">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3C9E10">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F854A4">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D6F98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1" w15:restartNumberingAfterBreak="0">
    <w:nsid w:val="5D76473A"/>
    <w:multiLevelType w:val="hybridMultilevel"/>
    <w:tmpl w:val="2C02C8DE"/>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2340"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52" w15:restartNumberingAfterBreak="0">
    <w:nsid w:val="5D7C1DD5"/>
    <w:multiLevelType w:val="hybridMultilevel"/>
    <w:tmpl w:val="C82E0E8C"/>
    <w:lvl w:ilvl="0" w:tplc="64E29676">
      <w:start w:val="1"/>
      <w:numFmt w:val="decimal"/>
      <w:lvlText w:val="(%1)"/>
      <w:lvlJc w:val="left"/>
      <w:pPr>
        <w:ind w:left="1146" w:hanging="360"/>
      </w:pPr>
      <w:rPr>
        <w:rFonts w:hint="default"/>
      </w:rPr>
    </w:lvl>
    <w:lvl w:ilvl="1" w:tplc="72186662">
      <w:start w:val="1"/>
      <w:numFmt w:val="decimal"/>
      <w:lvlText w:val="(%2)"/>
      <w:lvlJc w:val="left"/>
      <w:pPr>
        <w:ind w:left="1866" w:hanging="360"/>
      </w:pPr>
      <w:rPr>
        <w:rFonts w:hint="default"/>
        <w:color w:val="auto"/>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3" w15:restartNumberingAfterBreak="0">
    <w:nsid w:val="5DC80DFC"/>
    <w:multiLevelType w:val="hybridMultilevel"/>
    <w:tmpl w:val="4F1A07E8"/>
    <w:lvl w:ilvl="0" w:tplc="EE141C02">
      <w:start w:val="1"/>
      <w:numFmt w:val="decimal"/>
      <w:lvlText w:val="(%1)"/>
      <w:lvlJc w:val="left"/>
      <w:pPr>
        <w:ind w:left="720" w:hanging="360"/>
      </w:pPr>
      <w:rPr>
        <w:rFonts w:eastAsiaTheme="minorHAnsi" w:hint="default"/>
        <w:i w:val="0"/>
        <w:color w:val="auto"/>
      </w:rPr>
    </w:lvl>
    <w:lvl w:ilvl="1" w:tplc="EE141C02">
      <w:start w:val="1"/>
      <w:numFmt w:val="decimal"/>
      <w:lvlText w:val="(%2)"/>
      <w:lvlJc w:val="left"/>
      <w:pPr>
        <w:ind w:left="786" w:hanging="360"/>
      </w:pPr>
      <w:rPr>
        <w:rFonts w:eastAsiaTheme="minorHAnsi" w:hint="default"/>
        <w:i w:val="0"/>
        <w:color w:val="auto"/>
      </w:rPr>
    </w:lvl>
    <w:lvl w:ilvl="2" w:tplc="3B860834">
      <w:start w:val="1"/>
      <w:numFmt w:val="lowerLetter"/>
      <w:lvlText w:val="%3)"/>
      <w:lvlJc w:val="left"/>
      <w:pPr>
        <w:ind w:left="2160" w:hanging="180"/>
      </w:pPr>
      <w:rPr>
        <w:sz w:val="22"/>
        <w:szCs w:val="22"/>
      </w:rPr>
    </w:lvl>
    <w:lvl w:ilvl="3" w:tplc="CFA23136">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E3F5F6E"/>
    <w:multiLevelType w:val="hybridMultilevel"/>
    <w:tmpl w:val="FB8CF0A6"/>
    <w:lvl w:ilvl="0" w:tplc="D07EF09E">
      <w:start w:val="1"/>
      <w:numFmt w:val="decimal"/>
      <w:lvlText w:val="(%1)"/>
      <w:lvlJc w:val="left"/>
      <w:pPr>
        <w:ind w:left="406"/>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82E05C2A">
      <w:start w:val="1"/>
      <w:numFmt w:val="lowerLetter"/>
      <w:lvlText w:val="%2"/>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66A9DA">
      <w:start w:val="1"/>
      <w:numFmt w:val="lowerRoman"/>
      <w:lvlText w:val="%3"/>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629A3C">
      <w:start w:val="1"/>
      <w:numFmt w:val="decimal"/>
      <w:lvlText w:val="%4"/>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7247FC">
      <w:start w:val="1"/>
      <w:numFmt w:val="lowerLetter"/>
      <w:lvlText w:val="%5"/>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44C99C">
      <w:start w:val="1"/>
      <w:numFmt w:val="lowerRoman"/>
      <w:lvlText w:val="%6"/>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9EEC6C">
      <w:start w:val="1"/>
      <w:numFmt w:val="decimal"/>
      <w:lvlText w:val="%7"/>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D6C8E0">
      <w:start w:val="1"/>
      <w:numFmt w:val="lowerLetter"/>
      <w:lvlText w:val="%8"/>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848BA4">
      <w:start w:val="1"/>
      <w:numFmt w:val="lowerRoman"/>
      <w:lvlText w:val="%9"/>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5" w15:restartNumberingAfterBreak="0">
    <w:nsid w:val="5E467D36"/>
    <w:multiLevelType w:val="hybridMultilevel"/>
    <w:tmpl w:val="ADDAEF12"/>
    <w:lvl w:ilvl="0" w:tplc="AFD4E7CE">
      <w:start w:val="1"/>
      <w:numFmt w:val="lowerRoman"/>
      <w:lvlText w:val="(%1)"/>
      <w:lvlJc w:val="left"/>
      <w:pPr>
        <w:ind w:left="1146" w:hanging="360"/>
      </w:pPr>
      <w:rPr>
        <w:rFonts w:ascii="PermianSerifTypeface" w:eastAsiaTheme="minorHAnsi" w:hAnsi="PermianSerifTypeface" w:cstheme="minorBidi"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56" w15:restartNumberingAfterBreak="0">
    <w:nsid w:val="5E8F6520"/>
    <w:multiLevelType w:val="hybridMultilevel"/>
    <w:tmpl w:val="198EA742"/>
    <w:lvl w:ilvl="0" w:tplc="64E29676">
      <w:start w:val="1"/>
      <w:numFmt w:val="decimal"/>
      <w:lvlText w:val="(%1)"/>
      <w:lvlJc w:val="left"/>
      <w:pPr>
        <w:ind w:left="720" w:hanging="360"/>
      </w:pPr>
      <w:rPr>
        <w:rFonts w:hint="default"/>
      </w:rPr>
    </w:lvl>
    <w:lvl w:ilvl="1" w:tplc="D4125122">
      <w:start w:val="1"/>
      <w:numFmt w:val="decimal"/>
      <w:lvlText w:val="(%2)"/>
      <w:lvlJc w:val="left"/>
      <w:pPr>
        <w:ind w:left="92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F2B509D"/>
    <w:multiLevelType w:val="hybridMultilevel"/>
    <w:tmpl w:val="F1F2716A"/>
    <w:lvl w:ilvl="0" w:tplc="EE141C02">
      <w:start w:val="1"/>
      <w:numFmt w:val="decimal"/>
      <w:lvlText w:val="(%1)"/>
      <w:lvlJc w:val="left"/>
      <w:pPr>
        <w:ind w:left="1428" w:hanging="360"/>
      </w:pPr>
      <w:rPr>
        <w:rFonts w:eastAsiaTheme="minorHAnsi" w:hint="default"/>
        <w:i w:val="0"/>
        <w:color w:val="auto"/>
      </w:rPr>
    </w:lvl>
    <w:lvl w:ilvl="1" w:tplc="EE141C02">
      <w:start w:val="1"/>
      <w:numFmt w:val="decimal"/>
      <w:lvlText w:val="(%2)"/>
      <w:lvlJc w:val="left"/>
      <w:pPr>
        <w:ind w:left="2148" w:hanging="360"/>
      </w:pPr>
      <w:rPr>
        <w:rFonts w:eastAsiaTheme="minorHAnsi" w:hint="default"/>
        <w:i w:val="0"/>
        <w:color w:val="auto"/>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58" w15:restartNumberingAfterBreak="0">
    <w:nsid w:val="60304D68"/>
    <w:multiLevelType w:val="hybridMultilevel"/>
    <w:tmpl w:val="A5A2C454"/>
    <w:lvl w:ilvl="0" w:tplc="64E29676">
      <w:start w:val="1"/>
      <w:numFmt w:val="decimal"/>
      <w:lvlText w:val="(%1)"/>
      <w:lvlJc w:val="left"/>
      <w:pPr>
        <w:ind w:left="720" w:hanging="360"/>
      </w:pPr>
      <w:rPr>
        <w:rFonts w:hint="default"/>
      </w:rPr>
    </w:lvl>
    <w:lvl w:ilvl="1" w:tplc="A00A34BA">
      <w:start w:val="1"/>
      <w:numFmt w:val="decimal"/>
      <w:lvlText w:val="(%2)"/>
      <w:lvlJc w:val="left"/>
      <w:pPr>
        <w:ind w:left="1440" w:hanging="360"/>
      </w:pPr>
      <w:rPr>
        <w:rFonts w:eastAsiaTheme="minorHAnsi" w:hint="default"/>
        <w:b w:val="0"/>
        <w:bCs/>
        <w:i w:val="0"/>
        <w:color w:val="auto"/>
      </w:rPr>
    </w:lvl>
    <w:lvl w:ilvl="2" w:tplc="E48A0C46">
      <w:start w:val="1"/>
      <w:numFmt w:val="lowerLetter"/>
      <w:lvlText w:val="%3)"/>
      <w:lvlJc w:val="lef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05207BB"/>
    <w:multiLevelType w:val="hybridMultilevel"/>
    <w:tmpl w:val="8F60F278"/>
    <w:lvl w:ilvl="0" w:tplc="04090017">
      <w:start w:val="1"/>
      <w:numFmt w:val="lowerLetter"/>
      <w:lvlText w:val="%1)"/>
      <w:lvlJc w:val="left"/>
      <w:pPr>
        <w:ind w:left="1287" w:hanging="360"/>
      </w:pPr>
    </w:lvl>
    <w:lvl w:ilvl="1" w:tplc="96CA50A6">
      <w:start w:val="1"/>
      <w:numFmt w:val="decimal"/>
      <w:lvlText w:val="%2."/>
      <w:lvlJc w:val="left"/>
      <w:pPr>
        <w:ind w:left="2007" w:hanging="360"/>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0" w15:restartNumberingAfterBreak="0">
    <w:nsid w:val="60DA5069"/>
    <w:multiLevelType w:val="hybridMultilevel"/>
    <w:tmpl w:val="015C90C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7">
      <w:start w:val="1"/>
      <w:numFmt w:val="lowerLetter"/>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1" w15:restartNumberingAfterBreak="0">
    <w:nsid w:val="60F56508"/>
    <w:multiLevelType w:val="hybridMultilevel"/>
    <w:tmpl w:val="F2148B26"/>
    <w:lvl w:ilvl="0" w:tplc="CEF8918A">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613A2C28"/>
    <w:multiLevelType w:val="hybridMultilevel"/>
    <w:tmpl w:val="1722F2EC"/>
    <w:lvl w:ilvl="0" w:tplc="66B24654">
      <w:start w:val="1"/>
      <w:numFmt w:val="lowerLetter"/>
      <w:lvlText w:val="%1)"/>
      <w:lvlJc w:val="left"/>
      <w:pPr>
        <w:ind w:left="1287" w:hanging="360"/>
      </w:pPr>
      <w:rPr>
        <w:color w:val="auto"/>
      </w:rPr>
    </w:lvl>
    <w:lvl w:ilvl="1" w:tplc="04D82A64">
      <w:start w:val="1"/>
      <w:numFmt w:val="decimal"/>
      <w:lvlText w:val="(%2)"/>
      <w:lvlJc w:val="left"/>
      <w:pPr>
        <w:ind w:left="2007" w:hanging="360"/>
      </w:pPr>
      <w:rPr>
        <w:rFonts w:hint="default"/>
      </w:rPr>
    </w:lvl>
    <w:lvl w:ilvl="2" w:tplc="B9A0B314">
      <w:start w:val="1"/>
      <w:numFmt w:val="lowerLetter"/>
      <w:lvlText w:val="%3)"/>
      <w:lvlJc w:val="left"/>
      <w:pPr>
        <w:ind w:left="2727" w:hanging="180"/>
      </w:pPr>
      <w:rPr>
        <w:sz w:val="22"/>
        <w:szCs w:val="22"/>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3" w15:restartNumberingAfterBreak="0">
    <w:nsid w:val="613D3595"/>
    <w:multiLevelType w:val="hybridMultilevel"/>
    <w:tmpl w:val="1B829C44"/>
    <w:lvl w:ilvl="0" w:tplc="EE141C02">
      <w:start w:val="1"/>
      <w:numFmt w:val="decimal"/>
      <w:lvlText w:val="(%1)"/>
      <w:lvlJc w:val="left"/>
      <w:pPr>
        <w:ind w:left="1146" w:hanging="360"/>
      </w:pPr>
      <w:rPr>
        <w:rFonts w:eastAsiaTheme="minorHAnsi" w:hint="default"/>
        <w:i w:val="0"/>
        <w:color w:val="auto"/>
      </w:rPr>
    </w:lvl>
    <w:lvl w:ilvl="1" w:tplc="4578749C">
      <w:start w:val="1"/>
      <w:numFmt w:val="decimal"/>
      <w:lvlText w:val="(%2)"/>
      <w:lvlJc w:val="left"/>
      <w:pPr>
        <w:ind w:left="1866" w:hanging="360"/>
      </w:pPr>
      <w:rPr>
        <w:rFonts w:hint="default"/>
        <w:strike w:val="0"/>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64" w15:restartNumberingAfterBreak="0">
    <w:nsid w:val="61832508"/>
    <w:multiLevelType w:val="hybridMultilevel"/>
    <w:tmpl w:val="FBBE35A2"/>
    <w:lvl w:ilvl="0" w:tplc="03145A86">
      <w:start w:val="1"/>
      <w:numFmt w:val="decimal"/>
      <w:lvlText w:val="(%1)"/>
      <w:lvlJc w:val="left"/>
      <w:pPr>
        <w:ind w:left="220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1B7655B"/>
    <w:multiLevelType w:val="hybridMultilevel"/>
    <w:tmpl w:val="0BF29FFA"/>
    <w:lvl w:ilvl="0" w:tplc="04090017">
      <w:start w:val="1"/>
      <w:numFmt w:val="lowerLetter"/>
      <w:lvlText w:val="%1)"/>
      <w:lvlJc w:val="left"/>
      <w:pPr>
        <w:ind w:left="720" w:hanging="360"/>
      </w:pPr>
      <w:rPr>
        <w:rFonts w:hint="default"/>
      </w:rPr>
    </w:lvl>
    <w:lvl w:ilvl="1" w:tplc="64E29676">
      <w:start w:val="1"/>
      <w:numFmt w:val="decimal"/>
      <w:lvlText w:val="(%2)"/>
      <w:lvlJc w:val="left"/>
      <w:pPr>
        <w:ind w:left="1440" w:hanging="360"/>
      </w:pPr>
      <w:rPr>
        <w:rFonts w:hint="default"/>
      </w:rPr>
    </w:lvl>
    <w:lvl w:ilvl="2" w:tplc="C674F982">
      <w:start w:val="1"/>
      <w:numFmt w:val="lowerLetter"/>
      <w:lvlText w:val="%3)"/>
      <w:lvlJc w:val="left"/>
      <w:pPr>
        <w:ind w:left="606"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1C51BFD"/>
    <w:multiLevelType w:val="hybridMultilevel"/>
    <w:tmpl w:val="FC0871F0"/>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7" w15:restartNumberingAfterBreak="0">
    <w:nsid w:val="6226148A"/>
    <w:multiLevelType w:val="hybridMultilevel"/>
    <w:tmpl w:val="4842699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66B24654">
      <w:start w:val="1"/>
      <w:numFmt w:val="lowerLetter"/>
      <w:lvlText w:val="%3)"/>
      <w:lvlJc w:val="left"/>
      <w:pPr>
        <w:ind w:left="2444" w:hanging="180"/>
      </w:pPr>
      <w:rPr>
        <w:color w:val="auto"/>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8" w15:restartNumberingAfterBreak="0">
    <w:nsid w:val="62367685"/>
    <w:multiLevelType w:val="multilevel"/>
    <w:tmpl w:val="BCB605EE"/>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Letter"/>
      <w:lvlText w:val="%3)"/>
      <w:lvlJc w:val="left"/>
      <w:pPr>
        <w:ind w:left="114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9" w15:restartNumberingAfterBreak="0">
    <w:nsid w:val="629E05E1"/>
    <w:multiLevelType w:val="hybridMultilevel"/>
    <w:tmpl w:val="95A0B4C8"/>
    <w:lvl w:ilvl="0" w:tplc="EE141C02">
      <w:start w:val="1"/>
      <w:numFmt w:val="decimal"/>
      <w:lvlText w:val="(%1)"/>
      <w:lvlJc w:val="left"/>
      <w:pPr>
        <w:ind w:left="1428" w:hanging="360"/>
      </w:pPr>
      <w:rPr>
        <w:rFonts w:eastAsiaTheme="minorHAnsi" w:hint="default"/>
        <w:i w:val="0"/>
        <w:color w:val="auto"/>
      </w:rPr>
    </w:lvl>
    <w:lvl w:ilvl="1" w:tplc="EE141C02">
      <w:start w:val="1"/>
      <w:numFmt w:val="decimal"/>
      <w:lvlText w:val="(%2)"/>
      <w:lvlJc w:val="left"/>
      <w:pPr>
        <w:ind w:left="2148" w:hanging="360"/>
      </w:pPr>
      <w:rPr>
        <w:rFonts w:eastAsiaTheme="minorHAnsi" w:hint="default"/>
        <w:i w:val="0"/>
        <w:color w:val="auto"/>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70" w15:restartNumberingAfterBreak="0">
    <w:nsid w:val="62C15DA1"/>
    <w:multiLevelType w:val="hybridMultilevel"/>
    <w:tmpl w:val="F516D46E"/>
    <w:lvl w:ilvl="0" w:tplc="FC107A72">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634F181F"/>
    <w:multiLevelType w:val="hybridMultilevel"/>
    <w:tmpl w:val="76ECBC7C"/>
    <w:lvl w:ilvl="0" w:tplc="7602A18C">
      <w:start w:val="1"/>
      <w:numFmt w:val="decimal"/>
      <w:lvlText w:val="(%1)"/>
      <w:lvlJc w:val="left"/>
      <w:pPr>
        <w:ind w:left="1287" w:hanging="360"/>
      </w:pPr>
      <w:rPr>
        <w:rFonts w:ascii="PermianSerifTypeface" w:eastAsia="Times New Roman" w:hAnsi="PermianSerifTypeface" w:cs="Arial"/>
      </w:rPr>
    </w:lvl>
    <w:lvl w:ilvl="1" w:tplc="733C4AA2">
      <w:start w:val="1"/>
      <w:numFmt w:val="decimal"/>
      <w:lvlText w:val="(%2)"/>
      <w:lvlJc w:val="left"/>
      <w:pPr>
        <w:ind w:left="2007" w:hanging="360"/>
      </w:pPr>
      <w:rPr>
        <w:rFonts w:hint="default"/>
      </w:rPr>
    </w:lvl>
    <w:lvl w:ilvl="2" w:tplc="4D9E1D92">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2" w15:restartNumberingAfterBreak="0">
    <w:nsid w:val="636B3F59"/>
    <w:multiLevelType w:val="hybridMultilevel"/>
    <w:tmpl w:val="B4523426"/>
    <w:lvl w:ilvl="0" w:tplc="1342095A">
      <w:start w:val="1"/>
      <w:numFmt w:val="decimal"/>
      <w:lvlText w:val="(%1)"/>
      <w:lvlJc w:val="left"/>
      <w:pPr>
        <w:ind w:left="367"/>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31B205AA">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6E77B8">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9EE5AA">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1272AE">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365BD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72FA62">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8A909E">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BC052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3" w15:restartNumberingAfterBreak="0">
    <w:nsid w:val="637A006D"/>
    <w:multiLevelType w:val="hybridMultilevel"/>
    <w:tmpl w:val="12DCC966"/>
    <w:lvl w:ilvl="0" w:tplc="A00A34BA">
      <w:start w:val="1"/>
      <w:numFmt w:val="decimal"/>
      <w:lvlText w:val="(%1)"/>
      <w:lvlJc w:val="left"/>
      <w:pPr>
        <w:ind w:left="1440" w:hanging="360"/>
      </w:pPr>
      <w:rPr>
        <w:rFonts w:eastAsiaTheme="minorHAnsi" w:hint="default"/>
        <w:b w:val="0"/>
        <w:bCs/>
        <w:i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4" w15:restartNumberingAfterBreak="0">
    <w:nsid w:val="63AF6E13"/>
    <w:multiLevelType w:val="hybridMultilevel"/>
    <w:tmpl w:val="AED80AC2"/>
    <w:lvl w:ilvl="0" w:tplc="248A2A9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63C255B9"/>
    <w:multiLevelType w:val="hybridMultilevel"/>
    <w:tmpl w:val="A2089EF2"/>
    <w:lvl w:ilvl="0" w:tplc="148EF4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63CF45CB"/>
    <w:multiLevelType w:val="hybridMultilevel"/>
    <w:tmpl w:val="E020ECC0"/>
    <w:lvl w:ilvl="0" w:tplc="1C66D2A2">
      <w:start w:val="1"/>
      <w:numFmt w:val="lowerLetter"/>
      <w:lvlText w:val="%1)"/>
      <w:lvlJc w:val="left"/>
      <w:pPr>
        <w:ind w:left="281"/>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D5163DD8">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B6AE1A">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D84B6A">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FE058E">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40A36C">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E26672">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6275B0">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5CED8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7" w15:restartNumberingAfterBreak="0">
    <w:nsid w:val="63CF541E"/>
    <w:multiLevelType w:val="hybridMultilevel"/>
    <w:tmpl w:val="F55A1998"/>
    <w:lvl w:ilvl="0" w:tplc="EE141C02">
      <w:start w:val="1"/>
      <w:numFmt w:val="decimal"/>
      <w:lvlText w:val="(%1)"/>
      <w:lvlJc w:val="left"/>
      <w:pPr>
        <w:ind w:left="1287" w:hanging="360"/>
      </w:pPr>
      <w:rPr>
        <w:rFonts w:eastAsiaTheme="minorHAnsi" w:hint="default"/>
        <w:i w:val="0"/>
        <w:color w:val="auto"/>
      </w:rPr>
    </w:lvl>
    <w:lvl w:ilvl="1" w:tplc="9B0A4AD2">
      <w:start w:val="1"/>
      <w:numFmt w:val="decimal"/>
      <w:lvlText w:val="(%2)"/>
      <w:lvlJc w:val="left"/>
      <w:pPr>
        <w:ind w:left="2629" w:hanging="360"/>
      </w:pPr>
      <w:rPr>
        <w:rFonts w:hint="default"/>
        <w:i w:val="0"/>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8" w15:restartNumberingAfterBreak="0">
    <w:nsid w:val="63F03057"/>
    <w:multiLevelType w:val="hybridMultilevel"/>
    <w:tmpl w:val="5C28BDDA"/>
    <w:lvl w:ilvl="0" w:tplc="F7D68D04">
      <w:start w:val="1"/>
      <w:numFmt w:val="decimal"/>
      <w:lvlText w:val="%1)"/>
      <w:lvlJc w:val="left"/>
      <w:pPr>
        <w:ind w:left="720" w:hanging="360"/>
      </w:pPr>
    </w:lvl>
    <w:lvl w:ilvl="1" w:tplc="6E24DDE4">
      <w:start w:val="1"/>
      <w:numFmt w:val="decimal"/>
      <w:lvlText w:val="%2)"/>
      <w:lvlJc w:val="left"/>
      <w:pPr>
        <w:ind w:left="720" w:hanging="360"/>
      </w:pPr>
    </w:lvl>
    <w:lvl w:ilvl="2" w:tplc="0B5C4B16">
      <w:start w:val="1"/>
      <w:numFmt w:val="decimal"/>
      <w:lvlText w:val="%3)"/>
      <w:lvlJc w:val="left"/>
      <w:pPr>
        <w:ind w:left="720" w:hanging="360"/>
      </w:pPr>
    </w:lvl>
    <w:lvl w:ilvl="3" w:tplc="213C531C">
      <w:start w:val="1"/>
      <w:numFmt w:val="decimal"/>
      <w:lvlText w:val="%4)"/>
      <w:lvlJc w:val="left"/>
      <w:pPr>
        <w:ind w:left="720" w:hanging="360"/>
      </w:pPr>
    </w:lvl>
    <w:lvl w:ilvl="4" w:tplc="E52E9C1E">
      <w:start w:val="1"/>
      <w:numFmt w:val="decimal"/>
      <w:lvlText w:val="%5)"/>
      <w:lvlJc w:val="left"/>
      <w:pPr>
        <w:ind w:left="720" w:hanging="360"/>
      </w:pPr>
    </w:lvl>
    <w:lvl w:ilvl="5" w:tplc="A5089970">
      <w:start w:val="1"/>
      <w:numFmt w:val="decimal"/>
      <w:lvlText w:val="%6)"/>
      <w:lvlJc w:val="left"/>
      <w:pPr>
        <w:ind w:left="720" w:hanging="360"/>
      </w:pPr>
    </w:lvl>
    <w:lvl w:ilvl="6" w:tplc="DE1A0B34">
      <w:start w:val="1"/>
      <w:numFmt w:val="decimal"/>
      <w:lvlText w:val="%7)"/>
      <w:lvlJc w:val="left"/>
      <w:pPr>
        <w:ind w:left="720" w:hanging="360"/>
      </w:pPr>
    </w:lvl>
    <w:lvl w:ilvl="7" w:tplc="3C7A7FA8">
      <w:start w:val="1"/>
      <w:numFmt w:val="decimal"/>
      <w:lvlText w:val="%8)"/>
      <w:lvlJc w:val="left"/>
      <w:pPr>
        <w:ind w:left="720" w:hanging="360"/>
      </w:pPr>
    </w:lvl>
    <w:lvl w:ilvl="8" w:tplc="C0668B7C">
      <w:start w:val="1"/>
      <w:numFmt w:val="decimal"/>
      <w:lvlText w:val="%9)"/>
      <w:lvlJc w:val="left"/>
      <w:pPr>
        <w:ind w:left="720" w:hanging="360"/>
      </w:pPr>
    </w:lvl>
  </w:abstractNum>
  <w:abstractNum w:abstractNumId="379" w15:restartNumberingAfterBreak="0">
    <w:nsid w:val="642A5EEB"/>
    <w:multiLevelType w:val="hybridMultilevel"/>
    <w:tmpl w:val="14789BFC"/>
    <w:lvl w:ilvl="0" w:tplc="44B2BCF6">
      <w:start w:val="1"/>
      <w:numFmt w:val="lowerLetter"/>
      <w:lvlText w:val="%1)"/>
      <w:lvlJc w:val="left"/>
      <w:pPr>
        <w:ind w:left="1146" w:hanging="360"/>
      </w:pPr>
      <w:rPr>
        <w:sz w:val="24"/>
        <w:szCs w:val="24"/>
      </w:rPr>
    </w:lvl>
    <w:lvl w:ilvl="1" w:tplc="08180019" w:tentative="1">
      <w:start w:val="1"/>
      <w:numFmt w:val="lowerLetter"/>
      <w:lvlText w:val="%2."/>
      <w:lvlJc w:val="left"/>
      <w:pPr>
        <w:ind w:left="1866" w:hanging="360"/>
      </w:pPr>
    </w:lvl>
    <w:lvl w:ilvl="2" w:tplc="8B76946E">
      <w:start w:val="1"/>
      <w:numFmt w:val="lowerLetter"/>
      <w:lvlText w:val="%3)"/>
      <w:lvlJc w:val="left"/>
      <w:pPr>
        <w:ind w:left="928" w:hanging="360"/>
      </w:pPr>
      <w:rPr>
        <w:color w:val="auto"/>
        <w:sz w:val="22"/>
        <w:szCs w:val="22"/>
      </w:r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80" w15:restartNumberingAfterBreak="0">
    <w:nsid w:val="645F4DEC"/>
    <w:multiLevelType w:val="hybridMultilevel"/>
    <w:tmpl w:val="1FA2DD38"/>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702CB722">
      <w:start w:val="1"/>
      <w:numFmt w:val="lowerRoman"/>
      <w:lvlText w:val="(%4)"/>
      <w:lvlJc w:val="right"/>
      <w:pPr>
        <w:ind w:left="3447" w:hanging="360"/>
      </w:pPr>
      <w:rPr>
        <w:rFonts w:ascii="PermianSerifTypeface" w:eastAsiaTheme="minorHAnsi" w:hAnsi="PermianSerifTypeface" w:cstheme="minorBidi"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1" w15:restartNumberingAfterBreak="0">
    <w:nsid w:val="649A2ECC"/>
    <w:multiLevelType w:val="hybridMultilevel"/>
    <w:tmpl w:val="354C05EC"/>
    <w:lvl w:ilvl="0" w:tplc="C580635E">
      <w:start w:val="1"/>
      <w:numFmt w:val="lowerLetter"/>
      <w:lvlText w:val="%1)"/>
      <w:lvlJc w:val="left"/>
      <w:pPr>
        <w:ind w:left="720" w:hanging="360"/>
      </w:pPr>
      <w:rPr>
        <w:rFonts w:hint="default"/>
        <w:color w:val="auto"/>
      </w:rPr>
    </w:lvl>
    <w:lvl w:ilvl="1" w:tplc="08180019" w:tentative="1">
      <w:start w:val="1"/>
      <w:numFmt w:val="lowerLetter"/>
      <w:lvlText w:val="%2."/>
      <w:lvlJc w:val="left"/>
      <w:pPr>
        <w:ind w:left="1440" w:hanging="360"/>
      </w:pPr>
    </w:lvl>
    <w:lvl w:ilvl="2" w:tplc="C580635E">
      <w:start w:val="1"/>
      <w:numFmt w:val="lowerLetter"/>
      <w:lvlText w:val="%3)"/>
      <w:lvlJc w:val="left"/>
      <w:pPr>
        <w:ind w:left="900" w:hanging="360"/>
      </w:pPr>
      <w:rPr>
        <w:rFonts w:hint="default"/>
        <w:color w:val="auto"/>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2" w15:restartNumberingAfterBreak="0">
    <w:nsid w:val="64EC0391"/>
    <w:multiLevelType w:val="hybridMultilevel"/>
    <w:tmpl w:val="15DA9AF6"/>
    <w:lvl w:ilvl="0" w:tplc="04090017">
      <w:start w:val="1"/>
      <w:numFmt w:val="lowerLetter"/>
      <w:lvlText w:val="%1)"/>
      <w:lvlJc w:val="left"/>
      <w:pPr>
        <w:ind w:left="1287" w:hanging="360"/>
      </w:pPr>
    </w:lvl>
    <w:lvl w:ilvl="1" w:tplc="7AA0E2E4">
      <w:start w:val="1"/>
      <w:numFmt w:val="decimal"/>
      <w:lvlText w:val="%2)"/>
      <w:lvlJc w:val="left"/>
      <w:pPr>
        <w:ind w:left="2007" w:hanging="360"/>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3" w15:restartNumberingAfterBreak="0">
    <w:nsid w:val="651535CD"/>
    <w:multiLevelType w:val="hybridMultilevel"/>
    <w:tmpl w:val="0960EC2A"/>
    <w:lvl w:ilvl="0" w:tplc="02E2E43C">
      <w:start w:val="1"/>
      <w:numFmt w:val="lowerLetter"/>
      <w:lvlText w:val="%1)"/>
      <w:lvlJc w:val="left"/>
      <w:pPr>
        <w:ind w:left="1069"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4" w15:restartNumberingAfterBreak="0">
    <w:nsid w:val="654836B5"/>
    <w:multiLevelType w:val="hybridMultilevel"/>
    <w:tmpl w:val="CCFA0F20"/>
    <w:lvl w:ilvl="0" w:tplc="04090017">
      <w:start w:val="1"/>
      <w:numFmt w:val="lowerLetter"/>
      <w:lvlText w:val="%1)"/>
      <w:lvlJc w:val="left"/>
      <w:pPr>
        <w:ind w:left="1287" w:hanging="360"/>
      </w:pPr>
    </w:lvl>
    <w:lvl w:ilvl="1" w:tplc="9E827786">
      <w:start w:val="1"/>
      <w:numFmt w:val="decimal"/>
      <w:lvlText w:val="%2)"/>
      <w:lvlJc w:val="left"/>
      <w:pPr>
        <w:ind w:left="2007" w:hanging="360"/>
      </w:pPr>
      <w:rPr>
        <w:rFonts w:hint="default"/>
      </w:rPr>
    </w:lvl>
    <w:lvl w:ilvl="2" w:tplc="4C108ECE">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5" w15:restartNumberingAfterBreak="0">
    <w:nsid w:val="65815AAF"/>
    <w:multiLevelType w:val="hybridMultilevel"/>
    <w:tmpl w:val="B4220F54"/>
    <w:lvl w:ilvl="0" w:tplc="8F0A0814">
      <w:start w:val="1"/>
      <w:numFmt w:val="decimal"/>
      <w:lvlText w:val="(%1)"/>
      <w:lvlJc w:val="left"/>
      <w:pPr>
        <w:ind w:left="1197" w:hanging="360"/>
      </w:pPr>
      <w:rPr>
        <w:rFonts w:hint="default"/>
      </w:rPr>
    </w:lvl>
    <w:lvl w:ilvl="1" w:tplc="8F0A0814">
      <w:start w:val="1"/>
      <w:numFmt w:val="decimal"/>
      <w:lvlText w:val="(%2)"/>
      <w:lvlJc w:val="left"/>
      <w:pPr>
        <w:ind w:left="928" w:hanging="360"/>
      </w:pPr>
      <w:rPr>
        <w:rFonts w:hint="default"/>
      </w:rPr>
    </w:lvl>
    <w:lvl w:ilvl="2" w:tplc="0818001B" w:tentative="1">
      <w:start w:val="1"/>
      <w:numFmt w:val="lowerRoman"/>
      <w:lvlText w:val="%3."/>
      <w:lvlJc w:val="right"/>
      <w:pPr>
        <w:ind w:left="2637" w:hanging="180"/>
      </w:pPr>
    </w:lvl>
    <w:lvl w:ilvl="3" w:tplc="0818000F" w:tentative="1">
      <w:start w:val="1"/>
      <w:numFmt w:val="decimal"/>
      <w:lvlText w:val="%4."/>
      <w:lvlJc w:val="left"/>
      <w:pPr>
        <w:ind w:left="3357" w:hanging="360"/>
      </w:pPr>
    </w:lvl>
    <w:lvl w:ilvl="4" w:tplc="08180019" w:tentative="1">
      <w:start w:val="1"/>
      <w:numFmt w:val="lowerLetter"/>
      <w:lvlText w:val="%5."/>
      <w:lvlJc w:val="left"/>
      <w:pPr>
        <w:ind w:left="4077" w:hanging="360"/>
      </w:pPr>
    </w:lvl>
    <w:lvl w:ilvl="5" w:tplc="0818001B" w:tentative="1">
      <w:start w:val="1"/>
      <w:numFmt w:val="lowerRoman"/>
      <w:lvlText w:val="%6."/>
      <w:lvlJc w:val="right"/>
      <w:pPr>
        <w:ind w:left="4797" w:hanging="180"/>
      </w:pPr>
    </w:lvl>
    <w:lvl w:ilvl="6" w:tplc="0818000F" w:tentative="1">
      <w:start w:val="1"/>
      <w:numFmt w:val="decimal"/>
      <w:lvlText w:val="%7."/>
      <w:lvlJc w:val="left"/>
      <w:pPr>
        <w:ind w:left="5517" w:hanging="360"/>
      </w:pPr>
    </w:lvl>
    <w:lvl w:ilvl="7" w:tplc="08180019" w:tentative="1">
      <w:start w:val="1"/>
      <w:numFmt w:val="lowerLetter"/>
      <w:lvlText w:val="%8."/>
      <w:lvlJc w:val="left"/>
      <w:pPr>
        <w:ind w:left="6237" w:hanging="360"/>
      </w:pPr>
    </w:lvl>
    <w:lvl w:ilvl="8" w:tplc="0818001B" w:tentative="1">
      <w:start w:val="1"/>
      <w:numFmt w:val="lowerRoman"/>
      <w:lvlText w:val="%9."/>
      <w:lvlJc w:val="right"/>
      <w:pPr>
        <w:ind w:left="6957" w:hanging="180"/>
      </w:pPr>
    </w:lvl>
  </w:abstractNum>
  <w:abstractNum w:abstractNumId="386" w15:restartNumberingAfterBreak="0">
    <w:nsid w:val="65C04673"/>
    <w:multiLevelType w:val="hybridMultilevel"/>
    <w:tmpl w:val="FEBE4C82"/>
    <w:lvl w:ilvl="0" w:tplc="9CAC2134">
      <w:start w:val="1"/>
      <w:numFmt w:val="lowerRoman"/>
      <w:lvlText w:val="(%1)"/>
      <w:lvlJc w:val="left"/>
      <w:pPr>
        <w:ind w:left="1146" w:hanging="360"/>
      </w:pPr>
      <w:rPr>
        <w:rFonts w:ascii="PermianSerifTypeface" w:eastAsiaTheme="minorHAnsi" w:hAnsi="PermianSerifTypeface" w:cs="Arial" w:hint="default"/>
        <w:b w:val="0"/>
        <w:i w:val="0"/>
        <w:strike w:val="0"/>
        <w:dstrike w:val="0"/>
        <w:color w:val="000000"/>
        <w:sz w:val="22"/>
        <w:szCs w:val="22"/>
        <w:u w:val="none" w:color="000000"/>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87" w15:restartNumberingAfterBreak="0">
    <w:nsid w:val="6645355B"/>
    <w:multiLevelType w:val="hybridMultilevel"/>
    <w:tmpl w:val="D4EA9776"/>
    <w:lvl w:ilvl="0" w:tplc="04090017">
      <w:start w:val="1"/>
      <w:numFmt w:val="lowerLetter"/>
      <w:lvlText w:val="%1)"/>
      <w:lvlJc w:val="left"/>
      <w:pPr>
        <w:ind w:left="1287" w:hanging="360"/>
      </w:pPr>
    </w:lvl>
    <w:lvl w:ilvl="1" w:tplc="10D2A608">
      <w:start w:val="1"/>
      <w:numFmt w:val="decimal"/>
      <w:lvlText w:val="(%2)"/>
      <w:lvlJc w:val="left"/>
      <w:pPr>
        <w:ind w:left="2052" w:hanging="405"/>
      </w:pPr>
      <w:rPr>
        <w:rFonts w:hint="default"/>
      </w:r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8" w15:restartNumberingAfterBreak="0">
    <w:nsid w:val="66ED5599"/>
    <w:multiLevelType w:val="hybridMultilevel"/>
    <w:tmpl w:val="62C6B6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9" w15:restartNumberingAfterBreak="0">
    <w:nsid w:val="66EE77C1"/>
    <w:multiLevelType w:val="hybridMultilevel"/>
    <w:tmpl w:val="FA368B2E"/>
    <w:lvl w:ilvl="0" w:tplc="00D68CDE">
      <w:start w:val="1"/>
      <w:numFmt w:val="lowerLetter"/>
      <w:lvlText w:val="%1)"/>
      <w:lvlJc w:val="left"/>
      <w:pPr>
        <w:ind w:left="644" w:hanging="360"/>
      </w:pPr>
      <w:rPr>
        <w:rFonts w:hint="default"/>
        <w:b w:val="0"/>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0" w15:restartNumberingAfterBreak="0">
    <w:nsid w:val="6726609A"/>
    <w:multiLevelType w:val="hybridMultilevel"/>
    <w:tmpl w:val="7C96ECBE"/>
    <w:lvl w:ilvl="0" w:tplc="8E108EB6">
      <w:start w:val="1"/>
      <w:numFmt w:val="lowerRoman"/>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91" w15:restartNumberingAfterBreak="0">
    <w:nsid w:val="674E5D72"/>
    <w:multiLevelType w:val="hybridMultilevel"/>
    <w:tmpl w:val="4C221B8C"/>
    <w:lvl w:ilvl="0" w:tplc="8AD0B380">
      <w:start w:val="1"/>
      <w:numFmt w:val="decimal"/>
      <w:lvlText w:val="(%1)"/>
      <w:lvlJc w:val="left"/>
      <w:pPr>
        <w:ind w:left="1287" w:hanging="360"/>
      </w:pPr>
      <w:rPr>
        <w:rFonts w:hint="default"/>
        <w:color w:val="000000"/>
      </w:rPr>
    </w:lvl>
    <w:lvl w:ilvl="1" w:tplc="8AD0B380">
      <w:start w:val="1"/>
      <w:numFmt w:val="decimal"/>
      <w:lvlText w:val="(%2)"/>
      <w:lvlJc w:val="left"/>
      <w:pPr>
        <w:ind w:left="786" w:hanging="360"/>
      </w:pPr>
      <w:rPr>
        <w:rFonts w:hint="default"/>
        <w:color w:val="00000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2" w15:restartNumberingAfterBreak="0">
    <w:nsid w:val="67753F5A"/>
    <w:multiLevelType w:val="hybridMultilevel"/>
    <w:tmpl w:val="C6066062"/>
    <w:lvl w:ilvl="0" w:tplc="251AB49E">
      <w:start w:val="1"/>
      <w:numFmt w:val="lowerLetter"/>
      <w:lvlText w:val="%1)"/>
      <w:lvlJc w:val="left"/>
      <w:pPr>
        <w:ind w:left="1550" w:hanging="360"/>
      </w:pPr>
      <w:rPr>
        <w:i w:val="0"/>
        <w:iCs/>
        <w:color w:val="000000" w:themeColor="text1"/>
      </w:r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393" w15:restartNumberingAfterBreak="0">
    <w:nsid w:val="68AE1C16"/>
    <w:multiLevelType w:val="hybridMultilevel"/>
    <w:tmpl w:val="6EE6CCDE"/>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94" w15:restartNumberingAfterBreak="0">
    <w:nsid w:val="69065420"/>
    <w:multiLevelType w:val="hybridMultilevel"/>
    <w:tmpl w:val="5E7E809A"/>
    <w:lvl w:ilvl="0" w:tplc="2AE05C9A">
      <w:start w:val="1"/>
      <w:numFmt w:val="decimal"/>
      <w:lvlText w:val="(%1)"/>
      <w:lvlJc w:val="left"/>
      <w:pPr>
        <w:ind w:left="1146"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95" w15:restartNumberingAfterBreak="0">
    <w:nsid w:val="69146F5B"/>
    <w:multiLevelType w:val="hybridMultilevel"/>
    <w:tmpl w:val="CF3A8DE4"/>
    <w:lvl w:ilvl="0" w:tplc="04090017">
      <w:start w:val="1"/>
      <w:numFmt w:val="lowerLetter"/>
      <w:lvlText w:val="%1)"/>
      <w:lvlJc w:val="left"/>
      <w:pPr>
        <w:ind w:left="1353" w:hanging="360"/>
      </w:pPr>
    </w:lvl>
    <w:lvl w:ilvl="1" w:tplc="04090019">
      <w:start w:val="1"/>
      <w:numFmt w:val="lowerLetter"/>
      <w:lvlText w:val="%2."/>
      <w:lvlJc w:val="left"/>
      <w:pPr>
        <w:ind w:left="2073" w:hanging="360"/>
      </w:pPr>
    </w:lvl>
    <w:lvl w:ilvl="2" w:tplc="C69271C4">
      <w:start w:val="1"/>
      <w:numFmt w:val="lowerLetter"/>
      <w:lvlText w:val="%3)"/>
      <w:lvlJc w:val="left"/>
      <w:pPr>
        <w:ind w:left="2793" w:hanging="180"/>
      </w:pPr>
      <w:rPr>
        <w:rFonts w:hint="default"/>
        <w:color w:val="auto"/>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6" w15:restartNumberingAfterBreak="0">
    <w:nsid w:val="693F5E03"/>
    <w:multiLevelType w:val="hybridMultilevel"/>
    <w:tmpl w:val="CD92D600"/>
    <w:lvl w:ilvl="0" w:tplc="64E29676">
      <w:start w:val="1"/>
      <w:numFmt w:val="decimal"/>
      <w:lvlText w:val="(%1)"/>
      <w:lvlJc w:val="left"/>
      <w:pPr>
        <w:ind w:left="1146" w:hanging="360"/>
      </w:pPr>
      <w:rPr>
        <w:rFonts w:hint="default"/>
      </w:rPr>
    </w:lvl>
    <w:lvl w:ilvl="1" w:tplc="5D6E993C">
      <w:start w:val="1"/>
      <w:numFmt w:val="decimal"/>
      <w:lvlText w:val="(%2)"/>
      <w:lvlJc w:val="left"/>
      <w:pPr>
        <w:ind w:left="644" w:hanging="360"/>
      </w:pPr>
      <w:rPr>
        <w:rFonts w:hint="default"/>
        <w:color w:val="000000" w:themeColor="text1"/>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7" w15:restartNumberingAfterBreak="0">
    <w:nsid w:val="694678C2"/>
    <w:multiLevelType w:val="hybridMultilevel"/>
    <w:tmpl w:val="B1B8631E"/>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FF841264">
      <w:start w:val="1"/>
      <w:numFmt w:val="lowerRoman"/>
      <w:lvlText w:val="(%4)"/>
      <w:lvlJc w:val="left"/>
      <w:pPr>
        <w:ind w:left="3447" w:hanging="360"/>
      </w:pPr>
      <w:rPr>
        <w:rFonts w:ascii="PermianSerifTypeface" w:eastAsiaTheme="minorHAnsi" w:hAnsi="PermianSerifTypeface" w:cstheme="minorBidi"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8" w15:restartNumberingAfterBreak="0">
    <w:nsid w:val="69885906"/>
    <w:multiLevelType w:val="hybridMultilevel"/>
    <w:tmpl w:val="B926635E"/>
    <w:lvl w:ilvl="0" w:tplc="8FAA0250">
      <w:start w:val="1"/>
      <w:numFmt w:val="decimal"/>
      <w:lvlText w:val="(%1)"/>
      <w:lvlJc w:val="left"/>
      <w:pPr>
        <w:ind w:left="1146"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1" w:tplc="9E384888">
      <w:start w:val="1"/>
      <w:numFmt w:val="decimal"/>
      <w:lvlText w:val="(%2)"/>
      <w:lvlJc w:val="left"/>
      <w:pPr>
        <w:ind w:left="1866"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9" w15:restartNumberingAfterBreak="0">
    <w:nsid w:val="69A70A31"/>
    <w:multiLevelType w:val="hybridMultilevel"/>
    <w:tmpl w:val="6C1E5A9C"/>
    <w:lvl w:ilvl="0" w:tplc="8F0A08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0" w15:restartNumberingAfterBreak="0">
    <w:nsid w:val="69E1396C"/>
    <w:multiLevelType w:val="hybridMultilevel"/>
    <w:tmpl w:val="F3300392"/>
    <w:lvl w:ilvl="0" w:tplc="733C4AA2">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1" w15:restartNumberingAfterBreak="0">
    <w:nsid w:val="6A091ADD"/>
    <w:multiLevelType w:val="hybridMultilevel"/>
    <w:tmpl w:val="48763266"/>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17">
      <w:start w:val="1"/>
      <w:numFmt w:val="lowerLetter"/>
      <w:lvlText w:val="%4)"/>
      <w:lvlJc w:val="left"/>
      <w:pPr>
        <w:ind w:left="2340"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02" w15:restartNumberingAfterBreak="0">
    <w:nsid w:val="6A5873E9"/>
    <w:multiLevelType w:val="hybridMultilevel"/>
    <w:tmpl w:val="DF149B00"/>
    <w:lvl w:ilvl="0" w:tplc="08180017">
      <w:start w:val="1"/>
      <w:numFmt w:val="lowerLetter"/>
      <w:lvlText w:val="%1)"/>
      <w:lvlJc w:val="left"/>
      <w:pPr>
        <w:ind w:left="2880" w:hanging="360"/>
      </w:pPr>
    </w:lvl>
    <w:lvl w:ilvl="1" w:tplc="08180019" w:tentative="1">
      <w:start w:val="1"/>
      <w:numFmt w:val="lowerLetter"/>
      <w:lvlText w:val="%2."/>
      <w:lvlJc w:val="left"/>
      <w:pPr>
        <w:ind w:left="3600" w:hanging="360"/>
      </w:pPr>
    </w:lvl>
    <w:lvl w:ilvl="2" w:tplc="0818001B" w:tentative="1">
      <w:start w:val="1"/>
      <w:numFmt w:val="lowerRoman"/>
      <w:lvlText w:val="%3."/>
      <w:lvlJc w:val="right"/>
      <w:pPr>
        <w:ind w:left="4320" w:hanging="180"/>
      </w:pPr>
    </w:lvl>
    <w:lvl w:ilvl="3" w:tplc="0818000F" w:tentative="1">
      <w:start w:val="1"/>
      <w:numFmt w:val="decimal"/>
      <w:lvlText w:val="%4."/>
      <w:lvlJc w:val="left"/>
      <w:pPr>
        <w:ind w:left="5040" w:hanging="360"/>
      </w:pPr>
    </w:lvl>
    <w:lvl w:ilvl="4" w:tplc="08180019" w:tentative="1">
      <w:start w:val="1"/>
      <w:numFmt w:val="lowerLetter"/>
      <w:lvlText w:val="%5."/>
      <w:lvlJc w:val="left"/>
      <w:pPr>
        <w:ind w:left="5760" w:hanging="360"/>
      </w:pPr>
    </w:lvl>
    <w:lvl w:ilvl="5" w:tplc="0818001B" w:tentative="1">
      <w:start w:val="1"/>
      <w:numFmt w:val="lowerRoman"/>
      <w:lvlText w:val="%6."/>
      <w:lvlJc w:val="right"/>
      <w:pPr>
        <w:ind w:left="6480" w:hanging="180"/>
      </w:pPr>
    </w:lvl>
    <w:lvl w:ilvl="6" w:tplc="0818000F" w:tentative="1">
      <w:start w:val="1"/>
      <w:numFmt w:val="decimal"/>
      <w:lvlText w:val="%7."/>
      <w:lvlJc w:val="left"/>
      <w:pPr>
        <w:ind w:left="7200" w:hanging="360"/>
      </w:pPr>
    </w:lvl>
    <w:lvl w:ilvl="7" w:tplc="08180019" w:tentative="1">
      <w:start w:val="1"/>
      <w:numFmt w:val="lowerLetter"/>
      <w:lvlText w:val="%8."/>
      <w:lvlJc w:val="left"/>
      <w:pPr>
        <w:ind w:left="7920" w:hanging="360"/>
      </w:pPr>
    </w:lvl>
    <w:lvl w:ilvl="8" w:tplc="0818001B" w:tentative="1">
      <w:start w:val="1"/>
      <w:numFmt w:val="lowerRoman"/>
      <w:lvlText w:val="%9."/>
      <w:lvlJc w:val="right"/>
      <w:pPr>
        <w:ind w:left="8640" w:hanging="180"/>
      </w:pPr>
    </w:lvl>
  </w:abstractNum>
  <w:abstractNum w:abstractNumId="403" w15:restartNumberingAfterBreak="0">
    <w:nsid w:val="6B097E7B"/>
    <w:multiLevelType w:val="hybridMultilevel"/>
    <w:tmpl w:val="ECCCF096"/>
    <w:lvl w:ilvl="0" w:tplc="4CBC2872">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F056CA2C">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56A7BC">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2E4284">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868356">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A23AEA">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B4628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C8DD16">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229A0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4" w15:restartNumberingAfterBreak="0">
    <w:nsid w:val="6B3F2C74"/>
    <w:multiLevelType w:val="hybridMultilevel"/>
    <w:tmpl w:val="481013DE"/>
    <w:lvl w:ilvl="0" w:tplc="43CEBFDC">
      <w:start w:val="1"/>
      <w:numFmt w:val="decimal"/>
      <w:lvlText w:val="(%1)"/>
      <w:lvlJc w:val="left"/>
      <w:pPr>
        <w:ind w:left="1080" w:hanging="360"/>
      </w:pPr>
      <w:rPr>
        <w:rFonts w:hint="default"/>
        <w:b w:val="0"/>
        <w:bCs/>
        <w:i w:val="0"/>
        <w:color w:val="auto"/>
      </w:rPr>
    </w:lvl>
    <w:lvl w:ilvl="1" w:tplc="08180019">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05" w15:restartNumberingAfterBreak="0">
    <w:nsid w:val="6B6728E5"/>
    <w:multiLevelType w:val="hybridMultilevel"/>
    <w:tmpl w:val="1FCADBDE"/>
    <w:lvl w:ilvl="0" w:tplc="C674F982">
      <w:start w:val="1"/>
      <w:numFmt w:val="lowerLetter"/>
      <w:lvlText w:val="%1)"/>
      <w:lvlJc w:val="left"/>
      <w:pPr>
        <w:ind w:left="890" w:hanging="180"/>
      </w:pPr>
      <w:rPr>
        <w:color w:val="000000" w:themeColor="text1"/>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6" w15:restartNumberingAfterBreak="0">
    <w:nsid w:val="6BC002E1"/>
    <w:multiLevelType w:val="hybridMultilevel"/>
    <w:tmpl w:val="3D2E6BC0"/>
    <w:lvl w:ilvl="0" w:tplc="42B45F74">
      <w:start w:val="1"/>
      <w:numFmt w:val="decimal"/>
      <w:lvlText w:val="%1."/>
      <w:lvlJc w:val="left"/>
      <w:pPr>
        <w:ind w:left="1020" w:hanging="360"/>
      </w:pPr>
    </w:lvl>
    <w:lvl w:ilvl="1" w:tplc="7106618C">
      <w:start w:val="1"/>
      <w:numFmt w:val="decimal"/>
      <w:lvlText w:val="%2."/>
      <w:lvlJc w:val="left"/>
      <w:pPr>
        <w:ind w:left="1020" w:hanging="360"/>
      </w:pPr>
    </w:lvl>
    <w:lvl w:ilvl="2" w:tplc="BE02F796">
      <w:start w:val="1"/>
      <w:numFmt w:val="decimal"/>
      <w:lvlText w:val="%3."/>
      <w:lvlJc w:val="left"/>
      <w:pPr>
        <w:ind w:left="1020" w:hanging="360"/>
      </w:pPr>
    </w:lvl>
    <w:lvl w:ilvl="3" w:tplc="DAB048C6">
      <w:start w:val="1"/>
      <w:numFmt w:val="decimal"/>
      <w:lvlText w:val="%4."/>
      <w:lvlJc w:val="left"/>
      <w:pPr>
        <w:ind w:left="1020" w:hanging="360"/>
      </w:pPr>
    </w:lvl>
    <w:lvl w:ilvl="4" w:tplc="3EE43196">
      <w:start w:val="1"/>
      <w:numFmt w:val="decimal"/>
      <w:lvlText w:val="%5."/>
      <w:lvlJc w:val="left"/>
      <w:pPr>
        <w:ind w:left="1020" w:hanging="360"/>
      </w:pPr>
    </w:lvl>
    <w:lvl w:ilvl="5" w:tplc="BEBA74C4">
      <w:start w:val="1"/>
      <w:numFmt w:val="decimal"/>
      <w:lvlText w:val="%6."/>
      <w:lvlJc w:val="left"/>
      <w:pPr>
        <w:ind w:left="1020" w:hanging="360"/>
      </w:pPr>
    </w:lvl>
    <w:lvl w:ilvl="6" w:tplc="F1BC6000">
      <w:start w:val="1"/>
      <w:numFmt w:val="decimal"/>
      <w:lvlText w:val="%7."/>
      <w:lvlJc w:val="left"/>
      <w:pPr>
        <w:ind w:left="1020" w:hanging="360"/>
      </w:pPr>
    </w:lvl>
    <w:lvl w:ilvl="7" w:tplc="4D006754">
      <w:start w:val="1"/>
      <w:numFmt w:val="decimal"/>
      <w:lvlText w:val="%8."/>
      <w:lvlJc w:val="left"/>
      <w:pPr>
        <w:ind w:left="1020" w:hanging="360"/>
      </w:pPr>
    </w:lvl>
    <w:lvl w:ilvl="8" w:tplc="735E58B6">
      <w:start w:val="1"/>
      <w:numFmt w:val="decimal"/>
      <w:lvlText w:val="%9."/>
      <w:lvlJc w:val="left"/>
      <w:pPr>
        <w:ind w:left="1020" w:hanging="360"/>
      </w:pPr>
    </w:lvl>
  </w:abstractNum>
  <w:abstractNum w:abstractNumId="407" w15:restartNumberingAfterBreak="0">
    <w:nsid w:val="6BC23C20"/>
    <w:multiLevelType w:val="hybridMultilevel"/>
    <w:tmpl w:val="C360F5D8"/>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start w:val="1"/>
      <w:numFmt w:val="lowerRoman"/>
      <w:lvlText w:val="%3."/>
      <w:lvlJc w:val="right"/>
      <w:pPr>
        <w:ind w:left="2586" w:hanging="180"/>
      </w:pPr>
    </w:lvl>
    <w:lvl w:ilvl="3" w:tplc="0818000F">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08" w15:restartNumberingAfterBreak="0">
    <w:nsid w:val="6C781628"/>
    <w:multiLevelType w:val="hybridMultilevel"/>
    <w:tmpl w:val="4BD23870"/>
    <w:lvl w:ilvl="0" w:tplc="7AF4667A">
      <w:start w:val="1"/>
      <w:numFmt w:val="lowerLetter"/>
      <w:lvlText w:val="%1)"/>
      <w:lvlJc w:val="left"/>
      <w:pPr>
        <w:ind w:left="1276"/>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41D6FF10">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7CAB38">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82DE14">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46041E">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E4A90A">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1A17EE">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90CDB4">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3A52E0">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9" w15:restartNumberingAfterBreak="0">
    <w:nsid w:val="6C845CDD"/>
    <w:multiLevelType w:val="hybridMultilevel"/>
    <w:tmpl w:val="A698C1E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0" w15:restartNumberingAfterBreak="0">
    <w:nsid w:val="6C955D35"/>
    <w:multiLevelType w:val="hybridMultilevel"/>
    <w:tmpl w:val="ACBC2034"/>
    <w:lvl w:ilvl="0" w:tplc="04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4090017">
      <w:start w:val="1"/>
      <w:numFmt w:val="lowerLetter"/>
      <w:lvlText w:val="%3)"/>
      <w:lvlJc w:val="left"/>
      <w:pPr>
        <w:ind w:left="2766"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1" w15:restartNumberingAfterBreak="0">
    <w:nsid w:val="6CEA235A"/>
    <w:multiLevelType w:val="hybridMultilevel"/>
    <w:tmpl w:val="D9169B56"/>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12" w15:restartNumberingAfterBreak="0">
    <w:nsid w:val="6DE24EF5"/>
    <w:multiLevelType w:val="hybridMultilevel"/>
    <w:tmpl w:val="C9541B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3" w15:restartNumberingAfterBreak="0">
    <w:nsid w:val="6E0454F9"/>
    <w:multiLevelType w:val="hybridMultilevel"/>
    <w:tmpl w:val="91F854A6"/>
    <w:lvl w:ilvl="0" w:tplc="F20A2F36">
      <w:start w:val="1"/>
      <w:numFmt w:val="lowerRoman"/>
      <w:lvlText w:val="(%1)"/>
      <w:lvlJc w:val="right"/>
      <w:pPr>
        <w:ind w:left="1146" w:hanging="36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F20A2F36">
      <w:start w:val="1"/>
      <w:numFmt w:val="lowerRoman"/>
      <w:lvlText w:val="(%4)"/>
      <w:lvlJc w:val="right"/>
      <w:pPr>
        <w:ind w:left="3306" w:hanging="360"/>
      </w:pPr>
      <w:rPr>
        <w:rFonts w:ascii="PermianSerifTypeface" w:eastAsiaTheme="minorHAnsi" w:hAnsi="PermianSerifTypeface" w:cstheme="minorBidi" w:hint="default"/>
        <w:b w:val="0"/>
        <w:i w:val="0"/>
        <w:strike w:val="0"/>
        <w:dstrike w:val="0"/>
        <w:color w:val="000000"/>
        <w:sz w:val="22"/>
        <w:szCs w:val="22"/>
        <w:u w:val="none" w:color="000000"/>
        <w:bdr w:val="none" w:sz="0" w:space="0" w:color="auto"/>
        <w:shd w:val="clear" w:color="auto" w:fill="auto"/>
        <w:vertAlign w:val="baseline"/>
      </w:r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14" w15:restartNumberingAfterBreak="0">
    <w:nsid w:val="6E2971F4"/>
    <w:multiLevelType w:val="hybridMultilevel"/>
    <w:tmpl w:val="67EC6A6E"/>
    <w:lvl w:ilvl="0" w:tplc="08180017">
      <w:start w:val="1"/>
      <w:numFmt w:val="lowerLetter"/>
      <w:lvlText w:val="%1)"/>
      <w:lvlJc w:val="left"/>
      <w:pPr>
        <w:ind w:left="928"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6E9C20BE"/>
    <w:multiLevelType w:val="hybridMultilevel"/>
    <w:tmpl w:val="F8C2CB0A"/>
    <w:lvl w:ilvl="0" w:tplc="FFFFFFFF">
      <w:start w:val="1"/>
      <w:numFmt w:val="decimal"/>
      <w:lvlText w:val="(%1)"/>
      <w:lvlJc w:val="left"/>
      <w:pPr>
        <w:ind w:left="1146" w:hanging="360"/>
      </w:pPr>
      <w:rPr>
        <w:rFonts w:hint="default"/>
      </w:rPr>
    </w:lvl>
    <w:lvl w:ilvl="1" w:tplc="04090017">
      <w:start w:val="1"/>
      <w:numFmt w:val="lowerLetter"/>
      <w:lvlText w:val="%2)"/>
      <w:lvlJc w:val="left"/>
      <w:pPr>
        <w:ind w:left="36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6" w15:restartNumberingAfterBreak="0">
    <w:nsid w:val="6F1F3612"/>
    <w:multiLevelType w:val="hybridMultilevel"/>
    <w:tmpl w:val="522829F6"/>
    <w:lvl w:ilvl="0" w:tplc="3B188A12">
      <w:start w:val="1"/>
      <w:numFmt w:val="decimal"/>
      <w:lvlText w:val="(%1)"/>
      <w:lvlJc w:val="left"/>
      <w:pPr>
        <w:ind w:left="720" w:hanging="360"/>
      </w:pPr>
      <w:rPr>
        <w:rFonts w:eastAsiaTheme="minorHAnsi" w:hint="default"/>
        <w:b w:val="0"/>
        <w:bCs w:val="0"/>
        <w:i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7" w15:restartNumberingAfterBreak="0">
    <w:nsid w:val="6F2E0EAF"/>
    <w:multiLevelType w:val="hybridMultilevel"/>
    <w:tmpl w:val="3900112E"/>
    <w:lvl w:ilvl="0" w:tplc="66066830">
      <w:start w:val="1"/>
      <w:numFmt w:val="decimal"/>
      <w:lvlText w:val="(%1)"/>
      <w:lvlJc w:val="left"/>
      <w:pPr>
        <w:ind w:left="1069" w:hanging="360"/>
      </w:pPr>
      <w:rPr>
        <w:rFonts w:hint="default"/>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8" w15:restartNumberingAfterBreak="0">
    <w:nsid w:val="6F6B3C2C"/>
    <w:multiLevelType w:val="hybridMultilevel"/>
    <w:tmpl w:val="41282A8C"/>
    <w:lvl w:ilvl="0" w:tplc="EE141C02">
      <w:start w:val="1"/>
      <w:numFmt w:val="decimal"/>
      <w:lvlText w:val="(%1)"/>
      <w:lvlJc w:val="left"/>
      <w:pPr>
        <w:ind w:left="786" w:hanging="360"/>
      </w:pPr>
      <w:rPr>
        <w:rFonts w:eastAsiaTheme="minorHAnsi" w:hint="default"/>
        <w:i w:val="0"/>
        <w:color w:val="auto"/>
      </w:r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419" w15:restartNumberingAfterBreak="0">
    <w:nsid w:val="6FC651A5"/>
    <w:multiLevelType w:val="hybridMultilevel"/>
    <w:tmpl w:val="51406C3C"/>
    <w:lvl w:ilvl="0" w:tplc="08180017">
      <w:start w:val="1"/>
      <w:numFmt w:val="lowerLetter"/>
      <w:lvlText w:val="%1)"/>
      <w:lvlJc w:val="left"/>
      <w:pPr>
        <w:ind w:left="1146" w:hanging="360"/>
      </w:pPr>
    </w:lvl>
    <w:lvl w:ilvl="1" w:tplc="A01835AC">
      <w:start w:val="1"/>
      <w:numFmt w:val="lowerLetter"/>
      <w:lvlText w:val="%2)"/>
      <w:lvlJc w:val="left"/>
      <w:pPr>
        <w:ind w:left="1146" w:hanging="360"/>
      </w:pPr>
      <w:rPr>
        <w:color w:val="auto"/>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20" w15:restartNumberingAfterBreak="0">
    <w:nsid w:val="6FE279BE"/>
    <w:multiLevelType w:val="hybridMultilevel"/>
    <w:tmpl w:val="1660E526"/>
    <w:lvl w:ilvl="0" w:tplc="8B54A9F4">
      <w:start w:val="1"/>
      <w:numFmt w:val="lowerLetter"/>
      <w:lvlText w:val="%1)"/>
      <w:lvlJc w:val="left"/>
      <w:pPr>
        <w:ind w:left="1146" w:hanging="36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21" w15:restartNumberingAfterBreak="0">
    <w:nsid w:val="70567147"/>
    <w:multiLevelType w:val="hybridMultilevel"/>
    <w:tmpl w:val="1DF46A9E"/>
    <w:lvl w:ilvl="0" w:tplc="B3BCC282">
      <w:start w:val="1"/>
      <w:numFmt w:val="lowerLetter"/>
      <w:lvlText w:val="%1)"/>
      <w:lvlJc w:val="left"/>
      <w:pPr>
        <w:ind w:left="1429" w:hanging="360"/>
      </w:pPr>
      <w:rPr>
        <w:rFonts w:hint="default"/>
        <w:b w:val="0"/>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422" w15:restartNumberingAfterBreak="0">
    <w:nsid w:val="707B7DEB"/>
    <w:multiLevelType w:val="hybridMultilevel"/>
    <w:tmpl w:val="D85AB4A0"/>
    <w:lvl w:ilvl="0" w:tplc="AFD4E7CE">
      <w:start w:val="1"/>
      <w:numFmt w:val="lowerRoman"/>
      <w:lvlText w:val="(%1)"/>
      <w:lvlJc w:val="left"/>
      <w:pPr>
        <w:ind w:left="1146" w:hanging="360"/>
      </w:pPr>
      <w:rPr>
        <w:rFonts w:ascii="PermianSerifTypeface" w:eastAsiaTheme="minorHAnsi" w:hAnsi="PermianSerifTypeface" w:cstheme="minorBidi"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23" w15:restartNumberingAfterBreak="0">
    <w:nsid w:val="71687714"/>
    <w:multiLevelType w:val="hybridMultilevel"/>
    <w:tmpl w:val="3BBC0BE2"/>
    <w:lvl w:ilvl="0" w:tplc="BECE78CC">
      <w:start w:val="1"/>
      <w:numFmt w:val="lowerRoman"/>
      <w:lvlText w:val="(%1)"/>
      <w:lvlJc w:val="right"/>
      <w:pPr>
        <w:ind w:left="720" w:hanging="360"/>
      </w:pPr>
      <w:rPr>
        <w:rFonts w:ascii="PermianSerifTypeface" w:eastAsiaTheme="minorHAnsi" w:hAnsi="PermianSerifTypeface" w:cs="Arial"/>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4" w15:restartNumberingAfterBreak="0">
    <w:nsid w:val="72062BF1"/>
    <w:multiLevelType w:val="hybridMultilevel"/>
    <w:tmpl w:val="2098F188"/>
    <w:lvl w:ilvl="0" w:tplc="F12A8A6A">
      <w:start w:val="1"/>
      <w:numFmt w:val="lowerLetter"/>
      <w:lvlText w:val="%1)"/>
      <w:lvlJc w:val="left"/>
      <w:pPr>
        <w:ind w:left="114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8FAA0250">
      <w:start w:val="1"/>
      <w:numFmt w:val="decimal"/>
      <w:lvlText w:val="(%2)"/>
      <w:lvlJc w:val="left"/>
      <w:pPr>
        <w:ind w:left="1866" w:hanging="360"/>
      </w:pPr>
      <w:rPr>
        <w:rFonts w:ascii="PermianSerifTypeface" w:eastAsia="Times New Roman" w:hAnsi="PermianSerifTypeface" w:cs="Times New Roman" w:hint="default"/>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5" w15:restartNumberingAfterBreak="0">
    <w:nsid w:val="72450B57"/>
    <w:multiLevelType w:val="hybridMultilevel"/>
    <w:tmpl w:val="82E2AB76"/>
    <w:lvl w:ilvl="0" w:tplc="08180017">
      <w:start w:val="1"/>
      <w:numFmt w:val="lowerLetter"/>
      <w:lvlText w:val="%1)"/>
      <w:lvlJc w:val="left"/>
      <w:pPr>
        <w:ind w:left="1070" w:hanging="360"/>
      </w:p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426" w15:restartNumberingAfterBreak="0">
    <w:nsid w:val="7274208D"/>
    <w:multiLevelType w:val="hybridMultilevel"/>
    <w:tmpl w:val="DE38BFCC"/>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A4C0D724">
      <w:start w:val="1"/>
      <w:numFmt w:val="lowerLetter"/>
      <w:lvlText w:val="%3)"/>
      <w:lvlJc w:val="left"/>
      <w:pPr>
        <w:ind w:left="1146" w:hanging="360"/>
      </w:pPr>
      <w:rPr>
        <w:color w:val="auto"/>
      </w:r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27" w15:restartNumberingAfterBreak="0">
    <w:nsid w:val="73042F72"/>
    <w:multiLevelType w:val="hybridMultilevel"/>
    <w:tmpl w:val="E2764D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F94A48B0">
      <w:start w:val="1"/>
      <w:numFmt w:val="lowerLetter"/>
      <w:lvlText w:val="%3)"/>
      <w:lvlJc w:val="left"/>
      <w:pPr>
        <w:ind w:left="2727"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8" w15:restartNumberingAfterBreak="0">
    <w:nsid w:val="73665DD9"/>
    <w:multiLevelType w:val="hybridMultilevel"/>
    <w:tmpl w:val="38741158"/>
    <w:lvl w:ilvl="0" w:tplc="CCBAB024">
      <w:start w:val="1"/>
      <w:numFmt w:val="decimal"/>
      <w:lvlText w:val="(%1)"/>
      <w:lvlJc w:val="left"/>
      <w:pPr>
        <w:ind w:left="107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9" w15:restartNumberingAfterBreak="0">
    <w:nsid w:val="739F7437"/>
    <w:multiLevelType w:val="hybridMultilevel"/>
    <w:tmpl w:val="E1004944"/>
    <w:lvl w:ilvl="0" w:tplc="06C8836A">
      <w:start w:val="1"/>
      <w:numFmt w:val="decimal"/>
      <w:lvlText w:val="(%1)"/>
      <w:lvlJc w:val="left"/>
      <w:pPr>
        <w:ind w:left="142" w:hanging="360"/>
      </w:pPr>
      <w:rPr>
        <w:rFonts w:ascii="Times New Roman" w:eastAsia="Times New Roman" w:hAnsi="Times New Roman" w:cs="Times New Roman" w:hint="default"/>
        <w:color w:val="auto"/>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30" w15:restartNumberingAfterBreak="0">
    <w:nsid w:val="73DA50EB"/>
    <w:multiLevelType w:val="hybridMultilevel"/>
    <w:tmpl w:val="B344D840"/>
    <w:lvl w:ilvl="0" w:tplc="ABD6B344">
      <w:start w:val="1"/>
      <w:numFmt w:val="lowerLetter"/>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491646FE">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68A604">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38E354">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021038">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1A8288">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B66B46">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64800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76E3D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1" w15:restartNumberingAfterBreak="0">
    <w:nsid w:val="74066DF6"/>
    <w:multiLevelType w:val="hybridMultilevel"/>
    <w:tmpl w:val="9DD8E3AC"/>
    <w:lvl w:ilvl="0" w:tplc="04090017">
      <w:start w:val="1"/>
      <w:numFmt w:val="lowerLetter"/>
      <w:lvlText w:val="%1)"/>
      <w:lvlJc w:val="left"/>
      <w:pPr>
        <w:ind w:left="720" w:hanging="360"/>
      </w:pPr>
      <w:rPr>
        <w:rFonts w:hint="default"/>
      </w:rPr>
    </w:lvl>
    <w:lvl w:ilvl="1" w:tplc="64E2967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741F1FC4"/>
    <w:multiLevelType w:val="hybridMultilevel"/>
    <w:tmpl w:val="605C15C4"/>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1146"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33" w15:restartNumberingAfterBreak="0">
    <w:nsid w:val="74466B15"/>
    <w:multiLevelType w:val="hybridMultilevel"/>
    <w:tmpl w:val="94A40662"/>
    <w:lvl w:ilvl="0" w:tplc="78E69B3A">
      <w:start w:val="1"/>
      <w:numFmt w:val="decimal"/>
      <w:lvlText w:val="(%1)"/>
      <w:lvlJc w:val="left"/>
      <w:pPr>
        <w:ind w:left="720" w:hanging="360"/>
      </w:pPr>
      <w:rPr>
        <w:rFonts w:hint="default"/>
      </w:rPr>
    </w:lvl>
    <w:lvl w:ilvl="1" w:tplc="78E69B3A">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2B70EC26">
      <w:start w:val="1"/>
      <w:numFmt w:val="lowerLetter"/>
      <w:lvlText w:val="%4)"/>
      <w:lvlJc w:val="left"/>
      <w:pPr>
        <w:ind w:left="360" w:hanging="360"/>
      </w:pPr>
      <w:rPr>
        <w:rFonts w:ascii="PermianSerifTypeface" w:eastAsiaTheme="minorHAnsi" w:hAnsi="PermianSerifTypeface" w:cstheme="minorBidi"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4" w15:restartNumberingAfterBreak="0">
    <w:nsid w:val="74541A1E"/>
    <w:multiLevelType w:val="hybridMultilevel"/>
    <w:tmpl w:val="7388BB30"/>
    <w:lvl w:ilvl="0" w:tplc="64E29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4CA4100"/>
    <w:multiLevelType w:val="hybridMultilevel"/>
    <w:tmpl w:val="F2A8E106"/>
    <w:lvl w:ilvl="0" w:tplc="FFFFFFFF">
      <w:start w:val="1"/>
      <w:numFmt w:val="decimal"/>
      <w:lvlText w:val="(%1)"/>
      <w:lvlJc w:val="left"/>
      <w:pPr>
        <w:ind w:left="1069" w:hanging="360"/>
      </w:pPr>
      <w:rPr>
        <w:rFonts w:hint="default"/>
        <w:color w:val="00000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6" w15:restartNumberingAfterBreak="0">
    <w:nsid w:val="74F078F7"/>
    <w:multiLevelType w:val="hybridMultilevel"/>
    <w:tmpl w:val="53A65E42"/>
    <w:lvl w:ilvl="0" w:tplc="A8F2F0BE">
      <w:start w:val="1"/>
      <w:numFmt w:val="decimal"/>
      <w:lvlText w:val="(%1)"/>
      <w:lvlJc w:val="left"/>
      <w:pPr>
        <w:ind w:left="10"/>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7354DEC8">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B6FEE2">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0CBF82">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BAE1C8">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8E184C">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A6866A">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E28A60">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784CD2">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7" w15:restartNumberingAfterBreak="0">
    <w:nsid w:val="75150923"/>
    <w:multiLevelType w:val="hybridMultilevel"/>
    <w:tmpl w:val="07F0BB3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720"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8" w15:restartNumberingAfterBreak="0">
    <w:nsid w:val="75AB7D6E"/>
    <w:multiLevelType w:val="hybridMultilevel"/>
    <w:tmpl w:val="5A1EC9EC"/>
    <w:lvl w:ilvl="0" w:tplc="AFD4E7CE">
      <w:start w:val="1"/>
      <w:numFmt w:val="lowerRoman"/>
      <w:lvlText w:val="(%1)"/>
      <w:lvlJc w:val="left"/>
      <w:pPr>
        <w:ind w:left="1146" w:hanging="360"/>
      </w:pPr>
      <w:rPr>
        <w:rFonts w:ascii="PermianSerifTypeface" w:eastAsiaTheme="minorHAnsi" w:hAnsi="PermianSerifTypeface" w:cstheme="minorBidi"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39" w15:restartNumberingAfterBreak="0">
    <w:nsid w:val="767D5B34"/>
    <w:multiLevelType w:val="hybridMultilevel"/>
    <w:tmpl w:val="35B24AB8"/>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7">
      <w:start w:val="1"/>
      <w:numFmt w:val="lowerLetter"/>
      <w:lvlText w:val="%3)"/>
      <w:lvlJc w:val="left"/>
      <w:pPr>
        <w:ind w:left="720" w:hanging="36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40" w15:restartNumberingAfterBreak="0">
    <w:nsid w:val="76905446"/>
    <w:multiLevelType w:val="hybridMultilevel"/>
    <w:tmpl w:val="488A361E"/>
    <w:lvl w:ilvl="0" w:tplc="FFFFFFFF">
      <w:start w:val="1"/>
      <w:numFmt w:val="decimal"/>
      <w:lvlText w:val="(%1)"/>
      <w:lvlJc w:val="left"/>
      <w:pPr>
        <w:ind w:left="1146" w:hanging="360"/>
      </w:pPr>
      <w:rPr>
        <w:rFonts w:hint="default"/>
      </w:rPr>
    </w:lvl>
    <w:lvl w:ilvl="1" w:tplc="64E29676">
      <w:start w:val="1"/>
      <w:numFmt w:val="decimal"/>
      <w:lvlText w:val="(%2)"/>
      <w:lvlJc w:val="left"/>
      <w:pPr>
        <w:ind w:left="114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1" w15:restartNumberingAfterBreak="0">
    <w:nsid w:val="76BF4AF6"/>
    <w:multiLevelType w:val="hybridMultilevel"/>
    <w:tmpl w:val="EF589AC4"/>
    <w:lvl w:ilvl="0" w:tplc="5BB221FE">
      <w:start w:val="1"/>
      <w:numFmt w:val="lowerLetter"/>
      <w:lvlText w:val="%1)"/>
      <w:lvlJc w:val="left"/>
      <w:pPr>
        <w:ind w:left="1146" w:hanging="360"/>
      </w:pPr>
      <w:rPr>
        <w:rFonts w:ascii="PermianSerifTypeface" w:eastAsiaTheme="minorHAnsi" w:hAnsi="PermianSerifTypeface" w:cstheme="minorBidi" w:hint="default"/>
      </w:rPr>
    </w:lvl>
    <w:lvl w:ilvl="1" w:tplc="64E29676">
      <w:start w:val="1"/>
      <w:numFmt w:val="decimal"/>
      <w:lvlText w:val="(%2)"/>
      <w:lvlJc w:val="left"/>
      <w:pPr>
        <w:ind w:left="1866" w:hanging="360"/>
      </w:pPr>
      <w:rPr>
        <w:rFonts w:hint="default"/>
      </w:rPr>
    </w:lvl>
    <w:lvl w:ilvl="2" w:tplc="04090017">
      <w:start w:val="1"/>
      <w:numFmt w:val="lowerLetter"/>
      <w:lvlText w:val="%3)"/>
      <w:lvlJc w:val="lef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2" w15:restartNumberingAfterBreak="0">
    <w:nsid w:val="76DE7460"/>
    <w:multiLevelType w:val="hybridMultilevel"/>
    <w:tmpl w:val="A984DB78"/>
    <w:lvl w:ilvl="0" w:tplc="A00A34BA">
      <w:start w:val="1"/>
      <w:numFmt w:val="decimal"/>
      <w:lvlText w:val="(%1)"/>
      <w:lvlJc w:val="left"/>
      <w:pPr>
        <w:ind w:left="2226" w:hanging="360"/>
      </w:pPr>
      <w:rPr>
        <w:rFonts w:eastAsiaTheme="minorHAnsi" w:hint="default"/>
        <w:b w:val="0"/>
        <w:bCs/>
        <w:i w:val="0"/>
        <w:color w:val="auto"/>
      </w:rPr>
    </w:lvl>
    <w:lvl w:ilvl="1" w:tplc="08180019" w:tentative="1">
      <w:start w:val="1"/>
      <w:numFmt w:val="lowerLetter"/>
      <w:lvlText w:val="%2."/>
      <w:lvlJc w:val="left"/>
      <w:pPr>
        <w:ind w:left="2946" w:hanging="360"/>
      </w:pPr>
    </w:lvl>
    <w:lvl w:ilvl="2" w:tplc="0818001B" w:tentative="1">
      <w:start w:val="1"/>
      <w:numFmt w:val="lowerRoman"/>
      <w:lvlText w:val="%3."/>
      <w:lvlJc w:val="right"/>
      <w:pPr>
        <w:ind w:left="3666" w:hanging="180"/>
      </w:pPr>
    </w:lvl>
    <w:lvl w:ilvl="3" w:tplc="0818000F" w:tentative="1">
      <w:start w:val="1"/>
      <w:numFmt w:val="decimal"/>
      <w:lvlText w:val="%4."/>
      <w:lvlJc w:val="left"/>
      <w:pPr>
        <w:ind w:left="4386" w:hanging="360"/>
      </w:pPr>
    </w:lvl>
    <w:lvl w:ilvl="4" w:tplc="08180019" w:tentative="1">
      <w:start w:val="1"/>
      <w:numFmt w:val="lowerLetter"/>
      <w:lvlText w:val="%5."/>
      <w:lvlJc w:val="left"/>
      <w:pPr>
        <w:ind w:left="5106" w:hanging="360"/>
      </w:pPr>
    </w:lvl>
    <w:lvl w:ilvl="5" w:tplc="0818001B" w:tentative="1">
      <w:start w:val="1"/>
      <w:numFmt w:val="lowerRoman"/>
      <w:lvlText w:val="%6."/>
      <w:lvlJc w:val="right"/>
      <w:pPr>
        <w:ind w:left="5826" w:hanging="180"/>
      </w:pPr>
    </w:lvl>
    <w:lvl w:ilvl="6" w:tplc="0818000F" w:tentative="1">
      <w:start w:val="1"/>
      <w:numFmt w:val="decimal"/>
      <w:lvlText w:val="%7."/>
      <w:lvlJc w:val="left"/>
      <w:pPr>
        <w:ind w:left="6546" w:hanging="360"/>
      </w:pPr>
    </w:lvl>
    <w:lvl w:ilvl="7" w:tplc="08180019" w:tentative="1">
      <w:start w:val="1"/>
      <w:numFmt w:val="lowerLetter"/>
      <w:lvlText w:val="%8."/>
      <w:lvlJc w:val="left"/>
      <w:pPr>
        <w:ind w:left="7266" w:hanging="360"/>
      </w:pPr>
    </w:lvl>
    <w:lvl w:ilvl="8" w:tplc="0818001B" w:tentative="1">
      <w:start w:val="1"/>
      <w:numFmt w:val="lowerRoman"/>
      <w:lvlText w:val="%9."/>
      <w:lvlJc w:val="right"/>
      <w:pPr>
        <w:ind w:left="7986" w:hanging="180"/>
      </w:pPr>
    </w:lvl>
  </w:abstractNum>
  <w:abstractNum w:abstractNumId="443" w15:restartNumberingAfterBreak="0">
    <w:nsid w:val="775847F1"/>
    <w:multiLevelType w:val="hybridMultilevel"/>
    <w:tmpl w:val="D65C405C"/>
    <w:lvl w:ilvl="0" w:tplc="FFFFFFFF">
      <w:start w:val="1"/>
      <w:numFmt w:val="decimal"/>
      <w:lvlText w:val="%1)"/>
      <w:lvlJc w:val="left"/>
      <w:pPr>
        <w:ind w:left="1146" w:hanging="360"/>
      </w:pPr>
    </w:lvl>
    <w:lvl w:ilvl="1" w:tplc="0818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4" w15:restartNumberingAfterBreak="0">
    <w:nsid w:val="77BE7A07"/>
    <w:multiLevelType w:val="hybridMultilevel"/>
    <w:tmpl w:val="EA6A62FE"/>
    <w:lvl w:ilvl="0" w:tplc="484E5FC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23864EF4">
      <w:start w:val="1"/>
      <w:numFmt w:val="lowerRoman"/>
      <w:lvlText w:val="(%4)"/>
      <w:lvlJc w:val="right"/>
      <w:pPr>
        <w:ind w:left="2880" w:hanging="360"/>
      </w:pPr>
      <w:rPr>
        <w:rFonts w:ascii="PermianSerifTypeface" w:eastAsia="Times New Roman" w:hAnsi="PermianSerifTypeface"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77CA6439"/>
    <w:multiLevelType w:val="hybridMultilevel"/>
    <w:tmpl w:val="65EC8F18"/>
    <w:lvl w:ilvl="0" w:tplc="72186662">
      <w:start w:val="1"/>
      <w:numFmt w:val="decimal"/>
      <w:lvlText w:val="(%1)"/>
      <w:lvlJc w:val="left"/>
      <w:pPr>
        <w:ind w:left="1866" w:hanging="36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6" w15:restartNumberingAfterBreak="0">
    <w:nsid w:val="77E150D1"/>
    <w:multiLevelType w:val="hybridMultilevel"/>
    <w:tmpl w:val="79BCBC4A"/>
    <w:lvl w:ilvl="0" w:tplc="29CE2DD8">
      <w:start w:val="1"/>
      <w:numFmt w:val="lowerLetter"/>
      <w:lvlText w:val="%1)"/>
      <w:lvlJc w:val="left"/>
      <w:pPr>
        <w:ind w:left="928"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47" w15:restartNumberingAfterBreak="0">
    <w:nsid w:val="7808153C"/>
    <w:multiLevelType w:val="hybridMultilevel"/>
    <w:tmpl w:val="A7166588"/>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48" w15:restartNumberingAfterBreak="0">
    <w:nsid w:val="7811639A"/>
    <w:multiLevelType w:val="hybridMultilevel"/>
    <w:tmpl w:val="0966008E"/>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A91E80E0">
      <w:start w:val="1"/>
      <w:numFmt w:val="lowerLetter"/>
      <w:lvlText w:val="%3)"/>
      <w:lvlJc w:val="left"/>
      <w:pPr>
        <w:ind w:left="1146" w:hanging="360"/>
      </w:pPr>
      <w:rPr>
        <w:color w:val="auto"/>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9" w15:restartNumberingAfterBreak="0">
    <w:nsid w:val="785B0F3B"/>
    <w:multiLevelType w:val="hybridMultilevel"/>
    <w:tmpl w:val="179068F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0" w15:restartNumberingAfterBreak="0">
    <w:nsid w:val="78A53160"/>
    <w:multiLevelType w:val="hybridMultilevel"/>
    <w:tmpl w:val="27B25D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CF9C182C">
      <w:start w:val="1"/>
      <w:numFmt w:val="lowerRoman"/>
      <w:lvlText w:val="(%4)"/>
      <w:lvlJc w:val="left"/>
      <w:pPr>
        <w:ind w:left="3447" w:hanging="360"/>
      </w:pPr>
      <w:rPr>
        <w:rFonts w:ascii="PermianSerifTypeface" w:eastAsiaTheme="minorHAnsi" w:hAnsi="PermianSerifTypeface" w:cstheme="minorBidi"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1" w15:restartNumberingAfterBreak="0">
    <w:nsid w:val="78E71498"/>
    <w:multiLevelType w:val="hybridMultilevel"/>
    <w:tmpl w:val="EBDE40C2"/>
    <w:lvl w:ilvl="0" w:tplc="D04C9354">
      <w:start w:val="1"/>
      <w:numFmt w:val="lowerLetter"/>
      <w:lvlText w:val="%1)"/>
      <w:lvlJc w:val="left"/>
      <w:pPr>
        <w:ind w:left="367"/>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2" w15:restartNumberingAfterBreak="0">
    <w:nsid w:val="792B27C7"/>
    <w:multiLevelType w:val="hybridMultilevel"/>
    <w:tmpl w:val="949E09C2"/>
    <w:lvl w:ilvl="0" w:tplc="EE141C02">
      <w:start w:val="1"/>
      <w:numFmt w:val="decimal"/>
      <w:lvlText w:val="(%1)"/>
      <w:lvlJc w:val="left"/>
      <w:pPr>
        <w:ind w:left="1491" w:hanging="360"/>
      </w:pPr>
      <w:rPr>
        <w:rFonts w:eastAsiaTheme="minorHAnsi" w:hint="default"/>
        <w:i w:val="0"/>
        <w:color w:val="auto"/>
      </w:rPr>
    </w:lvl>
    <w:lvl w:ilvl="1" w:tplc="08180019" w:tentative="1">
      <w:start w:val="1"/>
      <w:numFmt w:val="lowerLetter"/>
      <w:lvlText w:val="%2."/>
      <w:lvlJc w:val="left"/>
      <w:pPr>
        <w:ind w:left="2211" w:hanging="360"/>
      </w:pPr>
    </w:lvl>
    <w:lvl w:ilvl="2" w:tplc="0818001B" w:tentative="1">
      <w:start w:val="1"/>
      <w:numFmt w:val="lowerRoman"/>
      <w:lvlText w:val="%3."/>
      <w:lvlJc w:val="right"/>
      <w:pPr>
        <w:ind w:left="2931" w:hanging="180"/>
      </w:pPr>
    </w:lvl>
    <w:lvl w:ilvl="3" w:tplc="0818000F" w:tentative="1">
      <w:start w:val="1"/>
      <w:numFmt w:val="decimal"/>
      <w:lvlText w:val="%4."/>
      <w:lvlJc w:val="left"/>
      <w:pPr>
        <w:ind w:left="3651" w:hanging="360"/>
      </w:pPr>
    </w:lvl>
    <w:lvl w:ilvl="4" w:tplc="08180019" w:tentative="1">
      <w:start w:val="1"/>
      <w:numFmt w:val="lowerLetter"/>
      <w:lvlText w:val="%5."/>
      <w:lvlJc w:val="left"/>
      <w:pPr>
        <w:ind w:left="4371" w:hanging="360"/>
      </w:pPr>
    </w:lvl>
    <w:lvl w:ilvl="5" w:tplc="0818001B" w:tentative="1">
      <w:start w:val="1"/>
      <w:numFmt w:val="lowerRoman"/>
      <w:lvlText w:val="%6."/>
      <w:lvlJc w:val="right"/>
      <w:pPr>
        <w:ind w:left="5091" w:hanging="180"/>
      </w:pPr>
    </w:lvl>
    <w:lvl w:ilvl="6" w:tplc="0818000F" w:tentative="1">
      <w:start w:val="1"/>
      <w:numFmt w:val="decimal"/>
      <w:lvlText w:val="%7."/>
      <w:lvlJc w:val="left"/>
      <w:pPr>
        <w:ind w:left="5811" w:hanging="360"/>
      </w:pPr>
    </w:lvl>
    <w:lvl w:ilvl="7" w:tplc="08180019" w:tentative="1">
      <w:start w:val="1"/>
      <w:numFmt w:val="lowerLetter"/>
      <w:lvlText w:val="%8."/>
      <w:lvlJc w:val="left"/>
      <w:pPr>
        <w:ind w:left="6531" w:hanging="360"/>
      </w:pPr>
    </w:lvl>
    <w:lvl w:ilvl="8" w:tplc="0818001B" w:tentative="1">
      <w:start w:val="1"/>
      <w:numFmt w:val="lowerRoman"/>
      <w:lvlText w:val="%9."/>
      <w:lvlJc w:val="right"/>
      <w:pPr>
        <w:ind w:left="7251" w:hanging="180"/>
      </w:pPr>
    </w:lvl>
  </w:abstractNum>
  <w:abstractNum w:abstractNumId="453" w15:restartNumberingAfterBreak="0">
    <w:nsid w:val="79842164"/>
    <w:multiLevelType w:val="hybridMultilevel"/>
    <w:tmpl w:val="504CE8F2"/>
    <w:lvl w:ilvl="0" w:tplc="08180017">
      <w:start w:val="1"/>
      <w:numFmt w:val="lowerLetter"/>
      <w:lvlText w:val="%1)"/>
      <w:lvlJc w:val="left"/>
      <w:pPr>
        <w:ind w:left="1004" w:hanging="360"/>
      </w:p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454" w15:restartNumberingAfterBreak="0">
    <w:nsid w:val="79A04FA6"/>
    <w:multiLevelType w:val="hybridMultilevel"/>
    <w:tmpl w:val="372AB566"/>
    <w:lvl w:ilvl="0" w:tplc="82BE5276">
      <w:start w:val="1"/>
      <w:numFmt w:val="lowerLetter"/>
      <w:lvlText w:val="%1)"/>
      <w:lvlJc w:val="left"/>
      <w:pPr>
        <w:ind w:left="502" w:hanging="360"/>
      </w:pPr>
      <w:rPr>
        <w:i w:val="0"/>
        <w:iCs/>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5" w15:restartNumberingAfterBreak="0">
    <w:nsid w:val="7A085011"/>
    <w:multiLevelType w:val="hybridMultilevel"/>
    <w:tmpl w:val="533EC886"/>
    <w:lvl w:ilvl="0" w:tplc="31260E8E">
      <w:start w:val="1"/>
      <w:numFmt w:val="lowerLetter"/>
      <w:lvlText w:val="%1)"/>
      <w:lvlJc w:val="left"/>
      <w:pPr>
        <w:ind w:left="295"/>
      </w:pPr>
      <w:rPr>
        <w:rFonts w:ascii="PermianSerifTypeface" w:eastAsia="Times New Roman" w:hAnsi="PermianSerifTypeface" w:cs="Times New Roman" w:hint="default"/>
        <w:b w:val="0"/>
        <w:i w:val="0"/>
        <w:strike w:val="0"/>
        <w:dstrike w:val="0"/>
        <w:color w:val="000000"/>
        <w:sz w:val="22"/>
        <w:szCs w:val="22"/>
        <w:u w:val="none" w:color="000000"/>
        <w:bdr w:val="none" w:sz="0" w:space="0" w:color="auto"/>
        <w:shd w:val="clear" w:color="auto" w:fill="auto"/>
        <w:vertAlign w:val="baseline"/>
      </w:rPr>
    </w:lvl>
    <w:lvl w:ilvl="1" w:tplc="CCE61A94">
      <w:start w:val="1"/>
      <w:numFmt w:val="lowerLetter"/>
      <w:lvlText w:val="%2"/>
      <w:lvlJc w:val="left"/>
      <w:pPr>
        <w:ind w:left="1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3095E6">
      <w:start w:val="1"/>
      <w:numFmt w:val="lowerRoman"/>
      <w:lvlText w:val="%3"/>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F09752">
      <w:start w:val="1"/>
      <w:numFmt w:val="decimal"/>
      <w:lvlText w:val="%4"/>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DAA568">
      <w:start w:val="1"/>
      <w:numFmt w:val="lowerLetter"/>
      <w:lvlText w:val="%5"/>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7A4FE4">
      <w:start w:val="1"/>
      <w:numFmt w:val="lowerRoman"/>
      <w:lvlText w:val="%6"/>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666A4">
      <w:start w:val="1"/>
      <w:numFmt w:val="decimal"/>
      <w:lvlText w:val="%7"/>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588432">
      <w:start w:val="1"/>
      <w:numFmt w:val="lowerLetter"/>
      <w:lvlText w:val="%8"/>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AC1DE">
      <w:start w:val="1"/>
      <w:numFmt w:val="lowerRoman"/>
      <w:lvlText w:val="%9"/>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6" w15:restartNumberingAfterBreak="0">
    <w:nsid w:val="7A7C3212"/>
    <w:multiLevelType w:val="hybridMultilevel"/>
    <w:tmpl w:val="0E3A4124"/>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57" w15:restartNumberingAfterBreak="0">
    <w:nsid w:val="7AAA0D3D"/>
    <w:multiLevelType w:val="hybridMultilevel"/>
    <w:tmpl w:val="D1E4C3FC"/>
    <w:lvl w:ilvl="0" w:tplc="484AB0EA">
      <w:start w:val="1"/>
      <w:numFmt w:val="decimal"/>
      <w:lvlText w:val="(%1)"/>
      <w:lvlJc w:val="left"/>
      <w:pPr>
        <w:ind w:left="1069" w:hanging="360"/>
      </w:pPr>
      <w:rPr>
        <w:rFonts w:ascii="Times New Roman" w:eastAsia="Times New Roman"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8" w15:restartNumberingAfterBreak="0">
    <w:nsid w:val="7AB42200"/>
    <w:multiLevelType w:val="hybridMultilevel"/>
    <w:tmpl w:val="78B2A5F8"/>
    <w:lvl w:ilvl="0" w:tplc="AFD4E7CE">
      <w:start w:val="1"/>
      <w:numFmt w:val="lowerRoman"/>
      <w:lvlText w:val="(%1)"/>
      <w:lvlJc w:val="left"/>
      <w:pPr>
        <w:ind w:left="720" w:hanging="360"/>
      </w:pPr>
      <w:rPr>
        <w:rFonts w:ascii="PermianSerifTypeface" w:eastAsiaTheme="minorHAnsi" w:hAnsi="PermianSerifTypeface" w:cstheme="minorBidi" w:hint="default"/>
      </w:rPr>
    </w:lvl>
    <w:lvl w:ilvl="1" w:tplc="A2AE6240">
      <w:start w:val="1"/>
      <w:numFmt w:val="decimal"/>
      <w:lvlText w:val="(%2)"/>
      <w:lvlJc w:val="left"/>
      <w:pPr>
        <w:ind w:left="1515" w:hanging="435"/>
      </w:pPr>
      <w:rPr>
        <w:rFonts w:hint="default"/>
        <w:color w:val="auto"/>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9" w15:restartNumberingAfterBreak="0">
    <w:nsid w:val="7ACA7362"/>
    <w:multiLevelType w:val="hybridMultilevel"/>
    <w:tmpl w:val="C57A88A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78689BC4">
      <w:start w:val="1"/>
      <w:numFmt w:val="lowerLetter"/>
      <w:lvlText w:val="%3)"/>
      <w:lvlJc w:val="left"/>
      <w:pPr>
        <w:ind w:left="2586" w:hanging="180"/>
      </w:pPr>
      <w:rPr>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0" w15:restartNumberingAfterBreak="0">
    <w:nsid w:val="7AFE2962"/>
    <w:multiLevelType w:val="hybridMultilevel"/>
    <w:tmpl w:val="ABFC675A"/>
    <w:lvl w:ilvl="0" w:tplc="7CDA1AB6">
      <w:start w:val="1"/>
      <w:numFmt w:val="decimal"/>
      <w:lvlText w:val="(%1)"/>
      <w:lvlJc w:val="left"/>
      <w:pPr>
        <w:ind w:left="1287" w:hanging="360"/>
      </w:pPr>
      <w:rPr>
        <w:rFonts w:hint="default"/>
        <w:color w:val="auto"/>
      </w:rPr>
    </w:lvl>
    <w:lvl w:ilvl="1" w:tplc="9312C4B2">
      <w:start w:val="1"/>
      <w:numFmt w:val="decimal"/>
      <w:lvlText w:val="(%2)"/>
      <w:lvlJc w:val="left"/>
      <w:pPr>
        <w:ind w:left="2007" w:hanging="360"/>
      </w:pPr>
      <w:rPr>
        <w:rFonts w:ascii="PermianSerifTypeface" w:eastAsiaTheme="minorHAnsi" w:hAnsi="PermianSerifTypeface" w:cstheme="minorBidi" w:hint="default"/>
        <w:b w:val="0"/>
        <w:bCs w:val="0"/>
      </w:rPr>
    </w:lvl>
    <w:lvl w:ilvl="2" w:tplc="033A0AC0">
      <w:start w:val="1"/>
      <w:numFmt w:val="lowerLetter"/>
      <w:lvlText w:val="%3)"/>
      <w:lvlJc w:val="left"/>
      <w:pPr>
        <w:ind w:left="890" w:hanging="18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1" w15:restartNumberingAfterBreak="0">
    <w:nsid w:val="7B280DCE"/>
    <w:multiLevelType w:val="hybridMultilevel"/>
    <w:tmpl w:val="0C0A3AD8"/>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720" w:hanging="360"/>
      </w:pPr>
    </w:lvl>
    <w:lvl w:ilvl="3" w:tplc="C8B6736C">
      <w:start w:val="1"/>
      <w:numFmt w:val="lowerRoman"/>
      <w:lvlText w:val="(%4)"/>
      <w:lvlJc w:val="left"/>
      <w:pPr>
        <w:ind w:left="2880" w:hanging="360"/>
      </w:pPr>
      <w:rPr>
        <w:rFonts w:ascii="PermianSerifTypeface" w:eastAsia="Times New Roman" w:hAnsi="PermianSerifTypeface" w:cs="Arial"/>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2" w15:restartNumberingAfterBreak="0">
    <w:nsid w:val="7B4712ED"/>
    <w:multiLevelType w:val="hybridMultilevel"/>
    <w:tmpl w:val="3DC4FDDE"/>
    <w:lvl w:ilvl="0" w:tplc="C580635E">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3" w15:restartNumberingAfterBreak="0">
    <w:nsid w:val="7B5F3409"/>
    <w:multiLevelType w:val="hybridMultilevel"/>
    <w:tmpl w:val="D844549A"/>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64" w15:restartNumberingAfterBreak="0">
    <w:nsid w:val="7B832A34"/>
    <w:multiLevelType w:val="hybridMultilevel"/>
    <w:tmpl w:val="DC30A1A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7">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5" w15:restartNumberingAfterBreak="0">
    <w:nsid w:val="7BA66E1F"/>
    <w:multiLevelType w:val="hybridMultilevel"/>
    <w:tmpl w:val="A9303FAC"/>
    <w:lvl w:ilvl="0" w:tplc="208886D2">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BE72F6C"/>
    <w:multiLevelType w:val="hybridMultilevel"/>
    <w:tmpl w:val="1A023FFC"/>
    <w:lvl w:ilvl="0" w:tplc="269EDE48">
      <w:start w:val="1"/>
      <w:numFmt w:val="decimal"/>
      <w:lvlText w:val="(%1)"/>
      <w:lvlJc w:val="left"/>
      <w:pPr>
        <w:ind w:left="786" w:hanging="360"/>
      </w:pPr>
      <w:rPr>
        <w:rFonts w:hint="default"/>
        <w:b w:val="0"/>
        <w:b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7" w15:restartNumberingAfterBreak="0">
    <w:nsid w:val="7C075C3B"/>
    <w:multiLevelType w:val="hybridMultilevel"/>
    <w:tmpl w:val="58260E32"/>
    <w:lvl w:ilvl="0" w:tplc="78E69B3A">
      <w:start w:val="1"/>
      <w:numFmt w:val="decimal"/>
      <w:lvlText w:val="(%1)"/>
      <w:lvlJc w:val="left"/>
      <w:pPr>
        <w:ind w:left="1146" w:hanging="360"/>
      </w:pPr>
      <w:rPr>
        <w:rFonts w:hint="default"/>
      </w:rPr>
    </w:lvl>
    <w:lvl w:ilvl="1" w:tplc="78E69B3A">
      <w:start w:val="1"/>
      <w:numFmt w:val="decimal"/>
      <w:lvlText w:val="(%2)"/>
      <w:lvlJc w:val="left"/>
      <w:pPr>
        <w:ind w:left="928" w:hanging="360"/>
      </w:pPr>
      <w:rPr>
        <w:rFonts w:hint="default"/>
      </w:r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68" w15:restartNumberingAfterBreak="0">
    <w:nsid w:val="7C2C7949"/>
    <w:multiLevelType w:val="hybridMultilevel"/>
    <w:tmpl w:val="8530F9C8"/>
    <w:lvl w:ilvl="0" w:tplc="08180017">
      <w:start w:val="1"/>
      <w:numFmt w:val="lowerLetter"/>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69" w15:restartNumberingAfterBreak="0">
    <w:nsid w:val="7C396A6F"/>
    <w:multiLevelType w:val="hybridMultilevel"/>
    <w:tmpl w:val="5CCEC5D6"/>
    <w:lvl w:ilvl="0" w:tplc="F920DC52">
      <w:start w:val="1"/>
      <w:numFmt w:val="decimal"/>
      <w:lvlText w:val="(%1)"/>
      <w:lvlJc w:val="left"/>
      <w:pPr>
        <w:ind w:left="1440" w:hanging="360"/>
      </w:pPr>
      <w:rPr>
        <w:rFonts w:hint="default"/>
      </w:rPr>
    </w:lvl>
    <w:lvl w:ilvl="1" w:tplc="08180019" w:tentative="1">
      <w:start w:val="1"/>
      <w:numFmt w:val="lowerLetter"/>
      <w:lvlText w:val="%2."/>
      <w:lvlJc w:val="left"/>
      <w:pPr>
        <w:ind w:left="873" w:hanging="360"/>
      </w:pPr>
    </w:lvl>
    <w:lvl w:ilvl="2" w:tplc="0818001B" w:tentative="1">
      <w:start w:val="1"/>
      <w:numFmt w:val="lowerRoman"/>
      <w:lvlText w:val="%3."/>
      <w:lvlJc w:val="right"/>
      <w:pPr>
        <w:ind w:left="1593" w:hanging="180"/>
      </w:pPr>
    </w:lvl>
    <w:lvl w:ilvl="3" w:tplc="0818000F" w:tentative="1">
      <w:start w:val="1"/>
      <w:numFmt w:val="decimal"/>
      <w:lvlText w:val="%4."/>
      <w:lvlJc w:val="left"/>
      <w:pPr>
        <w:ind w:left="2313" w:hanging="360"/>
      </w:pPr>
    </w:lvl>
    <w:lvl w:ilvl="4" w:tplc="08180019" w:tentative="1">
      <w:start w:val="1"/>
      <w:numFmt w:val="lowerLetter"/>
      <w:lvlText w:val="%5."/>
      <w:lvlJc w:val="left"/>
      <w:pPr>
        <w:ind w:left="3033" w:hanging="360"/>
      </w:pPr>
    </w:lvl>
    <w:lvl w:ilvl="5" w:tplc="0818001B" w:tentative="1">
      <w:start w:val="1"/>
      <w:numFmt w:val="lowerRoman"/>
      <w:lvlText w:val="%6."/>
      <w:lvlJc w:val="right"/>
      <w:pPr>
        <w:ind w:left="3753" w:hanging="180"/>
      </w:pPr>
    </w:lvl>
    <w:lvl w:ilvl="6" w:tplc="0818000F" w:tentative="1">
      <w:start w:val="1"/>
      <w:numFmt w:val="decimal"/>
      <w:lvlText w:val="%7."/>
      <w:lvlJc w:val="left"/>
      <w:pPr>
        <w:ind w:left="4473" w:hanging="360"/>
      </w:pPr>
    </w:lvl>
    <w:lvl w:ilvl="7" w:tplc="08180019" w:tentative="1">
      <w:start w:val="1"/>
      <w:numFmt w:val="lowerLetter"/>
      <w:lvlText w:val="%8."/>
      <w:lvlJc w:val="left"/>
      <w:pPr>
        <w:ind w:left="5193" w:hanging="360"/>
      </w:pPr>
    </w:lvl>
    <w:lvl w:ilvl="8" w:tplc="0818001B" w:tentative="1">
      <w:start w:val="1"/>
      <w:numFmt w:val="lowerRoman"/>
      <w:lvlText w:val="%9."/>
      <w:lvlJc w:val="right"/>
      <w:pPr>
        <w:ind w:left="5913" w:hanging="180"/>
      </w:pPr>
    </w:lvl>
  </w:abstractNum>
  <w:abstractNum w:abstractNumId="470" w15:restartNumberingAfterBreak="0">
    <w:nsid w:val="7C4F4751"/>
    <w:multiLevelType w:val="hybridMultilevel"/>
    <w:tmpl w:val="7F3ED930"/>
    <w:lvl w:ilvl="0" w:tplc="8E108EB6">
      <w:start w:val="1"/>
      <w:numFmt w:val="lowerRoman"/>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71" w15:restartNumberingAfterBreak="0">
    <w:nsid w:val="7D09160C"/>
    <w:multiLevelType w:val="hybridMultilevel"/>
    <w:tmpl w:val="E3583136"/>
    <w:lvl w:ilvl="0" w:tplc="43CEBFDC">
      <w:start w:val="1"/>
      <w:numFmt w:val="decimal"/>
      <w:lvlText w:val="(%1)"/>
      <w:lvlJc w:val="left"/>
      <w:pPr>
        <w:ind w:left="720" w:hanging="360"/>
      </w:pPr>
      <w:rPr>
        <w:rFonts w:hint="default"/>
        <w:b w:val="0"/>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D49361A"/>
    <w:multiLevelType w:val="hybridMultilevel"/>
    <w:tmpl w:val="25AC931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2340"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3" w15:restartNumberingAfterBreak="0">
    <w:nsid w:val="7D5E4470"/>
    <w:multiLevelType w:val="hybridMultilevel"/>
    <w:tmpl w:val="53F8B98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7">
      <w:start w:val="1"/>
      <w:numFmt w:val="lowerLetter"/>
      <w:lvlText w:val="%3)"/>
      <w:lvlJc w:val="lef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4" w15:restartNumberingAfterBreak="0">
    <w:nsid w:val="7D725CC2"/>
    <w:multiLevelType w:val="hybridMultilevel"/>
    <w:tmpl w:val="D88AB3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7D935347"/>
    <w:multiLevelType w:val="hybridMultilevel"/>
    <w:tmpl w:val="7698065A"/>
    <w:lvl w:ilvl="0" w:tplc="9B0A4AD2">
      <w:start w:val="1"/>
      <w:numFmt w:val="decimal"/>
      <w:lvlText w:val="(%1)"/>
      <w:lvlJc w:val="left"/>
      <w:pPr>
        <w:ind w:left="1287" w:hanging="360"/>
      </w:pPr>
      <w:rPr>
        <w:rFonts w:hint="default"/>
        <w:i w:val="0"/>
        <w:color w:val="auto"/>
      </w:rPr>
    </w:lvl>
    <w:lvl w:ilvl="1" w:tplc="EE141C02">
      <w:start w:val="1"/>
      <w:numFmt w:val="decimal"/>
      <w:lvlText w:val="(%2)"/>
      <w:lvlJc w:val="left"/>
      <w:pPr>
        <w:ind w:left="2007" w:hanging="360"/>
      </w:pPr>
      <w:rPr>
        <w:rFonts w:eastAsiaTheme="minorHAnsi" w:hint="default"/>
        <w:i w:val="0"/>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6" w15:restartNumberingAfterBreak="0">
    <w:nsid w:val="7E24030B"/>
    <w:multiLevelType w:val="hybridMultilevel"/>
    <w:tmpl w:val="3B3A6B4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1146" w:hanging="36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7" w15:restartNumberingAfterBreak="0">
    <w:nsid w:val="7E6F4F88"/>
    <w:multiLevelType w:val="hybridMultilevel"/>
    <w:tmpl w:val="9EB284E0"/>
    <w:lvl w:ilvl="0" w:tplc="64E2967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8" w15:restartNumberingAfterBreak="0">
    <w:nsid w:val="7E851528"/>
    <w:multiLevelType w:val="hybridMultilevel"/>
    <w:tmpl w:val="B60EB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E9F76C0"/>
    <w:multiLevelType w:val="hybridMultilevel"/>
    <w:tmpl w:val="D88AB3C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0" w15:restartNumberingAfterBreak="0">
    <w:nsid w:val="7F6F1F9D"/>
    <w:multiLevelType w:val="hybridMultilevel"/>
    <w:tmpl w:val="15DC13E2"/>
    <w:lvl w:ilvl="0" w:tplc="EE7CC1DE">
      <w:start w:val="1"/>
      <w:numFmt w:val="lowerLetter"/>
      <w:lvlText w:val="%1)"/>
      <w:lvlJc w:val="left"/>
      <w:pPr>
        <w:ind w:left="773" w:hanging="360"/>
      </w:pPr>
      <w:rPr>
        <w:rFonts w:ascii="PermianSerifTypeface" w:eastAsia="Times New Roman" w:hAnsi="PermianSerifTypeface" w:cs="Times New Roman" w:hint="default"/>
        <w:b w:val="0"/>
        <w:i w:val="0"/>
        <w:strike w:val="0"/>
        <w:dstrike w:val="0"/>
        <w:color w:val="000000"/>
        <w:sz w:val="20"/>
        <w:szCs w:val="20"/>
        <w:u w:val="none" w:color="000000"/>
        <w:bdr w:val="none" w:sz="0" w:space="0" w:color="auto"/>
        <w:shd w:val="clear" w:color="auto" w:fill="auto"/>
        <w:vertAlign w:val="baseline"/>
      </w:rPr>
    </w:lvl>
    <w:lvl w:ilvl="1" w:tplc="08180019" w:tentative="1">
      <w:start w:val="1"/>
      <w:numFmt w:val="lowerLetter"/>
      <w:lvlText w:val="%2."/>
      <w:lvlJc w:val="left"/>
      <w:pPr>
        <w:ind w:left="1493" w:hanging="360"/>
      </w:pPr>
    </w:lvl>
    <w:lvl w:ilvl="2" w:tplc="0818001B" w:tentative="1">
      <w:start w:val="1"/>
      <w:numFmt w:val="lowerRoman"/>
      <w:lvlText w:val="%3."/>
      <w:lvlJc w:val="right"/>
      <w:pPr>
        <w:ind w:left="2213" w:hanging="180"/>
      </w:pPr>
    </w:lvl>
    <w:lvl w:ilvl="3" w:tplc="0818000F" w:tentative="1">
      <w:start w:val="1"/>
      <w:numFmt w:val="decimal"/>
      <w:lvlText w:val="%4."/>
      <w:lvlJc w:val="left"/>
      <w:pPr>
        <w:ind w:left="2933" w:hanging="360"/>
      </w:pPr>
    </w:lvl>
    <w:lvl w:ilvl="4" w:tplc="08180019" w:tentative="1">
      <w:start w:val="1"/>
      <w:numFmt w:val="lowerLetter"/>
      <w:lvlText w:val="%5."/>
      <w:lvlJc w:val="left"/>
      <w:pPr>
        <w:ind w:left="3653" w:hanging="360"/>
      </w:pPr>
    </w:lvl>
    <w:lvl w:ilvl="5" w:tplc="0818001B" w:tentative="1">
      <w:start w:val="1"/>
      <w:numFmt w:val="lowerRoman"/>
      <w:lvlText w:val="%6."/>
      <w:lvlJc w:val="right"/>
      <w:pPr>
        <w:ind w:left="4373" w:hanging="180"/>
      </w:pPr>
    </w:lvl>
    <w:lvl w:ilvl="6" w:tplc="0818000F" w:tentative="1">
      <w:start w:val="1"/>
      <w:numFmt w:val="decimal"/>
      <w:lvlText w:val="%7."/>
      <w:lvlJc w:val="left"/>
      <w:pPr>
        <w:ind w:left="5093" w:hanging="360"/>
      </w:pPr>
    </w:lvl>
    <w:lvl w:ilvl="7" w:tplc="08180019" w:tentative="1">
      <w:start w:val="1"/>
      <w:numFmt w:val="lowerLetter"/>
      <w:lvlText w:val="%8."/>
      <w:lvlJc w:val="left"/>
      <w:pPr>
        <w:ind w:left="5813" w:hanging="360"/>
      </w:pPr>
    </w:lvl>
    <w:lvl w:ilvl="8" w:tplc="0818001B" w:tentative="1">
      <w:start w:val="1"/>
      <w:numFmt w:val="lowerRoman"/>
      <w:lvlText w:val="%9."/>
      <w:lvlJc w:val="right"/>
      <w:pPr>
        <w:ind w:left="6533" w:hanging="180"/>
      </w:pPr>
    </w:lvl>
  </w:abstractNum>
  <w:abstractNum w:abstractNumId="481" w15:restartNumberingAfterBreak="0">
    <w:nsid w:val="7FA9466F"/>
    <w:multiLevelType w:val="hybridMultilevel"/>
    <w:tmpl w:val="B08EB2E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027026843">
    <w:abstractNumId w:val="361"/>
  </w:num>
  <w:num w:numId="2" w16cid:durableId="1502116251">
    <w:abstractNumId w:val="462"/>
  </w:num>
  <w:num w:numId="3" w16cid:durableId="1626739352">
    <w:abstractNumId w:val="454"/>
  </w:num>
  <w:num w:numId="4" w16cid:durableId="359473380">
    <w:abstractNumId w:val="146"/>
  </w:num>
  <w:num w:numId="5" w16cid:durableId="1931544987">
    <w:abstractNumId w:val="412"/>
  </w:num>
  <w:num w:numId="6" w16cid:durableId="93327595">
    <w:abstractNumId w:val="148"/>
  </w:num>
  <w:num w:numId="7" w16cid:durableId="170068575">
    <w:abstractNumId w:val="206"/>
  </w:num>
  <w:num w:numId="8" w16cid:durableId="1249117229">
    <w:abstractNumId w:val="18"/>
  </w:num>
  <w:num w:numId="9" w16cid:durableId="1447850984">
    <w:abstractNumId w:val="333"/>
  </w:num>
  <w:num w:numId="10" w16cid:durableId="1445880298">
    <w:abstractNumId w:val="354"/>
  </w:num>
  <w:num w:numId="11" w16cid:durableId="2097942009">
    <w:abstractNumId w:val="223"/>
  </w:num>
  <w:num w:numId="12" w16cid:durableId="513962470">
    <w:abstractNumId w:val="20"/>
  </w:num>
  <w:num w:numId="13" w16cid:durableId="878082466">
    <w:abstractNumId w:val="403"/>
  </w:num>
  <w:num w:numId="14" w16cid:durableId="1200977205">
    <w:abstractNumId w:val="232"/>
  </w:num>
  <w:num w:numId="15" w16cid:durableId="8533265">
    <w:abstractNumId w:val="103"/>
  </w:num>
  <w:num w:numId="16" w16cid:durableId="1971083687">
    <w:abstractNumId w:val="256"/>
  </w:num>
  <w:num w:numId="17" w16cid:durableId="1030228946">
    <w:abstractNumId w:val="330"/>
  </w:num>
  <w:num w:numId="18" w16cid:durableId="1694384014">
    <w:abstractNumId w:val="137"/>
  </w:num>
  <w:num w:numId="19" w16cid:durableId="1719430068">
    <w:abstractNumId w:val="430"/>
  </w:num>
  <w:num w:numId="20" w16cid:durableId="2018800571">
    <w:abstractNumId w:val="248"/>
  </w:num>
  <w:num w:numId="21" w16cid:durableId="1898472827">
    <w:abstractNumId w:val="191"/>
  </w:num>
  <w:num w:numId="22" w16cid:durableId="1261833424">
    <w:abstractNumId w:val="234"/>
  </w:num>
  <w:num w:numId="23" w16cid:durableId="1925337493">
    <w:abstractNumId w:val="224"/>
  </w:num>
  <w:num w:numId="24" w16cid:durableId="755976381">
    <w:abstractNumId w:val="93"/>
  </w:num>
  <w:num w:numId="25" w16cid:durableId="1060667248">
    <w:abstractNumId w:val="167"/>
  </w:num>
  <w:num w:numId="26" w16cid:durableId="255023304">
    <w:abstractNumId w:val="105"/>
  </w:num>
  <w:num w:numId="27" w16cid:durableId="797993718">
    <w:abstractNumId w:val="408"/>
  </w:num>
  <w:num w:numId="28" w16cid:durableId="1002050105">
    <w:abstractNumId w:val="455"/>
  </w:num>
  <w:num w:numId="29" w16cid:durableId="753429540">
    <w:abstractNumId w:val="21"/>
  </w:num>
  <w:num w:numId="30" w16cid:durableId="1610240505">
    <w:abstractNumId w:val="32"/>
  </w:num>
  <w:num w:numId="31" w16cid:durableId="1699161151">
    <w:abstractNumId w:val="349"/>
  </w:num>
  <w:num w:numId="32" w16cid:durableId="1179737357">
    <w:abstractNumId w:val="436"/>
  </w:num>
  <w:num w:numId="33" w16cid:durableId="739595578">
    <w:abstractNumId w:val="254"/>
  </w:num>
  <w:num w:numId="34" w16cid:durableId="478767100">
    <w:abstractNumId w:val="376"/>
  </w:num>
  <w:num w:numId="35" w16cid:durableId="448165284">
    <w:abstractNumId w:val="350"/>
  </w:num>
  <w:num w:numId="36" w16cid:durableId="1704020511">
    <w:abstractNumId w:val="321"/>
  </w:num>
  <w:num w:numId="37" w16cid:durableId="518352503">
    <w:abstractNumId w:val="193"/>
  </w:num>
  <w:num w:numId="38" w16cid:durableId="389621931">
    <w:abstractNumId w:val="3"/>
  </w:num>
  <w:num w:numId="39" w16cid:durableId="2094206264">
    <w:abstractNumId w:val="300"/>
  </w:num>
  <w:num w:numId="40" w16cid:durableId="1127744604">
    <w:abstractNumId w:val="270"/>
  </w:num>
  <w:num w:numId="41" w16cid:durableId="1877809454">
    <w:abstractNumId w:val="138"/>
  </w:num>
  <w:num w:numId="42" w16cid:durableId="1702895558">
    <w:abstractNumId w:val="478"/>
  </w:num>
  <w:num w:numId="43" w16cid:durableId="780606159">
    <w:abstractNumId w:val="79"/>
  </w:num>
  <w:num w:numId="44" w16cid:durableId="1728870567">
    <w:abstractNumId w:val="123"/>
  </w:num>
  <w:num w:numId="45" w16cid:durableId="2108572568">
    <w:abstractNumId w:val="139"/>
  </w:num>
  <w:num w:numId="46" w16cid:durableId="1070543101">
    <w:abstractNumId w:val="260"/>
  </w:num>
  <w:num w:numId="47" w16cid:durableId="120348473">
    <w:abstractNumId w:val="371"/>
  </w:num>
  <w:num w:numId="48" w16cid:durableId="137496967">
    <w:abstractNumId w:val="231"/>
  </w:num>
  <w:num w:numId="49" w16cid:durableId="1361472306">
    <w:abstractNumId w:val="367"/>
  </w:num>
  <w:num w:numId="50" w16cid:durableId="1599950176">
    <w:abstractNumId w:val="205"/>
  </w:num>
  <w:num w:numId="51" w16cid:durableId="259216285">
    <w:abstractNumId w:val="464"/>
  </w:num>
  <w:num w:numId="52" w16cid:durableId="1128931640">
    <w:abstractNumId w:val="400"/>
  </w:num>
  <w:num w:numId="53" w16cid:durableId="227157137">
    <w:abstractNumId w:val="181"/>
  </w:num>
  <w:num w:numId="54" w16cid:durableId="633414973">
    <w:abstractNumId w:val="465"/>
  </w:num>
  <w:num w:numId="55" w16cid:durableId="1926104718">
    <w:abstractNumId w:val="302"/>
  </w:num>
  <w:num w:numId="56" w16cid:durableId="1665741193">
    <w:abstractNumId w:val="312"/>
  </w:num>
  <w:num w:numId="57" w16cid:durableId="135925716">
    <w:abstractNumId w:val="473"/>
  </w:num>
  <w:num w:numId="58" w16cid:durableId="673342284">
    <w:abstractNumId w:val="25"/>
  </w:num>
  <w:num w:numId="59" w16cid:durableId="152765696">
    <w:abstractNumId w:val="41"/>
  </w:num>
  <w:num w:numId="60" w16cid:durableId="1790201496">
    <w:abstractNumId w:val="91"/>
  </w:num>
  <w:num w:numId="61" w16cid:durableId="1757247397">
    <w:abstractNumId w:val="68"/>
  </w:num>
  <w:num w:numId="62" w16cid:durableId="888876312">
    <w:abstractNumId w:val="291"/>
  </w:num>
  <w:num w:numId="63" w16cid:durableId="43990272">
    <w:abstractNumId w:val="16"/>
  </w:num>
  <w:num w:numId="64" w16cid:durableId="2013296850">
    <w:abstractNumId w:val="392"/>
  </w:num>
  <w:num w:numId="65" w16cid:durableId="630746160">
    <w:abstractNumId w:val="118"/>
  </w:num>
  <w:num w:numId="66" w16cid:durableId="1813716738">
    <w:abstractNumId w:val="329"/>
  </w:num>
  <w:num w:numId="67" w16cid:durableId="1689795104">
    <w:abstractNumId w:val="391"/>
  </w:num>
  <w:num w:numId="68" w16cid:durableId="1379283311">
    <w:abstractNumId w:val="213"/>
  </w:num>
  <w:num w:numId="69" w16cid:durableId="1044522788">
    <w:abstractNumId w:val="318"/>
  </w:num>
  <w:num w:numId="70" w16cid:durableId="81028642">
    <w:abstractNumId w:val="337"/>
  </w:num>
  <w:num w:numId="71" w16cid:durableId="1640960507">
    <w:abstractNumId w:val="388"/>
  </w:num>
  <w:num w:numId="72" w16cid:durableId="317539762">
    <w:abstractNumId w:val="163"/>
  </w:num>
  <w:num w:numId="73" w16cid:durableId="1087920599">
    <w:abstractNumId w:val="281"/>
  </w:num>
  <w:num w:numId="74" w16cid:durableId="1501120450">
    <w:abstractNumId w:val="111"/>
  </w:num>
  <w:num w:numId="75" w16cid:durableId="562251867">
    <w:abstractNumId w:val="359"/>
  </w:num>
  <w:num w:numId="76" w16cid:durableId="3679666">
    <w:abstractNumId w:val="204"/>
  </w:num>
  <w:num w:numId="77" w16cid:durableId="663825859">
    <w:abstractNumId w:val="29"/>
  </w:num>
  <w:num w:numId="78" w16cid:durableId="138808129">
    <w:abstractNumId w:val="332"/>
  </w:num>
  <w:num w:numId="79" w16cid:durableId="997343471">
    <w:abstractNumId w:val="343"/>
  </w:num>
  <w:num w:numId="80" w16cid:durableId="256405612">
    <w:abstractNumId w:val="178"/>
  </w:num>
  <w:num w:numId="81" w16cid:durableId="1068452968">
    <w:abstractNumId w:val="284"/>
  </w:num>
  <w:num w:numId="82" w16cid:durableId="93670392">
    <w:abstractNumId w:val="382"/>
  </w:num>
  <w:num w:numId="83" w16cid:durableId="1847019769">
    <w:abstractNumId w:val="160"/>
  </w:num>
  <w:num w:numId="84" w16cid:durableId="1461609418">
    <w:abstractNumId w:val="244"/>
  </w:num>
  <w:num w:numId="85" w16cid:durableId="636642672">
    <w:abstractNumId w:val="161"/>
  </w:num>
  <w:num w:numId="86" w16cid:durableId="2122649755">
    <w:abstractNumId w:val="368"/>
  </w:num>
  <w:num w:numId="87" w16cid:durableId="1688798702">
    <w:abstractNumId w:val="70"/>
  </w:num>
  <w:num w:numId="88" w16cid:durableId="1243487274">
    <w:abstractNumId w:val="384"/>
  </w:num>
  <w:num w:numId="89" w16cid:durableId="426772973">
    <w:abstractNumId w:val="109"/>
  </w:num>
  <w:num w:numId="90" w16cid:durableId="1716007278">
    <w:abstractNumId w:val="314"/>
  </w:num>
  <w:num w:numId="91" w16cid:durableId="635066254">
    <w:abstractNumId w:val="338"/>
  </w:num>
  <w:num w:numId="92" w16cid:durableId="866912392">
    <w:abstractNumId w:val="268"/>
  </w:num>
  <w:num w:numId="93" w16cid:durableId="1913350689">
    <w:abstractNumId w:val="481"/>
  </w:num>
  <w:num w:numId="94" w16cid:durableId="1954894315">
    <w:abstractNumId w:val="59"/>
  </w:num>
  <w:num w:numId="95" w16cid:durableId="1437746926">
    <w:abstractNumId w:val="89"/>
  </w:num>
  <w:num w:numId="96" w16cid:durableId="605575576">
    <w:abstractNumId w:val="12"/>
  </w:num>
  <w:num w:numId="97" w16cid:durableId="2146964761">
    <w:abstractNumId w:val="370"/>
  </w:num>
  <w:num w:numId="98" w16cid:durableId="1626815926">
    <w:abstractNumId w:val="395"/>
  </w:num>
  <w:num w:numId="99" w16cid:durableId="1268929934">
    <w:abstractNumId w:val="243"/>
  </w:num>
  <w:num w:numId="100" w16cid:durableId="37708859">
    <w:abstractNumId w:val="129"/>
  </w:num>
  <w:num w:numId="101" w16cid:durableId="1005090260">
    <w:abstractNumId w:val="13"/>
  </w:num>
  <w:num w:numId="102" w16cid:durableId="1054738908">
    <w:abstractNumId w:val="11"/>
  </w:num>
  <w:num w:numId="103" w16cid:durableId="1592080505">
    <w:abstractNumId w:val="169"/>
  </w:num>
  <w:num w:numId="104" w16cid:durableId="642388512">
    <w:abstractNumId w:val="427"/>
  </w:num>
  <w:num w:numId="105" w16cid:durableId="7408273">
    <w:abstractNumId w:val="65"/>
  </w:num>
  <w:num w:numId="106" w16cid:durableId="1955595015">
    <w:abstractNumId w:val="309"/>
  </w:num>
  <w:num w:numId="107" w16cid:durableId="2036274060">
    <w:abstractNumId w:val="219"/>
  </w:num>
  <w:num w:numId="108" w16cid:durableId="1266621444">
    <w:abstractNumId w:val="444"/>
  </w:num>
  <w:num w:numId="109" w16cid:durableId="758329510">
    <w:abstractNumId w:val="324"/>
  </w:num>
  <w:num w:numId="110" w16cid:durableId="691617004">
    <w:abstractNumId w:val="226"/>
  </w:num>
  <w:num w:numId="111" w16cid:durableId="662704680">
    <w:abstractNumId w:val="192"/>
  </w:num>
  <w:num w:numId="112" w16cid:durableId="945576544">
    <w:abstractNumId w:val="269"/>
  </w:num>
  <w:num w:numId="113" w16cid:durableId="277494997">
    <w:abstractNumId w:val="113"/>
  </w:num>
  <w:num w:numId="114" w16cid:durableId="1956476278">
    <w:abstractNumId w:val="477"/>
  </w:num>
  <w:num w:numId="115" w16cid:durableId="61297396">
    <w:abstractNumId w:val="47"/>
  </w:num>
  <w:num w:numId="116" w16cid:durableId="813256692">
    <w:abstractNumId w:val="150"/>
  </w:num>
  <w:num w:numId="117" w16cid:durableId="1446650961">
    <w:abstractNumId w:val="397"/>
  </w:num>
  <w:num w:numId="118" w16cid:durableId="126634341">
    <w:abstractNumId w:val="417"/>
  </w:num>
  <w:num w:numId="119" w16cid:durableId="1955479280">
    <w:abstractNumId w:val="249"/>
  </w:num>
  <w:num w:numId="120" w16cid:durableId="874660945">
    <w:abstractNumId w:val="342"/>
  </w:num>
  <w:num w:numId="121" w16cid:durableId="61025162">
    <w:abstractNumId w:val="84"/>
  </w:num>
  <w:num w:numId="122" w16cid:durableId="1095132893">
    <w:abstractNumId w:val="285"/>
  </w:num>
  <w:num w:numId="123" w16cid:durableId="1308969089">
    <w:abstractNumId w:val="156"/>
  </w:num>
  <w:num w:numId="124" w16cid:durableId="1879664176">
    <w:abstractNumId w:val="387"/>
  </w:num>
  <w:num w:numId="125" w16cid:durableId="457063828">
    <w:abstractNumId w:val="190"/>
  </w:num>
  <w:num w:numId="126" w16cid:durableId="618218975">
    <w:abstractNumId w:val="380"/>
  </w:num>
  <w:num w:numId="127" w16cid:durableId="126972272">
    <w:abstractNumId w:val="326"/>
  </w:num>
  <w:num w:numId="128" w16cid:durableId="451480815">
    <w:abstractNumId w:val="186"/>
  </w:num>
  <w:num w:numId="129" w16cid:durableId="1299916594">
    <w:abstractNumId w:val="43"/>
  </w:num>
  <w:num w:numId="130" w16cid:durableId="1242643244">
    <w:abstractNumId w:val="316"/>
  </w:num>
  <w:num w:numId="131" w16cid:durableId="177433177">
    <w:abstractNumId w:val="263"/>
  </w:num>
  <w:num w:numId="132" w16cid:durableId="215969625">
    <w:abstractNumId w:val="162"/>
  </w:num>
  <w:num w:numId="133" w16cid:durableId="1844465593">
    <w:abstractNumId w:val="460"/>
  </w:num>
  <w:num w:numId="134" w16cid:durableId="811870047">
    <w:abstractNumId w:val="328"/>
  </w:num>
  <w:num w:numId="135" w16cid:durableId="49352630">
    <w:abstractNumId w:val="225"/>
  </w:num>
  <w:num w:numId="136" w16cid:durableId="1461918857">
    <w:abstractNumId w:val="33"/>
  </w:num>
  <w:num w:numId="137" w16cid:durableId="1380743635">
    <w:abstractNumId w:val="311"/>
  </w:num>
  <w:num w:numId="138" w16cid:durableId="568923444">
    <w:abstractNumId w:val="67"/>
  </w:num>
  <w:num w:numId="139" w16cid:durableId="1260678357">
    <w:abstractNumId w:val="22"/>
  </w:num>
  <w:num w:numId="140" w16cid:durableId="517087973">
    <w:abstractNumId w:val="220"/>
  </w:num>
  <w:num w:numId="141" w16cid:durableId="763306761">
    <w:abstractNumId w:val="471"/>
  </w:num>
  <w:num w:numId="142" w16cid:durableId="143202473">
    <w:abstractNumId w:val="265"/>
  </w:num>
  <w:num w:numId="143" w16cid:durableId="1447653087">
    <w:abstractNumId w:val="449"/>
  </w:num>
  <w:num w:numId="144" w16cid:durableId="1294867827">
    <w:abstractNumId w:val="92"/>
  </w:num>
  <w:num w:numId="145" w16cid:durableId="1606647166">
    <w:abstractNumId w:val="62"/>
  </w:num>
  <w:num w:numId="146" w16cid:durableId="1907491993">
    <w:abstractNumId w:val="450"/>
  </w:num>
  <w:num w:numId="147" w16cid:durableId="594901357">
    <w:abstractNumId w:val="143"/>
  </w:num>
  <w:num w:numId="148" w16cid:durableId="1235046186">
    <w:abstractNumId w:val="42"/>
  </w:num>
  <w:num w:numId="149" w16cid:durableId="110324761">
    <w:abstractNumId w:val="19"/>
  </w:num>
  <w:num w:numId="150" w16cid:durableId="2021353431">
    <w:abstractNumId w:val="227"/>
  </w:num>
  <w:num w:numId="151" w16cid:durableId="1635216748">
    <w:abstractNumId w:val="159"/>
  </w:num>
  <w:num w:numId="152" w16cid:durableId="943002264">
    <w:abstractNumId w:val="108"/>
  </w:num>
  <w:num w:numId="153" w16cid:durableId="1983655656">
    <w:abstractNumId w:val="164"/>
  </w:num>
  <w:num w:numId="154" w16cid:durableId="468595388">
    <w:abstractNumId w:val="7"/>
  </w:num>
  <w:num w:numId="155" w16cid:durableId="1087920291">
    <w:abstractNumId w:val="261"/>
  </w:num>
  <w:num w:numId="156" w16cid:durableId="954869786">
    <w:abstractNumId w:val="199"/>
  </w:num>
  <w:num w:numId="157" w16cid:durableId="161243731">
    <w:abstractNumId w:val="45"/>
  </w:num>
  <w:num w:numId="158" w16cid:durableId="579142829">
    <w:abstractNumId w:val="377"/>
  </w:num>
  <w:num w:numId="159" w16cid:durableId="1340473920">
    <w:abstractNumId w:val="245"/>
  </w:num>
  <w:num w:numId="160" w16cid:durableId="973757034">
    <w:abstractNumId w:val="362"/>
  </w:num>
  <w:num w:numId="161" w16cid:durableId="2128506055">
    <w:abstractNumId w:val="475"/>
  </w:num>
  <w:num w:numId="162" w16cid:durableId="1286960014">
    <w:abstractNumId w:val="144"/>
  </w:num>
  <w:num w:numId="163" w16cid:durableId="1815681479">
    <w:abstractNumId w:val="276"/>
  </w:num>
  <w:num w:numId="164" w16cid:durableId="111172690">
    <w:abstractNumId w:val="369"/>
  </w:num>
  <w:num w:numId="165" w16cid:durableId="944734184">
    <w:abstractNumId w:val="357"/>
  </w:num>
  <w:num w:numId="166" w16cid:durableId="1704596600">
    <w:abstractNumId w:val="207"/>
  </w:num>
  <w:num w:numId="167" w16cid:durableId="2063014024">
    <w:abstractNumId w:val="353"/>
  </w:num>
  <w:num w:numId="168" w16cid:durableId="2028211056">
    <w:abstractNumId w:val="83"/>
  </w:num>
  <w:num w:numId="169" w16cid:durableId="457072952">
    <w:abstractNumId w:val="198"/>
  </w:num>
  <w:num w:numId="170" w16cid:durableId="1070999248">
    <w:abstractNumId w:val="304"/>
  </w:num>
  <w:num w:numId="171" w16cid:durableId="1042052395">
    <w:abstractNumId w:val="24"/>
  </w:num>
  <w:num w:numId="172" w16cid:durableId="1301611195">
    <w:abstractNumId w:val="80"/>
  </w:num>
  <w:num w:numId="173" w16cid:durableId="373694421">
    <w:abstractNumId w:val="339"/>
  </w:num>
  <w:num w:numId="174" w16cid:durableId="507332226">
    <w:abstractNumId w:val="76"/>
  </w:num>
  <w:num w:numId="175" w16cid:durableId="1185636826">
    <w:abstractNumId w:val="149"/>
  </w:num>
  <w:num w:numId="176" w16cid:durableId="2012413992">
    <w:abstractNumId w:val="185"/>
  </w:num>
  <w:num w:numId="177" w16cid:durableId="66153219">
    <w:abstractNumId w:val="305"/>
  </w:num>
  <w:num w:numId="178" w16cid:durableId="1708800451">
    <w:abstractNumId w:val="344"/>
  </w:num>
  <w:num w:numId="179" w16cid:durableId="534080585">
    <w:abstractNumId w:val="319"/>
  </w:num>
  <w:num w:numId="180" w16cid:durableId="352538124">
    <w:abstractNumId w:val="141"/>
  </w:num>
  <w:num w:numId="181" w16cid:durableId="1787626321">
    <w:abstractNumId w:val="30"/>
  </w:num>
  <w:num w:numId="182" w16cid:durableId="716052718">
    <w:abstractNumId w:val="48"/>
  </w:num>
  <w:num w:numId="183" w16cid:durableId="712387281">
    <w:abstractNumId w:val="9"/>
  </w:num>
  <w:num w:numId="184" w16cid:durableId="1658723939">
    <w:abstractNumId w:val="259"/>
  </w:num>
  <w:num w:numId="185" w16cid:durableId="1593120596">
    <w:abstractNumId w:val="216"/>
  </w:num>
  <w:num w:numId="186" w16cid:durableId="828985576">
    <w:abstractNumId w:val="434"/>
  </w:num>
  <w:num w:numId="187" w16cid:durableId="300964163">
    <w:abstractNumId w:val="340"/>
  </w:num>
  <w:num w:numId="188" w16cid:durableId="2047751293">
    <w:abstractNumId w:val="358"/>
  </w:num>
  <w:num w:numId="189" w16cid:durableId="1217399395">
    <w:abstractNumId w:val="165"/>
  </w:num>
  <w:num w:numId="190" w16cid:durableId="157577750">
    <w:abstractNumId w:val="210"/>
  </w:num>
  <w:num w:numId="191" w16cid:durableId="792745042">
    <w:abstractNumId w:val="356"/>
  </w:num>
  <w:num w:numId="192" w16cid:durableId="1065567063">
    <w:abstractNumId w:val="171"/>
  </w:num>
  <w:num w:numId="193" w16cid:durableId="1281961104">
    <w:abstractNumId w:val="335"/>
  </w:num>
  <w:num w:numId="194" w16cid:durableId="149911992">
    <w:abstractNumId w:val="294"/>
  </w:num>
  <w:num w:numId="195" w16cid:durableId="1137065858">
    <w:abstractNumId w:val="176"/>
  </w:num>
  <w:num w:numId="196" w16cid:durableId="1682270290">
    <w:abstractNumId w:val="200"/>
  </w:num>
  <w:num w:numId="197" w16cid:durableId="1259562762">
    <w:abstractNumId w:val="55"/>
  </w:num>
  <w:num w:numId="198" w16cid:durableId="1406566089">
    <w:abstractNumId w:val="1"/>
  </w:num>
  <w:num w:numId="199" w16cid:durableId="146820540">
    <w:abstractNumId w:val="132"/>
  </w:num>
  <w:num w:numId="200" w16cid:durableId="1048720451">
    <w:abstractNumId w:val="81"/>
  </w:num>
  <w:num w:numId="201" w16cid:durableId="1835340797">
    <w:abstractNumId w:val="158"/>
  </w:num>
  <w:num w:numId="202" w16cid:durableId="360057713">
    <w:abstractNumId w:val="54"/>
  </w:num>
  <w:num w:numId="203" w16cid:durableId="565721686">
    <w:abstractNumId w:val="336"/>
  </w:num>
  <w:num w:numId="204" w16cid:durableId="566305055">
    <w:abstractNumId w:val="34"/>
  </w:num>
  <w:num w:numId="205" w16cid:durableId="593394457">
    <w:abstractNumId w:val="4"/>
  </w:num>
  <w:num w:numId="206" w16cid:durableId="1671329101">
    <w:abstractNumId w:val="352"/>
  </w:num>
  <w:num w:numId="207" w16cid:durableId="545723374">
    <w:abstractNumId w:val="345"/>
  </w:num>
  <w:num w:numId="208" w16cid:durableId="258484946">
    <w:abstractNumId w:val="50"/>
  </w:num>
  <w:num w:numId="209" w16cid:durableId="1200625120">
    <w:abstractNumId w:val="101"/>
  </w:num>
  <w:num w:numId="210" w16cid:durableId="864640435">
    <w:abstractNumId w:val="279"/>
  </w:num>
  <w:num w:numId="211" w16cid:durableId="909340922">
    <w:abstractNumId w:val="288"/>
  </w:num>
  <w:num w:numId="212" w16cid:durableId="1442409566">
    <w:abstractNumId w:val="209"/>
  </w:num>
  <w:num w:numId="213" w16cid:durableId="1969507388">
    <w:abstractNumId w:val="14"/>
  </w:num>
  <w:num w:numId="214" w16cid:durableId="1837381248">
    <w:abstractNumId w:val="264"/>
  </w:num>
  <w:num w:numId="215" w16cid:durableId="1588078524">
    <w:abstractNumId w:val="155"/>
  </w:num>
  <w:num w:numId="216" w16cid:durableId="719204796">
    <w:abstractNumId w:val="431"/>
  </w:num>
  <w:num w:numId="217" w16cid:durableId="1002666040">
    <w:abstractNumId w:val="365"/>
  </w:num>
  <w:num w:numId="218" w16cid:durableId="1909919782">
    <w:abstractNumId w:val="145"/>
  </w:num>
  <w:num w:numId="219" w16cid:durableId="1464276180">
    <w:abstractNumId w:val="104"/>
  </w:num>
  <w:num w:numId="220" w16cid:durableId="163470717">
    <w:abstractNumId w:val="273"/>
  </w:num>
  <w:num w:numId="221" w16cid:durableId="1206024263">
    <w:abstractNumId w:val="441"/>
  </w:num>
  <w:num w:numId="222" w16cid:durableId="142745014">
    <w:abstractNumId w:val="396"/>
  </w:num>
  <w:num w:numId="223" w16cid:durableId="1716733737">
    <w:abstractNumId w:val="459"/>
  </w:num>
  <w:num w:numId="224" w16cid:durableId="1326982082">
    <w:abstractNumId w:val="374"/>
  </w:num>
  <w:num w:numId="225" w16cid:durableId="1295450654">
    <w:abstractNumId w:val="252"/>
  </w:num>
  <w:num w:numId="226" w16cid:durableId="951787517">
    <w:abstractNumId w:val="398"/>
  </w:num>
  <w:num w:numId="227" w16cid:durableId="1772899432">
    <w:abstractNumId w:val="424"/>
  </w:num>
  <w:num w:numId="228" w16cid:durableId="1156074162">
    <w:abstractNumId w:val="197"/>
  </w:num>
  <w:num w:numId="229" w16cid:durableId="508955376">
    <w:abstractNumId w:val="49"/>
  </w:num>
  <w:num w:numId="230" w16cid:durableId="379523282">
    <w:abstractNumId w:val="201"/>
  </w:num>
  <w:num w:numId="231" w16cid:durableId="571545601">
    <w:abstractNumId w:val="277"/>
  </w:num>
  <w:num w:numId="232" w16cid:durableId="494028615">
    <w:abstractNumId w:val="73"/>
  </w:num>
  <w:num w:numId="233" w16cid:durableId="611405144">
    <w:abstractNumId w:val="106"/>
  </w:num>
  <w:num w:numId="234" w16cid:durableId="1925139999">
    <w:abstractNumId w:val="372"/>
  </w:num>
  <w:num w:numId="235" w16cid:durableId="1821968201">
    <w:abstractNumId w:val="151"/>
  </w:num>
  <w:num w:numId="236" w16cid:durableId="951789535">
    <w:abstractNumId w:val="56"/>
  </w:num>
  <w:num w:numId="237" w16cid:durableId="1736856341">
    <w:abstractNumId w:val="246"/>
  </w:num>
  <w:num w:numId="238" w16cid:durableId="1094473700">
    <w:abstractNumId w:val="334"/>
  </w:num>
  <w:num w:numId="239" w16cid:durableId="618726680">
    <w:abstractNumId w:val="39"/>
  </w:num>
  <w:num w:numId="240" w16cid:durableId="892931907">
    <w:abstractNumId w:val="258"/>
  </w:num>
  <w:num w:numId="241" w16cid:durableId="1196236633">
    <w:abstractNumId w:val="282"/>
  </w:num>
  <w:num w:numId="242" w16cid:durableId="661736126">
    <w:abstractNumId w:val="173"/>
  </w:num>
  <w:num w:numId="243" w16cid:durableId="194270456">
    <w:abstractNumId w:val="308"/>
  </w:num>
  <w:num w:numId="244" w16cid:durableId="546451239">
    <w:abstractNumId w:val="287"/>
  </w:num>
  <w:num w:numId="245" w16cid:durableId="38744156">
    <w:abstractNumId w:val="306"/>
  </w:num>
  <w:num w:numId="246" w16cid:durableId="2032677712">
    <w:abstractNumId w:val="429"/>
  </w:num>
  <w:num w:numId="247" w16cid:durableId="1485243528">
    <w:abstractNumId w:val="152"/>
  </w:num>
  <w:num w:numId="248" w16cid:durableId="1009869882">
    <w:abstractNumId w:val="52"/>
  </w:num>
  <w:num w:numId="249" w16cid:durableId="2099674818">
    <w:abstractNumId w:val="364"/>
  </w:num>
  <w:num w:numId="250" w16cid:durableId="443043946">
    <w:abstractNumId w:val="221"/>
  </w:num>
  <w:num w:numId="251" w16cid:durableId="1455096826">
    <w:abstractNumId w:val="72"/>
  </w:num>
  <w:num w:numId="252" w16cid:durableId="116066014">
    <w:abstractNumId w:val="236"/>
  </w:num>
  <w:num w:numId="253" w16cid:durableId="1246452152">
    <w:abstractNumId w:val="100"/>
  </w:num>
  <w:num w:numId="254" w16cid:durableId="392241802">
    <w:abstractNumId w:val="114"/>
  </w:num>
  <w:num w:numId="255" w16cid:durableId="793908094">
    <w:abstractNumId w:val="327"/>
  </w:num>
  <w:num w:numId="256" w16cid:durableId="99184194">
    <w:abstractNumId w:val="215"/>
  </w:num>
  <w:num w:numId="257" w16cid:durableId="1852723580">
    <w:abstractNumId w:val="278"/>
  </w:num>
  <w:num w:numId="258" w16cid:durableId="1467896793">
    <w:abstractNumId w:val="2"/>
  </w:num>
  <w:num w:numId="259" w16cid:durableId="318121826">
    <w:abstractNumId w:val="110"/>
  </w:num>
  <w:num w:numId="260" w16cid:durableId="1328486083">
    <w:abstractNumId w:val="296"/>
  </w:num>
  <w:num w:numId="261" w16cid:durableId="462963044">
    <w:abstractNumId w:val="360"/>
  </w:num>
  <w:num w:numId="262" w16cid:durableId="636882152">
    <w:abstractNumId w:val="375"/>
  </w:num>
  <w:num w:numId="263" w16cid:durableId="987824160">
    <w:abstractNumId w:val="94"/>
  </w:num>
  <w:num w:numId="264" w16cid:durableId="581186287">
    <w:abstractNumId w:val="399"/>
  </w:num>
  <w:num w:numId="265" w16cid:durableId="831606159">
    <w:abstractNumId w:val="71"/>
  </w:num>
  <w:num w:numId="266" w16cid:durableId="1219049889">
    <w:abstractNumId w:val="133"/>
  </w:num>
  <w:num w:numId="267" w16cid:durableId="1083448604">
    <w:abstractNumId w:val="458"/>
  </w:num>
  <w:num w:numId="268" w16cid:durableId="1462455084">
    <w:abstractNumId w:val="331"/>
  </w:num>
  <w:num w:numId="269" w16cid:durableId="770124698">
    <w:abstractNumId w:val="228"/>
  </w:num>
  <w:num w:numId="270" w16cid:durableId="1166088819">
    <w:abstractNumId w:val="202"/>
  </w:num>
  <w:num w:numId="271" w16cid:durableId="57870597">
    <w:abstractNumId w:val="35"/>
  </w:num>
  <w:num w:numId="272" w16cid:durableId="637339307">
    <w:abstractNumId w:val="469"/>
  </w:num>
  <w:num w:numId="273" w16cid:durableId="2138915009">
    <w:abstractNumId w:val="44"/>
  </w:num>
  <w:num w:numId="274" w16cid:durableId="802187299">
    <w:abstractNumId w:val="183"/>
  </w:num>
  <w:num w:numId="275" w16cid:durableId="2096314794">
    <w:abstractNumId w:val="363"/>
  </w:num>
  <w:num w:numId="276" w16cid:durableId="900166687">
    <w:abstractNumId w:val="120"/>
  </w:num>
  <w:num w:numId="277" w16cid:durableId="510528396">
    <w:abstractNumId w:val="0"/>
  </w:num>
  <w:num w:numId="278" w16cid:durableId="694620881">
    <w:abstractNumId w:val="242"/>
  </w:num>
  <w:num w:numId="279" w16cid:durableId="807169796">
    <w:abstractNumId w:val="379"/>
  </w:num>
  <w:num w:numId="280" w16cid:durableId="26762977">
    <w:abstractNumId w:val="119"/>
  </w:num>
  <w:num w:numId="281" w16cid:durableId="87896921">
    <w:abstractNumId w:val="217"/>
  </w:num>
  <w:num w:numId="282" w16cid:durableId="1915360877">
    <w:abstractNumId w:val="208"/>
  </w:num>
  <w:num w:numId="283" w16cid:durableId="583682931">
    <w:abstractNumId w:val="385"/>
  </w:num>
  <w:num w:numId="284" w16cid:durableId="1113208207">
    <w:abstractNumId w:val="410"/>
  </w:num>
  <w:num w:numId="285" w16cid:durableId="508831739">
    <w:abstractNumId w:val="82"/>
  </w:num>
  <w:num w:numId="286" w16cid:durableId="779909304">
    <w:abstractNumId w:val="453"/>
  </w:num>
  <w:num w:numId="287" w16cid:durableId="1265193195">
    <w:abstractNumId w:val="251"/>
  </w:num>
  <w:num w:numId="288" w16cid:durableId="565729859">
    <w:abstractNumId w:val="107"/>
  </w:num>
  <w:num w:numId="289" w16cid:durableId="210046369">
    <w:abstractNumId w:val="413"/>
  </w:num>
  <w:num w:numId="290" w16cid:durableId="1148744539">
    <w:abstractNumId w:val="262"/>
  </w:num>
  <w:num w:numId="291" w16cid:durableId="380251825">
    <w:abstractNumId w:val="457"/>
  </w:num>
  <w:num w:numId="292" w16cid:durableId="663044619">
    <w:abstractNumId w:val="433"/>
  </w:num>
  <w:num w:numId="293" w16cid:durableId="24673293">
    <w:abstractNumId w:val="31"/>
  </w:num>
  <w:num w:numId="294" w16cid:durableId="1947031191">
    <w:abstractNumId w:val="168"/>
  </w:num>
  <w:num w:numId="295" w16cid:durableId="1868132739">
    <w:abstractNumId w:val="470"/>
  </w:num>
  <w:num w:numId="296" w16cid:durableId="430512211">
    <w:abstractNumId w:val="275"/>
  </w:num>
  <w:num w:numId="297" w16cid:durableId="824860610">
    <w:abstractNumId w:val="456"/>
  </w:num>
  <w:num w:numId="298" w16cid:durableId="1717771847">
    <w:abstractNumId w:val="116"/>
  </w:num>
  <w:num w:numId="299" w16cid:durableId="377163692">
    <w:abstractNumId w:val="298"/>
  </w:num>
  <w:num w:numId="300" w16cid:durableId="1952086213">
    <w:abstractNumId w:val="394"/>
  </w:num>
  <w:num w:numId="301" w16cid:durableId="1428500879">
    <w:abstractNumId w:val="126"/>
  </w:num>
  <w:num w:numId="302" w16cid:durableId="1564901120">
    <w:abstractNumId w:val="229"/>
  </w:num>
  <w:num w:numId="303" w16cid:durableId="1040471030">
    <w:abstractNumId w:val="135"/>
  </w:num>
  <w:num w:numId="304" w16cid:durableId="636448513">
    <w:abstractNumId w:val="416"/>
  </w:num>
  <w:num w:numId="305" w16cid:durableId="1499812323">
    <w:abstractNumId w:val="177"/>
  </w:num>
  <w:num w:numId="306" w16cid:durableId="2001078770">
    <w:abstractNumId w:val="95"/>
  </w:num>
  <w:num w:numId="307" w16cid:durableId="1301155197">
    <w:abstractNumId w:val="274"/>
  </w:num>
  <w:num w:numId="308" w16cid:durableId="1825704757">
    <w:abstractNumId w:val="320"/>
  </w:num>
  <w:num w:numId="309" w16cid:durableId="20322617">
    <w:abstractNumId w:val="310"/>
  </w:num>
  <w:num w:numId="310" w16cid:durableId="2323950">
    <w:abstractNumId w:val="23"/>
  </w:num>
  <w:num w:numId="311" w16cid:durableId="1002320117">
    <w:abstractNumId w:val="272"/>
  </w:num>
  <w:num w:numId="312" w16cid:durableId="1535771294">
    <w:abstractNumId w:val="421"/>
  </w:num>
  <w:num w:numId="313" w16cid:durableId="936211295">
    <w:abstractNumId w:val="283"/>
  </w:num>
  <w:num w:numId="314" w16cid:durableId="63262491">
    <w:abstractNumId w:val="85"/>
  </w:num>
  <w:num w:numId="315" w16cid:durableId="2078740634">
    <w:abstractNumId w:val="420"/>
  </w:num>
  <w:num w:numId="316" w16cid:durableId="2014410002">
    <w:abstractNumId w:val="124"/>
  </w:num>
  <w:num w:numId="317" w16cid:durableId="362485890">
    <w:abstractNumId w:val="341"/>
  </w:num>
  <w:num w:numId="318" w16cid:durableId="18170797">
    <w:abstractNumId w:val="195"/>
  </w:num>
  <w:num w:numId="319" w16cid:durableId="2049331274">
    <w:abstractNumId w:val="10"/>
  </w:num>
  <w:num w:numId="320" w16cid:durableId="626934636">
    <w:abstractNumId w:val="203"/>
  </w:num>
  <w:num w:numId="321" w16cid:durableId="472216103">
    <w:abstractNumId w:val="237"/>
  </w:num>
  <w:num w:numId="322" w16cid:durableId="2042974373">
    <w:abstractNumId w:val="125"/>
  </w:num>
  <w:num w:numId="323" w16cid:durableId="811868812">
    <w:abstractNumId w:val="446"/>
  </w:num>
  <w:num w:numId="324" w16cid:durableId="980571137">
    <w:abstractNumId w:val="447"/>
  </w:num>
  <w:num w:numId="325" w16cid:durableId="933977864">
    <w:abstractNumId w:val="247"/>
  </w:num>
  <w:num w:numId="326" w16cid:durableId="1117481587">
    <w:abstractNumId w:val="157"/>
  </w:num>
  <w:num w:numId="327" w16cid:durableId="2073234730">
    <w:abstractNumId w:val="46"/>
  </w:num>
  <w:num w:numId="328" w16cid:durableId="236017872">
    <w:abstractNumId w:val="182"/>
  </w:num>
  <w:num w:numId="329" w16cid:durableId="1207259282">
    <w:abstractNumId w:val="303"/>
  </w:num>
  <w:num w:numId="330" w16cid:durableId="967127432">
    <w:abstractNumId w:val="271"/>
  </w:num>
  <w:num w:numId="331" w16cid:durableId="1125586707">
    <w:abstractNumId w:val="60"/>
  </w:num>
  <w:num w:numId="332" w16cid:durableId="339894702">
    <w:abstractNumId w:val="212"/>
  </w:num>
  <w:num w:numId="333" w16cid:durableId="952790627">
    <w:abstractNumId w:val="479"/>
  </w:num>
  <w:num w:numId="334" w16cid:durableId="1039862599">
    <w:abstractNumId w:val="180"/>
  </w:num>
  <w:num w:numId="335" w16cid:durableId="1276865558">
    <w:abstractNumId w:val="27"/>
  </w:num>
  <w:num w:numId="336" w16cid:durableId="1760172189">
    <w:abstractNumId w:val="61"/>
  </w:num>
  <w:num w:numId="337" w16cid:durableId="1753896630">
    <w:abstractNumId w:val="289"/>
  </w:num>
  <w:num w:numId="338" w16cid:durableId="1558784555">
    <w:abstractNumId w:val="121"/>
  </w:num>
  <w:num w:numId="339" w16cid:durableId="1913466639">
    <w:abstractNumId w:val="468"/>
  </w:num>
  <w:num w:numId="340" w16cid:durableId="223756090">
    <w:abstractNumId w:val="351"/>
  </w:num>
  <w:num w:numId="341" w16cid:durableId="992490874">
    <w:abstractNumId w:val="409"/>
  </w:num>
  <w:num w:numId="342" w16cid:durableId="1668709361">
    <w:abstractNumId w:val="286"/>
  </w:num>
  <w:num w:numId="343" w16cid:durableId="182398818">
    <w:abstractNumId w:val="38"/>
  </w:num>
  <w:num w:numId="344" w16cid:durableId="1292662926">
    <w:abstractNumId w:val="253"/>
  </w:num>
  <w:num w:numId="345" w16cid:durableId="1054160061">
    <w:abstractNumId w:val="75"/>
  </w:num>
  <w:num w:numId="346" w16cid:durableId="714237438">
    <w:abstractNumId w:val="390"/>
  </w:num>
  <w:num w:numId="347" w16cid:durableId="1548907286">
    <w:abstractNumId w:val="315"/>
  </w:num>
  <w:num w:numId="348" w16cid:durableId="1966233088">
    <w:abstractNumId w:val="117"/>
  </w:num>
  <w:num w:numId="349" w16cid:durableId="686713706">
    <w:abstractNumId w:val="230"/>
  </w:num>
  <w:num w:numId="350" w16cid:durableId="725222371">
    <w:abstractNumId w:val="97"/>
  </w:num>
  <w:num w:numId="351" w16cid:durableId="1625231032">
    <w:abstractNumId w:val="401"/>
  </w:num>
  <w:num w:numId="352" w16cid:durableId="94058060">
    <w:abstractNumId w:val="53"/>
  </w:num>
  <w:num w:numId="353" w16cid:durableId="1483277141">
    <w:abstractNumId w:val="355"/>
  </w:num>
  <w:num w:numId="354" w16cid:durableId="1032265893">
    <w:abstractNumId w:val="422"/>
  </w:num>
  <w:num w:numId="355" w16cid:durableId="1514761542">
    <w:abstractNumId w:val="438"/>
  </w:num>
  <w:num w:numId="356" w16cid:durableId="1330984168">
    <w:abstractNumId w:val="346"/>
  </w:num>
  <w:num w:numId="357" w16cid:durableId="495145449">
    <w:abstractNumId w:val="28"/>
  </w:num>
  <w:num w:numId="358" w16cid:durableId="1537084749">
    <w:abstractNumId w:val="297"/>
  </w:num>
  <w:num w:numId="359" w16cid:durableId="1793284904">
    <w:abstractNumId w:val="373"/>
  </w:num>
  <w:num w:numId="360" w16cid:durableId="1163859014">
    <w:abstractNumId w:val="239"/>
  </w:num>
  <w:num w:numId="361" w16cid:durableId="938023190">
    <w:abstractNumId w:val="147"/>
  </w:num>
  <w:num w:numId="362" w16cid:durableId="625887211">
    <w:abstractNumId w:val="5"/>
  </w:num>
  <w:num w:numId="363" w16cid:durableId="2130784070">
    <w:abstractNumId w:val="418"/>
  </w:num>
  <w:num w:numId="364" w16cid:durableId="1125582644">
    <w:abstractNumId w:val="187"/>
  </w:num>
  <w:num w:numId="365" w16cid:durableId="1428772810">
    <w:abstractNumId w:val="405"/>
  </w:num>
  <w:num w:numId="366" w16cid:durableId="371616442">
    <w:abstractNumId w:val="66"/>
  </w:num>
  <w:num w:numId="367" w16cid:durableId="1928462670">
    <w:abstractNumId w:val="472"/>
  </w:num>
  <w:num w:numId="368" w16cid:durableId="967246763">
    <w:abstractNumId w:val="196"/>
  </w:num>
  <w:num w:numId="369" w16cid:durableId="2063216165">
    <w:abstractNumId w:val="102"/>
  </w:num>
  <w:num w:numId="370" w16cid:durableId="584071637">
    <w:abstractNumId w:val="463"/>
  </w:num>
  <w:num w:numId="371" w16cid:durableId="1007828565">
    <w:abstractNumId w:val="317"/>
  </w:num>
  <w:num w:numId="372" w16cid:durableId="1381707580">
    <w:abstractNumId w:val="51"/>
  </w:num>
  <w:num w:numId="373" w16cid:durableId="832456584">
    <w:abstractNumId w:val="266"/>
  </w:num>
  <w:num w:numId="374" w16cid:durableId="1414082818">
    <w:abstractNumId w:val="96"/>
  </w:num>
  <w:num w:numId="375" w16cid:durableId="755437122">
    <w:abstractNumId w:val="15"/>
  </w:num>
  <w:num w:numId="376" w16cid:durableId="290673522">
    <w:abstractNumId w:val="188"/>
  </w:num>
  <w:num w:numId="377" w16cid:durableId="26416281">
    <w:abstractNumId w:val="292"/>
  </w:num>
  <w:num w:numId="378" w16cid:durableId="1327398086">
    <w:abstractNumId w:val="301"/>
  </w:num>
  <w:num w:numId="379" w16cid:durableId="807090693">
    <w:abstractNumId w:val="58"/>
  </w:num>
  <w:num w:numId="380" w16cid:durableId="1495603586">
    <w:abstractNumId w:val="443"/>
  </w:num>
  <w:num w:numId="381" w16cid:durableId="562721726">
    <w:abstractNumId w:val="87"/>
  </w:num>
  <w:num w:numId="382" w16cid:durableId="1927037545">
    <w:abstractNumId w:val="386"/>
  </w:num>
  <w:num w:numId="383" w16cid:durableId="694235250">
    <w:abstractNumId w:val="57"/>
  </w:num>
  <w:num w:numId="384" w16cid:durableId="1418596930">
    <w:abstractNumId w:val="153"/>
  </w:num>
  <w:num w:numId="385" w16cid:durableId="1066033133">
    <w:abstractNumId w:val="130"/>
  </w:num>
  <w:num w:numId="386" w16cid:durableId="1193495625">
    <w:abstractNumId w:val="136"/>
  </w:num>
  <w:num w:numId="387" w16cid:durableId="516847900">
    <w:abstractNumId w:val="140"/>
  </w:num>
  <w:num w:numId="388" w16cid:durableId="801309957">
    <w:abstractNumId w:val="439"/>
  </w:num>
  <w:num w:numId="389" w16cid:durableId="2098860015">
    <w:abstractNumId w:val="222"/>
  </w:num>
  <w:num w:numId="390" w16cid:durableId="51732431">
    <w:abstractNumId w:val="88"/>
  </w:num>
  <w:num w:numId="391" w16cid:durableId="1894539875">
    <w:abstractNumId w:val="280"/>
  </w:num>
  <w:num w:numId="392" w16cid:durableId="1413894408">
    <w:abstractNumId w:val="323"/>
  </w:num>
  <w:num w:numId="393" w16cid:durableId="1784884433">
    <w:abstractNumId w:val="238"/>
  </w:num>
  <w:num w:numId="394" w16cid:durableId="706224597">
    <w:abstractNumId w:val="235"/>
  </w:num>
  <w:num w:numId="395" w16cid:durableId="370618606">
    <w:abstractNumId w:val="440"/>
  </w:num>
  <w:num w:numId="396" w16cid:durableId="1791823428">
    <w:abstractNumId w:val="218"/>
  </w:num>
  <w:num w:numId="397" w16cid:durableId="1655839319">
    <w:abstractNumId w:val="415"/>
  </w:num>
  <w:num w:numId="398" w16cid:durableId="1685663586">
    <w:abstractNumId w:val="325"/>
  </w:num>
  <w:num w:numId="399" w16cid:durableId="1609004745">
    <w:abstractNumId w:val="128"/>
  </w:num>
  <w:num w:numId="400" w16cid:durableId="1400404894">
    <w:abstractNumId w:val="448"/>
  </w:num>
  <w:num w:numId="401" w16cid:durableId="354353265">
    <w:abstractNumId w:val="112"/>
  </w:num>
  <w:num w:numId="402" w16cid:durableId="1073284174">
    <w:abstractNumId w:val="77"/>
  </w:num>
  <w:num w:numId="403" w16cid:durableId="143594097">
    <w:abstractNumId w:val="295"/>
  </w:num>
  <w:num w:numId="404" w16cid:durableId="181088407">
    <w:abstractNumId w:val="134"/>
  </w:num>
  <w:num w:numId="405" w16cid:durableId="441340722">
    <w:abstractNumId w:val="425"/>
  </w:num>
  <w:num w:numId="406" w16cid:durableId="712072604">
    <w:abstractNumId w:val="257"/>
  </w:num>
  <w:num w:numId="407" w16cid:durableId="959871326">
    <w:abstractNumId w:val="142"/>
  </w:num>
  <w:num w:numId="408" w16cid:durableId="1178424925">
    <w:abstractNumId w:val="64"/>
  </w:num>
  <w:num w:numId="409" w16cid:durableId="821120958">
    <w:abstractNumId w:val="419"/>
  </w:num>
  <w:num w:numId="410" w16cid:durableId="1425228917">
    <w:abstractNumId w:val="366"/>
  </w:num>
  <w:num w:numId="411" w16cid:durableId="1945458507">
    <w:abstractNumId w:val="437"/>
  </w:num>
  <w:num w:numId="412" w16cid:durableId="1350374681">
    <w:abstractNumId w:val="8"/>
  </w:num>
  <w:num w:numId="413" w16cid:durableId="1103064313">
    <w:abstractNumId w:val="86"/>
  </w:num>
  <w:num w:numId="414" w16cid:durableId="855970594">
    <w:abstractNumId w:val="426"/>
  </w:num>
  <w:num w:numId="415" w16cid:durableId="1356417444">
    <w:abstractNumId w:val="435"/>
  </w:num>
  <w:num w:numId="416" w16cid:durableId="866256336">
    <w:abstractNumId w:val="131"/>
  </w:num>
  <w:num w:numId="417" w16cid:durableId="1884706223">
    <w:abstractNumId w:val="40"/>
  </w:num>
  <w:num w:numId="418" w16cid:durableId="1929928036">
    <w:abstractNumId w:val="347"/>
  </w:num>
  <w:num w:numId="419" w16cid:durableId="174927005">
    <w:abstractNumId w:val="90"/>
  </w:num>
  <w:num w:numId="420" w16cid:durableId="1239443778">
    <w:abstractNumId w:val="37"/>
  </w:num>
  <w:num w:numId="421" w16cid:durableId="540477904">
    <w:abstractNumId w:val="466"/>
  </w:num>
  <w:num w:numId="422" w16cid:durableId="337929627">
    <w:abstractNumId w:val="389"/>
  </w:num>
  <w:num w:numId="423" w16cid:durableId="1910845198">
    <w:abstractNumId w:val="250"/>
  </w:num>
  <w:num w:numId="424" w16cid:durableId="489757429">
    <w:abstractNumId w:val="98"/>
  </w:num>
  <w:num w:numId="425" w16cid:durableId="1822692159">
    <w:abstractNumId w:val="170"/>
  </w:num>
  <w:num w:numId="426" w16cid:durableId="571819455">
    <w:abstractNumId w:val="451"/>
  </w:num>
  <w:num w:numId="427" w16cid:durableId="2903607">
    <w:abstractNumId w:val="423"/>
  </w:num>
  <w:num w:numId="428" w16cid:durableId="1864441691">
    <w:abstractNumId w:val="194"/>
  </w:num>
  <w:num w:numId="429" w16cid:durableId="953636653">
    <w:abstractNumId w:val="348"/>
  </w:num>
  <w:num w:numId="430" w16cid:durableId="1669944948">
    <w:abstractNumId w:val="378"/>
  </w:num>
  <w:num w:numId="431" w16cid:durableId="1969816616">
    <w:abstractNumId w:val="428"/>
  </w:num>
  <w:num w:numId="432" w16cid:durableId="1867404074">
    <w:abstractNumId w:val="122"/>
  </w:num>
  <w:num w:numId="433" w16cid:durableId="406417900">
    <w:abstractNumId w:val="99"/>
  </w:num>
  <w:num w:numId="434" w16cid:durableId="2713100">
    <w:abstractNumId w:val="480"/>
  </w:num>
  <w:num w:numId="435" w16cid:durableId="1371565245">
    <w:abstractNumId w:val="78"/>
  </w:num>
  <w:num w:numId="436" w16cid:durableId="886377085">
    <w:abstractNumId w:val="442"/>
  </w:num>
  <w:num w:numId="437" w16cid:durableId="1456868706">
    <w:abstractNumId w:val="255"/>
  </w:num>
  <w:num w:numId="438" w16cid:durableId="90005515">
    <w:abstractNumId w:val="452"/>
  </w:num>
  <w:num w:numId="439" w16cid:durableId="1998220351">
    <w:abstractNumId w:val="189"/>
  </w:num>
  <w:num w:numId="440" w16cid:durableId="689985971">
    <w:abstractNumId w:val="69"/>
  </w:num>
  <w:num w:numId="441" w16cid:durableId="540945029">
    <w:abstractNumId w:val="179"/>
  </w:num>
  <w:num w:numId="442" w16cid:durableId="48649942">
    <w:abstractNumId w:val="411"/>
  </w:num>
  <w:num w:numId="443" w16cid:durableId="1778518698">
    <w:abstractNumId w:val="414"/>
  </w:num>
  <w:num w:numId="444" w16cid:durableId="1955482202">
    <w:abstractNumId w:val="26"/>
  </w:num>
  <w:num w:numId="445" w16cid:durableId="710156950">
    <w:abstractNumId w:val="474"/>
  </w:num>
  <w:num w:numId="446" w16cid:durableId="1757824161">
    <w:abstractNumId w:val="402"/>
  </w:num>
  <w:num w:numId="447" w16cid:durableId="378089940">
    <w:abstractNumId w:val="406"/>
  </w:num>
  <w:num w:numId="448" w16cid:durableId="1525631007">
    <w:abstractNumId w:val="240"/>
  </w:num>
  <w:num w:numId="449" w16cid:durableId="124085415">
    <w:abstractNumId w:val="63"/>
  </w:num>
  <w:num w:numId="450" w16cid:durableId="1704281128">
    <w:abstractNumId w:val="445"/>
  </w:num>
  <w:num w:numId="451" w16cid:durableId="1380011384">
    <w:abstractNumId w:val="175"/>
  </w:num>
  <w:num w:numId="452" w16cid:durableId="1806507030">
    <w:abstractNumId w:val="313"/>
  </w:num>
  <w:num w:numId="453" w16cid:durableId="1747916563">
    <w:abstractNumId w:val="211"/>
  </w:num>
  <w:num w:numId="454" w16cid:durableId="348531331">
    <w:abstractNumId w:val="184"/>
  </w:num>
  <w:num w:numId="455" w16cid:durableId="686444811">
    <w:abstractNumId w:val="6"/>
  </w:num>
  <w:num w:numId="456" w16cid:durableId="1900630870">
    <w:abstractNumId w:val="174"/>
  </w:num>
  <w:num w:numId="457" w16cid:durableId="1034887914">
    <w:abstractNumId w:val="241"/>
  </w:num>
  <w:num w:numId="458" w16cid:durableId="1338733832">
    <w:abstractNumId w:val="299"/>
  </w:num>
  <w:num w:numId="459" w16cid:durableId="1942301206">
    <w:abstractNumId w:val="293"/>
  </w:num>
  <w:num w:numId="460" w16cid:durableId="1010522606">
    <w:abstractNumId w:val="381"/>
  </w:num>
  <w:num w:numId="461" w16cid:durableId="516306709">
    <w:abstractNumId w:val="267"/>
  </w:num>
  <w:num w:numId="462" w16cid:durableId="973144680">
    <w:abstractNumId w:val="172"/>
  </w:num>
  <w:num w:numId="463" w16cid:durableId="1273979214">
    <w:abstractNumId w:val="154"/>
  </w:num>
  <w:num w:numId="464" w16cid:durableId="2130195912">
    <w:abstractNumId w:val="467"/>
  </w:num>
  <w:num w:numId="465" w16cid:durableId="589122814">
    <w:abstractNumId w:val="166"/>
  </w:num>
  <w:num w:numId="466" w16cid:durableId="511722099">
    <w:abstractNumId w:val="36"/>
  </w:num>
  <w:num w:numId="467" w16cid:durableId="313990836">
    <w:abstractNumId w:val="432"/>
  </w:num>
  <w:num w:numId="468" w16cid:durableId="187648059">
    <w:abstractNumId w:val="322"/>
  </w:num>
  <w:num w:numId="469" w16cid:durableId="1703286086">
    <w:abstractNumId w:val="393"/>
  </w:num>
  <w:num w:numId="470" w16cid:durableId="541208939">
    <w:abstractNumId w:val="476"/>
  </w:num>
  <w:num w:numId="471" w16cid:durableId="858658949">
    <w:abstractNumId w:val="17"/>
  </w:num>
  <w:num w:numId="472" w16cid:durableId="1485198398">
    <w:abstractNumId w:val="383"/>
  </w:num>
  <w:num w:numId="473" w16cid:durableId="1015157423">
    <w:abstractNumId w:val="74"/>
  </w:num>
  <w:num w:numId="474" w16cid:durableId="146630981">
    <w:abstractNumId w:val="127"/>
  </w:num>
  <w:num w:numId="475" w16cid:durableId="212083123">
    <w:abstractNumId w:val="307"/>
  </w:num>
  <w:num w:numId="476" w16cid:durableId="384182842">
    <w:abstractNumId w:val="407"/>
  </w:num>
  <w:num w:numId="477" w16cid:durableId="722600357">
    <w:abstractNumId w:val="461"/>
  </w:num>
  <w:num w:numId="478" w16cid:durableId="1610697386">
    <w:abstractNumId w:val="233"/>
  </w:num>
  <w:num w:numId="479" w16cid:durableId="1745838122">
    <w:abstractNumId w:val="214"/>
  </w:num>
  <w:num w:numId="480" w16cid:durableId="1133713755">
    <w:abstractNumId w:val="115"/>
  </w:num>
  <w:num w:numId="481" w16cid:durableId="61295399">
    <w:abstractNumId w:val="290"/>
  </w:num>
  <w:num w:numId="482" w16cid:durableId="1508059854">
    <w:abstractNumId w:val="404"/>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29"/>
    <w:rsid w:val="000002FD"/>
    <w:rsid w:val="000005D8"/>
    <w:rsid w:val="0000066E"/>
    <w:rsid w:val="00000759"/>
    <w:rsid w:val="00000B30"/>
    <w:rsid w:val="00000BE1"/>
    <w:rsid w:val="00000C37"/>
    <w:rsid w:val="00000E66"/>
    <w:rsid w:val="00000EEF"/>
    <w:rsid w:val="000015EA"/>
    <w:rsid w:val="00001736"/>
    <w:rsid w:val="00001756"/>
    <w:rsid w:val="00001960"/>
    <w:rsid w:val="00001A47"/>
    <w:rsid w:val="00001BF8"/>
    <w:rsid w:val="00001BFE"/>
    <w:rsid w:val="00001D70"/>
    <w:rsid w:val="00001E08"/>
    <w:rsid w:val="00001EDF"/>
    <w:rsid w:val="00001FB6"/>
    <w:rsid w:val="000022EE"/>
    <w:rsid w:val="00002307"/>
    <w:rsid w:val="00002619"/>
    <w:rsid w:val="00002834"/>
    <w:rsid w:val="00002A19"/>
    <w:rsid w:val="00002BDC"/>
    <w:rsid w:val="000032A5"/>
    <w:rsid w:val="00003480"/>
    <w:rsid w:val="0000372E"/>
    <w:rsid w:val="0000398A"/>
    <w:rsid w:val="00003B68"/>
    <w:rsid w:val="00003C58"/>
    <w:rsid w:val="00003D84"/>
    <w:rsid w:val="00003E2C"/>
    <w:rsid w:val="00004065"/>
    <w:rsid w:val="00004106"/>
    <w:rsid w:val="0000419B"/>
    <w:rsid w:val="000043BB"/>
    <w:rsid w:val="000043C8"/>
    <w:rsid w:val="0000462F"/>
    <w:rsid w:val="00004664"/>
    <w:rsid w:val="00004777"/>
    <w:rsid w:val="0000479A"/>
    <w:rsid w:val="000048E9"/>
    <w:rsid w:val="00004A59"/>
    <w:rsid w:val="00004DF0"/>
    <w:rsid w:val="00004ED9"/>
    <w:rsid w:val="00005141"/>
    <w:rsid w:val="0000527E"/>
    <w:rsid w:val="00005412"/>
    <w:rsid w:val="000056D0"/>
    <w:rsid w:val="00005728"/>
    <w:rsid w:val="000059AE"/>
    <w:rsid w:val="00005A8F"/>
    <w:rsid w:val="00005D84"/>
    <w:rsid w:val="00005E20"/>
    <w:rsid w:val="00006003"/>
    <w:rsid w:val="000060B7"/>
    <w:rsid w:val="000063E1"/>
    <w:rsid w:val="00006457"/>
    <w:rsid w:val="00006632"/>
    <w:rsid w:val="000068BD"/>
    <w:rsid w:val="00006913"/>
    <w:rsid w:val="000069F2"/>
    <w:rsid w:val="00006F4F"/>
    <w:rsid w:val="000072D8"/>
    <w:rsid w:val="000076A0"/>
    <w:rsid w:val="00007791"/>
    <w:rsid w:val="00007A00"/>
    <w:rsid w:val="00007A88"/>
    <w:rsid w:val="00007DBB"/>
    <w:rsid w:val="00007F24"/>
    <w:rsid w:val="00007F28"/>
    <w:rsid w:val="00007F38"/>
    <w:rsid w:val="000101DD"/>
    <w:rsid w:val="00010574"/>
    <w:rsid w:val="0001058C"/>
    <w:rsid w:val="0001076F"/>
    <w:rsid w:val="00010910"/>
    <w:rsid w:val="000109A7"/>
    <w:rsid w:val="000109B1"/>
    <w:rsid w:val="00010A5B"/>
    <w:rsid w:val="00010AA9"/>
    <w:rsid w:val="00010FA2"/>
    <w:rsid w:val="00011010"/>
    <w:rsid w:val="000114AE"/>
    <w:rsid w:val="000119D6"/>
    <w:rsid w:val="00011DA1"/>
    <w:rsid w:val="00011DBC"/>
    <w:rsid w:val="00011DEE"/>
    <w:rsid w:val="00012258"/>
    <w:rsid w:val="00012426"/>
    <w:rsid w:val="00012521"/>
    <w:rsid w:val="0001276D"/>
    <w:rsid w:val="00012792"/>
    <w:rsid w:val="00012856"/>
    <w:rsid w:val="000129A9"/>
    <w:rsid w:val="000129D8"/>
    <w:rsid w:val="00012B32"/>
    <w:rsid w:val="00012BBD"/>
    <w:rsid w:val="00012C88"/>
    <w:rsid w:val="0001307B"/>
    <w:rsid w:val="00013125"/>
    <w:rsid w:val="0001331C"/>
    <w:rsid w:val="0001370D"/>
    <w:rsid w:val="00013731"/>
    <w:rsid w:val="000138A8"/>
    <w:rsid w:val="0001394D"/>
    <w:rsid w:val="000139DF"/>
    <w:rsid w:val="00013B5B"/>
    <w:rsid w:val="00013E09"/>
    <w:rsid w:val="00013E6A"/>
    <w:rsid w:val="00014260"/>
    <w:rsid w:val="00014770"/>
    <w:rsid w:val="0001482B"/>
    <w:rsid w:val="0001492A"/>
    <w:rsid w:val="00014AAF"/>
    <w:rsid w:val="00014BAA"/>
    <w:rsid w:val="00014D49"/>
    <w:rsid w:val="00014EB8"/>
    <w:rsid w:val="000150C8"/>
    <w:rsid w:val="000152C0"/>
    <w:rsid w:val="000153DC"/>
    <w:rsid w:val="000155AE"/>
    <w:rsid w:val="000156FA"/>
    <w:rsid w:val="000157EA"/>
    <w:rsid w:val="000158D5"/>
    <w:rsid w:val="00015924"/>
    <w:rsid w:val="00015C7D"/>
    <w:rsid w:val="00015EFC"/>
    <w:rsid w:val="00015F98"/>
    <w:rsid w:val="00016064"/>
    <w:rsid w:val="00016133"/>
    <w:rsid w:val="00016371"/>
    <w:rsid w:val="000165FC"/>
    <w:rsid w:val="00016836"/>
    <w:rsid w:val="0001686C"/>
    <w:rsid w:val="00016922"/>
    <w:rsid w:val="00016980"/>
    <w:rsid w:val="00016C81"/>
    <w:rsid w:val="00016F10"/>
    <w:rsid w:val="00017258"/>
    <w:rsid w:val="000172FC"/>
    <w:rsid w:val="000173EC"/>
    <w:rsid w:val="00017570"/>
    <w:rsid w:val="000176A1"/>
    <w:rsid w:val="000176F9"/>
    <w:rsid w:val="00017761"/>
    <w:rsid w:val="000179FF"/>
    <w:rsid w:val="00017AF1"/>
    <w:rsid w:val="00017BC8"/>
    <w:rsid w:val="00017C17"/>
    <w:rsid w:val="00017C3C"/>
    <w:rsid w:val="00017D4C"/>
    <w:rsid w:val="0002044F"/>
    <w:rsid w:val="000205D8"/>
    <w:rsid w:val="000206BA"/>
    <w:rsid w:val="000206DB"/>
    <w:rsid w:val="000207B7"/>
    <w:rsid w:val="000209C1"/>
    <w:rsid w:val="00020A95"/>
    <w:rsid w:val="00020AA1"/>
    <w:rsid w:val="00020B85"/>
    <w:rsid w:val="00020B95"/>
    <w:rsid w:val="00020BA4"/>
    <w:rsid w:val="00020F6C"/>
    <w:rsid w:val="0002129B"/>
    <w:rsid w:val="000214BF"/>
    <w:rsid w:val="00021696"/>
    <w:rsid w:val="000218EC"/>
    <w:rsid w:val="0002199E"/>
    <w:rsid w:val="00021AF4"/>
    <w:rsid w:val="00021C71"/>
    <w:rsid w:val="00021EBD"/>
    <w:rsid w:val="00021F05"/>
    <w:rsid w:val="00022419"/>
    <w:rsid w:val="00022440"/>
    <w:rsid w:val="0002277D"/>
    <w:rsid w:val="00022A58"/>
    <w:rsid w:val="00022C28"/>
    <w:rsid w:val="00022C4A"/>
    <w:rsid w:val="00022CC4"/>
    <w:rsid w:val="00022D52"/>
    <w:rsid w:val="00022E94"/>
    <w:rsid w:val="00022EC4"/>
    <w:rsid w:val="00023331"/>
    <w:rsid w:val="000234DA"/>
    <w:rsid w:val="00023587"/>
    <w:rsid w:val="000237E4"/>
    <w:rsid w:val="00023ABD"/>
    <w:rsid w:val="00023C0D"/>
    <w:rsid w:val="00023D86"/>
    <w:rsid w:val="00023DC3"/>
    <w:rsid w:val="00023E6D"/>
    <w:rsid w:val="00023EE5"/>
    <w:rsid w:val="000240B8"/>
    <w:rsid w:val="00024361"/>
    <w:rsid w:val="000243FD"/>
    <w:rsid w:val="00024629"/>
    <w:rsid w:val="00024785"/>
    <w:rsid w:val="000248FF"/>
    <w:rsid w:val="00024E13"/>
    <w:rsid w:val="00024F30"/>
    <w:rsid w:val="00025126"/>
    <w:rsid w:val="0002533D"/>
    <w:rsid w:val="000257BF"/>
    <w:rsid w:val="000259E7"/>
    <w:rsid w:val="00025B91"/>
    <w:rsid w:val="00025B96"/>
    <w:rsid w:val="00025B9C"/>
    <w:rsid w:val="00025BC2"/>
    <w:rsid w:val="00025BD4"/>
    <w:rsid w:val="00025CCA"/>
    <w:rsid w:val="00025CDA"/>
    <w:rsid w:val="00025DB7"/>
    <w:rsid w:val="00026051"/>
    <w:rsid w:val="000260E7"/>
    <w:rsid w:val="0002631D"/>
    <w:rsid w:val="00026443"/>
    <w:rsid w:val="000264E4"/>
    <w:rsid w:val="0002668F"/>
    <w:rsid w:val="00026950"/>
    <w:rsid w:val="00026A4B"/>
    <w:rsid w:val="00026A83"/>
    <w:rsid w:val="00026E06"/>
    <w:rsid w:val="00026E6E"/>
    <w:rsid w:val="00026F3B"/>
    <w:rsid w:val="0002717B"/>
    <w:rsid w:val="0002728E"/>
    <w:rsid w:val="000272BA"/>
    <w:rsid w:val="00027653"/>
    <w:rsid w:val="000276EB"/>
    <w:rsid w:val="00027CF0"/>
    <w:rsid w:val="00027D46"/>
    <w:rsid w:val="00027D82"/>
    <w:rsid w:val="00027E2B"/>
    <w:rsid w:val="00027FD4"/>
    <w:rsid w:val="000301B2"/>
    <w:rsid w:val="00030526"/>
    <w:rsid w:val="00030624"/>
    <w:rsid w:val="00030A69"/>
    <w:rsid w:val="00030C1D"/>
    <w:rsid w:val="00030D07"/>
    <w:rsid w:val="00030D78"/>
    <w:rsid w:val="000312B2"/>
    <w:rsid w:val="00031510"/>
    <w:rsid w:val="000316FD"/>
    <w:rsid w:val="00031915"/>
    <w:rsid w:val="00031A14"/>
    <w:rsid w:val="00031B91"/>
    <w:rsid w:val="00031BF9"/>
    <w:rsid w:val="00031CDF"/>
    <w:rsid w:val="00031FBD"/>
    <w:rsid w:val="0003215D"/>
    <w:rsid w:val="000321DD"/>
    <w:rsid w:val="000322B2"/>
    <w:rsid w:val="000323D9"/>
    <w:rsid w:val="00032481"/>
    <w:rsid w:val="000324B3"/>
    <w:rsid w:val="00032667"/>
    <w:rsid w:val="0003277C"/>
    <w:rsid w:val="00032846"/>
    <w:rsid w:val="0003287F"/>
    <w:rsid w:val="00032A9E"/>
    <w:rsid w:val="00032AFB"/>
    <w:rsid w:val="00032B9A"/>
    <w:rsid w:val="00032CDC"/>
    <w:rsid w:val="0003305C"/>
    <w:rsid w:val="000331CF"/>
    <w:rsid w:val="00033524"/>
    <w:rsid w:val="000335C0"/>
    <w:rsid w:val="000336A3"/>
    <w:rsid w:val="00033885"/>
    <w:rsid w:val="00033C85"/>
    <w:rsid w:val="00033FEA"/>
    <w:rsid w:val="000340E7"/>
    <w:rsid w:val="00034113"/>
    <w:rsid w:val="000344D7"/>
    <w:rsid w:val="000344E5"/>
    <w:rsid w:val="0003454D"/>
    <w:rsid w:val="0003484A"/>
    <w:rsid w:val="000348A1"/>
    <w:rsid w:val="000349EF"/>
    <w:rsid w:val="00034C44"/>
    <w:rsid w:val="00034D8B"/>
    <w:rsid w:val="00034DC0"/>
    <w:rsid w:val="000351FC"/>
    <w:rsid w:val="00035275"/>
    <w:rsid w:val="000352A5"/>
    <w:rsid w:val="00035366"/>
    <w:rsid w:val="0003551B"/>
    <w:rsid w:val="000356D9"/>
    <w:rsid w:val="0003628B"/>
    <w:rsid w:val="000363AD"/>
    <w:rsid w:val="000363DE"/>
    <w:rsid w:val="000364C7"/>
    <w:rsid w:val="00036549"/>
    <w:rsid w:val="000365E9"/>
    <w:rsid w:val="00036987"/>
    <w:rsid w:val="00036A60"/>
    <w:rsid w:val="00036AF9"/>
    <w:rsid w:val="00036C1A"/>
    <w:rsid w:val="00036F2F"/>
    <w:rsid w:val="00037231"/>
    <w:rsid w:val="000373C3"/>
    <w:rsid w:val="000373E5"/>
    <w:rsid w:val="00037432"/>
    <w:rsid w:val="0003753C"/>
    <w:rsid w:val="00037675"/>
    <w:rsid w:val="000379DB"/>
    <w:rsid w:val="00037DB7"/>
    <w:rsid w:val="00040034"/>
    <w:rsid w:val="0004006F"/>
    <w:rsid w:val="000403C2"/>
    <w:rsid w:val="000405F1"/>
    <w:rsid w:val="000405F7"/>
    <w:rsid w:val="00040649"/>
    <w:rsid w:val="00040703"/>
    <w:rsid w:val="0004080F"/>
    <w:rsid w:val="00040848"/>
    <w:rsid w:val="00040AA1"/>
    <w:rsid w:val="00040B88"/>
    <w:rsid w:val="00040CF4"/>
    <w:rsid w:val="00040D83"/>
    <w:rsid w:val="00040EF0"/>
    <w:rsid w:val="00040EFF"/>
    <w:rsid w:val="00040F6B"/>
    <w:rsid w:val="00040F73"/>
    <w:rsid w:val="000412DF"/>
    <w:rsid w:val="000419B2"/>
    <w:rsid w:val="00041A32"/>
    <w:rsid w:val="00041A74"/>
    <w:rsid w:val="00042163"/>
    <w:rsid w:val="000421A1"/>
    <w:rsid w:val="00042694"/>
    <w:rsid w:val="000426ED"/>
    <w:rsid w:val="000427B6"/>
    <w:rsid w:val="00042BC4"/>
    <w:rsid w:val="00042C02"/>
    <w:rsid w:val="00042C4B"/>
    <w:rsid w:val="00042D11"/>
    <w:rsid w:val="00042FB2"/>
    <w:rsid w:val="0004314D"/>
    <w:rsid w:val="000433C8"/>
    <w:rsid w:val="0004347E"/>
    <w:rsid w:val="0004349B"/>
    <w:rsid w:val="000436CA"/>
    <w:rsid w:val="00043755"/>
    <w:rsid w:val="00043763"/>
    <w:rsid w:val="000437DF"/>
    <w:rsid w:val="00043AEA"/>
    <w:rsid w:val="00043C01"/>
    <w:rsid w:val="00043C22"/>
    <w:rsid w:val="00043CE9"/>
    <w:rsid w:val="00043D81"/>
    <w:rsid w:val="00043DF2"/>
    <w:rsid w:val="00043DF7"/>
    <w:rsid w:val="00043E9B"/>
    <w:rsid w:val="000440C4"/>
    <w:rsid w:val="000441E7"/>
    <w:rsid w:val="000442DA"/>
    <w:rsid w:val="000445FE"/>
    <w:rsid w:val="00044726"/>
    <w:rsid w:val="00044DCE"/>
    <w:rsid w:val="0004586B"/>
    <w:rsid w:val="00045874"/>
    <w:rsid w:val="00045BB1"/>
    <w:rsid w:val="00045D53"/>
    <w:rsid w:val="00046031"/>
    <w:rsid w:val="000461A1"/>
    <w:rsid w:val="000463EA"/>
    <w:rsid w:val="00046497"/>
    <w:rsid w:val="000464BD"/>
    <w:rsid w:val="000465E0"/>
    <w:rsid w:val="000468D0"/>
    <w:rsid w:val="0004696F"/>
    <w:rsid w:val="00046C50"/>
    <w:rsid w:val="00046E36"/>
    <w:rsid w:val="000471A0"/>
    <w:rsid w:val="00047282"/>
    <w:rsid w:val="00047306"/>
    <w:rsid w:val="0004756E"/>
    <w:rsid w:val="00047C16"/>
    <w:rsid w:val="00047CB4"/>
    <w:rsid w:val="00047D61"/>
    <w:rsid w:val="00047DFC"/>
    <w:rsid w:val="00047F56"/>
    <w:rsid w:val="00047FC4"/>
    <w:rsid w:val="000500DB"/>
    <w:rsid w:val="000500DF"/>
    <w:rsid w:val="00050113"/>
    <w:rsid w:val="0005021E"/>
    <w:rsid w:val="00050280"/>
    <w:rsid w:val="00050391"/>
    <w:rsid w:val="00050461"/>
    <w:rsid w:val="000504B1"/>
    <w:rsid w:val="000507F8"/>
    <w:rsid w:val="000508B6"/>
    <w:rsid w:val="00050B5E"/>
    <w:rsid w:val="00050E59"/>
    <w:rsid w:val="00050E6E"/>
    <w:rsid w:val="00050E8A"/>
    <w:rsid w:val="0005114C"/>
    <w:rsid w:val="00051154"/>
    <w:rsid w:val="00051185"/>
    <w:rsid w:val="00051213"/>
    <w:rsid w:val="00051314"/>
    <w:rsid w:val="0005137E"/>
    <w:rsid w:val="000518F9"/>
    <w:rsid w:val="00051A36"/>
    <w:rsid w:val="00051A95"/>
    <w:rsid w:val="00051C04"/>
    <w:rsid w:val="00051C16"/>
    <w:rsid w:val="00051D51"/>
    <w:rsid w:val="00051FEA"/>
    <w:rsid w:val="0005200D"/>
    <w:rsid w:val="00052302"/>
    <w:rsid w:val="00052346"/>
    <w:rsid w:val="0005236F"/>
    <w:rsid w:val="000523FE"/>
    <w:rsid w:val="000526FC"/>
    <w:rsid w:val="00052993"/>
    <w:rsid w:val="00052A60"/>
    <w:rsid w:val="00052CAE"/>
    <w:rsid w:val="00052D58"/>
    <w:rsid w:val="00052FB2"/>
    <w:rsid w:val="00053159"/>
    <w:rsid w:val="000532BC"/>
    <w:rsid w:val="00053891"/>
    <w:rsid w:val="00053893"/>
    <w:rsid w:val="000538A1"/>
    <w:rsid w:val="00053913"/>
    <w:rsid w:val="0005392A"/>
    <w:rsid w:val="00053CEE"/>
    <w:rsid w:val="00053DE5"/>
    <w:rsid w:val="00053DF7"/>
    <w:rsid w:val="00053E7A"/>
    <w:rsid w:val="00054173"/>
    <w:rsid w:val="0005419C"/>
    <w:rsid w:val="000541AB"/>
    <w:rsid w:val="00054243"/>
    <w:rsid w:val="0005432C"/>
    <w:rsid w:val="000545F5"/>
    <w:rsid w:val="00054723"/>
    <w:rsid w:val="000549F3"/>
    <w:rsid w:val="00054A48"/>
    <w:rsid w:val="00054CA7"/>
    <w:rsid w:val="00054FC6"/>
    <w:rsid w:val="000552E4"/>
    <w:rsid w:val="0005568D"/>
    <w:rsid w:val="00055D1F"/>
    <w:rsid w:val="00055DC2"/>
    <w:rsid w:val="00056123"/>
    <w:rsid w:val="0005617E"/>
    <w:rsid w:val="000561C6"/>
    <w:rsid w:val="000563E6"/>
    <w:rsid w:val="000563F2"/>
    <w:rsid w:val="000566E1"/>
    <w:rsid w:val="00056726"/>
    <w:rsid w:val="00056904"/>
    <w:rsid w:val="0005691C"/>
    <w:rsid w:val="0005699F"/>
    <w:rsid w:val="00056BB7"/>
    <w:rsid w:val="00056BFC"/>
    <w:rsid w:val="00056C35"/>
    <w:rsid w:val="00056D07"/>
    <w:rsid w:val="00056E1E"/>
    <w:rsid w:val="00056EAF"/>
    <w:rsid w:val="00056F02"/>
    <w:rsid w:val="00056F0E"/>
    <w:rsid w:val="00056F4C"/>
    <w:rsid w:val="00057336"/>
    <w:rsid w:val="0005741B"/>
    <w:rsid w:val="00057480"/>
    <w:rsid w:val="000574B5"/>
    <w:rsid w:val="000574BA"/>
    <w:rsid w:val="000575B0"/>
    <w:rsid w:val="00057661"/>
    <w:rsid w:val="00057674"/>
    <w:rsid w:val="0005797B"/>
    <w:rsid w:val="00057BB1"/>
    <w:rsid w:val="00057C57"/>
    <w:rsid w:val="00057E82"/>
    <w:rsid w:val="00060044"/>
    <w:rsid w:val="000604A6"/>
    <w:rsid w:val="00060523"/>
    <w:rsid w:val="0006066E"/>
    <w:rsid w:val="00060A40"/>
    <w:rsid w:val="00060C16"/>
    <w:rsid w:val="00060CA6"/>
    <w:rsid w:val="00060DA7"/>
    <w:rsid w:val="00060E4E"/>
    <w:rsid w:val="00060F45"/>
    <w:rsid w:val="0006115D"/>
    <w:rsid w:val="000612F2"/>
    <w:rsid w:val="00061495"/>
    <w:rsid w:val="000614DC"/>
    <w:rsid w:val="00061812"/>
    <w:rsid w:val="00061B0D"/>
    <w:rsid w:val="00061CBC"/>
    <w:rsid w:val="00061D63"/>
    <w:rsid w:val="00061E34"/>
    <w:rsid w:val="00061FAB"/>
    <w:rsid w:val="0006214A"/>
    <w:rsid w:val="0006222D"/>
    <w:rsid w:val="0006227E"/>
    <w:rsid w:val="000626A3"/>
    <w:rsid w:val="00062797"/>
    <w:rsid w:val="00062961"/>
    <w:rsid w:val="00062BB1"/>
    <w:rsid w:val="00062FF6"/>
    <w:rsid w:val="0006318F"/>
    <w:rsid w:val="00063290"/>
    <w:rsid w:val="00063372"/>
    <w:rsid w:val="00063395"/>
    <w:rsid w:val="000633B0"/>
    <w:rsid w:val="0006340E"/>
    <w:rsid w:val="00063459"/>
    <w:rsid w:val="0006371A"/>
    <w:rsid w:val="0006381D"/>
    <w:rsid w:val="00063AA8"/>
    <w:rsid w:val="00063AE5"/>
    <w:rsid w:val="00063EF6"/>
    <w:rsid w:val="000640B3"/>
    <w:rsid w:val="0006412F"/>
    <w:rsid w:val="0006418C"/>
    <w:rsid w:val="0006432E"/>
    <w:rsid w:val="000643A4"/>
    <w:rsid w:val="000644B1"/>
    <w:rsid w:val="0006488E"/>
    <w:rsid w:val="000648FB"/>
    <w:rsid w:val="00064941"/>
    <w:rsid w:val="00064B87"/>
    <w:rsid w:val="00064C30"/>
    <w:rsid w:val="00064CB1"/>
    <w:rsid w:val="00064FF1"/>
    <w:rsid w:val="00065129"/>
    <w:rsid w:val="00065312"/>
    <w:rsid w:val="00065617"/>
    <w:rsid w:val="0006566D"/>
    <w:rsid w:val="0006568A"/>
    <w:rsid w:val="00065767"/>
    <w:rsid w:val="000658B1"/>
    <w:rsid w:val="00065982"/>
    <w:rsid w:val="000659A9"/>
    <w:rsid w:val="00065BB3"/>
    <w:rsid w:val="00065C18"/>
    <w:rsid w:val="000660D8"/>
    <w:rsid w:val="00066225"/>
    <w:rsid w:val="000662BA"/>
    <w:rsid w:val="0006632F"/>
    <w:rsid w:val="000664EF"/>
    <w:rsid w:val="0006680D"/>
    <w:rsid w:val="0006684F"/>
    <w:rsid w:val="0006689B"/>
    <w:rsid w:val="0006691A"/>
    <w:rsid w:val="00066C1F"/>
    <w:rsid w:val="00066D12"/>
    <w:rsid w:val="00066D3A"/>
    <w:rsid w:val="00066D3E"/>
    <w:rsid w:val="00066DAF"/>
    <w:rsid w:val="00066EBC"/>
    <w:rsid w:val="00066ED7"/>
    <w:rsid w:val="00067040"/>
    <w:rsid w:val="000671A4"/>
    <w:rsid w:val="000672B0"/>
    <w:rsid w:val="0006735E"/>
    <w:rsid w:val="00067556"/>
    <w:rsid w:val="000676CB"/>
    <w:rsid w:val="000677A8"/>
    <w:rsid w:val="0006780E"/>
    <w:rsid w:val="000679C1"/>
    <w:rsid w:val="00067A5D"/>
    <w:rsid w:val="00067BB4"/>
    <w:rsid w:val="00067C43"/>
    <w:rsid w:val="00070004"/>
    <w:rsid w:val="0007002C"/>
    <w:rsid w:val="0007041E"/>
    <w:rsid w:val="000706F6"/>
    <w:rsid w:val="00070B74"/>
    <w:rsid w:val="00070D21"/>
    <w:rsid w:val="00070D75"/>
    <w:rsid w:val="00070E65"/>
    <w:rsid w:val="00070F80"/>
    <w:rsid w:val="00070F94"/>
    <w:rsid w:val="00071204"/>
    <w:rsid w:val="000712F4"/>
    <w:rsid w:val="0007130D"/>
    <w:rsid w:val="00071476"/>
    <w:rsid w:val="00071582"/>
    <w:rsid w:val="00071692"/>
    <w:rsid w:val="000716F8"/>
    <w:rsid w:val="00071911"/>
    <w:rsid w:val="00071B35"/>
    <w:rsid w:val="00071DA9"/>
    <w:rsid w:val="00071E32"/>
    <w:rsid w:val="00071EC1"/>
    <w:rsid w:val="00071FA7"/>
    <w:rsid w:val="00072141"/>
    <w:rsid w:val="000721DF"/>
    <w:rsid w:val="000722CE"/>
    <w:rsid w:val="000722FD"/>
    <w:rsid w:val="0007239B"/>
    <w:rsid w:val="00072429"/>
    <w:rsid w:val="0007243A"/>
    <w:rsid w:val="0007256F"/>
    <w:rsid w:val="000726F7"/>
    <w:rsid w:val="00072912"/>
    <w:rsid w:val="0007296A"/>
    <w:rsid w:val="00072976"/>
    <w:rsid w:val="00072A89"/>
    <w:rsid w:val="00072AED"/>
    <w:rsid w:val="00072CC0"/>
    <w:rsid w:val="00072E41"/>
    <w:rsid w:val="00072F41"/>
    <w:rsid w:val="00073189"/>
    <w:rsid w:val="0007359C"/>
    <w:rsid w:val="00073859"/>
    <w:rsid w:val="0007388A"/>
    <w:rsid w:val="000739C3"/>
    <w:rsid w:val="000739DE"/>
    <w:rsid w:val="00073AEF"/>
    <w:rsid w:val="0007414E"/>
    <w:rsid w:val="00074246"/>
    <w:rsid w:val="000742DF"/>
    <w:rsid w:val="000744E1"/>
    <w:rsid w:val="000747FD"/>
    <w:rsid w:val="000748D6"/>
    <w:rsid w:val="00074976"/>
    <w:rsid w:val="00074983"/>
    <w:rsid w:val="00074A7B"/>
    <w:rsid w:val="00074B6B"/>
    <w:rsid w:val="00074FE5"/>
    <w:rsid w:val="000751C4"/>
    <w:rsid w:val="0007529D"/>
    <w:rsid w:val="000754C3"/>
    <w:rsid w:val="0007566B"/>
    <w:rsid w:val="0007581F"/>
    <w:rsid w:val="000758A5"/>
    <w:rsid w:val="00075941"/>
    <w:rsid w:val="00075B8C"/>
    <w:rsid w:val="00075CDA"/>
    <w:rsid w:val="00076293"/>
    <w:rsid w:val="000763B4"/>
    <w:rsid w:val="000763C9"/>
    <w:rsid w:val="000763CB"/>
    <w:rsid w:val="00076435"/>
    <w:rsid w:val="000765FB"/>
    <w:rsid w:val="00076B66"/>
    <w:rsid w:val="000772A0"/>
    <w:rsid w:val="000774BA"/>
    <w:rsid w:val="000775D2"/>
    <w:rsid w:val="000778C0"/>
    <w:rsid w:val="000779AF"/>
    <w:rsid w:val="00077DBB"/>
    <w:rsid w:val="00077DDA"/>
    <w:rsid w:val="00077DEE"/>
    <w:rsid w:val="00077E10"/>
    <w:rsid w:val="000805FD"/>
    <w:rsid w:val="00080716"/>
    <w:rsid w:val="0008078B"/>
    <w:rsid w:val="0008087B"/>
    <w:rsid w:val="00080C87"/>
    <w:rsid w:val="00080C88"/>
    <w:rsid w:val="00080D45"/>
    <w:rsid w:val="00080D73"/>
    <w:rsid w:val="00080E38"/>
    <w:rsid w:val="00080F59"/>
    <w:rsid w:val="000811F4"/>
    <w:rsid w:val="00081224"/>
    <w:rsid w:val="00081383"/>
    <w:rsid w:val="000814CF"/>
    <w:rsid w:val="000817F4"/>
    <w:rsid w:val="000818B5"/>
    <w:rsid w:val="00081C6A"/>
    <w:rsid w:val="00081C9A"/>
    <w:rsid w:val="00081D5C"/>
    <w:rsid w:val="00081E08"/>
    <w:rsid w:val="000821F0"/>
    <w:rsid w:val="0008235E"/>
    <w:rsid w:val="0008255F"/>
    <w:rsid w:val="000829A5"/>
    <w:rsid w:val="00082AF0"/>
    <w:rsid w:val="00082D07"/>
    <w:rsid w:val="00082F01"/>
    <w:rsid w:val="00083040"/>
    <w:rsid w:val="00083099"/>
    <w:rsid w:val="000830C3"/>
    <w:rsid w:val="0008316E"/>
    <w:rsid w:val="0008348C"/>
    <w:rsid w:val="00083573"/>
    <w:rsid w:val="00083A30"/>
    <w:rsid w:val="00083BC2"/>
    <w:rsid w:val="00083D47"/>
    <w:rsid w:val="00083D63"/>
    <w:rsid w:val="00083DA4"/>
    <w:rsid w:val="00083DE9"/>
    <w:rsid w:val="000843BE"/>
    <w:rsid w:val="00084627"/>
    <w:rsid w:val="000846ED"/>
    <w:rsid w:val="0008471D"/>
    <w:rsid w:val="0008493F"/>
    <w:rsid w:val="00084B61"/>
    <w:rsid w:val="00084D56"/>
    <w:rsid w:val="00085046"/>
    <w:rsid w:val="00085048"/>
    <w:rsid w:val="00085108"/>
    <w:rsid w:val="000852AF"/>
    <w:rsid w:val="00085323"/>
    <w:rsid w:val="000853A8"/>
    <w:rsid w:val="000854AB"/>
    <w:rsid w:val="00085524"/>
    <w:rsid w:val="000855FE"/>
    <w:rsid w:val="00085844"/>
    <w:rsid w:val="000859E6"/>
    <w:rsid w:val="00085C59"/>
    <w:rsid w:val="00086191"/>
    <w:rsid w:val="000862D9"/>
    <w:rsid w:val="000862DE"/>
    <w:rsid w:val="000869A7"/>
    <w:rsid w:val="00086B2C"/>
    <w:rsid w:val="00086D50"/>
    <w:rsid w:val="00086F0A"/>
    <w:rsid w:val="000871A9"/>
    <w:rsid w:val="00087211"/>
    <w:rsid w:val="0008745E"/>
    <w:rsid w:val="000874E5"/>
    <w:rsid w:val="00087774"/>
    <w:rsid w:val="000877FB"/>
    <w:rsid w:val="000878D7"/>
    <w:rsid w:val="00087E6B"/>
    <w:rsid w:val="00090012"/>
    <w:rsid w:val="00090347"/>
    <w:rsid w:val="00090425"/>
    <w:rsid w:val="000904C5"/>
    <w:rsid w:val="00090894"/>
    <w:rsid w:val="00090B3E"/>
    <w:rsid w:val="00090CAE"/>
    <w:rsid w:val="00090CF8"/>
    <w:rsid w:val="00090D10"/>
    <w:rsid w:val="00090DAC"/>
    <w:rsid w:val="0009102F"/>
    <w:rsid w:val="00091038"/>
    <w:rsid w:val="00091077"/>
    <w:rsid w:val="000910D0"/>
    <w:rsid w:val="000910D5"/>
    <w:rsid w:val="0009110C"/>
    <w:rsid w:val="00091766"/>
    <w:rsid w:val="00091965"/>
    <w:rsid w:val="00091A93"/>
    <w:rsid w:val="00091BBA"/>
    <w:rsid w:val="00091BE0"/>
    <w:rsid w:val="00091E31"/>
    <w:rsid w:val="00092120"/>
    <w:rsid w:val="00092133"/>
    <w:rsid w:val="00092173"/>
    <w:rsid w:val="00092233"/>
    <w:rsid w:val="00092305"/>
    <w:rsid w:val="00092557"/>
    <w:rsid w:val="0009287C"/>
    <w:rsid w:val="0009289E"/>
    <w:rsid w:val="000928DB"/>
    <w:rsid w:val="00092BDD"/>
    <w:rsid w:val="00093197"/>
    <w:rsid w:val="00093598"/>
    <w:rsid w:val="000935CB"/>
    <w:rsid w:val="0009388A"/>
    <w:rsid w:val="00093A69"/>
    <w:rsid w:val="00093B5D"/>
    <w:rsid w:val="00093C0A"/>
    <w:rsid w:val="00094020"/>
    <w:rsid w:val="000940B9"/>
    <w:rsid w:val="000944FF"/>
    <w:rsid w:val="00094505"/>
    <w:rsid w:val="00094628"/>
    <w:rsid w:val="00094777"/>
    <w:rsid w:val="00094846"/>
    <w:rsid w:val="00094BF7"/>
    <w:rsid w:val="00095022"/>
    <w:rsid w:val="00095098"/>
    <w:rsid w:val="000950BE"/>
    <w:rsid w:val="00095105"/>
    <w:rsid w:val="000952B2"/>
    <w:rsid w:val="00095647"/>
    <w:rsid w:val="00095660"/>
    <w:rsid w:val="00095670"/>
    <w:rsid w:val="000957F7"/>
    <w:rsid w:val="000958D7"/>
    <w:rsid w:val="00095A48"/>
    <w:rsid w:val="00095A9F"/>
    <w:rsid w:val="00095C2D"/>
    <w:rsid w:val="00095D6D"/>
    <w:rsid w:val="00096138"/>
    <w:rsid w:val="00096160"/>
    <w:rsid w:val="00096174"/>
    <w:rsid w:val="000961A7"/>
    <w:rsid w:val="0009627D"/>
    <w:rsid w:val="00096380"/>
    <w:rsid w:val="00096475"/>
    <w:rsid w:val="0009654D"/>
    <w:rsid w:val="000966C4"/>
    <w:rsid w:val="00096975"/>
    <w:rsid w:val="00096BF0"/>
    <w:rsid w:val="00096C6F"/>
    <w:rsid w:val="00096E43"/>
    <w:rsid w:val="00096F5C"/>
    <w:rsid w:val="00097223"/>
    <w:rsid w:val="0009729F"/>
    <w:rsid w:val="00097457"/>
    <w:rsid w:val="0009751C"/>
    <w:rsid w:val="00097601"/>
    <w:rsid w:val="000976F8"/>
    <w:rsid w:val="00097773"/>
    <w:rsid w:val="000978D3"/>
    <w:rsid w:val="00097967"/>
    <w:rsid w:val="00097A00"/>
    <w:rsid w:val="00097A7A"/>
    <w:rsid w:val="00097B36"/>
    <w:rsid w:val="00097B93"/>
    <w:rsid w:val="00097F22"/>
    <w:rsid w:val="000A02C8"/>
    <w:rsid w:val="000A0543"/>
    <w:rsid w:val="000A05B7"/>
    <w:rsid w:val="000A0659"/>
    <w:rsid w:val="000A07F5"/>
    <w:rsid w:val="000A088F"/>
    <w:rsid w:val="000A09B0"/>
    <w:rsid w:val="000A0ABB"/>
    <w:rsid w:val="000A0DF2"/>
    <w:rsid w:val="000A0E8A"/>
    <w:rsid w:val="000A1002"/>
    <w:rsid w:val="000A1011"/>
    <w:rsid w:val="000A104B"/>
    <w:rsid w:val="000A106E"/>
    <w:rsid w:val="000A115B"/>
    <w:rsid w:val="000A1278"/>
    <w:rsid w:val="000A12CA"/>
    <w:rsid w:val="000A135C"/>
    <w:rsid w:val="000A1A04"/>
    <w:rsid w:val="000A1B71"/>
    <w:rsid w:val="000A1C02"/>
    <w:rsid w:val="000A1D56"/>
    <w:rsid w:val="000A2034"/>
    <w:rsid w:val="000A2084"/>
    <w:rsid w:val="000A2111"/>
    <w:rsid w:val="000A2158"/>
    <w:rsid w:val="000A218F"/>
    <w:rsid w:val="000A243F"/>
    <w:rsid w:val="000A250F"/>
    <w:rsid w:val="000A2993"/>
    <w:rsid w:val="000A2ABB"/>
    <w:rsid w:val="000A2C03"/>
    <w:rsid w:val="000A2F71"/>
    <w:rsid w:val="000A342E"/>
    <w:rsid w:val="000A37A2"/>
    <w:rsid w:val="000A3887"/>
    <w:rsid w:val="000A395D"/>
    <w:rsid w:val="000A3B8D"/>
    <w:rsid w:val="000A3CF3"/>
    <w:rsid w:val="000A3CFC"/>
    <w:rsid w:val="000A3DDB"/>
    <w:rsid w:val="000A404B"/>
    <w:rsid w:val="000A40E3"/>
    <w:rsid w:val="000A441D"/>
    <w:rsid w:val="000A4851"/>
    <w:rsid w:val="000A4A82"/>
    <w:rsid w:val="000A4BAF"/>
    <w:rsid w:val="000A4C03"/>
    <w:rsid w:val="000A4DA4"/>
    <w:rsid w:val="000A4F06"/>
    <w:rsid w:val="000A50B8"/>
    <w:rsid w:val="000A5216"/>
    <w:rsid w:val="000A54DA"/>
    <w:rsid w:val="000A5691"/>
    <w:rsid w:val="000A578A"/>
    <w:rsid w:val="000A57CC"/>
    <w:rsid w:val="000A597C"/>
    <w:rsid w:val="000A59BB"/>
    <w:rsid w:val="000A5A52"/>
    <w:rsid w:val="000A5A96"/>
    <w:rsid w:val="000A5C8F"/>
    <w:rsid w:val="000A5D43"/>
    <w:rsid w:val="000A6415"/>
    <w:rsid w:val="000A64DD"/>
    <w:rsid w:val="000A65BF"/>
    <w:rsid w:val="000A6C1E"/>
    <w:rsid w:val="000A6CA5"/>
    <w:rsid w:val="000A6DE9"/>
    <w:rsid w:val="000A6F07"/>
    <w:rsid w:val="000A7105"/>
    <w:rsid w:val="000A7134"/>
    <w:rsid w:val="000A7273"/>
    <w:rsid w:val="000A72E8"/>
    <w:rsid w:val="000A74D5"/>
    <w:rsid w:val="000A7594"/>
    <w:rsid w:val="000A773F"/>
    <w:rsid w:val="000A7825"/>
    <w:rsid w:val="000A78FA"/>
    <w:rsid w:val="000A794D"/>
    <w:rsid w:val="000A79B1"/>
    <w:rsid w:val="000A79EC"/>
    <w:rsid w:val="000A7CCF"/>
    <w:rsid w:val="000A7DF6"/>
    <w:rsid w:val="000A7F28"/>
    <w:rsid w:val="000B00D4"/>
    <w:rsid w:val="000B0182"/>
    <w:rsid w:val="000B0297"/>
    <w:rsid w:val="000B0302"/>
    <w:rsid w:val="000B0503"/>
    <w:rsid w:val="000B0776"/>
    <w:rsid w:val="000B0A3D"/>
    <w:rsid w:val="000B0AF5"/>
    <w:rsid w:val="000B0B4B"/>
    <w:rsid w:val="000B0C54"/>
    <w:rsid w:val="000B0FAA"/>
    <w:rsid w:val="000B107C"/>
    <w:rsid w:val="000B10E5"/>
    <w:rsid w:val="000B10E8"/>
    <w:rsid w:val="000B1345"/>
    <w:rsid w:val="000B1568"/>
    <w:rsid w:val="000B166E"/>
    <w:rsid w:val="000B168C"/>
    <w:rsid w:val="000B187A"/>
    <w:rsid w:val="000B1938"/>
    <w:rsid w:val="000B198B"/>
    <w:rsid w:val="000B1B56"/>
    <w:rsid w:val="000B1D8C"/>
    <w:rsid w:val="000B1DA3"/>
    <w:rsid w:val="000B1E15"/>
    <w:rsid w:val="000B1F74"/>
    <w:rsid w:val="000B1FD3"/>
    <w:rsid w:val="000B23B1"/>
    <w:rsid w:val="000B23DB"/>
    <w:rsid w:val="000B272D"/>
    <w:rsid w:val="000B2733"/>
    <w:rsid w:val="000B279F"/>
    <w:rsid w:val="000B27B4"/>
    <w:rsid w:val="000B28CF"/>
    <w:rsid w:val="000B2AA1"/>
    <w:rsid w:val="000B2AAD"/>
    <w:rsid w:val="000B2D9E"/>
    <w:rsid w:val="000B3024"/>
    <w:rsid w:val="000B31D1"/>
    <w:rsid w:val="000B31FB"/>
    <w:rsid w:val="000B3265"/>
    <w:rsid w:val="000B35B8"/>
    <w:rsid w:val="000B3877"/>
    <w:rsid w:val="000B38D7"/>
    <w:rsid w:val="000B3C68"/>
    <w:rsid w:val="000B3CFC"/>
    <w:rsid w:val="000B3D31"/>
    <w:rsid w:val="000B3D63"/>
    <w:rsid w:val="000B3F04"/>
    <w:rsid w:val="000B4132"/>
    <w:rsid w:val="000B41EA"/>
    <w:rsid w:val="000B4357"/>
    <w:rsid w:val="000B46CC"/>
    <w:rsid w:val="000B475E"/>
    <w:rsid w:val="000B48FD"/>
    <w:rsid w:val="000B4A54"/>
    <w:rsid w:val="000B4A73"/>
    <w:rsid w:val="000B4EA9"/>
    <w:rsid w:val="000B4F94"/>
    <w:rsid w:val="000B514F"/>
    <w:rsid w:val="000B527B"/>
    <w:rsid w:val="000B5380"/>
    <w:rsid w:val="000B539A"/>
    <w:rsid w:val="000B54E4"/>
    <w:rsid w:val="000B557F"/>
    <w:rsid w:val="000B58CD"/>
    <w:rsid w:val="000B5930"/>
    <w:rsid w:val="000B5A72"/>
    <w:rsid w:val="000B5AA7"/>
    <w:rsid w:val="000B5AC0"/>
    <w:rsid w:val="000B5BEC"/>
    <w:rsid w:val="000B5D30"/>
    <w:rsid w:val="000B5DB9"/>
    <w:rsid w:val="000B5EC5"/>
    <w:rsid w:val="000B5FC3"/>
    <w:rsid w:val="000B6018"/>
    <w:rsid w:val="000B606C"/>
    <w:rsid w:val="000B629A"/>
    <w:rsid w:val="000B63A4"/>
    <w:rsid w:val="000B682A"/>
    <w:rsid w:val="000B685B"/>
    <w:rsid w:val="000B68BB"/>
    <w:rsid w:val="000B6DE2"/>
    <w:rsid w:val="000B6E73"/>
    <w:rsid w:val="000B7445"/>
    <w:rsid w:val="000B7459"/>
    <w:rsid w:val="000B7806"/>
    <w:rsid w:val="000B797D"/>
    <w:rsid w:val="000B7BD3"/>
    <w:rsid w:val="000B7EC1"/>
    <w:rsid w:val="000B7F5E"/>
    <w:rsid w:val="000C03BC"/>
    <w:rsid w:val="000C08DF"/>
    <w:rsid w:val="000C0EBF"/>
    <w:rsid w:val="000C0ED3"/>
    <w:rsid w:val="000C1A52"/>
    <w:rsid w:val="000C1D86"/>
    <w:rsid w:val="000C1DF2"/>
    <w:rsid w:val="000C1EDA"/>
    <w:rsid w:val="000C1F20"/>
    <w:rsid w:val="000C2094"/>
    <w:rsid w:val="000C22BF"/>
    <w:rsid w:val="000C26DD"/>
    <w:rsid w:val="000C2939"/>
    <w:rsid w:val="000C2947"/>
    <w:rsid w:val="000C2AEB"/>
    <w:rsid w:val="000C2D08"/>
    <w:rsid w:val="000C2D2E"/>
    <w:rsid w:val="000C2DE8"/>
    <w:rsid w:val="000C2F7F"/>
    <w:rsid w:val="000C31AD"/>
    <w:rsid w:val="000C3249"/>
    <w:rsid w:val="000C32BA"/>
    <w:rsid w:val="000C3AED"/>
    <w:rsid w:val="000C3F30"/>
    <w:rsid w:val="000C416D"/>
    <w:rsid w:val="000C419E"/>
    <w:rsid w:val="000C434B"/>
    <w:rsid w:val="000C447A"/>
    <w:rsid w:val="000C44E5"/>
    <w:rsid w:val="000C45AF"/>
    <w:rsid w:val="000C45CA"/>
    <w:rsid w:val="000C4BB5"/>
    <w:rsid w:val="000C4CBB"/>
    <w:rsid w:val="000C4D00"/>
    <w:rsid w:val="000C4E5F"/>
    <w:rsid w:val="000C5128"/>
    <w:rsid w:val="000C516A"/>
    <w:rsid w:val="000C5218"/>
    <w:rsid w:val="000C54A7"/>
    <w:rsid w:val="000C55B8"/>
    <w:rsid w:val="000C5A55"/>
    <w:rsid w:val="000C5BC0"/>
    <w:rsid w:val="000C5DEC"/>
    <w:rsid w:val="000C5F49"/>
    <w:rsid w:val="000C62E0"/>
    <w:rsid w:val="000C6347"/>
    <w:rsid w:val="000C657F"/>
    <w:rsid w:val="000C68A3"/>
    <w:rsid w:val="000C68BD"/>
    <w:rsid w:val="000C68FD"/>
    <w:rsid w:val="000C6B37"/>
    <w:rsid w:val="000C6B9D"/>
    <w:rsid w:val="000C6BF6"/>
    <w:rsid w:val="000C6CFB"/>
    <w:rsid w:val="000C6DA5"/>
    <w:rsid w:val="000C6EFC"/>
    <w:rsid w:val="000C7279"/>
    <w:rsid w:val="000C72E7"/>
    <w:rsid w:val="000C76DC"/>
    <w:rsid w:val="000C77CC"/>
    <w:rsid w:val="000C7914"/>
    <w:rsid w:val="000C7B03"/>
    <w:rsid w:val="000C7E84"/>
    <w:rsid w:val="000C7FA0"/>
    <w:rsid w:val="000D02B8"/>
    <w:rsid w:val="000D039C"/>
    <w:rsid w:val="000D0462"/>
    <w:rsid w:val="000D0594"/>
    <w:rsid w:val="000D06CB"/>
    <w:rsid w:val="000D070A"/>
    <w:rsid w:val="000D0899"/>
    <w:rsid w:val="000D0BA3"/>
    <w:rsid w:val="000D0BFF"/>
    <w:rsid w:val="000D0C63"/>
    <w:rsid w:val="000D0D2B"/>
    <w:rsid w:val="000D0E02"/>
    <w:rsid w:val="000D0EBF"/>
    <w:rsid w:val="000D11DE"/>
    <w:rsid w:val="000D120D"/>
    <w:rsid w:val="000D134A"/>
    <w:rsid w:val="000D134C"/>
    <w:rsid w:val="000D13C8"/>
    <w:rsid w:val="000D1579"/>
    <w:rsid w:val="000D172E"/>
    <w:rsid w:val="000D18AB"/>
    <w:rsid w:val="000D1923"/>
    <w:rsid w:val="000D1D90"/>
    <w:rsid w:val="000D1DC7"/>
    <w:rsid w:val="000D1DE2"/>
    <w:rsid w:val="000D1EDA"/>
    <w:rsid w:val="000D1EFA"/>
    <w:rsid w:val="000D1FA4"/>
    <w:rsid w:val="000D1FE0"/>
    <w:rsid w:val="000D22CF"/>
    <w:rsid w:val="000D230C"/>
    <w:rsid w:val="000D234B"/>
    <w:rsid w:val="000D26D0"/>
    <w:rsid w:val="000D29C5"/>
    <w:rsid w:val="000D2AE3"/>
    <w:rsid w:val="000D2B3D"/>
    <w:rsid w:val="000D2BE6"/>
    <w:rsid w:val="000D2C94"/>
    <w:rsid w:val="000D2D50"/>
    <w:rsid w:val="000D2EC3"/>
    <w:rsid w:val="000D335C"/>
    <w:rsid w:val="000D33BC"/>
    <w:rsid w:val="000D3488"/>
    <w:rsid w:val="000D397E"/>
    <w:rsid w:val="000D39D7"/>
    <w:rsid w:val="000D3C5D"/>
    <w:rsid w:val="000D3DF8"/>
    <w:rsid w:val="000D3E19"/>
    <w:rsid w:val="000D3E2E"/>
    <w:rsid w:val="000D3EBE"/>
    <w:rsid w:val="000D3F3C"/>
    <w:rsid w:val="000D3F8B"/>
    <w:rsid w:val="000D3FAC"/>
    <w:rsid w:val="000D45ED"/>
    <w:rsid w:val="000D48CE"/>
    <w:rsid w:val="000D4CFF"/>
    <w:rsid w:val="000D4DDD"/>
    <w:rsid w:val="000D4ECA"/>
    <w:rsid w:val="000D506B"/>
    <w:rsid w:val="000D542D"/>
    <w:rsid w:val="000D5948"/>
    <w:rsid w:val="000D5AA1"/>
    <w:rsid w:val="000D5B4B"/>
    <w:rsid w:val="000D5C59"/>
    <w:rsid w:val="000D5DE2"/>
    <w:rsid w:val="000D5E37"/>
    <w:rsid w:val="000D62DA"/>
    <w:rsid w:val="000D6300"/>
    <w:rsid w:val="000D6968"/>
    <w:rsid w:val="000D6A82"/>
    <w:rsid w:val="000D6A88"/>
    <w:rsid w:val="000D7459"/>
    <w:rsid w:val="000D7528"/>
    <w:rsid w:val="000D761D"/>
    <w:rsid w:val="000D76C7"/>
    <w:rsid w:val="000D7B51"/>
    <w:rsid w:val="000D7EF6"/>
    <w:rsid w:val="000D7FD9"/>
    <w:rsid w:val="000E00FC"/>
    <w:rsid w:val="000E017F"/>
    <w:rsid w:val="000E01B2"/>
    <w:rsid w:val="000E03AD"/>
    <w:rsid w:val="000E062F"/>
    <w:rsid w:val="000E084A"/>
    <w:rsid w:val="000E090E"/>
    <w:rsid w:val="000E0AA7"/>
    <w:rsid w:val="000E0BEF"/>
    <w:rsid w:val="000E1100"/>
    <w:rsid w:val="000E121E"/>
    <w:rsid w:val="000E12EB"/>
    <w:rsid w:val="000E1322"/>
    <w:rsid w:val="000E14B8"/>
    <w:rsid w:val="000E1748"/>
    <w:rsid w:val="000E1776"/>
    <w:rsid w:val="000E1A33"/>
    <w:rsid w:val="000E1AF8"/>
    <w:rsid w:val="000E1BC5"/>
    <w:rsid w:val="000E1C8E"/>
    <w:rsid w:val="000E1DA7"/>
    <w:rsid w:val="000E1F4D"/>
    <w:rsid w:val="000E1F51"/>
    <w:rsid w:val="000E2263"/>
    <w:rsid w:val="000E22E5"/>
    <w:rsid w:val="000E2418"/>
    <w:rsid w:val="000E26B0"/>
    <w:rsid w:val="000E2704"/>
    <w:rsid w:val="000E2A40"/>
    <w:rsid w:val="000E2B72"/>
    <w:rsid w:val="000E2BF9"/>
    <w:rsid w:val="000E2ECE"/>
    <w:rsid w:val="000E3373"/>
    <w:rsid w:val="000E3678"/>
    <w:rsid w:val="000E36A7"/>
    <w:rsid w:val="000E37B1"/>
    <w:rsid w:val="000E37F9"/>
    <w:rsid w:val="000E37FA"/>
    <w:rsid w:val="000E3944"/>
    <w:rsid w:val="000E39A7"/>
    <w:rsid w:val="000E3C58"/>
    <w:rsid w:val="000E3E54"/>
    <w:rsid w:val="000E3FC0"/>
    <w:rsid w:val="000E4027"/>
    <w:rsid w:val="000E4083"/>
    <w:rsid w:val="000E40FF"/>
    <w:rsid w:val="000E45C2"/>
    <w:rsid w:val="000E491F"/>
    <w:rsid w:val="000E4A5D"/>
    <w:rsid w:val="000E4B4C"/>
    <w:rsid w:val="000E50D6"/>
    <w:rsid w:val="000E546A"/>
    <w:rsid w:val="000E57A5"/>
    <w:rsid w:val="000E5874"/>
    <w:rsid w:val="000E5890"/>
    <w:rsid w:val="000E589B"/>
    <w:rsid w:val="000E58CF"/>
    <w:rsid w:val="000E5956"/>
    <w:rsid w:val="000E5A44"/>
    <w:rsid w:val="000E5A47"/>
    <w:rsid w:val="000E5A51"/>
    <w:rsid w:val="000E5AE8"/>
    <w:rsid w:val="000E5F02"/>
    <w:rsid w:val="000E5F04"/>
    <w:rsid w:val="000E5FCF"/>
    <w:rsid w:val="000E6049"/>
    <w:rsid w:val="000E62D9"/>
    <w:rsid w:val="000E639F"/>
    <w:rsid w:val="000E6466"/>
    <w:rsid w:val="000E6482"/>
    <w:rsid w:val="000E64AC"/>
    <w:rsid w:val="000E65D6"/>
    <w:rsid w:val="000E674C"/>
    <w:rsid w:val="000E68EF"/>
    <w:rsid w:val="000E6F83"/>
    <w:rsid w:val="000E7109"/>
    <w:rsid w:val="000E7383"/>
    <w:rsid w:val="000E74B3"/>
    <w:rsid w:val="000E7D12"/>
    <w:rsid w:val="000F023B"/>
    <w:rsid w:val="000F02E4"/>
    <w:rsid w:val="000F06D4"/>
    <w:rsid w:val="000F0983"/>
    <w:rsid w:val="000F0B46"/>
    <w:rsid w:val="000F10C5"/>
    <w:rsid w:val="000F10C9"/>
    <w:rsid w:val="000F10DF"/>
    <w:rsid w:val="000F10F9"/>
    <w:rsid w:val="000F1258"/>
    <w:rsid w:val="000F1379"/>
    <w:rsid w:val="000F1412"/>
    <w:rsid w:val="000F155E"/>
    <w:rsid w:val="000F17CE"/>
    <w:rsid w:val="000F1CBB"/>
    <w:rsid w:val="000F1D3D"/>
    <w:rsid w:val="000F1DB1"/>
    <w:rsid w:val="000F1E34"/>
    <w:rsid w:val="000F252C"/>
    <w:rsid w:val="000F255E"/>
    <w:rsid w:val="000F284D"/>
    <w:rsid w:val="000F2854"/>
    <w:rsid w:val="000F28F5"/>
    <w:rsid w:val="000F297D"/>
    <w:rsid w:val="000F29BF"/>
    <w:rsid w:val="000F2A91"/>
    <w:rsid w:val="000F2D37"/>
    <w:rsid w:val="000F2E78"/>
    <w:rsid w:val="000F3225"/>
    <w:rsid w:val="000F338A"/>
    <w:rsid w:val="000F35C6"/>
    <w:rsid w:val="000F3631"/>
    <w:rsid w:val="000F385C"/>
    <w:rsid w:val="000F38D3"/>
    <w:rsid w:val="000F38DA"/>
    <w:rsid w:val="000F3A05"/>
    <w:rsid w:val="000F3B69"/>
    <w:rsid w:val="000F3B71"/>
    <w:rsid w:val="000F3CE9"/>
    <w:rsid w:val="000F3D44"/>
    <w:rsid w:val="000F402C"/>
    <w:rsid w:val="000F4121"/>
    <w:rsid w:val="000F4172"/>
    <w:rsid w:val="000F41BA"/>
    <w:rsid w:val="000F422A"/>
    <w:rsid w:val="000F4277"/>
    <w:rsid w:val="000F42F6"/>
    <w:rsid w:val="000F42FA"/>
    <w:rsid w:val="000F43A7"/>
    <w:rsid w:val="000F440C"/>
    <w:rsid w:val="000F44BA"/>
    <w:rsid w:val="000F45A8"/>
    <w:rsid w:val="000F464D"/>
    <w:rsid w:val="000F4693"/>
    <w:rsid w:val="000F4953"/>
    <w:rsid w:val="000F4CB6"/>
    <w:rsid w:val="000F4F03"/>
    <w:rsid w:val="000F5078"/>
    <w:rsid w:val="000F508B"/>
    <w:rsid w:val="000F52CA"/>
    <w:rsid w:val="000F5314"/>
    <w:rsid w:val="000F5317"/>
    <w:rsid w:val="000F561A"/>
    <w:rsid w:val="000F578A"/>
    <w:rsid w:val="000F57B9"/>
    <w:rsid w:val="000F57F1"/>
    <w:rsid w:val="000F5B8F"/>
    <w:rsid w:val="000F5C4B"/>
    <w:rsid w:val="000F5D07"/>
    <w:rsid w:val="000F5DE3"/>
    <w:rsid w:val="000F5EF4"/>
    <w:rsid w:val="000F6136"/>
    <w:rsid w:val="000F62C9"/>
    <w:rsid w:val="000F6359"/>
    <w:rsid w:val="000F64B0"/>
    <w:rsid w:val="000F64F0"/>
    <w:rsid w:val="000F6531"/>
    <w:rsid w:val="000F654D"/>
    <w:rsid w:val="000F6724"/>
    <w:rsid w:val="000F6895"/>
    <w:rsid w:val="000F689E"/>
    <w:rsid w:val="000F68E0"/>
    <w:rsid w:val="000F68E6"/>
    <w:rsid w:val="000F6948"/>
    <w:rsid w:val="000F69C9"/>
    <w:rsid w:val="000F6A4C"/>
    <w:rsid w:val="000F6B58"/>
    <w:rsid w:val="000F6B85"/>
    <w:rsid w:val="000F73BF"/>
    <w:rsid w:val="000F74DE"/>
    <w:rsid w:val="000F7500"/>
    <w:rsid w:val="000F771F"/>
    <w:rsid w:val="000F78F9"/>
    <w:rsid w:val="000F7BBC"/>
    <w:rsid w:val="000F7C6C"/>
    <w:rsid w:val="000F7C9B"/>
    <w:rsid w:val="000F7FC0"/>
    <w:rsid w:val="000F7FD0"/>
    <w:rsid w:val="00100065"/>
    <w:rsid w:val="00100343"/>
    <w:rsid w:val="00100670"/>
    <w:rsid w:val="001006E1"/>
    <w:rsid w:val="00100938"/>
    <w:rsid w:val="00100942"/>
    <w:rsid w:val="00100D7D"/>
    <w:rsid w:val="00100E9E"/>
    <w:rsid w:val="00101067"/>
    <w:rsid w:val="001011F1"/>
    <w:rsid w:val="00101301"/>
    <w:rsid w:val="00101335"/>
    <w:rsid w:val="0010152D"/>
    <w:rsid w:val="001015CC"/>
    <w:rsid w:val="0010175D"/>
    <w:rsid w:val="001018BD"/>
    <w:rsid w:val="00101DDB"/>
    <w:rsid w:val="00101F43"/>
    <w:rsid w:val="00101F96"/>
    <w:rsid w:val="001022B8"/>
    <w:rsid w:val="0010231F"/>
    <w:rsid w:val="001023A6"/>
    <w:rsid w:val="001024DA"/>
    <w:rsid w:val="0010250D"/>
    <w:rsid w:val="0010269F"/>
    <w:rsid w:val="00102832"/>
    <w:rsid w:val="0010288A"/>
    <w:rsid w:val="00102942"/>
    <w:rsid w:val="001029ED"/>
    <w:rsid w:val="00102ADA"/>
    <w:rsid w:val="00102CBE"/>
    <w:rsid w:val="00102CE7"/>
    <w:rsid w:val="00102D23"/>
    <w:rsid w:val="00102D3D"/>
    <w:rsid w:val="00102E83"/>
    <w:rsid w:val="00102F0D"/>
    <w:rsid w:val="00103178"/>
    <w:rsid w:val="00103539"/>
    <w:rsid w:val="0010363D"/>
    <w:rsid w:val="00103750"/>
    <w:rsid w:val="001038BA"/>
    <w:rsid w:val="001038F6"/>
    <w:rsid w:val="00103B15"/>
    <w:rsid w:val="00103CA5"/>
    <w:rsid w:val="00103DC2"/>
    <w:rsid w:val="0010410A"/>
    <w:rsid w:val="00104365"/>
    <w:rsid w:val="0010455A"/>
    <w:rsid w:val="001046A3"/>
    <w:rsid w:val="001046C6"/>
    <w:rsid w:val="001047FC"/>
    <w:rsid w:val="00104878"/>
    <w:rsid w:val="001048FD"/>
    <w:rsid w:val="00104B93"/>
    <w:rsid w:val="00104BA0"/>
    <w:rsid w:val="00104E6D"/>
    <w:rsid w:val="001050F5"/>
    <w:rsid w:val="00105256"/>
    <w:rsid w:val="00105360"/>
    <w:rsid w:val="00105410"/>
    <w:rsid w:val="00105473"/>
    <w:rsid w:val="0010567D"/>
    <w:rsid w:val="00105A69"/>
    <w:rsid w:val="00105B20"/>
    <w:rsid w:val="00105CEF"/>
    <w:rsid w:val="00106089"/>
    <w:rsid w:val="00106288"/>
    <w:rsid w:val="00106340"/>
    <w:rsid w:val="00106405"/>
    <w:rsid w:val="00106469"/>
    <w:rsid w:val="0010695A"/>
    <w:rsid w:val="00106987"/>
    <w:rsid w:val="00106AAA"/>
    <w:rsid w:val="00106CA5"/>
    <w:rsid w:val="00106DC5"/>
    <w:rsid w:val="00106EAC"/>
    <w:rsid w:val="00106F0D"/>
    <w:rsid w:val="001073BF"/>
    <w:rsid w:val="0010748F"/>
    <w:rsid w:val="001074A4"/>
    <w:rsid w:val="001076CC"/>
    <w:rsid w:val="0010775B"/>
    <w:rsid w:val="00107C6A"/>
    <w:rsid w:val="00107D73"/>
    <w:rsid w:val="00107E63"/>
    <w:rsid w:val="00107E9E"/>
    <w:rsid w:val="00107F43"/>
    <w:rsid w:val="001101DE"/>
    <w:rsid w:val="001102C2"/>
    <w:rsid w:val="00110596"/>
    <w:rsid w:val="0011089D"/>
    <w:rsid w:val="00110920"/>
    <w:rsid w:val="00110B77"/>
    <w:rsid w:val="00110B92"/>
    <w:rsid w:val="00110BEF"/>
    <w:rsid w:val="00110D38"/>
    <w:rsid w:val="00110D65"/>
    <w:rsid w:val="00110DE5"/>
    <w:rsid w:val="00110E25"/>
    <w:rsid w:val="00111009"/>
    <w:rsid w:val="0011184F"/>
    <w:rsid w:val="001119F5"/>
    <w:rsid w:val="00111B56"/>
    <w:rsid w:val="00111D1A"/>
    <w:rsid w:val="00111F5B"/>
    <w:rsid w:val="00111FD1"/>
    <w:rsid w:val="00112100"/>
    <w:rsid w:val="00112179"/>
    <w:rsid w:val="00112339"/>
    <w:rsid w:val="00112857"/>
    <w:rsid w:val="0011285E"/>
    <w:rsid w:val="00112913"/>
    <w:rsid w:val="00112E2E"/>
    <w:rsid w:val="00112FE9"/>
    <w:rsid w:val="00113334"/>
    <w:rsid w:val="001133AD"/>
    <w:rsid w:val="00113730"/>
    <w:rsid w:val="00113784"/>
    <w:rsid w:val="00113AE0"/>
    <w:rsid w:val="00113D23"/>
    <w:rsid w:val="00113E79"/>
    <w:rsid w:val="00113E80"/>
    <w:rsid w:val="00113F93"/>
    <w:rsid w:val="00113FF4"/>
    <w:rsid w:val="00114420"/>
    <w:rsid w:val="00114441"/>
    <w:rsid w:val="001145CD"/>
    <w:rsid w:val="001145F5"/>
    <w:rsid w:val="00114709"/>
    <w:rsid w:val="0011471F"/>
    <w:rsid w:val="001147B1"/>
    <w:rsid w:val="001147DF"/>
    <w:rsid w:val="001148D2"/>
    <w:rsid w:val="001148D5"/>
    <w:rsid w:val="00114C14"/>
    <w:rsid w:val="00114DD9"/>
    <w:rsid w:val="00114FBA"/>
    <w:rsid w:val="00115263"/>
    <w:rsid w:val="0011548D"/>
    <w:rsid w:val="00115AF8"/>
    <w:rsid w:val="00115BCD"/>
    <w:rsid w:val="00115C5E"/>
    <w:rsid w:val="00115CDB"/>
    <w:rsid w:val="00115F47"/>
    <w:rsid w:val="00116062"/>
    <w:rsid w:val="001161C1"/>
    <w:rsid w:val="001163B0"/>
    <w:rsid w:val="00116494"/>
    <w:rsid w:val="00116736"/>
    <w:rsid w:val="00116AD6"/>
    <w:rsid w:val="00116D48"/>
    <w:rsid w:val="00116F71"/>
    <w:rsid w:val="0011704C"/>
    <w:rsid w:val="00117399"/>
    <w:rsid w:val="001175D3"/>
    <w:rsid w:val="001175EB"/>
    <w:rsid w:val="001176ED"/>
    <w:rsid w:val="00117757"/>
    <w:rsid w:val="001177CA"/>
    <w:rsid w:val="00117B61"/>
    <w:rsid w:val="00117C01"/>
    <w:rsid w:val="00117F1F"/>
    <w:rsid w:val="00117F41"/>
    <w:rsid w:val="00120095"/>
    <w:rsid w:val="001200A1"/>
    <w:rsid w:val="0012012F"/>
    <w:rsid w:val="00120134"/>
    <w:rsid w:val="00120178"/>
    <w:rsid w:val="001204C4"/>
    <w:rsid w:val="00120616"/>
    <w:rsid w:val="001208B9"/>
    <w:rsid w:val="00120B03"/>
    <w:rsid w:val="00120B04"/>
    <w:rsid w:val="00120FAA"/>
    <w:rsid w:val="00121214"/>
    <w:rsid w:val="00121289"/>
    <w:rsid w:val="001218A1"/>
    <w:rsid w:val="001218B5"/>
    <w:rsid w:val="001218BE"/>
    <w:rsid w:val="00121906"/>
    <w:rsid w:val="0012190B"/>
    <w:rsid w:val="00121C3D"/>
    <w:rsid w:val="0012202B"/>
    <w:rsid w:val="001225C3"/>
    <w:rsid w:val="00122712"/>
    <w:rsid w:val="00122828"/>
    <w:rsid w:val="0012282F"/>
    <w:rsid w:val="001228E7"/>
    <w:rsid w:val="00122BCD"/>
    <w:rsid w:val="00122C18"/>
    <w:rsid w:val="00122D37"/>
    <w:rsid w:val="00122DF7"/>
    <w:rsid w:val="00122EDB"/>
    <w:rsid w:val="00122F22"/>
    <w:rsid w:val="0012330A"/>
    <w:rsid w:val="00123370"/>
    <w:rsid w:val="00123404"/>
    <w:rsid w:val="00123429"/>
    <w:rsid w:val="001235AF"/>
    <w:rsid w:val="001237B5"/>
    <w:rsid w:val="001237C6"/>
    <w:rsid w:val="00123D8D"/>
    <w:rsid w:val="00123EB6"/>
    <w:rsid w:val="00123F1B"/>
    <w:rsid w:val="001241E7"/>
    <w:rsid w:val="00124325"/>
    <w:rsid w:val="001243E8"/>
    <w:rsid w:val="00124430"/>
    <w:rsid w:val="001244A2"/>
    <w:rsid w:val="0012450A"/>
    <w:rsid w:val="00124557"/>
    <w:rsid w:val="00124775"/>
    <w:rsid w:val="00124B7C"/>
    <w:rsid w:val="00124B81"/>
    <w:rsid w:val="00124BEC"/>
    <w:rsid w:val="00124E82"/>
    <w:rsid w:val="00125011"/>
    <w:rsid w:val="00125374"/>
    <w:rsid w:val="0012544C"/>
    <w:rsid w:val="001255A5"/>
    <w:rsid w:val="00125640"/>
    <w:rsid w:val="00125876"/>
    <w:rsid w:val="0012597F"/>
    <w:rsid w:val="00125CB9"/>
    <w:rsid w:val="00125D71"/>
    <w:rsid w:val="0012668E"/>
    <w:rsid w:val="001266E6"/>
    <w:rsid w:val="00126936"/>
    <w:rsid w:val="00126AE8"/>
    <w:rsid w:val="00126B95"/>
    <w:rsid w:val="00126BED"/>
    <w:rsid w:val="00126F5C"/>
    <w:rsid w:val="00126F6A"/>
    <w:rsid w:val="00127050"/>
    <w:rsid w:val="001274A4"/>
    <w:rsid w:val="00127643"/>
    <w:rsid w:val="001276C8"/>
    <w:rsid w:val="00127820"/>
    <w:rsid w:val="00127C5C"/>
    <w:rsid w:val="00127CE3"/>
    <w:rsid w:val="00127D74"/>
    <w:rsid w:val="00130060"/>
    <w:rsid w:val="001302E1"/>
    <w:rsid w:val="001303D7"/>
    <w:rsid w:val="001305C4"/>
    <w:rsid w:val="00130B7A"/>
    <w:rsid w:val="00130C3C"/>
    <w:rsid w:val="00130C3E"/>
    <w:rsid w:val="00130F38"/>
    <w:rsid w:val="00131054"/>
    <w:rsid w:val="001310F4"/>
    <w:rsid w:val="00131116"/>
    <w:rsid w:val="001311D4"/>
    <w:rsid w:val="001312B3"/>
    <w:rsid w:val="0013145A"/>
    <w:rsid w:val="00131505"/>
    <w:rsid w:val="001316F4"/>
    <w:rsid w:val="0013188A"/>
    <w:rsid w:val="0013190A"/>
    <w:rsid w:val="001319B0"/>
    <w:rsid w:val="00131A36"/>
    <w:rsid w:val="00131ACE"/>
    <w:rsid w:val="00131BC1"/>
    <w:rsid w:val="00131C7A"/>
    <w:rsid w:val="00131F0E"/>
    <w:rsid w:val="00132416"/>
    <w:rsid w:val="0013243B"/>
    <w:rsid w:val="00132449"/>
    <w:rsid w:val="00132695"/>
    <w:rsid w:val="001327DE"/>
    <w:rsid w:val="00132835"/>
    <w:rsid w:val="00132882"/>
    <w:rsid w:val="001329FD"/>
    <w:rsid w:val="00132D65"/>
    <w:rsid w:val="00132E3C"/>
    <w:rsid w:val="00132E58"/>
    <w:rsid w:val="00132F87"/>
    <w:rsid w:val="00133078"/>
    <w:rsid w:val="00133129"/>
    <w:rsid w:val="0013319F"/>
    <w:rsid w:val="001333D7"/>
    <w:rsid w:val="00133459"/>
    <w:rsid w:val="001335EA"/>
    <w:rsid w:val="001337FA"/>
    <w:rsid w:val="001338D4"/>
    <w:rsid w:val="001338D7"/>
    <w:rsid w:val="00133959"/>
    <w:rsid w:val="00133B87"/>
    <w:rsid w:val="00133C2A"/>
    <w:rsid w:val="00133D67"/>
    <w:rsid w:val="00133DC1"/>
    <w:rsid w:val="001341F5"/>
    <w:rsid w:val="001342D8"/>
    <w:rsid w:val="001345B4"/>
    <w:rsid w:val="0013470C"/>
    <w:rsid w:val="00134824"/>
    <w:rsid w:val="00134C11"/>
    <w:rsid w:val="00134CE2"/>
    <w:rsid w:val="00134D73"/>
    <w:rsid w:val="00134E36"/>
    <w:rsid w:val="00135099"/>
    <w:rsid w:val="00135119"/>
    <w:rsid w:val="001352AC"/>
    <w:rsid w:val="0013537F"/>
    <w:rsid w:val="001353E0"/>
    <w:rsid w:val="0013553D"/>
    <w:rsid w:val="00135559"/>
    <w:rsid w:val="001356BF"/>
    <w:rsid w:val="001356DA"/>
    <w:rsid w:val="0013587C"/>
    <w:rsid w:val="0013597E"/>
    <w:rsid w:val="00135A2A"/>
    <w:rsid w:val="00135A68"/>
    <w:rsid w:val="00136212"/>
    <w:rsid w:val="00136541"/>
    <w:rsid w:val="0013658E"/>
    <w:rsid w:val="001365F0"/>
    <w:rsid w:val="001365FB"/>
    <w:rsid w:val="00136610"/>
    <w:rsid w:val="00136A35"/>
    <w:rsid w:val="00136A5B"/>
    <w:rsid w:val="00136B05"/>
    <w:rsid w:val="00136C61"/>
    <w:rsid w:val="00136D35"/>
    <w:rsid w:val="00136EE8"/>
    <w:rsid w:val="00137016"/>
    <w:rsid w:val="0013737D"/>
    <w:rsid w:val="001377BB"/>
    <w:rsid w:val="00137916"/>
    <w:rsid w:val="001379E3"/>
    <w:rsid w:val="00137D67"/>
    <w:rsid w:val="00137F63"/>
    <w:rsid w:val="00140104"/>
    <w:rsid w:val="00140186"/>
    <w:rsid w:val="00140284"/>
    <w:rsid w:val="0014055D"/>
    <w:rsid w:val="0014064F"/>
    <w:rsid w:val="001406DF"/>
    <w:rsid w:val="00140779"/>
    <w:rsid w:val="00140797"/>
    <w:rsid w:val="0014084E"/>
    <w:rsid w:val="00140AB1"/>
    <w:rsid w:val="00140BF5"/>
    <w:rsid w:val="00140D7F"/>
    <w:rsid w:val="00140F7D"/>
    <w:rsid w:val="00140FC7"/>
    <w:rsid w:val="00141216"/>
    <w:rsid w:val="00141324"/>
    <w:rsid w:val="00141388"/>
    <w:rsid w:val="0014138C"/>
    <w:rsid w:val="001414F7"/>
    <w:rsid w:val="001417DC"/>
    <w:rsid w:val="00141C96"/>
    <w:rsid w:val="00141CD3"/>
    <w:rsid w:val="00141D57"/>
    <w:rsid w:val="00141E8A"/>
    <w:rsid w:val="00141F4A"/>
    <w:rsid w:val="00142119"/>
    <w:rsid w:val="001426D7"/>
    <w:rsid w:val="00142791"/>
    <w:rsid w:val="00142ABF"/>
    <w:rsid w:val="00142FF4"/>
    <w:rsid w:val="00143224"/>
    <w:rsid w:val="001432CE"/>
    <w:rsid w:val="00143423"/>
    <w:rsid w:val="00143456"/>
    <w:rsid w:val="00143627"/>
    <w:rsid w:val="001436B8"/>
    <w:rsid w:val="001438A4"/>
    <w:rsid w:val="00143945"/>
    <w:rsid w:val="00143974"/>
    <w:rsid w:val="001439A3"/>
    <w:rsid w:val="00143AE9"/>
    <w:rsid w:val="00143E5D"/>
    <w:rsid w:val="0014400D"/>
    <w:rsid w:val="0014443F"/>
    <w:rsid w:val="0014449C"/>
    <w:rsid w:val="001444C3"/>
    <w:rsid w:val="00144640"/>
    <w:rsid w:val="001448AC"/>
    <w:rsid w:val="00144907"/>
    <w:rsid w:val="00144B16"/>
    <w:rsid w:val="00144BDD"/>
    <w:rsid w:val="00144E55"/>
    <w:rsid w:val="00144E90"/>
    <w:rsid w:val="00144F1E"/>
    <w:rsid w:val="00145010"/>
    <w:rsid w:val="0014558D"/>
    <w:rsid w:val="0014562A"/>
    <w:rsid w:val="00145754"/>
    <w:rsid w:val="001457DF"/>
    <w:rsid w:val="001458C6"/>
    <w:rsid w:val="00145AD4"/>
    <w:rsid w:val="00145B0E"/>
    <w:rsid w:val="00145DC7"/>
    <w:rsid w:val="00145EE1"/>
    <w:rsid w:val="00146024"/>
    <w:rsid w:val="001464BD"/>
    <w:rsid w:val="001467B6"/>
    <w:rsid w:val="001468D6"/>
    <w:rsid w:val="00146A55"/>
    <w:rsid w:val="00146AF7"/>
    <w:rsid w:val="00146E3F"/>
    <w:rsid w:val="0014711E"/>
    <w:rsid w:val="0014718C"/>
    <w:rsid w:val="001471AA"/>
    <w:rsid w:val="00147355"/>
    <w:rsid w:val="001475EA"/>
    <w:rsid w:val="0014791A"/>
    <w:rsid w:val="001479EA"/>
    <w:rsid w:val="00147FDA"/>
    <w:rsid w:val="00150085"/>
    <w:rsid w:val="00150315"/>
    <w:rsid w:val="0015045C"/>
    <w:rsid w:val="0015075F"/>
    <w:rsid w:val="0015090F"/>
    <w:rsid w:val="00150C09"/>
    <w:rsid w:val="00150ED6"/>
    <w:rsid w:val="00150EE4"/>
    <w:rsid w:val="0015100E"/>
    <w:rsid w:val="0015105F"/>
    <w:rsid w:val="00151323"/>
    <w:rsid w:val="00151381"/>
    <w:rsid w:val="00151566"/>
    <w:rsid w:val="001516AA"/>
    <w:rsid w:val="00151705"/>
    <w:rsid w:val="001518B4"/>
    <w:rsid w:val="001518C7"/>
    <w:rsid w:val="00151BE2"/>
    <w:rsid w:val="00151C5E"/>
    <w:rsid w:val="00151CAA"/>
    <w:rsid w:val="00151DA9"/>
    <w:rsid w:val="00151F4B"/>
    <w:rsid w:val="00151F9E"/>
    <w:rsid w:val="00152100"/>
    <w:rsid w:val="00152156"/>
    <w:rsid w:val="0015227E"/>
    <w:rsid w:val="00152310"/>
    <w:rsid w:val="00152366"/>
    <w:rsid w:val="00152426"/>
    <w:rsid w:val="00152753"/>
    <w:rsid w:val="00152960"/>
    <w:rsid w:val="00152D8B"/>
    <w:rsid w:val="00152E70"/>
    <w:rsid w:val="00152FD5"/>
    <w:rsid w:val="0015341B"/>
    <w:rsid w:val="001534BD"/>
    <w:rsid w:val="001534DF"/>
    <w:rsid w:val="00153752"/>
    <w:rsid w:val="0015396F"/>
    <w:rsid w:val="00153ADB"/>
    <w:rsid w:val="00153BCE"/>
    <w:rsid w:val="00153C4B"/>
    <w:rsid w:val="00153D2A"/>
    <w:rsid w:val="00153D80"/>
    <w:rsid w:val="00153F0B"/>
    <w:rsid w:val="0015405E"/>
    <w:rsid w:val="00154147"/>
    <w:rsid w:val="00154179"/>
    <w:rsid w:val="00154262"/>
    <w:rsid w:val="00154394"/>
    <w:rsid w:val="001543FA"/>
    <w:rsid w:val="00154BAF"/>
    <w:rsid w:val="00154D19"/>
    <w:rsid w:val="00154ED0"/>
    <w:rsid w:val="00155189"/>
    <w:rsid w:val="00155266"/>
    <w:rsid w:val="0015533D"/>
    <w:rsid w:val="00155590"/>
    <w:rsid w:val="001559EB"/>
    <w:rsid w:val="00155A43"/>
    <w:rsid w:val="00155B40"/>
    <w:rsid w:val="00155B60"/>
    <w:rsid w:val="00155F74"/>
    <w:rsid w:val="00155F91"/>
    <w:rsid w:val="00155FA9"/>
    <w:rsid w:val="00155FF6"/>
    <w:rsid w:val="001560D5"/>
    <w:rsid w:val="001561CF"/>
    <w:rsid w:val="00156524"/>
    <w:rsid w:val="0015653A"/>
    <w:rsid w:val="0015667C"/>
    <w:rsid w:val="001566AC"/>
    <w:rsid w:val="00156BD8"/>
    <w:rsid w:val="00156D74"/>
    <w:rsid w:val="00156E11"/>
    <w:rsid w:val="00156E7F"/>
    <w:rsid w:val="00156F24"/>
    <w:rsid w:val="00156F5C"/>
    <w:rsid w:val="00157077"/>
    <w:rsid w:val="001570AF"/>
    <w:rsid w:val="00157128"/>
    <w:rsid w:val="001571E1"/>
    <w:rsid w:val="001573F3"/>
    <w:rsid w:val="001574AB"/>
    <w:rsid w:val="001574B9"/>
    <w:rsid w:val="001574FF"/>
    <w:rsid w:val="00157AEC"/>
    <w:rsid w:val="00157B22"/>
    <w:rsid w:val="00157B35"/>
    <w:rsid w:val="00157B9B"/>
    <w:rsid w:val="00157BB7"/>
    <w:rsid w:val="00157BC8"/>
    <w:rsid w:val="00157D74"/>
    <w:rsid w:val="00160075"/>
    <w:rsid w:val="001600FD"/>
    <w:rsid w:val="00160273"/>
    <w:rsid w:val="00160639"/>
    <w:rsid w:val="001606B3"/>
    <w:rsid w:val="00160895"/>
    <w:rsid w:val="001608DC"/>
    <w:rsid w:val="00160A59"/>
    <w:rsid w:val="00160ADE"/>
    <w:rsid w:val="00160B3F"/>
    <w:rsid w:val="00160CEA"/>
    <w:rsid w:val="00160D5F"/>
    <w:rsid w:val="00160F2D"/>
    <w:rsid w:val="00160F6D"/>
    <w:rsid w:val="00160FFE"/>
    <w:rsid w:val="001610D1"/>
    <w:rsid w:val="00161B52"/>
    <w:rsid w:val="00161BC1"/>
    <w:rsid w:val="00161E1D"/>
    <w:rsid w:val="0016202D"/>
    <w:rsid w:val="001623D3"/>
    <w:rsid w:val="001623E0"/>
    <w:rsid w:val="001623E8"/>
    <w:rsid w:val="001624DB"/>
    <w:rsid w:val="00162501"/>
    <w:rsid w:val="0016256E"/>
    <w:rsid w:val="0016263E"/>
    <w:rsid w:val="00162BAC"/>
    <w:rsid w:val="00162CAB"/>
    <w:rsid w:val="00162CEB"/>
    <w:rsid w:val="00162D3E"/>
    <w:rsid w:val="00162DC9"/>
    <w:rsid w:val="00162F9E"/>
    <w:rsid w:val="0016304C"/>
    <w:rsid w:val="00163123"/>
    <w:rsid w:val="001631AD"/>
    <w:rsid w:val="001633EC"/>
    <w:rsid w:val="00163564"/>
    <w:rsid w:val="0016369E"/>
    <w:rsid w:val="0016377F"/>
    <w:rsid w:val="001638BE"/>
    <w:rsid w:val="00163C04"/>
    <w:rsid w:val="00163D31"/>
    <w:rsid w:val="00163F17"/>
    <w:rsid w:val="00164173"/>
    <w:rsid w:val="0016434E"/>
    <w:rsid w:val="001644C0"/>
    <w:rsid w:val="00164710"/>
    <w:rsid w:val="00164C09"/>
    <w:rsid w:val="00164D4B"/>
    <w:rsid w:val="00164F0D"/>
    <w:rsid w:val="00164FC2"/>
    <w:rsid w:val="001651EA"/>
    <w:rsid w:val="00165264"/>
    <w:rsid w:val="001652CC"/>
    <w:rsid w:val="00165353"/>
    <w:rsid w:val="001654A8"/>
    <w:rsid w:val="001654BC"/>
    <w:rsid w:val="001654E6"/>
    <w:rsid w:val="00165613"/>
    <w:rsid w:val="00165CDE"/>
    <w:rsid w:val="00165D66"/>
    <w:rsid w:val="00165F51"/>
    <w:rsid w:val="00165F87"/>
    <w:rsid w:val="00165F8A"/>
    <w:rsid w:val="00165FD1"/>
    <w:rsid w:val="001662C2"/>
    <w:rsid w:val="0016631D"/>
    <w:rsid w:val="001665B9"/>
    <w:rsid w:val="00166D3A"/>
    <w:rsid w:val="00166E42"/>
    <w:rsid w:val="00166E8D"/>
    <w:rsid w:val="00166F75"/>
    <w:rsid w:val="00167317"/>
    <w:rsid w:val="001673B0"/>
    <w:rsid w:val="001675AB"/>
    <w:rsid w:val="0016768E"/>
    <w:rsid w:val="001677BE"/>
    <w:rsid w:val="00167911"/>
    <w:rsid w:val="00167C2B"/>
    <w:rsid w:val="00167CF1"/>
    <w:rsid w:val="00167EF4"/>
    <w:rsid w:val="00167FF4"/>
    <w:rsid w:val="001700C6"/>
    <w:rsid w:val="00170281"/>
    <w:rsid w:val="001709FF"/>
    <w:rsid w:val="00170B5A"/>
    <w:rsid w:val="00170C00"/>
    <w:rsid w:val="00170D47"/>
    <w:rsid w:val="00170FDF"/>
    <w:rsid w:val="00171033"/>
    <w:rsid w:val="0017129A"/>
    <w:rsid w:val="00171311"/>
    <w:rsid w:val="001716BA"/>
    <w:rsid w:val="001718B9"/>
    <w:rsid w:val="001718E0"/>
    <w:rsid w:val="0017193B"/>
    <w:rsid w:val="00171B5B"/>
    <w:rsid w:val="00171CED"/>
    <w:rsid w:val="00171DE3"/>
    <w:rsid w:val="00171E37"/>
    <w:rsid w:val="00171EC3"/>
    <w:rsid w:val="00171ECA"/>
    <w:rsid w:val="00172030"/>
    <w:rsid w:val="0017216B"/>
    <w:rsid w:val="0017217A"/>
    <w:rsid w:val="00172481"/>
    <w:rsid w:val="0017250B"/>
    <w:rsid w:val="001727F7"/>
    <w:rsid w:val="00172901"/>
    <w:rsid w:val="00172A6F"/>
    <w:rsid w:val="00172C4A"/>
    <w:rsid w:val="00172C6A"/>
    <w:rsid w:val="00172DDC"/>
    <w:rsid w:val="00172E6E"/>
    <w:rsid w:val="00172EF7"/>
    <w:rsid w:val="00172F24"/>
    <w:rsid w:val="00172F9F"/>
    <w:rsid w:val="001731D6"/>
    <w:rsid w:val="0017325C"/>
    <w:rsid w:val="00173390"/>
    <w:rsid w:val="00173519"/>
    <w:rsid w:val="0017352A"/>
    <w:rsid w:val="001735EC"/>
    <w:rsid w:val="00173768"/>
    <w:rsid w:val="00173804"/>
    <w:rsid w:val="001739A6"/>
    <w:rsid w:val="001739B0"/>
    <w:rsid w:val="00173AFD"/>
    <w:rsid w:val="00173D2E"/>
    <w:rsid w:val="00173E81"/>
    <w:rsid w:val="001740AB"/>
    <w:rsid w:val="00174458"/>
    <w:rsid w:val="001744A3"/>
    <w:rsid w:val="00174821"/>
    <w:rsid w:val="00174939"/>
    <w:rsid w:val="00174A70"/>
    <w:rsid w:val="00174B92"/>
    <w:rsid w:val="00174DC0"/>
    <w:rsid w:val="00174DC3"/>
    <w:rsid w:val="00174FDB"/>
    <w:rsid w:val="0017529F"/>
    <w:rsid w:val="001753C0"/>
    <w:rsid w:val="00175548"/>
    <w:rsid w:val="00175598"/>
    <w:rsid w:val="00175882"/>
    <w:rsid w:val="00175A21"/>
    <w:rsid w:val="00175ABF"/>
    <w:rsid w:val="00175D29"/>
    <w:rsid w:val="00175DC1"/>
    <w:rsid w:val="001763F0"/>
    <w:rsid w:val="00176674"/>
    <w:rsid w:val="0017687E"/>
    <w:rsid w:val="0017691B"/>
    <w:rsid w:val="0017691E"/>
    <w:rsid w:val="0017699A"/>
    <w:rsid w:val="001769B5"/>
    <w:rsid w:val="00176BED"/>
    <w:rsid w:val="00176C44"/>
    <w:rsid w:val="00176D28"/>
    <w:rsid w:val="00176D4C"/>
    <w:rsid w:val="00176E2F"/>
    <w:rsid w:val="00176FDF"/>
    <w:rsid w:val="001770D1"/>
    <w:rsid w:val="00177109"/>
    <w:rsid w:val="00177135"/>
    <w:rsid w:val="001771FF"/>
    <w:rsid w:val="00177322"/>
    <w:rsid w:val="00177346"/>
    <w:rsid w:val="001775AF"/>
    <w:rsid w:val="0017778E"/>
    <w:rsid w:val="00177794"/>
    <w:rsid w:val="001778B6"/>
    <w:rsid w:val="00177907"/>
    <w:rsid w:val="00177946"/>
    <w:rsid w:val="00177AA6"/>
    <w:rsid w:val="00177B88"/>
    <w:rsid w:val="00177B9E"/>
    <w:rsid w:val="00177C23"/>
    <w:rsid w:val="00177C4A"/>
    <w:rsid w:val="00177DC5"/>
    <w:rsid w:val="00180103"/>
    <w:rsid w:val="001801A0"/>
    <w:rsid w:val="001803C4"/>
    <w:rsid w:val="001804AC"/>
    <w:rsid w:val="00180549"/>
    <w:rsid w:val="001808BF"/>
    <w:rsid w:val="00180A66"/>
    <w:rsid w:val="00180B32"/>
    <w:rsid w:val="00180B6F"/>
    <w:rsid w:val="00180BE3"/>
    <w:rsid w:val="00180C41"/>
    <w:rsid w:val="00180CF2"/>
    <w:rsid w:val="00180D31"/>
    <w:rsid w:val="00180D44"/>
    <w:rsid w:val="00180F57"/>
    <w:rsid w:val="00180F95"/>
    <w:rsid w:val="00181319"/>
    <w:rsid w:val="00181463"/>
    <w:rsid w:val="001815F4"/>
    <w:rsid w:val="001818A7"/>
    <w:rsid w:val="00181AD3"/>
    <w:rsid w:val="00181BB4"/>
    <w:rsid w:val="00181C4C"/>
    <w:rsid w:val="00181CFC"/>
    <w:rsid w:val="00181D40"/>
    <w:rsid w:val="00182474"/>
    <w:rsid w:val="00182492"/>
    <w:rsid w:val="00182575"/>
    <w:rsid w:val="001825F0"/>
    <w:rsid w:val="00182681"/>
    <w:rsid w:val="00182774"/>
    <w:rsid w:val="00182AAD"/>
    <w:rsid w:val="00182C8B"/>
    <w:rsid w:val="00182D1F"/>
    <w:rsid w:val="00182EEA"/>
    <w:rsid w:val="0018310E"/>
    <w:rsid w:val="00183149"/>
    <w:rsid w:val="0018328B"/>
    <w:rsid w:val="0018351F"/>
    <w:rsid w:val="00183942"/>
    <w:rsid w:val="00183972"/>
    <w:rsid w:val="00183E8B"/>
    <w:rsid w:val="00183FC3"/>
    <w:rsid w:val="00184173"/>
    <w:rsid w:val="001845E1"/>
    <w:rsid w:val="00184601"/>
    <w:rsid w:val="0018460C"/>
    <w:rsid w:val="00184650"/>
    <w:rsid w:val="0018469C"/>
    <w:rsid w:val="00184836"/>
    <w:rsid w:val="0018484B"/>
    <w:rsid w:val="001849A5"/>
    <w:rsid w:val="00184CBD"/>
    <w:rsid w:val="00184FE0"/>
    <w:rsid w:val="001850AE"/>
    <w:rsid w:val="00185169"/>
    <w:rsid w:val="001855FB"/>
    <w:rsid w:val="00185932"/>
    <w:rsid w:val="00185A57"/>
    <w:rsid w:val="00185AC6"/>
    <w:rsid w:val="00185B94"/>
    <w:rsid w:val="00185C7F"/>
    <w:rsid w:val="00185DFD"/>
    <w:rsid w:val="00186099"/>
    <w:rsid w:val="00186167"/>
    <w:rsid w:val="0018627F"/>
    <w:rsid w:val="001862A6"/>
    <w:rsid w:val="00186408"/>
    <w:rsid w:val="00186688"/>
    <w:rsid w:val="001867A3"/>
    <w:rsid w:val="001868D4"/>
    <w:rsid w:val="00186A55"/>
    <w:rsid w:val="00186A99"/>
    <w:rsid w:val="00186B75"/>
    <w:rsid w:val="00186C03"/>
    <w:rsid w:val="00186D5E"/>
    <w:rsid w:val="00186D9B"/>
    <w:rsid w:val="0018713A"/>
    <w:rsid w:val="001871C2"/>
    <w:rsid w:val="00187289"/>
    <w:rsid w:val="0018743C"/>
    <w:rsid w:val="0018745D"/>
    <w:rsid w:val="001874C2"/>
    <w:rsid w:val="00187568"/>
    <w:rsid w:val="00187591"/>
    <w:rsid w:val="001875C0"/>
    <w:rsid w:val="00187946"/>
    <w:rsid w:val="00187DCC"/>
    <w:rsid w:val="00187FE2"/>
    <w:rsid w:val="0019003C"/>
    <w:rsid w:val="00190184"/>
    <w:rsid w:val="001902A2"/>
    <w:rsid w:val="0019082C"/>
    <w:rsid w:val="001908A3"/>
    <w:rsid w:val="001909B7"/>
    <w:rsid w:val="00190A38"/>
    <w:rsid w:val="00190C45"/>
    <w:rsid w:val="00190EBB"/>
    <w:rsid w:val="00190F09"/>
    <w:rsid w:val="001911C0"/>
    <w:rsid w:val="0019128F"/>
    <w:rsid w:val="00191480"/>
    <w:rsid w:val="0019152D"/>
    <w:rsid w:val="0019157A"/>
    <w:rsid w:val="0019179D"/>
    <w:rsid w:val="001918A3"/>
    <w:rsid w:val="00191B7A"/>
    <w:rsid w:val="00191B82"/>
    <w:rsid w:val="00191D14"/>
    <w:rsid w:val="00191E7E"/>
    <w:rsid w:val="00191F81"/>
    <w:rsid w:val="00191FC8"/>
    <w:rsid w:val="00191FD7"/>
    <w:rsid w:val="00192682"/>
    <w:rsid w:val="001926A8"/>
    <w:rsid w:val="001926CE"/>
    <w:rsid w:val="00192BC3"/>
    <w:rsid w:val="00192CE5"/>
    <w:rsid w:val="00192DA2"/>
    <w:rsid w:val="00192FF7"/>
    <w:rsid w:val="001931E9"/>
    <w:rsid w:val="001932E8"/>
    <w:rsid w:val="0019339D"/>
    <w:rsid w:val="00193709"/>
    <w:rsid w:val="00193876"/>
    <w:rsid w:val="00193C12"/>
    <w:rsid w:val="00193F58"/>
    <w:rsid w:val="00193F9A"/>
    <w:rsid w:val="00193FFA"/>
    <w:rsid w:val="00194083"/>
    <w:rsid w:val="00194154"/>
    <w:rsid w:val="00194191"/>
    <w:rsid w:val="0019437D"/>
    <w:rsid w:val="00194576"/>
    <w:rsid w:val="001945BF"/>
    <w:rsid w:val="001947AD"/>
    <w:rsid w:val="001948ED"/>
    <w:rsid w:val="001948F7"/>
    <w:rsid w:val="00194973"/>
    <w:rsid w:val="00194AB9"/>
    <w:rsid w:val="00194B25"/>
    <w:rsid w:val="00194B5A"/>
    <w:rsid w:val="00194BBB"/>
    <w:rsid w:val="00194CFD"/>
    <w:rsid w:val="00194DF5"/>
    <w:rsid w:val="00194E13"/>
    <w:rsid w:val="00194E31"/>
    <w:rsid w:val="00194EB0"/>
    <w:rsid w:val="001950AF"/>
    <w:rsid w:val="00195100"/>
    <w:rsid w:val="00195306"/>
    <w:rsid w:val="00195418"/>
    <w:rsid w:val="0019542A"/>
    <w:rsid w:val="00195458"/>
    <w:rsid w:val="001954A5"/>
    <w:rsid w:val="0019562E"/>
    <w:rsid w:val="001956F2"/>
    <w:rsid w:val="00195728"/>
    <w:rsid w:val="0019573C"/>
    <w:rsid w:val="00195863"/>
    <w:rsid w:val="00195A19"/>
    <w:rsid w:val="00195F60"/>
    <w:rsid w:val="00195F86"/>
    <w:rsid w:val="00195F9B"/>
    <w:rsid w:val="00195FDD"/>
    <w:rsid w:val="00196001"/>
    <w:rsid w:val="001960FB"/>
    <w:rsid w:val="001961FB"/>
    <w:rsid w:val="0019626A"/>
    <w:rsid w:val="00196297"/>
    <w:rsid w:val="0019641B"/>
    <w:rsid w:val="00196AA5"/>
    <w:rsid w:val="00196C0C"/>
    <w:rsid w:val="001970FE"/>
    <w:rsid w:val="001971B4"/>
    <w:rsid w:val="00197600"/>
    <w:rsid w:val="0019763C"/>
    <w:rsid w:val="001976E7"/>
    <w:rsid w:val="001977C6"/>
    <w:rsid w:val="001978E6"/>
    <w:rsid w:val="0019798A"/>
    <w:rsid w:val="00197A75"/>
    <w:rsid w:val="001A0104"/>
    <w:rsid w:val="001A0371"/>
    <w:rsid w:val="001A0419"/>
    <w:rsid w:val="001A09C7"/>
    <w:rsid w:val="001A0C50"/>
    <w:rsid w:val="001A0D85"/>
    <w:rsid w:val="001A0DE6"/>
    <w:rsid w:val="001A0E74"/>
    <w:rsid w:val="001A0EE5"/>
    <w:rsid w:val="001A0EF0"/>
    <w:rsid w:val="001A0F07"/>
    <w:rsid w:val="001A10C9"/>
    <w:rsid w:val="001A110C"/>
    <w:rsid w:val="001A1436"/>
    <w:rsid w:val="001A159C"/>
    <w:rsid w:val="001A163A"/>
    <w:rsid w:val="001A167A"/>
    <w:rsid w:val="001A17BD"/>
    <w:rsid w:val="001A18DB"/>
    <w:rsid w:val="001A1A55"/>
    <w:rsid w:val="001A1B79"/>
    <w:rsid w:val="001A1D27"/>
    <w:rsid w:val="001A1E73"/>
    <w:rsid w:val="001A1E7A"/>
    <w:rsid w:val="001A2036"/>
    <w:rsid w:val="001A2271"/>
    <w:rsid w:val="001A27D5"/>
    <w:rsid w:val="001A2A77"/>
    <w:rsid w:val="001A2A85"/>
    <w:rsid w:val="001A2DBF"/>
    <w:rsid w:val="001A2DEB"/>
    <w:rsid w:val="001A2E61"/>
    <w:rsid w:val="001A30B0"/>
    <w:rsid w:val="001A3231"/>
    <w:rsid w:val="001A3365"/>
    <w:rsid w:val="001A358A"/>
    <w:rsid w:val="001A3669"/>
    <w:rsid w:val="001A3AE2"/>
    <w:rsid w:val="001A3B04"/>
    <w:rsid w:val="001A3B96"/>
    <w:rsid w:val="001A3BFB"/>
    <w:rsid w:val="001A4087"/>
    <w:rsid w:val="001A40A3"/>
    <w:rsid w:val="001A4206"/>
    <w:rsid w:val="001A4228"/>
    <w:rsid w:val="001A4242"/>
    <w:rsid w:val="001A4373"/>
    <w:rsid w:val="001A4D1E"/>
    <w:rsid w:val="001A4F09"/>
    <w:rsid w:val="001A5093"/>
    <w:rsid w:val="001A524F"/>
    <w:rsid w:val="001A534D"/>
    <w:rsid w:val="001A5665"/>
    <w:rsid w:val="001A5AE0"/>
    <w:rsid w:val="001A5F7B"/>
    <w:rsid w:val="001A5FDD"/>
    <w:rsid w:val="001A604B"/>
    <w:rsid w:val="001A61B1"/>
    <w:rsid w:val="001A6328"/>
    <w:rsid w:val="001A6773"/>
    <w:rsid w:val="001A68F6"/>
    <w:rsid w:val="001A691B"/>
    <w:rsid w:val="001A6C6B"/>
    <w:rsid w:val="001A6DC3"/>
    <w:rsid w:val="001A6F5A"/>
    <w:rsid w:val="001A6FDE"/>
    <w:rsid w:val="001A7112"/>
    <w:rsid w:val="001A715E"/>
    <w:rsid w:val="001A71F9"/>
    <w:rsid w:val="001A721E"/>
    <w:rsid w:val="001A728E"/>
    <w:rsid w:val="001A758D"/>
    <w:rsid w:val="001A76FB"/>
    <w:rsid w:val="001A7704"/>
    <w:rsid w:val="001A7780"/>
    <w:rsid w:val="001A77A6"/>
    <w:rsid w:val="001A79CA"/>
    <w:rsid w:val="001A7CD9"/>
    <w:rsid w:val="001A7EED"/>
    <w:rsid w:val="001B038D"/>
    <w:rsid w:val="001B05CF"/>
    <w:rsid w:val="001B069B"/>
    <w:rsid w:val="001B0702"/>
    <w:rsid w:val="001B07A1"/>
    <w:rsid w:val="001B0980"/>
    <w:rsid w:val="001B0CD3"/>
    <w:rsid w:val="001B0D24"/>
    <w:rsid w:val="001B0D56"/>
    <w:rsid w:val="001B0F20"/>
    <w:rsid w:val="001B109D"/>
    <w:rsid w:val="001B1215"/>
    <w:rsid w:val="001B12E2"/>
    <w:rsid w:val="001B12E7"/>
    <w:rsid w:val="001B17BF"/>
    <w:rsid w:val="001B17EF"/>
    <w:rsid w:val="001B18C3"/>
    <w:rsid w:val="001B18CE"/>
    <w:rsid w:val="001B1B09"/>
    <w:rsid w:val="001B1B88"/>
    <w:rsid w:val="001B1CEB"/>
    <w:rsid w:val="001B1CF2"/>
    <w:rsid w:val="001B1D49"/>
    <w:rsid w:val="001B1DA9"/>
    <w:rsid w:val="001B1FD5"/>
    <w:rsid w:val="001B209B"/>
    <w:rsid w:val="001B210C"/>
    <w:rsid w:val="001B2459"/>
    <w:rsid w:val="001B26DB"/>
    <w:rsid w:val="001B2787"/>
    <w:rsid w:val="001B28E1"/>
    <w:rsid w:val="001B2B66"/>
    <w:rsid w:val="001B2CCF"/>
    <w:rsid w:val="001B2CF1"/>
    <w:rsid w:val="001B2F3F"/>
    <w:rsid w:val="001B2F9E"/>
    <w:rsid w:val="001B301A"/>
    <w:rsid w:val="001B3070"/>
    <w:rsid w:val="001B30F5"/>
    <w:rsid w:val="001B327B"/>
    <w:rsid w:val="001B3840"/>
    <w:rsid w:val="001B3B14"/>
    <w:rsid w:val="001B3CDD"/>
    <w:rsid w:val="001B3F48"/>
    <w:rsid w:val="001B3F9D"/>
    <w:rsid w:val="001B40A5"/>
    <w:rsid w:val="001B4182"/>
    <w:rsid w:val="001B41FA"/>
    <w:rsid w:val="001B457D"/>
    <w:rsid w:val="001B457E"/>
    <w:rsid w:val="001B484A"/>
    <w:rsid w:val="001B4A19"/>
    <w:rsid w:val="001B4D44"/>
    <w:rsid w:val="001B505F"/>
    <w:rsid w:val="001B5216"/>
    <w:rsid w:val="001B5331"/>
    <w:rsid w:val="001B5502"/>
    <w:rsid w:val="001B5505"/>
    <w:rsid w:val="001B5593"/>
    <w:rsid w:val="001B559D"/>
    <w:rsid w:val="001B5AAA"/>
    <w:rsid w:val="001B5AC0"/>
    <w:rsid w:val="001B5AFB"/>
    <w:rsid w:val="001B5B2A"/>
    <w:rsid w:val="001B5C5A"/>
    <w:rsid w:val="001B5D61"/>
    <w:rsid w:val="001B5DDF"/>
    <w:rsid w:val="001B62D2"/>
    <w:rsid w:val="001B67C6"/>
    <w:rsid w:val="001B6865"/>
    <w:rsid w:val="001B69C1"/>
    <w:rsid w:val="001B6A79"/>
    <w:rsid w:val="001B6B24"/>
    <w:rsid w:val="001B6BBB"/>
    <w:rsid w:val="001B6CF1"/>
    <w:rsid w:val="001B6D27"/>
    <w:rsid w:val="001B6EC0"/>
    <w:rsid w:val="001B6F44"/>
    <w:rsid w:val="001B7025"/>
    <w:rsid w:val="001B7100"/>
    <w:rsid w:val="001B75C7"/>
    <w:rsid w:val="001B77EC"/>
    <w:rsid w:val="001B782A"/>
    <w:rsid w:val="001B7C3D"/>
    <w:rsid w:val="001B7C7A"/>
    <w:rsid w:val="001B7C9B"/>
    <w:rsid w:val="001B7D28"/>
    <w:rsid w:val="001B7D6F"/>
    <w:rsid w:val="001C00CF"/>
    <w:rsid w:val="001C0143"/>
    <w:rsid w:val="001C01BE"/>
    <w:rsid w:val="001C0414"/>
    <w:rsid w:val="001C0837"/>
    <w:rsid w:val="001C09C7"/>
    <w:rsid w:val="001C0A5D"/>
    <w:rsid w:val="001C0AAB"/>
    <w:rsid w:val="001C0C77"/>
    <w:rsid w:val="001C0CA7"/>
    <w:rsid w:val="001C1170"/>
    <w:rsid w:val="001C1238"/>
    <w:rsid w:val="001C1523"/>
    <w:rsid w:val="001C15D8"/>
    <w:rsid w:val="001C18E6"/>
    <w:rsid w:val="001C19E3"/>
    <w:rsid w:val="001C1A24"/>
    <w:rsid w:val="001C1B5F"/>
    <w:rsid w:val="001C1F95"/>
    <w:rsid w:val="001C209E"/>
    <w:rsid w:val="001C23A4"/>
    <w:rsid w:val="001C25AA"/>
    <w:rsid w:val="001C25B7"/>
    <w:rsid w:val="001C2A8D"/>
    <w:rsid w:val="001C2AEA"/>
    <w:rsid w:val="001C2C92"/>
    <w:rsid w:val="001C2F34"/>
    <w:rsid w:val="001C301F"/>
    <w:rsid w:val="001C32C8"/>
    <w:rsid w:val="001C336F"/>
    <w:rsid w:val="001C3B42"/>
    <w:rsid w:val="001C3B8C"/>
    <w:rsid w:val="001C3C86"/>
    <w:rsid w:val="001C41A3"/>
    <w:rsid w:val="001C4238"/>
    <w:rsid w:val="001C4367"/>
    <w:rsid w:val="001C45B3"/>
    <w:rsid w:val="001C4987"/>
    <w:rsid w:val="001C4B82"/>
    <w:rsid w:val="001C4FA9"/>
    <w:rsid w:val="001C4FC3"/>
    <w:rsid w:val="001C53D7"/>
    <w:rsid w:val="001C5436"/>
    <w:rsid w:val="001C55E3"/>
    <w:rsid w:val="001C561D"/>
    <w:rsid w:val="001C5A1A"/>
    <w:rsid w:val="001C5C13"/>
    <w:rsid w:val="001C5DF4"/>
    <w:rsid w:val="001C6128"/>
    <w:rsid w:val="001C661D"/>
    <w:rsid w:val="001C6623"/>
    <w:rsid w:val="001C66A3"/>
    <w:rsid w:val="001C69BE"/>
    <w:rsid w:val="001C6CA7"/>
    <w:rsid w:val="001C6CB8"/>
    <w:rsid w:val="001C6FEA"/>
    <w:rsid w:val="001C7084"/>
    <w:rsid w:val="001C70B4"/>
    <w:rsid w:val="001C7225"/>
    <w:rsid w:val="001C72E8"/>
    <w:rsid w:val="001C77CA"/>
    <w:rsid w:val="001C7928"/>
    <w:rsid w:val="001C795B"/>
    <w:rsid w:val="001C79D9"/>
    <w:rsid w:val="001C7DB7"/>
    <w:rsid w:val="001C7DDF"/>
    <w:rsid w:val="001D01E4"/>
    <w:rsid w:val="001D027E"/>
    <w:rsid w:val="001D0396"/>
    <w:rsid w:val="001D03C0"/>
    <w:rsid w:val="001D0480"/>
    <w:rsid w:val="001D0486"/>
    <w:rsid w:val="001D0BAE"/>
    <w:rsid w:val="001D0CC1"/>
    <w:rsid w:val="001D0D85"/>
    <w:rsid w:val="001D0EFE"/>
    <w:rsid w:val="001D0F02"/>
    <w:rsid w:val="001D0F8F"/>
    <w:rsid w:val="001D0FAD"/>
    <w:rsid w:val="001D11F0"/>
    <w:rsid w:val="001D1455"/>
    <w:rsid w:val="001D149B"/>
    <w:rsid w:val="001D149E"/>
    <w:rsid w:val="001D15E0"/>
    <w:rsid w:val="001D16E6"/>
    <w:rsid w:val="001D1704"/>
    <w:rsid w:val="001D172A"/>
    <w:rsid w:val="001D183D"/>
    <w:rsid w:val="001D1B3C"/>
    <w:rsid w:val="001D1DAF"/>
    <w:rsid w:val="001D1EF9"/>
    <w:rsid w:val="001D2373"/>
    <w:rsid w:val="001D273C"/>
    <w:rsid w:val="001D29D3"/>
    <w:rsid w:val="001D2B55"/>
    <w:rsid w:val="001D2C28"/>
    <w:rsid w:val="001D336F"/>
    <w:rsid w:val="001D3A16"/>
    <w:rsid w:val="001D3CF2"/>
    <w:rsid w:val="001D3D68"/>
    <w:rsid w:val="001D3FE0"/>
    <w:rsid w:val="001D418F"/>
    <w:rsid w:val="001D41AB"/>
    <w:rsid w:val="001D4310"/>
    <w:rsid w:val="001D4376"/>
    <w:rsid w:val="001D4385"/>
    <w:rsid w:val="001D4412"/>
    <w:rsid w:val="001D442E"/>
    <w:rsid w:val="001D4467"/>
    <w:rsid w:val="001D4474"/>
    <w:rsid w:val="001D44F1"/>
    <w:rsid w:val="001D47D0"/>
    <w:rsid w:val="001D499F"/>
    <w:rsid w:val="001D4A81"/>
    <w:rsid w:val="001D4A85"/>
    <w:rsid w:val="001D51BB"/>
    <w:rsid w:val="001D53B2"/>
    <w:rsid w:val="001D5503"/>
    <w:rsid w:val="001D56C3"/>
    <w:rsid w:val="001D5702"/>
    <w:rsid w:val="001D5704"/>
    <w:rsid w:val="001D5A54"/>
    <w:rsid w:val="001D5AAE"/>
    <w:rsid w:val="001D5BCD"/>
    <w:rsid w:val="001D5D9A"/>
    <w:rsid w:val="001D5EAA"/>
    <w:rsid w:val="001D613D"/>
    <w:rsid w:val="001D6164"/>
    <w:rsid w:val="001D61B0"/>
    <w:rsid w:val="001D627D"/>
    <w:rsid w:val="001D6313"/>
    <w:rsid w:val="001D635E"/>
    <w:rsid w:val="001D63E1"/>
    <w:rsid w:val="001D6671"/>
    <w:rsid w:val="001D68F3"/>
    <w:rsid w:val="001D7234"/>
    <w:rsid w:val="001D737D"/>
    <w:rsid w:val="001D73CF"/>
    <w:rsid w:val="001D7467"/>
    <w:rsid w:val="001D7C51"/>
    <w:rsid w:val="001D7ED0"/>
    <w:rsid w:val="001D7EF1"/>
    <w:rsid w:val="001D7F31"/>
    <w:rsid w:val="001E0005"/>
    <w:rsid w:val="001E031C"/>
    <w:rsid w:val="001E04F8"/>
    <w:rsid w:val="001E0805"/>
    <w:rsid w:val="001E08A7"/>
    <w:rsid w:val="001E08F0"/>
    <w:rsid w:val="001E0938"/>
    <w:rsid w:val="001E0963"/>
    <w:rsid w:val="001E0C58"/>
    <w:rsid w:val="001E0D0E"/>
    <w:rsid w:val="001E0DEF"/>
    <w:rsid w:val="001E0E99"/>
    <w:rsid w:val="001E0F81"/>
    <w:rsid w:val="001E143C"/>
    <w:rsid w:val="001E15A2"/>
    <w:rsid w:val="001E166E"/>
    <w:rsid w:val="001E17E2"/>
    <w:rsid w:val="001E1ACB"/>
    <w:rsid w:val="001E1ACF"/>
    <w:rsid w:val="001E1AE9"/>
    <w:rsid w:val="001E1B9F"/>
    <w:rsid w:val="001E1BA1"/>
    <w:rsid w:val="001E1E09"/>
    <w:rsid w:val="001E1F14"/>
    <w:rsid w:val="001E20F5"/>
    <w:rsid w:val="001E21B1"/>
    <w:rsid w:val="001E28B6"/>
    <w:rsid w:val="001E2AEC"/>
    <w:rsid w:val="001E2CE7"/>
    <w:rsid w:val="001E2D38"/>
    <w:rsid w:val="001E2DD9"/>
    <w:rsid w:val="001E2F3A"/>
    <w:rsid w:val="001E2F52"/>
    <w:rsid w:val="001E2F68"/>
    <w:rsid w:val="001E2FBB"/>
    <w:rsid w:val="001E30B0"/>
    <w:rsid w:val="001E3249"/>
    <w:rsid w:val="001E32F3"/>
    <w:rsid w:val="001E3393"/>
    <w:rsid w:val="001E3513"/>
    <w:rsid w:val="001E3611"/>
    <w:rsid w:val="001E36B0"/>
    <w:rsid w:val="001E36CB"/>
    <w:rsid w:val="001E36F0"/>
    <w:rsid w:val="001E3B29"/>
    <w:rsid w:val="001E3CD9"/>
    <w:rsid w:val="001E3E02"/>
    <w:rsid w:val="001E3F3F"/>
    <w:rsid w:val="001E4139"/>
    <w:rsid w:val="001E4149"/>
    <w:rsid w:val="001E41A7"/>
    <w:rsid w:val="001E46F1"/>
    <w:rsid w:val="001E4B74"/>
    <w:rsid w:val="001E5088"/>
    <w:rsid w:val="001E50A2"/>
    <w:rsid w:val="001E50C1"/>
    <w:rsid w:val="001E5199"/>
    <w:rsid w:val="001E5379"/>
    <w:rsid w:val="001E5697"/>
    <w:rsid w:val="001E572E"/>
    <w:rsid w:val="001E586F"/>
    <w:rsid w:val="001E5ACD"/>
    <w:rsid w:val="001E5BCF"/>
    <w:rsid w:val="001E5BE3"/>
    <w:rsid w:val="001E5D30"/>
    <w:rsid w:val="001E5E9C"/>
    <w:rsid w:val="001E5FCA"/>
    <w:rsid w:val="001E6253"/>
    <w:rsid w:val="001E62AF"/>
    <w:rsid w:val="001E631E"/>
    <w:rsid w:val="001E63AA"/>
    <w:rsid w:val="001E66E4"/>
    <w:rsid w:val="001E67B5"/>
    <w:rsid w:val="001E6C75"/>
    <w:rsid w:val="001E6D5B"/>
    <w:rsid w:val="001E6F15"/>
    <w:rsid w:val="001E6FCF"/>
    <w:rsid w:val="001E6FFD"/>
    <w:rsid w:val="001E709D"/>
    <w:rsid w:val="001E70E4"/>
    <w:rsid w:val="001E724D"/>
    <w:rsid w:val="001E730E"/>
    <w:rsid w:val="001E732A"/>
    <w:rsid w:val="001E7332"/>
    <w:rsid w:val="001E752F"/>
    <w:rsid w:val="001E79CF"/>
    <w:rsid w:val="001E7D6F"/>
    <w:rsid w:val="001E7FB3"/>
    <w:rsid w:val="001F018B"/>
    <w:rsid w:val="001F049D"/>
    <w:rsid w:val="001F070A"/>
    <w:rsid w:val="001F08D6"/>
    <w:rsid w:val="001F0BDB"/>
    <w:rsid w:val="001F0BE2"/>
    <w:rsid w:val="001F0CD1"/>
    <w:rsid w:val="001F0CD3"/>
    <w:rsid w:val="001F0EA7"/>
    <w:rsid w:val="001F109D"/>
    <w:rsid w:val="001F1212"/>
    <w:rsid w:val="001F12E9"/>
    <w:rsid w:val="001F14FE"/>
    <w:rsid w:val="001F1684"/>
    <w:rsid w:val="001F1694"/>
    <w:rsid w:val="001F17C3"/>
    <w:rsid w:val="001F1A2C"/>
    <w:rsid w:val="001F1B66"/>
    <w:rsid w:val="001F209B"/>
    <w:rsid w:val="001F2113"/>
    <w:rsid w:val="001F2170"/>
    <w:rsid w:val="001F218B"/>
    <w:rsid w:val="001F21BB"/>
    <w:rsid w:val="001F26E8"/>
    <w:rsid w:val="001F2786"/>
    <w:rsid w:val="001F27E9"/>
    <w:rsid w:val="001F2811"/>
    <w:rsid w:val="001F2960"/>
    <w:rsid w:val="001F29D5"/>
    <w:rsid w:val="001F2A83"/>
    <w:rsid w:val="001F2F59"/>
    <w:rsid w:val="001F3138"/>
    <w:rsid w:val="001F3164"/>
    <w:rsid w:val="001F31AF"/>
    <w:rsid w:val="001F33CA"/>
    <w:rsid w:val="001F33F8"/>
    <w:rsid w:val="001F342D"/>
    <w:rsid w:val="001F3515"/>
    <w:rsid w:val="001F3720"/>
    <w:rsid w:val="001F38F4"/>
    <w:rsid w:val="001F3B23"/>
    <w:rsid w:val="001F3C21"/>
    <w:rsid w:val="001F3D52"/>
    <w:rsid w:val="001F3F47"/>
    <w:rsid w:val="001F3FEF"/>
    <w:rsid w:val="001F3FFC"/>
    <w:rsid w:val="001F4131"/>
    <w:rsid w:val="001F4192"/>
    <w:rsid w:val="001F428B"/>
    <w:rsid w:val="001F4384"/>
    <w:rsid w:val="001F46CB"/>
    <w:rsid w:val="001F495B"/>
    <w:rsid w:val="001F4AD2"/>
    <w:rsid w:val="001F4D05"/>
    <w:rsid w:val="001F4D3A"/>
    <w:rsid w:val="001F4F24"/>
    <w:rsid w:val="001F4FEE"/>
    <w:rsid w:val="001F51D6"/>
    <w:rsid w:val="001F552D"/>
    <w:rsid w:val="001F560C"/>
    <w:rsid w:val="001F5672"/>
    <w:rsid w:val="001F5A58"/>
    <w:rsid w:val="001F5A95"/>
    <w:rsid w:val="001F5B35"/>
    <w:rsid w:val="001F5D66"/>
    <w:rsid w:val="001F5E7F"/>
    <w:rsid w:val="001F5EA3"/>
    <w:rsid w:val="001F5EC8"/>
    <w:rsid w:val="001F5F2C"/>
    <w:rsid w:val="001F5F6D"/>
    <w:rsid w:val="001F6090"/>
    <w:rsid w:val="001F610C"/>
    <w:rsid w:val="001F6210"/>
    <w:rsid w:val="001F6251"/>
    <w:rsid w:val="001F629F"/>
    <w:rsid w:val="001F6370"/>
    <w:rsid w:val="001F6449"/>
    <w:rsid w:val="001F6608"/>
    <w:rsid w:val="001F6620"/>
    <w:rsid w:val="001F67F8"/>
    <w:rsid w:val="001F6923"/>
    <w:rsid w:val="001F6930"/>
    <w:rsid w:val="001F6947"/>
    <w:rsid w:val="001F6E12"/>
    <w:rsid w:val="001F6E4F"/>
    <w:rsid w:val="001F6F76"/>
    <w:rsid w:val="001F7014"/>
    <w:rsid w:val="001F70E6"/>
    <w:rsid w:val="001F715A"/>
    <w:rsid w:val="001F72BE"/>
    <w:rsid w:val="001F7A5B"/>
    <w:rsid w:val="001F7AAB"/>
    <w:rsid w:val="001F7E5F"/>
    <w:rsid w:val="001F7F52"/>
    <w:rsid w:val="00200158"/>
    <w:rsid w:val="002006D2"/>
    <w:rsid w:val="0020071A"/>
    <w:rsid w:val="00200856"/>
    <w:rsid w:val="002009DD"/>
    <w:rsid w:val="00200A4E"/>
    <w:rsid w:val="00200B12"/>
    <w:rsid w:val="00200B52"/>
    <w:rsid w:val="00200BEA"/>
    <w:rsid w:val="00200FC6"/>
    <w:rsid w:val="002010F7"/>
    <w:rsid w:val="0020145F"/>
    <w:rsid w:val="0020163C"/>
    <w:rsid w:val="00201B84"/>
    <w:rsid w:val="00202124"/>
    <w:rsid w:val="002021FE"/>
    <w:rsid w:val="00202472"/>
    <w:rsid w:val="0020247F"/>
    <w:rsid w:val="002026B0"/>
    <w:rsid w:val="002026FB"/>
    <w:rsid w:val="002028DC"/>
    <w:rsid w:val="00202949"/>
    <w:rsid w:val="00202C1E"/>
    <w:rsid w:val="00202E1A"/>
    <w:rsid w:val="00202E7C"/>
    <w:rsid w:val="002032BF"/>
    <w:rsid w:val="002032DA"/>
    <w:rsid w:val="00203465"/>
    <w:rsid w:val="0020351E"/>
    <w:rsid w:val="00203625"/>
    <w:rsid w:val="00203719"/>
    <w:rsid w:val="00203823"/>
    <w:rsid w:val="002038E2"/>
    <w:rsid w:val="002039BB"/>
    <w:rsid w:val="002039F3"/>
    <w:rsid w:val="00203B16"/>
    <w:rsid w:val="00203BF4"/>
    <w:rsid w:val="00203D77"/>
    <w:rsid w:val="00203F54"/>
    <w:rsid w:val="00204063"/>
    <w:rsid w:val="0020409B"/>
    <w:rsid w:val="0020464F"/>
    <w:rsid w:val="002046E0"/>
    <w:rsid w:val="002047F3"/>
    <w:rsid w:val="00204835"/>
    <w:rsid w:val="00204990"/>
    <w:rsid w:val="00204A52"/>
    <w:rsid w:val="00204BA8"/>
    <w:rsid w:val="00204BFD"/>
    <w:rsid w:val="00204E70"/>
    <w:rsid w:val="00204EC5"/>
    <w:rsid w:val="00204F2F"/>
    <w:rsid w:val="00205152"/>
    <w:rsid w:val="002053D6"/>
    <w:rsid w:val="002053F3"/>
    <w:rsid w:val="0020545A"/>
    <w:rsid w:val="002054EF"/>
    <w:rsid w:val="00205517"/>
    <w:rsid w:val="00205993"/>
    <w:rsid w:val="002059B5"/>
    <w:rsid w:val="00205A78"/>
    <w:rsid w:val="00205F06"/>
    <w:rsid w:val="00206113"/>
    <w:rsid w:val="00206216"/>
    <w:rsid w:val="002062B3"/>
    <w:rsid w:val="0020634D"/>
    <w:rsid w:val="002063B5"/>
    <w:rsid w:val="002066D0"/>
    <w:rsid w:val="002066D4"/>
    <w:rsid w:val="002067A7"/>
    <w:rsid w:val="0020689D"/>
    <w:rsid w:val="00206980"/>
    <w:rsid w:val="00206D15"/>
    <w:rsid w:val="00206E24"/>
    <w:rsid w:val="00206F29"/>
    <w:rsid w:val="00206FB3"/>
    <w:rsid w:val="00206FD6"/>
    <w:rsid w:val="00207173"/>
    <w:rsid w:val="002071F9"/>
    <w:rsid w:val="0020725E"/>
    <w:rsid w:val="002076E5"/>
    <w:rsid w:val="0020785B"/>
    <w:rsid w:val="00207A82"/>
    <w:rsid w:val="00207C60"/>
    <w:rsid w:val="00207CB8"/>
    <w:rsid w:val="00207FAD"/>
    <w:rsid w:val="00207FC4"/>
    <w:rsid w:val="00207FDA"/>
    <w:rsid w:val="0021008C"/>
    <w:rsid w:val="00210114"/>
    <w:rsid w:val="00210127"/>
    <w:rsid w:val="0021027C"/>
    <w:rsid w:val="00210710"/>
    <w:rsid w:val="00210758"/>
    <w:rsid w:val="00210A1C"/>
    <w:rsid w:val="00210B30"/>
    <w:rsid w:val="00210D3D"/>
    <w:rsid w:val="00210D4C"/>
    <w:rsid w:val="00210D74"/>
    <w:rsid w:val="00210EFB"/>
    <w:rsid w:val="00211238"/>
    <w:rsid w:val="0021124A"/>
    <w:rsid w:val="00211548"/>
    <w:rsid w:val="00211A1E"/>
    <w:rsid w:val="00211A7F"/>
    <w:rsid w:val="00211AA9"/>
    <w:rsid w:val="00212054"/>
    <w:rsid w:val="00212086"/>
    <w:rsid w:val="002120B5"/>
    <w:rsid w:val="0021226A"/>
    <w:rsid w:val="00212410"/>
    <w:rsid w:val="002125FE"/>
    <w:rsid w:val="00212686"/>
    <w:rsid w:val="002129D4"/>
    <w:rsid w:val="00212AF8"/>
    <w:rsid w:val="00212CA4"/>
    <w:rsid w:val="00212EAF"/>
    <w:rsid w:val="00212ECA"/>
    <w:rsid w:val="00213079"/>
    <w:rsid w:val="00213338"/>
    <w:rsid w:val="0021350E"/>
    <w:rsid w:val="00213609"/>
    <w:rsid w:val="00213B4B"/>
    <w:rsid w:val="00213BF0"/>
    <w:rsid w:val="00213C75"/>
    <w:rsid w:val="00213D12"/>
    <w:rsid w:val="00213D3D"/>
    <w:rsid w:val="00213E05"/>
    <w:rsid w:val="00214244"/>
    <w:rsid w:val="00214255"/>
    <w:rsid w:val="0021456B"/>
    <w:rsid w:val="002145B3"/>
    <w:rsid w:val="002147C2"/>
    <w:rsid w:val="002147E0"/>
    <w:rsid w:val="00214863"/>
    <w:rsid w:val="00214B2F"/>
    <w:rsid w:val="00214B32"/>
    <w:rsid w:val="00214BB9"/>
    <w:rsid w:val="00214C46"/>
    <w:rsid w:val="0021525D"/>
    <w:rsid w:val="002152B0"/>
    <w:rsid w:val="00215358"/>
    <w:rsid w:val="002153E7"/>
    <w:rsid w:val="0021555D"/>
    <w:rsid w:val="00215595"/>
    <w:rsid w:val="00215605"/>
    <w:rsid w:val="00215626"/>
    <w:rsid w:val="002156D4"/>
    <w:rsid w:val="002157FB"/>
    <w:rsid w:val="00215AB4"/>
    <w:rsid w:val="00215CC1"/>
    <w:rsid w:val="00215CF5"/>
    <w:rsid w:val="00215EB1"/>
    <w:rsid w:val="002161E0"/>
    <w:rsid w:val="00216219"/>
    <w:rsid w:val="00216275"/>
    <w:rsid w:val="00216277"/>
    <w:rsid w:val="0021627C"/>
    <w:rsid w:val="00216286"/>
    <w:rsid w:val="0021663B"/>
    <w:rsid w:val="002167A4"/>
    <w:rsid w:val="00216868"/>
    <w:rsid w:val="00216C21"/>
    <w:rsid w:val="00216D12"/>
    <w:rsid w:val="00216D5A"/>
    <w:rsid w:val="00216E28"/>
    <w:rsid w:val="00216FDC"/>
    <w:rsid w:val="002172AE"/>
    <w:rsid w:val="0021734C"/>
    <w:rsid w:val="002176E7"/>
    <w:rsid w:val="002178A4"/>
    <w:rsid w:val="00217980"/>
    <w:rsid w:val="0021798E"/>
    <w:rsid w:val="00217A19"/>
    <w:rsid w:val="00217A23"/>
    <w:rsid w:val="00217BFB"/>
    <w:rsid w:val="00217C06"/>
    <w:rsid w:val="00217C35"/>
    <w:rsid w:val="00217CA8"/>
    <w:rsid w:val="00217CCE"/>
    <w:rsid w:val="00220009"/>
    <w:rsid w:val="0022009A"/>
    <w:rsid w:val="0022050F"/>
    <w:rsid w:val="0022057B"/>
    <w:rsid w:val="002205B6"/>
    <w:rsid w:val="00220648"/>
    <w:rsid w:val="0022070F"/>
    <w:rsid w:val="00220740"/>
    <w:rsid w:val="00220775"/>
    <w:rsid w:val="0022095B"/>
    <w:rsid w:val="00220BAA"/>
    <w:rsid w:val="00220BB6"/>
    <w:rsid w:val="00220C27"/>
    <w:rsid w:val="00220D03"/>
    <w:rsid w:val="002210DA"/>
    <w:rsid w:val="00221103"/>
    <w:rsid w:val="00221193"/>
    <w:rsid w:val="002211F5"/>
    <w:rsid w:val="0022147E"/>
    <w:rsid w:val="00221573"/>
    <w:rsid w:val="00221737"/>
    <w:rsid w:val="002219D2"/>
    <w:rsid w:val="00221B69"/>
    <w:rsid w:val="002220F0"/>
    <w:rsid w:val="00222172"/>
    <w:rsid w:val="002221F4"/>
    <w:rsid w:val="002222BE"/>
    <w:rsid w:val="002222F8"/>
    <w:rsid w:val="00222374"/>
    <w:rsid w:val="0022247E"/>
    <w:rsid w:val="00222611"/>
    <w:rsid w:val="00222672"/>
    <w:rsid w:val="0022273B"/>
    <w:rsid w:val="00222763"/>
    <w:rsid w:val="00222A18"/>
    <w:rsid w:val="00222AD0"/>
    <w:rsid w:val="00222CD1"/>
    <w:rsid w:val="00222D15"/>
    <w:rsid w:val="00222E34"/>
    <w:rsid w:val="00222E5D"/>
    <w:rsid w:val="0022301D"/>
    <w:rsid w:val="002230BD"/>
    <w:rsid w:val="002234EA"/>
    <w:rsid w:val="0022366A"/>
    <w:rsid w:val="00223707"/>
    <w:rsid w:val="002238A0"/>
    <w:rsid w:val="002239A1"/>
    <w:rsid w:val="00223B89"/>
    <w:rsid w:val="00223CC5"/>
    <w:rsid w:val="00223D93"/>
    <w:rsid w:val="00223DE0"/>
    <w:rsid w:val="00223ED3"/>
    <w:rsid w:val="002242CE"/>
    <w:rsid w:val="002243B3"/>
    <w:rsid w:val="0022444F"/>
    <w:rsid w:val="002244EE"/>
    <w:rsid w:val="00224578"/>
    <w:rsid w:val="00224711"/>
    <w:rsid w:val="0022494B"/>
    <w:rsid w:val="002249B4"/>
    <w:rsid w:val="00224A4B"/>
    <w:rsid w:val="00224D55"/>
    <w:rsid w:val="00224FD0"/>
    <w:rsid w:val="00224FEC"/>
    <w:rsid w:val="002250DE"/>
    <w:rsid w:val="00225162"/>
    <w:rsid w:val="0022519D"/>
    <w:rsid w:val="00225523"/>
    <w:rsid w:val="00225618"/>
    <w:rsid w:val="0022561C"/>
    <w:rsid w:val="00225756"/>
    <w:rsid w:val="0022582A"/>
    <w:rsid w:val="00225A66"/>
    <w:rsid w:val="00225BC9"/>
    <w:rsid w:val="00225EDB"/>
    <w:rsid w:val="002260B2"/>
    <w:rsid w:val="0022664B"/>
    <w:rsid w:val="002269C5"/>
    <w:rsid w:val="00226A58"/>
    <w:rsid w:val="00226AB1"/>
    <w:rsid w:val="00226AD4"/>
    <w:rsid w:val="00226B44"/>
    <w:rsid w:val="00226BE4"/>
    <w:rsid w:val="00226C49"/>
    <w:rsid w:val="00226ECE"/>
    <w:rsid w:val="00226FD6"/>
    <w:rsid w:val="00227122"/>
    <w:rsid w:val="0022720F"/>
    <w:rsid w:val="00227227"/>
    <w:rsid w:val="0022755A"/>
    <w:rsid w:val="00227816"/>
    <w:rsid w:val="00227824"/>
    <w:rsid w:val="002278F0"/>
    <w:rsid w:val="00227C31"/>
    <w:rsid w:val="00227D5C"/>
    <w:rsid w:val="00227F3D"/>
    <w:rsid w:val="00230270"/>
    <w:rsid w:val="00230386"/>
    <w:rsid w:val="002305CB"/>
    <w:rsid w:val="00230732"/>
    <w:rsid w:val="002307AF"/>
    <w:rsid w:val="0023085D"/>
    <w:rsid w:val="0023087D"/>
    <w:rsid w:val="00230ADD"/>
    <w:rsid w:val="00230B88"/>
    <w:rsid w:val="00230E72"/>
    <w:rsid w:val="0023136A"/>
    <w:rsid w:val="00231452"/>
    <w:rsid w:val="002315C0"/>
    <w:rsid w:val="0023173E"/>
    <w:rsid w:val="00231803"/>
    <w:rsid w:val="00231928"/>
    <w:rsid w:val="002319E4"/>
    <w:rsid w:val="00231B45"/>
    <w:rsid w:val="00231B8E"/>
    <w:rsid w:val="00231BE1"/>
    <w:rsid w:val="00231C23"/>
    <w:rsid w:val="00231CCD"/>
    <w:rsid w:val="00231D67"/>
    <w:rsid w:val="00232091"/>
    <w:rsid w:val="0023211F"/>
    <w:rsid w:val="00232209"/>
    <w:rsid w:val="00232348"/>
    <w:rsid w:val="0023240D"/>
    <w:rsid w:val="002325E7"/>
    <w:rsid w:val="002326DF"/>
    <w:rsid w:val="002326F8"/>
    <w:rsid w:val="002328F8"/>
    <w:rsid w:val="00232B00"/>
    <w:rsid w:val="00232B24"/>
    <w:rsid w:val="00232D33"/>
    <w:rsid w:val="00232E90"/>
    <w:rsid w:val="00233199"/>
    <w:rsid w:val="00233315"/>
    <w:rsid w:val="00233361"/>
    <w:rsid w:val="0023338B"/>
    <w:rsid w:val="00233C39"/>
    <w:rsid w:val="00233DE6"/>
    <w:rsid w:val="002341D1"/>
    <w:rsid w:val="0023449C"/>
    <w:rsid w:val="002344F7"/>
    <w:rsid w:val="00234574"/>
    <w:rsid w:val="0023467A"/>
    <w:rsid w:val="002346C4"/>
    <w:rsid w:val="002347A6"/>
    <w:rsid w:val="00234910"/>
    <w:rsid w:val="00234916"/>
    <w:rsid w:val="002349F6"/>
    <w:rsid w:val="00234A06"/>
    <w:rsid w:val="00234A5F"/>
    <w:rsid w:val="00234CF4"/>
    <w:rsid w:val="00235121"/>
    <w:rsid w:val="00235202"/>
    <w:rsid w:val="00235281"/>
    <w:rsid w:val="002358EC"/>
    <w:rsid w:val="00235C07"/>
    <w:rsid w:val="00235E41"/>
    <w:rsid w:val="0023607B"/>
    <w:rsid w:val="002360B1"/>
    <w:rsid w:val="0023613A"/>
    <w:rsid w:val="0023621D"/>
    <w:rsid w:val="00236374"/>
    <w:rsid w:val="0023668A"/>
    <w:rsid w:val="00236842"/>
    <w:rsid w:val="00236A83"/>
    <w:rsid w:val="00236D35"/>
    <w:rsid w:val="00236E6D"/>
    <w:rsid w:val="002370D0"/>
    <w:rsid w:val="00237228"/>
    <w:rsid w:val="00237285"/>
    <w:rsid w:val="002376D3"/>
    <w:rsid w:val="00237B65"/>
    <w:rsid w:val="00237D3B"/>
    <w:rsid w:val="00237D66"/>
    <w:rsid w:val="00237EC1"/>
    <w:rsid w:val="00237FB4"/>
    <w:rsid w:val="0024016E"/>
    <w:rsid w:val="002403D0"/>
    <w:rsid w:val="002403EA"/>
    <w:rsid w:val="00240466"/>
    <w:rsid w:val="00240827"/>
    <w:rsid w:val="00240937"/>
    <w:rsid w:val="00240B16"/>
    <w:rsid w:val="00240B50"/>
    <w:rsid w:val="00240B71"/>
    <w:rsid w:val="00240B75"/>
    <w:rsid w:val="00240D99"/>
    <w:rsid w:val="00240DEF"/>
    <w:rsid w:val="00240E48"/>
    <w:rsid w:val="00240EB4"/>
    <w:rsid w:val="00241086"/>
    <w:rsid w:val="0024129F"/>
    <w:rsid w:val="002414BC"/>
    <w:rsid w:val="002417E8"/>
    <w:rsid w:val="002419E1"/>
    <w:rsid w:val="00241B91"/>
    <w:rsid w:val="00241D9E"/>
    <w:rsid w:val="00241F8C"/>
    <w:rsid w:val="002420BF"/>
    <w:rsid w:val="00242378"/>
    <w:rsid w:val="0024262E"/>
    <w:rsid w:val="002426FF"/>
    <w:rsid w:val="00242A56"/>
    <w:rsid w:val="00242B6B"/>
    <w:rsid w:val="00242BC9"/>
    <w:rsid w:val="00242D90"/>
    <w:rsid w:val="00242DC9"/>
    <w:rsid w:val="00242E31"/>
    <w:rsid w:val="00242FC3"/>
    <w:rsid w:val="00243061"/>
    <w:rsid w:val="00243197"/>
    <w:rsid w:val="002432C2"/>
    <w:rsid w:val="0024334D"/>
    <w:rsid w:val="00243357"/>
    <w:rsid w:val="0024362D"/>
    <w:rsid w:val="00243840"/>
    <w:rsid w:val="00243887"/>
    <w:rsid w:val="00243B17"/>
    <w:rsid w:val="00243B63"/>
    <w:rsid w:val="00244068"/>
    <w:rsid w:val="00244096"/>
    <w:rsid w:val="00244103"/>
    <w:rsid w:val="00244121"/>
    <w:rsid w:val="00244616"/>
    <w:rsid w:val="00244805"/>
    <w:rsid w:val="002448DA"/>
    <w:rsid w:val="0024511D"/>
    <w:rsid w:val="002451D8"/>
    <w:rsid w:val="0024531A"/>
    <w:rsid w:val="00245351"/>
    <w:rsid w:val="002457A7"/>
    <w:rsid w:val="002458E4"/>
    <w:rsid w:val="00245C77"/>
    <w:rsid w:val="00246126"/>
    <w:rsid w:val="002466F6"/>
    <w:rsid w:val="002468A4"/>
    <w:rsid w:val="00246A08"/>
    <w:rsid w:val="00246A63"/>
    <w:rsid w:val="00246BB9"/>
    <w:rsid w:val="00246BEA"/>
    <w:rsid w:val="00246C6C"/>
    <w:rsid w:val="00246CF9"/>
    <w:rsid w:val="00247187"/>
    <w:rsid w:val="00247382"/>
    <w:rsid w:val="0024781D"/>
    <w:rsid w:val="00247BBB"/>
    <w:rsid w:val="002501BB"/>
    <w:rsid w:val="00250298"/>
    <w:rsid w:val="00250366"/>
    <w:rsid w:val="0025038B"/>
    <w:rsid w:val="00250394"/>
    <w:rsid w:val="002504DB"/>
    <w:rsid w:val="00250574"/>
    <w:rsid w:val="00250667"/>
    <w:rsid w:val="0025086D"/>
    <w:rsid w:val="0025091A"/>
    <w:rsid w:val="00250970"/>
    <w:rsid w:val="00250A0D"/>
    <w:rsid w:val="00250A92"/>
    <w:rsid w:val="00250B1C"/>
    <w:rsid w:val="00250D68"/>
    <w:rsid w:val="00250E2C"/>
    <w:rsid w:val="00250F00"/>
    <w:rsid w:val="00250F5D"/>
    <w:rsid w:val="00250FB6"/>
    <w:rsid w:val="0025104F"/>
    <w:rsid w:val="002510B1"/>
    <w:rsid w:val="002510B6"/>
    <w:rsid w:val="002510D3"/>
    <w:rsid w:val="0025124D"/>
    <w:rsid w:val="0025157C"/>
    <w:rsid w:val="0025167A"/>
    <w:rsid w:val="002516CA"/>
    <w:rsid w:val="0025170A"/>
    <w:rsid w:val="002518D2"/>
    <w:rsid w:val="00251A94"/>
    <w:rsid w:val="00251BE8"/>
    <w:rsid w:val="00251D7A"/>
    <w:rsid w:val="00251E26"/>
    <w:rsid w:val="00251F39"/>
    <w:rsid w:val="00252269"/>
    <w:rsid w:val="002523C3"/>
    <w:rsid w:val="002523E8"/>
    <w:rsid w:val="0025251B"/>
    <w:rsid w:val="0025258F"/>
    <w:rsid w:val="002525CE"/>
    <w:rsid w:val="0025298F"/>
    <w:rsid w:val="00252A51"/>
    <w:rsid w:val="00253017"/>
    <w:rsid w:val="002531A7"/>
    <w:rsid w:val="002531D7"/>
    <w:rsid w:val="0025327A"/>
    <w:rsid w:val="0025336E"/>
    <w:rsid w:val="002533F1"/>
    <w:rsid w:val="0025351C"/>
    <w:rsid w:val="00253728"/>
    <w:rsid w:val="00253865"/>
    <w:rsid w:val="0025397D"/>
    <w:rsid w:val="002539F2"/>
    <w:rsid w:val="00253A4A"/>
    <w:rsid w:val="00253BBC"/>
    <w:rsid w:val="00253C76"/>
    <w:rsid w:val="00253E09"/>
    <w:rsid w:val="00254022"/>
    <w:rsid w:val="00254126"/>
    <w:rsid w:val="00254479"/>
    <w:rsid w:val="00254494"/>
    <w:rsid w:val="002545B9"/>
    <w:rsid w:val="002547DE"/>
    <w:rsid w:val="00254811"/>
    <w:rsid w:val="00254C65"/>
    <w:rsid w:val="00254D45"/>
    <w:rsid w:val="00254D65"/>
    <w:rsid w:val="002553FF"/>
    <w:rsid w:val="00255494"/>
    <w:rsid w:val="002555DC"/>
    <w:rsid w:val="00255B53"/>
    <w:rsid w:val="00255C4B"/>
    <w:rsid w:val="00255EA8"/>
    <w:rsid w:val="00255FAE"/>
    <w:rsid w:val="0025617F"/>
    <w:rsid w:val="0025631B"/>
    <w:rsid w:val="0025668A"/>
    <w:rsid w:val="0025683C"/>
    <w:rsid w:val="00256858"/>
    <w:rsid w:val="00256888"/>
    <w:rsid w:val="00256A2D"/>
    <w:rsid w:val="00256BD8"/>
    <w:rsid w:val="00256DC4"/>
    <w:rsid w:val="00257164"/>
    <w:rsid w:val="002571C4"/>
    <w:rsid w:val="00257532"/>
    <w:rsid w:val="002578EE"/>
    <w:rsid w:val="00257A9B"/>
    <w:rsid w:val="00257C4D"/>
    <w:rsid w:val="00257CE5"/>
    <w:rsid w:val="00257F7A"/>
    <w:rsid w:val="00260044"/>
    <w:rsid w:val="00260079"/>
    <w:rsid w:val="0026028D"/>
    <w:rsid w:val="00260587"/>
    <w:rsid w:val="00260620"/>
    <w:rsid w:val="00260675"/>
    <w:rsid w:val="00260772"/>
    <w:rsid w:val="00260A79"/>
    <w:rsid w:val="00260B8B"/>
    <w:rsid w:val="00260C90"/>
    <w:rsid w:val="00261087"/>
    <w:rsid w:val="0026118D"/>
    <w:rsid w:val="002611DF"/>
    <w:rsid w:val="002613B9"/>
    <w:rsid w:val="0026151E"/>
    <w:rsid w:val="00261650"/>
    <w:rsid w:val="002617D0"/>
    <w:rsid w:val="00261A1A"/>
    <w:rsid w:val="00261BBD"/>
    <w:rsid w:val="00261D81"/>
    <w:rsid w:val="00261DE1"/>
    <w:rsid w:val="0026201C"/>
    <w:rsid w:val="002620FE"/>
    <w:rsid w:val="002624DE"/>
    <w:rsid w:val="002628CA"/>
    <w:rsid w:val="00262AA7"/>
    <w:rsid w:val="00262C8F"/>
    <w:rsid w:val="00262F66"/>
    <w:rsid w:val="00263190"/>
    <w:rsid w:val="002632A7"/>
    <w:rsid w:val="002633C1"/>
    <w:rsid w:val="002637FD"/>
    <w:rsid w:val="002638F0"/>
    <w:rsid w:val="002639C4"/>
    <w:rsid w:val="00263A74"/>
    <w:rsid w:val="00263C8F"/>
    <w:rsid w:val="00263EC1"/>
    <w:rsid w:val="0026408E"/>
    <w:rsid w:val="002640A3"/>
    <w:rsid w:val="002640B6"/>
    <w:rsid w:val="0026424E"/>
    <w:rsid w:val="002643B5"/>
    <w:rsid w:val="002648D3"/>
    <w:rsid w:val="002648F2"/>
    <w:rsid w:val="0026491D"/>
    <w:rsid w:val="00264BA5"/>
    <w:rsid w:val="00264D26"/>
    <w:rsid w:val="00264EB2"/>
    <w:rsid w:val="00264EBB"/>
    <w:rsid w:val="00265023"/>
    <w:rsid w:val="002654B2"/>
    <w:rsid w:val="002657D5"/>
    <w:rsid w:val="002658A5"/>
    <w:rsid w:val="002658B2"/>
    <w:rsid w:val="002658DE"/>
    <w:rsid w:val="00265A2B"/>
    <w:rsid w:val="00265A7F"/>
    <w:rsid w:val="00265CFF"/>
    <w:rsid w:val="00265D42"/>
    <w:rsid w:val="00266262"/>
    <w:rsid w:val="00266315"/>
    <w:rsid w:val="002663B5"/>
    <w:rsid w:val="002664AF"/>
    <w:rsid w:val="00266545"/>
    <w:rsid w:val="002668CB"/>
    <w:rsid w:val="00266B92"/>
    <w:rsid w:val="00266BF6"/>
    <w:rsid w:val="00266CB8"/>
    <w:rsid w:val="00266D16"/>
    <w:rsid w:val="00266E78"/>
    <w:rsid w:val="002670D6"/>
    <w:rsid w:val="0026710E"/>
    <w:rsid w:val="00267128"/>
    <w:rsid w:val="002675CA"/>
    <w:rsid w:val="00267680"/>
    <w:rsid w:val="00267697"/>
    <w:rsid w:val="00267742"/>
    <w:rsid w:val="00267832"/>
    <w:rsid w:val="00267978"/>
    <w:rsid w:val="00267B05"/>
    <w:rsid w:val="00267D28"/>
    <w:rsid w:val="00267E90"/>
    <w:rsid w:val="00267F3D"/>
    <w:rsid w:val="00267FF8"/>
    <w:rsid w:val="00270014"/>
    <w:rsid w:val="00270550"/>
    <w:rsid w:val="0027075C"/>
    <w:rsid w:val="002709C1"/>
    <w:rsid w:val="00270B34"/>
    <w:rsid w:val="00270B3B"/>
    <w:rsid w:val="00270C88"/>
    <w:rsid w:val="00270D2F"/>
    <w:rsid w:val="00270D69"/>
    <w:rsid w:val="00270DCE"/>
    <w:rsid w:val="00270DFC"/>
    <w:rsid w:val="00271227"/>
    <w:rsid w:val="002712C3"/>
    <w:rsid w:val="002716D2"/>
    <w:rsid w:val="00271710"/>
    <w:rsid w:val="00271860"/>
    <w:rsid w:val="002719A7"/>
    <w:rsid w:val="00271A75"/>
    <w:rsid w:val="00271DE6"/>
    <w:rsid w:val="00271E38"/>
    <w:rsid w:val="00271FBE"/>
    <w:rsid w:val="0027210A"/>
    <w:rsid w:val="00272163"/>
    <w:rsid w:val="00272471"/>
    <w:rsid w:val="0027248E"/>
    <w:rsid w:val="002724CD"/>
    <w:rsid w:val="00272650"/>
    <w:rsid w:val="002729B6"/>
    <w:rsid w:val="00272B24"/>
    <w:rsid w:val="00272BB0"/>
    <w:rsid w:val="00272DAF"/>
    <w:rsid w:val="0027341A"/>
    <w:rsid w:val="00273510"/>
    <w:rsid w:val="00273609"/>
    <w:rsid w:val="00273613"/>
    <w:rsid w:val="00273713"/>
    <w:rsid w:val="00273870"/>
    <w:rsid w:val="002738A3"/>
    <w:rsid w:val="00273C87"/>
    <w:rsid w:val="00273DDF"/>
    <w:rsid w:val="00273E27"/>
    <w:rsid w:val="00273E85"/>
    <w:rsid w:val="00273FE0"/>
    <w:rsid w:val="002742BE"/>
    <w:rsid w:val="0027438D"/>
    <w:rsid w:val="00274587"/>
    <w:rsid w:val="002746DE"/>
    <w:rsid w:val="002747CE"/>
    <w:rsid w:val="0027486D"/>
    <w:rsid w:val="002748D5"/>
    <w:rsid w:val="002749B5"/>
    <w:rsid w:val="00274A8B"/>
    <w:rsid w:val="00274CF3"/>
    <w:rsid w:val="00274D66"/>
    <w:rsid w:val="002750E9"/>
    <w:rsid w:val="00275281"/>
    <w:rsid w:val="002754F2"/>
    <w:rsid w:val="0027562F"/>
    <w:rsid w:val="0027571F"/>
    <w:rsid w:val="002759D3"/>
    <w:rsid w:val="00275A42"/>
    <w:rsid w:val="00275B05"/>
    <w:rsid w:val="00275C11"/>
    <w:rsid w:val="00275DFA"/>
    <w:rsid w:val="00275DFF"/>
    <w:rsid w:val="00276833"/>
    <w:rsid w:val="00276993"/>
    <w:rsid w:val="00276A38"/>
    <w:rsid w:val="00276D79"/>
    <w:rsid w:val="00277096"/>
    <w:rsid w:val="002770CB"/>
    <w:rsid w:val="0027740B"/>
    <w:rsid w:val="002774D7"/>
    <w:rsid w:val="00277567"/>
    <w:rsid w:val="002777BC"/>
    <w:rsid w:val="002777E6"/>
    <w:rsid w:val="00277837"/>
    <w:rsid w:val="002779F8"/>
    <w:rsid w:val="00277CF7"/>
    <w:rsid w:val="00277F07"/>
    <w:rsid w:val="002804DB"/>
    <w:rsid w:val="0028089C"/>
    <w:rsid w:val="00280913"/>
    <w:rsid w:val="0028096B"/>
    <w:rsid w:val="0028098D"/>
    <w:rsid w:val="00280CE8"/>
    <w:rsid w:val="00280EAE"/>
    <w:rsid w:val="00280EE9"/>
    <w:rsid w:val="0028110D"/>
    <w:rsid w:val="00281170"/>
    <w:rsid w:val="0028123D"/>
    <w:rsid w:val="002812C0"/>
    <w:rsid w:val="00281384"/>
    <w:rsid w:val="0028150C"/>
    <w:rsid w:val="002816B0"/>
    <w:rsid w:val="0028172F"/>
    <w:rsid w:val="0028180F"/>
    <w:rsid w:val="00281AE9"/>
    <w:rsid w:val="00281B10"/>
    <w:rsid w:val="00281B79"/>
    <w:rsid w:val="00281D48"/>
    <w:rsid w:val="002823DD"/>
    <w:rsid w:val="002826B4"/>
    <w:rsid w:val="002827FD"/>
    <w:rsid w:val="00282866"/>
    <w:rsid w:val="002828EE"/>
    <w:rsid w:val="00282C6E"/>
    <w:rsid w:val="00282C78"/>
    <w:rsid w:val="00282C80"/>
    <w:rsid w:val="00282D4C"/>
    <w:rsid w:val="00283157"/>
    <w:rsid w:val="00283267"/>
    <w:rsid w:val="00283678"/>
    <w:rsid w:val="002836CE"/>
    <w:rsid w:val="002837D6"/>
    <w:rsid w:val="0028398D"/>
    <w:rsid w:val="00283A7C"/>
    <w:rsid w:val="00283A9B"/>
    <w:rsid w:val="00283BFC"/>
    <w:rsid w:val="00283C88"/>
    <w:rsid w:val="00283DAE"/>
    <w:rsid w:val="00283DAF"/>
    <w:rsid w:val="00283DD2"/>
    <w:rsid w:val="00283F9E"/>
    <w:rsid w:val="002840EA"/>
    <w:rsid w:val="00284213"/>
    <w:rsid w:val="00284A2C"/>
    <w:rsid w:val="00284A37"/>
    <w:rsid w:val="00284C5A"/>
    <w:rsid w:val="00284CC1"/>
    <w:rsid w:val="00284CF4"/>
    <w:rsid w:val="00284D64"/>
    <w:rsid w:val="00284E1C"/>
    <w:rsid w:val="00284EC2"/>
    <w:rsid w:val="00285044"/>
    <w:rsid w:val="002852D9"/>
    <w:rsid w:val="00285433"/>
    <w:rsid w:val="0028549E"/>
    <w:rsid w:val="002854F1"/>
    <w:rsid w:val="002856B6"/>
    <w:rsid w:val="00285D28"/>
    <w:rsid w:val="00285DD2"/>
    <w:rsid w:val="00285E1F"/>
    <w:rsid w:val="00285F4F"/>
    <w:rsid w:val="00286039"/>
    <w:rsid w:val="00286066"/>
    <w:rsid w:val="002861AD"/>
    <w:rsid w:val="0028628E"/>
    <w:rsid w:val="0028634C"/>
    <w:rsid w:val="002865A4"/>
    <w:rsid w:val="0028666C"/>
    <w:rsid w:val="002868B3"/>
    <w:rsid w:val="002869CF"/>
    <w:rsid w:val="00286AB4"/>
    <w:rsid w:val="00286BE4"/>
    <w:rsid w:val="00286C85"/>
    <w:rsid w:val="00286CBC"/>
    <w:rsid w:val="00286D15"/>
    <w:rsid w:val="00286D2B"/>
    <w:rsid w:val="00286F30"/>
    <w:rsid w:val="00286F56"/>
    <w:rsid w:val="002871C3"/>
    <w:rsid w:val="0028739D"/>
    <w:rsid w:val="00287591"/>
    <w:rsid w:val="0028761D"/>
    <w:rsid w:val="00287A39"/>
    <w:rsid w:val="00287A8B"/>
    <w:rsid w:val="00287A90"/>
    <w:rsid w:val="00287CA8"/>
    <w:rsid w:val="00287D37"/>
    <w:rsid w:val="00290098"/>
    <w:rsid w:val="002900F2"/>
    <w:rsid w:val="0029017B"/>
    <w:rsid w:val="002902A3"/>
    <w:rsid w:val="002905F0"/>
    <w:rsid w:val="002906C1"/>
    <w:rsid w:val="002908D7"/>
    <w:rsid w:val="00290926"/>
    <w:rsid w:val="00290B1C"/>
    <w:rsid w:val="00290EEE"/>
    <w:rsid w:val="00290FC5"/>
    <w:rsid w:val="0029108D"/>
    <w:rsid w:val="00291091"/>
    <w:rsid w:val="002916E6"/>
    <w:rsid w:val="002916FB"/>
    <w:rsid w:val="00291881"/>
    <w:rsid w:val="002918CB"/>
    <w:rsid w:val="00291ABD"/>
    <w:rsid w:val="00291BA8"/>
    <w:rsid w:val="00291E07"/>
    <w:rsid w:val="00291EAD"/>
    <w:rsid w:val="00291F11"/>
    <w:rsid w:val="00292173"/>
    <w:rsid w:val="002922F6"/>
    <w:rsid w:val="00292523"/>
    <w:rsid w:val="00292602"/>
    <w:rsid w:val="002927E4"/>
    <w:rsid w:val="00292979"/>
    <w:rsid w:val="00292ACA"/>
    <w:rsid w:val="00292BB3"/>
    <w:rsid w:val="00292CD0"/>
    <w:rsid w:val="00292CDD"/>
    <w:rsid w:val="00292D81"/>
    <w:rsid w:val="00292DEF"/>
    <w:rsid w:val="002930D9"/>
    <w:rsid w:val="00293210"/>
    <w:rsid w:val="00293703"/>
    <w:rsid w:val="00293777"/>
    <w:rsid w:val="00293C89"/>
    <w:rsid w:val="00293E70"/>
    <w:rsid w:val="00293E76"/>
    <w:rsid w:val="00294370"/>
    <w:rsid w:val="0029438A"/>
    <w:rsid w:val="002945A5"/>
    <w:rsid w:val="002945E8"/>
    <w:rsid w:val="00294886"/>
    <w:rsid w:val="00294DA0"/>
    <w:rsid w:val="00294E3E"/>
    <w:rsid w:val="00294E44"/>
    <w:rsid w:val="00294EEA"/>
    <w:rsid w:val="00295018"/>
    <w:rsid w:val="002951D4"/>
    <w:rsid w:val="002951DF"/>
    <w:rsid w:val="00295232"/>
    <w:rsid w:val="0029565F"/>
    <w:rsid w:val="00295806"/>
    <w:rsid w:val="0029594D"/>
    <w:rsid w:val="002959B8"/>
    <w:rsid w:val="00295A42"/>
    <w:rsid w:val="00295CDB"/>
    <w:rsid w:val="00295DAE"/>
    <w:rsid w:val="00295FCE"/>
    <w:rsid w:val="0029609F"/>
    <w:rsid w:val="002960AA"/>
    <w:rsid w:val="00296288"/>
    <w:rsid w:val="002963EF"/>
    <w:rsid w:val="002964B6"/>
    <w:rsid w:val="00296616"/>
    <w:rsid w:val="002966A1"/>
    <w:rsid w:val="00296710"/>
    <w:rsid w:val="00296834"/>
    <w:rsid w:val="00296870"/>
    <w:rsid w:val="00296CB9"/>
    <w:rsid w:val="00296E06"/>
    <w:rsid w:val="00297095"/>
    <w:rsid w:val="0029711B"/>
    <w:rsid w:val="00297561"/>
    <w:rsid w:val="002975BF"/>
    <w:rsid w:val="002977C6"/>
    <w:rsid w:val="00297A2D"/>
    <w:rsid w:val="00297CA0"/>
    <w:rsid w:val="00297E1A"/>
    <w:rsid w:val="00297F27"/>
    <w:rsid w:val="00297FB5"/>
    <w:rsid w:val="002A00D2"/>
    <w:rsid w:val="002A0211"/>
    <w:rsid w:val="002A0280"/>
    <w:rsid w:val="002A02F2"/>
    <w:rsid w:val="002A0477"/>
    <w:rsid w:val="002A06DE"/>
    <w:rsid w:val="002A0827"/>
    <w:rsid w:val="002A09A7"/>
    <w:rsid w:val="002A09FD"/>
    <w:rsid w:val="002A0D83"/>
    <w:rsid w:val="002A0D92"/>
    <w:rsid w:val="002A0E62"/>
    <w:rsid w:val="002A1333"/>
    <w:rsid w:val="002A1524"/>
    <w:rsid w:val="002A1604"/>
    <w:rsid w:val="002A16A8"/>
    <w:rsid w:val="002A16DC"/>
    <w:rsid w:val="002A1785"/>
    <w:rsid w:val="002A191B"/>
    <w:rsid w:val="002A1A23"/>
    <w:rsid w:val="002A1AB3"/>
    <w:rsid w:val="002A1B38"/>
    <w:rsid w:val="002A1D7D"/>
    <w:rsid w:val="002A1DF2"/>
    <w:rsid w:val="002A1F94"/>
    <w:rsid w:val="002A2003"/>
    <w:rsid w:val="002A2059"/>
    <w:rsid w:val="002A21F3"/>
    <w:rsid w:val="002A239B"/>
    <w:rsid w:val="002A264A"/>
    <w:rsid w:val="002A26D6"/>
    <w:rsid w:val="002A2712"/>
    <w:rsid w:val="002A2727"/>
    <w:rsid w:val="002A29B3"/>
    <w:rsid w:val="002A29F7"/>
    <w:rsid w:val="002A2C99"/>
    <w:rsid w:val="002A2F5F"/>
    <w:rsid w:val="002A3188"/>
    <w:rsid w:val="002A3278"/>
    <w:rsid w:val="002A3297"/>
    <w:rsid w:val="002A32C3"/>
    <w:rsid w:val="002A32E4"/>
    <w:rsid w:val="002A342D"/>
    <w:rsid w:val="002A3536"/>
    <w:rsid w:val="002A35E2"/>
    <w:rsid w:val="002A372F"/>
    <w:rsid w:val="002A3A3E"/>
    <w:rsid w:val="002A3B21"/>
    <w:rsid w:val="002A3FA0"/>
    <w:rsid w:val="002A41EB"/>
    <w:rsid w:val="002A445A"/>
    <w:rsid w:val="002A44A6"/>
    <w:rsid w:val="002A46F8"/>
    <w:rsid w:val="002A47FD"/>
    <w:rsid w:val="002A490B"/>
    <w:rsid w:val="002A491C"/>
    <w:rsid w:val="002A4D89"/>
    <w:rsid w:val="002A4F8F"/>
    <w:rsid w:val="002A50AC"/>
    <w:rsid w:val="002A51E5"/>
    <w:rsid w:val="002A54DC"/>
    <w:rsid w:val="002A55C7"/>
    <w:rsid w:val="002A55E5"/>
    <w:rsid w:val="002A5641"/>
    <w:rsid w:val="002A57F2"/>
    <w:rsid w:val="002A58E6"/>
    <w:rsid w:val="002A5A39"/>
    <w:rsid w:val="002A5AF9"/>
    <w:rsid w:val="002A5E92"/>
    <w:rsid w:val="002A606D"/>
    <w:rsid w:val="002A64AA"/>
    <w:rsid w:val="002A65DD"/>
    <w:rsid w:val="002A67C5"/>
    <w:rsid w:val="002A6891"/>
    <w:rsid w:val="002A6893"/>
    <w:rsid w:val="002A6921"/>
    <w:rsid w:val="002A692C"/>
    <w:rsid w:val="002A6AD6"/>
    <w:rsid w:val="002A6B22"/>
    <w:rsid w:val="002A6C27"/>
    <w:rsid w:val="002A6C5B"/>
    <w:rsid w:val="002A6C9A"/>
    <w:rsid w:val="002A6FC5"/>
    <w:rsid w:val="002A6FC7"/>
    <w:rsid w:val="002A7501"/>
    <w:rsid w:val="002A762D"/>
    <w:rsid w:val="002A78C9"/>
    <w:rsid w:val="002A7989"/>
    <w:rsid w:val="002A7BE9"/>
    <w:rsid w:val="002A7C1A"/>
    <w:rsid w:val="002A7F43"/>
    <w:rsid w:val="002B02B6"/>
    <w:rsid w:val="002B040B"/>
    <w:rsid w:val="002B0447"/>
    <w:rsid w:val="002B0495"/>
    <w:rsid w:val="002B0555"/>
    <w:rsid w:val="002B058E"/>
    <w:rsid w:val="002B068F"/>
    <w:rsid w:val="002B076C"/>
    <w:rsid w:val="002B07A2"/>
    <w:rsid w:val="002B07D1"/>
    <w:rsid w:val="002B0A6A"/>
    <w:rsid w:val="002B0B07"/>
    <w:rsid w:val="002B0C78"/>
    <w:rsid w:val="002B0D70"/>
    <w:rsid w:val="002B1207"/>
    <w:rsid w:val="002B126A"/>
    <w:rsid w:val="002B12E8"/>
    <w:rsid w:val="002B12FB"/>
    <w:rsid w:val="002B1325"/>
    <w:rsid w:val="002B16A5"/>
    <w:rsid w:val="002B1C2E"/>
    <w:rsid w:val="002B1D04"/>
    <w:rsid w:val="002B1E0A"/>
    <w:rsid w:val="002B208E"/>
    <w:rsid w:val="002B22D3"/>
    <w:rsid w:val="002B2914"/>
    <w:rsid w:val="002B2932"/>
    <w:rsid w:val="002B2BE2"/>
    <w:rsid w:val="002B2C8F"/>
    <w:rsid w:val="002B2E1A"/>
    <w:rsid w:val="002B2EBA"/>
    <w:rsid w:val="002B2F36"/>
    <w:rsid w:val="002B2F44"/>
    <w:rsid w:val="002B373B"/>
    <w:rsid w:val="002B3A90"/>
    <w:rsid w:val="002B3C32"/>
    <w:rsid w:val="002B3C47"/>
    <w:rsid w:val="002B3CFF"/>
    <w:rsid w:val="002B3DAC"/>
    <w:rsid w:val="002B418C"/>
    <w:rsid w:val="002B4611"/>
    <w:rsid w:val="002B494A"/>
    <w:rsid w:val="002B4AE7"/>
    <w:rsid w:val="002B4AEE"/>
    <w:rsid w:val="002B4C27"/>
    <w:rsid w:val="002B4E63"/>
    <w:rsid w:val="002B4F2A"/>
    <w:rsid w:val="002B4F6D"/>
    <w:rsid w:val="002B4FCB"/>
    <w:rsid w:val="002B51A3"/>
    <w:rsid w:val="002B523E"/>
    <w:rsid w:val="002B528E"/>
    <w:rsid w:val="002B5562"/>
    <w:rsid w:val="002B55BC"/>
    <w:rsid w:val="002B5648"/>
    <w:rsid w:val="002B5705"/>
    <w:rsid w:val="002B5815"/>
    <w:rsid w:val="002B59E2"/>
    <w:rsid w:val="002B5B25"/>
    <w:rsid w:val="002B5B3E"/>
    <w:rsid w:val="002B5C7F"/>
    <w:rsid w:val="002B5E58"/>
    <w:rsid w:val="002B5F3C"/>
    <w:rsid w:val="002B5FC9"/>
    <w:rsid w:val="002B611F"/>
    <w:rsid w:val="002B61D6"/>
    <w:rsid w:val="002B6221"/>
    <w:rsid w:val="002B63C3"/>
    <w:rsid w:val="002B63FF"/>
    <w:rsid w:val="002B66D6"/>
    <w:rsid w:val="002B6ABD"/>
    <w:rsid w:val="002B6C23"/>
    <w:rsid w:val="002B6E20"/>
    <w:rsid w:val="002B6F72"/>
    <w:rsid w:val="002B6F8E"/>
    <w:rsid w:val="002B6FF4"/>
    <w:rsid w:val="002B708E"/>
    <w:rsid w:val="002B7434"/>
    <w:rsid w:val="002B75EC"/>
    <w:rsid w:val="002B762F"/>
    <w:rsid w:val="002B763D"/>
    <w:rsid w:val="002B7867"/>
    <w:rsid w:val="002B79A1"/>
    <w:rsid w:val="002B7D03"/>
    <w:rsid w:val="002B7D11"/>
    <w:rsid w:val="002B7DE5"/>
    <w:rsid w:val="002B7F99"/>
    <w:rsid w:val="002C0061"/>
    <w:rsid w:val="002C0070"/>
    <w:rsid w:val="002C020E"/>
    <w:rsid w:val="002C0343"/>
    <w:rsid w:val="002C0500"/>
    <w:rsid w:val="002C0653"/>
    <w:rsid w:val="002C0725"/>
    <w:rsid w:val="002C0916"/>
    <w:rsid w:val="002C0A54"/>
    <w:rsid w:val="002C0EE1"/>
    <w:rsid w:val="002C17AB"/>
    <w:rsid w:val="002C1970"/>
    <w:rsid w:val="002C1993"/>
    <w:rsid w:val="002C19C3"/>
    <w:rsid w:val="002C1B9D"/>
    <w:rsid w:val="002C1C7F"/>
    <w:rsid w:val="002C1F8F"/>
    <w:rsid w:val="002C2024"/>
    <w:rsid w:val="002C2172"/>
    <w:rsid w:val="002C2176"/>
    <w:rsid w:val="002C21E9"/>
    <w:rsid w:val="002C236B"/>
    <w:rsid w:val="002C2375"/>
    <w:rsid w:val="002C237C"/>
    <w:rsid w:val="002C23C5"/>
    <w:rsid w:val="002C25FB"/>
    <w:rsid w:val="002C2877"/>
    <w:rsid w:val="002C2BFF"/>
    <w:rsid w:val="002C2D95"/>
    <w:rsid w:val="002C2E14"/>
    <w:rsid w:val="002C2F26"/>
    <w:rsid w:val="002C2FAB"/>
    <w:rsid w:val="002C30E3"/>
    <w:rsid w:val="002C3184"/>
    <w:rsid w:val="002C32FA"/>
    <w:rsid w:val="002C338F"/>
    <w:rsid w:val="002C339B"/>
    <w:rsid w:val="002C34CB"/>
    <w:rsid w:val="002C34FF"/>
    <w:rsid w:val="002C35B5"/>
    <w:rsid w:val="002C3724"/>
    <w:rsid w:val="002C375C"/>
    <w:rsid w:val="002C38A4"/>
    <w:rsid w:val="002C393A"/>
    <w:rsid w:val="002C3ACB"/>
    <w:rsid w:val="002C3FA3"/>
    <w:rsid w:val="002C43B6"/>
    <w:rsid w:val="002C4458"/>
    <w:rsid w:val="002C46E4"/>
    <w:rsid w:val="002C487F"/>
    <w:rsid w:val="002C49EA"/>
    <w:rsid w:val="002C4B60"/>
    <w:rsid w:val="002C4BF2"/>
    <w:rsid w:val="002C4BFD"/>
    <w:rsid w:val="002C503C"/>
    <w:rsid w:val="002C51C9"/>
    <w:rsid w:val="002C5242"/>
    <w:rsid w:val="002C54A0"/>
    <w:rsid w:val="002C55CF"/>
    <w:rsid w:val="002C576D"/>
    <w:rsid w:val="002C5A73"/>
    <w:rsid w:val="002C5B4D"/>
    <w:rsid w:val="002C5CE9"/>
    <w:rsid w:val="002C5FDB"/>
    <w:rsid w:val="002C60F7"/>
    <w:rsid w:val="002C612B"/>
    <w:rsid w:val="002C616C"/>
    <w:rsid w:val="002C6502"/>
    <w:rsid w:val="002C66F6"/>
    <w:rsid w:val="002C6BBB"/>
    <w:rsid w:val="002C6BDB"/>
    <w:rsid w:val="002C6C50"/>
    <w:rsid w:val="002C6C66"/>
    <w:rsid w:val="002C6D82"/>
    <w:rsid w:val="002C6D85"/>
    <w:rsid w:val="002C6F21"/>
    <w:rsid w:val="002C6F44"/>
    <w:rsid w:val="002C7035"/>
    <w:rsid w:val="002C7121"/>
    <w:rsid w:val="002C7367"/>
    <w:rsid w:val="002C7826"/>
    <w:rsid w:val="002C7859"/>
    <w:rsid w:val="002C7D5D"/>
    <w:rsid w:val="002C7DC3"/>
    <w:rsid w:val="002C7E7C"/>
    <w:rsid w:val="002D0056"/>
    <w:rsid w:val="002D0226"/>
    <w:rsid w:val="002D033A"/>
    <w:rsid w:val="002D04DF"/>
    <w:rsid w:val="002D05C3"/>
    <w:rsid w:val="002D076B"/>
    <w:rsid w:val="002D0A5D"/>
    <w:rsid w:val="002D0A73"/>
    <w:rsid w:val="002D0A8F"/>
    <w:rsid w:val="002D0BDA"/>
    <w:rsid w:val="002D0BED"/>
    <w:rsid w:val="002D0CD2"/>
    <w:rsid w:val="002D0D38"/>
    <w:rsid w:val="002D0E1C"/>
    <w:rsid w:val="002D0EE3"/>
    <w:rsid w:val="002D1027"/>
    <w:rsid w:val="002D1058"/>
    <w:rsid w:val="002D11AA"/>
    <w:rsid w:val="002D120E"/>
    <w:rsid w:val="002D12E9"/>
    <w:rsid w:val="002D1309"/>
    <w:rsid w:val="002D1515"/>
    <w:rsid w:val="002D161A"/>
    <w:rsid w:val="002D1819"/>
    <w:rsid w:val="002D1892"/>
    <w:rsid w:val="002D1928"/>
    <w:rsid w:val="002D1A86"/>
    <w:rsid w:val="002D1E1F"/>
    <w:rsid w:val="002D20FC"/>
    <w:rsid w:val="002D21D5"/>
    <w:rsid w:val="002D22EE"/>
    <w:rsid w:val="002D247E"/>
    <w:rsid w:val="002D2660"/>
    <w:rsid w:val="002D272D"/>
    <w:rsid w:val="002D28DF"/>
    <w:rsid w:val="002D29E7"/>
    <w:rsid w:val="002D29E8"/>
    <w:rsid w:val="002D2A54"/>
    <w:rsid w:val="002D2A6E"/>
    <w:rsid w:val="002D2C7A"/>
    <w:rsid w:val="002D2CFC"/>
    <w:rsid w:val="002D2DDE"/>
    <w:rsid w:val="002D2E3E"/>
    <w:rsid w:val="002D2E63"/>
    <w:rsid w:val="002D3274"/>
    <w:rsid w:val="002D33DB"/>
    <w:rsid w:val="002D3446"/>
    <w:rsid w:val="002D3633"/>
    <w:rsid w:val="002D366C"/>
    <w:rsid w:val="002D36D1"/>
    <w:rsid w:val="002D3728"/>
    <w:rsid w:val="002D3850"/>
    <w:rsid w:val="002D38B8"/>
    <w:rsid w:val="002D39B4"/>
    <w:rsid w:val="002D39C1"/>
    <w:rsid w:val="002D3A23"/>
    <w:rsid w:val="002D3D77"/>
    <w:rsid w:val="002D3E3C"/>
    <w:rsid w:val="002D3E78"/>
    <w:rsid w:val="002D3F17"/>
    <w:rsid w:val="002D3FCA"/>
    <w:rsid w:val="002D3FE3"/>
    <w:rsid w:val="002D4048"/>
    <w:rsid w:val="002D436D"/>
    <w:rsid w:val="002D4821"/>
    <w:rsid w:val="002D48AC"/>
    <w:rsid w:val="002D48EC"/>
    <w:rsid w:val="002D497C"/>
    <w:rsid w:val="002D49FB"/>
    <w:rsid w:val="002D4BEF"/>
    <w:rsid w:val="002D4BFD"/>
    <w:rsid w:val="002D4C66"/>
    <w:rsid w:val="002D4C98"/>
    <w:rsid w:val="002D4CFB"/>
    <w:rsid w:val="002D4D18"/>
    <w:rsid w:val="002D4DA0"/>
    <w:rsid w:val="002D4DF8"/>
    <w:rsid w:val="002D4E2C"/>
    <w:rsid w:val="002D4E2E"/>
    <w:rsid w:val="002D4E4F"/>
    <w:rsid w:val="002D4EEA"/>
    <w:rsid w:val="002D4FCA"/>
    <w:rsid w:val="002D50BC"/>
    <w:rsid w:val="002D51EB"/>
    <w:rsid w:val="002D5216"/>
    <w:rsid w:val="002D54BF"/>
    <w:rsid w:val="002D56A9"/>
    <w:rsid w:val="002D56C1"/>
    <w:rsid w:val="002D573E"/>
    <w:rsid w:val="002D57ED"/>
    <w:rsid w:val="002D58D7"/>
    <w:rsid w:val="002D5A31"/>
    <w:rsid w:val="002D5A60"/>
    <w:rsid w:val="002D5B8C"/>
    <w:rsid w:val="002D5BE9"/>
    <w:rsid w:val="002D5D37"/>
    <w:rsid w:val="002D5DDC"/>
    <w:rsid w:val="002D5E27"/>
    <w:rsid w:val="002D6088"/>
    <w:rsid w:val="002D610E"/>
    <w:rsid w:val="002D635C"/>
    <w:rsid w:val="002D6449"/>
    <w:rsid w:val="002D6905"/>
    <w:rsid w:val="002D692E"/>
    <w:rsid w:val="002D694E"/>
    <w:rsid w:val="002D696B"/>
    <w:rsid w:val="002D6AEE"/>
    <w:rsid w:val="002D6C43"/>
    <w:rsid w:val="002D6C7D"/>
    <w:rsid w:val="002D6CEC"/>
    <w:rsid w:val="002D6E14"/>
    <w:rsid w:val="002D7279"/>
    <w:rsid w:val="002D72FB"/>
    <w:rsid w:val="002D7361"/>
    <w:rsid w:val="002D7552"/>
    <w:rsid w:val="002D76F8"/>
    <w:rsid w:val="002D773F"/>
    <w:rsid w:val="002D779A"/>
    <w:rsid w:val="002D78D3"/>
    <w:rsid w:val="002D799A"/>
    <w:rsid w:val="002D7A8B"/>
    <w:rsid w:val="002D7AAE"/>
    <w:rsid w:val="002D7DF0"/>
    <w:rsid w:val="002D7EEA"/>
    <w:rsid w:val="002E033D"/>
    <w:rsid w:val="002E03C7"/>
    <w:rsid w:val="002E0606"/>
    <w:rsid w:val="002E0720"/>
    <w:rsid w:val="002E0938"/>
    <w:rsid w:val="002E0B2B"/>
    <w:rsid w:val="002E0E04"/>
    <w:rsid w:val="002E0EBF"/>
    <w:rsid w:val="002E104A"/>
    <w:rsid w:val="002E1060"/>
    <w:rsid w:val="002E11B7"/>
    <w:rsid w:val="002E11F5"/>
    <w:rsid w:val="002E1242"/>
    <w:rsid w:val="002E125C"/>
    <w:rsid w:val="002E14CB"/>
    <w:rsid w:val="002E15AC"/>
    <w:rsid w:val="002E1716"/>
    <w:rsid w:val="002E175A"/>
    <w:rsid w:val="002E18CB"/>
    <w:rsid w:val="002E18EA"/>
    <w:rsid w:val="002E1B07"/>
    <w:rsid w:val="002E1B99"/>
    <w:rsid w:val="002E1C35"/>
    <w:rsid w:val="002E2067"/>
    <w:rsid w:val="002E2182"/>
    <w:rsid w:val="002E21E8"/>
    <w:rsid w:val="002E26CE"/>
    <w:rsid w:val="002E2877"/>
    <w:rsid w:val="002E28CF"/>
    <w:rsid w:val="002E2E23"/>
    <w:rsid w:val="002E2E67"/>
    <w:rsid w:val="002E2FA1"/>
    <w:rsid w:val="002E303D"/>
    <w:rsid w:val="002E3068"/>
    <w:rsid w:val="002E30BD"/>
    <w:rsid w:val="002E30F3"/>
    <w:rsid w:val="002E31A2"/>
    <w:rsid w:val="002E34FE"/>
    <w:rsid w:val="002E38D9"/>
    <w:rsid w:val="002E3A49"/>
    <w:rsid w:val="002E3C3B"/>
    <w:rsid w:val="002E3E7C"/>
    <w:rsid w:val="002E3EA1"/>
    <w:rsid w:val="002E428F"/>
    <w:rsid w:val="002E43A7"/>
    <w:rsid w:val="002E45F5"/>
    <w:rsid w:val="002E49B8"/>
    <w:rsid w:val="002E4A6D"/>
    <w:rsid w:val="002E4B2A"/>
    <w:rsid w:val="002E4C49"/>
    <w:rsid w:val="002E4CB6"/>
    <w:rsid w:val="002E4CCF"/>
    <w:rsid w:val="002E50AE"/>
    <w:rsid w:val="002E50C5"/>
    <w:rsid w:val="002E5137"/>
    <w:rsid w:val="002E52C4"/>
    <w:rsid w:val="002E552B"/>
    <w:rsid w:val="002E5F36"/>
    <w:rsid w:val="002E6052"/>
    <w:rsid w:val="002E6393"/>
    <w:rsid w:val="002E6399"/>
    <w:rsid w:val="002E63FE"/>
    <w:rsid w:val="002E640A"/>
    <w:rsid w:val="002E64FB"/>
    <w:rsid w:val="002E6616"/>
    <w:rsid w:val="002E68B4"/>
    <w:rsid w:val="002E6BA7"/>
    <w:rsid w:val="002E6C72"/>
    <w:rsid w:val="002E6D1B"/>
    <w:rsid w:val="002E6ECC"/>
    <w:rsid w:val="002E713A"/>
    <w:rsid w:val="002E789E"/>
    <w:rsid w:val="002E78BD"/>
    <w:rsid w:val="002E7983"/>
    <w:rsid w:val="002E79F1"/>
    <w:rsid w:val="002E7A64"/>
    <w:rsid w:val="002E7AC6"/>
    <w:rsid w:val="002E7B7E"/>
    <w:rsid w:val="002E7C14"/>
    <w:rsid w:val="002E7DB6"/>
    <w:rsid w:val="002E7EEE"/>
    <w:rsid w:val="002E7FD9"/>
    <w:rsid w:val="002F0050"/>
    <w:rsid w:val="002F01DE"/>
    <w:rsid w:val="002F04B0"/>
    <w:rsid w:val="002F0500"/>
    <w:rsid w:val="002F069C"/>
    <w:rsid w:val="002F083D"/>
    <w:rsid w:val="002F09AC"/>
    <w:rsid w:val="002F0A6D"/>
    <w:rsid w:val="002F0D08"/>
    <w:rsid w:val="002F0D61"/>
    <w:rsid w:val="002F10D3"/>
    <w:rsid w:val="002F1130"/>
    <w:rsid w:val="002F11E6"/>
    <w:rsid w:val="002F124E"/>
    <w:rsid w:val="002F149C"/>
    <w:rsid w:val="002F149E"/>
    <w:rsid w:val="002F173A"/>
    <w:rsid w:val="002F17D2"/>
    <w:rsid w:val="002F18EA"/>
    <w:rsid w:val="002F19DC"/>
    <w:rsid w:val="002F1A44"/>
    <w:rsid w:val="002F1A8A"/>
    <w:rsid w:val="002F1E2E"/>
    <w:rsid w:val="002F1EE7"/>
    <w:rsid w:val="002F202F"/>
    <w:rsid w:val="002F20CD"/>
    <w:rsid w:val="002F2101"/>
    <w:rsid w:val="002F227D"/>
    <w:rsid w:val="002F2329"/>
    <w:rsid w:val="002F24B0"/>
    <w:rsid w:val="002F2881"/>
    <w:rsid w:val="002F297A"/>
    <w:rsid w:val="002F2A38"/>
    <w:rsid w:val="002F2B45"/>
    <w:rsid w:val="002F2C5D"/>
    <w:rsid w:val="002F2F0C"/>
    <w:rsid w:val="002F305B"/>
    <w:rsid w:val="002F3320"/>
    <w:rsid w:val="002F3481"/>
    <w:rsid w:val="002F34D4"/>
    <w:rsid w:val="002F35EF"/>
    <w:rsid w:val="002F3982"/>
    <w:rsid w:val="002F3AB3"/>
    <w:rsid w:val="002F3BAC"/>
    <w:rsid w:val="002F3E62"/>
    <w:rsid w:val="002F3EEB"/>
    <w:rsid w:val="002F3FB6"/>
    <w:rsid w:val="002F4045"/>
    <w:rsid w:val="002F431D"/>
    <w:rsid w:val="002F48B5"/>
    <w:rsid w:val="002F4904"/>
    <w:rsid w:val="002F4A81"/>
    <w:rsid w:val="002F4B8F"/>
    <w:rsid w:val="002F4BA7"/>
    <w:rsid w:val="002F4D10"/>
    <w:rsid w:val="002F4DD4"/>
    <w:rsid w:val="002F4DF0"/>
    <w:rsid w:val="002F4E76"/>
    <w:rsid w:val="002F4EE7"/>
    <w:rsid w:val="002F4F00"/>
    <w:rsid w:val="002F4FB0"/>
    <w:rsid w:val="002F5006"/>
    <w:rsid w:val="002F5341"/>
    <w:rsid w:val="002F53A6"/>
    <w:rsid w:val="002F5473"/>
    <w:rsid w:val="002F54AA"/>
    <w:rsid w:val="002F5561"/>
    <w:rsid w:val="002F56C2"/>
    <w:rsid w:val="002F5774"/>
    <w:rsid w:val="002F57D4"/>
    <w:rsid w:val="002F5809"/>
    <w:rsid w:val="002F58DB"/>
    <w:rsid w:val="002F59CA"/>
    <w:rsid w:val="002F5B53"/>
    <w:rsid w:val="002F5CAD"/>
    <w:rsid w:val="002F5DE5"/>
    <w:rsid w:val="002F5DEE"/>
    <w:rsid w:val="002F5E6A"/>
    <w:rsid w:val="002F5FF3"/>
    <w:rsid w:val="002F6004"/>
    <w:rsid w:val="002F62A2"/>
    <w:rsid w:val="002F6353"/>
    <w:rsid w:val="002F6381"/>
    <w:rsid w:val="002F68A2"/>
    <w:rsid w:val="002F699A"/>
    <w:rsid w:val="002F6B64"/>
    <w:rsid w:val="002F6CA1"/>
    <w:rsid w:val="002F717B"/>
    <w:rsid w:val="002F726E"/>
    <w:rsid w:val="002F7661"/>
    <w:rsid w:val="002F7694"/>
    <w:rsid w:val="002F7746"/>
    <w:rsid w:val="002F7907"/>
    <w:rsid w:val="002F794D"/>
    <w:rsid w:val="002F7A6E"/>
    <w:rsid w:val="002F7C33"/>
    <w:rsid w:val="002F7D8E"/>
    <w:rsid w:val="002F7D96"/>
    <w:rsid w:val="002F7D9C"/>
    <w:rsid w:val="00300292"/>
    <w:rsid w:val="003009CB"/>
    <w:rsid w:val="003009FE"/>
    <w:rsid w:val="00300A0D"/>
    <w:rsid w:val="00300D56"/>
    <w:rsid w:val="003011D4"/>
    <w:rsid w:val="00301785"/>
    <w:rsid w:val="003017B0"/>
    <w:rsid w:val="0030190A"/>
    <w:rsid w:val="00301C20"/>
    <w:rsid w:val="00301E8E"/>
    <w:rsid w:val="00301EAA"/>
    <w:rsid w:val="00302116"/>
    <w:rsid w:val="0030236B"/>
    <w:rsid w:val="00302459"/>
    <w:rsid w:val="0030246C"/>
    <w:rsid w:val="003025C0"/>
    <w:rsid w:val="003028BC"/>
    <w:rsid w:val="00302A26"/>
    <w:rsid w:val="003031BC"/>
    <w:rsid w:val="00303344"/>
    <w:rsid w:val="0030343B"/>
    <w:rsid w:val="0030347D"/>
    <w:rsid w:val="003035B1"/>
    <w:rsid w:val="003036B7"/>
    <w:rsid w:val="003037D9"/>
    <w:rsid w:val="00303828"/>
    <w:rsid w:val="0030388A"/>
    <w:rsid w:val="003039B5"/>
    <w:rsid w:val="00303A2D"/>
    <w:rsid w:val="00303AFA"/>
    <w:rsid w:val="00303CED"/>
    <w:rsid w:val="00303D40"/>
    <w:rsid w:val="00303DEF"/>
    <w:rsid w:val="00303E5D"/>
    <w:rsid w:val="00303ED5"/>
    <w:rsid w:val="00304021"/>
    <w:rsid w:val="003040FD"/>
    <w:rsid w:val="0030426F"/>
    <w:rsid w:val="003043B3"/>
    <w:rsid w:val="0030440A"/>
    <w:rsid w:val="0030466A"/>
    <w:rsid w:val="00304983"/>
    <w:rsid w:val="00304BAE"/>
    <w:rsid w:val="00304D22"/>
    <w:rsid w:val="00304D81"/>
    <w:rsid w:val="00305003"/>
    <w:rsid w:val="00305034"/>
    <w:rsid w:val="00305371"/>
    <w:rsid w:val="00305741"/>
    <w:rsid w:val="00305BCD"/>
    <w:rsid w:val="00305BE6"/>
    <w:rsid w:val="00305D1F"/>
    <w:rsid w:val="00305FF8"/>
    <w:rsid w:val="00306006"/>
    <w:rsid w:val="00306644"/>
    <w:rsid w:val="003068BC"/>
    <w:rsid w:val="00306A55"/>
    <w:rsid w:val="00306A66"/>
    <w:rsid w:val="00306B47"/>
    <w:rsid w:val="00306CF3"/>
    <w:rsid w:val="00306EFE"/>
    <w:rsid w:val="003070A0"/>
    <w:rsid w:val="00307112"/>
    <w:rsid w:val="00307376"/>
    <w:rsid w:val="00307539"/>
    <w:rsid w:val="00307550"/>
    <w:rsid w:val="00307AD3"/>
    <w:rsid w:val="00307B02"/>
    <w:rsid w:val="00307BEE"/>
    <w:rsid w:val="00307E4F"/>
    <w:rsid w:val="00307E53"/>
    <w:rsid w:val="00307F64"/>
    <w:rsid w:val="00307FFE"/>
    <w:rsid w:val="00310070"/>
    <w:rsid w:val="003102F4"/>
    <w:rsid w:val="0031041C"/>
    <w:rsid w:val="003106F1"/>
    <w:rsid w:val="0031075B"/>
    <w:rsid w:val="00310948"/>
    <w:rsid w:val="00310961"/>
    <w:rsid w:val="00310AEB"/>
    <w:rsid w:val="00310BDC"/>
    <w:rsid w:val="00310C07"/>
    <w:rsid w:val="00310DDE"/>
    <w:rsid w:val="00310E5E"/>
    <w:rsid w:val="00310E66"/>
    <w:rsid w:val="00310EFD"/>
    <w:rsid w:val="00311013"/>
    <w:rsid w:val="00311078"/>
    <w:rsid w:val="003110AF"/>
    <w:rsid w:val="003110C6"/>
    <w:rsid w:val="0031112F"/>
    <w:rsid w:val="0031121A"/>
    <w:rsid w:val="003112B1"/>
    <w:rsid w:val="00311422"/>
    <w:rsid w:val="0031149D"/>
    <w:rsid w:val="0031164E"/>
    <w:rsid w:val="00311686"/>
    <w:rsid w:val="003116D4"/>
    <w:rsid w:val="00311799"/>
    <w:rsid w:val="0031190C"/>
    <w:rsid w:val="00311994"/>
    <w:rsid w:val="00311D5A"/>
    <w:rsid w:val="00311D69"/>
    <w:rsid w:val="00312178"/>
    <w:rsid w:val="003121D5"/>
    <w:rsid w:val="003122D2"/>
    <w:rsid w:val="00312672"/>
    <w:rsid w:val="0031270F"/>
    <w:rsid w:val="00312898"/>
    <w:rsid w:val="003129ED"/>
    <w:rsid w:val="00312FF4"/>
    <w:rsid w:val="003130ED"/>
    <w:rsid w:val="003131B0"/>
    <w:rsid w:val="003132DC"/>
    <w:rsid w:val="00313705"/>
    <w:rsid w:val="00313710"/>
    <w:rsid w:val="003139C0"/>
    <w:rsid w:val="00313A5A"/>
    <w:rsid w:val="00313C43"/>
    <w:rsid w:val="00313D4B"/>
    <w:rsid w:val="00313D74"/>
    <w:rsid w:val="00313E2C"/>
    <w:rsid w:val="00313E75"/>
    <w:rsid w:val="00313ED1"/>
    <w:rsid w:val="00313F45"/>
    <w:rsid w:val="00313F5E"/>
    <w:rsid w:val="00313FE9"/>
    <w:rsid w:val="003143DC"/>
    <w:rsid w:val="003144D1"/>
    <w:rsid w:val="003147AD"/>
    <w:rsid w:val="00314842"/>
    <w:rsid w:val="003149C7"/>
    <w:rsid w:val="003149E8"/>
    <w:rsid w:val="00314C0A"/>
    <w:rsid w:val="00314CD7"/>
    <w:rsid w:val="00314E2B"/>
    <w:rsid w:val="00314F9D"/>
    <w:rsid w:val="00315062"/>
    <w:rsid w:val="003150A1"/>
    <w:rsid w:val="0031516F"/>
    <w:rsid w:val="00315204"/>
    <w:rsid w:val="00315556"/>
    <w:rsid w:val="0031558C"/>
    <w:rsid w:val="0031573C"/>
    <w:rsid w:val="003157D7"/>
    <w:rsid w:val="00315A49"/>
    <w:rsid w:val="00315D1D"/>
    <w:rsid w:val="00315E97"/>
    <w:rsid w:val="00315F66"/>
    <w:rsid w:val="00315FF1"/>
    <w:rsid w:val="003163B3"/>
    <w:rsid w:val="00316567"/>
    <w:rsid w:val="003165D2"/>
    <w:rsid w:val="00316817"/>
    <w:rsid w:val="0031686F"/>
    <w:rsid w:val="00316C7B"/>
    <w:rsid w:val="00316F8C"/>
    <w:rsid w:val="0031745B"/>
    <w:rsid w:val="0031758B"/>
    <w:rsid w:val="00317642"/>
    <w:rsid w:val="00317650"/>
    <w:rsid w:val="003178D1"/>
    <w:rsid w:val="00317937"/>
    <w:rsid w:val="00317946"/>
    <w:rsid w:val="00317971"/>
    <w:rsid w:val="00317D2E"/>
    <w:rsid w:val="00320022"/>
    <w:rsid w:val="00320460"/>
    <w:rsid w:val="00320572"/>
    <w:rsid w:val="00320665"/>
    <w:rsid w:val="00320872"/>
    <w:rsid w:val="003208C1"/>
    <w:rsid w:val="00320986"/>
    <w:rsid w:val="00320C7F"/>
    <w:rsid w:val="00320DC6"/>
    <w:rsid w:val="00320F88"/>
    <w:rsid w:val="0032113F"/>
    <w:rsid w:val="00321279"/>
    <w:rsid w:val="00321340"/>
    <w:rsid w:val="003218FA"/>
    <w:rsid w:val="00321C02"/>
    <w:rsid w:val="00321DA2"/>
    <w:rsid w:val="00321E11"/>
    <w:rsid w:val="00321FE4"/>
    <w:rsid w:val="0032216D"/>
    <w:rsid w:val="00322232"/>
    <w:rsid w:val="0032260F"/>
    <w:rsid w:val="00322804"/>
    <w:rsid w:val="0032284C"/>
    <w:rsid w:val="003229D9"/>
    <w:rsid w:val="0032300B"/>
    <w:rsid w:val="003230D4"/>
    <w:rsid w:val="003231E8"/>
    <w:rsid w:val="00323BF2"/>
    <w:rsid w:val="00323D06"/>
    <w:rsid w:val="003240BB"/>
    <w:rsid w:val="0032445B"/>
    <w:rsid w:val="00324484"/>
    <w:rsid w:val="003245B9"/>
    <w:rsid w:val="003247B0"/>
    <w:rsid w:val="00324921"/>
    <w:rsid w:val="00324CD1"/>
    <w:rsid w:val="00324D8E"/>
    <w:rsid w:val="00324F3B"/>
    <w:rsid w:val="00324FEB"/>
    <w:rsid w:val="003251E9"/>
    <w:rsid w:val="003252FA"/>
    <w:rsid w:val="003256AD"/>
    <w:rsid w:val="003256B0"/>
    <w:rsid w:val="003256DE"/>
    <w:rsid w:val="00325770"/>
    <w:rsid w:val="00325782"/>
    <w:rsid w:val="00325984"/>
    <w:rsid w:val="0032598C"/>
    <w:rsid w:val="003259EB"/>
    <w:rsid w:val="00325CDC"/>
    <w:rsid w:val="00326034"/>
    <w:rsid w:val="0032619E"/>
    <w:rsid w:val="003261B6"/>
    <w:rsid w:val="0032629B"/>
    <w:rsid w:val="003262CA"/>
    <w:rsid w:val="003262DC"/>
    <w:rsid w:val="003263DB"/>
    <w:rsid w:val="003266C4"/>
    <w:rsid w:val="00326878"/>
    <w:rsid w:val="0032693F"/>
    <w:rsid w:val="00326D02"/>
    <w:rsid w:val="00327086"/>
    <w:rsid w:val="003270B0"/>
    <w:rsid w:val="00327230"/>
    <w:rsid w:val="0032731F"/>
    <w:rsid w:val="003273ED"/>
    <w:rsid w:val="003274D9"/>
    <w:rsid w:val="003276C2"/>
    <w:rsid w:val="00327746"/>
    <w:rsid w:val="00327875"/>
    <w:rsid w:val="00327CAE"/>
    <w:rsid w:val="00327D2C"/>
    <w:rsid w:val="00327D6C"/>
    <w:rsid w:val="00327EAA"/>
    <w:rsid w:val="00327FA6"/>
    <w:rsid w:val="00330031"/>
    <w:rsid w:val="0033010E"/>
    <w:rsid w:val="0033019D"/>
    <w:rsid w:val="00330443"/>
    <w:rsid w:val="00330536"/>
    <w:rsid w:val="00330591"/>
    <w:rsid w:val="003305FB"/>
    <w:rsid w:val="0033081C"/>
    <w:rsid w:val="0033082C"/>
    <w:rsid w:val="003308BD"/>
    <w:rsid w:val="0033094F"/>
    <w:rsid w:val="00330BCC"/>
    <w:rsid w:val="00330CD5"/>
    <w:rsid w:val="00330D91"/>
    <w:rsid w:val="00330EF0"/>
    <w:rsid w:val="00330F20"/>
    <w:rsid w:val="00330F96"/>
    <w:rsid w:val="00330FC0"/>
    <w:rsid w:val="00331330"/>
    <w:rsid w:val="00331711"/>
    <w:rsid w:val="003317C8"/>
    <w:rsid w:val="003318F9"/>
    <w:rsid w:val="003319DF"/>
    <w:rsid w:val="00331A22"/>
    <w:rsid w:val="00331ACF"/>
    <w:rsid w:val="00331E08"/>
    <w:rsid w:val="00331F36"/>
    <w:rsid w:val="00331FB6"/>
    <w:rsid w:val="003320A2"/>
    <w:rsid w:val="003321FD"/>
    <w:rsid w:val="003324E9"/>
    <w:rsid w:val="003325CD"/>
    <w:rsid w:val="00332859"/>
    <w:rsid w:val="00332954"/>
    <w:rsid w:val="003329B2"/>
    <w:rsid w:val="00332A30"/>
    <w:rsid w:val="00332ACF"/>
    <w:rsid w:val="00332D3C"/>
    <w:rsid w:val="00332DE2"/>
    <w:rsid w:val="00332E85"/>
    <w:rsid w:val="00332E86"/>
    <w:rsid w:val="0033304F"/>
    <w:rsid w:val="00333099"/>
    <w:rsid w:val="00333166"/>
    <w:rsid w:val="003332AA"/>
    <w:rsid w:val="00333356"/>
    <w:rsid w:val="00333393"/>
    <w:rsid w:val="003333D4"/>
    <w:rsid w:val="003334E9"/>
    <w:rsid w:val="00333938"/>
    <w:rsid w:val="0033397A"/>
    <w:rsid w:val="00333AFC"/>
    <w:rsid w:val="00333C85"/>
    <w:rsid w:val="0033411B"/>
    <w:rsid w:val="003349F1"/>
    <w:rsid w:val="00334AE3"/>
    <w:rsid w:val="00334BC1"/>
    <w:rsid w:val="00334D6C"/>
    <w:rsid w:val="00334E57"/>
    <w:rsid w:val="00334FE4"/>
    <w:rsid w:val="003352F8"/>
    <w:rsid w:val="00335519"/>
    <w:rsid w:val="003355A4"/>
    <w:rsid w:val="0033580C"/>
    <w:rsid w:val="00335A20"/>
    <w:rsid w:val="00335F7B"/>
    <w:rsid w:val="00335F8F"/>
    <w:rsid w:val="00336522"/>
    <w:rsid w:val="00336846"/>
    <w:rsid w:val="0033689C"/>
    <w:rsid w:val="003368C0"/>
    <w:rsid w:val="00336A34"/>
    <w:rsid w:val="00336CA1"/>
    <w:rsid w:val="00336DC2"/>
    <w:rsid w:val="00336DF6"/>
    <w:rsid w:val="00337143"/>
    <w:rsid w:val="003371B5"/>
    <w:rsid w:val="003371EB"/>
    <w:rsid w:val="0033721D"/>
    <w:rsid w:val="00337246"/>
    <w:rsid w:val="003375E2"/>
    <w:rsid w:val="00337647"/>
    <w:rsid w:val="00337760"/>
    <w:rsid w:val="003378F7"/>
    <w:rsid w:val="00337A7C"/>
    <w:rsid w:val="00337B70"/>
    <w:rsid w:val="00337BD1"/>
    <w:rsid w:val="00337BF7"/>
    <w:rsid w:val="00337C14"/>
    <w:rsid w:val="00340220"/>
    <w:rsid w:val="00340289"/>
    <w:rsid w:val="0034079D"/>
    <w:rsid w:val="003408E7"/>
    <w:rsid w:val="00340B50"/>
    <w:rsid w:val="00340D39"/>
    <w:rsid w:val="0034124A"/>
    <w:rsid w:val="003414C7"/>
    <w:rsid w:val="00341735"/>
    <w:rsid w:val="0034178A"/>
    <w:rsid w:val="00341898"/>
    <w:rsid w:val="003418B1"/>
    <w:rsid w:val="00341A2C"/>
    <w:rsid w:val="00341E82"/>
    <w:rsid w:val="00342256"/>
    <w:rsid w:val="00342744"/>
    <w:rsid w:val="00342824"/>
    <w:rsid w:val="003429FB"/>
    <w:rsid w:val="00342C9C"/>
    <w:rsid w:val="00342CF3"/>
    <w:rsid w:val="00342F02"/>
    <w:rsid w:val="00342F4F"/>
    <w:rsid w:val="003432D4"/>
    <w:rsid w:val="00343378"/>
    <w:rsid w:val="003434D8"/>
    <w:rsid w:val="003436FE"/>
    <w:rsid w:val="003437E3"/>
    <w:rsid w:val="00343BBC"/>
    <w:rsid w:val="00343D65"/>
    <w:rsid w:val="0034408B"/>
    <w:rsid w:val="003440E3"/>
    <w:rsid w:val="003440F4"/>
    <w:rsid w:val="00344190"/>
    <w:rsid w:val="0034446D"/>
    <w:rsid w:val="00344681"/>
    <w:rsid w:val="003448AC"/>
    <w:rsid w:val="00344DB1"/>
    <w:rsid w:val="00344DDB"/>
    <w:rsid w:val="00344E13"/>
    <w:rsid w:val="00344E59"/>
    <w:rsid w:val="00345070"/>
    <w:rsid w:val="0034540B"/>
    <w:rsid w:val="003455FF"/>
    <w:rsid w:val="003456AE"/>
    <w:rsid w:val="00345902"/>
    <w:rsid w:val="003459E1"/>
    <w:rsid w:val="00345C47"/>
    <w:rsid w:val="00345E39"/>
    <w:rsid w:val="00346030"/>
    <w:rsid w:val="00346045"/>
    <w:rsid w:val="003461FE"/>
    <w:rsid w:val="003463AB"/>
    <w:rsid w:val="003464C4"/>
    <w:rsid w:val="003465C7"/>
    <w:rsid w:val="0034667D"/>
    <w:rsid w:val="003466B5"/>
    <w:rsid w:val="00346791"/>
    <w:rsid w:val="00346977"/>
    <w:rsid w:val="00346ED3"/>
    <w:rsid w:val="00347040"/>
    <w:rsid w:val="003473CC"/>
    <w:rsid w:val="00347894"/>
    <w:rsid w:val="00347D12"/>
    <w:rsid w:val="00347F7D"/>
    <w:rsid w:val="0035002F"/>
    <w:rsid w:val="003500BB"/>
    <w:rsid w:val="003500BD"/>
    <w:rsid w:val="00350174"/>
    <w:rsid w:val="003507FF"/>
    <w:rsid w:val="00350912"/>
    <w:rsid w:val="00350A34"/>
    <w:rsid w:val="00350AA5"/>
    <w:rsid w:val="00350E5B"/>
    <w:rsid w:val="00350EF4"/>
    <w:rsid w:val="00350F29"/>
    <w:rsid w:val="0035111F"/>
    <w:rsid w:val="00351473"/>
    <w:rsid w:val="003515BB"/>
    <w:rsid w:val="003516C3"/>
    <w:rsid w:val="0035170E"/>
    <w:rsid w:val="00351773"/>
    <w:rsid w:val="00351B6D"/>
    <w:rsid w:val="00351CDA"/>
    <w:rsid w:val="00351D1F"/>
    <w:rsid w:val="0035206D"/>
    <w:rsid w:val="00352358"/>
    <w:rsid w:val="003523B7"/>
    <w:rsid w:val="003524F0"/>
    <w:rsid w:val="003525DD"/>
    <w:rsid w:val="00352681"/>
    <w:rsid w:val="003526D4"/>
    <w:rsid w:val="00352801"/>
    <w:rsid w:val="0035285C"/>
    <w:rsid w:val="00352A75"/>
    <w:rsid w:val="00352ABA"/>
    <w:rsid w:val="00352B28"/>
    <w:rsid w:val="00352D8D"/>
    <w:rsid w:val="00352E9E"/>
    <w:rsid w:val="0035300E"/>
    <w:rsid w:val="00353169"/>
    <w:rsid w:val="00353364"/>
    <w:rsid w:val="003533AF"/>
    <w:rsid w:val="003533EB"/>
    <w:rsid w:val="00353437"/>
    <w:rsid w:val="00353555"/>
    <w:rsid w:val="003536A9"/>
    <w:rsid w:val="003538F8"/>
    <w:rsid w:val="00353B1C"/>
    <w:rsid w:val="00353C86"/>
    <w:rsid w:val="00354359"/>
    <w:rsid w:val="003543C7"/>
    <w:rsid w:val="003544C1"/>
    <w:rsid w:val="00354722"/>
    <w:rsid w:val="00354763"/>
    <w:rsid w:val="00354891"/>
    <w:rsid w:val="00354BD2"/>
    <w:rsid w:val="00354E28"/>
    <w:rsid w:val="003550A2"/>
    <w:rsid w:val="003555DE"/>
    <w:rsid w:val="00355647"/>
    <w:rsid w:val="003557D3"/>
    <w:rsid w:val="0035581B"/>
    <w:rsid w:val="003559E6"/>
    <w:rsid w:val="00355C3A"/>
    <w:rsid w:val="00355D31"/>
    <w:rsid w:val="00355D54"/>
    <w:rsid w:val="003562E4"/>
    <w:rsid w:val="003563D5"/>
    <w:rsid w:val="00356426"/>
    <w:rsid w:val="0035661C"/>
    <w:rsid w:val="003566E7"/>
    <w:rsid w:val="0035683F"/>
    <w:rsid w:val="0035699C"/>
    <w:rsid w:val="003569AB"/>
    <w:rsid w:val="00356CB6"/>
    <w:rsid w:val="00356D15"/>
    <w:rsid w:val="00356D39"/>
    <w:rsid w:val="00356F79"/>
    <w:rsid w:val="003570BB"/>
    <w:rsid w:val="003573BF"/>
    <w:rsid w:val="003575FF"/>
    <w:rsid w:val="00357CA1"/>
    <w:rsid w:val="00357CBE"/>
    <w:rsid w:val="00360169"/>
    <w:rsid w:val="00360395"/>
    <w:rsid w:val="003603B8"/>
    <w:rsid w:val="003604E9"/>
    <w:rsid w:val="00360504"/>
    <w:rsid w:val="003605E4"/>
    <w:rsid w:val="003607A6"/>
    <w:rsid w:val="003608D3"/>
    <w:rsid w:val="003609B6"/>
    <w:rsid w:val="00360F53"/>
    <w:rsid w:val="00360FCB"/>
    <w:rsid w:val="00361523"/>
    <w:rsid w:val="003616C2"/>
    <w:rsid w:val="00361777"/>
    <w:rsid w:val="00361925"/>
    <w:rsid w:val="003619C3"/>
    <w:rsid w:val="00361C1F"/>
    <w:rsid w:val="00361EF3"/>
    <w:rsid w:val="00362041"/>
    <w:rsid w:val="0036220D"/>
    <w:rsid w:val="00362340"/>
    <w:rsid w:val="00362395"/>
    <w:rsid w:val="003624CD"/>
    <w:rsid w:val="0036257D"/>
    <w:rsid w:val="00362738"/>
    <w:rsid w:val="00362A44"/>
    <w:rsid w:val="00362A60"/>
    <w:rsid w:val="00362B3D"/>
    <w:rsid w:val="00362B69"/>
    <w:rsid w:val="00362E8F"/>
    <w:rsid w:val="00362F03"/>
    <w:rsid w:val="00362FBF"/>
    <w:rsid w:val="0036305C"/>
    <w:rsid w:val="003631FB"/>
    <w:rsid w:val="00363201"/>
    <w:rsid w:val="00363375"/>
    <w:rsid w:val="00363444"/>
    <w:rsid w:val="00363558"/>
    <w:rsid w:val="003635BC"/>
    <w:rsid w:val="00363781"/>
    <w:rsid w:val="003638AF"/>
    <w:rsid w:val="0036391C"/>
    <w:rsid w:val="00363C09"/>
    <w:rsid w:val="00363E11"/>
    <w:rsid w:val="00363E22"/>
    <w:rsid w:val="003640A3"/>
    <w:rsid w:val="0036423C"/>
    <w:rsid w:val="003643CA"/>
    <w:rsid w:val="0036441A"/>
    <w:rsid w:val="0036448B"/>
    <w:rsid w:val="00364529"/>
    <w:rsid w:val="0036453A"/>
    <w:rsid w:val="003649C6"/>
    <w:rsid w:val="0036526D"/>
    <w:rsid w:val="0036579A"/>
    <w:rsid w:val="0036588E"/>
    <w:rsid w:val="003658F1"/>
    <w:rsid w:val="00365A7A"/>
    <w:rsid w:val="00365C88"/>
    <w:rsid w:val="00365D6A"/>
    <w:rsid w:val="00365DEB"/>
    <w:rsid w:val="00365FD2"/>
    <w:rsid w:val="00366016"/>
    <w:rsid w:val="00366308"/>
    <w:rsid w:val="00366320"/>
    <w:rsid w:val="00366455"/>
    <w:rsid w:val="003664F7"/>
    <w:rsid w:val="0036653C"/>
    <w:rsid w:val="003665B5"/>
    <w:rsid w:val="00366924"/>
    <w:rsid w:val="003669EE"/>
    <w:rsid w:val="00366A21"/>
    <w:rsid w:val="00366BE2"/>
    <w:rsid w:val="00366C1D"/>
    <w:rsid w:val="00366D20"/>
    <w:rsid w:val="00366E91"/>
    <w:rsid w:val="00366F0F"/>
    <w:rsid w:val="00367037"/>
    <w:rsid w:val="00367127"/>
    <w:rsid w:val="003671A6"/>
    <w:rsid w:val="003671BC"/>
    <w:rsid w:val="00367866"/>
    <w:rsid w:val="0036792F"/>
    <w:rsid w:val="00367A19"/>
    <w:rsid w:val="00367A63"/>
    <w:rsid w:val="00370176"/>
    <w:rsid w:val="00370378"/>
    <w:rsid w:val="0037046F"/>
    <w:rsid w:val="003704AF"/>
    <w:rsid w:val="003707D6"/>
    <w:rsid w:val="003707EA"/>
    <w:rsid w:val="00370986"/>
    <w:rsid w:val="00370ADB"/>
    <w:rsid w:val="00370E22"/>
    <w:rsid w:val="00370E37"/>
    <w:rsid w:val="00370EAE"/>
    <w:rsid w:val="0037105E"/>
    <w:rsid w:val="00371237"/>
    <w:rsid w:val="003714BD"/>
    <w:rsid w:val="00371714"/>
    <w:rsid w:val="003717EA"/>
    <w:rsid w:val="00371A44"/>
    <w:rsid w:val="00371ABC"/>
    <w:rsid w:val="00371AFA"/>
    <w:rsid w:val="00371C00"/>
    <w:rsid w:val="00371C09"/>
    <w:rsid w:val="00371FCB"/>
    <w:rsid w:val="00372199"/>
    <w:rsid w:val="003721D8"/>
    <w:rsid w:val="00372266"/>
    <w:rsid w:val="003722D8"/>
    <w:rsid w:val="0037230A"/>
    <w:rsid w:val="00372580"/>
    <w:rsid w:val="003725CA"/>
    <w:rsid w:val="003725EF"/>
    <w:rsid w:val="00372610"/>
    <w:rsid w:val="00372753"/>
    <w:rsid w:val="00372801"/>
    <w:rsid w:val="0037292F"/>
    <w:rsid w:val="00372B32"/>
    <w:rsid w:val="00372CFC"/>
    <w:rsid w:val="00372EB6"/>
    <w:rsid w:val="00372F46"/>
    <w:rsid w:val="00372F52"/>
    <w:rsid w:val="00372FC7"/>
    <w:rsid w:val="0037323F"/>
    <w:rsid w:val="00373417"/>
    <w:rsid w:val="00373964"/>
    <w:rsid w:val="00373CA1"/>
    <w:rsid w:val="00373E04"/>
    <w:rsid w:val="00373EBC"/>
    <w:rsid w:val="00373F40"/>
    <w:rsid w:val="00374084"/>
    <w:rsid w:val="00374137"/>
    <w:rsid w:val="003741CA"/>
    <w:rsid w:val="0037443E"/>
    <w:rsid w:val="003746DA"/>
    <w:rsid w:val="003747BC"/>
    <w:rsid w:val="00374C16"/>
    <w:rsid w:val="00374C49"/>
    <w:rsid w:val="00374E00"/>
    <w:rsid w:val="00374EC8"/>
    <w:rsid w:val="00374F17"/>
    <w:rsid w:val="0037512F"/>
    <w:rsid w:val="0037525E"/>
    <w:rsid w:val="003752F8"/>
    <w:rsid w:val="00375524"/>
    <w:rsid w:val="003756AA"/>
    <w:rsid w:val="00375D4B"/>
    <w:rsid w:val="00375EC8"/>
    <w:rsid w:val="00376163"/>
    <w:rsid w:val="003762A0"/>
    <w:rsid w:val="00376346"/>
    <w:rsid w:val="003767A2"/>
    <w:rsid w:val="003767AB"/>
    <w:rsid w:val="00376A76"/>
    <w:rsid w:val="00376C13"/>
    <w:rsid w:val="00376D53"/>
    <w:rsid w:val="00376FDC"/>
    <w:rsid w:val="00377260"/>
    <w:rsid w:val="00377304"/>
    <w:rsid w:val="003775F8"/>
    <w:rsid w:val="0037766E"/>
    <w:rsid w:val="0037773C"/>
    <w:rsid w:val="0037786D"/>
    <w:rsid w:val="00377C03"/>
    <w:rsid w:val="00377D02"/>
    <w:rsid w:val="0038010F"/>
    <w:rsid w:val="0038020D"/>
    <w:rsid w:val="0038025F"/>
    <w:rsid w:val="0038026C"/>
    <w:rsid w:val="0038087E"/>
    <w:rsid w:val="00380B42"/>
    <w:rsid w:val="00380D84"/>
    <w:rsid w:val="00380D8F"/>
    <w:rsid w:val="00380E7B"/>
    <w:rsid w:val="00380EA3"/>
    <w:rsid w:val="00380F92"/>
    <w:rsid w:val="00381032"/>
    <w:rsid w:val="003813BD"/>
    <w:rsid w:val="003814F0"/>
    <w:rsid w:val="003815A8"/>
    <w:rsid w:val="0038161C"/>
    <w:rsid w:val="003819CE"/>
    <w:rsid w:val="00381BD6"/>
    <w:rsid w:val="00381DB5"/>
    <w:rsid w:val="00381EFC"/>
    <w:rsid w:val="00381F5E"/>
    <w:rsid w:val="00382292"/>
    <w:rsid w:val="00382433"/>
    <w:rsid w:val="00382436"/>
    <w:rsid w:val="00382721"/>
    <w:rsid w:val="0038291A"/>
    <w:rsid w:val="00382B8D"/>
    <w:rsid w:val="00382C69"/>
    <w:rsid w:val="00382D9C"/>
    <w:rsid w:val="00382F80"/>
    <w:rsid w:val="003831B7"/>
    <w:rsid w:val="0038339A"/>
    <w:rsid w:val="003834F2"/>
    <w:rsid w:val="0038355E"/>
    <w:rsid w:val="003835C7"/>
    <w:rsid w:val="00383812"/>
    <w:rsid w:val="0038392E"/>
    <w:rsid w:val="0038396E"/>
    <w:rsid w:val="00383B26"/>
    <w:rsid w:val="00383BC8"/>
    <w:rsid w:val="00383E01"/>
    <w:rsid w:val="00383EBC"/>
    <w:rsid w:val="00383ED8"/>
    <w:rsid w:val="00383F08"/>
    <w:rsid w:val="00383FB1"/>
    <w:rsid w:val="00383FCF"/>
    <w:rsid w:val="003843CF"/>
    <w:rsid w:val="00384752"/>
    <w:rsid w:val="00384AE9"/>
    <w:rsid w:val="00384C00"/>
    <w:rsid w:val="00385051"/>
    <w:rsid w:val="0038532E"/>
    <w:rsid w:val="0038554D"/>
    <w:rsid w:val="00385550"/>
    <w:rsid w:val="0038565A"/>
    <w:rsid w:val="00385684"/>
    <w:rsid w:val="003858D2"/>
    <w:rsid w:val="003862C8"/>
    <w:rsid w:val="00386518"/>
    <w:rsid w:val="0038683F"/>
    <w:rsid w:val="00386989"/>
    <w:rsid w:val="003869A2"/>
    <w:rsid w:val="003869E2"/>
    <w:rsid w:val="003869F6"/>
    <w:rsid w:val="00386BC9"/>
    <w:rsid w:val="00386C30"/>
    <w:rsid w:val="00386CDC"/>
    <w:rsid w:val="00386D49"/>
    <w:rsid w:val="00386D8D"/>
    <w:rsid w:val="0038712C"/>
    <w:rsid w:val="00387334"/>
    <w:rsid w:val="00387693"/>
    <w:rsid w:val="0038773A"/>
    <w:rsid w:val="003877B0"/>
    <w:rsid w:val="003878D9"/>
    <w:rsid w:val="00387D83"/>
    <w:rsid w:val="00387F22"/>
    <w:rsid w:val="0039026F"/>
    <w:rsid w:val="003902D4"/>
    <w:rsid w:val="00390564"/>
    <w:rsid w:val="003905F2"/>
    <w:rsid w:val="003905F7"/>
    <w:rsid w:val="00390658"/>
    <w:rsid w:val="0039069D"/>
    <w:rsid w:val="00390715"/>
    <w:rsid w:val="00390777"/>
    <w:rsid w:val="0039095B"/>
    <w:rsid w:val="00390A92"/>
    <w:rsid w:val="00390AB0"/>
    <w:rsid w:val="00390C42"/>
    <w:rsid w:val="00390E1C"/>
    <w:rsid w:val="00390FD8"/>
    <w:rsid w:val="00390FF2"/>
    <w:rsid w:val="0039106E"/>
    <w:rsid w:val="00391422"/>
    <w:rsid w:val="0039170F"/>
    <w:rsid w:val="00391768"/>
    <w:rsid w:val="003917EF"/>
    <w:rsid w:val="003919E2"/>
    <w:rsid w:val="00391C68"/>
    <w:rsid w:val="00391D58"/>
    <w:rsid w:val="00391DDB"/>
    <w:rsid w:val="00391F20"/>
    <w:rsid w:val="00391F95"/>
    <w:rsid w:val="00391FFB"/>
    <w:rsid w:val="003921DE"/>
    <w:rsid w:val="003922B7"/>
    <w:rsid w:val="003925B2"/>
    <w:rsid w:val="00392623"/>
    <w:rsid w:val="00392626"/>
    <w:rsid w:val="0039295B"/>
    <w:rsid w:val="00392ADD"/>
    <w:rsid w:val="00392BFC"/>
    <w:rsid w:val="00392EBB"/>
    <w:rsid w:val="00392F40"/>
    <w:rsid w:val="0039328C"/>
    <w:rsid w:val="00393612"/>
    <w:rsid w:val="00393991"/>
    <w:rsid w:val="00393A7B"/>
    <w:rsid w:val="00393D53"/>
    <w:rsid w:val="00393DB1"/>
    <w:rsid w:val="00393E3D"/>
    <w:rsid w:val="00393EFC"/>
    <w:rsid w:val="00393F02"/>
    <w:rsid w:val="00394041"/>
    <w:rsid w:val="0039405F"/>
    <w:rsid w:val="003941A9"/>
    <w:rsid w:val="0039439A"/>
    <w:rsid w:val="00394519"/>
    <w:rsid w:val="00394954"/>
    <w:rsid w:val="00394AD6"/>
    <w:rsid w:val="00394AD9"/>
    <w:rsid w:val="00394CD8"/>
    <w:rsid w:val="00394D4F"/>
    <w:rsid w:val="00394D69"/>
    <w:rsid w:val="00394D70"/>
    <w:rsid w:val="00394ED5"/>
    <w:rsid w:val="0039500B"/>
    <w:rsid w:val="003952C3"/>
    <w:rsid w:val="003953B1"/>
    <w:rsid w:val="0039545F"/>
    <w:rsid w:val="00395918"/>
    <w:rsid w:val="00395925"/>
    <w:rsid w:val="00395AF5"/>
    <w:rsid w:val="00395B4F"/>
    <w:rsid w:val="00395C9E"/>
    <w:rsid w:val="00395D2A"/>
    <w:rsid w:val="00395DB3"/>
    <w:rsid w:val="00395E94"/>
    <w:rsid w:val="00395FA7"/>
    <w:rsid w:val="00396381"/>
    <w:rsid w:val="003963D2"/>
    <w:rsid w:val="00396455"/>
    <w:rsid w:val="00396462"/>
    <w:rsid w:val="003964E1"/>
    <w:rsid w:val="00396A5C"/>
    <w:rsid w:val="00396A72"/>
    <w:rsid w:val="00396B41"/>
    <w:rsid w:val="00396CBB"/>
    <w:rsid w:val="00396E16"/>
    <w:rsid w:val="00396E2B"/>
    <w:rsid w:val="00396FBA"/>
    <w:rsid w:val="0039708A"/>
    <w:rsid w:val="003972F0"/>
    <w:rsid w:val="003973BD"/>
    <w:rsid w:val="00397558"/>
    <w:rsid w:val="00397593"/>
    <w:rsid w:val="00397706"/>
    <w:rsid w:val="003978F7"/>
    <w:rsid w:val="003979B7"/>
    <w:rsid w:val="00397A45"/>
    <w:rsid w:val="00397ACC"/>
    <w:rsid w:val="00397B2E"/>
    <w:rsid w:val="00397B32"/>
    <w:rsid w:val="00397D34"/>
    <w:rsid w:val="003A0236"/>
    <w:rsid w:val="003A06A6"/>
    <w:rsid w:val="003A084E"/>
    <w:rsid w:val="003A0857"/>
    <w:rsid w:val="003A08A2"/>
    <w:rsid w:val="003A09BF"/>
    <w:rsid w:val="003A0A2C"/>
    <w:rsid w:val="003A0AA4"/>
    <w:rsid w:val="003A0DF4"/>
    <w:rsid w:val="003A109A"/>
    <w:rsid w:val="003A10A4"/>
    <w:rsid w:val="003A10D0"/>
    <w:rsid w:val="003A122E"/>
    <w:rsid w:val="003A15F4"/>
    <w:rsid w:val="003A169F"/>
    <w:rsid w:val="003A16BF"/>
    <w:rsid w:val="003A1750"/>
    <w:rsid w:val="003A17AD"/>
    <w:rsid w:val="003A1AEC"/>
    <w:rsid w:val="003A1E60"/>
    <w:rsid w:val="003A205B"/>
    <w:rsid w:val="003A2135"/>
    <w:rsid w:val="003A2495"/>
    <w:rsid w:val="003A24E1"/>
    <w:rsid w:val="003A27CD"/>
    <w:rsid w:val="003A2894"/>
    <w:rsid w:val="003A2A08"/>
    <w:rsid w:val="003A2BD6"/>
    <w:rsid w:val="003A2D2B"/>
    <w:rsid w:val="003A2F09"/>
    <w:rsid w:val="003A2FBF"/>
    <w:rsid w:val="003A3019"/>
    <w:rsid w:val="003A3111"/>
    <w:rsid w:val="003A31E5"/>
    <w:rsid w:val="003A3225"/>
    <w:rsid w:val="003A327E"/>
    <w:rsid w:val="003A3331"/>
    <w:rsid w:val="003A3683"/>
    <w:rsid w:val="003A3A3A"/>
    <w:rsid w:val="003A3C1B"/>
    <w:rsid w:val="003A3CFC"/>
    <w:rsid w:val="003A3E6D"/>
    <w:rsid w:val="003A451F"/>
    <w:rsid w:val="003A4691"/>
    <w:rsid w:val="003A4B20"/>
    <w:rsid w:val="003A4E51"/>
    <w:rsid w:val="003A507C"/>
    <w:rsid w:val="003A50A3"/>
    <w:rsid w:val="003A5138"/>
    <w:rsid w:val="003A52EC"/>
    <w:rsid w:val="003A533B"/>
    <w:rsid w:val="003A5423"/>
    <w:rsid w:val="003A56F1"/>
    <w:rsid w:val="003A5727"/>
    <w:rsid w:val="003A5762"/>
    <w:rsid w:val="003A58F1"/>
    <w:rsid w:val="003A5AA2"/>
    <w:rsid w:val="003A5B78"/>
    <w:rsid w:val="003A5BFE"/>
    <w:rsid w:val="003A5FF0"/>
    <w:rsid w:val="003A6133"/>
    <w:rsid w:val="003A65A8"/>
    <w:rsid w:val="003A6640"/>
    <w:rsid w:val="003A6957"/>
    <w:rsid w:val="003A6C92"/>
    <w:rsid w:val="003A6CC4"/>
    <w:rsid w:val="003A6E61"/>
    <w:rsid w:val="003A6E6D"/>
    <w:rsid w:val="003A6E9F"/>
    <w:rsid w:val="003A6FE3"/>
    <w:rsid w:val="003A71AB"/>
    <w:rsid w:val="003A72EC"/>
    <w:rsid w:val="003A7305"/>
    <w:rsid w:val="003A739C"/>
    <w:rsid w:val="003A73BE"/>
    <w:rsid w:val="003A74EB"/>
    <w:rsid w:val="003A75BC"/>
    <w:rsid w:val="003A7B47"/>
    <w:rsid w:val="003A7B5F"/>
    <w:rsid w:val="003A7BEF"/>
    <w:rsid w:val="003A7CF7"/>
    <w:rsid w:val="003A7F5A"/>
    <w:rsid w:val="003B0287"/>
    <w:rsid w:val="003B0494"/>
    <w:rsid w:val="003B06B2"/>
    <w:rsid w:val="003B07B0"/>
    <w:rsid w:val="003B0847"/>
    <w:rsid w:val="003B08EB"/>
    <w:rsid w:val="003B09FD"/>
    <w:rsid w:val="003B0BB5"/>
    <w:rsid w:val="003B0CAC"/>
    <w:rsid w:val="003B0ED4"/>
    <w:rsid w:val="003B0F31"/>
    <w:rsid w:val="003B0F49"/>
    <w:rsid w:val="003B0F99"/>
    <w:rsid w:val="003B1079"/>
    <w:rsid w:val="003B1227"/>
    <w:rsid w:val="003B1235"/>
    <w:rsid w:val="003B1288"/>
    <w:rsid w:val="003B12E2"/>
    <w:rsid w:val="003B13B9"/>
    <w:rsid w:val="003B1901"/>
    <w:rsid w:val="003B19E4"/>
    <w:rsid w:val="003B1A28"/>
    <w:rsid w:val="003B1AB2"/>
    <w:rsid w:val="003B1AE2"/>
    <w:rsid w:val="003B2062"/>
    <w:rsid w:val="003B22E4"/>
    <w:rsid w:val="003B23EA"/>
    <w:rsid w:val="003B25B1"/>
    <w:rsid w:val="003B26A0"/>
    <w:rsid w:val="003B26B4"/>
    <w:rsid w:val="003B2980"/>
    <w:rsid w:val="003B29DC"/>
    <w:rsid w:val="003B2C71"/>
    <w:rsid w:val="003B2C9D"/>
    <w:rsid w:val="003B2D06"/>
    <w:rsid w:val="003B2D4E"/>
    <w:rsid w:val="003B3167"/>
    <w:rsid w:val="003B341A"/>
    <w:rsid w:val="003B3498"/>
    <w:rsid w:val="003B3626"/>
    <w:rsid w:val="003B36E9"/>
    <w:rsid w:val="003B3730"/>
    <w:rsid w:val="003B37CD"/>
    <w:rsid w:val="003B37F3"/>
    <w:rsid w:val="003B38CA"/>
    <w:rsid w:val="003B3B1F"/>
    <w:rsid w:val="003B3D2E"/>
    <w:rsid w:val="003B3DAC"/>
    <w:rsid w:val="003B3E81"/>
    <w:rsid w:val="003B4008"/>
    <w:rsid w:val="003B4051"/>
    <w:rsid w:val="003B4214"/>
    <w:rsid w:val="003B43A7"/>
    <w:rsid w:val="003B4543"/>
    <w:rsid w:val="003B47D8"/>
    <w:rsid w:val="003B4BC0"/>
    <w:rsid w:val="003B4C50"/>
    <w:rsid w:val="003B4E13"/>
    <w:rsid w:val="003B517E"/>
    <w:rsid w:val="003B5368"/>
    <w:rsid w:val="003B564E"/>
    <w:rsid w:val="003B566F"/>
    <w:rsid w:val="003B583F"/>
    <w:rsid w:val="003B5966"/>
    <w:rsid w:val="003B5AA0"/>
    <w:rsid w:val="003B5BCB"/>
    <w:rsid w:val="003B5C39"/>
    <w:rsid w:val="003B5D00"/>
    <w:rsid w:val="003B5D26"/>
    <w:rsid w:val="003B5E09"/>
    <w:rsid w:val="003B5E1D"/>
    <w:rsid w:val="003B5FB7"/>
    <w:rsid w:val="003B6053"/>
    <w:rsid w:val="003B61D2"/>
    <w:rsid w:val="003B6A6F"/>
    <w:rsid w:val="003B6C9B"/>
    <w:rsid w:val="003B6E3A"/>
    <w:rsid w:val="003B6F09"/>
    <w:rsid w:val="003B732B"/>
    <w:rsid w:val="003B74A1"/>
    <w:rsid w:val="003B74A7"/>
    <w:rsid w:val="003B766F"/>
    <w:rsid w:val="003B77C9"/>
    <w:rsid w:val="003B77E7"/>
    <w:rsid w:val="003B7927"/>
    <w:rsid w:val="003B7B7E"/>
    <w:rsid w:val="003B7F49"/>
    <w:rsid w:val="003B7FFB"/>
    <w:rsid w:val="003C039B"/>
    <w:rsid w:val="003C04CE"/>
    <w:rsid w:val="003C07BB"/>
    <w:rsid w:val="003C095D"/>
    <w:rsid w:val="003C096C"/>
    <w:rsid w:val="003C0A1F"/>
    <w:rsid w:val="003C0A22"/>
    <w:rsid w:val="003C0B1B"/>
    <w:rsid w:val="003C0BC9"/>
    <w:rsid w:val="003C0D00"/>
    <w:rsid w:val="003C1792"/>
    <w:rsid w:val="003C17CF"/>
    <w:rsid w:val="003C1843"/>
    <w:rsid w:val="003C1921"/>
    <w:rsid w:val="003C1B1D"/>
    <w:rsid w:val="003C1B8D"/>
    <w:rsid w:val="003C1E8F"/>
    <w:rsid w:val="003C1EC7"/>
    <w:rsid w:val="003C1ECF"/>
    <w:rsid w:val="003C1F2C"/>
    <w:rsid w:val="003C20A5"/>
    <w:rsid w:val="003C21F5"/>
    <w:rsid w:val="003C22B3"/>
    <w:rsid w:val="003C24D1"/>
    <w:rsid w:val="003C2640"/>
    <w:rsid w:val="003C28CF"/>
    <w:rsid w:val="003C29FA"/>
    <w:rsid w:val="003C2A03"/>
    <w:rsid w:val="003C2AAA"/>
    <w:rsid w:val="003C2B0E"/>
    <w:rsid w:val="003C2C20"/>
    <w:rsid w:val="003C2DFA"/>
    <w:rsid w:val="003C358C"/>
    <w:rsid w:val="003C3667"/>
    <w:rsid w:val="003C370B"/>
    <w:rsid w:val="003C377C"/>
    <w:rsid w:val="003C37BE"/>
    <w:rsid w:val="003C37FF"/>
    <w:rsid w:val="003C391F"/>
    <w:rsid w:val="003C39EF"/>
    <w:rsid w:val="003C3D72"/>
    <w:rsid w:val="003C3D73"/>
    <w:rsid w:val="003C3DD2"/>
    <w:rsid w:val="003C3F62"/>
    <w:rsid w:val="003C407E"/>
    <w:rsid w:val="003C425D"/>
    <w:rsid w:val="003C4485"/>
    <w:rsid w:val="003C48C6"/>
    <w:rsid w:val="003C4C71"/>
    <w:rsid w:val="003C4CE5"/>
    <w:rsid w:val="003C4DE2"/>
    <w:rsid w:val="003C4FAE"/>
    <w:rsid w:val="003C4FD7"/>
    <w:rsid w:val="003C5102"/>
    <w:rsid w:val="003C51C6"/>
    <w:rsid w:val="003C52EB"/>
    <w:rsid w:val="003C5352"/>
    <w:rsid w:val="003C54DD"/>
    <w:rsid w:val="003C558D"/>
    <w:rsid w:val="003C5A52"/>
    <w:rsid w:val="003C5E33"/>
    <w:rsid w:val="003C5E70"/>
    <w:rsid w:val="003C5ED2"/>
    <w:rsid w:val="003C601E"/>
    <w:rsid w:val="003C6118"/>
    <w:rsid w:val="003C620F"/>
    <w:rsid w:val="003C6290"/>
    <w:rsid w:val="003C6441"/>
    <w:rsid w:val="003C64FC"/>
    <w:rsid w:val="003C6605"/>
    <w:rsid w:val="003C6614"/>
    <w:rsid w:val="003C668A"/>
    <w:rsid w:val="003C676E"/>
    <w:rsid w:val="003C6A79"/>
    <w:rsid w:val="003C6B17"/>
    <w:rsid w:val="003C6BCF"/>
    <w:rsid w:val="003C6CD7"/>
    <w:rsid w:val="003C6D67"/>
    <w:rsid w:val="003C70EA"/>
    <w:rsid w:val="003C72A1"/>
    <w:rsid w:val="003C75F4"/>
    <w:rsid w:val="003C777C"/>
    <w:rsid w:val="003C7878"/>
    <w:rsid w:val="003C7954"/>
    <w:rsid w:val="003C79C8"/>
    <w:rsid w:val="003C7B51"/>
    <w:rsid w:val="003C7CEF"/>
    <w:rsid w:val="003C7DBB"/>
    <w:rsid w:val="003C7E6C"/>
    <w:rsid w:val="003C7EA3"/>
    <w:rsid w:val="003C7EA8"/>
    <w:rsid w:val="003C7F92"/>
    <w:rsid w:val="003C7FC6"/>
    <w:rsid w:val="003D01FB"/>
    <w:rsid w:val="003D0279"/>
    <w:rsid w:val="003D0439"/>
    <w:rsid w:val="003D0551"/>
    <w:rsid w:val="003D05EA"/>
    <w:rsid w:val="003D06B3"/>
    <w:rsid w:val="003D06F2"/>
    <w:rsid w:val="003D07E1"/>
    <w:rsid w:val="003D09F3"/>
    <w:rsid w:val="003D0F56"/>
    <w:rsid w:val="003D1269"/>
    <w:rsid w:val="003D1305"/>
    <w:rsid w:val="003D141A"/>
    <w:rsid w:val="003D1477"/>
    <w:rsid w:val="003D14EE"/>
    <w:rsid w:val="003D1514"/>
    <w:rsid w:val="003D1692"/>
    <w:rsid w:val="003D185E"/>
    <w:rsid w:val="003D1A0D"/>
    <w:rsid w:val="003D1B5C"/>
    <w:rsid w:val="003D1DB8"/>
    <w:rsid w:val="003D201C"/>
    <w:rsid w:val="003D225B"/>
    <w:rsid w:val="003D2288"/>
    <w:rsid w:val="003D22D5"/>
    <w:rsid w:val="003D23C8"/>
    <w:rsid w:val="003D24B7"/>
    <w:rsid w:val="003D253C"/>
    <w:rsid w:val="003D25C4"/>
    <w:rsid w:val="003D25F4"/>
    <w:rsid w:val="003D29CC"/>
    <w:rsid w:val="003D2A3B"/>
    <w:rsid w:val="003D2D1E"/>
    <w:rsid w:val="003D2DA9"/>
    <w:rsid w:val="003D2E41"/>
    <w:rsid w:val="003D2EB8"/>
    <w:rsid w:val="003D2F14"/>
    <w:rsid w:val="003D2F69"/>
    <w:rsid w:val="003D317E"/>
    <w:rsid w:val="003D32B9"/>
    <w:rsid w:val="003D348C"/>
    <w:rsid w:val="003D3694"/>
    <w:rsid w:val="003D3798"/>
    <w:rsid w:val="003D3808"/>
    <w:rsid w:val="003D38C9"/>
    <w:rsid w:val="003D38EE"/>
    <w:rsid w:val="003D3963"/>
    <w:rsid w:val="003D3AA9"/>
    <w:rsid w:val="003D3AB3"/>
    <w:rsid w:val="003D3D16"/>
    <w:rsid w:val="003D3D63"/>
    <w:rsid w:val="003D3F79"/>
    <w:rsid w:val="003D41FE"/>
    <w:rsid w:val="003D42BD"/>
    <w:rsid w:val="003D4313"/>
    <w:rsid w:val="003D4480"/>
    <w:rsid w:val="003D45A8"/>
    <w:rsid w:val="003D4619"/>
    <w:rsid w:val="003D4843"/>
    <w:rsid w:val="003D493F"/>
    <w:rsid w:val="003D49BE"/>
    <w:rsid w:val="003D4A66"/>
    <w:rsid w:val="003D4BC6"/>
    <w:rsid w:val="003D4C3F"/>
    <w:rsid w:val="003D4E87"/>
    <w:rsid w:val="003D4ED6"/>
    <w:rsid w:val="003D51E6"/>
    <w:rsid w:val="003D52B0"/>
    <w:rsid w:val="003D52E0"/>
    <w:rsid w:val="003D5485"/>
    <w:rsid w:val="003D556E"/>
    <w:rsid w:val="003D5572"/>
    <w:rsid w:val="003D56F6"/>
    <w:rsid w:val="003D5771"/>
    <w:rsid w:val="003D5855"/>
    <w:rsid w:val="003D58D9"/>
    <w:rsid w:val="003D5B8D"/>
    <w:rsid w:val="003D5BFA"/>
    <w:rsid w:val="003D5FBF"/>
    <w:rsid w:val="003D6149"/>
    <w:rsid w:val="003D6347"/>
    <w:rsid w:val="003D63DD"/>
    <w:rsid w:val="003D64E5"/>
    <w:rsid w:val="003D6568"/>
    <w:rsid w:val="003D66F5"/>
    <w:rsid w:val="003D6742"/>
    <w:rsid w:val="003D6993"/>
    <w:rsid w:val="003D69F4"/>
    <w:rsid w:val="003D6C6C"/>
    <w:rsid w:val="003D6CA3"/>
    <w:rsid w:val="003D7081"/>
    <w:rsid w:val="003D713C"/>
    <w:rsid w:val="003D72C4"/>
    <w:rsid w:val="003D75CC"/>
    <w:rsid w:val="003D76C3"/>
    <w:rsid w:val="003D7745"/>
    <w:rsid w:val="003D783B"/>
    <w:rsid w:val="003D78C9"/>
    <w:rsid w:val="003D7A5C"/>
    <w:rsid w:val="003D7A66"/>
    <w:rsid w:val="003D7AA4"/>
    <w:rsid w:val="003D7C9F"/>
    <w:rsid w:val="003D7CBE"/>
    <w:rsid w:val="003E02BC"/>
    <w:rsid w:val="003E034D"/>
    <w:rsid w:val="003E03F2"/>
    <w:rsid w:val="003E0430"/>
    <w:rsid w:val="003E0520"/>
    <w:rsid w:val="003E0580"/>
    <w:rsid w:val="003E087C"/>
    <w:rsid w:val="003E0B5E"/>
    <w:rsid w:val="003E0DA5"/>
    <w:rsid w:val="003E0E9E"/>
    <w:rsid w:val="003E0EBE"/>
    <w:rsid w:val="003E15FB"/>
    <w:rsid w:val="003E1607"/>
    <w:rsid w:val="003E16BC"/>
    <w:rsid w:val="003E17D8"/>
    <w:rsid w:val="003E188D"/>
    <w:rsid w:val="003E1AE0"/>
    <w:rsid w:val="003E2229"/>
    <w:rsid w:val="003E2244"/>
    <w:rsid w:val="003E2291"/>
    <w:rsid w:val="003E2364"/>
    <w:rsid w:val="003E23F3"/>
    <w:rsid w:val="003E252E"/>
    <w:rsid w:val="003E261D"/>
    <w:rsid w:val="003E269F"/>
    <w:rsid w:val="003E271F"/>
    <w:rsid w:val="003E290A"/>
    <w:rsid w:val="003E2A9B"/>
    <w:rsid w:val="003E2B19"/>
    <w:rsid w:val="003E2BD7"/>
    <w:rsid w:val="003E2C6D"/>
    <w:rsid w:val="003E2D5D"/>
    <w:rsid w:val="003E2DDC"/>
    <w:rsid w:val="003E3165"/>
    <w:rsid w:val="003E3175"/>
    <w:rsid w:val="003E325E"/>
    <w:rsid w:val="003E326B"/>
    <w:rsid w:val="003E3547"/>
    <w:rsid w:val="003E36F0"/>
    <w:rsid w:val="003E39F1"/>
    <w:rsid w:val="003E3B81"/>
    <w:rsid w:val="003E3BBB"/>
    <w:rsid w:val="003E3C78"/>
    <w:rsid w:val="003E3DF3"/>
    <w:rsid w:val="003E3F05"/>
    <w:rsid w:val="003E3F53"/>
    <w:rsid w:val="003E4041"/>
    <w:rsid w:val="003E40AF"/>
    <w:rsid w:val="003E41AF"/>
    <w:rsid w:val="003E4291"/>
    <w:rsid w:val="003E4653"/>
    <w:rsid w:val="003E48BF"/>
    <w:rsid w:val="003E4DB8"/>
    <w:rsid w:val="003E5097"/>
    <w:rsid w:val="003E5396"/>
    <w:rsid w:val="003E55E7"/>
    <w:rsid w:val="003E55F5"/>
    <w:rsid w:val="003E5627"/>
    <w:rsid w:val="003E569E"/>
    <w:rsid w:val="003E586A"/>
    <w:rsid w:val="003E59D5"/>
    <w:rsid w:val="003E5A10"/>
    <w:rsid w:val="003E5B13"/>
    <w:rsid w:val="003E5DD9"/>
    <w:rsid w:val="003E5EB2"/>
    <w:rsid w:val="003E60C3"/>
    <w:rsid w:val="003E61B7"/>
    <w:rsid w:val="003E69BC"/>
    <w:rsid w:val="003E6AA7"/>
    <w:rsid w:val="003E6E3B"/>
    <w:rsid w:val="003E6E6B"/>
    <w:rsid w:val="003E6FE5"/>
    <w:rsid w:val="003E72D5"/>
    <w:rsid w:val="003E73D6"/>
    <w:rsid w:val="003E75CD"/>
    <w:rsid w:val="003E7726"/>
    <w:rsid w:val="003E7914"/>
    <w:rsid w:val="003E7987"/>
    <w:rsid w:val="003E7A18"/>
    <w:rsid w:val="003E7A59"/>
    <w:rsid w:val="003E7D5A"/>
    <w:rsid w:val="003E7D8E"/>
    <w:rsid w:val="003F01FD"/>
    <w:rsid w:val="003F02B7"/>
    <w:rsid w:val="003F040C"/>
    <w:rsid w:val="003F0522"/>
    <w:rsid w:val="003F055F"/>
    <w:rsid w:val="003F0579"/>
    <w:rsid w:val="003F05A5"/>
    <w:rsid w:val="003F0758"/>
    <w:rsid w:val="003F0780"/>
    <w:rsid w:val="003F0A69"/>
    <w:rsid w:val="003F0E3A"/>
    <w:rsid w:val="003F0EB5"/>
    <w:rsid w:val="003F0FDE"/>
    <w:rsid w:val="003F1134"/>
    <w:rsid w:val="003F151A"/>
    <w:rsid w:val="003F1539"/>
    <w:rsid w:val="003F153A"/>
    <w:rsid w:val="003F155E"/>
    <w:rsid w:val="003F1631"/>
    <w:rsid w:val="003F1636"/>
    <w:rsid w:val="003F16CD"/>
    <w:rsid w:val="003F1C0C"/>
    <w:rsid w:val="003F1CDA"/>
    <w:rsid w:val="003F1D5A"/>
    <w:rsid w:val="003F1E55"/>
    <w:rsid w:val="003F2126"/>
    <w:rsid w:val="003F213B"/>
    <w:rsid w:val="003F2163"/>
    <w:rsid w:val="003F21EB"/>
    <w:rsid w:val="003F2400"/>
    <w:rsid w:val="003F2497"/>
    <w:rsid w:val="003F2751"/>
    <w:rsid w:val="003F275C"/>
    <w:rsid w:val="003F28FD"/>
    <w:rsid w:val="003F2988"/>
    <w:rsid w:val="003F2BAD"/>
    <w:rsid w:val="003F2C80"/>
    <w:rsid w:val="003F2D13"/>
    <w:rsid w:val="003F31B2"/>
    <w:rsid w:val="003F3355"/>
    <w:rsid w:val="003F346B"/>
    <w:rsid w:val="003F34C1"/>
    <w:rsid w:val="003F34F8"/>
    <w:rsid w:val="003F3612"/>
    <w:rsid w:val="003F363B"/>
    <w:rsid w:val="003F37DD"/>
    <w:rsid w:val="003F3D0F"/>
    <w:rsid w:val="003F3EA8"/>
    <w:rsid w:val="003F3ED0"/>
    <w:rsid w:val="003F425C"/>
    <w:rsid w:val="003F430D"/>
    <w:rsid w:val="003F4478"/>
    <w:rsid w:val="003F4632"/>
    <w:rsid w:val="003F4679"/>
    <w:rsid w:val="003F47B6"/>
    <w:rsid w:val="003F49BB"/>
    <w:rsid w:val="003F4A24"/>
    <w:rsid w:val="003F4C4F"/>
    <w:rsid w:val="003F4E68"/>
    <w:rsid w:val="003F4E82"/>
    <w:rsid w:val="003F4F8E"/>
    <w:rsid w:val="003F4FB8"/>
    <w:rsid w:val="003F4FBD"/>
    <w:rsid w:val="003F5077"/>
    <w:rsid w:val="003F50C1"/>
    <w:rsid w:val="003F52B0"/>
    <w:rsid w:val="003F52D3"/>
    <w:rsid w:val="003F5312"/>
    <w:rsid w:val="003F5321"/>
    <w:rsid w:val="003F574F"/>
    <w:rsid w:val="003F5A0F"/>
    <w:rsid w:val="003F5ABA"/>
    <w:rsid w:val="003F5BA1"/>
    <w:rsid w:val="003F5C91"/>
    <w:rsid w:val="003F5D55"/>
    <w:rsid w:val="003F62F3"/>
    <w:rsid w:val="003F63C2"/>
    <w:rsid w:val="003F63EB"/>
    <w:rsid w:val="003F656B"/>
    <w:rsid w:val="003F6582"/>
    <w:rsid w:val="003F65C6"/>
    <w:rsid w:val="003F675C"/>
    <w:rsid w:val="003F6899"/>
    <w:rsid w:val="003F6AD7"/>
    <w:rsid w:val="003F6CF9"/>
    <w:rsid w:val="003F7005"/>
    <w:rsid w:val="003F72B2"/>
    <w:rsid w:val="003F7475"/>
    <w:rsid w:val="003F750D"/>
    <w:rsid w:val="003F78C3"/>
    <w:rsid w:val="003F7A37"/>
    <w:rsid w:val="003F7B57"/>
    <w:rsid w:val="003F7D4D"/>
    <w:rsid w:val="003F7DD1"/>
    <w:rsid w:val="003F7EBF"/>
    <w:rsid w:val="00400045"/>
    <w:rsid w:val="004000ED"/>
    <w:rsid w:val="00400122"/>
    <w:rsid w:val="004001C3"/>
    <w:rsid w:val="00400375"/>
    <w:rsid w:val="004003EC"/>
    <w:rsid w:val="00400558"/>
    <w:rsid w:val="004007EB"/>
    <w:rsid w:val="004008D3"/>
    <w:rsid w:val="0040093C"/>
    <w:rsid w:val="00400BB4"/>
    <w:rsid w:val="00400BE6"/>
    <w:rsid w:val="00400C9B"/>
    <w:rsid w:val="00400EAC"/>
    <w:rsid w:val="00401005"/>
    <w:rsid w:val="004012A7"/>
    <w:rsid w:val="00401A03"/>
    <w:rsid w:val="00401A35"/>
    <w:rsid w:val="00401A64"/>
    <w:rsid w:val="00401B44"/>
    <w:rsid w:val="00401B7E"/>
    <w:rsid w:val="00401DA1"/>
    <w:rsid w:val="00401EE8"/>
    <w:rsid w:val="00401FA1"/>
    <w:rsid w:val="004024A2"/>
    <w:rsid w:val="00402507"/>
    <w:rsid w:val="0040259C"/>
    <w:rsid w:val="00402827"/>
    <w:rsid w:val="004028E8"/>
    <w:rsid w:val="00402978"/>
    <w:rsid w:val="004029BA"/>
    <w:rsid w:val="00402C42"/>
    <w:rsid w:val="00402D9D"/>
    <w:rsid w:val="00402E2A"/>
    <w:rsid w:val="00402F58"/>
    <w:rsid w:val="004030E2"/>
    <w:rsid w:val="00403168"/>
    <w:rsid w:val="004031C0"/>
    <w:rsid w:val="0040341E"/>
    <w:rsid w:val="00403754"/>
    <w:rsid w:val="00403D10"/>
    <w:rsid w:val="00403DA3"/>
    <w:rsid w:val="00403DB7"/>
    <w:rsid w:val="0040410C"/>
    <w:rsid w:val="0040424C"/>
    <w:rsid w:val="00404297"/>
    <w:rsid w:val="00404364"/>
    <w:rsid w:val="00404370"/>
    <w:rsid w:val="004045CD"/>
    <w:rsid w:val="00404913"/>
    <w:rsid w:val="00404A7D"/>
    <w:rsid w:val="00404B22"/>
    <w:rsid w:val="00404EB5"/>
    <w:rsid w:val="00404EEA"/>
    <w:rsid w:val="004051E6"/>
    <w:rsid w:val="004053A7"/>
    <w:rsid w:val="004053D7"/>
    <w:rsid w:val="00405442"/>
    <w:rsid w:val="00405500"/>
    <w:rsid w:val="0040572E"/>
    <w:rsid w:val="004059A0"/>
    <w:rsid w:val="00405A86"/>
    <w:rsid w:val="00405B2C"/>
    <w:rsid w:val="00405C30"/>
    <w:rsid w:val="00405F0E"/>
    <w:rsid w:val="00406149"/>
    <w:rsid w:val="00406496"/>
    <w:rsid w:val="004065B5"/>
    <w:rsid w:val="00406E3D"/>
    <w:rsid w:val="00406E67"/>
    <w:rsid w:val="0040709F"/>
    <w:rsid w:val="004073E7"/>
    <w:rsid w:val="004074C4"/>
    <w:rsid w:val="0040758B"/>
    <w:rsid w:val="00407709"/>
    <w:rsid w:val="00407966"/>
    <w:rsid w:val="00407B6C"/>
    <w:rsid w:val="00407DF0"/>
    <w:rsid w:val="00407E62"/>
    <w:rsid w:val="00407E70"/>
    <w:rsid w:val="00410019"/>
    <w:rsid w:val="00410040"/>
    <w:rsid w:val="004100F5"/>
    <w:rsid w:val="00410131"/>
    <w:rsid w:val="0041015E"/>
    <w:rsid w:val="00410164"/>
    <w:rsid w:val="0041023F"/>
    <w:rsid w:val="00410256"/>
    <w:rsid w:val="00410545"/>
    <w:rsid w:val="00410632"/>
    <w:rsid w:val="00410889"/>
    <w:rsid w:val="00410915"/>
    <w:rsid w:val="00410943"/>
    <w:rsid w:val="00410A40"/>
    <w:rsid w:val="00410A69"/>
    <w:rsid w:val="00411005"/>
    <w:rsid w:val="00411502"/>
    <w:rsid w:val="00411563"/>
    <w:rsid w:val="00411661"/>
    <w:rsid w:val="004119E1"/>
    <w:rsid w:val="00411A0A"/>
    <w:rsid w:val="00411A0D"/>
    <w:rsid w:val="00411C21"/>
    <w:rsid w:val="00411CCC"/>
    <w:rsid w:val="00411E12"/>
    <w:rsid w:val="00412154"/>
    <w:rsid w:val="004122D0"/>
    <w:rsid w:val="0041249A"/>
    <w:rsid w:val="004125C6"/>
    <w:rsid w:val="004125E8"/>
    <w:rsid w:val="0041266C"/>
    <w:rsid w:val="00412726"/>
    <w:rsid w:val="00412A87"/>
    <w:rsid w:val="00412B8C"/>
    <w:rsid w:val="00412D76"/>
    <w:rsid w:val="00412DF2"/>
    <w:rsid w:val="00412E45"/>
    <w:rsid w:val="0041325E"/>
    <w:rsid w:val="0041365D"/>
    <w:rsid w:val="004136E0"/>
    <w:rsid w:val="00413775"/>
    <w:rsid w:val="0041379F"/>
    <w:rsid w:val="004139E0"/>
    <w:rsid w:val="00413A0B"/>
    <w:rsid w:val="00413A83"/>
    <w:rsid w:val="00413B0F"/>
    <w:rsid w:val="00414348"/>
    <w:rsid w:val="0041452F"/>
    <w:rsid w:val="004147B1"/>
    <w:rsid w:val="004147F9"/>
    <w:rsid w:val="00414941"/>
    <w:rsid w:val="00414B41"/>
    <w:rsid w:val="00414CB3"/>
    <w:rsid w:val="004151FC"/>
    <w:rsid w:val="00415410"/>
    <w:rsid w:val="00415443"/>
    <w:rsid w:val="00415571"/>
    <w:rsid w:val="0041579F"/>
    <w:rsid w:val="0041584C"/>
    <w:rsid w:val="00415AA7"/>
    <w:rsid w:val="00415F6B"/>
    <w:rsid w:val="00415F99"/>
    <w:rsid w:val="0041626A"/>
    <w:rsid w:val="00416597"/>
    <w:rsid w:val="004165B5"/>
    <w:rsid w:val="0041667B"/>
    <w:rsid w:val="00416698"/>
    <w:rsid w:val="004166DF"/>
    <w:rsid w:val="00416924"/>
    <w:rsid w:val="00416B6C"/>
    <w:rsid w:val="00416B83"/>
    <w:rsid w:val="00416ECA"/>
    <w:rsid w:val="00416FB2"/>
    <w:rsid w:val="00417083"/>
    <w:rsid w:val="00417413"/>
    <w:rsid w:val="0041743E"/>
    <w:rsid w:val="00417450"/>
    <w:rsid w:val="00417563"/>
    <w:rsid w:val="004177FA"/>
    <w:rsid w:val="00417861"/>
    <w:rsid w:val="00417956"/>
    <w:rsid w:val="00417AA9"/>
    <w:rsid w:val="00417B7F"/>
    <w:rsid w:val="00417D70"/>
    <w:rsid w:val="00417E88"/>
    <w:rsid w:val="00417F31"/>
    <w:rsid w:val="00420093"/>
    <w:rsid w:val="0042025E"/>
    <w:rsid w:val="00420419"/>
    <w:rsid w:val="004205C4"/>
    <w:rsid w:val="004205F6"/>
    <w:rsid w:val="0042061C"/>
    <w:rsid w:val="004209AB"/>
    <w:rsid w:val="004209BE"/>
    <w:rsid w:val="00420BA4"/>
    <w:rsid w:val="00420BD0"/>
    <w:rsid w:val="00420E62"/>
    <w:rsid w:val="004210FD"/>
    <w:rsid w:val="0042131C"/>
    <w:rsid w:val="00421656"/>
    <w:rsid w:val="00421733"/>
    <w:rsid w:val="0042190F"/>
    <w:rsid w:val="00421926"/>
    <w:rsid w:val="0042196F"/>
    <w:rsid w:val="00421D8B"/>
    <w:rsid w:val="00421FDE"/>
    <w:rsid w:val="00422080"/>
    <w:rsid w:val="00422323"/>
    <w:rsid w:val="004223E2"/>
    <w:rsid w:val="0042274C"/>
    <w:rsid w:val="004229B5"/>
    <w:rsid w:val="00422A10"/>
    <w:rsid w:val="00422C2E"/>
    <w:rsid w:val="00422CE0"/>
    <w:rsid w:val="00422DE5"/>
    <w:rsid w:val="00422EC0"/>
    <w:rsid w:val="00422F84"/>
    <w:rsid w:val="00423070"/>
    <w:rsid w:val="00423269"/>
    <w:rsid w:val="0042355F"/>
    <w:rsid w:val="00423603"/>
    <w:rsid w:val="00423645"/>
    <w:rsid w:val="004237EA"/>
    <w:rsid w:val="004238EA"/>
    <w:rsid w:val="00423AE2"/>
    <w:rsid w:val="00423F1C"/>
    <w:rsid w:val="00424140"/>
    <w:rsid w:val="00424388"/>
    <w:rsid w:val="00424645"/>
    <w:rsid w:val="004247E0"/>
    <w:rsid w:val="00424823"/>
    <w:rsid w:val="004249B1"/>
    <w:rsid w:val="00424A1B"/>
    <w:rsid w:val="00424A2E"/>
    <w:rsid w:val="00424A7B"/>
    <w:rsid w:val="00424D12"/>
    <w:rsid w:val="00424E5E"/>
    <w:rsid w:val="00424EE6"/>
    <w:rsid w:val="00424F06"/>
    <w:rsid w:val="00424F29"/>
    <w:rsid w:val="00424FDD"/>
    <w:rsid w:val="00425016"/>
    <w:rsid w:val="00425431"/>
    <w:rsid w:val="00425646"/>
    <w:rsid w:val="00425748"/>
    <w:rsid w:val="0042580B"/>
    <w:rsid w:val="004258F4"/>
    <w:rsid w:val="00425B69"/>
    <w:rsid w:val="00425F56"/>
    <w:rsid w:val="00425FB0"/>
    <w:rsid w:val="004262E6"/>
    <w:rsid w:val="00426510"/>
    <w:rsid w:val="004265BC"/>
    <w:rsid w:val="00426603"/>
    <w:rsid w:val="004269A3"/>
    <w:rsid w:val="00426A39"/>
    <w:rsid w:val="00426B29"/>
    <w:rsid w:val="00426B80"/>
    <w:rsid w:val="00426BF4"/>
    <w:rsid w:val="00426BFE"/>
    <w:rsid w:val="00426C6E"/>
    <w:rsid w:val="00426CD1"/>
    <w:rsid w:val="00426F76"/>
    <w:rsid w:val="00426FCF"/>
    <w:rsid w:val="00426FE2"/>
    <w:rsid w:val="004270BB"/>
    <w:rsid w:val="004271CF"/>
    <w:rsid w:val="00427249"/>
    <w:rsid w:val="00427284"/>
    <w:rsid w:val="00427294"/>
    <w:rsid w:val="00427441"/>
    <w:rsid w:val="0042755C"/>
    <w:rsid w:val="00427595"/>
    <w:rsid w:val="004278AE"/>
    <w:rsid w:val="00427E58"/>
    <w:rsid w:val="00427E8F"/>
    <w:rsid w:val="00427F39"/>
    <w:rsid w:val="004300E5"/>
    <w:rsid w:val="004302EF"/>
    <w:rsid w:val="00430384"/>
    <w:rsid w:val="004304A5"/>
    <w:rsid w:val="0043053C"/>
    <w:rsid w:val="0043068F"/>
    <w:rsid w:val="00430A7E"/>
    <w:rsid w:val="00430BCE"/>
    <w:rsid w:val="00430C4B"/>
    <w:rsid w:val="0043126C"/>
    <w:rsid w:val="0043128A"/>
    <w:rsid w:val="004312D4"/>
    <w:rsid w:val="0043143F"/>
    <w:rsid w:val="00431600"/>
    <w:rsid w:val="004316E8"/>
    <w:rsid w:val="00431752"/>
    <w:rsid w:val="004317C3"/>
    <w:rsid w:val="00431B99"/>
    <w:rsid w:val="00431CB1"/>
    <w:rsid w:val="00431CC8"/>
    <w:rsid w:val="00431DEE"/>
    <w:rsid w:val="00431ECB"/>
    <w:rsid w:val="00431EEA"/>
    <w:rsid w:val="00431FE1"/>
    <w:rsid w:val="00432026"/>
    <w:rsid w:val="00432045"/>
    <w:rsid w:val="004320BF"/>
    <w:rsid w:val="004322C3"/>
    <w:rsid w:val="0043259F"/>
    <w:rsid w:val="00432735"/>
    <w:rsid w:val="004328D6"/>
    <w:rsid w:val="00432937"/>
    <w:rsid w:val="00432B09"/>
    <w:rsid w:val="00432BD5"/>
    <w:rsid w:val="00432C8C"/>
    <w:rsid w:val="00433080"/>
    <w:rsid w:val="0043324D"/>
    <w:rsid w:val="0043326F"/>
    <w:rsid w:val="0043330C"/>
    <w:rsid w:val="0043346E"/>
    <w:rsid w:val="004334AF"/>
    <w:rsid w:val="004336DB"/>
    <w:rsid w:val="00433C31"/>
    <w:rsid w:val="00433D35"/>
    <w:rsid w:val="00434085"/>
    <w:rsid w:val="004341FA"/>
    <w:rsid w:val="00434250"/>
    <w:rsid w:val="00434617"/>
    <w:rsid w:val="0043462E"/>
    <w:rsid w:val="004348E4"/>
    <w:rsid w:val="00434925"/>
    <w:rsid w:val="00434D60"/>
    <w:rsid w:val="0043504F"/>
    <w:rsid w:val="00435144"/>
    <w:rsid w:val="00435226"/>
    <w:rsid w:val="0043522F"/>
    <w:rsid w:val="00435362"/>
    <w:rsid w:val="00435374"/>
    <w:rsid w:val="00435604"/>
    <w:rsid w:val="004356A9"/>
    <w:rsid w:val="004358A5"/>
    <w:rsid w:val="00435A03"/>
    <w:rsid w:val="00435BF3"/>
    <w:rsid w:val="00435E6D"/>
    <w:rsid w:val="004362B7"/>
    <w:rsid w:val="00436396"/>
    <w:rsid w:val="004364FF"/>
    <w:rsid w:val="00436510"/>
    <w:rsid w:val="00436531"/>
    <w:rsid w:val="00436D68"/>
    <w:rsid w:val="00436D7B"/>
    <w:rsid w:val="0043755D"/>
    <w:rsid w:val="004375CC"/>
    <w:rsid w:val="004377E1"/>
    <w:rsid w:val="004378B4"/>
    <w:rsid w:val="00437A19"/>
    <w:rsid w:val="00437B0E"/>
    <w:rsid w:val="00437CF2"/>
    <w:rsid w:val="00437F43"/>
    <w:rsid w:val="0044004C"/>
    <w:rsid w:val="004400A0"/>
    <w:rsid w:val="0044032F"/>
    <w:rsid w:val="00440352"/>
    <w:rsid w:val="00440457"/>
    <w:rsid w:val="004404BD"/>
    <w:rsid w:val="00440708"/>
    <w:rsid w:val="00440AAA"/>
    <w:rsid w:val="00441276"/>
    <w:rsid w:val="00441490"/>
    <w:rsid w:val="004417AC"/>
    <w:rsid w:val="004419CE"/>
    <w:rsid w:val="00441B4E"/>
    <w:rsid w:val="00441BA7"/>
    <w:rsid w:val="00441F1C"/>
    <w:rsid w:val="0044208C"/>
    <w:rsid w:val="00442271"/>
    <w:rsid w:val="00442325"/>
    <w:rsid w:val="004424AE"/>
    <w:rsid w:val="004424CC"/>
    <w:rsid w:val="004424F7"/>
    <w:rsid w:val="004425CB"/>
    <w:rsid w:val="00442C5A"/>
    <w:rsid w:val="00442CA6"/>
    <w:rsid w:val="00442E44"/>
    <w:rsid w:val="00442EB2"/>
    <w:rsid w:val="00442ECB"/>
    <w:rsid w:val="00442EE8"/>
    <w:rsid w:val="00442F29"/>
    <w:rsid w:val="00443067"/>
    <w:rsid w:val="0044306F"/>
    <w:rsid w:val="004430B8"/>
    <w:rsid w:val="00443225"/>
    <w:rsid w:val="00443233"/>
    <w:rsid w:val="00443389"/>
    <w:rsid w:val="00443501"/>
    <w:rsid w:val="004435C0"/>
    <w:rsid w:val="00443610"/>
    <w:rsid w:val="0044386B"/>
    <w:rsid w:val="00443921"/>
    <w:rsid w:val="00443B63"/>
    <w:rsid w:val="00443BB0"/>
    <w:rsid w:val="00443D3E"/>
    <w:rsid w:val="00443D68"/>
    <w:rsid w:val="0044402E"/>
    <w:rsid w:val="00444449"/>
    <w:rsid w:val="00444455"/>
    <w:rsid w:val="0044470E"/>
    <w:rsid w:val="00444868"/>
    <w:rsid w:val="00444ADD"/>
    <w:rsid w:val="00444B5A"/>
    <w:rsid w:val="00444C1E"/>
    <w:rsid w:val="00445124"/>
    <w:rsid w:val="00445153"/>
    <w:rsid w:val="004451A0"/>
    <w:rsid w:val="004455E3"/>
    <w:rsid w:val="004455FB"/>
    <w:rsid w:val="004455FC"/>
    <w:rsid w:val="004456FB"/>
    <w:rsid w:val="00445718"/>
    <w:rsid w:val="004458FC"/>
    <w:rsid w:val="00445A38"/>
    <w:rsid w:val="00445EEC"/>
    <w:rsid w:val="00446221"/>
    <w:rsid w:val="004463E7"/>
    <w:rsid w:val="00446584"/>
    <w:rsid w:val="0044670B"/>
    <w:rsid w:val="00446757"/>
    <w:rsid w:val="004467B0"/>
    <w:rsid w:val="00446BC5"/>
    <w:rsid w:val="0044704C"/>
    <w:rsid w:val="004471A1"/>
    <w:rsid w:val="0044721B"/>
    <w:rsid w:val="00447572"/>
    <w:rsid w:val="004478C3"/>
    <w:rsid w:val="00447A0C"/>
    <w:rsid w:val="00447C83"/>
    <w:rsid w:val="00447C9A"/>
    <w:rsid w:val="00447DF3"/>
    <w:rsid w:val="00447EDF"/>
    <w:rsid w:val="00447F38"/>
    <w:rsid w:val="00450044"/>
    <w:rsid w:val="0045015E"/>
    <w:rsid w:val="004502F6"/>
    <w:rsid w:val="004503D8"/>
    <w:rsid w:val="004503FE"/>
    <w:rsid w:val="00450837"/>
    <w:rsid w:val="00450987"/>
    <w:rsid w:val="00450A3B"/>
    <w:rsid w:val="00450B68"/>
    <w:rsid w:val="00450DF1"/>
    <w:rsid w:val="00450E2E"/>
    <w:rsid w:val="00451761"/>
    <w:rsid w:val="00451A51"/>
    <w:rsid w:val="00451CC9"/>
    <w:rsid w:val="00451E1E"/>
    <w:rsid w:val="00451EEA"/>
    <w:rsid w:val="00451F3B"/>
    <w:rsid w:val="004520D4"/>
    <w:rsid w:val="004520D9"/>
    <w:rsid w:val="004521CC"/>
    <w:rsid w:val="00452358"/>
    <w:rsid w:val="00452441"/>
    <w:rsid w:val="0045261B"/>
    <w:rsid w:val="00452904"/>
    <w:rsid w:val="00452967"/>
    <w:rsid w:val="0045296E"/>
    <w:rsid w:val="004529EB"/>
    <w:rsid w:val="00452A57"/>
    <w:rsid w:val="00452B98"/>
    <w:rsid w:val="00452DA0"/>
    <w:rsid w:val="004530E2"/>
    <w:rsid w:val="004530EF"/>
    <w:rsid w:val="00453384"/>
    <w:rsid w:val="0045365A"/>
    <w:rsid w:val="00453A45"/>
    <w:rsid w:val="00453B15"/>
    <w:rsid w:val="00453E5A"/>
    <w:rsid w:val="004540D4"/>
    <w:rsid w:val="00454150"/>
    <w:rsid w:val="0045420A"/>
    <w:rsid w:val="0045420F"/>
    <w:rsid w:val="00454431"/>
    <w:rsid w:val="00454488"/>
    <w:rsid w:val="0045460F"/>
    <w:rsid w:val="004547F3"/>
    <w:rsid w:val="0045491E"/>
    <w:rsid w:val="00454EE0"/>
    <w:rsid w:val="00455389"/>
    <w:rsid w:val="004559D9"/>
    <w:rsid w:val="00455D3D"/>
    <w:rsid w:val="00455D5F"/>
    <w:rsid w:val="00455E76"/>
    <w:rsid w:val="00455E7A"/>
    <w:rsid w:val="00455FC0"/>
    <w:rsid w:val="0045606F"/>
    <w:rsid w:val="00456175"/>
    <w:rsid w:val="00456228"/>
    <w:rsid w:val="004562B8"/>
    <w:rsid w:val="00456671"/>
    <w:rsid w:val="004568A2"/>
    <w:rsid w:val="00456A3E"/>
    <w:rsid w:val="00456A71"/>
    <w:rsid w:val="00456C2F"/>
    <w:rsid w:val="00456E58"/>
    <w:rsid w:val="00456E64"/>
    <w:rsid w:val="004571F4"/>
    <w:rsid w:val="004574D0"/>
    <w:rsid w:val="004576A8"/>
    <w:rsid w:val="004576B3"/>
    <w:rsid w:val="00457780"/>
    <w:rsid w:val="0045792A"/>
    <w:rsid w:val="00457977"/>
    <w:rsid w:val="0045797A"/>
    <w:rsid w:val="00457CF9"/>
    <w:rsid w:val="004600EA"/>
    <w:rsid w:val="00460108"/>
    <w:rsid w:val="0046032F"/>
    <w:rsid w:val="004604A7"/>
    <w:rsid w:val="004605B7"/>
    <w:rsid w:val="00460765"/>
    <w:rsid w:val="00460882"/>
    <w:rsid w:val="00460A2A"/>
    <w:rsid w:val="00460AE9"/>
    <w:rsid w:val="00460D59"/>
    <w:rsid w:val="00460D86"/>
    <w:rsid w:val="00460DBC"/>
    <w:rsid w:val="00460E3F"/>
    <w:rsid w:val="00461047"/>
    <w:rsid w:val="004610B7"/>
    <w:rsid w:val="0046119E"/>
    <w:rsid w:val="0046124F"/>
    <w:rsid w:val="0046141F"/>
    <w:rsid w:val="00461696"/>
    <w:rsid w:val="004618BE"/>
    <w:rsid w:val="004619A8"/>
    <w:rsid w:val="00461C2E"/>
    <w:rsid w:val="00461C38"/>
    <w:rsid w:val="00461D29"/>
    <w:rsid w:val="00461F49"/>
    <w:rsid w:val="00461FCB"/>
    <w:rsid w:val="00462176"/>
    <w:rsid w:val="004622B3"/>
    <w:rsid w:val="00462398"/>
    <w:rsid w:val="00462496"/>
    <w:rsid w:val="00462541"/>
    <w:rsid w:val="00462545"/>
    <w:rsid w:val="004625E2"/>
    <w:rsid w:val="004627AC"/>
    <w:rsid w:val="004629BF"/>
    <w:rsid w:val="00462BBF"/>
    <w:rsid w:val="00462D25"/>
    <w:rsid w:val="00462DEE"/>
    <w:rsid w:val="00462F38"/>
    <w:rsid w:val="0046300F"/>
    <w:rsid w:val="00463478"/>
    <w:rsid w:val="00463601"/>
    <w:rsid w:val="004636BB"/>
    <w:rsid w:val="00463935"/>
    <w:rsid w:val="0046397B"/>
    <w:rsid w:val="00463982"/>
    <w:rsid w:val="00463AE4"/>
    <w:rsid w:val="00463C67"/>
    <w:rsid w:val="00463E15"/>
    <w:rsid w:val="0046406F"/>
    <w:rsid w:val="00464153"/>
    <w:rsid w:val="0046417F"/>
    <w:rsid w:val="00464190"/>
    <w:rsid w:val="0046425A"/>
    <w:rsid w:val="004642DC"/>
    <w:rsid w:val="0046430E"/>
    <w:rsid w:val="0046436C"/>
    <w:rsid w:val="004644E8"/>
    <w:rsid w:val="00464659"/>
    <w:rsid w:val="004647DE"/>
    <w:rsid w:val="004648DE"/>
    <w:rsid w:val="00464926"/>
    <w:rsid w:val="00464ACC"/>
    <w:rsid w:val="00464AF1"/>
    <w:rsid w:val="00464E7E"/>
    <w:rsid w:val="00465161"/>
    <w:rsid w:val="004652F4"/>
    <w:rsid w:val="0046553B"/>
    <w:rsid w:val="00465564"/>
    <w:rsid w:val="00465669"/>
    <w:rsid w:val="00465811"/>
    <w:rsid w:val="00465A4C"/>
    <w:rsid w:val="00465E03"/>
    <w:rsid w:val="00466073"/>
    <w:rsid w:val="00466407"/>
    <w:rsid w:val="004664E6"/>
    <w:rsid w:val="004664E8"/>
    <w:rsid w:val="00466742"/>
    <w:rsid w:val="00466941"/>
    <w:rsid w:val="00466ABF"/>
    <w:rsid w:val="00466C9D"/>
    <w:rsid w:val="00466CC8"/>
    <w:rsid w:val="00466D21"/>
    <w:rsid w:val="00466EDB"/>
    <w:rsid w:val="00466EF9"/>
    <w:rsid w:val="00466FB4"/>
    <w:rsid w:val="004670B8"/>
    <w:rsid w:val="00467133"/>
    <w:rsid w:val="004671E4"/>
    <w:rsid w:val="004672C7"/>
    <w:rsid w:val="00467667"/>
    <w:rsid w:val="004676E9"/>
    <w:rsid w:val="0046775A"/>
    <w:rsid w:val="004679DA"/>
    <w:rsid w:val="00467C09"/>
    <w:rsid w:val="00467C1A"/>
    <w:rsid w:val="00467CCF"/>
    <w:rsid w:val="00467D3C"/>
    <w:rsid w:val="00467DEF"/>
    <w:rsid w:val="00467E28"/>
    <w:rsid w:val="00470404"/>
    <w:rsid w:val="00470468"/>
    <w:rsid w:val="00470530"/>
    <w:rsid w:val="0047062B"/>
    <w:rsid w:val="004709B2"/>
    <w:rsid w:val="00470EFB"/>
    <w:rsid w:val="00470F82"/>
    <w:rsid w:val="00470FF5"/>
    <w:rsid w:val="004710F3"/>
    <w:rsid w:val="004713C8"/>
    <w:rsid w:val="00471535"/>
    <w:rsid w:val="004717D1"/>
    <w:rsid w:val="00471A16"/>
    <w:rsid w:val="00471E7D"/>
    <w:rsid w:val="00472236"/>
    <w:rsid w:val="00472261"/>
    <w:rsid w:val="00472399"/>
    <w:rsid w:val="004724D2"/>
    <w:rsid w:val="0047259D"/>
    <w:rsid w:val="004725A5"/>
    <w:rsid w:val="004727D5"/>
    <w:rsid w:val="004728F2"/>
    <w:rsid w:val="00472B40"/>
    <w:rsid w:val="00472F8E"/>
    <w:rsid w:val="00472FB2"/>
    <w:rsid w:val="00473316"/>
    <w:rsid w:val="0047349F"/>
    <w:rsid w:val="00473558"/>
    <w:rsid w:val="0047363A"/>
    <w:rsid w:val="00473747"/>
    <w:rsid w:val="004739E1"/>
    <w:rsid w:val="00473C60"/>
    <w:rsid w:val="00473CE8"/>
    <w:rsid w:val="00473E32"/>
    <w:rsid w:val="00473E3D"/>
    <w:rsid w:val="00473E99"/>
    <w:rsid w:val="00473EF6"/>
    <w:rsid w:val="00473FF8"/>
    <w:rsid w:val="0047413F"/>
    <w:rsid w:val="0047418A"/>
    <w:rsid w:val="004742DA"/>
    <w:rsid w:val="0047445F"/>
    <w:rsid w:val="00474648"/>
    <w:rsid w:val="0047472A"/>
    <w:rsid w:val="004749DA"/>
    <w:rsid w:val="00474CAB"/>
    <w:rsid w:val="00474FFA"/>
    <w:rsid w:val="004751BC"/>
    <w:rsid w:val="004759EA"/>
    <w:rsid w:val="00475E96"/>
    <w:rsid w:val="004760A1"/>
    <w:rsid w:val="004764E4"/>
    <w:rsid w:val="004765EA"/>
    <w:rsid w:val="004765FB"/>
    <w:rsid w:val="00476924"/>
    <w:rsid w:val="00476E06"/>
    <w:rsid w:val="004773DA"/>
    <w:rsid w:val="0047770A"/>
    <w:rsid w:val="00477769"/>
    <w:rsid w:val="00477C54"/>
    <w:rsid w:val="00480198"/>
    <w:rsid w:val="00480208"/>
    <w:rsid w:val="0048029F"/>
    <w:rsid w:val="004802FB"/>
    <w:rsid w:val="0048034F"/>
    <w:rsid w:val="004804A9"/>
    <w:rsid w:val="00480840"/>
    <w:rsid w:val="0048099D"/>
    <w:rsid w:val="00480AAA"/>
    <w:rsid w:val="00480AB2"/>
    <w:rsid w:val="00480AB8"/>
    <w:rsid w:val="00480CBB"/>
    <w:rsid w:val="00480D69"/>
    <w:rsid w:val="00480EBC"/>
    <w:rsid w:val="00480FAF"/>
    <w:rsid w:val="004812D8"/>
    <w:rsid w:val="00481367"/>
    <w:rsid w:val="004815A3"/>
    <w:rsid w:val="0048175B"/>
    <w:rsid w:val="0048181E"/>
    <w:rsid w:val="00481B90"/>
    <w:rsid w:val="00481D92"/>
    <w:rsid w:val="00481DF8"/>
    <w:rsid w:val="00482018"/>
    <w:rsid w:val="004820BE"/>
    <w:rsid w:val="004821A7"/>
    <w:rsid w:val="00482275"/>
    <w:rsid w:val="00482415"/>
    <w:rsid w:val="00482458"/>
    <w:rsid w:val="00482509"/>
    <w:rsid w:val="00482676"/>
    <w:rsid w:val="00482733"/>
    <w:rsid w:val="00482A4A"/>
    <w:rsid w:val="00482B9E"/>
    <w:rsid w:val="00482BDF"/>
    <w:rsid w:val="00482DA6"/>
    <w:rsid w:val="00482E16"/>
    <w:rsid w:val="00483051"/>
    <w:rsid w:val="0048326F"/>
    <w:rsid w:val="00483453"/>
    <w:rsid w:val="00483622"/>
    <w:rsid w:val="00483729"/>
    <w:rsid w:val="00483790"/>
    <w:rsid w:val="004837E8"/>
    <w:rsid w:val="004838D6"/>
    <w:rsid w:val="0048397A"/>
    <w:rsid w:val="004839C0"/>
    <w:rsid w:val="00483C8F"/>
    <w:rsid w:val="00483CF6"/>
    <w:rsid w:val="00483F28"/>
    <w:rsid w:val="00484321"/>
    <w:rsid w:val="0048432C"/>
    <w:rsid w:val="004843FC"/>
    <w:rsid w:val="004844E6"/>
    <w:rsid w:val="00484624"/>
    <w:rsid w:val="00484837"/>
    <w:rsid w:val="004849CF"/>
    <w:rsid w:val="004849DF"/>
    <w:rsid w:val="00484C01"/>
    <w:rsid w:val="00484C1E"/>
    <w:rsid w:val="00484CE6"/>
    <w:rsid w:val="00484D25"/>
    <w:rsid w:val="00484E36"/>
    <w:rsid w:val="00484E3A"/>
    <w:rsid w:val="00484F78"/>
    <w:rsid w:val="00485354"/>
    <w:rsid w:val="004853B4"/>
    <w:rsid w:val="00485664"/>
    <w:rsid w:val="0048592E"/>
    <w:rsid w:val="00485BF0"/>
    <w:rsid w:val="00485C5B"/>
    <w:rsid w:val="00485D47"/>
    <w:rsid w:val="00485FB2"/>
    <w:rsid w:val="00486144"/>
    <w:rsid w:val="00486452"/>
    <w:rsid w:val="0048648D"/>
    <w:rsid w:val="0048659A"/>
    <w:rsid w:val="00486BB3"/>
    <w:rsid w:val="00486D37"/>
    <w:rsid w:val="00486E3D"/>
    <w:rsid w:val="00486FFC"/>
    <w:rsid w:val="004870F3"/>
    <w:rsid w:val="004875B3"/>
    <w:rsid w:val="004876C1"/>
    <w:rsid w:val="00487866"/>
    <w:rsid w:val="00487A43"/>
    <w:rsid w:val="00487BC0"/>
    <w:rsid w:val="00487C31"/>
    <w:rsid w:val="00487FC1"/>
    <w:rsid w:val="004900F2"/>
    <w:rsid w:val="004902E7"/>
    <w:rsid w:val="00490676"/>
    <w:rsid w:val="0049072A"/>
    <w:rsid w:val="004907B3"/>
    <w:rsid w:val="00490829"/>
    <w:rsid w:val="0049082C"/>
    <w:rsid w:val="004908B0"/>
    <w:rsid w:val="00490AF6"/>
    <w:rsid w:val="00490B13"/>
    <w:rsid w:val="00490C8B"/>
    <w:rsid w:val="00490CBB"/>
    <w:rsid w:val="00490E99"/>
    <w:rsid w:val="00490F7A"/>
    <w:rsid w:val="0049118A"/>
    <w:rsid w:val="0049158E"/>
    <w:rsid w:val="004916E2"/>
    <w:rsid w:val="00491936"/>
    <w:rsid w:val="00491A22"/>
    <w:rsid w:val="00491A7E"/>
    <w:rsid w:val="00491C02"/>
    <w:rsid w:val="00491E72"/>
    <w:rsid w:val="00491EB7"/>
    <w:rsid w:val="00492065"/>
    <w:rsid w:val="00492169"/>
    <w:rsid w:val="004921C0"/>
    <w:rsid w:val="004922A8"/>
    <w:rsid w:val="0049234E"/>
    <w:rsid w:val="004924D7"/>
    <w:rsid w:val="00492544"/>
    <w:rsid w:val="00492562"/>
    <w:rsid w:val="004927AC"/>
    <w:rsid w:val="00492875"/>
    <w:rsid w:val="00492AFC"/>
    <w:rsid w:val="00492B35"/>
    <w:rsid w:val="00492B52"/>
    <w:rsid w:val="004932C2"/>
    <w:rsid w:val="00493517"/>
    <w:rsid w:val="00493595"/>
    <w:rsid w:val="0049367B"/>
    <w:rsid w:val="00493907"/>
    <w:rsid w:val="00493AB6"/>
    <w:rsid w:val="00493CC8"/>
    <w:rsid w:val="00493CFB"/>
    <w:rsid w:val="00493DB5"/>
    <w:rsid w:val="00493DB9"/>
    <w:rsid w:val="00493DCA"/>
    <w:rsid w:val="00493E22"/>
    <w:rsid w:val="00493EA4"/>
    <w:rsid w:val="00494487"/>
    <w:rsid w:val="004948BB"/>
    <w:rsid w:val="00494ADF"/>
    <w:rsid w:val="00494D66"/>
    <w:rsid w:val="00494DFC"/>
    <w:rsid w:val="00494E72"/>
    <w:rsid w:val="00494F5E"/>
    <w:rsid w:val="00494F9A"/>
    <w:rsid w:val="004951E0"/>
    <w:rsid w:val="00495379"/>
    <w:rsid w:val="004954D2"/>
    <w:rsid w:val="00495631"/>
    <w:rsid w:val="00495773"/>
    <w:rsid w:val="00495C65"/>
    <w:rsid w:val="00495E4B"/>
    <w:rsid w:val="00495F71"/>
    <w:rsid w:val="00495F9E"/>
    <w:rsid w:val="0049647A"/>
    <w:rsid w:val="00496497"/>
    <w:rsid w:val="0049677E"/>
    <w:rsid w:val="0049687F"/>
    <w:rsid w:val="004968BE"/>
    <w:rsid w:val="004969DE"/>
    <w:rsid w:val="00496B30"/>
    <w:rsid w:val="00496C91"/>
    <w:rsid w:val="00496F43"/>
    <w:rsid w:val="004970EC"/>
    <w:rsid w:val="0049723F"/>
    <w:rsid w:val="0049736F"/>
    <w:rsid w:val="0049742A"/>
    <w:rsid w:val="00497524"/>
    <w:rsid w:val="004977ED"/>
    <w:rsid w:val="00497848"/>
    <w:rsid w:val="004978C9"/>
    <w:rsid w:val="00497CAC"/>
    <w:rsid w:val="00497E03"/>
    <w:rsid w:val="00497E2E"/>
    <w:rsid w:val="00497E8A"/>
    <w:rsid w:val="00497EC0"/>
    <w:rsid w:val="004A017B"/>
    <w:rsid w:val="004A022E"/>
    <w:rsid w:val="004A0248"/>
    <w:rsid w:val="004A0319"/>
    <w:rsid w:val="004A0448"/>
    <w:rsid w:val="004A04A4"/>
    <w:rsid w:val="004A050A"/>
    <w:rsid w:val="004A062F"/>
    <w:rsid w:val="004A06F8"/>
    <w:rsid w:val="004A0792"/>
    <w:rsid w:val="004A079F"/>
    <w:rsid w:val="004A0891"/>
    <w:rsid w:val="004A0A5F"/>
    <w:rsid w:val="004A0C01"/>
    <w:rsid w:val="004A127A"/>
    <w:rsid w:val="004A127D"/>
    <w:rsid w:val="004A188D"/>
    <w:rsid w:val="004A1A0E"/>
    <w:rsid w:val="004A1AF8"/>
    <w:rsid w:val="004A1C73"/>
    <w:rsid w:val="004A1CAA"/>
    <w:rsid w:val="004A1D08"/>
    <w:rsid w:val="004A1DAF"/>
    <w:rsid w:val="004A1E38"/>
    <w:rsid w:val="004A2104"/>
    <w:rsid w:val="004A2177"/>
    <w:rsid w:val="004A2476"/>
    <w:rsid w:val="004A2525"/>
    <w:rsid w:val="004A27C5"/>
    <w:rsid w:val="004A27F4"/>
    <w:rsid w:val="004A29D2"/>
    <w:rsid w:val="004A29F6"/>
    <w:rsid w:val="004A2B9F"/>
    <w:rsid w:val="004A2C2D"/>
    <w:rsid w:val="004A2D6B"/>
    <w:rsid w:val="004A2D9B"/>
    <w:rsid w:val="004A330E"/>
    <w:rsid w:val="004A35B1"/>
    <w:rsid w:val="004A3822"/>
    <w:rsid w:val="004A3853"/>
    <w:rsid w:val="004A3BCB"/>
    <w:rsid w:val="004A3D39"/>
    <w:rsid w:val="004A430E"/>
    <w:rsid w:val="004A4528"/>
    <w:rsid w:val="004A4609"/>
    <w:rsid w:val="004A476E"/>
    <w:rsid w:val="004A4D7C"/>
    <w:rsid w:val="004A4E97"/>
    <w:rsid w:val="004A4F3F"/>
    <w:rsid w:val="004A4FE8"/>
    <w:rsid w:val="004A509F"/>
    <w:rsid w:val="004A5100"/>
    <w:rsid w:val="004A5153"/>
    <w:rsid w:val="004A5225"/>
    <w:rsid w:val="004A5329"/>
    <w:rsid w:val="004A5380"/>
    <w:rsid w:val="004A54DA"/>
    <w:rsid w:val="004A5D24"/>
    <w:rsid w:val="004A5DD7"/>
    <w:rsid w:val="004A5ECA"/>
    <w:rsid w:val="004A660A"/>
    <w:rsid w:val="004A6BCE"/>
    <w:rsid w:val="004A6DB9"/>
    <w:rsid w:val="004A6DC6"/>
    <w:rsid w:val="004A6F74"/>
    <w:rsid w:val="004A6FF9"/>
    <w:rsid w:val="004A70C1"/>
    <w:rsid w:val="004A7164"/>
    <w:rsid w:val="004A71F1"/>
    <w:rsid w:val="004A7239"/>
    <w:rsid w:val="004A72D4"/>
    <w:rsid w:val="004A73EC"/>
    <w:rsid w:val="004A75A4"/>
    <w:rsid w:val="004A75A7"/>
    <w:rsid w:val="004A7691"/>
    <w:rsid w:val="004A7756"/>
    <w:rsid w:val="004A7AD8"/>
    <w:rsid w:val="004A7B56"/>
    <w:rsid w:val="004A7BA1"/>
    <w:rsid w:val="004A7F01"/>
    <w:rsid w:val="004B003B"/>
    <w:rsid w:val="004B0132"/>
    <w:rsid w:val="004B01A0"/>
    <w:rsid w:val="004B0311"/>
    <w:rsid w:val="004B0333"/>
    <w:rsid w:val="004B094D"/>
    <w:rsid w:val="004B0B2E"/>
    <w:rsid w:val="004B0B3A"/>
    <w:rsid w:val="004B0C8B"/>
    <w:rsid w:val="004B0E47"/>
    <w:rsid w:val="004B100E"/>
    <w:rsid w:val="004B111F"/>
    <w:rsid w:val="004B114C"/>
    <w:rsid w:val="004B114D"/>
    <w:rsid w:val="004B1196"/>
    <w:rsid w:val="004B11BF"/>
    <w:rsid w:val="004B122D"/>
    <w:rsid w:val="004B1267"/>
    <w:rsid w:val="004B12FF"/>
    <w:rsid w:val="004B13AA"/>
    <w:rsid w:val="004B13ED"/>
    <w:rsid w:val="004B1487"/>
    <w:rsid w:val="004B14CE"/>
    <w:rsid w:val="004B15CF"/>
    <w:rsid w:val="004B1660"/>
    <w:rsid w:val="004B1684"/>
    <w:rsid w:val="004B1AC0"/>
    <w:rsid w:val="004B1B7A"/>
    <w:rsid w:val="004B1CF4"/>
    <w:rsid w:val="004B1D15"/>
    <w:rsid w:val="004B1E7E"/>
    <w:rsid w:val="004B20AA"/>
    <w:rsid w:val="004B2482"/>
    <w:rsid w:val="004B28E6"/>
    <w:rsid w:val="004B28E8"/>
    <w:rsid w:val="004B2936"/>
    <w:rsid w:val="004B29FC"/>
    <w:rsid w:val="004B2B79"/>
    <w:rsid w:val="004B2BD5"/>
    <w:rsid w:val="004B2C06"/>
    <w:rsid w:val="004B3020"/>
    <w:rsid w:val="004B307B"/>
    <w:rsid w:val="004B31D1"/>
    <w:rsid w:val="004B3278"/>
    <w:rsid w:val="004B3542"/>
    <w:rsid w:val="004B39F0"/>
    <w:rsid w:val="004B3A55"/>
    <w:rsid w:val="004B3C7E"/>
    <w:rsid w:val="004B41FC"/>
    <w:rsid w:val="004B4210"/>
    <w:rsid w:val="004B4214"/>
    <w:rsid w:val="004B4482"/>
    <w:rsid w:val="004B450D"/>
    <w:rsid w:val="004B4800"/>
    <w:rsid w:val="004B517B"/>
    <w:rsid w:val="004B5521"/>
    <w:rsid w:val="004B55D3"/>
    <w:rsid w:val="004B590C"/>
    <w:rsid w:val="004B5B78"/>
    <w:rsid w:val="004B5EDB"/>
    <w:rsid w:val="004B5F55"/>
    <w:rsid w:val="004B5F6E"/>
    <w:rsid w:val="004B607A"/>
    <w:rsid w:val="004B61DE"/>
    <w:rsid w:val="004B65EF"/>
    <w:rsid w:val="004B67D5"/>
    <w:rsid w:val="004B694E"/>
    <w:rsid w:val="004B69DB"/>
    <w:rsid w:val="004B6FE0"/>
    <w:rsid w:val="004B700D"/>
    <w:rsid w:val="004B70B8"/>
    <w:rsid w:val="004B7192"/>
    <w:rsid w:val="004B7301"/>
    <w:rsid w:val="004B7326"/>
    <w:rsid w:val="004B7407"/>
    <w:rsid w:val="004B7630"/>
    <w:rsid w:val="004B7B1D"/>
    <w:rsid w:val="004B7D3C"/>
    <w:rsid w:val="004B7D70"/>
    <w:rsid w:val="004B7DA6"/>
    <w:rsid w:val="004B7DB5"/>
    <w:rsid w:val="004B7F9D"/>
    <w:rsid w:val="004C03C1"/>
    <w:rsid w:val="004C0587"/>
    <w:rsid w:val="004C06AF"/>
    <w:rsid w:val="004C0772"/>
    <w:rsid w:val="004C09DA"/>
    <w:rsid w:val="004C0A98"/>
    <w:rsid w:val="004C0DA2"/>
    <w:rsid w:val="004C0E0C"/>
    <w:rsid w:val="004C0EBC"/>
    <w:rsid w:val="004C0EE4"/>
    <w:rsid w:val="004C0F03"/>
    <w:rsid w:val="004C139C"/>
    <w:rsid w:val="004C176F"/>
    <w:rsid w:val="004C1774"/>
    <w:rsid w:val="004C1794"/>
    <w:rsid w:val="004C1798"/>
    <w:rsid w:val="004C1821"/>
    <w:rsid w:val="004C18A9"/>
    <w:rsid w:val="004C18BA"/>
    <w:rsid w:val="004C1990"/>
    <w:rsid w:val="004C1A59"/>
    <w:rsid w:val="004C1B85"/>
    <w:rsid w:val="004C1E5D"/>
    <w:rsid w:val="004C2207"/>
    <w:rsid w:val="004C233D"/>
    <w:rsid w:val="004C23ED"/>
    <w:rsid w:val="004C24AC"/>
    <w:rsid w:val="004C28E3"/>
    <w:rsid w:val="004C2B89"/>
    <w:rsid w:val="004C2C0E"/>
    <w:rsid w:val="004C2CA1"/>
    <w:rsid w:val="004C2D18"/>
    <w:rsid w:val="004C2EDF"/>
    <w:rsid w:val="004C3101"/>
    <w:rsid w:val="004C3148"/>
    <w:rsid w:val="004C31AC"/>
    <w:rsid w:val="004C3316"/>
    <w:rsid w:val="004C33C7"/>
    <w:rsid w:val="004C34A1"/>
    <w:rsid w:val="004C352F"/>
    <w:rsid w:val="004C3703"/>
    <w:rsid w:val="004C3927"/>
    <w:rsid w:val="004C3A43"/>
    <w:rsid w:val="004C3C38"/>
    <w:rsid w:val="004C3D33"/>
    <w:rsid w:val="004C3F56"/>
    <w:rsid w:val="004C405B"/>
    <w:rsid w:val="004C4164"/>
    <w:rsid w:val="004C44D7"/>
    <w:rsid w:val="004C455A"/>
    <w:rsid w:val="004C455B"/>
    <w:rsid w:val="004C4662"/>
    <w:rsid w:val="004C4D10"/>
    <w:rsid w:val="004C4E54"/>
    <w:rsid w:val="004C5300"/>
    <w:rsid w:val="004C53F7"/>
    <w:rsid w:val="004C55E1"/>
    <w:rsid w:val="004C5645"/>
    <w:rsid w:val="004C570A"/>
    <w:rsid w:val="004C5746"/>
    <w:rsid w:val="004C575D"/>
    <w:rsid w:val="004C58B7"/>
    <w:rsid w:val="004C5A0C"/>
    <w:rsid w:val="004C5D15"/>
    <w:rsid w:val="004C6108"/>
    <w:rsid w:val="004C668E"/>
    <w:rsid w:val="004C67CB"/>
    <w:rsid w:val="004C6A53"/>
    <w:rsid w:val="004C706F"/>
    <w:rsid w:val="004C70A2"/>
    <w:rsid w:val="004C732E"/>
    <w:rsid w:val="004C7338"/>
    <w:rsid w:val="004C73E3"/>
    <w:rsid w:val="004C75F1"/>
    <w:rsid w:val="004C7705"/>
    <w:rsid w:val="004C7989"/>
    <w:rsid w:val="004C7995"/>
    <w:rsid w:val="004C7A5D"/>
    <w:rsid w:val="004C7AC0"/>
    <w:rsid w:val="004C7AEC"/>
    <w:rsid w:val="004C7BE0"/>
    <w:rsid w:val="004C7E3D"/>
    <w:rsid w:val="004C7EBD"/>
    <w:rsid w:val="004D00A4"/>
    <w:rsid w:val="004D0572"/>
    <w:rsid w:val="004D0808"/>
    <w:rsid w:val="004D094C"/>
    <w:rsid w:val="004D0CD8"/>
    <w:rsid w:val="004D0CF6"/>
    <w:rsid w:val="004D0CFD"/>
    <w:rsid w:val="004D0D1C"/>
    <w:rsid w:val="004D0E1C"/>
    <w:rsid w:val="004D1012"/>
    <w:rsid w:val="004D1013"/>
    <w:rsid w:val="004D10BF"/>
    <w:rsid w:val="004D10EA"/>
    <w:rsid w:val="004D11A6"/>
    <w:rsid w:val="004D146E"/>
    <w:rsid w:val="004D1A31"/>
    <w:rsid w:val="004D1A3C"/>
    <w:rsid w:val="004D1B60"/>
    <w:rsid w:val="004D1B82"/>
    <w:rsid w:val="004D210E"/>
    <w:rsid w:val="004D22D2"/>
    <w:rsid w:val="004D235D"/>
    <w:rsid w:val="004D26BE"/>
    <w:rsid w:val="004D26D8"/>
    <w:rsid w:val="004D2817"/>
    <w:rsid w:val="004D2A02"/>
    <w:rsid w:val="004D2B13"/>
    <w:rsid w:val="004D2EB5"/>
    <w:rsid w:val="004D2F1B"/>
    <w:rsid w:val="004D305C"/>
    <w:rsid w:val="004D3358"/>
    <w:rsid w:val="004D335F"/>
    <w:rsid w:val="004D34F5"/>
    <w:rsid w:val="004D3744"/>
    <w:rsid w:val="004D3AD4"/>
    <w:rsid w:val="004D3BEA"/>
    <w:rsid w:val="004D3BEC"/>
    <w:rsid w:val="004D3C96"/>
    <w:rsid w:val="004D3F15"/>
    <w:rsid w:val="004D4039"/>
    <w:rsid w:val="004D408C"/>
    <w:rsid w:val="004D4185"/>
    <w:rsid w:val="004D419F"/>
    <w:rsid w:val="004D423F"/>
    <w:rsid w:val="004D4332"/>
    <w:rsid w:val="004D43EE"/>
    <w:rsid w:val="004D4558"/>
    <w:rsid w:val="004D469F"/>
    <w:rsid w:val="004D4755"/>
    <w:rsid w:val="004D47E0"/>
    <w:rsid w:val="004D4B98"/>
    <w:rsid w:val="004D4BE8"/>
    <w:rsid w:val="004D4D0F"/>
    <w:rsid w:val="004D4DEC"/>
    <w:rsid w:val="004D4E0D"/>
    <w:rsid w:val="004D510F"/>
    <w:rsid w:val="004D5135"/>
    <w:rsid w:val="004D53FB"/>
    <w:rsid w:val="004D5842"/>
    <w:rsid w:val="004D584A"/>
    <w:rsid w:val="004D59D2"/>
    <w:rsid w:val="004D5C03"/>
    <w:rsid w:val="004D5C39"/>
    <w:rsid w:val="004D5D40"/>
    <w:rsid w:val="004D5F2D"/>
    <w:rsid w:val="004D62C0"/>
    <w:rsid w:val="004D6383"/>
    <w:rsid w:val="004D65D9"/>
    <w:rsid w:val="004D6759"/>
    <w:rsid w:val="004D6791"/>
    <w:rsid w:val="004D68A3"/>
    <w:rsid w:val="004D6A4B"/>
    <w:rsid w:val="004D6AD4"/>
    <w:rsid w:val="004D6FA1"/>
    <w:rsid w:val="004D70B0"/>
    <w:rsid w:val="004D7490"/>
    <w:rsid w:val="004D76A2"/>
    <w:rsid w:val="004D7EE6"/>
    <w:rsid w:val="004D7F4B"/>
    <w:rsid w:val="004E005B"/>
    <w:rsid w:val="004E00B7"/>
    <w:rsid w:val="004E03F8"/>
    <w:rsid w:val="004E05B0"/>
    <w:rsid w:val="004E06AA"/>
    <w:rsid w:val="004E0827"/>
    <w:rsid w:val="004E0ACE"/>
    <w:rsid w:val="004E0AFE"/>
    <w:rsid w:val="004E0C02"/>
    <w:rsid w:val="004E0D22"/>
    <w:rsid w:val="004E0DD1"/>
    <w:rsid w:val="004E113A"/>
    <w:rsid w:val="004E115E"/>
    <w:rsid w:val="004E11B6"/>
    <w:rsid w:val="004E1455"/>
    <w:rsid w:val="004E1488"/>
    <w:rsid w:val="004E17AB"/>
    <w:rsid w:val="004E19F2"/>
    <w:rsid w:val="004E1AC5"/>
    <w:rsid w:val="004E1B3F"/>
    <w:rsid w:val="004E1D93"/>
    <w:rsid w:val="004E1D9A"/>
    <w:rsid w:val="004E1E74"/>
    <w:rsid w:val="004E1EF9"/>
    <w:rsid w:val="004E2126"/>
    <w:rsid w:val="004E232F"/>
    <w:rsid w:val="004E2623"/>
    <w:rsid w:val="004E2649"/>
    <w:rsid w:val="004E27A1"/>
    <w:rsid w:val="004E27A3"/>
    <w:rsid w:val="004E27F2"/>
    <w:rsid w:val="004E2C18"/>
    <w:rsid w:val="004E2C45"/>
    <w:rsid w:val="004E31AC"/>
    <w:rsid w:val="004E32D1"/>
    <w:rsid w:val="004E3441"/>
    <w:rsid w:val="004E3486"/>
    <w:rsid w:val="004E3488"/>
    <w:rsid w:val="004E3786"/>
    <w:rsid w:val="004E38B0"/>
    <w:rsid w:val="004E39D8"/>
    <w:rsid w:val="004E39ED"/>
    <w:rsid w:val="004E3A6D"/>
    <w:rsid w:val="004E3B4C"/>
    <w:rsid w:val="004E3B71"/>
    <w:rsid w:val="004E3B85"/>
    <w:rsid w:val="004E3E76"/>
    <w:rsid w:val="004E3F4D"/>
    <w:rsid w:val="004E42B3"/>
    <w:rsid w:val="004E43DB"/>
    <w:rsid w:val="004E4576"/>
    <w:rsid w:val="004E4611"/>
    <w:rsid w:val="004E4734"/>
    <w:rsid w:val="004E4737"/>
    <w:rsid w:val="004E473D"/>
    <w:rsid w:val="004E4A56"/>
    <w:rsid w:val="004E4B5E"/>
    <w:rsid w:val="004E4C81"/>
    <w:rsid w:val="004E501E"/>
    <w:rsid w:val="004E54C3"/>
    <w:rsid w:val="004E5540"/>
    <w:rsid w:val="004E587E"/>
    <w:rsid w:val="004E58D6"/>
    <w:rsid w:val="004E5D9A"/>
    <w:rsid w:val="004E5DC0"/>
    <w:rsid w:val="004E5E1D"/>
    <w:rsid w:val="004E5E39"/>
    <w:rsid w:val="004E6028"/>
    <w:rsid w:val="004E62B1"/>
    <w:rsid w:val="004E6490"/>
    <w:rsid w:val="004E65FA"/>
    <w:rsid w:val="004E66A0"/>
    <w:rsid w:val="004E66E4"/>
    <w:rsid w:val="004E66E5"/>
    <w:rsid w:val="004E67B0"/>
    <w:rsid w:val="004E6845"/>
    <w:rsid w:val="004E6BC3"/>
    <w:rsid w:val="004E6DB0"/>
    <w:rsid w:val="004E6E7E"/>
    <w:rsid w:val="004E6ECC"/>
    <w:rsid w:val="004E6FF7"/>
    <w:rsid w:val="004E7002"/>
    <w:rsid w:val="004E7019"/>
    <w:rsid w:val="004E7353"/>
    <w:rsid w:val="004E7378"/>
    <w:rsid w:val="004E73E0"/>
    <w:rsid w:val="004E75CA"/>
    <w:rsid w:val="004E769F"/>
    <w:rsid w:val="004E7752"/>
    <w:rsid w:val="004E7817"/>
    <w:rsid w:val="004E7881"/>
    <w:rsid w:val="004E78D1"/>
    <w:rsid w:val="004E7959"/>
    <w:rsid w:val="004E7BB0"/>
    <w:rsid w:val="004E7D13"/>
    <w:rsid w:val="004F0010"/>
    <w:rsid w:val="004F03C0"/>
    <w:rsid w:val="004F03D9"/>
    <w:rsid w:val="004F03FB"/>
    <w:rsid w:val="004F0426"/>
    <w:rsid w:val="004F067A"/>
    <w:rsid w:val="004F082B"/>
    <w:rsid w:val="004F0A3B"/>
    <w:rsid w:val="004F0ABF"/>
    <w:rsid w:val="004F0BA3"/>
    <w:rsid w:val="004F0BF3"/>
    <w:rsid w:val="004F0C1B"/>
    <w:rsid w:val="004F0C45"/>
    <w:rsid w:val="004F0DA8"/>
    <w:rsid w:val="004F0FA1"/>
    <w:rsid w:val="004F110E"/>
    <w:rsid w:val="004F122E"/>
    <w:rsid w:val="004F12D8"/>
    <w:rsid w:val="004F1347"/>
    <w:rsid w:val="004F1567"/>
    <w:rsid w:val="004F15A2"/>
    <w:rsid w:val="004F19C0"/>
    <w:rsid w:val="004F1A32"/>
    <w:rsid w:val="004F1AE3"/>
    <w:rsid w:val="004F1B9C"/>
    <w:rsid w:val="004F1EAC"/>
    <w:rsid w:val="004F1F82"/>
    <w:rsid w:val="004F2163"/>
    <w:rsid w:val="004F2552"/>
    <w:rsid w:val="004F257F"/>
    <w:rsid w:val="004F25C3"/>
    <w:rsid w:val="004F25CC"/>
    <w:rsid w:val="004F2651"/>
    <w:rsid w:val="004F278B"/>
    <w:rsid w:val="004F27CA"/>
    <w:rsid w:val="004F27F2"/>
    <w:rsid w:val="004F282D"/>
    <w:rsid w:val="004F2910"/>
    <w:rsid w:val="004F2DEA"/>
    <w:rsid w:val="004F3242"/>
    <w:rsid w:val="004F3319"/>
    <w:rsid w:val="004F3465"/>
    <w:rsid w:val="004F34E0"/>
    <w:rsid w:val="004F350D"/>
    <w:rsid w:val="004F35DB"/>
    <w:rsid w:val="004F382C"/>
    <w:rsid w:val="004F395D"/>
    <w:rsid w:val="004F3ACE"/>
    <w:rsid w:val="004F3B75"/>
    <w:rsid w:val="004F3DE5"/>
    <w:rsid w:val="004F3EB9"/>
    <w:rsid w:val="004F3EC4"/>
    <w:rsid w:val="004F405A"/>
    <w:rsid w:val="004F4250"/>
    <w:rsid w:val="004F46A4"/>
    <w:rsid w:val="004F46AF"/>
    <w:rsid w:val="004F481E"/>
    <w:rsid w:val="004F4A54"/>
    <w:rsid w:val="004F4A70"/>
    <w:rsid w:val="004F4BA4"/>
    <w:rsid w:val="004F4CB0"/>
    <w:rsid w:val="004F4D26"/>
    <w:rsid w:val="004F4E60"/>
    <w:rsid w:val="004F5142"/>
    <w:rsid w:val="004F51C2"/>
    <w:rsid w:val="004F5222"/>
    <w:rsid w:val="004F53EC"/>
    <w:rsid w:val="004F5433"/>
    <w:rsid w:val="004F5485"/>
    <w:rsid w:val="004F54AE"/>
    <w:rsid w:val="004F5653"/>
    <w:rsid w:val="004F5741"/>
    <w:rsid w:val="004F577F"/>
    <w:rsid w:val="004F585D"/>
    <w:rsid w:val="004F59CD"/>
    <w:rsid w:val="004F5A08"/>
    <w:rsid w:val="004F5AAA"/>
    <w:rsid w:val="004F5B04"/>
    <w:rsid w:val="004F5CBA"/>
    <w:rsid w:val="004F60F5"/>
    <w:rsid w:val="004F631A"/>
    <w:rsid w:val="004F6480"/>
    <w:rsid w:val="004F65B7"/>
    <w:rsid w:val="004F66AD"/>
    <w:rsid w:val="004F66F8"/>
    <w:rsid w:val="004F6720"/>
    <w:rsid w:val="004F68FF"/>
    <w:rsid w:val="004F6B46"/>
    <w:rsid w:val="004F6E7F"/>
    <w:rsid w:val="004F70CB"/>
    <w:rsid w:val="004F71EE"/>
    <w:rsid w:val="004F766E"/>
    <w:rsid w:val="004F76ED"/>
    <w:rsid w:val="004F76EE"/>
    <w:rsid w:val="004F7782"/>
    <w:rsid w:val="004F778E"/>
    <w:rsid w:val="004F7804"/>
    <w:rsid w:val="004F785C"/>
    <w:rsid w:val="004F7864"/>
    <w:rsid w:val="004F7897"/>
    <w:rsid w:val="004F78C2"/>
    <w:rsid w:val="004F79E9"/>
    <w:rsid w:val="004F7A10"/>
    <w:rsid w:val="004F7B41"/>
    <w:rsid w:val="004F7E70"/>
    <w:rsid w:val="00500040"/>
    <w:rsid w:val="00500117"/>
    <w:rsid w:val="005002D8"/>
    <w:rsid w:val="005003A6"/>
    <w:rsid w:val="005005EB"/>
    <w:rsid w:val="005005FA"/>
    <w:rsid w:val="00500617"/>
    <w:rsid w:val="0050077B"/>
    <w:rsid w:val="005009F1"/>
    <w:rsid w:val="00500B63"/>
    <w:rsid w:val="00500B79"/>
    <w:rsid w:val="00500B9A"/>
    <w:rsid w:val="00500EE2"/>
    <w:rsid w:val="00500F29"/>
    <w:rsid w:val="005010C6"/>
    <w:rsid w:val="00501229"/>
    <w:rsid w:val="0050124F"/>
    <w:rsid w:val="00501987"/>
    <w:rsid w:val="005019EE"/>
    <w:rsid w:val="00501AF8"/>
    <w:rsid w:val="00502154"/>
    <w:rsid w:val="0050250B"/>
    <w:rsid w:val="005025BC"/>
    <w:rsid w:val="005027B1"/>
    <w:rsid w:val="00502EC4"/>
    <w:rsid w:val="005031C2"/>
    <w:rsid w:val="005032C2"/>
    <w:rsid w:val="0050363B"/>
    <w:rsid w:val="0050370D"/>
    <w:rsid w:val="005037EB"/>
    <w:rsid w:val="00503A25"/>
    <w:rsid w:val="00503ABF"/>
    <w:rsid w:val="00503BF3"/>
    <w:rsid w:val="00503E87"/>
    <w:rsid w:val="00504010"/>
    <w:rsid w:val="0050404A"/>
    <w:rsid w:val="0050405D"/>
    <w:rsid w:val="005040F0"/>
    <w:rsid w:val="005040F1"/>
    <w:rsid w:val="00504102"/>
    <w:rsid w:val="0050414D"/>
    <w:rsid w:val="0050453F"/>
    <w:rsid w:val="005046B6"/>
    <w:rsid w:val="005048B6"/>
    <w:rsid w:val="0050497F"/>
    <w:rsid w:val="00504F55"/>
    <w:rsid w:val="005050F9"/>
    <w:rsid w:val="005053B5"/>
    <w:rsid w:val="00505452"/>
    <w:rsid w:val="00505468"/>
    <w:rsid w:val="005055A4"/>
    <w:rsid w:val="0050582C"/>
    <w:rsid w:val="00505E62"/>
    <w:rsid w:val="00505EFD"/>
    <w:rsid w:val="00505F3F"/>
    <w:rsid w:val="0050613A"/>
    <w:rsid w:val="00506299"/>
    <w:rsid w:val="00506384"/>
    <w:rsid w:val="0050638D"/>
    <w:rsid w:val="0050649F"/>
    <w:rsid w:val="005065A1"/>
    <w:rsid w:val="005065F7"/>
    <w:rsid w:val="00506620"/>
    <w:rsid w:val="0050699F"/>
    <w:rsid w:val="005069BC"/>
    <w:rsid w:val="00506B31"/>
    <w:rsid w:val="00506BD9"/>
    <w:rsid w:val="00506C9F"/>
    <w:rsid w:val="00506DA9"/>
    <w:rsid w:val="005071BD"/>
    <w:rsid w:val="005071C3"/>
    <w:rsid w:val="005071D5"/>
    <w:rsid w:val="00507343"/>
    <w:rsid w:val="0050747E"/>
    <w:rsid w:val="0050754A"/>
    <w:rsid w:val="005077C7"/>
    <w:rsid w:val="00507C0B"/>
    <w:rsid w:val="00507D21"/>
    <w:rsid w:val="00507F9F"/>
    <w:rsid w:val="00510040"/>
    <w:rsid w:val="00510305"/>
    <w:rsid w:val="00510348"/>
    <w:rsid w:val="005103E1"/>
    <w:rsid w:val="005104CA"/>
    <w:rsid w:val="005105EE"/>
    <w:rsid w:val="00510697"/>
    <w:rsid w:val="0051084B"/>
    <w:rsid w:val="0051090B"/>
    <w:rsid w:val="00510F20"/>
    <w:rsid w:val="0051101C"/>
    <w:rsid w:val="0051111E"/>
    <w:rsid w:val="005111C7"/>
    <w:rsid w:val="0051137D"/>
    <w:rsid w:val="005113E0"/>
    <w:rsid w:val="0051143F"/>
    <w:rsid w:val="005114DA"/>
    <w:rsid w:val="005115E5"/>
    <w:rsid w:val="00511847"/>
    <w:rsid w:val="00511A62"/>
    <w:rsid w:val="00511BB9"/>
    <w:rsid w:val="00511BD8"/>
    <w:rsid w:val="00511C8C"/>
    <w:rsid w:val="00511E01"/>
    <w:rsid w:val="00512096"/>
    <w:rsid w:val="005120BC"/>
    <w:rsid w:val="005120F5"/>
    <w:rsid w:val="0051210F"/>
    <w:rsid w:val="005122B4"/>
    <w:rsid w:val="00512547"/>
    <w:rsid w:val="00512647"/>
    <w:rsid w:val="00512670"/>
    <w:rsid w:val="00512746"/>
    <w:rsid w:val="005127E7"/>
    <w:rsid w:val="00512915"/>
    <w:rsid w:val="00512BDE"/>
    <w:rsid w:val="00512CB7"/>
    <w:rsid w:val="00512CBA"/>
    <w:rsid w:val="00512E4D"/>
    <w:rsid w:val="00512E93"/>
    <w:rsid w:val="00512EAC"/>
    <w:rsid w:val="0051317C"/>
    <w:rsid w:val="0051326A"/>
    <w:rsid w:val="005132E4"/>
    <w:rsid w:val="00513434"/>
    <w:rsid w:val="0051345F"/>
    <w:rsid w:val="005135F1"/>
    <w:rsid w:val="0051366A"/>
    <w:rsid w:val="00513733"/>
    <w:rsid w:val="0051382B"/>
    <w:rsid w:val="0051394C"/>
    <w:rsid w:val="00513EAB"/>
    <w:rsid w:val="00513EAF"/>
    <w:rsid w:val="00514189"/>
    <w:rsid w:val="005141C3"/>
    <w:rsid w:val="005144E4"/>
    <w:rsid w:val="005145EE"/>
    <w:rsid w:val="005146B9"/>
    <w:rsid w:val="005149D0"/>
    <w:rsid w:val="00515047"/>
    <w:rsid w:val="005153CC"/>
    <w:rsid w:val="00515472"/>
    <w:rsid w:val="00515617"/>
    <w:rsid w:val="0051579A"/>
    <w:rsid w:val="0051583E"/>
    <w:rsid w:val="00515956"/>
    <w:rsid w:val="005159E5"/>
    <w:rsid w:val="00515D65"/>
    <w:rsid w:val="00515F21"/>
    <w:rsid w:val="005161A1"/>
    <w:rsid w:val="005161F2"/>
    <w:rsid w:val="00516295"/>
    <w:rsid w:val="005163F1"/>
    <w:rsid w:val="005166FF"/>
    <w:rsid w:val="00516B50"/>
    <w:rsid w:val="0051716D"/>
    <w:rsid w:val="0051737B"/>
    <w:rsid w:val="0051751E"/>
    <w:rsid w:val="0051755B"/>
    <w:rsid w:val="005177F1"/>
    <w:rsid w:val="00517A77"/>
    <w:rsid w:val="00517BDE"/>
    <w:rsid w:val="00517D24"/>
    <w:rsid w:val="00517E64"/>
    <w:rsid w:val="0052030A"/>
    <w:rsid w:val="00520484"/>
    <w:rsid w:val="0052059F"/>
    <w:rsid w:val="00520779"/>
    <w:rsid w:val="005207D5"/>
    <w:rsid w:val="005208D4"/>
    <w:rsid w:val="005209EF"/>
    <w:rsid w:val="00520E9D"/>
    <w:rsid w:val="00521029"/>
    <w:rsid w:val="005210CA"/>
    <w:rsid w:val="005214DD"/>
    <w:rsid w:val="00521561"/>
    <w:rsid w:val="0052186E"/>
    <w:rsid w:val="00521B5C"/>
    <w:rsid w:val="00521CF5"/>
    <w:rsid w:val="00521E3C"/>
    <w:rsid w:val="00522047"/>
    <w:rsid w:val="00522314"/>
    <w:rsid w:val="005224F6"/>
    <w:rsid w:val="00522609"/>
    <w:rsid w:val="005227B9"/>
    <w:rsid w:val="00522832"/>
    <w:rsid w:val="00522C34"/>
    <w:rsid w:val="00522F2B"/>
    <w:rsid w:val="00523056"/>
    <w:rsid w:val="00523234"/>
    <w:rsid w:val="0052333B"/>
    <w:rsid w:val="005234BD"/>
    <w:rsid w:val="00523695"/>
    <w:rsid w:val="00523AD5"/>
    <w:rsid w:val="00523BD8"/>
    <w:rsid w:val="00523C03"/>
    <w:rsid w:val="00523C16"/>
    <w:rsid w:val="00523CA0"/>
    <w:rsid w:val="00523EF7"/>
    <w:rsid w:val="005241F2"/>
    <w:rsid w:val="00524278"/>
    <w:rsid w:val="005246DA"/>
    <w:rsid w:val="005247F4"/>
    <w:rsid w:val="00524AC9"/>
    <w:rsid w:val="00524D80"/>
    <w:rsid w:val="00524F72"/>
    <w:rsid w:val="00524FBE"/>
    <w:rsid w:val="0052515A"/>
    <w:rsid w:val="0052524B"/>
    <w:rsid w:val="00525449"/>
    <w:rsid w:val="00525506"/>
    <w:rsid w:val="005256A1"/>
    <w:rsid w:val="00525999"/>
    <w:rsid w:val="00525EA8"/>
    <w:rsid w:val="00525EDB"/>
    <w:rsid w:val="00525F55"/>
    <w:rsid w:val="00525FD8"/>
    <w:rsid w:val="0052625B"/>
    <w:rsid w:val="00526634"/>
    <w:rsid w:val="00526700"/>
    <w:rsid w:val="00526814"/>
    <w:rsid w:val="00526973"/>
    <w:rsid w:val="00526992"/>
    <w:rsid w:val="00526B3F"/>
    <w:rsid w:val="00526BE0"/>
    <w:rsid w:val="00526D26"/>
    <w:rsid w:val="00526D42"/>
    <w:rsid w:val="00527186"/>
    <w:rsid w:val="00527195"/>
    <w:rsid w:val="005271A1"/>
    <w:rsid w:val="00527335"/>
    <w:rsid w:val="005274D3"/>
    <w:rsid w:val="005276E5"/>
    <w:rsid w:val="005279C3"/>
    <w:rsid w:val="00527B3A"/>
    <w:rsid w:val="00527C63"/>
    <w:rsid w:val="00527CE6"/>
    <w:rsid w:val="00527E97"/>
    <w:rsid w:val="005301BB"/>
    <w:rsid w:val="00530E7C"/>
    <w:rsid w:val="005311A9"/>
    <w:rsid w:val="005312BC"/>
    <w:rsid w:val="005313CD"/>
    <w:rsid w:val="00531724"/>
    <w:rsid w:val="00531854"/>
    <w:rsid w:val="00531977"/>
    <w:rsid w:val="005319A6"/>
    <w:rsid w:val="00531A01"/>
    <w:rsid w:val="00531AE6"/>
    <w:rsid w:val="00531BC4"/>
    <w:rsid w:val="00531C16"/>
    <w:rsid w:val="00531F17"/>
    <w:rsid w:val="005321D4"/>
    <w:rsid w:val="0053225A"/>
    <w:rsid w:val="005327EC"/>
    <w:rsid w:val="00532C88"/>
    <w:rsid w:val="00532E56"/>
    <w:rsid w:val="00532EC8"/>
    <w:rsid w:val="0053319E"/>
    <w:rsid w:val="005333FA"/>
    <w:rsid w:val="00533413"/>
    <w:rsid w:val="005336AD"/>
    <w:rsid w:val="0053381B"/>
    <w:rsid w:val="00533A3C"/>
    <w:rsid w:val="00533C2F"/>
    <w:rsid w:val="00533D8E"/>
    <w:rsid w:val="0053408A"/>
    <w:rsid w:val="005343BD"/>
    <w:rsid w:val="00534501"/>
    <w:rsid w:val="00534631"/>
    <w:rsid w:val="00534807"/>
    <w:rsid w:val="00534920"/>
    <w:rsid w:val="0053492C"/>
    <w:rsid w:val="00534AF3"/>
    <w:rsid w:val="00534D38"/>
    <w:rsid w:val="00534E52"/>
    <w:rsid w:val="00534F46"/>
    <w:rsid w:val="005353CF"/>
    <w:rsid w:val="00535460"/>
    <w:rsid w:val="005354B1"/>
    <w:rsid w:val="005355A8"/>
    <w:rsid w:val="0053598C"/>
    <w:rsid w:val="00535DF9"/>
    <w:rsid w:val="00535FC1"/>
    <w:rsid w:val="00536094"/>
    <w:rsid w:val="005360C3"/>
    <w:rsid w:val="0053613F"/>
    <w:rsid w:val="005361EE"/>
    <w:rsid w:val="0053632F"/>
    <w:rsid w:val="005364E9"/>
    <w:rsid w:val="00536543"/>
    <w:rsid w:val="0053658F"/>
    <w:rsid w:val="00536634"/>
    <w:rsid w:val="0053669B"/>
    <w:rsid w:val="00536A1E"/>
    <w:rsid w:val="00536C0B"/>
    <w:rsid w:val="00536C1C"/>
    <w:rsid w:val="00537020"/>
    <w:rsid w:val="0053713F"/>
    <w:rsid w:val="005372B9"/>
    <w:rsid w:val="00537475"/>
    <w:rsid w:val="0053758A"/>
    <w:rsid w:val="00537697"/>
    <w:rsid w:val="005376E1"/>
    <w:rsid w:val="005377A2"/>
    <w:rsid w:val="005378F7"/>
    <w:rsid w:val="00537B30"/>
    <w:rsid w:val="00537B80"/>
    <w:rsid w:val="00537EBB"/>
    <w:rsid w:val="00537FE4"/>
    <w:rsid w:val="0054005B"/>
    <w:rsid w:val="00540150"/>
    <w:rsid w:val="0054020A"/>
    <w:rsid w:val="0054025C"/>
    <w:rsid w:val="00540384"/>
    <w:rsid w:val="005405A2"/>
    <w:rsid w:val="00540661"/>
    <w:rsid w:val="0054070D"/>
    <w:rsid w:val="00540782"/>
    <w:rsid w:val="005407AD"/>
    <w:rsid w:val="005407C6"/>
    <w:rsid w:val="005407DE"/>
    <w:rsid w:val="00540CBE"/>
    <w:rsid w:val="00540FB4"/>
    <w:rsid w:val="00541061"/>
    <w:rsid w:val="00541214"/>
    <w:rsid w:val="0054130D"/>
    <w:rsid w:val="00541375"/>
    <w:rsid w:val="0054145D"/>
    <w:rsid w:val="00541464"/>
    <w:rsid w:val="00541595"/>
    <w:rsid w:val="00541836"/>
    <w:rsid w:val="00541A7C"/>
    <w:rsid w:val="00541B95"/>
    <w:rsid w:val="00541BE4"/>
    <w:rsid w:val="00541CC8"/>
    <w:rsid w:val="00541CD6"/>
    <w:rsid w:val="00541D34"/>
    <w:rsid w:val="00541EA8"/>
    <w:rsid w:val="00542039"/>
    <w:rsid w:val="005422E4"/>
    <w:rsid w:val="00542322"/>
    <w:rsid w:val="00542585"/>
    <w:rsid w:val="005426D0"/>
    <w:rsid w:val="00542723"/>
    <w:rsid w:val="005428CC"/>
    <w:rsid w:val="0054293B"/>
    <w:rsid w:val="00542B9E"/>
    <w:rsid w:val="00542C63"/>
    <w:rsid w:val="00542D92"/>
    <w:rsid w:val="00542DB3"/>
    <w:rsid w:val="00542EB2"/>
    <w:rsid w:val="00542FE1"/>
    <w:rsid w:val="00543524"/>
    <w:rsid w:val="00543777"/>
    <w:rsid w:val="00543824"/>
    <w:rsid w:val="00543C30"/>
    <w:rsid w:val="00543D1E"/>
    <w:rsid w:val="00543D61"/>
    <w:rsid w:val="00543DD1"/>
    <w:rsid w:val="00543F7E"/>
    <w:rsid w:val="00544076"/>
    <w:rsid w:val="00544383"/>
    <w:rsid w:val="0054474D"/>
    <w:rsid w:val="00544816"/>
    <w:rsid w:val="0054498F"/>
    <w:rsid w:val="005449FA"/>
    <w:rsid w:val="00544B7A"/>
    <w:rsid w:val="00544D57"/>
    <w:rsid w:val="0054546F"/>
    <w:rsid w:val="0054550D"/>
    <w:rsid w:val="00545899"/>
    <w:rsid w:val="005458CA"/>
    <w:rsid w:val="00545A59"/>
    <w:rsid w:val="0054602F"/>
    <w:rsid w:val="0054619E"/>
    <w:rsid w:val="0054638D"/>
    <w:rsid w:val="005467A8"/>
    <w:rsid w:val="00546832"/>
    <w:rsid w:val="0054686A"/>
    <w:rsid w:val="005469E0"/>
    <w:rsid w:val="00546AC9"/>
    <w:rsid w:val="00546B89"/>
    <w:rsid w:val="00546BEC"/>
    <w:rsid w:val="00546C3D"/>
    <w:rsid w:val="00546E07"/>
    <w:rsid w:val="00546F6D"/>
    <w:rsid w:val="00546FAC"/>
    <w:rsid w:val="00547076"/>
    <w:rsid w:val="0054730A"/>
    <w:rsid w:val="00547880"/>
    <w:rsid w:val="00547884"/>
    <w:rsid w:val="005478C3"/>
    <w:rsid w:val="00547AD9"/>
    <w:rsid w:val="00547AEE"/>
    <w:rsid w:val="00547FC6"/>
    <w:rsid w:val="0055016F"/>
    <w:rsid w:val="0055021A"/>
    <w:rsid w:val="0055023F"/>
    <w:rsid w:val="00550440"/>
    <w:rsid w:val="00550562"/>
    <w:rsid w:val="00550629"/>
    <w:rsid w:val="00550749"/>
    <w:rsid w:val="0055094F"/>
    <w:rsid w:val="00550A56"/>
    <w:rsid w:val="00550A82"/>
    <w:rsid w:val="00550E92"/>
    <w:rsid w:val="00551009"/>
    <w:rsid w:val="0055108D"/>
    <w:rsid w:val="005513FD"/>
    <w:rsid w:val="005513FF"/>
    <w:rsid w:val="00551568"/>
    <w:rsid w:val="00551C72"/>
    <w:rsid w:val="00551EF3"/>
    <w:rsid w:val="00551F74"/>
    <w:rsid w:val="005520E2"/>
    <w:rsid w:val="005526DC"/>
    <w:rsid w:val="00552E54"/>
    <w:rsid w:val="00552EBC"/>
    <w:rsid w:val="00552FE7"/>
    <w:rsid w:val="00553058"/>
    <w:rsid w:val="005532A3"/>
    <w:rsid w:val="0055368D"/>
    <w:rsid w:val="00553805"/>
    <w:rsid w:val="00553E19"/>
    <w:rsid w:val="00554183"/>
    <w:rsid w:val="0055421D"/>
    <w:rsid w:val="00554298"/>
    <w:rsid w:val="005544E6"/>
    <w:rsid w:val="00554522"/>
    <w:rsid w:val="0055477C"/>
    <w:rsid w:val="0055497B"/>
    <w:rsid w:val="005549B5"/>
    <w:rsid w:val="00554B82"/>
    <w:rsid w:val="00554C6E"/>
    <w:rsid w:val="00554CCF"/>
    <w:rsid w:val="0055514C"/>
    <w:rsid w:val="005551F9"/>
    <w:rsid w:val="005552EA"/>
    <w:rsid w:val="005554A4"/>
    <w:rsid w:val="00555741"/>
    <w:rsid w:val="0055574A"/>
    <w:rsid w:val="0055585D"/>
    <w:rsid w:val="00555AF3"/>
    <w:rsid w:val="00555B15"/>
    <w:rsid w:val="00555BB3"/>
    <w:rsid w:val="00555D66"/>
    <w:rsid w:val="00555DA5"/>
    <w:rsid w:val="00555E02"/>
    <w:rsid w:val="005561B0"/>
    <w:rsid w:val="0055647D"/>
    <w:rsid w:val="00556591"/>
    <w:rsid w:val="00556610"/>
    <w:rsid w:val="005566F9"/>
    <w:rsid w:val="00556850"/>
    <w:rsid w:val="005568CC"/>
    <w:rsid w:val="00556985"/>
    <w:rsid w:val="00556A8F"/>
    <w:rsid w:val="00556B98"/>
    <w:rsid w:val="00556D70"/>
    <w:rsid w:val="0055707E"/>
    <w:rsid w:val="005570B9"/>
    <w:rsid w:val="00557126"/>
    <w:rsid w:val="00557221"/>
    <w:rsid w:val="00557456"/>
    <w:rsid w:val="00557CAD"/>
    <w:rsid w:val="00557CF8"/>
    <w:rsid w:val="00557F32"/>
    <w:rsid w:val="005602D1"/>
    <w:rsid w:val="00560486"/>
    <w:rsid w:val="0056068B"/>
    <w:rsid w:val="00560731"/>
    <w:rsid w:val="0056074B"/>
    <w:rsid w:val="0056098D"/>
    <w:rsid w:val="00560B47"/>
    <w:rsid w:val="00560BED"/>
    <w:rsid w:val="00560C3D"/>
    <w:rsid w:val="00560C70"/>
    <w:rsid w:val="00560D33"/>
    <w:rsid w:val="00560D5A"/>
    <w:rsid w:val="00560D7D"/>
    <w:rsid w:val="00560E11"/>
    <w:rsid w:val="00560E43"/>
    <w:rsid w:val="005610A6"/>
    <w:rsid w:val="00561131"/>
    <w:rsid w:val="00561260"/>
    <w:rsid w:val="00561364"/>
    <w:rsid w:val="0056141C"/>
    <w:rsid w:val="00561803"/>
    <w:rsid w:val="0056196F"/>
    <w:rsid w:val="00561A57"/>
    <w:rsid w:val="00561AFB"/>
    <w:rsid w:val="00561D25"/>
    <w:rsid w:val="00561DFD"/>
    <w:rsid w:val="00561E0C"/>
    <w:rsid w:val="005621DE"/>
    <w:rsid w:val="005622F7"/>
    <w:rsid w:val="00562517"/>
    <w:rsid w:val="00562638"/>
    <w:rsid w:val="0056279A"/>
    <w:rsid w:val="005628B8"/>
    <w:rsid w:val="005628C0"/>
    <w:rsid w:val="00562CBA"/>
    <w:rsid w:val="00562D38"/>
    <w:rsid w:val="00562DD4"/>
    <w:rsid w:val="00562E82"/>
    <w:rsid w:val="005632A7"/>
    <w:rsid w:val="00563311"/>
    <w:rsid w:val="00563454"/>
    <w:rsid w:val="005635C3"/>
    <w:rsid w:val="00563641"/>
    <w:rsid w:val="00563971"/>
    <w:rsid w:val="0056397F"/>
    <w:rsid w:val="00563AEF"/>
    <w:rsid w:val="00563BB4"/>
    <w:rsid w:val="00563CD3"/>
    <w:rsid w:val="00563CD9"/>
    <w:rsid w:val="00563CFB"/>
    <w:rsid w:val="00563F35"/>
    <w:rsid w:val="0056406F"/>
    <w:rsid w:val="00564332"/>
    <w:rsid w:val="00564486"/>
    <w:rsid w:val="00564693"/>
    <w:rsid w:val="00564728"/>
    <w:rsid w:val="0056472A"/>
    <w:rsid w:val="00564885"/>
    <w:rsid w:val="0056519A"/>
    <w:rsid w:val="00565288"/>
    <w:rsid w:val="005652AD"/>
    <w:rsid w:val="005654F2"/>
    <w:rsid w:val="005656AC"/>
    <w:rsid w:val="005657CE"/>
    <w:rsid w:val="00565968"/>
    <w:rsid w:val="00565D74"/>
    <w:rsid w:val="00565E64"/>
    <w:rsid w:val="00565F8F"/>
    <w:rsid w:val="00566040"/>
    <w:rsid w:val="00566113"/>
    <w:rsid w:val="0056613E"/>
    <w:rsid w:val="00566222"/>
    <w:rsid w:val="005663BF"/>
    <w:rsid w:val="005665C4"/>
    <w:rsid w:val="00566694"/>
    <w:rsid w:val="005669C2"/>
    <w:rsid w:val="00566B1D"/>
    <w:rsid w:val="00566E3E"/>
    <w:rsid w:val="0056709E"/>
    <w:rsid w:val="0056724E"/>
    <w:rsid w:val="00567515"/>
    <w:rsid w:val="00567A2A"/>
    <w:rsid w:val="00567ABD"/>
    <w:rsid w:val="00567AFF"/>
    <w:rsid w:val="00567C20"/>
    <w:rsid w:val="00567F84"/>
    <w:rsid w:val="00570081"/>
    <w:rsid w:val="00570346"/>
    <w:rsid w:val="005704B2"/>
    <w:rsid w:val="00570746"/>
    <w:rsid w:val="0057170A"/>
    <w:rsid w:val="005718BD"/>
    <w:rsid w:val="005719B3"/>
    <w:rsid w:val="00571B48"/>
    <w:rsid w:val="00571E15"/>
    <w:rsid w:val="00571E7F"/>
    <w:rsid w:val="00572138"/>
    <w:rsid w:val="005721EF"/>
    <w:rsid w:val="0057291D"/>
    <w:rsid w:val="0057298E"/>
    <w:rsid w:val="00572B3E"/>
    <w:rsid w:val="00572C52"/>
    <w:rsid w:val="00572CC6"/>
    <w:rsid w:val="00572E53"/>
    <w:rsid w:val="0057323D"/>
    <w:rsid w:val="00573284"/>
    <w:rsid w:val="005732FD"/>
    <w:rsid w:val="00573425"/>
    <w:rsid w:val="00573487"/>
    <w:rsid w:val="005734D9"/>
    <w:rsid w:val="0057355A"/>
    <w:rsid w:val="00573877"/>
    <w:rsid w:val="00573989"/>
    <w:rsid w:val="00573C60"/>
    <w:rsid w:val="00573E62"/>
    <w:rsid w:val="00573EEE"/>
    <w:rsid w:val="00573F35"/>
    <w:rsid w:val="0057416C"/>
    <w:rsid w:val="00574183"/>
    <w:rsid w:val="005742AC"/>
    <w:rsid w:val="005743A3"/>
    <w:rsid w:val="005745BC"/>
    <w:rsid w:val="0057461F"/>
    <w:rsid w:val="00574631"/>
    <w:rsid w:val="00574682"/>
    <w:rsid w:val="00574755"/>
    <w:rsid w:val="005747FA"/>
    <w:rsid w:val="005749C6"/>
    <w:rsid w:val="00574B17"/>
    <w:rsid w:val="00574BAA"/>
    <w:rsid w:val="00574DF4"/>
    <w:rsid w:val="00574E2F"/>
    <w:rsid w:val="00574E70"/>
    <w:rsid w:val="00574EA7"/>
    <w:rsid w:val="0057504E"/>
    <w:rsid w:val="005751A5"/>
    <w:rsid w:val="00575377"/>
    <w:rsid w:val="0057538E"/>
    <w:rsid w:val="0057539E"/>
    <w:rsid w:val="005756BD"/>
    <w:rsid w:val="005757C1"/>
    <w:rsid w:val="005759D0"/>
    <w:rsid w:val="00575BEB"/>
    <w:rsid w:val="00575D84"/>
    <w:rsid w:val="00575D90"/>
    <w:rsid w:val="00575F0B"/>
    <w:rsid w:val="00576475"/>
    <w:rsid w:val="00576597"/>
    <w:rsid w:val="00576926"/>
    <w:rsid w:val="00576ADE"/>
    <w:rsid w:val="00576DCF"/>
    <w:rsid w:val="00577088"/>
    <w:rsid w:val="00577100"/>
    <w:rsid w:val="00577404"/>
    <w:rsid w:val="00577425"/>
    <w:rsid w:val="00577703"/>
    <w:rsid w:val="00577789"/>
    <w:rsid w:val="0057792D"/>
    <w:rsid w:val="00577ADE"/>
    <w:rsid w:val="00577C1A"/>
    <w:rsid w:val="00577C2D"/>
    <w:rsid w:val="00577E48"/>
    <w:rsid w:val="00577F62"/>
    <w:rsid w:val="00577F69"/>
    <w:rsid w:val="00580026"/>
    <w:rsid w:val="00580215"/>
    <w:rsid w:val="00580239"/>
    <w:rsid w:val="005802AF"/>
    <w:rsid w:val="005804C6"/>
    <w:rsid w:val="005807F4"/>
    <w:rsid w:val="005809FB"/>
    <w:rsid w:val="00580BCB"/>
    <w:rsid w:val="00580CA1"/>
    <w:rsid w:val="00580D76"/>
    <w:rsid w:val="00580DFC"/>
    <w:rsid w:val="00580E33"/>
    <w:rsid w:val="00580F18"/>
    <w:rsid w:val="0058108A"/>
    <w:rsid w:val="005810CC"/>
    <w:rsid w:val="005813DB"/>
    <w:rsid w:val="00581542"/>
    <w:rsid w:val="0058166A"/>
    <w:rsid w:val="005819D8"/>
    <w:rsid w:val="00581A2C"/>
    <w:rsid w:val="00581A42"/>
    <w:rsid w:val="00581A53"/>
    <w:rsid w:val="00581AF7"/>
    <w:rsid w:val="00581E04"/>
    <w:rsid w:val="00581E3E"/>
    <w:rsid w:val="00581F77"/>
    <w:rsid w:val="005822B0"/>
    <w:rsid w:val="005823D0"/>
    <w:rsid w:val="00582615"/>
    <w:rsid w:val="00582763"/>
    <w:rsid w:val="0058280C"/>
    <w:rsid w:val="0058286D"/>
    <w:rsid w:val="0058288F"/>
    <w:rsid w:val="00582917"/>
    <w:rsid w:val="00582BB9"/>
    <w:rsid w:val="00582F18"/>
    <w:rsid w:val="00582F41"/>
    <w:rsid w:val="00583034"/>
    <w:rsid w:val="00583085"/>
    <w:rsid w:val="005830DA"/>
    <w:rsid w:val="005830F7"/>
    <w:rsid w:val="005831CA"/>
    <w:rsid w:val="005831F3"/>
    <w:rsid w:val="0058326D"/>
    <w:rsid w:val="00583371"/>
    <w:rsid w:val="0058354F"/>
    <w:rsid w:val="005839DE"/>
    <w:rsid w:val="00583A00"/>
    <w:rsid w:val="00583D3F"/>
    <w:rsid w:val="00583D88"/>
    <w:rsid w:val="00583DB6"/>
    <w:rsid w:val="00583FB9"/>
    <w:rsid w:val="00584086"/>
    <w:rsid w:val="005841E2"/>
    <w:rsid w:val="00584234"/>
    <w:rsid w:val="00584257"/>
    <w:rsid w:val="0058437A"/>
    <w:rsid w:val="00584572"/>
    <w:rsid w:val="00584801"/>
    <w:rsid w:val="005848E8"/>
    <w:rsid w:val="00584DF0"/>
    <w:rsid w:val="00584E3F"/>
    <w:rsid w:val="00584EAA"/>
    <w:rsid w:val="00585126"/>
    <w:rsid w:val="00585457"/>
    <w:rsid w:val="005854F3"/>
    <w:rsid w:val="00585552"/>
    <w:rsid w:val="00585772"/>
    <w:rsid w:val="005857AD"/>
    <w:rsid w:val="00585844"/>
    <w:rsid w:val="00585B62"/>
    <w:rsid w:val="00585B6E"/>
    <w:rsid w:val="00585DD2"/>
    <w:rsid w:val="005862AB"/>
    <w:rsid w:val="0058635B"/>
    <w:rsid w:val="005864EC"/>
    <w:rsid w:val="005869D2"/>
    <w:rsid w:val="00586A6E"/>
    <w:rsid w:val="00586B31"/>
    <w:rsid w:val="00586B58"/>
    <w:rsid w:val="00586C11"/>
    <w:rsid w:val="00586D46"/>
    <w:rsid w:val="00586E3C"/>
    <w:rsid w:val="00586ED3"/>
    <w:rsid w:val="0058722E"/>
    <w:rsid w:val="0058724D"/>
    <w:rsid w:val="00587383"/>
    <w:rsid w:val="00587401"/>
    <w:rsid w:val="00587456"/>
    <w:rsid w:val="00587495"/>
    <w:rsid w:val="005875C9"/>
    <w:rsid w:val="0058763C"/>
    <w:rsid w:val="005879DF"/>
    <w:rsid w:val="00587FDF"/>
    <w:rsid w:val="00590009"/>
    <w:rsid w:val="0059001A"/>
    <w:rsid w:val="00590073"/>
    <w:rsid w:val="00590336"/>
    <w:rsid w:val="005903F9"/>
    <w:rsid w:val="005904BF"/>
    <w:rsid w:val="00590675"/>
    <w:rsid w:val="00590792"/>
    <w:rsid w:val="00590BE3"/>
    <w:rsid w:val="00590CD6"/>
    <w:rsid w:val="00590D4B"/>
    <w:rsid w:val="00590FC8"/>
    <w:rsid w:val="00591088"/>
    <w:rsid w:val="00591127"/>
    <w:rsid w:val="005914EF"/>
    <w:rsid w:val="00591774"/>
    <w:rsid w:val="0059179E"/>
    <w:rsid w:val="005918FF"/>
    <w:rsid w:val="005919AA"/>
    <w:rsid w:val="00591B48"/>
    <w:rsid w:val="00591E4F"/>
    <w:rsid w:val="00591F90"/>
    <w:rsid w:val="00592362"/>
    <w:rsid w:val="00592551"/>
    <w:rsid w:val="005925B5"/>
    <w:rsid w:val="00592695"/>
    <w:rsid w:val="00592A04"/>
    <w:rsid w:val="00592A3B"/>
    <w:rsid w:val="00592DB7"/>
    <w:rsid w:val="00592E48"/>
    <w:rsid w:val="005930CC"/>
    <w:rsid w:val="005930FB"/>
    <w:rsid w:val="00593149"/>
    <w:rsid w:val="0059362D"/>
    <w:rsid w:val="00593690"/>
    <w:rsid w:val="00593852"/>
    <w:rsid w:val="00593BE0"/>
    <w:rsid w:val="00593BFA"/>
    <w:rsid w:val="00593CC3"/>
    <w:rsid w:val="00593CDE"/>
    <w:rsid w:val="00593E49"/>
    <w:rsid w:val="00593E79"/>
    <w:rsid w:val="00594693"/>
    <w:rsid w:val="005946F8"/>
    <w:rsid w:val="005949BA"/>
    <w:rsid w:val="00594AA3"/>
    <w:rsid w:val="00594C77"/>
    <w:rsid w:val="00594EAD"/>
    <w:rsid w:val="00594FCD"/>
    <w:rsid w:val="00595247"/>
    <w:rsid w:val="005954B7"/>
    <w:rsid w:val="00595AC7"/>
    <w:rsid w:val="00595B43"/>
    <w:rsid w:val="00595BDE"/>
    <w:rsid w:val="00595ED0"/>
    <w:rsid w:val="005961B7"/>
    <w:rsid w:val="00596364"/>
    <w:rsid w:val="00596899"/>
    <w:rsid w:val="005968D4"/>
    <w:rsid w:val="00596EA1"/>
    <w:rsid w:val="00597204"/>
    <w:rsid w:val="00597386"/>
    <w:rsid w:val="00597442"/>
    <w:rsid w:val="005976A2"/>
    <w:rsid w:val="0059787A"/>
    <w:rsid w:val="00597895"/>
    <w:rsid w:val="00597A72"/>
    <w:rsid w:val="00597D1E"/>
    <w:rsid w:val="00597D55"/>
    <w:rsid w:val="00597EE4"/>
    <w:rsid w:val="00597EE9"/>
    <w:rsid w:val="00597F83"/>
    <w:rsid w:val="005A00F9"/>
    <w:rsid w:val="005A0515"/>
    <w:rsid w:val="005A06E7"/>
    <w:rsid w:val="005A0852"/>
    <w:rsid w:val="005A09D1"/>
    <w:rsid w:val="005A0A88"/>
    <w:rsid w:val="005A0BC4"/>
    <w:rsid w:val="005A0BF4"/>
    <w:rsid w:val="005A0C30"/>
    <w:rsid w:val="005A0CFB"/>
    <w:rsid w:val="005A0D9B"/>
    <w:rsid w:val="005A0E81"/>
    <w:rsid w:val="005A1172"/>
    <w:rsid w:val="005A1896"/>
    <w:rsid w:val="005A1A6A"/>
    <w:rsid w:val="005A1C0B"/>
    <w:rsid w:val="005A1CC0"/>
    <w:rsid w:val="005A1E41"/>
    <w:rsid w:val="005A1EEF"/>
    <w:rsid w:val="005A1FDE"/>
    <w:rsid w:val="005A2069"/>
    <w:rsid w:val="005A22C8"/>
    <w:rsid w:val="005A22E9"/>
    <w:rsid w:val="005A2305"/>
    <w:rsid w:val="005A2676"/>
    <w:rsid w:val="005A270B"/>
    <w:rsid w:val="005A27A2"/>
    <w:rsid w:val="005A2B2A"/>
    <w:rsid w:val="005A2F31"/>
    <w:rsid w:val="005A3070"/>
    <w:rsid w:val="005A309D"/>
    <w:rsid w:val="005A319A"/>
    <w:rsid w:val="005A343D"/>
    <w:rsid w:val="005A3570"/>
    <w:rsid w:val="005A367F"/>
    <w:rsid w:val="005A37B0"/>
    <w:rsid w:val="005A38C9"/>
    <w:rsid w:val="005A3BF1"/>
    <w:rsid w:val="005A3C50"/>
    <w:rsid w:val="005A3D63"/>
    <w:rsid w:val="005A4036"/>
    <w:rsid w:val="005A4261"/>
    <w:rsid w:val="005A446F"/>
    <w:rsid w:val="005A4686"/>
    <w:rsid w:val="005A4B65"/>
    <w:rsid w:val="005A4C5A"/>
    <w:rsid w:val="005A4D99"/>
    <w:rsid w:val="005A4F7E"/>
    <w:rsid w:val="005A4FF3"/>
    <w:rsid w:val="005A50DE"/>
    <w:rsid w:val="005A5210"/>
    <w:rsid w:val="005A5254"/>
    <w:rsid w:val="005A531E"/>
    <w:rsid w:val="005A544F"/>
    <w:rsid w:val="005A5471"/>
    <w:rsid w:val="005A5538"/>
    <w:rsid w:val="005A5597"/>
    <w:rsid w:val="005A5732"/>
    <w:rsid w:val="005A5795"/>
    <w:rsid w:val="005A57E5"/>
    <w:rsid w:val="005A5893"/>
    <w:rsid w:val="005A5B21"/>
    <w:rsid w:val="005A5C24"/>
    <w:rsid w:val="005A5D0F"/>
    <w:rsid w:val="005A5E11"/>
    <w:rsid w:val="005A5E12"/>
    <w:rsid w:val="005A5F5C"/>
    <w:rsid w:val="005A6039"/>
    <w:rsid w:val="005A60E5"/>
    <w:rsid w:val="005A6285"/>
    <w:rsid w:val="005A6396"/>
    <w:rsid w:val="005A65FA"/>
    <w:rsid w:val="005A6A57"/>
    <w:rsid w:val="005A6C42"/>
    <w:rsid w:val="005A6CB8"/>
    <w:rsid w:val="005A6DDC"/>
    <w:rsid w:val="005A70A8"/>
    <w:rsid w:val="005A70BD"/>
    <w:rsid w:val="005A70CB"/>
    <w:rsid w:val="005A7528"/>
    <w:rsid w:val="005A760C"/>
    <w:rsid w:val="005A78FF"/>
    <w:rsid w:val="005A7A96"/>
    <w:rsid w:val="005A7B11"/>
    <w:rsid w:val="005A7B79"/>
    <w:rsid w:val="005A7C21"/>
    <w:rsid w:val="005B01D2"/>
    <w:rsid w:val="005B0305"/>
    <w:rsid w:val="005B0422"/>
    <w:rsid w:val="005B0443"/>
    <w:rsid w:val="005B04C2"/>
    <w:rsid w:val="005B050C"/>
    <w:rsid w:val="005B060C"/>
    <w:rsid w:val="005B068F"/>
    <w:rsid w:val="005B0746"/>
    <w:rsid w:val="005B09FF"/>
    <w:rsid w:val="005B0C4D"/>
    <w:rsid w:val="005B0D05"/>
    <w:rsid w:val="005B11AA"/>
    <w:rsid w:val="005B12CB"/>
    <w:rsid w:val="005B13B3"/>
    <w:rsid w:val="005B1408"/>
    <w:rsid w:val="005B15AF"/>
    <w:rsid w:val="005B19B1"/>
    <w:rsid w:val="005B19CB"/>
    <w:rsid w:val="005B1EC3"/>
    <w:rsid w:val="005B20C6"/>
    <w:rsid w:val="005B2558"/>
    <w:rsid w:val="005B25F6"/>
    <w:rsid w:val="005B2736"/>
    <w:rsid w:val="005B27ED"/>
    <w:rsid w:val="005B282E"/>
    <w:rsid w:val="005B2A23"/>
    <w:rsid w:val="005B2CEF"/>
    <w:rsid w:val="005B2F6E"/>
    <w:rsid w:val="005B352A"/>
    <w:rsid w:val="005B35BF"/>
    <w:rsid w:val="005B3849"/>
    <w:rsid w:val="005B388F"/>
    <w:rsid w:val="005B389F"/>
    <w:rsid w:val="005B3A5B"/>
    <w:rsid w:val="005B3B14"/>
    <w:rsid w:val="005B3B2A"/>
    <w:rsid w:val="005B3D6A"/>
    <w:rsid w:val="005B3D9C"/>
    <w:rsid w:val="005B3E71"/>
    <w:rsid w:val="005B3F98"/>
    <w:rsid w:val="005B40B9"/>
    <w:rsid w:val="005B4265"/>
    <w:rsid w:val="005B43DB"/>
    <w:rsid w:val="005B4738"/>
    <w:rsid w:val="005B4859"/>
    <w:rsid w:val="005B4CF4"/>
    <w:rsid w:val="005B4EBF"/>
    <w:rsid w:val="005B4EE1"/>
    <w:rsid w:val="005B4F45"/>
    <w:rsid w:val="005B4F56"/>
    <w:rsid w:val="005B5062"/>
    <w:rsid w:val="005B508C"/>
    <w:rsid w:val="005B5312"/>
    <w:rsid w:val="005B5326"/>
    <w:rsid w:val="005B595F"/>
    <w:rsid w:val="005B5A2E"/>
    <w:rsid w:val="005B5B93"/>
    <w:rsid w:val="005B5BD4"/>
    <w:rsid w:val="005B5C14"/>
    <w:rsid w:val="005B5D0C"/>
    <w:rsid w:val="005B5D31"/>
    <w:rsid w:val="005B5DF1"/>
    <w:rsid w:val="005B5E28"/>
    <w:rsid w:val="005B5F7D"/>
    <w:rsid w:val="005B5F93"/>
    <w:rsid w:val="005B678E"/>
    <w:rsid w:val="005B6A15"/>
    <w:rsid w:val="005B6A36"/>
    <w:rsid w:val="005B6B2F"/>
    <w:rsid w:val="005B6B7F"/>
    <w:rsid w:val="005B6BB7"/>
    <w:rsid w:val="005B6CBC"/>
    <w:rsid w:val="005B6D54"/>
    <w:rsid w:val="005B6DA4"/>
    <w:rsid w:val="005B6DEC"/>
    <w:rsid w:val="005B6EFC"/>
    <w:rsid w:val="005B6F78"/>
    <w:rsid w:val="005B6FAD"/>
    <w:rsid w:val="005B727E"/>
    <w:rsid w:val="005B72A8"/>
    <w:rsid w:val="005B7386"/>
    <w:rsid w:val="005B73A7"/>
    <w:rsid w:val="005B7599"/>
    <w:rsid w:val="005B75AC"/>
    <w:rsid w:val="005B784D"/>
    <w:rsid w:val="005B799C"/>
    <w:rsid w:val="005B7B0F"/>
    <w:rsid w:val="005B7C25"/>
    <w:rsid w:val="005B7D90"/>
    <w:rsid w:val="005B7E29"/>
    <w:rsid w:val="005B7E5E"/>
    <w:rsid w:val="005B7EDB"/>
    <w:rsid w:val="005C002A"/>
    <w:rsid w:val="005C038E"/>
    <w:rsid w:val="005C05A4"/>
    <w:rsid w:val="005C05CE"/>
    <w:rsid w:val="005C096A"/>
    <w:rsid w:val="005C0A56"/>
    <w:rsid w:val="005C0D6A"/>
    <w:rsid w:val="005C0F1E"/>
    <w:rsid w:val="005C11CC"/>
    <w:rsid w:val="005C11EB"/>
    <w:rsid w:val="005C12FC"/>
    <w:rsid w:val="005C1368"/>
    <w:rsid w:val="005C1428"/>
    <w:rsid w:val="005C1754"/>
    <w:rsid w:val="005C182A"/>
    <w:rsid w:val="005C1FD6"/>
    <w:rsid w:val="005C205B"/>
    <w:rsid w:val="005C20AC"/>
    <w:rsid w:val="005C24D1"/>
    <w:rsid w:val="005C2655"/>
    <w:rsid w:val="005C29D5"/>
    <w:rsid w:val="005C29FF"/>
    <w:rsid w:val="005C2E52"/>
    <w:rsid w:val="005C2FA7"/>
    <w:rsid w:val="005C300C"/>
    <w:rsid w:val="005C31A9"/>
    <w:rsid w:val="005C34B5"/>
    <w:rsid w:val="005C34FF"/>
    <w:rsid w:val="005C365B"/>
    <w:rsid w:val="005C3A8F"/>
    <w:rsid w:val="005C3BD5"/>
    <w:rsid w:val="005C3D92"/>
    <w:rsid w:val="005C3DF2"/>
    <w:rsid w:val="005C3F19"/>
    <w:rsid w:val="005C3F51"/>
    <w:rsid w:val="005C433A"/>
    <w:rsid w:val="005C44D9"/>
    <w:rsid w:val="005C4626"/>
    <w:rsid w:val="005C47E5"/>
    <w:rsid w:val="005C496F"/>
    <w:rsid w:val="005C4ABD"/>
    <w:rsid w:val="005C4B0A"/>
    <w:rsid w:val="005C4DBA"/>
    <w:rsid w:val="005C4F1D"/>
    <w:rsid w:val="005C501F"/>
    <w:rsid w:val="005C510E"/>
    <w:rsid w:val="005C5438"/>
    <w:rsid w:val="005C57A9"/>
    <w:rsid w:val="005C5827"/>
    <w:rsid w:val="005C5839"/>
    <w:rsid w:val="005C583B"/>
    <w:rsid w:val="005C5859"/>
    <w:rsid w:val="005C5904"/>
    <w:rsid w:val="005C59EC"/>
    <w:rsid w:val="005C5A1D"/>
    <w:rsid w:val="005C5E73"/>
    <w:rsid w:val="005C5F38"/>
    <w:rsid w:val="005C6474"/>
    <w:rsid w:val="005C64B1"/>
    <w:rsid w:val="005C68AC"/>
    <w:rsid w:val="005C6932"/>
    <w:rsid w:val="005C6B4B"/>
    <w:rsid w:val="005C6BE6"/>
    <w:rsid w:val="005C6C39"/>
    <w:rsid w:val="005C6D91"/>
    <w:rsid w:val="005C6E2F"/>
    <w:rsid w:val="005C72E9"/>
    <w:rsid w:val="005C7361"/>
    <w:rsid w:val="005C793A"/>
    <w:rsid w:val="005C7AAF"/>
    <w:rsid w:val="005C7B03"/>
    <w:rsid w:val="005C7CED"/>
    <w:rsid w:val="005D0039"/>
    <w:rsid w:val="005D02D3"/>
    <w:rsid w:val="005D06E0"/>
    <w:rsid w:val="005D074D"/>
    <w:rsid w:val="005D0918"/>
    <w:rsid w:val="005D0BB5"/>
    <w:rsid w:val="005D0CC3"/>
    <w:rsid w:val="005D0CEB"/>
    <w:rsid w:val="005D0E6C"/>
    <w:rsid w:val="005D0EB9"/>
    <w:rsid w:val="005D125B"/>
    <w:rsid w:val="005D1624"/>
    <w:rsid w:val="005D166C"/>
    <w:rsid w:val="005D17B9"/>
    <w:rsid w:val="005D19A7"/>
    <w:rsid w:val="005D1A37"/>
    <w:rsid w:val="005D1C4C"/>
    <w:rsid w:val="005D1D3E"/>
    <w:rsid w:val="005D1E3C"/>
    <w:rsid w:val="005D1E65"/>
    <w:rsid w:val="005D1EDA"/>
    <w:rsid w:val="005D1F6A"/>
    <w:rsid w:val="005D20DE"/>
    <w:rsid w:val="005D22CA"/>
    <w:rsid w:val="005D2399"/>
    <w:rsid w:val="005D2486"/>
    <w:rsid w:val="005D24F0"/>
    <w:rsid w:val="005D2588"/>
    <w:rsid w:val="005D2846"/>
    <w:rsid w:val="005D2933"/>
    <w:rsid w:val="005D2A95"/>
    <w:rsid w:val="005D2D68"/>
    <w:rsid w:val="005D2D6C"/>
    <w:rsid w:val="005D2E4F"/>
    <w:rsid w:val="005D2E5A"/>
    <w:rsid w:val="005D3015"/>
    <w:rsid w:val="005D32D0"/>
    <w:rsid w:val="005D336F"/>
    <w:rsid w:val="005D33E4"/>
    <w:rsid w:val="005D3653"/>
    <w:rsid w:val="005D366E"/>
    <w:rsid w:val="005D3905"/>
    <w:rsid w:val="005D39D6"/>
    <w:rsid w:val="005D3C44"/>
    <w:rsid w:val="005D3F02"/>
    <w:rsid w:val="005D44CC"/>
    <w:rsid w:val="005D45AE"/>
    <w:rsid w:val="005D4AE7"/>
    <w:rsid w:val="005D4CA3"/>
    <w:rsid w:val="005D4F47"/>
    <w:rsid w:val="005D514B"/>
    <w:rsid w:val="005D5515"/>
    <w:rsid w:val="005D59DF"/>
    <w:rsid w:val="005D5A2A"/>
    <w:rsid w:val="005D5A6C"/>
    <w:rsid w:val="005D5B7E"/>
    <w:rsid w:val="005D5B96"/>
    <w:rsid w:val="005D5CDE"/>
    <w:rsid w:val="005D5DB5"/>
    <w:rsid w:val="005D5DCA"/>
    <w:rsid w:val="005D5F51"/>
    <w:rsid w:val="005D5FBA"/>
    <w:rsid w:val="005D6058"/>
    <w:rsid w:val="005D60C6"/>
    <w:rsid w:val="005D60C7"/>
    <w:rsid w:val="005D612D"/>
    <w:rsid w:val="005D61BF"/>
    <w:rsid w:val="005D6462"/>
    <w:rsid w:val="005D659A"/>
    <w:rsid w:val="005D6661"/>
    <w:rsid w:val="005D6A1B"/>
    <w:rsid w:val="005D6DFF"/>
    <w:rsid w:val="005D6E27"/>
    <w:rsid w:val="005D6EFA"/>
    <w:rsid w:val="005D6F63"/>
    <w:rsid w:val="005D6FD2"/>
    <w:rsid w:val="005D705D"/>
    <w:rsid w:val="005D70C9"/>
    <w:rsid w:val="005D73A3"/>
    <w:rsid w:val="005D73B5"/>
    <w:rsid w:val="005D7478"/>
    <w:rsid w:val="005D7491"/>
    <w:rsid w:val="005D76A7"/>
    <w:rsid w:val="005D787F"/>
    <w:rsid w:val="005D794A"/>
    <w:rsid w:val="005D79AF"/>
    <w:rsid w:val="005D7F79"/>
    <w:rsid w:val="005E0042"/>
    <w:rsid w:val="005E01DF"/>
    <w:rsid w:val="005E038D"/>
    <w:rsid w:val="005E04C9"/>
    <w:rsid w:val="005E051B"/>
    <w:rsid w:val="005E0674"/>
    <w:rsid w:val="005E09E2"/>
    <w:rsid w:val="005E0A72"/>
    <w:rsid w:val="005E0A8D"/>
    <w:rsid w:val="005E0C8A"/>
    <w:rsid w:val="005E0D0D"/>
    <w:rsid w:val="005E0F1C"/>
    <w:rsid w:val="005E118D"/>
    <w:rsid w:val="005E1209"/>
    <w:rsid w:val="005E1389"/>
    <w:rsid w:val="005E141A"/>
    <w:rsid w:val="005E152B"/>
    <w:rsid w:val="005E1698"/>
    <w:rsid w:val="005E172D"/>
    <w:rsid w:val="005E173A"/>
    <w:rsid w:val="005E178E"/>
    <w:rsid w:val="005E1901"/>
    <w:rsid w:val="005E1BFF"/>
    <w:rsid w:val="005E1CD8"/>
    <w:rsid w:val="005E2315"/>
    <w:rsid w:val="005E23DB"/>
    <w:rsid w:val="005E2679"/>
    <w:rsid w:val="005E2988"/>
    <w:rsid w:val="005E2AB4"/>
    <w:rsid w:val="005E2CEB"/>
    <w:rsid w:val="005E2E86"/>
    <w:rsid w:val="005E2F32"/>
    <w:rsid w:val="005E301D"/>
    <w:rsid w:val="005E30F9"/>
    <w:rsid w:val="005E361B"/>
    <w:rsid w:val="005E36CD"/>
    <w:rsid w:val="005E384A"/>
    <w:rsid w:val="005E3C9F"/>
    <w:rsid w:val="005E3CA2"/>
    <w:rsid w:val="005E3D37"/>
    <w:rsid w:val="005E3D5C"/>
    <w:rsid w:val="005E3FE3"/>
    <w:rsid w:val="005E3FED"/>
    <w:rsid w:val="005E3FF1"/>
    <w:rsid w:val="005E435A"/>
    <w:rsid w:val="005E444C"/>
    <w:rsid w:val="005E4460"/>
    <w:rsid w:val="005E4606"/>
    <w:rsid w:val="005E498B"/>
    <w:rsid w:val="005E4B61"/>
    <w:rsid w:val="005E4BA5"/>
    <w:rsid w:val="005E4BF4"/>
    <w:rsid w:val="005E4CE3"/>
    <w:rsid w:val="005E532C"/>
    <w:rsid w:val="005E5536"/>
    <w:rsid w:val="005E55BB"/>
    <w:rsid w:val="005E5685"/>
    <w:rsid w:val="005E5728"/>
    <w:rsid w:val="005E59A4"/>
    <w:rsid w:val="005E5B1A"/>
    <w:rsid w:val="005E6146"/>
    <w:rsid w:val="005E6204"/>
    <w:rsid w:val="005E63B6"/>
    <w:rsid w:val="005E64F0"/>
    <w:rsid w:val="005E6539"/>
    <w:rsid w:val="005E656C"/>
    <w:rsid w:val="005E65E5"/>
    <w:rsid w:val="005E67E7"/>
    <w:rsid w:val="005E6998"/>
    <w:rsid w:val="005E6A20"/>
    <w:rsid w:val="005E6B5D"/>
    <w:rsid w:val="005E6C08"/>
    <w:rsid w:val="005E6C30"/>
    <w:rsid w:val="005E6D32"/>
    <w:rsid w:val="005E6F24"/>
    <w:rsid w:val="005E6FFE"/>
    <w:rsid w:val="005E707B"/>
    <w:rsid w:val="005E712A"/>
    <w:rsid w:val="005E7283"/>
    <w:rsid w:val="005E728D"/>
    <w:rsid w:val="005E72BA"/>
    <w:rsid w:val="005E7346"/>
    <w:rsid w:val="005E752B"/>
    <w:rsid w:val="005E767B"/>
    <w:rsid w:val="005E7739"/>
    <w:rsid w:val="005E78E4"/>
    <w:rsid w:val="005E7D4C"/>
    <w:rsid w:val="005E7D73"/>
    <w:rsid w:val="005F02B3"/>
    <w:rsid w:val="005F031D"/>
    <w:rsid w:val="005F0408"/>
    <w:rsid w:val="005F05DF"/>
    <w:rsid w:val="005F09E8"/>
    <w:rsid w:val="005F1151"/>
    <w:rsid w:val="005F120E"/>
    <w:rsid w:val="005F1210"/>
    <w:rsid w:val="005F125B"/>
    <w:rsid w:val="005F1278"/>
    <w:rsid w:val="005F12F9"/>
    <w:rsid w:val="005F131C"/>
    <w:rsid w:val="005F196B"/>
    <w:rsid w:val="005F1B89"/>
    <w:rsid w:val="005F1E99"/>
    <w:rsid w:val="005F201F"/>
    <w:rsid w:val="005F2263"/>
    <w:rsid w:val="005F2369"/>
    <w:rsid w:val="005F236D"/>
    <w:rsid w:val="005F2628"/>
    <w:rsid w:val="005F2681"/>
    <w:rsid w:val="005F2717"/>
    <w:rsid w:val="005F273D"/>
    <w:rsid w:val="005F29AC"/>
    <w:rsid w:val="005F29FE"/>
    <w:rsid w:val="005F2BF9"/>
    <w:rsid w:val="005F2E2B"/>
    <w:rsid w:val="005F3339"/>
    <w:rsid w:val="005F3398"/>
    <w:rsid w:val="005F36E9"/>
    <w:rsid w:val="005F370A"/>
    <w:rsid w:val="005F38E8"/>
    <w:rsid w:val="005F3A7F"/>
    <w:rsid w:val="005F3B03"/>
    <w:rsid w:val="005F3C0D"/>
    <w:rsid w:val="005F3CAC"/>
    <w:rsid w:val="005F3D61"/>
    <w:rsid w:val="005F3DC4"/>
    <w:rsid w:val="005F3FAB"/>
    <w:rsid w:val="005F3FF8"/>
    <w:rsid w:val="005F406C"/>
    <w:rsid w:val="005F42D3"/>
    <w:rsid w:val="005F437E"/>
    <w:rsid w:val="005F43B2"/>
    <w:rsid w:val="005F4A14"/>
    <w:rsid w:val="005F4B94"/>
    <w:rsid w:val="005F4CCC"/>
    <w:rsid w:val="005F4F6B"/>
    <w:rsid w:val="005F4FF9"/>
    <w:rsid w:val="005F5083"/>
    <w:rsid w:val="005F512C"/>
    <w:rsid w:val="005F5283"/>
    <w:rsid w:val="005F5356"/>
    <w:rsid w:val="005F5392"/>
    <w:rsid w:val="005F5492"/>
    <w:rsid w:val="005F5818"/>
    <w:rsid w:val="005F5843"/>
    <w:rsid w:val="005F588D"/>
    <w:rsid w:val="005F5A5B"/>
    <w:rsid w:val="005F5B8D"/>
    <w:rsid w:val="005F5F20"/>
    <w:rsid w:val="005F6024"/>
    <w:rsid w:val="005F6140"/>
    <w:rsid w:val="005F614E"/>
    <w:rsid w:val="005F6210"/>
    <w:rsid w:val="005F64D0"/>
    <w:rsid w:val="005F65C3"/>
    <w:rsid w:val="005F6846"/>
    <w:rsid w:val="005F69A1"/>
    <w:rsid w:val="005F7229"/>
    <w:rsid w:val="005F75FB"/>
    <w:rsid w:val="005F773F"/>
    <w:rsid w:val="005F7794"/>
    <w:rsid w:val="005F785A"/>
    <w:rsid w:val="005F7DBF"/>
    <w:rsid w:val="005F7E56"/>
    <w:rsid w:val="005F7E6F"/>
    <w:rsid w:val="005F7EAC"/>
    <w:rsid w:val="00600129"/>
    <w:rsid w:val="0060013F"/>
    <w:rsid w:val="006002F0"/>
    <w:rsid w:val="00600497"/>
    <w:rsid w:val="006004FE"/>
    <w:rsid w:val="0060058C"/>
    <w:rsid w:val="0060062E"/>
    <w:rsid w:val="00600782"/>
    <w:rsid w:val="00600800"/>
    <w:rsid w:val="00600A58"/>
    <w:rsid w:val="00601030"/>
    <w:rsid w:val="00601190"/>
    <w:rsid w:val="00601746"/>
    <w:rsid w:val="0060181D"/>
    <w:rsid w:val="00601904"/>
    <w:rsid w:val="00601A0E"/>
    <w:rsid w:val="00601AD9"/>
    <w:rsid w:val="00601B28"/>
    <w:rsid w:val="00601BD2"/>
    <w:rsid w:val="00601CDA"/>
    <w:rsid w:val="00601D94"/>
    <w:rsid w:val="00601ED6"/>
    <w:rsid w:val="00602066"/>
    <w:rsid w:val="0060209B"/>
    <w:rsid w:val="006020B1"/>
    <w:rsid w:val="006022A4"/>
    <w:rsid w:val="006022D4"/>
    <w:rsid w:val="00602324"/>
    <w:rsid w:val="006025A5"/>
    <w:rsid w:val="00602A51"/>
    <w:rsid w:val="00602C1E"/>
    <w:rsid w:val="00602D0F"/>
    <w:rsid w:val="00602DB0"/>
    <w:rsid w:val="00602E88"/>
    <w:rsid w:val="00603000"/>
    <w:rsid w:val="00603107"/>
    <w:rsid w:val="00603157"/>
    <w:rsid w:val="00603222"/>
    <w:rsid w:val="00603606"/>
    <w:rsid w:val="006036FD"/>
    <w:rsid w:val="006039A2"/>
    <w:rsid w:val="00603AF2"/>
    <w:rsid w:val="00603B60"/>
    <w:rsid w:val="00603C58"/>
    <w:rsid w:val="00603ED3"/>
    <w:rsid w:val="00604009"/>
    <w:rsid w:val="006040FF"/>
    <w:rsid w:val="0060416D"/>
    <w:rsid w:val="006041EC"/>
    <w:rsid w:val="006042CD"/>
    <w:rsid w:val="00604355"/>
    <w:rsid w:val="006044E2"/>
    <w:rsid w:val="006045DE"/>
    <w:rsid w:val="00604730"/>
    <w:rsid w:val="006047A5"/>
    <w:rsid w:val="00604B2A"/>
    <w:rsid w:val="00604BFE"/>
    <w:rsid w:val="00604C4F"/>
    <w:rsid w:val="00604E44"/>
    <w:rsid w:val="00604FBC"/>
    <w:rsid w:val="0060525B"/>
    <w:rsid w:val="00605541"/>
    <w:rsid w:val="00605639"/>
    <w:rsid w:val="00605778"/>
    <w:rsid w:val="0060586E"/>
    <w:rsid w:val="00605AE4"/>
    <w:rsid w:val="00605D53"/>
    <w:rsid w:val="00605D54"/>
    <w:rsid w:val="00605D78"/>
    <w:rsid w:val="00606179"/>
    <w:rsid w:val="0060622F"/>
    <w:rsid w:val="00606412"/>
    <w:rsid w:val="00606586"/>
    <w:rsid w:val="0060693A"/>
    <w:rsid w:val="00606D09"/>
    <w:rsid w:val="00606D99"/>
    <w:rsid w:val="00606E9F"/>
    <w:rsid w:val="00606F15"/>
    <w:rsid w:val="006073CE"/>
    <w:rsid w:val="00607A5B"/>
    <w:rsid w:val="00607A63"/>
    <w:rsid w:val="00607BF1"/>
    <w:rsid w:val="00607CA0"/>
    <w:rsid w:val="00607CD3"/>
    <w:rsid w:val="00607D41"/>
    <w:rsid w:val="00607D6D"/>
    <w:rsid w:val="00607ED1"/>
    <w:rsid w:val="0061026C"/>
    <w:rsid w:val="00610442"/>
    <w:rsid w:val="00610546"/>
    <w:rsid w:val="0061056F"/>
    <w:rsid w:val="00610945"/>
    <w:rsid w:val="0061099A"/>
    <w:rsid w:val="006109B9"/>
    <w:rsid w:val="00610A19"/>
    <w:rsid w:val="00610A1C"/>
    <w:rsid w:val="00610CAA"/>
    <w:rsid w:val="00610EC8"/>
    <w:rsid w:val="00610F7F"/>
    <w:rsid w:val="006110D0"/>
    <w:rsid w:val="006110F7"/>
    <w:rsid w:val="00611201"/>
    <w:rsid w:val="00611294"/>
    <w:rsid w:val="006114F3"/>
    <w:rsid w:val="00611587"/>
    <w:rsid w:val="0061164B"/>
    <w:rsid w:val="0061166B"/>
    <w:rsid w:val="00611674"/>
    <w:rsid w:val="00611678"/>
    <w:rsid w:val="00611C47"/>
    <w:rsid w:val="00611CCB"/>
    <w:rsid w:val="00611DF6"/>
    <w:rsid w:val="00611E01"/>
    <w:rsid w:val="00611F91"/>
    <w:rsid w:val="006120A0"/>
    <w:rsid w:val="006120D5"/>
    <w:rsid w:val="0061220E"/>
    <w:rsid w:val="006122C3"/>
    <w:rsid w:val="006125A6"/>
    <w:rsid w:val="006128CF"/>
    <w:rsid w:val="006129C9"/>
    <w:rsid w:val="00612A67"/>
    <w:rsid w:val="0061319E"/>
    <w:rsid w:val="0061334D"/>
    <w:rsid w:val="006137F0"/>
    <w:rsid w:val="006138B1"/>
    <w:rsid w:val="006139ED"/>
    <w:rsid w:val="00613AF7"/>
    <w:rsid w:val="00613B56"/>
    <w:rsid w:val="00613BFF"/>
    <w:rsid w:val="00613CA2"/>
    <w:rsid w:val="00613EE9"/>
    <w:rsid w:val="00613EEB"/>
    <w:rsid w:val="00614075"/>
    <w:rsid w:val="00614108"/>
    <w:rsid w:val="006141AF"/>
    <w:rsid w:val="006145EE"/>
    <w:rsid w:val="00614685"/>
    <w:rsid w:val="006147D1"/>
    <w:rsid w:val="0061496F"/>
    <w:rsid w:val="006149E1"/>
    <w:rsid w:val="00614A2B"/>
    <w:rsid w:val="00614CEB"/>
    <w:rsid w:val="0061503A"/>
    <w:rsid w:val="006151DD"/>
    <w:rsid w:val="00615206"/>
    <w:rsid w:val="00615214"/>
    <w:rsid w:val="00615322"/>
    <w:rsid w:val="00615486"/>
    <w:rsid w:val="00615619"/>
    <w:rsid w:val="00615A47"/>
    <w:rsid w:val="00615CC7"/>
    <w:rsid w:val="00615E21"/>
    <w:rsid w:val="006161BB"/>
    <w:rsid w:val="00616272"/>
    <w:rsid w:val="00616427"/>
    <w:rsid w:val="00616452"/>
    <w:rsid w:val="00616520"/>
    <w:rsid w:val="00616571"/>
    <w:rsid w:val="006165A2"/>
    <w:rsid w:val="00616774"/>
    <w:rsid w:val="006167A7"/>
    <w:rsid w:val="00616954"/>
    <w:rsid w:val="00616A71"/>
    <w:rsid w:val="00616AD3"/>
    <w:rsid w:val="00616CEA"/>
    <w:rsid w:val="00616F49"/>
    <w:rsid w:val="006171B8"/>
    <w:rsid w:val="0061730F"/>
    <w:rsid w:val="006174A1"/>
    <w:rsid w:val="0061756C"/>
    <w:rsid w:val="006175E3"/>
    <w:rsid w:val="006175F4"/>
    <w:rsid w:val="00617652"/>
    <w:rsid w:val="0061783B"/>
    <w:rsid w:val="00617A1B"/>
    <w:rsid w:val="00617A57"/>
    <w:rsid w:val="00617A59"/>
    <w:rsid w:val="00617ABE"/>
    <w:rsid w:val="00617AC5"/>
    <w:rsid w:val="00617BD6"/>
    <w:rsid w:val="00617BEB"/>
    <w:rsid w:val="00617F1A"/>
    <w:rsid w:val="0062016D"/>
    <w:rsid w:val="006206F9"/>
    <w:rsid w:val="00620711"/>
    <w:rsid w:val="006208A2"/>
    <w:rsid w:val="00620BDC"/>
    <w:rsid w:val="00620E9C"/>
    <w:rsid w:val="00621189"/>
    <w:rsid w:val="006214A6"/>
    <w:rsid w:val="006214CC"/>
    <w:rsid w:val="00621669"/>
    <w:rsid w:val="006216EF"/>
    <w:rsid w:val="0062172E"/>
    <w:rsid w:val="006218FA"/>
    <w:rsid w:val="00621A6D"/>
    <w:rsid w:val="00621B93"/>
    <w:rsid w:val="00621C9C"/>
    <w:rsid w:val="00621CE3"/>
    <w:rsid w:val="00621D27"/>
    <w:rsid w:val="00621E6D"/>
    <w:rsid w:val="00621EED"/>
    <w:rsid w:val="00622107"/>
    <w:rsid w:val="00622240"/>
    <w:rsid w:val="0062225C"/>
    <w:rsid w:val="00622280"/>
    <w:rsid w:val="00622354"/>
    <w:rsid w:val="00622402"/>
    <w:rsid w:val="006225AA"/>
    <w:rsid w:val="00622660"/>
    <w:rsid w:val="006226F5"/>
    <w:rsid w:val="00622868"/>
    <w:rsid w:val="00622BCF"/>
    <w:rsid w:val="00622CE2"/>
    <w:rsid w:val="00622DB5"/>
    <w:rsid w:val="00622DEB"/>
    <w:rsid w:val="00622E5C"/>
    <w:rsid w:val="00622F14"/>
    <w:rsid w:val="00622FC4"/>
    <w:rsid w:val="0062301C"/>
    <w:rsid w:val="006231F6"/>
    <w:rsid w:val="006235A1"/>
    <w:rsid w:val="0062381B"/>
    <w:rsid w:val="00623DAE"/>
    <w:rsid w:val="00623E1A"/>
    <w:rsid w:val="00623EC8"/>
    <w:rsid w:val="00623F26"/>
    <w:rsid w:val="00623FCB"/>
    <w:rsid w:val="006240C5"/>
    <w:rsid w:val="00624275"/>
    <w:rsid w:val="006245D7"/>
    <w:rsid w:val="006246ED"/>
    <w:rsid w:val="0062481C"/>
    <w:rsid w:val="006248C9"/>
    <w:rsid w:val="006249FF"/>
    <w:rsid w:val="00624A06"/>
    <w:rsid w:val="00624AFD"/>
    <w:rsid w:val="00624BFC"/>
    <w:rsid w:val="00624DD9"/>
    <w:rsid w:val="00624DF0"/>
    <w:rsid w:val="006250B6"/>
    <w:rsid w:val="00625238"/>
    <w:rsid w:val="00625298"/>
    <w:rsid w:val="006252ED"/>
    <w:rsid w:val="00625311"/>
    <w:rsid w:val="0062531E"/>
    <w:rsid w:val="006253C5"/>
    <w:rsid w:val="00625580"/>
    <w:rsid w:val="0062579F"/>
    <w:rsid w:val="00625E1B"/>
    <w:rsid w:val="00625E9B"/>
    <w:rsid w:val="00625FD5"/>
    <w:rsid w:val="0062600A"/>
    <w:rsid w:val="00626023"/>
    <w:rsid w:val="00626194"/>
    <w:rsid w:val="0062627D"/>
    <w:rsid w:val="0062661B"/>
    <w:rsid w:val="00626672"/>
    <w:rsid w:val="0062671C"/>
    <w:rsid w:val="00626AA8"/>
    <w:rsid w:val="00626B05"/>
    <w:rsid w:val="00626B9D"/>
    <w:rsid w:val="00626CE5"/>
    <w:rsid w:val="00626D05"/>
    <w:rsid w:val="00626E0B"/>
    <w:rsid w:val="00626E92"/>
    <w:rsid w:val="00627082"/>
    <w:rsid w:val="00627240"/>
    <w:rsid w:val="00627280"/>
    <w:rsid w:val="00627424"/>
    <w:rsid w:val="00627718"/>
    <w:rsid w:val="006277E2"/>
    <w:rsid w:val="0062782A"/>
    <w:rsid w:val="006279C6"/>
    <w:rsid w:val="00627A3E"/>
    <w:rsid w:val="00627B5E"/>
    <w:rsid w:val="006300C8"/>
    <w:rsid w:val="0063011C"/>
    <w:rsid w:val="00630197"/>
    <w:rsid w:val="0063023C"/>
    <w:rsid w:val="00630389"/>
    <w:rsid w:val="006304D9"/>
    <w:rsid w:val="00630862"/>
    <w:rsid w:val="006308D3"/>
    <w:rsid w:val="006308DF"/>
    <w:rsid w:val="0063094A"/>
    <w:rsid w:val="00630AC9"/>
    <w:rsid w:val="006313BC"/>
    <w:rsid w:val="006313F2"/>
    <w:rsid w:val="00631631"/>
    <w:rsid w:val="00631661"/>
    <w:rsid w:val="00631737"/>
    <w:rsid w:val="00631846"/>
    <w:rsid w:val="00631962"/>
    <w:rsid w:val="00631AAA"/>
    <w:rsid w:val="00631B2F"/>
    <w:rsid w:val="00631B69"/>
    <w:rsid w:val="00631C6C"/>
    <w:rsid w:val="00631DB9"/>
    <w:rsid w:val="00631E33"/>
    <w:rsid w:val="00631FFC"/>
    <w:rsid w:val="0063238B"/>
    <w:rsid w:val="006328A0"/>
    <w:rsid w:val="006328FF"/>
    <w:rsid w:val="00632CAD"/>
    <w:rsid w:val="00632CBF"/>
    <w:rsid w:val="00632FEB"/>
    <w:rsid w:val="00633141"/>
    <w:rsid w:val="006336DA"/>
    <w:rsid w:val="006336FD"/>
    <w:rsid w:val="00633AD6"/>
    <w:rsid w:val="00633B61"/>
    <w:rsid w:val="00633C78"/>
    <w:rsid w:val="00633F3A"/>
    <w:rsid w:val="00634035"/>
    <w:rsid w:val="00634201"/>
    <w:rsid w:val="006344A7"/>
    <w:rsid w:val="00634750"/>
    <w:rsid w:val="00634A80"/>
    <w:rsid w:val="00634B9D"/>
    <w:rsid w:val="00634CB6"/>
    <w:rsid w:val="00634F90"/>
    <w:rsid w:val="0063502E"/>
    <w:rsid w:val="0063509A"/>
    <w:rsid w:val="00635328"/>
    <w:rsid w:val="006353F2"/>
    <w:rsid w:val="00635604"/>
    <w:rsid w:val="0063564E"/>
    <w:rsid w:val="0063573E"/>
    <w:rsid w:val="006357C1"/>
    <w:rsid w:val="0063595A"/>
    <w:rsid w:val="00635CEF"/>
    <w:rsid w:val="00635DFB"/>
    <w:rsid w:val="00635F9B"/>
    <w:rsid w:val="0063606C"/>
    <w:rsid w:val="00636098"/>
    <w:rsid w:val="006360E6"/>
    <w:rsid w:val="00636117"/>
    <w:rsid w:val="00636217"/>
    <w:rsid w:val="006365B5"/>
    <w:rsid w:val="006367AD"/>
    <w:rsid w:val="006368D8"/>
    <w:rsid w:val="00636AC3"/>
    <w:rsid w:val="00636AEE"/>
    <w:rsid w:val="00636B91"/>
    <w:rsid w:val="00636BF5"/>
    <w:rsid w:val="00636C24"/>
    <w:rsid w:val="00636DBF"/>
    <w:rsid w:val="00636E3C"/>
    <w:rsid w:val="00636E82"/>
    <w:rsid w:val="00636FC2"/>
    <w:rsid w:val="0063711D"/>
    <w:rsid w:val="006379B1"/>
    <w:rsid w:val="006379FE"/>
    <w:rsid w:val="00637A08"/>
    <w:rsid w:val="00637A17"/>
    <w:rsid w:val="00637ABC"/>
    <w:rsid w:val="00637DB3"/>
    <w:rsid w:val="0064005F"/>
    <w:rsid w:val="0064006B"/>
    <w:rsid w:val="0064032C"/>
    <w:rsid w:val="006403C2"/>
    <w:rsid w:val="006403FA"/>
    <w:rsid w:val="006405EF"/>
    <w:rsid w:val="00640872"/>
    <w:rsid w:val="0064090D"/>
    <w:rsid w:val="00640D76"/>
    <w:rsid w:val="00640E38"/>
    <w:rsid w:val="00640FA9"/>
    <w:rsid w:val="00641044"/>
    <w:rsid w:val="00641066"/>
    <w:rsid w:val="0064120F"/>
    <w:rsid w:val="00641616"/>
    <w:rsid w:val="00641643"/>
    <w:rsid w:val="006416F1"/>
    <w:rsid w:val="0064172C"/>
    <w:rsid w:val="0064184B"/>
    <w:rsid w:val="0064185A"/>
    <w:rsid w:val="00641C6E"/>
    <w:rsid w:val="00641DA0"/>
    <w:rsid w:val="00642121"/>
    <w:rsid w:val="00642202"/>
    <w:rsid w:val="00642323"/>
    <w:rsid w:val="00642576"/>
    <w:rsid w:val="006425D4"/>
    <w:rsid w:val="00642623"/>
    <w:rsid w:val="00642670"/>
    <w:rsid w:val="006426F6"/>
    <w:rsid w:val="00642B43"/>
    <w:rsid w:val="00642EE4"/>
    <w:rsid w:val="00642F0E"/>
    <w:rsid w:val="00643131"/>
    <w:rsid w:val="00643440"/>
    <w:rsid w:val="00643484"/>
    <w:rsid w:val="006434E4"/>
    <w:rsid w:val="00643600"/>
    <w:rsid w:val="006436C9"/>
    <w:rsid w:val="006436E9"/>
    <w:rsid w:val="00643710"/>
    <w:rsid w:val="00643808"/>
    <w:rsid w:val="00643887"/>
    <w:rsid w:val="00643B4D"/>
    <w:rsid w:val="00643B69"/>
    <w:rsid w:val="00643CF3"/>
    <w:rsid w:val="00643D85"/>
    <w:rsid w:val="00643E46"/>
    <w:rsid w:val="00643E4E"/>
    <w:rsid w:val="00644019"/>
    <w:rsid w:val="006440D6"/>
    <w:rsid w:val="00644243"/>
    <w:rsid w:val="0064426A"/>
    <w:rsid w:val="006444AF"/>
    <w:rsid w:val="00644559"/>
    <w:rsid w:val="00644945"/>
    <w:rsid w:val="00644D74"/>
    <w:rsid w:val="00644DA5"/>
    <w:rsid w:val="00644DB3"/>
    <w:rsid w:val="00644DB7"/>
    <w:rsid w:val="00644E9E"/>
    <w:rsid w:val="00644EBE"/>
    <w:rsid w:val="00645215"/>
    <w:rsid w:val="0064524D"/>
    <w:rsid w:val="006453E9"/>
    <w:rsid w:val="00645486"/>
    <w:rsid w:val="00645559"/>
    <w:rsid w:val="00645722"/>
    <w:rsid w:val="0064573C"/>
    <w:rsid w:val="0064608A"/>
    <w:rsid w:val="0064627D"/>
    <w:rsid w:val="006466E4"/>
    <w:rsid w:val="006467E4"/>
    <w:rsid w:val="00646899"/>
    <w:rsid w:val="00646A0A"/>
    <w:rsid w:val="00646CE9"/>
    <w:rsid w:val="00646D8B"/>
    <w:rsid w:val="00646E42"/>
    <w:rsid w:val="00646F56"/>
    <w:rsid w:val="00646FF2"/>
    <w:rsid w:val="006470BC"/>
    <w:rsid w:val="00647198"/>
    <w:rsid w:val="00647308"/>
    <w:rsid w:val="00647311"/>
    <w:rsid w:val="00647496"/>
    <w:rsid w:val="006474A9"/>
    <w:rsid w:val="00647617"/>
    <w:rsid w:val="00647753"/>
    <w:rsid w:val="006477D3"/>
    <w:rsid w:val="00647859"/>
    <w:rsid w:val="006479D6"/>
    <w:rsid w:val="00647A77"/>
    <w:rsid w:val="00647A87"/>
    <w:rsid w:val="00647D46"/>
    <w:rsid w:val="00650030"/>
    <w:rsid w:val="006501E7"/>
    <w:rsid w:val="0065086A"/>
    <w:rsid w:val="00650B43"/>
    <w:rsid w:val="00650DEC"/>
    <w:rsid w:val="00650FC8"/>
    <w:rsid w:val="0065108E"/>
    <w:rsid w:val="006511C8"/>
    <w:rsid w:val="006512AF"/>
    <w:rsid w:val="00651330"/>
    <w:rsid w:val="00651938"/>
    <w:rsid w:val="00651F8A"/>
    <w:rsid w:val="006522FA"/>
    <w:rsid w:val="0065238E"/>
    <w:rsid w:val="0065248B"/>
    <w:rsid w:val="0065252D"/>
    <w:rsid w:val="00652851"/>
    <w:rsid w:val="0065292F"/>
    <w:rsid w:val="00652B33"/>
    <w:rsid w:val="00652DFE"/>
    <w:rsid w:val="00652F04"/>
    <w:rsid w:val="006531AF"/>
    <w:rsid w:val="0065347E"/>
    <w:rsid w:val="006534FF"/>
    <w:rsid w:val="00653592"/>
    <w:rsid w:val="006535F9"/>
    <w:rsid w:val="0065376D"/>
    <w:rsid w:val="00653789"/>
    <w:rsid w:val="00653801"/>
    <w:rsid w:val="00653811"/>
    <w:rsid w:val="006538A5"/>
    <w:rsid w:val="00653AB7"/>
    <w:rsid w:val="00653BA4"/>
    <w:rsid w:val="00653C13"/>
    <w:rsid w:val="00653C4D"/>
    <w:rsid w:val="00653CE8"/>
    <w:rsid w:val="00653D50"/>
    <w:rsid w:val="00654291"/>
    <w:rsid w:val="00654441"/>
    <w:rsid w:val="00654575"/>
    <w:rsid w:val="006547EE"/>
    <w:rsid w:val="00654813"/>
    <w:rsid w:val="00654908"/>
    <w:rsid w:val="00654A10"/>
    <w:rsid w:val="00654BDF"/>
    <w:rsid w:val="00654C69"/>
    <w:rsid w:val="00654D39"/>
    <w:rsid w:val="00654EA7"/>
    <w:rsid w:val="006550AF"/>
    <w:rsid w:val="006551E8"/>
    <w:rsid w:val="0065538C"/>
    <w:rsid w:val="0065573B"/>
    <w:rsid w:val="00655749"/>
    <w:rsid w:val="00655755"/>
    <w:rsid w:val="00655800"/>
    <w:rsid w:val="0065592F"/>
    <w:rsid w:val="00655B69"/>
    <w:rsid w:val="00655BC1"/>
    <w:rsid w:val="00655BFF"/>
    <w:rsid w:val="00655E30"/>
    <w:rsid w:val="00655EB7"/>
    <w:rsid w:val="0065613C"/>
    <w:rsid w:val="006561A9"/>
    <w:rsid w:val="0065635D"/>
    <w:rsid w:val="00656422"/>
    <w:rsid w:val="006569EC"/>
    <w:rsid w:val="00656C7A"/>
    <w:rsid w:val="00656E84"/>
    <w:rsid w:val="006570F9"/>
    <w:rsid w:val="006573F7"/>
    <w:rsid w:val="00657638"/>
    <w:rsid w:val="0065766C"/>
    <w:rsid w:val="006577D5"/>
    <w:rsid w:val="00657910"/>
    <w:rsid w:val="006579C8"/>
    <w:rsid w:val="00657BAB"/>
    <w:rsid w:val="00657CBF"/>
    <w:rsid w:val="00657D53"/>
    <w:rsid w:val="00657EFE"/>
    <w:rsid w:val="006602ED"/>
    <w:rsid w:val="00660306"/>
    <w:rsid w:val="00660314"/>
    <w:rsid w:val="00660654"/>
    <w:rsid w:val="006607F9"/>
    <w:rsid w:val="006608C7"/>
    <w:rsid w:val="00660AFC"/>
    <w:rsid w:val="00660B3F"/>
    <w:rsid w:val="00660BA6"/>
    <w:rsid w:val="00660E8A"/>
    <w:rsid w:val="006611B7"/>
    <w:rsid w:val="00661372"/>
    <w:rsid w:val="00661396"/>
    <w:rsid w:val="006613A0"/>
    <w:rsid w:val="006613FA"/>
    <w:rsid w:val="006617A4"/>
    <w:rsid w:val="006617E7"/>
    <w:rsid w:val="00661B3C"/>
    <w:rsid w:val="00661BC9"/>
    <w:rsid w:val="00661E2F"/>
    <w:rsid w:val="00661E37"/>
    <w:rsid w:val="00661F3C"/>
    <w:rsid w:val="006620C7"/>
    <w:rsid w:val="006620E9"/>
    <w:rsid w:val="006621C3"/>
    <w:rsid w:val="00662421"/>
    <w:rsid w:val="0066270E"/>
    <w:rsid w:val="006627D9"/>
    <w:rsid w:val="006628DB"/>
    <w:rsid w:val="00662A6F"/>
    <w:rsid w:val="00662B1E"/>
    <w:rsid w:val="00662B1F"/>
    <w:rsid w:val="00662DC6"/>
    <w:rsid w:val="00662E12"/>
    <w:rsid w:val="00662F96"/>
    <w:rsid w:val="006631C8"/>
    <w:rsid w:val="006631E4"/>
    <w:rsid w:val="00663292"/>
    <w:rsid w:val="006632B6"/>
    <w:rsid w:val="006633D9"/>
    <w:rsid w:val="0066341E"/>
    <w:rsid w:val="00663420"/>
    <w:rsid w:val="00663490"/>
    <w:rsid w:val="00663521"/>
    <w:rsid w:val="0066353C"/>
    <w:rsid w:val="0066355E"/>
    <w:rsid w:val="0066368E"/>
    <w:rsid w:val="00663814"/>
    <w:rsid w:val="006639CD"/>
    <w:rsid w:val="00663AA1"/>
    <w:rsid w:val="00663B71"/>
    <w:rsid w:val="00663BFF"/>
    <w:rsid w:val="00663D47"/>
    <w:rsid w:val="006640B1"/>
    <w:rsid w:val="006640DA"/>
    <w:rsid w:val="006641A5"/>
    <w:rsid w:val="006641F2"/>
    <w:rsid w:val="006642AD"/>
    <w:rsid w:val="0066444B"/>
    <w:rsid w:val="00664684"/>
    <w:rsid w:val="00664B9F"/>
    <w:rsid w:val="00664BA5"/>
    <w:rsid w:val="00664C01"/>
    <w:rsid w:val="00664CBD"/>
    <w:rsid w:val="00664FD3"/>
    <w:rsid w:val="00665062"/>
    <w:rsid w:val="00665113"/>
    <w:rsid w:val="006651A3"/>
    <w:rsid w:val="0066546F"/>
    <w:rsid w:val="00665476"/>
    <w:rsid w:val="006655A2"/>
    <w:rsid w:val="00665640"/>
    <w:rsid w:val="0066586B"/>
    <w:rsid w:val="00665A0A"/>
    <w:rsid w:val="00665A80"/>
    <w:rsid w:val="00665B13"/>
    <w:rsid w:val="00665CA6"/>
    <w:rsid w:val="00666002"/>
    <w:rsid w:val="00666115"/>
    <w:rsid w:val="0066618A"/>
    <w:rsid w:val="006661F0"/>
    <w:rsid w:val="006661F7"/>
    <w:rsid w:val="00666257"/>
    <w:rsid w:val="006662CA"/>
    <w:rsid w:val="0066635B"/>
    <w:rsid w:val="00666382"/>
    <w:rsid w:val="006664AB"/>
    <w:rsid w:val="00666534"/>
    <w:rsid w:val="00666594"/>
    <w:rsid w:val="006665D6"/>
    <w:rsid w:val="006665DC"/>
    <w:rsid w:val="006665F4"/>
    <w:rsid w:val="0066677D"/>
    <w:rsid w:val="006667FE"/>
    <w:rsid w:val="00666B5A"/>
    <w:rsid w:val="00666FE2"/>
    <w:rsid w:val="0066705C"/>
    <w:rsid w:val="00667098"/>
    <w:rsid w:val="006671C3"/>
    <w:rsid w:val="006671FE"/>
    <w:rsid w:val="00667201"/>
    <w:rsid w:val="00667204"/>
    <w:rsid w:val="00667397"/>
    <w:rsid w:val="006673A3"/>
    <w:rsid w:val="00667401"/>
    <w:rsid w:val="006675C3"/>
    <w:rsid w:val="00667940"/>
    <w:rsid w:val="00667973"/>
    <w:rsid w:val="00667A94"/>
    <w:rsid w:val="00667AA0"/>
    <w:rsid w:val="00667CA6"/>
    <w:rsid w:val="00667F7B"/>
    <w:rsid w:val="00667FA4"/>
    <w:rsid w:val="00670146"/>
    <w:rsid w:val="00670470"/>
    <w:rsid w:val="00670598"/>
    <w:rsid w:val="0067059C"/>
    <w:rsid w:val="006707F8"/>
    <w:rsid w:val="00670BE7"/>
    <w:rsid w:val="00670D7B"/>
    <w:rsid w:val="00670DE1"/>
    <w:rsid w:val="00670EE0"/>
    <w:rsid w:val="006710E4"/>
    <w:rsid w:val="00671371"/>
    <w:rsid w:val="00671434"/>
    <w:rsid w:val="006714D7"/>
    <w:rsid w:val="006715C3"/>
    <w:rsid w:val="0067184D"/>
    <w:rsid w:val="00671941"/>
    <w:rsid w:val="00671A36"/>
    <w:rsid w:val="00671B23"/>
    <w:rsid w:val="00671B62"/>
    <w:rsid w:val="00671BEA"/>
    <w:rsid w:val="00671CDA"/>
    <w:rsid w:val="00671CDB"/>
    <w:rsid w:val="00671F3E"/>
    <w:rsid w:val="00671FF3"/>
    <w:rsid w:val="006722C9"/>
    <w:rsid w:val="00672427"/>
    <w:rsid w:val="00672604"/>
    <w:rsid w:val="00672615"/>
    <w:rsid w:val="00672727"/>
    <w:rsid w:val="0067277A"/>
    <w:rsid w:val="00672811"/>
    <w:rsid w:val="00672869"/>
    <w:rsid w:val="006729A0"/>
    <w:rsid w:val="00672B37"/>
    <w:rsid w:val="00672B68"/>
    <w:rsid w:val="00672D6A"/>
    <w:rsid w:val="00672E20"/>
    <w:rsid w:val="00672E79"/>
    <w:rsid w:val="00672F38"/>
    <w:rsid w:val="00673012"/>
    <w:rsid w:val="006730A7"/>
    <w:rsid w:val="00673389"/>
    <w:rsid w:val="00673401"/>
    <w:rsid w:val="0067340E"/>
    <w:rsid w:val="0067360E"/>
    <w:rsid w:val="0067377D"/>
    <w:rsid w:val="006737FC"/>
    <w:rsid w:val="00673924"/>
    <w:rsid w:val="00673A61"/>
    <w:rsid w:val="00673BF2"/>
    <w:rsid w:val="00673FAA"/>
    <w:rsid w:val="00673FBF"/>
    <w:rsid w:val="006740FB"/>
    <w:rsid w:val="00674216"/>
    <w:rsid w:val="0067431A"/>
    <w:rsid w:val="0067449D"/>
    <w:rsid w:val="006745A4"/>
    <w:rsid w:val="006745A6"/>
    <w:rsid w:val="006746F4"/>
    <w:rsid w:val="0067479A"/>
    <w:rsid w:val="00674849"/>
    <w:rsid w:val="006748CC"/>
    <w:rsid w:val="006749A4"/>
    <w:rsid w:val="00674A72"/>
    <w:rsid w:val="00674A7B"/>
    <w:rsid w:val="00674C67"/>
    <w:rsid w:val="00674FF9"/>
    <w:rsid w:val="0067509B"/>
    <w:rsid w:val="00675153"/>
    <w:rsid w:val="00675370"/>
    <w:rsid w:val="00675773"/>
    <w:rsid w:val="00675846"/>
    <w:rsid w:val="00675DD4"/>
    <w:rsid w:val="00676458"/>
    <w:rsid w:val="006767D4"/>
    <w:rsid w:val="006767E5"/>
    <w:rsid w:val="00676A90"/>
    <w:rsid w:val="00676B26"/>
    <w:rsid w:val="00676D56"/>
    <w:rsid w:val="00676DFF"/>
    <w:rsid w:val="00676EB8"/>
    <w:rsid w:val="00676F22"/>
    <w:rsid w:val="00676F6C"/>
    <w:rsid w:val="0067701D"/>
    <w:rsid w:val="0067718A"/>
    <w:rsid w:val="00677227"/>
    <w:rsid w:val="0067727F"/>
    <w:rsid w:val="0067740A"/>
    <w:rsid w:val="006775BC"/>
    <w:rsid w:val="00677625"/>
    <w:rsid w:val="00677682"/>
    <w:rsid w:val="00677D6B"/>
    <w:rsid w:val="006803C2"/>
    <w:rsid w:val="006803FE"/>
    <w:rsid w:val="00680637"/>
    <w:rsid w:val="006806F0"/>
    <w:rsid w:val="00680778"/>
    <w:rsid w:val="00680D9C"/>
    <w:rsid w:val="00680EF4"/>
    <w:rsid w:val="006817C8"/>
    <w:rsid w:val="00681B12"/>
    <w:rsid w:val="00681BC2"/>
    <w:rsid w:val="00681BD9"/>
    <w:rsid w:val="00681D4B"/>
    <w:rsid w:val="00681DE8"/>
    <w:rsid w:val="00681FA9"/>
    <w:rsid w:val="00682085"/>
    <w:rsid w:val="006822D5"/>
    <w:rsid w:val="0068244C"/>
    <w:rsid w:val="006824F8"/>
    <w:rsid w:val="0068292C"/>
    <w:rsid w:val="0068299F"/>
    <w:rsid w:val="00682A11"/>
    <w:rsid w:val="00682B26"/>
    <w:rsid w:val="00682C43"/>
    <w:rsid w:val="00682E40"/>
    <w:rsid w:val="006830DE"/>
    <w:rsid w:val="006831E4"/>
    <w:rsid w:val="006832A3"/>
    <w:rsid w:val="00683491"/>
    <w:rsid w:val="006835A4"/>
    <w:rsid w:val="0068375E"/>
    <w:rsid w:val="006838B7"/>
    <w:rsid w:val="00683B6D"/>
    <w:rsid w:val="00683E51"/>
    <w:rsid w:val="00683EAB"/>
    <w:rsid w:val="00683F89"/>
    <w:rsid w:val="00684074"/>
    <w:rsid w:val="006842CA"/>
    <w:rsid w:val="006845E2"/>
    <w:rsid w:val="0068461E"/>
    <w:rsid w:val="00684771"/>
    <w:rsid w:val="006847C9"/>
    <w:rsid w:val="006848CE"/>
    <w:rsid w:val="00684B81"/>
    <w:rsid w:val="00684DD4"/>
    <w:rsid w:val="00684EEB"/>
    <w:rsid w:val="00684EF0"/>
    <w:rsid w:val="00684F37"/>
    <w:rsid w:val="00684F3B"/>
    <w:rsid w:val="00685291"/>
    <w:rsid w:val="006852A9"/>
    <w:rsid w:val="006853B6"/>
    <w:rsid w:val="00685414"/>
    <w:rsid w:val="0068561B"/>
    <w:rsid w:val="00685AE6"/>
    <w:rsid w:val="00685BAF"/>
    <w:rsid w:val="00685DB0"/>
    <w:rsid w:val="00685DCA"/>
    <w:rsid w:val="00686149"/>
    <w:rsid w:val="0068628E"/>
    <w:rsid w:val="006865E1"/>
    <w:rsid w:val="00686698"/>
    <w:rsid w:val="00686795"/>
    <w:rsid w:val="006867EA"/>
    <w:rsid w:val="006868ED"/>
    <w:rsid w:val="00686930"/>
    <w:rsid w:val="0068699C"/>
    <w:rsid w:val="00686A81"/>
    <w:rsid w:val="00686DA8"/>
    <w:rsid w:val="00686FB6"/>
    <w:rsid w:val="006875EF"/>
    <w:rsid w:val="00687A07"/>
    <w:rsid w:val="00687A96"/>
    <w:rsid w:val="00687B9B"/>
    <w:rsid w:val="00687D9D"/>
    <w:rsid w:val="00687DA1"/>
    <w:rsid w:val="00687E0B"/>
    <w:rsid w:val="006901B1"/>
    <w:rsid w:val="006903E4"/>
    <w:rsid w:val="00690825"/>
    <w:rsid w:val="00690891"/>
    <w:rsid w:val="006908D0"/>
    <w:rsid w:val="006908D8"/>
    <w:rsid w:val="006909B7"/>
    <w:rsid w:val="00690CB7"/>
    <w:rsid w:val="00690E3B"/>
    <w:rsid w:val="00690EFA"/>
    <w:rsid w:val="00690F55"/>
    <w:rsid w:val="00690F94"/>
    <w:rsid w:val="0069120B"/>
    <w:rsid w:val="0069139C"/>
    <w:rsid w:val="006914DC"/>
    <w:rsid w:val="00691581"/>
    <w:rsid w:val="00691669"/>
    <w:rsid w:val="00691677"/>
    <w:rsid w:val="006919CE"/>
    <w:rsid w:val="00691AF9"/>
    <w:rsid w:val="00691D35"/>
    <w:rsid w:val="00691DB8"/>
    <w:rsid w:val="00691DF6"/>
    <w:rsid w:val="00691EEE"/>
    <w:rsid w:val="00691FE9"/>
    <w:rsid w:val="006920AB"/>
    <w:rsid w:val="006922C3"/>
    <w:rsid w:val="00692390"/>
    <w:rsid w:val="00692508"/>
    <w:rsid w:val="00692729"/>
    <w:rsid w:val="00692943"/>
    <w:rsid w:val="00692A58"/>
    <w:rsid w:val="00692C40"/>
    <w:rsid w:val="00692C6A"/>
    <w:rsid w:val="00692D5A"/>
    <w:rsid w:val="00692D9C"/>
    <w:rsid w:val="00692E68"/>
    <w:rsid w:val="00693008"/>
    <w:rsid w:val="006933B0"/>
    <w:rsid w:val="0069342B"/>
    <w:rsid w:val="0069348E"/>
    <w:rsid w:val="00693549"/>
    <w:rsid w:val="0069356B"/>
    <w:rsid w:val="00694035"/>
    <w:rsid w:val="0069404C"/>
    <w:rsid w:val="00694347"/>
    <w:rsid w:val="006945E5"/>
    <w:rsid w:val="006946CD"/>
    <w:rsid w:val="00694720"/>
    <w:rsid w:val="006947EC"/>
    <w:rsid w:val="00694AC3"/>
    <w:rsid w:val="00694BA6"/>
    <w:rsid w:val="00694BDB"/>
    <w:rsid w:val="00694EB2"/>
    <w:rsid w:val="00695237"/>
    <w:rsid w:val="0069538C"/>
    <w:rsid w:val="0069547F"/>
    <w:rsid w:val="006954FA"/>
    <w:rsid w:val="00695679"/>
    <w:rsid w:val="0069575C"/>
    <w:rsid w:val="00695A57"/>
    <w:rsid w:val="00695B0E"/>
    <w:rsid w:val="00695CA7"/>
    <w:rsid w:val="00695CD3"/>
    <w:rsid w:val="0069636E"/>
    <w:rsid w:val="00696423"/>
    <w:rsid w:val="0069699F"/>
    <w:rsid w:val="00696BBD"/>
    <w:rsid w:val="00696BCA"/>
    <w:rsid w:val="00696C94"/>
    <w:rsid w:val="00696D73"/>
    <w:rsid w:val="00696DB1"/>
    <w:rsid w:val="00696F84"/>
    <w:rsid w:val="00696FEA"/>
    <w:rsid w:val="0069745A"/>
    <w:rsid w:val="006974CB"/>
    <w:rsid w:val="006977BE"/>
    <w:rsid w:val="00697875"/>
    <w:rsid w:val="0069795E"/>
    <w:rsid w:val="00697A44"/>
    <w:rsid w:val="00697C6A"/>
    <w:rsid w:val="00697C93"/>
    <w:rsid w:val="00697D89"/>
    <w:rsid w:val="006A004C"/>
    <w:rsid w:val="006A041E"/>
    <w:rsid w:val="006A05E9"/>
    <w:rsid w:val="006A066E"/>
    <w:rsid w:val="006A06D8"/>
    <w:rsid w:val="006A0745"/>
    <w:rsid w:val="006A0AA6"/>
    <w:rsid w:val="006A0C85"/>
    <w:rsid w:val="006A0EE8"/>
    <w:rsid w:val="006A0FFA"/>
    <w:rsid w:val="006A1057"/>
    <w:rsid w:val="006A106F"/>
    <w:rsid w:val="006A1708"/>
    <w:rsid w:val="006A1811"/>
    <w:rsid w:val="006A1BE8"/>
    <w:rsid w:val="006A1F13"/>
    <w:rsid w:val="006A1F72"/>
    <w:rsid w:val="006A220C"/>
    <w:rsid w:val="006A220D"/>
    <w:rsid w:val="006A221D"/>
    <w:rsid w:val="006A240F"/>
    <w:rsid w:val="006A24F5"/>
    <w:rsid w:val="006A25C3"/>
    <w:rsid w:val="006A25D3"/>
    <w:rsid w:val="006A2678"/>
    <w:rsid w:val="006A2773"/>
    <w:rsid w:val="006A2CCB"/>
    <w:rsid w:val="006A2E5F"/>
    <w:rsid w:val="006A2E76"/>
    <w:rsid w:val="006A3145"/>
    <w:rsid w:val="006A31D9"/>
    <w:rsid w:val="006A3AAF"/>
    <w:rsid w:val="006A3B80"/>
    <w:rsid w:val="006A3D05"/>
    <w:rsid w:val="006A3E7D"/>
    <w:rsid w:val="006A3E94"/>
    <w:rsid w:val="006A43C4"/>
    <w:rsid w:val="006A4485"/>
    <w:rsid w:val="006A45C9"/>
    <w:rsid w:val="006A46DD"/>
    <w:rsid w:val="006A476B"/>
    <w:rsid w:val="006A48F0"/>
    <w:rsid w:val="006A4C15"/>
    <w:rsid w:val="006A5082"/>
    <w:rsid w:val="006A5142"/>
    <w:rsid w:val="006A51F9"/>
    <w:rsid w:val="006A5788"/>
    <w:rsid w:val="006A57EF"/>
    <w:rsid w:val="006A59E4"/>
    <w:rsid w:val="006A59FF"/>
    <w:rsid w:val="006A5AA7"/>
    <w:rsid w:val="006A5AF3"/>
    <w:rsid w:val="006A5CD7"/>
    <w:rsid w:val="006A5F97"/>
    <w:rsid w:val="006A6127"/>
    <w:rsid w:val="006A619A"/>
    <w:rsid w:val="006A6331"/>
    <w:rsid w:val="006A6516"/>
    <w:rsid w:val="006A65E4"/>
    <w:rsid w:val="006A668B"/>
    <w:rsid w:val="006A674E"/>
    <w:rsid w:val="006A6B40"/>
    <w:rsid w:val="006A6D11"/>
    <w:rsid w:val="006A6E6A"/>
    <w:rsid w:val="006A6F4F"/>
    <w:rsid w:val="006A6F6B"/>
    <w:rsid w:val="006A6FFB"/>
    <w:rsid w:val="006A709A"/>
    <w:rsid w:val="006A7788"/>
    <w:rsid w:val="006A77FD"/>
    <w:rsid w:val="006A7AE2"/>
    <w:rsid w:val="006A7AFE"/>
    <w:rsid w:val="006A7DC4"/>
    <w:rsid w:val="006A7F1C"/>
    <w:rsid w:val="006A7F5D"/>
    <w:rsid w:val="006A7F88"/>
    <w:rsid w:val="006A7FA4"/>
    <w:rsid w:val="006B00AE"/>
    <w:rsid w:val="006B010E"/>
    <w:rsid w:val="006B01ED"/>
    <w:rsid w:val="006B0395"/>
    <w:rsid w:val="006B0465"/>
    <w:rsid w:val="006B047A"/>
    <w:rsid w:val="006B069C"/>
    <w:rsid w:val="006B0734"/>
    <w:rsid w:val="006B0874"/>
    <w:rsid w:val="006B0972"/>
    <w:rsid w:val="006B0992"/>
    <w:rsid w:val="006B0AE0"/>
    <w:rsid w:val="006B0C9F"/>
    <w:rsid w:val="006B1321"/>
    <w:rsid w:val="006B18B7"/>
    <w:rsid w:val="006B1932"/>
    <w:rsid w:val="006B1978"/>
    <w:rsid w:val="006B1D24"/>
    <w:rsid w:val="006B1D67"/>
    <w:rsid w:val="006B1E4E"/>
    <w:rsid w:val="006B1E93"/>
    <w:rsid w:val="006B2277"/>
    <w:rsid w:val="006B284A"/>
    <w:rsid w:val="006B28B9"/>
    <w:rsid w:val="006B2952"/>
    <w:rsid w:val="006B2971"/>
    <w:rsid w:val="006B2A36"/>
    <w:rsid w:val="006B2A5F"/>
    <w:rsid w:val="006B2A9E"/>
    <w:rsid w:val="006B2B40"/>
    <w:rsid w:val="006B2B6C"/>
    <w:rsid w:val="006B2CE1"/>
    <w:rsid w:val="006B2D8A"/>
    <w:rsid w:val="006B2FE2"/>
    <w:rsid w:val="006B3054"/>
    <w:rsid w:val="006B30A5"/>
    <w:rsid w:val="006B31A5"/>
    <w:rsid w:val="006B3352"/>
    <w:rsid w:val="006B35BA"/>
    <w:rsid w:val="006B36B6"/>
    <w:rsid w:val="006B3742"/>
    <w:rsid w:val="006B3A6B"/>
    <w:rsid w:val="006B3C09"/>
    <w:rsid w:val="006B3D57"/>
    <w:rsid w:val="006B3E29"/>
    <w:rsid w:val="006B3E35"/>
    <w:rsid w:val="006B4038"/>
    <w:rsid w:val="006B41D0"/>
    <w:rsid w:val="006B4278"/>
    <w:rsid w:val="006B42B0"/>
    <w:rsid w:val="006B44C1"/>
    <w:rsid w:val="006B4521"/>
    <w:rsid w:val="006B4575"/>
    <w:rsid w:val="006B45B2"/>
    <w:rsid w:val="006B47E8"/>
    <w:rsid w:val="006B4DFA"/>
    <w:rsid w:val="006B4E49"/>
    <w:rsid w:val="006B4F69"/>
    <w:rsid w:val="006B5260"/>
    <w:rsid w:val="006B5923"/>
    <w:rsid w:val="006B5B9F"/>
    <w:rsid w:val="006B636C"/>
    <w:rsid w:val="006B6797"/>
    <w:rsid w:val="006B6938"/>
    <w:rsid w:val="006B6D30"/>
    <w:rsid w:val="006B6FA8"/>
    <w:rsid w:val="006B6FF9"/>
    <w:rsid w:val="006B738E"/>
    <w:rsid w:val="006B7568"/>
    <w:rsid w:val="006B765E"/>
    <w:rsid w:val="006B76A3"/>
    <w:rsid w:val="006B7738"/>
    <w:rsid w:val="006B7B8C"/>
    <w:rsid w:val="006B7DB6"/>
    <w:rsid w:val="006B7E40"/>
    <w:rsid w:val="006B7E87"/>
    <w:rsid w:val="006B7F20"/>
    <w:rsid w:val="006C0050"/>
    <w:rsid w:val="006C00B3"/>
    <w:rsid w:val="006C0143"/>
    <w:rsid w:val="006C01CC"/>
    <w:rsid w:val="006C0627"/>
    <w:rsid w:val="006C094E"/>
    <w:rsid w:val="006C0997"/>
    <w:rsid w:val="006C0B39"/>
    <w:rsid w:val="006C0B86"/>
    <w:rsid w:val="006C0DCA"/>
    <w:rsid w:val="006C0FC4"/>
    <w:rsid w:val="006C1089"/>
    <w:rsid w:val="006C1359"/>
    <w:rsid w:val="006C1469"/>
    <w:rsid w:val="006C147B"/>
    <w:rsid w:val="006C1754"/>
    <w:rsid w:val="006C181E"/>
    <w:rsid w:val="006C18C3"/>
    <w:rsid w:val="006C19F3"/>
    <w:rsid w:val="006C1B65"/>
    <w:rsid w:val="006C1B8A"/>
    <w:rsid w:val="006C1BF1"/>
    <w:rsid w:val="006C1C25"/>
    <w:rsid w:val="006C1C80"/>
    <w:rsid w:val="006C1CB0"/>
    <w:rsid w:val="006C1CF6"/>
    <w:rsid w:val="006C21B9"/>
    <w:rsid w:val="006C256A"/>
    <w:rsid w:val="006C2677"/>
    <w:rsid w:val="006C26D6"/>
    <w:rsid w:val="006C28A8"/>
    <w:rsid w:val="006C2D24"/>
    <w:rsid w:val="006C2F24"/>
    <w:rsid w:val="006C2FFF"/>
    <w:rsid w:val="006C328F"/>
    <w:rsid w:val="006C3309"/>
    <w:rsid w:val="006C3365"/>
    <w:rsid w:val="006C33C5"/>
    <w:rsid w:val="006C3435"/>
    <w:rsid w:val="006C356E"/>
    <w:rsid w:val="006C3631"/>
    <w:rsid w:val="006C375B"/>
    <w:rsid w:val="006C3A93"/>
    <w:rsid w:val="006C3D17"/>
    <w:rsid w:val="006C3D75"/>
    <w:rsid w:val="006C3F77"/>
    <w:rsid w:val="006C4042"/>
    <w:rsid w:val="006C4056"/>
    <w:rsid w:val="006C40BF"/>
    <w:rsid w:val="006C41F5"/>
    <w:rsid w:val="006C4290"/>
    <w:rsid w:val="006C4326"/>
    <w:rsid w:val="006C4542"/>
    <w:rsid w:val="006C4825"/>
    <w:rsid w:val="006C488B"/>
    <w:rsid w:val="006C4B7F"/>
    <w:rsid w:val="006C4E37"/>
    <w:rsid w:val="006C51D1"/>
    <w:rsid w:val="006C531C"/>
    <w:rsid w:val="006C54D3"/>
    <w:rsid w:val="006C5755"/>
    <w:rsid w:val="006C5772"/>
    <w:rsid w:val="006C5A49"/>
    <w:rsid w:val="006C5E2E"/>
    <w:rsid w:val="006C5E8F"/>
    <w:rsid w:val="006C5F71"/>
    <w:rsid w:val="006C5FDD"/>
    <w:rsid w:val="006C6233"/>
    <w:rsid w:val="006C6331"/>
    <w:rsid w:val="006C6408"/>
    <w:rsid w:val="006C6832"/>
    <w:rsid w:val="006C6B85"/>
    <w:rsid w:val="006C6E90"/>
    <w:rsid w:val="006C70F7"/>
    <w:rsid w:val="006C71AF"/>
    <w:rsid w:val="006C72EA"/>
    <w:rsid w:val="006C7611"/>
    <w:rsid w:val="006C7761"/>
    <w:rsid w:val="006C7788"/>
    <w:rsid w:val="006C77A3"/>
    <w:rsid w:val="006C77F6"/>
    <w:rsid w:val="006C7B28"/>
    <w:rsid w:val="006C7C32"/>
    <w:rsid w:val="006C7E2D"/>
    <w:rsid w:val="006D069E"/>
    <w:rsid w:val="006D079E"/>
    <w:rsid w:val="006D09AF"/>
    <w:rsid w:val="006D0A07"/>
    <w:rsid w:val="006D0A7A"/>
    <w:rsid w:val="006D0C75"/>
    <w:rsid w:val="006D0CA8"/>
    <w:rsid w:val="006D0E65"/>
    <w:rsid w:val="006D0FFD"/>
    <w:rsid w:val="006D1032"/>
    <w:rsid w:val="006D11E5"/>
    <w:rsid w:val="006D12FF"/>
    <w:rsid w:val="006D13AA"/>
    <w:rsid w:val="006D1416"/>
    <w:rsid w:val="006D161A"/>
    <w:rsid w:val="006D1875"/>
    <w:rsid w:val="006D1A84"/>
    <w:rsid w:val="006D1C45"/>
    <w:rsid w:val="006D1D87"/>
    <w:rsid w:val="006D1E20"/>
    <w:rsid w:val="006D1E9B"/>
    <w:rsid w:val="006D2084"/>
    <w:rsid w:val="006D20CD"/>
    <w:rsid w:val="006D213D"/>
    <w:rsid w:val="006D28C2"/>
    <w:rsid w:val="006D2B3E"/>
    <w:rsid w:val="006D2C92"/>
    <w:rsid w:val="006D2CA3"/>
    <w:rsid w:val="006D2F04"/>
    <w:rsid w:val="006D2F26"/>
    <w:rsid w:val="006D302B"/>
    <w:rsid w:val="006D35BD"/>
    <w:rsid w:val="006D35E4"/>
    <w:rsid w:val="006D35EA"/>
    <w:rsid w:val="006D3630"/>
    <w:rsid w:val="006D3672"/>
    <w:rsid w:val="006D3DA7"/>
    <w:rsid w:val="006D3F8E"/>
    <w:rsid w:val="006D4587"/>
    <w:rsid w:val="006D4758"/>
    <w:rsid w:val="006D4A6F"/>
    <w:rsid w:val="006D4ADC"/>
    <w:rsid w:val="006D4E61"/>
    <w:rsid w:val="006D5003"/>
    <w:rsid w:val="006D51EF"/>
    <w:rsid w:val="006D550C"/>
    <w:rsid w:val="006D55CC"/>
    <w:rsid w:val="006D56E6"/>
    <w:rsid w:val="006D574C"/>
    <w:rsid w:val="006D5A2B"/>
    <w:rsid w:val="006D5A48"/>
    <w:rsid w:val="006D5BDC"/>
    <w:rsid w:val="006D5C82"/>
    <w:rsid w:val="006D5D59"/>
    <w:rsid w:val="006D5D94"/>
    <w:rsid w:val="006D5DBA"/>
    <w:rsid w:val="006D5E33"/>
    <w:rsid w:val="006D6209"/>
    <w:rsid w:val="006D62D7"/>
    <w:rsid w:val="006D635A"/>
    <w:rsid w:val="006D64B5"/>
    <w:rsid w:val="006D66C2"/>
    <w:rsid w:val="006D6712"/>
    <w:rsid w:val="006D6741"/>
    <w:rsid w:val="006D6978"/>
    <w:rsid w:val="006D69C8"/>
    <w:rsid w:val="006D6A3E"/>
    <w:rsid w:val="006D6A55"/>
    <w:rsid w:val="006D6A61"/>
    <w:rsid w:val="006D6A90"/>
    <w:rsid w:val="006D6C2B"/>
    <w:rsid w:val="006D6D34"/>
    <w:rsid w:val="006D6D91"/>
    <w:rsid w:val="006D70B5"/>
    <w:rsid w:val="006D729A"/>
    <w:rsid w:val="006D7440"/>
    <w:rsid w:val="006D7571"/>
    <w:rsid w:val="006D77BF"/>
    <w:rsid w:val="006D782E"/>
    <w:rsid w:val="006D7ADB"/>
    <w:rsid w:val="006D7D31"/>
    <w:rsid w:val="006E0061"/>
    <w:rsid w:val="006E0261"/>
    <w:rsid w:val="006E035D"/>
    <w:rsid w:val="006E07EB"/>
    <w:rsid w:val="006E08C0"/>
    <w:rsid w:val="006E08D0"/>
    <w:rsid w:val="006E0A62"/>
    <w:rsid w:val="006E0B07"/>
    <w:rsid w:val="006E0F62"/>
    <w:rsid w:val="006E1014"/>
    <w:rsid w:val="006E12B2"/>
    <w:rsid w:val="006E13E2"/>
    <w:rsid w:val="006E1404"/>
    <w:rsid w:val="006E1597"/>
    <w:rsid w:val="006E15BB"/>
    <w:rsid w:val="006E15BC"/>
    <w:rsid w:val="006E173D"/>
    <w:rsid w:val="006E179D"/>
    <w:rsid w:val="006E17F5"/>
    <w:rsid w:val="006E1922"/>
    <w:rsid w:val="006E1A87"/>
    <w:rsid w:val="006E1ABA"/>
    <w:rsid w:val="006E1B06"/>
    <w:rsid w:val="006E1CBB"/>
    <w:rsid w:val="006E21BF"/>
    <w:rsid w:val="006E2519"/>
    <w:rsid w:val="006E264B"/>
    <w:rsid w:val="006E2690"/>
    <w:rsid w:val="006E26DB"/>
    <w:rsid w:val="006E276F"/>
    <w:rsid w:val="006E2A2E"/>
    <w:rsid w:val="006E2B09"/>
    <w:rsid w:val="006E2C9D"/>
    <w:rsid w:val="006E2CAA"/>
    <w:rsid w:val="006E2CBB"/>
    <w:rsid w:val="006E2F9E"/>
    <w:rsid w:val="006E3283"/>
    <w:rsid w:val="006E335A"/>
    <w:rsid w:val="006E3477"/>
    <w:rsid w:val="006E3774"/>
    <w:rsid w:val="006E3819"/>
    <w:rsid w:val="006E3902"/>
    <w:rsid w:val="006E396F"/>
    <w:rsid w:val="006E3ACE"/>
    <w:rsid w:val="006E3BFA"/>
    <w:rsid w:val="006E3D83"/>
    <w:rsid w:val="006E4079"/>
    <w:rsid w:val="006E4118"/>
    <w:rsid w:val="006E4689"/>
    <w:rsid w:val="006E4841"/>
    <w:rsid w:val="006E48A0"/>
    <w:rsid w:val="006E4988"/>
    <w:rsid w:val="006E4CE1"/>
    <w:rsid w:val="006E4D3B"/>
    <w:rsid w:val="006E4D5D"/>
    <w:rsid w:val="006E508A"/>
    <w:rsid w:val="006E5239"/>
    <w:rsid w:val="006E53F0"/>
    <w:rsid w:val="006E53F7"/>
    <w:rsid w:val="006E5BCB"/>
    <w:rsid w:val="006E5D28"/>
    <w:rsid w:val="006E6221"/>
    <w:rsid w:val="006E62E8"/>
    <w:rsid w:val="006E65B7"/>
    <w:rsid w:val="006E66BA"/>
    <w:rsid w:val="006E6916"/>
    <w:rsid w:val="006E6A25"/>
    <w:rsid w:val="006E6AD7"/>
    <w:rsid w:val="006E6B8D"/>
    <w:rsid w:val="006E6C32"/>
    <w:rsid w:val="006E6E96"/>
    <w:rsid w:val="006E6EDD"/>
    <w:rsid w:val="006E72B4"/>
    <w:rsid w:val="006E72CD"/>
    <w:rsid w:val="006E72F5"/>
    <w:rsid w:val="006E7334"/>
    <w:rsid w:val="006E736D"/>
    <w:rsid w:val="006E73AE"/>
    <w:rsid w:val="006E73FF"/>
    <w:rsid w:val="006E7445"/>
    <w:rsid w:val="006E7571"/>
    <w:rsid w:val="006E7579"/>
    <w:rsid w:val="006E791A"/>
    <w:rsid w:val="006E79A6"/>
    <w:rsid w:val="006E7A8F"/>
    <w:rsid w:val="006E7AF9"/>
    <w:rsid w:val="006F04A0"/>
    <w:rsid w:val="006F057E"/>
    <w:rsid w:val="006F061C"/>
    <w:rsid w:val="006F06EF"/>
    <w:rsid w:val="006F07A5"/>
    <w:rsid w:val="006F0836"/>
    <w:rsid w:val="006F0866"/>
    <w:rsid w:val="006F08F2"/>
    <w:rsid w:val="006F09CA"/>
    <w:rsid w:val="006F0A9B"/>
    <w:rsid w:val="006F0B3F"/>
    <w:rsid w:val="006F0C26"/>
    <w:rsid w:val="006F0C79"/>
    <w:rsid w:val="006F0E61"/>
    <w:rsid w:val="006F0E8D"/>
    <w:rsid w:val="006F1326"/>
    <w:rsid w:val="006F13C5"/>
    <w:rsid w:val="006F1552"/>
    <w:rsid w:val="006F1855"/>
    <w:rsid w:val="006F1A0C"/>
    <w:rsid w:val="006F1B09"/>
    <w:rsid w:val="006F1C84"/>
    <w:rsid w:val="006F1F31"/>
    <w:rsid w:val="006F1F98"/>
    <w:rsid w:val="006F1FD1"/>
    <w:rsid w:val="006F1FD2"/>
    <w:rsid w:val="006F2148"/>
    <w:rsid w:val="006F2334"/>
    <w:rsid w:val="006F2351"/>
    <w:rsid w:val="006F2425"/>
    <w:rsid w:val="006F2501"/>
    <w:rsid w:val="006F265C"/>
    <w:rsid w:val="006F2820"/>
    <w:rsid w:val="006F2830"/>
    <w:rsid w:val="006F2893"/>
    <w:rsid w:val="006F2974"/>
    <w:rsid w:val="006F298A"/>
    <w:rsid w:val="006F2A6A"/>
    <w:rsid w:val="006F2B76"/>
    <w:rsid w:val="006F2EFA"/>
    <w:rsid w:val="006F30D0"/>
    <w:rsid w:val="006F30DF"/>
    <w:rsid w:val="006F31B6"/>
    <w:rsid w:val="006F329B"/>
    <w:rsid w:val="006F3305"/>
    <w:rsid w:val="006F3456"/>
    <w:rsid w:val="006F35E8"/>
    <w:rsid w:val="006F36AB"/>
    <w:rsid w:val="006F378C"/>
    <w:rsid w:val="006F3797"/>
    <w:rsid w:val="006F38D3"/>
    <w:rsid w:val="006F3BE7"/>
    <w:rsid w:val="006F3CAB"/>
    <w:rsid w:val="006F3E03"/>
    <w:rsid w:val="006F3F8A"/>
    <w:rsid w:val="006F3FF7"/>
    <w:rsid w:val="006F42B8"/>
    <w:rsid w:val="006F460D"/>
    <w:rsid w:val="006F466E"/>
    <w:rsid w:val="006F4728"/>
    <w:rsid w:val="006F4885"/>
    <w:rsid w:val="006F4B0B"/>
    <w:rsid w:val="006F4C9A"/>
    <w:rsid w:val="006F4D91"/>
    <w:rsid w:val="006F5031"/>
    <w:rsid w:val="006F507D"/>
    <w:rsid w:val="006F5100"/>
    <w:rsid w:val="006F512A"/>
    <w:rsid w:val="006F5138"/>
    <w:rsid w:val="006F51B6"/>
    <w:rsid w:val="006F52CD"/>
    <w:rsid w:val="006F5411"/>
    <w:rsid w:val="006F5459"/>
    <w:rsid w:val="006F55CD"/>
    <w:rsid w:val="006F5747"/>
    <w:rsid w:val="006F59AB"/>
    <w:rsid w:val="006F5B86"/>
    <w:rsid w:val="006F5F0B"/>
    <w:rsid w:val="006F5F8B"/>
    <w:rsid w:val="006F6071"/>
    <w:rsid w:val="006F654F"/>
    <w:rsid w:val="006F669E"/>
    <w:rsid w:val="006F6789"/>
    <w:rsid w:val="006F68DC"/>
    <w:rsid w:val="006F69FC"/>
    <w:rsid w:val="006F6CF1"/>
    <w:rsid w:val="006F6D09"/>
    <w:rsid w:val="006F6E87"/>
    <w:rsid w:val="006F70F5"/>
    <w:rsid w:val="006F71B1"/>
    <w:rsid w:val="006F7211"/>
    <w:rsid w:val="006F72A2"/>
    <w:rsid w:val="006F7305"/>
    <w:rsid w:val="006F744B"/>
    <w:rsid w:val="006F74D4"/>
    <w:rsid w:val="006F7653"/>
    <w:rsid w:val="006F766D"/>
    <w:rsid w:val="00700223"/>
    <w:rsid w:val="00700248"/>
    <w:rsid w:val="00700260"/>
    <w:rsid w:val="0070035E"/>
    <w:rsid w:val="007003C9"/>
    <w:rsid w:val="00700780"/>
    <w:rsid w:val="00700B4A"/>
    <w:rsid w:val="00700EDF"/>
    <w:rsid w:val="0070106E"/>
    <w:rsid w:val="0070110A"/>
    <w:rsid w:val="007011AD"/>
    <w:rsid w:val="00701200"/>
    <w:rsid w:val="007012D3"/>
    <w:rsid w:val="0070131E"/>
    <w:rsid w:val="00701373"/>
    <w:rsid w:val="00701533"/>
    <w:rsid w:val="007015F5"/>
    <w:rsid w:val="007017E4"/>
    <w:rsid w:val="007018A5"/>
    <w:rsid w:val="00701A86"/>
    <w:rsid w:val="00701C81"/>
    <w:rsid w:val="00701CD5"/>
    <w:rsid w:val="00701E74"/>
    <w:rsid w:val="00701F6C"/>
    <w:rsid w:val="00702279"/>
    <w:rsid w:val="00702688"/>
    <w:rsid w:val="00702689"/>
    <w:rsid w:val="00702715"/>
    <w:rsid w:val="00702BFD"/>
    <w:rsid w:val="00702C03"/>
    <w:rsid w:val="00702CCB"/>
    <w:rsid w:val="00702CDA"/>
    <w:rsid w:val="00702D3E"/>
    <w:rsid w:val="00702EE7"/>
    <w:rsid w:val="00702F76"/>
    <w:rsid w:val="00703044"/>
    <w:rsid w:val="00703081"/>
    <w:rsid w:val="007032DB"/>
    <w:rsid w:val="0070348D"/>
    <w:rsid w:val="00703C64"/>
    <w:rsid w:val="00703CE5"/>
    <w:rsid w:val="00703D31"/>
    <w:rsid w:val="00703D59"/>
    <w:rsid w:val="00703E1A"/>
    <w:rsid w:val="00703E42"/>
    <w:rsid w:val="00703F92"/>
    <w:rsid w:val="007040E1"/>
    <w:rsid w:val="00704177"/>
    <w:rsid w:val="00704315"/>
    <w:rsid w:val="0070438D"/>
    <w:rsid w:val="007044D8"/>
    <w:rsid w:val="007045EF"/>
    <w:rsid w:val="00704622"/>
    <w:rsid w:val="007046D4"/>
    <w:rsid w:val="00704873"/>
    <w:rsid w:val="00704A89"/>
    <w:rsid w:val="00704BEC"/>
    <w:rsid w:val="00704D22"/>
    <w:rsid w:val="00704DF4"/>
    <w:rsid w:val="00704E38"/>
    <w:rsid w:val="00704E57"/>
    <w:rsid w:val="00704FDA"/>
    <w:rsid w:val="007050B4"/>
    <w:rsid w:val="00705260"/>
    <w:rsid w:val="00705451"/>
    <w:rsid w:val="0070559B"/>
    <w:rsid w:val="00705787"/>
    <w:rsid w:val="007057C4"/>
    <w:rsid w:val="0070585E"/>
    <w:rsid w:val="007058E8"/>
    <w:rsid w:val="007059D2"/>
    <w:rsid w:val="00705C5A"/>
    <w:rsid w:val="0070609D"/>
    <w:rsid w:val="00706453"/>
    <w:rsid w:val="00706773"/>
    <w:rsid w:val="007067B4"/>
    <w:rsid w:val="00706830"/>
    <w:rsid w:val="00706A7D"/>
    <w:rsid w:val="00707082"/>
    <w:rsid w:val="00707187"/>
    <w:rsid w:val="007071EC"/>
    <w:rsid w:val="00707281"/>
    <w:rsid w:val="007072F7"/>
    <w:rsid w:val="00707865"/>
    <w:rsid w:val="00707BB2"/>
    <w:rsid w:val="00707EAC"/>
    <w:rsid w:val="007100D4"/>
    <w:rsid w:val="00710719"/>
    <w:rsid w:val="00710917"/>
    <w:rsid w:val="00710AE6"/>
    <w:rsid w:val="00710BF2"/>
    <w:rsid w:val="00710D2B"/>
    <w:rsid w:val="00711492"/>
    <w:rsid w:val="007115FE"/>
    <w:rsid w:val="00711813"/>
    <w:rsid w:val="00711833"/>
    <w:rsid w:val="00711A62"/>
    <w:rsid w:val="00711B84"/>
    <w:rsid w:val="00711DEA"/>
    <w:rsid w:val="00712019"/>
    <w:rsid w:val="0071204B"/>
    <w:rsid w:val="007120BE"/>
    <w:rsid w:val="0071215F"/>
    <w:rsid w:val="00712168"/>
    <w:rsid w:val="00712425"/>
    <w:rsid w:val="0071249B"/>
    <w:rsid w:val="00712A51"/>
    <w:rsid w:val="00712CC1"/>
    <w:rsid w:val="00712E05"/>
    <w:rsid w:val="00712F64"/>
    <w:rsid w:val="00713004"/>
    <w:rsid w:val="00713109"/>
    <w:rsid w:val="0071329A"/>
    <w:rsid w:val="007132D7"/>
    <w:rsid w:val="00713351"/>
    <w:rsid w:val="00713C7D"/>
    <w:rsid w:val="00713CFA"/>
    <w:rsid w:val="00713D0A"/>
    <w:rsid w:val="00713D38"/>
    <w:rsid w:val="007140D4"/>
    <w:rsid w:val="0071415E"/>
    <w:rsid w:val="007141AB"/>
    <w:rsid w:val="0071420D"/>
    <w:rsid w:val="0071446C"/>
    <w:rsid w:val="0071446E"/>
    <w:rsid w:val="0071476D"/>
    <w:rsid w:val="00714835"/>
    <w:rsid w:val="0071496C"/>
    <w:rsid w:val="007149CE"/>
    <w:rsid w:val="007150A4"/>
    <w:rsid w:val="00715311"/>
    <w:rsid w:val="00715352"/>
    <w:rsid w:val="007153E0"/>
    <w:rsid w:val="0071542D"/>
    <w:rsid w:val="007154D5"/>
    <w:rsid w:val="007155CF"/>
    <w:rsid w:val="00715858"/>
    <w:rsid w:val="00715AAF"/>
    <w:rsid w:val="00715BAB"/>
    <w:rsid w:val="00715DDF"/>
    <w:rsid w:val="00715F67"/>
    <w:rsid w:val="00716051"/>
    <w:rsid w:val="00716091"/>
    <w:rsid w:val="00716141"/>
    <w:rsid w:val="00716708"/>
    <w:rsid w:val="00716743"/>
    <w:rsid w:val="00716772"/>
    <w:rsid w:val="00716839"/>
    <w:rsid w:val="00716A7F"/>
    <w:rsid w:val="00716B45"/>
    <w:rsid w:val="00716C24"/>
    <w:rsid w:val="00717009"/>
    <w:rsid w:val="00717994"/>
    <w:rsid w:val="007179E6"/>
    <w:rsid w:val="00717A16"/>
    <w:rsid w:val="00717A2C"/>
    <w:rsid w:val="00717A98"/>
    <w:rsid w:val="00717B5E"/>
    <w:rsid w:val="00717D5C"/>
    <w:rsid w:val="00717DE5"/>
    <w:rsid w:val="00717FA9"/>
    <w:rsid w:val="007204AA"/>
    <w:rsid w:val="0072062D"/>
    <w:rsid w:val="00720643"/>
    <w:rsid w:val="00720890"/>
    <w:rsid w:val="00720AA5"/>
    <w:rsid w:val="00720B3E"/>
    <w:rsid w:val="007211C1"/>
    <w:rsid w:val="00721454"/>
    <w:rsid w:val="00721B32"/>
    <w:rsid w:val="00721D46"/>
    <w:rsid w:val="00721D7B"/>
    <w:rsid w:val="00721DB6"/>
    <w:rsid w:val="00721E38"/>
    <w:rsid w:val="00721F36"/>
    <w:rsid w:val="00722450"/>
    <w:rsid w:val="0072287B"/>
    <w:rsid w:val="0072290A"/>
    <w:rsid w:val="007229DD"/>
    <w:rsid w:val="00722C57"/>
    <w:rsid w:val="00722D5B"/>
    <w:rsid w:val="00722F37"/>
    <w:rsid w:val="0072304A"/>
    <w:rsid w:val="0072334F"/>
    <w:rsid w:val="0072345A"/>
    <w:rsid w:val="007234B3"/>
    <w:rsid w:val="007234E0"/>
    <w:rsid w:val="007235BD"/>
    <w:rsid w:val="007235DB"/>
    <w:rsid w:val="00723671"/>
    <w:rsid w:val="00723980"/>
    <w:rsid w:val="0072398B"/>
    <w:rsid w:val="00723DE9"/>
    <w:rsid w:val="00723F78"/>
    <w:rsid w:val="007241AD"/>
    <w:rsid w:val="0072442D"/>
    <w:rsid w:val="00724494"/>
    <w:rsid w:val="0072455C"/>
    <w:rsid w:val="007245A5"/>
    <w:rsid w:val="007249C0"/>
    <w:rsid w:val="00724AF5"/>
    <w:rsid w:val="00724BC9"/>
    <w:rsid w:val="00724E05"/>
    <w:rsid w:val="00724E8F"/>
    <w:rsid w:val="00724E92"/>
    <w:rsid w:val="007250D0"/>
    <w:rsid w:val="00725106"/>
    <w:rsid w:val="007256B0"/>
    <w:rsid w:val="00725708"/>
    <w:rsid w:val="00725734"/>
    <w:rsid w:val="007258BD"/>
    <w:rsid w:val="00725B36"/>
    <w:rsid w:val="00725B63"/>
    <w:rsid w:val="00725C15"/>
    <w:rsid w:val="007260E2"/>
    <w:rsid w:val="00726177"/>
    <w:rsid w:val="007262AA"/>
    <w:rsid w:val="0072636E"/>
    <w:rsid w:val="00726391"/>
    <w:rsid w:val="007263A8"/>
    <w:rsid w:val="007263CF"/>
    <w:rsid w:val="00726400"/>
    <w:rsid w:val="0072641C"/>
    <w:rsid w:val="00726519"/>
    <w:rsid w:val="00726583"/>
    <w:rsid w:val="007266E5"/>
    <w:rsid w:val="007266ED"/>
    <w:rsid w:val="0072699E"/>
    <w:rsid w:val="00726A9C"/>
    <w:rsid w:val="00726B54"/>
    <w:rsid w:val="00726D0C"/>
    <w:rsid w:val="007273C6"/>
    <w:rsid w:val="0072758A"/>
    <w:rsid w:val="0072773A"/>
    <w:rsid w:val="00727989"/>
    <w:rsid w:val="00727A00"/>
    <w:rsid w:val="00727B13"/>
    <w:rsid w:val="00727C91"/>
    <w:rsid w:val="00727F24"/>
    <w:rsid w:val="00727F50"/>
    <w:rsid w:val="007300CB"/>
    <w:rsid w:val="007301D8"/>
    <w:rsid w:val="00730461"/>
    <w:rsid w:val="007305DF"/>
    <w:rsid w:val="00730664"/>
    <w:rsid w:val="00730683"/>
    <w:rsid w:val="007306BD"/>
    <w:rsid w:val="00730904"/>
    <w:rsid w:val="007309E0"/>
    <w:rsid w:val="00730CEE"/>
    <w:rsid w:val="00730E06"/>
    <w:rsid w:val="00730F2A"/>
    <w:rsid w:val="0073101C"/>
    <w:rsid w:val="0073185D"/>
    <w:rsid w:val="007319A8"/>
    <w:rsid w:val="00731B3F"/>
    <w:rsid w:val="00731BF9"/>
    <w:rsid w:val="00731F56"/>
    <w:rsid w:val="00732008"/>
    <w:rsid w:val="0073214E"/>
    <w:rsid w:val="007321E2"/>
    <w:rsid w:val="007321ED"/>
    <w:rsid w:val="0073225F"/>
    <w:rsid w:val="007323DD"/>
    <w:rsid w:val="00732A0E"/>
    <w:rsid w:val="00732AA8"/>
    <w:rsid w:val="00732D46"/>
    <w:rsid w:val="0073304F"/>
    <w:rsid w:val="007331B9"/>
    <w:rsid w:val="007331BA"/>
    <w:rsid w:val="00733216"/>
    <w:rsid w:val="00733437"/>
    <w:rsid w:val="0073355D"/>
    <w:rsid w:val="007336F9"/>
    <w:rsid w:val="00733899"/>
    <w:rsid w:val="00733CC4"/>
    <w:rsid w:val="00733F1E"/>
    <w:rsid w:val="007341E6"/>
    <w:rsid w:val="007342EA"/>
    <w:rsid w:val="0073437D"/>
    <w:rsid w:val="007343B5"/>
    <w:rsid w:val="007343EB"/>
    <w:rsid w:val="0073441D"/>
    <w:rsid w:val="007344F4"/>
    <w:rsid w:val="007346CB"/>
    <w:rsid w:val="007347AE"/>
    <w:rsid w:val="0073480C"/>
    <w:rsid w:val="00734823"/>
    <w:rsid w:val="00734B1A"/>
    <w:rsid w:val="00734B66"/>
    <w:rsid w:val="00734D3F"/>
    <w:rsid w:val="00734DD9"/>
    <w:rsid w:val="00734E77"/>
    <w:rsid w:val="0073500D"/>
    <w:rsid w:val="00735133"/>
    <w:rsid w:val="00735251"/>
    <w:rsid w:val="0073526F"/>
    <w:rsid w:val="007355F6"/>
    <w:rsid w:val="00735881"/>
    <w:rsid w:val="00735ABC"/>
    <w:rsid w:val="00735C44"/>
    <w:rsid w:val="00735D4E"/>
    <w:rsid w:val="00735DA2"/>
    <w:rsid w:val="00736143"/>
    <w:rsid w:val="00736441"/>
    <w:rsid w:val="007364CD"/>
    <w:rsid w:val="0073658B"/>
    <w:rsid w:val="007365D4"/>
    <w:rsid w:val="0073660B"/>
    <w:rsid w:val="00736611"/>
    <w:rsid w:val="00736658"/>
    <w:rsid w:val="00736697"/>
    <w:rsid w:val="0073690F"/>
    <w:rsid w:val="00736A30"/>
    <w:rsid w:val="00736BA9"/>
    <w:rsid w:val="00736DD0"/>
    <w:rsid w:val="007370F5"/>
    <w:rsid w:val="007373B7"/>
    <w:rsid w:val="00737466"/>
    <w:rsid w:val="0073759B"/>
    <w:rsid w:val="00737BC5"/>
    <w:rsid w:val="00737CCF"/>
    <w:rsid w:val="00737D48"/>
    <w:rsid w:val="007400DF"/>
    <w:rsid w:val="007407A9"/>
    <w:rsid w:val="0074080D"/>
    <w:rsid w:val="0074094C"/>
    <w:rsid w:val="007409FE"/>
    <w:rsid w:val="00740BBD"/>
    <w:rsid w:val="00740BFE"/>
    <w:rsid w:val="00740C32"/>
    <w:rsid w:val="00740D32"/>
    <w:rsid w:val="00740F84"/>
    <w:rsid w:val="007413FD"/>
    <w:rsid w:val="0074155D"/>
    <w:rsid w:val="00741607"/>
    <w:rsid w:val="007417B5"/>
    <w:rsid w:val="007419D3"/>
    <w:rsid w:val="00741B79"/>
    <w:rsid w:val="00741E53"/>
    <w:rsid w:val="0074202F"/>
    <w:rsid w:val="00742121"/>
    <w:rsid w:val="0074231F"/>
    <w:rsid w:val="00742375"/>
    <w:rsid w:val="00742391"/>
    <w:rsid w:val="00742566"/>
    <w:rsid w:val="00742C4E"/>
    <w:rsid w:val="00742CB4"/>
    <w:rsid w:val="00742DB3"/>
    <w:rsid w:val="00742E36"/>
    <w:rsid w:val="007430DD"/>
    <w:rsid w:val="007434F9"/>
    <w:rsid w:val="00743766"/>
    <w:rsid w:val="00743960"/>
    <w:rsid w:val="00743BAC"/>
    <w:rsid w:val="00743CB3"/>
    <w:rsid w:val="00743CFE"/>
    <w:rsid w:val="007442E9"/>
    <w:rsid w:val="00744342"/>
    <w:rsid w:val="007443E5"/>
    <w:rsid w:val="0074497F"/>
    <w:rsid w:val="00744A86"/>
    <w:rsid w:val="00744C0B"/>
    <w:rsid w:val="00744D88"/>
    <w:rsid w:val="00744E09"/>
    <w:rsid w:val="00744F88"/>
    <w:rsid w:val="00745006"/>
    <w:rsid w:val="00745115"/>
    <w:rsid w:val="007452A2"/>
    <w:rsid w:val="00745523"/>
    <w:rsid w:val="007457E5"/>
    <w:rsid w:val="0074585F"/>
    <w:rsid w:val="0074588C"/>
    <w:rsid w:val="00745A1C"/>
    <w:rsid w:val="00745D2F"/>
    <w:rsid w:val="00745FE9"/>
    <w:rsid w:val="00746075"/>
    <w:rsid w:val="00746184"/>
    <w:rsid w:val="007462AA"/>
    <w:rsid w:val="007463B5"/>
    <w:rsid w:val="007464A5"/>
    <w:rsid w:val="007466E9"/>
    <w:rsid w:val="0074672E"/>
    <w:rsid w:val="00746754"/>
    <w:rsid w:val="00746A19"/>
    <w:rsid w:val="00746B88"/>
    <w:rsid w:val="00746C76"/>
    <w:rsid w:val="00746CB8"/>
    <w:rsid w:val="00746DF4"/>
    <w:rsid w:val="00746F79"/>
    <w:rsid w:val="0074704B"/>
    <w:rsid w:val="007471D5"/>
    <w:rsid w:val="00747237"/>
    <w:rsid w:val="00747429"/>
    <w:rsid w:val="007474F7"/>
    <w:rsid w:val="0074759B"/>
    <w:rsid w:val="0074764F"/>
    <w:rsid w:val="0074784B"/>
    <w:rsid w:val="00747869"/>
    <w:rsid w:val="007479A7"/>
    <w:rsid w:val="007479CD"/>
    <w:rsid w:val="00747B13"/>
    <w:rsid w:val="00747B64"/>
    <w:rsid w:val="00747F82"/>
    <w:rsid w:val="0075007A"/>
    <w:rsid w:val="007500FE"/>
    <w:rsid w:val="0075023E"/>
    <w:rsid w:val="007502A3"/>
    <w:rsid w:val="007502D1"/>
    <w:rsid w:val="0075058E"/>
    <w:rsid w:val="00750691"/>
    <w:rsid w:val="007506A4"/>
    <w:rsid w:val="0075089C"/>
    <w:rsid w:val="00750F03"/>
    <w:rsid w:val="00751107"/>
    <w:rsid w:val="00751111"/>
    <w:rsid w:val="007512E2"/>
    <w:rsid w:val="0075131B"/>
    <w:rsid w:val="00751327"/>
    <w:rsid w:val="007515AF"/>
    <w:rsid w:val="00751646"/>
    <w:rsid w:val="00751890"/>
    <w:rsid w:val="00751A5B"/>
    <w:rsid w:val="00751A5C"/>
    <w:rsid w:val="00751A62"/>
    <w:rsid w:val="00751A8F"/>
    <w:rsid w:val="00751AAB"/>
    <w:rsid w:val="00751AF3"/>
    <w:rsid w:val="00751B41"/>
    <w:rsid w:val="00751CCC"/>
    <w:rsid w:val="00751DB7"/>
    <w:rsid w:val="00751F47"/>
    <w:rsid w:val="00751F7E"/>
    <w:rsid w:val="00751F8E"/>
    <w:rsid w:val="00751FD2"/>
    <w:rsid w:val="007521C8"/>
    <w:rsid w:val="0075234E"/>
    <w:rsid w:val="007523DA"/>
    <w:rsid w:val="00752485"/>
    <w:rsid w:val="0075260D"/>
    <w:rsid w:val="007526AA"/>
    <w:rsid w:val="007526EC"/>
    <w:rsid w:val="007529B0"/>
    <w:rsid w:val="007529D8"/>
    <w:rsid w:val="00752BCF"/>
    <w:rsid w:val="007531B6"/>
    <w:rsid w:val="007531C7"/>
    <w:rsid w:val="0075374F"/>
    <w:rsid w:val="00753AC5"/>
    <w:rsid w:val="00753BB9"/>
    <w:rsid w:val="00753CAF"/>
    <w:rsid w:val="00754045"/>
    <w:rsid w:val="00754099"/>
    <w:rsid w:val="00754356"/>
    <w:rsid w:val="0075456F"/>
    <w:rsid w:val="00754625"/>
    <w:rsid w:val="0075470D"/>
    <w:rsid w:val="00754DA2"/>
    <w:rsid w:val="00754F8B"/>
    <w:rsid w:val="0075532D"/>
    <w:rsid w:val="007553AE"/>
    <w:rsid w:val="00755519"/>
    <w:rsid w:val="0075562C"/>
    <w:rsid w:val="0075585A"/>
    <w:rsid w:val="00755938"/>
    <w:rsid w:val="007559F2"/>
    <w:rsid w:val="00755C0B"/>
    <w:rsid w:val="00755C0C"/>
    <w:rsid w:val="00755CDC"/>
    <w:rsid w:val="00756066"/>
    <w:rsid w:val="00756090"/>
    <w:rsid w:val="00756546"/>
    <w:rsid w:val="00756952"/>
    <w:rsid w:val="0075712E"/>
    <w:rsid w:val="0075724C"/>
    <w:rsid w:val="00757572"/>
    <w:rsid w:val="00757615"/>
    <w:rsid w:val="00757637"/>
    <w:rsid w:val="00757907"/>
    <w:rsid w:val="007579E5"/>
    <w:rsid w:val="00757AD8"/>
    <w:rsid w:val="00757AE6"/>
    <w:rsid w:val="00757CDD"/>
    <w:rsid w:val="00757ECF"/>
    <w:rsid w:val="00757FF0"/>
    <w:rsid w:val="0076049B"/>
    <w:rsid w:val="007604F4"/>
    <w:rsid w:val="00760577"/>
    <w:rsid w:val="007605F8"/>
    <w:rsid w:val="007606CD"/>
    <w:rsid w:val="0076076A"/>
    <w:rsid w:val="007607A5"/>
    <w:rsid w:val="00760834"/>
    <w:rsid w:val="007609D6"/>
    <w:rsid w:val="00760E47"/>
    <w:rsid w:val="00761199"/>
    <w:rsid w:val="0076119C"/>
    <w:rsid w:val="0076124D"/>
    <w:rsid w:val="0076129B"/>
    <w:rsid w:val="007613FC"/>
    <w:rsid w:val="00761443"/>
    <w:rsid w:val="00761517"/>
    <w:rsid w:val="0076186F"/>
    <w:rsid w:val="007618DC"/>
    <w:rsid w:val="007618EC"/>
    <w:rsid w:val="00761A02"/>
    <w:rsid w:val="00761A5E"/>
    <w:rsid w:val="00761D15"/>
    <w:rsid w:val="00761E5B"/>
    <w:rsid w:val="00761E77"/>
    <w:rsid w:val="0076226A"/>
    <w:rsid w:val="00762372"/>
    <w:rsid w:val="007623D9"/>
    <w:rsid w:val="007626A5"/>
    <w:rsid w:val="0076279A"/>
    <w:rsid w:val="007627FF"/>
    <w:rsid w:val="007628A5"/>
    <w:rsid w:val="00762A09"/>
    <w:rsid w:val="00762A41"/>
    <w:rsid w:val="00762A48"/>
    <w:rsid w:val="00762B3B"/>
    <w:rsid w:val="00762C17"/>
    <w:rsid w:val="00762E8D"/>
    <w:rsid w:val="0076323F"/>
    <w:rsid w:val="007635B2"/>
    <w:rsid w:val="0076372A"/>
    <w:rsid w:val="007637CF"/>
    <w:rsid w:val="00763805"/>
    <w:rsid w:val="00763A3B"/>
    <w:rsid w:val="00763A55"/>
    <w:rsid w:val="00763CA6"/>
    <w:rsid w:val="00763D56"/>
    <w:rsid w:val="00763E36"/>
    <w:rsid w:val="00763E84"/>
    <w:rsid w:val="00763FA3"/>
    <w:rsid w:val="00764026"/>
    <w:rsid w:val="0076415D"/>
    <w:rsid w:val="00764198"/>
    <w:rsid w:val="00764254"/>
    <w:rsid w:val="00764265"/>
    <w:rsid w:val="0076434C"/>
    <w:rsid w:val="00764365"/>
    <w:rsid w:val="0076449E"/>
    <w:rsid w:val="00764626"/>
    <w:rsid w:val="007647AA"/>
    <w:rsid w:val="00764814"/>
    <w:rsid w:val="007648BA"/>
    <w:rsid w:val="00764B33"/>
    <w:rsid w:val="00764C1E"/>
    <w:rsid w:val="00765188"/>
    <w:rsid w:val="007652D8"/>
    <w:rsid w:val="007655B4"/>
    <w:rsid w:val="00765603"/>
    <w:rsid w:val="0076589E"/>
    <w:rsid w:val="007658C9"/>
    <w:rsid w:val="0076596C"/>
    <w:rsid w:val="00765AC5"/>
    <w:rsid w:val="0076606A"/>
    <w:rsid w:val="0076615E"/>
    <w:rsid w:val="0076624E"/>
    <w:rsid w:val="00766563"/>
    <w:rsid w:val="0076659F"/>
    <w:rsid w:val="00766636"/>
    <w:rsid w:val="0076666D"/>
    <w:rsid w:val="00766771"/>
    <w:rsid w:val="007668D8"/>
    <w:rsid w:val="007668F0"/>
    <w:rsid w:val="0076699E"/>
    <w:rsid w:val="00766A3B"/>
    <w:rsid w:val="00766C77"/>
    <w:rsid w:val="00766D13"/>
    <w:rsid w:val="00766D25"/>
    <w:rsid w:val="00766E42"/>
    <w:rsid w:val="00766ECF"/>
    <w:rsid w:val="00766F95"/>
    <w:rsid w:val="00767051"/>
    <w:rsid w:val="00767199"/>
    <w:rsid w:val="007672A2"/>
    <w:rsid w:val="0076743C"/>
    <w:rsid w:val="007675E0"/>
    <w:rsid w:val="0076774A"/>
    <w:rsid w:val="00767755"/>
    <w:rsid w:val="00767867"/>
    <w:rsid w:val="007679CC"/>
    <w:rsid w:val="00767A34"/>
    <w:rsid w:val="00767F8A"/>
    <w:rsid w:val="007701CF"/>
    <w:rsid w:val="007701EF"/>
    <w:rsid w:val="00770431"/>
    <w:rsid w:val="00770444"/>
    <w:rsid w:val="00770614"/>
    <w:rsid w:val="007708BE"/>
    <w:rsid w:val="007709CE"/>
    <w:rsid w:val="00770ABF"/>
    <w:rsid w:val="00770B17"/>
    <w:rsid w:val="00770BA9"/>
    <w:rsid w:val="00770E24"/>
    <w:rsid w:val="00771194"/>
    <w:rsid w:val="0077129A"/>
    <w:rsid w:val="00771451"/>
    <w:rsid w:val="00771828"/>
    <w:rsid w:val="0077199A"/>
    <w:rsid w:val="00771A2D"/>
    <w:rsid w:val="00771A60"/>
    <w:rsid w:val="00771C8B"/>
    <w:rsid w:val="00771D8E"/>
    <w:rsid w:val="00771DD0"/>
    <w:rsid w:val="00771E28"/>
    <w:rsid w:val="00771F05"/>
    <w:rsid w:val="00771FFC"/>
    <w:rsid w:val="007723E3"/>
    <w:rsid w:val="007725CB"/>
    <w:rsid w:val="007725E4"/>
    <w:rsid w:val="00772608"/>
    <w:rsid w:val="00772661"/>
    <w:rsid w:val="00772681"/>
    <w:rsid w:val="00772850"/>
    <w:rsid w:val="00772918"/>
    <w:rsid w:val="00772931"/>
    <w:rsid w:val="00772A80"/>
    <w:rsid w:val="00772B8D"/>
    <w:rsid w:val="00772BD4"/>
    <w:rsid w:val="00772F22"/>
    <w:rsid w:val="00772F62"/>
    <w:rsid w:val="00772F91"/>
    <w:rsid w:val="0077330A"/>
    <w:rsid w:val="007733D4"/>
    <w:rsid w:val="00773909"/>
    <w:rsid w:val="00773964"/>
    <w:rsid w:val="00773B80"/>
    <w:rsid w:val="00773C79"/>
    <w:rsid w:val="00773D3D"/>
    <w:rsid w:val="00773DF5"/>
    <w:rsid w:val="00773E71"/>
    <w:rsid w:val="00773F0D"/>
    <w:rsid w:val="0077406C"/>
    <w:rsid w:val="00774308"/>
    <w:rsid w:val="007743DC"/>
    <w:rsid w:val="007744D8"/>
    <w:rsid w:val="0077452F"/>
    <w:rsid w:val="007745D1"/>
    <w:rsid w:val="0077468C"/>
    <w:rsid w:val="007746A1"/>
    <w:rsid w:val="007747C0"/>
    <w:rsid w:val="00774849"/>
    <w:rsid w:val="007748CA"/>
    <w:rsid w:val="00774903"/>
    <w:rsid w:val="007749B0"/>
    <w:rsid w:val="00774ABC"/>
    <w:rsid w:val="00774E87"/>
    <w:rsid w:val="00774ED2"/>
    <w:rsid w:val="00775250"/>
    <w:rsid w:val="00775294"/>
    <w:rsid w:val="00775313"/>
    <w:rsid w:val="00775325"/>
    <w:rsid w:val="00775374"/>
    <w:rsid w:val="0077545A"/>
    <w:rsid w:val="00775578"/>
    <w:rsid w:val="00775864"/>
    <w:rsid w:val="00775E6C"/>
    <w:rsid w:val="00776090"/>
    <w:rsid w:val="007761CC"/>
    <w:rsid w:val="007764B3"/>
    <w:rsid w:val="0077652D"/>
    <w:rsid w:val="007767B6"/>
    <w:rsid w:val="00776975"/>
    <w:rsid w:val="00776A95"/>
    <w:rsid w:val="00776AF6"/>
    <w:rsid w:val="00776BBF"/>
    <w:rsid w:val="00776C68"/>
    <w:rsid w:val="00776EC2"/>
    <w:rsid w:val="00776F61"/>
    <w:rsid w:val="00777218"/>
    <w:rsid w:val="007772AD"/>
    <w:rsid w:val="00777326"/>
    <w:rsid w:val="0077737F"/>
    <w:rsid w:val="007775A7"/>
    <w:rsid w:val="00777609"/>
    <w:rsid w:val="00777690"/>
    <w:rsid w:val="0077770D"/>
    <w:rsid w:val="00777BC8"/>
    <w:rsid w:val="00780079"/>
    <w:rsid w:val="0078016F"/>
    <w:rsid w:val="00780554"/>
    <w:rsid w:val="007805B5"/>
    <w:rsid w:val="007806BD"/>
    <w:rsid w:val="0078088F"/>
    <w:rsid w:val="00780B07"/>
    <w:rsid w:val="00780CC5"/>
    <w:rsid w:val="00780DEB"/>
    <w:rsid w:val="007811D4"/>
    <w:rsid w:val="00781216"/>
    <w:rsid w:val="007813D7"/>
    <w:rsid w:val="00781463"/>
    <w:rsid w:val="007814DC"/>
    <w:rsid w:val="007818F2"/>
    <w:rsid w:val="00781934"/>
    <w:rsid w:val="00781982"/>
    <w:rsid w:val="007821E9"/>
    <w:rsid w:val="0078224F"/>
    <w:rsid w:val="007825D3"/>
    <w:rsid w:val="00782C8A"/>
    <w:rsid w:val="00782D71"/>
    <w:rsid w:val="00782DE1"/>
    <w:rsid w:val="00782EC5"/>
    <w:rsid w:val="00782ECF"/>
    <w:rsid w:val="007832A0"/>
    <w:rsid w:val="00783463"/>
    <w:rsid w:val="00783469"/>
    <w:rsid w:val="007837AF"/>
    <w:rsid w:val="00783A94"/>
    <w:rsid w:val="00783C0D"/>
    <w:rsid w:val="00783CA5"/>
    <w:rsid w:val="00784025"/>
    <w:rsid w:val="00784155"/>
    <w:rsid w:val="007842C1"/>
    <w:rsid w:val="007843F2"/>
    <w:rsid w:val="00784499"/>
    <w:rsid w:val="00784851"/>
    <w:rsid w:val="007849BA"/>
    <w:rsid w:val="00784C19"/>
    <w:rsid w:val="00784DFE"/>
    <w:rsid w:val="00784E53"/>
    <w:rsid w:val="00784E8A"/>
    <w:rsid w:val="00784FFE"/>
    <w:rsid w:val="007850ED"/>
    <w:rsid w:val="00785183"/>
    <w:rsid w:val="007852D7"/>
    <w:rsid w:val="007853EC"/>
    <w:rsid w:val="00785458"/>
    <w:rsid w:val="00785482"/>
    <w:rsid w:val="007855B1"/>
    <w:rsid w:val="00785664"/>
    <w:rsid w:val="007858A3"/>
    <w:rsid w:val="00785A18"/>
    <w:rsid w:val="00785BA8"/>
    <w:rsid w:val="00786015"/>
    <w:rsid w:val="00786272"/>
    <w:rsid w:val="0078638D"/>
    <w:rsid w:val="0078657F"/>
    <w:rsid w:val="00786604"/>
    <w:rsid w:val="007869D0"/>
    <w:rsid w:val="00786A0A"/>
    <w:rsid w:val="00786D8B"/>
    <w:rsid w:val="00786EC5"/>
    <w:rsid w:val="00787104"/>
    <w:rsid w:val="0078751B"/>
    <w:rsid w:val="00787648"/>
    <w:rsid w:val="007878EE"/>
    <w:rsid w:val="0078793A"/>
    <w:rsid w:val="00787AB5"/>
    <w:rsid w:val="00787B14"/>
    <w:rsid w:val="00787BB7"/>
    <w:rsid w:val="00787D42"/>
    <w:rsid w:val="00787DB6"/>
    <w:rsid w:val="00787E14"/>
    <w:rsid w:val="00787F76"/>
    <w:rsid w:val="00790025"/>
    <w:rsid w:val="007900C1"/>
    <w:rsid w:val="0079035E"/>
    <w:rsid w:val="007903FB"/>
    <w:rsid w:val="00790415"/>
    <w:rsid w:val="007904C1"/>
    <w:rsid w:val="007904D6"/>
    <w:rsid w:val="00790814"/>
    <w:rsid w:val="00790883"/>
    <w:rsid w:val="00790E52"/>
    <w:rsid w:val="00790EB6"/>
    <w:rsid w:val="00791163"/>
    <w:rsid w:val="007911A6"/>
    <w:rsid w:val="007911CF"/>
    <w:rsid w:val="0079131A"/>
    <w:rsid w:val="007913F2"/>
    <w:rsid w:val="007919A7"/>
    <w:rsid w:val="00791A16"/>
    <w:rsid w:val="00791A75"/>
    <w:rsid w:val="00791AC7"/>
    <w:rsid w:val="00791BF3"/>
    <w:rsid w:val="00791C47"/>
    <w:rsid w:val="00791D19"/>
    <w:rsid w:val="00791D77"/>
    <w:rsid w:val="00791E08"/>
    <w:rsid w:val="00791EBF"/>
    <w:rsid w:val="00791F19"/>
    <w:rsid w:val="007920DE"/>
    <w:rsid w:val="00792142"/>
    <w:rsid w:val="00792198"/>
    <w:rsid w:val="0079224B"/>
    <w:rsid w:val="00792328"/>
    <w:rsid w:val="0079259D"/>
    <w:rsid w:val="00792609"/>
    <w:rsid w:val="007926A5"/>
    <w:rsid w:val="0079297D"/>
    <w:rsid w:val="007929FB"/>
    <w:rsid w:val="00792A5F"/>
    <w:rsid w:val="00792E1A"/>
    <w:rsid w:val="007930C5"/>
    <w:rsid w:val="00793169"/>
    <w:rsid w:val="007933A3"/>
    <w:rsid w:val="00793431"/>
    <w:rsid w:val="0079352D"/>
    <w:rsid w:val="007935CD"/>
    <w:rsid w:val="00793709"/>
    <w:rsid w:val="00793906"/>
    <w:rsid w:val="00793ADA"/>
    <w:rsid w:val="00793DCD"/>
    <w:rsid w:val="00793F64"/>
    <w:rsid w:val="00793FD0"/>
    <w:rsid w:val="00794054"/>
    <w:rsid w:val="00794456"/>
    <w:rsid w:val="007944BC"/>
    <w:rsid w:val="00794628"/>
    <w:rsid w:val="007948C9"/>
    <w:rsid w:val="007948CE"/>
    <w:rsid w:val="00794982"/>
    <w:rsid w:val="00794A1F"/>
    <w:rsid w:val="00794D9D"/>
    <w:rsid w:val="00794DFC"/>
    <w:rsid w:val="00794E20"/>
    <w:rsid w:val="00794E9D"/>
    <w:rsid w:val="00794F1D"/>
    <w:rsid w:val="00795148"/>
    <w:rsid w:val="007951C9"/>
    <w:rsid w:val="007954E3"/>
    <w:rsid w:val="007955AA"/>
    <w:rsid w:val="007955C6"/>
    <w:rsid w:val="0079573A"/>
    <w:rsid w:val="00795835"/>
    <w:rsid w:val="0079585C"/>
    <w:rsid w:val="00795A51"/>
    <w:rsid w:val="00795C74"/>
    <w:rsid w:val="00795D29"/>
    <w:rsid w:val="00795EFC"/>
    <w:rsid w:val="00795FBB"/>
    <w:rsid w:val="00796015"/>
    <w:rsid w:val="00796058"/>
    <w:rsid w:val="00796081"/>
    <w:rsid w:val="007963A2"/>
    <w:rsid w:val="007966F3"/>
    <w:rsid w:val="00796843"/>
    <w:rsid w:val="00796DD7"/>
    <w:rsid w:val="00796EE9"/>
    <w:rsid w:val="00796F38"/>
    <w:rsid w:val="00796FC1"/>
    <w:rsid w:val="007970B5"/>
    <w:rsid w:val="0079717C"/>
    <w:rsid w:val="00797347"/>
    <w:rsid w:val="007975A2"/>
    <w:rsid w:val="00797725"/>
    <w:rsid w:val="00797740"/>
    <w:rsid w:val="007977BE"/>
    <w:rsid w:val="0079797B"/>
    <w:rsid w:val="00797BA0"/>
    <w:rsid w:val="00797CC6"/>
    <w:rsid w:val="00797DD6"/>
    <w:rsid w:val="007A009B"/>
    <w:rsid w:val="007A02BA"/>
    <w:rsid w:val="007A02ED"/>
    <w:rsid w:val="007A0362"/>
    <w:rsid w:val="007A0402"/>
    <w:rsid w:val="007A0578"/>
    <w:rsid w:val="007A0761"/>
    <w:rsid w:val="007A098E"/>
    <w:rsid w:val="007A0C16"/>
    <w:rsid w:val="007A0C29"/>
    <w:rsid w:val="007A0D71"/>
    <w:rsid w:val="007A0DA7"/>
    <w:rsid w:val="007A0FD0"/>
    <w:rsid w:val="007A0FFF"/>
    <w:rsid w:val="007A1043"/>
    <w:rsid w:val="007A1079"/>
    <w:rsid w:val="007A1292"/>
    <w:rsid w:val="007A1380"/>
    <w:rsid w:val="007A1609"/>
    <w:rsid w:val="007A1718"/>
    <w:rsid w:val="007A1817"/>
    <w:rsid w:val="007A1B1D"/>
    <w:rsid w:val="007A1B93"/>
    <w:rsid w:val="007A1BC3"/>
    <w:rsid w:val="007A1C12"/>
    <w:rsid w:val="007A1D3E"/>
    <w:rsid w:val="007A1EC0"/>
    <w:rsid w:val="007A201E"/>
    <w:rsid w:val="007A2169"/>
    <w:rsid w:val="007A22FC"/>
    <w:rsid w:val="007A2843"/>
    <w:rsid w:val="007A288C"/>
    <w:rsid w:val="007A2A4C"/>
    <w:rsid w:val="007A2BAF"/>
    <w:rsid w:val="007A2BD0"/>
    <w:rsid w:val="007A2BD7"/>
    <w:rsid w:val="007A2BE0"/>
    <w:rsid w:val="007A3009"/>
    <w:rsid w:val="007A3071"/>
    <w:rsid w:val="007A3304"/>
    <w:rsid w:val="007A35F1"/>
    <w:rsid w:val="007A391D"/>
    <w:rsid w:val="007A3A95"/>
    <w:rsid w:val="007A3F55"/>
    <w:rsid w:val="007A3F9B"/>
    <w:rsid w:val="007A4240"/>
    <w:rsid w:val="007A443F"/>
    <w:rsid w:val="007A466A"/>
    <w:rsid w:val="007A4B02"/>
    <w:rsid w:val="007A4B65"/>
    <w:rsid w:val="007A582D"/>
    <w:rsid w:val="007A5A07"/>
    <w:rsid w:val="007A5C41"/>
    <w:rsid w:val="007A5C83"/>
    <w:rsid w:val="007A5E4B"/>
    <w:rsid w:val="007A5EB0"/>
    <w:rsid w:val="007A6130"/>
    <w:rsid w:val="007A6148"/>
    <w:rsid w:val="007A61C4"/>
    <w:rsid w:val="007A661B"/>
    <w:rsid w:val="007A672B"/>
    <w:rsid w:val="007A678E"/>
    <w:rsid w:val="007A6A02"/>
    <w:rsid w:val="007A6A72"/>
    <w:rsid w:val="007A6AB9"/>
    <w:rsid w:val="007A6AEB"/>
    <w:rsid w:val="007A6B78"/>
    <w:rsid w:val="007A6C4A"/>
    <w:rsid w:val="007A6D8C"/>
    <w:rsid w:val="007A6DCD"/>
    <w:rsid w:val="007A6E24"/>
    <w:rsid w:val="007A70F8"/>
    <w:rsid w:val="007A73BB"/>
    <w:rsid w:val="007A744E"/>
    <w:rsid w:val="007A7540"/>
    <w:rsid w:val="007A757F"/>
    <w:rsid w:val="007A7705"/>
    <w:rsid w:val="007A787B"/>
    <w:rsid w:val="007A797F"/>
    <w:rsid w:val="007A79F4"/>
    <w:rsid w:val="007A7E3D"/>
    <w:rsid w:val="007A7E3E"/>
    <w:rsid w:val="007A7FD5"/>
    <w:rsid w:val="007A7FE8"/>
    <w:rsid w:val="007B00A6"/>
    <w:rsid w:val="007B0305"/>
    <w:rsid w:val="007B04C3"/>
    <w:rsid w:val="007B06E0"/>
    <w:rsid w:val="007B07F9"/>
    <w:rsid w:val="007B0ADC"/>
    <w:rsid w:val="007B0F2E"/>
    <w:rsid w:val="007B10A2"/>
    <w:rsid w:val="007B1391"/>
    <w:rsid w:val="007B1474"/>
    <w:rsid w:val="007B1508"/>
    <w:rsid w:val="007B1BD4"/>
    <w:rsid w:val="007B1C6D"/>
    <w:rsid w:val="007B1F63"/>
    <w:rsid w:val="007B1F70"/>
    <w:rsid w:val="007B2181"/>
    <w:rsid w:val="007B2339"/>
    <w:rsid w:val="007B246A"/>
    <w:rsid w:val="007B25FD"/>
    <w:rsid w:val="007B262A"/>
    <w:rsid w:val="007B28F2"/>
    <w:rsid w:val="007B29B6"/>
    <w:rsid w:val="007B2B14"/>
    <w:rsid w:val="007B2CED"/>
    <w:rsid w:val="007B2E3F"/>
    <w:rsid w:val="007B30F5"/>
    <w:rsid w:val="007B31A2"/>
    <w:rsid w:val="007B33AC"/>
    <w:rsid w:val="007B3451"/>
    <w:rsid w:val="007B34FD"/>
    <w:rsid w:val="007B35C4"/>
    <w:rsid w:val="007B362C"/>
    <w:rsid w:val="007B3698"/>
    <w:rsid w:val="007B36EC"/>
    <w:rsid w:val="007B3713"/>
    <w:rsid w:val="007B384B"/>
    <w:rsid w:val="007B3893"/>
    <w:rsid w:val="007B3B91"/>
    <w:rsid w:val="007B3CDB"/>
    <w:rsid w:val="007B3D23"/>
    <w:rsid w:val="007B4115"/>
    <w:rsid w:val="007B49BE"/>
    <w:rsid w:val="007B4B38"/>
    <w:rsid w:val="007B4C60"/>
    <w:rsid w:val="007B507E"/>
    <w:rsid w:val="007B50D5"/>
    <w:rsid w:val="007B5254"/>
    <w:rsid w:val="007B54E1"/>
    <w:rsid w:val="007B58D7"/>
    <w:rsid w:val="007B5955"/>
    <w:rsid w:val="007B59A5"/>
    <w:rsid w:val="007B5AF5"/>
    <w:rsid w:val="007B5FCA"/>
    <w:rsid w:val="007B608D"/>
    <w:rsid w:val="007B61A0"/>
    <w:rsid w:val="007B6214"/>
    <w:rsid w:val="007B6608"/>
    <w:rsid w:val="007B664D"/>
    <w:rsid w:val="007B66E6"/>
    <w:rsid w:val="007B684F"/>
    <w:rsid w:val="007B68ED"/>
    <w:rsid w:val="007B6B3D"/>
    <w:rsid w:val="007B6E8B"/>
    <w:rsid w:val="007B6F5B"/>
    <w:rsid w:val="007B717F"/>
    <w:rsid w:val="007B74A0"/>
    <w:rsid w:val="007B76C5"/>
    <w:rsid w:val="007B7A64"/>
    <w:rsid w:val="007B7B05"/>
    <w:rsid w:val="007B7BD4"/>
    <w:rsid w:val="007B7E43"/>
    <w:rsid w:val="007B7F79"/>
    <w:rsid w:val="007C002C"/>
    <w:rsid w:val="007C0042"/>
    <w:rsid w:val="007C01CF"/>
    <w:rsid w:val="007C040A"/>
    <w:rsid w:val="007C0555"/>
    <w:rsid w:val="007C06A1"/>
    <w:rsid w:val="007C0730"/>
    <w:rsid w:val="007C075A"/>
    <w:rsid w:val="007C0A98"/>
    <w:rsid w:val="007C0B18"/>
    <w:rsid w:val="007C0E72"/>
    <w:rsid w:val="007C0EC5"/>
    <w:rsid w:val="007C0F66"/>
    <w:rsid w:val="007C0F80"/>
    <w:rsid w:val="007C1359"/>
    <w:rsid w:val="007C19E0"/>
    <w:rsid w:val="007C1CF0"/>
    <w:rsid w:val="007C1CFD"/>
    <w:rsid w:val="007C1E18"/>
    <w:rsid w:val="007C1E2F"/>
    <w:rsid w:val="007C1E66"/>
    <w:rsid w:val="007C1F25"/>
    <w:rsid w:val="007C20AE"/>
    <w:rsid w:val="007C21D4"/>
    <w:rsid w:val="007C226D"/>
    <w:rsid w:val="007C2440"/>
    <w:rsid w:val="007C24EA"/>
    <w:rsid w:val="007C2699"/>
    <w:rsid w:val="007C2792"/>
    <w:rsid w:val="007C2833"/>
    <w:rsid w:val="007C29F3"/>
    <w:rsid w:val="007C2B98"/>
    <w:rsid w:val="007C2E03"/>
    <w:rsid w:val="007C2F6E"/>
    <w:rsid w:val="007C3291"/>
    <w:rsid w:val="007C34CD"/>
    <w:rsid w:val="007C34FD"/>
    <w:rsid w:val="007C3577"/>
    <w:rsid w:val="007C393B"/>
    <w:rsid w:val="007C39AB"/>
    <w:rsid w:val="007C3A5E"/>
    <w:rsid w:val="007C3A81"/>
    <w:rsid w:val="007C3C77"/>
    <w:rsid w:val="007C3D62"/>
    <w:rsid w:val="007C3D9F"/>
    <w:rsid w:val="007C41A3"/>
    <w:rsid w:val="007C41F7"/>
    <w:rsid w:val="007C4341"/>
    <w:rsid w:val="007C4473"/>
    <w:rsid w:val="007C47B2"/>
    <w:rsid w:val="007C48F7"/>
    <w:rsid w:val="007C48FF"/>
    <w:rsid w:val="007C4A86"/>
    <w:rsid w:val="007C4AE3"/>
    <w:rsid w:val="007C4C38"/>
    <w:rsid w:val="007C4D19"/>
    <w:rsid w:val="007C5170"/>
    <w:rsid w:val="007C51EE"/>
    <w:rsid w:val="007C52E6"/>
    <w:rsid w:val="007C5384"/>
    <w:rsid w:val="007C58FD"/>
    <w:rsid w:val="007C59F4"/>
    <w:rsid w:val="007C5F78"/>
    <w:rsid w:val="007C6026"/>
    <w:rsid w:val="007C61A2"/>
    <w:rsid w:val="007C62F8"/>
    <w:rsid w:val="007C6361"/>
    <w:rsid w:val="007C6386"/>
    <w:rsid w:val="007C6959"/>
    <w:rsid w:val="007C6ACD"/>
    <w:rsid w:val="007C6C65"/>
    <w:rsid w:val="007C6CB3"/>
    <w:rsid w:val="007C6CC7"/>
    <w:rsid w:val="007C6CCF"/>
    <w:rsid w:val="007C70FD"/>
    <w:rsid w:val="007C7202"/>
    <w:rsid w:val="007C727E"/>
    <w:rsid w:val="007C7422"/>
    <w:rsid w:val="007C77C0"/>
    <w:rsid w:val="007C798B"/>
    <w:rsid w:val="007C7A1A"/>
    <w:rsid w:val="007C7A40"/>
    <w:rsid w:val="007C7B06"/>
    <w:rsid w:val="007C7B73"/>
    <w:rsid w:val="007C7C26"/>
    <w:rsid w:val="007C7C3D"/>
    <w:rsid w:val="007C7EAF"/>
    <w:rsid w:val="007D01FA"/>
    <w:rsid w:val="007D03B8"/>
    <w:rsid w:val="007D03F6"/>
    <w:rsid w:val="007D05C1"/>
    <w:rsid w:val="007D0736"/>
    <w:rsid w:val="007D088B"/>
    <w:rsid w:val="007D0A02"/>
    <w:rsid w:val="007D0C34"/>
    <w:rsid w:val="007D1637"/>
    <w:rsid w:val="007D174A"/>
    <w:rsid w:val="007D174F"/>
    <w:rsid w:val="007D19A5"/>
    <w:rsid w:val="007D1E7D"/>
    <w:rsid w:val="007D2026"/>
    <w:rsid w:val="007D20BC"/>
    <w:rsid w:val="007D2110"/>
    <w:rsid w:val="007D216C"/>
    <w:rsid w:val="007D2212"/>
    <w:rsid w:val="007D2226"/>
    <w:rsid w:val="007D263A"/>
    <w:rsid w:val="007D27D2"/>
    <w:rsid w:val="007D2884"/>
    <w:rsid w:val="007D295B"/>
    <w:rsid w:val="007D29B5"/>
    <w:rsid w:val="007D319E"/>
    <w:rsid w:val="007D3387"/>
    <w:rsid w:val="007D34A6"/>
    <w:rsid w:val="007D3582"/>
    <w:rsid w:val="007D35BD"/>
    <w:rsid w:val="007D36B5"/>
    <w:rsid w:val="007D3742"/>
    <w:rsid w:val="007D37D0"/>
    <w:rsid w:val="007D37E9"/>
    <w:rsid w:val="007D38B0"/>
    <w:rsid w:val="007D38F3"/>
    <w:rsid w:val="007D3910"/>
    <w:rsid w:val="007D3A9C"/>
    <w:rsid w:val="007D3D20"/>
    <w:rsid w:val="007D3EC1"/>
    <w:rsid w:val="007D3F4F"/>
    <w:rsid w:val="007D3FF4"/>
    <w:rsid w:val="007D40A6"/>
    <w:rsid w:val="007D4323"/>
    <w:rsid w:val="007D4459"/>
    <w:rsid w:val="007D455E"/>
    <w:rsid w:val="007D473F"/>
    <w:rsid w:val="007D474D"/>
    <w:rsid w:val="007D476C"/>
    <w:rsid w:val="007D4839"/>
    <w:rsid w:val="007D4A03"/>
    <w:rsid w:val="007D4A87"/>
    <w:rsid w:val="007D4AF5"/>
    <w:rsid w:val="007D50FD"/>
    <w:rsid w:val="007D5142"/>
    <w:rsid w:val="007D52CE"/>
    <w:rsid w:val="007D52F4"/>
    <w:rsid w:val="007D570C"/>
    <w:rsid w:val="007D579D"/>
    <w:rsid w:val="007D5906"/>
    <w:rsid w:val="007D59DC"/>
    <w:rsid w:val="007D5ADD"/>
    <w:rsid w:val="007D5F91"/>
    <w:rsid w:val="007D605E"/>
    <w:rsid w:val="007D6232"/>
    <w:rsid w:val="007D67E4"/>
    <w:rsid w:val="007D6C42"/>
    <w:rsid w:val="007D6D3B"/>
    <w:rsid w:val="007D6D7D"/>
    <w:rsid w:val="007D6D81"/>
    <w:rsid w:val="007D6E31"/>
    <w:rsid w:val="007D6FAE"/>
    <w:rsid w:val="007D7957"/>
    <w:rsid w:val="007D7F3E"/>
    <w:rsid w:val="007E01EB"/>
    <w:rsid w:val="007E0367"/>
    <w:rsid w:val="007E0493"/>
    <w:rsid w:val="007E05DD"/>
    <w:rsid w:val="007E0651"/>
    <w:rsid w:val="007E0982"/>
    <w:rsid w:val="007E0B08"/>
    <w:rsid w:val="007E0B2A"/>
    <w:rsid w:val="007E0C35"/>
    <w:rsid w:val="007E0D06"/>
    <w:rsid w:val="007E0DE5"/>
    <w:rsid w:val="007E104F"/>
    <w:rsid w:val="007E10CC"/>
    <w:rsid w:val="007E1129"/>
    <w:rsid w:val="007E1152"/>
    <w:rsid w:val="007E11CE"/>
    <w:rsid w:val="007E11DF"/>
    <w:rsid w:val="007E121E"/>
    <w:rsid w:val="007E1282"/>
    <w:rsid w:val="007E1297"/>
    <w:rsid w:val="007E13A1"/>
    <w:rsid w:val="007E13C5"/>
    <w:rsid w:val="007E140C"/>
    <w:rsid w:val="007E1530"/>
    <w:rsid w:val="007E1611"/>
    <w:rsid w:val="007E16ED"/>
    <w:rsid w:val="007E18CE"/>
    <w:rsid w:val="007E1952"/>
    <w:rsid w:val="007E1ABF"/>
    <w:rsid w:val="007E1B13"/>
    <w:rsid w:val="007E1BC2"/>
    <w:rsid w:val="007E1C3C"/>
    <w:rsid w:val="007E1C4B"/>
    <w:rsid w:val="007E1C74"/>
    <w:rsid w:val="007E1CA6"/>
    <w:rsid w:val="007E1DB7"/>
    <w:rsid w:val="007E1EFE"/>
    <w:rsid w:val="007E1F9B"/>
    <w:rsid w:val="007E2061"/>
    <w:rsid w:val="007E215C"/>
    <w:rsid w:val="007E2162"/>
    <w:rsid w:val="007E26F5"/>
    <w:rsid w:val="007E2834"/>
    <w:rsid w:val="007E2839"/>
    <w:rsid w:val="007E2A3C"/>
    <w:rsid w:val="007E2BDC"/>
    <w:rsid w:val="007E2C37"/>
    <w:rsid w:val="007E2CD8"/>
    <w:rsid w:val="007E2F65"/>
    <w:rsid w:val="007E32DB"/>
    <w:rsid w:val="007E33C6"/>
    <w:rsid w:val="007E34A9"/>
    <w:rsid w:val="007E35D8"/>
    <w:rsid w:val="007E3661"/>
    <w:rsid w:val="007E36A6"/>
    <w:rsid w:val="007E36FB"/>
    <w:rsid w:val="007E3934"/>
    <w:rsid w:val="007E3B42"/>
    <w:rsid w:val="007E3BDF"/>
    <w:rsid w:val="007E3D36"/>
    <w:rsid w:val="007E3FD2"/>
    <w:rsid w:val="007E46C0"/>
    <w:rsid w:val="007E4988"/>
    <w:rsid w:val="007E4DF3"/>
    <w:rsid w:val="007E4EE4"/>
    <w:rsid w:val="007E4F16"/>
    <w:rsid w:val="007E5173"/>
    <w:rsid w:val="007E529F"/>
    <w:rsid w:val="007E52C3"/>
    <w:rsid w:val="007E535A"/>
    <w:rsid w:val="007E536E"/>
    <w:rsid w:val="007E582E"/>
    <w:rsid w:val="007E584E"/>
    <w:rsid w:val="007E5903"/>
    <w:rsid w:val="007E59D1"/>
    <w:rsid w:val="007E5A73"/>
    <w:rsid w:val="007E5C48"/>
    <w:rsid w:val="007E5C6D"/>
    <w:rsid w:val="007E5D4D"/>
    <w:rsid w:val="007E5F4F"/>
    <w:rsid w:val="007E5FD0"/>
    <w:rsid w:val="007E61C4"/>
    <w:rsid w:val="007E62BB"/>
    <w:rsid w:val="007E62CF"/>
    <w:rsid w:val="007E6302"/>
    <w:rsid w:val="007E6353"/>
    <w:rsid w:val="007E64CE"/>
    <w:rsid w:val="007E6511"/>
    <w:rsid w:val="007E6575"/>
    <w:rsid w:val="007E67EA"/>
    <w:rsid w:val="007E68ED"/>
    <w:rsid w:val="007E6A9D"/>
    <w:rsid w:val="007E6E10"/>
    <w:rsid w:val="007E6E8A"/>
    <w:rsid w:val="007E6EEC"/>
    <w:rsid w:val="007E713A"/>
    <w:rsid w:val="007E744E"/>
    <w:rsid w:val="007E747F"/>
    <w:rsid w:val="007E75A0"/>
    <w:rsid w:val="007E782C"/>
    <w:rsid w:val="007E7F54"/>
    <w:rsid w:val="007F004E"/>
    <w:rsid w:val="007F009D"/>
    <w:rsid w:val="007F0246"/>
    <w:rsid w:val="007F0382"/>
    <w:rsid w:val="007F0466"/>
    <w:rsid w:val="007F051A"/>
    <w:rsid w:val="007F0544"/>
    <w:rsid w:val="007F06C8"/>
    <w:rsid w:val="007F0A57"/>
    <w:rsid w:val="007F0E97"/>
    <w:rsid w:val="007F0EB9"/>
    <w:rsid w:val="007F0FC2"/>
    <w:rsid w:val="007F129B"/>
    <w:rsid w:val="007F146C"/>
    <w:rsid w:val="007F1ABE"/>
    <w:rsid w:val="007F1B39"/>
    <w:rsid w:val="007F1D57"/>
    <w:rsid w:val="007F1DFA"/>
    <w:rsid w:val="007F1F29"/>
    <w:rsid w:val="007F254C"/>
    <w:rsid w:val="007F25FC"/>
    <w:rsid w:val="007F2835"/>
    <w:rsid w:val="007F2D8D"/>
    <w:rsid w:val="007F2E5C"/>
    <w:rsid w:val="007F2ECE"/>
    <w:rsid w:val="007F3477"/>
    <w:rsid w:val="007F3700"/>
    <w:rsid w:val="007F3AF2"/>
    <w:rsid w:val="007F3C77"/>
    <w:rsid w:val="007F3F96"/>
    <w:rsid w:val="007F40CF"/>
    <w:rsid w:val="007F478C"/>
    <w:rsid w:val="007F48CB"/>
    <w:rsid w:val="007F48EB"/>
    <w:rsid w:val="007F49E1"/>
    <w:rsid w:val="007F4A3E"/>
    <w:rsid w:val="007F53C4"/>
    <w:rsid w:val="007F5808"/>
    <w:rsid w:val="007F5AA4"/>
    <w:rsid w:val="007F5B89"/>
    <w:rsid w:val="007F5F5D"/>
    <w:rsid w:val="007F6198"/>
    <w:rsid w:val="007F633B"/>
    <w:rsid w:val="007F648F"/>
    <w:rsid w:val="007F6557"/>
    <w:rsid w:val="007F656C"/>
    <w:rsid w:val="007F65BB"/>
    <w:rsid w:val="007F6CDA"/>
    <w:rsid w:val="007F6E3B"/>
    <w:rsid w:val="007F6F14"/>
    <w:rsid w:val="007F70CC"/>
    <w:rsid w:val="007F74BE"/>
    <w:rsid w:val="007F74FF"/>
    <w:rsid w:val="007F752E"/>
    <w:rsid w:val="007F7643"/>
    <w:rsid w:val="007F76F2"/>
    <w:rsid w:val="007F777C"/>
    <w:rsid w:val="007F78F2"/>
    <w:rsid w:val="007F79AE"/>
    <w:rsid w:val="007F7D8E"/>
    <w:rsid w:val="007F7DD2"/>
    <w:rsid w:val="007F7EF9"/>
    <w:rsid w:val="007F7F5F"/>
    <w:rsid w:val="007F7FB4"/>
    <w:rsid w:val="00800283"/>
    <w:rsid w:val="0080048E"/>
    <w:rsid w:val="0080056D"/>
    <w:rsid w:val="0080080B"/>
    <w:rsid w:val="00800A11"/>
    <w:rsid w:val="00800DAE"/>
    <w:rsid w:val="00800E54"/>
    <w:rsid w:val="00800EE5"/>
    <w:rsid w:val="00800FAE"/>
    <w:rsid w:val="0080125A"/>
    <w:rsid w:val="00801515"/>
    <w:rsid w:val="008018B1"/>
    <w:rsid w:val="00801BF4"/>
    <w:rsid w:val="00801C09"/>
    <w:rsid w:val="00801E3F"/>
    <w:rsid w:val="00801EAB"/>
    <w:rsid w:val="00802419"/>
    <w:rsid w:val="00802588"/>
    <w:rsid w:val="0080258F"/>
    <w:rsid w:val="00802690"/>
    <w:rsid w:val="008029BF"/>
    <w:rsid w:val="008029C4"/>
    <w:rsid w:val="00802F25"/>
    <w:rsid w:val="00802F80"/>
    <w:rsid w:val="00803143"/>
    <w:rsid w:val="0080339B"/>
    <w:rsid w:val="008033BE"/>
    <w:rsid w:val="008034CC"/>
    <w:rsid w:val="008035E8"/>
    <w:rsid w:val="00803602"/>
    <w:rsid w:val="00803621"/>
    <w:rsid w:val="00803699"/>
    <w:rsid w:val="008037C1"/>
    <w:rsid w:val="008037DA"/>
    <w:rsid w:val="008037E9"/>
    <w:rsid w:val="00803824"/>
    <w:rsid w:val="00803B49"/>
    <w:rsid w:val="00803BEE"/>
    <w:rsid w:val="00803E6D"/>
    <w:rsid w:val="00804047"/>
    <w:rsid w:val="008040BD"/>
    <w:rsid w:val="0080433B"/>
    <w:rsid w:val="008043E8"/>
    <w:rsid w:val="0080452B"/>
    <w:rsid w:val="00804A98"/>
    <w:rsid w:val="00804AE5"/>
    <w:rsid w:val="00804C89"/>
    <w:rsid w:val="00804DB3"/>
    <w:rsid w:val="00804DE4"/>
    <w:rsid w:val="00804DF7"/>
    <w:rsid w:val="00804FD6"/>
    <w:rsid w:val="00805038"/>
    <w:rsid w:val="00805043"/>
    <w:rsid w:val="00805267"/>
    <w:rsid w:val="00805743"/>
    <w:rsid w:val="00805CDB"/>
    <w:rsid w:val="00805EA5"/>
    <w:rsid w:val="00805FB1"/>
    <w:rsid w:val="0080623E"/>
    <w:rsid w:val="00806489"/>
    <w:rsid w:val="008065B7"/>
    <w:rsid w:val="00806852"/>
    <w:rsid w:val="00806901"/>
    <w:rsid w:val="00806A70"/>
    <w:rsid w:val="00806B6B"/>
    <w:rsid w:val="00806B74"/>
    <w:rsid w:val="00806D54"/>
    <w:rsid w:val="00806D81"/>
    <w:rsid w:val="00806FC3"/>
    <w:rsid w:val="008070DE"/>
    <w:rsid w:val="0080733C"/>
    <w:rsid w:val="008074F9"/>
    <w:rsid w:val="008078EE"/>
    <w:rsid w:val="00807A1B"/>
    <w:rsid w:val="00807C5A"/>
    <w:rsid w:val="00807E6F"/>
    <w:rsid w:val="00807EB2"/>
    <w:rsid w:val="00807EED"/>
    <w:rsid w:val="00807FF8"/>
    <w:rsid w:val="0081002C"/>
    <w:rsid w:val="008102AA"/>
    <w:rsid w:val="008102D4"/>
    <w:rsid w:val="008103C2"/>
    <w:rsid w:val="008106C2"/>
    <w:rsid w:val="00810982"/>
    <w:rsid w:val="00810AE9"/>
    <w:rsid w:val="00810AFC"/>
    <w:rsid w:val="00810F3E"/>
    <w:rsid w:val="00810F40"/>
    <w:rsid w:val="00811490"/>
    <w:rsid w:val="008114C8"/>
    <w:rsid w:val="008114DD"/>
    <w:rsid w:val="00811545"/>
    <w:rsid w:val="00811628"/>
    <w:rsid w:val="008116F9"/>
    <w:rsid w:val="00811A22"/>
    <w:rsid w:val="00811B1F"/>
    <w:rsid w:val="00811B3A"/>
    <w:rsid w:val="00811D1F"/>
    <w:rsid w:val="008123CD"/>
    <w:rsid w:val="00812B9B"/>
    <w:rsid w:val="00812BC2"/>
    <w:rsid w:val="00812C41"/>
    <w:rsid w:val="00812C57"/>
    <w:rsid w:val="00812CBD"/>
    <w:rsid w:val="00812E5A"/>
    <w:rsid w:val="008132AD"/>
    <w:rsid w:val="0081359C"/>
    <w:rsid w:val="0081385D"/>
    <w:rsid w:val="008140AD"/>
    <w:rsid w:val="00814224"/>
    <w:rsid w:val="008147E4"/>
    <w:rsid w:val="00814932"/>
    <w:rsid w:val="00814BBF"/>
    <w:rsid w:val="00814C3B"/>
    <w:rsid w:val="00814E0D"/>
    <w:rsid w:val="00814E12"/>
    <w:rsid w:val="00814E44"/>
    <w:rsid w:val="00814EA0"/>
    <w:rsid w:val="00815038"/>
    <w:rsid w:val="008151D7"/>
    <w:rsid w:val="00815207"/>
    <w:rsid w:val="00815312"/>
    <w:rsid w:val="0081567F"/>
    <w:rsid w:val="008156E4"/>
    <w:rsid w:val="00815726"/>
    <w:rsid w:val="0081579B"/>
    <w:rsid w:val="008159C4"/>
    <w:rsid w:val="00815A81"/>
    <w:rsid w:val="00815CCF"/>
    <w:rsid w:val="00815EF5"/>
    <w:rsid w:val="00815F58"/>
    <w:rsid w:val="008161EB"/>
    <w:rsid w:val="008163DB"/>
    <w:rsid w:val="00816405"/>
    <w:rsid w:val="0081640C"/>
    <w:rsid w:val="00816496"/>
    <w:rsid w:val="008164E9"/>
    <w:rsid w:val="008169B6"/>
    <w:rsid w:val="008169E8"/>
    <w:rsid w:val="00816B44"/>
    <w:rsid w:val="00816CB5"/>
    <w:rsid w:val="00816D5A"/>
    <w:rsid w:val="008170E7"/>
    <w:rsid w:val="00817189"/>
    <w:rsid w:val="008173A5"/>
    <w:rsid w:val="00817449"/>
    <w:rsid w:val="00817683"/>
    <w:rsid w:val="0081788E"/>
    <w:rsid w:val="00817F75"/>
    <w:rsid w:val="00820335"/>
    <w:rsid w:val="008206E0"/>
    <w:rsid w:val="00820706"/>
    <w:rsid w:val="008208E2"/>
    <w:rsid w:val="008208E4"/>
    <w:rsid w:val="00820978"/>
    <w:rsid w:val="00820CA3"/>
    <w:rsid w:val="00820CC7"/>
    <w:rsid w:val="00820E34"/>
    <w:rsid w:val="00820E82"/>
    <w:rsid w:val="0082102F"/>
    <w:rsid w:val="00821142"/>
    <w:rsid w:val="00821161"/>
    <w:rsid w:val="00821859"/>
    <w:rsid w:val="00821B5C"/>
    <w:rsid w:val="00821F95"/>
    <w:rsid w:val="00822266"/>
    <w:rsid w:val="008222AC"/>
    <w:rsid w:val="00822424"/>
    <w:rsid w:val="008224D9"/>
    <w:rsid w:val="00822638"/>
    <w:rsid w:val="00822666"/>
    <w:rsid w:val="00822693"/>
    <w:rsid w:val="00822878"/>
    <w:rsid w:val="00822980"/>
    <w:rsid w:val="008229B5"/>
    <w:rsid w:val="00822B4B"/>
    <w:rsid w:val="00822BB2"/>
    <w:rsid w:val="00822D6D"/>
    <w:rsid w:val="00822E0B"/>
    <w:rsid w:val="00822FE6"/>
    <w:rsid w:val="008230B3"/>
    <w:rsid w:val="00823208"/>
    <w:rsid w:val="008232BF"/>
    <w:rsid w:val="008233DC"/>
    <w:rsid w:val="00823510"/>
    <w:rsid w:val="00823545"/>
    <w:rsid w:val="0082360C"/>
    <w:rsid w:val="0082388E"/>
    <w:rsid w:val="00823A6E"/>
    <w:rsid w:val="00823AC8"/>
    <w:rsid w:val="00823B44"/>
    <w:rsid w:val="00823C31"/>
    <w:rsid w:val="00823CD4"/>
    <w:rsid w:val="00823E6F"/>
    <w:rsid w:val="00823F3E"/>
    <w:rsid w:val="00824370"/>
    <w:rsid w:val="00824498"/>
    <w:rsid w:val="0082476E"/>
    <w:rsid w:val="0082485B"/>
    <w:rsid w:val="008248AA"/>
    <w:rsid w:val="008248F4"/>
    <w:rsid w:val="008249E9"/>
    <w:rsid w:val="008249FC"/>
    <w:rsid w:val="00824BC0"/>
    <w:rsid w:val="00824E24"/>
    <w:rsid w:val="00824FEA"/>
    <w:rsid w:val="00825142"/>
    <w:rsid w:val="00825213"/>
    <w:rsid w:val="008253C8"/>
    <w:rsid w:val="008254BF"/>
    <w:rsid w:val="00825870"/>
    <w:rsid w:val="008258D7"/>
    <w:rsid w:val="00825C5C"/>
    <w:rsid w:val="008262E8"/>
    <w:rsid w:val="008264C1"/>
    <w:rsid w:val="00826577"/>
    <w:rsid w:val="0082669A"/>
    <w:rsid w:val="00826961"/>
    <w:rsid w:val="00826A68"/>
    <w:rsid w:val="00826B6B"/>
    <w:rsid w:val="00826F72"/>
    <w:rsid w:val="00826F82"/>
    <w:rsid w:val="00827696"/>
    <w:rsid w:val="008277CB"/>
    <w:rsid w:val="00827AC4"/>
    <w:rsid w:val="00827D6D"/>
    <w:rsid w:val="00827D9E"/>
    <w:rsid w:val="00827E3F"/>
    <w:rsid w:val="00830013"/>
    <w:rsid w:val="008301EE"/>
    <w:rsid w:val="00830293"/>
    <w:rsid w:val="008302D4"/>
    <w:rsid w:val="00830321"/>
    <w:rsid w:val="00830327"/>
    <w:rsid w:val="00830407"/>
    <w:rsid w:val="0083049D"/>
    <w:rsid w:val="0083071A"/>
    <w:rsid w:val="0083080D"/>
    <w:rsid w:val="008308C8"/>
    <w:rsid w:val="00830934"/>
    <w:rsid w:val="00830B87"/>
    <w:rsid w:val="00830FB1"/>
    <w:rsid w:val="0083117A"/>
    <w:rsid w:val="008314B6"/>
    <w:rsid w:val="0083165C"/>
    <w:rsid w:val="0083167C"/>
    <w:rsid w:val="00831981"/>
    <w:rsid w:val="00831C7A"/>
    <w:rsid w:val="00831C7B"/>
    <w:rsid w:val="00831CB8"/>
    <w:rsid w:val="00831D42"/>
    <w:rsid w:val="00831D82"/>
    <w:rsid w:val="0083204F"/>
    <w:rsid w:val="0083231E"/>
    <w:rsid w:val="008323E9"/>
    <w:rsid w:val="00832504"/>
    <w:rsid w:val="008326E3"/>
    <w:rsid w:val="0083287F"/>
    <w:rsid w:val="00832ADD"/>
    <w:rsid w:val="00832D49"/>
    <w:rsid w:val="00832DD8"/>
    <w:rsid w:val="00832F88"/>
    <w:rsid w:val="00832FDD"/>
    <w:rsid w:val="0083307C"/>
    <w:rsid w:val="00833252"/>
    <w:rsid w:val="0083351D"/>
    <w:rsid w:val="00833780"/>
    <w:rsid w:val="008338F1"/>
    <w:rsid w:val="00833961"/>
    <w:rsid w:val="0083397D"/>
    <w:rsid w:val="008339D2"/>
    <w:rsid w:val="00833CA0"/>
    <w:rsid w:val="00833E29"/>
    <w:rsid w:val="008340D3"/>
    <w:rsid w:val="008340ED"/>
    <w:rsid w:val="00834520"/>
    <w:rsid w:val="0083462B"/>
    <w:rsid w:val="008346B7"/>
    <w:rsid w:val="00834AA0"/>
    <w:rsid w:val="00834DEF"/>
    <w:rsid w:val="00834DF2"/>
    <w:rsid w:val="00834E05"/>
    <w:rsid w:val="008350E3"/>
    <w:rsid w:val="00835320"/>
    <w:rsid w:val="0083535A"/>
    <w:rsid w:val="00835444"/>
    <w:rsid w:val="00835515"/>
    <w:rsid w:val="0083557C"/>
    <w:rsid w:val="00835652"/>
    <w:rsid w:val="008356D7"/>
    <w:rsid w:val="00835758"/>
    <w:rsid w:val="00835B22"/>
    <w:rsid w:val="00835CE4"/>
    <w:rsid w:val="00835D81"/>
    <w:rsid w:val="00835F0B"/>
    <w:rsid w:val="00836026"/>
    <w:rsid w:val="00836105"/>
    <w:rsid w:val="0083617B"/>
    <w:rsid w:val="0083646C"/>
    <w:rsid w:val="008364A5"/>
    <w:rsid w:val="0083651D"/>
    <w:rsid w:val="0083652D"/>
    <w:rsid w:val="0083656C"/>
    <w:rsid w:val="0083664E"/>
    <w:rsid w:val="00836709"/>
    <w:rsid w:val="00836806"/>
    <w:rsid w:val="00836B19"/>
    <w:rsid w:val="00836DFD"/>
    <w:rsid w:val="00836E2D"/>
    <w:rsid w:val="00836EFE"/>
    <w:rsid w:val="00836F22"/>
    <w:rsid w:val="00836F8A"/>
    <w:rsid w:val="008370D1"/>
    <w:rsid w:val="00837183"/>
    <w:rsid w:val="00837203"/>
    <w:rsid w:val="008374F0"/>
    <w:rsid w:val="00837756"/>
    <w:rsid w:val="0083788B"/>
    <w:rsid w:val="008378CF"/>
    <w:rsid w:val="00837A63"/>
    <w:rsid w:val="00837E79"/>
    <w:rsid w:val="00840180"/>
    <w:rsid w:val="008401CB"/>
    <w:rsid w:val="00840317"/>
    <w:rsid w:val="0084048B"/>
    <w:rsid w:val="008405C5"/>
    <w:rsid w:val="008406E8"/>
    <w:rsid w:val="00840759"/>
    <w:rsid w:val="00840818"/>
    <w:rsid w:val="00840978"/>
    <w:rsid w:val="008409E1"/>
    <w:rsid w:val="00840A42"/>
    <w:rsid w:val="00840AAC"/>
    <w:rsid w:val="00840C50"/>
    <w:rsid w:val="00840DFA"/>
    <w:rsid w:val="00840F38"/>
    <w:rsid w:val="00840FB8"/>
    <w:rsid w:val="008412EF"/>
    <w:rsid w:val="00841335"/>
    <w:rsid w:val="008416DE"/>
    <w:rsid w:val="008416E4"/>
    <w:rsid w:val="00841AF8"/>
    <w:rsid w:val="00841C54"/>
    <w:rsid w:val="00841CC1"/>
    <w:rsid w:val="008421E7"/>
    <w:rsid w:val="008421F4"/>
    <w:rsid w:val="008424AD"/>
    <w:rsid w:val="008426BA"/>
    <w:rsid w:val="008426FE"/>
    <w:rsid w:val="00842A84"/>
    <w:rsid w:val="00842BAA"/>
    <w:rsid w:val="00842BEA"/>
    <w:rsid w:val="00842D6F"/>
    <w:rsid w:val="00842DD6"/>
    <w:rsid w:val="00843091"/>
    <w:rsid w:val="008433EB"/>
    <w:rsid w:val="00843418"/>
    <w:rsid w:val="008438AF"/>
    <w:rsid w:val="008439D5"/>
    <w:rsid w:val="00843B27"/>
    <w:rsid w:val="00843DA3"/>
    <w:rsid w:val="00843DDD"/>
    <w:rsid w:val="00843E2B"/>
    <w:rsid w:val="00843F6C"/>
    <w:rsid w:val="008440C4"/>
    <w:rsid w:val="008440C9"/>
    <w:rsid w:val="0084427C"/>
    <w:rsid w:val="00844318"/>
    <w:rsid w:val="00844355"/>
    <w:rsid w:val="00844481"/>
    <w:rsid w:val="0084448C"/>
    <w:rsid w:val="008445ED"/>
    <w:rsid w:val="00844656"/>
    <w:rsid w:val="00844A4C"/>
    <w:rsid w:val="00844B13"/>
    <w:rsid w:val="00844BCE"/>
    <w:rsid w:val="00844E0C"/>
    <w:rsid w:val="0084502A"/>
    <w:rsid w:val="0084524D"/>
    <w:rsid w:val="008454A2"/>
    <w:rsid w:val="0084564A"/>
    <w:rsid w:val="008458CA"/>
    <w:rsid w:val="00845ADE"/>
    <w:rsid w:val="00845CDD"/>
    <w:rsid w:val="00845E70"/>
    <w:rsid w:val="00845EAE"/>
    <w:rsid w:val="0084611F"/>
    <w:rsid w:val="00846149"/>
    <w:rsid w:val="008461B5"/>
    <w:rsid w:val="00846426"/>
    <w:rsid w:val="00846572"/>
    <w:rsid w:val="008465EA"/>
    <w:rsid w:val="008466B5"/>
    <w:rsid w:val="008467ED"/>
    <w:rsid w:val="008467F1"/>
    <w:rsid w:val="0084691F"/>
    <w:rsid w:val="00846931"/>
    <w:rsid w:val="00846AC8"/>
    <w:rsid w:val="00846B0E"/>
    <w:rsid w:val="00846F1C"/>
    <w:rsid w:val="00847086"/>
    <w:rsid w:val="0084709C"/>
    <w:rsid w:val="0084726F"/>
    <w:rsid w:val="008475CC"/>
    <w:rsid w:val="0084770B"/>
    <w:rsid w:val="00847A5C"/>
    <w:rsid w:val="00847B4E"/>
    <w:rsid w:val="00847BBF"/>
    <w:rsid w:val="00850199"/>
    <w:rsid w:val="0085043B"/>
    <w:rsid w:val="008504BC"/>
    <w:rsid w:val="00850514"/>
    <w:rsid w:val="008509C9"/>
    <w:rsid w:val="00850A81"/>
    <w:rsid w:val="00850F02"/>
    <w:rsid w:val="00850FD5"/>
    <w:rsid w:val="00851096"/>
    <w:rsid w:val="0085120F"/>
    <w:rsid w:val="008512B7"/>
    <w:rsid w:val="008512DE"/>
    <w:rsid w:val="00851873"/>
    <w:rsid w:val="008519D7"/>
    <w:rsid w:val="00851A3E"/>
    <w:rsid w:val="00851BAD"/>
    <w:rsid w:val="00852366"/>
    <w:rsid w:val="00852429"/>
    <w:rsid w:val="00852479"/>
    <w:rsid w:val="0085248C"/>
    <w:rsid w:val="008524BE"/>
    <w:rsid w:val="008524E6"/>
    <w:rsid w:val="0085251A"/>
    <w:rsid w:val="00852528"/>
    <w:rsid w:val="00852679"/>
    <w:rsid w:val="008526F7"/>
    <w:rsid w:val="00852A36"/>
    <w:rsid w:val="00852A72"/>
    <w:rsid w:val="00852DB5"/>
    <w:rsid w:val="00852ED4"/>
    <w:rsid w:val="00853071"/>
    <w:rsid w:val="008531DC"/>
    <w:rsid w:val="008532E9"/>
    <w:rsid w:val="0085343A"/>
    <w:rsid w:val="008534BA"/>
    <w:rsid w:val="008535BD"/>
    <w:rsid w:val="0085365A"/>
    <w:rsid w:val="00853775"/>
    <w:rsid w:val="0085386C"/>
    <w:rsid w:val="0085390E"/>
    <w:rsid w:val="00853967"/>
    <w:rsid w:val="00853A7B"/>
    <w:rsid w:val="00853AD3"/>
    <w:rsid w:val="00853C9C"/>
    <w:rsid w:val="00853DAE"/>
    <w:rsid w:val="00853F0E"/>
    <w:rsid w:val="00853F42"/>
    <w:rsid w:val="00853FB1"/>
    <w:rsid w:val="00854159"/>
    <w:rsid w:val="00854190"/>
    <w:rsid w:val="008541E6"/>
    <w:rsid w:val="00854262"/>
    <w:rsid w:val="008547B2"/>
    <w:rsid w:val="00854C18"/>
    <w:rsid w:val="00854D00"/>
    <w:rsid w:val="00854E28"/>
    <w:rsid w:val="00854E72"/>
    <w:rsid w:val="0085526E"/>
    <w:rsid w:val="00855414"/>
    <w:rsid w:val="008554BB"/>
    <w:rsid w:val="00855604"/>
    <w:rsid w:val="00855DDA"/>
    <w:rsid w:val="00856340"/>
    <w:rsid w:val="00856505"/>
    <w:rsid w:val="0085653A"/>
    <w:rsid w:val="008565C0"/>
    <w:rsid w:val="0085683D"/>
    <w:rsid w:val="00856A78"/>
    <w:rsid w:val="00856ACD"/>
    <w:rsid w:val="00856C03"/>
    <w:rsid w:val="00857016"/>
    <w:rsid w:val="0085721C"/>
    <w:rsid w:val="008572F1"/>
    <w:rsid w:val="0085744B"/>
    <w:rsid w:val="008578A0"/>
    <w:rsid w:val="00857A1F"/>
    <w:rsid w:val="00857CA7"/>
    <w:rsid w:val="00857D2C"/>
    <w:rsid w:val="00857E11"/>
    <w:rsid w:val="00860200"/>
    <w:rsid w:val="00860414"/>
    <w:rsid w:val="00860554"/>
    <w:rsid w:val="0086088B"/>
    <w:rsid w:val="00860A81"/>
    <w:rsid w:val="00860C3C"/>
    <w:rsid w:val="00860FD0"/>
    <w:rsid w:val="008611FD"/>
    <w:rsid w:val="00861822"/>
    <w:rsid w:val="00861A41"/>
    <w:rsid w:val="00861D68"/>
    <w:rsid w:val="00861FA3"/>
    <w:rsid w:val="00862028"/>
    <w:rsid w:val="00862098"/>
    <w:rsid w:val="008620E3"/>
    <w:rsid w:val="00862345"/>
    <w:rsid w:val="00862488"/>
    <w:rsid w:val="008624A5"/>
    <w:rsid w:val="0086295D"/>
    <w:rsid w:val="008629DF"/>
    <w:rsid w:val="00862AA0"/>
    <w:rsid w:val="00862D83"/>
    <w:rsid w:val="00862DB5"/>
    <w:rsid w:val="00862EE4"/>
    <w:rsid w:val="00862FF4"/>
    <w:rsid w:val="00863138"/>
    <w:rsid w:val="008631A9"/>
    <w:rsid w:val="0086338F"/>
    <w:rsid w:val="008634CC"/>
    <w:rsid w:val="008634DB"/>
    <w:rsid w:val="00863521"/>
    <w:rsid w:val="00863621"/>
    <w:rsid w:val="0086393A"/>
    <w:rsid w:val="00863A6E"/>
    <w:rsid w:val="00863B11"/>
    <w:rsid w:val="00863CA3"/>
    <w:rsid w:val="00863CE8"/>
    <w:rsid w:val="00863EB9"/>
    <w:rsid w:val="00863F3F"/>
    <w:rsid w:val="00864178"/>
    <w:rsid w:val="0086419E"/>
    <w:rsid w:val="008642A3"/>
    <w:rsid w:val="0086447D"/>
    <w:rsid w:val="00864690"/>
    <w:rsid w:val="0086499A"/>
    <w:rsid w:val="008649B8"/>
    <w:rsid w:val="00864AFD"/>
    <w:rsid w:val="00864B1B"/>
    <w:rsid w:val="00864BFC"/>
    <w:rsid w:val="00864C15"/>
    <w:rsid w:val="00864D10"/>
    <w:rsid w:val="00864F19"/>
    <w:rsid w:val="00864FBA"/>
    <w:rsid w:val="0086503F"/>
    <w:rsid w:val="008650AC"/>
    <w:rsid w:val="0086510C"/>
    <w:rsid w:val="00865191"/>
    <w:rsid w:val="00865446"/>
    <w:rsid w:val="0086552E"/>
    <w:rsid w:val="0086585A"/>
    <w:rsid w:val="0086588C"/>
    <w:rsid w:val="00865A93"/>
    <w:rsid w:val="00865AA8"/>
    <w:rsid w:val="00865C51"/>
    <w:rsid w:val="00865E01"/>
    <w:rsid w:val="00865EED"/>
    <w:rsid w:val="00865FB8"/>
    <w:rsid w:val="008661BD"/>
    <w:rsid w:val="0086633E"/>
    <w:rsid w:val="00866539"/>
    <w:rsid w:val="00866651"/>
    <w:rsid w:val="00866B2D"/>
    <w:rsid w:val="00866BD4"/>
    <w:rsid w:val="00866CF4"/>
    <w:rsid w:val="00866D47"/>
    <w:rsid w:val="00866EB5"/>
    <w:rsid w:val="0086707E"/>
    <w:rsid w:val="008670AA"/>
    <w:rsid w:val="008670F3"/>
    <w:rsid w:val="008671F4"/>
    <w:rsid w:val="00867337"/>
    <w:rsid w:val="00867344"/>
    <w:rsid w:val="008674F0"/>
    <w:rsid w:val="0086761B"/>
    <w:rsid w:val="008676B4"/>
    <w:rsid w:val="00867890"/>
    <w:rsid w:val="00867B6C"/>
    <w:rsid w:val="00867D88"/>
    <w:rsid w:val="00870339"/>
    <w:rsid w:val="008703BD"/>
    <w:rsid w:val="00870536"/>
    <w:rsid w:val="00870802"/>
    <w:rsid w:val="0087097D"/>
    <w:rsid w:val="00870A28"/>
    <w:rsid w:val="00870B5C"/>
    <w:rsid w:val="00870C50"/>
    <w:rsid w:val="00870CE2"/>
    <w:rsid w:val="00870FE0"/>
    <w:rsid w:val="008710BC"/>
    <w:rsid w:val="00871307"/>
    <w:rsid w:val="00871355"/>
    <w:rsid w:val="0087160A"/>
    <w:rsid w:val="008718CF"/>
    <w:rsid w:val="00871A4D"/>
    <w:rsid w:val="00871B53"/>
    <w:rsid w:val="00871BD5"/>
    <w:rsid w:val="00871BF2"/>
    <w:rsid w:val="00871D0A"/>
    <w:rsid w:val="00871E69"/>
    <w:rsid w:val="00871F3C"/>
    <w:rsid w:val="00871FC3"/>
    <w:rsid w:val="0087207C"/>
    <w:rsid w:val="00872395"/>
    <w:rsid w:val="00872634"/>
    <w:rsid w:val="0087277D"/>
    <w:rsid w:val="008728F3"/>
    <w:rsid w:val="00872936"/>
    <w:rsid w:val="00872ADC"/>
    <w:rsid w:val="00872B85"/>
    <w:rsid w:val="00872BF9"/>
    <w:rsid w:val="00872CF0"/>
    <w:rsid w:val="00872E04"/>
    <w:rsid w:val="0087316B"/>
    <w:rsid w:val="008731B4"/>
    <w:rsid w:val="0087376E"/>
    <w:rsid w:val="008738D0"/>
    <w:rsid w:val="00873AFB"/>
    <w:rsid w:val="00873B1B"/>
    <w:rsid w:val="00873B5D"/>
    <w:rsid w:val="00873CF5"/>
    <w:rsid w:val="00874270"/>
    <w:rsid w:val="00874538"/>
    <w:rsid w:val="008745FB"/>
    <w:rsid w:val="00874BC6"/>
    <w:rsid w:val="00874BF2"/>
    <w:rsid w:val="00874C1A"/>
    <w:rsid w:val="00874EEF"/>
    <w:rsid w:val="00874F64"/>
    <w:rsid w:val="00874FD0"/>
    <w:rsid w:val="0087509F"/>
    <w:rsid w:val="008754C1"/>
    <w:rsid w:val="0087573E"/>
    <w:rsid w:val="008759CE"/>
    <w:rsid w:val="00875AF2"/>
    <w:rsid w:val="00875D05"/>
    <w:rsid w:val="00875EA4"/>
    <w:rsid w:val="00875F6E"/>
    <w:rsid w:val="008760C5"/>
    <w:rsid w:val="008762FC"/>
    <w:rsid w:val="00876310"/>
    <w:rsid w:val="00876398"/>
    <w:rsid w:val="008763CB"/>
    <w:rsid w:val="0087641D"/>
    <w:rsid w:val="0087659C"/>
    <w:rsid w:val="0087677F"/>
    <w:rsid w:val="008768B7"/>
    <w:rsid w:val="00876920"/>
    <w:rsid w:val="008769A9"/>
    <w:rsid w:val="00876E38"/>
    <w:rsid w:val="00876FC5"/>
    <w:rsid w:val="00877346"/>
    <w:rsid w:val="008773CB"/>
    <w:rsid w:val="008774CE"/>
    <w:rsid w:val="008775EC"/>
    <w:rsid w:val="0087776A"/>
    <w:rsid w:val="0087791A"/>
    <w:rsid w:val="00877929"/>
    <w:rsid w:val="00877F07"/>
    <w:rsid w:val="00880327"/>
    <w:rsid w:val="008807A0"/>
    <w:rsid w:val="00880854"/>
    <w:rsid w:val="008809C3"/>
    <w:rsid w:val="008809CB"/>
    <w:rsid w:val="00880A6C"/>
    <w:rsid w:val="00880F02"/>
    <w:rsid w:val="0088104E"/>
    <w:rsid w:val="0088108F"/>
    <w:rsid w:val="0088114C"/>
    <w:rsid w:val="008812F4"/>
    <w:rsid w:val="0088137B"/>
    <w:rsid w:val="008814B4"/>
    <w:rsid w:val="0088160D"/>
    <w:rsid w:val="00881669"/>
    <w:rsid w:val="0088176B"/>
    <w:rsid w:val="00881824"/>
    <w:rsid w:val="00881C02"/>
    <w:rsid w:val="00881C8B"/>
    <w:rsid w:val="00881EE2"/>
    <w:rsid w:val="00882097"/>
    <w:rsid w:val="0088217D"/>
    <w:rsid w:val="008821A0"/>
    <w:rsid w:val="00882384"/>
    <w:rsid w:val="00882674"/>
    <w:rsid w:val="0088281F"/>
    <w:rsid w:val="008828C5"/>
    <w:rsid w:val="00882924"/>
    <w:rsid w:val="00882B0F"/>
    <w:rsid w:val="00882B78"/>
    <w:rsid w:val="00882CC0"/>
    <w:rsid w:val="00882F32"/>
    <w:rsid w:val="00883137"/>
    <w:rsid w:val="00883396"/>
    <w:rsid w:val="008833DD"/>
    <w:rsid w:val="00883865"/>
    <w:rsid w:val="00883961"/>
    <w:rsid w:val="00883A53"/>
    <w:rsid w:val="0088419C"/>
    <w:rsid w:val="008844E6"/>
    <w:rsid w:val="00884593"/>
    <w:rsid w:val="00884620"/>
    <w:rsid w:val="00884C2F"/>
    <w:rsid w:val="00884C7F"/>
    <w:rsid w:val="00884E0E"/>
    <w:rsid w:val="00884EC2"/>
    <w:rsid w:val="00884F54"/>
    <w:rsid w:val="0088512C"/>
    <w:rsid w:val="0088514C"/>
    <w:rsid w:val="0088531B"/>
    <w:rsid w:val="00885503"/>
    <w:rsid w:val="0088559B"/>
    <w:rsid w:val="008855B9"/>
    <w:rsid w:val="0088567B"/>
    <w:rsid w:val="008859A1"/>
    <w:rsid w:val="00885A48"/>
    <w:rsid w:val="00885B96"/>
    <w:rsid w:val="00885C46"/>
    <w:rsid w:val="00885C75"/>
    <w:rsid w:val="00885C8C"/>
    <w:rsid w:val="00885ECC"/>
    <w:rsid w:val="00885F3A"/>
    <w:rsid w:val="00885FD4"/>
    <w:rsid w:val="00885FDD"/>
    <w:rsid w:val="008860DA"/>
    <w:rsid w:val="0088635B"/>
    <w:rsid w:val="00886385"/>
    <w:rsid w:val="00886645"/>
    <w:rsid w:val="0088666C"/>
    <w:rsid w:val="008868CA"/>
    <w:rsid w:val="00886AA1"/>
    <w:rsid w:val="00886E2C"/>
    <w:rsid w:val="00886F80"/>
    <w:rsid w:val="00886F95"/>
    <w:rsid w:val="00886FC7"/>
    <w:rsid w:val="00887130"/>
    <w:rsid w:val="008873E6"/>
    <w:rsid w:val="008877E1"/>
    <w:rsid w:val="00887A40"/>
    <w:rsid w:val="00887EE1"/>
    <w:rsid w:val="00890470"/>
    <w:rsid w:val="00890519"/>
    <w:rsid w:val="0089071C"/>
    <w:rsid w:val="008907EB"/>
    <w:rsid w:val="00890AE8"/>
    <w:rsid w:val="00890B1D"/>
    <w:rsid w:val="00890C4F"/>
    <w:rsid w:val="00890D59"/>
    <w:rsid w:val="00890E16"/>
    <w:rsid w:val="008914CC"/>
    <w:rsid w:val="008915A5"/>
    <w:rsid w:val="00891786"/>
    <w:rsid w:val="008918FC"/>
    <w:rsid w:val="00891CE3"/>
    <w:rsid w:val="00891D9A"/>
    <w:rsid w:val="00891EDB"/>
    <w:rsid w:val="00891FD5"/>
    <w:rsid w:val="00892177"/>
    <w:rsid w:val="008921F0"/>
    <w:rsid w:val="00892232"/>
    <w:rsid w:val="0089249A"/>
    <w:rsid w:val="00892623"/>
    <w:rsid w:val="008926C1"/>
    <w:rsid w:val="008926E7"/>
    <w:rsid w:val="0089272D"/>
    <w:rsid w:val="0089286F"/>
    <w:rsid w:val="008929C9"/>
    <w:rsid w:val="00892AF0"/>
    <w:rsid w:val="00892DB2"/>
    <w:rsid w:val="00892E29"/>
    <w:rsid w:val="00892F71"/>
    <w:rsid w:val="00892FC6"/>
    <w:rsid w:val="00893453"/>
    <w:rsid w:val="00893626"/>
    <w:rsid w:val="00893802"/>
    <w:rsid w:val="0089380C"/>
    <w:rsid w:val="00893976"/>
    <w:rsid w:val="008939A6"/>
    <w:rsid w:val="008939F9"/>
    <w:rsid w:val="00893BC7"/>
    <w:rsid w:val="00893C19"/>
    <w:rsid w:val="00893CB0"/>
    <w:rsid w:val="00893D24"/>
    <w:rsid w:val="00893FDA"/>
    <w:rsid w:val="00894125"/>
    <w:rsid w:val="008943CA"/>
    <w:rsid w:val="00894645"/>
    <w:rsid w:val="008946D5"/>
    <w:rsid w:val="00894762"/>
    <w:rsid w:val="00894A70"/>
    <w:rsid w:val="00894B56"/>
    <w:rsid w:val="00894E70"/>
    <w:rsid w:val="00894EE3"/>
    <w:rsid w:val="008951E4"/>
    <w:rsid w:val="008952EC"/>
    <w:rsid w:val="0089530B"/>
    <w:rsid w:val="0089542F"/>
    <w:rsid w:val="0089544A"/>
    <w:rsid w:val="008958D3"/>
    <w:rsid w:val="00895C4D"/>
    <w:rsid w:val="00895C80"/>
    <w:rsid w:val="0089607A"/>
    <w:rsid w:val="00896233"/>
    <w:rsid w:val="008962EC"/>
    <w:rsid w:val="0089668A"/>
    <w:rsid w:val="008966BC"/>
    <w:rsid w:val="008969A7"/>
    <w:rsid w:val="00896CA3"/>
    <w:rsid w:val="00896E06"/>
    <w:rsid w:val="0089721E"/>
    <w:rsid w:val="008972C5"/>
    <w:rsid w:val="0089733E"/>
    <w:rsid w:val="00897440"/>
    <w:rsid w:val="00897445"/>
    <w:rsid w:val="00897579"/>
    <w:rsid w:val="008975EE"/>
    <w:rsid w:val="008976A0"/>
    <w:rsid w:val="008978C3"/>
    <w:rsid w:val="008978D2"/>
    <w:rsid w:val="008979E3"/>
    <w:rsid w:val="00897F00"/>
    <w:rsid w:val="008A0013"/>
    <w:rsid w:val="008A00D4"/>
    <w:rsid w:val="008A024B"/>
    <w:rsid w:val="008A0428"/>
    <w:rsid w:val="008A0461"/>
    <w:rsid w:val="008A0472"/>
    <w:rsid w:val="008A0A42"/>
    <w:rsid w:val="008A0D7F"/>
    <w:rsid w:val="008A0E33"/>
    <w:rsid w:val="008A10F5"/>
    <w:rsid w:val="008A121E"/>
    <w:rsid w:val="008A123D"/>
    <w:rsid w:val="008A1328"/>
    <w:rsid w:val="008A1733"/>
    <w:rsid w:val="008A18E3"/>
    <w:rsid w:val="008A1901"/>
    <w:rsid w:val="008A1952"/>
    <w:rsid w:val="008A1A85"/>
    <w:rsid w:val="008A1C43"/>
    <w:rsid w:val="008A1D20"/>
    <w:rsid w:val="008A1EFE"/>
    <w:rsid w:val="008A2027"/>
    <w:rsid w:val="008A2182"/>
    <w:rsid w:val="008A2699"/>
    <w:rsid w:val="008A280E"/>
    <w:rsid w:val="008A2851"/>
    <w:rsid w:val="008A298B"/>
    <w:rsid w:val="008A299A"/>
    <w:rsid w:val="008A2AFF"/>
    <w:rsid w:val="008A2CB0"/>
    <w:rsid w:val="008A2FC5"/>
    <w:rsid w:val="008A31C1"/>
    <w:rsid w:val="008A3262"/>
    <w:rsid w:val="008A33E9"/>
    <w:rsid w:val="008A3505"/>
    <w:rsid w:val="008A35D4"/>
    <w:rsid w:val="008A3715"/>
    <w:rsid w:val="008A3729"/>
    <w:rsid w:val="008A3A5C"/>
    <w:rsid w:val="008A3AB3"/>
    <w:rsid w:val="008A3B2C"/>
    <w:rsid w:val="008A3BBE"/>
    <w:rsid w:val="008A3D9B"/>
    <w:rsid w:val="008A407A"/>
    <w:rsid w:val="008A4121"/>
    <w:rsid w:val="008A413A"/>
    <w:rsid w:val="008A46D0"/>
    <w:rsid w:val="008A47D7"/>
    <w:rsid w:val="008A4923"/>
    <w:rsid w:val="008A4959"/>
    <w:rsid w:val="008A49F6"/>
    <w:rsid w:val="008A4E6D"/>
    <w:rsid w:val="008A5007"/>
    <w:rsid w:val="008A54A7"/>
    <w:rsid w:val="008A5645"/>
    <w:rsid w:val="008A58F6"/>
    <w:rsid w:val="008A5B5C"/>
    <w:rsid w:val="008A5F36"/>
    <w:rsid w:val="008A61C0"/>
    <w:rsid w:val="008A61DA"/>
    <w:rsid w:val="008A651F"/>
    <w:rsid w:val="008A660B"/>
    <w:rsid w:val="008A6793"/>
    <w:rsid w:val="008A681D"/>
    <w:rsid w:val="008A6AFA"/>
    <w:rsid w:val="008A6FE4"/>
    <w:rsid w:val="008A715F"/>
    <w:rsid w:val="008A721B"/>
    <w:rsid w:val="008A7A1D"/>
    <w:rsid w:val="008A7B33"/>
    <w:rsid w:val="008A7B50"/>
    <w:rsid w:val="008A7B94"/>
    <w:rsid w:val="008A7BAB"/>
    <w:rsid w:val="008A7D58"/>
    <w:rsid w:val="008A7D68"/>
    <w:rsid w:val="008A7ED2"/>
    <w:rsid w:val="008B0172"/>
    <w:rsid w:val="008B0184"/>
    <w:rsid w:val="008B01A8"/>
    <w:rsid w:val="008B0285"/>
    <w:rsid w:val="008B02E7"/>
    <w:rsid w:val="008B04B0"/>
    <w:rsid w:val="008B04CD"/>
    <w:rsid w:val="008B0622"/>
    <w:rsid w:val="008B0740"/>
    <w:rsid w:val="008B088D"/>
    <w:rsid w:val="008B08AF"/>
    <w:rsid w:val="008B0A44"/>
    <w:rsid w:val="008B0AAE"/>
    <w:rsid w:val="008B0DCB"/>
    <w:rsid w:val="008B0EB2"/>
    <w:rsid w:val="008B0F53"/>
    <w:rsid w:val="008B0F9E"/>
    <w:rsid w:val="008B0FAC"/>
    <w:rsid w:val="008B1239"/>
    <w:rsid w:val="008B1683"/>
    <w:rsid w:val="008B172C"/>
    <w:rsid w:val="008B172D"/>
    <w:rsid w:val="008B17AA"/>
    <w:rsid w:val="008B1BA9"/>
    <w:rsid w:val="008B1F1F"/>
    <w:rsid w:val="008B223D"/>
    <w:rsid w:val="008B23E6"/>
    <w:rsid w:val="008B26E9"/>
    <w:rsid w:val="008B2700"/>
    <w:rsid w:val="008B2804"/>
    <w:rsid w:val="008B29E3"/>
    <w:rsid w:val="008B2A80"/>
    <w:rsid w:val="008B2BEB"/>
    <w:rsid w:val="008B2D2C"/>
    <w:rsid w:val="008B2FB0"/>
    <w:rsid w:val="008B32D3"/>
    <w:rsid w:val="008B34A3"/>
    <w:rsid w:val="008B3707"/>
    <w:rsid w:val="008B39D9"/>
    <w:rsid w:val="008B3A09"/>
    <w:rsid w:val="008B3C82"/>
    <w:rsid w:val="008B3CBF"/>
    <w:rsid w:val="008B3E38"/>
    <w:rsid w:val="008B3FFC"/>
    <w:rsid w:val="008B400C"/>
    <w:rsid w:val="008B405A"/>
    <w:rsid w:val="008B43B1"/>
    <w:rsid w:val="008B44ED"/>
    <w:rsid w:val="008B4513"/>
    <w:rsid w:val="008B453D"/>
    <w:rsid w:val="008B46DD"/>
    <w:rsid w:val="008B4910"/>
    <w:rsid w:val="008B4A0B"/>
    <w:rsid w:val="008B4DF0"/>
    <w:rsid w:val="008B5060"/>
    <w:rsid w:val="008B530F"/>
    <w:rsid w:val="008B5321"/>
    <w:rsid w:val="008B5370"/>
    <w:rsid w:val="008B5392"/>
    <w:rsid w:val="008B5704"/>
    <w:rsid w:val="008B58A2"/>
    <w:rsid w:val="008B591F"/>
    <w:rsid w:val="008B5923"/>
    <w:rsid w:val="008B5D4A"/>
    <w:rsid w:val="008B5F4F"/>
    <w:rsid w:val="008B6073"/>
    <w:rsid w:val="008B6113"/>
    <w:rsid w:val="008B61F5"/>
    <w:rsid w:val="008B6278"/>
    <w:rsid w:val="008B64D6"/>
    <w:rsid w:val="008B6571"/>
    <w:rsid w:val="008B664F"/>
    <w:rsid w:val="008B67ED"/>
    <w:rsid w:val="008B67EF"/>
    <w:rsid w:val="008B6849"/>
    <w:rsid w:val="008B69BC"/>
    <w:rsid w:val="008B6A49"/>
    <w:rsid w:val="008B6ACB"/>
    <w:rsid w:val="008B6B6E"/>
    <w:rsid w:val="008B6D76"/>
    <w:rsid w:val="008B6F2A"/>
    <w:rsid w:val="008B6FA1"/>
    <w:rsid w:val="008B71BB"/>
    <w:rsid w:val="008B7248"/>
    <w:rsid w:val="008B72C3"/>
    <w:rsid w:val="008B76A4"/>
    <w:rsid w:val="008B787C"/>
    <w:rsid w:val="008B7901"/>
    <w:rsid w:val="008B79F6"/>
    <w:rsid w:val="008C0252"/>
    <w:rsid w:val="008C0589"/>
    <w:rsid w:val="008C05AD"/>
    <w:rsid w:val="008C0758"/>
    <w:rsid w:val="008C0822"/>
    <w:rsid w:val="008C0A06"/>
    <w:rsid w:val="008C0B64"/>
    <w:rsid w:val="008C0BC5"/>
    <w:rsid w:val="008C0C6C"/>
    <w:rsid w:val="008C0D4C"/>
    <w:rsid w:val="008C0D98"/>
    <w:rsid w:val="008C0DDA"/>
    <w:rsid w:val="008C0EE6"/>
    <w:rsid w:val="008C1097"/>
    <w:rsid w:val="008C10AC"/>
    <w:rsid w:val="008C11A1"/>
    <w:rsid w:val="008C1430"/>
    <w:rsid w:val="008C185E"/>
    <w:rsid w:val="008C194A"/>
    <w:rsid w:val="008C1990"/>
    <w:rsid w:val="008C19BD"/>
    <w:rsid w:val="008C1AA1"/>
    <w:rsid w:val="008C1C43"/>
    <w:rsid w:val="008C1F6D"/>
    <w:rsid w:val="008C2059"/>
    <w:rsid w:val="008C2140"/>
    <w:rsid w:val="008C21A0"/>
    <w:rsid w:val="008C232F"/>
    <w:rsid w:val="008C27AF"/>
    <w:rsid w:val="008C27F1"/>
    <w:rsid w:val="008C289A"/>
    <w:rsid w:val="008C289E"/>
    <w:rsid w:val="008C2B40"/>
    <w:rsid w:val="008C2C52"/>
    <w:rsid w:val="008C2E59"/>
    <w:rsid w:val="008C32A3"/>
    <w:rsid w:val="008C32B0"/>
    <w:rsid w:val="008C3502"/>
    <w:rsid w:val="008C353E"/>
    <w:rsid w:val="008C3873"/>
    <w:rsid w:val="008C3A95"/>
    <w:rsid w:val="008C3B65"/>
    <w:rsid w:val="008C3E05"/>
    <w:rsid w:val="008C3E5C"/>
    <w:rsid w:val="008C3F1E"/>
    <w:rsid w:val="008C3F2A"/>
    <w:rsid w:val="008C4240"/>
    <w:rsid w:val="008C452D"/>
    <w:rsid w:val="008C45FD"/>
    <w:rsid w:val="008C46E3"/>
    <w:rsid w:val="008C4858"/>
    <w:rsid w:val="008C4AAC"/>
    <w:rsid w:val="008C4BA1"/>
    <w:rsid w:val="008C4C6C"/>
    <w:rsid w:val="008C4D61"/>
    <w:rsid w:val="008C4FCB"/>
    <w:rsid w:val="008C51DC"/>
    <w:rsid w:val="008C548E"/>
    <w:rsid w:val="008C557C"/>
    <w:rsid w:val="008C5650"/>
    <w:rsid w:val="008C570A"/>
    <w:rsid w:val="008C5736"/>
    <w:rsid w:val="008C57DC"/>
    <w:rsid w:val="008C58A4"/>
    <w:rsid w:val="008C5B13"/>
    <w:rsid w:val="008C5B4F"/>
    <w:rsid w:val="008C5C72"/>
    <w:rsid w:val="008C6401"/>
    <w:rsid w:val="008C6411"/>
    <w:rsid w:val="008C66EA"/>
    <w:rsid w:val="008C6721"/>
    <w:rsid w:val="008C6934"/>
    <w:rsid w:val="008C6DE5"/>
    <w:rsid w:val="008C6E50"/>
    <w:rsid w:val="008C6E5A"/>
    <w:rsid w:val="008C6EEB"/>
    <w:rsid w:val="008C71A1"/>
    <w:rsid w:val="008C724E"/>
    <w:rsid w:val="008C7436"/>
    <w:rsid w:val="008C7449"/>
    <w:rsid w:val="008C75D2"/>
    <w:rsid w:val="008C7641"/>
    <w:rsid w:val="008C7744"/>
    <w:rsid w:val="008C7D1E"/>
    <w:rsid w:val="008C7D4B"/>
    <w:rsid w:val="008C7D8C"/>
    <w:rsid w:val="008C7FB7"/>
    <w:rsid w:val="008C7FD5"/>
    <w:rsid w:val="008D0006"/>
    <w:rsid w:val="008D00F3"/>
    <w:rsid w:val="008D0296"/>
    <w:rsid w:val="008D02CB"/>
    <w:rsid w:val="008D0865"/>
    <w:rsid w:val="008D0929"/>
    <w:rsid w:val="008D094E"/>
    <w:rsid w:val="008D0C76"/>
    <w:rsid w:val="008D0E17"/>
    <w:rsid w:val="008D0ED9"/>
    <w:rsid w:val="008D0FFD"/>
    <w:rsid w:val="008D1175"/>
    <w:rsid w:val="008D117A"/>
    <w:rsid w:val="008D1722"/>
    <w:rsid w:val="008D17C3"/>
    <w:rsid w:val="008D1916"/>
    <w:rsid w:val="008D1A01"/>
    <w:rsid w:val="008D1A47"/>
    <w:rsid w:val="008D1A9F"/>
    <w:rsid w:val="008D1CDB"/>
    <w:rsid w:val="008D1EC0"/>
    <w:rsid w:val="008D1EED"/>
    <w:rsid w:val="008D2036"/>
    <w:rsid w:val="008D2325"/>
    <w:rsid w:val="008D23C8"/>
    <w:rsid w:val="008D246B"/>
    <w:rsid w:val="008D2745"/>
    <w:rsid w:val="008D2790"/>
    <w:rsid w:val="008D281D"/>
    <w:rsid w:val="008D28DC"/>
    <w:rsid w:val="008D294C"/>
    <w:rsid w:val="008D299A"/>
    <w:rsid w:val="008D2A5F"/>
    <w:rsid w:val="008D2AC2"/>
    <w:rsid w:val="008D2C66"/>
    <w:rsid w:val="008D2E66"/>
    <w:rsid w:val="008D2F2C"/>
    <w:rsid w:val="008D30F4"/>
    <w:rsid w:val="008D3345"/>
    <w:rsid w:val="008D337C"/>
    <w:rsid w:val="008D3438"/>
    <w:rsid w:val="008D34C3"/>
    <w:rsid w:val="008D364B"/>
    <w:rsid w:val="008D3666"/>
    <w:rsid w:val="008D3A0E"/>
    <w:rsid w:val="008D3BCB"/>
    <w:rsid w:val="008D3CEA"/>
    <w:rsid w:val="008D3D3D"/>
    <w:rsid w:val="008D3DAB"/>
    <w:rsid w:val="008D3E40"/>
    <w:rsid w:val="008D3F32"/>
    <w:rsid w:val="008D3FB3"/>
    <w:rsid w:val="008D43D9"/>
    <w:rsid w:val="008D44B7"/>
    <w:rsid w:val="008D460F"/>
    <w:rsid w:val="008D4682"/>
    <w:rsid w:val="008D46D0"/>
    <w:rsid w:val="008D4700"/>
    <w:rsid w:val="008D4896"/>
    <w:rsid w:val="008D48C7"/>
    <w:rsid w:val="008D4943"/>
    <w:rsid w:val="008D4950"/>
    <w:rsid w:val="008D4C62"/>
    <w:rsid w:val="008D4D8E"/>
    <w:rsid w:val="008D4E81"/>
    <w:rsid w:val="008D556C"/>
    <w:rsid w:val="008D597C"/>
    <w:rsid w:val="008D5BB8"/>
    <w:rsid w:val="008D5C49"/>
    <w:rsid w:val="008D5F19"/>
    <w:rsid w:val="008D5FE6"/>
    <w:rsid w:val="008D5FFD"/>
    <w:rsid w:val="008D61B7"/>
    <w:rsid w:val="008D62D3"/>
    <w:rsid w:val="008D62E3"/>
    <w:rsid w:val="008D6500"/>
    <w:rsid w:val="008D67A5"/>
    <w:rsid w:val="008D6A21"/>
    <w:rsid w:val="008D6AC5"/>
    <w:rsid w:val="008D6BFC"/>
    <w:rsid w:val="008D6C26"/>
    <w:rsid w:val="008D6F28"/>
    <w:rsid w:val="008D7209"/>
    <w:rsid w:val="008D7217"/>
    <w:rsid w:val="008D7416"/>
    <w:rsid w:val="008D7484"/>
    <w:rsid w:val="008D7602"/>
    <w:rsid w:val="008D76CD"/>
    <w:rsid w:val="008D78BF"/>
    <w:rsid w:val="008D795E"/>
    <w:rsid w:val="008D7CB7"/>
    <w:rsid w:val="008D7CDC"/>
    <w:rsid w:val="008D7DB2"/>
    <w:rsid w:val="008E004C"/>
    <w:rsid w:val="008E0394"/>
    <w:rsid w:val="008E03FC"/>
    <w:rsid w:val="008E0561"/>
    <w:rsid w:val="008E06C3"/>
    <w:rsid w:val="008E093C"/>
    <w:rsid w:val="008E098F"/>
    <w:rsid w:val="008E0AD5"/>
    <w:rsid w:val="008E0C9F"/>
    <w:rsid w:val="008E0CA3"/>
    <w:rsid w:val="008E0D16"/>
    <w:rsid w:val="008E0DAF"/>
    <w:rsid w:val="008E0E1E"/>
    <w:rsid w:val="008E0F68"/>
    <w:rsid w:val="008E0FAE"/>
    <w:rsid w:val="008E106F"/>
    <w:rsid w:val="008E1210"/>
    <w:rsid w:val="008E13C4"/>
    <w:rsid w:val="008E149E"/>
    <w:rsid w:val="008E1CA0"/>
    <w:rsid w:val="008E1F78"/>
    <w:rsid w:val="008E22E9"/>
    <w:rsid w:val="008E24BD"/>
    <w:rsid w:val="008E2774"/>
    <w:rsid w:val="008E280E"/>
    <w:rsid w:val="008E28A9"/>
    <w:rsid w:val="008E2B32"/>
    <w:rsid w:val="008E2BEF"/>
    <w:rsid w:val="008E2DD0"/>
    <w:rsid w:val="008E2FA6"/>
    <w:rsid w:val="008E305A"/>
    <w:rsid w:val="008E31CE"/>
    <w:rsid w:val="008E359E"/>
    <w:rsid w:val="008E35A7"/>
    <w:rsid w:val="008E3883"/>
    <w:rsid w:val="008E3A51"/>
    <w:rsid w:val="008E3CD8"/>
    <w:rsid w:val="008E3F18"/>
    <w:rsid w:val="008E4069"/>
    <w:rsid w:val="008E434F"/>
    <w:rsid w:val="008E453D"/>
    <w:rsid w:val="008E457C"/>
    <w:rsid w:val="008E4795"/>
    <w:rsid w:val="008E4975"/>
    <w:rsid w:val="008E4B2C"/>
    <w:rsid w:val="008E4C27"/>
    <w:rsid w:val="008E4CE2"/>
    <w:rsid w:val="008E4CEF"/>
    <w:rsid w:val="008E4D71"/>
    <w:rsid w:val="008E4F40"/>
    <w:rsid w:val="008E4F75"/>
    <w:rsid w:val="008E501F"/>
    <w:rsid w:val="008E5172"/>
    <w:rsid w:val="008E51C3"/>
    <w:rsid w:val="008E5404"/>
    <w:rsid w:val="008E594F"/>
    <w:rsid w:val="008E59EA"/>
    <w:rsid w:val="008E5A69"/>
    <w:rsid w:val="008E5AA0"/>
    <w:rsid w:val="008E5B5D"/>
    <w:rsid w:val="008E5BC5"/>
    <w:rsid w:val="008E5F41"/>
    <w:rsid w:val="008E5F82"/>
    <w:rsid w:val="008E602B"/>
    <w:rsid w:val="008E615E"/>
    <w:rsid w:val="008E619B"/>
    <w:rsid w:val="008E61D8"/>
    <w:rsid w:val="008E63FD"/>
    <w:rsid w:val="008E6CAC"/>
    <w:rsid w:val="008E6FB6"/>
    <w:rsid w:val="008E6FD7"/>
    <w:rsid w:val="008E703B"/>
    <w:rsid w:val="008E70C5"/>
    <w:rsid w:val="008E71BC"/>
    <w:rsid w:val="008E71D1"/>
    <w:rsid w:val="008E7314"/>
    <w:rsid w:val="008E757C"/>
    <w:rsid w:val="008E75A7"/>
    <w:rsid w:val="008E78FE"/>
    <w:rsid w:val="008E7EAA"/>
    <w:rsid w:val="008F031A"/>
    <w:rsid w:val="008F049D"/>
    <w:rsid w:val="008F075F"/>
    <w:rsid w:val="008F08EB"/>
    <w:rsid w:val="008F0B12"/>
    <w:rsid w:val="008F0D3A"/>
    <w:rsid w:val="008F0DBD"/>
    <w:rsid w:val="008F0E54"/>
    <w:rsid w:val="008F0F45"/>
    <w:rsid w:val="008F0F50"/>
    <w:rsid w:val="008F1136"/>
    <w:rsid w:val="008F1187"/>
    <w:rsid w:val="008F191F"/>
    <w:rsid w:val="008F1D2F"/>
    <w:rsid w:val="008F1FCD"/>
    <w:rsid w:val="008F2119"/>
    <w:rsid w:val="008F213C"/>
    <w:rsid w:val="008F22EA"/>
    <w:rsid w:val="008F2317"/>
    <w:rsid w:val="008F2345"/>
    <w:rsid w:val="008F245A"/>
    <w:rsid w:val="008F2581"/>
    <w:rsid w:val="008F2A38"/>
    <w:rsid w:val="008F2A49"/>
    <w:rsid w:val="008F2A67"/>
    <w:rsid w:val="008F2A76"/>
    <w:rsid w:val="008F2C72"/>
    <w:rsid w:val="008F2E5E"/>
    <w:rsid w:val="008F2FA2"/>
    <w:rsid w:val="008F30D5"/>
    <w:rsid w:val="008F314D"/>
    <w:rsid w:val="008F3349"/>
    <w:rsid w:val="008F36C5"/>
    <w:rsid w:val="008F39C2"/>
    <w:rsid w:val="008F3B7D"/>
    <w:rsid w:val="008F3B7E"/>
    <w:rsid w:val="008F3D39"/>
    <w:rsid w:val="008F3E3A"/>
    <w:rsid w:val="008F3EA2"/>
    <w:rsid w:val="008F412B"/>
    <w:rsid w:val="008F43A5"/>
    <w:rsid w:val="008F4466"/>
    <w:rsid w:val="008F4499"/>
    <w:rsid w:val="008F4B77"/>
    <w:rsid w:val="008F4C28"/>
    <w:rsid w:val="008F4C58"/>
    <w:rsid w:val="008F4D66"/>
    <w:rsid w:val="008F50D3"/>
    <w:rsid w:val="008F50D9"/>
    <w:rsid w:val="008F514F"/>
    <w:rsid w:val="008F516B"/>
    <w:rsid w:val="008F5394"/>
    <w:rsid w:val="008F541E"/>
    <w:rsid w:val="008F56B6"/>
    <w:rsid w:val="008F58AF"/>
    <w:rsid w:val="008F599F"/>
    <w:rsid w:val="008F5AB0"/>
    <w:rsid w:val="008F5DB1"/>
    <w:rsid w:val="008F5E1C"/>
    <w:rsid w:val="008F5ED0"/>
    <w:rsid w:val="008F60D5"/>
    <w:rsid w:val="008F611C"/>
    <w:rsid w:val="008F61AC"/>
    <w:rsid w:val="008F6268"/>
    <w:rsid w:val="008F64E8"/>
    <w:rsid w:val="008F65D2"/>
    <w:rsid w:val="008F68BF"/>
    <w:rsid w:val="008F6B87"/>
    <w:rsid w:val="008F6BBD"/>
    <w:rsid w:val="008F6C7D"/>
    <w:rsid w:val="008F6D28"/>
    <w:rsid w:val="008F6D4F"/>
    <w:rsid w:val="008F6E7C"/>
    <w:rsid w:val="008F6F5D"/>
    <w:rsid w:val="008F74C0"/>
    <w:rsid w:val="008F767D"/>
    <w:rsid w:val="008F784F"/>
    <w:rsid w:val="008F7A9A"/>
    <w:rsid w:val="008F7BDA"/>
    <w:rsid w:val="008F7C32"/>
    <w:rsid w:val="008F7C3C"/>
    <w:rsid w:val="008F7D6E"/>
    <w:rsid w:val="008F7F4B"/>
    <w:rsid w:val="00900005"/>
    <w:rsid w:val="0090018B"/>
    <w:rsid w:val="0090074B"/>
    <w:rsid w:val="0090074D"/>
    <w:rsid w:val="00900D14"/>
    <w:rsid w:val="00900F1B"/>
    <w:rsid w:val="00901512"/>
    <w:rsid w:val="00901726"/>
    <w:rsid w:val="00901ED1"/>
    <w:rsid w:val="00901EED"/>
    <w:rsid w:val="00902040"/>
    <w:rsid w:val="00902123"/>
    <w:rsid w:val="00902215"/>
    <w:rsid w:val="0090237F"/>
    <w:rsid w:val="00902485"/>
    <w:rsid w:val="009025DC"/>
    <w:rsid w:val="0090265A"/>
    <w:rsid w:val="0090273F"/>
    <w:rsid w:val="009027A3"/>
    <w:rsid w:val="00902940"/>
    <w:rsid w:val="00902B43"/>
    <w:rsid w:val="00902C7C"/>
    <w:rsid w:val="00902D09"/>
    <w:rsid w:val="00902E17"/>
    <w:rsid w:val="00903265"/>
    <w:rsid w:val="009035B4"/>
    <w:rsid w:val="009035D2"/>
    <w:rsid w:val="0090367B"/>
    <w:rsid w:val="009036FB"/>
    <w:rsid w:val="0090380C"/>
    <w:rsid w:val="00903872"/>
    <w:rsid w:val="009038DC"/>
    <w:rsid w:val="00903C5C"/>
    <w:rsid w:val="00903D3D"/>
    <w:rsid w:val="00903DD5"/>
    <w:rsid w:val="009041A4"/>
    <w:rsid w:val="0090423D"/>
    <w:rsid w:val="00904313"/>
    <w:rsid w:val="00904316"/>
    <w:rsid w:val="00904387"/>
    <w:rsid w:val="009043C0"/>
    <w:rsid w:val="00904738"/>
    <w:rsid w:val="0090497D"/>
    <w:rsid w:val="00904B16"/>
    <w:rsid w:val="00904F07"/>
    <w:rsid w:val="00904FAC"/>
    <w:rsid w:val="00905218"/>
    <w:rsid w:val="009053FC"/>
    <w:rsid w:val="00905573"/>
    <w:rsid w:val="00905576"/>
    <w:rsid w:val="0090557B"/>
    <w:rsid w:val="009056D3"/>
    <w:rsid w:val="0090599C"/>
    <w:rsid w:val="009059A5"/>
    <w:rsid w:val="00905C06"/>
    <w:rsid w:val="00905C10"/>
    <w:rsid w:val="00905C34"/>
    <w:rsid w:val="00905C4D"/>
    <w:rsid w:val="00905F63"/>
    <w:rsid w:val="00906218"/>
    <w:rsid w:val="009065AE"/>
    <w:rsid w:val="00906863"/>
    <w:rsid w:val="0090697A"/>
    <w:rsid w:val="00906A24"/>
    <w:rsid w:val="00906B10"/>
    <w:rsid w:val="00906F37"/>
    <w:rsid w:val="00907156"/>
    <w:rsid w:val="00907297"/>
    <w:rsid w:val="009074B6"/>
    <w:rsid w:val="009075EF"/>
    <w:rsid w:val="00907873"/>
    <w:rsid w:val="00907890"/>
    <w:rsid w:val="00907C75"/>
    <w:rsid w:val="00907C8F"/>
    <w:rsid w:val="00907D8A"/>
    <w:rsid w:val="00907F15"/>
    <w:rsid w:val="00907FC4"/>
    <w:rsid w:val="00910210"/>
    <w:rsid w:val="0091031E"/>
    <w:rsid w:val="00910332"/>
    <w:rsid w:val="0091033D"/>
    <w:rsid w:val="009104B5"/>
    <w:rsid w:val="009106F0"/>
    <w:rsid w:val="00910A29"/>
    <w:rsid w:val="00910EB8"/>
    <w:rsid w:val="00910FDF"/>
    <w:rsid w:val="009113F3"/>
    <w:rsid w:val="00911420"/>
    <w:rsid w:val="00911496"/>
    <w:rsid w:val="0091156B"/>
    <w:rsid w:val="009119CF"/>
    <w:rsid w:val="00911AB3"/>
    <w:rsid w:val="00911CFE"/>
    <w:rsid w:val="00911DF0"/>
    <w:rsid w:val="00911E12"/>
    <w:rsid w:val="0091208D"/>
    <w:rsid w:val="009120D0"/>
    <w:rsid w:val="00912523"/>
    <w:rsid w:val="0091259E"/>
    <w:rsid w:val="00912674"/>
    <w:rsid w:val="00912745"/>
    <w:rsid w:val="0091283C"/>
    <w:rsid w:val="00912B04"/>
    <w:rsid w:val="00912C0F"/>
    <w:rsid w:val="00912E77"/>
    <w:rsid w:val="00912F3A"/>
    <w:rsid w:val="00912FA1"/>
    <w:rsid w:val="00912FDB"/>
    <w:rsid w:val="00913186"/>
    <w:rsid w:val="0091329E"/>
    <w:rsid w:val="0091339C"/>
    <w:rsid w:val="009133B2"/>
    <w:rsid w:val="00913458"/>
    <w:rsid w:val="00913516"/>
    <w:rsid w:val="00913567"/>
    <w:rsid w:val="0091370F"/>
    <w:rsid w:val="00913790"/>
    <w:rsid w:val="0091388A"/>
    <w:rsid w:val="009138E2"/>
    <w:rsid w:val="0091391E"/>
    <w:rsid w:val="00913B74"/>
    <w:rsid w:val="00913BC5"/>
    <w:rsid w:val="00913DC4"/>
    <w:rsid w:val="009140B5"/>
    <w:rsid w:val="00914195"/>
    <w:rsid w:val="0091422B"/>
    <w:rsid w:val="009143EA"/>
    <w:rsid w:val="00914535"/>
    <w:rsid w:val="0091458C"/>
    <w:rsid w:val="0091464A"/>
    <w:rsid w:val="009149F8"/>
    <w:rsid w:val="00914AA7"/>
    <w:rsid w:val="00914B6B"/>
    <w:rsid w:val="00914E86"/>
    <w:rsid w:val="00915019"/>
    <w:rsid w:val="00915176"/>
    <w:rsid w:val="009152DA"/>
    <w:rsid w:val="0091537B"/>
    <w:rsid w:val="009156C3"/>
    <w:rsid w:val="009156FE"/>
    <w:rsid w:val="00915CF3"/>
    <w:rsid w:val="00915E74"/>
    <w:rsid w:val="00915EF2"/>
    <w:rsid w:val="009160FD"/>
    <w:rsid w:val="00916193"/>
    <w:rsid w:val="009164B4"/>
    <w:rsid w:val="00916829"/>
    <w:rsid w:val="00916971"/>
    <w:rsid w:val="00916A98"/>
    <w:rsid w:val="00916B99"/>
    <w:rsid w:val="00916D7D"/>
    <w:rsid w:val="00917059"/>
    <w:rsid w:val="00917338"/>
    <w:rsid w:val="009176B2"/>
    <w:rsid w:val="00917717"/>
    <w:rsid w:val="00917743"/>
    <w:rsid w:val="00917997"/>
    <w:rsid w:val="00917A7B"/>
    <w:rsid w:val="00917B34"/>
    <w:rsid w:val="009201FA"/>
    <w:rsid w:val="0092030C"/>
    <w:rsid w:val="00920406"/>
    <w:rsid w:val="009206C6"/>
    <w:rsid w:val="00920ADB"/>
    <w:rsid w:val="00920B48"/>
    <w:rsid w:val="00921006"/>
    <w:rsid w:val="00921234"/>
    <w:rsid w:val="00921302"/>
    <w:rsid w:val="00921321"/>
    <w:rsid w:val="0092186A"/>
    <w:rsid w:val="00921A80"/>
    <w:rsid w:val="00921AB4"/>
    <w:rsid w:val="00921C1F"/>
    <w:rsid w:val="0092203B"/>
    <w:rsid w:val="009223B5"/>
    <w:rsid w:val="00922593"/>
    <w:rsid w:val="0092277D"/>
    <w:rsid w:val="00922BD7"/>
    <w:rsid w:val="00922D2A"/>
    <w:rsid w:val="00922F9D"/>
    <w:rsid w:val="0092316C"/>
    <w:rsid w:val="00923178"/>
    <w:rsid w:val="009234C5"/>
    <w:rsid w:val="009234C6"/>
    <w:rsid w:val="009234C7"/>
    <w:rsid w:val="009237B3"/>
    <w:rsid w:val="00923814"/>
    <w:rsid w:val="0092385E"/>
    <w:rsid w:val="00923A37"/>
    <w:rsid w:val="00923BC4"/>
    <w:rsid w:val="00923C45"/>
    <w:rsid w:val="00923EB4"/>
    <w:rsid w:val="0092406B"/>
    <w:rsid w:val="00924216"/>
    <w:rsid w:val="0092450A"/>
    <w:rsid w:val="00924885"/>
    <w:rsid w:val="00924A68"/>
    <w:rsid w:val="00924B68"/>
    <w:rsid w:val="00924D38"/>
    <w:rsid w:val="00924DE8"/>
    <w:rsid w:val="00925204"/>
    <w:rsid w:val="00925609"/>
    <w:rsid w:val="0092567B"/>
    <w:rsid w:val="009259C2"/>
    <w:rsid w:val="00925BDB"/>
    <w:rsid w:val="00925CC1"/>
    <w:rsid w:val="00925F55"/>
    <w:rsid w:val="00925FD7"/>
    <w:rsid w:val="00925FFF"/>
    <w:rsid w:val="009260C9"/>
    <w:rsid w:val="0092617B"/>
    <w:rsid w:val="00926824"/>
    <w:rsid w:val="00926968"/>
    <w:rsid w:val="00926AD6"/>
    <w:rsid w:val="00926B60"/>
    <w:rsid w:val="00926DD8"/>
    <w:rsid w:val="009272F4"/>
    <w:rsid w:val="00927384"/>
    <w:rsid w:val="0092738F"/>
    <w:rsid w:val="00927420"/>
    <w:rsid w:val="009274A7"/>
    <w:rsid w:val="00927601"/>
    <w:rsid w:val="00927616"/>
    <w:rsid w:val="00927C34"/>
    <w:rsid w:val="00927C51"/>
    <w:rsid w:val="00927FDF"/>
    <w:rsid w:val="00930002"/>
    <w:rsid w:val="009301B6"/>
    <w:rsid w:val="00930348"/>
    <w:rsid w:val="0093053C"/>
    <w:rsid w:val="00930622"/>
    <w:rsid w:val="009309FE"/>
    <w:rsid w:val="00930ADA"/>
    <w:rsid w:val="00930C2E"/>
    <w:rsid w:val="00930D01"/>
    <w:rsid w:val="009316E6"/>
    <w:rsid w:val="00931715"/>
    <w:rsid w:val="0093184E"/>
    <w:rsid w:val="00931D05"/>
    <w:rsid w:val="00931E2F"/>
    <w:rsid w:val="00931F20"/>
    <w:rsid w:val="009325FF"/>
    <w:rsid w:val="00932604"/>
    <w:rsid w:val="00932A37"/>
    <w:rsid w:val="00932B1D"/>
    <w:rsid w:val="00932C32"/>
    <w:rsid w:val="00932C4E"/>
    <w:rsid w:val="00932CCA"/>
    <w:rsid w:val="00932D12"/>
    <w:rsid w:val="00932D77"/>
    <w:rsid w:val="00932FDB"/>
    <w:rsid w:val="0093344D"/>
    <w:rsid w:val="009335C4"/>
    <w:rsid w:val="0093388A"/>
    <w:rsid w:val="00933943"/>
    <w:rsid w:val="00933C63"/>
    <w:rsid w:val="00933D62"/>
    <w:rsid w:val="00933FA8"/>
    <w:rsid w:val="009340C5"/>
    <w:rsid w:val="00934191"/>
    <w:rsid w:val="0093419F"/>
    <w:rsid w:val="009341A5"/>
    <w:rsid w:val="009342C6"/>
    <w:rsid w:val="0093434B"/>
    <w:rsid w:val="00934445"/>
    <w:rsid w:val="009345B1"/>
    <w:rsid w:val="009345BA"/>
    <w:rsid w:val="009346AD"/>
    <w:rsid w:val="009348A1"/>
    <w:rsid w:val="00934913"/>
    <w:rsid w:val="00934BAF"/>
    <w:rsid w:val="00935368"/>
    <w:rsid w:val="00935603"/>
    <w:rsid w:val="0093584F"/>
    <w:rsid w:val="009359C5"/>
    <w:rsid w:val="009359CB"/>
    <w:rsid w:val="00935B5C"/>
    <w:rsid w:val="00935C04"/>
    <w:rsid w:val="00935C60"/>
    <w:rsid w:val="00935D31"/>
    <w:rsid w:val="00935E26"/>
    <w:rsid w:val="00935FDC"/>
    <w:rsid w:val="00935FDF"/>
    <w:rsid w:val="009364EC"/>
    <w:rsid w:val="00936A17"/>
    <w:rsid w:val="00936B21"/>
    <w:rsid w:val="00936CFD"/>
    <w:rsid w:val="00937016"/>
    <w:rsid w:val="009371BB"/>
    <w:rsid w:val="009372A7"/>
    <w:rsid w:val="00937343"/>
    <w:rsid w:val="009374D5"/>
    <w:rsid w:val="00937635"/>
    <w:rsid w:val="00937724"/>
    <w:rsid w:val="00937817"/>
    <w:rsid w:val="0093785B"/>
    <w:rsid w:val="00937860"/>
    <w:rsid w:val="0093793F"/>
    <w:rsid w:val="00937941"/>
    <w:rsid w:val="00937EDE"/>
    <w:rsid w:val="00937EF9"/>
    <w:rsid w:val="009400A3"/>
    <w:rsid w:val="009400FE"/>
    <w:rsid w:val="00940340"/>
    <w:rsid w:val="009406E6"/>
    <w:rsid w:val="009407A5"/>
    <w:rsid w:val="0094093D"/>
    <w:rsid w:val="00940F9B"/>
    <w:rsid w:val="00941042"/>
    <w:rsid w:val="0094104F"/>
    <w:rsid w:val="009410C0"/>
    <w:rsid w:val="009411C1"/>
    <w:rsid w:val="0094160C"/>
    <w:rsid w:val="0094168D"/>
    <w:rsid w:val="0094169B"/>
    <w:rsid w:val="0094170F"/>
    <w:rsid w:val="00941723"/>
    <w:rsid w:val="009417F0"/>
    <w:rsid w:val="009418C8"/>
    <w:rsid w:val="00941921"/>
    <w:rsid w:val="00941B34"/>
    <w:rsid w:val="0094217C"/>
    <w:rsid w:val="00942455"/>
    <w:rsid w:val="009426EB"/>
    <w:rsid w:val="00942747"/>
    <w:rsid w:val="0094296B"/>
    <w:rsid w:val="00942BAD"/>
    <w:rsid w:val="00942C3D"/>
    <w:rsid w:val="00942C9B"/>
    <w:rsid w:val="00942D59"/>
    <w:rsid w:val="00942F26"/>
    <w:rsid w:val="00943371"/>
    <w:rsid w:val="00943A38"/>
    <w:rsid w:val="00943B2F"/>
    <w:rsid w:val="00943BC2"/>
    <w:rsid w:val="00943C0B"/>
    <w:rsid w:val="00944136"/>
    <w:rsid w:val="009441DD"/>
    <w:rsid w:val="0094427C"/>
    <w:rsid w:val="00944731"/>
    <w:rsid w:val="00944801"/>
    <w:rsid w:val="00944B5E"/>
    <w:rsid w:val="00944E93"/>
    <w:rsid w:val="00944F04"/>
    <w:rsid w:val="009450B4"/>
    <w:rsid w:val="00945185"/>
    <w:rsid w:val="009454A7"/>
    <w:rsid w:val="0094580F"/>
    <w:rsid w:val="0094587D"/>
    <w:rsid w:val="0094589A"/>
    <w:rsid w:val="009458F0"/>
    <w:rsid w:val="00945FAC"/>
    <w:rsid w:val="00946022"/>
    <w:rsid w:val="0094603B"/>
    <w:rsid w:val="00946082"/>
    <w:rsid w:val="009461CC"/>
    <w:rsid w:val="009462A4"/>
    <w:rsid w:val="00946522"/>
    <w:rsid w:val="009465A5"/>
    <w:rsid w:val="009466D3"/>
    <w:rsid w:val="009466DD"/>
    <w:rsid w:val="00946818"/>
    <w:rsid w:val="00946A34"/>
    <w:rsid w:val="00946BB4"/>
    <w:rsid w:val="00946E85"/>
    <w:rsid w:val="00947203"/>
    <w:rsid w:val="00947237"/>
    <w:rsid w:val="00947254"/>
    <w:rsid w:val="00947506"/>
    <w:rsid w:val="00947507"/>
    <w:rsid w:val="00947669"/>
    <w:rsid w:val="009477A6"/>
    <w:rsid w:val="0094790A"/>
    <w:rsid w:val="00947AA1"/>
    <w:rsid w:val="00947C5C"/>
    <w:rsid w:val="00947CAF"/>
    <w:rsid w:val="00947D4F"/>
    <w:rsid w:val="00947DE7"/>
    <w:rsid w:val="00947E92"/>
    <w:rsid w:val="00947F60"/>
    <w:rsid w:val="00950050"/>
    <w:rsid w:val="009503A4"/>
    <w:rsid w:val="00950798"/>
    <w:rsid w:val="009507AE"/>
    <w:rsid w:val="009507D8"/>
    <w:rsid w:val="00950828"/>
    <w:rsid w:val="009508C9"/>
    <w:rsid w:val="00950981"/>
    <w:rsid w:val="009509F4"/>
    <w:rsid w:val="00950E4D"/>
    <w:rsid w:val="00951077"/>
    <w:rsid w:val="009511E0"/>
    <w:rsid w:val="009511F1"/>
    <w:rsid w:val="009512A9"/>
    <w:rsid w:val="00951763"/>
    <w:rsid w:val="0095179B"/>
    <w:rsid w:val="0095180A"/>
    <w:rsid w:val="0095184D"/>
    <w:rsid w:val="00951990"/>
    <w:rsid w:val="00951A02"/>
    <w:rsid w:val="00951B58"/>
    <w:rsid w:val="00951BAF"/>
    <w:rsid w:val="00951C7B"/>
    <w:rsid w:val="00952058"/>
    <w:rsid w:val="00952285"/>
    <w:rsid w:val="00952392"/>
    <w:rsid w:val="00952488"/>
    <w:rsid w:val="0095267B"/>
    <w:rsid w:val="0095294E"/>
    <w:rsid w:val="00952CA6"/>
    <w:rsid w:val="00952FCA"/>
    <w:rsid w:val="0095320C"/>
    <w:rsid w:val="00953251"/>
    <w:rsid w:val="009534A4"/>
    <w:rsid w:val="00953831"/>
    <w:rsid w:val="00953924"/>
    <w:rsid w:val="0095399D"/>
    <w:rsid w:val="009539DD"/>
    <w:rsid w:val="00953A0D"/>
    <w:rsid w:val="00953EA2"/>
    <w:rsid w:val="00953F0D"/>
    <w:rsid w:val="00953F0F"/>
    <w:rsid w:val="0095400B"/>
    <w:rsid w:val="009540AE"/>
    <w:rsid w:val="00954320"/>
    <w:rsid w:val="009545DA"/>
    <w:rsid w:val="00954931"/>
    <w:rsid w:val="00954B58"/>
    <w:rsid w:val="00954BD8"/>
    <w:rsid w:val="00954BE5"/>
    <w:rsid w:val="00954ED1"/>
    <w:rsid w:val="00954F28"/>
    <w:rsid w:val="00955217"/>
    <w:rsid w:val="00955280"/>
    <w:rsid w:val="00955461"/>
    <w:rsid w:val="00955620"/>
    <w:rsid w:val="00955862"/>
    <w:rsid w:val="009558E7"/>
    <w:rsid w:val="009559B2"/>
    <w:rsid w:val="00955B90"/>
    <w:rsid w:val="00955D1C"/>
    <w:rsid w:val="00955D4B"/>
    <w:rsid w:val="00955DC7"/>
    <w:rsid w:val="00955E12"/>
    <w:rsid w:val="00955FC6"/>
    <w:rsid w:val="00955FCE"/>
    <w:rsid w:val="00956418"/>
    <w:rsid w:val="00956755"/>
    <w:rsid w:val="00956C9F"/>
    <w:rsid w:val="00957482"/>
    <w:rsid w:val="00957552"/>
    <w:rsid w:val="009576EA"/>
    <w:rsid w:val="00957834"/>
    <w:rsid w:val="00957D42"/>
    <w:rsid w:val="00957EA9"/>
    <w:rsid w:val="00957ED0"/>
    <w:rsid w:val="00957EF5"/>
    <w:rsid w:val="00957FEC"/>
    <w:rsid w:val="0096016F"/>
    <w:rsid w:val="009602DD"/>
    <w:rsid w:val="00960311"/>
    <w:rsid w:val="00960414"/>
    <w:rsid w:val="0096057D"/>
    <w:rsid w:val="00960580"/>
    <w:rsid w:val="0096064B"/>
    <w:rsid w:val="0096087D"/>
    <w:rsid w:val="00960945"/>
    <w:rsid w:val="00960955"/>
    <w:rsid w:val="00960C83"/>
    <w:rsid w:val="00960EC0"/>
    <w:rsid w:val="00961217"/>
    <w:rsid w:val="009613BA"/>
    <w:rsid w:val="00961569"/>
    <w:rsid w:val="009617C1"/>
    <w:rsid w:val="009617C2"/>
    <w:rsid w:val="00961925"/>
    <w:rsid w:val="00961AF4"/>
    <w:rsid w:val="00961B54"/>
    <w:rsid w:val="00961C1D"/>
    <w:rsid w:val="00961DE6"/>
    <w:rsid w:val="00961ECD"/>
    <w:rsid w:val="00961EF7"/>
    <w:rsid w:val="00962051"/>
    <w:rsid w:val="009621AD"/>
    <w:rsid w:val="00962328"/>
    <w:rsid w:val="00962345"/>
    <w:rsid w:val="0096237F"/>
    <w:rsid w:val="0096251F"/>
    <w:rsid w:val="009625A4"/>
    <w:rsid w:val="009626F2"/>
    <w:rsid w:val="009629C6"/>
    <w:rsid w:val="00962E48"/>
    <w:rsid w:val="00962F0A"/>
    <w:rsid w:val="00963013"/>
    <w:rsid w:val="009630CB"/>
    <w:rsid w:val="00963123"/>
    <w:rsid w:val="00963334"/>
    <w:rsid w:val="009633A9"/>
    <w:rsid w:val="00963413"/>
    <w:rsid w:val="00963440"/>
    <w:rsid w:val="00963781"/>
    <w:rsid w:val="00963962"/>
    <w:rsid w:val="00963A54"/>
    <w:rsid w:val="00963E6E"/>
    <w:rsid w:val="00964009"/>
    <w:rsid w:val="00964330"/>
    <w:rsid w:val="00964ADB"/>
    <w:rsid w:val="00964AEE"/>
    <w:rsid w:val="00964D71"/>
    <w:rsid w:val="00964DD4"/>
    <w:rsid w:val="00964E97"/>
    <w:rsid w:val="00964F08"/>
    <w:rsid w:val="00965399"/>
    <w:rsid w:val="009653C1"/>
    <w:rsid w:val="009656E6"/>
    <w:rsid w:val="009658BD"/>
    <w:rsid w:val="0096593A"/>
    <w:rsid w:val="00965989"/>
    <w:rsid w:val="00965B8C"/>
    <w:rsid w:val="00965BCB"/>
    <w:rsid w:val="00965D37"/>
    <w:rsid w:val="00965FFD"/>
    <w:rsid w:val="00966566"/>
    <w:rsid w:val="009665BE"/>
    <w:rsid w:val="009668AA"/>
    <w:rsid w:val="00966AFD"/>
    <w:rsid w:val="00966CC4"/>
    <w:rsid w:val="00966CC6"/>
    <w:rsid w:val="00966CF9"/>
    <w:rsid w:val="00966DD7"/>
    <w:rsid w:val="00966E4A"/>
    <w:rsid w:val="00967022"/>
    <w:rsid w:val="00967138"/>
    <w:rsid w:val="00967738"/>
    <w:rsid w:val="00967781"/>
    <w:rsid w:val="009679AA"/>
    <w:rsid w:val="00967A0D"/>
    <w:rsid w:val="00967AFD"/>
    <w:rsid w:val="00967B03"/>
    <w:rsid w:val="00967B8A"/>
    <w:rsid w:val="00967C1F"/>
    <w:rsid w:val="00967D04"/>
    <w:rsid w:val="00967E64"/>
    <w:rsid w:val="00970005"/>
    <w:rsid w:val="009700E6"/>
    <w:rsid w:val="0097010E"/>
    <w:rsid w:val="00970253"/>
    <w:rsid w:val="009703DD"/>
    <w:rsid w:val="0097048F"/>
    <w:rsid w:val="009705EC"/>
    <w:rsid w:val="00970659"/>
    <w:rsid w:val="009706C3"/>
    <w:rsid w:val="0097071C"/>
    <w:rsid w:val="009707AE"/>
    <w:rsid w:val="00970905"/>
    <w:rsid w:val="00970A12"/>
    <w:rsid w:val="00970AE1"/>
    <w:rsid w:val="00970D2E"/>
    <w:rsid w:val="00970D30"/>
    <w:rsid w:val="009713D0"/>
    <w:rsid w:val="00971516"/>
    <w:rsid w:val="009717D9"/>
    <w:rsid w:val="00971AD4"/>
    <w:rsid w:val="00971D3D"/>
    <w:rsid w:val="00971DD9"/>
    <w:rsid w:val="00971E13"/>
    <w:rsid w:val="00972069"/>
    <w:rsid w:val="00972079"/>
    <w:rsid w:val="00972095"/>
    <w:rsid w:val="009720F8"/>
    <w:rsid w:val="009721BC"/>
    <w:rsid w:val="0097257A"/>
    <w:rsid w:val="009725DE"/>
    <w:rsid w:val="00972C45"/>
    <w:rsid w:val="00972E8D"/>
    <w:rsid w:val="00972EF0"/>
    <w:rsid w:val="0097307C"/>
    <w:rsid w:val="00973288"/>
    <w:rsid w:val="0097335F"/>
    <w:rsid w:val="009733E5"/>
    <w:rsid w:val="009733F9"/>
    <w:rsid w:val="009734FF"/>
    <w:rsid w:val="00973758"/>
    <w:rsid w:val="00973792"/>
    <w:rsid w:val="00973B79"/>
    <w:rsid w:val="00973D9E"/>
    <w:rsid w:val="00973FDF"/>
    <w:rsid w:val="009740C3"/>
    <w:rsid w:val="0097419B"/>
    <w:rsid w:val="009741DF"/>
    <w:rsid w:val="0097468F"/>
    <w:rsid w:val="00974704"/>
    <w:rsid w:val="00974A15"/>
    <w:rsid w:val="00974A27"/>
    <w:rsid w:val="00974A2E"/>
    <w:rsid w:val="00974C93"/>
    <w:rsid w:val="00974DCF"/>
    <w:rsid w:val="00974E81"/>
    <w:rsid w:val="0097511C"/>
    <w:rsid w:val="009752D2"/>
    <w:rsid w:val="0097530F"/>
    <w:rsid w:val="00975332"/>
    <w:rsid w:val="009754A3"/>
    <w:rsid w:val="0097572D"/>
    <w:rsid w:val="00975841"/>
    <w:rsid w:val="00975872"/>
    <w:rsid w:val="009758A5"/>
    <w:rsid w:val="00975CC5"/>
    <w:rsid w:val="00975F0F"/>
    <w:rsid w:val="00976044"/>
    <w:rsid w:val="009761A3"/>
    <w:rsid w:val="009761C9"/>
    <w:rsid w:val="0097628A"/>
    <w:rsid w:val="0097628E"/>
    <w:rsid w:val="009764D5"/>
    <w:rsid w:val="00976531"/>
    <w:rsid w:val="009768D3"/>
    <w:rsid w:val="009769B0"/>
    <w:rsid w:val="00976A82"/>
    <w:rsid w:val="00976BAB"/>
    <w:rsid w:val="00976FCC"/>
    <w:rsid w:val="00977371"/>
    <w:rsid w:val="00977515"/>
    <w:rsid w:val="0097783C"/>
    <w:rsid w:val="0097787F"/>
    <w:rsid w:val="009778DE"/>
    <w:rsid w:val="0097793F"/>
    <w:rsid w:val="00977980"/>
    <w:rsid w:val="009779F1"/>
    <w:rsid w:val="00977B26"/>
    <w:rsid w:val="00977CFB"/>
    <w:rsid w:val="00977F6E"/>
    <w:rsid w:val="00977FB9"/>
    <w:rsid w:val="00980077"/>
    <w:rsid w:val="009802B6"/>
    <w:rsid w:val="009802DF"/>
    <w:rsid w:val="009803A6"/>
    <w:rsid w:val="009805FD"/>
    <w:rsid w:val="00980687"/>
    <w:rsid w:val="0098082A"/>
    <w:rsid w:val="00980B9D"/>
    <w:rsid w:val="00980BAD"/>
    <w:rsid w:val="00980C81"/>
    <w:rsid w:val="00980FA3"/>
    <w:rsid w:val="009810A6"/>
    <w:rsid w:val="00981202"/>
    <w:rsid w:val="0098131D"/>
    <w:rsid w:val="00981440"/>
    <w:rsid w:val="00981462"/>
    <w:rsid w:val="00981632"/>
    <w:rsid w:val="0098167B"/>
    <w:rsid w:val="009816D1"/>
    <w:rsid w:val="009818CB"/>
    <w:rsid w:val="00981ADF"/>
    <w:rsid w:val="00981B34"/>
    <w:rsid w:val="00981FDF"/>
    <w:rsid w:val="00982076"/>
    <w:rsid w:val="00982345"/>
    <w:rsid w:val="00982380"/>
    <w:rsid w:val="009824E4"/>
    <w:rsid w:val="0098266D"/>
    <w:rsid w:val="009826C5"/>
    <w:rsid w:val="00982708"/>
    <w:rsid w:val="009827DB"/>
    <w:rsid w:val="00982BB0"/>
    <w:rsid w:val="00982D58"/>
    <w:rsid w:val="00982F9E"/>
    <w:rsid w:val="00983576"/>
    <w:rsid w:val="00983810"/>
    <w:rsid w:val="00983FA6"/>
    <w:rsid w:val="0098416C"/>
    <w:rsid w:val="0098419D"/>
    <w:rsid w:val="009842B3"/>
    <w:rsid w:val="0098452B"/>
    <w:rsid w:val="009848D0"/>
    <w:rsid w:val="0098490A"/>
    <w:rsid w:val="0098493B"/>
    <w:rsid w:val="00984998"/>
    <w:rsid w:val="009849AF"/>
    <w:rsid w:val="00984B03"/>
    <w:rsid w:val="00984EC3"/>
    <w:rsid w:val="00984F76"/>
    <w:rsid w:val="009852C1"/>
    <w:rsid w:val="009852D9"/>
    <w:rsid w:val="00985568"/>
    <w:rsid w:val="009855BF"/>
    <w:rsid w:val="009856A6"/>
    <w:rsid w:val="009857AA"/>
    <w:rsid w:val="00985948"/>
    <w:rsid w:val="00985AA9"/>
    <w:rsid w:val="00985EC3"/>
    <w:rsid w:val="00985FB5"/>
    <w:rsid w:val="009860FF"/>
    <w:rsid w:val="00986262"/>
    <w:rsid w:val="00986393"/>
    <w:rsid w:val="00986497"/>
    <w:rsid w:val="009864B7"/>
    <w:rsid w:val="00986625"/>
    <w:rsid w:val="00986685"/>
    <w:rsid w:val="009866E6"/>
    <w:rsid w:val="00986717"/>
    <w:rsid w:val="0098672D"/>
    <w:rsid w:val="00986855"/>
    <w:rsid w:val="009869E5"/>
    <w:rsid w:val="00986A42"/>
    <w:rsid w:val="00986BF9"/>
    <w:rsid w:val="00986C8C"/>
    <w:rsid w:val="00986E7B"/>
    <w:rsid w:val="00986EC4"/>
    <w:rsid w:val="00986F80"/>
    <w:rsid w:val="00986FCF"/>
    <w:rsid w:val="00987179"/>
    <w:rsid w:val="009871D3"/>
    <w:rsid w:val="0098728E"/>
    <w:rsid w:val="009872B6"/>
    <w:rsid w:val="00987308"/>
    <w:rsid w:val="0098736F"/>
    <w:rsid w:val="009873BC"/>
    <w:rsid w:val="009873EB"/>
    <w:rsid w:val="00987536"/>
    <w:rsid w:val="00987639"/>
    <w:rsid w:val="009876EC"/>
    <w:rsid w:val="00987926"/>
    <w:rsid w:val="00987963"/>
    <w:rsid w:val="00987C95"/>
    <w:rsid w:val="00987CE7"/>
    <w:rsid w:val="00987D98"/>
    <w:rsid w:val="009902D0"/>
    <w:rsid w:val="009902ED"/>
    <w:rsid w:val="009903F1"/>
    <w:rsid w:val="00990573"/>
    <w:rsid w:val="009905F9"/>
    <w:rsid w:val="00990689"/>
    <w:rsid w:val="00990710"/>
    <w:rsid w:val="009908E2"/>
    <w:rsid w:val="009909A6"/>
    <w:rsid w:val="00990A30"/>
    <w:rsid w:val="00990B8F"/>
    <w:rsid w:val="00990BEA"/>
    <w:rsid w:val="00990E13"/>
    <w:rsid w:val="00991255"/>
    <w:rsid w:val="00991472"/>
    <w:rsid w:val="0099148D"/>
    <w:rsid w:val="009914E6"/>
    <w:rsid w:val="009916E4"/>
    <w:rsid w:val="00991799"/>
    <w:rsid w:val="00991AE7"/>
    <w:rsid w:val="00991D70"/>
    <w:rsid w:val="00991D99"/>
    <w:rsid w:val="00991E21"/>
    <w:rsid w:val="00992266"/>
    <w:rsid w:val="00992536"/>
    <w:rsid w:val="00992599"/>
    <w:rsid w:val="0099261F"/>
    <w:rsid w:val="009928E5"/>
    <w:rsid w:val="00992937"/>
    <w:rsid w:val="00992A21"/>
    <w:rsid w:val="00992D55"/>
    <w:rsid w:val="00992D9E"/>
    <w:rsid w:val="0099301B"/>
    <w:rsid w:val="0099309F"/>
    <w:rsid w:val="009931CF"/>
    <w:rsid w:val="00993250"/>
    <w:rsid w:val="00993648"/>
    <w:rsid w:val="00993752"/>
    <w:rsid w:val="0099375E"/>
    <w:rsid w:val="009937BC"/>
    <w:rsid w:val="00993865"/>
    <w:rsid w:val="009938ED"/>
    <w:rsid w:val="00993A69"/>
    <w:rsid w:val="00993DDE"/>
    <w:rsid w:val="00993EE1"/>
    <w:rsid w:val="00993FB0"/>
    <w:rsid w:val="00993FD4"/>
    <w:rsid w:val="00993FE0"/>
    <w:rsid w:val="00994018"/>
    <w:rsid w:val="00994108"/>
    <w:rsid w:val="00994351"/>
    <w:rsid w:val="009943DD"/>
    <w:rsid w:val="00994593"/>
    <w:rsid w:val="00994D1E"/>
    <w:rsid w:val="00994DD1"/>
    <w:rsid w:val="00994EE2"/>
    <w:rsid w:val="00994F75"/>
    <w:rsid w:val="009950B7"/>
    <w:rsid w:val="009950EB"/>
    <w:rsid w:val="009951A0"/>
    <w:rsid w:val="009953E0"/>
    <w:rsid w:val="009955C3"/>
    <w:rsid w:val="00995B1A"/>
    <w:rsid w:val="00995B66"/>
    <w:rsid w:val="00995BA0"/>
    <w:rsid w:val="00995FA5"/>
    <w:rsid w:val="009960A4"/>
    <w:rsid w:val="009963F6"/>
    <w:rsid w:val="0099652A"/>
    <w:rsid w:val="009965BB"/>
    <w:rsid w:val="00996678"/>
    <w:rsid w:val="0099667C"/>
    <w:rsid w:val="009966AC"/>
    <w:rsid w:val="00996733"/>
    <w:rsid w:val="00996741"/>
    <w:rsid w:val="00996767"/>
    <w:rsid w:val="009967C3"/>
    <w:rsid w:val="00996A01"/>
    <w:rsid w:val="00996B89"/>
    <w:rsid w:val="00996D5E"/>
    <w:rsid w:val="00996DB4"/>
    <w:rsid w:val="0099709F"/>
    <w:rsid w:val="0099713E"/>
    <w:rsid w:val="0099715A"/>
    <w:rsid w:val="009971F0"/>
    <w:rsid w:val="00997317"/>
    <w:rsid w:val="0099733F"/>
    <w:rsid w:val="009973B8"/>
    <w:rsid w:val="00997506"/>
    <w:rsid w:val="0099750D"/>
    <w:rsid w:val="0099775F"/>
    <w:rsid w:val="009A0027"/>
    <w:rsid w:val="009A00F6"/>
    <w:rsid w:val="009A069C"/>
    <w:rsid w:val="009A06B9"/>
    <w:rsid w:val="009A06DB"/>
    <w:rsid w:val="009A09B0"/>
    <w:rsid w:val="009A09BA"/>
    <w:rsid w:val="009A0AA2"/>
    <w:rsid w:val="009A0B16"/>
    <w:rsid w:val="009A0B8D"/>
    <w:rsid w:val="009A0CCB"/>
    <w:rsid w:val="009A111E"/>
    <w:rsid w:val="009A1259"/>
    <w:rsid w:val="009A149F"/>
    <w:rsid w:val="009A14F5"/>
    <w:rsid w:val="009A163C"/>
    <w:rsid w:val="009A16E5"/>
    <w:rsid w:val="009A16F5"/>
    <w:rsid w:val="009A174A"/>
    <w:rsid w:val="009A1993"/>
    <w:rsid w:val="009A19CE"/>
    <w:rsid w:val="009A1B4A"/>
    <w:rsid w:val="009A1EA2"/>
    <w:rsid w:val="009A1EB1"/>
    <w:rsid w:val="009A20A5"/>
    <w:rsid w:val="009A20BE"/>
    <w:rsid w:val="009A243C"/>
    <w:rsid w:val="009A249E"/>
    <w:rsid w:val="009A278C"/>
    <w:rsid w:val="009A27A6"/>
    <w:rsid w:val="009A2957"/>
    <w:rsid w:val="009A29A7"/>
    <w:rsid w:val="009A29E2"/>
    <w:rsid w:val="009A2EED"/>
    <w:rsid w:val="009A2F33"/>
    <w:rsid w:val="009A2F63"/>
    <w:rsid w:val="009A2FA1"/>
    <w:rsid w:val="009A34C0"/>
    <w:rsid w:val="009A3505"/>
    <w:rsid w:val="009A36EC"/>
    <w:rsid w:val="009A399B"/>
    <w:rsid w:val="009A3B22"/>
    <w:rsid w:val="009A3BA6"/>
    <w:rsid w:val="009A3F75"/>
    <w:rsid w:val="009A4242"/>
    <w:rsid w:val="009A430E"/>
    <w:rsid w:val="009A43EC"/>
    <w:rsid w:val="009A44DA"/>
    <w:rsid w:val="009A455E"/>
    <w:rsid w:val="009A45B3"/>
    <w:rsid w:val="009A4E2D"/>
    <w:rsid w:val="009A4F75"/>
    <w:rsid w:val="009A4FE2"/>
    <w:rsid w:val="009A4FFF"/>
    <w:rsid w:val="009A50BF"/>
    <w:rsid w:val="009A50EA"/>
    <w:rsid w:val="009A511D"/>
    <w:rsid w:val="009A5136"/>
    <w:rsid w:val="009A51CD"/>
    <w:rsid w:val="009A555F"/>
    <w:rsid w:val="009A55B8"/>
    <w:rsid w:val="009A57D5"/>
    <w:rsid w:val="009A594B"/>
    <w:rsid w:val="009A5973"/>
    <w:rsid w:val="009A5BF0"/>
    <w:rsid w:val="009A5C6A"/>
    <w:rsid w:val="009A60CC"/>
    <w:rsid w:val="009A650F"/>
    <w:rsid w:val="009A67C5"/>
    <w:rsid w:val="009A68B5"/>
    <w:rsid w:val="009A6A7F"/>
    <w:rsid w:val="009A6D73"/>
    <w:rsid w:val="009A6E75"/>
    <w:rsid w:val="009A70F3"/>
    <w:rsid w:val="009A731F"/>
    <w:rsid w:val="009A73D8"/>
    <w:rsid w:val="009A748C"/>
    <w:rsid w:val="009A7499"/>
    <w:rsid w:val="009A787E"/>
    <w:rsid w:val="009A7B38"/>
    <w:rsid w:val="009A7B46"/>
    <w:rsid w:val="009A7B89"/>
    <w:rsid w:val="009A7B9E"/>
    <w:rsid w:val="009A7BDC"/>
    <w:rsid w:val="009A7C55"/>
    <w:rsid w:val="009A7CCC"/>
    <w:rsid w:val="009A7D57"/>
    <w:rsid w:val="009A7E9B"/>
    <w:rsid w:val="009A7FDC"/>
    <w:rsid w:val="009B0165"/>
    <w:rsid w:val="009B048E"/>
    <w:rsid w:val="009B09CC"/>
    <w:rsid w:val="009B0A19"/>
    <w:rsid w:val="009B0A31"/>
    <w:rsid w:val="009B0E51"/>
    <w:rsid w:val="009B1217"/>
    <w:rsid w:val="009B178B"/>
    <w:rsid w:val="009B1AF6"/>
    <w:rsid w:val="009B1C26"/>
    <w:rsid w:val="009B1D08"/>
    <w:rsid w:val="009B1D57"/>
    <w:rsid w:val="009B1EF6"/>
    <w:rsid w:val="009B20C5"/>
    <w:rsid w:val="009B20D9"/>
    <w:rsid w:val="009B289D"/>
    <w:rsid w:val="009B292A"/>
    <w:rsid w:val="009B2D2B"/>
    <w:rsid w:val="009B2EB5"/>
    <w:rsid w:val="009B303E"/>
    <w:rsid w:val="009B30DF"/>
    <w:rsid w:val="009B330B"/>
    <w:rsid w:val="009B3414"/>
    <w:rsid w:val="009B363C"/>
    <w:rsid w:val="009B3790"/>
    <w:rsid w:val="009B397A"/>
    <w:rsid w:val="009B3AFC"/>
    <w:rsid w:val="009B3B03"/>
    <w:rsid w:val="009B457C"/>
    <w:rsid w:val="009B45AB"/>
    <w:rsid w:val="009B4672"/>
    <w:rsid w:val="009B4731"/>
    <w:rsid w:val="009B4AF1"/>
    <w:rsid w:val="009B4BD9"/>
    <w:rsid w:val="009B4C52"/>
    <w:rsid w:val="009B4F02"/>
    <w:rsid w:val="009B5110"/>
    <w:rsid w:val="009B518C"/>
    <w:rsid w:val="009B5305"/>
    <w:rsid w:val="009B53AB"/>
    <w:rsid w:val="009B549C"/>
    <w:rsid w:val="009B5524"/>
    <w:rsid w:val="009B57A8"/>
    <w:rsid w:val="009B5F5D"/>
    <w:rsid w:val="009B605B"/>
    <w:rsid w:val="009B640B"/>
    <w:rsid w:val="009B656E"/>
    <w:rsid w:val="009B6605"/>
    <w:rsid w:val="009B6803"/>
    <w:rsid w:val="009B692A"/>
    <w:rsid w:val="009B6B8B"/>
    <w:rsid w:val="009B6C7C"/>
    <w:rsid w:val="009B6EEA"/>
    <w:rsid w:val="009B722D"/>
    <w:rsid w:val="009B7235"/>
    <w:rsid w:val="009B770C"/>
    <w:rsid w:val="009B7941"/>
    <w:rsid w:val="009B7E44"/>
    <w:rsid w:val="009B7F90"/>
    <w:rsid w:val="009C0065"/>
    <w:rsid w:val="009C01D5"/>
    <w:rsid w:val="009C0389"/>
    <w:rsid w:val="009C04EB"/>
    <w:rsid w:val="009C062C"/>
    <w:rsid w:val="009C0784"/>
    <w:rsid w:val="009C0DF2"/>
    <w:rsid w:val="009C0E11"/>
    <w:rsid w:val="009C108B"/>
    <w:rsid w:val="009C11B4"/>
    <w:rsid w:val="009C124F"/>
    <w:rsid w:val="009C1344"/>
    <w:rsid w:val="009C1592"/>
    <w:rsid w:val="009C1695"/>
    <w:rsid w:val="009C17CB"/>
    <w:rsid w:val="009C1845"/>
    <w:rsid w:val="009C19BB"/>
    <w:rsid w:val="009C1D18"/>
    <w:rsid w:val="009C243C"/>
    <w:rsid w:val="009C24C8"/>
    <w:rsid w:val="009C25C9"/>
    <w:rsid w:val="009C25FA"/>
    <w:rsid w:val="009C2867"/>
    <w:rsid w:val="009C287C"/>
    <w:rsid w:val="009C2C6B"/>
    <w:rsid w:val="009C2C93"/>
    <w:rsid w:val="009C2F4D"/>
    <w:rsid w:val="009C33A1"/>
    <w:rsid w:val="009C3487"/>
    <w:rsid w:val="009C34A8"/>
    <w:rsid w:val="009C34F6"/>
    <w:rsid w:val="009C3687"/>
    <w:rsid w:val="009C36DF"/>
    <w:rsid w:val="009C38E6"/>
    <w:rsid w:val="009C3EA0"/>
    <w:rsid w:val="009C4204"/>
    <w:rsid w:val="009C42A2"/>
    <w:rsid w:val="009C42BE"/>
    <w:rsid w:val="009C45D5"/>
    <w:rsid w:val="009C461A"/>
    <w:rsid w:val="009C46B9"/>
    <w:rsid w:val="009C47E4"/>
    <w:rsid w:val="009C482F"/>
    <w:rsid w:val="009C4A5F"/>
    <w:rsid w:val="009C4BFB"/>
    <w:rsid w:val="009C4D63"/>
    <w:rsid w:val="009C4E15"/>
    <w:rsid w:val="009C4FB6"/>
    <w:rsid w:val="009C501D"/>
    <w:rsid w:val="009C5094"/>
    <w:rsid w:val="009C51EF"/>
    <w:rsid w:val="009C5378"/>
    <w:rsid w:val="009C53B9"/>
    <w:rsid w:val="009C5497"/>
    <w:rsid w:val="009C5635"/>
    <w:rsid w:val="009C56EA"/>
    <w:rsid w:val="009C571A"/>
    <w:rsid w:val="009C5887"/>
    <w:rsid w:val="009C5A37"/>
    <w:rsid w:val="009C5AFD"/>
    <w:rsid w:val="009C5BEA"/>
    <w:rsid w:val="009C5CCF"/>
    <w:rsid w:val="009C6327"/>
    <w:rsid w:val="009C6535"/>
    <w:rsid w:val="009C65FD"/>
    <w:rsid w:val="009C69E4"/>
    <w:rsid w:val="009C6AA4"/>
    <w:rsid w:val="009C6BCF"/>
    <w:rsid w:val="009C6E46"/>
    <w:rsid w:val="009C6F91"/>
    <w:rsid w:val="009C708D"/>
    <w:rsid w:val="009C71D3"/>
    <w:rsid w:val="009C7213"/>
    <w:rsid w:val="009C730A"/>
    <w:rsid w:val="009C73BA"/>
    <w:rsid w:val="009C7668"/>
    <w:rsid w:val="009C786B"/>
    <w:rsid w:val="009C79FF"/>
    <w:rsid w:val="009C7B03"/>
    <w:rsid w:val="009C7B2E"/>
    <w:rsid w:val="009C7EE9"/>
    <w:rsid w:val="009D06BD"/>
    <w:rsid w:val="009D0980"/>
    <w:rsid w:val="009D09CC"/>
    <w:rsid w:val="009D0CBD"/>
    <w:rsid w:val="009D0DB9"/>
    <w:rsid w:val="009D0EB8"/>
    <w:rsid w:val="009D1040"/>
    <w:rsid w:val="009D121B"/>
    <w:rsid w:val="009D130D"/>
    <w:rsid w:val="009D1325"/>
    <w:rsid w:val="009D14A6"/>
    <w:rsid w:val="009D17F2"/>
    <w:rsid w:val="009D19A9"/>
    <w:rsid w:val="009D1AA1"/>
    <w:rsid w:val="009D1D8A"/>
    <w:rsid w:val="009D1EEC"/>
    <w:rsid w:val="009D1F40"/>
    <w:rsid w:val="009D1FFE"/>
    <w:rsid w:val="009D20A6"/>
    <w:rsid w:val="009D23EF"/>
    <w:rsid w:val="009D2770"/>
    <w:rsid w:val="009D286B"/>
    <w:rsid w:val="009D2A3F"/>
    <w:rsid w:val="009D2C24"/>
    <w:rsid w:val="009D2CFC"/>
    <w:rsid w:val="009D2D78"/>
    <w:rsid w:val="009D2E2F"/>
    <w:rsid w:val="009D2E32"/>
    <w:rsid w:val="009D2E7D"/>
    <w:rsid w:val="009D35C2"/>
    <w:rsid w:val="009D35C5"/>
    <w:rsid w:val="009D3E23"/>
    <w:rsid w:val="009D458B"/>
    <w:rsid w:val="009D4622"/>
    <w:rsid w:val="009D472E"/>
    <w:rsid w:val="009D49AF"/>
    <w:rsid w:val="009D4B7B"/>
    <w:rsid w:val="009D4B9A"/>
    <w:rsid w:val="009D4F4E"/>
    <w:rsid w:val="009D5057"/>
    <w:rsid w:val="009D54F7"/>
    <w:rsid w:val="009D55C6"/>
    <w:rsid w:val="009D55DA"/>
    <w:rsid w:val="009D569E"/>
    <w:rsid w:val="009D56FD"/>
    <w:rsid w:val="009D58DB"/>
    <w:rsid w:val="009D5900"/>
    <w:rsid w:val="009D5914"/>
    <w:rsid w:val="009D595D"/>
    <w:rsid w:val="009D5C1E"/>
    <w:rsid w:val="009D5D03"/>
    <w:rsid w:val="009D5E21"/>
    <w:rsid w:val="009D5F69"/>
    <w:rsid w:val="009D60D8"/>
    <w:rsid w:val="009D6450"/>
    <w:rsid w:val="009D6559"/>
    <w:rsid w:val="009D6C59"/>
    <w:rsid w:val="009D6CE3"/>
    <w:rsid w:val="009D6FAA"/>
    <w:rsid w:val="009D703C"/>
    <w:rsid w:val="009D70DC"/>
    <w:rsid w:val="009D7175"/>
    <w:rsid w:val="009D71A3"/>
    <w:rsid w:val="009D7269"/>
    <w:rsid w:val="009D72DF"/>
    <w:rsid w:val="009D7385"/>
    <w:rsid w:val="009D756F"/>
    <w:rsid w:val="009D75FE"/>
    <w:rsid w:val="009D7600"/>
    <w:rsid w:val="009D7803"/>
    <w:rsid w:val="009D7853"/>
    <w:rsid w:val="009D7A11"/>
    <w:rsid w:val="009D7B8E"/>
    <w:rsid w:val="009D7BBF"/>
    <w:rsid w:val="009D7C65"/>
    <w:rsid w:val="009D7CFE"/>
    <w:rsid w:val="009D7E34"/>
    <w:rsid w:val="009D7ECF"/>
    <w:rsid w:val="009D7FF4"/>
    <w:rsid w:val="009E01E4"/>
    <w:rsid w:val="009E0414"/>
    <w:rsid w:val="009E042E"/>
    <w:rsid w:val="009E0503"/>
    <w:rsid w:val="009E0A61"/>
    <w:rsid w:val="009E0AD4"/>
    <w:rsid w:val="009E0AE5"/>
    <w:rsid w:val="009E0B31"/>
    <w:rsid w:val="009E0BB9"/>
    <w:rsid w:val="009E0D9C"/>
    <w:rsid w:val="009E0EEF"/>
    <w:rsid w:val="009E12A2"/>
    <w:rsid w:val="009E1440"/>
    <w:rsid w:val="009E1492"/>
    <w:rsid w:val="009E1749"/>
    <w:rsid w:val="009E195A"/>
    <w:rsid w:val="009E1E70"/>
    <w:rsid w:val="009E226B"/>
    <w:rsid w:val="009E2633"/>
    <w:rsid w:val="009E2767"/>
    <w:rsid w:val="009E2804"/>
    <w:rsid w:val="009E29C2"/>
    <w:rsid w:val="009E29F3"/>
    <w:rsid w:val="009E2A0C"/>
    <w:rsid w:val="009E2C0E"/>
    <w:rsid w:val="009E2F53"/>
    <w:rsid w:val="009E31CB"/>
    <w:rsid w:val="009E34C7"/>
    <w:rsid w:val="009E3518"/>
    <w:rsid w:val="009E3605"/>
    <w:rsid w:val="009E3635"/>
    <w:rsid w:val="009E364A"/>
    <w:rsid w:val="009E3776"/>
    <w:rsid w:val="009E3918"/>
    <w:rsid w:val="009E3BB9"/>
    <w:rsid w:val="009E3BED"/>
    <w:rsid w:val="009E3CB2"/>
    <w:rsid w:val="009E406F"/>
    <w:rsid w:val="009E4094"/>
    <w:rsid w:val="009E42CA"/>
    <w:rsid w:val="009E4393"/>
    <w:rsid w:val="009E43CE"/>
    <w:rsid w:val="009E4460"/>
    <w:rsid w:val="009E45C6"/>
    <w:rsid w:val="009E4667"/>
    <w:rsid w:val="009E488B"/>
    <w:rsid w:val="009E4AFA"/>
    <w:rsid w:val="009E4BE3"/>
    <w:rsid w:val="009E4CF6"/>
    <w:rsid w:val="009E4F9F"/>
    <w:rsid w:val="009E5061"/>
    <w:rsid w:val="009E51A3"/>
    <w:rsid w:val="009E5396"/>
    <w:rsid w:val="009E53B0"/>
    <w:rsid w:val="009E5452"/>
    <w:rsid w:val="009E56A7"/>
    <w:rsid w:val="009E5891"/>
    <w:rsid w:val="009E58BF"/>
    <w:rsid w:val="009E5C42"/>
    <w:rsid w:val="009E5C4E"/>
    <w:rsid w:val="009E5F22"/>
    <w:rsid w:val="009E6228"/>
    <w:rsid w:val="009E63AD"/>
    <w:rsid w:val="009E6416"/>
    <w:rsid w:val="009E6636"/>
    <w:rsid w:val="009E66A5"/>
    <w:rsid w:val="009E67B6"/>
    <w:rsid w:val="009E693A"/>
    <w:rsid w:val="009E6BA3"/>
    <w:rsid w:val="009E6D0D"/>
    <w:rsid w:val="009E6D14"/>
    <w:rsid w:val="009E6D58"/>
    <w:rsid w:val="009E6DFD"/>
    <w:rsid w:val="009E6F28"/>
    <w:rsid w:val="009E72A6"/>
    <w:rsid w:val="009E737E"/>
    <w:rsid w:val="009E73D0"/>
    <w:rsid w:val="009E74A9"/>
    <w:rsid w:val="009E7786"/>
    <w:rsid w:val="009E799E"/>
    <w:rsid w:val="009E7A18"/>
    <w:rsid w:val="009E7A77"/>
    <w:rsid w:val="009E7B29"/>
    <w:rsid w:val="009E7B62"/>
    <w:rsid w:val="009F0059"/>
    <w:rsid w:val="009F01AE"/>
    <w:rsid w:val="009F021E"/>
    <w:rsid w:val="009F032B"/>
    <w:rsid w:val="009F05ED"/>
    <w:rsid w:val="009F075D"/>
    <w:rsid w:val="009F0773"/>
    <w:rsid w:val="009F07DB"/>
    <w:rsid w:val="009F0A2D"/>
    <w:rsid w:val="009F0BD7"/>
    <w:rsid w:val="009F0C40"/>
    <w:rsid w:val="009F0D91"/>
    <w:rsid w:val="009F106E"/>
    <w:rsid w:val="009F1078"/>
    <w:rsid w:val="009F174C"/>
    <w:rsid w:val="009F1A32"/>
    <w:rsid w:val="009F1C08"/>
    <w:rsid w:val="009F1D1A"/>
    <w:rsid w:val="009F1F29"/>
    <w:rsid w:val="009F1F68"/>
    <w:rsid w:val="009F1FBE"/>
    <w:rsid w:val="009F1FF9"/>
    <w:rsid w:val="009F209F"/>
    <w:rsid w:val="009F215D"/>
    <w:rsid w:val="009F22B8"/>
    <w:rsid w:val="009F2315"/>
    <w:rsid w:val="009F2363"/>
    <w:rsid w:val="009F23E7"/>
    <w:rsid w:val="009F25DC"/>
    <w:rsid w:val="009F264F"/>
    <w:rsid w:val="009F26B4"/>
    <w:rsid w:val="009F26F4"/>
    <w:rsid w:val="009F2895"/>
    <w:rsid w:val="009F2915"/>
    <w:rsid w:val="009F3083"/>
    <w:rsid w:val="009F31AE"/>
    <w:rsid w:val="009F34B2"/>
    <w:rsid w:val="009F3583"/>
    <w:rsid w:val="009F35FC"/>
    <w:rsid w:val="009F373B"/>
    <w:rsid w:val="009F3924"/>
    <w:rsid w:val="009F3C08"/>
    <w:rsid w:val="009F3CDD"/>
    <w:rsid w:val="009F3EAA"/>
    <w:rsid w:val="009F3F66"/>
    <w:rsid w:val="009F4118"/>
    <w:rsid w:val="009F44C5"/>
    <w:rsid w:val="009F46E2"/>
    <w:rsid w:val="009F47B1"/>
    <w:rsid w:val="009F4B88"/>
    <w:rsid w:val="009F4CB5"/>
    <w:rsid w:val="009F4D50"/>
    <w:rsid w:val="009F4EFD"/>
    <w:rsid w:val="009F4F06"/>
    <w:rsid w:val="009F4F5B"/>
    <w:rsid w:val="009F4F82"/>
    <w:rsid w:val="009F4FA8"/>
    <w:rsid w:val="009F5025"/>
    <w:rsid w:val="009F519A"/>
    <w:rsid w:val="009F555D"/>
    <w:rsid w:val="009F561D"/>
    <w:rsid w:val="009F56D8"/>
    <w:rsid w:val="009F5701"/>
    <w:rsid w:val="009F5708"/>
    <w:rsid w:val="009F5778"/>
    <w:rsid w:val="009F5C36"/>
    <w:rsid w:val="009F5F4B"/>
    <w:rsid w:val="009F5F9F"/>
    <w:rsid w:val="009F6294"/>
    <w:rsid w:val="009F62A0"/>
    <w:rsid w:val="009F64AB"/>
    <w:rsid w:val="009F6678"/>
    <w:rsid w:val="009F66B5"/>
    <w:rsid w:val="009F678D"/>
    <w:rsid w:val="009F68A6"/>
    <w:rsid w:val="009F6AB8"/>
    <w:rsid w:val="009F6B6B"/>
    <w:rsid w:val="009F71DA"/>
    <w:rsid w:val="009F71F9"/>
    <w:rsid w:val="009F7258"/>
    <w:rsid w:val="009F729B"/>
    <w:rsid w:val="009F73A7"/>
    <w:rsid w:val="009F7621"/>
    <w:rsid w:val="009F7630"/>
    <w:rsid w:val="009F781E"/>
    <w:rsid w:val="009F7837"/>
    <w:rsid w:val="009F7F73"/>
    <w:rsid w:val="009F7FD4"/>
    <w:rsid w:val="00A0026D"/>
    <w:rsid w:val="00A0034A"/>
    <w:rsid w:val="00A004B2"/>
    <w:rsid w:val="00A005E0"/>
    <w:rsid w:val="00A006AA"/>
    <w:rsid w:val="00A008C8"/>
    <w:rsid w:val="00A008D8"/>
    <w:rsid w:val="00A00A78"/>
    <w:rsid w:val="00A00CF5"/>
    <w:rsid w:val="00A00F40"/>
    <w:rsid w:val="00A00FCD"/>
    <w:rsid w:val="00A010A2"/>
    <w:rsid w:val="00A010AC"/>
    <w:rsid w:val="00A01159"/>
    <w:rsid w:val="00A01250"/>
    <w:rsid w:val="00A0127E"/>
    <w:rsid w:val="00A01376"/>
    <w:rsid w:val="00A0148E"/>
    <w:rsid w:val="00A014B2"/>
    <w:rsid w:val="00A01570"/>
    <w:rsid w:val="00A01615"/>
    <w:rsid w:val="00A0166A"/>
    <w:rsid w:val="00A01A87"/>
    <w:rsid w:val="00A01B62"/>
    <w:rsid w:val="00A01B67"/>
    <w:rsid w:val="00A01B7D"/>
    <w:rsid w:val="00A01C00"/>
    <w:rsid w:val="00A01CEE"/>
    <w:rsid w:val="00A0227B"/>
    <w:rsid w:val="00A02835"/>
    <w:rsid w:val="00A02B9B"/>
    <w:rsid w:val="00A0305B"/>
    <w:rsid w:val="00A03126"/>
    <w:rsid w:val="00A032FB"/>
    <w:rsid w:val="00A03314"/>
    <w:rsid w:val="00A03456"/>
    <w:rsid w:val="00A037D0"/>
    <w:rsid w:val="00A03B47"/>
    <w:rsid w:val="00A03C9B"/>
    <w:rsid w:val="00A03E5B"/>
    <w:rsid w:val="00A0405E"/>
    <w:rsid w:val="00A04174"/>
    <w:rsid w:val="00A0421E"/>
    <w:rsid w:val="00A0429C"/>
    <w:rsid w:val="00A04397"/>
    <w:rsid w:val="00A04562"/>
    <w:rsid w:val="00A04A65"/>
    <w:rsid w:val="00A04AFC"/>
    <w:rsid w:val="00A04BC2"/>
    <w:rsid w:val="00A04D00"/>
    <w:rsid w:val="00A04D61"/>
    <w:rsid w:val="00A04DB8"/>
    <w:rsid w:val="00A04E48"/>
    <w:rsid w:val="00A04F16"/>
    <w:rsid w:val="00A05518"/>
    <w:rsid w:val="00A0564F"/>
    <w:rsid w:val="00A0569E"/>
    <w:rsid w:val="00A057FA"/>
    <w:rsid w:val="00A05830"/>
    <w:rsid w:val="00A05AED"/>
    <w:rsid w:val="00A05C59"/>
    <w:rsid w:val="00A05D64"/>
    <w:rsid w:val="00A05D6E"/>
    <w:rsid w:val="00A05E9A"/>
    <w:rsid w:val="00A05E9F"/>
    <w:rsid w:val="00A05EB1"/>
    <w:rsid w:val="00A066B6"/>
    <w:rsid w:val="00A06BCD"/>
    <w:rsid w:val="00A06F30"/>
    <w:rsid w:val="00A0704E"/>
    <w:rsid w:val="00A0712D"/>
    <w:rsid w:val="00A07173"/>
    <w:rsid w:val="00A071FB"/>
    <w:rsid w:val="00A07222"/>
    <w:rsid w:val="00A07275"/>
    <w:rsid w:val="00A072C0"/>
    <w:rsid w:val="00A0737B"/>
    <w:rsid w:val="00A073CB"/>
    <w:rsid w:val="00A07491"/>
    <w:rsid w:val="00A07494"/>
    <w:rsid w:val="00A074FA"/>
    <w:rsid w:val="00A07542"/>
    <w:rsid w:val="00A0775A"/>
    <w:rsid w:val="00A0784E"/>
    <w:rsid w:val="00A07E47"/>
    <w:rsid w:val="00A07F33"/>
    <w:rsid w:val="00A07FD8"/>
    <w:rsid w:val="00A105C8"/>
    <w:rsid w:val="00A107A3"/>
    <w:rsid w:val="00A108A9"/>
    <w:rsid w:val="00A10B2E"/>
    <w:rsid w:val="00A10C49"/>
    <w:rsid w:val="00A10CB0"/>
    <w:rsid w:val="00A10D87"/>
    <w:rsid w:val="00A10FF4"/>
    <w:rsid w:val="00A111BB"/>
    <w:rsid w:val="00A113B1"/>
    <w:rsid w:val="00A113C7"/>
    <w:rsid w:val="00A11832"/>
    <w:rsid w:val="00A1196F"/>
    <w:rsid w:val="00A119BA"/>
    <w:rsid w:val="00A119C1"/>
    <w:rsid w:val="00A11AFE"/>
    <w:rsid w:val="00A11B82"/>
    <w:rsid w:val="00A11EC6"/>
    <w:rsid w:val="00A11FD6"/>
    <w:rsid w:val="00A1223E"/>
    <w:rsid w:val="00A122B3"/>
    <w:rsid w:val="00A1230C"/>
    <w:rsid w:val="00A1234B"/>
    <w:rsid w:val="00A123F7"/>
    <w:rsid w:val="00A1243C"/>
    <w:rsid w:val="00A1270D"/>
    <w:rsid w:val="00A1295C"/>
    <w:rsid w:val="00A12BD7"/>
    <w:rsid w:val="00A12C8E"/>
    <w:rsid w:val="00A12CE1"/>
    <w:rsid w:val="00A12DD7"/>
    <w:rsid w:val="00A13140"/>
    <w:rsid w:val="00A134C3"/>
    <w:rsid w:val="00A137B5"/>
    <w:rsid w:val="00A139BA"/>
    <w:rsid w:val="00A13CAA"/>
    <w:rsid w:val="00A13D12"/>
    <w:rsid w:val="00A1400B"/>
    <w:rsid w:val="00A1417D"/>
    <w:rsid w:val="00A14249"/>
    <w:rsid w:val="00A14324"/>
    <w:rsid w:val="00A144F8"/>
    <w:rsid w:val="00A14779"/>
    <w:rsid w:val="00A14A65"/>
    <w:rsid w:val="00A14C89"/>
    <w:rsid w:val="00A14F83"/>
    <w:rsid w:val="00A14FAE"/>
    <w:rsid w:val="00A152F9"/>
    <w:rsid w:val="00A153D5"/>
    <w:rsid w:val="00A155E2"/>
    <w:rsid w:val="00A156AB"/>
    <w:rsid w:val="00A15794"/>
    <w:rsid w:val="00A158E6"/>
    <w:rsid w:val="00A159C6"/>
    <w:rsid w:val="00A15B33"/>
    <w:rsid w:val="00A15F18"/>
    <w:rsid w:val="00A15F90"/>
    <w:rsid w:val="00A160B3"/>
    <w:rsid w:val="00A162BA"/>
    <w:rsid w:val="00A162BE"/>
    <w:rsid w:val="00A16472"/>
    <w:rsid w:val="00A1661E"/>
    <w:rsid w:val="00A167AD"/>
    <w:rsid w:val="00A168E7"/>
    <w:rsid w:val="00A16BF1"/>
    <w:rsid w:val="00A16C1F"/>
    <w:rsid w:val="00A16EB2"/>
    <w:rsid w:val="00A1705C"/>
    <w:rsid w:val="00A1725B"/>
    <w:rsid w:val="00A172D2"/>
    <w:rsid w:val="00A1743E"/>
    <w:rsid w:val="00A174AE"/>
    <w:rsid w:val="00A174B4"/>
    <w:rsid w:val="00A175AF"/>
    <w:rsid w:val="00A17635"/>
    <w:rsid w:val="00A178B4"/>
    <w:rsid w:val="00A1795B"/>
    <w:rsid w:val="00A179DF"/>
    <w:rsid w:val="00A17A61"/>
    <w:rsid w:val="00A17A9E"/>
    <w:rsid w:val="00A17AC9"/>
    <w:rsid w:val="00A17BD2"/>
    <w:rsid w:val="00A17E02"/>
    <w:rsid w:val="00A17E1D"/>
    <w:rsid w:val="00A17EB5"/>
    <w:rsid w:val="00A20012"/>
    <w:rsid w:val="00A2006E"/>
    <w:rsid w:val="00A20227"/>
    <w:rsid w:val="00A203C0"/>
    <w:rsid w:val="00A20501"/>
    <w:rsid w:val="00A206B2"/>
    <w:rsid w:val="00A206B5"/>
    <w:rsid w:val="00A208F1"/>
    <w:rsid w:val="00A210CB"/>
    <w:rsid w:val="00A21124"/>
    <w:rsid w:val="00A213D2"/>
    <w:rsid w:val="00A21441"/>
    <w:rsid w:val="00A21558"/>
    <w:rsid w:val="00A21BB5"/>
    <w:rsid w:val="00A21C53"/>
    <w:rsid w:val="00A21CEA"/>
    <w:rsid w:val="00A21D53"/>
    <w:rsid w:val="00A21F23"/>
    <w:rsid w:val="00A2200A"/>
    <w:rsid w:val="00A22357"/>
    <w:rsid w:val="00A22793"/>
    <w:rsid w:val="00A227B9"/>
    <w:rsid w:val="00A229DE"/>
    <w:rsid w:val="00A22B9A"/>
    <w:rsid w:val="00A22C24"/>
    <w:rsid w:val="00A22CF9"/>
    <w:rsid w:val="00A22F74"/>
    <w:rsid w:val="00A22FFB"/>
    <w:rsid w:val="00A230C4"/>
    <w:rsid w:val="00A23243"/>
    <w:rsid w:val="00A23302"/>
    <w:rsid w:val="00A23344"/>
    <w:rsid w:val="00A2360C"/>
    <w:rsid w:val="00A23762"/>
    <w:rsid w:val="00A237AE"/>
    <w:rsid w:val="00A237EC"/>
    <w:rsid w:val="00A2388E"/>
    <w:rsid w:val="00A23B3A"/>
    <w:rsid w:val="00A23C83"/>
    <w:rsid w:val="00A23E53"/>
    <w:rsid w:val="00A23F22"/>
    <w:rsid w:val="00A23F3A"/>
    <w:rsid w:val="00A2403C"/>
    <w:rsid w:val="00A242A0"/>
    <w:rsid w:val="00A247F4"/>
    <w:rsid w:val="00A249DF"/>
    <w:rsid w:val="00A24AC6"/>
    <w:rsid w:val="00A24B56"/>
    <w:rsid w:val="00A24EB5"/>
    <w:rsid w:val="00A24FF9"/>
    <w:rsid w:val="00A2516B"/>
    <w:rsid w:val="00A2520B"/>
    <w:rsid w:val="00A25245"/>
    <w:rsid w:val="00A25AEB"/>
    <w:rsid w:val="00A25B65"/>
    <w:rsid w:val="00A25C38"/>
    <w:rsid w:val="00A26454"/>
    <w:rsid w:val="00A26578"/>
    <w:rsid w:val="00A2658F"/>
    <w:rsid w:val="00A2676E"/>
    <w:rsid w:val="00A26778"/>
    <w:rsid w:val="00A268BF"/>
    <w:rsid w:val="00A26A48"/>
    <w:rsid w:val="00A26AC7"/>
    <w:rsid w:val="00A26CCB"/>
    <w:rsid w:val="00A26D44"/>
    <w:rsid w:val="00A26D5C"/>
    <w:rsid w:val="00A26E16"/>
    <w:rsid w:val="00A26EA9"/>
    <w:rsid w:val="00A26F5A"/>
    <w:rsid w:val="00A27036"/>
    <w:rsid w:val="00A27076"/>
    <w:rsid w:val="00A270CE"/>
    <w:rsid w:val="00A2717F"/>
    <w:rsid w:val="00A275A9"/>
    <w:rsid w:val="00A27706"/>
    <w:rsid w:val="00A278AC"/>
    <w:rsid w:val="00A2791F"/>
    <w:rsid w:val="00A27A8E"/>
    <w:rsid w:val="00A27C40"/>
    <w:rsid w:val="00A3003D"/>
    <w:rsid w:val="00A301FF"/>
    <w:rsid w:val="00A3032C"/>
    <w:rsid w:val="00A30353"/>
    <w:rsid w:val="00A3065C"/>
    <w:rsid w:val="00A30788"/>
    <w:rsid w:val="00A3078D"/>
    <w:rsid w:val="00A307F1"/>
    <w:rsid w:val="00A309C3"/>
    <w:rsid w:val="00A309EC"/>
    <w:rsid w:val="00A30AB6"/>
    <w:rsid w:val="00A30B4B"/>
    <w:rsid w:val="00A30B9D"/>
    <w:rsid w:val="00A30B9E"/>
    <w:rsid w:val="00A30C65"/>
    <w:rsid w:val="00A30C8A"/>
    <w:rsid w:val="00A30DAF"/>
    <w:rsid w:val="00A30E0D"/>
    <w:rsid w:val="00A31023"/>
    <w:rsid w:val="00A3124B"/>
    <w:rsid w:val="00A312B7"/>
    <w:rsid w:val="00A3131B"/>
    <w:rsid w:val="00A31524"/>
    <w:rsid w:val="00A31951"/>
    <w:rsid w:val="00A319F0"/>
    <w:rsid w:val="00A31AA5"/>
    <w:rsid w:val="00A31CC3"/>
    <w:rsid w:val="00A31CFC"/>
    <w:rsid w:val="00A31E40"/>
    <w:rsid w:val="00A31F10"/>
    <w:rsid w:val="00A31FCC"/>
    <w:rsid w:val="00A32008"/>
    <w:rsid w:val="00A32078"/>
    <w:rsid w:val="00A32616"/>
    <w:rsid w:val="00A326B5"/>
    <w:rsid w:val="00A328B8"/>
    <w:rsid w:val="00A328D7"/>
    <w:rsid w:val="00A3294B"/>
    <w:rsid w:val="00A32D28"/>
    <w:rsid w:val="00A33070"/>
    <w:rsid w:val="00A3345F"/>
    <w:rsid w:val="00A33712"/>
    <w:rsid w:val="00A339B0"/>
    <w:rsid w:val="00A33FBB"/>
    <w:rsid w:val="00A33FFB"/>
    <w:rsid w:val="00A341CF"/>
    <w:rsid w:val="00A34299"/>
    <w:rsid w:val="00A344C9"/>
    <w:rsid w:val="00A3454D"/>
    <w:rsid w:val="00A345F8"/>
    <w:rsid w:val="00A34822"/>
    <w:rsid w:val="00A3488D"/>
    <w:rsid w:val="00A348B0"/>
    <w:rsid w:val="00A348FB"/>
    <w:rsid w:val="00A34E67"/>
    <w:rsid w:val="00A3511B"/>
    <w:rsid w:val="00A351CF"/>
    <w:rsid w:val="00A352E6"/>
    <w:rsid w:val="00A353E0"/>
    <w:rsid w:val="00A353F6"/>
    <w:rsid w:val="00A35495"/>
    <w:rsid w:val="00A3563D"/>
    <w:rsid w:val="00A356D3"/>
    <w:rsid w:val="00A3582D"/>
    <w:rsid w:val="00A3589A"/>
    <w:rsid w:val="00A3589B"/>
    <w:rsid w:val="00A3595C"/>
    <w:rsid w:val="00A359BC"/>
    <w:rsid w:val="00A35A17"/>
    <w:rsid w:val="00A35B96"/>
    <w:rsid w:val="00A35C6D"/>
    <w:rsid w:val="00A35DD9"/>
    <w:rsid w:val="00A35E91"/>
    <w:rsid w:val="00A3617A"/>
    <w:rsid w:val="00A36189"/>
    <w:rsid w:val="00A3631A"/>
    <w:rsid w:val="00A36381"/>
    <w:rsid w:val="00A36403"/>
    <w:rsid w:val="00A36651"/>
    <w:rsid w:val="00A36753"/>
    <w:rsid w:val="00A36854"/>
    <w:rsid w:val="00A36A02"/>
    <w:rsid w:val="00A36A98"/>
    <w:rsid w:val="00A36EDD"/>
    <w:rsid w:val="00A370EB"/>
    <w:rsid w:val="00A3721E"/>
    <w:rsid w:val="00A3739E"/>
    <w:rsid w:val="00A37402"/>
    <w:rsid w:val="00A374F8"/>
    <w:rsid w:val="00A375D9"/>
    <w:rsid w:val="00A376EA"/>
    <w:rsid w:val="00A378B6"/>
    <w:rsid w:val="00A379D4"/>
    <w:rsid w:val="00A379F5"/>
    <w:rsid w:val="00A37A0D"/>
    <w:rsid w:val="00A37AFD"/>
    <w:rsid w:val="00A37C1F"/>
    <w:rsid w:val="00A37D5B"/>
    <w:rsid w:val="00A37E7B"/>
    <w:rsid w:val="00A37F02"/>
    <w:rsid w:val="00A40072"/>
    <w:rsid w:val="00A40079"/>
    <w:rsid w:val="00A4031E"/>
    <w:rsid w:val="00A4089D"/>
    <w:rsid w:val="00A40B59"/>
    <w:rsid w:val="00A40B9C"/>
    <w:rsid w:val="00A40C1E"/>
    <w:rsid w:val="00A40C27"/>
    <w:rsid w:val="00A40E89"/>
    <w:rsid w:val="00A41482"/>
    <w:rsid w:val="00A41676"/>
    <w:rsid w:val="00A416E5"/>
    <w:rsid w:val="00A418AB"/>
    <w:rsid w:val="00A41AA9"/>
    <w:rsid w:val="00A41B98"/>
    <w:rsid w:val="00A41FD5"/>
    <w:rsid w:val="00A42033"/>
    <w:rsid w:val="00A42128"/>
    <w:rsid w:val="00A42359"/>
    <w:rsid w:val="00A42474"/>
    <w:rsid w:val="00A425B0"/>
    <w:rsid w:val="00A4277B"/>
    <w:rsid w:val="00A4279C"/>
    <w:rsid w:val="00A42898"/>
    <w:rsid w:val="00A42921"/>
    <w:rsid w:val="00A429D7"/>
    <w:rsid w:val="00A42A60"/>
    <w:rsid w:val="00A42CF3"/>
    <w:rsid w:val="00A42D45"/>
    <w:rsid w:val="00A42D74"/>
    <w:rsid w:val="00A42E1F"/>
    <w:rsid w:val="00A42FD2"/>
    <w:rsid w:val="00A430FD"/>
    <w:rsid w:val="00A4316E"/>
    <w:rsid w:val="00A4341C"/>
    <w:rsid w:val="00A43615"/>
    <w:rsid w:val="00A43618"/>
    <w:rsid w:val="00A43946"/>
    <w:rsid w:val="00A43AD3"/>
    <w:rsid w:val="00A43BFA"/>
    <w:rsid w:val="00A43C73"/>
    <w:rsid w:val="00A43CAB"/>
    <w:rsid w:val="00A43EEB"/>
    <w:rsid w:val="00A43FBF"/>
    <w:rsid w:val="00A4420D"/>
    <w:rsid w:val="00A4421E"/>
    <w:rsid w:val="00A4445D"/>
    <w:rsid w:val="00A445C5"/>
    <w:rsid w:val="00A447C4"/>
    <w:rsid w:val="00A448B1"/>
    <w:rsid w:val="00A44993"/>
    <w:rsid w:val="00A44A47"/>
    <w:rsid w:val="00A44FF6"/>
    <w:rsid w:val="00A45126"/>
    <w:rsid w:val="00A451E7"/>
    <w:rsid w:val="00A452C5"/>
    <w:rsid w:val="00A45680"/>
    <w:rsid w:val="00A456FC"/>
    <w:rsid w:val="00A4571E"/>
    <w:rsid w:val="00A458BE"/>
    <w:rsid w:val="00A45A90"/>
    <w:rsid w:val="00A45D01"/>
    <w:rsid w:val="00A45E52"/>
    <w:rsid w:val="00A45F40"/>
    <w:rsid w:val="00A45FED"/>
    <w:rsid w:val="00A4600E"/>
    <w:rsid w:val="00A46041"/>
    <w:rsid w:val="00A4619E"/>
    <w:rsid w:val="00A462F1"/>
    <w:rsid w:val="00A4681B"/>
    <w:rsid w:val="00A46A43"/>
    <w:rsid w:val="00A46A46"/>
    <w:rsid w:val="00A46ACA"/>
    <w:rsid w:val="00A46EB0"/>
    <w:rsid w:val="00A47034"/>
    <w:rsid w:val="00A47336"/>
    <w:rsid w:val="00A47583"/>
    <w:rsid w:val="00A4775A"/>
    <w:rsid w:val="00A47785"/>
    <w:rsid w:val="00A479FC"/>
    <w:rsid w:val="00A47CC8"/>
    <w:rsid w:val="00A5021C"/>
    <w:rsid w:val="00A502EE"/>
    <w:rsid w:val="00A5055E"/>
    <w:rsid w:val="00A505D8"/>
    <w:rsid w:val="00A508A9"/>
    <w:rsid w:val="00A508BB"/>
    <w:rsid w:val="00A508CD"/>
    <w:rsid w:val="00A50925"/>
    <w:rsid w:val="00A50930"/>
    <w:rsid w:val="00A509C9"/>
    <w:rsid w:val="00A50AED"/>
    <w:rsid w:val="00A50BD3"/>
    <w:rsid w:val="00A50C65"/>
    <w:rsid w:val="00A50CA3"/>
    <w:rsid w:val="00A50D6D"/>
    <w:rsid w:val="00A5100A"/>
    <w:rsid w:val="00A51361"/>
    <w:rsid w:val="00A51391"/>
    <w:rsid w:val="00A51417"/>
    <w:rsid w:val="00A51479"/>
    <w:rsid w:val="00A51574"/>
    <w:rsid w:val="00A516C0"/>
    <w:rsid w:val="00A51806"/>
    <w:rsid w:val="00A51E47"/>
    <w:rsid w:val="00A5226C"/>
    <w:rsid w:val="00A52292"/>
    <w:rsid w:val="00A5268E"/>
    <w:rsid w:val="00A52706"/>
    <w:rsid w:val="00A52713"/>
    <w:rsid w:val="00A5280B"/>
    <w:rsid w:val="00A528F0"/>
    <w:rsid w:val="00A529F7"/>
    <w:rsid w:val="00A52ADE"/>
    <w:rsid w:val="00A531A6"/>
    <w:rsid w:val="00A533F1"/>
    <w:rsid w:val="00A5347F"/>
    <w:rsid w:val="00A535E5"/>
    <w:rsid w:val="00A53630"/>
    <w:rsid w:val="00A53765"/>
    <w:rsid w:val="00A53C1B"/>
    <w:rsid w:val="00A53C8C"/>
    <w:rsid w:val="00A53C96"/>
    <w:rsid w:val="00A53E1C"/>
    <w:rsid w:val="00A53E76"/>
    <w:rsid w:val="00A53EBE"/>
    <w:rsid w:val="00A5400C"/>
    <w:rsid w:val="00A540B2"/>
    <w:rsid w:val="00A54362"/>
    <w:rsid w:val="00A5464F"/>
    <w:rsid w:val="00A547C4"/>
    <w:rsid w:val="00A547D3"/>
    <w:rsid w:val="00A548BD"/>
    <w:rsid w:val="00A5494F"/>
    <w:rsid w:val="00A54D33"/>
    <w:rsid w:val="00A54D44"/>
    <w:rsid w:val="00A54DA9"/>
    <w:rsid w:val="00A54EA3"/>
    <w:rsid w:val="00A5519E"/>
    <w:rsid w:val="00A554A2"/>
    <w:rsid w:val="00A55997"/>
    <w:rsid w:val="00A55CFA"/>
    <w:rsid w:val="00A55D14"/>
    <w:rsid w:val="00A55E7C"/>
    <w:rsid w:val="00A55F72"/>
    <w:rsid w:val="00A55FAA"/>
    <w:rsid w:val="00A55FCD"/>
    <w:rsid w:val="00A55FD0"/>
    <w:rsid w:val="00A56021"/>
    <w:rsid w:val="00A5615A"/>
    <w:rsid w:val="00A56270"/>
    <w:rsid w:val="00A563EB"/>
    <w:rsid w:val="00A563FB"/>
    <w:rsid w:val="00A564CF"/>
    <w:rsid w:val="00A5688E"/>
    <w:rsid w:val="00A56AFB"/>
    <w:rsid w:val="00A56E4C"/>
    <w:rsid w:val="00A57002"/>
    <w:rsid w:val="00A570F0"/>
    <w:rsid w:val="00A571E4"/>
    <w:rsid w:val="00A57473"/>
    <w:rsid w:val="00A57495"/>
    <w:rsid w:val="00A57627"/>
    <w:rsid w:val="00A5779C"/>
    <w:rsid w:val="00A578E2"/>
    <w:rsid w:val="00A57A0D"/>
    <w:rsid w:val="00A57A7F"/>
    <w:rsid w:val="00A57B0A"/>
    <w:rsid w:val="00A6016C"/>
    <w:rsid w:val="00A601B3"/>
    <w:rsid w:val="00A6022E"/>
    <w:rsid w:val="00A6048C"/>
    <w:rsid w:val="00A604C0"/>
    <w:rsid w:val="00A606BD"/>
    <w:rsid w:val="00A6081C"/>
    <w:rsid w:val="00A60867"/>
    <w:rsid w:val="00A60957"/>
    <w:rsid w:val="00A609C7"/>
    <w:rsid w:val="00A60BA5"/>
    <w:rsid w:val="00A60C23"/>
    <w:rsid w:val="00A60C32"/>
    <w:rsid w:val="00A60CF3"/>
    <w:rsid w:val="00A60E1B"/>
    <w:rsid w:val="00A60F62"/>
    <w:rsid w:val="00A61054"/>
    <w:rsid w:val="00A612B9"/>
    <w:rsid w:val="00A61406"/>
    <w:rsid w:val="00A6143D"/>
    <w:rsid w:val="00A6154B"/>
    <w:rsid w:val="00A6158C"/>
    <w:rsid w:val="00A61613"/>
    <w:rsid w:val="00A616AB"/>
    <w:rsid w:val="00A616B6"/>
    <w:rsid w:val="00A61798"/>
    <w:rsid w:val="00A6182D"/>
    <w:rsid w:val="00A61833"/>
    <w:rsid w:val="00A618B9"/>
    <w:rsid w:val="00A61CE6"/>
    <w:rsid w:val="00A61DFD"/>
    <w:rsid w:val="00A61E5E"/>
    <w:rsid w:val="00A61E81"/>
    <w:rsid w:val="00A61F1F"/>
    <w:rsid w:val="00A6222E"/>
    <w:rsid w:val="00A622AD"/>
    <w:rsid w:val="00A6231F"/>
    <w:rsid w:val="00A625AC"/>
    <w:rsid w:val="00A62A62"/>
    <w:rsid w:val="00A62AAA"/>
    <w:rsid w:val="00A62C06"/>
    <w:rsid w:val="00A62C79"/>
    <w:rsid w:val="00A62CE5"/>
    <w:rsid w:val="00A62CE6"/>
    <w:rsid w:val="00A62DA9"/>
    <w:rsid w:val="00A6335D"/>
    <w:rsid w:val="00A63438"/>
    <w:rsid w:val="00A634D9"/>
    <w:rsid w:val="00A638BE"/>
    <w:rsid w:val="00A63E90"/>
    <w:rsid w:val="00A63FE5"/>
    <w:rsid w:val="00A63FFD"/>
    <w:rsid w:val="00A640B0"/>
    <w:rsid w:val="00A641C7"/>
    <w:rsid w:val="00A642D4"/>
    <w:rsid w:val="00A64559"/>
    <w:rsid w:val="00A6476C"/>
    <w:rsid w:val="00A64784"/>
    <w:rsid w:val="00A64A8F"/>
    <w:rsid w:val="00A64D15"/>
    <w:rsid w:val="00A64DD9"/>
    <w:rsid w:val="00A64E57"/>
    <w:rsid w:val="00A64E8A"/>
    <w:rsid w:val="00A65029"/>
    <w:rsid w:val="00A6530E"/>
    <w:rsid w:val="00A65417"/>
    <w:rsid w:val="00A6562C"/>
    <w:rsid w:val="00A65793"/>
    <w:rsid w:val="00A65B03"/>
    <w:rsid w:val="00A65BC7"/>
    <w:rsid w:val="00A65CB1"/>
    <w:rsid w:val="00A65CB5"/>
    <w:rsid w:val="00A65D88"/>
    <w:rsid w:val="00A65DB8"/>
    <w:rsid w:val="00A65F66"/>
    <w:rsid w:val="00A66042"/>
    <w:rsid w:val="00A6605C"/>
    <w:rsid w:val="00A6606A"/>
    <w:rsid w:val="00A660F4"/>
    <w:rsid w:val="00A66173"/>
    <w:rsid w:val="00A661D1"/>
    <w:rsid w:val="00A661DC"/>
    <w:rsid w:val="00A6627F"/>
    <w:rsid w:val="00A66370"/>
    <w:rsid w:val="00A665D6"/>
    <w:rsid w:val="00A66ACD"/>
    <w:rsid w:val="00A66BAA"/>
    <w:rsid w:val="00A66BC4"/>
    <w:rsid w:val="00A66C56"/>
    <w:rsid w:val="00A66D09"/>
    <w:rsid w:val="00A66EB8"/>
    <w:rsid w:val="00A66EEB"/>
    <w:rsid w:val="00A67103"/>
    <w:rsid w:val="00A671E7"/>
    <w:rsid w:val="00A6724B"/>
    <w:rsid w:val="00A672AB"/>
    <w:rsid w:val="00A673B2"/>
    <w:rsid w:val="00A67431"/>
    <w:rsid w:val="00A67442"/>
    <w:rsid w:val="00A6771C"/>
    <w:rsid w:val="00A679EA"/>
    <w:rsid w:val="00A67A42"/>
    <w:rsid w:val="00A67AAD"/>
    <w:rsid w:val="00A67DD2"/>
    <w:rsid w:val="00A67E61"/>
    <w:rsid w:val="00A67F3F"/>
    <w:rsid w:val="00A67F90"/>
    <w:rsid w:val="00A7036B"/>
    <w:rsid w:val="00A7038C"/>
    <w:rsid w:val="00A70554"/>
    <w:rsid w:val="00A707F4"/>
    <w:rsid w:val="00A707F7"/>
    <w:rsid w:val="00A70951"/>
    <w:rsid w:val="00A70A1F"/>
    <w:rsid w:val="00A70A6D"/>
    <w:rsid w:val="00A70A9B"/>
    <w:rsid w:val="00A70CB1"/>
    <w:rsid w:val="00A70D49"/>
    <w:rsid w:val="00A710CD"/>
    <w:rsid w:val="00A71141"/>
    <w:rsid w:val="00A714E2"/>
    <w:rsid w:val="00A71540"/>
    <w:rsid w:val="00A717CD"/>
    <w:rsid w:val="00A719FE"/>
    <w:rsid w:val="00A71C6E"/>
    <w:rsid w:val="00A71CD5"/>
    <w:rsid w:val="00A71DD0"/>
    <w:rsid w:val="00A71EB4"/>
    <w:rsid w:val="00A71FA0"/>
    <w:rsid w:val="00A72160"/>
    <w:rsid w:val="00A721C1"/>
    <w:rsid w:val="00A72200"/>
    <w:rsid w:val="00A725DD"/>
    <w:rsid w:val="00A726CD"/>
    <w:rsid w:val="00A7273B"/>
    <w:rsid w:val="00A72782"/>
    <w:rsid w:val="00A72A6A"/>
    <w:rsid w:val="00A72ADC"/>
    <w:rsid w:val="00A72B29"/>
    <w:rsid w:val="00A72BE6"/>
    <w:rsid w:val="00A72BE8"/>
    <w:rsid w:val="00A72DF1"/>
    <w:rsid w:val="00A72E3A"/>
    <w:rsid w:val="00A72F8F"/>
    <w:rsid w:val="00A72FB5"/>
    <w:rsid w:val="00A72FDC"/>
    <w:rsid w:val="00A7303B"/>
    <w:rsid w:val="00A73270"/>
    <w:rsid w:val="00A732A2"/>
    <w:rsid w:val="00A7350E"/>
    <w:rsid w:val="00A73519"/>
    <w:rsid w:val="00A737D9"/>
    <w:rsid w:val="00A73A3C"/>
    <w:rsid w:val="00A73C36"/>
    <w:rsid w:val="00A73CD7"/>
    <w:rsid w:val="00A73E00"/>
    <w:rsid w:val="00A73F57"/>
    <w:rsid w:val="00A73F7A"/>
    <w:rsid w:val="00A74434"/>
    <w:rsid w:val="00A744C0"/>
    <w:rsid w:val="00A744E3"/>
    <w:rsid w:val="00A745DE"/>
    <w:rsid w:val="00A749F2"/>
    <w:rsid w:val="00A74A57"/>
    <w:rsid w:val="00A74C11"/>
    <w:rsid w:val="00A74C8E"/>
    <w:rsid w:val="00A74F37"/>
    <w:rsid w:val="00A74FAE"/>
    <w:rsid w:val="00A75122"/>
    <w:rsid w:val="00A7523E"/>
    <w:rsid w:val="00A7573F"/>
    <w:rsid w:val="00A759B3"/>
    <w:rsid w:val="00A759F8"/>
    <w:rsid w:val="00A75D5D"/>
    <w:rsid w:val="00A7602A"/>
    <w:rsid w:val="00A761E0"/>
    <w:rsid w:val="00A761EB"/>
    <w:rsid w:val="00A76212"/>
    <w:rsid w:val="00A762D7"/>
    <w:rsid w:val="00A767C0"/>
    <w:rsid w:val="00A76834"/>
    <w:rsid w:val="00A76887"/>
    <w:rsid w:val="00A769D5"/>
    <w:rsid w:val="00A76D10"/>
    <w:rsid w:val="00A76EB6"/>
    <w:rsid w:val="00A76EE3"/>
    <w:rsid w:val="00A773A1"/>
    <w:rsid w:val="00A773A9"/>
    <w:rsid w:val="00A773B4"/>
    <w:rsid w:val="00A773DD"/>
    <w:rsid w:val="00A77819"/>
    <w:rsid w:val="00A77D84"/>
    <w:rsid w:val="00A80004"/>
    <w:rsid w:val="00A804B6"/>
    <w:rsid w:val="00A805B5"/>
    <w:rsid w:val="00A80608"/>
    <w:rsid w:val="00A807B1"/>
    <w:rsid w:val="00A807D4"/>
    <w:rsid w:val="00A80A75"/>
    <w:rsid w:val="00A811AB"/>
    <w:rsid w:val="00A811E0"/>
    <w:rsid w:val="00A8129D"/>
    <w:rsid w:val="00A813C3"/>
    <w:rsid w:val="00A81638"/>
    <w:rsid w:val="00A8181F"/>
    <w:rsid w:val="00A81A70"/>
    <w:rsid w:val="00A81C71"/>
    <w:rsid w:val="00A82283"/>
    <w:rsid w:val="00A82370"/>
    <w:rsid w:val="00A8262E"/>
    <w:rsid w:val="00A827F4"/>
    <w:rsid w:val="00A82830"/>
    <w:rsid w:val="00A829F3"/>
    <w:rsid w:val="00A82A29"/>
    <w:rsid w:val="00A82BE3"/>
    <w:rsid w:val="00A82D2A"/>
    <w:rsid w:val="00A82F68"/>
    <w:rsid w:val="00A82FE8"/>
    <w:rsid w:val="00A83098"/>
    <w:rsid w:val="00A83280"/>
    <w:rsid w:val="00A832D1"/>
    <w:rsid w:val="00A833AD"/>
    <w:rsid w:val="00A833B5"/>
    <w:rsid w:val="00A8342F"/>
    <w:rsid w:val="00A834AE"/>
    <w:rsid w:val="00A836F2"/>
    <w:rsid w:val="00A83E18"/>
    <w:rsid w:val="00A84125"/>
    <w:rsid w:val="00A84166"/>
    <w:rsid w:val="00A84706"/>
    <w:rsid w:val="00A84713"/>
    <w:rsid w:val="00A84861"/>
    <w:rsid w:val="00A848D9"/>
    <w:rsid w:val="00A84904"/>
    <w:rsid w:val="00A8492C"/>
    <w:rsid w:val="00A8496F"/>
    <w:rsid w:val="00A84AAC"/>
    <w:rsid w:val="00A85136"/>
    <w:rsid w:val="00A85144"/>
    <w:rsid w:val="00A85207"/>
    <w:rsid w:val="00A85604"/>
    <w:rsid w:val="00A85651"/>
    <w:rsid w:val="00A85B3E"/>
    <w:rsid w:val="00A85D38"/>
    <w:rsid w:val="00A85D52"/>
    <w:rsid w:val="00A85E00"/>
    <w:rsid w:val="00A86022"/>
    <w:rsid w:val="00A86032"/>
    <w:rsid w:val="00A86035"/>
    <w:rsid w:val="00A86062"/>
    <w:rsid w:val="00A86194"/>
    <w:rsid w:val="00A8633E"/>
    <w:rsid w:val="00A86406"/>
    <w:rsid w:val="00A8641A"/>
    <w:rsid w:val="00A865CA"/>
    <w:rsid w:val="00A865F8"/>
    <w:rsid w:val="00A866D6"/>
    <w:rsid w:val="00A86CA6"/>
    <w:rsid w:val="00A86DBD"/>
    <w:rsid w:val="00A86E5C"/>
    <w:rsid w:val="00A86EDF"/>
    <w:rsid w:val="00A86EE4"/>
    <w:rsid w:val="00A86F0D"/>
    <w:rsid w:val="00A87128"/>
    <w:rsid w:val="00A8736D"/>
    <w:rsid w:val="00A874FD"/>
    <w:rsid w:val="00A875AD"/>
    <w:rsid w:val="00A87676"/>
    <w:rsid w:val="00A87746"/>
    <w:rsid w:val="00A879A2"/>
    <w:rsid w:val="00A87AAB"/>
    <w:rsid w:val="00A87CC9"/>
    <w:rsid w:val="00A87D5A"/>
    <w:rsid w:val="00A87DA1"/>
    <w:rsid w:val="00A90018"/>
    <w:rsid w:val="00A90023"/>
    <w:rsid w:val="00A900D6"/>
    <w:rsid w:val="00A90186"/>
    <w:rsid w:val="00A901E2"/>
    <w:rsid w:val="00A90747"/>
    <w:rsid w:val="00A908B7"/>
    <w:rsid w:val="00A90B44"/>
    <w:rsid w:val="00A90BAC"/>
    <w:rsid w:val="00A90D25"/>
    <w:rsid w:val="00A90E59"/>
    <w:rsid w:val="00A91082"/>
    <w:rsid w:val="00A91164"/>
    <w:rsid w:val="00A911D7"/>
    <w:rsid w:val="00A916DA"/>
    <w:rsid w:val="00A91975"/>
    <w:rsid w:val="00A91C8F"/>
    <w:rsid w:val="00A91CD2"/>
    <w:rsid w:val="00A9204A"/>
    <w:rsid w:val="00A921A9"/>
    <w:rsid w:val="00A9225B"/>
    <w:rsid w:val="00A92350"/>
    <w:rsid w:val="00A923EF"/>
    <w:rsid w:val="00A9251F"/>
    <w:rsid w:val="00A925EB"/>
    <w:rsid w:val="00A9276D"/>
    <w:rsid w:val="00A92A1F"/>
    <w:rsid w:val="00A92C2A"/>
    <w:rsid w:val="00A92CB2"/>
    <w:rsid w:val="00A92DDC"/>
    <w:rsid w:val="00A93150"/>
    <w:rsid w:val="00A9319D"/>
    <w:rsid w:val="00A933C3"/>
    <w:rsid w:val="00A933E6"/>
    <w:rsid w:val="00A934A1"/>
    <w:rsid w:val="00A93541"/>
    <w:rsid w:val="00A935D7"/>
    <w:rsid w:val="00A936CD"/>
    <w:rsid w:val="00A9376D"/>
    <w:rsid w:val="00A93957"/>
    <w:rsid w:val="00A939D6"/>
    <w:rsid w:val="00A939F4"/>
    <w:rsid w:val="00A93E2A"/>
    <w:rsid w:val="00A93F50"/>
    <w:rsid w:val="00A941EA"/>
    <w:rsid w:val="00A9429E"/>
    <w:rsid w:val="00A94388"/>
    <w:rsid w:val="00A945BD"/>
    <w:rsid w:val="00A9481A"/>
    <w:rsid w:val="00A9485D"/>
    <w:rsid w:val="00A948B9"/>
    <w:rsid w:val="00A94944"/>
    <w:rsid w:val="00A94B81"/>
    <w:rsid w:val="00A94C44"/>
    <w:rsid w:val="00A94CB4"/>
    <w:rsid w:val="00A94CF8"/>
    <w:rsid w:val="00A94D70"/>
    <w:rsid w:val="00A950B4"/>
    <w:rsid w:val="00A953A5"/>
    <w:rsid w:val="00A956AD"/>
    <w:rsid w:val="00A957DD"/>
    <w:rsid w:val="00A959D1"/>
    <w:rsid w:val="00A95BF6"/>
    <w:rsid w:val="00A95D8D"/>
    <w:rsid w:val="00A95E91"/>
    <w:rsid w:val="00A9611C"/>
    <w:rsid w:val="00A96279"/>
    <w:rsid w:val="00A96293"/>
    <w:rsid w:val="00A963C6"/>
    <w:rsid w:val="00A964EA"/>
    <w:rsid w:val="00A96A32"/>
    <w:rsid w:val="00A96A6E"/>
    <w:rsid w:val="00A96BDC"/>
    <w:rsid w:val="00A9710F"/>
    <w:rsid w:val="00A97173"/>
    <w:rsid w:val="00A972EA"/>
    <w:rsid w:val="00A9730D"/>
    <w:rsid w:val="00A97469"/>
    <w:rsid w:val="00A975C3"/>
    <w:rsid w:val="00A97757"/>
    <w:rsid w:val="00A97776"/>
    <w:rsid w:val="00A978D6"/>
    <w:rsid w:val="00A97913"/>
    <w:rsid w:val="00A97AB2"/>
    <w:rsid w:val="00A97AF5"/>
    <w:rsid w:val="00A97F13"/>
    <w:rsid w:val="00A97F56"/>
    <w:rsid w:val="00AA00AF"/>
    <w:rsid w:val="00AA02A1"/>
    <w:rsid w:val="00AA031D"/>
    <w:rsid w:val="00AA0461"/>
    <w:rsid w:val="00AA05B8"/>
    <w:rsid w:val="00AA064B"/>
    <w:rsid w:val="00AA0670"/>
    <w:rsid w:val="00AA0A7E"/>
    <w:rsid w:val="00AA1245"/>
    <w:rsid w:val="00AA1465"/>
    <w:rsid w:val="00AA15F7"/>
    <w:rsid w:val="00AA18BE"/>
    <w:rsid w:val="00AA23E2"/>
    <w:rsid w:val="00AA2642"/>
    <w:rsid w:val="00AA271E"/>
    <w:rsid w:val="00AA28A7"/>
    <w:rsid w:val="00AA2E45"/>
    <w:rsid w:val="00AA2EC8"/>
    <w:rsid w:val="00AA3154"/>
    <w:rsid w:val="00AA3273"/>
    <w:rsid w:val="00AA37EF"/>
    <w:rsid w:val="00AA3D2C"/>
    <w:rsid w:val="00AA3E50"/>
    <w:rsid w:val="00AA40DD"/>
    <w:rsid w:val="00AA4928"/>
    <w:rsid w:val="00AA492E"/>
    <w:rsid w:val="00AA4B35"/>
    <w:rsid w:val="00AA4B70"/>
    <w:rsid w:val="00AA4B85"/>
    <w:rsid w:val="00AA4E25"/>
    <w:rsid w:val="00AA4F8E"/>
    <w:rsid w:val="00AA506F"/>
    <w:rsid w:val="00AA5199"/>
    <w:rsid w:val="00AA5627"/>
    <w:rsid w:val="00AA563C"/>
    <w:rsid w:val="00AA56EC"/>
    <w:rsid w:val="00AA57AA"/>
    <w:rsid w:val="00AA5A0C"/>
    <w:rsid w:val="00AA6093"/>
    <w:rsid w:val="00AA6154"/>
    <w:rsid w:val="00AA691B"/>
    <w:rsid w:val="00AA69AA"/>
    <w:rsid w:val="00AA6D52"/>
    <w:rsid w:val="00AA6DB6"/>
    <w:rsid w:val="00AA6FFE"/>
    <w:rsid w:val="00AA750D"/>
    <w:rsid w:val="00AA76D6"/>
    <w:rsid w:val="00AA76FF"/>
    <w:rsid w:val="00AA78C8"/>
    <w:rsid w:val="00AA7AC8"/>
    <w:rsid w:val="00AA7B1E"/>
    <w:rsid w:val="00AA7C40"/>
    <w:rsid w:val="00AA7DBA"/>
    <w:rsid w:val="00AA7F05"/>
    <w:rsid w:val="00AA7F3F"/>
    <w:rsid w:val="00AB00A4"/>
    <w:rsid w:val="00AB013F"/>
    <w:rsid w:val="00AB0222"/>
    <w:rsid w:val="00AB022D"/>
    <w:rsid w:val="00AB02F7"/>
    <w:rsid w:val="00AB043B"/>
    <w:rsid w:val="00AB04D2"/>
    <w:rsid w:val="00AB05B2"/>
    <w:rsid w:val="00AB06A6"/>
    <w:rsid w:val="00AB0868"/>
    <w:rsid w:val="00AB0AA9"/>
    <w:rsid w:val="00AB0B7A"/>
    <w:rsid w:val="00AB0D2C"/>
    <w:rsid w:val="00AB0E3A"/>
    <w:rsid w:val="00AB0F50"/>
    <w:rsid w:val="00AB0FA3"/>
    <w:rsid w:val="00AB1035"/>
    <w:rsid w:val="00AB103D"/>
    <w:rsid w:val="00AB1095"/>
    <w:rsid w:val="00AB112D"/>
    <w:rsid w:val="00AB11DD"/>
    <w:rsid w:val="00AB1336"/>
    <w:rsid w:val="00AB1391"/>
    <w:rsid w:val="00AB13A7"/>
    <w:rsid w:val="00AB13BF"/>
    <w:rsid w:val="00AB1516"/>
    <w:rsid w:val="00AB152C"/>
    <w:rsid w:val="00AB15D0"/>
    <w:rsid w:val="00AB1635"/>
    <w:rsid w:val="00AB1861"/>
    <w:rsid w:val="00AB18A1"/>
    <w:rsid w:val="00AB1C72"/>
    <w:rsid w:val="00AB1FA6"/>
    <w:rsid w:val="00AB201E"/>
    <w:rsid w:val="00AB230A"/>
    <w:rsid w:val="00AB262F"/>
    <w:rsid w:val="00AB2A95"/>
    <w:rsid w:val="00AB2CF9"/>
    <w:rsid w:val="00AB2D02"/>
    <w:rsid w:val="00AB2D5E"/>
    <w:rsid w:val="00AB2DCE"/>
    <w:rsid w:val="00AB2EAB"/>
    <w:rsid w:val="00AB3005"/>
    <w:rsid w:val="00AB3097"/>
    <w:rsid w:val="00AB3211"/>
    <w:rsid w:val="00AB32A0"/>
    <w:rsid w:val="00AB338E"/>
    <w:rsid w:val="00AB38FD"/>
    <w:rsid w:val="00AB3B44"/>
    <w:rsid w:val="00AB3C61"/>
    <w:rsid w:val="00AB3D2B"/>
    <w:rsid w:val="00AB3EF0"/>
    <w:rsid w:val="00AB4312"/>
    <w:rsid w:val="00AB434B"/>
    <w:rsid w:val="00AB4583"/>
    <w:rsid w:val="00AB4A63"/>
    <w:rsid w:val="00AB4A73"/>
    <w:rsid w:val="00AB4EEA"/>
    <w:rsid w:val="00AB53B6"/>
    <w:rsid w:val="00AB5A9C"/>
    <w:rsid w:val="00AB5AFB"/>
    <w:rsid w:val="00AB5B79"/>
    <w:rsid w:val="00AB5CC4"/>
    <w:rsid w:val="00AB5D04"/>
    <w:rsid w:val="00AB60B3"/>
    <w:rsid w:val="00AB6120"/>
    <w:rsid w:val="00AB6299"/>
    <w:rsid w:val="00AB67BE"/>
    <w:rsid w:val="00AB697A"/>
    <w:rsid w:val="00AB6983"/>
    <w:rsid w:val="00AB6B9E"/>
    <w:rsid w:val="00AB6F5E"/>
    <w:rsid w:val="00AB7017"/>
    <w:rsid w:val="00AB7087"/>
    <w:rsid w:val="00AB715A"/>
    <w:rsid w:val="00AB7582"/>
    <w:rsid w:val="00AB784A"/>
    <w:rsid w:val="00AB7CAF"/>
    <w:rsid w:val="00AB7E44"/>
    <w:rsid w:val="00AB7F40"/>
    <w:rsid w:val="00AB7FEF"/>
    <w:rsid w:val="00AC0229"/>
    <w:rsid w:val="00AC0339"/>
    <w:rsid w:val="00AC0484"/>
    <w:rsid w:val="00AC0533"/>
    <w:rsid w:val="00AC0606"/>
    <w:rsid w:val="00AC063D"/>
    <w:rsid w:val="00AC0674"/>
    <w:rsid w:val="00AC07C9"/>
    <w:rsid w:val="00AC0985"/>
    <w:rsid w:val="00AC0A1A"/>
    <w:rsid w:val="00AC0B74"/>
    <w:rsid w:val="00AC129E"/>
    <w:rsid w:val="00AC133A"/>
    <w:rsid w:val="00AC1849"/>
    <w:rsid w:val="00AC1905"/>
    <w:rsid w:val="00AC1986"/>
    <w:rsid w:val="00AC19EB"/>
    <w:rsid w:val="00AC1AA3"/>
    <w:rsid w:val="00AC1C32"/>
    <w:rsid w:val="00AC1D42"/>
    <w:rsid w:val="00AC1ED0"/>
    <w:rsid w:val="00AC1F59"/>
    <w:rsid w:val="00AC20EB"/>
    <w:rsid w:val="00AC2239"/>
    <w:rsid w:val="00AC2583"/>
    <w:rsid w:val="00AC267A"/>
    <w:rsid w:val="00AC2988"/>
    <w:rsid w:val="00AC2E09"/>
    <w:rsid w:val="00AC3089"/>
    <w:rsid w:val="00AC3284"/>
    <w:rsid w:val="00AC33D6"/>
    <w:rsid w:val="00AC346B"/>
    <w:rsid w:val="00AC3587"/>
    <w:rsid w:val="00AC3844"/>
    <w:rsid w:val="00AC38DD"/>
    <w:rsid w:val="00AC38EF"/>
    <w:rsid w:val="00AC3A4D"/>
    <w:rsid w:val="00AC3A8A"/>
    <w:rsid w:val="00AC3B14"/>
    <w:rsid w:val="00AC3C1F"/>
    <w:rsid w:val="00AC3DC2"/>
    <w:rsid w:val="00AC40F3"/>
    <w:rsid w:val="00AC4341"/>
    <w:rsid w:val="00AC43E7"/>
    <w:rsid w:val="00AC450C"/>
    <w:rsid w:val="00AC4894"/>
    <w:rsid w:val="00AC4BCB"/>
    <w:rsid w:val="00AC4E00"/>
    <w:rsid w:val="00AC4F20"/>
    <w:rsid w:val="00AC4F43"/>
    <w:rsid w:val="00AC4F5B"/>
    <w:rsid w:val="00AC533A"/>
    <w:rsid w:val="00AC5453"/>
    <w:rsid w:val="00AC561B"/>
    <w:rsid w:val="00AC5717"/>
    <w:rsid w:val="00AC5896"/>
    <w:rsid w:val="00AC5BF9"/>
    <w:rsid w:val="00AC5C31"/>
    <w:rsid w:val="00AC5CB2"/>
    <w:rsid w:val="00AC5E0F"/>
    <w:rsid w:val="00AC5E19"/>
    <w:rsid w:val="00AC618B"/>
    <w:rsid w:val="00AC63A5"/>
    <w:rsid w:val="00AC67FE"/>
    <w:rsid w:val="00AC6CB1"/>
    <w:rsid w:val="00AC706A"/>
    <w:rsid w:val="00AC7114"/>
    <w:rsid w:val="00AC7426"/>
    <w:rsid w:val="00AC75D4"/>
    <w:rsid w:val="00AC76DA"/>
    <w:rsid w:val="00AC76E1"/>
    <w:rsid w:val="00AC790D"/>
    <w:rsid w:val="00AC7F62"/>
    <w:rsid w:val="00AC7F70"/>
    <w:rsid w:val="00AD0402"/>
    <w:rsid w:val="00AD046A"/>
    <w:rsid w:val="00AD05F2"/>
    <w:rsid w:val="00AD07C3"/>
    <w:rsid w:val="00AD0B4F"/>
    <w:rsid w:val="00AD0B94"/>
    <w:rsid w:val="00AD0BCF"/>
    <w:rsid w:val="00AD0ED1"/>
    <w:rsid w:val="00AD0EFA"/>
    <w:rsid w:val="00AD1006"/>
    <w:rsid w:val="00AD1146"/>
    <w:rsid w:val="00AD11D3"/>
    <w:rsid w:val="00AD13BC"/>
    <w:rsid w:val="00AD155C"/>
    <w:rsid w:val="00AD1572"/>
    <w:rsid w:val="00AD15B6"/>
    <w:rsid w:val="00AD1900"/>
    <w:rsid w:val="00AD19C3"/>
    <w:rsid w:val="00AD1A27"/>
    <w:rsid w:val="00AD1A48"/>
    <w:rsid w:val="00AD2076"/>
    <w:rsid w:val="00AD210E"/>
    <w:rsid w:val="00AD21A4"/>
    <w:rsid w:val="00AD2258"/>
    <w:rsid w:val="00AD235E"/>
    <w:rsid w:val="00AD251F"/>
    <w:rsid w:val="00AD27FF"/>
    <w:rsid w:val="00AD2930"/>
    <w:rsid w:val="00AD2ADE"/>
    <w:rsid w:val="00AD2B5C"/>
    <w:rsid w:val="00AD2C30"/>
    <w:rsid w:val="00AD2CC6"/>
    <w:rsid w:val="00AD2E94"/>
    <w:rsid w:val="00AD2F64"/>
    <w:rsid w:val="00AD2FC4"/>
    <w:rsid w:val="00AD2FD2"/>
    <w:rsid w:val="00AD33AF"/>
    <w:rsid w:val="00AD3552"/>
    <w:rsid w:val="00AD370D"/>
    <w:rsid w:val="00AD3939"/>
    <w:rsid w:val="00AD3B53"/>
    <w:rsid w:val="00AD3CCC"/>
    <w:rsid w:val="00AD3EAF"/>
    <w:rsid w:val="00AD3FFD"/>
    <w:rsid w:val="00AD411A"/>
    <w:rsid w:val="00AD42E2"/>
    <w:rsid w:val="00AD4562"/>
    <w:rsid w:val="00AD4627"/>
    <w:rsid w:val="00AD4647"/>
    <w:rsid w:val="00AD46F1"/>
    <w:rsid w:val="00AD473E"/>
    <w:rsid w:val="00AD486A"/>
    <w:rsid w:val="00AD4A8C"/>
    <w:rsid w:val="00AD4C7E"/>
    <w:rsid w:val="00AD4CA6"/>
    <w:rsid w:val="00AD4F5D"/>
    <w:rsid w:val="00AD4F8F"/>
    <w:rsid w:val="00AD5058"/>
    <w:rsid w:val="00AD50AE"/>
    <w:rsid w:val="00AD50E9"/>
    <w:rsid w:val="00AD537B"/>
    <w:rsid w:val="00AD5387"/>
    <w:rsid w:val="00AD550C"/>
    <w:rsid w:val="00AD557C"/>
    <w:rsid w:val="00AD5629"/>
    <w:rsid w:val="00AD5632"/>
    <w:rsid w:val="00AD5A03"/>
    <w:rsid w:val="00AD5B00"/>
    <w:rsid w:val="00AD5B11"/>
    <w:rsid w:val="00AD5D00"/>
    <w:rsid w:val="00AD5D25"/>
    <w:rsid w:val="00AD5FC0"/>
    <w:rsid w:val="00AD6035"/>
    <w:rsid w:val="00AD617F"/>
    <w:rsid w:val="00AD6253"/>
    <w:rsid w:val="00AD63A8"/>
    <w:rsid w:val="00AD6563"/>
    <w:rsid w:val="00AD65D7"/>
    <w:rsid w:val="00AD66B7"/>
    <w:rsid w:val="00AD66ED"/>
    <w:rsid w:val="00AD66F2"/>
    <w:rsid w:val="00AD69EB"/>
    <w:rsid w:val="00AD6B86"/>
    <w:rsid w:val="00AD6C6B"/>
    <w:rsid w:val="00AD6E4A"/>
    <w:rsid w:val="00AD6EEA"/>
    <w:rsid w:val="00AD7143"/>
    <w:rsid w:val="00AD71B0"/>
    <w:rsid w:val="00AD72FE"/>
    <w:rsid w:val="00AD7406"/>
    <w:rsid w:val="00AD7473"/>
    <w:rsid w:val="00AD7677"/>
    <w:rsid w:val="00AD772F"/>
    <w:rsid w:val="00AD7739"/>
    <w:rsid w:val="00AD7838"/>
    <w:rsid w:val="00AD78B4"/>
    <w:rsid w:val="00AD792F"/>
    <w:rsid w:val="00AD79B1"/>
    <w:rsid w:val="00AD7BF0"/>
    <w:rsid w:val="00AD7C0C"/>
    <w:rsid w:val="00AD7DCC"/>
    <w:rsid w:val="00AD7EB0"/>
    <w:rsid w:val="00AE00C9"/>
    <w:rsid w:val="00AE00E5"/>
    <w:rsid w:val="00AE048F"/>
    <w:rsid w:val="00AE0C89"/>
    <w:rsid w:val="00AE0DAC"/>
    <w:rsid w:val="00AE0E6C"/>
    <w:rsid w:val="00AE0EEE"/>
    <w:rsid w:val="00AE0EF6"/>
    <w:rsid w:val="00AE1080"/>
    <w:rsid w:val="00AE1298"/>
    <w:rsid w:val="00AE12A7"/>
    <w:rsid w:val="00AE136F"/>
    <w:rsid w:val="00AE1387"/>
    <w:rsid w:val="00AE1446"/>
    <w:rsid w:val="00AE15B0"/>
    <w:rsid w:val="00AE1671"/>
    <w:rsid w:val="00AE1AC5"/>
    <w:rsid w:val="00AE1C88"/>
    <w:rsid w:val="00AE1D56"/>
    <w:rsid w:val="00AE1DD3"/>
    <w:rsid w:val="00AE1E0D"/>
    <w:rsid w:val="00AE1E4B"/>
    <w:rsid w:val="00AE1EE0"/>
    <w:rsid w:val="00AE1FDE"/>
    <w:rsid w:val="00AE20CC"/>
    <w:rsid w:val="00AE2184"/>
    <w:rsid w:val="00AE23F2"/>
    <w:rsid w:val="00AE2490"/>
    <w:rsid w:val="00AE24A0"/>
    <w:rsid w:val="00AE24D2"/>
    <w:rsid w:val="00AE268E"/>
    <w:rsid w:val="00AE26E4"/>
    <w:rsid w:val="00AE274B"/>
    <w:rsid w:val="00AE2769"/>
    <w:rsid w:val="00AE28F2"/>
    <w:rsid w:val="00AE2B60"/>
    <w:rsid w:val="00AE2B61"/>
    <w:rsid w:val="00AE2BD6"/>
    <w:rsid w:val="00AE2EAD"/>
    <w:rsid w:val="00AE2FB2"/>
    <w:rsid w:val="00AE2FC2"/>
    <w:rsid w:val="00AE3028"/>
    <w:rsid w:val="00AE329A"/>
    <w:rsid w:val="00AE32AE"/>
    <w:rsid w:val="00AE335F"/>
    <w:rsid w:val="00AE3501"/>
    <w:rsid w:val="00AE3552"/>
    <w:rsid w:val="00AE35E4"/>
    <w:rsid w:val="00AE3912"/>
    <w:rsid w:val="00AE3974"/>
    <w:rsid w:val="00AE3CB4"/>
    <w:rsid w:val="00AE3E55"/>
    <w:rsid w:val="00AE40BE"/>
    <w:rsid w:val="00AE44BF"/>
    <w:rsid w:val="00AE45DF"/>
    <w:rsid w:val="00AE4A54"/>
    <w:rsid w:val="00AE4AF2"/>
    <w:rsid w:val="00AE4B2B"/>
    <w:rsid w:val="00AE4B8A"/>
    <w:rsid w:val="00AE4B9C"/>
    <w:rsid w:val="00AE4C2D"/>
    <w:rsid w:val="00AE4C99"/>
    <w:rsid w:val="00AE4DF4"/>
    <w:rsid w:val="00AE4FAA"/>
    <w:rsid w:val="00AE5034"/>
    <w:rsid w:val="00AE513A"/>
    <w:rsid w:val="00AE516D"/>
    <w:rsid w:val="00AE517B"/>
    <w:rsid w:val="00AE52F0"/>
    <w:rsid w:val="00AE52F5"/>
    <w:rsid w:val="00AE561E"/>
    <w:rsid w:val="00AE56B5"/>
    <w:rsid w:val="00AE5722"/>
    <w:rsid w:val="00AE5C0B"/>
    <w:rsid w:val="00AE5D78"/>
    <w:rsid w:val="00AE5E6D"/>
    <w:rsid w:val="00AE5F37"/>
    <w:rsid w:val="00AE61B4"/>
    <w:rsid w:val="00AE640D"/>
    <w:rsid w:val="00AE66B3"/>
    <w:rsid w:val="00AE67BE"/>
    <w:rsid w:val="00AE6849"/>
    <w:rsid w:val="00AE68D3"/>
    <w:rsid w:val="00AE6B55"/>
    <w:rsid w:val="00AE6B99"/>
    <w:rsid w:val="00AE6BF3"/>
    <w:rsid w:val="00AE6C02"/>
    <w:rsid w:val="00AE6DA8"/>
    <w:rsid w:val="00AE7090"/>
    <w:rsid w:val="00AE7326"/>
    <w:rsid w:val="00AE7428"/>
    <w:rsid w:val="00AE7506"/>
    <w:rsid w:val="00AE7511"/>
    <w:rsid w:val="00AE762E"/>
    <w:rsid w:val="00AE77C1"/>
    <w:rsid w:val="00AE77C2"/>
    <w:rsid w:val="00AE79A3"/>
    <w:rsid w:val="00AE7C00"/>
    <w:rsid w:val="00AE7CD1"/>
    <w:rsid w:val="00AE7CF0"/>
    <w:rsid w:val="00AE7CFB"/>
    <w:rsid w:val="00AE7FE6"/>
    <w:rsid w:val="00AF00D0"/>
    <w:rsid w:val="00AF03C7"/>
    <w:rsid w:val="00AF05B5"/>
    <w:rsid w:val="00AF06CD"/>
    <w:rsid w:val="00AF0793"/>
    <w:rsid w:val="00AF0B0C"/>
    <w:rsid w:val="00AF0CEA"/>
    <w:rsid w:val="00AF0EAE"/>
    <w:rsid w:val="00AF0EE9"/>
    <w:rsid w:val="00AF103E"/>
    <w:rsid w:val="00AF11D5"/>
    <w:rsid w:val="00AF151F"/>
    <w:rsid w:val="00AF155E"/>
    <w:rsid w:val="00AF17E6"/>
    <w:rsid w:val="00AF1A1A"/>
    <w:rsid w:val="00AF1A65"/>
    <w:rsid w:val="00AF1C29"/>
    <w:rsid w:val="00AF1CD4"/>
    <w:rsid w:val="00AF1CFB"/>
    <w:rsid w:val="00AF1EDB"/>
    <w:rsid w:val="00AF225A"/>
    <w:rsid w:val="00AF23EA"/>
    <w:rsid w:val="00AF24EA"/>
    <w:rsid w:val="00AF25A0"/>
    <w:rsid w:val="00AF268A"/>
    <w:rsid w:val="00AF284D"/>
    <w:rsid w:val="00AF28AC"/>
    <w:rsid w:val="00AF28DF"/>
    <w:rsid w:val="00AF2F33"/>
    <w:rsid w:val="00AF2FA3"/>
    <w:rsid w:val="00AF34E7"/>
    <w:rsid w:val="00AF35A5"/>
    <w:rsid w:val="00AF35F9"/>
    <w:rsid w:val="00AF391B"/>
    <w:rsid w:val="00AF3965"/>
    <w:rsid w:val="00AF3AEB"/>
    <w:rsid w:val="00AF3D61"/>
    <w:rsid w:val="00AF3FE6"/>
    <w:rsid w:val="00AF404A"/>
    <w:rsid w:val="00AF41C1"/>
    <w:rsid w:val="00AF4562"/>
    <w:rsid w:val="00AF456C"/>
    <w:rsid w:val="00AF45D4"/>
    <w:rsid w:val="00AF4959"/>
    <w:rsid w:val="00AF497F"/>
    <w:rsid w:val="00AF4A88"/>
    <w:rsid w:val="00AF4AF9"/>
    <w:rsid w:val="00AF4B42"/>
    <w:rsid w:val="00AF4BDC"/>
    <w:rsid w:val="00AF4EA4"/>
    <w:rsid w:val="00AF4F1B"/>
    <w:rsid w:val="00AF515C"/>
    <w:rsid w:val="00AF518C"/>
    <w:rsid w:val="00AF52EE"/>
    <w:rsid w:val="00AF5305"/>
    <w:rsid w:val="00AF533D"/>
    <w:rsid w:val="00AF541A"/>
    <w:rsid w:val="00AF5559"/>
    <w:rsid w:val="00AF58D6"/>
    <w:rsid w:val="00AF599D"/>
    <w:rsid w:val="00AF59DD"/>
    <w:rsid w:val="00AF5A5B"/>
    <w:rsid w:val="00AF5A6D"/>
    <w:rsid w:val="00AF5CBD"/>
    <w:rsid w:val="00AF624E"/>
    <w:rsid w:val="00AF6308"/>
    <w:rsid w:val="00AF64BF"/>
    <w:rsid w:val="00AF656D"/>
    <w:rsid w:val="00AF66BC"/>
    <w:rsid w:val="00AF66F2"/>
    <w:rsid w:val="00AF6D82"/>
    <w:rsid w:val="00AF6EBC"/>
    <w:rsid w:val="00AF6F64"/>
    <w:rsid w:val="00AF6F6D"/>
    <w:rsid w:val="00AF6FF0"/>
    <w:rsid w:val="00AF6FF8"/>
    <w:rsid w:val="00AF70C9"/>
    <w:rsid w:val="00AF71AC"/>
    <w:rsid w:val="00AF769A"/>
    <w:rsid w:val="00AF770B"/>
    <w:rsid w:val="00AF7891"/>
    <w:rsid w:val="00AF78A7"/>
    <w:rsid w:val="00AF7C84"/>
    <w:rsid w:val="00AF7C92"/>
    <w:rsid w:val="00AF7CA8"/>
    <w:rsid w:val="00AF7DD7"/>
    <w:rsid w:val="00B002CE"/>
    <w:rsid w:val="00B00392"/>
    <w:rsid w:val="00B006E6"/>
    <w:rsid w:val="00B00769"/>
    <w:rsid w:val="00B008C7"/>
    <w:rsid w:val="00B008D3"/>
    <w:rsid w:val="00B0090E"/>
    <w:rsid w:val="00B00D7E"/>
    <w:rsid w:val="00B01027"/>
    <w:rsid w:val="00B01111"/>
    <w:rsid w:val="00B01421"/>
    <w:rsid w:val="00B01675"/>
    <w:rsid w:val="00B0178E"/>
    <w:rsid w:val="00B017FD"/>
    <w:rsid w:val="00B018BA"/>
    <w:rsid w:val="00B018FE"/>
    <w:rsid w:val="00B01967"/>
    <w:rsid w:val="00B01CA4"/>
    <w:rsid w:val="00B01F3F"/>
    <w:rsid w:val="00B020AA"/>
    <w:rsid w:val="00B0211B"/>
    <w:rsid w:val="00B022CD"/>
    <w:rsid w:val="00B025C2"/>
    <w:rsid w:val="00B02E9F"/>
    <w:rsid w:val="00B02FF5"/>
    <w:rsid w:val="00B030E3"/>
    <w:rsid w:val="00B03443"/>
    <w:rsid w:val="00B035E3"/>
    <w:rsid w:val="00B036C7"/>
    <w:rsid w:val="00B0378B"/>
    <w:rsid w:val="00B03A39"/>
    <w:rsid w:val="00B03F57"/>
    <w:rsid w:val="00B03F6E"/>
    <w:rsid w:val="00B03FC9"/>
    <w:rsid w:val="00B043D3"/>
    <w:rsid w:val="00B0449E"/>
    <w:rsid w:val="00B04743"/>
    <w:rsid w:val="00B052F1"/>
    <w:rsid w:val="00B05529"/>
    <w:rsid w:val="00B056D8"/>
    <w:rsid w:val="00B059B9"/>
    <w:rsid w:val="00B05B5B"/>
    <w:rsid w:val="00B05E37"/>
    <w:rsid w:val="00B05E4E"/>
    <w:rsid w:val="00B06033"/>
    <w:rsid w:val="00B06231"/>
    <w:rsid w:val="00B06382"/>
    <w:rsid w:val="00B06812"/>
    <w:rsid w:val="00B0691B"/>
    <w:rsid w:val="00B0697D"/>
    <w:rsid w:val="00B06B52"/>
    <w:rsid w:val="00B06BB9"/>
    <w:rsid w:val="00B06DDE"/>
    <w:rsid w:val="00B06DE4"/>
    <w:rsid w:val="00B06F9D"/>
    <w:rsid w:val="00B0708A"/>
    <w:rsid w:val="00B07991"/>
    <w:rsid w:val="00B07AD3"/>
    <w:rsid w:val="00B07BB2"/>
    <w:rsid w:val="00B07BCA"/>
    <w:rsid w:val="00B07E4F"/>
    <w:rsid w:val="00B07EEF"/>
    <w:rsid w:val="00B07F7D"/>
    <w:rsid w:val="00B10081"/>
    <w:rsid w:val="00B100EA"/>
    <w:rsid w:val="00B101E9"/>
    <w:rsid w:val="00B105C9"/>
    <w:rsid w:val="00B105CD"/>
    <w:rsid w:val="00B106E9"/>
    <w:rsid w:val="00B10B09"/>
    <w:rsid w:val="00B10B49"/>
    <w:rsid w:val="00B10B6A"/>
    <w:rsid w:val="00B10C9A"/>
    <w:rsid w:val="00B10CAB"/>
    <w:rsid w:val="00B10D37"/>
    <w:rsid w:val="00B10DD3"/>
    <w:rsid w:val="00B10EA0"/>
    <w:rsid w:val="00B10EFA"/>
    <w:rsid w:val="00B10F21"/>
    <w:rsid w:val="00B1112A"/>
    <w:rsid w:val="00B11141"/>
    <w:rsid w:val="00B111C8"/>
    <w:rsid w:val="00B111E2"/>
    <w:rsid w:val="00B11215"/>
    <w:rsid w:val="00B112D3"/>
    <w:rsid w:val="00B113B6"/>
    <w:rsid w:val="00B11412"/>
    <w:rsid w:val="00B11463"/>
    <w:rsid w:val="00B117BD"/>
    <w:rsid w:val="00B118F7"/>
    <w:rsid w:val="00B119E4"/>
    <w:rsid w:val="00B11C71"/>
    <w:rsid w:val="00B121B8"/>
    <w:rsid w:val="00B12374"/>
    <w:rsid w:val="00B123FD"/>
    <w:rsid w:val="00B12469"/>
    <w:rsid w:val="00B124B2"/>
    <w:rsid w:val="00B1259C"/>
    <w:rsid w:val="00B125DC"/>
    <w:rsid w:val="00B127B9"/>
    <w:rsid w:val="00B127DE"/>
    <w:rsid w:val="00B127F4"/>
    <w:rsid w:val="00B12A3A"/>
    <w:rsid w:val="00B12B7E"/>
    <w:rsid w:val="00B12D33"/>
    <w:rsid w:val="00B12E6B"/>
    <w:rsid w:val="00B13318"/>
    <w:rsid w:val="00B13322"/>
    <w:rsid w:val="00B1332B"/>
    <w:rsid w:val="00B1347F"/>
    <w:rsid w:val="00B134A5"/>
    <w:rsid w:val="00B136CF"/>
    <w:rsid w:val="00B13734"/>
    <w:rsid w:val="00B1377E"/>
    <w:rsid w:val="00B13840"/>
    <w:rsid w:val="00B13921"/>
    <w:rsid w:val="00B13E42"/>
    <w:rsid w:val="00B13FDC"/>
    <w:rsid w:val="00B14087"/>
    <w:rsid w:val="00B14303"/>
    <w:rsid w:val="00B14583"/>
    <w:rsid w:val="00B1486C"/>
    <w:rsid w:val="00B148CC"/>
    <w:rsid w:val="00B149F8"/>
    <w:rsid w:val="00B14A26"/>
    <w:rsid w:val="00B14B73"/>
    <w:rsid w:val="00B14B75"/>
    <w:rsid w:val="00B14C1B"/>
    <w:rsid w:val="00B14C61"/>
    <w:rsid w:val="00B14CA7"/>
    <w:rsid w:val="00B14E3A"/>
    <w:rsid w:val="00B14FFD"/>
    <w:rsid w:val="00B150A1"/>
    <w:rsid w:val="00B1524A"/>
    <w:rsid w:val="00B15337"/>
    <w:rsid w:val="00B153E4"/>
    <w:rsid w:val="00B15513"/>
    <w:rsid w:val="00B1557F"/>
    <w:rsid w:val="00B1575E"/>
    <w:rsid w:val="00B15868"/>
    <w:rsid w:val="00B15AB9"/>
    <w:rsid w:val="00B15B5E"/>
    <w:rsid w:val="00B15BA7"/>
    <w:rsid w:val="00B15D02"/>
    <w:rsid w:val="00B15D5A"/>
    <w:rsid w:val="00B15DCF"/>
    <w:rsid w:val="00B15E68"/>
    <w:rsid w:val="00B15E76"/>
    <w:rsid w:val="00B15EA0"/>
    <w:rsid w:val="00B164AE"/>
    <w:rsid w:val="00B1653B"/>
    <w:rsid w:val="00B1658A"/>
    <w:rsid w:val="00B16857"/>
    <w:rsid w:val="00B16948"/>
    <w:rsid w:val="00B16A60"/>
    <w:rsid w:val="00B16B0A"/>
    <w:rsid w:val="00B16F5E"/>
    <w:rsid w:val="00B1710D"/>
    <w:rsid w:val="00B17125"/>
    <w:rsid w:val="00B171A5"/>
    <w:rsid w:val="00B17316"/>
    <w:rsid w:val="00B17617"/>
    <w:rsid w:val="00B176F0"/>
    <w:rsid w:val="00B17844"/>
    <w:rsid w:val="00B178DA"/>
    <w:rsid w:val="00B179BD"/>
    <w:rsid w:val="00B17AEC"/>
    <w:rsid w:val="00B17AF7"/>
    <w:rsid w:val="00B17C05"/>
    <w:rsid w:val="00B17F77"/>
    <w:rsid w:val="00B20062"/>
    <w:rsid w:val="00B20067"/>
    <w:rsid w:val="00B205B0"/>
    <w:rsid w:val="00B2065E"/>
    <w:rsid w:val="00B2067C"/>
    <w:rsid w:val="00B20887"/>
    <w:rsid w:val="00B20B04"/>
    <w:rsid w:val="00B20C59"/>
    <w:rsid w:val="00B20CD1"/>
    <w:rsid w:val="00B20E41"/>
    <w:rsid w:val="00B20E6B"/>
    <w:rsid w:val="00B20FFE"/>
    <w:rsid w:val="00B2109B"/>
    <w:rsid w:val="00B21180"/>
    <w:rsid w:val="00B2137B"/>
    <w:rsid w:val="00B21424"/>
    <w:rsid w:val="00B2160F"/>
    <w:rsid w:val="00B2179A"/>
    <w:rsid w:val="00B21B31"/>
    <w:rsid w:val="00B21C8F"/>
    <w:rsid w:val="00B21CF0"/>
    <w:rsid w:val="00B21D17"/>
    <w:rsid w:val="00B21D9B"/>
    <w:rsid w:val="00B21FE3"/>
    <w:rsid w:val="00B2229B"/>
    <w:rsid w:val="00B225B2"/>
    <w:rsid w:val="00B225F3"/>
    <w:rsid w:val="00B22640"/>
    <w:rsid w:val="00B227B2"/>
    <w:rsid w:val="00B22901"/>
    <w:rsid w:val="00B22975"/>
    <w:rsid w:val="00B229A1"/>
    <w:rsid w:val="00B22CAD"/>
    <w:rsid w:val="00B22CD3"/>
    <w:rsid w:val="00B22CF8"/>
    <w:rsid w:val="00B230FA"/>
    <w:rsid w:val="00B236D7"/>
    <w:rsid w:val="00B23992"/>
    <w:rsid w:val="00B23CA0"/>
    <w:rsid w:val="00B2408F"/>
    <w:rsid w:val="00B240B1"/>
    <w:rsid w:val="00B241FB"/>
    <w:rsid w:val="00B242AC"/>
    <w:rsid w:val="00B2442F"/>
    <w:rsid w:val="00B24531"/>
    <w:rsid w:val="00B24899"/>
    <w:rsid w:val="00B24A87"/>
    <w:rsid w:val="00B24E76"/>
    <w:rsid w:val="00B24EDB"/>
    <w:rsid w:val="00B2518A"/>
    <w:rsid w:val="00B25625"/>
    <w:rsid w:val="00B2569A"/>
    <w:rsid w:val="00B256A1"/>
    <w:rsid w:val="00B256E8"/>
    <w:rsid w:val="00B25832"/>
    <w:rsid w:val="00B258EF"/>
    <w:rsid w:val="00B258FA"/>
    <w:rsid w:val="00B25909"/>
    <w:rsid w:val="00B2596F"/>
    <w:rsid w:val="00B25A26"/>
    <w:rsid w:val="00B25B22"/>
    <w:rsid w:val="00B25E75"/>
    <w:rsid w:val="00B25FDE"/>
    <w:rsid w:val="00B260F1"/>
    <w:rsid w:val="00B2627B"/>
    <w:rsid w:val="00B26464"/>
    <w:rsid w:val="00B264C2"/>
    <w:rsid w:val="00B2664C"/>
    <w:rsid w:val="00B26843"/>
    <w:rsid w:val="00B26D78"/>
    <w:rsid w:val="00B26F06"/>
    <w:rsid w:val="00B26F58"/>
    <w:rsid w:val="00B26F60"/>
    <w:rsid w:val="00B272A3"/>
    <w:rsid w:val="00B272BA"/>
    <w:rsid w:val="00B27450"/>
    <w:rsid w:val="00B27575"/>
    <w:rsid w:val="00B27897"/>
    <w:rsid w:val="00B2797A"/>
    <w:rsid w:val="00B279D2"/>
    <w:rsid w:val="00B27ABD"/>
    <w:rsid w:val="00B27BD0"/>
    <w:rsid w:val="00B27F11"/>
    <w:rsid w:val="00B300E7"/>
    <w:rsid w:val="00B30478"/>
    <w:rsid w:val="00B304CF"/>
    <w:rsid w:val="00B305C0"/>
    <w:rsid w:val="00B30859"/>
    <w:rsid w:val="00B30867"/>
    <w:rsid w:val="00B309C5"/>
    <w:rsid w:val="00B30A06"/>
    <w:rsid w:val="00B30AAD"/>
    <w:rsid w:val="00B30AEE"/>
    <w:rsid w:val="00B30B54"/>
    <w:rsid w:val="00B30C3A"/>
    <w:rsid w:val="00B30C70"/>
    <w:rsid w:val="00B30E47"/>
    <w:rsid w:val="00B30FD6"/>
    <w:rsid w:val="00B31338"/>
    <w:rsid w:val="00B3148D"/>
    <w:rsid w:val="00B3158C"/>
    <w:rsid w:val="00B3166F"/>
    <w:rsid w:val="00B316B4"/>
    <w:rsid w:val="00B3192C"/>
    <w:rsid w:val="00B31962"/>
    <w:rsid w:val="00B31B21"/>
    <w:rsid w:val="00B31BCC"/>
    <w:rsid w:val="00B31DFA"/>
    <w:rsid w:val="00B320CB"/>
    <w:rsid w:val="00B3214A"/>
    <w:rsid w:val="00B3216C"/>
    <w:rsid w:val="00B3231D"/>
    <w:rsid w:val="00B32408"/>
    <w:rsid w:val="00B324BA"/>
    <w:rsid w:val="00B32A52"/>
    <w:rsid w:val="00B32AEA"/>
    <w:rsid w:val="00B32CE8"/>
    <w:rsid w:val="00B32E65"/>
    <w:rsid w:val="00B32FAE"/>
    <w:rsid w:val="00B3310D"/>
    <w:rsid w:val="00B337AB"/>
    <w:rsid w:val="00B33A61"/>
    <w:rsid w:val="00B33E29"/>
    <w:rsid w:val="00B33EFF"/>
    <w:rsid w:val="00B33F5C"/>
    <w:rsid w:val="00B34091"/>
    <w:rsid w:val="00B340BB"/>
    <w:rsid w:val="00B340C9"/>
    <w:rsid w:val="00B34118"/>
    <w:rsid w:val="00B34482"/>
    <w:rsid w:val="00B345BE"/>
    <w:rsid w:val="00B3472D"/>
    <w:rsid w:val="00B34A3E"/>
    <w:rsid w:val="00B34BDC"/>
    <w:rsid w:val="00B34CAE"/>
    <w:rsid w:val="00B350D1"/>
    <w:rsid w:val="00B35175"/>
    <w:rsid w:val="00B35493"/>
    <w:rsid w:val="00B354A5"/>
    <w:rsid w:val="00B3563A"/>
    <w:rsid w:val="00B35651"/>
    <w:rsid w:val="00B35805"/>
    <w:rsid w:val="00B35A4C"/>
    <w:rsid w:val="00B35BF7"/>
    <w:rsid w:val="00B35BF9"/>
    <w:rsid w:val="00B35E11"/>
    <w:rsid w:val="00B35F8C"/>
    <w:rsid w:val="00B360FA"/>
    <w:rsid w:val="00B361C9"/>
    <w:rsid w:val="00B361D3"/>
    <w:rsid w:val="00B36249"/>
    <w:rsid w:val="00B3664A"/>
    <w:rsid w:val="00B36665"/>
    <w:rsid w:val="00B3691A"/>
    <w:rsid w:val="00B369D6"/>
    <w:rsid w:val="00B36B54"/>
    <w:rsid w:val="00B36CDC"/>
    <w:rsid w:val="00B36D5C"/>
    <w:rsid w:val="00B36E30"/>
    <w:rsid w:val="00B3719C"/>
    <w:rsid w:val="00B3723B"/>
    <w:rsid w:val="00B37312"/>
    <w:rsid w:val="00B375BC"/>
    <w:rsid w:val="00B377BA"/>
    <w:rsid w:val="00B377E8"/>
    <w:rsid w:val="00B378B7"/>
    <w:rsid w:val="00B37DDC"/>
    <w:rsid w:val="00B40035"/>
    <w:rsid w:val="00B4026E"/>
    <w:rsid w:val="00B40295"/>
    <w:rsid w:val="00B4049B"/>
    <w:rsid w:val="00B404D2"/>
    <w:rsid w:val="00B40669"/>
    <w:rsid w:val="00B4071C"/>
    <w:rsid w:val="00B40776"/>
    <w:rsid w:val="00B40861"/>
    <w:rsid w:val="00B40906"/>
    <w:rsid w:val="00B40963"/>
    <w:rsid w:val="00B40A4F"/>
    <w:rsid w:val="00B40B9C"/>
    <w:rsid w:val="00B40C12"/>
    <w:rsid w:val="00B40D27"/>
    <w:rsid w:val="00B40E98"/>
    <w:rsid w:val="00B40E99"/>
    <w:rsid w:val="00B40F84"/>
    <w:rsid w:val="00B41001"/>
    <w:rsid w:val="00B4104A"/>
    <w:rsid w:val="00B411A7"/>
    <w:rsid w:val="00B415FC"/>
    <w:rsid w:val="00B41677"/>
    <w:rsid w:val="00B41B9A"/>
    <w:rsid w:val="00B41DC9"/>
    <w:rsid w:val="00B422AC"/>
    <w:rsid w:val="00B422D5"/>
    <w:rsid w:val="00B42645"/>
    <w:rsid w:val="00B427A6"/>
    <w:rsid w:val="00B42858"/>
    <w:rsid w:val="00B42867"/>
    <w:rsid w:val="00B42B5C"/>
    <w:rsid w:val="00B42E55"/>
    <w:rsid w:val="00B430A2"/>
    <w:rsid w:val="00B43135"/>
    <w:rsid w:val="00B43179"/>
    <w:rsid w:val="00B43246"/>
    <w:rsid w:val="00B43327"/>
    <w:rsid w:val="00B433A7"/>
    <w:rsid w:val="00B433BD"/>
    <w:rsid w:val="00B43BCC"/>
    <w:rsid w:val="00B43CC0"/>
    <w:rsid w:val="00B43F77"/>
    <w:rsid w:val="00B44224"/>
    <w:rsid w:val="00B44347"/>
    <w:rsid w:val="00B4465A"/>
    <w:rsid w:val="00B44CAB"/>
    <w:rsid w:val="00B44CF1"/>
    <w:rsid w:val="00B44F50"/>
    <w:rsid w:val="00B44FAF"/>
    <w:rsid w:val="00B4527F"/>
    <w:rsid w:val="00B4539D"/>
    <w:rsid w:val="00B4552F"/>
    <w:rsid w:val="00B45652"/>
    <w:rsid w:val="00B45C18"/>
    <w:rsid w:val="00B45C64"/>
    <w:rsid w:val="00B45D3D"/>
    <w:rsid w:val="00B45D70"/>
    <w:rsid w:val="00B45DB0"/>
    <w:rsid w:val="00B45E11"/>
    <w:rsid w:val="00B45F1E"/>
    <w:rsid w:val="00B46075"/>
    <w:rsid w:val="00B460D9"/>
    <w:rsid w:val="00B462F7"/>
    <w:rsid w:val="00B4630D"/>
    <w:rsid w:val="00B463EC"/>
    <w:rsid w:val="00B468BD"/>
    <w:rsid w:val="00B46986"/>
    <w:rsid w:val="00B469D5"/>
    <w:rsid w:val="00B46B7A"/>
    <w:rsid w:val="00B46C57"/>
    <w:rsid w:val="00B46CBB"/>
    <w:rsid w:val="00B46CD5"/>
    <w:rsid w:val="00B46D55"/>
    <w:rsid w:val="00B470D0"/>
    <w:rsid w:val="00B471A1"/>
    <w:rsid w:val="00B47398"/>
    <w:rsid w:val="00B473DE"/>
    <w:rsid w:val="00B475EE"/>
    <w:rsid w:val="00B47649"/>
    <w:rsid w:val="00B47652"/>
    <w:rsid w:val="00B4771F"/>
    <w:rsid w:val="00B4775D"/>
    <w:rsid w:val="00B47ACD"/>
    <w:rsid w:val="00B47CAA"/>
    <w:rsid w:val="00B500F4"/>
    <w:rsid w:val="00B5023A"/>
    <w:rsid w:val="00B504B6"/>
    <w:rsid w:val="00B50629"/>
    <w:rsid w:val="00B506EA"/>
    <w:rsid w:val="00B507E7"/>
    <w:rsid w:val="00B50846"/>
    <w:rsid w:val="00B509E9"/>
    <w:rsid w:val="00B50AE3"/>
    <w:rsid w:val="00B51034"/>
    <w:rsid w:val="00B516E9"/>
    <w:rsid w:val="00B51726"/>
    <w:rsid w:val="00B517D0"/>
    <w:rsid w:val="00B5198A"/>
    <w:rsid w:val="00B51C2B"/>
    <w:rsid w:val="00B51D11"/>
    <w:rsid w:val="00B51DBB"/>
    <w:rsid w:val="00B51FCD"/>
    <w:rsid w:val="00B51FD4"/>
    <w:rsid w:val="00B52156"/>
    <w:rsid w:val="00B52334"/>
    <w:rsid w:val="00B5234C"/>
    <w:rsid w:val="00B52678"/>
    <w:rsid w:val="00B52704"/>
    <w:rsid w:val="00B528F9"/>
    <w:rsid w:val="00B52A46"/>
    <w:rsid w:val="00B52AEF"/>
    <w:rsid w:val="00B52BBF"/>
    <w:rsid w:val="00B52CDF"/>
    <w:rsid w:val="00B52D00"/>
    <w:rsid w:val="00B52D19"/>
    <w:rsid w:val="00B52FAA"/>
    <w:rsid w:val="00B52FF1"/>
    <w:rsid w:val="00B53039"/>
    <w:rsid w:val="00B531D6"/>
    <w:rsid w:val="00B531F2"/>
    <w:rsid w:val="00B53407"/>
    <w:rsid w:val="00B5377F"/>
    <w:rsid w:val="00B5384B"/>
    <w:rsid w:val="00B53B07"/>
    <w:rsid w:val="00B53CB5"/>
    <w:rsid w:val="00B53CBE"/>
    <w:rsid w:val="00B53DA6"/>
    <w:rsid w:val="00B54232"/>
    <w:rsid w:val="00B543EA"/>
    <w:rsid w:val="00B54424"/>
    <w:rsid w:val="00B54742"/>
    <w:rsid w:val="00B54889"/>
    <w:rsid w:val="00B548F4"/>
    <w:rsid w:val="00B54922"/>
    <w:rsid w:val="00B54AA8"/>
    <w:rsid w:val="00B54BE8"/>
    <w:rsid w:val="00B54D7B"/>
    <w:rsid w:val="00B54DDA"/>
    <w:rsid w:val="00B55055"/>
    <w:rsid w:val="00B5509D"/>
    <w:rsid w:val="00B555AF"/>
    <w:rsid w:val="00B55807"/>
    <w:rsid w:val="00B5586F"/>
    <w:rsid w:val="00B55B56"/>
    <w:rsid w:val="00B55EB1"/>
    <w:rsid w:val="00B55EEE"/>
    <w:rsid w:val="00B55F2A"/>
    <w:rsid w:val="00B55F6E"/>
    <w:rsid w:val="00B56018"/>
    <w:rsid w:val="00B56138"/>
    <w:rsid w:val="00B56196"/>
    <w:rsid w:val="00B561A5"/>
    <w:rsid w:val="00B5623A"/>
    <w:rsid w:val="00B5628F"/>
    <w:rsid w:val="00B563A4"/>
    <w:rsid w:val="00B56735"/>
    <w:rsid w:val="00B5676B"/>
    <w:rsid w:val="00B56811"/>
    <w:rsid w:val="00B568AD"/>
    <w:rsid w:val="00B569B0"/>
    <w:rsid w:val="00B56A85"/>
    <w:rsid w:val="00B56BC0"/>
    <w:rsid w:val="00B56C5F"/>
    <w:rsid w:val="00B56F79"/>
    <w:rsid w:val="00B57490"/>
    <w:rsid w:val="00B5782F"/>
    <w:rsid w:val="00B5787D"/>
    <w:rsid w:val="00B578A3"/>
    <w:rsid w:val="00B57A2D"/>
    <w:rsid w:val="00B57C26"/>
    <w:rsid w:val="00B57C72"/>
    <w:rsid w:val="00B57C8A"/>
    <w:rsid w:val="00B57CF6"/>
    <w:rsid w:val="00B57E7E"/>
    <w:rsid w:val="00B57F22"/>
    <w:rsid w:val="00B57F6D"/>
    <w:rsid w:val="00B57FA9"/>
    <w:rsid w:val="00B60015"/>
    <w:rsid w:val="00B6023A"/>
    <w:rsid w:val="00B602B6"/>
    <w:rsid w:val="00B60391"/>
    <w:rsid w:val="00B60626"/>
    <w:rsid w:val="00B60804"/>
    <w:rsid w:val="00B60830"/>
    <w:rsid w:val="00B60B67"/>
    <w:rsid w:val="00B60CC8"/>
    <w:rsid w:val="00B60CDD"/>
    <w:rsid w:val="00B61018"/>
    <w:rsid w:val="00B61060"/>
    <w:rsid w:val="00B61108"/>
    <w:rsid w:val="00B61133"/>
    <w:rsid w:val="00B611FC"/>
    <w:rsid w:val="00B612DF"/>
    <w:rsid w:val="00B614A6"/>
    <w:rsid w:val="00B61911"/>
    <w:rsid w:val="00B6192A"/>
    <w:rsid w:val="00B619E9"/>
    <w:rsid w:val="00B61A73"/>
    <w:rsid w:val="00B61B3C"/>
    <w:rsid w:val="00B61BA9"/>
    <w:rsid w:val="00B61C3A"/>
    <w:rsid w:val="00B6214D"/>
    <w:rsid w:val="00B6231B"/>
    <w:rsid w:val="00B62A29"/>
    <w:rsid w:val="00B62DAA"/>
    <w:rsid w:val="00B62E16"/>
    <w:rsid w:val="00B62ED3"/>
    <w:rsid w:val="00B62EEA"/>
    <w:rsid w:val="00B62FB3"/>
    <w:rsid w:val="00B63006"/>
    <w:rsid w:val="00B630C0"/>
    <w:rsid w:val="00B6312D"/>
    <w:rsid w:val="00B632BA"/>
    <w:rsid w:val="00B6388E"/>
    <w:rsid w:val="00B638F5"/>
    <w:rsid w:val="00B63988"/>
    <w:rsid w:val="00B639B6"/>
    <w:rsid w:val="00B63AC9"/>
    <w:rsid w:val="00B63AE6"/>
    <w:rsid w:val="00B63CAD"/>
    <w:rsid w:val="00B63E9A"/>
    <w:rsid w:val="00B63EBB"/>
    <w:rsid w:val="00B63EE9"/>
    <w:rsid w:val="00B64127"/>
    <w:rsid w:val="00B64295"/>
    <w:rsid w:val="00B6432D"/>
    <w:rsid w:val="00B64698"/>
    <w:rsid w:val="00B646A1"/>
    <w:rsid w:val="00B64B9D"/>
    <w:rsid w:val="00B64BCC"/>
    <w:rsid w:val="00B64C55"/>
    <w:rsid w:val="00B64D4F"/>
    <w:rsid w:val="00B64E74"/>
    <w:rsid w:val="00B64F9D"/>
    <w:rsid w:val="00B652B5"/>
    <w:rsid w:val="00B65307"/>
    <w:rsid w:val="00B65362"/>
    <w:rsid w:val="00B6541A"/>
    <w:rsid w:val="00B6543E"/>
    <w:rsid w:val="00B654CA"/>
    <w:rsid w:val="00B6551E"/>
    <w:rsid w:val="00B6553B"/>
    <w:rsid w:val="00B655AA"/>
    <w:rsid w:val="00B6586E"/>
    <w:rsid w:val="00B65A1A"/>
    <w:rsid w:val="00B65B80"/>
    <w:rsid w:val="00B65D77"/>
    <w:rsid w:val="00B65FD6"/>
    <w:rsid w:val="00B6606E"/>
    <w:rsid w:val="00B660AA"/>
    <w:rsid w:val="00B660C0"/>
    <w:rsid w:val="00B6610C"/>
    <w:rsid w:val="00B66221"/>
    <w:rsid w:val="00B6663B"/>
    <w:rsid w:val="00B666FB"/>
    <w:rsid w:val="00B6693B"/>
    <w:rsid w:val="00B669B2"/>
    <w:rsid w:val="00B66AEF"/>
    <w:rsid w:val="00B66BB1"/>
    <w:rsid w:val="00B66BC8"/>
    <w:rsid w:val="00B66C8C"/>
    <w:rsid w:val="00B66D3F"/>
    <w:rsid w:val="00B66D68"/>
    <w:rsid w:val="00B66E97"/>
    <w:rsid w:val="00B66FC6"/>
    <w:rsid w:val="00B67092"/>
    <w:rsid w:val="00B67162"/>
    <w:rsid w:val="00B673F5"/>
    <w:rsid w:val="00B67419"/>
    <w:rsid w:val="00B675AD"/>
    <w:rsid w:val="00B6769B"/>
    <w:rsid w:val="00B67C58"/>
    <w:rsid w:val="00B67C9D"/>
    <w:rsid w:val="00B67DFE"/>
    <w:rsid w:val="00B67E2A"/>
    <w:rsid w:val="00B67E8F"/>
    <w:rsid w:val="00B67F84"/>
    <w:rsid w:val="00B70051"/>
    <w:rsid w:val="00B70060"/>
    <w:rsid w:val="00B70267"/>
    <w:rsid w:val="00B7053E"/>
    <w:rsid w:val="00B7082D"/>
    <w:rsid w:val="00B70E87"/>
    <w:rsid w:val="00B70F28"/>
    <w:rsid w:val="00B71582"/>
    <w:rsid w:val="00B715A1"/>
    <w:rsid w:val="00B7164B"/>
    <w:rsid w:val="00B716CE"/>
    <w:rsid w:val="00B7176D"/>
    <w:rsid w:val="00B7181F"/>
    <w:rsid w:val="00B71E90"/>
    <w:rsid w:val="00B71F31"/>
    <w:rsid w:val="00B724B2"/>
    <w:rsid w:val="00B72628"/>
    <w:rsid w:val="00B72B43"/>
    <w:rsid w:val="00B72C1D"/>
    <w:rsid w:val="00B72D9C"/>
    <w:rsid w:val="00B72E60"/>
    <w:rsid w:val="00B72E83"/>
    <w:rsid w:val="00B72ED0"/>
    <w:rsid w:val="00B72F66"/>
    <w:rsid w:val="00B73222"/>
    <w:rsid w:val="00B732B0"/>
    <w:rsid w:val="00B734B0"/>
    <w:rsid w:val="00B7363C"/>
    <w:rsid w:val="00B73802"/>
    <w:rsid w:val="00B73836"/>
    <w:rsid w:val="00B73A04"/>
    <w:rsid w:val="00B73CD6"/>
    <w:rsid w:val="00B73D9A"/>
    <w:rsid w:val="00B740F7"/>
    <w:rsid w:val="00B741FB"/>
    <w:rsid w:val="00B743DF"/>
    <w:rsid w:val="00B74737"/>
    <w:rsid w:val="00B74800"/>
    <w:rsid w:val="00B748AC"/>
    <w:rsid w:val="00B7497C"/>
    <w:rsid w:val="00B74AC5"/>
    <w:rsid w:val="00B74AD4"/>
    <w:rsid w:val="00B74BCA"/>
    <w:rsid w:val="00B74BE6"/>
    <w:rsid w:val="00B74C1B"/>
    <w:rsid w:val="00B74E70"/>
    <w:rsid w:val="00B74F8C"/>
    <w:rsid w:val="00B7517B"/>
    <w:rsid w:val="00B7547F"/>
    <w:rsid w:val="00B75501"/>
    <w:rsid w:val="00B75664"/>
    <w:rsid w:val="00B75905"/>
    <w:rsid w:val="00B75AA5"/>
    <w:rsid w:val="00B75B34"/>
    <w:rsid w:val="00B75D2C"/>
    <w:rsid w:val="00B76385"/>
    <w:rsid w:val="00B76535"/>
    <w:rsid w:val="00B76747"/>
    <w:rsid w:val="00B768FF"/>
    <w:rsid w:val="00B76B98"/>
    <w:rsid w:val="00B76D28"/>
    <w:rsid w:val="00B76F9E"/>
    <w:rsid w:val="00B773CD"/>
    <w:rsid w:val="00B77550"/>
    <w:rsid w:val="00B77693"/>
    <w:rsid w:val="00B777F6"/>
    <w:rsid w:val="00B77961"/>
    <w:rsid w:val="00B77A35"/>
    <w:rsid w:val="00B77E5E"/>
    <w:rsid w:val="00B8057E"/>
    <w:rsid w:val="00B80660"/>
    <w:rsid w:val="00B80663"/>
    <w:rsid w:val="00B806A2"/>
    <w:rsid w:val="00B807B4"/>
    <w:rsid w:val="00B80BE1"/>
    <w:rsid w:val="00B80D90"/>
    <w:rsid w:val="00B80F7A"/>
    <w:rsid w:val="00B812F2"/>
    <w:rsid w:val="00B81334"/>
    <w:rsid w:val="00B81432"/>
    <w:rsid w:val="00B815AC"/>
    <w:rsid w:val="00B81706"/>
    <w:rsid w:val="00B818F2"/>
    <w:rsid w:val="00B819DE"/>
    <w:rsid w:val="00B81A05"/>
    <w:rsid w:val="00B81A65"/>
    <w:rsid w:val="00B81B2D"/>
    <w:rsid w:val="00B81C2E"/>
    <w:rsid w:val="00B81CD6"/>
    <w:rsid w:val="00B81EFB"/>
    <w:rsid w:val="00B81FF8"/>
    <w:rsid w:val="00B82026"/>
    <w:rsid w:val="00B82063"/>
    <w:rsid w:val="00B82165"/>
    <w:rsid w:val="00B821DA"/>
    <w:rsid w:val="00B8248A"/>
    <w:rsid w:val="00B8262F"/>
    <w:rsid w:val="00B8293A"/>
    <w:rsid w:val="00B829E9"/>
    <w:rsid w:val="00B82A4B"/>
    <w:rsid w:val="00B82AEE"/>
    <w:rsid w:val="00B82C2C"/>
    <w:rsid w:val="00B82F23"/>
    <w:rsid w:val="00B82FDB"/>
    <w:rsid w:val="00B83064"/>
    <w:rsid w:val="00B8340C"/>
    <w:rsid w:val="00B83427"/>
    <w:rsid w:val="00B83486"/>
    <w:rsid w:val="00B8370E"/>
    <w:rsid w:val="00B838A7"/>
    <w:rsid w:val="00B83928"/>
    <w:rsid w:val="00B83ADC"/>
    <w:rsid w:val="00B83B33"/>
    <w:rsid w:val="00B83CC6"/>
    <w:rsid w:val="00B83CF7"/>
    <w:rsid w:val="00B83D61"/>
    <w:rsid w:val="00B83D6C"/>
    <w:rsid w:val="00B83E3C"/>
    <w:rsid w:val="00B83E6E"/>
    <w:rsid w:val="00B83F8A"/>
    <w:rsid w:val="00B84088"/>
    <w:rsid w:val="00B84200"/>
    <w:rsid w:val="00B844A1"/>
    <w:rsid w:val="00B8457F"/>
    <w:rsid w:val="00B845D2"/>
    <w:rsid w:val="00B84663"/>
    <w:rsid w:val="00B8474C"/>
    <w:rsid w:val="00B849E8"/>
    <w:rsid w:val="00B84B27"/>
    <w:rsid w:val="00B84E1C"/>
    <w:rsid w:val="00B84E55"/>
    <w:rsid w:val="00B84ED7"/>
    <w:rsid w:val="00B84EE9"/>
    <w:rsid w:val="00B84EFF"/>
    <w:rsid w:val="00B85456"/>
    <w:rsid w:val="00B856E9"/>
    <w:rsid w:val="00B85842"/>
    <w:rsid w:val="00B85867"/>
    <w:rsid w:val="00B85A85"/>
    <w:rsid w:val="00B85EF8"/>
    <w:rsid w:val="00B85EFF"/>
    <w:rsid w:val="00B860B0"/>
    <w:rsid w:val="00B860E3"/>
    <w:rsid w:val="00B8613B"/>
    <w:rsid w:val="00B862BF"/>
    <w:rsid w:val="00B863DC"/>
    <w:rsid w:val="00B86424"/>
    <w:rsid w:val="00B8653D"/>
    <w:rsid w:val="00B866E4"/>
    <w:rsid w:val="00B86BA2"/>
    <w:rsid w:val="00B86BB6"/>
    <w:rsid w:val="00B86D78"/>
    <w:rsid w:val="00B87087"/>
    <w:rsid w:val="00B87106"/>
    <w:rsid w:val="00B8710D"/>
    <w:rsid w:val="00B87210"/>
    <w:rsid w:val="00B8721C"/>
    <w:rsid w:val="00B87663"/>
    <w:rsid w:val="00B876CA"/>
    <w:rsid w:val="00B87AEA"/>
    <w:rsid w:val="00B87C98"/>
    <w:rsid w:val="00B87E03"/>
    <w:rsid w:val="00B87F08"/>
    <w:rsid w:val="00B87FB1"/>
    <w:rsid w:val="00B87FEB"/>
    <w:rsid w:val="00B9006C"/>
    <w:rsid w:val="00B900C5"/>
    <w:rsid w:val="00B90138"/>
    <w:rsid w:val="00B90163"/>
    <w:rsid w:val="00B902AA"/>
    <w:rsid w:val="00B905A7"/>
    <w:rsid w:val="00B906D9"/>
    <w:rsid w:val="00B90735"/>
    <w:rsid w:val="00B9078B"/>
    <w:rsid w:val="00B90A7E"/>
    <w:rsid w:val="00B90BC5"/>
    <w:rsid w:val="00B90C15"/>
    <w:rsid w:val="00B90DE3"/>
    <w:rsid w:val="00B90F79"/>
    <w:rsid w:val="00B91176"/>
    <w:rsid w:val="00B9132D"/>
    <w:rsid w:val="00B913DE"/>
    <w:rsid w:val="00B91610"/>
    <w:rsid w:val="00B916AF"/>
    <w:rsid w:val="00B91775"/>
    <w:rsid w:val="00B918C5"/>
    <w:rsid w:val="00B918D1"/>
    <w:rsid w:val="00B91C24"/>
    <w:rsid w:val="00B92309"/>
    <w:rsid w:val="00B92762"/>
    <w:rsid w:val="00B92826"/>
    <w:rsid w:val="00B92910"/>
    <w:rsid w:val="00B92928"/>
    <w:rsid w:val="00B929EB"/>
    <w:rsid w:val="00B92AAA"/>
    <w:rsid w:val="00B92ACE"/>
    <w:rsid w:val="00B92B93"/>
    <w:rsid w:val="00B930A9"/>
    <w:rsid w:val="00B9313E"/>
    <w:rsid w:val="00B93191"/>
    <w:rsid w:val="00B9319D"/>
    <w:rsid w:val="00B93315"/>
    <w:rsid w:val="00B93358"/>
    <w:rsid w:val="00B933A9"/>
    <w:rsid w:val="00B93506"/>
    <w:rsid w:val="00B9371D"/>
    <w:rsid w:val="00B93756"/>
    <w:rsid w:val="00B93ABE"/>
    <w:rsid w:val="00B93CDD"/>
    <w:rsid w:val="00B93D1E"/>
    <w:rsid w:val="00B93F26"/>
    <w:rsid w:val="00B9400E"/>
    <w:rsid w:val="00B94029"/>
    <w:rsid w:val="00B94088"/>
    <w:rsid w:val="00B94112"/>
    <w:rsid w:val="00B94195"/>
    <w:rsid w:val="00B94315"/>
    <w:rsid w:val="00B94A65"/>
    <w:rsid w:val="00B94C2E"/>
    <w:rsid w:val="00B94E38"/>
    <w:rsid w:val="00B94FC7"/>
    <w:rsid w:val="00B9505F"/>
    <w:rsid w:val="00B950E1"/>
    <w:rsid w:val="00B954B7"/>
    <w:rsid w:val="00B958C1"/>
    <w:rsid w:val="00B9598A"/>
    <w:rsid w:val="00B95AF2"/>
    <w:rsid w:val="00B95EED"/>
    <w:rsid w:val="00B96016"/>
    <w:rsid w:val="00B9619F"/>
    <w:rsid w:val="00B964B7"/>
    <w:rsid w:val="00B9659F"/>
    <w:rsid w:val="00B9664C"/>
    <w:rsid w:val="00B966C1"/>
    <w:rsid w:val="00B969EA"/>
    <w:rsid w:val="00B969F3"/>
    <w:rsid w:val="00B96CBA"/>
    <w:rsid w:val="00B9716E"/>
    <w:rsid w:val="00B971B5"/>
    <w:rsid w:val="00B9720A"/>
    <w:rsid w:val="00B972AB"/>
    <w:rsid w:val="00B97439"/>
    <w:rsid w:val="00B974D5"/>
    <w:rsid w:val="00B9769A"/>
    <w:rsid w:val="00B976DA"/>
    <w:rsid w:val="00B97C6C"/>
    <w:rsid w:val="00B97F8F"/>
    <w:rsid w:val="00BA010D"/>
    <w:rsid w:val="00BA0437"/>
    <w:rsid w:val="00BA06FB"/>
    <w:rsid w:val="00BA0840"/>
    <w:rsid w:val="00BA0A94"/>
    <w:rsid w:val="00BA0B56"/>
    <w:rsid w:val="00BA0BEE"/>
    <w:rsid w:val="00BA0CB3"/>
    <w:rsid w:val="00BA0D4C"/>
    <w:rsid w:val="00BA0F86"/>
    <w:rsid w:val="00BA1264"/>
    <w:rsid w:val="00BA1280"/>
    <w:rsid w:val="00BA12DF"/>
    <w:rsid w:val="00BA1347"/>
    <w:rsid w:val="00BA1599"/>
    <w:rsid w:val="00BA15B0"/>
    <w:rsid w:val="00BA15B6"/>
    <w:rsid w:val="00BA1A52"/>
    <w:rsid w:val="00BA1A92"/>
    <w:rsid w:val="00BA1B11"/>
    <w:rsid w:val="00BA1CBB"/>
    <w:rsid w:val="00BA1E9A"/>
    <w:rsid w:val="00BA2105"/>
    <w:rsid w:val="00BA2301"/>
    <w:rsid w:val="00BA23CA"/>
    <w:rsid w:val="00BA2504"/>
    <w:rsid w:val="00BA25C2"/>
    <w:rsid w:val="00BA25D1"/>
    <w:rsid w:val="00BA25E7"/>
    <w:rsid w:val="00BA2694"/>
    <w:rsid w:val="00BA2AE3"/>
    <w:rsid w:val="00BA2AFF"/>
    <w:rsid w:val="00BA2B7A"/>
    <w:rsid w:val="00BA2D09"/>
    <w:rsid w:val="00BA2F34"/>
    <w:rsid w:val="00BA321F"/>
    <w:rsid w:val="00BA3267"/>
    <w:rsid w:val="00BA330A"/>
    <w:rsid w:val="00BA34B4"/>
    <w:rsid w:val="00BA356F"/>
    <w:rsid w:val="00BA3695"/>
    <w:rsid w:val="00BA37B9"/>
    <w:rsid w:val="00BA390D"/>
    <w:rsid w:val="00BA3A0E"/>
    <w:rsid w:val="00BA3ADC"/>
    <w:rsid w:val="00BA3C46"/>
    <w:rsid w:val="00BA3C5F"/>
    <w:rsid w:val="00BA4038"/>
    <w:rsid w:val="00BA407B"/>
    <w:rsid w:val="00BA40BB"/>
    <w:rsid w:val="00BA41DA"/>
    <w:rsid w:val="00BA43CD"/>
    <w:rsid w:val="00BA4561"/>
    <w:rsid w:val="00BA4565"/>
    <w:rsid w:val="00BA47FB"/>
    <w:rsid w:val="00BA4A92"/>
    <w:rsid w:val="00BA4CF1"/>
    <w:rsid w:val="00BA4E47"/>
    <w:rsid w:val="00BA5254"/>
    <w:rsid w:val="00BA53D9"/>
    <w:rsid w:val="00BA5406"/>
    <w:rsid w:val="00BA55A9"/>
    <w:rsid w:val="00BA56F2"/>
    <w:rsid w:val="00BA57B2"/>
    <w:rsid w:val="00BA59F5"/>
    <w:rsid w:val="00BA5A78"/>
    <w:rsid w:val="00BA5B6D"/>
    <w:rsid w:val="00BA5C81"/>
    <w:rsid w:val="00BA5CD5"/>
    <w:rsid w:val="00BA5DDE"/>
    <w:rsid w:val="00BA5FBD"/>
    <w:rsid w:val="00BA60EC"/>
    <w:rsid w:val="00BA61AD"/>
    <w:rsid w:val="00BA6285"/>
    <w:rsid w:val="00BA62E9"/>
    <w:rsid w:val="00BA63E4"/>
    <w:rsid w:val="00BA648B"/>
    <w:rsid w:val="00BA6AC7"/>
    <w:rsid w:val="00BA6AD3"/>
    <w:rsid w:val="00BA6B17"/>
    <w:rsid w:val="00BA6EAC"/>
    <w:rsid w:val="00BA7178"/>
    <w:rsid w:val="00BA73A8"/>
    <w:rsid w:val="00BA7710"/>
    <w:rsid w:val="00BA7A79"/>
    <w:rsid w:val="00BA7AE1"/>
    <w:rsid w:val="00BA7CB0"/>
    <w:rsid w:val="00BA7D9D"/>
    <w:rsid w:val="00BA7DB0"/>
    <w:rsid w:val="00BB01E9"/>
    <w:rsid w:val="00BB0235"/>
    <w:rsid w:val="00BB026E"/>
    <w:rsid w:val="00BB02C6"/>
    <w:rsid w:val="00BB077B"/>
    <w:rsid w:val="00BB091E"/>
    <w:rsid w:val="00BB092D"/>
    <w:rsid w:val="00BB0951"/>
    <w:rsid w:val="00BB0981"/>
    <w:rsid w:val="00BB0D56"/>
    <w:rsid w:val="00BB0DB2"/>
    <w:rsid w:val="00BB0DF4"/>
    <w:rsid w:val="00BB103C"/>
    <w:rsid w:val="00BB134D"/>
    <w:rsid w:val="00BB1364"/>
    <w:rsid w:val="00BB151A"/>
    <w:rsid w:val="00BB1B40"/>
    <w:rsid w:val="00BB1DBE"/>
    <w:rsid w:val="00BB201A"/>
    <w:rsid w:val="00BB2787"/>
    <w:rsid w:val="00BB28BD"/>
    <w:rsid w:val="00BB2B4C"/>
    <w:rsid w:val="00BB2CB5"/>
    <w:rsid w:val="00BB2DB1"/>
    <w:rsid w:val="00BB2ED1"/>
    <w:rsid w:val="00BB326B"/>
    <w:rsid w:val="00BB3280"/>
    <w:rsid w:val="00BB3BB8"/>
    <w:rsid w:val="00BB3CDD"/>
    <w:rsid w:val="00BB3CE3"/>
    <w:rsid w:val="00BB424E"/>
    <w:rsid w:val="00BB429C"/>
    <w:rsid w:val="00BB44D0"/>
    <w:rsid w:val="00BB44D4"/>
    <w:rsid w:val="00BB47F6"/>
    <w:rsid w:val="00BB4809"/>
    <w:rsid w:val="00BB488E"/>
    <w:rsid w:val="00BB4982"/>
    <w:rsid w:val="00BB4BFE"/>
    <w:rsid w:val="00BB4CC9"/>
    <w:rsid w:val="00BB4D66"/>
    <w:rsid w:val="00BB4DC6"/>
    <w:rsid w:val="00BB4E08"/>
    <w:rsid w:val="00BB4F6F"/>
    <w:rsid w:val="00BB5305"/>
    <w:rsid w:val="00BB5357"/>
    <w:rsid w:val="00BB54BC"/>
    <w:rsid w:val="00BB5777"/>
    <w:rsid w:val="00BB5840"/>
    <w:rsid w:val="00BB596B"/>
    <w:rsid w:val="00BB5A2C"/>
    <w:rsid w:val="00BB5B85"/>
    <w:rsid w:val="00BB5D10"/>
    <w:rsid w:val="00BB6020"/>
    <w:rsid w:val="00BB6194"/>
    <w:rsid w:val="00BB6355"/>
    <w:rsid w:val="00BB6955"/>
    <w:rsid w:val="00BB6ADD"/>
    <w:rsid w:val="00BB7436"/>
    <w:rsid w:val="00BB7647"/>
    <w:rsid w:val="00BB7662"/>
    <w:rsid w:val="00BB7664"/>
    <w:rsid w:val="00BB7819"/>
    <w:rsid w:val="00BB7D3B"/>
    <w:rsid w:val="00BC0077"/>
    <w:rsid w:val="00BC019E"/>
    <w:rsid w:val="00BC0339"/>
    <w:rsid w:val="00BC044A"/>
    <w:rsid w:val="00BC0668"/>
    <w:rsid w:val="00BC0AD2"/>
    <w:rsid w:val="00BC0AD3"/>
    <w:rsid w:val="00BC0BE4"/>
    <w:rsid w:val="00BC1077"/>
    <w:rsid w:val="00BC11BD"/>
    <w:rsid w:val="00BC142D"/>
    <w:rsid w:val="00BC1820"/>
    <w:rsid w:val="00BC189F"/>
    <w:rsid w:val="00BC1936"/>
    <w:rsid w:val="00BC1983"/>
    <w:rsid w:val="00BC1CF9"/>
    <w:rsid w:val="00BC1F45"/>
    <w:rsid w:val="00BC1FF3"/>
    <w:rsid w:val="00BC2279"/>
    <w:rsid w:val="00BC2357"/>
    <w:rsid w:val="00BC2885"/>
    <w:rsid w:val="00BC2917"/>
    <w:rsid w:val="00BC29C4"/>
    <w:rsid w:val="00BC2A4D"/>
    <w:rsid w:val="00BC2AFC"/>
    <w:rsid w:val="00BC2B27"/>
    <w:rsid w:val="00BC2EF4"/>
    <w:rsid w:val="00BC34F7"/>
    <w:rsid w:val="00BC381D"/>
    <w:rsid w:val="00BC3A1A"/>
    <w:rsid w:val="00BC3E1E"/>
    <w:rsid w:val="00BC3E41"/>
    <w:rsid w:val="00BC3F40"/>
    <w:rsid w:val="00BC4182"/>
    <w:rsid w:val="00BC41C3"/>
    <w:rsid w:val="00BC4252"/>
    <w:rsid w:val="00BC43C3"/>
    <w:rsid w:val="00BC444E"/>
    <w:rsid w:val="00BC4633"/>
    <w:rsid w:val="00BC48AA"/>
    <w:rsid w:val="00BC49C6"/>
    <w:rsid w:val="00BC4E80"/>
    <w:rsid w:val="00BC4E84"/>
    <w:rsid w:val="00BC4F33"/>
    <w:rsid w:val="00BC522E"/>
    <w:rsid w:val="00BC5550"/>
    <w:rsid w:val="00BC5610"/>
    <w:rsid w:val="00BC57CC"/>
    <w:rsid w:val="00BC584D"/>
    <w:rsid w:val="00BC58AE"/>
    <w:rsid w:val="00BC58B9"/>
    <w:rsid w:val="00BC5BB9"/>
    <w:rsid w:val="00BC5CB4"/>
    <w:rsid w:val="00BC6159"/>
    <w:rsid w:val="00BC639B"/>
    <w:rsid w:val="00BC641E"/>
    <w:rsid w:val="00BC64C4"/>
    <w:rsid w:val="00BC652B"/>
    <w:rsid w:val="00BC677F"/>
    <w:rsid w:val="00BC67C5"/>
    <w:rsid w:val="00BC69E3"/>
    <w:rsid w:val="00BC6B37"/>
    <w:rsid w:val="00BC6D99"/>
    <w:rsid w:val="00BC6E17"/>
    <w:rsid w:val="00BC7607"/>
    <w:rsid w:val="00BC775A"/>
    <w:rsid w:val="00BC7830"/>
    <w:rsid w:val="00BC7A1B"/>
    <w:rsid w:val="00BC7B45"/>
    <w:rsid w:val="00BC7D49"/>
    <w:rsid w:val="00BC7F49"/>
    <w:rsid w:val="00BD0053"/>
    <w:rsid w:val="00BD02DA"/>
    <w:rsid w:val="00BD0412"/>
    <w:rsid w:val="00BD0551"/>
    <w:rsid w:val="00BD0878"/>
    <w:rsid w:val="00BD09B2"/>
    <w:rsid w:val="00BD0A45"/>
    <w:rsid w:val="00BD0A7E"/>
    <w:rsid w:val="00BD0B17"/>
    <w:rsid w:val="00BD0BBA"/>
    <w:rsid w:val="00BD0EC6"/>
    <w:rsid w:val="00BD0F0E"/>
    <w:rsid w:val="00BD0F2F"/>
    <w:rsid w:val="00BD105F"/>
    <w:rsid w:val="00BD10BC"/>
    <w:rsid w:val="00BD1165"/>
    <w:rsid w:val="00BD124B"/>
    <w:rsid w:val="00BD144C"/>
    <w:rsid w:val="00BD1523"/>
    <w:rsid w:val="00BD159E"/>
    <w:rsid w:val="00BD1675"/>
    <w:rsid w:val="00BD1731"/>
    <w:rsid w:val="00BD1ADE"/>
    <w:rsid w:val="00BD1E0F"/>
    <w:rsid w:val="00BD1E86"/>
    <w:rsid w:val="00BD201F"/>
    <w:rsid w:val="00BD23EB"/>
    <w:rsid w:val="00BD2402"/>
    <w:rsid w:val="00BD2455"/>
    <w:rsid w:val="00BD24E1"/>
    <w:rsid w:val="00BD256F"/>
    <w:rsid w:val="00BD259F"/>
    <w:rsid w:val="00BD25FD"/>
    <w:rsid w:val="00BD2604"/>
    <w:rsid w:val="00BD2771"/>
    <w:rsid w:val="00BD2C09"/>
    <w:rsid w:val="00BD2E55"/>
    <w:rsid w:val="00BD2ECB"/>
    <w:rsid w:val="00BD2F48"/>
    <w:rsid w:val="00BD3308"/>
    <w:rsid w:val="00BD332F"/>
    <w:rsid w:val="00BD3429"/>
    <w:rsid w:val="00BD36FC"/>
    <w:rsid w:val="00BD3732"/>
    <w:rsid w:val="00BD3774"/>
    <w:rsid w:val="00BD3796"/>
    <w:rsid w:val="00BD37E6"/>
    <w:rsid w:val="00BD3852"/>
    <w:rsid w:val="00BD3A8C"/>
    <w:rsid w:val="00BD3B38"/>
    <w:rsid w:val="00BD3C4B"/>
    <w:rsid w:val="00BD3FDC"/>
    <w:rsid w:val="00BD3FE7"/>
    <w:rsid w:val="00BD41BC"/>
    <w:rsid w:val="00BD4340"/>
    <w:rsid w:val="00BD43D9"/>
    <w:rsid w:val="00BD440B"/>
    <w:rsid w:val="00BD4745"/>
    <w:rsid w:val="00BD477F"/>
    <w:rsid w:val="00BD48A1"/>
    <w:rsid w:val="00BD4D54"/>
    <w:rsid w:val="00BD513D"/>
    <w:rsid w:val="00BD52B7"/>
    <w:rsid w:val="00BD55C2"/>
    <w:rsid w:val="00BD5930"/>
    <w:rsid w:val="00BD59D5"/>
    <w:rsid w:val="00BD5A66"/>
    <w:rsid w:val="00BD5BE8"/>
    <w:rsid w:val="00BD5D9D"/>
    <w:rsid w:val="00BD5E51"/>
    <w:rsid w:val="00BD5EE3"/>
    <w:rsid w:val="00BD5F1A"/>
    <w:rsid w:val="00BD6092"/>
    <w:rsid w:val="00BD64E1"/>
    <w:rsid w:val="00BD6586"/>
    <w:rsid w:val="00BD6606"/>
    <w:rsid w:val="00BD6779"/>
    <w:rsid w:val="00BD683E"/>
    <w:rsid w:val="00BD6938"/>
    <w:rsid w:val="00BD69C9"/>
    <w:rsid w:val="00BD69E4"/>
    <w:rsid w:val="00BD6A30"/>
    <w:rsid w:val="00BD6AF3"/>
    <w:rsid w:val="00BD6BBB"/>
    <w:rsid w:val="00BD6C71"/>
    <w:rsid w:val="00BD6C7A"/>
    <w:rsid w:val="00BD6C85"/>
    <w:rsid w:val="00BD6FD2"/>
    <w:rsid w:val="00BD7003"/>
    <w:rsid w:val="00BD7356"/>
    <w:rsid w:val="00BD74F2"/>
    <w:rsid w:val="00BD7590"/>
    <w:rsid w:val="00BD7700"/>
    <w:rsid w:val="00BD7802"/>
    <w:rsid w:val="00BD798D"/>
    <w:rsid w:val="00BD7CBA"/>
    <w:rsid w:val="00BD7CCF"/>
    <w:rsid w:val="00BE0036"/>
    <w:rsid w:val="00BE0160"/>
    <w:rsid w:val="00BE01FC"/>
    <w:rsid w:val="00BE02C7"/>
    <w:rsid w:val="00BE036E"/>
    <w:rsid w:val="00BE045B"/>
    <w:rsid w:val="00BE0941"/>
    <w:rsid w:val="00BE09EE"/>
    <w:rsid w:val="00BE0A86"/>
    <w:rsid w:val="00BE0C17"/>
    <w:rsid w:val="00BE0DBB"/>
    <w:rsid w:val="00BE154A"/>
    <w:rsid w:val="00BE15BD"/>
    <w:rsid w:val="00BE17E4"/>
    <w:rsid w:val="00BE18C9"/>
    <w:rsid w:val="00BE1AFB"/>
    <w:rsid w:val="00BE1B26"/>
    <w:rsid w:val="00BE1B28"/>
    <w:rsid w:val="00BE1D65"/>
    <w:rsid w:val="00BE1D6A"/>
    <w:rsid w:val="00BE209F"/>
    <w:rsid w:val="00BE20B7"/>
    <w:rsid w:val="00BE217D"/>
    <w:rsid w:val="00BE235B"/>
    <w:rsid w:val="00BE23C2"/>
    <w:rsid w:val="00BE23CB"/>
    <w:rsid w:val="00BE2470"/>
    <w:rsid w:val="00BE257F"/>
    <w:rsid w:val="00BE2654"/>
    <w:rsid w:val="00BE27FF"/>
    <w:rsid w:val="00BE28DC"/>
    <w:rsid w:val="00BE29C9"/>
    <w:rsid w:val="00BE2A33"/>
    <w:rsid w:val="00BE2AAD"/>
    <w:rsid w:val="00BE2EE4"/>
    <w:rsid w:val="00BE2F39"/>
    <w:rsid w:val="00BE302A"/>
    <w:rsid w:val="00BE3171"/>
    <w:rsid w:val="00BE333F"/>
    <w:rsid w:val="00BE33A7"/>
    <w:rsid w:val="00BE36A9"/>
    <w:rsid w:val="00BE37C8"/>
    <w:rsid w:val="00BE39C8"/>
    <w:rsid w:val="00BE3B32"/>
    <w:rsid w:val="00BE3C2D"/>
    <w:rsid w:val="00BE3DE4"/>
    <w:rsid w:val="00BE3E88"/>
    <w:rsid w:val="00BE420B"/>
    <w:rsid w:val="00BE4238"/>
    <w:rsid w:val="00BE4510"/>
    <w:rsid w:val="00BE4AEF"/>
    <w:rsid w:val="00BE4AFB"/>
    <w:rsid w:val="00BE4C54"/>
    <w:rsid w:val="00BE4CAE"/>
    <w:rsid w:val="00BE516E"/>
    <w:rsid w:val="00BE52BF"/>
    <w:rsid w:val="00BE52D9"/>
    <w:rsid w:val="00BE53BE"/>
    <w:rsid w:val="00BE542F"/>
    <w:rsid w:val="00BE5475"/>
    <w:rsid w:val="00BE5580"/>
    <w:rsid w:val="00BE5ABC"/>
    <w:rsid w:val="00BE5B00"/>
    <w:rsid w:val="00BE5C52"/>
    <w:rsid w:val="00BE5E75"/>
    <w:rsid w:val="00BE5EA9"/>
    <w:rsid w:val="00BE5EE6"/>
    <w:rsid w:val="00BE5EFA"/>
    <w:rsid w:val="00BE5FB3"/>
    <w:rsid w:val="00BE6082"/>
    <w:rsid w:val="00BE665A"/>
    <w:rsid w:val="00BE679E"/>
    <w:rsid w:val="00BE68E0"/>
    <w:rsid w:val="00BE6954"/>
    <w:rsid w:val="00BE6AE3"/>
    <w:rsid w:val="00BE6DD1"/>
    <w:rsid w:val="00BE6F60"/>
    <w:rsid w:val="00BE7004"/>
    <w:rsid w:val="00BE7E6F"/>
    <w:rsid w:val="00BE7F1A"/>
    <w:rsid w:val="00BF0001"/>
    <w:rsid w:val="00BF0249"/>
    <w:rsid w:val="00BF0306"/>
    <w:rsid w:val="00BF03C0"/>
    <w:rsid w:val="00BF05D5"/>
    <w:rsid w:val="00BF0A8C"/>
    <w:rsid w:val="00BF0AF0"/>
    <w:rsid w:val="00BF0B39"/>
    <w:rsid w:val="00BF0E4F"/>
    <w:rsid w:val="00BF0E5E"/>
    <w:rsid w:val="00BF0F93"/>
    <w:rsid w:val="00BF1068"/>
    <w:rsid w:val="00BF1138"/>
    <w:rsid w:val="00BF11B0"/>
    <w:rsid w:val="00BF11E9"/>
    <w:rsid w:val="00BF1347"/>
    <w:rsid w:val="00BF1422"/>
    <w:rsid w:val="00BF16D7"/>
    <w:rsid w:val="00BF1902"/>
    <w:rsid w:val="00BF1B45"/>
    <w:rsid w:val="00BF1BE3"/>
    <w:rsid w:val="00BF1BF7"/>
    <w:rsid w:val="00BF1C19"/>
    <w:rsid w:val="00BF1C23"/>
    <w:rsid w:val="00BF1D58"/>
    <w:rsid w:val="00BF20A8"/>
    <w:rsid w:val="00BF22BE"/>
    <w:rsid w:val="00BF22E0"/>
    <w:rsid w:val="00BF2306"/>
    <w:rsid w:val="00BF2488"/>
    <w:rsid w:val="00BF2544"/>
    <w:rsid w:val="00BF2841"/>
    <w:rsid w:val="00BF29E6"/>
    <w:rsid w:val="00BF2CC8"/>
    <w:rsid w:val="00BF2DC6"/>
    <w:rsid w:val="00BF2E1C"/>
    <w:rsid w:val="00BF2E82"/>
    <w:rsid w:val="00BF3007"/>
    <w:rsid w:val="00BF328C"/>
    <w:rsid w:val="00BF340E"/>
    <w:rsid w:val="00BF3442"/>
    <w:rsid w:val="00BF39D2"/>
    <w:rsid w:val="00BF39D3"/>
    <w:rsid w:val="00BF3B77"/>
    <w:rsid w:val="00BF3DCB"/>
    <w:rsid w:val="00BF3DD7"/>
    <w:rsid w:val="00BF3DED"/>
    <w:rsid w:val="00BF3E1D"/>
    <w:rsid w:val="00BF4028"/>
    <w:rsid w:val="00BF415D"/>
    <w:rsid w:val="00BF4369"/>
    <w:rsid w:val="00BF4437"/>
    <w:rsid w:val="00BF4459"/>
    <w:rsid w:val="00BF4462"/>
    <w:rsid w:val="00BF4501"/>
    <w:rsid w:val="00BF4682"/>
    <w:rsid w:val="00BF4722"/>
    <w:rsid w:val="00BF4AC0"/>
    <w:rsid w:val="00BF4D85"/>
    <w:rsid w:val="00BF4E1C"/>
    <w:rsid w:val="00BF515F"/>
    <w:rsid w:val="00BF5537"/>
    <w:rsid w:val="00BF5541"/>
    <w:rsid w:val="00BF55B8"/>
    <w:rsid w:val="00BF56AC"/>
    <w:rsid w:val="00BF5823"/>
    <w:rsid w:val="00BF5849"/>
    <w:rsid w:val="00BF5BF1"/>
    <w:rsid w:val="00BF5CDD"/>
    <w:rsid w:val="00BF5E80"/>
    <w:rsid w:val="00BF60B2"/>
    <w:rsid w:val="00BF618E"/>
    <w:rsid w:val="00BF631C"/>
    <w:rsid w:val="00BF6338"/>
    <w:rsid w:val="00BF6389"/>
    <w:rsid w:val="00BF65C2"/>
    <w:rsid w:val="00BF669F"/>
    <w:rsid w:val="00BF686E"/>
    <w:rsid w:val="00BF6914"/>
    <w:rsid w:val="00BF6B23"/>
    <w:rsid w:val="00BF6BDA"/>
    <w:rsid w:val="00BF6BE4"/>
    <w:rsid w:val="00BF6C00"/>
    <w:rsid w:val="00BF6C05"/>
    <w:rsid w:val="00BF700E"/>
    <w:rsid w:val="00BF7146"/>
    <w:rsid w:val="00BF7185"/>
    <w:rsid w:val="00BF71C5"/>
    <w:rsid w:val="00BF71F4"/>
    <w:rsid w:val="00BF728C"/>
    <w:rsid w:val="00BF728E"/>
    <w:rsid w:val="00BF7319"/>
    <w:rsid w:val="00BF740E"/>
    <w:rsid w:val="00BF74B0"/>
    <w:rsid w:val="00BF7581"/>
    <w:rsid w:val="00BF78E0"/>
    <w:rsid w:val="00BF7C36"/>
    <w:rsid w:val="00BF7C7D"/>
    <w:rsid w:val="00BF7CC6"/>
    <w:rsid w:val="00C00041"/>
    <w:rsid w:val="00C0020B"/>
    <w:rsid w:val="00C00292"/>
    <w:rsid w:val="00C00339"/>
    <w:rsid w:val="00C00616"/>
    <w:rsid w:val="00C008FC"/>
    <w:rsid w:val="00C00991"/>
    <w:rsid w:val="00C00BF6"/>
    <w:rsid w:val="00C00C22"/>
    <w:rsid w:val="00C00C2B"/>
    <w:rsid w:val="00C00DC3"/>
    <w:rsid w:val="00C00E3D"/>
    <w:rsid w:val="00C00E7B"/>
    <w:rsid w:val="00C00FB5"/>
    <w:rsid w:val="00C00FE0"/>
    <w:rsid w:val="00C01085"/>
    <w:rsid w:val="00C013BE"/>
    <w:rsid w:val="00C013FB"/>
    <w:rsid w:val="00C014CA"/>
    <w:rsid w:val="00C01595"/>
    <w:rsid w:val="00C01957"/>
    <w:rsid w:val="00C01AAD"/>
    <w:rsid w:val="00C01B70"/>
    <w:rsid w:val="00C01DCD"/>
    <w:rsid w:val="00C02245"/>
    <w:rsid w:val="00C025DC"/>
    <w:rsid w:val="00C02628"/>
    <w:rsid w:val="00C02832"/>
    <w:rsid w:val="00C029B0"/>
    <w:rsid w:val="00C02A10"/>
    <w:rsid w:val="00C02AA6"/>
    <w:rsid w:val="00C02DE4"/>
    <w:rsid w:val="00C02E3A"/>
    <w:rsid w:val="00C031B8"/>
    <w:rsid w:val="00C0320C"/>
    <w:rsid w:val="00C03688"/>
    <w:rsid w:val="00C036EA"/>
    <w:rsid w:val="00C03720"/>
    <w:rsid w:val="00C0372F"/>
    <w:rsid w:val="00C037A1"/>
    <w:rsid w:val="00C03825"/>
    <w:rsid w:val="00C038A6"/>
    <w:rsid w:val="00C039D3"/>
    <w:rsid w:val="00C03AEC"/>
    <w:rsid w:val="00C03C83"/>
    <w:rsid w:val="00C03CC5"/>
    <w:rsid w:val="00C03F8E"/>
    <w:rsid w:val="00C0408C"/>
    <w:rsid w:val="00C041F3"/>
    <w:rsid w:val="00C042D0"/>
    <w:rsid w:val="00C0450C"/>
    <w:rsid w:val="00C046CD"/>
    <w:rsid w:val="00C047CD"/>
    <w:rsid w:val="00C04807"/>
    <w:rsid w:val="00C04949"/>
    <w:rsid w:val="00C04A4D"/>
    <w:rsid w:val="00C04DBA"/>
    <w:rsid w:val="00C04FB9"/>
    <w:rsid w:val="00C05412"/>
    <w:rsid w:val="00C0544A"/>
    <w:rsid w:val="00C054AC"/>
    <w:rsid w:val="00C054AF"/>
    <w:rsid w:val="00C057FD"/>
    <w:rsid w:val="00C05834"/>
    <w:rsid w:val="00C058FA"/>
    <w:rsid w:val="00C05970"/>
    <w:rsid w:val="00C0599A"/>
    <w:rsid w:val="00C05A0B"/>
    <w:rsid w:val="00C05C40"/>
    <w:rsid w:val="00C05ED6"/>
    <w:rsid w:val="00C060DD"/>
    <w:rsid w:val="00C061F8"/>
    <w:rsid w:val="00C065FF"/>
    <w:rsid w:val="00C0672F"/>
    <w:rsid w:val="00C068B7"/>
    <w:rsid w:val="00C06AB0"/>
    <w:rsid w:val="00C06B5C"/>
    <w:rsid w:val="00C06B73"/>
    <w:rsid w:val="00C06BD6"/>
    <w:rsid w:val="00C06D0B"/>
    <w:rsid w:val="00C06E26"/>
    <w:rsid w:val="00C0721E"/>
    <w:rsid w:val="00C0722F"/>
    <w:rsid w:val="00C076B2"/>
    <w:rsid w:val="00C07768"/>
    <w:rsid w:val="00C07849"/>
    <w:rsid w:val="00C07856"/>
    <w:rsid w:val="00C0795E"/>
    <w:rsid w:val="00C07A27"/>
    <w:rsid w:val="00C07BC7"/>
    <w:rsid w:val="00C07BEC"/>
    <w:rsid w:val="00C07C93"/>
    <w:rsid w:val="00C07D6B"/>
    <w:rsid w:val="00C07EA7"/>
    <w:rsid w:val="00C10147"/>
    <w:rsid w:val="00C10342"/>
    <w:rsid w:val="00C1048A"/>
    <w:rsid w:val="00C10509"/>
    <w:rsid w:val="00C10608"/>
    <w:rsid w:val="00C106A5"/>
    <w:rsid w:val="00C10F96"/>
    <w:rsid w:val="00C1107F"/>
    <w:rsid w:val="00C113A9"/>
    <w:rsid w:val="00C11434"/>
    <w:rsid w:val="00C11AC9"/>
    <w:rsid w:val="00C11BC5"/>
    <w:rsid w:val="00C11F1C"/>
    <w:rsid w:val="00C12086"/>
    <w:rsid w:val="00C121BB"/>
    <w:rsid w:val="00C1237E"/>
    <w:rsid w:val="00C12534"/>
    <w:rsid w:val="00C1281E"/>
    <w:rsid w:val="00C12872"/>
    <w:rsid w:val="00C12918"/>
    <w:rsid w:val="00C12998"/>
    <w:rsid w:val="00C12A44"/>
    <w:rsid w:val="00C12CA5"/>
    <w:rsid w:val="00C12E2C"/>
    <w:rsid w:val="00C1301A"/>
    <w:rsid w:val="00C130EF"/>
    <w:rsid w:val="00C1326F"/>
    <w:rsid w:val="00C1346B"/>
    <w:rsid w:val="00C135A4"/>
    <w:rsid w:val="00C13B39"/>
    <w:rsid w:val="00C13B8F"/>
    <w:rsid w:val="00C13BD4"/>
    <w:rsid w:val="00C13FE3"/>
    <w:rsid w:val="00C14031"/>
    <w:rsid w:val="00C14188"/>
    <w:rsid w:val="00C14367"/>
    <w:rsid w:val="00C144E6"/>
    <w:rsid w:val="00C1497F"/>
    <w:rsid w:val="00C14A9D"/>
    <w:rsid w:val="00C14AAF"/>
    <w:rsid w:val="00C14C71"/>
    <w:rsid w:val="00C14E58"/>
    <w:rsid w:val="00C14FEE"/>
    <w:rsid w:val="00C1507B"/>
    <w:rsid w:val="00C151C3"/>
    <w:rsid w:val="00C15292"/>
    <w:rsid w:val="00C155A3"/>
    <w:rsid w:val="00C15656"/>
    <w:rsid w:val="00C156EC"/>
    <w:rsid w:val="00C157D6"/>
    <w:rsid w:val="00C15D49"/>
    <w:rsid w:val="00C15E26"/>
    <w:rsid w:val="00C15F54"/>
    <w:rsid w:val="00C160E8"/>
    <w:rsid w:val="00C160F8"/>
    <w:rsid w:val="00C164A4"/>
    <w:rsid w:val="00C165CF"/>
    <w:rsid w:val="00C16673"/>
    <w:rsid w:val="00C1684C"/>
    <w:rsid w:val="00C169BA"/>
    <w:rsid w:val="00C169C3"/>
    <w:rsid w:val="00C16A51"/>
    <w:rsid w:val="00C16C4F"/>
    <w:rsid w:val="00C16C96"/>
    <w:rsid w:val="00C16CBA"/>
    <w:rsid w:val="00C16E3C"/>
    <w:rsid w:val="00C16E51"/>
    <w:rsid w:val="00C16E8C"/>
    <w:rsid w:val="00C17428"/>
    <w:rsid w:val="00C1756D"/>
    <w:rsid w:val="00C17633"/>
    <w:rsid w:val="00C17AD2"/>
    <w:rsid w:val="00C17C92"/>
    <w:rsid w:val="00C17DC0"/>
    <w:rsid w:val="00C17EC4"/>
    <w:rsid w:val="00C17EF4"/>
    <w:rsid w:val="00C17F7A"/>
    <w:rsid w:val="00C200EB"/>
    <w:rsid w:val="00C20203"/>
    <w:rsid w:val="00C204D4"/>
    <w:rsid w:val="00C2060F"/>
    <w:rsid w:val="00C20737"/>
    <w:rsid w:val="00C2088D"/>
    <w:rsid w:val="00C208F1"/>
    <w:rsid w:val="00C20946"/>
    <w:rsid w:val="00C209F7"/>
    <w:rsid w:val="00C20A39"/>
    <w:rsid w:val="00C20A3A"/>
    <w:rsid w:val="00C20E57"/>
    <w:rsid w:val="00C20F69"/>
    <w:rsid w:val="00C21025"/>
    <w:rsid w:val="00C210FD"/>
    <w:rsid w:val="00C2146A"/>
    <w:rsid w:val="00C21510"/>
    <w:rsid w:val="00C215EB"/>
    <w:rsid w:val="00C218EA"/>
    <w:rsid w:val="00C21A80"/>
    <w:rsid w:val="00C21B2F"/>
    <w:rsid w:val="00C21F42"/>
    <w:rsid w:val="00C22131"/>
    <w:rsid w:val="00C22269"/>
    <w:rsid w:val="00C224CC"/>
    <w:rsid w:val="00C22758"/>
    <w:rsid w:val="00C2299A"/>
    <w:rsid w:val="00C229CB"/>
    <w:rsid w:val="00C22B81"/>
    <w:rsid w:val="00C22E6E"/>
    <w:rsid w:val="00C22EC1"/>
    <w:rsid w:val="00C231AF"/>
    <w:rsid w:val="00C2345A"/>
    <w:rsid w:val="00C2365B"/>
    <w:rsid w:val="00C23671"/>
    <w:rsid w:val="00C23AED"/>
    <w:rsid w:val="00C23C98"/>
    <w:rsid w:val="00C23CBF"/>
    <w:rsid w:val="00C241B8"/>
    <w:rsid w:val="00C242FA"/>
    <w:rsid w:val="00C24468"/>
    <w:rsid w:val="00C24779"/>
    <w:rsid w:val="00C247C9"/>
    <w:rsid w:val="00C248DE"/>
    <w:rsid w:val="00C24C28"/>
    <w:rsid w:val="00C24D46"/>
    <w:rsid w:val="00C25013"/>
    <w:rsid w:val="00C25141"/>
    <w:rsid w:val="00C25247"/>
    <w:rsid w:val="00C2526D"/>
    <w:rsid w:val="00C25271"/>
    <w:rsid w:val="00C25562"/>
    <w:rsid w:val="00C255BF"/>
    <w:rsid w:val="00C255DF"/>
    <w:rsid w:val="00C25605"/>
    <w:rsid w:val="00C25655"/>
    <w:rsid w:val="00C25669"/>
    <w:rsid w:val="00C25924"/>
    <w:rsid w:val="00C259D0"/>
    <w:rsid w:val="00C259E0"/>
    <w:rsid w:val="00C259EE"/>
    <w:rsid w:val="00C25C14"/>
    <w:rsid w:val="00C25C5D"/>
    <w:rsid w:val="00C25DC7"/>
    <w:rsid w:val="00C25F0B"/>
    <w:rsid w:val="00C260A8"/>
    <w:rsid w:val="00C2613B"/>
    <w:rsid w:val="00C26559"/>
    <w:rsid w:val="00C26584"/>
    <w:rsid w:val="00C267D9"/>
    <w:rsid w:val="00C26970"/>
    <w:rsid w:val="00C26BE1"/>
    <w:rsid w:val="00C26FEE"/>
    <w:rsid w:val="00C27012"/>
    <w:rsid w:val="00C271D8"/>
    <w:rsid w:val="00C2748B"/>
    <w:rsid w:val="00C2757F"/>
    <w:rsid w:val="00C27736"/>
    <w:rsid w:val="00C278A8"/>
    <w:rsid w:val="00C27B6E"/>
    <w:rsid w:val="00C27B81"/>
    <w:rsid w:val="00C27B8D"/>
    <w:rsid w:val="00C27CA4"/>
    <w:rsid w:val="00C300F6"/>
    <w:rsid w:val="00C3019C"/>
    <w:rsid w:val="00C303BD"/>
    <w:rsid w:val="00C30489"/>
    <w:rsid w:val="00C30492"/>
    <w:rsid w:val="00C304E1"/>
    <w:rsid w:val="00C3073C"/>
    <w:rsid w:val="00C30A5C"/>
    <w:rsid w:val="00C30B93"/>
    <w:rsid w:val="00C30BC8"/>
    <w:rsid w:val="00C30D51"/>
    <w:rsid w:val="00C30E12"/>
    <w:rsid w:val="00C30F18"/>
    <w:rsid w:val="00C31199"/>
    <w:rsid w:val="00C31342"/>
    <w:rsid w:val="00C3194D"/>
    <w:rsid w:val="00C31C69"/>
    <w:rsid w:val="00C31E89"/>
    <w:rsid w:val="00C323FE"/>
    <w:rsid w:val="00C3248E"/>
    <w:rsid w:val="00C3251F"/>
    <w:rsid w:val="00C325A1"/>
    <w:rsid w:val="00C325EA"/>
    <w:rsid w:val="00C3280F"/>
    <w:rsid w:val="00C3288E"/>
    <w:rsid w:val="00C32B94"/>
    <w:rsid w:val="00C32B9B"/>
    <w:rsid w:val="00C32C6E"/>
    <w:rsid w:val="00C32E02"/>
    <w:rsid w:val="00C32EE9"/>
    <w:rsid w:val="00C32F9F"/>
    <w:rsid w:val="00C3308E"/>
    <w:rsid w:val="00C3317D"/>
    <w:rsid w:val="00C33391"/>
    <w:rsid w:val="00C338D3"/>
    <w:rsid w:val="00C33924"/>
    <w:rsid w:val="00C339D6"/>
    <w:rsid w:val="00C33AEE"/>
    <w:rsid w:val="00C33B75"/>
    <w:rsid w:val="00C33BE7"/>
    <w:rsid w:val="00C33D71"/>
    <w:rsid w:val="00C33E5E"/>
    <w:rsid w:val="00C344A9"/>
    <w:rsid w:val="00C34515"/>
    <w:rsid w:val="00C346E6"/>
    <w:rsid w:val="00C3475B"/>
    <w:rsid w:val="00C34824"/>
    <w:rsid w:val="00C348CC"/>
    <w:rsid w:val="00C34DB5"/>
    <w:rsid w:val="00C3559A"/>
    <w:rsid w:val="00C3563E"/>
    <w:rsid w:val="00C3588D"/>
    <w:rsid w:val="00C3591E"/>
    <w:rsid w:val="00C3592C"/>
    <w:rsid w:val="00C35C7E"/>
    <w:rsid w:val="00C35D5E"/>
    <w:rsid w:val="00C35E1B"/>
    <w:rsid w:val="00C35E99"/>
    <w:rsid w:val="00C35F22"/>
    <w:rsid w:val="00C36138"/>
    <w:rsid w:val="00C36265"/>
    <w:rsid w:val="00C362DD"/>
    <w:rsid w:val="00C36316"/>
    <w:rsid w:val="00C36520"/>
    <w:rsid w:val="00C36626"/>
    <w:rsid w:val="00C3677B"/>
    <w:rsid w:val="00C367B3"/>
    <w:rsid w:val="00C36867"/>
    <w:rsid w:val="00C36A13"/>
    <w:rsid w:val="00C36B5B"/>
    <w:rsid w:val="00C36C9E"/>
    <w:rsid w:val="00C36D1C"/>
    <w:rsid w:val="00C3729F"/>
    <w:rsid w:val="00C373C1"/>
    <w:rsid w:val="00C373C4"/>
    <w:rsid w:val="00C37449"/>
    <w:rsid w:val="00C37486"/>
    <w:rsid w:val="00C37541"/>
    <w:rsid w:val="00C3768B"/>
    <w:rsid w:val="00C376CB"/>
    <w:rsid w:val="00C377A9"/>
    <w:rsid w:val="00C37832"/>
    <w:rsid w:val="00C37920"/>
    <w:rsid w:val="00C37BC9"/>
    <w:rsid w:val="00C37BE0"/>
    <w:rsid w:val="00C37E9B"/>
    <w:rsid w:val="00C40091"/>
    <w:rsid w:val="00C40174"/>
    <w:rsid w:val="00C401D4"/>
    <w:rsid w:val="00C40351"/>
    <w:rsid w:val="00C4038A"/>
    <w:rsid w:val="00C40434"/>
    <w:rsid w:val="00C405F0"/>
    <w:rsid w:val="00C4071A"/>
    <w:rsid w:val="00C40AE8"/>
    <w:rsid w:val="00C40B86"/>
    <w:rsid w:val="00C411A1"/>
    <w:rsid w:val="00C411B3"/>
    <w:rsid w:val="00C41244"/>
    <w:rsid w:val="00C4130A"/>
    <w:rsid w:val="00C414FC"/>
    <w:rsid w:val="00C415E0"/>
    <w:rsid w:val="00C41613"/>
    <w:rsid w:val="00C4164E"/>
    <w:rsid w:val="00C41707"/>
    <w:rsid w:val="00C41737"/>
    <w:rsid w:val="00C41985"/>
    <w:rsid w:val="00C41A51"/>
    <w:rsid w:val="00C41B28"/>
    <w:rsid w:val="00C41D3E"/>
    <w:rsid w:val="00C41D4B"/>
    <w:rsid w:val="00C41D97"/>
    <w:rsid w:val="00C41DAE"/>
    <w:rsid w:val="00C422EE"/>
    <w:rsid w:val="00C424E0"/>
    <w:rsid w:val="00C4259D"/>
    <w:rsid w:val="00C425AF"/>
    <w:rsid w:val="00C428E2"/>
    <w:rsid w:val="00C42953"/>
    <w:rsid w:val="00C42BC2"/>
    <w:rsid w:val="00C42CC0"/>
    <w:rsid w:val="00C42DBC"/>
    <w:rsid w:val="00C42F0E"/>
    <w:rsid w:val="00C42F54"/>
    <w:rsid w:val="00C42FCA"/>
    <w:rsid w:val="00C43414"/>
    <w:rsid w:val="00C4342C"/>
    <w:rsid w:val="00C43508"/>
    <w:rsid w:val="00C437CD"/>
    <w:rsid w:val="00C4389C"/>
    <w:rsid w:val="00C438CE"/>
    <w:rsid w:val="00C43BC8"/>
    <w:rsid w:val="00C43C01"/>
    <w:rsid w:val="00C4405B"/>
    <w:rsid w:val="00C4419E"/>
    <w:rsid w:val="00C4434B"/>
    <w:rsid w:val="00C443AA"/>
    <w:rsid w:val="00C443E6"/>
    <w:rsid w:val="00C444AB"/>
    <w:rsid w:val="00C444CF"/>
    <w:rsid w:val="00C446C5"/>
    <w:rsid w:val="00C446E3"/>
    <w:rsid w:val="00C4486D"/>
    <w:rsid w:val="00C44B63"/>
    <w:rsid w:val="00C44D9F"/>
    <w:rsid w:val="00C4502E"/>
    <w:rsid w:val="00C450D1"/>
    <w:rsid w:val="00C453E6"/>
    <w:rsid w:val="00C4551A"/>
    <w:rsid w:val="00C45705"/>
    <w:rsid w:val="00C459F2"/>
    <w:rsid w:val="00C45AE0"/>
    <w:rsid w:val="00C45D7D"/>
    <w:rsid w:val="00C4612D"/>
    <w:rsid w:val="00C4629F"/>
    <w:rsid w:val="00C46449"/>
    <w:rsid w:val="00C4667E"/>
    <w:rsid w:val="00C469F6"/>
    <w:rsid w:val="00C46DFE"/>
    <w:rsid w:val="00C46E3A"/>
    <w:rsid w:val="00C46E46"/>
    <w:rsid w:val="00C46E5E"/>
    <w:rsid w:val="00C46F4B"/>
    <w:rsid w:val="00C474AC"/>
    <w:rsid w:val="00C47885"/>
    <w:rsid w:val="00C479B7"/>
    <w:rsid w:val="00C47C13"/>
    <w:rsid w:val="00C47C2E"/>
    <w:rsid w:val="00C47D18"/>
    <w:rsid w:val="00C47E10"/>
    <w:rsid w:val="00C47F29"/>
    <w:rsid w:val="00C50043"/>
    <w:rsid w:val="00C500AE"/>
    <w:rsid w:val="00C50188"/>
    <w:rsid w:val="00C50477"/>
    <w:rsid w:val="00C5072B"/>
    <w:rsid w:val="00C50E1F"/>
    <w:rsid w:val="00C50F22"/>
    <w:rsid w:val="00C50F2E"/>
    <w:rsid w:val="00C50F5E"/>
    <w:rsid w:val="00C51021"/>
    <w:rsid w:val="00C51282"/>
    <w:rsid w:val="00C51352"/>
    <w:rsid w:val="00C51453"/>
    <w:rsid w:val="00C51509"/>
    <w:rsid w:val="00C51610"/>
    <w:rsid w:val="00C5163B"/>
    <w:rsid w:val="00C5168A"/>
    <w:rsid w:val="00C519CD"/>
    <w:rsid w:val="00C51C8A"/>
    <w:rsid w:val="00C51D62"/>
    <w:rsid w:val="00C51E3C"/>
    <w:rsid w:val="00C51FCD"/>
    <w:rsid w:val="00C5207E"/>
    <w:rsid w:val="00C52331"/>
    <w:rsid w:val="00C52419"/>
    <w:rsid w:val="00C52475"/>
    <w:rsid w:val="00C52694"/>
    <w:rsid w:val="00C52771"/>
    <w:rsid w:val="00C52934"/>
    <w:rsid w:val="00C52B06"/>
    <w:rsid w:val="00C52DB4"/>
    <w:rsid w:val="00C53085"/>
    <w:rsid w:val="00C530BD"/>
    <w:rsid w:val="00C531A9"/>
    <w:rsid w:val="00C53946"/>
    <w:rsid w:val="00C539D8"/>
    <w:rsid w:val="00C53BF6"/>
    <w:rsid w:val="00C54082"/>
    <w:rsid w:val="00C541F8"/>
    <w:rsid w:val="00C54425"/>
    <w:rsid w:val="00C54475"/>
    <w:rsid w:val="00C5447D"/>
    <w:rsid w:val="00C54C3C"/>
    <w:rsid w:val="00C54DCE"/>
    <w:rsid w:val="00C5509B"/>
    <w:rsid w:val="00C5510A"/>
    <w:rsid w:val="00C55390"/>
    <w:rsid w:val="00C553E5"/>
    <w:rsid w:val="00C55482"/>
    <w:rsid w:val="00C55C87"/>
    <w:rsid w:val="00C55DF6"/>
    <w:rsid w:val="00C55E45"/>
    <w:rsid w:val="00C55E99"/>
    <w:rsid w:val="00C56022"/>
    <w:rsid w:val="00C560BF"/>
    <w:rsid w:val="00C565E5"/>
    <w:rsid w:val="00C5667D"/>
    <w:rsid w:val="00C56706"/>
    <w:rsid w:val="00C56802"/>
    <w:rsid w:val="00C56818"/>
    <w:rsid w:val="00C56A9D"/>
    <w:rsid w:val="00C56D63"/>
    <w:rsid w:val="00C5728F"/>
    <w:rsid w:val="00C57470"/>
    <w:rsid w:val="00C57482"/>
    <w:rsid w:val="00C57504"/>
    <w:rsid w:val="00C5757C"/>
    <w:rsid w:val="00C5786C"/>
    <w:rsid w:val="00C57D86"/>
    <w:rsid w:val="00C57E09"/>
    <w:rsid w:val="00C57E80"/>
    <w:rsid w:val="00C57E8E"/>
    <w:rsid w:val="00C60181"/>
    <w:rsid w:val="00C6024E"/>
    <w:rsid w:val="00C60347"/>
    <w:rsid w:val="00C60467"/>
    <w:rsid w:val="00C6047A"/>
    <w:rsid w:val="00C606B6"/>
    <w:rsid w:val="00C6086D"/>
    <w:rsid w:val="00C60DF2"/>
    <w:rsid w:val="00C60E60"/>
    <w:rsid w:val="00C60E67"/>
    <w:rsid w:val="00C61034"/>
    <w:rsid w:val="00C612ED"/>
    <w:rsid w:val="00C61367"/>
    <w:rsid w:val="00C61492"/>
    <w:rsid w:val="00C61714"/>
    <w:rsid w:val="00C61814"/>
    <w:rsid w:val="00C61879"/>
    <w:rsid w:val="00C61A01"/>
    <w:rsid w:val="00C61B2B"/>
    <w:rsid w:val="00C61B84"/>
    <w:rsid w:val="00C61CBF"/>
    <w:rsid w:val="00C61DD0"/>
    <w:rsid w:val="00C61E0E"/>
    <w:rsid w:val="00C6213C"/>
    <w:rsid w:val="00C62199"/>
    <w:rsid w:val="00C62407"/>
    <w:rsid w:val="00C62562"/>
    <w:rsid w:val="00C62965"/>
    <w:rsid w:val="00C62C14"/>
    <w:rsid w:val="00C62C4D"/>
    <w:rsid w:val="00C62D41"/>
    <w:rsid w:val="00C62EBC"/>
    <w:rsid w:val="00C62EE3"/>
    <w:rsid w:val="00C62F7C"/>
    <w:rsid w:val="00C62FC2"/>
    <w:rsid w:val="00C62FDD"/>
    <w:rsid w:val="00C63128"/>
    <w:rsid w:val="00C63213"/>
    <w:rsid w:val="00C632F6"/>
    <w:rsid w:val="00C63356"/>
    <w:rsid w:val="00C6360F"/>
    <w:rsid w:val="00C6376E"/>
    <w:rsid w:val="00C63788"/>
    <w:rsid w:val="00C638C5"/>
    <w:rsid w:val="00C638FF"/>
    <w:rsid w:val="00C63942"/>
    <w:rsid w:val="00C63A58"/>
    <w:rsid w:val="00C63B48"/>
    <w:rsid w:val="00C63B6A"/>
    <w:rsid w:val="00C63D12"/>
    <w:rsid w:val="00C63D4E"/>
    <w:rsid w:val="00C63EDE"/>
    <w:rsid w:val="00C63F94"/>
    <w:rsid w:val="00C64144"/>
    <w:rsid w:val="00C6415A"/>
    <w:rsid w:val="00C64396"/>
    <w:rsid w:val="00C64402"/>
    <w:rsid w:val="00C64440"/>
    <w:rsid w:val="00C64452"/>
    <w:rsid w:val="00C64497"/>
    <w:rsid w:val="00C645A0"/>
    <w:rsid w:val="00C645C6"/>
    <w:rsid w:val="00C6497E"/>
    <w:rsid w:val="00C6499B"/>
    <w:rsid w:val="00C64A37"/>
    <w:rsid w:val="00C64B2B"/>
    <w:rsid w:val="00C64BD2"/>
    <w:rsid w:val="00C64DD3"/>
    <w:rsid w:val="00C64EA0"/>
    <w:rsid w:val="00C64FD8"/>
    <w:rsid w:val="00C6502E"/>
    <w:rsid w:val="00C651C2"/>
    <w:rsid w:val="00C6547E"/>
    <w:rsid w:val="00C65511"/>
    <w:rsid w:val="00C657E4"/>
    <w:rsid w:val="00C65819"/>
    <w:rsid w:val="00C65822"/>
    <w:rsid w:val="00C6594C"/>
    <w:rsid w:val="00C65B8F"/>
    <w:rsid w:val="00C65DDB"/>
    <w:rsid w:val="00C65ED5"/>
    <w:rsid w:val="00C662A3"/>
    <w:rsid w:val="00C6656B"/>
    <w:rsid w:val="00C66B2C"/>
    <w:rsid w:val="00C66FA2"/>
    <w:rsid w:val="00C671E6"/>
    <w:rsid w:val="00C671F6"/>
    <w:rsid w:val="00C67265"/>
    <w:rsid w:val="00C67271"/>
    <w:rsid w:val="00C672AB"/>
    <w:rsid w:val="00C67443"/>
    <w:rsid w:val="00C676C6"/>
    <w:rsid w:val="00C67C41"/>
    <w:rsid w:val="00C7004B"/>
    <w:rsid w:val="00C702B8"/>
    <w:rsid w:val="00C703F5"/>
    <w:rsid w:val="00C7092A"/>
    <w:rsid w:val="00C70962"/>
    <w:rsid w:val="00C70AE4"/>
    <w:rsid w:val="00C70C43"/>
    <w:rsid w:val="00C70C6A"/>
    <w:rsid w:val="00C7107A"/>
    <w:rsid w:val="00C71114"/>
    <w:rsid w:val="00C7111C"/>
    <w:rsid w:val="00C7116C"/>
    <w:rsid w:val="00C7122C"/>
    <w:rsid w:val="00C7129B"/>
    <w:rsid w:val="00C712B2"/>
    <w:rsid w:val="00C71555"/>
    <w:rsid w:val="00C716BD"/>
    <w:rsid w:val="00C71BC2"/>
    <w:rsid w:val="00C71CBD"/>
    <w:rsid w:val="00C71E8A"/>
    <w:rsid w:val="00C71F9D"/>
    <w:rsid w:val="00C71FEF"/>
    <w:rsid w:val="00C7208B"/>
    <w:rsid w:val="00C720C9"/>
    <w:rsid w:val="00C7217E"/>
    <w:rsid w:val="00C72289"/>
    <w:rsid w:val="00C72361"/>
    <w:rsid w:val="00C72385"/>
    <w:rsid w:val="00C72482"/>
    <w:rsid w:val="00C724A3"/>
    <w:rsid w:val="00C724F1"/>
    <w:rsid w:val="00C7264C"/>
    <w:rsid w:val="00C72655"/>
    <w:rsid w:val="00C7283D"/>
    <w:rsid w:val="00C729BA"/>
    <w:rsid w:val="00C729CE"/>
    <w:rsid w:val="00C72BBC"/>
    <w:rsid w:val="00C72F72"/>
    <w:rsid w:val="00C7305B"/>
    <w:rsid w:val="00C73227"/>
    <w:rsid w:val="00C73237"/>
    <w:rsid w:val="00C73405"/>
    <w:rsid w:val="00C735E4"/>
    <w:rsid w:val="00C7365D"/>
    <w:rsid w:val="00C7376F"/>
    <w:rsid w:val="00C73773"/>
    <w:rsid w:val="00C73997"/>
    <w:rsid w:val="00C73AD5"/>
    <w:rsid w:val="00C73C40"/>
    <w:rsid w:val="00C73C46"/>
    <w:rsid w:val="00C74397"/>
    <w:rsid w:val="00C744F1"/>
    <w:rsid w:val="00C745C4"/>
    <w:rsid w:val="00C74621"/>
    <w:rsid w:val="00C74648"/>
    <w:rsid w:val="00C7465E"/>
    <w:rsid w:val="00C74686"/>
    <w:rsid w:val="00C7468E"/>
    <w:rsid w:val="00C74915"/>
    <w:rsid w:val="00C7496E"/>
    <w:rsid w:val="00C749CB"/>
    <w:rsid w:val="00C74AF9"/>
    <w:rsid w:val="00C74B55"/>
    <w:rsid w:val="00C74BC3"/>
    <w:rsid w:val="00C74C8F"/>
    <w:rsid w:val="00C74EED"/>
    <w:rsid w:val="00C75367"/>
    <w:rsid w:val="00C7548F"/>
    <w:rsid w:val="00C75769"/>
    <w:rsid w:val="00C75845"/>
    <w:rsid w:val="00C758CD"/>
    <w:rsid w:val="00C759C3"/>
    <w:rsid w:val="00C75DE1"/>
    <w:rsid w:val="00C75F1A"/>
    <w:rsid w:val="00C75FDA"/>
    <w:rsid w:val="00C76093"/>
    <w:rsid w:val="00C760D7"/>
    <w:rsid w:val="00C7623C"/>
    <w:rsid w:val="00C762AF"/>
    <w:rsid w:val="00C764B4"/>
    <w:rsid w:val="00C76546"/>
    <w:rsid w:val="00C765B6"/>
    <w:rsid w:val="00C76760"/>
    <w:rsid w:val="00C767AB"/>
    <w:rsid w:val="00C76824"/>
    <w:rsid w:val="00C76A04"/>
    <w:rsid w:val="00C76CA5"/>
    <w:rsid w:val="00C76E4E"/>
    <w:rsid w:val="00C76EEA"/>
    <w:rsid w:val="00C77006"/>
    <w:rsid w:val="00C7745D"/>
    <w:rsid w:val="00C77650"/>
    <w:rsid w:val="00C778A7"/>
    <w:rsid w:val="00C779EB"/>
    <w:rsid w:val="00C77BE2"/>
    <w:rsid w:val="00C77D0C"/>
    <w:rsid w:val="00C77D23"/>
    <w:rsid w:val="00C77FA7"/>
    <w:rsid w:val="00C80041"/>
    <w:rsid w:val="00C80251"/>
    <w:rsid w:val="00C80253"/>
    <w:rsid w:val="00C804BF"/>
    <w:rsid w:val="00C80586"/>
    <w:rsid w:val="00C805C1"/>
    <w:rsid w:val="00C806C8"/>
    <w:rsid w:val="00C81009"/>
    <w:rsid w:val="00C81065"/>
    <w:rsid w:val="00C813B6"/>
    <w:rsid w:val="00C8181A"/>
    <w:rsid w:val="00C8183A"/>
    <w:rsid w:val="00C819BC"/>
    <w:rsid w:val="00C81CAC"/>
    <w:rsid w:val="00C82192"/>
    <w:rsid w:val="00C822B4"/>
    <w:rsid w:val="00C82346"/>
    <w:rsid w:val="00C823A1"/>
    <w:rsid w:val="00C824A6"/>
    <w:rsid w:val="00C82641"/>
    <w:rsid w:val="00C82A53"/>
    <w:rsid w:val="00C82ADE"/>
    <w:rsid w:val="00C82BE4"/>
    <w:rsid w:val="00C82CED"/>
    <w:rsid w:val="00C82EBE"/>
    <w:rsid w:val="00C82F4B"/>
    <w:rsid w:val="00C83338"/>
    <w:rsid w:val="00C83352"/>
    <w:rsid w:val="00C8339C"/>
    <w:rsid w:val="00C833D7"/>
    <w:rsid w:val="00C83492"/>
    <w:rsid w:val="00C834D2"/>
    <w:rsid w:val="00C83655"/>
    <w:rsid w:val="00C836E9"/>
    <w:rsid w:val="00C83859"/>
    <w:rsid w:val="00C83A5F"/>
    <w:rsid w:val="00C83A67"/>
    <w:rsid w:val="00C83A82"/>
    <w:rsid w:val="00C83B36"/>
    <w:rsid w:val="00C83BD1"/>
    <w:rsid w:val="00C83C38"/>
    <w:rsid w:val="00C83D60"/>
    <w:rsid w:val="00C83E6B"/>
    <w:rsid w:val="00C83F89"/>
    <w:rsid w:val="00C83FEC"/>
    <w:rsid w:val="00C842C5"/>
    <w:rsid w:val="00C84432"/>
    <w:rsid w:val="00C844C0"/>
    <w:rsid w:val="00C8462E"/>
    <w:rsid w:val="00C848F9"/>
    <w:rsid w:val="00C8492A"/>
    <w:rsid w:val="00C84B00"/>
    <w:rsid w:val="00C84D6C"/>
    <w:rsid w:val="00C84E15"/>
    <w:rsid w:val="00C84F59"/>
    <w:rsid w:val="00C84FE4"/>
    <w:rsid w:val="00C8503A"/>
    <w:rsid w:val="00C85589"/>
    <w:rsid w:val="00C855AA"/>
    <w:rsid w:val="00C857DE"/>
    <w:rsid w:val="00C859C5"/>
    <w:rsid w:val="00C85BF7"/>
    <w:rsid w:val="00C85F5B"/>
    <w:rsid w:val="00C86076"/>
    <w:rsid w:val="00C860C3"/>
    <w:rsid w:val="00C860FF"/>
    <w:rsid w:val="00C862CB"/>
    <w:rsid w:val="00C86455"/>
    <w:rsid w:val="00C8656E"/>
    <w:rsid w:val="00C8658D"/>
    <w:rsid w:val="00C86817"/>
    <w:rsid w:val="00C869B0"/>
    <w:rsid w:val="00C869B8"/>
    <w:rsid w:val="00C86A3D"/>
    <w:rsid w:val="00C86AF8"/>
    <w:rsid w:val="00C86B2A"/>
    <w:rsid w:val="00C86C61"/>
    <w:rsid w:val="00C8705D"/>
    <w:rsid w:val="00C87075"/>
    <w:rsid w:val="00C87555"/>
    <w:rsid w:val="00C87939"/>
    <w:rsid w:val="00C87A5F"/>
    <w:rsid w:val="00C87B7B"/>
    <w:rsid w:val="00C87C03"/>
    <w:rsid w:val="00C87C09"/>
    <w:rsid w:val="00C90038"/>
    <w:rsid w:val="00C90327"/>
    <w:rsid w:val="00C90362"/>
    <w:rsid w:val="00C90C96"/>
    <w:rsid w:val="00C90D9A"/>
    <w:rsid w:val="00C90DB1"/>
    <w:rsid w:val="00C90E3B"/>
    <w:rsid w:val="00C91177"/>
    <w:rsid w:val="00C9120C"/>
    <w:rsid w:val="00C912EC"/>
    <w:rsid w:val="00C915E7"/>
    <w:rsid w:val="00C91615"/>
    <w:rsid w:val="00C91EEA"/>
    <w:rsid w:val="00C91FAA"/>
    <w:rsid w:val="00C9208E"/>
    <w:rsid w:val="00C928FF"/>
    <w:rsid w:val="00C92A6B"/>
    <w:rsid w:val="00C92AA2"/>
    <w:rsid w:val="00C92AF2"/>
    <w:rsid w:val="00C92B10"/>
    <w:rsid w:val="00C92B31"/>
    <w:rsid w:val="00C92D33"/>
    <w:rsid w:val="00C92DD6"/>
    <w:rsid w:val="00C92E3B"/>
    <w:rsid w:val="00C92F0A"/>
    <w:rsid w:val="00C92F25"/>
    <w:rsid w:val="00C92F44"/>
    <w:rsid w:val="00C9309A"/>
    <w:rsid w:val="00C9313B"/>
    <w:rsid w:val="00C934A2"/>
    <w:rsid w:val="00C935E7"/>
    <w:rsid w:val="00C9383C"/>
    <w:rsid w:val="00C93970"/>
    <w:rsid w:val="00C93996"/>
    <w:rsid w:val="00C93AB5"/>
    <w:rsid w:val="00C93C18"/>
    <w:rsid w:val="00C93EF4"/>
    <w:rsid w:val="00C94220"/>
    <w:rsid w:val="00C942AA"/>
    <w:rsid w:val="00C943A0"/>
    <w:rsid w:val="00C943C1"/>
    <w:rsid w:val="00C94628"/>
    <w:rsid w:val="00C947F9"/>
    <w:rsid w:val="00C949DF"/>
    <w:rsid w:val="00C94A0B"/>
    <w:rsid w:val="00C94B91"/>
    <w:rsid w:val="00C94D62"/>
    <w:rsid w:val="00C94DEA"/>
    <w:rsid w:val="00C94E21"/>
    <w:rsid w:val="00C94FE5"/>
    <w:rsid w:val="00C951E8"/>
    <w:rsid w:val="00C9526F"/>
    <w:rsid w:val="00C9535E"/>
    <w:rsid w:val="00C953C0"/>
    <w:rsid w:val="00C953C7"/>
    <w:rsid w:val="00C9567E"/>
    <w:rsid w:val="00C95811"/>
    <w:rsid w:val="00C958F6"/>
    <w:rsid w:val="00C95ABA"/>
    <w:rsid w:val="00C95E51"/>
    <w:rsid w:val="00C95ED0"/>
    <w:rsid w:val="00C95F53"/>
    <w:rsid w:val="00C95F5A"/>
    <w:rsid w:val="00C95F7A"/>
    <w:rsid w:val="00C960CA"/>
    <w:rsid w:val="00C96119"/>
    <w:rsid w:val="00C96125"/>
    <w:rsid w:val="00C961A4"/>
    <w:rsid w:val="00C961FF"/>
    <w:rsid w:val="00C9640B"/>
    <w:rsid w:val="00C96569"/>
    <w:rsid w:val="00C965AA"/>
    <w:rsid w:val="00C9669F"/>
    <w:rsid w:val="00C966BA"/>
    <w:rsid w:val="00C96A83"/>
    <w:rsid w:val="00C96EC7"/>
    <w:rsid w:val="00C9723B"/>
    <w:rsid w:val="00C97573"/>
    <w:rsid w:val="00C97576"/>
    <w:rsid w:val="00C97DA4"/>
    <w:rsid w:val="00C97E89"/>
    <w:rsid w:val="00C97F92"/>
    <w:rsid w:val="00CA019C"/>
    <w:rsid w:val="00CA0284"/>
    <w:rsid w:val="00CA0306"/>
    <w:rsid w:val="00CA047A"/>
    <w:rsid w:val="00CA069D"/>
    <w:rsid w:val="00CA06C2"/>
    <w:rsid w:val="00CA07C6"/>
    <w:rsid w:val="00CA0943"/>
    <w:rsid w:val="00CA0972"/>
    <w:rsid w:val="00CA0A11"/>
    <w:rsid w:val="00CA0B2C"/>
    <w:rsid w:val="00CA0B53"/>
    <w:rsid w:val="00CA0C5B"/>
    <w:rsid w:val="00CA0CC7"/>
    <w:rsid w:val="00CA0D96"/>
    <w:rsid w:val="00CA0DB9"/>
    <w:rsid w:val="00CA10BB"/>
    <w:rsid w:val="00CA10DE"/>
    <w:rsid w:val="00CA111D"/>
    <w:rsid w:val="00CA13F0"/>
    <w:rsid w:val="00CA14E9"/>
    <w:rsid w:val="00CA1678"/>
    <w:rsid w:val="00CA1727"/>
    <w:rsid w:val="00CA177A"/>
    <w:rsid w:val="00CA1CF9"/>
    <w:rsid w:val="00CA1DC3"/>
    <w:rsid w:val="00CA1ED5"/>
    <w:rsid w:val="00CA1FB4"/>
    <w:rsid w:val="00CA1FE0"/>
    <w:rsid w:val="00CA20A2"/>
    <w:rsid w:val="00CA2559"/>
    <w:rsid w:val="00CA291C"/>
    <w:rsid w:val="00CA2CA8"/>
    <w:rsid w:val="00CA2D64"/>
    <w:rsid w:val="00CA2D8E"/>
    <w:rsid w:val="00CA2E72"/>
    <w:rsid w:val="00CA2EDD"/>
    <w:rsid w:val="00CA2FAC"/>
    <w:rsid w:val="00CA2FF6"/>
    <w:rsid w:val="00CA307E"/>
    <w:rsid w:val="00CA30DE"/>
    <w:rsid w:val="00CA33CB"/>
    <w:rsid w:val="00CA341E"/>
    <w:rsid w:val="00CA351E"/>
    <w:rsid w:val="00CA3696"/>
    <w:rsid w:val="00CA36BB"/>
    <w:rsid w:val="00CA3CBD"/>
    <w:rsid w:val="00CA3CF1"/>
    <w:rsid w:val="00CA3EBE"/>
    <w:rsid w:val="00CA3F5D"/>
    <w:rsid w:val="00CA4250"/>
    <w:rsid w:val="00CA46F4"/>
    <w:rsid w:val="00CA4A74"/>
    <w:rsid w:val="00CA4AC6"/>
    <w:rsid w:val="00CA4C88"/>
    <w:rsid w:val="00CA4C99"/>
    <w:rsid w:val="00CA4D82"/>
    <w:rsid w:val="00CA4D95"/>
    <w:rsid w:val="00CA4E58"/>
    <w:rsid w:val="00CA4EAC"/>
    <w:rsid w:val="00CA505B"/>
    <w:rsid w:val="00CA50EB"/>
    <w:rsid w:val="00CA533E"/>
    <w:rsid w:val="00CA5B48"/>
    <w:rsid w:val="00CA5C14"/>
    <w:rsid w:val="00CA5CFA"/>
    <w:rsid w:val="00CA5E5E"/>
    <w:rsid w:val="00CA5E73"/>
    <w:rsid w:val="00CA6047"/>
    <w:rsid w:val="00CA6079"/>
    <w:rsid w:val="00CA60C6"/>
    <w:rsid w:val="00CA625A"/>
    <w:rsid w:val="00CA62FF"/>
    <w:rsid w:val="00CA63E4"/>
    <w:rsid w:val="00CA6522"/>
    <w:rsid w:val="00CA65AE"/>
    <w:rsid w:val="00CA66A7"/>
    <w:rsid w:val="00CA6820"/>
    <w:rsid w:val="00CA6B02"/>
    <w:rsid w:val="00CA6CC4"/>
    <w:rsid w:val="00CA6E47"/>
    <w:rsid w:val="00CA7021"/>
    <w:rsid w:val="00CA722B"/>
    <w:rsid w:val="00CA74E3"/>
    <w:rsid w:val="00CA7677"/>
    <w:rsid w:val="00CA7743"/>
    <w:rsid w:val="00CA77B1"/>
    <w:rsid w:val="00CA790A"/>
    <w:rsid w:val="00CA7B2E"/>
    <w:rsid w:val="00CA7B5F"/>
    <w:rsid w:val="00CA7B94"/>
    <w:rsid w:val="00CA7C5E"/>
    <w:rsid w:val="00CA7CB5"/>
    <w:rsid w:val="00CA7DC0"/>
    <w:rsid w:val="00CB0050"/>
    <w:rsid w:val="00CB0378"/>
    <w:rsid w:val="00CB040D"/>
    <w:rsid w:val="00CB06E3"/>
    <w:rsid w:val="00CB07FE"/>
    <w:rsid w:val="00CB1081"/>
    <w:rsid w:val="00CB1369"/>
    <w:rsid w:val="00CB142E"/>
    <w:rsid w:val="00CB1452"/>
    <w:rsid w:val="00CB145E"/>
    <w:rsid w:val="00CB15BE"/>
    <w:rsid w:val="00CB187F"/>
    <w:rsid w:val="00CB1EB5"/>
    <w:rsid w:val="00CB1FEA"/>
    <w:rsid w:val="00CB2126"/>
    <w:rsid w:val="00CB21EA"/>
    <w:rsid w:val="00CB2292"/>
    <w:rsid w:val="00CB23C3"/>
    <w:rsid w:val="00CB2414"/>
    <w:rsid w:val="00CB24B2"/>
    <w:rsid w:val="00CB259D"/>
    <w:rsid w:val="00CB26A9"/>
    <w:rsid w:val="00CB2B68"/>
    <w:rsid w:val="00CB2CF8"/>
    <w:rsid w:val="00CB2E53"/>
    <w:rsid w:val="00CB2EDA"/>
    <w:rsid w:val="00CB2F63"/>
    <w:rsid w:val="00CB3044"/>
    <w:rsid w:val="00CB33DC"/>
    <w:rsid w:val="00CB343C"/>
    <w:rsid w:val="00CB3483"/>
    <w:rsid w:val="00CB3580"/>
    <w:rsid w:val="00CB36EA"/>
    <w:rsid w:val="00CB374F"/>
    <w:rsid w:val="00CB3A31"/>
    <w:rsid w:val="00CB3BB3"/>
    <w:rsid w:val="00CB3DE5"/>
    <w:rsid w:val="00CB3F22"/>
    <w:rsid w:val="00CB4118"/>
    <w:rsid w:val="00CB4260"/>
    <w:rsid w:val="00CB42B6"/>
    <w:rsid w:val="00CB43AE"/>
    <w:rsid w:val="00CB44B9"/>
    <w:rsid w:val="00CB4503"/>
    <w:rsid w:val="00CB4539"/>
    <w:rsid w:val="00CB4576"/>
    <w:rsid w:val="00CB4A58"/>
    <w:rsid w:val="00CB4C68"/>
    <w:rsid w:val="00CB4C69"/>
    <w:rsid w:val="00CB4F9E"/>
    <w:rsid w:val="00CB4FD1"/>
    <w:rsid w:val="00CB54AD"/>
    <w:rsid w:val="00CB569E"/>
    <w:rsid w:val="00CB5847"/>
    <w:rsid w:val="00CB5956"/>
    <w:rsid w:val="00CB596B"/>
    <w:rsid w:val="00CB5AEC"/>
    <w:rsid w:val="00CB5B95"/>
    <w:rsid w:val="00CB5C5E"/>
    <w:rsid w:val="00CB5CDE"/>
    <w:rsid w:val="00CB5EB3"/>
    <w:rsid w:val="00CB62AD"/>
    <w:rsid w:val="00CB679D"/>
    <w:rsid w:val="00CB685C"/>
    <w:rsid w:val="00CB6BB0"/>
    <w:rsid w:val="00CB6BF1"/>
    <w:rsid w:val="00CB7007"/>
    <w:rsid w:val="00CB731E"/>
    <w:rsid w:val="00CB7321"/>
    <w:rsid w:val="00CB74EA"/>
    <w:rsid w:val="00CB76F2"/>
    <w:rsid w:val="00CB775E"/>
    <w:rsid w:val="00CB79ED"/>
    <w:rsid w:val="00CB7A28"/>
    <w:rsid w:val="00CB7EA7"/>
    <w:rsid w:val="00CB7F86"/>
    <w:rsid w:val="00CC0112"/>
    <w:rsid w:val="00CC01C0"/>
    <w:rsid w:val="00CC02B6"/>
    <w:rsid w:val="00CC03F6"/>
    <w:rsid w:val="00CC049A"/>
    <w:rsid w:val="00CC0759"/>
    <w:rsid w:val="00CC07B5"/>
    <w:rsid w:val="00CC08DE"/>
    <w:rsid w:val="00CC0A5F"/>
    <w:rsid w:val="00CC0C7B"/>
    <w:rsid w:val="00CC0EB6"/>
    <w:rsid w:val="00CC128D"/>
    <w:rsid w:val="00CC14C4"/>
    <w:rsid w:val="00CC1553"/>
    <w:rsid w:val="00CC1611"/>
    <w:rsid w:val="00CC1B8E"/>
    <w:rsid w:val="00CC1DB1"/>
    <w:rsid w:val="00CC211C"/>
    <w:rsid w:val="00CC26E8"/>
    <w:rsid w:val="00CC2938"/>
    <w:rsid w:val="00CC3291"/>
    <w:rsid w:val="00CC32D2"/>
    <w:rsid w:val="00CC3476"/>
    <w:rsid w:val="00CC36E7"/>
    <w:rsid w:val="00CC3796"/>
    <w:rsid w:val="00CC3B5B"/>
    <w:rsid w:val="00CC3CD4"/>
    <w:rsid w:val="00CC3EBB"/>
    <w:rsid w:val="00CC3F15"/>
    <w:rsid w:val="00CC4007"/>
    <w:rsid w:val="00CC4097"/>
    <w:rsid w:val="00CC41F6"/>
    <w:rsid w:val="00CC45E3"/>
    <w:rsid w:val="00CC460A"/>
    <w:rsid w:val="00CC48D4"/>
    <w:rsid w:val="00CC4902"/>
    <w:rsid w:val="00CC4AC0"/>
    <w:rsid w:val="00CC4B17"/>
    <w:rsid w:val="00CC4CB0"/>
    <w:rsid w:val="00CC5004"/>
    <w:rsid w:val="00CC5022"/>
    <w:rsid w:val="00CC5258"/>
    <w:rsid w:val="00CC55FB"/>
    <w:rsid w:val="00CC566B"/>
    <w:rsid w:val="00CC57A0"/>
    <w:rsid w:val="00CC5A15"/>
    <w:rsid w:val="00CC5A59"/>
    <w:rsid w:val="00CC5BF0"/>
    <w:rsid w:val="00CC5D23"/>
    <w:rsid w:val="00CC5E9D"/>
    <w:rsid w:val="00CC6016"/>
    <w:rsid w:val="00CC61C4"/>
    <w:rsid w:val="00CC6399"/>
    <w:rsid w:val="00CC639C"/>
    <w:rsid w:val="00CC661B"/>
    <w:rsid w:val="00CC6942"/>
    <w:rsid w:val="00CC6A25"/>
    <w:rsid w:val="00CC6AAC"/>
    <w:rsid w:val="00CC6D35"/>
    <w:rsid w:val="00CC6D5C"/>
    <w:rsid w:val="00CC6DAD"/>
    <w:rsid w:val="00CC6EDD"/>
    <w:rsid w:val="00CC7000"/>
    <w:rsid w:val="00CC7236"/>
    <w:rsid w:val="00CC7239"/>
    <w:rsid w:val="00CC7466"/>
    <w:rsid w:val="00CC75B1"/>
    <w:rsid w:val="00CC76A8"/>
    <w:rsid w:val="00CC770A"/>
    <w:rsid w:val="00CC796E"/>
    <w:rsid w:val="00CC7B66"/>
    <w:rsid w:val="00CD002C"/>
    <w:rsid w:val="00CD01DF"/>
    <w:rsid w:val="00CD024D"/>
    <w:rsid w:val="00CD02EF"/>
    <w:rsid w:val="00CD0498"/>
    <w:rsid w:val="00CD060D"/>
    <w:rsid w:val="00CD068F"/>
    <w:rsid w:val="00CD0A2B"/>
    <w:rsid w:val="00CD0C64"/>
    <w:rsid w:val="00CD1035"/>
    <w:rsid w:val="00CD15E9"/>
    <w:rsid w:val="00CD16BD"/>
    <w:rsid w:val="00CD16D9"/>
    <w:rsid w:val="00CD18CD"/>
    <w:rsid w:val="00CD1B64"/>
    <w:rsid w:val="00CD1DD0"/>
    <w:rsid w:val="00CD2047"/>
    <w:rsid w:val="00CD2237"/>
    <w:rsid w:val="00CD2252"/>
    <w:rsid w:val="00CD23DE"/>
    <w:rsid w:val="00CD2552"/>
    <w:rsid w:val="00CD25EC"/>
    <w:rsid w:val="00CD27FB"/>
    <w:rsid w:val="00CD2828"/>
    <w:rsid w:val="00CD2B45"/>
    <w:rsid w:val="00CD2BFD"/>
    <w:rsid w:val="00CD2D86"/>
    <w:rsid w:val="00CD2F4A"/>
    <w:rsid w:val="00CD33B8"/>
    <w:rsid w:val="00CD364E"/>
    <w:rsid w:val="00CD3714"/>
    <w:rsid w:val="00CD39AD"/>
    <w:rsid w:val="00CD3A87"/>
    <w:rsid w:val="00CD3B44"/>
    <w:rsid w:val="00CD3C60"/>
    <w:rsid w:val="00CD3D43"/>
    <w:rsid w:val="00CD3D69"/>
    <w:rsid w:val="00CD3E87"/>
    <w:rsid w:val="00CD4355"/>
    <w:rsid w:val="00CD445E"/>
    <w:rsid w:val="00CD449B"/>
    <w:rsid w:val="00CD465B"/>
    <w:rsid w:val="00CD46C2"/>
    <w:rsid w:val="00CD490C"/>
    <w:rsid w:val="00CD49C5"/>
    <w:rsid w:val="00CD49F2"/>
    <w:rsid w:val="00CD4AD1"/>
    <w:rsid w:val="00CD4DF4"/>
    <w:rsid w:val="00CD52E3"/>
    <w:rsid w:val="00CD557F"/>
    <w:rsid w:val="00CD55A6"/>
    <w:rsid w:val="00CD55CC"/>
    <w:rsid w:val="00CD58FB"/>
    <w:rsid w:val="00CD5AA5"/>
    <w:rsid w:val="00CD5C25"/>
    <w:rsid w:val="00CD5CDF"/>
    <w:rsid w:val="00CD5F58"/>
    <w:rsid w:val="00CD6090"/>
    <w:rsid w:val="00CD6277"/>
    <w:rsid w:val="00CD62CD"/>
    <w:rsid w:val="00CD6334"/>
    <w:rsid w:val="00CD6675"/>
    <w:rsid w:val="00CD67EB"/>
    <w:rsid w:val="00CD6BB5"/>
    <w:rsid w:val="00CD6C7E"/>
    <w:rsid w:val="00CD6E09"/>
    <w:rsid w:val="00CD6E6E"/>
    <w:rsid w:val="00CD6EC6"/>
    <w:rsid w:val="00CD6FF4"/>
    <w:rsid w:val="00CD7001"/>
    <w:rsid w:val="00CD707F"/>
    <w:rsid w:val="00CD723A"/>
    <w:rsid w:val="00CD7249"/>
    <w:rsid w:val="00CD7410"/>
    <w:rsid w:val="00CD7411"/>
    <w:rsid w:val="00CD761C"/>
    <w:rsid w:val="00CD78F1"/>
    <w:rsid w:val="00CD79D0"/>
    <w:rsid w:val="00CD7C7B"/>
    <w:rsid w:val="00CD7CE4"/>
    <w:rsid w:val="00CD7D77"/>
    <w:rsid w:val="00CD7E50"/>
    <w:rsid w:val="00CD7F58"/>
    <w:rsid w:val="00CE002F"/>
    <w:rsid w:val="00CE05A1"/>
    <w:rsid w:val="00CE07E1"/>
    <w:rsid w:val="00CE08C2"/>
    <w:rsid w:val="00CE08DA"/>
    <w:rsid w:val="00CE1105"/>
    <w:rsid w:val="00CE129F"/>
    <w:rsid w:val="00CE17B6"/>
    <w:rsid w:val="00CE1A65"/>
    <w:rsid w:val="00CE1AF9"/>
    <w:rsid w:val="00CE1CD6"/>
    <w:rsid w:val="00CE1DB3"/>
    <w:rsid w:val="00CE1EA7"/>
    <w:rsid w:val="00CE1EF8"/>
    <w:rsid w:val="00CE2206"/>
    <w:rsid w:val="00CE23EB"/>
    <w:rsid w:val="00CE2620"/>
    <w:rsid w:val="00CE271E"/>
    <w:rsid w:val="00CE29F4"/>
    <w:rsid w:val="00CE2A57"/>
    <w:rsid w:val="00CE2B39"/>
    <w:rsid w:val="00CE2CE7"/>
    <w:rsid w:val="00CE30AD"/>
    <w:rsid w:val="00CE3302"/>
    <w:rsid w:val="00CE343A"/>
    <w:rsid w:val="00CE3E4E"/>
    <w:rsid w:val="00CE3FEF"/>
    <w:rsid w:val="00CE4084"/>
    <w:rsid w:val="00CE417A"/>
    <w:rsid w:val="00CE42F1"/>
    <w:rsid w:val="00CE4314"/>
    <w:rsid w:val="00CE4379"/>
    <w:rsid w:val="00CE4591"/>
    <w:rsid w:val="00CE45C2"/>
    <w:rsid w:val="00CE4601"/>
    <w:rsid w:val="00CE49A3"/>
    <w:rsid w:val="00CE4A10"/>
    <w:rsid w:val="00CE4B52"/>
    <w:rsid w:val="00CE4B59"/>
    <w:rsid w:val="00CE4CEB"/>
    <w:rsid w:val="00CE4E6F"/>
    <w:rsid w:val="00CE5141"/>
    <w:rsid w:val="00CE5154"/>
    <w:rsid w:val="00CE5352"/>
    <w:rsid w:val="00CE5619"/>
    <w:rsid w:val="00CE5642"/>
    <w:rsid w:val="00CE594B"/>
    <w:rsid w:val="00CE5A98"/>
    <w:rsid w:val="00CE5BAC"/>
    <w:rsid w:val="00CE5CB4"/>
    <w:rsid w:val="00CE5F2A"/>
    <w:rsid w:val="00CE606C"/>
    <w:rsid w:val="00CE631C"/>
    <w:rsid w:val="00CE6442"/>
    <w:rsid w:val="00CE64EA"/>
    <w:rsid w:val="00CE6586"/>
    <w:rsid w:val="00CE65CA"/>
    <w:rsid w:val="00CE6712"/>
    <w:rsid w:val="00CE694D"/>
    <w:rsid w:val="00CE6AB0"/>
    <w:rsid w:val="00CE6D04"/>
    <w:rsid w:val="00CE6D44"/>
    <w:rsid w:val="00CE703D"/>
    <w:rsid w:val="00CE7292"/>
    <w:rsid w:val="00CE72D8"/>
    <w:rsid w:val="00CE7400"/>
    <w:rsid w:val="00CE7564"/>
    <w:rsid w:val="00CE75E6"/>
    <w:rsid w:val="00CE77A5"/>
    <w:rsid w:val="00CE7874"/>
    <w:rsid w:val="00CE7AEE"/>
    <w:rsid w:val="00CF0131"/>
    <w:rsid w:val="00CF0197"/>
    <w:rsid w:val="00CF01DB"/>
    <w:rsid w:val="00CF01EA"/>
    <w:rsid w:val="00CF022E"/>
    <w:rsid w:val="00CF02D0"/>
    <w:rsid w:val="00CF0473"/>
    <w:rsid w:val="00CF04EA"/>
    <w:rsid w:val="00CF0711"/>
    <w:rsid w:val="00CF0748"/>
    <w:rsid w:val="00CF0839"/>
    <w:rsid w:val="00CF08FB"/>
    <w:rsid w:val="00CF093D"/>
    <w:rsid w:val="00CF0A4E"/>
    <w:rsid w:val="00CF0B64"/>
    <w:rsid w:val="00CF0CA7"/>
    <w:rsid w:val="00CF0D22"/>
    <w:rsid w:val="00CF0DF7"/>
    <w:rsid w:val="00CF0E19"/>
    <w:rsid w:val="00CF0E2B"/>
    <w:rsid w:val="00CF0EF3"/>
    <w:rsid w:val="00CF100A"/>
    <w:rsid w:val="00CF104D"/>
    <w:rsid w:val="00CF10DE"/>
    <w:rsid w:val="00CF1124"/>
    <w:rsid w:val="00CF1135"/>
    <w:rsid w:val="00CF1153"/>
    <w:rsid w:val="00CF1326"/>
    <w:rsid w:val="00CF133F"/>
    <w:rsid w:val="00CF14E6"/>
    <w:rsid w:val="00CF15D0"/>
    <w:rsid w:val="00CF1825"/>
    <w:rsid w:val="00CF1837"/>
    <w:rsid w:val="00CF1878"/>
    <w:rsid w:val="00CF1965"/>
    <w:rsid w:val="00CF1A99"/>
    <w:rsid w:val="00CF1CE4"/>
    <w:rsid w:val="00CF1EDD"/>
    <w:rsid w:val="00CF1F38"/>
    <w:rsid w:val="00CF21AF"/>
    <w:rsid w:val="00CF2233"/>
    <w:rsid w:val="00CF23CE"/>
    <w:rsid w:val="00CF23FC"/>
    <w:rsid w:val="00CF2420"/>
    <w:rsid w:val="00CF2626"/>
    <w:rsid w:val="00CF2B4C"/>
    <w:rsid w:val="00CF2EE2"/>
    <w:rsid w:val="00CF3080"/>
    <w:rsid w:val="00CF30E8"/>
    <w:rsid w:val="00CF328F"/>
    <w:rsid w:val="00CF33F5"/>
    <w:rsid w:val="00CF34C6"/>
    <w:rsid w:val="00CF351B"/>
    <w:rsid w:val="00CF3557"/>
    <w:rsid w:val="00CF3569"/>
    <w:rsid w:val="00CF3589"/>
    <w:rsid w:val="00CF3788"/>
    <w:rsid w:val="00CF3B98"/>
    <w:rsid w:val="00CF3E25"/>
    <w:rsid w:val="00CF4191"/>
    <w:rsid w:val="00CF41B1"/>
    <w:rsid w:val="00CF41F3"/>
    <w:rsid w:val="00CF44B1"/>
    <w:rsid w:val="00CF461F"/>
    <w:rsid w:val="00CF4748"/>
    <w:rsid w:val="00CF486C"/>
    <w:rsid w:val="00CF486D"/>
    <w:rsid w:val="00CF4942"/>
    <w:rsid w:val="00CF49C7"/>
    <w:rsid w:val="00CF4A5E"/>
    <w:rsid w:val="00CF4C1A"/>
    <w:rsid w:val="00CF4D6A"/>
    <w:rsid w:val="00CF4FE4"/>
    <w:rsid w:val="00CF51FA"/>
    <w:rsid w:val="00CF542D"/>
    <w:rsid w:val="00CF5A4E"/>
    <w:rsid w:val="00CF5AFA"/>
    <w:rsid w:val="00CF5CA3"/>
    <w:rsid w:val="00CF5E04"/>
    <w:rsid w:val="00CF5F58"/>
    <w:rsid w:val="00CF5FDB"/>
    <w:rsid w:val="00CF62EA"/>
    <w:rsid w:val="00CF63BC"/>
    <w:rsid w:val="00CF657C"/>
    <w:rsid w:val="00CF694A"/>
    <w:rsid w:val="00CF69DD"/>
    <w:rsid w:val="00CF6F10"/>
    <w:rsid w:val="00CF6FFC"/>
    <w:rsid w:val="00CF730B"/>
    <w:rsid w:val="00CF732E"/>
    <w:rsid w:val="00CF748E"/>
    <w:rsid w:val="00CF7515"/>
    <w:rsid w:val="00CF76F0"/>
    <w:rsid w:val="00CF7842"/>
    <w:rsid w:val="00CF78C9"/>
    <w:rsid w:val="00CF7B22"/>
    <w:rsid w:val="00CF7DBF"/>
    <w:rsid w:val="00CF7F1A"/>
    <w:rsid w:val="00CF7F5F"/>
    <w:rsid w:val="00D000A2"/>
    <w:rsid w:val="00D004F0"/>
    <w:rsid w:val="00D0074D"/>
    <w:rsid w:val="00D009A6"/>
    <w:rsid w:val="00D00A3D"/>
    <w:rsid w:val="00D00B49"/>
    <w:rsid w:val="00D00FF6"/>
    <w:rsid w:val="00D010DA"/>
    <w:rsid w:val="00D0124E"/>
    <w:rsid w:val="00D01379"/>
    <w:rsid w:val="00D015ED"/>
    <w:rsid w:val="00D017C0"/>
    <w:rsid w:val="00D01869"/>
    <w:rsid w:val="00D01920"/>
    <w:rsid w:val="00D01972"/>
    <w:rsid w:val="00D01E58"/>
    <w:rsid w:val="00D02434"/>
    <w:rsid w:val="00D0260D"/>
    <w:rsid w:val="00D0271D"/>
    <w:rsid w:val="00D027E2"/>
    <w:rsid w:val="00D0284D"/>
    <w:rsid w:val="00D0284F"/>
    <w:rsid w:val="00D0290B"/>
    <w:rsid w:val="00D029D5"/>
    <w:rsid w:val="00D02D82"/>
    <w:rsid w:val="00D0304E"/>
    <w:rsid w:val="00D030EB"/>
    <w:rsid w:val="00D03123"/>
    <w:rsid w:val="00D0328B"/>
    <w:rsid w:val="00D03353"/>
    <w:rsid w:val="00D0361C"/>
    <w:rsid w:val="00D036E5"/>
    <w:rsid w:val="00D037C3"/>
    <w:rsid w:val="00D03825"/>
    <w:rsid w:val="00D03854"/>
    <w:rsid w:val="00D03976"/>
    <w:rsid w:val="00D039C1"/>
    <w:rsid w:val="00D03A0D"/>
    <w:rsid w:val="00D03BEF"/>
    <w:rsid w:val="00D03D2C"/>
    <w:rsid w:val="00D03DA1"/>
    <w:rsid w:val="00D03FBA"/>
    <w:rsid w:val="00D04101"/>
    <w:rsid w:val="00D0445C"/>
    <w:rsid w:val="00D045D2"/>
    <w:rsid w:val="00D0463C"/>
    <w:rsid w:val="00D0469C"/>
    <w:rsid w:val="00D046E6"/>
    <w:rsid w:val="00D047CD"/>
    <w:rsid w:val="00D04937"/>
    <w:rsid w:val="00D049A8"/>
    <w:rsid w:val="00D04A2D"/>
    <w:rsid w:val="00D04CF4"/>
    <w:rsid w:val="00D04E7C"/>
    <w:rsid w:val="00D050E0"/>
    <w:rsid w:val="00D05134"/>
    <w:rsid w:val="00D051EB"/>
    <w:rsid w:val="00D05360"/>
    <w:rsid w:val="00D05482"/>
    <w:rsid w:val="00D05516"/>
    <w:rsid w:val="00D05B38"/>
    <w:rsid w:val="00D05C4B"/>
    <w:rsid w:val="00D05CC6"/>
    <w:rsid w:val="00D05CD0"/>
    <w:rsid w:val="00D05D6D"/>
    <w:rsid w:val="00D05E6A"/>
    <w:rsid w:val="00D05EE7"/>
    <w:rsid w:val="00D0612D"/>
    <w:rsid w:val="00D0612F"/>
    <w:rsid w:val="00D061B0"/>
    <w:rsid w:val="00D06448"/>
    <w:rsid w:val="00D06708"/>
    <w:rsid w:val="00D06764"/>
    <w:rsid w:val="00D068AA"/>
    <w:rsid w:val="00D06914"/>
    <w:rsid w:val="00D06B0F"/>
    <w:rsid w:val="00D06BB8"/>
    <w:rsid w:val="00D06C19"/>
    <w:rsid w:val="00D071B5"/>
    <w:rsid w:val="00D07210"/>
    <w:rsid w:val="00D07287"/>
    <w:rsid w:val="00D07364"/>
    <w:rsid w:val="00D073FE"/>
    <w:rsid w:val="00D074A0"/>
    <w:rsid w:val="00D074D4"/>
    <w:rsid w:val="00D0756A"/>
    <w:rsid w:val="00D07740"/>
    <w:rsid w:val="00D07BCA"/>
    <w:rsid w:val="00D07E26"/>
    <w:rsid w:val="00D07E86"/>
    <w:rsid w:val="00D100BA"/>
    <w:rsid w:val="00D100DF"/>
    <w:rsid w:val="00D102CA"/>
    <w:rsid w:val="00D104B6"/>
    <w:rsid w:val="00D10602"/>
    <w:rsid w:val="00D108C6"/>
    <w:rsid w:val="00D10F3D"/>
    <w:rsid w:val="00D1103F"/>
    <w:rsid w:val="00D11115"/>
    <w:rsid w:val="00D1123A"/>
    <w:rsid w:val="00D113A9"/>
    <w:rsid w:val="00D1141F"/>
    <w:rsid w:val="00D114F1"/>
    <w:rsid w:val="00D116BC"/>
    <w:rsid w:val="00D117F6"/>
    <w:rsid w:val="00D11AF0"/>
    <w:rsid w:val="00D11B24"/>
    <w:rsid w:val="00D11B73"/>
    <w:rsid w:val="00D11D69"/>
    <w:rsid w:val="00D11EC5"/>
    <w:rsid w:val="00D11F83"/>
    <w:rsid w:val="00D122B9"/>
    <w:rsid w:val="00D12429"/>
    <w:rsid w:val="00D124B0"/>
    <w:rsid w:val="00D12729"/>
    <w:rsid w:val="00D127C3"/>
    <w:rsid w:val="00D128E6"/>
    <w:rsid w:val="00D129E1"/>
    <w:rsid w:val="00D129FE"/>
    <w:rsid w:val="00D12A41"/>
    <w:rsid w:val="00D12F2A"/>
    <w:rsid w:val="00D132BC"/>
    <w:rsid w:val="00D134B6"/>
    <w:rsid w:val="00D13583"/>
    <w:rsid w:val="00D135BA"/>
    <w:rsid w:val="00D1384A"/>
    <w:rsid w:val="00D13A48"/>
    <w:rsid w:val="00D13B8F"/>
    <w:rsid w:val="00D13DDB"/>
    <w:rsid w:val="00D13FCA"/>
    <w:rsid w:val="00D14063"/>
    <w:rsid w:val="00D14306"/>
    <w:rsid w:val="00D149B2"/>
    <w:rsid w:val="00D14B44"/>
    <w:rsid w:val="00D14B59"/>
    <w:rsid w:val="00D14C3C"/>
    <w:rsid w:val="00D14E27"/>
    <w:rsid w:val="00D14EBC"/>
    <w:rsid w:val="00D150B4"/>
    <w:rsid w:val="00D1536B"/>
    <w:rsid w:val="00D156A4"/>
    <w:rsid w:val="00D156D0"/>
    <w:rsid w:val="00D156EB"/>
    <w:rsid w:val="00D1587D"/>
    <w:rsid w:val="00D158EB"/>
    <w:rsid w:val="00D15932"/>
    <w:rsid w:val="00D1599F"/>
    <w:rsid w:val="00D15BBC"/>
    <w:rsid w:val="00D15C6B"/>
    <w:rsid w:val="00D15C81"/>
    <w:rsid w:val="00D15CA3"/>
    <w:rsid w:val="00D15E45"/>
    <w:rsid w:val="00D15F71"/>
    <w:rsid w:val="00D15F80"/>
    <w:rsid w:val="00D16006"/>
    <w:rsid w:val="00D1608F"/>
    <w:rsid w:val="00D16436"/>
    <w:rsid w:val="00D16855"/>
    <w:rsid w:val="00D1692E"/>
    <w:rsid w:val="00D169B2"/>
    <w:rsid w:val="00D16ADB"/>
    <w:rsid w:val="00D16B23"/>
    <w:rsid w:val="00D16DF5"/>
    <w:rsid w:val="00D16E7A"/>
    <w:rsid w:val="00D17153"/>
    <w:rsid w:val="00D17165"/>
    <w:rsid w:val="00D171C4"/>
    <w:rsid w:val="00D1731C"/>
    <w:rsid w:val="00D17352"/>
    <w:rsid w:val="00D1745B"/>
    <w:rsid w:val="00D175EF"/>
    <w:rsid w:val="00D17885"/>
    <w:rsid w:val="00D17B53"/>
    <w:rsid w:val="00D17CB5"/>
    <w:rsid w:val="00D17DC5"/>
    <w:rsid w:val="00D17E6F"/>
    <w:rsid w:val="00D17EDF"/>
    <w:rsid w:val="00D2000B"/>
    <w:rsid w:val="00D20121"/>
    <w:rsid w:val="00D20187"/>
    <w:rsid w:val="00D20342"/>
    <w:rsid w:val="00D203A1"/>
    <w:rsid w:val="00D20B24"/>
    <w:rsid w:val="00D20D97"/>
    <w:rsid w:val="00D20EFF"/>
    <w:rsid w:val="00D20F84"/>
    <w:rsid w:val="00D21093"/>
    <w:rsid w:val="00D210F9"/>
    <w:rsid w:val="00D21183"/>
    <w:rsid w:val="00D2179F"/>
    <w:rsid w:val="00D219B5"/>
    <w:rsid w:val="00D219C2"/>
    <w:rsid w:val="00D21A7C"/>
    <w:rsid w:val="00D21AAE"/>
    <w:rsid w:val="00D21BBD"/>
    <w:rsid w:val="00D21BEE"/>
    <w:rsid w:val="00D21C54"/>
    <w:rsid w:val="00D21CC5"/>
    <w:rsid w:val="00D21FBA"/>
    <w:rsid w:val="00D224DA"/>
    <w:rsid w:val="00D22648"/>
    <w:rsid w:val="00D227E4"/>
    <w:rsid w:val="00D22835"/>
    <w:rsid w:val="00D2286A"/>
    <w:rsid w:val="00D22C80"/>
    <w:rsid w:val="00D22D7D"/>
    <w:rsid w:val="00D22D9C"/>
    <w:rsid w:val="00D22F06"/>
    <w:rsid w:val="00D22FD7"/>
    <w:rsid w:val="00D23050"/>
    <w:rsid w:val="00D230E7"/>
    <w:rsid w:val="00D23119"/>
    <w:rsid w:val="00D2314E"/>
    <w:rsid w:val="00D232DF"/>
    <w:rsid w:val="00D2341E"/>
    <w:rsid w:val="00D2348B"/>
    <w:rsid w:val="00D234CD"/>
    <w:rsid w:val="00D23564"/>
    <w:rsid w:val="00D236F6"/>
    <w:rsid w:val="00D236FB"/>
    <w:rsid w:val="00D2377A"/>
    <w:rsid w:val="00D23821"/>
    <w:rsid w:val="00D23984"/>
    <w:rsid w:val="00D23C2E"/>
    <w:rsid w:val="00D23C67"/>
    <w:rsid w:val="00D23CEB"/>
    <w:rsid w:val="00D23DEE"/>
    <w:rsid w:val="00D2413A"/>
    <w:rsid w:val="00D241AF"/>
    <w:rsid w:val="00D2457B"/>
    <w:rsid w:val="00D246B4"/>
    <w:rsid w:val="00D246C1"/>
    <w:rsid w:val="00D24756"/>
    <w:rsid w:val="00D247DE"/>
    <w:rsid w:val="00D249DD"/>
    <w:rsid w:val="00D24BFF"/>
    <w:rsid w:val="00D24C61"/>
    <w:rsid w:val="00D24EB4"/>
    <w:rsid w:val="00D24EFA"/>
    <w:rsid w:val="00D250E7"/>
    <w:rsid w:val="00D255CA"/>
    <w:rsid w:val="00D257AA"/>
    <w:rsid w:val="00D25C92"/>
    <w:rsid w:val="00D25D3E"/>
    <w:rsid w:val="00D25D65"/>
    <w:rsid w:val="00D261FA"/>
    <w:rsid w:val="00D262AF"/>
    <w:rsid w:val="00D262D4"/>
    <w:rsid w:val="00D26300"/>
    <w:rsid w:val="00D26681"/>
    <w:rsid w:val="00D26B75"/>
    <w:rsid w:val="00D2700D"/>
    <w:rsid w:val="00D2715C"/>
    <w:rsid w:val="00D271FE"/>
    <w:rsid w:val="00D273CE"/>
    <w:rsid w:val="00D27949"/>
    <w:rsid w:val="00D2799C"/>
    <w:rsid w:val="00D279A9"/>
    <w:rsid w:val="00D279CF"/>
    <w:rsid w:val="00D27A0D"/>
    <w:rsid w:val="00D27AE4"/>
    <w:rsid w:val="00D27B40"/>
    <w:rsid w:val="00D27D2B"/>
    <w:rsid w:val="00D30223"/>
    <w:rsid w:val="00D30313"/>
    <w:rsid w:val="00D3044A"/>
    <w:rsid w:val="00D30697"/>
    <w:rsid w:val="00D308DF"/>
    <w:rsid w:val="00D30D0C"/>
    <w:rsid w:val="00D30F04"/>
    <w:rsid w:val="00D30F82"/>
    <w:rsid w:val="00D30FA5"/>
    <w:rsid w:val="00D31016"/>
    <w:rsid w:val="00D3120C"/>
    <w:rsid w:val="00D31306"/>
    <w:rsid w:val="00D3162F"/>
    <w:rsid w:val="00D317E7"/>
    <w:rsid w:val="00D31812"/>
    <w:rsid w:val="00D31835"/>
    <w:rsid w:val="00D318BE"/>
    <w:rsid w:val="00D318E4"/>
    <w:rsid w:val="00D31D92"/>
    <w:rsid w:val="00D31FD0"/>
    <w:rsid w:val="00D32063"/>
    <w:rsid w:val="00D320E2"/>
    <w:rsid w:val="00D322FF"/>
    <w:rsid w:val="00D323D3"/>
    <w:rsid w:val="00D32603"/>
    <w:rsid w:val="00D32686"/>
    <w:rsid w:val="00D327CA"/>
    <w:rsid w:val="00D329C9"/>
    <w:rsid w:val="00D32D99"/>
    <w:rsid w:val="00D3314E"/>
    <w:rsid w:val="00D3315A"/>
    <w:rsid w:val="00D333F8"/>
    <w:rsid w:val="00D334D0"/>
    <w:rsid w:val="00D3361C"/>
    <w:rsid w:val="00D33A2B"/>
    <w:rsid w:val="00D33ACD"/>
    <w:rsid w:val="00D33BF6"/>
    <w:rsid w:val="00D33E6D"/>
    <w:rsid w:val="00D341EE"/>
    <w:rsid w:val="00D34207"/>
    <w:rsid w:val="00D343A7"/>
    <w:rsid w:val="00D34B78"/>
    <w:rsid w:val="00D34D0A"/>
    <w:rsid w:val="00D34DE8"/>
    <w:rsid w:val="00D34ED4"/>
    <w:rsid w:val="00D34FB5"/>
    <w:rsid w:val="00D34FDD"/>
    <w:rsid w:val="00D35084"/>
    <w:rsid w:val="00D350A7"/>
    <w:rsid w:val="00D350A9"/>
    <w:rsid w:val="00D3532B"/>
    <w:rsid w:val="00D353FB"/>
    <w:rsid w:val="00D35421"/>
    <w:rsid w:val="00D356B2"/>
    <w:rsid w:val="00D356D1"/>
    <w:rsid w:val="00D35751"/>
    <w:rsid w:val="00D35830"/>
    <w:rsid w:val="00D3595C"/>
    <w:rsid w:val="00D359B4"/>
    <w:rsid w:val="00D35A30"/>
    <w:rsid w:val="00D35DB3"/>
    <w:rsid w:val="00D36024"/>
    <w:rsid w:val="00D360E8"/>
    <w:rsid w:val="00D36213"/>
    <w:rsid w:val="00D363C0"/>
    <w:rsid w:val="00D363C4"/>
    <w:rsid w:val="00D36684"/>
    <w:rsid w:val="00D36837"/>
    <w:rsid w:val="00D368AC"/>
    <w:rsid w:val="00D368D9"/>
    <w:rsid w:val="00D36AB8"/>
    <w:rsid w:val="00D36B92"/>
    <w:rsid w:val="00D36C59"/>
    <w:rsid w:val="00D36C95"/>
    <w:rsid w:val="00D36DA2"/>
    <w:rsid w:val="00D373E2"/>
    <w:rsid w:val="00D373F4"/>
    <w:rsid w:val="00D37560"/>
    <w:rsid w:val="00D37732"/>
    <w:rsid w:val="00D3781A"/>
    <w:rsid w:val="00D37852"/>
    <w:rsid w:val="00D40004"/>
    <w:rsid w:val="00D40383"/>
    <w:rsid w:val="00D406A1"/>
    <w:rsid w:val="00D406DB"/>
    <w:rsid w:val="00D406F1"/>
    <w:rsid w:val="00D408A0"/>
    <w:rsid w:val="00D408D3"/>
    <w:rsid w:val="00D40A65"/>
    <w:rsid w:val="00D40FA2"/>
    <w:rsid w:val="00D4100A"/>
    <w:rsid w:val="00D4106D"/>
    <w:rsid w:val="00D414BB"/>
    <w:rsid w:val="00D418DB"/>
    <w:rsid w:val="00D41973"/>
    <w:rsid w:val="00D41AB0"/>
    <w:rsid w:val="00D41C0B"/>
    <w:rsid w:val="00D41C4A"/>
    <w:rsid w:val="00D41CCE"/>
    <w:rsid w:val="00D41D43"/>
    <w:rsid w:val="00D41DFB"/>
    <w:rsid w:val="00D421AE"/>
    <w:rsid w:val="00D42334"/>
    <w:rsid w:val="00D4239E"/>
    <w:rsid w:val="00D42487"/>
    <w:rsid w:val="00D4258F"/>
    <w:rsid w:val="00D4259E"/>
    <w:rsid w:val="00D426D5"/>
    <w:rsid w:val="00D42919"/>
    <w:rsid w:val="00D42F48"/>
    <w:rsid w:val="00D431EB"/>
    <w:rsid w:val="00D432E7"/>
    <w:rsid w:val="00D433F6"/>
    <w:rsid w:val="00D4340A"/>
    <w:rsid w:val="00D43593"/>
    <w:rsid w:val="00D4392F"/>
    <w:rsid w:val="00D43944"/>
    <w:rsid w:val="00D439C7"/>
    <w:rsid w:val="00D43D3C"/>
    <w:rsid w:val="00D43FB7"/>
    <w:rsid w:val="00D440C4"/>
    <w:rsid w:val="00D444A4"/>
    <w:rsid w:val="00D44652"/>
    <w:rsid w:val="00D44726"/>
    <w:rsid w:val="00D447B4"/>
    <w:rsid w:val="00D44875"/>
    <w:rsid w:val="00D44ADE"/>
    <w:rsid w:val="00D45053"/>
    <w:rsid w:val="00D45306"/>
    <w:rsid w:val="00D4565E"/>
    <w:rsid w:val="00D4589C"/>
    <w:rsid w:val="00D459BF"/>
    <w:rsid w:val="00D45E58"/>
    <w:rsid w:val="00D45E68"/>
    <w:rsid w:val="00D46065"/>
    <w:rsid w:val="00D4621D"/>
    <w:rsid w:val="00D467ED"/>
    <w:rsid w:val="00D469E4"/>
    <w:rsid w:val="00D46A77"/>
    <w:rsid w:val="00D46DF1"/>
    <w:rsid w:val="00D46E1E"/>
    <w:rsid w:val="00D46F63"/>
    <w:rsid w:val="00D4709E"/>
    <w:rsid w:val="00D473E8"/>
    <w:rsid w:val="00D474BE"/>
    <w:rsid w:val="00D475E6"/>
    <w:rsid w:val="00D477CD"/>
    <w:rsid w:val="00D4793B"/>
    <w:rsid w:val="00D4799C"/>
    <w:rsid w:val="00D479A1"/>
    <w:rsid w:val="00D5007D"/>
    <w:rsid w:val="00D500DC"/>
    <w:rsid w:val="00D502B3"/>
    <w:rsid w:val="00D5057A"/>
    <w:rsid w:val="00D505AB"/>
    <w:rsid w:val="00D505B3"/>
    <w:rsid w:val="00D5060D"/>
    <w:rsid w:val="00D5064C"/>
    <w:rsid w:val="00D5071A"/>
    <w:rsid w:val="00D507C5"/>
    <w:rsid w:val="00D50926"/>
    <w:rsid w:val="00D50CC2"/>
    <w:rsid w:val="00D51031"/>
    <w:rsid w:val="00D5122E"/>
    <w:rsid w:val="00D51242"/>
    <w:rsid w:val="00D512FF"/>
    <w:rsid w:val="00D513EC"/>
    <w:rsid w:val="00D516CA"/>
    <w:rsid w:val="00D51860"/>
    <w:rsid w:val="00D51B1C"/>
    <w:rsid w:val="00D51E53"/>
    <w:rsid w:val="00D51ED1"/>
    <w:rsid w:val="00D52213"/>
    <w:rsid w:val="00D524F0"/>
    <w:rsid w:val="00D52538"/>
    <w:rsid w:val="00D52715"/>
    <w:rsid w:val="00D52774"/>
    <w:rsid w:val="00D5289C"/>
    <w:rsid w:val="00D528D2"/>
    <w:rsid w:val="00D52906"/>
    <w:rsid w:val="00D52A59"/>
    <w:rsid w:val="00D52D9B"/>
    <w:rsid w:val="00D535D0"/>
    <w:rsid w:val="00D53636"/>
    <w:rsid w:val="00D53A02"/>
    <w:rsid w:val="00D53A39"/>
    <w:rsid w:val="00D53A99"/>
    <w:rsid w:val="00D53B94"/>
    <w:rsid w:val="00D53C1B"/>
    <w:rsid w:val="00D53C66"/>
    <w:rsid w:val="00D53CA7"/>
    <w:rsid w:val="00D53D3F"/>
    <w:rsid w:val="00D54027"/>
    <w:rsid w:val="00D54150"/>
    <w:rsid w:val="00D542AF"/>
    <w:rsid w:val="00D542D0"/>
    <w:rsid w:val="00D54543"/>
    <w:rsid w:val="00D545C3"/>
    <w:rsid w:val="00D54710"/>
    <w:rsid w:val="00D54771"/>
    <w:rsid w:val="00D54948"/>
    <w:rsid w:val="00D54B63"/>
    <w:rsid w:val="00D54BC6"/>
    <w:rsid w:val="00D54C0A"/>
    <w:rsid w:val="00D54C7C"/>
    <w:rsid w:val="00D54ED4"/>
    <w:rsid w:val="00D54FD9"/>
    <w:rsid w:val="00D5508F"/>
    <w:rsid w:val="00D55113"/>
    <w:rsid w:val="00D5518C"/>
    <w:rsid w:val="00D552FE"/>
    <w:rsid w:val="00D553DE"/>
    <w:rsid w:val="00D5558F"/>
    <w:rsid w:val="00D55876"/>
    <w:rsid w:val="00D55A60"/>
    <w:rsid w:val="00D55D06"/>
    <w:rsid w:val="00D55F30"/>
    <w:rsid w:val="00D55FA3"/>
    <w:rsid w:val="00D56072"/>
    <w:rsid w:val="00D56130"/>
    <w:rsid w:val="00D56217"/>
    <w:rsid w:val="00D56233"/>
    <w:rsid w:val="00D56655"/>
    <w:rsid w:val="00D56791"/>
    <w:rsid w:val="00D56BA6"/>
    <w:rsid w:val="00D56CA2"/>
    <w:rsid w:val="00D56EBC"/>
    <w:rsid w:val="00D56ED1"/>
    <w:rsid w:val="00D56EF9"/>
    <w:rsid w:val="00D571D3"/>
    <w:rsid w:val="00D571F2"/>
    <w:rsid w:val="00D5731B"/>
    <w:rsid w:val="00D57398"/>
    <w:rsid w:val="00D573DD"/>
    <w:rsid w:val="00D574F0"/>
    <w:rsid w:val="00D57662"/>
    <w:rsid w:val="00D576A7"/>
    <w:rsid w:val="00D578EB"/>
    <w:rsid w:val="00D57A95"/>
    <w:rsid w:val="00D57B35"/>
    <w:rsid w:val="00D57C51"/>
    <w:rsid w:val="00D57D78"/>
    <w:rsid w:val="00D57E2E"/>
    <w:rsid w:val="00D57EF2"/>
    <w:rsid w:val="00D57FB6"/>
    <w:rsid w:val="00D57FB7"/>
    <w:rsid w:val="00D60335"/>
    <w:rsid w:val="00D60467"/>
    <w:rsid w:val="00D606D3"/>
    <w:rsid w:val="00D606DD"/>
    <w:rsid w:val="00D6080D"/>
    <w:rsid w:val="00D60AA3"/>
    <w:rsid w:val="00D60B7C"/>
    <w:rsid w:val="00D60BD1"/>
    <w:rsid w:val="00D60C31"/>
    <w:rsid w:val="00D60E11"/>
    <w:rsid w:val="00D60EA9"/>
    <w:rsid w:val="00D60EB2"/>
    <w:rsid w:val="00D61008"/>
    <w:rsid w:val="00D610C7"/>
    <w:rsid w:val="00D61418"/>
    <w:rsid w:val="00D61452"/>
    <w:rsid w:val="00D619A8"/>
    <w:rsid w:val="00D61A11"/>
    <w:rsid w:val="00D61AB5"/>
    <w:rsid w:val="00D61B95"/>
    <w:rsid w:val="00D61DE6"/>
    <w:rsid w:val="00D61ED7"/>
    <w:rsid w:val="00D621B9"/>
    <w:rsid w:val="00D621EC"/>
    <w:rsid w:val="00D62269"/>
    <w:rsid w:val="00D6236B"/>
    <w:rsid w:val="00D623ED"/>
    <w:rsid w:val="00D62529"/>
    <w:rsid w:val="00D62669"/>
    <w:rsid w:val="00D626EB"/>
    <w:rsid w:val="00D6275B"/>
    <w:rsid w:val="00D62E9A"/>
    <w:rsid w:val="00D634A6"/>
    <w:rsid w:val="00D6361A"/>
    <w:rsid w:val="00D6366C"/>
    <w:rsid w:val="00D636AB"/>
    <w:rsid w:val="00D6377F"/>
    <w:rsid w:val="00D63917"/>
    <w:rsid w:val="00D63C28"/>
    <w:rsid w:val="00D63C30"/>
    <w:rsid w:val="00D63D30"/>
    <w:rsid w:val="00D63DE3"/>
    <w:rsid w:val="00D64245"/>
    <w:rsid w:val="00D64347"/>
    <w:rsid w:val="00D6434B"/>
    <w:rsid w:val="00D64451"/>
    <w:rsid w:val="00D64830"/>
    <w:rsid w:val="00D64962"/>
    <w:rsid w:val="00D64A4B"/>
    <w:rsid w:val="00D64B91"/>
    <w:rsid w:val="00D64E24"/>
    <w:rsid w:val="00D65175"/>
    <w:rsid w:val="00D65209"/>
    <w:rsid w:val="00D6522B"/>
    <w:rsid w:val="00D65AB0"/>
    <w:rsid w:val="00D65BF7"/>
    <w:rsid w:val="00D660CD"/>
    <w:rsid w:val="00D663FA"/>
    <w:rsid w:val="00D66464"/>
    <w:rsid w:val="00D6652D"/>
    <w:rsid w:val="00D66553"/>
    <w:rsid w:val="00D6688B"/>
    <w:rsid w:val="00D669F8"/>
    <w:rsid w:val="00D66B10"/>
    <w:rsid w:val="00D66C10"/>
    <w:rsid w:val="00D66D69"/>
    <w:rsid w:val="00D66E21"/>
    <w:rsid w:val="00D6730E"/>
    <w:rsid w:val="00D67344"/>
    <w:rsid w:val="00D67355"/>
    <w:rsid w:val="00D6736F"/>
    <w:rsid w:val="00D67472"/>
    <w:rsid w:val="00D674EF"/>
    <w:rsid w:val="00D675A5"/>
    <w:rsid w:val="00D67621"/>
    <w:rsid w:val="00D6766F"/>
    <w:rsid w:val="00D678B4"/>
    <w:rsid w:val="00D67C04"/>
    <w:rsid w:val="00D67D8F"/>
    <w:rsid w:val="00D67E5D"/>
    <w:rsid w:val="00D701CB"/>
    <w:rsid w:val="00D701D7"/>
    <w:rsid w:val="00D7056C"/>
    <w:rsid w:val="00D70CC8"/>
    <w:rsid w:val="00D70D4C"/>
    <w:rsid w:val="00D70EA0"/>
    <w:rsid w:val="00D70F99"/>
    <w:rsid w:val="00D713AE"/>
    <w:rsid w:val="00D71533"/>
    <w:rsid w:val="00D71553"/>
    <w:rsid w:val="00D71717"/>
    <w:rsid w:val="00D719F2"/>
    <w:rsid w:val="00D71E16"/>
    <w:rsid w:val="00D71EE5"/>
    <w:rsid w:val="00D71EF1"/>
    <w:rsid w:val="00D7205E"/>
    <w:rsid w:val="00D721A0"/>
    <w:rsid w:val="00D72264"/>
    <w:rsid w:val="00D7229C"/>
    <w:rsid w:val="00D72305"/>
    <w:rsid w:val="00D727CC"/>
    <w:rsid w:val="00D727D3"/>
    <w:rsid w:val="00D72911"/>
    <w:rsid w:val="00D72AFC"/>
    <w:rsid w:val="00D72BDD"/>
    <w:rsid w:val="00D72BEF"/>
    <w:rsid w:val="00D72EA2"/>
    <w:rsid w:val="00D72FA8"/>
    <w:rsid w:val="00D72FAB"/>
    <w:rsid w:val="00D72FBB"/>
    <w:rsid w:val="00D73638"/>
    <w:rsid w:val="00D73728"/>
    <w:rsid w:val="00D73A3C"/>
    <w:rsid w:val="00D73A53"/>
    <w:rsid w:val="00D73B08"/>
    <w:rsid w:val="00D73B5C"/>
    <w:rsid w:val="00D73BAA"/>
    <w:rsid w:val="00D73D03"/>
    <w:rsid w:val="00D74024"/>
    <w:rsid w:val="00D740FD"/>
    <w:rsid w:val="00D743B0"/>
    <w:rsid w:val="00D7473F"/>
    <w:rsid w:val="00D748E8"/>
    <w:rsid w:val="00D74D75"/>
    <w:rsid w:val="00D74DB8"/>
    <w:rsid w:val="00D74FEF"/>
    <w:rsid w:val="00D750C4"/>
    <w:rsid w:val="00D75240"/>
    <w:rsid w:val="00D752B4"/>
    <w:rsid w:val="00D75371"/>
    <w:rsid w:val="00D7546B"/>
    <w:rsid w:val="00D7570E"/>
    <w:rsid w:val="00D7576B"/>
    <w:rsid w:val="00D75775"/>
    <w:rsid w:val="00D758C7"/>
    <w:rsid w:val="00D75C5C"/>
    <w:rsid w:val="00D762D3"/>
    <w:rsid w:val="00D7653A"/>
    <w:rsid w:val="00D76612"/>
    <w:rsid w:val="00D767CF"/>
    <w:rsid w:val="00D76908"/>
    <w:rsid w:val="00D76B38"/>
    <w:rsid w:val="00D76C08"/>
    <w:rsid w:val="00D76DF7"/>
    <w:rsid w:val="00D76E2D"/>
    <w:rsid w:val="00D76EED"/>
    <w:rsid w:val="00D7706F"/>
    <w:rsid w:val="00D7719D"/>
    <w:rsid w:val="00D7731C"/>
    <w:rsid w:val="00D774D0"/>
    <w:rsid w:val="00D77683"/>
    <w:rsid w:val="00D779AF"/>
    <w:rsid w:val="00D77ECE"/>
    <w:rsid w:val="00D8049D"/>
    <w:rsid w:val="00D8066A"/>
    <w:rsid w:val="00D80690"/>
    <w:rsid w:val="00D80849"/>
    <w:rsid w:val="00D80AFE"/>
    <w:rsid w:val="00D80B3A"/>
    <w:rsid w:val="00D80CD8"/>
    <w:rsid w:val="00D8100B"/>
    <w:rsid w:val="00D810C6"/>
    <w:rsid w:val="00D817E8"/>
    <w:rsid w:val="00D81898"/>
    <w:rsid w:val="00D8191A"/>
    <w:rsid w:val="00D81C2D"/>
    <w:rsid w:val="00D81DAE"/>
    <w:rsid w:val="00D81E4A"/>
    <w:rsid w:val="00D82237"/>
    <w:rsid w:val="00D8247A"/>
    <w:rsid w:val="00D82486"/>
    <w:rsid w:val="00D825A8"/>
    <w:rsid w:val="00D826A9"/>
    <w:rsid w:val="00D82749"/>
    <w:rsid w:val="00D82ADE"/>
    <w:rsid w:val="00D82B89"/>
    <w:rsid w:val="00D82C2C"/>
    <w:rsid w:val="00D8322D"/>
    <w:rsid w:val="00D83333"/>
    <w:rsid w:val="00D83546"/>
    <w:rsid w:val="00D83590"/>
    <w:rsid w:val="00D835F3"/>
    <w:rsid w:val="00D837D6"/>
    <w:rsid w:val="00D8398E"/>
    <w:rsid w:val="00D839E3"/>
    <w:rsid w:val="00D83DE3"/>
    <w:rsid w:val="00D842D6"/>
    <w:rsid w:val="00D84582"/>
    <w:rsid w:val="00D84DD7"/>
    <w:rsid w:val="00D84FFE"/>
    <w:rsid w:val="00D852F4"/>
    <w:rsid w:val="00D85899"/>
    <w:rsid w:val="00D85A0F"/>
    <w:rsid w:val="00D85A87"/>
    <w:rsid w:val="00D85BDD"/>
    <w:rsid w:val="00D85C2A"/>
    <w:rsid w:val="00D86095"/>
    <w:rsid w:val="00D86352"/>
    <w:rsid w:val="00D863A3"/>
    <w:rsid w:val="00D8686F"/>
    <w:rsid w:val="00D868D3"/>
    <w:rsid w:val="00D86A18"/>
    <w:rsid w:val="00D86A56"/>
    <w:rsid w:val="00D86AD3"/>
    <w:rsid w:val="00D86AD6"/>
    <w:rsid w:val="00D86C1C"/>
    <w:rsid w:val="00D86E95"/>
    <w:rsid w:val="00D86EC1"/>
    <w:rsid w:val="00D86FB9"/>
    <w:rsid w:val="00D8703F"/>
    <w:rsid w:val="00D872B5"/>
    <w:rsid w:val="00D876B5"/>
    <w:rsid w:val="00D87A5E"/>
    <w:rsid w:val="00D87ABC"/>
    <w:rsid w:val="00D87F2B"/>
    <w:rsid w:val="00D900B1"/>
    <w:rsid w:val="00D902A3"/>
    <w:rsid w:val="00D904C2"/>
    <w:rsid w:val="00D90573"/>
    <w:rsid w:val="00D90583"/>
    <w:rsid w:val="00D90648"/>
    <w:rsid w:val="00D90835"/>
    <w:rsid w:val="00D908C1"/>
    <w:rsid w:val="00D908D9"/>
    <w:rsid w:val="00D908DC"/>
    <w:rsid w:val="00D90922"/>
    <w:rsid w:val="00D9099F"/>
    <w:rsid w:val="00D90B32"/>
    <w:rsid w:val="00D90D5F"/>
    <w:rsid w:val="00D90E13"/>
    <w:rsid w:val="00D90F40"/>
    <w:rsid w:val="00D9112E"/>
    <w:rsid w:val="00D91296"/>
    <w:rsid w:val="00D912D4"/>
    <w:rsid w:val="00D91353"/>
    <w:rsid w:val="00D913A7"/>
    <w:rsid w:val="00D9177B"/>
    <w:rsid w:val="00D91B5A"/>
    <w:rsid w:val="00D91C22"/>
    <w:rsid w:val="00D91D52"/>
    <w:rsid w:val="00D91DA8"/>
    <w:rsid w:val="00D91E2D"/>
    <w:rsid w:val="00D91F68"/>
    <w:rsid w:val="00D91F9D"/>
    <w:rsid w:val="00D91FBB"/>
    <w:rsid w:val="00D921A3"/>
    <w:rsid w:val="00D922E7"/>
    <w:rsid w:val="00D925A2"/>
    <w:rsid w:val="00D92607"/>
    <w:rsid w:val="00D9261A"/>
    <w:rsid w:val="00D92892"/>
    <w:rsid w:val="00D92F31"/>
    <w:rsid w:val="00D92FA2"/>
    <w:rsid w:val="00D93086"/>
    <w:rsid w:val="00D930CD"/>
    <w:rsid w:val="00D931E5"/>
    <w:rsid w:val="00D93234"/>
    <w:rsid w:val="00D9339A"/>
    <w:rsid w:val="00D933C9"/>
    <w:rsid w:val="00D93809"/>
    <w:rsid w:val="00D93ABF"/>
    <w:rsid w:val="00D93B2D"/>
    <w:rsid w:val="00D93B79"/>
    <w:rsid w:val="00D93BD7"/>
    <w:rsid w:val="00D93C0B"/>
    <w:rsid w:val="00D93C99"/>
    <w:rsid w:val="00D93E6F"/>
    <w:rsid w:val="00D93FCE"/>
    <w:rsid w:val="00D940E1"/>
    <w:rsid w:val="00D94899"/>
    <w:rsid w:val="00D94BC5"/>
    <w:rsid w:val="00D94C7B"/>
    <w:rsid w:val="00D94D58"/>
    <w:rsid w:val="00D950CB"/>
    <w:rsid w:val="00D953C7"/>
    <w:rsid w:val="00D957D5"/>
    <w:rsid w:val="00D9583F"/>
    <w:rsid w:val="00D959E9"/>
    <w:rsid w:val="00D95B30"/>
    <w:rsid w:val="00D95BEE"/>
    <w:rsid w:val="00D95C35"/>
    <w:rsid w:val="00D95CD2"/>
    <w:rsid w:val="00D95DF8"/>
    <w:rsid w:val="00D96420"/>
    <w:rsid w:val="00D96601"/>
    <w:rsid w:val="00D9670B"/>
    <w:rsid w:val="00D96B6A"/>
    <w:rsid w:val="00D96DCE"/>
    <w:rsid w:val="00D970FB"/>
    <w:rsid w:val="00D97157"/>
    <w:rsid w:val="00D97176"/>
    <w:rsid w:val="00D972AF"/>
    <w:rsid w:val="00D9736A"/>
    <w:rsid w:val="00D97373"/>
    <w:rsid w:val="00D973F1"/>
    <w:rsid w:val="00D9741C"/>
    <w:rsid w:val="00D97563"/>
    <w:rsid w:val="00D9764E"/>
    <w:rsid w:val="00D97831"/>
    <w:rsid w:val="00D97921"/>
    <w:rsid w:val="00D97951"/>
    <w:rsid w:val="00D97AD2"/>
    <w:rsid w:val="00D97BC9"/>
    <w:rsid w:val="00D97C8E"/>
    <w:rsid w:val="00D97D0D"/>
    <w:rsid w:val="00D97DB2"/>
    <w:rsid w:val="00D97F0B"/>
    <w:rsid w:val="00DA002F"/>
    <w:rsid w:val="00DA0067"/>
    <w:rsid w:val="00DA01BF"/>
    <w:rsid w:val="00DA03C0"/>
    <w:rsid w:val="00DA0569"/>
    <w:rsid w:val="00DA0787"/>
    <w:rsid w:val="00DA07A8"/>
    <w:rsid w:val="00DA0877"/>
    <w:rsid w:val="00DA0942"/>
    <w:rsid w:val="00DA0990"/>
    <w:rsid w:val="00DA0A7D"/>
    <w:rsid w:val="00DA0F06"/>
    <w:rsid w:val="00DA10F9"/>
    <w:rsid w:val="00DA11F7"/>
    <w:rsid w:val="00DA1348"/>
    <w:rsid w:val="00DA1426"/>
    <w:rsid w:val="00DA1623"/>
    <w:rsid w:val="00DA1688"/>
    <w:rsid w:val="00DA1930"/>
    <w:rsid w:val="00DA1B6D"/>
    <w:rsid w:val="00DA1BB1"/>
    <w:rsid w:val="00DA1C43"/>
    <w:rsid w:val="00DA1D33"/>
    <w:rsid w:val="00DA1D68"/>
    <w:rsid w:val="00DA1D99"/>
    <w:rsid w:val="00DA20A2"/>
    <w:rsid w:val="00DA22C0"/>
    <w:rsid w:val="00DA22E1"/>
    <w:rsid w:val="00DA24E2"/>
    <w:rsid w:val="00DA266E"/>
    <w:rsid w:val="00DA2891"/>
    <w:rsid w:val="00DA2935"/>
    <w:rsid w:val="00DA2971"/>
    <w:rsid w:val="00DA297B"/>
    <w:rsid w:val="00DA2A73"/>
    <w:rsid w:val="00DA2B29"/>
    <w:rsid w:val="00DA2DF2"/>
    <w:rsid w:val="00DA311B"/>
    <w:rsid w:val="00DA317D"/>
    <w:rsid w:val="00DA351E"/>
    <w:rsid w:val="00DA366F"/>
    <w:rsid w:val="00DA3805"/>
    <w:rsid w:val="00DA3961"/>
    <w:rsid w:val="00DA3B0E"/>
    <w:rsid w:val="00DA3BE1"/>
    <w:rsid w:val="00DA3BFD"/>
    <w:rsid w:val="00DA3CCD"/>
    <w:rsid w:val="00DA3CEF"/>
    <w:rsid w:val="00DA4374"/>
    <w:rsid w:val="00DA469A"/>
    <w:rsid w:val="00DA4769"/>
    <w:rsid w:val="00DA48CC"/>
    <w:rsid w:val="00DA48D4"/>
    <w:rsid w:val="00DA4C63"/>
    <w:rsid w:val="00DA5038"/>
    <w:rsid w:val="00DA537F"/>
    <w:rsid w:val="00DA53F8"/>
    <w:rsid w:val="00DA5403"/>
    <w:rsid w:val="00DA56AE"/>
    <w:rsid w:val="00DA5703"/>
    <w:rsid w:val="00DA576C"/>
    <w:rsid w:val="00DA59C2"/>
    <w:rsid w:val="00DA5A6E"/>
    <w:rsid w:val="00DA5ADE"/>
    <w:rsid w:val="00DA5FBB"/>
    <w:rsid w:val="00DA60B4"/>
    <w:rsid w:val="00DA60D9"/>
    <w:rsid w:val="00DA6138"/>
    <w:rsid w:val="00DA66ED"/>
    <w:rsid w:val="00DA685C"/>
    <w:rsid w:val="00DA690A"/>
    <w:rsid w:val="00DA69FF"/>
    <w:rsid w:val="00DA6A96"/>
    <w:rsid w:val="00DA6B14"/>
    <w:rsid w:val="00DA6B48"/>
    <w:rsid w:val="00DA6B59"/>
    <w:rsid w:val="00DA6E69"/>
    <w:rsid w:val="00DA7070"/>
    <w:rsid w:val="00DA7139"/>
    <w:rsid w:val="00DA714D"/>
    <w:rsid w:val="00DA7155"/>
    <w:rsid w:val="00DA7165"/>
    <w:rsid w:val="00DA71BF"/>
    <w:rsid w:val="00DA7405"/>
    <w:rsid w:val="00DA74F7"/>
    <w:rsid w:val="00DA76FC"/>
    <w:rsid w:val="00DA77D9"/>
    <w:rsid w:val="00DA783B"/>
    <w:rsid w:val="00DB009C"/>
    <w:rsid w:val="00DB009E"/>
    <w:rsid w:val="00DB00E7"/>
    <w:rsid w:val="00DB0142"/>
    <w:rsid w:val="00DB0441"/>
    <w:rsid w:val="00DB046D"/>
    <w:rsid w:val="00DB054D"/>
    <w:rsid w:val="00DB064A"/>
    <w:rsid w:val="00DB072F"/>
    <w:rsid w:val="00DB0794"/>
    <w:rsid w:val="00DB09CC"/>
    <w:rsid w:val="00DB0B01"/>
    <w:rsid w:val="00DB0D08"/>
    <w:rsid w:val="00DB0D53"/>
    <w:rsid w:val="00DB0D95"/>
    <w:rsid w:val="00DB0F2E"/>
    <w:rsid w:val="00DB106B"/>
    <w:rsid w:val="00DB10F5"/>
    <w:rsid w:val="00DB1129"/>
    <w:rsid w:val="00DB11C6"/>
    <w:rsid w:val="00DB141C"/>
    <w:rsid w:val="00DB14A0"/>
    <w:rsid w:val="00DB16AB"/>
    <w:rsid w:val="00DB179E"/>
    <w:rsid w:val="00DB185C"/>
    <w:rsid w:val="00DB1956"/>
    <w:rsid w:val="00DB199D"/>
    <w:rsid w:val="00DB19A2"/>
    <w:rsid w:val="00DB1B67"/>
    <w:rsid w:val="00DB1BE1"/>
    <w:rsid w:val="00DB1CE6"/>
    <w:rsid w:val="00DB1E51"/>
    <w:rsid w:val="00DB1F4E"/>
    <w:rsid w:val="00DB2197"/>
    <w:rsid w:val="00DB22C4"/>
    <w:rsid w:val="00DB239F"/>
    <w:rsid w:val="00DB2448"/>
    <w:rsid w:val="00DB2500"/>
    <w:rsid w:val="00DB25F4"/>
    <w:rsid w:val="00DB26F9"/>
    <w:rsid w:val="00DB2762"/>
    <w:rsid w:val="00DB291D"/>
    <w:rsid w:val="00DB2BDB"/>
    <w:rsid w:val="00DB2C97"/>
    <w:rsid w:val="00DB2DD5"/>
    <w:rsid w:val="00DB2E5B"/>
    <w:rsid w:val="00DB3177"/>
    <w:rsid w:val="00DB318A"/>
    <w:rsid w:val="00DB31AF"/>
    <w:rsid w:val="00DB3432"/>
    <w:rsid w:val="00DB35A7"/>
    <w:rsid w:val="00DB3601"/>
    <w:rsid w:val="00DB361E"/>
    <w:rsid w:val="00DB3C42"/>
    <w:rsid w:val="00DB4133"/>
    <w:rsid w:val="00DB428E"/>
    <w:rsid w:val="00DB4419"/>
    <w:rsid w:val="00DB449E"/>
    <w:rsid w:val="00DB44C5"/>
    <w:rsid w:val="00DB4705"/>
    <w:rsid w:val="00DB47EE"/>
    <w:rsid w:val="00DB4949"/>
    <w:rsid w:val="00DB4D5C"/>
    <w:rsid w:val="00DB4EB6"/>
    <w:rsid w:val="00DB4F41"/>
    <w:rsid w:val="00DB5064"/>
    <w:rsid w:val="00DB5088"/>
    <w:rsid w:val="00DB5220"/>
    <w:rsid w:val="00DB55EF"/>
    <w:rsid w:val="00DB56B8"/>
    <w:rsid w:val="00DB5939"/>
    <w:rsid w:val="00DB5AB8"/>
    <w:rsid w:val="00DB5BA6"/>
    <w:rsid w:val="00DB5DA9"/>
    <w:rsid w:val="00DB5DFD"/>
    <w:rsid w:val="00DB5E06"/>
    <w:rsid w:val="00DB5E0E"/>
    <w:rsid w:val="00DB5E35"/>
    <w:rsid w:val="00DB5EA9"/>
    <w:rsid w:val="00DB5FC2"/>
    <w:rsid w:val="00DB6131"/>
    <w:rsid w:val="00DB61CD"/>
    <w:rsid w:val="00DB621D"/>
    <w:rsid w:val="00DB6348"/>
    <w:rsid w:val="00DB63D2"/>
    <w:rsid w:val="00DB642F"/>
    <w:rsid w:val="00DB64D5"/>
    <w:rsid w:val="00DB6795"/>
    <w:rsid w:val="00DB6A49"/>
    <w:rsid w:val="00DB6BAD"/>
    <w:rsid w:val="00DB6D08"/>
    <w:rsid w:val="00DB728E"/>
    <w:rsid w:val="00DB7344"/>
    <w:rsid w:val="00DB7527"/>
    <w:rsid w:val="00DB769B"/>
    <w:rsid w:val="00DB774D"/>
    <w:rsid w:val="00DB783B"/>
    <w:rsid w:val="00DB78D9"/>
    <w:rsid w:val="00DB7AFF"/>
    <w:rsid w:val="00DB7F05"/>
    <w:rsid w:val="00DC01B8"/>
    <w:rsid w:val="00DC035E"/>
    <w:rsid w:val="00DC04CF"/>
    <w:rsid w:val="00DC06D0"/>
    <w:rsid w:val="00DC07A5"/>
    <w:rsid w:val="00DC07A9"/>
    <w:rsid w:val="00DC0C0D"/>
    <w:rsid w:val="00DC0C2A"/>
    <w:rsid w:val="00DC0C53"/>
    <w:rsid w:val="00DC0D7F"/>
    <w:rsid w:val="00DC134A"/>
    <w:rsid w:val="00DC1550"/>
    <w:rsid w:val="00DC157C"/>
    <w:rsid w:val="00DC1646"/>
    <w:rsid w:val="00DC1800"/>
    <w:rsid w:val="00DC181B"/>
    <w:rsid w:val="00DC183D"/>
    <w:rsid w:val="00DC1A24"/>
    <w:rsid w:val="00DC1B26"/>
    <w:rsid w:val="00DC1B99"/>
    <w:rsid w:val="00DC1BF7"/>
    <w:rsid w:val="00DC1D16"/>
    <w:rsid w:val="00DC1E9B"/>
    <w:rsid w:val="00DC2044"/>
    <w:rsid w:val="00DC20CB"/>
    <w:rsid w:val="00DC21F8"/>
    <w:rsid w:val="00DC250A"/>
    <w:rsid w:val="00DC26B8"/>
    <w:rsid w:val="00DC26C7"/>
    <w:rsid w:val="00DC27E6"/>
    <w:rsid w:val="00DC27EA"/>
    <w:rsid w:val="00DC2814"/>
    <w:rsid w:val="00DC2B7B"/>
    <w:rsid w:val="00DC2C46"/>
    <w:rsid w:val="00DC3385"/>
    <w:rsid w:val="00DC33D0"/>
    <w:rsid w:val="00DC345D"/>
    <w:rsid w:val="00DC3661"/>
    <w:rsid w:val="00DC37C1"/>
    <w:rsid w:val="00DC3924"/>
    <w:rsid w:val="00DC39BB"/>
    <w:rsid w:val="00DC3C97"/>
    <w:rsid w:val="00DC3D00"/>
    <w:rsid w:val="00DC3DF1"/>
    <w:rsid w:val="00DC3EC4"/>
    <w:rsid w:val="00DC4008"/>
    <w:rsid w:val="00DC4082"/>
    <w:rsid w:val="00DC41AC"/>
    <w:rsid w:val="00DC41FC"/>
    <w:rsid w:val="00DC42D3"/>
    <w:rsid w:val="00DC462C"/>
    <w:rsid w:val="00DC4791"/>
    <w:rsid w:val="00DC4B06"/>
    <w:rsid w:val="00DC4D5A"/>
    <w:rsid w:val="00DC4F2D"/>
    <w:rsid w:val="00DC50E8"/>
    <w:rsid w:val="00DC5108"/>
    <w:rsid w:val="00DC5671"/>
    <w:rsid w:val="00DC57CD"/>
    <w:rsid w:val="00DC58E9"/>
    <w:rsid w:val="00DC59AA"/>
    <w:rsid w:val="00DC5B07"/>
    <w:rsid w:val="00DC61DD"/>
    <w:rsid w:val="00DC6457"/>
    <w:rsid w:val="00DC6807"/>
    <w:rsid w:val="00DC68AB"/>
    <w:rsid w:val="00DC6A2F"/>
    <w:rsid w:val="00DC6A65"/>
    <w:rsid w:val="00DC6BF1"/>
    <w:rsid w:val="00DC6C66"/>
    <w:rsid w:val="00DC6D67"/>
    <w:rsid w:val="00DC6E68"/>
    <w:rsid w:val="00DC6F3E"/>
    <w:rsid w:val="00DC710A"/>
    <w:rsid w:val="00DC72E2"/>
    <w:rsid w:val="00DC7850"/>
    <w:rsid w:val="00DC7B14"/>
    <w:rsid w:val="00DC7D98"/>
    <w:rsid w:val="00DC7DB6"/>
    <w:rsid w:val="00DC7F9A"/>
    <w:rsid w:val="00DD01A1"/>
    <w:rsid w:val="00DD024E"/>
    <w:rsid w:val="00DD038F"/>
    <w:rsid w:val="00DD0B4D"/>
    <w:rsid w:val="00DD0BAA"/>
    <w:rsid w:val="00DD0D76"/>
    <w:rsid w:val="00DD0E4B"/>
    <w:rsid w:val="00DD0EF4"/>
    <w:rsid w:val="00DD0F25"/>
    <w:rsid w:val="00DD0FF7"/>
    <w:rsid w:val="00DD1277"/>
    <w:rsid w:val="00DD139E"/>
    <w:rsid w:val="00DD1576"/>
    <w:rsid w:val="00DD18CF"/>
    <w:rsid w:val="00DD19EA"/>
    <w:rsid w:val="00DD1A8D"/>
    <w:rsid w:val="00DD1AD3"/>
    <w:rsid w:val="00DD1D47"/>
    <w:rsid w:val="00DD20A5"/>
    <w:rsid w:val="00DD2B18"/>
    <w:rsid w:val="00DD2B24"/>
    <w:rsid w:val="00DD2B6B"/>
    <w:rsid w:val="00DD2D64"/>
    <w:rsid w:val="00DD2D72"/>
    <w:rsid w:val="00DD2D79"/>
    <w:rsid w:val="00DD2DC1"/>
    <w:rsid w:val="00DD2FCF"/>
    <w:rsid w:val="00DD3146"/>
    <w:rsid w:val="00DD3387"/>
    <w:rsid w:val="00DD338D"/>
    <w:rsid w:val="00DD33BD"/>
    <w:rsid w:val="00DD3490"/>
    <w:rsid w:val="00DD37E3"/>
    <w:rsid w:val="00DD39AD"/>
    <w:rsid w:val="00DD3B0A"/>
    <w:rsid w:val="00DD3BDE"/>
    <w:rsid w:val="00DD3E46"/>
    <w:rsid w:val="00DD3FDD"/>
    <w:rsid w:val="00DD41B5"/>
    <w:rsid w:val="00DD42C2"/>
    <w:rsid w:val="00DD45B7"/>
    <w:rsid w:val="00DD46C9"/>
    <w:rsid w:val="00DD476F"/>
    <w:rsid w:val="00DD4961"/>
    <w:rsid w:val="00DD4A6F"/>
    <w:rsid w:val="00DD4A8C"/>
    <w:rsid w:val="00DD4BE7"/>
    <w:rsid w:val="00DD4DCB"/>
    <w:rsid w:val="00DD4DFE"/>
    <w:rsid w:val="00DD4F06"/>
    <w:rsid w:val="00DD5103"/>
    <w:rsid w:val="00DD55E1"/>
    <w:rsid w:val="00DD59C0"/>
    <w:rsid w:val="00DD5AE5"/>
    <w:rsid w:val="00DD5BC6"/>
    <w:rsid w:val="00DD5CFA"/>
    <w:rsid w:val="00DD5CFE"/>
    <w:rsid w:val="00DD5D08"/>
    <w:rsid w:val="00DD5DF2"/>
    <w:rsid w:val="00DD5E38"/>
    <w:rsid w:val="00DD615D"/>
    <w:rsid w:val="00DD6580"/>
    <w:rsid w:val="00DD68B9"/>
    <w:rsid w:val="00DD6995"/>
    <w:rsid w:val="00DD6AAD"/>
    <w:rsid w:val="00DD6B11"/>
    <w:rsid w:val="00DD6C8F"/>
    <w:rsid w:val="00DD6F46"/>
    <w:rsid w:val="00DD6F6B"/>
    <w:rsid w:val="00DD6F6F"/>
    <w:rsid w:val="00DD704D"/>
    <w:rsid w:val="00DD70D9"/>
    <w:rsid w:val="00DD70DE"/>
    <w:rsid w:val="00DD729F"/>
    <w:rsid w:val="00DD734F"/>
    <w:rsid w:val="00DD7859"/>
    <w:rsid w:val="00DD791D"/>
    <w:rsid w:val="00DD7A5A"/>
    <w:rsid w:val="00DD7CC3"/>
    <w:rsid w:val="00DD7D84"/>
    <w:rsid w:val="00DD7E05"/>
    <w:rsid w:val="00DE0220"/>
    <w:rsid w:val="00DE0606"/>
    <w:rsid w:val="00DE083F"/>
    <w:rsid w:val="00DE08D0"/>
    <w:rsid w:val="00DE099F"/>
    <w:rsid w:val="00DE0BB3"/>
    <w:rsid w:val="00DE0D1A"/>
    <w:rsid w:val="00DE0E9E"/>
    <w:rsid w:val="00DE1030"/>
    <w:rsid w:val="00DE10E2"/>
    <w:rsid w:val="00DE1212"/>
    <w:rsid w:val="00DE162D"/>
    <w:rsid w:val="00DE1751"/>
    <w:rsid w:val="00DE1847"/>
    <w:rsid w:val="00DE1AC1"/>
    <w:rsid w:val="00DE1B0F"/>
    <w:rsid w:val="00DE1B11"/>
    <w:rsid w:val="00DE1B83"/>
    <w:rsid w:val="00DE1C2D"/>
    <w:rsid w:val="00DE1CEB"/>
    <w:rsid w:val="00DE1D22"/>
    <w:rsid w:val="00DE1E2C"/>
    <w:rsid w:val="00DE1FAB"/>
    <w:rsid w:val="00DE213C"/>
    <w:rsid w:val="00DE214B"/>
    <w:rsid w:val="00DE21D6"/>
    <w:rsid w:val="00DE23E7"/>
    <w:rsid w:val="00DE2517"/>
    <w:rsid w:val="00DE25B4"/>
    <w:rsid w:val="00DE25C0"/>
    <w:rsid w:val="00DE29F6"/>
    <w:rsid w:val="00DE2D9E"/>
    <w:rsid w:val="00DE2E1C"/>
    <w:rsid w:val="00DE2EF5"/>
    <w:rsid w:val="00DE3082"/>
    <w:rsid w:val="00DE324A"/>
    <w:rsid w:val="00DE3256"/>
    <w:rsid w:val="00DE33C7"/>
    <w:rsid w:val="00DE39A3"/>
    <w:rsid w:val="00DE3B4B"/>
    <w:rsid w:val="00DE3E6D"/>
    <w:rsid w:val="00DE4068"/>
    <w:rsid w:val="00DE4167"/>
    <w:rsid w:val="00DE4225"/>
    <w:rsid w:val="00DE4496"/>
    <w:rsid w:val="00DE4535"/>
    <w:rsid w:val="00DE4B50"/>
    <w:rsid w:val="00DE4C62"/>
    <w:rsid w:val="00DE4CEE"/>
    <w:rsid w:val="00DE4EAB"/>
    <w:rsid w:val="00DE4F1A"/>
    <w:rsid w:val="00DE4FE2"/>
    <w:rsid w:val="00DE51BB"/>
    <w:rsid w:val="00DE55DE"/>
    <w:rsid w:val="00DE560D"/>
    <w:rsid w:val="00DE5694"/>
    <w:rsid w:val="00DE5712"/>
    <w:rsid w:val="00DE572F"/>
    <w:rsid w:val="00DE5854"/>
    <w:rsid w:val="00DE5A96"/>
    <w:rsid w:val="00DE6053"/>
    <w:rsid w:val="00DE6119"/>
    <w:rsid w:val="00DE6589"/>
    <w:rsid w:val="00DE6681"/>
    <w:rsid w:val="00DE67B5"/>
    <w:rsid w:val="00DE6805"/>
    <w:rsid w:val="00DE6BB6"/>
    <w:rsid w:val="00DE6C2B"/>
    <w:rsid w:val="00DE6F95"/>
    <w:rsid w:val="00DE7404"/>
    <w:rsid w:val="00DE7A78"/>
    <w:rsid w:val="00DF01D5"/>
    <w:rsid w:val="00DF01DE"/>
    <w:rsid w:val="00DF0349"/>
    <w:rsid w:val="00DF0411"/>
    <w:rsid w:val="00DF059A"/>
    <w:rsid w:val="00DF0602"/>
    <w:rsid w:val="00DF069E"/>
    <w:rsid w:val="00DF08F2"/>
    <w:rsid w:val="00DF093D"/>
    <w:rsid w:val="00DF0ABE"/>
    <w:rsid w:val="00DF0BB1"/>
    <w:rsid w:val="00DF1076"/>
    <w:rsid w:val="00DF11FB"/>
    <w:rsid w:val="00DF1289"/>
    <w:rsid w:val="00DF12FA"/>
    <w:rsid w:val="00DF13E1"/>
    <w:rsid w:val="00DF1514"/>
    <w:rsid w:val="00DF15C6"/>
    <w:rsid w:val="00DF1661"/>
    <w:rsid w:val="00DF17B4"/>
    <w:rsid w:val="00DF17C2"/>
    <w:rsid w:val="00DF1E8A"/>
    <w:rsid w:val="00DF1FE5"/>
    <w:rsid w:val="00DF20AC"/>
    <w:rsid w:val="00DF20EE"/>
    <w:rsid w:val="00DF26E9"/>
    <w:rsid w:val="00DF2770"/>
    <w:rsid w:val="00DF2935"/>
    <w:rsid w:val="00DF2ABE"/>
    <w:rsid w:val="00DF2ED8"/>
    <w:rsid w:val="00DF3090"/>
    <w:rsid w:val="00DF3362"/>
    <w:rsid w:val="00DF33A8"/>
    <w:rsid w:val="00DF3635"/>
    <w:rsid w:val="00DF3733"/>
    <w:rsid w:val="00DF37AB"/>
    <w:rsid w:val="00DF383C"/>
    <w:rsid w:val="00DF397D"/>
    <w:rsid w:val="00DF3A6C"/>
    <w:rsid w:val="00DF3AB2"/>
    <w:rsid w:val="00DF3D33"/>
    <w:rsid w:val="00DF3F3F"/>
    <w:rsid w:val="00DF3FB0"/>
    <w:rsid w:val="00DF40E9"/>
    <w:rsid w:val="00DF41FD"/>
    <w:rsid w:val="00DF43EF"/>
    <w:rsid w:val="00DF4596"/>
    <w:rsid w:val="00DF473B"/>
    <w:rsid w:val="00DF4766"/>
    <w:rsid w:val="00DF48D2"/>
    <w:rsid w:val="00DF48E8"/>
    <w:rsid w:val="00DF496C"/>
    <w:rsid w:val="00DF4AD1"/>
    <w:rsid w:val="00DF4B1F"/>
    <w:rsid w:val="00DF4BC2"/>
    <w:rsid w:val="00DF4BDA"/>
    <w:rsid w:val="00DF4E03"/>
    <w:rsid w:val="00DF4E14"/>
    <w:rsid w:val="00DF4E52"/>
    <w:rsid w:val="00DF52C1"/>
    <w:rsid w:val="00DF53A8"/>
    <w:rsid w:val="00DF53EE"/>
    <w:rsid w:val="00DF5409"/>
    <w:rsid w:val="00DF5536"/>
    <w:rsid w:val="00DF55F6"/>
    <w:rsid w:val="00DF5612"/>
    <w:rsid w:val="00DF5722"/>
    <w:rsid w:val="00DF58F4"/>
    <w:rsid w:val="00DF59EA"/>
    <w:rsid w:val="00DF5A5F"/>
    <w:rsid w:val="00DF5D38"/>
    <w:rsid w:val="00DF5EFF"/>
    <w:rsid w:val="00DF5F68"/>
    <w:rsid w:val="00DF617B"/>
    <w:rsid w:val="00DF62B9"/>
    <w:rsid w:val="00DF64E1"/>
    <w:rsid w:val="00DF67F3"/>
    <w:rsid w:val="00DF6A2D"/>
    <w:rsid w:val="00DF6A85"/>
    <w:rsid w:val="00DF6AB2"/>
    <w:rsid w:val="00DF6C1C"/>
    <w:rsid w:val="00DF6D88"/>
    <w:rsid w:val="00DF7087"/>
    <w:rsid w:val="00DF7160"/>
    <w:rsid w:val="00DF71D7"/>
    <w:rsid w:val="00DF725C"/>
    <w:rsid w:val="00DF74AA"/>
    <w:rsid w:val="00DF7847"/>
    <w:rsid w:val="00DF78E8"/>
    <w:rsid w:val="00DF7ABA"/>
    <w:rsid w:val="00DF7C56"/>
    <w:rsid w:val="00DF7DBF"/>
    <w:rsid w:val="00DF7DCF"/>
    <w:rsid w:val="00DF7F53"/>
    <w:rsid w:val="00DF7F72"/>
    <w:rsid w:val="00E00030"/>
    <w:rsid w:val="00E00191"/>
    <w:rsid w:val="00E00227"/>
    <w:rsid w:val="00E0032C"/>
    <w:rsid w:val="00E00737"/>
    <w:rsid w:val="00E00765"/>
    <w:rsid w:val="00E00897"/>
    <w:rsid w:val="00E008AA"/>
    <w:rsid w:val="00E009AA"/>
    <w:rsid w:val="00E00A36"/>
    <w:rsid w:val="00E00A46"/>
    <w:rsid w:val="00E00B06"/>
    <w:rsid w:val="00E00BA0"/>
    <w:rsid w:val="00E00C25"/>
    <w:rsid w:val="00E00C62"/>
    <w:rsid w:val="00E00D40"/>
    <w:rsid w:val="00E00FFD"/>
    <w:rsid w:val="00E0108D"/>
    <w:rsid w:val="00E010F4"/>
    <w:rsid w:val="00E011C7"/>
    <w:rsid w:val="00E01215"/>
    <w:rsid w:val="00E0138F"/>
    <w:rsid w:val="00E013D0"/>
    <w:rsid w:val="00E0155E"/>
    <w:rsid w:val="00E017AC"/>
    <w:rsid w:val="00E017B6"/>
    <w:rsid w:val="00E018D5"/>
    <w:rsid w:val="00E019C9"/>
    <w:rsid w:val="00E01A67"/>
    <w:rsid w:val="00E01CCE"/>
    <w:rsid w:val="00E01D3E"/>
    <w:rsid w:val="00E01FE1"/>
    <w:rsid w:val="00E0206F"/>
    <w:rsid w:val="00E02080"/>
    <w:rsid w:val="00E020BE"/>
    <w:rsid w:val="00E02116"/>
    <w:rsid w:val="00E02381"/>
    <w:rsid w:val="00E0241E"/>
    <w:rsid w:val="00E028EE"/>
    <w:rsid w:val="00E02A44"/>
    <w:rsid w:val="00E02A5C"/>
    <w:rsid w:val="00E02AEB"/>
    <w:rsid w:val="00E02B91"/>
    <w:rsid w:val="00E02D05"/>
    <w:rsid w:val="00E02D3A"/>
    <w:rsid w:val="00E02E3F"/>
    <w:rsid w:val="00E030CA"/>
    <w:rsid w:val="00E03153"/>
    <w:rsid w:val="00E03369"/>
    <w:rsid w:val="00E03454"/>
    <w:rsid w:val="00E034E5"/>
    <w:rsid w:val="00E035FC"/>
    <w:rsid w:val="00E03636"/>
    <w:rsid w:val="00E036B5"/>
    <w:rsid w:val="00E036C3"/>
    <w:rsid w:val="00E037CA"/>
    <w:rsid w:val="00E0395B"/>
    <w:rsid w:val="00E03B5E"/>
    <w:rsid w:val="00E03DBE"/>
    <w:rsid w:val="00E04106"/>
    <w:rsid w:val="00E0426E"/>
    <w:rsid w:val="00E0439D"/>
    <w:rsid w:val="00E04441"/>
    <w:rsid w:val="00E044DF"/>
    <w:rsid w:val="00E045A9"/>
    <w:rsid w:val="00E045E1"/>
    <w:rsid w:val="00E04666"/>
    <w:rsid w:val="00E0469B"/>
    <w:rsid w:val="00E04724"/>
    <w:rsid w:val="00E04843"/>
    <w:rsid w:val="00E04B77"/>
    <w:rsid w:val="00E04B7E"/>
    <w:rsid w:val="00E04BE5"/>
    <w:rsid w:val="00E04D64"/>
    <w:rsid w:val="00E04E4E"/>
    <w:rsid w:val="00E04FEC"/>
    <w:rsid w:val="00E05035"/>
    <w:rsid w:val="00E051BE"/>
    <w:rsid w:val="00E054D5"/>
    <w:rsid w:val="00E056D3"/>
    <w:rsid w:val="00E05992"/>
    <w:rsid w:val="00E05C91"/>
    <w:rsid w:val="00E05CF5"/>
    <w:rsid w:val="00E05CFB"/>
    <w:rsid w:val="00E05E55"/>
    <w:rsid w:val="00E05E9D"/>
    <w:rsid w:val="00E05ED0"/>
    <w:rsid w:val="00E06023"/>
    <w:rsid w:val="00E0602C"/>
    <w:rsid w:val="00E062D5"/>
    <w:rsid w:val="00E065ED"/>
    <w:rsid w:val="00E065F9"/>
    <w:rsid w:val="00E066C6"/>
    <w:rsid w:val="00E06A11"/>
    <w:rsid w:val="00E06A73"/>
    <w:rsid w:val="00E06D0D"/>
    <w:rsid w:val="00E06F5B"/>
    <w:rsid w:val="00E0709B"/>
    <w:rsid w:val="00E072CF"/>
    <w:rsid w:val="00E07497"/>
    <w:rsid w:val="00E075BF"/>
    <w:rsid w:val="00E078CD"/>
    <w:rsid w:val="00E07AC0"/>
    <w:rsid w:val="00E07C1B"/>
    <w:rsid w:val="00E07EA7"/>
    <w:rsid w:val="00E07ECB"/>
    <w:rsid w:val="00E07FFE"/>
    <w:rsid w:val="00E10570"/>
    <w:rsid w:val="00E10801"/>
    <w:rsid w:val="00E108E2"/>
    <w:rsid w:val="00E10977"/>
    <w:rsid w:val="00E10986"/>
    <w:rsid w:val="00E10DF8"/>
    <w:rsid w:val="00E1105F"/>
    <w:rsid w:val="00E112C9"/>
    <w:rsid w:val="00E11459"/>
    <w:rsid w:val="00E11541"/>
    <w:rsid w:val="00E11691"/>
    <w:rsid w:val="00E116C7"/>
    <w:rsid w:val="00E11744"/>
    <w:rsid w:val="00E1197C"/>
    <w:rsid w:val="00E119E6"/>
    <w:rsid w:val="00E11A34"/>
    <w:rsid w:val="00E11A44"/>
    <w:rsid w:val="00E11AA7"/>
    <w:rsid w:val="00E11AC2"/>
    <w:rsid w:val="00E11BF1"/>
    <w:rsid w:val="00E11C46"/>
    <w:rsid w:val="00E11D81"/>
    <w:rsid w:val="00E11EF6"/>
    <w:rsid w:val="00E11F37"/>
    <w:rsid w:val="00E120A8"/>
    <w:rsid w:val="00E1211C"/>
    <w:rsid w:val="00E1211F"/>
    <w:rsid w:val="00E121BF"/>
    <w:rsid w:val="00E12317"/>
    <w:rsid w:val="00E123D6"/>
    <w:rsid w:val="00E12416"/>
    <w:rsid w:val="00E1249B"/>
    <w:rsid w:val="00E12587"/>
    <w:rsid w:val="00E125E5"/>
    <w:rsid w:val="00E129CE"/>
    <w:rsid w:val="00E12BEF"/>
    <w:rsid w:val="00E12EFE"/>
    <w:rsid w:val="00E12FA6"/>
    <w:rsid w:val="00E131D1"/>
    <w:rsid w:val="00E13294"/>
    <w:rsid w:val="00E132C9"/>
    <w:rsid w:val="00E133A7"/>
    <w:rsid w:val="00E1341A"/>
    <w:rsid w:val="00E13423"/>
    <w:rsid w:val="00E134B2"/>
    <w:rsid w:val="00E138AC"/>
    <w:rsid w:val="00E13BF0"/>
    <w:rsid w:val="00E13CB1"/>
    <w:rsid w:val="00E13D04"/>
    <w:rsid w:val="00E13F12"/>
    <w:rsid w:val="00E13F51"/>
    <w:rsid w:val="00E13F75"/>
    <w:rsid w:val="00E14136"/>
    <w:rsid w:val="00E14206"/>
    <w:rsid w:val="00E145E5"/>
    <w:rsid w:val="00E1467B"/>
    <w:rsid w:val="00E1475D"/>
    <w:rsid w:val="00E14968"/>
    <w:rsid w:val="00E149FD"/>
    <w:rsid w:val="00E14A90"/>
    <w:rsid w:val="00E14ACF"/>
    <w:rsid w:val="00E14AFB"/>
    <w:rsid w:val="00E14B17"/>
    <w:rsid w:val="00E14B9B"/>
    <w:rsid w:val="00E14CA9"/>
    <w:rsid w:val="00E14D1C"/>
    <w:rsid w:val="00E14E87"/>
    <w:rsid w:val="00E14EB1"/>
    <w:rsid w:val="00E1501F"/>
    <w:rsid w:val="00E15061"/>
    <w:rsid w:val="00E15242"/>
    <w:rsid w:val="00E15439"/>
    <w:rsid w:val="00E154BE"/>
    <w:rsid w:val="00E1559F"/>
    <w:rsid w:val="00E155FB"/>
    <w:rsid w:val="00E15691"/>
    <w:rsid w:val="00E15F0B"/>
    <w:rsid w:val="00E15F96"/>
    <w:rsid w:val="00E15FC7"/>
    <w:rsid w:val="00E16034"/>
    <w:rsid w:val="00E16307"/>
    <w:rsid w:val="00E1637F"/>
    <w:rsid w:val="00E163A6"/>
    <w:rsid w:val="00E163F2"/>
    <w:rsid w:val="00E16858"/>
    <w:rsid w:val="00E16A77"/>
    <w:rsid w:val="00E16AAF"/>
    <w:rsid w:val="00E16AC5"/>
    <w:rsid w:val="00E16EDC"/>
    <w:rsid w:val="00E16FC4"/>
    <w:rsid w:val="00E1720F"/>
    <w:rsid w:val="00E1735A"/>
    <w:rsid w:val="00E17732"/>
    <w:rsid w:val="00E177F2"/>
    <w:rsid w:val="00E17820"/>
    <w:rsid w:val="00E17978"/>
    <w:rsid w:val="00E17B45"/>
    <w:rsid w:val="00E17C4C"/>
    <w:rsid w:val="00E17D08"/>
    <w:rsid w:val="00E17E86"/>
    <w:rsid w:val="00E200B4"/>
    <w:rsid w:val="00E20269"/>
    <w:rsid w:val="00E20487"/>
    <w:rsid w:val="00E208F3"/>
    <w:rsid w:val="00E209CE"/>
    <w:rsid w:val="00E20ABD"/>
    <w:rsid w:val="00E20B31"/>
    <w:rsid w:val="00E20C13"/>
    <w:rsid w:val="00E20CCA"/>
    <w:rsid w:val="00E20D7B"/>
    <w:rsid w:val="00E20DDB"/>
    <w:rsid w:val="00E20E1F"/>
    <w:rsid w:val="00E20EAC"/>
    <w:rsid w:val="00E20EB1"/>
    <w:rsid w:val="00E20F73"/>
    <w:rsid w:val="00E20F8D"/>
    <w:rsid w:val="00E211D4"/>
    <w:rsid w:val="00E2124A"/>
    <w:rsid w:val="00E2126B"/>
    <w:rsid w:val="00E2151B"/>
    <w:rsid w:val="00E21567"/>
    <w:rsid w:val="00E21634"/>
    <w:rsid w:val="00E2192A"/>
    <w:rsid w:val="00E21D4F"/>
    <w:rsid w:val="00E21E54"/>
    <w:rsid w:val="00E21EA3"/>
    <w:rsid w:val="00E21EFF"/>
    <w:rsid w:val="00E220C1"/>
    <w:rsid w:val="00E22341"/>
    <w:rsid w:val="00E225BF"/>
    <w:rsid w:val="00E225F8"/>
    <w:rsid w:val="00E22618"/>
    <w:rsid w:val="00E2291E"/>
    <w:rsid w:val="00E22E36"/>
    <w:rsid w:val="00E22FCB"/>
    <w:rsid w:val="00E22FDA"/>
    <w:rsid w:val="00E23531"/>
    <w:rsid w:val="00E23D59"/>
    <w:rsid w:val="00E23D73"/>
    <w:rsid w:val="00E23DEF"/>
    <w:rsid w:val="00E23E9B"/>
    <w:rsid w:val="00E23F92"/>
    <w:rsid w:val="00E2449A"/>
    <w:rsid w:val="00E24518"/>
    <w:rsid w:val="00E24572"/>
    <w:rsid w:val="00E24841"/>
    <w:rsid w:val="00E2485F"/>
    <w:rsid w:val="00E24980"/>
    <w:rsid w:val="00E24D62"/>
    <w:rsid w:val="00E24E00"/>
    <w:rsid w:val="00E251A3"/>
    <w:rsid w:val="00E2541D"/>
    <w:rsid w:val="00E254E0"/>
    <w:rsid w:val="00E2575B"/>
    <w:rsid w:val="00E259F2"/>
    <w:rsid w:val="00E25C25"/>
    <w:rsid w:val="00E25DBB"/>
    <w:rsid w:val="00E25DF8"/>
    <w:rsid w:val="00E25FD5"/>
    <w:rsid w:val="00E26050"/>
    <w:rsid w:val="00E260C5"/>
    <w:rsid w:val="00E26409"/>
    <w:rsid w:val="00E2640D"/>
    <w:rsid w:val="00E264C3"/>
    <w:rsid w:val="00E26576"/>
    <w:rsid w:val="00E26579"/>
    <w:rsid w:val="00E267AB"/>
    <w:rsid w:val="00E267D9"/>
    <w:rsid w:val="00E26808"/>
    <w:rsid w:val="00E269FB"/>
    <w:rsid w:val="00E26CA6"/>
    <w:rsid w:val="00E26D5C"/>
    <w:rsid w:val="00E26EAC"/>
    <w:rsid w:val="00E26FC4"/>
    <w:rsid w:val="00E27447"/>
    <w:rsid w:val="00E276FB"/>
    <w:rsid w:val="00E277EA"/>
    <w:rsid w:val="00E27870"/>
    <w:rsid w:val="00E27875"/>
    <w:rsid w:val="00E2790E"/>
    <w:rsid w:val="00E279A4"/>
    <w:rsid w:val="00E27AC9"/>
    <w:rsid w:val="00E27C4E"/>
    <w:rsid w:val="00E27EB3"/>
    <w:rsid w:val="00E27F16"/>
    <w:rsid w:val="00E30147"/>
    <w:rsid w:val="00E30410"/>
    <w:rsid w:val="00E30542"/>
    <w:rsid w:val="00E305EB"/>
    <w:rsid w:val="00E30740"/>
    <w:rsid w:val="00E30A98"/>
    <w:rsid w:val="00E30CAB"/>
    <w:rsid w:val="00E30D85"/>
    <w:rsid w:val="00E30F8D"/>
    <w:rsid w:val="00E31113"/>
    <w:rsid w:val="00E31521"/>
    <w:rsid w:val="00E31701"/>
    <w:rsid w:val="00E31C65"/>
    <w:rsid w:val="00E31F28"/>
    <w:rsid w:val="00E320D5"/>
    <w:rsid w:val="00E3225B"/>
    <w:rsid w:val="00E322E5"/>
    <w:rsid w:val="00E3231C"/>
    <w:rsid w:val="00E32398"/>
    <w:rsid w:val="00E3245F"/>
    <w:rsid w:val="00E325BC"/>
    <w:rsid w:val="00E325D6"/>
    <w:rsid w:val="00E325F3"/>
    <w:rsid w:val="00E32895"/>
    <w:rsid w:val="00E32AD4"/>
    <w:rsid w:val="00E33074"/>
    <w:rsid w:val="00E332BA"/>
    <w:rsid w:val="00E33459"/>
    <w:rsid w:val="00E33485"/>
    <w:rsid w:val="00E33790"/>
    <w:rsid w:val="00E33977"/>
    <w:rsid w:val="00E3398F"/>
    <w:rsid w:val="00E33E59"/>
    <w:rsid w:val="00E33F1D"/>
    <w:rsid w:val="00E3407E"/>
    <w:rsid w:val="00E343C9"/>
    <w:rsid w:val="00E347A1"/>
    <w:rsid w:val="00E35384"/>
    <w:rsid w:val="00E354C5"/>
    <w:rsid w:val="00E3556B"/>
    <w:rsid w:val="00E3569B"/>
    <w:rsid w:val="00E35B3A"/>
    <w:rsid w:val="00E35B49"/>
    <w:rsid w:val="00E35DAA"/>
    <w:rsid w:val="00E362F2"/>
    <w:rsid w:val="00E3631D"/>
    <w:rsid w:val="00E365EC"/>
    <w:rsid w:val="00E36632"/>
    <w:rsid w:val="00E3674A"/>
    <w:rsid w:val="00E36913"/>
    <w:rsid w:val="00E36960"/>
    <w:rsid w:val="00E36A4D"/>
    <w:rsid w:val="00E36A87"/>
    <w:rsid w:val="00E36B8C"/>
    <w:rsid w:val="00E36F98"/>
    <w:rsid w:val="00E371A5"/>
    <w:rsid w:val="00E374B8"/>
    <w:rsid w:val="00E37641"/>
    <w:rsid w:val="00E3771D"/>
    <w:rsid w:val="00E37767"/>
    <w:rsid w:val="00E37AD2"/>
    <w:rsid w:val="00E37AD7"/>
    <w:rsid w:val="00E37CE2"/>
    <w:rsid w:val="00E37E9C"/>
    <w:rsid w:val="00E37EC2"/>
    <w:rsid w:val="00E37F6C"/>
    <w:rsid w:val="00E400B5"/>
    <w:rsid w:val="00E4035E"/>
    <w:rsid w:val="00E40567"/>
    <w:rsid w:val="00E40807"/>
    <w:rsid w:val="00E40B41"/>
    <w:rsid w:val="00E40C91"/>
    <w:rsid w:val="00E40EA7"/>
    <w:rsid w:val="00E40FF1"/>
    <w:rsid w:val="00E4100C"/>
    <w:rsid w:val="00E41320"/>
    <w:rsid w:val="00E416B8"/>
    <w:rsid w:val="00E41730"/>
    <w:rsid w:val="00E417F9"/>
    <w:rsid w:val="00E41B75"/>
    <w:rsid w:val="00E41C06"/>
    <w:rsid w:val="00E41CAA"/>
    <w:rsid w:val="00E41E4C"/>
    <w:rsid w:val="00E4238F"/>
    <w:rsid w:val="00E424F2"/>
    <w:rsid w:val="00E424FC"/>
    <w:rsid w:val="00E42633"/>
    <w:rsid w:val="00E429DD"/>
    <w:rsid w:val="00E42A41"/>
    <w:rsid w:val="00E42B28"/>
    <w:rsid w:val="00E42B6D"/>
    <w:rsid w:val="00E42F5E"/>
    <w:rsid w:val="00E430A1"/>
    <w:rsid w:val="00E431D0"/>
    <w:rsid w:val="00E43212"/>
    <w:rsid w:val="00E43257"/>
    <w:rsid w:val="00E43307"/>
    <w:rsid w:val="00E434E1"/>
    <w:rsid w:val="00E43729"/>
    <w:rsid w:val="00E4377C"/>
    <w:rsid w:val="00E437D5"/>
    <w:rsid w:val="00E43944"/>
    <w:rsid w:val="00E43B7C"/>
    <w:rsid w:val="00E43E42"/>
    <w:rsid w:val="00E43EAB"/>
    <w:rsid w:val="00E43EE7"/>
    <w:rsid w:val="00E43F9F"/>
    <w:rsid w:val="00E442B6"/>
    <w:rsid w:val="00E444B2"/>
    <w:rsid w:val="00E44545"/>
    <w:rsid w:val="00E449A7"/>
    <w:rsid w:val="00E44B24"/>
    <w:rsid w:val="00E44CA7"/>
    <w:rsid w:val="00E45141"/>
    <w:rsid w:val="00E4526C"/>
    <w:rsid w:val="00E4528E"/>
    <w:rsid w:val="00E45292"/>
    <w:rsid w:val="00E4530B"/>
    <w:rsid w:val="00E45400"/>
    <w:rsid w:val="00E45443"/>
    <w:rsid w:val="00E45633"/>
    <w:rsid w:val="00E456EF"/>
    <w:rsid w:val="00E45702"/>
    <w:rsid w:val="00E457DE"/>
    <w:rsid w:val="00E45C09"/>
    <w:rsid w:val="00E45D2A"/>
    <w:rsid w:val="00E45D87"/>
    <w:rsid w:val="00E45DAD"/>
    <w:rsid w:val="00E45E18"/>
    <w:rsid w:val="00E4611A"/>
    <w:rsid w:val="00E46149"/>
    <w:rsid w:val="00E4662C"/>
    <w:rsid w:val="00E46C57"/>
    <w:rsid w:val="00E46CDC"/>
    <w:rsid w:val="00E46D33"/>
    <w:rsid w:val="00E46DFD"/>
    <w:rsid w:val="00E46E8F"/>
    <w:rsid w:val="00E46E97"/>
    <w:rsid w:val="00E470A9"/>
    <w:rsid w:val="00E47224"/>
    <w:rsid w:val="00E47249"/>
    <w:rsid w:val="00E476E0"/>
    <w:rsid w:val="00E478D7"/>
    <w:rsid w:val="00E47A5D"/>
    <w:rsid w:val="00E47B75"/>
    <w:rsid w:val="00E47C07"/>
    <w:rsid w:val="00E47C49"/>
    <w:rsid w:val="00E47DE1"/>
    <w:rsid w:val="00E47DE7"/>
    <w:rsid w:val="00E5018A"/>
    <w:rsid w:val="00E5022B"/>
    <w:rsid w:val="00E5051D"/>
    <w:rsid w:val="00E50551"/>
    <w:rsid w:val="00E50608"/>
    <w:rsid w:val="00E5065D"/>
    <w:rsid w:val="00E50711"/>
    <w:rsid w:val="00E50979"/>
    <w:rsid w:val="00E50B17"/>
    <w:rsid w:val="00E50BCC"/>
    <w:rsid w:val="00E50C6A"/>
    <w:rsid w:val="00E50EC0"/>
    <w:rsid w:val="00E50F21"/>
    <w:rsid w:val="00E5118E"/>
    <w:rsid w:val="00E5127D"/>
    <w:rsid w:val="00E51388"/>
    <w:rsid w:val="00E5140B"/>
    <w:rsid w:val="00E5158E"/>
    <w:rsid w:val="00E517C1"/>
    <w:rsid w:val="00E518A2"/>
    <w:rsid w:val="00E51C88"/>
    <w:rsid w:val="00E51CF0"/>
    <w:rsid w:val="00E51D63"/>
    <w:rsid w:val="00E51F89"/>
    <w:rsid w:val="00E520A9"/>
    <w:rsid w:val="00E524DA"/>
    <w:rsid w:val="00E528B9"/>
    <w:rsid w:val="00E52D67"/>
    <w:rsid w:val="00E52E1B"/>
    <w:rsid w:val="00E5326A"/>
    <w:rsid w:val="00E53638"/>
    <w:rsid w:val="00E5366B"/>
    <w:rsid w:val="00E53814"/>
    <w:rsid w:val="00E5384E"/>
    <w:rsid w:val="00E53869"/>
    <w:rsid w:val="00E5397D"/>
    <w:rsid w:val="00E53B30"/>
    <w:rsid w:val="00E53C91"/>
    <w:rsid w:val="00E5401D"/>
    <w:rsid w:val="00E54318"/>
    <w:rsid w:val="00E54555"/>
    <w:rsid w:val="00E54786"/>
    <w:rsid w:val="00E5488A"/>
    <w:rsid w:val="00E54A79"/>
    <w:rsid w:val="00E54B87"/>
    <w:rsid w:val="00E54B99"/>
    <w:rsid w:val="00E54BA9"/>
    <w:rsid w:val="00E54D60"/>
    <w:rsid w:val="00E55168"/>
    <w:rsid w:val="00E5531D"/>
    <w:rsid w:val="00E5565F"/>
    <w:rsid w:val="00E55828"/>
    <w:rsid w:val="00E558C8"/>
    <w:rsid w:val="00E55B3B"/>
    <w:rsid w:val="00E55B46"/>
    <w:rsid w:val="00E55BE7"/>
    <w:rsid w:val="00E55CAA"/>
    <w:rsid w:val="00E55D5F"/>
    <w:rsid w:val="00E55E28"/>
    <w:rsid w:val="00E55E70"/>
    <w:rsid w:val="00E55E89"/>
    <w:rsid w:val="00E55F8C"/>
    <w:rsid w:val="00E56329"/>
    <w:rsid w:val="00E56382"/>
    <w:rsid w:val="00E5642F"/>
    <w:rsid w:val="00E566A5"/>
    <w:rsid w:val="00E566B1"/>
    <w:rsid w:val="00E56858"/>
    <w:rsid w:val="00E56AE2"/>
    <w:rsid w:val="00E56B41"/>
    <w:rsid w:val="00E56D65"/>
    <w:rsid w:val="00E56DB9"/>
    <w:rsid w:val="00E56F7C"/>
    <w:rsid w:val="00E57225"/>
    <w:rsid w:val="00E5724E"/>
    <w:rsid w:val="00E572FC"/>
    <w:rsid w:val="00E574B2"/>
    <w:rsid w:val="00E57559"/>
    <w:rsid w:val="00E576AA"/>
    <w:rsid w:val="00E579D7"/>
    <w:rsid w:val="00E57A90"/>
    <w:rsid w:val="00E57D05"/>
    <w:rsid w:val="00E57E1C"/>
    <w:rsid w:val="00E57ED1"/>
    <w:rsid w:val="00E57F13"/>
    <w:rsid w:val="00E602EE"/>
    <w:rsid w:val="00E60352"/>
    <w:rsid w:val="00E60515"/>
    <w:rsid w:val="00E605C8"/>
    <w:rsid w:val="00E606BC"/>
    <w:rsid w:val="00E6070E"/>
    <w:rsid w:val="00E607F6"/>
    <w:rsid w:val="00E60961"/>
    <w:rsid w:val="00E60A7C"/>
    <w:rsid w:val="00E60BE7"/>
    <w:rsid w:val="00E60BFB"/>
    <w:rsid w:val="00E60CB0"/>
    <w:rsid w:val="00E60DA3"/>
    <w:rsid w:val="00E60F8C"/>
    <w:rsid w:val="00E61143"/>
    <w:rsid w:val="00E61287"/>
    <w:rsid w:val="00E61AB7"/>
    <w:rsid w:val="00E61DF4"/>
    <w:rsid w:val="00E61E32"/>
    <w:rsid w:val="00E61EBE"/>
    <w:rsid w:val="00E61FC7"/>
    <w:rsid w:val="00E62054"/>
    <w:rsid w:val="00E62180"/>
    <w:rsid w:val="00E6261A"/>
    <w:rsid w:val="00E628C4"/>
    <w:rsid w:val="00E628D7"/>
    <w:rsid w:val="00E62A1A"/>
    <w:rsid w:val="00E62A55"/>
    <w:rsid w:val="00E62A9A"/>
    <w:rsid w:val="00E62AB2"/>
    <w:rsid w:val="00E62B66"/>
    <w:rsid w:val="00E62E8C"/>
    <w:rsid w:val="00E62F0C"/>
    <w:rsid w:val="00E62F6A"/>
    <w:rsid w:val="00E62FAA"/>
    <w:rsid w:val="00E630ED"/>
    <w:rsid w:val="00E631C8"/>
    <w:rsid w:val="00E631D1"/>
    <w:rsid w:val="00E6327B"/>
    <w:rsid w:val="00E636A1"/>
    <w:rsid w:val="00E6376A"/>
    <w:rsid w:val="00E637A8"/>
    <w:rsid w:val="00E6388F"/>
    <w:rsid w:val="00E638A2"/>
    <w:rsid w:val="00E638DE"/>
    <w:rsid w:val="00E63D99"/>
    <w:rsid w:val="00E6406C"/>
    <w:rsid w:val="00E643CE"/>
    <w:rsid w:val="00E6471F"/>
    <w:rsid w:val="00E6494A"/>
    <w:rsid w:val="00E64C25"/>
    <w:rsid w:val="00E65082"/>
    <w:rsid w:val="00E65190"/>
    <w:rsid w:val="00E6539F"/>
    <w:rsid w:val="00E65605"/>
    <w:rsid w:val="00E65949"/>
    <w:rsid w:val="00E659B1"/>
    <w:rsid w:val="00E65ABA"/>
    <w:rsid w:val="00E65AE0"/>
    <w:rsid w:val="00E65C76"/>
    <w:rsid w:val="00E65E2C"/>
    <w:rsid w:val="00E660B8"/>
    <w:rsid w:val="00E66360"/>
    <w:rsid w:val="00E663AA"/>
    <w:rsid w:val="00E663CA"/>
    <w:rsid w:val="00E664E4"/>
    <w:rsid w:val="00E6660F"/>
    <w:rsid w:val="00E6663C"/>
    <w:rsid w:val="00E6689E"/>
    <w:rsid w:val="00E669D8"/>
    <w:rsid w:val="00E669E0"/>
    <w:rsid w:val="00E66A57"/>
    <w:rsid w:val="00E66C39"/>
    <w:rsid w:val="00E66C4A"/>
    <w:rsid w:val="00E66E07"/>
    <w:rsid w:val="00E66E28"/>
    <w:rsid w:val="00E66EA9"/>
    <w:rsid w:val="00E66EC2"/>
    <w:rsid w:val="00E66F33"/>
    <w:rsid w:val="00E67069"/>
    <w:rsid w:val="00E670CD"/>
    <w:rsid w:val="00E670DF"/>
    <w:rsid w:val="00E67168"/>
    <w:rsid w:val="00E672E2"/>
    <w:rsid w:val="00E678D9"/>
    <w:rsid w:val="00E67C49"/>
    <w:rsid w:val="00E67D5B"/>
    <w:rsid w:val="00E67E1E"/>
    <w:rsid w:val="00E67F76"/>
    <w:rsid w:val="00E67FFD"/>
    <w:rsid w:val="00E70320"/>
    <w:rsid w:val="00E703F5"/>
    <w:rsid w:val="00E70559"/>
    <w:rsid w:val="00E7081D"/>
    <w:rsid w:val="00E70877"/>
    <w:rsid w:val="00E70AF2"/>
    <w:rsid w:val="00E70B49"/>
    <w:rsid w:val="00E70C04"/>
    <w:rsid w:val="00E70C2F"/>
    <w:rsid w:val="00E71180"/>
    <w:rsid w:val="00E717FE"/>
    <w:rsid w:val="00E7180F"/>
    <w:rsid w:val="00E71869"/>
    <w:rsid w:val="00E7197A"/>
    <w:rsid w:val="00E72150"/>
    <w:rsid w:val="00E724DE"/>
    <w:rsid w:val="00E726CA"/>
    <w:rsid w:val="00E72C7B"/>
    <w:rsid w:val="00E72D73"/>
    <w:rsid w:val="00E72DC0"/>
    <w:rsid w:val="00E72E66"/>
    <w:rsid w:val="00E72ED5"/>
    <w:rsid w:val="00E72F2D"/>
    <w:rsid w:val="00E730C4"/>
    <w:rsid w:val="00E732F6"/>
    <w:rsid w:val="00E7347A"/>
    <w:rsid w:val="00E73946"/>
    <w:rsid w:val="00E73B46"/>
    <w:rsid w:val="00E73CF6"/>
    <w:rsid w:val="00E73CFE"/>
    <w:rsid w:val="00E73EB4"/>
    <w:rsid w:val="00E73EB6"/>
    <w:rsid w:val="00E74245"/>
    <w:rsid w:val="00E7442A"/>
    <w:rsid w:val="00E7445F"/>
    <w:rsid w:val="00E744F8"/>
    <w:rsid w:val="00E74647"/>
    <w:rsid w:val="00E748FD"/>
    <w:rsid w:val="00E749E8"/>
    <w:rsid w:val="00E74B89"/>
    <w:rsid w:val="00E74BAE"/>
    <w:rsid w:val="00E74BD6"/>
    <w:rsid w:val="00E74C23"/>
    <w:rsid w:val="00E74DF1"/>
    <w:rsid w:val="00E74E79"/>
    <w:rsid w:val="00E74EA8"/>
    <w:rsid w:val="00E74F13"/>
    <w:rsid w:val="00E74FAF"/>
    <w:rsid w:val="00E74FBC"/>
    <w:rsid w:val="00E75128"/>
    <w:rsid w:val="00E7553B"/>
    <w:rsid w:val="00E75956"/>
    <w:rsid w:val="00E75A06"/>
    <w:rsid w:val="00E75ABF"/>
    <w:rsid w:val="00E75B56"/>
    <w:rsid w:val="00E75BAE"/>
    <w:rsid w:val="00E75D92"/>
    <w:rsid w:val="00E75E5A"/>
    <w:rsid w:val="00E75EDA"/>
    <w:rsid w:val="00E760C4"/>
    <w:rsid w:val="00E7645B"/>
    <w:rsid w:val="00E765BB"/>
    <w:rsid w:val="00E7674D"/>
    <w:rsid w:val="00E7680C"/>
    <w:rsid w:val="00E76BE1"/>
    <w:rsid w:val="00E76E2D"/>
    <w:rsid w:val="00E76FAB"/>
    <w:rsid w:val="00E773F7"/>
    <w:rsid w:val="00E774A8"/>
    <w:rsid w:val="00E775B1"/>
    <w:rsid w:val="00E776C9"/>
    <w:rsid w:val="00E776FA"/>
    <w:rsid w:val="00E77979"/>
    <w:rsid w:val="00E77B5A"/>
    <w:rsid w:val="00E80064"/>
    <w:rsid w:val="00E80180"/>
    <w:rsid w:val="00E80624"/>
    <w:rsid w:val="00E80A08"/>
    <w:rsid w:val="00E80AAD"/>
    <w:rsid w:val="00E80BBB"/>
    <w:rsid w:val="00E80C1A"/>
    <w:rsid w:val="00E80D24"/>
    <w:rsid w:val="00E80E04"/>
    <w:rsid w:val="00E80F39"/>
    <w:rsid w:val="00E8109A"/>
    <w:rsid w:val="00E811C3"/>
    <w:rsid w:val="00E81367"/>
    <w:rsid w:val="00E81454"/>
    <w:rsid w:val="00E81599"/>
    <w:rsid w:val="00E81BB7"/>
    <w:rsid w:val="00E81C02"/>
    <w:rsid w:val="00E81DE7"/>
    <w:rsid w:val="00E81E34"/>
    <w:rsid w:val="00E81E8E"/>
    <w:rsid w:val="00E82038"/>
    <w:rsid w:val="00E82145"/>
    <w:rsid w:val="00E821A8"/>
    <w:rsid w:val="00E824FC"/>
    <w:rsid w:val="00E8260C"/>
    <w:rsid w:val="00E827BA"/>
    <w:rsid w:val="00E82801"/>
    <w:rsid w:val="00E82828"/>
    <w:rsid w:val="00E82884"/>
    <w:rsid w:val="00E82949"/>
    <w:rsid w:val="00E82A4F"/>
    <w:rsid w:val="00E82B07"/>
    <w:rsid w:val="00E82DFE"/>
    <w:rsid w:val="00E82E0E"/>
    <w:rsid w:val="00E82E92"/>
    <w:rsid w:val="00E82FDE"/>
    <w:rsid w:val="00E8320D"/>
    <w:rsid w:val="00E8327E"/>
    <w:rsid w:val="00E8354C"/>
    <w:rsid w:val="00E835D9"/>
    <w:rsid w:val="00E83606"/>
    <w:rsid w:val="00E836B0"/>
    <w:rsid w:val="00E836FF"/>
    <w:rsid w:val="00E83842"/>
    <w:rsid w:val="00E83AF0"/>
    <w:rsid w:val="00E83B18"/>
    <w:rsid w:val="00E83B5F"/>
    <w:rsid w:val="00E83C36"/>
    <w:rsid w:val="00E84021"/>
    <w:rsid w:val="00E8415C"/>
    <w:rsid w:val="00E84394"/>
    <w:rsid w:val="00E84450"/>
    <w:rsid w:val="00E846BC"/>
    <w:rsid w:val="00E84B0F"/>
    <w:rsid w:val="00E84B70"/>
    <w:rsid w:val="00E84D4D"/>
    <w:rsid w:val="00E85016"/>
    <w:rsid w:val="00E850A2"/>
    <w:rsid w:val="00E852E1"/>
    <w:rsid w:val="00E856A7"/>
    <w:rsid w:val="00E8571A"/>
    <w:rsid w:val="00E858B1"/>
    <w:rsid w:val="00E85CC1"/>
    <w:rsid w:val="00E85CD9"/>
    <w:rsid w:val="00E85D93"/>
    <w:rsid w:val="00E85E8E"/>
    <w:rsid w:val="00E85E97"/>
    <w:rsid w:val="00E85F55"/>
    <w:rsid w:val="00E8625D"/>
    <w:rsid w:val="00E8647D"/>
    <w:rsid w:val="00E86984"/>
    <w:rsid w:val="00E8698B"/>
    <w:rsid w:val="00E86AD1"/>
    <w:rsid w:val="00E86C8E"/>
    <w:rsid w:val="00E86D71"/>
    <w:rsid w:val="00E86E3C"/>
    <w:rsid w:val="00E86E60"/>
    <w:rsid w:val="00E86F83"/>
    <w:rsid w:val="00E86F8F"/>
    <w:rsid w:val="00E86FD2"/>
    <w:rsid w:val="00E87156"/>
    <w:rsid w:val="00E87232"/>
    <w:rsid w:val="00E872F5"/>
    <w:rsid w:val="00E873AC"/>
    <w:rsid w:val="00E8790D"/>
    <w:rsid w:val="00E87921"/>
    <w:rsid w:val="00E87AFA"/>
    <w:rsid w:val="00E87C5D"/>
    <w:rsid w:val="00E87CDF"/>
    <w:rsid w:val="00E87DE6"/>
    <w:rsid w:val="00E87E46"/>
    <w:rsid w:val="00E87E73"/>
    <w:rsid w:val="00E87E7C"/>
    <w:rsid w:val="00E87F08"/>
    <w:rsid w:val="00E90261"/>
    <w:rsid w:val="00E90371"/>
    <w:rsid w:val="00E90404"/>
    <w:rsid w:val="00E90415"/>
    <w:rsid w:val="00E90699"/>
    <w:rsid w:val="00E90735"/>
    <w:rsid w:val="00E90A99"/>
    <w:rsid w:val="00E90C6B"/>
    <w:rsid w:val="00E90D4B"/>
    <w:rsid w:val="00E91085"/>
    <w:rsid w:val="00E910F9"/>
    <w:rsid w:val="00E91105"/>
    <w:rsid w:val="00E912C5"/>
    <w:rsid w:val="00E915A7"/>
    <w:rsid w:val="00E915AE"/>
    <w:rsid w:val="00E916A5"/>
    <w:rsid w:val="00E91820"/>
    <w:rsid w:val="00E91869"/>
    <w:rsid w:val="00E9195C"/>
    <w:rsid w:val="00E91A09"/>
    <w:rsid w:val="00E91D09"/>
    <w:rsid w:val="00E91D81"/>
    <w:rsid w:val="00E91E26"/>
    <w:rsid w:val="00E91E97"/>
    <w:rsid w:val="00E91F5C"/>
    <w:rsid w:val="00E91F5E"/>
    <w:rsid w:val="00E921E7"/>
    <w:rsid w:val="00E92247"/>
    <w:rsid w:val="00E92371"/>
    <w:rsid w:val="00E92460"/>
    <w:rsid w:val="00E9259E"/>
    <w:rsid w:val="00E9267E"/>
    <w:rsid w:val="00E92727"/>
    <w:rsid w:val="00E9281D"/>
    <w:rsid w:val="00E92A08"/>
    <w:rsid w:val="00E92A84"/>
    <w:rsid w:val="00E92D6E"/>
    <w:rsid w:val="00E92F2E"/>
    <w:rsid w:val="00E92F65"/>
    <w:rsid w:val="00E93122"/>
    <w:rsid w:val="00E9314F"/>
    <w:rsid w:val="00E9339B"/>
    <w:rsid w:val="00E9342E"/>
    <w:rsid w:val="00E934BD"/>
    <w:rsid w:val="00E93691"/>
    <w:rsid w:val="00E93AB8"/>
    <w:rsid w:val="00E93BE4"/>
    <w:rsid w:val="00E93E0E"/>
    <w:rsid w:val="00E93F4E"/>
    <w:rsid w:val="00E9433F"/>
    <w:rsid w:val="00E947C0"/>
    <w:rsid w:val="00E94C44"/>
    <w:rsid w:val="00E94E66"/>
    <w:rsid w:val="00E94EC1"/>
    <w:rsid w:val="00E94F85"/>
    <w:rsid w:val="00E950FE"/>
    <w:rsid w:val="00E95140"/>
    <w:rsid w:val="00E9515D"/>
    <w:rsid w:val="00E9544A"/>
    <w:rsid w:val="00E95645"/>
    <w:rsid w:val="00E9569A"/>
    <w:rsid w:val="00E95759"/>
    <w:rsid w:val="00E957CC"/>
    <w:rsid w:val="00E9596A"/>
    <w:rsid w:val="00E95B9F"/>
    <w:rsid w:val="00E95BA4"/>
    <w:rsid w:val="00E95D67"/>
    <w:rsid w:val="00E96259"/>
    <w:rsid w:val="00E965CD"/>
    <w:rsid w:val="00E965E9"/>
    <w:rsid w:val="00E96601"/>
    <w:rsid w:val="00E966C8"/>
    <w:rsid w:val="00E96895"/>
    <w:rsid w:val="00E968CD"/>
    <w:rsid w:val="00E96912"/>
    <w:rsid w:val="00E96B43"/>
    <w:rsid w:val="00E96B9B"/>
    <w:rsid w:val="00E96C00"/>
    <w:rsid w:val="00E96C64"/>
    <w:rsid w:val="00E96C93"/>
    <w:rsid w:val="00E96DF5"/>
    <w:rsid w:val="00E9704E"/>
    <w:rsid w:val="00E971B2"/>
    <w:rsid w:val="00E97493"/>
    <w:rsid w:val="00E9797D"/>
    <w:rsid w:val="00E97A56"/>
    <w:rsid w:val="00E97B71"/>
    <w:rsid w:val="00E97B87"/>
    <w:rsid w:val="00E97C1F"/>
    <w:rsid w:val="00E97F29"/>
    <w:rsid w:val="00E97F6F"/>
    <w:rsid w:val="00EA010D"/>
    <w:rsid w:val="00EA03CB"/>
    <w:rsid w:val="00EA044C"/>
    <w:rsid w:val="00EA0A6C"/>
    <w:rsid w:val="00EA0DA8"/>
    <w:rsid w:val="00EA0DBB"/>
    <w:rsid w:val="00EA0DD5"/>
    <w:rsid w:val="00EA0E83"/>
    <w:rsid w:val="00EA1083"/>
    <w:rsid w:val="00EA116E"/>
    <w:rsid w:val="00EA1346"/>
    <w:rsid w:val="00EA15AD"/>
    <w:rsid w:val="00EA1848"/>
    <w:rsid w:val="00EA1B8B"/>
    <w:rsid w:val="00EA1C08"/>
    <w:rsid w:val="00EA1C5F"/>
    <w:rsid w:val="00EA2129"/>
    <w:rsid w:val="00EA2273"/>
    <w:rsid w:val="00EA24E5"/>
    <w:rsid w:val="00EA258C"/>
    <w:rsid w:val="00EA26EF"/>
    <w:rsid w:val="00EA2844"/>
    <w:rsid w:val="00EA2A9F"/>
    <w:rsid w:val="00EA2BEA"/>
    <w:rsid w:val="00EA2BFB"/>
    <w:rsid w:val="00EA2BFC"/>
    <w:rsid w:val="00EA2D25"/>
    <w:rsid w:val="00EA2FD9"/>
    <w:rsid w:val="00EA3009"/>
    <w:rsid w:val="00EA30D9"/>
    <w:rsid w:val="00EA315B"/>
    <w:rsid w:val="00EA3419"/>
    <w:rsid w:val="00EA3732"/>
    <w:rsid w:val="00EA3858"/>
    <w:rsid w:val="00EA39FE"/>
    <w:rsid w:val="00EA3C09"/>
    <w:rsid w:val="00EA3CE3"/>
    <w:rsid w:val="00EA3FED"/>
    <w:rsid w:val="00EA412D"/>
    <w:rsid w:val="00EA4311"/>
    <w:rsid w:val="00EA44E6"/>
    <w:rsid w:val="00EA460E"/>
    <w:rsid w:val="00EA4813"/>
    <w:rsid w:val="00EA4C05"/>
    <w:rsid w:val="00EA4C44"/>
    <w:rsid w:val="00EA4C57"/>
    <w:rsid w:val="00EA4DE3"/>
    <w:rsid w:val="00EA4DE7"/>
    <w:rsid w:val="00EA4F7D"/>
    <w:rsid w:val="00EA5113"/>
    <w:rsid w:val="00EA5957"/>
    <w:rsid w:val="00EA59DB"/>
    <w:rsid w:val="00EA5C29"/>
    <w:rsid w:val="00EA5E0F"/>
    <w:rsid w:val="00EA5F32"/>
    <w:rsid w:val="00EA5F68"/>
    <w:rsid w:val="00EA615A"/>
    <w:rsid w:val="00EA61E9"/>
    <w:rsid w:val="00EA6226"/>
    <w:rsid w:val="00EA648D"/>
    <w:rsid w:val="00EA6531"/>
    <w:rsid w:val="00EA653F"/>
    <w:rsid w:val="00EA65A0"/>
    <w:rsid w:val="00EA6737"/>
    <w:rsid w:val="00EA67A3"/>
    <w:rsid w:val="00EA694A"/>
    <w:rsid w:val="00EA6995"/>
    <w:rsid w:val="00EA6CEE"/>
    <w:rsid w:val="00EA6D04"/>
    <w:rsid w:val="00EA6E7C"/>
    <w:rsid w:val="00EA6EB8"/>
    <w:rsid w:val="00EA6F41"/>
    <w:rsid w:val="00EA6FCB"/>
    <w:rsid w:val="00EA7013"/>
    <w:rsid w:val="00EA717B"/>
    <w:rsid w:val="00EA7195"/>
    <w:rsid w:val="00EA7285"/>
    <w:rsid w:val="00EA7534"/>
    <w:rsid w:val="00EA762B"/>
    <w:rsid w:val="00EA79F2"/>
    <w:rsid w:val="00EA7C55"/>
    <w:rsid w:val="00EA7DDD"/>
    <w:rsid w:val="00EB0084"/>
    <w:rsid w:val="00EB0156"/>
    <w:rsid w:val="00EB01C0"/>
    <w:rsid w:val="00EB021B"/>
    <w:rsid w:val="00EB02BC"/>
    <w:rsid w:val="00EB02F1"/>
    <w:rsid w:val="00EB045F"/>
    <w:rsid w:val="00EB0494"/>
    <w:rsid w:val="00EB0682"/>
    <w:rsid w:val="00EB073F"/>
    <w:rsid w:val="00EB07BC"/>
    <w:rsid w:val="00EB082A"/>
    <w:rsid w:val="00EB0DD2"/>
    <w:rsid w:val="00EB1060"/>
    <w:rsid w:val="00EB1089"/>
    <w:rsid w:val="00EB124E"/>
    <w:rsid w:val="00EB1290"/>
    <w:rsid w:val="00EB1396"/>
    <w:rsid w:val="00EB186E"/>
    <w:rsid w:val="00EB1A3A"/>
    <w:rsid w:val="00EB1BC1"/>
    <w:rsid w:val="00EB1E0B"/>
    <w:rsid w:val="00EB20EB"/>
    <w:rsid w:val="00EB2110"/>
    <w:rsid w:val="00EB212C"/>
    <w:rsid w:val="00EB2137"/>
    <w:rsid w:val="00EB21D7"/>
    <w:rsid w:val="00EB264B"/>
    <w:rsid w:val="00EB26D2"/>
    <w:rsid w:val="00EB2756"/>
    <w:rsid w:val="00EB27EB"/>
    <w:rsid w:val="00EB2854"/>
    <w:rsid w:val="00EB2B4B"/>
    <w:rsid w:val="00EB2EBE"/>
    <w:rsid w:val="00EB2EC9"/>
    <w:rsid w:val="00EB3100"/>
    <w:rsid w:val="00EB3469"/>
    <w:rsid w:val="00EB3486"/>
    <w:rsid w:val="00EB349F"/>
    <w:rsid w:val="00EB34DF"/>
    <w:rsid w:val="00EB34E4"/>
    <w:rsid w:val="00EB3592"/>
    <w:rsid w:val="00EB3604"/>
    <w:rsid w:val="00EB3666"/>
    <w:rsid w:val="00EB3689"/>
    <w:rsid w:val="00EB3911"/>
    <w:rsid w:val="00EB3A93"/>
    <w:rsid w:val="00EB3A9B"/>
    <w:rsid w:val="00EB3B1D"/>
    <w:rsid w:val="00EB3BE5"/>
    <w:rsid w:val="00EB3E6B"/>
    <w:rsid w:val="00EB3F55"/>
    <w:rsid w:val="00EB408E"/>
    <w:rsid w:val="00EB4347"/>
    <w:rsid w:val="00EB44D6"/>
    <w:rsid w:val="00EB46E2"/>
    <w:rsid w:val="00EB47AF"/>
    <w:rsid w:val="00EB47E9"/>
    <w:rsid w:val="00EB4844"/>
    <w:rsid w:val="00EB4A7A"/>
    <w:rsid w:val="00EB4AB1"/>
    <w:rsid w:val="00EB4AFC"/>
    <w:rsid w:val="00EB4B67"/>
    <w:rsid w:val="00EB4BD5"/>
    <w:rsid w:val="00EB4E41"/>
    <w:rsid w:val="00EB4E90"/>
    <w:rsid w:val="00EB4F29"/>
    <w:rsid w:val="00EB5212"/>
    <w:rsid w:val="00EB522B"/>
    <w:rsid w:val="00EB5239"/>
    <w:rsid w:val="00EB5299"/>
    <w:rsid w:val="00EB53EC"/>
    <w:rsid w:val="00EB57A4"/>
    <w:rsid w:val="00EB57DC"/>
    <w:rsid w:val="00EB594E"/>
    <w:rsid w:val="00EB5CBE"/>
    <w:rsid w:val="00EB5D75"/>
    <w:rsid w:val="00EB6967"/>
    <w:rsid w:val="00EB6994"/>
    <w:rsid w:val="00EB6A86"/>
    <w:rsid w:val="00EB6B06"/>
    <w:rsid w:val="00EB6BAD"/>
    <w:rsid w:val="00EB6D0E"/>
    <w:rsid w:val="00EB6DCC"/>
    <w:rsid w:val="00EB6E72"/>
    <w:rsid w:val="00EB7014"/>
    <w:rsid w:val="00EB70AA"/>
    <w:rsid w:val="00EB7218"/>
    <w:rsid w:val="00EB739D"/>
    <w:rsid w:val="00EB7740"/>
    <w:rsid w:val="00EB7987"/>
    <w:rsid w:val="00EB7A78"/>
    <w:rsid w:val="00EB7C4C"/>
    <w:rsid w:val="00EB7E4A"/>
    <w:rsid w:val="00EB7FB4"/>
    <w:rsid w:val="00EC0081"/>
    <w:rsid w:val="00EC0125"/>
    <w:rsid w:val="00EC0232"/>
    <w:rsid w:val="00EC05D1"/>
    <w:rsid w:val="00EC068F"/>
    <w:rsid w:val="00EC0989"/>
    <w:rsid w:val="00EC0AC8"/>
    <w:rsid w:val="00EC0BF1"/>
    <w:rsid w:val="00EC0C1B"/>
    <w:rsid w:val="00EC0DBB"/>
    <w:rsid w:val="00EC0DBF"/>
    <w:rsid w:val="00EC0E09"/>
    <w:rsid w:val="00EC0E37"/>
    <w:rsid w:val="00EC11A1"/>
    <w:rsid w:val="00EC11AD"/>
    <w:rsid w:val="00EC11ED"/>
    <w:rsid w:val="00EC1332"/>
    <w:rsid w:val="00EC182A"/>
    <w:rsid w:val="00EC19BA"/>
    <w:rsid w:val="00EC1A0D"/>
    <w:rsid w:val="00EC1E52"/>
    <w:rsid w:val="00EC1F0E"/>
    <w:rsid w:val="00EC2179"/>
    <w:rsid w:val="00EC21D5"/>
    <w:rsid w:val="00EC21FF"/>
    <w:rsid w:val="00EC2B7C"/>
    <w:rsid w:val="00EC2BE9"/>
    <w:rsid w:val="00EC2C4C"/>
    <w:rsid w:val="00EC3481"/>
    <w:rsid w:val="00EC34C9"/>
    <w:rsid w:val="00EC35C1"/>
    <w:rsid w:val="00EC3733"/>
    <w:rsid w:val="00EC3B5D"/>
    <w:rsid w:val="00EC3D42"/>
    <w:rsid w:val="00EC3D9E"/>
    <w:rsid w:val="00EC3F0F"/>
    <w:rsid w:val="00EC3F8B"/>
    <w:rsid w:val="00EC3FFE"/>
    <w:rsid w:val="00EC4022"/>
    <w:rsid w:val="00EC4602"/>
    <w:rsid w:val="00EC4758"/>
    <w:rsid w:val="00EC48AE"/>
    <w:rsid w:val="00EC4A0A"/>
    <w:rsid w:val="00EC4A40"/>
    <w:rsid w:val="00EC4C35"/>
    <w:rsid w:val="00EC50B4"/>
    <w:rsid w:val="00EC50C2"/>
    <w:rsid w:val="00EC5267"/>
    <w:rsid w:val="00EC52D2"/>
    <w:rsid w:val="00EC57C9"/>
    <w:rsid w:val="00EC5957"/>
    <w:rsid w:val="00EC5A69"/>
    <w:rsid w:val="00EC5AB6"/>
    <w:rsid w:val="00EC5C3A"/>
    <w:rsid w:val="00EC5EDD"/>
    <w:rsid w:val="00EC6080"/>
    <w:rsid w:val="00EC61F0"/>
    <w:rsid w:val="00EC6256"/>
    <w:rsid w:val="00EC62C5"/>
    <w:rsid w:val="00EC63FE"/>
    <w:rsid w:val="00EC64E9"/>
    <w:rsid w:val="00EC668D"/>
    <w:rsid w:val="00EC66AF"/>
    <w:rsid w:val="00EC6721"/>
    <w:rsid w:val="00EC676B"/>
    <w:rsid w:val="00EC6944"/>
    <w:rsid w:val="00EC6D76"/>
    <w:rsid w:val="00EC6E57"/>
    <w:rsid w:val="00EC6F24"/>
    <w:rsid w:val="00EC718F"/>
    <w:rsid w:val="00EC7298"/>
    <w:rsid w:val="00EC73EA"/>
    <w:rsid w:val="00EC7503"/>
    <w:rsid w:val="00EC77D9"/>
    <w:rsid w:val="00EC7810"/>
    <w:rsid w:val="00EC7898"/>
    <w:rsid w:val="00EC7901"/>
    <w:rsid w:val="00EC7949"/>
    <w:rsid w:val="00EC7A22"/>
    <w:rsid w:val="00EC7A2B"/>
    <w:rsid w:val="00EC7C9B"/>
    <w:rsid w:val="00EC7D13"/>
    <w:rsid w:val="00ED0078"/>
    <w:rsid w:val="00ED00A1"/>
    <w:rsid w:val="00ED031F"/>
    <w:rsid w:val="00ED038F"/>
    <w:rsid w:val="00ED039F"/>
    <w:rsid w:val="00ED0A72"/>
    <w:rsid w:val="00ED0DD8"/>
    <w:rsid w:val="00ED1545"/>
    <w:rsid w:val="00ED1594"/>
    <w:rsid w:val="00ED1852"/>
    <w:rsid w:val="00ED198B"/>
    <w:rsid w:val="00ED1C35"/>
    <w:rsid w:val="00ED1DDD"/>
    <w:rsid w:val="00ED1DF6"/>
    <w:rsid w:val="00ED2011"/>
    <w:rsid w:val="00ED21C9"/>
    <w:rsid w:val="00ED222D"/>
    <w:rsid w:val="00ED234F"/>
    <w:rsid w:val="00ED257F"/>
    <w:rsid w:val="00ED25F6"/>
    <w:rsid w:val="00ED268D"/>
    <w:rsid w:val="00ED271E"/>
    <w:rsid w:val="00ED27C2"/>
    <w:rsid w:val="00ED27F1"/>
    <w:rsid w:val="00ED2ADB"/>
    <w:rsid w:val="00ED2C1C"/>
    <w:rsid w:val="00ED2C87"/>
    <w:rsid w:val="00ED2F51"/>
    <w:rsid w:val="00ED3237"/>
    <w:rsid w:val="00ED347C"/>
    <w:rsid w:val="00ED35C7"/>
    <w:rsid w:val="00ED360B"/>
    <w:rsid w:val="00ED3645"/>
    <w:rsid w:val="00ED38E6"/>
    <w:rsid w:val="00ED3A32"/>
    <w:rsid w:val="00ED3AF8"/>
    <w:rsid w:val="00ED3B2C"/>
    <w:rsid w:val="00ED3CBB"/>
    <w:rsid w:val="00ED3D08"/>
    <w:rsid w:val="00ED4111"/>
    <w:rsid w:val="00ED416A"/>
    <w:rsid w:val="00ED419B"/>
    <w:rsid w:val="00ED41A9"/>
    <w:rsid w:val="00ED4222"/>
    <w:rsid w:val="00ED430A"/>
    <w:rsid w:val="00ED4318"/>
    <w:rsid w:val="00ED443E"/>
    <w:rsid w:val="00ED44A1"/>
    <w:rsid w:val="00ED4566"/>
    <w:rsid w:val="00ED46CB"/>
    <w:rsid w:val="00ED472A"/>
    <w:rsid w:val="00ED4775"/>
    <w:rsid w:val="00ED4821"/>
    <w:rsid w:val="00ED4828"/>
    <w:rsid w:val="00ED48D3"/>
    <w:rsid w:val="00ED4B27"/>
    <w:rsid w:val="00ED4CBE"/>
    <w:rsid w:val="00ED517C"/>
    <w:rsid w:val="00ED52FD"/>
    <w:rsid w:val="00ED5322"/>
    <w:rsid w:val="00ED5378"/>
    <w:rsid w:val="00ED563B"/>
    <w:rsid w:val="00ED56F6"/>
    <w:rsid w:val="00ED573B"/>
    <w:rsid w:val="00ED5988"/>
    <w:rsid w:val="00ED59AD"/>
    <w:rsid w:val="00ED59C5"/>
    <w:rsid w:val="00ED5ADB"/>
    <w:rsid w:val="00ED5BA9"/>
    <w:rsid w:val="00ED5CBC"/>
    <w:rsid w:val="00ED5D2B"/>
    <w:rsid w:val="00ED5F47"/>
    <w:rsid w:val="00ED5F95"/>
    <w:rsid w:val="00ED62F2"/>
    <w:rsid w:val="00ED64D2"/>
    <w:rsid w:val="00ED699E"/>
    <w:rsid w:val="00ED6A34"/>
    <w:rsid w:val="00ED6A58"/>
    <w:rsid w:val="00ED6A63"/>
    <w:rsid w:val="00ED6ADD"/>
    <w:rsid w:val="00ED6B24"/>
    <w:rsid w:val="00ED6FCC"/>
    <w:rsid w:val="00ED7148"/>
    <w:rsid w:val="00ED71F7"/>
    <w:rsid w:val="00ED734D"/>
    <w:rsid w:val="00ED74FC"/>
    <w:rsid w:val="00ED7542"/>
    <w:rsid w:val="00ED7603"/>
    <w:rsid w:val="00ED76CA"/>
    <w:rsid w:val="00ED779D"/>
    <w:rsid w:val="00ED7834"/>
    <w:rsid w:val="00ED7929"/>
    <w:rsid w:val="00ED7FC0"/>
    <w:rsid w:val="00EE02C2"/>
    <w:rsid w:val="00EE0793"/>
    <w:rsid w:val="00EE0849"/>
    <w:rsid w:val="00EE08AE"/>
    <w:rsid w:val="00EE092A"/>
    <w:rsid w:val="00EE0B20"/>
    <w:rsid w:val="00EE0BA9"/>
    <w:rsid w:val="00EE0BE3"/>
    <w:rsid w:val="00EE0C00"/>
    <w:rsid w:val="00EE0CD5"/>
    <w:rsid w:val="00EE0F52"/>
    <w:rsid w:val="00EE0FA4"/>
    <w:rsid w:val="00EE10D7"/>
    <w:rsid w:val="00EE1257"/>
    <w:rsid w:val="00EE1266"/>
    <w:rsid w:val="00EE12A8"/>
    <w:rsid w:val="00EE135C"/>
    <w:rsid w:val="00EE1395"/>
    <w:rsid w:val="00EE14EF"/>
    <w:rsid w:val="00EE151D"/>
    <w:rsid w:val="00EE1543"/>
    <w:rsid w:val="00EE1710"/>
    <w:rsid w:val="00EE17BC"/>
    <w:rsid w:val="00EE188C"/>
    <w:rsid w:val="00EE1906"/>
    <w:rsid w:val="00EE19EB"/>
    <w:rsid w:val="00EE1B6F"/>
    <w:rsid w:val="00EE1C67"/>
    <w:rsid w:val="00EE1F15"/>
    <w:rsid w:val="00EE2214"/>
    <w:rsid w:val="00EE2319"/>
    <w:rsid w:val="00EE23CE"/>
    <w:rsid w:val="00EE246C"/>
    <w:rsid w:val="00EE24A3"/>
    <w:rsid w:val="00EE269B"/>
    <w:rsid w:val="00EE2730"/>
    <w:rsid w:val="00EE2733"/>
    <w:rsid w:val="00EE27A2"/>
    <w:rsid w:val="00EE293E"/>
    <w:rsid w:val="00EE2B49"/>
    <w:rsid w:val="00EE2BB6"/>
    <w:rsid w:val="00EE2DF7"/>
    <w:rsid w:val="00EE2FD2"/>
    <w:rsid w:val="00EE3221"/>
    <w:rsid w:val="00EE35E9"/>
    <w:rsid w:val="00EE3633"/>
    <w:rsid w:val="00EE3661"/>
    <w:rsid w:val="00EE36AB"/>
    <w:rsid w:val="00EE3725"/>
    <w:rsid w:val="00EE37B0"/>
    <w:rsid w:val="00EE37E3"/>
    <w:rsid w:val="00EE3A56"/>
    <w:rsid w:val="00EE3C73"/>
    <w:rsid w:val="00EE3D5E"/>
    <w:rsid w:val="00EE3F4B"/>
    <w:rsid w:val="00EE3F4F"/>
    <w:rsid w:val="00EE40B7"/>
    <w:rsid w:val="00EE414E"/>
    <w:rsid w:val="00EE43EB"/>
    <w:rsid w:val="00EE449C"/>
    <w:rsid w:val="00EE4601"/>
    <w:rsid w:val="00EE4714"/>
    <w:rsid w:val="00EE4758"/>
    <w:rsid w:val="00EE47AF"/>
    <w:rsid w:val="00EE4879"/>
    <w:rsid w:val="00EE4ADD"/>
    <w:rsid w:val="00EE4B44"/>
    <w:rsid w:val="00EE4D1F"/>
    <w:rsid w:val="00EE503A"/>
    <w:rsid w:val="00EE509F"/>
    <w:rsid w:val="00EE51F3"/>
    <w:rsid w:val="00EE5222"/>
    <w:rsid w:val="00EE52EB"/>
    <w:rsid w:val="00EE56E2"/>
    <w:rsid w:val="00EE585A"/>
    <w:rsid w:val="00EE59F3"/>
    <w:rsid w:val="00EE59FE"/>
    <w:rsid w:val="00EE5B2E"/>
    <w:rsid w:val="00EE5B30"/>
    <w:rsid w:val="00EE5B50"/>
    <w:rsid w:val="00EE5D4A"/>
    <w:rsid w:val="00EE5D9F"/>
    <w:rsid w:val="00EE5DCE"/>
    <w:rsid w:val="00EE5E7E"/>
    <w:rsid w:val="00EE5EC6"/>
    <w:rsid w:val="00EE5FA3"/>
    <w:rsid w:val="00EE6869"/>
    <w:rsid w:val="00EE6EE5"/>
    <w:rsid w:val="00EE70FE"/>
    <w:rsid w:val="00EE7111"/>
    <w:rsid w:val="00EE73D0"/>
    <w:rsid w:val="00EE7443"/>
    <w:rsid w:val="00EE7542"/>
    <w:rsid w:val="00EE75DC"/>
    <w:rsid w:val="00EE75E7"/>
    <w:rsid w:val="00EE75E8"/>
    <w:rsid w:val="00EE7A3D"/>
    <w:rsid w:val="00EE7B26"/>
    <w:rsid w:val="00EE7BDB"/>
    <w:rsid w:val="00EE7D0C"/>
    <w:rsid w:val="00EE7F00"/>
    <w:rsid w:val="00EE7F86"/>
    <w:rsid w:val="00EF0355"/>
    <w:rsid w:val="00EF03B3"/>
    <w:rsid w:val="00EF042C"/>
    <w:rsid w:val="00EF0A93"/>
    <w:rsid w:val="00EF0B12"/>
    <w:rsid w:val="00EF0D51"/>
    <w:rsid w:val="00EF0F0B"/>
    <w:rsid w:val="00EF0F73"/>
    <w:rsid w:val="00EF12AF"/>
    <w:rsid w:val="00EF13CA"/>
    <w:rsid w:val="00EF15D4"/>
    <w:rsid w:val="00EF1888"/>
    <w:rsid w:val="00EF1B1D"/>
    <w:rsid w:val="00EF1EF1"/>
    <w:rsid w:val="00EF207B"/>
    <w:rsid w:val="00EF2186"/>
    <w:rsid w:val="00EF229B"/>
    <w:rsid w:val="00EF22BB"/>
    <w:rsid w:val="00EF22D4"/>
    <w:rsid w:val="00EF2348"/>
    <w:rsid w:val="00EF24AD"/>
    <w:rsid w:val="00EF24FC"/>
    <w:rsid w:val="00EF25DF"/>
    <w:rsid w:val="00EF294F"/>
    <w:rsid w:val="00EF2AF4"/>
    <w:rsid w:val="00EF2C0E"/>
    <w:rsid w:val="00EF2C3D"/>
    <w:rsid w:val="00EF2D80"/>
    <w:rsid w:val="00EF2FAE"/>
    <w:rsid w:val="00EF326B"/>
    <w:rsid w:val="00EF35A8"/>
    <w:rsid w:val="00EF365B"/>
    <w:rsid w:val="00EF3737"/>
    <w:rsid w:val="00EF3937"/>
    <w:rsid w:val="00EF3ACA"/>
    <w:rsid w:val="00EF3BB6"/>
    <w:rsid w:val="00EF3C5D"/>
    <w:rsid w:val="00EF3F06"/>
    <w:rsid w:val="00EF3F71"/>
    <w:rsid w:val="00EF3FCD"/>
    <w:rsid w:val="00EF41B7"/>
    <w:rsid w:val="00EF4291"/>
    <w:rsid w:val="00EF43D6"/>
    <w:rsid w:val="00EF44EA"/>
    <w:rsid w:val="00EF4633"/>
    <w:rsid w:val="00EF473D"/>
    <w:rsid w:val="00EF48E4"/>
    <w:rsid w:val="00EF4956"/>
    <w:rsid w:val="00EF4989"/>
    <w:rsid w:val="00EF49A5"/>
    <w:rsid w:val="00EF49B4"/>
    <w:rsid w:val="00EF49F8"/>
    <w:rsid w:val="00EF4F11"/>
    <w:rsid w:val="00EF5030"/>
    <w:rsid w:val="00EF507C"/>
    <w:rsid w:val="00EF5087"/>
    <w:rsid w:val="00EF508E"/>
    <w:rsid w:val="00EF5520"/>
    <w:rsid w:val="00EF558F"/>
    <w:rsid w:val="00EF56C6"/>
    <w:rsid w:val="00EF58BE"/>
    <w:rsid w:val="00EF5931"/>
    <w:rsid w:val="00EF5A64"/>
    <w:rsid w:val="00EF5AEE"/>
    <w:rsid w:val="00EF5BC9"/>
    <w:rsid w:val="00EF5BE0"/>
    <w:rsid w:val="00EF5E1C"/>
    <w:rsid w:val="00EF6115"/>
    <w:rsid w:val="00EF6232"/>
    <w:rsid w:val="00EF6564"/>
    <w:rsid w:val="00EF6592"/>
    <w:rsid w:val="00EF65EA"/>
    <w:rsid w:val="00EF65FF"/>
    <w:rsid w:val="00EF6979"/>
    <w:rsid w:val="00EF6CA6"/>
    <w:rsid w:val="00EF6CF1"/>
    <w:rsid w:val="00EF714D"/>
    <w:rsid w:val="00EF7509"/>
    <w:rsid w:val="00EF7564"/>
    <w:rsid w:val="00EF7697"/>
    <w:rsid w:val="00EF76A2"/>
    <w:rsid w:val="00EF7894"/>
    <w:rsid w:val="00EF78D2"/>
    <w:rsid w:val="00EF790A"/>
    <w:rsid w:val="00EF79AA"/>
    <w:rsid w:val="00EF79EE"/>
    <w:rsid w:val="00EF7A44"/>
    <w:rsid w:val="00EF7A65"/>
    <w:rsid w:val="00EF7B81"/>
    <w:rsid w:val="00EF7DDD"/>
    <w:rsid w:val="00EF7E0F"/>
    <w:rsid w:val="00EF7E3B"/>
    <w:rsid w:val="00EF7FCE"/>
    <w:rsid w:val="00F00073"/>
    <w:rsid w:val="00F001EE"/>
    <w:rsid w:val="00F00421"/>
    <w:rsid w:val="00F00515"/>
    <w:rsid w:val="00F00680"/>
    <w:rsid w:val="00F006E7"/>
    <w:rsid w:val="00F0077D"/>
    <w:rsid w:val="00F00819"/>
    <w:rsid w:val="00F00934"/>
    <w:rsid w:val="00F009F3"/>
    <w:rsid w:val="00F00D90"/>
    <w:rsid w:val="00F00DCF"/>
    <w:rsid w:val="00F00DF3"/>
    <w:rsid w:val="00F00EB5"/>
    <w:rsid w:val="00F00F3B"/>
    <w:rsid w:val="00F01021"/>
    <w:rsid w:val="00F01647"/>
    <w:rsid w:val="00F01839"/>
    <w:rsid w:val="00F0184F"/>
    <w:rsid w:val="00F018C7"/>
    <w:rsid w:val="00F01ABA"/>
    <w:rsid w:val="00F01C14"/>
    <w:rsid w:val="00F01DA7"/>
    <w:rsid w:val="00F01DDC"/>
    <w:rsid w:val="00F01FCB"/>
    <w:rsid w:val="00F021CE"/>
    <w:rsid w:val="00F0230F"/>
    <w:rsid w:val="00F02408"/>
    <w:rsid w:val="00F02521"/>
    <w:rsid w:val="00F026A3"/>
    <w:rsid w:val="00F028C7"/>
    <w:rsid w:val="00F029EB"/>
    <w:rsid w:val="00F02AA3"/>
    <w:rsid w:val="00F02CEC"/>
    <w:rsid w:val="00F02F17"/>
    <w:rsid w:val="00F02F95"/>
    <w:rsid w:val="00F02FCA"/>
    <w:rsid w:val="00F0319D"/>
    <w:rsid w:val="00F03356"/>
    <w:rsid w:val="00F038F5"/>
    <w:rsid w:val="00F039C4"/>
    <w:rsid w:val="00F03B41"/>
    <w:rsid w:val="00F03D1B"/>
    <w:rsid w:val="00F03EA6"/>
    <w:rsid w:val="00F03FB9"/>
    <w:rsid w:val="00F04778"/>
    <w:rsid w:val="00F049B5"/>
    <w:rsid w:val="00F04A97"/>
    <w:rsid w:val="00F04C99"/>
    <w:rsid w:val="00F04D24"/>
    <w:rsid w:val="00F04EDD"/>
    <w:rsid w:val="00F0510D"/>
    <w:rsid w:val="00F0511E"/>
    <w:rsid w:val="00F0517F"/>
    <w:rsid w:val="00F05361"/>
    <w:rsid w:val="00F0544F"/>
    <w:rsid w:val="00F0550B"/>
    <w:rsid w:val="00F05ABC"/>
    <w:rsid w:val="00F05C89"/>
    <w:rsid w:val="00F05DE3"/>
    <w:rsid w:val="00F0631F"/>
    <w:rsid w:val="00F066E4"/>
    <w:rsid w:val="00F067C5"/>
    <w:rsid w:val="00F06A2B"/>
    <w:rsid w:val="00F06AA1"/>
    <w:rsid w:val="00F06BC3"/>
    <w:rsid w:val="00F06BEF"/>
    <w:rsid w:val="00F06D53"/>
    <w:rsid w:val="00F06D73"/>
    <w:rsid w:val="00F07051"/>
    <w:rsid w:val="00F070E7"/>
    <w:rsid w:val="00F07157"/>
    <w:rsid w:val="00F07183"/>
    <w:rsid w:val="00F0720A"/>
    <w:rsid w:val="00F07761"/>
    <w:rsid w:val="00F078DD"/>
    <w:rsid w:val="00F0792C"/>
    <w:rsid w:val="00F07AB0"/>
    <w:rsid w:val="00F07E18"/>
    <w:rsid w:val="00F07EA7"/>
    <w:rsid w:val="00F07EBE"/>
    <w:rsid w:val="00F07F2A"/>
    <w:rsid w:val="00F07F8E"/>
    <w:rsid w:val="00F07FAA"/>
    <w:rsid w:val="00F07FE8"/>
    <w:rsid w:val="00F1024A"/>
    <w:rsid w:val="00F10283"/>
    <w:rsid w:val="00F102D2"/>
    <w:rsid w:val="00F104A8"/>
    <w:rsid w:val="00F10566"/>
    <w:rsid w:val="00F10656"/>
    <w:rsid w:val="00F106D8"/>
    <w:rsid w:val="00F1086A"/>
    <w:rsid w:val="00F10A0D"/>
    <w:rsid w:val="00F10C23"/>
    <w:rsid w:val="00F10DE8"/>
    <w:rsid w:val="00F10E18"/>
    <w:rsid w:val="00F10E2F"/>
    <w:rsid w:val="00F10E6C"/>
    <w:rsid w:val="00F10F01"/>
    <w:rsid w:val="00F1121C"/>
    <w:rsid w:val="00F11337"/>
    <w:rsid w:val="00F114D0"/>
    <w:rsid w:val="00F116A9"/>
    <w:rsid w:val="00F11A79"/>
    <w:rsid w:val="00F11DA5"/>
    <w:rsid w:val="00F120BA"/>
    <w:rsid w:val="00F12106"/>
    <w:rsid w:val="00F1226D"/>
    <w:rsid w:val="00F12367"/>
    <w:rsid w:val="00F12824"/>
    <w:rsid w:val="00F12914"/>
    <w:rsid w:val="00F1292B"/>
    <w:rsid w:val="00F12970"/>
    <w:rsid w:val="00F1297F"/>
    <w:rsid w:val="00F12A4F"/>
    <w:rsid w:val="00F12A73"/>
    <w:rsid w:val="00F12A98"/>
    <w:rsid w:val="00F12B5A"/>
    <w:rsid w:val="00F12B98"/>
    <w:rsid w:val="00F12C4B"/>
    <w:rsid w:val="00F12C62"/>
    <w:rsid w:val="00F12D58"/>
    <w:rsid w:val="00F12E33"/>
    <w:rsid w:val="00F12EB6"/>
    <w:rsid w:val="00F13114"/>
    <w:rsid w:val="00F132E3"/>
    <w:rsid w:val="00F134D6"/>
    <w:rsid w:val="00F13553"/>
    <w:rsid w:val="00F13638"/>
    <w:rsid w:val="00F137FB"/>
    <w:rsid w:val="00F138A0"/>
    <w:rsid w:val="00F13B89"/>
    <w:rsid w:val="00F13C72"/>
    <w:rsid w:val="00F13C77"/>
    <w:rsid w:val="00F13D61"/>
    <w:rsid w:val="00F13E45"/>
    <w:rsid w:val="00F13F0E"/>
    <w:rsid w:val="00F13FF0"/>
    <w:rsid w:val="00F140F5"/>
    <w:rsid w:val="00F141B7"/>
    <w:rsid w:val="00F1488D"/>
    <w:rsid w:val="00F14A7B"/>
    <w:rsid w:val="00F14A85"/>
    <w:rsid w:val="00F154D0"/>
    <w:rsid w:val="00F154D3"/>
    <w:rsid w:val="00F15547"/>
    <w:rsid w:val="00F15593"/>
    <w:rsid w:val="00F15721"/>
    <w:rsid w:val="00F15768"/>
    <w:rsid w:val="00F15AFE"/>
    <w:rsid w:val="00F15B85"/>
    <w:rsid w:val="00F15B87"/>
    <w:rsid w:val="00F15C58"/>
    <w:rsid w:val="00F164C0"/>
    <w:rsid w:val="00F1654C"/>
    <w:rsid w:val="00F165B7"/>
    <w:rsid w:val="00F16631"/>
    <w:rsid w:val="00F16671"/>
    <w:rsid w:val="00F16A91"/>
    <w:rsid w:val="00F16AD3"/>
    <w:rsid w:val="00F16BC7"/>
    <w:rsid w:val="00F16F3E"/>
    <w:rsid w:val="00F16F8D"/>
    <w:rsid w:val="00F170E7"/>
    <w:rsid w:val="00F17164"/>
    <w:rsid w:val="00F174D1"/>
    <w:rsid w:val="00F17581"/>
    <w:rsid w:val="00F175A0"/>
    <w:rsid w:val="00F17822"/>
    <w:rsid w:val="00F17A41"/>
    <w:rsid w:val="00F17CAB"/>
    <w:rsid w:val="00F17DCD"/>
    <w:rsid w:val="00F20172"/>
    <w:rsid w:val="00F20440"/>
    <w:rsid w:val="00F20508"/>
    <w:rsid w:val="00F205DD"/>
    <w:rsid w:val="00F209AE"/>
    <w:rsid w:val="00F20A20"/>
    <w:rsid w:val="00F20F0F"/>
    <w:rsid w:val="00F21053"/>
    <w:rsid w:val="00F2106E"/>
    <w:rsid w:val="00F210F5"/>
    <w:rsid w:val="00F21269"/>
    <w:rsid w:val="00F21989"/>
    <w:rsid w:val="00F219A4"/>
    <w:rsid w:val="00F21A0B"/>
    <w:rsid w:val="00F21CC4"/>
    <w:rsid w:val="00F21D60"/>
    <w:rsid w:val="00F22059"/>
    <w:rsid w:val="00F220AE"/>
    <w:rsid w:val="00F220CC"/>
    <w:rsid w:val="00F22120"/>
    <w:rsid w:val="00F2223C"/>
    <w:rsid w:val="00F22304"/>
    <w:rsid w:val="00F2237E"/>
    <w:rsid w:val="00F2238A"/>
    <w:rsid w:val="00F2238B"/>
    <w:rsid w:val="00F224A0"/>
    <w:rsid w:val="00F224DC"/>
    <w:rsid w:val="00F22678"/>
    <w:rsid w:val="00F226CF"/>
    <w:rsid w:val="00F228F6"/>
    <w:rsid w:val="00F22905"/>
    <w:rsid w:val="00F229D7"/>
    <w:rsid w:val="00F22CBC"/>
    <w:rsid w:val="00F22CC6"/>
    <w:rsid w:val="00F22E0E"/>
    <w:rsid w:val="00F22E1F"/>
    <w:rsid w:val="00F22E27"/>
    <w:rsid w:val="00F22EEF"/>
    <w:rsid w:val="00F22FB0"/>
    <w:rsid w:val="00F23133"/>
    <w:rsid w:val="00F231BC"/>
    <w:rsid w:val="00F232A9"/>
    <w:rsid w:val="00F2331D"/>
    <w:rsid w:val="00F233E9"/>
    <w:rsid w:val="00F235C1"/>
    <w:rsid w:val="00F237DA"/>
    <w:rsid w:val="00F23873"/>
    <w:rsid w:val="00F23ABE"/>
    <w:rsid w:val="00F23BAC"/>
    <w:rsid w:val="00F23FDB"/>
    <w:rsid w:val="00F24004"/>
    <w:rsid w:val="00F2411F"/>
    <w:rsid w:val="00F2432E"/>
    <w:rsid w:val="00F24361"/>
    <w:rsid w:val="00F244E7"/>
    <w:rsid w:val="00F244EC"/>
    <w:rsid w:val="00F24782"/>
    <w:rsid w:val="00F24803"/>
    <w:rsid w:val="00F24835"/>
    <w:rsid w:val="00F248F1"/>
    <w:rsid w:val="00F24A5E"/>
    <w:rsid w:val="00F24B6C"/>
    <w:rsid w:val="00F24BE3"/>
    <w:rsid w:val="00F24C20"/>
    <w:rsid w:val="00F24DCD"/>
    <w:rsid w:val="00F24DEF"/>
    <w:rsid w:val="00F24E7F"/>
    <w:rsid w:val="00F24FDB"/>
    <w:rsid w:val="00F25387"/>
    <w:rsid w:val="00F25404"/>
    <w:rsid w:val="00F256DE"/>
    <w:rsid w:val="00F257ED"/>
    <w:rsid w:val="00F2595E"/>
    <w:rsid w:val="00F25B82"/>
    <w:rsid w:val="00F25BAD"/>
    <w:rsid w:val="00F25BF0"/>
    <w:rsid w:val="00F25D80"/>
    <w:rsid w:val="00F25D8B"/>
    <w:rsid w:val="00F25E2D"/>
    <w:rsid w:val="00F25E7B"/>
    <w:rsid w:val="00F2609E"/>
    <w:rsid w:val="00F263C8"/>
    <w:rsid w:val="00F26418"/>
    <w:rsid w:val="00F265B4"/>
    <w:rsid w:val="00F26777"/>
    <w:rsid w:val="00F267B1"/>
    <w:rsid w:val="00F26A69"/>
    <w:rsid w:val="00F26EE1"/>
    <w:rsid w:val="00F26F1B"/>
    <w:rsid w:val="00F275A3"/>
    <w:rsid w:val="00F27676"/>
    <w:rsid w:val="00F276A4"/>
    <w:rsid w:val="00F2786E"/>
    <w:rsid w:val="00F2787C"/>
    <w:rsid w:val="00F27A3D"/>
    <w:rsid w:val="00F27B6F"/>
    <w:rsid w:val="00F27BCE"/>
    <w:rsid w:val="00F27FEB"/>
    <w:rsid w:val="00F301D4"/>
    <w:rsid w:val="00F303B5"/>
    <w:rsid w:val="00F303C6"/>
    <w:rsid w:val="00F303E2"/>
    <w:rsid w:val="00F306CB"/>
    <w:rsid w:val="00F30AC4"/>
    <w:rsid w:val="00F30BAE"/>
    <w:rsid w:val="00F30DDE"/>
    <w:rsid w:val="00F30F46"/>
    <w:rsid w:val="00F31050"/>
    <w:rsid w:val="00F31087"/>
    <w:rsid w:val="00F312D6"/>
    <w:rsid w:val="00F31358"/>
    <w:rsid w:val="00F31489"/>
    <w:rsid w:val="00F314DD"/>
    <w:rsid w:val="00F31AF6"/>
    <w:rsid w:val="00F31BBB"/>
    <w:rsid w:val="00F31BE8"/>
    <w:rsid w:val="00F31D47"/>
    <w:rsid w:val="00F31DCC"/>
    <w:rsid w:val="00F3217C"/>
    <w:rsid w:val="00F324CE"/>
    <w:rsid w:val="00F32568"/>
    <w:rsid w:val="00F3259C"/>
    <w:rsid w:val="00F32753"/>
    <w:rsid w:val="00F329D1"/>
    <w:rsid w:val="00F329DD"/>
    <w:rsid w:val="00F32CCF"/>
    <w:rsid w:val="00F32E8E"/>
    <w:rsid w:val="00F3356E"/>
    <w:rsid w:val="00F33667"/>
    <w:rsid w:val="00F337D0"/>
    <w:rsid w:val="00F33A14"/>
    <w:rsid w:val="00F33C5F"/>
    <w:rsid w:val="00F33CD9"/>
    <w:rsid w:val="00F33E43"/>
    <w:rsid w:val="00F33EE6"/>
    <w:rsid w:val="00F33FE9"/>
    <w:rsid w:val="00F34042"/>
    <w:rsid w:val="00F34068"/>
    <w:rsid w:val="00F341ED"/>
    <w:rsid w:val="00F342D0"/>
    <w:rsid w:val="00F34355"/>
    <w:rsid w:val="00F34384"/>
    <w:rsid w:val="00F34909"/>
    <w:rsid w:val="00F34C0E"/>
    <w:rsid w:val="00F34C9C"/>
    <w:rsid w:val="00F34D22"/>
    <w:rsid w:val="00F3510B"/>
    <w:rsid w:val="00F353F5"/>
    <w:rsid w:val="00F35490"/>
    <w:rsid w:val="00F35541"/>
    <w:rsid w:val="00F358C7"/>
    <w:rsid w:val="00F35A38"/>
    <w:rsid w:val="00F35A78"/>
    <w:rsid w:val="00F35B05"/>
    <w:rsid w:val="00F35CEA"/>
    <w:rsid w:val="00F35D1F"/>
    <w:rsid w:val="00F35F82"/>
    <w:rsid w:val="00F361F1"/>
    <w:rsid w:val="00F363A2"/>
    <w:rsid w:val="00F3640D"/>
    <w:rsid w:val="00F3645A"/>
    <w:rsid w:val="00F367EB"/>
    <w:rsid w:val="00F36BFE"/>
    <w:rsid w:val="00F36D77"/>
    <w:rsid w:val="00F372D3"/>
    <w:rsid w:val="00F37701"/>
    <w:rsid w:val="00F37828"/>
    <w:rsid w:val="00F378AA"/>
    <w:rsid w:val="00F37B63"/>
    <w:rsid w:val="00F37BC4"/>
    <w:rsid w:val="00F37C2D"/>
    <w:rsid w:val="00F37E8B"/>
    <w:rsid w:val="00F37E98"/>
    <w:rsid w:val="00F4032B"/>
    <w:rsid w:val="00F40456"/>
    <w:rsid w:val="00F40470"/>
    <w:rsid w:val="00F40474"/>
    <w:rsid w:val="00F409A8"/>
    <w:rsid w:val="00F40BAC"/>
    <w:rsid w:val="00F40C30"/>
    <w:rsid w:val="00F40E3D"/>
    <w:rsid w:val="00F40F23"/>
    <w:rsid w:val="00F40F89"/>
    <w:rsid w:val="00F40F8A"/>
    <w:rsid w:val="00F411D1"/>
    <w:rsid w:val="00F41226"/>
    <w:rsid w:val="00F41228"/>
    <w:rsid w:val="00F4136D"/>
    <w:rsid w:val="00F4145B"/>
    <w:rsid w:val="00F414CA"/>
    <w:rsid w:val="00F41538"/>
    <w:rsid w:val="00F415B5"/>
    <w:rsid w:val="00F41642"/>
    <w:rsid w:val="00F416FA"/>
    <w:rsid w:val="00F41739"/>
    <w:rsid w:val="00F4174A"/>
    <w:rsid w:val="00F41A2A"/>
    <w:rsid w:val="00F41ACA"/>
    <w:rsid w:val="00F41BE4"/>
    <w:rsid w:val="00F41ECD"/>
    <w:rsid w:val="00F41FAD"/>
    <w:rsid w:val="00F42010"/>
    <w:rsid w:val="00F422C8"/>
    <w:rsid w:val="00F4237E"/>
    <w:rsid w:val="00F42488"/>
    <w:rsid w:val="00F4298E"/>
    <w:rsid w:val="00F429E8"/>
    <w:rsid w:val="00F42B05"/>
    <w:rsid w:val="00F42D79"/>
    <w:rsid w:val="00F42D9C"/>
    <w:rsid w:val="00F42E81"/>
    <w:rsid w:val="00F42E85"/>
    <w:rsid w:val="00F42EB2"/>
    <w:rsid w:val="00F42F16"/>
    <w:rsid w:val="00F42F4E"/>
    <w:rsid w:val="00F43040"/>
    <w:rsid w:val="00F43143"/>
    <w:rsid w:val="00F4338A"/>
    <w:rsid w:val="00F43396"/>
    <w:rsid w:val="00F43528"/>
    <w:rsid w:val="00F43914"/>
    <w:rsid w:val="00F43B28"/>
    <w:rsid w:val="00F43D0D"/>
    <w:rsid w:val="00F44352"/>
    <w:rsid w:val="00F443D2"/>
    <w:rsid w:val="00F446D6"/>
    <w:rsid w:val="00F448C6"/>
    <w:rsid w:val="00F44C2A"/>
    <w:rsid w:val="00F44D3F"/>
    <w:rsid w:val="00F44F71"/>
    <w:rsid w:val="00F4512E"/>
    <w:rsid w:val="00F4529E"/>
    <w:rsid w:val="00F456DF"/>
    <w:rsid w:val="00F45A71"/>
    <w:rsid w:val="00F45B8B"/>
    <w:rsid w:val="00F45CB8"/>
    <w:rsid w:val="00F462B9"/>
    <w:rsid w:val="00F46345"/>
    <w:rsid w:val="00F4642A"/>
    <w:rsid w:val="00F4651F"/>
    <w:rsid w:val="00F46C3B"/>
    <w:rsid w:val="00F46CA1"/>
    <w:rsid w:val="00F46DCC"/>
    <w:rsid w:val="00F46E3E"/>
    <w:rsid w:val="00F46E61"/>
    <w:rsid w:val="00F46F8A"/>
    <w:rsid w:val="00F46FC7"/>
    <w:rsid w:val="00F4703B"/>
    <w:rsid w:val="00F47055"/>
    <w:rsid w:val="00F47073"/>
    <w:rsid w:val="00F47129"/>
    <w:rsid w:val="00F47292"/>
    <w:rsid w:val="00F47462"/>
    <w:rsid w:val="00F476BF"/>
    <w:rsid w:val="00F4777A"/>
    <w:rsid w:val="00F479BC"/>
    <w:rsid w:val="00F47A29"/>
    <w:rsid w:val="00F47A4E"/>
    <w:rsid w:val="00F47A9E"/>
    <w:rsid w:val="00F47AAC"/>
    <w:rsid w:val="00F501B5"/>
    <w:rsid w:val="00F502AF"/>
    <w:rsid w:val="00F50308"/>
    <w:rsid w:val="00F50366"/>
    <w:rsid w:val="00F50573"/>
    <w:rsid w:val="00F506E2"/>
    <w:rsid w:val="00F508A3"/>
    <w:rsid w:val="00F508AD"/>
    <w:rsid w:val="00F50969"/>
    <w:rsid w:val="00F50A10"/>
    <w:rsid w:val="00F50A81"/>
    <w:rsid w:val="00F50B71"/>
    <w:rsid w:val="00F50CFC"/>
    <w:rsid w:val="00F512F2"/>
    <w:rsid w:val="00F5141E"/>
    <w:rsid w:val="00F5157B"/>
    <w:rsid w:val="00F5181D"/>
    <w:rsid w:val="00F51BEC"/>
    <w:rsid w:val="00F51CBF"/>
    <w:rsid w:val="00F51CD5"/>
    <w:rsid w:val="00F51FA4"/>
    <w:rsid w:val="00F51FCF"/>
    <w:rsid w:val="00F5200F"/>
    <w:rsid w:val="00F5205C"/>
    <w:rsid w:val="00F520EB"/>
    <w:rsid w:val="00F52194"/>
    <w:rsid w:val="00F521F2"/>
    <w:rsid w:val="00F5220D"/>
    <w:rsid w:val="00F5255A"/>
    <w:rsid w:val="00F52670"/>
    <w:rsid w:val="00F52961"/>
    <w:rsid w:val="00F52F93"/>
    <w:rsid w:val="00F52FC7"/>
    <w:rsid w:val="00F53127"/>
    <w:rsid w:val="00F5312B"/>
    <w:rsid w:val="00F53165"/>
    <w:rsid w:val="00F534C5"/>
    <w:rsid w:val="00F534E8"/>
    <w:rsid w:val="00F53898"/>
    <w:rsid w:val="00F539EB"/>
    <w:rsid w:val="00F53A3F"/>
    <w:rsid w:val="00F53A7C"/>
    <w:rsid w:val="00F53BA1"/>
    <w:rsid w:val="00F53BC9"/>
    <w:rsid w:val="00F53C59"/>
    <w:rsid w:val="00F53C85"/>
    <w:rsid w:val="00F53C9D"/>
    <w:rsid w:val="00F53ED3"/>
    <w:rsid w:val="00F54181"/>
    <w:rsid w:val="00F542B1"/>
    <w:rsid w:val="00F543AD"/>
    <w:rsid w:val="00F54409"/>
    <w:rsid w:val="00F54481"/>
    <w:rsid w:val="00F5467F"/>
    <w:rsid w:val="00F546DD"/>
    <w:rsid w:val="00F5489E"/>
    <w:rsid w:val="00F54B5F"/>
    <w:rsid w:val="00F54BE6"/>
    <w:rsid w:val="00F54D43"/>
    <w:rsid w:val="00F54D65"/>
    <w:rsid w:val="00F54F03"/>
    <w:rsid w:val="00F5537E"/>
    <w:rsid w:val="00F55449"/>
    <w:rsid w:val="00F55504"/>
    <w:rsid w:val="00F55520"/>
    <w:rsid w:val="00F556AD"/>
    <w:rsid w:val="00F558C2"/>
    <w:rsid w:val="00F55D2D"/>
    <w:rsid w:val="00F56255"/>
    <w:rsid w:val="00F56296"/>
    <w:rsid w:val="00F56480"/>
    <w:rsid w:val="00F56682"/>
    <w:rsid w:val="00F5692C"/>
    <w:rsid w:val="00F56B29"/>
    <w:rsid w:val="00F56D52"/>
    <w:rsid w:val="00F56D68"/>
    <w:rsid w:val="00F57133"/>
    <w:rsid w:val="00F57159"/>
    <w:rsid w:val="00F57281"/>
    <w:rsid w:val="00F5729C"/>
    <w:rsid w:val="00F57374"/>
    <w:rsid w:val="00F573BC"/>
    <w:rsid w:val="00F573F0"/>
    <w:rsid w:val="00F57490"/>
    <w:rsid w:val="00F5782F"/>
    <w:rsid w:val="00F57943"/>
    <w:rsid w:val="00F57BB7"/>
    <w:rsid w:val="00F57BD3"/>
    <w:rsid w:val="00F57C3C"/>
    <w:rsid w:val="00F57C5F"/>
    <w:rsid w:val="00F57EE1"/>
    <w:rsid w:val="00F603AE"/>
    <w:rsid w:val="00F604BB"/>
    <w:rsid w:val="00F60514"/>
    <w:rsid w:val="00F605A6"/>
    <w:rsid w:val="00F6075C"/>
    <w:rsid w:val="00F6083C"/>
    <w:rsid w:val="00F60849"/>
    <w:rsid w:val="00F60C9D"/>
    <w:rsid w:val="00F60E2E"/>
    <w:rsid w:val="00F60EBF"/>
    <w:rsid w:val="00F60F36"/>
    <w:rsid w:val="00F60F7B"/>
    <w:rsid w:val="00F60F84"/>
    <w:rsid w:val="00F61037"/>
    <w:rsid w:val="00F61225"/>
    <w:rsid w:val="00F6124D"/>
    <w:rsid w:val="00F61381"/>
    <w:rsid w:val="00F6180C"/>
    <w:rsid w:val="00F619E9"/>
    <w:rsid w:val="00F61A93"/>
    <w:rsid w:val="00F61DD0"/>
    <w:rsid w:val="00F6200B"/>
    <w:rsid w:val="00F620A1"/>
    <w:rsid w:val="00F621EF"/>
    <w:rsid w:val="00F622B5"/>
    <w:rsid w:val="00F628A1"/>
    <w:rsid w:val="00F62B58"/>
    <w:rsid w:val="00F62C92"/>
    <w:rsid w:val="00F6300C"/>
    <w:rsid w:val="00F630BB"/>
    <w:rsid w:val="00F63239"/>
    <w:rsid w:val="00F633AF"/>
    <w:rsid w:val="00F636CA"/>
    <w:rsid w:val="00F636ED"/>
    <w:rsid w:val="00F63713"/>
    <w:rsid w:val="00F637E8"/>
    <w:rsid w:val="00F6396B"/>
    <w:rsid w:val="00F63AAB"/>
    <w:rsid w:val="00F63C61"/>
    <w:rsid w:val="00F63DC4"/>
    <w:rsid w:val="00F64114"/>
    <w:rsid w:val="00F64137"/>
    <w:rsid w:val="00F64160"/>
    <w:rsid w:val="00F64229"/>
    <w:rsid w:val="00F642C7"/>
    <w:rsid w:val="00F6469B"/>
    <w:rsid w:val="00F646C6"/>
    <w:rsid w:val="00F64765"/>
    <w:rsid w:val="00F648C4"/>
    <w:rsid w:val="00F64A4E"/>
    <w:rsid w:val="00F64EE1"/>
    <w:rsid w:val="00F64FDB"/>
    <w:rsid w:val="00F651A5"/>
    <w:rsid w:val="00F65580"/>
    <w:rsid w:val="00F657AC"/>
    <w:rsid w:val="00F65892"/>
    <w:rsid w:val="00F658D9"/>
    <w:rsid w:val="00F658E7"/>
    <w:rsid w:val="00F65AD1"/>
    <w:rsid w:val="00F65CD1"/>
    <w:rsid w:val="00F65FD0"/>
    <w:rsid w:val="00F66066"/>
    <w:rsid w:val="00F660B9"/>
    <w:rsid w:val="00F66202"/>
    <w:rsid w:val="00F667AC"/>
    <w:rsid w:val="00F6685F"/>
    <w:rsid w:val="00F668B3"/>
    <w:rsid w:val="00F668C3"/>
    <w:rsid w:val="00F66B3F"/>
    <w:rsid w:val="00F66BD0"/>
    <w:rsid w:val="00F66C2A"/>
    <w:rsid w:val="00F66E0A"/>
    <w:rsid w:val="00F66F6A"/>
    <w:rsid w:val="00F671ED"/>
    <w:rsid w:val="00F6726E"/>
    <w:rsid w:val="00F672A0"/>
    <w:rsid w:val="00F6739C"/>
    <w:rsid w:val="00F67730"/>
    <w:rsid w:val="00F677DD"/>
    <w:rsid w:val="00F67B3A"/>
    <w:rsid w:val="00F70205"/>
    <w:rsid w:val="00F70243"/>
    <w:rsid w:val="00F70368"/>
    <w:rsid w:val="00F704B4"/>
    <w:rsid w:val="00F70507"/>
    <w:rsid w:val="00F70623"/>
    <w:rsid w:val="00F707D8"/>
    <w:rsid w:val="00F70A27"/>
    <w:rsid w:val="00F7103F"/>
    <w:rsid w:val="00F7114A"/>
    <w:rsid w:val="00F71599"/>
    <w:rsid w:val="00F715D2"/>
    <w:rsid w:val="00F71657"/>
    <w:rsid w:val="00F7165D"/>
    <w:rsid w:val="00F71851"/>
    <w:rsid w:val="00F718E1"/>
    <w:rsid w:val="00F71C22"/>
    <w:rsid w:val="00F71E83"/>
    <w:rsid w:val="00F71E8E"/>
    <w:rsid w:val="00F72036"/>
    <w:rsid w:val="00F72800"/>
    <w:rsid w:val="00F7283C"/>
    <w:rsid w:val="00F72870"/>
    <w:rsid w:val="00F72AD1"/>
    <w:rsid w:val="00F72C02"/>
    <w:rsid w:val="00F72CE7"/>
    <w:rsid w:val="00F7302E"/>
    <w:rsid w:val="00F731DF"/>
    <w:rsid w:val="00F735A0"/>
    <w:rsid w:val="00F73608"/>
    <w:rsid w:val="00F736AA"/>
    <w:rsid w:val="00F737E4"/>
    <w:rsid w:val="00F73E31"/>
    <w:rsid w:val="00F74195"/>
    <w:rsid w:val="00F74467"/>
    <w:rsid w:val="00F74531"/>
    <w:rsid w:val="00F7470E"/>
    <w:rsid w:val="00F747D6"/>
    <w:rsid w:val="00F7484C"/>
    <w:rsid w:val="00F74C96"/>
    <w:rsid w:val="00F74CC8"/>
    <w:rsid w:val="00F74F62"/>
    <w:rsid w:val="00F74F77"/>
    <w:rsid w:val="00F7507A"/>
    <w:rsid w:val="00F7511E"/>
    <w:rsid w:val="00F751D9"/>
    <w:rsid w:val="00F75823"/>
    <w:rsid w:val="00F759C8"/>
    <w:rsid w:val="00F75A3E"/>
    <w:rsid w:val="00F75B03"/>
    <w:rsid w:val="00F75C8B"/>
    <w:rsid w:val="00F75DA1"/>
    <w:rsid w:val="00F75EC2"/>
    <w:rsid w:val="00F7605D"/>
    <w:rsid w:val="00F76349"/>
    <w:rsid w:val="00F763D2"/>
    <w:rsid w:val="00F76552"/>
    <w:rsid w:val="00F76810"/>
    <w:rsid w:val="00F76B27"/>
    <w:rsid w:val="00F76D82"/>
    <w:rsid w:val="00F76DDE"/>
    <w:rsid w:val="00F770B0"/>
    <w:rsid w:val="00F77548"/>
    <w:rsid w:val="00F77554"/>
    <w:rsid w:val="00F778D7"/>
    <w:rsid w:val="00F7799D"/>
    <w:rsid w:val="00F77B0D"/>
    <w:rsid w:val="00F77B93"/>
    <w:rsid w:val="00F801A8"/>
    <w:rsid w:val="00F801C2"/>
    <w:rsid w:val="00F808AE"/>
    <w:rsid w:val="00F808B8"/>
    <w:rsid w:val="00F80925"/>
    <w:rsid w:val="00F80A17"/>
    <w:rsid w:val="00F80B77"/>
    <w:rsid w:val="00F8111D"/>
    <w:rsid w:val="00F8111F"/>
    <w:rsid w:val="00F81419"/>
    <w:rsid w:val="00F8164C"/>
    <w:rsid w:val="00F816DD"/>
    <w:rsid w:val="00F81A4C"/>
    <w:rsid w:val="00F81C37"/>
    <w:rsid w:val="00F81DA6"/>
    <w:rsid w:val="00F81EAB"/>
    <w:rsid w:val="00F81FBD"/>
    <w:rsid w:val="00F82114"/>
    <w:rsid w:val="00F822B6"/>
    <w:rsid w:val="00F82380"/>
    <w:rsid w:val="00F82431"/>
    <w:rsid w:val="00F824E2"/>
    <w:rsid w:val="00F82637"/>
    <w:rsid w:val="00F82805"/>
    <w:rsid w:val="00F829F3"/>
    <w:rsid w:val="00F82CC7"/>
    <w:rsid w:val="00F82DE4"/>
    <w:rsid w:val="00F82E24"/>
    <w:rsid w:val="00F82F88"/>
    <w:rsid w:val="00F82FE7"/>
    <w:rsid w:val="00F83035"/>
    <w:rsid w:val="00F830B7"/>
    <w:rsid w:val="00F83174"/>
    <w:rsid w:val="00F8321F"/>
    <w:rsid w:val="00F8325B"/>
    <w:rsid w:val="00F83507"/>
    <w:rsid w:val="00F83513"/>
    <w:rsid w:val="00F835FF"/>
    <w:rsid w:val="00F8362F"/>
    <w:rsid w:val="00F83AA4"/>
    <w:rsid w:val="00F83B19"/>
    <w:rsid w:val="00F83CC2"/>
    <w:rsid w:val="00F83CE3"/>
    <w:rsid w:val="00F83F14"/>
    <w:rsid w:val="00F841BE"/>
    <w:rsid w:val="00F842FA"/>
    <w:rsid w:val="00F845F2"/>
    <w:rsid w:val="00F846C2"/>
    <w:rsid w:val="00F84741"/>
    <w:rsid w:val="00F8479D"/>
    <w:rsid w:val="00F847CE"/>
    <w:rsid w:val="00F849FE"/>
    <w:rsid w:val="00F84A3A"/>
    <w:rsid w:val="00F84B42"/>
    <w:rsid w:val="00F84E15"/>
    <w:rsid w:val="00F85560"/>
    <w:rsid w:val="00F85CAE"/>
    <w:rsid w:val="00F85DBD"/>
    <w:rsid w:val="00F860E1"/>
    <w:rsid w:val="00F862A6"/>
    <w:rsid w:val="00F862E2"/>
    <w:rsid w:val="00F8630B"/>
    <w:rsid w:val="00F86436"/>
    <w:rsid w:val="00F86505"/>
    <w:rsid w:val="00F8658D"/>
    <w:rsid w:val="00F86597"/>
    <w:rsid w:val="00F865C2"/>
    <w:rsid w:val="00F86623"/>
    <w:rsid w:val="00F8663F"/>
    <w:rsid w:val="00F8684D"/>
    <w:rsid w:val="00F86939"/>
    <w:rsid w:val="00F8693C"/>
    <w:rsid w:val="00F86A35"/>
    <w:rsid w:val="00F86A5C"/>
    <w:rsid w:val="00F86C52"/>
    <w:rsid w:val="00F86C92"/>
    <w:rsid w:val="00F86E05"/>
    <w:rsid w:val="00F86EE5"/>
    <w:rsid w:val="00F873C7"/>
    <w:rsid w:val="00F87681"/>
    <w:rsid w:val="00F8787E"/>
    <w:rsid w:val="00F87931"/>
    <w:rsid w:val="00F87B8F"/>
    <w:rsid w:val="00F87EAE"/>
    <w:rsid w:val="00F87F2B"/>
    <w:rsid w:val="00F87F7A"/>
    <w:rsid w:val="00F9003B"/>
    <w:rsid w:val="00F90260"/>
    <w:rsid w:val="00F90538"/>
    <w:rsid w:val="00F9054B"/>
    <w:rsid w:val="00F90627"/>
    <w:rsid w:val="00F90661"/>
    <w:rsid w:val="00F90878"/>
    <w:rsid w:val="00F9095C"/>
    <w:rsid w:val="00F90A90"/>
    <w:rsid w:val="00F90CDC"/>
    <w:rsid w:val="00F90F7E"/>
    <w:rsid w:val="00F90FFC"/>
    <w:rsid w:val="00F91174"/>
    <w:rsid w:val="00F91439"/>
    <w:rsid w:val="00F91616"/>
    <w:rsid w:val="00F91729"/>
    <w:rsid w:val="00F91ACF"/>
    <w:rsid w:val="00F91B61"/>
    <w:rsid w:val="00F91CD6"/>
    <w:rsid w:val="00F91D09"/>
    <w:rsid w:val="00F91DA4"/>
    <w:rsid w:val="00F91FC3"/>
    <w:rsid w:val="00F91FDC"/>
    <w:rsid w:val="00F92217"/>
    <w:rsid w:val="00F92488"/>
    <w:rsid w:val="00F924C2"/>
    <w:rsid w:val="00F924DF"/>
    <w:rsid w:val="00F925A8"/>
    <w:rsid w:val="00F92759"/>
    <w:rsid w:val="00F92867"/>
    <w:rsid w:val="00F929FA"/>
    <w:rsid w:val="00F92A49"/>
    <w:rsid w:val="00F92A6D"/>
    <w:rsid w:val="00F92FBD"/>
    <w:rsid w:val="00F93284"/>
    <w:rsid w:val="00F9341B"/>
    <w:rsid w:val="00F93461"/>
    <w:rsid w:val="00F9363E"/>
    <w:rsid w:val="00F936AD"/>
    <w:rsid w:val="00F936C8"/>
    <w:rsid w:val="00F937A4"/>
    <w:rsid w:val="00F93C2E"/>
    <w:rsid w:val="00F93C47"/>
    <w:rsid w:val="00F93D73"/>
    <w:rsid w:val="00F93D81"/>
    <w:rsid w:val="00F93F2E"/>
    <w:rsid w:val="00F93F8E"/>
    <w:rsid w:val="00F94092"/>
    <w:rsid w:val="00F9426D"/>
    <w:rsid w:val="00F9438E"/>
    <w:rsid w:val="00F943DF"/>
    <w:rsid w:val="00F94401"/>
    <w:rsid w:val="00F94489"/>
    <w:rsid w:val="00F9448F"/>
    <w:rsid w:val="00F9451A"/>
    <w:rsid w:val="00F94604"/>
    <w:rsid w:val="00F94619"/>
    <w:rsid w:val="00F94640"/>
    <w:rsid w:val="00F9474E"/>
    <w:rsid w:val="00F94B32"/>
    <w:rsid w:val="00F94D70"/>
    <w:rsid w:val="00F94EE0"/>
    <w:rsid w:val="00F95504"/>
    <w:rsid w:val="00F9569C"/>
    <w:rsid w:val="00F9581E"/>
    <w:rsid w:val="00F95829"/>
    <w:rsid w:val="00F959E7"/>
    <w:rsid w:val="00F95D16"/>
    <w:rsid w:val="00F96034"/>
    <w:rsid w:val="00F96190"/>
    <w:rsid w:val="00F96496"/>
    <w:rsid w:val="00F967A8"/>
    <w:rsid w:val="00F967D0"/>
    <w:rsid w:val="00F967D8"/>
    <w:rsid w:val="00F96BC2"/>
    <w:rsid w:val="00F96BD8"/>
    <w:rsid w:val="00F96E72"/>
    <w:rsid w:val="00F96E7F"/>
    <w:rsid w:val="00F96E86"/>
    <w:rsid w:val="00F97016"/>
    <w:rsid w:val="00F9711F"/>
    <w:rsid w:val="00F97218"/>
    <w:rsid w:val="00F972B5"/>
    <w:rsid w:val="00F973AA"/>
    <w:rsid w:val="00F973AB"/>
    <w:rsid w:val="00F974E8"/>
    <w:rsid w:val="00F976AF"/>
    <w:rsid w:val="00F9783F"/>
    <w:rsid w:val="00F978CB"/>
    <w:rsid w:val="00F97BB1"/>
    <w:rsid w:val="00F97C5B"/>
    <w:rsid w:val="00F97E68"/>
    <w:rsid w:val="00F97F1A"/>
    <w:rsid w:val="00F97F26"/>
    <w:rsid w:val="00FA00D0"/>
    <w:rsid w:val="00FA027C"/>
    <w:rsid w:val="00FA038B"/>
    <w:rsid w:val="00FA041E"/>
    <w:rsid w:val="00FA057B"/>
    <w:rsid w:val="00FA06E3"/>
    <w:rsid w:val="00FA084B"/>
    <w:rsid w:val="00FA098D"/>
    <w:rsid w:val="00FA09B8"/>
    <w:rsid w:val="00FA09BD"/>
    <w:rsid w:val="00FA0D57"/>
    <w:rsid w:val="00FA110B"/>
    <w:rsid w:val="00FA1299"/>
    <w:rsid w:val="00FA13CB"/>
    <w:rsid w:val="00FA13F3"/>
    <w:rsid w:val="00FA1412"/>
    <w:rsid w:val="00FA1413"/>
    <w:rsid w:val="00FA14D3"/>
    <w:rsid w:val="00FA161A"/>
    <w:rsid w:val="00FA1A61"/>
    <w:rsid w:val="00FA1A78"/>
    <w:rsid w:val="00FA1E6B"/>
    <w:rsid w:val="00FA1EC2"/>
    <w:rsid w:val="00FA20FD"/>
    <w:rsid w:val="00FA210C"/>
    <w:rsid w:val="00FA2332"/>
    <w:rsid w:val="00FA251E"/>
    <w:rsid w:val="00FA256D"/>
    <w:rsid w:val="00FA2A8A"/>
    <w:rsid w:val="00FA2C5B"/>
    <w:rsid w:val="00FA2FCA"/>
    <w:rsid w:val="00FA30D2"/>
    <w:rsid w:val="00FA320A"/>
    <w:rsid w:val="00FA32F2"/>
    <w:rsid w:val="00FA372A"/>
    <w:rsid w:val="00FA3787"/>
    <w:rsid w:val="00FA37F9"/>
    <w:rsid w:val="00FA39D5"/>
    <w:rsid w:val="00FA3BE0"/>
    <w:rsid w:val="00FA3CB2"/>
    <w:rsid w:val="00FA3D0D"/>
    <w:rsid w:val="00FA3D52"/>
    <w:rsid w:val="00FA3EE3"/>
    <w:rsid w:val="00FA4111"/>
    <w:rsid w:val="00FA4175"/>
    <w:rsid w:val="00FA41FD"/>
    <w:rsid w:val="00FA44E7"/>
    <w:rsid w:val="00FA44E9"/>
    <w:rsid w:val="00FA45BB"/>
    <w:rsid w:val="00FA4749"/>
    <w:rsid w:val="00FA47CE"/>
    <w:rsid w:val="00FA4960"/>
    <w:rsid w:val="00FA4A4C"/>
    <w:rsid w:val="00FA4A96"/>
    <w:rsid w:val="00FA4BE2"/>
    <w:rsid w:val="00FA4C03"/>
    <w:rsid w:val="00FA4C9E"/>
    <w:rsid w:val="00FA53C5"/>
    <w:rsid w:val="00FA5590"/>
    <w:rsid w:val="00FA55D7"/>
    <w:rsid w:val="00FA560A"/>
    <w:rsid w:val="00FA57A8"/>
    <w:rsid w:val="00FA5A5C"/>
    <w:rsid w:val="00FA5A99"/>
    <w:rsid w:val="00FA5C20"/>
    <w:rsid w:val="00FA5C5F"/>
    <w:rsid w:val="00FA5D03"/>
    <w:rsid w:val="00FA6273"/>
    <w:rsid w:val="00FA63E5"/>
    <w:rsid w:val="00FA6661"/>
    <w:rsid w:val="00FA6663"/>
    <w:rsid w:val="00FA6703"/>
    <w:rsid w:val="00FA6770"/>
    <w:rsid w:val="00FA681C"/>
    <w:rsid w:val="00FA6866"/>
    <w:rsid w:val="00FA68CC"/>
    <w:rsid w:val="00FA6A1D"/>
    <w:rsid w:val="00FA6BEB"/>
    <w:rsid w:val="00FA6ED8"/>
    <w:rsid w:val="00FA71EC"/>
    <w:rsid w:val="00FA7226"/>
    <w:rsid w:val="00FA7392"/>
    <w:rsid w:val="00FA7397"/>
    <w:rsid w:val="00FA7573"/>
    <w:rsid w:val="00FA758C"/>
    <w:rsid w:val="00FA783E"/>
    <w:rsid w:val="00FA78E8"/>
    <w:rsid w:val="00FA7B48"/>
    <w:rsid w:val="00FA7B8E"/>
    <w:rsid w:val="00FA7D6F"/>
    <w:rsid w:val="00FA7EC2"/>
    <w:rsid w:val="00FB017F"/>
    <w:rsid w:val="00FB043D"/>
    <w:rsid w:val="00FB044E"/>
    <w:rsid w:val="00FB06C5"/>
    <w:rsid w:val="00FB0C07"/>
    <w:rsid w:val="00FB0E19"/>
    <w:rsid w:val="00FB0ED2"/>
    <w:rsid w:val="00FB0F5E"/>
    <w:rsid w:val="00FB0F94"/>
    <w:rsid w:val="00FB1015"/>
    <w:rsid w:val="00FB1243"/>
    <w:rsid w:val="00FB137B"/>
    <w:rsid w:val="00FB14EC"/>
    <w:rsid w:val="00FB1585"/>
    <w:rsid w:val="00FB1791"/>
    <w:rsid w:val="00FB17BA"/>
    <w:rsid w:val="00FB1920"/>
    <w:rsid w:val="00FB19AE"/>
    <w:rsid w:val="00FB1C21"/>
    <w:rsid w:val="00FB1D7A"/>
    <w:rsid w:val="00FB1DFB"/>
    <w:rsid w:val="00FB1FB0"/>
    <w:rsid w:val="00FB2025"/>
    <w:rsid w:val="00FB204E"/>
    <w:rsid w:val="00FB211D"/>
    <w:rsid w:val="00FB23A7"/>
    <w:rsid w:val="00FB2612"/>
    <w:rsid w:val="00FB273D"/>
    <w:rsid w:val="00FB2885"/>
    <w:rsid w:val="00FB2A63"/>
    <w:rsid w:val="00FB2B21"/>
    <w:rsid w:val="00FB2E70"/>
    <w:rsid w:val="00FB2E9F"/>
    <w:rsid w:val="00FB3023"/>
    <w:rsid w:val="00FB3049"/>
    <w:rsid w:val="00FB30C3"/>
    <w:rsid w:val="00FB3584"/>
    <w:rsid w:val="00FB35B1"/>
    <w:rsid w:val="00FB35B8"/>
    <w:rsid w:val="00FB38AA"/>
    <w:rsid w:val="00FB39CA"/>
    <w:rsid w:val="00FB3E89"/>
    <w:rsid w:val="00FB404E"/>
    <w:rsid w:val="00FB407F"/>
    <w:rsid w:val="00FB444E"/>
    <w:rsid w:val="00FB44C4"/>
    <w:rsid w:val="00FB44FF"/>
    <w:rsid w:val="00FB480B"/>
    <w:rsid w:val="00FB4C2B"/>
    <w:rsid w:val="00FB4E11"/>
    <w:rsid w:val="00FB4E88"/>
    <w:rsid w:val="00FB5044"/>
    <w:rsid w:val="00FB5263"/>
    <w:rsid w:val="00FB5312"/>
    <w:rsid w:val="00FB5515"/>
    <w:rsid w:val="00FB5574"/>
    <w:rsid w:val="00FB55AC"/>
    <w:rsid w:val="00FB55C6"/>
    <w:rsid w:val="00FB5608"/>
    <w:rsid w:val="00FB57D8"/>
    <w:rsid w:val="00FB5C73"/>
    <w:rsid w:val="00FB5DAB"/>
    <w:rsid w:val="00FB5EFF"/>
    <w:rsid w:val="00FB604B"/>
    <w:rsid w:val="00FB6169"/>
    <w:rsid w:val="00FB6304"/>
    <w:rsid w:val="00FB63B1"/>
    <w:rsid w:val="00FB63F3"/>
    <w:rsid w:val="00FB66B2"/>
    <w:rsid w:val="00FB66B4"/>
    <w:rsid w:val="00FB6838"/>
    <w:rsid w:val="00FB6907"/>
    <w:rsid w:val="00FB698C"/>
    <w:rsid w:val="00FB69FD"/>
    <w:rsid w:val="00FB6BC6"/>
    <w:rsid w:val="00FB6E50"/>
    <w:rsid w:val="00FB7386"/>
    <w:rsid w:val="00FB738D"/>
    <w:rsid w:val="00FB75D1"/>
    <w:rsid w:val="00FB7796"/>
    <w:rsid w:val="00FB786B"/>
    <w:rsid w:val="00FB7951"/>
    <w:rsid w:val="00FB79E5"/>
    <w:rsid w:val="00FB7A1C"/>
    <w:rsid w:val="00FB7ABC"/>
    <w:rsid w:val="00FB7B3A"/>
    <w:rsid w:val="00FB7BCE"/>
    <w:rsid w:val="00FB7CB4"/>
    <w:rsid w:val="00FC00EF"/>
    <w:rsid w:val="00FC0141"/>
    <w:rsid w:val="00FC023F"/>
    <w:rsid w:val="00FC025B"/>
    <w:rsid w:val="00FC03E9"/>
    <w:rsid w:val="00FC04FA"/>
    <w:rsid w:val="00FC0649"/>
    <w:rsid w:val="00FC07CE"/>
    <w:rsid w:val="00FC0946"/>
    <w:rsid w:val="00FC0963"/>
    <w:rsid w:val="00FC097B"/>
    <w:rsid w:val="00FC0AA9"/>
    <w:rsid w:val="00FC0C39"/>
    <w:rsid w:val="00FC129D"/>
    <w:rsid w:val="00FC145B"/>
    <w:rsid w:val="00FC16A8"/>
    <w:rsid w:val="00FC17B7"/>
    <w:rsid w:val="00FC18AC"/>
    <w:rsid w:val="00FC1908"/>
    <w:rsid w:val="00FC1B15"/>
    <w:rsid w:val="00FC1B50"/>
    <w:rsid w:val="00FC1F61"/>
    <w:rsid w:val="00FC200A"/>
    <w:rsid w:val="00FC20F5"/>
    <w:rsid w:val="00FC2217"/>
    <w:rsid w:val="00FC24A4"/>
    <w:rsid w:val="00FC2553"/>
    <w:rsid w:val="00FC2907"/>
    <w:rsid w:val="00FC29A4"/>
    <w:rsid w:val="00FC2A33"/>
    <w:rsid w:val="00FC2BE8"/>
    <w:rsid w:val="00FC2CED"/>
    <w:rsid w:val="00FC2CFA"/>
    <w:rsid w:val="00FC2F1E"/>
    <w:rsid w:val="00FC2F3F"/>
    <w:rsid w:val="00FC30D8"/>
    <w:rsid w:val="00FC320A"/>
    <w:rsid w:val="00FC3263"/>
    <w:rsid w:val="00FC336E"/>
    <w:rsid w:val="00FC3391"/>
    <w:rsid w:val="00FC362A"/>
    <w:rsid w:val="00FC36AC"/>
    <w:rsid w:val="00FC378A"/>
    <w:rsid w:val="00FC3831"/>
    <w:rsid w:val="00FC3940"/>
    <w:rsid w:val="00FC3D59"/>
    <w:rsid w:val="00FC3E8D"/>
    <w:rsid w:val="00FC3EE1"/>
    <w:rsid w:val="00FC3F13"/>
    <w:rsid w:val="00FC3F6F"/>
    <w:rsid w:val="00FC4117"/>
    <w:rsid w:val="00FC41C1"/>
    <w:rsid w:val="00FC42BF"/>
    <w:rsid w:val="00FC446C"/>
    <w:rsid w:val="00FC44DD"/>
    <w:rsid w:val="00FC4786"/>
    <w:rsid w:val="00FC4895"/>
    <w:rsid w:val="00FC56AB"/>
    <w:rsid w:val="00FC575E"/>
    <w:rsid w:val="00FC59D8"/>
    <w:rsid w:val="00FC5A36"/>
    <w:rsid w:val="00FC5CED"/>
    <w:rsid w:val="00FC5D02"/>
    <w:rsid w:val="00FC5D7E"/>
    <w:rsid w:val="00FC5E16"/>
    <w:rsid w:val="00FC5F1A"/>
    <w:rsid w:val="00FC5F30"/>
    <w:rsid w:val="00FC6075"/>
    <w:rsid w:val="00FC60C8"/>
    <w:rsid w:val="00FC6182"/>
    <w:rsid w:val="00FC61F3"/>
    <w:rsid w:val="00FC6235"/>
    <w:rsid w:val="00FC6248"/>
    <w:rsid w:val="00FC6472"/>
    <w:rsid w:val="00FC661D"/>
    <w:rsid w:val="00FC6652"/>
    <w:rsid w:val="00FC669B"/>
    <w:rsid w:val="00FC6788"/>
    <w:rsid w:val="00FC69B6"/>
    <w:rsid w:val="00FC6C42"/>
    <w:rsid w:val="00FC6CB4"/>
    <w:rsid w:val="00FC70DA"/>
    <w:rsid w:val="00FC7183"/>
    <w:rsid w:val="00FC719F"/>
    <w:rsid w:val="00FC7480"/>
    <w:rsid w:val="00FC7842"/>
    <w:rsid w:val="00FC784A"/>
    <w:rsid w:val="00FC79D1"/>
    <w:rsid w:val="00FC7C25"/>
    <w:rsid w:val="00FC7D1D"/>
    <w:rsid w:val="00FC7EAE"/>
    <w:rsid w:val="00FC7EB0"/>
    <w:rsid w:val="00FD0486"/>
    <w:rsid w:val="00FD0748"/>
    <w:rsid w:val="00FD0F36"/>
    <w:rsid w:val="00FD0F44"/>
    <w:rsid w:val="00FD0FFD"/>
    <w:rsid w:val="00FD122C"/>
    <w:rsid w:val="00FD1266"/>
    <w:rsid w:val="00FD1355"/>
    <w:rsid w:val="00FD1885"/>
    <w:rsid w:val="00FD1959"/>
    <w:rsid w:val="00FD1A83"/>
    <w:rsid w:val="00FD1C48"/>
    <w:rsid w:val="00FD2298"/>
    <w:rsid w:val="00FD229D"/>
    <w:rsid w:val="00FD2439"/>
    <w:rsid w:val="00FD2543"/>
    <w:rsid w:val="00FD2891"/>
    <w:rsid w:val="00FD2C2C"/>
    <w:rsid w:val="00FD2D1D"/>
    <w:rsid w:val="00FD2F50"/>
    <w:rsid w:val="00FD30E1"/>
    <w:rsid w:val="00FD3493"/>
    <w:rsid w:val="00FD3601"/>
    <w:rsid w:val="00FD3840"/>
    <w:rsid w:val="00FD3974"/>
    <w:rsid w:val="00FD3CBF"/>
    <w:rsid w:val="00FD419A"/>
    <w:rsid w:val="00FD41BD"/>
    <w:rsid w:val="00FD41F1"/>
    <w:rsid w:val="00FD4676"/>
    <w:rsid w:val="00FD46E8"/>
    <w:rsid w:val="00FD4788"/>
    <w:rsid w:val="00FD4A09"/>
    <w:rsid w:val="00FD4BA7"/>
    <w:rsid w:val="00FD4CA3"/>
    <w:rsid w:val="00FD4EB1"/>
    <w:rsid w:val="00FD559A"/>
    <w:rsid w:val="00FD597A"/>
    <w:rsid w:val="00FD6243"/>
    <w:rsid w:val="00FD625E"/>
    <w:rsid w:val="00FD63E3"/>
    <w:rsid w:val="00FD65CF"/>
    <w:rsid w:val="00FD6703"/>
    <w:rsid w:val="00FD6A30"/>
    <w:rsid w:val="00FD6A5D"/>
    <w:rsid w:val="00FD6B0A"/>
    <w:rsid w:val="00FD6D49"/>
    <w:rsid w:val="00FD6D69"/>
    <w:rsid w:val="00FD6F24"/>
    <w:rsid w:val="00FD6F35"/>
    <w:rsid w:val="00FD710A"/>
    <w:rsid w:val="00FD72B3"/>
    <w:rsid w:val="00FD7542"/>
    <w:rsid w:val="00FD75D3"/>
    <w:rsid w:val="00FD771F"/>
    <w:rsid w:val="00FD78D0"/>
    <w:rsid w:val="00FD7A77"/>
    <w:rsid w:val="00FD7DE3"/>
    <w:rsid w:val="00FD7E5E"/>
    <w:rsid w:val="00FD7F1D"/>
    <w:rsid w:val="00FE042E"/>
    <w:rsid w:val="00FE0505"/>
    <w:rsid w:val="00FE0818"/>
    <w:rsid w:val="00FE0AEC"/>
    <w:rsid w:val="00FE0C83"/>
    <w:rsid w:val="00FE0E14"/>
    <w:rsid w:val="00FE0F9E"/>
    <w:rsid w:val="00FE14A7"/>
    <w:rsid w:val="00FE1557"/>
    <w:rsid w:val="00FE1B5D"/>
    <w:rsid w:val="00FE1D16"/>
    <w:rsid w:val="00FE1D53"/>
    <w:rsid w:val="00FE1F65"/>
    <w:rsid w:val="00FE2185"/>
    <w:rsid w:val="00FE23E4"/>
    <w:rsid w:val="00FE246B"/>
    <w:rsid w:val="00FE2506"/>
    <w:rsid w:val="00FE2528"/>
    <w:rsid w:val="00FE2554"/>
    <w:rsid w:val="00FE257A"/>
    <w:rsid w:val="00FE29E7"/>
    <w:rsid w:val="00FE2AAF"/>
    <w:rsid w:val="00FE2C55"/>
    <w:rsid w:val="00FE2CE9"/>
    <w:rsid w:val="00FE2D83"/>
    <w:rsid w:val="00FE2DD7"/>
    <w:rsid w:val="00FE2EF3"/>
    <w:rsid w:val="00FE2F3F"/>
    <w:rsid w:val="00FE2F61"/>
    <w:rsid w:val="00FE34AC"/>
    <w:rsid w:val="00FE34EC"/>
    <w:rsid w:val="00FE359E"/>
    <w:rsid w:val="00FE383E"/>
    <w:rsid w:val="00FE3CD7"/>
    <w:rsid w:val="00FE3E09"/>
    <w:rsid w:val="00FE3E21"/>
    <w:rsid w:val="00FE41ED"/>
    <w:rsid w:val="00FE42E9"/>
    <w:rsid w:val="00FE43F7"/>
    <w:rsid w:val="00FE4478"/>
    <w:rsid w:val="00FE4542"/>
    <w:rsid w:val="00FE46AD"/>
    <w:rsid w:val="00FE4761"/>
    <w:rsid w:val="00FE494C"/>
    <w:rsid w:val="00FE4A5A"/>
    <w:rsid w:val="00FE4B1A"/>
    <w:rsid w:val="00FE4B27"/>
    <w:rsid w:val="00FE4D85"/>
    <w:rsid w:val="00FE4E2C"/>
    <w:rsid w:val="00FE4E90"/>
    <w:rsid w:val="00FE4F39"/>
    <w:rsid w:val="00FE4FB6"/>
    <w:rsid w:val="00FE5183"/>
    <w:rsid w:val="00FE526A"/>
    <w:rsid w:val="00FE5342"/>
    <w:rsid w:val="00FE5438"/>
    <w:rsid w:val="00FE596D"/>
    <w:rsid w:val="00FE5A9D"/>
    <w:rsid w:val="00FE5C35"/>
    <w:rsid w:val="00FE5E96"/>
    <w:rsid w:val="00FE6271"/>
    <w:rsid w:val="00FE62AB"/>
    <w:rsid w:val="00FE683C"/>
    <w:rsid w:val="00FE6AAF"/>
    <w:rsid w:val="00FE6B9E"/>
    <w:rsid w:val="00FE6BBE"/>
    <w:rsid w:val="00FE6CEF"/>
    <w:rsid w:val="00FE6E01"/>
    <w:rsid w:val="00FE6EDA"/>
    <w:rsid w:val="00FE700A"/>
    <w:rsid w:val="00FE70B8"/>
    <w:rsid w:val="00FE71F8"/>
    <w:rsid w:val="00FE7317"/>
    <w:rsid w:val="00FE74D8"/>
    <w:rsid w:val="00FE7713"/>
    <w:rsid w:val="00FE7730"/>
    <w:rsid w:val="00FE775A"/>
    <w:rsid w:val="00FE78D6"/>
    <w:rsid w:val="00FE7A39"/>
    <w:rsid w:val="00FE7B94"/>
    <w:rsid w:val="00FE7C2C"/>
    <w:rsid w:val="00FE7E83"/>
    <w:rsid w:val="00FF0064"/>
    <w:rsid w:val="00FF033F"/>
    <w:rsid w:val="00FF0389"/>
    <w:rsid w:val="00FF03EC"/>
    <w:rsid w:val="00FF0498"/>
    <w:rsid w:val="00FF04C2"/>
    <w:rsid w:val="00FF053C"/>
    <w:rsid w:val="00FF08B7"/>
    <w:rsid w:val="00FF0B6B"/>
    <w:rsid w:val="00FF0DDB"/>
    <w:rsid w:val="00FF0E4A"/>
    <w:rsid w:val="00FF0EE8"/>
    <w:rsid w:val="00FF0EFC"/>
    <w:rsid w:val="00FF115A"/>
    <w:rsid w:val="00FF123A"/>
    <w:rsid w:val="00FF12EE"/>
    <w:rsid w:val="00FF14D1"/>
    <w:rsid w:val="00FF14DE"/>
    <w:rsid w:val="00FF153D"/>
    <w:rsid w:val="00FF1556"/>
    <w:rsid w:val="00FF17C8"/>
    <w:rsid w:val="00FF1B8C"/>
    <w:rsid w:val="00FF1C39"/>
    <w:rsid w:val="00FF1D64"/>
    <w:rsid w:val="00FF1EA5"/>
    <w:rsid w:val="00FF23A9"/>
    <w:rsid w:val="00FF24CA"/>
    <w:rsid w:val="00FF2570"/>
    <w:rsid w:val="00FF260C"/>
    <w:rsid w:val="00FF2656"/>
    <w:rsid w:val="00FF2694"/>
    <w:rsid w:val="00FF298B"/>
    <w:rsid w:val="00FF2B7E"/>
    <w:rsid w:val="00FF2DD8"/>
    <w:rsid w:val="00FF2E4F"/>
    <w:rsid w:val="00FF2F99"/>
    <w:rsid w:val="00FF34C6"/>
    <w:rsid w:val="00FF3537"/>
    <w:rsid w:val="00FF3630"/>
    <w:rsid w:val="00FF365F"/>
    <w:rsid w:val="00FF37EB"/>
    <w:rsid w:val="00FF38C2"/>
    <w:rsid w:val="00FF39A8"/>
    <w:rsid w:val="00FF3D65"/>
    <w:rsid w:val="00FF3D99"/>
    <w:rsid w:val="00FF3E58"/>
    <w:rsid w:val="00FF3E9F"/>
    <w:rsid w:val="00FF4351"/>
    <w:rsid w:val="00FF4395"/>
    <w:rsid w:val="00FF439C"/>
    <w:rsid w:val="00FF45FC"/>
    <w:rsid w:val="00FF4891"/>
    <w:rsid w:val="00FF49D5"/>
    <w:rsid w:val="00FF4BD8"/>
    <w:rsid w:val="00FF4C2D"/>
    <w:rsid w:val="00FF4E23"/>
    <w:rsid w:val="00FF4ED3"/>
    <w:rsid w:val="00FF4EF0"/>
    <w:rsid w:val="00FF508B"/>
    <w:rsid w:val="00FF511E"/>
    <w:rsid w:val="00FF5149"/>
    <w:rsid w:val="00FF52EA"/>
    <w:rsid w:val="00FF5301"/>
    <w:rsid w:val="00FF53C6"/>
    <w:rsid w:val="00FF5498"/>
    <w:rsid w:val="00FF55B4"/>
    <w:rsid w:val="00FF5757"/>
    <w:rsid w:val="00FF579C"/>
    <w:rsid w:val="00FF5836"/>
    <w:rsid w:val="00FF5DB5"/>
    <w:rsid w:val="00FF5E8F"/>
    <w:rsid w:val="00FF5EE5"/>
    <w:rsid w:val="00FF5F69"/>
    <w:rsid w:val="00FF64B1"/>
    <w:rsid w:val="00FF6520"/>
    <w:rsid w:val="00FF69EA"/>
    <w:rsid w:val="00FF6A69"/>
    <w:rsid w:val="00FF6AF2"/>
    <w:rsid w:val="00FF6F82"/>
    <w:rsid w:val="00FF6FD9"/>
    <w:rsid w:val="00FF7143"/>
    <w:rsid w:val="00FF773C"/>
    <w:rsid w:val="00FF7A34"/>
    <w:rsid w:val="00FF7AB6"/>
    <w:rsid w:val="00FF7C0F"/>
    <w:rsid w:val="00FF7D48"/>
    <w:rsid w:val="00FF7E60"/>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817D3"/>
  <w15:docId w15:val="{F6DF97EA-1D91-F24B-BDE8-AD8F00B5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DC"/>
  </w:style>
  <w:style w:type="paragraph" w:styleId="Titlu1">
    <w:name w:val="heading 1"/>
    <w:basedOn w:val="Normal"/>
    <w:next w:val="Normal"/>
    <w:link w:val="Titlu1Caracter"/>
    <w:uiPriority w:val="9"/>
    <w:qFormat/>
    <w:rsid w:val="00F958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semiHidden/>
    <w:unhideWhenUsed/>
    <w:qFormat/>
    <w:rsid w:val="00F958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link w:val="Titlu3Caracter"/>
    <w:uiPriority w:val="9"/>
    <w:qFormat/>
    <w:rsid w:val="00BB2E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lu4">
    <w:name w:val="heading 4"/>
    <w:basedOn w:val="Normal"/>
    <w:next w:val="Normal"/>
    <w:link w:val="Titlu4Caracter"/>
    <w:uiPriority w:val="9"/>
    <w:semiHidden/>
    <w:unhideWhenUsed/>
    <w:qFormat/>
    <w:rsid w:val="00DF74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6">
    <w:name w:val="heading 6"/>
    <w:basedOn w:val="Normal"/>
    <w:link w:val="Titlu6Caracter"/>
    <w:uiPriority w:val="9"/>
    <w:qFormat/>
    <w:rsid w:val="00BB2ED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95829"/>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semiHidden/>
    <w:rsid w:val="00F95829"/>
    <w:rPr>
      <w:rFonts w:asciiTheme="majorHAnsi" w:eastAsiaTheme="majorEastAsia" w:hAnsiTheme="majorHAnsi" w:cstheme="majorBidi"/>
      <w:color w:val="2E74B5" w:themeColor="accent1" w:themeShade="BF"/>
      <w:sz w:val="26"/>
      <w:szCs w:val="26"/>
    </w:rPr>
  </w:style>
  <w:style w:type="character" w:styleId="Referincomentariu">
    <w:name w:val="annotation reference"/>
    <w:basedOn w:val="Fontdeparagrafimplicit"/>
    <w:uiPriority w:val="99"/>
    <w:semiHidden/>
    <w:unhideWhenUsed/>
    <w:rsid w:val="00F95829"/>
    <w:rPr>
      <w:sz w:val="16"/>
      <w:szCs w:val="16"/>
    </w:rPr>
  </w:style>
  <w:style w:type="paragraph" w:styleId="Textcomentariu">
    <w:name w:val="annotation text"/>
    <w:basedOn w:val="Normal"/>
    <w:link w:val="TextcomentariuCaracter"/>
    <w:uiPriority w:val="99"/>
    <w:unhideWhenUsed/>
    <w:rsid w:val="00F95829"/>
    <w:pPr>
      <w:spacing w:line="240" w:lineRule="auto"/>
    </w:pPr>
    <w:rPr>
      <w:sz w:val="20"/>
      <w:szCs w:val="20"/>
    </w:rPr>
  </w:style>
  <w:style w:type="character" w:customStyle="1" w:styleId="TextcomentariuCaracter">
    <w:name w:val="Text comentariu Caracter"/>
    <w:basedOn w:val="Fontdeparagrafimplicit"/>
    <w:link w:val="Textcomentariu"/>
    <w:uiPriority w:val="99"/>
    <w:rsid w:val="00F95829"/>
    <w:rPr>
      <w:sz w:val="20"/>
      <w:szCs w:val="20"/>
    </w:rPr>
  </w:style>
  <w:style w:type="paragraph" w:styleId="SubiectComentariu">
    <w:name w:val="annotation subject"/>
    <w:basedOn w:val="Textcomentariu"/>
    <w:next w:val="Textcomentariu"/>
    <w:link w:val="SubiectComentariuCaracter"/>
    <w:uiPriority w:val="99"/>
    <w:semiHidden/>
    <w:unhideWhenUsed/>
    <w:rsid w:val="00F95829"/>
    <w:rPr>
      <w:b/>
      <w:bCs/>
    </w:rPr>
  </w:style>
  <w:style w:type="character" w:customStyle="1" w:styleId="SubiectComentariuCaracter">
    <w:name w:val="Subiect Comentariu Caracter"/>
    <w:basedOn w:val="TextcomentariuCaracter"/>
    <w:link w:val="SubiectComentariu"/>
    <w:uiPriority w:val="99"/>
    <w:semiHidden/>
    <w:rsid w:val="00F95829"/>
    <w:rPr>
      <w:b/>
      <w:bCs/>
      <w:sz w:val="20"/>
      <w:szCs w:val="20"/>
    </w:rPr>
  </w:style>
  <w:style w:type="paragraph" w:styleId="Antet">
    <w:name w:val="header"/>
    <w:basedOn w:val="Normal"/>
    <w:link w:val="AntetCaracter"/>
    <w:uiPriority w:val="99"/>
    <w:unhideWhenUsed/>
    <w:rsid w:val="00F95829"/>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F95829"/>
  </w:style>
  <w:style w:type="paragraph" w:styleId="Subsol">
    <w:name w:val="footer"/>
    <w:basedOn w:val="Normal"/>
    <w:link w:val="SubsolCaracter"/>
    <w:uiPriority w:val="99"/>
    <w:unhideWhenUsed/>
    <w:rsid w:val="00F9582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F95829"/>
  </w:style>
  <w:style w:type="paragraph" w:styleId="Listparagraf">
    <w:name w:val="List Paragraph"/>
    <w:basedOn w:val="Normal"/>
    <w:uiPriority w:val="34"/>
    <w:qFormat/>
    <w:rsid w:val="00F95829"/>
    <w:pPr>
      <w:ind w:left="720"/>
      <w:contextualSpacing/>
    </w:pPr>
  </w:style>
  <w:style w:type="paragraph" w:styleId="TextnBalon">
    <w:name w:val="Balloon Text"/>
    <w:basedOn w:val="Normal"/>
    <w:link w:val="TextnBalonCaracter"/>
    <w:uiPriority w:val="99"/>
    <w:semiHidden/>
    <w:unhideWhenUsed/>
    <w:rsid w:val="00F9582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95829"/>
    <w:rPr>
      <w:rFonts w:ascii="Segoe UI" w:hAnsi="Segoe UI" w:cs="Segoe UI"/>
      <w:sz w:val="18"/>
      <w:szCs w:val="18"/>
    </w:rPr>
  </w:style>
  <w:style w:type="paragraph" w:styleId="NormalWeb">
    <w:name w:val="Normal (Web)"/>
    <w:basedOn w:val="Normal"/>
    <w:uiPriority w:val="99"/>
    <w:unhideWhenUsed/>
    <w:rsid w:val="00F95829"/>
    <w:pPr>
      <w:spacing w:before="100" w:beforeAutospacing="1" w:after="100" w:afterAutospacing="1" w:line="240" w:lineRule="auto"/>
    </w:pPr>
    <w:rPr>
      <w:rFonts w:ascii="Times New Roman" w:eastAsia="Times New Roman" w:hAnsi="Times New Roman" w:cs="Times New Roman"/>
      <w:sz w:val="24"/>
      <w:szCs w:val="24"/>
    </w:rPr>
  </w:style>
  <w:style w:type="paragraph" w:styleId="Revizuire">
    <w:name w:val="Revision"/>
    <w:hidden/>
    <w:uiPriority w:val="99"/>
    <w:semiHidden/>
    <w:rsid w:val="00F95829"/>
    <w:pPr>
      <w:spacing w:after="0" w:line="240" w:lineRule="auto"/>
    </w:pPr>
  </w:style>
  <w:style w:type="character" w:customStyle="1" w:styleId="l5def1">
    <w:name w:val="l5def1"/>
    <w:rsid w:val="00F95829"/>
    <w:rPr>
      <w:rFonts w:ascii="Arial" w:hAnsi="Arial" w:cs="Arial" w:hint="default"/>
      <w:color w:val="000000"/>
      <w:sz w:val="26"/>
      <w:szCs w:val="26"/>
    </w:rPr>
  </w:style>
  <w:style w:type="paragraph" w:customStyle="1" w:styleId="Default">
    <w:name w:val="Default"/>
    <w:rsid w:val="00F95829"/>
    <w:pPr>
      <w:autoSpaceDE w:val="0"/>
      <w:autoSpaceDN w:val="0"/>
      <w:adjustRightInd w:val="0"/>
      <w:spacing w:after="0" w:line="240" w:lineRule="auto"/>
    </w:pPr>
    <w:rPr>
      <w:rFonts w:ascii="EUAlbertina" w:hAnsi="EUAlbertina" w:cs="EUAlbertina"/>
      <w:color w:val="000000"/>
      <w:sz w:val="24"/>
      <w:szCs w:val="24"/>
      <w:lang w:val="ro-RO"/>
    </w:rPr>
  </w:style>
  <w:style w:type="paragraph" w:customStyle="1" w:styleId="CM1">
    <w:name w:val="CM1"/>
    <w:basedOn w:val="Default"/>
    <w:next w:val="Default"/>
    <w:uiPriority w:val="99"/>
    <w:rsid w:val="00F95829"/>
    <w:rPr>
      <w:rFonts w:ascii="Times New Roman" w:hAnsi="Times New Roman" w:cs="Times New Roman"/>
      <w:color w:val="auto"/>
    </w:rPr>
  </w:style>
  <w:style w:type="paragraph" w:customStyle="1" w:styleId="CM3">
    <w:name w:val="CM3"/>
    <w:basedOn w:val="Default"/>
    <w:next w:val="Default"/>
    <w:uiPriority w:val="99"/>
    <w:rsid w:val="00F95829"/>
    <w:rPr>
      <w:rFonts w:ascii="Times New Roman" w:hAnsi="Times New Roman" w:cs="Times New Roman"/>
      <w:color w:val="auto"/>
    </w:rPr>
  </w:style>
  <w:style w:type="paragraph" w:customStyle="1" w:styleId="CM4">
    <w:name w:val="CM4"/>
    <w:basedOn w:val="Default"/>
    <w:next w:val="Default"/>
    <w:uiPriority w:val="99"/>
    <w:rsid w:val="00F95829"/>
    <w:rPr>
      <w:rFonts w:ascii="Times New Roman" w:hAnsi="Times New Roman" w:cs="Times New Roman"/>
      <w:color w:val="auto"/>
    </w:rPr>
  </w:style>
  <w:style w:type="character" w:styleId="Hyperlink">
    <w:name w:val="Hyperlink"/>
    <w:uiPriority w:val="99"/>
    <w:unhideWhenUsed/>
    <w:rsid w:val="00F95829"/>
    <w:rPr>
      <w:color w:val="0000FF"/>
      <w:u w:val="single"/>
    </w:rPr>
  </w:style>
  <w:style w:type="character" w:customStyle="1" w:styleId="l5def2">
    <w:name w:val="l5def2"/>
    <w:basedOn w:val="Fontdeparagrafimplicit"/>
    <w:rsid w:val="00F95829"/>
    <w:rPr>
      <w:rFonts w:ascii="Arial" w:hAnsi="Arial" w:cs="Arial" w:hint="default"/>
      <w:color w:val="000000"/>
      <w:sz w:val="26"/>
      <w:szCs w:val="26"/>
    </w:rPr>
  </w:style>
  <w:style w:type="character" w:customStyle="1" w:styleId="l5def5">
    <w:name w:val="l5def5"/>
    <w:basedOn w:val="Fontdeparagrafimplicit"/>
    <w:rsid w:val="00F95829"/>
    <w:rPr>
      <w:rFonts w:ascii="Arial" w:hAnsi="Arial" w:cs="Arial" w:hint="default"/>
      <w:color w:val="000000"/>
      <w:sz w:val="26"/>
      <w:szCs w:val="26"/>
    </w:rPr>
  </w:style>
  <w:style w:type="character" w:customStyle="1" w:styleId="l5def3">
    <w:name w:val="l5def3"/>
    <w:basedOn w:val="Fontdeparagrafimplicit"/>
    <w:rsid w:val="00F95829"/>
    <w:rPr>
      <w:rFonts w:ascii="Arial" w:hAnsi="Arial" w:cs="Arial" w:hint="default"/>
      <w:color w:val="000000"/>
      <w:sz w:val="26"/>
      <w:szCs w:val="26"/>
    </w:rPr>
  </w:style>
  <w:style w:type="character" w:customStyle="1" w:styleId="l5def4">
    <w:name w:val="l5def4"/>
    <w:basedOn w:val="Fontdeparagrafimplicit"/>
    <w:rsid w:val="00F95829"/>
    <w:rPr>
      <w:rFonts w:ascii="Arial" w:hAnsi="Arial" w:cs="Arial" w:hint="default"/>
      <w:color w:val="000000"/>
      <w:sz w:val="26"/>
      <w:szCs w:val="26"/>
    </w:rPr>
  </w:style>
  <w:style w:type="character" w:customStyle="1" w:styleId="l5def6">
    <w:name w:val="l5def6"/>
    <w:basedOn w:val="Fontdeparagrafimplicit"/>
    <w:rsid w:val="00F95829"/>
    <w:rPr>
      <w:rFonts w:ascii="Arial" w:hAnsi="Arial" w:cs="Arial" w:hint="default"/>
      <w:color w:val="000000"/>
      <w:sz w:val="26"/>
      <w:szCs w:val="26"/>
    </w:rPr>
  </w:style>
  <w:style w:type="character" w:customStyle="1" w:styleId="l5def7">
    <w:name w:val="l5def7"/>
    <w:basedOn w:val="Fontdeparagrafimplicit"/>
    <w:rsid w:val="00F95829"/>
    <w:rPr>
      <w:rFonts w:ascii="Arial" w:hAnsi="Arial" w:cs="Arial" w:hint="default"/>
      <w:color w:val="000000"/>
      <w:sz w:val="26"/>
      <w:szCs w:val="26"/>
    </w:rPr>
  </w:style>
  <w:style w:type="paragraph" w:customStyle="1" w:styleId="Normal1">
    <w:name w:val="Normal1"/>
    <w:basedOn w:val="Normal"/>
    <w:rsid w:val="00F95829"/>
    <w:pPr>
      <w:spacing w:before="100" w:beforeAutospacing="1" w:after="100" w:afterAutospacing="1" w:line="240" w:lineRule="auto"/>
    </w:pPr>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semiHidden/>
    <w:unhideWhenUsed/>
    <w:rsid w:val="00604BF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04BFE"/>
    <w:rPr>
      <w:sz w:val="20"/>
      <w:szCs w:val="20"/>
    </w:rPr>
  </w:style>
  <w:style w:type="character" w:styleId="Referinnotdesubsol">
    <w:name w:val="footnote reference"/>
    <w:basedOn w:val="Fontdeparagrafimplicit"/>
    <w:uiPriority w:val="99"/>
    <w:semiHidden/>
    <w:unhideWhenUsed/>
    <w:rsid w:val="00604BFE"/>
    <w:rPr>
      <w:vertAlign w:val="superscript"/>
    </w:rPr>
  </w:style>
  <w:style w:type="paragraph" w:styleId="Frspaiere">
    <w:name w:val="No Spacing"/>
    <w:uiPriority w:val="1"/>
    <w:qFormat/>
    <w:rsid w:val="00B638F5"/>
    <w:pPr>
      <w:spacing w:after="0" w:line="240" w:lineRule="auto"/>
    </w:pPr>
  </w:style>
  <w:style w:type="paragraph" w:customStyle="1" w:styleId="md">
    <w:name w:val="md"/>
    <w:basedOn w:val="Normal"/>
    <w:rsid w:val="00F07F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3Caracter">
    <w:name w:val="Titlu 3 Caracter"/>
    <w:basedOn w:val="Fontdeparagrafimplicit"/>
    <w:link w:val="Titlu3"/>
    <w:uiPriority w:val="9"/>
    <w:rsid w:val="00BB2ED1"/>
    <w:rPr>
      <w:rFonts w:ascii="Times New Roman" w:eastAsia="Times New Roman" w:hAnsi="Times New Roman" w:cs="Times New Roman"/>
      <w:b/>
      <w:bCs/>
      <w:sz w:val="27"/>
      <w:szCs w:val="27"/>
    </w:rPr>
  </w:style>
  <w:style w:type="character" w:customStyle="1" w:styleId="Titlu6Caracter">
    <w:name w:val="Titlu 6 Caracter"/>
    <w:basedOn w:val="Fontdeparagrafimplicit"/>
    <w:link w:val="Titlu6"/>
    <w:uiPriority w:val="9"/>
    <w:rsid w:val="00BB2ED1"/>
    <w:rPr>
      <w:rFonts w:ascii="Times New Roman" w:eastAsia="Times New Roman" w:hAnsi="Times New Roman" w:cs="Times New Roman"/>
      <w:b/>
      <w:bCs/>
      <w:sz w:val="15"/>
      <w:szCs w:val="15"/>
    </w:rPr>
  </w:style>
  <w:style w:type="character" w:customStyle="1" w:styleId="tonic-accent">
    <w:name w:val="tonic-accent"/>
    <w:basedOn w:val="Fontdeparagrafimplicit"/>
    <w:rsid w:val="00BB2ED1"/>
  </w:style>
  <w:style w:type="character" w:customStyle="1" w:styleId="tree-inflected-form">
    <w:name w:val="tree-inflected-form"/>
    <w:basedOn w:val="Fontdeparagrafimplicit"/>
    <w:rsid w:val="00BB2ED1"/>
  </w:style>
  <w:style w:type="character" w:customStyle="1" w:styleId="tree-pos-info">
    <w:name w:val="tree-pos-info"/>
    <w:basedOn w:val="Fontdeparagrafimplicit"/>
    <w:rsid w:val="00BB2ED1"/>
  </w:style>
  <w:style w:type="character" w:customStyle="1" w:styleId="bc">
    <w:name w:val="bc"/>
    <w:basedOn w:val="Fontdeparagrafimplicit"/>
    <w:rsid w:val="00BB2ED1"/>
  </w:style>
  <w:style w:type="character" w:customStyle="1" w:styleId="def">
    <w:name w:val="def"/>
    <w:basedOn w:val="Fontdeparagrafimplicit"/>
    <w:rsid w:val="00BB2ED1"/>
  </w:style>
  <w:style w:type="character" w:customStyle="1" w:styleId="tag-group">
    <w:name w:val="tag-group"/>
    <w:basedOn w:val="Fontdeparagrafimplicit"/>
    <w:rsid w:val="00BB2ED1"/>
  </w:style>
  <w:style w:type="character" w:customStyle="1" w:styleId="tag">
    <w:name w:val="tag"/>
    <w:basedOn w:val="Fontdeparagrafimplicit"/>
    <w:rsid w:val="00BB2ED1"/>
  </w:style>
  <w:style w:type="character" w:customStyle="1" w:styleId="alineat1">
    <w:name w:val="alineat1"/>
    <w:basedOn w:val="Fontdeparagrafimplicit"/>
    <w:uiPriority w:val="99"/>
    <w:rsid w:val="009F26B4"/>
    <w:rPr>
      <w:b/>
      <w:bCs/>
      <w:color w:val="000000"/>
    </w:rPr>
  </w:style>
  <w:style w:type="paragraph" w:customStyle="1" w:styleId="doc-ti">
    <w:name w:val="doc-ti"/>
    <w:basedOn w:val="Normal"/>
    <w:rsid w:val="00034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semiHidden/>
    <w:unhideWhenUsed/>
    <w:rsid w:val="00916193"/>
    <w:rPr>
      <w:color w:val="605E5C"/>
      <w:shd w:val="clear" w:color="auto" w:fill="E1DFDD"/>
    </w:rPr>
  </w:style>
  <w:style w:type="character" w:customStyle="1" w:styleId="cf01">
    <w:name w:val="cf01"/>
    <w:basedOn w:val="Fontdeparagrafimplicit"/>
    <w:rsid w:val="00822B4B"/>
    <w:rPr>
      <w:rFonts w:ascii="Segoe UI" w:hAnsi="Segoe UI" w:cs="Segoe UI" w:hint="default"/>
      <w:sz w:val="18"/>
      <w:szCs w:val="18"/>
      <w:shd w:val="clear" w:color="auto" w:fill="D3D3D3"/>
    </w:rPr>
  </w:style>
  <w:style w:type="table" w:styleId="Tabelgril">
    <w:name w:val="Table Grid"/>
    <w:basedOn w:val="TabelNormal"/>
    <w:uiPriority w:val="39"/>
    <w:rsid w:val="00291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D27B40"/>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Titlu4Caracter">
    <w:name w:val="Titlu 4 Caracter"/>
    <w:basedOn w:val="Fontdeparagrafimplicit"/>
    <w:link w:val="Titlu4"/>
    <w:uiPriority w:val="9"/>
    <w:semiHidden/>
    <w:rsid w:val="00DF74A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3333">
      <w:bodyDiv w:val="1"/>
      <w:marLeft w:val="0"/>
      <w:marRight w:val="0"/>
      <w:marTop w:val="0"/>
      <w:marBottom w:val="0"/>
      <w:divBdr>
        <w:top w:val="none" w:sz="0" w:space="0" w:color="auto"/>
        <w:left w:val="none" w:sz="0" w:space="0" w:color="auto"/>
        <w:bottom w:val="none" w:sz="0" w:space="0" w:color="auto"/>
        <w:right w:val="none" w:sz="0" w:space="0" w:color="auto"/>
      </w:divBdr>
    </w:div>
    <w:div w:id="48380154">
      <w:bodyDiv w:val="1"/>
      <w:marLeft w:val="0"/>
      <w:marRight w:val="0"/>
      <w:marTop w:val="0"/>
      <w:marBottom w:val="0"/>
      <w:divBdr>
        <w:top w:val="none" w:sz="0" w:space="0" w:color="auto"/>
        <w:left w:val="none" w:sz="0" w:space="0" w:color="auto"/>
        <w:bottom w:val="none" w:sz="0" w:space="0" w:color="auto"/>
        <w:right w:val="none" w:sz="0" w:space="0" w:color="auto"/>
      </w:divBdr>
    </w:div>
    <w:div w:id="70585622">
      <w:bodyDiv w:val="1"/>
      <w:marLeft w:val="0"/>
      <w:marRight w:val="0"/>
      <w:marTop w:val="0"/>
      <w:marBottom w:val="0"/>
      <w:divBdr>
        <w:top w:val="none" w:sz="0" w:space="0" w:color="auto"/>
        <w:left w:val="none" w:sz="0" w:space="0" w:color="auto"/>
        <w:bottom w:val="none" w:sz="0" w:space="0" w:color="auto"/>
        <w:right w:val="none" w:sz="0" w:space="0" w:color="auto"/>
      </w:divBdr>
      <w:divsChild>
        <w:div w:id="1250387872">
          <w:marLeft w:val="0"/>
          <w:marRight w:val="0"/>
          <w:marTop w:val="0"/>
          <w:marBottom w:val="0"/>
          <w:divBdr>
            <w:top w:val="none" w:sz="0" w:space="0" w:color="auto"/>
            <w:left w:val="none" w:sz="0" w:space="0" w:color="auto"/>
            <w:bottom w:val="none" w:sz="0" w:space="0" w:color="auto"/>
            <w:right w:val="none" w:sz="0" w:space="0" w:color="auto"/>
          </w:divBdr>
          <w:divsChild>
            <w:div w:id="378936314">
              <w:marLeft w:val="0"/>
              <w:marRight w:val="0"/>
              <w:marTop w:val="0"/>
              <w:marBottom w:val="0"/>
              <w:divBdr>
                <w:top w:val="none" w:sz="0" w:space="0" w:color="auto"/>
                <w:left w:val="none" w:sz="0" w:space="0" w:color="auto"/>
                <w:bottom w:val="none" w:sz="0" w:space="0" w:color="auto"/>
                <w:right w:val="none" w:sz="0" w:space="0" w:color="auto"/>
              </w:divBdr>
              <w:divsChild>
                <w:div w:id="965083390">
                  <w:marLeft w:val="0"/>
                  <w:marRight w:val="0"/>
                  <w:marTop w:val="0"/>
                  <w:marBottom w:val="0"/>
                  <w:divBdr>
                    <w:top w:val="none" w:sz="0" w:space="0" w:color="auto"/>
                    <w:left w:val="none" w:sz="0" w:space="0" w:color="auto"/>
                    <w:bottom w:val="none" w:sz="0" w:space="0" w:color="auto"/>
                    <w:right w:val="none" w:sz="0" w:space="0" w:color="auto"/>
                  </w:divBdr>
                  <w:divsChild>
                    <w:div w:id="743262141">
                      <w:marLeft w:val="0"/>
                      <w:marRight w:val="0"/>
                      <w:marTop w:val="0"/>
                      <w:marBottom w:val="0"/>
                      <w:divBdr>
                        <w:top w:val="none" w:sz="0" w:space="0" w:color="auto"/>
                        <w:left w:val="none" w:sz="0" w:space="0" w:color="auto"/>
                        <w:bottom w:val="none" w:sz="0" w:space="0" w:color="auto"/>
                        <w:right w:val="none" w:sz="0" w:space="0" w:color="auto"/>
                      </w:divBdr>
                    </w:div>
                    <w:div w:id="1188133908">
                      <w:marLeft w:val="0"/>
                      <w:marRight w:val="0"/>
                      <w:marTop w:val="120"/>
                      <w:marBottom w:val="0"/>
                      <w:divBdr>
                        <w:top w:val="none" w:sz="0" w:space="0" w:color="auto"/>
                        <w:left w:val="none" w:sz="0" w:space="0" w:color="auto"/>
                        <w:bottom w:val="none" w:sz="0" w:space="0" w:color="auto"/>
                        <w:right w:val="none" w:sz="0" w:space="0" w:color="auto"/>
                      </w:divBdr>
                    </w:div>
                  </w:divsChild>
                </w:div>
                <w:div w:id="1026176095">
                  <w:marLeft w:val="0"/>
                  <w:marRight w:val="0"/>
                  <w:marTop w:val="0"/>
                  <w:marBottom w:val="0"/>
                  <w:divBdr>
                    <w:top w:val="none" w:sz="0" w:space="0" w:color="auto"/>
                    <w:left w:val="none" w:sz="0" w:space="0" w:color="auto"/>
                    <w:bottom w:val="none" w:sz="0" w:space="0" w:color="auto"/>
                    <w:right w:val="none" w:sz="0" w:space="0" w:color="auto"/>
                  </w:divBdr>
                  <w:divsChild>
                    <w:div w:id="652955255">
                      <w:marLeft w:val="0"/>
                      <w:marRight w:val="0"/>
                      <w:marTop w:val="0"/>
                      <w:marBottom w:val="0"/>
                      <w:divBdr>
                        <w:top w:val="none" w:sz="0" w:space="0" w:color="auto"/>
                        <w:left w:val="none" w:sz="0" w:space="0" w:color="auto"/>
                        <w:bottom w:val="none" w:sz="0" w:space="0" w:color="auto"/>
                        <w:right w:val="none" w:sz="0" w:space="0" w:color="auto"/>
                      </w:divBdr>
                    </w:div>
                    <w:div w:id="688409706">
                      <w:marLeft w:val="0"/>
                      <w:marRight w:val="0"/>
                      <w:marTop w:val="120"/>
                      <w:marBottom w:val="0"/>
                      <w:divBdr>
                        <w:top w:val="none" w:sz="0" w:space="0" w:color="auto"/>
                        <w:left w:val="none" w:sz="0" w:space="0" w:color="auto"/>
                        <w:bottom w:val="none" w:sz="0" w:space="0" w:color="auto"/>
                        <w:right w:val="none" w:sz="0" w:space="0" w:color="auto"/>
                      </w:divBdr>
                    </w:div>
                  </w:divsChild>
                </w:div>
                <w:div w:id="2146661549">
                  <w:marLeft w:val="0"/>
                  <w:marRight w:val="0"/>
                  <w:marTop w:val="0"/>
                  <w:marBottom w:val="0"/>
                  <w:divBdr>
                    <w:top w:val="none" w:sz="0" w:space="0" w:color="auto"/>
                    <w:left w:val="none" w:sz="0" w:space="0" w:color="auto"/>
                    <w:bottom w:val="none" w:sz="0" w:space="0" w:color="auto"/>
                    <w:right w:val="none" w:sz="0" w:space="0" w:color="auto"/>
                  </w:divBdr>
                  <w:divsChild>
                    <w:div w:id="645160538">
                      <w:marLeft w:val="0"/>
                      <w:marRight w:val="0"/>
                      <w:marTop w:val="120"/>
                      <w:marBottom w:val="0"/>
                      <w:divBdr>
                        <w:top w:val="none" w:sz="0" w:space="0" w:color="auto"/>
                        <w:left w:val="none" w:sz="0" w:space="0" w:color="auto"/>
                        <w:bottom w:val="none" w:sz="0" w:space="0" w:color="auto"/>
                        <w:right w:val="none" w:sz="0" w:space="0" w:color="auto"/>
                      </w:divBdr>
                    </w:div>
                    <w:div w:id="10392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6682">
          <w:marLeft w:val="0"/>
          <w:marRight w:val="0"/>
          <w:marTop w:val="0"/>
          <w:marBottom w:val="0"/>
          <w:divBdr>
            <w:top w:val="none" w:sz="0" w:space="0" w:color="auto"/>
            <w:left w:val="none" w:sz="0" w:space="0" w:color="auto"/>
            <w:bottom w:val="none" w:sz="0" w:space="0" w:color="auto"/>
            <w:right w:val="none" w:sz="0" w:space="0" w:color="auto"/>
          </w:divBdr>
          <w:divsChild>
            <w:div w:id="895747388">
              <w:marLeft w:val="0"/>
              <w:marRight w:val="0"/>
              <w:marTop w:val="0"/>
              <w:marBottom w:val="0"/>
              <w:divBdr>
                <w:top w:val="none" w:sz="0" w:space="0" w:color="auto"/>
                <w:left w:val="none" w:sz="0" w:space="0" w:color="auto"/>
                <w:bottom w:val="none" w:sz="0" w:space="0" w:color="auto"/>
                <w:right w:val="none" w:sz="0" w:space="0" w:color="auto"/>
              </w:divBdr>
              <w:divsChild>
                <w:div w:id="374429954">
                  <w:marLeft w:val="0"/>
                  <w:marRight w:val="0"/>
                  <w:marTop w:val="0"/>
                  <w:marBottom w:val="0"/>
                  <w:divBdr>
                    <w:top w:val="none" w:sz="0" w:space="0" w:color="auto"/>
                    <w:left w:val="none" w:sz="0" w:space="0" w:color="auto"/>
                    <w:bottom w:val="none" w:sz="0" w:space="0" w:color="auto"/>
                    <w:right w:val="none" w:sz="0" w:space="0" w:color="auto"/>
                  </w:divBdr>
                  <w:divsChild>
                    <w:div w:id="1348291570">
                      <w:marLeft w:val="0"/>
                      <w:marRight w:val="0"/>
                      <w:marTop w:val="0"/>
                      <w:marBottom w:val="0"/>
                      <w:divBdr>
                        <w:top w:val="none" w:sz="0" w:space="0" w:color="auto"/>
                        <w:left w:val="none" w:sz="0" w:space="0" w:color="auto"/>
                        <w:bottom w:val="none" w:sz="0" w:space="0" w:color="auto"/>
                        <w:right w:val="none" w:sz="0" w:space="0" w:color="auto"/>
                      </w:divBdr>
                    </w:div>
                    <w:div w:id="1607153690">
                      <w:marLeft w:val="0"/>
                      <w:marRight w:val="0"/>
                      <w:marTop w:val="120"/>
                      <w:marBottom w:val="0"/>
                      <w:divBdr>
                        <w:top w:val="none" w:sz="0" w:space="0" w:color="auto"/>
                        <w:left w:val="none" w:sz="0" w:space="0" w:color="auto"/>
                        <w:bottom w:val="none" w:sz="0" w:space="0" w:color="auto"/>
                        <w:right w:val="none" w:sz="0" w:space="0" w:color="auto"/>
                      </w:divBdr>
                    </w:div>
                  </w:divsChild>
                </w:div>
                <w:div w:id="390081824">
                  <w:marLeft w:val="0"/>
                  <w:marRight w:val="0"/>
                  <w:marTop w:val="0"/>
                  <w:marBottom w:val="0"/>
                  <w:divBdr>
                    <w:top w:val="none" w:sz="0" w:space="0" w:color="auto"/>
                    <w:left w:val="none" w:sz="0" w:space="0" w:color="auto"/>
                    <w:bottom w:val="none" w:sz="0" w:space="0" w:color="auto"/>
                    <w:right w:val="none" w:sz="0" w:space="0" w:color="auto"/>
                  </w:divBdr>
                  <w:divsChild>
                    <w:div w:id="995182731">
                      <w:marLeft w:val="0"/>
                      <w:marRight w:val="0"/>
                      <w:marTop w:val="0"/>
                      <w:marBottom w:val="0"/>
                      <w:divBdr>
                        <w:top w:val="none" w:sz="0" w:space="0" w:color="auto"/>
                        <w:left w:val="none" w:sz="0" w:space="0" w:color="auto"/>
                        <w:bottom w:val="none" w:sz="0" w:space="0" w:color="auto"/>
                        <w:right w:val="none" w:sz="0" w:space="0" w:color="auto"/>
                      </w:divBdr>
                    </w:div>
                    <w:div w:id="2074350501">
                      <w:marLeft w:val="0"/>
                      <w:marRight w:val="0"/>
                      <w:marTop w:val="120"/>
                      <w:marBottom w:val="0"/>
                      <w:divBdr>
                        <w:top w:val="none" w:sz="0" w:space="0" w:color="auto"/>
                        <w:left w:val="none" w:sz="0" w:space="0" w:color="auto"/>
                        <w:bottom w:val="none" w:sz="0" w:space="0" w:color="auto"/>
                        <w:right w:val="none" w:sz="0" w:space="0" w:color="auto"/>
                      </w:divBdr>
                    </w:div>
                  </w:divsChild>
                </w:div>
                <w:div w:id="567882251">
                  <w:marLeft w:val="0"/>
                  <w:marRight w:val="0"/>
                  <w:marTop w:val="0"/>
                  <w:marBottom w:val="0"/>
                  <w:divBdr>
                    <w:top w:val="none" w:sz="0" w:space="0" w:color="auto"/>
                    <w:left w:val="none" w:sz="0" w:space="0" w:color="auto"/>
                    <w:bottom w:val="none" w:sz="0" w:space="0" w:color="auto"/>
                    <w:right w:val="none" w:sz="0" w:space="0" w:color="auto"/>
                  </w:divBdr>
                  <w:divsChild>
                    <w:div w:id="1109740403">
                      <w:marLeft w:val="0"/>
                      <w:marRight w:val="0"/>
                      <w:marTop w:val="0"/>
                      <w:marBottom w:val="0"/>
                      <w:divBdr>
                        <w:top w:val="none" w:sz="0" w:space="0" w:color="auto"/>
                        <w:left w:val="none" w:sz="0" w:space="0" w:color="auto"/>
                        <w:bottom w:val="none" w:sz="0" w:space="0" w:color="auto"/>
                        <w:right w:val="none" w:sz="0" w:space="0" w:color="auto"/>
                      </w:divBdr>
                    </w:div>
                    <w:div w:id="1127159394">
                      <w:marLeft w:val="0"/>
                      <w:marRight w:val="0"/>
                      <w:marTop w:val="120"/>
                      <w:marBottom w:val="0"/>
                      <w:divBdr>
                        <w:top w:val="none" w:sz="0" w:space="0" w:color="auto"/>
                        <w:left w:val="none" w:sz="0" w:space="0" w:color="auto"/>
                        <w:bottom w:val="none" w:sz="0" w:space="0" w:color="auto"/>
                        <w:right w:val="none" w:sz="0" w:space="0" w:color="auto"/>
                      </w:divBdr>
                    </w:div>
                  </w:divsChild>
                </w:div>
                <w:div w:id="667828341">
                  <w:marLeft w:val="0"/>
                  <w:marRight w:val="0"/>
                  <w:marTop w:val="0"/>
                  <w:marBottom w:val="0"/>
                  <w:divBdr>
                    <w:top w:val="none" w:sz="0" w:space="0" w:color="auto"/>
                    <w:left w:val="none" w:sz="0" w:space="0" w:color="auto"/>
                    <w:bottom w:val="none" w:sz="0" w:space="0" w:color="auto"/>
                    <w:right w:val="none" w:sz="0" w:space="0" w:color="auto"/>
                  </w:divBdr>
                  <w:divsChild>
                    <w:div w:id="1136950327">
                      <w:marLeft w:val="0"/>
                      <w:marRight w:val="0"/>
                      <w:marTop w:val="120"/>
                      <w:marBottom w:val="0"/>
                      <w:divBdr>
                        <w:top w:val="none" w:sz="0" w:space="0" w:color="auto"/>
                        <w:left w:val="none" w:sz="0" w:space="0" w:color="auto"/>
                        <w:bottom w:val="none" w:sz="0" w:space="0" w:color="auto"/>
                        <w:right w:val="none" w:sz="0" w:space="0" w:color="auto"/>
                      </w:divBdr>
                    </w:div>
                    <w:div w:id="1735467151">
                      <w:marLeft w:val="0"/>
                      <w:marRight w:val="0"/>
                      <w:marTop w:val="0"/>
                      <w:marBottom w:val="0"/>
                      <w:divBdr>
                        <w:top w:val="none" w:sz="0" w:space="0" w:color="auto"/>
                        <w:left w:val="none" w:sz="0" w:space="0" w:color="auto"/>
                        <w:bottom w:val="none" w:sz="0" w:space="0" w:color="auto"/>
                        <w:right w:val="none" w:sz="0" w:space="0" w:color="auto"/>
                      </w:divBdr>
                    </w:div>
                  </w:divsChild>
                </w:div>
                <w:div w:id="726758657">
                  <w:marLeft w:val="0"/>
                  <w:marRight w:val="0"/>
                  <w:marTop w:val="0"/>
                  <w:marBottom w:val="0"/>
                  <w:divBdr>
                    <w:top w:val="none" w:sz="0" w:space="0" w:color="auto"/>
                    <w:left w:val="none" w:sz="0" w:space="0" w:color="auto"/>
                    <w:bottom w:val="none" w:sz="0" w:space="0" w:color="auto"/>
                    <w:right w:val="none" w:sz="0" w:space="0" w:color="auto"/>
                  </w:divBdr>
                  <w:divsChild>
                    <w:div w:id="479928887">
                      <w:marLeft w:val="0"/>
                      <w:marRight w:val="0"/>
                      <w:marTop w:val="0"/>
                      <w:marBottom w:val="0"/>
                      <w:divBdr>
                        <w:top w:val="none" w:sz="0" w:space="0" w:color="auto"/>
                        <w:left w:val="none" w:sz="0" w:space="0" w:color="auto"/>
                        <w:bottom w:val="none" w:sz="0" w:space="0" w:color="auto"/>
                        <w:right w:val="none" w:sz="0" w:space="0" w:color="auto"/>
                      </w:divBdr>
                    </w:div>
                    <w:div w:id="1311206445">
                      <w:marLeft w:val="0"/>
                      <w:marRight w:val="0"/>
                      <w:marTop w:val="120"/>
                      <w:marBottom w:val="0"/>
                      <w:divBdr>
                        <w:top w:val="none" w:sz="0" w:space="0" w:color="auto"/>
                        <w:left w:val="none" w:sz="0" w:space="0" w:color="auto"/>
                        <w:bottom w:val="none" w:sz="0" w:space="0" w:color="auto"/>
                        <w:right w:val="none" w:sz="0" w:space="0" w:color="auto"/>
                      </w:divBdr>
                    </w:div>
                  </w:divsChild>
                </w:div>
                <w:div w:id="744567196">
                  <w:marLeft w:val="0"/>
                  <w:marRight w:val="0"/>
                  <w:marTop w:val="0"/>
                  <w:marBottom w:val="0"/>
                  <w:divBdr>
                    <w:top w:val="none" w:sz="0" w:space="0" w:color="auto"/>
                    <w:left w:val="none" w:sz="0" w:space="0" w:color="auto"/>
                    <w:bottom w:val="none" w:sz="0" w:space="0" w:color="auto"/>
                    <w:right w:val="none" w:sz="0" w:space="0" w:color="auto"/>
                  </w:divBdr>
                  <w:divsChild>
                    <w:div w:id="1054350763">
                      <w:marLeft w:val="0"/>
                      <w:marRight w:val="0"/>
                      <w:marTop w:val="0"/>
                      <w:marBottom w:val="0"/>
                      <w:divBdr>
                        <w:top w:val="none" w:sz="0" w:space="0" w:color="auto"/>
                        <w:left w:val="none" w:sz="0" w:space="0" w:color="auto"/>
                        <w:bottom w:val="none" w:sz="0" w:space="0" w:color="auto"/>
                        <w:right w:val="none" w:sz="0" w:space="0" w:color="auto"/>
                      </w:divBdr>
                    </w:div>
                    <w:div w:id="2050064128">
                      <w:marLeft w:val="0"/>
                      <w:marRight w:val="0"/>
                      <w:marTop w:val="120"/>
                      <w:marBottom w:val="0"/>
                      <w:divBdr>
                        <w:top w:val="none" w:sz="0" w:space="0" w:color="auto"/>
                        <w:left w:val="none" w:sz="0" w:space="0" w:color="auto"/>
                        <w:bottom w:val="none" w:sz="0" w:space="0" w:color="auto"/>
                        <w:right w:val="none" w:sz="0" w:space="0" w:color="auto"/>
                      </w:divBdr>
                    </w:div>
                  </w:divsChild>
                </w:div>
                <w:div w:id="1931961571">
                  <w:marLeft w:val="0"/>
                  <w:marRight w:val="0"/>
                  <w:marTop w:val="0"/>
                  <w:marBottom w:val="0"/>
                  <w:divBdr>
                    <w:top w:val="none" w:sz="0" w:space="0" w:color="auto"/>
                    <w:left w:val="none" w:sz="0" w:space="0" w:color="auto"/>
                    <w:bottom w:val="none" w:sz="0" w:space="0" w:color="auto"/>
                    <w:right w:val="none" w:sz="0" w:space="0" w:color="auto"/>
                  </w:divBdr>
                  <w:divsChild>
                    <w:div w:id="1022702552">
                      <w:marLeft w:val="0"/>
                      <w:marRight w:val="0"/>
                      <w:marTop w:val="0"/>
                      <w:marBottom w:val="0"/>
                      <w:divBdr>
                        <w:top w:val="none" w:sz="0" w:space="0" w:color="auto"/>
                        <w:left w:val="none" w:sz="0" w:space="0" w:color="auto"/>
                        <w:bottom w:val="none" w:sz="0" w:space="0" w:color="auto"/>
                        <w:right w:val="none" w:sz="0" w:space="0" w:color="auto"/>
                      </w:divBdr>
                    </w:div>
                    <w:div w:id="15695377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5339887">
      <w:bodyDiv w:val="1"/>
      <w:marLeft w:val="0"/>
      <w:marRight w:val="0"/>
      <w:marTop w:val="0"/>
      <w:marBottom w:val="0"/>
      <w:divBdr>
        <w:top w:val="none" w:sz="0" w:space="0" w:color="auto"/>
        <w:left w:val="none" w:sz="0" w:space="0" w:color="auto"/>
        <w:bottom w:val="none" w:sz="0" w:space="0" w:color="auto"/>
        <w:right w:val="none" w:sz="0" w:space="0" w:color="auto"/>
      </w:divBdr>
    </w:div>
    <w:div w:id="152648431">
      <w:bodyDiv w:val="1"/>
      <w:marLeft w:val="0"/>
      <w:marRight w:val="0"/>
      <w:marTop w:val="0"/>
      <w:marBottom w:val="0"/>
      <w:divBdr>
        <w:top w:val="none" w:sz="0" w:space="0" w:color="auto"/>
        <w:left w:val="none" w:sz="0" w:space="0" w:color="auto"/>
        <w:bottom w:val="none" w:sz="0" w:space="0" w:color="auto"/>
        <w:right w:val="none" w:sz="0" w:space="0" w:color="auto"/>
      </w:divBdr>
    </w:div>
    <w:div w:id="217087459">
      <w:bodyDiv w:val="1"/>
      <w:marLeft w:val="0"/>
      <w:marRight w:val="0"/>
      <w:marTop w:val="0"/>
      <w:marBottom w:val="0"/>
      <w:divBdr>
        <w:top w:val="none" w:sz="0" w:space="0" w:color="auto"/>
        <w:left w:val="none" w:sz="0" w:space="0" w:color="auto"/>
        <w:bottom w:val="none" w:sz="0" w:space="0" w:color="auto"/>
        <w:right w:val="none" w:sz="0" w:space="0" w:color="auto"/>
      </w:divBdr>
    </w:div>
    <w:div w:id="220020814">
      <w:bodyDiv w:val="1"/>
      <w:marLeft w:val="0"/>
      <w:marRight w:val="0"/>
      <w:marTop w:val="0"/>
      <w:marBottom w:val="0"/>
      <w:divBdr>
        <w:top w:val="none" w:sz="0" w:space="0" w:color="auto"/>
        <w:left w:val="none" w:sz="0" w:space="0" w:color="auto"/>
        <w:bottom w:val="none" w:sz="0" w:space="0" w:color="auto"/>
        <w:right w:val="none" w:sz="0" w:space="0" w:color="auto"/>
      </w:divBdr>
    </w:div>
    <w:div w:id="284432944">
      <w:bodyDiv w:val="1"/>
      <w:marLeft w:val="0"/>
      <w:marRight w:val="0"/>
      <w:marTop w:val="0"/>
      <w:marBottom w:val="0"/>
      <w:divBdr>
        <w:top w:val="none" w:sz="0" w:space="0" w:color="auto"/>
        <w:left w:val="none" w:sz="0" w:space="0" w:color="auto"/>
        <w:bottom w:val="none" w:sz="0" w:space="0" w:color="auto"/>
        <w:right w:val="none" w:sz="0" w:space="0" w:color="auto"/>
      </w:divBdr>
    </w:div>
    <w:div w:id="357125690">
      <w:bodyDiv w:val="1"/>
      <w:marLeft w:val="0"/>
      <w:marRight w:val="0"/>
      <w:marTop w:val="0"/>
      <w:marBottom w:val="0"/>
      <w:divBdr>
        <w:top w:val="none" w:sz="0" w:space="0" w:color="auto"/>
        <w:left w:val="none" w:sz="0" w:space="0" w:color="auto"/>
        <w:bottom w:val="none" w:sz="0" w:space="0" w:color="auto"/>
        <w:right w:val="none" w:sz="0" w:space="0" w:color="auto"/>
      </w:divBdr>
      <w:divsChild>
        <w:div w:id="791747850">
          <w:marLeft w:val="0"/>
          <w:marRight w:val="0"/>
          <w:marTop w:val="0"/>
          <w:marBottom w:val="0"/>
          <w:divBdr>
            <w:top w:val="none" w:sz="0" w:space="0" w:color="auto"/>
            <w:left w:val="none" w:sz="0" w:space="0" w:color="auto"/>
            <w:bottom w:val="none" w:sz="0" w:space="0" w:color="auto"/>
            <w:right w:val="none" w:sz="0" w:space="0" w:color="auto"/>
          </w:divBdr>
          <w:divsChild>
            <w:div w:id="1520461727">
              <w:marLeft w:val="0"/>
              <w:marRight w:val="0"/>
              <w:marTop w:val="0"/>
              <w:marBottom w:val="0"/>
              <w:divBdr>
                <w:top w:val="none" w:sz="0" w:space="0" w:color="auto"/>
                <w:left w:val="none" w:sz="0" w:space="0" w:color="auto"/>
                <w:bottom w:val="none" w:sz="0" w:space="0" w:color="auto"/>
                <w:right w:val="none" w:sz="0" w:space="0" w:color="auto"/>
              </w:divBdr>
            </w:div>
            <w:div w:id="19042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0414">
      <w:bodyDiv w:val="1"/>
      <w:marLeft w:val="0"/>
      <w:marRight w:val="0"/>
      <w:marTop w:val="0"/>
      <w:marBottom w:val="0"/>
      <w:divBdr>
        <w:top w:val="none" w:sz="0" w:space="0" w:color="auto"/>
        <w:left w:val="none" w:sz="0" w:space="0" w:color="auto"/>
        <w:bottom w:val="none" w:sz="0" w:space="0" w:color="auto"/>
        <w:right w:val="none" w:sz="0" w:space="0" w:color="auto"/>
      </w:divBdr>
    </w:div>
    <w:div w:id="495465055">
      <w:bodyDiv w:val="1"/>
      <w:marLeft w:val="0"/>
      <w:marRight w:val="0"/>
      <w:marTop w:val="0"/>
      <w:marBottom w:val="0"/>
      <w:divBdr>
        <w:top w:val="none" w:sz="0" w:space="0" w:color="auto"/>
        <w:left w:val="none" w:sz="0" w:space="0" w:color="auto"/>
        <w:bottom w:val="none" w:sz="0" w:space="0" w:color="auto"/>
        <w:right w:val="none" w:sz="0" w:space="0" w:color="auto"/>
      </w:divBdr>
      <w:divsChild>
        <w:div w:id="944271335">
          <w:marLeft w:val="0"/>
          <w:marRight w:val="0"/>
          <w:marTop w:val="0"/>
          <w:marBottom w:val="0"/>
          <w:divBdr>
            <w:top w:val="none" w:sz="0" w:space="0" w:color="auto"/>
            <w:left w:val="none" w:sz="0" w:space="0" w:color="auto"/>
            <w:bottom w:val="none" w:sz="0" w:space="0" w:color="auto"/>
            <w:right w:val="none" w:sz="0" w:space="0" w:color="auto"/>
          </w:divBdr>
          <w:divsChild>
            <w:div w:id="533035639">
              <w:marLeft w:val="0"/>
              <w:marRight w:val="0"/>
              <w:marTop w:val="0"/>
              <w:marBottom w:val="0"/>
              <w:divBdr>
                <w:top w:val="none" w:sz="0" w:space="0" w:color="auto"/>
                <w:left w:val="none" w:sz="0" w:space="0" w:color="auto"/>
                <w:bottom w:val="none" w:sz="0" w:space="0" w:color="auto"/>
                <w:right w:val="none" w:sz="0" w:space="0" w:color="auto"/>
              </w:divBdr>
            </w:div>
            <w:div w:id="1572740246">
              <w:marLeft w:val="0"/>
              <w:marRight w:val="0"/>
              <w:marTop w:val="0"/>
              <w:marBottom w:val="0"/>
              <w:divBdr>
                <w:top w:val="none" w:sz="0" w:space="0" w:color="auto"/>
                <w:left w:val="none" w:sz="0" w:space="0" w:color="auto"/>
                <w:bottom w:val="none" w:sz="0" w:space="0" w:color="auto"/>
                <w:right w:val="none" w:sz="0" w:space="0" w:color="auto"/>
              </w:divBdr>
            </w:div>
          </w:divsChild>
        </w:div>
        <w:div w:id="1021975845">
          <w:marLeft w:val="0"/>
          <w:marRight w:val="0"/>
          <w:marTop w:val="0"/>
          <w:marBottom w:val="0"/>
          <w:divBdr>
            <w:top w:val="none" w:sz="0" w:space="0" w:color="auto"/>
            <w:left w:val="none" w:sz="0" w:space="0" w:color="auto"/>
            <w:bottom w:val="none" w:sz="0" w:space="0" w:color="auto"/>
            <w:right w:val="none" w:sz="0" w:space="0" w:color="auto"/>
          </w:divBdr>
          <w:divsChild>
            <w:div w:id="2063866136">
              <w:marLeft w:val="0"/>
              <w:marRight w:val="0"/>
              <w:marTop w:val="0"/>
              <w:marBottom w:val="0"/>
              <w:divBdr>
                <w:top w:val="none" w:sz="0" w:space="0" w:color="auto"/>
                <w:left w:val="none" w:sz="0" w:space="0" w:color="auto"/>
                <w:bottom w:val="none" w:sz="0" w:space="0" w:color="auto"/>
                <w:right w:val="none" w:sz="0" w:space="0" w:color="auto"/>
              </w:divBdr>
            </w:div>
          </w:divsChild>
        </w:div>
        <w:div w:id="2135899918">
          <w:marLeft w:val="0"/>
          <w:marRight w:val="0"/>
          <w:marTop w:val="0"/>
          <w:marBottom w:val="0"/>
          <w:divBdr>
            <w:top w:val="none" w:sz="0" w:space="0" w:color="auto"/>
            <w:left w:val="none" w:sz="0" w:space="0" w:color="auto"/>
            <w:bottom w:val="none" w:sz="0" w:space="0" w:color="auto"/>
            <w:right w:val="none" w:sz="0" w:space="0" w:color="auto"/>
          </w:divBdr>
          <w:divsChild>
            <w:div w:id="549536363">
              <w:marLeft w:val="0"/>
              <w:marRight w:val="0"/>
              <w:marTop w:val="0"/>
              <w:marBottom w:val="0"/>
              <w:divBdr>
                <w:top w:val="none" w:sz="0" w:space="0" w:color="auto"/>
                <w:left w:val="none" w:sz="0" w:space="0" w:color="auto"/>
                <w:bottom w:val="none" w:sz="0" w:space="0" w:color="auto"/>
                <w:right w:val="none" w:sz="0" w:space="0" w:color="auto"/>
              </w:divBdr>
            </w:div>
            <w:div w:id="1320617524">
              <w:marLeft w:val="0"/>
              <w:marRight w:val="0"/>
              <w:marTop w:val="0"/>
              <w:marBottom w:val="0"/>
              <w:divBdr>
                <w:top w:val="none" w:sz="0" w:space="0" w:color="auto"/>
                <w:left w:val="none" w:sz="0" w:space="0" w:color="auto"/>
                <w:bottom w:val="none" w:sz="0" w:space="0" w:color="auto"/>
                <w:right w:val="none" w:sz="0" w:space="0" w:color="auto"/>
              </w:divBdr>
              <w:divsChild>
                <w:div w:id="140849805">
                  <w:marLeft w:val="0"/>
                  <w:marRight w:val="0"/>
                  <w:marTop w:val="0"/>
                  <w:marBottom w:val="0"/>
                  <w:divBdr>
                    <w:top w:val="none" w:sz="0" w:space="0" w:color="auto"/>
                    <w:left w:val="none" w:sz="0" w:space="0" w:color="auto"/>
                    <w:bottom w:val="none" w:sz="0" w:space="0" w:color="auto"/>
                    <w:right w:val="none" w:sz="0" w:space="0" w:color="auto"/>
                  </w:divBdr>
                  <w:divsChild>
                    <w:div w:id="888960736">
                      <w:marLeft w:val="0"/>
                      <w:marRight w:val="0"/>
                      <w:marTop w:val="0"/>
                      <w:marBottom w:val="0"/>
                      <w:divBdr>
                        <w:top w:val="none" w:sz="0" w:space="0" w:color="auto"/>
                        <w:left w:val="none" w:sz="0" w:space="0" w:color="auto"/>
                        <w:bottom w:val="none" w:sz="0" w:space="0" w:color="auto"/>
                        <w:right w:val="none" w:sz="0" w:space="0" w:color="auto"/>
                      </w:divBdr>
                    </w:div>
                    <w:div w:id="2145855459">
                      <w:marLeft w:val="0"/>
                      <w:marRight w:val="0"/>
                      <w:marTop w:val="0"/>
                      <w:marBottom w:val="0"/>
                      <w:divBdr>
                        <w:top w:val="none" w:sz="0" w:space="0" w:color="auto"/>
                        <w:left w:val="none" w:sz="0" w:space="0" w:color="auto"/>
                        <w:bottom w:val="none" w:sz="0" w:space="0" w:color="auto"/>
                        <w:right w:val="none" w:sz="0" w:space="0" w:color="auto"/>
                      </w:divBdr>
                    </w:div>
                  </w:divsChild>
                </w:div>
                <w:div w:id="1002664584">
                  <w:marLeft w:val="0"/>
                  <w:marRight w:val="0"/>
                  <w:marTop w:val="0"/>
                  <w:marBottom w:val="0"/>
                  <w:divBdr>
                    <w:top w:val="none" w:sz="0" w:space="0" w:color="auto"/>
                    <w:left w:val="none" w:sz="0" w:space="0" w:color="auto"/>
                    <w:bottom w:val="none" w:sz="0" w:space="0" w:color="auto"/>
                    <w:right w:val="none" w:sz="0" w:space="0" w:color="auto"/>
                  </w:divBdr>
                  <w:divsChild>
                    <w:div w:id="496310560">
                      <w:marLeft w:val="0"/>
                      <w:marRight w:val="0"/>
                      <w:marTop w:val="0"/>
                      <w:marBottom w:val="0"/>
                      <w:divBdr>
                        <w:top w:val="none" w:sz="0" w:space="0" w:color="auto"/>
                        <w:left w:val="none" w:sz="0" w:space="0" w:color="auto"/>
                        <w:bottom w:val="none" w:sz="0" w:space="0" w:color="auto"/>
                        <w:right w:val="none" w:sz="0" w:space="0" w:color="auto"/>
                      </w:divBdr>
                    </w:div>
                    <w:div w:id="1699886452">
                      <w:marLeft w:val="0"/>
                      <w:marRight w:val="0"/>
                      <w:marTop w:val="0"/>
                      <w:marBottom w:val="0"/>
                      <w:divBdr>
                        <w:top w:val="none" w:sz="0" w:space="0" w:color="auto"/>
                        <w:left w:val="none" w:sz="0" w:space="0" w:color="auto"/>
                        <w:bottom w:val="none" w:sz="0" w:space="0" w:color="auto"/>
                        <w:right w:val="none" w:sz="0" w:space="0" w:color="auto"/>
                      </w:divBdr>
                    </w:div>
                  </w:divsChild>
                </w:div>
                <w:div w:id="1946571944">
                  <w:marLeft w:val="0"/>
                  <w:marRight w:val="0"/>
                  <w:marTop w:val="0"/>
                  <w:marBottom w:val="0"/>
                  <w:divBdr>
                    <w:top w:val="none" w:sz="0" w:space="0" w:color="auto"/>
                    <w:left w:val="none" w:sz="0" w:space="0" w:color="auto"/>
                    <w:bottom w:val="none" w:sz="0" w:space="0" w:color="auto"/>
                    <w:right w:val="none" w:sz="0" w:space="0" w:color="auto"/>
                  </w:divBdr>
                  <w:divsChild>
                    <w:div w:id="1605454436">
                      <w:marLeft w:val="0"/>
                      <w:marRight w:val="0"/>
                      <w:marTop w:val="0"/>
                      <w:marBottom w:val="0"/>
                      <w:divBdr>
                        <w:top w:val="none" w:sz="0" w:space="0" w:color="auto"/>
                        <w:left w:val="none" w:sz="0" w:space="0" w:color="auto"/>
                        <w:bottom w:val="none" w:sz="0" w:space="0" w:color="auto"/>
                        <w:right w:val="none" w:sz="0" w:space="0" w:color="auto"/>
                      </w:divBdr>
                    </w:div>
                    <w:div w:id="19116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799182">
      <w:bodyDiv w:val="1"/>
      <w:marLeft w:val="0"/>
      <w:marRight w:val="0"/>
      <w:marTop w:val="0"/>
      <w:marBottom w:val="0"/>
      <w:divBdr>
        <w:top w:val="none" w:sz="0" w:space="0" w:color="auto"/>
        <w:left w:val="none" w:sz="0" w:space="0" w:color="auto"/>
        <w:bottom w:val="none" w:sz="0" w:space="0" w:color="auto"/>
        <w:right w:val="none" w:sz="0" w:space="0" w:color="auto"/>
      </w:divBdr>
    </w:div>
    <w:div w:id="555165749">
      <w:bodyDiv w:val="1"/>
      <w:marLeft w:val="0"/>
      <w:marRight w:val="0"/>
      <w:marTop w:val="0"/>
      <w:marBottom w:val="0"/>
      <w:divBdr>
        <w:top w:val="none" w:sz="0" w:space="0" w:color="auto"/>
        <w:left w:val="none" w:sz="0" w:space="0" w:color="auto"/>
        <w:bottom w:val="none" w:sz="0" w:space="0" w:color="auto"/>
        <w:right w:val="none" w:sz="0" w:space="0" w:color="auto"/>
      </w:divBdr>
    </w:div>
    <w:div w:id="582641295">
      <w:bodyDiv w:val="1"/>
      <w:marLeft w:val="0"/>
      <w:marRight w:val="0"/>
      <w:marTop w:val="0"/>
      <w:marBottom w:val="0"/>
      <w:divBdr>
        <w:top w:val="none" w:sz="0" w:space="0" w:color="auto"/>
        <w:left w:val="none" w:sz="0" w:space="0" w:color="auto"/>
        <w:bottom w:val="none" w:sz="0" w:space="0" w:color="auto"/>
        <w:right w:val="none" w:sz="0" w:space="0" w:color="auto"/>
      </w:divBdr>
    </w:div>
    <w:div w:id="617682570">
      <w:bodyDiv w:val="1"/>
      <w:marLeft w:val="0"/>
      <w:marRight w:val="0"/>
      <w:marTop w:val="0"/>
      <w:marBottom w:val="0"/>
      <w:divBdr>
        <w:top w:val="none" w:sz="0" w:space="0" w:color="auto"/>
        <w:left w:val="none" w:sz="0" w:space="0" w:color="auto"/>
        <w:bottom w:val="none" w:sz="0" w:space="0" w:color="auto"/>
        <w:right w:val="none" w:sz="0" w:space="0" w:color="auto"/>
      </w:divBdr>
    </w:div>
    <w:div w:id="798652039">
      <w:bodyDiv w:val="1"/>
      <w:marLeft w:val="0"/>
      <w:marRight w:val="0"/>
      <w:marTop w:val="0"/>
      <w:marBottom w:val="0"/>
      <w:divBdr>
        <w:top w:val="none" w:sz="0" w:space="0" w:color="auto"/>
        <w:left w:val="none" w:sz="0" w:space="0" w:color="auto"/>
        <w:bottom w:val="none" w:sz="0" w:space="0" w:color="auto"/>
        <w:right w:val="none" w:sz="0" w:space="0" w:color="auto"/>
      </w:divBdr>
      <w:divsChild>
        <w:div w:id="150219052">
          <w:marLeft w:val="0"/>
          <w:marRight w:val="0"/>
          <w:marTop w:val="0"/>
          <w:marBottom w:val="0"/>
          <w:divBdr>
            <w:top w:val="none" w:sz="0" w:space="0" w:color="auto"/>
            <w:left w:val="none" w:sz="0" w:space="0" w:color="auto"/>
            <w:bottom w:val="none" w:sz="0" w:space="0" w:color="auto"/>
            <w:right w:val="none" w:sz="0" w:space="0" w:color="auto"/>
          </w:divBdr>
          <w:divsChild>
            <w:div w:id="40134750">
              <w:marLeft w:val="0"/>
              <w:marRight w:val="0"/>
              <w:marTop w:val="120"/>
              <w:marBottom w:val="0"/>
              <w:divBdr>
                <w:top w:val="none" w:sz="0" w:space="0" w:color="auto"/>
                <w:left w:val="none" w:sz="0" w:space="0" w:color="auto"/>
                <w:bottom w:val="none" w:sz="0" w:space="0" w:color="auto"/>
                <w:right w:val="none" w:sz="0" w:space="0" w:color="auto"/>
              </w:divBdr>
            </w:div>
            <w:div w:id="42753217">
              <w:marLeft w:val="0"/>
              <w:marRight w:val="0"/>
              <w:marTop w:val="0"/>
              <w:marBottom w:val="0"/>
              <w:divBdr>
                <w:top w:val="none" w:sz="0" w:space="0" w:color="auto"/>
                <w:left w:val="none" w:sz="0" w:space="0" w:color="auto"/>
                <w:bottom w:val="none" w:sz="0" w:space="0" w:color="auto"/>
                <w:right w:val="none" w:sz="0" w:space="0" w:color="auto"/>
              </w:divBdr>
            </w:div>
          </w:divsChild>
        </w:div>
        <w:div w:id="578904245">
          <w:marLeft w:val="0"/>
          <w:marRight w:val="0"/>
          <w:marTop w:val="0"/>
          <w:marBottom w:val="0"/>
          <w:divBdr>
            <w:top w:val="none" w:sz="0" w:space="0" w:color="auto"/>
            <w:left w:val="none" w:sz="0" w:space="0" w:color="auto"/>
            <w:bottom w:val="none" w:sz="0" w:space="0" w:color="auto"/>
            <w:right w:val="none" w:sz="0" w:space="0" w:color="auto"/>
          </w:divBdr>
          <w:divsChild>
            <w:div w:id="1476414287">
              <w:marLeft w:val="0"/>
              <w:marRight w:val="0"/>
              <w:marTop w:val="0"/>
              <w:marBottom w:val="0"/>
              <w:divBdr>
                <w:top w:val="none" w:sz="0" w:space="0" w:color="auto"/>
                <w:left w:val="none" w:sz="0" w:space="0" w:color="auto"/>
                <w:bottom w:val="none" w:sz="0" w:space="0" w:color="auto"/>
                <w:right w:val="none" w:sz="0" w:space="0" w:color="auto"/>
              </w:divBdr>
            </w:div>
            <w:div w:id="1935360587">
              <w:marLeft w:val="0"/>
              <w:marRight w:val="0"/>
              <w:marTop w:val="120"/>
              <w:marBottom w:val="0"/>
              <w:divBdr>
                <w:top w:val="none" w:sz="0" w:space="0" w:color="auto"/>
                <w:left w:val="none" w:sz="0" w:space="0" w:color="auto"/>
                <w:bottom w:val="none" w:sz="0" w:space="0" w:color="auto"/>
                <w:right w:val="none" w:sz="0" w:space="0" w:color="auto"/>
              </w:divBdr>
            </w:div>
          </w:divsChild>
        </w:div>
        <w:div w:id="582446488">
          <w:marLeft w:val="0"/>
          <w:marRight w:val="0"/>
          <w:marTop w:val="0"/>
          <w:marBottom w:val="0"/>
          <w:divBdr>
            <w:top w:val="none" w:sz="0" w:space="0" w:color="auto"/>
            <w:left w:val="none" w:sz="0" w:space="0" w:color="auto"/>
            <w:bottom w:val="none" w:sz="0" w:space="0" w:color="auto"/>
            <w:right w:val="none" w:sz="0" w:space="0" w:color="auto"/>
          </w:divBdr>
          <w:divsChild>
            <w:div w:id="537358117">
              <w:marLeft w:val="0"/>
              <w:marRight w:val="0"/>
              <w:marTop w:val="120"/>
              <w:marBottom w:val="0"/>
              <w:divBdr>
                <w:top w:val="none" w:sz="0" w:space="0" w:color="auto"/>
                <w:left w:val="none" w:sz="0" w:space="0" w:color="auto"/>
                <w:bottom w:val="none" w:sz="0" w:space="0" w:color="auto"/>
                <w:right w:val="none" w:sz="0" w:space="0" w:color="auto"/>
              </w:divBdr>
            </w:div>
            <w:div w:id="2017533775">
              <w:marLeft w:val="0"/>
              <w:marRight w:val="0"/>
              <w:marTop w:val="0"/>
              <w:marBottom w:val="0"/>
              <w:divBdr>
                <w:top w:val="none" w:sz="0" w:space="0" w:color="auto"/>
                <w:left w:val="none" w:sz="0" w:space="0" w:color="auto"/>
                <w:bottom w:val="none" w:sz="0" w:space="0" w:color="auto"/>
                <w:right w:val="none" w:sz="0" w:space="0" w:color="auto"/>
              </w:divBdr>
            </w:div>
          </w:divsChild>
        </w:div>
        <w:div w:id="1042513354">
          <w:marLeft w:val="0"/>
          <w:marRight w:val="0"/>
          <w:marTop w:val="0"/>
          <w:marBottom w:val="0"/>
          <w:divBdr>
            <w:top w:val="none" w:sz="0" w:space="0" w:color="auto"/>
            <w:left w:val="none" w:sz="0" w:space="0" w:color="auto"/>
            <w:bottom w:val="none" w:sz="0" w:space="0" w:color="auto"/>
            <w:right w:val="none" w:sz="0" w:space="0" w:color="auto"/>
          </w:divBdr>
          <w:divsChild>
            <w:div w:id="236289465">
              <w:marLeft w:val="0"/>
              <w:marRight w:val="0"/>
              <w:marTop w:val="120"/>
              <w:marBottom w:val="0"/>
              <w:divBdr>
                <w:top w:val="none" w:sz="0" w:space="0" w:color="auto"/>
                <w:left w:val="none" w:sz="0" w:space="0" w:color="auto"/>
                <w:bottom w:val="none" w:sz="0" w:space="0" w:color="auto"/>
                <w:right w:val="none" w:sz="0" w:space="0" w:color="auto"/>
              </w:divBdr>
            </w:div>
            <w:div w:id="1486623427">
              <w:marLeft w:val="0"/>
              <w:marRight w:val="0"/>
              <w:marTop w:val="0"/>
              <w:marBottom w:val="0"/>
              <w:divBdr>
                <w:top w:val="none" w:sz="0" w:space="0" w:color="auto"/>
                <w:left w:val="none" w:sz="0" w:space="0" w:color="auto"/>
                <w:bottom w:val="none" w:sz="0" w:space="0" w:color="auto"/>
                <w:right w:val="none" w:sz="0" w:space="0" w:color="auto"/>
              </w:divBdr>
            </w:div>
          </w:divsChild>
        </w:div>
        <w:div w:id="1564488173">
          <w:marLeft w:val="0"/>
          <w:marRight w:val="0"/>
          <w:marTop w:val="0"/>
          <w:marBottom w:val="0"/>
          <w:divBdr>
            <w:top w:val="none" w:sz="0" w:space="0" w:color="auto"/>
            <w:left w:val="none" w:sz="0" w:space="0" w:color="auto"/>
            <w:bottom w:val="none" w:sz="0" w:space="0" w:color="auto"/>
            <w:right w:val="none" w:sz="0" w:space="0" w:color="auto"/>
          </w:divBdr>
          <w:divsChild>
            <w:div w:id="183447014">
              <w:marLeft w:val="0"/>
              <w:marRight w:val="0"/>
              <w:marTop w:val="0"/>
              <w:marBottom w:val="0"/>
              <w:divBdr>
                <w:top w:val="none" w:sz="0" w:space="0" w:color="auto"/>
                <w:left w:val="none" w:sz="0" w:space="0" w:color="auto"/>
                <w:bottom w:val="none" w:sz="0" w:space="0" w:color="auto"/>
                <w:right w:val="none" w:sz="0" w:space="0" w:color="auto"/>
              </w:divBdr>
            </w:div>
            <w:div w:id="248462384">
              <w:marLeft w:val="0"/>
              <w:marRight w:val="0"/>
              <w:marTop w:val="120"/>
              <w:marBottom w:val="0"/>
              <w:divBdr>
                <w:top w:val="none" w:sz="0" w:space="0" w:color="auto"/>
                <w:left w:val="none" w:sz="0" w:space="0" w:color="auto"/>
                <w:bottom w:val="none" w:sz="0" w:space="0" w:color="auto"/>
                <w:right w:val="none" w:sz="0" w:space="0" w:color="auto"/>
              </w:divBdr>
            </w:div>
          </w:divsChild>
        </w:div>
        <w:div w:id="1851943159">
          <w:marLeft w:val="0"/>
          <w:marRight w:val="0"/>
          <w:marTop w:val="0"/>
          <w:marBottom w:val="0"/>
          <w:divBdr>
            <w:top w:val="none" w:sz="0" w:space="0" w:color="auto"/>
            <w:left w:val="none" w:sz="0" w:space="0" w:color="auto"/>
            <w:bottom w:val="none" w:sz="0" w:space="0" w:color="auto"/>
            <w:right w:val="none" w:sz="0" w:space="0" w:color="auto"/>
          </w:divBdr>
          <w:divsChild>
            <w:div w:id="869682207">
              <w:marLeft w:val="0"/>
              <w:marRight w:val="0"/>
              <w:marTop w:val="0"/>
              <w:marBottom w:val="0"/>
              <w:divBdr>
                <w:top w:val="none" w:sz="0" w:space="0" w:color="auto"/>
                <w:left w:val="none" w:sz="0" w:space="0" w:color="auto"/>
                <w:bottom w:val="none" w:sz="0" w:space="0" w:color="auto"/>
                <w:right w:val="none" w:sz="0" w:space="0" w:color="auto"/>
              </w:divBdr>
            </w:div>
            <w:div w:id="1233927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0703814">
      <w:bodyDiv w:val="1"/>
      <w:marLeft w:val="0"/>
      <w:marRight w:val="0"/>
      <w:marTop w:val="0"/>
      <w:marBottom w:val="0"/>
      <w:divBdr>
        <w:top w:val="none" w:sz="0" w:space="0" w:color="auto"/>
        <w:left w:val="none" w:sz="0" w:space="0" w:color="auto"/>
        <w:bottom w:val="none" w:sz="0" w:space="0" w:color="auto"/>
        <w:right w:val="none" w:sz="0" w:space="0" w:color="auto"/>
      </w:divBdr>
    </w:div>
    <w:div w:id="889222100">
      <w:bodyDiv w:val="1"/>
      <w:marLeft w:val="0"/>
      <w:marRight w:val="0"/>
      <w:marTop w:val="0"/>
      <w:marBottom w:val="0"/>
      <w:divBdr>
        <w:top w:val="none" w:sz="0" w:space="0" w:color="auto"/>
        <w:left w:val="none" w:sz="0" w:space="0" w:color="auto"/>
        <w:bottom w:val="none" w:sz="0" w:space="0" w:color="auto"/>
        <w:right w:val="none" w:sz="0" w:space="0" w:color="auto"/>
      </w:divBdr>
    </w:div>
    <w:div w:id="942883463">
      <w:bodyDiv w:val="1"/>
      <w:marLeft w:val="0"/>
      <w:marRight w:val="0"/>
      <w:marTop w:val="0"/>
      <w:marBottom w:val="0"/>
      <w:divBdr>
        <w:top w:val="none" w:sz="0" w:space="0" w:color="auto"/>
        <w:left w:val="none" w:sz="0" w:space="0" w:color="auto"/>
        <w:bottom w:val="none" w:sz="0" w:space="0" w:color="auto"/>
        <w:right w:val="none" w:sz="0" w:space="0" w:color="auto"/>
      </w:divBdr>
    </w:div>
    <w:div w:id="1080908657">
      <w:bodyDiv w:val="1"/>
      <w:marLeft w:val="0"/>
      <w:marRight w:val="0"/>
      <w:marTop w:val="0"/>
      <w:marBottom w:val="0"/>
      <w:divBdr>
        <w:top w:val="none" w:sz="0" w:space="0" w:color="auto"/>
        <w:left w:val="none" w:sz="0" w:space="0" w:color="auto"/>
        <w:bottom w:val="none" w:sz="0" w:space="0" w:color="auto"/>
        <w:right w:val="none" w:sz="0" w:space="0" w:color="auto"/>
      </w:divBdr>
    </w:div>
    <w:div w:id="1085105350">
      <w:bodyDiv w:val="1"/>
      <w:marLeft w:val="0"/>
      <w:marRight w:val="0"/>
      <w:marTop w:val="0"/>
      <w:marBottom w:val="0"/>
      <w:divBdr>
        <w:top w:val="none" w:sz="0" w:space="0" w:color="auto"/>
        <w:left w:val="none" w:sz="0" w:space="0" w:color="auto"/>
        <w:bottom w:val="none" w:sz="0" w:space="0" w:color="auto"/>
        <w:right w:val="none" w:sz="0" w:space="0" w:color="auto"/>
      </w:divBdr>
    </w:div>
    <w:div w:id="1100613027">
      <w:bodyDiv w:val="1"/>
      <w:marLeft w:val="0"/>
      <w:marRight w:val="0"/>
      <w:marTop w:val="0"/>
      <w:marBottom w:val="0"/>
      <w:divBdr>
        <w:top w:val="none" w:sz="0" w:space="0" w:color="auto"/>
        <w:left w:val="none" w:sz="0" w:space="0" w:color="auto"/>
        <w:bottom w:val="none" w:sz="0" w:space="0" w:color="auto"/>
        <w:right w:val="none" w:sz="0" w:space="0" w:color="auto"/>
      </w:divBdr>
    </w:div>
    <w:div w:id="1157183784">
      <w:bodyDiv w:val="1"/>
      <w:marLeft w:val="0"/>
      <w:marRight w:val="0"/>
      <w:marTop w:val="0"/>
      <w:marBottom w:val="0"/>
      <w:divBdr>
        <w:top w:val="none" w:sz="0" w:space="0" w:color="auto"/>
        <w:left w:val="none" w:sz="0" w:space="0" w:color="auto"/>
        <w:bottom w:val="none" w:sz="0" w:space="0" w:color="auto"/>
        <w:right w:val="none" w:sz="0" w:space="0" w:color="auto"/>
      </w:divBdr>
    </w:div>
    <w:div w:id="1158887855">
      <w:bodyDiv w:val="1"/>
      <w:marLeft w:val="0"/>
      <w:marRight w:val="0"/>
      <w:marTop w:val="0"/>
      <w:marBottom w:val="0"/>
      <w:divBdr>
        <w:top w:val="none" w:sz="0" w:space="0" w:color="auto"/>
        <w:left w:val="none" w:sz="0" w:space="0" w:color="auto"/>
        <w:bottom w:val="none" w:sz="0" w:space="0" w:color="auto"/>
        <w:right w:val="none" w:sz="0" w:space="0" w:color="auto"/>
      </w:divBdr>
      <w:divsChild>
        <w:div w:id="882133586">
          <w:marLeft w:val="0"/>
          <w:marRight w:val="0"/>
          <w:marTop w:val="0"/>
          <w:marBottom w:val="0"/>
          <w:divBdr>
            <w:top w:val="none" w:sz="0" w:space="0" w:color="auto"/>
            <w:left w:val="none" w:sz="0" w:space="0" w:color="auto"/>
            <w:bottom w:val="none" w:sz="0" w:space="0" w:color="auto"/>
            <w:right w:val="none" w:sz="0" w:space="0" w:color="auto"/>
          </w:divBdr>
        </w:div>
        <w:div w:id="1861624499">
          <w:marLeft w:val="0"/>
          <w:marRight w:val="0"/>
          <w:marTop w:val="0"/>
          <w:marBottom w:val="0"/>
          <w:divBdr>
            <w:top w:val="none" w:sz="0" w:space="0" w:color="auto"/>
            <w:left w:val="none" w:sz="0" w:space="0" w:color="auto"/>
            <w:bottom w:val="none" w:sz="0" w:space="0" w:color="auto"/>
            <w:right w:val="none" w:sz="0" w:space="0" w:color="auto"/>
          </w:divBdr>
        </w:div>
      </w:divsChild>
    </w:div>
    <w:div w:id="1199246521">
      <w:bodyDiv w:val="1"/>
      <w:marLeft w:val="0"/>
      <w:marRight w:val="0"/>
      <w:marTop w:val="0"/>
      <w:marBottom w:val="0"/>
      <w:divBdr>
        <w:top w:val="none" w:sz="0" w:space="0" w:color="auto"/>
        <w:left w:val="none" w:sz="0" w:space="0" w:color="auto"/>
        <w:bottom w:val="none" w:sz="0" w:space="0" w:color="auto"/>
        <w:right w:val="none" w:sz="0" w:space="0" w:color="auto"/>
      </w:divBdr>
    </w:div>
    <w:div w:id="1216621346">
      <w:bodyDiv w:val="1"/>
      <w:marLeft w:val="0"/>
      <w:marRight w:val="0"/>
      <w:marTop w:val="0"/>
      <w:marBottom w:val="0"/>
      <w:divBdr>
        <w:top w:val="none" w:sz="0" w:space="0" w:color="auto"/>
        <w:left w:val="none" w:sz="0" w:space="0" w:color="auto"/>
        <w:bottom w:val="none" w:sz="0" w:space="0" w:color="auto"/>
        <w:right w:val="none" w:sz="0" w:space="0" w:color="auto"/>
      </w:divBdr>
    </w:div>
    <w:div w:id="1264799681">
      <w:bodyDiv w:val="1"/>
      <w:marLeft w:val="0"/>
      <w:marRight w:val="0"/>
      <w:marTop w:val="0"/>
      <w:marBottom w:val="0"/>
      <w:divBdr>
        <w:top w:val="none" w:sz="0" w:space="0" w:color="auto"/>
        <w:left w:val="none" w:sz="0" w:space="0" w:color="auto"/>
        <w:bottom w:val="none" w:sz="0" w:space="0" w:color="auto"/>
        <w:right w:val="none" w:sz="0" w:space="0" w:color="auto"/>
      </w:divBdr>
    </w:div>
    <w:div w:id="1269773675">
      <w:bodyDiv w:val="1"/>
      <w:marLeft w:val="0"/>
      <w:marRight w:val="0"/>
      <w:marTop w:val="0"/>
      <w:marBottom w:val="0"/>
      <w:divBdr>
        <w:top w:val="none" w:sz="0" w:space="0" w:color="auto"/>
        <w:left w:val="none" w:sz="0" w:space="0" w:color="auto"/>
        <w:bottom w:val="none" w:sz="0" w:space="0" w:color="auto"/>
        <w:right w:val="none" w:sz="0" w:space="0" w:color="auto"/>
      </w:divBdr>
    </w:div>
    <w:div w:id="1353726565">
      <w:bodyDiv w:val="1"/>
      <w:marLeft w:val="0"/>
      <w:marRight w:val="0"/>
      <w:marTop w:val="0"/>
      <w:marBottom w:val="0"/>
      <w:divBdr>
        <w:top w:val="none" w:sz="0" w:space="0" w:color="auto"/>
        <w:left w:val="none" w:sz="0" w:space="0" w:color="auto"/>
        <w:bottom w:val="none" w:sz="0" w:space="0" w:color="auto"/>
        <w:right w:val="none" w:sz="0" w:space="0" w:color="auto"/>
      </w:divBdr>
    </w:div>
    <w:div w:id="1495803248">
      <w:bodyDiv w:val="1"/>
      <w:marLeft w:val="0"/>
      <w:marRight w:val="0"/>
      <w:marTop w:val="0"/>
      <w:marBottom w:val="0"/>
      <w:divBdr>
        <w:top w:val="none" w:sz="0" w:space="0" w:color="auto"/>
        <w:left w:val="none" w:sz="0" w:space="0" w:color="auto"/>
        <w:bottom w:val="none" w:sz="0" w:space="0" w:color="auto"/>
        <w:right w:val="none" w:sz="0" w:space="0" w:color="auto"/>
      </w:divBdr>
      <w:divsChild>
        <w:div w:id="1040208580">
          <w:marLeft w:val="0"/>
          <w:marRight w:val="0"/>
          <w:marTop w:val="0"/>
          <w:marBottom w:val="0"/>
          <w:divBdr>
            <w:top w:val="none" w:sz="0" w:space="0" w:color="auto"/>
            <w:left w:val="none" w:sz="0" w:space="0" w:color="auto"/>
            <w:bottom w:val="none" w:sz="0" w:space="0" w:color="auto"/>
            <w:right w:val="none" w:sz="0" w:space="0" w:color="auto"/>
          </w:divBdr>
          <w:divsChild>
            <w:div w:id="222789345">
              <w:marLeft w:val="0"/>
              <w:marRight w:val="0"/>
              <w:marTop w:val="0"/>
              <w:marBottom w:val="0"/>
              <w:divBdr>
                <w:top w:val="none" w:sz="0" w:space="0" w:color="auto"/>
                <w:left w:val="none" w:sz="0" w:space="0" w:color="auto"/>
                <w:bottom w:val="none" w:sz="0" w:space="0" w:color="auto"/>
                <w:right w:val="none" w:sz="0" w:space="0" w:color="auto"/>
              </w:divBdr>
              <w:divsChild>
                <w:div w:id="27074043">
                  <w:marLeft w:val="0"/>
                  <w:marRight w:val="0"/>
                  <w:marTop w:val="0"/>
                  <w:marBottom w:val="0"/>
                  <w:divBdr>
                    <w:top w:val="none" w:sz="0" w:space="0" w:color="auto"/>
                    <w:left w:val="none" w:sz="0" w:space="0" w:color="auto"/>
                    <w:bottom w:val="none" w:sz="0" w:space="0" w:color="auto"/>
                    <w:right w:val="none" w:sz="0" w:space="0" w:color="auto"/>
                  </w:divBdr>
                  <w:divsChild>
                    <w:div w:id="507715426">
                      <w:marLeft w:val="0"/>
                      <w:marRight w:val="0"/>
                      <w:marTop w:val="0"/>
                      <w:marBottom w:val="0"/>
                      <w:divBdr>
                        <w:top w:val="none" w:sz="0" w:space="0" w:color="auto"/>
                        <w:left w:val="none" w:sz="0" w:space="0" w:color="auto"/>
                        <w:bottom w:val="none" w:sz="0" w:space="0" w:color="auto"/>
                        <w:right w:val="none" w:sz="0" w:space="0" w:color="auto"/>
                      </w:divBdr>
                    </w:div>
                    <w:div w:id="1002700981">
                      <w:marLeft w:val="0"/>
                      <w:marRight w:val="0"/>
                      <w:marTop w:val="120"/>
                      <w:marBottom w:val="0"/>
                      <w:divBdr>
                        <w:top w:val="none" w:sz="0" w:space="0" w:color="auto"/>
                        <w:left w:val="none" w:sz="0" w:space="0" w:color="auto"/>
                        <w:bottom w:val="none" w:sz="0" w:space="0" w:color="auto"/>
                        <w:right w:val="none" w:sz="0" w:space="0" w:color="auto"/>
                      </w:divBdr>
                    </w:div>
                  </w:divsChild>
                </w:div>
                <w:div w:id="557979303">
                  <w:marLeft w:val="0"/>
                  <w:marRight w:val="0"/>
                  <w:marTop w:val="0"/>
                  <w:marBottom w:val="0"/>
                  <w:divBdr>
                    <w:top w:val="none" w:sz="0" w:space="0" w:color="auto"/>
                    <w:left w:val="none" w:sz="0" w:space="0" w:color="auto"/>
                    <w:bottom w:val="none" w:sz="0" w:space="0" w:color="auto"/>
                    <w:right w:val="none" w:sz="0" w:space="0" w:color="auto"/>
                  </w:divBdr>
                  <w:divsChild>
                    <w:div w:id="272977843">
                      <w:marLeft w:val="0"/>
                      <w:marRight w:val="0"/>
                      <w:marTop w:val="0"/>
                      <w:marBottom w:val="0"/>
                      <w:divBdr>
                        <w:top w:val="none" w:sz="0" w:space="0" w:color="auto"/>
                        <w:left w:val="none" w:sz="0" w:space="0" w:color="auto"/>
                        <w:bottom w:val="none" w:sz="0" w:space="0" w:color="auto"/>
                        <w:right w:val="none" w:sz="0" w:space="0" w:color="auto"/>
                      </w:divBdr>
                    </w:div>
                    <w:div w:id="1048067911">
                      <w:marLeft w:val="0"/>
                      <w:marRight w:val="0"/>
                      <w:marTop w:val="120"/>
                      <w:marBottom w:val="0"/>
                      <w:divBdr>
                        <w:top w:val="none" w:sz="0" w:space="0" w:color="auto"/>
                        <w:left w:val="none" w:sz="0" w:space="0" w:color="auto"/>
                        <w:bottom w:val="none" w:sz="0" w:space="0" w:color="auto"/>
                        <w:right w:val="none" w:sz="0" w:space="0" w:color="auto"/>
                      </w:divBdr>
                    </w:div>
                  </w:divsChild>
                </w:div>
                <w:div w:id="1134714448">
                  <w:marLeft w:val="0"/>
                  <w:marRight w:val="0"/>
                  <w:marTop w:val="0"/>
                  <w:marBottom w:val="0"/>
                  <w:divBdr>
                    <w:top w:val="none" w:sz="0" w:space="0" w:color="auto"/>
                    <w:left w:val="none" w:sz="0" w:space="0" w:color="auto"/>
                    <w:bottom w:val="none" w:sz="0" w:space="0" w:color="auto"/>
                    <w:right w:val="none" w:sz="0" w:space="0" w:color="auto"/>
                  </w:divBdr>
                  <w:divsChild>
                    <w:div w:id="391733410">
                      <w:marLeft w:val="0"/>
                      <w:marRight w:val="0"/>
                      <w:marTop w:val="0"/>
                      <w:marBottom w:val="0"/>
                      <w:divBdr>
                        <w:top w:val="none" w:sz="0" w:space="0" w:color="auto"/>
                        <w:left w:val="none" w:sz="0" w:space="0" w:color="auto"/>
                        <w:bottom w:val="none" w:sz="0" w:space="0" w:color="auto"/>
                        <w:right w:val="none" w:sz="0" w:space="0" w:color="auto"/>
                      </w:divBdr>
                    </w:div>
                    <w:div w:id="10370078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5958112">
          <w:marLeft w:val="0"/>
          <w:marRight w:val="0"/>
          <w:marTop w:val="0"/>
          <w:marBottom w:val="0"/>
          <w:divBdr>
            <w:top w:val="none" w:sz="0" w:space="0" w:color="auto"/>
            <w:left w:val="none" w:sz="0" w:space="0" w:color="auto"/>
            <w:bottom w:val="none" w:sz="0" w:space="0" w:color="auto"/>
            <w:right w:val="none" w:sz="0" w:space="0" w:color="auto"/>
          </w:divBdr>
          <w:divsChild>
            <w:div w:id="1860846883">
              <w:marLeft w:val="0"/>
              <w:marRight w:val="0"/>
              <w:marTop w:val="0"/>
              <w:marBottom w:val="0"/>
              <w:divBdr>
                <w:top w:val="none" w:sz="0" w:space="0" w:color="auto"/>
                <w:left w:val="none" w:sz="0" w:space="0" w:color="auto"/>
                <w:bottom w:val="none" w:sz="0" w:space="0" w:color="auto"/>
                <w:right w:val="none" w:sz="0" w:space="0" w:color="auto"/>
              </w:divBdr>
              <w:divsChild>
                <w:div w:id="859048039">
                  <w:marLeft w:val="0"/>
                  <w:marRight w:val="0"/>
                  <w:marTop w:val="0"/>
                  <w:marBottom w:val="0"/>
                  <w:divBdr>
                    <w:top w:val="none" w:sz="0" w:space="0" w:color="auto"/>
                    <w:left w:val="none" w:sz="0" w:space="0" w:color="auto"/>
                    <w:bottom w:val="none" w:sz="0" w:space="0" w:color="auto"/>
                    <w:right w:val="none" w:sz="0" w:space="0" w:color="auto"/>
                  </w:divBdr>
                  <w:divsChild>
                    <w:div w:id="1172719242">
                      <w:marLeft w:val="0"/>
                      <w:marRight w:val="0"/>
                      <w:marTop w:val="0"/>
                      <w:marBottom w:val="0"/>
                      <w:divBdr>
                        <w:top w:val="none" w:sz="0" w:space="0" w:color="auto"/>
                        <w:left w:val="none" w:sz="0" w:space="0" w:color="auto"/>
                        <w:bottom w:val="none" w:sz="0" w:space="0" w:color="auto"/>
                        <w:right w:val="none" w:sz="0" w:space="0" w:color="auto"/>
                      </w:divBdr>
                    </w:div>
                    <w:div w:id="1548299279">
                      <w:marLeft w:val="0"/>
                      <w:marRight w:val="0"/>
                      <w:marTop w:val="120"/>
                      <w:marBottom w:val="0"/>
                      <w:divBdr>
                        <w:top w:val="none" w:sz="0" w:space="0" w:color="auto"/>
                        <w:left w:val="none" w:sz="0" w:space="0" w:color="auto"/>
                        <w:bottom w:val="none" w:sz="0" w:space="0" w:color="auto"/>
                        <w:right w:val="none" w:sz="0" w:space="0" w:color="auto"/>
                      </w:divBdr>
                    </w:div>
                  </w:divsChild>
                </w:div>
                <w:div w:id="1254433924">
                  <w:marLeft w:val="0"/>
                  <w:marRight w:val="0"/>
                  <w:marTop w:val="0"/>
                  <w:marBottom w:val="0"/>
                  <w:divBdr>
                    <w:top w:val="none" w:sz="0" w:space="0" w:color="auto"/>
                    <w:left w:val="none" w:sz="0" w:space="0" w:color="auto"/>
                    <w:bottom w:val="none" w:sz="0" w:space="0" w:color="auto"/>
                    <w:right w:val="none" w:sz="0" w:space="0" w:color="auto"/>
                  </w:divBdr>
                  <w:divsChild>
                    <w:div w:id="865412411">
                      <w:marLeft w:val="0"/>
                      <w:marRight w:val="0"/>
                      <w:marTop w:val="120"/>
                      <w:marBottom w:val="0"/>
                      <w:divBdr>
                        <w:top w:val="none" w:sz="0" w:space="0" w:color="auto"/>
                        <w:left w:val="none" w:sz="0" w:space="0" w:color="auto"/>
                        <w:bottom w:val="none" w:sz="0" w:space="0" w:color="auto"/>
                        <w:right w:val="none" w:sz="0" w:space="0" w:color="auto"/>
                      </w:divBdr>
                    </w:div>
                    <w:div w:id="1581326243">
                      <w:marLeft w:val="0"/>
                      <w:marRight w:val="0"/>
                      <w:marTop w:val="0"/>
                      <w:marBottom w:val="0"/>
                      <w:divBdr>
                        <w:top w:val="none" w:sz="0" w:space="0" w:color="auto"/>
                        <w:left w:val="none" w:sz="0" w:space="0" w:color="auto"/>
                        <w:bottom w:val="none" w:sz="0" w:space="0" w:color="auto"/>
                        <w:right w:val="none" w:sz="0" w:space="0" w:color="auto"/>
                      </w:divBdr>
                    </w:div>
                  </w:divsChild>
                </w:div>
                <w:div w:id="1370840683">
                  <w:marLeft w:val="0"/>
                  <w:marRight w:val="0"/>
                  <w:marTop w:val="0"/>
                  <w:marBottom w:val="0"/>
                  <w:divBdr>
                    <w:top w:val="none" w:sz="0" w:space="0" w:color="auto"/>
                    <w:left w:val="none" w:sz="0" w:space="0" w:color="auto"/>
                    <w:bottom w:val="none" w:sz="0" w:space="0" w:color="auto"/>
                    <w:right w:val="none" w:sz="0" w:space="0" w:color="auto"/>
                  </w:divBdr>
                  <w:divsChild>
                    <w:div w:id="40445473">
                      <w:marLeft w:val="0"/>
                      <w:marRight w:val="0"/>
                      <w:marTop w:val="0"/>
                      <w:marBottom w:val="0"/>
                      <w:divBdr>
                        <w:top w:val="none" w:sz="0" w:space="0" w:color="auto"/>
                        <w:left w:val="none" w:sz="0" w:space="0" w:color="auto"/>
                        <w:bottom w:val="none" w:sz="0" w:space="0" w:color="auto"/>
                        <w:right w:val="none" w:sz="0" w:space="0" w:color="auto"/>
                      </w:divBdr>
                    </w:div>
                    <w:div w:id="1976986962">
                      <w:marLeft w:val="0"/>
                      <w:marRight w:val="0"/>
                      <w:marTop w:val="120"/>
                      <w:marBottom w:val="0"/>
                      <w:divBdr>
                        <w:top w:val="none" w:sz="0" w:space="0" w:color="auto"/>
                        <w:left w:val="none" w:sz="0" w:space="0" w:color="auto"/>
                        <w:bottom w:val="none" w:sz="0" w:space="0" w:color="auto"/>
                        <w:right w:val="none" w:sz="0" w:space="0" w:color="auto"/>
                      </w:divBdr>
                    </w:div>
                  </w:divsChild>
                </w:div>
                <w:div w:id="1478451236">
                  <w:marLeft w:val="0"/>
                  <w:marRight w:val="0"/>
                  <w:marTop w:val="0"/>
                  <w:marBottom w:val="0"/>
                  <w:divBdr>
                    <w:top w:val="none" w:sz="0" w:space="0" w:color="auto"/>
                    <w:left w:val="none" w:sz="0" w:space="0" w:color="auto"/>
                    <w:bottom w:val="none" w:sz="0" w:space="0" w:color="auto"/>
                    <w:right w:val="none" w:sz="0" w:space="0" w:color="auto"/>
                  </w:divBdr>
                  <w:divsChild>
                    <w:div w:id="873345830">
                      <w:marLeft w:val="0"/>
                      <w:marRight w:val="0"/>
                      <w:marTop w:val="0"/>
                      <w:marBottom w:val="0"/>
                      <w:divBdr>
                        <w:top w:val="none" w:sz="0" w:space="0" w:color="auto"/>
                        <w:left w:val="none" w:sz="0" w:space="0" w:color="auto"/>
                        <w:bottom w:val="none" w:sz="0" w:space="0" w:color="auto"/>
                        <w:right w:val="none" w:sz="0" w:space="0" w:color="auto"/>
                      </w:divBdr>
                    </w:div>
                    <w:div w:id="1416128921">
                      <w:marLeft w:val="0"/>
                      <w:marRight w:val="0"/>
                      <w:marTop w:val="120"/>
                      <w:marBottom w:val="0"/>
                      <w:divBdr>
                        <w:top w:val="none" w:sz="0" w:space="0" w:color="auto"/>
                        <w:left w:val="none" w:sz="0" w:space="0" w:color="auto"/>
                        <w:bottom w:val="none" w:sz="0" w:space="0" w:color="auto"/>
                        <w:right w:val="none" w:sz="0" w:space="0" w:color="auto"/>
                      </w:divBdr>
                    </w:div>
                  </w:divsChild>
                </w:div>
                <w:div w:id="1547140364">
                  <w:marLeft w:val="0"/>
                  <w:marRight w:val="0"/>
                  <w:marTop w:val="0"/>
                  <w:marBottom w:val="0"/>
                  <w:divBdr>
                    <w:top w:val="none" w:sz="0" w:space="0" w:color="auto"/>
                    <w:left w:val="none" w:sz="0" w:space="0" w:color="auto"/>
                    <w:bottom w:val="none" w:sz="0" w:space="0" w:color="auto"/>
                    <w:right w:val="none" w:sz="0" w:space="0" w:color="auto"/>
                  </w:divBdr>
                  <w:divsChild>
                    <w:div w:id="1400591972">
                      <w:marLeft w:val="0"/>
                      <w:marRight w:val="0"/>
                      <w:marTop w:val="0"/>
                      <w:marBottom w:val="0"/>
                      <w:divBdr>
                        <w:top w:val="none" w:sz="0" w:space="0" w:color="auto"/>
                        <w:left w:val="none" w:sz="0" w:space="0" w:color="auto"/>
                        <w:bottom w:val="none" w:sz="0" w:space="0" w:color="auto"/>
                        <w:right w:val="none" w:sz="0" w:space="0" w:color="auto"/>
                      </w:divBdr>
                    </w:div>
                    <w:div w:id="1464542883">
                      <w:marLeft w:val="0"/>
                      <w:marRight w:val="0"/>
                      <w:marTop w:val="120"/>
                      <w:marBottom w:val="0"/>
                      <w:divBdr>
                        <w:top w:val="none" w:sz="0" w:space="0" w:color="auto"/>
                        <w:left w:val="none" w:sz="0" w:space="0" w:color="auto"/>
                        <w:bottom w:val="none" w:sz="0" w:space="0" w:color="auto"/>
                        <w:right w:val="none" w:sz="0" w:space="0" w:color="auto"/>
                      </w:divBdr>
                    </w:div>
                  </w:divsChild>
                </w:div>
                <w:div w:id="1621496948">
                  <w:marLeft w:val="0"/>
                  <w:marRight w:val="0"/>
                  <w:marTop w:val="0"/>
                  <w:marBottom w:val="0"/>
                  <w:divBdr>
                    <w:top w:val="none" w:sz="0" w:space="0" w:color="auto"/>
                    <w:left w:val="none" w:sz="0" w:space="0" w:color="auto"/>
                    <w:bottom w:val="none" w:sz="0" w:space="0" w:color="auto"/>
                    <w:right w:val="none" w:sz="0" w:space="0" w:color="auto"/>
                  </w:divBdr>
                  <w:divsChild>
                    <w:div w:id="825172186">
                      <w:marLeft w:val="0"/>
                      <w:marRight w:val="0"/>
                      <w:marTop w:val="0"/>
                      <w:marBottom w:val="0"/>
                      <w:divBdr>
                        <w:top w:val="none" w:sz="0" w:space="0" w:color="auto"/>
                        <w:left w:val="none" w:sz="0" w:space="0" w:color="auto"/>
                        <w:bottom w:val="none" w:sz="0" w:space="0" w:color="auto"/>
                        <w:right w:val="none" w:sz="0" w:space="0" w:color="auto"/>
                      </w:divBdr>
                    </w:div>
                    <w:div w:id="1634672150">
                      <w:marLeft w:val="0"/>
                      <w:marRight w:val="0"/>
                      <w:marTop w:val="120"/>
                      <w:marBottom w:val="0"/>
                      <w:divBdr>
                        <w:top w:val="none" w:sz="0" w:space="0" w:color="auto"/>
                        <w:left w:val="none" w:sz="0" w:space="0" w:color="auto"/>
                        <w:bottom w:val="none" w:sz="0" w:space="0" w:color="auto"/>
                        <w:right w:val="none" w:sz="0" w:space="0" w:color="auto"/>
                      </w:divBdr>
                    </w:div>
                  </w:divsChild>
                </w:div>
                <w:div w:id="1684355212">
                  <w:marLeft w:val="0"/>
                  <w:marRight w:val="0"/>
                  <w:marTop w:val="0"/>
                  <w:marBottom w:val="0"/>
                  <w:divBdr>
                    <w:top w:val="none" w:sz="0" w:space="0" w:color="auto"/>
                    <w:left w:val="none" w:sz="0" w:space="0" w:color="auto"/>
                    <w:bottom w:val="none" w:sz="0" w:space="0" w:color="auto"/>
                    <w:right w:val="none" w:sz="0" w:space="0" w:color="auto"/>
                  </w:divBdr>
                  <w:divsChild>
                    <w:div w:id="653947006">
                      <w:marLeft w:val="0"/>
                      <w:marRight w:val="0"/>
                      <w:marTop w:val="120"/>
                      <w:marBottom w:val="0"/>
                      <w:divBdr>
                        <w:top w:val="none" w:sz="0" w:space="0" w:color="auto"/>
                        <w:left w:val="none" w:sz="0" w:space="0" w:color="auto"/>
                        <w:bottom w:val="none" w:sz="0" w:space="0" w:color="auto"/>
                        <w:right w:val="none" w:sz="0" w:space="0" w:color="auto"/>
                      </w:divBdr>
                    </w:div>
                    <w:div w:id="966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2099">
      <w:bodyDiv w:val="1"/>
      <w:marLeft w:val="0"/>
      <w:marRight w:val="0"/>
      <w:marTop w:val="0"/>
      <w:marBottom w:val="0"/>
      <w:divBdr>
        <w:top w:val="none" w:sz="0" w:space="0" w:color="auto"/>
        <w:left w:val="none" w:sz="0" w:space="0" w:color="auto"/>
        <w:bottom w:val="none" w:sz="0" w:space="0" w:color="auto"/>
        <w:right w:val="none" w:sz="0" w:space="0" w:color="auto"/>
      </w:divBdr>
    </w:div>
    <w:div w:id="1535002104">
      <w:bodyDiv w:val="1"/>
      <w:marLeft w:val="0"/>
      <w:marRight w:val="0"/>
      <w:marTop w:val="0"/>
      <w:marBottom w:val="0"/>
      <w:divBdr>
        <w:top w:val="none" w:sz="0" w:space="0" w:color="auto"/>
        <w:left w:val="none" w:sz="0" w:space="0" w:color="auto"/>
        <w:bottom w:val="none" w:sz="0" w:space="0" w:color="auto"/>
        <w:right w:val="none" w:sz="0" w:space="0" w:color="auto"/>
      </w:divBdr>
    </w:div>
    <w:div w:id="1616012464">
      <w:bodyDiv w:val="1"/>
      <w:marLeft w:val="0"/>
      <w:marRight w:val="0"/>
      <w:marTop w:val="0"/>
      <w:marBottom w:val="0"/>
      <w:divBdr>
        <w:top w:val="none" w:sz="0" w:space="0" w:color="auto"/>
        <w:left w:val="none" w:sz="0" w:space="0" w:color="auto"/>
        <w:bottom w:val="none" w:sz="0" w:space="0" w:color="auto"/>
        <w:right w:val="none" w:sz="0" w:space="0" w:color="auto"/>
      </w:divBdr>
      <w:divsChild>
        <w:div w:id="1176504269">
          <w:marLeft w:val="0"/>
          <w:marRight w:val="0"/>
          <w:marTop w:val="0"/>
          <w:marBottom w:val="600"/>
          <w:divBdr>
            <w:top w:val="none" w:sz="0" w:space="0" w:color="auto"/>
            <w:left w:val="none" w:sz="0" w:space="0" w:color="auto"/>
            <w:bottom w:val="none" w:sz="0" w:space="0" w:color="auto"/>
            <w:right w:val="none" w:sz="0" w:space="0" w:color="auto"/>
          </w:divBdr>
          <w:divsChild>
            <w:div w:id="91359441">
              <w:marLeft w:val="0"/>
              <w:marRight w:val="0"/>
              <w:marTop w:val="150"/>
              <w:marBottom w:val="0"/>
              <w:divBdr>
                <w:top w:val="none" w:sz="0" w:space="0" w:color="auto"/>
                <w:left w:val="none" w:sz="0" w:space="0" w:color="auto"/>
                <w:bottom w:val="none" w:sz="0" w:space="0" w:color="auto"/>
                <w:right w:val="none" w:sz="0" w:space="0" w:color="auto"/>
              </w:divBdr>
            </w:div>
            <w:div w:id="171187959">
              <w:marLeft w:val="0"/>
              <w:marRight w:val="0"/>
              <w:marTop w:val="0"/>
              <w:marBottom w:val="0"/>
              <w:divBdr>
                <w:top w:val="none" w:sz="0" w:space="0" w:color="auto"/>
                <w:left w:val="none" w:sz="0" w:space="0" w:color="auto"/>
                <w:bottom w:val="none" w:sz="0" w:space="0" w:color="auto"/>
                <w:right w:val="none" w:sz="0" w:space="0" w:color="auto"/>
              </w:divBdr>
              <w:divsChild>
                <w:div w:id="1272474131">
                  <w:marLeft w:val="0"/>
                  <w:marRight w:val="0"/>
                  <w:marTop w:val="0"/>
                  <w:marBottom w:val="0"/>
                  <w:divBdr>
                    <w:top w:val="none" w:sz="0" w:space="0" w:color="auto"/>
                    <w:left w:val="none" w:sz="0" w:space="0" w:color="auto"/>
                    <w:bottom w:val="none" w:sz="0" w:space="0" w:color="auto"/>
                    <w:right w:val="none" w:sz="0" w:space="0" w:color="auto"/>
                  </w:divBdr>
                </w:div>
              </w:divsChild>
            </w:div>
            <w:div w:id="1353797605">
              <w:marLeft w:val="0"/>
              <w:marRight w:val="0"/>
              <w:marTop w:val="0"/>
              <w:marBottom w:val="0"/>
              <w:divBdr>
                <w:top w:val="none" w:sz="0" w:space="0" w:color="auto"/>
                <w:left w:val="none" w:sz="0" w:space="0" w:color="auto"/>
                <w:bottom w:val="none" w:sz="0" w:space="0" w:color="auto"/>
                <w:right w:val="none" w:sz="0" w:space="0" w:color="auto"/>
              </w:divBdr>
              <w:divsChild>
                <w:div w:id="2098281261">
                  <w:marLeft w:val="0"/>
                  <w:marRight w:val="0"/>
                  <w:marTop w:val="0"/>
                  <w:marBottom w:val="0"/>
                  <w:divBdr>
                    <w:top w:val="none" w:sz="0" w:space="0" w:color="auto"/>
                    <w:left w:val="none" w:sz="0" w:space="0" w:color="auto"/>
                    <w:bottom w:val="none" w:sz="0" w:space="0" w:color="auto"/>
                    <w:right w:val="none" w:sz="0" w:space="0" w:color="auto"/>
                  </w:divBdr>
                </w:div>
              </w:divsChild>
            </w:div>
            <w:div w:id="1742866798">
              <w:marLeft w:val="0"/>
              <w:marRight w:val="0"/>
              <w:marTop w:val="0"/>
              <w:marBottom w:val="0"/>
              <w:divBdr>
                <w:top w:val="none" w:sz="0" w:space="0" w:color="auto"/>
                <w:left w:val="none" w:sz="0" w:space="0" w:color="auto"/>
                <w:bottom w:val="none" w:sz="0" w:space="0" w:color="auto"/>
                <w:right w:val="none" w:sz="0" w:space="0" w:color="auto"/>
              </w:divBdr>
              <w:divsChild>
                <w:div w:id="4923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4844">
          <w:marLeft w:val="0"/>
          <w:marRight w:val="0"/>
          <w:marTop w:val="0"/>
          <w:marBottom w:val="0"/>
          <w:divBdr>
            <w:top w:val="none" w:sz="0" w:space="0" w:color="auto"/>
            <w:left w:val="none" w:sz="0" w:space="0" w:color="auto"/>
            <w:bottom w:val="none" w:sz="0" w:space="0" w:color="auto"/>
            <w:right w:val="none" w:sz="0" w:space="0" w:color="auto"/>
          </w:divBdr>
        </w:div>
      </w:divsChild>
    </w:div>
    <w:div w:id="1642728941">
      <w:bodyDiv w:val="1"/>
      <w:marLeft w:val="0"/>
      <w:marRight w:val="0"/>
      <w:marTop w:val="0"/>
      <w:marBottom w:val="0"/>
      <w:divBdr>
        <w:top w:val="none" w:sz="0" w:space="0" w:color="auto"/>
        <w:left w:val="none" w:sz="0" w:space="0" w:color="auto"/>
        <w:bottom w:val="none" w:sz="0" w:space="0" w:color="auto"/>
        <w:right w:val="none" w:sz="0" w:space="0" w:color="auto"/>
      </w:divBdr>
    </w:div>
    <w:div w:id="1762293156">
      <w:bodyDiv w:val="1"/>
      <w:marLeft w:val="0"/>
      <w:marRight w:val="0"/>
      <w:marTop w:val="0"/>
      <w:marBottom w:val="0"/>
      <w:divBdr>
        <w:top w:val="none" w:sz="0" w:space="0" w:color="auto"/>
        <w:left w:val="none" w:sz="0" w:space="0" w:color="auto"/>
        <w:bottom w:val="none" w:sz="0" w:space="0" w:color="auto"/>
        <w:right w:val="none" w:sz="0" w:space="0" w:color="auto"/>
      </w:divBdr>
    </w:div>
    <w:div w:id="1882210255">
      <w:bodyDiv w:val="1"/>
      <w:marLeft w:val="0"/>
      <w:marRight w:val="0"/>
      <w:marTop w:val="0"/>
      <w:marBottom w:val="0"/>
      <w:divBdr>
        <w:top w:val="none" w:sz="0" w:space="0" w:color="auto"/>
        <w:left w:val="none" w:sz="0" w:space="0" w:color="auto"/>
        <w:bottom w:val="none" w:sz="0" w:space="0" w:color="auto"/>
        <w:right w:val="none" w:sz="0" w:space="0" w:color="auto"/>
      </w:divBdr>
      <w:divsChild>
        <w:div w:id="469446661">
          <w:marLeft w:val="0"/>
          <w:marRight w:val="0"/>
          <w:marTop w:val="0"/>
          <w:marBottom w:val="0"/>
          <w:divBdr>
            <w:top w:val="none" w:sz="0" w:space="0" w:color="auto"/>
            <w:left w:val="none" w:sz="0" w:space="0" w:color="auto"/>
            <w:bottom w:val="none" w:sz="0" w:space="0" w:color="auto"/>
            <w:right w:val="none" w:sz="0" w:space="0" w:color="auto"/>
          </w:divBdr>
          <w:divsChild>
            <w:div w:id="2116171780">
              <w:marLeft w:val="0"/>
              <w:marRight w:val="0"/>
              <w:marTop w:val="0"/>
              <w:marBottom w:val="0"/>
              <w:divBdr>
                <w:top w:val="none" w:sz="0" w:space="0" w:color="auto"/>
                <w:left w:val="none" w:sz="0" w:space="0" w:color="auto"/>
                <w:bottom w:val="none" w:sz="0" w:space="0" w:color="auto"/>
                <w:right w:val="none" w:sz="0" w:space="0" w:color="auto"/>
              </w:divBdr>
            </w:div>
          </w:divsChild>
        </w:div>
        <w:div w:id="519778063">
          <w:marLeft w:val="0"/>
          <w:marRight w:val="0"/>
          <w:marTop w:val="0"/>
          <w:marBottom w:val="0"/>
          <w:divBdr>
            <w:top w:val="none" w:sz="0" w:space="0" w:color="auto"/>
            <w:left w:val="none" w:sz="0" w:space="0" w:color="auto"/>
            <w:bottom w:val="none" w:sz="0" w:space="0" w:color="auto"/>
            <w:right w:val="none" w:sz="0" w:space="0" w:color="auto"/>
          </w:divBdr>
          <w:divsChild>
            <w:div w:id="8599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6735">
      <w:bodyDiv w:val="1"/>
      <w:marLeft w:val="0"/>
      <w:marRight w:val="0"/>
      <w:marTop w:val="0"/>
      <w:marBottom w:val="0"/>
      <w:divBdr>
        <w:top w:val="none" w:sz="0" w:space="0" w:color="auto"/>
        <w:left w:val="none" w:sz="0" w:space="0" w:color="auto"/>
        <w:bottom w:val="none" w:sz="0" w:space="0" w:color="auto"/>
        <w:right w:val="none" w:sz="0" w:space="0" w:color="auto"/>
      </w:divBdr>
    </w:div>
    <w:div w:id="1940092637">
      <w:bodyDiv w:val="1"/>
      <w:marLeft w:val="0"/>
      <w:marRight w:val="0"/>
      <w:marTop w:val="0"/>
      <w:marBottom w:val="0"/>
      <w:divBdr>
        <w:top w:val="none" w:sz="0" w:space="0" w:color="auto"/>
        <w:left w:val="none" w:sz="0" w:space="0" w:color="auto"/>
        <w:bottom w:val="none" w:sz="0" w:space="0" w:color="auto"/>
        <w:right w:val="none" w:sz="0" w:space="0" w:color="auto"/>
      </w:divBdr>
      <w:divsChild>
        <w:div w:id="1404375257">
          <w:marLeft w:val="0"/>
          <w:marRight w:val="0"/>
          <w:marTop w:val="0"/>
          <w:marBottom w:val="0"/>
          <w:divBdr>
            <w:top w:val="none" w:sz="0" w:space="0" w:color="auto"/>
            <w:left w:val="none" w:sz="0" w:space="0" w:color="auto"/>
            <w:bottom w:val="none" w:sz="0" w:space="0" w:color="auto"/>
            <w:right w:val="none" w:sz="0" w:space="0" w:color="auto"/>
          </w:divBdr>
          <w:divsChild>
            <w:div w:id="13032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2175">
      <w:bodyDiv w:val="1"/>
      <w:marLeft w:val="0"/>
      <w:marRight w:val="0"/>
      <w:marTop w:val="0"/>
      <w:marBottom w:val="0"/>
      <w:divBdr>
        <w:top w:val="none" w:sz="0" w:space="0" w:color="auto"/>
        <w:left w:val="none" w:sz="0" w:space="0" w:color="auto"/>
        <w:bottom w:val="none" w:sz="0" w:space="0" w:color="auto"/>
        <w:right w:val="none" w:sz="0" w:space="0" w:color="auto"/>
      </w:divBdr>
      <w:divsChild>
        <w:div w:id="40636708">
          <w:marLeft w:val="0"/>
          <w:marRight w:val="0"/>
          <w:marTop w:val="0"/>
          <w:marBottom w:val="0"/>
          <w:divBdr>
            <w:top w:val="none" w:sz="0" w:space="0" w:color="auto"/>
            <w:left w:val="none" w:sz="0" w:space="0" w:color="auto"/>
            <w:bottom w:val="none" w:sz="0" w:space="0" w:color="auto"/>
            <w:right w:val="none" w:sz="0" w:space="0" w:color="auto"/>
          </w:divBdr>
          <w:divsChild>
            <w:div w:id="599333163">
              <w:marLeft w:val="0"/>
              <w:marRight w:val="0"/>
              <w:marTop w:val="120"/>
              <w:marBottom w:val="0"/>
              <w:divBdr>
                <w:top w:val="none" w:sz="0" w:space="0" w:color="auto"/>
                <w:left w:val="none" w:sz="0" w:space="0" w:color="auto"/>
                <w:bottom w:val="none" w:sz="0" w:space="0" w:color="auto"/>
                <w:right w:val="none" w:sz="0" w:space="0" w:color="auto"/>
              </w:divBdr>
            </w:div>
            <w:div w:id="1284918074">
              <w:marLeft w:val="0"/>
              <w:marRight w:val="0"/>
              <w:marTop w:val="0"/>
              <w:marBottom w:val="0"/>
              <w:divBdr>
                <w:top w:val="none" w:sz="0" w:space="0" w:color="auto"/>
                <w:left w:val="none" w:sz="0" w:space="0" w:color="auto"/>
                <w:bottom w:val="none" w:sz="0" w:space="0" w:color="auto"/>
                <w:right w:val="none" w:sz="0" w:space="0" w:color="auto"/>
              </w:divBdr>
              <w:divsChild>
                <w:div w:id="177354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624100">
          <w:marLeft w:val="0"/>
          <w:marRight w:val="0"/>
          <w:marTop w:val="0"/>
          <w:marBottom w:val="0"/>
          <w:divBdr>
            <w:top w:val="none" w:sz="0" w:space="0" w:color="auto"/>
            <w:left w:val="none" w:sz="0" w:space="0" w:color="auto"/>
            <w:bottom w:val="none" w:sz="0" w:space="0" w:color="auto"/>
            <w:right w:val="none" w:sz="0" w:space="0" w:color="auto"/>
          </w:divBdr>
          <w:divsChild>
            <w:div w:id="179663610">
              <w:marLeft w:val="0"/>
              <w:marRight w:val="0"/>
              <w:marTop w:val="0"/>
              <w:marBottom w:val="0"/>
              <w:divBdr>
                <w:top w:val="none" w:sz="0" w:space="0" w:color="auto"/>
                <w:left w:val="none" w:sz="0" w:space="0" w:color="auto"/>
                <w:bottom w:val="none" w:sz="0" w:space="0" w:color="auto"/>
                <w:right w:val="none" w:sz="0" w:space="0" w:color="auto"/>
              </w:divBdr>
              <w:divsChild>
                <w:div w:id="823086960">
                  <w:marLeft w:val="0"/>
                  <w:marRight w:val="0"/>
                  <w:marTop w:val="120"/>
                  <w:marBottom w:val="0"/>
                  <w:divBdr>
                    <w:top w:val="none" w:sz="0" w:space="0" w:color="auto"/>
                    <w:left w:val="none" w:sz="0" w:space="0" w:color="auto"/>
                    <w:bottom w:val="none" w:sz="0" w:space="0" w:color="auto"/>
                    <w:right w:val="none" w:sz="0" w:space="0" w:color="auto"/>
                  </w:divBdr>
                </w:div>
              </w:divsChild>
            </w:div>
            <w:div w:id="963853888">
              <w:marLeft w:val="0"/>
              <w:marRight w:val="0"/>
              <w:marTop w:val="120"/>
              <w:marBottom w:val="0"/>
              <w:divBdr>
                <w:top w:val="none" w:sz="0" w:space="0" w:color="auto"/>
                <w:left w:val="none" w:sz="0" w:space="0" w:color="auto"/>
                <w:bottom w:val="none" w:sz="0" w:space="0" w:color="auto"/>
                <w:right w:val="none" w:sz="0" w:space="0" w:color="auto"/>
              </w:divBdr>
            </w:div>
          </w:divsChild>
        </w:div>
        <w:div w:id="130221128">
          <w:marLeft w:val="0"/>
          <w:marRight w:val="0"/>
          <w:marTop w:val="0"/>
          <w:marBottom w:val="0"/>
          <w:divBdr>
            <w:top w:val="none" w:sz="0" w:space="0" w:color="auto"/>
            <w:left w:val="none" w:sz="0" w:space="0" w:color="auto"/>
            <w:bottom w:val="none" w:sz="0" w:space="0" w:color="auto"/>
            <w:right w:val="none" w:sz="0" w:space="0" w:color="auto"/>
          </w:divBdr>
          <w:divsChild>
            <w:div w:id="961106786">
              <w:marLeft w:val="0"/>
              <w:marRight w:val="0"/>
              <w:marTop w:val="0"/>
              <w:marBottom w:val="0"/>
              <w:divBdr>
                <w:top w:val="none" w:sz="0" w:space="0" w:color="auto"/>
                <w:left w:val="none" w:sz="0" w:space="0" w:color="auto"/>
                <w:bottom w:val="none" w:sz="0" w:space="0" w:color="auto"/>
                <w:right w:val="none" w:sz="0" w:space="0" w:color="auto"/>
              </w:divBdr>
              <w:divsChild>
                <w:div w:id="1737047309">
                  <w:marLeft w:val="0"/>
                  <w:marRight w:val="0"/>
                  <w:marTop w:val="120"/>
                  <w:marBottom w:val="0"/>
                  <w:divBdr>
                    <w:top w:val="none" w:sz="0" w:space="0" w:color="auto"/>
                    <w:left w:val="none" w:sz="0" w:space="0" w:color="auto"/>
                    <w:bottom w:val="none" w:sz="0" w:space="0" w:color="auto"/>
                    <w:right w:val="none" w:sz="0" w:space="0" w:color="auto"/>
                  </w:divBdr>
                </w:div>
              </w:divsChild>
            </w:div>
            <w:div w:id="1617718639">
              <w:marLeft w:val="0"/>
              <w:marRight w:val="0"/>
              <w:marTop w:val="120"/>
              <w:marBottom w:val="0"/>
              <w:divBdr>
                <w:top w:val="none" w:sz="0" w:space="0" w:color="auto"/>
                <w:left w:val="none" w:sz="0" w:space="0" w:color="auto"/>
                <w:bottom w:val="none" w:sz="0" w:space="0" w:color="auto"/>
                <w:right w:val="none" w:sz="0" w:space="0" w:color="auto"/>
              </w:divBdr>
            </w:div>
          </w:divsChild>
        </w:div>
        <w:div w:id="420487189">
          <w:marLeft w:val="0"/>
          <w:marRight w:val="0"/>
          <w:marTop w:val="0"/>
          <w:marBottom w:val="0"/>
          <w:divBdr>
            <w:top w:val="none" w:sz="0" w:space="0" w:color="auto"/>
            <w:left w:val="none" w:sz="0" w:space="0" w:color="auto"/>
            <w:bottom w:val="none" w:sz="0" w:space="0" w:color="auto"/>
            <w:right w:val="none" w:sz="0" w:space="0" w:color="auto"/>
          </w:divBdr>
          <w:divsChild>
            <w:div w:id="778723759">
              <w:marLeft w:val="0"/>
              <w:marRight w:val="0"/>
              <w:marTop w:val="120"/>
              <w:marBottom w:val="0"/>
              <w:divBdr>
                <w:top w:val="none" w:sz="0" w:space="0" w:color="auto"/>
                <w:left w:val="none" w:sz="0" w:space="0" w:color="auto"/>
                <w:bottom w:val="none" w:sz="0" w:space="0" w:color="auto"/>
                <w:right w:val="none" w:sz="0" w:space="0" w:color="auto"/>
              </w:divBdr>
            </w:div>
            <w:div w:id="1347632229">
              <w:marLeft w:val="0"/>
              <w:marRight w:val="0"/>
              <w:marTop w:val="0"/>
              <w:marBottom w:val="0"/>
              <w:divBdr>
                <w:top w:val="none" w:sz="0" w:space="0" w:color="auto"/>
                <w:left w:val="none" w:sz="0" w:space="0" w:color="auto"/>
                <w:bottom w:val="none" w:sz="0" w:space="0" w:color="auto"/>
                <w:right w:val="none" w:sz="0" w:space="0" w:color="auto"/>
              </w:divBdr>
              <w:divsChild>
                <w:div w:id="76376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048041">
          <w:marLeft w:val="0"/>
          <w:marRight w:val="0"/>
          <w:marTop w:val="0"/>
          <w:marBottom w:val="0"/>
          <w:divBdr>
            <w:top w:val="none" w:sz="0" w:space="0" w:color="auto"/>
            <w:left w:val="none" w:sz="0" w:space="0" w:color="auto"/>
            <w:bottom w:val="none" w:sz="0" w:space="0" w:color="auto"/>
            <w:right w:val="none" w:sz="0" w:space="0" w:color="auto"/>
          </w:divBdr>
          <w:divsChild>
            <w:div w:id="125204596">
              <w:marLeft w:val="0"/>
              <w:marRight w:val="0"/>
              <w:marTop w:val="120"/>
              <w:marBottom w:val="0"/>
              <w:divBdr>
                <w:top w:val="none" w:sz="0" w:space="0" w:color="auto"/>
                <w:left w:val="none" w:sz="0" w:space="0" w:color="auto"/>
                <w:bottom w:val="none" w:sz="0" w:space="0" w:color="auto"/>
                <w:right w:val="none" w:sz="0" w:space="0" w:color="auto"/>
              </w:divBdr>
            </w:div>
            <w:div w:id="1752963675">
              <w:marLeft w:val="0"/>
              <w:marRight w:val="0"/>
              <w:marTop w:val="0"/>
              <w:marBottom w:val="0"/>
              <w:divBdr>
                <w:top w:val="none" w:sz="0" w:space="0" w:color="auto"/>
                <w:left w:val="none" w:sz="0" w:space="0" w:color="auto"/>
                <w:bottom w:val="none" w:sz="0" w:space="0" w:color="auto"/>
                <w:right w:val="none" w:sz="0" w:space="0" w:color="auto"/>
              </w:divBdr>
              <w:divsChild>
                <w:div w:id="8082113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4031396">
          <w:marLeft w:val="0"/>
          <w:marRight w:val="0"/>
          <w:marTop w:val="0"/>
          <w:marBottom w:val="0"/>
          <w:divBdr>
            <w:top w:val="none" w:sz="0" w:space="0" w:color="auto"/>
            <w:left w:val="none" w:sz="0" w:space="0" w:color="auto"/>
            <w:bottom w:val="none" w:sz="0" w:space="0" w:color="auto"/>
            <w:right w:val="none" w:sz="0" w:space="0" w:color="auto"/>
          </w:divBdr>
          <w:divsChild>
            <w:div w:id="967708858">
              <w:marLeft w:val="0"/>
              <w:marRight w:val="0"/>
              <w:marTop w:val="120"/>
              <w:marBottom w:val="0"/>
              <w:divBdr>
                <w:top w:val="none" w:sz="0" w:space="0" w:color="auto"/>
                <w:left w:val="none" w:sz="0" w:space="0" w:color="auto"/>
                <w:bottom w:val="none" w:sz="0" w:space="0" w:color="auto"/>
                <w:right w:val="none" w:sz="0" w:space="0" w:color="auto"/>
              </w:divBdr>
            </w:div>
            <w:div w:id="1475026079">
              <w:marLeft w:val="0"/>
              <w:marRight w:val="0"/>
              <w:marTop w:val="0"/>
              <w:marBottom w:val="0"/>
              <w:divBdr>
                <w:top w:val="none" w:sz="0" w:space="0" w:color="auto"/>
                <w:left w:val="none" w:sz="0" w:space="0" w:color="auto"/>
                <w:bottom w:val="none" w:sz="0" w:space="0" w:color="auto"/>
                <w:right w:val="none" w:sz="0" w:space="0" w:color="auto"/>
              </w:divBdr>
              <w:divsChild>
                <w:div w:id="876312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6716616">
          <w:marLeft w:val="0"/>
          <w:marRight w:val="0"/>
          <w:marTop w:val="0"/>
          <w:marBottom w:val="0"/>
          <w:divBdr>
            <w:top w:val="none" w:sz="0" w:space="0" w:color="auto"/>
            <w:left w:val="none" w:sz="0" w:space="0" w:color="auto"/>
            <w:bottom w:val="none" w:sz="0" w:space="0" w:color="auto"/>
            <w:right w:val="none" w:sz="0" w:space="0" w:color="auto"/>
          </w:divBdr>
          <w:divsChild>
            <w:div w:id="471944906">
              <w:marLeft w:val="0"/>
              <w:marRight w:val="0"/>
              <w:marTop w:val="0"/>
              <w:marBottom w:val="0"/>
              <w:divBdr>
                <w:top w:val="none" w:sz="0" w:space="0" w:color="auto"/>
                <w:left w:val="none" w:sz="0" w:space="0" w:color="auto"/>
                <w:bottom w:val="none" w:sz="0" w:space="0" w:color="auto"/>
                <w:right w:val="none" w:sz="0" w:space="0" w:color="auto"/>
              </w:divBdr>
              <w:divsChild>
                <w:div w:id="1401946203">
                  <w:marLeft w:val="0"/>
                  <w:marRight w:val="0"/>
                  <w:marTop w:val="120"/>
                  <w:marBottom w:val="0"/>
                  <w:divBdr>
                    <w:top w:val="none" w:sz="0" w:space="0" w:color="auto"/>
                    <w:left w:val="none" w:sz="0" w:space="0" w:color="auto"/>
                    <w:bottom w:val="none" w:sz="0" w:space="0" w:color="auto"/>
                    <w:right w:val="none" w:sz="0" w:space="0" w:color="auto"/>
                  </w:divBdr>
                </w:div>
              </w:divsChild>
            </w:div>
            <w:div w:id="1140611130">
              <w:marLeft w:val="0"/>
              <w:marRight w:val="0"/>
              <w:marTop w:val="120"/>
              <w:marBottom w:val="0"/>
              <w:divBdr>
                <w:top w:val="none" w:sz="0" w:space="0" w:color="auto"/>
                <w:left w:val="none" w:sz="0" w:space="0" w:color="auto"/>
                <w:bottom w:val="none" w:sz="0" w:space="0" w:color="auto"/>
                <w:right w:val="none" w:sz="0" w:space="0" w:color="auto"/>
              </w:divBdr>
            </w:div>
          </w:divsChild>
        </w:div>
        <w:div w:id="961496120">
          <w:marLeft w:val="0"/>
          <w:marRight w:val="0"/>
          <w:marTop w:val="0"/>
          <w:marBottom w:val="0"/>
          <w:divBdr>
            <w:top w:val="none" w:sz="0" w:space="0" w:color="auto"/>
            <w:left w:val="none" w:sz="0" w:space="0" w:color="auto"/>
            <w:bottom w:val="none" w:sz="0" w:space="0" w:color="auto"/>
            <w:right w:val="none" w:sz="0" w:space="0" w:color="auto"/>
          </w:divBdr>
          <w:divsChild>
            <w:div w:id="1373456976">
              <w:marLeft w:val="0"/>
              <w:marRight w:val="0"/>
              <w:marTop w:val="120"/>
              <w:marBottom w:val="0"/>
              <w:divBdr>
                <w:top w:val="none" w:sz="0" w:space="0" w:color="auto"/>
                <w:left w:val="none" w:sz="0" w:space="0" w:color="auto"/>
                <w:bottom w:val="none" w:sz="0" w:space="0" w:color="auto"/>
                <w:right w:val="none" w:sz="0" w:space="0" w:color="auto"/>
              </w:divBdr>
            </w:div>
            <w:div w:id="1727489199">
              <w:marLeft w:val="0"/>
              <w:marRight w:val="0"/>
              <w:marTop w:val="0"/>
              <w:marBottom w:val="0"/>
              <w:divBdr>
                <w:top w:val="none" w:sz="0" w:space="0" w:color="auto"/>
                <w:left w:val="none" w:sz="0" w:space="0" w:color="auto"/>
                <w:bottom w:val="none" w:sz="0" w:space="0" w:color="auto"/>
                <w:right w:val="none" w:sz="0" w:space="0" w:color="auto"/>
              </w:divBdr>
              <w:divsChild>
                <w:div w:id="2134664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2875591">
          <w:marLeft w:val="0"/>
          <w:marRight w:val="0"/>
          <w:marTop w:val="0"/>
          <w:marBottom w:val="0"/>
          <w:divBdr>
            <w:top w:val="none" w:sz="0" w:space="0" w:color="auto"/>
            <w:left w:val="none" w:sz="0" w:space="0" w:color="auto"/>
            <w:bottom w:val="none" w:sz="0" w:space="0" w:color="auto"/>
            <w:right w:val="none" w:sz="0" w:space="0" w:color="auto"/>
          </w:divBdr>
          <w:divsChild>
            <w:div w:id="243027800">
              <w:marLeft w:val="0"/>
              <w:marRight w:val="0"/>
              <w:marTop w:val="120"/>
              <w:marBottom w:val="0"/>
              <w:divBdr>
                <w:top w:val="none" w:sz="0" w:space="0" w:color="auto"/>
                <w:left w:val="none" w:sz="0" w:space="0" w:color="auto"/>
                <w:bottom w:val="none" w:sz="0" w:space="0" w:color="auto"/>
                <w:right w:val="none" w:sz="0" w:space="0" w:color="auto"/>
              </w:divBdr>
            </w:div>
            <w:div w:id="482939800">
              <w:marLeft w:val="0"/>
              <w:marRight w:val="0"/>
              <w:marTop w:val="0"/>
              <w:marBottom w:val="0"/>
              <w:divBdr>
                <w:top w:val="none" w:sz="0" w:space="0" w:color="auto"/>
                <w:left w:val="none" w:sz="0" w:space="0" w:color="auto"/>
                <w:bottom w:val="none" w:sz="0" w:space="0" w:color="auto"/>
                <w:right w:val="none" w:sz="0" w:space="0" w:color="auto"/>
              </w:divBdr>
              <w:divsChild>
                <w:div w:id="20144518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5835963">
          <w:marLeft w:val="0"/>
          <w:marRight w:val="0"/>
          <w:marTop w:val="0"/>
          <w:marBottom w:val="0"/>
          <w:divBdr>
            <w:top w:val="none" w:sz="0" w:space="0" w:color="auto"/>
            <w:left w:val="none" w:sz="0" w:space="0" w:color="auto"/>
            <w:bottom w:val="none" w:sz="0" w:space="0" w:color="auto"/>
            <w:right w:val="none" w:sz="0" w:space="0" w:color="auto"/>
          </w:divBdr>
          <w:divsChild>
            <w:div w:id="1501847134">
              <w:marLeft w:val="0"/>
              <w:marRight w:val="0"/>
              <w:marTop w:val="120"/>
              <w:marBottom w:val="0"/>
              <w:divBdr>
                <w:top w:val="none" w:sz="0" w:space="0" w:color="auto"/>
                <w:left w:val="none" w:sz="0" w:space="0" w:color="auto"/>
                <w:bottom w:val="none" w:sz="0" w:space="0" w:color="auto"/>
                <w:right w:val="none" w:sz="0" w:space="0" w:color="auto"/>
              </w:divBdr>
            </w:div>
            <w:div w:id="1932926509">
              <w:marLeft w:val="0"/>
              <w:marRight w:val="0"/>
              <w:marTop w:val="0"/>
              <w:marBottom w:val="0"/>
              <w:divBdr>
                <w:top w:val="none" w:sz="0" w:space="0" w:color="auto"/>
                <w:left w:val="none" w:sz="0" w:space="0" w:color="auto"/>
                <w:bottom w:val="none" w:sz="0" w:space="0" w:color="auto"/>
                <w:right w:val="none" w:sz="0" w:space="0" w:color="auto"/>
              </w:divBdr>
              <w:divsChild>
                <w:div w:id="1722628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8130187">
          <w:marLeft w:val="0"/>
          <w:marRight w:val="0"/>
          <w:marTop w:val="0"/>
          <w:marBottom w:val="0"/>
          <w:divBdr>
            <w:top w:val="none" w:sz="0" w:space="0" w:color="auto"/>
            <w:left w:val="none" w:sz="0" w:space="0" w:color="auto"/>
            <w:bottom w:val="none" w:sz="0" w:space="0" w:color="auto"/>
            <w:right w:val="none" w:sz="0" w:space="0" w:color="auto"/>
          </w:divBdr>
          <w:divsChild>
            <w:div w:id="1653828208">
              <w:marLeft w:val="0"/>
              <w:marRight w:val="0"/>
              <w:marTop w:val="120"/>
              <w:marBottom w:val="0"/>
              <w:divBdr>
                <w:top w:val="none" w:sz="0" w:space="0" w:color="auto"/>
                <w:left w:val="none" w:sz="0" w:space="0" w:color="auto"/>
                <w:bottom w:val="none" w:sz="0" w:space="0" w:color="auto"/>
                <w:right w:val="none" w:sz="0" w:space="0" w:color="auto"/>
              </w:divBdr>
            </w:div>
            <w:div w:id="2062435298">
              <w:marLeft w:val="0"/>
              <w:marRight w:val="0"/>
              <w:marTop w:val="0"/>
              <w:marBottom w:val="0"/>
              <w:divBdr>
                <w:top w:val="none" w:sz="0" w:space="0" w:color="auto"/>
                <w:left w:val="none" w:sz="0" w:space="0" w:color="auto"/>
                <w:bottom w:val="none" w:sz="0" w:space="0" w:color="auto"/>
                <w:right w:val="none" w:sz="0" w:space="0" w:color="auto"/>
              </w:divBdr>
              <w:divsChild>
                <w:div w:id="19875833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2408185">
          <w:marLeft w:val="0"/>
          <w:marRight w:val="0"/>
          <w:marTop w:val="0"/>
          <w:marBottom w:val="0"/>
          <w:divBdr>
            <w:top w:val="none" w:sz="0" w:space="0" w:color="auto"/>
            <w:left w:val="none" w:sz="0" w:space="0" w:color="auto"/>
            <w:bottom w:val="none" w:sz="0" w:space="0" w:color="auto"/>
            <w:right w:val="none" w:sz="0" w:space="0" w:color="auto"/>
          </w:divBdr>
          <w:divsChild>
            <w:div w:id="373896601">
              <w:marLeft w:val="0"/>
              <w:marRight w:val="0"/>
              <w:marTop w:val="0"/>
              <w:marBottom w:val="0"/>
              <w:divBdr>
                <w:top w:val="none" w:sz="0" w:space="0" w:color="auto"/>
                <w:left w:val="none" w:sz="0" w:space="0" w:color="auto"/>
                <w:bottom w:val="none" w:sz="0" w:space="0" w:color="auto"/>
                <w:right w:val="none" w:sz="0" w:space="0" w:color="auto"/>
              </w:divBdr>
              <w:divsChild>
                <w:div w:id="1902519659">
                  <w:marLeft w:val="0"/>
                  <w:marRight w:val="0"/>
                  <w:marTop w:val="120"/>
                  <w:marBottom w:val="0"/>
                  <w:divBdr>
                    <w:top w:val="none" w:sz="0" w:space="0" w:color="auto"/>
                    <w:left w:val="none" w:sz="0" w:space="0" w:color="auto"/>
                    <w:bottom w:val="none" w:sz="0" w:space="0" w:color="auto"/>
                    <w:right w:val="none" w:sz="0" w:space="0" w:color="auto"/>
                  </w:divBdr>
                </w:div>
              </w:divsChild>
            </w:div>
            <w:div w:id="882327209">
              <w:marLeft w:val="0"/>
              <w:marRight w:val="0"/>
              <w:marTop w:val="120"/>
              <w:marBottom w:val="0"/>
              <w:divBdr>
                <w:top w:val="none" w:sz="0" w:space="0" w:color="auto"/>
                <w:left w:val="none" w:sz="0" w:space="0" w:color="auto"/>
                <w:bottom w:val="none" w:sz="0" w:space="0" w:color="auto"/>
                <w:right w:val="none" w:sz="0" w:space="0" w:color="auto"/>
              </w:divBdr>
            </w:div>
          </w:divsChild>
        </w:div>
        <w:div w:id="1771966628">
          <w:marLeft w:val="0"/>
          <w:marRight w:val="0"/>
          <w:marTop w:val="0"/>
          <w:marBottom w:val="0"/>
          <w:divBdr>
            <w:top w:val="none" w:sz="0" w:space="0" w:color="auto"/>
            <w:left w:val="none" w:sz="0" w:space="0" w:color="auto"/>
            <w:bottom w:val="none" w:sz="0" w:space="0" w:color="auto"/>
            <w:right w:val="none" w:sz="0" w:space="0" w:color="auto"/>
          </w:divBdr>
          <w:divsChild>
            <w:div w:id="1062404867">
              <w:marLeft w:val="0"/>
              <w:marRight w:val="0"/>
              <w:marTop w:val="120"/>
              <w:marBottom w:val="0"/>
              <w:divBdr>
                <w:top w:val="none" w:sz="0" w:space="0" w:color="auto"/>
                <w:left w:val="none" w:sz="0" w:space="0" w:color="auto"/>
                <w:bottom w:val="none" w:sz="0" w:space="0" w:color="auto"/>
                <w:right w:val="none" w:sz="0" w:space="0" w:color="auto"/>
              </w:divBdr>
            </w:div>
            <w:div w:id="1239318503">
              <w:marLeft w:val="0"/>
              <w:marRight w:val="0"/>
              <w:marTop w:val="0"/>
              <w:marBottom w:val="0"/>
              <w:divBdr>
                <w:top w:val="none" w:sz="0" w:space="0" w:color="auto"/>
                <w:left w:val="none" w:sz="0" w:space="0" w:color="auto"/>
                <w:bottom w:val="none" w:sz="0" w:space="0" w:color="auto"/>
                <w:right w:val="none" w:sz="0" w:space="0" w:color="auto"/>
              </w:divBdr>
              <w:divsChild>
                <w:div w:id="614748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082644">
          <w:marLeft w:val="0"/>
          <w:marRight w:val="0"/>
          <w:marTop w:val="0"/>
          <w:marBottom w:val="0"/>
          <w:divBdr>
            <w:top w:val="none" w:sz="0" w:space="0" w:color="auto"/>
            <w:left w:val="none" w:sz="0" w:space="0" w:color="auto"/>
            <w:bottom w:val="none" w:sz="0" w:space="0" w:color="auto"/>
            <w:right w:val="none" w:sz="0" w:space="0" w:color="auto"/>
          </w:divBdr>
          <w:divsChild>
            <w:div w:id="993876758">
              <w:marLeft w:val="0"/>
              <w:marRight w:val="0"/>
              <w:marTop w:val="0"/>
              <w:marBottom w:val="0"/>
              <w:divBdr>
                <w:top w:val="none" w:sz="0" w:space="0" w:color="auto"/>
                <w:left w:val="none" w:sz="0" w:space="0" w:color="auto"/>
                <w:bottom w:val="none" w:sz="0" w:space="0" w:color="auto"/>
                <w:right w:val="none" w:sz="0" w:space="0" w:color="auto"/>
              </w:divBdr>
              <w:divsChild>
                <w:div w:id="325784232">
                  <w:marLeft w:val="0"/>
                  <w:marRight w:val="0"/>
                  <w:marTop w:val="120"/>
                  <w:marBottom w:val="0"/>
                  <w:divBdr>
                    <w:top w:val="none" w:sz="0" w:space="0" w:color="auto"/>
                    <w:left w:val="none" w:sz="0" w:space="0" w:color="auto"/>
                    <w:bottom w:val="none" w:sz="0" w:space="0" w:color="auto"/>
                    <w:right w:val="none" w:sz="0" w:space="0" w:color="auto"/>
                  </w:divBdr>
                </w:div>
              </w:divsChild>
            </w:div>
            <w:div w:id="1782410248">
              <w:marLeft w:val="0"/>
              <w:marRight w:val="0"/>
              <w:marTop w:val="120"/>
              <w:marBottom w:val="0"/>
              <w:divBdr>
                <w:top w:val="none" w:sz="0" w:space="0" w:color="auto"/>
                <w:left w:val="none" w:sz="0" w:space="0" w:color="auto"/>
                <w:bottom w:val="none" w:sz="0" w:space="0" w:color="auto"/>
                <w:right w:val="none" w:sz="0" w:space="0" w:color="auto"/>
              </w:divBdr>
            </w:div>
          </w:divsChild>
        </w:div>
        <w:div w:id="1974945192">
          <w:marLeft w:val="0"/>
          <w:marRight w:val="0"/>
          <w:marTop w:val="0"/>
          <w:marBottom w:val="0"/>
          <w:divBdr>
            <w:top w:val="none" w:sz="0" w:space="0" w:color="auto"/>
            <w:left w:val="none" w:sz="0" w:space="0" w:color="auto"/>
            <w:bottom w:val="none" w:sz="0" w:space="0" w:color="auto"/>
            <w:right w:val="none" w:sz="0" w:space="0" w:color="auto"/>
          </w:divBdr>
          <w:divsChild>
            <w:div w:id="831604517">
              <w:marLeft w:val="0"/>
              <w:marRight w:val="0"/>
              <w:marTop w:val="0"/>
              <w:marBottom w:val="0"/>
              <w:divBdr>
                <w:top w:val="none" w:sz="0" w:space="0" w:color="auto"/>
                <w:left w:val="none" w:sz="0" w:space="0" w:color="auto"/>
                <w:bottom w:val="none" w:sz="0" w:space="0" w:color="auto"/>
                <w:right w:val="none" w:sz="0" w:space="0" w:color="auto"/>
              </w:divBdr>
              <w:divsChild>
                <w:div w:id="2008361895">
                  <w:marLeft w:val="0"/>
                  <w:marRight w:val="0"/>
                  <w:marTop w:val="120"/>
                  <w:marBottom w:val="0"/>
                  <w:divBdr>
                    <w:top w:val="none" w:sz="0" w:space="0" w:color="auto"/>
                    <w:left w:val="none" w:sz="0" w:space="0" w:color="auto"/>
                    <w:bottom w:val="none" w:sz="0" w:space="0" w:color="auto"/>
                    <w:right w:val="none" w:sz="0" w:space="0" w:color="auto"/>
                  </w:divBdr>
                </w:div>
              </w:divsChild>
            </w:div>
            <w:div w:id="10647160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7661124">
      <w:bodyDiv w:val="1"/>
      <w:marLeft w:val="0"/>
      <w:marRight w:val="0"/>
      <w:marTop w:val="0"/>
      <w:marBottom w:val="0"/>
      <w:divBdr>
        <w:top w:val="none" w:sz="0" w:space="0" w:color="auto"/>
        <w:left w:val="none" w:sz="0" w:space="0" w:color="auto"/>
        <w:bottom w:val="none" w:sz="0" w:space="0" w:color="auto"/>
        <w:right w:val="none" w:sz="0" w:space="0" w:color="auto"/>
      </w:divBdr>
    </w:div>
    <w:div w:id="2072730607">
      <w:bodyDiv w:val="1"/>
      <w:marLeft w:val="0"/>
      <w:marRight w:val="0"/>
      <w:marTop w:val="0"/>
      <w:marBottom w:val="0"/>
      <w:divBdr>
        <w:top w:val="none" w:sz="0" w:space="0" w:color="auto"/>
        <w:left w:val="none" w:sz="0" w:space="0" w:color="auto"/>
        <w:bottom w:val="none" w:sz="0" w:space="0" w:color="auto"/>
        <w:right w:val="none" w:sz="0" w:space="0" w:color="auto"/>
      </w:divBdr>
    </w:div>
    <w:div w:id="2093816834">
      <w:bodyDiv w:val="1"/>
      <w:marLeft w:val="0"/>
      <w:marRight w:val="0"/>
      <w:marTop w:val="0"/>
      <w:marBottom w:val="0"/>
      <w:divBdr>
        <w:top w:val="none" w:sz="0" w:space="0" w:color="auto"/>
        <w:left w:val="none" w:sz="0" w:space="0" w:color="auto"/>
        <w:bottom w:val="none" w:sz="0" w:space="0" w:color="auto"/>
        <w:right w:val="none" w:sz="0" w:space="0" w:color="auto"/>
      </w:divBdr>
      <w:divsChild>
        <w:div w:id="886837829">
          <w:marLeft w:val="0"/>
          <w:marRight w:val="0"/>
          <w:marTop w:val="0"/>
          <w:marBottom w:val="0"/>
          <w:divBdr>
            <w:top w:val="none" w:sz="0" w:space="0" w:color="auto"/>
            <w:left w:val="none" w:sz="0" w:space="0" w:color="auto"/>
            <w:bottom w:val="none" w:sz="0" w:space="0" w:color="auto"/>
            <w:right w:val="none" w:sz="0" w:space="0" w:color="auto"/>
          </w:divBdr>
          <w:divsChild>
            <w:div w:id="1610578467">
              <w:marLeft w:val="0"/>
              <w:marRight w:val="0"/>
              <w:marTop w:val="0"/>
              <w:marBottom w:val="0"/>
              <w:divBdr>
                <w:top w:val="none" w:sz="0" w:space="0" w:color="auto"/>
                <w:left w:val="none" w:sz="0" w:space="0" w:color="auto"/>
                <w:bottom w:val="none" w:sz="0" w:space="0" w:color="auto"/>
                <w:right w:val="none" w:sz="0" w:space="0" w:color="auto"/>
              </w:divBdr>
            </w:div>
            <w:div w:id="2141144598">
              <w:marLeft w:val="0"/>
              <w:marRight w:val="0"/>
              <w:marTop w:val="120"/>
              <w:marBottom w:val="0"/>
              <w:divBdr>
                <w:top w:val="none" w:sz="0" w:space="0" w:color="auto"/>
                <w:left w:val="none" w:sz="0" w:space="0" w:color="auto"/>
                <w:bottom w:val="none" w:sz="0" w:space="0" w:color="auto"/>
                <w:right w:val="none" w:sz="0" w:space="0" w:color="auto"/>
              </w:divBdr>
            </w:div>
          </w:divsChild>
        </w:div>
        <w:div w:id="1598054046">
          <w:marLeft w:val="0"/>
          <w:marRight w:val="0"/>
          <w:marTop w:val="0"/>
          <w:marBottom w:val="0"/>
          <w:divBdr>
            <w:top w:val="none" w:sz="0" w:space="0" w:color="auto"/>
            <w:left w:val="none" w:sz="0" w:space="0" w:color="auto"/>
            <w:bottom w:val="none" w:sz="0" w:space="0" w:color="auto"/>
            <w:right w:val="none" w:sz="0" w:space="0" w:color="auto"/>
          </w:divBdr>
          <w:divsChild>
            <w:div w:id="9298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3205">
      <w:bodyDiv w:val="1"/>
      <w:marLeft w:val="0"/>
      <w:marRight w:val="0"/>
      <w:marTop w:val="0"/>
      <w:marBottom w:val="0"/>
      <w:divBdr>
        <w:top w:val="none" w:sz="0" w:space="0" w:color="auto"/>
        <w:left w:val="none" w:sz="0" w:space="0" w:color="auto"/>
        <w:bottom w:val="none" w:sz="0" w:space="0" w:color="auto"/>
        <w:right w:val="none" w:sz="0" w:space="0" w:color="auto"/>
      </w:divBdr>
    </w:div>
    <w:div w:id="2141528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f4b69a-0cd0-4460-9690-b9cfe6860272">
      <UserInfo>
        <DisplayName>Larisa V. Zagorodnaia</DisplayName>
        <AccountId>22</AccountId>
        <AccountType/>
      </UserInfo>
      <UserInfo>
        <DisplayName>Tatiana V. Ciobanu</DisplayName>
        <AccountId>71</AccountId>
        <AccountType/>
      </UserInfo>
      <UserInfo>
        <DisplayName>Tatiana M. Ciobanu</DisplayName>
        <AccountId>70</AccountId>
        <AccountType/>
      </UserInfo>
      <UserInfo>
        <DisplayName>Vladimir V. Turcanu</DisplayName>
        <AccountId>18</AccountId>
        <AccountType/>
      </UserInfo>
      <UserInfo>
        <DisplayName>Carolina V. Tipa</DisplayName>
        <AccountId>83</AccountId>
        <AccountType/>
      </UserInfo>
      <UserInfo>
        <DisplayName>Doina V. Solodchi-Munteanu</DisplayName>
        <AccountId>141</AccountId>
        <AccountType/>
      </UserInfo>
      <UserInfo>
        <DisplayName>Diana A. Toderascu</DisplayName>
        <AccountId>139</AccountId>
        <AccountType/>
      </UserInfo>
      <UserInfo>
        <DisplayName>Aliona A. Gabura</DisplayName>
        <AccountId>140</AccountId>
        <AccountType/>
      </UserInfo>
      <UserInfo>
        <DisplayName>Natalia M. Talmazan</DisplayName>
        <AccountId>82</AccountId>
        <AccountType/>
      </UserInfo>
      <UserInfo>
        <DisplayName>Vera D. Gorgos</DisplayName>
        <AccountId>88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itus xmlns="http://schemas.titus.com/TitusProperties/">
  <TitusGUID xmlns="">f2bc93a8-6bfe-4e19-840b-103ef7e58bf7</TitusGUID>
  <TitusMetadata xmlns="">eyJucyI6IioiLCJwcm9wcyI6W3sibiI6IkNsYXNpZmljYXJlIiwidmFscyI6W3sidmFsdWUiOiJOT05FIn1dfV19</TitusMetadata>
</titu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53562-6253-466A-895A-04F861245B6D}">
  <ds:schemaRefs>
    <ds:schemaRef ds:uri="http://schemas.microsoft.com/office/2006/metadata/properties"/>
    <ds:schemaRef ds:uri="http://schemas.microsoft.com/office/infopath/2007/PartnerControls"/>
    <ds:schemaRef ds:uri="95f4b69a-0cd0-4460-9690-b9cfe6860272"/>
  </ds:schemaRefs>
</ds:datastoreItem>
</file>

<file path=customXml/itemProps2.xml><?xml version="1.0" encoding="utf-8"?>
<ds:datastoreItem xmlns:ds="http://schemas.openxmlformats.org/officeDocument/2006/customXml" ds:itemID="{59BAA524-6447-43A2-ADE2-A6547CAA6ABC}">
  <ds:schemaRefs>
    <ds:schemaRef ds:uri="http://schemas.openxmlformats.org/officeDocument/2006/bibliography"/>
  </ds:schemaRefs>
</ds:datastoreItem>
</file>

<file path=customXml/itemProps3.xml><?xml version="1.0" encoding="utf-8"?>
<ds:datastoreItem xmlns:ds="http://schemas.openxmlformats.org/officeDocument/2006/customXml" ds:itemID="{D40F5E00-047F-432B-8F03-117F0DA7C47B}">
  <ds:schemaRefs>
    <ds:schemaRef ds:uri="http://schemas.titus.com/TitusProperties/"/>
    <ds:schemaRef ds:uri=""/>
  </ds:schemaRefs>
</ds:datastoreItem>
</file>

<file path=customXml/itemProps4.xml><?xml version="1.0" encoding="utf-8"?>
<ds:datastoreItem xmlns:ds="http://schemas.openxmlformats.org/officeDocument/2006/customXml" ds:itemID="{8DC9B830-07E0-4C2E-A458-1A3D0DBD2CD1}">
  <ds:schemaRefs>
    <ds:schemaRef ds:uri="http://schemas.microsoft.com/sharepoint/v3/contenttype/forms"/>
  </ds:schemaRefs>
</ds:datastoreItem>
</file>

<file path=customXml/itemProps5.xml><?xml version="1.0" encoding="utf-8"?>
<ds:datastoreItem xmlns:ds="http://schemas.openxmlformats.org/officeDocument/2006/customXml" ds:itemID="{55392A34-35F3-4EDA-8DC2-766929D6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153</Pages>
  <Words>98348</Words>
  <Characters>560585</Characters>
  <Application>Microsoft Office Word</Application>
  <DocSecurity>0</DocSecurity>
  <Lines>4671</Lines>
  <Paragraphs>1315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 Ciobanu</dc:creator>
  <cp:keywords/>
  <dc:description/>
  <cp:lastModifiedBy>Bratu Mariana</cp:lastModifiedBy>
  <cp:revision>76</cp:revision>
  <cp:lastPrinted>2026-03-11T07:52:00Z</cp:lastPrinted>
  <dcterms:created xsi:type="dcterms:W3CDTF">2026-03-23T05:56:00Z</dcterms:created>
  <dcterms:modified xsi:type="dcterms:W3CDTF">2026-04-03T11:29:00Z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f2bc93a8-6bfe-4e19-840b-103ef7e58bf7</vt:lpwstr>
  </property>
  <property fmtid="{D5CDD505-2E9C-101B-9397-08002B2CF9AE}" pid="3" name="Clasificare">
    <vt:lpwstr>NONE</vt:lpwstr>
  </property>
  <property fmtid="{D5CDD505-2E9C-101B-9397-08002B2CF9AE}" pid="4" name="ContentTypeId">
    <vt:lpwstr>0x01010089D65D889A1E934992E0AD86F1817C54</vt:lpwstr>
  </property>
  <property fmtid="{D5CDD505-2E9C-101B-9397-08002B2CF9AE}" pid="5" name="ClassificationContentMarkingHeaderShapeIds">
    <vt:lpwstr>1,2,6</vt:lpwstr>
  </property>
  <property fmtid="{D5CDD505-2E9C-101B-9397-08002B2CF9AE}" pid="6" name="ClassificationContentMarkingHeaderFontProps">
    <vt:lpwstr>#000000,12,Calibri</vt:lpwstr>
  </property>
  <property fmtid="{D5CDD505-2E9C-101B-9397-08002B2CF9AE}" pid="7" name="ClassificationContentMarkingHeaderText">
    <vt:lpwstr>SP-3</vt:lpwstr>
  </property>
  <property fmtid="{D5CDD505-2E9C-101B-9397-08002B2CF9AE}" pid="8" name="ClassificationContentMarkingFooterShapeIds">
    <vt:lpwstr>8,9,a</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a2eb1982-abd5-477c-86f5-395dbee9865d_Enabled">
    <vt:lpwstr>true</vt:lpwstr>
  </property>
  <property fmtid="{D5CDD505-2E9C-101B-9397-08002B2CF9AE}" pid="12" name="MSIP_Label_a2eb1982-abd5-477c-86f5-395dbee9865d_Method">
    <vt:lpwstr>Privileged</vt:lpwstr>
  </property>
  <property fmtid="{D5CDD505-2E9C-101B-9397-08002B2CF9AE}" pid="13" name="MSIP_Label_a2eb1982-abd5-477c-86f5-395dbee9865d_Name">
    <vt:lpwstr>SP-3</vt:lpwstr>
  </property>
  <property fmtid="{D5CDD505-2E9C-101B-9397-08002B2CF9AE}" pid="14" name="MSIP_Label_a2eb1982-abd5-477c-86f5-395dbee9865d_SiteId">
    <vt:lpwstr>5887d430-0034-4561-b771-12c77faf2fa0</vt:lpwstr>
  </property>
  <property fmtid="{D5CDD505-2E9C-101B-9397-08002B2CF9AE}" pid="15" name="MSIP_Label_a2eb1982-abd5-477c-86f5-395dbee9865d_ContentBits">
    <vt:lpwstr>3</vt:lpwstr>
  </property>
  <property fmtid="{D5CDD505-2E9C-101B-9397-08002B2CF9AE}" pid="16" name="MSIP_Label_38962dcf-d39f-4edc-a396-338a56ba9170_Enabled">
    <vt:lpwstr>true</vt:lpwstr>
  </property>
  <property fmtid="{D5CDD505-2E9C-101B-9397-08002B2CF9AE}" pid="17" name="MSIP_Label_38962dcf-d39f-4edc-a396-338a56ba9170_SetDate">
    <vt:lpwstr>2024-11-15T09:27:50Z</vt:lpwstr>
  </property>
  <property fmtid="{D5CDD505-2E9C-101B-9397-08002B2CF9AE}" pid="18" name="MSIP_Label_38962dcf-d39f-4edc-a396-338a56ba9170_Method">
    <vt:lpwstr>Privileged</vt:lpwstr>
  </property>
  <property fmtid="{D5CDD505-2E9C-101B-9397-08002B2CF9AE}" pid="19" name="MSIP_Label_38962dcf-d39f-4edc-a396-338a56ba9170_Name">
    <vt:lpwstr>NONE</vt:lpwstr>
  </property>
  <property fmtid="{D5CDD505-2E9C-101B-9397-08002B2CF9AE}" pid="20" name="MSIP_Label_38962dcf-d39f-4edc-a396-338a56ba9170_SiteId">
    <vt:lpwstr>5887d430-0034-4561-b771-12c77faf2fa0</vt:lpwstr>
  </property>
  <property fmtid="{D5CDD505-2E9C-101B-9397-08002B2CF9AE}" pid="21" name="MSIP_Label_38962dcf-d39f-4edc-a396-338a56ba9170_ActionId">
    <vt:lpwstr>d7232db3-47bc-426b-a5af-f944482e9b59</vt:lpwstr>
  </property>
  <property fmtid="{D5CDD505-2E9C-101B-9397-08002B2CF9AE}" pid="22" name="MSIP_Label_38962dcf-d39f-4edc-a396-338a56ba9170_ContentBits">
    <vt:lpwstr>0</vt:lpwstr>
  </property>
  <property fmtid="{D5CDD505-2E9C-101B-9397-08002B2CF9AE}" pid="23" name="MSIP_Label_a2eb1982-abd5-477c-86f5-395dbee9865d_SetDate">
    <vt:lpwstr>2024-11-15T13:42:58Z</vt:lpwstr>
  </property>
  <property fmtid="{D5CDD505-2E9C-101B-9397-08002B2CF9AE}" pid="24" name="MSIP_Label_a2eb1982-abd5-477c-86f5-395dbee9865d_ActionId">
    <vt:lpwstr>216cc4d6-fe22-41ae-b177-2aefe3c55723</vt:lpwstr>
  </property>
</Properties>
</file>