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67" w:rsidRPr="00A648E9" w:rsidRDefault="00EE6A67" w:rsidP="00EE6A67">
      <w:pPr>
        <w:spacing w:after="0"/>
        <w:jc w:val="center"/>
        <w:rPr>
          <w:rFonts w:ascii="Times New Roman" w:hAnsi="Times New Roman" w:cs="Times New Roman"/>
          <w:b/>
          <w:sz w:val="24"/>
          <w:szCs w:val="24"/>
          <w:lang w:val="ro-RO"/>
        </w:rPr>
      </w:pPr>
      <w:r w:rsidRPr="00A648E9">
        <w:rPr>
          <w:rFonts w:ascii="Times New Roman" w:hAnsi="Times New Roman" w:cs="Times New Roman"/>
          <w:b/>
          <w:sz w:val="24"/>
          <w:szCs w:val="24"/>
          <w:lang w:val="ro-RO"/>
        </w:rPr>
        <w:t>Tabel comparativ</w:t>
      </w:r>
    </w:p>
    <w:p w:rsidR="00685C59" w:rsidRPr="00EC6F7C" w:rsidRDefault="004D337A" w:rsidP="00EC6F7C">
      <w:pPr>
        <w:spacing w:after="0" w:line="20" w:lineRule="atLeast"/>
        <w:jc w:val="center"/>
        <w:rPr>
          <w:rFonts w:ascii="Times New Roman" w:hAnsi="Times New Roman" w:cs="Times New Roman"/>
          <w:b/>
          <w:sz w:val="24"/>
          <w:szCs w:val="24"/>
          <w:lang w:val="ro-RO"/>
        </w:rPr>
      </w:pPr>
      <w:r w:rsidRPr="00EC6F7C">
        <w:rPr>
          <w:rFonts w:ascii="Times New Roman" w:hAnsi="Times New Roman" w:cs="Times New Roman"/>
          <w:b/>
          <w:sz w:val="24"/>
          <w:szCs w:val="24"/>
          <w:lang w:val="ro-RO"/>
        </w:rPr>
        <w:t xml:space="preserve">la </w:t>
      </w:r>
      <w:r w:rsidR="008F00EE">
        <w:rPr>
          <w:rFonts w:ascii="Times New Roman" w:hAnsi="Times New Roman" w:cs="Times New Roman"/>
          <w:b/>
          <w:sz w:val="24"/>
          <w:szCs w:val="24"/>
          <w:lang w:val="ro-RO"/>
        </w:rPr>
        <w:t>proiectul H</w:t>
      </w:r>
      <w:r w:rsidR="00780B3E" w:rsidRPr="00EC6F7C">
        <w:rPr>
          <w:rFonts w:ascii="Times New Roman" w:hAnsi="Times New Roman" w:cs="Times New Roman"/>
          <w:b/>
          <w:sz w:val="24"/>
          <w:szCs w:val="24"/>
          <w:lang w:val="ro-RO"/>
        </w:rPr>
        <w:t xml:space="preserve">otărârii </w:t>
      </w:r>
      <w:r w:rsidR="004F4DE4" w:rsidRPr="004F4DE4">
        <w:rPr>
          <w:rFonts w:ascii="Times New Roman" w:hAnsi="Times New Roman" w:cs="Times New Roman"/>
          <w:b/>
          <w:sz w:val="24"/>
          <w:szCs w:val="24"/>
          <w:lang w:val="ro-RO"/>
        </w:rPr>
        <w:t xml:space="preserve">Guvernului </w:t>
      </w:r>
      <w:r w:rsidR="008F00EE">
        <w:rPr>
          <w:rFonts w:ascii="Times New Roman" w:hAnsi="Times New Roman" w:cs="Times New Roman"/>
          <w:b/>
          <w:sz w:val="24"/>
          <w:szCs w:val="24"/>
          <w:lang w:val="ro-RO"/>
        </w:rPr>
        <w:t xml:space="preserve">pentru </w:t>
      </w:r>
      <w:r w:rsidR="004F4DE4" w:rsidRPr="004F4DE4">
        <w:rPr>
          <w:rFonts w:ascii="Times New Roman" w:hAnsi="Times New Roman" w:cs="Times New Roman"/>
          <w:b/>
          <w:sz w:val="24"/>
          <w:szCs w:val="24"/>
          <w:lang w:val="ro-RO"/>
        </w:rPr>
        <w:t xml:space="preserve">modificarea Hotărârii Guvernului nr. </w:t>
      </w:r>
      <w:r w:rsidR="008F00EE">
        <w:rPr>
          <w:rFonts w:ascii="Times New Roman" w:hAnsi="Times New Roman" w:cs="Times New Roman"/>
          <w:b/>
          <w:sz w:val="24"/>
          <w:szCs w:val="24"/>
          <w:lang w:val="ro-RO"/>
        </w:rPr>
        <w:t>1436</w:t>
      </w:r>
      <w:r w:rsidR="004F4DE4" w:rsidRPr="004F4DE4">
        <w:rPr>
          <w:rFonts w:ascii="Times New Roman" w:hAnsi="Times New Roman" w:cs="Times New Roman"/>
          <w:b/>
          <w:sz w:val="24"/>
          <w:szCs w:val="24"/>
          <w:lang w:val="ro-RO"/>
        </w:rPr>
        <w:t>/</w:t>
      </w:r>
      <w:r w:rsidR="008F00EE">
        <w:rPr>
          <w:rFonts w:ascii="Times New Roman" w:hAnsi="Times New Roman" w:cs="Times New Roman"/>
          <w:b/>
          <w:sz w:val="24"/>
          <w:szCs w:val="24"/>
          <w:lang w:val="ro-RO"/>
        </w:rPr>
        <w:t>2008</w:t>
      </w:r>
      <w:r w:rsidR="004F4DE4" w:rsidRPr="004F4DE4">
        <w:rPr>
          <w:rFonts w:ascii="Times New Roman" w:hAnsi="Times New Roman" w:cs="Times New Roman"/>
          <w:b/>
          <w:sz w:val="24"/>
          <w:szCs w:val="24"/>
          <w:lang w:val="ro-RO"/>
        </w:rPr>
        <w:t xml:space="preserve"> </w:t>
      </w:r>
      <w:r w:rsidR="008F00EE">
        <w:rPr>
          <w:rFonts w:ascii="Times New Roman" w:hAnsi="Times New Roman" w:cs="Times New Roman"/>
          <w:b/>
          <w:sz w:val="24"/>
          <w:szCs w:val="24"/>
          <w:lang w:val="ro-RO"/>
        </w:rPr>
        <w:t>cu privire la administrarea mijloacelor pentru finanțarea sistemului de documente normative în construcții</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252"/>
        <w:gridCol w:w="3686"/>
        <w:gridCol w:w="4394"/>
      </w:tblGrid>
      <w:tr w:rsidR="00EE6A67" w:rsidRPr="00AD7D4E" w:rsidTr="00496C1B">
        <w:tc>
          <w:tcPr>
            <w:tcW w:w="1413" w:type="dxa"/>
          </w:tcPr>
          <w:p w:rsidR="00EE6A67" w:rsidRPr="00AD7D4E" w:rsidRDefault="00E71F3C"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Pct. din actul normativ existent</w:t>
            </w:r>
          </w:p>
        </w:tc>
        <w:tc>
          <w:tcPr>
            <w:tcW w:w="4252"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 actuală</w:t>
            </w:r>
          </w:p>
        </w:tc>
        <w:tc>
          <w:tcPr>
            <w:tcW w:w="3686"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Modificarea propusă</w:t>
            </w:r>
          </w:p>
        </w:tc>
        <w:tc>
          <w:tcPr>
            <w:tcW w:w="4394"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Prevederea după modificare</w:t>
            </w:r>
          </w:p>
        </w:tc>
      </w:tr>
      <w:tr w:rsidR="00EE6A67" w:rsidRPr="00AD7D4E" w:rsidTr="009456D1">
        <w:tc>
          <w:tcPr>
            <w:tcW w:w="13745" w:type="dxa"/>
            <w:gridSpan w:val="4"/>
          </w:tcPr>
          <w:p w:rsidR="00EE6A67" w:rsidRPr="00FC10FA" w:rsidRDefault="00FC10FA" w:rsidP="008F00EE">
            <w:pPr>
              <w:pStyle w:val="pb"/>
              <w:spacing w:before="120"/>
              <w:ind w:firstLine="567"/>
              <w:jc w:val="both"/>
              <w:rPr>
                <w:bCs/>
                <w:i w:val="0"/>
                <w:iCs w:val="0"/>
                <w:color w:val="000000"/>
                <w:sz w:val="24"/>
                <w:szCs w:val="24"/>
                <w:lang w:val="ro-MD"/>
              </w:rPr>
            </w:pPr>
            <w:r w:rsidRPr="00FC10FA">
              <w:rPr>
                <w:bCs/>
                <w:i w:val="0"/>
                <w:iCs w:val="0"/>
                <w:color w:val="000000"/>
                <w:sz w:val="24"/>
                <w:szCs w:val="24"/>
                <w:lang w:val="ro-MD"/>
              </w:rPr>
              <w:t>1.</w:t>
            </w:r>
            <w:r w:rsidRPr="00FC10FA">
              <w:rPr>
                <w:b/>
                <w:bCs/>
                <w:i w:val="0"/>
                <w:iCs w:val="0"/>
                <w:color w:val="000000"/>
                <w:sz w:val="24"/>
                <w:szCs w:val="24"/>
                <w:lang w:val="ro-MD"/>
              </w:rPr>
              <w:t xml:space="preserve"> </w:t>
            </w:r>
            <w:r w:rsidRPr="00FC10FA">
              <w:rPr>
                <w:bCs/>
                <w:i w:val="0"/>
                <w:iCs w:val="0"/>
                <w:color w:val="000000"/>
                <w:sz w:val="24"/>
                <w:szCs w:val="24"/>
                <w:lang w:val="ro-MD"/>
              </w:rPr>
              <w:t xml:space="preserve">Hotărârea Guvernului nr. </w:t>
            </w:r>
            <w:r w:rsidR="008F00EE">
              <w:rPr>
                <w:bCs/>
                <w:i w:val="0"/>
                <w:iCs w:val="0"/>
                <w:color w:val="000000"/>
                <w:sz w:val="24"/>
                <w:szCs w:val="24"/>
                <w:lang w:val="ro-MD"/>
              </w:rPr>
              <w:t>1436</w:t>
            </w:r>
            <w:r w:rsidR="004F4DE4" w:rsidRPr="004F4DE4">
              <w:rPr>
                <w:bCs/>
                <w:i w:val="0"/>
                <w:iCs w:val="0"/>
                <w:color w:val="000000"/>
                <w:sz w:val="24"/>
                <w:szCs w:val="24"/>
                <w:lang w:val="ro-MD"/>
              </w:rPr>
              <w:t>/</w:t>
            </w:r>
            <w:r w:rsidR="008F00EE">
              <w:rPr>
                <w:bCs/>
                <w:i w:val="0"/>
                <w:iCs w:val="0"/>
                <w:color w:val="000000"/>
                <w:sz w:val="24"/>
                <w:szCs w:val="24"/>
                <w:lang w:val="ro-MD"/>
              </w:rPr>
              <w:t>2008</w:t>
            </w:r>
            <w:r w:rsidR="004F4DE4" w:rsidRPr="004F4DE4">
              <w:rPr>
                <w:bCs/>
                <w:i w:val="0"/>
                <w:iCs w:val="0"/>
                <w:color w:val="000000"/>
                <w:sz w:val="24"/>
                <w:szCs w:val="24"/>
                <w:lang w:val="ro-MD"/>
              </w:rPr>
              <w:t xml:space="preserve"> </w:t>
            </w:r>
            <w:r w:rsidR="008F00EE">
              <w:rPr>
                <w:bCs/>
                <w:i w:val="0"/>
                <w:iCs w:val="0"/>
                <w:color w:val="000000"/>
                <w:sz w:val="24"/>
                <w:szCs w:val="24"/>
                <w:lang w:val="ro-MD"/>
              </w:rPr>
              <w:t>cu privirea la administrarea mijloacelor pentru finanțarea sistemului de documente normative în construcții</w:t>
            </w:r>
            <w:r w:rsidR="004F4DE4" w:rsidRPr="00FC10FA">
              <w:rPr>
                <w:bCs/>
                <w:i w:val="0"/>
                <w:iCs w:val="0"/>
                <w:color w:val="000000"/>
                <w:sz w:val="24"/>
                <w:szCs w:val="24"/>
                <w:lang w:val="ro-MD"/>
              </w:rPr>
              <w:t xml:space="preserve"> </w:t>
            </w:r>
            <w:r w:rsidRPr="00FC10FA">
              <w:rPr>
                <w:bCs/>
                <w:i w:val="0"/>
                <w:iCs w:val="0"/>
                <w:color w:val="000000"/>
                <w:sz w:val="24"/>
                <w:szCs w:val="24"/>
                <w:lang w:val="ro-MD"/>
              </w:rPr>
              <w:t xml:space="preserve">(Monitorul Oficial al Republicii Moldova, </w:t>
            </w:r>
            <w:r w:rsidR="008F00EE">
              <w:rPr>
                <w:bCs/>
                <w:i w:val="0"/>
                <w:iCs w:val="0"/>
                <w:color w:val="000000"/>
                <w:sz w:val="24"/>
                <w:szCs w:val="24"/>
                <w:lang w:val="ro-MD"/>
              </w:rPr>
              <w:t>2026</w:t>
            </w:r>
            <w:r w:rsidRPr="00FC10FA">
              <w:rPr>
                <w:bCs/>
                <w:i w:val="0"/>
                <w:iCs w:val="0"/>
                <w:color w:val="000000"/>
                <w:sz w:val="24"/>
                <w:szCs w:val="24"/>
                <w:lang w:val="ro-MD"/>
              </w:rPr>
              <w:t xml:space="preserve">, nr. </w:t>
            </w:r>
            <w:r w:rsidR="008F00EE">
              <w:rPr>
                <w:bCs/>
                <w:i w:val="0"/>
                <w:iCs w:val="0"/>
                <w:color w:val="000000"/>
                <w:sz w:val="24"/>
                <w:szCs w:val="24"/>
                <w:lang w:val="ro-MD"/>
              </w:rPr>
              <w:t>51-54</w:t>
            </w:r>
            <w:r w:rsidRPr="00FC10FA">
              <w:rPr>
                <w:bCs/>
                <w:i w:val="0"/>
                <w:iCs w:val="0"/>
                <w:color w:val="000000"/>
                <w:sz w:val="24"/>
                <w:szCs w:val="24"/>
                <w:lang w:val="ro-MD"/>
              </w:rPr>
              <w:t xml:space="preserve">, art. </w:t>
            </w:r>
            <w:r w:rsidR="008F00EE">
              <w:rPr>
                <w:bCs/>
                <w:i w:val="0"/>
                <w:iCs w:val="0"/>
                <w:color w:val="000000"/>
                <w:sz w:val="24"/>
                <w:szCs w:val="24"/>
                <w:lang w:val="ro-MD"/>
              </w:rPr>
              <w:t>1</w:t>
            </w:r>
            <w:r w:rsidR="004F4DE4">
              <w:rPr>
                <w:bCs/>
                <w:i w:val="0"/>
                <w:iCs w:val="0"/>
                <w:color w:val="000000"/>
                <w:sz w:val="24"/>
                <w:szCs w:val="24"/>
                <w:lang w:val="ro-MD"/>
              </w:rPr>
              <w:t>2</w:t>
            </w:r>
            <w:r w:rsidRPr="00FC10FA">
              <w:rPr>
                <w:bCs/>
                <w:i w:val="0"/>
                <w:iCs w:val="0"/>
                <w:color w:val="000000"/>
                <w:sz w:val="24"/>
                <w:szCs w:val="24"/>
                <w:lang w:val="ro-MD"/>
              </w:rPr>
              <w:t>), se modifică și se completează după cum urmează:</w:t>
            </w:r>
          </w:p>
        </w:tc>
      </w:tr>
      <w:tr w:rsidR="00C52729" w:rsidRPr="00F52BCD" w:rsidTr="00496C1B">
        <w:tc>
          <w:tcPr>
            <w:tcW w:w="1413" w:type="dxa"/>
          </w:tcPr>
          <w:p w:rsidR="000073A5" w:rsidRPr="000073A5" w:rsidRDefault="00864EEF" w:rsidP="000073A5">
            <w:pPr>
              <w:rPr>
                <w:rFonts w:ascii="Times New Roman" w:hAnsi="Times New Roman" w:cs="Times New Roman"/>
                <w:sz w:val="24"/>
                <w:szCs w:val="24"/>
                <w:lang w:val="ro-MD"/>
              </w:rPr>
            </w:pPr>
            <w:r w:rsidRPr="000073A5">
              <w:rPr>
                <w:rFonts w:ascii="Times New Roman" w:hAnsi="Times New Roman" w:cs="Times New Roman"/>
                <w:sz w:val="24"/>
                <w:szCs w:val="24"/>
                <w:lang w:val="ro-MD"/>
              </w:rPr>
              <w:t xml:space="preserve">În </w:t>
            </w:r>
            <w:r w:rsidR="00AB58EF" w:rsidRPr="000073A5">
              <w:rPr>
                <w:rFonts w:ascii="Times New Roman" w:hAnsi="Times New Roman" w:cs="Times New Roman"/>
                <w:sz w:val="24"/>
                <w:szCs w:val="24"/>
                <w:lang w:val="ro-MD"/>
              </w:rPr>
              <w:t xml:space="preserve">Regulament </w:t>
            </w:r>
          </w:p>
          <w:p w:rsidR="00C52729" w:rsidRDefault="00C52729" w:rsidP="000073A5">
            <w:pPr>
              <w:rPr>
                <w:rFonts w:ascii="Times New Roman" w:hAnsi="Times New Roman" w:cs="Times New Roman"/>
                <w:sz w:val="24"/>
                <w:szCs w:val="24"/>
                <w:lang w:val="ro-RO"/>
              </w:rPr>
            </w:pPr>
          </w:p>
        </w:tc>
        <w:tc>
          <w:tcPr>
            <w:tcW w:w="4252" w:type="dxa"/>
          </w:tcPr>
          <w:p w:rsidR="00C52729" w:rsidRPr="00C52729" w:rsidRDefault="00C52729" w:rsidP="00497EC5">
            <w:pPr>
              <w:jc w:val="both"/>
              <w:rPr>
                <w:rFonts w:ascii="Times New Roman" w:hAnsi="Times New Roman" w:cs="Times New Roman"/>
                <w:sz w:val="24"/>
                <w:szCs w:val="24"/>
                <w:lang w:val="ro-RO"/>
              </w:rPr>
            </w:pPr>
          </w:p>
        </w:tc>
        <w:tc>
          <w:tcPr>
            <w:tcW w:w="3686" w:type="dxa"/>
          </w:tcPr>
          <w:p w:rsidR="00402305" w:rsidRDefault="00402305" w:rsidP="00402305">
            <w:pPr>
              <w:spacing w:before="120"/>
              <w:jc w:val="both"/>
              <w:rPr>
                <w:rFonts w:ascii="Times New Roman" w:hAnsi="Times New Roman" w:cs="Times New Roman"/>
                <w:sz w:val="24"/>
                <w:szCs w:val="24"/>
                <w:lang w:val="ro-MD"/>
              </w:rPr>
            </w:pPr>
            <w:r w:rsidRPr="00402305">
              <w:rPr>
                <w:rFonts w:ascii="Times New Roman" w:hAnsi="Times New Roman" w:cs="Times New Roman"/>
                <w:sz w:val="24"/>
                <w:szCs w:val="24"/>
                <w:lang w:val="ro-MD"/>
              </w:rPr>
              <w:t>cuvintele ,, conform formularului stabilit în anexa nr. 1 la prezentul Regulament”, la orice formă gramaticală, se substituie cu cuvintele „conform formularului tip, aprobat prin Ordinul Serviciului Fiscal de Stat</w:t>
            </w:r>
            <w:r>
              <w:rPr>
                <w:rFonts w:ascii="Times New Roman" w:hAnsi="Times New Roman" w:cs="Times New Roman"/>
                <w:sz w:val="24"/>
                <w:szCs w:val="24"/>
                <w:lang w:val="ro-MD"/>
              </w:rPr>
              <w:t xml:space="preserve">”, la forma </w:t>
            </w:r>
            <w:r w:rsidRPr="00402305">
              <w:rPr>
                <w:rFonts w:ascii="Times New Roman" w:hAnsi="Times New Roman" w:cs="Times New Roman"/>
                <w:sz w:val="24"/>
                <w:szCs w:val="24"/>
                <w:lang w:val="ro-MD"/>
              </w:rPr>
              <w:t>gramaticală corespunzătoare;</w:t>
            </w:r>
          </w:p>
          <w:p w:rsidR="00402305" w:rsidRPr="00402305" w:rsidRDefault="00402305" w:rsidP="00402305">
            <w:pPr>
              <w:spacing w:before="120"/>
              <w:jc w:val="both"/>
              <w:rPr>
                <w:rFonts w:ascii="Times New Roman" w:hAnsi="Times New Roman" w:cs="Times New Roman"/>
                <w:sz w:val="24"/>
                <w:szCs w:val="24"/>
                <w:lang w:val="ro-MD"/>
              </w:rPr>
            </w:pPr>
            <w:r w:rsidRPr="00402305">
              <w:rPr>
                <w:rFonts w:ascii="Times New Roman" w:hAnsi="Times New Roman" w:cs="Times New Roman"/>
                <w:sz w:val="24"/>
                <w:szCs w:val="24"/>
                <w:lang w:val="ro-MD"/>
              </w:rPr>
              <w:t>cuvântul „obiect” se substituie cu cuvântul „obiectiv”;</w:t>
            </w:r>
          </w:p>
          <w:p w:rsidR="00496C1B" w:rsidRPr="000073A5" w:rsidRDefault="00402305" w:rsidP="00402305">
            <w:pPr>
              <w:jc w:val="both"/>
              <w:rPr>
                <w:rFonts w:ascii="Times New Roman" w:hAnsi="Times New Roman" w:cs="Times New Roman"/>
                <w:sz w:val="24"/>
                <w:szCs w:val="24"/>
                <w:lang w:val="ro-MD"/>
              </w:rPr>
            </w:pPr>
            <w:r w:rsidRPr="00402305">
              <w:rPr>
                <w:rFonts w:ascii="Times New Roman" w:hAnsi="Times New Roman" w:cs="Times New Roman"/>
                <w:sz w:val="24"/>
                <w:szCs w:val="24"/>
                <w:lang w:val="ro-MD"/>
              </w:rPr>
              <w:t>sintagma ,,costul de deviz” se substituie cu si</w:t>
            </w:r>
            <w:r>
              <w:rPr>
                <w:rFonts w:ascii="Times New Roman" w:hAnsi="Times New Roman" w:cs="Times New Roman"/>
                <w:sz w:val="24"/>
                <w:szCs w:val="24"/>
                <w:lang w:val="ro-MD"/>
              </w:rPr>
              <w:t>ntagma ,,documentația de deviz”;</w:t>
            </w:r>
          </w:p>
        </w:tc>
        <w:tc>
          <w:tcPr>
            <w:tcW w:w="4394" w:type="dxa"/>
          </w:tcPr>
          <w:p w:rsidR="00C52729" w:rsidRPr="00C52729" w:rsidRDefault="00C52729" w:rsidP="000073A5">
            <w:pPr>
              <w:jc w:val="both"/>
              <w:rPr>
                <w:rFonts w:ascii="Times New Roman" w:hAnsi="Times New Roman" w:cs="Times New Roman"/>
                <w:sz w:val="24"/>
                <w:szCs w:val="24"/>
                <w:lang w:val="ro-RO"/>
              </w:rPr>
            </w:pPr>
          </w:p>
        </w:tc>
      </w:tr>
      <w:tr w:rsidR="00F52BCD" w:rsidRPr="00F52BCD" w:rsidTr="00496C1B">
        <w:tc>
          <w:tcPr>
            <w:tcW w:w="1413" w:type="dxa"/>
          </w:tcPr>
          <w:p w:rsidR="00F52BCD" w:rsidRDefault="00E05B77" w:rsidP="00F7456C">
            <w:pPr>
              <w:rPr>
                <w:rFonts w:ascii="Times New Roman" w:hAnsi="Times New Roman" w:cs="Times New Roman"/>
                <w:sz w:val="24"/>
                <w:szCs w:val="24"/>
              </w:rPr>
            </w:pPr>
            <w:r>
              <w:rPr>
                <w:rFonts w:ascii="Times New Roman" w:hAnsi="Times New Roman" w:cs="Times New Roman"/>
                <w:sz w:val="24"/>
                <w:szCs w:val="24"/>
              </w:rPr>
              <w:t>P</w:t>
            </w:r>
            <w:r w:rsidR="00F52BCD">
              <w:rPr>
                <w:rFonts w:ascii="Times New Roman" w:hAnsi="Times New Roman" w:cs="Times New Roman"/>
                <w:sz w:val="24"/>
                <w:szCs w:val="24"/>
              </w:rPr>
              <w:t xml:space="preserve">ct. </w:t>
            </w:r>
            <w:r w:rsidR="00F7456C">
              <w:rPr>
                <w:rFonts w:ascii="Times New Roman" w:hAnsi="Times New Roman" w:cs="Times New Roman"/>
                <w:sz w:val="24"/>
                <w:szCs w:val="24"/>
              </w:rPr>
              <w:t>2</w:t>
            </w:r>
            <w:r w:rsidR="00F52BCD">
              <w:rPr>
                <w:rFonts w:ascii="Times New Roman" w:hAnsi="Times New Roman" w:cs="Times New Roman"/>
                <w:sz w:val="24"/>
                <w:szCs w:val="24"/>
              </w:rPr>
              <w:t xml:space="preserve"> </w:t>
            </w:r>
          </w:p>
        </w:tc>
        <w:tc>
          <w:tcPr>
            <w:tcW w:w="4252" w:type="dxa"/>
          </w:tcPr>
          <w:p w:rsidR="00402305" w:rsidRDefault="00402305" w:rsidP="00F52BCD">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Alineatul </w:t>
            </w:r>
            <w:r w:rsidR="00F7456C" w:rsidRPr="00F7456C">
              <w:rPr>
                <w:rFonts w:ascii="Times New Roman" w:hAnsi="Times New Roman" w:cs="Times New Roman"/>
                <w:sz w:val="24"/>
                <w:szCs w:val="24"/>
                <w:lang w:val="ro-MD"/>
              </w:rPr>
              <w:t>2</w:t>
            </w:r>
            <w:r>
              <w:rPr>
                <w:rFonts w:ascii="Times New Roman" w:hAnsi="Times New Roman" w:cs="Times New Roman"/>
                <w:sz w:val="24"/>
                <w:szCs w:val="24"/>
                <w:lang w:val="ro-MD"/>
              </w:rPr>
              <w:t>.</w:t>
            </w:r>
            <w:r w:rsidRPr="00402305">
              <w:rPr>
                <w:rFonts w:ascii="Times New Roman" w:hAnsi="Times New Roman" w:cs="Times New Roman"/>
                <w:sz w:val="24"/>
                <w:szCs w:val="24"/>
                <w:lang w:val="ro-MD"/>
              </w:rPr>
              <w:t xml:space="preserve"> </w:t>
            </w:r>
          </w:p>
          <w:p w:rsidR="00F52BCD" w:rsidRPr="00497EC5" w:rsidRDefault="00402305" w:rsidP="00F52BCD">
            <w:pPr>
              <w:jc w:val="both"/>
              <w:rPr>
                <w:rFonts w:ascii="Times New Roman" w:hAnsi="Times New Roman" w:cs="Times New Roman"/>
                <w:sz w:val="24"/>
                <w:szCs w:val="24"/>
                <w:lang w:val="ro-RO"/>
              </w:rPr>
            </w:pPr>
            <w:r w:rsidRPr="00402305">
              <w:rPr>
                <w:rFonts w:ascii="Times New Roman" w:hAnsi="Times New Roman" w:cs="Times New Roman"/>
                <w:sz w:val="24"/>
                <w:szCs w:val="24"/>
                <w:lang w:val="ro-MD"/>
              </w:rPr>
              <w:t>În sensul prezentului Regulament, noțiunea „obiect” semnifică o clădire sau o construcție separată, cu instalațiile, echipamentele și amenajările aferente.</w:t>
            </w:r>
            <w:r w:rsidR="00F7456C" w:rsidRPr="00F7456C">
              <w:rPr>
                <w:rFonts w:ascii="Times New Roman" w:hAnsi="Times New Roman" w:cs="Times New Roman"/>
                <w:sz w:val="24"/>
                <w:szCs w:val="24"/>
                <w:lang w:val="ro-MD"/>
              </w:rPr>
              <w:t>.</w:t>
            </w:r>
          </w:p>
        </w:tc>
        <w:tc>
          <w:tcPr>
            <w:tcW w:w="3686" w:type="dxa"/>
          </w:tcPr>
          <w:p w:rsidR="00F7456C" w:rsidRPr="00F7456C" w:rsidRDefault="00402305" w:rsidP="00F7456C">
            <w:pPr>
              <w:jc w:val="both"/>
              <w:rPr>
                <w:rFonts w:ascii="Times New Roman" w:hAnsi="Times New Roman" w:cs="Times New Roman"/>
                <w:sz w:val="24"/>
                <w:szCs w:val="24"/>
                <w:lang w:val="ro-MD"/>
              </w:rPr>
            </w:pPr>
            <w:r w:rsidRPr="00402305">
              <w:rPr>
                <w:rFonts w:ascii="Times New Roman" w:hAnsi="Times New Roman" w:cs="Times New Roman"/>
                <w:sz w:val="24"/>
                <w:szCs w:val="24"/>
                <w:lang w:val="ro-MD"/>
              </w:rPr>
              <w:t>la pct. 2, aliniatul doi va avea următorul cuprins:  ,,În sensul prezentului Regulament, noțiunile „obiectiv” și ,,investiții în capital fix” se utilizează, după cum sunt definite în art. 3 din Legea nr. 329/2025 privind Fondul național de dezvoltare a sistemului de documente normative în construcții.”</w:t>
            </w:r>
            <w:r w:rsidR="00F7456C" w:rsidRPr="00F7456C">
              <w:rPr>
                <w:rFonts w:ascii="Times New Roman" w:hAnsi="Times New Roman" w:cs="Times New Roman"/>
                <w:sz w:val="24"/>
                <w:szCs w:val="24"/>
                <w:lang w:val="ro-MD"/>
              </w:rPr>
              <w:t>;</w:t>
            </w:r>
          </w:p>
          <w:p w:rsidR="00F52BCD" w:rsidRPr="00F7456C" w:rsidRDefault="00F52BCD" w:rsidP="00497EC5">
            <w:pPr>
              <w:jc w:val="both"/>
              <w:rPr>
                <w:rFonts w:ascii="Times New Roman" w:hAnsi="Times New Roman" w:cs="Times New Roman"/>
                <w:sz w:val="24"/>
                <w:szCs w:val="24"/>
                <w:lang w:val="ro-MD"/>
              </w:rPr>
            </w:pPr>
          </w:p>
        </w:tc>
        <w:tc>
          <w:tcPr>
            <w:tcW w:w="4394" w:type="dxa"/>
          </w:tcPr>
          <w:p w:rsidR="00115DB8" w:rsidRDefault="00115DB8" w:rsidP="00F52BCD">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Alineatul </w:t>
            </w:r>
            <w:r w:rsidRPr="00F7456C">
              <w:rPr>
                <w:rFonts w:ascii="Times New Roman" w:hAnsi="Times New Roman" w:cs="Times New Roman"/>
                <w:sz w:val="24"/>
                <w:szCs w:val="24"/>
                <w:lang w:val="ro-MD"/>
              </w:rPr>
              <w:t>2</w:t>
            </w:r>
            <w:r w:rsidR="00F7456C" w:rsidRPr="00F7456C">
              <w:rPr>
                <w:rFonts w:ascii="Times New Roman" w:hAnsi="Times New Roman" w:cs="Times New Roman"/>
                <w:sz w:val="24"/>
                <w:szCs w:val="24"/>
                <w:lang w:val="ro-MD"/>
              </w:rPr>
              <w:t xml:space="preserve">. </w:t>
            </w:r>
          </w:p>
          <w:p w:rsidR="00F52BCD" w:rsidRPr="00115DB8" w:rsidRDefault="00115DB8" w:rsidP="00F52BCD">
            <w:pPr>
              <w:jc w:val="both"/>
              <w:rPr>
                <w:rFonts w:ascii="Times New Roman" w:hAnsi="Times New Roman" w:cs="Times New Roman"/>
                <w:sz w:val="24"/>
                <w:szCs w:val="24"/>
                <w:lang w:val="ro-MD"/>
              </w:rPr>
            </w:pPr>
            <w:r w:rsidRPr="00115DB8">
              <w:rPr>
                <w:rFonts w:ascii="Times New Roman" w:hAnsi="Times New Roman" w:cs="Times New Roman"/>
                <w:sz w:val="24"/>
                <w:szCs w:val="24"/>
                <w:lang w:val="ro-MD"/>
              </w:rPr>
              <w:t xml:space="preserve"> În sensul prezentului Regulament, noțiunile „obiectiv” și ,,investiții în capital fix” se utilizează, după cum sunt definite în art. 3 din Legea nr. 329/2025 privind Fondul național de dezvoltare a sistemului de documente normative în construcții.</w:t>
            </w:r>
          </w:p>
        </w:tc>
      </w:tr>
      <w:tr w:rsidR="00F52BCD" w:rsidRPr="00F52BCD" w:rsidTr="00496C1B">
        <w:tc>
          <w:tcPr>
            <w:tcW w:w="1413" w:type="dxa"/>
          </w:tcPr>
          <w:p w:rsidR="00F52BCD" w:rsidRDefault="00E05B77" w:rsidP="009116CB">
            <w:pPr>
              <w:rPr>
                <w:rFonts w:ascii="Times New Roman" w:hAnsi="Times New Roman" w:cs="Times New Roman"/>
                <w:sz w:val="24"/>
                <w:szCs w:val="24"/>
              </w:rPr>
            </w:pPr>
            <w:r>
              <w:rPr>
                <w:rFonts w:ascii="Times New Roman" w:hAnsi="Times New Roman" w:cs="Times New Roman"/>
                <w:sz w:val="24"/>
                <w:szCs w:val="24"/>
              </w:rPr>
              <w:t>Pct</w:t>
            </w:r>
            <w:r w:rsidR="00497EC5">
              <w:rPr>
                <w:rFonts w:ascii="Times New Roman" w:hAnsi="Times New Roman" w:cs="Times New Roman"/>
                <w:sz w:val="24"/>
                <w:szCs w:val="24"/>
              </w:rPr>
              <w:t xml:space="preserve">. </w:t>
            </w:r>
            <w:r w:rsidR="00F7456C">
              <w:rPr>
                <w:rFonts w:ascii="Times New Roman" w:hAnsi="Times New Roman" w:cs="Times New Roman"/>
                <w:sz w:val="24"/>
                <w:szCs w:val="24"/>
              </w:rPr>
              <w:t xml:space="preserve">3 </w:t>
            </w:r>
          </w:p>
        </w:tc>
        <w:tc>
          <w:tcPr>
            <w:tcW w:w="4252" w:type="dxa"/>
          </w:tcPr>
          <w:p w:rsidR="003266BF" w:rsidRDefault="003750B3" w:rsidP="003266BF">
            <w:pPr>
              <w:pStyle w:val="NormalWeb"/>
              <w:shd w:val="clear" w:color="auto" w:fill="FFFFFF"/>
              <w:spacing w:before="0" w:beforeAutospacing="0" w:after="0" w:afterAutospacing="0"/>
              <w:jc w:val="both"/>
              <w:rPr>
                <w:rFonts w:eastAsiaTheme="minorHAnsi"/>
                <w:lang w:val="ro-MD"/>
              </w:rPr>
            </w:pPr>
            <w:r>
              <w:rPr>
                <w:rFonts w:eastAsiaTheme="minorHAnsi"/>
                <w:lang w:val="ro-MD"/>
              </w:rPr>
              <w:t>3.</w:t>
            </w:r>
            <w:r w:rsidR="003266BF" w:rsidRPr="003266BF">
              <w:rPr>
                <w:rFonts w:eastAsiaTheme="minorHAnsi"/>
                <w:lang w:val="ro-MD"/>
              </w:rPr>
              <w:t>Investitorii sau beneficiarii construcțiilor, indiferent de tipul de proprietate, cu excepția investitorilor și proprietarilor construcțiilor, care efectuează construcții din contul mijloacelor alocate din bugetul public național, anual, odată cu plata lucrărilor executate, transferă la bugetul de stat mijloace pentru finanțarea SDNC, reieșind din volumul investițiilor în capitalul fix, efectuate în anul respectiv.</w:t>
            </w:r>
          </w:p>
          <w:p w:rsidR="003266BF" w:rsidRPr="003266BF" w:rsidRDefault="003266BF" w:rsidP="003266BF">
            <w:pPr>
              <w:pStyle w:val="NormalWeb"/>
              <w:shd w:val="clear" w:color="auto" w:fill="FFFFFF"/>
              <w:spacing w:before="0" w:beforeAutospacing="0" w:after="0" w:afterAutospacing="0"/>
              <w:jc w:val="both"/>
              <w:rPr>
                <w:rFonts w:eastAsiaTheme="minorHAnsi"/>
                <w:lang w:val="ro-MD"/>
              </w:rPr>
            </w:pPr>
            <w:r w:rsidRPr="003266BF">
              <w:rPr>
                <w:rFonts w:eastAsiaTheme="minorHAnsi"/>
                <w:lang w:val="ro-MD"/>
              </w:rPr>
              <w:t>Pentru  virarea cu întârziere a defalcărilor respective se aplică sancțiunile și penalitățile conform legislației în vigoare.</w:t>
            </w:r>
          </w:p>
          <w:p w:rsidR="00F52BCD" w:rsidRPr="003266BF" w:rsidRDefault="00F52BCD" w:rsidP="00F52BCD">
            <w:pPr>
              <w:jc w:val="both"/>
              <w:rPr>
                <w:rFonts w:ascii="Times New Roman" w:hAnsi="Times New Roman" w:cs="Times New Roman"/>
                <w:sz w:val="24"/>
                <w:szCs w:val="24"/>
              </w:rPr>
            </w:pPr>
          </w:p>
        </w:tc>
        <w:tc>
          <w:tcPr>
            <w:tcW w:w="3686" w:type="dxa"/>
          </w:tcPr>
          <w:p w:rsidR="00F52BCD" w:rsidRPr="00497EC5" w:rsidRDefault="003266BF" w:rsidP="00B04F81">
            <w:pPr>
              <w:jc w:val="both"/>
              <w:rPr>
                <w:rFonts w:ascii="Times New Roman" w:hAnsi="Times New Roman" w:cs="Times New Roman"/>
                <w:sz w:val="24"/>
                <w:szCs w:val="24"/>
                <w:lang w:val="ro-MD"/>
              </w:rPr>
            </w:pPr>
            <w:r w:rsidRPr="003266BF">
              <w:rPr>
                <w:rFonts w:ascii="Times New Roman" w:hAnsi="Times New Roman" w:cs="Times New Roman"/>
                <w:sz w:val="24"/>
                <w:szCs w:val="24"/>
                <w:lang w:val="ro-MD"/>
              </w:rPr>
              <w:t>la pct. 3, cuvintele „odată cu plata lucrărilor executate” se substituie cu cuvintele „până la data de 25 martie”;</w:t>
            </w:r>
          </w:p>
        </w:tc>
        <w:tc>
          <w:tcPr>
            <w:tcW w:w="4394" w:type="dxa"/>
          </w:tcPr>
          <w:p w:rsidR="003266BF" w:rsidRPr="003266BF" w:rsidRDefault="003266BF" w:rsidP="003266BF">
            <w:pPr>
              <w:pStyle w:val="NormalWeb"/>
              <w:shd w:val="clear" w:color="auto" w:fill="FFFFFF"/>
              <w:spacing w:before="0" w:beforeAutospacing="0" w:after="0" w:afterAutospacing="0"/>
              <w:jc w:val="both"/>
              <w:rPr>
                <w:rFonts w:eastAsiaTheme="minorHAnsi"/>
                <w:lang w:val="ro-MD"/>
              </w:rPr>
            </w:pPr>
            <w:r w:rsidRPr="003266BF">
              <w:rPr>
                <w:rFonts w:eastAsiaTheme="minorHAnsi"/>
                <w:lang w:val="ro-MD"/>
              </w:rPr>
              <w:t xml:space="preserve">Investitorii sau beneficiarii construcțiilor, indiferent de tipul de proprietate, cu excepția investitorilor și proprietarilor construcțiilor, care efectuează construcții din contul mijloacelor alocate din bugetul public național, anual, </w:t>
            </w:r>
            <w:r>
              <w:rPr>
                <w:rFonts w:eastAsiaTheme="minorHAnsi"/>
                <w:lang w:val="ro-MD"/>
              </w:rPr>
              <w:t>până la data de 25 martie</w:t>
            </w:r>
            <w:r w:rsidRPr="003266BF">
              <w:rPr>
                <w:rFonts w:eastAsiaTheme="minorHAnsi"/>
                <w:lang w:val="ro-MD"/>
              </w:rPr>
              <w:t>, transferă la bugetul de stat mijloace pentru finanțarea SDNC, reieșind din volumul investițiilor în capitalul fix, efectuate în anul respectiv.</w:t>
            </w:r>
          </w:p>
          <w:p w:rsidR="00F52BCD" w:rsidRPr="00497EC5" w:rsidRDefault="003266BF" w:rsidP="003266BF">
            <w:pPr>
              <w:jc w:val="both"/>
              <w:rPr>
                <w:rFonts w:ascii="Times New Roman" w:hAnsi="Times New Roman" w:cs="Times New Roman"/>
                <w:sz w:val="24"/>
                <w:szCs w:val="24"/>
                <w:lang w:val="ro-MD"/>
              </w:rPr>
            </w:pPr>
            <w:r w:rsidRPr="003266BF">
              <w:rPr>
                <w:rFonts w:ascii="Times New Roman" w:hAnsi="Times New Roman" w:cs="Times New Roman"/>
                <w:sz w:val="24"/>
                <w:szCs w:val="24"/>
                <w:lang w:val="ro-MD"/>
              </w:rPr>
              <w:t>Pentru  virarea cu întârziere a defalcărilor respective se aplică sancțiunile și penalitățile conform legislației în vigoare</w:t>
            </w:r>
            <w:r w:rsidR="00F61FD5">
              <w:rPr>
                <w:rFonts w:ascii="Times New Roman" w:hAnsi="Times New Roman" w:cs="Times New Roman"/>
                <w:sz w:val="24"/>
                <w:szCs w:val="24"/>
                <w:lang w:val="ro-MD"/>
              </w:rPr>
              <w:t>.</w:t>
            </w:r>
          </w:p>
        </w:tc>
      </w:tr>
      <w:tr w:rsidR="001A7D1C" w:rsidRPr="00C52729" w:rsidTr="00496C1B">
        <w:tc>
          <w:tcPr>
            <w:tcW w:w="1413" w:type="dxa"/>
          </w:tcPr>
          <w:p w:rsidR="001A7D1C" w:rsidRDefault="00E05B77" w:rsidP="003750B3">
            <w:pPr>
              <w:rPr>
                <w:rFonts w:ascii="Times New Roman" w:hAnsi="Times New Roman" w:cs="Times New Roman"/>
                <w:sz w:val="24"/>
                <w:szCs w:val="24"/>
              </w:rPr>
            </w:pPr>
            <w:r>
              <w:rPr>
                <w:rFonts w:ascii="Times New Roman" w:hAnsi="Times New Roman" w:cs="Times New Roman"/>
                <w:sz w:val="24"/>
                <w:szCs w:val="24"/>
              </w:rPr>
              <w:t>Pct</w:t>
            </w:r>
            <w:r w:rsidR="00497EC5">
              <w:rPr>
                <w:rFonts w:ascii="Times New Roman" w:hAnsi="Times New Roman" w:cs="Times New Roman"/>
                <w:sz w:val="24"/>
                <w:szCs w:val="24"/>
              </w:rPr>
              <w:t xml:space="preserve">. </w:t>
            </w:r>
            <w:r w:rsidR="003750B3">
              <w:rPr>
                <w:rFonts w:ascii="Times New Roman" w:hAnsi="Times New Roman" w:cs="Times New Roman"/>
                <w:sz w:val="24"/>
                <w:szCs w:val="24"/>
              </w:rPr>
              <w:t>6</w:t>
            </w:r>
            <w:r w:rsidR="00F61FD5">
              <w:rPr>
                <w:rFonts w:ascii="Times New Roman" w:hAnsi="Times New Roman" w:cs="Times New Roman"/>
                <w:sz w:val="24"/>
                <w:szCs w:val="24"/>
              </w:rPr>
              <w:t xml:space="preserve"> </w:t>
            </w:r>
          </w:p>
        </w:tc>
        <w:tc>
          <w:tcPr>
            <w:tcW w:w="4252" w:type="dxa"/>
          </w:tcPr>
          <w:p w:rsidR="001A7D1C" w:rsidRPr="00F61FD5" w:rsidRDefault="003750B3" w:rsidP="00F61FD5">
            <w:pPr>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F61FD5" w:rsidRPr="00F61FD5">
              <w:rPr>
                <w:rFonts w:ascii="Times New Roman" w:hAnsi="Times New Roman" w:cs="Times New Roman"/>
                <w:sz w:val="24"/>
                <w:szCs w:val="24"/>
                <w:lang w:val="ro-MD"/>
              </w:rPr>
              <w:t xml:space="preserve">. </w:t>
            </w:r>
            <w:r w:rsidRPr="003750B3">
              <w:rPr>
                <w:rFonts w:ascii="Times New Roman" w:hAnsi="Times New Roman" w:cs="Times New Roman"/>
                <w:sz w:val="24"/>
                <w:szCs w:val="24"/>
                <w:lang w:val="ro-MD"/>
              </w:rPr>
              <w:t xml:space="preserve"> La întocmirea devizului local, pe obiect sau general al construcției, organizațiile de proiectare și construcții-montaj includ, până la calcularea taxei pe valoarea adăugată, defalcările pentru finanțarea SDNC, cu indicarea sumei calculate.</w:t>
            </w:r>
          </w:p>
        </w:tc>
        <w:tc>
          <w:tcPr>
            <w:tcW w:w="3686" w:type="dxa"/>
          </w:tcPr>
          <w:p w:rsidR="001A7D1C" w:rsidRPr="00497EC5" w:rsidRDefault="003750B3" w:rsidP="003750B3">
            <w:pPr>
              <w:jc w:val="both"/>
              <w:rPr>
                <w:rFonts w:ascii="Times New Roman" w:hAnsi="Times New Roman" w:cs="Times New Roman"/>
                <w:sz w:val="24"/>
                <w:szCs w:val="24"/>
                <w:lang w:val="ro-MD"/>
              </w:rPr>
            </w:pPr>
            <w:r w:rsidRPr="003750B3">
              <w:rPr>
                <w:rFonts w:ascii="Times New Roman" w:hAnsi="Times New Roman" w:cs="Times New Roman"/>
                <w:sz w:val="24"/>
                <w:szCs w:val="24"/>
                <w:lang w:val="ro-MD"/>
              </w:rPr>
              <w:t>la pct. 6, cuvintele „La întocmirea devizului local</w:t>
            </w:r>
            <w:r>
              <w:rPr>
                <w:rFonts w:ascii="Times New Roman" w:hAnsi="Times New Roman" w:cs="Times New Roman"/>
                <w:sz w:val="24"/>
                <w:szCs w:val="24"/>
                <w:lang w:val="ro-MD"/>
              </w:rPr>
              <w:t xml:space="preserve">” se substituie cu cuvintele </w:t>
            </w:r>
            <w:r w:rsidRPr="003750B3">
              <w:rPr>
                <w:rFonts w:ascii="Times New Roman" w:hAnsi="Times New Roman" w:cs="Times New Roman"/>
                <w:sz w:val="24"/>
                <w:szCs w:val="24"/>
                <w:lang w:val="ro-MD"/>
              </w:rPr>
              <w:t>„</w:t>
            </w:r>
            <w:r>
              <w:rPr>
                <w:rFonts w:ascii="Times New Roman" w:hAnsi="Times New Roman" w:cs="Times New Roman"/>
                <w:sz w:val="24"/>
                <w:szCs w:val="24"/>
                <w:lang w:val="ro-MD"/>
              </w:rPr>
              <w:t xml:space="preserve">La </w:t>
            </w:r>
            <w:r w:rsidRPr="003750B3">
              <w:rPr>
                <w:rFonts w:ascii="Times New Roman" w:hAnsi="Times New Roman" w:cs="Times New Roman"/>
                <w:sz w:val="24"/>
                <w:szCs w:val="24"/>
                <w:lang w:val="ro-MD"/>
              </w:rPr>
              <w:t>întocmirea documentației de deviz”</w:t>
            </w:r>
            <w:r>
              <w:rPr>
                <w:rFonts w:ascii="Times New Roman" w:hAnsi="Times New Roman" w:cs="Times New Roman"/>
                <w:sz w:val="24"/>
                <w:szCs w:val="24"/>
                <w:lang w:val="ro-MD"/>
              </w:rPr>
              <w:t>;</w:t>
            </w:r>
          </w:p>
        </w:tc>
        <w:tc>
          <w:tcPr>
            <w:tcW w:w="4394" w:type="dxa"/>
          </w:tcPr>
          <w:p w:rsidR="001A7D1C" w:rsidRPr="00497EC5" w:rsidRDefault="003750B3" w:rsidP="003750B3">
            <w:pPr>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F61FD5" w:rsidRPr="00F61FD5">
              <w:rPr>
                <w:rFonts w:ascii="Times New Roman" w:hAnsi="Times New Roman" w:cs="Times New Roman"/>
                <w:sz w:val="24"/>
                <w:szCs w:val="24"/>
                <w:lang w:val="ro-MD"/>
              </w:rPr>
              <w:t xml:space="preserve">. </w:t>
            </w:r>
            <w:r w:rsidRPr="003750B3">
              <w:rPr>
                <w:rFonts w:ascii="Times New Roman" w:hAnsi="Times New Roman" w:cs="Times New Roman"/>
                <w:sz w:val="24"/>
                <w:szCs w:val="24"/>
                <w:lang w:val="ro-MD"/>
              </w:rPr>
              <w:t xml:space="preserve"> </w:t>
            </w:r>
            <w:r>
              <w:rPr>
                <w:rFonts w:ascii="Times New Roman" w:hAnsi="Times New Roman" w:cs="Times New Roman"/>
                <w:sz w:val="24"/>
                <w:szCs w:val="24"/>
                <w:lang w:val="ro-MD"/>
              </w:rPr>
              <w:t>La întocmirea documentației de deviz</w:t>
            </w:r>
            <w:r w:rsidRPr="003750B3">
              <w:rPr>
                <w:rFonts w:ascii="Times New Roman" w:hAnsi="Times New Roman" w:cs="Times New Roman"/>
                <w:sz w:val="24"/>
                <w:szCs w:val="24"/>
                <w:lang w:val="ro-MD"/>
              </w:rPr>
              <w:t>, pe obiect sau general al construcției, organizațiile de proiectare și construcții-montaj includ, până la calcularea taxei pe valoarea adăugată, defalcările pentru finanțarea SDNC, cu indicarea sumei calculate.</w:t>
            </w:r>
            <w:r w:rsidR="00F61FD5" w:rsidRPr="00F61FD5">
              <w:rPr>
                <w:rFonts w:ascii="Times New Roman" w:hAnsi="Times New Roman" w:cs="Times New Roman"/>
                <w:sz w:val="24"/>
                <w:szCs w:val="24"/>
                <w:lang w:val="ro-MD"/>
              </w:rPr>
              <w:t>.</w:t>
            </w:r>
          </w:p>
        </w:tc>
      </w:tr>
      <w:tr w:rsidR="00F61FD5" w:rsidRPr="00C52729" w:rsidTr="00496C1B">
        <w:tc>
          <w:tcPr>
            <w:tcW w:w="1413" w:type="dxa"/>
          </w:tcPr>
          <w:p w:rsidR="00F61FD5" w:rsidRDefault="00F61FD5" w:rsidP="00AF2CB6">
            <w:pPr>
              <w:rPr>
                <w:rFonts w:ascii="Times New Roman" w:hAnsi="Times New Roman" w:cs="Times New Roman"/>
                <w:sz w:val="24"/>
                <w:szCs w:val="24"/>
              </w:rPr>
            </w:pPr>
            <w:r>
              <w:rPr>
                <w:rFonts w:ascii="Times New Roman" w:hAnsi="Times New Roman" w:cs="Times New Roman"/>
                <w:sz w:val="24"/>
                <w:szCs w:val="24"/>
              </w:rPr>
              <w:t xml:space="preserve">Pct. </w:t>
            </w:r>
            <w:r w:rsidR="00AF2CB6">
              <w:rPr>
                <w:rFonts w:ascii="Times New Roman" w:hAnsi="Times New Roman" w:cs="Times New Roman"/>
                <w:sz w:val="24"/>
                <w:szCs w:val="24"/>
              </w:rPr>
              <w:t>8</w:t>
            </w:r>
          </w:p>
        </w:tc>
        <w:tc>
          <w:tcPr>
            <w:tcW w:w="4252" w:type="dxa"/>
          </w:tcPr>
          <w:p w:rsidR="00AF2CB6" w:rsidRPr="00AF2CB6" w:rsidRDefault="00AF2CB6" w:rsidP="00AF2CB6">
            <w:pPr>
              <w:pStyle w:val="NormalWeb"/>
              <w:shd w:val="clear" w:color="auto" w:fill="FFFFFF"/>
              <w:spacing w:before="0" w:beforeAutospacing="0" w:after="0" w:afterAutospacing="0"/>
              <w:jc w:val="both"/>
              <w:rPr>
                <w:rFonts w:eastAsiaTheme="minorHAnsi"/>
                <w:lang w:val="ro-MD"/>
              </w:rPr>
            </w:pPr>
            <w:r w:rsidRPr="00AF2CB6">
              <w:rPr>
                <w:rFonts w:eastAsiaTheme="minorHAnsi"/>
                <w:lang w:val="ro-MD"/>
              </w:rPr>
              <w:t>8 Suma cheltuielilor pentru achiziționarea, crearea și reproducerea mijloacelor fixe (investiții în capitalul fix) se constituie din:</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valoarea lucrărilor de proiectare și prospecțiuni;</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valoarea lucrărilor de expertiză a documentației de proiect și de deviz;</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valoarea lucrărilor de construcții-montaj (construcție nouă, reconstrucție, modernizare, extindere și  reutilare);</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valoarea utilajului, uneltelor, inventarului, mijloacelor de transport (inclusă în devizul construcției);  </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lastRenderedPageBreak/>
              <w:t>valoarea lucrărilor pentru montarea utilajului;</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valoarea cheltuielilor pentru supravegherea tehnică și de autor în construcții;</w:t>
            </w:r>
          </w:p>
          <w:p w:rsidR="00AF2CB6" w:rsidRPr="00AF2CB6" w:rsidRDefault="00AF2CB6" w:rsidP="00AF2CB6">
            <w:pPr>
              <w:pStyle w:val="NormalWeb"/>
              <w:shd w:val="clear" w:color="auto" w:fill="FFFFFF"/>
              <w:spacing w:before="0" w:beforeAutospacing="0" w:after="0" w:afterAutospacing="0"/>
              <w:ind w:firstLine="709"/>
              <w:jc w:val="both"/>
              <w:rPr>
                <w:rFonts w:eastAsiaTheme="minorHAnsi"/>
                <w:lang w:val="ro-MD"/>
              </w:rPr>
            </w:pPr>
            <w:r w:rsidRPr="00AF2CB6">
              <w:rPr>
                <w:rFonts w:eastAsiaTheme="minorHAnsi"/>
                <w:lang w:val="ro-MD"/>
              </w:rPr>
              <w:t>alte cheltuieli prevăzute (după caz) în devizul local, pe obiect sau general al construcției.</w:t>
            </w:r>
          </w:p>
          <w:p w:rsidR="00F61FD5" w:rsidRPr="00AF2CB6" w:rsidRDefault="00F61FD5" w:rsidP="00F61FD5">
            <w:pPr>
              <w:jc w:val="both"/>
              <w:rPr>
                <w:rFonts w:ascii="Times New Roman" w:hAnsi="Times New Roman" w:cs="Times New Roman"/>
                <w:sz w:val="24"/>
                <w:szCs w:val="24"/>
              </w:rPr>
            </w:pPr>
          </w:p>
        </w:tc>
        <w:tc>
          <w:tcPr>
            <w:tcW w:w="3686" w:type="dxa"/>
          </w:tcPr>
          <w:p w:rsidR="00F61FD5" w:rsidRPr="00AF2CB6" w:rsidRDefault="00AF2CB6" w:rsidP="00AF2CB6">
            <w:pPr>
              <w:pStyle w:val="NormalWeb"/>
              <w:shd w:val="clear" w:color="auto" w:fill="FFFFFF"/>
              <w:jc w:val="both"/>
              <w:rPr>
                <w:rFonts w:eastAsiaTheme="minorHAnsi"/>
                <w:lang w:val="ro-MD"/>
              </w:rPr>
            </w:pPr>
            <w:r w:rsidRPr="00AF2CB6">
              <w:rPr>
                <w:rFonts w:eastAsiaTheme="minorHAnsi"/>
                <w:lang w:val="ro-MD"/>
              </w:rPr>
              <w:lastRenderedPageBreak/>
              <w:t xml:space="preserve">pct.8, va avea următorul cuprins: </w:t>
            </w:r>
            <w:r w:rsidRPr="00AF2CB6">
              <w:rPr>
                <w:lang w:val="ro-MD"/>
              </w:rPr>
              <w:t>,,8. Suma cheltuielilor pentru achiziționarea, crearea și reproducerea mijloacelor fixe (investiții în capitalul fix) se constituie conform prevederilor art. 8 alin. (2) din Legea nr. 329/2025 privind Fondul național de dezvoltare a sistemului de documente normative în construcții.”</w:t>
            </w:r>
          </w:p>
        </w:tc>
        <w:tc>
          <w:tcPr>
            <w:tcW w:w="4394" w:type="dxa"/>
          </w:tcPr>
          <w:p w:rsidR="00F61FD5" w:rsidRPr="00497EC5" w:rsidRDefault="00AF2CB6" w:rsidP="00F61FD5">
            <w:pPr>
              <w:jc w:val="both"/>
              <w:rPr>
                <w:rFonts w:ascii="Times New Roman" w:hAnsi="Times New Roman" w:cs="Times New Roman"/>
                <w:sz w:val="24"/>
                <w:szCs w:val="24"/>
                <w:lang w:val="ro-MD"/>
              </w:rPr>
            </w:pPr>
            <w:r>
              <w:rPr>
                <w:rFonts w:ascii="Times New Roman" w:hAnsi="Times New Roman" w:cs="Times New Roman"/>
                <w:sz w:val="24"/>
                <w:szCs w:val="24"/>
                <w:lang w:val="ro-MD"/>
              </w:rPr>
              <w:t>8</w:t>
            </w:r>
            <w:r w:rsidR="00F61FD5" w:rsidRPr="00F61FD5">
              <w:rPr>
                <w:rFonts w:ascii="Times New Roman" w:hAnsi="Times New Roman" w:cs="Times New Roman"/>
                <w:sz w:val="24"/>
                <w:szCs w:val="24"/>
                <w:lang w:val="ro-MD"/>
              </w:rPr>
              <w:t xml:space="preserve">. </w:t>
            </w:r>
            <w:r w:rsidRPr="00AF2CB6">
              <w:rPr>
                <w:rFonts w:ascii="Times New Roman" w:hAnsi="Times New Roman" w:cs="Times New Roman"/>
                <w:sz w:val="24"/>
                <w:szCs w:val="24"/>
                <w:lang w:val="ro-MD"/>
              </w:rPr>
              <w:t>Suma cheltuielilor pentru achiziționarea, crearea și reproducerea mijloacelor fixe (investiții în capitalul fix) se constituie conform prevederilor art. 8 alin. (2) din Legea nr. 329/2025 privind Fondul național de dezvoltare a sistemului de documente normative în construcții</w:t>
            </w:r>
            <w:r>
              <w:rPr>
                <w:rFonts w:ascii="Times New Roman" w:hAnsi="Times New Roman" w:cs="Times New Roman"/>
                <w:sz w:val="24"/>
                <w:szCs w:val="24"/>
                <w:lang w:val="ro-MD"/>
              </w:rPr>
              <w:t>.</w:t>
            </w:r>
          </w:p>
        </w:tc>
      </w:tr>
      <w:tr w:rsidR="001F6ABD" w:rsidRPr="008F00EE" w:rsidTr="00496C1B">
        <w:tc>
          <w:tcPr>
            <w:tcW w:w="1413" w:type="dxa"/>
          </w:tcPr>
          <w:p w:rsidR="00F61FD5" w:rsidRDefault="00E459D1" w:rsidP="00CD21CE">
            <w:pPr>
              <w:rPr>
                <w:rFonts w:ascii="Times New Roman" w:hAnsi="Times New Roman" w:cs="Times New Roman"/>
                <w:sz w:val="24"/>
                <w:szCs w:val="24"/>
              </w:rPr>
            </w:pPr>
            <w:r>
              <w:rPr>
                <w:rFonts w:ascii="Times New Roman" w:hAnsi="Times New Roman" w:cs="Times New Roman"/>
                <w:sz w:val="24"/>
                <w:szCs w:val="24"/>
              </w:rPr>
              <w:t>Pct. 10</w:t>
            </w:r>
            <w:r w:rsidR="00F61FD5">
              <w:rPr>
                <w:rFonts w:ascii="Times New Roman" w:hAnsi="Times New Roman" w:cs="Times New Roman"/>
                <w:sz w:val="24"/>
                <w:szCs w:val="24"/>
              </w:rPr>
              <w:t xml:space="preserve"> </w:t>
            </w:r>
          </w:p>
          <w:p w:rsidR="002270E6" w:rsidRDefault="002270E6" w:rsidP="00CD21CE">
            <w:pPr>
              <w:rPr>
                <w:rFonts w:ascii="Times New Roman" w:hAnsi="Times New Roman" w:cs="Times New Roman"/>
                <w:sz w:val="24"/>
                <w:szCs w:val="24"/>
              </w:rPr>
            </w:pPr>
          </w:p>
        </w:tc>
        <w:tc>
          <w:tcPr>
            <w:tcW w:w="4252" w:type="dxa"/>
          </w:tcPr>
          <w:p w:rsidR="00A51992" w:rsidRPr="00E05B77" w:rsidRDefault="00E459D1" w:rsidP="002B1681">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10. </w:t>
            </w:r>
            <w:r w:rsidRPr="00E459D1">
              <w:rPr>
                <w:rFonts w:ascii="Times New Roman" w:hAnsi="Times New Roman" w:cs="Times New Roman"/>
                <w:sz w:val="24"/>
                <w:szCs w:val="24"/>
                <w:lang w:val="ro-MD"/>
              </w:rPr>
              <w:t>Calculul și virarea sumelor respective se efectuează trimestrial până la ultima zi a lunii următoare trimestrului de gestiune, concomitent cu plata lucrărilor executate.</w:t>
            </w:r>
          </w:p>
        </w:tc>
        <w:tc>
          <w:tcPr>
            <w:tcW w:w="3686" w:type="dxa"/>
          </w:tcPr>
          <w:p w:rsidR="00E05B77" w:rsidRPr="00E05B77" w:rsidRDefault="00E459D1" w:rsidP="00E05B77">
            <w:pPr>
              <w:jc w:val="both"/>
              <w:rPr>
                <w:rFonts w:ascii="Times New Roman" w:hAnsi="Times New Roman" w:cs="Times New Roman"/>
                <w:sz w:val="24"/>
                <w:szCs w:val="24"/>
                <w:lang w:val="ro-MD"/>
              </w:rPr>
            </w:pPr>
            <w:r w:rsidRPr="00E459D1">
              <w:rPr>
                <w:rFonts w:ascii="Times New Roman" w:hAnsi="Times New Roman" w:cs="Times New Roman"/>
                <w:sz w:val="24"/>
                <w:szCs w:val="24"/>
                <w:lang w:val="ro-MD"/>
              </w:rPr>
              <w:t>pct. 10 se abrogă;</w:t>
            </w:r>
          </w:p>
          <w:p w:rsidR="001F6ABD" w:rsidRPr="00E05B77" w:rsidRDefault="001F6ABD" w:rsidP="00E05B77">
            <w:pPr>
              <w:jc w:val="both"/>
              <w:rPr>
                <w:rFonts w:ascii="Times New Roman" w:hAnsi="Times New Roman" w:cs="Times New Roman"/>
                <w:sz w:val="24"/>
                <w:szCs w:val="24"/>
                <w:lang w:val="ro-MD"/>
              </w:rPr>
            </w:pPr>
          </w:p>
        </w:tc>
        <w:tc>
          <w:tcPr>
            <w:tcW w:w="4394" w:type="dxa"/>
          </w:tcPr>
          <w:p w:rsidR="00D042E5" w:rsidRPr="00E05B77" w:rsidRDefault="00D042E5" w:rsidP="004F4DE4">
            <w:pPr>
              <w:jc w:val="both"/>
              <w:rPr>
                <w:rFonts w:ascii="Times New Roman" w:hAnsi="Times New Roman" w:cs="Times New Roman"/>
                <w:sz w:val="24"/>
                <w:szCs w:val="24"/>
                <w:lang w:val="ro-MD"/>
              </w:rPr>
            </w:pPr>
          </w:p>
        </w:tc>
      </w:tr>
      <w:tr w:rsidR="000D264E" w:rsidRPr="008F00EE" w:rsidTr="00496C1B">
        <w:tc>
          <w:tcPr>
            <w:tcW w:w="1413" w:type="dxa"/>
          </w:tcPr>
          <w:p w:rsidR="000D264E" w:rsidRDefault="000D264E" w:rsidP="00CD21CE">
            <w:pPr>
              <w:rPr>
                <w:rFonts w:ascii="Times New Roman" w:hAnsi="Times New Roman" w:cs="Times New Roman"/>
                <w:sz w:val="24"/>
                <w:szCs w:val="24"/>
              </w:rPr>
            </w:pPr>
            <w:r>
              <w:rPr>
                <w:rFonts w:ascii="Times New Roman" w:hAnsi="Times New Roman" w:cs="Times New Roman"/>
                <w:sz w:val="24"/>
                <w:szCs w:val="24"/>
              </w:rPr>
              <w:t>Pct. 11</w:t>
            </w:r>
          </w:p>
        </w:tc>
        <w:tc>
          <w:tcPr>
            <w:tcW w:w="4252" w:type="dxa"/>
          </w:tcPr>
          <w:p w:rsidR="000D264E" w:rsidRDefault="00F76E1E" w:rsidP="002B1681">
            <w:pPr>
              <w:jc w:val="both"/>
              <w:rPr>
                <w:rFonts w:ascii="Times New Roman" w:hAnsi="Times New Roman" w:cs="Times New Roman"/>
                <w:sz w:val="24"/>
                <w:szCs w:val="24"/>
                <w:lang w:val="ro-MD"/>
              </w:rPr>
            </w:pPr>
            <w:r>
              <w:rPr>
                <w:rFonts w:ascii="Times New Roman" w:hAnsi="Times New Roman" w:cs="Times New Roman"/>
                <w:sz w:val="24"/>
                <w:szCs w:val="24"/>
                <w:lang w:val="ro-MD"/>
              </w:rPr>
              <w:t>11.</w:t>
            </w:r>
            <w:r>
              <w:rPr>
                <w:color w:val="333333"/>
                <w:shd w:val="clear" w:color="auto" w:fill="FFFFFF"/>
              </w:rPr>
              <w:t xml:space="preserve"> </w:t>
            </w:r>
            <w:r w:rsidRPr="00F76E1E">
              <w:rPr>
                <w:rFonts w:ascii="Times New Roman" w:hAnsi="Times New Roman" w:cs="Times New Roman"/>
                <w:sz w:val="24"/>
                <w:szCs w:val="24"/>
                <w:lang w:val="ro-MD"/>
              </w:rPr>
              <w:t xml:space="preserve">Suma defalcărilor, ce urmează a fi virată, se calculează în cuantum de 0,5 % numai din valoarea  </w:t>
            </w:r>
            <w:r w:rsidRPr="00F76E1E">
              <w:rPr>
                <w:rFonts w:ascii="Times New Roman" w:hAnsi="Times New Roman" w:cs="Times New Roman"/>
                <w:sz w:val="24"/>
                <w:szCs w:val="24"/>
                <w:lang w:val="ro-MD"/>
              </w:rPr>
              <w:t>investițiilor</w:t>
            </w:r>
            <w:r w:rsidRPr="00F76E1E">
              <w:rPr>
                <w:rFonts w:ascii="Times New Roman" w:hAnsi="Times New Roman" w:cs="Times New Roman"/>
                <w:sz w:val="24"/>
                <w:szCs w:val="24"/>
                <w:lang w:val="ro-MD"/>
              </w:rPr>
              <w:t xml:space="preserve"> în capitalul fix, efectuate în perioada de raport, conform anexei nr. 1 la prezentul Regulament.</w:t>
            </w:r>
          </w:p>
        </w:tc>
        <w:tc>
          <w:tcPr>
            <w:tcW w:w="3686" w:type="dxa"/>
          </w:tcPr>
          <w:p w:rsidR="000D264E" w:rsidRPr="00E459D1" w:rsidRDefault="00F76E1E" w:rsidP="00F76E1E">
            <w:pPr>
              <w:jc w:val="both"/>
              <w:rPr>
                <w:rFonts w:ascii="Times New Roman" w:hAnsi="Times New Roman" w:cs="Times New Roman"/>
                <w:sz w:val="24"/>
                <w:szCs w:val="24"/>
                <w:lang w:val="ro-MD"/>
              </w:rPr>
            </w:pPr>
            <w:bookmarkStart w:id="0" w:name="_GoBack"/>
            <w:r w:rsidRPr="00F76E1E">
              <w:rPr>
                <w:rFonts w:ascii="Times New Roman" w:hAnsi="Times New Roman" w:cs="Times New Roman"/>
                <w:sz w:val="24"/>
                <w:szCs w:val="24"/>
                <w:lang w:val="ro-MD"/>
              </w:rPr>
              <w:t>la pct. 11, cuvintele „conform anexei nr. 1 la prezentul Regulament” se exclud;</w:t>
            </w:r>
            <w:bookmarkEnd w:id="0"/>
          </w:p>
        </w:tc>
        <w:tc>
          <w:tcPr>
            <w:tcW w:w="4394" w:type="dxa"/>
          </w:tcPr>
          <w:p w:rsidR="000D264E" w:rsidRPr="00E05B77" w:rsidRDefault="00F76E1E" w:rsidP="004F4DE4">
            <w:pPr>
              <w:jc w:val="both"/>
              <w:rPr>
                <w:rFonts w:ascii="Times New Roman" w:hAnsi="Times New Roman" w:cs="Times New Roman"/>
                <w:sz w:val="24"/>
                <w:szCs w:val="24"/>
                <w:lang w:val="ro-MD"/>
              </w:rPr>
            </w:pPr>
            <w:r>
              <w:rPr>
                <w:rFonts w:ascii="Times New Roman" w:hAnsi="Times New Roman" w:cs="Times New Roman"/>
                <w:sz w:val="24"/>
                <w:szCs w:val="24"/>
                <w:lang w:val="ro-MD"/>
              </w:rPr>
              <w:t>11.</w:t>
            </w:r>
            <w:r>
              <w:rPr>
                <w:color w:val="333333"/>
                <w:shd w:val="clear" w:color="auto" w:fill="FFFFFF"/>
              </w:rPr>
              <w:t xml:space="preserve"> </w:t>
            </w:r>
            <w:r w:rsidRPr="00F76E1E">
              <w:rPr>
                <w:rFonts w:ascii="Times New Roman" w:hAnsi="Times New Roman" w:cs="Times New Roman"/>
                <w:sz w:val="24"/>
                <w:szCs w:val="24"/>
                <w:lang w:val="ro-MD"/>
              </w:rPr>
              <w:t xml:space="preserve">Suma defalcărilor, ce urmează a fi virată, se calculează în cuantum de 0,5 % numai din valoarea  investițiilor în capitalul fix, efectuate în </w:t>
            </w:r>
            <w:r>
              <w:rPr>
                <w:rFonts w:ascii="Times New Roman" w:hAnsi="Times New Roman" w:cs="Times New Roman"/>
                <w:sz w:val="24"/>
                <w:szCs w:val="24"/>
                <w:lang w:val="ro-MD"/>
              </w:rPr>
              <w:t>perioada de raport</w:t>
            </w:r>
            <w:r w:rsidRPr="00F76E1E">
              <w:rPr>
                <w:rFonts w:ascii="Times New Roman" w:hAnsi="Times New Roman" w:cs="Times New Roman"/>
                <w:sz w:val="24"/>
                <w:szCs w:val="24"/>
                <w:lang w:val="ro-MD"/>
              </w:rPr>
              <w:t>.</w:t>
            </w:r>
          </w:p>
        </w:tc>
      </w:tr>
      <w:tr w:rsidR="00C52729" w:rsidRPr="00C52729" w:rsidTr="00496C1B">
        <w:tc>
          <w:tcPr>
            <w:tcW w:w="1413" w:type="dxa"/>
          </w:tcPr>
          <w:p w:rsidR="00335251" w:rsidRDefault="00335251" w:rsidP="00335251">
            <w:pPr>
              <w:rPr>
                <w:rFonts w:ascii="Times New Roman" w:hAnsi="Times New Roman" w:cs="Times New Roman"/>
                <w:sz w:val="24"/>
                <w:szCs w:val="24"/>
              </w:rPr>
            </w:pPr>
            <w:r>
              <w:rPr>
                <w:rFonts w:ascii="Times New Roman" w:hAnsi="Times New Roman" w:cs="Times New Roman"/>
                <w:sz w:val="24"/>
                <w:szCs w:val="24"/>
              </w:rPr>
              <w:t xml:space="preserve">Pct. 15 </w:t>
            </w:r>
          </w:p>
          <w:p w:rsidR="00C52729" w:rsidRDefault="00C52729" w:rsidP="00335251">
            <w:pPr>
              <w:rPr>
                <w:rFonts w:ascii="Times New Roman" w:hAnsi="Times New Roman" w:cs="Times New Roman"/>
                <w:sz w:val="24"/>
                <w:szCs w:val="24"/>
                <w:lang w:val="ro-RO"/>
              </w:rPr>
            </w:pPr>
          </w:p>
        </w:tc>
        <w:tc>
          <w:tcPr>
            <w:tcW w:w="4252" w:type="dxa"/>
          </w:tcPr>
          <w:p w:rsidR="002A579B" w:rsidRPr="002A579B" w:rsidRDefault="002A579B" w:rsidP="002A579B">
            <w:pPr>
              <w:pStyle w:val="NormalWeb"/>
              <w:shd w:val="clear" w:color="auto" w:fill="FFFFFF"/>
              <w:spacing w:before="0" w:beforeAutospacing="0" w:after="0" w:afterAutospacing="0"/>
              <w:jc w:val="both"/>
              <w:rPr>
                <w:rFonts w:ascii="Georgia" w:hAnsi="Georgia"/>
                <w:color w:val="333333"/>
                <w:lang w:val="ro-MD"/>
              </w:rPr>
            </w:pPr>
            <w:r>
              <w:rPr>
                <w:lang w:val="ro-MD"/>
              </w:rPr>
              <w:t>15.</w:t>
            </w:r>
            <w:r w:rsidRPr="002A579B">
              <w:rPr>
                <w:color w:val="333333"/>
                <w:lang w:val="ro-MD"/>
              </w:rPr>
              <w:t>Mijloacele acumulate pentru finanțarea SDNC se utilizează pentru:</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a) crearea, întreținerea, revizuirea, modificarea, armonizarea SDNC, care cuprinde toate etapele procesului investițional în construcții, inclusiv documentele normative aferente,  regulile de construcție în domeniile tehnic, urbanistic, arhitectural, constructiv, economic, organizatoric, producerea de materiale și articole pentru construcții, prospecțiunile inginerești, proiectarea, construcția, exploatarea, reparația, demolarea clădirilor și edificiilor, precum și elaborarea reglementărilor în construcții și a documentelor de politici;</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b) asigurarea juridică, necesară pentru funcționarea SDNC;</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lastRenderedPageBreak/>
              <w:t>c) procurarea utilajului editorial și a mijloacelor tehnice necesare pentru editarea și reeditarea documentelor normative și standardelor în construcții, lucrările tipografice;</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d) efectuarea expertizei documentelor normative în construcții;</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e) procurarea documentelor normative ale organizațiilor internaționale, inclusiv documentele normative ale altor state în domeniul construcțiilor;</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f) finanțarea elaborării documentelor normative interstatale în construcții;</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g) remunerarea comitetelor tehnice pentru elaborarea și coordonarea documentelor normative în construcții, efectuată în bază de contracte de prestări servicii, încheiate cu fiecare membru al comitetului tehnic de către organul central de specialitate al administrației publice în domeniul construcțiilor sau de către instituția din subordine, precum și în baza unei metodologii de remunerare, aprobate de organul central de specialitate al administrației publice în domeniul construcțiilor;</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h) organizarea și desfășurarea  seminarelor, ședințelor pe problemele elaborării și adoptării documentelor normative, standardizării și certificării în construcții;</w:t>
            </w:r>
          </w:p>
          <w:p w:rsidR="002A579B" w:rsidRPr="002A579B" w:rsidRDefault="002A579B" w:rsidP="002A579B">
            <w:pPr>
              <w:pStyle w:val="NormalWeb"/>
              <w:shd w:val="clear" w:color="auto" w:fill="FFFFFF"/>
              <w:spacing w:before="0" w:beforeAutospacing="0" w:after="0" w:afterAutospacing="0"/>
              <w:ind w:firstLine="709"/>
              <w:jc w:val="both"/>
              <w:rPr>
                <w:rFonts w:ascii="Georgia" w:hAnsi="Georgia"/>
                <w:color w:val="333333"/>
                <w:lang w:val="ro-MD"/>
              </w:rPr>
            </w:pPr>
            <w:r w:rsidRPr="002A579B">
              <w:rPr>
                <w:color w:val="333333"/>
                <w:lang w:val="ro-MD"/>
              </w:rPr>
              <w:t xml:space="preserve">i) finanțarea elaborării/revizuirii profilurilor ocupaționale în construcții, elaborării/revizuirii, evaluării și validării standardelor ocupaționale în construcții </w:t>
            </w:r>
            <w:r w:rsidRPr="002A579B">
              <w:rPr>
                <w:color w:val="333333"/>
                <w:lang w:val="ro-MD"/>
              </w:rPr>
              <w:lastRenderedPageBreak/>
              <w:t>pentru profesiile muncitorești și pentru perfecționarea cadrului normativ în domeniul formării profesionale;</w:t>
            </w:r>
          </w:p>
          <w:p w:rsidR="002A579B" w:rsidRDefault="002A579B" w:rsidP="002A579B">
            <w:pPr>
              <w:pStyle w:val="NormalWeb"/>
              <w:shd w:val="clear" w:color="auto" w:fill="FFFFFF"/>
              <w:spacing w:before="0" w:beforeAutospacing="0" w:after="0" w:afterAutospacing="0"/>
              <w:ind w:firstLine="709"/>
              <w:jc w:val="both"/>
              <w:rPr>
                <w:rFonts w:ascii="Georgia" w:hAnsi="Georgia"/>
                <w:color w:val="333333"/>
              </w:rPr>
            </w:pPr>
            <w:r w:rsidRPr="002A579B">
              <w:rPr>
                <w:color w:val="333333"/>
                <w:lang w:val="ro-MD"/>
              </w:rPr>
              <w:t>j) procurarea produselor software, crearea, gestionarea și întreținerea sistemelor informaționale și a bazelor de date în domeniul amenajării teritoriului, urbanismului, proiectărilor, construcțiilor și producerii materialelor de construcție.</w:t>
            </w:r>
          </w:p>
          <w:p w:rsidR="00C52729" w:rsidRPr="002A579B" w:rsidRDefault="00C52729" w:rsidP="006317B3">
            <w:pPr>
              <w:jc w:val="both"/>
              <w:rPr>
                <w:rFonts w:ascii="Times New Roman" w:hAnsi="Times New Roman" w:cs="Times New Roman"/>
                <w:sz w:val="24"/>
                <w:szCs w:val="24"/>
              </w:rPr>
            </w:pPr>
          </w:p>
        </w:tc>
        <w:tc>
          <w:tcPr>
            <w:tcW w:w="3686" w:type="dxa"/>
          </w:tcPr>
          <w:p w:rsidR="00C52729" w:rsidRPr="00FB7A4E" w:rsidRDefault="002A579B" w:rsidP="002A579B">
            <w:pPr>
              <w:jc w:val="both"/>
              <w:rPr>
                <w:rFonts w:ascii="Times New Roman" w:hAnsi="Times New Roman" w:cs="Times New Roman"/>
                <w:sz w:val="24"/>
                <w:szCs w:val="24"/>
                <w:lang w:val="ro-MD"/>
              </w:rPr>
            </w:pPr>
            <w:r w:rsidRPr="002A579B">
              <w:rPr>
                <w:rFonts w:ascii="Times New Roman" w:eastAsia="Times New Roman" w:hAnsi="Times New Roman" w:cs="Times New Roman"/>
                <w:color w:val="333333"/>
                <w:sz w:val="24"/>
                <w:szCs w:val="24"/>
                <w:lang w:val="ro-MD"/>
              </w:rPr>
              <w:lastRenderedPageBreak/>
              <w:t>pct. 15, va avea următorul cuprins:</w:t>
            </w:r>
            <w:r>
              <w:rPr>
                <w:rFonts w:ascii="Times New Roman" w:eastAsia="Times New Roman" w:hAnsi="Times New Roman" w:cs="Times New Roman"/>
                <w:color w:val="333333"/>
                <w:sz w:val="24"/>
                <w:szCs w:val="24"/>
                <w:lang w:val="ro-MD"/>
              </w:rPr>
              <w:t xml:space="preserve"> </w:t>
            </w:r>
            <w:r w:rsidRPr="002A579B">
              <w:rPr>
                <w:rFonts w:ascii="Times New Roman" w:eastAsia="Times New Roman" w:hAnsi="Times New Roman" w:cs="Times New Roman"/>
                <w:color w:val="333333"/>
                <w:sz w:val="24"/>
                <w:szCs w:val="24"/>
                <w:lang w:val="ro-MD"/>
              </w:rPr>
              <w:t>,,</w:t>
            </w:r>
            <w:r>
              <w:rPr>
                <w:rFonts w:ascii="Times New Roman" w:eastAsia="Times New Roman" w:hAnsi="Times New Roman" w:cs="Times New Roman"/>
                <w:color w:val="333333"/>
                <w:sz w:val="24"/>
                <w:szCs w:val="24"/>
                <w:lang w:val="ro-MD"/>
              </w:rPr>
              <w:t xml:space="preserve">15.Utilizarea </w:t>
            </w:r>
            <w:r w:rsidRPr="002A579B">
              <w:rPr>
                <w:rFonts w:ascii="Times New Roman" w:eastAsia="Times New Roman" w:hAnsi="Times New Roman" w:cs="Times New Roman"/>
                <w:color w:val="333333"/>
                <w:sz w:val="24"/>
                <w:szCs w:val="24"/>
                <w:lang w:val="ro-MD"/>
              </w:rPr>
              <w:t>mijloacelor acumulate pentru finanțarea SDNC se efectuează în conformitate cu prevederile art. 6 din Legea nr. 329/2025 privind Fondul național de dezvoltare a sistemului de documente normative în construcții.”</w:t>
            </w:r>
          </w:p>
        </w:tc>
        <w:tc>
          <w:tcPr>
            <w:tcW w:w="4394" w:type="dxa"/>
          </w:tcPr>
          <w:p w:rsidR="00C52729" w:rsidRPr="00FB7A4E" w:rsidRDefault="002A579B" w:rsidP="00F42F0D">
            <w:pPr>
              <w:jc w:val="both"/>
              <w:rPr>
                <w:rFonts w:ascii="Times New Roman" w:hAnsi="Times New Roman" w:cs="Times New Roman"/>
                <w:sz w:val="24"/>
                <w:szCs w:val="24"/>
                <w:lang w:val="ro-MD"/>
              </w:rPr>
            </w:pPr>
            <w:r>
              <w:rPr>
                <w:rFonts w:ascii="Times New Roman" w:eastAsia="Times New Roman" w:hAnsi="Times New Roman" w:cs="Times New Roman"/>
                <w:color w:val="333333"/>
                <w:sz w:val="24"/>
                <w:szCs w:val="24"/>
                <w:lang w:val="ro-MD"/>
              </w:rPr>
              <w:t xml:space="preserve">15.Utilizarea </w:t>
            </w:r>
            <w:r w:rsidRPr="002A579B">
              <w:rPr>
                <w:rFonts w:ascii="Times New Roman" w:eastAsia="Times New Roman" w:hAnsi="Times New Roman" w:cs="Times New Roman"/>
                <w:color w:val="333333"/>
                <w:sz w:val="24"/>
                <w:szCs w:val="24"/>
                <w:lang w:val="ro-MD"/>
              </w:rPr>
              <w:t>mijloacelor acumulate pentru finanțarea SDNC se efectuează în conformitate cu prevederile art. 6 din Legea nr. 329/2025 privind Fondul național de dezvoltare a sistemului de documente normative în construcții.</w:t>
            </w:r>
          </w:p>
        </w:tc>
      </w:tr>
      <w:tr w:rsidR="00FB7A4E" w:rsidRPr="00676350" w:rsidTr="00496C1B">
        <w:trPr>
          <w:trHeight w:val="855"/>
        </w:trPr>
        <w:tc>
          <w:tcPr>
            <w:tcW w:w="1413" w:type="dxa"/>
          </w:tcPr>
          <w:p w:rsidR="00FB7A4E" w:rsidRDefault="00FB7A4E" w:rsidP="00335251">
            <w:pPr>
              <w:rPr>
                <w:rFonts w:ascii="Times New Roman" w:hAnsi="Times New Roman" w:cs="Times New Roman"/>
                <w:sz w:val="24"/>
                <w:szCs w:val="24"/>
                <w:lang w:val="ro-RO"/>
              </w:rPr>
            </w:pPr>
            <w:r>
              <w:rPr>
                <w:rFonts w:ascii="Times New Roman" w:hAnsi="Times New Roman" w:cs="Times New Roman"/>
                <w:sz w:val="24"/>
                <w:szCs w:val="24"/>
              </w:rPr>
              <w:lastRenderedPageBreak/>
              <w:t xml:space="preserve">Pct. </w:t>
            </w:r>
            <w:r w:rsidR="00335251">
              <w:rPr>
                <w:rFonts w:ascii="Times New Roman" w:hAnsi="Times New Roman" w:cs="Times New Roman"/>
                <w:sz w:val="24"/>
                <w:szCs w:val="24"/>
              </w:rPr>
              <w:t>19</w:t>
            </w:r>
          </w:p>
        </w:tc>
        <w:tc>
          <w:tcPr>
            <w:tcW w:w="4252" w:type="dxa"/>
          </w:tcPr>
          <w:p w:rsidR="00FB7A4E" w:rsidRPr="00FB7A4E" w:rsidRDefault="005D3404"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19.</w:t>
            </w:r>
            <w:r w:rsidR="00335251" w:rsidRPr="00335251">
              <w:rPr>
                <w:rFonts w:ascii="Times New Roman" w:hAnsi="Times New Roman" w:cs="Times New Roman"/>
                <w:sz w:val="24"/>
                <w:szCs w:val="24"/>
                <w:lang w:val="ro-MD"/>
              </w:rPr>
              <w:t>Obligații și răspunderi ale responsabililor tehnici atestați:</w:t>
            </w:r>
          </w:p>
        </w:tc>
        <w:tc>
          <w:tcPr>
            <w:tcW w:w="3686" w:type="dxa"/>
          </w:tcPr>
          <w:p w:rsidR="00FB7A4E" w:rsidRPr="00FB7A4E" w:rsidRDefault="00335251" w:rsidP="00335251">
            <w:pPr>
              <w:jc w:val="both"/>
              <w:rPr>
                <w:rFonts w:ascii="Times New Roman" w:hAnsi="Times New Roman" w:cs="Times New Roman"/>
                <w:sz w:val="24"/>
                <w:szCs w:val="24"/>
                <w:lang w:val="ro-MD"/>
              </w:rPr>
            </w:pPr>
            <w:r>
              <w:rPr>
                <w:rFonts w:ascii="Times New Roman" w:hAnsi="Times New Roman" w:cs="Times New Roman"/>
                <w:sz w:val="24"/>
                <w:szCs w:val="24"/>
                <w:lang w:val="ro-MD"/>
              </w:rPr>
              <w:t>la</w:t>
            </w:r>
            <w:r w:rsidRPr="00E05B77">
              <w:rPr>
                <w:rFonts w:ascii="Times New Roman" w:hAnsi="Times New Roman" w:cs="Times New Roman"/>
                <w:sz w:val="24"/>
                <w:szCs w:val="24"/>
                <w:lang w:val="ro-MD"/>
              </w:rPr>
              <w:t xml:space="preserve"> pct. 1</w:t>
            </w:r>
            <w:r>
              <w:rPr>
                <w:rFonts w:ascii="Times New Roman" w:hAnsi="Times New Roman" w:cs="Times New Roman"/>
                <w:sz w:val="24"/>
                <w:szCs w:val="24"/>
                <w:lang w:val="ro-MD"/>
              </w:rPr>
              <w:t>9,</w:t>
            </w:r>
            <w:r w:rsidRPr="00F61FD5">
              <w:rPr>
                <w:rFonts w:ascii="Times New Roman" w:hAnsi="Times New Roman" w:cs="Times New Roman"/>
                <w:sz w:val="24"/>
                <w:szCs w:val="24"/>
                <w:lang w:val="ro-MD"/>
              </w:rPr>
              <w:t xml:space="preserve"> cuvintele „responsabili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tehnici” se substituie cu cuvintele „diriginți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de șantier”;</w:t>
            </w:r>
          </w:p>
        </w:tc>
        <w:tc>
          <w:tcPr>
            <w:tcW w:w="4394" w:type="dxa"/>
          </w:tcPr>
          <w:p w:rsidR="00FB7A4E" w:rsidRPr="00FB7A4E" w:rsidRDefault="0033525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19. </w:t>
            </w:r>
            <w:r w:rsidRPr="00335251">
              <w:rPr>
                <w:rFonts w:ascii="Times New Roman" w:hAnsi="Times New Roman" w:cs="Times New Roman"/>
                <w:sz w:val="24"/>
                <w:szCs w:val="24"/>
                <w:lang w:val="ro-MD"/>
              </w:rPr>
              <w:t xml:space="preserve">Obligații și răspunderi ale </w:t>
            </w:r>
            <w:r w:rsidRPr="00F61FD5">
              <w:rPr>
                <w:rFonts w:ascii="Times New Roman" w:hAnsi="Times New Roman" w:cs="Times New Roman"/>
                <w:sz w:val="24"/>
                <w:szCs w:val="24"/>
                <w:lang w:val="ro-MD"/>
              </w:rPr>
              <w:t>diriginți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de șantier</w:t>
            </w:r>
            <w:r w:rsidRPr="00335251">
              <w:rPr>
                <w:rFonts w:ascii="Times New Roman" w:hAnsi="Times New Roman" w:cs="Times New Roman"/>
                <w:sz w:val="24"/>
                <w:szCs w:val="24"/>
                <w:lang w:val="ro-MD"/>
              </w:rPr>
              <w:t xml:space="preserve">  atestați:</w:t>
            </w:r>
          </w:p>
        </w:tc>
      </w:tr>
      <w:tr w:rsidR="00F36F2E" w:rsidRPr="00676350" w:rsidTr="00F36F2E">
        <w:trPr>
          <w:trHeight w:val="561"/>
        </w:trPr>
        <w:tc>
          <w:tcPr>
            <w:tcW w:w="1413" w:type="dxa"/>
          </w:tcPr>
          <w:p w:rsidR="00F36F2E" w:rsidRDefault="00F36F2E" w:rsidP="00B43E04">
            <w:pPr>
              <w:rPr>
                <w:rFonts w:ascii="Times New Roman" w:hAnsi="Times New Roman" w:cs="Times New Roman"/>
                <w:sz w:val="24"/>
                <w:szCs w:val="24"/>
              </w:rPr>
            </w:pPr>
            <w:r>
              <w:rPr>
                <w:rFonts w:ascii="Times New Roman" w:hAnsi="Times New Roman" w:cs="Times New Roman"/>
                <w:sz w:val="24"/>
                <w:szCs w:val="24"/>
              </w:rPr>
              <w:t xml:space="preserve">Pct. </w:t>
            </w:r>
            <w:r w:rsidR="00B43E04">
              <w:rPr>
                <w:rFonts w:ascii="Times New Roman" w:hAnsi="Times New Roman" w:cs="Times New Roman"/>
                <w:sz w:val="24"/>
                <w:szCs w:val="24"/>
              </w:rPr>
              <w:t>17</w:t>
            </w:r>
            <w:r>
              <w:rPr>
                <w:rFonts w:ascii="Times New Roman" w:hAnsi="Times New Roman" w:cs="Times New Roman"/>
                <w:sz w:val="24"/>
                <w:szCs w:val="24"/>
              </w:rPr>
              <w:t xml:space="preserve"> </w:t>
            </w:r>
          </w:p>
        </w:tc>
        <w:tc>
          <w:tcPr>
            <w:tcW w:w="4252" w:type="dxa"/>
          </w:tcPr>
          <w:p w:rsidR="00B43E04" w:rsidRPr="00B43E04" w:rsidRDefault="00F36F2E" w:rsidP="00B43E04">
            <w:pPr>
              <w:pStyle w:val="NormalWeb"/>
              <w:shd w:val="clear" w:color="auto" w:fill="FFFFFF"/>
              <w:spacing w:before="0" w:beforeAutospacing="0" w:after="0" w:afterAutospacing="0"/>
              <w:jc w:val="both"/>
              <w:rPr>
                <w:rFonts w:eastAsiaTheme="minorHAnsi"/>
                <w:lang w:val="ro-MD"/>
              </w:rPr>
            </w:pPr>
            <w:r w:rsidRPr="00B43E04">
              <w:rPr>
                <w:rFonts w:eastAsiaTheme="minorHAnsi"/>
                <w:lang w:val="ro-MD"/>
              </w:rPr>
              <w:t>1</w:t>
            </w:r>
            <w:r w:rsidR="00B43E04">
              <w:rPr>
                <w:rFonts w:eastAsiaTheme="minorHAnsi"/>
                <w:lang w:val="ro-MD"/>
              </w:rPr>
              <w:t>7</w:t>
            </w:r>
            <w:r w:rsidR="005D3404">
              <w:rPr>
                <w:rFonts w:eastAsiaTheme="minorHAnsi"/>
                <w:lang w:val="ro-MD"/>
              </w:rPr>
              <w:t>.</w:t>
            </w:r>
            <w:r w:rsidR="00B43E04" w:rsidRPr="00B43E04">
              <w:rPr>
                <w:rFonts w:eastAsiaTheme="minorHAnsi"/>
                <w:lang w:val="ro-MD"/>
              </w:rPr>
              <w:t>Organul central de specialitate al administrației publice în domeniul construcțiilor va asigura:</w:t>
            </w:r>
          </w:p>
          <w:p w:rsidR="00B43E04" w:rsidRPr="00B43E04" w:rsidRDefault="00B43E04" w:rsidP="00B43E04">
            <w:pPr>
              <w:pStyle w:val="NormalWeb"/>
              <w:shd w:val="clear" w:color="auto" w:fill="FFFFFF"/>
              <w:spacing w:before="0" w:beforeAutospacing="0" w:after="0" w:afterAutospacing="0"/>
              <w:ind w:firstLine="709"/>
              <w:jc w:val="both"/>
              <w:rPr>
                <w:rFonts w:eastAsiaTheme="minorHAnsi"/>
                <w:lang w:val="ro-MD"/>
              </w:rPr>
            </w:pPr>
            <w:r w:rsidRPr="00B43E04">
              <w:rPr>
                <w:rFonts w:eastAsiaTheme="minorHAnsi"/>
                <w:lang w:val="ro-MD"/>
              </w:rPr>
              <w:t>accesul liber și gratuit, prin Internet, la documentele normative în construcții;</w:t>
            </w:r>
          </w:p>
          <w:p w:rsidR="00B43E04" w:rsidRPr="00B43E04" w:rsidRDefault="00B43E04" w:rsidP="00B43E04">
            <w:pPr>
              <w:pStyle w:val="NormalWeb"/>
              <w:shd w:val="clear" w:color="auto" w:fill="FFFFFF"/>
              <w:spacing w:before="0" w:beforeAutospacing="0" w:after="0" w:afterAutospacing="0"/>
              <w:ind w:firstLine="709"/>
              <w:jc w:val="both"/>
              <w:rPr>
                <w:rFonts w:eastAsiaTheme="minorHAnsi"/>
                <w:lang w:val="ro-MD"/>
              </w:rPr>
            </w:pPr>
            <w:r w:rsidRPr="00B43E04">
              <w:rPr>
                <w:rFonts w:eastAsiaTheme="minorHAnsi"/>
                <w:lang w:val="ro-MD"/>
              </w:rPr>
              <w:t>eliberarea gratuită a copiilor de pe documentele normative în construcții, cu acoperirea de către solicitant doar a cheltuielilor de imprimare și copiere.</w:t>
            </w:r>
          </w:p>
          <w:p w:rsidR="00F36F2E" w:rsidRPr="00B43E04" w:rsidRDefault="00F36F2E" w:rsidP="00F36F2E">
            <w:pPr>
              <w:jc w:val="both"/>
              <w:rPr>
                <w:rFonts w:ascii="Times New Roman" w:hAnsi="Times New Roman" w:cs="Times New Roman"/>
                <w:sz w:val="24"/>
                <w:szCs w:val="24"/>
              </w:rPr>
            </w:pPr>
          </w:p>
        </w:tc>
        <w:tc>
          <w:tcPr>
            <w:tcW w:w="3686" w:type="dxa"/>
          </w:tcPr>
          <w:p w:rsidR="005D3404" w:rsidRDefault="00B43E04" w:rsidP="00F36F2E">
            <w:pPr>
              <w:jc w:val="both"/>
              <w:rPr>
                <w:rFonts w:ascii="Times New Roman" w:hAnsi="Times New Roman" w:cs="Times New Roman"/>
                <w:sz w:val="24"/>
                <w:szCs w:val="24"/>
                <w:lang w:val="ro-MD"/>
              </w:rPr>
            </w:pPr>
            <w:r w:rsidRPr="00B43E04">
              <w:rPr>
                <w:rFonts w:ascii="Times New Roman" w:hAnsi="Times New Roman" w:cs="Times New Roman"/>
                <w:sz w:val="24"/>
                <w:szCs w:val="24"/>
                <w:lang w:val="ro-MD"/>
              </w:rPr>
              <w:t xml:space="preserve">pct. 17, va avea următorul cuprins: </w:t>
            </w:r>
          </w:p>
          <w:p w:rsidR="00F36F2E" w:rsidRPr="00335251" w:rsidRDefault="00B43E04" w:rsidP="00F36F2E">
            <w:pPr>
              <w:jc w:val="both"/>
              <w:rPr>
                <w:rFonts w:ascii="Times New Roman" w:hAnsi="Times New Roman" w:cs="Times New Roman"/>
                <w:sz w:val="24"/>
                <w:szCs w:val="24"/>
                <w:lang w:val="ro-MD"/>
              </w:rPr>
            </w:pPr>
            <w:r w:rsidRPr="00B43E04">
              <w:rPr>
                <w:rFonts w:ascii="Times New Roman" w:hAnsi="Times New Roman" w:cs="Times New Roman"/>
                <w:sz w:val="24"/>
                <w:szCs w:val="24"/>
                <w:lang w:val="ro-MD"/>
              </w:rPr>
              <w:t xml:space="preserve">,, Organul central de specialitate al administrației publice în domeniul construcțiilor va asigura publicarea documentelor normative în construcții pe site-ul web: </w:t>
            </w:r>
            <w:hyperlink r:id="rId5" w:history="1">
              <w:r w:rsidRPr="00B43E04">
                <w:rPr>
                  <w:rFonts w:ascii="Times New Roman" w:hAnsi="Times New Roman" w:cs="Times New Roman"/>
                  <w:sz w:val="24"/>
                  <w:szCs w:val="24"/>
                  <w:lang w:val="ro-MD"/>
                </w:rPr>
                <w:t>www.ednc.gov.md</w:t>
              </w:r>
            </w:hyperlink>
            <w:r w:rsidRPr="00B43E04">
              <w:rPr>
                <w:rFonts w:ascii="Times New Roman" w:hAnsi="Times New Roman" w:cs="Times New Roman"/>
                <w:sz w:val="24"/>
                <w:szCs w:val="24"/>
                <w:lang w:val="ro-MD"/>
              </w:rPr>
              <w:t>, în rubrica ,,Normative”, pentru acces liber și gratuit.”;</w:t>
            </w:r>
          </w:p>
          <w:p w:rsidR="00F36F2E" w:rsidRPr="00FB7A4E" w:rsidRDefault="00F36F2E" w:rsidP="00F36F2E">
            <w:pPr>
              <w:jc w:val="both"/>
              <w:rPr>
                <w:rFonts w:ascii="Times New Roman" w:hAnsi="Times New Roman" w:cs="Times New Roman"/>
                <w:sz w:val="24"/>
                <w:szCs w:val="24"/>
                <w:lang w:val="ro-MD"/>
              </w:rPr>
            </w:pPr>
          </w:p>
        </w:tc>
        <w:tc>
          <w:tcPr>
            <w:tcW w:w="4394" w:type="dxa"/>
          </w:tcPr>
          <w:p w:rsidR="00F36F2E" w:rsidRPr="00FB7A4E" w:rsidRDefault="005D3404" w:rsidP="00F36F2E">
            <w:pPr>
              <w:jc w:val="both"/>
              <w:rPr>
                <w:rFonts w:ascii="Times New Roman" w:hAnsi="Times New Roman" w:cs="Times New Roman"/>
                <w:sz w:val="24"/>
                <w:szCs w:val="24"/>
                <w:lang w:val="ro-MD"/>
              </w:rPr>
            </w:pPr>
            <w:r>
              <w:rPr>
                <w:rFonts w:ascii="Times New Roman" w:hAnsi="Times New Roman" w:cs="Times New Roman"/>
                <w:sz w:val="24"/>
                <w:szCs w:val="24"/>
                <w:lang w:val="ro-MD"/>
              </w:rPr>
              <w:t>17.</w:t>
            </w:r>
            <w:r w:rsidRPr="00B43E04">
              <w:rPr>
                <w:rFonts w:ascii="Times New Roman" w:hAnsi="Times New Roman" w:cs="Times New Roman"/>
                <w:sz w:val="24"/>
                <w:szCs w:val="24"/>
                <w:lang w:val="ro-MD"/>
              </w:rPr>
              <w:t xml:space="preserve">Organul central de specialitate al administrației publice în domeniul construcțiilor va asigura publicarea documentelor normative în construcții pe site-ul web: </w:t>
            </w:r>
            <w:hyperlink r:id="rId6" w:history="1">
              <w:r w:rsidRPr="00B43E04">
                <w:rPr>
                  <w:rFonts w:ascii="Times New Roman" w:hAnsi="Times New Roman" w:cs="Times New Roman"/>
                  <w:sz w:val="24"/>
                  <w:szCs w:val="24"/>
                  <w:lang w:val="ro-MD"/>
                </w:rPr>
                <w:t>www.ednc.gov.md</w:t>
              </w:r>
            </w:hyperlink>
            <w:r w:rsidRPr="00B43E04">
              <w:rPr>
                <w:rFonts w:ascii="Times New Roman" w:hAnsi="Times New Roman" w:cs="Times New Roman"/>
                <w:sz w:val="24"/>
                <w:szCs w:val="24"/>
                <w:lang w:val="ro-MD"/>
              </w:rPr>
              <w:t>, în rubrica ,,Normative”</w:t>
            </w:r>
            <w:r>
              <w:rPr>
                <w:rFonts w:ascii="Times New Roman" w:hAnsi="Times New Roman" w:cs="Times New Roman"/>
                <w:sz w:val="24"/>
                <w:szCs w:val="24"/>
                <w:lang w:val="ro-MD"/>
              </w:rPr>
              <w:t>, pentru acces liber și gratuit</w:t>
            </w:r>
            <w:r w:rsidR="00F36F2E" w:rsidRPr="00F36F2E">
              <w:rPr>
                <w:rFonts w:ascii="Times New Roman" w:hAnsi="Times New Roman" w:cs="Times New Roman"/>
                <w:sz w:val="24"/>
                <w:szCs w:val="24"/>
                <w:lang w:val="ro-MD"/>
              </w:rPr>
              <w:t>.</w:t>
            </w:r>
          </w:p>
        </w:tc>
      </w:tr>
      <w:tr w:rsidR="00FB7A4E" w:rsidRPr="00676350" w:rsidTr="00496C1B">
        <w:tc>
          <w:tcPr>
            <w:tcW w:w="1413" w:type="dxa"/>
          </w:tcPr>
          <w:p w:rsidR="00FB7A4E" w:rsidRPr="007B328D" w:rsidRDefault="00FB7A4E" w:rsidP="00595721">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595721">
              <w:rPr>
                <w:rFonts w:ascii="Times New Roman" w:hAnsi="Times New Roman" w:cs="Times New Roman"/>
                <w:sz w:val="24"/>
                <w:szCs w:val="24"/>
                <w:lang w:val="ro-RO"/>
              </w:rPr>
              <w:t>19</w:t>
            </w:r>
          </w:p>
        </w:tc>
        <w:tc>
          <w:tcPr>
            <w:tcW w:w="4252" w:type="dxa"/>
          </w:tcPr>
          <w:p w:rsidR="00FB7A4E" w:rsidRPr="00FB7A4E" w:rsidRDefault="0059572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19.</w:t>
            </w:r>
            <w:r w:rsidRPr="00595721">
              <w:rPr>
                <w:rFonts w:ascii="Times New Roman" w:hAnsi="Times New Roman" w:cs="Times New Roman"/>
                <w:sz w:val="24"/>
                <w:szCs w:val="24"/>
                <w:lang w:val="ro-MD"/>
              </w:rPr>
              <w:t>Organul central de specialitate al administrației publice în domeniul construcțiilor, în baza temelor (propunerilor) aprobate de comitetele tehnice și ținând cont de necesitățile domeniului, întocmește, coordonează cu Ministerul Finanțelor și aprobă planul tematic anual privind elaborarea documentelor normative în construcții</w:t>
            </w:r>
            <w:r w:rsidR="00503AEF" w:rsidRPr="00503AEF">
              <w:rPr>
                <w:rFonts w:ascii="Times New Roman" w:hAnsi="Times New Roman" w:cs="Times New Roman"/>
                <w:sz w:val="24"/>
                <w:szCs w:val="24"/>
                <w:lang w:val="ro-MD"/>
              </w:rPr>
              <w:t>.</w:t>
            </w:r>
          </w:p>
        </w:tc>
        <w:tc>
          <w:tcPr>
            <w:tcW w:w="3686" w:type="dxa"/>
          </w:tcPr>
          <w:p w:rsidR="00503AEF" w:rsidRPr="00503AEF" w:rsidRDefault="00595721" w:rsidP="00503AEF">
            <w:pPr>
              <w:jc w:val="both"/>
              <w:rPr>
                <w:rFonts w:ascii="Times New Roman" w:hAnsi="Times New Roman" w:cs="Times New Roman"/>
                <w:sz w:val="24"/>
                <w:szCs w:val="24"/>
                <w:lang w:val="ro-MD"/>
              </w:rPr>
            </w:pPr>
            <w:r w:rsidRPr="00595721">
              <w:rPr>
                <w:rFonts w:ascii="Times New Roman" w:hAnsi="Times New Roman" w:cs="Times New Roman"/>
                <w:sz w:val="24"/>
                <w:szCs w:val="24"/>
                <w:lang w:val="ro-MD"/>
              </w:rPr>
              <w:t>la pct. 19, cuvintele „coordonează cu Ministerul Finanțelor” se exclud, iar după cuvântul ,,aprobă” se completează cu cuvintele ,,prin intermediul Consiliului național de coordonare a Fondului național de dezvoltare a sistemului de documente normative în construcții”;</w:t>
            </w:r>
          </w:p>
          <w:p w:rsidR="00FB7A4E" w:rsidRPr="00FB7A4E" w:rsidRDefault="00FB7A4E" w:rsidP="00FB7A4E">
            <w:pPr>
              <w:jc w:val="both"/>
              <w:rPr>
                <w:rFonts w:ascii="Times New Roman" w:hAnsi="Times New Roman" w:cs="Times New Roman"/>
                <w:sz w:val="24"/>
                <w:szCs w:val="24"/>
                <w:lang w:val="ro-MD"/>
              </w:rPr>
            </w:pPr>
          </w:p>
        </w:tc>
        <w:tc>
          <w:tcPr>
            <w:tcW w:w="4394" w:type="dxa"/>
          </w:tcPr>
          <w:p w:rsidR="00FB7A4E" w:rsidRPr="00FB7A4E" w:rsidRDefault="00595721" w:rsidP="00595721">
            <w:pPr>
              <w:jc w:val="both"/>
              <w:rPr>
                <w:rFonts w:ascii="Times New Roman" w:hAnsi="Times New Roman" w:cs="Times New Roman"/>
                <w:sz w:val="24"/>
                <w:szCs w:val="24"/>
                <w:lang w:val="ro-MD"/>
              </w:rPr>
            </w:pPr>
            <w:r>
              <w:rPr>
                <w:rFonts w:ascii="Times New Roman" w:hAnsi="Times New Roman" w:cs="Times New Roman"/>
                <w:sz w:val="24"/>
                <w:szCs w:val="24"/>
                <w:lang w:val="ro-MD"/>
              </w:rPr>
              <w:t>19.</w:t>
            </w:r>
            <w:r w:rsidRPr="00595721">
              <w:rPr>
                <w:rFonts w:ascii="Times New Roman" w:hAnsi="Times New Roman" w:cs="Times New Roman"/>
                <w:sz w:val="24"/>
                <w:szCs w:val="24"/>
                <w:lang w:val="ro-MD"/>
              </w:rPr>
              <w:t>Organul central de specialitate al administrației publice în domeniul construcțiilor, în baza temelor (propunerilor) aprobate de comitetele tehnice și ținând cont de necesitățile domeniului, întocmește</w:t>
            </w:r>
            <w:r>
              <w:rPr>
                <w:rFonts w:ascii="Times New Roman" w:hAnsi="Times New Roman" w:cs="Times New Roman"/>
                <w:sz w:val="24"/>
                <w:szCs w:val="24"/>
                <w:lang w:val="ro-MD"/>
              </w:rPr>
              <w:t xml:space="preserve"> </w:t>
            </w:r>
            <w:r w:rsidRPr="00595721">
              <w:rPr>
                <w:rFonts w:ascii="Times New Roman" w:hAnsi="Times New Roman" w:cs="Times New Roman"/>
                <w:sz w:val="24"/>
                <w:szCs w:val="24"/>
                <w:lang w:val="ro-MD"/>
              </w:rPr>
              <w:t>și aprobă</w:t>
            </w:r>
            <w:r>
              <w:rPr>
                <w:rFonts w:ascii="Times New Roman" w:hAnsi="Times New Roman" w:cs="Times New Roman"/>
                <w:sz w:val="24"/>
                <w:szCs w:val="24"/>
                <w:lang w:val="ro-MD"/>
              </w:rPr>
              <w:t>, prin intermediul Consiliului național de coordonare a Fondului național de dezvoltare a sistemului de documente normative în construcții,</w:t>
            </w:r>
            <w:r w:rsidRPr="00595721">
              <w:rPr>
                <w:rFonts w:ascii="Times New Roman" w:hAnsi="Times New Roman" w:cs="Times New Roman"/>
                <w:sz w:val="24"/>
                <w:szCs w:val="24"/>
                <w:lang w:val="ro-MD"/>
              </w:rPr>
              <w:t xml:space="preserve"> planul tematic anual privind elaborarea documentelor normative în construcții</w:t>
            </w:r>
            <w:r w:rsidRPr="00503AEF">
              <w:rPr>
                <w:rFonts w:ascii="Times New Roman" w:hAnsi="Times New Roman" w:cs="Times New Roman"/>
                <w:sz w:val="24"/>
                <w:szCs w:val="24"/>
                <w:lang w:val="ro-MD"/>
              </w:rPr>
              <w:t>.</w:t>
            </w:r>
          </w:p>
        </w:tc>
      </w:tr>
      <w:tr w:rsidR="00FB7A4E" w:rsidRPr="00676350" w:rsidTr="00496C1B">
        <w:tc>
          <w:tcPr>
            <w:tcW w:w="1413" w:type="dxa"/>
          </w:tcPr>
          <w:p w:rsidR="00180A70" w:rsidRDefault="006F45B1" w:rsidP="00180A70">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Pct. </w:t>
            </w:r>
            <w:r w:rsidR="00C557FB">
              <w:rPr>
                <w:rFonts w:ascii="Times New Roman" w:hAnsi="Times New Roman" w:cs="Times New Roman"/>
                <w:sz w:val="24"/>
                <w:szCs w:val="24"/>
                <w:lang w:val="ro-RO"/>
              </w:rPr>
              <w:t>20</w:t>
            </w:r>
          </w:p>
          <w:p w:rsidR="00FB7A4E" w:rsidRDefault="00FB7A4E" w:rsidP="00180A70">
            <w:pPr>
              <w:rPr>
                <w:rFonts w:ascii="Times New Roman" w:hAnsi="Times New Roman" w:cs="Times New Roman"/>
                <w:sz w:val="24"/>
                <w:szCs w:val="24"/>
                <w:lang w:val="ro-RO"/>
              </w:rPr>
            </w:pPr>
          </w:p>
        </w:tc>
        <w:tc>
          <w:tcPr>
            <w:tcW w:w="4252" w:type="dxa"/>
          </w:tcPr>
          <w:p w:rsidR="00FB7A4E" w:rsidRPr="006F45B1" w:rsidRDefault="00C557FB" w:rsidP="00FB7A4E">
            <w:pPr>
              <w:jc w:val="both"/>
              <w:rPr>
                <w:rFonts w:ascii="Times New Roman" w:hAnsi="Times New Roman" w:cs="Times New Roman"/>
                <w:sz w:val="24"/>
                <w:szCs w:val="24"/>
                <w:lang w:val="ro-RO"/>
              </w:rPr>
            </w:pPr>
            <w:r>
              <w:rPr>
                <w:rFonts w:ascii="Times New Roman" w:hAnsi="Times New Roman" w:cs="Times New Roman"/>
                <w:sz w:val="24"/>
                <w:szCs w:val="24"/>
                <w:lang w:val="ro-MD"/>
              </w:rPr>
              <w:t>20.</w:t>
            </w:r>
            <w:r w:rsidRPr="00C557FB">
              <w:rPr>
                <w:rFonts w:ascii="Times New Roman" w:hAnsi="Times New Roman" w:cs="Times New Roman"/>
                <w:sz w:val="24"/>
                <w:szCs w:val="24"/>
                <w:lang w:val="ro-MD"/>
              </w:rPr>
              <w:t xml:space="preserve"> În baza temelor din planul tematic și limitelor de cheltuieli, incluse în Cadrul de Cheltuieli pe Termen Mediu, organul central de specialitate al administrației publice în domeniul construcțiilor prezintă, în termenele stabilite, Ministerului Finanțelor propuneri pentru legea bugetului pe anul respectiv.</w:t>
            </w:r>
          </w:p>
        </w:tc>
        <w:tc>
          <w:tcPr>
            <w:tcW w:w="3686" w:type="dxa"/>
          </w:tcPr>
          <w:p w:rsidR="00FB7A4E" w:rsidRPr="006F45B1" w:rsidRDefault="00C557FB" w:rsidP="006F45B1">
            <w:pPr>
              <w:jc w:val="both"/>
              <w:rPr>
                <w:rFonts w:ascii="Times New Roman" w:hAnsi="Times New Roman" w:cs="Times New Roman"/>
                <w:sz w:val="24"/>
                <w:szCs w:val="24"/>
                <w:lang w:val="ro-MD"/>
              </w:rPr>
            </w:pPr>
            <w:r>
              <w:rPr>
                <w:bCs/>
                <w:sz w:val="26"/>
                <w:szCs w:val="26"/>
                <w:lang w:val="ro-MD"/>
              </w:rPr>
              <w:t>l</w:t>
            </w:r>
            <w:r w:rsidRPr="00C557FB">
              <w:rPr>
                <w:rFonts w:ascii="Times New Roman" w:hAnsi="Times New Roman" w:cs="Times New Roman"/>
                <w:sz w:val="24"/>
                <w:szCs w:val="24"/>
                <w:lang w:val="ro-MD"/>
              </w:rPr>
              <w:t>a pct. 20, cuvintele „Cadrul de Cheltuieli pe Termen Mediu” se substituie cu cuvintele ,,Cadrul Bugetar pe Termen Mediu”;</w:t>
            </w:r>
          </w:p>
        </w:tc>
        <w:tc>
          <w:tcPr>
            <w:tcW w:w="4394" w:type="dxa"/>
          </w:tcPr>
          <w:p w:rsidR="00FB7A4E" w:rsidRPr="00C52729" w:rsidRDefault="00C557FB" w:rsidP="00C557FB">
            <w:pPr>
              <w:jc w:val="both"/>
              <w:rPr>
                <w:rFonts w:ascii="Times New Roman" w:hAnsi="Times New Roman" w:cs="Times New Roman"/>
                <w:sz w:val="24"/>
                <w:szCs w:val="24"/>
                <w:lang w:val="ro-RO"/>
              </w:rPr>
            </w:pPr>
            <w:r>
              <w:rPr>
                <w:rFonts w:ascii="Times New Roman" w:hAnsi="Times New Roman" w:cs="Times New Roman"/>
                <w:sz w:val="24"/>
                <w:szCs w:val="24"/>
                <w:lang w:val="ro-MD"/>
              </w:rPr>
              <w:t>20.</w:t>
            </w:r>
            <w:r w:rsidRPr="00C557FB">
              <w:rPr>
                <w:rFonts w:ascii="Times New Roman" w:hAnsi="Times New Roman" w:cs="Times New Roman"/>
                <w:sz w:val="24"/>
                <w:szCs w:val="24"/>
                <w:lang w:val="ro-MD"/>
              </w:rPr>
              <w:t xml:space="preserve"> În baza temelor din planul tematic și limitelor de cheltuieli, incluse în Cadrul </w:t>
            </w:r>
            <w:r>
              <w:rPr>
                <w:rFonts w:ascii="Times New Roman" w:hAnsi="Times New Roman" w:cs="Times New Roman"/>
                <w:sz w:val="24"/>
                <w:szCs w:val="24"/>
                <w:lang w:val="ro-MD"/>
              </w:rPr>
              <w:t xml:space="preserve">Bugetar pe </w:t>
            </w:r>
            <w:r w:rsidRPr="00C557FB">
              <w:rPr>
                <w:rFonts w:ascii="Times New Roman" w:hAnsi="Times New Roman" w:cs="Times New Roman"/>
                <w:sz w:val="24"/>
                <w:szCs w:val="24"/>
                <w:lang w:val="ro-MD"/>
              </w:rPr>
              <w:t>Termen Mediu, organul central de specialitate al administrației publice în domeniul construcțiilor prezintă, în termenele stabilite, Ministerului Finanțelor propuneri pentru legea bugetului pe anul respectiv.</w:t>
            </w:r>
          </w:p>
        </w:tc>
      </w:tr>
      <w:tr w:rsidR="00FB7A4E" w:rsidRPr="00C52729" w:rsidTr="00496C1B">
        <w:tc>
          <w:tcPr>
            <w:tcW w:w="1413" w:type="dxa"/>
          </w:tcPr>
          <w:p w:rsidR="00820F9B" w:rsidRDefault="006F45B1"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B5254A">
              <w:rPr>
                <w:rFonts w:ascii="Times New Roman" w:hAnsi="Times New Roman" w:cs="Times New Roman"/>
                <w:sz w:val="24"/>
                <w:szCs w:val="24"/>
                <w:lang w:val="ro-RO"/>
              </w:rPr>
              <w:t>23</w:t>
            </w:r>
            <w:r w:rsidR="00820F9B">
              <w:rPr>
                <w:rFonts w:ascii="Times New Roman" w:hAnsi="Times New Roman" w:cs="Times New Roman"/>
                <w:sz w:val="24"/>
                <w:szCs w:val="24"/>
                <w:lang w:val="ro-RO"/>
              </w:rPr>
              <w:t xml:space="preserve"> </w:t>
            </w:r>
          </w:p>
          <w:p w:rsidR="00FB7A4E" w:rsidRDefault="00FB7A4E" w:rsidP="00820F9B">
            <w:pPr>
              <w:rPr>
                <w:rFonts w:ascii="Times New Roman" w:hAnsi="Times New Roman" w:cs="Times New Roman"/>
                <w:sz w:val="24"/>
                <w:szCs w:val="24"/>
                <w:lang w:val="ro-RO"/>
              </w:rPr>
            </w:pPr>
          </w:p>
        </w:tc>
        <w:tc>
          <w:tcPr>
            <w:tcW w:w="4252" w:type="dxa"/>
          </w:tcPr>
          <w:p w:rsidR="00FB7A4E" w:rsidRPr="006F45B1" w:rsidRDefault="003914D6" w:rsidP="00FB7A4E">
            <w:pPr>
              <w:jc w:val="both"/>
              <w:rPr>
                <w:rFonts w:ascii="Times New Roman" w:hAnsi="Times New Roman" w:cs="Times New Roman"/>
                <w:sz w:val="24"/>
                <w:szCs w:val="24"/>
                <w:lang w:val="ro-MD"/>
              </w:rPr>
            </w:pPr>
            <w:r w:rsidRPr="003914D6">
              <w:rPr>
                <w:rFonts w:ascii="Times New Roman" w:hAnsi="Times New Roman" w:cs="Times New Roman"/>
                <w:sz w:val="24"/>
                <w:szCs w:val="24"/>
                <w:lang w:val="ro-MD"/>
              </w:rPr>
              <w:t>23.Elaborarea documentelor normative se efectuează în bază de contract, conform prevederilor Legii nr. 131/2015 privind achizițiile publice.</w:t>
            </w:r>
          </w:p>
        </w:tc>
        <w:tc>
          <w:tcPr>
            <w:tcW w:w="3686" w:type="dxa"/>
          </w:tcPr>
          <w:p w:rsidR="00FB7A4E" w:rsidRPr="006F45B1" w:rsidRDefault="00B5254A" w:rsidP="006F45B1">
            <w:pPr>
              <w:jc w:val="both"/>
              <w:rPr>
                <w:rFonts w:ascii="Times New Roman" w:hAnsi="Times New Roman" w:cs="Times New Roman"/>
                <w:sz w:val="24"/>
                <w:szCs w:val="24"/>
                <w:lang w:val="ro-MD"/>
              </w:rPr>
            </w:pPr>
            <w:r w:rsidRPr="00B5254A">
              <w:rPr>
                <w:rFonts w:ascii="Times New Roman" w:hAnsi="Times New Roman" w:cs="Times New Roman"/>
                <w:sz w:val="24"/>
                <w:szCs w:val="24"/>
                <w:lang w:val="ro-MD"/>
              </w:rPr>
              <w:t>la pct. 23, după cuvântul ,,contract” se completează cu cuvântul ,,multianual”;</w:t>
            </w:r>
          </w:p>
        </w:tc>
        <w:tc>
          <w:tcPr>
            <w:tcW w:w="4394" w:type="dxa"/>
          </w:tcPr>
          <w:p w:rsidR="00FB7A4E" w:rsidRPr="006F45B1" w:rsidRDefault="003914D6" w:rsidP="00820F9B">
            <w:pPr>
              <w:jc w:val="both"/>
              <w:rPr>
                <w:rFonts w:ascii="Times New Roman" w:hAnsi="Times New Roman" w:cs="Times New Roman"/>
                <w:sz w:val="24"/>
                <w:szCs w:val="24"/>
                <w:lang w:val="ro-MD"/>
              </w:rPr>
            </w:pPr>
            <w:r w:rsidRPr="003914D6">
              <w:rPr>
                <w:rFonts w:ascii="Times New Roman" w:hAnsi="Times New Roman" w:cs="Times New Roman"/>
                <w:sz w:val="24"/>
                <w:szCs w:val="24"/>
                <w:lang w:val="ro-MD"/>
              </w:rPr>
              <w:t>23.Elaborarea documentelor normative se efectuează în bază de contract</w:t>
            </w:r>
            <w:r>
              <w:rPr>
                <w:rFonts w:ascii="Times New Roman" w:hAnsi="Times New Roman" w:cs="Times New Roman"/>
                <w:sz w:val="24"/>
                <w:szCs w:val="24"/>
                <w:lang w:val="ro-MD"/>
              </w:rPr>
              <w:t xml:space="preserve"> multianual</w:t>
            </w:r>
            <w:r w:rsidRPr="003914D6">
              <w:rPr>
                <w:rFonts w:ascii="Times New Roman" w:hAnsi="Times New Roman" w:cs="Times New Roman"/>
                <w:sz w:val="24"/>
                <w:szCs w:val="24"/>
                <w:lang w:val="ro-MD"/>
              </w:rPr>
              <w:t>, conform prevederilor Legii nr. 131/2015 privind achizițiile publice.</w:t>
            </w:r>
          </w:p>
        </w:tc>
      </w:tr>
      <w:tr w:rsidR="00FB7A4E" w:rsidRPr="00DF2BA2" w:rsidTr="00496C1B">
        <w:tc>
          <w:tcPr>
            <w:tcW w:w="1413" w:type="dxa"/>
          </w:tcPr>
          <w:p w:rsidR="00FB7A4E" w:rsidRDefault="006F45B1"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C24603">
              <w:rPr>
                <w:rFonts w:ascii="Times New Roman" w:hAnsi="Times New Roman" w:cs="Times New Roman"/>
                <w:sz w:val="24"/>
                <w:szCs w:val="24"/>
                <w:lang w:val="ro-RO"/>
              </w:rPr>
              <w:t>24</w:t>
            </w:r>
            <w:r>
              <w:rPr>
                <w:rFonts w:ascii="Times New Roman" w:hAnsi="Times New Roman" w:cs="Times New Roman"/>
                <w:sz w:val="24"/>
                <w:szCs w:val="24"/>
                <w:lang w:val="ro-RO"/>
              </w:rPr>
              <w:t xml:space="preserve"> </w:t>
            </w:r>
          </w:p>
        </w:tc>
        <w:tc>
          <w:tcPr>
            <w:tcW w:w="4252" w:type="dxa"/>
          </w:tcPr>
          <w:p w:rsidR="00FB7A4E" w:rsidRPr="00FC10FA" w:rsidRDefault="00C4019A"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24</w:t>
            </w:r>
            <w:r w:rsidR="00C24603" w:rsidRPr="003914D6">
              <w:rPr>
                <w:rFonts w:ascii="Times New Roman" w:hAnsi="Times New Roman" w:cs="Times New Roman"/>
                <w:sz w:val="24"/>
                <w:szCs w:val="24"/>
                <w:lang w:val="ro-MD"/>
              </w:rPr>
              <w:t>.</w:t>
            </w:r>
            <w:r w:rsidRPr="00C4019A">
              <w:rPr>
                <w:rFonts w:ascii="Times New Roman" w:hAnsi="Times New Roman" w:cs="Times New Roman"/>
                <w:sz w:val="24"/>
                <w:szCs w:val="24"/>
                <w:lang w:val="ro-MD"/>
              </w:rPr>
              <w:t>Documentele normative se elaborează în conformitate cu metodologia aprobată de organul central de specialitate al administrației publice în domeniul construcțiilor, în funcție de categoria documentului normativ.</w:t>
            </w:r>
          </w:p>
        </w:tc>
        <w:tc>
          <w:tcPr>
            <w:tcW w:w="3686" w:type="dxa"/>
          </w:tcPr>
          <w:p w:rsidR="00FB7A4E" w:rsidRPr="00FC10FA" w:rsidRDefault="00C4019A" w:rsidP="00820F9B">
            <w:pPr>
              <w:jc w:val="both"/>
              <w:rPr>
                <w:rFonts w:ascii="Times New Roman" w:hAnsi="Times New Roman" w:cs="Times New Roman"/>
                <w:sz w:val="24"/>
                <w:szCs w:val="24"/>
                <w:lang w:val="ro-MD"/>
              </w:rPr>
            </w:pPr>
            <w:r w:rsidRPr="00C4019A">
              <w:rPr>
                <w:rFonts w:ascii="Times New Roman" w:hAnsi="Times New Roman" w:cs="Times New Roman"/>
                <w:sz w:val="24"/>
                <w:szCs w:val="24"/>
                <w:lang w:val="ro-MD"/>
              </w:rPr>
              <w:t>la pct. 24, cuvintele „metodologia aprobată</w:t>
            </w:r>
            <w:r w:rsidR="00496710">
              <w:rPr>
                <w:rFonts w:ascii="Times New Roman" w:hAnsi="Times New Roman" w:cs="Times New Roman"/>
                <w:sz w:val="24"/>
                <w:szCs w:val="24"/>
                <w:lang w:val="ro-MD"/>
              </w:rPr>
              <w:t xml:space="preserve"> de organul central de specialitate al administrației publice în domeniul construcțiilor</w:t>
            </w:r>
            <w:r w:rsidRPr="00C4019A">
              <w:rPr>
                <w:rFonts w:ascii="Times New Roman" w:hAnsi="Times New Roman" w:cs="Times New Roman"/>
                <w:sz w:val="24"/>
                <w:szCs w:val="24"/>
                <w:lang w:val="ro-MD"/>
              </w:rPr>
              <w:t>” se substituie cu cuvintele „Regulamentul privind modul de elaborare a documentelor normative în construcții, aprobat”;</w:t>
            </w:r>
          </w:p>
        </w:tc>
        <w:tc>
          <w:tcPr>
            <w:tcW w:w="4394" w:type="dxa"/>
          </w:tcPr>
          <w:p w:rsidR="00820F9B" w:rsidRPr="00820F9B" w:rsidRDefault="00C4019A" w:rsidP="00820F9B">
            <w:pPr>
              <w:jc w:val="both"/>
              <w:rPr>
                <w:rFonts w:ascii="Times New Roman" w:hAnsi="Times New Roman" w:cs="Times New Roman"/>
                <w:sz w:val="24"/>
                <w:szCs w:val="24"/>
                <w:lang w:val="ro-MD"/>
              </w:rPr>
            </w:pPr>
            <w:r>
              <w:rPr>
                <w:rFonts w:ascii="Times New Roman" w:hAnsi="Times New Roman" w:cs="Times New Roman"/>
                <w:sz w:val="24"/>
                <w:szCs w:val="24"/>
                <w:lang w:val="ro-MD"/>
              </w:rPr>
              <w:t>24</w:t>
            </w:r>
            <w:r w:rsidRPr="003914D6">
              <w:rPr>
                <w:rFonts w:ascii="Times New Roman" w:hAnsi="Times New Roman" w:cs="Times New Roman"/>
                <w:sz w:val="24"/>
                <w:szCs w:val="24"/>
                <w:lang w:val="ro-MD"/>
              </w:rPr>
              <w:t>.</w:t>
            </w:r>
            <w:r w:rsidRPr="00C4019A">
              <w:rPr>
                <w:rFonts w:ascii="Times New Roman" w:hAnsi="Times New Roman" w:cs="Times New Roman"/>
                <w:sz w:val="24"/>
                <w:szCs w:val="24"/>
                <w:lang w:val="ro-MD"/>
              </w:rPr>
              <w:t xml:space="preserve">Documentele normative se elaborează în conformitate cu </w:t>
            </w:r>
            <w:r w:rsidR="00496710" w:rsidRPr="00C4019A">
              <w:rPr>
                <w:rFonts w:ascii="Times New Roman" w:hAnsi="Times New Roman" w:cs="Times New Roman"/>
                <w:sz w:val="24"/>
                <w:szCs w:val="24"/>
                <w:lang w:val="ro-MD"/>
              </w:rPr>
              <w:t xml:space="preserve"> Regulamentul privind modul de elaborare a documentelor n</w:t>
            </w:r>
            <w:r w:rsidR="00496710">
              <w:rPr>
                <w:rFonts w:ascii="Times New Roman" w:hAnsi="Times New Roman" w:cs="Times New Roman"/>
                <w:sz w:val="24"/>
                <w:szCs w:val="24"/>
                <w:lang w:val="ro-MD"/>
              </w:rPr>
              <w:t>ormative în construcții</w:t>
            </w:r>
            <w:r w:rsidRPr="00C4019A">
              <w:rPr>
                <w:rFonts w:ascii="Times New Roman" w:hAnsi="Times New Roman" w:cs="Times New Roman"/>
                <w:sz w:val="24"/>
                <w:szCs w:val="24"/>
                <w:lang w:val="ro-MD"/>
              </w:rPr>
              <w:t>, în funcție de categoria documentului normativ.</w:t>
            </w:r>
          </w:p>
          <w:p w:rsidR="00FB7A4E" w:rsidRPr="00FC10FA" w:rsidRDefault="00FB7A4E" w:rsidP="00FB7A4E">
            <w:pPr>
              <w:jc w:val="both"/>
              <w:rPr>
                <w:rFonts w:ascii="Times New Roman" w:hAnsi="Times New Roman" w:cs="Times New Roman"/>
                <w:sz w:val="24"/>
                <w:szCs w:val="24"/>
                <w:lang w:val="ro-MD"/>
              </w:rPr>
            </w:pPr>
          </w:p>
        </w:tc>
      </w:tr>
      <w:tr w:rsidR="00FB7A4E" w:rsidRPr="00C52729" w:rsidTr="00496C1B">
        <w:tc>
          <w:tcPr>
            <w:tcW w:w="1413" w:type="dxa"/>
          </w:tcPr>
          <w:p w:rsidR="00FB7A4E" w:rsidRDefault="00FC10FA"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4D0B20">
              <w:rPr>
                <w:rFonts w:ascii="Times New Roman" w:hAnsi="Times New Roman" w:cs="Times New Roman"/>
                <w:sz w:val="24"/>
                <w:szCs w:val="24"/>
                <w:lang w:val="ro-RO"/>
              </w:rPr>
              <w:t>25</w:t>
            </w:r>
            <w:r w:rsidR="00820F9B">
              <w:rPr>
                <w:rFonts w:ascii="Times New Roman" w:hAnsi="Times New Roman" w:cs="Times New Roman"/>
                <w:sz w:val="24"/>
                <w:szCs w:val="24"/>
                <w:lang w:val="ro-RO"/>
              </w:rPr>
              <w:t xml:space="preserve"> </w:t>
            </w:r>
          </w:p>
        </w:tc>
        <w:tc>
          <w:tcPr>
            <w:tcW w:w="4252" w:type="dxa"/>
          </w:tcPr>
          <w:p w:rsidR="00FB7A4E" w:rsidRPr="00FC10FA" w:rsidRDefault="007E5EA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25.</w:t>
            </w:r>
            <w:r w:rsidR="008B3C88" w:rsidRPr="008B3C88">
              <w:rPr>
                <w:rFonts w:ascii="Times New Roman" w:hAnsi="Times New Roman" w:cs="Times New Roman"/>
                <w:sz w:val="24"/>
                <w:szCs w:val="24"/>
                <w:lang w:val="ro-MD"/>
              </w:rPr>
              <w:t>Costul elaborării documentelor normative noi, precum și al revizuirii, modificării celor în vigoare se determină în conformitate cu regulamentul privind determinarea valorii de elaborare a documentelor normative în construcții, aprobat de organul central de specialitate al administrației publice în domeniul construcțiilor.</w:t>
            </w:r>
          </w:p>
        </w:tc>
        <w:tc>
          <w:tcPr>
            <w:tcW w:w="3686" w:type="dxa"/>
          </w:tcPr>
          <w:p w:rsidR="00FB7A4E" w:rsidRPr="00FC10FA" w:rsidRDefault="008B3C88" w:rsidP="00FC10FA">
            <w:pPr>
              <w:jc w:val="both"/>
              <w:rPr>
                <w:rFonts w:ascii="Times New Roman" w:hAnsi="Times New Roman" w:cs="Times New Roman"/>
                <w:sz w:val="24"/>
                <w:szCs w:val="24"/>
                <w:lang w:val="ro-MD"/>
              </w:rPr>
            </w:pPr>
            <w:r w:rsidRPr="008B3C88">
              <w:rPr>
                <w:rFonts w:ascii="Times New Roman" w:hAnsi="Times New Roman" w:cs="Times New Roman"/>
                <w:sz w:val="24"/>
                <w:szCs w:val="24"/>
                <w:lang w:val="ro-MD"/>
              </w:rPr>
              <w:t>la pct. 25, cuvintele „regulamentul privind determinarea valorii de elaborare” se substituie cu cuvintele „documentul normativ privind modul de determinare a costului elaborării”;</w:t>
            </w:r>
          </w:p>
        </w:tc>
        <w:tc>
          <w:tcPr>
            <w:tcW w:w="4394" w:type="dxa"/>
          </w:tcPr>
          <w:p w:rsidR="00FB7A4E" w:rsidRPr="00FC10FA" w:rsidRDefault="008B3C88" w:rsidP="00FC10FA">
            <w:pPr>
              <w:jc w:val="both"/>
              <w:rPr>
                <w:rFonts w:ascii="Times New Roman" w:hAnsi="Times New Roman" w:cs="Times New Roman"/>
                <w:sz w:val="24"/>
                <w:szCs w:val="24"/>
                <w:lang w:val="ro-MD"/>
              </w:rPr>
            </w:pPr>
            <w:r>
              <w:rPr>
                <w:rFonts w:ascii="Times New Roman" w:hAnsi="Times New Roman" w:cs="Times New Roman"/>
                <w:sz w:val="24"/>
                <w:szCs w:val="24"/>
                <w:lang w:val="ro-MD"/>
              </w:rPr>
              <w:t>25.</w:t>
            </w:r>
            <w:r w:rsidRPr="008B3C88">
              <w:rPr>
                <w:rFonts w:ascii="Times New Roman" w:hAnsi="Times New Roman" w:cs="Times New Roman"/>
                <w:sz w:val="24"/>
                <w:szCs w:val="24"/>
                <w:lang w:val="ro-MD"/>
              </w:rPr>
              <w:t>Costul elaborării documentelor normative noi, precum și al revizuirii, modificării celor în vigoare se determină în conformitate cu  documentul normativ privind modul de determinare a costului elaborării</w:t>
            </w:r>
            <w:r>
              <w:rPr>
                <w:rFonts w:ascii="Times New Roman" w:hAnsi="Times New Roman" w:cs="Times New Roman"/>
                <w:sz w:val="24"/>
                <w:szCs w:val="24"/>
                <w:lang w:val="ro-MD"/>
              </w:rPr>
              <w:t xml:space="preserve"> </w:t>
            </w:r>
            <w:r w:rsidRPr="008B3C88">
              <w:rPr>
                <w:rFonts w:ascii="Times New Roman" w:hAnsi="Times New Roman" w:cs="Times New Roman"/>
                <w:sz w:val="24"/>
                <w:szCs w:val="24"/>
                <w:lang w:val="ro-MD"/>
              </w:rPr>
              <w:t>a documentelor normative în construcții, aprobat de organul central de specialitate al administrației publice în domeniul construcțiilor.</w:t>
            </w:r>
          </w:p>
        </w:tc>
      </w:tr>
      <w:tr w:rsidR="00FB7A4E" w:rsidRPr="00C52729" w:rsidTr="00496C1B">
        <w:tc>
          <w:tcPr>
            <w:tcW w:w="1413" w:type="dxa"/>
          </w:tcPr>
          <w:p w:rsidR="00FB7A4E" w:rsidRDefault="00CE6B9E" w:rsidP="00B04F81">
            <w:pPr>
              <w:rPr>
                <w:rFonts w:ascii="Times New Roman" w:hAnsi="Times New Roman" w:cs="Times New Roman"/>
                <w:sz w:val="24"/>
                <w:szCs w:val="24"/>
                <w:lang w:val="ro-RO"/>
              </w:rPr>
            </w:pPr>
            <w:r>
              <w:rPr>
                <w:rFonts w:ascii="Times New Roman" w:hAnsi="Times New Roman" w:cs="Times New Roman"/>
                <w:sz w:val="24"/>
                <w:szCs w:val="24"/>
                <w:lang w:val="ro-RO"/>
              </w:rPr>
              <w:t>Cap. V.</w:t>
            </w:r>
          </w:p>
        </w:tc>
        <w:tc>
          <w:tcPr>
            <w:tcW w:w="4252" w:type="dxa"/>
          </w:tcPr>
          <w:p w:rsidR="00FB7A4E" w:rsidRDefault="00FB7A4E" w:rsidP="00FB7A4E">
            <w:pPr>
              <w:jc w:val="both"/>
              <w:rPr>
                <w:rFonts w:ascii="Times New Roman" w:hAnsi="Times New Roman" w:cs="Times New Roman"/>
                <w:sz w:val="24"/>
                <w:szCs w:val="24"/>
                <w:lang w:val="ro-RO"/>
              </w:rPr>
            </w:pPr>
          </w:p>
        </w:tc>
        <w:tc>
          <w:tcPr>
            <w:tcW w:w="3686" w:type="dxa"/>
          </w:tcPr>
          <w:p w:rsidR="00B16D6A" w:rsidRDefault="00B16D6A" w:rsidP="00B16D6A">
            <w:pPr>
              <w:pStyle w:val="NormalWeb"/>
              <w:shd w:val="clear" w:color="auto" w:fill="FFFFFF"/>
              <w:rPr>
                <w:rFonts w:eastAsiaTheme="minorHAnsi"/>
                <w:lang w:val="ro-MD"/>
              </w:rPr>
            </w:pPr>
            <w:r w:rsidRPr="00B16D6A">
              <w:rPr>
                <w:rFonts w:eastAsiaTheme="minorHAnsi"/>
                <w:lang w:val="ro-MD"/>
              </w:rPr>
              <w:t>capitolul V. se completează cu punctul 271, cu următorul cuprins:</w:t>
            </w:r>
          </w:p>
          <w:p w:rsidR="00FB7A4E" w:rsidRPr="00B16D6A" w:rsidRDefault="00B16D6A" w:rsidP="00B16D6A">
            <w:pPr>
              <w:pStyle w:val="NormalWeb"/>
              <w:shd w:val="clear" w:color="auto" w:fill="FFFFFF"/>
              <w:rPr>
                <w:rFonts w:eastAsiaTheme="minorHAnsi"/>
                <w:lang w:val="ro-MD"/>
              </w:rPr>
            </w:pPr>
            <w:r w:rsidRPr="00B16D6A">
              <w:rPr>
                <w:lang w:val="ro-MD"/>
              </w:rPr>
              <w:t>„27</w:t>
            </w:r>
            <w:r>
              <w:rPr>
                <w:vertAlign w:val="superscript"/>
                <w:lang w:val="ro-MD"/>
              </w:rPr>
              <w:t>1</w:t>
            </w:r>
            <w:r w:rsidRPr="00B16D6A">
              <w:rPr>
                <w:lang w:val="ro-MD"/>
              </w:rPr>
              <w:t xml:space="preserve"> </w:t>
            </w:r>
            <w:r w:rsidR="00EF2157">
              <w:rPr>
                <w:lang w:val="ro-MD"/>
              </w:rPr>
              <w:t xml:space="preserve">. </w:t>
            </w:r>
            <w:r w:rsidRPr="00B16D6A">
              <w:rPr>
                <w:lang w:val="ro-MD"/>
              </w:rPr>
              <w:t xml:space="preserve">Remunerarea comitetelor tehnice în construcții pentru activitatea executată în conformitate cu prevederile art. 3 alin. (1) lit. f) și alin. (3) din Legea </w:t>
            </w:r>
            <w:r w:rsidRPr="00B16D6A">
              <w:rPr>
                <w:lang w:val="ro-MD"/>
              </w:rPr>
              <w:lastRenderedPageBreak/>
              <w:t>nr. 329/2025 privind Fondul național de dezvoltare a sistemului de documente normative în construcții, se efectuează în conformitate cu prevederile documentului normativ privind modul de remunerare a membrilor Comitetelor Tehnice pentru normare tehnică, aprobat de organul central de specialitate al administrației publice în domeniul construcțiilor”;</w:t>
            </w:r>
          </w:p>
        </w:tc>
        <w:tc>
          <w:tcPr>
            <w:tcW w:w="4394" w:type="dxa"/>
          </w:tcPr>
          <w:p w:rsidR="00FB7A4E" w:rsidRPr="007B5920" w:rsidRDefault="00B16D6A" w:rsidP="00B04F81">
            <w:pPr>
              <w:jc w:val="both"/>
              <w:rPr>
                <w:rFonts w:ascii="Times New Roman" w:hAnsi="Times New Roman" w:cs="Times New Roman"/>
                <w:sz w:val="24"/>
                <w:szCs w:val="24"/>
                <w:lang w:val="ro-RO"/>
              </w:rPr>
            </w:pPr>
            <w:r w:rsidRPr="00B16D6A">
              <w:rPr>
                <w:rFonts w:ascii="Times New Roman" w:hAnsi="Times New Roman" w:cs="Times New Roman"/>
                <w:sz w:val="24"/>
                <w:szCs w:val="24"/>
                <w:lang w:val="ro-MD"/>
              </w:rPr>
              <w:lastRenderedPageBreak/>
              <w:t>27</w:t>
            </w:r>
            <w:r>
              <w:rPr>
                <w:vertAlign w:val="superscript"/>
                <w:lang w:val="ro-MD"/>
              </w:rPr>
              <w:t>1</w:t>
            </w:r>
            <w:r>
              <w:rPr>
                <w:rFonts w:ascii="Times New Roman" w:hAnsi="Times New Roman" w:cs="Times New Roman"/>
                <w:sz w:val="24"/>
                <w:szCs w:val="24"/>
                <w:lang w:val="ro-MD"/>
              </w:rPr>
              <w:t>.</w:t>
            </w:r>
            <w:r w:rsidRPr="00B16D6A">
              <w:rPr>
                <w:rFonts w:ascii="Times New Roman" w:hAnsi="Times New Roman" w:cs="Times New Roman"/>
                <w:sz w:val="24"/>
                <w:szCs w:val="24"/>
                <w:lang w:val="ro-MD"/>
              </w:rPr>
              <w:t xml:space="preserve">Remunerarea comitetelor tehnice în construcții pentru activitatea executată în conformitate cu prevederile art. 3 alin. (1) lit. f) și alin. (3) din Legea nr. 329/2025 privind Fondul național de dezvoltare a sistemului de documente normative în construcții, se efectuează în conformitate cu prevederile documentului normativ privind </w:t>
            </w:r>
            <w:r w:rsidRPr="00B16D6A">
              <w:rPr>
                <w:rFonts w:ascii="Times New Roman" w:hAnsi="Times New Roman" w:cs="Times New Roman"/>
                <w:sz w:val="24"/>
                <w:szCs w:val="24"/>
                <w:lang w:val="ro-MD"/>
              </w:rPr>
              <w:lastRenderedPageBreak/>
              <w:t>modul de remunerare a membrilor Comitetelor Tehnice pentru normare tehnică, aprobat de organul central de specialitate al administrației publice în domeniul construcțiilor</w:t>
            </w:r>
          </w:p>
        </w:tc>
      </w:tr>
      <w:tr w:rsidR="00FB7A4E" w:rsidRPr="00FC10FA" w:rsidTr="00496C1B">
        <w:trPr>
          <w:trHeight w:val="1126"/>
        </w:trPr>
        <w:tc>
          <w:tcPr>
            <w:tcW w:w="1413" w:type="dxa"/>
          </w:tcPr>
          <w:p w:rsidR="00FB7A4E" w:rsidRDefault="00FB7A4E" w:rsidP="009116CB">
            <w:pPr>
              <w:rPr>
                <w:rFonts w:ascii="Times New Roman" w:hAnsi="Times New Roman" w:cs="Times New Roman"/>
                <w:sz w:val="24"/>
                <w:szCs w:val="24"/>
                <w:lang w:val="ro-RO"/>
              </w:rPr>
            </w:pPr>
          </w:p>
        </w:tc>
        <w:tc>
          <w:tcPr>
            <w:tcW w:w="4252" w:type="dxa"/>
          </w:tcPr>
          <w:p w:rsidR="00FB7A4E" w:rsidRPr="001A454A" w:rsidRDefault="00FB7A4E" w:rsidP="00FB7A4E">
            <w:pPr>
              <w:jc w:val="both"/>
              <w:rPr>
                <w:rFonts w:ascii="Times New Roman" w:hAnsi="Times New Roman" w:cs="Times New Roman"/>
                <w:sz w:val="24"/>
                <w:szCs w:val="24"/>
                <w:lang w:val="ro-RO"/>
              </w:rPr>
            </w:pPr>
          </w:p>
        </w:tc>
        <w:tc>
          <w:tcPr>
            <w:tcW w:w="3686" w:type="dxa"/>
          </w:tcPr>
          <w:p w:rsidR="00FB7A4E" w:rsidRPr="004937D0" w:rsidRDefault="00685199" w:rsidP="009116CB">
            <w:pPr>
              <w:jc w:val="both"/>
              <w:rPr>
                <w:rFonts w:ascii="Times New Roman" w:hAnsi="Times New Roman" w:cs="Times New Roman"/>
                <w:sz w:val="24"/>
                <w:szCs w:val="24"/>
                <w:lang w:val="ro-MD"/>
              </w:rPr>
            </w:pPr>
            <w:r w:rsidRPr="00685199">
              <w:rPr>
                <w:rFonts w:ascii="Times New Roman" w:eastAsia="Times New Roman" w:hAnsi="Times New Roman" w:cs="Times New Roman"/>
                <w:sz w:val="24"/>
                <w:szCs w:val="24"/>
                <w:lang w:val="ro-MD"/>
              </w:rPr>
              <w:t>anexa nr.1 se abrogă;</w:t>
            </w:r>
          </w:p>
        </w:tc>
        <w:tc>
          <w:tcPr>
            <w:tcW w:w="4394" w:type="dxa"/>
          </w:tcPr>
          <w:p w:rsidR="00FB7A4E" w:rsidRPr="004937D0" w:rsidRDefault="00FB7A4E" w:rsidP="00FB7A4E">
            <w:pPr>
              <w:jc w:val="both"/>
              <w:rPr>
                <w:rFonts w:ascii="Times New Roman" w:hAnsi="Times New Roman" w:cs="Times New Roman"/>
                <w:sz w:val="24"/>
                <w:szCs w:val="24"/>
                <w:lang w:val="ro-MD"/>
              </w:rPr>
            </w:pPr>
          </w:p>
        </w:tc>
      </w:tr>
      <w:tr w:rsidR="00B04F81" w:rsidRPr="00FC10FA" w:rsidTr="00496C1B">
        <w:trPr>
          <w:trHeight w:val="1126"/>
        </w:trPr>
        <w:tc>
          <w:tcPr>
            <w:tcW w:w="1413" w:type="dxa"/>
          </w:tcPr>
          <w:p w:rsidR="00B04F81" w:rsidRDefault="00B04F81" w:rsidP="00FB7A4E">
            <w:pPr>
              <w:rPr>
                <w:rFonts w:ascii="Times New Roman" w:hAnsi="Times New Roman" w:cs="Times New Roman"/>
                <w:sz w:val="24"/>
                <w:szCs w:val="24"/>
                <w:lang w:val="ro-RO"/>
              </w:rPr>
            </w:pPr>
          </w:p>
        </w:tc>
        <w:tc>
          <w:tcPr>
            <w:tcW w:w="4252" w:type="dxa"/>
          </w:tcPr>
          <w:p w:rsidR="00B04F81" w:rsidRPr="001A454A" w:rsidRDefault="00B04F81" w:rsidP="00FB7A4E">
            <w:pPr>
              <w:jc w:val="both"/>
              <w:rPr>
                <w:rFonts w:ascii="Times New Roman" w:hAnsi="Times New Roman" w:cs="Times New Roman"/>
                <w:sz w:val="24"/>
                <w:szCs w:val="24"/>
                <w:lang w:val="ro-RO"/>
              </w:rPr>
            </w:pPr>
          </w:p>
        </w:tc>
        <w:tc>
          <w:tcPr>
            <w:tcW w:w="3686" w:type="dxa"/>
          </w:tcPr>
          <w:p w:rsidR="00841461" w:rsidRDefault="00841461" w:rsidP="00841461">
            <w:pP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Regulamentul se completează cu: </w:t>
            </w:r>
          </w:p>
          <w:p w:rsidR="00841461" w:rsidRPr="00841461" w:rsidRDefault="00841461" w:rsidP="00841461">
            <w:pPr>
              <w:rPr>
                <w:rFonts w:ascii="Times New Roman" w:eastAsia="Times New Roman" w:hAnsi="Times New Roman" w:cs="Times New Roman"/>
                <w:sz w:val="24"/>
                <w:szCs w:val="24"/>
                <w:lang w:val="ro-MD"/>
              </w:rPr>
            </w:pPr>
            <w:r w:rsidRPr="00841461">
              <w:rPr>
                <w:rFonts w:ascii="Times New Roman" w:eastAsia="Times New Roman" w:hAnsi="Times New Roman" w:cs="Times New Roman"/>
                <w:sz w:val="24"/>
                <w:szCs w:val="24"/>
                <w:lang w:val="ro-MD"/>
              </w:rPr>
              <w:t>,, Anexa nr.3</w:t>
            </w:r>
            <w:r>
              <w:rPr>
                <w:rFonts w:ascii="Times New Roman" w:eastAsia="Times New Roman" w:hAnsi="Times New Roman" w:cs="Times New Roman"/>
                <w:sz w:val="24"/>
                <w:szCs w:val="24"/>
                <w:lang w:val="ro-MD"/>
              </w:rPr>
              <w:t xml:space="preserve"> </w:t>
            </w:r>
            <w:r w:rsidRPr="00841461">
              <w:rPr>
                <w:rFonts w:ascii="Times New Roman" w:eastAsia="Times New Roman" w:hAnsi="Times New Roman" w:cs="Times New Roman"/>
                <w:sz w:val="24"/>
                <w:szCs w:val="24"/>
                <w:lang w:val="ro-MD"/>
              </w:rPr>
              <w:t xml:space="preserve">la Regulamentul cu privire la administrarea mijloacelor pentru finanțarea sistemului </w:t>
            </w:r>
          </w:p>
          <w:p w:rsidR="00B04F81" w:rsidRPr="00863B81" w:rsidRDefault="00841461" w:rsidP="00841461">
            <w:pPr>
              <w:rPr>
                <w:rFonts w:ascii="Times New Roman" w:hAnsi="Times New Roman" w:cs="Times New Roman"/>
                <w:sz w:val="24"/>
                <w:szCs w:val="24"/>
                <w:lang w:val="ro-MD"/>
              </w:rPr>
            </w:pPr>
            <w:r w:rsidRPr="00841461">
              <w:rPr>
                <w:rFonts w:ascii="Times New Roman" w:eastAsia="Times New Roman" w:hAnsi="Times New Roman" w:cs="Times New Roman"/>
                <w:sz w:val="24"/>
                <w:szCs w:val="24"/>
                <w:lang w:val="ro-MD"/>
              </w:rPr>
              <w:t>de documente normative în construcții</w:t>
            </w:r>
            <w:r>
              <w:rPr>
                <w:rFonts w:ascii="Times New Roman" w:eastAsia="Times New Roman" w:hAnsi="Times New Roman" w:cs="Times New Roman"/>
                <w:sz w:val="24"/>
                <w:szCs w:val="24"/>
                <w:lang w:val="ro-MD"/>
              </w:rPr>
              <w:t xml:space="preserve"> </w:t>
            </w:r>
            <w:r w:rsidR="001048D3">
              <w:rPr>
                <w:rFonts w:ascii="Times New Roman" w:eastAsia="Times New Roman" w:hAnsi="Times New Roman" w:cs="Times New Roman"/>
                <w:sz w:val="24"/>
                <w:szCs w:val="24"/>
                <w:lang w:val="ro-MD"/>
              </w:rPr>
              <w:t>;</w:t>
            </w:r>
          </w:p>
        </w:tc>
        <w:tc>
          <w:tcPr>
            <w:tcW w:w="4394" w:type="dxa"/>
          </w:tcPr>
          <w:p w:rsidR="00B04F81" w:rsidRPr="001A454A" w:rsidRDefault="00B04F81" w:rsidP="00FB7A4E">
            <w:pPr>
              <w:jc w:val="both"/>
              <w:rPr>
                <w:rFonts w:ascii="Times New Roman" w:hAnsi="Times New Roman" w:cs="Times New Roman"/>
                <w:sz w:val="24"/>
                <w:szCs w:val="24"/>
                <w:lang w:val="ro-RO"/>
              </w:rPr>
            </w:pPr>
          </w:p>
        </w:tc>
      </w:tr>
    </w:tbl>
    <w:p w:rsidR="007A1262" w:rsidRPr="002F6FA2" w:rsidRDefault="007A1262" w:rsidP="002F6FA2">
      <w:pPr>
        <w:spacing w:after="0" w:line="240" w:lineRule="auto"/>
        <w:jc w:val="both"/>
        <w:rPr>
          <w:rFonts w:ascii="Times New Roman" w:hAnsi="Times New Roman" w:cs="Times New Roman"/>
          <w:sz w:val="24"/>
          <w:szCs w:val="24"/>
          <w:lang w:val="ro-MD"/>
        </w:rPr>
      </w:pPr>
    </w:p>
    <w:p w:rsidR="002F6FA2" w:rsidRPr="002F6FA2" w:rsidRDefault="002F6FA2">
      <w:pPr>
        <w:jc w:val="both"/>
        <w:rPr>
          <w:rFonts w:ascii="Times New Roman" w:hAnsi="Times New Roman" w:cs="Times New Roman"/>
          <w:sz w:val="24"/>
          <w:szCs w:val="24"/>
          <w:lang w:val="ro-MD"/>
        </w:rPr>
      </w:pPr>
    </w:p>
    <w:sectPr w:rsidR="002F6FA2" w:rsidRPr="002F6FA2"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319C"/>
    <w:rsid w:val="0000608A"/>
    <w:rsid w:val="000073A5"/>
    <w:rsid w:val="00013A22"/>
    <w:rsid w:val="000249E3"/>
    <w:rsid w:val="00024C6B"/>
    <w:rsid w:val="0003777F"/>
    <w:rsid w:val="00053538"/>
    <w:rsid w:val="00057193"/>
    <w:rsid w:val="0006667D"/>
    <w:rsid w:val="00066EB9"/>
    <w:rsid w:val="00066FEF"/>
    <w:rsid w:val="00096D5F"/>
    <w:rsid w:val="000B4E90"/>
    <w:rsid w:val="000D264E"/>
    <w:rsid w:val="000E0E05"/>
    <w:rsid w:val="000F4EFD"/>
    <w:rsid w:val="001048D3"/>
    <w:rsid w:val="00105F57"/>
    <w:rsid w:val="00111380"/>
    <w:rsid w:val="001142CB"/>
    <w:rsid w:val="00115DB8"/>
    <w:rsid w:val="001408D0"/>
    <w:rsid w:val="00180A70"/>
    <w:rsid w:val="00184FB2"/>
    <w:rsid w:val="001A08A4"/>
    <w:rsid w:val="001A454A"/>
    <w:rsid w:val="001A7D1C"/>
    <w:rsid w:val="001C67A7"/>
    <w:rsid w:val="001C7FEC"/>
    <w:rsid w:val="001F6ABD"/>
    <w:rsid w:val="00220375"/>
    <w:rsid w:val="00223936"/>
    <w:rsid w:val="002270E6"/>
    <w:rsid w:val="00257AE0"/>
    <w:rsid w:val="0026342C"/>
    <w:rsid w:val="00266800"/>
    <w:rsid w:val="0026692D"/>
    <w:rsid w:val="00267988"/>
    <w:rsid w:val="00285025"/>
    <w:rsid w:val="002A4A9F"/>
    <w:rsid w:val="002A579B"/>
    <w:rsid w:val="002A744F"/>
    <w:rsid w:val="002B1681"/>
    <w:rsid w:val="002B4008"/>
    <w:rsid w:val="002C1606"/>
    <w:rsid w:val="002D6958"/>
    <w:rsid w:val="002E1450"/>
    <w:rsid w:val="002F6FA2"/>
    <w:rsid w:val="0030067B"/>
    <w:rsid w:val="003266BF"/>
    <w:rsid w:val="00335251"/>
    <w:rsid w:val="0033735C"/>
    <w:rsid w:val="00341F37"/>
    <w:rsid w:val="00356A3D"/>
    <w:rsid w:val="00367F04"/>
    <w:rsid w:val="00367F30"/>
    <w:rsid w:val="003718E9"/>
    <w:rsid w:val="003750B3"/>
    <w:rsid w:val="003774A8"/>
    <w:rsid w:val="0038018E"/>
    <w:rsid w:val="00382FBE"/>
    <w:rsid w:val="00390893"/>
    <w:rsid w:val="003914D6"/>
    <w:rsid w:val="003A7C9E"/>
    <w:rsid w:val="003B19D8"/>
    <w:rsid w:val="003B694E"/>
    <w:rsid w:val="003C6904"/>
    <w:rsid w:val="003D3D3C"/>
    <w:rsid w:val="003E7789"/>
    <w:rsid w:val="00402305"/>
    <w:rsid w:val="00410815"/>
    <w:rsid w:val="00422B81"/>
    <w:rsid w:val="00434C32"/>
    <w:rsid w:val="00475433"/>
    <w:rsid w:val="00477B0D"/>
    <w:rsid w:val="004937D0"/>
    <w:rsid w:val="00494ECC"/>
    <w:rsid w:val="00496710"/>
    <w:rsid w:val="00496C1B"/>
    <w:rsid w:val="00497EC5"/>
    <w:rsid w:val="004A759E"/>
    <w:rsid w:val="004D0B20"/>
    <w:rsid w:val="004D337A"/>
    <w:rsid w:val="004E1B6F"/>
    <w:rsid w:val="004F44A1"/>
    <w:rsid w:val="004F4DE4"/>
    <w:rsid w:val="00503AEF"/>
    <w:rsid w:val="00505472"/>
    <w:rsid w:val="00513B9E"/>
    <w:rsid w:val="00533811"/>
    <w:rsid w:val="0055432F"/>
    <w:rsid w:val="00573A56"/>
    <w:rsid w:val="0058781F"/>
    <w:rsid w:val="00591142"/>
    <w:rsid w:val="0059155C"/>
    <w:rsid w:val="00595721"/>
    <w:rsid w:val="005B1323"/>
    <w:rsid w:val="005B312A"/>
    <w:rsid w:val="005B5A41"/>
    <w:rsid w:val="005D3404"/>
    <w:rsid w:val="005E3833"/>
    <w:rsid w:val="006317B3"/>
    <w:rsid w:val="00636B4A"/>
    <w:rsid w:val="00642913"/>
    <w:rsid w:val="00676350"/>
    <w:rsid w:val="00676D1D"/>
    <w:rsid w:val="00685199"/>
    <w:rsid w:val="00685C59"/>
    <w:rsid w:val="006A599F"/>
    <w:rsid w:val="006C7FF3"/>
    <w:rsid w:val="006E5618"/>
    <w:rsid w:val="006F45B1"/>
    <w:rsid w:val="00706420"/>
    <w:rsid w:val="00746B1C"/>
    <w:rsid w:val="00752267"/>
    <w:rsid w:val="00775052"/>
    <w:rsid w:val="00780B3E"/>
    <w:rsid w:val="00784908"/>
    <w:rsid w:val="0079147A"/>
    <w:rsid w:val="00796D16"/>
    <w:rsid w:val="007A1262"/>
    <w:rsid w:val="007A12C3"/>
    <w:rsid w:val="007B328D"/>
    <w:rsid w:val="007B5920"/>
    <w:rsid w:val="007C68F6"/>
    <w:rsid w:val="007E5EA1"/>
    <w:rsid w:val="00820F9B"/>
    <w:rsid w:val="0082394C"/>
    <w:rsid w:val="008272DC"/>
    <w:rsid w:val="008276A8"/>
    <w:rsid w:val="00830156"/>
    <w:rsid w:val="00830729"/>
    <w:rsid w:val="00841461"/>
    <w:rsid w:val="00855AEE"/>
    <w:rsid w:val="00861A5F"/>
    <w:rsid w:val="00863B81"/>
    <w:rsid w:val="00864EEF"/>
    <w:rsid w:val="00870B19"/>
    <w:rsid w:val="00894D98"/>
    <w:rsid w:val="008B1E6D"/>
    <w:rsid w:val="008B3C88"/>
    <w:rsid w:val="008F00EE"/>
    <w:rsid w:val="00905CC5"/>
    <w:rsid w:val="00906B51"/>
    <w:rsid w:val="009107E4"/>
    <w:rsid w:val="009116CB"/>
    <w:rsid w:val="00930BB2"/>
    <w:rsid w:val="009338E6"/>
    <w:rsid w:val="00937986"/>
    <w:rsid w:val="0094107F"/>
    <w:rsid w:val="009434BC"/>
    <w:rsid w:val="009456D1"/>
    <w:rsid w:val="00953C81"/>
    <w:rsid w:val="0095657B"/>
    <w:rsid w:val="00965F2D"/>
    <w:rsid w:val="009803DD"/>
    <w:rsid w:val="00987D57"/>
    <w:rsid w:val="0099722C"/>
    <w:rsid w:val="009A0EFF"/>
    <w:rsid w:val="009A76C7"/>
    <w:rsid w:val="009B7869"/>
    <w:rsid w:val="009C70F5"/>
    <w:rsid w:val="009D54BB"/>
    <w:rsid w:val="009E5476"/>
    <w:rsid w:val="00A13300"/>
    <w:rsid w:val="00A220ED"/>
    <w:rsid w:val="00A31690"/>
    <w:rsid w:val="00A33EDA"/>
    <w:rsid w:val="00A51992"/>
    <w:rsid w:val="00A55525"/>
    <w:rsid w:val="00A60BD2"/>
    <w:rsid w:val="00A6264B"/>
    <w:rsid w:val="00A64135"/>
    <w:rsid w:val="00A648E9"/>
    <w:rsid w:val="00AA0F6A"/>
    <w:rsid w:val="00AA23D0"/>
    <w:rsid w:val="00AB58EF"/>
    <w:rsid w:val="00AC12B9"/>
    <w:rsid w:val="00AD7D4E"/>
    <w:rsid w:val="00AF2CB6"/>
    <w:rsid w:val="00B02A3A"/>
    <w:rsid w:val="00B04F81"/>
    <w:rsid w:val="00B16D6A"/>
    <w:rsid w:val="00B22E8D"/>
    <w:rsid w:val="00B260F8"/>
    <w:rsid w:val="00B262F1"/>
    <w:rsid w:val="00B33715"/>
    <w:rsid w:val="00B37FA5"/>
    <w:rsid w:val="00B43E04"/>
    <w:rsid w:val="00B52016"/>
    <w:rsid w:val="00B5254A"/>
    <w:rsid w:val="00B66C12"/>
    <w:rsid w:val="00B96A04"/>
    <w:rsid w:val="00BC3BCB"/>
    <w:rsid w:val="00BD4615"/>
    <w:rsid w:val="00BE524E"/>
    <w:rsid w:val="00BF339F"/>
    <w:rsid w:val="00C01E7E"/>
    <w:rsid w:val="00C23DA1"/>
    <w:rsid w:val="00C24603"/>
    <w:rsid w:val="00C25889"/>
    <w:rsid w:val="00C25CAA"/>
    <w:rsid w:val="00C25D7D"/>
    <w:rsid w:val="00C26020"/>
    <w:rsid w:val="00C34710"/>
    <w:rsid w:val="00C4019A"/>
    <w:rsid w:val="00C430AA"/>
    <w:rsid w:val="00C47383"/>
    <w:rsid w:val="00C50867"/>
    <w:rsid w:val="00C52729"/>
    <w:rsid w:val="00C53736"/>
    <w:rsid w:val="00C557FB"/>
    <w:rsid w:val="00C86D03"/>
    <w:rsid w:val="00CB7FEB"/>
    <w:rsid w:val="00CC4F11"/>
    <w:rsid w:val="00CD010B"/>
    <w:rsid w:val="00CD21CE"/>
    <w:rsid w:val="00CE6B9E"/>
    <w:rsid w:val="00CF19DF"/>
    <w:rsid w:val="00CF4887"/>
    <w:rsid w:val="00D02310"/>
    <w:rsid w:val="00D042E5"/>
    <w:rsid w:val="00D1580B"/>
    <w:rsid w:val="00D30567"/>
    <w:rsid w:val="00D40084"/>
    <w:rsid w:val="00D5079A"/>
    <w:rsid w:val="00D85B55"/>
    <w:rsid w:val="00D917DB"/>
    <w:rsid w:val="00D91973"/>
    <w:rsid w:val="00D93471"/>
    <w:rsid w:val="00DA0410"/>
    <w:rsid w:val="00DC25EB"/>
    <w:rsid w:val="00DC597E"/>
    <w:rsid w:val="00DC715C"/>
    <w:rsid w:val="00DD1844"/>
    <w:rsid w:val="00DF2BA2"/>
    <w:rsid w:val="00DF7E6F"/>
    <w:rsid w:val="00E00B5D"/>
    <w:rsid w:val="00E05B77"/>
    <w:rsid w:val="00E10D24"/>
    <w:rsid w:val="00E12779"/>
    <w:rsid w:val="00E135DD"/>
    <w:rsid w:val="00E142D5"/>
    <w:rsid w:val="00E242EE"/>
    <w:rsid w:val="00E31825"/>
    <w:rsid w:val="00E34141"/>
    <w:rsid w:val="00E459D1"/>
    <w:rsid w:val="00E47C16"/>
    <w:rsid w:val="00E71116"/>
    <w:rsid w:val="00E71F3C"/>
    <w:rsid w:val="00E76BA5"/>
    <w:rsid w:val="00E943BE"/>
    <w:rsid w:val="00EA1539"/>
    <w:rsid w:val="00EC24AB"/>
    <w:rsid w:val="00EC6F7C"/>
    <w:rsid w:val="00ED4C65"/>
    <w:rsid w:val="00EE6A67"/>
    <w:rsid w:val="00EF2157"/>
    <w:rsid w:val="00F151A0"/>
    <w:rsid w:val="00F153E9"/>
    <w:rsid w:val="00F162B8"/>
    <w:rsid w:val="00F36F2E"/>
    <w:rsid w:val="00F42F0D"/>
    <w:rsid w:val="00F5009B"/>
    <w:rsid w:val="00F52BCD"/>
    <w:rsid w:val="00F53ED7"/>
    <w:rsid w:val="00F61FD5"/>
    <w:rsid w:val="00F72348"/>
    <w:rsid w:val="00F72778"/>
    <w:rsid w:val="00F7456C"/>
    <w:rsid w:val="00F76E1E"/>
    <w:rsid w:val="00F778A8"/>
    <w:rsid w:val="00F83742"/>
    <w:rsid w:val="00FA1871"/>
    <w:rsid w:val="00FB2F2D"/>
    <w:rsid w:val="00FB7A4E"/>
    <w:rsid w:val="00FC10FA"/>
    <w:rsid w:val="00FC2BAC"/>
    <w:rsid w:val="00FD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958"/>
    <w:pPr>
      <w:ind w:left="720"/>
      <w:contextualSpacing/>
    </w:pPr>
  </w:style>
  <w:style w:type="paragraph" w:styleId="BalloonText">
    <w:name w:val="Balloon Text"/>
    <w:basedOn w:val="Normal"/>
    <w:link w:val="BalloonTextChar"/>
    <w:uiPriority w:val="99"/>
    <w:semiHidden/>
    <w:unhideWhenUsed/>
    <w:rsid w:val="009B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869"/>
    <w:rPr>
      <w:rFonts w:ascii="Segoe UI" w:hAnsi="Segoe UI" w:cs="Segoe UI"/>
      <w:sz w:val="18"/>
      <w:szCs w:val="18"/>
    </w:rPr>
  </w:style>
  <w:style w:type="paragraph" w:customStyle="1" w:styleId="TableParagraph">
    <w:name w:val="Table Paragraph"/>
    <w:basedOn w:val="Normal"/>
    <w:uiPriority w:val="1"/>
    <w:qFormat/>
    <w:rsid w:val="00685C59"/>
    <w:pPr>
      <w:widowControl w:val="0"/>
      <w:spacing w:after="0" w:line="240" w:lineRule="auto"/>
    </w:pPr>
  </w:style>
  <w:style w:type="character" w:styleId="Strong">
    <w:name w:val="Strong"/>
    <w:basedOn w:val="DefaultParagraphFont"/>
    <w:uiPriority w:val="22"/>
    <w:qFormat/>
    <w:rsid w:val="00E05B77"/>
    <w:rPr>
      <w:b/>
      <w:bCs/>
    </w:rPr>
  </w:style>
  <w:style w:type="paragraph" w:customStyle="1" w:styleId="pb">
    <w:name w:val="pb"/>
    <w:basedOn w:val="Normal"/>
    <w:rsid w:val="00FC10FA"/>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har"/>
    <w:uiPriority w:val="99"/>
    <w:unhideWhenUsed/>
    <w:qFormat/>
    <w:rsid w:val="00326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AF2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19241">
      <w:bodyDiv w:val="1"/>
      <w:marLeft w:val="0"/>
      <w:marRight w:val="0"/>
      <w:marTop w:val="0"/>
      <w:marBottom w:val="0"/>
      <w:divBdr>
        <w:top w:val="none" w:sz="0" w:space="0" w:color="auto"/>
        <w:left w:val="none" w:sz="0" w:space="0" w:color="auto"/>
        <w:bottom w:val="none" w:sz="0" w:space="0" w:color="auto"/>
        <w:right w:val="none" w:sz="0" w:space="0" w:color="auto"/>
      </w:divBdr>
    </w:div>
    <w:div w:id="594556701">
      <w:bodyDiv w:val="1"/>
      <w:marLeft w:val="0"/>
      <w:marRight w:val="0"/>
      <w:marTop w:val="0"/>
      <w:marBottom w:val="0"/>
      <w:divBdr>
        <w:top w:val="none" w:sz="0" w:space="0" w:color="auto"/>
        <w:left w:val="none" w:sz="0" w:space="0" w:color="auto"/>
        <w:bottom w:val="none" w:sz="0" w:space="0" w:color="auto"/>
        <w:right w:val="none" w:sz="0" w:space="0" w:color="auto"/>
      </w:divBdr>
    </w:div>
    <w:div w:id="723988564">
      <w:bodyDiv w:val="1"/>
      <w:marLeft w:val="0"/>
      <w:marRight w:val="0"/>
      <w:marTop w:val="0"/>
      <w:marBottom w:val="0"/>
      <w:divBdr>
        <w:top w:val="none" w:sz="0" w:space="0" w:color="auto"/>
        <w:left w:val="none" w:sz="0" w:space="0" w:color="auto"/>
        <w:bottom w:val="none" w:sz="0" w:space="0" w:color="auto"/>
        <w:right w:val="none" w:sz="0" w:space="0" w:color="auto"/>
      </w:divBdr>
    </w:div>
    <w:div w:id="1530026795">
      <w:bodyDiv w:val="1"/>
      <w:marLeft w:val="0"/>
      <w:marRight w:val="0"/>
      <w:marTop w:val="0"/>
      <w:marBottom w:val="0"/>
      <w:divBdr>
        <w:top w:val="none" w:sz="0" w:space="0" w:color="auto"/>
        <w:left w:val="none" w:sz="0" w:space="0" w:color="auto"/>
        <w:bottom w:val="none" w:sz="0" w:space="0" w:color="auto"/>
        <w:right w:val="none" w:sz="0" w:space="0" w:color="auto"/>
      </w:divBdr>
    </w:div>
    <w:div w:id="19555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nc.gov.md" TargetMode="External"/><Relationship Id="rId5" Type="http://schemas.openxmlformats.org/officeDocument/2006/relationships/hyperlink" Target="http://www.edn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2171</Words>
  <Characters>12380</Characters>
  <Application>Microsoft Office Word</Application>
  <DocSecurity>0</DocSecurity>
  <Lines>103</Lines>
  <Paragraphs>29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Alina Tagadiuc</cp:lastModifiedBy>
  <cp:revision>30</cp:revision>
  <cp:lastPrinted>2024-09-20T05:29:00Z</cp:lastPrinted>
  <dcterms:created xsi:type="dcterms:W3CDTF">2026-01-20T08:13:00Z</dcterms:created>
  <dcterms:modified xsi:type="dcterms:W3CDTF">2026-03-10T07:47:00Z</dcterms:modified>
</cp:coreProperties>
</file>